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6C2AB" w14:textId="77777777" w:rsidR="00B65BDE" w:rsidRPr="00A33F6B" w:rsidRDefault="00580DB2" w:rsidP="003E2A50">
      <w:pPr>
        <w:ind w:right="-32"/>
        <w:rPr>
          <w:rFonts w:asciiTheme="minorHAnsi" w:hAnsiTheme="minorHAnsi"/>
        </w:rPr>
      </w:pPr>
      <w:bookmarkStart w:id="0" w:name="_Hlk74058574"/>
      <w:r>
        <w:rPr>
          <w:noProof/>
          <w:lang w:val="es-MX" w:eastAsia="es-MX"/>
        </w:rPr>
        <w:drawing>
          <wp:anchor distT="0" distB="0" distL="114300" distR="114300" simplePos="0" relativeHeight="251661312" behindDoc="1" locked="0" layoutInCell="1" allowOverlap="1" wp14:anchorId="08D03265" wp14:editId="3629FE4B">
            <wp:simplePos x="0" y="0"/>
            <wp:positionH relativeFrom="column">
              <wp:posOffset>3893</wp:posOffset>
            </wp:positionH>
            <wp:positionV relativeFrom="paragraph">
              <wp:posOffset>0</wp:posOffset>
            </wp:positionV>
            <wp:extent cx="2155806" cy="1251999"/>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806" cy="1251999"/>
                    </a:xfrm>
                    <a:prstGeom prst="rect">
                      <a:avLst/>
                    </a:prstGeom>
                  </pic:spPr>
                </pic:pic>
              </a:graphicData>
            </a:graphic>
          </wp:anchor>
        </w:drawing>
      </w:r>
      <w:r w:rsidR="00B65BDE">
        <w:rPr>
          <w:rFonts w:asciiTheme="minorHAnsi" w:hAnsiTheme="minorHAnsi"/>
        </w:rPr>
        <w:t xml:space="preserve">                                                                                                                                                                                                                                                                                                                                                                                  </w:t>
      </w:r>
    </w:p>
    <w:p w14:paraId="4A66D1A5" w14:textId="77777777" w:rsidR="00B65BDE" w:rsidRPr="00A33F6B" w:rsidRDefault="0006259A" w:rsidP="003E2A50">
      <w:pPr>
        <w:tabs>
          <w:tab w:val="left" w:pos="1640"/>
        </w:tabs>
        <w:ind w:right="-32"/>
        <w:rPr>
          <w:rFonts w:asciiTheme="minorHAnsi" w:hAnsiTheme="minorHAnsi"/>
        </w:rPr>
      </w:pPr>
      <w:r>
        <w:rPr>
          <w:rFonts w:asciiTheme="minorHAnsi" w:hAnsiTheme="minorHAnsi"/>
        </w:rPr>
        <w:tab/>
      </w:r>
    </w:p>
    <w:p w14:paraId="65857145" w14:textId="77777777" w:rsidR="00B65BDE" w:rsidRPr="00F028F9" w:rsidRDefault="006C7E7E" w:rsidP="00B65BDE">
      <w:pPr>
        <w:ind w:right="-32"/>
        <w:jc w:val="center"/>
        <w:rPr>
          <w:rFonts w:asciiTheme="minorHAnsi" w:hAnsiTheme="minorHAnsi"/>
        </w:rPr>
      </w:pPr>
      <w:r w:rsidRPr="00BC0A15">
        <w:rPr>
          <w:noProof/>
          <w:lang w:val="es-MX" w:eastAsia="es-MX"/>
        </w:rPr>
        <w:drawing>
          <wp:anchor distT="0" distB="0" distL="114300" distR="114300" simplePos="0" relativeHeight="251681792" behindDoc="1" locked="0" layoutInCell="1" allowOverlap="1" wp14:anchorId="040D6688" wp14:editId="1123165F">
            <wp:simplePos x="0" y="0"/>
            <wp:positionH relativeFrom="margin">
              <wp:posOffset>4296428</wp:posOffset>
            </wp:positionH>
            <wp:positionV relativeFrom="paragraph">
              <wp:posOffset>10055</wp:posOffset>
            </wp:positionV>
            <wp:extent cx="1550822" cy="75103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71190"/>
                    <a:stretch>
                      <a:fillRect/>
                    </a:stretch>
                  </pic:blipFill>
                  <pic:spPr bwMode="auto">
                    <a:xfrm>
                      <a:off x="0" y="0"/>
                      <a:ext cx="1550822" cy="751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74519" w14:textId="77777777" w:rsidR="00B65BDE" w:rsidRDefault="00B65BDE" w:rsidP="00B65BDE">
      <w:pPr>
        <w:ind w:right="-32"/>
        <w:jc w:val="center"/>
        <w:rPr>
          <w:rFonts w:asciiTheme="minorHAnsi" w:hAnsiTheme="minorHAnsi"/>
          <w:b/>
        </w:rPr>
      </w:pPr>
    </w:p>
    <w:p w14:paraId="6E02B289" w14:textId="77777777" w:rsidR="00B65BDE" w:rsidRDefault="00B65BDE" w:rsidP="00B65BDE">
      <w:pPr>
        <w:ind w:right="-32"/>
        <w:jc w:val="center"/>
        <w:rPr>
          <w:rFonts w:asciiTheme="minorHAnsi" w:hAnsiTheme="minorHAnsi"/>
          <w:b/>
        </w:rPr>
      </w:pPr>
    </w:p>
    <w:p w14:paraId="78882588" w14:textId="77777777" w:rsidR="00B65BDE" w:rsidRDefault="00B65BDE" w:rsidP="00B65BDE">
      <w:pPr>
        <w:ind w:right="-32"/>
        <w:jc w:val="center"/>
        <w:rPr>
          <w:rFonts w:asciiTheme="minorHAnsi" w:hAnsiTheme="minorHAnsi"/>
          <w:b/>
        </w:rPr>
      </w:pPr>
    </w:p>
    <w:p w14:paraId="1A14C4AD" w14:textId="77777777" w:rsidR="00B65BDE" w:rsidRDefault="00B65BDE" w:rsidP="00B65BDE">
      <w:pPr>
        <w:ind w:right="-32"/>
        <w:jc w:val="center"/>
        <w:rPr>
          <w:rFonts w:asciiTheme="minorHAnsi" w:hAnsiTheme="minorHAnsi"/>
          <w:b/>
        </w:rPr>
      </w:pPr>
    </w:p>
    <w:p w14:paraId="29C9D47A" w14:textId="77777777" w:rsidR="00CD084D" w:rsidRPr="00A33F6B" w:rsidRDefault="00CD084D" w:rsidP="00B65BDE">
      <w:pPr>
        <w:ind w:right="-32"/>
        <w:jc w:val="center"/>
        <w:rPr>
          <w:rFonts w:asciiTheme="minorHAnsi" w:hAnsiTheme="minorHAnsi"/>
          <w:b/>
        </w:rPr>
      </w:pPr>
    </w:p>
    <w:p w14:paraId="3EE90591" w14:textId="77777777" w:rsidR="00B65BDE" w:rsidRPr="00A33F6B" w:rsidRDefault="00B65BDE" w:rsidP="00B65BDE">
      <w:pPr>
        <w:ind w:right="-32"/>
        <w:jc w:val="center"/>
        <w:rPr>
          <w:rFonts w:asciiTheme="minorHAnsi" w:hAnsiTheme="minorHAnsi"/>
          <w:b/>
        </w:rPr>
      </w:pPr>
    </w:p>
    <w:p w14:paraId="0C875CD4" w14:textId="77777777" w:rsidR="00CD084D" w:rsidRPr="00344818" w:rsidRDefault="00CD084D" w:rsidP="00CD084D">
      <w:pPr>
        <w:spacing w:before="120" w:after="120"/>
        <w:ind w:right="-34"/>
        <w:jc w:val="center"/>
        <w:rPr>
          <w:rFonts w:ascii="Arial" w:hAnsi="Arial" w:cs="Arial"/>
          <w:b/>
          <w:sz w:val="22"/>
          <w:szCs w:val="22"/>
        </w:rPr>
      </w:pPr>
      <w:r w:rsidRPr="00344818">
        <w:rPr>
          <w:rFonts w:ascii="Arial" w:hAnsi="Arial" w:cs="Arial"/>
          <w:b/>
          <w:sz w:val="22"/>
          <w:szCs w:val="22"/>
        </w:rPr>
        <w:t xml:space="preserve">Documento de Licitación Pública </w:t>
      </w:r>
      <w:r>
        <w:rPr>
          <w:rFonts w:ascii="Arial" w:hAnsi="Arial" w:cs="Arial"/>
          <w:b/>
          <w:sz w:val="22"/>
          <w:szCs w:val="22"/>
        </w:rPr>
        <w:t>Internacional</w:t>
      </w:r>
      <w:r w:rsidRPr="00344818">
        <w:rPr>
          <w:rFonts w:ascii="Arial" w:hAnsi="Arial" w:cs="Arial"/>
          <w:b/>
          <w:sz w:val="22"/>
          <w:szCs w:val="22"/>
        </w:rPr>
        <w:t xml:space="preserve"> </w:t>
      </w:r>
    </w:p>
    <w:p w14:paraId="4000D9A1" w14:textId="77777777" w:rsidR="00CD084D" w:rsidRPr="00344818" w:rsidRDefault="00CD084D" w:rsidP="00CD084D">
      <w:pPr>
        <w:spacing w:before="120" w:after="120"/>
        <w:ind w:right="-34"/>
        <w:jc w:val="center"/>
        <w:rPr>
          <w:rFonts w:ascii="Arial" w:hAnsi="Arial" w:cs="Arial"/>
          <w:b/>
          <w:sz w:val="22"/>
          <w:szCs w:val="22"/>
        </w:rPr>
      </w:pPr>
      <w:r w:rsidRPr="00344818">
        <w:rPr>
          <w:rFonts w:ascii="Arial" w:hAnsi="Arial" w:cs="Arial"/>
          <w:b/>
          <w:sz w:val="22"/>
          <w:szCs w:val="22"/>
        </w:rPr>
        <w:t xml:space="preserve">Para la Adquisición de Obras con Recursos del </w:t>
      </w:r>
    </w:p>
    <w:p w14:paraId="7BA9BA32" w14:textId="77777777" w:rsidR="00CD084D" w:rsidRPr="00344818" w:rsidRDefault="00CD084D" w:rsidP="00CD084D">
      <w:pPr>
        <w:spacing w:before="120" w:after="120"/>
        <w:ind w:right="-34"/>
        <w:jc w:val="center"/>
        <w:rPr>
          <w:rFonts w:ascii="Arial" w:hAnsi="Arial" w:cs="Arial"/>
          <w:b/>
          <w:sz w:val="22"/>
          <w:szCs w:val="22"/>
        </w:rPr>
      </w:pPr>
      <w:r w:rsidRPr="00344818">
        <w:rPr>
          <w:rFonts w:ascii="Arial" w:hAnsi="Arial" w:cs="Arial"/>
          <w:b/>
          <w:sz w:val="22"/>
          <w:szCs w:val="22"/>
        </w:rPr>
        <w:t>Banco Centroamericano de Integración Económica</w:t>
      </w:r>
    </w:p>
    <w:p w14:paraId="3958FFA8" w14:textId="77777777" w:rsidR="00CD084D" w:rsidRPr="00344818" w:rsidRDefault="00CD084D" w:rsidP="00CD084D">
      <w:pPr>
        <w:ind w:left="-540" w:right="361"/>
        <w:jc w:val="center"/>
        <w:rPr>
          <w:rFonts w:ascii="Arial" w:hAnsi="Arial" w:cs="Arial"/>
          <w:b/>
          <w:sz w:val="22"/>
          <w:szCs w:val="22"/>
        </w:rPr>
      </w:pPr>
      <w:r w:rsidRPr="00344818">
        <w:rPr>
          <w:rFonts w:ascii="Arial" w:hAnsi="Arial" w:cs="Arial"/>
          <w:b/>
          <w:sz w:val="22"/>
          <w:szCs w:val="22"/>
        </w:rPr>
        <w:t>Una Etapa – Un Sobre</w:t>
      </w:r>
    </w:p>
    <w:p w14:paraId="2654B4A9" w14:textId="77777777" w:rsidR="00CD084D" w:rsidRDefault="00CD084D" w:rsidP="00CD084D">
      <w:pPr>
        <w:ind w:right="-34"/>
        <w:jc w:val="center"/>
        <w:rPr>
          <w:rFonts w:ascii="Arial" w:hAnsi="Arial" w:cs="Arial"/>
          <w:b/>
          <w:sz w:val="22"/>
          <w:szCs w:val="22"/>
        </w:rPr>
      </w:pPr>
    </w:p>
    <w:p w14:paraId="1AA38F10" w14:textId="77777777" w:rsidR="00CD084D" w:rsidRDefault="00CD084D" w:rsidP="00CD084D">
      <w:pPr>
        <w:ind w:right="-34"/>
        <w:jc w:val="center"/>
        <w:rPr>
          <w:rFonts w:ascii="Arial" w:hAnsi="Arial" w:cs="Arial"/>
          <w:b/>
          <w:sz w:val="22"/>
          <w:szCs w:val="22"/>
        </w:rPr>
      </w:pPr>
    </w:p>
    <w:p w14:paraId="0FB42039" w14:textId="77777777" w:rsidR="00CD084D" w:rsidRDefault="00CD084D" w:rsidP="00CD084D">
      <w:pPr>
        <w:ind w:right="-34"/>
        <w:jc w:val="center"/>
        <w:rPr>
          <w:rFonts w:ascii="Arial" w:hAnsi="Arial" w:cs="Arial"/>
          <w:b/>
          <w:sz w:val="22"/>
          <w:szCs w:val="22"/>
        </w:rPr>
      </w:pPr>
    </w:p>
    <w:p w14:paraId="0C44E228" w14:textId="77777777" w:rsidR="00CD084D" w:rsidRDefault="00CD084D" w:rsidP="00CD084D">
      <w:pPr>
        <w:ind w:right="-34"/>
        <w:jc w:val="center"/>
        <w:rPr>
          <w:rFonts w:ascii="Arial" w:hAnsi="Arial" w:cs="Arial"/>
          <w:b/>
          <w:sz w:val="22"/>
          <w:szCs w:val="22"/>
        </w:rPr>
      </w:pPr>
    </w:p>
    <w:p w14:paraId="49A4DBE4" w14:textId="77777777" w:rsidR="00CD084D" w:rsidRDefault="00CD084D" w:rsidP="00CD084D">
      <w:pPr>
        <w:ind w:right="-34"/>
        <w:jc w:val="center"/>
        <w:rPr>
          <w:rFonts w:ascii="Arial" w:hAnsi="Arial" w:cs="Arial"/>
          <w:b/>
          <w:sz w:val="22"/>
          <w:szCs w:val="22"/>
        </w:rPr>
      </w:pPr>
    </w:p>
    <w:p w14:paraId="54949EFB" w14:textId="77777777" w:rsidR="00CD084D" w:rsidRPr="00344818" w:rsidRDefault="00CD084D" w:rsidP="00CD084D">
      <w:pPr>
        <w:ind w:right="-34"/>
        <w:jc w:val="center"/>
        <w:rPr>
          <w:rFonts w:ascii="Arial" w:hAnsi="Arial" w:cs="Arial"/>
          <w:b/>
          <w:sz w:val="22"/>
          <w:szCs w:val="22"/>
        </w:rPr>
      </w:pPr>
      <w:r w:rsidRPr="00344818">
        <w:rPr>
          <w:rFonts w:ascii="Arial" w:hAnsi="Arial" w:cs="Arial"/>
          <w:b/>
          <w:sz w:val="22"/>
          <w:szCs w:val="22"/>
        </w:rPr>
        <w:t>Construcción de Sistemas de Ag</w:t>
      </w:r>
      <w:r>
        <w:rPr>
          <w:rFonts w:ascii="Arial" w:hAnsi="Arial" w:cs="Arial"/>
          <w:b/>
          <w:sz w:val="22"/>
          <w:szCs w:val="22"/>
        </w:rPr>
        <w:t>ua y Saneamiento en la Región I</w:t>
      </w:r>
      <w:r w:rsidRPr="00344818">
        <w:rPr>
          <w:rFonts w:ascii="Arial" w:hAnsi="Arial" w:cs="Arial"/>
          <w:b/>
          <w:sz w:val="22"/>
          <w:szCs w:val="22"/>
        </w:rPr>
        <w:t>-Grupo B</w:t>
      </w:r>
    </w:p>
    <w:p w14:paraId="64A3E543" w14:textId="77777777" w:rsidR="00CD084D" w:rsidRPr="00344818" w:rsidRDefault="00CD084D" w:rsidP="00CD084D">
      <w:pPr>
        <w:ind w:right="-34"/>
        <w:jc w:val="center"/>
        <w:rPr>
          <w:rFonts w:ascii="Arial" w:hAnsi="Arial" w:cs="Arial"/>
          <w:b/>
          <w:sz w:val="22"/>
          <w:szCs w:val="22"/>
        </w:rPr>
      </w:pPr>
    </w:p>
    <w:p w14:paraId="7E9F329F" w14:textId="77777777" w:rsidR="00CD084D" w:rsidRPr="00344818" w:rsidRDefault="00CD084D" w:rsidP="00CD084D">
      <w:pPr>
        <w:ind w:right="-34"/>
        <w:jc w:val="center"/>
        <w:rPr>
          <w:rFonts w:ascii="Arial" w:hAnsi="Arial" w:cs="Arial"/>
          <w:b/>
          <w:sz w:val="22"/>
          <w:szCs w:val="22"/>
        </w:rPr>
      </w:pPr>
      <w:r>
        <w:rPr>
          <w:rFonts w:ascii="Arial" w:hAnsi="Arial" w:cs="Arial"/>
          <w:b/>
          <w:sz w:val="22"/>
          <w:szCs w:val="22"/>
        </w:rPr>
        <w:t>Proceso Nº 40</w:t>
      </w:r>
      <w:r w:rsidRPr="00344818">
        <w:rPr>
          <w:rFonts w:ascii="Arial" w:hAnsi="Arial" w:cs="Arial"/>
          <w:b/>
          <w:sz w:val="22"/>
          <w:szCs w:val="22"/>
        </w:rPr>
        <w:t>/2022</w:t>
      </w:r>
    </w:p>
    <w:p w14:paraId="3C66048F" w14:textId="77777777" w:rsidR="00CD084D" w:rsidRDefault="00CD084D" w:rsidP="00CD084D">
      <w:pPr>
        <w:spacing w:before="120" w:after="120"/>
        <w:ind w:right="-32"/>
        <w:jc w:val="center"/>
        <w:rPr>
          <w:rFonts w:ascii="Arial" w:hAnsi="Arial" w:cs="Arial"/>
          <w:b/>
          <w:sz w:val="22"/>
          <w:szCs w:val="22"/>
          <w:lang w:val="es-HN"/>
        </w:rPr>
      </w:pPr>
    </w:p>
    <w:p w14:paraId="30C9B319" w14:textId="77777777" w:rsidR="00CD084D" w:rsidRDefault="00CD084D" w:rsidP="00CD084D">
      <w:pPr>
        <w:spacing w:before="120" w:after="120"/>
        <w:ind w:right="-32"/>
        <w:jc w:val="center"/>
        <w:rPr>
          <w:rFonts w:ascii="Arial" w:hAnsi="Arial" w:cs="Arial"/>
          <w:b/>
          <w:sz w:val="22"/>
          <w:szCs w:val="22"/>
          <w:lang w:val="es-HN"/>
        </w:rPr>
      </w:pPr>
    </w:p>
    <w:p w14:paraId="44E8950E" w14:textId="77777777" w:rsidR="00CD084D" w:rsidRDefault="00CD084D" w:rsidP="00CD084D">
      <w:pPr>
        <w:spacing w:before="120" w:after="120"/>
        <w:ind w:right="-32"/>
        <w:jc w:val="center"/>
        <w:rPr>
          <w:rFonts w:ascii="Arial" w:hAnsi="Arial" w:cs="Arial"/>
          <w:b/>
          <w:sz w:val="22"/>
          <w:szCs w:val="22"/>
          <w:lang w:val="es-HN"/>
        </w:rPr>
      </w:pPr>
    </w:p>
    <w:p w14:paraId="29AB2529" w14:textId="77777777" w:rsidR="00CD084D" w:rsidRDefault="00CD084D" w:rsidP="00CD084D">
      <w:pPr>
        <w:spacing w:before="120" w:after="120"/>
        <w:ind w:right="-32"/>
        <w:jc w:val="center"/>
        <w:rPr>
          <w:rFonts w:ascii="Arial" w:hAnsi="Arial" w:cs="Arial"/>
          <w:b/>
          <w:sz w:val="22"/>
          <w:szCs w:val="22"/>
          <w:lang w:val="es-HN"/>
        </w:rPr>
      </w:pPr>
    </w:p>
    <w:p w14:paraId="25BD5F07" w14:textId="77777777" w:rsidR="00CD084D" w:rsidRPr="00344818" w:rsidRDefault="00CD084D" w:rsidP="00CD084D">
      <w:pPr>
        <w:spacing w:before="120" w:after="120"/>
        <w:ind w:right="-32"/>
        <w:jc w:val="center"/>
        <w:rPr>
          <w:rFonts w:ascii="Arial" w:hAnsi="Arial" w:cs="Arial"/>
          <w:b/>
          <w:sz w:val="22"/>
          <w:szCs w:val="22"/>
          <w:lang w:val="es-HN"/>
        </w:rPr>
      </w:pPr>
      <w:r w:rsidRPr="00344818">
        <w:rPr>
          <w:rFonts w:ascii="Arial" w:hAnsi="Arial" w:cs="Arial"/>
          <w:b/>
          <w:sz w:val="22"/>
          <w:szCs w:val="22"/>
          <w:lang w:val="es-HN"/>
        </w:rPr>
        <w:t>Programa de Sostenibilidad del Sector Agua y Saneamiento Rural</w:t>
      </w:r>
    </w:p>
    <w:p w14:paraId="6CF34DCE" w14:textId="77777777" w:rsidR="00CD084D" w:rsidRPr="00344818" w:rsidRDefault="00CD084D" w:rsidP="00CD084D">
      <w:pPr>
        <w:ind w:right="-32"/>
        <w:jc w:val="center"/>
        <w:rPr>
          <w:rFonts w:ascii="Arial" w:hAnsi="Arial" w:cs="Arial"/>
          <w:b/>
          <w:color w:val="FF0000"/>
          <w:sz w:val="22"/>
          <w:szCs w:val="22"/>
          <w:lang w:val="es-HN"/>
        </w:rPr>
      </w:pPr>
      <w:r w:rsidRPr="00344818">
        <w:rPr>
          <w:rFonts w:ascii="Arial" w:hAnsi="Arial" w:cs="Arial"/>
          <w:b/>
          <w:sz w:val="22"/>
          <w:szCs w:val="22"/>
          <w:lang w:val="es-HN"/>
        </w:rPr>
        <w:t>Contrato de Préstamo N°2141</w:t>
      </w:r>
    </w:p>
    <w:p w14:paraId="4CFCD5DD" w14:textId="77777777" w:rsidR="00CD084D" w:rsidRDefault="00CD084D" w:rsidP="005E1AB1">
      <w:pPr>
        <w:spacing w:before="240" w:after="240"/>
        <w:ind w:right="361"/>
        <w:jc w:val="center"/>
        <w:rPr>
          <w:rFonts w:ascii="Arial" w:hAnsi="Arial" w:cs="Arial"/>
          <w:b/>
          <w:sz w:val="32"/>
          <w:szCs w:val="32"/>
        </w:rPr>
      </w:pPr>
    </w:p>
    <w:p w14:paraId="1AA56D35" w14:textId="77777777" w:rsidR="009E54CA" w:rsidRDefault="009E54CA" w:rsidP="00A2797A">
      <w:pPr>
        <w:ind w:left="-540" w:right="361"/>
        <w:rPr>
          <w:rFonts w:ascii="Arial" w:hAnsi="Arial" w:cs="Arial"/>
          <w:b/>
          <w:sz w:val="32"/>
          <w:szCs w:val="32"/>
        </w:rPr>
      </w:pPr>
    </w:p>
    <w:p w14:paraId="575B4FA3" w14:textId="77777777" w:rsidR="00AF6E5A" w:rsidRDefault="00AF6E5A" w:rsidP="00A2797A">
      <w:pPr>
        <w:ind w:left="-540" w:right="361"/>
        <w:rPr>
          <w:rFonts w:asciiTheme="minorHAnsi" w:hAnsiTheme="minorHAnsi"/>
          <w:b/>
          <w:sz w:val="32"/>
        </w:rPr>
      </w:pPr>
    </w:p>
    <w:p w14:paraId="650B01B2" w14:textId="77777777" w:rsidR="00AF6E5A" w:rsidRDefault="00AF6E5A" w:rsidP="00A2797A">
      <w:pPr>
        <w:ind w:left="-540" w:right="361"/>
        <w:rPr>
          <w:rFonts w:asciiTheme="minorHAnsi" w:hAnsiTheme="minorHAnsi"/>
          <w:b/>
          <w:sz w:val="32"/>
        </w:rPr>
      </w:pPr>
    </w:p>
    <w:p w14:paraId="0C8F68B8" w14:textId="206E7D1D" w:rsidR="00B65BDE" w:rsidRPr="002F7C5A" w:rsidRDefault="00670F2E" w:rsidP="00CD084D">
      <w:pPr>
        <w:tabs>
          <w:tab w:val="left" w:pos="2395"/>
          <w:tab w:val="center" w:pos="4680"/>
        </w:tabs>
        <w:jc w:val="center"/>
        <w:rPr>
          <w:rFonts w:asciiTheme="minorHAnsi" w:hAnsiTheme="minorHAnsi"/>
          <w:b/>
        </w:rPr>
        <w:sectPr w:rsidR="00B65BDE" w:rsidRPr="002F7C5A" w:rsidSect="003428F8">
          <w:footerReference w:type="even" r:id="rId13"/>
          <w:footerReference w:type="default" r:id="rId14"/>
          <w:footerReference w:type="first" r:id="rId15"/>
          <w:pgSz w:w="12240" w:h="15840" w:code="1"/>
          <w:pgMar w:top="1152" w:right="1440" w:bottom="1440" w:left="1440" w:header="720" w:footer="813" w:gutter="0"/>
          <w:pgNumType w:start="1"/>
          <w:cols w:space="720"/>
          <w:docGrid w:linePitch="326"/>
        </w:sectPr>
      </w:pPr>
      <w:r>
        <w:rPr>
          <w:rFonts w:asciiTheme="minorHAnsi" w:hAnsiTheme="minorHAnsi"/>
          <w:b/>
          <w:highlight w:val="yellow"/>
        </w:rPr>
        <w:t>mayo</w:t>
      </w:r>
      <w:r w:rsidR="00B65BDE" w:rsidRPr="00CD084D">
        <w:rPr>
          <w:rFonts w:asciiTheme="minorHAnsi" w:hAnsiTheme="minorHAnsi"/>
          <w:b/>
          <w:highlight w:val="yellow"/>
        </w:rPr>
        <w:t>,</w:t>
      </w:r>
      <w:r w:rsidR="00B65BDE" w:rsidRPr="00A33F6B">
        <w:rPr>
          <w:rFonts w:asciiTheme="minorHAnsi" w:hAnsiTheme="minorHAnsi"/>
          <w:b/>
        </w:rPr>
        <w:t xml:space="preserve"> 20</w:t>
      </w:r>
      <w:r w:rsidR="00B65BDE">
        <w:rPr>
          <w:rFonts w:asciiTheme="minorHAnsi" w:hAnsiTheme="minorHAnsi"/>
          <w:b/>
        </w:rPr>
        <w:t>2</w:t>
      </w:r>
      <w:bookmarkEnd w:id="0"/>
      <w:r w:rsidR="00285FB0">
        <w:rPr>
          <w:rFonts w:asciiTheme="minorHAnsi" w:hAnsiTheme="minorHAnsi"/>
          <w:b/>
        </w:rPr>
        <w:t>2</w:t>
      </w:r>
    </w:p>
    <w:p w14:paraId="74B102A1" w14:textId="77777777" w:rsidR="00D93DD8" w:rsidRPr="005F389D" w:rsidRDefault="00D93DD8" w:rsidP="00D93DD8">
      <w:pPr>
        <w:spacing w:before="120" w:after="120"/>
        <w:jc w:val="center"/>
        <w:rPr>
          <w:rFonts w:ascii="Arial" w:hAnsi="Arial" w:cs="Arial"/>
          <w:b/>
          <w:sz w:val="22"/>
          <w:szCs w:val="22"/>
          <w:lang w:val="es-ES"/>
        </w:rPr>
      </w:pPr>
      <w:bookmarkStart w:id="1" w:name="_Toc365893463"/>
      <w:bookmarkStart w:id="2" w:name="_Toc364779448"/>
      <w:r w:rsidRPr="005F389D">
        <w:rPr>
          <w:rFonts w:ascii="Arial" w:hAnsi="Arial" w:cs="Arial"/>
          <w:b/>
          <w:kern w:val="28"/>
          <w:sz w:val="22"/>
          <w:szCs w:val="22"/>
          <w:lang w:val="es-ES"/>
        </w:rPr>
        <w:lastRenderedPageBreak/>
        <w:t>Documento Estándar de Adquisiciones</w:t>
      </w:r>
    </w:p>
    <w:p w14:paraId="45BEC5A3" w14:textId="77777777" w:rsidR="00D93DD8" w:rsidRPr="005F389D" w:rsidRDefault="00D93DD8" w:rsidP="00D93DD8">
      <w:pPr>
        <w:spacing w:before="120" w:after="120"/>
        <w:jc w:val="center"/>
        <w:rPr>
          <w:rFonts w:ascii="Arial" w:hAnsi="Arial" w:cs="Arial"/>
          <w:b/>
          <w:sz w:val="22"/>
          <w:szCs w:val="22"/>
          <w:lang w:val="es-ES"/>
        </w:rPr>
      </w:pPr>
      <w:r w:rsidRPr="005F389D">
        <w:rPr>
          <w:rFonts w:ascii="Arial" w:hAnsi="Arial" w:cs="Arial"/>
          <w:b/>
          <w:sz w:val="22"/>
          <w:szCs w:val="22"/>
          <w:lang w:val="es-ES"/>
        </w:rPr>
        <w:t xml:space="preserve">Resumen </w:t>
      </w:r>
    </w:p>
    <w:p w14:paraId="42B0CE77" w14:textId="77777777" w:rsidR="00D93DD8" w:rsidRPr="005F389D" w:rsidRDefault="00D93DD8" w:rsidP="00D93DD8">
      <w:pPr>
        <w:pStyle w:val="Ttulo"/>
        <w:spacing w:before="120" w:after="120"/>
        <w:jc w:val="left"/>
        <w:rPr>
          <w:rFonts w:cs="Arial"/>
          <w:bCs/>
          <w:sz w:val="22"/>
          <w:szCs w:val="22"/>
          <w:lang w:val="es-ES"/>
        </w:rPr>
      </w:pPr>
      <w:r w:rsidRPr="005F389D">
        <w:rPr>
          <w:rFonts w:cs="Arial"/>
          <w:bCs/>
          <w:sz w:val="22"/>
          <w:szCs w:val="22"/>
          <w:lang w:val="es-ES"/>
        </w:rPr>
        <w:t>Introducción</w:t>
      </w:r>
    </w:p>
    <w:p w14:paraId="13ED7351" w14:textId="77777777" w:rsidR="00D93DD8" w:rsidRPr="005F389D" w:rsidRDefault="00D93DD8" w:rsidP="00D93DD8">
      <w:pPr>
        <w:pStyle w:val="Ttulo"/>
        <w:spacing w:before="120" w:after="120"/>
        <w:ind w:left="1440" w:hanging="1440"/>
        <w:jc w:val="left"/>
        <w:rPr>
          <w:rFonts w:cs="Arial"/>
          <w:bCs/>
          <w:sz w:val="22"/>
          <w:szCs w:val="22"/>
          <w:lang w:val="es-ES"/>
        </w:rPr>
      </w:pPr>
      <w:r w:rsidRPr="005F389D">
        <w:rPr>
          <w:rFonts w:cs="Arial"/>
          <w:bCs/>
          <w:sz w:val="22"/>
          <w:szCs w:val="22"/>
          <w:lang w:val="es-ES"/>
        </w:rPr>
        <w:t xml:space="preserve">Modelo de Aviso de Licitación </w:t>
      </w:r>
    </w:p>
    <w:p w14:paraId="176D93DD" w14:textId="77777777" w:rsidR="00D93DD8" w:rsidRPr="005F389D" w:rsidRDefault="00D93DD8" w:rsidP="00D93DD8">
      <w:pPr>
        <w:pStyle w:val="Ttulo"/>
        <w:spacing w:before="120" w:after="120"/>
        <w:ind w:left="1440"/>
        <w:jc w:val="left"/>
        <w:rPr>
          <w:rFonts w:cs="Arial"/>
          <w:b w:val="0"/>
          <w:kern w:val="0"/>
          <w:sz w:val="22"/>
          <w:szCs w:val="22"/>
          <w:lang w:val="es-ES"/>
        </w:rPr>
      </w:pPr>
      <w:r w:rsidRPr="005F389D">
        <w:rPr>
          <w:rFonts w:cs="Arial"/>
          <w:b w:val="0"/>
          <w:kern w:val="0"/>
          <w:sz w:val="22"/>
          <w:szCs w:val="22"/>
          <w:lang w:val="es-ES"/>
        </w:rPr>
        <w:t>El modelo adjunto corresponde al aviso que debe utilizar el prestatario para el proceso de licitación de una etapa - un sobre.</w:t>
      </w:r>
    </w:p>
    <w:p w14:paraId="61CE49EB" w14:textId="77777777" w:rsidR="00D93DD8" w:rsidRPr="005F389D" w:rsidRDefault="00D93DD8" w:rsidP="00D93DD8">
      <w:pPr>
        <w:spacing w:before="120" w:after="240"/>
        <w:ind w:right="-360"/>
        <w:jc w:val="center"/>
        <w:rPr>
          <w:rFonts w:ascii="Arial" w:hAnsi="Arial" w:cs="Arial"/>
          <w:b/>
          <w:sz w:val="22"/>
          <w:szCs w:val="22"/>
          <w:lang w:val="es-ES"/>
        </w:rPr>
      </w:pPr>
      <w:r w:rsidRPr="005F389D">
        <w:rPr>
          <w:rFonts w:ascii="Arial" w:hAnsi="Arial" w:cs="Arial"/>
          <w:b/>
          <w:sz w:val="22"/>
          <w:szCs w:val="22"/>
          <w:lang w:val="es-ES"/>
        </w:rPr>
        <w:t>Documento de Licitación: Proceso de licitación de un solo sobre</w:t>
      </w:r>
    </w:p>
    <w:p w14:paraId="41F6A4E5" w14:textId="77777777" w:rsidR="00D93DD8" w:rsidRPr="005F389D" w:rsidRDefault="00D93DD8" w:rsidP="00D93DD8">
      <w:pPr>
        <w:spacing w:before="120" w:after="120"/>
        <w:rPr>
          <w:rFonts w:ascii="Arial" w:hAnsi="Arial" w:cs="Arial"/>
          <w:b/>
          <w:sz w:val="22"/>
          <w:szCs w:val="22"/>
          <w:lang w:val="es-ES"/>
        </w:rPr>
      </w:pPr>
      <w:r w:rsidRPr="005F389D">
        <w:rPr>
          <w:rFonts w:ascii="Arial" w:hAnsi="Arial" w:cs="Arial"/>
          <w:b/>
          <w:sz w:val="22"/>
          <w:szCs w:val="22"/>
          <w:lang w:val="es-ES"/>
        </w:rPr>
        <w:t>Sección I.</w:t>
      </w:r>
      <w:r w:rsidRPr="005F389D">
        <w:rPr>
          <w:rFonts w:ascii="Arial" w:hAnsi="Arial" w:cs="Arial"/>
          <w:b/>
          <w:sz w:val="22"/>
          <w:szCs w:val="22"/>
          <w:lang w:val="es-ES"/>
        </w:rPr>
        <w:tab/>
        <w:t>Instrucciones a los Oferentes (IAO)</w:t>
      </w:r>
    </w:p>
    <w:p w14:paraId="2E20CDF1" w14:textId="77777777" w:rsidR="00D93DD8" w:rsidRPr="005F389D" w:rsidRDefault="00D93DD8" w:rsidP="00D93DD8">
      <w:pPr>
        <w:pStyle w:val="Lista"/>
        <w:rPr>
          <w:rFonts w:ascii="Arial" w:hAnsi="Arial" w:cs="Arial"/>
          <w:b/>
          <w:sz w:val="22"/>
          <w:szCs w:val="22"/>
          <w:lang w:val="es-ES"/>
        </w:rPr>
      </w:pPr>
      <w:r w:rsidRPr="005F389D">
        <w:rPr>
          <w:rFonts w:ascii="Arial" w:hAnsi="Arial" w:cs="Arial"/>
          <w:sz w:val="22"/>
          <w:szCs w:val="22"/>
          <w:lang w:val="es-ES"/>
        </w:rPr>
        <w:t xml:space="preserve">Esta sección proporciona información para asistir a los oferentes en la preparación de sus ofertas. Se basa en un proceso de licitación de un solo sobre. También ofrece información sobre la presentación, apertura y evaluación de las ofertas y la adjudicación de los contratos. </w:t>
      </w:r>
      <w:r w:rsidRPr="005F389D">
        <w:rPr>
          <w:rFonts w:ascii="Arial" w:hAnsi="Arial" w:cs="Arial"/>
          <w:b/>
          <w:sz w:val="22"/>
          <w:szCs w:val="22"/>
          <w:lang w:val="es-ES"/>
        </w:rPr>
        <w:t>Las disposiciones de la Sección I deben utilizarse sin ninguna modificación.</w:t>
      </w:r>
    </w:p>
    <w:p w14:paraId="3B896DD8" w14:textId="77777777" w:rsidR="00D93DD8" w:rsidRPr="005F389D" w:rsidRDefault="00D93DD8" w:rsidP="00D93DD8">
      <w:pPr>
        <w:spacing w:before="120" w:after="120"/>
        <w:rPr>
          <w:rFonts w:ascii="Arial" w:hAnsi="Arial" w:cs="Arial"/>
          <w:b/>
          <w:sz w:val="22"/>
          <w:szCs w:val="22"/>
          <w:lang w:val="es-ES"/>
        </w:rPr>
      </w:pPr>
      <w:r w:rsidRPr="005F389D">
        <w:rPr>
          <w:rFonts w:ascii="Arial" w:hAnsi="Arial" w:cs="Arial"/>
          <w:b/>
          <w:sz w:val="22"/>
          <w:szCs w:val="22"/>
          <w:lang w:val="es-ES"/>
        </w:rPr>
        <w:t>Sección II.</w:t>
      </w:r>
      <w:r w:rsidRPr="005F389D">
        <w:rPr>
          <w:rFonts w:ascii="Arial" w:hAnsi="Arial" w:cs="Arial"/>
          <w:b/>
          <w:sz w:val="22"/>
          <w:szCs w:val="22"/>
          <w:lang w:val="es-ES"/>
        </w:rPr>
        <w:tab/>
        <w:t>Datos de la Licitación (DDL)</w:t>
      </w:r>
    </w:p>
    <w:p w14:paraId="2247C266" w14:textId="77777777" w:rsidR="00D93DD8" w:rsidRPr="005F389D" w:rsidRDefault="00D93DD8" w:rsidP="00D93DD8">
      <w:pPr>
        <w:pStyle w:val="Lista"/>
        <w:rPr>
          <w:rFonts w:ascii="Arial" w:hAnsi="Arial" w:cs="Arial"/>
          <w:sz w:val="22"/>
          <w:szCs w:val="22"/>
          <w:lang w:val="es-ES"/>
        </w:rPr>
      </w:pPr>
      <w:r w:rsidRPr="005F389D">
        <w:rPr>
          <w:rFonts w:ascii="Arial" w:hAnsi="Arial" w:cs="Arial"/>
          <w:sz w:val="22"/>
          <w:szCs w:val="22"/>
          <w:lang w:val="es-ES"/>
        </w:rPr>
        <w:t xml:space="preserve">Esta </w:t>
      </w:r>
      <w:r w:rsidR="00AC7CDE" w:rsidRPr="005F389D">
        <w:rPr>
          <w:rFonts w:ascii="Arial" w:hAnsi="Arial" w:cs="Arial"/>
          <w:sz w:val="22"/>
          <w:szCs w:val="22"/>
          <w:lang w:val="es-ES"/>
        </w:rPr>
        <w:t>s</w:t>
      </w:r>
      <w:r w:rsidRPr="005F389D">
        <w:rPr>
          <w:rFonts w:ascii="Arial" w:hAnsi="Arial" w:cs="Arial"/>
          <w:sz w:val="22"/>
          <w:szCs w:val="22"/>
          <w:lang w:val="es-ES"/>
        </w:rPr>
        <w:t xml:space="preserve">ección contiene disposiciones que son específicas para cada adquisición y complementan la Sección I, Instrucciones a los Oferentes. </w:t>
      </w:r>
    </w:p>
    <w:p w14:paraId="35F98F1C" w14:textId="77777777" w:rsidR="00D93DD8" w:rsidRPr="005F389D" w:rsidRDefault="00D93DD8" w:rsidP="00D93DD8">
      <w:pPr>
        <w:spacing w:before="120" w:after="120"/>
        <w:rPr>
          <w:rFonts w:ascii="Arial" w:hAnsi="Arial" w:cs="Arial"/>
          <w:b/>
          <w:sz w:val="22"/>
          <w:szCs w:val="22"/>
          <w:lang w:val="es-ES"/>
        </w:rPr>
      </w:pPr>
      <w:r w:rsidRPr="005F389D">
        <w:rPr>
          <w:rFonts w:ascii="Arial" w:hAnsi="Arial" w:cs="Arial"/>
          <w:b/>
          <w:sz w:val="22"/>
          <w:szCs w:val="22"/>
          <w:lang w:val="es-ES"/>
        </w:rPr>
        <w:t>Sección III.</w:t>
      </w:r>
      <w:r w:rsidRPr="005F389D">
        <w:rPr>
          <w:rFonts w:ascii="Arial" w:hAnsi="Arial" w:cs="Arial"/>
          <w:b/>
          <w:sz w:val="22"/>
          <w:szCs w:val="22"/>
          <w:lang w:val="es-ES"/>
        </w:rPr>
        <w:tab/>
        <w:t xml:space="preserve">Criterios de Evaluación </w:t>
      </w:r>
    </w:p>
    <w:p w14:paraId="41F3E6A9" w14:textId="77777777" w:rsidR="00D93DD8" w:rsidRPr="005F389D" w:rsidRDefault="00D93DD8" w:rsidP="00D93DD8">
      <w:pPr>
        <w:pStyle w:val="Sub-ClauseText"/>
        <w:tabs>
          <w:tab w:val="left" w:pos="1440"/>
        </w:tabs>
        <w:ind w:left="1440"/>
        <w:rPr>
          <w:rFonts w:ascii="Arial" w:hAnsi="Arial" w:cs="Arial"/>
          <w:strike/>
          <w:sz w:val="22"/>
          <w:szCs w:val="22"/>
          <w:lang w:val="es-ES"/>
        </w:rPr>
      </w:pPr>
      <w:r w:rsidRPr="005F389D">
        <w:rPr>
          <w:rFonts w:ascii="Arial" w:hAnsi="Arial" w:cs="Arial"/>
          <w:sz w:val="22"/>
          <w:szCs w:val="22"/>
          <w:lang w:val="es-ES"/>
        </w:rPr>
        <w:t>En esta sección se detallan los criterios que se emplean para determinar cuál es la oferta más conveniente.</w:t>
      </w:r>
    </w:p>
    <w:p w14:paraId="44E4B1CB" w14:textId="77777777" w:rsidR="00D93DD8" w:rsidRPr="005F389D" w:rsidRDefault="00D93DD8" w:rsidP="00D93DD8">
      <w:pPr>
        <w:spacing w:before="120" w:after="120"/>
        <w:rPr>
          <w:rFonts w:ascii="Arial" w:hAnsi="Arial" w:cs="Arial"/>
          <w:b/>
          <w:sz w:val="22"/>
          <w:szCs w:val="22"/>
          <w:lang w:val="es-ES"/>
        </w:rPr>
      </w:pPr>
      <w:r w:rsidRPr="005F389D">
        <w:rPr>
          <w:rFonts w:ascii="Arial" w:hAnsi="Arial" w:cs="Arial"/>
          <w:b/>
          <w:sz w:val="22"/>
          <w:szCs w:val="22"/>
          <w:lang w:val="es-ES"/>
        </w:rPr>
        <w:t>Sección IV.</w:t>
      </w:r>
      <w:r w:rsidRPr="005F389D">
        <w:rPr>
          <w:rFonts w:ascii="Arial" w:hAnsi="Arial" w:cs="Arial"/>
          <w:b/>
          <w:sz w:val="22"/>
          <w:szCs w:val="22"/>
          <w:lang w:val="es-ES"/>
        </w:rPr>
        <w:tab/>
        <w:t>Formularios de Licitación</w:t>
      </w:r>
    </w:p>
    <w:p w14:paraId="14858EC4" w14:textId="77777777" w:rsidR="00D93DD8" w:rsidRPr="005F389D" w:rsidRDefault="00D93DD8" w:rsidP="00D93DD8">
      <w:pPr>
        <w:pStyle w:val="Lista"/>
        <w:rPr>
          <w:rFonts w:ascii="Arial" w:hAnsi="Arial" w:cs="Arial"/>
          <w:sz w:val="22"/>
          <w:szCs w:val="22"/>
          <w:lang w:val="es-ES"/>
        </w:rPr>
      </w:pPr>
      <w:r w:rsidRPr="005F389D">
        <w:rPr>
          <w:rFonts w:ascii="Arial" w:hAnsi="Arial" w:cs="Arial"/>
          <w:sz w:val="22"/>
          <w:szCs w:val="22"/>
          <w:lang w:val="es-ES"/>
        </w:rPr>
        <w:t>Esta sección contiene los formularios necesarios para la presentación de la oferta, la Lista de Cantidades o el Calendario de Actividades que el oferente debe completar y presentar como parte de su oferta.</w:t>
      </w:r>
    </w:p>
    <w:p w14:paraId="62C2BCC2" w14:textId="77777777" w:rsidR="00D93DD8" w:rsidRPr="005F389D" w:rsidRDefault="00D93DD8" w:rsidP="00D93DD8">
      <w:pPr>
        <w:spacing w:before="120" w:after="120"/>
        <w:rPr>
          <w:rFonts w:ascii="Arial" w:hAnsi="Arial" w:cs="Arial"/>
          <w:b/>
          <w:sz w:val="22"/>
          <w:szCs w:val="22"/>
          <w:lang w:val="es-ES"/>
        </w:rPr>
      </w:pPr>
      <w:r w:rsidRPr="005F389D">
        <w:rPr>
          <w:rFonts w:ascii="Arial" w:hAnsi="Arial" w:cs="Arial"/>
          <w:b/>
          <w:sz w:val="22"/>
          <w:szCs w:val="22"/>
          <w:lang w:val="es-ES"/>
        </w:rPr>
        <w:t>Sección V.</w:t>
      </w:r>
      <w:r w:rsidRPr="005F389D">
        <w:rPr>
          <w:rFonts w:ascii="Arial" w:hAnsi="Arial" w:cs="Arial"/>
          <w:b/>
          <w:sz w:val="22"/>
          <w:szCs w:val="22"/>
          <w:lang w:val="es-ES"/>
        </w:rPr>
        <w:tab/>
        <w:t>Especificaciones Técnicas</w:t>
      </w:r>
    </w:p>
    <w:p w14:paraId="63D04A39" w14:textId="77777777" w:rsidR="00D93DD8" w:rsidRPr="005F389D" w:rsidRDefault="00D93DD8" w:rsidP="00D93DD8">
      <w:pPr>
        <w:spacing w:before="120" w:after="120"/>
        <w:ind w:left="1440"/>
        <w:rPr>
          <w:rFonts w:ascii="Arial" w:hAnsi="Arial" w:cs="Arial"/>
          <w:sz w:val="22"/>
          <w:szCs w:val="22"/>
          <w:lang w:val="es-ES"/>
        </w:rPr>
      </w:pPr>
      <w:r w:rsidRPr="005F389D">
        <w:rPr>
          <w:rFonts w:ascii="Arial" w:hAnsi="Arial" w:cs="Arial"/>
          <w:sz w:val="22"/>
          <w:szCs w:val="22"/>
          <w:lang w:val="es-ES"/>
        </w:rPr>
        <w:t xml:space="preserve">Esta Sección contiene especificaciones claras y precisas a fin de que los </w:t>
      </w:r>
      <w:r w:rsidR="00FB78CE" w:rsidRPr="005F389D">
        <w:rPr>
          <w:rFonts w:ascii="Arial" w:hAnsi="Arial" w:cs="Arial"/>
          <w:sz w:val="22"/>
          <w:szCs w:val="22"/>
          <w:lang w:val="es-ES"/>
        </w:rPr>
        <w:t>oferentes</w:t>
      </w:r>
      <w:r w:rsidRPr="005F389D">
        <w:rPr>
          <w:rFonts w:ascii="Arial" w:hAnsi="Arial" w:cs="Arial"/>
          <w:sz w:val="22"/>
          <w:szCs w:val="22"/>
          <w:lang w:val="es-ES"/>
        </w:rPr>
        <w:t xml:space="preserve"> puedan cumplir de manera realista y competitiva las condiciones establecidas por el Contratante sin tener que incluir en sus ofertas objeciones ni condicionantes.</w:t>
      </w:r>
    </w:p>
    <w:p w14:paraId="48BC4E30" w14:textId="77777777" w:rsidR="00D93DD8" w:rsidRPr="005F389D" w:rsidRDefault="00D93DD8" w:rsidP="003C5A36">
      <w:pPr>
        <w:spacing w:before="120" w:after="120"/>
        <w:ind w:left="1440" w:hanging="1440"/>
        <w:rPr>
          <w:rFonts w:ascii="Arial" w:hAnsi="Arial" w:cs="Arial"/>
          <w:b/>
          <w:sz w:val="22"/>
          <w:szCs w:val="22"/>
          <w:lang w:val="es-ES"/>
        </w:rPr>
      </w:pPr>
      <w:r w:rsidRPr="005F389D">
        <w:rPr>
          <w:rFonts w:ascii="Arial" w:hAnsi="Arial" w:cs="Arial"/>
          <w:b/>
          <w:sz w:val="22"/>
          <w:szCs w:val="22"/>
          <w:lang w:val="es-ES"/>
        </w:rPr>
        <w:t>Sección VI.</w:t>
      </w:r>
      <w:r w:rsidRPr="005F389D">
        <w:rPr>
          <w:rFonts w:ascii="Arial" w:hAnsi="Arial" w:cs="Arial"/>
          <w:b/>
          <w:sz w:val="22"/>
          <w:szCs w:val="22"/>
          <w:lang w:val="es-ES"/>
        </w:rPr>
        <w:tab/>
        <w:t>Condiciones Generales (CGC), Condiciones Particulares (CPC) y formularios del contrato</w:t>
      </w:r>
    </w:p>
    <w:p w14:paraId="7B106D56" w14:textId="77777777" w:rsidR="00D93DD8" w:rsidRPr="005F389D" w:rsidRDefault="00D93DD8" w:rsidP="00D93DD8">
      <w:pPr>
        <w:spacing w:before="120" w:after="120"/>
        <w:ind w:left="1440"/>
        <w:rPr>
          <w:rFonts w:ascii="Arial" w:hAnsi="Arial" w:cs="Arial"/>
          <w:sz w:val="22"/>
          <w:szCs w:val="22"/>
          <w:lang w:val="es-ES"/>
        </w:rPr>
      </w:pPr>
      <w:r w:rsidRPr="005F389D">
        <w:rPr>
          <w:rFonts w:ascii="Arial" w:hAnsi="Arial" w:cs="Arial"/>
          <w:b/>
          <w:sz w:val="22"/>
          <w:szCs w:val="22"/>
          <w:lang w:val="es-ES"/>
        </w:rPr>
        <w:t>Las Condiciones Generales del Contrato (CGC)</w:t>
      </w:r>
      <w:r w:rsidR="006B4079" w:rsidRPr="005F389D">
        <w:rPr>
          <w:rFonts w:ascii="Arial" w:hAnsi="Arial" w:cs="Arial"/>
          <w:b/>
          <w:sz w:val="22"/>
          <w:szCs w:val="22"/>
          <w:lang w:val="es-ES"/>
        </w:rPr>
        <w:t>,</w:t>
      </w:r>
      <w:r w:rsidRPr="005F389D">
        <w:rPr>
          <w:rFonts w:ascii="Arial" w:hAnsi="Arial" w:cs="Arial"/>
          <w:sz w:val="22"/>
          <w:szCs w:val="22"/>
          <w:lang w:val="es-ES"/>
        </w:rPr>
        <w:t xml:space="preserve"> contienen las cláusulas generales que han de aplicarse en todos los contratos. </w:t>
      </w:r>
      <w:r w:rsidRPr="005F389D">
        <w:rPr>
          <w:rFonts w:ascii="Arial" w:hAnsi="Arial" w:cs="Arial"/>
          <w:b/>
          <w:sz w:val="22"/>
          <w:szCs w:val="22"/>
          <w:lang w:val="es-ES"/>
        </w:rPr>
        <w:t>El texto de las cláusulas de esta Sección no podrá modificarse.</w:t>
      </w:r>
    </w:p>
    <w:p w14:paraId="403F7DA5" w14:textId="77777777" w:rsidR="00D93DD8" w:rsidRPr="005F389D" w:rsidRDefault="00D93DD8" w:rsidP="00D93DD8">
      <w:pPr>
        <w:spacing w:before="120" w:after="120"/>
        <w:ind w:left="1440"/>
        <w:rPr>
          <w:rFonts w:ascii="Arial" w:hAnsi="Arial" w:cs="Arial"/>
          <w:sz w:val="22"/>
          <w:szCs w:val="22"/>
          <w:lang w:val="es-ES"/>
        </w:rPr>
      </w:pPr>
      <w:r w:rsidRPr="005F389D">
        <w:rPr>
          <w:rFonts w:ascii="Arial" w:hAnsi="Arial" w:cs="Arial"/>
          <w:b/>
          <w:sz w:val="22"/>
          <w:szCs w:val="22"/>
          <w:lang w:val="es-ES"/>
        </w:rPr>
        <w:t xml:space="preserve">Condiciones Particulares del Contrato (CPC), </w:t>
      </w:r>
      <w:r w:rsidRPr="005F389D">
        <w:rPr>
          <w:rFonts w:ascii="Arial" w:hAnsi="Arial" w:cs="Arial"/>
          <w:sz w:val="22"/>
          <w:szCs w:val="22"/>
          <w:lang w:val="es-ES"/>
        </w:rPr>
        <w:t>contienen disposiciones propias para el contrato. El contenido de esta Sección modifica o complementa las Condiciones Generales y deberá ser preparado por el Contratante.</w:t>
      </w:r>
    </w:p>
    <w:p w14:paraId="5EC3F117" w14:textId="77777777" w:rsidR="00324660" w:rsidRPr="005F389D" w:rsidRDefault="00D93DD8" w:rsidP="00D93DD8">
      <w:pPr>
        <w:spacing w:before="120" w:after="120"/>
        <w:ind w:left="1440"/>
        <w:rPr>
          <w:rFonts w:ascii="Arial" w:hAnsi="Arial" w:cs="Arial"/>
          <w:sz w:val="22"/>
          <w:szCs w:val="22"/>
          <w:lang w:val="es-ES"/>
        </w:rPr>
      </w:pPr>
      <w:r w:rsidRPr="005F389D">
        <w:rPr>
          <w:rFonts w:ascii="Arial" w:hAnsi="Arial" w:cs="Arial"/>
          <w:b/>
          <w:sz w:val="22"/>
          <w:szCs w:val="22"/>
          <w:lang w:val="es-ES"/>
        </w:rPr>
        <w:t xml:space="preserve">Formularios de Contrato, </w:t>
      </w:r>
      <w:r w:rsidRPr="005F389D">
        <w:rPr>
          <w:rFonts w:ascii="Arial" w:hAnsi="Arial" w:cs="Arial"/>
          <w:sz w:val="22"/>
          <w:szCs w:val="22"/>
          <w:lang w:val="es-ES"/>
        </w:rPr>
        <w:t>contiene la Carta de Aceptación y otros formularios pertinentes</w:t>
      </w:r>
      <w:r w:rsidR="00324660" w:rsidRPr="005F389D">
        <w:rPr>
          <w:rFonts w:ascii="Arial" w:hAnsi="Arial" w:cs="Arial"/>
          <w:sz w:val="22"/>
          <w:szCs w:val="22"/>
          <w:lang w:val="es-ES"/>
        </w:rPr>
        <w:t>.</w:t>
      </w:r>
    </w:p>
    <w:p w14:paraId="1E04EA81" w14:textId="77777777" w:rsidR="00864E67" w:rsidRDefault="00864E67">
      <w:pPr>
        <w:jc w:val="left"/>
        <w:rPr>
          <w:rFonts w:asciiTheme="minorHAnsi" w:hAnsiTheme="minorHAnsi"/>
          <w:b/>
          <w:szCs w:val="24"/>
        </w:rPr>
      </w:pPr>
      <w:bookmarkStart w:id="3" w:name="_Toc53584193"/>
      <w:bookmarkStart w:id="4" w:name="_Toc54366276"/>
      <w:bookmarkStart w:id="5" w:name="_Toc54366864"/>
      <w:r>
        <w:rPr>
          <w:rFonts w:asciiTheme="minorHAnsi" w:hAnsiTheme="minorHAnsi"/>
          <w:b/>
          <w:szCs w:val="24"/>
        </w:rPr>
        <w:br w:type="page"/>
      </w:r>
    </w:p>
    <w:p w14:paraId="3DA526F6" w14:textId="77777777" w:rsidR="00B65BDE" w:rsidRPr="004B5395" w:rsidRDefault="00B65BDE" w:rsidP="004214E6">
      <w:pPr>
        <w:pStyle w:val="i"/>
        <w:spacing w:before="100" w:beforeAutospacing="1" w:after="100" w:afterAutospacing="1"/>
        <w:jc w:val="center"/>
        <w:rPr>
          <w:rFonts w:ascii="Arial" w:hAnsi="Arial" w:cs="Arial"/>
          <w:b/>
          <w:sz w:val="22"/>
          <w:szCs w:val="22"/>
        </w:rPr>
      </w:pPr>
      <w:r w:rsidRPr="004B5395">
        <w:rPr>
          <w:rFonts w:ascii="Arial" w:hAnsi="Arial" w:cs="Arial"/>
          <w:b/>
          <w:sz w:val="22"/>
          <w:szCs w:val="22"/>
        </w:rPr>
        <w:lastRenderedPageBreak/>
        <w:t>Introducción</w:t>
      </w:r>
      <w:bookmarkEnd w:id="3"/>
      <w:bookmarkEnd w:id="4"/>
      <w:bookmarkEnd w:id="5"/>
      <w:r w:rsidRPr="004B5395">
        <w:rPr>
          <w:rFonts w:ascii="Arial" w:hAnsi="Arial" w:cs="Arial"/>
          <w:b/>
          <w:sz w:val="22"/>
          <w:szCs w:val="22"/>
        </w:rPr>
        <w:t xml:space="preserve"> </w:t>
      </w:r>
      <w:bookmarkEnd w:id="1"/>
      <w:bookmarkEnd w:id="2"/>
    </w:p>
    <w:p w14:paraId="03D48BE1" w14:textId="77777777" w:rsidR="00B65BDE" w:rsidRPr="004B5395" w:rsidRDefault="00621F8D" w:rsidP="00AF6E5A">
      <w:pPr>
        <w:pStyle w:val="Textoindependiente2"/>
        <w:tabs>
          <w:tab w:val="num" w:pos="648"/>
        </w:tabs>
        <w:spacing w:before="120" w:after="240"/>
        <w:ind w:right="74"/>
        <w:jc w:val="center"/>
        <w:rPr>
          <w:rFonts w:ascii="Arial" w:hAnsi="Arial" w:cs="Arial"/>
          <w:b/>
          <w:i w:val="0"/>
          <w:sz w:val="22"/>
          <w:szCs w:val="22"/>
          <w:lang w:val="es-ES"/>
        </w:rPr>
      </w:pPr>
      <w:r w:rsidRPr="004B5395">
        <w:rPr>
          <w:rFonts w:ascii="Arial" w:hAnsi="Arial" w:cs="Arial"/>
          <w:b/>
          <w:i w:val="0"/>
          <w:sz w:val="22"/>
          <w:szCs w:val="22"/>
          <w:lang w:val="es-ES"/>
        </w:rPr>
        <w:t>Aviso de Licitación</w:t>
      </w:r>
    </w:p>
    <w:p w14:paraId="0C06E86B" w14:textId="77777777" w:rsidR="00F94E07" w:rsidRPr="00344818" w:rsidRDefault="00F94E07" w:rsidP="00F94E07">
      <w:pPr>
        <w:ind w:right="-32"/>
        <w:jc w:val="center"/>
        <w:rPr>
          <w:rFonts w:ascii="Arial" w:hAnsi="Arial" w:cs="Arial"/>
          <w:b/>
          <w:i/>
          <w:sz w:val="22"/>
          <w:szCs w:val="22"/>
        </w:rPr>
      </w:pPr>
      <w:r w:rsidRPr="00344818">
        <w:rPr>
          <w:rFonts w:ascii="Arial" w:hAnsi="Arial" w:cs="Arial"/>
          <w:b/>
          <w:i/>
          <w:sz w:val="22"/>
          <w:szCs w:val="22"/>
        </w:rPr>
        <w:t>Construcción de Sistemas de Ag</w:t>
      </w:r>
      <w:r>
        <w:rPr>
          <w:rFonts w:ascii="Arial" w:hAnsi="Arial" w:cs="Arial"/>
          <w:b/>
          <w:i/>
          <w:sz w:val="22"/>
          <w:szCs w:val="22"/>
        </w:rPr>
        <w:t>ua y Saneamiento en la Región I</w:t>
      </w:r>
      <w:r w:rsidRPr="00344818">
        <w:rPr>
          <w:rFonts w:ascii="Arial" w:hAnsi="Arial" w:cs="Arial"/>
          <w:b/>
          <w:i/>
          <w:sz w:val="22"/>
          <w:szCs w:val="22"/>
        </w:rPr>
        <w:t>-Grupo B</w:t>
      </w:r>
    </w:p>
    <w:p w14:paraId="000F14C3" w14:textId="77777777" w:rsidR="00F94E07" w:rsidRPr="00344818" w:rsidRDefault="009C283B" w:rsidP="00F94E07">
      <w:pPr>
        <w:pStyle w:val="i"/>
        <w:jc w:val="center"/>
        <w:rPr>
          <w:rFonts w:ascii="Arial" w:hAnsi="Arial" w:cs="Arial"/>
          <w:b/>
          <w:i/>
          <w:sz w:val="22"/>
          <w:szCs w:val="22"/>
        </w:rPr>
      </w:pPr>
      <w:r>
        <w:rPr>
          <w:rFonts w:ascii="Arial" w:hAnsi="Arial" w:cs="Arial"/>
          <w:b/>
          <w:i/>
          <w:sz w:val="22"/>
          <w:szCs w:val="22"/>
        </w:rPr>
        <w:t xml:space="preserve">LPI </w:t>
      </w:r>
      <w:r w:rsidR="00F94E07" w:rsidRPr="00344818">
        <w:rPr>
          <w:rFonts w:ascii="Arial" w:hAnsi="Arial" w:cs="Arial"/>
          <w:b/>
          <w:i/>
          <w:sz w:val="22"/>
          <w:szCs w:val="22"/>
        </w:rPr>
        <w:t xml:space="preserve">Nº </w:t>
      </w:r>
      <w:r w:rsidR="00F94E07">
        <w:rPr>
          <w:rFonts w:ascii="Arial" w:hAnsi="Arial" w:cs="Arial"/>
          <w:b/>
          <w:i/>
          <w:sz w:val="22"/>
          <w:szCs w:val="22"/>
        </w:rPr>
        <w:t>40</w:t>
      </w:r>
      <w:r w:rsidR="00F94E07" w:rsidRPr="00344818">
        <w:rPr>
          <w:rFonts w:ascii="Arial" w:hAnsi="Arial" w:cs="Arial"/>
          <w:b/>
          <w:i/>
          <w:sz w:val="22"/>
          <w:szCs w:val="22"/>
        </w:rPr>
        <w:t>-2022</w:t>
      </w:r>
    </w:p>
    <w:p w14:paraId="5D9C1FAE" w14:textId="77777777" w:rsidR="00B65BDE" w:rsidRPr="004B5395" w:rsidRDefault="00B65BDE" w:rsidP="00B65BDE">
      <w:pPr>
        <w:ind w:right="-32"/>
        <w:jc w:val="center"/>
        <w:rPr>
          <w:rFonts w:ascii="Arial" w:hAnsi="Arial" w:cs="Arial"/>
          <w:b/>
          <w:sz w:val="22"/>
          <w:szCs w:val="22"/>
        </w:rPr>
      </w:pPr>
      <w:r w:rsidRPr="004B5395">
        <w:rPr>
          <w:rFonts w:ascii="Arial" w:hAnsi="Arial" w:cs="Arial"/>
          <w:b/>
          <w:sz w:val="22"/>
          <w:szCs w:val="22"/>
        </w:rPr>
        <w:t>Una Etapa – Un Sobre</w:t>
      </w:r>
    </w:p>
    <w:p w14:paraId="497841CF" w14:textId="2D755C97" w:rsidR="00B65BDE" w:rsidRPr="00285FB0" w:rsidRDefault="00B65BDE" w:rsidP="00B65BDE">
      <w:pPr>
        <w:spacing w:before="240" w:after="240"/>
        <w:ind w:right="-34"/>
        <w:rPr>
          <w:rFonts w:ascii="Arial" w:hAnsi="Arial" w:cs="Arial"/>
          <w:b/>
          <w:i/>
          <w:sz w:val="22"/>
          <w:szCs w:val="22"/>
        </w:rPr>
      </w:pPr>
      <w:r w:rsidRPr="00285FB0">
        <w:rPr>
          <w:rFonts w:ascii="Arial" w:hAnsi="Arial" w:cs="Arial"/>
          <w:b/>
          <w:i/>
          <w:sz w:val="22"/>
          <w:szCs w:val="22"/>
        </w:rPr>
        <w:t xml:space="preserve">Fecha: </w:t>
      </w:r>
      <w:r w:rsidR="00AA5116">
        <w:rPr>
          <w:rFonts w:ascii="Arial" w:hAnsi="Arial" w:cs="Arial"/>
          <w:b/>
          <w:i/>
          <w:sz w:val="22"/>
          <w:szCs w:val="22"/>
          <w:highlight w:val="yellow"/>
        </w:rPr>
        <w:t>27</w:t>
      </w:r>
      <w:r w:rsidR="00F67432" w:rsidRPr="00705F64">
        <w:rPr>
          <w:rFonts w:ascii="Arial" w:hAnsi="Arial" w:cs="Arial"/>
          <w:b/>
          <w:i/>
          <w:sz w:val="22"/>
          <w:szCs w:val="22"/>
          <w:highlight w:val="yellow"/>
        </w:rPr>
        <w:t xml:space="preserve"> de </w:t>
      </w:r>
      <w:r w:rsidR="00705F64" w:rsidRPr="00705F64">
        <w:rPr>
          <w:rFonts w:ascii="Arial" w:hAnsi="Arial" w:cs="Arial"/>
          <w:b/>
          <w:i/>
          <w:sz w:val="22"/>
          <w:szCs w:val="22"/>
          <w:highlight w:val="yellow"/>
        </w:rPr>
        <w:t>mayo</w:t>
      </w:r>
      <w:r w:rsidR="00F67432" w:rsidRPr="00285FB0">
        <w:rPr>
          <w:rFonts w:ascii="Arial" w:hAnsi="Arial" w:cs="Arial"/>
          <w:b/>
          <w:i/>
          <w:sz w:val="22"/>
          <w:szCs w:val="22"/>
        </w:rPr>
        <w:t xml:space="preserve"> de 2022</w:t>
      </w:r>
    </w:p>
    <w:p w14:paraId="25818362" w14:textId="77777777" w:rsidR="00B65BDE" w:rsidRPr="004B5395" w:rsidRDefault="00B65BDE" w:rsidP="00B65BDE">
      <w:pPr>
        <w:pStyle w:val="i"/>
        <w:numPr>
          <w:ilvl w:val="0"/>
          <w:numId w:val="4"/>
        </w:numPr>
        <w:spacing w:before="360" w:after="120"/>
        <w:ind w:left="357" w:hanging="357"/>
        <w:rPr>
          <w:rFonts w:ascii="Arial" w:hAnsi="Arial" w:cs="Arial"/>
          <w:b/>
          <w:sz w:val="22"/>
          <w:szCs w:val="22"/>
          <w:lang w:val="es-MX"/>
        </w:rPr>
      </w:pPr>
      <w:r w:rsidRPr="004B5395">
        <w:rPr>
          <w:rFonts w:ascii="Arial" w:hAnsi="Arial" w:cs="Arial"/>
          <w:b/>
          <w:sz w:val="22"/>
          <w:szCs w:val="22"/>
          <w:lang w:val="es-MX"/>
        </w:rPr>
        <w:t>FUENTE DE RECURSOS</w:t>
      </w:r>
    </w:p>
    <w:p w14:paraId="749A10A1" w14:textId="77777777" w:rsidR="00B65BDE" w:rsidRPr="004B5395" w:rsidRDefault="00B65BDE" w:rsidP="00B65BDE">
      <w:pPr>
        <w:ind w:right="-32"/>
        <w:rPr>
          <w:rFonts w:ascii="Arial" w:hAnsi="Arial" w:cs="Arial"/>
          <w:i/>
          <w:sz w:val="22"/>
          <w:szCs w:val="22"/>
        </w:rPr>
      </w:pPr>
      <w:r w:rsidRPr="004B5395">
        <w:rPr>
          <w:rFonts w:ascii="Arial" w:hAnsi="Arial" w:cs="Arial"/>
          <w:sz w:val="22"/>
          <w:szCs w:val="22"/>
        </w:rPr>
        <w:t xml:space="preserve">El Banco Centroamericano de Integración Económica (BCIE), como parte de los servicios que brinda a sus países socios beneficiarios, está otorgando el financiamiento </w:t>
      </w:r>
      <w:r w:rsidR="00F94E07" w:rsidRPr="00F94E07">
        <w:rPr>
          <w:rFonts w:ascii="Arial" w:hAnsi="Arial" w:cs="Arial"/>
          <w:sz w:val="22"/>
          <w:szCs w:val="22"/>
        </w:rPr>
        <w:t>parcial</w:t>
      </w:r>
      <w:r w:rsidRPr="004B5395">
        <w:rPr>
          <w:rFonts w:ascii="Arial" w:hAnsi="Arial" w:cs="Arial"/>
          <w:sz w:val="22"/>
          <w:szCs w:val="22"/>
        </w:rPr>
        <w:t xml:space="preserve"> para la </w:t>
      </w:r>
      <w:r w:rsidR="00F94E07">
        <w:rPr>
          <w:rFonts w:ascii="Arial" w:hAnsi="Arial" w:cs="Arial"/>
          <w:sz w:val="22"/>
          <w:szCs w:val="22"/>
        </w:rPr>
        <w:t>adquisición de</w:t>
      </w:r>
      <w:r w:rsidRPr="004B5395">
        <w:rPr>
          <w:rFonts w:ascii="Arial" w:hAnsi="Arial" w:cs="Arial"/>
          <w:sz w:val="22"/>
          <w:szCs w:val="22"/>
        </w:rPr>
        <w:t xml:space="preserve"> </w:t>
      </w:r>
      <w:r w:rsidR="00F94E07" w:rsidRPr="00344818">
        <w:rPr>
          <w:rFonts w:ascii="Arial" w:hAnsi="Arial" w:cs="Arial"/>
          <w:b/>
          <w:sz w:val="22"/>
          <w:szCs w:val="22"/>
        </w:rPr>
        <w:t>Construcción de Sistemas de Ag</w:t>
      </w:r>
      <w:r w:rsidR="00F94E07">
        <w:rPr>
          <w:rFonts w:ascii="Arial" w:hAnsi="Arial" w:cs="Arial"/>
          <w:b/>
          <w:sz w:val="22"/>
          <w:szCs w:val="22"/>
        </w:rPr>
        <w:t>ua y Saneamiento en la Región I</w:t>
      </w:r>
      <w:r w:rsidR="00F94E07" w:rsidRPr="00344818">
        <w:rPr>
          <w:rFonts w:ascii="Arial" w:hAnsi="Arial" w:cs="Arial"/>
          <w:b/>
          <w:sz w:val="22"/>
          <w:szCs w:val="22"/>
        </w:rPr>
        <w:t xml:space="preserve"> – Grupo B</w:t>
      </w:r>
      <w:r w:rsidR="00F94E07" w:rsidRPr="00344818">
        <w:rPr>
          <w:rFonts w:ascii="Arial" w:hAnsi="Arial" w:cs="Arial"/>
          <w:sz w:val="22"/>
          <w:szCs w:val="22"/>
        </w:rPr>
        <w:t>,</w:t>
      </w:r>
      <w:r w:rsidR="00F94E07">
        <w:rPr>
          <w:rFonts w:ascii="Arial" w:hAnsi="Arial" w:cs="Arial"/>
          <w:sz w:val="22"/>
          <w:szCs w:val="22"/>
        </w:rPr>
        <w:t xml:space="preserve"> </w:t>
      </w:r>
      <w:r w:rsidRPr="004B5395">
        <w:rPr>
          <w:rFonts w:ascii="Arial" w:hAnsi="Arial" w:cs="Arial"/>
          <w:sz w:val="22"/>
          <w:szCs w:val="22"/>
        </w:rPr>
        <w:t>en el marco del</w:t>
      </w:r>
      <w:r w:rsidRPr="004B5395">
        <w:rPr>
          <w:rFonts w:ascii="Arial" w:hAnsi="Arial" w:cs="Arial"/>
          <w:i/>
          <w:color w:val="FF0000"/>
          <w:sz w:val="22"/>
          <w:szCs w:val="22"/>
        </w:rPr>
        <w:t xml:space="preserve"> </w:t>
      </w:r>
      <w:r w:rsidR="00F94E07" w:rsidRPr="00344818">
        <w:rPr>
          <w:rFonts w:ascii="Arial" w:hAnsi="Arial" w:cs="Arial"/>
          <w:b/>
          <w:sz w:val="22"/>
          <w:szCs w:val="22"/>
          <w:lang w:val="es-MX"/>
        </w:rPr>
        <w:t>Programa de Sostenibilidad del Sector Agua y Saneamiento Rural, Contrato de Préstamo N°2141</w:t>
      </w:r>
      <w:r w:rsidR="00F94E07" w:rsidRPr="00344818">
        <w:rPr>
          <w:rFonts w:ascii="Arial" w:hAnsi="Arial" w:cs="Arial"/>
          <w:sz w:val="22"/>
          <w:szCs w:val="22"/>
        </w:rPr>
        <w:t>.</w:t>
      </w:r>
    </w:p>
    <w:p w14:paraId="557CDC02" w14:textId="77777777" w:rsidR="00B65BDE" w:rsidRPr="004B5395" w:rsidRDefault="00B65BDE" w:rsidP="0088210B">
      <w:pPr>
        <w:pStyle w:val="i"/>
        <w:numPr>
          <w:ilvl w:val="0"/>
          <w:numId w:val="4"/>
        </w:numPr>
        <w:spacing w:before="360" w:after="120"/>
        <w:rPr>
          <w:rFonts w:ascii="Arial" w:hAnsi="Arial" w:cs="Arial"/>
          <w:b/>
          <w:sz w:val="22"/>
          <w:szCs w:val="22"/>
          <w:lang w:val="es-MX"/>
        </w:rPr>
      </w:pPr>
      <w:r w:rsidRPr="004B5395">
        <w:rPr>
          <w:rFonts w:ascii="Arial" w:hAnsi="Arial" w:cs="Arial"/>
          <w:b/>
          <w:sz w:val="22"/>
          <w:szCs w:val="22"/>
          <w:lang w:val="es-MX"/>
        </w:rPr>
        <w:t>ORGANISMO EJECUTOR Y CONTRATANTE DEL PROCESO DE LICITACIÓN</w:t>
      </w:r>
    </w:p>
    <w:p w14:paraId="32112BBE" w14:textId="77777777" w:rsidR="00540361" w:rsidRPr="00344818" w:rsidRDefault="00540361" w:rsidP="003B68DB">
      <w:pPr>
        <w:numPr>
          <w:ilvl w:val="1"/>
          <w:numId w:val="108"/>
        </w:numPr>
        <w:suppressAutoHyphens/>
        <w:spacing w:before="120" w:after="120"/>
        <w:ind w:right="-34"/>
        <w:rPr>
          <w:rFonts w:ascii="Arial" w:hAnsi="Arial" w:cs="Arial"/>
          <w:b/>
          <w:sz w:val="22"/>
          <w:szCs w:val="22"/>
        </w:rPr>
      </w:pPr>
      <w:r w:rsidRPr="00344818">
        <w:rPr>
          <w:rFonts w:ascii="Arial" w:hAnsi="Arial" w:cs="Arial"/>
          <w:sz w:val="22"/>
          <w:szCs w:val="22"/>
        </w:rPr>
        <w:t xml:space="preserve">Antecedentes del Contratante: El </w:t>
      </w:r>
      <w:r w:rsidRPr="00344818">
        <w:rPr>
          <w:rFonts w:ascii="Arial" w:hAnsi="Arial" w:cs="Arial"/>
          <w:b/>
          <w:sz w:val="22"/>
          <w:szCs w:val="22"/>
        </w:rPr>
        <w:t xml:space="preserve">Fondo de Inversión Social de Emergencia (FISE) </w:t>
      </w:r>
      <w:r w:rsidRPr="00344818">
        <w:rPr>
          <w:rFonts w:ascii="Arial" w:hAnsi="Arial" w:cs="Arial"/>
          <w:sz w:val="22"/>
          <w:szCs w:val="22"/>
        </w:rPr>
        <w:t>fue creado en 1990 mediante Decreto Ejecutivo N° 59-90, 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57C7EAE5" w14:textId="77777777" w:rsidR="00540361" w:rsidRPr="00344818" w:rsidRDefault="00540361" w:rsidP="003B68DB">
      <w:pPr>
        <w:numPr>
          <w:ilvl w:val="1"/>
          <w:numId w:val="108"/>
        </w:numPr>
        <w:suppressAutoHyphens/>
        <w:spacing w:before="120" w:after="120"/>
        <w:ind w:right="-34"/>
        <w:rPr>
          <w:rFonts w:ascii="Arial" w:hAnsi="Arial" w:cs="Arial"/>
          <w:b/>
          <w:sz w:val="22"/>
          <w:szCs w:val="22"/>
        </w:rPr>
      </w:pPr>
      <w:r w:rsidRPr="00344818">
        <w:rPr>
          <w:rFonts w:ascii="Arial" w:hAnsi="Arial" w:cs="Arial"/>
          <w:sz w:val="22"/>
          <w:szCs w:val="22"/>
        </w:rPr>
        <w:t>El</w:t>
      </w:r>
      <w:r w:rsidRPr="00344818">
        <w:rPr>
          <w:rFonts w:ascii="Arial" w:hAnsi="Arial" w:cs="Arial"/>
          <w:i/>
          <w:color w:val="FF0000"/>
          <w:sz w:val="22"/>
          <w:szCs w:val="22"/>
        </w:rPr>
        <w:t xml:space="preserve"> </w:t>
      </w:r>
      <w:r w:rsidRPr="00344818">
        <w:rPr>
          <w:rFonts w:ascii="Arial" w:hAnsi="Arial" w:cs="Arial"/>
          <w:b/>
          <w:sz w:val="22"/>
          <w:szCs w:val="22"/>
        </w:rPr>
        <w:t>Fondo de Inversión Social de Emergencia (FISE),</w:t>
      </w:r>
      <w:r w:rsidRPr="00344818">
        <w:rPr>
          <w:rFonts w:ascii="Arial" w:hAnsi="Arial" w:cs="Arial"/>
          <w:sz w:val="22"/>
          <w:szCs w:val="22"/>
        </w:rPr>
        <w:t xml:space="preserve"> es el responsable del presente proceso de adquisición para lo cual invita empresas constructoras a presentar en un sobre cerrado la oferta para la contratación </w:t>
      </w:r>
      <w:r w:rsidRPr="00344818">
        <w:rPr>
          <w:rFonts w:ascii="Arial" w:hAnsi="Arial" w:cs="Arial"/>
          <w:sz w:val="22"/>
          <w:szCs w:val="22"/>
          <w:lang w:val="es-HN"/>
        </w:rPr>
        <w:t>requerida.</w:t>
      </w:r>
    </w:p>
    <w:p w14:paraId="2B8B28FC" w14:textId="77777777" w:rsidR="00540361" w:rsidRPr="00344818" w:rsidRDefault="00540361" w:rsidP="003B68DB">
      <w:pPr>
        <w:numPr>
          <w:ilvl w:val="1"/>
          <w:numId w:val="108"/>
        </w:numPr>
        <w:suppressAutoHyphens/>
        <w:spacing w:before="120" w:after="120"/>
        <w:ind w:right="-34"/>
        <w:rPr>
          <w:rFonts w:ascii="Arial" w:hAnsi="Arial" w:cs="Arial"/>
          <w:b/>
          <w:sz w:val="22"/>
          <w:szCs w:val="22"/>
        </w:rPr>
      </w:pPr>
      <w:r w:rsidRPr="00344818">
        <w:rPr>
          <w:rFonts w:ascii="Arial" w:hAnsi="Arial" w:cs="Arial"/>
          <w:sz w:val="22"/>
          <w:szCs w:val="22"/>
        </w:rPr>
        <w:t xml:space="preserve">El contratista será seleccionado </w:t>
      </w:r>
      <w:r w:rsidRPr="00344818">
        <w:rPr>
          <w:rFonts w:ascii="Arial" w:hAnsi="Arial" w:cs="Arial"/>
          <w:sz w:val="22"/>
          <w:szCs w:val="22"/>
          <w:lang w:val="es-HN"/>
        </w:rPr>
        <w:t>de acuerdo con los procedimientos del Banco Centroamericano de Integración Económica establecidos en la Política para la Obtención de Bienes, Obras, Servicios y Consultorías con Recursos del BCIE y sus Normas para la Aplicación (</w:t>
      </w:r>
      <w:r w:rsidRPr="00C43902">
        <w:rPr>
          <w:rFonts w:ascii="Arial" w:hAnsi="Arial" w:cs="Arial"/>
          <w:sz w:val="22"/>
          <w:szCs w:val="22"/>
          <w:lang w:val="es-HN"/>
        </w:rPr>
        <w:t>DI-52/2020 y PRE</w:t>
      </w:r>
      <w:r w:rsidRPr="00344818">
        <w:rPr>
          <w:rFonts w:ascii="Arial" w:hAnsi="Arial" w:cs="Arial"/>
          <w:sz w:val="22"/>
          <w:szCs w:val="22"/>
          <w:lang w:val="es-HN"/>
        </w:rPr>
        <w:t xml:space="preserve">-40/2021) que se encuentran en el siguiente sitio de Internet: https://www.bcie.org </w:t>
      </w:r>
    </w:p>
    <w:p w14:paraId="14B02491" w14:textId="77777777" w:rsidR="00B65BDE" w:rsidRPr="004B5395" w:rsidRDefault="00B65BDE" w:rsidP="003B68DB">
      <w:pPr>
        <w:pStyle w:val="i"/>
        <w:numPr>
          <w:ilvl w:val="0"/>
          <w:numId w:val="108"/>
        </w:numPr>
        <w:spacing w:before="360" w:after="120"/>
        <w:ind w:left="357" w:hanging="357"/>
        <w:rPr>
          <w:rFonts w:ascii="Arial" w:hAnsi="Arial" w:cs="Arial"/>
          <w:b/>
          <w:sz w:val="22"/>
          <w:szCs w:val="22"/>
          <w:lang w:val="es-MX"/>
        </w:rPr>
      </w:pPr>
      <w:r w:rsidRPr="004B5395">
        <w:rPr>
          <w:rFonts w:ascii="Arial" w:hAnsi="Arial" w:cs="Arial"/>
          <w:b/>
          <w:sz w:val="22"/>
          <w:szCs w:val="22"/>
          <w:lang w:val="es-MX"/>
        </w:rPr>
        <w:t>PRESENTACIÓN DEL PROCESO DE LICITACIÓN</w:t>
      </w:r>
    </w:p>
    <w:p w14:paraId="44777A0F" w14:textId="77777777" w:rsidR="00B65BDE" w:rsidRPr="004B5395" w:rsidRDefault="00B65BDE" w:rsidP="0071608E">
      <w:pPr>
        <w:numPr>
          <w:ilvl w:val="1"/>
          <w:numId w:val="11"/>
        </w:numPr>
        <w:suppressAutoHyphens/>
        <w:spacing w:before="120" w:after="120"/>
        <w:ind w:left="450" w:right="-34" w:hanging="450"/>
        <w:rPr>
          <w:rFonts w:ascii="Arial" w:hAnsi="Arial" w:cs="Arial"/>
          <w:b/>
          <w:sz w:val="22"/>
          <w:szCs w:val="22"/>
        </w:rPr>
      </w:pPr>
      <w:r w:rsidRPr="004B5395">
        <w:rPr>
          <w:rFonts w:ascii="Arial" w:hAnsi="Arial" w:cs="Arial"/>
          <w:sz w:val="22"/>
          <w:szCs w:val="22"/>
        </w:rPr>
        <w:t xml:space="preserve">Objetivos generales de la obra a contratar </w:t>
      </w:r>
      <w:r w:rsidR="003B39E2" w:rsidRPr="003B39E2">
        <w:rPr>
          <w:rFonts w:ascii="Arial" w:hAnsi="Arial" w:cs="Arial"/>
          <w:sz w:val="22"/>
          <w:szCs w:val="22"/>
        </w:rPr>
        <w:t>es: La Construcción de tres (03) proyectos de mini acueducto por gravedad (MAG), (19962 Agua y saneamiento comunidad Naranjo Norte, 19842 Agua y Saneamiento comunidad Zacatera, 19892 Agua y Saneamiento Bálsamo Abajo) y 1 proyecto de mini acueducto por bombeo Eléctrico (MABE), 19886 Agua y saneamiento comunidad La Concepcion) y la ejecución del componente de saneamiento e Higiene, de acuerdo a las especificaciones Técnicas y Planos.</w:t>
      </w:r>
      <w:r w:rsidR="003B39E2">
        <w:rPr>
          <w:rFonts w:ascii="Arial" w:hAnsi="Arial" w:cs="Arial"/>
          <w:color w:val="FF0000"/>
          <w:sz w:val="22"/>
          <w:szCs w:val="22"/>
        </w:rPr>
        <w:t xml:space="preserve"> </w:t>
      </w:r>
    </w:p>
    <w:p w14:paraId="369271CF" w14:textId="77777777" w:rsidR="00B65BDE" w:rsidRPr="004B5395" w:rsidRDefault="00B65BDE" w:rsidP="0071608E">
      <w:pPr>
        <w:numPr>
          <w:ilvl w:val="1"/>
          <w:numId w:val="11"/>
        </w:numPr>
        <w:suppressAutoHyphens/>
        <w:spacing w:before="120" w:after="120"/>
        <w:ind w:left="450" w:right="-34" w:hanging="450"/>
        <w:rPr>
          <w:rFonts w:ascii="Arial" w:hAnsi="Arial" w:cs="Arial"/>
          <w:sz w:val="22"/>
          <w:szCs w:val="22"/>
          <w:lang w:val="es-HN"/>
        </w:rPr>
      </w:pPr>
      <w:r w:rsidRPr="004B5395">
        <w:rPr>
          <w:rFonts w:ascii="Arial" w:hAnsi="Arial" w:cs="Arial"/>
          <w:sz w:val="22"/>
          <w:szCs w:val="22"/>
        </w:rPr>
        <w:t>El contratante pone a disposición de los interesados toda la documentación relacionada con esta licitación, necesaria para la preparación de las ofertas</w:t>
      </w:r>
      <w:r w:rsidRPr="004B5395">
        <w:rPr>
          <w:rFonts w:ascii="Arial" w:hAnsi="Arial" w:cs="Arial"/>
          <w:sz w:val="22"/>
          <w:szCs w:val="22"/>
          <w:lang w:val="es-HN"/>
        </w:rPr>
        <w:t>.</w:t>
      </w:r>
    </w:p>
    <w:p w14:paraId="2B24DC4E" w14:textId="77777777" w:rsidR="00B65BDE" w:rsidRPr="004B5395" w:rsidRDefault="00B65BDE" w:rsidP="00944FD4">
      <w:pPr>
        <w:pStyle w:val="wfxRecipient"/>
        <w:tabs>
          <w:tab w:val="right" w:pos="7308"/>
        </w:tabs>
        <w:overflowPunct/>
        <w:autoSpaceDE/>
        <w:spacing w:before="120" w:after="120"/>
        <w:ind w:left="450" w:right="74" w:hanging="90"/>
        <w:jc w:val="both"/>
        <w:textAlignment w:val="auto"/>
        <w:rPr>
          <w:rFonts w:ascii="Arial" w:hAnsi="Arial" w:cs="Arial"/>
          <w:i/>
          <w:color w:val="FF0000"/>
          <w:sz w:val="22"/>
          <w:szCs w:val="22"/>
          <w:lang w:val="es-HN"/>
        </w:rPr>
      </w:pPr>
      <w:r w:rsidRPr="004B5395">
        <w:rPr>
          <w:rFonts w:ascii="Arial" w:hAnsi="Arial" w:cs="Arial"/>
          <w:sz w:val="22"/>
          <w:szCs w:val="22"/>
          <w:lang w:val="es-HN"/>
        </w:rPr>
        <w:tab/>
        <w:t xml:space="preserve">Dicha información estará disponible </w:t>
      </w:r>
      <w:r w:rsidRPr="003B39E2">
        <w:rPr>
          <w:rFonts w:ascii="Arial" w:hAnsi="Arial" w:cs="Arial"/>
          <w:sz w:val="22"/>
          <w:szCs w:val="22"/>
          <w:lang w:val="es-HN"/>
        </w:rPr>
        <w:t>sin costo alguno:</w:t>
      </w:r>
    </w:p>
    <w:p w14:paraId="40246877" w14:textId="77777777" w:rsidR="00B65BDE" w:rsidRPr="00C43902" w:rsidRDefault="00B65BDE" w:rsidP="0071608E">
      <w:pPr>
        <w:pStyle w:val="wfxRecipient"/>
        <w:numPr>
          <w:ilvl w:val="0"/>
          <w:numId w:val="20"/>
        </w:numPr>
        <w:tabs>
          <w:tab w:val="left" w:pos="900"/>
        </w:tabs>
        <w:overflowPunct/>
        <w:autoSpaceDE/>
        <w:spacing w:before="120" w:after="120"/>
        <w:ind w:left="900" w:right="74" w:hanging="450"/>
        <w:textAlignment w:val="auto"/>
        <w:rPr>
          <w:rFonts w:ascii="Arial" w:hAnsi="Arial" w:cs="Arial"/>
          <w:i/>
          <w:sz w:val="22"/>
          <w:szCs w:val="22"/>
          <w:lang w:val="es-HN"/>
        </w:rPr>
      </w:pPr>
      <w:r w:rsidRPr="00C43902">
        <w:rPr>
          <w:rFonts w:ascii="Arial" w:hAnsi="Arial" w:cs="Arial"/>
          <w:i/>
          <w:sz w:val="22"/>
          <w:szCs w:val="22"/>
          <w:lang w:val="es-HN"/>
        </w:rPr>
        <w:t>Para descarga en el sitio web:</w:t>
      </w:r>
      <w:r w:rsidR="003B39E2" w:rsidRPr="00C43902">
        <w:rPr>
          <w:rFonts w:ascii="Arial" w:hAnsi="Arial" w:cs="Arial"/>
          <w:i/>
          <w:sz w:val="22"/>
          <w:szCs w:val="22"/>
          <w:lang w:val="es-HN"/>
        </w:rPr>
        <w:t xml:space="preserve"> </w:t>
      </w:r>
      <w:hyperlink r:id="rId16" w:history="1">
        <w:r w:rsidR="003B39E2" w:rsidRPr="00C43902">
          <w:rPr>
            <w:i/>
            <w:lang w:val="es-HN"/>
          </w:rPr>
          <w:t>www.nicaraguacompra.gob.ni</w:t>
        </w:r>
      </w:hyperlink>
      <w:r w:rsidR="003B39E2" w:rsidRPr="00C43902">
        <w:rPr>
          <w:i/>
          <w:lang w:val="es-HN"/>
        </w:rPr>
        <w:t xml:space="preserve"> </w:t>
      </w:r>
      <w:r w:rsidR="003B39E2" w:rsidRPr="00C43902">
        <w:rPr>
          <w:rFonts w:ascii="Arial" w:hAnsi="Arial" w:cs="Arial"/>
          <w:i/>
          <w:sz w:val="22"/>
          <w:szCs w:val="22"/>
          <w:lang w:val="es-HN"/>
        </w:rPr>
        <w:t xml:space="preserve"> </w:t>
      </w:r>
    </w:p>
    <w:p w14:paraId="4FC865AF" w14:textId="5C5EA8A9" w:rsidR="00F1337F" w:rsidRPr="00344818" w:rsidRDefault="00B65BDE" w:rsidP="0071608E">
      <w:pPr>
        <w:pStyle w:val="wfxRecipient"/>
        <w:numPr>
          <w:ilvl w:val="0"/>
          <w:numId w:val="20"/>
        </w:numPr>
        <w:tabs>
          <w:tab w:val="left" w:pos="900"/>
        </w:tabs>
        <w:ind w:left="900" w:hanging="450"/>
        <w:jc w:val="both"/>
        <w:rPr>
          <w:rFonts w:ascii="Arial" w:hAnsi="Arial" w:cs="Arial"/>
          <w:i/>
          <w:color w:val="FF0000"/>
          <w:sz w:val="22"/>
          <w:szCs w:val="22"/>
          <w:lang w:val="es-HN"/>
        </w:rPr>
      </w:pPr>
      <w:r w:rsidRPr="00C43902">
        <w:rPr>
          <w:rFonts w:ascii="Arial" w:hAnsi="Arial" w:cs="Arial"/>
          <w:i/>
          <w:sz w:val="22"/>
          <w:szCs w:val="22"/>
          <w:lang w:val="es-HN"/>
        </w:rPr>
        <w:lastRenderedPageBreak/>
        <w:t xml:space="preserve">Físicamente en: </w:t>
      </w:r>
      <w:r w:rsidR="00F1337F" w:rsidRPr="00344818">
        <w:rPr>
          <w:rFonts w:ascii="Arial" w:hAnsi="Arial" w:cs="Arial"/>
          <w:i/>
          <w:sz w:val="22"/>
          <w:szCs w:val="22"/>
          <w:lang w:val="es-HN"/>
        </w:rPr>
        <w:t xml:space="preserve">En la División de Adquisiciones, del Fondo de Inversión Social de Emergencia, a partir del </w:t>
      </w:r>
      <w:r w:rsidR="00AA5116">
        <w:rPr>
          <w:rFonts w:ascii="Arial" w:hAnsi="Arial" w:cs="Arial"/>
          <w:i/>
          <w:sz w:val="22"/>
          <w:szCs w:val="22"/>
          <w:highlight w:val="yellow"/>
          <w:lang w:val="es-HN"/>
        </w:rPr>
        <w:t>día 27</w:t>
      </w:r>
      <w:r w:rsidR="00F1337F" w:rsidRPr="00344818">
        <w:rPr>
          <w:rFonts w:ascii="Arial" w:hAnsi="Arial" w:cs="Arial"/>
          <w:i/>
          <w:sz w:val="22"/>
          <w:szCs w:val="22"/>
          <w:highlight w:val="yellow"/>
          <w:lang w:val="es-HN"/>
        </w:rPr>
        <w:t xml:space="preserve"> de </w:t>
      </w:r>
      <w:r w:rsidR="00670F2E">
        <w:rPr>
          <w:rFonts w:ascii="Arial" w:hAnsi="Arial" w:cs="Arial"/>
          <w:i/>
          <w:sz w:val="22"/>
          <w:szCs w:val="22"/>
          <w:highlight w:val="yellow"/>
          <w:lang w:val="es-HN"/>
        </w:rPr>
        <w:t>mayo</w:t>
      </w:r>
      <w:r w:rsidR="00F1337F" w:rsidRPr="00344818">
        <w:rPr>
          <w:rFonts w:ascii="Arial" w:hAnsi="Arial" w:cs="Arial"/>
          <w:i/>
          <w:sz w:val="22"/>
          <w:szCs w:val="22"/>
          <w:highlight w:val="yellow"/>
          <w:lang w:val="es-HN"/>
        </w:rPr>
        <w:t xml:space="preserve"> de 2022</w:t>
      </w:r>
      <w:r w:rsidR="00F1337F" w:rsidRPr="00344818">
        <w:rPr>
          <w:rFonts w:ascii="Arial" w:hAnsi="Arial" w:cs="Arial"/>
          <w:i/>
          <w:sz w:val="22"/>
          <w:szCs w:val="22"/>
          <w:lang w:val="es-HN"/>
        </w:rPr>
        <w:t xml:space="preserve"> , en horario de  8:00 am a 4:30 pm, de lunes a viernes, o se podrá solicitar al correo electrónico:</w:t>
      </w:r>
      <w:r w:rsidR="00F1337F" w:rsidRPr="00344818">
        <w:rPr>
          <w:rFonts w:ascii="Arial" w:hAnsi="Arial" w:cs="Arial"/>
          <w:i/>
          <w:color w:val="FF0000"/>
          <w:sz w:val="22"/>
          <w:szCs w:val="22"/>
          <w:lang w:val="es-HN"/>
        </w:rPr>
        <w:t xml:space="preserve"> </w:t>
      </w:r>
      <w:hyperlink r:id="rId17" w:history="1">
        <w:r w:rsidR="00F1337F" w:rsidRPr="00344818">
          <w:rPr>
            <w:rStyle w:val="Hipervnculo"/>
            <w:rFonts w:ascii="Arial" w:hAnsi="Arial" w:cs="Arial"/>
            <w:i/>
            <w:noProof w:val="0"/>
            <w:sz w:val="22"/>
            <w:szCs w:val="22"/>
            <w:lang w:val="es-HN"/>
          </w:rPr>
          <w:t>ARobelo@fise.gob.n</w:t>
        </w:r>
        <w:r w:rsidR="00F1337F" w:rsidRPr="00344818">
          <w:rPr>
            <w:rStyle w:val="Hipervnculo"/>
            <w:rFonts w:ascii="Arial" w:hAnsi="Arial" w:cs="Arial"/>
            <w:i/>
            <w:noProof w:val="0"/>
            <w:color w:val="auto"/>
            <w:sz w:val="22"/>
            <w:szCs w:val="22"/>
            <w:lang w:val="es-HN"/>
          </w:rPr>
          <w:t>i</w:t>
        </w:r>
      </w:hyperlink>
      <w:r w:rsidR="00F1337F" w:rsidRPr="00344818">
        <w:rPr>
          <w:rFonts w:ascii="Arial" w:hAnsi="Arial" w:cs="Arial"/>
          <w:i/>
          <w:sz w:val="22"/>
          <w:szCs w:val="22"/>
          <w:lang w:val="es-HN"/>
        </w:rPr>
        <w:t xml:space="preserve"> ,  con atención a: Hortencia Aracely Robelo Somarriba, con copia a:</w:t>
      </w:r>
      <w:r w:rsidR="00F1337F" w:rsidRPr="00344818">
        <w:rPr>
          <w:rStyle w:val="Hipervnculo"/>
          <w:rFonts w:ascii="Arial" w:hAnsi="Arial" w:cs="Arial"/>
          <w:noProof w:val="0"/>
          <w:sz w:val="22"/>
          <w:szCs w:val="22"/>
        </w:rPr>
        <w:t xml:space="preserve"> </w:t>
      </w:r>
      <w:r w:rsidR="00F1337F" w:rsidRPr="00344818">
        <w:rPr>
          <w:rStyle w:val="Hipervnculo"/>
          <w:rFonts w:ascii="Arial" w:hAnsi="Arial" w:cs="Arial"/>
          <w:i/>
          <w:noProof w:val="0"/>
          <w:sz w:val="22"/>
          <w:szCs w:val="22"/>
          <w:lang w:val="es-HN"/>
        </w:rPr>
        <w:t xml:space="preserve">BSMendoza@fise.gob.ni; </w:t>
      </w:r>
      <w:hyperlink r:id="rId18" w:history="1">
        <w:r w:rsidR="00F1337F" w:rsidRPr="004434E2">
          <w:rPr>
            <w:rStyle w:val="Hipervnculo"/>
            <w:rFonts w:ascii="Arial" w:hAnsi="Arial" w:cs="Arial"/>
            <w:i/>
            <w:noProof w:val="0"/>
            <w:sz w:val="22"/>
            <w:szCs w:val="22"/>
            <w:lang w:val="es-HN"/>
          </w:rPr>
          <w:t>YIGodinez@fise.gob.ni</w:t>
        </w:r>
      </w:hyperlink>
      <w:r w:rsidR="00F1337F" w:rsidRPr="00344818">
        <w:rPr>
          <w:rFonts w:ascii="Arial" w:hAnsi="Arial" w:cs="Arial"/>
          <w:i/>
          <w:color w:val="FF0000"/>
          <w:sz w:val="22"/>
          <w:szCs w:val="22"/>
          <w:lang w:val="es-HN"/>
        </w:rPr>
        <w:t xml:space="preserve"> .</w:t>
      </w:r>
    </w:p>
    <w:p w14:paraId="55F1DD37" w14:textId="77777777" w:rsidR="00B65BDE" w:rsidRPr="004B5395" w:rsidRDefault="00B65BDE" w:rsidP="00F1337F">
      <w:pPr>
        <w:pStyle w:val="wfxRecipient"/>
        <w:tabs>
          <w:tab w:val="right" w:pos="7308"/>
        </w:tabs>
        <w:overflowPunct/>
        <w:autoSpaceDE/>
        <w:spacing w:before="120" w:after="120"/>
        <w:ind w:right="74"/>
        <w:jc w:val="both"/>
        <w:textAlignment w:val="auto"/>
        <w:rPr>
          <w:rFonts w:ascii="Arial" w:hAnsi="Arial" w:cs="Arial"/>
          <w:i/>
          <w:color w:val="FF0000"/>
          <w:sz w:val="22"/>
          <w:szCs w:val="22"/>
        </w:rPr>
      </w:pPr>
    </w:p>
    <w:p w14:paraId="3AC05D60" w14:textId="211734AF" w:rsidR="00EA6764" w:rsidRPr="00344818" w:rsidRDefault="00EA6764" w:rsidP="0071608E">
      <w:pPr>
        <w:pStyle w:val="Prrafodelista"/>
        <w:numPr>
          <w:ilvl w:val="1"/>
          <w:numId w:val="11"/>
        </w:numPr>
        <w:suppressAutoHyphens/>
        <w:spacing w:after="240"/>
        <w:ind w:left="450" w:hanging="450"/>
        <w:rPr>
          <w:rFonts w:ascii="Arial" w:hAnsi="Arial" w:cs="Arial"/>
          <w:spacing w:val="-2"/>
          <w:sz w:val="22"/>
          <w:szCs w:val="22"/>
        </w:rPr>
      </w:pPr>
      <w:bookmarkStart w:id="6" w:name="_Hlk514080813"/>
      <w:bookmarkStart w:id="7" w:name="_Toc365893466"/>
      <w:bookmarkStart w:id="8" w:name="_Toc364779450"/>
      <w:r w:rsidRPr="00344818">
        <w:rPr>
          <w:rFonts w:ascii="Arial" w:hAnsi="Arial" w:cs="Arial"/>
          <w:sz w:val="22"/>
          <w:szCs w:val="22"/>
        </w:rPr>
        <w:t>Las</w:t>
      </w:r>
      <w:r w:rsidRPr="00344818">
        <w:rPr>
          <w:rFonts w:ascii="Arial" w:hAnsi="Arial" w:cs="Arial"/>
          <w:spacing w:val="-2"/>
          <w:sz w:val="22"/>
          <w:szCs w:val="22"/>
          <w:lang w:val="es-ES"/>
        </w:rPr>
        <w:t xml:space="preserve"> ofertas se deben enviar al domicilio: </w:t>
      </w:r>
      <w:r w:rsidRPr="00344818">
        <w:rPr>
          <w:rFonts w:ascii="Arial" w:hAnsi="Arial" w:cs="Arial"/>
          <w:spacing w:val="-2"/>
          <w:sz w:val="22"/>
          <w:szCs w:val="22"/>
        </w:rPr>
        <w:t>de la Iglesia San Agustín, 1 cuadra al Oeste, 10 varas al Sur. Altamira D´Este Managua, Nicaragua</w:t>
      </w:r>
      <w:r w:rsidRPr="00344818">
        <w:rPr>
          <w:rFonts w:ascii="Arial" w:hAnsi="Arial" w:cs="Arial"/>
          <w:spacing w:val="-2"/>
          <w:sz w:val="22"/>
          <w:szCs w:val="22"/>
          <w:lang w:val="es-ES"/>
        </w:rPr>
        <w:t xml:space="preserve"> </w:t>
      </w:r>
      <w:r w:rsidRPr="00344818">
        <w:rPr>
          <w:rFonts w:ascii="Arial" w:hAnsi="Arial" w:cs="Arial"/>
          <w:iCs/>
          <w:spacing w:val="-2"/>
          <w:sz w:val="22"/>
          <w:szCs w:val="22"/>
          <w:lang w:val="es-ES"/>
        </w:rPr>
        <w:t>a más tardar el</w:t>
      </w:r>
      <w:r w:rsidRPr="00344818">
        <w:rPr>
          <w:rFonts w:ascii="Arial" w:hAnsi="Arial" w:cs="Arial"/>
          <w:i/>
          <w:spacing w:val="-2"/>
          <w:sz w:val="22"/>
          <w:szCs w:val="22"/>
          <w:lang w:val="es-ES"/>
        </w:rPr>
        <w:t xml:space="preserve"> </w:t>
      </w:r>
      <w:r w:rsidR="004B50CC">
        <w:rPr>
          <w:rFonts w:ascii="Arial" w:hAnsi="Arial" w:cs="Arial"/>
          <w:i/>
          <w:sz w:val="22"/>
          <w:szCs w:val="22"/>
          <w:highlight w:val="yellow"/>
          <w:lang w:val="es-HN"/>
        </w:rPr>
        <w:t>20</w:t>
      </w:r>
      <w:r w:rsidR="00705F64">
        <w:rPr>
          <w:rFonts w:ascii="Arial" w:hAnsi="Arial" w:cs="Arial"/>
          <w:i/>
          <w:sz w:val="22"/>
          <w:szCs w:val="22"/>
          <w:highlight w:val="yellow"/>
          <w:lang w:val="es-HN"/>
        </w:rPr>
        <w:t xml:space="preserve"> de jul</w:t>
      </w:r>
      <w:r w:rsidR="00C43902">
        <w:rPr>
          <w:rFonts w:ascii="Arial" w:hAnsi="Arial" w:cs="Arial"/>
          <w:i/>
          <w:sz w:val="22"/>
          <w:szCs w:val="22"/>
          <w:highlight w:val="yellow"/>
          <w:lang w:val="es-HN"/>
        </w:rPr>
        <w:t>io</w:t>
      </w:r>
      <w:r w:rsidRPr="00344818">
        <w:rPr>
          <w:rFonts w:ascii="Arial" w:hAnsi="Arial" w:cs="Arial"/>
          <w:i/>
          <w:sz w:val="22"/>
          <w:szCs w:val="22"/>
          <w:highlight w:val="yellow"/>
          <w:lang w:val="es-HN"/>
        </w:rPr>
        <w:t xml:space="preserve"> de 2022</w:t>
      </w:r>
      <w:r w:rsidR="00AD769A">
        <w:rPr>
          <w:rFonts w:ascii="Arial" w:hAnsi="Arial" w:cs="Arial"/>
          <w:i/>
          <w:sz w:val="22"/>
          <w:szCs w:val="22"/>
          <w:lang w:val="es-HN"/>
        </w:rPr>
        <w:t xml:space="preserve"> a las 11:00 a.m.</w:t>
      </w:r>
      <w:r w:rsidRPr="00344818">
        <w:rPr>
          <w:rFonts w:ascii="Arial" w:hAnsi="Arial" w:cs="Arial"/>
          <w:i/>
          <w:sz w:val="22"/>
          <w:szCs w:val="22"/>
          <w:lang w:val="es-HN"/>
        </w:rPr>
        <w:t>.</w:t>
      </w:r>
    </w:p>
    <w:p w14:paraId="00CAEFEA" w14:textId="77777777" w:rsidR="00EA6764" w:rsidRPr="00344818" w:rsidRDefault="00EA6764" w:rsidP="00EA6764">
      <w:pPr>
        <w:suppressAutoHyphens/>
        <w:spacing w:before="120" w:after="120"/>
        <w:ind w:right="-34"/>
        <w:rPr>
          <w:rFonts w:ascii="Arial" w:hAnsi="Arial" w:cs="Arial"/>
          <w:spacing w:val="-2"/>
          <w:sz w:val="22"/>
          <w:szCs w:val="22"/>
          <w:lang w:val="es-ES"/>
        </w:rPr>
      </w:pPr>
      <w:r w:rsidRPr="00344818">
        <w:rPr>
          <w:rFonts w:ascii="Arial" w:hAnsi="Arial" w:cs="Arial"/>
          <w:spacing w:val="-2"/>
          <w:sz w:val="22"/>
          <w:szCs w:val="22"/>
          <w:lang w:val="es-ES"/>
        </w:rPr>
        <w:t xml:space="preserve">No se permitirá presentar ofertas en forma electrónica. No se aceptarán ofertas tardías. </w:t>
      </w:r>
    </w:p>
    <w:p w14:paraId="046294CA" w14:textId="77777777" w:rsidR="00EA6764" w:rsidRPr="00344818" w:rsidRDefault="00EA6764" w:rsidP="00EA6764">
      <w:pPr>
        <w:suppressAutoHyphens/>
        <w:spacing w:before="120" w:after="120"/>
        <w:ind w:right="-34"/>
        <w:rPr>
          <w:rFonts w:ascii="Arial" w:hAnsi="Arial" w:cs="Arial"/>
          <w:spacing w:val="-2"/>
          <w:sz w:val="22"/>
          <w:szCs w:val="22"/>
          <w:lang w:val="es-ES"/>
        </w:rPr>
      </w:pPr>
      <w:r w:rsidRPr="00344818">
        <w:rPr>
          <w:rFonts w:ascii="Arial" w:hAnsi="Arial" w:cs="Arial"/>
          <w:spacing w:val="-2"/>
          <w:sz w:val="22"/>
          <w:szCs w:val="22"/>
          <w:lang w:val="es-ES"/>
        </w:rPr>
        <w:t>Las ofertas se abrirán públicamente, en presencia de los representantes designados por los Licitantes y de cualquier persona que decida asistir, en el domicilio indicado</w:t>
      </w:r>
      <w:r w:rsidRPr="00344818">
        <w:rPr>
          <w:rFonts w:ascii="Arial" w:hAnsi="Arial" w:cs="Arial"/>
          <w:i/>
          <w:spacing w:val="-2"/>
          <w:sz w:val="22"/>
          <w:szCs w:val="22"/>
          <w:lang w:val="es-ES"/>
        </w:rPr>
        <w:t xml:space="preserve">. </w:t>
      </w:r>
    </w:p>
    <w:p w14:paraId="54F2C660" w14:textId="77777777" w:rsidR="00C43902" w:rsidRPr="00E8097D" w:rsidRDefault="00C43902" w:rsidP="00C43902">
      <w:pPr>
        <w:pStyle w:val="Prrafodelista"/>
        <w:numPr>
          <w:ilvl w:val="1"/>
          <w:numId w:val="11"/>
        </w:numPr>
        <w:suppressAutoHyphens/>
        <w:spacing w:after="240"/>
        <w:ind w:left="450" w:hanging="450"/>
        <w:rPr>
          <w:rFonts w:ascii="Arial" w:hAnsi="Arial" w:cs="Arial"/>
          <w:i/>
          <w:spacing w:val="-2"/>
          <w:sz w:val="22"/>
          <w:szCs w:val="22"/>
          <w:lang w:val="es-ES"/>
        </w:rPr>
      </w:pPr>
      <w:r w:rsidRPr="00E8097D">
        <w:rPr>
          <w:rFonts w:ascii="Arial" w:hAnsi="Arial" w:cs="Arial"/>
          <w:spacing w:val="-2"/>
          <w:sz w:val="22"/>
          <w:szCs w:val="22"/>
          <w:lang w:val="es-ES"/>
        </w:rPr>
        <w:t xml:space="preserve">Todas las Ofertas deben ir acompañadas de una </w:t>
      </w:r>
      <w:r w:rsidRPr="00177844">
        <w:rPr>
          <w:rFonts w:ascii="Arial" w:hAnsi="Arial" w:cs="Arial"/>
          <w:i/>
          <w:spacing w:val="-2"/>
          <w:sz w:val="22"/>
          <w:szCs w:val="22"/>
          <w:highlight w:val="yellow"/>
          <w:lang w:val="es-ES"/>
        </w:rPr>
        <w:t>Garantía de Mantenimiento de la Oferta,</w:t>
      </w:r>
      <w:r w:rsidRPr="00E8097D">
        <w:rPr>
          <w:rFonts w:ascii="Arial" w:hAnsi="Arial" w:cs="Arial"/>
          <w:i/>
          <w:spacing w:val="-2"/>
          <w:sz w:val="22"/>
          <w:szCs w:val="22"/>
          <w:lang w:val="es-ES"/>
        </w:rPr>
        <w:t xml:space="preserve"> con Vigencia: </w:t>
      </w:r>
      <w:r w:rsidRPr="00C43902">
        <w:rPr>
          <w:rFonts w:ascii="Arial" w:hAnsi="Arial" w:cs="Arial"/>
          <w:i/>
          <w:spacing w:val="-2"/>
          <w:sz w:val="22"/>
          <w:szCs w:val="22"/>
          <w:highlight w:val="yellow"/>
          <w:lang w:val="es-ES"/>
        </w:rPr>
        <w:t>210 (doscientos diez días calendario</w:t>
      </w:r>
      <w:r w:rsidRPr="00E8097D">
        <w:rPr>
          <w:rFonts w:ascii="Arial" w:hAnsi="Arial" w:cs="Arial"/>
          <w:i/>
          <w:spacing w:val="-2"/>
          <w:sz w:val="22"/>
          <w:szCs w:val="22"/>
          <w:lang w:val="es-ES"/>
        </w:rPr>
        <w:t>), contados a partir del día de recepción de oferta</w:t>
      </w:r>
      <w:r w:rsidRPr="00E8097D">
        <w:rPr>
          <w:rFonts w:ascii="Arial" w:hAnsi="Arial" w:cs="Arial"/>
          <w:spacing w:val="-2"/>
          <w:sz w:val="22"/>
          <w:szCs w:val="22"/>
          <w:lang w:val="es-ES"/>
        </w:rPr>
        <w:t xml:space="preserve"> según la tabla siguiente:</w:t>
      </w:r>
    </w:p>
    <w:p w14:paraId="00B130AC" w14:textId="77777777" w:rsidR="00EA6764" w:rsidRDefault="00EA6764" w:rsidP="00EA6764">
      <w:pPr>
        <w:pStyle w:val="Prrafodelista"/>
        <w:spacing w:after="120"/>
        <w:ind w:left="360"/>
        <w:rPr>
          <w:rFonts w:ascii="Arial" w:hAnsi="Arial" w:cs="Arial"/>
          <w:sz w:val="22"/>
          <w:szCs w:val="22"/>
          <w:lang w:val="es-ES"/>
        </w:rPr>
      </w:pPr>
      <w:r w:rsidRPr="00344818">
        <w:rPr>
          <w:rFonts w:ascii="Arial" w:hAnsi="Arial" w:cs="Arial"/>
          <w:sz w:val="22"/>
          <w:szCs w:val="22"/>
          <w:lang w:val="es-ES"/>
        </w:rPr>
        <w:t xml:space="preserve">Monto y moneda de la Garantía / Fianza de Mantenimiento de la Oferta: </w:t>
      </w:r>
    </w:p>
    <w:tbl>
      <w:tblPr>
        <w:tblW w:w="5000" w:type="pct"/>
        <w:tblLook w:val="04A0" w:firstRow="1" w:lastRow="0" w:firstColumn="1" w:lastColumn="0" w:noHBand="0" w:noVBand="1"/>
      </w:tblPr>
      <w:tblGrid>
        <w:gridCol w:w="1059"/>
        <w:gridCol w:w="6174"/>
        <w:gridCol w:w="281"/>
        <w:gridCol w:w="1846"/>
      </w:tblGrid>
      <w:tr w:rsidR="00EA6764" w:rsidRPr="002F4A04" w14:paraId="3CD1B8A6" w14:textId="77777777" w:rsidTr="00E51A7A">
        <w:trPr>
          <w:tblHeader/>
        </w:trPr>
        <w:tc>
          <w:tcPr>
            <w:tcW w:w="566" w:type="pct"/>
            <w:shd w:val="clear" w:color="auto" w:fill="D9E2F3" w:themeFill="accent1" w:themeFillTint="33"/>
          </w:tcPr>
          <w:p w14:paraId="28A4D7E7" w14:textId="77777777" w:rsidR="00EA6764" w:rsidRPr="002F4A04" w:rsidRDefault="00EA6764" w:rsidP="00E51A7A">
            <w:pPr>
              <w:tabs>
                <w:tab w:val="right" w:pos="7272"/>
              </w:tabs>
              <w:spacing w:before="60" w:after="60"/>
              <w:jc w:val="center"/>
              <w:rPr>
                <w:rFonts w:ascii="Arial" w:hAnsi="Arial" w:cs="Arial"/>
                <w:sz w:val="22"/>
                <w:szCs w:val="22"/>
                <w:lang w:val="es-ES"/>
              </w:rPr>
            </w:pPr>
            <w:r w:rsidRPr="002F4A04">
              <w:rPr>
                <w:rFonts w:ascii="Arial" w:hAnsi="Arial" w:cs="Arial"/>
                <w:sz w:val="22"/>
                <w:szCs w:val="22"/>
                <w:lang w:val="es-ES"/>
              </w:rPr>
              <w:t>Lote N°</w:t>
            </w:r>
          </w:p>
        </w:tc>
        <w:tc>
          <w:tcPr>
            <w:tcW w:w="3298" w:type="pct"/>
            <w:shd w:val="clear" w:color="auto" w:fill="D9E2F3" w:themeFill="accent1" w:themeFillTint="33"/>
          </w:tcPr>
          <w:p w14:paraId="56FB9335" w14:textId="77777777" w:rsidR="00EA6764" w:rsidRPr="002F4A04" w:rsidRDefault="00EA6764" w:rsidP="00E51A7A">
            <w:pPr>
              <w:tabs>
                <w:tab w:val="right" w:pos="7272"/>
              </w:tabs>
              <w:spacing w:before="60" w:after="60"/>
              <w:jc w:val="center"/>
              <w:rPr>
                <w:rFonts w:ascii="Arial" w:hAnsi="Arial" w:cs="Arial"/>
                <w:sz w:val="22"/>
                <w:szCs w:val="22"/>
                <w:lang w:val="es-ES"/>
              </w:rPr>
            </w:pPr>
            <w:r w:rsidRPr="002F4A04">
              <w:rPr>
                <w:rFonts w:ascii="Arial" w:hAnsi="Arial" w:cs="Arial"/>
                <w:sz w:val="22"/>
                <w:szCs w:val="22"/>
                <w:lang w:val="es-ES"/>
              </w:rPr>
              <w:t>Nombre del Proyecto</w:t>
            </w:r>
          </w:p>
        </w:tc>
        <w:tc>
          <w:tcPr>
            <w:tcW w:w="1136" w:type="pct"/>
            <w:gridSpan w:val="2"/>
            <w:shd w:val="clear" w:color="auto" w:fill="D9E2F3" w:themeFill="accent1" w:themeFillTint="33"/>
          </w:tcPr>
          <w:p w14:paraId="0C4B38E1" w14:textId="77777777" w:rsidR="00EA6764" w:rsidRPr="002F4A04" w:rsidRDefault="00EA6764" w:rsidP="00E51A7A">
            <w:pPr>
              <w:tabs>
                <w:tab w:val="right" w:pos="7272"/>
              </w:tabs>
              <w:spacing w:before="60" w:after="60"/>
              <w:jc w:val="center"/>
              <w:rPr>
                <w:rFonts w:ascii="Arial" w:hAnsi="Arial" w:cs="Arial"/>
                <w:sz w:val="22"/>
                <w:szCs w:val="22"/>
                <w:lang w:val="es-ES"/>
              </w:rPr>
            </w:pPr>
            <w:r w:rsidRPr="002F4A04">
              <w:rPr>
                <w:rFonts w:ascii="Arial" w:hAnsi="Arial" w:cs="Arial"/>
                <w:sz w:val="22"/>
                <w:szCs w:val="22"/>
                <w:lang w:val="es-ES"/>
              </w:rPr>
              <w:t>Monto y moneda</w:t>
            </w:r>
          </w:p>
        </w:tc>
      </w:tr>
      <w:tr w:rsidR="00EA6764" w:rsidRPr="002F4A04" w14:paraId="30E930A6" w14:textId="77777777" w:rsidTr="00E51A7A">
        <w:tc>
          <w:tcPr>
            <w:tcW w:w="566" w:type="pct"/>
          </w:tcPr>
          <w:p w14:paraId="54A598E3" w14:textId="77777777" w:rsidR="00EA6764" w:rsidRPr="002F4A04" w:rsidRDefault="00EA6764" w:rsidP="00E51A7A">
            <w:pPr>
              <w:tabs>
                <w:tab w:val="right" w:pos="7272"/>
              </w:tabs>
              <w:spacing w:before="20" w:after="20"/>
              <w:jc w:val="center"/>
              <w:rPr>
                <w:rFonts w:ascii="Arial" w:hAnsi="Arial" w:cs="Arial"/>
                <w:sz w:val="22"/>
                <w:szCs w:val="22"/>
                <w:lang w:val="es-ES"/>
              </w:rPr>
            </w:pPr>
            <w:r w:rsidRPr="002F4A04">
              <w:rPr>
                <w:rFonts w:ascii="Arial" w:hAnsi="Arial" w:cs="Arial"/>
                <w:sz w:val="22"/>
                <w:szCs w:val="22"/>
                <w:lang w:val="es-ES"/>
              </w:rPr>
              <w:t>1</w:t>
            </w:r>
          </w:p>
        </w:tc>
        <w:tc>
          <w:tcPr>
            <w:tcW w:w="3298" w:type="pct"/>
            <w:vAlign w:val="center"/>
          </w:tcPr>
          <w:p w14:paraId="6FE71B79" w14:textId="77777777" w:rsidR="00EA6764" w:rsidRPr="002F4A04" w:rsidRDefault="00EA6764" w:rsidP="00EA6764">
            <w:pPr>
              <w:tabs>
                <w:tab w:val="right" w:pos="7272"/>
              </w:tabs>
              <w:spacing w:before="20" w:after="20"/>
              <w:jc w:val="left"/>
              <w:rPr>
                <w:rFonts w:ascii="Arial" w:hAnsi="Arial" w:cs="Arial"/>
                <w:sz w:val="22"/>
                <w:szCs w:val="22"/>
                <w:lang w:val="es-NI"/>
              </w:rPr>
            </w:pPr>
            <w:r w:rsidRPr="002F4A04">
              <w:rPr>
                <w:rFonts w:ascii="Arial" w:hAnsi="Arial" w:cs="Arial"/>
                <w:sz w:val="22"/>
                <w:szCs w:val="22"/>
                <w:lang w:val="es-ES"/>
              </w:rPr>
              <w:t>19886 Agua y Saneamiento Comunidad La Concepcion</w:t>
            </w:r>
          </w:p>
        </w:tc>
        <w:tc>
          <w:tcPr>
            <w:tcW w:w="1136" w:type="pct"/>
            <w:gridSpan w:val="2"/>
          </w:tcPr>
          <w:p w14:paraId="1015D716" w14:textId="77777777" w:rsidR="00EA6764" w:rsidRPr="002F4A04" w:rsidRDefault="00EA6764" w:rsidP="00E51A7A">
            <w:pPr>
              <w:tabs>
                <w:tab w:val="right" w:pos="7272"/>
              </w:tabs>
              <w:spacing w:before="20" w:after="20"/>
              <w:jc w:val="center"/>
              <w:rPr>
                <w:rFonts w:ascii="Arial" w:hAnsi="Arial" w:cs="Arial"/>
                <w:sz w:val="22"/>
                <w:szCs w:val="22"/>
                <w:lang w:val="es-ES"/>
              </w:rPr>
            </w:pPr>
            <w:r w:rsidRPr="002F4A04">
              <w:rPr>
                <w:rFonts w:ascii="Arial" w:hAnsi="Arial" w:cs="Arial"/>
                <w:sz w:val="22"/>
                <w:szCs w:val="22"/>
                <w:lang w:val="es-ES"/>
              </w:rPr>
              <w:t>U</w:t>
            </w:r>
            <w:r w:rsidR="001E4E8F" w:rsidRPr="002F4A04">
              <w:rPr>
                <w:rFonts w:ascii="Arial" w:hAnsi="Arial" w:cs="Arial"/>
                <w:sz w:val="22"/>
                <w:szCs w:val="22"/>
                <w:lang w:val="es-ES"/>
              </w:rPr>
              <w:t>S$ 10,000.00</w:t>
            </w:r>
          </w:p>
        </w:tc>
      </w:tr>
      <w:tr w:rsidR="00EA6764" w:rsidRPr="002F4A04" w14:paraId="4D4517D6" w14:textId="77777777" w:rsidTr="00E51A7A">
        <w:tc>
          <w:tcPr>
            <w:tcW w:w="566" w:type="pct"/>
          </w:tcPr>
          <w:p w14:paraId="7CFC18FB" w14:textId="77777777" w:rsidR="00EA6764" w:rsidRPr="002F4A04" w:rsidRDefault="00EA6764" w:rsidP="00E51A7A">
            <w:pPr>
              <w:tabs>
                <w:tab w:val="left" w:pos="340"/>
                <w:tab w:val="center" w:pos="399"/>
                <w:tab w:val="right" w:pos="7272"/>
              </w:tabs>
              <w:spacing w:before="20" w:after="20"/>
              <w:jc w:val="left"/>
              <w:rPr>
                <w:rFonts w:ascii="Arial" w:hAnsi="Arial" w:cs="Arial"/>
                <w:sz w:val="22"/>
                <w:szCs w:val="22"/>
                <w:lang w:val="es-ES"/>
              </w:rPr>
            </w:pPr>
            <w:r w:rsidRPr="002F4A04">
              <w:rPr>
                <w:rFonts w:ascii="Arial" w:hAnsi="Arial" w:cs="Arial"/>
                <w:sz w:val="22"/>
                <w:szCs w:val="22"/>
                <w:lang w:val="es-ES"/>
              </w:rPr>
              <w:tab/>
              <w:t>2</w:t>
            </w:r>
          </w:p>
        </w:tc>
        <w:tc>
          <w:tcPr>
            <w:tcW w:w="3298" w:type="pct"/>
            <w:vAlign w:val="center"/>
          </w:tcPr>
          <w:p w14:paraId="6E575CBA" w14:textId="77777777" w:rsidR="00EA6764" w:rsidRPr="002F4A04" w:rsidRDefault="00EA6764" w:rsidP="00EA6764">
            <w:pPr>
              <w:tabs>
                <w:tab w:val="right" w:pos="7272"/>
              </w:tabs>
              <w:spacing w:before="20" w:after="20"/>
              <w:jc w:val="left"/>
              <w:rPr>
                <w:rFonts w:ascii="Arial" w:hAnsi="Arial" w:cs="Arial"/>
                <w:sz w:val="22"/>
                <w:szCs w:val="22"/>
                <w:lang w:val="es-ES"/>
              </w:rPr>
            </w:pPr>
            <w:r w:rsidRPr="002F4A04">
              <w:rPr>
                <w:rFonts w:ascii="Arial" w:hAnsi="Arial" w:cs="Arial"/>
                <w:sz w:val="22"/>
                <w:szCs w:val="22"/>
                <w:lang w:val="es-ES"/>
              </w:rPr>
              <w:t xml:space="preserve">19962 Agua y Saneamiento Comunidad Naranjo Norte </w:t>
            </w:r>
          </w:p>
        </w:tc>
        <w:tc>
          <w:tcPr>
            <w:tcW w:w="1136" w:type="pct"/>
            <w:gridSpan w:val="2"/>
          </w:tcPr>
          <w:p w14:paraId="288D3C0A" w14:textId="77777777" w:rsidR="00EA6764" w:rsidRPr="002F4A04" w:rsidRDefault="00EA6764" w:rsidP="00E51A7A">
            <w:pPr>
              <w:tabs>
                <w:tab w:val="right" w:pos="7272"/>
              </w:tabs>
              <w:spacing w:before="20" w:after="20"/>
              <w:jc w:val="center"/>
              <w:rPr>
                <w:rFonts w:ascii="Arial" w:hAnsi="Arial" w:cs="Arial"/>
                <w:sz w:val="22"/>
                <w:szCs w:val="22"/>
                <w:lang w:val="es-ES"/>
              </w:rPr>
            </w:pPr>
            <w:r w:rsidRPr="002F4A04">
              <w:rPr>
                <w:rFonts w:ascii="Arial" w:hAnsi="Arial" w:cs="Arial"/>
                <w:sz w:val="22"/>
                <w:szCs w:val="22"/>
                <w:lang w:val="es-ES"/>
              </w:rPr>
              <w:t>U</w:t>
            </w:r>
            <w:r w:rsidR="001E4E8F" w:rsidRPr="002F4A04">
              <w:rPr>
                <w:rFonts w:ascii="Arial" w:hAnsi="Arial" w:cs="Arial"/>
                <w:sz w:val="22"/>
                <w:szCs w:val="22"/>
                <w:lang w:val="es-ES"/>
              </w:rPr>
              <w:t>S$ 3,500.00</w:t>
            </w:r>
          </w:p>
        </w:tc>
      </w:tr>
      <w:tr w:rsidR="00EA6764" w:rsidRPr="002F4A04" w14:paraId="15255846" w14:textId="77777777" w:rsidTr="00E51A7A">
        <w:tc>
          <w:tcPr>
            <w:tcW w:w="566" w:type="pct"/>
            <w:vAlign w:val="center"/>
          </w:tcPr>
          <w:p w14:paraId="6EB03C2A" w14:textId="77777777" w:rsidR="00EA6764" w:rsidRPr="002F4A04" w:rsidRDefault="00EA6764" w:rsidP="00E51A7A">
            <w:pPr>
              <w:tabs>
                <w:tab w:val="left" w:pos="427"/>
              </w:tabs>
              <w:spacing w:before="20" w:after="20"/>
              <w:jc w:val="center"/>
              <w:rPr>
                <w:rFonts w:ascii="Arial" w:hAnsi="Arial" w:cs="Arial"/>
                <w:sz w:val="22"/>
                <w:szCs w:val="22"/>
                <w:lang w:val="es-ES"/>
              </w:rPr>
            </w:pPr>
            <w:r w:rsidRPr="002F4A04">
              <w:rPr>
                <w:rFonts w:ascii="Arial" w:hAnsi="Arial" w:cs="Arial"/>
                <w:sz w:val="22"/>
                <w:szCs w:val="22"/>
                <w:lang w:val="es-ES"/>
              </w:rPr>
              <w:t>3</w:t>
            </w:r>
          </w:p>
        </w:tc>
        <w:tc>
          <w:tcPr>
            <w:tcW w:w="3448" w:type="pct"/>
            <w:gridSpan w:val="2"/>
            <w:vAlign w:val="center"/>
          </w:tcPr>
          <w:p w14:paraId="7A0105C6" w14:textId="77777777" w:rsidR="00EA6764" w:rsidRPr="002F4A04" w:rsidRDefault="008E04A6" w:rsidP="008E04A6">
            <w:pPr>
              <w:tabs>
                <w:tab w:val="right" w:pos="7272"/>
              </w:tabs>
              <w:spacing w:before="20" w:after="20"/>
              <w:jc w:val="left"/>
              <w:rPr>
                <w:rFonts w:ascii="Arial" w:hAnsi="Arial" w:cs="Arial"/>
                <w:sz w:val="22"/>
                <w:szCs w:val="22"/>
                <w:lang w:val="es-ES"/>
              </w:rPr>
            </w:pPr>
            <w:r w:rsidRPr="002F4A04">
              <w:rPr>
                <w:rFonts w:ascii="Arial" w:hAnsi="Arial" w:cs="Arial"/>
                <w:sz w:val="22"/>
                <w:szCs w:val="22"/>
                <w:lang w:val="es-ES"/>
              </w:rPr>
              <w:t>19842 Agua y Saneamiento Comunidad Zacateras</w:t>
            </w:r>
            <w:r w:rsidR="00EA6764" w:rsidRPr="002F4A04">
              <w:rPr>
                <w:rFonts w:ascii="Arial" w:hAnsi="Arial" w:cs="Arial"/>
                <w:sz w:val="22"/>
                <w:szCs w:val="22"/>
                <w:lang w:val="es-ES"/>
              </w:rPr>
              <w:t xml:space="preserve"> </w:t>
            </w:r>
          </w:p>
        </w:tc>
        <w:tc>
          <w:tcPr>
            <w:tcW w:w="986" w:type="pct"/>
          </w:tcPr>
          <w:p w14:paraId="14477A23" w14:textId="77777777" w:rsidR="008E04A6" w:rsidRPr="002F4A04" w:rsidRDefault="00EA6764" w:rsidP="008E04A6">
            <w:pPr>
              <w:tabs>
                <w:tab w:val="left" w:pos="831"/>
                <w:tab w:val="right" w:pos="7272"/>
              </w:tabs>
              <w:spacing w:before="20" w:after="20"/>
              <w:rPr>
                <w:rFonts w:ascii="Arial" w:hAnsi="Arial" w:cs="Arial"/>
                <w:sz w:val="22"/>
                <w:szCs w:val="22"/>
                <w:lang w:val="es-ES"/>
              </w:rPr>
            </w:pPr>
            <w:r w:rsidRPr="002F4A04">
              <w:rPr>
                <w:rFonts w:ascii="Arial" w:hAnsi="Arial" w:cs="Arial"/>
                <w:sz w:val="22"/>
                <w:szCs w:val="22"/>
                <w:lang w:val="es-ES"/>
              </w:rPr>
              <w:t>U</w:t>
            </w:r>
            <w:r w:rsidR="001E4E8F" w:rsidRPr="002F4A04">
              <w:rPr>
                <w:rFonts w:ascii="Arial" w:hAnsi="Arial" w:cs="Arial"/>
                <w:sz w:val="22"/>
                <w:szCs w:val="22"/>
                <w:lang w:val="es-ES"/>
              </w:rPr>
              <w:t>S$ 6,500.00</w:t>
            </w:r>
          </w:p>
        </w:tc>
      </w:tr>
      <w:tr w:rsidR="008E04A6" w:rsidRPr="002F4A04" w14:paraId="09322899" w14:textId="77777777" w:rsidTr="008E04A6">
        <w:tc>
          <w:tcPr>
            <w:tcW w:w="566" w:type="pct"/>
            <w:vAlign w:val="center"/>
          </w:tcPr>
          <w:p w14:paraId="54B83AD0" w14:textId="77777777" w:rsidR="008E04A6" w:rsidRPr="002F4A04" w:rsidRDefault="008E04A6" w:rsidP="00E51A7A">
            <w:pPr>
              <w:tabs>
                <w:tab w:val="left" w:pos="427"/>
              </w:tabs>
              <w:spacing w:before="20" w:after="20"/>
              <w:jc w:val="center"/>
              <w:rPr>
                <w:rFonts w:ascii="Arial" w:hAnsi="Arial" w:cs="Arial"/>
                <w:sz w:val="22"/>
                <w:szCs w:val="22"/>
                <w:lang w:val="es-ES"/>
              </w:rPr>
            </w:pPr>
            <w:r w:rsidRPr="002F4A04">
              <w:rPr>
                <w:rFonts w:ascii="Arial" w:hAnsi="Arial" w:cs="Arial"/>
                <w:sz w:val="22"/>
                <w:szCs w:val="22"/>
                <w:lang w:val="es-ES"/>
              </w:rPr>
              <w:t>4</w:t>
            </w:r>
          </w:p>
        </w:tc>
        <w:tc>
          <w:tcPr>
            <w:tcW w:w="3448" w:type="pct"/>
            <w:gridSpan w:val="2"/>
            <w:vAlign w:val="center"/>
          </w:tcPr>
          <w:p w14:paraId="3AB51F0B" w14:textId="77777777" w:rsidR="008E04A6" w:rsidRPr="002F4A04" w:rsidRDefault="008E04A6" w:rsidP="008E04A6">
            <w:pPr>
              <w:tabs>
                <w:tab w:val="right" w:pos="7272"/>
              </w:tabs>
              <w:spacing w:before="20" w:after="20"/>
              <w:jc w:val="left"/>
              <w:rPr>
                <w:rFonts w:ascii="Arial" w:hAnsi="Arial" w:cs="Arial"/>
                <w:sz w:val="22"/>
                <w:szCs w:val="22"/>
                <w:lang w:val="es-ES"/>
              </w:rPr>
            </w:pPr>
            <w:r w:rsidRPr="002F4A04">
              <w:rPr>
                <w:rFonts w:ascii="Arial" w:hAnsi="Arial" w:cs="Arial"/>
                <w:sz w:val="22"/>
                <w:szCs w:val="22"/>
                <w:lang w:val="es-ES"/>
              </w:rPr>
              <w:t xml:space="preserve">19892 Agua y Saneamiento Comunidad </w:t>
            </w:r>
            <w:r w:rsidR="00A33DEC" w:rsidRPr="002F4A04">
              <w:rPr>
                <w:rFonts w:ascii="Arial" w:hAnsi="Arial" w:cs="Arial"/>
                <w:sz w:val="22"/>
                <w:szCs w:val="22"/>
                <w:lang w:val="es-ES"/>
              </w:rPr>
              <w:t>Bálsamo</w:t>
            </w:r>
            <w:r w:rsidRPr="002F4A04">
              <w:rPr>
                <w:rFonts w:ascii="Arial" w:hAnsi="Arial" w:cs="Arial"/>
                <w:sz w:val="22"/>
                <w:szCs w:val="22"/>
                <w:lang w:val="es-ES"/>
              </w:rPr>
              <w:t xml:space="preserve"> Abajo</w:t>
            </w:r>
          </w:p>
        </w:tc>
        <w:tc>
          <w:tcPr>
            <w:tcW w:w="986" w:type="pct"/>
          </w:tcPr>
          <w:p w14:paraId="5174CEE6" w14:textId="77777777" w:rsidR="008E04A6" w:rsidRPr="002F4A04" w:rsidRDefault="001E4E8F" w:rsidP="008E04A6">
            <w:pPr>
              <w:tabs>
                <w:tab w:val="left" w:pos="831"/>
                <w:tab w:val="right" w:pos="7272"/>
              </w:tabs>
              <w:spacing w:before="20" w:after="20"/>
              <w:rPr>
                <w:rFonts w:ascii="Arial" w:hAnsi="Arial" w:cs="Arial"/>
                <w:sz w:val="22"/>
                <w:szCs w:val="22"/>
                <w:lang w:val="es-ES"/>
              </w:rPr>
            </w:pPr>
            <w:r w:rsidRPr="002F4A04">
              <w:rPr>
                <w:rFonts w:ascii="Arial" w:hAnsi="Arial" w:cs="Arial"/>
                <w:sz w:val="22"/>
                <w:szCs w:val="22"/>
                <w:lang w:val="es-ES"/>
              </w:rPr>
              <w:t>US$ 7,000.00</w:t>
            </w:r>
          </w:p>
        </w:tc>
      </w:tr>
    </w:tbl>
    <w:p w14:paraId="644C1D4B" w14:textId="77777777" w:rsidR="00EA6764" w:rsidRDefault="00EA6764" w:rsidP="00EA6764">
      <w:pPr>
        <w:pStyle w:val="Prrafodelista"/>
        <w:spacing w:after="120"/>
        <w:ind w:left="360"/>
        <w:rPr>
          <w:rFonts w:ascii="Arial" w:hAnsi="Arial" w:cs="Arial"/>
          <w:sz w:val="22"/>
          <w:szCs w:val="22"/>
          <w:lang w:val="es-ES"/>
        </w:rPr>
      </w:pPr>
    </w:p>
    <w:p w14:paraId="570CAA6D" w14:textId="77777777" w:rsidR="008E04A6" w:rsidRPr="00344818" w:rsidRDefault="008E04A6" w:rsidP="0071608E">
      <w:pPr>
        <w:pStyle w:val="Prrafodelista"/>
        <w:numPr>
          <w:ilvl w:val="1"/>
          <w:numId w:val="11"/>
        </w:numPr>
        <w:suppressAutoHyphens/>
        <w:spacing w:after="240"/>
        <w:ind w:left="450" w:hanging="450"/>
        <w:rPr>
          <w:rFonts w:ascii="Arial" w:hAnsi="Arial" w:cs="Arial"/>
          <w:i/>
          <w:color w:val="FF0000"/>
          <w:spacing w:val="-2"/>
          <w:sz w:val="22"/>
          <w:szCs w:val="22"/>
          <w:lang w:val="es-ES"/>
        </w:rPr>
      </w:pPr>
      <w:r w:rsidRPr="00344818">
        <w:rPr>
          <w:rFonts w:ascii="Arial" w:hAnsi="Arial" w:cs="Arial"/>
          <w:spacing w:val="-2"/>
          <w:sz w:val="22"/>
          <w:szCs w:val="22"/>
          <w:lang w:val="es-ES"/>
        </w:rPr>
        <w:t>El domicilio mencionado más arriba es</w:t>
      </w:r>
      <w:r w:rsidRPr="00344818">
        <w:rPr>
          <w:rFonts w:ascii="Arial" w:hAnsi="Arial" w:cs="Arial"/>
          <w:i/>
          <w:spacing w:val="-2"/>
          <w:sz w:val="22"/>
          <w:szCs w:val="22"/>
          <w:lang w:val="es-ES"/>
        </w:rPr>
        <w:t xml:space="preserve">: </w:t>
      </w:r>
      <w:r w:rsidRPr="00344818">
        <w:rPr>
          <w:rFonts w:ascii="Arial" w:hAnsi="Arial" w:cs="Arial"/>
          <w:i/>
          <w:spacing w:val="-2"/>
          <w:sz w:val="22"/>
          <w:szCs w:val="22"/>
        </w:rPr>
        <w:t>De la Iglesia San Agustín, 1 cuadra al Oeste, 10 varas al Sur. Altamira D´Este Managua, Nicaragua</w:t>
      </w:r>
      <w:r w:rsidRPr="00344818" w:rsidDel="001227B1">
        <w:rPr>
          <w:rFonts w:ascii="Arial" w:hAnsi="Arial" w:cs="Arial"/>
          <w:i/>
          <w:spacing w:val="-2"/>
          <w:sz w:val="22"/>
          <w:szCs w:val="22"/>
          <w:lang w:val="es-ES"/>
        </w:rPr>
        <w:t xml:space="preserve"> </w:t>
      </w:r>
      <w:r w:rsidRPr="00344818">
        <w:rPr>
          <w:rFonts w:ascii="Arial" w:hAnsi="Arial" w:cs="Arial"/>
          <w:i/>
          <w:spacing w:val="-2"/>
          <w:sz w:val="22"/>
          <w:szCs w:val="22"/>
          <w:lang w:val="es-ES"/>
        </w:rPr>
        <w:t xml:space="preserve">en la el </w:t>
      </w:r>
      <w:r w:rsidRPr="00344818">
        <w:rPr>
          <w:rFonts w:ascii="Arial" w:hAnsi="Arial" w:cs="Arial"/>
          <w:i/>
          <w:spacing w:val="-2"/>
          <w:sz w:val="22"/>
          <w:szCs w:val="22"/>
        </w:rPr>
        <w:t>División de Adquisiciones del</w:t>
      </w:r>
      <w:r w:rsidRPr="00344818">
        <w:rPr>
          <w:rFonts w:ascii="Arial" w:hAnsi="Arial" w:cs="Arial"/>
          <w:b/>
          <w:sz w:val="22"/>
          <w:szCs w:val="22"/>
        </w:rPr>
        <w:t xml:space="preserve"> </w:t>
      </w:r>
      <w:r w:rsidRPr="00344818">
        <w:rPr>
          <w:rFonts w:ascii="Arial" w:hAnsi="Arial" w:cs="Arial"/>
          <w:i/>
          <w:spacing w:val="-2"/>
          <w:sz w:val="22"/>
          <w:szCs w:val="22"/>
        </w:rPr>
        <w:t>Fondo de Inversión Social de Emergencia.</w:t>
      </w:r>
    </w:p>
    <w:p w14:paraId="1BF2EBD2" w14:textId="77777777" w:rsidR="00C43902" w:rsidRDefault="00C43902" w:rsidP="00C43902">
      <w:pPr>
        <w:pStyle w:val="Prrafodelista"/>
        <w:autoSpaceDE w:val="0"/>
        <w:ind w:left="567" w:right="74"/>
        <w:jc w:val="center"/>
        <w:rPr>
          <w:rFonts w:ascii="Arial" w:hAnsi="Arial" w:cs="Arial"/>
          <w:b/>
          <w:sz w:val="22"/>
          <w:szCs w:val="22"/>
        </w:rPr>
      </w:pPr>
    </w:p>
    <w:p w14:paraId="514D910F" w14:textId="77777777" w:rsidR="00C43902" w:rsidRDefault="00C43902" w:rsidP="00C43902">
      <w:pPr>
        <w:pStyle w:val="Prrafodelista"/>
        <w:autoSpaceDE w:val="0"/>
        <w:ind w:left="567" w:right="74"/>
        <w:jc w:val="center"/>
        <w:rPr>
          <w:rFonts w:ascii="Arial" w:hAnsi="Arial" w:cs="Arial"/>
          <w:b/>
          <w:sz w:val="22"/>
          <w:szCs w:val="22"/>
        </w:rPr>
      </w:pPr>
    </w:p>
    <w:p w14:paraId="27C2C803" w14:textId="77777777" w:rsidR="00C43902" w:rsidRDefault="00C43902" w:rsidP="00C43902">
      <w:pPr>
        <w:pStyle w:val="Prrafodelista"/>
        <w:autoSpaceDE w:val="0"/>
        <w:ind w:left="567" w:right="74"/>
        <w:jc w:val="center"/>
        <w:rPr>
          <w:rFonts w:ascii="Arial" w:hAnsi="Arial" w:cs="Arial"/>
          <w:b/>
          <w:sz w:val="22"/>
          <w:szCs w:val="22"/>
        </w:rPr>
      </w:pPr>
    </w:p>
    <w:p w14:paraId="767FF394" w14:textId="77777777" w:rsidR="00C43902" w:rsidRDefault="00C43902" w:rsidP="00C43902">
      <w:pPr>
        <w:pStyle w:val="Prrafodelista"/>
        <w:autoSpaceDE w:val="0"/>
        <w:ind w:left="567" w:right="74"/>
        <w:jc w:val="center"/>
        <w:rPr>
          <w:rFonts w:ascii="Arial" w:hAnsi="Arial" w:cs="Arial"/>
          <w:b/>
          <w:sz w:val="22"/>
          <w:szCs w:val="22"/>
        </w:rPr>
      </w:pPr>
    </w:p>
    <w:p w14:paraId="25B06276" w14:textId="77777777" w:rsidR="00C43902" w:rsidRDefault="00C43902" w:rsidP="00C43902">
      <w:pPr>
        <w:pStyle w:val="Prrafodelista"/>
        <w:autoSpaceDE w:val="0"/>
        <w:ind w:left="567" w:right="74"/>
        <w:jc w:val="center"/>
        <w:rPr>
          <w:rFonts w:ascii="Arial" w:hAnsi="Arial" w:cs="Arial"/>
          <w:b/>
          <w:sz w:val="22"/>
          <w:szCs w:val="22"/>
        </w:rPr>
      </w:pPr>
    </w:p>
    <w:p w14:paraId="7ABE1FB5" w14:textId="77777777" w:rsidR="00C43902" w:rsidRDefault="008E04A6" w:rsidP="00C43902">
      <w:pPr>
        <w:pStyle w:val="Prrafodelista"/>
        <w:autoSpaceDE w:val="0"/>
        <w:ind w:left="567" w:right="74"/>
        <w:jc w:val="center"/>
        <w:rPr>
          <w:rFonts w:ascii="Arial" w:hAnsi="Arial" w:cs="Arial"/>
          <w:b/>
          <w:sz w:val="22"/>
          <w:szCs w:val="22"/>
        </w:rPr>
      </w:pPr>
      <w:r w:rsidRPr="00344818">
        <w:rPr>
          <w:rFonts w:ascii="Arial" w:hAnsi="Arial" w:cs="Arial"/>
          <w:b/>
          <w:sz w:val="22"/>
          <w:szCs w:val="22"/>
        </w:rPr>
        <w:t xml:space="preserve">Hortencia Aracely Robelo Somarriba, </w:t>
      </w:r>
    </w:p>
    <w:p w14:paraId="6AD35099" w14:textId="77777777" w:rsidR="008E04A6" w:rsidRPr="00344818" w:rsidRDefault="008E04A6" w:rsidP="00C43902">
      <w:pPr>
        <w:pStyle w:val="Prrafodelista"/>
        <w:autoSpaceDE w:val="0"/>
        <w:ind w:left="567" w:right="74"/>
        <w:jc w:val="center"/>
        <w:rPr>
          <w:rFonts w:ascii="Arial" w:hAnsi="Arial" w:cs="Arial"/>
          <w:b/>
          <w:sz w:val="22"/>
          <w:szCs w:val="22"/>
        </w:rPr>
      </w:pPr>
      <w:r w:rsidRPr="00344818">
        <w:rPr>
          <w:rFonts w:ascii="Arial" w:hAnsi="Arial" w:cs="Arial"/>
          <w:b/>
          <w:sz w:val="22"/>
          <w:szCs w:val="22"/>
        </w:rPr>
        <w:t>Directora de la División de Adquisiciones</w:t>
      </w:r>
    </w:p>
    <w:p w14:paraId="47C7E283" w14:textId="77777777" w:rsidR="008E04A6" w:rsidRPr="00344818" w:rsidRDefault="008E04A6" w:rsidP="00C43902">
      <w:pPr>
        <w:pStyle w:val="Prrafodelista"/>
        <w:autoSpaceDE w:val="0"/>
        <w:ind w:left="567" w:right="74"/>
        <w:jc w:val="center"/>
        <w:rPr>
          <w:rFonts w:ascii="Arial" w:hAnsi="Arial" w:cs="Arial"/>
          <w:b/>
          <w:sz w:val="22"/>
          <w:szCs w:val="22"/>
        </w:rPr>
      </w:pPr>
      <w:r w:rsidRPr="00344818">
        <w:rPr>
          <w:rFonts w:ascii="Arial" w:hAnsi="Arial" w:cs="Arial"/>
          <w:b/>
          <w:sz w:val="22"/>
          <w:szCs w:val="22"/>
        </w:rPr>
        <w:t>Fondo de Inversión Social de Emergencia (FISE)</w:t>
      </w:r>
    </w:p>
    <w:p w14:paraId="5A4988D7" w14:textId="77777777" w:rsidR="008E04A6" w:rsidRPr="00344818" w:rsidRDefault="008E04A6" w:rsidP="00C43902">
      <w:pPr>
        <w:pStyle w:val="Prrafodelista"/>
        <w:autoSpaceDE w:val="0"/>
        <w:ind w:left="567" w:right="74"/>
        <w:jc w:val="center"/>
        <w:rPr>
          <w:rFonts w:ascii="Arial" w:hAnsi="Arial" w:cs="Arial"/>
          <w:b/>
          <w:sz w:val="22"/>
          <w:szCs w:val="22"/>
        </w:rPr>
      </w:pPr>
      <w:r w:rsidRPr="00344818">
        <w:rPr>
          <w:rFonts w:ascii="Arial" w:hAnsi="Arial" w:cs="Arial"/>
          <w:b/>
          <w:sz w:val="22"/>
          <w:szCs w:val="22"/>
        </w:rPr>
        <w:t>De la Iglesia San Agustín, 1 cuadra al Oeste, 10 varas al Sur. Altamira D´Este.</w:t>
      </w:r>
    </w:p>
    <w:p w14:paraId="5213845C" w14:textId="77777777" w:rsidR="008E04A6" w:rsidRPr="00344818" w:rsidRDefault="008E04A6" w:rsidP="00C43902">
      <w:pPr>
        <w:pStyle w:val="Prrafodelista"/>
        <w:autoSpaceDE w:val="0"/>
        <w:ind w:left="567" w:right="74"/>
        <w:jc w:val="center"/>
        <w:rPr>
          <w:rFonts w:ascii="Arial" w:hAnsi="Arial" w:cs="Arial"/>
          <w:b/>
          <w:sz w:val="22"/>
          <w:szCs w:val="22"/>
        </w:rPr>
      </w:pPr>
      <w:r w:rsidRPr="00344818">
        <w:rPr>
          <w:rFonts w:ascii="Arial" w:hAnsi="Arial" w:cs="Arial"/>
          <w:b/>
          <w:sz w:val="22"/>
          <w:szCs w:val="22"/>
        </w:rPr>
        <w:t>Managua, Nicaragua.</w:t>
      </w:r>
    </w:p>
    <w:p w14:paraId="51C9989C" w14:textId="77777777" w:rsidR="00D91273" w:rsidRDefault="00D91273" w:rsidP="00C43902">
      <w:pPr>
        <w:jc w:val="center"/>
        <w:rPr>
          <w:i/>
          <w:spacing w:val="-2"/>
          <w:lang w:val="es-ES"/>
        </w:rPr>
      </w:pPr>
      <w:r>
        <w:rPr>
          <w:i/>
          <w:spacing w:val="-2"/>
          <w:lang w:val="es-ES"/>
        </w:rPr>
        <w:br w:type="page"/>
      </w:r>
    </w:p>
    <w:p w14:paraId="3DF074AF" w14:textId="77777777" w:rsidR="000E67B0" w:rsidRDefault="008E04A6" w:rsidP="00467B53">
      <w:pPr>
        <w:jc w:val="left"/>
        <w:rPr>
          <w:rFonts w:asciiTheme="minorHAnsi" w:hAnsiTheme="minorHAnsi" w:cstheme="minorHAnsi"/>
          <w:bCs/>
          <w:smallCaps/>
          <w:sz w:val="56"/>
          <w:szCs w:val="40"/>
          <w:lang w:val="es-ES"/>
        </w:rPr>
      </w:pPr>
      <w:r w:rsidRPr="00344818">
        <w:rPr>
          <w:rFonts w:ascii="Arial" w:hAnsi="Arial" w:cs="Arial"/>
          <w:bCs/>
          <w:smallCaps/>
          <w:noProof/>
          <w:sz w:val="22"/>
          <w:szCs w:val="22"/>
          <w:lang w:val="es-MX" w:eastAsia="es-MX"/>
        </w:rPr>
        <w:lastRenderedPageBreak/>
        <w:drawing>
          <wp:anchor distT="0" distB="0" distL="114300" distR="114300" simplePos="0" relativeHeight="251662336" behindDoc="0" locked="0" layoutInCell="1" allowOverlap="1" wp14:anchorId="0A1DFF60" wp14:editId="3BDAB694">
            <wp:simplePos x="0" y="0"/>
            <wp:positionH relativeFrom="column">
              <wp:posOffset>5000368</wp:posOffset>
            </wp:positionH>
            <wp:positionV relativeFrom="paragraph">
              <wp:posOffset>8237</wp:posOffset>
            </wp:positionV>
            <wp:extent cx="1347470" cy="87820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7470" cy="878205"/>
                    </a:xfrm>
                    <a:prstGeom prst="rect">
                      <a:avLst/>
                    </a:prstGeom>
                    <a:noFill/>
                  </pic:spPr>
                </pic:pic>
              </a:graphicData>
            </a:graphic>
            <wp14:sizeRelH relativeFrom="page">
              <wp14:pctWidth>0</wp14:pctWidth>
            </wp14:sizeRelH>
            <wp14:sizeRelV relativeFrom="page">
              <wp14:pctHeight>0</wp14:pctHeight>
            </wp14:sizeRelV>
          </wp:anchor>
        </w:drawing>
      </w:r>
      <w:r w:rsidRPr="00344818">
        <w:rPr>
          <w:rFonts w:ascii="Arial" w:hAnsi="Arial" w:cs="Arial"/>
          <w:bCs/>
          <w:smallCaps/>
          <w:noProof/>
          <w:sz w:val="22"/>
          <w:szCs w:val="22"/>
          <w:lang w:val="es-MX" w:eastAsia="es-MX"/>
        </w:rPr>
        <w:drawing>
          <wp:anchor distT="0" distB="0" distL="114300" distR="114300" simplePos="0" relativeHeight="251663360" behindDoc="0" locked="0" layoutInCell="1" allowOverlap="1" wp14:anchorId="509B2827" wp14:editId="6B603895">
            <wp:simplePos x="0" y="0"/>
            <wp:positionH relativeFrom="column">
              <wp:posOffset>1952368</wp:posOffset>
            </wp:positionH>
            <wp:positionV relativeFrom="paragraph">
              <wp:posOffset>9508</wp:posOffset>
            </wp:positionV>
            <wp:extent cx="2865120" cy="7924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792480"/>
                    </a:xfrm>
                    <a:prstGeom prst="rect">
                      <a:avLst/>
                    </a:prstGeom>
                    <a:noFill/>
                  </pic:spPr>
                </pic:pic>
              </a:graphicData>
            </a:graphic>
            <wp14:sizeRelH relativeFrom="page">
              <wp14:pctWidth>0</wp14:pctWidth>
            </wp14:sizeRelH>
            <wp14:sizeRelV relativeFrom="page">
              <wp14:pctHeight>0</wp14:pctHeight>
            </wp14:sizeRelV>
          </wp:anchor>
        </w:drawing>
      </w:r>
      <w:r w:rsidR="000E67B0">
        <w:rPr>
          <w:noProof/>
          <w:lang w:val="es-MX" w:eastAsia="es-MX"/>
        </w:rPr>
        <w:drawing>
          <wp:anchor distT="0" distB="0" distL="114300" distR="114300" simplePos="0" relativeHeight="251657216" behindDoc="1" locked="0" layoutInCell="1" allowOverlap="1" wp14:anchorId="656792DB" wp14:editId="5179B699">
            <wp:simplePos x="0" y="0"/>
            <wp:positionH relativeFrom="column">
              <wp:posOffset>0</wp:posOffset>
            </wp:positionH>
            <wp:positionV relativeFrom="paragraph">
              <wp:posOffset>-635</wp:posOffset>
            </wp:positionV>
            <wp:extent cx="2155806" cy="1251999"/>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806" cy="1251999"/>
                    </a:xfrm>
                    <a:prstGeom prst="rect">
                      <a:avLst/>
                    </a:prstGeom>
                  </pic:spPr>
                </pic:pic>
              </a:graphicData>
            </a:graphic>
          </wp:anchor>
        </w:drawing>
      </w:r>
    </w:p>
    <w:p w14:paraId="4CB93983" w14:textId="77777777" w:rsidR="003E1D01" w:rsidRDefault="003E1D01" w:rsidP="000E67B0">
      <w:pPr>
        <w:pStyle w:val="Heading1a"/>
        <w:keepNext w:val="0"/>
        <w:keepLines w:val="0"/>
        <w:tabs>
          <w:tab w:val="clear" w:pos="-720"/>
        </w:tabs>
        <w:suppressAutoHyphens w:val="0"/>
        <w:rPr>
          <w:rFonts w:asciiTheme="minorHAnsi" w:hAnsiTheme="minorHAnsi" w:cstheme="minorHAnsi"/>
          <w:bCs/>
          <w:smallCaps w:val="0"/>
          <w:sz w:val="56"/>
          <w:szCs w:val="40"/>
          <w:lang w:val="es-ES"/>
        </w:rPr>
      </w:pPr>
    </w:p>
    <w:p w14:paraId="78E02B8E" w14:textId="77777777" w:rsidR="003E1D01" w:rsidRDefault="003E1D01" w:rsidP="000E67B0">
      <w:pPr>
        <w:pStyle w:val="Heading1a"/>
        <w:keepNext w:val="0"/>
        <w:keepLines w:val="0"/>
        <w:tabs>
          <w:tab w:val="clear" w:pos="-720"/>
        </w:tabs>
        <w:suppressAutoHyphens w:val="0"/>
        <w:rPr>
          <w:rFonts w:asciiTheme="minorHAnsi" w:hAnsiTheme="minorHAnsi" w:cstheme="minorHAnsi"/>
          <w:bCs/>
          <w:smallCaps w:val="0"/>
          <w:sz w:val="56"/>
          <w:szCs w:val="40"/>
          <w:lang w:val="es-ES"/>
        </w:rPr>
      </w:pPr>
    </w:p>
    <w:p w14:paraId="4AF3E60A" w14:textId="77777777" w:rsidR="003E1D01" w:rsidRDefault="003E1D01" w:rsidP="000E67B0">
      <w:pPr>
        <w:pStyle w:val="Heading1a"/>
        <w:keepNext w:val="0"/>
        <w:keepLines w:val="0"/>
        <w:tabs>
          <w:tab w:val="clear" w:pos="-720"/>
        </w:tabs>
        <w:suppressAutoHyphens w:val="0"/>
        <w:rPr>
          <w:rFonts w:asciiTheme="minorHAnsi" w:hAnsiTheme="minorHAnsi" w:cstheme="minorHAnsi"/>
          <w:bCs/>
          <w:smallCaps w:val="0"/>
          <w:sz w:val="56"/>
          <w:szCs w:val="40"/>
          <w:lang w:val="es-ES"/>
        </w:rPr>
      </w:pPr>
    </w:p>
    <w:p w14:paraId="09CCE66D" w14:textId="77777777" w:rsidR="000E7803" w:rsidRPr="00344818" w:rsidRDefault="000E7803" w:rsidP="000E7803">
      <w:pPr>
        <w:spacing w:before="120" w:after="120"/>
        <w:ind w:right="-34"/>
        <w:jc w:val="center"/>
        <w:rPr>
          <w:rFonts w:ascii="Arial" w:hAnsi="Arial" w:cs="Arial"/>
          <w:b/>
          <w:sz w:val="22"/>
          <w:szCs w:val="22"/>
        </w:rPr>
      </w:pPr>
      <w:r w:rsidRPr="00344818">
        <w:rPr>
          <w:rFonts w:ascii="Arial" w:hAnsi="Arial" w:cs="Arial"/>
          <w:b/>
          <w:sz w:val="22"/>
          <w:szCs w:val="22"/>
        </w:rPr>
        <w:t>Docume</w:t>
      </w:r>
      <w:r>
        <w:rPr>
          <w:rFonts w:ascii="Arial" w:hAnsi="Arial" w:cs="Arial"/>
          <w:b/>
          <w:sz w:val="22"/>
          <w:szCs w:val="22"/>
        </w:rPr>
        <w:t>nto Base de Licitación Pública Interna</w:t>
      </w:r>
      <w:r w:rsidRPr="00344818">
        <w:rPr>
          <w:rFonts w:ascii="Arial" w:hAnsi="Arial" w:cs="Arial"/>
          <w:b/>
          <w:sz w:val="22"/>
          <w:szCs w:val="22"/>
        </w:rPr>
        <w:t xml:space="preserve">cional </w:t>
      </w:r>
    </w:p>
    <w:p w14:paraId="14B0A071" w14:textId="77777777" w:rsidR="000E7803" w:rsidRPr="00344818" w:rsidRDefault="000E7803" w:rsidP="000E7803">
      <w:pPr>
        <w:spacing w:before="120" w:after="120"/>
        <w:ind w:right="-34"/>
        <w:jc w:val="center"/>
        <w:rPr>
          <w:rFonts w:ascii="Arial" w:hAnsi="Arial" w:cs="Arial"/>
          <w:b/>
          <w:sz w:val="22"/>
          <w:szCs w:val="22"/>
        </w:rPr>
      </w:pPr>
      <w:r w:rsidRPr="00344818">
        <w:rPr>
          <w:rFonts w:ascii="Arial" w:hAnsi="Arial" w:cs="Arial"/>
          <w:b/>
          <w:sz w:val="22"/>
          <w:szCs w:val="22"/>
        </w:rPr>
        <w:t xml:space="preserve">Para la Adquisición de Obras con Recursos del </w:t>
      </w:r>
    </w:p>
    <w:p w14:paraId="5707D568" w14:textId="77777777" w:rsidR="000E7803" w:rsidRPr="00344818" w:rsidRDefault="000E7803" w:rsidP="000E7803">
      <w:pPr>
        <w:spacing w:before="120" w:after="120"/>
        <w:ind w:right="-34"/>
        <w:jc w:val="center"/>
        <w:rPr>
          <w:rFonts w:ascii="Arial" w:hAnsi="Arial" w:cs="Arial"/>
          <w:b/>
          <w:sz w:val="22"/>
          <w:szCs w:val="22"/>
        </w:rPr>
      </w:pPr>
      <w:r w:rsidRPr="00344818">
        <w:rPr>
          <w:rFonts w:ascii="Arial" w:hAnsi="Arial" w:cs="Arial"/>
          <w:b/>
          <w:sz w:val="22"/>
          <w:szCs w:val="22"/>
        </w:rPr>
        <w:t>Banco Centroamericano de Integración Económica</w:t>
      </w:r>
    </w:p>
    <w:p w14:paraId="6292E61F" w14:textId="77777777" w:rsidR="000E7803" w:rsidRPr="00344818" w:rsidRDefault="000E7803" w:rsidP="000E7803">
      <w:pPr>
        <w:ind w:left="-540" w:right="361"/>
        <w:jc w:val="center"/>
        <w:rPr>
          <w:rFonts w:ascii="Arial" w:hAnsi="Arial" w:cs="Arial"/>
          <w:b/>
          <w:sz w:val="22"/>
          <w:szCs w:val="22"/>
        </w:rPr>
      </w:pPr>
      <w:r w:rsidRPr="00344818">
        <w:rPr>
          <w:rFonts w:ascii="Arial" w:hAnsi="Arial" w:cs="Arial"/>
          <w:b/>
          <w:sz w:val="22"/>
          <w:szCs w:val="22"/>
        </w:rPr>
        <w:t>Una Etapa – Un Sobre</w:t>
      </w:r>
    </w:p>
    <w:p w14:paraId="38933051" w14:textId="77777777" w:rsidR="000E7803" w:rsidRPr="00344818" w:rsidRDefault="000E7803" w:rsidP="000E7803">
      <w:pPr>
        <w:tabs>
          <w:tab w:val="left" w:pos="720"/>
          <w:tab w:val="right" w:leader="dot" w:pos="8640"/>
        </w:tabs>
        <w:jc w:val="center"/>
        <w:rPr>
          <w:rFonts w:ascii="Arial" w:hAnsi="Arial" w:cs="Arial"/>
          <w:b/>
          <w:sz w:val="22"/>
          <w:szCs w:val="22"/>
        </w:rPr>
      </w:pPr>
    </w:p>
    <w:p w14:paraId="01B17357" w14:textId="77777777" w:rsidR="000E7803" w:rsidRDefault="000E7803" w:rsidP="000E7803">
      <w:pPr>
        <w:tabs>
          <w:tab w:val="left" w:pos="720"/>
          <w:tab w:val="right" w:leader="dot" w:pos="8640"/>
        </w:tabs>
        <w:jc w:val="center"/>
        <w:rPr>
          <w:rFonts w:ascii="Arial" w:hAnsi="Arial" w:cs="Arial"/>
          <w:b/>
          <w:sz w:val="22"/>
          <w:szCs w:val="22"/>
        </w:rPr>
      </w:pPr>
    </w:p>
    <w:p w14:paraId="0FA270E7" w14:textId="77777777" w:rsidR="000E7803" w:rsidRPr="00344818" w:rsidRDefault="000E7803" w:rsidP="000E7803">
      <w:pPr>
        <w:tabs>
          <w:tab w:val="left" w:pos="720"/>
          <w:tab w:val="right" w:leader="dot" w:pos="8640"/>
        </w:tabs>
        <w:jc w:val="center"/>
        <w:rPr>
          <w:rFonts w:ascii="Arial" w:hAnsi="Arial" w:cs="Arial"/>
          <w:b/>
          <w:sz w:val="22"/>
          <w:szCs w:val="22"/>
        </w:rPr>
      </w:pPr>
      <w:r w:rsidRPr="00344818">
        <w:rPr>
          <w:rFonts w:ascii="Arial" w:hAnsi="Arial" w:cs="Arial"/>
          <w:b/>
          <w:sz w:val="22"/>
          <w:szCs w:val="22"/>
        </w:rPr>
        <w:t>Contratación de:</w:t>
      </w:r>
    </w:p>
    <w:p w14:paraId="65D20C69" w14:textId="77777777" w:rsidR="000E7803" w:rsidRPr="00344818" w:rsidRDefault="000E7803" w:rsidP="000E7803">
      <w:pPr>
        <w:tabs>
          <w:tab w:val="left" w:pos="720"/>
          <w:tab w:val="right" w:leader="dot" w:pos="8640"/>
        </w:tabs>
        <w:jc w:val="center"/>
        <w:rPr>
          <w:rFonts w:ascii="Arial" w:hAnsi="Arial" w:cs="Arial"/>
          <w:b/>
          <w:sz w:val="22"/>
          <w:szCs w:val="22"/>
        </w:rPr>
      </w:pPr>
      <w:r w:rsidRPr="00344818">
        <w:rPr>
          <w:rFonts w:ascii="Arial" w:hAnsi="Arial" w:cs="Arial"/>
          <w:b/>
          <w:sz w:val="22"/>
          <w:szCs w:val="22"/>
        </w:rPr>
        <w:t>Construcción de Sistemas de Agua y Saneamiento e</w:t>
      </w:r>
      <w:r>
        <w:rPr>
          <w:rFonts w:ascii="Arial" w:hAnsi="Arial" w:cs="Arial"/>
          <w:b/>
          <w:sz w:val="22"/>
          <w:szCs w:val="22"/>
        </w:rPr>
        <w:t>n la Región I</w:t>
      </w:r>
      <w:r w:rsidRPr="00344818">
        <w:rPr>
          <w:rFonts w:ascii="Arial" w:hAnsi="Arial" w:cs="Arial"/>
          <w:b/>
          <w:sz w:val="22"/>
          <w:szCs w:val="22"/>
        </w:rPr>
        <w:t>-Grupo B</w:t>
      </w:r>
    </w:p>
    <w:p w14:paraId="4632F55B" w14:textId="77777777" w:rsidR="000E7803" w:rsidRPr="00344818" w:rsidRDefault="000E7803" w:rsidP="000E7803">
      <w:pPr>
        <w:ind w:right="-34"/>
        <w:jc w:val="center"/>
        <w:rPr>
          <w:rFonts w:ascii="Arial" w:hAnsi="Arial" w:cs="Arial"/>
          <w:b/>
          <w:sz w:val="22"/>
          <w:szCs w:val="22"/>
        </w:rPr>
      </w:pPr>
    </w:p>
    <w:p w14:paraId="2BFB7C67" w14:textId="77777777" w:rsidR="000E7803" w:rsidRPr="00344818" w:rsidRDefault="001B3327" w:rsidP="000E7803">
      <w:pPr>
        <w:ind w:right="-34"/>
        <w:jc w:val="center"/>
        <w:rPr>
          <w:rFonts w:ascii="Arial" w:hAnsi="Arial" w:cs="Arial"/>
          <w:b/>
          <w:sz w:val="22"/>
          <w:szCs w:val="22"/>
        </w:rPr>
      </w:pPr>
      <w:r>
        <w:rPr>
          <w:rFonts w:ascii="Arial" w:hAnsi="Arial" w:cs="Arial"/>
          <w:b/>
          <w:sz w:val="22"/>
          <w:szCs w:val="22"/>
        </w:rPr>
        <w:t>LPI</w:t>
      </w:r>
      <w:r w:rsidR="000E7803">
        <w:rPr>
          <w:rFonts w:ascii="Arial" w:hAnsi="Arial" w:cs="Arial"/>
          <w:b/>
          <w:sz w:val="22"/>
          <w:szCs w:val="22"/>
        </w:rPr>
        <w:t xml:space="preserve"> Nº 40</w:t>
      </w:r>
      <w:r w:rsidR="000E7803" w:rsidRPr="00344818">
        <w:rPr>
          <w:rFonts w:ascii="Arial" w:hAnsi="Arial" w:cs="Arial"/>
          <w:b/>
          <w:sz w:val="22"/>
          <w:szCs w:val="22"/>
        </w:rPr>
        <w:t>/2022</w:t>
      </w:r>
    </w:p>
    <w:p w14:paraId="69E034D0" w14:textId="77777777" w:rsidR="000E67B0" w:rsidRPr="003A201F" w:rsidRDefault="000E67B0" w:rsidP="000E67B0">
      <w:pPr>
        <w:tabs>
          <w:tab w:val="left" w:pos="720"/>
          <w:tab w:val="right" w:leader="dot" w:pos="8640"/>
        </w:tabs>
        <w:jc w:val="center"/>
        <w:rPr>
          <w:rFonts w:asciiTheme="minorHAnsi" w:hAnsiTheme="minorHAnsi" w:cstheme="minorHAnsi"/>
          <w:b/>
          <w:sz w:val="28"/>
        </w:rPr>
      </w:pPr>
    </w:p>
    <w:p w14:paraId="5956EEA5" w14:textId="77777777" w:rsidR="000E67B0" w:rsidRPr="003A201F" w:rsidRDefault="000E67B0" w:rsidP="000E67B0">
      <w:pPr>
        <w:tabs>
          <w:tab w:val="left" w:pos="720"/>
          <w:tab w:val="right" w:leader="dot" w:pos="8640"/>
        </w:tabs>
        <w:jc w:val="center"/>
        <w:rPr>
          <w:rFonts w:asciiTheme="minorHAnsi" w:hAnsiTheme="minorHAnsi" w:cstheme="minorHAnsi"/>
          <w:b/>
          <w:sz w:val="28"/>
          <w:szCs w:val="28"/>
        </w:rPr>
      </w:pPr>
    </w:p>
    <w:p w14:paraId="770E1D09" w14:textId="77777777" w:rsidR="000E67B0" w:rsidRPr="003A201F" w:rsidRDefault="000E67B0" w:rsidP="000E67B0">
      <w:pPr>
        <w:tabs>
          <w:tab w:val="left" w:pos="720"/>
          <w:tab w:val="right" w:leader="dot" w:pos="8640"/>
        </w:tabs>
        <w:jc w:val="center"/>
        <w:rPr>
          <w:rFonts w:asciiTheme="minorHAnsi" w:hAnsiTheme="minorHAnsi" w:cstheme="minorHAnsi"/>
          <w:b/>
          <w:sz w:val="28"/>
          <w:szCs w:val="28"/>
        </w:rPr>
      </w:pPr>
    </w:p>
    <w:p w14:paraId="737CCE17" w14:textId="77777777" w:rsidR="000E7803" w:rsidRPr="00344818" w:rsidRDefault="000E7803" w:rsidP="000E7803">
      <w:pPr>
        <w:tabs>
          <w:tab w:val="left" w:pos="720"/>
          <w:tab w:val="right" w:leader="dot" w:pos="8640"/>
        </w:tabs>
        <w:jc w:val="center"/>
        <w:rPr>
          <w:rFonts w:ascii="Arial" w:hAnsi="Arial" w:cs="Arial"/>
          <w:b/>
          <w:bCs/>
          <w:i/>
          <w:color w:val="FF0000"/>
          <w:sz w:val="22"/>
          <w:szCs w:val="22"/>
        </w:rPr>
      </w:pPr>
    </w:p>
    <w:p w14:paraId="15FB30E2" w14:textId="77777777" w:rsidR="000E7803" w:rsidRPr="00344818" w:rsidRDefault="000E7803" w:rsidP="000E7803">
      <w:pPr>
        <w:ind w:left="2880" w:hanging="2880"/>
        <w:rPr>
          <w:rFonts w:ascii="Arial" w:hAnsi="Arial" w:cs="Arial"/>
          <w:bCs/>
          <w:i/>
          <w:color w:val="FF0000"/>
          <w:sz w:val="22"/>
          <w:szCs w:val="22"/>
        </w:rPr>
      </w:pPr>
      <w:r w:rsidRPr="00344818">
        <w:rPr>
          <w:rFonts w:ascii="Arial" w:hAnsi="Arial" w:cs="Arial"/>
          <w:bCs/>
          <w:sz w:val="22"/>
          <w:szCs w:val="22"/>
        </w:rPr>
        <w:t xml:space="preserve">Operación: </w:t>
      </w:r>
      <w:r w:rsidRPr="00344818">
        <w:rPr>
          <w:rFonts w:ascii="Arial" w:hAnsi="Arial" w:cs="Arial"/>
          <w:bCs/>
          <w:sz w:val="22"/>
          <w:szCs w:val="22"/>
        </w:rPr>
        <w:tab/>
      </w:r>
      <w:r w:rsidRPr="00344818">
        <w:rPr>
          <w:rFonts w:ascii="Arial" w:hAnsi="Arial" w:cs="Arial"/>
          <w:bCs/>
          <w:i/>
          <w:sz w:val="22"/>
          <w:szCs w:val="22"/>
        </w:rPr>
        <w:t>Contrato de Préstamo N°2141</w:t>
      </w:r>
    </w:p>
    <w:p w14:paraId="608F1090" w14:textId="77777777" w:rsidR="000E7803" w:rsidRPr="00344818" w:rsidRDefault="000E7803" w:rsidP="00C43902">
      <w:pPr>
        <w:rPr>
          <w:rFonts w:ascii="Arial" w:hAnsi="Arial" w:cs="Arial"/>
          <w:bCs/>
          <w:i/>
          <w:sz w:val="22"/>
          <w:szCs w:val="22"/>
        </w:rPr>
      </w:pPr>
      <w:r w:rsidRPr="00344818">
        <w:rPr>
          <w:rFonts w:ascii="Arial" w:hAnsi="Arial" w:cs="Arial"/>
          <w:bCs/>
          <w:sz w:val="22"/>
          <w:szCs w:val="22"/>
        </w:rPr>
        <w:t>Título del contrato:</w:t>
      </w:r>
      <w:r w:rsidRPr="00344818">
        <w:rPr>
          <w:rFonts w:ascii="Arial" w:hAnsi="Arial" w:cs="Arial"/>
          <w:bCs/>
          <w:i/>
          <w:color w:val="FF0000"/>
          <w:sz w:val="22"/>
          <w:szCs w:val="22"/>
        </w:rPr>
        <w:t xml:space="preserve"> </w:t>
      </w:r>
      <w:r w:rsidRPr="00344818">
        <w:rPr>
          <w:rFonts w:ascii="Arial" w:hAnsi="Arial" w:cs="Arial"/>
          <w:bCs/>
          <w:i/>
          <w:color w:val="FF0000"/>
          <w:sz w:val="22"/>
          <w:szCs w:val="22"/>
        </w:rPr>
        <w:tab/>
      </w:r>
      <w:r w:rsidR="00B74744">
        <w:rPr>
          <w:rFonts w:ascii="Arial" w:hAnsi="Arial" w:cs="Arial"/>
          <w:bCs/>
          <w:i/>
          <w:color w:val="FF0000"/>
          <w:sz w:val="22"/>
          <w:szCs w:val="22"/>
        </w:rPr>
        <w:tab/>
      </w:r>
      <w:r w:rsidR="00C43902" w:rsidRPr="00344818">
        <w:rPr>
          <w:rFonts w:ascii="Arial" w:hAnsi="Arial" w:cs="Arial"/>
          <w:bCs/>
          <w:i/>
          <w:sz w:val="22"/>
          <w:szCs w:val="22"/>
        </w:rPr>
        <w:t>Programa de Sostenibilidad del Sector Agua y Saneamiento Rural</w:t>
      </w:r>
    </w:p>
    <w:p w14:paraId="6B7B4292" w14:textId="77777777" w:rsidR="000E7803" w:rsidRPr="00344818" w:rsidRDefault="000E7803" w:rsidP="000E7803">
      <w:pPr>
        <w:tabs>
          <w:tab w:val="left" w:pos="2880"/>
          <w:tab w:val="right" w:leader="dot" w:pos="9540"/>
        </w:tabs>
        <w:rPr>
          <w:rFonts w:ascii="Arial" w:hAnsi="Arial" w:cs="Arial"/>
          <w:bCs/>
          <w:i/>
          <w:sz w:val="22"/>
          <w:szCs w:val="22"/>
        </w:rPr>
      </w:pPr>
      <w:r w:rsidRPr="00344818">
        <w:rPr>
          <w:rFonts w:ascii="Arial" w:hAnsi="Arial" w:cs="Arial"/>
          <w:bCs/>
          <w:sz w:val="22"/>
          <w:szCs w:val="22"/>
        </w:rPr>
        <w:t xml:space="preserve">Proceso No.: </w:t>
      </w:r>
      <w:r w:rsidRPr="00344818">
        <w:rPr>
          <w:rFonts w:ascii="Arial" w:hAnsi="Arial" w:cs="Arial"/>
          <w:bCs/>
          <w:sz w:val="22"/>
          <w:szCs w:val="22"/>
        </w:rPr>
        <w:tab/>
      </w:r>
      <w:r w:rsidRPr="00344818">
        <w:rPr>
          <w:rFonts w:ascii="Arial" w:hAnsi="Arial" w:cs="Arial"/>
          <w:bCs/>
          <w:i/>
          <w:sz w:val="22"/>
          <w:szCs w:val="22"/>
        </w:rPr>
        <w:t>LPI</w:t>
      </w:r>
      <w:r w:rsidRPr="00344818">
        <w:rPr>
          <w:rFonts w:ascii="Arial" w:hAnsi="Arial" w:cs="Arial"/>
          <w:bCs/>
          <w:sz w:val="22"/>
          <w:szCs w:val="22"/>
        </w:rPr>
        <w:t xml:space="preserve"> </w:t>
      </w:r>
      <w:r w:rsidR="00B74744">
        <w:rPr>
          <w:rFonts w:ascii="Arial" w:hAnsi="Arial" w:cs="Arial"/>
          <w:bCs/>
          <w:i/>
          <w:sz w:val="22"/>
          <w:szCs w:val="22"/>
        </w:rPr>
        <w:t>40</w:t>
      </w:r>
      <w:r w:rsidRPr="00344818">
        <w:rPr>
          <w:rFonts w:ascii="Arial" w:hAnsi="Arial" w:cs="Arial"/>
          <w:bCs/>
          <w:i/>
          <w:sz w:val="22"/>
          <w:szCs w:val="22"/>
        </w:rPr>
        <w:t>-2022</w:t>
      </w:r>
    </w:p>
    <w:p w14:paraId="72B5C835" w14:textId="77777777" w:rsidR="000E7803" w:rsidRPr="00344818" w:rsidRDefault="000E7803" w:rsidP="000E7803">
      <w:pPr>
        <w:ind w:left="2880" w:hanging="2880"/>
        <w:rPr>
          <w:rFonts w:ascii="Arial" w:hAnsi="Arial" w:cs="Arial"/>
          <w:bCs/>
          <w:i/>
          <w:sz w:val="22"/>
          <w:szCs w:val="22"/>
        </w:rPr>
      </w:pPr>
      <w:r w:rsidRPr="00344818">
        <w:rPr>
          <w:rFonts w:ascii="Arial" w:hAnsi="Arial" w:cs="Arial"/>
          <w:bCs/>
          <w:sz w:val="22"/>
          <w:szCs w:val="22"/>
        </w:rPr>
        <w:t xml:space="preserve">Contratante: </w:t>
      </w:r>
      <w:r w:rsidRPr="00344818">
        <w:rPr>
          <w:rFonts w:ascii="Arial" w:hAnsi="Arial" w:cs="Arial"/>
          <w:bCs/>
          <w:sz w:val="22"/>
          <w:szCs w:val="22"/>
        </w:rPr>
        <w:tab/>
      </w:r>
      <w:r w:rsidRPr="00344818">
        <w:rPr>
          <w:rFonts w:ascii="Arial" w:hAnsi="Arial" w:cs="Arial"/>
          <w:bCs/>
          <w:i/>
          <w:sz w:val="22"/>
          <w:szCs w:val="22"/>
        </w:rPr>
        <w:t>Fondo de Inversión Social de Emergencia (FISE)</w:t>
      </w:r>
    </w:p>
    <w:p w14:paraId="42CE8C1E" w14:textId="77777777" w:rsidR="000E7803" w:rsidRPr="00344818" w:rsidRDefault="000E7803" w:rsidP="000E7803">
      <w:pPr>
        <w:rPr>
          <w:rFonts w:ascii="Arial" w:hAnsi="Arial" w:cs="Arial"/>
          <w:i/>
          <w:sz w:val="22"/>
          <w:szCs w:val="22"/>
        </w:rPr>
      </w:pPr>
      <w:r w:rsidRPr="00344818">
        <w:rPr>
          <w:rFonts w:ascii="Arial" w:hAnsi="Arial" w:cs="Arial"/>
          <w:bCs/>
          <w:sz w:val="22"/>
          <w:szCs w:val="22"/>
        </w:rPr>
        <w:t>País:</w:t>
      </w:r>
      <w:r w:rsidRPr="00344818">
        <w:rPr>
          <w:rFonts w:ascii="Arial" w:hAnsi="Arial" w:cs="Arial"/>
          <w:b/>
          <w:sz w:val="22"/>
          <w:szCs w:val="22"/>
        </w:rPr>
        <w:t xml:space="preserve"> </w:t>
      </w:r>
      <w:r w:rsidRPr="00344818">
        <w:rPr>
          <w:rFonts w:ascii="Arial" w:hAnsi="Arial" w:cs="Arial"/>
          <w:b/>
          <w:sz w:val="22"/>
          <w:szCs w:val="22"/>
        </w:rPr>
        <w:tab/>
      </w:r>
      <w:r w:rsidRPr="00344818">
        <w:rPr>
          <w:rFonts w:ascii="Arial" w:hAnsi="Arial" w:cs="Arial"/>
          <w:b/>
          <w:sz w:val="22"/>
          <w:szCs w:val="22"/>
        </w:rPr>
        <w:tab/>
      </w:r>
      <w:r w:rsidRPr="00344818">
        <w:rPr>
          <w:rFonts w:ascii="Arial" w:hAnsi="Arial" w:cs="Arial"/>
          <w:b/>
          <w:sz w:val="22"/>
          <w:szCs w:val="22"/>
        </w:rPr>
        <w:tab/>
      </w:r>
      <w:r w:rsidRPr="00344818">
        <w:rPr>
          <w:rFonts w:ascii="Arial" w:hAnsi="Arial" w:cs="Arial"/>
          <w:b/>
          <w:sz w:val="22"/>
          <w:szCs w:val="22"/>
        </w:rPr>
        <w:tab/>
      </w:r>
      <w:r w:rsidRPr="00344818">
        <w:rPr>
          <w:rFonts w:ascii="Arial" w:hAnsi="Arial" w:cs="Arial"/>
          <w:i/>
          <w:sz w:val="22"/>
          <w:szCs w:val="22"/>
        </w:rPr>
        <w:t>Nicaragua</w:t>
      </w:r>
    </w:p>
    <w:p w14:paraId="08E24646" w14:textId="77777777" w:rsidR="000E67B0" w:rsidRDefault="000E67B0">
      <w:pPr>
        <w:jc w:val="left"/>
        <w:rPr>
          <w:rFonts w:asciiTheme="minorHAnsi" w:hAnsiTheme="minorHAnsi"/>
          <w:b/>
          <w:color w:val="000000" w:themeColor="text1"/>
          <w:sz w:val="28"/>
          <w:szCs w:val="24"/>
          <w:lang w:val="es-MX"/>
        </w:rPr>
      </w:pPr>
    </w:p>
    <w:p w14:paraId="6BAEAA11" w14:textId="77777777" w:rsidR="009437B9" w:rsidRDefault="009437B9">
      <w:pPr>
        <w:jc w:val="left"/>
        <w:rPr>
          <w:rFonts w:asciiTheme="minorHAnsi" w:hAnsiTheme="minorHAnsi"/>
          <w:b/>
          <w:color w:val="000000" w:themeColor="text1"/>
          <w:sz w:val="28"/>
          <w:szCs w:val="24"/>
          <w:lang w:val="es-MX"/>
        </w:rPr>
      </w:pPr>
    </w:p>
    <w:p w14:paraId="26BF48AF" w14:textId="77777777" w:rsidR="000E67B0" w:rsidRDefault="000E67B0">
      <w:pPr>
        <w:jc w:val="left"/>
        <w:rPr>
          <w:rFonts w:asciiTheme="minorHAnsi" w:hAnsiTheme="minorHAnsi"/>
          <w:b/>
          <w:color w:val="000000" w:themeColor="text1"/>
          <w:sz w:val="28"/>
          <w:szCs w:val="24"/>
          <w:lang w:val="es-MX"/>
        </w:rPr>
      </w:pPr>
    </w:p>
    <w:p w14:paraId="13543AD1" w14:textId="7D687C9F" w:rsidR="000E67B0" w:rsidRDefault="00670F2E" w:rsidP="00BE2DB2">
      <w:pPr>
        <w:jc w:val="center"/>
        <w:rPr>
          <w:rFonts w:asciiTheme="minorHAnsi" w:hAnsiTheme="minorHAnsi"/>
          <w:b/>
          <w:color w:val="000000" w:themeColor="text1"/>
          <w:sz w:val="28"/>
          <w:szCs w:val="24"/>
          <w:lang w:val="es-MX"/>
        </w:rPr>
      </w:pPr>
      <w:r w:rsidRPr="00670F2E">
        <w:rPr>
          <w:rFonts w:asciiTheme="minorHAnsi" w:hAnsiTheme="minorHAnsi"/>
          <w:b/>
          <w:color w:val="000000" w:themeColor="text1"/>
          <w:sz w:val="28"/>
          <w:szCs w:val="24"/>
          <w:highlight w:val="yellow"/>
          <w:lang w:val="es-MX"/>
        </w:rPr>
        <w:t>mayo</w:t>
      </w:r>
      <w:r w:rsidR="000E7803" w:rsidRPr="00670F2E">
        <w:rPr>
          <w:rFonts w:asciiTheme="minorHAnsi" w:hAnsiTheme="minorHAnsi"/>
          <w:b/>
          <w:color w:val="000000" w:themeColor="text1"/>
          <w:sz w:val="28"/>
          <w:szCs w:val="24"/>
          <w:highlight w:val="yellow"/>
          <w:lang w:val="es-MX"/>
        </w:rPr>
        <w:t>, 2022</w:t>
      </w:r>
    </w:p>
    <w:p w14:paraId="21612437" w14:textId="77777777" w:rsidR="00E13BB4" w:rsidRPr="00DA59D3" w:rsidRDefault="00B03328" w:rsidP="00E13BB4">
      <w:pPr>
        <w:spacing w:before="240"/>
        <w:jc w:val="center"/>
        <w:rPr>
          <w:rFonts w:ascii="Arial" w:hAnsi="Arial" w:cs="Arial"/>
          <w:b/>
          <w:sz w:val="32"/>
          <w:szCs w:val="32"/>
          <w:lang w:val="es-ES"/>
        </w:rPr>
      </w:pPr>
      <w:r>
        <w:rPr>
          <w:rFonts w:asciiTheme="minorHAnsi" w:hAnsiTheme="minorHAnsi"/>
          <w:b/>
          <w:color w:val="000000" w:themeColor="text1"/>
          <w:sz w:val="28"/>
          <w:szCs w:val="24"/>
          <w:lang w:val="es-MX"/>
        </w:rPr>
        <w:br w:type="page"/>
      </w:r>
      <w:r w:rsidR="00DA538E" w:rsidRPr="000E7803">
        <w:rPr>
          <w:rFonts w:ascii="Arial" w:hAnsi="Arial" w:cs="Arial"/>
          <w:b/>
          <w:sz w:val="22"/>
          <w:szCs w:val="22"/>
          <w:lang w:val="es-ES"/>
        </w:rPr>
        <w:lastRenderedPageBreak/>
        <w:t>DOCUMENTO ESTÁNDAR DE ADQUISICIONES</w:t>
      </w:r>
      <w:r w:rsidR="00594FAF" w:rsidRPr="000E7803">
        <w:rPr>
          <w:rFonts w:ascii="Arial" w:hAnsi="Arial" w:cs="Arial"/>
          <w:b/>
          <w:sz w:val="22"/>
          <w:szCs w:val="22"/>
          <w:lang w:val="es-ES"/>
        </w:rPr>
        <w:t xml:space="preserve"> PARA OBRAS</w:t>
      </w:r>
    </w:p>
    <w:p w14:paraId="26B725FA" w14:textId="77777777" w:rsidR="00E13BB4" w:rsidRDefault="00E13BB4" w:rsidP="009A0484">
      <w:pPr>
        <w:jc w:val="center"/>
        <w:rPr>
          <w:rFonts w:asciiTheme="minorHAnsi" w:hAnsiTheme="minorHAnsi" w:cstheme="minorHAnsi"/>
          <w:b/>
          <w:sz w:val="32"/>
          <w:szCs w:val="32"/>
          <w:lang w:val="es-ES"/>
        </w:rPr>
      </w:pPr>
    </w:p>
    <w:p w14:paraId="5B38B30C" w14:textId="77777777" w:rsidR="00E13BB4" w:rsidRPr="00F6787D" w:rsidRDefault="00DA538E" w:rsidP="009A0484">
      <w:pPr>
        <w:spacing w:before="240"/>
        <w:jc w:val="center"/>
        <w:rPr>
          <w:rFonts w:ascii="Arial" w:hAnsi="Arial" w:cs="Arial"/>
          <w:b/>
          <w:sz w:val="28"/>
          <w:szCs w:val="28"/>
          <w:lang w:val="es-ES"/>
        </w:rPr>
      </w:pPr>
      <w:r w:rsidRPr="005E7314">
        <w:rPr>
          <w:rFonts w:ascii="Arial" w:hAnsi="Arial" w:cs="Arial"/>
          <w:b/>
          <w:sz w:val="28"/>
          <w:szCs w:val="28"/>
          <w:lang w:val="es-ES"/>
        </w:rPr>
        <w:t>Índice General</w:t>
      </w:r>
    </w:p>
    <w:p w14:paraId="2939BB49" w14:textId="77777777" w:rsidR="009A0484" w:rsidRDefault="009A0484" w:rsidP="009A0484">
      <w:pPr>
        <w:spacing w:before="240"/>
        <w:jc w:val="center"/>
        <w:rPr>
          <w:rFonts w:asciiTheme="majorHAnsi" w:hAnsiTheme="majorHAnsi"/>
          <w:b/>
          <w:sz w:val="40"/>
          <w:szCs w:val="40"/>
          <w:lang w:val="es-ES"/>
        </w:rPr>
      </w:pPr>
    </w:p>
    <w:p w14:paraId="26D2B6E3" w14:textId="77777777" w:rsidR="00DF7E27" w:rsidRDefault="00836CE1">
      <w:pPr>
        <w:pStyle w:val="TDC1"/>
        <w:rPr>
          <w:rFonts w:asciiTheme="minorHAnsi" w:eastAsiaTheme="minorEastAsia" w:hAnsiTheme="minorHAnsi" w:cstheme="minorBidi"/>
          <w:b w:val="0"/>
          <w:noProof/>
          <w:sz w:val="22"/>
          <w:szCs w:val="22"/>
          <w:lang w:val="en-US"/>
        </w:rPr>
      </w:pPr>
      <w:r>
        <w:rPr>
          <w:rFonts w:asciiTheme="majorHAnsi" w:hAnsiTheme="majorHAnsi"/>
          <w:sz w:val="40"/>
          <w:szCs w:val="40"/>
          <w:lang w:val="es-ES"/>
        </w:rPr>
        <w:fldChar w:fldCharType="begin"/>
      </w:r>
      <w:r>
        <w:rPr>
          <w:rFonts w:asciiTheme="majorHAnsi" w:hAnsiTheme="majorHAnsi"/>
          <w:sz w:val="40"/>
          <w:szCs w:val="40"/>
          <w:lang w:val="es-ES"/>
        </w:rPr>
        <w:instrText xml:space="preserve"> TOC \h \z \t "IND GEN 1,1,IND GEN 2,2" </w:instrText>
      </w:r>
      <w:r>
        <w:rPr>
          <w:rFonts w:asciiTheme="majorHAnsi" w:hAnsiTheme="majorHAnsi"/>
          <w:sz w:val="40"/>
          <w:szCs w:val="40"/>
          <w:lang w:val="es-ES"/>
        </w:rPr>
        <w:fldChar w:fldCharType="separate"/>
      </w:r>
      <w:hyperlink w:anchor="_Toc74894066" w:history="1">
        <w:r w:rsidR="00DF7E27" w:rsidRPr="00C97F49">
          <w:rPr>
            <w:rStyle w:val="Hipervnculo"/>
          </w:rPr>
          <w:t>PRIMERA PARTE: PROCEDIMIENTOS DE LA LICITACIÓN</w:t>
        </w:r>
        <w:r w:rsidR="00DF7E27">
          <w:rPr>
            <w:noProof/>
            <w:webHidden/>
          </w:rPr>
          <w:tab/>
        </w:r>
        <w:r w:rsidR="00DF7E27">
          <w:rPr>
            <w:noProof/>
            <w:webHidden/>
          </w:rPr>
          <w:fldChar w:fldCharType="begin"/>
        </w:r>
        <w:r w:rsidR="00DF7E27">
          <w:rPr>
            <w:noProof/>
            <w:webHidden/>
          </w:rPr>
          <w:instrText xml:space="preserve"> PAGEREF _Toc74894066 \h </w:instrText>
        </w:r>
        <w:r w:rsidR="00DF7E27">
          <w:rPr>
            <w:noProof/>
            <w:webHidden/>
          </w:rPr>
        </w:r>
        <w:r w:rsidR="00DF7E27">
          <w:rPr>
            <w:noProof/>
            <w:webHidden/>
          </w:rPr>
          <w:fldChar w:fldCharType="separate"/>
        </w:r>
        <w:r w:rsidR="000935B5">
          <w:rPr>
            <w:noProof/>
            <w:webHidden/>
          </w:rPr>
          <w:t>10</w:t>
        </w:r>
        <w:r w:rsidR="00DF7E27">
          <w:rPr>
            <w:noProof/>
            <w:webHidden/>
          </w:rPr>
          <w:fldChar w:fldCharType="end"/>
        </w:r>
      </w:hyperlink>
    </w:p>
    <w:p w14:paraId="7CBEF45C" w14:textId="77777777" w:rsidR="00DF7E27" w:rsidRDefault="004B50CC">
      <w:pPr>
        <w:pStyle w:val="TDC2"/>
        <w:rPr>
          <w:rFonts w:asciiTheme="minorHAnsi" w:eastAsiaTheme="minorEastAsia" w:hAnsiTheme="minorHAnsi" w:cstheme="minorBidi"/>
          <w:noProof/>
          <w:sz w:val="22"/>
          <w:szCs w:val="22"/>
          <w:lang w:val="en-US"/>
        </w:rPr>
      </w:pPr>
      <w:hyperlink w:anchor="_Toc74894067" w:history="1">
        <w:r w:rsidR="00DF7E27" w:rsidRPr="00C97F49">
          <w:rPr>
            <w:rStyle w:val="Hipervnculo"/>
          </w:rPr>
          <w:t>Sección I. Instrucciones a los oferentes (IAO)</w:t>
        </w:r>
        <w:r w:rsidR="00DF7E27">
          <w:rPr>
            <w:noProof/>
            <w:webHidden/>
          </w:rPr>
          <w:tab/>
        </w:r>
        <w:r w:rsidR="00DF7E27">
          <w:rPr>
            <w:noProof/>
            <w:webHidden/>
          </w:rPr>
          <w:fldChar w:fldCharType="begin"/>
        </w:r>
        <w:r w:rsidR="00DF7E27">
          <w:rPr>
            <w:noProof/>
            <w:webHidden/>
          </w:rPr>
          <w:instrText xml:space="preserve"> PAGEREF _Toc74894067 \h </w:instrText>
        </w:r>
        <w:r w:rsidR="00DF7E27">
          <w:rPr>
            <w:noProof/>
            <w:webHidden/>
          </w:rPr>
        </w:r>
        <w:r w:rsidR="00DF7E27">
          <w:rPr>
            <w:noProof/>
            <w:webHidden/>
          </w:rPr>
          <w:fldChar w:fldCharType="separate"/>
        </w:r>
        <w:r w:rsidR="000935B5">
          <w:rPr>
            <w:noProof/>
            <w:webHidden/>
          </w:rPr>
          <w:t>11</w:t>
        </w:r>
        <w:r w:rsidR="00DF7E27">
          <w:rPr>
            <w:noProof/>
            <w:webHidden/>
          </w:rPr>
          <w:fldChar w:fldCharType="end"/>
        </w:r>
      </w:hyperlink>
    </w:p>
    <w:p w14:paraId="44B15BB7" w14:textId="77777777" w:rsidR="00DF7E27" w:rsidRDefault="004B50CC">
      <w:pPr>
        <w:pStyle w:val="TDC2"/>
        <w:rPr>
          <w:rFonts w:asciiTheme="minorHAnsi" w:eastAsiaTheme="minorEastAsia" w:hAnsiTheme="minorHAnsi" w:cstheme="minorBidi"/>
          <w:noProof/>
          <w:sz w:val="22"/>
          <w:szCs w:val="22"/>
          <w:lang w:val="en-US"/>
        </w:rPr>
      </w:pPr>
      <w:hyperlink w:anchor="_Toc74894068" w:history="1">
        <w:r w:rsidR="00DF7E27" w:rsidRPr="00C97F49">
          <w:rPr>
            <w:rStyle w:val="Hipervnculo"/>
          </w:rPr>
          <w:t>Sección II. Datos de la Licitación (DDL)</w:t>
        </w:r>
        <w:r w:rsidR="00DF7E27">
          <w:rPr>
            <w:noProof/>
            <w:webHidden/>
          </w:rPr>
          <w:tab/>
        </w:r>
        <w:r w:rsidR="00DF7E27">
          <w:rPr>
            <w:noProof/>
            <w:webHidden/>
          </w:rPr>
          <w:fldChar w:fldCharType="begin"/>
        </w:r>
        <w:r w:rsidR="00DF7E27">
          <w:rPr>
            <w:noProof/>
            <w:webHidden/>
          </w:rPr>
          <w:instrText xml:space="preserve"> PAGEREF _Toc74894068 \h </w:instrText>
        </w:r>
        <w:r w:rsidR="00DF7E27">
          <w:rPr>
            <w:noProof/>
            <w:webHidden/>
          </w:rPr>
        </w:r>
        <w:r w:rsidR="00DF7E27">
          <w:rPr>
            <w:noProof/>
            <w:webHidden/>
          </w:rPr>
          <w:fldChar w:fldCharType="separate"/>
        </w:r>
        <w:r w:rsidR="000935B5">
          <w:rPr>
            <w:noProof/>
            <w:webHidden/>
          </w:rPr>
          <w:t>40</w:t>
        </w:r>
        <w:r w:rsidR="00DF7E27">
          <w:rPr>
            <w:noProof/>
            <w:webHidden/>
          </w:rPr>
          <w:fldChar w:fldCharType="end"/>
        </w:r>
      </w:hyperlink>
    </w:p>
    <w:p w14:paraId="631863B4" w14:textId="77777777" w:rsidR="00DF7E27" w:rsidRDefault="004B50CC">
      <w:pPr>
        <w:pStyle w:val="TDC2"/>
        <w:rPr>
          <w:rFonts w:asciiTheme="minorHAnsi" w:eastAsiaTheme="minorEastAsia" w:hAnsiTheme="minorHAnsi" w:cstheme="minorBidi"/>
          <w:noProof/>
          <w:sz w:val="22"/>
          <w:szCs w:val="22"/>
          <w:lang w:val="en-US"/>
        </w:rPr>
      </w:pPr>
      <w:hyperlink w:anchor="_Toc74894069" w:history="1">
        <w:r w:rsidR="00DF7E27" w:rsidRPr="00C97F49">
          <w:rPr>
            <w:rStyle w:val="Hipervnculo"/>
          </w:rPr>
          <w:t>Sección III. Criterios de Evaluación</w:t>
        </w:r>
        <w:r w:rsidR="00DF7E27">
          <w:rPr>
            <w:noProof/>
            <w:webHidden/>
          </w:rPr>
          <w:tab/>
        </w:r>
        <w:r w:rsidR="00DF7E27">
          <w:rPr>
            <w:noProof/>
            <w:webHidden/>
          </w:rPr>
          <w:fldChar w:fldCharType="begin"/>
        </w:r>
        <w:r w:rsidR="00DF7E27">
          <w:rPr>
            <w:noProof/>
            <w:webHidden/>
          </w:rPr>
          <w:instrText xml:space="preserve"> PAGEREF _Toc74894069 \h </w:instrText>
        </w:r>
        <w:r w:rsidR="00DF7E27">
          <w:rPr>
            <w:noProof/>
            <w:webHidden/>
          </w:rPr>
        </w:r>
        <w:r w:rsidR="00DF7E27">
          <w:rPr>
            <w:noProof/>
            <w:webHidden/>
          </w:rPr>
          <w:fldChar w:fldCharType="separate"/>
        </w:r>
        <w:r w:rsidR="000935B5">
          <w:rPr>
            <w:noProof/>
            <w:webHidden/>
          </w:rPr>
          <w:t>47</w:t>
        </w:r>
        <w:r w:rsidR="00DF7E27">
          <w:rPr>
            <w:noProof/>
            <w:webHidden/>
          </w:rPr>
          <w:fldChar w:fldCharType="end"/>
        </w:r>
      </w:hyperlink>
    </w:p>
    <w:p w14:paraId="39B5E3A2" w14:textId="77777777" w:rsidR="00DF7E27" w:rsidRDefault="004B50CC">
      <w:pPr>
        <w:pStyle w:val="TDC2"/>
        <w:tabs>
          <w:tab w:val="left" w:pos="2087"/>
        </w:tabs>
        <w:rPr>
          <w:rFonts w:asciiTheme="minorHAnsi" w:eastAsiaTheme="minorEastAsia" w:hAnsiTheme="minorHAnsi" w:cstheme="minorBidi"/>
          <w:noProof/>
          <w:sz w:val="22"/>
          <w:szCs w:val="22"/>
          <w:lang w:val="en-US"/>
        </w:rPr>
      </w:pPr>
      <w:hyperlink w:anchor="_Toc74894070" w:history="1">
        <w:r w:rsidR="00DF7E27" w:rsidRPr="00C97F49">
          <w:rPr>
            <w:rStyle w:val="Hipervnculo"/>
          </w:rPr>
          <w:t>Sección IV</w:t>
        </w:r>
        <w:r w:rsidR="00DF7E27">
          <w:rPr>
            <w:rFonts w:asciiTheme="minorHAnsi" w:eastAsiaTheme="minorEastAsia" w:hAnsiTheme="minorHAnsi" w:cstheme="minorBidi"/>
            <w:noProof/>
            <w:sz w:val="22"/>
            <w:szCs w:val="22"/>
            <w:lang w:val="en-US"/>
          </w:rPr>
          <w:tab/>
        </w:r>
        <w:r w:rsidR="00DF7E27" w:rsidRPr="00C97F49">
          <w:rPr>
            <w:rStyle w:val="Hipervnculo"/>
          </w:rPr>
          <w:t>. Formularios de Licitación</w:t>
        </w:r>
        <w:r w:rsidR="00DF7E27">
          <w:rPr>
            <w:noProof/>
            <w:webHidden/>
          </w:rPr>
          <w:tab/>
        </w:r>
        <w:r w:rsidR="00DF7E27">
          <w:rPr>
            <w:noProof/>
            <w:webHidden/>
          </w:rPr>
          <w:fldChar w:fldCharType="begin"/>
        </w:r>
        <w:r w:rsidR="00DF7E27">
          <w:rPr>
            <w:noProof/>
            <w:webHidden/>
          </w:rPr>
          <w:instrText xml:space="preserve"> PAGEREF _Toc74894070 \h </w:instrText>
        </w:r>
        <w:r w:rsidR="00DF7E27">
          <w:rPr>
            <w:noProof/>
            <w:webHidden/>
          </w:rPr>
        </w:r>
        <w:r w:rsidR="00DF7E27">
          <w:rPr>
            <w:noProof/>
            <w:webHidden/>
          </w:rPr>
          <w:fldChar w:fldCharType="separate"/>
        </w:r>
        <w:r w:rsidR="000935B5">
          <w:rPr>
            <w:noProof/>
            <w:webHidden/>
          </w:rPr>
          <w:t>54</w:t>
        </w:r>
        <w:r w:rsidR="00DF7E27">
          <w:rPr>
            <w:noProof/>
            <w:webHidden/>
          </w:rPr>
          <w:fldChar w:fldCharType="end"/>
        </w:r>
      </w:hyperlink>
    </w:p>
    <w:p w14:paraId="11EA7F44" w14:textId="77777777" w:rsidR="00DF7E27" w:rsidRDefault="004B50CC">
      <w:pPr>
        <w:pStyle w:val="TDC1"/>
        <w:rPr>
          <w:rFonts w:asciiTheme="minorHAnsi" w:eastAsiaTheme="minorEastAsia" w:hAnsiTheme="minorHAnsi" w:cstheme="minorBidi"/>
          <w:b w:val="0"/>
          <w:noProof/>
          <w:sz w:val="22"/>
          <w:szCs w:val="22"/>
          <w:lang w:val="en-US"/>
        </w:rPr>
      </w:pPr>
      <w:hyperlink w:anchor="_Toc74894071" w:history="1">
        <w:r w:rsidR="00DF7E27" w:rsidRPr="00C97F49">
          <w:rPr>
            <w:rStyle w:val="Hipervnculo"/>
          </w:rPr>
          <w:t>SEGUNDA PARTE: REQUISITOS DE OBRAS</w:t>
        </w:r>
        <w:r w:rsidR="00DF7E27">
          <w:rPr>
            <w:noProof/>
            <w:webHidden/>
          </w:rPr>
          <w:tab/>
        </w:r>
        <w:r w:rsidR="00DF7E27">
          <w:rPr>
            <w:noProof/>
            <w:webHidden/>
          </w:rPr>
          <w:fldChar w:fldCharType="begin"/>
        </w:r>
        <w:r w:rsidR="00DF7E27">
          <w:rPr>
            <w:noProof/>
            <w:webHidden/>
          </w:rPr>
          <w:instrText xml:space="preserve"> PAGEREF _Toc74894071 \h </w:instrText>
        </w:r>
        <w:r w:rsidR="00DF7E27">
          <w:rPr>
            <w:noProof/>
            <w:webHidden/>
          </w:rPr>
        </w:r>
        <w:r w:rsidR="00DF7E27">
          <w:rPr>
            <w:noProof/>
            <w:webHidden/>
          </w:rPr>
          <w:fldChar w:fldCharType="separate"/>
        </w:r>
        <w:r w:rsidR="000935B5">
          <w:rPr>
            <w:noProof/>
            <w:webHidden/>
          </w:rPr>
          <w:t>87</w:t>
        </w:r>
        <w:r w:rsidR="00DF7E27">
          <w:rPr>
            <w:noProof/>
            <w:webHidden/>
          </w:rPr>
          <w:fldChar w:fldCharType="end"/>
        </w:r>
      </w:hyperlink>
    </w:p>
    <w:p w14:paraId="6C211D21" w14:textId="77777777" w:rsidR="00DF7E27" w:rsidRDefault="004B50CC">
      <w:pPr>
        <w:pStyle w:val="TDC2"/>
        <w:rPr>
          <w:rFonts w:asciiTheme="minorHAnsi" w:eastAsiaTheme="minorEastAsia" w:hAnsiTheme="minorHAnsi" w:cstheme="minorBidi"/>
          <w:noProof/>
          <w:sz w:val="22"/>
          <w:szCs w:val="22"/>
          <w:lang w:val="en-US"/>
        </w:rPr>
      </w:pPr>
      <w:hyperlink w:anchor="_Toc74894072" w:history="1">
        <w:r w:rsidR="00DF7E27" w:rsidRPr="00C97F49">
          <w:rPr>
            <w:rStyle w:val="Hipervnculo"/>
          </w:rPr>
          <w:t>Sección V. Especificaciones Técnicas</w:t>
        </w:r>
        <w:r w:rsidR="00DF7E27">
          <w:rPr>
            <w:noProof/>
            <w:webHidden/>
          </w:rPr>
          <w:tab/>
        </w:r>
        <w:r w:rsidR="00DF7E27">
          <w:rPr>
            <w:noProof/>
            <w:webHidden/>
          </w:rPr>
          <w:fldChar w:fldCharType="begin"/>
        </w:r>
        <w:r w:rsidR="00DF7E27">
          <w:rPr>
            <w:noProof/>
            <w:webHidden/>
          </w:rPr>
          <w:instrText xml:space="preserve"> PAGEREF _Toc74894072 \h </w:instrText>
        </w:r>
        <w:r w:rsidR="00DF7E27">
          <w:rPr>
            <w:noProof/>
            <w:webHidden/>
          </w:rPr>
        </w:r>
        <w:r w:rsidR="00DF7E27">
          <w:rPr>
            <w:noProof/>
            <w:webHidden/>
          </w:rPr>
          <w:fldChar w:fldCharType="separate"/>
        </w:r>
        <w:r w:rsidR="000935B5">
          <w:rPr>
            <w:noProof/>
            <w:webHidden/>
          </w:rPr>
          <w:t>88</w:t>
        </w:r>
        <w:r w:rsidR="00DF7E27">
          <w:rPr>
            <w:noProof/>
            <w:webHidden/>
          </w:rPr>
          <w:fldChar w:fldCharType="end"/>
        </w:r>
      </w:hyperlink>
    </w:p>
    <w:p w14:paraId="4D677B7D" w14:textId="77777777" w:rsidR="00DF7E27" w:rsidRDefault="004B50CC">
      <w:pPr>
        <w:pStyle w:val="TDC1"/>
        <w:rPr>
          <w:rFonts w:asciiTheme="minorHAnsi" w:eastAsiaTheme="minorEastAsia" w:hAnsiTheme="minorHAnsi" w:cstheme="minorBidi"/>
          <w:b w:val="0"/>
          <w:noProof/>
          <w:sz w:val="22"/>
          <w:szCs w:val="22"/>
          <w:lang w:val="en-US"/>
        </w:rPr>
      </w:pPr>
      <w:hyperlink w:anchor="_Toc74894073" w:history="1">
        <w:r w:rsidR="00DF7E27" w:rsidRPr="00C97F49">
          <w:rPr>
            <w:rStyle w:val="Hipervnculo"/>
          </w:rPr>
          <w:t>TERCERA PARTE: CONDICIONES CONTRACTUALES</w:t>
        </w:r>
        <w:r w:rsidR="00DF7E27">
          <w:rPr>
            <w:noProof/>
            <w:webHidden/>
          </w:rPr>
          <w:tab/>
        </w:r>
        <w:r w:rsidR="00DF7E27">
          <w:rPr>
            <w:noProof/>
            <w:webHidden/>
          </w:rPr>
          <w:fldChar w:fldCharType="begin"/>
        </w:r>
        <w:r w:rsidR="00DF7E27">
          <w:rPr>
            <w:noProof/>
            <w:webHidden/>
          </w:rPr>
          <w:instrText xml:space="preserve"> PAGEREF _Toc74894073 \h </w:instrText>
        </w:r>
        <w:r w:rsidR="00DF7E27">
          <w:rPr>
            <w:noProof/>
            <w:webHidden/>
          </w:rPr>
        </w:r>
        <w:r w:rsidR="00DF7E27">
          <w:rPr>
            <w:noProof/>
            <w:webHidden/>
          </w:rPr>
          <w:fldChar w:fldCharType="separate"/>
        </w:r>
        <w:r w:rsidR="000935B5">
          <w:rPr>
            <w:noProof/>
            <w:webHidden/>
          </w:rPr>
          <w:t>89</w:t>
        </w:r>
        <w:r w:rsidR="00DF7E27">
          <w:rPr>
            <w:noProof/>
            <w:webHidden/>
          </w:rPr>
          <w:fldChar w:fldCharType="end"/>
        </w:r>
      </w:hyperlink>
    </w:p>
    <w:p w14:paraId="15F95808" w14:textId="77777777" w:rsidR="00DF7E27" w:rsidRDefault="004B50CC">
      <w:pPr>
        <w:pStyle w:val="TDC2"/>
        <w:rPr>
          <w:rFonts w:asciiTheme="minorHAnsi" w:eastAsiaTheme="minorEastAsia" w:hAnsiTheme="minorHAnsi" w:cstheme="minorBidi"/>
          <w:noProof/>
          <w:sz w:val="22"/>
          <w:szCs w:val="22"/>
          <w:lang w:val="en-US"/>
        </w:rPr>
      </w:pPr>
      <w:hyperlink w:anchor="_Toc74894074" w:history="1">
        <w:r w:rsidR="00DF7E27" w:rsidRPr="00C97F49">
          <w:rPr>
            <w:rStyle w:val="Hipervnculo"/>
          </w:rPr>
          <w:t>Sección VI. Modelo de Contrato</w:t>
        </w:r>
        <w:r w:rsidR="00DF7E27">
          <w:rPr>
            <w:noProof/>
            <w:webHidden/>
          </w:rPr>
          <w:tab/>
        </w:r>
        <w:r w:rsidR="00DF7E27">
          <w:rPr>
            <w:noProof/>
            <w:webHidden/>
          </w:rPr>
          <w:fldChar w:fldCharType="begin"/>
        </w:r>
        <w:r w:rsidR="00DF7E27">
          <w:rPr>
            <w:noProof/>
            <w:webHidden/>
          </w:rPr>
          <w:instrText xml:space="preserve"> PAGEREF _Toc74894074 \h </w:instrText>
        </w:r>
        <w:r w:rsidR="00DF7E27">
          <w:rPr>
            <w:noProof/>
            <w:webHidden/>
          </w:rPr>
        </w:r>
        <w:r w:rsidR="00DF7E27">
          <w:rPr>
            <w:noProof/>
            <w:webHidden/>
          </w:rPr>
          <w:fldChar w:fldCharType="separate"/>
        </w:r>
        <w:r w:rsidR="000935B5">
          <w:rPr>
            <w:noProof/>
            <w:webHidden/>
          </w:rPr>
          <w:t>90</w:t>
        </w:r>
        <w:r w:rsidR="00DF7E27">
          <w:rPr>
            <w:noProof/>
            <w:webHidden/>
          </w:rPr>
          <w:fldChar w:fldCharType="end"/>
        </w:r>
      </w:hyperlink>
    </w:p>
    <w:p w14:paraId="19B2FAC8" w14:textId="77777777" w:rsidR="009A0484" w:rsidRDefault="00836CE1" w:rsidP="00B03328">
      <w:pPr>
        <w:spacing w:before="240"/>
        <w:jc w:val="center"/>
        <w:rPr>
          <w:rFonts w:asciiTheme="majorHAnsi" w:hAnsiTheme="majorHAnsi"/>
          <w:b/>
          <w:sz w:val="40"/>
          <w:szCs w:val="40"/>
          <w:lang w:val="es-ES"/>
        </w:rPr>
      </w:pPr>
      <w:r>
        <w:rPr>
          <w:rFonts w:asciiTheme="majorHAnsi" w:hAnsiTheme="majorHAnsi"/>
          <w:sz w:val="40"/>
          <w:szCs w:val="40"/>
          <w:lang w:val="es-ES"/>
        </w:rPr>
        <w:fldChar w:fldCharType="end"/>
      </w:r>
    </w:p>
    <w:p w14:paraId="024B9643" w14:textId="77777777" w:rsidR="009A0484" w:rsidRDefault="009A0484" w:rsidP="00B03328">
      <w:pPr>
        <w:spacing w:before="240"/>
        <w:jc w:val="center"/>
        <w:rPr>
          <w:rFonts w:asciiTheme="majorHAnsi" w:hAnsiTheme="majorHAnsi"/>
          <w:b/>
          <w:sz w:val="40"/>
          <w:szCs w:val="40"/>
          <w:lang w:val="es-ES"/>
        </w:rPr>
      </w:pPr>
    </w:p>
    <w:p w14:paraId="28D04662" w14:textId="77777777" w:rsidR="009A0484" w:rsidRDefault="009A0484" w:rsidP="00B03328">
      <w:pPr>
        <w:spacing w:before="240"/>
        <w:jc w:val="center"/>
        <w:rPr>
          <w:rFonts w:asciiTheme="majorHAnsi" w:hAnsiTheme="majorHAnsi"/>
          <w:b/>
          <w:sz w:val="40"/>
          <w:szCs w:val="40"/>
          <w:lang w:val="es-ES"/>
        </w:rPr>
      </w:pPr>
    </w:p>
    <w:p w14:paraId="5928E05D" w14:textId="77777777" w:rsidR="009A0484" w:rsidRDefault="009A0484" w:rsidP="00B03328">
      <w:pPr>
        <w:spacing w:before="240"/>
        <w:jc w:val="center"/>
        <w:rPr>
          <w:rFonts w:asciiTheme="majorHAnsi" w:hAnsiTheme="majorHAnsi"/>
          <w:b/>
          <w:sz w:val="40"/>
          <w:szCs w:val="40"/>
          <w:lang w:val="es-ES"/>
        </w:rPr>
      </w:pPr>
    </w:p>
    <w:p w14:paraId="10343A90" w14:textId="77777777" w:rsidR="009A0484" w:rsidRDefault="009A0484" w:rsidP="00B03328">
      <w:pPr>
        <w:spacing w:before="240"/>
        <w:jc w:val="center"/>
        <w:rPr>
          <w:rFonts w:asciiTheme="majorHAnsi" w:hAnsiTheme="majorHAnsi"/>
          <w:b/>
          <w:sz w:val="40"/>
          <w:szCs w:val="40"/>
          <w:lang w:val="es-ES"/>
        </w:rPr>
      </w:pPr>
    </w:p>
    <w:p w14:paraId="3EB75392" w14:textId="77777777" w:rsidR="009A0484" w:rsidRDefault="009A0484" w:rsidP="00B03328">
      <w:pPr>
        <w:spacing w:before="240"/>
        <w:jc w:val="center"/>
        <w:rPr>
          <w:rFonts w:asciiTheme="majorHAnsi" w:hAnsiTheme="majorHAnsi"/>
          <w:b/>
          <w:sz w:val="40"/>
          <w:szCs w:val="40"/>
          <w:lang w:val="es-ES"/>
        </w:rPr>
      </w:pPr>
    </w:p>
    <w:p w14:paraId="1A0DD6CB" w14:textId="77777777" w:rsidR="00B41E50" w:rsidRDefault="00B41E50" w:rsidP="00B03328">
      <w:pPr>
        <w:spacing w:before="240"/>
        <w:jc w:val="center"/>
        <w:rPr>
          <w:rFonts w:asciiTheme="majorHAnsi" w:hAnsiTheme="majorHAnsi"/>
          <w:b/>
          <w:sz w:val="40"/>
          <w:szCs w:val="40"/>
          <w:lang w:val="es-ES"/>
        </w:rPr>
      </w:pPr>
    </w:p>
    <w:p w14:paraId="1FF5D98D" w14:textId="77777777" w:rsidR="00C025D2" w:rsidRDefault="00C025D2" w:rsidP="00F057E8">
      <w:pPr>
        <w:pStyle w:val="TDC2"/>
        <w:tabs>
          <w:tab w:val="left" w:pos="1440"/>
        </w:tabs>
        <w:rPr>
          <w:rFonts w:asciiTheme="minorHAnsi" w:hAnsiTheme="minorHAnsi"/>
          <w:lang w:val="es-MX"/>
        </w:rPr>
      </w:pPr>
    </w:p>
    <w:p w14:paraId="35A7CBB7" w14:textId="77777777" w:rsidR="00ED2DB6" w:rsidRDefault="00ED2DB6">
      <w:pPr>
        <w:jc w:val="left"/>
        <w:rPr>
          <w:rFonts w:asciiTheme="minorHAnsi" w:hAnsiTheme="minorHAnsi" w:cstheme="minorHAnsi"/>
          <w:b/>
          <w:sz w:val="28"/>
          <w:szCs w:val="22"/>
          <w:lang w:val="es-ES"/>
        </w:rPr>
      </w:pPr>
      <w:bookmarkStart w:id="9" w:name="_Toc74048170"/>
      <w:r>
        <w:rPr>
          <w:rFonts w:asciiTheme="minorHAnsi" w:hAnsiTheme="minorHAnsi" w:cstheme="minorHAnsi"/>
          <w:sz w:val="28"/>
          <w:szCs w:val="22"/>
          <w:lang w:val="es-ES"/>
        </w:rPr>
        <w:br w:type="page"/>
      </w:r>
    </w:p>
    <w:p w14:paraId="013F0EFD" w14:textId="77777777" w:rsidR="000F49CF" w:rsidRPr="00ED2DB6" w:rsidRDefault="005E7314" w:rsidP="00167AB8">
      <w:pPr>
        <w:pStyle w:val="INDGEN1"/>
      </w:pPr>
      <w:bookmarkStart w:id="10" w:name="_Toc74519954"/>
      <w:bookmarkStart w:id="11" w:name="_Toc74781325"/>
      <w:bookmarkStart w:id="12" w:name="_Toc74894066"/>
      <w:r w:rsidRPr="00ED2DB6">
        <w:lastRenderedPageBreak/>
        <w:t>P</w:t>
      </w:r>
      <w:r w:rsidR="003A3568" w:rsidRPr="00ED2DB6">
        <w:t>RIMERA PARTE: PROCEDIMIENTO</w:t>
      </w:r>
      <w:r w:rsidR="00594FAF" w:rsidRPr="00ED2DB6">
        <w:t>S</w:t>
      </w:r>
      <w:r w:rsidR="003A3568" w:rsidRPr="00ED2DB6">
        <w:t xml:space="preserve"> DE</w:t>
      </w:r>
      <w:r w:rsidR="00594FAF" w:rsidRPr="00ED2DB6">
        <w:t xml:space="preserve"> LA </w:t>
      </w:r>
      <w:r w:rsidR="003A3568" w:rsidRPr="00ED2DB6">
        <w:t>LICITACIÓN</w:t>
      </w:r>
      <w:bookmarkEnd w:id="9"/>
      <w:bookmarkEnd w:id="10"/>
      <w:bookmarkEnd w:id="11"/>
      <w:bookmarkEnd w:id="12"/>
    </w:p>
    <w:p w14:paraId="6B2EBBC7" w14:textId="77777777" w:rsidR="00DB5F0E" w:rsidRDefault="00DB5F0E">
      <w:pPr>
        <w:jc w:val="left"/>
        <w:rPr>
          <w:rFonts w:asciiTheme="minorHAnsi" w:hAnsiTheme="minorHAnsi"/>
          <w:b/>
          <w:sz w:val="32"/>
          <w:szCs w:val="32"/>
          <w:lang w:val="es-ES"/>
        </w:rPr>
      </w:pPr>
    </w:p>
    <w:p w14:paraId="7AE6A026" w14:textId="77777777" w:rsidR="00DB5F0E" w:rsidRDefault="00DB5F0E" w:rsidP="00167AB8">
      <w:pPr>
        <w:pStyle w:val="INDGEN2"/>
      </w:pPr>
      <w:bookmarkStart w:id="13" w:name="_Toc74781326"/>
      <w:bookmarkStart w:id="14" w:name="_Toc74894067"/>
      <w:r w:rsidRPr="00F431C6">
        <w:t>S</w:t>
      </w:r>
      <w:r w:rsidR="002D4D3B">
        <w:t>ección I. Instrucciones a los oferentes</w:t>
      </w:r>
      <w:r w:rsidRPr="00F431C6">
        <w:t xml:space="preserve"> (IAO)</w:t>
      </w:r>
      <w:bookmarkEnd w:id="13"/>
      <w:bookmarkEnd w:id="14"/>
    </w:p>
    <w:p w14:paraId="7C9ADBE5" w14:textId="77777777" w:rsidR="00DB5F0E" w:rsidRDefault="00DB5F0E" w:rsidP="00DB5F0E">
      <w:pPr>
        <w:pStyle w:val="i"/>
        <w:spacing w:before="120" w:after="120"/>
        <w:jc w:val="center"/>
        <w:outlineLvl w:val="0"/>
        <w:rPr>
          <w:rFonts w:asciiTheme="minorHAnsi" w:hAnsiTheme="minorHAnsi"/>
          <w:b/>
          <w:sz w:val="32"/>
          <w:szCs w:val="32"/>
          <w:lang w:val="es-ES"/>
        </w:rPr>
      </w:pPr>
      <w:bookmarkStart w:id="15" w:name="_Toc74781327"/>
      <w:r w:rsidRPr="00EB0F61">
        <w:rPr>
          <w:rFonts w:ascii="Arial" w:hAnsi="Arial" w:cs="Arial"/>
          <w:b/>
          <w:sz w:val="28"/>
          <w:szCs w:val="28"/>
          <w:lang w:val="es-ES"/>
        </w:rPr>
        <w:t>Índice</w:t>
      </w:r>
      <w:bookmarkEnd w:id="15"/>
      <w:r>
        <w:rPr>
          <w:rFonts w:ascii="Arial" w:hAnsi="Arial" w:cs="Arial"/>
          <w:b/>
          <w:sz w:val="28"/>
          <w:szCs w:val="28"/>
          <w:lang w:val="es-ES"/>
        </w:rPr>
        <w:t xml:space="preserve"> </w:t>
      </w:r>
    </w:p>
    <w:p w14:paraId="5BF2D767" w14:textId="77777777" w:rsidR="00DF7E27" w:rsidRDefault="00B0669B">
      <w:pPr>
        <w:pStyle w:val="TDC1"/>
        <w:rPr>
          <w:rFonts w:asciiTheme="minorHAnsi" w:eastAsiaTheme="minorEastAsia" w:hAnsiTheme="minorHAnsi" w:cstheme="minorBidi"/>
          <w:b w:val="0"/>
          <w:noProof/>
          <w:sz w:val="22"/>
          <w:szCs w:val="22"/>
          <w:lang w:val="en-US"/>
        </w:rPr>
      </w:pPr>
      <w:r>
        <w:rPr>
          <w:rFonts w:asciiTheme="minorHAnsi" w:hAnsiTheme="minorHAnsi"/>
          <w:b w:val="0"/>
          <w:sz w:val="32"/>
          <w:szCs w:val="32"/>
          <w:lang w:val="es-ES"/>
        </w:rPr>
        <w:fldChar w:fldCharType="begin"/>
      </w:r>
      <w:r>
        <w:rPr>
          <w:rFonts w:asciiTheme="minorHAnsi" w:hAnsiTheme="minorHAnsi"/>
          <w:b w:val="0"/>
          <w:sz w:val="32"/>
          <w:szCs w:val="32"/>
          <w:lang w:val="es-ES"/>
        </w:rPr>
        <w:instrText xml:space="preserve"> TOC \h \z \t "IAO 2,2,IAO 1,1" </w:instrText>
      </w:r>
      <w:r>
        <w:rPr>
          <w:rFonts w:asciiTheme="minorHAnsi" w:hAnsiTheme="minorHAnsi"/>
          <w:b w:val="0"/>
          <w:sz w:val="32"/>
          <w:szCs w:val="32"/>
          <w:lang w:val="es-ES"/>
        </w:rPr>
        <w:fldChar w:fldCharType="separate"/>
      </w:r>
      <w:hyperlink w:anchor="_Toc74894080" w:history="1">
        <w:r w:rsidR="00DF7E27" w:rsidRPr="00FE1E4C">
          <w:rPr>
            <w:rStyle w:val="Hipervnculo"/>
          </w:rPr>
          <w:t>A.</w:t>
        </w:r>
        <w:r w:rsidR="00DF7E27">
          <w:rPr>
            <w:rFonts w:asciiTheme="minorHAnsi" w:eastAsiaTheme="minorEastAsia" w:hAnsiTheme="minorHAnsi" w:cstheme="minorBidi"/>
            <w:b w:val="0"/>
            <w:noProof/>
            <w:sz w:val="22"/>
            <w:szCs w:val="22"/>
            <w:lang w:val="en-US"/>
          </w:rPr>
          <w:tab/>
        </w:r>
        <w:r w:rsidR="00DF7E27" w:rsidRPr="00FE1E4C">
          <w:rPr>
            <w:rStyle w:val="Hipervnculo"/>
          </w:rPr>
          <w:t>Generalidades</w:t>
        </w:r>
        <w:r w:rsidR="00DF7E27">
          <w:rPr>
            <w:noProof/>
            <w:webHidden/>
          </w:rPr>
          <w:tab/>
        </w:r>
        <w:r w:rsidR="00DF7E27">
          <w:rPr>
            <w:noProof/>
            <w:webHidden/>
          </w:rPr>
          <w:fldChar w:fldCharType="begin"/>
        </w:r>
        <w:r w:rsidR="00DF7E27">
          <w:rPr>
            <w:noProof/>
            <w:webHidden/>
          </w:rPr>
          <w:instrText xml:space="preserve"> PAGEREF _Toc74894080 \h </w:instrText>
        </w:r>
        <w:r w:rsidR="00DF7E27">
          <w:rPr>
            <w:noProof/>
            <w:webHidden/>
          </w:rPr>
        </w:r>
        <w:r w:rsidR="00DF7E27">
          <w:rPr>
            <w:noProof/>
            <w:webHidden/>
          </w:rPr>
          <w:fldChar w:fldCharType="separate"/>
        </w:r>
        <w:r w:rsidR="000935B5">
          <w:rPr>
            <w:noProof/>
            <w:webHidden/>
          </w:rPr>
          <w:t>13</w:t>
        </w:r>
        <w:r w:rsidR="00DF7E27">
          <w:rPr>
            <w:noProof/>
            <w:webHidden/>
          </w:rPr>
          <w:fldChar w:fldCharType="end"/>
        </w:r>
      </w:hyperlink>
    </w:p>
    <w:p w14:paraId="0E3E63F6" w14:textId="77777777" w:rsidR="00DF7E27" w:rsidRDefault="004B50CC">
      <w:pPr>
        <w:pStyle w:val="TDC2"/>
        <w:rPr>
          <w:rFonts w:asciiTheme="minorHAnsi" w:eastAsiaTheme="minorEastAsia" w:hAnsiTheme="minorHAnsi" w:cstheme="minorBidi"/>
          <w:noProof/>
          <w:sz w:val="22"/>
          <w:szCs w:val="22"/>
          <w:lang w:val="en-US"/>
        </w:rPr>
      </w:pPr>
      <w:hyperlink w:anchor="_Toc74894081" w:history="1">
        <w:r w:rsidR="00DF7E27" w:rsidRPr="00FE1E4C">
          <w:rPr>
            <w:rStyle w:val="Hipervnculo"/>
          </w:rPr>
          <w:t>1</w:t>
        </w:r>
        <w:r w:rsidR="00DF7E27" w:rsidRPr="00FE1E4C">
          <w:rPr>
            <w:rStyle w:val="Hipervnculo"/>
            <w:bCs/>
          </w:rPr>
          <w:t>.      Definiciones</w:t>
        </w:r>
        <w:r w:rsidR="00DF7E27">
          <w:rPr>
            <w:noProof/>
            <w:webHidden/>
          </w:rPr>
          <w:tab/>
        </w:r>
        <w:r w:rsidR="00DF7E27">
          <w:rPr>
            <w:noProof/>
            <w:webHidden/>
          </w:rPr>
          <w:fldChar w:fldCharType="begin"/>
        </w:r>
        <w:r w:rsidR="00DF7E27">
          <w:rPr>
            <w:noProof/>
            <w:webHidden/>
          </w:rPr>
          <w:instrText xml:space="preserve"> PAGEREF _Toc74894081 \h </w:instrText>
        </w:r>
        <w:r w:rsidR="00DF7E27">
          <w:rPr>
            <w:noProof/>
            <w:webHidden/>
          </w:rPr>
        </w:r>
        <w:r w:rsidR="00DF7E27">
          <w:rPr>
            <w:noProof/>
            <w:webHidden/>
          </w:rPr>
          <w:fldChar w:fldCharType="separate"/>
        </w:r>
        <w:r w:rsidR="000935B5">
          <w:rPr>
            <w:noProof/>
            <w:webHidden/>
          </w:rPr>
          <w:t>13</w:t>
        </w:r>
        <w:r w:rsidR="00DF7E27">
          <w:rPr>
            <w:noProof/>
            <w:webHidden/>
          </w:rPr>
          <w:fldChar w:fldCharType="end"/>
        </w:r>
      </w:hyperlink>
    </w:p>
    <w:p w14:paraId="0A8D8A2B" w14:textId="77777777" w:rsidR="00DF7E27" w:rsidRDefault="004B50CC">
      <w:pPr>
        <w:pStyle w:val="TDC2"/>
        <w:rPr>
          <w:rFonts w:asciiTheme="minorHAnsi" w:eastAsiaTheme="minorEastAsia" w:hAnsiTheme="minorHAnsi" w:cstheme="minorBidi"/>
          <w:noProof/>
          <w:sz w:val="22"/>
          <w:szCs w:val="22"/>
          <w:lang w:val="en-US"/>
        </w:rPr>
      </w:pPr>
      <w:hyperlink w:anchor="_Toc74894082" w:history="1">
        <w:r w:rsidR="00DF7E27" w:rsidRPr="00FE1E4C">
          <w:rPr>
            <w:rStyle w:val="Hipervnculo"/>
          </w:rPr>
          <w:t>2. Alcance</w:t>
        </w:r>
        <w:r w:rsidR="00DF7E27">
          <w:rPr>
            <w:noProof/>
            <w:webHidden/>
          </w:rPr>
          <w:tab/>
        </w:r>
        <w:r w:rsidR="00DF7E27">
          <w:rPr>
            <w:noProof/>
            <w:webHidden/>
          </w:rPr>
          <w:fldChar w:fldCharType="begin"/>
        </w:r>
        <w:r w:rsidR="00DF7E27">
          <w:rPr>
            <w:noProof/>
            <w:webHidden/>
          </w:rPr>
          <w:instrText xml:space="preserve"> PAGEREF _Toc74894082 \h </w:instrText>
        </w:r>
        <w:r w:rsidR="00DF7E27">
          <w:rPr>
            <w:noProof/>
            <w:webHidden/>
          </w:rPr>
        </w:r>
        <w:r w:rsidR="00DF7E27">
          <w:rPr>
            <w:noProof/>
            <w:webHidden/>
          </w:rPr>
          <w:fldChar w:fldCharType="separate"/>
        </w:r>
        <w:r w:rsidR="000935B5">
          <w:rPr>
            <w:noProof/>
            <w:webHidden/>
          </w:rPr>
          <w:t>13</w:t>
        </w:r>
        <w:r w:rsidR="00DF7E27">
          <w:rPr>
            <w:noProof/>
            <w:webHidden/>
          </w:rPr>
          <w:fldChar w:fldCharType="end"/>
        </w:r>
      </w:hyperlink>
    </w:p>
    <w:p w14:paraId="72FA5721" w14:textId="77777777" w:rsidR="00DF7E27" w:rsidRDefault="004B50CC">
      <w:pPr>
        <w:pStyle w:val="TDC2"/>
        <w:rPr>
          <w:rFonts w:asciiTheme="minorHAnsi" w:eastAsiaTheme="minorEastAsia" w:hAnsiTheme="minorHAnsi" w:cstheme="minorBidi"/>
          <w:noProof/>
          <w:sz w:val="22"/>
          <w:szCs w:val="22"/>
          <w:lang w:val="en-US"/>
        </w:rPr>
      </w:pPr>
      <w:hyperlink w:anchor="_Toc74894083" w:history="1">
        <w:r w:rsidR="00DF7E27" w:rsidRPr="00FE1E4C">
          <w:rPr>
            <w:rStyle w:val="Hipervnculo"/>
          </w:rPr>
          <w:t>3. Fuente de los fondos</w:t>
        </w:r>
        <w:r w:rsidR="00DF7E27">
          <w:rPr>
            <w:noProof/>
            <w:webHidden/>
          </w:rPr>
          <w:tab/>
        </w:r>
        <w:r w:rsidR="00DF7E27">
          <w:rPr>
            <w:noProof/>
            <w:webHidden/>
          </w:rPr>
          <w:fldChar w:fldCharType="begin"/>
        </w:r>
        <w:r w:rsidR="00DF7E27">
          <w:rPr>
            <w:noProof/>
            <w:webHidden/>
          </w:rPr>
          <w:instrText xml:space="preserve"> PAGEREF _Toc74894083 \h </w:instrText>
        </w:r>
        <w:r w:rsidR="00DF7E27">
          <w:rPr>
            <w:noProof/>
            <w:webHidden/>
          </w:rPr>
        </w:r>
        <w:r w:rsidR="00DF7E27">
          <w:rPr>
            <w:noProof/>
            <w:webHidden/>
          </w:rPr>
          <w:fldChar w:fldCharType="separate"/>
        </w:r>
        <w:r w:rsidR="000935B5">
          <w:rPr>
            <w:noProof/>
            <w:webHidden/>
          </w:rPr>
          <w:t>13</w:t>
        </w:r>
        <w:r w:rsidR="00DF7E27">
          <w:rPr>
            <w:noProof/>
            <w:webHidden/>
          </w:rPr>
          <w:fldChar w:fldCharType="end"/>
        </w:r>
      </w:hyperlink>
    </w:p>
    <w:p w14:paraId="08ED8015" w14:textId="77777777" w:rsidR="00DF7E27" w:rsidRDefault="004B50CC">
      <w:pPr>
        <w:pStyle w:val="TDC2"/>
        <w:rPr>
          <w:rFonts w:asciiTheme="minorHAnsi" w:eastAsiaTheme="minorEastAsia" w:hAnsiTheme="minorHAnsi" w:cstheme="minorBidi"/>
          <w:noProof/>
          <w:sz w:val="22"/>
          <w:szCs w:val="22"/>
          <w:lang w:val="en-US"/>
        </w:rPr>
      </w:pPr>
      <w:hyperlink w:anchor="_Toc74894084" w:history="1">
        <w:r w:rsidR="00DF7E27" w:rsidRPr="00FE1E4C">
          <w:rPr>
            <w:rStyle w:val="Hipervnculo"/>
          </w:rPr>
          <w:t>4. Prácticas Prohibidas</w:t>
        </w:r>
        <w:r w:rsidR="00DF7E27">
          <w:rPr>
            <w:noProof/>
            <w:webHidden/>
          </w:rPr>
          <w:tab/>
        </w:r>
        <w:r w:rsidR="00DF7E27">
          <w:rPr>
            <w:noProof/>
            <w:webHidden/>
          </w:rPr>
          <w:fldChar w:fldCharType="begin"/>
        </w:r>
        <w:r w:rsidR="00DF7E27">
          <w:rPr>
            <w:noProof/>
            <w:webHidden/>
          </w:rPr>
          <w:instrText xml:space="preserve"> PAGEREF _Toc74894084 \h </w:instrText>
        </w:r>
        <w:r w:rsidR="00DF7E27">
          <w:rPr>
            <w:noProof/>
            <w:webHidden/>
          </w:rPr>
        </w:r>
        <w:r w:rsidR="00DF7E27">
          <w:rPr>
            <w:noProof/>
            <w:webHidden/>
          </w:rPr>
          <w:fldChar w:fldCharType="separate"/>
        </w:r>
        <w:r w:rsidR="000935B5">
          <w:rPr>
            <w:noProof/>
            <w:webHidden/>
          </w:rPr>
          <w:t>13</w:t>
        </w:r>
        <w:r w:rsidR="00DF7E27">
          <w:rPr>
            <w:noProof/>
            <w:webHidden/>
          </w:rPr>
          <w:fldChar w:fldCharType="end"/>
        </w:r>
      </w:hyperlink>
    </w:p>
    <w:p w14:paraId="1A57591B" w14:textId="77777777" w:rsidR="00DF7E27" w:rsidRDefault="004B50CC">
      <w:pPr>
        <w:pStyle w:val="TDC2"/>
        <w:rPr>
          <w:rFonts w:asciiTheme="minorHAnsi" w:eastAsiaTheme="minorEastAsia" w:hAnsiTheme="minorHAnsi" w:cstheme="minorBidi"/>
          <w:noProof/>
          <w:sz w:val="22"/>
          <w:szCs w:val="22"/>
          <w:lang w:val="en-US"/>
        </w:rPr>
      </w:pPr>
      <w:hyperlink w:anchor="_Toc74894085" w:history="1">
        <w:r w:rsidR="00DF7E27" w:rsidRPr="00FE1E4C">
          <w:rPr>
            <w:rStyle w:val="Hipervnculo"/>
          </w:rPr>
          <w:t>5. Oferentes elegibles.</w:t>
        </w:r>
        <w:r w:rsidR="00DF7E27">
          <w:rPr>
            <w:noProof/>
            <w:webHidden/>
          </w:rPr>
          <w:tab/>
        </w:r>
        <w:r w:rsidR="00DF7E27">
          <w:rPr>
            <w:noProof/>
            <w:webHidden/>
          </w:rPr>
          <w:fldChar w:fldCharType="begin"/>
        </w:r>
        <w:r w:rsidR="00DF7E27">
          <w:rPr>
            <w:noProof/>
            <w:webHidden/>
          </w:rPr>
          <w:instrText xml:space="preserve"> PAGEREF _Toc74894085 \h </w:instrText>
        </w:r>
        <w:r w:rsidR="00DF7E27">
          <w:rPr>
            <w:noProof/>
            <w:webHidden/>
          </w:rPr>
        </w:r>
        <w:r w:rsidR="00DF7E27">
          <w:rPr>
            <w:noProof/>
            <w:webHidden/>
          </w:rPr>
          <w:fldChar w:fldCharType="separate"/>
        </w:r>
        <w:r w:rsidR="000935B5">
          <w:rPr>
            <w:noProof/>
            <w:webHidden/>
          </w:rPr>
          <w:t>16</w:t>
        </w:r>
        <w:r w:rsidR="00DF7E27">
          <w:rPr>
            <w:noProof/>
            <w:webHidden/>
          </w:rPr>
          <w:fldChar w:fldCharType="end"/>
        </w:r>
      </w:hyperlink>
    </w:p>
    <w:p w14:paraId="2402327C" w14:textId="77777777" w:rsidR="00DF7E27" w:rsidRDefault="004B50CC">
      <w:pPr>
        <w:pStyle w:val="TDC2"/>
        <w:rPr>
          <w:rFonts w:asciiTheme="minorHAnsi" w:eastAsiaTheme="minorEastAsia" w:hAnsiTheme="minorHAnsi" w:cstheme="minorBidi"/>
          <w:noProof/>
          <w:sz w:val="22"/>
          <w:szCs w:val="22"/>
          <w:lang w:val="en-US"/>
        </w:rPr>
      </w:pPr>
      <w:hyperlink w:anchor="_Toc74894086" w:history="1">
        <w:r w:rsidR="00DF7E27" w:rsidRPr="00FE1E4C">
          <w:rPr>
            <w:rStyle w:val="Hipervnculo"/>
          </w:rPr>
          <w:t xml:space="preserve">6. </w:t>
        </w:r>
        <w:r w:rsidR="00DF7E27" w:rsidRPr="00FE1E4C">
          <w:rPr>
            <w:rStyle w:val="Hipervnculo"/>
            <w:bCs/>
          </w:rPr>
          <w:t>Disposiciones para los oferentes</w:t>
        </w:r>
        <w:r w:rsidR="00DF7E27">
          <w:rPr>
            <w:noProof/>
            <w:webHidden/>
          </w:rPr>
          <w:tab/>
        </w:r>
        <w:r w:rsidR="00DF7E27">
          <w:rPr>
            <w:noProof/>
            <w:webHidden/>
          </w:rPr>
          <w:fldChar w:fldCharType="begin"/>
        </w:r>
        <w:r w:rsidR="00DF7E27">
          <w:rPr>
            <w:noProof/>
            <w:webHidden/>
          </w:rPr>
          <w:instrText xml:space="preserve"> PAGEREF _Toc74894086 \h </w:instrText>
        </w:r>
        <w:r w:rsidR="00DF7E27">
          <w:rPr>
            <w:noProof/>
            <w:webHidden/>
          </w:rPr>
        </w:r>
        <w:r w:rsidR="00DF7E27">
          <w:rPr>
            <w:noProof/>
            <w:webHidden/>
          </w:rPr>
          <w:fldChar w:fldCharType="separate"/>
        </w:r>
        <w:r w:rsidR="000935B5">
          <w:rPr>
            <w:noProof/>
            <w:webHidden/>
          </w:rPr>
          <w:t>18</w:t>
        </w:r>
        <w:r w:rsidR="00DF7E27">
          <w:rPr>
            <w:noProof/>
            <w:webHidden/>
          </w:rPr>
          <w:fldChar w:fldCharType="end"/>
        </w:r>
      </w:hyperlink>
    </w:p>
    <w:p w14:paraId="03577214" w14:textId="77777777" w:rsidR="00DF7E27" w:rsidRDefault="004B50CC">
      <w:pPr>
        <w:pStyle w:val="TDC1"/>
        <w:rPr>
          <w:rFonts w:asciiTheme="minorHAnsi" w:eastAsiaTheme="minorEastAsia" w:hAnsiTheme="minorHAnsi" w:cstheme="minorBidi"/>
          <w:b w:val="0"/>
          <w:noProof/>
          <w:sz w:val="22"/>
          <w:szCs w:val="22"/>
          <w:lang w:val="en-US"/>
        </w:rPr>
      </w:pPr>
      <w:hyperlink w:anchor="_Toc74894087" w:history="1">
        <w:r w:rsidR="00DF7E27" w:rsidRPr="00FE1E4C">
          <w:rPr>
            <w:rStyle w:val="Hipervnculo"/>
          </w:rPr>
          <w:t>B.</w:t>
        </w:r>
        <w:r w:rsidR="00DF7E27">
          <w:rPr>
            <w:rFonts w:asciiTheme="minorHAnsi" w:eastAsiaTheme="minorEastAsia" w:hAnsiTheme="minorHAnsi" w:cstheme="minorBidi"/>
            <w:b w:val="0"/>
            <w:noProof/>
            <w:sz w:val="22"/>
            <w:szCs w:val="22"/>
            <w:lang w:val="en-US"/>
          </w:rPr>
          <w:tab/>
        </w:r>
        <w:r w:rsidR="00DF7E27" w:rsidRPr="00FE1E4C">
          <w:rPr>
            <w:rStyle w:val="Hipervnculo"/>
          </w:rPr>
          <w:t>Documentos de Licitación</w:t>
        </w:r>
        <w:r w:rsidR="00DF7E27">
          <w:rPr>
            <w:noProof/>
            <w:webHidden/>
          </w:rPr>
          <w:tab/>
        </w:r>
        <w:r w:rsidR="00DF7E27">
          <w:rPr>
            <w:noProof/>
            <w:webHidden/>
          </w:rPr>
          <w:fldChar w:fldCharType="begin"/>
        </w:r>
        <w:r w:rsidR="00DF7E27">
          <w:rPr>
            <w:noProof/>
            <w:webHidden/>
          </w:rPr>
          <w:instrText xml:space="preserve"> PAGEREF _Toc74894087 \h </w:instrText>
        </w:r>
        <w:r w:rsidR="00DF7E27">
          <w:rPr>
            <w:noProof/>
            <w:webHidden/>
          </w:rPr>
        </w:r>
        <w:r w:rsidR="00DF7E27">
          <w:rPr>
            <w:noProof/>
            <w:webHidden/>
          </w:rPr>
          <w:fldChar w:fldCharType="separate"/>
        </w:r>
        <w:r w:rsidR="000935B5">
          <w:rPr>
            <w:noProof/>
            <w:webHidden/>
          </w:rPr>
          <w:t>18</w:t>
        </w:r>
        <w:r w:rsidR="00DF7E27">
          <w:rPr>
            <w:noProof/>
            <w:webHidden/>
          </w:rPr>
          <w:fldChar w:fldCharType="end"/>
        </w:r>
      </w:hyperlink>
    </w:p>
    <w:p w14:paraId="4CC01121" w14:textId="77777777" w:rsidR="00DF7E27" w:rsidRDefault="004B50CC">
      <w:pPr>
        <w:pStyle w:val="TDC2"/>
        <w:rPr>
          <w:rFonts w:asciiTheme="minorHAnsi" w:eastAsiaTheme="minorEastAsia" w:hAnsiTheme="minorHAnsi" w:cstheme="minorBidi"/>
          <w:noProof/>
          <w:sz w:val="22"/>
          <w:szCs w:val="22"/>
          <w:lang w:val="en-US"/>
        </w:rPr>
      </w:pPr>
      <w:hyperlink w:anchor="_Toc74894088" w:history="1">
        <w:r w:rsidR="00DF7E27" w:rsidRPr="00FE1E4C">
          <w:rPr>
            <w:rStyle w:val="Hipervnculo"/>
          </w:rPr>
          <w:t xml:space="preserve">7.  </w:t>
        </w:r>
        <w:r w:rsidR="00DF7E27" w:rsidRPr="00FE1E4C">
          <w:rPr>
            <w:rStyle w:val="Hipervnculo"/>
            <w:bCs/>
          </w:rPr>
          <w:t>Secciones del DBL</w:t>
        </w:r>
        <w:r w:rsidR="00DF7E27">
          <w:rPr>
            <w:noProof/>
            <w:webHidden/>
          </w:rPr>
          <w:tab/>
        </w:r>
        <w:r w:rsidR="00DF7E27">
          <w:rPr>
            <w:noProof/>
            <w:webHidden/>
          </w:rPr>
          <w:fldChar w:fldCharType="begin"/>
        </w:r>
        <w:r w:rsidR="00DF7E27">
          <w:rPr>
            <w:noProof/>
            <w:webHidden/>
          </w:rPr>
          <w:instrText xml:space="preserve"> PAGEREF _Toc74894088 \h </w:instrText>
        </w:r>
        <w:r w:rsidR="00DF7E27">
          <w:rPr>
            <w:noProof/>
            <w:webHidden/>
          </w:rPr>
        </w:r>
        <w:r w:rsidR="00DF7E27">
          <w:rPr>
            <w:noProof/>
            <w:webHidden/>
          </w:rPr>
          <w:fldChar w:fldCharType="separate"/>
        </w:r>
        <w:r w:rsidR="000935B5">
          <w:rPr>
            <w:noProof/>
            <w:webHidden/>
          </w:rPr>
          <w:t>18</w:t>
        </w:r>
        <w:r w:rsidR="00DF7E27">
          <w:rPr>
            <w:noProof/>
            <w:webHidden/>
          </w:rPr>
          <w:fldChar w:fldCharType="end"/>
        </w:r>
      </w:hyperlink>
    </w:p>
    <w:p w14:paraId="7F5DEABD" w14:textId="77777777" w:rsidR="00DF7E27" w:rsidRDefault="004B50CC">
      <w:pPr>
        <w:pStyle w:val="TDC2"/>
        <w:rPr>
          <w:rFonts w:asciiTheme="minorHAnsi" w:eastAsiaTheme="minorEastAsia" w:hAnsiTheme="minorHAnsi" w:cstheme="minorBidi"/>
          <w:noProof/>
          <w:sz w:val="22"/>
          <w:szCs w:val="22"/>
          <w:lang w:val="en-US"/>
        </w:rPr>
      </w:pPr>
      <w:hyperlink w:anchor="_Toc74894089" w:history="1">
        <w:r w:rsidR="00DF7E27" w:rsidRPr="00FE1E4C">
          <w:rPr>
            <w:rStyle w:val="Hipervnculo"/>
          </w:rPr>
          <w:t>8.</w:t>
        </w:r>
        <w:r w:rsidR="00DF7E27" w:rsidRPr="00FE1E4C">
          <w:rPr>
            <w:rStyle w:val="Hipervnculo"/>
            <w:bCs/>
          </w:rPr>
          <w:t xml:space="preserve"> Aclaraciones sobre el Documento de Licitación y régimen de comunicación</w:t>
        </w:r>
        <w:r w:rsidR="00DF7E27">
          <w:rPr>
            <w:noProof/>
            <w:webHidden/>
          </w:rPr>
          <w:tab/>
        </w:r>
        <w:r w:rsidR="00DF7E27">
          <w:rPr>
            <w:noProof/>
            <w:webHidden/>
          </w:rPr>
          <w:fldChar w:fldCharType="begin"/>
        </w:r>
        <w:r w:rsidR="00DF7E27">
          <w:rPr>
            <w:noProof/>
            <w:webHidden/>
          </w:rPr>
          <w:instrText xml:space="preserve"> PAGEREF _Toc74894089 \h </w:instrText>
        </w:r>
        <w:r w:rsidR="00DF7E27">
          <w:rPr>
            <w:noProof/>
            <w:webHidden/>
          </w:rPr>
        </w:r>
        <w:r w:rsidR="00DF7E27">
          <w:rPr>
            <w:noProof/>
            <w:webHidden/>
          </w:rPr>
          <w:fldChar w:fldCharType="separate"/>
        </w:r>
        <w:r w:rsidR="000935B5">
          <w:rPr>
            <w:noProof/>
            <w:webHidden/>
          </w:rPr>
          <w:t>19</w:t>
        </w:r>
        <w:r w:rsidR="00DF7E27">
          <w:rPr>
            <w:noProof/>
            <w:webHidden/>
          </w:rPr>
          <w:fldChar w:fldCharType="end"/>
        </w:r>
      </w:hyperlink>
    </w:p>
    <w:p w14:paraId="51034700" w14:textId="77777777" w:rsidR="00DF7E27" w:rsidRDefault="004B50CC">
      <w:pPr>
        <w:pStyle w:val="TDC2"/>
        <w:rPr>
          <w:rFonts w:asciiTheme="minorHAnsi" w:eastAsiaTheme="minorEastAsia" w:hAnsiTheme="minorHAnsi" w:cstheme="minorBidi"/>
          <w:noProof/>
          <w:sz w:val="22"/>
          <w:szCs w:val="22"/>
          <w:lang w:val="en-US"/>
        </w:rPr>
      </w:pPr>
      <w:hyperlink w:anchor="_Toc74894090" w:history="1">
        <w:r w:rsidR="00DF7E27" w:rsidRPr="00FE1E4C">
          <w:rPr>
            <w:rStyle w:val="Hipervnculo"/>
          </w:rPr>
          <w:t xml:space="preserve">9. </w:t>
        </w:r>
        <w:r w:rsidR="00DF7E27" w:rsidRPr="00FE1E4C">
          <w:rPr>
            <w:rStyle w:val="Hipervnculo"/>
            <w:bCs/>
          </w:rPr>
          <w:t>Modificación del DBL</w:t>
        </w:r>
        <w:r w:rsidR="00DF7E27">
          <w:rPr>
            <w:noProof/>
            <w:webHidden/>
          </w:rPr>
          <w:tab/>
        </w:r>
        <w:r w:rsidR="00DF7E27">
          <w:rPr>
            <w:noProof/>
            <w:webHidden/>
          </w:rPr>
          <w:fldChar w:fldCharType="begin"/>
        </w:r>
        <w:r w:rsidR="00DF7E27">
          <w:rPr>
            <w:noProof/>
            <w:webHidden/>
          </w:rPr>
          <w:instrText xml:space="preserve"> PAGEREF _Toc74894090 \h </w:instrText>
        </w:r>
        <w:r w:rsidR="00DF7E27">
          <w:rPr>
            <w:noProof/>
            <w:webHidden/>
          </w:rPr>
        </w:r>
        <w:r w:rsidR="00DF7E27">
          <w:rPr>
            <w:noProof/>
            <w:webHidden/>
          </w:rPr>
          <w:fldChar w:fldCharType="separate"/>
        </w:r>
        <w:r w:rsidR="000935B5">
          <w:rPr>
            <w:noProof/>
            <w:webHidden/>
          </w:rPr>
          <w:t>20</w:t>
        </w:r>
        <w:r w:rsidR="00DF7E27">
          <w:rPr>
            <w:noProof/>
            <w:webHidden/>
          </w:rPr>
          <w:fldChar w:fldCharType="end"/>
        </w:r>
      </w:hyperlink>
    </w:p>
    <w:p w14:paraId="05C7AC09" w14:textId="77777777" w:rsidR="00DF7E27" w:rsidRDefault="004B50CC">
      <w:pPr>
        <w:pStyle w:val="TDC1"/>
        <w:rPr>
          <w:rFonts w:asciiTheme="minorHAnsi" w:eastAsiaTheme="minorEastAsia" w:hAnsiTheme="minorHAnsi" w:cstheme="minorBidi"/>
          <w:b w:val="0"/>
          <w:noProof/>
          <w:sz w:val="22"/>
          <w:szCs w:val="22"/>
          <w:lang w:val="en-US"/>
        </w:rPr>
      </w:pPr>
      <w:hyperlink w:anchor="_Toc74894091" w:history="1">
        <w:r w:rsidR="00DF7E27" w:rsidRPr="00FE1E4C">
          <w:rPr>
            <w:rStyle w:val="Hipervnculo"/>
          </w:rPr>
          <w:t>C.</w:t>
        </w:r>
        <w:r w:rsidR="00DF7E27">
          <w:rPr>
            <w:rFonts w:asciiTheme="minorHAnsi" w:eastAsiaTheme="minorEastAsia" w:hAnsiTheme="minorHAnsi" w:cstheme="minorBidi"/>
            <w:b w:val="0"/>
            <w:noProof/>
            <w:sz w:val="22"/>
            <w:szCs w:val="22"/>
            <w:lang w:val="en-US"/>
          </w:rPr>
          <w:tab/>
        </w:r>
        <w:r w:rsidR="00DF7E27" w:rsidRPr="00FE1E4C">
          <w:rPr>
            <w:rStyle w:val="Hipervnculo"/>
          </w:rPr>
          <w:t>Preparación de las Ofertas</w:t>
        </w:r>
        <w:r w:rsidR="00DF7E27">
          <w:rPr>
            <w:noProof/>
            <w:webHidden/>
          </w:rPr>
          <w:tab/>
        </w:r>
        <w:r w:rsidR="00DF7E27">
          <w:rPr>
            <w:noProof/>
            <w:webHidden/>
          </w:rPr>
          <w:fldChar w:fldCharType="begin"/>
        </w:r>
        <w:r w:rsidR="00DF7E27">
          <w:rPr>
            <w:noProof/>
            <w:webHidden/>
          </w:rPr>
          <w:instrText xml:space="preserve"> PAGEREF _Toc74894091 \h </w:instrText>
        </w:r>
        <w:r w:rsidR="00DF7E27">
          <w:rPr>
            <w:noProof/>
            <w:webHidden/>
          </w:rPr>
        </w:r>
        <w:r w:rsidR="00DF7E27">
          <w:rPr>
            <w:noProof/>
            <w:webHidden/>
          </w:rPr>
          <w:fldChar w:fldCharType="separate"/>
        </w:r>
        <w:r w:rsidR="000935B5">
          <w:rPr>
            <w:noProof/>
            <w:webHidden/>
          </w:rPr>
          <w:t>20</w:t>
        </w:r>
        <w:r w:rsidR="00DF7E27">
          <w:rPr>
            <w:noProof/>
            <w:webHidden/>
          </w:rPr>
          <w:fldChar w:fldCharType="end"/>
        </w:r>
      </w:hyperlink>
    </w:p>
    <w:p w14:paraId="581F915C" w14:textId="77777777" w:rsidR="00DF7E27" w:rsidRDefault="004B50CC">
      <w:pPr>
        <w:pStyle w:val="TDC2"/>
        <w:rPr>
          <w:rFonts w:asciiTheme="minorHAnsi" w:eastAsiaTheme="minorEastAsia" w:hAnsiTheme="minorHAnsi" w:cstheme="minorBidi"/>
          <w:noProof/>
          <w:sz w:val="22"/>
          <w:szCs w:val="22"/>
          <w:lang w:val="en-US"/>
        </w:rPr>
      </w:pPr>
      <w:hyperlink w:anchor="_Toc74894092" w:history="1">
        <w:r w:rsidR="00DF7E27" w:rsidRPr="00FE1E4C">
          <w:rPr>
            <w:rStyle w:val="Hipervnculo"/>
          </w:rPr>
          <w:t>10. Costo de participación en la Licitación</w:t>
        </w:r>
        <w:r w:rsidR="00DF7E27">
          <w:rPr>
            <w:noProof/>
            <w:webHidden/>
          </w:rPr>
          <w:tab/>
        </w:r>
        <w:r w:rsidR="00DF7E27">
          <w:rPr>
            <w:noProof/>
            <w:webHidden/>
          </w:rPr>
          <w:fldChar w:fldCharType="begin"/>
        </w:r>
        <w:r w:rsidR="00DF7E27">
          <w:rPr>
            <w:noProof/>
            <w:webHidden/>
          </w:rPr>
          <w:instrText xml:space="preserve"> PAGEREF _Toc74894092 \h </w:instrText>
        </w:r>
        <w:r w:rsidR="00DF7E27">
          <w:rPr>
            <w:noProof/>
            <w:webHidden/>
          </w:rPr>
        </w:r>
        <w:r w:rsidR="00DF7E27">
          <w:rPr>
            <w:noProof/>
            <w:webHidden/>
          </w:rPr>
          <w:fldChar w:fldCharType="separate"/>
        </w:r>
        <w:r w:rsidR="000935B5">
          <w:rPr>
            <w:noProof/>
            <w:webHidden/>
          </w:rPr>
          <w:t>20</w:t>
        </w:r>
        <w:r w:rsidR="00DF7E27">
          <w:rPr>
            <w:noProof/>
            <w:webHidden/>
          </w:rPr>
          <w:fldChar w:fldCharType="end"/>
        </w:r>
      </w:hyperlink>
    </w:p>
    <w:p w14:paraId="4E186A30" w14:textId="77777777" w:rsidR="00DF7E27" w:rsidRDefault="004B50CC">
      <w:pPr>
        <w:pStyle w:val="TDC2"/>
        <w:rPr>
          <w:rFonts w:asciiTheme="minorHAnsi" w:eastAsiaTheme="minorEastAsia" w:hAnsiTheme="minorHAnsi" w:cstheme="minorBidi"/>
          <w:noProof/>
          <w:sz w:val="22"/>
          <w:szCs w:val="22"/>
          <w:lang w:val="en-US"/>
        </w:rPr>
      </w:pPr>
      <w:hyperlink w:anchor="_Toc74894093" w:history="1">
        <w:r w:rsidR="00DF7E27" w:rsidRPr="00FE1E4C">
          <w:rPr>
            <w:rStyle w:val="Hipervnculo"/>
          </w:rPr>
          <w:t>11. Idioma de la Oferta</w:t>
        </w:r>
        <w:r w:rsidR="00DF7E27">
          <w:rPr>
            <w:noProof/>
            <w:webHidden/>
          </w:rPr>
          <w:tab/>
        </w:r>
        <w:r w:rsidR="00DF7E27">
          <w:rPr>
            <w:noProof/>
            <w:webHidden/>
          </w:rPr>
          <w:fldChar w:fldCharType="begin"/>
        </w:r>
        <w:r w:rsidR="00DF7E27">
          <w:rPr>
            <w:noProof/>
            <w:webHidden/>
          </w:rPr>
          <w:instrText xml:space="preserve"> PAGEREF _Toc74894093 \h </w:instrText>
        </w:r>
        <w:r w:rsidR="00DF7E27">
          <w:rPr>
            <w:noProof/>
            <w:webHidden/>
          </w:rPr>
        </w:r>
        <w:r w:rsidR="00DF7E27">
          <w:rPr>
            <w:noProof/>
            <w:webHidden/>
          </w:rPr>
          <w:fldChar w:fldCharType="separate"/>
        </w:r>
        <w:r w:rsidR="000935B5">
          <w:rPr>
            <w:noProof/>
            <w:webHidden/>
          </w:rPr>
          <w:t>20</w:t>
        </w:r>
        <w:r w:rsidR="00DF7E27">
          <w:rPr>
            <w:noProof/>
            <w:webHidden/>
          </w:rPr>
          <w:fldChar w:fldCharType="end"/>
        </w:r>
      </w:hyperlink>
    </w:p>
    <w:p w14:paraId="19AE7F45" w14:textId="77777777" w:rsidR="00DF7E27" w:rsidRDefault="004B50CC">
      <w:pPr>
        <w:pStyle w:val="TDC2"/>
        <w:rPr>
          <w:rFonts w:asciiTheme="minorHAnsi" w:eastAsiaTheme="minorEastAsia" w:hAnsiTheme="minorHAnsi" w:cstheme="minorBidi"/>
          <w:noProof/>
          <w:sz w:val="22"/>
          <w:szCs w:val="22"/>
          <w:lang w:val="en-US"/>
        </w:rPr>
      </w:pPr>
      <w:hyperlink w:anchor="_Toc74894094" w:history="1">
        <w:r w:rsidR="00DF7E27" w:rsidRPr="00FE1E4C">
          <w:rPr>
            <w:rStyle w:val="Hipervnculo"/>
          </w:rPr>
          <w:t>12. Documentos que conforman la Oferta</w:t>
        </w:r>
        <w:r w:rsidR="00DF7E27">
          <w:rPr>
            <w:noProof/>
            <w:webHidden/>
          </w:rPr>
          <w:tab/>
        </w:r>
        <w:r w:rsidR="00DF7E27">
          <w:rPr>
            <w:noProof/>
            <w:webHidden/>
          </w:rPr>
          <w:fldChar w:fldCharType="begin"/>
        </w:r>
        <w:r w:rsidR="00DF7E27">
          <w:rPr>
            <w:noProof/>
            <w:webHidden/>
          </w:rPr>
          <w:instrText xml:space="preserve"> PAGEREF _Toc74894094 \h </w:instrText>
        </w:r>
        <w:r w:rsidR="00DF7E27">
          <w:rPr>
            <w:noProof/>
            <w:webHidden/>
          </w:rPr>
        </w:r>
        <w:r w:rsidR="00DF7E27">
          <w:rPr>
            <w:noProof/>
            <w:webHidden/>
          </w:rPr>
          <w:fldChar w:fldCharType="separate"/>
        </w:r>
        <w:r w:rsidR="000935B5">
          <w:rPr>
            <w:noProof/>
            <w:webHidden/>
          </w:rPr>
          <w:t>20</w:t>
        </w:r>
        <w:r w:rsidR="00DF7E27">
          <w:rPr>
            <w:noProof/>
            <w:webHidden/>
          </w:rPr>
          <w:fldChar w:fldCharType="end"/>
        </w:r>
      </w:hyperlink>
    </w:p>
    <w:p w14:paraId="565526A6" w14:textId="77777777" w:rsidR="00DF7E27" w:rsidRDefault="004B50CC">
      <w:pPr>
        <w:pStyle w:val="TDC2"/>
        <w:rPr>
          <w:rFonts w:asciiTheme="minorHAnsi" w:eastAsiaTheme="minorEastAsia" w:hAnsiTheme="minorHAnsi" w:cstheme="minorBidi"/>
          <w:noProof/>
          <w:sz w:val="22"/>
          <w:szCs w:val="22"/>
          <w:lang w:val="en-US"/>
        </w:rPr>
      </w:pPr>
      <w:hyperlink w:anchor="_Toc74894095" w:history="1">
        <w:r w:rsidR="00DF7E27" w:rsidRPr="00FE1E4C">
          <w:rPr>
            <w:rStyle w:val="Hipervnculo"/>
          </w:rPr>
          <w:t>13. Carta de presentación de la Oferta y formularios</w:t>
        </w:r>
        <w:r w:rsidR="00DF7E27">
          <w:rPr>
            <w:noProof/>
            <w:webHidden/>
          </w:rPr>
          <w:tab/>
        </w:r>
        <w:r w:rsidR="00DF7E27">
          <w:rPr>
            <w:noProof/>
            <w:webHidden/>
          </w:rPr>
          <w:fldChar w:fldCharType="begin"/>
        </w:r>
        <w:r w:rsidR="00DF7E27">
          <w:rPr>
            <w:noProof/>
            <w:webHidden/>
          </w:rPr>
          <w:instrText xml:space="preserve"> PAGEREF _Toc74894095 \h </w:instrText>
        </w:r>
        <w:r w:rsidR="00DF7E27">
          <w:rPr>
            <w:noProof/>
            <w:webHidden/>
          </w:rPr>
        </w:r>
        <w:r w:rsidR="00DF7E27">
          <w:rPr>
            <w:noProof/>
            <w:webHidden/>
          </w:rPr>
          <w:fldChar w:fldCharType="separate"/>
        </w:r>
        <w:r w:rsidR="000935B5">
          <w:rPr>
            <w:noProof/>
            <w:webHidden/>
          </w:rPr>
          <w:t>21</w:t>
        </w:r>
        <w:r w:rsidR="00DF7E27">
          <w:rPr>
            <w:noProof/>
            <w:webHidden/>
          </w:rPr>
          <w:fldChar w:fldCharType="end"/>
        </w:r>
      </w:hyperlink>
    </w:p>
    <w:p w14:paraId="1BB88B12" w14:textId="77777777" w:rsidR="00DF7E27" w:rsidRDefault="004B50CC">
      <w:pPr>
        <w:pStyle w:val="TDC2"/>
        <w:rPr>
          <w:rFonts w:asciiTheme="minorHAnsi" w:eastAsiaTheme="minorEastAsia" w:hAnsiTheme="minorHAnsi" w:cstheme="minorBidi"/>
          <w:noProof/>
          <w:sz w:val="22"/>
          <w:szCs w:val="22"/>
          <w:lang w:val="en-US"/>
        </w:rPr>
      </w:pPr>
      <w:hyperlink w:anchor="_Toc74894096" w:history="1">
        <w:r w:rsidR="00DF7E27" w:rsidRPr="00FE1E4C">
          <w:rPr>
            <w:rStyle w:val="Hipervnculo"/>
          </w:rPr>
          <w:t>14. Ofertas alternativas</w:t>
        </w:r>
        <w:r w:rsidR="00DF7E27">
          <w:rPr>
            <w:noProof/>
            <w:webHidden/>
          </w:rPr>
          <w:tab/>
        </w:r>
        <w:r w:rsidR="00DF7E27">
          <w:rPr>
            <w:noProof/>
            <w:webHidden/>
          </w:rPr>
          <w:fldChar w:fldCharType="begin"/>
        </w:r>
        <w:r w:rsidR="00DF7E27">
          <w:rPr>
            <w:noProof/>
            <w:webHidden/>
          </w:rPr>
          <w:instrText xml:space="preserve"> PAGEREF _Toc74894096 \h </w:instrText>
        </w:r>
        <w:r w:rsidR="00DF7E27">
          <w:rPr>
            <w:noProof/>
            <w:webHidden/>
          </w:rPr>
        </w:r>
        <w:r w:rsidR="00DF7E27">
          <w:rPr>
            <w:noProof/>
            <w:webHidden/>
          </w:rPr>
          <w:fldChar w:fldCharType="separate"/>
        </w:r>
        <w:r w:rsidR="000935B5">
          <w:rPr>
            <w:noProof/>
            <w:webHidden/>
          </w:rPr>
          <w:t>21</w:t>
        </w:r>
        <w:r w:rsidR="00DF7E27">
          <w:rPr>
            <w:noProof/>
            <w:webHidden/>
          </w:rPr>
          <w:fldChar w:fldCharType="end"/>
        </w:r>
      </w:hyperlink>
    </w:p>
    <w:p w14:paraId="11BBE013" w14:textId="77777777" w:rsidR="00DF7E27" w:rsidRDefault="004B50CC">
      <w:pPr>
        <w:pStyle w:val="TDC2"/>
        <w:rPr>
          <w:rFonts w:asciiTheme="minorHAnsi" w:eastAsiaTheme="minorEastAsia" w:hAnsiTheme="minorHAnsi" w:cstheme="minorBidi"/>
          <w:noProof/>
          <w:sz w:val="22"/>
          <w:szCs w:val="22"/>
          <w:lang w:val="en-US"/>
        </w:rPr>
      </w:pPr>
      <w:hyperlink w:anchor="_Toc74894097" w:history="1">
        <w:r w:rsidR="00DF7E27" w:rsidRPr="00FE1E4C">
          <w:rPr>
            <w:rStyle w:val="Hipervnculo"/>
          </w:rPr>
          <w:t>15. Precios de la oferta</w:t>
        </w:r>
        <w:r w:rsidR="00DF7E27">
          <w:rPr>
            <w:noProof/>
            <w:webHidden/>
          </w:rPr>
          <w:tab/>
        </w:r>
        <w:r w:rsidR="00DF7E27">
          <w:rPr>
            <w:noProof/>
            <w:webHidden/>
          </w:rPr>
          <w:fldChar w:fldCharType="begin"/>
        </w:r>
        <w:r w:rsidR="00DF7E27">
          <w:rPr>
            <w:noProof/>
            <w:webHidden/>
          </w:rPr>
          <w:instrText xml:space="preserve"> PAGEREF _Toc74894097 \h </w:instrText>
        </w:r>
        <w:r w:rsidR="00DF7E27">
          <w:rPr>
            <w:noProof/>
            <w:webHidden/>
          </w:rPr>
        </w:r>
        <w:r w:rsidR="00DF7E27">
          <w:rPr>
            <w:noProof/>
            <w:webHidden/>
          </w:rPr>
          <w:fldChar w:fldCharType="separate"/>
        </w:r>
        <w:r w:rsidR="000935B5">
          <w:rPr>
            <w:noProof/>
            <w:webHidden/>
          </w:rPr>
          <w:t>21</w:t>
        </w:r>
        <w:r w:rsidR="00DF7E27">
          <w:rPr>
            <w:noProof/>
            <w:webHidden/>
          </w:rPr>
          <w:fldChar w:fldCharType="end"/>
        </w:r>
      </w:hyperlink>
    </w:p>
    <w:p w14:paraId="6F8FE4A8" w14:textId="77777777" w:rsidR="00DF7E27" w:rsidRDefault="004B50CC">
      <w:pPr>
        <w:pStyle w:val="TDC2"/>
        <w:rPr>
          <w:rFonts w:asciiTheme="minorHAnsi" w:eastAsiaTheme="minorEastAsia" w:hAnsiTheme="minorHAnsi" w:cstheme="minorBidi"/>
          <w:noProof/>
          <w:sz w:val="22"/>
          <w:szCs w:val="22"/>
          <w:lang w:val="en-US"/>
        </w:rPr>
      </w:pPr>
      <w:hyperlink w:anchor="_Toc74894098" w:history="1">
        <w:r w:rsidR="00DF7E27" w:rsidRPr="00FE1E4C">
          <w:rPr>
            <w:rStyle w:val="Hipervnculo"/>
          </w:rPr>
          <w:t>16. Ajuste de Precios</w:t>
        </w:r>
        <w:r w:rsidR="00DF7E27">
          <w:rPr>
            <w:noProof/>
            <w:webHidden/>
          </w:rPr>
          <w:tab/>
        </w:r>
        <w:r w:rsidR="00DF7E27">
          <w:rPr>
            <w:noProof/>
            <w:webHidden/>
          </w:rPr>
          <w:fldChar w:fldCharType="begin"/>
        </w:r>
        <w:r w:rsidR="00DF7E27">
          <w:rPr>
            <w:noProof/>
            <w:webHidden/>
          </w:rPr>
          <w:instrText xml:space="preserve"> PAGEREF _Toc74894098 \h </w:instrText>
        </w:r>
        <w:r w:rsidR="00DF7E27">
          <w:rPr>
            <w:noProof/>
            <w:webHidden/>
          </w:rPr>
        </w:r>
        <w:r w:rsidR="00DF7E27">
          <w:rPr>
            <w:noProof/>
            <w:webHidden/>
          </w:rPr>
          <w:fldChar w:fldCharType="separate"/>
        </w:r>
        <w:r w:rsidR="000935B5">
          <w:rPr>
            <w:noProof/>
            <w:webHidden/>
          </w:rPr>
          <w:t>22</w:t>
        </w:r>
        <w:r w:rsidR="00DF7E27">
          <w:rPr>
            <w:noProof/>
            <w:webHidden/>
          </w:rPr>
          <w:fldChar w:fldCharType="end"/>
        </w:r>
      </w:hyperlink>
    </w:p>
    <w:p w14:paraId="7E44043A" w14:textId="77777777" w:rsidR="00DF7E27" w:rsidRDefault="004B50CC">
      <w:pPr>
        <w:pStyle w:val="TDC2"/>
        <w:rPr>
          <w:rFonts w:asciiTheme="minorHAnsi" w:eastAsiaTheme="minorEastAsia" w:hAnsiTheme="minorHAnsi" w:cstheme="minorBidi"/>
          <w:noProof/>
          <w:sz w:val="22"/>
          <w:szCs w:val="22"/>
          <w:lang w:val="en-US"/>
        </w:rPr>
      </w:pPr>
      <w:hyperlink w:anchor="_Toc74894099" w:history="1">
        <w:r w:rsidR="00DF7E27" w:rsidRPr="00FE1E4C">
          <w:rPr>
            <w:rStyle w:val="Hipervnculo"/>
          </w:rPr>
          <w:t>17. Monedas de la Oferta y de pago</w:t>
        </w:r>
        <w:r w:rsidR="00DF7E27">
          <w:rPr>
            <w:noProof/>
            <w:webHidden/>
          </w:rPr>
          <w:tab/>
        </w:r>
        <w:r w:rsidR="00DF7E27">
          <w:rPr>
            <w:noProof/>
            <w:webHidden/>
          </w:rPr>
          <w:fldChar w:fldCharType="begin"/>
        </w:r>
        <w:r w:rsidR="00DF7E27">
          <w:rPr>
            <w:noProof/>
            <w:webHidden/>
          </w:rPr>
          <w:instrText xml:space="preserve"> PAGEREF _Toc74894099 \h </w:instrText>
        </w:r>
        <w:r w:rsidR="00DF7E27">
          <w:rPr>
            <w:noProof/>
            <w:webHidden/>
          </w:rPr>
        </w:r>
        <w:r w:rsidR="00DF7E27">
          <w:rPr>
            <w:noProof/>
            <w:webHidden/>
          </w:rPr>
          <w:fldChar w:fldCharType="separate"/>
        </w:r>
        <w:r w:rsidR="000935B5">
          <w:rPr>
            <w:noProof/>
            <w:webHidden/>
          </w:rPr>
          <w:t>22</w:t>
        </w:r>
        <w:r w:rsidR="00DF7E27">
          <w:rPr>
            <w:noProof/>
            <w:webHidden/>
          </w:rPr>
          <w:fldChar w:fldCharType="end"/>
        </w:r>
      </w:hyperlink>
    </w:p>
    <w:p w14:paraId="12632760" w14:textId="77777777" w:rsidR="00DF7E27" w:rsidRDefault="004B50CC">
      <w:pPr>
        <w:pStyle w:val="TDC2"/>
        <w:rPr>
          <w:rFonts w:asciiTheme="minorHAnsi" w:eastAsiaTheme="minorEastAsia" w:hAnsiTheme="minorHAnsi" w:cstheme="minorBidi"/>
          <w:noProof/>
          <w:sz w:val="22"/>
          <w:szCs w:val="22"/>
          <w:lang w:val="en-US"/>
        </w:rPr>
      </w:pPr>
      <w:hyperlink w:anchor="_Toc74894100" w:history="1">
        <w:r w:rsidR="00DF7E27" w:rsidRPr="00FE1E4C">
          <w:rPr>
            <w:rStyle w:val="Hipervnculo"/>
          </w:rPr>
          <w:t>18. Documentos que establecen la Elegibilidad y las Calificaciones del Oferente</w:t>
        </w:r>
        <w:r w:rsidR="00DF7E27">
          <w:rPr>
            <w:noProof/>
            <w:webHidden/>
          </w:rPr>
          <w:tab/>
        </w:r>
        <w:r w:rsidR="00DF7E27">
          <w:rPr>
            <w:noProof/>
            <w:webHidden/>
          </w:rPr>
          <w:fldChar w:fldCharType="begin"/>
        </w:r>
        <w:r w:rsidR="00DF7E27">
          <w:rPr>
            <w:noProof/>
            <w:webHidden/>
          </w:rPr>
          <w:instrText xml:space="preserve"> PAGEREF _Toc74894100 \h </w:instrText>
        </w:r>
        <w:r w:rsidR="00DF7E27">
          <w:rPr>
            <w:noProof/>
            <w:webHidden/>
          </w:rPr>
        </w:r>
        <w:r w:rsidR="00DF7E27">
          <w:rPr>
            <w:noProof/>
            <w:webHidden/>
          </w:rPr>
          <w:fldChar w:fldCharType="separate"/>
        </w:r>
        <w:r w:rsidR="000935B5">
          <w:rPr>
            <w:noProof/>
            <w:webHidden/>
          </w:rPr>
          <w:t>22</w:t>
        </w:r>
        <w:r w:rsidR="00DF7E27">
          <w:rPr>
            <w:noProof/>
            <w:webHidden/>
          </w:rPr>
          <w:fldChar w:fldCharType="end"/>
        </w:r>
      </w:hyperlink>
    </w:p>
    <w:p w14:paraId="00EA3C8F" w14:textId="77777777" w:rsidR="00DF7E27" w:rsidRDefault="004B50CC">
      <w:pPr>
        <w:pStyle w:val="TDC2"/>
        <w:rPr>
          <w:rFonts w:asciiTheme="minorHAnsi" w:eastAsiaTheme="minorEastAsia" w:hAnsiTheme="minorHAnsi" w:cstheme="minorBidi"/>
          <w:noProof/>
          <w:sz w:val="22"/>
          <w:szCs w:val="22"/>
          <w:lang w:val="en-US"/>
        </w:rPr>
      </w:pPr>
      <w:hyperlink w:anchor="_Toc74894101" w:history="1">
        <w:r w:rsidR="00DF7E27" w:rsidRPr="00FE1E4C">
          <w:rPr>
            <w:rStyle w:val="Hipervnculo"/>
          </w:rPr>
          <w:t>19. Documentos que componen la Propuesta Técnica</w:t>
        </w:r>
        <w:r w:rsidR="00DF7E27">
          <w:rPr>
            <w:noProof/>
            <w:webHidden/>
          </w:rPr>
          <w:tab/>
        </w:r>
        <w:r w:rsidR="00DF7E27">
          <w:rPr>
            <w:noProof/>
            <w:webHidden/>
          </w:rPr>
          <w:fldChar w:fldCharType="begin"/>
        </w:r>
        <w:r w:rsidR="00DF7E27">
          <w:rPr>
            <w:noProof/>
            <w:webHidden/>
          </w:rPr>
          <w:instrText xml:space="preserve"> PAGEREF _Toc74894101 \h </w:instrText>
        </w:r>
        <w:r w:rsidR="00DF7E27">
          <w:rPr>
            <w:noProof/>
            <w:webHidden/>
          </w:rPr>
        </w:r>
        <w:r w:rsidR="00DF7E27">
          <w:rPr>
            <w:noProof/>
            <w:webHidden/>
          </w:rPr>
          <w:fldChar w:fldCharType="separate"/>
        </w:r>
        <w:r w:rsidR="000935B5">
          <w:rPr>
            <w:noProof/>
            <w:webHidden/>
          </w:rPr>
          <w:t>23</w:t>
        </w:r>
        <w:r w:rsidR="00DF7E27">
          <w:rPr>
            <w:noProof/>
            <w:webHidden/>
          </w:rPr>
          <w:fldChar w:fldCharType="end"/>
        </w:r>
      </w:hyperlink>
    </w:p>
    <w:p w14:paraId="3521F3A5" w14:textId="77777777" w:rsidR="00DF7E27" w:rsidRDefault="004B50CC">
      <w:pPr>
        <w:pStyle w:val="TDC2"/>
        <w:rPr>
          <w:rFonts w:asciiTheme="minorHAnsi" w:eastAsiaTheme="minorEastAsia" w:hAnsiTheme="minorHAnsi" w:cstheme="minorBidi"/>
          <w:noProof/>
          <w:sz w:val="22"/>
          <w:szCs w:val="22"/>
          <w:lang w:val="en-US"/>
        </w:rPr>
      </w:pPr>
      <w:hyperlink w:anchor="_Toc74894102" w:history="1">
        <w:r w:rsidR="00DF7E27" w:rsidRPr="00FE1E4C">
          <w:rPr>
            <w:rStyle w:val="Hipervnculo"/>
          </w:rPr>
          <w:t>20. Sub contratación</w:t>
        </w:r>
        <w:r w:rsidR="00DF7E27">
          <w:rPr>
            <w:noProof/>
            <w:webHidden/>
          </w:rPr>
          <w:tab/>
        </w:r>
        <w:r w:rsidR="00DF7E27">
          <w:rPr>
            <w:noProof/>
            <w:webHidden/>
          </w:rPr>
          <w:fldChar w:fldCharType="begin"/>
        </w:r>
        <w:r w:rsidR="00DF7E27">
          <w:rPr>
            <w:noProof/>
            <w:webHidden/>
          </w:rPr>
          <w:instrText xml:space="preserve"> PAGEREF _Toc74894102 \h </w:instrText>
        </w:r>
        <w:r w:rsidR="00DF7E27">
          <w:rPr>
            <w:noProof/>
            <w:webHidden/>
          </w:rPr>
        </w:r>
        <w:r w:rsidR="00DF7E27">
          <w:rPr>
            <w:noProof/>
            <w:webHidden/>
          </w:rPr>
          <w:fldChar w:fldCharType="separate"/>
        </w:r>
        <w:r w:rsidR="000935B5">
          <w:rPr>
            <w:noProof/>
            <w:webHidden/>
          </w:rPr>
          <w:t>23</w:t>
        </w:r>
        <w:r w:rsidR="00DF7E27">
          <w:rPr>
            <w:noProof/>
            <w:webHidden/>
          </w:rPr>
          <w:fldChar w:fldCharType="end"/>
        </w:r>
      </w:hyperlink>
    </w:p>
    <w:p w14:paraId="728CD589" w14:textId="77777777" w:rsidR="00DF7E27" w:rsidRDefault="004B50CC">
      <w:pPr>
        <w:pStyle w:val="TDC2"/>
        <w:rPr>
          <w:rFonts w:asciiTheme="minorHAnsi" w:eastAsiaTheme="minorEastAsia" w:hAnsiTheme="minorHAnsi" w:cstheme="minorBidi"/>
          <w:noProof/>
          <w:sz w:val="22"/>
          <w:szCs w:val="22"/>
          <w:lang w:val="en-US"/>
        </w:rPr>
      </w:pPr>
      <w:hyperlink w:anchor="_Toc74894103" w:history="1">
        <w:r w:rsidR="00DF7E27" w:rsidRPr="00FE1E4C">
          <w:rPr>
            <w:rStyle w:val="Hipervnculo"/>
          </w:rPr>
          <w:t>21. Período de validez de las Ofertas</w:t>
        </w:r>
        <w:r w:rsidR="00DF7E27">
          <w:rPr>
            <w:noProof/>
            <w:webHidden/>
          </w:rPr>
          <w:tab/>
        </w:r>
        <w:r w:rsidR="00DF7E27">
          <w:rPr>
            <w:noProof/>
            <w:webHidden/>
          </w:rPr>
          <w:fldChar w:fldCharType="begin"/>
        </w:r>
        <w:r w:rsidR="00DF7E27">
          <w:rPr>
            <w:noProof/>
            <w:webHidden/>
          </w:rPr>
          <w:instrText xml:space="preserve"> PAGEREF _Toc74894103 \h </w:instrText>
        </w:r>
        <w:r w:rsidR="00DF7E27">
          <w:rPr>
            <w:noProof/>
            <w:webHidden/>
          </w:rPr>
        </w:r>
        <w:r w:rsidR="00DF7E27">
          <w:rPr>
            <w:noProof/>
            <w:webHidden/>
          </w:rPr>
          <w:fldChar w:fldCharType="separate"/>
        </w:r>
        <w:r w:rsidR="000935B5">
          <w:rPr>
            <w:noProof/>
            <w:webHidden/>
          </w:rPr>
          <w:t>23</w:t>
        </w:r>
        <w:r w:rsidR="00DF7E27">
          <w:rPr>
            <w:noProof/>
            <w:webHidden/>
          </w:rPr>
          <w:fldChar w:fldCharType="end"/>
        </w:r>
      </w:hyperlink>
    </w:p>
    <w:p w14:paraId="1FE8D0E2" w14:textId="77777777" w:rsidR="00DF7E27" w:rsidRDefault="004B50CC">
      <w:pPr>
        <w:pStyle w:val="TDC2"/>
        <w:rPr>
          <w:rFonts w:asciiTheme="minorHAnsi" w:eastAsiaTheme="minorEastAsia" w:hAnsiTheme="minorHAnsi" w:cstheme="minorBidi"/>
          <w:noProof/>
          <w:sz w:val="22"/>
          <w:szCs w:val="22"/>
          <w:lang w:val="en-US"/>
        </w:rPr>
      </w:pPr>
      <w:hyperlink w:anchor="_Toc74894104" w:history="1">
        <w:r w:rsidR="00DF7E27" w:rsidRPr="00FE1E4C">
          <w:rPr>
            <w:rStyle w:val="Hipervnculo"/>
          </w:rPr>
          <w:t>22. Garantía de Mantenimiento de la Oferta y firma de contrato</w:t>
        </w:r>
        <w:r w:rsidR="00DF7E27">
          <w:rPr>
            <w:noProof/>
            <w:webHidden/>
          </w:rPr>
          <w:tab/>
        </w:r>
        <w:r w:rsidR="00DF7E27">
          <w:rPr>
            <w:noProof/>
            <w:webHidden/>
          </w:rPr>
          <w:fldChar w:fldCharType="begin"/>
        </w:r>
        <w:r w:rsidR="00DF7E27">
          <w:rPr>
            <w:noProof/>
            <w:webHidden/>
          </w:rPr>
          <w:instrText xml:space="preserve"> PAGEREF _Toc74894104 \h </w:instrText>
        </w:r>
        <w:r w:rsidR="00DF7E27">
          <w:rPr>
            <w:noProof/>
            <w:webHidden/>
          </w:rPr>
        </w:r>
        <w:r w:rsidR="00DF7E27">
          <w:rPr>
            <w:noProof/>
            <w:webHidden/>
          </w:rPr>
          <w:fldChar w:fldCharType="separate"/>
        </w:r>
        <w:r w:rsidR="000935B5">
          <w:rPr>
            <w:noProof/>
            <w:webHidden/>
          </w:rPr>
          <w:t>24</w:t>
        </w:r>
        <w:r w:rsidR="00DF7E27">
          <w:rPr>
            <w:noProof/>
            <w:webHidden/>
          </w:rPr>
          <w:fldChar w:fldCharType="end"/>
        </w:r>
      </w:hyperlink>
    </w:p>
    <w:p w14:paraId="41A243BF" w14:textId="77777777" w:rsidR="00DF7E27" w:rsidRDefault="004B50CC">
      <w:pPr>
        <w:pStyle w:val="TDC1"/>
        <w:rPr>
          <w:rFonts w:asciiTheme="minorHAnsi" w:eastAsiaTheme="minorEastAsia" w:hAnsiTheme="minorHAnsi" w:cstheme="minorBidi"/>
          <w:b w:val="0"/>
          <w:noProof/>
          <w:sz w:val="22"/>
          <w:szCs w:val="22"/>
          <w:lang w:val="en-US"/>
        </w:rPr>
      </w:pPr>
      <w:hyperlink w:anchor="_Toc74894105" w:history="1">
        <w:r w:rsidR="00DF7E27" w:rsidRPr="00FE1E4C">
          <w:rPr>
            <w:rStyle w:val="Hipervnculo"/>
          </w:rPr>
          <w:t>D.</w:t>
        </w:r>
        <w:r w:rsidR="00DF7E27">
          <w:rPr>
            <w:rFonts w:asciiTheme="minorHAnsi" w:eastAsiaTheme="minorEastAsia" w:hAnsiTheme="minorHAnsi" w:cstheme="minorBidi"/>
            <w:b w:val="0"/>
            <w:noProof/>
            <w:sz w:val="22"/>
            <w:szCs w:val="22"/>
            <w:lang w:val="en-US"/>
          </w:rPr>
          <w:tab/>
        </w:r>
        <w:r w:rsidR="00DF7E27" w:rsidRPr="00FE1E4C">
          <w:rPr>
            <w:rStyle w:val="Hipervnculo"/>
          </w:rPr>
          <w:t>Presentación y apertura de las Ofertas</w:t>
        </w:r>
        <w:r w:rsidR="00DF7E27">
          <w:rPr>
            <w:noProof/>
            <w:webHidden/>
          </w:rPr>
          <w:tab/>
        </w:r>
        <w:r w:rsidR="00DF7E27">
          <w:rPr>
            <w:noProof/>
            <w:webHidden/>
          </w:rPr>
          <w:fldChar w:fldCharType="begin"/>
        </w:r>
        <w:r w:rsidR="00DF7E27">
          <w:rPr>
            <w:noProof/>
            <w:webHidden/>
          </w:rPr>
          <w:instrText xml:space="preserve"> PAGEREF _Toc74894105 \h </w:instrText>
        </w:r>
        <w:r w:rsidR="00DF7E27">
          <w:rPr>
            <w:noProof/>
            <w:webHidden/>
          </w:rPr>
        </w:r>
        <w:r w:rsidR="00DF7E27">
          <w:rPr>
            <w:noProof/>
            <w:webHidden/>
          </w:rPr>
          <w:fldChar w:fldCharType="separate"/>
        </w:r>
        <w:r w:rsidR="000935B5">
          <w:rPr>
            <w:noProof/>
            <w:webHidden/>
          </w:rPr>
          <w:t>26</w:t>
        </w:r>
        <w:r w:rsidR="00DF7E27">
          <w:rPr>
            <w:noProof/>
            <w:webHidden/>
          </w:rPr>
          <w:fldChar w:fldCharType="end"/>
        </w:r>
      </w:hyperlink>
    </w:p>
    <w:p w14:paraId="090DC178" w14:textId="77777777" w:rsidR="00DF7E27" w:rsidRDefault="004B50CC">
      <w:pPr>
        <w:pStyle w:val="TDC2"/>
        <w:rPr>
          <w:rFonts w:asciiTheme="minorHAnsi" w:eastAsiaTheme="minorEastAsia" w:hAnsiTheme="minorHAnsi" w:cstheme="minorBidi"/>
          <w:noProof/>
          <w:sz w:val="22"/>
          <w:szCs w:val="22"/>
          <w:lang w:val="en-US"/>
        </w:rPr>
      </w:pPr>
      <w:hyperlink w:anchor="_Toc74894106" w:history="1">
        <w:r w:rsidR="00DF7E27" w:rsidRPr="00FE1E4C">
          <w:rPr>
            <w:rStyle w:val="Hipervnculo"/>
          </w:rPr>
          <w:t>23. Formato de la Oferta</w:t>
        </w:r>
        <w:r w:rsidR="00DF7E27">
          <w:rPr>
            <w:noProof/>
            <w:webHidden/>
          </w:rPr>
          <w:tab/>
        </w:r>
        <w:r w:rsidR="00DF7E27">
          <w:rPr>
            <w:noProof/>
            <w:webHidden/>
          </w:rPr>
          <w:fldChar w:fldCharType="begin"/>
        </w:r>
        <w:r w:rsidR="00DF7E27">
          <w:rPr>
            <w:noProof/>
            <w:webHidden/>
          </w:rPr>
          <w:instrText xml:space="preserve"> PAGEREF _Toc74894106 \h </w:instrText>
        </w:r>
        <w:r w:rsidR="00DF7E27">
          <w:rPr>
            <w:noProof/>
            <w:webHidden/>
          </w:rPr>
        </w:r>
        <w:r w:rsidR="00DF7E27">
          <w:rPr>
            <w:noProof/>
            <w:webHidden/>
          </w:rPr>
          <w:fldChar w:fldCharType="separate"/>
        </w:r>
        <w:r w:rsidR="000935B5">
          <w:rPr>
            <w:noProof/>
            <w:webHidden/>
          </w:rPr>
          <w:t>26</w:t>
        </w:r>
        <w:r w:rsidR="00DF7E27">
          <w:rPr>
            <w:noProof/>
            <w:webHidden/>
          </w:rPr>
          <w:fldChar w:fldCharType="end"/>
        </w:r>
      </w:hyperlink>
    </w:p>
    <w:p w14:paraId="6FC3CC37" w14:textId="77777777" w:rsidR="00DF7E27" w:rsidRDefault="004B50CC">
      <w:pPr>
        <w:pStyle w:val="TDC2"/>
        <w:rPr>
          <w:rFonts w:asciiTheme="minorHAnsi" w:eastAsiaTheme="minorEastAsia" w:hAnsiTheme="minorHAnsi" w:cstheme="minorBidi"/>
          <w:noProof/>
          <w:sz w:val="22"/>
          <w:szCs w:val="22"/>
          <w:lang w:val="en-US"/>
        </w:rPr>
      </w:pPr>
      <w:hyperlink w:anchor="_Toc74894107" w:history="1">
        <w:r w:rsidR="00DF7E27" w:rsidRPr="00FE1E4C">
          <w:rPr>
            <w:rStyle w:val="Hipervnculo"/>
          </w:rPr>
          <w:t>24. Procedimiento para firmar, sellar y marcar las Ofertas</w:t>
        </w:r>
        <w:r w:rsidR="00DF7E27">
          <w:rPr>
            <w:noProof/>
            <w:webHidden/>
          </w:rPr>
          <w:tab/>
        </w:r>
        <w:r w:rsidR="00DF7E27">
          <w:rPr>
            <w:noProof/>
            <w:webHidden/>
          </w:rPr>
          <w:fldChar w:fldCharType="begin"/>
        </w:r>
        <w:r w:rsidR="00DF7E27">
          <w:rPr>
            <w:noProof/>
            <w:webHidden/>
          </w:rPr>
          <w:instrText xml:space="preserve"> PAGEREF _Toc74894107 \h </w:instrText>
        </w:r>
        <w:r w:rsidR="00DF7E27">
          <w:rPr>
            <w:noProof/>
            <w:webHidden/>
          </w:rPr>
        </w:r>
        <w:r w:rsidR="00DF7E27">
          <w:rPr>
            <w:noProof/>
            <w:webHidden/>
          </w:rPr>
          <w:fldChar w:fldCharType="separate"/>
        </w:r>
        <w:r w:rsidR="000935B5">
          <w:rPr>
            <w:noProof/>
            <w:webHidden/>
          </w:rPr>
          <w:t>27</w:t>
        </w:r>
        <w:r w:rsidR="00DF7E27">
          <w:rPr>
            <w:noProof/>
            <w:webHidden/>
          </w:rPr>
          <w:fldChar w:fldCharType="end"/>
        </w:r>
      </w:hyperlink>
    </w:p>
    <w:p w14:paraId="457E5FF4" w14:textId="77777777" w:rsidR="00DF7E27" w:rsidRDefault="004B50CC">
      <w:pPr>
        <w:pStyle w:val="TDC2"/>
        <w:rPr>
          <w:rFonts w:asciiTheme="minorHAnsi" w:eastAsiaTheme="minorEastAsia" w:hAnsiTheme="minorHAnsi" w:cstheme="minorBidi"/>
          <w:noProof/>
          <w:sz w:val="22"/>
          <w:szCs w:val="22"/>
          <w:lang w:val="en-US"/>
        </w:rPr>
      </w:pPr>
      <w:hyperlink w:anchor="_Toc74894108" w:history="1">
        <w:r w:rsidR="00DF7E27" w:rsidRPr="00FE1E4C">
          <w:rPr>
            <w:rStyle w:val="Hipervnculo"/>
          </w:rPr>
          <w:t>25. Plazo para la Presentación de las Ofertas</w:t>
        </w:r>
        <w:r w:rsidR="00DF7E27">
          <w:rPr>
            <w:noProof/>
            <w:webHidden/>
          </w:rPr>
          <w:tab/>
        </w:r>
        <w:r w:rsidR="00DF7E27">
          <w:rPr>
            <w:noProof/>
            <w:webHidden/>
          </w:rPr>
          <w:fldChar w:fldCharType="begin"/>
        </w:r>
        <w:r w:rsidR="00DF7E27">
          <w:rPr>
            <w:noProof/>
            <w:webHidden/>
          </w:rPr>
          <w:instrText xml:space="preserve"> PAGEREF _Toc74894108 \h </w:instrText>
        </w:r>
        <w:r w:rsidR="00DF7E27">
          <w:rPr>
            <w:noProof/>
            <w:webHidden/>
          </w:rPr>
        </w:r>
        <w:r w:rsidR="00DF7E27">
          <w:rPr>
            <w:noProof/>
            <w:webHidden/>
          </w:rPr>
          <w:fldChar w:fldCharType="separate"/>
        </w:r>
        <w:r w:rsidR="000935B5">
          <w:rPr>
            <w:noProof/>
            <w:webHidden/>
          </w:rPr>
          <w:t>28</w:t>
        </w:r>
        <w:r w:rsidR="00DF7E27">
          <w:rPr>
            <w:noProof/>
            <w:webHidden/>
          </w:rPr>
          <w:fldChar w:fldCharType="end"/>
        </w:r>
      </w:hyperlink>
    </w:p>
    <w:p w14:paraId="1C33E4CA" w14:textId="77777777" w:rsidR="00DF7E27" w:rsidRDefault="004B50CC">
      <w:pPr>
        <w:pStyle w:val="TDC2"/>
        <w:rPr>
          <w:rFonts w:asciiTheme="minorHAnsi" w:eastAsiaTheme="minorEastAsia" w:hAnsiTheme="minorHAnsi" w:cstheme="minorBidi"/>
          <w:noProof/>
          <w:sz w:val="22"/>
          <w:szCs w:val="22"/>
          <w:lang w:val="en-US"/>
        </w:rPr>
      </w:pPr>
      <w:hyperlink w:anchor="_Toc74894109" w:history="1">
        <w:r w:rsidR="00DF7E27" w:rsidRPr="00FE1E4C">
          <w:rPr>
            <w:rStyle w:val="Hipervnculo"/>
          </w:rPr>
          <w:t>26. Ofertas Tardías</w:t>
        </w:r>
        <w:r w:rsidR="00DF7E27">
          <w:rPr>
            <w:noProof/>
            <w:webHidden/>
          </w:rPr>
          <w:tab/>
        </w:r>
        <w:r w:rsidR="00DF7E27">
          <w:rPr>
            <w:noProof/>
            <w:webHidden/>
          </w:rPr>
          <w:fldChar w:fldCharType="begin"/>
        </w:r>
        <w:r w:rsidR="00DF7E27">
          <w:rPr>
            <w:noProof/>
            <w:webHidden/>
          </w:rPr>
          <w:instrText xml:space="preserve"> PAGEREF _Toc74894109 \h </w:instrText>
        </w:r>
        <w:r w:rsidR="00DF7E27">
          <w:rPr>
            <w:noProof/>
            <w:webHidden/>
          </w:rPr>
        </w:r>
        <w:r w:rsidR="00DF7E27">
          <w:rPr>
            <w:noProof/>
            <w:webHidden/>
          </w:rPr>
          <w:fldChar w:fldCharType="separate"/>
        </w:r>
        <w:r w:rsidR="000935B5">
          <w:rPr>
            <w:noProof/>
            <w:webHidden/>
          </w:rPr>
          <w:t>28</w:t>
        </w:r>
        <w:r w:rsidR="00DF7E27">
          <w:rPr>
            <w:noProof/>
            <w:webHidden/>
          </w:rPr>
          <w:fldChar w:fldCharType="end"/>
        </w:r>
      </w:hyperlink>
    </w:p>
    <w:p w14:paraId="0DDCE85C" w14:textId="77777777" w:rsidR="00DF7E27" w:rsidRDefault="004B50CC">
      <w:pPr>
        <w:pStyle w:val="TDC2"/>
        <w:rPr>
          <w:rFonts w:asciiTheme="minorHAnsi" w:eastAsiaTheme="minorEastAsia" w:hAnsiTheme="minorHAnsi" w:cstheme="minorBidi"/>
          <w:noProof/>
          <w:sz w:val="22"/>
          <w:szCs w:val="22"/>
          <w:lang w:val="en-US"/>
        </w:rPr>
      </w:pPr>
      <w:hyperlink w:anchor="_Toc74894110" w:history="1">
        <w:r w:rsidR="00DF7E27" w:rsidRPr="00FE1E4C">
          <w:rPr>
            <w:rStyle w:val="Hipervnculo"/>
          </w:rPr>
          <w:t>27. Retiro, sustitución y modificación de las Ofertas</w:t>
        </w:r>
        <w:r w:rsidR="00DF7E27">
          <w:rPr>
            <w:noProof/>
            <w:webHidden/>
          </w:rPr>
          <w:tab/>
        </w:r>
        <w:r w:rsidR="00DF7E27">
          <w:rPr>
            <w:noProof/>
            <w:webHidden/>
          </w:rPr>
          <w:fldChar w:fldCharType="begin"/>
        </w:r>
        <w:r w:rsidR="00DF7E27">
          <w:rPr>
            <w:noProof/>
            <w:webHidden/>
          </w:rPr>
          <w:instrText xml:space="preserve"> PAGEREF _Toc74894110 \h </w:instrText>
        </w:r>
        <w:r w:rsidR="00DF7E27">
          <w:rPr>
            <w:noProof/>
            <w:webHidden/>
          </w:rPr>
        </w:r>
        <w:r w:rsidR="00DF7E27">
          <w:rPr>
            <w:noProof/>
            <w:webHidden/>
          </w:rPr>
          <w:fldChar w:fldCharType="separate"/>
        </w:r>
        <w:r w:rsidR="000935B5">
          <w:rPr>
            <w:noProof/>
            <w:webHidden/>
          </w:rPr>
          <w:t>29</w:t>
        </w:r>
        <w:r w:rsidR="00DF7E27">
          <w:rPr>
            <w:noProof/>
            <w:webHidden/>
          </w:rPr>
          <w:fldChar w:fldCharType="end"/>
        </w:r>
      </w:hyperlink>
    </w:p>
    <w:p w14:paraId="6ECAD621" w14:textId="77777777" w:rsidR="00DF7E27" w:rsidRDefault="004B50CC">
      <w:pPr>
        <w:pStyle w:val="TDC2"/>
        <w:rPr>
          <w:rFonts w:asciiTheme="minorHAnsi" w:eastAsiaTheme="minorEastAsia" w:hAnsiTheme="minorHAnsi" w:cstheme="minorBidi"/>
          <w:noProof/>
          <w:sz w:val="22"/>
          <w:szCs w:val="22"/>
          <w:lang w:val="en-US"/>
        </w:rPr>
      </w:pPr>
      <w:hyperlink w:anchor="_Toc74894111" w:history="1">
        <w:r w:rsidR="00DF7E27" w:rsidRPr="00FE1E4C">
          <w:rPr>
            <w:rStyle w:val="Hipervnculo"/>
          </w:rPr>
          <w:t>28. Recepción y Apertura de las Ofertas</w:t>
        </w:r>
        <w:r w:rsidR="00DF7E27">
          <w:rPr>
            <w:noProof/>
            <w:webHidden/>
          </w:rPr>
          <w:tab/>
        </w:r>
        <w:r w:rsidR="00DF7E27">
          <w:rPr>
            <w:noProof/>
            <w:webHidden/>
          </w:rPr>
          <w:fldChar w:fldCharType="begin"/>
        </w:r>
        <w:r w:rsidR="00DF7E27">
          <w:rPr>
            <w:noProof/>
            <w:webHidden/>
          </w:rPr>
          <w:instrText xml:space="preserve"> PAGEREF _Toc74894111 \h </w:instrText>
        </w:r>
        <w:r w:rsidR="00DF7E27">
          <w:rPr>
            <w:noProof/>
            <w:webHidden/>
          </w:rPr>
        </w:r>
        <w:r w:rsidR="00DF7E27">
          <w:rPr>
            <w:noProof/>
            <w:webHidden/>
          </w:rPr>
          <w:fldChar w:fldCharType="separate"/>
        </w:r>
        <w:r w:rsidR="000935B5">
          <w:rPr>
            <w:noProof/>
            <w:webHidden/>
          </w:rPr>
          <w:t>29</w:t>
        </w:r>
        <w:r w:rsidR="00DF7E27">
          <w:rPr>
            <w:noProof/>
            <w:webHidden/>
          </w:rPr>
          <w:fldChar w:fldCharType="end"/>
        </w:r>
      </w:hyperlink>
    </w:p>
    <w:p w14:paraId="76859F7B" w14:textId="77777777" w:rsidR="00DF7E27" w:rsidRDefault="004B50CC">
      <w:pPr>
        <w:pStyle w:val="TDC1"/>
        <w:rPr>
          <w:rFonts w:asciiTheme="minorHAnsi" w:eastAsiaTheme="minorEastAsia" w:hAnsiTheme="minorHAnsi" w:cstheme="minorBidi"/>
          <w:b w:val="0"/>
          <w:noProof/>
          <w:sz w:val="22"/>
          <w:szCs w:val="22"/>
          <w:lang w:val="en-US"/>
        </w:rPr>
      </w:pPr>
      <w:hyperlink w:anchor="_Toc74894112" w:history="1">
        <w:r w:rsidR="00DF7E27" w:rsidRPr="00FE1E4C">
          <w:rPr>
            <w:rStyle w:val="Hipervnculo"/>
          </w:rPr>
          <w:t>E.</w:t>
        </w:r>
        <w:r w:rsidR="00DF7E27">
          <w:rPr>
            <w:rFonts w:asciiTheme="minorHAnsi" w:eastAsiaTheme="minorEastAsia" w:hAnsiTheme="minorHAnsi" w:cstheme="minorBidi"/>
            <w:b w:val="0"/>
            <w:noProof/>
            <w:sz w:val="22"/>
            <w:szCs w:val="22"/>
            <w:lang w:val="en-US"/>
          </w:rPr>
          <w:tab/>
        </w:r>
        <w:r w:rsidR="00DF7E27" w:rsidRPr="00FE1E4C">
          <w:rPr>
            <w:rStyle w:val="Hipervnculo"/>
          </w:rPr>
          <w:t>Evaluación y comparación de las Ofertas</w:t>
        </w:r>
        <w:r w:rsidR="00DF7E27">
          <w:rPr>
            <w:noProof/>
            <w:webHidden/>
          </w:rPr>
          <w:tab/>
        </w:r>
        <w:r w:rsidR="00DF7E27">
          <w:rPr>
            <w:noProof/>
            <w:webHidden/>
          </w:rPr>
          <w:fldChar w:fldCharType="begin"/>
        </w:r>
        <w:r w:rsidR="00DF7E27">
          <w:rPr>
            <w:noProof/>
            <w:webHidden/>
          </w:rPr>
          <w:instrText xml:space="preserve"> PAGEREF _Toc74894112 \h </w:instrText>
        </w:r>
        <w:r w:rsidR="00DF7E27">
          <w:rPr>
            <w:noProof/>
            <w:webHidden/>
          </w:rPr>
        </w:r>
        <w:r w:rsidR="00DF7E27">
          <w:rPr>
            <w:noProof/>
            <w:webHidden/>
          </w:rPr>
          <w:fldChar w:fldCharType="separate"/>
        </w:r>
        <w:r w:rsidR="000935B5">
          <w:rPr>
            <w:noProof/>
            <w:webHidden/>
          </w:rPr>
          <w:t>30</w:t>
        </w:r>
        <w:r w:rsidR="00DF7E27">
          <w:rPr>
            <w:noProof/>
            <w:webHidden/>
          </w:rPr>
          <w:fldChar w:fldCharType="end"/>
        </w:r>
      </w:hyperlink>
    </w:p>
    <w:p w14:paraId="7F44164F" w14:textId="77777777" w:rsidR="00DF7E27" w:rsidRDefault="004B50CC">
      <w:pPr>
        <w:pStyle w:val="TDC2"/>
        <w:rPr>
          <w:rFonts w:asciiTheme="minorHAnsi" w:eastAsiaTheme="minorEastAsia" w:hAnsiTheme="minorHAnsi" w:cstheme="minorBidi"/>
          <w:noProof/>
          <w:sz w:val="22"/>
          <w:szCs w:val="22"/>
          <w:lang w:val="en-US"/>
        </w:rPr>
      </w:pPr>
      <w:hyperlink w:anchor="_Toc74894113" w:history="1">
        <w:r w:rsidR="00DF7E27" w:rsidRPr="00FE1E4C">
          <w:rPr>
            <w:rStyle w:val="Hipervnculo"/>
          </w:rPr>
          <w:t>29. Confidencialidad</w:t>
        </w:r>
        <w:r w:rsidR="00DF7E27">
          <w:rPr>
            <w:noProof/>
            <w:webHidden/>
          </w:rPr>
          <w:tab/>
        </w:r>
        <w:r w:rsidR="00DF7E27">
          <w:rPr>
            <w:noProof/>
            <w:webHidden/>
          </w:rPr>
          <w:fldChar w:fldCharType="begin"/>
        </w:r>
        <w:r w:rsidR="00DF7E27">
          <w:rPr>
            <w:noProof/>
            <w:webHidden/>
          </w:rPr>
          <w:instrText xml:space="preserve"> PAGEREF _Toc74894113 \h </w:instrText>
        </w:r>
        <w:r w:rsidR="00DF7E27">
          <w:rPr>
            <w:noProof/>
            <w:webHidden/>
          </w:rPr>
        </w:r>
        <w:r w:rsidR="00DF7E27">
          <w:rPr>
            <w:noProof/>
            <w:webHidden/>
          </w:rPr>
          <w:fldChar w:fldCharType="separate"/>
        </w:r>
        <w:r w:rsidR="000935B5">
          <w:rPr>
            <w:noProof/>
            <w:webHidden/>
          </w:rPr>
          <w:t>31</w:t>
        </w:r>
        <w:r w:rsidR="00DF7E27">
          <w:rPr>
            <w:noProof/>
            <w:webHidden/>
          </w:rPr>
          <w:fldChar w:fldCharType="end"/>
        </w:r>
      </w:hyperlink>
    </w:p>
    <w:p w14:paraId="7218D2CD" w14:textId="77777777" w:rsidR="00DF7E27" w:rsidRDefault="004B50CC">
      <w:pPr>
        <w:pStyle w:val="TDC2"/>
        <w:rPr>
          <w:rFonts w:asciiTheme="minorHAnsi" w:eastAsiaTheme="minorEastAsia" w:hAnsiTheme="minorHAnsi" w:cstheme="minorBidi"/>
          <w:noProof/>
          <w:sz w:val="22"/>
          <w:szCs w:val="22"/>
          <w:lang w:val="en-US"/>
        </w:rPr>
      </w:pPr>
      <w:hyperlink w:anchor="_Toc74894114" w:history="1">
        <w:r w:rsidR="00DF7E27" w:rsidRPr="00FE1E4C">
          <w:rPr>
            <w:rStyle w:val="Hipervnculo"/>
          </w:rPr>
          <w:t>30. Aclaración de las Ofertas</w:t>
        </w:r>
        <w:r w:rsidR="00DF7E27">
          <w:rPr>
            <w:noProof/>
            <w:webHidden/>
          </w:rPr>
          <w:tab/>
        </w:r>
        <w:r w:rsidR="00DF7E27">
          <w:rPr>
            <w:noProof/>
            <w:webHidden/>
          </w:rPr>
          <w:fldChar w:fldCharType="begin"/>
        </w:r>
        <w:r w:rsidR="00DF7E27">
          <w:rPr>
            <w:noProof/>
            <w:webHidden/>
          </w:rPr>
          <w:instrText xml:space="preserve"> PAGEREF _Toc74894114 \h </w:instrText>
        </w:r>
        <w:r w:rsidR="00DF7E27">
          <w:rPr>
            <w:noProof/>
            <w:webHidden/>
          </w:rPr>
        </w:r>
        <w:r w:rsidR="00DF7E27">
          <w:rPr>
            <w:noProof/>
            <w:webHidden/>
          </w:rPr>
          <w:fldChar w:fldCharType="separate"/>
        </w:r>
        <w:r w:rsidR="000935B5">
          <w:rPr>
            <w:noProof/>
            <w:webHidden/>
          </w:rPr>
          <w:t>31</w:t>
        </w:r>
        <w:r w:rsidR="00DF7E27">
          <w:rPr>
            <w:noProof/>
            <w:webHidden/>
          </w:rPr>
          <w:fldChar w:fldCharType="end"/>
        </w:r>
      </w:hyperlink>
    </w:p>
    <w:p w14:paraId="3D5BF749" w14:textId="77777777" w:rsidR="00DF7E27" w:rsidRDefault="004B50CC">
      <w:pPr>
        <w:pStyle w:val="TDC2"/>
        <w:rPr>
          <w:rFonts w:asciiTheme="minorHAnsi" w:eastAsiaTheme="minorEastAsia" w:hAnsiTheme="minorHAnsi" w:cstheme="minorBidi"/>
          <w:noProof/>
          <w:sz w:val="22"/>
          <w:szCs w:val="22"/>
          <w:lang w:val="en-US"/>
        </w:rPr>
      </w:pPr>
      <w:hyperlink w:anchor="_Toc74894115" w:history="1">
        <w:r w:rsidR="00DF7E27" w:rsidRPr="00FE1E4C">
          <w:rPr>
            <w:rStyle w:val="Hipervnculo"/>
          </w:rPr>
          <w:t>31. Desviaciones, reservas u omisiones</w:t>
        </w:r>
        <w:r w:rsidR="00DF7E27">
          <w:rPr>
            <w:noProof/>
            <w:webHidden/>
          </w:rPr>
          <w:tab/>
        </w:r>
        <w:r w:rsidR="00DF7E27">
          <w:rPr>
            <w:noProof/>
            <w:webHidden/>
          </w:rPr>
          <w:fldChar w:fldCharType="begin"/>
        </w:r>
        <w:r w:rsidR="00DF7E27">
          <w:rPr>
            <w:noProof/>
            <w:webHidden/>
          </w:rPr>
          <w:instrText xml:space="preserve"> PAGEREF _Toc74894115 \h </w:instrText>
        </w:r>
        <w:r w:rsidR="00DF7E27">
          <w:rPr>
            <w:noProof/>
            <w:webHidden/>
          </w:rPr>
        </w:r>
        <w:r w:rsidR="00DF7E27">
          <w:rPr>
            <w:noProof/>
            <w:webHidden/>
          </w:rPr>
          <w:fldChar w:fldCharType="separate"/>
        </w:r>
        <w:r w:rsidR="000935B5">
          <w:rPr>
            <w:noProof/>
            <w:webHidden/>
          </w:rPr>
          <w:t>31</w:t>
        </w:r>
        <w:r w:rsidR="00DF7E27">
          <w:rPr>
            <w:noProof/>
            <w:webHidden/>
          </w:rPr>
          <w:fldChar w:fldCharType="end"/>
        </w:r>
      </w:hyperlink>
    </w:p>
    <w:p w14:paraId="0C2A8C41" w14:textId="77777777" w:rsidR="00DF7E27" w:rsidRDefault="004B50CC">
      <w:pPr>
        <w:pStyle w:val="TDC2"/>
        <w:rPr>
          <w:rFonts w:asciiTheme="minorHAnsi" w:eastAsiaTheme="minorEastAsia" w:hAnsiTheme="minorHAnsi" w:cstheme="minorBidi"/>
          <w:noProof/>
          <w:sz w:val="22"/>
          <w:szCs w:val="22"/>
          <w:lang w:val="en-US"/>
        </w:rPr>
      </w:pPr>
      <w:hyperlink w:anchor="_Toc74894116" w:history="1">
        <w:r w:rsidR="00DF7E27" w:rsidRPr="00FE1E4C">
          <w:rPr>
            <w:rStyle w:val="Hipervnculo"/>
          </w:rPr>
          <w:t>32.  Determinación de cumplimiento de ofertas</w:t>
        </w:r>
        <w:r w:rsidR="00DF7E27">
          <w:rPr>
            <w:noProof/>
            <w:webHidden/>
          </w:rPr>
          <w:tab/>
        </w:r>
        <w:r w:rsidR="00DF7E27">
          <w:rPr>
            <w:noProof/>
            <w:webHidden/>
          </w:rPr>
          <w:fldChar w:fldCharType="begin"/>
        </w:r>
        <w:r w:rsidR="00DF7E27">
          <w:rPr>
            <w:noProof/>
            <w:webHidden/>
          </w:rPr>
          <w:instrText xml:space="preserve"> PAGEREF _Toc74894116 \h </w:instrText>
        </w:r>
        <w:r w:rsidR="00DF7E27">
          <w:rPr>
            <w:noProof/>
            <w:webHidden/>
          </w:rPr>
        </w:r>
        <w:r w:rsidR="00DF7E27">
          <w:rPr>
            <w:noProof/>
            <w:webHidden/>
          </w:rPr>
          <w:fldChar w:fldCharType="separate"/>
        </w:r>
        <w:r w:rsidR="000935B5">
          <w:rPr>
            <w:noProof/>
            <w:webHidden/>
          </w:rPr>
          <w:t>32</w:t>
        </w:r>
        <w:r w:rsidR="00DF7E27">
          <w:rPr>
            <w:noProof/>
            <w:webHidden/>
          </w:rPr>
          <w:fldChar w:fldCharType="end"/>
        </w:r>
      </w:hyperlink>
    </w:p>
    <w:p w14:paraId="57536032" w14:textId="77777777" w:rsidR="00DF7E27" w:rsidRDefault="004B50CC">
      <w:pPr>
        <w:pStyle w:val="TDC2"/>
        <w:rPr>
          <w:rFonts w:asciiTheme="minorHAnsi" w:eastAsiaTheme="minorEastAsia" w:hAnsiTheme="minorHAnsi" w:cstheme="minorBidi"/>
          <w:noProof/>
          <w:sz w:val="22"/>
          <w:szCs w:val="22"/>
          <w:lang w:val="en-US"/>
        </w:rPr>
      </w:pPr>
      <w:hyperlink w:anchor="_Toc74894117" w:history="1">
        <w:r w:rsidR="00DF7E27" w:rsidRPr="00FE1E4C">
          <w:rPr>
            <w:rStyle w:val="Hipervnculo"/>
          </w:rPr>
          <w:t>33. Inconformidades no significativas</w:t>
        </w:r>
        <w:r w:rsidR="00DF7E27">
          <w:rPr>
            <w:noProof/>
            <w:webHidden/>
          </w:rPr>
          <w:tab/>
        </w:r>
        <w:r w:rsidR="00DF7E27">
          <w:rPr>
            <w:noProof/>
            <w:webHidden/>
          </w:rPr>
          <w:fldChar w:fldCharType="begin"/>
        </w:r>
        <w:r w:rsidR="00DF7E27">
          <w:rPr>
            <w:noProof/>
            <w:webHidden/>
          </w:rPr>
          <w:instrText xml:space="preserve"> PAGEREF _Toc74894117 \h </w:instrText>
        </w:r>
        <w:r w:rsidR="00DF7E27">
          <w:rPr>
            <w:noProof/>
            <w:webHidden/>
          </w:rPr>
        </w:r>
        <w:r w:rsidR="00DF7E27">
          <w:rPr>
            <w:noProof/>
            <w:webHidden/>
          </w:rPr>
          <w:fldChar w:fldCharType="separate"/>
        </w:r>
        <w:r w:rsidR="000935B5">
          <w:rPr>
            <w:noProof/>
            <w:webHidden/>
          </w:rPr>
          <w:t>33</w:t>
        </w:r>
        <w:r w:rsidR="00DF7E27">
          <w:rPr>
            <w:noProof/>
            <w:webHidden/>
          </w:rPr>
          <w:fldChar w:fldCharType="end"/>
        </w:r>
      </w:hyperlink>
    </w:p>
    <w:p w14:paraId="349E3C0D" w14:textId="77777777" w:rsidR="00DF7E27" w:rsidRDefault="004B50CC">
      <w:pPr>
        <w:pStyle w:val="TDC2"/>
        <w:rPr>
          <w:rFonts w:asciiTheme="minorHAnsi" w:eastAsiaTheme="minorEastAsia" w:hAnsiTheme="minorHAnsi" w:cstheme="minorBidi"/>
          <w:noProof/>
          <w:sz w:val="22"/>
          <w:szCs w:val="22"/>
          <w:lang w:val="en-US"/>
        </w:rPr>
      </w:pPr>
      <w:hyperlink w:anchor="_Toc74894118" w:history="1">
        <w:r w:rsidR="00DF7E27" w:rsidRPr="00FE1E4C">
          <w:rPr>
            <w:rStyle w:val="Hipervnculo"/>
          </w:rPr>
          <w:t>34. Corrección de errores aritméticos</w:t>
        </w:r>
        <w:r w:rsidR="00DF7E27">
          <w:rPr>
            <w:noProof/>
            <w:webHidden/>
          </w:rPr>
          <w:tab/>
        </w:r>
        <w:r w:rsidR="00DF7E27">
          <w:rPr>
            <w:noProof/>
            <w:webHidden/>
          </w:rPr>
          <w:fldChar w:fldCharType="begin"/>
        </w:r>
        <w:r w:rsidR="00DF7E27">
          <w:rPr>
            <w:noProof/>
            <w:webHidden/>
          </w:rPr>
          <w:instrText xml:space="preserve"> PAGEREF _Toc74894118 \h </w:instrText>
        </w:r>
        <w:r w:rsidR="00DF7E27">
          <w:rPr>
            <w:noProof/>
            <w:webHidden/>
          </w:rPr>
        </w:r>
        <w:r w:rsidR="00DF7E27">
          <w:rPr>
            <w:noProof/>
            <w:webHidden/>
          </w:rPr>
          <w:fldChar w:fldCharType="separate"/>
        </w:r>
        <w:r w:rsidR="000935B5">
          <w:rPr>
            <w:noProof/>
            <w:webHidden/>
          </w:rPr>
          <w:t>33</w:t>
        </w:r>
        <w:r w:rsidR="00DF7E27">
          <w:rPr>
            <w:noProof/>
            <w:webHidden/>
          </w:rPr>
          <w:fldChar w:fldCharType="end"/>
        </w:r>
      </w:hyperlink>
    </w:p>
    <w:p w14:paraId="3572890D" w14:textId="77777777" w:rsidR="00DF7E27" w:rsidRDefault="004B50CC">
      <w:pPr>
        <w:pStyle w:val="TDC2"/>
        <w:rPr>
          <w:rFonts w:asciiTheme="minorHAnsi" w:eastAsiaTheme="minorEastAsia" w:hAnsiTheme="minorHAnsi" w:cstheme="minorBidi"/>
          <w:noProof/>
          <w:sz w:val="22"/>
          <w:szCs w:val="22"/>
          <w:lang w:val="en-US"/>
        </w:rPr>
      </w:pPr>
      <w:hyperlink w:anchor="_Toc74894119" w:history="1">
        <w:r w:rsidR="00DF7E27" w:rsidRPr="00FE1E4C">
          <w:rPr>
            <w:rStyle w:val="Hipervnculo"/>
          </w:rPr>
          <w:t>35. Evaluación de las Ofertas</w:t>
        </w:r>
        <w:r w:rsidR="00DF7E27">
          <w:rPr>
            <w:noProof/>
            <w:webHidden/>
          </w:rPr>
          <w:tab/>
        </w:r>
        <w:r w:rsidR="00DF7E27">
          <w:rPr>
            <w:noProof/>
            <w:webHidden/>
          </w:rPr>
          <w:fldChar w:fldCharType="begin"/>
        </w:r>
        <w:r w:rsidR="00DF7E27">
          <w:rPr>
            <w:noProof/>
            <w:webHidden/>
          </w:rPr>
          <w:instrText xml:space="preserve"> PAGEREF _Toc74894119 \h </w:instrText>
        </w:r>
        <w:r w:rsidR="00DF7E27">
          <w:rPr>
            <w:noProof/>
            <w:webHidden/>
          </w:rPr>
        </w:r>
        <w:r w:rsidR="00DF7E27">
          <w:rPr>
            <w:noProof/>
            <w:webHidden/>
          </w:rPr>
          <w:fldChar w:fldCharType="separate"/>
        </w:r>
        <w:r w:rsidR="000935B5">
          <w:rPr>
            <w:noProof/>
            <w:webHidden/>
          </w:rPr>
          <w:t>34</w:t>
        </w:r>
        <w:r w:rsidR="00DF7E27">
          <w:rPr>
            <w:noProof/>
            <w:webHidden/>
          </w:rPr>
          <w:fldChar w:fldCharType="end"/>
        </w:r>
      </w:hyperlink>
    </w:p>
    <w:p w14:paraId="060098C2" w14:textId="77777777" w:rsidR="00DF7E27" w:rsidRDefault="004B50CC">
      <w:pPr>
        <w:pStyle w:val="TDC2"/>
        <w:rPr>
          <w:rFonts w:asciiTheme="minorHAnsi" w:eastAsiaTheme="minorEastAsia" w:hAnsiTheme="minorHAnsi" w:cstheme="minorBidi"/>
          <w:noProof/>
          <w:sz w:val="22"/>
          <w:szCs w:val="22"/>
          <w:lang w:val="en-US"/>
        </w:rPr>
      </w:pPr>
      <w:hyperlink w:anchor="_Toc74894120" w:history="1">
        <w:r w:rsidR="00DF7E27" w:rsidRPr="00FE1E4C">
          <w:rPr>
            <w:rStyle w:val="Hipervnculo"/>
          </w:rPr>
          <w:t>36. Comparación de las Ofertas</w:t>
        </w:r>
        <w:r w:rsidR="00DF7E27">
          <w:rPr>
            <w:noProof/>
            <w:webHidden/>
          </w:rPr>
          <w:tab/>
        </w:r>
        <w:r w:rsidR="00DF7E27">
          <w:rPr>
            <w:noProof/>
            <w:webHidden/>
          </w:rPr>
          <w:fldChar w:fldCharType="begin"/>
        </w:r>
        <w:r w:rsidR="00DF7E27">
          <w:rPr>
            <w:noProof/>
            <w:webHidden/>
          </w:rPr>
          <w:instrText xml:space="preserve"> PAGEREF _Toc74894120 \h </w:instrText>
        </w:r>
        <w:r w:rsidR="00DF7E27">
          <w:rPr>
            <w:noProof/>
            <w:webHidden/>
          </w:rPr>
        </w:r>
        <w:r w:rsidR="00DF7E27">
          <w:rPr>
            <w:noProof/>
            <w:webHidden/>
          </w:rPr>
          <w:fldChar w:fldCharType="separate"/>
        </w:r>
        <w:r w:rsidR="000935B5">
          <w:rPr>
            <w:noProof/>
            <w:webHidden/>
          </w:rPr>
          <w:t>35</w:t>
        </w:r>
        <w:r w:rsidR="00DF7E27">
          <w:rPr>
            <w:noProof/>
            <w:webHidden/>
          </w:rPr>
          <w:fldChar w:fldCharType="end"/>
        </w:r>
      </w:hyperlink>
    </w:p>
    <w:p w14:paraId="5FF10691" w14:textId="77777777" w:rsidR="00DF7E27" w:rsidRDefault="004B50CC">
      <w:pPr>
        <w:pStyle w:val="TDC2"/>
        <w:rPr>
          <w:rFonts w:asciiTheme="minorHAnsi" w:eastAsiaTheme="minorEastAsia" w:hAnsiTheme="minorHAnsi" w:cstheme="minorBidi"/>
          <w:noProof/>
          <w:sz w:val="22"/>
          <w:szCs w:val="22"/>
          <w:lang w:val="en-US"/>
        </w:rPr>
      </w:pPr>
      <w:hyperlink w:anchor="_Toc74894121" w:history="1">
        <w:r w:rsidR="00DF7E27" w:rsidRPr="00FE1E4C">
          <w:rPr>
            <w:rStyle w:val="Hipervnculo"/>
          </w:rPr>
          <w:t>37. Ofertas Anormalmente Bajas</w:t>
        </w:r>
        <w:r w:rsidR="00DF7E27">
          <w:rPr>
            <w:noProof/>
            <w:webHidden/>
          </w:rPr>
          <w:tab/>
        </w:r>
        <w:r w:rsidR="00DF7E27">
          <w:rPr>
            <w:noProof/>
            <w:webHidden/>
          </w:rPr>
          <w:fldChar w:fldCharType="begin"/>
        </w:r>
        <w:r w:rsidR="00DF7E27">
          <w:rPr>
            <w:noProof/>
            <w:webHidden/>
          </w:rPr>
          <w:instrText xml:space="preserve"> PAGEREF _Toc74894121 \h </w:instrText>
        </w:r>
        <w:r w:rsidR="00DF7E27">
          <w:rPr>
            <w:noProof/>
            <w:webHidden/>
          </w:rPr>
        </w:r>
        <w:r w:rsidR="00DF7E27">
          <w:rPr>
            <w:noProof/>
            <w:webHidden/>
          </w:rPr>
          <w:fldChar w:fldCharType="separate"/>
        </w:r>
        <w:r w:rsidR="000935B5">
          <w:rPr>
            <w:noProof/>
            <w:webHidden/>
          </w:rPr>
          <w:t>35</w:t>
        </w:r>
        <w:r w:rsidR="00DF7E27">
          <w:rPr>
            <w:noProof/>
            <w:webHidden/>
          </w:rPr>
          <w:fldChar w:fldCharType="end"/>
        </w:r>
      </w:hyperlink>
    </w:p>
    <w:p w14:paraId="3C95DC71" w14:textId="77777777" w:rsidR="00DF7E27" w:rsidRDefault="004B50CC">
      <w:pPr>
        <w:pStyle w:val="TDC2"/>
        <w:rPr>
          <w:rFonts w:asciiTheme="minorHAnsi" w:eastAsiaTheme="minorEastAsia" w:hAnsiTheme="minorHAnsi" w:cstheme="minorBidi"/>
          <w:noProof/>
          <w:sz w:val="22"/>
          <w:szCs w:val="22"/>
          <w:lang w:val="en-US"/>
        </w:rPr>
      </w:pPr>
      <w:hyperlink w:anchor="_Toc74894122" w:history="1">
        <w:r w:rsidR="00DF7E27" w:rsidRPr="00FE1E4C">
          <w:rPr>
            <w:rStyle w:val="Hipervnculo"/>
          </w:rPr>
          <w:t>38. Calificación del oferente</w:t>
        </w:r>
        <w:r w:rsidR="00DF7E27">
          <w:rPr>
            <w:noProof/>
            <w:webHidden/>
          </w:rPr>
          <w:tab/>
        </w:r>
        <w:r w:rsidR="00DF7E27">
          <w:rPr>
            <w:noProof/>
            <w:webHidden/>
          </w:rPr>
          <w:fldChar w:fldCharType="begin"/>
        </w:r>
        <w:r w:rsidR="00DF7E27">
          <w:rPr>
            <w:noProof/>
            <w:webHidden/>
          </w:rPr>
          <w:instrText xml:space="preserve"> PAGEREF _Toc74894122 \h </w:instrText>
        </w:r>
        <w:r w:rsidR="00DF7E27">
          <w:rPr>
            <w:noProof/>
            <w:webHidden/>
          </w:rPr>
        </w:r>
        <w:r w:rsidR="00DF7E27">
          <w:rPr>
            <w:noProof/>
            <w:webHidden/>
          </w:rPr>
          <w:fldChar w:fldCharType="separate"/>
        </w:r>
        <w:r w:rsidR="000935B5">
          <w:rPr>
            <w:noProof/>
            <w:webHidden/>
          </w:rPr>
          <w:t>35</w:t>
        </w:r>
        <w:r w:rsidR="00DF7E27">
          <w:rPr>
            <w:noProof/>
            <w:webHidden/>
          </w:rPr>
          <w:fldChar w:fldCharType="end"/>
        </w:r>
      </w:hyperlink>
    </w:p>
    <w:p w14:paraId="5C36A6E0" w14:textId="77777777" w:rsidR="00DF7E27" w:rsidRDefault="004B50CC">
      <w:pPr>
        <w:pStyle w:val="TDC2"/>
        <w:rPr>
          <w:rFonts w:asciiTheme="minorHAnsi" w:eastAsiaTheme="minorEastAsia" w:hAnsiTheme="minorHAnsi" w:cstheme="minorBidi"/>
          <w:noProof/>
          <w:sz w:val="22"/>
          <w:szCs w:val="22"/>
          <w:lang w:val="en-US"/>
        </w:rPr>
      </w:pPr>
      <w:hyperlink w:anchor="_Toc74894123" w:history="1">
        <w:r w:rsidR="00DF7E27" w:rsidRPr="00FE1E4C">
          <w:rPr>
            <w:rStyle w:val="Hipervnculo"/>
          </w:rPr>
          <w:t>39. Derecho del Contratante a aceptar cualquier oferta o rechazar alguna o todas las Ofertas</w:t>
        </w:r>
        <w:r w:rsidR="00DF7E27">
          <w:rPr>
            <w:noProof/>
            <w:webHidden/>
          </w:rPr>
          <w:tab/>
        </w:r>
        <w:r w:rsidR="00DF7E27">
          <w:rPr>
            <w:noProof/>
            <w:webHidden/>
          </w:rPr>
          <w:fldChar w:fldCharType="begin"/>
        </w:r>
        <w:r w:rsidR="00DF7E27">
          <w:rPr>
            <w:noProof/>
            <w:webHidden/>
          </w:rPr>
          <w:instrText xml:space="preserve"> PAGEREF _Toc74894123 \h </w:instrText>
        </w:r>
        <w:r w:rsidR="00DF7E27">
          <w:rPr>
            <w:noProof/>
            <w:webHidden/>
          </w:rPr>
        </w:r>
        <w:r w:rsidR="00DF7E27">
          <w:rPr>
            <w:noProof/>
            <w:webHidden/>
          </w:rPr>
          <w:fldChar w:fldCharType="separate"/>
        </w:r>
        <w:r w:rsidR="000935B5">
          <w:rPr>
            <w:noProof/>
            <w:webHidden/>
          </w:rPr>
          <w:t>36</w:t>
        </w:r>
        <w:r w:rsidR="00DF7E27">
          <w:rPr>
            <w:noProof/>
            <w:webHidden/>
          </w:rPr>
          <w:fldChar w:fldCharType="end"/>
        </w:r>
      </w:hyperlink>
    </w:p>
    <w:p w14:paraId="37ACD8AF" w14:textId="77777777" w:rsidR="00DF7E27" w:rsidRDefault="004B50CC">
      <w:pPr>
        <w:pStyle w:val="TDC2"/>
        <w:rPr>
          <w:rFonts w:asciiTheme="minorHAnsi" w:eastAsiaTheme="minorEastAsia" w:hAnsiTheme="minorHAnsi" w:cstheme="minorBidi"/>
          <w:noProof/>
          <w:sz w:val="22"/>
          <w:szCs w:val="22"/>
          <w:lang w:val="en-US"/>
        </w:rPr>
      </w:pPr>
      <w:hyperlink w:anchor="_Toc74894124" w:history="1">
        <w:r w:rsidR="00DF7E27" w:rsidRPr="00FE1E4C">
          <w:rPr>
            <w:rStyle w:val="Hipervnculo"/>
          </w:rPr>
          <w:t>40. Notificación  de Intención  de Adjudicar  el Contrato</w:t>
        </w:r>
        <w:r w:rsidR="00DF7E27">
          <w:rPr>
            <w:noProof/>
            <w:webHidden/>
          </w:rPr>
          <w:tab/>
        </w:r>
        <w:r w:rsidR="00DF7E27">
          <w:rPr>
            <w:noProof/>
            <w:webHidden/>
          </w:rPr>
          <w:fldChar w:fldCharType="begin"/>
        </w:r>
        <w:r w:rsidR="00DF7E27">
          <w:rPr>
            <w:noProof/>
            <w:webHidden/>
          </w:rPr>
          <w:instrText xml:space="preserve"> PAGEREF _Toc74894124 \h </w:instrText>
        </w:r>
        <w:r w:rsidR="00DF7E27">
          <w:rPr>
            <w:noProof/>
            <w:webHidden/>
          </w:rPr>
        </w:r>
        <w:r w:rsidR="00DF7E27">
          <w:rPr>
            <w:noProof/>
            <w:webHidden/>
          </w:rPr>
          <w:fldChar w:fldCharType="separate"/>
        </w:r>
        <w:r w:rsidR="000935B5">
          <w:rPr>
            <w:noProof/>
            <w:webHidden/>
          </w:rPr>
          <w:t>36</w:t>
        </w:r>
        <w:r w:rsidR="00DF7E27">
          <w:rPr>
            <w:noProof/>
            <w:webHidden/>
          </w:rPr>
          <w:fldChar w:fldCharType="end"/>
        </w:r>
      </w:hyperlink>
    </w:p>
    <w:p w14:paraId="7D018E55" w14:textId="77777777" w:rsidR="00DF7E27" w:rsidRDefault="004B50CC">
      <w:pPr>
        <w:pStyle w:val="TDC2"/>
        <w:rPr>
          <w:rFonts w:asciiTheme="minorHAnsi" w:eastAsiaTheme="minorEastAsia" w:hAnsiTheme="minorHAnsi" w:cstheme="minorBidi"/>
          <w:noProof/>
          <w:sz w:val="22"/>
          <w:szCs w:val="22"/>
          <w:lang w:val="en-US"/>
        </w:rPr>
      </w:pPr>
      <w:hyperlink w:anchor="_Toc74894125" w:history="1">
        <w:r w:rsidR="00DF7E27" w:rsidRPr="00FE1E4C">
          <w:rPr>
            <w:rStyle w:val="Hipervnculo"/>
          </w:rPr>
          <w:t>41. Presentación de Protestas en el proceso de adquisición</w:t>
        </w:r>
        <w:r w:rsidR="00DF7E27">
          <w:rPr>
            <w:noProof/>
            <w:webHidden/>
          </w:rPr>
          <w:tab/>
        </w:r>
        <w:r w:rsidR="00DF7E27">
          <w:rPr>
            <w:noProof/>
            <w:webHidden/>
          </w:rPr>
          <w:fldChar w:fldCharType="begin"/>
        </w:r>
        <w:r w:rsidR="00DF7E27">
          <w:rPr>
            <w:noProof/>
            <w:webHidden/>
          </w:rPr>
          <w:instrText xml:space="preserve"> PAGEREF _Toc74894125 \h </w:instrText>
        </w:r>
        <w:r w:rsidR="00DF7E27">
          <w:rPr>
            <w:noProof/>
            <w:webHidden/>
          </w:rPr>
        </w:r>
        <w:r w:rsidR="00DF7E27">
          <w:rPr>
            <w:noProof/>
            <w:webHidden/>
          </w:rPr>
          <w:fldChar w:fldCharType="separate"/>
        </w:r>
        <w:r w:rsidR="000935B5">
          <w:rPr>
            <w:noProof/>
            <w:webHidden/>
          </w:rPr>
          <w:t>36</w:t>
        </w:r>
        <w:r w:rsidR="00DF7E27">
          <w:rPr>
            <w:noProof/>
            <w:webHidden/>
          </w:rPr>
          <w:fldChar w:fldCharType="end"/>
        </w:r>
      </w:hyperlink>
    </w:p>
    <w:p w14:paraId="3FBE4E23" w14:textId="77777777" w:rsidR="00DF7E27" w:rsidRDefault="004B50CC">
      <w:pPr>
        <w:pStyle w:val="TDC1"/>
        <w:rPr>
          <w:rFonts w:asciiTheme="minorHAnsi" w:eastAsiaTheme="minorEastAsia" w:hAnsiTheme="minorHAnsi" w:cstheme="minorBidi"/>
          <w:b w:val="0"/>
          <w:noProof/>
          <w:sz w:val="22"/>
          <w:szCs w:val="22"/>
          <w:lang w:val="en-US"/>
        </w:rPr>
      </w:pPr>
      <w:hyperlink w:anchor="_Toc74894126" w:history="1">
        <w:r w:rsidR="00DF7E27" w:rsidRPr="00FE1E4C">
          <w:rPr>
            <w:rStyle w:val="Hipervnculo"/>
          </w:rPr>
          <w:t>F.</w:t>
        </w:r>
        <w:r w:rsidR="00DF7E27">
          <w:rPr>
            <w:rFonts w:asciiTheme="minorHAnsi" w:eastAsiaTheme="minorEastAsia" w:hAnsiTheme="minorHAnsi" w:cstheme="minorBidi"/>
            <w:b w:val="0"/>
            <w:noProof/>
            <w:sz w:val="22"/>
            <w:szCs w:val="22"/>
            <w:lang w:val="en-US"/>
          </w:rPr>
          <w:tab/>
        </w:r>
        <w:r w:rsidR="00DF7E27" w:rsidRPr="00FE1E4C">
          <w:rPr>
            <w:rStyle w:val="Hipervnculo"/>
          </w:rPr>
          <w:t>Adjudicación de la Licitación</w:t>
        </w:r>
        <w:r w:rsidR="00DF7E27">
          <w:rPr>
            <w:noProof/>
            <w:webHidden/>
          </w:rPr>
          <w:tab/>
        </w:r>
        <w:r w:rsidR="00DF7E27">
          <w:rPr>
            <w:noProof/>
            <w:webHidden/>
          </w:rPr>
          <w:fldChar w:fldCharType="begin"/>
        </w:r>
        <w:r w:rsidR="00DF7E27">
          <w:rPr>
            <w:noProof/>
            <w:webHidden/>
          </w:rPr>
          <w:instrText xml:space="preserve"> PAGEREF _Toc74894126 \h </w:instrText>
        </w:r>
        <w:r w:rsidR="00DF7E27">
          <w:rPr>
            <w:noProof/>
            <w:webHidden/>
          </w:rPr>
        </w:r>
        <w:r w:rsidR="00DF7E27">
          <w:rPr>
            <w:noProof/>
            <w:webHidden/>
          </w:rPr>
          <w:fldChar w:fldCharType="separate"/>
        </w:r>
        <w:r w:rsidR="000935B5">
          <w:rPr>
            <w:noProof/>
            <w:webHidden/>
          </w:rPr>
          <w:t>37</w:t>
        </w:r>
        <w:r w:rsidR="00DF7E27">
          <w:rPr>
            <w:noProof/>
            <w:webHidden/>
          </w:rPr>
          <w:fldChar w:fldCharType="end"/>
        </w:r>
      </w:hyperlink>
    </w:p>
    <w:p w14:paraId="02C866EA" w14:textId="77777777" w:rsidR="00DF7E27" w:rsidRDefault="004B50CC">
      <w:pPr>
        <w:pStyle w:val="TDC2"/>
        <w:rPr>
          <w:rFonts w:asciiTheme="minorHAnsi" w:eastAsiaTheme="minorEastAsia" w:hAnsiTheme="minorHAnsi" w:cstheme="minorBidi"/>
          <w:noProof/>
          <w:sz w:val="22"/>
          <w:szCs w:val="22"/>
          <w:lang w:val="en-US"/>
        </w:rPr>
      </w:pPr>
      <w:hyperlink w:anchor="_Toc74894127" w:history="1">
        <w:r w:rsidR="00DF7E27" w:rsidRPr="00FE1E4C">
          <w:rPr>
            <w:rStyle w:val="Hipervnculo"/>
          </w:rPr>
          <w:t>42. Criterios de adjudicación</w:t>
        </w:r>
        <w:r w:rsidR="00DF7E27">
          <w:rPr>
            <w:noProof/>
            <w:webHidden/>
          </w:rPr>
          <w:tab/>
        </w:r>
        <w:r w:rsidR="00DF7E27">
          <w:rPr>
            <w:noProof/>
            <w:webHidden/>
          </w:rPr>
          <w:fldChar w:fldCharType="begin"/>
        </w:r>
        <w:r w:rsidR="00DF7E27">
          <w:rPr>
            <w:noProof/>
            <w:webHidden/>
          </w:rPr>
          <w:instrText xml:space="preserve"> PAGEREF _Toc74894127 \h </w:instrText>
        </w:r>
        <w:r w:rsidR="00DF7E27">
          <w:rPr>
            <w:noProof/>
            <w:webHidden/>
          </w:rPr>
        </w:r>
        <w:r w:rsidR="00DF7E27">
          <w:rPr>
            <w:noProof/>
            <w:webHidden/>
          </w:rPr>
          <w:fldChar w:fldCharType="separate"/>
        </w:r>
        <w:r w:rsidR="000935B5">
          <w:rPr>
            <w:noProof/>
            <w:webHidden/>
          </w:rPr>
          <w:t>37</w:t>
        </w:r>
        <w:r w:rsidR="00DF7E27">
          <w:rPr>
            <w:noProof/>
            <w:webHidden/>
          </w:rPr>
          <w:fldChar w:fldCharType="end"/>
        </w:r>
      </w:hyperlink>
    </w:p>
    <w:p w14:paraId="5D20DC73" w14:textId="77777777" w:rsidR="00DF7E27" w:rsidRDefault="004B50CC">
      <w:pPr>
        <w:pStyle w:val="TDC2"/>
        <w:rPr>
          <w:rFonts w:asciiTheme="minorHAnsi" w:eastAsiaTheme="minorEastAsia" w:hAnsiTheme="minorHAnsi" w:cstheme="minorBidi"/>
          <w:noProof/>
          <w:sz w:val="22"/>
          <w:szCs w:val="22"/>
          <w:lang w:val="en-US"/>
        </w:rPr>
      </w:pPr>
      <w:hyperlink w:anchor="_Toc74894128" w:history="1">
        <w:r w:rsidR="00DF7E27" w:rsidRPr="00FE1E4C">
          <w:rPr>
            <w:rStyle w:val="Hipervnculo"/>
          </w:rPr>
          <w:t>43. Garantías</w:t>
        </w:r>
        <w:r w:rsidR="00DF7E27">
          <w:rPr>
            <w:noProof/>
            <w:webHidden/>
          </w:rPr>
          <w:tab/>
        </w:r>
        <w:r w:rsidR="00DF7E27">
          <w:rPr>
            <w:noProof/>
            <w:webHidden/>
          </w:rPr>
          <w:fldChar w:fldCharType="begin"/>
        </w:r>
        <w:r w:rsidR="00DF7E27">
          <w:rPr>
            <w:noProof/>
            <w:webHidden/>
          </w:rPr>
          <w:instrText xml:space="preserve"> PAGEREF _Toc74894128 \h </w:instrText>
        </w:r>
        <w:r w:rsidR="00DF7E27">
          <w:rPr>
            <w:noProof/>
            <w:webHidden/>
          </w:rPr>
        </w:r>
        <w:r w:rsidR="00DF7E27">
          <w:rPr>
            <w:noProof/>
            <w:webHidden/>
          </w:rPr>
          <w:fldChar w:fldCharType="separate"/>
        </w:r>
        <w:r w:rsidR="000935B5">
          <w:rPr>
            <w:noProof/>
            <w:webHidden/>
          </w:rPr>
          <w:t>38</w:t>
        </w:r>
        <w:r w:rsidR="00DF7E27">
          <w:rPr>
            <w:noProof/>
            <w:webHidden/>
          </w:rPr>
          <w:fldChar w:fldCharType="end"/>
        </w:r>
      </w:hyperlink>
    </w:p>
    <w:p w14:paraId="50B5FF85" w14:textId="77777777" w:rsidR="00DF7E27" w:rsidRDefault="004B50CC">
      <w:pPr>
        <w:pStyle w:val="TDC2"/>
        <w:rPr>
          <w:rFonts w:asciiTheme="minorHAnsi" w:eastAsiaTheme="minorEastAsia" w:hAnsiTheme="minorHAnsi" w:cstheme="minorBidi"/>
          <w:noProof/>
          <w:sz w:val="22"/>
          <w:szCs w:val="22"/>
          <w:lang w:val="en-US"/>
        </w:rPr>
      </w:pPr>
      <w:hyperlink w:anchor="_Toc74894129" w:history="1">
        <w:r w:rsidR="00DF7E27" w:rsidRPr="00FE1E4C">
          <w:rPr>
            <w:rStyle w:val="Hipervnculo"/>
          </w:rPr>
          <w:t>44. Firma del contrato</w:t>
        </w:r>
        <w:r w:rsidR="00DF7E27">
          <w:rPr>
            <w:noProof/>
            <w:webHidden/>
          </w:rPr>
          <w:tab/>
        </w:r>
        <w:r w:rsidR="00DF7E27">
          <w:rPr>
            <w:noProof/>
            <w:webHidden/>
          </w:rPr>
          <w:fldChar w:fldCharType="begin"/>
        </w:r>
        <w:r w:rsidR="00DF7E27">
          <w:rPr>
            <w:noProof/>
            <w:webHidden/>
          </w:rPr>
          <w:instrText xml:space="preserve"> PAGEREF _Toc74894129 \h </w:instrText>
        </w:r>
        <w:r w:rsidR="00DF7E27">
          <w:rPr>
            <w:noProof/>
            <w:webHidden/>
          </w:rPr>
        </w:r>
        <w:r w:rsidR="00DF7E27">
          <w:rPr>
            <w:noProof/>
            <w:webHidden/>
          </w:rPr>
          <w:fldChar w:fldCharType="separate"/>
        </w:r>
        <w:r w:rsidR="000935B5">
          <w:rPr>
            <w:noProof/>
            <w:webHidden/>
          </w:rPr>
          <w:t>39</w:t>
        </w:r>
        <w:r w:rsidR="00DF7E27">
          <w:rPr>
            <w:noProof/>
            <w:webHidden/>
          </w:rPr>
          <w:fldChar w:fldCharType="end"/>
        </w:r>
      </w:hyperlink>
    </w:p>
    <w:p w14:paraId="711876B1" w14:textId="77777777" w:rsidR="00DF7E27" w:rsidRDefault="004B50CC">
      <w:pPr>
        <w:pStyle w:val="TDC2"/>
        <w:rPr>
          <w:rFonts w:asciiTheme="minorHAnsi" w:eastAsiaTheme="minorEastAsia" w:hAnsiTheme="minorHAnsi" w:cstheme="minorBidi"/>
          <w:noProof/>
          <w:sz w:val="22"/>
          <w:szCs w:val="22"/>
          <w:lang w:val="en-US"/>
        </w:rPr>
      </w:pPr>
      <w:hyperlink w:anchor="_Toc74894130" w:history="1">
        <w:r w:rsidR="00DF7E27" w:rsidRPr="00FE1E4C">
          <w:rPr>
            <w:rStyle w:val="Hipervnculo"/>
          </w:rPr>
          <w:t>45. Conciliador</w:t>
        </w:r>
        <w:r w:rsidR="00DF7E27">
          <w:rPr>
            <w:noProof/>
            <w:webHidden/>
          </w:rPr>
          <w:tab/>
        </w:r>
        <w:r w:rsidR="00DF7E27">
          <w:rPr>
            <w:noProof/>
            <w:webHidden/>
          </w:rPr>
          <w:fldChar w:fldCharType="begin"/>
        </w:r>
        <w:r w:rsidR="00DF7E27">
          <w:rPr>
            <w:noProof/>
            <w:webHidden/>
          </w:rPr>
          <w:instrText xml:space="preserve"> PAGEREF _Toc74894130 \h </w:instrText>
        </w:r>
        <w:r w:rsidR="00DF7E27">
          <w:rPr>
            <w:noProof/>
            <w:webHidden/>
          </w:rPr>
        </w:r>
        <w:r w:rsidR="00DF7E27">
          <w:rPr>
            <w:noProof/>
            <w:webHidden/>
          </w:rPr>
          <w:fldChar w:fldCharType="separate"/>
        </w:r>
        <w:r w:rsidR="000935B5">
          <w:rPr>
            <w:noProof/>
            <w:webHidden/>
          </w:rPr>
          <w:t>39</w:t>
        </w:r>
        <w:r w:rsidR="00DF7E27">
          <w:rPr>
            <w:noProof/>
            <w:webHidden/>
          </w:rPr>
          <w:fldChar w:fldCharType="end"/>
        </w:r>
      </w:hyperlink>
    </w:p>
    <w:p w14:paraId="528E5B49" w14:textId="77777777" w:rsidR="000F49CF" w:rsidRDefault="00B0669B">
      <w:pPr>
        <w:jc w:val="left"/>
        <w:rPr>
          <w:rFonts w:asciiTheme="minorHAnsi" w:hAnsiTheme="minorHAnsi"/>
          <w:b/>
          <w:sz w:val="32"/>
          <w:szCs w:val="32"/>
          <w:lang w:val="es-ES"/>
        </w:rPr>
      </w:pPr>
      <w:r>
        <w:rPr>
          <w:rFonts w:asciiTheme="minorHAnsi" w:hAnsiTheme="minorHAnsi"/>
          <w:b/>
          <w:sz w:val="32"/>
          <w:szCs w:val="32"/>
          <w:lang w:val="es-ES"/>
        </w:rPr>
        <w:fldChar w:fldCharType="end"/>
      </w:r>
    </w:p>
    <w:p w14:paraId="3A50EA71" w14:textId="77777777" w:rsidR="00F431C6" w:rsidRDefault="00F431C6">
      <w:pPr>
        <w:jc w:val="left"/>
        <w:rPr>
          <w:rFonts w:ascii="Arial" w:hAnsi="Arial" w:cs="Arial"/>
          <w:b/>
          <w:sz w:val="28"/>
          <w:szCs w:val="28"/>
          <w:lang w:val="es-ES"/>
        </w:rPr>
      </w:pPr>
      <w:r>
        <w:rPr>
          <w:rFonts w:ascii="Arial" w:hAnsi="Arial" w:cs="Arial"/>
          <w:b/>
          <w:sz w:val="28"/>
          <w:szCs w:val="28"/>
          <w:lang w:val="es-ES"/>
        </w:rPr>
        <w:br w:type="page"/>
      </w:r>
    </w:p>
    <w:p w14:paraId="4D3ED29B" w14:textId="77777777" w:rsidR="00F431C6" w:rsidRDefault="00740C83" w:rsidP="00E13BB4">
      <w:pPr>
        <w:pStyle w:val="i"/>
        <w:spacing w:before="120" w:after="120"/>
        <w:jc w:val="center"/>
        <w:outlineLvl w:val="0"/>
        <w:rPr>
          <w:rFonts w:ascii="Arial" w:hAnsi="Arial" w:cs="Arial"/>
          <w:b/>
          <w:sz w:val="28"/>
          <w:szCs w:val="28"/>
          <w:lang w:val="es-ES"/>
        </w:rPr>
      </w:pPr>
      <w:bookmarkStart w:id="16" w:name="_Toc74781328"/>
      <w:r>
        <w:rPr>
          <w:rFonts w:ascii="Arial" w:hAnsi="Arial" w:cs="Arial"/>
          <w:b/>
          <w:sz w:val="28"/>
          <w:szCs w:val="28"/>
          <w:lang w:val="es-ES"/>
        </w:rPr>
        <w:lastRenderedPageBreak/>
        <w:t>Sección I. Instrucciones a los oferentes</w:t>
      </w:r>
      <w:r w:rsidR="005A14B7">
        <w:rPr>
          <w:rFonts w:ascii="Arial" w:hAnsi="Arial" w:cs="Arial"/>
          <w:b/>
          <w:sz w:val="28"/>
          <w:szCs w:val="28"/>
          <w:lang w:val="es-ES"/>
        </w:rPr>
        <w:t xml:space="preserve"> (IAO)</w:t>
      </w:r>
      <w:bookmarkEnd w:id="16"/>
    </w:p>
    <w:p w14:paraId="7E22712D" w14:textId="77777777" w:rsidR="005A14B7" w:rsidRPr="00F431C6" w:rsidRDefault="005A14B7" w:rsidP="00E13BB4">
      <w:pPr>
        <w:pStyle w:val="i"/>
        <w:spacing w:before="120" w:after="120"/>
        <w:jc w:val="center"/>
        <w:outlineLvl w:val="0"/>
        <w:rPr>
          <w:rFonts w:ascii="Arial" w:hAnsi="Arial" w:cs="Arial"/>
          <w:b/>
          <w:sz w:val="28"/>
          <w:szCs w:val="28"/>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20"/>
        <w:gridCol w:w="6660"/>
      </w:tblGrid>
      <w:tr w:rsidR="00310E73" w:rsidRPr="00A33F6B" w14:paraId="248996F1" w14:textId="77777777" w:rsidTr="00205125">
        <w:trPr>
          <w:tblHeader/>
        </w:trPr>
        <w:tc>
          <w:tcPr>
            <w:tcW w:w="9360" w:type="dxa"/>
            <w:gridSpan w:val="3"/>
            <w:shd w:val="clear" w:color="auto" w:fill="2F5496" w:themeFill="accent1" w:themeFillShade="BF"/>
            <w:vAlign w:val="center"/>
          </w:tcPr>
          <w:p w14:paraId="0A5CC8A2" w14:textId="77777777" w:rsidR="00310E73" w:rsidRPr="00F11F4F" w:rsidRDefault="00310E73" w:rsidP="00E13BB4">
            <w:pPr>
              <w:pStyle w:val="i"/>
              <w:spacing w:before="120" w:after="120"/>
              <w:ind w:left="720"/>
              <w:jc w:val="center"/>
              <w:outlineLvl w:val="0"/>
              <w:rPr>
                <w:rFonts w:ascii="Arial" w:hAnsi="Arial" w:cs="Arial"/>
                <w:b/>
                <w:sz w:val="22"/>
                <w:szCs w:val="22"/>
                <w:lang w:val="es-ES"/>
              </w:rPr>
            </w:pPr>
            <w:bookmarkStart w:id="17" w:name="_Toc54366865"/>
            <w:bookmarkStart w:id="18" w:name="_Toc74048171"/>
            <w:bookmarkStart w:id="19" w:name="_Toc74518415"/>
            <w:bookmarkStart w:id="20" w:name="_Toc74519955"/>
            <w:bookmarkStart w:id="21" w:name="_Toc74781329"/>
            <w:bookmarkEnd w:id="6"/>
            <w:bookmarkEnd w:id="7"/>
            <w:bookmarkEnd w:id="8"/>
            <w:r w:rsidRPr="00F65F2E">
              <w:rPr>
                <w:rFonts w:ascii="Arial" w:hAnsi="Arial" w:cs="Arial"/>
                <w:b/>
                <w:color w:val="FFFFFF" w:themeColor="background1"/>
                <w:sz w:val="22"/>
                <w:szCs w:val="22"/>
                <w:lang w:val="es-ES"/>
              </w:rPr>
              <w:t>Sección I.</w:t>
            </w:r>
            <w:r w:rsidRPr="00F65F2E">
              <w:rPr>
                <w:rFonts w:ascii="Arial" w:hAnsi="Arial" w:cs="Arial"/>
                <w:b/>
                <w:color w:val="FFFFFF" w:themeColor="background1"/>
                <w:sz w:val="22"/>
                <w:szCs w:val="22"/>
                <w:lang w:val="es-ES"/>
              </w:rPr>
              <w:tab/>
            </w:r>
            <w:bookmarkStart w:id="22" w:name="_Toc365893467"/>
            <w:r w:rsidRPr="00F65F2E">
              <w:rPr>
                <w:rFonts w:ascii="Arial" w:hAnsi="Arial" w:cs="Arial"/>
                <w:b/>
                <w:color w:val="FFFFFF" w:themeColor="background1"/>
                <w:sz w:val="22"/>
                <w:szCs w:val="22"/>
                <w:lang w:val="es-ES"/>
              </w:rPr>
              <w:t>Instrucciones a los Oferentes</w:t>
            </w:r>
            <w:bookmarkEnd w:id="22"/>
            <w:r w:rsidRPr="00F65F2E">
              <w:rPr>
                <w:rFonts w:ascii="Arial" w:hAnsi="Arial" w:cs="Arial"/>
                <w:b/>
                <w:color w:val="FFFFFF" w:themeColor="background1"/>
                <w:sz w:val="22"/>
                <w:szCs w:val="22"/>
                <w:lang w:val="es-ES"/>
              </w:rPr>
              <w:t xml:space="preserve"> (IAO)</w:t>
            </w:r>
            <w:bookmarkEnd w:id="17"/>
            <w:bookmarkEnd w:id="18"/>
            <w:bookmarkEnd w:id="19"/>
            <w:bookmarkEnd w:id="20"/>
            <w:bookmarkEnd w:id="21"/>
          </w:p>
        </w:tc>
      </w:tr>
      <w:tr w:rsidR="00310E73" w:rsidRPr="00A33F6B" w14:paraId="699A2572" w14:textId="77777777" w:rsidTr="00205125">
        <w:tc>
          <w:tcPr>
            <w:tcW w:w="9360" w:type="dxa"/>
            <w:gridSpan w:val="3"/>
            <w:shd w:val="clear" w:color="auto" w:fill="00B050"/>
            <w:vAlign w:val="center"/>
          </w:tcPr>
          <w:p w14:paraId="4D7055D8" w14:textId="77777777" w:rsidR="00310E73" w:rsidRPr="00F11F4F" w:rsidRDefault="00310E73" w:rsidP="007F1D84">
            <w:pPr>
              <w:pStyle w:val="IAO1"/>
            </w:pPr>
            <w:bookmarkStart w:id="23" w:name="_Toc365893468"/>
            <w:bookmarkStart w:id="24" w:name="_Toc364779451"/>
            <w:r w:rsidRPr="00F65F2E">
              <w:t xml:space="preserve">   </w:t>
            </w:r>
            <w:bookmarkStart w:id="25" w:name="_Toc54366866"/>
            <w:bookmarkStart w:id="26" w:name="_Toc74048172"/>
            <w:bookmarkStart w:id="27" w:name="_Toc74518416"/>
            <w:bookmarkStart w:id="28" w:name="_Toc74519140"/>
            <w:bookmarkStart w:id="29" w:name="_Toc74519956"/>
            <w:bookmarkStart w:id="30" w:name="_Toc74781330"/>
            <w:bookmarkStart w:id="31" w:name="_Toc74894080"/>
            <w:r w:rsidRPr="00F65F2E">
              <w:t>Generalidades</w:t>
            </w:r>
            <w:bookmarkEnd w:id="23"/>
            <w:bookmarkEnd w:id="24"/>
            <w:bookmarkEnd w:id="25"/>
            <w:bookmarkEnd w:id="26"/>
            <w:bookmarkEnd w:id="27"/>
            <w:bookmarkEnd w:id="28"/>
            <w:bookmarkEnd w:id="29"/>
            <w:bookmarkEnd w:id="30"/>
            <w:bookmarkEnd w:id="31"/>
          </w:p>
        </w:tc>
      </w:tr>
      <w:tr w:rsidR="00310E73" w:rsidRPr="00A33F6B" w14:paraId="427A0AF9" w14:textId="77777777" w:rsidTr="00205125">
        <w:trPr>
          <w:trHeight w:val="20"/>
        </w:trPr>
        <w:tc>
          <w:tcPr>
            <w:tcW w:w="1980" w:type="dxa"/>
          </w:tcPr>
          <w:p w14:paraId="599B686B" w14:textId="77777777" w:rsidR="00310E73" w:rsidRPr="0049753E" w:rsidRDefault="00310E73" w:rsidP="0049753E">
            <w:pPr>
              <w:pStyle w:val="IAO2"/>
              <w:rPr>
                <w:b w:val="0"/>
                <w:bCs/>
              </w:rPr>
            </w:pPr>
            <w:bookmarkStart w:id="32" w:name="_Toc74048173"/>
            <w:bookmarkStart w:id="33" w:name="_Toc74518417"/>
            <w:bookmarkStart w:id="34" w:name="_Toc74519141"/>
            <w:bookmarkStart w:id="35" w:name="_Toc74519957"/>
            <w:bookmarkStart w:id="36" w:name="_Toc74781331"/>
            <w:bookmarkStart w:id="37" w:name="_Toc74894081"/>
            <w:r w:rsidRPr="0049753E">
              <w:t>1</w:t>
            </w:r>
            <w:r w:rsidRPr="0049753E">
              <w:rPr>
                <w:b w:val="0"/>
                <w:bCs/>
              </w:rPr>
              <w:t xml:space="preserve">. </w:t>
            </w:r>
            <w:r w:rsidR="00EE2F93">
              <w:rPr>
                <w:b w:val="0"/>
                <w:bCs/>
              </w:rPr>
              <w:t xml:space="preserve">     </w:t>
            </w:r>
            <w:r w:rsidRPr="0049753E">
              <w:rPr>
                <w:rStyle w:val="IAO2Char"/>
                <w:b/>
                <w:bCs/>
              </w:rPr>
              <w:t>Definiciones</w:t>
            </w:r>
            <w:bookmarkEnd w:id="32"/>
            <w:bookmarkEnd w:id="33"/>
            <w:bookmarkEnd w:id="34"/>
            <w:bookmarkEnd w:id="35"/>
            <w:bookmarkEnd w:id="36"/>
            <w:bookmarkEnd w:id="37"/>
          </w:p>
        </w:tc>
        <w:tc>
          <w:tcPr>
            <w:tcW w:w="720" w:type="dxa"/>
            <w:tcBorders>
              <w:right w:val="nil"/>
            </w:tcBorders>
          </w:tcPr>
          <w:p w14:paraId="3A01C130" w14:textId="77777777" w:rsidR="00310E73" w:rsidRPr="00F11F4F" w:rsidRDefault="00310E73" w:rsidP="009F239C">
            <w:pPr>
              <w:spacing w:before="100" w:after="100"/>
              <w:ind w:left="-110"/>
              <w:jc w:val="center"/>
              <w:rPr>
                <w:rFonts w:ascii="Arial" w:hAnsi="Arial" w:cs="Arial"/>
                <w:sz w:val="22"/>
                <w:szCs w:val="22"/>
                <w:lang w:val="es-HN"/>
              </w:rPr>
            </w:pPr>
            <w:r w:rsidRPr="00F11F4F">
              <w:rPr>
                <w:rFonts w:ascii="Arial" w:hAnsi="Arial" w:cs="Arial"/>
                <w:sz w:val="22"/>
                <w:szCs w:val="22"/>
                <w:lang w:val="es-HN"/>
              </w:rPr>
              <w:t>1.1</w:t>
            </w:r>
          </w:p>
        </w:tc>
        <w:tc>
          <w:tcPr>
            <w:tcW w:w="6660" w:type="dxa"/>
            <w:tcBorders>
              <w:left w:val="nil"/>
            </w:tcBorders>
          </w:tcPr>
          <w:p w14:paraId="705D32FD" w14:textId="77777777" w:rsidR="00310E73" w:rsidRPr="00F11F4F" w:rsidRDefault="00911F3B" w:rsidP="0059021A">
            <w:pPr>
              <w:spacing w:before="100" w:after="100"/>
              <w:ind w:left="-110"/>
              <w:rPr>
                <w:rFonts w:ascii="Arial" w:hAnsi="Arial" w:cs="Arial"/>
                <w:sz w:val="22"/>
                <w:szCs w:val="22"/>
                <w:lang w:val="es-HN"/>
              </w:rPr>
            </w:pPr>
            <w:r w:rsidRPr="00F11F4F">
              <w:rPr>
                <w:rFonts w:ascii="Arial" w:hAnsi="Arial" w:cs="Arial"/>
                <w:sz w:val="22"/>
                <w:szCs w:val="22"/>
                <w:lang w:val="es-HN"/>
              </w:rPr>
              <w:t xml:space="preserve">Salvo donde se establece de otra forma en </w:t>
            </w:r>
            <w:r w:rsidR="00712BB7" w:rsidRPr="00F11F4F">
              <w:rPr>
                <w:rFonts w:ascii="Arial" w:hAnsi="Arial" w:cs="Arial"/>
                <w:sz w:val="22"/>
                <w:szCs w:val="22"/>
                <w:lang w:val="es-HN"/>
              </w:rPr>
              <w:t>los</w:t>
            </w:r>
            <w:r w:rsidRPr="00F11F4F">
              <w:rPr>
                <w:rFonts w:ascii="Arial" w:hAnsi="Arial" w:cs="Arial"/>
                <w:sz w:val="22"/>
                <w:szCs w:val="22"/>
                <w:lang w:val="es-HN"/>
              </w:rPr>
              <w:t xml:space="preserve"> </w:t>
            </w:r>
            <w:r w:rsidR="00AC2180" w:rsidRPr="00F11F4F">
              <w:rPr>
                <w:rFonts w:ascii="Arial" w:hAnsi="Arial" w:cs="Arial"/>
                <w:sz w:val="22"/>
                <w:szCs w:val="22"/>
                <w:lang w:val="es-HN"/>
              </w:rPr>
              <w:t>Datos de la Licitación (</w:t>
            </w:r>
            <w:r w:rsidRPr="00F11F4F">
              <w:rPr>
                <w:rFonts w:ascii="Arial" w:hAnsi="Arial" w:cs="Arial"/>
                <w:b/>
                <w:bCs/>
                <w:sz w:val="22"/>
                <w:szCs w:val="22"/>
                <w:lang w:val="es-HN"/>
              </w:rPr>
              <w:t>DDL</w:t>
            </w:r>
            <w:r w:rsidR="00AC2180" w:rsidRPr="00F11F4F">
              <w:rPr>
                <w:rFonts w:ascii="Arial" w:hAnsi="Arial" w:cs="Arial"/>
                <w:b/>
                <w:bCs/>
                <w:sz w:val="22"/>
                <w:szCs w:val="22"/>
                <w:lang w:val="es-HN"/>
              </w:rPr>
              <w:t>)</w:t>
            </w:r>
            <w:r w:rsidRPr="00F11F4F">
              <w:rPr>
                <w:rFonts w:ascii="Arial" w:hAnsi="Arial" w:cs="Arial"/>
                <w:sz w:val="22"/>
                <w:szCs w:val="22"/>
                <w:lang w:val="es-HN"/>
              </w:rPr>
              <w:t xml:space="preserve"> las definiciones e interpretaciones </w:t>
            </w:r>
            <w:r w:rsidR="00737282" w:rsidRPr="00F11F4F">
              <w:rPr>
                <w:rFonts w:ascii="Arial" w:hAnsi="Arial" w:cs="Arial"/>
                <w:sz w:val="22"/>
                <w:szCs w:val="22"/>
                <w:lang w:val="es-HN"/>
              </w:rPr>
              <w:t>s</w:t>
            </w:r>
            <w:r w:rsidR="00B93E16" w:rsidRPr="00F11F4F">
              <w:rPr>
                <w:rFonts w:ascii="Arial" w:hAnsi="Arial" w:cs="Arial"/>
                <w:sz w:val="22"/>
                <w:szCs w:val="22"/>
                <w:lang w:val="es-HN"/>
              </w:rPr>
              <w:t>on</w:t>
            </w:r>
            <w:r w:rsidRPr="00F11F4F">
              <w:rPr>
                <w:rFonts w:ascii="Arial" w:hAnsi="Arial" w:cs="Arial"/>
                <w:sz w:val="22"/>
                <w:szCs w:val="22"/>
                <w:lang w:val="es-HN"/>
              </w:rPr>
              <w:t xml:space="preserve"> las establecidas en la</w:t>
            </w:r>
            <w:r w:rsidR="006372CB" w:rsidRPr="00F11F4F">
              <w:rPr>
                <w:rFonts w:ascii="Arial" w:hAnsi="Arial" w:cs="Arial"/>
                <w:sz w:val="22"/>
                <w:szCs w:val="22"/>
                <w:lang w:val="es-HN"/>
              </w:rPr>
              <w:t>s C</w:t>
            </w:r>
            <w:r w:rsidR="00440EED" w:rsidRPr="00F11F4F">
              <w:rPr>
                <w:rFonts w:ascii="Arial" w:hAnsi="Arial" w:cs="Arial"/>
                <w:sz w:val="22"/>
                <w:szCs w:val="22"/>
                <w:lang w:val="es-HN"/>
              </w:rPr>
              <w:t xml:space="preserve">ondiciones </w:t>
            </w:r>
            <w:r w:rsidR="006372CB" w:rsidRPr="00F11F4F">
              <w:rPr>
                <w:rFonts w:ascii="Arial" w:hAnsi="Arial" w:cs="Arial"/>
                <w:sz w:val="22"/>
                <w:szCs w:val="22"/>
                <w:lang w:val="es-HN"/>
              </w:rPr>
              <w:t>G</w:t>
            </w:r>
            <w:r w:rsidR="00440EED" w:rsidRPr="00F11F4F">
              <w:rPr>
                <w:rFonts w:ascii="Arial" w:hAnsi="Arial" w:cs="Arial"/>
                <w:sz w:val="22"/>
                <w:szCs w:val="22"/>
                <w:lang w:val="es-HN"/>
              </w:rPr>
              <w:t xml:space="preserve">enerales del </w:t>
            </w:r>
            <w:r w:rsidR="006372CB" w:rsidRPr="00F11F4F">
              <w:rPr>
                <w:rFonts w:ascii="Arial" w:hAnsi="Arial" w:cs="Arial"/>
                <w:sz w:val="22"/>
                <w:szCs w:val="22"/>
                <w:lang w:val="es-HN"/>
              </w:rPr>
              <w:t>C</w:t>
            </w:r>
            <w:r w:rsidR="00440EED" w:rsidRPr="00F11F4F">
              <w:rPr>
                <w:rFonts w:ascii="Arial" w:hAnsi="Arial" w:cs="Arial"/>
                <w:sz w:val="22"/>
                <w:szCs w:val="22"/>
                <w:lang w:val="es-HN"/>
              </w:rPr>
              <w:t>ontrato</w:t>
            </w:r>
            <w:r w:rsidR="006372CB" w:rsidRPr="00F11F4F">
              <w:rPr>
                <w:rFonts w:ascii="Arial" w:hAnsi="Arial" w:cs="Arial"/>
                <w:sz w:val="22"/>
                <w:szCs w:val="22"/>
                <w:lang w:val="es-HN"/>
              </w:rPr>
              <w:t xml:space="preserve"> contenidas en la </w:t>
            </w:r>
            <w:r w:rsidRPr="00F11F4F">
              <w:rPr>
                <w:rFonts w:ascii="Arial" w:hAnsi="Arial" w:cs="Arial"/>
                <w:sz w:val="22"/>
                <w:szCs w:val="22"/>
                <w:lang w:val="es-HN"/>
              </w:rPr>
              <w:t>Sección VI</w:t>
            </w:r>
            <w:r w:rsidR="00310E73" w:rsidRPr="00F11F4F">
              <w:rPr>
                <w:rFonts w:ascii="Arial" w:hAnsi="Arial" w:cs="Arial"/>
                <w:sz w:val="22"/>
                <w:szCs w:val="22"/>
              </w:rPr>
              <w:t xml:space="preserve"> </w:t>
            </w:r>
          </w:p>
        </w:tc>
      </w:tr>
      <w:tr w:rsidR="00310E73" w:rsidRPr="000E67B0" w14:paraId="09AA3F25" w14:textId="77777777" w:rsidTr="00205125">
        <w:trPr>
          <w:trHeight w:val="20"/>
        </w:trPr>
        <w:tc>
          <w:tcPr>
            <w:tcW w:w="1980" w:type="dxa"/>
          </w:tcPr>
          <w:p w14:paraId="5F03BE0F" w14:textId="77777777" w:rsidR="00310E73" w:rsidRPr="00F11F4F" w:rsidRDefault="00310E73" w:rsidP="007F1D84">
            <w:pPr>
              <w:pStyle w:val="IAO2"/>
            </w:pPr>
            <w:bookmarkStart w:id="38" w:name="_Toc74048174"/>
            <w:bookmarkStart w:id="39" w:name="_Toc74518418"/>
            <w:bookmarkStart w:id="40" w:name="_Toc74519142"/>
            <w:bookmarkStart w:id="41" w:name="_Toc74519958"/>
            <w:bookmarkStart w:id="42" w:name="_Toc74781332"/>
            <w:bookmarkStart w:id="43" w:name="_Toc74894082"/>
            <w:r w:rsidRPr="00F11F4F">
              <w:t>2. Alcance</w:t>
            </w:r>
            <w:bookmarkEnd w:id="38"/>
            <w:bookmarkEnd w:id="39"/>
            <w:bookmarkEnd w:id="40"/>
            <w:bookmarkEnd w:id="41"/>
            <w:bookmarkEnd w:id="42"/>
            <w:bookmarkEnd w:id="43"/>
          </w:p>
        </w:tc>
        <w:tc>
          <w:tcPr>
            <w:tcW w:w="720" w:type="dxa"/>
            <w:tcBorders>
              <w:bottom w:val="single" w:sz="4" w:space="0" w:color="auto"/>
              <w:right w:val="nil"/>
            </w:tcBorders>
          </w:tcPr>
          <w:p w14:paraId="2D9F29DB" w14:textId="77777777" w:rsidR="00310E73" w:rsidRPr="00F11F4F" w:rsidRDefault="00310E73" w:rsidP="000E67B0">
            <w:pPr>
              <w:spacing w:before="100" w:after="100"/>
              <w:ind w:left="-110"/>
              <w:jc w:val="center"/>
              <w:rPr>
                <w:rFonts w:ascii="Arial" w:hAnsi="Arial" w:cs="Arial"/>
                <w:sz w:val="22"/>
                <w:szCs w:val="22"/>
                <w:lang w:val="es-HN"/>
              </w:rPr>
            </w:pPr>
            <w:r w:rsidRPr="00F11F4F">
              <w:rPr>
                <w:rFonts w:ascii="Arial" w:hAnsi="Arial" w:cs="Arial"/>
                <w:sz w:val="22"/>
                <w:szCs w:val="22"/>
                <w:lang w:val="es-HN"/>
              </w:rPr>
              <w:t>2.1</w:t>
            </w:r>
          </w:p>
          <w:p w14:paraId="4E157952" w14:textId="77777777" w:rsidR="00310E73" w:rsidRPr="00F11F4F" w:rsidRDefault="00310E73" w:rsidP="000E67B0">
            <w:pPr>
              <w:spacing w:before="100" w:after="100"/>
              <w:ind w:left="-110"/>
              <w:jc w:val="center"/>
              <w:rPr>
                <w:rFonts w:ascii="Arial" w:hAnsi="Arial" w:cs="Arial"/>
                <w:sz w:val="22"/>
                <w:szCs w:val="22"/>
                <w:lang w:val="es-HN"/>
              </w:rPr>
            </w:pPr>
          </w:p>
        </w:tc>
        <w:tc>
          <w:tcPr>
            <w:tcW w:w="6660" w:type="dxa"/>
            <w:tcBorders>
              <w:left w:val="nil"/>
              <w:bottom w:val="single" w:sz="4" w:space="0" w:color="auto"/>
            </w:tcBorders>
          </w:tcPr>
          <w:p w14:paraId="28DC1290" w14:textId="77777777" w:rsidR="00310E73" w:rsidRPr="00F11F4F" w:rsidRDefault="00310E73" w:rsidP="0059021A">
            <w:pPr>
              <w:spacing w:before="100" w:after="100"/>
              <w:ind w:left="-110"/>
              <w:rPr>
                <w:rFonts w:ascii="Arial" w:hAnsi="Arial" w:cs="Arial"/>
                <w:sz w:val="22"/>
                <w:szCs w:val="22"/>
                <w:lang w:val="es-HN"/>
              </w:rPr>
            </w:pPr>
            <w:r w:rsidRPr="00F11F4F">
              <w:rPr>
                <w:rFonts w:ascii="Arial" w:hAnsi="Arial" w:cs="Arial"/>
                <w:sz w:val="22"/>
                <w:szCs w:val="22"/>
                <w:lang w:val="es-HN"/>
              </w:rPr>
              <w:t>Alcance de la Licitación</w:t>
            </w:r>
          </w:p>
          <w:p w14:paraId="1DC0D4A3" w14:textId="77777777" w:rsidR="00310E73" w:rsidRPr="00F11F4F" w:rsidRDefault="00310E73" w:rsidP="0059021A">
            <w:pPr>
              <w:spacing w:before="100" w:after="100"/>
              <w:ind w:left="-110"/>
              <w:rPr>
                <w:rFonts w:ascii="Arial" w:hAnsi="Arial" w:cs="Arial"/>
                <w:sz w:val="22"/>
                <w:szCs w:val="22"/>
                <w:lang w:val="es-HN"/>
              </w:rPr>
            </w:pPr>
            <w:r w:rsidRPr="00F11F4F">
              <w:rPr>
                <w:rFonts w:ascii="Arial" w:hAnsi="Arial" w:cs="Arial"/>
                <w:sz w:val="22"/>
                <w:szCs w:val="22"/>
                <w:lang w:val="es-HN"/>
              </w:rPr>
              <w:t xml:space="preserve">El Contratante, identificado en los </w:t>
            </w:r>
            <w:r w:rsidRPr="00F11F4F">
              <w:rPr>
                <w:rFonts w:ascii="Arial" w:hAnsi="Arial" w:cs="Arial"/>
                <w:b/>
                <w:bCs/>
                <w:sz w:val="22"/>
                <w:szCs w:val="22"/>
                <w:lang w:val="es-HN"/>
              </w:rPr>
              <w:t>DDL</w:t>
            </w:r>
            <w:r w:rsidRPr="00F11F4F">
              <w:rPr>
                <w:rFonts w:ascii="Arial" w:hAnsi="Arial" w:cs="Arial"/>
                <w:sz w:val="22"/>
                <w:szCs w:val="22"/>
                <w:lang w:val="es-HN"/>
              </w:rPr>
              <w:t>, invita a presentar ofertas para la construcción de las obras, que se describen en la misma sección, donde también se especifican el nombre y número de identificación de este proceso de licitación y plazo máximo para la terminación de las obras.</w:t>
            </w:r>
          </w:p>
        </w:tc>
      </w:tr>
      <w:tr w:rsidR="0095221F" w:rsidRPr="00F462F9" w14:paraId="23687389" w14:textId="77777777" w:rsidTr="00205125">
        <w:trPr>
          <w:trHeight w:val="20"/>
        </w:trPr>
        <w:tc>
          <w:tcPr>
            <w:tcW w:w="1980" w:type="dxa"/>
            <w:vMerge w:val="restart"/>
          </w:tcPr>
          <w:p w14:paraId="63451E52" w14:textId="77777777" w:rsidR="0095221F" w:rsidRPr="00F11F4F" w:rsidRDefault="00F302B9" w:rsidP="007F1D84">
            <w:pPr>
              <w:pStyle w:val="IAO2"/>
            </w:pPr>
            <w:bookmarkStart w:id="44" w:name="_Toc74048175"/>
            <w:bookmarkStart w:id="45" w:name="_Toc74518419"/>
            <w:bookmarkStart w:id="46" w:name="_Toc74519143"/>
            <w:bookmarkStart w:id="47" w:name="_Toc74519959"/>
            <w:bookmarkStart w:id="48" w:name="_Toc74781333"/>
            <w:bookmarkStart w:id="49" w:name="_Toc74894083"/>
            <w:r w:rsidRPr="00F11F4F">
              <w:t>3</w:t>
            </w:r>
            <w:r w:rsidR="0095221F" w:rsidRPr="00F11F4F">
              <w:t>. Fuente de los fondos</w:t>
            </w:r>
            <w:bookmarkEnd w:id="44"/>
            <w:bookmarkEnd w:id="45"/>
            <w:bookmarkEnd w:id="46"/>
            <w:bookmarkEnd w:id="47"/>
            <w:bookmarkEnd w:id="48"/>
            <w:bookmarkEnd w:id="49"/>
          </w:p>
        </w:tc>
        <w:tc>
          <w:tcPr>
            <w:tcW w:w="720" w:type="dxa"/>
            <w:tcBorders>
              <w:right w:val="nil"/>
            </w:tcBorders>
          </w:tcPr>
          <w:p w14:paraId="6DA90C40" w14:textId="77777777" w:rsidR="0095221F" w:rsidRPr="00F11F4F"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F11F4F">
              <w:rPr>
                <w:rFonts w:ascii="Arial" w:hAnsi="Arial" w:cs="Arial"/>
                <w:b w:val="0"/>
                <w:sz w:val="22"/>
                <w:szCs w:val="22"/>
                <w:lang w:val="es-ES"/>
              </w:rPr>
              <w:t>3</w:t>
            </w:r>
            <w:r w:rsidR="0095221F" w:rsidRPr="00F11F4F">
              <w:rPr>
                <w:rFonts w:ascii="Arial" w:hAnsi="Arial" w:cs="Arial"/>
                <w:b w:val="0"/>
                <w:sz w:val="22"/>
                <w:szCs w:val="22"/>
                <w:lang w:val="es-ES"/>
              </w:rPr>
              <w:t>.1</w:t>
            </w:r>
          </w:p>
        </w:tc>
        <w:tc>
          <w:tcPr>
            <w:tcW w:w="6660" w:type="dxa"/>
            <w:tcBorders>
              <w:left w:val="nil"/>
            </w:tcBorders>
          </w:tcPr>
          <w:p w14:paraId="0947D2A3" w14:textId="77777777" w:rsidR="0095221F" w:rsidRPr="00F11F4F"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F11F4F">
              <w:rPr>
                <w:rFonts w:ascii="Arial" w:hAnsi="Arial" w:cs="Arial"/>
                <w:b w:val="0"/>
                <w:sz w:val="22"/>
                <w:szCs w:val="22"/>
                <w:lang w:val="es-ES"/>
              </w:rPr>
              <w:t>El Prestatario/Beneficiario ha recibido o ha solicitado financiamiento del BCIE y estos recursos serán utilizados, para sufragar el costo total o parcial de los pagos elegibles en virtud de los contratos que resulten de estos Documentos de Licitación.</w:t>
            </w:r>
          </w:p>
        </w:tc>
      </w:tr>
      <w:tr w:rsidR="0095221F" w:rsidRPr="00F462F9" w14:paraId="6046C59D" w14:textId="77777777" w:rsidTr="00205125">
        <w:trPr>
          <w:trHeight w:val="20"/>
        </w:trPr>
        <w:tc>
          <w:tcPr>
            <w:tcW w:w="1980" w:type="dxa"/>
            <w:vMerge/>
          </w:tcPr>
          <w:p w14:paraId="79250AB6" w14:textId="77777777" w:rsidR="0095221F" w:rsidRPr="00F11F4F" w:rsidRDefault="0095221F" w:rsidP="007F1D84">
            <w:pPr>
              <w:pStyle w:val="IAO2"/>
            </w:pPr>
          </w:p>
        </w:tc>
        <w:tc>
          <w:tcPr>
            <w:tcW w:w="720" w:type="dxa"/>
            <w:tcBorders>
              <w:right w:val="nil"/>
            </w:tcBorders>
          </w:tcPr>
          <w:p w14:paraId="1D18CDF2" w14:textId="77777777" w:rsidR="0095221F" w:rsidRPr="00F11F4F" w:rsidRDefault="00F302B9" w:rsidP="009F239C">
            <w:pPr>
              <w:pStyle w:val="Header1-Clauses"/>
              <w:numPr>
                <w:ilvl w:val="0"/>
                <w:numId w:val="0"/>
              </w:numPr>
              <w:spacing w:before="100" w:after="100"/>
              <w:ind w:left="-110"/>
              <w:jc w:val="center"/>
              <w:rPr>
                <w:rFonts w:ascii="Arial" w:hAnsi="Arial" w:cs="Arial"/>
                <w:b w:val="0"/>
                <w:sz w:val="22"/>
                <w:szCs w:val="22"/>
                <w:lang w:val="es-ES"/>
              </w:rPr>
            </w:pPr>
            <w:r w:rsidRPr="00F11F4F">
              <w:rPr>
                <w:rFonts w:ascii="Arial" w:hAnsi="Arial" w:cs="Arial"/>
                <w:b w:val="0"/>
                <w:sz w:val="22"/>
                <w:szCs w:val="22"/>
                <w:lang w:val="es-ES"/>
              </w:rPr>
              <w:t>3.2</w:t>
            </w:r>
          </w:p>
        </w:tc>
        <w:tc>
          <w:tcPr>
            <w:tcW w:w="6660" w:type="dxa"/>
            <w:tcBorders>
              <w:left w:val="nil"/>
            </w:tcBorders>
          </w:tcPr>
          <w:p w14:paraId="5BA1910F" w14:textId="77777777" w:rsidR="0095221F" w:rsidRPr="00F11F4F" w:rsidRDefault="0095221F" w:rsidP="00C00B1F">
            <w:pPr>
              <w:pStyle w:val="Header1-Clauses"/>
              <w:numPr>
                <w:ilvl w:val="0"/>
                <w:numId w:val="0"/>
              </w:numPr>
              <w:spacing w:before="100" w:after="100"/>
              <w:ind w:left="-105"/>
              <w:jc w:val="both"/>
              <w:rPr>
                <w:rFonts w:ascii="Arial" w:hAnsi="Arial" w:cs="Arial"/>
                <w:b w:val="0"/>
                <w:sz w:val="22"/>
                <w:szCs w:val="22"/>
                <w:lang w:val="es-ES"/>
              </w:rPr>
            </w:pPr>
            <w:r w:rsidRPr="00F11F4F">
              <w:rPr>
                <w:rFonts w:ascii="Arial" w:hAnsi="Arial" w:cs="Arial"/>
                <w:b w:val="0"/>
                <w:color w:val="000000"/>
                <w:sz w:val="22"/>
                <w:szCs w:val="22"/>
                <w:lang w:val="es-HN"/>
              </w:rPr>
              <w:t>Ningún oferente de procesos licitatorios o contratista para ejecutar obras podrá derivar derechos o exigir pagos al Banco, ya que en todo momento la relación jurídica que involucra derechos y responsabilidades es entre estos y el Contratante</w:t>
            </w:r>
          </w:p>
        </w:tc>
      </w:tr>
      <w:tr w:rsidR="00310E73" w:rsidRPr="00F462F9" w14:paraId="540FE3E6" w14:textId="77777777" w:rsidTr="00205125">
        <w:trPr>
          <w:trHeight w:val="20"/>
        </w:trPr>
        <w:tc>
          <w:tcPr>
            <w:tcW w:w="1980" w:type="dxa"/>
          </w:tcPr>
          <w:p w14:paraId="1617F7B9" w14:textId="77777777" w:rsidR="00310E73" w:rsidRPr="00F11F4F" w:rsidRDefault="005364E8" w:rsidP="007F1D84">
            <w:pPr>
              <w:pStyle w:val="IAO2"/>
            </w:pPr>
            <w:bookmarkStart w:id="50" w:name="_Toc74048176"/>
            <w:bookmarkStart w:id="51" w:name="_Toc74518420"/>
            <w:bookmarkStart w:id="52" w:name="_Toc74519144"/>
            <w:bookmarkStart w:id="53" w:name="_Toc74519960"/>
            <w:bookmarkStart w:id="54" w:name="_Toc74781334"/>
            <w:bookmarkStart w:id="55" w:name="_Toc74894084"/>
            <w:r w:rsidRPr="00F11F4F">
              <w:t>4</w:t>
            </w:r>
            <w:r w:rsidR="00310E73" w:rsidRPr="00F11F4F">
              <w:t>. Prácticas Prohibidas</w:t>
            </w:r>
            <w:bookmarkEnd w:id="50"/>
            <w:bookmarkEnd w:id="51"/>
            <w:bookmarkEnd w:id="52"/>
            <w:bookmarkEnd w:id="53"/>
            <w:bookmarkEnd w:id="54"/>
            <w:bookmarkEnd w:id="55"/>
          </w:p>
          <w:p w14:paraId="308725F6" w14:textId="77777777" w:rsidR="001B4789" w:rsidRPr="00F11F4F" w:rsidRDefault="001B4789" w:rsidP="007F1D84">
            <w:pPr>
              <w:pStyle w:val="IAO2"/>
            </w:pPr>
          </w:p>
          <w:p w14:paraId="4BC81938" w14:textId="77777777" w:rsidR="001B4789" w:rsidRPr="00F11F4F" w:rsidRDefault="001B4789" w:rsidP="007F1D84">
            <w:pPr>
              <w:pStyle w:val="IAO2"/>
            </w:pPr>
          </w:p>
          <w:p w14:paraId="567C64CA" w14:textId="77777777" w:rsidR="001B4789" w:rsidRPr="00F11F4F" w:rsidRDefault="001B4789" w:rsidP="007F1D84">
            <w:pPr>
              <w:pStyle w:val="IAO2"/>
            </w:pPr>
          </w:p>
          <w:p w14:paraId="7D33855A" w14:textId="77777777" w:rsidR="001B4789" w:rsidRPr="00F11F4F" w:rsidRDefault="001B4789" w:rsidP="007F1D84">
            <w:pPr>
              <w:pStyle w:val="IAO2"/>
            </w:pPr>
          </w:p>
          <w:p w14:paraId="3C8FC415" w14:textId="77777777" w:rsidR="001B4789" w:rsidRPr="00F11F4F" w:rsidRDefault="001B4789" w:rsidP="007F1D84">
            <w:pPr>
              <w:pStyle w:val="IAO2"/>
            </w:pPr>
          </w:p>
          <w:p w14:paraId="7262332A" w14:textId="77777777" w:rsidR="001B4789" w:rsidRPr="00F11F4F" w:rsidRDefault="001B4789" w:rsidP="007F1D84">
            <w:pPr>
              <w:pStyle w:val="IAO2"/>
            </w:pPr>
          </w:p>
          <w:p w14:paraId="3C51D4C9" w14:textId="77777777" w:rsidR="001B4789" w:rsidRPr="00F11F4F" w:rsidRDefault="001B4789" w:rsidP="007F1D84">
            <w:pPr>
              <w:pStyle w:val="IAO2"/>
            </w:pPr>
          </w:p>
          <w:p w14:paraId="2A5CE6AE" w14:textId="77777777" w:rsidR="001B4789" w:rsidRPr="00F11F4F" w:rsidRDefault="001B4789" w:rsidP="007F1D84">
            <w:pPr>
              <w:pStyle w:val="IAO2"/>
            </w:pPr>
          </w:p>
          <w:p w14:paraId="490A7BE0" w14:textId="77777777" w:rsidR="001B4789" w:rsidRPr="00F11F4F" w:rsidRDefault="001B4789" w:rsidP="007F1D84">
            <w:pPr>
              <w:pStyle w:val="IAO2"/>
            </w:pPr>
          </w:p>
          <w:p w14:paraId="323F11F9" w14:textId="77777777" w:rsidR="001B4789" w:rsidRPr="00F11F4F" w:rsidRDefault="001B4789" w:rsidP="007F1D84">
            <w:pPr>
              <w:pStyle w:val="IAO2"/>
            </w:pPr>
          </w:p>
          <w:p w14:paraId="38A14FE1" w14:textId="77777777" w:rsidR="001B4789" w:rsidRPr="00F11F4F" w:rsidRDefault="001B4789" w:rsidP="007F1D84">
            <w:pPr>
              <w:pStyle w:val="IAO2"/>
            </w:pPr>
          </w:p>
          <w:p w14:paraId="1F823D16" w14:textId="77777777" w:rsidR="001B4789" w:rsidRPr="00F11F4F" w:rsidRDefault="001B4789" w:rsidP="007F1D84">
            <w:pPr>
              <w:pStyle w:val="IAO2"/>
            </w:pPr>
          </w:p>
          <w:p w14:paraId="626E405E" w14:textId="77777777" w:rsidR="001B4789" w:rsidRPr="00F11F4F" w:rsidRDefault="001B4789" w:rsidP="007F1D84">
            <w:pPr>
              <w:pStyle w:val="IAO2"/>
            </w:pPr>
          </w:p>
          <w:p w14:paraId="3AA84C03" w14:textId="77777777" w:rsidR="001B4789" w:rsidRPr="00F11F4F" w:rsidRDefault="001B4789" w:rsidP="007F1D84">
            <w:pPr>
              <w:pStyle w:val="IAO2"/>
            </w:pPr>
          </w:p>
          <w:p w14:paraId="6578DE36" w14:textId="77777777" w:rsidR="001B4789" w:rsidRPr="00F11F4F" w:rsidRDefault="001B4789" w:rsidP="007F1D84">
            <w:pPr>
              <w:pStyle w:val="IAO2"/>
            </w:pPr>
          </w:p>
          <w:p w14:paraId="68F1B6A0" w14:textId="77777777" w:rsidR="001B4789" w:rsidRPr="00F11F4F" w:rsidRDefault="001B4789" w:rsidP="007F1D84">
            <w:pPr>
              <w:pStyle w:val="IAO2"/>
            </w:pPr>
          </w:p>
          <w:p w14:paraId="1BF7FF61" w14:textId="77777777" w:rsidR="001B4789" w:rsidRPr="00F11F4F" w:rsidRDefault="001B4789" w:rsidP="007F1D84">
            <w:pPr>
              <w:pStyle w:val="IAO2"/>
            </w:pPr>
          </w:p>
          <w:p w14:paraId="140CEB42" w14:textId="77777777" w:rsidR="001B4789" w:rsidRPr="00F11F4F" w:rsidRDefault="001B4789" w:rsidP="007F1D84">
            <w:pPr>
              <w:pStyle w:val="IAO2"/>
            </w:pPr>
          </w:p>
          <w:p w14:paraId="4EA9ED3C" w14:textId="77777777" w:rsidR="001B4789" w:rsidRPr="00F11F4F" w:rsidRDefault="001B4789" w:rsidP="007F1D84">
            <w:pPr>
              <w:pStyle w:val="IAO2"/>
            </w:pPr>
          </w:p>
          <w:p w14:paraId="67FF01B8" w14:textId="77777777" w:rsidR="001B4789" w:rsidRPr="00F11F4F" w:rsidRDefault="001B4789" w:rsidP="007F1D84">
            <w:pPr>
              <w:pStyle w:val="IAO2"/>
            </w:pPr>
          </w:p>
          <w:p w14:paraId="3CF1D167" w14:textId="77777777" w:rsidR="001B4789" w:rsidRPr="00F11F4F" w:rsidRDefault="001B4789" w:rsidP="007F1D84">
            <w:pPr>
              <w:pStyle w:val="IAO2"/>
            </w:pPr>
            <w:r w:rsidRPr="00F11F4F">
              <w:tab/>
            </w:r>
          </w:p>
        </w:tc>
        <w:tc>
          <w:tcPr>
            <w:tcW w:w="720" w:type="dxa"/>
            <w:tcBorders>
              <w:right w:val="nil"/>
            </w:tcBorders>
          </w:tcPr>
          <w:p w14:paraId="23FB22ED" w14:textId="77777777" w:rsidR="00310E73" w:rsidRPr="00F11F4F" w:rsidRDefault="005364E8" w:rsidP="009F239C">
            <w:pPr>
              <w:pStyle w:val="Header1-Clauses"/>
              <w:numPr>
                <w:ilvl w:val="0"/>
                <w:numId w:val="0"/>
              </w:numPr>
              <w:spacing w:before="100" w:after="100"/>
              <w:ind w:left="-110"/>
              <w:jc w:val="center"/>
              <w:rPr>
                <w:rFonts w:ascii="Arial" w:hAnsi="Arial" w:cs="Arial"/>
                <w:b w:val="0"/>
                <w:sz w:val="22"/>
                <w:szCs w:val="22"/>
                <w:lang w:val="es-ES"/>
              </w:rPr>
            </w:pPr>
            <w:r w:rsidRPr="00F11F4F">
              <w:rPr>
                <w:rFonts w:ascii="Arial" w:hAnsi="Arial" w:cs="Arial"/>
                <w:b w:val="0"/>
                <w:sz w:val="22"/>
                <w:szCs w:val="22"/>
                <w:lang w:val="es-ES"/>
              </w:rPr>
              <w:lastRenderedPageBreak/>
              <w:t>4</w:t>
            </w:r>
            <w:r w:rsidR="00310E73" w:rsidRPr="00F11F4F">
              <w:rPr>
                <w:rFonts w:ascii="Arial" w:hAnsi="Arial" w:cs="Arial"/>
                <w:b w:val="0"/>
                <w:sz w:val="22"/>
                <w:szCs w:val="22"/>
                <w:lang w:val="es-ES"/>
              </w:rPr>
              <w:t>.1</w:t>
            </w:r>
          </w:p>
        </w:tc>
        <w:tc>
          <w:tcPr>
            <w:tcW w:w="6660" w:type="dxa"/>
            <w:tcBorders>
              <w:left w:val="nil"/>
            </w:tcBorders>
          </w:tcPr>
          <w:p w14:paraId="7477B503" w14:textId="77777777" w:rsidR="00310E73" w:rsidRPr="00F11F4F" w:rsidRDefault="00310E73" w:rsidP="00C00B1F">
            <w:pPr>
              <w:spacing w:before="100" w:after="100"/>
              <w:ind w:left="-105"/>
              <w:rPr>
                <w:rFonts w:ascii="Arial" w:hAnsi="Arial" w:cs="Arial"/>
                <w:sz w:val="22"/>
                <w:szCs w:val="22"/>
                <w:lang w:val="es-HN"/>
              </w:rPr>
            </w:pPr>
            <w:r w:rsidRPr="00F11F4F">
              <w:rPr>
                <w:rFonts w:ascii="Arial" w:hAnsi="Arial" w:cs="Arial"/>
                <w:sz w:val="22"/>
                <w:szCs w:val="22"/>
                <w:lang w:val="es-HN"/>
              </w:rPr>
              <w:t>El BCIE exige que los Prestatarios/Beneficiarios y todas las personas naturales o jurídicas, que participen o presten servicios en proyectos u operaciones con financiamiento del BCIE, ya sea en su condición de oferentes, prestatarios, organismos ejecutores, coordinadores, supervisores de proyectos, contratistas, subcontratistas, consultores, proveedores, beneficiarios de donaciones (y a todos sus funcionarios, empleados, representantes y agentes), así como cualquier otro tipo de relación análoga, lo siguiente:</w:t>
            </w:r>
          </w:p>
          <w:p w14:paraId="2F6828E8" w14:textId="77777777" w:rsidR="00310E73" w:rsidRPr="00F11F4F" w:rsidRDefault="00310E73" w:rsidP="0071608E">
            <w:pPr>
              <w:pStyle w:val="Prrafodelista"/>
              <w:numPr>
                <w:ilvl w:val="7"/>
                <w:numId w:val="17"/>
              </w:numPr>
              <w:spacing w:before="100" w:after="100"/>
              <w:ind w:left="248" w:hanging="358"/>
              <w:rPr>
                <w:rFonts w:ascii="Arial" w:hAnsi="Arial" w:cs="Arial"/>
                <w:sz w:val="22"/>
                <w:szCs w:val="22"/>
                <w:lang w:val="es-HN"/>
              </w:rPr>
            </w:pPr>
            <w:r w:rsidRPr="00F11F4F">
              <w:rPr>
                <w:rFonts w:ascii="Arial" w:hAnsi="Arial" w:cs="Arial"/>
                <w:sz w:val="22"/>
                <w:szCs w:val="22"/>
                <w:lang w:val="es-HN"/>
              </w:rPr>
              <w:t>Observar los más altos niveles éticos en todas las etapas del proceso de adquisición o la ejecución de un contrato.</w:t>
            </w:r>
          </w:p>
          <w:p w14:paraId="49F606A6" w14:textId="77777777" w:rsidR="00310E73" w:rsidRPr="00F11F4F" w:rsidRDefault="00310E73" w:rsidP="0071608E">
            <w:pPr>
              <w:pStyle w:val="Prrafodelista"/>
              <w:numPr>
                <w:ilvl w:val="7"/>
                <w:numId w:val="17"/>
              </w:numPr>
              <w:spacing w:before="100" w:after="100"/>
              <w:ind w:left="248" w:hanging="358"/>
              <w:rPr>
                <w:rFonts w:ascii="Arial" w:hAnsi="Arial" w:cs="Arial"/>
                <w:sz w:val="22"/>
                <w:szCs w:val="22"/>
                <w:lang w:val="es-HN"/>
              </w:rPr>
            </w:pPr>
            <w:r w:rsidRPr="00F11F4F">
              <w:rPr>
                <w:rFonts w:ascii="Arial" w:hAnsi="Arial" w:cs="Arial"/>
                <w:sz w:val="22"/>
                <w:szCs w:val="22"/>
                <w:lang w:val="es-HN"/>
              </w:rPr>
              <w:t>Abstenerse de realizar cualquier acto o acción que se enmarque o pueda catalogarse como Práctica Prohibida.</w:t>
            </w:r>
          </w:p>
          <w:p w14:paraId="7E69FB3F" w14:textId="77777777" w:rsidR="00310E73" w:rsidRPr="00F11F4F" w:rsidRDefault="00310E73" w:rsidP="00982C60">
            <w:pPr>
              <w:spacing w:before="100" w:after="100"/>
              <w:ind w:left="248" w:hanging="358"/>
              <w:rPr>
                <w:rFonts w:ascii="Arial" w:hAnsi="Arial" w:cs="Arial"/>
                <w:sz w:val="22"/>
                <w:szCs w:val="22"/>
                <w:lang w:val="es-HN"/>
              </w:rPr>
            </w:pPr>
            <w:r w:rsidRPr="00F11F4F">
              <w:rPr>
                <w:rFonts w:ascii="Arial" w:hAnsi="Arial" w:cs="Arial"/>
                <w:sz w:val="22"/>
                <w:szCs w:val="22"/>
                <w:lang w:val="es-HN"/>
              </w:rPr>
              <w:t xml:space="preserve">c.  </w:t>
            </w:r>
            <w:r w:rsidR="004260AD" w:rsidRPr="00F11F4F">
              <w:rPr>
                <w:rFonts w:ascii="Arial" w:hAnsi="Arial" w:cs="Arial"/>
                <w:sz w:val="22"/>
                <w:szCs w:val="22"/>
                <w:lang w:val="es-HN"/>
              </w:rPr>
              <w:t xml:space="preserve"> </w:t>
            </w:r>
            <w:r w:rsidRPr="00F11F4F">
              <w:rPr>
                <w:rFonts w:ascii="Arial" w:hAnsi="Arial" w:cs="Arial"/>
                <w:sz w:val="22"/>
                <w:szCs w:val="22"/>
                <w:lang w:val="es-HN"/>
              </w:rPr>
              <w:t>Denunciar ante el BCIE utilizando el Canal de Reportes u otro mecanismo de denuncia disponible para el BCIE</w:t>
            </w:r>
            <w:r w:rsidRPr="00F11F4F">
              <w:rPr>
                <w:rStyle w:val="Refdenotaalpie"/>
                <w:rFonts w:ascii="Arial" w:hAnsi="Arial" w:cs="Arial"/>
                <w:sz w:val="22"/>
                <w:szCs w:val="22"/>
                <w:lang w:val="es-HN"/>
              </w:rPr>
              <w:t xml:space="preserve"> </w:t>
            </w:r>
            <w:r w:rsidRPr="00F11F4F">
              <w:rPr>
                <w:rFonts w:ascii="Arial" w:hAnsi="Arial" w:cs="Arial"/>
                <w:sz w:val="22"/>
                <w:szCs w:val="22"/>
                <w:lang w:val="es-HN"/>
              </w:rPr>
              <w:t xml:space="preserve"> todo acto   sospechoso de constituir una Práctica Prohibida del cual tenga conocimiento o sea informado. </w:t>
            </w:r>
          </w:p>
          <w:p w14:paraId="42D8A423" w14:textId="77777777" w:rsidR="00310E73" w:rsidRPr="00F11F4F" w:rsidRDefault="00310E73" w:rsidP="00C00B1F">
            <w:pPr>
              <w:spacing w:before="100" w:after="100"/>
              <w:ind w:left="-105"/>
              <w:rPr>
                <w:rFonts w:ascii="Arial" w:hAnsi="Arial" w:cs="Arial"/>
                <w:sz w:val="22"/>
                <w:szCs w:val="22"/>
                <w:lang w:val="es-HN"/>
              </w:rPr>
            </w:pPr>
            <w:r w:rsidRPr="00F11F4F">
              <w:rPr>
                <w:rFonts w:ascii="Arial" w:hAnsi="Arial" w:cs="Arial"/>
                <w:sz w:val="22"/>
                <w:szCs w:val="22"/>
                <w:lang w:val="es-HN"/>
              </w:rPr>
              <w:lastRenderedPageBreak/>
              <w:t xml:space="preserve">Conforme a las mejores prácticas y para establecer un marco de referencia en su operatividad, se entienden cómo Prácticas Prohibidas: </w:t>
            </w:r>
          </w:p>
          <w:p w14:paraId="0C1D9D1F" w14:textId="77777777" w:rsidR="00310E73" w:rsidRPr="00F11F4F" w:rsidRDefault="00310E73" w:rsidP="0071608E">
            <w:pPr>
              <w:pStyle w:val="Prrafodelista"/>
              <w:numPr>
                <w:ilvl w:val="0"/>
                <w:numId w:val="25"/>
              </w:numPr>
              <w:spacing w:before="100" w:after="100"/>
              <w:ind w:left="248" w:hanging="180"/>
              <w:rPr>
                <w:rFonts w:ascii="Arial" w:hAnsi="Arial" w:cs="Arial"/>
                <w:sz w:val="22"/>
                <w:szCs w:val="22"/>
                <w:lang w:val="es-HN"/>
              </w:rPr>
            </w:pPr>
            <w:r w:rsidRPr="00F11F4F">
              <w:rPr>
                <w:rFonts w:ascii="Arial" w:hAnsi="Arial" w:cs="Arial"/>
                <w:sz w:val="22"/>
                <w:szCs w:val="22"/>
                <w:lang w:val="es-HN"/>
              </w:rPr>
              <w:t>Práctica Corruptiva: Consiste en ofrecer, dar, recibir o solicitar, de manera directa o indirecta, algo de valor para influenciar indebidamente las acciones de otra parte.</w:t>
            </w:r>
          </w:p>
          <w:p w14:paraId="67216FE6" w14:textId="77777777" w:rsidR="00310E73" w:rsidRPr="00F11F4F" w:rsidRDefault="00310E73" w:rsidP="0071608E">
            <w:pPr>
              <w:pStyle w:val="Prrafodelista"/>
              <w:numPr>
                <w:ilvl w:val="0"/>
                <w:numId w:val="25"/>
              </w:numPr>
              <w:spacing w:before="100" w:after="100"/>
              <w:ind w:left="248" w:hanging="180"/>
              <w:rPr>
                <w:rFonts w:ascii="Arial" w:hAnsi="Arial" w:cs="Arial"/>
                <w:sz w:val="22"/>
                <w:szCs w:val="22"/>
                <w:lang w:val="es-HN"/>
              </w:rPr>
            </w:pPr>
            <w:r w:rsidRPr="00F11F4F">
              <w:rPr>
                <w:rFonts w:ascii="Arial" w:hAnsi="Arial" w:cs="Arial"/>
                <w:sz w:val="22"/>
                <w:szCs w:val="22"/>
                <w:lang w:val="es-HN"/>
              </w:rPr>
              <w:t>Práctica Coercitiva: Consiste en perjudicar o causar daño, o amenazar con perjudicar o causar daño, de manera directa o indirecta, a cualquier parte o a sus bienes para influenciar en forma indebida las acciones de una parte.</w:t>
            </w:r>
          </w:p>
          <w:p w14:paraId="08CEA8E5" w14:textId="77777777" w:rsidR="00310E73" w:rsidRPr="00F11F4F" w:rsidRDefault="00310E73" w:rsidP="0071608E">
            <w:pPr>
              <w:pStyle w:val="Prrafodelista"/>
              <w:numPr>
                <w:ilvl w:val="0"/>
                <w:numId w:val="25"/>
              </w:numPr>
              <w:spacing w:before="100" w:after="100"/>
              <w:ind w:left="248" w:hanging="180"/>
              <w:rPr>
                <w:rFonts w:ascii="Arial" w:hAnsi="Arial" w:cs="Arial"/>
                <w:sz w:val="22"/>
                <w:szCs w:val="22"/>
                <w:lang w:val="es-HN"/>
              </w:rPr>
            </w:pPr>
            <w:r w:rsidRPr="00F11F4F">
              <w:rPr>
                <w:rFonts w:ascii="Arial" w:hAnsi="Arial" w:cs="Arial"/>
                <w:sz w:val="22"/>
                <w:szCs w:val="22"/>
                <w:lang w:val="es-HN"/>
              </w:rPr>
              <w:t>Práctica Fraudulenta: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w:t>
            </w:r>
          </w:p>
          <w:p w14:paraId="7B32009A" w14:textId="77777777" w:rsidR="00310E73" w:rsidRPr="00F11F4F" w:rsidRDefault="00310E73" w:rsidP="0071608E">
            <w:pPr>
              <w:pStyle w:val="Prrafodelista"/>
              <w:numPr>
                <w:ilvl w:val="0"/>
                <w:numId w:val="25"/>
              </w:numPr>
              <w:spacing w:before="100" w:after="100"/>
              <w:ind w:left="248" w:hanging="180"/>
              <w:rPr>
                <w:rFonts w:ascii="Arial" w:hAnsi="Arial" w:cs="Arial"/>
                <w:sz w:val="22"/>
                <w:szCs w:val="22"/>
                <w:lang w:val="es-HN"/>
              </w:rPr>
            </w:pPr>
            <w:r w:rsidRPr="00F11F4F">
              <w:rPr>
                <w:rFonts w:ascii="Arial" w:hAnsi="Arial" w:cs="Arial"/>
                <w:sz w:val="22"/>
                <w:szCs w:val="22"/>
                <w:lang w:val="es-HN"/>
              </w:rPr>
              <w:t>Práctica Colusoria: Acuerdo realizado entre dos o más partes con la intención de alcanzar un propósito indebido o influenciar indebidamente las acciones de otra parte.</w:t>
            </w:r>
          </w:p>
          <w:p w14:paraId="484E029D" w14:textId="77777777" w:rsidR="00310E73" w:rsidRPr="00F11F4F" w:rsidRDefault="00310E73" w:rsidP="0071608E">
            <w:pPr>
              <w:pStyle w:val="Prrafodelista"/>
              <w:numPr>
                <w:ilvl w:val="0"/>
                <w:numId w:val="25"/>
              </w:numPr>
              <w:spacing w:before="100" w:after="100"/>
              <w:ind w:left="248" w:hanging="180"/>
              <w:rPr>
                <w:rFonts w:ascii="Arial" w:hAnsi="Arial" w:cs="Arial"/>
                <w:sz w:val="22"/>
                <w:szCs w:val="22"/>
                <w:lang w:val="es-HN"/>
              </w:rPr>
            </w:pPr>
            <w:r w:rsidRPr="00F11F4F">
              <w:rPr>
                <w:rFonts w:ascii="Arial" w:hAnsi="Arial" w:cs="Arial"/>
                <w:sz w:val="22"/>
                <w:szCs w:val="22"/>
                <w:lang w:val="es-HN"/>
              </w:rPr>
              <w:t>Práctica Obstructiva: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cualesquiera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73C725D0" w14:textId="77777777" w:rsidR="00310E73" w:rsidRPr="00F11F4F" w:rsidRDefault="00310E73" w:rsidP="00414269">
            <w:pPr>
              <w:spacing w:before="100" w:after="100"/>
              <w:ind w:left="-105"/>
              <w:rPr>
                <w:rFonts w:ascii="Arial" w:hAnsi="Arial" w:cs="Arial"/>
                <w:sz w:val="22"/>
                <w:szCs w:val="22"/>
                <w:lang w:val="es-HN"/>
              </w:rPr>
            </w:pPr>
            <w:r w:rsidRPr="00F11F4F">
              <w:rPr>
                <w:rFonts w:ascii="Arial" w:hAnsi="Arial" w:cs="Arial"/>
                <w:sz w:val="22"/>
                <w:szCs w:val="22"/>
                <w:lang w:val="es-HN"/>
              </w:rPr>
              <w:t>Ante denuncias recibidas en el canal de reportes u otros medios aceptables al BCIE, relacionado a Prácticas Prohibidas ocurridas durante los procesos de adquisición de Bienes, Obras, Servicios y Consultorías, así como durante la ejecución de un contrato resultante de dichos procesos en el marco de una operación financiada con recursos del BCIE, este procederá conforme con sus políticas internas relacionadas con el tema.</w:t>
            </w:r>
          </w:p>
          <w:p w14:paraId="3A02822A" w14:textId="77777777" w:rsidR="00310E73" w:rsidRPr="00F11F4F" w:rsidRDefault="00310E73" w:rsidP="00414269">
            <w:pPr>
              <w:spacing w:before="120" w:after="120"/>
              <w:ind w:left="-105"/>
              <w:rPr>
                <w:rFonts w:ascii="Arial" w:hAnsi="Arial" w:cs="Arial"/>
                <w:sz w:val="22"/>
                <w:szCs w:val="22"/>
                <w:lang w:val="es-HN"/>
              </w:rPr>
            </w:pPr>
            <w:r w:rsidRPr="00F11F4F">
              <w:rPr>
                <w:rFonts w:ascii="Arial" w:hAnsi="Arial" w:cs="Arial"/>
                <w:sz w:val="22"/>
                <w:szCs w:val="22"/>
                <w:lang w:val="es-HN"/>
              </w:rPr>
              <w:t xml:space="preserve">Previo a determinar la existencia de una Práctica Prohibida, el BCIE se reserva el derecho de ejecutar los procedimientos de auditoría e investigación. </w:t>
            </w:r>
          </w:p>
          <w:p w14:paraId="0D486ACA" w14:textId="77777777" w:rsidR="00310E73" w:rsidRPr="00F11F4F" w:rsidRDefault="00310E73" w:rsidP="00414269">
            <w:pPr>
              <w:spacing w:before="120" w:after="120"/>
              <w:ind w:left="-105"/>
              <w:rPr>
                <w:rFonts w:ascii="Arial" w:hAnsi="Arial" w:cs="Arial"/>
                <w:sz w:val="22"/>
                <w:szCs w:val="22"/>
              </w:rPr>
            </w:pPr>
            <w:r w:rsidRPr="00F11F4F">
              <w:rPr>
                <w:rFonts w:ascii="Arial" w:hAnsi="Arial" w:cs="Arial"/>
                <w:sz w:val="22"/>
                <w:szCs w:val="22"/>
              </w:rPr>
              <w:t xml:space="preserve">El derecho de ejecutar los procedimientos de auditoría e investigación establecido en el párrafo anterior se refiere al acceso irrestricto del BCIE o sus representantes debidamente autorizados para visitar o inspeccionar las oficinas o instalaciones físicas, utilizadas en relación con los procesos de adquisición o los </w:t>
            </w:r>
            <w:r w:rsidRPr="00F11F4F">
              <w:rPr>
                <w:rFonts w:ascii="Arial" w:hAnsi="Arial" w:cs="Arial"/>
                <w:sz w:val="22"/>
                <w:szCs w:val="22"/>
              </w:rPr>
              <w:lastRenderedPageBreak/>
              <w:t>proyectos financiados con fondos propios del BCIE o administrados por éste. Asimismo, la realización de entrevistas y el acceso a los archivos físicos y digitales relacionados con dichos procesos de adquisiciones, proyectos u operaciones, debiendo prestar toda la colaboración y asistencia que fuese necesaria, a efectos que se ejecuten adecuadamente las actividades previstas, a discreción del Banco</w:t>
            </w:r>
          </w:p>
          <w:p w14:paraId="2E357F95" w14:textId="77777777" w:rsidR="00310E73" w:rsidRPr="00F11F4F" w:rsidRDefault="00310E73" w:rsidP="00414269">
            <w:pPr>
              <w:spacing w:before="120" w:after="120"/>
              <w:ind w:left="-105"/>
              <w:rPr>
                <w:rFonts w:ascii="Arial" w:hAnsi="Arial" w:cs="Arial"/>
                <w:sz w:val="22"/>
                <w:szCs w:val="22"/>
                <w:lang w:val="es-HN"/>
              </w:rPr>
            </w:pPr>
            <w:r w:rsidRPr="00F11F4F">
              <w:rPr>
                <w:rFonts w:ascii="Arial" w:hAnsi="Arial" w:cs="Arial"/>
                <w:sz w:val="22"/>
                <w:szCs w:val="22"/>
                <w:lang w:val="es-HN"/>
              </w:rPr>
              <w:t xml:space="preserve">Cuando se determine la existencia de una Práctica Prohibida, el BCIE emitirá una o varias de las acciones y/o recomendaciones que se enumeran a continuación, sin que las mismas sean limitativas: </w:t>
            </w:r>
          </w:p>
          <w:p w14:paraId="556C3372"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 xml:space="preserve">Remisión del caso correspondiente a las autoridades locales competentes, </w:t>
            </w:r>
          </w:p>
          <w:p w14:paraId="32FE7EB9"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Emisión de una amonestación por escrito.</w:t>
            </w:r>
          </w:p>
          <w:p w14:paraId="68503EAB"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Adopción de medidas para mitigar los riesgos identificados.</w:t>
            </w:r>
          </w:p>
          <w:p w14:paraId="6981208D"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Suspensión de desembolsos.</w:t>
            </w:r>
          </w:p>
          <w:p w14:paraId="19CAB9C9"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Desobligación de recursos.</w:t>
            </w:r>
          </w:p>
          <w:p w14:paraId="11461177"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Solicitar el pago anticipado de los recursos.</w:t>
            </w:r>
          </w:p>
          <w:p w14:paraId="4818B39C"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Cancelar el negocio o la relación contractual.</w:t>
            </w:r>
          </w:p>
          <w:p w14:paraId="76AF360B"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Suspensión de los procesos de adquisición, o de ejecución de los contratos, independientemente del estado en que se encuentren</w:t>
            </w:r>
          </w:p>
          <w:p w14:paraId="3AB9440D"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Solicitud de garantías adicionales.</w:t>
            </w:r>
          </w:p>
          <w:p w14:paraId="70746A88"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 xml:space="preserve">Ejecución de fianzas o garantías. </w:t>
            </w:r>
          </w:p>
          <w:p w14:paraId="3D27CC02" w14:textId="77777777" w:rsidR="00310E73" w:rsidRPr="00F11F4F" w:rsidRDefault="00310E73" w:rsidP="0071608E">
            <w:pPr>
              <w:pStyle w:val="Prrafodelista"/>
              <w:numPr>
                <w:ilvl w:val="0"/>
                <w:numId w:val="18"/>
              </w:numPr>
              <w:spacing w:before="100" w:after="100"/>
              <w:ind w:left="248" w:hanging="358"/>
              <w:rPr>
                <w:rFonts w:ascii="Arial" w:hAnsi="Arial" w:cs="Arial"/>
                <w:sz w:val="22"/>
                <w:szCs w:val="22"/>
                <w:lang w:val="es-HN"/>
              </w:rPr>
            </w:pPr>
            <w:r w:rsidRPr="00F11F4F">
              <w:rPr>
                <w:rFonts w:ascii="Arial" w:hAnsi="Arial" w:cs="Arial"/>
                <w:sz w:val="22"/>
                <w:szCs w:val="22"/>
                <w:lang w:val="es-HN"/>
              </w:rPr>
              <w:t>Solicitar el reembolso de los gastos o costos vinculados con las actividades e investigaciones efectuadas en relación con la comisión de Prácticas Prohibidas</w:t>
            </w:r>
          </w:p>
          <w:p w14:paraId="3ACA3215" w14:textId="77777777" w:rsidR="00310E73" w:rsidRPr="00F11F4F" w:rsidRDefault="00310E73" w:rsidP="00707CDB">
            <w:pPr>
              <w:spacing w:before="100" w:after="100"/>
              <w:ind w:left="-110"/>
              <w:rPr>
                <w:rFonts w:ascii="Arial" w:hAnsi="Arial" w:cs="Arial"/>
                <w:sz w:val="22"/>
                <w:szCs w:val="22"/>
                <w:lang w:val="es-HN"/>
              </w:rPr>
            </w:pPr>
            <w:r w:rsidRPr="00F11F4F">
              <w:rPr>
                <w:rFonts w:ascii="Arial" w:hAnsi="Arial" w:cs="Arial"/>
                <w:sz w:val="22"/>
                <w:szCs w:val="22"/>
                <w:lang w:val="es-HN"/>
              </w:rPr>
              <w:t>Las acciones y/o recomendaciones emitidas por el BCIE serán de observancia y cumplimiento obligatorio.</w:t>
            </w:r>
          </w:p>
          <w:p w14:paraId="79F022CC" w14:textId="77777777" w:rsidR="00310E73" w:rsidRPr="00F11F4F" w:rsidRDefault="00310E73" w:rsidP="00C00B1F">
            <w:pPr>
              <w:spacing w:before="100" w:after="100"/>
              <w:ind w:left="-108"/>
              <w:rPr>
                <w:rFonts w:ascii="Arial" w:hAnsi="Arial" w:cs="Arial"/>
                <w:sz w:val="22"/>
                <w:szCs w:val="22"/>
                <w:lang w:val="es-HN"/>
              </w:rPr>
            </w:pPr>
            <w:r w:rsidRPr="00F11F4F">
              <w:rPr>
                <w:rFonts w:ascii="Arial" w:hAnsi="Arial" w:cs="Arial"/>
                <w:sz w:val="22"/>
                <w:szCs w:val="22"/>
                <w:lang w:val="es-HN"/>
              </w:rPr>
              <w:t>El BCIE se reserva en todo caso, y sin perjuicio de las sanciones que impongan las autoridades del país del Prestatario/Beneficiario, el derecho a solicitar la suspensión de los procesos de contratación o de la ejecución del o de los contratos resultantes de aquellos, independientemente del estado en que se encuentren. Si el BCIE solicitara la suspensión de los procedimientos de contratación o de la ejecución del o de los contratos y esto no ocurriera, se reserva el derecho de no financiar el o los contratos resultantes de esos procedimientos.</w:t>
            </w:r>
          </w:p>
          <w:p w14:paraId="0C73DDC7" w14:textId="77777777" w:rsidR="00310E73" w:rsidRPr="00F11F4F" w:rsidRDefault="00310E73" w:rsidP="00A02F93">
            <w:pPr>
              <w:pStyle w:val="Header1-Clauses"/>
              <w:numPr>
                <w:ilvl w:val="0"/>
                <w:numId w:val="0"/>
              </w:numPr>
              <w:spacing w:before="100" w:after="100"/>
              <w:ind w:left="-108"/>
              <w:jc w:val="both"/>
              <w:rPr>
                <w:rFonts w:ascii="Arial" w:hAnsi="Arial" w:cs="Arial"/>
                <w:b w:val="0"/>
                <w:sz w:val="22"/>
                <w:szCs w:val="22"/>
                <w:lang w:val="es-HN"/>
              </w:rPr>
            </w:pPr>
            <w:r w:rsidRPr="00F11F4F">
              <w:rPr>
                <w:rFonts w:ascii="Arial" w:hAnsi="Arial" w:cs="Arial"/>
                <w:b w:val="0"/>
                <w:sz w:val="22"/>
                <w:szCs w:val="22"/>
                <w:lang w:val="es-HN"/>
              </w:rPr>
              <w:t>Derivado del proceso de investigación, el BCIE podrá incorporar a personas naturales o jurídicas en la Lista de Contrapartes Prohibidas u otra lista de inelegibilidad del BCIE que, para tal efecto haya instituido.</w:t>
            </w:r>
          </w:p>
        </w:tc>
      </w:tr>
      <w:tr w:rsidR="00FB78CE" w:rsidRPr="00A33F6B" w14:paraId="55CB7342" w14:textId="77777777" w:rsidTr="00205125">
        <w:trPr>
          <w:trHeight w:val="20"/>
        </w:trPr>
        <w:tc>
          <w:tcPr>
            <w:tcW w:w="1980" w:type="dxa"/>
            <w:vMerge w:val="restart"/>
          </w:tcPr>
          <w:p w14:paraId="00A6C8C6" w14:textId="77777777" w:rsidR="00FB78CE" w:rsidRPr="00F11F4F" w:rsidRDefault="00FB78CE" w:rsidP="007F1D84">
            <w:pPr>
              <w:pStyle w:val="IAO2"/>
            </w:pPr>
            <w:bookmarkStart w:id="56" w:name="_Toc74048177"/>
            <w:bookmarkStart w:id="57" w:name="_Toc74518421"/>
            <w:bookmarkStart w:id="58" w:name="_Toc74519145"/>
            <w:bookmarkStart w:id="59" w:name="_Toc74519961"/>
            <w:bookmarkStart w:id="60" w:name="_Toc74781335"/>
            <w:bookmarkStart w:id="61" w:name="_Toc74894085"/>
            <w:r w:rsidRPr="00F11F4F">
              <w:lastRenderedPageBreak/>
              <w:t>5. Oferentes elegibles.</w:t>
            </w:r>
            <w:bookmarkEnd w:id="56"/>
            <w:bookmarkEnd w:id="57"/>
            <w:bookmarkEnd w:id="58"/>
            <w:bookmarkEnd w:id="59"/>
            <w:bookmarkEnd w:id="60"/>
            <w:bookmarkEnd w:id="61"/>
          </w:p>
          <w:p w14:paraId="1970FBB8" w14:textId="77777777" w:rsidR="00FB78CE" w:rsidRPr="00F11F4F" w:rsidRDefault="00FB78CE" w:rsidP="007F1D84">
            <w:pPr>
              <w:pStyle w:val="IAO2"/>
            </w:pPr>
          </w:p>
        </w:tc>
        <w:tc>
          <w:tcPr>
            <w:tcW w:w="720" w:type="dxa"/>
            <w:tcBorders>
              <w:right w:val="nil"/>
            </w:tcBorders>
          </w:tcPr>
          <w:p w14:paraId="1E7586A2" w14:textId="77777777" w:rsidR="00FB78CE" w:rsidRPr="00F11F4F" w:rsidRDefault="00FB78CE" w:rsidP="009F239C">
            <w:pPr>
              <w:pStyle w:val="Header2-SubClauses"/>
              <w:tabs>
                <w:tab w:val="clear" w:pos="619"/>
              </w:tabs>
              <w:spacing w:before="100" w:after="100"/>
              <w:ind w:left="-110" w:hanging="1"/>
              <w:jc w:val="center"/>
              <w:rPr>
                <w:rFonts w:ascii="Arial" w:hAnsi="Arial" w:cs="Arial"/>
                <w:sz w:val="22"/>
                <w:szCs w:val="22"/>
                <w:lang w:val="es-ES"/>
              </w:rPr>
            </w:pPr>
            <w:r w:rsidRPr="00F11F4F">
              <w:rPr>
                <w:rFonts w:ascii="Arial" w:hAnsi="Arial" w:cs="Arial"/>
                <w:sz w:val="22"/>
                <w:szCs w:val="22"/>
                <w:lang w:val="es-ES"/>
              </w:rPr>
              <w:t>5.1</w:t>
            </w:r>
          </w:p>
        </w:tc>
        <w:tc>
          <w:tcPr>
            <w:tcW w:w="6660" w:type="dxa"/>
            <w:tcBorders>
              <w:left w:val="nil"/>
            </w:tcBorders>
          </w:tcPr>
          <w:p w14:paraId="1DBAAA17" w14:textId="77777777" w:rsidR="00FB78CE" w:rsidRPr="00F11F4F" w:rsidRDefault="00FB78CE" w:rsidP="00C00B1F">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Un oferente y todas las partes que constituyen el oferente, los bienes y servicios conexos que provean podrán ser originarios de países miembros y no miembros del Banco. </w:t>
            </w:r>
          </w:p>
          <w:p w14:paraId="1D1BFD27" w14:textId="77777777" w:rsidR="00FB78CE" w:rsidRPr="00F11F4F" w:rsidRDefault="00FB78CE" w:rsidP="00C00B1F">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Será restringida la participación en los procesos de adquisición cuando así lo determine la fuente de financiamiento a utilizar por el BCIE, restricción que quedará claramente definida en los </w:t>
            </w:r>
            <w:r w:rsidRPr="00F11F4F">
              <w:rPr>
                <w:rFonts w:ascii="Arial" w:hAnsi="Arial" w:cs="Arial"/>
                <w:b/>
                <w:bCs/>
                <w:sz w:val="22"/>
                <w:szCs w:val="22"/>
                <w:lang w:val="es-ES"/>
              </w:rPr>
              <w:t>DDL</w:t>
            </w:r>
            <w:r w:rsidRPr="00F11F4F">
              <w:rPr>
                <w:rFonts w:ascii="Arial" w:hAnsi="Arial" w:cs="Arial"/>
                <w:sz w:val="22"/>
                <w:szCs w:val="22"/>
                <w:lang w:val="es-ES"/>
              </w:rPr>
              <w:t xml:space="preserve">. </w:t>
            </w:r>
          </w:p>
        </w:tc>
      </w:tr>
      <w:tr w:rsidR="00FB78CE" w:rsidRPr="00A33F6B" w14:paraId="34BFE6E0" w14:textId="77777777" w:rsidTr="00205125">
        <w:trPr>
          <w:trHeight w:val="1169"/>
        </w:trPr>
        <w:tc>
          <w:tcPr>
            <w:tcW w:w="1980" w:type="dxa"/>
            <w:vMerge/>
          </w:tcPr>
          <w:p w14:paraId="79118201" w14:textId="77777777" w:rsidR="00FB78CE" w:rsidRPr="00F11F4F"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2FB54C69" w14:textId="77777777" w:rsidR="00FB78CE" w:rsidRPr="00F11F4F"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F11F4F">
              <w:rPr>
                <w:rFonts w:ascii="Arial" w:hAnsi="Arial" w:cs="Arial"/>
                <w:sz w:val="22"/>
                <w:szCs w:val="22"/>
                <w:lang w:val="es-ES"/>
              </w:rPr>
              <w:t>5.2</w:t>
            </w:r>
          </w:p>
        </w:tc>
        <w:tc>
          <w:tcPr>
            <w:tcW w:w="6660" w:type="dxa"/>
            <w:tcBorders>
              <w:left w:val="nil"/>
            </w:tcBorders>
          </w:tcPr>
          <w:p w14:paraId="59412F49" w14:textId="77777777" w:rsidR="00FB78CE" w:rsidRPr="00F11F4F" w:rsidRDefault="00FB78CE" w:rsidP="007C78A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Los países miembros del Banco son: Guatemala, El Salvador, Honduras, Nicaragua, Costa Rica, Panamá, República Dominicana, Belice, México, China (Taiwán), Argentina, Colombia, España, Cuba y Corea  </w:t>
            </w:r>
          </w:p>
        </w:tc>
      </w:tr>
      <w:tr w:rsidR="00FB78CE" w:rsidRPr="00A33F6B" w14:paraId="09C38331" w14:textId="77777777" w:rsidTr="00205125">
        <w:trPr>
          <w:trHeight w:val="620"/>
        </w:trPr>
        <w:tc>
          <w:tcPr>
            <w:tcW w:w="1980" w:type="dxa"/>
            <w:vMerge/>
          </w:tcPr>
          <w:p w14:paraId="4108F3AB" w14:textId="77777777" w:rsidR="00FB78CE" w:rsidRPr="00F11F4F"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0F78CE3A" w14:textId="77777777" w:rsidR="00FB78CE" w:rsidRPr="00F11F4F"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F11F4F">
              <w:rPr>
                <w:rFonts w:ascii="Arial" w:hAnsi="Arial" w:cs="Arial"/>
                <w:sz w:val="22"/>
                <w:szCs w:val="22"/>
                <w:lang w:val="es-ES"/>
              </w:rPr>
              <w:t>5.3</w:t>
            </w:r>
          </w:p>
        </w:tc>
        <w:tc>
          <w:tcPr>
            <w:tcW w:w="6660" w:type="dxa"/>
            <w:tcBorders>
              <w:left w:val="nil"/>
            </w:tcBorders>
          </w:tcPr>
          <w:p w14:paraId="288C3826" w14:textId="77777777" w:rsidR="00FB78CE" w:rsidRPr="00F11F4F" w:rsidRDefault="00FB78CE" w:rsidP="007C78AA">
            <w:pPr>
              <w:pStyle w:val="i"/>
              <w:spacing w:before="100" w:after="100"/>
              <w:ind w:left="-108"/>
              <w:rPr>
                <w:rFonts w:ascii="Arial" w:hAnsi="Arial" w:cs="Arial"/>
                <w:sz w:val="22"/>
                <w:szCs w:val="22"/>
                <w:lang w:val="es-HN"/>
              </w:rPr>
            </w:pPr>
            <w:r w:rsidRPr="00F11F4F">
              <w:rPr>
                <w:rFonts w:ascii="Arial" w:hAnsi="Arial" w:cs="Arial"/>
                <w:sz w:val="22"/>
                <w:szCs w:val="22"/>
                <w:lang w:val="es-HN"/>
              </w:rPr>
              <w:t>No podrán ser adjudicatarios o sujetos de ampliaciones de contratos con financiamiento total o parcial del BCIE o de fondos administrados por este, las personas jurídicas o naturales que tengan una de las siguientes condiciones:</w:t>
            </w:r>
          </w:p>
          <w:p w14:paraId="2652E2AC" w14:textId="77777777" w:rsidR="00FB78CE" w:rsidRPr="00F11F4F" w:rsidRDefault="00FB78CE" w:rsidP="0071608E">
            <w:pPr>
              <w:pStyle w:val="i"/>
              <w:numPr>
                <w:ilvl w:val="0"/>
                <w:numId w:val="19"/>
              </w:numPr>
              <w:spacing w:before="100" w:after="100"/>
              <w:ind w:left="248" w:hanging="356"/>
              <w:rPr>
                <w:rFonts w:ascii="Arial" w:hAnsi="Arial" w:cs="Arial"/>
                <w:sz w:val="22"/>
                <w:szCs w:val="22"/>
                <w:lang w:val="es-HN"/>
              </w:rPr>
            </w:pPr>
            <w:r w:rsidRPr="00F11F4F">
              <w:rPr>
                <w:rFonts w:ascii="Arial" w:hAnsi="Arial" w:cs="Arial"/>
                <w:sz w:val="22"/>
                <w:szCs w:val="22"/>
                <w:lang w:val="es-HN"/>
              </w:rPr>
              <w:t>Se encuentren incluidos en la Lista de Contrapartes Prohibidas del BCIE u otra lista de inelegibilidad del BCIE.</w:t>
            </w:r>
          </w:p>
          <w:p w14:paraId="54CEA44B" w14:textId="77777777" w:rsidR="00FB78CE" w:rsidRPr="00F11F4F" w:rsidRDefault="00FB78CE" w:rsidP="0071608E">
            <w:pPr>
              <w:pStyle w:val="i"/>
              <w:numPr>
                <w:ilvl w:val="0"/>
                <w:numId w:val="19"/>
              </w:numPr>
              <w:spacing w:before="100" w:after="100"/>
              <w:ind w:left="248" w:hanging="356"/>
              <w:rPr>
                <w:rFonts w:ascii="Arial" w:hAnsi="Arial" w:cs="Arial"/>
                <w:sz w:val="22"/>
                <w:szCs w:val="22"/>
                <w:lang w:val="es-ES"/>
              </w:rPr>
            </w:pPr>
            <w:r w:rsidRPr="00F11F4F">
              <w:rPr>
                <w:rFonts w:ascii="Arial" w:hAnsi="Arial" w:cs="Arial"/>
                <w:sz w:val="22"/>
                <w:szCs w:val="22"/>
                <w:lang w:val="es-HN"/>
              </w:rPr>
              <w:t xml:space="preserve">Hayan sido inhabilitados o declarados por una entidad como inelegibles o sancionados para la obtención de recursos o la adjudicación de contratos financiados por organizaciones reconocidas por el BCIE para tal fin. </w:t>
            </w:r>
          </w:p>
          <w:p w14:paraId="1681B9D9" w14:textId="77777777" w:rsidR="00FB78CE" w:rsidRPr="00F11F4F" w:rsidRDefault="00FB78CE" w:rsidP="0071608E">
            <w:pPr>
              <w:pStyle w:val="i"/>
              <w:numPr>
                <w:ilvl w:val="0"/>
                <w:numId w:val="19"/>
              </w:numPr>
              <w:spacing w:before="100" w:after="100"/>
              <w:ind w:left="248" w:hanging="356"/>
              <w:rPr>
                <w:rFonts w:ascii="Arial" w:hAnsi="Arial" w:cs="Arial"/>
                <w:sz w:val="22"/>
                <w:szCs w:val="22"/>
                <w:lang w:val="es-ES"/>
              </w:rPr>
            </w:pPr>
            <w:r w:rsidRPr="00F11F4F">
              <w:rPr>
                <w:rFonts w:ascii="Arial" w:eastAsia="Calibri" w:hAnsi="Arial" w:cs="Arial"/>
                <w:sz w:val="22"/>
                <w:szCs w:val="22"/>
                <w:lang w:val="es-HN"/>
              </w:rPr>
              <w:t>Declarados culpables mediante sentencia firme de delitos o sanciones vinculadas con Prácticas Prohibidas por parte de la autoridad competente, mientras se encuentre vigente la sanción.</w:t>
            </w:r>
          </w:p>
        </w:tc>
      </w:tr>
      <w:tr w:rsidR="00FB78CE" w:rsidRPr="00A33F6B" w14:paraId="02B0FCF2" w14:textId="77777777" w:rsidTr="00205125">
        <w:trPr>
          <w:trHeight w:val="20"/>
        </w:trPr>
        <w:tc>
          <w:tcPr>
            <w:tcW w:w="1980" w:type="dxa"/>
            <w:vMerge/>
          </w:tcPr>
          <w:p w14:paraId="2C8C9B9C" w14:textId="77777777" w:rsidR="00FB78CE" w:rsidRPr="00F11F4F" w:rsidRDefault="00FB78CE" w:rsidP="007C78AA">
            <w:pPr>
              <w:pStyle w:val="i"/>
              <w:spacing w:before="100" w:after="100"/>
              <w:outlineLvl w:val="2"/>
              <w:rPr>
                <w:rFonts w:ascii="Arial" w:hAnsi="Arial" w:cs="Arial"/>
                <w:b/>
                <w:sz w:val="22"/>
                <w:szCs w:val="22"/>
                <w:lang w:val="es-ES"/>
              </w:rPr>
            </w:pPr>
          </w:p>
        </w:tc>
        <w:tc>
          <w:tcPr>
            <w:tcW w:w="720" w:type="dxa"/>
            <w:tcBorders>
              <w:right w:val="nil"/>
            </w:tcBorders>
          </w:tcPr>
          <w:p w14:paraId="293A7AFA" w14:textId="77777777" w:rsidR="00FB78CE" w:rsidRPr="00F11F4F" w:rsidRDefault="00FB78CE" w:rsidP="007C78AA">
            <w:pPr>
              <w:pStyle w:val="Header2-SubClauses"/>
              <w:tabs>
                <w:tab w:val="clear" w:pos="619"/>
              </w:tabs>
              <w:spacing w:before="100" w:after="100"/>
              <w:ind w:left="-110" w:hanging="1"/>
              <w:jc w:val="center"/>
              <w:rPr>
                <w:rFonts w:ascii="Arial" w:hAnsi="Arial" w:cs="Arial"/>
                <w:sz w:val="22"/>
                <w:szCs w:val="22"/>
                <w:lang w:val="es-ES"/>
              </w:rPr>
            </w:pPr>
            <w:r w:rsidRPr="00F11F4F">
              <w:rPr>
                <w:rFonts w:ascii="Arial" w:hAnsi="Arial" w:cs="Arial"/>
                <w:sz w:val="22"/>
                <w:szCs w:val="22"/>
                <w:lang w:val="es-ES"/>
              </w:rPr>
              <w:t>5.4</w:t>
            </w:r>
          </w:p>
        </w:tc>
        <w:tc>
          <w:tcPr>
            <w:tcW w:w="6660" w:type="dxa"/>
            <w:tcBorders>
              <w:left w:val="nil"/>
            </w:tcBorders>
          </w:tcPr>
          <w:p w14:paraId="438C915A" w14:textId="77777777" w:rsidR="00FB78CE" w:rsidRPr="00F11F4F" w:rsidRDefault="00FB78CE" w:rsidP="00CA0DD0">
            <w:pPr>
              <w:pStyle w:val="Sub-ClauseText"/>
              <w:spacing w:before="0" w:after="200"/>
              <w:ind w:left="-110"/>
              <w:rPr>
                <w:rFonts w:ascii="Arial" w:hAnsi="Arial" w:cs="Arial"/>
                <w:sz w:val="22"/>
                <w:szCs w:val="22"/>
                <w:lang w:val="es-ES"/>
              </w:rPr>
            </w:pPr>
            <w:r w:rsidRPr="00F11F4F">
              <w:rPr>
                <w:rFonts w:ascii="Arial" w:hAnsi="Arial" w:cs="Arial"/>
                <w:bCs/>
                <w:iCs/>
                <w:spacing w:val="-2"/>
                <w:sz w:val="22"/>
                <w:szCs w:val="22"/>
                <w:lang w:val="es-ES"/>
              </w:rPr>
              <w:t xml:space="preserve">Los oferentes al igual que bienes suministrados en virtud del contrato no serán elegibles cuando en cumplimiento de una decisión del Consejo de Seguridad de las Naciones Unidas adoptada en virtud del Capítulo VII de la Carta de las Naciones Unidas, el país del Prestatario prohíba toda importación de bienes o contratación de obras o servicios de ese país, o todo pago a cualquier país, persona o entidad en ese país. </w:t>
            </w:r>
          </w:p>
        </w:tc>
      </w:tr>
      <w:tr w:rsidR="000445F0" w:rsidRPr="000445F0" w14:paraId="6BDF6D84" w14:textId="77777777" w:rsidTr="00205125">
        <w:trPr>
          <w:trHeight w:val="20"/>
        </w:trPr>
        <w:tc>
          <w:tcPr>
            <w:tcW w:w="1980" w:type="dxa"/>
            <w:vMerge/>
          </w:tcPr>
          <w:p w14:paraId="5AE47BD2" w14:textId="77777777" w:rsidR="00FB78CE" w:rsidRPr="00F11F4F" w:rsidRDefault="00FB78CE" w:rsidP="00CE5DDA">
            <w:pPr>
              <w:pStyle w:val="i"/>
              <w:spacing w:before="100" w:after="100"/>
              <w:rPr>
                <w:rFonts w:ascii="Arial" w:hAnsi="Arial" w:cs="Arial"/>
                <w:b/>
                <w:sz w:val="22"/>
                <w:szCs w:val="22"/>
                <w:lang w:val="es-ES"/>
              </w:rPr>
            </w:pPr>
          </w:p>
        </w:tc>
        <w:tc>
          <w:tcPr>
            <w:tcW w:w="720" w:type="dxa"/>
            <w:tcBorders>
              <w:right w:val="nil"/>
            </w:tcBorders>
          </w:tcPr>
          <w:p w14:paraId="0A6F1211" w14:textId="77777777" w:rsidR="00FB78CE" w:rsidRPr="00F11F4F" w:rsidRDefault="00FB78CE" w:rsidP="00CE5DDA">
            <w:pPr>
              <w:pStyle w:val="Header2-SubClauses"/>
              <w:tabs>
                <w:tab w:val="clear" w:pos="619"/>
              </w:tabs>
              <w:spacing w:before="100" w:after="100"/>
              <w:ind w:left="-110"/>
              <w:jc w:val="center"/>
              <w:rPr>
                <w:rFonts w:ascii="Arial" w:hAnsi="Arial" w:cs="Arial"/>
                <w:sz w:val="22"/>
                <w:szCs w:val="22"/>
                <w:lang w:val="es-ES"/>
              </w:rPr>
            </w:pPr>
            <w:r w:rsidRPr="00F11F4F">
              <w:rPr>
                <w:rFonts w:ascii="Arial" w:hAnsi="Arial" w:cs="Arial"/>
                <w:sz w:val="22"/>
                <w:szCs w:val="22"/>
                <w:lang w:val="es-ES"/>
              </w:rPr>
              <w:t>5.5</w:t>
            </w:r>
          </w:p>
        </w:tc>
        <w:tc>
          <w:tcPr>
            <w:tcW w:w="6660" w:type="dxa"/>
            <w:tcBorders>
              <w:left w:val="nil"/>
            </w:tcBorders>
          </w:tcPr>
          <w:p w14:paraId="6214DA6F" w14:textId="77777777" w:rsidR="00FB78CE" w:rsidRPr="00F11F4F" w:rsidRDefault="00FB78CE" w:rsidP="008165CC">
            <w:pPr>
              <w:autoSpaceDE w:val="0"/>
              <w:autoSpaceDN w:val="0"/>
              <w:adjustRightInd w:val="0"/>
              <w:spacing w:before="60" w:after="60"/>
              <w:ind w:left="-110"/>
              <w:rPr>
                <w:rFonts w:ascii="Arial" w:hAnsi="Arial" w:cs="Arial"/>
                <w:sz w:val="22"/>
                <w:szCs w:val="22"/>
                <w:lang w:val="es-HN"/>
              </w:rPr>
            </w:pPr>
            <w:r w:rsidRPr="00F11F4F">
              <w:rPr>
                <w:rFonts w:ascii="Arial" w:hAnsi="Arial" w:cs="Arial"/>
                <w:sz w:val="22"/>
                <w:szCs w:val="22"/>
                <w:lang w:val="es-HN"/>
              </w:rPr>
              <w:t>No podrán participar directa o indirectamente en el suministro de bienes, ejecución de obras, servicios o consultorías para operaciones financiadas por el BCIE las siguientes personas:</w:t>
            </w:r>
          </w:p>
          <w:p w14:paraId="550CC05F" w14:textId="77777777" w:rsidR="00FB78CE" w:rsidRPr="00F11F4F" w:rsidRDefault="00FB78CE" w:rsidP="0071608E">
            <w:pPr>
              <w:pStyle w:val="Prrafodelista"/>
              <w:numPr>
                <w:ilvl w:val="0"/>
                <w:numId w:val="31"/>
              </w:numPr>
              <w:autoSpaceDE w:val="0"/>
              <w:autoSpaceDN w:val="0"/>
              <w:adjustRightInd w:val="0"/>
              <w:spacing w:before="60" w:after="60" w:line="259" w:lineRule="auto"/>
              <w:ind w:left="248" w:hanging="358"/>
              <w:rPr>
                <w:rFonts w:ascii="Arial" w:hAnsi="Arial" w:cs="Arial"/>
                <w:sz w:val="22"/>
                <w:szCs w:val="22"/>
                <w:lang w:val="es-HN"/>
              </w:rPr>
            </w:pPr>
            <w:r w:rsidRPr="00F11F4F">
              <w:rPr>
                <w:rFonts w:ascii="Arial" w:hAnsi="Arial" w:cs="Arial"/>
                <w:sz w:val="22"/>
                <w:szCs w:val="22"/>
                <w:lang w:val="es-HN"/>
              </w:rPr>
              <w:t xml:space="preserve">En los financiamientos al sector público, los particulares con nexos familiares o de negocio con los representantes del Prestatario/Beneficiario, su organismo ejecutor o de un receptor de una parte del financiamiento del Banco, o con cualquier otra persona que represente o actúe en nombre del Prestatario/Beneficiario hasta el </w:t>
            </w:r>
            <w:r w:rsidR="00B450DA" w:rsidRPr="00F11F4F">
              <w:rPr>
                <w:rFonts w:ascii="Arial" w:hAnsi="Arial" w:cs="Arial"/>
                <w:sz w:val="22"/>
                <w:szCs w:val="22"/>
                <w:lang w:val="es-HN"/>
              </w:rPr>
              <w:t xml:space="preserve">segundo </w:t>
            </w:r>
            <w:r w:rsidRPr="00F11F4F">
              <w:rPr>
                <w:rFonts w:ascii="Arial" w:hAnsi="Arial" w:cs="Arial"/>
                <w:sz w:val="22"/>
                <w:szCs w:val="22"/>
                <w:lang w:val="es-HN"/>
              </w:rPr>
              <w:t>grado de consanguinidad o segundo de afinidad, inclusive y que participe directa o indirectamente en:</w:t>
            </w:r>
          </w:p>
          <w:p w14:paraId="653CD380" w14:textId="77777777" w:rsidR="00FB78CE" w:rsidRPr="00F11F4F" w:rsidRDefault="00FB78CE" w:rsidP="0071608E">
            <w:pPr>
              <w:pStyle w:val="Prrafodelista"/>
              <w:numPr>
                <w:ilvl w:val="1"/>
                <w:numId w:val="32"/>
              </w:numPr>
              <w:autoSpaceDE w:val="0"/>
              <w:autoSpaceDN w:val="0"/>
              <w:adjustRightInd w:val="0"/>
              <w:spacing w:before="60" w:after="60"/>
              <w:ind w:left="790" w:hanging="110"/>
              <w:rPr>
                <w:rFonts w:ascii="Arial" w:hAnsi="Arial" w:cs="Arial"/>
                <w:sz w:val="22"/>
                <w:szCs w:val="22"/>
              </w:rPr>
            </w:pPr>
            <w:r w:rsidRPr="00F11F4F">
              <w:rPr>
                <w:rFonts w:ascii="Arial" w:hAnsi="Arial" w:cs="Arial"/>
                <w:sz w:val="22"/>
                <w:szCs w:val="22"/>
              </w:rPr>
              <w:lastRenderedPageBreak/>
              <w:t xml:space="preserve">La preparación de las especificaciones técnicas o una actividad equivalente; </w:t>
            </w:r>
          </w:p>
          <w:p w14:paraId="698AD148" w14:textId="77777777" w:rsidR="00FB78CE" w:rsidRPr="00F11F4F" w:rsidRDefault="00FB78CE" w:rsidP="0071608E">
            <w:pPr>
              <w:pStyle w:val="Prrafodelista"/>
              <w:numPr>
                <w:ilvl w:val="1"/>
                <w:numId w:val="32"/>
              </w:numPr>
              <w:autoSpaceDE w:val="0"/>
              <w:autoSpaceDN w:val="0"/>
              <w:adjustRightInd w:val="0"/>
              <w:spacing w:before="60" w:after="60"/>
              <w:ind w:left="790" w:hanging="110"/>
              <w:rPr>
                <w:rFonts w:ascii="Arial" w:hAnsi="Arial" w:cs="Arial"/>
                <w:sz w:val="22"/>
                <w:szCs w:val="22"/>
              </w:rPr>
            </w:pPr>
            <w:r w:rsidRPr="00F11F4F">
              <w:rPr>
                <w:rFonts w:ascii="Arial" w:hAnsi="Arial" w:cs="Arial"/>
                <w:sz w:val="22"/>
                <w:szCs w:val="22"/>
              </w:rPr>
              <w:t xml:space="preserve">El proceso de licitación del contrato; o </w:t>
            </w:r>
          </w:p>
          <w:p w14:paraId="0D8B93B2" w14:textId="77777777" w:rsidR="00FB78CE" w:rsidRPr="00F11F4F" w:rsidRDefault="00FB78CE" w:rsidP="0071608E">
            <w:pPr>
              <w:pStyle w:val="Prrafodelista"/>
              <w:numPr>
                <w:ilvl w:val="1"/>
                <w:numId w:val="32"/>
              </w:numPr>
              <w:autoSpaceDE w:val="0"/>
              <w:autoSpaceDN w:val="0"/>
              <w:adjustRightInd w:val="0"/>
              <w:spacing w:before="60" w:after="60"/>
              <w:ind w:left="790" w:hanging="110"/>
              <w:rPr>
                <w:rFonts w:ascii="Arial" w:hAnsi="Arial" w:cs="Arial"/>
                <w:sz w:val="22"/>
                <w:szCs w:val="22"/>
              </w:rPr>
            </w:pPr>
            <w:r w:rsidRPr="00F11F4F">
              <w:rPr>
                <w:rFonts w:ascii="Arial" w:hAnsi="Arial" w:cs="Arial"/>
                <w:sz w:val="22"/>
                <w:szCs w:val="22"/>
              </w:rPr>
              <w:t>La supervisión del contrato,</w:t>
            </w:r>
          </w:p>
          <w:p w14:paraId="3EADD3A7" w14:textId="77777777" w:rsidR="00FB78CE" w:rsidRPr="00F11F4F" w:rsidRDefault="00FB78CE" w:rsidP="002937C2">
            <w:pPr>
              <w:autoSpaceDE w:val="0"/>
              <w:autoSpaceDN w:val="0"/>
              <w:adjustRightInd w:val="0"/>
              <w:spacing w:before="60" w:after="60"/>
              <w:ind w:left="430" w:hanging="110"/>
              <w:rPr>
                <w:rFonts w:ascii="Arial" w:hAnsi="Arial" w:cs="Arial"/>
                <w:sz w:val="22"/>
                <w:szCs w:val="22"/>
              </w:rPr>
            </w:pPr>
            <w:r w:rsidRPr="00F11F4F">
              <w:rPr>
                <w:rFonts w:ascii="Arial" w:hAnsi="Arial" w:cs="Arial"/>
                <w:sz w:val="22"/>
                <w:szCs w:val="22"/>
              </w:rPr>
              <w:t xml:space="preserve">Esta prohibición no aplicará cuando: </w:t>
            </w:r>
          </w:p>
          <w:p w14:paraId="2D9D8C27" w14:textId="77777777" w:rsidR="00FB78CE" w:rsidRPr="00F11F4F" w:rsidRDefault="00FB78CE" w:rsidP="0071608E">
            <w:pPr>
              <w:pStyle w:val="Prrafodelista"/>
              <w:numPr>
                <w:ilvl w:val="0"/>
                <w:numId w:val="33"/>
              </w:numPr>
              <w:autoSpaceDE w:val="0"/>
              <w:autoSpaceDN w:val="0"/>
              <w:adjustRightInd w:val="0"/>
              <w:spacing w:before="60" w:after="60"/>
              <w:ind w:left="790" w:hanging="110"/>
              <w:rPr>
                <w:rFonts w:ascii="Arial" w:hAnsi="Arial" w:cs="Arial"/>
                <w:sz w:val="22"/>
                <w:szCs w:val="22"/>
                <w:lang w:val="es-HN"/>
              </w:rPr>
            </w:pPr>
            <w:r w:rsidRPr="00F11F4F">
              <w:rPr>
                <w:rFonts w:ascii="Arial" w:hAnsi="Arial" w:cs="Arial"/>
                <w:sz w:val="22"/>
                <w:szCs w:val="22"/>
                <w:lang w:val="es-HN"/>
              </w:rPr>
              <w:t>Las personas allí nombradas acrediten que se dedican, en forma habitual, a desarrollar la actividad empresarial objeto de la contratación respectiva, al menos desde dos (2) años antes de la publicación de la licitación</w:t>
            </w:r>
            <w:r w:rsidR="00C93625" w:rsidRPr="00F11F4F">
              <w:rPr>
                <w:rFonts w:ascii="Arial" w:hAnsi="Arial" w:cs="Arial"/>
                <w:sz w:val="22"/>
                <w:szCs w:val="22"/>
                <w:lang w:val="es-HN"/>
              </w:rPr>
              <w:t>.</w:t>
            </w:r>
            <w:r w:rsidRPr="00F11F4F">
              <w:rPr>
                <w:rFonts w:ascii="Arial" w:hAnsi="Arial" w:cs="Arial"/>
                <w:sz w:val="22"/>
                <w:szCs w:val="22"/>
                <w:lang w:val="es-HN"/>
              </w:rPr>
              <w:t xml:space="preserve"> </w:t>
            </w:r>
          </w:p>
          <w:p w14:paraId="10168FE2" w14:textId="77777777" w:rsidR="00FB78CE" w:rsidRPr="00F11F4F" w:rsidRDefault="00FB78CE" w:rsidP="0071608E">
            <w:pPr>
              <w:pStyle w:val="Prrafodelista"/>
              <w:numPr>
                <w:ilvl w:val="0"/>
                <w:numId w:val="33"/>
              </w:numPr>
              <w:autoSpaceDE w:val="0"/>
              <w:autoSpaceDN w:val="0"/>
              <w:adjustRightInd w:val="0"/>
              <w:spacing w:before="60" w:after="60"/>
              <w:ind w:left="790" w:hanging="110"/>
              <w:rPr>
                <w:rFonts w:ascii="Arial" w:hAnsi="Arial" w:cs="Arial"/>
                <w:sz w:val="22"/>
                <w:szCs w:val="22"/>
                <w:lang w:val="es-HN"/>
              </w:rPr>
            </w:pPr>
            <w:r w:rsidRPr="00F11F4F">
              <w:rPr>
                <w:rFonts w:ascii="Arial" w:hAnsi="Arial" w:cs="Arial"/>
                <w:sz w:val="22"/>
                <w:szCs w:val="22"/>
                <w:lang w:val="es-HN"/>
              </w:rPr>
              <w:t>Los costos involucrados sean acordes con el mercado</w:t>
            </w:r>
            <w:r w:rsidR="00C93625" w:rsidRPr="00F11F4F">
              <w:rPr>
                <w:rFonts w:ascii="Arial" w:hAnsi="Arial" w:cs="Arial"/>
                <w:sz w:val="22"/>
                <w:szCs w:val="22"/>
                <w:lang w:val="es-HN"/>
              </w:rPr>
              <w:t xml:space="preserve"> y que;</w:t>
            </w:r>
          </w:p>
          <w:p w14:paraId="4C9A912A" w14:textId="77777777" w:rsidR="00C93625" w:rsidRPr="00F11F4F" w:rsidRDefault="00C93625" w:rsidP="0071608E">
            <w:pPr>
              <w:pStyle w:val="Prrafodelista"/>
              <w:numPr>
                <w:ilvl w:val="0"/>
                <w:numId w:val="33"/>
              </w:numPr>
              <w:autoSpaceDE w:val="0"/>
              <w:autoSpaceDN w:val="0"/>
              <w:adjustRightInd w:val="0"/>
              <w:spacing w:before="60" w:after="60"/>
              <w:ind w:left="790" w:hanging="110"/>
              <w:rPr>
                <w:rFonts w:ascii="Arial" w:hAnsi="Arial" w:cs="Arial"/>
                <w:sz w:val="22"/>
                <w:szCs w:val="22"/>
                <w:lang w:val="es-HN"/>
              </w:rPr>
            </w:pPr>
            <w:r w:rsidRPr="00F11F4F">
              <w:rPr>
                <w:rFonts w:ascii="Arial" w:hAnsi="Arial" w:cs="Arial"/>
                <w:sz w:val="22"/>
                <w:szCs w:val="22"/>
              </w:rPr>
              <w:t>El conflicto derivado de esa relación se haya divulgado y resuelto de manera aceptable para el Banco a lo largo del proceso de selección y de la ejecución del contrato</w:t>
            </w:r>
          </w:p>
          <w:p w14:paraId="60BFDDB6" w14:textId="77777777" w:rsidR="00FB78CE" w:rsidRPr="00F11F4F" w:rsidRDefault="00FB78CE" w:rsidP="0071608E">
            <w:pPr>
              <w:pStyle w:val="Prrafodelista"/>
              <w:numPr>
                <w:ilvl w:val="0"/>
                <w:numId w:val="31"/>
              </w:numPr>
              <w:autoSpaceDE w:val="0"/>
              <w:autoSpaceDN w:val="0"/>
              <w:adjustRightInd w:val="0"/>
              <w:spacing w:before="100" w:after="100" w:line="259" w:lineRule="auto"/>
              <w:ind w:left="248" w:right="34" w:hanging="358"/>
              <w:jc w:val="left"/>
              <w:rPr>
                <w:rFonts w:ascii="Arial" w:hAnsi="Arial" w:cs="Arial"/>
                <w:sz w:val="22"/>
                <w:szCs w:val="22"/>
                <w:lang w:val="es-HN"/>
              </w:rPr>
            </w:pPr>
            <w:r w:rsidRPr="00F11F4F">
              <w:rPr>
                <w:rFonts w:ascii="Arial" w:hAnsi="Arial" w:cs="Arial"/>
                <w:sz w:val="22"/>
                <w:szCs w:val="22"/>
                <w:lang w:val="es-HN"/>
              </w:rPr>
              <w:t xml:space="preserve">En las licitaciones de bienes, obras o servicios: Todo oferente (incluidos sus accionistas, directores ejecutivos y personal clave) contratada por el Prestatario / Beneficiario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w:t>
            </w:r>
          </w:p>
          <w:p w14:paraId="3BA966B5" w14:textId="77777777" w:rsidR="00FB78CE" w:rsidRPr="00F11F4F" w:rsidRDefault="00FB78CE" w:rsidP="0071608E">
            <w:pPr>
              <w:pStyle w:val="Prrafodelista"/>
              <w:numPr>
                <w:ilvl w:val="0"/>
                <w:numId w:val="31"/>
              </w:numPr>
              <w:autoSpaceDE w:val="0"/>
              <w:autoSpaceDN w:val="0"/>
              <w:adjustRightInd w:val="0"/>
              <w:spacing w:before="100" w:after="100" w:line="259" w:lineRule="auto"/>
              <w:ind w:left="248" w:right="34" w:hanging="358"/>
              <w:jc w:val="left"/>
              <w:rPr>
                <w:rFonts w:ascii="Arial" w:hAnsi="Arial" w:cs="Arial"/>
                <w:sz w:val="22"/>
                <w:szCs w:val="22"/>
                <w:lang w:val="es-HN"/>
              </w:rPr>
            </w:pPr>
            <w:r w:rsidRPr="00F11F4F">
              <w:rPr>
                <w:rFonts w:ascii="Arial" w:hAnsi="Arial" w:cs="Arial"/>
                <w:sz w:val="22"/>
                <w:szCs w:val="22"/>
                <w:lang w:val="es-ES"/>
              </w:rPr>
              <w:t>Todos aquellos que presentan más de una oferta en un proceso de licitación o concurso, excepto si se trata de ofertas alternativas permitidas en los documentos base del respectivo proceso. Esto no limita la participación de subcontratistas en más de una oferta</w:t>
            </w:r>
          </w:p>
          <w:p w14:paraId="6CD6148E" w14:textId="77777777" w:rsidR="00FB78CE" w:rsidRPr="00F11F4F" w:rsidRDefault="00FB78CE" w:rsidP="0071608E">
            <w:pPr>
              <w:pStyle w:val="Prrafodelista"/>
              <w:numPr>
                <w:ilvl w:val="0"/>
                <w:numId w:val="31"/>
              </w:numPr>
              <w:autoSpaceDE w:val="0"/>
              <w:autoSpaceDN w:val="0"/>
              <w:adjustRightInd w:val="0"/>
              <w:spacing w:before="100" w:after="100" w:line="259" w:lineRule="auto"/>
              <w:ind w:left="248" w:right="34" w:hanging="358"/>
              <w:jc w:val="left"/>
              <w:rPr>
                <w:rFonts w:ascii="Arial" w:eastAsiaTheme="minorHAnsi" w:hAnsi="Arial" w:cs="Arial"/>
                <w:sz w:val="22"/>
                <w:szCs w:val="22"/>
                <w:lang w:val="es-HN"/>
              </w:rPr>
            </w:pPr>
            <w:r w:rsidRPr="00F11F4F">
              <w:rPr>
                <w:rFonts w:ascii="Arial" w:hAnsi="Arial" w:cs="Arial"/>
                <w:sz w:val="22"/>
                <w:szCs w:val="22"/>
              </w:rPr>
              <w:t xml:space="preserve">Cualquier situación adicional de conflicto de interés que se liste en los </w:t>
            </w:r>
            <w:r w:rsidRPr="00F11F4F">
              <w:rPr>
                <w:rFonts w:ascii="Arial" w:hAnsi="Arial" w:cs="Arial"/>
                <w:b/>
                <w:bCs/>
                <w:sz w:val="22"/>
                <w:szCs w:val="22"/>
              </w:rPr>
              <w:t>DDL</w:t>
            </w:r>
          </w:p>
        </w:tc>
      </w:tr>
      <w:tr w:rsidR="00FB78CE" w:rsidRPr="00A33F6B" w14:paraId="6313DA1D" w14:textId="77777777" w:rsidTr="00205125">
        <w:trPr>
          <w:trHeight w:val="20"/>
        </w:trPr>
        <w:tc>
          <w:tcPr>
            <w:tcW w:w="1980" w:type="dxa"/>
            <w:vMerge/>
          </w:tcPr>
          <w:p w14:paraId="75794A60" w14:textId="77777777" w:rsidR="00FB78CE" w:rsidRPr="00F11F4F" w:rsidRDefault="00FB78CE" w:rsidP="00CE5DDA">
            <w:pPr>
              <w:pStyle w:val="i"/>
              <w:spacing w:before="100" w:after="100"/>
              <w:rPr>
                <w:rFonts w:ascii="Arial" w:hAnsi="Arial" w:cs="Arial"/>
                <w:b/>
                <w:sz w:val="22"/>
                <w:szCs w:val="22"/>
                <w:lang w:val="es-ES"/>
              </w:rPr>
            </w:pPr>
          </w:p>
        </w:tc>
        <w:tc>
          <w:tcPr>
            <w:tcW w:w="720" w:type="dxa"/>
            <w:tcBorders>
              <w:right w:val="nil"/>
            </w:tcBorders>
          </w:tcPr>
          <w:p w14:paraId="49273498" w14:textId="77777777" w:rsidR="00FB78CE" w:rsidRPr="00F11F4F" w:rsidRDefault="00FB78CE" w:rsidP="005E4EDC">
            <w:pPr>
              <w:pStyle w:val="Header2-SubClauses"/>
              <w:tabs>
                <w:tab w:val="clear" w:pos="619"/>
              </w:tabs>
              <w:spacing w:before="100" w:after="100"/>
              <w:ind w:left="-110"/>
              <w:jc w:val="center"/>
              <w:rPr>
                <w:rFonts w:ascii="Arial" w:hAnsi="Arial" w:cs="Arial"/>
                <w:sz w:val="22"/>
                <w:szCs w:val="22"/>
                <w:lang w:val="es-ES"/>
              </w:rPr>
            </w:pPr>
            <w:r w:rsidRPr="00F11F4F">
              <w:rPr>
                <w:rFonts w:ascii="Arial" w:hAnsi="Arial" w:cs="Arial"/>
                <w:sz w:val="22"/>
                <w:szCs w:val="22"/>
                <w:lang w:val="es-ES"/>
              </w:rPr>
              <w:t>5.6</w:t>
            </w:r>
          </w:p>
          <w:p w14:paraId="00197E78" w14:textId="77777777" w:rsidR="00FB78CE" w:rsidRPr="00F11F4F" w:rsidRDefault="00FB78CE" w:rsidP="005E4EDC">
            <w:pPr>
              <w:pStyle w:val="Header2-SubClauses"/>
              <w:tabs>
                <w:tab w:val="clear" w:pos="619"/>
              </w:tabs>
              <w:spacing w:before="100" w:after="100"/>
              <w:ind w:left="-110"/>
              <w:jc w:val="center"/>
              <w:rPr>
                <w:rFonts w:ascii="Arial" w:hAnsi="Arial" w:cs="Arial"/>
                <w:sz w:val="22"/>
                <w:szCs w:val="22"/>
                <w:lang w:val="es-ES"/>
              </w:rPr>
            </w:pPr>
          </w:p>
          <w:p w14:paraId="6D156D80" w14:textId="77777777" w:rsidR="00FB78CE" w:rsidRPr="00F11F4F" w:rsidRDefault="00FB78CE" w:rsidP="005E4EDC">
            <w:pPr>
              <w:pStyle w:val="Header2-SubClauses"/>
              <w:tabs>
                <w:tab w:val="clear" w:pos="619"/>
              </w:tabs>
              <w:spacing w:before="100" w:after="100"/>
              <w:ind w:left="-110"/>
              <w:jc w:val="center"/>
              <w:rPr>
                <w:rFonts w:ascii="Arial" w:hAnsi="Arial" w:cs="Arial"/>
                <w:sz w:val="22"/>
                <w:szCs w:val="22"/>
                <w:lang w:val="es-ES"/>
              </w:rPr>
            </w:pPr>
          </w:p>
        </w:tc>
        <w:tc>
          <w:tcPr>
            <w:tcW w:w="6660" w:type="dxa"/>
            <w:tcBorders>
              <w:left w:val="nil"/>
            </w:tcBorders>
          </w:tcPr>
          <w:p w14:paraId="6A16B246" w14:textId="77777777" w:rsidR="00FB78CE" w:rsidRPr="00F11F4F" w:rsidRDefault="00FB78CE" w:rsidP="00CC4536">
            <w:pPr>
              <w:pStyle w:val="Sub-ClauseText"/>
              <w:spacing w:before="0" w:after="200"/>
              <w:ind w:left="-110"/>
              <w:rPr>
                <w:rFonts w:ascii="Arial" w:hAnsi="Arial" w:cs="Arial"/>
                <w:color w:val="000000"/>
                <w:sz w:val="22"/>
                <w:szCs w:val="22"/>
                <w:lang w:val="es-ES"/>
              </w:rPr>
            </w:pPr>
            <w:r w:rsidRPr="00F11F4F">
              <w:rPr>
                <w:rFonts w:ascii="Arial" w:hAnsi="Arial" w:cs="Arial"/>
                <w:color w:val="000000"/>
                <w:sz w:val="22"/>
                <w:szCs w:val="22"/>
                <w:lang w:val="es-ES"/>
              </w:rPr>
              <w:t xml:space="preserve">Una empresa que sea oferente (ya sea individualmente o como integrante de una APCA) no podrá participar como oferente o como integrante de una APCA en más de una Oferta, salvo en el caso de Ofertas alternativas permitidas. Tal participación redundará en la descalificación de todas las Ofertas en las que haya estado involucrada la empresa en cuestión. </w:t>
            </w:r>
          </w:p>
          <w:p w14:paraId="03C208C4" w14:textId="77777777" w:rsidR="00FB78CE" w:rsidRPr="00F11F4F" w:rsidRDefault="00FB78CE" w:rsidP="00CC4536">
            <w:pPr>
              <w:pStyle w:val="Sub-ClauseText"/>
              <w:spacing w:before="0" w:after="200"/>
              <w:ind w:left="-110"/>
              <w:rPr>
                <w:rFonts w:ascii="Arial" w:hAnsi="Arial" w:cs="Arial"/>
                <w:color w:val="000000"/>
                <w:sz w:val="22"/>
                <w:szCs w:val="22"/>
                <w:lang w:val="es-ES"/>
              </w:rPr>
            </w:pPr>
            <w:r w:rsidRPr="00F11F4F">
              <w:rPr>
                <w:rFonts w:ascii="Arial" w:hAnsi="Arial" w:cs="Arial"/>
                <w:sz w:val="22"/>
                <w:szCs w:val="22"/>
                <w:lang w:val="es-ES"/>
              </w:rPr>
              <w:t>Una empresa que no es un Oferente ni un miembro de una APCA puede participar como subcontratista en más de una Oferta.</w:t>
            </w:r>
            <w:r w:rsidRPr="00F11F4F">
              <w:rPr>
                <w:rFonts w:ascii="Arial" w:hAnsi="Arial" w:cs="Arial"/>
                <w:color w:val="000000"/>
                <w:sz w:val="22"/>
                <w:szCs w:val="22"/>
                <w:lang w:val="es-ES"/>
              </w:rPr>
              <w:t xml:space="preserve"> </w:t>
            </w:r>
          </w:p>
          <w:p w14:paraId="45D6F8CE" w14:textId="77777777" w:rsidR="00FB78CE" w:rsidRPr="00F11F4F" w:rsidRDefault="00FB78CE" w:rsidP="000445F0">
            <w:pPr>
              <w:pStyle w:val="Sub-ClauseText"/>
              <w:spacing w:before="0" w:after="200"/>
              <w:ind w:left="-110"/>
              <w:rPr>
                <w:rFonts w:ascii="Arial" w:hAnsi="Arial" w:cs="Arial"/>
                <w:sz w:val="22"/>
                <w:szCs w:val="22"/>
                <w:lang w:val="es-ES"/>
              </w:rPr>
            </w:pPr>
            <w:r w:rsidRPr="00F11F4F">
              <w:rPr>
                <w:rFonts w:ascii="Arial" w:hAnsi="Arial" w:cs="Arial"/>
                <w:color w:val="000000"/>
                <w:sz w:val="22"/>
                <w:szCs w:val="22"/>
                <w:lang w:val="es-ES"/>
              </w:rPr>
              <w:t xml:space="preserve">Salvo que se especifique </w:t>
            </w:r>
            <w:r w:rsidRPr="00F11F4F">
              <w:rPr>
                <w:rFonts w:ascii="Arial" w:hAnsi="Arial" w:cs="Arial"/>
                <w:b/>
                <w:color w:val="000000"/>
                <w:sz w:val="22"/>
                <w:szCs w:val="22"/>
                <w:lang w:val="es-ES"/>
              </w:rPr>
              <w:t>en los DDL</w:t>
            </w:r>
            <w:r w:rsidRPr="00F11F4F">
              <w:rPr>
                <w:rFonts w:ascii="Arial" w:hAnsi="Arial" w:cs="Arial"/>
                <w:color w:val="000000"/>
                <w:sz w:val="22"/>
                <w:szCs w:val="22"/>
                <w:lang w:val="es-ES"/>
              </w:rPr>
              <w:t>, no existe límite en el número de miembros de una APCA.</w:t>
            </w:r>
          </w:p>
        </w:tc>
      </w:tr>
      <w:tr w:rsidR="00FB78CE" w:rsidRPr="00A33F6B" w14:paraId="63C1476D" w14:textId="77777777" w:rsidTr="00205125">
        <w:trPr>
          <w:trHeight w:val="20"/>
        </w:trPr>
        <w:tc>
          <w:tcPr>
            <w:tcW w:w="1980" w:type="dxa"/>
            <w:vMerge/>
          </w:tcPr>
          <w:p w14:paraId="0BA37E3A" w14:textId="77777777" w:rsidR="00FB78CE" w:rsidRPr="00F11F4F" w:rsidRDefault="00FB78CE" w:rsidP="00CE5DDA">
            <w:pPr>
              <w:pStyle w:val="i"/>
              <w:spacing w:before="100" w:after="100"/>
              <w:rPr>
                <w:rFonts w:ascii="Arial" w:hAnsi="Arial" w:cs="Arial"/>
                <w:b/>
                <w:sz w:val="22"/>
                <w:szCs w:val="22"/>
                <w:lang w:val="es-ES"/>
              </w:rPr>
            </w:pPr>
          </w:p>
        </w:tc>
        <w:tc>
          <w:tcPr>
            <w:tcW w:w="720" w:type="dxa"/>
            <w:tcBorders>
              <w:right w:val="nil"/>
            </w:tcBorders>
          </w:tcPr>
          <w:p w14:paraId="1A2E3BEF" w14:textId="77777777" w:rsidR="00FB78CE" w:rsidRPr="00F11F4F" w:rsidRDefault="00FB78CE" w:rsidP="00CE5DDA">
            <w:pPr>
              <w:pStyle w:val="Header2-SubClauses"/>
              <w:tabs>
                <w:tab w:val="clear" w:pos="619"/>
              </w:tabs>
              <w:spacing w:before="100" w:after="100"/>
              <w:ind w:left="-110"/>
              <w:jc w:val="center"/>
              <w:rPr>
                <w:rFonts w:ascii="Arial" w:hAnsi="Arial" w:cs="Arial"/>
                <w:sz w:val="22"/>
                <w:szCs w:val="22"/>
                <w:lang w:val="es-ES"/>
              </w:rPr>
            </w:pPr>
            <w:r w:rsidRPr="00F11F4F">
              <w:rPr>
                <w:rFonts w:ascii="Arial" w:hAnsi="Arial" w:cs="Arial"/>
                <w:sz w:val="22"/>
                <w:szCs w:val="22"/>
                <w:lang w:val="es-ES"/>
              </w:rPr>
              <w:t>5.7</w:t>
            </w:r>
          </w:p>
        </w:tc>
        <w:tc>
          <w:tcPr>
            <w:tcW w:w="6660" w:type="dxa"/>
            <w:tcBorders>
              <w:left w:val="nil"/>
            </w:tcBorders>
          </w:tcPr>
          <w:p w14:paraId="7ABDF086" w14:textId="77777777" w:rsidR="00FB78CE" w:rsidRPr="00F11F4F" w:rsidRDefault="00FB78CE" w:rsidP="000949EC">
            <w:pPr>
              <w:pStyle w:val="Sub-ClauseText"/>
              <w:spacing w:before="0" w:after="200"/>
              <w:ind w:left="-110"/>
              <w:rPr>
                <w:rFonts w:ascii="Arial" w:hAnsi="Arial" w:cs="Arial"/>
                <w:color w:val="000000"/>
                <w:sz w:val="22"/>
                <w:szCs w:val="22"/>
                <w:lang w:val="es-ES"/>
              </w:rPr>
            </w:pPr>
            <w:r w:rsidRPr="00F11F4F">
              <w:rPr>
                <w:rFonts w:ascii="Arial" w:hAnsi="Arial" w:cs="Arial"/>
                <w:sz w:val="22"/>
                <w:szCs w:val="22"/>
                <w:lang w:val="es-ES"/>
              </w:rPr>
              <w:t>Un Oferente no debe estar suspendido por el Contratante para presentar ofertas como resultado del incumplimiento con una Declaración de Mantenimiento de la Oferta o la Propuesta.</w:t>
            </w:r>
          </w:p>
        </w:tc>
      </w:tr>
      <w:tr w:rsidR="00FB78CE" w:rsidRPr="00A33F6B" w14:paraId="75BD63F4" w14:textId="77777777" w:rsidTr="00205125">
        <w:trPr>
          <w:trHeight w:val="20"/>
        </w:trPr>
        <w:tc>
          <w:tcPr>
            <w:tcW w:w="1980" w:type="dxa"/>
            <w:vMerge/>
          </w:tcPr>
          <w:p w14:paraId="08DE1F74" w14:textId="77777777" w:rsidR="00FB78CE" w:rsidRPr="00F11F4F" w:rsidRDefault="00FB78CE" w:rsidP="00CE5DDA">
            <w:pPr>
              <w:pStyle w:val="i"/>
              <w:spacing w:before="100" w:after="100"/>
              <w:rPr>
                <w:rFonts w:ascii="Arial" w:hAnsi="Arial" w:cs="Arial"/>
                <w:b/>
                <w:sz w:val="22"/>
                <w:szCs w:val="22"/>
                <w:lang w:val="es-ES"/>
              </w:rPr>
            </w:pPr>
          </w:p>
        </w:tc>
        <w:tc>
          <w:tcPr>
            <w:tcW w:w="720" w:type="dxa"/>
            <w:tcBorders>
              <w:right w:val="nil"/>
            </w:tcBorders>
          </w:tcPr>
          <w:p w14:paraId="4C696C79" w14:textId="77777777" w:rsidR="00FB78CE" w:rsidRPr="00F11F4F" w:rsidRDefault="00FB78CE" w:rsidP="00CE5DDA">
            <w:pPr>
              <w:pStyle w:val="Header2-SubClauses"/>
              <w:tabs>
                <w:tab w:val="clear" w:pos="619"/>
              </w:tabs>
              <w:spacing w:before="100" w:after="100"/>
              <w:ind w:left="-110"/>
              <w:jc w:val="center"/>
              <w:rPr>
                <w:rFonts w:ascii="Arial" w:hAnsi="Arial" w:cs="Arial"/>
                <w:sz w:val="22"/>
                <w:szCs w:val="22"/>
                <w:lang w:val="es-ES"/>
              </w:rPr>
            </w:pPr>
            <w:r w:rsidRPr="00F11F4F">
              <w:rPr>
                <w:rFonts w:ascii="Arial" w:hAnsi="Arial" w:cs="Arial"/>
                <w:sz w:val="22"/>
                <w:szCs w:val="22"/>
                <w:lang w:val="es-ES"/>
              </w:rPr>
              <w:t>5.8</w:t>
            </w:r>
          </w:p>
        </w:tc>
        <w:tc>
          <w:tcPr>
            <w:tcW w:w="6660" w:type="dxa"/>
            <w:tcBorders>
              <w:left w:val="nil"/>
            </w:tcBorders>
          </w:tcPr>
          <w:p w14:paraId="037334CE" w14:textId="77777777" w:rsidR="00FB78CE" w:rsidRPr="00F11F4F" w:rsidRDefault="00FB78CE" w:rsidP="000949EC">
            <w:pPr>
              <w:autoSpaceDE w:val="0"/>
              <w:autoSpaceDN w:val="0"/>
              <w:adjustRightInd w:val="0"/>
              <w:spacing w:before="120" w:after="120"/>
              <w:ind w:left="-110"/>
              <w:rPr>
                <w:rFonts w:ascii="Arial" w:eastAsiaTheme="minorHAnsi" w:hAnsi="Arial" w:cs="Arial"/>
                <w:sz w:val="22"/>
                <w:szCs w:val="22"/>
                <w:lang w:val="es-HN"/>
              </w:rPr>
            </w:pPr>
            <w:r w:rsidRPr="00F11F4F">
              <w:rPr>
                <w:rFonts w:ascii="Arial" w:eastAsiaTheme="minorHAnsi" w:hAnsi="Arial" w:cs="Arial"/>
                <w:sz w:val="22"/>
                <w:szCs w:val="22"/>
                <w:lang w:val="es-HN"/>
              </w:rPr>
              <w:t xml:space="preserve">Los oferentes deberán presentar las pruebas documentales de elegibilidad que el Contratante solicite razonablemente y considere satisfactorias, de conformidad con lo indicado </w:t>
            </w:r>
            <w:r w:rsidR="00AC07F4" w:rsidRPr="00F11F4F">
              <w:rPr>
                <w:rFonts w:ascii="Arial" w:eastAsiaTheme="minorHAnsi" w:hAnsi="Arial" w:cs="Arial"/>
                <w:sz w:val="22"/>
                <w:szCs w:val="22"/>
                <w:lang w:val="es-HN"/>
              </w:rPr>
              <w:t xml:space="preserve">en </w:t>
            </w:r>
            <w:r w:rsidRPr="00F11F4F">
              <w:rPr>
                <w:rFonts w:ascii="Arial" w:eastAsiaTheme="minorHAnsi" w:hAnsi="Arial" w:cs="Arial"/>
                <w:sz w:val="22"/>
                <w:szCs w:val="22"/>
                <w:lang w:val="es-HN"/>
              </w:rPr>
              <w:t>la IAO 12.1</w:t>
            </w:r>
          </w:p>
        </w:tc>
      </w:tr>
      <w:tr w:rsidR="00CE5DDA" w:rsidRPr="00A33F6B" w14:paraId="46F1A411" w14:textId="77777777" w:rsidTr="00205125">
        <w:trPr>
          <w:trHeight w:val="20"/>
        </w:trPr>
        <w:tc>
          <w:tcPr>
            <w:tcW w:w="1980" w:type="dxa"/>
          </w:tcPr>
          <w:p w14:paraId="7DB06C6A" w14:textId="77777777" w:rsidR="00CE5DDA" w:rsidRPr="00F11F4F" w:rsidRDefault="00CE5DDA" w:rsidP="0049753E">
            <w:pPr>
              <w:pStyle w:val="IAO2"/>
            </w:pPr>
            <w:bookmarkStart w:id="62" w:name="_Toc74048178"/>
            <w:bookmarkStart w:id="63" w:name="_Toc74518422"/>
            <w:bookmarkStart w:id="64" w:name="_Toc74519146"/>
            <w:bookmarkStart w:id="65" w:name="_Toc74519962"/>
            <w:bookmarkStart w:id="66" w:name="_Toc74781336"/>
            <w:bookmarkStart w:id="67" w:name="_Toc74894086"/>
            <w:r w:rsidRPr="00F11F4F">
              <w:t xml:space="preserve">6. </w:t>
            </w:r>
            <w:r w:rsidRPr="00DE489C">
              <w:rPr>
                <w:rStyle w:val="IAO2Char"/>
                <w:b/>
                <w:bCs/>
              </w:rPr>
              <w:t>Disposiciones para los oferentes</w:t>
            </w:r>
            <w:bookmarkEnd w:id="62"/>
            <w:bookmarkEnd w:id="63"/>
            <w:bookmarkEnd w:id="64"/>
            <w:bookmarkEnd w:id="65"/>
            <w:bookmarkEnd w:id="66"/>
            <w:bookmarkEnd w:id="67"/>
          </w:p>
        </w:tc>
        <w:tc>
          <w:tcPr>
            <w:tcW w:w="720" w:type="dxa"/>
            <w:tcBorders>
              <w:right w:val="nil"/>
            </w:tcBorders>
          </w:tcPr>
          <w:p w14:paraId="743C2A8C" w14:textId="77777777" w:rsidR="00CE5DDA" w:rsidRPr="00F11F4F" w:rsidRDefault="00CE5DDA" w:rsidP="00CE5DDA">
            <w:pPr>
              <w:pStyle w:val="Header2-SubClauses"/>
              <w:tabs>
                <w:tab w:val="clear" w:pos="619"/>
              </w:tabs>
              <w:spacing w:before="100" w:after="100"/>
              <w:ind w:left="-110"/>
              <w:jc w:val="center"/>
              <w:rPr>
                <w:rFonts w:ascii="Arial" w:hAnsi="Arial" w:cs="Arial"/>
                <w:sz w:val="22"/>
                <w:szCs w:val="22"/>
                <w:lang w:val="es-ES"/>
              </w:rPr>
            </w:pPr>
            <w:r w:rsidRPr="00F11F4F">
              <w:rPr>
                <w:rFonts w:ascii="Arial" w:hAnsi="Arial" w:cs="Arial"/>
                <w:sz w:val="22"/>
                <w:szCs w:val="22"/>
                <w:lang w:val="es-ES"/>
              </w:rPr>
              <w:t>6.1</w:t>
            </w:r>
          </w:p>
          <w:p w14:paraId="4339296E" w14:textId="77777777" w:rsidR="00CE5DDA" w:rsidRPr="00F11F4F" w:rsidRDefault="00CE5DDA" w:rsidP="00CE5DDA">
            <w:pPr>
              <w:pStyle w:val="Header2-SubClauses"/>
              <w:tabs>
                <w:tab w:val="clear" w:pos="619"/>
              </w:tabs>
              <w:spacing w:before="100" w:after="100"/>
              <w:rPr>
                <w:rFonts w:ascii="Arial" w:hAnsi="Arial" w:cs="Arial"/>
                <w:sz w:val="22"/>
                <w:szCs w:val="22"/>
                <w:lang w:val="es-ES"/>
              </w:rPr>
            </w:pPr>
          </w:p>
        </w:tc>
        <w:tc>
          <w:tcPr>
            <w:tcW w:w="6660" w:type="dxa"/>
            <w:tcBorders>
              <w:left w:val="nil"/>
            </w:tcBorders>
          </w:tcPr>
          <w:p w14:paraId="02F74272" w14:textId="77777777" w:rsidR="00CE5DDA" w:rsidRPr="00F11F4F" w:rsidRDefault="00CE5DDA" w:rsidP="00CE5DDA">
            <w:pPr>
              <w:autoSpaceDE w:val="0"/>
              <w:autoSpaceDN w:val="0"/>
              <w:adjustRightInd w:val="0"/>
              <w:spacing w:before="120" w:after="120"/>
              <w:ind w:left="-103"/>
              <w:rPr>
                <w:rFonts w:ascii="Arial" w:eastAsiaTheme="minorHAnsi" w:hAnsi="Arial" w:cs="Arial"/>
                <w:sz w:val="22"/>
                <w:szCs w:val="22"/>
                <w:lang w:val="es-HN"/>
              </w:rPr>
            </w:pPr>
            <w:r w:rsidRPr="00F11F4F">
              <w:rPr>
                <w:rFonts w:ascii="Arial" w:eastAsiaTheme="minorHAnsi" w:hAnsi="Arial" w:cs="Arial"/>
                <w:sz w:val="22"/>
                <w:szCs w:val="22"/>
                <w:lang w:val="es-HN"/>
              </w:rPr>
              <w:t xml:space="preserve">Cuando se seleccione como oferta más conveniente, una oferta presentada por un oferente originario de un país no miembro del BCIE se verificará si existe alguna oferta dentro de un rango de hasta 15% arriba de la oferta seleccionada, presentada por uno o más oferentes originarios de países socios del BCIE. </w:t>
            </w:r>
          </w:p>
          <w:p w14:paraId="62BCCEF4" w14:textId="77777777" w:rsidR="00CE5DDA" w:rsidRPr="00F11F4F" w:rsidRDefault="00CE5DDA" w:rsidP="00CE5DDA">
            <w:pPr>
              <w:autoSpaceDE w:val="0"/>
              <w:autoSpaceDN w:val="0"/>
              <w:adjustRightInd w:val="0"/>
              <w:spacing w:before="120" w:after="120"/>
              <w:ind w:left="-103"/>
              <w:rPr>
                <w:rFonts w:ascii="Arial" w:eastAsiaTheme="minorHAnsi" w:hAnsi="Arial" w:cs="Arial"/>
                <w:sz w:val="22"/>
                <w:szCs w:val="22"/>
                <w:lang w:val="es-HN"/>
              </w:rPr>
            </w:pPr>
            <w:r w:rsidRPr="00F11F4F">
              <w:rPr>
                <w:rFonts w:ascii="Arial" w:eastAsiaTheme="minorHAnsi" w:hAnsi="Arial" w:cs="Arial"/>
                <w:sz w:val="22"/>
                <w:szCs w:val="22"/>
                <w:lang w:val="es-HN"/>
              </w:rPr>
              <w:t>En caso afirmativo, el Contratante dará la posibilidad a la segunda oferta más baja para que iguale su oferta económica a la de la oferta inicialmente seleccionada como la más conveniente, en caso de igualar dicha oferta, ésta será considerada como la oferta más conveniente.</w:t>
            </w:r>
          </w:p>
          <w:p w14:paraId="005C41AF" w14:textId="77777777" w:rsidR="00CE5DDA" w:rsidRPr="00F11F4F" w:rsidRDefault="00CE5DDA" w:rsidP="00CE5DDA">
            <w:pPr>
              <w:autoSpaceDE w:val="0"/>
              <w:autoSpaceDN w:val="0"/>
              <w:adjustRightInd w:val="0"/>
              <w:spacing w:before="120" w:after="120"/>
              <w:ind w:left="-103"/>
              <w:rPr>
                <w:rFonts w:ascii="Arial" w:eastAsiaTheme="minorHAnsi" w:hAnsi="Arial" w:cs="Arial"/>
                <w:sz w:val="22"/>
                <w:szCs w:val="22"/>
                <w:lang w:val="es-HN"/>
              </w:rPr>
            </w:pPr>
            <w:r w:rsidRPr="00F11F4F">
              <w:rPr>
                <w:rFonts w:ascii="Arial" w:eastAsiaTheme="minorHAnsi" w:hAnsi="Arial" w:cs="Arial"/>
                <w:sz w:val="22"/>
                <w:szCs w:val="22"/>
                <w:lang w:val="es-HN"/>
              </w:rPr>
              <w:t>Si la negociación anterior fracasa, el Contratante procederá a efectuar igual negociación con el siguiente oferente que se encuentre en el rango definido y así hasta agotar los oferentes que fueron ubicados en dicho rango.</w:t>
            </w:r>
          </w:p>
          <w:p w14:paraId="6E509549" w14:textId="77777777" w:rsidR="002279AD" w:rsidRPr="00F11F4F" w:rsidRDefault="00CE5DDA" w:rsidP="00CE5DDA">
            <w:pPr>
              <w:autoSpaceDE w:val="0"/>
              <w:autoSpaceDN w:val="0"/>
              <w:adjustRightInd w:val="0"/>
              <w:spacing w:before="120" w:after="120"/>
              <w:ind w:left="-103"/>
              <w:rPr>
                <w:rFonts w:ascii="Arial" w:hAnsi="Arial" w:cs="Arial"/>
                <w:sz w:val="22"/>
                <w:szCs w:val="22"/>
                <w:lang w:val="es-ES"/>
              </w:rPr>
            </w:pPr>
            <w:r w:rsidRPr="00F11F4F">
              <w:rPr>
                <w:rFonts w:ascii="Arial" w:eastAsiaTheme="minorHAnsi" w:hAnsi="Arial" w:cs="Arial"/>
                <w:sz w:val="22"/>
                <w:szCs w:val="22"/>
                <w:lang w:val="es-HN"/>
              </w:rPr>
              <w:t xml:space="preserve">Esta disposición aplicará a las licitaciones internacionales </w:t>
            </w:r>
            <w:r w:rsidRPr="00F11F4F">
              <w:rPr>
                <w:rFonts w:ascii="Arial" w:hAnsi="Arial" w:cs="Arial"/>
                <w:sz w:val="22"/>
                <w:szCs w:val="22"/>
                <w:lang w:val="es-HN"/>
              </w:rPr>
              <w:t xml:space="preserve">exceptuando los casos en que </w:t>
            </w:r>
            <w:r w:rsidRPr="00F11F4F">
              <w:rPr>
                <w:rFonts w:ascii="Arial" w:hAnsi="Arial" w:cs="Arial"/>
                <w:sz w:val="22"/>
                <w:szCs w:val="22"/>
                <w:lang w:val="es-ES"/>
              </w:rPr>
              <w:t xml:space="preserve">exista restricción relacionada al origen de los oferentes, lo cual estará detallado en el numeral </w:t>
            </w:r>
            <w:r w:rsidR="002279AD" w:rsidRPr="00F11F4F">
              <w:rPr>
                <w:rFonts w:ascii="Arial" w:hAnsi="Arial" w:cs="Arial"/>
                <w:sz w:val="22"/>
                <w:szCs w:val="22"/>
                <w:lang w:val="es-ES"/>
              </w:rPr>
              <w:t>5</w:t>
            </w:r>
            <w:r w:rsidRPr="00F11F4F">
              <w:rPr>
                <w:rFonts w:ascii="Arial" w:hAnsi="Arial" w:cs="Arial"/>
                <w:sz w:val="22"/>
                <w:szCs w:val="22"/>
                <w:lang w:val="es-ES"/>
              </w:rPr>
              <w:t xml:space="preserve">.1 de los </w:t>
            </w:r>
            <w:r w:rsidRPr="00F11F4F">
              <w:rPr>
                <w:rFonts w:ascii="Arial" w:hAnsi="Arial" w:cs="Arial"/>
                <w:b/>
                <w:bCs/>
                <w:sz w:val="22"/>
                <w:szCs w:val="22"/>
                <w:lang w:val="es-ES"/>
              </w:rPr>
              <w:t>DDL</w:t>
            </w:r>
            <w:r w:rsidRPr="00F11F4F">
              <w:rPr>
                <w:rFonts w:ascii="Arial" w:hAnsi="Arial" w:cs="Arial"/>
                <w:sz w:val="22"/>
                <w:szCs w:val="22"/>
                <w:lang w:val="es-ES"/>
              </w:rPr>
              <w:t>.</w:t>
            </w:r>
          </w:p>
          <w:p w14:paraId="247C1300" w14:textId="77777777" w:rsidR="00CE5DDA" w:rsidRPr="00F11F4F" w:rsidRDefault="002279AD" w:rsidP="00CE5DDA">
            <w:pPr>
              <w:autoSpaceDE w:val="0"/>
              <w:autoSpaceDN w:val="0"/>
              <w:adjustRightInd w:val="0"/>
              <w:spacing w:before="120" w:after="120"/>
              <w:ind w:left="-103"/>
              <w:rPr>
                <w:rFonts w:ascii="Arial" w:hAnsi="Arial" w:cs="Arial"/>
                <w:sz w:val="22"/>
                <w:szCs w:val="22"/>
                <w:lang w:val="es-ES"/>
              </w:rPr>
            </w:pPr>
            <w:r w:rsidRPr="00F11F4F">
              <w:rPr>
                <w:rFonts w:ascii="Arial" w:eastAsiaTheme="minorHAnsi" w:hAnsi="Arial" w:cs="Arial"/>
                <w:sz w:val="22"/>
                <w:szCs w:val="22"/>
                <w:lang w:val="es-HN"/>
              </w:rPr>
              <w:t>Para efectos de aplicación</w:t>
            </w:r>
            <w:r w:rsidR="008E64D2" w:rsidRPr="00F11F4F">
              <w:rPr>
                <w:rFonts w:ascii="Arial" w:eastAsiaTheme="minorHAnsi" w:hAnsi="Arial" w:cs="Arial"/>
                <w:sz w:val="22"/>
                <w:szCs w:val="22"/>
                <w:lang w:val="es-HN"/>
              </w:rPr>
              <w:t xml:space="preserve"> de esta cláusula</w:t>
            </w:r>
            <w:r w:rsidRPr="00F11F4F">
              <w:rPr>
                <w:rFonts w:ascii="Arial" w:eastAsiaTheme="minorHAnsi" w:hAnsi="Arial" w:cs="Arial"/>
                <w:sz w:val="22"/>
                <w:szCs w:val="22"/>
                <w:lang w:val="es-HN"/>
              </w:rPr>
              <w:t xml:space="preserve">, los países miembros del Banco son los indicados en </w:t>
            </w:r>
            <w:r w:rsidR="008E64D2" w:rsidRPr="00F11F4F">
              <w:rPr>
                <w:rFonts w:ascii="Arial" w:eastAsiaTheme="minorHAnsi" w:hAnsi="Arial" w:cs="Arial"/>
                <w:sz w:val="22"/>
                <w:szCs w:val="22"/>
                <w:lang w:val="es-HN"/>
              </w:rPr>
              <w:t>la IAO 5.2</w:t>
            </w:r>
          </w:p>
        </w:tc>
      </w:tr>
      <w:tr w:rsidR="00CE5DDA" w:rsidRPr="00A33F6B" w14:paraId="2ECDDAAB" w14:textId="77777777" w:rsidTr="00205125">
        <w:tc>
          <w:tcPr>
            <w:tcW w:w="9360" w:type="dxa"/>
            <w:gridSpan w:val="3"/>
            <w:shd w:val="clear" w:color="auto" w:fill="00B050"/>
          </w:tcPr>
          <w:p w14:paraId="3F2FFB70" w14:textId="77777777" w:rsidR="00CE5DDA" w:rsidRPr="00205125" w:rsidRDefault="00CE5DDA" w:rsidP="00701A2C">
            <w:pPr>
              <w:pStyle w:val="IAO1"/>
            </w:pPr>
            <w:bookmarkStart w:id="68" w:name="_Toc365893469"/>
            <w:bookmarkStart w:id="69" w:name="_Toc364779452"/>
            <w:bookmarkStart w:id="70" w:name="_Toc54366867"/>
            <w:bookmarkStart w:id="71" w:name="_Toc74048179"/>
            <w:bookmarkStart w:id="72" w:name="_Toc74518423"/>
            <w:bookmarkStart w:id="73" w:name="_Toc74519147"/>
            <w:bookmarkStart w:id="74" w:name="_Toc74519963"/>
            <w:bookmarkStart w:id="75" w:name="_Toc74781337"/>
            <w:bookmarkStart w:id="76" w:name="_Toc74894087"/>
            <w:r w:rsidRPr="00205125">
              <w:t xml:space="preserve">Documentos </w:t>
            </w:r>
            <w:bookmarkEnd w:id="68"/>
            <w:bookmarkEnd w:id="69"/>
            <w:r w:rsidRPr="00205125">
              <w:t>de Licitación</w:t>
            </w:r>
            <w:bookmarkEnd w:id="70"/>
            <w:bookmarkEnd w:id="71"/>
            <w:bookmarkEnd w:id="72"/>
            <w:bookmarkEnd w:id="73"/>
            <w:bookmarkEnd w:id="74"/>
            <w:bookmarkEnd w:id="75"/>
            <w:bookmarkEnd w:id="76"/>
          </w:p>
        </w:tc>
      </w:tr>
      <w:tr w:rsidR="00CE5DDA" w:rsidRPr="00A33F6B" w14:paraId="6823F191" w14:textId="77777777" w:rsidTr="00205125">
        <w:trPr>
          <w:trHeight w:val="620"/>
        </w:trPr>
        <w:tc>
          <w:tcPr>
            <w:tcW w:w="1980" w:type="dxa"/>
            <w:vMerge w:val="restart"/>
          </w:tcPr>
          <w:p w14:paraId="2A4AA9F0" w14:textId="77777777" w:rsidR="00CE5DDA" w:rsidRPr="00F11F4F" w:rsidRDefault="00622D73" w:rsidP="0049753E">
            <w:pPr>
              <w:pStyle w:val="IAO2"/>
            </w:pPr>
            <w:bookmarkStart w:id="77" w:name="_Toc74048180"/>
            <w:bookmarkStart w:id="78" w:name="_Toc74518424"/>
            <w:bookmarkStart w:id="79" w:name="_Toc74519148"/>
            <w:bookmarkStart w:id="80" w:name="_Toc74519964"/>
            <w:bookmarkStart w:id="81" w:name="_Toc74781338"/>
            <w:bookmarkStart w:id="82" w:name="_Toc74894088"/>
            <w:r w:rsidRPr="00F11F4F">
              <w:t>7</w:t>
            </w:r>
            <w:r w:rsidR="00CE5DDA" w:rsidRPr="00F11F4F">
              <w:t xml:space="preserve">.  </w:t>
            </w:r>
            <w:r w:rsidR="00CE5DDA" w:rsidRPr="00DE489C">
              <w:rPr>
                <w:rStyle w:val="IAO2Char"/>
                <w:b/>
                <w:bCs/>
              </w:rPr>
              <w:t>Secciones de</w:t>
            </w:r>
            <w:r w:rsidR="00EE0FAA" w:rsidRPr="00DE489C">
              <w:rPr>
                <w:rStyle w:val="IAO2Char"/>
                <w:b/>
                <w:bCs/>
              </w:rPr>
              <w:t>l</w:t>
            </w:r>
            <w:r w:rsidR="00CE5DDA" w:rsidRPr="00DE489C">
              <w:rPr>
                <w:rStyle w:val="IAO2Char"/>
                <w:b/>
                <w:bCs/>
              </w:rPr>
              <w:t xml:space="preserve"> DBL</w:t>
            </w:r>
            <w:bookmarkEnd w:id="77"/>
            <w:bookmarkEnd w:id="78"/>
            <w:bookmarkEnd w:id="79"/>
            <w:bookmarkEnd w:id="80"/>
            <w:bookmarkEnd w:id="81"/>
            <w:bookmarkEnd w:id="82"/>
          </w:p>
        </w:tc>
        <w:tc>
          <w:tcPr>
            <w:tcW w:w="720" w:type="dxa"/>
            <w:tcBorders>
              <w:right w:val="nil"/>
            </w:tcBorders>
          </w:tcPr>
          <w:p w14:paraId="0D663189"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7</w:t>
            </w:r>
            <w:r w:rsidR="00CE5DDA" w:rsidRPr="00F11F4F">
              <w:rPr>
                <w:rFonts w:ascii="Arial" w:hAnsi="Arial" w:cs="Arial"/>
                <w:sz w:val="22"/>
                <w:szCs w:val="22"/>
                <w:lang w:val="es-ES"/>
              </w:rPr>
              <w:t>.1</w:t>
            </w:r>
          </w:p>
        </w:tc>
        <w:tc>
          <w:tcPr>
            <w:tcW w:w="6660" w:type="dxa"/>
            <w:tcBorders>
              <w:left w:val="nil"/>
            </w:tcBorders>
          </w:tcPr>
          <w:p w14:paraId="248703FA" w14:textId="77777777" w:rsidR="00CE5DDA" w:rsidRPr="00F11F4F" w:rsidRDefault="00EE0FA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El</w:t>
            </w:r>
            <w:r w:rsidR="00CE5DDA" w:rsidRPr="00F11F4F">
              <w:rPr>
                <w:rFonts w:ascii="Arial" w:hAnsi="Arial" w:cs="Arial"/>
                <w:sz w:val="22"/>
                <w:szCs w:val="22"/>
                <w:lang w:val="es-ES"/>
              </w:rPr>
              <w:t xml:space="preserve"> Documento de Licitación consta de las seis (06) secciones siguientes:</w:t>
            </w:r>
          </w:p>
          <w:p w14:paraId="6AB051EE"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Sección I:    Instrucciones a los oferentes (IAO)</w:t>
            </w:r>
          </w:p>
          <w:p w14:paraId="0943F593"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Sección II:   Datos de la licitación (DDL)</w:t>
            </w:r>
          </w:p>
          <w:p w14:paraId="0F30C147"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Sección III:  Criterios de evaluación</w:t>
            </w:r>
          </w:p>
          <w:p w14:paraId="5C736F19"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Sección IV:  Formularios de la licitación</w:t>
            </w:r>
          </w:p>
          <w:p w14:paraId="5379F5A9"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Sección V:   Especificaciones Técnicas</w:t>
            </w:r>
          </w:p>
          <w:p w14:paraId="08D23D99" w14:textId="77777777" w:rsidR="00CE5DDA" w:rsidRPr="00F11F4F" w:rsidRDefault="00CE5DDA" w:rsidP="00CE5DDA">
            <w:pPr>
              <w:pStyle w:val="i"/>
              <w:spacing w:before="100" w:after="100"/>
              <w:ind w:left="975" w:hanging="1080"/>
              <w:rPr>
                <w:rFonts w:ascii="Arial" w:hAnsi="Arial" w:cs="Arial"/>
                <w:sz w:val="22"/>
                <w:szCs w:val="22"/>
                <w:lang w:val="es-ES"/>
              </w:rPr>
            </w:pPr>
            <w:r w:rsidRPr="00F11F4F">
              <w:rPr>
                <w:rFonts w:ascii="Arial" w:hAnsi="Arial" w:cs="Arial"/>
                <w:sz w:val="22"/>
                <w:szCs w:val="22"/>
                <w:lang w:val="es-ES"/>
              </w:rPr>
              <w:t>Sección VI: Condiciones Generales (CGC), Condiciones Particulares (CPC) y formularios del contrato</w:t>
            </w:r>
          </w:p>
          <w:p w14:paraId="0491CAF6"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Estas secciones deberán leerse en conjunto con las aclaraciones que se publiquen y cualquier enmienda emitida de conformidad con </w:t>
            </w:r>
            <w:r w:rsidR="009E7EF4" w:rsidRPr="00F11F4F">
              <w:rPr>
                <w:rFonts w:ascii="Arial" w:hAnsi="Arial" w:cs="Arial"/>
                <w:sz w:val="22"/>
                <w:szCs w:val="22"/>
                <w:lang w:val="es-ES"/>
              </w:rPr>
              <w:t xml:space="preserve">las </w:t>
            </w:r>
            <w:r w:rsidRPr="00F11F4F">
              <w:rPr>
                <w:rFonts w:ascii="Arial" w:hAnsi="Arial" w:cs="Arial"/>
                <w:sz w:val="22"/>
                <w:szCs w:val="22"/>
                <w:lang w:val="es-ES"/>
              </w:rPr>
              <w:t>IAO</w:t>
            </w:r>
            <w:r w:rsidR="009E7EF4" w:rsidRPr="00F11F4F">
              <w:rPr>
                <w:rFonts w:ascii="Arial" w:hAnsi="Arial" w:cs="Arial"/>
                <w:sz w:val="22"/>
                <w:szCs w:val="22"/>
                <w:lang w:val="es-ES"/>
              </w:rPr>
              <w:t xml:space="preserve"> 9</w:t>
            </w:r>
            <w:r w:rsidRPr="00F11F4F">
              <w:rPr>
                <w:rFonts w:ascii="Arial" w:hAnsi="Arial" w:cs="Arial"/>
                <w:sz w:val="22"/>
                <w:szCs w:val="22"/>
                <w:lang w:val="es-ES"/>
              </w:rPr>
              <w:t>.</w:t>
            </w:r>
          </w:p>
        </w:tc>
      </w:tr>
      <w:tr w:rsidR="00CE5DDA" w:rsidRPr="00A33F6B" w14:paraId="32B42BC5" w14:textId="77777777" w:rsidTr="00205125">
        <w:tc>
          <w:tcPr>
            <w:tcW w:w="1980" w:type="dxa"/>
            <w:vMerge/>
          </w:tcPr>
          <w:p w14:paraId="45F73C57" w14:textId="77777777" w:rsidR="00CE5DDA" w:rsidRPr="00F11F4F" w:rsidRDefault="00CE5DDA" w:rsidP="00CE5DDA">
            <w:pPr>
              <w:spacing w:before="100" w:after="100"/>
              <w:rPr>
                <w:rFonts w:ascii="Arial" w:hAnsi="Arial" w:cs="Arial"/>
                <w:sz w:val="22"/>
                <w:szCs w:val="22"/>
                <w:lang w:val="es-ES"/>
              </w:rPr>
            </w:pPr>
          </w:p>
        </w:tc>
        <w:tc>
          <w:tcPr>
            <w:tcW w:w="720" w:type="dxa"/>
            <w:tcBorders>
              <w:right w:val="nil"/>
            </w:tcBorders>
          </w:tcPr>
          <w:p w14:paraId="38D2A854"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7</w:t>
            </w:r>
            <w:r w:rsidR="00CE5DDA" w:rsidRPr="00F11F4F">
              <w:rPr>
                <w:rFonts w:ascii="Arial" w:hAnsi="Arial" w:cs="Arial"/>
                <w:sz w:val="22"/>
                <w:szCs w:val="22"/>
                <w:lang w:val="es-ES"/>
              </w:rPr>
              <w:t>.2</w:t>
            </w:r>
          </w:p>
        </w:tc>
        <w:tc>
          <w:tcPr>
            <w:tcW w:w="6660" w:type="dxa"/>
            <w:tcBorders>
              <w:left w:val="nil"/>
            </w:tcBorders>
          </w:tcPr>
          <w:p w14:paraId="04906660"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El Contratante no se responsabiliza por la integridad de los Documentos de Licitación y sus enmiendas, si ellos no se obtuvieren directamente de la fuente señalada por el Contratante en aviso del proceso</w:t>
            </w:r>
          </w:p>
        </w:tc>
      </w:tr>
      <w:tr w:rsidR="00CE5DDA" w:rsidRPr="00A33F6B" w14:paraId="38797BB5" w14:textId="77777777" w:rsidTr="00205125">
        <w:trPr>
          <w:trHeight w:val="274"/>
        </w:trPr>
        <w:tc>
          <w:tcPr>
            <w:tcW w:w="1980" w:type="dxa"/>
            <w:vMerge/>
          </w:tcPr>
          <w:p w14:paraId="44FFF590" w14:textId="77777777" w:rsidR="00CE5DDA" w:rsidRPr="00F11F4F" w:rsidRDefault="00CE5DDA" w:rsidP="00CE5DDA">
            <w:pPr>
              <w:spacing w:before="100" w:after="100"/>
              <w:rPr>
                <w:rFonts w:ascii="Arial" w:hAnsi="Arial" w:cs="Arial"/>
                <w:sz w:val="22"/>
                <w:szCs w:val="22"/>
                <w:lang w:val="es-ES"/>
              </w:rPr>
            </w:pPr>
          </w:p>
        </w:tc>
        <w:tc>
          <w:tcPr>
            <w:tcW w:w="720" w:type="dxa"/>
            <w:tcBorders>
              <w:right w:val="nil"/>
            </w:tcBorders>
          </w:tcPr>
          <w:p w14:paraId="2A7C7CB7"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7</w:t>
            </w:r>
            <w:r w:rsidR="00CE5DDA" w:rsidRPr="00F11F4F">
              <w:rPr>
                <w:rFonts w:ascii="Arial" w:hAnsi="Arial" w:cs="Arial"/>
                <w:sz w:val="22"/>
                <w:szCs w:val="22"/>
                <w:lang w:val="es-ES"/>
              </w:rPr>
              <w:t>.3</w:t>
            </w:r>
          </w:p>
        </w:tc>
        <w:tc>
          <w:tcPr>
            <w:tcW w:w="6660" w:type="dxa"/>
            <w:tcBorders>
              <w:left w:val="nil"/>
            </w:tcBorders>
          </w:tcPr>
          <w:p w14:paraId="04C94570" w14:textId="77777777" w:rsidR="0092283A" w:rsidRPr="00F11F4F" w:rsidRDefault="00CE5DDA" w:rsidP="001E6DCE">
            <w:pPr>
              <w:pStyle w:val="i"/>
              <w:spacing w:before="100" w:after="100"/>
              <w:ind w:left="-108"/>
              <w:rPr>
                <w:rFonts w:ascii="Arial" w:hAnsi="Arial" w:cs="Arial"/>
                <w:sz w:val="22"/>
                <w:szCs w:val="22"/>
                <w:lang w:val="es-ES"/>
              </w:rPr>
            </w:pPr>
            <w:r w:rsidRPr="00F11F4F">
              <w:rPr>
                <w:rFonts w:ascii="Arial" w:hAnsi="Arial" w:cs="Arial"/>
                <w:sz w:val="22"/>
                <w:szCs w:val="22"/>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oferta.</w:t>
            </w:r>
          </w:p>
        </w:tc>
      </w:tr>
      <w:tr w:rsidR="00CE5DDA" w:rsidRPr="00A33F6B" w14:paraId="7C3454C4" w14:textId="77777777" w:rsidTr="00205125">
        <w:tc>
          <w:tcPr>
            <w:tcW w:w="1980" w:type="dxa"/>
            <w:vMerge w:val="restart"/>
          </w:tcPr>
          <w:p w14:paraId="278B9410" w14:textId="77777777" w:rsidR="00CE5DDA" w:rsidRPr="0049753E" w:rsidRDefault="00CE5DDA" w:rsidP="0049753E">
            <w:pPr>
              <w:pStyle w:val="IAO2"/>
              <w:rPr>
                <w:b w:val="0"/>
                <w:bCs/>
              </w:rPr>
            </w:pPr>
            <w:r w:rsidRPr="0049753E">
              <w:t xml:space="preserve"> </w:t>
            </w:r>
            <w:bookmarkStart w:id="83" w:name="_Toc74048181"/>
            <w:bookmarkStart w:id="84" w:name="_Toc74518425"/>
            <w:bookmarkStart w:id="85" w:name="_Toc74519149"/>
            <w:bookmarkStart w:id="86" w:name="_Toc74519965"/>
            <w:bookmarkStart w:id="87" w:name="_Toc74781339"/>
            <w:bookmarkStart w:id="88" w:name="_Toc74894089"/>
            <w:r w:rsidR="00622D73" w:rsidRPr="0049753E">
              <w:t>8</w:t>
            </w:r>
            <w:r w:rsidRPr="0049753E">
              <w:t>.</w:t>
            </w:r>
            <w:r w:rsidRPr="0049753E">
              <w:rPr>
                <w:b w:val="0"/>
                <w:bCs/>
              </w:rPr>
              <w:t xml:space="preserve"> </w:t>
            </w:r>
            <w:r w:rsidRPr="0049753E">
              <w:rPr>
                <w:rStyle w:val="IAO2Char"/>
                <w:b/>
                <w:bCs/>
              </w:rPr>
              <w:t>Aclaraciones sobre el Documento de Licitación y régimen de comunicación</w:t>
            </w:r>
            <w:bookmarkEnd w:id="83"/>
            <w:bookmarkEnd w:id="84"/>
            <w:bookmarkEnd w:id="85"/>
            <w:bookmarkEnd w:id="86"/>
            <w:bookmarkEnd w:id="87"/>
            <w:bookmarkEnd w:id="88"/>
            <w:r w:rsidRPr="0049753E">
              <w:rPr>
                <w:b w:val="0"/>
                <w:bCs/>
              </w:rPr>
              <w:t xml:space="preserve"> </w:t>
            </w:r>
          </w:p>
          <w:p w14:paraId="30BC0454" w14:textId="77777777" w:rsidR="00CE5DDA" w:rsidRPr="00F11F4F" w:rsidRDefault="00CE5DDA" w:rsidP="00CE5DDA">
            <w:pPr>
              <w:pStyle w:val="Header1-Clauses"/>
              <w:spacing w:before="100" w:after="100"/>
              <w:ind w:left="34"/>
              <w:rPr>
                <w:rFonts w:ascii="Arial" w:hAnsi="Arial" w:cs="Arial"/>
                <w:b w:val="0"/>
                <w:sz w:val="22"/>
                <w:szCs w:val="22"/>
                <w:lang w:val="es-ES"/>
              </w:rPr>
            </w:pPr>
            <w:r w:rsidRPr="00F11F4F">
              <w:rPr>
                <w:rFonts w:ascii="Arial" w:hAnsi="Arial" w:cs="Arial"/>
                <w:b w:val="0"/>
                <w:sz w:val="22"/>
                <w:szCs w:val="22"/>
                <w:lang w:val="es-ES"/>
              </w:rPr>
              <w:br w:type="page"/>
            </w:r>
          </w:p>
        </w:tc>
        <w:tc>
          <w:tcPr>
            <w:tcW w:w="720" w:type="dxa"/>
            <w:tcBorders>
              <w:right w:val="nil"/>
            </w:tcBorders>
          </w:tcPr>
          <w:p w14:paraId="37FECE2D"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8</w:t>
            </w:r>
            <w:r w:rsidR="00CE5DDA" w:rsidRPr="00F11F4F">
              <w:rPr>
                <w:rFonts w:ascii="Arial" w:hAnsi="Arial" w:cs="Arial"/>
                <w:sz w:val="22"/>
                <w:szCs w:val="22"/>
                <w:lang w:val="es-ES"/>
              </w:rPr>
              <w:t>.1</w:t>
            </w:r>
          </w:p>
          <w:p w14:paraId="45386F03" w14:textId="77777777" w:rsidR="00CE5DDA" w:rsidRPr="00F11F4F" w:rsidRDefault="00CE5DDA" w:rsidP="00CE5DDA">
            <w:pPr>
              <w:pStyle w:val="Header2-SubClauses"/>
              <w:tabs>
                <w:tab w:val="clear" w:pos="619"/>
              </w:tabs>
              <w:spacing w:before="100" w:after="100"/>
              <w:ind w:left="34" w:hanging="1"/>
              <w:jc w:val="center"/>
              <w:rPr>
                <w:rFonts w:ascii="Arial" w:hAnsi="Arial" w:cs="Arial"/>
                <w:sz w:val="22"/>
                <w:szCs w:val="22"/>
                <w:lang w:val="es-ES"/>
              </w:rPr>
            </w:pPr>
          </w:p>
        </w:tc>
        <w:tc>
          <w:tcPr>
            <w:tcW w:w="6660" w:type="dxa"/>
            <w:tcBorders>
              <w:left w:val="nil"/>
            </w:tcBorders>
          </w:tcPr>
          <w:p w14:paraId="210797B0"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Todo oferente que requiera alguna aclaración de los Documentos de Licitación deberá comunicarse con el Contratante por escrito a la dirección que se suministra en los </w:t>
            </w:r>
            <w:r w:rsidRPr="00F11F4F">
              <w:rPr>
                <w:rFonts w:ascii="Arial" w:hAnsi="Arial" w:cs="Arial"/>
                <w:b/>
                <w:bCs/>
                <w:sz w:val="22"/>
                <w:szCs w:val="22"/>
                <w:lang w:val="es-ES"/>
              </w:rPr>
              <w:t>DDL</w:t>
            </w:r>
            <w:r w:rsidRPr="00F11F4F">
              <w:rPr>
                <w:rFonts w:ascii="Arial" w:hAnsi="Arial" w:cs="Arial"/>
                <w:sz w:val="22"/>
                <w:szCs w:val="22"/>
                <w:lang w:val="es-ES"/>
              </w:rPr>
              <w:t xml:space="preserve">, o plantear sus inquietudes en la reunión de homologación o visita de campo en los casos para los que dichas actividades sean previstas, en cualquier caso, el plazo para realizar consultas y solicitar aclaraciones se indicara en los </w:t>
            </w:r>
            <w:r w:rsidRPr="00F11F4F">
              <w:rPr>
                <w:rFonts w:ascii="Arial" w:hAnsi="Arial" w:cs="Arial"/>
                <w:b/>
                <w:sz w:val="22"/>
                <w:szCs w:val="22"/>
                <w:lang w:val="es-ES"/>
              </w:rPr>
              <w:t>DDL</w:t>
            </w:r>
            <w:r w:rsidRPr="00F11F4F">
              <w:rPr>
                <w:rFonts w:ascii="Arial" w:hAnsi="Arial" w:cs="Arial"/>
                <w:sz w:val="22"/>
                <w:szCs w:val="22"/>
                <w:lang w:val="es-ES"/>
              </w:rPr>
              <w:t>.</w:t>
            </w:r>
          </w:p>
          <w:p w14:paraId="3B530D5C"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Así mismo, el plazo para que el Contratante, responda a consultas y/o aclaraciones se indicara en los </w:t>
            </w:r>
            <w:r w:rsidRPr="00F11F4F">
              <w:rPr>
                <w:rFonts w:ascii="Arial" w:hAnsi="Arial" w:cs="Arial"/>
                <w:b/>
                <w:sz w:val="22"/>
                <w:szCs w:val="22"/>
                <w:lang w:val="es-ES"/>
              </w:rPr>
              <w:t>DDL</w:t>
            </w:r>
            <w:r w:rsidRPr="00F11F4F">
              <w:rPr>
                <w:rFonts w:ascii="Arial" w:hAnsi="Arial" w:cs="Arial"/>
                <w:sz w:val="22"/>
                <w:szCs w:val="22"/>
                <w:lang w:val="es-ES"/>
              </w:rPr>
              <w:t>.</w:t>
            </w:r>
          </w:p>
        </w:tc>
      </w:tr>
      <w:tr w:rsidR="00CE5DDA" w:rsidRPr="00A33F6B" w14:paraId="4FCE2926" w14:textId="77777777" w:rsidTr="00205125">
        <w:tc>
          <w:tcPr>
            <w:tcW w:w="1980" w:type="dxa"/>
            <w:vMerge/>
          </w:tcPr>
          <w:p w14:paraId="7EA4D4F1" w14:textId="77777777" w:rsidR="00CE5DDA" w:rsidRPr="00F11F4F" w:rsidRDefault="00CE5DDA" w:rsidP="00CE5DDA">
            <w:pPr>
              <w:pStyle w:val="i"/>
              <w:spacing w:before="100" w:after="100"/>
              <w:rPr>
                <w:rFonts w:ascii="Arial" w:hAnsi="Arial" w:cs="Arial"/>
                <w:b/>
                <w:sz w:val="22"/>
                <w:szCs w:val="22"/>
                <w:lang w:val="es-ES"/>
              </w:rPr>
            </w:pPr>
          </w:p>
        </w:tc>
        <w:tc>
          <w:tcPr>
            <w:tcW w:w="720" w:type="dxa"/>
            <w:tcBorders>
              <w:right w:val="nil"/>
            </w:tcBorders>
          </w:tcPr>
          <w:p w14:paraId="148A1791"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8</w:t>
            </w:r>
            <w:r w:rsidR="00CE5DDA" w:rsidRPr="00F11F4F">
              <w:rPr>
                <w:rFonts w:ascii="Arial" w:hAnsi="Arial" w:cs="Arial"/>
                <w:sz w:val="22"/>
                <w:szCs w:val="22"/>
                <w:lang w:val="es-ES"/>
              </w:rPr>
              <w:t>.2</w:t>
            </w:r>
          </w:p>
        </w:tc>
        <w:tc>
          <w:tcPr>
            <w:tcW w:w="6660" w:type="dxa"/>
            <w:tcBorders>
              <w:left w:val="nil"/>
            </w:tcBorders>
          </w:tcPr>
          <w:p w14:paraId="10B6CC74"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El Contratante responderá por escrito a todas las solicitudes de aclaración, enviando copia de las respuestas a todos los oferentes, incluyendo una descripción de las consultas realizadas, sin identificar su fuente.</w:t>
            </w:r>
          </w:p>
        </w:tc>
      </w:tr>
      <w:tr w:rsidR="00CE5DDA" w:rsidRPr="00A33F6B" w14:paraId="236251FF" w14:textId="77777777" w:rsidTr="00205125">
        <w:tc>
          <w:tcPr>
            <w:tcW w:w="1980" w:type="dxa"/>
            <w:vMerge/>
          </w:tcPr>
          <w:p w14:paraId="330D7AAF" w14:textId="77777777" w:rsidR="00CE5DDA" w:rsidRPr="00F11F4F" w:rsidRDefault="00CE5DDA" w:rsidP="00CE5DDA">
            <w:pPr>
              <w:pStyle w:val="i"/>
              <w:spacing w:before="100" w:after="100"/>
              <w:rPr>
                <w:rFonts w:ascii="Arial" w:hAnsi="Arial" w:cs="Arial"/>
                <w:b/>
                <w:sz w:val="22"/>
                <w:szCs w:val="22"/>
                <w:lang w:val="es-ES"/>
              </w:rPr>
            </w:pPr>
          </w:p>
        </w:tc>
        <w:tc>
          <w:tcPr>
            <w:tcW w:w="720" w:type="dxa"/>
            <w:tcBorders>
              <w:right w:val="nil"/>
            </w:tcBorders>
          </w:tcPr>
          <w:p w14:paraId="27286A49" w14:textId="77777777" w:rsidR="00CE5DDA" w:rsidRPr="00F11F4F"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br w:type="page"/>
            </w:r>
            <w:r w:rsidR="00622D73" w:rsidRPr="00F11F4F">
              <w:rPr>
                <w:rFonts w:ascii="Arial" w:hAnsi="Arial" w:cs="Arial"/>
                <w:sz w:val="22"/>
                <w:szCs w:val="22"/>
                <w:lang w:val="es-ES"/>
              </w:rPr>
              <w:t>8</w:t>
            </w:r>
            <w:r w:rsidRPr="00F11F4F">
              <w:rPr>
                <w:rFonts w:ascii="Arial" w:hAnsi="Arial" w:cs="Arial"/>
                <w:sz w:val="22"/>
                <w:szCs w:val="22"/>
                <w:lang w:val="es-ES"/>
              </w:rPr>
              <w:t>.3</w:t>
            </w:r>
          </w:p>
        </w:tc>
        <w:tc>
          <w:tcPr>
            <w:tcW w:w="6660" w:type="dxa"/>
            <w:tcBorders>
              <w:left w:val="nil"/>
            </w:tcBorders>
          </w:tcPr>
          <w:p w14:paraId="54823CC6"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El oferente y cualquier miembro de su personal o representante, tendrá acceso a la información y lugar relacionados con las obras requeridas bajo su propio riesgo, haciéndose responsable de cualquier pérdida, daño, costos y gastos que incurra.</w:t>
            </w:r>
          </w:p>
        </w:tc>
      </w:tr>
      <w:tr w:rsidR="00CE5DDA" w:rsidRPr="00A33F6B" w14:paraId="3981D9A3" w14:textId="77777777" w:rsidTr="00205125">
        <w:tc>
          <w:tcPr>
            <w:tcW w:w="1980" w:type="dxa"/>
            <w:vMerge/>
          </w:tcPr>
          <w:p w14:paraId="0DF063DB" w14:textId="77777777" w:rsidR="00CE5DDA" w:rsidRPr="00F11F4F" w:rsidRDefault="00CE5DDA" w:rsidP="00CE5DDA">
            <w:pPr>
              <w:pStyle w:val="i"/>
              <w:spacing w:before="100" w:after="100"/>
              <w:rPr>
                <w:rFonts w:ascii="Arial" w:hAnsi="Arial" w:cs="Arial"/>
                <w:b/>
                <w:sz w:val="22"/>
                <w:szCs w:val="22"/>
                <w:lang w:val="es-ES"/>
              </w:rPr>
            </w:pPr>
          </w:p>
        </w:tc>
        <w:tc>
          <w:tcPr>
            <w:tcW w:w="720" w:type="dxa"/>
            <w:tcBorders>
              <w:right w:val="nil"/>
            </w:tcBorders>
          </w:tcPr>
          <w:p w14:paraId="5A336F38"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8</w:t>
            </w:r>
            <w:r w:rsidR="00CE5DDA" w:rsidRPr="00F11F4F">
              <w:rPr>
                <w:rFonts w:ascii="Arial" w:hAnsi="Arial" w:cs="Arial"/>
                <w:sz w:val="22"/>
                <w:szCs w:val="22"/>
                <w:lang w:val="es-ES"/>
              </w:rPr>
              <w:t>.4</w:t>
            </w:r>
          </w:p>
        </w:tc>
        <w:tc>
          <w:tcPr>
            <w:tcW w:w="6660" w:type="dxa"/>
            <w:tcBorders>
              <w:left w:val="nil"/>
            </w:tcBorders>
          </w:tcPr>
          <w:p w14:paraId="023EAD0F"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Si se ha programado visita de campo y/o reunión de homologación, se proporcionarán los datos necesarios en los </w:t>
            </w:r>
            <w:r w:rsidRPr="00F11F4F">
              <w:rPr>
                <w:rFonts w:ascii="Arial" w:hAnsi="Arial" w:cs="Arial"/>
                <w:b/>
                <w:sz w:val="22"/>
                <w:szCs w:val="22"/>
                <w:lang w:val="es-ES"/>
              </w:rPr>
              <w:t>DDL</w:t>
            </w:r>
            <w:r w:rsidRPr="00F11F4F">
              <w:rPr>
                <w:rFonts w:ascii="Arial" w:hAnsi="Arial" w:cs="Arial"/>
                <w:sz w:val="22"/>
                <w:szCs w:val="22"/>
                <w:lang w:val="es-ES"/>
              </w:rPr>
              <w:t>.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La reunión de homologación y/o visita de campo no podrán ser definidas como obligatorias.</w:t>
            </w:r>
          </w:p>
        </w:tc>
      </w:tr>
      <w:tr w:rsidR="00CE5DDA" w:rsidRPr="00A33F6B" w14:paraId="73E3174B" w14:textId="77777777" w:rsidTr="00205125">
        <w:tc>
          <w:tcPr>
            <w:tcW w:w="1980" w:type="dxa"/>
            <w:vMerge/>
          </w:tcPr>
          <w:p w14:paraId="45871D1B" w14:textId="77777777" w:rsidR="00CE5DDA" w:rsidRPr="00F11F4F" w:rsidRDefault="00CE5DDA" w:rsidP="00CE5DDA">
            <w:pPr>
              <w:pStyle w:val="i"/>
              <w:spacing w:before="100" w:after="100"/>
              <w:rPr>
                <w:rFonts w:ascii="Arial" w:hAnsi="Arial" w:cs="Arial"/>
                <w:b/>
                <w:sz w:val="22"/>
                <w:szCs w:val="22"/>
                <w:lang w:val="es-ES"/>
              </w:rPr>
            </w:pPr>
          </w:p>
        </w:tc>
        <w:tc>
          <w:tcPr>
            <w:tcW w:w="720" w:type="dxa"/>
            <w:tcBorders>
              <w:right w:val="nil"/>
            </w:tcBorders>
          </w:tcPr>
          <w:p w14:paraId="6B746BF3"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8</w:t>
            </w:r>
            <w:r w:rsidR="00CE5DDA" w:rsidRPr="00F11F4F">
              <w:rPr>
                <w:rFonts w:ascii="Arial" w:hAnsi="Arial" w:cs="Arial"/>
                <w:sz w:val="22"/>
                <w:szCs w:val="22"/>
                <w:lang w:val="es-ES"/>
              </w:rPr>
              <w:t>.5</w:t>
            </w:r>
          </w:p>
        </w:tc>
        <w:tc>
          <w:tcPr>
            <w:tcW w:w="6660" w:type="dxa"/>
            <w:tcBorders>
              <w:left w:val="nil"/>
            </w:tcBorders>
          </w:tcPr>
          <w:p w14:paraId="6C5E2CA1"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El acta de la reunión de homologación, incluidas las preguntas planteadas, sin identificar su procedencia, y las respuestas a éstas, juntamente con cualesquiera otras respuestas preparadas como producto de la reunión, se transmitirán por escrito y sin demora a todos los oferentes.</w:t>
            </w:r>
          </w:p>
        </w:tc>
      </w:tr>
      <w:tr w:rsidR="00CE5DDA" w:rsidRPr="00A33F6B" w14:paraId="384019BA" w14:textId="77777777" w:rsidTr="00205125">
        <w:tc>
          <w:tcPr>
            <w:tcW w:w="1980" w:type="dxa"/>
            <w:vMerge/>
          </w:tcPr>
          <w:p w14:paraId="6A018D5B" w14:textId="77777777" w:rsidR="00CE5DDA" w:rsidRPr="00F11F4F" w:rsidRDefault="00CE5DDA" w:rsidP="00CE5DDA">
            <w:pPr>
              <w:pStyle w:val="i"/>
              <w:spacing w:before="100" w:after="100"/>
              <w:rPr>
                <w:rFonts w:ascii="Arial" w:hAnsi="Arial" w:cs="Arial"/>
                <w:b/>
                <w:sz w:val="22"/>
                <w:szCs w:val="22"/>
                <w:lang w:val="es-ES"/>
              </w:rPr>
            </w:pPr>
          </w:p>
        </w:tc>
        <w:tc>
          <w:tcPr>
            <w:tcW w:w="720" w:type="dxa"/>
            <w:tcBorders>
              <w:right w:val="nil"/>
            </w:tcBorders>
          </w:tcPr>
          <w:p w14:paraId="5898D8AA"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8</w:t>
            </w:r>
            <w:r w:rsidR="00CE5DDA" w:rsidRPr="00F11F4F">
              <w:rPr>
                <w:rFonts w:ascii="Arial" w:hAnsi="Arial" w:cs="Arial"/>
                <w:sz w:val="22"/>
                <w:szCs w:val="22"/>
                <w:lang w:val="es-ES"/>
              </w:rPr>
              <w:t>.6</w:t>
            </w:r>
          </w:p>
        </w:tc>
        <w:tc>
          <w:tcPr>
            <w:tcW w:w="6660" w:type="dxa"/>
            <w:tcBorders>
              <w:left w:val="nil"/>
            </w:tcBorders>
          </w:tcPr>
          <w:p w14:paraId="7ABCCE37"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El canal de comunicación oficial de este proceso de licitación se apegará a lo establecido en los </w:t>
            </w:r>
            <w:r w:rsidRPr="00F11F4F">
              <w:rPr>
                <w:rFonts w:ascii="Arial" w:hAnsi="Arial" w:cs="Arial"/>
                <w:b/>
                <w:sz w:val="22"/>
                <w:szCs w:val="22"/>
                <w:lang w:val="es-ES"/>
              </w:rPr>
              <w:t>DDL</w:t>
            </w:r>
          </w:p>
        </w:tc>
      </w:tr>
      <w:tr w:rsidR="00CE5DDA" w:rsidRPr="00A33F6B" w14:paraId="1AA356F7" w14:textId="77777777" w:rsidTr="00205125">
        <w:tc>
          <w:tcPr>
            <w:tcW w:w="1980" w:type="dxa"/>
            <w:vMerge w:val="restart"/>
          </w:tcPr>
          <w:p w14:paraId="0E27D741" w14:textId="77777777" w:rsidR="00CE5DDA" w:rsidRPr="00F11F4F" w:rsidRDefault="00622D73" w:rsidP="0049753E">
            <w:pPr>
              <w:pStyle w:val="IAO2"/>
            </w:pPr>
            <w:bookmarkStart w:id="89" w:name="_Toc74048182"/>
            <w:bookmarkStart w:id="90" w:name="_Toc74518426"/>
            <w:bookmarkStart w:id="91" w:name="_Toc74519150"/>
            <w:bookmarkStart w:id="92" w:name="_Toc74519966"/>
            <w:bookmarkStart w:id="93" w:name="_Toc74781340"/>
            <w:bookmarkStart w:id="94" w:name="_Toc74894090"/>
            <w:r w:rsidRPr="00F11F4F">
              <w:lastRenderedPageBreak/>
              <w:t>9</w:t>
            </w:r>
            <w:r w:rsidR="00CE5DDA" w:rsidRPr="00F11F4F">
              <w:t xml:space="preserve">. </w:t>
            </w:r>
            <w:r w:rsidR="00CE5DDA" w:rsidRPr="00DE489C">
              <w:rPr>
                <w:rStyle w:val="IAO2Char"/>
                <w:b/>
                <w:bCs/>
              </w:rPr>
              <w:t xml:space="preserve">Modificación del </w:t>
            </w:r>
            <w:r w:rsidR="00062498" w:rsidRPr="00DE489C">
              <w:rPr>
                <w:rStyle w:val="IAO2Char"/>
                <w:b/>
                <w:bCs/>
              </w:rPr>
              <w:t>DBL</w:t>
            </w:r>
            <w:bookmarkEnd w:id="89"/>
            <w:bookmarkEnd w:id="90"/>
            <w:bookmarkEnd w:id="91"/>
            <w:bookmarkEnd w:id="92"/>
            <w:bookmarkEnd w:id="93"/>
            <w:bookmarkEnd w:id="94"/>
          </w:p>
        </w:tc>
        <w:tc>
          <w:tcPr>
            <w:tcW w:w="720" w:type="dxa"/>
            <w:tcBorders>
              <w:right w:val="nil"/>
            </w:tcBorders>
          </w:tcPr>
          <w:p w14:paraId="2979948F" w14:textId="77777777" w:rsidR="00CE5DDA" w:rsidRPr="00F11F4F" w:rsidRDefault="00622D73"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9</w:t>
            </w:r>
            <w:r w:rsidR="00CE5DDA" w:rsidRPr="00F11F4F">
              <w:rPr>
                <w:rFonts w:ascii="Arial" w:hAnsi="Arial" w:cs="Arial"/>
                <w:sz w:val="22"/>
                <w:szCs w:val="22"/>
                <w:lang w:val="es-ES"/>
              </w:rPr>
              <w:t>.1</w:t>
            </w:r>
          </w:p>
        </w:tc>
        <w:tc>
          <w:tcPr>
            <w:tcW w:w="6660" w:type="dxa"/>
            <w:tcBorders>
              <w:left w:val="nil"/>
            </w:tcBorders>
          </w:tcPr>
          <w:p w14:paraId="3844F16A"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Si en cualquier momento del proceso, el Contratante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ofertas.</w:t>
            </w:r>
          </w:p>
          <w:p w14:paraId="47EE4394" w14:textId="77777777" w:rsidR="00CE5DDA" w:rsidRPr="00F11F4F" w:rsidRDefault="00CE5DDA"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Dicho plazo no podrá ser menor a quince (15) días antes de la fecha de recepción de las ofertas. </w:t>
            </w:r>
          </w:p>
        </w:tc>
      </w:tr>
      <w:tr w:rsidR="00CE5DDA" w:rsidRPr="00A33F6B" w14:paraId="1F8F189B" w14:textId="77777777" w:rsidTr="00205125">
        <w:trPr>
          <w:trHeight w:val="807"/>
        </w:trPr>
        <w:tc>
          <w:tcPr>
            <w:tcW w:w="1980" w:type="dxa"/>
            <w:vMerge/>
          </w:tcPr>
          <w:p w14:paraId="074BFF2D" w14:textId="77777777" w:rsidR="00CE5DDA" w:rsidRPr="00F11F4F" w:rsidRDefault="00CE5DDA" w:rsidP="00CE5DDA">
            <w:pPr>
              <w:pStyle w:val="i"/>
              <w:spacing w:before="100" w:after="100"/>
              <w:rPr>
                <w:rFonts w:ascii="Arial" w:hAnsi="Arial" w:cs="Arial"/>
                <w:b/>
                <w:sz w:val="22"/>
                <w:szCs w:val="22"/>
                <w:lang w:val="es-HN"/>
              </w:rPr>
            </w:pPr>
          </w:p>
        </w:tc>
        <w:tc>
          <w:tcPr>
            <w:tcW w:w="720" w:type="dxa"/>
            <w:tcBorders>
              <w:bottom w:val="single" w:sz="4" w:space="0" w:color="auto"/>
              <w:right w:val="nil"/>
            </w:tcBorders>
          </w:tcPr>
          <w:p w14:paraId="098912BB" w14:textId="77777777" w:rsidR="00CE5DDA" w:rsidRPr="00F11F4F" w:rsidRDefault="00DC2E92" w:rsidP="00CE5DDA">
            <w:pPr>
              <w:pStyle w:val="Header2-SubClauses"/>
              <w:tabs>
                <w:tab w:val="clear" w:pos="619"/>
              </w:tabs>
              <w:spacing w:before="100" w:after="100"/>
              <w:ind w:left="-89" w:right="-103" w:hanging="1"/>
              <w:jc w:val="center"/>
              <w:rPr>
                <w:rFonts w:ascii="Arial" w:hAnsi="Arial" w:cs="Arial"/>
                <w:sz w:val="22"/>
                <w:szCs w:val="22"/>
                <w:lang w:val="es-ES"/>
              </w:rPr>
            </w:pPr>
            <w:r w:rsidRPr="00F11F4F">
              <w:rPr>
                <w:rFonts w:ascii="Arial" w:hAnsi="Arial" w:cs="Arial"/>
                <w:sz w:val="22"/>
                <w:szCs w:val="22"/>
                <w:lang w:val="es-ES"/>
              </w:rPr>
              <w:t>9</w:t>
            </w:r>
            <w:r w:rsidR="00CE5DDA" w:rsidRPr="00F11F4F">
              <w:rPr>
                <w:rFonts w:ascii="Arial" w:hAnsi="Arial" w:cs="Arial"/>
                <w:sz w:val="22"/>
                <w:szCs w:val="22"/>
                <w:lang w:val="es-ES"/>
              </w:rPr>
              <w:t>.2</w:t>
            </w:r>
          </w:p>
        </w:tc>
        <w:tc>
          <w:tcPr>
            <w:tcW w:w="6660" w:type="dxa"/>
            <w:tcBorders>
              <w:left w:val="nil"/>
              <w:bottom w:val="single" w:sz="4" w:space="0" w:color="auto"/>
            </w:tcBorders>
          </w:tcPr>
          <w:p w14:paraId="6AA037F1" w14:textId="77777777" w:rsidR="00AA0F1F" w:rsidRPr="00F11F4F" w:rsidRDefault="00CE5DDA" w:rsidP="00D26BD8">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Toda enmienda emitida formará parte de los Documentos de Licitación y deberá ser comunicada por escrito a todos los oferentes que hayan obtenido el Documento Base de Licitación de acuerdo con lo establecido en el numeral </w:t>
            </w:r>
            <w:r w:rsidR="00622D73" w:rsidRPr="00F11F4F">
              <w:rPr>
                <w:rFonts w:ascii="Arial" w:hAnsi="Arial" w:cs="Arial"/>
                <w:sz w:val="22"/>
                <w:szCs w:val="22"/>
                <w:lang w:val="es-ES"/>
              </w:rPr>
              <w:t>8</w:t>
            </w:r>
            <w:r w:rsidRPr="00F11F4F">
              <w:rPr>
                <w:rFonts w:ascii="Arial" w:hAnsi="Arial" w:cs="Arial"/>
                <w:sz w:val="22"/>
                <w:szCs w:val="22"/>
                <w:lang w:val="es-ES"/>
              </w:rPr>
              <w:t xml:space="preserve">.6 de los </w:t>
            </w:r>
            <w:r w:rsidRPr="00F11F4F">
              <w:rPr>
                <w:rFonts w:ascii="Arial" w:hAnsi="Arial" w:cs="Arial"/>
                <w:b/>
                <w:sz w:val="22"/>
                <w:szCs w:val="22"/>
                <w:lang w:val="es-ES"/>
              </w:rPr>
              <w:t>DDL</w:t>
            </w:r>
            <w:r w:rsidRPr="00F11F4F">
              <w:rPr>
                <w:rFonts w:ascii="Arial" w:hAnsi="Arial" w:cs="Arial"/>
                <w:sz w:val="22"/>
                <w:szCs w:val="22"/>
                <w:lang w:val="es-ES"/>
              </w:rPr>
              <w:t>.</w:t>
            </w:r>
          </w:p>
        </w:tc>
      </w:tr>
      <w:tr w:rsidR="00CE5DDA" w:rsidRPr="00A33F6B" w14:paraId="22E7A5A1" w14:textId="77777777" w:rsidTr="001E6DCE">
        <w:tc>
          <w:tcPr>
            <w:tcW w:w="9360" w:type="dxa"/>
            <w:gridSpan w:val="3"/>
            <w:shd w:val="clear" w:color="auto" w:fill="00B050"/>
          </w:tcPr>
          <w:p w14:paraId="4FAFB60B" w14:textId="77777777" w:rsidR="00CE5DDA" w:rsidRPr="001E6DCE" w:rsidRDefault="00CE5DDA" w:rsidP="00701A2C">
            <w:pPr>
              <w:pStyle w:val="IAO1"/>
            </w:pPr>
            <w:bookmarkStart w:id="95" w:name="_Toc365893470"/>
            <w:bookmarkStart w:id="96" w:name="_Toc364779453"/>
            <w:bookmarkStart w:id="97" w:name="_Toc54366868"/>
            <w:bookmarkStart w:id="98" w:name="_Toc74048183"/>
            <w:bookmarkStart w:id="99" w:name="_Toc74518427"/>
            <w:bookmarkStart w:id="100" w:name="_Toc74519151"/>
            <w:bookmarkStart w:id="101" w:name="_Toc74519967"/>
            <w:bookmarkStart w:id="102" w:name="_Toc74781341"/>
            <w:bookmarkStart w:id="103" w:name="_Toc74894091"/>
            <w:r w:rsidRPr="001E6DCE">
              <w:t>Preparación de las Ofertas</w:t>
            </w:r>
            <w:bookmarkEnd w:id="95"/>
            <w:bookmarkEnd w:id="96"/>
            <w:bookmarkEnd w:id="97"/>
            <w:bookmarkEnd w:id="98"/>
            <w:bookmarkEnd w:id="99"/>
            <w:bookmarkEnd w:id="100"/>
            <w:bookmarkEnd w:id="101"/>
            <w:bookmarkEnd w:id="102"/>
            <w:bookmarkEnd w:id="103"/>
          </w:p>
        </w:tc>
      </w:tr>
      <w:tr w:rsidR="00CE5DDA" w:rsidRPr="00A33F6B" w14:paraId="3704C2C9" w14:textId="77777777" w:rsidTr="00205125">
        <w:trPr>
          <w:trHeight w:val="1090"/>
        </w:trPr>
        <w:tc>
          <w:tcPr>
            <w:tcW w:w="1980" w:type="dxa"/>
          </w:tcPr>
          <w:p w14:paraId="2BC9DEF7" w14:textId="77777777" w:rsidR="00CE5DDA" w:rsidRPr="00F11F4F" w:rsidRDefault="00CE5DDA" w:rsidP="007F1D84">
            <w:pPr>
              <w:pStyle w:val="IAO2"/>
            </w:pPr>
            <w:bookmarkStart w:id="104" w:name="_Toc74048184"/>
            <w:bookmarkStart w:id="105" w:name="_Toc74518428"/>
            <w:bookmarkStart w:id="106" w:name="_Toc74519152"/>
            <w:bookmarkStart w:id="107" w:name="_Toc74519968"/>
            <w:bookmarkStart w:id="108" w:name="_Toc74781342"/>
            <w:bookmarkStart w:id="109" w:name="_Toc74894092"/>
            <w:r w:rsidRPr="00F11F4F">
              <w:t>1</w:t>
            </w:r>
            <w:r w:rsidR="00DC2E92" w:rsidRPr="00F11F4F">
              <w:t>0</w:t>
            </w:r>
            <w:r w:rsidRPr="00F11F4F">
              <w:t>. Costo de participación en la Licitación</w:t>
            </w:r>
            <w:bookmarkEnd w:id="104"/>
            <w:bookmarkEnd w:id="105"/>
            <w:bookmarkEnd w:id="106"/>
            <w:bookmarkEnd w:id="107"/>
            <w:bookmarkEnd w:id="108"/>
            <w:bookmarkEnd w:id="109"/>
          </w:p>
        </w:tc>
        <w:tc>
          <w:tcPr>
            <w:tcW w:w="720" w:type="dxa"/>
            <w:tcBorders>
              <w:bottom w:val="single" w:sz="4" w:space="0" w:color="auto"/>
              <w:right w:val="nil"/>
            </w:tcBorders>
          </w:tcPr>
          <w:p w14:paraId="7A7B7C86" w14:textId="77777777" w:rsidR="00CE5DDA" w:rsidRPr="00F11F4F"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1</w:t>
            </w:r>
            <w:r w:rsidR="00DC2E92" w:rsidRPr="00F11F4F">
              <w:rPr>
                <w:rFonts w:ascii="Arial" w:hAnsi="Arial" w:cs="Arial"/>
                <w:sz w:val="22"/>
                <w:szCs w:val="22"/>
                <w:lang w:val="es-ES"/>
              </w:rPr>
              <w:t>0</w:t>
            </w:r>
            <w:r w:rsidRPr="00F11F4F">
              <w:rPr>
                <w:rFonts w:ascii="Arial" w:hAnsi="Arial" w:cs="Arial"/>
                <w:sz w:val="22"/>
                <w:szCs w:val="22"/>
                <w:lang w:val="es-ES"/>
              </w:rPr>
              <w:t>.1</w:t>
            </w:r>
          </w:p>
        </w:tc>
        <w:tc>
          <w:tcPr>
            <w:tcW w:w="6660" w:type="dxa"/>
            <w:tcBorders>
              <w:left w:val="nil"/>
            </w:tcBorders>
          </w:tcPr>
          <w:p w14:paraId="6E6515DD" w14:textId="77777777" w:rsidR="00CE5DDA" w:rsidRPr="00F11F4F" w:rsidRDefault="00CE5DDA" w:rsidP="00CE5DDA">
            <w:pPr>
              <w:pStyle w:val="i"/>
              <w:spacing w:before="100" w:after="100"/>
              <w:ind w:left="-110"/>
              <w:rPr>
                <w:rFonts w:ascii="Arial" w:hAnsi="Arial" w:cs="Arial"/>
                <w:sz w:val="22"/>
                <w:szCs w:val="22"/>
                <w:lang w:val="es-ES"/>
              </w:rPr>
            </w:pPr>
            <w:r w:rsidRPr="00F11F4F">
              <w:rPr>
                <w:rFonts w:ascii="Arial" w:hAnsi="Arial" w:cs="Arial"/>
                <w:sz w:val="22"/>
                <w:szCs w:val="22"/>
                <w:lang w:val="es-ES"/>
              </w:rPr>
              <w:t>El oferente asumirá todos los costos relacionados con la preparación y presentación de su oferta desde la obtención de las bases. El Contratante no estará sujeto ni será responsable en caso alguno por dichos costos, independientemente del resultado del proceso de licitación.</w:t>
            </w:r>
          </w:p>
        </w:tc>
      </w:tr>
      <w:tr w:rsidR="00CE5DDA" w:rsidRPr="00A33F6B" w14:paraId="01514331" w14:textId="77777777" w:rsidTr="00205125">
        <w:trPr>
          <w:trHeight w:val="683"/>
        </w:trPr>
        <w:tc>
          <w:tcPr>
            <w:tcW w:w="1980" w:type="dxa"/>
            <w:vMerge w:val="restart"/>
          </w:tcPr>
          <w:p w14:paraId="4CB16A77" w14:textId="77777777" w:rsidR="00CE5DDA" w:rsidRPr="00F11F4F" w:rsidRDefault="00DC2E92" w:rsidP="007F1D84">
            <w:pPr>
              <w:pStyle w:val="IAO2"/>
            </w:pPr>
            <w:bookmarkStart w:id="110" w:name="_Toc74048185"/>
            <w:bookmarkStart w:id="111" w:name="_Toc74518429"/>
            <w:bookmarkStart w:id="112" w:name="_Toc74519153"/>
            <w:bookmarkStart w:id="113" w:name="_Toc74519969"/>
            <w:bookmarkStart w:id="114" w:name="_Toc74781343"/>
            <w:bookmarkStart w:id="115" w:name="_Toc74894093"/>
            <w:r w:rsidRPr="00F11F4F">
              <w:t>11</w:t>
            </w:r>
            <w:r w:rsidR="00CE5DDA" w:rsidRPr="00F11F4F">
              <w:t>. Idioma de la Oferta</w:t>
            </w:r>
            <w:bookmarkEnd w:id="110"/>
            <w:bookmarkEnd w:id="111"/>
            <w:bookmarkEnd w:id="112"/>
            <w:bookmarkEnd w:id="113"/>
            <w:bookmarkEnd w:id="114"/>
            <w:bookmarkEnd w:id="115"/>
          </w:p>
        </w:tc>
        <w:tc>
          <w:tcPr>
            <w:tcW w:w="720" w:type="dxa"/>
            <w:tcBorders>
              <w:bottom w:val="single" w:sz="4" w:space="0" w:color="auto"/>
              <w:right w:val="nil"/>
            </w:tcBorders>
          </w:tcPr>
          <w:p w14:paraId="4D4E4214" w14:textId="77777777" w:rsidR="00CE5DDA" w:rsidRPr="00F11F4F" w:rsidRDefault="00DC2E92"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11</w:t>
            </w:r>
            <w:r w:rsidR="00CE5DDA" w:rsidRPr="00F11F4F">
              <w:rPr>
                <w:rFonts w:ascii="Arial" w:hAnsi="Arial" w:cs="Arial"/>
                <w:sz w:val="22"/>
                <w:szCs w:val="22"/>
                <w:lang w:val="es-ES"/>
              </w:rPr>
              <w:t>.1</w:t>
            </w:r>
          </w:p>
        </w:tc>
        <w:tc>
          <w:tcPr>
            <w:tcW w:w="6660" w:type="dxa"/>
            <w:tcBorders>
              <w:left w:val="nil"/>
            </w:tcBorders>
          </w:tcPr>
          <w:p w14:paraId="4E49D3DA" w14:textId="77777777" w:rsidR="00CE5DDA" w:rsidRPr="00F11F4F" w:rsidRDefault="00CE5DDA" w:rsidP="00062498">
            <w:pPr>
              <w:pStyle w:val="i"/>
              <w:spacing w:before="100" w:after="100"/>
              <w:ind w:left="-110"/>
              <w:rPr>
                <w:rFonts w:ascii="Arial" w:hAnsi="Arial" w:cs="Arial"/>
                <w:sz w:val="22"/>
                <w:szCs w:val="22"/>
                <w:lang w:val="es-ES"/>
              </w:rPr>
            </w:pPr>
            <w:r w:rsidRPr="00F11F4F">
              <w:rPr>
                <w:rFonts w:ascii="Arial" w:hAnsi="Arial" w:cs="Arial"/>
                <w:sz w:val="22"/>
                <w:szCs w:val="22"/>
                <w:lang w:val="es-ES"/>
              </w:rPr>
              <w:t xml:space="preserve">La oferta, así como toda la correspondencia y los documentos relativos a la misma que intercambien el oferente y el Contratante deberán ser escritos en el idioma oficial del contratante que se indica en los </w:t>
            </w:r>
            <w:r w:rsidRPr="00F11F4F">
              <w:rPr>
                <w:rFonts w:ascii="Arial" w:hAnsi="Arial" w:cs="Arial"/>
                <w:b/>
                <w:sz w:val="22"/>
                <w:szCs w:val="22"/>
                <w:lang w:val="es-ES"/>
              </w:rPr>
              <w:t>DDL.</w:t>
            </w:r>
          </w:p>
        </w:tc>
      </w:tr>
      <w:tr w:rsidR="00CE5DDA" w:rsidRPr="00A33F6B" w14:paraId="3BCE1254" w14:textId="77777777" w:rsidTr="00205125">
        <w:trPr>
          <w:trHeight w:val="1090"/>
        </w:trPr>
        <w:tc>
          <w:tcPr>
            <w:tcW w:w="1980" w:type="dxa"/>
            <w:vMerge/>
          </w:tcPr>
          <w:p w14:paraId="258B5EFB" w14:textId="77777777" w:rsidR="00CE5DDA" w:rsidRPr="00F11F4F" w:rsidRDefault="00CE5DDA" w:rsidP="007F1D84">
            <w:pPr>
              <w:pStyle w:val="IAO2"/>
            </w:pPr>
          </w:p>
        </w:tc>
        <w:tc>
          <w:tcPr>
            <w:tcW w:w="720" w:type="dxa"/>
            <w:tcBorders>
              <w:bottom w:val="single" w:sz="4" w:space="0" w:color="auto"/>
              <w:right w:val="nil"/>
            </w:tcBorders>
          </w:tcPr>
          <w:p w14:paraId="6EC79527" w14:textId="77777777" w:rsidR="00CE5DDA" w:rsidRPr="00F11F4F" w:rsidRDefault="00CE5DDA" w:rsidP="00CE5DDA">
            <w:pPr>
              <w:pStyle w:val="Header2-SubClauses"/>
              <w:tabs>
                <w:tab w:val="clear" w:pos="619"/>
              </w:tabs>
              <w:spacing w:before="100" w:after="100"/>
              <w:ind w:left="-89" w:hanging="1"/>
              <w:jc w:val="center"/>
              <w:rPr>
                <w:rFonts w:ascii="Arial" w:hAnsi="Arial" w:cs="Arial"/>
                <w:sz w:val="22"/>
                <w:szCs w:val="22"/>
                <w:lang w:val="es-ES"/>
              </w:rPr>
            </w:pPr>
            <w:r w:rsidRPr="00F11F4F">
              <w:rPr>
                <w:rFonts w:ascii="Arial" w:hAnsi="Arial" w:cs="Arial"/>
                <w:sz w:val="22"/>
                <w:szCs w:val="22"/>
                <w:lang w:val="es-ES"/>
              </w:rPr>
              <w:t>1</w:t>
            </w:r>
            <w:r w:rsidR="00DC2E92" w:rsidRPr="00F11F4F">
              <w:rPr>
                <w:rFonts w:ascii="Arial" w:hAnsi="Arial" w:cs="Arial"/>
                <w:sz w:val="22"/>
                <w:szCs w:val="22"/>
                <w:lang w:val="es-ES"/>
              </w:rPr>
              <w:t>1</w:t>
            </w:r>
            <w:r w:rsidRPr="00F11F4F">
              <w:rPr>
                <w:rFonts w:ascii="Arial" w:hAnsi="Arial" w:cs="Arial"/>
                <w:sz w:val="22"/>
                <w:szCs w:val="22"/>
                <w:lang w:val="es-ES"/>
              </w:rPr>
              <w:t>.2</w:t>
            </w:r>
          </w:p>
        </w:tc>
        <w:tc>
          <w:tcPr>
            <w:tcW w:w="6660" w:type="dxa"/>
            <w:tcBorders>
              <w:left w:val="nil"/>
              <w:bottom w:val="single" w:sz="4" w:space="0" w:color="auto"/>
            </w:tcBorders>
          </w:tcPr>
          <w:p w14:paraId="79B1F9EE" w14:textId="77777777" w:rsidR="00CE5DDA" w:rsidRPr="00F11F4F" w:rsidRDefault="00CE5DDA" w:rsidP="00CE5DDA">
            <w:pPr>
              <w:pStyle w:val="i"/>
              <w:spacing w:before="100" w:after="100"/>
              <w:ind w:left="-110"/>
              <w:rPr>
                <w:rFonts w:ascii="Arial" w:hAnsi="Arial" w:cs="Arial"/>
                <w:sz w:val="22"/>
                <w:szCs w:val="22"/>
                <w:lang w:val="es-ES"/>
              </w:rPr>
            </w:pPr>
            <w:r w:rsidRPr="00F11F4F">
              <w:rPr>
                <w:rFonts w:ascii="Arial" w:hAnsi="Arial" w:cs="Arial"/>
                <w:sz w:val="22"/>
                <w:szCs w:val="22"/>
                <w:lang w:val="es-ES"/>
              </w:rPr>
              <w:t xml:space="preserve">Documentos de soporte y el material impreso que formen parte de la oferta podrán estar en otro idioma, con la condición de que las partes pertinentes estén acompañadas de una traducción fidedigna al idioma indicado en los </w:t>
            </w:r>
            <w:r w:rsidRPr="00F11F4F">
              <w:rPr>
                <w:rFonts w:ascii="Arial" w:hAnsi="Arial" w:cs="Arial"/>
                <w:b/>
                <w:sz w:val="22"/>
                <w:szCs w:val="22"/>
                <w:lang w:val="es-ES"/>
              </w:rPr>
              <w:t>DDL</w:t>
            </w:r>
            <w:r w:rsidRPr="00F11F4F">
              <w:rPr>
                <w:rFonts w:ascii="Arial" w:hAnsi="Arial" w:cs="Arial"/>
                <w:sz w:val="22"/>
                <w:szCs w:val="22"/>
                <w:lang w:val="es-ES"/>
              </w:rPr>
              <w:t>. Para los efectos de la interpretación de la oferta, dicha traducción prevalecerá.</w:t>
            </w:r>
          </w:p>
        </w:tc>
      </w:tr>
      <w:tr w:rsidR="00CE5DDA" w:rsidRPr="00A33F6B" w14:paraId="5D6D45A2" w14:textId="77777777" w:rsidTr="00205125">
        <w:trPr>
          <w:trHeight w:val="20"/>
        </w:trPr>
        <w:tc>
          <w:tcPr>
            <w:tcW w:w="1980" w:type="dxa"/>
            <w:vMerge w:val="restart"/>
          </w:tcPr>
          <w:p w14:paraId="6BA1E586" w14:textId="77777777" w:rsidR="00CE5DDA" w:rsidRPr="00F11F4F" w:rsidRDefault="00CE5DDA" w:rsidP="007F1D84">
            <w:pPr>
              <w:pStyle w:val="IAO2"/>
            </w:pPr>
            <w:bookmarkStart w:id="116" w:name="_Toc74048186"/>
            <w:bookmarkStart w:id="117" w:name="_Toc74518430"/>
            <w:bookmarkStart w:id="118" w:name="_Toc74519154"/>
            <w:bookmarkStart w:id="119" w:name="_Toc74519970"/>
            <w:bookmarkStart w:id="120" w:name="_Toc74781344"/>
            <w:bookmarkStart w:id="121" w:name="_Toc74894094"/>
            <w:r w:rsidRPr="00F11F4F">
              <w:t>1</w:t>
            </w:r>
            <w:r w:rsidR="00DC2E92" w:rsidRPr="00F11F4F">
              <w:t>2</w:t>
            </w:r>
            <w:r w:rsidRPr="00F11F4F">
              <w:t>. Documentos que conforman la Oferta</w:t>
            </w:r>
            <w:bookmarkEnd w:id="116"/>
            <w:bookmarkEnd w:id="117"/>
            <w:bookmarkEnd w:id="118"/>
            <w:bookmarkEnd w:id="119"/>
            <w:bookmarkEnd w:id="120"/>
            <w:bookmarkEnd w:id="121"/>
          </w:p>
          <w:p w14:paraId="3CEF2AAF" w14:textId="77777777" w:rsidR="00CE5DDA" w:rsidRPr="00F11F4F" w:rsidRDefault="00CE5DDA" w:rsidP="007F1D84">
            <w:pPr>
              <w:pStyle w:val="IAO2"/>
            </w:pPr>
          </w:p>
        </w:tc>
        <w:tc>
          <w:tcPr>
            <w:tcW w:w="720" w:type="dxa"/>
            <w:tcBorders>
              <w:right w:val="nil"/>
            </w:tcBorders>
          </w:tcPr>
          <w:p w14:paraId="3E454FB8" w14:textId="77777777" w:rsidR="00CE5DDA" w:rsidRPr="00F11F4F" w:rsidRDefault="00DC2E92" w:rsidP="00CE5DDA">
            <w:pPr>
              <w:pStyle w:val="i"/>
              <w:spacing w:before="100" w:after="100"/>
              <w:ind w:left="-108"/>
              <w:jc w:val="center"/>
              <w:rPr>
                <w:rFonts w:ascii="Arial" w:hAnsi="Arial" w:cs="Arial"/>
                <w:sz w:val="22"/>
                <w:szCs w:val="22"/>
              </w:rPr>
            </w:pPr>
            <w:r w:rsidRPr="00F11F4F">
              <w:rPr>
                <w:rFonts w:ascii="Arial" w:hAnsi="Arial" w:cs="Arial"/>
                <w:sz w:val="22"/>
                <w:szCs w:val="22"/>
                <w:lang w:val="es-ES"/>
              </w:rPr>
              <w:t>12</w:t>
            </w:r>
            <w:r w:rsidR="00CE5DDA" w:rsidRPr="00F11F4F">
              <w:rPr>
                <w:rFonts w:ascii="Arial" w:hAnsi="Arial" w:cs="Arial"/>
                <w:sz w:val="22"/>
                <w:szCs w:val="22"/>
                <w:lang w:val="es-ES"/>
              </w:rPr>
              <w:t>.1</w:t>
            </w:r>
          </w:p>
        </w:tc>
        <w:tc>
          <w:tcPr>
            <w:tcW w:w="6660" w:type="dxa"/>
            <w:tcBorders>
              <w:left w:val="nil"/>
            </w:tcBorders>
          </w:tcPr>
          <w:p w14:paraId="04101F03" w14:textId="77777777" w:rsidR="00CE5DDA" w:rsidRPr="00F11F4F" w:rsidRDefault="00CE5DDA" w:rsidP="00CE5DDA">
            <w:pPr>
              <w:pStyle w:val="i"/>
              <w:spacing w:before="100" w:after="100"/>
              <w:ind w:left="-108"/>
              <w:rPr>
                <w:rFonts w:ascii="Arial" w:hAnsi="Arial" w:cs="Arial"/>
                <w:sz w:val="22"/>
                <w:szCs w:val="22"/>
              </w:rPr>
            </w:pPr>
            <w:r w:rsidRPr="00F11F4F">
              <w:rPr>
                <w:rFonts w:ascii="Arial" w:hAnsi="Arial" w:cs="Arial"/>
                <w:sz w:val="22"/>
                <w:szCs w:val="22"/>
              </w:rPr>
              <w:t xml:space="preserve">La oferta </w:t>
            </w:r>
            <w:r w:rsidR="00C30CE3" w:rsidRPr="00F11F4F">
              <w:rPr>
                <w:rFonts w:ascii="Arial" w:hAnsi="Arial" w:cs="Arial"/>
                <w:sz w:val="22"/>
                <w:szCs w:val="22"/>
              </w:rPr>
              <w:t>debe contener los siguientes documentos</w:t>
            </w:r>
            <w:r w:rsidRPr="00F11F4F">
              <w:rPr>
                <w:rFonts w:ascii="Arial" w:hAnsi="Arial" w:cs="Arial"/>
                <w:sz w:val="22"/>
                <w:szCs w:val="22"/>
              </w:rPr>
              <w:t>:</w:t>
            </w:r>
          </w:p>
          <w:p w14:paraId="79826F68" w14:textId="77777777" w:rsidR="00CE5DDA" w:rsidRPr="00F11F4F" w:rsidRDefault="00CE5DDA" w:rsidP="0071608E">
            <w:pPr>
              <w:pStyle w:val="Prrafodelista"/>
              <w:numPr>
                <w:ilvl w:val="0"/>
                <w:numId w:val="21"/>
              </w:numPr>
              <w:spacing w:before="100" w:after="100"/>
              <w:ind w:left="248" w:right="74" w:hanging="358"/>
              <w:rPr>
                <w:rFonts w:ascii="Arial" w:hAnsi="Arial" w:cs="Arial"/>
                <w:sz w:val="22"/>
                <w:szCs w:val="22"/>
              </w:rPr>
            </w:pPr>
            <w:r w:rsidRPr="00F11F4F">
              <w:rPr>
                <w:rFonts w:ascii="Arial" w:hAnsi="Arial" w:cs="Arial"/>
                <w:sz w:val="22"/>
                <w:szCs w:val="22"/>
              </w:rPr>
              <w:t xml:space="preserve">Carta de presentación de la oferta </w:t>
            </w:r>
            <w:r w:rsidR="00991D2A" w:rsidRPr="00F11F4F">
              <w:rPr>
                <w:rFonts w:ascii="Arial" w:hAnsi="Arial" w:cs="Arial"/>
                <w:sz w:val="22"/>
                <w:szCs w:val="22"/>
              </w:rPr>
              <w:t xml:space="preserve">preparada de acuerdo con la IAO </w:t>
            </w:r>
            <w:r w:rsidR="00E1612C" w:rsidRPr="00F11F4F">
              <w:rPr>
                <w:rFonts w:ascii="Arial" w:hAnsi="Arial" w:cs="Arial"/>
                <w:sz w:val="22"/>
                <w:szCs w:val="22"/>
              </w:rPr>
              <w:t>13</w:t>
            </w:r>
            <w:r w:rsidR="00991D2A" w:rsidRPr="00F11F4F">
              <w:rPr>
                <w:rFonts w:ascii="Arial" w:hAnsi="Arial" w:cs="Arial"/>
                <w:sz w:val="22"/>
                <w:szCs w:val="22"/>
              </w:rPr>
              <w:t xml:space="preserve">, </w:t>
            </w:r>
            <w:r w:rsidRPr="00F11F4F">
              <w:rPr>
                <w:rFonts w:ascii="Arial" w:hAnsi="Arial" w:cs="Arial"/>
                <w:sz w:val="22"/>
                <w:szCs w:val="22"/>
              </w:rPr>
              <w:t xml:space="preserve">la cual debe incluir las comisiones y gratificaciones </w:t>
            </w:r>
            <w:r w:rsidR="00991D2A" w:rsidRPr="00F11F4F">
              <w:rPr>
                <w:rFonts w:ascii="Arial" w:hAnsi="Arial" w:cs="Arial"/>
                <w:sz w:val="22"/>
                <w:szCs w:val="22"/>
              </w:rPr>
              <w:t xml:space="preserve">si hubiera </w:t>
            </w:r>
            <w:r w:rsidRPr="00F11F4F">
              <w:rPr>
                <w:rFonts w:ascii="Arial" w:hAnsi="Arial" w:cs="Arial"/>
                <w:sz w:val="22"/>
                <w:szCs w:val="22"/>
              </w:rPr>
              <w:t xml:space="preserve">pagadas </w:t>
            </w:r>
            <w:r w:rsidR="00991D2A" w:rsidRPr="00F11F4F">
              <w:rPr>
                <w:rFonts w:ascii="Arial" w:hAnsi="Arial" w:cs="Arial"/>
                <w:sz w:val="22"/>
                <w:szCs w:val="22"/>
              </w:rPr>
              <w:t xml:space="preserve">o por pagarse </w:t>
            </w:r>
            <w:r w:rsidRPr="00F11F4F">
              <w:rPr>
                <w:rFonts w:ascii="Arial" w:hAnsi="Arial" w:cs="Arial"/>
                <w:sz w:val="22"/>
                <w:szCs w:val="22"/>
              </w:rPr>
              <w:t>a agentes</w:t>
            </w:r>
            <w:r w:rsidR="00991D2A" w:rsidRPr="00F11F4F">
              <w:rPr>
                <w:rFonts w:ascii="Arial" w:hAnsi="Arial" w:cs="Arial"/>
                <w:sz w:val="22"/>
                <w:szCs w:val="22"/>
              </w:rPr>
              <w:t xml:space="preserve"> u otra parte relacionada con esta oferta</w:t>
            </w:r>
            <w:r w:rsidRPr="00F11F4F">
              <w:rPr>
                <w:rFonts w:ascii="Arial" w:hAnsi="Arial" w:cs="Arial"/>
                <w:sz w:val="22"/>
                <w:szCs w:val="22"/>
              </w:rPr>
              <w:t>.</w:t>
            </w:r>
          </w:p>
          <w:p w14:paraId="1BF8E743" w14:textId="77777777" w:rsidR="00C41E61" w:rsidRPr="00F11F4F" w:rsidRDefault="00C41E61" w:rsidP="0071608E">
            <w:pPr>
              <w:pStyle w:val="Prrafodelista"/>
              <w:numPr>
                <w:ilvl w:val="0"/>
                <w:numId w:val="21"/>
              </w:numPr>
              <w:spacing w:before="100" w:after="100"/>
              <w:ind w:left="248" w:right="74" w:hanging="358"/>
              <w:rPr>
                <w:rFonts w:ascii="Arial" w:hAnsi="Arial" w:cs="Arial"/>
                <w:b/>
                <w:bCs/>
                <w:sz w:val="22"/>
                <w:szCs w:val="22"/>
              </w:rPr>
            </w:pPr>
            <w:r w:rsidRPr="00F11F4F">
              <w:rPr>
                <w:rFonts w:ascii="Arial" w:hAnsi="Arial" w:cs="Arial"/>
                <w:sz w:val="22"/>
                <w:szCs w:val="22"/>
              </w:rPr>
              <w:t xml:space="preserve">Lista de cantidades y sus precios unitarios o </w:t>
            </w:r>
            <w:r w:rsidR="000C2A26" w:rsidRPr="00F11F4F">
              <w:rPr>
                <w:rFonts w:ascii="Arial" w:hAnsi="Arial" w:cs="Arial"/>
                <w:sz w:val="22"/>
                <w:szCs w:val="22"/>
              </w:rPr>
              <w:t>calendario</w:t>
            </w:r>
            <w:r w:rsidRPr="00F11F4F">
              <w:rPr>
                <w:rFonts w:ascii="Arial" w:hAnsi="Arial" w:cs="Arial"/>
                <w:sz w:val="22"/>
                <w:szCs w:val="22"/>
              </w:rPr>
              <w:t xml:space="preserve"> de actividades, </w:t>
            </w:r>
            <w:r w:rsidR="00F75199" w:rsidRPr="00F11F4F">
              <w:rPr>
                <w:rFonts w:ascii="Arial" w:hAnsi="Arial" w:cs="Arial"/>
                <w:sz w:val="22"/>
                <w:szCs w:val="22"/>
              </w:rPr>
              <w:t xml:space="preserve">conforme a los IAO 13 </w:t>
            </w:r>
            <w:r w:rsidR="000C2A26" w:rsidRPr="00F11F4F">
              <w:rPr>
                <w:rFonts w:ascii="Arial" w:hAnsi="Arial" w:cs="Arial"/>
                <w:sz w:val="22"/>
                <w:szCs w:val="22"/>
              </w:rPr>
              <w:t xml:space="preserve">y IAO 15, </w:t>
            </w:r>
            <w:r w:rsidRPr="00F11F4F">
              <w:rPr>
                <w:rFonts w:ascii="Arial" w:hAnsi="Arial" w:cs="Arial"/>
                <w:sz w:val="22"/>
                <w:szCs w:val="22"/>
              </w:rPr>
              <w:t xml:space="preserve">según se especifique en los </w:t>
            </w:r>
            <w:r w:rsidRPr="00F11F4F">
              <w:rPr>
                <w:rFonts w:ascii="Arial" w:hAnsi="Arial" w:cs="Arial"/>
                <w:b/>
                <w:bCs/>
                <w:sz w:val="22"/>
                <w:szCs w:val="22"/>
              </w:rPr>
              <w:t>DDL</w:t>
            </w:r>
          </w:p>
          <w:p w14:paraId="36CCC032" w14:textId="77777777" w:rsidR="000C2A26" w:rsidRPr="00F11F4F" w:rsidRDefault="000C2A26" w:rsidP="0071608E">
            <w:pPr>
              <w:pStyle w:val="Prrafodelista"/>
              <w:numPr>
                <w:ilvl w:val="0"/>
                <w:numId w:val="21"/>
              </w:numPr>
              <w:spacing w:before="100" w:after="100"/>
              <w:ind w:left="248" w:right="74" w:hanging="358"/>
              <w:rPr>
                <w:rFonts w:ascii="Arial" w:hAnsi="Arial" w:cs="Arial"/>
                <w:sz w:val="22"/>
                <w:szCs w:val="22"/>
              </w:rPr>
            </w:pPr>
            <w:r w:rsidRPr="00F11F4F">
              <w:rPr>
                <w:rFonts w:ascii="Arial" w:hAnsi="Arial" w:cs="Arial"/>
                <w:sz w:val="22"/>
                <w:szCs w:val="22"/>
              </w:rPr>
              <w:lastRenderedPageBreak/>
              <w:t>Garantía de mantenimiento de oferta y firma de contrato o declaración de mantenimiento de oferta, conforme a lo dispuesto con la IAO 2</w:t>
            </w:r>
            <w:r w:rsidR="00F43229" w:rsidRPr="00F11F4F">
              <w:rPr>
                <w:rFonts w:ascii="Arial" w:hAnsi="Arial" w:cs="Arial"/>
                <w:sz w:val="22"/>
                <w:szCs w:val="22"/>
              </w:rPr>
              <w:t>2</w:t>
            </w:r>
          </w:p>
          <w:p w14:paraId="67F6033F" w14:textId="77777777" w:rsidR="000C2A26" w:rsidRPr="00F11F4F" w:rsidRDefault="000C2A26" w:rsidP="0071608E">
            <w:pPr>
              <w:pStyle w:val="Prrafodelista"/>
              <w:numPr>
                <w:ilvl w:val="0"/>
                <w:numId w:val="21"/>
              </w:numPr>
              <w:spacing w:before="100" w:after="100"/>
              <w:ind w:left="248" w:right="74" w:hanging="358"/>
              <w:rPr>
                <w:rFonts w:ascii="Arial" w:hAnsi="Arial" w:cs="Arial"/>
                <w:sz w:val="22"/>
                <w:szCs w:val="22"/>
              </w:rPr>
            </w:pPr>
            <w:r w:rsidRPr="00F11F4F">
              <w:rPr>
                <w:rFonts w:ascii="Arial" w:hAnsi="Arial" w:cs="Arial"/>
                <w:sz w:val="22"/>
                <w:szCs w:val="22"/>
              </w:rPr>
              <w:t>Oferta alternativa si esta fuera permitida de acuerdo con la IAO 14</w:t>
            </w:r>
          </w:p>
          <w:p w14:paraId="63E773DB" w14:textId="77777777" w:rsidR="000C2A26" w:rsidRPr="00F11F4F" w:rsidRDefault="000C2A26" w:rsidP="0071608E">
            <w:pPr>
              <w:pStyle w:val="Prrafodelista"/>
              <w:numPr>
                <w:ilvl w:val="0"/>
                <w:numId w:val="21"/>
              </w:numPr>
              <w:spacing w:before="100" w:after="100"/>
              <w:ind w:left="248" w:right="74" w:hanging="358"/>
              <w:rPr>
                <w:rFonts w:ascii="Arial" w:hAnsi="Arial" w:cs="Arial"/>
                <w:sz w:val="22"/>
                <w:szCs w:val="22"/>
              </w:rPr>
            </w:pPr>
            <w:r w:rsidRPr="00F11F4F">
              <w:rPr>
                <w:rFonts w:ascii="Arial" w:hAnsi="Arial" w:cs="Arial"/>
                <w:sz w:val="22"/>
                <w:szCs w:val="22"/>
              </w:rPr>
              <w:t xml:space="preserve">Autorización: </w:t>
            </w:r>
            <w:r w:rsidR="007E57BE" w:rsidRPr="00F11F4F">
              <w:rPr>
                <w:rFonts w:ascii="Arial" w:hAnsi="Arial" w:cs="Arial"/>
                <w:sz w:val="22"/>
                <w:szCs w:val="22"/>
              </w:rPr>
              <w:t xml:space="preserve">Confirmación escrita por la que sea autoriza al firmante de la oferta a comprometer al oferente, de </w:t>
            </w:r>
            <w:r w:rsidR="00146F11" w:rsidRPr="00F11F4F">
              <w:rPr>
                <w:rFonts w:ascii="Arial" w:hAnsi="Arial" w:cs="Arial"/>
                <w:sz w:val="22"/>
                <w:szCs w:val="22"/>
              </w:rPr>
              <w:t>conformidad</w:t>
            </w:r>
            <w:r w:rsidR="007E57BE" w:rsidRPr="00F11F4F">
              <w:rPr>
                <w:rFonts w:ascii="Arial" w:hAnsi="Arial" w:cs="Arial"/>
                <w:sz w:val="22"/>
                <w:szCs w:val="22"/>
              </w:rPr>
              <w:t xml:space="preserve"> con la IAO 2</w:t>
            </w:r>
            <w:r w:rsidR="00DA5007" w:rsidRPr="00F11F4F">
              <w:rPr>
                <w:rFonts w:ascii="Arial" w:hAnsi="Arial" w:cs="Arial"/>
                <w:sz w:val="22"/>
                <w:szCs w:val="22"/>
              </w:rPr>
              <w:t>3</w:t>
            </w:r>
            <w:r w:rsidR="007E57BE" w:rsidRPr="00F11F4F">
              <w:rPr>
                <w:rFonts w:ascii="Arial" w:hAnsi="Arial" w:cs="Arial"/>
                <w:sz w:val="22"/>
                <w:szCs w:val="22"/>
              </w:rPr>
              <w:t>.3</w:t>
            </w:r>
            <w:r w:rsidR="00F56924" w:rsidRPr="00F11F4F">
              <w:rPr>
                <w:rFonts w:ascii="Arial" w:hAnsi="Arial" w:cs="Arial"/>
                <w:sz w:val="22"/>
                <w:szCs w:val="22"/>
              </w:rPr>
              <w:t xml:space="preserve"> y 2</w:t>
            </w:r>
            <w:r w:rsidR="00DA5007" w:rsidRPr="00F11F4F">
              <w:rPr>
                <w:rFonts w:ascii="Arial" w:hAnsi="Arial" w:cs="Arial"/>
                <w:sz w:val="22"/>
                <w:szCs w:val="22"/>
              </w:rPr>
              <w:t>3</w:t>
            </w:r>
            <w:r w:rsidR="00F56924" w:rsidRPr="00F11F4F">
              <w:rPr>
                <w:rFonts w:ascii="Arial" w:hAnsi="Arial" w:cs="Arial"/>
                <w:sz w:val="22"/>
                <w:szCs w:val="22"/>
              </w:rPr>
              <w:t>.4</w:t>
            </w:r>
            <w:r w:rsidR="00A303AD" w:rsidRPr="00F11F4F">
              <w:rPr>
                <w:rFonts w:ascii="Arial" w:hAnsi="Arial" w:cs="Arial"/>
                <w:sz w:val="22"/>
                <w:szCs w:val="22"/>
              </w:rPr>
              <w:t xml:space="preserve">, acompañado </w:t>
            </w:r>
            <w:r w:rsidR="00146F11" w:rsidRPr="00F11F4F">
              <w:rPr>
                <w:rFonts w:ascii="Arial" w:hAnsi="Arial" w:cs="Arial"/>
                <w:sz w:val="22"/>
                <w:szCs w:val="22"/>
              </w:rPr>
              <w:t xml:space="preserve">de copia simple </w:t>
            </w:r>
            <w:r w:rsidR="00A303AD" w:rsidRPr="00F11F4F">
              <w:rPr>
                <w:rFonts w:ascii="Arial" w:hAnsi="Arial" w:cs="Arial"/>
                <w:sz w:val="22"/>
                <w:szCs w:val="22"/>
              </w:rPr>
              <w:t>de</w:t>
            </w:r>
            <w:r w:rsidR="00146F11" w:rsidRPr="00F11F4F">
              <w:rPr>
                <w:rFonts w:ascii="Arial" w:hAnsi="Arial" w:cs="Arial"/>
                <w:sz w:val="22"/>
                <w:szCs w:val="22"/>
              </w:rPr>
              <w:t>l documento de identificación vigente del signatario de la oferta.</w:t>
            </w:r>
          </w:p>
          <w:p w14:paraId="41548EF2" w14:textId="77777777" w:rsidR="00AB481A" w:rsidRPr="00F11F4F" w:rsidRDefault="00AB481A" w:rsidP="0071608E">
            <w:pPr>
              <w:pStyle w:val="P3Header1-Clauses"/>
              <w:numPr>
                <w:ilvl w:val="0"/>
                <w:numId w:val="21"/>
              </w:numPr>
              <w:spacing w:after="240"/>
              <w:ind w:left="248" w:hanging="358"/>
              <w:jc w:val="both"/>
              <w:rPr>
                <w:rFonts w:ascii="Arial" w:hAnsi="Arial" w:cs="Arial"/>
                <w:b w:val="0"/>
                <w:sz w:val="22"/>
                <w:szCs w:val="22"/>
                <w:lang w:val="es-ES"/>
              </w:rPr>
            </w:pPr>
            <w:r w:rsidRPr="00F11F4F">
              <w:rPr>
                <w:rFonts w:ascii="Arial" w:hAnsi="Arial" w:cs="Arial"/>
                <w:b w:val="0"/>
                <w:sz w:val="22"/>
                <w:szCs w:val="22"/>
                <w:lang w:val="es-ES"/>
              </w:rPr>
              <w:t xml:space="preserve">Elegibilidad del oferente: </w:t>
            </w:r>
            <w:r w:rsidR="009C606A" w:rsidRPr="00F11F4F">
              <w:rPr>
                <w:rFonts w:ascii="Arial" w:hAnsi="Arial" w:cs="Arial"/>
                <w:b w:val="0"/>
                <w:sz w:val="22"/>
                <w:szCs w:val="22"/>
                <w:lang w:val="es-ES"/>
              </w:rPr>
              <w:t>P</w:t>
            </w:r>
            <w:r w:rsidRPr="00F11F4F">
              <w:rPr>
                <w:rFonts w:ascii="Arial" w:hAnsi="Arial" w:cs="Arial"/>
                <w:b w:val="0"/>
                <w:sz w:val="22"/>
                <w:szCs w:val="22"/>
                <w:lang w:val="es-ES"/>
              </w:rPr>
              <w:t>rueba documental, de conformidad con la IAO 1</w:t>
            </w:r>
            <w:r w:rsidR="007B0179" w:rsidRPr="00F11F4F">
              <w:rPr>
                <w:rFonts w:ascii="Arial" w:hAnsi="Arial" w:cs="Arial"/>
                <w:b w:val="0"/>
                <w:sz w:val="22"/>
                <w:szCs w:val="22"/>
                <w:lang w:val="es-ES"/>
              </w:rPr>
              <w:t>8</w:t>
            </w:r>
            <w:r w:rsidRPr="00F11F4F">
              <w:rPr>
                <w:rFonts w:ascii="Arial" w:hAnsi="Arial" w:cs="Arial"/>
                <w:b w:val="0"/>
                <w:sz w:val="22"/>
                <w:szCs w:val="22"/>
                <w:lang w:val="es-ES"/>
              </w:rPr>
              <w:t xml:space="preserve">.1, donde se establezca que el </w:t>
            </w:r>
            <w:r w:rsidR="00B150FF" w:rsidRPr="00F11F4F">
              <w:rPr>
                <w:rFonts w:ascii="Arial" w:hAnsi="Arial" w:cs="Arial"/>
                <w:b w:val="0"/>
                <w:sz w:val="22"/>
                <w:szCs w:val="22"/>
                <w:lang w:val="es-ES"/>
              </w:rPr>
              <w:t>oferente</w:t>
            </w:r>
            <w:r w:rsidRPr="00F11F4F">
              <w:rPr>
                <w:rFonts w:ascii="Arial" w:hAnsi="Arial" w:cs="Arial"/>
                <w:b w:val="0"/>
                <w:sz w:val="22"/>
                <w:szCs w:val="22"/>
                <w:lang w:val="es-ES"/>
              </w:rPr>
              <w:t xml:space="preserve"> reúne las condiciones para presentar una Oferta;</w:t>
            </w:r>
          </w:p>
          <w:p w14:paraId="63FCB374" w14:textId="77777777" w:rsidR="00CB3BE1" w:rsidRPr="00F11F4F" w:rsidRDefault="00CB3BE1" w:rsidP="0071608E">
            <w:pPr>
              <w:pStyle w:val="Prrafodelista"/>
              <w:numPr>
                <w:ilvl w:val="0"/>
                <w:numId w:val="21"/>
              </w:numPr>
              <w:spacing w:before="100" w:after="100"/>
              <w:ind w:left="248" w:right="74" w:hanging="358"/>
              <w:rPr>
                <w:rFonts w:ascii="Arial" w:hAnsi="Arial" w:cs="Arial"/>
                <w:sz w:val="22"/>
                <w:szCs w:val="22"/>
              </w:rPr>
            </w:pPr>
            <w:r w:rsidRPr="00F11F4F">
              <w:rPr>
                <w:rFonts w:ascii="Arial" w:hAnsi="Arial" w:cs="Arial"/>
                <w:sz w:val="22"/>
                <w:szCs w:val="22"/>
                <w:lang w:val="es-ES"/>
              </w:rPr>
              <w:t xml:space="preserve">Calificaciones: </w:t>
            </w:r>
            <w:r w:rsidR="001C7ACB" w:rsidRPr="00F11F4F">
              <w:rPr>
                <w:rFonts w:ascii="Arial" w:hAnsi="Arial" w:cs="Arial"/>
                <w:sz w:val="22"/>
                <w:szCs w:val="22"/>
                <w:lang w:val="es-ES"/>
              </w:rPr>
              <w:t>P</w:t>
            </w:r>
            <w:r w:rsidRPr="00F11F4F">
              <w:rPr>
                <w:rFonts w:ascii="Arial" w:hAnsi="Arial" w:cs="Arial"/>
                <w:sz w:val="22"/>
                <w:szCs w:val="22"/>
                <w:lang w:val="es-ES"/>
              </w:rPr>
              <w:t xml:space="preserve">rueba documental, de acuerdo con la IAO </w:t>
            </w:r>
            <w:r w:rsidR="0013407C" w:rsidRPr="00F11F4F">
              <w:rPr>
                <w:rFonts w:ascii="Arial" w:hAnsi="Arial" w:cs="Arial"/>
                <w:sz w:val="22"/>
                <w:szCs w:val="22"/>
                <w:lang w:val="es-ES"/>
              </w:rPr>
              <w:t>18.2</w:t>
            </w:r>
            <w:r w:rsidRPr="00F11F4F">
              <w:rPr>
                <w:rFonts w:ascii="Arial" w:hAnsi="Arial" w:cs="Arial"/>
                <w:sz w:val="22"/>
                <w:szCs w:val="22"/>
                <w:lang w:val="es-ES"/>
              </w:rPr>
              <w:t xml:space="preserve">, donde se consignen las </w:t>
            </w:r>
            <w:r w:rsidR="009C606A" w:rsidRPr="00F11F4F">
              <w:rPr>
                <w:rFonts w:ascii="Arial" w:hAnsi="Arial" w:cs="Arial"/>
                <w:sz w:val="22"/>
                <w:szCs w:val="22"/>
                <w:lang w:val="es-ES"/>
              </w:rPr>
              <w:t>c</w:t>
            </w:r>
            <w:r w:rsidRPr="00F11F4F">
              <w:rPr>
                <w:rFonts w:ascii="Arial" w:hAnsi="Arial" w:cs="Arial"/>
                <w:sz w:val="22"/>
                <w:szCs w:val="22"/>
                <w:lang w:val="es-ES"/>
              </w:rPr>
              <w:t>alificaciones del oferente para ejecutar si se acepta la oferta</w:t>
            </w:r>
            <w:r w:rsidR="00693A5A" w:rsidRPr="00F11F4F">
              <w:rPr>
                <w:rFonts w:ascii="Arial" w:hAnsi="Arial" w:cs="Arial"/>
                <w:sz w:val="22"/>
                <w:szCs w:val="22"/>
                <w:lang w:val="es-ES"/>
              </w:rPr>
              <w:t>.</w:t>
            </w:r>
          </w:p>
          <w:p w14:paraId="707D454D" w14:textId="77777777" w:rsidR="00693A5A" w:rsidRPr="00F11F4F" w:rsidRDefault="00693A5A" w:rsidP="0071608E">
            <w:pPr>
              <w:pStyle w:val="P3Header1-Clauses"/>
              <w:numPr>
                <w:ilvl w:val="0"/>
                <w:numId w:val="21"/>
              </w:numPr>
              <w:spacing w:after="240"/>
              <w:ind w:left="248" w:hanging="358"/>
              <w:jc w:val="both"/>
              <w:rPr>
                <w:rFonts w:ascii="Arial" w:hAnsi="Arial" w:cs="Arial"/>
                <w:b w:val="0"/>
                <w:color w:val="000000"/>
                <w:sz w:val="22"/>
                <w:szCs w:val="22"/>
                <w:lang w:val="es-ES"/>
              </w:rPr>
            </w:pPr>
            <w:r w:rsidRPr="00F11F4F">
              <w:rPr>
                <w:rFonts w:ascii="Arial" w:hAnsi="Arial" w:cs="Arial"/>
                <w:b w:val="0"/>
                <w:color w:val="000000"/>
                <w:sz w:val="22"/>
                <w:szCs w:val="22"/>
                <w:lang w:val="es-ES"/>
              </w:rPr>
              <w:t xml:space="preserve">Conformidad: </w:t>
            </w:r>
            <w:r w:rsidR="009C606A" w:rsidRPr="00F11F4F">
              <w:rPr>
                <w:rFonts w:ascii="Arial" w:hAnsi="Arial" w:cs="Arial"/>
                <w:b w:val="0"/>
                <w:color w:val="000000"/>
                <w:sz w:val="22"/>
                <w:szCs w:val="22"/>
                <w:lang w:val="es-ES"/>
              </w:rPr>
              <w:t>P</w:t>
            </w:r>
            <w:r w:rsidRPr="00F11F4F">
              <w:rPr>
                <w:rFonts w:ascii="Arial" w:hAnsi="Arial" w:cs="Arial"/>
                <w:b w:val="0"/>
                <w:color w:val="000000"/>
                <w:sz w:val="22"/>
                <w:szCs w:val="22"/>
                <w:lang w:val="es-ES"/>
              </w:rPr>
              <w:t xml:space="preserve">ropuesta técnica, conforme a lo dispuesto en </w:t>
            </w:r>
            <w:r w:rsidRPr="00F11F4F">
              <w:rPr>
                <w:rFonts w:ascii="Arial" w:hAnsi="Arial" w:cs="Arial"/>
                <w:b w:val="0"/>
                <w:sz w:val="22"/>
                <w:szCs w:val="22"/>
                <w:lang w:val="es-ES"/>
              </w:rPr>
              <w:t xml:space="preserve">la </w:t>
            </w:r>
            <w:r w:rsidRPr="00F11F4F">
              <w:rPr>
                <w:rFonts w:ascii="Arial" w:hAnsi="Arial" w:cs="Arial"/>
                <w:b w:val="0"/>
                <w:color w:val="000000"/>
                <w:sz w:val="22"/>
                <w:szCs w:val="22"/>
                <w:lang w:val="es-ES"/>
              </w:rPr>
              <w:t>IA</w:t>
            </w:r>
            <w:r w:rsidR="005928D8" w:rsidRPr="00F11F4F">
              <w:rPr>
                <w:rFonts w:ascii="Arial" w:hAnsi="Arial" w:cs="Arial"/>
                <w:b w:val="0"/>
                <w:color w:val="000000"/>
                <w:sz w:val="22"/>
                <w:szCs w:val="22"/>
                <w:lang w:val="es-ES"/>
              </w:rPr>
              <w:t>O</w:t>
            </w:r>
            <w:r w:rsidRPr="00F11F4F">
              <w:rPr>
                <w:rFonts w:ascii="Arial" w:hAnsi="Arial" w:cs="Arial"/>
                <w:b w:val="0"/>
                <w:color w:val="000000"/>
                <w:sz w:val="22"/>
                <w:szCs w:val="22"/>
                <w:lang w:val="es-ES"/>
              </w:rPr>
              <w:t xml:space="preserve"> 19</w:t>
            </w:r>
            <w:r w:rsidR="0059275E" w:rsidRPr="00F11F4F">
              <w:rPr>
                <w:rFonts w:ascii="Arial" w:hAnsi="Arial" w:cs="Arial"/>
                <w:b w:val="0"/>
                <w:color w:val="000000"/>
                <w:sz w:val="22"/>
                <w:szCs w:val="22"/>
                <w:lang w:val="es-ES"/>
              </w:rPr>
              <w:t>.1</w:t>
            </w:r>
            <w:r w:rsidRPr="00F11F4F">
              <w:rPr>
                <w:rFonts w:ascii="Arial" w:hAnsi="Arial" w:cs="Arial"/>
                <w:b w:val="0"/>
                <w:color w:val="000000"/>
                <w:sz w:val="22"/>
                <w:szCs w:val="22"/>
                <w:lang w:val="es-ES"/>
              </w:rPr>
              <w:t xml:space="preserve"> </w:t>
            </w:r>
          </w:p>
          <w:p w14:paraId="10D884D9" w14:textId="77777777" w:rsidR="00CE5DDA" w:rsidRPr="00F11F4F" w:rsidRDefault="002B0802" w:rsidP="0071608E">
            <w:pPr>
              <w:pStyle w:val="P3Header1-Clauses"/>
              <w:numPr>
                <w:ilvl w:val="0"/>
                <w:numId w:val="21"/>
              </w:numPr>
              <w:spacing w:after="60"/>
              <w:ind w:left="245"/>
              <w:rPr>
                <w:rFonts w:ascii="Arial" w:hAnsi="Arial" w:cs="Arial"/>
                <w:sz w:val="22"/>
                <w:szCs w:val="22"/>
              </w:rPr>
            </w:pPr>
            <w:r w:rsidRPr="00F11F4F">
              <w:rPr>
                <w:rFonts w:ascii="Arial" w:hAnsi="Arial" w:cs="Arial"/>
                <w:b w:val="0"/>
                <w:sz w:val="22"/>
                <w:szCs w:val="22"/>
                <w:lang w:val="es-ES"/>
              </w:rPr>
              <w:t xml:space="preserve">Cualquier otro documento exigido en los </w:t>
            </w:r>
            <w:r w:rsidRPr="00F11F4F">
              <w:rPr>
                <w:rFonts w:ascii="Arial" w:hAnsi="Arial" w:cs="Arial"/>
                <w:bCs/>
                <w:sz w:val="22"/>
                <w:szCs w:val="22"/>
                <w:lang w:val="es-ES"/>
              </w:rPr>
              <w:t>DDL</w:t>
            </w:r>
            <w:r w:rsidRPr="00F11F4F">
              <w:rPr>
                <w:rFonts w:ascii="Arial" w:hAnsi="Arial" w:cs="Arial"/>
                <w:b w:val="0"/>
                <w:sz w:val="22"/>
                <w:szCs w:val="22"/>
                <w:lang w:val="es-ES"/>
              </w:rPr>
              <w:t>.</w:t>
            </w:r>
          </w:p>
        </w:tc>
      </w:tr>
      <w:tr w:rsidR="00CE5DDA" w:rsidRPr="00A33F6B" w14:paraId="4BB41442" w14:textId="77777777" w:rsidTr="00205125">
        <w:trPr>
          <w:trHeight w:val="740"/>
        </w:trPr>
        <w:tc>
          <w:tcPr>
            <w:tcW w:w="1980" w:type="dxa"/>
            <w:vMerge/>
          </w:tcPr>
          <w:p w14:paraId="441538A9" w14:textId="77777777" w:rsidR="00CE5DDA" w:rsidRPr="00F11F4F" w:rsidRDefault="00CE5DDA" w:rsidP="00CE5DDA">
            <w:pPr>
              <w:pStyle w:val="i"/>
              <w:spacing w:before="100" w:after="100"/>
              <w:ind w:left="-108"/>
              <w:jc w:val="center"/>
              <w:rPr>
                <w:rFonts w:ascii="Arial" w:hAnsi="Arial" w:cs="Arial"/>
                <w:sz w:val="22"/>
                <w:szCs w:val="22"/>
              </w:rPr>
            </w:pPr>
          </w:p>
        </w:tc>
        <w:tc>
          <w:tcPr>
            <w:tcW w:w="720" w:type="dxa"/>
            <w:tcBorders>
              <w:right w:val="nil"/>
            </w:tcBorders>
          </w:tcPr>
          <w:p w14:paraId="7D2B78F1" w14:textId="77777777" w:rsidR="00CE5DDA" w:rsidRPr="00F11F4F" w:rsidRDefault="00DC2E92"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12</w:t>
            </w:r>
            <w:r w:rsidR="00CE5DDA" w:rsidRPr="00F11F4F">
              <w:rPr>
                <w:rFonts w:ascii="Arial" w:hAnsi="Arial" w:cs="Arial"/>
                <w:sz w:val="22"/>
                <w:szCs w:val="22"/>
                <w:lang w:val="es-ES"/>
              </w:rPr>
              <w:t>.2</w:t>
            </w:r>
          </w:p>
        </w:tc>
        <w:tc>
          <w:tcPr>
            <w:tcW w:w="6660" w:type="dxa"/>
            <w:tcBorders>
              <w:left w:val="nil"/>
            </w:tcBorders>
          </w:tcPr>
          <w:p w14:paraId="07CBB5AF" w14:textId="77777777" w:rsidR="00CE5DDA" w:rsidRPr="00F11F4F" w:rsidRDefault="00CE5DDA" w:rsidP="00CE5DDA">
            <w:pPr>
              <w:spacing w:before="100" w:after="100"/>
              <w:ind w:left="-108" w:right="74"/>
              <w:rPr>
                <w:rFonts w:ascii="Arial" w:hAnsi="Arial" w:cs="Arial"/>
                <w:sz w:val="22"/>
                <w:szCs w:val="22"/>
                <w:lang w:val="es-ES"/>
              </w:rPr>
            </w:pPr>
            <w:r w:rsidRPr="00F11F4F">
              <w:rPr>
                <w:rFonts w:ascii="Arial" w:hAnsi="Arial" w:cs="Arial"/>
                <w:sz w:val="22"/>
                <w:szCs w:val="22"/>
                <w:lang w:val="es-HN"/>
              </w:rPr>
              <w:t xml:space="preserve">El periodo para el cual se </w:t>
            </w:r>
            <w:r w:rsidRPr="00F11F4F">
              <w:rPr>
                <w:rFonts w:ascii="Arial" w:hAnsi="Arial" w:cs="Arial"/>
                <w:sz w:val="22"/>
                <w:szCs w:val="22"/>
                <w:lang w:val="es-ES"/>
              </w:rPr>
              <w:t>analizarán los antecedentes de contratación</w:t>
            </w:r>
            <w:r w:rsidRPr="00F11F4F">
              <w:rPr>
                <w:rFonts w:ascii="Arial" w:hAnsi="Arial" w:cs="Arial"/>
                <w:sz w:val="22"/>
                <w:szCs w:val="22"/>
                <w:lang w:val="es-HN"/>
              </w:rPr>
              <w:t xml:space="preserve">, la experiencia general y </w:t>
            </w:r>
            <w:r w:rsidRPr="00F11F4F">
              <w:rPr>
                <w:rFonts w:ascii="Arial" w:hAnsi="Arial" w:cs="Arial"/>
                <w:sz w:val="22"/>
                <w:szCs w:val="22"/>
                <w:lang w:val="es-ES"/>
              </w:rPr>
              <w:t>específica será señalado</w:t>
            </w:r>
            <w:r w:rsidRPr="00F11F4F">
              <w:rPr>
                <w:rFonts w:ascii="Arial" w:hAnsi="Arial" w:cs="Arial"/>
                <w:sz w:val="22"/>
                <w:szCs w:val="22"/>
                <w:lang w:val="es-HN"/>
              </w:rPr>
              <w:t xml:space="preserve"> en los </w:t>
            </w:r>
            <w:r w:rsidRPr="00F11F4F">
              <w:rPr>
                <w:rFonts w:ascii="Arial" w:hAnsi="Arial" w:cs="Arial"/>
                <w:b/>
                <w:bCs/>
                <w:sz w:val="22"/>
                <w:szCs w:val="22"/>
                <w:lang w:val="es-HN"/>
              </w:rPr>
              <w:t>DDL</w:t>
            </w:r>
            <w:r w:rsidRPr="00F11F4F">
              <w:rPr>
                <w:rFonts w:ascii="Arial" w:hAnsi="Arial" w:cs="Arial"/>
                <w:sz w:val="22"/>
                <w:szCs w:val="22"/>
                <w:lang w:val="es-ES"/>
              </w:rPr>
              <w:t>.</w:t>
            </w:r>
          </w:p>
          <w:p w14:paraId="2D059F11" w14:textId="77777777" w:rsidR="00CE5DDA" w:rsidRPr="00F11F4F" w:rsidRDefault="00CE5DDA" w:rsidP="00CE5DDA">
            <w:pPr>
              <w:spacing w:before="100" w:after="100"/>
              <w:ind w:left="-108" w:right="74"/>
              <w:rPr>
                <w:rFonts w:ascii="Arial" w:hAnsi="Arial" w:cs="Arial"/>
                <w:sz w:val="22"/>
                <w:szCs w:val="22"/>
                <w:lang w:val="es-HN"/>
              </w:rPr>
            </w:pPr>
            <w:r w:rsidRPr="00F11F4F">
              <w:rPr>
                <w:rFonts w:ascii="Arial" w:hAnsi="Arial" w:cs="Arial"/>
                <w:sz w:val="22"/>
                <w:szCs w:val="22"/>
                <w:lang w:val="es-ES"/>
              </w:rPr>
              <w:t>La situación financiera se analizará a partir de la información de al menos los últimos tres años.</w:t>
            </w:r>
          </w:p>
        </w:tc>
      </w:tr>
      <w:tr w:rsidR="00CE5DDA" w:rsidRPr="00A33F6B" w14:paraId="41615DC0" w14:textId="77777777" w:rsidTr="00205125">
        <w:trPr>
          <w:trHeight w:val="442"/>
        </w:trPr>
        <w:tc>
          <w:tcPr>
            <w:tcW w:w="1980" w:type="dxa"/>
          </w:tcPr>
          <w:p w14:paraId="567A13F2" w14:textId="77777777" w:rsidR="00CE5DDA" w:rsidRPr="00F11F4F" w:rsidRDefault="00DC2E92" w:rsidP="007F1D84">
            <w:pPr>
              <w:pStyle w:val="IAO2"/>
            </w:pPr>
            <w:bookmarkStart w:id="122" w:name="_Toc74048187"/>
            <w:bookmarkStart w:id="123" w:name="_Toc74518431"/>
            <w:bookmarkStart w:id="124" w:name="_Toc74519155"/>
            <w:bookmarkStart w:id="125" w:name="_Toc74519971"/>
            <w:bookmarkStart w:id="126" w:name="_Toc74781345"/>
            <w:bookmarkStart w:id="127" w:name="_Toc74894095"/>
            <w:r w:rsidRPr="00F11F4F">
              <w:t>13</w:t>
            </w:r>
            <w:r w:rsidR="00CE5DDA" w:rsidRPr="00F11F4F">
              <w:t>. Carta de presentación de la Oferta y formularios</w:t>
            </w:r>
            <w:bookmarkEnd w:id="122"/>
            <w:bookmarkEnd w:id="123"/>
            <w:bookmarkEnd w:id="124"/>
            <w:bookmarkEnd w:id="125"/>
            <w:bookmarkEnd w:id="126"/>
            <w:bookmarkEnd w:id="127"/>
          </w:p>
        </w:tc>
        <w:tc>
          <w:tcPr>
            <w:tcW w:w="720" w:type="dxa"/>
            <w:tcBorders>
              <w:right w:val="nil"/>
            </w:tcBorders>
          </w:tcPr>
          <w:p w14:paraId="245C214E" w14:textId="77777777" w:rsidR="00CE5DDA" w:rsidRPr="00F11F4F" w:rsidRDefault="00DC2E92" w:rsidP="00CE5DDA">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13</w:t>
            </w:r>
            <w:r w:rsidR="00CE5DDA" w:rsidRPr="00F11F4F">
              <w:rPr>
                <w:rFonts w:ascii="Arial" w:hAnsi="Arial" w:cs="Arial"/>
                <w:sz w:val="22"/>
                <w:szCs w:val="22"/>
                <w:lang w:val="es-ES"/>
              </w:rPr>
              <w:t>.1</w:t>
            </w:r>
          </w:p>
        </w:tc>
        <w:tc>
          <w:tcPr>
            <w:tcW w:w="6660" w:type="dxa"/>
            <w:tcBorders>
              <w:left w:val="nil"/>
            </w:tcBorders>
          </w:tcPr>
          <w:p w14:paraId="7D766082" w14:textId="77777777" w:rsidR="00CE5DDA" w:rsidRPr="00F11F4F" w:rsidRDefault="00CE5DDA"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La carta de presentación de la oferta, lista de los formularios y documentos a presentar en la oferta se detallan en el numeral </w:t>
            </w:r>
            <w:r w:rsidR="00DC2E92" w:rsidRPr="00F11F4F">
              <w:rPr>
                <w:rFonts w:ascii="Arial" w:hAnsi="Arial" w:cs="Arial"/>
                <w:sz w:val="22"/>
                <w:szCs w:val="22"/>
                <w:lang w:val="es-ES"/>
              </w:rPr>
              <w:t>12</w:t>
            </w:r>
            <w:r w:rsidRPr="00F11F4F">
              <w:rPr>
                <w:rFonts w:ascii="Arial" w:hAnsi="Arial" w:cs="Arial"/>
                <w:sz w:val="22"/>
                <w:szCs w:val="22"/>
                <w:lang w:val="es-ES"/>
              </w:rPr>
              <w:t xml:space="preserve">.1 de los </w:t>
            </w:r>
            <w:r w:rsidRPr="00F11F4F">
              <w:rPr>
                <w:rFonts w:ascii="Arial" w:hAnsi="Arial" w:cs="Arial"/>
                <w:b/>
                <w:bCs/>
                <w:sz w:val="22"/>
                <w:szCs w:val="22"/>
                <w:lang w:val="es-ES"/>
              </w:rPr>
              <w:t>DDL</w:t>
            </w:r>
            <w:r w:rsidRPr="00F11F4F">
              <w:rPr>
                <w:rFonts w:ascii="Arial" w:hAnsi="Arial" w:cs="Arial"/>
                <w:sz w:val="22"/>
                <w:szCs w:val="22"/>
                <w:lang w:val="es-ES"/>
              </w:rPr>
              <w:t xml:space="preserve"> y la sección I</w:t>
            </w:r>
            <w:r w:rsidR="006B0F2D" w:rsidRPr="00F11F4F">
              <w:rPr>
                <w:rFonts w:ascii="Arial" w:hAnsi="Arial" w:cs="Arial"/>
                <w:sz w:val="22"/>
                <w:szCs w:val="22"/>
                <w:lang w:val="es-ES"/>
              </w:rPr>
              <w:t>V</w:t>
            </w:r>
            <w:r w:rsidR="00C20E77" w:rsidRPr="00F11F4F">
              <w:rPr>
                <w:rFonts w:ascii="Arial" w:hAnsi="Arial" w:cs="Arial"/>
                <w:sz w:val="22"/>
                <w:szCs w:val="22"/>
                <w:lang w:val="es-ES"/>
              </w:rPr>
              <w:t xml:space="preserve"> Formularios</w:t>
            </w:r>
            <w:r w:rsidRPr="00F11F4F">
              <w:rPr>
                <w:rFonts w:ascii="Arial" w:hAnsi="Arial" w:cs="Arial"/>
                <w:sz w:val="22"/>
                <w:szCs w:val="22"/>
                <w:lang w:val="es-ES"/>
              </w:rPr>
              <w:t>, los que se deberán completar sin realizar ningún tipo de modificaciones al texto ni presentar ninguna sustitución a lo requerido</w:t>
            </w:r>
            <w:r w:rsidR="00C20E77" w:rsidRPr="00F11F4F">
              <w:rPr>
                <w:rFonts w:ascii="Arial" w:hAnsi="Arial" w:cs="Arial"/>
                <w:sz w:val="22"/>
                <w:szCs w:val="22"/>
                <w:lang w:val="es-ES"/>
              </w:rPr>
              <w:t xml:space="preserve"> salvo lo dispuesto en la IAO 21.5</w:t>
            </w:r>
            <w:r w:rsidRPr="00F11F4F">
              <w:rPr>
                <w:rFonts w:ascii="Arial" w:hAnsi="Arial" w:cs="Arial"/>
                <w:sz w:val="22"/>
                <w:szCs w:val="22"/>
                <w:lang w:val="es-ES"/>
              </w:rPr>
              <w:t xml:space="preserve">. Todos los espacios en blanco deberán llenarse con la información </w:t>
            </w:r>
            <w:r w:rsidR="00C20E77" w:rsidRPr="00F11F4F">
              <w:rPr>
                <w:rFonts w:ascii="Arial" w:hAnsi="Arial" w:cs="Arial"/>
                <w:sz w:val="22"/>
                <w:szCs w:val="22"/>
                <w:lang w:val="es-ES"/>
              </w:rPr>
              <w:t>requerida</w:t>
            </w:r>
            <w:r w:rsidR="00032C37" w:rsidRPr="00F11F4F">
              <w:rPr>
                <w:rFonts w:ascii="Arial" w:hAnsi="Arial" w:cs="Arial"/>
                <w:sz w:val="22"/>
                <w:szCs w:val="22"/>
                <w:lang w:val="es-ES"/>
              </w:rPr>
              <w:t>.</w:t>
            </w:r>
          </w:p>
        </w:tc>
      </w:tr>
      <w:tr w:rsidR="00CE5DDA" w:rsidRPr="00A33F6B" w14:paraId="756BEA58" w14:textId="77777777" w:rsidTr="00205125">
        <w:trPr>
          <w:trHeight w:val="629"/>
        </w:trPr>
        <w:tc>
          <w:tcPr>
            <w:tcW w:w="1980" w:type="dxa"/>
          </w:tcPr>
          <w:p w14:paraId="4F5678C6" w14:textId="77777777" w:rsidR="00CE5DDA" w:rsidRPr="00F11F4F" w:rsidRDefault="00DC2E92" w:rsidP="007F1D84">
            <w:pPr>
              <w:pStyle w:val="IAO2"/>
            </w:pPr>
            <w:bookmarkStart w:id="128" w:name="_Toc74048188"/>
            <w:bookmarkStart w:id="129" w:name="_Toc74518432"/>
            <w:bookmarkStart w:id="130" w:name="_Toc74519156"/>
            <w:bookmarkStart w:id="131" w:name="_Toc74519972"/>
            <w:bookmarkStart w:id="132" w:name="_Toc74781346"/>
            <w:bookmarkStart w:id="133" w:name="_Toc74894096"/>
            <w:r w:rsidRPr="00F11F4F">
              <w:t>14</w:t>
            </w:r>
            <w:r w:rsidR="00CE5DDA" w:rsidRPr="00F11F4F">
              <w:t>. Ofertas alternativas</w:t>
            </w:r>
            <w:bookmarkEnd w:id="128"/>
            <w:bookmarkEnd w:id="129"/>
            <w:bookmarkEnd w:id="130"/>
            <w:bookmarkEnd w:id="131"/>
            <w:bookmarkEnd w:id="132"/>
            <w:bookmarkEnd w:id="133"/>
          </w:p>
        </w:tc>
        <w:tc>
          <w:tcPr>
            <w:tcW w:w="720" w:type="dxa"/>
            <w:tcBorders>
              <w:right w:val="nil"/>
            </w:tcBorders>
          </w:tcPr>
          <w:p w14:paraId="43641E98" w14:textId="77777777" w:rsidR="00CE5DDA" w:rsidRPr="00F11F4F" w:rsidRDefault="00DC2E92" w:rsidP="00CE5DDA">
            <w:pPr>
              <w:pStyle w:val="i"/>
              <w:spacing w:before="100" w:after="100"/>
              <w:ind w:left="-82"/>
              <w:jc w:val="center"/>
              <w:rPr>
                <w:rFonts w:ascii="Arial" w:hAnsi="Arial" w:cs="Arial"/>
                <w:sz w:val="22"/>
                <w:szCs w:val="22"/>
                <w:lang w:val="es-ES"/>
              </w:rPr>
            </w:pPr>
            <w:r w:rsidRPr="00F11F4F">
              <w:rPr>
                <w:rFonts w:ascii="Arial" w:hAnsi="Arial" w:cs="Arial"/>
                <w:sz w:val="22"/>
                <w:szCs w:val="22"/>
                <w:lang w:val="es-ES"/>
              </w:rPr>
              <w:t>14</w:t>
            </w:r>
            <w:r w:rsidR="00CE5DDA" w:rsidRPr="00F11F4F">
              <w:rPr>
                <w:rFonts w:ascii="Arial" w:hAnsi="Arial" w:cs="Arial"/>
                <w:sz w:val="22"/>
                <w:szCs w:val="22"/>
                <w:lang w:val="es-ES"/>
              </w:rPr>
              <w:t>.1</w:t>
            </w:r>
          </w:p>
        </w:tc>
        <w:tc>
          <w:tcPr>
            <w:tcW w:w="6660" w:type="dxa"/>
            <w:tcBorders>
              <w:left w:val="nil"/>
            </w:tcBorders>
          </w:tcPr>
          <w:p w14:paraId="72F67ED0" w14:textId="77777777" w:rsidR="00CE5DDA" w:rsidRPr="00F11F4F" w:rsidRDefault="00CE5DDA"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Cada oferente presentará solamente una oferta, ya sea de forma individual o como miembro de un</w:t>
            </w:r>
            <w:r w:rsidR="00B43F40" w:rsidRPr="00F11F4F">
              <w:rPr>
                <w:rFonts w:ascii="Arial" w:hAnsi="Arial" w:cs="Arial"/>
                <w:sz w:val="22"/>
                <w:szCs w:val="22"/>
                <w:lang w:val="es-ES"/>
              </w:rPr>
              <w:t>a</w:t>
            </w:r>
            <w:r w:rsidRPr="00F11F4F">
              <w:rPr>
                <w:rFonts w:ascii="Arial" w:hAnsi="Arial" w:cs="Arial"/>
                <w:sz w:val="22"/>
                <w:szCs w:val="22"/>
                <w:lang w:val="es-ES"/>
              </w:rPr>
              <w:t xml:space="preserve"> </w:t>
            </w:r>
            <w:r w:rsidR="00C53847" w:rsidRPr="00F11F4F">
              <w:rPr>
                <w:rFonts w:ascii="Arial" w:hAnsi="Arial" w:cs="Arial"/>
                <w:sz w:val="22"/>
                <w:szCs w:val="22"/>
                <w:lang w:val="es-ES"/>
              </w:rPr>
              <w:t>APCA</w:t>
            </w:r>
            <w:r w:rsidRPr="00F11F4F">
              <w:rPr>
                <w:rFonts w:ascii="Arial" w:hAnsi="Arial" w:cs="Arial"/>
                <w:sz w:val="22"/>
                <w:szCs w:val="22"/>
                <w:lang w:val="es-ES"/>
              </w:rPr>
              <w:t xml:space="preserve">, salvo que en los </w:t>
            </w:r>
            <w:r w:rsidRPr="00F11F4F">
              <w:rPr>
                <w:rFonts w:ascii="Arial" w:hAnsi="Arial" w:cs="Arial"/>
                <w:b/>
                <w:bCs/>
                <w:sz w:val="22"/>
                <w:szCs w:val="22"/>
                <w:lang w:val="es-ES"/>
              </w:rPr>
              <w:t>DDL</w:t>
            </w:r>
            <w:r w:rsidRPr="00F11F4F">
              <w:rPr>
                <w:rFonts w:ascii="Arial" w:hAnsi="Arial" w:cs="Arial"/>
                <w:sz w:val="22"/>
                <w:szCs w:val="22"/>
                <w:lang w:val="es-ES"/>
              </w:rPr>
              <w:t xml:space="preserve"> se permita la presentación de ofertas alternativas. </w:t>
            </w:r>
          </w:p>
        </w:tc>
      </w:tr>
      <w:tr w:rsidR="00662DAD" w:rsidRPr="00A33F6B" w14:paraId="444DAC13" w14:textId="77777777" w:rsidTr="00205125">
        <w:trPr>
          <w:trHeight w:val="902"/>
        </w:trPr>
        <w:tc>
          <w:tcPr>
            <w:tcW w:w="1980" w:type="dxa"/>
            <w:vMerge w:val="restart"/>
          </w:tcPr>
          <w:p w14:paraId="480A2AAE" w14:textId="77777777" w:rsidR="00662DAD" w:rsidRPr="00F11F4F" w:rsidRDefault="00662DAD" w:rsidP="007F1D84">
            <w:pPr>
              <w:pStyle w:val="IAO2"/>
            </w:pPr>
            <w:bookmarkStart w:id="134" w:name="_Toc74048189"/>
            <w:bookmarkStart w:id="135" w:name="_Toc74518433"/>
            <w:bookmarkStart w:id="136" w:name="_Toc74519157"/>
            <w:bookmarkStart w:id="137" w:name="_Toc74519973"/>
            <w:bookmarkStart w:id="138" w:name="_Toc74781347"/>
            <w:bookmarkStart w:id="139" w:name="_Toc74894097"/>
            <w:r w:rsidRPr="00F11F4F">
              <w:t>15. Precios de la oferta</w:t>
            </w:r>
            <w:bookmarkEnd w:id="134"/>
            <w:bookmarkEnd w:id="135"/>
            <w:bookmarkEnd w:id="136"/>
            <w:bookmarkEnd w:id="137"/>
            <w:bookmarkEnd w:id="138"/>
            <w:bookmarkEnd w:id="139"/>
          </w:p>
        </w:tc>
        <w:tc>
          <w:tcPr>
            <w:tcW w:w="720" w:type="dxa"/>
            <w:tcBorders>
              <w:right w:val="nil"/>
            </w:tcBorders>
          </w:tcPr>
          <w:p w14:paraId="491420AA" w14:textId="77777777" w:rsidR="00662DAD" w:rsidRPr="00F11F4F" w:rsidRDefault="00662DAD"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15.1</w:t>
            </w:r>
          </w:p>
        </w:tc>
        <w:tc>
          <w:tcPr>
            <w:tcW w:w="6660" w:type="dxa"/>
            <w:tcBorders>
              <w:left w:val="nil"/>
            </w:tcBorders>
          </w:tcPr>
          <w:p w14:paraId="2435F03A" w14:textId="77777777" w:rsidR="00662DAD" w:rsidRPr="00F11F4F" w:rsidRDefault="00662DAD"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El contrato comprenderá la totalidad de las obras especificadas en el numeral 2.1 de los </w:t>
            </w:r>
            <w:r w:rsidRPr="00F11F4F">
              <w:rPr>
                <w:rFonts w:ascii="Arial" w:hAnsi="Arial" w:cs="Arial"/>
                <w:b/>
                <w:bCs/>
                <w:sz w:val="22"/>
                <w:szCs w:val="22"/>
                <w:lang w:val="es-ES"/>
              </w:rPr>
              <w:t>DDL</w:t>
            </w:r>
            <w:r w:rsidRPr="00F11F4F">
              <w:rPr>
                <w:rFonts w:ascii="Arial" w:hAnsi="Arial" w:cs="Arial"/>
                <w:sz w:val="22"/>
                <w:szCs w:val="22"/>
                <w:lang w:val="es-ES"/>
              </w:rPr>
              <w:t>, sobre la base de la lista de cantidades valoradas presentada por el oferente.</w:t>
            </w:r>
          </w:p>
        </w:tc>
      </w:tr>
      <w:tr w:rsidR="00662DAD" w:rsidRPr="00A33F6B" w14:paraId="17944A9F" w14:textId="77777777" w:rsidTr="00205125">
        <w:trPr>
          <w:trHeight w:val="350"/>
        </w:trPr>
        <w:tc>
          <w:tcPr>
            <w:tcW w:w="1980" w:type="dxa"/>
            <w:vMerge/>
          </w:tcPr>
          <w:p w14:paraId="72CF27EC" w14:textId="77777777" w:rsidR="00662DAD" w:rsidRPr="00F11F4F" w:rsidRDefault="00662DAD" w:rsidP="00CE5DDA">
            <w:pPr>
              <w:pStyle w:val="i"/>
              <w:spacing w:before="100" w:after="100"/>
              <w:rPr>
                <w:rFonts w:ascii="Arial" w:hAnsi="Arial" w:cs="Arial"/>
                <w:b/>
                <w:sz w:val="22"/>
                <w:szCs w:val="22"/>
                <w:lang w:val="es-ES"/>
              </w:rPr>
            </w:pPr>
          </w:p>
        </w:tc>
        <w:tc>
          <w:tcPr>
            <w:tcW w:w="720" w:type="dxa"/>
            <w:tcBorders>
              <w:right w:val="nil"/>
            </w:tcBorders>
          </w:tcPr>
          <w:p w14:paraId="103B6C78" w14:textId="77777777" w:rsidR="00662DAD" w:rsidRPr="00F11F4F" w:rsidRDefault="00662DAD"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15.2</w:t>
            </w:r>
          </w:p>
        </w:tc>
        <w:tc>
          <w:tcPr>
            <w:tcW w:w="6660" w:type="dxa"/>
            <w:tcBorders>
              <w:left w:val="nil"/>
            </w:tcBorders>
          </w:tcPr>
          <w:p w14:paraId="52BCE214" w14:textId="77777777" w:rsidR="00662DAD" w:rsidRPr="00F11F4F" w:rsidRDefault="00662DAD"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El oferente deberá completar los precios unitarios y los precios para todas las partidas de las obras descritas en el formulario de Lista de Cantidades y sus precios unitarios (En caso de contratos basados </w:t>
            </w:r>
            <w:r w:rsidRPr="00F11F4F">
              <w:rPr>
                <w:rFonts w:ascii="Arial" w:hAnsi="Arial" w:cs="Arial"/>
                <w:sz w:val="22"/>
                <w:szCs w:val="22"/>
                <w:lang w:val="es-ES"/>
              </w:rPr>
              <w:lastRenderedPageBreak/>
              <w:t xml:space="preserve">en precios unitarios) o en el calendario de actividades (para los contratos de suma global). </w:t>
            </w:r>
          </w:p>
          <w:p w14:paraId="3339F2BB" w14:textId="77777777" w:rsidR="00662DAD" w:rsidRPr="00F11F4F" w:rsidRDefault="00662DAD"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Se considerará que las partidas para las cuales el oferente no ha indicado precios unitarios o precios están cubiertas por los precios indicados para otras partidas de la Lista de Cantidades y el Contratante no las pagará por separado. </w:t>
            </w:r>
          </w:p>
          <w:p w14:paraId="5121C520" w14:textId="77777777" w:rsidR="00662DAD" w:rsidRPr="00F11F4F" w:rsidRDefault="00662DAD"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En caso de que el oferente presente una oferta en la cual no ha indicado precios para alguna de las partidas para efectos de evaluación se tomara en cuenta lo indicado las IAO 33.2</w:t>
            </w:r>
          </w:p>
        </w:tc>
      </w:tr>
      <w:tr w:rsidR="00662DAD" w:rsidRPr="00A33F6B" w14:paraId="2BA0F51D" w14:textId="77777777" w:rsidTr="00205125">
        <w:trPr>
          <w:trHeight w:val="902"/>
        </w:trPr>
        <w:tc>
          <w:tcPr>
            <w:tcW w:w="1980" w:type="dxa"/>
            <w:vMerge/>
          </w:tcPr>
          <w:p w14:paraId="2EFF821D" w14:textId="77777777" w:rsidR="00662DAD" w:rsidRPr="00F11F4F" w:rsidRDefault="00662DAD" w:rsidP="00CE5DDA">
            <w:pPr>
              <w:pStyle w:val="i"/>
              <w:spacing w:before="100" w:after="100"/>
              <w:rPr>
                <w:rFonts w:ascii="Arial" w:hAnsi="Arial" w:cs="Arial"/>
                <w:b/>
                <w:sz w:val="22"/>
                <w:szCs w:val="22"/>
                <w:lang w:val="es-ES"/>
              </w:rPr>
            </w:pPr>
          </w:p>
        </w:tc>
        <w:tc>
          <w:tcPr>
            <w:tcW w:w="720" w:type="dxa"/>
            <w:tcBorders>
              <w:right w:val="nil"/>
            </w:tcBorders>
          </w:tcPr>
          <w:p w14:paraId="1B2F6FE6" w14:textId="77777777" w:rsidR="00662DAD" w:rsidRPr="00F11F4F" w:rsidRDefault="00662DAD"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15.3</w:t>
            </w:r>
          </w:p>
        </w:tc>
        <w:tc>
          <w:tcPr>
            <w:tcW w:w="6660" w:type="dxa"/>
            <w:tcBorders>
              <w:left w:val="nil"/>
            </w:tcBorders>
          </w:tcPr>
          <w:p w14:paraId="05E48A79" w14:textId="77777777" w:rsidR="00662DAD" w:rsidRPr="00F11F4F" w:rsidRDefault="00662DAD" w:rsidP="00CE5DDA">
            <w:pPr>
              <w:pStyle w:val="i"/>
              <w:spacing w:before="100" w:after="100"/>
              <w:ind w:left="-114"/>
              <w:rPr>
                <w:rFonts w:ascii="Arial" w:hAnsi="Arial" w:cs="Arial"/>
                <w:sz w:val="22"/>
                <w:szCs w:val="22"/>
                <w:lang w:val="es-ES"/>
              </w:rPr>
            </w:pPr>
            <w:r w:rsidRPr="00F11F4F">
              <w:rPr>
                <w:rFonts w:ascii="Arial" w:hAnsi="Arial" w:cs="Arial"/>
                <w:sz w:val="22"/>
                <w:szCs w:val="22"/>
                <w:lang w:val="es-HN"/>
              </w:rPr>
              <w:t xml:space="preserve">El oferente al que se le adjudique la licitación podrá estar sujeto a impuestos nacionales sobre los gastos y montos pagaderos bajo el contrato o pagos por conceptos de prestaciones o seguridad social, conforme a lo estipulado en los </w:t>
            </w:r>
            <w:r w:rsidRPr="00F11F4F">
              <w:rPr>
                <w:rFonts w:ascii="Arial" w:hAnsi="Arial" w:cs="Arial"/>
                <w:b/>
                <w:sz w:val="22"/>
                <w:szCs w:val="22"/>
                <w:lang w:val="es-HN"/>
              </w:rPr>
              <w:t>DDL.</w:t>
            </w:r>
          </w:p>
        </w:tc>
      </w:tr>
      <w:tr w:rsidR="00662DAD" w:rsidRPr="00A33F6B" w14:paraId="4231E4E1" w14:textId="77777777" w:rsidTr="00205125">
        <w:trPr>
          <w:trHeight w:val="902"/>
        </w:trPr>
        <w:tc>
          <w:tcPr>
            <w:tcW w:w="1980" w:type="dxa"/>
            <w:vMerge/>
          </w:tcPr>
          <w:p w14:paraId="58E81301" w14:textId="77777777" w:rsidR="00662DAD" w:rsidRPr="00F11F4F" w:rsidRDefault="00662DAD" w:rsidP="00CE5DDA">
            <w:pPr>
              <w:pStyle w:val="i"/>
              <w:spacing w:before="100" w:after="100"/>
              <w:rPr>
                <w:rFonts w:ascii="Arial" w:hAnsi="Arial" w:cs="Arial"/>
                <w:b/>
                <w:sz w:val="22"/>
                <w:szCs w:val="22"/>
                <w:lang w:val="es-ES"/>
              </w:rPr>
            </w:pPr>
          </w:p>
        </w:tc>
        <w:tc>
          <w:tcPr>
            <w:tcW w:w="720" w:type="dxa"/>
            <w:tcBorders>
              <w:right w:val="nil"/>
            </w:tcBorders>
          </w:tcPr>
          <w:p w14:paraId="5A2DF36A" w14:textId="77777777" w:rsidR="00662DAD" w:rsidRPr="00F11F4F" w:rsidRDefault="00662DAD"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15.4</w:t>
            </w:r>
          </w:p>
        </w:tc>
        <w:tc>
          <w:tcPr>
            <w:tcW w:w="6660" w:type="dxa"/>
            <w:tcBorders>
              <w:left w:val="nil"/>
            </w:tcBorders>
          </w:tcPr>
          <w:p w14:paraId="2FE0127C" w14:textId="77777777" w:rsidR="00662DAD" w:rsidRPr="00F11F4F" w:rsidRDefault="00662DAD"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Todos los derechos, impuestos y demás gravámenes que deba pagar el contratista en virtud del contrato, o por cualquier otro motivo, que se encuentren establecidos 28 días anteriores a la fecha límite para la presentación de las ofertas, se incluirán en los precios, los precios unitarios y en el precio total de la oferta que presente el oferente</w:t>
            </w:r>
          </w:p>
        </w:tc>
      </w:tr>
      <w:tr w:rsidR="00CE5DDA" w:rsidRPr="00A33F6B" w14:paraId="32633580" w14:textId="77777777" w:rsidTr="00205125">
        <w:trPr>
          <w:trHeight w:val="269"/>
        </w:trPr>
        <w:tc>
          <w:tcPr>
            <w:tcW w:w="1980" w:type="dxa"/>
            <w:vMerge w:val="restart"/>
          </w:tcPr>
          <w:p w14:paraId="0F2670AC" w14:textId="77777777" w:rsidR="00CE5DDA" w:rsidRPr="00F11F4F" w:rsidRDefault="00DC2E92" w:rsidP="007F1D84">
            <w:pPr>
              <w:pStyle w:val="IAO2"/>
            </w:pPr>
            <w:bookmarkStart w:id="140" w:name="_Toc74048190"/>
            <w:bookmarkStart w:id="141" w:name="_Toc74518434"/>
            <w:bookmarkStart w:id="142" w:name="_Toc74519158"/>
            <w:bookmarkStart w:id="143" w:name="_Toc74519974"/>
            <w:bookmarkStart w:id="144" w:name="_Toc74781348"/>
            <w:bookmarkStart w:id="145" w:name="_Toc74894098"/>
            <w:r w:rsidRPr="00F11F4F">
              <w:t>16</w:t>
            </w:r>
            <w:r w:rsidR="00CE5DDA" w:rsidRPr="00F11F4F">
              <w:t>. Ajuste de Precios</w:t>
            </w:r>
            <w:bookmarkEnd w:id="140"/>
            <w:bookmarkEnd w:id="141"/>
            <w:bookmarkEnd w:id="142"/>
            <w:bookmarkEnd w:id="143"/>
            <w:bookmarkEnd w:id="144"/>
            <w:bookmarkEnd w:id="145"/>
          </w:p>
        </w:tc>
        <w:tc>
          <w:tcPr>
            <w:tcW w:w="720" w:type="dxa"/>
            <w:tcBorders>
              <w:right w:val="nil"/>
            </w:tcBorders>
          </w:tcPr>
          <w:p w14:paraId="50BD1D4C" w14:textId="77777777" w:rsidR="00CE5DDA" w:rsidRPr="00F11F4F" w:rsidRDefault="00DC2E92"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16</w:t>
            </w:r>
            <w:r w:rsidR="00CE5DDA" w:rsidRPr="00F11F4F">
              <w:rPr>
                <w:rFonts w:ascii="Arial" w:hAnsi="Arial" w:cs="Arial"/>
                <w:sz w:val="22"/>
                <w:szCs w:val="22"/>
                <w:lang w:val="es-ES"/>
              </w:rPr>
              <w:t>.1</w:t>
            </w:r>
          </w:p>
        </w:tc>
        <w:tc>
          <w:tcPr>
            <w:tcW w:w="6660" w:type="dxa"/>
            <w:tcBorders>
              <w:left w:val="nil"/>
            </w:tcBorders>
          </w:tcPr>
          <w:p w14:paraId="0219C9E6" w14:textId="77777777" w:rsidR="00F94F77" w:rsidRPr="00F11F4F" w:rsidRDefault="00CE5DDA" w:rsidP="00473AC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Los precios cotizados por el oferente serán fijos durante la ejecución del contrato y no estarán sujetos a ajustes durante la ejecución, salvo indicación contraria en los </w:t>
            </w:r>
            <w:r w:rsidRPr="00F11F4F">
              <w:rPr>
                <w:rFonts w:ascii="Arial" w:hAnsi="Arial" w:cs="Arial"/>
                <w:b/>
                <w:bCs/>
                <w:sz w:val="22"/>
                <w:szCs w:val="22"/>
                <w:lang w:val="es-ES"/>
              </w:rPr>
              <w:t>DDL</w:t>
            </w:r>
            <w:r w:rsidRPr="00F11F4F">
              <w:rPr>
                <w:rFonts w:ascii="Arial" w:hAnsi="Arial" w:cs="Arial"/>
                <w:sz w:val="22"/>
                <w:szCs w:val="22"/>
                <w:lang w:val="es-ES"/>
              </w:rPr>
              <w:t xml:space="preserve">. </w:t>
            </w:r>
          </w:p>
        </w:tc>
      </w:tr>
      <w:tr w:rsidR="00CE5DDA" w:rsidRPr="00A33F6B" w14:paraId="12F0239A" w14:textId="77777777" w:rsidTr="00205125">
        <w:trPr>
          <w:trHeight w:val="753"/>
        </w:trPr>
        <w:tc>
          <w:tcPr>
            <w:tcW w:w="1980" w:type="dxa"/>
            <w:vMerge/>
          </w:tcPr>
          <w:p w14:paraId="23084B24" w14:textId="77777777" w:rsidR="00CE5DDA" w:rsidRPr="00F11F4F" w:rsidRDefault="00CE5DDA" w:rsidP="007F1D84">
            <w:pPr>
              <w:pStyle w:val="IAO2"/>
            </w:pPr>
          </w:p>
        </w:tc>
        <w:tc>
          <w:tcPr>
            <w:tcW w:w="720" w:type="dxa"/>
            <w:tcBorders>
              <w:right w:val="nil"/>
            </w:tcBorders>
          </w:tcPr>
          <w:p w14:paraId="1037742E" w14:textId="77777777" w:rsidR="00CE5DDA" w:rsidRPr="00F11F4F" w:rsidRDefault="00DC2E92" w:rsidP="00CE5DDA">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16</w:t>
            </w:r>
            <w:r w:rsidR="00CE5DDA" w:rsidRPr="00F11F4F">
              <w:rPr>
                <w:rFonts w:ascii="Arial" w:hAnsi="Arial" w:cs="Arial"/>
                <w:sz w:val="22"/>
                <w:szCs w:val="22"/>
                <w:lang w:val="es-ES"/>
              </w:rPr>
              <w:t>.2</w:t>
            </w:r>
          </w:p>
        </w:tc>
        <w:tc>
          <w:tcPr>
            <w:tcW w:w="6660" w:type="dxa"/>
            <w:tcBorders>
              <w:left w:val="nil"/>
            </w:tcBorders>
          </w:tcPr>
          <w:p w14:paraId="3A70C2DB" w14:textId="77777777" w:rsidR="00CE5DDA" w:rsidRPr="00F11F4F" w:rsidRDefault="00CE5DDA"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En el caso que las ofertas se puedan presentar por lotes individuales o por combinación de lotes, se indicará en los </w:t>
            </w:r>
            <w:r w:rsidRPr="00F11F4F">
              <w:rPr>
                <w:rFonts w:ascii="Arial" w:hAnsi="Arial" w:cs="Arial"/>
                <w:b/>
                <w:bCs/>
                <w:sz w:val="22"/>
                <w:szCs w:val="22"/>
                <w:lang w:val="es-ES"/>
              </w:rPr>
              <w:t xml:space="preserve">DDL </w:t>
            </w:r>
            <w:r w:rsidRPr="00F11F4F">
              <w:rPr>
                <w:rFonts w:ascii="Arial" w:hAnsi="Arial" w:cs="Arial"/>
                <w:sz w:val="22"/>
                <w:szCs w:val="22"/>
                <w:lang w:val="es-ES"/>
              </w:rPr>
              <w:t>y en la sección III.</w:t>
            </w:r>
          </w:p>
        </w:tc>
      </w:tr>
      <w:tr w:rsidR="00CE5DDA" w:rsidRPr="00A33F6B" w14:paraId="061AB01F" w14:textId="77777777" w:rsidTr="00205125">
        <w:trPr>
          <w:trHeight w:val="1006"/>
        </w:trPr>
        <w:tc>
          <w:tcPr>
            <w:tcW w:w="1980" w:type="dxa"/>
          </w:tcPr>
          <w:p w14:paraId="21928ED5" w14:textId="77777777" w:rsidR="00CE5DDA" w:rsidRPr="00F11F4F" w:rsidRDefault="00DC2E92" w:rsidP="007F1D84">
            <w:pPr>
              <w:pStyle w:val="IAO2"/>
            </w:pPr>
            <w:bookmarkStart w:id="146" w:name="_Toc74048191"/>
            <w:bookmarkStart w:id="147" w:name="_Toc74518435"/>
            <w:bookmarkStart w:id="148" w:name="_Toc74519159"/>
            <w:bookmarkStart w:id="149" w:name="_Toc74519975"/>
            <w:bookmarkStart w:id="150" w:name="_Toc74781349"/>
            <w:bookmarkStart w:id="151" w:name="_Toc74894099"/>
            <w:r w:rsidRPr="00F11F4F">
              <w:t>17</w:t>
            </w:r>
            <w:r w:rsidR="00CE5DDA" w:rsidRPr="00F11F4F">
              <w:t>. Monedas de la Oferta y de pago</w:t>
            </w:r>
            <w:bookmarkEnd w:id="146"/>
            <w:bookmarkEnd w:id="147"/>
            <w:bookmarkEnd w:id="148"/>
            <w:bookmarkEnd w:id="149"/>
            <w:bookmarkEnd w:id="150"/>
            <w:bookmarkEnd w:id="151"/>
          </w:p>
        </w:tc>
        <w:tc>
          <w:tcPr>
            <w:tcW w:w="720" w:type="dxa"/>
            <w:tcBorders>
              <w:right w:val="nil"/>
            </w:tcBorders>
          </w:tcPr>
          <w:p w14:paraId="0E7E4A96" w14:textId="77777777" w:rsidR="00CE5DDA" w:rsidRPr="00F11F4F" w:rsidRDefault="00DC2E92"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17</w:t>
            </w:r>
            <w:r w:rsidR="00CE5DDA" w:rsidRPr="00F11F4F">
              <w:rPr>
                <w:rFonts w:ascii="Arial" w:hAnsi="Arial" w:cs="Arial"/>
                <w:sz w:val="22"/>
                <w:szCs w:val="22"/>
                <w:lang w:val="es-ES"/>
              </w:rPr>
              <w:t>.1</w:t>
            </w:r>
          </w:p>
        </w:tc>
        <w:tc>
          <w:tcPr>
            <w:tcW w:w="6660" w:type="dxa"/>
            <w:tcBorders>
              <w:left w:val="nil"/>
            </w:tcBorders>
          </w:tcPr>
          <w:p w14:paraId="1E0021BA" w14:textId="77777777" w:rsidR="00CE5DDA" w:rsidRPr="00F11F4F" w:rsidRDefault="00CE5DDA" w:rsidP="00D26B9F">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La moneda de la oferta y de pago se especifica en los </w:t>
            </w:r>
            <w:r w:rsidRPr="00F11F4F">
              <w:rPr>
                <w:rFonts w:ascii="Arial" w:hAnsi="Arial" w:cs="Arial"/>
                <w:b/>
                <w:bCs/>
                <w:sz w:val="22"/>
                <w:szCs w:val="22"/>
                <w:lang w:val="es-ES"/>
              </w:rPr>
              <w:t>DDL</w:t>
            </w:r>
            <w:r w:rsidRPr="00F11F4F">
              <w:rPr>
                <w:rFonts w:ascii="Arial" w:hAnsi="Arial" w:cs="Arial"/>
                <w:sz w:val="22"/>
                <w:szCs w:val="22"/>
                <w:lang w:val="es-ES"/>
              </w:rPr>
              <w:t xml:space="preserve">. Asimismo, se informa si el monto presupuestado para la adquisición será o no publicado. </w:t>
            </w:r>
          </w:p>
        </w:tc>
      </w:tr>
      <w:tr w:rsidR="000F3933" w:rsidRPr="00A33F6B" w14:paraId="04DBFC14" w14:textId="77777777" w:rsidTr="00205125">
        <w:trPr>
          <w:trHeight w:val="620"/>
        </w:trPr>
        <w:tc>
          <w:tcPr>
            <w:tcW w:w="1980" w:type="dxa"/>
            <w:vMerge w:val="restart"/>
          </w:tcPr>
          <w:p w14:paraId="48E336AE" w14:textId="77777777" w:rsidR="000F3933" w:rsidRPr="00F11F4F" w:rsidRDefault="000F3933" w:rsidP="007F1D84">
            <w:pPr>
              <w:pStyle w:val="IAO2"/>
            </w:pPr>
            <w:bookmarkStart w:id="152" w:name="_Toc74048192"/>
            <w:bookmarkStart w:id="153" w:name="_Toc74518436"/>
            <w:bookmarkStart w:id="154" w:name="_Toc74519160"/>
            <w:bookmarkStart w:id="155" w:name="_Toc74519976"/>
            <w:bookmarkStart w:id="156" w:name="_Toc74781350"/>
            <w:bookmarkStart w:id="157" w:name="_Toc74894100"/>
            <w:r w:rsidRPr="00F11F4F">
              <w:t>18</w:t>
            </w:r>
            <w:r w:rsidR="00C445F0" w:rsidRPr="00F11F4F">
              <w:t xml:space="preserve">. </w:t>
            </w:r>
            <w:r w:rsidRPr="00F11F4F">
              <w:t>Documentos que establecen la Elegibilidad y las Calificaciones del Oferente</w:t>
            </w:r>
            <w:bookmarkEnd w:id="152"/>
            <w:bookmarkEnd w:id="153"/>
            <w:bookmarkEnd w:id="154"/>
            <w:bookmarkEnd w:id="155"/>
            <w:bookmarkEnd w:id="156"/>
            <w:bookmarkEnd w:id="157"/>
          </w:p>
        </w:tc>
        <w:tc>
          <w:tcPr>
            <w:tcW w:w="720" w:type="dxa"/>
            <w:tcBorders>
              <w:right w:val="nil"/>
            </w:tcBorders>
          </w:tcPr>
          <w:p w14:paraId="4FB58B80" w14:textId="77777777" w:rsidR="000F3933" w:rsidRPr="00F11F4F" w:rsidRDefault="000F3933"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18.1</w:t>
            </w:r>
          </w:p>
        </w:tc>
        <w:tc>
          <w:tcPr>
            <w:tcW w:w="6660" w:type="dxa"/>
            <w:tcBorders>
              <w:left w:val="nil"/>
            </w:tcBorders>
          </w:tcPr>
          <w:p w14:paraId="02B5829F" w14:textId="77777777" w:rsidR="000F3933" w:rsidRPr="00F11F4F" w:rsidRDefault="000F3933" w:rsidP="00D26B9F">
            <w:pPr>
              <w:pStyle w:val="Header2-SubClauses"/>
              <w:tabs>
                <w:tab w:val="clear" w:pos="619"/>
              </w:tabs>
              <w:spacing w:before="120" w:after="120"/>
              <w:ind w:left="-114"/>
              <w:rPr>
                <w:rFonts w:ascii="Arial" w:hAnsi="Arial" w:cs="Arial"/>
                <w:sz w:val="22"/>
                <w:szCs w:val="22"/>
                <w:lang w:val="es-ES"/>
              </w:rPr>
            </w:pPr>
            <w:r w:rsidRPr="00F11F4F">
              <w:rPr>
                <w:rFonts w:ascii="Arial" w:hAnsi="Arial" w:cs="Arial"/>
                <w:sz w:val="22"/>
                <w:szCs w:val="22"/>
                <w:lang w:val="es-ES"/>
              </w:rPr>
              <w:t xml:space="preserve">Para establecer la Elegibilidad del </w:t>
            </w:r>
            <w:r w:rsidR="00B150FF" w:rsidRPr="00F11F4F">
              <w:rPr>
                <w:rFonts w:ascii="Arial" w:hAnsi="Arial" w:cs="Arial"/>
                <w:sz w:val="22"/>
                <w:szCs w:val="22"/>
                <w:lang w:val="es-ES"/>
              </w:rPr>
              <w:t>oferente</w:t>
            </w:r>
            <w:r w:rsidRPr="00F11F4F">
              <w:rPr>
                <w:rFonts w:ascii="Arial" w:hAnsi="Arial" w:cs="Arial"/>
                <w:sz w:val="22"/>
                <w:szCs w:val="22"/>
                <w:lang w:val="es-ES"/>
              </w:rPr>
              <w:t xml:space="preserve"> conforme a lo dispuesto en la IAO 5, los </w:t>
            </w:r>
            <w:r w:rsidR="00B150FF" w:rsidRPr="00F11F4F">
              <w:rPr>
                <w:rFonts w:ascii="Arial" w:hAnsi="Arial" w:cs="Arial"/>
                <w:sz w:val="22"/>
                <w:szCs w:val="22"/>
                <w:lang w:val="es-ES"/>
              </w:rPr>
              <w:t>oferentes</w:t>
            </w:r>
            <w:r w:rsidRPr="00F11F4F">
              <w:rPr>
                <w:rFonts w:ascii="Arial" w:hAnsi="Arial" w:cs="Arial"/>
                <w:sz w:val="22"/>
                <w:szCs w:val="22"/>
                <w:lang w:val="es-ES"/>
              </w:rPr>
              <w:t xml:space="preserve"> completarán la Carta de Presentación de la Oferta y sus anexos incluida en la Sección IV, "Formularios de Licitación." </w:t>
            </w:r>
          </w:p>
          <w:p w14:paraId="0860CE6E" w14:textId="77777777" w:rsidR="00AC4A6D" w:rsidRPr="00F11F4F" w:rsidRDefault="00AC4A6D" w:rsidP="00D26B9F">
            <w:pPr>
              <w:spacing w:before="120" w:after="120"/>
              <w:ind w:left="-114" w:right="74"/>
              <w:rPr>
                <w:rFonts w:ascii="Arial" w:hAnsi="Arial" w:cs="Arial"/>
                <w:sz w:val="22"/>
                <w:szCs w:val="22"/>
              </w:rPr>
            </w:pPr>
            <w:r w:rsidRPr="00F11F4F">
              <w:rPr>
                <w:rFonts w:ascii="Arial" w:hAnsi="Arial" w:cs="Arial"/>
                <w:sz w:val="22"/>
                <w:szCs w:val="22"/>
                <w:lang w:val="es-ES"/>
              </w:rPr>
              <w:t xml:space="preserve">Adicionalmente deberá presentar </w:t>
            </w:r>
            <w:r w:rsidR="00D17BDF" w:rsidRPr="00F11F4F">
              <w:rPr>
                <w:rFonts w:ascii="Arial" w:hAnsi="Arial" w:cs="Arial"/>
                <w:sz w:val="22"/>
                <w:szCs w:val="22"/>
                <w:lang w:val="es-ES"/>
              </w:rPr>
              <w:t>copia simple del</w:t>
            </w:r>
            <w:r w:rsidR="003B4F8A" w:rsidRPr="00F11F4F">
              <w:rPr>
                <w:rFonts w:ascii="Arial" w:hAnsi="Arial" w:cs="Arial"/>
                <w:sz w:val="22"/>
                <w:szCs w:val="22"/>
                <w:lang w:val="es-ES"/>
              </w:rPr>
              <w:t xml:space="preserve"> </w:t>
            </w:r>
            <w:r w:rsidR="00D17BDF" w:rsidRPr="00F11F4F">
              <w:rPr>
                <w:rFonts w:ascii="Arial" w:hAnsi="Arial" w:cs="Arial"/>
                <w:sz w:val="22"/>
                <w:szCs w:val="22"/>
              </w:rPr>
              <w:t>acta</w:t>
            </w:r>
            <w:r w:rsidR="003B4F8A" w:rsidRPr="00F11F4F">
              <w:rPr>
                <w:rFonts w:ascii="Arial" w:hAnsi="Arial" w:cs="Arial"/>
                <w:sz w:val="22"/>
                <w:szCs w:val="22"/>
              </w:rPr>
              <w:t xml:space="preserve"> de constitución</w:t>
            </w:r>
            <w:r w:rsidR="005E2A95" w:rsidRPr="00F11F4F">
              <w:rPr>
                <w:rFonts w:ascii="Arial" w:hAnsi="Arial" w:cs="Arial"/>
                <w:sz w:val="22"/>
                <w:szCs w:val="22"/>
              </w:rPr>
              <w:t xml:space="preserve"> </w:t>
            </w:r>
            <w:r w:rsidR="005954D3" w:rsidRPr="00F11F4F">
              <w:rPr>
                <w:rFonts w:ascii="Arial" w:hAnsi="Arial" w:cs="Arial"/>
                <w:sz w:val="22"/>
                <w:szCs w:val="22"/>
              </w:rPr>
              <w:t xml:space="preserve">del oferente </w:t>
            </w:r>
            <w:r w:rsidR="004D26B0" w:rsidRPr="00F11F4F">
              <w:rPr>
                <w:rFonts w:ascii="Arial" w:hAnsi="Arial" w:cs="Arial"/>
                <w:sz w:val="22"/>
                <w:szCs w:val="22"/>
              </w:rPr>
              <w:t>(</w:t>
            </w:r>
            <w:r w:rsidR="005E2A95" w:rsidRPr="00F11F4F">
              <w:rPr>
                <w:rFonts w:ascii="Arial" w:hAnsi="Arial" w:cs="Arial"/>
                <w:sz w:val="22"/>
                <w:szCs w:val="22"/>
              </w:rPr>
              <w:t xml:space="preserve">y sus reformas si las </w:t>
            </w:r>
            <w:r w:rsidR="00015ADB" w:rsidRPr="00F11F4F">
              <w:rPr>
                <w:rFonts w:ascii="Arial" w:hAnsi="Arial" w:cs="Arial"/>
                <w:sz w:val="22"/>
                <w:szCs w:val="22"/>
              </w:rPr>
              <w:t xml:space="preserve">hubiera) </w:t>
            </w:r>
            <w:r w:rsidR="003B4F8A" w:rsidRPr="00F11F4F">
              <w:rPr>
                <w:rFonts w:ascii="Arial" w:hAnsi="Arial" w:cs="Arial"/>
                <w:sz w:val="22"/>
                <w:szCs w:val="22"/>
              </w:rPr>
              <w:t xml:space="preserve">debidamente registrada en el </w:t>
            </w:r>
            <w:r w:rsidR="00D17BDF" w:rsidRPr="00F11F4F">
              <w:rPr>
                <w:rFonts w:ascii="Arial" w:hAnsi="Arial" w:cs="Arial"/>
                <w:sz w:val="22"/>
                <w:szCs w:val="22"/>
              </w:rPr>
              <w:t>r</w:t>
            </w:r>
            <w:r w:rsidR="003B4F8A" w:rsidRPr="00F11F4F">
              <w:rPr>
                <w:rFonts w:ascii="Arial" w:hAnsi="Arial" w:cs="Arial"/>
                <w:sz w:val="22"/>
                <w:szCs w:val="22"/>
              </w:rPr>
              <w:t xml:space="preserve">egistro </w:t>
            </w:r>
            <w:r w:rsidR="00D17BDF" w:rsidRPr="00F11F4F">
              <w:rPr>
                <w:rFonts w:ascii="Arial" w:hAnsi="Arial" w:cs="Arial"/>
                <w:sz w:val="22"/>
                <w:szCs w:val="22"/>
              </w:rPr>
              <w:t>p</w:t>
            </w:r>
            <w:r w:rsidR="003B4F8A" w:rsidRPr="00F11F4F">
              <w:rPr>
                <w:rFonts w:ascii="Arial" w:hAnsi="Arial" w:cs="Arial"/>
                <w:sz w:val="22"/>
                <w:szCs w:val="22"/>
              </w:rPr>
              <w:t xml:space="preserve">úblico competente. En caso de ofertas presentadas por </w:t>
            </w:r>
            <w:r w:rsidR="00D17BDF" w:rsidRPr="00F11F4F">
              <w:rPr>
                <w:rFonts w:ascii="Arial" w:hAnsi="Arial" w:cs="Arial"/>
                <w:sz w:val="22"/>
                <w:szCs w:val="22"/>
              </w:rPr>
              <w:t>una APCA</w:t>
            </w:r>
            <w:r w:rsidR="003B4F8A" w:rsidRPr="00F11F4F">
              <w:rPr>
                <w:rFonts w:ascii="Arial" w:hAnsi="Arial" w:cs="Arial"/>
                <w:sz w:val="22"/>
                <w:szCs w:val="22"/>
              </w:rPr>
              <w:t xml:space="preserve"> </w:t>
            </w:r>
            <w:r w:rsidR="004A65DB" w:rsidRPr="00F11F4F">
              <w:rPr>
                <w:rFonts w:ascii="Arial" w:hAnsi="Arial" w:cs="Arial"/>
                <w:sz w:val="22"/>
                <w:szCs w:val="22"/>
              </w:rPr>
              <w:t xml:space="preserve">se deberá presentar </w:t>
            </w:r>
            <w:r w:rsidR="003B4F8A" w:rsidRPr="00F11F4F">
              <w:rPr>
                <w:rFonts w:ascii="Arial" w:hAnsi="Arial" w:cs="Arial"/>
                <w:sz w:val="22"/>
                <w:szCs w:val="22"/>
              </w:rPr>
              <w:t>el acta de constitución</w:t>
            </w:r>
            <w:r w:rsidR="004D26B0" w:rsidRPr="00F11F4F">
              <w:rPr>
                <w:rFonts w:ascii="Arial" w:hAnsi="Arial" w:cs="Arial"/>
                <w:sz w:val="22"/>
                <w:szCs w:val="22"/>
              </w:rPr>
              <w:t xml:space="preserve"> (y sus reformas si las hubiera)</w:t>
            </w:r>
            <w:r w:rsidR="003B4F8A" w:rsidRPr="00F11F4F">
              <w:rPr>
                <w:rFonts w:ascii="Arial" w:hAnsi="Arial" w:cs="Arial"/>
                <w:sz w:val="22"/>
                <w:szCs w:val="22"/>
              </w:rPr>
              <w:t xml:space="preserve"> debidamente registrada en el Registro Público competente, de cada uno de los miembros del </w:t>
            </w:r>
            <w:r w:rsidR="00D17BDF" w:rsidRPr="00F11F4F">
              <w:rPr>
                <w:rFonts w:ascii="Arial" w:hAnsi="Arial" w:cs="Arial"/>
                <w:sz w:val="22"/>
                <w:szCs w:val="22"/>
              </w:rPr>
              <w:t>APCA</w:t>
            </w:r>
            <w:r w:rsidR="003B4F8A" w:rsidRPr="00F11F4F">
              <w:rPr>
                <w:rFonts w:ascii="Arial" w:hAnsi="Arial" w:cs="Arial"/>
                <w:sz w:val="22"/>
                <w:szCs w:val="22"/>
              </w:rPr>
              <w:t xml:space="preserve">. </w:t>
            </w:r>
          </w:p>
        </w:tc>
      </w:tr>
      <w:tr w:rsidR="000F3933" w:rsidRPr="00A33F6B" w14:paraId="6BB64A3C" w14:textId="77777777" w:rsidTr="00205125">
        <w:trPr>
          <w:trHeight w:val="1006"/>
        </w:trPr>
        <w:tc>
          <w:tcPr>
            <w:tcW w:w="1980" w:type="dxa"/>
            <w:vMerge/>
          </w:tcPr>
          <w:p w14:paraId="06623286" w14:textId="77777777" w:rsidR="000F3933" w:rsidRPr="00F11F4F" w:rsidRDefault="000F3933" w:rsidP="00CE5DDA">
            <w:pPr>
              <w:pStyle w:val="i"/>
              <w:spacing w:before="100" w:after="100"/>
              <w:outlineLvl w:val="2"/>
              <w:rPr>
                <w:rFonts w:ascii="Arial" w:hAnsi="Arial" w:cs="Arial"/>
                <w:b/>
                <w:sz w:val="22"/>
                <w:szCs w:val="22"/>
                <w:lang w:val="es-ES"/>
              </w:rPr>
            </w:pPr>
          </w:p>
        </w:tc>
        <w:tc>
          <w:tcPr>
            <w:tcW w:w="720" w:type="dxa"/>
            <w:tcBorders>
              <w:right w:val="nil"/>
            </w:tcBorders>
          </w:tcPr>
          <w:p w14:paraId="0038E9CC" w14:textId="77777777" w:rsidR="000F3933" w:rsidRPr="00F11F4F" w:rsidRDefault="000F3933"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18.2</w:t>
            </w:r>
          </w:p>
        </w:tc>
        <w:tc>
          <w:tcPr>
            <w:tcW w:w="6660" w:type="dxa"/>
            <w:tcBorders>
              <w:left w:val="nil"/>
            </w:tcBorders>
          </w:tcPr>
          <w:p w14:paraId="226DDCA4" w14:textId="77777777" w:rsidR="000F3933" w:rsidRPr="00F11F4F" w:rsidRDefault="000F3933" w:rsidP="00D26B9F">
            <w:pPr>
              <w:pStyle w:val="i"/>
              <w:spacing w:before="100" w:after="100"/>
              <w:ind w:left="-114"/>
              <w:rPr>
                <w:rFonts w:ascii="Arial" w:hAnsi="Arial" w:cs="Arial"/>
                <w:sz w:val="22"/>
                <w:szCs w:val="22"/>
                <w:lang w:val="es-ES"/>
              </w:rPr>
            </w:pPr>
            <w:r w:rsidRPr="00F11F4F">
              <w:rPr>
                <w:rFonts w:ascii="Arial" w:hAnsi="Arial" w:cs="Arial"/>
                <w:spacing w:val="-2"/>
                <w:sz w:val="22"/>
                <w:szCs w:val="22"/>
                <w:lang w:val="es-ES"/>
              </w:rPr>
              <w:t>De acuerdo con lo enunciado en la Sección III, Criterios de Evaluación, a fin de establecer sus Calificaciones para la ejecución del Contrato, el oferente suministrará la información solicitada en los formularios incluidos en la Sección I</w:t>
            </w:r>
            <w:r w:rsidRPr="00F11F4F">
              <w:rPr>
                <w:rStyle w:val="StyleHeader2-SubClausesItalicChar"/>
                <w:rFonts w:ascii="Arial" w:hAnsi="Arial"/>
                <w:i w:val="0"/>
                <w:spacing w:val="-2"/>
                <w:sz w:val="22"/>
                <w:szCs w:val="22"/>
                <w:lang w:val="es-ES"/>
              </w:rPr>
              <w:t>V</w:t>
            </w:r>
            <w:r w:rsidRPr="00F11F4F">
              <w:rPr>
                <w:rStyle w:val="StyleHeader2-SubClausesItalicChar"/>
                <w:rFonts w:ascii="Arial" w:hAnsi="Arial"/>
                <w:spacing w:val="-2"/>
                <w:sz w:val="22"/>
                <w:szCs w:val="22"/>
                <w:lang w:val="es-ES"/>
              </w:rPr>
              <w:t>,</w:t>
            </w:r>
            <w:r w:rsidRPr="00F11F4F">
              <w:rPr>
                <w:rFonts w:ascii="Arial" w:hAnsi="Arial" w:cs="Arial"/>
                <w:spacing w:val="-2"/>
                <w:sz w:val="22"/>
                <w:szCs w:val="22"/>
                <w:lang w:val="es-ES"/>
              </w:rPr>
              <w:t xml:space="preserve"> </w:t>
            </w:r>
            <w:r w:rsidR="00112504" w:rsidRPr="00F11F4F">
              <w:rPr>
                <w:rFonts w:ascii="Arial" w:hAnsi="Arial" w:cs="Arial"/>
                <w:spacing w:val="-2"/>
                <w:sz w:val="22"/>
                <w:szCs w:val="22"/>
                <w:lang w:val="es-ES"/>
              </w:rPr>
              <w:t>“Formularios de Licitación”</w:t>
            </w:r>
            <w:r w:rsidRPr="00F11F4F">
              <w:rPr>
                <w:rFonts w:ascii="Arial" w:hAnsi="Arial" w:cs="Arial"/>
                <w:spacing w:val="-2"/>
                <w:sz w:val="22"/>
                <w:szCs w:val="22"/>
                <w:lang w:val="es-ES"/>
              </w:rPr>
              <w:t>.</w:t>
            </w:r>
          </w:p>
        </w:tc>
      </w:tr>
      <w:tr w:rsidR="00CB3BE1" w:rsidRPr="00A33F6B" w14:paraId="7921A2B5" w14:textId="77777777" w:rsidTr="00205125">
        <w:trPr>
          <w:trHeight w:val="80"/>
        </w:trPr>
        <w:tc>
          <w:tcPr>
            <w:tcW w:w="1980" w:type="dxa"/>
          </w:tcPr>
          <w:p w14:paraId="4B4ACC1B" w14:textId="77777777" w:rsidR="00CB3BE1" w:rsidRPr="00F11F4F" w:rsidRDefault="006638D1" w:rsidP="007F1D84">
            <w:pPr>
              <w:pStyle w:val="IAO2"/>
            </w:pPr>
            <w:bookmarkStart w:id="158" w:name="_Toc74048193"/>
            <w:bookmarkStart w:id="159" w:name="_Toc74518437"/>
            <w:bookmarkStart w:id="160" w:name="_Toc74519161"/>
            <w:bookmarkStart w:id="161" w:name="_Toc74519977"/>
            <w:bookmarkStart w:id="162" w:name="_Toc74781351"/>
            <w:bookmarkStart w:id="163" w:name="_Toc74894101"/>
            <w:r w:rsidRPr="00F11F4F">
              <w:lastRenderedPageBreak/>
              <w:t>19.</w:t>
            </w:r>
            <w:bookmarkStart w:id="164" w:name="_Toc97371019"/>
            <w:bookmarkStart w:id="165" w:name="_Toc139863118"/>
            <w:bookmarkStart w:id="166" w:name="_Toc325723934"/>
            <w:bookmarkStart w:id="167" w:name="_Toc440526027"/>
            <w:bookmarkStart w:id="168" w:name="_Toc435624828"/>
            <w:bookmarkStart w:id="169" w:name="_Toc465282680"/>
            <w:bookmarkStart w:id="170" w:name="_Toc37692338"/>
            <w:r w:rsidR="00A53DE3" w:rsidRPr="00F11F4F">
              <w:t xml:space="preserve"> Documentos que componen la Propuesta Técnica</w:t>
            </w:r>
            <w:bookmarkEnd w:id="158"/>
            <w:bookmarkEnd w:id="159"/>
            <w:bookmarkEnd w:id="160"/>
            <w:bookmarkEnd w:id="161"/>
            <w:bookmarkEnd w:id="162"/>
            <w:bookmarkEnd w:id="163"/>
            <w:bookmarkEnd w:id="164"/>
            <w:bookmarkEnd w:id="165"/>
            <w:bookmarkEnd w:id="166"/>
            <w:bookmarkEnd w:id="167"/>
            <w:bookmarkEnd w:id="168"/>
            <w:bookmarkEnd w:id="169"/>
            <w:bookmarkEnd w:id="170"/>
          </w:p>
        </w:tc>
        <w:tc>
          <w:tcPr>
            <w:tcW w:w="720" w:type="dxa"/>
            <w:tcBorders>
              <w:right w:val="nil"/>
            </w:tcBorders>
          </w:tcPr>
          <w:p w14:paraId="0F85040C" w14:textId="77777777" w:rsidR="00CB3BE1" w:rsidRPr="00F11F4F" w:rsidRDefault="00074853"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19.1</w:t>
            </w:r>
          </w:p>
        </w:tc>
        <w:tc>
          <w:tcPr>
            <w:tcW w:w="6660" w:type="dxa"/>
            <w:tcBorders>
              <w:left w:val="nil"/>
            </w:tcBorders>
          </w:tcPr>
          <w:p w14:paraId="7CF90AD6" w14:textId="77777777" w:rsidR="00CB3BE1" w:rsidRPr="00F11F4F" w:rsidRDefault="00074853" w:rsidP="00CE5DDA">
            <w:pPr>
              <w:pStyle w:val="i"/>
              <w:spacing w:before="100" w:after="100"/>
              <w:ind w:left="-114"/>
              <w:rPr>
                <w:rFonts w:ascii="Arial" w:hAnsi="Arial" w:cs="Arial"/>
                <w:sz w:val="22"/>
                <w:szCs w:val="22"/>
                <w:lang w:val="es-ES"/>
              </w:rPr>
            </w:pPr>
            <w:r w:rsidRPr="00F11F4F">
              <w:rPr>
                <w:rFonts w:ascii="Arial" w:hAnsi="Arial" w:cs="Arial"/>
                <w:spacing w:val="-4"/>
                <w:sz w:val="22"/>
                <w:szCs w:val="22"/>
                <w:lang w:val="es-ES"/>
              </w:rPr>
              <w:t>El oferente entregará una propuesta técnica con una descripción de los métodos de trabajo, los equipos, el personal y el calendario de las obras, así como cualquier otra información estipulada en la Sección IV, "</w:t>
            </w:r>
            <w:r w:rsidR="005201FE" w:rsidRPr="00F11F4F">
              <w:rPr>
                <w:rFonts w:ascii="Arial" w:hAnsi="Arial" w:cs="Arial"/>
                <w:spacing w:val="-4"/>
                <w:sz w:val="22"/>
                <w:szCs w:val="22"/>
                <w:lang w:val="es-ES"/>
              </w:rPr>
              <w:t>F</w:t>
            </w:r>
            <w:r w:rsidRPr="00F11F4F">
              <w:rPr>
                <w:rFonts w:ascii="Arial" w:hAnsi="Arial" w:cs="Arial"/>
                <w:spacing w:val="-4"/>
                <w:sz w:val="22"/>
                <w:szCs w:val="22"/>
                <w:lang w:val="es-ES"/>
              </w:rPr>
              <w:t xml:space="preserve">ormularios de Licitación", con detalles suficientes para demostrar que la propuesta del </w:t>
            </w:r>
            <w:r w:rsidR="00404A8D" w:rsidRPr="00F11F4F">
              <w:rPr>
                <w:rFonts w:ascii="Arial" w:hAnsi="Arial" w:cs="Arial"/>
                <w:spacing w:val="-4"/>
                <w:sz w:val="22"/>
                <w:szCs w:val="22"/>
                <w:lang w:val="es-ES"/>
              </w:rPr>
              <w:t>oferente</w:t>
            </w:r>
            <w:r w:rsidRPr="00F11F4F">
              <w:rPr>
                <w:rFonts w:ascii="Arial" w:hAnsi="Arial" w:cs="Arial"/>
                <w:spacing w:val="-4"/>
                <w:sz w:val="22"/>
                <w:szCs w:val="22"/>
                <w:lang w:val="es-ES"/>
              </w:rPr>
              <w:t xml:space="preserve"> cumple adecuadamente con los requisitos de las obras y el plazo para completarla</w:t>
            </w:r>
          </w:p>
        </w:tc>
      </w:tr>
      <w:tr w:rsidR="00E23051" w:rsidRPr="00A33F6B" w14:paraId="388FD07E" w14:textId="77777777" w:rsidTr="00205125">
        <w:trPr>
          <w:trHeight w:val="1006"/>
        </w:trPr>
        <w:tc>
          <w:tcPr>
            <w:tcW w:w="1980" w:type="dxa"/>
            <w:vMerge w:val="restart"/>
          </w:tcPr>
          <w:p w14:paraId="1A6BFA69" w14:textId="77777777" w:rsidR="00E23051" w:rsidRPr="00F11F4F" w:rsidRDefault="00E23051" w:rsidP="007F1D84">
            <w:pPr>
              <w:pStyle w:val="IAO2"/>
            </w:pPr>
            <w:bookmarkStart w:id="171" w:name="_Toc74048194"/>
            <w:bookmarkStart w:id="172" w:name="_Toc74518438"/>
            <w:bookmarkStart w:id="173" w:name="_Toc74519162"/>
            <w:bookmarkStart w:id="174" w:name="_Toc74519978"/>
            <w:bookmarkStart w:id="175" w:name="_Toc74781352"/>
            <w:bookmarkStart w:id="176" w:name="_Toc74894102"/>
            <w:r w:rsidRPr="00F11F4F">
              <w:t>20. Sub contratación</w:t>
            </w:r>
            <w:bookmarkEnd w:id="171"/>
            <w:bookmarkEnd w:id="172"/>
            <w:bookmarkEnd w:id="173"/>
            <w:bookmarkEnd w:id="174"/>
            <w:bookmarkEnd w:id="175"/>
            <w:bookmarkEnd w:id="176"/>
          </w:p>
        </w:tc>
        <w:tc>
          <w:tcPr>
            <w:tcW w:w="720" w:type="dxa"/>
            <w:tcBorders>
              <w:right w:val="nil"/>
            </w:tcBorders>
          </w:tcPr>
          <w:p w14:paraId="3B723CFA" w14:textId="77777777" w:rsidR="00E23051" w:rsidRPr="00F11F4F" w:rsidRDefault="00E23051"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20.1</w:t>
            </w:r>
          </w:p>
        </w:tc>
        <w:tc>
          <w:tcPr>
            <w:tcW w:w="6660" w:type="dxa"/>
            <w:tcBorders>
              <w:left w:val="nil"/>
            </w:tcBorders>
          </w:tcPr>
          <w:p w14:paraId="289A0A74" w14:textId="77777777" w:rsidR="00E23051" w:rsidRPr="00F11F4F" w:rsidRDefault="00E23051"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A menos que se indique lo contrario en los </w:t>
            </w:r>
            <w:r w:rsidRPr="00F11F4F">
              <w:rPr>
                <w:rFonts w:ascii="Arial" w:hAnsi="Arial" w:cs="Arial"/>
                <w:b/>
                <w:bCs/>
                <w:sz w:val="22"/>
                <w:szCs w:val="22"/>
                <w:lang w:val="es-ES"/>
              </w:rPr>
              <w:t>DDL</w:t>
            </w:r>
            <w:r w:rsidRPr="00F11F4F">
              <w:rPr>
                <w:rFonts w:ascii="Arial" w:hAnsi="Arial" w:cs="Arial"/>
                <w:sz w:val="22"/>
                <w:szCs w:val="22"/>
                <w:lang w:val="es-ES"/>
              </w:rPr>
              <w:t>, el Contratante no ha previsto ejecutar ninguna parte específica de las obras mediante subcontratistas que hayan sido previamente seleccionados.</w:t>
            </w:r>
          </w:p>
        </w:tc>
      </w:tr>
      <w:tr w:rsidR="00E23051" w:rsidRPr="00A33F6B" w14:paraId="176BA663" w14:textId="77777777" w:rsidTr="00205125">
        <w:trPr>
          <w:trHeight w:val="1006"/>
        </w:trPr>
        <w:tc>
          <w:tcPr>
            <w:tcW w:w="1980" w:type="dxa"/>
            <w:vMerge/>
          </w:tcPr>
          <w:p w14:paraId="003E4F23" w14:textId="77777777" w:rsidR="00E23051" w:rsidRPr="00F11F4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716EB1A0" w14:textId="77777777" w:rsidR="00E23051" w:rsidRPr="00F11F4F" w:rsidRDefault="00E23051"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20.2</w:t>
            </w:r>
          </w:p>
        </w:tc>
        <w:tc>
          <w:tcPr>
            <w:tcW w:w="6660" w:type="dxa"/>
            <w:tcBorders>
              <w:left w:val="nil"/>
            </w:tcBorders>
          </w:tcPr>
          <w:p w14:paraId="3EA14502" w14:textId="77777777" w:rsidR="00E23051" w:rsidRPr="00F11F4F" w:rsidRDefault="00E23051" w:rsidP="00CE5DDA">
            <w:pPr>
              <w:pStyle w:val="i"/>
              <w:spacing w:before="100" w:after="100"/>
              <w:ind w:left="-114"/>
              <w:rPr>
                <w:rFonts w:ascii="Arial" w:hAnsi="Arial" w:cs="Arial"/>
                <w:spacing w:val="-2"/>
                <w:sz w:val="22"/>
                <w:szCs w:val="22"/>
                <w:lang w:val="es-ES"/>
              </w:rPr>
            </w:pPr>
            <w:r w:rsidRPr="00F11F4F">
              <w:rPr>
                <w:rFonts w:ascii="Arial" w:hAnsi="Arial" w:cs="Arial"/>
                <w:sz w:val="22"/>
                <w:szCs w:val="22"/>
                <w:lang w:val="es-ES"/>
              </w:rPr>
              <w:t xml:space="preserve">Los Oferentes podrán proponer la subcontratación de hasta el porcentaje del valor total del contrato o el volumen de las obras que se especifique en los </w:t>
            </w:r>
            <w:r w:rsidRPr="00F11F4F">
              <w:rPr>
                <w:rFonts w:ascii="Arial" w:hAnsi="Arial" w:cs="Arial"/>
                <w:b/>
                <w:bCs/>
                <w:sz w:val="22"/>
                <w:szCs w:val="22"/>
                <w:lang w:val="es-ES"/>
              </w:rPr>
              <w:t>DDL</w:t>
            </w:r>
            <w:r w:rsidRPr="00F11F4F">
              <w:rPr>
                <w:rFonts w:ascii="Arial" w:hAnsi="Arial" w:cs="Arial"/>
                <w:spacing w:val="-2"/>
                <w:sz w:val="22"/>
                <w:szCs w:val="22"/>
                <w:lang w:val="es-ES"/>
              </w:rPr>
              <w:t>. Los subcontratistas propuestos deberán estar plenamente calificados para realizar las partes de las obras que se les asigne.</w:t>
            </w:r>
          </w:p>
          <w:p w14:paraId="4BE12595" w14:textId="77777777" w:rsidR="00E23051" w:rsidRPr="00F11F4F" w:rsidRDefault="00E23051"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La oferta deberá indicar las intenciones de realizar subcontratos, tomando en cuenta el porcentaje máximo de subcontratación que se especifica en los </w:t>
            </w:r>
            <w:r w:rsidRPr="00F11F4F">
              <w:rPr>
                <w:rFonts w:ascii="Arial" w:hAnsi="Arial" w:cs="Arial"/>
                <w:b/>
                <w:sz w:val="22"/>
                <w:szCs w:val="22"/>
                <w:lang w:val="es-ES"/>
              </w:rPr>
              <w:t>DDL</w:t>
            </w:r>
            <w:r w:rsidRPr="00F11F4F">
              <w:rPr>
                <w:rFonts w:ascii="Arial" w:hAnsi="Arial" w:cs="Arial"/>
                <w:sz w:val="22"/>
                <w:szCs w:val="22"/>
                <w:lang w:val="es-ES"/>
              </w:rPr>
              <w:t>.</w:t>
            </w:r>
          </w:p>
        </w:tc>
      </w:tr>
      <w:tr w:rsidR="00E23051" w:rsidRPr="00A33F6B" w14:paraId="375A28B3" w14:textId="77777777" w:rsidTr="00205125">
        <w:trPr>
          <w:trHeight w:val="1006"/>
        </w:trPr>
        <w:tc>
          <w:tcPr>
            <w:tcW w:w="1980" w:type="dxa"/>
            <w:vMerge/>
          </w:tcPr>
          <w:p w14:paraId="17DAF4F7" w14:textId="77777777" w:rsidR="00E23051" w:rsidRPr="00F11F4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45F468C5" w14:textId="77777777" w:rsidR="00E23051" w:rsidRPr="00F11F4F" w:rsidRDefault="00E23051" w:rsidP="00CE5DDA">
            <w:pPr>
              <w:suppressAutoHyphens/>
              <w:spacing w:before="100" w:after="100"/>
              <w:ind w:left="-77" w:right="-104"/>
              <w:jc w:val="center"/>
              <w:rPr>
                <w:rFonts w:ascii="Arial" w:hAnsi="Arial" w:cs="Arial"/>
                <w:sz w:val="22"/>
                <w:szCs w:val="22"/>
                <w:lang w:val="es-ES"/>
              </w:rPr>
            </w:pPr>
            <w:r w:rsidRPr="00F11F4F">
              <w:rPr>
                <w:rFonts w:ascii="Arial" w:hAnsi="Arial" w:cs="Arial"/>
                <w:sz w:val="22"/>
                <w:szCs w:val="22"/>
                <w:lang w:val="es-ES"/>
              </w:rPr>
              <w:t>20.3</w:t>
            </w:r>
          </w:p>
        </w:tc>
        <w:tc>
          <w:tcPr>
            <w:tcW w:w="6660" w:type="dxa"/>
            <w:tcBorders>
              <w:left w:val="nil"/>
            </w:tcBorders>
          </w:tcPr>
          <w:p w14:paraId="4C641A84" w14:textId="77777777" w:rsidR="00E23051" w:rsidRPr="00F11F4F" w:rsidRDefault="00E23051" w:rsidP="00CE5DDA">
            <w:pPr>
              <w:pStyle w:val="i"/>
              <w:spacing w:before="100" w:after="100"/>
              <w:ind w:left="-114"/>
              <w:rPr>
                <w:rFonts w:ascii="Arial" w:hAnsi="Arial" w:cs="Arial"/>
                <w:sz w:val="22"/>
                <w:szCs w:val="22"/>
                <w:lang w:val="es-ES"/>
              </w:rPr>
            </w:pPr>
            <w:r w:rsidRPr="00F11F4F">
              <w:rPr>
                <w:rFonts w:ascii="Arial" w:hAnsi="Arial" w:cs="Arial"/>
                <w:spacing w:val="-2"/>
                <w:sz w:val="22"/>
                <w:szCs w:val="22"/>
                <w:lang w:val="es-ES"/>
              </w:rPr>
              <w:t xml:space="preserve">El Oferente no podrá valerse de las calificaciones del subcontratista para solicitar la adjudicación de las Obras, a menos que el Contratante haya establecido previamente </w:t>
            </w:r>
            <w:r w:rsidRPr="00F11F4F">
              <w:rPr>
                <w:rFonts w:ascii="Arial" w:hAnsi="Arial" w:cs="Arial"/>
                <w:bCs/>
                <w:spacing w:val="-2"/>
                <w:sz w:val="22"/>
                <w:szCs w:val="22"/>
                <w:lang w:val="es-ES"/>
              </w:rPr>
              <w:t xml:space="preserve">en los </w:t>
            </w:r>
            <w:r w:rsidRPr="00F11F4F">
              <w:rPr>
                <w:rFonts w:ascii="Arial" w:hAnsi="Arial" w:cs="Arial"/>
                <w:b/>
                <w:bCs/>
                <w:spacing w:val="-2"/>
                <w:sz w:val="22"/>
                <w:szCs w:val="22"/>
                <w:lang w:val="es-ES"/>
              </w:rPr>
              <w:t>DDL</w:t>
            </w:r>
            <w:r w:rsidRPr="00F11F4F">
              <w:rPr>
                <w:rFonts w:ascii="Arial" w:hAnsi="Arial" w:cs="Arial"/>
                <w:spacing w:val="-2"/>
                <w:sz w:val="22"/>
                <w:szCs w:val="22"/>
                <w:lang w:val="es-ES"/>
              </w:rPr>
              <w:t xml:space="preserve"> que las partes especializadas a cargo de este último podrán ser realizadas por subcontratistas denominados en adelante “Subcontratistas Especializados”. En tal caso, las calificaciones del Subcontratista Especializado que proponga el oferente podrán agregarse a las calificaciones del oferente</w:t>
            </w:r>
            <w:r w:rsidR="004F6826" w:rsidRPr="00F11F4F">
              <w:rPr>
                <w:rFonts w:ascii="Arial" w:hAnsi="Arial" w:cs="Arial"/>
                <w:spacing w:val="-2"/>
                <w:sz w:val="22"/>
                <w:szCs w:val="22"/>
                <w:lang w:val="es-ES"/>
              </w:rPr>
              <w:t xml:space="preserve"> y </w:t>
            </w:r>
            <w:r w:rsidR="00946D3C" w:rsidRPr="00F11F4F">
              <w:rPr>
                <w:rFonts w:ascii="Arial" w:hAnsi="Arial" w:cs="Arial"/>
                <w:spacing w:val="-2"/>
                <w:sz w:val="22"/>
                <w:szCs w:val="22"/>
                <w:lang w:val="es-ES"/>
              </w:rPr>
              <w:t>s</w:t>
            </w:r>
            <w:r w:rsidR="004F6826" w:rsidRPr="00F11F4F">
              <w:rPr>
                <w:rFonts w:ascii="Arial" w:hAnsi="Arial" w:cs="Arial"/>
                <w:spacing w:val="-2"/>
                <w:sz w:val="22"/>
                <w:szCs w:val="22"/>
                <w:lang w:val="es-ES"/>
              </w:rPr>
              <w:t>e indicaran en el TEC-5</w:t>
            </w:r>
          </w:p>
        </w:tc>
      </w:tr>
      <w:tr w:rsidR="00E23051" w:rsidRPr="00A33F6B" w14:paraId="2EFFDC61" w14:textId="77777777" w:rsidTr="00205125">
        <w:trPr>
          <w:trHeight w:val="50"/>
        </w:trPr>
        <w:tc>
          <w:tcPr>
            <w:tcW w:w="1980" w:type="dxa"/>
            <w:vMerge w:val="restart"/>
          </w:tcPr>
          <w:p w14:paraId="18D82057" w14:textId="77777777" w:rsidR="00E23051" w:rsidRPr="0049753E" w:rsidRDefault="00E23051" w:rsidP="0049753E">
            <w:pPr>
              <w:pStyle w:val="IAO2"/>
            </w:pPr>
            <w:bookmarkStart w:id="177" w:name="_Toc74048195"/>
            <w:bookmarkStart w:id="178" w:name="_Toc74518439"/>
            <w:bookmarkStart w:id="179" w:name="_Toc74519163"/>
            <w:bookmarkStart w:id="180" w:name="_Toc74519979"/>
            <w:bookmarkStart w:id="181" w:name="_Toc74781353"/>
            <w:bookmarkStart w:id="182" w:name="_Toc74894103"/>
            <w:r w:rsidRPr="0049753E">
              <w:t xml:space="preserve">21. </w:t>
            </w:r>
            <w:r w:rsidRPr="0049753E">
              <w:rPr>
                <w:rStyle w:val="IAO2Char"/>
                <w:b/>
              </w:rPr>
              <w:t>Período de validez de las Ofertas</w:t>
            </w:r>
            <w:bookmarkEnd w:id="177"/>
            <w:bookmarkEnd w:id="178"/>
            <w:bookmarkEnd w:id="179"/>
            <w:bookmarkEnd w:id="180"/>
            <w:bookmarkEnd w:id="181"/>
            <w:bookmarkEnd w:id="182"/>
          </w:p>
        </w:tc>
        <w:tc>
          <w:tcPr>
            <w:tcW w:w="720" w:type="dxa"/>
            <w:tcBorders>
              <w:right w:val="nil"/>
            </w:tcBorders>
          </w:tcPr>
          <w:p w14:paraId="365D5DC2" w14:textId="77777777" w:rsidR="00E23051" w:rsidRPr="00F11F4F" w:rsidRDefault="00E23051" w:rsidP="00CE5DDA">
            <w:pPr>
              <w:pStyle w:val="i"/>
              <w:spacing w:before="100" w:after="100"/>
              <w:ind w:left="-57" w:right="-108"/>
              <w:jc w:val="center"/>
              <w:rPr>
                <w:rFonts w:ascii="Arial" w:hAnsi="Arial" w:cs="Arial"/>
                <w:sz w:val="22"/>
                <w:szCs w:val="22"/>
                <w:lang w:val="es-ES"/>
              </w:rPr>
            </w:pPr>
            <w:r w:rsidRPr="00F11F4F">
              <w:rPr>
                <w:rFonts w:ascii="Arial" w:hAnsi="Arial" w:cs="Arial"/>
                <w:sz w:val="22"/>
                <w:szCs w:val="22"/>
                <w:lang w:val="es-ES"/>
              </w:rPr>
              <w:t>21.1</w:t>
            </w:r>
          </w:p>
        </w:tc>
        <w:tc>
          <w:tcPr>
            <w:tcW w:w="6660" w:type="dxa"/>
            <w:tcBorders>
              <w:left w:val="nil"/>
            </w:tcBorders>
          </w:tcPr>
          <w:p w14:paraId="36E29F23" w14:textId="77777777" w:rsidR="00E23051" w:rsidRPr="00F11F4F" w:rsidRDefault="00E23051" w:rsidP="00CE5DDA">
            <w:pPr>
              <w:pStyle w:val="i"/>
              <w:spacing w:before="100" w:after="100"/>
              <w:ind w:left="-114"/>
              <w:rPr>
                <w:rFonts w:ascii="Arial" w:hAnsi="Arial" w:cs="Arial"/>
                <w:sz w:val="22"/>
                <w:szCs w:val="22"/>
                <w:lang w:val="es-ES"/>
              </w:rPr>
            </w:pPr>
            <w:r w:rsidRPr="00F11F4F">
              <w:rPr>
                <w:rFonts w:ascii="Arial" w:hAnsi="Arial" w:cs="Arial"/>
                <w:sz w:val="22"/>
                <w:szCs w:val="22"/>
                <w:lang w:val="es-ES"/>
              </w:rPr>
              <w:t xml:space="preserve">Las ofertas deberán mantenerse válidas durante el periodo determinado en los </w:t>
            </w:r>
            <w:r w:rsidRPr="00F11F4F">
              <w:rPr>
                <w:rFonts w:ascii="Arial" w:hAnsi="Arial" w:cs="Arial"/>
                <w:b/>
                <w:sz w:val="22"/>
                <w:szCs w:val="22"/>
                <w:lang w:val="es-ES"/>
              </w:rPr>
              <w:t>DDL</w:t>
            </w:r>
            <w:r w:rsidRPr="00F11F4F">
              <w:rPr>
                <w:rFonts w:ascii="Arial" w:hAnsi="Arial" w:cs="Arial"/>
                <w:sz w:val="22"/>
                <w:szCs w:val="22"/>
                <w:lang w:val="es-ES"/>
              </w:rPr>
              <w:t>, a partir de la fecha límite para presentación de ofertas establecida en el Documento Base de la Licitación. Toda oferta con un plazo menor será rechazada por incumplimiento a lo establecido.</w:t>
            </w:r>
          </w:p>
        </w:tc>
      </w:tr>
      <w:tr w:rsidR="00E23051" w:rsidRPr="00A33F6B" w14:paraId="6BA6C069" w14:textId="77777777" w:rsidTr="00205125">
        <w:tc>
          <w:tcPr>
            <w:tcW w:w="1980" w:type="dxa"/>
            <w:vMerge/>
          </w:tcPr>
          <w:p w14:paraId="28B646D6" w14:textId="77777777" w:rsidR="00E23051" w:rsidRPr="00F11F4F" w:rsidRDefault="00E23051" w:rsidP="00CE5DDA">
            <w:pPr>
              <w:spacing w:before="100" w:after="100"/>
              <w:rPr>
                <w:rFonts w:ascii="Arial" w:hAnsi="Arial" w:cs="Arial"/>
                <w:sz w:val="22"/>
                <w:szCs w:val="22"/>
                <w:lang w:val="es-ES"/>
              </w:rPr>
            </w:pPr>
          </w:p>
        </w:tc>
        <w:tc>
          <w:tcPr>
            <w:tcW w:w="720" w:type="dxa"/>
            <w:tcBorders>
              <w:right w:val="nil"/>
            </w:tcBorders>
          </w:tcPr>
          <w:p w14:paraId="73C85229" w14:textId="77777777" w:rsidR="00E23051" w:rsidRPr="00F11F4F" w:rsidRDefault="00E23051" w:rsidP="00CE5DDA">
            <w:pPr>
              <w:pStyle w:val="i"/>
              <w:spacing w:before="100" w:after="100"/>
              <w:ind w:left="-57" w:right="-108"/>
              <w:jc w:val="center"/>
              <w:rPr>
                <w:rFonts w:ascii="Arial" w:hAnsi="Arial" w:cs="Arial"/>
                <w:sz w:val="22"/>
                <w:szCs w:val="22"/>
                <w:lang w:val="es-ES"/>
              </w:rPr>
            </w:pPr>
            <w:r w:rsidRPr="00F11F4F">
              <w:rPr>
                <w:rFonts w:ascii="Arial" w:hAnsi="Arial" w:cs="Arial"/>
                <w:sz w:val="22"/>
                <w:szCs w:val="22"/>
                <w:lang w:val="es-ES"/>
              </w:rPr>
              <w:t>21.2</w:t>
            </w:r>
          </w:p>
        </w:tc>
        <w:tc>
          <w:tcPr>
            <w:tcW w:w="6660" w:type="dxa"/>
            <w:tcBorders>
              <w:left w:val="nil"/>
            </w:tcBorders>
          </w:tcPr>
          <w:p w14:paraId="6704E79A" w14:textId="77777777" w:rsidR="00E23051" w:rsidRPr="00F11F4F" w:rsidRDefault="00E23051"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En casos excepcionales, antes del vencimiento del período de validez de la oferta, el Contratante podrá solicitar por escrito a los oferentes que extiendan el período de validez de sus ofertas. </w:t>
            </w:r>
          </w:p>
          <w:p w14:paraId="4235F0C3" w14:textId="77777777" w:rsidR="00E23051" w:rsidRPr="00F11F4F" w:rsidRDefault="00E23051"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El Contratante hará todo lo que esté a su alcance para formalizar el contrato dentro de este plazo de validez de las ofertas. Sin embargo, </w:t>
            </w:r>
            <w:r w:rsidR="00FB5EEA" w:rsidRPr="00F11F4F">
              <w:rPr>
                <w:rFonts w:ascii="Arial" w:hAnsi="Arial" w:cs="Arial"/>
                <w:sz w:val="22"/>
                <w:szCs w:val="22"/>
                <w:lang w:val="es-ES"/>
              </w:rPr>
              <w:t xml:space="preserve">en circunstancias excepcionales, antes del vencimiento del Periodo de Validez de la Oferta, </w:t>
            </w:r>
            <w:r w:rsidRPr="00F11F4F">
              <w:rPr>
                <w:rFonts w:ascii="Arial" w:hAnsi="Arial" w:cs="Arial"/>
                <w:sz w:val="22"/>
                <w:szCs w:val="22"/>
                <w:lang w:val="es-ES"/>
              </w:rPr>
              <w:t xml:space="preserve">el Contratante podrá </w:t>
            </w:r>
            <w:r w:rsidR="00FB5EEA" w:rsidRPr="00F11F4F">
              <w:rPr>
                <w:rFonts w:ascii="Arial" w:hAnsi="Arial" w:cs="Arial"/>
                <w:sz w:val="22"/>
                <w:szCs w:val="22"/>
                <w:lang w:val="es-ES"/>
              </w:rPr>
              <w:t xml:space="preserve">pedir </w:t>
            </w:r>
            <w:r w:rsidRPr="00F11F4F">
              <w:rPr>
                <w:rFonts w:ascii="Arial" w:hAnsi="Arial" w:cs="Arial"/>
                <w:sz w:val="22"/>
                <w:szCs w:val="22"/>
                <w:lang w:val="es-ES"/>
              </w:rPr>
              <w:t xml:space="preserve">a los oferentes que extiendan el plazo de la validez de sus ofertas si fuera </w:t>
            </w:r>
            <w:r w:rsidRPr="00F11F4F">
              <w:rPr>
                <w:rFonts w:ascii="Arial" w:hAnsi="Arial" w:cs="Arial"/>
                <w:sz w:val="22"/>
                <w:szCs w:val="22"/>
                <w:lang w:val="es-ES"/>
              </w:rPr>
              <w:lastRenderedPageBreak/>
              <w:t xml:space="preserve">necesario. </w:t>
            </w:r>
            <w:r w:rsidR="00FB5EEA" w:rsidRPr="00F11F4F">
              <w:rPr>
                <w:rFonts w:ascii="Arial" w:hAnsi="Arial" w:cs="Arial"/>
                <w:sz w:val="22"/>
                <w:szCs w:val="22"/>
                <w:lang w:val="es-ES"/>
              </w:rPr>
              <w:t xml:space="preserve">Tanto la solicitud como las respuestas se formularán por escrito. Si se ha solicitado una Garantía de Mantenimiento de la Oferta de conformidad con la IAO </w:t>
            </w:r>
            <w:r w:rsidR="002D258E" w:rsidRPr="00F11F4F">
              <w:rPr>
                <w:rFonts w:ascii="Arial" w:hAnsi="Arial" w:cs="Arial"/>
                <w:sz w:val="22"/>
                <w:szCs w:val="22"/>
                <w:lang w:val="es-ES"/>
              </w:rPr>
              <w:t>22</w:t>
            </w:r>
            <w:r w:rsidR="00FB5EEA" w:rsidRPr="00F11F4F">
              <w:rPr>
                <w:rFonts w:ascii="Arial" w:hAnsi="Arial" w:cs="Arial"/>
                <w:sz w:val="22"/>
                <w:szCs w:val="22"/>
                <w:lang w:val="es-ES"/>
              </w:rPr>
              <w:t xml:space="preserve">, </w:t>
            </w:r>
            <w:r w:rsidR="002118D8" w:rsidRPr="00F11F4F">
              <w:rPr>
                <w:rFonts w:ascii="Arial" w:hAnsi="Arial" w:cs="Arial"/>
                <w:sz w:val="22"/>
                <w:szCs w:val="22"/>
                <w:lang w:val="es-ES"/>
              </w:rPr>
              <w:t>está</w:t>
            </w:r>
            <w:r w:rsidR="00FB5EEA" w:rsidRPr="00F11F4F">
              <w:rPr>
                <w:rFonts w:ascii="Arial" w:hAnsi="Arial" w:cs="Arial"/>
                <w:sz w:val="22"/>
                <w:szCs w:val="22"/>
                <w:lang w:val="es-ES"/>
              </w:rPr>
              <w:t xml:space="preserve"> también se prorrogará por </w:t>
            </w:r>
            <w:r w:rsidR="002D258E" w:rsidRPr="00F11F4F">
              <w:rPr>
                <w:rFonts w:ascii="Arial" w:hAnsi="Arial" w:cs="Arial"/>
                <w:sz w:val="22"/>
                <w:szCs w:val="22"/>
                <w:lang w:val="es-ES"/>
              </w:rPr>
              <w:t>treinta</w:t>
            </w:r>
            <w:r w:rsidR="00D47A2A" w:rsidRPr="00F11F4F">
              <w:rPr>
                <w:rFonts w:ascii="Arial" w:hAnsi="Arial" w:cs="Arial"/>
                <w:sz w:val="22"/>
                <w:szCs w:val="22"/>
                <w:lang w:val="es-ES"/>
              </w:rPr>
              <w:t xml:space="preserve"> </w:t>
            </w:r>
            <w:r w:rsidR="00FB5EEA" w:rsidRPr="00F11F4F">
              <w:rPr>
                <w:rFonts w:ascii="Arial" w:hAnsi="Arial" w:cs="Arial"/>
                <w:sz w:val="22"/>
                <w:szCs w:val="22"/>
                <w:lang w:val="es-ES"/>
              </w:rPr>
              <w:t>(</w:t>
            </w:r>
            <w:r w:rsidR="00D47A2A" w:rsidRPr="00F11F4F">
              <w:rPr>
                <w:rFonts w:ascii="Arial" w:hAnsi="Arial" w:cs="Arial"/>
                <w:sz w:val="22"/>
                <w:szCs w:val="22"/>
                <w:lang w:val="es-ES"/>
              </w:rPr>
              <w:t>30</w:t>
            </w:r>
            <w:r w:rsidR="00FB5EEA" w:rsidRPr="00F11F4F">
              <w:rPr>
                <w:rFonts w:ascii="Arial" w:hAnsi="Arial" w:cs="Arial"/>
                <w:sz w:val="22"/>
                <w:szCs w:val="22"/>
                <w:lang w:val="es-ES"/>
              </w:rPr>
              <w:t>) días a partir de la fecha extendida de la validez de la Oferta.</w:t>
            </w:r>
          </w:p>
          <w:p w14:paraId="2A623F4F" w14:textId="77777777" w:rsidR="00E23051" w:rsidRPr="00F11F4F" w:rsidRDefault="00E23051"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Los oferentes que estén de acuerdo con dicha extensión deberán confirmar que mantienen disponible el personal indicado en la oferta en su confirmación de la extensión de la validez de la oferta. </w:t>
            </w:r>
          </w:p>
          <w:p w14:paraId="162384B5" w14:textId="77777777" w:rsidR="00E23051" w:rsidRPr="00F11F4F" w:rsidRDefault="00E23051" w:rsidP="00CE5DDA">
            <w:pPr>
              <w:pStyle w:val="i"/>
              <w:spacing w:before="100" w:after="100"/>
              <w:ind w:left="-108"/>
              <w:rPr>
                <w:rFonts w:ascii="Arial" w:hAnsi="Arial" w:cs="Arial"/>
                <w:sz w:val="22"/>
                <w:szCs w:val="22"/>
                <w:lang w:val="es-ES"/>
              </w:rPr>
            </w:pPr>
            <w:r w:rsidRPr="00F11F4F">
              <w:rPr>
                <w:rFonts w:ascii="Arial" w:hAnsi="Arial" w:cs="Arial"/>
                <w:sz w:val="22"/>
                <w:szCs w:val="22"/>
                <w:lang w:val="es-ES"/>
              </w:rPr>
              <w:t>Los oferentes que no estén de acuerdo en ampliar la validez de la oferta tienen el derecho de rehusarse a la solicitud sin perder la Garantía de Mantenimiento de Oferta y Firma de contrato en los casos en que se haya presentado de conformidad con las IAO 22.</w:t>
            </w:r>
          </w:p>
        </w:tc>
      </w:tr>
      <w:tr w:rsidR="00E23051" w:rsidRPr="00A33F6B" w14:paraId="570E5C85" w14:textId="77777777" w:rsidTr="00205125">
        <w:tc>
          <w:tcPr>
            <w:tcW w:w="1980" w:type="dxa"/>
            <w:vMerge/>
          </w:tcPr>
          <w:p w14:paraId="77305FDF" w14:textId="77777777" w:rsidR="00E23051" w:rsidRPr="00F11F4F" w:rsidRDefault="00E23051" w:rsidP="00CE5DDA">
            <w:pPr>
              <w:spacing w:before="100" w:after="100"/>
              <w:rPr>
                <w:rFonts w:ascii="Arial" w:hAnsi="Arial" w:cs="Arial"/>
                <w:sz w:val="22"/>
                <w:szCs w:val="22"/>
                <w:lang w:val="es-ES"/>
              </w:rPr>
            </w:pPr>
          </w:p>
        </w:tc>
        <w:tc>
          <w:tcPr>
            <w:tcW w:w="720" w:type="dxa"/>
            <w:tcBorders>
              <w:right w:val="nil"/>
            </w:tcBorders>
          </w:tcPr>
          <w:p w14:paraId="15DAE53A" w14:textId="77777777" w:rsidR="00E23051" w:rsidRPr="00F11F4F" w:rsidRDefault="00E23051" w:rsidP="00CE5DDA">
            <w:pPr>
              <w:pStyle w:val="i"/>
              <w:spacing w:before="100" w:after="100"/>
              <w:ind w:left="-57" w:right="-108"/>
              <w:jc w:val="center"/>
              <w:rPr>
                <w:rFonts w:ascii="Arial" w:hAnsi="Arial" w:cs="Arial"/>
                <w:sz w:val="22"/>
                <w:szCs w:val="22"/>
                <w:lang w:val="es-ES"/>
              </w:rPr>
            </w:pPr>
            <w:r w:rsidRPr="00F11F4F">
              <w:rPr>
                <w:rFonts w:ascii="Arial" w:hAnsi="Arial" w:cs="Arial"/>
                <w:sz w:val="22"/>
                <w:szCs w:val="22"/>
                <w:lang w:val="es-ES"/>
              </w:rPr>
              <w:t>21.3</w:t>
            </w:r>
          </w:p>
        </w:tc>
        <w:tc>
          <w:tcPr>
            <w:tcW w:w="6660" w:type="dxa"/>
            <w:tcBorders>
              <w:left w:val="nil"/>
            </w:tcBorders>
          </w:tcPr>
          <w:p w14:paraId="09989540" w14:textId="77777777" w:rsidR="00E23051" w:rsidRPr="00F11F4F" w:rsidRDefault="00E23051" w:rsidP="00CE5DDA">
            <w:pPr>
              <w:ind w:left="-110"/>
              <w:rPr>
                <w:rFonts w:ascii="Arial" w:hAnsi="Arial" w:cs="Arial"/>
                <w:sz w:val="22"/>
                <w:szCs w:val="22"/>
                <w:lang w:val="es-ES"/>
              </w:rPr>
            </w:pPr>
            <w:r w:rsidRPr="00F11F4F">
              <w:rPr>
                <w:rFonts w:ascii="Arial" w:hAnsi="Arial" w:cs="Arial"/>
                <w:sz w:val="22"/>
                <w:szCs w:val="22"/>
                <w:lang w:val="es-ES"/>
              </w:rPr>
              <w:t xml:space="preserve">Si la adjudicación se demora más de cincuenta y seis (56) días después de </w:t>
            </w:r>
            <w:r w:rsidRPr="00F11F4F">
              <w:rPr>
                <w:rFonts w:ascii="Arial" w:hAnsi="Arial" w:cs="Arial"/>
                <w:sz w:val="22"/>
                <w:szCs w:val="22"/>
              </w:rPr>
              <w:t xml:space="preserve">la fecha de expiración de la validez inicial de la oferta especificada de conformidad con lo indicado en el numeral 20.1 de los </w:t>
            </w:r>
            <w:r w:rsidRPr="00F11F4F">
              <w:rPr>
                <w:rFonts w:ascii="Arial" w:hAnsi="Arial" w:cs="Arial"/>
                <w:b/>
                <w:bCs/>
                <w:sz w:val="22"/>
                <w:szCs w:val="22"/>
              </w:rPr>
              <w:t>DDL</w:t>
            </w:r>
            <w:r w:rsidRPr="00F11F4F">
              <w:rPr>
                <w:rFonts w:ascii="Arial" w:hAnsi="Arial" w:cs="Arial"/>
                <w:sz w:val="22"/>
                <w:szCs w:val="22"/>
                <w:lang w:val="es-ES"/>
              </w:rPr>
              <w:t>, el precio del Contrato se determinará de la siguiente manera:</w:t>
            </w:r>
          </w:p>
          <w:p w14:paraId="3DA26E0D" w14:textId="77777777" w:rsidR="00E23051" w:rsidRPr="00F11F4F" w:rsidRDefault="00E23051" w:rsidP="0071608E">
            <w:pPr>
              <w:numPr>
                <w:ilvl w:val="2"/>
                <w:numId w:val="32"/>
              </w:numPr>
              <w:ind w:left="158" w:hanging="270"/>
              <w:rPr>
                <w:rFonts w:ascii="Arial" w:hAnsi="Arial" w:cs="Arial"/>
                <w:sz w:val="22"/>
                <w:szCs w:val="22"/>
                <w:lang w:val="es-ES"/>
              </w:rPr>
            </w:pPr>
            <w:r w:rsidRPr="00F11F4F">
              <w:rPr>
                <w:rFonts w:ascii="Arial" w:hAnsi="Arial" w:cs="Arial"/>
                <w:sz w:val="22"/>
                <w:szCs w:val="22"/>
                <w:lang w:val="es-ES"/>
              </w:rPr>
              <w:t xml:space="preserve">En el caso de los contratos de precio fijo, el precio contractual será el de la Oferta, ajustado por un factor especificado </w:t>
            </w:r>
            <w:r w:rsidRPr="00F11F4F">
              <w:rPr>
                <w:rFonts w:ascii="Arial" w:hAnsi="Arial" w:cs="Arial"/>
                <w:b/>
                <w:sz w:val="22"/>
                <w:szCs w:val="22"/>
                <w:lang w:val="es-ES"/>
              </w:rPr>
              <w:t>en los DDL</w:t>
            </w:r>
            <w:r w:rsidRPr="00F11F4F">
              <w:rPr>
                <w:rFonts w:ascii="Arial" w:hAnsi="Arial" w:cs="Arial"/>
                <w:sz w:val="22"/>
                <w:szCs w:val="22"/>
                <w:lang w:val="es-ES"/>
              </w:rPr>
              <w:t xml:space="preserve">, </w:t>
            </w:r>
          </w:p>
          <w:p w14:paraId="1B64AC3C" w14:textId="77777777" w:rsidR="00E23051" w:rsidRPr="00F11F4F" w:rsidRDefault="00E23051" w:rsidP="0071608E">
            <w:pPr>
              <w:numPr>
                <w:ilvl w:val="2"/>
                <w:numId w:val="32"/>
              </w:numPr>
              <w:ind w:left="158" w:hanging="270"/>
              <w:rPr>
                <w:rFonts w:ascii="Arial" w:hAnsi="Arial" w:cs="Arial"/>
                <w:sz w:val="22"/>
                <w:szCs w:val="22"/>
                <w:lang w:val="es-ES"/>
              </w:rPr>
            </w:pPr>
            <w:r w:rsidRPr="00F11F4F">
              <w:rPr>
                <w:rFonts w:ascii="Arial" w:hAnsi="Arial" w:cs="Arial"/>
                <w:sz w:val="22"/>
                <w:szCs w:val="22"/>
                <w:lang w:val="es-ES"/>
              </w:rPr>
              <w:t>En el caso de los contratos de</w:t>
            </w:r>
            <w:r w:rsidRPr="00F11F4F">
              <w:rPr>
                <w:rFonts w:ascii="Arial" w:hAnsi="Arial" w:cs="Arial"/>
                <w:b/>
                <w:sz w:val="22"/>
                <w:szCs w:val="22"/>
                <w:lang w:val="es-ES"/>
              </w:rPr>
              <w:t xml:space="preserve"> </w:t>
            </w:r>
            <w:r w:rsidRPr="00F11F4F">
              <w:rPr>
                <w:rFonts w:ascii="Arial" w:hAnsi="Arial" w:cs="Arial"/>
                <w:sz w:val="22"/>
                <w:szCs w:val="22"/>
                <w:lang w:val="es-ES"/>
              </w:rPr>
              <w:t>precio ajustable, no se efectuarán ajustes, o</w:t>
            </w:r>
          </w:p>
          <w:p w14:paraId="00304687" w14:textId="77777777" w:rsidR="00E23051" w:rsidRPr="00F11F4F" w:rsidRDefault="00E23051" w:rsidP="00CE5DDA">
            <w:pPr>
              <w:pStyle w:val="i"/>
              <w:spacing w:before="100" w:after="100"/>
              <w:ind w:left="-110"/>
              <w:rPr>
                <w:rFonts w:ascii="Arial" w:hAnsi="Arial" w:cs="Arial"/>
                <w:sz w:val="22"/>
                <w:szCs w:val="22"/>
                <w:lang w:val="es-ES"/>
              </w:rPr>
            </w:pPr>
            <w:r w:rsidRPr="00F11F4F">
              <w:rPr>
                <w:rFonts w:ascii="Arial" w:hAnsi="Arial" w:cs="Arial"/>
                <w:sz w:val="22"/>
                <w:szCs w:val="22"/>
                <w:lang w:val="es-ES"/>
              </w:rPr>
              <w:t>En todos los casos, la evaluación de la Oferta se basará en el precio de la Oferta sin tener en cuenta la corrección aplicable en los casos indicados más arriba.</w:t>
            </w:r>
          </w:p>
        </w:tc>
      </w:tr>
      <w:tr w:rsidR="00587595" w:rsidRPr="00A33F6B" w14:paraId="0F0047F6" w14:textId="77777777" w:rsidTr="00205125">
        <w:trPr>
          <w:trHeight w:val="436"/>
        </w:trPr>
        <w:tc>
          <w:tcPr>
            <w:tcW w:w="1980" w:type="dxa"/>
            <w:vMerge w:val="restart"/>
          </w:tcPr>
          <w:p w14:paraId="5D002BFD" w14:textId="77777777" w:rsidR="00587595" w:rsidRPr="0049753E" w:rsidRDefault="00587595" w:rsidP="0049753E">
            <w:pPr>
              <w:pStyle w:val="IAO2"/>
            </w:pPr>
            <w:bookmarkStart w:id="183" w:name="_Toc74048196"/>
            <w:bookmarkStart w:id="184" w:name="_Toc74518440"/>
            <w:bookmarkStart w:id="185" w:name="_Toc74519164"/>
            <w:bookmarkStart w:id="186" w:name="_Toc74519980"/>
            <w:bookmarkStart w:id="187" w:name="_Toc74781354"/>
            <w:bookmarkStart w:id="188" w:name="_Toc74894104"/>
            <w:r w:rsidRPr="0049753E">
              <w:t xml:space="preserve">22. </w:t>
            </w:r>
            <w:r w:rsidRPr="0049753E">
              <w:rPr>
                <w:rStyle w:val="IAO2Char"/>
                <w:b/>
              </w:rPr>
              <w:t>Garantía de Mantenimiento de la Oferta y firma de contrato</w:t>
            </w:r>
            <w:bookmarkEnd w:id="183"/>
            <w:bookmarkEnd w:id="184"/>
            <w:bookmarkEnd w:id="185"/>
            <w:bookmarkEnd w:id="186"/>
            <w:bookmarkEnd w:id="187"/>
            <w:bookmarkEnd w:id="188"/>
          </w:p>
        </w:tc>
        <w:tc>
          <w:tcPr>
            <w:tcW w:w="720" w:type="dxa"/>
            <w:tcBorders>
              <w:right w:val="nil"/>
            </w:tcBorders>
            <w:shd w:val="clear" w:color="auto" w:fill="auto"/>
          </w:tcPr>
          <w:p w14:paraId="6AA470AF" w14:textId="77777777" w:rsidR="00587595" w:rsidRPr="00F11F4F" w:rsidRDefault="00587595" w:rsidP="00CE5DDA">
            <w:pPr>
              <w:pStyle w:val="i"/>
              <w:spacing w:before="100" w:after="100"/>
              <w:ind w:left="-108" w:right="-107"/>
              <w:jc w:val="center"/>
              <w:rPr>
                <w:rFonts w:ascii="Arial" w:hAnsi="Arial" w:cs="Arial"/>
                <w:sz w:val="22"/>
                <w:szCs w:val="22"/>
                <w:lang w:val="es-ES"/>
              </w:rPr>
            </w:pPr>
            <w:r w:rsidRPr="00F11F4F">
              <w:rPr>
                <w:rFonts w:ascii="Arial" w:hAnsi="Arial" w:cs="Arial"/>
                <w:sz w:val="22"/>
                <w:szCs w:val="22"/>
                <w:lang w:val="es-ES"/>
              </w:rPr>
              <w:t>22.1</w:t>
            </w:r>
          </w:p>
        </w:tc>
        <w:tc>
          <w:tcPr>
            <w:tcW w:w="6660" w:type="dxa"/>
            <w:tcBorders>
              <w:left w:val="nil"/>
              <w:bottom w:val="single" w:sz="4" w:space="0" w:color="auto"/>
            </w:tcBorders>
            <w:shd w:val="clear" w:color="auto" w:fill="auto"/>
          </w:tcPr>
          <w:p w14:paraId="4183D95E" w14:textId="77777777" w:rsidR="00587595" w:rsidRPr="00F11F4F" w:rsidRDefault="00587595" w:rsidP="0071608E">
            <w:pPr>
              <w:pStyle w:val="i"/>
              <w:numPr>
                <w:ilvl w:val="0"/>
                <w:numId w:val="46"/>
              </w:numPr>
              <w:tabs>
                <w:tab w:val="left" w:pos="8288"/>
              </w:tabs>
              <w:spacing w:before="100" w:after="100"/>
              <w:ind w:left="158" w:hanging="270"/>
              <w:rPr>
                <w:rFonts w:ascii="Arial" w:hAnsi="Arial" w:cs="Arial"/>
                <w:sz w:val="22"/>
                <w:szCs w:val="22"/>
                <w:lang w:val="es-ES"/>
              </w:rPr>
            </w:pPr>
            <w:r w:rsidRPr="00F11F4F">
              <w:rPr>
                <w:rFonts w:ascii="Arial" w:hAnsi="Arial" w:cs="Arial"/>
                <w:sz w:val="22"/>
                <w:szCs w:val="22"/>
                <w:lang w:val="es-ES"/>
              </w:rPr>
              <w:t xml:space="preserve">En los </w:t>
            </w:r>
            <w:r w:rsidRPr="00F11F4F">
              <w:rPr>
                <w:rFonts w:ascii="Arial" w:hAnsi="Arial" w:cs="Arial"/>
                <w:b/>
                <w:bCs/>
                <w:sz w:val="22"/>
                <w:szCs w:val="22"/>
                <w:lang w:val="es-ES"/>
              </w:rPr>
              <w:t>DDL</w:t>
            </w:r>
            <w:r w:rsidRPr="00F11F4F">
              <w:rPr>
                <w:rFonts w:ascii="Arial" w:hAnsi="Arial" w:cs="Arial"/>
                <w:sz w:val="22"/>
                <w:szCs w:val="22"/>
                <w:lang w:val="es-ES"/>
              </w:rPr>
              <w:t xml:space="preserve"> se establecerá la obligación de presentar Garantía de Mantenimiento de Oferta o bien una Declaración de Mantenimiento de la Oferta</w:t>
            </w:r>
          </w:p>
          <w:p w14:paraId="7A36C549" w14:textId="77777777" w:rsidR="00587595" w:rsidRPr="00F11F4F" w:rsidRDefault="00587595" w:rsidP="00D26BD8">
            <w:pPr>
              <w:pStyle w:val="i"/>
              <w:tabs>
                <w:tab w:val="left" w:pos="8288"/>
              </w:tabs>
              <w:spacing w:before="100" w:after="100"/>
              <w:ind w:left="158"/>
              <w:rPr>
                <w:rFonts w:ascii="Arial" w:hAnsi="Arial" w:cs="Arial"/>
                <w:sz w:val="22"/>
                <w:szCs w:val="22"/>
                <w:lang w:val="es-ES"/>
              </w:rPr>
            </w:pPr>
            <w:r w:rsidRPr="00F11F4F">
              <w:rPr>
                <w:rFonts w:ascii="Arial" w:hAnsi="Arial" w:cs="Arial"/>
                <w:sz w:val="22"/>
                <w:szCs w:val="22"/>
                <w:lang w:val="es-ES"/>
              </w:rPr>
              <w:t xml:space="preserve">En caso de requerirse la misma, el oferente deberá presentar como parte de su oferta esta garantía con las características, monto, plazo y moneda estipulada en los </w:t>
            </w:r>
            <w:r w:rsidRPr="00F11F4F">
              <w:rPr>
                <w:rFonts w:ascii="Arial" w:hAnsi="Arial" w:cs="Arial"/>
                <w:b/>
                <w:bCs/>
                <w:sz w:val="22"/>
                <w:szCs w:val="22"/>
                <w:lang w:val="es-ES"/>
              </w:rPr>
              <w:t>DDL</w:t>
            </w:r>
            <w:r w:rsidRPr="00F11F4F">
              <w:rPr>
                <w:rFonts w:ascii="Arial" w:hAnsi="Arial" w:cs="Arial"/>
                <w:sz w:val="22"/>
                <w:szCs w:val="22"/>
                <w:lang w:val="es-ES"/>
              </w:rPr>
              <w:t>.</w:t>
            </w:r>
          </w:p>
          <w:p w14:paraId="223B6F11" w14:textId="77777777" w:rsidR="00587595" w:rsidRPr="00F11F4F" w:rsidRDefault="00587595" w:rsidP="00D26BD8">
            <w:pPr>
              <w:pStyle w:val="i"/>
              <w:tabs>
                <w:tab w:val="left" w:pos="8288"/>
              </w:tabs>
              <w:spacing w:before="100" w:after="100"/>
              <w:ind w:left="158"/>
              <w:rPr>
                <w:rFonts w:ascii="Arial" w:hAnsi="Arial" w:cs="Arial"/>
                <w:sz w:val="22"/>
                <w:szCs w:val="22"/>
                <w:lang w:val="es-ES"/>
              </w:rPr>
            </w:pPr>
            <w:r w:rsidRPr="00F11F4F">
              <w:rPr>
                <w:rFonts w:ascii="Arial" w:hAnsi="Arial" w:cs="Arial"/>
                <w:sz w:val="22"/>
                <w:szCs w:val="22"/>
                <w:lang w:val="es-ES"/>
              </w:rPr>
              <w:t xml:space="preserve">Esta garantía podrá ser del tipo bancaria, fianza o cualquier otro instrumento financiero incondicional a primer requerimiento. En los </w:t>
            </w:r>
            <w:r w:rsidRPr="00F11F4F">
              <w:rPr>
                <w:rFonts w:ascii="Arial" w:hAnsi="Arial" w:cs="Arial"/>
                <w:b/>
                <w:bCs/>
                <w:sz w:val="22"/>
                <w:szCs w:val="22"/>
                <w:lang w:val="es-ES"/>
              </w:rPr>
              <w:t>DDL</w:t>
            </w:r>
            <w:r w:rsidRPr="00F11F4F">
              <w:rPr>
                <w:rFonts w:ascii="Arial" w:hAnsi="Arial" w:cs="Arial"/>
                <w:sz w:val="22"/>
                <w:szCs w:val="22"/>
                <w:lang w:val="es-ES"/>
              </w:rPr>
              <w:t xml:space="preserve"> se indicará a favor de quien deberá ser emitida la garantía.</w:t>
            </w:r>
          </w:p>
          <w:p w14:paraId="5D20A83B" w14:textId="77777777" w:rsidR="00587595" w:rsidRPr="00F11F4F" w:rsidRDefault="00587595" w:rsidP="00D26BD8">
            <w:pPr>
              <w:pStyle w:val="i"/>
              <w:tabs>
                <w:tab w:val="left" w:pos="8288"/>
              </w:tabs>
              <w:spacing w:before="100" w:after="100"/>
              <w:ind w:left="158"/>
              <w:rPr>
                <w:rFonts w:ascii="Arial" w:hAnsi="Arial" w:cs="Arial"/>
                <w:sz w:val="22"/>
                <w:szCs w:val="22"/>
                <w:lang w:val="es-ES"/>
              </w:rPr>
            </w:pPr>
            <w:r w:rsidRPr="00F11F4F">
              <w:rPr>
                <w:rFonts w:ascii="Arial" w:hAnsi="Arial" w:cs="Arial"/>
                <w:sz w:val="22"/>
                <w:szCs w:val="22"/>
                <w:lang w:val="es-ES"/>
              </w:rPr>
              <w:t>La garantía deberá tener cualquiera de las siguientes formas, a opción del oferente:</w:t>
            </w:r>
          </w:p>
          <w:p w14:paraId="48E2BD18" w14:textId="77777777" w:rsidR="00587595" w:rsidRPr="00F11F4F" w:rsidRDefault="00587595" w:rsidP="0071608E">
            <w:pPr>
              <w:pStyle w:val="StyleHeader1-ClausesAfter0pt"/>
              <w:numPr>
                <w:ilvl w:val="2"/>
                <w:numId w:val="38"/>
              </w:numPr>
              <w:tabs>
                <w:tab w:val="left" w:pos="1107"/>
              </w:tabs>
              <w:spacing w:after="0"/>
              <w:ind w:left="608" w:hanging="266"/>
              <w:rPr>
                <w:rFonts w:ascii="Arial" w:hAnsi="Arial" w:cs="Arial"/>
                <w:bCs w:val="0"/>
                <w:sz w:val="22"/>
                <w:szCs w:val="22"/>
                <w:lang w:val="es-ES"/>
              </w:rPr>
            </w:pPr>
            <w:r w:rsidRPr="00F11F4F">
              <w:rPr>
                <w:rFonts w:ascii="Arial" w:hAnsi="Arial" w:cs="Arial"/>
                <w:bCs w:val="0"/>
                <w:sz w:val="22"/>
                <w:szCs w:val="22"/>
                <w:lang w:val="es-ES"/>
              </w:rPr>
              <w:t xml:space="preserve">Una garantía incondicional emitida por un banco o una institución financiera no bancaria (como una compañía de seguros o fianzas); </w:t>
            </w:r>
          </w:p>
          <w:p w14:paraId="3D7D1D82" w14:textId="77777777" w:rsidR="00587595" w:rsidRPr="00F11F4F" w:rsidRDefault="00587595" w:rsidP="0071608E">
            <w:pPr>
              <w:pStyle w:val="StyleHeader1-ClausesAfter0pt"/>
              <w:numPr>
                <w:ilvl w:val="2"/>
                <w:numId w:val="38"/>
              </w:numPr>
              <w:tabs>
                <w:tab w:val="left" w:pos="1107"/>
              </w:tabs>
              <w:spacing w:after="0"/>
              <w:ind w:left="608" w:hanging="266"/>
              <w:rPr>
                <w:rFonts w:ascii="Arial" w:hAnsi="Arial" w:cs="Arial"/>
                <w:bCs w:val="0"/>
                <w:sz w:val="22"/>
                <w:szCs w:val="22"/>
                <w:lang w:val="es-ES"/>
              </w:rPr>
            </w:pPr>
            <w:r w:rsidRPr="00F11F4F">
              <w:rPr>
                <w:rFonts w:ascii="Arial" w:hAnsi="Arial" w:cs="Arial"/>
                <w:bCs w:val="0"/>
                <w:sz w:val="22"/>
                <w:szCs w:val="22"/>
                <w:lang w:val="es-ES"/>
              </w:rPr>
              <w:t xml:space="preserve">Una carta de crédito irrevocable; </w:t>
            </w:r>
          </w:p>
          <w:p w14:paraId="03E1CB43" w14:textId="77777777" w:rsidR="00587595" w:rsidRPr="00F11F4F" w:rsidRDefault="00587595" w:rsidP="0071608E">
            <w:pPr>
              <w:pStyle w:val="StyleHeader1-ClausesAfter0pt"/>
              <w:numPr>
                <w:ilvl w:val="2"/>
                <w:numId w:val="38"/>
              </w:numPr>
              <w:tabs>
                <w:tab w:val="left" w:pos="1107"/>
              </w:tabs>
              <w:spacing w:after="0"/>
              <w:ind w:left="608" w:hanging="266"/>
              <w:rPr>
                <w:rFonts w:ascii="Arial" w:hAnsi="Arial" w:cs="Arial"/>
                <w:bCs w:val="0"/>
                <w:sz w:val="22"/>
                <w:szCs w:val="22"/>
                <w:lang w:val="es-ES"/>
              </w:rPr>
            </w:pPr>
            <w:r w:rsidRPr="00F11F4F">
              <w:rPr>
                <w:rFonts w:ascii="Arial" w:hAnsi="Arial" w:cs="Arial"/>
                <w:bCs w:val="0"/>
                <w:sz w:val="22"/>
                <w:szCs w:val="22"/>
                <w:lang w:val="es-ES"/>
              </w:rPr>
              <w:t>Un cheque de caja o cheque certificado, o</w:t>
            </w:r>
          </w:p>
          <w:p w14:paraId="083F8450" w14:textId="77777777" w:rsidR="00587595" w:rsidRPr="00F11F4F" w:rsidRDefault="00587595" w:rsidP="0071608E">
            <w:pPr>
              <w:pStyle w:val="StyleHeader1-ClausesAfter0pt"/>
              <w:numPr>
                <w:ilvl w:val="2"/>
                <w:numId w:val="38"/>
              </w:numPr>
              <w:tabs>
                <w:tab w:val="left" w:pos="1107"/>
              </w:tabs>
              <w:spacing w:after="0"/>
              <w:ind w:left="608" w:hanging="266"/>
              <w:rPr>
                <w:rFonts w:ascii="Arial" w:hAnsi="Arial" w:cs="Arial"/>
                <w:bCs w:val="0"/>
                <w:sz w:val="22"/>
                <w:szCs w:val="22"/>
                <w:lang w:val="es-ES"/>
              </w:rPr>
            </w:pPr>
            <w:r w:rsidRPr="00F11F4F">
              <w:rPr>
                <w:rFonts w:ascii="Arial" w:hAnsi="Arial" w:cs="Arial"/>
                <w:bCs w:val="0"/>
                <w:sz w:val="22"/>
                <w:szCs w:val="22"/>
                <w:lang w:val="es-ES"/>
              </w:rPr>
              <w:t xml:space="preserve">Otra garantía definida en los </w:t>
            </w:r>
            <w:r w:rsidRPr="00F11F4F">
              <w:rPr>
                <w:rFonts w:ascii="Arial" w:hAnsi="Arial" w:cs="Arial"/>
                <w:b/>
                <w:sz w:val="22"/>
                <w:szCs w:val="22"/>
                <w:lang w:val="es-ES"/>
              </w:rPr>
              <w:t>DDL</w:t>
            </w:r>
            <w:r w:rsidRPr="00F11F4F">
              <w:rPr>
                <w:rFonts w:ascii="Arial" w:hAnsi="Arial" w:cs="Arial"/>
                <w:bCs w:val="0"/>
                <w:sz w:val="22"/>
                <w:szCs w:val="22"/>
                <w:lang w:val="es-ES"/>
              </w:rPr>
              <w:t xml:space="preserve"> emitida por una institución de prestigio,</w:t>
            </w:r>
          </w:p>
          <w:p w14:paraId="07C3A2AB" w14:textId="77777777" w:rsidR="00587595" w:rsidRPr="00F11F4F" w:rsidRDefault="00587595" w:rsidP="00D26BD8">
            <w:pPr>
              <w:pStyle w:val="i"/>
              <w:tabs>
                <w:tab w:val="left" w:pos="8288"/>
              </w:tabs>
              <w:spacing w:before="100" w:after="100"/>
              <w:ind w:left="248"/>
              <w:rPr>
                <w:rFonts w:ascii="Arial" w:hAnsi="Arial" w:cs="Arial"/>
                <w:sz w:val="22"/>
                <w:szCs w:val="22"/>
                <w:lang w:val="es-ES"/>
              </w:rPr>
            </w:pPr>
            <w:r w:rsidRPr="00F11F4F">
              <w:rPr>
                <w:rFonts w:ascii="Arial" w:hAnsi="Arial" w:cs="Arial"/>
                <w:sz w:val="22"/>
                <w:szCs w:val="22"/>
                <w:lang w:val="es-ES"/>
              </w:rPr>
              <w:lastRenderedPageBreak/>
              <w:t>Las garantías de mantenimiento de oferta y firma de contrato serán devueltas a los oferentes que no sean seleccionados tan pronto como sea posible una vez que el oferente seleccionado firme el contrato y provea la Garantía de Cumplimento de Contrato de conformidad con la IAO 40.1.</w:t>
            </w:r>
          </w:p>
          <w:p w14:paraId="77443709" w14:textId="77777777" w:rsidR="00587595" w:rsidRPr="00F11F4F" w:rsidRDefault="00587595" w:rsidP="0071608E">
            <w:pPr>
              <w:pStyle w:val="i"/>
              <w:numPr>
                <w:ilvl w:val="0"/>
                <w:numId w:val="46"/>
              </w:numPr>
              <w:tabs>
                <w:tab w:val="left" w:pos="8288"/>
              </w:tabs>
              <w:spacing w:before="100" w:after="100"/>
              <w:ind w:left="248" w:hanging="356"/>
              <w:rPr>
                <w:rFonts w:ascii="Arial" w:hAnsi="Arial" w:cs="Arial"/>
                <w:sz w:val="22"/>
                <w:szCs w:val="22"/>
                <w:lang w:val="es-ES"/>
              </w:rPr>
            </w:pPr>
            <w:r w:rsidRPr="00F11F4F">
              <w:rPr>
                <w:rFonts w:ascii="Arial" w:hAnsi="Arial" w:cs="Arial"/>
                <w:sz w:val="22"/>
                <w:szCs w:val="22"/>
                <w:lang w:val="es-ES"/>
              </w:rPr>
              <w:t xml:space="preserve">En lugar de esta garantía, podrá requerirse que los oferentes presenten una Declaración de Mantenimiento de Oferta, aceptando que podrá quedar imposibilitado de participar en otros procesos que realice el Contratante por un periodo de tiempo definido en los </w:t>
            </w:r>
            <w:r w:rsidRPr="00F11F4F">
              <w:rPr>
                <w:rFonts w:ascii="Arial" w:hAnsi="Arial" w:cs="Arial"/>
                <w:b/>
                <w:bCs/>
                <w:sz w:val="22"/>
                <w:szCs w:val="22"/>
                <w:lang w:val="es-ES"/>
              </w:rPr>
              <w:t>DDL</w:t>
            </w:r>
            <w:r w:rsidRPr="00F11F4F">
              <w:rPr>
                <w:rFonts w:ascii="Arial" w:hAnsi="Arial" w:cs="Arial"/>
                <w:sz w:val="22"/>
                <w:szCs w:val="22"/>
                <w:lang w:val="es-ES"/>
              </w:rPr>
              <w:t>, en caso de retirar sus ofertas durante el periodo de validez de las mismas, en el caso de oferentes que participen como una APCA, lo anterior aplicará a los miembros del APCA.</w:t>
            </w:r>
          </w:p>
        </w:tc>
      </w:tr>
      <w:tr w:rsidR="00587595" w:rsidRPr="00A33F6B" w14:paraId="0C68F810" w14:textId="77777777" w:rsidTr="00205125">
        <w:trPr>
          <w:trHeight w:val="429"/>
        </w:trPr>
        <w:tc>
          <w:tcPr>
            <w:tcW w:w="1980" w:type="dxa"/>
            <w:vMerge/>
          </w:tcPr>
          <w:p w14:paraId="18D56D3B" w14:textId="77777777" w:rsidR="00587595" w:rsidRPr="00F11F4F" w:rsidRDefault="00587595" w:rsidP="00CE5DDA">
            <w:pPr>
              <w:pStyle w:val="i"/>
              <w:spacing w:before="100" w:after="100"/>
              <w:rPr>
                <w:rFonts w:ascii="Arial" w:hAnsi="Arial" w:cs="Arial"/>
                <w:b/>
                <w:sz w:val="22"/>
                <w:szCs w:val="22"/>
                <w:lang w:val="es-ES"/>
              </w:rPr>
            </w:pPr>
          </w:p>
        </w:tc>
        <w:tc>
          <w:tcPr>
            <w:tcW w:w="720" w:type="dxa"/>
            <w:tcBorders>
              <w:right w:val="nil"/>
            </w:tcBorders>
            <w:shd w:val="clear" w:color="auto" w:fill="auto"/>
          </w:tcPr>
          <w:p w14:paraId="4ECC2123" w14:textId="77777777" w:rsidR="00587595" w:rsidRPr="00F11F4F" w:rsidRDefault="00587595" w:rsidP="00CE5DDA">
            <w:pPr>
              <w:pStyle w:val="i"/>
              <w:spacing w:before="100" w:after="100"/>
              <w:ind w:left="-108" w:right="-107"/>
              <w:jc w:val="center"/>
              <w:rPr>
                <w:rFonts w:ascii="Arial" w:hAnsi="Arial" w:cs="Arial"/>
                <w:sz w:val="22"/>
                <w:szCs w:val="22"/>
                <w:lang w:val="es-ES"/>
              </w:rPr>
            </w:pPr>
            <w:r w:rsidRPr="00F11F4F">
              <w:rPr>
                <w:rFonts w:ascii="Arial" w:hAnsi="Arial" w:cs="Arial"/>
                <w:sz w:val="22"/>
                <w:szCs w:val="22"/>
                <w:lang w:val="es-ES"/>
              </w:rPr>
              <w:t>22.2</w:t>
            </w:r>
          </w:p>
        </w:tc>
        <w:tc>
          <w:tcPr>
            <w:tcW w:w="6660" w:type="dxa"/>
            <w:tcBorders>
              <w:left w:val="nil"/>
            </w:tcBorders>
            <w:shd w:val="clear" w:color="auto" w:fill="auto"/>
          </w:tcPr>
          <w:p w14:paraId="0820181B" w14:textId="77777777" w:rsidR="00587595" w:rsidRPr="00F11F4F" w:rsidRDefault="00587595" w:rsidP="00EE6A24">
            <w:pPr>
              <w:pStyle w:val="i"/>
              <w:tabs>
                <w:tab w:val="left" w:pos="8288"/>
              </w:tabs>
              <w:spacing w:before="100" w:after="100"/>
              <w:ind w:left="-110"/>
              <w:rPr>
                <w:rFonts w:ascii="Arial" w:hAnsi="Arial" w:cs="Arial"/>
                <w:sz w:val="22"/>
                <w:szCs w:val="22"/>
                <w:lang w:val="es-ES"/>
              </w:rPr>
            </w:pPr>
            <w:r w:rsidRPr="00F11F4F">
              <w:rPr>
                <w:rFonts w:ascii="Arial" w:hAnsi="Arial" w:cs="Arial"/>
                <w:sz w:val="22"/>
                <w:szCs w:val="22"/>
                <w:lang w:val="es-ES"/>
              </w:rPr>
              <w:t>En caso de requerirse la Garantía de Mantenimiento de Oferta y Firma de Contrato se deberá cumplir las siguientes condiciones:</w:t>
            </w:r>
          </w:p>
          <w:p w14:paraId="524975DC" w14:textId="77777777" w:rsidR="00587595" w:rsidRPr="00F11F4F" w:rsidRDefault="00587595" w:rsidP="0071608E">
            <w:pPr>
              <w:pStyle w:val="i"/>
              <w:numPr>
                <w:ilvl w:val="0"/>
                <w:numId w:val="10"/>
              </w:numPr>
              <w:tabs>
                <w:tab w:val="left" w:pos="8288"/>
              </w:tabs>
              <w:spacing w:before="100" w:after="100"/>
              <w:ind w:left="248" w:hanging="358"/>
              <w:rPr>
                <w:rFonts w:ascii="Arial" w:hAnsi="Arial" w:cs="Arial"/>
                <w:sz w:val="22"/>
                <w:szCs w:val="22"/>
                <w:lang w:val="es-ES"/>
              </w:rPr>
            </w:pPr>
            <w:r w:rsidRPr="00F11F4F">
              <w:rPr>
                <w:rFonts w:ascii="Arial" w:hAnsi="Arial" w:cs="Arial"/>
                <w:sz w:val="22"/>
                <w:szCs w:val="22"/>
                <w:lang w:val="es-ES"/>
              </w:rPr>
              <w:t>Cuando el proceso de licitación requiera de la ampliación del período de validez de las ofertas, el plazo de validez de la garantía deberá ser prorrogado por el mismo período, y acatando la subcláusula 22.2(e) inmediatamente abajo. Los oferentes podrán rechazar la solicitud sin por ello perder la garantía de la oferta. A los oferentes que acepten la solicitud no se les pedirá ni se les permitirá que modifiquen su oferta.</w:t>
            </w:r>
          </w:p>
          <w:p w14:paraId="673B5FA6" w14:textId="77777777" w:rsidR="00587595" w:rsidRPr="00F11F4F" w:rsidRDefault="00587595" w:rsidP="0071608E">
            <w:pPr>
              <w:pStyle w:val="i"/>
              <w:numPr>
                <w:ilvl w:val="0"/>
                <w:numId w:val="10"/>
              </w:numPr>
              <w:tabs>
                <w:tab w:val="left" w:pos="8288"/>
              </w:tabs>
              <w:spacing w:before="100" w:after="100"/>
              <w:ind w:left="248" w:hanging="358"/>
              <w:rPr>
                <w:rFonts w:ascii="Arial" w:hAnsi="Arial" w:cs="Arial"/>
                <w:sz w:val="22"/>
                <w:szCs w:val="22"/>
                <w:lang w:val="es-ES"/>
              </w:rPr>
            </w:pPr>
            <w:r w:rsidRPr="00F11F4F">
              <w:rPr>
                <w:rFonts w:ascii="Arial" w:hAnsi="Arial" w:cs="Arial"/>
                <w:sz w:val="22"/>
                <w:szCs w:val="22"/>
                <w:lang w:val="es-ES"/>
              </w:rPr>
              <w:t>Deberá ser una garantía incondicional y a primer requerimiento, a la vista, o en formato electrónico, incondicional e irrevocable de realización automática o a único requerimiento del Contratante mediante carta simple, sin necesidad de exigencia judicial o ante garante para su pago y sin beneficio de excusión que le permita hacer efectiva dicha garantía.</w:t>
            </w:r>
          </w:p>
          <w:p w14:paraId="6BD13E44" w14:textId="77777777" w:rsidR="00587595" w:rsidRPr="00F11F4F" w:rsidRDefault="00587595" w:rsidP="0071608E">
            <w:pPr>
              <w:pStyle w:val="i"/>
              <w:numPr>
                <w:ilvl w:val="0"/>
                <w:numId w:val="10"/>
              </w:numPr>
              <w:tabs>
                <w:tab w:val="left" w:pos="8288"/>
              </w:tabs>
              <w:spacing w:before="100" w:after="100"/>
              <w:ind w:left="248" w:hanging="358"/>
              <w:rPr>
                <w:rFonts w:ascii="Arial" w:hAnsi="Arial" w:cs="Arial"/>
                <w:sz w:val="22"/>
                <w:szCs w:val="22"/>
                <w:lang w:val="es-ES"/>
              </w:rPr>
            </w:pPr>
            <w:r w:rsidRPr="00F11F4F">
              <w:rPr>
                <w:rFonts w:ascii="Arial" w:hAnsi="Arial" w:cs="Arial"/>
                <w:sz w:val="22"/>
                <w:szCs w:val="22"/>
                <w:lang w:val="es-ES"/>
              </w:rPr>
              <w:t xml:space="preserve">Deberá ser emitida por una institución financiera o aseguradora regulada en el país del Contratante. </w:t>
            </w:r>
          </w:p>
          <w:p w14:paraId="554EA42C" w14:textId="77777777" w:rsidR="00587595" w:rsidRPr="00F11F4F" w:rsidRDefault="00587595" w:rsidP="009D15EE">
            <w:pPr>
              <w:pStyle w:val="i"/>
              <w:tabs>
                <w:tab w:val="left" w:pos="8288"/>
              </w:tabs>
              <w:spacing w:before="100" w:after="100"/>
              <w:ind w:left="248" w:firstLine="13"/>
              <w:rPr>
                <w:rFonts w:ascii="Arial" w:hAnsi="Arial" w:cs="Arial"/>
                <w:sz w:val="22"/>
                <w:szCs w:val="22"/>
                <w:lang w:val="es-ES"/>
              </w:rPr>
            </w:pPr>
            <w:r w:rsidRPr="00F11F4F">
              <w:rPr>
                <w:rFonts w:ascii="Arial" w:hAnsi="Arial" w:cs="Arial"/>
                <w:sz w:val="22"/>
                <w:szCs w:val="22"/>
                <w:lang w:val="es-ES"/>
              </w:rPr>
              <w:t>Si la garantía / fianza / otro instrumento financiero es emitida por una institución financiera o aseguradora situada fuera del país del Contratante, la institución emisora deberá tener una institución financiera corresponsal regulada en el país del Contratante, que permita hacer efectiva la garantía.</w:t>
            </w:r>
          </w:p>
          <w:p w14:paraId="44FD145C" w14:textId="77777777" w:rsidR="00587595" w:rsidRPr="00F11F4F" w:rsidRDefault="00587595" w:rsidP="0071608E">
            <w:pPr>
              <w:pStyle w:val="i"/>
              <w:numPr>
                <w:ilvl w:val="0"/>
                <w:numId w:val="10"/>
              </w:numPr>
              <w:tabs>
                <w:tab w:val="left" w:pos="8288"/>
              </w:tabs>
              <w:spacing w:before="100" w:after="100"/>
              <w:ind w:left="248" w:hanging="358"/>
              <w:rPr>
                <w:rFonts w:ascii="Arial" w:hAnsi="Arial" w:cs="Arial"/>
                <w:sz w:val="22"/>
                <w:szCs w:val="22"/>
                <w:lang w:val="es-ES"/>
              </w:rPr>
            </w:pPr>
            <w:r w:rsidRPr="00F11F4F">
              <w:rPr>
                <w:rFonts w:ascii="Arial" w:hAnsi="Arial" w:cs="Arial"/>
                <w:sz w:val="22"/>
                <w:szCs w:val="22"/>
                <w:lang w:val="es-ES"/>
              </w:rPr>
              <w:t>Deberá estar sustancialmente de acuerdo con uno de los formularios incluidos en la sección IV.</w:t>
            </w:r>
          </w:p>
          <w:p w14:paraId="3C02E83C" w14:textId="77777777" w:rsidR="00587595" w:rsidRPr="00F11F4F" w:rsidRDefault="00587595" w:rsidP="0071608E">
            <w:pPr>
              <w:pStyle w:val="i"/>
              <w:numPr>
                <w:ilvl w:val="0"/>
                <w:numId w:val="10"/>
              </w:numPr>
              <w:tabs>
                <w:tab w:val="left" w:pos="8288"/>
              </w:tabs>
              <w:spacing w:before="100" w:after="100"/>
              <w:ind w:left="248" w:hanging="358"/>
              <w:rPr>
                <w:rFonts w:ascii="Arial" w:hAnsi="Arial" w:cs="Arial"/>
                <w:sz w:val="22"/>
                <w:szCs w:val="22"/>
                <w:lang w:val="es-ES"/>
              </w:rPr>
            </w:pPr>
            <w:r w:rsidRPr="00F11F4F">
              <w:rPr>
                <w:rFonts w:ascii="Arial" w:hAnsi="Arial" w:cs="Arial"/>
                <w:sz w:val="22"/>
                <w:szCs w:val="22"/>
                <w:lang w:val="es-ES"/>
              </w:rPr>
              <w:t>El plazo de validez deberá ser de al menos 30 días adicionales al plazo de validez de las ofertas, o del período prorrogado de este cuando así corresponda.</w:t>
            </w:r>
          </w:p>
          <w:p w14:paraId="56942554" w14:textId="77777777" w:rsidR="00587595" w:rsidRPr="00F11F4F" w:rsidRDefault="00587595" w:rsidP="0071608E">
            <w:pPr>
              <w:pStyle w:val="i"/>
              <w:numPr>
                <w:ilvl w:val="0"/>
                <w:numId w:val="10"/>
              </w:numPr>
              <w:tabs>
                <w:tab w:val="left" w:pos="8288"/>
              </w:tabs>
              <w:spacing w:before="100" w:after="100"/>
              <w:ind w:left="248" w:hanging="358"/>
              <w:rPr>
                <w:rFonts w:ascii="Arial" w:hAnsi="Arial" w:cs="Arial"/>
                <w:sz w:val="22"/>
                <w:szCs w:val="22"/>
                <w:lang w:val="es-ES"/>
              </w:rPr>
            </w:pPr>
            <w:r w:rsidRPr="00F11F4F">
              <w:rPr>
                <w:rFonts w:ascii="Arial" w:hAnsi="Arial" w:cs="Arial"/>
                <w:sz w:val="22"/>
                <w:szCs w:val="22"/>
                <w:lang w:val="es-ES"/>
              </w:rPr>
              <w:t>Todas las ofertas que no estén acompañadas por esta garantía serán rechazadas por el Contratante por incumplimiento de un requisito no subsanable.</w:t>
            </w:r>
          </w:p>
        </w:tc>
      </w:tr>
      <w:tr w:rsidR="00587595" w:rsidRPr="00A33F6B" w14:paraId="2DDECFDF" w14:textId="77777777" w:rsidTr="00205125">
        <w:tc>
          <w:tcPr>
            <w:tcW w:w="1980" w:type="dxa"/>
            <w:vMerge/>
          </w:tcPr>
          <w:p w14:paraId="32012A8C" w14:textId="77777777" w:rsidR="00587595" w:rsidRPr="00F11F4F"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71CA0131" w14:textId="77777777" w:rsidR="00587595" w:rsidRPr="00F11F4F" w:rsidRDefault="00587595" w:rsidP="00CE5DDA">
            <w:pPr>
              <w:pStyle w:val="i"/>
              <w:spacing w:before="100" w:after="100"/>
              <w:ind w:left="-57"/>
              <w:jc w:val="center"/>
              <w:rPr>
                <w:rFonts w:ascii="Arial" w:hAnsi="Arial" w:cs="Arial"/>
                <w:sz w:val="22"/>
                <w:szCs w:val="22"/>
                <w:lang w:val="es-ES"/>
              </w:rPr>
            </w:pPr>
            <w:r w:rsidRPr="00F11F4F">
              <w:rPr>
                <w:rFonts w:ascii="Arial" w:hAnsi="Arial" w:cs="Arial"/>
                <w:sz w:val="22"/>
                <w:szCs w:val="22"/>
                <w:lang w:val="es-ES"/>
              </w:rPr>
              <w:t>22.3</w:t>
            </w:r>
          </w:p>
        </w:tc>
        <w:tc>
          <w:tcPr>
            <w:tcW w:w="6660" w:type="dxa"/>
            <w:tcBorders>
              <w:left w:val="nil"/>
              <w:bottom w:val="single" w:sz="4" w:space="0" w:color="auto"/>
            </w:tcBorders>
            <w:shd w:val="clear" w:color="auto" w:fill="auto"/>
          </w:tcPr>
          <w:p w14:paraId="6D9CA7D0" w14:textId="77777777" w:rsidR="00587595" w:rsidRPr="00F11F4F" w:rsidRDefault="00587595" w:rsidP="00CE5DDA">
            <w:pPr>
              <w:spacing w:before="100" w:after="100"/>
              <w:ind w:left="-80"/>
              <w:rPr>
                <w:rFonts w:ascii="Arial" w:hAnsi="Arial" w:cs="Arial"/>
                <w:sz w:val="22"/>
                <w:szCs w:val="22"/>
                <w:lang w:val="es-HN"/>
              </w:rPr>
            </w:pPr>
            <w:r w:rsidRPr="00F11F4F">
              <w:rPr>
                <w:rFonts w:ascii="Arial" w:hAnsi="Arial" w:cs="Arial"/>
                <w:sz w:val="22"/>
                <w:szCs w:val="22"/>
                <w:lang w:val="es-HN"/>
              </w:rPr>
              <w:t>La Garantía de Mantenimiento de la Oferta o la Declaración de Mantenimiento de la Oferta de una APCA deberá ser emitida en nombre de la APCA que presenta la Oferta. Si dicha APCA no está constituida legalmente como una APCA jurídicamente vinculante en el momento de presentar la Oferta, la Garantía de Mantenimiento de la Oferta o la Declaración de Mantenimiento de la Oferta se podrá emitir a nombre de uno o de todos los futuros miembros de la APCA conforme se consignen en la carta de intención mencionada en las IAO 13 y 23.4</w:t>
            </w:r>
          </w:p>
        </w:tc>
      </w:tr>
      <w:tr w:rsidR="00587595" w:rsidRPr="00A33F6B" w14:paraId="2A7CB71B" w14:textId="77777777" w:rsidTr="00205125">
        <w:tc>
          <w:tcPr>
            <w:tcW w:w="1980" w:type="dxa"/>
            <w:vMerge/>
          </w:tcPr>
          <w:p w14:paraId="57D97AD9" w14:textId="77777777" w:rsidR="00587595" w:rsidRPr="00F11F4F"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4D4AB2B2" w14:textId="77777777" w:rsidR="00587595" w:rsidRPr="00F11F4F" w:rsidRDefault="00587595" w:rsidP="00CE5DDA">
            <w:pPr>
              <w:pStyle w:val="i"/>
              <w:spacing w:before="100" w:after="100"/>
              <w:ind w:left="-57"/>
              <w:jc w:val="center"/>
              <w:rPr>
                <w:rFonts w:ascii="Arial" w:hAnsi="Arial" w:cs="Arial"/>
                <w:sz w:val="22"/>
                <w:szCs w:val="22"/>
                <w:lang w:val="es-ES"/>
              </w:rPr>
            </w:pPr>
            <w:r w:rsidRPr="00F11F4F">
              <w:rPr>
                <w:rFonts w:ascii="Arial" w:hAnsi="Arial" w:cs="Arial"/>
                <w:sz w:val="22"/>
                <w:szCs w:val="22"/>
                <w:lang w:val="es-ES"/>
              </w:rPr>
              <w:t>22.4</w:t>
            </w:r>
          </w:p>
        </w:tc>
        <w:tc>
          <w:tcPr>
            <w:tcW w:w="6660" w:type="dxa"/>
            <w:tcBorders>
              <w:left w:val="nil"/>
              <w:bottom w:val="single" w:sz="4" w:space="0" w:color="auto"/>
            </w:tcBorders>
            <w:shd w:val="clear" w:color="auto" w:fill="auto"/>
          </w:tcPr>
          <w:p w14:paraId="45B624AA" w14:textId="77777777" w:rsidR="00587595" w:rsidRPr="00F11F4F" w:rsidRDefault="00587595" w:rsidP="00CE5DDA">
            <w:pPr>
              <w:spacing w:before="100" w:after="100"/>
              <w:ind w:left="-80"/>
              <w:rPr>
                <w:rFonts w:ascii="Arial" w:hAnsi="Arial" w:cs="Arial"/>
                <w:sz w:val="22"/>
                <w:szCs w:val="22"/>
                <w:lang w:val="es-ES"/>
              </w:rPr>
            </w:pPr>
            <w:r w:rsidRPr="00F11F4F">
              <w:rPr>
                <w:rFonts w:ascii="Arial" w:hAnsi="Arial" w:cs="Arial"/>
                <w:sz w:val="22"/>
                <w:szCs w:val="22"/>
                <w:lang w:val="es-HN"/>
              </w:rPr>
              <w:t>La Garantía de Mantenimiento de la Oferta se podrá hacer efectiva o la Declaración de Mantenimiento de Oferta se podrá ejecutar si:</w:t>
            </w:r>
          </w:p>
          <w:p w14:paraId="77A96AF7" w14:textId="77777777" w:rsidR="00587595" w:rsidRPr="00F11F4F" w:rsidRDefault="00587595" w:rsidP="0071608E">
            <w:pPr>
              <w:pStyle w:val="Prrafodelista"/>
              <w:numPr>
                <w:ilvl w:val="1"/>
                <w:numId w:val="7"/>
              </w:numPr>
              <w:spacing w:before="100" w:after="100"/>
              <w:ind w:left="248" w:hanging="356"/>
              <w:rPr>
                <w:rFonts w:ascii="Arial" w:hAnsi="Arial" w:cs="Arial"/>
                <w:sz w:val="22"/>
                <w:szCs w:val="22"/>
                <w:lang w:val="es-ES"/>
              </w:rPr>
            </w:pPr>
            <w:r w:rsidRPr="00F11F4F">
              <w:rPr>
                <w:rFonts w:ascii="Arial" w:hAnsi="Arial" w:cs="Arial"/>
                <w:sz w:val="22"/>
                <w:szCs w:val="22"/>
                <w:lang w:val="es-ES"/>
              </w:rPr>
              <w:t>El oferente retira su oferta durante el período de validez de la misma, o durante cualquier prórroga de ese período dispuesta por el Oferente, salvo lo estipulado en la cláusula de estas Instrucciones relativas al período de validez de las ofertas y garantías; o</w:t>
            </w:r>
          </w:p>
          <w:p w14:paraId="3979846F" w14:textId="77777777" w:rsidR="00587595" w:rsidRPr="00F11F4F" w:rsidRDefault="00587595" w:rsidP="0071608E">
            <w:pPr>
              <w:pStyle w:val="Prrafodelista"/>
              <w:numPr>
                <w:ilvl w:val="1"/>
                <w:numId w:val="7"/>
              </w:numPr>
              <w:spacing w:before="100" w:after="100"/>
              <w:ind w:left="248" w:hanging="356"/>
              <w:rPr>
                <w:rFonts w:ascii="Arial" w:hAnsi="Arial" w:cs="Arial"/>
                <w:sz w:val="22"/>
                <w:szCs w:val="22"/>
                <w:lang w:val="es-ES"/>
              </w:rPr>
            </w:pPr>
            <w:r w:rsidRPr="00F11F4F">
              <w:rPr>
                <w:rFonts w:ascii="Arial" w:hAnsi="Arial" w:cs="Arial"/>
                <w:sz w:val="22"/>
                <w:szCs w:val="22"/>
                <w:lang w:val="es-ES"/>
              </w:rPr>
              <w:t>El oferente seleccionado:</w:t>
            </w:r>
          </w:p>
          <w:p w14:paraId="05DA7629" w14:textId="77777777" w:rsidR="00587595" w:rsidRPr="00F11F4F" w:rsidRDefault="00587595" w:rsidP="0071608E">
            <w:pPr>
              <w:numPr>
                <w:ilvl w:val="0"/>
                <w:numId w:val="6"/>
              </w:numPr>
              <w:tabs>
                <w:tab w:val="clear" w:pos="720"/>
              </w:tabs>
              <w:spacing w:before="100" w:after="100"/>
              <w:ind w:left="459" w:hanging="29"/>
              <w:rPr>
                <w:rFonts w:ascii="Arial" w:hAnsi="Arial" w:cs="Arial"/>
                <w:sz w:val="22"/>
                <w:szCs w:val="22"/>
                <w:lang w:val="es-ES"/>
              </w:rPr>
            </w:pPr>
            <w:r w:rsidRPr="00F11F4F">
              <w:rPr>
                <w:rFonts w:ascii="Arial" w:hAnsi="Arial" w:cs="Arial"/>
                <w:sz w:val="22"/>
                <w:szCs w:val="22"/>
                <w:lang w:val="es-ES"/>
              </w:rPr>
              <w:t>No firma el contrato de conformidad con lo establecido en este Documento Base de Licitación; o</w:t>
            </w:r>
          </w:p>
          <w:p w14:paraId="28F3C296" w14:textId="77777777" w:rsidR="00587595" w:rsidRPr="00F11F4F" w:rsidRDefault="00587595" w:rsidP="0071608E">
            <w:pPr>
              <w:numPr>
                <w:ilvl w:val="0"/>
                <w:numId w:val="6"/>
              </w:numPr>
              <w:tabs>
                <w:tab w:val="clear" w:pos="720"/>
              </w:tabs>
              <w:spacing w:before="100" w:after="100"/>
              <w:ind w:left="459" w:hanging="29"/>
              <w:rPr>
                <w:rFonts w:ascii="Arial" w:hAnsi="Arial" w:cs="Arial"/>
                <w:sz w:val="22"/>
                <w:szCs w:val="22"/>
                <w:lang w:val="es-ES"/>
              </w:rPr>
            </w:pPr>
            <w:r w:rsidRPr="00F11F4F">
              <w:rPr>
                <w:rFonts w:ascii="Arial" w:hAnsi="Arial" w:cs="Arial"/>
                <w:sz w:val="22"/>
                <w:szCs w:val="22"/>
                <w:lang w:val="es-ES"/>
              </w:rPr>
              <w:t xml:space="preserve">No suministra la Garantía de Ejecución de conformidad con lo establecido en el numeral 43.1 de los </w:t>
            </w:r>
            <w:r w:rsidRPr="00F11F4F">
              <w:rPr>
                <w:rFonts w:ascii="Arial" w:hAnsi="Arial" w:cs="Arial"/>
                <w:b/>
                <w:bCs/>
                <w:sz w:val="22"/>
                <w:szCs w:val="22"/>
                <w:lang w:val="es-ES"/>
              </w:rPr>
              <w:t>DDL</w:t>
            </w:r>
            <w:r w:rsidRPr="00F11F4F">
              <w:rPr>
                <w:rFonts w:ascii="Arial" w:hAnsi="Arial" w:cs="Arial"/>
                <w:sz w:val="22"/>
                <w:szCs w:val="22"/>
                <w:lang w:val="es-ES"/>
              </w:rPr>
              <w:t>.</w:t>
            </w:r>
          </w:p>
        </w:tc>
      </w:tr>
      <w:tr w:rsidR="00587595" w:rsidRPr="00A33F6B" w14:paraId="3C5DEF38" w14:textId="77777777" w:rsidTr="00205125">
        <w:tc>
          <w:tcPr>
            <w:tcW w:w="1980" w:type="dxa"/>
            <w:vMerge/>
          </w:tcPr>
          <w:p w14:paraId="0D894CA5" w14:textId="77777777" w:rsidR="00587595" w:rsidRPr="00F11F4F" w:rsidRDefault="00587595" w:rsidP="00CE5DDA">
            <w:pPr>
              <w:spacing w:before="100" w:after="100"/>
              <w:rPr>
                <w:rFonts w:ascii="Arial" w:hAnsi="Arial" w:cs="Arial"/>
                <w:sz w:val="22"/>
                <w:szCs w:val="22"/>
                <w:lang w:val="es-ES"/>
              </w:rPr>
            </w:pPr>
          </w:p>
        </w:tc>
        <w:tc>
          <w:tcPr>
            <w:tcW w:w="720" w:type="dxa"/>
            <w:tcBorders>
              <w:bottom w:val="single" w:sz="4" w:space="0" w:color="auto"/>
              <w:right w:val="nil"/>
            </w:tcBorders>
            <w:shd w:val="clear" w:color="auto" w:fill="auto"/>
          </w:tcPr>
          <w:p w14:paraId="674E1481" w14:textId="77777777" w:rsidR="00587595" w:rsidRPr="00F11F4F" w:rsidRDefault="00587595" w:rsidP="00CE5DDA">
            <w:pPr>
              <w:pStyle w:val="i"/>
              <w:spacing w:before="100" w:after="100"/>
              <w:ind w:left="-57"/>
              <w:jc w:val="center"/>
              <w:rPr>
                <w:rFonts w:ascii="Arial" w:hAnsi="Arial" w:cs="Arial"/>
                <w:sz w:val="22"/>
                <w:szCs w:val="22"/>
                <w:lang w:val="es-ES"/>
              </w:rPr>
            </w:pPr>
            <w:r w:rsidRPr="00F11F4F">
              <w:rPr>
                <w:rFonts w:ascii="Arial" w:hAnsi="Arial" w:cs="Arial"/>
                <w:sz w:val="22"/>
                <w:szCs w:val="22"/>
                <w:lang w:val="es-ES"/>
              </w:rPr>
              <w:t>22.5</w:t>
            </w:r>
          </w:p>
        </w:tc>
        <w:tc>
          <w:tcPr>
            <w:tcW w:w="6660" w:type="dxa"/>
            <w:tcBorders>
              <w:left w:val="nil"/>
              <w:bottom w:val="single" w:sz="4" w:space="0" w:color="auto"/>
            </w:tcBorders>
            <w:shd w:val="clear" w:color="auto" w:fill="auto"/>
          </w:tcPr>
          <w:p w14:paraId="39758C67" w14:textId="77777777" w:rsidR="00587595" w:rsidRPr="00F11F4F" w:rsidRDefault="00587595" w:rsidP="0071608E">
            <w:pPr>
              <w:pStyle w:val="i"/>
              <w:numPr>
                <w:ilvl w:val="0"/>
                <w:numId w:val="44"/>
              </w:numPr>
              <w:spacing w:before="100" w:after="100"/>
              <w:ind w:left="248" w:hanging="358"/>
              <w:jc w:val="left"/>
              <w:rPr>
                <w:rFonts w:ascii="Arial" w:hAnsi="Arial" w:cs="Arial"/>
                <w:sz w:val="22"/>
                <w:szCs w:val="22"/>
                <w:lang w:val="es-ES"/>
              </w:rPr>
            </w:pPr>
            <w:r w:rsidRPr="00F11F4F">
              <w:rPr>
                <w:rFonts w:ascii="Arial" w:hAnsi="Arial" w:cs="Arial"/>
                <w:sz w:val="22"/>
                <w:szCs w:val="22"/>
                <w:lang w:val="es-ES"/>
              </w:rPr>
              <w:t>Si</w:t>
            </w:r>
            <w:r w:rsidRPr="00F11F4F">
              <w:rPr>
                <w:rFonts w:ascii="Arial" w:hAnsi="Arial" w:cs="Arial"/>
                <w:sz w:val="22"/>
                <w:szCs w:val="22"/>
              </w:rPr>
              <w:t xml:space="preserve"> en los DDL</w:t>
            </w:r>
            <w:r w:rsidRPr="00F11F4F">
              <w:rPr>
                <w:rFonts w:ascii="Arial" w:hAnsi="Arial" w:cs="Arial"/>
                <w:b/>
                <w:bCs/>
                <w:sz w:val="22"/>
                <w:szCs w:val="22"/>
                <w:lang w:val="es-ES"/>
              </w:rPr>
              <w:t>,</w:t>
            </w:r>
            <w:r w:rsidRPr="00F11F4F">
              <w:rPr>
                <w:rFonts w:ascii="Arial" w:hAnsi="Arial" w:cs="Arial"/>
                <w:sz w:val="22"/>
                <w:szCs w:val="22"/>
                <w:lang w:val="es-ES"/>
              </w:rPr>
              <w:t xml:space="preserve"> de conformidad con la IAO 22.1, no se exige una Garantía de Mantenimiento de la Oferta, y Si el Oferente retira su Oferta antes de la fecha de expiración de la validez de la Oferta especificada por el Oferente en la Carta de la Oferta o cualquier fecha extendida otorgada por el Oferente; o</w:t>
            </w:r>
          </w:p>
          <w:p w14:paraId="6D9828B4" w14:textId="77777777" w:rsidR="00587595" w:rsidRPr="00F11F4F" w:rsidRDefault="00587595" w:rsidP="0071608E">
            <w:pPr>
              <w:pStyle w:val="i"/>
              <w:numPr>
                <w:ilvl w:val="0"/>
                <w:numId w:val="44"/>
              </w:numPr>
              <w:spacing w:before="100" w:after="100"/>
              <w:ind w:left="248" w:hanging="358"/>
              <w:jc w:val="left"/>
              <w:rPr>
                <w:rFonts w:ascii="Arial" w:hAnsi="Arial" w:cs="Arial"/>
                <w:sz w:val="22"/>
                <w:szCs w:val="22"/>
                <w:lang w:val="es-ES"/>
              </w:rPr>
            </w:pPr>
            <w:r w:rsidRPr="00F11F4F">
              <w:rPr>
                <w:rFonts w:ascii="Arial" w:hAnsi="Arial" w:cs="Arial"/>
                <w:sz w:val="22"/>
                <w:szCs w:val="22"/>
                <w:lang w:val="es-ES"/>
              </w:rPr>
              <w:t xml:space="preserve">Si el Oferente seleccionado no subscribe el Contrato con arreglo a lo dispuesto en la IAO 44.2; o </w:t>
            </w:r>
          </w:p>
          <w:p w14:paraId="015E60B4" w14:textId="77777777" w:rsidR="00587595" w:rsidRPr="00F11F4F" w:rsidRDefault="00587595" w:rsidP="0071608E">
            <w:pPr>
              <w:pStyle w:val="i"/>
              <w:numPr>
                <w:ilvl w:val="0"/>
                <w:numId w:val="44"/>
              </w:numPr>
              <w:spacing w:before="100" w:after="100"/>
              <w:ind w:left="248" w:hanging="358"/>
              <w:jc w:val="left"/>
              <w:rPr>
                <w:rFonts w:ascii="Arial" w:hAnsi="Arial" w:cs="Arial"/>
                <w:sz w:val="22"/>
                <w:szCs w:val="22"/>
                <w:lang w:val="es-ES"/>
              </w:rPr>
            </w:pPr>
            <w:r w:rsidRPr="00F11F4F">
              <w:rPr>
                <w:rFonts w:ascii="Arial" w:hAnsi="Arial" w:cs="Arial"/>
                <w:sz w:val="22"/>
                <w:szCs w:val="22"/>
                <w:lang w:val="es-ES"/>
              </w:rPr>
              <w:t xml:space="preserve">No suministra una Garantía de Ejecución según lo dispuesto en IAO 43.1  </w:t>
            </w:r>
          </w:p>
          <w:p w14:paraId="1CB08EAB" w14:textId="77777777" w:rsidR="00587595" w:rsidRPr="00F11F4F" w:rsidRDefault="00587595" w:rsidP="00282A01">
            <w:pPr>
              <w:pStyle w:val="i"/>
              <w:spacing w:before="100" w:after="100"/>
              <w:ind w:left="-110"/>
              <w:jc w:val="left"/>
              <w:rPr>
                <w:rFonts w:ascii="Arial" w:hAnsi="Arial" w:cs="Arial"/>
                <w:sz w:val="22"/>
                <w:szCs w:val="22"/>
                <w:lang w:val="es-ES"/>
              </w:rPr>
            </w:pPr>
            <w:r w:rsidRPr="00F11F4F">
              <w:rPr>
                <w:rFonts w:ascii="Arial" w:hAnsi="Arial" w:cs="Arial"/>
                <w:sz w:val="22"/>
                <w:szCs w:val="22"/>
                <w:lang w:val="es-ES"/>
              </w:rPr>
              <w:t xml:space="preserve">El Prestatario puede, cuando así se disponga </w:t>
            </w:r>
            <w:r w:rsidRPr="00F11F4F">
              <w:rPr>
                <w:rFonts w:ascii="Arial" w:hAnsi="Arial" w:cs="Arial"/>
                <w:sz w:val="22"/>
                <w:szCs w:val="22"/>
              </w:rPr>
              <w:t>en la IAO 22.1</w:t>
            </w:r>
            <w:r w:rsidRPr="00F11F4F">
              <w:rPr>
                <w:rFonts w:ascii="Arial" w:hAnsi="Arial" w:cs="Arial"/>
                <w:sz w:val="22"/>
                <w:szCs w:val="22"/>
                <w:lang w:val="es-ES"/>
              </w:rPr>
              <w:t xml:space="preserve">, declarar al Oferente no elegible para ser adjudicatario de un contrato por parte del Contratante durante el período que se establezca </w:t>
            </w:r>
            <w:r w:rsidRPr="00F11F4F">
              <w:rPr>
                <w:rFonts w:ascii="Arial" w:hAnsi="Arial" w:cs="Arial"/>
                <w:sz w:val="22"/>
                <w:szCs w:val="22"/>
              </w:rPr>
              <w:t>dicha subcláusula</w:t>
            </w:r>
            <w:r w:rsidRPr="00F11F4F">
              <w:rPr>
                <w:rFonts w:ascii="Arial" w:hAnsi="Arial" w:cs="Arial"/>
                <w:sz w:val="22"/>
                <w:szCs w:val="22"/>
                <w:lang w:val="es-ES"/>
              </w:rPr>
              <w:t>.</w:t>
            </w:r>
          </w:p>
        </w:tc>
      </w:tr>
      <w:tr w:rsidR="00CE5DDA" w:rsidRPr="00A33F6B" w14:paraId="27882CFD" w14:textId="77777777" w:rsidTr="001E6DCE">
        <w:tc>
          <w:tcPr>
            <w:tcW w:w="9360" w:type="dxa"/>
            <w:gridSpan w:val="3"/>
            <w:shd w:val="clear" w:color="auto" w:fill="00B050"/>
          </w:tcPr>
          <w:p w14:paraId="7AAF060D" w14:textId="77777777" w:rsidR="00CE5DDA" w:rsidRPr="001E6DCE" w:rsidRDefault="00CE5DDA" w:rsidP="00701A2C">
            <w:pPr>
              <w:pStyle w:val="IAO1"/>
            </w:pPr>
            <w:bookmarkStart w:id="189" w:name="_Toc54366869"/>
            <w:bookmarkStart w:id="190" w:name="_Toc74048197"/>
            <w:bookmarkStart w:id="191" w:name="_Toc74518441"/>
            <w:bookmarkStart w:id="192" w:name="_Toc74519165"/>
            <w:bookmarkStart w:id="193" w:name="_Toc74519981"/>
            <w:bookmarkStart w:id="194" w:name="_Toc74781355"/>
            <w:bookmarkStart w:id="195" w:name="_Toc74894105"/>
            <w:r w:rsidRPr="001E6DCE">
              <w:t>Presentación y apertura de las Ofertas</w:t>
            </w:r>
            <w:bookmarkEnd w:id="189"/>
            <w:bookmarkEnd w:id="190"/>
            <w:bookmarkEnd w:id="191"/>
            <w:bookmarkEnd w:id="192"/>
            <w:bookmarkEnd w:id="193"/>
            <w:bookmarkEnd w:id="194"/>
            <w:bookmarkEnd w:id="195"/>
          </w:p>
        </w:tc>
      </w:tr>
      <w:tr w:rsidR="00E23051" w:rsidRPr="00A33F6B" w14:paraId="04F9703A" w14:textId="77777777" w:rsidTr="00205125">
        <w:tc>
          <w:tcPr>
            <w:tcW w:w="1980" w:type="dxa"/>
            <w:vMerge w:val="restart"/>
          </w:tcPr>
          <w:p w14:paraId="2E32C0F3" w14:textId="77777777" w:rsidR="00E23051" w:rsidRPr="0049753E" w:rsidRDefault="00E23051" w:rsidP="0049753E">
            <w:pPr>
              <w:pStyle w:val="IAO2"/>
            </w:pPr>
            <w:bookmarkStart w:id="196" w:name="_Toc74048198"/>
            <w:bookmarkStart w:id="197" w:name="_Toc74518442"/>
            <w:bookmarkStart w:id="198" w:name="_Toc74519166"/>
            <w:bookmarkStart w:id="199" w:name="_Toc74519982"/>
            <w:bookmarkStart w:id="200" w:name="_Toc74781356"/>
            <w:bookmarkStart w:id="201" w:name="_Toc74894106"/>
            <w:r w:rsidRPr="0049753E">
              <w:t xml:space="preserve">23. </w:t>
            </w:r>
            <w:r w:rsidRPr="0049753E">
              <w:rPr>
                <w:rStyle w:val="IAO2Char"/>
                <w:b/>
              </w:rPr>
              <w:t>Formato de la Oferta</w:t>
            </w:r>
            <w:bookmarkEnd w:id="196"/>
            <w:bookmarkEnd w:id="197"/>
            <w:bookmarkEnd w:id="198"/>
            <w:bookmarkEnd w:id="199"/>
            <w:bookmarkEnd w:id="200"/>
            <w:bookmarkEnd w:id="201"/>
          </w:p>
        </w:tc>
        <w:tc>
          <w:tcPr>
            <w:tcW w:w="720" w:type="dxa"/>
            <w:tcBorders>
              <w:right w:val="nil"/>
            </w:tcBorders>
          </w:tcPr>
          <w:p w14:paraId="6C20F85A" w14:textId="77777777" w:rsidR="00E23051" w:rsidRPr="00F11F4F" w:rsidRDefault="00E23051" w:rsidP="00BD04B0">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23.1</w:t>
            </w:r>
          </w:p>
        </w:tc>
        <w:tc>
          <w:tcPr>
            <w:tcW w:w="6660" w:type="dxa"/>
            <w:tcBorders>
              <w:left w:val="nil"/>
            </w:tcBorders>
          </w:tcPr>
          <w:p w14:paraId="47E478E0" w14:textId="77777777" w:rsidR="00E23051" w:rsidRPr="00F11F4F" w:rsidRDefault="00E23051" w:rsidP="00CE5DDA">
            <w:pPr>
              <w:pStyle w:val="i"/>
              <w:spacing w:before="100" w:after="100"/>
              <w:ind w:left="-110"/>
              <w:rPr>
                <w:rFonts w:ascii="Arial" w:hAnsi="Arial" w:cs="Arial"/>
                <w:sz w:val="22"/>
                <w:szCs w:val="22"/>
                <w:lang w:val="es-ES"/>
              </w:rPr>
            </w:pPr>
            <w:r w:rsidRPr="00F11F4F">
              <w:rPr>
                <w:rFonts w:ascii="Arial" w:hAnsi="Arial" w:cs="Arial"/>
                <w:sz w:val="22"/>
                <w:szCs w:val="22"/>
                <w:lang w:val="es-ES"/>
              </w:rPr>
              <w:t>El oferente preparará un juego original de los documentos que constituyen la oferta, según se señala en estas Instrucciones a los oferentes.</w:t>
            </w:r>
          </w:p>
          <w:p w14:paraId="22FDFDAC" w14:textId="77777777" w:rsidR="00E23051" w:rsidRPr="00F11F4F" w:rsidRDefault="00E23051" w:rsidP="00CE5DDA">
            <w:pPr>
              <w:pStyle w:val="i"/>
              <w:spacing w:before="100" w:after="100"/>
              <w:ind w:left="-110"/>
              <w:rPr>
                <w:rFonts w:ascii="Arial" w:hAnsi="Arial" w:cs="Arial"/>
                <w:sz w:val="22"/>
                <w:szCs w:val="22"/>
                <w:lang w:val="es-ES"/>
              </w:rPr>
            </w:pPr>
            <w:r w:rsidRPr="00F11F4F">
              <w:rPr>
                <w:rFonts w:ascii="Arial" w:hAnsi="Arial" w:cs="Arial"/>
                <w:sz w:val="22"/>
                <w:szCs w:val="22"/>
                <w:lang w:val="es-ES"/>
              </w:rPr>
              <w:t xml:space="preserve">Además, el oferente presentará el número de copias de la oferta que se indica en los </w:t>
            </w:r>
            <w:r w:rsidRPr="00F11F4F">
              <w:rPr>
                <w:rFonts w:ascii="Arial" w:hAnsi="Arial" w:cs="Arial"/>
                <w:b/>
                <w:bCs/>
                <w:sz w:val="22"/>
                <w:szCs w:val="22"/>
                <w:lang w:val="es-ES"/>
              </w:rPr>
              <w:t>DDL.</w:t>
            </w:r>
            <w:r w:rsidRPr="00F11F4F">
              <w:rPr>
                <w:rFonts w:ascii="Arial" w:hAnsi="Arial" w:cs="Arial"/>
                <w:sz w:val="22"/>
                <w:szCs w:val="22"/>
                <w:lang w:val="es-ES"/>
              </w:rPr>
              <w:t xml:space="preserve"> </w:t>
            </w:r>
          </w:p>
        </w:tc>
      </w:tr>
      <w:tr w:rsidR="00E23051" w:rsidRPr="00A33F6B" w14:paraId="0C0773B7" w14:textId="77777777" w:rsidTr="00205125">
        <w:tc>
          <w:tcPr>
            <w:tcW w:w="1980" w:type="dxa"/>
            <w:vMerge/>
          </w:tcPr>
          <w:p w14:paraId="70531225" w14:textId="77777777" w:rsidR="00E23051" w:rsidRPr="00F11F4F"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3DEC14AC" w14:textId="77777777" w:rsidR="00E23051" w:rsidRPr="00F11F4F" w:rsidRDefault="00E23051" w:rsidP="00BD04B0">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23.2</w:t>
            </w:r>
          </w:p>
        </w:tc>
        <w:tc>
          <w:tcPr>
            <w:tcW w:w="6660" w:type="dxa"/>
            <w:tcBorders>
              <w:left w:val="nil"/>
            </w:tcBorders>
          </w:tcPr>
          <w:p w14:paraId="24E1CE72" w14:textId="77777777" w:rsidR="00E23051" w:rsidRPr="00F11F4F" w:rsidRDefault="00E23051" w:rsidP="0079146F">
            <w:pPr>
              <w:pStyle w:val="i"/>
              <w:spacing w:before="100" w:after="100"/>
              <w:ind w:left="-111"/>
              <w:rPr>
                <w:rStyle w:val="iChar"/>
                <w:rFonts w:ascii="Arial" w:hAnsi="Arial" w:cs="Arial"/>
                <w:sz w:val="22"/>
                <w:szCs w:val="22"/>
              </w:rPr>
            </w:pPr>
            <w:r w:rsidRPr="00F11F4F">
              <w:rPr>
                <w:rStyle w:val="iChar"/>
                <w:rFonts w:ascii="Arial" w:hAnsi="Arial" w:cs="Arial"/>
                <w:sz w:val="22"/>
                <w:szCs w:val="22"/>
              </w:rPr>
              <w:t>Deberán entregar el original y una copia de cada uno de los sobres separados, cerrados en forma inviolable y debidamente identificados como “ORIGINAL” y “COPIA”</w:t>
            </w:r>
          </w:p>
          <w:p w14:paraId="05B9BB97" w14:textId="77777777" w:rsidR="00E23051" w:rsidRPr="00F11F4F" w:rsidRDefault="00E23051" w:rsidP="0079146F">
            <w:pPr>
              <w:pStyle w:val="i"/>
              <w:spacing w:before="100" w:after="100"/>
              <w:ind w:left="-111"/>
              <w:rPr>
                <w:rFonts w:ascii="Arial" w:hAnsi="Arial" w:cs="Arial"/>
                <w:sz w:val="22"/>
                <w:szCs w:val="22"/>
                <w:lang w:val="es-ES"/>
              </w:rPr>
            </w:pPr>
            <w:r w:rsidRPr="00F11F4F">
              <w:rPr>
                <w:rFonts w:ascii="Arial" w:hAnsi="Arial" w:cs="Arial"/>
                <w:sz w:val="22"/>
                <w:szCs w:val="22"/>
                <w:lang w:val="es-ES"/>
              </w:rPr>
              <w:t xml:space="preserve">En el caso de discrepancias el texto original prevalecerá sobre las copias.  </w:t>
            </w:r>
          </w:p>
          <w:p w14:paraId="415E50F8" w14:textId="77777777" w:rsidR="00E23051" w:rsidRPr="00F11F4F" w:rsidRDefault="00E23051" w:rsidP="0079146F">
            <w:pPr>
              <w:pStyle w:val="i"/>
              <w:spacing w:before="100" w:after="100"/>
              <w:ind w:left="-111"/>
              <w:rPr>
                <w:rFonts w:ascii="Arial" w:hAnsi="Arial" w:cs="Arial"/>
                <w:sz w:val="22"/>
                <w:szCs w:val="22"/>
                <w:lang w:val="es-ES"/>
              </w:rPr>
            </w:pPr>
            <w:r w:rsidRPr="00F11F4F">
              <w:rPr>
                <w:rFonts w:ascii="Arial" w:hAnsi="Arial" w:cs="Arial"/>
                <w:sz w:val="22"/>
                <w:szCs w:val="22"/>
                <w:lang w:val="es-ES"/>
              </w:rPr>
              <w:t>No se aceptarán los textos entre líneas, tachaduras o palabras superpuestas.</w:t>
            </w:r>
          </w:p>
          <w:p w14:paraId="5A550E03" w14:textId="77777777" w:rsidR="00E23051" w:rsidRPr="00F11F4F" w:rsidRDefault="00E23051" w:rsidP="0079146F">
            <w:pPr>
              <w:spacing w:before="120" w:after="120"/>
              <w:ind w:left="-111"/>
              <w:rPr>
                <w:rFonts w:ascii="Arial" w:hAnsi="Arial" w:cs="Arial"/>
                <w:sz w:val="22"/>
                <w:szCs w:val="22"/>
                <w:lang w:val="es-HN" w:eastAsia="es-HN"/>
              </w:rPr>
            </w:pPr>
            <w:r w:rsidRPr="00F11F4F">
              <w:rPr>
                <w:rFonts w:ascii="Arial" w:hAnsi="Arial" w:cs="Arial"/>
                <w:sz w:val="22"/>
                <w:szCs w:val="22"/>
                <w:lang w:val="es-HN" w:eastAsia="es-HN"/>
              </w:rPr>
              <w:t>Los oferentes deberán marcar como “CONFIDENCIAL EXTERNO” la información incluida en sus Ofertas que revista carácter confidencial para sus empresas. Esto puede incluir información reservada, secretos comerciales o información delicada de índole comercial o financiera.</w:t>
            </w:r>
          </w:p>
        </w:tc>
      </w:tr>
      <w:tr w:rsidR="00E23051" w:rsidRPr="00A33F6B" w14:paraId="5CA647A8" w14:textId="77777777" w:rsidTr="00205125">
        <w:tc>
          <w:tcPr>
            <w:tcW w:w="1980" w:type="dxa"/>
            <w:vMerge/>
          </w:tcPr>
          <w:p w14:paraId="14EEF92B" w14:textId="77777777" w:rsidR="00E23051" w:rsidRPr="00F11F4F" w:rsidRDefault="00E23051" w:rsidP="00CE5DDA">
            <w:pPr>
              <w:pStyle w:val="i"/>
              <w:spacing w:before="100" w:after="100"/>
              <w:contextualSpacing/>
              <w:rPr>
                <w:rFonts w:ascii="Arial" w:hAnsi="Arial" w:cs="Arial"/>
                <w:b/>
                <w:sz w:val="22"/>
                <w:szCs w:val="22"/>
                <w:lang w:val="es-ES"/>
              </w:rPr>
            </w:pPr>
          </w:p>
        </w:tc>
        <w:tc>
          <w:tcPr>
            <w:tcW w:w="720" w:type="dxa"/>
            <w:tcBorders>
              <w:right w:val="nil"/>
            </w:tcBorders>
          </w:tcPr>
          <w:p w14:paraId="2ED99740" w14:textId="77777777" w:rsidR="00E23051" w:rsidRPr="00F11F4F" w:rsidDel="00A21AAB" w:rsidRDefault="00E23051" w:rsidP="00BD04B0">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23.3</w:t>
            </w:r>
          </w:p>
        </w:tc>
        <w:tc>
          <w:tcPr>
            <w:tcW w:w="6660" w:type="dxa"/>
            <w:tcBorders>
              <w:left w:val="nil"/>
            </w:tcBorders>
          </w:tcPr>
          <w:p w14:paraId="6C8C47AA" w14:textId="77777777" w:rsidR="00E23051" w:rsidRPr="00F11F4F" w:rsidRDefault="00E23051" w:rsidP="0079146F">
            <w:pPr>
              <w:pStyle w:val="Header2-SubClauses"/>
              <w:ind w:left="-111"/>
              <w:rPr>
                <w:rStyle w:val="iChar"/>
                <w:rFonts w:ascii="Arial" w:hAnsi="Arial" w:cs="Arial"/>
                <w:sz w:val="22"/>
                <w:szCs w:val="22"/>
                <w:lang w:val="es-ES"/>
              </w:rPr>
            </w:pPr>
            <w:r w:rsidRPr="00F11F4F">
              <w:rPr>
                <w:rFonts w:ascii="Arial" w:hAnsi="Arial" w:cs="Arial"/>
                <w:sz w:val="22"/>
                <w:szCs w:val="22"/>
                <w:lang w:val="es-ES"/>
              </w:rPr>
              <w:t xml:space="preserve">El original y todas las copias de la Oferta deberán ser mecanografiadas o escritas con tinta indeleble y deberán estar firmadas por la persona debidamente autorizada para firmar en nombre del oferente. </w:t>
            </w:r>
            <w:r w:rsidRPr="00F11F4F">
              <w:rPr>
                <w:rFonts w:ascii="Arial" w:hAnsi="Arial" w:cs="Arial"/>
                <w:iCs/>
                <w:sz w:val="22"/>
                <w:szCs w:val="22"/>
                <w:lang w:val="es-ES"/>
              </w:rPr>
              <w:t xml:space="preserve">Esta autorización consistirá </w:t>
            </w:r>
            <w:bookmarkStart w:id="202" w:name="_Hlk61873275"/>
            <w:r w:rsidRPr="00F11F4F">
              <w:rPr>
                <w:rFonts w:ascii="Arial" w:hAnsi="Arial" w:cs="Arial"/>
                <w:iCs/>
                <w:sz w:val="22"/>
                <w:szCs w:val="22"/>
                <w:lang w:val="es-ES"/>
              </w:rPr>
              <w:t>en una confirmación escrita mediante un poder de representación</w:t>
            </w:r>
            <w:bookmarkEnd w:id="202"/>
            <w:r w:rsidRPr="00F11F4F">
              <w:rPr>
                <w:rFonts w:ascii="Arial" w:hAnsi="Arial" w:cs="Arial"/>
                <w:iCs/>
                <w:sz w:val="22"/>
                <w:szCs w:val="22"/>
                <w:lang w:val="es-ES"/>
              </w:rPr>
              <w:t xml:space="preserve">, el cual deberá adjuntarse a la Oferta. El nombre y el cargo de cada persona que firme la autorización deberán escribirse en letra de imprenta o imprimirse bajo su firma. </w:t>
            </w:r>
            <w:r w:rsidRPr="00F11F4F">
              <w:rPr>
                <w:rFonts w:ascii="Arial" w:hAnsi="Arial" w:cs="Arial"/>
                <w:sz w:val="22"/>
                <w:szCs w:val="22"/>
                <w:lang w:val="es-ES"/>
              </w:rPr>
              <w:t>Todas las páginas de la Oferta que contengan anotaciones o enmiendas deberán estar firmadas o inicialadas por la persona que suscriba la Oferta</w:t>
            </w:r>
            <w:r w:rsidRPr="00F11F4F">
              <w:rPr>
                <w:rFonts w:ascii="Arial" w:hAnsi="Arial" w:cs="Arial"/>
                <w:iCs/>
                <w:sz w:val="22"/>
                <w:szCs w:val="22"/>
                <w:lang w:val="es-ES"/>
              </w:rPr>
              <w:t>.</w:t>
            </w:r>
          </w:p>
        </w:tc>
      </w:tr>
      <w:tr w:rsidR="00E23051" w:rsidRPr="00A33F6B" w14:paraId="4581EEC3" w14:textId="77777777" w:rsidTr="00205125">
        <w:tc>
          <w:tcPr>
            <w:tcW w:w="1980" w:type="dxa"/>
            <w:vMerge/>
          </w:tcPr>
          <w:p w14:paraId="7217DE75" w14:textId="77777777" w:rsidR="00E23051" w:rsidRPr="00F11F4F"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18BE13F6" w14:textId="77777777" w:rsidR="00E23051" w:rsidRPr="00F11F4F" w:rsidDel="009C006F" w:rsidRDefault="00E23051" w:rsidP="00BD04B0">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23.4</w:t>
            </w:r>
          </w:p>
        </w:tc>
        <w:tc>
          <w:tcPr>
            <w:tcW w:w="6660" w:type="dxa"/>
            <w:tcBorders>
              <w:left w:val="nil"/>
            </w:tcBorders>
            <w:shd w:val="clear" w:color="auto" w:fill="auto"/>
          </w:tcPr>
          <w:p w14:paraId="4F1075BF" w14:textId="77777777" w:rsidR="00E23051" w:rsidRPr="00F11F4F" w:rsidDel="009C006F" w:rsidRDefault="00E23051" w:rsidP="0079146F">
            <w:pPr>
              <w:pStyle w:val="i"/>
              <w:ind w:left="-111"/>
              <w:rPr>
                <w:rFonts w:ascii="Arial" w:hAnsi="Arial" w:cs="Arial"/>
                <w:sz w:val="22"/>
                <w:szCs w:val="22"/>
                <w:lang w:val="es-HN"/>
              </w:rPr>
            </w:pPr>
            <w:r w:rsidRPr="00F11F4F">
              <w:rPr>
                <w:rFonts w:ascii="Arial" w:hAnsi="Arial" w:cs="Arial"/>
                <w:sz w:val="22"/>
                <w:szCs w:val="22"/>
                <w:lang w:val="es-HN"/>
              </w:rPr>
              <w:t>En el caso de que el oferente sea una APCA, la Oferta deberá estar firmada por el representante autorizado del APCA en nombre de la APCA, conforme lo acredite en el formulario de Intención de Asociación en Participación, Consorcio o Asociación (APCA) o en el acuerdo respectivo y en representación legalmente vinculante para actuar en nombre de todos miembros, formalizado por un poder firmado por sus representantes legales.</w:t>
            </w:r>
          </w:p>
        </w:tc>
      </w:tr>
      <w:tr w:rsidR="00E23051" w:rsidRPr="00A33F6B" w14:paraId="093E3699" w14:textId="77777777" w:rsidTr="00205125">
        <w:tc>
          <w:tcPr>
            <w:tcW w:w="1980" w:type="dxa"/>
            <w:vMerge/>
          </w:tcPr>
          <w:p w14:paraId="24B18888" w14:textId="77777777" w:rsidR="00E23051" w:rsidRPr="00F11F4F" w:rsidDel="009C006F" w:rsidRDefault="00E23051" w:rsidP="00CE5DDA">
            <w:pPr>
              <w:pStyle w:val="i"/>
              <w:spacing w:before="100" w:after="100"/>
              <w:outlineLvl w:val="2"/>
              <w:rPr>
                <w:rFonts w:ascii="Arial" w:hAnsi="Arial" w:cs="Arial"/>
                <w:b/>
                <w:sz w:val="22"/>
                <w:szCs w:val="22"/>
                <w:lang w:val="es-ES"/>
              </w:rPr>
            </w:pPr>
          </w:p>
        </w:tc>
        <w:tc>
          <w:tcPr>
            <w:tcW w:w="720" w:type="dxa"/>
            <w:tcBorders>
              <w:right w:val="nil"/>
            </w:tcBorders>
          </w:tcPr>
          <w:p w14:paraId="49CF8D24" w14:textId="77777777" w:rsidR="00E23051" w:rsidRPr="00F11F4F" w:rsidDel="009C006F" w:rsidRDefault="00E23051" w:rsidP="00BD04B0">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23.5</w:t>
            </w:r>
          </w:p>
        </w:tc>
        <w:tc>
          <w:tcPr>
            <w:tcW w:w="6660" w:type="dxa"/>
            <w:tcBorders>
              <w:left w:val="nil"/>
            </w:tcBorders>
          </w:tcPr>
          <w:p w14:paraId="3A667FB6" w14:textId="77777777" w:rsidR="00E23051" w:rsidRPr="00F11F4F" w:rsidDel="009C006F" w:rsidRDefault="00E23051" w:rsidP="00282A01">
            <w:pPr>
              <w:pStyle w:val="i"/>
              <w:spacing w:before="100" w:after="100"/>
              <w:ind w:left="-110"/>
              <w:rPr>
                <w:rFonts w:ascii="Arial" w:hAnsi="Arial" w:cs="Arial"/>
                <w:sz w:val="22"/>
                <w:szCs w:val="22"/>
                <w:highlight w:val="green"/>
                <w:lang w:val="es-HN"/>
              </w:rPr>
            </w:pPr>
            <w:r w:rsidRPr="00F11F4F">
              <w:rPr>
                <w:rFonts w:ascii="Arial" w:hAnsi="Arial" w:cs="Arial"/>
                <w:spacing w:val="-4"/>
                <w:sz w:val="22"/>
                <w:szCs w:val="22"/>
                <w:lang w:val="es-ES" w:bidi="es-ES"/>
              </w:rPr>
              <w:t>Todo interlineado, borradura o reemplazo será válido únicamente si está firmado por la persona que suscribe la Oferta o si tiene sus iniciales</w:t>
            </w:r>
            <w:r w:rsidRPr="00F11F4F">
              <w:rPr>
                <w:rFonts w:ascii="Arial" w:hAnsi="Arial" w:cs="Arial"/>
                <w:spacing w:val="-4"/>
                <w:sz w:val="22"/>
                <w:szCs w:val="22"/>
                <w:lang w:val="es-ES"/>
              </w:rPr>
              <w:t>.</w:t>
            </w:r>
          </w:p>
        </w:tc>
      </w:tr>
      <w:tr w:rsidR="00ED47AF" w:rsidRPr="00A33F6B" w14:paraId="31E2B3DD" w14:textId="77777777" w:rsidTr="00205125">
        <w:tc>
          <w:tcPr>
            <w:tcW w:w="1980" w:type="dxa"/>
            <w:vMerge w:val="restart"/>
          </w:tcPr>
          <w:p w14:paraId="32C13804" w14:textId="77777777" w:rsidR="00ED47AF" w:rsidRPr="0049753E" w:rsidRDefault="00ED47AF" w:rsidP="0049753E">
            <w:pPr>
              <w:pStyle w:val="IAO2"/>
            </w:pPr>
            <w:bookmarkStart w:id="203" w:name="_Toc74048199"/>
            <w:bookmarkStart w:id="204" w:name="_Toc74518443"/>
            <w:bookmarkStart w:id="205" w:name="_Toc74519167"/>
            <w:bookmarkStart w:id="206" w:name="_Toc74519983"/>
            <w:bookmarkStart w:id="207" w:name="_Toc74781357"/>
            <w:bookmarkStart w:id="208" w:name="_Toc74894107"/>
            <w:r w:rsidRPr="0049753E">
              <w:t xml:space="preserve">24. </w:t>
            </w:r>
            <w:r w:rsidRPr="0049753E">
              <w:rPr>
                <w:rStyle w:val="IAO2Char"/>
                <w:b/>
              </w:rPr>
              <w:t>Procedimiento para firmar, sellar y marcar las Ofertas</w:t>
            </w:r>
            <w:bookmarkEnd w:id="203"/>
            <w:bookmarkEnd w:id="204"/>
            <w:bookmarkEnd w:id="205"/>
            <w:bookmarkEnd w:id="206"/>
            <w:bookmarkEnd w:id="207"/>
            <w:bookmarkEnd w:id="208"/>
          </w:p>
        </w:tc>
        <w:tc>
          <w:tcPr>
            <w:tcW w:w="720" w:type="dxa"/>
            <w:tcBorders>
              <w:right w:val="nil"/>
            </w:tcBorders>
          </w:tcPr>
          <w:p w14:paraId="398EC047" w14:textId="77777777" w:rsidR="00ED47AF" w:rsidRPr="00F11F4F" w:rsidRDefault="00ED47AF" w:rsidP="00BD04B0">
            <w:pPr>
              <w:pStyle w:val="i"/>
              <w:spacing w:before="100" w:after="100"/>
              <w:ind w:left="-77"/>
              <w:jc w:val="center"/>
              <w:rPr>
                <w:rFonts w:ascii="Arial" w:hAnsi="Arial" w:cs="Arial"/>
                <w:strike/>
                <w:sz w:val="22"/>
                <w:szCs w:val="22"/>
                <w:lang w:val="es-ES"/>
              </w:rPr>
            </w:pPr>
            <w:r w:rsidRPr="00F11F4F">
              <w:rPr>
                <w:rFonts w:ascii="Arial" w:hAnsi="Arial" w:cs="Arial"/>
                <w:sz w:val="22"/>
                <w:szCs w:val="22"/>
                <w:lang w:val="es-ES"/>
              </w:rPr>
              <w:t>24.1</w:t>
            </w:r>
          </w:p>
        </w:tc>
        <w:tc>
          <w:tcPr>
            <w:tcW w:w="6660" w:type="dxa"/>
            <w:tcBorders>
              <w:left w:val="nil"/>
            </w:tcBorders>
          </w:tcPr>
          <w:p w14:paraId="347340EE" w14:textId="77777777" w:rsidR="00ED47AF" w:rsidRPr="00F11F4F" w:rsidRDefault="00ED47AF" w:rsidP="00282A01">
            <w:pPr>
              <w:pStyle w:val="Header2-SubClauses"/>
              <w:ind w:left="-110"/>
              <w:rPr>
                <w:rFonts w:ascii="Arial" w:hAnsi="Arial" w:cs="Arial"/>
                <w:sz w:val="22"/>
                <w:szCs w:val="22"/>
                <w:lang w:val="es-ES"/>
              </w:rPr>
            </w:pPr>
            <w:r w:rsidRPr="00F11F4F">
              <w:rPr>
                <w:rFonts w:ascii="Arial" w:hAnsi="Arial" w:cs="Arial"/>
                <w:sz w:val="22"/>
                <w:szCs w:val="22"/>
                <w:lang w:val="es-ES"/>
              </w:rPr>
              <w:t xml:space="preserve">Los oferentes deberán entregar la oferta en un sobre cerrado a la atención y la dirección que aparecen en los </w:t>
            </w:r>
            <w:r w:rsidRPr="00F11F4F">
              <w:rPr>
                <w:rFonts w:ascii="Arial" w:hAnsi="Arial" w:cs="Arial"/>
                <w:b/>
                <w:bCs/>
                <w:sz w:val="22"/>
                <w:szCs w:val="22"/>
                <w:lang w:val="es-ES"/>
              </w:rPr>
              <w:t>DDL</w:t>
            </w:r>
            <w:r w:rsidRPr="00F11F4F">
              <w:rPr>
                <w:rFonts w:ascii="Arial" w:hAnsi="Arial" w:cs="Arial"/>
                <w:sz w:val="22"/>
                <w:szCs w:val="22"/>
                <w:lang w:val="es-ES"/>
              </w:rPr>
              <w:t>. Dentro de ese sobre el oferente colocará los siguientes sobres sellados y separados:</w:t>
            </w:r>
          </w:p>
          <w:p w14:paraId="448EBBD5" w14:textId="77777777" w:rsidR="00ED47AF" w:rsidRPr="00F11F4F" w:rsidRDefault="00ED47AF" w:rsidP="0071608E">
            <w:pPr>
              <w:pStyle w:val="Header2-SubClauses"/>
              <w:numPr>
                <w:ilvl w:val="0"/>
                <w:numId w:val="37"/>
              </w:numPr>
              <w:tabs>
                <w:tab w:val="clear" w:pos="619"/>
              </w:tabs>
              <w:spacing w:after="0"/>
              <w:ind w:left="248" w:hanging="358"/>
              <w:rPr>
                <w:rFonts w:ascii="Arial" w:hAnsi="Arial" w:cs="Arial"/>
                <w:sz w:val="22"/>
                <w:szCs w:val="22"/>
                <w:lang w:val="es-ES"/>
              </w:rPr>
            </w:pPr>
            <w:r w:rsidRPr="00F11F4F">
              <w:rPr>
                <w:rFonts w:ascii="Arial" w:hAnsi="Arial" w:cs="Arial"/>
                <w:sz w:val="22"/>
                <w:szCs w:val="22"/>
                <w:lang w:val="es-ES"/>
              </w:rPr>
              <w:t xml:space="preserve">En un sobre marcado como “ORIGINAL”, todos los documentos que conforman la Oferta, como se describe el numeral 12.1 de los </w:t>
            </w:r>
            <w:r w:rsidRPr="00F11F4F">
              <w:rPr>
                <w:rFonts w:ascii="Arial" w:hAnsi="Arial" w:cs="Arial"/>
                <w:b/>
                <w:bCs/>
                <w:sz w:val="22"/>
                <w:szCs w:val="22"/>
                <w:lang w:val="es-ES"/>
              </w:rPr>
              <w:t>DDL</w:t>
            </w:r>
            <w:r w:rsidRPr="00F11F4F">
              <w:rPr>
                <w:rFonts w:ascii="Arial" w:hAnsi="Arial" w:cs="Arial"/>
                <w:sz w:val="22"/>
                <w:szCs w:val="22"/>
                <w:lang w:val="es-ES"/>
              </w:rPr>
              <w:t>.</w:t>
            </w:r>
          </w:p>
          <w:p w14:paraId="32C8BE42" w14:textId="77777777" w:rsidR="00ED47AF" w:rsidRPr="00F11F4F" w:rsidRDefault="00ED47AF" w:rsidP="0071608E">
            <w:pPr>
              <w:pStyle w:val="Header2-SubClauses"/>
              <w:numPr>
                <w:ilvl w:val="0"/>
                <w:numId w:val="37"/>
              </w:numPr>
              <w:tabs>
                <w:tab w:val="clear" w:pos="619"/>
              </w:tabs>
              <w:spacing w:after="0"/>
              <w:ind w:left="248" w:hanging="358"/>
              <w:rPr>
                <w:rFonts w:ascii="Arial" w:hAnsi="Arial" w:cs="Arial"/>
                <w:sz w:val="22"/>
                <w:szCs w:val="22"/>
                <w:lang w:val="es-ES"/>
              </w:rPr>
            </w:pPr>
            <w:r w:rsidRPr="00F11F4F">
              <w:rPr>
                <w:rFonts w:ascii="Arial" w:hAnsi="Arial" w:cs="Arial"/>
                <w:sz w:val="22"/>
                <w:szCs w:val="22"/>
                <w:lang w:val="es-ES"/>
              </w:rPr>
              <w:t>En un sobre marcado como “COPIAS”, todas las copias de la Oferta solicitadas.</w:t>
            </w:r>
          </w:p>
          <w:p w14:paraId="5A37C8AF" w14:textId="77777777" w:rsidR="00ED47AF" w:rsidRPr="00F11F4F" w:rsidRDefault="00ED47AF" w:rsidP="0071608E">
            <w:pPr>
              <w:pStyle w:val="Header2-SubClauses"/>
              <w:numPr>
                <w:ilvl w:val="0"/>
                <w:numId w:val="37"/>
              </w:numPr>
              <w:tabs>
                <w:tab w:val="clear" w:pos="619"/>
              </w:tabs>
              <w:spacing w:after="0"/>
              <w:ind w:left="248" w:hanging="358"/>
              <w:rPr>
                <w:rFonts w:ascii="Arial" w:hAnsi="Arial" w:cs="Arial"/>
                <w:sz w:val="22"/>
                <w:szCs w:val="22"/>
                <w:lang w:val="es-ES"/>
              </w:rPr>
            </w:pPr>
            <w:r w:rsidRPr="00F11F4F">
              <w:rPr>
                <w:rFonts w:ascii="Arial" w:hAnsi="Arial" w:cs="Arial"/>
                <w:sz w:val="22"/>
                <w:szCs w:val="22"/>
                <w:lang w:val="es-ES"/>
              </w:rPr>
              <w:t xml:space="preserve">Si se permiten Ofertas alternativas de conformidad con el numeral 14 de los </w:t>
            </w:r>
            <w:r w:rsidRPr="00F11F4F">
              <w:rPr>
                <w:rFonts w:ascii="Arial" w:hAnsi="Arial" w:cs="Arial"/>
                <w:b/>
                <w:bCs/>
                <w:sz w:val="22"/>
                <w:szCs w:val="22"/>
                <w:lang w:val="es-ES"/>
              </w:rPr>
              <w:t>DDL</w:t>
            </w:r>
            <w:r w:rsidRPr="00F11F4F">
              <w:rPr>
                <w:rFonts w:ascii="Arial" w:hAnsi="Arial" w:cs="Arial"/>
                <w:sz w:val="22"/>
                <w:szCs w:val="22"/>
                <w:lang w:val="es-ES"/>
              </w:rPr>
              <w:t>, y si corresponde:</w:t>
            </w:r>
          </w:p>
          <w:p w14:paraId="291AD231" w14:textId="77777777" w:rsidR="00ED47AF" w:rsidRPr="00F11F4F" w:rsidRDefault="00ED47AF" w:rsidP="0071608E">
            <w:pPr>
              <w:pStyle w:val="Header2-SubClauses"/>
              <w:numPr>
                <w:ilvl w:val="3"/>
                <w:numId w:val="43"/>
              </w:numPr>
              <w:tabs>
                <w:tab w:val="clear" w:pos="619"/>
                <w:tab w:val="clear" w:pos="1512"/>
              </w:tabs>
              <w:spacing w:after="0"/>
              <w:ind w:left="705" w:hanging="177"/>
              <w:rPr>
                <w:rFonts w:ascii="Arial" w:hAnsi="Arial" w:cs="Arial"/>
                <w:sz w:val="22"/>
                <w:szCs w:val="22"/>
                <w:lang w:val="es-ES"/>
              </w:rPr>
            </w:pPr>
            <w:r w:rsidRPr="00F11F4F">
              <w:rPr>
                <w:rFonts w:ascii="Arial" w:hAnsi="Arial" w:cs="Arial"/>
                <w:sz w:val="22"/>
                <w:szCs w:val="22"/>
                <w:lang w:val="es-ES"/>
              </w:rPr>
              <w:lastRenderedPageBreak/>
              <w:t>En un sobre marcado como “ORIGINAL DE LA OFERTA ALTERNATIVA”, la Oferta alternativa;</w:t>
            </w:r>
          </w:p>
          <w:p w14:paraId="04FE7BDE" w14:textId="77777777" w:rsidR="00ED47AF" w:rsidRPr="00F11F4F" w:rsidRDefault="00ED47AF" w:rsidP="0071608E">
            <w:pPr>
              <w:pStyle w:val="Header2-SubClauses"/>
              <w:numPr>
                <w:ilvl w:val="3"/>
                <w:numId w:val="43"/>
              </w:numPr>
              <w:tabs>
                <w:tab w:val="clear" w:pos="619"/>
                <w:tab w:val="clear" w:pos="1512"/>
              </w:tabs>
              <w:spacing w:after="0"/>
              <w:ind w:left="705" w:hanging="177"/>
              <w:rPr>
                <w:rStyle w:val="iChar"/>
                <w:rFonts w:ascii="Arial" w:hAnsi="Arial" w:cs="Arial"/>
                <w:sz w:val="22"/>
                <w:szCs w:val="22"/>
                <w:lang w:val="es-ES"/>
              </w:rPr>
            </w:pPr>
            <w:r w:rsidRPr="00F11F4F">
              <w:rPr>
                <w:rFonts w:ascii="Arial" w:hAnsi="Arial" w:cs="Arial"/>
                <w:sz w:val="22"/>
                <w:szCs w:val="22"/>
                <w:lang w:val="es-ES"/>
              </w:rPr>
              <w:t>En un sobre marcado como “COPIAS DE LA OFERTA ALTERNATIVA”, todas las copias de la Oferta alternativa solicitadas.</w:t>
            </w:r>
          </w:p>
        </w:tc>
      </w:tr>
      <w:tr w:rsidR="00ED47AF" w:rsidRPr="00A33F6B" w14:paraId="3269792E" w14:textId="77777777" w:rsidTr="00205125">
        <w:tc>
          <w:tcPr>
            <w:tcW w:w="1980" w:type="dxa"/>
            <w:vMerge/>
          </w:tcPr>
          <w:p w14:paraId="611AF24F" w14:textId="77777777" w:rsidR="00ED47AF" w:rsidRPr="00F11F4F"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61CEB669" w14:textId="77777777" w:rsidR="00ED47AF" w:rsidRPr="00F11F4F" w:rsidRDefault="00ED47AF" w:rsidP="00ED47AF">
            <w:pPr>
              <w:pStyle w:val="i"/>
              <w:spacing w:before="100" w:after="100"/>
              <w:ind w:left="-110" w:right="-143"/>
              <w:jc w:val="center"/>
              <w:rPr>
                <w:rFonts w:ascii="Arial" w:hAnsi="Arial" w:cs="Arial"/>
                <w:sz w:val="22"/>
                <w:szCs w:val="22"/>
                <w:lang w:val="es-ES"/>
              </w:rPr>
            </w:pPr>
            <w:r w:rsidRPr="00F11F4F">
              <w:rPr>
                <w:rFonts w:ascii="Arial" w:hAnsi="Arial" w:cs="Arial"/>
                <w:sz w:val="22"/>
                <w:szCs w:val="22"/>
                <w:lang w:val="es-ES"/>
              </w:rPr>
              <w:t>24.2</w:t>
            </w:r>
          </w:p>
        </w:tc>
        <w:tc>
          <w:tcPr>
            <w:tcW w:w="6660" w:type="dxa"/>
            <w:tcBorders>
              <w:left w:val="nil"/>
            </w:tcBorders>
          </w:tcPr>
          <w:p w14:paraId="5238C1B2" w14:textId="77777777" w:rsidR="00ED47AF" w:rsidRPr="00F11F4F" w:rsidRDefault="00ED47AF" w:rsidP="00282A01">
            <w:pPr>
              <w:pStyle w:val="i"/>
              <w:spacing w:before="100" w:after="100"/>
              <w:ind w:left="-110"/>
              <w:rPr>
                <w:rFonts w:ascii="Arial" w:hAnsi="Arial" w:cs="Arial"/>
                <w:sz w:val="22"/>
                <w:szCs w:val="22"/>
                <w:lang w:val="es-ES"/>
              </w:rPr>
            </w:pPr>
            <w:r w:rsidRPr="00F11F4F">
              <w:rPr>
                <w:rFonts w:ascii="Arial" w:hAnsi="Arial" w:cs="Arial"/>
                <w:sz w:val="22"/>
                <w:szCs w:val="22"/>
                <w:lang w:val="es-ES"/>
              </w:rPr>
              <w:t>Los sobres interiores y el sobre exterior deberán:</w:t>
            </w:r>
          </w:p>
          <w:p w14:paraId="666BA48D" w14:textId="77777777" w:rsidR="00ED47AF" w:rsidRPr="00F11F4F" w:rsidRDefault="00ED47AF" w:rsidP="0071608E">
            <w:pPr>
              <w:pStyle w:val="i"/>
              <w:numPr>
                <w:ilvl w:val="0"/>
                <w:numId w:val="15"/>
              </w:numPr>
              <w:spacing w:before="100" w:after="100"/>
              <w:ind w:left="248" w:hanging="358"/>
              <w:rPr>
                <w:rFonts w:ascii="Arial" w:hAnsi="Arial" w:cs="Arial"/>
                <w:sz w:val="22"/>
                <w:szCs w:val="22"/>
                <w:lang w:val="es-ES"/>
              </w:rPr>
            </w:pPr>
            <w:r w:rsidRPr="00F11F4F">
              <w:rPr>
                <w:rFonts w:ascii="Arial" w:hAnsi="Arial" w:cs="Arial"/>
                <w:sz w:val="22"/>
                <w:szCs w:val="22"/>
                <w:lang w:val="es-ES"/>
              </w:rPr>
              <w:t>Llevar el nombre y la dirección del oferente;</w:t>
            </w:r>
          </w:p>
          <w:p w14:paraId="4A949BB9" w14:textId="77777777" w:rsidR="00ED47AF" w:rsidRPr="00F11F4F" w:rsidRDefault="00ED47AF" w:rsidP="0071608E">
            <w:pPr>
              <w:pStyle w:val="i"/>
              <w:numPr>
                <w:ilvl w:val="0"/>
                <w:numId w:val="15"/>
              </w:numPr>
              <w:spacing w:before="100" w:after="100"/>
              <w:ind w:left="248" w:hanging="358"/>
              <w:rPr>
                <w:rFonts w:ascii="Arial" w:hAnsi="Arial" w:cs="Arial"/>
                <w:sz w:val="22"/>
                <w:szCs w:val="22"/>
                <w:lang w:val="es-ES"/>
              </w:rPr>
            </w:pPr>
            <w:r w:rsidRPr="00F11F4F">
              <w:rPr>
                <w:rFonts w:ascii="Arial" w:hAnsi="Arial" w:cs="Arial"/>
                <w:sz w:val="22"/>
                <w:szCs w:val="22"/>
                <w:lang w:val="es-ES"/>
              </w:rPr>
              <w:t xml:space="preserve">Estar dirigidos al Contratante y llevar la dirección que se indica en </w:t>
            </w:r>
            <w:r w:rsidR="00065849" w:rsidRPr="00F11F4F">
              <w:rPr>
                <w:rFonts w:ascii="Arial" w:hAnsi="Arial" w:cs="Arial"/>
                <w:sz w:val="22"/>
                <w:szCs w:val="22"/>
                <w:lang w:val="es-ES"/>
              </w:rPr>
              <w:t xml:space="preserve">la </w:t>
            </w:r>
            <w:r w:rsidR="00271DD9" w:rsidRPr="00F11F4F">
              <w:rPr>
                <w:rFonts w:ascii="Arial" w:hAnsi="Arial" w:cs="Arial"/>
                <w:sz w:val="22"/>
                <w:szCs w:val="22"/>
                <w:lang w:val="es-ES"/>
              </w:rPr>
              <w:t>IAO 24.1</w:t>
            </w:r>
            <w:r w:rsidRPr="00F11F4F">
              <w:rPr>
                <w:rFonts w:ascii="Arial" w:hAnsi="Arial" w:cs="Arial"/>
                <w:sz w:val="22"/>
                <w:szCs w:val="22"/>
                <w:lang w:val="es-ES"/>
              </w:rPr>
              <w:t>;</w:t>
            </w:r>
          </w:p>
          <w:p w14:paraId="4226F4A1" w14:textId="77777777" w:rsidR="00ED47AF" w:rsidRPr="00F11F4F" w:rsidRDefault="00ED47AF" w:rsidP="0071608E">
            <w:pPr>
              <w:pStyle w:val="i"/>
              <w:numPr>
                <w:ilvl w:val="0"/>
                <w:numId w:val="15"/>
              </w:numPr>
              <w:spacing w:before="100" w:after="100"/>
              <w:ind w:left="248" w:hanging="358"/>
              <w:rPr>
                <w:rFonts w:ascii="Arial" w:hAnsi="Arial" w:cs="Arial"/>
                <w:sz w:val="22"/>
                <w:szCs w:val="22"/>
                <w:lang w:val="es-ES"/>
              </w:rPr>
            </w:pPr>
            <w:r w:rsidRPr="00F11F4F">
              <w:rPr>
                <w:rFonts w:ascii="Arial" w:hAnsi="Arial" w:cs="Arial"/>
                <w:sz w:val="22"/>
                <w:szCs w:val="22"/>
                <w:lang w:val="es-ES"/>
              </w:rPr>
              <w:t>Llevar la identificación específica de este proceso de licitación indicando el nombre de la licitación;</w:t>
            </w:r>
          </w:p>
          <w:p w14:paraId="6B8397F5" w14:textId="77777777" w:rsidR="00ED47AF" w:rsidRPr="00F11F4F" w:rsidRDefault="00ED47AF" w:rsidP="0071608E">
            <w:pPr>
              <w:pStyle w:val="i"/>
              <w:numPr>
                <w:ilvl w:val="0"/>
                <w:numId w:val="15"/>
              </w:numPr>
              <w:spacing w:before="100" w:after="100"/>
              <w:ind w:left="248" w:hanging="358"/>
              <w:rPr>
                <w:rStyle w:val="iChar"/>
                <w:rFonts w:ascii="Arial" w:hAnsi="Arial" w:cs="Arial"/>
                <w:sz w:val="22"/>
                <w:szCs w:val="22"/>
                <w:lang w:val="es-ES"/>
              </w:rPr>
            </w:pPr>
            <w:r w:rsidRPr="00F11F4F">
              <w:rPr>
                <w:rFonts w:ascii="Arial" w:hAnsi="Arial" w:cs="Arial"/>
                <w:sz w:val="22"/>
                <w:szCs w:val="22"/>
                <w:lang w:val="es-ES"/>
              </w:rPr>
              <w:t>Incluir una advertencia para no abrir antes de la hora y fecha de la apertura de la oferta.</w:t>
            </w:r>
          </w:p>
        </w:tc>
      </w:tr>
      <w:tr w:rsidR="00ED47AF" w:rsidRPr="00A33F6B" w14:paraId="78EB51EC" w14:textId="77777777" w:rsidTr="00205125">
        <w:tc>
          <w:tcPr>
            <w:tcW w:w="1980" w:type="dxa"/>
            <w:vMerge/>
          </w:tcPr>
          <w:p w14:paraId="135AB833" w14:textId="77777777" w:rsidR="00ED47AF" w:rsidRPr="00F11F4F" w:rsidRDefault="00ED47AF" w:rsidP="00ED47AF">
            <w:pPr>
              <w:pStyle w:val="i"/>
              <w:spacing w:before="100" w:after="100"/>
              <w:contextualSpacing/>
              <w:rPr>
                <w:rFonts w:ascii="Arial" w:hAnsi="Arial" w:cs="Arial"/>
                <w:b/>
                <w:sz w:val="22"/>
                <w:szCs w:val="22"/>
                <w:lang w:val="es-ES"/>
              </w:rPr>
            </w:pPr>
          </w:p>
        </w:tc>
        <w:tc>
          <w:tcPr>
            <w:tcW w:w="720" w:type="dxa"/>
            <w:tcBorders>
              <w:right w:val="nil"/>
            </w:tcBorders>
          </w:tcPr>
          <w:p w14:paraId="1A5931E1" w14:textId="77777777" w:rsidR="00ED47AF" w:rsidRPr="00F11F4F" w:rsidRDefault="00ED47AF" w:rsidP="00BD04B0">
            <w:pPr>
              <w:pStyle w:val="i"/>
              <w:spacing w:before="100" w:after="100"/>
              <w:ind w:left="-77"/>
              <w:jc w:val="center"/>
              <w:rPr>
                <w:rFonts w:ascii="Arial" w:hAnsi="Arial" w:cs="Arial"/>
                <w:sz w:val="22"/>
                <w:szCs w:val="22"/>
                <w:lang w:val="es-ES"/>
              </w:rPr>
            </w:pPr>
            <w:r w:rsidRPr="00F11F4F">
              <w:rPr>
                <w:rFonts w:ascii="Arial" w:hAnsi="Arial" w:cs="Arial"/>
                <w:sz w:val="22"/>
                <w:szCs w:val="22"/>
                <w:lang w:val="es-ES"/>
              </w:rPr>
              <w:t>24.3</w:t>
            </w:r>
          </w:p>
        </w:tc>
        <w:tc>
          <w:tcPr>
            <w:tcW w:w="6660" w:type="dxa"/>
            <w:tcBorders>
              <w:left w:val="nil"/>
            </w:tcBorders>
          </w:tcPr>
          <w:p w14:paraId="6ADB44CD" w14:textId="77777777" w:rsidR="00ED47AF" w:rsidRPr="00F11F4F" w:rsidRDefault="00ED47AF" w:rsidP="00ED47AF">
            <w:pPr>
              <w:pStyle w:val="i"/>
              <w:spacing w:before="100" w:after="100"/>
              <w:ind w:left="-73"/>
              <w:rPr>
                <w:rStyle w:val="iChar"/>
                <w:rFonts w:ascii="Arial" w:hAnsi="Arial" w:cs="Arial"/>
                <w:sz w:val="22"/>
                <w:szCs w:val="22"/>
              </w:rPr>
            </w:pPr>
            <w:r w:rsidRPr="00F11F4F">
              <w:rPr>
                <w:rStyle w:val="iChar"/>
                <w:rFonts w:ascii="Arial" w:hAnsi="Arial" w:cs="Arial"/>
                <w:sz w:val="22"/>
                <w:szCs w:val="22"/>
              </w:rPr>
              <w:t>Si los sobres no están sellados e identificados como se requiere, el Contratante no se responsabilizará en caso de que la oferta se extravíe o sea abierta prematuramente.</w:t>
            </w:r>
          </w:p>
        </w:tc>
      </w:tr>
      <w:tr w:rsidR="00ED47AF" w:rsidRPr="00A33F6B" w14:paraId="05EDB867" w14:textId="77777777" w:rsidTr="00205125">
        <w:trPr>
          <w:trHeight w:val="1718"/>
        </w:trPr>
        <w:tc>
          <w:tcPr>
            <w:tcW w:w="1980" w:type="dxa"/>
            <w:vMerge w:val="restart"/>
          </w:tcPr>
          <w:p w14:paraId="76B2C8D6" w14:textId="77777777" w:rsidR="00ED47AF" w:rsidRPr="00F11F4F" w:rsidRDefault="00ED47AF" w:rsidP="007F1D84">
            <w:pPr>
              <w:pStyle w:val="IAO2"/>
            </w:pPr>
            <w:bookmarkStart w:id="209" w:name="_Toc74048200"/>
            <w:bookmarkStart w:id="210" w:name="_Toc74518444"/>
            <w:bookmarkStart w:id="211" w:name="_Toc74519168"/>
            <w:bookmarkStart w:id="212" w:name="_Toc74519984"/>
            <w:bookmarkStart w:id="213" w:name="_Toc74781358"/>
            <w:bookmarkStart w:id="214" w:name="_Toc74894108"/>
            <w:r w:rsidRPr="00F11F4F">
              <w:t xml:space="preserve">25. Plazo para la </w:t>
            </w:r>
            <w:r w:rsidR="00C72F48" w:rsidRPr="00F11F4F">
              <w:t>P</w:t>
            </w:r>
            <w:r w:rsidRPr="00F11F4F">
              <w:t>resentación de las Ofertas</w:t>
            </w:r>
            <w:bookmarkEnd w:id="209"/>
            <w:bookmarkEnd w:id="210"/>
            <w:bookmarkEnd w:id="211"/>
            <w:bookmarkEnd w:id="212"/>
            <w:bookmarkEnd w:id="213"/>
            <w:bookmarkEnd w:id="214"/>
          </w:p>
        </w:tc>
        <w:tc>
          <w:tcPr>
            <w:tcW w:w="720" w:type="dxa"/>
            <w:tcBorders>
              <w:right w:val="nil"/>
            </w:tcBorders>
          </w:tcPr>
          <w:p w14:paraId="43CFAE8E" w14:textId="77777777" w:rsidR="00ED47AF" w:rsidRPr="00F11F4F" w:rsidRDefault="00ED47AF" w:rsidP="00BD04B0">
            <w:pPr>
              <w:pStyle w:val="i"/>
              <w:spacing w:before="100" w:after="100"/>
              <w:ind w:left="-77"/>
              <w:jc w:val="center"/>
              <w:rPr>
                <w:rStyle w:val="iChar"/>
                <w:rFonts w:ascii="Arial" w:hAnsi="Arial" w:cs="Arial"/>
                <w:sz w:val="22"/>
                <w:szCs w:val="22"/>
              </w:rPr>
            </w:pPr>
            <w:r w:rsidRPr="00F11F4F">
              <w:rPr>
                <w:rFonts w:ascii="Arial" w:hAnsi="Arial" w:cs="Arial"/>
                <w:sz w:val="22"/>
                <w:szCs w:val="22"/>
                <w:lang w:val="es-ES"/>
              </w:rPr>
              <w:t>25.1</w:t>
            </w:r>
          </w:p>
        </w:tc>
        <w:tc>
          <w:tcPr>
            <w:tcW w:w="6660" w:type="dxa"/>
            <w:tcBorders>
              <w:left w:val="nil"/>
            </w:tcBorders>
          </w:tcPr>
          <w:p w14:paraId="11685E52" w14:textId="77777777" w:rsidR="00ED47AF" w:rsidRPr="00F11F4F" w:rsidRDefault="00ED47AF" w:rsidP="00C30267">
            <w:pPr>
              <w:pStyle w:val="i"/>
              <w:spacing w:before="100" w:after="100"/>
              <w:ind w:left="248" w:hanging="358"/>
              <w:rPr>
                <w:rFonts w:ascii="Arial" w:hAnsi="Arial" w:cs="Arial"/>
                <w:sz w:val="22"/>
                <w:szCs w:val="22"/>
                <w:lang w:val="es-ES"/>
              </w:rPr>
            </w:pPr>
            <w:r w:rsidRPr="00F11F4F">
              <w:rPr>
                <w:rFonts w:ascii="Arial" w:hAnsi="Arial" w:cs="Arial"/>
                <w:sz w:val="22"/>
                <w:szCs w:val="22"/>
                <w:lang w:val="es-ES"/>
              </w:rPr>
              <w:t xml:space="preserve">a. </w:t>
            </w:r>
            <w:r w:rsidR="00FC2427" w:rsidRPr="00F11F4F">
              <w:rPr>
                <w:rFonts w:ascii="Arial" w:hAnsi="Arial" w:cs="Arial"/>
                <w:sz w:val="22"/>
                <w:szCs w:val="22"/>
                <w:lang w:val="es-ES"/>
              </w:rPr>
              <w:t xml:space="preserve">  </w:t>
            </w:r>
            <w:r w:rsidRPr="00F11F4F">
              <w:rPr>
                <w:rFonts w:ascii="Arial" w:hAnsi="Arial" w:cs="Arial"/>
                <w:sz w:val="22"/>
                <w:szCs w:val="22"/>
                <w:lang w:val="es-ES"/>
              </w:rPr>
              <w:t xml:space="preserve">El Contratante deberá recibir las ofertas en la dirección y, a más tardar, a la hora y fecha que se indican en los </w:t>
            </w:r>
            <w:r w:rsidRPr="00F11F4F">
              <w:rPr>
                <w:rFonts w:ascii="Arial" w:hAnsi="Arial" w:cs="Arial"/>
                <w:b/>
                <w:sz w:val="22"/>
                <w:szCs w:val="22"/>
                <w:lang w:val="es-ES"/>
              </w:rPr>
              <w:t>DDL</w:t>
            </w:r>
            <w:r w:rsidRPr="00F11F4F">
              <w:rPr>
                <w:rFonts w:ascii="Arial" w:hAnsi="Arial" w:cs="Arial"/>
                <w:sz w:val="22"/>
                <w:szCs w:val="22"/>
                <w:lang w:val="es-ES"/>
              </w:rPr>
              <w:t xml:space="preserve">. </w:t>
            </w:r>
          </w:p>
          <w:p w14:paraId="6BF7365F" w14:textId="77777777" w:rsidR="00ED47AF" w:rsidRPr="00F11F4F" w:rsidRDefault="00ED47AF" w:rsidP="00C30267">
            <w:pPr>
              <w:pStyle w:val="i"/>
              <w:spacing w:before="100" w:after="100"/>
              <w:ind w:left="248" w:hanging="358"/>
              <w:rPr>
                <w:rStyle w:val="iChar"/>
                <w:rFonts w:ascii="Arial" w:hAnsi="Arial" w:cs="Arial"/>
                <w:sz w:val="22"/>
                <w:szCs w:val="22"/>
              </w:rPr>
            </w:pPr>
            <w:r w:rsidRPr="00F11F4F">
              <w:rPr>
                <w:rFonts w:ascii="Arial" w:hAnsi="Arial" w:cs="Arial"/>
                <w:sz w:val="22"/>
                <w:szCs w:val="22"/>
                <w:lang w:val="es-ES"/>
              </w:rPr>
              <w:t xml:space="preserve">b. </w:t>
            </w:r>
            <w:r w:rsidR="00FC2427" w:rsidRPr="00F11F4F">
              <w:rPr>
                <w:rFonts w:ascii="Arial" w:hAnsi="Arial" w:cs="Arial"/>
                <w:sz w:val="22"/>
                <w:szCs w:val="22"/>
                <w:lang w:val="es-ES"/>
              </w:rPr>
              <w:t xml:space="preserve">  </w:t>
            </w:r>
            <w:r w:rsidR="00F058D1">
              <w:rPr>
                <w:rFonts w:ascii="Arial" w:hAnsi="Arial" w:cs="Arial"/>
                <w:sz w:val="22"/>
                <w:szCs w:val="22"/>
                <w:lang w:val="es-ES"/>
              </w:rPr>
              <w:t xml:space="preserve"> </w:t>
            </w:r>
            <w:r w:rsidRPr="00F11F4F">
              <w:rPr>
                <w:rFonts w:ascii="Arial" w:hAnsi="Arial" w:cs="Arial"/>
                <w:sz w:val="22"/>
                <w:szCs w:val="22"/>
                <w:lang w:val="es-ES"/>
              </w:rPr>
              <w:t xml:space="preserve">Salvo que se acuerde un plazo diferente </w:t>
            </w:r>
            <w:r w:rsidRPr="00F11F4F">
              <w:rPr>
                <w:rFonts w:ascii="Arial" w:hAnsi="Arial" w:cs="Arial"/>
                <w:b/>
                <w:sz w:val="22"/>
                <w:szCs w:val="22"/>
                <w:lang w:val="es-ES"/>
              </w:rPr>
              <w:t>en los DDL</w:t>
            </w:r>
            <w:r w:rsidRPr="00F11F4F">
              <w:rPr>
                <w:rFonts w:ascii="Arial" w:hAnsi="Arial" w:cs="Arial"/>
                <w:sz w:val="22"/>
                <w:szCs w:val="22"/>
                <w:lang w:val="es-ES"/>
              </w:rPr>
              <w:t>, el plazo para la preparación de ofertas deberá ser de al menos 45 días calendario contados a partir del día siguiente hábil después de la fecha de la publicación de los Documentos Base, o a partir del día siguiente hábil después de la fecha en que se disponga de los mismos</w:t>
            </w:r>
            <w:r w:rsidR="006046C8" w:rsidRPr="00F11F4F">
              <w:rPr>
                <w:rStyle w:val="iChar"/>
                <w:rFonts w:ascii="Arial" w:hAnsi="Arial" w:cs="Arial"/>
                <w:sz w:val="22"/>
                <w:szCs w:val="22"/>
              </w:rPr>
              <w:t>.</w:t>
            </w:r>
          </w:p>
        </w:tc>
      </w:tr>
      <w:tr w:rsidR="00ED47AF" w:rsidRPr="00A33F6B" w14:paraId="2C6E804E" w14:textId="77777777" w:rsidTr="00205125">
        <w:tc>
          <w:tcPr>
            <w:tcW w:w="1980" w:type="dxa"/>
            <w:vMerge/>
          </w:tcPr>
          <w:p w14:paraId="0BC7EB76" w14:textId="77777777" w:rsidR="00ED47AF" w:rsidRPr="00F11F4F" w:rsidRDefault="00ED47AF" w:rsidP="007F1D84">
            <w:pPr>
              <w:pStyle w:val="IAO2"/>
            </w:pPr>
          </w:p>
        </w:tc>
        <w:tc>
          <w:tcPr>
            <w:tcW w:w="720" w:type="dxa"/>
            <w:tcBorders>
              <w:right w:val="nil"/>
            </w:tcBorders>
          </w:tcPr>
          <w:p w14:paraId="0FA0CF82" w14:textId="77777777" w:rsidR="00ED47AF" w:rsidRPr="00F11F4F" w:rsidRDefault="00ED47AF" w:rsidP="00BD04B0">
            <w:pPr>
              <w:pStyle w:val="i"/>
              <w:spacing w:before="100" w:after="100"/>
              <w:ind w:left="-79"/>
              <w:jc w:val="center"/>
              <w:rPr>
                <w:rStyle w:val="iChar"/>
                <w:rFonts w:ascii="Arial" w:hAnsi="Arial" w:cs="Arial"/>
                <w:sz w:val="22"/>
                <w:szCs w:val="22"/>
              </w:rPr>
            </w:pPr>
            <w:r w:rsidRPr="00F11F4F">
              <w:rPr>
                <w:rStyle w:val="iChar"/>
                <w:rFonts w:ascii="Arial" w:hAnsi="Arial" w:cs="Arial"/>
                <w:sz w:val="22"/>
                <w:szCs w:val="22"/>
              </w:rPr>
              <w:t>25.2</w:t>
            </w:r>
          </w:p>
        </w:tc>
        <w:tc>
          <w:tcPr>
            <w:tcW w:w="6660" w:type="dxa"/>
            <w:tcBorders>
              <w:left w:val="nil"/>
            </w:tcBorders>
          </w:tcPr>
          <w:p w14:paraId="27456633" w14:textId="77777777" w:rsidR="00ED47AF" w:rsidRPr="00F11F4F" w:rsidRDefault="00ED47AF" w:rsidP="00ED47AF">
            <w:pPr>
              <w:pStyle w:val="i"/>
              <w:spacing w:before="100" w:after="100"/>
              <w:ind w:left="-108"/>
              <w:rPr>
                <w:rStyle w:val="iChar"/>
                <w:rFonts w:ascii="Arial" w:hAnsi="Arial" w:cs="Arial"/>
                <w:sz w:val="22"/>
                <w:szCs w:val="22"/>
                <w:highlight w:val="yellow"/>
              </w:rPr>
            </w:pPr>
            <w:r w:rsidRPr="00F11F4F">
              <w:rPr>
                <w:rStyle w:val="iChar"/>
                <w:rFonts w:ascii="Arial" w:hAnsi="Arial" w:cs="Arial"/>
                <w:sz w:val="22"/>
                <w:szCs w:val="22"/>
              </w:rPr>
              <w:t xml:space="preserve">El Contratante podrá, prorrogar la fecha límite de presentación de las ofertas mediante una enmienda del Documento de Licitación, en cuyo caso todas las obligaciones y derechos del Contratante de </w:t>
            </w:r>
            <w:r w:rsidRPr="00F11F4F">
              <w:rPr>
                <w:rFonts w:ascii="Arial" w:hAnsi="Arial" w:cs="Arial"/>
                <w:sz w:val="22"/>
                <w:szCs w:val="22"/>
              </w:rPr>
              <w:t>y de los oferentes que estaban sujetas a dicha fecha límite, quedarán sujetas al nuevo plazo</w:t>
            </w:r>
            <w:r w:rsidRPr="00F11F4F">
              <w:rPr>
                <w:rStyle w:val="iChar"/>
                <w:rFonts w:ascii="Arial" w:hAnsi="Arial" w:cs="Arial"/>
                <w:sz w:val="22"/>
                <w:szCs w:val="22"/>
              </w:rPr>
              <w:t>.</w:t>
            </w:r>
          </w:p>
        </w:tc>
      </w:tr>
      <w:tr w:rsidR="00ED47AF" w:rsidRPr="00A33F6B" w14:paraId="40A74708" w14:textId="77777777" w:rsidTr="00205125">
        <w:tc>
          <w:tcPr>
            <w:tcW w:w="1980" w:type="dxa"/>
            <w:vMerge/>
          </w:tcPr>
          <w:p w14:paraId="263CF8A5" w14:textId="77777777" w:rsidR="00ED47AF" w:rsidRPr="00F11F4F" w:rsidRDefault="00ED47AF" w:rsidP="007F1D84">
            <w:pPr>
              <w:pStyle w:val="IAO2"/>
            </w:pPr>
          </w:p>
        </w:tc>
        <w:tc>
          <w:tcPr>
            <w:tcW w:w="720" w:type="dxa"/>
            <w:tcBorders>
              <w:right w:val="nil"/>
            </w:tcBorders>
          </w:tcPr>
          <w:p w14:paraId="0C1B9049" w14:textId="77777777" w:rsidR="00ED47AF" w:rsidRPr="00F11F4F" w:rsidRDefault="00ED47AF" w:rsidP="00BD04B0">
            <w:pPr>
              <w:pStyle w:val="i"/>
              <w:spacing w:before="100" w:after="100"/>
              <w:ind w:left="-79"/>
              <w:jc w:val="center"/>
              <w:rPr>
                <w:rStyle w:val="iChar"/>
                <w:rFonts w:ascii="Arial" w:hAnsi="Arial" w:cs="Arial"/>
                <w:sz w:val="22"/>
                <w:szCs w:val="22"/>
              </w:rPr>
            </w:pPr>
            <w:r w:rsidRPr="00F11F4F">
              <w:rPr>
                <w:rFonts w:ascii="Arial" w:hAnsi="Arial" w:cs="Arial"/>
                <w:sz w:val="22"/>
                <w:szCs w:val="22"/>
                <w:lang w:val="es-ES"/>
              </w:rPr>
              <w:t>25.3</w:t>
            </w:r>
          </w:p>
        </w:tc>
        <w:tc>
          <w:tcPr>
            <w:tcW w:w="6660" w:type="dxa"/>
            <w:tcBorders>
              <w:left w:val="nil"/>
            </w:tcBorders>
          </w:tcPr>
          <w:p w14:paraId="187AF8CB" w14:textId="77777777" w:rsidR="00ED47AF" w:rsidRPr="00F11F4F" w:rsidRDefault="00ED47AF" w:rsidP="00ED47AF">
            <w:pPr>
              <w:pStyle w:val="i"/>
              <w:spacing w:before="100" w:after="100"/>
              <w:ind w:left="-108"/>
              <w:rPr>
                <w:rStyle w:val="iChar"/>
                <w:rFonts w:ascii="Arial" w:hAnsi="Arial" w:cs="Arial"/>
                <w:sz w:val="22"/>
                <w:szCs w:val="22"/>
              </w:rPr>
            </w:pPr>
            <w:r w:rsidRPr="00F11F4F">
              <w:rPr>
                <w:rFonts w:ascii="Arial" w:hAnsi="Arial" w:cs="Arial"/>
                <w:sz w:val="22"/>
                <w:szCs w:val="22"/>
                <w:lang w:val="es-ES"/>
              </w:rPr>
              <w:t xml:space="preserve">Los oferentes tendrán la opción de presentar sus ofertas electrónicamente, cuando así se indique en los </w:t>
            </w:r>
            <w:r w:rsidRPr="00F11F4F">
              <w:rPr>
                <w:rFonts w:ascii="Arial" w:hAnsi="Arial" w:cs="Arial"/>
                <w:b/>
                <w:bCs/>
                <w:sz w:val="22"/>
                <w:szCs w:val="22"/>
                <w:lang w:val="es-ES"/>
              </w:rPr>
              <w:t>DDL</w:t>
            </w:r>
            <w:r w:rsidRPr="00F11F4F">
              <w:rPr>
                <w:rFonts w:ascii="Arial" w:hAnsi="Arial" w:cs="Arial"/>
                <w:sz w:val="22"/>
                <w:szCs w:val="22"/>
                <w:lang w:val="es-ES"/>
              </w:rPr>
              <w:t>. En ese caso los oferentes que presenten sus ofertas electrónicamente seguirán los procedimientos indicados en dicha sección para la presentación de las mismas.</w:t>
            </w:r>
          </w:p>
        </w:tc>
      </w:tr>
      <w:tr w:rsidR="00ED47AF" w:rsidRPr="00A33F6B" w14:paraId="0241D618" w14:textId="77777777" w:rsidTr="00205125">
        <w:tc>
          <w:tcPr>
            <w:tcW w:w="1980" w:type="dxa"/>
          </w:tcPr>
          <w:p w14:paraId="6C5CDC17" w14:textId="77777777" w:rsidR="00ED47AF" w:rsidRPr="00F11F4F" w:rsidRDefault="00ED47AF" w:rsidP="007F1D84">
            <w:pPr>
              <w:pStyle w:val="IAO2"/>
            </w:pPr>
            <w:bookmarkStart w:id="215" w:name="_Toc74048201"/>
            <w:bookmarkStart w:id="216" w:name="_Toc74518445"/>
            <w:bookmarkStart w:id="217" w:name="_Toc74519169"/>
            <w:bookmarkStart w:id="218" w:name="_Toc74519985"/>
            <w:bookmarkStart w:id="219" w:name="_Toc74781359"/>
            <w:bookmarkStart w:id="220" w:name="_Toc74894109"/>
            <w:r w:rsidRPr="00F11F4F">
              <w:t>26. Ofertas Tardías</w:t>
            </w:r>
            <w:bookmarkEnd w:id="215"/>
            <w:bookmarkEnd w:id="216"/>
            <w:bookmarkEnd w:id="217"/>
            <w:bookmarkEnd w:id="218"/>
            <w:bookmarkEnd w:id="219"/>
            <w:bookmarkEnd w:id="220"/>
          </w:p>
        </w:tc>
        <w:tc>
          <w:tcPr>
            <w:tcW w:w="720" w:type="dxa"/>
            <w:tcBorders>
              <w:right w:val="nil"/>
            </w:tcBorders>
          </w:tcPr>
          <w:p w14:paraId="4174448F" w14:textId="77777777" w:rsidR="00ED47AF" w:rsidRPr="00F11F4F" w:rsidRDefault="00ED47AF" w:rsidP="005C5262">
            <w:pPr>
              <w:pStyle w:val="i"/>
              <w:spacing w:before="100" w:after="100"/>
              <w:ind w:left="-77"/>
              <w:jc w:val="center"/>
              <w:rPr>
                <w:rStyle w:val="iChar"/>
                <w:rFonts w:ascii="Arial" w:hAnsi="Arial" w:cs="Arial"/>
                <w:sz w:val="22"/>
                <w:szCs w:val="22"/>
              </w:rPr>
            </w:pPr>
            <w:r w:rsidRPr="00F11F4F">
              <w:rPr>
                <w:rStyle w:val="iChar"/>
                <w:rFonts w:ascii="Arial" w:hAnsi="Arial" w:cs="Arial"/>
                <w:sz w:val="22"/>
                <w:szCs w:val="22"/>
              </w:rPr>
              <w:t>26.1</w:t>
            </w:r>
          </w:p>
        </w:tc>
        <w:tc>
          <w:tcPr>
            <w:tcW w:w="6660" w:type="dxa"/>
            <w:tcBorders>
              <w:left w:val="nil"/>
            </w:tcBorders>
          </w:tcPr>
          <w:p w14:paraId="2476F280" w14:textId="77777777" w:rsidR="00ED47AF" w:rsidRPr="00F11F4F" w:rsidRDefault="00ED47AF" w:rsidP="00ED47AF">
            <w:pPr>
              <w:pStyle w:val="Header2-SubClauses"/>
              <w:tabs>
                <w:tab w:val="clear" w:pos="619"/>
              </w:tabs>
              <w:spacing w:before="100" w:after="100"/>
              <w:ind w:left="-108"/>
              <w:rPr>
                <w:rStyle w:val="iChar"/>
                <w:rFonts w:ascii="Arial" w:hAnsi="Arial" w:cs="Arial"/>
                <w:sz w:val="22"/>
                <w:szCs w:val="22"/>
              </w:rPr>
            </w:pPr>
            <w:r w:rsidRPr="00F11F4F">
              <w:rPr>
                <w:rStyle w:val="iChar"/>
                <w:rFonts w:ascii="Arial" w:hAnsi="Arial" w:cs="Arial"/>
                <w:sz w:val="22"/>
                <w:szCs w:val="22"/>
              </w:rPr>
              <w:t xml:space="preserve">El Contratante no considerará ninguna oferta que llegue con posterioridad a la hora y fecha límite para la presentación de las ofertas., de conformidad con lo indicado en el numeral 25.1 (a) de los </w:t>
            </w:r>
            <w:r w:rsidRPr="00F11F4F">
              <w:rPr>
                <w:rStyle w:val="iChar"/>
                <w:rFonts w:ascii="Arial" w:hAnsi="Arial" w:cs="Arial"/>
                <w:b/>
                <w:sz w:val="22"/>
                <w:szCs w:val="22"/>
              </w:rPr>
              <w:t>DDL</w:t>
            </w:r>
            <w:r w:rsidRPr="00F11F4F">
              <w:rPr>
                <w:rStyle w:val="iChar"/>
                <w:rFonts w:ascii="Arial" w:hAnsi="Arial" w:cs="Arial"/>
                <w:sz w:val="22"/>
                <w:szCs w:val="22"/>
              </w:rPr>
              <w:t xml:space="preserve"> Ninguna oferta que llegue después de la hora límite será recibida.</w:t>
            </w:r>
          </w:p>
        </w:tc>
      </w:tr>
      <w:tr w:rsidR="00ED47AF" w:rsidRPr="00A33F6B" w14:paraId="391067A3" w14:textId="77777777" w:rsidTr="00205125">
        <w:trPr>
          <w:trHeight w:val="46"/>
        </w:trPr>
        <w:tc>
          <w:tcPr>
            <w:tcW w:w="1980" w:type="dxa"/>
            <w:vMerge w:val="restart"/>
          </w:tcPr>
          <w:p w14:paraId="32BF1609" w14:textId="77777777" w:rsidR="00ED47AF" w:rsidRPr="00F11F4F" w:rsidRDefault="00ED47AF" w:rsidP="007F1D84">
            <w:pPr>
              <w:pStyle w:val="IAO2"/>
            </w:pPr>
            <w:bookmarkStart w:id="221" w:name="_Toc74048202"/>
            <w:bookmarkStart w:id="222" w:name="_Toc74518446"/>
            <w:bookmarkStart w:id="223" w:name="_Toc74519170"/>
            <w:bookmarkStart w:id="224" w:name="_Toc74519986"/>
            <w:bookmarkStart w:id="225" w:name="_Toc74781360"/>
            <w:bookmarkStart w:id="226" w:name="_Toc74894110"/>
            <w:r w:rsidRPr="00F11F4F">
              <w:lastRenderedPageBreak/>
              <w:t>27. Retiro, sustitución y modificación de las Ofertas</w:t>
            </w:r>
            <w:bookmarkEnd w:id="221"/>
            <w:bookmarkEnd w:id="222"/>
            <w:bookmarkEnd w:id="223"/>
            <w:bookmarkEnd w:id="224"/>
            <w:bookmarkEnd w:id="225"/>
            <w:bookmarkEnd w:id="226"/>
          </w:p>
        </w:tc>
        <w:tc>
          <w:tcPr>
            <w:tcW w:w="720" w:type="dxa"/>
            <w:tcBorders>
              <w:right w:val="nil"/>
            </w:tcBorders>
          </w:tcPr>
          <w:p w14:paraId="67BD1D67" w14:textId="77777777" w:rsidR="00ED47AF" w:rsidRPr="00F11F4F"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F11F4F">
              <w:rPr>
                <w:rStyle w:val="iChar"/>
                <w:rFonts w:ascii="Arial" w:hAnsi="Arial" w:cs="Arial"/>
                <w:sz w:val="22"/>
                <w:szCs w:val="22"/>
              </w:rPr>
              <w:t>27.1</w:t>
            </w:r>
          </w:p>
          <w:p w14:paraId="5D1DE9DC" w14:textId="77777777" w:rsidR="00ED47AF" w:rsidRPr="00F11F4F" w:rsidRDefault="00ED47AF" w:rsidP="00ED47AF">
            <w:pPr>
              <w:pStyle w:val="i"/>
              <w:spacing w:before="100" w:after="100"/>
              <w:ind w:left="-108" w:right="-108"/>
              <w:jc w:val="center"/>
              <w:rPr>
                <w:rStyle w:val="iChar"/>
                <w:rFonts w:ascii="Arial" w:hAnsi="Arial" w:cs="Arial"/>
                <w:sz w:val="22"/>
                <w:szCs w:val="22"/>
              </w:rPr>
            </w:pPr>
          </w:p>
        </w:tc>
        <w:tc>
          <w:tcPr>
            <w:tcW w:w="6660" w:type="dxa"/>
            <w:tcBorders>
              <w:left w:val="nil"/>
            </w:tcBorders>
          </w:tcPr>
          <w:p w14:paraId="5FA176E9" w14:textId="77777777" w:rsidR="00ED47AF" w:rsidRPr="00F11F4F" w:rsidRDefault="00ED47AF" w:rsidP="00ED47AF">
            <w:pPr>
              <w:pStyle w:val="Header2-SubClauses"/>
              <w:tabs>
                <w:tab w:val="clear" w:pos="619"/>
              </w:tabs>
              <w:spacing w:before="100" w:after="100"/>
              <w:ind w:left="-108"/>
              <w:rPr>
                <w:rStyle w:val="iChar"/>
                <w:rFonts w:ascii="Arial" w:hAnsi="Arial" w:cs="Arial"/>
                <w:sz w:val="22"/>
                <w:szCs w:val="22"/>
              </w:rPr>
            </w:pPr>
            <w:r w:rsidRPr="00F11F4F">
              <w:rPr>
                <w:rStyle w:val="iChar"/>
                <w:rFonts w:ascii="Arial" w:hAnsi="Arial" w:cs="Arial"/>
                <w:sz w:val="22"/>
                <w:szCs w:val="22"/>
              </w:rPr>
              <w:t>Siempre que el plazo de presentación de ofertas esté vigente, los oferentes podrán retirar, sustituir o modificar su oferta después de presentada, debiendo presentar para ello una comunicación, por escrito, debidamente firmada por el representante autorizado a presentar la oferta y adjuntando una copia de dicha autorización manifestada en el poder de representación de conformidad al numeral 23.3 y 23.4 de los IAO. Dicha comunicación deberá ser acompañada de la correspondiente sustitución o modificación de oferta (con excepción de las notificaciones de retiro de oferta).</w:t>
            </w:r>
          </w:p>
          <w:p w14:paraId="505BA841" w14:textId="77777777" w:rsidR="00ED47AF" w:rsidRPr="00F11F4F" w:rsidRDefault="00ED47AF" w:rsidP="00ED47AF">
            <w:pPr>
              <w:pStyle w:val="Header2-SubClauses"/>
              <w:tabs>
                <w:tab w:val="clear" w:pos="619"/>
              </w:tabs>
              <w:spacing w:before="100" w:after="100"/>
              <w:ind w:left="-108"/>
              <w:rPr>
                <w:rStyle w:val="iChar"/>
                <w:rFonts w:ascii="Arial" w:hAnsi="Arial" w:cs="Arial"/>
                <w:sz w:val="22"/>
                <w:szCs w:val="22"/>
              </w:rPr>
            </w:pPr>
            <w:r w:rsidRPr="00F11F4F">
              <w:rPr>
                <w:rStyle w:val="iChar"/>
                <w:rFonts w:ascii="Arial" w:hAnsi="Arial" w:cs="Arial"/>
                <w:sz w:val="22"/>
                <w:szCs w:val="22"/>
              </w:rPr>
              <w:t>Todas las comunicaciones deberán ser:</w:t>
            </w:r>
          </w:p>
          <w:p w14:paraId="675296C2" w14:textId="77777777" w:rsidR="00ED47AF" w:rsidRPr="00F11F4F" w:rsidRDefault="00ED47AF" w:rsidP="0071608E">
            <w:pPr>
              <w:pStyle w:val="Header2-SubClauses"/>
              <w:numPr>
                <w:ilvl w:val="0"/>
                <w:numId w:val="14"/>
              </w:numPr>
              <w:tabs>
                <w:tab w:val="clear" w:pos="619"/>
              </w:tabs>
              <w:spacing w:before="100" w:after="100"/>
              <w:ind w:left="248" w:hanging="358"/>
              <w:rPr>
                <w:rStyle w:val="iChar"/>
                <w:rFonts w:ascii="Arial" w:hAnsi="Arial" w:cs="Arial"/>
                <w:sz w:val="22"/>
                <w:szCs w:val="22"/>
              </w:rPr>
            </w:pPr>
            <w:r w:rsidRPr="00F11F4F">
              <w:rPr>
                <w:rStyle w:val="iChar"/>
                <w:rFonts w:ascii="Arial" w:hAnsi="Arial" w:cs="Arial"/>
                <w:sz w:val="22"/>
                <w:szCs w:val="22"/>
              </w:rPr>
              <w:t xml:space="preserve">Preparadas y presentadas de conformidad a lo establecido en las IAO 23 y 24 y acompañadas con la información que corresponda, (con excepción de la comunicación de retiro, que no requiere copias), y los respectivos sobres deberán estar claramente marcados “retiro”, “sustitución” o “modificación”; </w:t>
            </w:r>
          </w:p>
          <w:p w14:paraId="666E85D0" w14:textId="77777777" w:rsidR="00ED47AF" w:rsidRPr="00F11F4F" w:rsidRDefault="00ED47AF" w:rsidP="0071608E">
            <w:pPr>
              <w:pStyle w:val="Header2-SubClauses"/>
              <w:numPr>
                <w:ilvl w:val="0"/>
                <w:numId w:val="14"/>
              </w:numPr>
              <w:tabs>
                <w:tab w:val="clear" w:pos="619"/>
              </w:tabs>
              <w:spacing w:before="100" w:after="100"/>
              <w:ind w:left="248" w:hanging="358"/>
              <w:rPr>
                <w:rStyle w:val="iChar"/>
                <w:rFonts w:ascii="Arial" w:hAnsi="Arial" w:cs="Arial"/>
                <w:sz w:val="22"/>
                <w:szCs w:val="22"/>
              </w:rPr>
            </w:pPr>
            <w:r w:rsidRPr="00F11F4F">
              <w:rPr>
                <w:rStyle w:val="iChar"/>
                <w:rFonts w:ascii="Arial" w:hAnsi="Arial" w:cs="Arial"/>
                <w:sz w:val="22"/>
                <w:szCs w:val="22"/>
              </w:rPr>
              <w:t xml:space="preserve">Recibidas por el </w:t>
            </w:r>
            <w:r w:rsidRPr="00F11F4F">
              <w:rPr>
                <w:rFonts w:ascii="Arial" w:hAnsi="Arial" w:cs="Arial"/>
                <w:sz w:val="22"/>
                <w:szCs w:val="22"/>
                <w:lang w:val="es-ES"/>
              </w:rPr>
              <w:t>Contratante</w:t>
            </w:r>
            <w:r w:rsidRPr="00F11F4F">
              <w:rPr>
                <w:rStyle w:val="iChar"/>
                <w:rFonts w:ascii="Arial" w:hAnsi="Arial" w:cs="Arial"/>
                <w:sz w:val="22"/>
                <w:szCs w:val="22"/>
              </w:rPr>
              <w:t xml:space="preserve"> antes de la fecha y hora límite establecida para la presentación de las ofertas, de conformidad con lo establecido en el numeral 25.1 (a) de los </w:t>
            </w:r>
            <w:r w:rsidRPr="00F11F4F">
              <w:rPr>
                <w:rStyle w:val="iChar"/>
                <w:rFonts w:ascii="Arial" w:hAnsi="Arial" w:cs="Arial"/>
                <w:b/>
                <w:bCs/>
                <w:sz w:val="22"/>
                <w:szCs w:val="22"/>
              </w:rPr>
              <w:t>DDL</w:t>
            </w:r>
            <w:r w:rsidRPr="00F11F4F">
              <w:rPr>
                <w:rStyle w:val="iChar"/>
                <w:rFonts w:ascii="Arial" w:hAnsi="Arial" w:cs="Arial"/>
                <w:sz w:val="22"/>
                <w:szCs w:val="22"/>
              </w:rPr>
              <w:t>.</w:t>
            </w:r>
          </w:p>
        </w:tc>
      </w:tr>
      <w:tr w:rsidR="00ED47AF" w:rsidRPr="00A33F6B" w14:paraId="664FC8A8" w14:textId="77777777" w:rsidTr="00205125">
        <w:trPr>
          <w:trHeight w:val="269"/>
        </w:trPr>
        <w:tc>
          <w:tcPr>
            <w:tcW w:w="1980" w:type="dxa"/>
            <w:vMerge/>
          </w:tcPr>
          <w:p w14:paraId="4564A158" w14:textId="77777777" w:rsidR="00ED47AF" w:rsidRPr="00F11F4F" w:rsidRDefault="00ED47AF" w:rsidP="00ED47AF">
            <w:pPr>
              <w:pStyle w:val="i"/>
              <w:spacing w:before="100" w:after="100"/>
              <w:outlineLvl w:val="2"/>
              <w:rPr>
                <w:rFonts w:ascii="Arial" w:hAnsi="Arial" w:cs="Arial"/>
                <w:b/>
                <w:sz w:val="22"/>
                <w:szCs w:val="22"/>
                <w:lang w:val="es-ES"/>
              </w:rPr>
            </w:pPr>
          </w:p>
        </w:tc>
        <w:tc>
          <w:tcPr>
            <w:tcW w:w="720" w:type="dxa"/>
            <w:tcBorders>
              <w:right w:val="nil"/>
            </w:tcBorders>
          </w:tcPr>
          <w:p w14:paraId="408E9199" w14:textId="77777777" w:rsidR="00ED47AF" w:rsidRPr="00F11F4F" w:rsidRDefault="00ED47AF" w:rsidP="00ED47AF">
            <w:pPr>
              <w:pStyle w:val="Header2-SubClauses"/>
              <w:tabs>
                <w:tab w:val="clear" w:pos="619"/>
              </w:tabs>
              <w:spacing w:before="100" w:after="100"/>
              <w:ind w:left="-108" w:right="-108"/>
              <w:jc w:val="center"/>
              <w:rPr>
                <w:rStyle w:val="iChar"/>
                <w:rFonts w:ascii="Arial" w:hAnsi="Arial" w:cs="Arial"/>
                <w:sz w:val="22"/>
                <w:szCs w:val="22"/>
              </w:rPr>
            </w:pPr>
            <w:r w:rsidRPr="00F11F4F">
              <w:rPr>
                <w:rStyle w:val="iChar"/>
                <w:rFonts w:ascii="Arial" w:hAnsi="Arial" w:cs="Arial"/>
                <w:sz w:val="22"/>
                <w:szCs w:val="22"/>
              </w:rPr>
              <w:t>27.2</w:t>
            </w:r>
          </w:p>
        </w:tc>
        <w:tc>
          <w:tcPr>
            <w:tcW w:w="6660" w:type="dxa"/>
            <w:tcBorders>
              <w:left w:val="nil"/>
            </w:tcBorders>
          </w:tcPr>
          <w:p w14:paraId="38747240" w14:textId="77777777" w:rsidR="00ED47AF" w:rsidRPr="00F11F4F" w:rsidRDefault="00ED47AF" w:rsidP="00C30267">
            <w:pPr>
              <w:pStyle w:val="Textocomentario"/>
              <w:ind w:left="-112"/>
              <w:rPr>
                <w:rStyle w:val="iChar"/>
                <w:rFonts w:ascii="Arial" w:hAnsi="Arial" w:cs="Arial"/>
                <w:sz w:val="22"/>
                <w:szCs w:val="22"/>
                <w:lang w:val="es-ES"/>
              </w:rPr>
            </w:pPr>
            <w:r w:rsidRPr="00F11F4F">
              <w:rPr>
                <w:rFonts w:ascii="Arial" w:hAnsi="Arial" w:cs="Arial"/>
                <w:sz w:val="22"/>
                <w:szCs w:val="22"/>
                <w:lang w:val="es-ES"/>
              </w:rPr>
              <w:t>Las Ofertas cuyo retiro fue solicitado de conformidad con el numeral 27.1 anterior, serán devueltas a los oferentes sin abrir.</w:t>
            </w:r>
          </w:p>
        </w:tc>
      </w:tr>
      <w:tr w:rsidR="00E23051" w:rsidRPr="00A33F6B" w14:paraId="6290AD8B" w14:textId="77777777" w:rsidTr="00205125">
        <w:tc>
          <w:tcPr>
            <w:tcW w:w="1980" w:type="dxa"/>
            <w:vMerge w:val="restart"/>
          </w:tcPr>
          <w:p w14:paraId="1DD1B2D8" w14:textId="77777777" w:rsidR="00E23051" w:rsidRPr="00A62659" w:rsidRDefault="00E23051" w:rsidP="00A62659">
            <w:pPr>
              <w:pStyle w:val="IAO2"/>
            </w:pPr>
            <w:bookmarkStart w:id="227" w:name="_Toc74048203"/>
            <w:bookmarkStart w:id="228" w:name="_Toc74518447"/>
            <w:bookmarkStart w:id="229" w:name="_Toc74519171"/>
            <w:bookmarkStart w:id="230" w:name="_Toc74519987"/>
            <w:bookmarkStart w:id="231" w:name="_Toc74781361"/>
            <w:bookmarkStart w:id="232" w:name="_Toc74894111"/>
            <w:r w:rsidRPr="00A62659">
              <w:t xml:space="preserve">28. </w:t>
            </w:r>
            <w:r w:rsidRPr="00A62659">
              <w:rPr>
                <w:rStyle w:val="IAO2Char"/>
                <w:b/>
              </w:rPr>
              <w:t>Recepción y Apertura de las Ofertas</w:t>
            </w:r>
            <w:bookmarkEnd w:id="227"/>
            <w:bookmarkEnd w:id="228"/>
            <w:bookmarkEnd w:id="229"/>
            <w:bookmarkEnd w:id="230"/>
            <w:bookmarkEnd w:id="231"/>
            <w:bookmarkEnd w:id="232"/>
          </w:p>
        </w:tc>
        <w:tc>
          <w:tcPr>
            <w:tcW w:w="720" w:type="dxa"/>
            <w:tcBorders>
              <w:right w:val="nil"/>
            </w:tcBorders>
          </w:tcPr>
          <w:p w14:paraId="10C6CBD5" w14:textId="77777777" w:rsidR="00E23051" w:rsidRPr="00F11F4F" w:rsidRDefault="00E23051" w:rsidP="00ED47AF">
            <w:pPr>
              <w:pStyle w:val="i"/>
              <w:spacing w:before="100" w:after="100"/>
              <w:ind w:left="-108" w:right="-108"/>
              <w:jc w:val="center"/>
              <w:rPr>
                <w:rStyle w:val="iChar"/>
                <w:rFonts w:ascii="Arial" w:hAnsi="Arial" w:cs="Arial"/>
                <w:sz w:val="22"/>
                <w:szCs w:val="22"/>
              </w:rPr>
            </w:pPr>
            <w:r w:rsidRPr="00F11F4F">
              <w:rPr>
                <w:rFonts w:ascii="Arial" w:hAnsi="Arial" w:cs="Arial"/>
                <w:sz w:val="22"/>
                <w:szCs w:val="22"/>
                <w:lang w:val="es-HN"/>
              </w:rPr>
              <w:t>28.1</w:t>
            </w:r>
          </w:p>
        </w:tc>
        <w:tc>
          <w:tcPr>
            <w:tcW w:w="6660" w:type="dxa"/>
            <w:tcBorders>
              <w:left w:val="nil"/>
            </w:tcBorders>
          </w:tcPr>
          <w:p w14:paraId="3586692B" w14:textId="77777777" w:rsidR="00E23051" w:rsidRPr="00F11F4F" w:rsidRDefault="00E23051"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Una vez cerrado el plazo para la presentación de ofertas, el Contratante llevará a cabo el acto de recepción y apertura pública de todas las Ofertas recibidas antes el vencimiento del plazo indicado en la dirección, fecha y hora especificadas en el numeral 25.1 (a) de los </w:t>
            </w:r>
            <w:r w:rsidRPr="00F11F4F">
              <w:rPr>
                <w:rFonts w:ascii="Arial" w:hAnsi="Arial" w:cs="Arial"/>
                <w:b/>
                <w:bCs/>
                <w:sz w:val="22"/>
                <w:szCs w:val="22"/>
                <w:lang w:val="es-ES"/>
              </w:rPr>
              <w:t>DDL</w:t>
            </w:r>
            <w:r w:rsidRPr="00F11F4F">
              <w:rPr>
                <w:rFonts w:ascii="Arial" w:hAnsi="Arial" w:cs="Arial"/>
                <w:sz w:val="22"/>
                <w:szCs w:val="22"/>
                <w:lang w:val="es-ES"/>
              </w:rPr>
              <w:t>. El procedimiento a seguir será el siguiente:</w:t>
            </w:r>
          </w:p>
          <w:p w14:paraId="007D78B5" w14:textId="77777777" w:rsidR="00E23051" w:rsidRPr="00F11F4F" w:rsidRDefault="00E23051" w:rsidP="0071608E">
            <w:pPr>
              <w:pStyle w:val="Header2-SubClauses"/>
              <w:numPr>
                <w:ilvl w:val="7"/>
                <w:numId w:val="7"/>
              </w:numPr>
              <w:spacing w:before="120" w:after="120"/>
              <w:ind w:left="248" w:hanging="358"/>
              <w:rPr>
                <w:rFonts w:ascii="Arial" w:hAnsi="Arial" w:cs="Arial"/>
                <w:sz w:val="22"/>
                <w:szCs w:val="22"/>
                <w:lang w:val="es-ES"/>
              </w:rPr>
            </w:pPr>
            <w:r w:rsidRPr="00F11F4F">
              <w:rPr>
                <w:rFonts w:ascii="Arial" w:hAnsi="Arial" w:cs="Arial"/>
                <w:sz w:val="22"/>
                <w:szCs w:val="22"/>
                <w:lang w:val="es-ES"/>
              </w:rPr>
              <w:t xml:space="preserve">Primero se leerán en voz alta los sobres marcados como “Retiro” y el sobre con la Oferta correspondiente no será abierto sino devuelto al oferente remitente. No se permitirá el retiro de ninguna Oferta a menos que la comunicación de retiro pertinente contenga una autorización válida para solicitar el retiro y sea leída en voz alta en el acto de apertura de las Ofertas, en caso de no contener dicha autorización se procederá a abrir la oferta respectiva. </w:t>
            </w:r>
          </w:p>
          <w:p w14:paraId="688C6250" w14:textId="77777777" w:rsidR="00E23051" w:rsidRPr="00F11F4F" w:rsidRDefault="00E23051" w:rsidP="0071608E">
            <w:pPr>
              <w:pStyle w:val="Header2-SubClauses"/>
              <w:numPr>
                <w:ilvl w:val="7"/>
                <w:numId w:val="7"/>
              </w:numPr>
              <w:spacing w:before="120" w:after="120"/>
              <w:ind w:left="248" w:hanging="358"/>
              <w:rPr>
                <w:rFonts w:ascii="Arial" w:hAnsi="Arial" w:cs="Arial"/>
                <w:sz w:val="22"/>
                <w:szCs w:val="22"/>
                <w:lang w:val="es-ES"/>
              </w:rPr>
            </w:pPr>
            <w:r w:rsidRPr="00F11F4F">
              <w:rPr>
                <w:rFonts w:ascii="Arial" w:hAnsi="Arial" w:cs="Arial"/>
                <w:spacing w:val="-2"/>
                <w:sz w:val="22"/>
                <w:szCs w:val="22"/>
                <w:lang w:val="es-ES"/>
              </w:rPr>
              <w:t xml:space="preserve">Seguidamente, se abrirán los sobres marcados como “Sustitución” y se leerán en voz alta y se intercambiará con la Oferta correspondiente que esté siendo sustituida; la Oferta sustituida no se abrirá y se devolverá al oferente remitente. No se permitirá ninguna sustitución a menos que la comunicación de sustitución correspondiente contenga una autorización válida para solicitar la sustitución y sea leída en voz alta en el acto de apertura de las Ofertas. </w:t>
            </w:r>
          </w:p>
          <w:p w14:paraId="6CA4777E" w14:textId="77777777" w:rsidR="00E23051" w:rsidRPr="00F11F4F" w:rsidRDefault="00E23051" w:rsidP="0071608E">
            <w:pPr>
              <w:pStyle w:val="Header2-SubClauses"/>
              <w:numPr>
                <w:ilvl w:val="7"/>
                <w:numId w:val="7"/>
              </w:numPr>
              <w:spacing w:before="120" w:after="120"/>
              <w:ind w:left="248" w:hanging="358"/>
              <w:rPr>
                <w:rFonts w:ascii="Arial" w:hAnsi="Arial" w:cs="Arial"/>
                <w:sz w:val="22"/>
                <w:szCs w:val="22"/>
                <w:lang w:val="es-ES"/>
              </w:rPr>
            </w:pPr>
            <w:r w:rsidRPr="00F11F4F">
              <w:rPr>
                <w:rFonts w:ascii="Arial" w:hAnsi="Arial" w:cs="Arial"/>
                <w:sz w:val="22"/>
                <w:szCs w:val="22"/>
                <w:lang w:val="es-ES"/>
              </w:rPr>
              <w:t xml:space="preserve">A continuación, se abrirán los sobres marcados como “Modificación” y se leerán en voz alta con la Oferta correspondiente. No se permitirá ninguna modificación a las </w:t>
            </w:r>
            <w:r w:rsidRPr="00F11F4F">
              <w:rPr>
                <w:rFonts w:ascii="Arial" w:hAnsi="Arial" w:cs="Arial"/>
                <w:sz w:val="22"/>
                <w:szCs w:val="22"/>
                <w:lang w:val="es-ES"/>
              </w:rPr>
              <w:lastRenderedPageBreak/>
              <w:t xml:space="preserve">Ofertas a menos que la comunicación de modificación correspondiente contenga una autorización válida para solicitar la modificación y sea leída en voz alta en el acto de apertura de las Ofertas. </w:t>
            </w:r>
          </w:p>
          <w:p w14:paraId="7C891FAB" w14:textId="77777777" w:rsidR="00E23051" w:rsidRPr="00F11F4F" w:rsidRDefault="00E23051" w:rsidP="0071608E">
            <w:pPr>
              <w:pStyle w:val="Header2-SubClauses"/>
              <w:numPr>
                <w:ilvl w:val="7"/>
                <w:numId w:val="7"/>
              </w:numPr>
              <w:spacing w:before="120" w:after="120"/>
              <w:ind w:left="248" w:hanging="358"/>
              <w:rPr>
                <w:rFonts w:ascii="Arial" w:hAnsi="Arial" w:cs="Arial"/>
                <w:sz w:val="22"/>
                <w:szCs w:val="22"/>
                <w:lang w:val="es-ES"/>
              </w:rPr>
            </w:pPr>
            <w:r w:rsidRPr="00F11F4F">
              <w:rPr>
                <w:rFonts w:ascii="Arial" w:hAnsi="Arial" w:cs="Arial"/>
                <w:sz w:val="22"/>
                <w:szCs w:val="22"/>
                <w:lang w:val="es-ES"/>
              </w:rPr>
              <w:t xml:space="preserve">Seguidamente, todos los demás sobres se abrirán de uno en uno, leyendo en voz alta: el nombre del oferente y si contiene modificaciones; el Precio total de la Oferta, por lote (contrato), si corresponde y Oferta alternativa; la existencia o inexistencia de una Garantía de Mantenimiento de la Oferta o una Declaración de Mantenimiento de la Oferta, de requerirse, y cualquier otro detalle que el Contratante considere pertinente. </w:t>
            </w:r>
          </w:p>
          <w:p w14:paraId="3390EFEA" w14:textId="77777777" w:rsidR="00E23051" w:rsidRPr="00F11F4F" w:rsidRDefault="00E23051" w:rsidP="00C30267">
            <w:pPr>
              <w:pStyle w:val="i"/>
              <w:spacing w:before="100" w:after="100"/>
              <w:ind w:left="248"/>
              <w:rPr>
                <w:rFonts w:ascii="Arial" w:hAnsi="Arial" w:cs="Arial"/>
                <w:sz w:val="22"/>
                <w:szCs w:val="22"/>
                <w:lang w:val="es-ES"/>
              </w:rPr>
            </w:pPr>
            <w:r w:rsidRPr="00F11F4F">
              <w:rPr>
                <w:rFonts w:ascii="Arial" w:hAnsi="Arial" w:cs="Arial"/>
                <w:sz w:val="22"/>
                <w:szCs w:val="22"/>
                <w:lang w:val="es-ES"/>
              </w:rPr>
              <w:t xml:space="preserve">Si hubiera ofertas electrónicas, estas deberán ser anunciadas y leídas en conformidad con lo anterior.   </w:t>
            </w:r>
          </w:p>
          <w:p w14:paraId="5A50A32C" w14:textId="77777777" w:rsidR="00E23051" w:rsidRPr="00F11F4F" w:rsidRDefault="00E23051" w:rsidP="0071608E">
            <w:pPr>
              <w:pStyle w:val="Header2-SubClauses"/>
              <w:numPr>
                <w:ilvl w:val="7"/>
                <w:numId w:val="7"/>
              </w:numPr>
              <w:spacing w:before="120" w:after="120"/>
              <w:ind w:left="248" w:hanging="358"/>
              <w:rPr>
                <w:rStyle w:val="iChar"/>
                <w:rFonts w:ascii="Arial" w:hAnsi="Arial" w:cs="Arial"/>
                <w:sz w:val="22"/>
                <w:szCs w:val="22"/>
                <w:lang w:val="es-ES"/>
              </w:rPr>
            </w:pPr>
            <w:r w:rsidRPr="00F11F4F">
              <w:rPr>
                <w:rFonts w:ascii="Arial" w:hAnsi="Arial" w:cs="Arial"/>
                <w:sz w:val="22"/>
                <w:szCs w:val="22"/>
                <w:lang w:val="es-ES"/>
              </w:rPr>
              <w:t>Finalmente se procederá a levantar un acta de lo actuado, la que deberá ser suscrita por el o los representantes del Contratante y por los oferentes presentes.</w:t>
            </w:r>
          </w:p>
        </w:tc>
      </w:tr>
      <w:tr w:rsidR="00E23051" w:rsidRPr="00A33F6B" w14:paraId="7CD7AB72" w14:textId="77777777" w:rsidTr="00205125">
        <w:tc>
          <w:tcPr>
            <w:tcW w:w="1980" w:type="dxa"/>
            <w:vMerge/>
          </w:tcPr>
          <w:p w14:paraId="635E902D"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3DCDF0A7" w14:textId="77777777" w:rsidR="00E23051" w:rsidRPr="00F11F4F" w:rsidRDefault="00E23051"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28.2</w:t>
            </w:r>
          </w:p>
        </w:tc>
        <w:tc>
          <w:tcPr>
            <w:tcW w:w="6660" w:type="dxa"/>
            <w:tcBorders>
              <w:left w:val="nil"/>
            </w:tcBorders>
          </w:tcPr>
          <w:p w14:paraId="20961C7F" w14:textId="77777777" w:rsidR="00E23051" w:rsidRPr="00F11F4F" w:rsidRDefault="00E23051" w:rsidP="009835D1">
            <w:pPr>
              <w:pStyle w:val="Header2-SubClauses"/>
              <w:ind w:left="-110"/>
              <w:rPr>
                <w:rFonts w:ascii="Arial" w:hAnsi="Arial" w:cs="Arial"/>
                <w:sz w:val="22"/>
                <w:szCs w:val="22"/>
                <w:lang w:val="es-ES"/>
              </w:rPr>
            </w:pPr>
            <w:r w:rsidRPr="00F11F4F">
              <w:rPr>
                <w:rFonts w:ascii="Arial" w:hAnsi="Arial" w:cs="Arial"/>
                <w:sz w:val="22"/>
                <w:szCs w:val="22"/>
                <w:lang w:val="es-ES"/>
              </w:rPr>
              <w:t xml:space="preserve">Solamente las Ofertas y las Ofertas alternativas que se abran y sean leídos en voz alta se seguirán teniendo en cuenta para la evaluación. </w:t>
            </w:r>
          </w:p>
          <w:p w14:paraId="39D00835" w14:textId="77777777" w:rsidR="00E23051" w:rsidRPr="00F11F4F" w:rsidRDefault="00E23051" w:rsidP="009835D1">
            <w:pPr>
              <w:pStyle w:val="Header2-SubClauses"/>
              <w:ind w:left="-110"/>
              <w:rPr>
                <w:rFonts w:ascii="Arial" w:hAnsi="Arial" w:cs="Arial"/>
                <w:sz w:val="22"/>
                <w:szCs w:val="22"/>
                <w:lang w:val="es-ES"/>
              </w:rPr>
            </w:pPr>
            <w:r w:rsidRPr="00F11F4F">
              <w:rPr>
                <w:rFonts w:ascii="Arial" w:hAnsi="Arial" w:cs="Arial"/>
                <w:sz w:val="22"/>
                <w:szCs w:val="22"/>
                <w:lang w:val="es-ES"/>
              </w:rPr>
              <w:t xml:space="preserve">Los representantes del Contratante que asistan a la apertura de las Ofertas deberán consignar sus iniciales en la Carta de la Oferta y la Lista de Cantidades de la manera especificada </w:t>
            </w:r>
            <w:r w:rsidRPr="00F11F4F">
              <w:rPr>
                <w:rFonts w:ascii="Arial" w:hAnsi="Arial" w:cs="Arial"/>
                <w:b/>
                <w:bCs/>
                <w:sz w:val="22"/>
                <w:szCs w:val="22"/>
                <w:lang w:val="es-ES"/>
              </w:rPr>
              <w:t>en los DDL.</w:t>
            </w:r>
            <w:r w:rsidRPr="00F11F4F">
              <w:rPr>
                <w:rFonts w:ascii="Arial" w:hAnsi="Arial" w:cs="Arial"/>
                <w:sz w:val="22"/>
                <w:szCs w:val="22"/>
                <w:lang w:val="es-ES"/>
              </w:rPr>
              <w:t xml:space="preserve"> </w:t>
            </w:r>
          </w:p>
        </w:tc>
      </w:tr>
      <w:tr w:rsidR="00E23051" w:rsidRPr="00A33F6B" w14:paraId="60693D86" w14:textId="77777777" w:rsidTr="00205125">
        <w:tc>
          <w:tcPr>
            <w:tcW w:w="1980" w:type="dxa"/>
            <w:vMerge/>
          </w:tcPr>
          <w:p w14:paraId="78D93E94"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4142B1DF" w14:textId="77777777" w:rsidR="00E23051" w:rsidRPr="00F11F4F" w:rsidRDefault="00E23051"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28.3</w:t>
            </w:r>
          </w:p>
        </w:tc>
        <w:tc>
          <w:tcPr>
            <w:tcW w:w="6660" w:type="dxa"/>
            <w:tcBorders>
              <w:left w:val="nil"/>
            </w:tcBorders>
          </w:tcPr>
          <w:p w14:paraId="36AE8676" w14:textId="77777777" w:rsidR="00E23051" w:rsidRPr="00F11F4F" w:rsidRDefault="00E23051"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El Contratante no discutirá los méritos de ninguna Oferta ni rechazará ninguna Oferta (excepto las Ofertas tardías, de conformidad con la IAO 25.1).</w:t>
            </w:r>
          </w:p>
        </w:tc>
      </w:tr>
      <w:tr w:rsidR="00E23051" w:rsidRPr="00A33F6B" w14:paraId="6F5193EE" w14:textId="77777777" w:rsidTr="00205125">
        <w:tc>
          <w:tcPr>
            <w:tcW w:w="1980" w:type="dxa"/>
            <w:vMerge/>
          </w:tcPr>
          <w:p w14:paraId="406A23A8"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42E6C60A" w14:textId="77777777" w:rsidR="00E23051" w:rsidRPr="00F11F4F" w:rsidRDefault="00E23051"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28.4</w:t>
            </w:r>
          </w:p>
        </w:tc>
        <w:tc>
          <w:tcPr>
            <w:tcW w:w="6660" w:type="dxa"/>
            <w:tcBorders>
              <w:left w:val="nil"/>
            </w:tcBorders>
          </w:tcPr>
          <w:p w14:paraId="2A483797" w14:textId="77777777" w:rsidR="00E23051" w:rsidRPr="00F11F4F" w:rsidRDefault="00E23051" w:rsidP="009835D1">
            <w:pPr>
              <w:pStyle w:val="Header2-SubClauses"/>
              <w:tabs>
                <w:tab w:val="clear" w:pos="619"/>
                <w:tab w:val="left" w:pos="612"/>
              </w:tabs>
              <w:ind w:left="-110"/>
              <w:rPr>
                <w:rFonts w:ascii="Arial" w:hAnsi="Arial" w:cs="Arial"/>
                <w:sz w:val="22"/>
                <w:szCs w:val="22"/>
                <w:lang w:val="es-ES"/>
              </w:rPr>
            </w:pPr>
            <w:r w:rsidRPr="00F11F4F">
              <w:rPr>
                <w:rFonts w:ascii="Arial" w:hAnsi="Arial" w:cs="Arial"/>
                <w:sz w:val="22"/>
                <w:szCs w:val="22"/>
                <w:lang w:val="es-ES"/>
              </w:rPr>
              <w:t xml:space="preserve">El Contratante preparará un acta de la apertura de las Ofertas que incluirá como mínimo: </w:t>
            </w:r>
          </w:p>
          <w:p w14:paraId="2F895A0C" w14:textId="77777777" w:rsidR="00E23051" w:rsidRPr="00F11F4F" w:rsidRDefault="00E23051" w:rsidP="0071608E">
            <w:pPr>
              <w:pStyle w:val="P3Header1-Clauses"/>
              <w:numPr>
                <w:ilvl w:val="0"/>
                <w:numId w:val="39"/>
              </w:numPr>
              <w:spacing w:after="120"/>
              <w:ind w:left="331" w:hanging="441"/>
              <w:jc w:val="both"/>
              <w:rPr>
                <w:rFonts w:ascii="Arial" w:hAnsi="Arial" w:cs="Arial"/>
                <w:b w:val="0"/>
                <w:sz w:val="22"/>
                <w:szCs w:val="22"/>
                <w:lang w:val="es-ES"/>
              </w:rPr>
            </w:pPr>
            <w:r w:rsidRPr="00F11F4F">
              <w:rPr>
                <w:rFonts w:ascii="Arial" w:hAnsi="Arial" w:cs="Arial"/>
                <w:b w:val="0"/>
                <w:sz w:val="22"/>
                <w:szCs w:val="22"/>
                <w:lang w:val="es-ES"/>
              </w:rPr>
              <w:t xml:space="preserve">El nombre del Oferente y si ha existido un retiro, sustitución o modificación; </w:t>
            </w:r>
          </w:p>
          <w:p w14:paraId="43504F0F" w14:textId="77777777" w:rsidR="00E23051" w:rsidRPr="00F11F4F" w:rsidRDefault="00E23051" w:rsidP="0071608E">
            <w:pPr>
              <w:pStyle w:val="P3Header1-Clauses"/>
              <w:numPr>
                <w:ilvl w:val="0"/>
                <w:numId w:val="39"/>
              </w:numPr>
              <w:spacing w:after="120"/>
              <w:ind w:left="331" w:hanging="441"/>
              <w:jc w:val="both"/>
              <w:rPr>
                <w:rFonts w:ascii="Arial" w:hAnsi="Arial" w:cs="Arial"/>
                <w:b w:val="0"/>
                <w:sz w:val="22"/>
                <w:szCs w:val="22"/>
                <w:lang w:val="es-ES"/>
              </w:rPr>
            </w:pPr>
            <w:r w:rsidRPr="00F11F4F">
              <w:rPr>
                <w:rFonts w:ascii="Arial" w:hAnsi="Arial" w:cs="Arial"/>
                <w:b w:val="0"/>
                <w:sz w:val="22"/>
                <w:szCs w:val="22"/>
                <w:lang w:val="es-ES"/>
              </w:rPr>
              <w:t xml:space="preserve">El precio de la Oferta, por lote (contrato) si corresponde; </w:t>
            </w:r>
          </w:p>
          <w:p w14:paraId="7AF5BDF9" w14:textId="77777777" w:rsidR="00E23051" w:rsidRPr="00F11F4F" w:rsidRDefault="00E23051" w:rsidP="0071608E">
            <w:pPr>
              <w:pStyle w:val="P3Header1-Clauses"/>
              <w:numPr>
                <w:ilvl w:val="0"/>
                <w:numId w:val="39"/>
              </w:numPr>
              <w:spacing w:after="120"/>
              <w:ind w:left="331" w:hanging="441"/>
              <w:jc w:val="both"/>
              <w:rPr>
                <w:rFonts w:ascii="Arial" w:hAnsi="Arial" w:cs="Arial"/>
                <w:b w:val="0"/>
                <w:sz w:val="22"/>
                <w:szCs w:val="22"/>
                <w:lang w:val="es-ES"/>
              </w:rPr>
            </w:pPr>
            <w:r w:rsidRPr="00F11F4F">
              <w:rPr>
                <w:rFonts w:ascii="Arial" w:hAnsi="Arial" w:cs="Arial"/>
                <w:b w:val="0"/>
                <w:sz w:val="22"/>
                <w:szCs w:val="22"/>
                <w:lang w:val="es-ES"/>
              </w:rPr>
              <w:t xml:space="preserve">Cualquier Oferta alternativa; </w:t>
            </w:r>
          </w:p>
          <w:p w14:paraId="4085FD42" w14:textId="77777777" w:rsidR="00E23051" w:rsidRPr="00F11F4F" w:rsidRDefault="00E23051" w:rsidP="0071608E">
            <w:pPr>
              <w:pStyle w:val="P3Header1-Clauses"/>
              <w:numPr>
                <w:ilvl w:val="0"/>
                <w:numId w:val="39"/>
              </w:numPr>
              <w:spacing w:after="120"/>
              <w:ind w:left="331" w:hanging="441"/>
              <w:jc w:val="both"/>
              <w:rPr>
                <w:rFonts w:ascii="Arial" w:hAnsi="Arial" w:cs="Arial"/>
                <w:b w:val="0"/>
                <w:sz w:val="22"/>
                <w:szCs w:val="22"/>
                <w:lang w:val="es-ES"/>
              </w:rPr>
            </w:pPr>
            <w:r w:rsidRPr="00F11F4F">
              <w:rPr>
                <w:rFonts w:ascii="Arial" w:hAnsi="Arial" w:cs="Arial"/>
                <w:b w:val="0"/>
                <w:sz w:val="22"/>
                <w:szCs w:val="22"/>
                <w:lang w:val="es-ES"/>
              </w:rPr>
              <w:t xml:space="preserve">La existencia o inexistencia de una Garantía de Mantenimiento de la Oferta, </w:t>
            </w:r>
            <w:r w:rsidR="001F1C57" w:rsidRPr="00F11F4F">
              <w:rPr>
                <w:rFonts w:ascii="Arial" w:hAnsi="Arial" w:cs="Arial"/>
                <w:b w:val="0"/>
                <w:sz w:val="22"/>
                <w:szCs w:val="22"/>
                <w:lang w:val="es-ES"/>
              </w:rPr>
              <w:t xml:space="preserve">o la Declaración de Mantenimiento de Oferta, </w:t>
            </w:r>
            <w:r w:rsidRPr="00F11F4F">
              <w:rPr>
                <w:rFonts w:ascii="Arial" w:hAnsi="Arial" w:cs="Arial"/>
                <w:b w:val="0"/>
                <w:sz w:val="22"/>
                <w:szCs w:val="22"/>
                <w:lang w:val="es-ES"/>
              </w:rPr>
              <w:t>si esta se requería.</w:t>
            </w:r>
          </w:p>
        </w:tc>
      </w:tr>
      <w:tr w:rsidR="00E23051" w:rsidRPr="00A33F6B" w14:paraId="0CF46920" w14:textId="77777777" w:rsidTr="00205125">
        <w:tc>
          <w:tcPr>
            <w:tcW w:w="1980" w:type="dxa"/>
            <w:vMerge/>
          </w:tcPr>
          <w:p w14:paraId="27A51231"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02B797AE" w14:textId="77777777" w:rsidR="00E23051" w:rsidRPr="00F11F4F" w:rsidRDefault="00E23051"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28.5</w:t>
            </w:r>
          </w:p>
        </w:tc>
        <w:tc>
          <w:tcPr>
            <w:tcW w:w="6660" w:type="dxa"/>
            <w:tcBorders>
              <w:left w:val="nil"/>
            </w:tcBorders>
          </w:tcPr>
          <w:p w14:paraId="58429253" w14:textId="77777777" w:rsidR="00E23051" w:rsidRPr="00F11F4F" w:rsidRDefault="00E23051"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Se solicitará a los representantes de los oferentes presentes que firmen el acta. La omisión de la firma de un oferente no invalidará el contenido y efecto del acta. Se distribuirá una copia del acta a todos los oferentes.</w:t>
            </w:r>
          </w:p>
        </w:tc>
      </w:tr>
      <w:tr w:rsidR="00ED47AF" w:rsidRPr="00A33F6B" w14:paraId="013222C6" w14:textId="77777777" w:rsidTr="001E6DCE">
        <w:trPr>
          <w:trHeight w:val="422"/>
        </w:trPr>
        <w:tc>
          <w:tcPr>
            <w:tcW w:w="9360" w:type="dxa"/>
            <w:gridSpan w:val="3"/>
            <w:shd w:val="clear" w:color="auto" w:fill="00B050"/>
          </w:tcPr>
          <w:p w14:paraId="1771BB7B" w14:textId="77777777" w:rsidR="00ED47AF" w:rsidRPr="001E6DCE" w:rsidRDefault="00ED47AF" w:rsidP="00701A2C">
            <w:pPr>
              <w:pStyle w:val="IAO1"/>
              <w:rPr>
                <w:rStyle w:val="iChar"/>
                <w:rFonts w:ascii="Arial" w:hAnsi="Arial" w:cs="Arial"/>
                <w:szCs w:val="22"/>
              </w:rPr>
            </w:pPr>
            <w:bookmarkStart w:id="233" w:name="_Toc365893471"/>
            <w:bookmarkStart w:id="234" w:name="_Toc364779455"/>
            <w:r w:rsidRPr="001E6DCE">
              <w:t xml:space="preserve"> </w:t>
            </w:r>
            <w:bookmarkStart w:id="235" w:name="_Toc54366870"/>
            <w:bookmarkStart w:id="236" w:name="_Toc74048204"/>
            <w:bookmarkStart w:id="237" w:name="_Toc74518448"/>
            <w:bookmarkStart w:id="238" w:name="_Toc74519172"/>
            <w:bookmarkStart w:id="239" w:name="_Toc74519988"/>
            <w:bookmarkStart w:id="240" w:name="_Toc74781362"/>
            <w:bookmarkStart w:id="241" w:name="_Toc74894112"/>
            <w:r w:rsidRPr="001E6DCE">
              <w:t>Evaluación y comparación de las Ofertas</w:t>
            </w:r>
            <w:bookmarkEnd w:id="233"/>
            <w:bookmarkEnd w:id="234"/>
            <w:bookmarkEnd w:id="235"/>
            <w:bookmarkEnd w:id="236"/>
            <w:bookmarkEnd w:id="237"/>
            <w:bookmarkEnd w:id="238"/>
            <w:bookmarkEnd w:id="239"/>
            <w:bookmarkEnd w:id="240"/>
            <w:bookmarkEnd w:id="241"/>
          </w:p>
        </w:tc>
      </w:tr>
      <w:tr w:rsidR="002759D7" w:rsidRPr="00A33F6B" w14:paraId="681C2FF7" w14:textId="77777777" w:rsidTr="00205125">
        <w:trPr>
          <w:trHeight w:val="699"/>
        </w:trPr>
        <w:tc>
          <w:tcPr>
            <w:tcW w:w="1980" w:type="dxa"/>
            <w:vMerge w:val="restart"/>
          </w:tcPr>
          <w:p w14:paraId="7B6CA52C" w14:textId="77777777" w:rsidR="002759D7" w:rsidRPr="00F11F4F" w:rsidRDefault="002759D7" w:rsidP="007F1D84">
            <w:pPr>
              <w:pStyle w:val="IAO2"/>
              <w:ind w:right="-15"/>
            </w:pPr>
            <w:bookmarkStart w:id="242" w:name="_Toc74048205"/>
            <w:bookmarkStart w:id="243" w:name="_Toc74518449"/>
            <w:bookmarkStart w:id="244" w:name="_Toc74519173"/>
            <w:bookmarkStart w:id="245" w:name="_Toc74519989"/>
            <w:bookmarkStart w:id="246" w:name="_Toc74781363"/>
            <w:bookmarkStart w:id="247" w:name="_Toc74894113"/>
            <w:r w:rsidRPr="00F11F4F">
              <w:lastRenderedPageBreak/>
              <w:t>29. Confidencialidad</w:t>
            </w:r>
            <w:bookmarkEnd w:id="242"/>
            <w:bookmarkEnd w:id="243"/>
            <w:bookmarkEnd w:id="244"/>
            <w:bookmarkEnd w:id="245"/>
            <w:bookmarkEnd w:id="246"/>
            <w:bookmarkEnd w:id="247"/>
          </w:p>
        </w:tc>
        <w:tc>
          <w:tcPr>
            <w:tcW w:w="720" w:type="dxa"/>
            <w:tcBorders>
              <w:right w:val="nil"/>
            </w:tcBorders>
          </w:tcPr>
          <w:p w14:paraId="12097F60" w14:textId="77777777" w:rsidR="002759D7" w:rsidRPr="00F11F4F" w:rsidRDefault="002759D7"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29.1</w:t>
            </w:r>
          </w:p>
        </w:tc>
        <w:tc>
          <w:tcPr>
            <w:tcW w:w="6660" w:type="dxa"/>
            <w:tcBorders>
              <w:left w:val="nil"/>
            </w:tcBorders>
          </w:tcPr>
          <w:p w14:paraId="11684498" w14:textId="77777777" w:rsidR="002759D7" w:rsidRPr="00F11F4F" w:rsidRDefault="002759D7"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No se divulgará a los oferentes ni a ninguna persona que no participe oficialmente en el proceso de licitación, información relacionada con la evaluación de las ofertas, ni sobre la recomendación de adjudicación del contrato, </w:t>
            </w:r>
            <w:r w:rsidRPr="00F11F4F">
              <w:rPr>
                <w:rFonts w:ascii="Arial" w:hAnsi="Arial" w:cs="Arial"/>
                <w:sz w:val="22"/>
                <w:szCs w:val="22"/>
                <w:lang w:val="es-US"/>
              </w:rPr>
              <w:t xml:space="preserve">hasta que la información sobre la intención de adjudicar el Contrato se haya comunicado a todos los oferentes, de conformidad con la IAO 40 </w:t>
            </w:r>
            <w:r w:rsidRPr="00F11F4F">
              <w:rPr>
                <w:rFonts w:ascii="Arial" w:hAnsi="Arial" w:cs="Arial"/>
                <w:sz w:val="22"/>
                <w:szCs w:val="22"/>
                <w:lang w:val="es-ES"/>
              </w:rPr>
              <w:t xml:space="preserve">Las comunicaciones del proceso se deberán llevar a cabo únicamente por medio de los canales establecidos en el numeral 8.6 de los </w:t>
            </w:r>
            <w:r w:rsidRPr="00F11F4F">
              <w:rPr>
                <w:rFonts w:ascii="Arial" w:hAnsi="Arial" w:cs="Arial"/>
                <w:b/>
                <w:bCs/>
                <w:sz w:val="22"/>
                <w:szCs w:val="22"/>
                <w:lang w:val="es-ES"/>
              </w:rPr>
              <w:t>DDL</w:t>
            </w:r>
            <w:r w:rsidRPr="00F11F4F">
              <w:rPr>
                <w:rFonts w:ascii="Arial" w:hAnsi="Arial" w:cs="Arial"/>
                <w:sz w:val="22"/>
                <w:szCs w:val="22"/>
                <w:lang w:val="es-ES"/>
              </w:rPr>
              <w:t>. Después de la apertura de ofertas, ninguna información referente a su revisión, examen, explicación y evaluación, así como las recomendaciones concernientes a la adjudicación, podrá ser revelada a personas no oficialmente involucradas en los procedimientos, hasta que se anuncie la adjudicación del contrato.</w:t>
            </w:r>
            <w:r w:rsidRPr="00F11F4F">
              <w:rPr>
                <w:rFonts w:ascii="Arial" w:hAnsi="Arial" w:cs="Arial"/>
                <w:sz w:val="22"/>
                <w:szCs w:val="22"/>
                <w:lang w:val="es-HN"/>
              </w:rPr>
              <w:t xml:space="preserve"> </w:t>
            </w:r>
          </w:p>
        </w:tc>
      </w:tr>
      <w:tr w:rsidR="002759D7" w:rsidRPr="00A33F6B" w14:paraId="460E594A" w14:textId="77777777" w:rsidTr="00205125">
        <w:tc>
          <w:tcPr>
            <w:tcW w:w="1980" w:type="dxa"/>
            <w:vMerge/>
          </w:tcPr>
          <w:p w14:paraId="1C691224" w14:textId="77777777" w:rsidR="002759D7" w:rsidRPr="00F11F4F" w:rsidRDefault="002759D7" w:rsidP="00ED47AF">
            <w:pPr>
              <w:spacing w:before="100" w:after="100"/>
              <w:rPr>
                <w:rFonts w:ascii="Arial" w:hAnsi="Arial" w:cs="Arial"/>
                <w:sz w:val="22"/>
                <w:szCs w:val="22"/>
                <w:lang w:val="es-ES"/>
              </w:rPr>
            </w:pPr>
          </w:p>
        </w:tc>
        <w:tc>
          <w:tcPr>
            <w:tcW w:w="720" w:type="dxa"/>
            <w:tcBorders>
              <w:right w:val="nil"/>
            </w:tcBorders>
          </w:tcPr>
          <w:p w14:paraId="05E9A8C7" w14:textId="77777777" w:rsidR="002759D7" w:rsidRPr="00F11F4F" w:rsidRDefault="002759D7"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29.2</w:t>
            </w:r>
          </w:p>
        </w:tc>
        <w:tc>
          <w:tcPr>
            <w:tcW w:w="6660" w:type="dxa"/>
            <w:tcBorders>
              <w:left w:val="nil"/>
            </w:tcBorders>
          </w:tcPr>
          <w:p w14:paraId="6FFC8885" w14:textId="77777777" w:rsidR="002759D7" w:rsidRPr="00F11F4F" w:rsidRDefault="002759D7" w:rsidP="00ED47AF">
            <w:pPr>
              <w:pStyle w:val="Header2-SubClauses"/>
              <w:tabs>
                <w:tab w:val="clear" w:pos="619"/>
              </w:tabs>
              <w:spacing w:before="100" w:after="100"/>
              <w:ind w:left="-108"/>
              <w:rPr>
                <w:rStyle w:val="iChar"/>
                <w:rFonts w:ascii="Arial" w:hAnsi="Arial" w:cs="Arial"/>
                <w:sz w:val="22"/>
                <w:szCs w:val="22"/>
              </w:rPr>
            </w:pPr>
            <w:r w:rsidRPr="00F11F4F">
              <w:rPr>
                <w:rFonts w:ascii="Arial" w:hAnsi="Arial" w:cs="Arial"/>
                <w:sz w:val="22"/>
                <w:szCs w:val="22"/>
                <w:lang w:val="es-ES"/>
              </w:rPr>
              <w:t>Cualquier intento por parte de un oferente para influenciar al Contratante</w:t>
            </w:r>
            <w:r w:rsidRPr="00F11F4F">
              <w:rPr>
                <w:rStyle w:val="iChar"/>
                <w:rFonts w:ascii="Arial" w:hAnsi="Arial" w:cs="Arial"/>
                <w:sz w:val="22"/>
                <w:szCs w:val="22"/>
              </w:rPr>
              <w:t>, en cuanto a la evaluación, comparación de las ofertas o la adjudicación del contrato podrá resultar en el rechazo de su oferta.</w:t>
            </w:r>
          </w:p>
        </w:tc>
      </w:tr>
      <w:tr w:rsidR="002759D7" w:rsidRPr="00A33F6B" w14:paraId="173794EF" w14:textId="77777777" w:rsidTr="00205125">
        <w:tc>
          <w:tcPr>
            <w:tcW w:w="1980" w:type="dxa"/>
            <w:vMerge/>
          </w:tcPr>
          <w:p w14:paraId="2F845934" w14:textId="77777777" w:rsidR="002759D7" w:rsidRPr="00F11F4F" w:rsidRDefault="002759D7" w:rsidP="00ED47AF">
            <w:pPr>
              <w:spacing w:before="100" w:after="100"/>
              <w:rPr>
                <w:rFonts w:ascii="Arial" w:hAnsi="Arial" w:cs="Arial"/>
                <w:sz w:val="22"/>
                <w:szCs w:val="22"/>
                <w:lang w:val="es-ES"/>
              </w:rPr>
            </w:pPr>
          </w:p>
        </w:tc>
        <w:tc>
          <w:tcPr>
            <w:tcW w:w="720" w:type="dxa"/>
            <w:tcBorders>
              <w:right w:val="nil"/>
            </w:tcBorders>
          </w:tcPr>
          <w:p w14:paraId="035EFA42" w14:textId="77777777" w:rsidR="002759D7" w:rsidRPr="00F11F4F" w:rsidRDefault="002759D7"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 xml:space="preserve">29.3 </w:t>
            </w:r>
          </w:p>
        </w:tc>
        <w:tc>
          <w:tcPr>
            <w:tcW w:w="6660" w:type="dxa"/>
            <w:tcBorders>
              <w:left w:val="nil"/>
            </w:tcBorders>
          </w:tcPr>
          <w:p w14:paraId="6DB36BB3" w14:textId="77777777" w:rsidR="002759D7" w:rsidRPr="00F11F4F" w:rsidRDefault="002759D7" w:rsidP="00ED47AF">
            <w:pPr>
              <w:pStyle w:val="Header2-SubClauses"/>
              <w:tabs>
                <w:tab w:val="clear" w:pos="619"/>
              </w:tabs>
              <w:spacing w:before="100" w:after="100"/>
              <w:ind w:left="-108"/>
              <w:rPr>
                <w:rFonts w:ascii="Arial" w:hAnsi="Arial" w:cs="Arial"/>
                <w:sz w:val="22"/>
                <w:szCs w:val="22"/>
                <w:lang w:val="es-ES"/>
              </w:rPr>
            </w:pPr>
            <w:r w:rsidRPr="00F11F4F">
              <w:rPr>
                <w:rFonts w:ascii="Arial" w:hAnsi="Arial" w:cs="Arial"/>
                <w:sz w:val="22"/>
                <w:szCs w:val="22"/>
                <w:lang w:val="es-ES"/>
              </w:rPr>
              <w:t xml:space="preserve">No </w:t>
            </w:r>
            <w:r w:rsidR="00551039" w:rsidRPr="00F11F4F">
              <w:rPr>
                <w:rFonts w:ascii="Arial" w:hAnsi="Arial" w:cs="Arial"/>
                <w:sz w:val="22"/>
                <w:szCs w:val="22"/>
                <w:lang w:val="es-ES"/>
              </w:rPr>
              <w:t>obstante,</w:t>
            </w:r>
            <w:r w:rsidRPr="00F11F4F">
              <w:rPr>
                <w:rFonts w:ascii="Arial" w:hAnsi="Arial" w:cs="Arial"/>
                <w:sz w:val="22"/>
                <w:szCs w:val="22"/>
                <w:lang w:val="es-ES"/>
              </w:rPr>
              <w:t xml:space="preserve"> lo dispuesto en la IAO 29.2, si, durante el plazo transcurrido entre el acto de apertura de las Ofertas y la fecha de adjudicación del Contrato, un Oferente desea comunicarse con el Contratante sobre cualquier asunto relacionado con el proceso de Licitación deberá hacerlo por escrito. </w:t>
            </w:r>
          </w:p>
        </w:tc>
      </w:tr>
      <w:tr w:rsidR="00ED47AF" w:rsidRPr="00A33F6B" w14:paraId="4DB91935" w14:textId="77777777" w:rsidTr="00205125">
        <w:tc>
          <w:tcPr>
            <w:tcW w:w="1980" w:type="dxa"/>
            <w:vMerge w:val="restart"/>
          </w:tcPr>
          <w:p w14:paraId="4A5965AC" w14:textId="77777777" w:rsidR="00ED47AF" w:rsidRPr="0049753E" w:rsidRDefault="00ED47AF" w:rsidP="0049753E">
            <w:pPr>
              <w:pStyle w:val="IAO2"/>
            </w:pPr>
            <w:bookmarkStart w:id="248" w:name="_Toc74048206"/>
            <w:bookmarkStart w:id="249" w:name="_Toc74518450"/>
            <w:bookmarkStart w:id="250" w:name="_Toc74519174"/>
            <w:bookmarkStart w:id="251" w:name="_Toc74519990"/>
            <w:bookmarkStart w:id="252" w:name="_Toc74781364"/>
            <w:bookmarkStart w:id="253" w:name="_Toc74894114"/>
            <w:r w:rsidRPr="0049753E">
              <w:t xml:space="preserve">30. </w:t>
            </w:r>
            <w:r w:rsidRPr="0049753E">
              <w:rPr>
                <w:rStyle w:val="IAO2Char"/>
                <w:b/>
              </w:rPr>
              <w:t>Aclaración de las Ofertas</w:t>
            </w:r>
            <w:bookmarkEnd w:id="248"/>
            <w:bookmarkEnd w:id="249"/>
            <w:bookmarkEnd w:id="250"/>
            <w:bookmarkEnd w:id="251"/>
            <w:bookmarkEnd w:id="252"/>
            <w:bookmarkEnd w:id="253"/>
          </w:p>
        </w:tc>
        <w:tc>
          <w:tcPr>
            <w:tcW w:w="720" w:type="dxa"/>
            <w:tcBorders>
              <w:right w:val="nil"/>
            </w:tcBorders>
          </w:tcPr>
          <w:p w14:paraId="629E50F2" w14:textId="77777777" w:rsidR="00ED47AF" w:rsidRPr="00F11F4F" w:rsidRDefault="00ED47AF" w:rsidP="00ED47AF">
            <w:pPr>
              <w:pStyle w:val="i"/>
              <w:spacing w:before="100" w:after="100"/>
              <w:ind w:left="-108" w:right="-108"/>
              <w:jc w:val="center"/>
              <w:rPr>
                <w:rFonts w:ascii="Arial" w:hAnsi="Arial" w:cs="Arial"/>
                <w:sz w:val="22"/>
                <w:szCs w:val="22"/>
                <w:lang w:val="es-HN"/>
              </w:rPr>
            </w:pPr>
            <w:r w:rsidRPr="00F11F4F">
              <w:rPr>
                <w:rFonts w:ascii="Arial" w:hAnsi="Arial" w:cs="Arial"/>
                <w:sz w:val="22"/>
                <w:szCs w:val="22"/>
                <w:lang w:val="es-HN"/>
              </w:rPr>
              <w:t>30.1</w:t>
            </w:r>
          </w:p>
        </w:tc>
        <w:tc>
          <w:tcPr>
            <w:tcW w:w="6660" w:type="dxa"/>
            <w:tcBorders>
              <w:left w:val="nil"/>
            </w:tcBorders>
          </w:tcPr>
          <w:p w14:paraId="6E944F78" w14:textId="77777777" w:rsidR="00ED47AF" w:rsidRPr="00F11F4F" w:rsidRDefault="00ED47AF" w:rsidP="00ED47AF">
            <w:pPr>
              <w:pStyle w:val="Header2-SubClauses"/>
              <w:tabs>
                <w:tab w:val="clear" w:pos="619"/>
              </w:tabs>
              <w:spacing w:before="100" w:after="100"/>
              <w:ind w:left="-107"/>
              <w:rPr>
                <w:rStyle w:val="iChar"/>
                <w:rFonts w:ascii="Arial" w:hAnsi="Arial" w:cs="Arial"/>
                <w:sz w:val="22"/>
                <w:szCs w:val="22"/>
              </w:rPr>
            </w:pPr>
            <w:r w:rsidRPr="00F11F4F">
              <w:rPr>
                <w:rStyle w:val="iChar"/>
                <w:rFonts w:ascii="Arial" w:hAnsi="Arial" w:cs="Arial"/>
                <w:sz w:val="22"/>
                <w:szCs w:val="22"/>
              </w:rPr>
              <w:t xml:space="preserve">Con el fin de facilitar la evaluación y la comparación de las ofertas hasta la calificación de los oferentes, el Contratante, podrá, a su discreción, solicitar a cualquier oferente aclaraciones a su oferta. No se considerarán aclaraciones a una oferta presentada por un oferente cuando dichas aclaraciones no sean respuesta a una solicitud del Contratante. La solicitud de aclaración, y la respuesta, deberán ser por escrito. No se solicitará, ofrecerá o permitirá cambios en los precios ni en la esencia de la oferta económica, excepto para confirmar correcciones de errores aritméticos descubiertos por el Contratante, en la evaluación de conformidad con la IAO 34. </w:t>
            </w:r>
          </w:p>
          <w:p w14:paraId="4AB99C97" w14:textId="77777777" w:rsidR="00ED47AF" w:rsidRPr="00F11F4F" w:rsidRDefault="00ED47AF" w:rsidP="00ED47AF">
            <w:pPr>
              <w:pStyle w:val="i"/>
              <w:spacing w:before="100" w:after="100"/>
              <w:ind w:left="-107"/>
              <w:rPr>
                <w:rFonts w:ascii="Arial" w:hAnsi="Arial" w:cs="Arial"/>
                <w:sz w:val="22"/>
                <w:szCs w:val="22"/>
                <w:lang w:val="es-ES"/>
              </w:rPr>
            </w:pPr>
            <w:r w:rsidRPr="00F11F4F">
              <w:rPr>
                <w:rStyle w:val="iChar"/>
                <w:rFonts w:ascii="Arial" w:hAnsi="Arial" w:cs="Arial"/>
                <w:sz w:val="22"/>
                <w:szCs w:val="22"/>
              </w:rPr>
              <w:t>Si un oferente no ha entregado las aclaraciones a su oferta antes de la fecha y hora fijadas en la solicitud de aclaración del Contratante, se evaluará dicha oferta con la información disponible y podrá ser rechazada.</w:t>
            </w:r>
          </w:p>
        </w:tc>
      </w:tr>
      <w:tr w:rsidR="00ED47AF" w:rsidRPr="00A33F6B" w14:paraId="49371599" w14:textId="77777777" w:rsidTr="00205125">
        <w:trPr>
          <w:trHeight w:val="703"/>
        </w:trPr>
        <w:tc>
          <w:tcPr>
            <w:tcW w:w="1980" w:type="dxa"/>
            <w:vMerge/>
          </w:tcPr>
          <w:p w14:paraId="5108E39D" w14:textId="77777777" w:rsidR="00ED47AF" w:rsidRPr="00F11F4F" w:rsidRDefault="00ED47AF" w:rsidP="00ED47AF">
            <w:pPr>
              <w:pStyle w:val="Header1-Clauses"/>
              <w:spacing w:before="100" w:after="100"/>
              <w:rPr>
                <w:rFonts w:ascii="Arial" w:hAnsi="Arial" w:cs="Arial"/>
                <w:sz w:val="22"/>
                <w:szCs w:val="22"/>
                <w:lang w:val="es-ES"/>
              </w:rPr>
            </w:pPr>
          </w:p>
        </w:tc>
        <w:tc>
          <w:tcPr>
            <w:tcW w:w="720" w:type="dxa"/>
            <w:tcBorders>
              <w:bottom w:val="single" w:sz="4" w:space="0" w:color="auto"/>
              <w:right w:val="nil"/>
            </w:tcBorders>
          </w:tcPr>
          <w:p w14:paraId="5D10E450" w14:textId="77777777" w:rsidR="00ED47AF" w:rsidRPr="00F11F4F" w:rsidRDefault="00ED47AF" w:rsidP="00ED47AF">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30.2</w:t>
            </w:r>
          </w:p>
        </w:tc>
        <w:tc>
          <w:tcPr>
            <w:tcW w:w="6660" w:type="dxa"/>
            <w:tcBorders>
              <w:left w:val="nil"/>
              <w:bottom w:val="single" w:sz="4" w:space="0" w:color="auto"/>
            </w:tcBorders>
          </w:tcPr>
          <w:p w14:paraId="6C13A894" w14:textId="77777777" w:rsidR="00ED47AF" w:rsidRPr="00F11F4F" w:rsidRDefault="00ED47AF" w:rsidP="00ED47AF">
            <w:pPr>
              <w:pStyle w:val="i"/>
              <w:spacing w:before="100" w:after="100"/>
              <w:ind w:left="-110"/>
              <w:rPr>
                <w:rStyle w:val="iChar"/>
                <w:rFonts w:ascii="Arial" w:hAnsi="Arial" w:cs="Arial"/>
                <w:sz w:val="22"/>
                <w:szCs w:val="22"/>
              </w:rPr>
            </w:pPr>
            <w:r w:rsidRPr="00F11F4F">
              <w:rPr>
                <w:rStyle w:val="iChar"/>
                <w:rFonts w:ascii="Arial" w:hAnsi="Arial" w:cs="Arial"/>
                <w:sz w:val="22"/>
                <w:szCs w:val="22"/>
              </w:rPr>
              <w:t xml:space="preserve">El plazo para la presentación de información adicional o aclaraciones al Contratante será establecido en los </w:t>
            </w:r>
            <w:r w:rsidRPr="00F11F4F">
              <w:rPr>
                <w:rStyle w:val="iChar"/>
                <w:rFonts w:ascii="Arial" w:hAnsi="Arial" w:cs="Arial"/>
                <w:b/>
                <w:sz w:val="22"/>
                <w:szCs w:val="22"/>
              </w:rPr>
              <w:t>DDL</w:t>
            </w:r>
            <w:r w:rsidRPr="00F11F4F">
              <w:rPr>
                <w:rStyle w:val="iChar"/>
                <w:rFonts w:ascii="Arial" w:hAnsi="Arial" w:cs="Arial"/>
                <w:sz w:val="22"/>
                <w:szCs w:val="22"/>
              </w:rPr>
              <w:t>.</w:t>
            </w:r>
          </w:p>
        </w:tc>
      </w:tr>
      <w:tr w:rsidR="00ED47AF" w:rsidRPr="000951BC" w14:paraId="528CD722" w14:textId="77777777" w:rsidTr="00205125">
        <w:trPr>
          <w:trHeight w:val="20"/>
        </w:trPr>
        <w:tc>
          <w:tcPr>
            <w:tcW w:w="1980" w:type="dxa"/>
          </w:tcPr>
          <w:p w14:paraId="614474B5" w14:textId="77777777" w:rsidR="00ED47AF" w:rsidRPr="0049753E" w:rsidRDefault="00ED47AF" w:rsidP="0049753E">
            <w:pPr>
              <w:pStyle w:val="IAO2"/>
            </w:pPr>
            <w:bookmarkStart w:id="254" w:name="_Toc74048207"/>
            <w:bookmarkStart w:id="255" w:name="_Toc74518451"/>
            <w:bookmarkStart w:id="256" w:name="_Toc74519175"/>
            <w:bookmarkStart w:id="257" w:name="_Toc74519991"/>
            <w:bookmarkStart w:id="258" w:name="_Toc74781365"/>
            <w:bookmarkStart w:id="259" w:name="_Toc74894115"/>
            <w:r w:rsidRPr="0049753E">
              <w:t>31</w:t>
            </w:r>
            <w:r w:rsidRPr="0049753E">
              <w:rPr>
                <w:rStyle w:val="IAO2Char"/>
                <w:b/>
              </w:rPr>
              <w:t xml:space="preserve">. Desviaciones, </w:t>
            </w:r>
            <w:r w:rsidRPr="0049753E">
              <w:rPr>
                <w:rStyle w:val="IAO2Char"/>
                <w:b/>
              </w:rPr>
              <w:lastRenderedPageBreak/>
              <w:t>reservas u omisiones</w:t>
            </w:r>
            <w:bookmarkEnd w:id="254"/>
            <w:bookmarkEnd w:id="255"/>
            <w:bookmarkEnd w:id="256"/>
            <w:bookmarkEnd w:id="257"/>
            <w:bookmarkEnd w:id="258"/>
            <w:bookmarkEnd w:id="259"/>
          </w:p>
        </w:tc>
        <w:tc>
          <w:tcPr>
            <w:tcW w:w="720" w:type="dxa"/>
            <w:tcBorders>
              <w:bottom w:val="single" w:sz="4" w:space="0" w:color="auto"/>
              <w:right w:val="nil"/>
            </w:tcBorders>
          </w:tcPr>
          <w:p w14:paraId="1A3E33B3" w14:textId="77777777" w:rsidR="00ED47AF" w:rsidRPr="00F11F4F" w:rsidRDefault="00ED47AF" w:rsidP="005C5262">
            <w:pPr>
              <w:pStyle w:val="i"/>
              <w:spacing w:before="100" w:after="100"/>
              <w:ind w:left="-81" w:right="-114"/>
              <w:jc w:val="center"/>
              <w:rPr>
                <w:rFonts w:ascii="Arial" w:hAnsi="Arial" w:cs="Arial"/>
                <w:sz w:val="22"/>
                <w:szCs w:val="22"/>
                <w:lang w:val="es-ES"/>
              </w:rPr>
            </w:pPr>
            <w:r w:rsidRPr="00F11F4F">
              <w:rPr>
                <w:rFonts w:ascii="Arial" w:hAnsi="Arial" w:cs="Arial"/>
                <w:sz w:val="22"/>
                <w:szCs w:val="22"/>
                <w:lang w:val="es-ES"/>
              </w:rPr>
              <w:lastRenderedPageBreak/>
              <w:t>31.1</w:t>
            </w:r>
          </w:p>
        </w:tc>
        <w:tc>
          <w:tcPr>
            <w:tcW w:w="6660" w:type="dxa"/>
            <w:tcBorders>
              <w:left w:val="nil"/>
              <w:bottom w:val="single" w:sz="4" w:space="0" w:color="auto"/>
            </w:tcBorders>
          </w:tcPr>
          <w:p w14:paraId="5F521BBD" w14:textId="77777777" w:rsidR="00ED47AF" w:rsidRPr="00F11F4F" w:rsidRDefault="00ED47AF" w:rsidP="009835D1">
            <w:pPr>
              <w:pStyle w:val="i"/>
              <w:spacing w:before="100" w:after="100"/>
              <w:ind w:left="-110"/>
              <w:rPr>
                <w:rFonts w:ascii="Arial" w:hAnsi="Arial" w:cs="Arial"/>
                <w:sz w:val="22"/>
                <w:szCs w:val="22"/>
                <w:lang w:val="es-ES"/>
              </w:rPr>
            </w:pPr>
            <w:r w:rsidRPr="00F11F4F">
              <w:rPr>
                <w:rFonts w:ascii="Arial" w:hAnsi="Arial" w:cs="Arial"/>
                <w:sz w:val="22"/>
                <w:szCs w:val="22"/>
                <w:lang w:val="es-ES"/>
              </w:rPr>
              <w:t>Para la evaluación de las ofertas, se aplican las siguientes definiciones:</w:t>
            </w:r>
          </w:p>
          <w:p w14:paraId="6BFF06F6" w14:textId="77777777" w:rsidR="00ED47AF" w:rsidRPr="00F11F4F" w:rsidRDefault="00ED47AF" w:rsidP="0071608E">
            <w:pPr>
              <w:pStyle w:val="i"/>
              <w:numPr>
                <w:ilvl w:val="0"/>
                <w:numId w:val="22"/>
              </w:numPr>
              <w:spacing w:before="100" w:after="100"/>
              <w:ind w:left="248" w:hanging="358"/>
              <w:rPr>
                <w:rFonts w:ascii="Arial" w:hAnsi="Arial" w:cs="Arial"/>
                <w:sz w:val="22"/>
                <w:szCs w:val="22"/>
                <w:lang w:val="es-MX"/>
              </w:rPr>
            </w:pPr>
            <w:r w:rsidRPr="00F11F4F">
              <w:rPr>
                <w:rFonts w:ascii="Arial" w:hAnsi="Arial" w:cs="Arial"/>
                <w:b/>
                <w:sz w:val="22"/>
                <w:szCs w:val="22"/>
                <w:lang w:val="es-HN"/>
              </w:rPr>
              <w:lastRenderedPageBreak/>
              <w:t>Errores u omisiones subsanables:</w:t>
            </w:r>
            <w:r w:rsidRPr="00F11F4F">
              <w:rPr>
                <w:rFonts w:ascii="Arial" w:hAnsi="Arial" w:cs="Arial"/>
                <w:sz w:val="22"/>
                <w:szCs w:val="22"/>
                <w:lang w:val="es-MX"/>
              </w:rPr>
              <w:t xml:space="preserve"> Se trata generalmente de </w:t>
            </w:r>
            <w:r w:rsidRPr="00F11F4F">
              <w:rPr>
                <w:rFonts w:ascii="Arial" w:hAnsi="Arial" w:cs="Arial"/>
                <w:sz w:val="22"/>
                <w:szCs w:val="22"/>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F11F4F">
              <w:rPr>
                <w:rFonts w:ascii="Arial" w:hAnsi="Arial" w:cs="Arial"/>
                <w:sz w:val="22"/>
                <w:szCs w:val="22"/>
                <w:lang w:val="es-ES"/>
              </w:rPr>
              <w:t>de la licitación</w:t>
            </w:r>
          </w:p>
          <w:p w14:paraId="31BAFB63" w14:textId="77777777" w:rsidR="00ED47AF" w:rsidRPr="00F11F4F" w:rsidRDefault="00ED47AF" w:rsidP="0071608E">
            <w:pPr>
              <w:pStyle w:val="i"/>
              <w:numPr>
                <w:ilvl w:val="0"/>
                <w:numId w:val="22"/>
              </w:numPr>
              <w:spacing w:before="100" w:after="100"/>
              <w:ind w:left="248" w:hanging="358"/>
              <w:rPr>
                <w:rFonts w:ascii="Arial" w:hAnsi="Arial" w:cs="Arial"/>
                <w:sz w:val="22"/>
                <w:szCs w:val="22"/>
                <w:lang w:val="es-MX"/>
              </w:rPr>
            </w:pPr>
            <w:r w:rsidRPr="00F11F4F">
              <w:rPr>
                <w:rFonts w:ascii="Arial" w:hAnsi="Arial" w:cs="Arial"/>
                <w:b/>
                <w:sz w:val="22"/>
                <w:szCs w:val="22"/>
                <w:lang w:val="es-MX"/>
              </w:rPr>
              <w:t>Errores u omisiones no subsanables:</w:t>
            </w:r>
            <w:r w:rsidRPr="00F11F4F">
              <w:rPr>
                <w:rFonts w:ascii="Arial" w:hAnsi="Arial" w:cs="Arial"/>
                <w:sz w:val="22"/>
                <w:szCs w:val="22"/>
                <w:lang w:val="es-MX"/>
              </w:rPr>
              <w:t xml:space="preserve"> Son aquellos que se consideran básicos y cuya acción u omisión impiden la validez de la oferta o aquellas cuya subsanación puede cambiar, mejorar o alterar la sustancia de la oferta causando ventaja o desventaja al oferente sobre otros. Ejemplos son errores o falta de la firma del representante legal en la carta de presentación de la oferta o no presentar dicha carta, no presentar el poder o escritura que autoriza a quien firma para presentar la oferta, asimismo, errores en una garantía o fianza o la no presentación de las mismas cumpliendo con las condiciones establecidas para su presentación. </w:t>
            </w:r>
          </w:p>
          <w:p w14:paraId="6D4ACDB8" w14:textId="77777777" w:rsidR="00ED47AF" w:rsidRPr="00F11F4F" w:rsidRDefault="00ED47AF" w:rsidP="0071608E">
            <w:pPr>
              <w:pStyle w:val="i"/>
              <w:numPr>
                <w:ilvl w:val="0"/>
                <w:numId w:val="22"/>
              </w:numPr>
              <w:spacing w:before="100" w:after="100"/>
              <w:ind w:left="248" w:hanging="358"/>
              <w:rPr>
                <w:rFonts w:ascii="Arial" w:hAnsi="Arial" w:cs="Arial"/>
                <w:sz w:val="22"/>
                <w:szCs w:val="22"/>
                <w:lang w:val="es-MX"/>
              </w:rPr>
            </w:pPr>
            <w:r w:rsidRPr="00F11F4F">
              <w:rPr>
                <w:rFonts w:ascii="Arial" w:hAnsi="Arial" w:cs="Arial"/>
                <w:b/>
                <w:sz w:val="22"/>
                <w:szCs w:val="22"/>
                <w:lang w:val="es-ES"/>
              </w:rPr>
              <w:t>Desviación:</w:t>
            </w:r>
            <w:r w:rsidRPr="00F11F4F">
              <w:rPr>
                <w:rFonts w:ascii="Arial" w:hAnsi="Arial" w:cs="Arial"/>
                <w:sz w:val="22"/>
                <w:szCs w:val="22"/>
                <w:lang w:val="es-ES"/>
              </w:rPr>
              <w:t xml:space="preserve"> Se refiere a que se aleja de los requisitos especificados en el documento de licitación; </w:t>
            </w:r>
          </w:p>
          <w:p w14:paraId="69C2F3FE" w14:textId="77777777" w:rsidR="00ED47AF" w:rsidRPr="00F11F4F" w:rsidRDefault="00ED47AF" w:rsidP="0071608E">
            <w:pPr>
              <w:pStyle w:val="i"/>
              <w:numPr>
                <w:ilvl w:val="0"/>
                <w:numId w:val="22"/>
              </w:numPr>
              <w:spacing w:before="100" w:after="100"/>
              <w:ind w:left="248" w:hanging="358"/>
              <w:rPr>
                <w:rFonts w:ascii="Arial" w:hAnsi="Arial" w:cs="Arial"/>
                <w:sz w:val="22"/>
                <w:szCs w:val="22"/>
                <w:lang w:val="es-MX"/>
              </w:rPr>
            </w:pPr>
            <w:r w:rsidRPr="00F11F4F">
              <w:rPr>
                <w:rFonts w:ascii="Arial" w:hAnsi="Arial" w:cs="Arial"/>
                <w:b/>
                <w:sz w:val="22"/>
                <w:szCs w:val="22"/>
                <w:lang w:val="es-ES"/>
              </w:rPr>
              <w:t>Reserva:</w:t>
            </w:r>
            <w:r w:rsidRPr="00F11F4F">
              <w:rPr>
                <w:rFonts w:ascii="Arial" w:hAnsi="Arial" w:cs="Arial"/>
                <w:sz w:val="22"/>
                <w:szCs w:val="22"/>
                <w:lang w:val="es-ES"/>
              </w:rPr>
              <w:t xml:space="preserve"> Se refiere a establecer condiciones limitativas o abstenerse de aceptar plenamente los requisitos especificados en el documento de licitación; </w:t>
            </w:r>
          </w:p>
          <w:p w14:paraId="771743B1" w14:textId="77777777" w:rsidR="00ED47AF" w:rsidRPr="00F11F4F" w:rsidRDefault="00ED47AF" w:rsidP="0071608E">
            <w:pPr>
              <w:pStyle w:val="i"/>
              <w:numPr>
                <w:ilvl w:val="0"/>
                <w:numId w:val="22"/>
              </w:numPr>
              <w:spacing w:before="100" w:after="100"/>
              <w:ind w:left="248" w:hanging="358"/>
              <w:rPr>
                <w:rFonts w:ascii="Arial" w:hAnsi="Arial" w:cs="Arial"/>
                <w:sz w:val="22"/>
                <w:szCs w:val="22"/>
                <w:lang w:val="es-MX"/>
              </w:rPr>
            </w:pPr>
            <w:r w:rsidRPr="00F11F4F">
              <w:rPr>
                <w:rFonts w:ascii="Arial" w:hAnsi="Arial" w:cs="Arial"/>
                <w:b/>
                <w:sz w:val="22"/>
                <w:szCs w:val="22"/>
                <w:lang w:val="es-ES"/>
              </w:rPr>
              <w:t>Omisión:</w:t>
            </w:r>
            <w:r w:rsidRPr="00F11F4F">
              <w:rPr>
                <w:rFonts w:ascii="Arial" w:hAnsi="Arial" w:cs="Arial"/>
                <w:sz w:val="22"/>
                <w:szCs w:val="22"/>
                <w:lang w:val="es-ES"/>
              </w:rPr>
              <w:t xml:space="preserve"> Se refiere a la falta de presentación de una parte o de la totalidad de la información o la documentación requerida en el documento de licitación.</w:t>
            </w:r>
          </w:p>
        </w:tc>
      </w:tr>
      <w:tr w:rsidR="00E23051" w:rsidRPr="000951BC" w14:paraId="0E453872" w14:textId="77777777" w:rsidTr="00205125">
        <w:trPr>
          <w:trHeight w:val="703"/>
        </w:trPr>
        <w:tc>
          <w:tcPr>
            <w:tcW w:w="1980" w:type="dxa"/>
            <w:vMerge w:val="restart"/>
          </w:tcPr>
          <w:p w14:paraId="00261AAF" w14:textId="77777777" w:rsidR="00E23051" w:rsidRPr="00F11F4F" w:rsidRDefault="00E23051" w:rsidP="007F1D84">
            <w:pPr>
              <w:pStyle w:val="IAO2"/>
            </w:pPr>
            <w:bookmarkStart w:id="260" w:name="_Toc74048208"/>
            <w:bookmarkStart w:id="261" w:name="_Toc74518452"/>
            <w:bookmarkStart w:id="262" w:name="_Toc74519176"/>
            <w:bookmarkStart w:id="263" w:name="_Toc74519992"/>
            <w:bookmarkStart w:id="264" w:name="_Toc74781366"/>
            <w:bookmarkStart w:id="265" w:name="_Toc74894116"/>
            <w:r w:rsidRPr="00F11F4F">
              <w:lastRenderedPageBreak/>
              <w:t>32.  Determinación de cumplimiento de ofertas</w:t>
            </w:r>
            <w:bookmarkEnd w:id="260"/>
            <w:bookmarkEnd w:id="261"/>
            <w:bookmarkEnd w:id="262"/>
            <w:bookmarkEnd w:id="263"/>
            <w:bookmarkEnd w:id="264"/>
            <w:bookmarkEnd w:id="265"/>
          </w:p>
        </w:tc>
        <w:tc>
          <w:tcPr>
            <w:tcW w:w="720" w:type="dxa"/>
            <w:tcBorders>
              <w:right w:val="nil"/>
            </w:tcBorders>
          </w:tcPr>
          <w:p w14:paraId="50DA4B31" w14:textId="77777777" w:rsidR="00E23051" w:rsidRPr="00F11F4F" w:rsidRDefault="00E23051" w:rsidP="005C5262">
            <w:pPr>
              <w:tabs>
                <w:tab w:val="right" w:pos="7254"/>
              </w:tabs>
              <w:spacing w:before="100" w:after="100"/>
              <w:ind w:left="-81"/>
              <w:jc w:val="center"/>
              <w:rPr>
                <w:rStyle w:val="iChar"/>
                <w:rFonts w:ascii="Arial" w:hAnsi="Arial" w:cs="Arial"/>
                <w:sz w:val="22"/>
                <w:szCs w:val="22"/>
                <w:lang w:val="es-HN"/>
              </w:rPr>
            </w:pPr>
            <w:r w:rsidRPr="00F11F4F">
              <w:rPr>
                <w:rStyle w:val="iChar"/>
                <w:rFonts w:ascii="Arial" w:hAnsi="Arial" w:cs="Arial"/>
                <w:sz w:val="22"/>
                <w:szCs w:val="22"/>
                <w:lang w:val="es-HN"/>
              </w:rPr>
              <w:t>32.1</w:t>
            </w:r>
          </w:p>
        </w:tc>
        <w:tc>
          <w:tcPr>
            <w:tcW w:w="6660" w:type="dxa"/>
            <w:tcBorders>
              <w:left w:val="nil"/>
            </w:tcBorders>
          </w:tcPr>
          <w:p w14:paraId="618389AA" w14:textId="77777777" w:rsidR="00E23051" w:rsidRPr="00F11F4F" w:rsidRDefault="00E23051" w:rsidP="00ED47AF">
            <w:pPr>
              <w:pStyle w:val="Header2-SubClauses"/>
              <w:ind w:left="-111"/>
              <w:rPr>
                <w:rStyle w:val="iChar"/>
                <w:rFonts w:ascii="Arial" w:hAnsi="Arial" w:cs="Arial"/>
                <w:strike/>
                <w:sz w:val="22"/>
                <w:szCs w:val="22"/>
                <w:lang w:val="es-ES"/>
              </w:rPr>
            </w:pPr>
            <w:r w:rsidRPr="00F11F4F">
              <w:rPr>
                <w:rFonts w:ascii="Arial" w:hAnsi="Arial" w:cs="Arial"/>
                <w:sz w:val="22"/>
                <w:szCs w:val="22"/>
                <w:lang w:val="es-ES"/>
              </w:rPr>
              <w:t>Para determinar si la Oferta se ajusta sustancialmente al documento de licitación, el Contratante se basará en el contenido de la propia Oferta, según se define en la IAO 12.1</w:t>
            </w:r>
          </w:p>
        </w:tc>
      </w:tr>
      <w:tr w:rsidR="00E23051" w:rsidRPr="000951BC" w14:paraId="0F15E858" w14:textId="77777777" w:rsidTr="00205125">
        <w:trPr>
          <w:trHeight w:val="703"/>
        </w:trPr>
        <w:tc>
          <w:tcPr>
            <w:tcW w:w="1980" w:type="dxa"/>
            <w:vMerge/>
          </w:tcPr>
          <w:p w14:paraId="1093204B"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774A9D88" w14:textId="77777777" w:rsidR="00E23051" w:rsidRPr="00F11F4F" w:rsidDel="00EE07BD" w:rsidRDefault="00E23051" w:rsidP="005C5262">
            <w:pPr>
              <w:tabs>
                <w:tab w:val="right" w:pos="7254"/>
              </w:tabs>
              <w:spacing w:before="100" w:after="100"/>
              <w:ind w:left="-81"/>
              <w:jc w:val="center"/>
              <w:rPr>
                <w:rStyle w:val="iChar"/>
                <w:rFonts w:ascii="Arial" w:hAnsi="Arial" w:cs="Arial"/>
                <w:sz w:val="22"/>
                <w:szCs w:val="22"/>
                <w:lang w:val="es-HN"/>
              </w:rPr>
            </w:pPr>
            <w:r w:rsidRPr="00F11F4F">
              <w:rPr>
                <w:rStyle w:val="iChar"/>
                <w:rFonts w:ascii="Arial" w:hAnsi="Arial" w:cs="Arial"/>
                <w:sz w:val="22"/>
                <w:szCs w:val="22"/>
                <w:lang w:val="es-HN"/>
              </w:rPr>
              <w:t>32.2</w:t>
            </w:r>
          </w:p>
        </w:tc>
        <w:tc>
          <w:tcPr>
            <w:tcW w:w="6660" w:type="dxa"/>
            <w:tcBorders>
              <w:left w:val="nil"/>
            </w:tcBorders>
          </w:tcPr>
          <w:p w14:paraId="048A64C5" w14:textId="77777777" w:rsidR="00E23051" w:rsidRPr="00F11F4F" w:rsidRDefault="00E23051"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Si una oferta se ajusta sustancialmente a los Documentos de Licitación, el Contratante, podrá dispensar inconformidades que no constituyan una omisión o un error significativo.</w:t>
            </w:r>
          </w:p>
          <w:p w14:paraId="4C487E81" w14:textId="77777777" w:rsidR="00E23051" w:rsidRPr="00F11F4F" w:rsidRDefault="00E23051" w:rsidP="00ED47AF">
            <w:pPr>
              <w:pStyle w:val="i"/>
              <w:spacing w:before="100" w:after="100"/>
              <w:ind w:left="-108"/>
              <w:rPr>
                <w:rStyle w:val="iChar"/>
                <w:rFonts w:ascii="Arial" w:hAnsi="Arial" w:cs="Arial"/>
                <w:sz w:val="22"/>
                <w:szCs w:val="22"/>
                <w:lang w:val="es-ES"/>
              </w:rPr>
            </w:pPr>
            <w:r w:rsidRPr="00F11F4F">
              <w:rPr>
                <w:rStyle w:val="iChar"/>
                <w:rFonts w:ascii="Arial" w:hAnsi="Arial" w:cs="Arial"/>
                <w:b/>
                <w:sz w:val="22"/>
                <w:szCs w:val="22"/>
              </w:rPr>
              <w:t>Error, desviación, reserva u omisión significativo</w:t>
            </w:r>
            <w:r w:rsidRPr="00F11F4F">
              <w:rPr>
                <w:rStyle w:val="iChar"/>
                <w:rFonts w:ascii="Arial" w:hAnsi="Arial" w:cs="Arial"/>
                <w:sz w:val="22"/>
                <w:szCs w:val="22"/>
              </w:rPr>
              <w:t>: Es aquel que</w:t>
            </w:r>
          </w:p>
          <w:p w14:paraId="142A09C3" w14:textId="77777777" w:rsidR="00E23051" w:rsidRPr="00F11F4F" w:rsidRDefault="00E23051" w:rsidP="0071608E">
            <w:pPr>
              <w:pStyle w:val="i"/>
              <w:numPr>
                <w:ilvl w:val="0"/>
                <w:numId w:val="28"/>
              </w:numPr>
              <w:spacing w:before="100" w:after="100"/>
              <w:ind w:left="249" w:hanging="188"/>
              <w:rPr>
                <w:rFonts w:ascii="Arial" w:hAnsi="Arial" w:cs="Arial"/>
                <w:sz w:val="22"/>
                <w:szCs w:val="22"/>
                <w:lang w:val="es-ES"/>
              </w:rPr>
            </w:pPr>
            <w:r w:rsidRPr="00F11F4F">
              <w:rPr>
                <w:rFonts w:ascii="Arial" w:hAnsi="Arial" w:cs="Arial"/>
                <w:sz w:val="22"/>
                <w:szCs w:val="22"/>
                <w:lang w:val="es-ES"/>
              </w:rPr>
              <w:t>Si es aceptada:</w:t>
            </w:r>
          </w:p>
          <w:p w14:paraId="2BC52AB9" w14:textId="77777777" w:rsidR="00E23051" w:rsidRPr="00F11F4F" w:rsidRDefault="00E23051" w:rsidP="0071608E">
            <w:pPr>
              <w:pStyle w:val="i"/>
              <w:numPr>
                <w:ilvl w:val="0"/>
                <w:numId w:val="8"/>
              </w:numPr>
              <w:tabs>
                <w:tab w:val="clear" w:pos="2880"/>
              </w:tabs>
              <w:spacing w:before="100" w:after="100"/>
              <w:ind w:left="519" w:hanging="237"/>
              <w:rPr>
                <w:rFonts w:ascii="Arial" w:hAnsi="Arial" w:cs="Arial"/>
                <w:sz w:val="22"/>
                <w:szCs w:val="22"/>
                <w:lang w:val="es-ES"/>
              </w:rPr>
            </w:pPr>
            <w:r w:rsidRPr="00F11F4F">
              <w:rPr>
                <w:rFonts w:ascii="Arial" w:hAnsi="Arial" w:cs="Arial"/>
                <w:sz w:val="22"/>
                <w:szCs w:val="22"/>
                <w:lang w:val="es-ES"/>
              </w:rPr>
              <w:t>Afecta de una manera sustancial el alcance, la calidad o el funcionamiento de los servicios ofertados; o</w:t>
            </w:r>
          </w:p>
          <w:p w14:paraId="4604CD7A" w14:textId="77777777" w:rsidR="00E23051" w:rsidRPr="00F11F4F" w:rsidRDefault="00E23051" w:rsidP="0071608E">
            <w:pPr>
              <w:pStyle w:val="i"/>
              <w:numPr>
                <w:ilvl w:val="0"/>
                <w:numId w:val="8"/>
              </w:numPr>
              <w:tabs>
                <w:tab w:val="clear" w:pos="2880"/>
              </w:tabs>
              <w:spacing w:before="100" w:after="100"/>
              <w:ind w:left="519" w:hanging="237"/>
              <w:rPr>
                <w:rFonts w:ascii="Arial" w:hAnsi="Arial" w:cs="Arial"/>
                <w:sz w:val="22"/>
                <w:szCs w:val="22"/>
                <w:lang w:val="es-ES"/>
              </w:rPr>
            </w:pPr>
            <w:r w:rsidRPr="00F11F4F">
              <w:rPr>
                <w:rFonts w:ascii="Arial" w:hAnsi="Arial" w:cs="Arial"/>
                <w:sz w:val="22"/>
                <w:szCs w:val="22"/>
                <w:lang w:val="es-ES"/>
              </w:rPr>
              <w:t>Limita de una manera sustancial, contraria a los Documentos de Licitación, los derechos del Contratante con las obligaciones del oferente en virtud del contrato; o</w:t>
            </w:r>
          </w:p>
          <w:p w14:paraId="414BAC18" w14:textId="77777777" w:rsidR="00E23051" w:rsidRPr="00F11F4F" w:rsidDel="00EE07BD" w:rsidRDefault="00E23051" w:rsidP="0071608E">
            <w:pPr>
              <w:pStyle w:val="i"/>
              <w:numPr>
                <w:ilvl w:val="0"/>
                <w:numId w:val="28"/>
              </w:numPr>
              <w:spacing w:before="100" w:after="100"/>
              <w:ind w:left="249" w:hanging="188"/>
              <w:rPr>
                <w:rStyle w:val="iChar"/>
                <w:rFonts w:ascii="Arial" w:hAnsi="Arial" w:cs="Arial"/>
                <w:sz w:val="22"/>
                <w:szCs w:val="22"/>
                <w:lang w:val="es-ES"/>
              </w:rPr>
            </w:pPr>
            <w:r w:rsidRPr="00F11F4F">
              <w:rPr>
                <w:rFonts w:ascii="Arial" w:hAnsi="Arial" w:cs="Arial"/>
                <w:sz w:val="22"/>
                <w:szCs w:val="22"/>
                <w:lang w:val="es-ES"/>
              </w:rPr>
              <w:t>Si es rectificada, afectaría injustamente la posición competitiva de otros oferentes que presentan ofertas que se ajustan sustancialmente a los Documentos de Licitación.</w:t>
            </w:r>
          </w:p>
        </w:tc>
      </w:tr>
      <w:tr w:rsidR="00E23051" w:rsidRPr="000951BC" w14:paraId="1F71C6D2" w14:textId="77777777" w:rsidTr="00205125">
        <w:trPr>
          <w:trHeight w:val="703"/>
        </w:trPr>
        <w:tc>
          <w:tcPr>
            <w:tcW w:w="1980" w:type="dxa"/>
            <w:vMerge/>
          </w:tcPr>
          <w:p w14:paraId="567F205B"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66091939" w14:textId="77777777" w:rsidR="00E23051" w:rsidRPr="00F11F4F" w:rsidRDefault="00E23051" w:rsidP="005C5262">
            <w:pPr>
              <w:tabs>
                <w:tab w:val="right" w:pos="7254"/>
              </w:tabs>
              <w:spacing w:before="100" w:after="100"/>
              <w:ind w:left="-81"/>
              <w:jc w:val="center"/>
              <w:rPr>
                <w:rStyle w:val="iChar"/>
                <w:rFonts w:ascii="Arial" w:hAnsi="Arial" w:cs="Arial"/>
                <w:sz w:val="22"/>
                <w:szCs w:val="22"/>
                <w:lang w:val="es-HN"/>
              </w:rPr>
            </w:pPr>
            <w:r w:rsidRPr="00F11F4F">
              <w:rPr>
                <w:rStyle w:val="iChar"/>
                <w:rFonts w:ascii="Arial" w:hAnsi="Arial" w:cs="Arial"/>
                <w:sz w:val="22"/>
                <w:szCs w:val="22"/>
                <w:lang w:val="es-HN"/>
              </w:rPr>
              <w:t>32.3</w:t>
            </w:r>
          </w:p>
        </w:tc>
        <w:tc>
          <w:tcPr>
            <w:tcW w:w="6660" w:type="dxa"/>
            <w:tcBorders>
              <w:left w:val="nil"/>
            </w:tcBorders>
          </w:tcPr>
          <w:p w14:paraId="06199B91" w14:textId="77777777" w:rsidR="00E23051" w:rsidRPr="00F11F4F" w:rsidRDefault="00E23051"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El Contratante examinará los aspectos técnicos de la Oferta presentada de conformidad con la IAO 19, en particular, con el fin </w:t>
            </w:r>
            <w:r w:rsidRPr="00F11F4F">
              <w:rPr>
                <w:rFonts w:ascii="Arial" w:hAnsi="Arial" w:cs="Arial"/>
                <w:sz w:val="22"/>
                <w:szCs w:val="22"/>
                <w:lang w:val="es-ES"/>
              </w:rPr>
              <w:lastRenderedPageBreak/>
              <w:t>de confirmar que todos los requisitos estipulados en la Sección III “Criterios de Evaluación”, se han cumplido sin desviaciones, reservas y omisiones significativas.</w:t>
            </w:r>
          </w:p>
        </w:tc>
      </w:tr>
      <w:tr w:rsidR="00E23051" w:rsidRPr="000951BC" w14:paraId="46BCB2F4" w14:textId="77777777" w:rsidTr="00205125">
        <w:trPr>
          <w:trHeight w:val="703"/>
        </w:trPr>
        <w:tc>
          <w:tcPr>
            <w:tcW w:w="1980" w:type="dxa"/>
            <w:vMerge/>
          </w:tcPr>
          <w:p w14:paraId="6AE52228" w14:textId="77777777" w:rsidR="00E23051" w:rsidRPr="00F11F4F" w:rsidRDefault="00E23051" w:rsidP="00ED47AF">
            <w:pPr>
              <w:pStyle w:val="i"/>
              <w:spacing w:before="100" w:after="100"/>
              <w:outlineLvl w:val="2"/>
              <w:rPr>
                <w:rFonts w:ascii="Arial" w:hAnsi="Arial" w:cs="Arial"/>
                <w:b/>
                <w:sz w:val="22"/>
                <w:szCs w:val="22"/>
                <w:lang w:val="es-ES"/>
              </w:rPr>
            </w:pPr>
          </w:p>
        </w:tc>
        <w:tc>
          <w:tcPr>
            <w:tcW w:w="720" w:type="dxa"/>
            <w:tcBorders>
              <w:right w:val="nil"/>
            </w:tcBorders>
          </w:tcPr>
          <w:p w14:paraId="735C3763" w14:textId="77777777" w:rsidR="00E23051" w:rsidRPr="00F11F4F" w:rsidRDefault="00E23051" w:rsidP="005C5262">
            <w:pPr>
              <w:tabs>
                <w:tab w:val="right" w:pos="7254"/>
              </w:tabs>
              <w:spacing w:before="100" w:after="100"/>
              <w:ind w:left="-81"/>
              <w:jc w:val="center"/>
              <w:rPr>
                <w:rStyle w:val="iChar"/>
                <w:rFonts w:ascii="Arial" w:hAnsi="Arial" w:cs="Arial"/>
                <w:sz w:val="22"/>
                <w:szCs w:val="22"/>
                <w:lang w:val="es-HN"/>
              </w:rPr>
            </w:pPr>
            <w:r w:rsidRPr="00F11F4F">
              <w:rPr>
                <w:rStyle w:val="iChar"/>
                <w:rFonts w:ascii="Arial" w:hAnsi="Arial" w:cs="Arial"/>
                <w:sz w:val="22"/>
                <w:szCs w:val="22"/>
                <w:lang w:val="es-HN"/>
              </w:rPr>
              <w:t>32.4</w:t>
            </w:r>
          </w:p>
        </w:tc>
        <w:tc>
          <w:tcPr>
            <w:tcW w:w="6660" w:type="dxa"/>
            <w:tcBorders>
              <w:left w:val="nil"/>
            </w:tcBorders>
          </w:tcPr>
          <w:p w14:paraId="33C5CFAB" w14:textId="77777777" w:rsidR="00E23051" w:rsidRPr="00F11F4F" w:rsidRDefault="00E23051" w:rsidP="00ED47AF">
            <w:pPr>
              <w:pStyle w:val="i"/>
              <w:spacing w:before="100" w:after="100"/>
              <w:ind w:left="-108"/>
              <w:rPr>
                <w:rFonts w:ascii="Arial" w:hAnsi="Arial" w:cs="Arial"/>
                <w:sz w:val="22"/>
                <w:szCs w:val="22"/>
                <w:lang w:val="es-ES"/>
              </w:rPr>
            </w:pPr>
            <w:r w:rsidRPr="00F11F4F">
              <w:rPr>
                <w:rFonts w:ascii="Arial" w:hAnsi="Arial" w:cs="Arial"/>
                <w:sz w:val="22"/>
                <w:szCs w:val="22"/>
                <w:lang w:val="es-ES"/>
              </w:rPr>
              <w:t>Si una Oferta no se ajusta sustancialmente a los requisitos del documento de licitación será rechazada por el Contratante y no podrá convertirse posteriormente, mediante la corrección de las desviaciones, reservas u omisiones significativas, en una Oferta que se ajusta sustancialmente al documento de licitación.</w:t>
            </w:r>
          </w:p>
        </w:tc>
      </w:tr>
      <w:tr w:rsidR="00E23051" w:rsidRPr="000951BC" w14:paraId="0E35A544" w14:textId="77777777" w:rsidTr="00205125">
        <w:trPr>
          <w:trHeight w:val="703"/>
        </w:trPr>
        <w:tc>
          <w:tcPr>
            <w:tcW w:w="1980" w:type="dxa"/>
            <w:vMerge w:val="restart"/>
          </w:tcPr>
          <w:p w14:paraId="502A20B1" w14:textId="77777777" w:rsidR="00E23051" w:rsidRPr="0049753E" w:rsidRDefault="00E23051" w:rsidP="00147CB7">
            <w:pPr>
              <w:pStyle w:val="IAO2"/>
              <w:ind w:right="-15"/>
            </w:pPr>
            <w:bookmarkStart w:id="266" w:name="_Toc74048209"/>
            <w:bookmarkStart w:id="267" w:name="_Toc74518453"/>
            <w:bookmarkStart w:id="268" w:name="_Toc74519177"/>
            <w:bookmarkStart w:id="269" w:name="_Toc74519993"/>
            <w:bookmarkStart w:id="270" w:name="_Toc74781367"/>
            <w:bookmarkStart w:id="271" w:name="_Toc74894117"/>
            <w:r w:rsidRPr="0049753E">
              <w:t xml:space="preserve">33. </w:t>
            </w:r>
            <w:r w:rsidRPr="0049753E">
              <w:rPr>
                <w:rStyle w:val="IAO2Char"/>
                <w:b/>
              </w:rPr>
              <w:t>Inconformidades</w:t>
            </w:r>
            <w:r w:rsidR="00C72F48" w:rsidRPr="0049753E">
              <w:rPr>
                <w:rStyle w:val="IAO2Char"/>
                <w:b/>
              </w:rPr>
              <w:t xml:space="preserve"> </w:t>
            </w:r>
            <w:r w:rsidRPr="0049753E">
              <w:rPr>
                <w:rStyle w:val="IAO2Char"/>
                <w:b/>
              </w:rPr>
              <w:t>no significativas</w:t>
            </w:r>
            <w:bookmarkEnd w:id="266"/>
            <w:bookmarkEnd w:id="267"/>
            <w:bookmarkEnd w:id="268"/>
            <w:bookmarkEnd w:id="269"/>
            <w:bookmarkEnd w:id="270"/>
            <w:bookmarkEnd w:id="271"/>
          </w:p>
          <w:p w14:paraId="7B350F46" w14:textId="77777777" w:rsidR="00E23051" w:rsidRPr="00F11F4F"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D97DCA0" w14:textId="77777777" w:rsidR="00E23051" w:rsidRPr="00F11F4F" w:rsidRDefault="00E23051" w:rsidP="005C5262">
            <w:pPr>
              <w:tabs>
                <w:tab w:val="right" w:pos="7254"/>
              </w:tabs>
              <w:spacing w:before="100" w:after="100"/>
              <w:ind w:left="-81"/>
              <w:jc w:val="center"/>
              <w:rPr>
                <w:rStyle w:val="iChar"/>
                <w:rFonts w:ascii="Arial" w:hAnsi="Arial" w:cs="Arial"/>
                <w:sz w:val="22"/>
                <w:szCs w:val="22"/>
                <w:lang w:val="es-HN"/>
              </w:rPr>
            </w:pPr>
            <w:r w:rsidRPr="00F11F4F">
              <w:rPr>
                <w:rFonts w:ascii="Arial" w:hAnsi="Arial" w:cs="Arial"/>
                <w:sz w:val="22"/>
                <w:szCs w:val="22"/>
                <w:lang w:val="es-ES"/>
              </w:rPr>
              <w:t>33.1</w:t>
            </w:r>
          </w:p>
        </w:tc>
        <w:tc>
          <w:tcPr>
            <w:tcW w:w="6660" w:type="dxa"/>
            <w:tcBorders>
              <w:left w:val="nil"/>
            </w:tcBorders>
          </w:tcPr>
          <w:p w14:paraId="05F7CB0F"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Cuando la oferta se ajuste sustancialmente a los Documentos de Licitación, el Contratante, podrá solicitar al oferente que presente, dentro de un plazo razonable, la información o documentación necesaria para rectificar inconformidades no significativas en la oferta, relacionadas con requisitos referentes a la documentación. La solicitud de información o documentación relativa a dichas inconformidades no podrá estar relacionada de ninguna manera con el precio de la oferta. Si el oferente no cumple la solicitud, su oferta podrá ser rechazada.  </w:t>
            </w:r>
          </w:p>
        </w:tc>
      </w:tr>
      <w:tr w:rsidR="00E23051" w:rsidRPr="000951BC" w14:paraId="60B2BED3" w14:textId="77777777" w:rsidTr="00205125">
        <w:trPr>
          <w:trHeight w:val="703"/>
        </w:trPr>
        <w:tc>
          <w:tcPr>
            <w:tcW w:w="1980" w:type="dxa"/>
            <w:vMerge/>
          </w:tcPr>
          <w:p w14:paraId="3B11D8A0" w14:textId="77777777" w:rsidR="00E23051" w:rsidRPr="00F11F4F"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6B0516F" w14:textId="77777777" w:rsidR="00E23051" w:rsidRPr="00F11F4F" w:rsidRDefault="00E23051" w:rsidP="005C5262">
            <w:pPr>
              <w:tabs>
                <w:tab w:val="right" w:pos="7254"/>
              </w:tabs>
              <w:spacing w:before="100" w:after="100"/>
              <w:ind w:left="-81"/>
              <w:jc w:val="center"/>
              <w:rPr>
                <w:rStyle w:val="iChar"/>
                <w:rFonts w:ascii="Arial" w:hAnsi="Arial" w:cs="Arial"/>
                <w:sz w:val="22"/>
                <w:szCs w:val="22"/>
                <w:lang w:val="es-HN"/>
              </w:rPr>
            </w:pPr>
            <w:r w:rsidRPr="00F11F4F">
              <w:rPr>
                <w:rFonts w:ascii="Arial" w:hAnsi="Arial" w:cs="Arial"/>
                <w:sz w:val="22"/>
                <w:szCs w:val="22"/>
                <w:lang w:val="es-ES"/>
              </w:rPr>
              <w:t>33.2</w:t>
            </w:r>
          </w:p>
        </w:tc>
        <w:tc>
          <w:tcPr>
            <w:tcW w:w="6660" w:type="dxa"/>
            <w:tcBorders>
              <w:left w:val="nil"/>
            </w:tcBorders>
          </w:tcPr>
          <w:p w14:paraId="2530EAF7"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Toda partida no completada por el oferente en la Lista de Precios, únicamente para efectos de evaluación se presumirá no incluida en la Oferta. Siempre y cuando se considere que la Oferta se ajusta sustancialmente al documento de licitación a pesar de esta omisión, el precio promedio de las partidas cotizadas en ofertas que se ajusten sustancialmente al documento de licitación se sumará al Precio de la Oferta   incompleta y el costo total equivalente de la Oferta así determinada se utilizará para la comparación de precios.</w:t>
            </w:r>
          </w:p>
        </w:tc>
      </w:tr>
      <w:tr w:rsidR="00E23051" w:rsidRPr="00D26A13" w14:paraId="130E29DB" w14:textId="77777777" w:rsidTr="00205125">
        <w:trPr>
          <w:trHeight w:val="64"/>
        </w:trPr>
        <w:tc>
          <w:tcPr>
            <w:tcW w:w="1980" w:type="dxa"/>
            <w:vMerge w:val="restart"/>
          </w:tcPr>
          <w:p w14:paraId="444F8E3A" w14:textId="77777777" w:rsidR="00E23051" w:rsidRPr="0049753E" w:rsidRDefault="00E23051" w:rsidP="0049753E">
            <w:pPr>
              <w:pStyle w:val="IAO2"/>
              <w:rPr>
                <w:rStyle w:val="IAO2Char"/>
                <w:b/>
              </w:rPr>
            </w:pPr>
            <w:bookmarkStart w:id="272" w:name="_Toc74048210"/>
            <w:bookmarkStart w:id="273" w:name="_Toc74518454"/>
            <w:bookmarkStart w:id="274" w:name="_Toc74519178"/>
            <w:bookmarkStart w:id="275" w:name="_Toc74519994"/>
            <w:bookmarkStart w:id="276" w:name="_Toc74781368"/>
            <w:bookmarkStart w:id="277" w:name="_Toc74894118"/>
            <w:r w:rsidRPr="0049753E">
              <w:t>34</w:t>
            </w:r>
            <w:r w:rsidRPr="006902D7">
              <w:t xml:space="preserve">. </w:t>
            </w:r>
            <w:r w:rsidRPr="006902D7">
              <w:rPr>
                <w:rStyle w:val="IAO2Char"/>
                <w:b/>
              </w:rPr>
              <w:t>Corrección de errores aritméticos</w:t>
            </w:r>
            <w:bookmarkEnd w:id="272"/>
            <w:bookmarkEnd w:id="273"/>
            <w:bookmarkEnd w:id="274"/>
            <w:bookmarkEnd w:id="275"/>
            <w:bookmarkEnd w:id="276"/>
            <w:bookmarkEnd w:id="277"/>
          </w:p>
          <w:p w14:paraId="3B101E4A" w14:textId="77777777" w:rsidR="00E23051" w:rsidRPr="00F11F4F" w:rsidRDefault="00E23051" w:rsidP="00E23051">
            <w:pPr>
              <w:pStyle w:val="Header1-Clauses"/>
              <w:numPr>
                <w:ilvl w:val="0"/>
                <w:numId w:val="0"/>
              </w:numPr>
              <w:spacing w:before="100" w:after="100"/>
              <w:rPr>
                <w:rFonts w:ascii="Arial" w:hAnsi="Arial" w:cs="Arial"/>
                <w:sz w:val="22"/>
                <w:szCs w:val="22"/>
                <w:lang w:val="es-ES"/>
              </w:rPr>
            </w:pPr>
          </w:p>
          <w:p w14:paraId="7466C0D7" w14:textId="77777777" w:rsidR="00E23051" w:rsidRPr="00F11F4F"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500EEA5" w14:textId="77777777" w:rsidR="00E23051" w:rsidRPr="00F11F4F" w:rsidRDefault="00E23051" w:rsidP="00E23051">
            <w:pPr>
              <w:pStyle w:val="i"/>
              <w:spacing w:before="100" w:after="100"/>
              <w:ind w:left="-108" w:right="-108"/>
              <w:jc w:val="center"/>
              <w:rPr>
                <w:rFonts w:ascii="Arial" w:hAnsi="Arial" w:cs="Arial"/>
                <w:color w:val="000000"/>
                <w:sz w:val="22"/>
                <w:szCs w:val="22"/>
                <w:lang w:val="es-HN"/>
              </w:rPr>
            </w:pPr>
            <w:r w:rsidRPr="00F11F4F">
              <w:rPr>
                <w:rFonts w:ascii="Arial" w:hAnsi="Arial" w:cs="Arial"/>
                <w:sz w:val="22"/>
                <w:szCs w:val="22"/>
                <w:lang w:val="es-ES"/>
              </w:rPr>
              <w:t>34.1</w:t>
            </w:r>
          </w:p>
          <w:p w14:paraId="2FCFF135" w14:textId="77777777" w:rsidR="00E23051" w:rsidRPr="00F11F4F" w:rsidDel="00E41D44" w:rsidRDefault="00E23051" w:rsidP="00E23051">
            <w:pPr>
              <w:pStyle w:val="i"/>
              <w:spacing w:before="100" w:after="100"/>
              <w:ind w:left="-108" w:right="-108"/>
              <w:jc w:val="center"/>
              <w:rPr>
                <w:rFonts w:ascii="Arial" w:hAnsi="Arial" w:cs="Arial"/>
                <w:sz w:val="22"/>
                <w:szCs w:val="22"/>
                <w:lang w:val="es-ES"/>
              </w:rPr>
            </w:pPr>
          </w:p>
        </w:tc>
        <w:tc>
          <w:tcPr>
            <w:tcW w:w="6660" w:type="dxa"/>
            <w:tcBorders>
              <w:left w:val="nil"/>
            </w:tcBorders>
          </w:tcPr>
          <w:p w14:paraId="576539BF" w14:textId="77777777" w:rsidR="006F21B8" w:rsidRPr="00F11F4F" w:rsidRDefault="00E23051" w:rsidP="00961F61">
            <w:pPr>
              <w:autoSpaceDE w:val="0"/>
              <w:autoSpaceDN w:val="0"/>
              <w:adjustRightInd w:val="0"/>
              <w:spacing w:before="100" w:after="100"/>
              <w:ind w:left="-110"/>
              <w:rPr>
                <w:rFonts w:ascii="Arial" w:hAnsi="Arial" w:cs="Arial"/>
                <w:color w:val="000000"/>
                <w:sz w:val="22"/>
                <w:szCs w:val="22"/>
                <w:lang w:val="es-HN"/>
              </w:rPr>
            </w:pPr>
            <w:r w:rsidRPr="006541DB">
              <w:rPr>
                <w:rFonts w:ascii="Arial" w:hAnsi="Arial" w:cs="Arial"/>
                <w:sz w:val="22"/>
                <w:szCs w:val="22"/>
                <w:lang w:val="es-ES"/>
              </w:rPr>
              <w:t>Si la oferta se ajusta sustancialmente al documento de licitación, el Contratante corregirá los errores aritméticos</w:t>
            </w:r>
            <w:r w:rsidRPr="00F11F4F">
              <w:rPr>
                <w:rFonts w:ascii="Arial" w:hAnsi="Arial" w:cs="Arial"/>
                <w:sz w:val="22"/>
                <w:szCs w:val="22"/>
                <w:lang w:val="es-ES"/>
              </w:rPr>
              <w:t xml:space="preserve"> de</w:t>
            </w:r>
            <w:r w:rsidR="00166403" w:rsidRPr="00F11F4F">
              <w:rPr>
                <w:rFonts w:ascii="Arial" w:hAnsi="Arial" w:cs="Arial"/>
                <w:sz w:val="22"/>
                <w:szCs w:val="22"/>
                <w:lang w:val="es-ES"/>
              </w:rPr>
              <w:t xml:space="preserve"> </w:t>
            </w:r>
            <w:r w:rsidRPr="00F11F4F">
              <w:rPr>
                <w:rFonts w:ascii="Arial" w:hAnsi="Arial" w:cs="Arial"/>
                <w:sz w:val="22"/>
                <w:szCs w:val="22"/>
                <w:lang w:val="es-ES"/>
              </w:rPr>
              <w:t>la siguiente manera:</w:t>
            </w:r>
          </w:p>
          <w:p w14:paraId="616536C4" w14:textId="77777777" w:rsidR="00E23051" w:rsidRPr="00F11F4F" w:rsidRDefault="00E23051" w:rsidP="0071608E">
            <w:pPr>
              <w:numPr>
                <w:ilvl w:val="0"/>
                <w:numId w:val="16"/>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F11F4F">
              <w:rPr>
                <w:rFonts w:ascii="Arial" w:hAnsi="Arial" w:cs="Arial"/>
                <w:color w:val="000000"/>
                <w:sz w:val="22"/>
                <w:szCs w:val="22"/>
                <w:lang w:val="es-HN"/>
              </w:rPr>
              <w:t xml:space="preserve">Si </w:t>
            </w:r>
            <w:r w:rsidRPr="00F11F4F">
              <w:rPr>
                <w:rFonts w:ascii="Arial" w:hAnsi="Arial" w:cs="Arial"/>
                <w:sz w:val="22"/>
                <w:szCs w:val="22"/>
                <w:lang w:val="es-HN"/>
              </w:rPr>
              <w:t>existiese discrepancia entre un precio unitario y el precio total que se obtenga multiplicando ese precio unitario por las cantidades correspondientes, prevalecerá el precio unitario. El precio total será corregido a menos que, a criterio del Contratante, exista un error obvio en la colocación del punto decimal del precio unitario en cuyo caso prevalecerá el precio total cotizado y se corregirá el precio unitario</w:t>
            </w:r>
            <w:r w:rsidRPr="00F11F4F">
              <w:rPr>
                <w:rFonts w:ascii="Arial" w:hAnsi="Arial" w:cs="Arial"/>
                <w:color w:val="000000"/>
                <w:sz w:val="22"/>
                <w:szCs w:val="22"/>
                <w:lang w:val="es-HN"/>
              </w:rPr>
              <w:t>;</w:t>
            </w:r>
          </w:p>
          <w:p w14:paraId="02F2EA01" w14:textId="77777777" w:rsidR="00E23051" w:rsidRPr="00F11F4F" w:rsidRDefault="00E23051" w:rsidP="0071608E">
            <w:pPr>
              <w:numPr>
                <w:ilvl w:val="0"/>
                <w:numId w:val="16"/>
              </w:numPr>
              <w:tabs>
                <w:tab w:val="clear" w:pos="360"/>
                <w:tab w:val="num" w:pos="248"/>
              </w:tabs>
              <w:autoSpaceDE w:val="0"/>
              <w:autoSpaceDN w:val="0"/>
              <w:adjustRightInd w:val="0"/>
              <w:spacing w:before="100" w:after="100"/>
              <w:ind w:left="248" w:hanging="358"/>
              <w:rPr>
                <w:rFonts w:ascii="Arial" w:hAnsi="Arial" w:cs="Arial"/>
                <w:color w:val="000000"/>
                <w:sz w:val="22"/>
                <w:szCs w:val="22"/>
                <w:lang w:val="es-HN"/>
              </w:rPr>
            </w:pPr>
            <w:r w:rsidRPr="00F11F4F">
              <w:rPr>
                <w:rFonts w:ascii="Arial" w:hAnsi="Arial" w:cs="Arial"/>
                <w:color w:val="000000"/>
                <w:sz w:val="22"/>
                <w:szCs w:val="22"/>
                <w:lang w:val="es-HN"/>
              </w:rPr>
              <w:t xml:space="preserve">Si </w:t>
            </w:r>
            <w:r w:rsidRPr="00F11F4F">
              <w:rPr>
                <w:rFonts w:ascii="Arial" w:hAnsi="Arial" w:cs="Arial"/>
                <w:sz w:val="22"/>
                <w:szCs w:val="22"/>
                <w:lang w:val="es-HN"/>
              </w:rPr>
              <w:t xml:space="preserve">existiese un error en un precio total como consecuencia de la suma o resta de subtotales, prevalecerán los subtotales y el precio total será corregido; </w:t>
            </w:r>
            <w:r w:rsidRPr="00F11F4F">
              <w:rPr>
                <w:rFonts w:ascii="Arial" w:hAnsi="Arial" w:cs="Arial"/>
                <w:color w:val="000000"/>
                <w:sz w:val="22"/>
                <w:szCs w:val="22"/>
                <w:lang w:val="es-HN"/>
              </w:rPr>
              <w:t xml:space="preserve">y </w:t>
            </w:r>
          </w:p>
          <w:p w14:paraId="3C07D1F3" w14:textId="77777777" w:rsidR="00E23051" w:rsidRPr="00F11F4F" w:rsidRDefault="00E23051" w:rsidP="0071608E">
            <w:pPr>
              <w:pStyle w:val="i"/>
              <w:numPr>
                <w:ilvl w:val="0"/>
                <w:numId w:val="16"/>
              </w:numPr>
              <w:tabs>
                <w:tab w:val="clear" w:pos="360"/>
                <w:tab w:val="num" w:pos="248"/>
              </w:tabs>
              <w:spacing w:before="100" w:after="100"/>
              <w:ind w:left="248" w:hanging="358"/>
              <w:rPr>
                <w:rStyle w:val="iChar"/>
                <w:rFonts w:ascii="Arial" w:hAnsi="Arial" w:cs="Arial"/>
                <w:sz w:val="22"/>
                <w:szCs w:val="22"/>
              </w:rPr>
            </w:pPr>
            <w:r w:rsidRPr="00F11F4F">
              <w:rPr>
                <w:rFonts w:ascii="Arial" w:hAnsi="Arial" w:cs="Arial"/>
                <w:color w:val="000000"/>
                <w:sz w:val="22"/>
                <w:szCs w:val="22"/>
                <w:lang w:val="es-HN"/>
              </w:rPr>
              <w:t xml:space="preserve">Si </w:t>
            </w:r>
            <w:r w:rsidRPr="00F11F4F">
              <w:rPr>
                <w:rFonts w:ascii="Arial" w:hAnsi="Arial" w:cs="Arial"/>
                <w:sz w:val="22"/>
                <w:szCs w:val="22"/>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E23051" w:rsidRPr="00D26A13" w14:paraId="59000DA5" w14:textId="77777777" w:rsidTr="00205125">
        <w:trPr>
          <w:trHeight w:val="413"/>
        </w:trPr>
        <w:tc>
          <w:tcPr>
            <w:tcW w:w="1980" w:type="dxa"/>
            <w:vMerge/>
          </w:tcPr>
          <w:p w14:paraId="2168611F" w14:textId="77777777" w:rsidR="00E23051" w:rsidRPr="00F11F4F"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3C629C55" w14:textId="77777777" w:rsidR="00E23051" w:rsidRPr="00F11F4F" w:rsidDel="00E41D44" w:rsidRDefault="00E23051"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34.2</w:t>
            </w:r>
          </w:p>
        </w:tc>
        <w:tc>
          <w:tcPr>
            <w:tcW w:w="6660" w:type="dxa"/>
            <w:tcBorders>
              <w:left w:val="nil"/>
            </w:tcBorders>
          </w:tcPr>
          <w:p w14:paraId="2E1439F4" w14:textId="77777777" w:rsidR="00E23051" w:rsidRPr="00F11F4F" w:rsidRDefault="00E23051" w:rsidP="00E23051">
            <w:pPr>
              <w:pStyle w:val="i"/>
              <w:spacing w:before="100" w:after="100"/>
              <w:ind w:left="-108"/>
              <w:rPr>
                <w:rStyle w:val="iChar"/>
                <w:rFonts w:ascii="Arial" w:hAnsi="Arial" w:cs="Arial"/>
                <w:sz w:val="22"/>
                <w:szCs w:val="22"/>
              </w:rPr>
            </w:pPr>
            <w:r w:rsidRPr="00F11F4F">
              <w:rPr>
                <w:rFonts w:ascii="Arial" w:hAnsi="Arial" w:cs="Arial"/>
                <w:sz w:val="22"/>
                <w:szCs w:val="22"/>
                <w:lang w:val="es-ES"/>
              </w:rPr>
              <w:t>El Contratante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oferta será rechazada.</w:t>
            </w:r>
          </w:p>
        </w:tc>
      </w:tr>
      <w:tr w:rsidR="00E23051" w:rsidRPr="00D26A13" w14:paraId="5F37CB2A" w14:textId="77777777" w:rsidTr="00205125">
        <w:trPr>
          <w:trHeight w:val="2617"/>
        </w:trPr>
        <w:tc>
          <w:tcPr>
            <w:tcW w:w="1980" w:type="dxa"/>
            <w:vMerge w:val="restart"/>
          </w:tcPr>
          <w:p w14:paraId="72186222" w14:textId="77777777" w:rsidR="00E23051" w:rsidRPr="0049753E" w:rsidRDefault="00E23051" w:rsidP="0049753E">
            <w:pPr>
              <w:pStyle w:val="IAO2"/>
            </w:pPr>
            <w:bookmarkStart w:id="278" w:name="_Toc74048211"/>
            <w:bookmarkStart w:id="279" w:name="_Toc74518455"/>
            <w:bookmarkStart w:id="280" w:name="_Toc74519179"/>
            <w:bookmarkStart w:id="281" w:name="_Toc74519995"/>
            <w:bookmarkStart w:id="282" w:name="_Toc74781369"/>
            <w:bookmarkStart w:id="283" w:name="_Toc74894119"/>
            <w:r w:rsidRPr="0049753E">
              <w:lastRenderedPageBreak/>
              <w:t>35</w:t>
            </w:r>
            <w:r w:rsidRPr="0049753E">
              <w:rPr>
                <w:rStyle w:val="IAO2Char"/>
                <w:b/>
              </w:rPr>
              <w:t>. Evaluación de las Ofertas</w:t>
            </w:r>
            <w:bookmarkEnd w:id="278"/>
            <w:bookmarkEnd w:id="279"/>
            <w:bookmarkEnd w:id="280"/>
            <w:bookmarkEnd w:id="281"/>
            <w:bookmarkEnd w:id="282"/>
            <w:bookmarkEnd w:id="283"/>
            <w:r w:rsidRPr="0049753E">
              <w:t xml:space="preserve"> </w:t>
            </w:r>
          </w:p>
        </w:tc>
        <w:tc>
          <w:tcPr>
            <w:tcW w:w="720" w:type="dxa"/>
            <w:tcBorders>
              <w:right w:val="nil"/>
            </w:tcBorders>
          </w:tcPr>
          <w:p w14:paraId="2C79A179" w14:textId="77777777" w:rsidR="00E23051" w:rsidRPr="00F11F4F" w:rsidRDefault="00E23051"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35.1</w:t>
            </w:r>
          </w:p>
        </w:tc>
        <w:tc>
          <w:tcPr>
            <w:tcW w:w="6660" w:type="dxa"/>
            <w:tcBorders>
              <w:left w:val="nil"/>
            </w:tcBorders>
          </w:tcPr>
          <w:p w14:paraId="513460D1" w14:textId="77777777" w:rsidR="00E23051" w:rsidRPr="00F11F4F" w:rsidRDefault="00E23051" w:rsidP="00E23051">
            <w:pPr>
              <w:pStyle w:val="i"/>
              <w:spacing w:before="100" w:after="100"/>
              <w:ind w:left="-108"/>
              <w:rPr>
                <w:rFonts w:ascii="Arial" w:hAnsi="Arial" w:cs="Arial"/>
                <w:sz w:val="22"/>
                <w:szCs w:val="22"/>
                <w:lang w:val="es-ES"/>
              </w:rPr>
            </w:pPr>
            <w:r w:rsidRPr="00F11F4F">
              <w:rPr>
                <w:rStyle w:val="iChar"/>
                <w:rFonts w:ascii="Arial" w:hAnsi="Arial" w:cs="Arial"/>
                <w:sz w:val="22"/>
                <w:szCs w:val="22"/>
              </w:rPr>
              <w:t xml:space="preserve">Para determinar si la oferta se ajusta sustancialmente a los Documentos de la Licitación, el Contratante, se basará en el contenido de la propia oferta y los requisitos establecidos en el Documento Base de la Licitación, </w:t>
            </w:r>
            <w:r w:rsidRPr="00F11F4F">
              <w:rPr>
                <w:rFonts w:ascii="Arial" w:hAnsi="Arial" w:cs="Arial"/>
                <w:sz w:val="22"/>
                <w:szCs w:val="22"/>
                <w:lang w:val="es-ES"/>
              </w:rPr>
              <w:t>examinará y evaluará los diferentes aspectos de la oferta con el fin de confirmar que satisface los requisitos estipulados en la sección III, sin errores, desviaciones, reserva, ni omisiones significativas.</w:t>
            </w:r>
          </w:p>
          <w:p w14:paraId="6173252A" w14:textId="77777777" w:rsidR="00E23051" w:rsidRPr="00F11F4F" w:rsidRDefault="00E23051" w:rsidP="00E23051">
            <w:pPr>
              <w:pStyle w:val="Textocomentario"/>
              <w:ind w:left="-111"/>
              <w:rPr>
                <w:rFonts w:ascii="Arial" w:hAnsi="Arial" w:cs="Arial"/>
                <w:sz w:val="22"/>
                <w:szCs w:val="22"/>
              </w:rPr>
            </w:pPr>
            <w:r w:rsidRPr="00F11F4F">
              <w:rPr>
                <w:rFonts w:ascii="Arial" w:hAnsi="Arial" w:cs="Arial"/>
                <w:sz w:val="22"/>
                <w:szCs w:val="22"/>
              </w:rPr>
              <w:t xml:space="preserve">El Contratante determinará cual es la oferta más conveniente, la cual debe reunir los criterios de calificación y respecto de la cual se haya determinado que: </w:t>
            </w:r>
          </w:p>
          <w:p w14:paraId="1965A409" w14:textId="77777777" w:rsidR="00E23051" w:rsidRPr="00F11F4F" w:rsidRDefault="00E23051" w:rsidP="0071608E">
            <w:pPr>
              <w:pStyle w:val="Textocomentario"/>
              <w:numPr>
                <w:ilvl w:val="0"/>
                <w:numId w:val="41"/>
              </w:numPr>
              <w:ind w:left="248" w:hanging="358"/>
              <w:rPr>
                <w:rFonts w:ascii="Arial" w:hAnsi="Arial" w:cs="Arial"/>
                <w:sz w:val="22"/>
                <w:szCs w:val="22"/>
                <w:lang w:val="es-ES"/>
              </w:rPr>
            </w:pPr>
            <w:r w:rsidRPr="00F11F4F">
              <w:rPr>
                <w:rFonts w:ascii="Arial" w:hAnsi="Arial" w:cs="Arial"/>
                <w:sz w:val="22"/>
                <w:szCs w:val="22"/>
              </w:rPr>
              <w:t>Se ajusta sustancialmente al Documento de Licitación; y</w:t>
            </w:r>
          </w:p>
          <w:p w14:paraId="6B52B6B2" w14:textId="77777777" w:rsidR="00E23051" w:rsidRPr="00F11F4F" w:rsidRDefault="00E23051" w:rsidP="0071608E">
            <w:pPr>
              <w:pStyle w:val="Textocomentario"/>
              <w:numPr>
                <w:ilvl w:val="0"/>
                <w:numId w:val="41"/>
              </w:numPr>
              <w:ind w:left="248" w:hanging="358"/>
              <w:rPr>
                <w:rFonts w:ascii="Arial" w:hAnsi="Arial" w:cs="Arial"/>
                <w:sz w:val="22"/>
                <w:szCs w:val="22"/>
                <w:lang w:val="es-ES"/>
              </w:rPr>
            </w:pPr>
            <w:r w:rsidRPr="00F11F4F">
              <w:rPr>
                <w:rFonts w:ascii="Arial" w:hAnsi="Arial" w:cs="Arial"/>
                <w:sz w:val="22"/>
                <w:szCs w:val="22"/>
              </w:rPr>
              <w:t>Tiene el costo evaluado más bajo</w:t>
            </w:r>
          </w:p>
        </w:tc>
      </w:tr>
      <w:tr w:rsidR="00E23051" w:rsidRPr="00D26A13" w14:paraId="09CA73F9" w14:textId="77777777" w:rsidTr="00205125">
        <w:tc>
          <w:tcPr>
            <w:tcW w:w="1980" w:type="dxa"/>
            <w:vMerge/>
          </w:tcPr>
          <w:p w14:paraId="7A79F7E0" w14:textId="77777777" w:rsidR="00E23051" w:rsidRPr="00F11F4F" w:rsidRDefault="00E23051" w:rsidP="00E23051">
            <w:pPr>
              <w:pStyle w:val="i"/>
              <w:spacing w:before="120" w:after="120"/>
              <w:jc w:val="left"/>
              <w:rPr>
                <w:rFonts w:ascii="Arial" w:hAnsi="Arial" w:cs="Arial"/>
                <w:b/>
                <w:sz w:val="22"/>
                <w:szCs w:val="22"/>
                <w:lang w:val="es-ES"/>
              </w:rPr>
            </w:pPr>
          </w:p>
        </w:tc>
        <w:tc>
          <w:tcPr>
            <w:tcW w:w="720" w:type="dxa"/>
            <w:tcBorders>
              <w:right w:val="nil"/>
            </w:tcBorders>
          </w:tcPr>
          <w:p w14:paraId="3427429D" w14:textId="77777777" w:rsidR="00E23051" w:rsidRPr="00F11F4F" w:rsidRDefault="00E23051" w:rsidP="00E23051">
            <w:pPr>
              <w:pStyle w:val="i"/>
              <w:spacing w:before="120" w:after="120"/>
              <w:ind w:left="-108" w:right="-108"/>
              <w:jc w:val="center"/>
              <w:rPr>
                <w:rFonts w:ascii="Arial" w:hAnsi="Arial" w:cs="Arial"/>
                <w:sz w:val="22"/>
                <w:szCs w:val="22"/>
                <w:lang w:val="es-ES"/>
              </w:rPr>
            </w:pPr>
            <w:r w:rsidRPr="00F11F4F">
              <w:rPr>
                <w:rFonts w:ascii="Arial" w:hAnsi="Arial" w:cs="Arial"/>
                <w:sz w:val="22"/>
                <w:szCs w:val="22"/>
                <w:lang w:val="es-ES"/>
              </w:rPr>
              <w:t>35.2</w:t>
            </w:r>
          </w:p>
        </w:tc>
        <w:tc>
          <w:tcPr>
            <w:tcW w:w="6660" w:type="dxa"/>
            <w:tcBorders>
              <w:left w:val="nil"/>
            </w:tcBorders>
          </w:tcPr>
          <w:p w14:paraId="61334CC9" w14:textId="77777777" w:rsidR="00E23051" w:rsidRPr="00F11F4F" w:rsidRDefault="00E23051" w:rsidP="00C11494">
            <w:pPr>
              <w:pStyle w:val="Header2-SubClauses"/>
              <w:tabs>
                <w:tab w:val="clear" w:pos="619"/>
              </w:tabs>
              <w:spacing w:before="120" w:after="120"/>
              <w:ind w:left="-112"/>
              <w:rPr>
                <w:rFonts w:ascii="Arial" w:hAnsi="Arial" w:cs="Arial"/>
                <w:sz w:val="22"/>
                <w:szCs w:val="22"/>
                <w:lang w:val="es-ES"/>
              </w:rPr>
            </w:pPr>
            <w:r w:rsidRPr="00F11F4F">
              <w:rPr>
                <w:rFonts w:ascii="Arial" w:hAnsi="Arial" w:cs="Arial"/>
                <w:sz w:val="22"/>
                <w:szCs w:val="22"/>
                <w:lang w:val="es-ES"/>
              </w:rPr>
              <w:t xml:space="preserve">Para evaluar una Oferta, </w:t>
            </w:r>
            <w:r w:rsidRPr="00F11F4F">
              <w:rPr>
                <w:rFonts w:ascii="Arial" w:hAnsi="Arial" w:cs="Arial"/>
                <w:i/>
                <w:sz w:val="22"/>
                <w:szCs w:val="22"/>
                <w:lang w:val="es-ES"/>
              </w:rPr>
              <w:t xml:space="preserve">el </w:t>
            </w:r>
            <w:r w:rsidRPr="00F11F4F">
              <w:rPr>
                <w:rStyle w:val="StyleHeader2-SubClausesItalicChar"/>
                <w:rFonts w:ascii="Arial" w:hAnsi="Arial"/>
                <w:i w:val="0"/>
                <w:sz w:val="22"/>
                <w:szCs w:val="22"/>
                <w:lang w:val="es-ES"/>
              </w:rPr>
              <w:t>Contratante considerará lo siguiente</w:t>
            </w:r>
            <w:r w:rsidRPr="00F11F4F">
              <w:rPr>
                <w:rFonts w:ascii="Arial" w:hAnsi="Arial" w:cs="Arial"/>
                <w:sz w:val="22"/>
                <w:szCs w:val="22"/>
                <w:lang w:val="es-ES"/>
              </w:rPr>
              <w:t>:</w:t>
            </w:r>
          </w:p>
          <w:p w14:paraId="0815AD5D" w14:textId="77777777" w:rsidR="00E23051" w:rsidRPr="00F11F4F" w:rsidRDefault="00E23051" w:rsidP="0071608E">
            <w:pPr>
              <w:numPr>
                <w:ilvl w:val="0"/>
                <w:numId w:val="42"/>
              </w:numPr>
              <w:spacing w:before="120" w:after="120"/>
              <w:ind w:left="248" w:hanging="358"/>
              <w:rPr>
                <w:rFonts w:ascii="Arial" w:hAnsi="Arial" w:cs="Arial"/>
                <w:sz w:val="22"/>
                <w:szCs w:val="22"/>
                <w:lang w:val="es-ES"/>
              </w:rPr>
            </w:pPr>
            <w:r w:rsidRPr="00F11F4F">
              <w:rPr>
                <w:rFonts w:ascii="Arial" w:hAnsi="Arial" w:cs="Arial"/>
                <w:sz w:val="22"/>
                <w:szCs w:val="22"/>
                <w:lang w:val="es-ES"/>
              </w:rPr>
              <w:t xml:space="preserve">El precio de la Oferta, excluidas </w:t>
            </w:r>
            <w:r w:rsidRPr="00F11F4F">
              <w:rPr>
                <w:rFonts w:ascii="Arial" w:hAnsi="Arial" w:cs="Arial"/>
                <w:color w:val="000000"/>
                <w:sz w:val="22"/>
                <w:szCs w:val="22"/>
                <w:lang w:val="es-ES"/>
              </w:rPr>
              <w:t>las sumas</w:t>
            </w:r>
            <w:r w:rsidRPr="00F11F4F">
              <w:rPr>
                <w:rFonts w:ascii="Arial" w:hAnsi="Arial" w:cs="Arial"/>
                <w:sz w:val="22"/>
                <w:szCs w:val="22"/>
                <w:lang w:val="es-ES"/>
              </w:rPr>
              <w:t xml:space="preserve"> provisionales y la reserva para imprevistos, de haberla, que se indican en las Listas de Cantidades (contratos por precios unitarios) o Calendario de Actividades (contratos por suma global) e incluyendo los rubros correspondientes a Trabajos por Administración, cuyos precios por día se hubiesen obtenido competitivamente;</w:t>
            </w:r>
          </w:p>
          <w:p w14:paraId="42A8834E" w14:textId="77777777" w:rsidR="00E23051" w:rsidRPr="00F11F4F" w:rsidRDefault="00E23051" w:rsidP="0071608E">
            <w:pPr>
              <w:numPr>
                <w:ilvl w:val="0"/>
                <w:numId w:val="42"/>
              </w:numPr>
              <w:spacing w:before="120" w:after="120"/>
              <w:ind w:left="248" w:hanging="358"/>
              <w:rPr>
                <w:rFonts w:ascii="Arial" w:hAnsi="Arial" w:cs="Arial"/>
                <w:sz w:val="22"/>
                <w:szCs w:val="22"/>
                <w:lang w:val="es-ES"/>
              </w:rPr>
            </w:pPr>
            <w:r w:rsidRPr="00F11F4F">
              <w:rPr>
                <w:rFonts w:ascii="Arial" w:hAnsi="Arial" w:cs="Arial"/>
                <w:sz w:val="22"/>
                <w:szCs w:val="22"/>
                <w:lang w:val="es-ES"/>
              </w:rPr>
              <w:t>El ajuste de precios por corrección de errores aritméticos, conforme a la IAO 34.1;</w:t>
            </w:r>
          </w:p>
          <w:p w14:paraId="55C21BDB" w14:textId="77777777" w:rsidR="00E23051" w:rsidRPr="00F11F4F" w:rsidRDefault="00E23051" w:rsidP="0071608E">
            <w:pPr>
              <w:numPr>
                <w:ilvl w:val="0"/>
                <w:numId w:val="42"/>
              </w:numPr>
              <w:spacing w:before="120" w:after="120"/>
              <w:ind w:left="248" w:hanging="358"/>
              <w:rPr>
                <w:rFonts w:ascii="Arial" w:hAnsi="Arial" w:cs="Arial"/>
                <w:sz w:val="22"/>
                <w:szCs w:val="22"/>
                <w:lang w:val="es-ES"/>
              </w:rPr>
            </w:pPr>
            <w:r w:rsidRPr="00F11F4F">
              <w:rPr>
                <w:rFonts w:ascii="Arial" w:hAnsi="Arial" w:cs="Arial"/>
                <w:sz w:val="22"/>
                <w:szCs w:val="22"/>
                <w:lang w:val="es-ES"/>
              </w:rPr>
              <w:t xml:space="preserve">El ajuste de precios por inconformidades no significativas, según se establece en la IAO 33.2; y </w:t>
            </w:r>
          </w:p>
          <w:p w14:paraId="12B37634" w14:textId="77777777" w:rsidR="00E23051" w:rsidRPr="00F11F4F" w:rsidRDefault="00E23051" w:rsidP="0071608E">
            <w:pPr>
              <w:pStyle w:val="Prrafodelista"/>
              <w:numPr>
                <w:ilvl w:val="0"/>
                <w:numId w:val="42"/>
              </w:numPr>
              <w:spacing w:before="120" w:after="120"/>
              <w:ind w:left="248" w:hanging="358"/>
              <w:rPr>
                <w:rFonts w:ascii="Arial" w:hAnsi="Arial" w:cs="Arial"/>
                <w:sz w:val="22"/>
                <w:szCs w:val="22"/>
                <w:lang w:val="es-ES"/>
              </w:rPr>
            </w:pPr>
            <w:r w:rsidRPr="00F11F4F">
              <w:rPr>
                <w:rFonts w:ascii="Arial" w:hAnsi="Arial" w:cs="Arial"/>
                <w:sz w:val="22"/>
                <w:szCs w:val="22"/>
                <w:lang w:val="es-ES"/>
              </w:rPr>
              <w:t>Los factores de evaluación adicionales especificados en la Sección III, Criterios de Evaluación y Calificación.</w:t>
            </w:r>
          </w:p>
        </w:tc>
      </w:tr>
      <w:tr w:rsidR="008F1467" w:rsidRPr="00D26A13" w14:paraId="3C5C8AAD" w14:textId="77777777" w:rsidTr="00205125">
        <w:trPr>
          <w:trHeight w:val="620"/>
        </w:trPr>
        <w:tc>
          <w:tcPr>
            <w:tcW w:w="1980" w:type="dxa"/>
            <w:vMerge/>
          </w:tcPr>
          <w:p w14:paraId="36CFCB15" w14:textId="77777777" w:rsidR="008F1467" w:rsidRPr="00F11F4F"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5CAEC43C" w14:textId="77777777" w:rsidR="008F1467" w:rsidRPr="00F11F4F" w:rsidRDefault="008F1467"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35.3</w:t>
            </w:r>
          </w:p>
        </w:tc>
        <w:tc>
          <w:tcPr>
            <w:tcW w:w="6660" w:type="dxa"/>
            <w:tcBorders>
              <w:left w:val="nil"/>
            </w:tcBorders>
          </w:tcPr>
          <w:p w14:paraId="37AB294F" w14:textId="77777777" w:rsidR="008F1467" w:rsidRPr="00F11F4F" w:rsidRDefault="008F1467" w:rsidP="00E23051">
            <w:pPr>
              <w:pStyle w:val="i"/>
              <w:spacing w:before="100" w:after="100"/>
              <w:ind w:left="-108"/>
              <w:rPr>
                <w:rFonts w:ascii="Arial" w:hAnsi="Arial" w:cs="Arial"/>
                <w:strike/>
                <w:spacing w:val="-4"/>
                <w:sz w:val="22"/>
                <w:szCs w:val="22"/>
                <w:lang w:val="es-ES"/>
              </w:rPr>
            </w:pPr>
            <w:r w:rsidRPr="00F11F4F">
              <w:rPr>
                <w:rFonts w:ascii="Arial" w:hAnsi="Arial" w:cs="Arial"/>
                <w:sz w:val="22"/>
                <w:szCs w:val="22"/>
                <w:lang w:val="es-ES"/>
              </w:rPr>
              <w:t>En la evaluación de las Ofertas no se tendrá en cuenta el efecto estimado de las disposiciones sobre ajuste de precios que se hayan establecido en las Condiciones contractuales, aplicadas durante el período de ejecución de este Contrato</w:t>
            </w:r>
          </w:p>
        </w:tc>
      </w:tr>
      <w:tr w:rsidR="008F1467" w:rsidRPr="00D26A13" w14:paraId="4D3AEDDB" w14:textId="77777777" w:rsidTr="00205125">
        <w:trPr>
          <w:trHeight w:val="1006"/>
        </w:trPr>
        <w:tc>
          <w:tcPr>
            <w:tcW w:w="1980" w:type="dxa"/>
            <w:vMerge/>
          </w:tcPr>
          <w:p w14:paraId="4540D38F" w14:textId="77777777" w:rsidR="008F1467" w:rsidRPr="00F11F4F" w:rsidRDefault="008F1467" w:rsidP="00E23051">
            <w:pPr>
              <w:pStyle w:val="i"/>
              <w:spacing w:before="100" w:after="100"/>
              <w:jc w:val="left"/>
              <w:rPr>
                <w:rFonts w:ascii="Arial" w:hAnsi="Arial" w:cs="Arial"/>
                <w:b/>
                <w:sz w:val="22"/>
                <w:szCs w:val="22"/>
                <w:lang w:val="es-ES"/>
              </w:rPr>
            </w:pPr>
          </w:p>
        </w:tc>
        <w:tc>
          <w:tcPr>
            <w:tcW w:w="720" w:type="dxa"/>
            <w:tcBorders>
              <w:right w:val="nil"/>
            </w:tcBorders>
          </w:tcPr>
          <w:p w14:paraId="6300DE14" w14:textId="77777777" w:rsidR="008F1467" w:rsidRPr="00F11F4F" w:rsidRDefault="008F1467"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35.4</w:t>
            </w:r>
          </w:p>
        </w:tc>
        <w:tc>
          <w:tcPr>
            <w:tcW w:w="6660" w:type="dxa"/>
            <w:tcBorders>
              <w:left w:val="nil"/>
            </w:tcBorders>
          </w:tcPr>
          <w:p w14:paraId="335489E5" w14:textId="77777777" w:rsidR="008F1467" w:rsidRPr="00F11F4F" w:rsidRDefault="008F1467"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Si el documento de licitación permite que los oferentes coticen precios separados para diferentes lotes (contratos), la metodología para determinar el costo evaluado más bajo de las combinaciones de contratos se especificará en la Sección III, Criterios de Evaluación.</w:t>
            </w:r>
          </w:p>
        </w:tc>
      </w:tr>
      <w:tr w:rsidR="00E23051" w:rsidRPr="00DE249E" w14:paraId="1F0C7820" w14:textId="77777777" w:rsidTr="00205125">
        <w:trPr>
          <w:trHeight w:val="704"/>
        </w:trPr>
        <w:tc>
          <w:tcPr>
            <w:tcW w:w="1980" w:type="dxa"/>
          </w:tcPr>
          <w:p w14:paraId="68C3D854" w14:textId="77777777" w:rsidR="00E23051" w:rsidRPr="0049753E" w:rsidRDefault="00E23051" w:rsidP="0049753E">
            <w:pPr>
              <w:pStyle w:val="IAO2"/>
            </w:pPr>
            <w:bookmarkStart w:id="284" w:name="_Toc74048212"/>
            <w:bookmarkStart w:id="285" w:name="_Toc74518456"/>
            <w:bookmarkStart w:id="286" w:name="_Toc74519180"/>
            <w:bookmarkStart w:id="287" w:name="_Toc74519996"/>
            <w:bookmarkStart w:id="288" w:name="_Toc74781370"/>
            <w:bookmarkStart w:id="289" w:name="_Toc74894120"/>
            <w:r w:rsidRPr="0049753E">
              <w:lastRenderedPageBreak/>
              <w:t>36. Comparación de las Ofertas</w:t>
            </w:r>
            <w:bookmarkEnd w:id="284"/>
            <w:bookmarkEnd w:id="285"/>
            <w:bookmarkEnd w:id="286"/>
            <w:bookmarkEnd w:id="287"/>
            <w:bookmarkEnd w:id="288"/>
            <w:bookmarkEnd w:id="289"/>
          </w:p>
        </w:tc>
        <w:tc>
          <w:tcPr>
            <w:tcW w:w="720" w:type="dxa"/>
            <w:tcBorders>
              <w:right w:val="nil"/>
            </w:tcBorders>
          </w:tcPr>
          <w:p w14:paraId="3C4EEC54" w14:textId="77777777" w:rsidR="00E23051" w:rsidRPr="00F11F4F" w:rsidRDefault="00E23051"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36.1</w:t>
            </w:r>
          </w:p>
        </w:tc>
        <w:tc>
          <w:tcPr>
            <w:tcW w:w="6660" w:type="dxa"/>
            <w:tcBorders>
              <w:left w:val="nil"/>
              <w:bottom w:val="single" w:sz="4" w:space="0" w:color="auto"/>
            </w:tcBorders>
          </w:tcPr>
          <w:p w14:paraId="3ACD15E0"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El Contratante, analizará, calificará, evaluará y comparará todas las ofertas que se ajustan sustancialmente a los Documentos de Licitación con el objeto de seleccionar al adjudicatario.</w:t>
            </w:r>
          </w:p>
          <w:p w14:paraId="68CD1787"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La oferta técnica deberá cumplir con todos los criterios de evaluación para poder pasar a la fase de evaluación económica </w:t>
            </w:r>
          </w:p>
        </w:tc>
      </w:tr>
      <w:tr w:rsidR="00C20B1D" w:rsidRPr="00A33F6B" w14:paraId="70DC1ECB" w14:textId="77777777" w:rsidTr="00205125">
        <w:tc>
          <w:tcPr>
            <w:tcW w:w="1980" w:type="dxa"/>
            <w:vMerge w:val="restart"/>
          </w:tcPr>
          <w:p w14:paraId="3C69348C" w14:textId="77777777" w:rsidR="00C20B1D" w:rsidRPr="00A62659" w:rsidRDefault="00C20B1D" w:rsidP="00A62659">
            <w:pPr>
              <w:pStyle w:val="IAO2"/>
            </w:pPr>
            <w:bookmarkStart w:id="290" w:name="_Toc74048213"/>
            <w:bookmarkStart w:id="291" w:name="_Toc74518457"/>
            <w:bookmarkStart w:id="292" w:name="_Toc74519181"/>
            <w:bookmarkStart w:id="293" w:name="_Toc74519997"/>
            <w:bookmarkStart w:id="294" w:name="_Toc74781371"/>
            <w:bookmarkStart w:id="295" w:name="_Toc74894121"/>
            <w:r w:rsidRPr="00A62659">
              <w:t>37.</w:t>
            </w:r>
            <w:r w:rsidR="00A62659" w:rsidRPr="00A62659">
              <w:t xml:space="preserve"> </w:t>
            </w:r>
            <w:r w:rsidR="00002490" w:rsidRPr="00A62659">
              <w:t>O</w:t>
            </w:r>
            <w:r w:rsidRPr="00A62659">
              <w:t>fertas Anormalmente Bajas</w:t>
            </w:r>
            <w:bookmarkEnd w:id="290"/>
            <w:bookmarkEnd w:id="291"/>
            <w:bookmarkEnd w:id="292"/>
            <w:bookmarkEnd w:id="293"/>
            <w:bookmarkEnd w:id="294"/>
            <w:bookmarkEnd w:id="295"/>
          </w:p>
        </w:tc>
        <w:tc>
          <w:tcPr>
            <w:tcW w:w="720" w:type="dxa"/>
            <w:tcBorders>
              <w:right w:val="nil"/>
            </w:tcBorders>
          </w:tcPr>
          <w:p w14:paraId="2B11BF4B" w14:textId="77777777" w:rsidR="00C20B1D" w:rsidRPr="00F11F4F" w:rsidRDefault="00C20B1D"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37.1</w:t>
            </w:r>
          </w:p>
        </w:tc>
        <w:tc>
          <w:tcPr>
            <w:tcW w:w="6660" w:type="dxa"/>
            <w:tcBorders>
              <w:left w:val="nil"/>
              <w:bottom w:val="single" w:sz="4" w:space="0" w:color="auto"/>
            </w:tcBorders>
          </w:tcPr>
          <w:p w14:paraId="62E47151" w14:textId="77777777" w:rsidR="00C20B1D" w:rsidRPr="00F11F4F" w:rsidRDefault="00C20B1D" w:rsidP="00E23051">
            <w:pPr>
              <w:pStyle w:val="i"/>
              <w:spacing w:before="100" w:after="100"/>
              <w:ind w:left="-111"/>
              <w:rPr>
                <w:rFonts w:ascii="Arial" w:hAnsi="Arial" w:cs="Arial"/>
                <w:sz w:val="22"/>
                <w:szCs w:val="22"/>
                <w:lang w:val="es-ES"/>
              </w:rPr>
            </w:pPr>
            <w:r w:rsidRPr="00F11F4F">
              <w:rPr>
                <w:rFonts w:ascii="Arial" w:hAnsi="Arial" w:cs="Arial"/>
                <w:spacing w:val="-4"/>
                <w:sz w:val="22"/>
                <w:szCs w:val="22"/>
                <w:lang w:val="es-ES"/>
              </w:rPr>
              <w:t>Una oferta anormalmente baja es aquella cuyo precio, en combinación con otros elementos constitutivos de la oferta, parece ser tan bajo que despierta serias dudas sobre la capacidad del oferente para ejecutar el Contrato al precio cotizado.</w:t>
            </w:r>
          </w:p>
        </w:tc>
      </w:tr>
      <w:tr w:rsidR="00C20B1D" w:rsidRPr="00A33F6B" w14:paraId="2EC08F52" w14:textId="77777777" w:rsidTr="00205125">
        <w:tc>
          <w:tcPr>
            <w:tcW w:w="1980" w:type="dxa"/>
            <w:vMerge/>
          </w:tcPr>
          <w:p w14:paraId="479640F1" w14:textId="77777777" w:rsidR="00C20B1D" w:rsidRPr="00F11F4F" w:rsidRDefault="00C20B1D" w:rsidP="00E23051">
            <w:pPr>
              <w:pStyle w:val="explanatorynotes"/>
              <w:suppressAutoHyphens w:val="0"/>
              <w:spacing w:before="100" w:after="100" w:line="240" w:lineRule="auto"/>
              <w:rPr>
                <w:rFonts w:cs="Arial"/>
                <w:sz w:val="22"/>
                <w:szCs w:val="22"/>
                <w:lang w:val="es-ES"/>
              </w:rPr>
            </w:pPr>
          </w:p>
        </w:tc>
        <w:tc>
          <w:tcPr>
            <w:tcW w:w="720" w:type="dxa"/>
            <w:tcBorders>
              <w:right w:val="nil"/>
            </w:tcBorders>
          </w:tcPr>
          <w:p w14:paraId="6A46264E" w14:textId="77777777" w:rsidR="00C20B1D" w:rsidRPr="00F11F4F" w:rsidRDefault="00C20B1D"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37.2</w:t>
            </w:r>
          </w:p>
        </w:tc>
        <w:tc>
          <w:tcPr>
            <w:tcW w:w="6660" w:type="dxa"/>
            <w:tcBorders>
              <w:left w:val="nil"/>
              <w:bottom w:val="single" w:sz="4" w:space="0" w:color="auto"/>
            </w:tcBorders>
          </w:tcPr>
          <w:p w14:paraId="2038667D" w14:textId="77777777" w:rsidR="00C20B1D" w:rsidRPr="00F11F4F" w:rsidRDefault="00C20B1D" w:rsidP="00E23051">
            <w:pPr>
              <w:pStyle w:val="i"/>
              <w:spacing w:before="100" w:after="100"/>
              <w:ind w:left="-111"/>
              <w:rPr>
                <w:rFonts w:ascii="Arial" w:hAnsi="Arial" w:cs="Arial"/>
                <w:sz w:val="22"/>
                <w:szCs w:val="22"/>
                <w:lang w:val="es-ES"/>
              </w:rPr>
            </w:pPr>
            <w:r w:rsidRPr="00F11F4F">
              <w:rPr>
                <w:rFonts w:ascii="Arial" w:hAnsi="Arial" w:cs="Arial"/>
                <w:sz w:val="22"/>
                <w:szCs w:val="22"/>
                <w:lang w:val="es-ES"/>
              </w:rPr>
              <w:t xml:space="preserve">En caso de detectar lo que podría constituir una </w:t>
            </w:r>
            <w:r w:rsidRPr="00F11F4F">
              <w:rPr>
                <w:rFonts w:ascii="Arial" w:hAnsi="Arial" w:cs="Arial"/>
                <w:spacing w:val="-4"/>
                <w:sz w:val="22"/>
                <w:szCs w:val="22"/>
                <w:lang w:val="es-ES"/>
              </w:rPr>
              <w:t>oferta anormalmente baja</w:t>
            </w:r>
            <w:r w:rsidRPr="00F11F4F">
              <w:rPr>
                <w:rFonts w:ascii="Arial" w:hAnsi="Arial" w:cs="Arial"/>
                <w:color w:val="000000"/>
                <w:spacing w:val="-4"/>
                <w:sz w:val="22"/>
                <w:szCs w:val="22"/>
                <w:lang w:val="es-ES"/>
              </w:rPr>
              <w:t xml:space="preserve">, el Contratante pedirá al oferente que brinde aclaraciones por escrito y, en especial, que presente análisis </w:t>
            </w:r>
            <w:r w:rsidRPr="00F11F4F">
              <w:rPr>
                <w:rFonts w:ascii="Arial" w:hAnsi="Arial" w:cs="Arial"/>
                <w:noProof/>
                <w:sz w:val="22"/>
                <w:szCs w:val="22"/>
                <w:lang w:val="es-ES"/>
              </w:rPr>
              <w:t>pormenorizados</w:t>
            </w:r>
            <w:r w:rsidRPr="00F11F4F">
              <w:rPr>
                <w:rFonts w:ascii="Arial" w:hAnsi="Arial" w:cs="Arial"/>
                <w:color w:val="000000"/>
                <w:spacing w:val="-4"/>
                <w:sz w:val="22"/>
                <w:szCs w:val="22"/>
                <w:lang w:val="es-ES"/>
              </w:rPr>
              <w:t xml:space="preserve"> del Precio de la Oferta en relación con el objeto del Contrato, el alcance, la metodología propuesta, el cronograma, la distribución de riesgos y responsabilidades, y de cualquier otro requisito establecido en el documento de licitación.</w:t>
            </w:r>
          </w:p>
        </w:tc>
      </w:tr>
      <w:tr w:rsidR="00C20B1D" w:rsidRPr="00A33F6B" w14:paraId="72288DCB" w14:textId="77777777" w:rsidTr="00205125">
        <w:tc>
          <w:tcPr>
            <w:tcW w:w="1980" w:type="dxa"/>
            <w:vMerge/>
          </w:tcPr>
          <w:p w14:paraId="2C470253" w14:textId="77777777" w:rsidR="00C20B1D" w:rsidRPr="00F11F4F" w:rsidRDefault="00C20B1D" w:rsidP="00E23051">
            <w:pPr>
              <w:pStyle w:val="Header1-Clauses"/>
              <w:numPr>
                <w:ilvl w:val="0"/>
                <w:numId w:val="0"/>
              </w:numPr>
              <w:spacing w:before="100" w:after="100"/>
              <w:rPr>
                <w:rFonts w:ascii="Arial" w:hAnsi="Arial" w:cs="Arial"/>
                <w:b w:val="0"/>
                <w:sz w:val="22"/>
                <w:szCs w:val="22"/>
                <w:lang w:val="es-ES"/>
              </w:rPr>
            </w:pPr>
          </w:p>
        </w:tc>
        <w:tc>
          <w:tcPr>
            <w:tcW w:w="720" w:type="dxa"/>
            <w:tcBorders>
              <w:right w:val="nil"/>
            </w:tcBorders>
          </w:tcPr>
          <w:p w14:paraId="3B30F335" w14:textId="77777777" w:rsidR="00C20B1D" w:rsidRPr="00F11F4F" w:rsidRDefault="00C20B1D" w:rsidP="00E23051">
            <w:pPr>
              <w:pStyle w:val="i"/>
              <w:spacing w:before="100" w:after="100"/>
              <w:ind w:left="-108" w:right="-108"/>
              <w:jc w:val="center"/>
              <w:rPr>
                <w:rFonts w:ascii="Arial" w:hAnsi="Arial" w:cs="Arial"/>
                <w:sz w:val="22"/>
                <w:szCs w:val="22"/>
                <w:lang w:val="es-ES"/>
              </w:rPr>
            </w:pPr>
            <w:r w:rsidRPr="00F11F4F">
              <w:rPr>
                <w:rFonts w:ascii="Arial" w:hAnsi="Arial" w:cs="Arial"/>
                <w:sz w:val="22"/>
                <w:szCs w:val="22"/>
                <w:lang w:val="es-ES"/>
              </w:rPr>
              <w:t>37.3</w:t>
            </w:r>
          </w:p>
        </w:tc>
        <w:tc>
          <w:tcPr>
            <w:tcW w:w="6660" w:type="dxa"/>
            <w:tcBorders>
              <w:left w:val="nil"/>
              <w:bottom w:val="single" w:sz="4" w:space="0" w:color="auto"/>
            </w:tcBorders>
          </w:tcPr>
          <w:p w14:paraId="5FEF15EA" w14:textId="77777777" w:rsidR="00C20B1D" w:rsidRPr="00F11F4F" w:rsidRDefault="00C20B1D" w:rsidP="00E23051">
            <w:pPr>
              <w:autoSpaceDE w:val="0"/>
              <w:autoSpaceDN w:val="0"/>
              <w:adjustRightInd w:val="0"/>
              <w:spacing w:before="100" w:after="100"/>
              <w:ind w:left="-111"/>
              <w:rPr>
                <w:rFonts w:ascii="Arial" w:hAnsi="Arial" w:cs="Arial"/>
                <w:color w:val="000000"/>
                <w:sz w:val="22"/>
                <w:szCs w:val="22"/>
                <w:lang w:val="es-HN"/>
              </w:rPr>
            </w:pPr>
            <w:r w:rsidRPr="00F11F4F">
              <w:rPr>
                <w:rFonts w:ascii="Arial" w:hAnsi="Arial" w:cs="Arial"/>
                <w:spacing w:val="-4"/>
                <w:sz w:val="22"/>
                <w:szCs w:val="22"/>
                <w:lang w:val="es-ES"/>
              </w:rPr>
              <w:t xml:space="preserve">Tras evaluar los análisis de precios, si determina que el oferente no ha demostrado su capacidad para ejecutar el Contrato al precio cotizado, el Contratante rechazará la Oferta. </w:t>
            </w:r>
          </w:p>
        </w:tc>
      </w:tr>
      <w:tr w:rsidR="00D06FFB" w:rsidRPr="000951BC" w14:paraId="54799477" w14:textId="77777777" w:rsidTr="00205125">
        <w:trPr>
          <w:trHeight w:val="440"/>
        </w:trPr>
        <w:tc>
          <w:tcPr>
            <w:tcW w:w="1980" w:type="dxa"/>
            <w:vMerge w:val="restart"/>
            <w:shd w:val="clear" w:color="auto" w:fill="auto"/>
          </w:tcPr>
          <w:p w14:paraId="18D49225" w14:textId="77777777" w:rsidR="00D06FFB" w:rsidRPr="00EB0F61" w:rsidRDefault="00D06FFB" w:rsidP="00EB0F61">
            <w:pPr>
              <w:pStyle w:val="IAO2"/>
            </w:pPr>
            <w:bookmarkStart w:id="296" w:name="_Toc74048214"/>
            <w:bookmarkStart w:id="297" w:name="_Toc74518458"/>
            <w:bookmarkStart w:id="298" w:name="_Toc74519182"/>
            <w:bookmarkStart w:id="299" w:name="_Toc74519998"/>
            <w:bookmarkStart w:id="300" w:name="_Toc74781372"/>
            <w:bookmarkStart w:id="301" w:name="_Toc74894122"/>
            <w:r w:rsidRPr="00EB0F61">
              <w:t xml:space="preserve">38. </w:t>
            </w:r>
            <w:r w:rsidRPr="00EB0F61">
              <w:rPr>
                <w:rStyle w:val="IAO2Char"/>
                <w:b/>
              </w:rPr>
              <w:t>Calificación del oferente</w:t>
            </w:r>
            <w:bookmarkEnd w:id="296"/>
            <w:bookmarkEnd w:id="297"/>
            <w:bookmarkEnd w:id="298"/>
            <w:bookmarkEnd w:id="299"/>
            <w:bookmarkEnd w:id="300"/>
            <w:bookmarkEnd w:id="301"/>
          </w:p>
        </w:tc>
        <w:tc>
          <w:tcPr>
            <w:tcW w:w="720" w:type="dxa"/>
            <w:tcBorders>
              <w:right w:val="nil"/>
            </w:tcBorders>
          </w:tcPr>
          <w:p w14:paraId="2DF75069" w14:textId="77777777" w:rsidR="00D06FFB" w:rsidRPr="00F11F4F" w:rsidRDefault="00D06FFB" w:rsidP="005C5262">
            <w:pPr>
              <w:pStyle w:val="Header2-SubClauses"/>
              <w:tabs>
                <w:tab w:val="clear" w:pos="619"/>
              </w:tabs>
              <w:spacing w:before="100" w:after="100"/>
              <w:ind w:left="-81" w:right="-106" w:firstLine="1"/>
              <w:jc w:val="center"/>
              <w:rPr>
                <w:rFonts w:ascii="Arial" w:hAnsi="Arial" w:cs="Arial"/>
                <w:sz w:val="22"/>
                <w:szCs w:val="22"/>
                <w:lang w:val="es-ES"/>
              </w:rPr>
            </w:pPr>
            <w:r w:rsidRPr="00F11F4F">
              <w:rPr>
                <w:rFonts w:ascii="Arial" w:hAnsi="Arial" w:cs="Arial"/>
                <w:sz w:val="22"/>
                <w:szCs w:val="22"/>
                <w:lang w:val="es-ES"/>
              </w:rPr>
              <w:t>38.1</w:t>
            </w:r>
          </w:p>
        </w:tc>
        <w:tc>
          <w:tcPr>
            <w:tcW w:w="6660" w:type="dxa"/>
            <w:tcBorders>
              <w:left w:val="nil"/>
            </w:tcBorders>
            <w:shd w:val="clear" w:color="auto" w:fill="auto"/>
          </w:tcPr>
          <w:p w14:paraId="03D4A41D" w14:textId="77777777" w:rsidR="00D06FFB" w:rsidRPr="00F11F4F" w:rsidRDefault="00D06FFB" w:rsidP="00E23051">
            <w:pPr>
              <w:pStyle w:val="Header2-SubClauses"/>
              <w:tabs>
                <w:tab w:val="clear" w:pos="619"/>
              </w:tabs>
              <w:spacing w:before="100" w:after="100"/>
              <w:ind w:left="-111" w:firstLine="1"/>
              <w:rPr>
                <w:rFonts w:ascii="Arial" w:hAnsi="Arial" w:cs="Arial"/>
                <w:sz w:val="22"/>
                <w:szCs w:val="22"/>
                <w:lang w:val="es-ES"/>
              </w:rPr>
            </w:pPr>
            <w:r w:rsidRPr="00F11F4F">
              <w:rPr>
                <w:rFonts w:ascii="Arial" w:hAnsi="Arial" w:cs="Arial"/>
                <w:sz w:val="22"/>
                <w:szCs w:val="22"/>
                <w:lang w:val="es-ES"/>
              </w:rPr>
              <w:t xml:space="preserve">El Contratante de conformidad con los requisitos y criterios de evaluación que se especifican en la sección III Criterios de Evaluación y la información presentada por el oferente de conformidad con la sección IV Formularios de la Licitación, realizará la evaluación de las ofertas, estableciendo el orden de prelación de las mismas y determinará cual es la oferta más conveniente. </w:t>
            </w:r>
          </w:p>
          <w:p w14:paraId="0FA8A975" w14:textId="77777777" w:rsidR="00D06FFB" w:rsidRPr="00F11F4F" w:rsidRDefault="00D06FFB" w:rsidP="00946D3C">
            <w:pPr>
              <w:pStyle w:val="Header2-SubClauses"/>
              <w:tabs>
                <w:tab w:val="clear" w:pos="619"/>
              </w:tabs>
              <w:spacing w:before="100" w:after="100"/>
              <w:ind w:left="-111" w:firstLine="1"/>
              <w:rPr>
                <w:rFonts w:ascii="Arial" w:hAnsi="Arial" w:cs="Arial"/>
                <w:sz w:val="22"/>
                <w:szCs w:val="22"/>
                <w:lang w:val="es-ES"/>
              </w:rPr>
            </w:pPr>
            <w:r w:rsidRPr="00F11F4F">
              <w:rPr>
                <w:rFonts w:ascii="Arial" w:hAnsi="Arial" w:cs="Arial"/>
                <w:sz w:val="22"/>
                <w:szCs w:val="22"/>
                <w:lang w:val="es-ES"/>
              </w:rPr>
              <w:t>La determinación se basará en el examen de los documentos presentados por el oferente para demostrar que está debidamente calificado, de conformidad con la IAO 18. En la evaluación del oferente no se tendrá en cuenta las calificaciones de otras empresas, como las subsidiarias, entidades matrices, afiliadas, subcontratistas (salvo los subcontratistas especializados, detallados en el numeral 20.3 de los</w:t>
            </w:r>
            <w:r w:rsidRPr="00F11F4F">
              <w:rPr>
                <w:rFonts w:ascii="Arial" w:hAnsi="Arial" w:cs="Arial"/>
                <w:b/>
                <w:sz w:val="22"/>
                <w:szCs w:val="22"/>
                <w:lang w:val="es-ES"/>
              </w:rPr>
              <w:t xml:space="preserve"> DDL</w:t>
            </w:r>
            <w:r w:rsidRPr="00F11F4F">
              <w:rPr>
                <w:rFonts w:ascii="Arial" w:hAnsi="Arial" w:cs="Arial"/>
                <w:sz w:val="22"/>
                <w:szCs w:val="22"/>
                <w:lang w:val="es-ES"/>
              </w:rPr>
              <w:t>), ni de ninguna otra empresa distinta del oferente.</w:t>
            </w:r>
          </w:p>
        </w:tc>
      </w:tr>
      <w:tr w:rsidR="00D06FFB" w:rsidRPr="000951BC" w14:paraId="595939FE" w14:textId="77777777" w:rsidTr="00205125">
        <w:trPr>
          <w:trHeight w:val="440"/>
        </w:trPr>
        <w:tc>
          <w:tcPr>
            <w:tcW w:w="1980" w:type="dxa"/>
            <w:vMerge/>
            <w:shd w:val="clear" w:color="auto" w:fill="auto"/>
          </w:tcPr>
          <w:p w14:paraId="57418474" w14:textId="77777777" w:rsidR="00D06FFB" w:rsidRPr="00F11F4F" w:rsidRDefault="00D06FFB" w:rsidP="00E23051">
            <w:pPr>
              <w:pStyle w:val="i"/>
              <w:spacing w:before="100" w:after="100"/>
              <w:outlineLvl w:val="2"/>
              <w:rPr>
                <w:rFonts w:ascii="Arial" w:hAnsi="Arial" w:cs="Arial"/>
                <w:b/>
                <w:sz w:val="22"/>
                <w:szCs w:val="22"/>
                <w:lang w:val="es-ES"/>
              </w:rPr>
            </w:pPr>
          </w:p>
        </w:tc>
        <w:tc>
          <w:tcPr>
            <w:tcW w:w="720" w:type="dxa"/>
            <w:tcBorders>
              <w:right w:val="nil"/>
            </w:tcBorders>
          </w:tcPr>
          <w:p w14:paraId="07832D36" w14:textId="77777777" w:rsidR="00D06FFB" w:rsidRPr="00F11F4F" w:rsidRDefault="00D06FFB" w:rsidP="00E23051">
            <w:pPr>
              <w:pStyle w:val="Header2-SubClauses"/>
              <w:tabs>
                <w:tab w:val="clear" w:pos="619"/>
              </w:tabs>
              <w:spacing w:before="100" w:after="100"/>
              <w:ind w:left="-81" w:right="-106" w:firstLine="1"/>
              <w:rPr>
                <w:rFonts w:ascii="Arial" w:hAnsi="Arial" w:cs="Arial"/>
                <w:sz w:val="22"/>
                <w:szCs w:val="22"/>
                <w:lang w:val="es-ES"/>
              </w:rPr>
            </w:pPr>
          </w:p>
        </w:tc>
        <w:tc>
          <w:tcPr>
            <w:tcW w:w="6660" w:type="dxa"/>
            <w:tcBorders>
              <w:left w:val="nil"/>
            </w:tcBorders>
            <w:shd w:val="clear" w:color="auto" w:fill="auto"/>
          </w:tcPr>
          <w:p w14:paraId="4E6A26A4" w14:textId="77777777" w:rsidR="00D06FFB" w:rsidRPr="00F11F4F" w:rsidRDefault="00D06FFB" w:rsidP="00E23051">
            <w:pPr>
              <w:pStyle w:val="Header2-SubClauses"/>
              <w:tabs>
                <w:tab w:val="clear" w:pos="619"/>
              </w:tabs>
              <w:spacing w:before="100" w:after="100"/>
              <w:ind w:left="-111" w:firstLine="1"/>
              <w:rPr>
                <w:rFonts w:ascii="Arial" w:hAnsi="Arial" w:cs="Arial"/>
                <w:sz w:val="22"/>
                <w:szCs w:val="22"/>
                <w:lang w:val="es-ES"/>
              </w:rPr>
            </w:pPr>
            <w:r w:rsidRPr="00F11F4F">
              <w:rPr>
                <w:rFonts w:ascii="Arial" w:hAnsi="Arial" w:cs="Arial"/>
                <w:sz w:val="22"/>
                <w:szCs w:val="22"/>
                <w:lang w:val="es-ES"/>
              </w:rPr>
              <w:t>Una confirmación de las calificaciones del oferente con la oferta más conveniente  será condición previa para la adjudicación del Contrato, en caso de no confirmarse dichas calificaciones motivará la descalificación de la Oferta, en cuyo caso el Contratante procederá a determinar, en modo similar, si el Oferente que presentó la Oferta que tiene el costo evaluado más bajo siguiente y que se ajusta sustancialmente a los Documentos de Licitación está calificado para ejecutar el Contrato de manera satisfactoria.</w:t>
            </w:r>
          </w:p>
        </w:tc>
      </w:tr>
      <w:tr w:rsidR="00E23051" w:rsidRPr="00A33F6B" w14:paraId="7DEE3CA4" w14:textId="77777777" w:rsidTr="00205125">
        <w:tc>
          <w:tcPr>
            <w:tcW w:w="1980" w:type="dxa"/>
          </w:tcPr>
          <w:p w14:paraId="4F12AC00" w14:textId="77777777" w:rsidR="00E23051" w:rsidRPr="00F11F4F" w:rsidRDefault="00E23051" w:rsidP="007F1D84">
            <w:pPr>
              <w:pStyle w:val="IAO2"/>
            </w:pPr>
            <w:bookmarkStart w:id="302" w:name="_Toc74048215"/>
            <w:bookmarkStart w:id="303" w:name="_Toc74518459"/>
            <w:bookmarkStart w:id="304" w:name="_Toc74519183"/>
            <w:bookmarkStart w:id="305" w:name="_Toc74519999"/>
            <w:bookmarkStart w:id="306" w:name="_Toc74781373"/>
            <w:bookmarkStart w:id="307" w:name="_Toc74894123"/>
            <w:r w:rsidRPr="00F11F4F">
              <w:lastRenderedPageBreak/>
              <w:t>39. Derecho del Contratante a aceptar cualquier oferta o rechazar alguna o todas las Ofertas</w:t>
            </w:r>
            <w:bookmarkEnd w:id="302"/>
            <w:bookmarkEnd w:id="303"/>
            <w:bookmarkEnd w:id="304"/>
            <w:bookmarkEnd w:id="305"/>
            <w:bookmarkEnd w:id="306"/>
            <w:bookmarkEnd w:id="307"/>
          </w:p>
        </w:tc>
        <w:tc>
          <w:tcPr>
            <w:tcW w:w="720" w:type="dxa"/>
            <w:tcBorders>
              <w:right w:val="nil"/>
            </w:tcBorders>
          </w:tcPr>
          <w:p w14:paraId="1A5D56F7"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11F4F">
              <w:rPr>
                <w:rFonts w:ascii="Arial" w:hAnsi="Arial" w:cs="Arial"/>
                <w:color w:val="000000"/>
                <w:sz w:val="22"/>
                <w:szCs w:val="22"/>
                <w:lang w:val="es-HN"/>
              </w:rPr>
              <w:t>39.1</w:t>
            </w:r>
          </w:p>
          <w:p w14:paraId="09DE08D7" w14:textId="77777777" w:rsidR="00E23051" w:rsidRPr="00F11F4F" w:rsidRDefault="00E23051" w:rsidP="00E23051">
            <w:pPr>
              <w:rPr>
                <w:rFonts w:ascii="Arial" w:hAnsi="Arial" w:cs="Arial"/>
                <w:sz w:val="22"/>
                <w:szCs w:val="22"/>
                <w:lang w:val="es-HN"/>
              </w:rPr>
            </w:pPr>
          </w:p>
          <w:p w14:paraId="2605E20B" w14:textId="77777777" w:rsidR="00E23051" w:rsidRPr="00F11F4F" w:rsidRDefault="00E23051" w:rsidP="00E23051">
            <w:pPr>
              <w:rPr>
                <w:rFonts w:ascii="Arial" w:hAnsi="Arial" w:cs="Arial"/>
                <w:sz w:val="22"/>
                <w:szCs w:val="22"/>
                <w:lang w:val="es-HN"/>
              </w:rPr>
            </w:pPr>
          </w:p>
          <w:p w14:paraId="4ABD93D7"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F11F4F">
              <w:rPr>
                <w:rFonts w:ascii="Arial" w:hAnsi="Arial" w:cs="Arial"/>
                <w:sz w:val="22"/>
                <w:szCs w:val="22"/>
                <w:lang w:val="es-HN"/>
              </w:rPr>
              <w:t xml:space="preserve">    </w:t>
            </w:r>
          </w:p>
        </w:tc>
        <w:tc>
          <w:tcPr>
            <w:tcW w:w="6660" w:type="dxa"/>
            <w:tcBorders>
              <w:left w:val="nil"/>
            </w:tcBorders>
          </w:tcPr>
          <w:p w14:paraId="65DD82C2" w14:textId="77777777" w:rsidR="00A465D1" w:rsidRPr="00F11F4F" w:rsidRDefault="00E23051" w:rsidP="00E23051">
            <w:pPr>
              <w:pStyle w:val="Header2-SubClauses"/>
              <w:tabs>
                <w:tab w:val="clear" w:pos="619"/>
              </w:tabs>
              <w:spacing w:before="100" w:after="100"/>
              <w:ind w:left="-108"/>
              <w:rPr>
                <w:rFonts w:ascii="Arial" w:hAnsi="Arial" w:cs="Arial"/>
                <w:sz w:val="22"/>
                <w:szCs w:val="22"/>
                <w:lang w:val="es-ES"/>
              </w:rPr>
            </w:pPr>
            <w:r w:rsidRPr="00F11F4F">
              <w:rPr>
                <w:rFonts w:ascii="Arial" w:hAnsi="Arial" w:cs="Arial"/>
                <w:sz w:val="22"/>
                <w:szCs w:val="22"/>
                <w:lang w:val="es-ES"/>
              </w:rPr>
              <w:t xml:space="preserve">El Contratante se reserva el derecho de aceptar o rechazar cualquier oferta, de anular el proceso de licitación y de rechazar todas las ofertas en cualquier momento antes de la adjudicación del contrato, sin que por ello adquiera responsabilidad alguna ante los oferentes. En caso de anular el proceso, devolverá con prontitud a todos los oferentes las ofertas y las Garantías de Mantenimiento de Oferta y Firma de Contrato que hubiera recibido.   </w:t>
            </w:r>
          </w:p>
        </w:tc>
      </w:tr>
      <w:tr w:rsidR="00E23051" w:rsidRPr="00A33F6B" w14:paraId="79AF2454" w14:textId="77777777" w:rsidTr="008B63E5">
        <w:trPr>
          <w:trHeight w:val="350"/>
        </w:trPr>
        <w:tc>
          <w:tcPr>
            <w:tcW w:w="1980" w:type="dxa"/>
            <w:tcBorders>
              <w:bottom w:val="single" w:sz="4" w:space="0" w:color="auto"/>
            </w:tcBorders>
          </w:tcPr>
          <w:p w14:paraId="37995C8F" w14:textId="77777777" w:rsidR="00E23051" w:rsidRPr="00F11F4F" w:rsidRDefault="00E23051" w:rsidP="007F1D84">
            <w:pPr>
              <w:pStyle w:val="IAO2"/>
            </w:pPr>
            <w:bookmarkStart w:id="308" w:name="_Toc74048216"/>
            <w:bookmarkStart w:id="309" w:name="_Toc74518460"/>
            <w:bookmarkStart w:id="310" w:name="_Toc74519184"/>
            <w:bookmarkStart w:id="311" w:name="_Toc74520000"/>
            <w:bookmarkStart w:id="312" w:name="_Toc74781374"/>
            <w:bookmarkStart w:id="313" w:name="_Toc74894124"/>
            <w:r w:rsidRPr="00F11F4F">
              <w:t xml:space="preserve">40. </w:t>
            </w:r>
            <w:bookmarkStart w:id="314" w:name="_Toc454790840"/>
            <w:bookmarkStart w:id="315" w:name="_Toc37432988"/>
            <w:r w:rsidRPr="00F11F4F">
              <w:t xml:space="preserve">Notificación </w:t>
            </w:r>
            <w:r w:rsidRPr="00F11F4F">
              <w:br/>
              <w:t xml:space="preserve">de Intención </w:t>
            </w:r>
            <w:r w:rsidRPr="00F11F4F">
              <w:br/>
              <w:t xml:space="preserve">de Adjudicar </w:t>
            </w:r>
            <w:r w:rsidRPr="00F11F4F">
              <w:br/>
              <w:t>el Contrato</w:t>
            </w:r>
            <w:bookmarkEnd w:id="308"/>
            <w:bookmarkEnd w:id="309"/>
            <w:bookmarkEnd w:id="310"/>
            <w:bookmarkEnd w:id="311"/>
            <w:bookmarkEnd w:id="312"/>
            <w:bookmarkEnd w:id="313"/>
            <w:bookmarkEnd w:id="314"/>
            <w:bookmarkEnd w:id="315"/>
          </w:p>
        </w:tc>
        <w:tc>
          <w:tcPr>
            <w:tcW w:w="720" w:type="dxa"/>
            <w:tcBorders>
              <w:right w:val="nil"/>
            </w:tcBorders>
          </w:tcPr>
          <w:p w14:paraId="1180B2E4"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F11F4F">
              <w:rPr>
                <w:rFonts w:ascii="Arial" w:hAnsi="Arial" w:cs="Arial"/>
                <w:color w:val="000000"/>
                <w:sz w:val="22"/>
                <w:szCs w:val="22"/>
                <w:lang w:val="es-HN"/>
              </w:rPr>
              <w:t>40.1</w:t>
            </w:r>
          </w:p>
        </w:tc>
        <w:tc>
          <w:tcPr>
            <w:tcW w:w="6660" w:type="dxa"/>
            <w:tcBorders>
              <w:left w:val="nil"/>
            </w:tcBorders>
          </w:tcPr>
          <w:p w14:paraId="115B9F9C" w14:textId="77777777" w:rsidR="00E23051" w:rsidRPr="00F11F4F" w:rsidRDefault="00E23051" w:rsidP="00961F61">
            <w:pPr>
              <w:pStyle w:val="Header2-SubClauses"/>
              <w:spacing w:after="120"/>
              <w:ind w:left="-110"/>
              <w:rPr>
                <w:rFonts w:ascii="Arial" w:hAnsi="Arial" w:cs="Arial"/>
                <w:sz w:val="22"/>
                <w:szCs w:val="22"/>
                <w:lang w:val="es-ES"/>
              </w:rPr>
            </w:pPr>
            <w:r w:rsidRPr="00F11F4F">
              <w:rPr>
                <w:rFonts w:ascii="Arial" w:hAnsi="Arial" w:cs="Arial"/>
                <w:sz w:val="22"/>
                <w:szCs w:val="22"/>
                <w:lang w:val="es-ES"/>
              </w:rPr>
              <w:t>El Contratante transmitirá a cada oferente, la Notificación de la Intención de Adjudicar el Contrato al oferente seleccionado. La Notificación de la Intención de Adjudicar deberá contener, como mínimo, la siguiente información:</w:t>
            </w:r>
          </w:p>
          <w:p w14:paraId="0306E1CB" w14:textId="77777777" w:rsidR="00E23051" w:rsidRPr="00F11F4F" w:rsidRDefault="00E23051" w:rsidP="0071608E">
            <w:pPr>
              <w:pStyle w:val="Header2-SubClauses"/>
              <w:numPr>
                <w:ilvl w:val="0"/>
                <w:numId w:val="40"/>
              </w:numPr>
              <w:tabs>
                <w:tab w:val="clear" w:pos="619"/>
              </w:tabs>
              <w:spacing w:after="120"/>
              <w:ind w:left="248" w:hanging="358"/>
              <w:rPr>
                <w:rFonts w:ascii="Arial" w:hAnsi="Arial" w:cs="Arial"/>
                <w:sz w:val="22"/>
                <w:szCs w:val="22"/>
                <w:lang w:val="es-ES"/>
              </w:rPr>
            </w:pPr>
            <w:r w:rsidRPr="00F11F4F">
              <w:rPr>
                <w:rFonts w:ascii="Arial" w:hAnsi="Arial" w:cs="Arial"/>
                <w:sz w:val="22"/>
                <w:szCs w:val="22"/>
                <w:lang w:val="es-ES"/>
              </w:rPr>
              <w:t>El nombre y la dirección del oferente que presentó la Oferta seleccionada;</w:t>
            </w:r>
          </w:p>
          <w:p w14:paraId="3A10CC1D" w14:textId="77777777" w:rsidR="00E23051" w:rsidRPr="00F11F4F" w:rsidRDefault="00E23051" w:rsidP="0071608E">
            <w:pPr>
              <w:pStyle w:val="Header2-SubClauses"/>
              <w:numPr>
                <w:ilvl w:val="0"/>
                <w:numId w:val="40"/>
              </w:numPr>
              <w:tabs>
                <w:tab w:val="clear" w:pos="619"/>
                <w:tab w:val="left" w:pos="1026"/>
              </w:tabs>
              <w:spacing w:after="120"/>
              <w:ind w:left="248" w:hanging="358"/>
              <w:rPr>
                <w:rFonts w:ascii="Arial" w:hAnsi="Arial" w:cs="Arial"/>
                <w:sz w:val="22"/>
                <w:szCs w:val="22"/>
                <w:lang w:val="es-ES"/>
              </w:rPr>
            </w:pPr>
            <w:r w:rsidRPr="00F11F4F">
              <w:rPr>
                <w:rFonts w:ascii="Arial" w:hAnsi="Arial" w:cs="Arial"/>
                <w:sz w:val="22"/>
                <w:szCs w:val="22"/>
                <w:lang w:val="es-ES"/>
              </w:rPr>
              <w:t>El precio del Contrato de la Oferta seleccionada;</w:t>
            </w:r>
          </w:p>
          <w:p w14:paraId="31734430" w14:textId="77777777" w:rsidR="00E23051" w:rsidRPr="00F11F4F" w:rsidRDefault="00E23051" w:rsidP="0071608E">
            <w:pPr>
              <w:pStyle w:val="Header2-SubClauses"/>
              <w:numPr>
                <w:ilvl w:val="0"/>
                <w:numId w:val="40"/>
              </w:numPr>
              <w:tabs>
                <w:tab w:val="clear" w:pos="619"/>
                <w:tab w:val="left" w:pos="1026"/>
              </w:tabs>
              <w:spacing w:after="120"/>
              <w:ind w:left="248" w:hanging="358"/>
              <w:rPr>
                <w:rFonts w:ascii="Arial" w:hAnsi="Arial" w:cs="Arial"/>
                <w:sz w:val="22"/>
                <w:szCs w:val="22"/>
                <w:lang w:val="es-ES"/>
              </w:rPr>
            </w:pPr>
            <w:r w:rsidRPr="00F11F4F">
              <w:rPr>
                <w:rFonts w:ascii="Arial" w:hAnsi="Arial" w:cs="Arial"/>
                <w:sz w:val="22"/>
                <w:szCs w:val="22"/>
                <w:lang w:val="es-ES"/>
              </w:rPr>
              <w:t>Los nombres de todos los oferentes que presentaron Ofertas, y los precios de sus Ofertas leídos en voz alta y evaluados;</w:t>
            </w:r>
          </w:p>
          <w:p w14:paraId="2E0BB324" w14:textId="77777777" w:rsidR="00D43649" w:rsidRPr="00F11F4F" w:rsidRDefault="00E23051" w:rsidP="0071608E">
            <w:pPr>
              <w:pStyle w:val="Header2-SubClauses"/>
              <w:numPr>
                <w:ilvl w:val="0"/>
                <w:numId w:val="40"/>
              </w:numPr>
              <w:tabs>
                <w:tab w:val="clear" w:pos="619"/>
                <w:tab w:val="left" w:pos="1026"/>
              </w:tabs>
              <w:spacing w:after="120"/>
              <w:ind w:left="248" w:hanging="358"/>
              <w:rPr>
                <w:rFonts w:ascii="Arial" w:hAnsi="Arial" w:cs="Arial"/>
                <w:sz w:val="22"/>
                <w:szCs w:val="22"/>
                <w:lang w:val="es-ES"/>
              </w:rPr>
            </w:pPr>
            <w:r w:rsidRPr="00F11F4F">
              <w:rPr>
                <w:rFonts w:ascii="Arial" w:hAnsi="Arial" w:cs="Arial"/>
                <w:sz w:val="22"/>
                <w:szCs w:val="22"/>
                <w:lang w:val="es-ES"/>
              </w:rPr>
              <w:t>Una declaración de las razones por las cuales no se seleccionó la Oferta del oferente no favorecido a quien se dirige la notificación, a menos que en la información mencionada en el inciso</w:t>
            </w:r>
            <w:r w:rsidR="00D4438A" w:rsidRPr="00F11F4F">
              <w:rPr>
                <w:rFonts w:ascii="Arial" w:hAnsi="Arial" w:cs="Arial"/>
                <w:sz w:val="22"/>
                <w:szCs w:val="22"/>
                <w:lang w:val="es-ES"/>
              </w:rPr>
              <w:t xml:space="preserve"> (c)</w:t>
            </w:r>
            <w:r w:rsidRPr="00F11F4F">
              <w:rPr>
                <w:rFonts w:ascii="Arial" w:hAnsi="Arial" w:cs="Arial"/>
                <w:sz w:val="22"/>
                <w:szCs w:val="22"/>
                <w:lang w:val="es-ES"/>
              </w:rPr>
              <w:t xml:space="preserve"> se incluyan dichas razones;</w:t>
            </w:r>
          </w:p>
          <w:p w14:paraId="11E42D6B" w14:textId="77777777" w:rsidR="00261035" w:rsidRPr="00F11F4F" w:rsidRDefault="00E23051" w:rsidP="0071608E">
            <w:pPr>
              <w:pStyle w:val="Header2-SubClauses"/>
              <w:numPr>
                <w:ilvl w:val="0"/>
                <w:numId w:val="40"/>
              </w:numPr>
              <w:tabs>
                <w:tab w:val="clear" w:pos="619"/>
                <w:tab w:val="left" w:pos="1026"/>
              </w:tabs>
              <w:spacing w:after="120"/>
              <w:ind w:left="248" w:hanging="358"/>
              <w:rPr>
                <w:rFonts w:ascii="Arial" w:hAnsi="Arial" w:cs="Arial"/>
                <w:sz w:val="22"/>
                <w:szCs w:val="22"/>
                <w:lang w:val="es-ES"/>
              </w:rPr>
            </w:pPr>
            <w:r w:rsidRPr="00F11F4F">
              <w:rPr>
                <w:rFonts w:ascii="Arial" w:hAnsi="Arial" w:cs="Arial"/>
                <w:sz w:val="22"/>
                <w:szCs w:val="22"/>
                <w:lang w:val="es-ES"/>
              </w:rPr>
              <w:t>La fecha de vencimiento del periodo para presentar protestas y las instrucciones sobre cómo solicitar explicaciones del acto de selección o presentar una protesta</w:t>
            </w:r>
            <w:r w:rsidR="00C11494">
              <w:rPr>
                <w:rFonts w:ascii="Arial" w:hAnsi="Arial" w:cs="Arial"/>
                <w:sz w:val="22"/>
                <w:szCs w:val="22"/>
                <w:lang w:val="es-ES"/>
              </w:rPr>
              <w:t>.</w:t>
            </w:r>
          </w:p>
        </w:tc>
      </w:tr>
      <w:tr w:rsidR="00E23051" w:rsidRPr="00A33F6B" w14:paraId="64860F59" w14:textId="77777777" w:rsidTr="00205125">
        <w:trPr>
          <w:trHeight w:val="1700"/>
        </w:trPr>
        <w:tc>
          <w:tcPr>
            <w:tcW w:w="1980" w:type="dxa"/>
            <w:vMerge w:val="restart"/>
            <w:shd w:val="clear" w:color="auto" w:fill="auto"/>
          </w:tcPr>
          <w:p w14:paraId="4F11AF23" w14:textId="77777777" w:rsidR="00E23051" w:rsidRPr="0049753E" w:rsidRDefault="00E23051" w:rsidP="0049753E">
            <w:pPr>
              <w:pStyle w:val="IAO2"/>
              <w:rPr>
                <w:rStyle w:val="IAO2Char"/>
                <w:b/>
              </w:rPr>
            </w:pPr>
            <w:bookmarkStart w:id="316" w:name="_Toc74048217"/>
            <w:bookmarkStart w:id="317" w:name="_Toc74518461"/>
            <w:bookmarkStart w:id="318" w:name="_Toc74519185"/>
            <w:bookmarkStart w:id="319" w:name="_Toc74520001"/>
            <w:bookmarkStart w:id="320" w:name="_Toc74781375"/>
            <w:bookmarkStart w:id="321" w:name="_Toc74894125"/>
            <w:r w:rsidRPr="0049753E">
              <w:t xml:space="preserve">41. </w:t>
            </w:r>
            <w:r w:rsidRPr="0049753E">
              <w:rPr>
                <w:rStyle w:val="IAO2Char"/>
                <w:b/>
              </w:rPr>
              <w:t>Presentación de Protestas en el proceso de adquisición</w:t>
            </w:r>
            <w:bookmarkEnd w:id="316"/>
            <w:bookmarkEnd w:id="317"/>
            <w:bookmarkEnd w:id="318"/>
            <w:bookmarkEnd w:id="319"/>
            <w:bookmarkEnd w:id="320"/>
            <w:bookmarkEnd w:id="321"/>
          </w:p>
          <w:p w14:paraId="7478BF08" w14:textId="77777777" w:rsidR="001C3A8E" w:rsidRPr="00F11F4F" w:rsidRDefault="001C3A8E" w:rsidP="00E23051">
            <w:pPr>
              <w:pStyle w:val="i"/>
              <w:spacing w:before="100" w:after="100"/>
              <w:outlineLvl w:val="2"/>
              <w:rPr>
                <w:rFonts w:ascii="Arial" w:hAnsi="Arial" w:cs="Arial"/>
                <w:b/>
                <w:sz w:val="22"/>
                <w:szCs w:val="22"/>
                <w:lang w:val="es-ES"/>
              </w:rPr>
            </w:pPr>
          </w:p>
        </w:tc>
        <w:tc>
          <w:tcPr>
            <w:tcW w:w="720" w:type="dxa"/>
            <w:tcBorders>
              <w:right w:val="nil"/>
            </w:tcBorders>
          </w:tcPr>
          <w:p w14:paraId="574596A2" w14:textId="77777777" w:rsidR="00E23051" w:rsidRPr="00F11F4F" w:rsidRDefault="00E23051" w:rsidP="00E23051">
            <w:pPr>
              <w:pStyle w:val="Header2-SubClauses"/>
              <w:spacing w:before="100" w:after="100"/>
              <w:ind w:left="-108" w:right="-108" w:firstLine="1"/>
              <w:jc w:val="center"/>
              <w:rPr>
                <w:rFonts w:ascii="Arial" w:hAnsi="Arial" w:cs="Arial"/>
                <w:sz w:val="22"/>
                <w:szCs w:val="22"/>
                <w:lang w:val="es-ES"/>
              </w:rPr>
            </w:pPr>
            <w:r w:rsidRPr="00F11F4F">
              <w:rPr>
                <w:rFonts w:ascii="Arial" w:hAnsi="Arial" w:cs="Arial"/>
                <w:sz w:val="22"/>
                <w:szCs w:val="22"/>
                <w:lang w:val="es-HN"/>
              </w:rPr>
              <w:t>41.1</w:t>
            </w:r>
          </w:p>
        </w:tc>
        <w:tc>
          <w:tcPr>
            <w:tcW w:w="6660" w:type="dxa"/>
            <w:tcBorders>
              <w:left w:val="nil"/>
            </w:tcBorders>
          </w:tcPr>
          <w:p w14:paraId="23B0A117" w14:textId="77777777" w:rsidR="00E23051" w:rsidRPr="00F11F4F" w:rsidRDefault="00E23051" w:rsidP="00E23051">
            <w:pPr>
              <w:pStyle w:val="Header2-SubClauses"/>
              <w:tabs>
                <w:tab w:val="clear" w:pos="619"/>
              </w:tabs>
              <w:spacing w:before="100" w:after="100"/>
              <w:ind w:left="-108" w:firstLine="1"/>
              <w:rPr>
                <w:rFonts w:ascii="Arial" w:hAnsi="Arial" w:cs="Arial"/>
                <w:sz w:val="22"/>
                <w:szCs w:val="22"/>
                <w:lang w:val="es-HN"/>
              </w:rPr>
            </w:pPr>
            <w:r w:rsidRPr="00F11F4F">
              <w:rPr>
                <w:rFonts w:ascii="Arial" w:hAnsi="Arial" w:cs="Arial"/>
                <w:sz w:val="22"/>
                <w:szCs w:val="22"/>
                <w:lang w:val="es-HN"/>
              </w:rPr>
              <w:t>El plazo para presentar protestas ante resultados de la evaluación de los antecedentes, de la oferta técnica y económica una vez que estos sean notificados a los oferentes deberá ser de diez días hábiles contados a partir del día siguiente hábil posterior a la notificación de la intención de adjudicación del contrato.</w:t>
            </w:r>
          </w:p>
          <w:p w14:paraId="4A20B9D5" w14:textId="77777777" w:rsidR="00E23051" w:rsidRPr="00F11F4F" w:rsidRDefault="00E23051" w:rsidP="00E23051">
            <w:pPr>
              <w:pStyle w:val="Header2-SubClauses"/>
              <w:spacing w:before="100" w:after="100"/>
              <w:ind w:left="-108" w:firstLine="1"/>
              <w:rPr>
                <w:rFonts w:ascii="Arial" w:hAnsi="Arial" w:cs="Arial"/>
                <w:sz w:val="22"/>
                <w:szCs w:val="22"/>
                <w:lang w:val="es-ES"/>
              </w:rPr>
            </w:pPr>
            <w:r w:rsidRPr="00F11F4F">
              <w:rPr>
                <w:rFonts w:ascii="Arial" w:hAnsi="Arial" w:cs="Arial"/>
                <w:sz w:val="22"/>
                <w:szCs w:val="22"/>
                <w:lang w:val="es-ES"/>
              </w:rPr>
              <w:t xml:space="preserve">Este plazo no aplicará cuando solo se presente una Oferta y cuando el proceso se realice en una situación de emergencia reconocida por el </w:t>
            </w:r>
            <w:r w:rsidR="003908E4" w:rsidRPr="00F11F4F">
              <w:rPr>
                <w:rFonts w:ascii="Arial" w:hAnsi="Arial" w:cs="Arial"/>
                <w:sz w:val="22"/>
                <w:szCs w:val="22"/>
                <w:lang w:val="es-ES"/>
              </w:rPr>
              <w:t>BCIE, en</w:t>
            </w:r>
            <w:r w:rsidRPr="00F11F4F">
              <w:rPr>
                <w:rFonts w:ascii="Arial" w:hAnsi="Arial" w:cs="Arial"/>
                <w:sz w:val="22"/>
                <w:szCs w:val="22"/>
                <w:lang w:val="es-ES"/>
              </w:rPr>
              <w:t xml:space="preserve"> cuyo caso se indicará en los </w:t>
            </w:r>
            <w:r w:rsidRPr="00F11F4F">
              <w:rPr>
                <w:rFonts w:ascii="Arial" w:hAnsi="Arial" w:cs="Arial"/>
                <w:b/>
                <w:bCs/>
                <w:sz w:val="22"/>
                <w:szCs w:val="22"/>
                <w:lang w:val="es-ES"/>
              </w:rPr>
              <w:t>DDL</w:t>
            </w:r>
            <w:r w:rsidRPr="00F11F4F">
              <w:rPr>
                <w:rFonts w:ascii="Arial" w:hAnsi="Arial" w:cs="Arial"/>
                <w:sz w:val="22"/>
                <w:szCs w:val="22"/>
                <w:lang w:val="es-ES"/>
              </w:rPr>
              <w:t>.</w:t>
            </w:r>
          </w:p>
        </w:tc>
      </w:tr>
      <w:tr w:rsidR="00E23051" w:rsidRPr="00A33F6B" w14:paraId="4A0F5D44" w14:textId="77777777" w:rsidTr="00205125">
        <w:trPr>
          <w:trHeight w:val="188"/>
        </w:trPr>
        <w:tc>
          <w:tcPr>
            <w:tcW w:w="1980" w:type="dxa"/>
            <w:vMerge/>
            <w:shd w:val="clear" w:color="auto" w:fill="auto"/>
          </w:tcPr>
          <w:p w14:paraId="0607A38D"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right w:val="nil"/>
            </w:tcBorders>
          </w:tcPr>
          <w:p w14:paraId="6E1A0002"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11F4F">
              <w:rPr>
                <w:rFonts w:ascii="Arial" w:hAnsi="Arial" w:cs="Arial"/>
                <w:color w:val="000000"/>
                <w:sz w:val="22"/>
                <w:szCs w:val="22"/>
                <w:lang w:val="es-HN"/>
              </w:rPr>
              <w:t>41.2</w:t>
            </w:r>
          </w:p>
        </w:tc>
        <w:tc>
          <w:tcPr>
            <w:tcW w:w="6660" w:type="dxa"/>
            <w:tcBorders>
              <w:left w:val="nil"/>
            </w:tcBorders>
          </w:tcPr>
          <w:p w14:paraId="767F37DF" w14:textId="77777777" w:rsidR="00E23051" w:rsidRPr="00F11F4F" w:rsidRDefault="00E23051" w:rsidP="00961F61">
            <w:pPr>
              <w:autoSpaceDE w:val="0"/>
              <w:autoSpaceDN w:val="0"/>
              <w:adjustRightInd w:val="0"/>
              <w:spacing w:before="100" w:after="100"/>
              <w:ind w:left="-110"/>
              <w:rPr>
                <w:rFonts w:ascii="Arial" w:hAnsi="Arial" w:cs="Arial"/>
                <w:color w:val="000000"/>
                <w:sz w:val="22"/>
                <w:szCs w:val="22"/>
                <w:lang w:val="es-HN"/>
              </w:rPr>
            </w:pPr>
            <w:r w:rsidRPr="00F11F4F">
              <w:rPr>
                <w:rFonts w:ascii="Arial" w:hAnsi="Arial" w:cs="Arial"/>
                <w:color w:val="000000"/>
                <w:sz w:val="22"/>
                <w:szCs w:val="22"/>
                <w:lang w:val="es-HN"/>
              </w:rPr>
              <w:t xml:space="preserve">Las protestas que formulen los oferentes podrán ser únicamente ante las notificaciones que reciban en relación con los resultados obtenidos de la evaluación de su oferta. </w:t>
            </w:r>
          </w:p>
          <w:p w14:paraId="098F5CA0" w14:textId="77777777" w:rsidR="003908E4" w:rsidRPr="00F11F4F" w:rsidRDefault="00E23051" w:rsidP="008F4D98">
            <w:pPr>
              <w:autoSpaceDE w:val="0"/>
              <w:autoSpaceDN w:val="0"/>
              <w:adjustRightInd w:val="0"/>
              <w:spacing w:before="100" w:after="100"/>
              <w:ind w:left="-110" w:firstLine="7"/>
              <w:rPr>
                <w:rFonts w:ascii="Arial" w:hAnsi="Arial" w:cs="Arial"/>
                <w:sz w:val="22"/>
                <w:szCs w:val="22"/>
                <w:lang w:val="es-HN"/>
              </w:rPr>
            </w:pPr>
            <w:r w:rsidRPr="00F11F4F">
              <w:rPr>
                <w:rFonts w:ascii="Arial" w:hAnsi="Arial" w:cs="Arial"/>
                <w:sz w:val="22"/>
                <w:szCs w:val="22"/>
                <w:lang w:val="es-HN"/>
              </w:rPr>
              <w:t>Toda protesta que se presente deberá:</w:t>
            </w:r>
          </w:p>
          <w:p w14:paraId="5BE12E48" w14:textId="77777777" w:rsidR="00E23051" w:rsidRPr="00F11F4F" w:rsidRDefault="00E23051" w:rsidP="0071608E">
            <w:pPr>
              <w:pStyle w:val="Prrafodelista"/>
              <w:numPr>
                <w:ilvl w:val="4"/>
                <w:numId w:val="30"/>
              </w:numPr>
              <w:spacing w:before="100" w:after="100"/>
              <w:ind w:left="248" w:hanging="358"/>
              <w:rPr>
                <w:rFonts w:ascii="Arial" w:hAnsi="Arial" w:cs="Arial"/>
                <w:sz w:val="22"/>
                <w:szCs w:val="22"/>
                <w:lang w:val="es-HN"/>
              </w:rPr>
            </w:pPr>
            <w:r w:rsidRPr="00F11F4F">
              <w:rPr>
                <w:rFonts w:ascii="Arial" w:hAnsi="Arial" w:cs="Arial"/>
                <w:sz w:val="22"/>
                <w:szCs w:val="22"/>
                <w:lang w:val="es-HN"/>
              </w:rPr>
              <w:t>Ser presentada por el representante del oferente</w:t>
            </w:r>
          </w:p>
          <w:p w14:paraId="68B956EC" w14:textId="77777777" w:rsidR="00E23051" w:rsidRPr="00F11F4F" w:rsidRDefault="00E23051" w:rsidP="0071608E">
            <w:pPr>
              <w:pStyle w:val="Prrafodelista"/>
              <w:numPr>
                <w:ilvl w:val="4"/>
                <w:numId w:val="30"/>
              </w:numPr>
              <w:spacing w:before="100" w:after="100"/>
              <w:ind w:left="248" w:hanging="358"/>
              <w:rPr>
                <w:rFonts w:ascii="Arial" w:hAnsi="Arial" w:cs="Arial"/>
                <w:sz w:val="22"/>
                <w:szCs w:val="22"/>
                <w:lang w:val="es-HN"/>
              </w:rPr>
            </w:pPr>
            <w:r w:rsidRPr="00F11F4F">
              <w:rPr>
                <w:rFonts w:ascii="Arial" w:hAnsi="Arial" w:cs="Arial"/>
                <w:sz w:val="22"/>
                <w:szCs w:val="22"/>
                <w:lang w:val="es-HN"/>
              </w:rPr>
              <w:t>Identificar la acción de adquisiciones por la cual se reclama.</w:t>
            </w:r>
          </w:p>
          <w:p w14:paraId="2948829D" w14:textId="77777777" w:rsidR="00A2426D" w:rsidRPr="00F11F4F" w:rsidRDefault="00E23051" w:rsidP="0071608E">
            <w:pPr>
              <w:pStyle w:val="Prrafodelista"/>
              <w:numPr>
                <w:ilvl w:val="4"/>
                <w:numId w:val="30"/>
              </w:numPr>
              <w:spacing w:before="100" w:after="100"/>
              <w:ind w:left="248" w:hanging="358"/>
              <w:rPr>
                <w:rFonts w:ascii="Arial" w:hAnsi="Arial" w:cs="Arial"/>
                <w:sz w:val="22"/>
                <w:szCs w:val="22"/>
                <w:lang w:val="es-HN"/>
              </w:rPr>
            </w:pPr>
            <w:r w:rsidRPr="00F11F4F">
              <w:rPr>
                <w:rFonts w:ascii="Arial" w:hAnsi="Arial" w:cs="Arial"/>
                <w:sz w:val="22"/>
                <w:szCs w:val="22"/>
                <w:lang w:val="es-HN"/>
              </w:rPr>
              <w:t>Describir la naturaleza de la protesta y los hechos que la respaldan incluyendo las referencias a las políticas de adquisiciones del BCIE que se considera que han sido incumplida.</w:t>
            </w:r>
          </w:p>
          <w:p w14:paraId="5DC78392" w14:textId="77777777" w:rsidR="00E23051" w:rsidRPr="00F11F4F" w:rsidRDefault="00E23051" w:rsidP="0071608E">
            <w:pPr>
              <w:pStyle w:val="Prrafodelista"/>
              <w:numPr>
                <w:ilvl w:val="4"/>
                <w:numId w:val="30"/>
              </w:numPr>
              <w:spacing w:before="100" w:after="100"/>
              <w:ind w:left="248" w:hanging="358"/>
              <w:rPr>
                <w:rFonts w:ascii="Arial" w:hAnsi="Arial" w:cs="Arial"/>
                <w:sz w:val="22"/>
                <w:szCs w:val="22"/>
                <w:lang w:val="es-HN"/>
              </w:rPr>
            </w:pPr>
            <w:r w:rsidRPr="00F11F4F">
              <w:rPr>
                <w:rFonts w:ascii="Arial" w:hAnsi="Arial" w:cs="Arial"/>
                <w:sz w:val="22"/>
                <w:szCs w:val="22"/>
                <w:lang w:val="es-HN"/>
              </w:rPr>
              <w:lastRenderedPageBreak/>
              <w:t>Indicar y adjuntar toda la información requerida para evidenciar la cronología del reclamo</w:t>
            </w:r>
            <w:r w:rsidR="00C11494">
              <w:rPr>
                <w:rFonts w:ascii="Arial" w:hAnsi="Arial" w:cs="Arial"/>
                <w:sz w:val="22"/>
                <w:szCs w:val="22"/>
                <w:lang w:val="es-HN"/>
              </w:rPr>
              <w:t>.</w:t>
            </w:r>
          </w:p>
        </w:tc>
      </w:tr>
      <w:tr w:rsidR="00E23051" w:rsidRPr="00A33F6B" w14:paraId="74E78E79" w14:textId="77777777" w:rsidTr="00205125">
        <w:trPr>
          <w:trHeight w:val="278"/>
        </w:trPr>
        <w:tc>
          <w:tcPr>
            <w:tcW w:w="1980" w:type="dxa"/>
            <w:vMerge/>
            <w:shd w:val="clear" w:color="auto" w:fill="auto"/>
          </w:tcPr>
          <w:p w14:paraId="4A79E2C1"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right w:val="nil"/>
            </w:tcBorders>
          </w:tcPr>
          <w:p w14:paraId="40FCD2EA"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11F4F">
              <w:rPr>
                <w:rFonts w:ascii="Arial" w:hAnsi="Arial" w:cs="Arial"/>
                <w:color w:val="000000"/>
                <w:sz w:val="22"/>
                <w:szCs w:val="22"/>
                <w:lang w:val="es-HN"/>
              </w:rPr>
              <w:t>41.3</w:t>
            </w:r>
          </w:p>
        </w:tc>
        <w:tc>
          <w:tcPr>
            <w:tcW w:w="6660" w:type="dxa"/>
            <w:tcBorders>
              <w:left w:val="nil"/>
            </w:tcBorders>
          </w:tcPr>
          <w:p w14:paraId="3E343BD1" w14:textId="77777777" w:rsidR="00E23051" w:rsidRPr="00F11F4F" w:rsidRDefault="00E23051" w:rsidP="00E23051">
            <w:pPr>
              <w:pStyle w:val="Header2-SubClauses"/>
              <w:tabs>
                <w:tab w:val="clear" w:pos="619"/>
              </w:tabs>
              <w:spacing w:before="100" w:after="100"/>
              <w:ind w:left="-108" w:firstLine="1"/>
              <w:rPr>
                <w:rFonts w:ascii="Arial" w:hAnsi="Arial" w:cs="Arial"/>
                <w:sz w:val="22"/>
                <w:szCs w:val="22"/>
                <w:lang w:val="es-HN"/>
              </w:rPr>
            </w:pPr>
            <w:r w:rsidRPr="00F11F4F">
              <w:rPr>
                <w:rFonts w:ascii="Arial" w:hAnsi="Arial" w:cs="Arial"/>
                <w:sz w:val="22"/>
                <w:szCs w:val="22"/>
                <w:lang w:val="es-HN"/>
              </w:rPr>
              <w:t xml:space="preserve">Todas las protestas deben enviarse por escrito a cualquiera de las direcciones indicadas en los </w:t>
            </w:r>
            <w:r w:rsidRPr="00F11F4F">
              <w:rPr>
                <w:rFonts w:ascii="Arial" w:hAnsi="Arial" w:cs="Arial"/>
                <w:b/>
                <w:sz w:val="22"/>
                <w:szCs w:val="22"/>
                <w:lang w:val="es-HN"/>
              </w:rPr>
              <w:t>DDL</w:t>
            </w:r>
            <w:r w:rsidR="00C11494">
              <w:rPr>
                <w:rFonts w:ascii="Arial" w:hAnsi="Arial" w:cs="Arial"/>
                <w:b/>
                <w:sz w:val="22"/>
                <w:szCs w:val="22"/>
                <w:lang w:val="es-HN"/>
              </w:rPr>
              <w:t>.</w:t>
            </w:r>
          </w:p>
        </w:tc>
      </w:tr>
      <w:tr w:rsidR="00E23051" w:rsidRPr="00A33F6B" w14:paraId="78B43FD9" w14:textId="77777777" w:rsidTr="00205125">
        <w:trPr>
          <w:trHeight w:val="251"/>
        </w:trPr>
        <w:tc>
          <w:tcPr>
            <w:tcW w:w="1980" w:type="dxa"/>
            <w:vMerge/>
            <w:shd w:val="clear" w:color="auto" w:fill="auto"/>
          </w:tcPr>
          <w:p w14:paraId="7251B815"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right w:val="nil"/>
            </w:tcBorders>
          </w:tcPr>
          <w:p w14:paraId="440FEED8"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11F4F">
              <w:rPr>
                <w:rFonts w:ascii="Arial" w:hAnsi="Arial" w:cs="Arial"/>
                <w:color w:val="000000"/>
                <w:sz w:val="22"/>
                <w:szCs w:val="22"/>
                <w:lang w:val="es-HN"/>
              </w:rPr>
              <w:t>41.4</w:t>
            </w:r>
          </w:p>
        </w:tc>
        <w:tc>
          <w:tcPr>
            <w:tcW w:w="6660" w:type="dxa"/>
            <w:tcBorders>
              <w:left w:val="nil"/>
            </w:tcBorders>
          </w:tcPr>
          <w:p w14:paraId="324ABFFE" w14:textId="77777777" w:rsidR="00E23051" w:rsidRPr="00F11F4F" w:rsidRDefault="00E23051" w:rsidP="00E23051">
            <w:pPr>
              <w:pStyle w:val="Header2-SubClauses"/>
              <w:tabs>
                <w:tab w:val="clear" w:pos="619"/>
              </w:tabs>
              <w:spacing w:before="100" w:after="100"/>
              <w:ind w:left="-108" w:firstLine="1"/>
              <w:rPr>
                <w:rFonts w:ascii="Arial" w:hAnsi="Arial" w:cs="Arial"/>
                <w:sz w:val="22"/>
                <w:szCs w:val="22"/>
                <w:lang w:val="es-HN"/>
              </w:rPr>
            </w:pPr>
            <w:r w:rsidRPr="00F11F4F">
              <w:rPr>
                <w:rFonts w:ascii="Arial" w:hAnsi="Arial" w:cs="Arial"/>
                <w:sz w:val="22"/>
                <w:szCs w:val="22"/>
                <w:lang w:val="es-HN"/>
              </w:rPr>
              <w:t xml:space="preserve">El Contratante resolverá las protestas en el plazo que se especifica en los </w:t>
            </w:r>
            <w:r w:rsidRPr="00F11F4F">
              <w:rPr>
                <w:rFonts w:ascii="Arial" w:hAnsi="Arial" w:cs="Arial"/>
                <w:b/>
                <w:sz w:val="22"/>
                <w:szCs w:val="22"/>
                <w:lang w:val="es-HN"/>
              </w:rPr>
              <w:t>DDL</w:t>
            </w:r>
            <w:r w:rsidR="00C11494">
              <w:rPr>
                <w:rFonts w:ascii="Arial" w:hAnsi="Arial" w:cs="Arial"/>
                <w:b/>
                <w:sz w:val="22"/>
                <w:szCs w:val="22"/>
                <w:lang w:val="es-HN"/>
              </w:rPr>
              <w:t>.</w:t>
            </w:r>
          </w:p>
        </w:tc>
      </w:tr>
      <w:tr w:rsidR="00E23051" w:rsidRPr="00A33F6B" w14:paraId="0D6F1C43" w14:textId="77777777" w:rsidTr="0049753E">
        <w:trPr>
          <w:trHeight w:val="710"/>
        </w:trPr>
        <w:tc>
          <w:tcPr>
            <w:tcW w:w="1980" w:type="dxa"/>
            <w:vMerge/>
            <w:tcBorders>
              <w:bottom w:val="nil"/>
            </w:tcBorders>
            <w:shd w:val="clear" w:color="auto" w:fill="auto"/>
          </w:tcPr>
          <w:p w14:paraId="36025A19"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right w:val="nil"/>
            </w:tcBorders>
          </w:tcPr>
          <w:p w14:paraId="13474B13"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sz w:val="22"/>
                <w:szCs w:val="22"/>
                <w:lang w:val="es-ES"/>
              </w:rPr>
            </w:pPr>
            <w:r w:rsidRPr="00F11F4F">
              <w:rPr>
                <w:rFonts w:ascii="Arial" w:hAnsi="Arial" w:cs="Arial"/>
                <w:color w:val="000000"/>
                <w:sz w:val="22"/>
                <w:szCs w:val="22"/>
                <w:lang w:val="es-HN"/>
              </w:rPr>
              <w:t>41.5</w:t>
            </w:r>
          </w:p>
        </w:tc>
        <w:tc>
          <w:tcPr>
            <w:tcW w:w="6660" w:type="dxa"/>
            <w:tcBorders>
              <w:left w:val="nil"/>
            </w:tcBorders>
          </w:tcPr>
          <w:p w14:paraId="3117D126" w14:textId="77777777" w:rsidR="00E23051" w:rsidRPr="00F11F4F" w:rsidRDefault="00E23051" w:rsidP="00E23051">
            <w:pPr>
              <w:pStyle w:val="Header2-SubClauses"/>
              <w:tabs>
                <w:tab w:val="clear" w:pos="619"/>
              </w:tabs>
              <w:spacing w:before="100" w:after="100"/>
              <w:ind w:left="-108" w:firstLine="1"/>
              <w:rPr>
                <w:rFonts w:ascii="Arial" w:hAnsi="Arial" w:cs="Arial"/>
                <w:sz w:val="22"/>
                <w:szCs w:val="22"/>
                <w:lang w:val="es-HN"/>
              </w:rPr>
            </w:pPr>
            <w:r w:rsidRPr="00F11F4F">
              <w:rPr>
                <w:rFonts w:ascii="Arial" w:hAnsi="Arial" w:cs="Arial"/>
                <w:sz w:val="22"/>
                <w:szCs w:val="22"/>
                <w:lang w:val="es-HN"/>
              </w:rPr>
              <w:t>El Contratante, suspenderá las actividades relacionadas con el proceso de adquisición al momento de recibir una protesta hasta la resolución de la misma.</w:t>
            </w:r>
          </w:p>
          <w:p w14:paraId="79BF6FF3" w14:textId="77777777" w:rsidR="00E23051" w:rsidRPr="00F11F4F"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F11F4F">
              <w:rPr>
                <w:rFonts w:ascii="Arial" w:hAnsi="Arial" w:cs="Arial"/>
                <w:color w:val="000000"/>
                <w:sz w:val="22"/>
                <w:szCs w:val="22"/>
                <w:lang w:val="es-HN"/>
              </w:rPr>
              <w:t>En caso de presentarse una protesta en el marco de un proceso para el cual se establezca adjudicación por lote, será sujeto de suspensión únicamente el lote afectado por la protesta.</w:t>
            </w:r>
          </w:p>
          <w:p w14:paraId="4036B29E" w14:textId="77777777" w:rsidR="00E23051" w:rsidRPr="00F11F4F" w:rsidRDefault="00E23051" w:rsidP="00E23051">
            <w:pPr>
              <w:pStyle w:val="Header2-SubClauses"/>
              <w:tabs>
                <w:tab w:val="clear" w:pos="619"/>
              </w:tabs>
              <w:spacing w:before="100" w:after="100"/>
              <w:ind w:left="-108" w:firstLine="1"/>
              <w:rPr>
                <w:rFonts w:ascii="Arial" w:hAnsi="Arial" w:cs="Arial"/>
                <w:color w:val="000000"/>
                <w:sz w:val="22"/>
                <w:szCs w:val="22"/>
                <w:lang w:val="es-HN"/>
              </w:rPr>
            </w:pPr>
            <w:r w:rsidRPr="00F11F4F">
              <w:rPr>
                <w:rFonts w:ascii="Arial" w:hAnsi="Arial" w:cs="Arial"/>
                <w:color w:val="000000"/>
                <w:sz w:val="22"/>
                <w:szCs w:val="22"/>
                <w:lang w:val="es-HN"/>
              </w:rPr>
              <w:t>En ambos casos, cuando así se requiera, se deberá solicitar a todos los oferentes la ampliación de la validez de las ofertas, la Garantía de Mantenimiento de Oferta y Firma de Contrato o la Declaración de mantenimiento de oferta según corresponda</w:t>
            </w:r>
          </w:p>
        </w:tc>
      </w:tr>
      <w:tr w:rsidR="00E23051" w:rsidRPr="00A33F6B" w14:paraId="28589291" w14:textId="77777777" w:rsidTr="008B63E5">
        <w:trPr>
          <w:trHeight w:val="926"/>
        </w:trPr>
        <w:tc>
          <w:tcPr>
            <w:tcW w:w="1980" w:type="dxa"/>
            <w:tcBorders>
              <w:top w:val="nil"/>
              <w:left w:val="single" w:sz="4" w:space="0" w:color="auto"/>
              <w:bottom w:val="single" w:sz="4" w:space="0" w:color="auto"/>
              <w:right w:val="single" w:sz="4" w:space="0" w:color="auto"/>
            </w:tcBorders>
          </w:tcPr>
          <w:p w14:paraId="7A9BE70A"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left w:val="single" w:sz="4" w:space="0" w:color="auto"/>
              <w:right w:val="nil"/>
            </w:tcBorders>
          </w:tcPr>
          <w:p w14:paraId="49FB6D62" w14:textId="77777777" w:rsidR="00E23051" w:rsidRPr="00F11F4F" w:rsidRDefault="00E23051" w:rsidP="00E23051">
            <w:pPr>
              <w:pStyle w:val="Header2-SubClauses"/>
              <w:tabs>
                <w:tab w:val="clear" w:pos="619"/>
              </w:tabs>
              <w:spacing w:before="100" w:after="100"/>
              <w:ind w:left="-108" w:right="-108" w:firstLine="1"/>
              <w:jc w:val="center"/>
              <w:rPr>
                <w:rFonts w:ascii="Arial" w:hAnsi="Arial" w:cs="Arial"/>
                <w:color w:val="000000"/>
                <w:sz w:val="22"/>
                <w:szCs w:val="22"/>
                <w:lang w:val="es-HN"/>
              </w:rPr>
            </w:pPr>
            <w:r w:rsidRPr="00F11F4F">
              <w:rPr>
                <w:rFonts w:ascii="Arial" w:hAnsi="Arial" w:cs="Arial"/>
                <w:sz w:val="22"/>
                <w:szCs w:val="22"/>
              </w:rPr>
              <w:t>41.6</w:t>
            </w:r>
          </w:p>
        </w:tc>
        <w:tc>
          <w:tcPr>
            <w:tcW w:w="6660" w:type="dxa"/>
            <w:tcBorders>
              <w:left w:val="nil"/>
            </w:tcBorders>
          </w:tcPr>
          <w:p w14:paraId="4DA02117" w14:textId="77777777" w:rsidR="00E23051" w:rsidRPr="00F11F4F" w:rsidRDefault="00E23051" w:rsidP="00E23051">
            <w:pPr>
              <w:pStyle w:val="Header2-SubClauses"/>
              <w:tabs>
                <w:tab w:val="clear" w:pos="619"/>
              </w:tabs>
              <w:spacing w:before="100" w:after="100"/>
              <w:ind w:left="-108"/>
              <w:rPr>
                <w:rFonts w:ascii="Arial" w:hAnsi="Arial" w:cs="Arial"/>
                <w:sz w:val="22"/>
                <w:szCs w:val="22"/>
                <w:lang w:val="es-ES"/>
              </w:rPr>
            </w:pPr>
            <w:r w:rsidRPr="00F11F4F">
              <w:rPr>
                <w:rFonts w:ascii="Arial" w:hAnsi="Arial" w:cs="Arial"/>
                <w:sz w:val="22"/>
                <w:szCs w:val="22"/>
                <w:lang w:val="es-ES"/>
              </w:rPr>
              <w:t>El Contratante deberá hacer del conocimiento del Banco sobre la presentación y solución de protestas durante el proceso de licitación.</w:t>
            </w:r>
          </w:p>
          <w:p w14:paraId="13225D0E" w14:textId="77777777" w:rsidR="00E23051" w:rsidRPr="00F11F4F" w:rsidRDefault="00E23051" w:rsidP="00E23051">
            <w:pPr>
              <w:pStyle w:val="Header2-SubClauses"/>
              <w:tabs>
                <w:tab w:val="clear" w:pos="619"/>
              </w:tabs>
              <w:spacing w:before="100" w:after="100"/>
              <w:ind w:left="-108" w:firstLine="1"/>
              <w:rPr>
                <w:rFonts w:ascii="Arial" w:hAnsi="Arial" w:cs="Arial"/>
                <w:sz w:val="22"/>
                <w:szCs w:val="22"/>
                <w:lang w:val="es-HN"/>
              </w:rPr>
            </w:pPr>
            <w:r w:rsidRPr="00F11F4F">
              <w:rPr>
                <w:rFonts w:ascii="Arial" w:hAnsi="Arial" w:cs="Arial"/>
                <w:sz w:val="22"/>
                <w:szCs w:val="22"/>
                <w:lang w:val="es-ES"/>
              </w:rPr>
              <w:t>El Contratante deberá actuar con diligencia para la solución de protestas, el BCIE se reserva el derecho de abstenerse de financiar, cualquier obra, cuando no se concrete oportunamente la solución respectiva o a su juicio la solución adoptada no responda a los mejores intereses de la operación.</w:t>
            </w:r>
          </w:p>
        </w:tc>
      </w:tr>
      <w:tr w:rsidR="00E23051" w:rsidRPr="00A33F6B" w14:paraId="153CBF50" w14:textId="77777777" w:rsidTr="00E028CE">
        <w:tc>
          <w:tcPr>
            <w:tcW w:w="9360" w:type="dxa"/>
            <w:gridSpan w:val="3"/>
            <w:shd w:val="clear" w:color="auto" w:fill="00B050"/>
          </w:tcPr>
          <w:p w14:paraId="68FB8C28" w14:textId="77777777" w:rsidR="00E23051" w:rsidRPr="00E028CE" w:rsidRDefault="00E23051" w:rsidP="00701A2C">
            <w:pPr>
              <w:pStyle w:val="IAO1"/>
            </w:pPr>
            <w:bookmarkStart w:id="322" w:name="_Toc365893472"/>
            <w:bookmarkStart w:id="323" w:name="_Toc364779456"/>
            <w:bookmarkStart w:id="324" w:name="_Toc54366871"/>
            <w:bookmarkStart w:id="325" w:name="_Toc74048218"/>
            <w:bookmarkStart w:id="326" w:name="_Toc74518462"/>
            <w:bookmarkStart w:id="327" w:name="_Toc74519186"/>
            <w:bookmarkStart w:id="328" w:name="_Toc74520002"/>
            <w:bookmarkStart w:id="329" w:name="_Toc74781376"/>
            <w:bookmarkStart w:id="330" w:name="_Toc74894126"/>
            <w:r w:rsidRPr="00E028CE">
              <w:t xml:space="preserve">Adjudicación </w:t>
            </w:r>
            <w:bookmarkEnd w:id="322"/>
            <w:bookmarkEnd w:id="323"/>
            <w:r w:rsidRPr="00E028CE">
              <w:t>de la Licitación</w:t>
            </w:r>
            <w:bookmarkEnd w:id="324"/>
            <w:bookmarkEnd w:id="325"/>
            <w:bookmarkEnd w:id="326"/>
            <w:bookmarkEnd w:id="327"/>
            <w:bookmarkEnd w:id="328"/>
            <w:bookmarkEnd w:id="329"/>
            <w:bookmarkEnd w:id="330"/>
          </w:p>
        </w:tc>
      </w:tr>
      <w:tr w:rsidR="00E23051" w:rsidRPr="00A33F6B" w14:paraId="4E909D21" w14:textId="77777777" w:rsidTr="00205125">
        <w:trPr>
          <w:trHeight w:val="346"/>
        </w:trPr>
        <w:tc>
          <w:tcPr>
            <w:tcW w:w="1980" w:type="dxa"/>
            <w:vMerge w:val="restart"/>
            <w:shd w:val="clear" w:color="auto" w:fill="auto"/>
          </w:tcPr>
          <w:p w14:paraId="56841F4D" w14:textId="77777777" w:rsidR="00E23051" w:rsidRPr="0049753E" w:rsidRDefault="00E23051" w:rsidP="0049753E">
            <w:pPr>
              <w:pStyle w:val="IAO2"/>
            </w:pPr>
            <w:bookmarkStart w:id="331" w:name="_Toc74048219"/>
            <w:bookmarkStart w:id="332" w:name="_Toc74518463"/>
            <w:bookmarkStart w:id="333" w:name="_Toc74519187"/>
            <w:bookmarkStart w:id="334" w:name="_Toc74520003"/>
            <w:bookmarkStart w:id="335" w:name="_Toc74781377"/>
            <w:bookmarkStart w:id="336" w:name="_Toc74894127"/>
            <w:r w:rsidRPr="0049753E">
              <w:t xml:space="preserve">42. </w:t>
            </w:r>
            <w:r w:rsidRPr="0049753E">
              <w:rPr>
                <w:rStyle w:val="IAO2Char"/>
                <w:b/>
              </w:rPr>
              <w:t>Criterios de adjudicación</w:t>
            </w:r>
            <w:bookmarkEnd w:id="331"/>
            <w:bookmarkEnd w:id="332"/>
            <w:bookmarkEnd w:id="333"/>
            <w:bookmarkEnd w:id="334"/>
            <w:bookmarkEnd w:id="335"/>
            <w:bookmarkEnd w:id="336"/>
          </w:p>
        </w:tc>
        <w:tc>
          <w:tcPr>
            <w:tcW w:w="720" w:type="dxa"/>
            <w:tcBorders>
              <w:right w:val="nil"/>
            </w:tcBorders>
          </w:tcPr>
          <w:p w14:paraId="25B1B281" w14:textId="77777777" w:rsidR="00E23051" w:rsidRPr="00F11F4F"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42.1</w:t>
            </w:r>
          </w:p>
        </w:tc>
        <w:tc>
          <w:tcPr>
            <w:tcW w:w="6660" w:type="dxa"/>
            <w:tcBorders>
              <w:left w:val="nil"/>
            </w:tcBorders>
          </w:tcPr>
          <w:p w14:paraId="2D19B710"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HN"/>
              </w:rPr>
              <w:t>Una vez se resuelva todo reclamo o protesta, e</w:t>
            </w:r>
            <w:r w:rsidRPr="00F11F4F">
              <w:rPr>
                <w:rFonts w:ascii="Arial" w:hAnsi="Arial" w:cs="Arial"/>
                <w:sz w:val="22"/>
                <w:szCs w:val="22"/>
                <w:lang w:val="es-ES"/>
              </w:rPr>
              <w:t>l Contratante, previa No Objeción del Banco al informe o acta de proceso respectivo, adjudicará la licitación al oferente cuya oferta haya sido evaluada como la más conveniente de acuerdo con lo establecido en la IAO 35.1 y 38</w:t>
            </w:r>
          </w:p>
        </w:tc>
      </w:tr>
      <w:tr w:rsidR="00E23051" w:rsidRPr="00A33F6B" w14:paraId="7AC0ECE8" w14:textId="77777777" w:rsidTr="00701A2C">
        <w:trPr>
          <w:trHeight w:val="5030"/>
        </w:trPr>
        <w:tc>
          <w:tcPr>
            <w:tcW w:w="1980" w:type="dxa"/>
            <w:vMerge/>
            <w:tcBorders>
              <w:bottom w:val="nil"/>
            </w:tcBorders>
            <w:shd w:val="clear" w:color="auto" w:fill="auto"/>
          </w:tcPr>
          <w:p w14:paraId="1CE8DD4C" w14:textId="77777777" w:rsidR="00E23051" w:rsidRPr="00F11F4F" w:rsidRDefault="00E23051" w:rsidP="00E23051">
            <w:pPr>
              <w:pStyle w:val="i"/>
              <w:spacing w:before="100" w:after="100"/>
              <w:outlineLvl w:val="2"/>
              <w:rPr>
                <w:rFonts w:ascii="Arial" w:hAnsi="Arial" w:cs="Arial"/>
                <w:b/>
                <w:sz w:val="22"/>
                <w:szCs w:val="22"/>
                <w:lang w:val="es-ES"/>
              </w:rPr>
            </w:pPr>
          </w:p>
        </w:tc>
        <w:tc>
          <w:tcPr>
            <w:tcW w:w="720" w:type="dxa"/>
            <w:tcBorders>
              <w:right w:val="nil"/>
            </w:tcBorders>
          </w:tcPr>
          <w:p w14:paraId="2C7E6C13" w14:textId="77777777" w:rsidR="00E23051" w:rsidRPr="00F11F4F" w:rsidRDefault="00E23051" w:rsidP="00E23051">
            <w:pPr>
              <w:autoSpaceDE w:val="0"/>
              <w:autoSpaceDN w:val="0"/>
              <w:adjustRightInd w:val="0"/>
              <w:spacing w:before="120" w:after="100"/>
              <w:ind w:left="-108" w:right="-108" w:firstLine="1"/>
              <w:jc w:val="center"/>
              <w:rPr>
                <w:rFonts w:ascii="Arial" w:hAnsi="Arial" w:cs="Arial"/>
                <w:sz w:val="22"/>
                <w:szCs w:val="22"/>
                <w:lang w:val="es-ES"/>
              </w:rPr>
            </w:pPr>
            <w:r w:rsidRPr="00F11F4F">
              <w:rPr>
                <w:rFonts w:ascii="Arial" w:hAnsi="Arial" w:cs="Arial"/>
                <w:sz w:val="22"/>
                <w:szCs w:val="22"/>
                <w:lang w:val="es-ES"/>
              </w:rPr>
              <w:t>42.2</w:t>
            </w:r>
          </w:p>
        </w:tc>
        <w:tc>
          <w:tcPr>
            <w:tcW w:w="6660" w:type="dxa"/>
            <w:tcBorders>
              <w:left w:val="nil"/>
            </w:tcBorders>
          </w:tcPr>
          <w:p w14:paraId="0904E8FA" w14:textId="77777777" w:rsidR="00E23051" w:rsidRPr="00F11F4F" w:rsidRDefault="00E23051" w:rsidP="00A2426D">
            <w:pPr>
              <w:pStyle w:val="Sub-ClauseText"/>
              <w:overflowPunct w:val="0"/>
              <w:autoSpaceDE w:val="0"/>
              <w:autoSpaceDN w:val="0"/>
              <w:adjustRightInd w:val="0"/>
              <w:spacing w:after="200"/>
              <w:ind w:left="-110"/>
              <w:textAlignment w:val="baseline"/>
              <w:rPr>
                <w:rFonts w:ascii="Arial" w:hAnsi="Arial" w:cs="Arial"/>
                <w:sz w:val="22"/>
                <w:szCs w:val="22"/>
                <w:lang w:val="es-ES"/>
              </w:rPr>
            </w:pPr>
            <w:r w:rsidRPr="00F11F4F">
              <w:rPr>
                <w:rFonts w:ascii="Arial" w:hAnsi="Arial" w:cs="Arial"/>
                <w:sz w:val="22"/>
                <w:szCs w:val="22"/>
                <w:lang w:val="es-ES"/>
              </w:rPr>
              <w:t xml:space="preserve">Dentro de los diez (10) días hábiles posteriores a la fecha de transmisión de la Carta de Aceptación, el Contratante publicará la Notificación de la Adjudicación del Contrato, que contendrá, como mínimo, la siguiente información: </w:t>
            </w:r>
          </w:p>
          <w:p w14:paraId="1C6A6AA8" w14:textId="77777777" w:rsidR="00E23051" w:rsidRPr="00F11F4F" w:rsidRDefault="00E23051" w:rsidP="0071608E">
            <w:pPr>
              <w:pStyle w:val="Prrafodelista"/>
              <w:numPr>
                <w:ilvl w:val="0"/>
                <w:numId w:val="29"/>
              </w:numPr>
              <w:spacing w:before="120" w:after="200"/>
              <w:ind w:left="248" w:hanging="358"/>
              <w:rPr>
                <w:rFonts w:ascii="Arial" w:hAnsi="Arial" w:cs="Arial"/>
                <w:spacing w:val="-4"/>
                <w:sz w:val="22"/>
                <w:szCs w:val="22"/>
                <w:lang w:val="es-ES"/>
              </w:rPr>
            </w:pPr>
            <w:r w:rsidRPr="00F11F4F">
              <w:rPr>
                <w:rFonts w:ascii="Arial" w:hAnsi="Arial" w:cs="Arial"/>
                <w:spacing w:val="-4"/>
                <w:sz w:val="22"/>
                <w:szCs w:val="22"/>
                <w:lang w:val="es-ES"/>
              </w:rPr>
              <w:t>Nombre y la dirección del Contratante;</w:t>
            </w:r>
          </w:p>
          <w:p w14:paraId="398A6C79" w14:textId="77777777" w:rsidR="00E23051" w:rsidRPr="00F11F4F" w:rsidRDefault="00E23051" w:rsidP="0071608E">
            <w:pPr>
              <w:pStyle w:val="Prrafodelista"/>
              <w:numPr>
                <w:ilvl w:val="0"/>
                <w:numId w:val="29"/>
              </w:numPr>
              <w:spacing w:before="120" w:after="200"/>
              <w:ind w:left="248" w:hanging="358"/>
              <w:rPr>
                <w:rFonts w:ascii="Arial" w:hAnsi="Arial" w:cs="Arial"/>
                <w:spacing w:val="-4"/>
                <w:sz w:val="22"/>
                <w:szCs w:val="22"/>
                <w:lang w:val="es-ES"/>
              </w:rPr>
            </w:pPr>
            <w:r w:rsidRPr="00F11F4F">
              <w:rPr>
                <w:rFonts w:ascii="Arial" w:hAnsi="Arial" w:cs="Arial"/>
                <w:spacing w:val="-4"/>
                <w:sz w:val="22"/>
                <w:szCs w:val="22"/>
                <w:lang w:val="es-ES"/>
              </w:rPr>
              <w:t xml:space="preserve">Nombre y el número de referencia del contrato que se está adjudicando y método de selección utilizado; </w:t>
            </w:r>
          </w:p>
          <w:p w14:paraId="0E7035B4" w14:textId="77777777" w:rsidR="00E23051" w:rsidRPr="00F11F4F" w:rsidRDefault="00E23051" w:rsidP="0071608E">
            <w:pPr>
              <w:pStyle w:val="Prrafodelista"/>
              <w:numPr>
                <w:ilvl w:val="0"/>
                <w:numId w:val="29"/>
              </w:numPr>
              <w:spacing w:before="120" w:after="200"/>
              <w:ind w:left="248" w:hanging="358"/>
              <w:rPr>
                <w:rFonts w:ascii="Arial" w:hAnsi="Arial" w:cs="Arial"/>
                <w:spacing w:val="-4"/>
                <w:sz w:val="22"/>
                <w:szCs w:val="22"/>
                <w:lang w:val="es-ES"/>
              </w:rPr>
            </w:pPr>
            <w:r w:rsidRPr="00F11F4F">
              <w:rPr>
                <w:rFonts w:ascii="Arial" w:hAnsi="Arial" w:cs="Arial"/>
                <w:spacing w:val="-4"/>
                <w:sz w:val="22"/>
                <w:szCs w:val="22"/>
                <w:lang w:val="es-ES"/>
              </w:rPr>
              <w:t xml:space="preserve">Nombres de todos los Oferentes que hubieran presentado Ofertas, con sus respectivos precios tal como se leyeron en el acta de apertura; </w:t>
            </w:r>
          </w:p>
          <w:p w14:paraId="01C8E268" w14:textId="77777777" w:rsidR="00E23051" w:rsidRPr="00F11F4F" w:rsidRDefault="00E23051" w:rsidP="0071608E">
            <w:pPr>
              <w:pStyle w:val="Prrafodelista"/>
              <w:numPr>
                <w:ilvl w:val="0"/>
                <w:numId w:val="29"/>
              </w:numPr>
              <w:spacing w:before="120" w:after="200"/>
              <w:ind w:left="248" w:hanging="358"/>
              <w:rPr>
                <w:rFonts w:ascii="Arial" w:hAnsi="Arial" w:cs="Arial"/>
                <w:spacing w:val="-4"/>
                <w:sz w:val="22"/>
                <w:szCs w:val="22"/>
                <w:lang w:val="es-ES"/>
              </w:rPr>
            </w:pPr>
            <w:r w:rsidRPr="00F11F4F">
              <w:rPr>
                <w:rFonts w:ascii="Arial" w:hAnsi="Arial" w:cs="Arial"/>
                <w:spacing w:val="-4"/>
                <w:sz w:val="22"/>
                <w:szCs w:val="22"/>
                <w:lang w:val="es-ES"/>
              </w:rPr>
              <w:t>Nombres de los Oferentes cuyas Ofertas fueron rechazadas (ya sea por no responder a los requisitos o por no cumplir con los criterios de calificación) o no fueron evaluadas, con los motivos correspondientes;</w:t>
            </w:r>
          </w:p>
          <w:p w14:paraId="12A2631C" w14:textId="77777777" w:rsidR="00E23051" w:rsidRPr="00F11F4F" w:rsidRDefault="00E23051" w:rsidP="0071608E">
            <w:pPr>
              <w:pStyle w:val="Prrafodelista"/>
              <w:numPr>
                <w:ilvl w:val="0"/>
                <w:numId w:val="29"/>
              </w:numPr>
              <w:spacing w:before="120" w:after="200"/>
              <w:ind w:left="248" w:hanging="358"/>
              <w:rPr>
                <w:rFonts w:ascii="Arial" w:hAnsi="Arial" w:cs="Arial"/>
                <w:spacing w:val="-4"/>
                <w:sz w:val="22"/>
                <w:szCs w:val="22"/>
                <w:lang w:val="es-ES"/>
              </w:rPr>
            </w:pPr>
            <w:r w:rsidRPr="00F11F4F">
              <w:rPr>
                <w:rFonts w:ascii="Arial" w:hAnsi="Arial" w:cs="Arial"/>
                <w:spacing w:val="-4"/>
                <w:sz w:val="22"/>
                <w:szCs w:val="22"/>
                <w:lang w:val="es-ES"/>
              </w:rPr>
              <w:t>Nombre del adjudicatario del contrato, el precio final total del Contrato, su duración y un resumen de su alcance</w:t>
            </w:r>
            <w:r w:rsidR="00D52BD1" w:rsidRPr="00F11F4F">
              <w:rPr>
                <w:rFonts w:ascii="Arial" w:hAnsi="Arial" w:cs="Arial"/>
                <w:spacing w:val="-4"/>
                <w:sz w:val="22"/>
                <w:szCs w:val="22"/>
                <w:lang w:val="es-ES"/>
              </w:rPr>
              <w:t>.</w:t>
            </w:r>
          </w:p>
        </w:tc>
      </w:tr>
      <w:tr w:rsidR="000C057D" w:rsidRPr="00A33F6B" w14:paraId="1AF57FD0" w14:textId="77777777" w:rsidTr="00701A2C">
        <w:trPr>
          <w:trHeight w:val="20"/>
        </w:trPr>
        <w:tc>
          <w:tcPr>
            <w:tcW w:w="1980" w:type="dxa"/>
            <w:tcBorders>
              <w:top w:val="nil"/>
              <w:left w:val="single" w:sz="4" w:space="0" w:color="auto"/>
              <w:bottom w:val="single" w:sz="4" w:space="0" w:color="auto"/>
              <w:right w:val="single" w:sz="4" w:space="0" w:color="auto"/>
            </w:tcBorders>
            <w:shd w:val="clear" w:color="auto" w:fill="auto"/>
          </w:tcPr>
          <w:p w14:paraId="564D78EA" w14:textId="77777777" w:rsidR="000C057D" w:rsidRPr="00F11F4F" w:rsidRDefault="000C057D" w:rsidP="00E23051">
            <w:pPr>
              <w:pStyle w:val="i"/>
              <w:spacing w:before="100" w:after="100"/>
              <w:outlineLvl w:val="2"/>
              <w:rPr>
                <w:rFonts w:ascii="Arial" w:hAnsi="Arial" w:cs="Arial"/>
                <w:b/>
                <w:sz w:val="22"/>
                <w:szCs w:val="22"/>
                <w:lang w:val="es-ES"/>
              </w:rPr>
            </w:pPr>
          </w:p>
        </w:tc>
        <w:tc>
          <w:tcPr>
            <w:tcW w:w="720" w:type="dxa"/>
            <w:tcBorders>
              <w:left w:val="single" w:sz="4" w:space="0" w:color="auto"/>
              <w:right w:val="nil"/>
            </w:tcBorders>
          </w:tcPr>
          <w:p w14:paraId="752493ED" w14:textId="77777777" w:rsidR="000C057D" w:rsidRPr="00F11F4F" w:rsidRDefault="000C057D" w:rsidP="00E23051">
            <w:pPr>
              <w:autoSpaceDE w:val="0"/>
              <w:autoSpaceDN w:val="0"/>
              <w:adjustRightInd w:val="0"/>
              <w:spacing w:before="120" w:after="100"/>
              <w:ind w:left="-108" w:right="-108" w:firstLine="1"/>
              <w:jc w:val="center"/>
              <w:rPr>
                <w:rFonts w:ascii="Arial" w:hAnsi="Arial" w:cs="Arial"/>
                <w:sz w:val="22"/>
                <w:szCs w:val="22"/>
                <w:lang w:val="es-ES"/>
              </w:rPr>
            </w:pPr>
            <w:r w:rsidRPr="00F11F4F">
              <w:rPr>
                <w:rFonts w:ascii="Arial" w:hAnsi="Arial" w:cs="Arial"/>
                <w:sz w:val="22"/>
                <w:szCs w:val="22"/>
                <w:lang w:val="es-ES"/>
              </w:rPr>
              <w:t>42.3</w:t>
            </w:r>
          </w:p>
        </w:tc>
        <w:tc>
          <w:tcPr>
            <w:tcW w:w="6660" w:type="dxa"/>
            <w:tcBorders>
              <w:left w:val="nil"/>
            </w:tcBorders>
          </w:tcPr>
          <w:p w14:paraId="174BF305" w14:textId="77777777" w:rsidR="000C057D" w:rsidRPr="00F11F4F" w:rsidRDefault="000C057D" w:rsidP="00A2426D">
            <w:pPr>
              <w:spacing w:before="120" w:after="120"/>
              <w:ind w:left="-110"/>
              <w:rPr>
                <w:rFonts w:ascii="Arial" w:hAnsi="Arial" w:cs="Arial"/>
                <w:sz w:val="22"/>
                <w:szCs w:val="22"/>
                <w:lang w:val="es-ES"/>
              </w:rPr>
            </w:pPr>
            <w:r w:rsidRPr="00F11F4F">
              <w:rPr>
                <w:rFonts w:ascii="Arial" w:hAnsi="Arial" w:cs="Arial"/>
                <w:sz w:val="22"/>
                <w:szCs w:val="22"/>
                <w:lang w:val="es-ES"/>
              </w:rPr>
              <w:t>La Notificación de la Adjudicación del Contrato se publicará en el sitio web de acceso gratuito del Co</w:t>
            </w:r>
            <w:r w:rsidR="002A2D71" w:rsidRPr="00F11F4F">
              <w:rPr>
                <w:rFonts w:ascii="Arial" w:hAnsi="Arial" w:cs="Arial"/>
                <w:sz w:val="22"/>
                <w:szCs w:val="22"/>
                <w:lang w:val="es-ES"/>
              </w:rPr>
              <w:t>ntratante</w:t>
            </w:r>
            <w:r w:rsidRPr="00F11F4F">
              <w:rPr>
                <w:rFonts w:ascii="Arial" w:hAnsi="Arial" w:cs="Arial"/>
                <w:sz w:val="22"/>
                <w:szCs w:val="22"/>
                <w:lang w:val="es-ES"/>
              </w:rPr>
              <w:t>, si se encontrara disponible, o en al menos un periódico de circulación nacional del País del contratante o en el boletín oficial.</w:t>
            </w:r>
          </w:p>
          <w:p w14:paraId="57B6CD79" w14:textId="77777777" w:rsidR="000C057D" w:rsidRPr="00F11F4F" w:rsidRDefault="000C057D" w:rsidP="00A2426D">
            <w:pPr>
              <w:pStyle w:val="Sub-ClauseText"/>
              <w:overflowPunct w:val="0"/>
              <w:autoSpaceDE w:val="0"/>
              <w:autoSpaceDN w:val="0"/>
              <w:adjustRightInd w:val="0"/>
              <w:spacing w:after="200"/>
              <w:ind w:left="-110"/>
              <w:textAlignment w:val="baseline"/>
              <w:rPr>
                <w:rFonts w:ascii="Arial" w:hAnsi="Arial" w:cs="Arial"/>
                <w:sz w:val="22"/>
                <w:szCs w:val="22"/>
                <w:lang w:val="es-ES"/>
              </w:rPr>
            </w:pPr>
            <w:r w:rsidRPr="00F11F4F">
              <w:rPr>
                <w:rFonts w:ascii="Arial" w:hAnsi="Arial" w:cs="Arial"/>
                <w:sz w:val="22"/>
                <w:szCs w:val="22"/>
                <w:lang w:val="es-ES"/>
              </w:rPr>
              <w:t>El Contratante también deberá incluir dicha notificación en el sitio web de la publicación de las Naciones Unidas Development Business</w:t>
            </w:r>
          </w:p>
        </w:tc>
      </w:tr>
      <w:tr w:rsidR="00E23051" w:rsidRPr="00A33F6B" w14:paraId="279786E0" w14:textId="77777777" w:rsidTr="00701A2C">
        <w:tc>
          <w:tcPr>
            <w:tcW w:w="1980" w:type="dxa"/>
            <w:vMerge w:val="restart"/>
            <w:tcBorders>
              <w:top w:val="single" w:sz="4" w:space="0" w:color="auto"/>
            </w:tcBorders>
          </w:tcPr>
          <w:p w14:paraId="573514C5" w14:textId="77777777" w:rsidR="00E23051" w:rsidRPr="0049753E" w:rsidRDefault="00E23051" w:rsidP="0049753E">
            <w:pPr>
              <w:pStyle w:val="IAO2"/>
            </w:pPr>
            <w:bookmarkStart w:id="337" w:name="_Toc74048220"/>
            <w:bookmarkStart w:id="338" w:name="_Toc74518464"/>
            <w:bookmarkStart w:id="339" w:name="_Toc74519188"/>
            <w:bookmarkStart w:id="340" w:name="_Toc74520004"/>
            <w:bookmarkStart w:id="341" w:name="_Toc74781378"/>
            <w:bookmarkStart w:id="342" w:name="_Toc74894128"/>
            <w:r w:rsidRPr="0049753E">
              <w:t xml:space="preserve">43. </w:t>
            </w:r>
            <w:r w:rsidRPr="0049753E">
              <w:rPr>
                <w:rStyle w:val="IAO2Char"/>
                <w:b/>
              </w:rPr>
              <w:t>Garantías</w:t>
            </w:r>
            <w:bookmarkEnd w:id="337"/>
            <w:bookmarkEnd w:id="338"/>
            <w:bookmarkEnd w:id="339"/>
            <w:bookmarkEnd w:id="340"/>
            <w:bookmarkEnd w:id="341"/>
            <w:bookmarkEnd w:id="342"/>
            <w:r w:rsidRPr="0049753E">
              <w:rPr>
                <w:rStyle w:val="IAO2Char"/>
                <w:b/>
              </w:rPr>
              <w:t xml:space="preserve"> </w:t>
            </w:r>
          </w:p>
        </w:tc>
        <w:tc>
          <w:tcPr>
            <w:tcW w:w="720" w:type="dxa"/>
            <w:tcBorders>
              <w:bottom w:val="single" w:sz="4" w:space="0" w:color="auto"/>
              <w:right w:val="nil"/>
            </w:tcBorders>
          </w:tcPr>
          <w:p w14:paraId="2A6AAAFA" w14:textId="77777777" w:rsidR="00E23051" w:rsidRPr="00F11F4F" w:rsidRDefault="00E23051" w:rsidP="00E23051">
            <w:pPr>
              <w:autoSpaceDE w:val="0"/>
              <w:autoSpaceDN w:val="0"/>
              <w:adjustRightInd w:val="0"/>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43.1</w:t>
            </w:r>
          </w:p>
        </w:tc>
        <w:tc>
          <w:tcPr>
            <w:tcW w:w="6660" w:type="dxa"/>
            <w:tcBorders>
              <w:left w:val="nil"/>
              <w:bottom w:val="single" w:sz="4" w:space="0" w:color="auto"/>
            </w:tcBorders>
          </w:tcPr>
          <w:p w14:paraId="592DF164"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El oferente adjudicatario deberá presentar la Fianza o Garantía de Ejecución dentro de los 28 días posteriores a la recepción de la Carta de Aceptación, de conformidad con el Clausula 24.1 de las CPC.</w:t>
            </w:r>
          </w:p>
          <w:p w14:paraId="5292687C"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El incumplimiento por parte del oferente adjudicatario de sus obligaciones de presentar la Fianza o Garantía de Ejecución antes mencionada o de firmar el contrato en el plazo previsto, constituirá causa suficiente para la anulación de la adjudicación y hacer efectivas las medidas establecidas en la Garantía de Mantenimiento de la Oferta y Firma de Contrato o en la Declaración de Mantenimiento de Oferta según sea el caso.  </w:t>
            </w:r>
          </w:p>
          <w:p w14:paraId="55BF511C" w14:textId="77777777" w:rsidR="00E23051" w:rsidRPr="00F11F4F" w:rsidRDefault="00E23051"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En este caso, el Contratante podrá adjudicar el contrato al oferente cuya oferta sea evaluada como la siguiente más conveniente. </w:t>
            </w:r>
          </w:p>
        </w:tc>
      </w:tr>
      <w:tr w:rsidR="00E23051" w:rsidRPr="00A33F6B" w14:paraId="734F7766" w14:textId="77777777" w:rsidTr="00205125">
        <w:tc>
          <w:tcPr>
            <w:tcW w:w="1980" w:type="dxa"/>
            <w:vMerge/>
          </w:tcPr>
          <w:p w14:paraId="7B1E01D5"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right w:val="nil"/>
            </w:tcBorders>
          </w:tcPr>
          <w:p w14:paraId="49394D00" w14:textId="77777777" w:rsidR="00E23051" w:rsidRPr="00F11F4F" w:rsidRDefault="00E23051" w:rsidP="00E23051">
            <w:pPr>
              <w:pStyle w:val="i"/>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43.2</w:t>
            </w:r>
          </w:p>
          <w:p w14:paraId="364BE652" w14:textId="77777777" w:rsidR="00E23051" w:rsidRPr="00F11F4F" w:rsidRDefault="00E23051" w:rsidP="00E23051">
            <w:pPr>
              <w:pStyle w:val="i"/>
              <w:spacing w:before="100" w:after="100"/>
              <w:ind w:left="-108" w:right="-108" w:firstLine="1"/>
              <w:jc w:val="center"/>
              <w:rPr>
                <w:rFonts w:ascii="Arial" w:hAnsi="Arial" w:cs="Arial"/>
                <w:sz w:val="22"/>
                <w:szCs w:val="22"/>
                <w:lang w:val="es-ES"/>
              </w:rPr>
            </w:pPr>
          </w:p>
          <w:p w14:paraId="18CFB228" w14:textId="77777777" w:rsidR="00E23051" w:rsidRPr="00F11F4F" w:rsidRDefault="00E23051" w:rsidP="00E23051">
            <w:pPr>
              <w:pStyle w:val="i"/>
              <w:spacing w:before="100" w:after="100"/>
              <w:ind w:left="-108" w:right="-108" w:firstLine="1"/>
              <w:jc w:val="center"/>
              <w:rPr>
                <w:rFonts w:ascii="Arial" w:hAnsi="Arial" w:cs="Arial"/>
                <w:sz w:val="22"/>
                <w:szCs w:val="22"/>
                <w:lang w:val="es-ES"/>
              </w:rPr>
            </w:pPr>
          </w:p>
        </w:tc>
        <w:tc>
          <w:tcPr>
            <w:tcW w:w="6660" w:type="dxa"/>
            <w:tcBorders>
              <w:left w:val="nil"/>
            </w:tcBorders>
          </w:tcPr>
          <w:p w14:paraId="72F25E41" w14:textId="77777777" w:rsidR="00E23051" w:rsidRPr="00F11F4F" w:rsidRDefault="00E23051" w:rsidP="00E23051">
            <w:pPr>
              <w:autoSpaceDE w:val="0"/>
              <w:autoSpaceDN w:val="0"/>
              <w:adjustRightInd w:val="0"/>
              <w:spacing w:before="100" w:after="100"/>
              <w:ind w:left="-108" w:firstLine="1"/>
              <w:rPr>
                <w:rFonts w:ascii="Arial" w:hAnsi="Arial" w:cs="Arial"/>
                <w:sz w:val="22"/>
                <w:szCs w:val="22"/>
                <w:lang w:val="es-ES"/>
              </w:rPr>
            </w:pPr>
            <w:r w:rsidRPr="00F11F4F">
              <w:rPr>
                <w:rFonts w:ascii="Arial" w:hAnsi="Arial" w:cs="Arial"/>
                <w:sz w:val="22"/>
                <w:szCs w:val="22"/>
                <w:lang w:val="es-ES"/>
              </w:rPr>
              <w:lastRenderedPageBreak/>
              <w:t xml:space="preserve">Se podrá proveer un anticipo sobre el precio del contrato, de acuerdo con lo estipulado en los </w:t>
            </w:r>
            <w:r w:rsidRPr="00F11F4F">
              <w:rPr>
                <w:rFonts w:ascii="Arial" w:hAnsi="Arial" w:cs="Arial"/>
                <w:b/>
                <w:bCs/>
                <w:sz w:val="22"/>
                <w:szCs w:val="22"/>
                <w:lang w:val="es-ES"/>
              </w:rPr>
              <w:t>DDL</w:t>
            </w:r>
            <w:r w:rsidRPr="00F11F4F">
              <w:rPr>
                <w:rFonts w:ascii="Arial" w:hAnsi="Arial" w:cs="Arial"/>
                <w:sz w:val="22"/>
                <w:szCs w:val="22"/>
                <w:lang w:val="es-ES"/>
              </w:rPr>
              <w:t>.</w:t>
            </w:r>
          </w:p>
          <w:p w14:paraId="5716C684" w14:textId="77777777" w:rsidR="00E23051" w:rsidRPr="00F11F4F" w:rsidRDefault="00E23051" w:rsidP="00E23051">
            <w:pPr>
              <w:autoSpaceDE w:val="0"/>
              <w:autoSpaceDN w:val="0"/>
              <w:adjustRightInd w:val="0"/>
              <w:spacing w:before="100" w:after="100"/>
              <w:ind w:left="-108" w:firstLine="1"/>
              <w:rPr>
                <w:rFonts w:ascii="Arial" w:hAnsi="Arial" w:cs="Arial"/>
                <w:sz w:val="22"/>
                <w:szCs w:val="22"/>
                <w:lang w:val="es-ES"/>
              </w:rPr>
            </w:pPr>
            <w:r w:rsidRPr="00F11F4F">
              <w:rPr>
                <w:rFonts w:ascii="Arial" w:hAnsi="Arial" w:cs="Arial"/>
                <w:sz w:val="22"/>
                <w:szCs w:val="22"/>
                <w:lang w:val="es-ES"/>
              </w:rPr>
              <w:lastRenderedPageBreak/>
              <w:t>En caso de aplicar, el pago deberá realizarse contra la recepción de una garantía por el buen uso del 100% del valor de dicho anticipo</w:t>
            </w:r>
          </w:p>
          <w:p w14:paraId="1FCAAD2B" w14:textId="77777777" w:rsidR="00E23051" w:rsidRPr="00F11F4F" w:rsidRDefault="00E23051" w:rsidP="00E23051">
            <w:pPr>
              <w:autoSpaceDE w:val="0"/>
              <w:autoSpaceDN w:val="0"/>
              <w:adjustRightInd w:val="0"/>
              <w:spacing w:before="100" w:after="100"/>
              <w:ind w:left="-108" w:firstLine="1"/>
              <w:rPr>
                <w:rFonts w:ascii="Arial" w:hAnsi="Arial" w:cs="Arial"/>
                <w:sz w:val="22"/>
                <w:szCs w:val="22"/>
                <w:lang w:val="es-ES"/>
              </w:rPr>
            </w:pPr>
            <w:r w:rsidRPr="00F11F4F">
              <w:rPr>
                <w:rFonts w:ascii="Arial" w:hAnsi="Arial" w:cs="Arial"/>
                <w:sz w:val="22"/>
                <w:szCs w:val="22"/>
                <w:lang w:val="es-ES"/>
              </w:rPr>
              <w:t>Esta garantía podrá ser tipo bancaria, fianza o cualquier otro tipo de instrumento financiero de fácil ejecución, que sea incondicional y a primer requerimiento, emitido por instituciones financieras o aseguradoras reguladas y aceptable en el país del Contratante.</w:t>
            </w:r>
          </w:p>
          <w:p w14:paraId="3D61FDB9" w14:textId="77777777" w:rsidR="00E23051" w:rsidRPr="00F11F4F" w:rsidRDefault="00E23051" w:rsidP="00E23051">
            <w:pPr>
              <w:autoSpaceDE w:val="0"/>
              <w:autoSpaceDN w:val="0"/>
              <w:adjustRightInd w:val="0"/>
              <w:spacing w:before="100" w:after="100"/>
              <w:ind w:left="-108" w:firstLine="1"/>
              <w:rPr>
                <w:rFonts w:ascii="Arial" w:hAnsi="Arial" w:cs="Arial"/>
                <w:strike/>
                <w:sz w:val="22"/>
                <w:szCs w:val="22"/>
                <w:lang w:val="es-ES"/>
              </w:rPr>
            </w:pPr>
            <w:r w:rsidRPr="00F11F4F">
              <w:rPr>
                <w:rFonts w:ascii="Arial" w:hAnsi="Arial" w:cs="Arial"/>
                <w:sz w:val="22"/>
                <w:szCs w:val="22"/>
                <w:lang w:val="es-ES"/>
              </w:rPr>
              <w:t>Toda institución extranjera que proporcione una garantía / fianza /otro instrumento financiero deberá tener una institución financiera corresponsal en el país del Contratante, a menos que el Contratante haya convenido por escrito que no se requiere una institución financiera corresponsal</w:t>
            </w:r>
          </w:p>
        </w:tc>
      </w:tr>
      <w:tr w:rsidR="00E23051" w:rsidRPr="00A33F6B" w14:paraId="4BAD3F9E" w14:textId="77777777" w:rsidTr="00205125">
        <w:trPr>
          <w:trHeight w:val="274"/>
        </w:trPr>
        <w:tc>
          <w:tcPr>
            <w:tcW w:w="1980" w:type="dxa"/>
            <w:vMerge/>
          </w:tcPr>
          <w:p w14:paraId="4AA4720D" w14:textId="77777777" w:rsidR="00E23051" w:rsidRPr="00F11F4F" w:rsidRDefault="00E23051" w:rsidP="00E23051">
            <w:pPr>
              <w:pStyle w:val="i"/>
              <w:spacing w:before="100" w:after="100"/>
              <w:rPr>
                <w:rFonts w:ascii="Arial" w:hAnsi="Arial" w:cs="Arial"/>
                <w:b/>
                <w:sz w:val="22"/>
                <w:szCs w:val="22"/>
                <w:lang w:val="es-ES"/>
              </w:rPr>
            </w:pPr>
          </w:p>
        </w:tc>
        <w:tc>
          <w:tcPr>
            <w:tcW w:w="720" w:type="dxa"/>
            <w:tcBorders>
              <w:right w:val="nil"/>
            </w:tcBorders>
          </w:tcPr>
          <w:p w14:paraId="21B82914" w14:textId="77777777" w:rsidR="00E23051" w:rsidRPr="00F11F4F" w:rsidRDefault="00E23051" w:rsidP="00E23051">
            <w:pPr>
              <w:pStyle w:val="i"/>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43.3</w:t>
            </w:r>
          </w:p>
        </w:tc>
        <w:tc>
          <w:tcPr>
            <w:tcW w:w="6660" w:type="dxa"/>
            <w:tcBorders>
              <w:left w:val="nil"/>
            </w:tcBorders>
          </w:tcPr>
          <w:p w14:paraId="310C9B44" w14:textId="77777777" w:rsidR="00E23051" w:rsidRPr="00F11F4F" w:rsidRDefault="00E23051" w:rsidP="00E23051">
            <w:pPr>
              <w:autoSpaceDE w:val="0"/>
              <w:autoSpaceDN w:val="0"/>
              <w:adjustRightInd w:val="0"/>
              <w:spacing w:before="100" w:after="100"/>
              <w:ind w:left="-108" w:firstLine="1"/>
              <w:rPr>
                <w:rFonts w:ascii="Arial" w:hAnsi="Arial" w:cs="Arial"/>
                <w:sz w:val="22"/>
                <w:szCs w:val="22"/>
                <w:lang w:val="es-ES"/>
              </w:rPr>
            </w:pPr>
            <w:r w:rsidRPr="00F11F4F">
              <w:rPr>
                <w:rFonts w:ascii="Arial" w:hAnsi="Arial" w:cs="Arial"/>
                <w:sz w:val="22"/>
                <w:szCs w:val="22"/>
                <w:lang w:val="es-ES"/>
              </w:rPr>
              <w:t xml:space="preserve">Garantía de Calidad de Obras. Se deberá presentar una Fianza o Garantía Bancaria de Calidad de Obras, de acuerdo con las condiciones establecidas en la </w:t>
            </w:r>
            <w:r w:rsidR="00204D8E" w:rsidRPr="00F11F4F">
              <w:rPr>
                <w:rFonts w:ascii="Arial" w:hAnsi="Arial" w:cs="Arial"/>
                <w:sz w:val="22"/>
                <w:szCs w:val="22"/>
                <w:lang w:val="es-ES"/>
              </w:rPr>
              <w:t>subcláusula</w:t>
            </w:r>
            <w:r w:rsidRPr="00F11F4F">
              <w:rPr>
                <w:rFonts w:ascii="Arial" w:hAnsi="Arial" w:cs="Arial"/>
                <w:sz w:val="22"/>
                <w:szCs w:val="22"/>
                <w:lang w:val="es-ES"/>
              </w:rPr>
              <w:t xml:space="preserve"> 55.3 de las CGC y CPC</w:t>
            </w:r>
          </w:p>
        </w:tc>
      </w:tr>
      <w:tr w:rsidR="00204D8E" w:rsidRPr="00A33F6B" w14:paraId="315E4082" w14:textId="77777777" w:rsidTr="00205125">
        <w:trPr>
          <w:trHeight w:val="762"/>
        </w:trPr>
        <w:tc>
          <w:tcPr>
            <w:tcW w:w="1980" w:type="dxa"/>
            <w:vMerge w:val="restart"/>
            <w:shd w:val="clear" w:color="auto" w:fill="auto"/>
          </w:tcPr>
          <w:p w14:paraId="506E67EA" w14:textId="77777777" w:rsidR="00204D8E" w:rsidRPr="00F11F4F" w:rsidRDefault="00204D8E" w:rsidP="007F1D84">
            <w:pPr>
              <w:pStyle w:val="IAO2"/>
            </w:pPr>
            <w:bookmarkStart w:id="343" w:name="_Toc74048221"/>
            <w:bookmarkStart w:id="344" w:name="_Toc74518465"/>
            <w:bookmarkStart w:id="345" w:name="_Toc74519189"/>
            <w:bookmarkStart w:id="346" w:name="_Toc74520005"/>
            <w:bookmarkStart w:id="347" w:name="_Toc74781379"/>
            <w:bookmarkStart w:id="348" w:name="_Toc74894129"/>
            <w:r w:rsidRPr="00F11F4F">
              <w:t>44. Firma del contrato</w:t>
            </w:r>
            <w:bookmarkEnd w:id="343"/>
            <w:bookmarkEnd w:id="344"/>
            <w:bookmarkEnd w:id="345"/>
            <w:bookmarkEnd w:id="346"/>
            <w:bookmarkEnd w:id="347"/>
            <w:bookmarkEnd w:id="348"/>
          </w:p>
        </w:tc>
        <w:tc>
          <w:tcPr>
            <w:tcW w:w="720" w:type="dxa"/>
            <w:tcBorders>
              <w:right w:val="nil"/>
            </w:tcBorders>
            <w:shd w:val="clear" w:color="auto" w:fill="auto"/>
          </w:tcPr>
          <w:p w14:paraId="36955BD8" w14:textId="77777777" w:rsidR="00204D8E" w:rsidRPr="00F11F4F" w:rsidRDefault="00204D8E" w:rsidP="00E23051">
            <w:pPr>
              <w:pStyle w:val="i"/>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44.1</w:t>
            </w:r>
          </w:p>
        </w:tc>
        <w:tc>
          <w:tcPr>
            <w:tcW w:w="6660" w:type="dxa"/>
            <w:tcBorders>
              <w:left w:val="nil"/>
            </w:tcBorders>
          </w:tcPr>
          <w:p w14:paraId="1AF12D29" w14:textId="77777777" w:rsidR="00204D8E" w:rsidRPr="00F11F4F" w:rsidRDefault="00204D8E" w:rsidP="00E23051">
            <w:pPr>
              <w:autoSpaceDE w:val="0"/>
              <w:autoSpaceDN w:val="0"/>
              <w:adjustRightInd w:val="0"/>
              <w:spacing w:before="100" w:after="100"/>
              <w:ind w:left="-108" w:firstLine="1"/>
              <w:rPr>
                <w:rFonts w:ascii="Arial" w:hAnsi="Arial" w:cs="Arial"/>
                <w:sz w:val="22"/>
                <w:szCs w:val="22"/>
                <w:lang w:val="es-ES"/>
              </w:rPr>
            </w:pPr>
            <w:r w:rsidRPr="00F11F4F">
              <w:rPr>
                <w:rFonts w:ascii="Arial" w:hAnsi="Arial" w:cs="Arial"/>
                <w:sz w:val="22"/>
                <w:szCs w:val="22"/>
                <w:lang w:val="es-ES"/>
              </w:rPr>
              <w:t xml:space="preserve">Después de la notificación, el adjudicatario, deberá presentar al Contratante los documentos señalados en los </w:t>
            </w:r>
            <w:r w:rsidRPr="00F11F4F">
              <w:rPr>
                <w:rFonts w:ascii="Arial" w:hAnsi="Arial" w:cs="Arial"/>
                <w:b/>
                <w:bCs/>
                <w:sz w:val="22"/>
                <w:szCs w:val="22"/>
                <w:lang w:val="es-ES"/>
              </w:rPr>
              <w:t>DDL.</w:t>
            </w:r>
          </w:p>
        </w:tc>
      </w:tr>
      <w:tr w:rsidR="00204D8E" w:rsidRPr="00FE7E58" w14:paraId="0C14390F" w14:textId="77777777" w:rsidTr="00205125">
        <w:tc>
          <w:tcPr>
            <w:tcW w:w="1980" w:type="dxa"/>
            <w:vMerge/>
            <w:shd w:val="clear" w:color="auto" w:fill="auto"/>
          </w:tcPr>
          <w:p w14:paraId="07DD8110" w14:textId="77777777" w:rsidR="00204D8E" w:rsidRPr="00F11F4F" w:rsidRDefault="00204D8E" w:rsidP="007F1D84">
            <w:pPr>
              <w:pStyle w:val="IAO2"/>
            </w:pPr>
          </w:p>
        </w:tc>
        <w:tc>
          <w:tcPr>
            <w:tcW w:w="720" w:type="dxa"/>
            <w:tcBorders>
              <w:bottom w:val="single" w:sz="4" w:space="0" w:color="auto"/>
              <w:right w:val="nil"/>
            </w:tcBorders>
            <w:shd w:val="clear" w:color="auto" w:fill="auto"/>
          </w:tcPr>
          <w:p w14:paraId="57AD0160" w14:textId="77777777" w:rsidR="00204D8E" w:rsidRPr="00F11F4F" w:rsidRDefault="00204D8E" w:rsidP="00E23051">
            <w:pPr>
              <w:pStyle w:val="i"/>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44.2</w:t>
            </w:r>
          </w:p>
        </w:tc>
        <w:tc>
          <w:tcPr>
            <w:tcW w:w="6660" w:type="dxa"/>
            <w:tcBorders>
              <w:left w:val="nil"/>
              <w:bottom w:val="single" w:sz="4" w:space="0" w:color="auto"/>
            </w:tcBorders>
          </w:tcPr>
          <w:p w14:paraId="231AB36B" w14:textId="77777777" w:rsidR="00204D8E" w:rsidRPr="00F11F4F" w:rsidRDefault="00204D8E"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A menos que se estipule diferente en los </w:t>
            </w:r>
            <w:r w:rsidRPr="00F11F4F">
              <w:rPr>
                <w:rFonts w:ascii="Arial" w:hAnsi="Arial" w:cs="Arial"/>
                <w:b/>
                <w:bCs/>
                <w:sz w:val="22"/>
                <w:szCs w:val="22"/>
                <w:lang w:val="es-ES"/>
              </w:rPr>
              <w:t>DDL</w:t>
            </w:r>
            <w:r w:rsidRPr="00F11F4F">
              <w:rPr>
                <w:rFonts w:ascii="Arial" w:hAnsi="Arial" w:cs="Arial"/>
                <w:sz w:val="22"/>
                <w:szCs w:val="22"/>
                <w:lang w:val="es-ES"/>
              </w:rPr>
              <w:t>, dentro de los 28 días posteriores a la recepción de la Carta de Aceptación y recepción del contrato, el oferente deberá firmar, fechar y devolver el contrato al Contratante.</w:t>
            </w:r>
          </w:p>
          <w:p w14:paraId="5261C6CB" w14:textId="77777777" w:rsidR="00204D8E" w:rsidRPr="00F11F4F" w:rsidRDefault="00204D8E" w:rsidP="00E23051">
            <w:pPr>
              <w:pStyle w:val="i"/>
              <w:spacing w:before="100" w:after="100"/>
              <w:ind w:left="-108"/>
              <w:rPr>
                <w:rFonts w:ascii="Arial" w:hAnsi="Arial" w:cs="Arial"/>
                <w:sz w:val="22"/>
                <w:szCs w:val="22"/>
                <w:lang w:val="es-ES"/>
              </w:rPr>
            </w:pPr>
            <w:r w:rsidRPr="00F11F4F">
              <w:rPr>
                <w:rFonts w:ascii="Arial" w:hAnsi="Arial" w:cs="Arial"/>
                <w:sz w:val="22"/>
                <w:szCs w:val="22"/>
                <w:lang w:val="es-ES"/>
              </w:rPr>
              <w:t xml:space="preserve">El Contratante definirá en los </w:t>
            </w:r>
            <w:r w:rsidRPr="00F11F4F">
              <w:rPr>
                <w:rFonts w:ascii="Arial" w:hAnsi="Arial" w:cs="Arial"/>
                <w:b/>
                <w:bCs/>
                <w:sz w:val="22"/>
                <w:szCs w:val="22"/>
                <w:lang w:val="es-ES"/>
              </w:rPr>
              <w:t>DDL</w:t>
            </w:r>
            <w:r w:rsidRPr="00F11F4F">
              <w:rPr>
                <w:rFonts w:ascii="Arial" w:hAnsi="Arial" w:cs="Arial"/>
                <w:sz w:val="22"/>
                <w:szCs w:val="22"/>
                <w:lang w:val="es-ES"/>
              </w:rPr>
              <w:t xml:space="preserve"> el procedimiento para la firma del contrato.</w:t>
            </w:r>
          </w:p>
        </w:tc>
      </w:tr>
      <w:tr w:rsidR="007D6479" w:rsidRPr="00A33F6B" w14:paraId="4F36EFD6" w14:textId="77777777" w:rsidTr="00205125">
        <w:trPr>
          <w:trHeight w:val="204"/>
        </w:trPr>
        <w:tc>
          <w:tcPr>
            <w:tcW w:w="1980" w:type="dxa"/>
            <w:shd w:val="clear" w:color="auto" w:fill="auto"/>
          </w:tcPr>
          <w:p w14:paraId="7EDDA9B8" w14:textId="77777777" w:rsidR="007D6479" w:rsidRPr="00F11F4F" w:rsidRDefault="002B3769" w:rsidP="007F1D84">
            <w:pPr>
              <w:pStyle w:val="IAO2"/>
            </w:pPr>
            <w:bookmarkStart w:id="349" w:name="_Toc74048222"/>
            <w:bookmarkStart w:id="350" w:name="_Toc74518466"/>
            <w:bookmarkStart w:id="351" w:name="_Toc74519190"/>
            <w:bookmarkStart w:id="352" w:name="_Toc74520006"/>
            <w:bookmarkStart w:id="353" w:name="_Toc74781380"/>
            <w:bookmarkStart w:id="354" w:name="_Toc74894130"/>
            <w:r w:rsidRPr="00F11F4F">
              <w:t>45. Conciliador</w:t>
            </w:r>
            <w:bookmarkEnd w:id="349"/>
            <w:bookmarkEnd w:id="350"/>
            <w:bookmarkEnd w:id="351"/>
            <w:bookmarkEnd w:id="352"/>
            <w:bookmarkEnd w:id="353"/>
            <w:bookmarkEnd w:id="354"/>
          </w:p>
        </w:tc>
        <w:tc>
          <w:tcPr>
            <w:tcW w:w="720" w:type="dxa"/>
            <w:tcBorders>
              <w:right w:val="single" w:sz="4" w:space="0" w:color="FFFFFF" w:themeColor="background1"/>
            </w:tcBorders>
            <w:shd w:val="clear" w:color="auto" w:fill="auto"/>
          </w:tcPr>
          <w:p w14:paraId="18C4FDAB" w14:textId="77777777" w:rsidR="007D6479" w:rsidRPr="00F11F4F" w:rsidRDefault="002B3769" w:rsidP="00E23051">
            <w:pPr>
              <w:pStyle w:val="i"/>
              <w:spacing w:before="100" w:after="100"/>
              <w:ind w:left="-108" w:right="-108" w:firstLine="1"/>
              <w:jc w:val="center"/>
              <w:rPr>
                <w:rFonts w:ascii="Arial" w:hAnsi="Arial" w:cs="Arial"/>
                <w:sz w:val="22"/>
                <w:szCs w:val="22"/>
                <w:lang w:val="es-ES"/>
              </w:rPr>
            </w:pPr>
            <w:r w:rsidRPr="00F11F4F">
              <w:rPr>
                <w:rFonts w:ascii="Arial" w:hAnsi="Arial" w:cs="Arial"/>
                <w:sz w:val="22"/>
                <w:szCs w:val="22"/>
                <w:lang w:val="es-ES"/>
              </w:rPr>
              <w:t>45.1</w:t>
            </w:r>
          </w:p>
        </w:tc>
        <w:tc>
          <w:tcPr>
            <w:tcW w:w="6660" w:type="dxa"/>
            <w:tcBorders>
              <w:left w:val="single" w:sz="4" w:space="0" w:color="FFFFFF" w:themeColor="background1"/>
            </w:tcBorders>
          </w:tcPr>
          <w:p w14:paraId="58444C7B" w14:textId="77777777" w:rsidR="007D6479" w:rsidRPr="00F11F4F" w:rsidRDefault="007D6479" w:rsidP="002F791B">
            <w:pPr>
              <w:pStyle w:val="i"/>
              <w:spacing w:before="100" w:after="100"/>
              <w:ind w:left="-108"/>
              <w:rPr>
                <w:rFonts w:ascii="Arial" w:hAnsi="Arial" w:cs="Arial"/>
                <w:strike/>
                <w:sz w:val="22"/>
                <w:szCs w:val="22"/>
                <w:lang w:val="es-ES"/>
              </w:rPr>
            </w:pPr>
            <w:r w:rsidRPr="00F11F4F">
              <w:rPr>
                <w:rFonts w:ascii="Arial" w:hAnsi="Arial" w:cs="Arial"/>
                <w:spacing w:val="-3"/>
                <w:sz w:val="22"/>
                <w:szCs w:val="22"/>
                <w:lang w:val="es-ES"/>
              </w:rPr>
              <w:t>El Contratante propone que se designe Conciliador en virtud del Contrato a la persona nombrada</w:t>
            </w:r>
            <w:r w:rsidRPr="00F11F4F">
              <w:rPr>
                <w:rFonts w:ascii="Arial" w:hAnsi="Arial" w:cs="Arial"/>
                <w:b/>
                <w:spacing w:val="-3"/>
                <w:sz w:val="22"/>
                <w:szCs w:val="22"/>
                <w:lang w:val="es-ES"/>
              </w:rPr>
              <w:t xml:space="preserve"> en los DDL</w:t>
            </w:r>
            <w:r w:rsidRPr="00F11F4F">
              <w:rPr>
                <w:rFonts w:ascii="Arial" w:hAnsi="Arial" w:cs="Arial"/>
                <w:spacing w:val="-3"/>
                <w:sz w:val="22"/>
                <w:szCs w:val="22"/>
                <w:lang w:val="es-ES"/>
              </w:rPr>
              <w:t xml:space="preserve">, a quien se le pagarán los honorarios por hora especificados </w:t>
            </w:r>
            <w:r w:rsidRPr="00F11F4F">
              <w:rPr>
                <w:rFonts w:ascii="Arial" w:hAnsi="Arial" w:cs="Arial"/>
                <w:b/>
                <w:spacing w:val="-3"/>
                <w:sz w:val="22"/>
                <w:szCs w:val="22"/>
                <w:lang w:val="es-ES"/>
              </w:rPr>
              <w:t>en los DDL</w:t>
            </w:r>
            <w:r w:rsidRPr="00F11F4F">
              <w:rPr>
                <w:rFonts w:ascii="Arial" w:hAnsi="Arial" w:cs="Arial"/>
                <w:spacing w:val="-3"/>
                <w:sz w:val="22"/>
                <w:szCs w:val="22"/>
                <w:lang w:val="es-ES"/>
              </w:rPr>
              <w:t>, más gastos reembolsables.</w:t>
            </w:r>
            <w:r w:rsidRPr="00F11F4F">
              <w:rPr>
                <w:rFonts w:ascii="Arial" w:hAnsi="Arial" w:cs="Arial"/>
                <w:sz w:val="22"/>
                <w:szCs w:val="22"/>
                <w:lang w:val="es-ES"/>
              </w:rPr>
              <w:t xml:space="preserve"> </w:t>
            </w:r>
            <w:r w:rsidRPr="00F11F4F">
              <w:rPr>
                <w:rFonts w:ascii="Arial" w:hAnsi="Arial" w:cs="Arial"/>
                <w:spacing w:val="-3"/>
                <w:sz w:val="22"/>
                <w:szCs w:val="22"/>
                <w:lang w:val="es-ES"/>
              </w:rPr>
              <w:t>Si el Licitante no estuviera de acuerdo con esta propuesta, deberá manifestarlo en su Oferta</w:t>
            </w:r>
            <w:r w:rsidRPr="00F11F4F">
              <w:rPr>
                <w:rFonts w:ascii="Arial" w:hAnsi="Arial" w:cs="Arial"/>
                <w:sz w:val="22"/>
                <w:szCs w:val="22"/>
                <w:lang w:val="es-ES"/>
              </w:rPr>
              <w:t xml:space="preserve">. Si, en </w:t>
            </w:r>
            <w:r w:rsidRPr="00F11F4F">
              <w:rPr>
                <w:rFonts w:ascii="Arial" w:hAnsi="Arial" w:cs="Arial"/>
                <w:spacing w:val="-3"/>
                <w:sz w:val="22"/>
                <w:szCs w:val="22"/>
                <w:lang w:val="es-ES"/>
              </w:rPr>
              <w:t>la Carta de Aceptación, el Contratante manifiesta no estar de acuerdo con la designación del Conciliador, el Contratante solicitará que el Conciliador sea nombrado por la Autoridad Nominadora</w:t>
            </w:r>
            <w:r w:rsidR="006151C1" w:rsidRPr="00F11F4F">
              <w:rPr>
                <w:rFonts w:ascii="Arial" w:hAnsi="Arial" w:cs="Arial"/>
                <w:spacing w:val="-3"/>
                <w:sz w:val="22"/>
                <w:szCs w:val="22"/>
                <w:lang w:val="es-ES"/>
              </w:rPr>
              <w:t xml:space="preserve"> </w:t>
            </w:r>
            <w:r w:rsidRPr="00F11F4F">
              <w:rPr>
                <w:rFonts w:ascii="Arial" w:hAnsi="Arial" w:cs="Arial"/>
                <w:spacing w:val="-3"/>
                <w:sz w:val="22"/>
                <w:szCs w:val="22"/>
                <w:lang w:val="es-ES"/>
              </w:rPr>
              <w:t xml:space="preserve">designada en las Condiciones Especiales del Contrato conforme a lo dispuesto en la cláusula </w:t>
            </w:r>
            <w:r w:rsidR="006541DB">
              <w:rPr>
                <w:rFonts w:ascii="Arial" w:hAnsi="Arial" w:cs="Arial"/>
                <w:spacing w:val="-3"/>
                <w:sz w:val="22"/>
                <w:szCs w:val="22"/>
                <w:lang w:val="es-ES"/>
              </w:rPr>
              <w:t>33</w:t>
            </w:r>
            <w:r w:rsidRPr="00F11F4F">
              <w:rPr>
                <w:rFonts w:ascii="Arial" w:hAnsi="Arial" w:cs="Arial"/>
                <w:sz w:val="22"/>
                <w:szCs w:val="22"/>
                <w:lang w:val="es-ES"/>
              </w:rPr>
              <w:t xml:space="preserve"> de las Condiciones</w:t>
            </w:r>
            <w:r w:rsidR="00C72F48" w:rsidRPr="00F11F4F">
              <w:rPr>
                <w:rFonts w:ascii="Arial" w:hAnsi="Arial" w:cs="Arial"/>
                <w:sz w:val="22"/>
                <w:szCs w:val="22"/>
                <w:lang w:val="es-ES"/>
              </w:rPr>
              <w:t xml:space="preserve"> </w:t>
            </w:r>
            <w:r w:rsidRPr="00F11F4F">
              <w:rPr>
                <w:rFonts w:ascii="Arial" w:hAnsi="Arial" w:cs="Arial"/>
                <w:sz w:val="22"/>
                <w:szCs w:val="22"/>
                <w:lang w:val="es-ES"/>
              </w:rPr>
              <w:t>Generales</w:t>
            </w:r>
            <w:r w:rsidR="00C72F48" w:rsidRPr="00F11F4F">
              <w:rPr>
                <w:rFonts w:ascii="Arial" w:hAnsi="Arial" w:cs="Arial"/>
                <w:sz w:val="22"/>
                <w:szCs w:val="22"/>
                <w:lang w:val="es-ES"/>
              </w:rPr>
              <w:t xml:space="preserve"> </w:t>
            </w:r>
            <w:r w:rsidRPr="00F11F4F">
              <w:rPr>
                <w:rFonts w:ascii="Arial" w:hAnsi="Arial" w:cs="Arial"/>
                <w:sz w:val="22"/>
                <w:szCs w:val="22"/>
                <w:lang w:val="es-ES"/>
              </w:rPr>
              <w:t>del</w:t>
            </w:r>
            <w:r w:rsidR="00C72F48" w:rsidRPr="00F11F4F">
              <w:rPr>
                <w:rFonts w:ascii="Arial" w:hAnsi="Arial" w:cs="Arial"/>
                <w:sz w:val="22"/>
                <w:szCs w:val="22"/>
                <w:lang w:val="es-ES"/>
              </w:rPr>
              <w:t xml:space="preserve"> </w:t>
            </w:r>
            <w:r w:rsidRPr="00F11F4F">
              <w:rPr>
                <w:rFonts w:ascii="Arial" w:hAnsi="Arial" w:cs="Arial"/>
                <w:sz w:val="22"/>
                <w:szCs w:val="22"/>
                <w:lang w:val="es-ES"/>
              </w:rPr>
              <w:t>Contrato (CGC).</w:t>
            </w:r>
          </w:p>
        </w:tc>
      </w:tr>
    </w:tbl>
    <w:p w14:paraId="099BC6D4" w14:textId="77777777" w:rsidR="00B65BDE" w:rsidRPr="00A33F6B" w:rsidRDefault="00B65BDE" w:rsidP="00B65BDE">
      <w:pPr>
        <w:ind w:left="180"/>
        <w:rPr>
          <w:rFonts w:asciiTheme="minorHAnsi" w:hAnsiTheme="minorHAnsi"/>
          <w:szCs w:val="24"/>
          <w:lang w:val="es-ES"/>
        </w:rPr>
      </w:pPr>
    </w:p>
    <w:p w14:paraId="38275D93" w14:textId="77777777" w:rsidR="00387B0E" w:rsidRDefault="00387B0E">
      <w:pPr>
        <w:jc w:val="left"/>
        <w:rPr>
          <w:rFonts w:asciiTheme="minorHAnsi" w:hAnsiTheme="minorHAnsi"/>
          <w:szCs w:val="24"/>
          <w:lang w:val="es-HN"/>
        </w:rPr>
      </w:pPr>
      <w:r>
        <w:rPr>
          <w:rFonts w:asciiTheme="minorHAnsi" w:hAnsiTheme="minorHAnsi"/>
          <w:szCs w:val="24"/>
          <w:lang w:val="es-HN"/>
        </w:rPr>
        <w:br w:type="page"/>
      </w:r>
    </w:p>
    <w:p w14:paraId="593DB0D5" w14:textId="77777777" w:rsidR="00B65BDE" w:rsidRPr="00DD7617" w:rsidRDefault="004213BB" w:rsidP="00C2353B">
      <w:pPr>
        <w:pStyle w:val="INDGEN2"/>
      </w:pPr>
      <w:bookmarkStart w:id="355" w:name="_Toc365893473"/>
      <w:bookmarkStart w:id="356" w:name="_Toc364779457"/>
      <w:bookmarkStart w:id="357" w:name="_Toc53584257"/>
      <w:bookmarkStart w:id="358" w:name="_Toc54366872"/>
      <w:bookmarkStart w:id="359" w:name="_Toc74048223"/>
      <w:bookmarkStart w:id="360" w:name="_Toc74518467"/>
      <w:bookmarkStart w:id="361" w:name="_Toc74520007"/>
      <w:bookmarkStart w:id="362" w:name="_Toc74781381"/>
      <w:bookmarkStart w:id="363" w:name="_Toc74894068"/>
      <w:r>
        <w:lastRenderedPageBreak/>
        <w:t xml:space="preserve"> </w:t>
      </w:r>
      <w:r w:rsidR="00B65BDE" w:rsidRPr="00DD7617">
        <w:t>Sección II.</w:t>
      </w:r>
      <w:bookmarkStart w:id="364" w:name="_Toc365893474"/>
      <w:bookmarkEnd w:id="355"/>
      <w:r w:rsidR="002D4D3B">
        <w:t xml:space="preserve"> </w:t>
      </w:r>
      <w:r w:rsidR="00B65BDE" w:rsidRPr="00DD7617">
        <w:t xml:space="preserve">Datos </w:t>
      </w:r>
      <w:bookmarkEnd w:id="356"/>
      <w:bookmarkEnd w:id="364"/>
      <w:r w:rsidR="00B65BDE" w:rsidRPr="00DD7617">
        <w:t>de la Licitación (DDL)</w:t>
      </w:r>
      <w:bookmarkEnd w:id="357"/>
      <w:bookmarkEnd w:id="358"/>
      <w:bookmarkEnd w:id="359"/>
      <w:bookmarkEnd w:id="360"/>
      <w:bookmarkEnd w:id="361"/>
      <w:bookmarkEnd w:id="362"/>
      <w:bookmarkEnd w:id="363"/>
    </w:p>
    <w:p w14:paraId="2EB5D2D1" w14:textId="77777777" w:rsidR="00B65BDE" w:rsidRPr="00DD7617" w:rsidRDefault="00B65BDE" w:rsidP="006F3766">
      <w:pPr>
        <w:spacing w:after="240"/>
        <w:rPr>
          <w:rFonts w:ascii="Arial" w:hAnsi="Arial" w:cs="Arial"/>
          <w:sz w:val="22"/>
          <w:szCs w:val="22"/>
        </w:rPr>
      </w:pPr>
      <w:r w:rsidRPr="00DD7617">
        <w:rPr>
          <w:rFonts w:ascii="Arial" w:hAnsi="Arial" w:cs="Arial"/>
          <w:sz w:val="22"/>
          <w:szCs w:val="22"/>
        </w:rPr>
        <w:t>A continuación, se indican los detalles específicos del presente proceso, los cuales complementarán o enmendarán las Instrucciones a los Oferentes (IAO), en caso de conflicto, las disposiciones contenidas en estos DDL prevalecerán sobre las disposiciones de las IAO.</w:t>
      </w:r>
    </w:p>
    <w:tbl>
      <w:tblPr>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tblLayout w:type="fixed"/>
        <w:tblLook w:val="00A0" w:firstRow="1" w:lastRow="0" w:firstColumn="1" w:lastColumn="0" w:noHBand="0" w:noVBand="0"/>
      </w:tblPr>
      <w:tblGrid>
        <w:gridCol w:w="990"/>
        <w:gridCol w:w="8649"/>
      </w:tblGrid>
      <w:tr w:rsidR="00B65BDE" w:rsidRPr="00A33F6B" w14:paraId="493545C9" w14:textId="77777777" w:rsidTr="00B903FF">
        <w:trPr>
          <w:trHeight w:val="20"/>
          <w:tblHeader/>
        </w:trPr>
        <w:tc>
          <w:tcPr>
            <w:tcW w:w="990" w:type="dxa"/>
            <w:shd w:val="clear" w:color="auto" w:fill="002060"/>
            <w:vAlign w:val="center"/>
          </w:tcPr>
          <w:p w14:paraId="106563EF" w14:textId="77777777" w:rsidR="00B65BDE" w:rsidRPr="00641AB0" w:rsidRDefault="00B65BDE" w:rsidP="00C00B1F">
            <w:pPr>
              <w:spacing w:before="100" w:after="100"/>
              <w:ind w:left="-108" w:right="-108"/>
              <w:jc w:val="center"/>
              <w:rPr>
                <w:rFonts w:ascii="Arial" w:hAnsi="Arial" w:cs="Arial"/>
                <w:b/>
                <w:sz w:val="22"/>
                <w:szCs w:val="22"/>
                <w:lang w:val="es-ES"/>
              </w:rPr>
            </w:pPr>
            <w:bookmarkStart w:id="365" w:name="_Toc438366665"/>
            <w:bookmarkStart w:id="366" w:name="_Toc41971239"/>
            <w:r w:rsidRPr="00641AB0">
              <w:rPr>
                <w:rFonts w:ascii="Arial" w:hAnsi="Arial" w:cs="Arial"/>
                <w:b/>
                <w:sz w:val="22"/>
                <w:szCs w:val="22"/>
                <w:lang w:val="es-ES"/>
              </w:rPr>
              <w:t xml:space="preserve">Ref. de </w:t>
            </w:r>
            <w:bookmarkEnd w:id="365"/>
            <w:bookmarkEnd w:id="366"/>
            <w:r w:rsidRPr="00641AB0">
              <w:rPr>
                <w:rFonts w:ascii="Arial" w:hAnsi="Arial" w:cs="Arial"/>
                <w:b/>
                <w:sz w:val="22"/>
                <w:szCs w:val="22"/>
                <w:lang w:val="es-ES"/>
              </w:rPr>
              <w:t>las IAO</w:t>
            </w:r>
          </w:p>
        </w:tc>
        <w:tc>
          <w:tcPr>
            <w:tcW w:w="8649" w:type="dxa"/>
            <w:shd w:val="clear" w:color="auto" w:fill="002060"/>
            <w:vAlign w:val="center"/>
          </w:tcPr>
          <w:p w14:paraId="1CB790A8" w14:textId="77777777" w:rsidR="00B65BDE" w:rsidRPr="00641AB0" w:rsidRDefault="00B65BDE" w:rsidP="00C00B1F">
            <w:pPr>
              <w:spacing w:before="100" w:after="100"/>
              <w:jc w:val="center"/>
              <w:rPr>
                <w:rStyle w:val="nfasis"/>
                <w:rFonts w:ascii="Arial" w:hAnsi="Arial" w:cs="Arial"/>
                <w:b/>
                <w:i w:val="0"/>
                <w:iCs w:val="0"/>
                <w:sz w:val="22"/>
                <w:szCs w:val="22"/>
                <w:lang w:val="es-HN"/>
              </w:rPr>
            </w:pPr>
            <w:r w:rsidRPr="00764ED5">
              <w:rPr>
                <w:rStyle w:val="nfasis"/>
                <w:rFonts w:ascii="Arial" w:hAnsi="Arial" w:cs="Arial"/>
                <w:b/>
                <w:i w:val="0"/>
                <w:sz w:val="28"/>
                <w:szCs w:val="28"/>
                <w:lang w:val="es-HN"/>
              </w:rPr>
              <w:t>Datos de la Licitación</w:t>
            </w:r>
          </w:p>
        </w:tc>
      </w:tr>
      <w:tr w:rsidR="00B65BDE" w:rsidRPr="00A33F6B" w14:paraId="268315E5" w14:textId="77777777" w:rsidTr="00B903FF">
        <w:trPr>
          <w:trHeight w:val="20"/>
        </w:trPr>
        <w:tc>
          <w:tcPr>
            <w:tcW w:w="9639" w:type="dxa"/>
            <w:gridSpan w:val="2"/>
            <w:shd w:val="clear" w:color="auto" w:fill="00B050"/>
            <w:vAlign w:val="center"/>
          </w:tcPr>
          <w:p w14:paraId="1BC3182C" w14:textId="77777777" w:rsidR="00B65BDE" w:rsidRPr="00641AB0" w:rsidRDefault="00B65BDE" w:rsidP="00C00B1F">
            <w:pPr>
              <w:tabs>
                <w:tab w:val="right" w:pos="7254"/>
              </w:tabs>
              <w:spacing w:before="100" w:after="100"/>
              <w:jc w:val="center"/>
              <w:rPr>
                <w:rFonts w:ascii="Arial" w:hAnsi="Arial" w:cs="Arial"/>
                <w:b/>
                <w:color w:val="FFFFFF" w:themeColor="background1"/>
                <w:sz w:val="22"/>
                <w:szCs w:val="22"/>
                <w:lang w:val="es-ES"/>
              </w:rPr>
            </w:pPr>
            <w:r w:rsidRPr="00994134">
              <w:rPr>
                <w:rFonts w:ascii="Arial" w:hAnsi="Arial" w:cs="Arial"/>
                <w:b/>
                <w:color w:val="FFFFFF" w:themeColor="background1"/>
                <w:sz w:val="22"/>
                <w:szCs w:val="22"/>
                <w:lang w:val="es-ES"/>
              </w:rPr>
              <w:t>A.       Generalidades</w:t>
            </w:r>
          </w:p>
        </w:tc>
      </w:tr>
      <w:tr w:rsidR="00546C28" w:rsidRPr="00A33F6B" w14:paraId="7F078EC8" w14:textId="77777777" w:rsidTr="00B903FF">
        <w:trPr>
          <w:trHeight w:val="20"/>
        </w:trPr>
        <w:tc>
          <w:tcPr>
            <w:tcW w:w="990" w:type="dxa"/>
            <w:vAlign w:val="center"/>
          </w:tcPr>
          <w:p w14:paraId="0DEBB7BA" w14:textId="77777777" w:rsidR="00546C28" w:rsidRPr="00641AB0" w:rsidRDefault="00546C28" w:rsidP="00C00B1F">
            <w:pPr>
              <w:tabs>
                <w:tab w:val="right" w:pos="7254"/>
              </w:tabs>
              <w:spacing w:before="100" w:after="100"/>
              <w:jc w:val="center"/>
              <w:rPr>
                <w:rFonts w:ascii="Arial" w:hAnsi="Arial" w:cs="Arial"/>
                <w:b/>
                <w:sz w:val="22"/>
                <w:szCs w:val="22"/>
                <w:lang w:val="es-ES"/>
              </w:rPr>
            </w:pPr>
            <w:r w:rsidRPr="00641AB0">
              <w:rPr>
                <w:rFonts w:ascii="Arial" w:hAnsi="Arial" w:cs="Arial"/>
                <w:b/>
                <w:sz w:val="22"/>
                <w:szCs w:val="22"/>
                <w:lang w:val="es-ES"/>
              </w:rPr>
              <w:t>1.1</w:t>
            </w:r>
          </w:p>
        </w:tc>
        <w:tc>
          <w:tcPr>
            <w:tcW w:w="8649" w:type="dxa"/>
            <w:vAlign w:val="center"/>
          </w:tcPr>
          <w:p w14:paraId="26F423A1" w14:textId="77777777" w:rsidR="00546C28" w:rsidRPr="00641AB0" w:rsidRDefault="00546C28" w:rsidP="00C262BB">
            <w:pPr>
              <w:tabs>
                <w:tab w:val="right" w:pos="7254"/>
              </w:tabs>
              <w:spacing w:before="100" w:after="100"/>
              <w:jc w:val="left"/>
              <w:rPr>
                <w:rFonts w:ascii="Arial" w:hAnsi="Arial" w:cs="Arial"/>
                <w:bCs/>
                <w:sz w:val="22"/>
                <w:szCs w:val="22"/>
                <w:lang w:val="es-ES"/>
              </w:rPr>
            </w:pPr>
            <w:r w:rsidRPr="00641AB0">
              <w:rPr>
                <w:rFonts w:ascii="Arial" w:hAnsi="Arial" w:cs="Arial"/>
                <w:bCs/>
                <w:sz w:val="22"/>
                <w:szCs w:val="22"/>
                <w:lang w:val="es-ES"/>
              </w:rPr>
              <w:t xml:space="preserve">Las definiciones e interpretaciones </w:t>
            </w:r>
            <w:r w:rsidRPr="001B03C6">
              <w:rPr>
                <w:rFonts w:ascii="Arial" w:hAnsi="Arial" w:cs="Arial"/>
                <w:bCs/>
                <w:i/>
                <w:iCs/>
                <w:sz w:val="22"/>
                <w:szCs w:val="22"/>
                <w:lang w:val="es-ES"/>
              </w:rPr>
              <w:t xml:space="preserve"> son </w:t>
            </w:r>
            <w:r w:rsidRPr="00641AB0">
              <w:rPr>
                <w:rFonts w:ascii="Arial" w:hAnsi="Arial" w:cs="Arial"/>
                <w:bCs/>
                <w:sz w:val="22"/>
                <w:szCs w:val="22"/>
                <w:lang w:val="es-ES"/>
              </w:rPr>
              <w:t>las establecidas en las CGC</w:t>
            </w:r>
          </w:p>
        </w:tc>
      </w:tr>
      <w:tr w:rsidR="00B65BDE" w:rsidRPr="00A33F6B" w14:paraId="4EBCEC8B" w14:textId="77777777" w:rsidTr="00B903FF">
        <w:trPr>
          <w:trHeight w:val="1417"/>
        </w:trPr>
        <w:tc>
          <w:tcPr>
            <w:tcW w:w="990" w:type="dxa"/>
            <w:vAlign w:val="center"/>
          </w:tcPr>
          <w:p w14:paraId="5FFD90CE" w14:textId="77777777" w:rsidR="00B65BDE" w:rsidRPr="00641AB0" w:rsidRDefault="00B65BDE" w:rsidP="00C00B1F">
            <w:pPr>
              <w:spacing w:before="100" w:after="100"/>
              <w:jc w:val="center"/>
              <w:rPr>
                <w:rFonts w:ascii="Arial" w:hAnsi="Arial" w:cs="Arial"/>
                <w:b/>
                <w:sz w:val="22"/>
                <w:szCs w:val="22"/>
                <w:lang w:val="es-ES"/>
              </w:rPr>
            </w:pPr>
            <w:r w:rsidRPr="00641AB0">
              <w:rPr>
                <w:rFonts w:ascii="Arial" w:hAnsi="Arial" w:cs="Arial"/>
                <w:b/>
                <w:sz w:val="22"/>
                <w:szCs w:val="22"/>
                <w:lang w:val="es-ES"/>
              </w:rPr>
              <w:t xml:space="preserve">2.1 </w:t>
            </w:r>
          </w:p>
        </w:tc>
        <w:tc>
          <w:tcPr>
            <w:tcW w:w="8649" w:type="dxa"/>
          </w:tcPr>
          <w:p w14:paraId="1DA91C4F" w14:textId="77777777" w:rsidR="00B65BDE" w:rsidRPr="00641AB0" w:rsidRDefault="00B65BDE" w:rsidP="00C00B1F">
            <w:pPr>
              <w:tabs>
                <w:tab w:val="right" w:pos="7272"/>
              </w:tabs>
              <w:spacing w:before="100" w:after="100"/>
              <w:rPr>
                <w:rFonts w:ascii="Arial" w:hAnsi="Arial" w:cs="Arial"/>
                <w:sz w:val="22"/>
                <w:szCs w:val="22"/>
                <w:lang w:val="es-ES"/>
              </w:rPr>
            </w:pPr>
            <w:r w:rsidRPr="00641AB0">
              <w:rPr>
                <w:rFonts w:ascii="Arial" w:hAnsi="Arial" w:cs="Arial"/>
                <w:sz w:val="22"/>
                <w:szCs w:val="22"/>
                <w:lang w:val="es-ES"/>
              </w:rPr>
              <w:t xml:space="preserve">Nombre del Contratante: </w:t>
            </w:r>
            <w:r w:rsidR="00C262BB" w:rsidRPr="00344818">
              <w:rPr>
                <w:rFonts w:ascii="Arial" w:hAnsi="Arial" w:cs="Arial"/>
                <w:b/>
                <w:sz w:val="22"/>
                <w:szCs w:val="22"/>
                <w:lang w:val="es-ES"/>
              </w:rPr>
              <w:t>Fondo de Inversión Social de Emergencia (FISE)</w:t>
            </w:r>
          </w:p>
          <w:p w14:paraId="7BAFC4A2" w14:textId="77777777" w:rsidR="005C324A" w:rsidRPr="00641AB0" w:rsidRDefault="005C324A" w:rsidP="00C00B1F">
            <w:pPr>
              <w:tabs>
                <w:tab w:val="right" w:pos="7272"/>
              </w:tabs>
              <w:spacing w:before="100" w:after="100"/>
              <w:rPr>
                <w:rFonts w:ascii="Arial" w:hAnsi="Arial" w:cs="Arial"/>
                <w:sz w:val="22"/>
                <w:szCs w:val="22"/>
                <w:lang w:val="es-ES"/>
              </w:rPr>
            </w:pPr>
            <w:r w:rsidRPr="00641AB0">
              <w:rPr>
                <w:rFonts w:ascii="Arial" w:hAnsi="Arial" w:cs="Arial"/>
                <w:sz w:val="22"/>
                <w:szCs w:val="22"/>
                <w:lang w:val="es-ES"/>
              </w:rPr>
              <w:t>Número de identificación de la licitación:</w:t>
            </w:r>
            <w:r w:rsidR="00C262BB">
              <w:rPr>
                <w:rFonts w:ascii="Arial" w:hAnsi="Arial" w:cs="Arial"/>
                <w:sz w:val="22"/>
                <w:szCs w:val="22"/>
                <w:lang w:val="es-ES"/>
              </w:rPr>
              <w:t xml:space="preserve"> </w:t>
            </w:r>
            <w:r w:rsidR="00C262BB" w:rsidRPr="00C262BB">
              <w:rPr>
                <w:rFonts w:ascii="Arial" w:hAnsi="Arial" w:cs="Arial"/>
                <w:b/>
                <w:sz w:val="22"/>
                <w:szCs w:val="22"/>
                <w:lang w:val="es-ES"/>
              </w:rPr>
              <w:t>40-2022</w:t>
            </w:r>
            <w:r w:rsidRPr="00641AB0">
              <w:rPr>
                <w:rFonts w:ascii="Arial" w:hAnsi="Arial" w:cs="Arial"/>
                <w:sz w:val="22"/>
                <w:szCs w:val="22"/>
                <w:lang w:val="es-ES"/>
              </w:rPr>
              <w:t xml:space="preserve"> </w:t>
            </w:r>
          </w:p>
          <w:p w14:paraId="21177510" w14:textId="77777777" w:rsidR="00B65BDE" w:rsidRDefault="00B65BDE" w:rsidP="00C00B1F">
            <w:pPr>
              <w:tabs>
                <w:tab w:val="right" w:pos="7272"/>
              </w:tabs>
              <w:spacing w:before="100" w:after="100"/>
              <w:rPr>
                <w:rFonts w:ascii="Arial" w:hAnsi="Arial" w:cs="Arial"/>
                <w:b/>
                <w:i/>
                <w:sz w:val="22"/>
                <w:szCs w:val="22"/>
              </w:rPr>
            </w:pPr>
            <w:r w:rsidRPr="00641AB0">
              <w:rPr>
                <w:rFonts w:ascii="Arial" w:hAnsi="Arial" w:cs="Arial"/>
                <w:sz w:val="22"/>
                <w:szCs w:val="22"/>
                <w:lang w:val="es-ES"/>
              </w:rPr>
              <w:t xml:space="preserve">Nombre de la licitación y descripción de las obras a realizar: </w:t>
            </w:r>
            <w:r w:rsidR="00C262BB" w:rsidRPr="00344818">
              <w:rPr>
                <w:rFonts w:ascii="Arial" w:hAnsi="Arial" w:cs="Arial"/>
                <w:b/>
                <w:i/>
                <w:sz w:val="22"/>
                <w:szCs w:val="22"/>
              </w:rPr>
              <w:t>Construcción de Sistemas de Ag</w:t>
            </w:r>
            <w:r w:rsidR="00C262BB">
              <w:rPr>
                <w:rFonts w:ascii="Arial" w:hAnsi="Arial" w:cs="Arial"/>
                <w:b/>
                <w:i/>
                <w:sz w:val="22"/>
                <w:szCs w:val="22"/>
              </w:rPr>
              <w:t>ua y Saneamiento en la Región I</w:t>
            </w:r>
            <w:r w:rsidR="00C262BB" w:rsidRPr="00344818">
              <w:rPr>
                <w:rFonts w:ascii="Arial" w:hAnsi="Arial" w:cs="Arial"/>
                <w:b/>
                <w:i/>
                <w:sz w:val="22"/>
                <w:szCs w:val="22"/>
              </w:rPr>
              <w:t xml:space="preserve"> – Grupo B</w:t>
            </w:r>
          </w:p>
          <w:p w14:paraId="1BF2A42E" w14:textId="77777777" w:rsidR="00ED2DB6" w:rsidRPr="004B5395" w:rsidRDefault="00ED2DB6" w:rsidP="00ED2DB6">
            <w:pPr>
              <w:suppressAutoHyphens/>
              <w:spacing w:before="120" w:after="120"/>
              <w:ind w:right="-34"/>
              <w:rPr>
                <w:rFonts w:ascii="Arial" w:hAnsi="Arial" w:cs="Arial"/>
                <w:b/>
                <w:sz w:val="22"/>
                <w:szCs w:val="22"/>
              </w:rPr>
            </w:pPr>
            <w:r w:rsidRPr="004B5395">
              <w:rPr>
                <w:rFonts w:ascii="Arial" w:hAnsi="Arial" w:cs="Arial"/>
                <w:sz w:val="22"/>
                <w:szCs w:val="22"/>
              </w:rPr>
              <w:t xml:space="preserve">Objetivos generales de la obra a contratar </w:t>
            </w:r>
            <w:r w:rsidRPr="003B39E2">
              <w:rPr>
                <w:rFonts w:ascii="Arial" w:hAnsi="Arial" w:cs="Arial"/>
                <w:sz w:val="22"/>
                <w:szCs w:val="22"/>
              </w:rPr>
              <w:t>es: La Construcción de tres (03) proyectos de mini acueducto por gravedad (MAG), (19962 Agua y saneamiento comunidad Naranjo Norte, 19842 Agua y Saneamiento comunidad Zacatera, 19892 Agua y Saneamiento Bálsamo Abajo) y 1 proyecto de mini acueducto por bombeo Eléctrico (MABE), 19886 Agua y saneamiento comunidad La Concepcion) y la ejecución del componente de saneamiento e Higiene, de acuerdo a las especificaciones Técnicas y Planos.</w:t>
            </w:r>
            <w:r>
              <w:rPr>
                <w:rFonts w:ascii="Arial" w:hAnsi="Arial" w:cs="Arial"/>
                <w:color w:val="FF0000"/>
                <w:sz w:val="22"/>
                <w:szCs w:val="22"/>
              </w:rPr>
              <w:t xml:space="preserve"> </w:t>
            </w:r>
          </w:p>
          <w:p w14:paraId="4691497C" w14:textId="77777777" w:rsidR="00ED2DB6" w:rsidRPr="00641AB0" w:rsidRDefault="00AD22A7" w:rsidP="00C00B1F">
            <w:pPr>
              <w:tabs>
                <w:tab w:val="right" w:pos="7272"/>
              </w:tabs>
              <w:spacing w:before="100" w:after="100"/>
              <w:rPr>
                <w:rFonts w:ascii="Arial" w:hAnsi="Arial" w:cs="Arial"/>
                <w:i/>
                <w:color w:val="FF0000"/>
                <w:sz w:val="22"/>
                <w:szCs w:val="22"/>
                <w:lang w:val="es-HN"/>
              </w:rPr>
            </w:pPr>
            <w:r w:rsidRPr="00E8097D">
              <w:rPr>
                <w:rFonts w:ascii="Arial" w:hAnsi="Arial" w:cs="Arial"/>
                <w:sz w:val="22"/>
                <w:szCs w:val="22"/>
                <w:lang w:val="es-HN"/>
              </w:rPr>
              <w:t xml:space="preserve">La duración de cada proyecto se estima en: Trescientos sesenta y cinco (365) días calendario, contabilizados a partir de orden de inicio.  </w:t>
            </w:r>
          </w:p>
        </w:tc>
      </w:tr>
      <w:tr w:rsidR="00B43F40" w:rsidRPr="00A33F6B" w14:paraId="6349A329" w14:textId="77777777" w:rsidTr="00B903FF">
        <w:trPr>
          <w:trHeight w:val="20"/>
        </w:trPr>
        <w:tc>
          <w:tcPr>
            <w:tcW w:w="990" w:type="dxa"/>
            <w:vAlign w:val="center"/>
          </w:tcPr>
          <w:p w14:paraId="40CB69D0" w14:textId="77777777" w:rsidR="00B43F40" w:rsidRPr="00641AB0" w:rsidRDefault="00B43F40" w:rsidP="00B43F40">
            <w:pPr>
              <w:spacing w:before="100" w:after="100"/>
              <w:jc w:val="center"/>
              <w:rPr>
                <w:rFonts w:ascii="Arial" w:hAnsi="Arial" w:cs="Arial"/>
                <w:b/>
                <w:sz w:val="22"/>
                <w:szCs w:val="22"/>
                <w:lang w:val="es-ES"/>
              </w:rPr>
            </w:pPr>
            <w:r w:rsidRPr="00641AB0">
              <w:rPr>
                <w:rFonts w:ascii="Arial" w:hAnsi="Arial" w:cs="Arial"/>
                <w:b/>
                <w:sz w:val="22"/>
                <w:szCs w:val="22"/>
                <w:lang w:val="es-ES"/>
              </w:rPr>
              <w:t>5.1</w:t>
            </w:r>
          </w:p>
        </w:tc>
        <w:tc>
          <w:tcPr>
            <w:tcW w:w="8649" w:type="dxa"/>
          </w:tcPr>
          <w:p w14:paraId="56A717D1" w14:textId="77777777" w:rsidR="00B43F40" w:rsidRPr="00641AB0" w:rsidRDefault="0081766F" w:rsidP="00B43F40">
            <w:pPr>
              <w:tabs>
                <w:tab w:val="right" w:pos="7272"/>
              </w:tabs>
              <w:spacing w:before="100" w:after="100"/>
              <w:ind w:left="-14"/>
              <w:rPr>
                <w:rFonts w:ascii="Arial" w:hAnsi="Arial" w:cs="Arial"/>
                <w:sz w:val="22"/>
                <w:szCs w:val="22"/>
                <w:lang w:val="es-ES"/>
              </w:rPr>
            </w:pPr>
            <w:r w:rsidRPr="00344818">
              <w:rPr>
                <w:rFonts w:ascii="Arial" w:hAnsi="Arial" w:cs="Arial"/>
                <w:i/>
                <w:sz w:val="22"/>
                <w:szCs w:val="22"/>
                <w:lang w:val="es-ES"/>
              </w:rPr>
              <w:t>La licitación no está restringida a la participación de oferentes de un origen específico, se aceptarán oferentes nacionales o internacionales de cualquier país que se interesen en participar</w:t>
            </w:r>
          </w:p>
        </w:tc>
      </w:tr>
      <w:tr w:rsidR="0081766F" w:rsidRPr="00A33F6B" w14:paraId="5D6CBA46" w14:textId="77777777" w:rsidTr="00B903FF">
        <w:trPr>
          <w:trHeight w:val="20"/>
        </w:trPr>
        <w:tc>
          <w:tcPr>
            <w:tcW w:w="990" w:type="dxa"/>
            <w:vAlign w:val="center"/>
          </w:tcPr>
          <w:p w14:paraId="1B054DDD" w14:textId="77777777" w:rsidR="0081766F" w:rsidRPr="00641AB0" w:rsidRDefault="0081766F" w:rsidP="0081766F">
            <w:pPr>
              <w:spacing w:before="100" w:after="100"/>
              <w:jc w:val="center"/>
              <w:rPr>
                <w:rFonts w:ascii="Arial" w:hAnsi="Arial" w:cs="Arial"/>
                <w:b/>
                <w:sz w:val="22"/>
                <w:szCs w:val="22"/>
                <w:lang w:val="es-ES"/>
              </w:rPr>
            </w:pPr>
            <w:r w:rsidRPr="00641AB0">
              <w:rPr>
                <w:rFonts w:ascii="Arial" w:hAnsi="Arial" w:cs="Arial"/>
                <w:b/>
                <w:sz w:val="22"/>
                <w:szCs w:val="22"/>
                <w:lang w:val="es-ES"/>
              </w:rPr>
              <w:t>5.6</w:t>
            </w:r>
          </w:p>
        </w:tc>
        <w:tc>
          <w:tcPr>
            <w:tcW w:w="8649" w:type="dxa"/>
          </w:tcPr>
          <w:p w14:paraId="3588D554" w14:textId="77777777" w:rsidR="0081766F" w:rsidRPr="0081766F" w:rsidRDefault="0081766F" w:rsidP="0081766F">
            <w:pPr>
              <w:tabs>
                <w:tab w:val="right" w:pos="7254"/>
              </w:tabs>
              <w:spacing w:before="60" w:after="60"/>
              <w:rPr>
                <w:rFonts w:ascii="Arial" w:hAnsi="Arial" w:cs="Arial"/>
                <w:i/>
                <w:color w:val="FF0000"/>
                <w:sz w:val="22"/>
                <w:szCs w:val="22"/>
                <w:highlight w:val="yellow"/>
                <w:lang w:val="es-ES"/>
              </w:rPr>
            </w:pPr>
            <w:r w:rsidRPr="00181F97">
              <w:rPr>
                <w:rFonts w:ascii="Arial" w:hAnsi="Arial" w:cs="Arial"/>
                <w:sz w:val="22"/>
                <w:szCs w:val="22"/>
                <w:lang w:val="es-ES"/>
              </w:rPr>
              <w:t xml:space="preserve">El número máximo de integrantes del APCA, es </w:t>
            </w:r>
            <w:r w:rsidRPr="00181F97">
              <w:rPr>
                <w:rFonts w:ascii="Arial" w:hAnsi="Arial" w:cs="Arial"/>
                <w:b/>
                <w:i/>
                <w:sz w:val="22"/>
                <w:szCs w:val="22"/>
                <w:lang w:val="es-ES"/>
              </w:rPr>
              <w:t xml:space="preserve">3 </w:t>
            </w:r>
          </w:p>
        </w:tc>
      </w:tr>
      <w:tr w:rsidR="0081766F" w:rsidRPr="00A33F6B" w14:paraId="5402B5FF" w14:textId="77777777" w:rsidTr="00B903FF">
        <w:trPr>
          <w:trHeight w:val="20"/>
        </w:trPr>
        <w:tc>
          <w:tcPr>
            <w:tcW w:w="9639" w:type="dxa"/>
            <w:gridSpan w:val="2"/>
            <w:shd w:val="clear" w:color="auto" w:fill="00B050"/>
          </w:tcPr>
          <w:p w14:paraId="2F330990" w14:textId="77777777" w:rsidR="0081766F" w:rsidRPr="00641AB0" w:rsidRDefault="0081766F" w:rsidP="0081766F">
            <w:pPr>
              <w:autoSpaceDE w:val="0"/>
              <w:autoSpaceDN w:val="0"/>
              <w:adjustRightInd w:val="0"/>
              <w:spacing w:before="120" w:after="120"/>
              <w:ind w:right="74"/>
              <w:jc w:val="center"/>
              <w:rPr>
                <w:rFonts w:ascii="Arial" w:hAnsi="Arial" w:cs="Arial"/>
                <w:color w:val="FFFFFF" w:themeColor="background1"/>
                <w:sz w:val="22"/>
                <w:szCs w:val="22"/>
              </w:rPr>
            </w:pPr>
            <w:r w:rsidRPr="00641AB0">
              <w:rPr>
                <w:rFonts w:ascii="Arial" w:hAnsi="Arial" w:cs="Arial"/>
                <w:color w:val="FFFFFF" w:themeColor="background1"/>
                <w:sz w:val="22"/>
                <w:szCs w:val="22"/>
              </w:rPr>
              <w:br w:type="page"/>
            </w:r>
            <w:r w:rsidRPr="00641AB0">
              <w:rPr>
                <w:rFonts w:ascii="Arial" w:hAnsi="Arial" w:cs="Arial"/>
                <w:b/>
                <w:color w:val="FFFFFF" w:themeColor="background1"/>
                <w:sz w:val="22"/>
                <w:szCs w:val="22"/>
                <w:lang w:val="es-ES"/>
              </w:rPr>
              <w:t>B.       Documento de Licitación</w:t>
            </w:r>
          </w:p>
        </w:tc>
      </w:tr>
      <w:tr w:rsidR="0081766F" w:rsidRPr="00A33F6B" w14:paraId="2205E441" w14:textId="77777777" w:rsidTr="00B903FF">
        <w:trPr>
          <w:trHeight w:val="20"/>
        </w:trPr>
        <w:tc>
          <w:tcPr>
            <w:tcW w:w="990" w:type="dxa"/>
          </w:tcPr>
          <w:p w14:paraId="070CEBEE" w14:textId="77777777" w:rsidR="0081766F" w:rsidRPr="00641AB0" w:rsidRDefault="0081766F" w:rsidP="0081766F">
            <w:pPr>
              <w:pStyle w:val="Headfid1"/>
              <w:spacing w:before="100" w:after="100"/>
              <w:jc w:val="center"/>
              <w:rPr>
                <w:rFonts w:ascii="Arial" w:hAnsi="Arial" w:cs="Arial"/>
                <w:sz w:val="22"/>
                <w:szCs w:val="22"/>
                <w:lang w:val="es-ES_tradnl"/>
              </w:rPr>
            </w:pPr>
            <w:r w:rsidRPr="00641AB0">
              <w:rPr>
                <w:rFonts w:ascii="Arial" w:hAnsi="Arial" w:cs="Arial"/>
                <w:sz w:val="22"/>
                <w:szCs w:val="22"/>
                <w:lang w:val="es-ES_tradnl"/>
              </w:rPr>
              <w:t>8.1</w:t>
            </w:r>
          </w:p>
          <w:p w14:paraId="15C3B958" w14:textId="77777777" w:rsidR="0081766F" w:rsidRPr="00641AB0" w:rsidRDefault="0081766F" w:rsidP="0081766F">
            <w:pPr>
              <w:spacing w:before="100" w:after="100"/>
              <w:jc w:val="center"/>
              <w:rPr>
                <w:rFonts w:ascii="Arial" w:hAnsi="Arial" w:cs="Arial"/>
                <w:b/>
                <w:sz w:val="22"/>
                <w:szCs w:val="22"/>
                <w:lang w:val="es-ES"/>
              </w:rPr>
            </w:pPr>
          </w:p>
        </w:tc>
        <w:tc>
          <w:tcPr>
            <w:tcW w:w="8649" w:type="dxa"/>
          </w:tcPr>
          <w:p w14:paraId="10AA1B12" w14:textId="77777777" w:rsidR="0081766F" w:rsidRPr="00344818" w:rsidRDefault="0081766F" w:rsidP="0081766F">
            <w:pPr>
              <w:keepNext/>
              <w:keepLines/>
              <w:spacing w:before="100" w:after="100"/>
              <w:rPr>
                <w:rFonts w:ascii="Arial" w:hAnsi="Arial" w:cs="Arial"/>
                <w:color w:val="FF0000"/>
                <w:sz w:val="22"/>
                <w:szCs w:val="22"/>
                <w:lang w:val="es-HN"/>
              </w:rPr>
            </w:pPr>
            <w:r w:rsidRPr="00344818">
              <w:rPr>
                <w:rFonts w:ascii="Arial" w:hAnsi="Arial" w:cs="Arial"/>
                <w:sz w:val="22"/>
                <w:szCs w:val="22"/>
                <w:lang w:val="es-HN"/>
              </w:rPr>
              <w:t>Si para la preparación de ofertas, se considera necesario realizar consultas, las comunicaciones deberán dirigirse a:</w:t>
            </w:r>
          </w:p>
          <w:p w14:paraId="68DD3A8F" w14:textId="77777777" w:rsidR="0081766F" w:rsidRPr="00344818" w:rsidRDefault="0081766F" w:rsidP="0081766F">
            <w:pPr>
              <w:spacing w:before="100" w:after="100"/>
              <w:ind w:right="74"/>
              <w:rPr>
                <w:rFonts w:ascii="Arial" w:hAnsi="Arial" w:cs="Arial"/>
                <w:sz w:val="22"/>
                <w:szCs w:val="22"/>
                <w:lang w:val="es-HN"/>
              </w:rPr>
            </w:pPr>
            <w:r w:rsidRPr="00344818">
              <w:rPr>
                <w:rFonts w:ascii="Arial" w:hAnsi="Arial" w:cs="Arial"/>
                <w:sz w:val="22"/>
                <w:szCs w:val="22"/>
                <w:lang w:val="es-HN"/>
              </w:rPr>
              <w:t xml:space="preserve">Atención: </w:t>
            </w:r>
            <w:r w:rsidRPr="00344818">
              <w:rPr>
                <w:rFonts w:ascii="Arial" w:hAnsi="Arial" w:cs="Arial"/>
                <w:sz w:val="22"/>
                <w:szCs w:val="22"/>
              </w:rPr>
              <w:t>Hortencia Aracely Robelo Somarriba</w:t>
            </w:r>
          </w:p>
          <w:p w14:paraId="0A1C628F" w14:textId="77777777" w:rsidR="0081766F" w:rsidRPr="00344818" w:rsidRDefault="0081766F" w:rsidP="0081766F">
            <w:pPr>
              <w:spacing w:before="100" w:after="100"/>
              <w:ind w:right="74"/>
              <w:rPr>
                <w:rFonts w:ascii="Arial" w:hAnsi="Arial" w:cs="Arial"/>
                <w:sz w:val="22"/>
                <w:szCs w:val="22"/>
                <w:lang w:val="es-HN"/>
              </w:rPr>
            </w:pPr>
            <w:r w:rsidRPr="00344818">
              <w:rPr>
                <w:rFonts w:ascii="Arial" w:hAnsi="Arial" w:cs="Arial"/>
                <w:sz w:val="22"/>
                <w:szCs w:val="22"/>
                <w:lang w:val="es-HN"/>
              </w:rPr>
              <w:t>Domicilio: De la Iglesia San Agustín, 1 cuadra al Oeste, 10 varas al Sur. Altamira D´Este</w:t>
            </w:r>
          </w:p>
          <w:p w14:paraId="7DFDBCEC" w14:textId="77777777" w:rsidR="0081766F" w:rsidRPr="00344818" w:rsidRDefault="0081766F" w:rsidP="0081766F">
            <w:pPr>
              <w:spacing w:before="100" w:after="100"/>
              <w:ind w:right="74"/>
              <w:rPr>
                <w:rFonts w:ascii="Arial" w:hAnsi="Arial" w:cs="Arial"/>
                <w:sz w:val="22"/>
                <w:szCs w:val="22"/>
                <w:lang w:val="es-HN"/>
              </w:rPr>
            </w:pPr>
            <w:r w:rsidRPr="00344818">
              <w:rPr>
                <w:rFonts w:ascii="Arial" w:hAnsi="Arial" w:cs="Arial"/>
                <w:sz w:val="22"/>
                <w:szCs w:val="22"/>
                <w:lang w:val="es-HN"/>
              </w:rPr>
              <w:t xml:space="preserve">Oficina: </w:t>
            </w:r>
            <w:r w:rsidRPr="00344818">
              <w:rPr>
                <w:rFonts w:ascii="Arial" w:hAnsi="Arial" w:cs="Arial"/>
                <w:sz w:val="22"/>
                <w:szCs w:val="22"/>
              </w:rPr>
              <w:t>División de Adquisiciones</w:t>
            </w:r>
            <w:r w:rsidRPr="00344818">
              <w:rPr>
                <w:rFonts w:ascii="Arial" w:hAnsi="Arial" w:cs="Arial"/>
                <w:sz w:val="22"/>
                <w:szCs w:val="22"/>
                <w:lang w:val="es-HN"/>
              </w:rPr>
              <w:t xml:space="preserve">   </w:t>
            </w:r>
          </w:p>
          <w:p w14:paraId="0A4593B0" w14:textId="77777777" w:rsidR="0081766F" w:rsidRPr="00344818" w:rsidRDefault="0081766F" w:rsidP="0081766F">
            <w:pPr>
              <w:spacing w:before="100" w:after="100"/>
              <w:ind w:right="74"/>
              <w:rPr>
                <w:rFonts w:ascii="Arial" w:hAnsi="Arial" w:cs="Arial"/>
                <w:sz w:val="22"/>
                <w:szCs w:val="22"/>
                <w:lang w:val="es-HN"/>
              </w:rPr>
            </w:pPr>
            <w:r w:rsidRPr="00344818">
              <w:rPr>
                <w:rFonts w:ascii="Arial" w:hAnsi="Arial" w:cs="Arial"/>
                <w:sz w:val="22"/>
                <w:szCs w:val="22"/>
                <w:lang w:val="es-HN"/>
              </w:rPr>
              <w:t xml:space="preserve">Ciudad: </w:t>
            </w:r>
            <w:r w:rsidRPr="00344818">
              <w:rPr>
                <w:rFonts w:ascii="Arial" w:hAnsi="Arial" w:cs="Arial"/>
                <w:sz w:val="22"/>
                <w:szCs w:val="22"/>
              </w:rPr>
              <w:t>Managua</w:t>
            </w:r>
          </w:p>
          <w:p w14:paraId="2A3F746C" w14:textId="77777777" w:rsidR="0081766F" w:rsidRPr="00344818" w:rsidRDefault="0081766F" w:rsidP="0081766F">
            <w:pPr>
              <w:spacing w:before="100" w:after="100"/>
              <w:ind w:right="74"/>
              <w:rPr>
                <w:rFonts w:ascii="Arial" w:hAnsi="Arial" w:cs="Arial"/>
                <w:sz w:val="22"/>
                <w:szCs w:val="22"/>
                <w:lang w:val="es-HN"/>
              </w:rPr>
            </w:pPr>
            <w:r w:rsidRPr="00344818">
              <w:rPr>
                <w:rFonts w:ascii="Arial" w:hAnsi="Arial" w:cs="Arial"/>
                <w:sz w:val="22"/>
                <w:szCs w:val="22"/>
                <w:lang w:val="es-HN"/>
              </w:rPr>
              <w:t xml:space="preserve">País: </w:t>
            </w:r>
            <w:r w:rsidRPr="00344818">
              <w:rPr>
                <w:rFonts w:ascii="Arial" w:hAnsi="Arial" w:cs="Arial"/>
                <w:sz w:val="22"/>
                <w:szCs w:val="22"/>
              </w:rPr>
              <w:t>Nicaragua</w:t>
            </w:r>
          </w:p>
          <w:p w14:paraId="5F621086" w14:textId="77777777" w:rsidR="0081766F" w:rsidRPr="00344818" w:rsidRDefault="004C7953" w:rsidP="0081766F">
            <w:pPr>
              <w:spacing w:before="100" w:after="100"/>
              <w:ind w:right="74"/>
              <w:rPr>
                <w:rFonts w:ascii="Arial" w:hAnsi="Arial" w:cs="Arial"/>
                <w:sz w:val="22"/>
                <w:szCs w:val="22"/>
                <w:lang w:val="es-HN"/>
              </w:rPr>
            </w:pPr>
            <w:r>
              <w:rPr>
                <w:rFonts w:ascii="Arial" w:hAnsi="Arial" w:cs="Arial"/>
                <w:sz w:val="22"/>
                <w:szCs w:val="22"/>
                <w:lang w:val="es-HN"/>
              </w:rPr>
              <w:t>Teléfono: +505 22781664 Ext. 1102</w:t>
            </w:r>
          </w:p>
          <w:p w14:paraId="5020D4D9" w14:textId="77777777" w:rsidR="0081766F" w:rsidRPr="00344818" w:rsidRDefault="0081766F" w:rsidP="0081766F">
            <w:pPr>
              <w:spacing w:before="100" w:after="100"/>
              <w:ind w:right="74"/>
              <w:rPr>
                <w:rFonts w:ascii="Arial" w:hAnsi="Arial" w:cs="Arial"/>
                <w:color w:val="FF0000"/>
                <w:sz w:val="22"/>
                <w:szCs w:val="22"/>
                <w:lang w:val="es-HN"/>
              </w:rPr>
            </w:pPr>
            <w:r w:rsidRPr="00344818">
              <w:rPr>
                <w:rFonts w:ascii="Arial" w:hAnsi="Arial" w:cs="Arial"/>
                <w:sz w:val="22"/>
                <w:szCs w:val="22"/>
                <w:lang w:val="es-HN"/>
              </w:rPr>
              <w:t xml:space="preserve">Dirección de correos electrónicos: </w:t>
            </w:r>
            <w:hyperlink r:id="rId21" w:history="1">
              <w:r w:rsidRPr="00344818">
                <w:rPr>
                  <w:rStyle w:val="Hipervnculo"/>
                  <w:rFonts w:ascii="Arial" w:hAnsi="Arial" w:cs="Arial"/>
                  <w:i/>
                  <w:noProof w:val="0"/>
                  <w:sz w:val="22"/>
                  <w:szCs w:val="22"/>
                  <w:lang w:val="es-HN"/>
                </w:rPr>
                <w:t>ARobelo@fise.gob.ni</w:t>
              </w:r>
            </w:hyperlink>
            <w:r w:rsidRPr="00344818">
              <w:rPr>
                <w:rFonts w:ascii="Arial" w:hAnsi="Arial" w:cs="Arial"/>
                <w:color w:val="FF0000"/>
                <w:sz w:val="22"/>
                <w:szCs w:val="22"/>
                <w:lang w:val="es-HN"/>
              </w:rPr>
              <w:t xml:space="preserve">, </w:t>
            </w:r>
            <w:r w:rsidRPr="00344818">
              <w:rPr>
                <w:rStyle w:val="Hipervnculo"/>
                <w:rFonts w:ascii="Arial" w:hAnsi="Arial" w:cs="Arial"/>
                <w:i/>
                <w:noProof w:val="0"/>
                <w:sz w:val="22"/>
                <w:szCs w:val="22"/>
                <w:lang w:val="es-HN"/>
              </w:rPr>
              <w:t>BSMendoza@fise.gob.ni</w:t>
            </w:r>
            <w:r w:rsidRPr="00344818">
              <w:rPr>
                <w:rFonts w:ascii="Arial" w:hAnsi="Arial" w:cs="Arial"/>
                <w:color w:val="FF0000"/>
                <w:sz w:val="22"/>
                <w:szCs w:val="22"/>
                <w:lang w:val="es-HN"/>
              </w:rPr>
              <w:t xml:space="preserve"> </w:t>
            </w:r>
            <w:hyperlink r:id="rId22" w:history="1">
              <w:r w:rsidR="004C7953" w:rsidRPr="009F1D58">
                <w:rPr>
                  <w:rStyle w:val="Hipervnculo"/>
                  <w:rFonts w:ascii="Arial" w:hAnsi="Arial" w:cs="Arial"/>
                  <w:i/>
                  <w:noProof w:val="0"/>
                  <w:sz w:val="22"/>
                  <w:szCs w:val="22"/>
                  <w:lang w:val="es-HN"/>
                </w:rPr>
                <w:t>YIGodinez@fise.gob.ni</w:t>
              </w:r>
            </w:hyperlink>
            <w:r w:rsidRPr="00344818">
              <w:rPr>
                <w:rFonts w:ascii="Arial" w:hAnsi="Arial" w:cs="Arial"/>
                <w:color w:val="FF0000"/>
                <w:sz w:val="22"/>
                <w:szCs w:val="22"/>
                <w:lang w:val="es-HN"/>
              </w:rPr>
              <w:t xml:space="preserve"> </w:t>
            </w:r>
          </w:p>
          <w:p w14:paraId="16925F74" w14:textId="77777777" w:rsidR="0081766F" w:rsidRPr="00344818" w:rsidRDefault="0081766F" w:rsidP="0081766F">
            <w:pPr>
              <w:spacing w:before="100" w:after="100"/>
              <w:ind w:right="74"/>
              <w:rPr>
                <w:rFonts w:ascii="Arial" w:hAnsi="Arial" w:cs="Arial"/>
                <w:color w:val="FF0000"/>
                <w:sz w:val="22"/>
                <w:szCs w:val="22"/>
                <w:lang w:val="es-HN"/>
              </w:rPr>
            </w:pPr>
            <w:r w:rsidRPr="00344818">
              <w:rPr>
                <w:rFonts w:ascii="Arial" w:hAnsi="Arial" w:cs="Arial"/>
                <w:sz w:val="22"/>
                <w:szCs w:val="22"/>
                <w:lang w:val="es-HN"/>
              </w:rPr>
              <w:lastRenderedPageBreak/>
              <w:t xml:space="preserve">Página web: </w:t>
            </w:r>
            <w:hyperlink r:id="rId23" w:history="1">
              <w:r w:rsidRPr="00344818">
                <w:rPr>
                  <w:rStyle w:val="Hipervnculo"/>
                  <w:rFonts w:ascii="Arial" w:hAnsi="Arial" w:cs="Arial"/>
                  <w:noProof w:val="0"/>
                  <w:sz w:val="22"/>
                  <w:szCs w:val="22"/>
                  <w:lang w:val="es-NI"/>
                </w:rPr>
                <w:t>www.nicaraguacompra.gob.ni</w:t>
              </w:r>
            </w:hyperlink>
            <w:r w:rsidRPr="00344818">
              <w:rPr>
                <w:rFonts w:ascii="Arial" w:hAnsi="Arial" w:cs="Arial"/>
                <w:color w:val="FF0000"/>
                <w:sz w:val="22"/>
                <w:szCs w:val="22"/>
                <w:u w:val="single"/>
                <w:lang w:val="es-NI"/>
              </w:rPr>
              <w:t xml:space="preserve"> </w:t>
            </w:r>
            <w:r w:rsidRPr="00344818">
              <w:rPr>
                <w:rFonts w:ascii="Arial" w:hAnsi="Arial" w:cs="Arial"/>
                <w:color w:val="FF0000"/>
                <w:sz w:val="22"/>
                <w:szCs w:val="22"/>
                <w:lang w:val="es-HN"/>
              </w:rPr>
              <w:t xml:space="preserve"> </w:t>
            </w:r>
          </w:p>
          <w:p w14:paraId="086497B9" w14:textId="77777777" w:rsidR="0081766F" w:rsidRPr="00344818" w:rsidRDefault="0081766F" w:rsidP="0081766F">
            <w:pPr>
              <w:autoSpaceDE w:val="0"/>
              <w:autoSpaceDN w:val="0"/>
              <w:adjustRightInd w:val="0"/>
              <w:spacing w:before="100" w:after="100"/>
              <w:ind w:right="74"/>
              <w:rPr>
                <w:rFonts w:ascii="Arial" w:hAnsi="Arial" w:cs="Arial"/>
                <w:sz w:val="22"/>
                <w:szCs w:val="22"/>
                <w:lang w:val="es-HN"/>
              </w:rPr>
            </w:pPr>
            <w:r w:rsidRPr="00344818">
              <w:rPr>
                <w:rFonts w:ascii="Arial" w:hAnsi="Arial" w:cs="Arial"/>
                <w:sz w:val="22"/>
                <w:szCs w:val="22"/>
                <w:lang w:val="es-HN"/>
              </w:rPr>
              <w:t>El plazo para realizar las consultas y solicitar aclaraciones son los siguientes:</w:t>
            </w:r>
          </w:p>
          <w:p w14:paraId="161D38A0" w14:textId="4DA88567" w:rsidR="00AD22A7" w:rsidRPr="00AD22A7" w:rsidRDefault="0081766F" w:rsidP="00AD22A7">
            <w:pPr>
              <w:pStyle w:val="Prrafodelista"/>
              <w:numPr>
                <w:ilvl w:val="7"/>
                <w:numId w:val="27"/>
              </w:numPr>
              <w:spacing w:before="100" w:after="100"/>
              <w:ind w:left="330" w:right="74"/>
              <w:rPr>
                <w:rFonts w:ascii="Arial" w:hAnsi="Arial" w:cs="Arial"/>
                <w:i/>
                <w:color w:val="FF0000"/>
                <w:sz w:val="22"/>
                <w:szCs w:val="22"/>
                <w:lang w:val="es-ES"/>
              </w:rPr>
            </w:pPr>
            <w:r w:rsidRPr="00344818">
              <w:rPr>
                <w:rFonts w:ascii="Arial" w:hAnsi="Arial" w:cs="Arial"/>
                <w:sz w:val="22"/>
                <w:szCs w:val="22"/>
                <w:lang w:val="es-HN"/>
              </w:rPr>
              <w:t xml:space="preserve">Pueden pedirse aclaraciones a más tardar el </w:t>
            </w:r>
            <w:r w:rsidR="00A4063E">
              <w:rPr>
                <w:rFonts w:ascii="Arial" w:hAnsi="Arial" w:cs="Arial"/>
                <w:sz w:val="22"/>
                <w:szCs w:val="22"/>
                <w:lang w:val="es-HN"/>
              </w:rPr>
              <w:t>30</w:t>
            </w:r>
            <w:r w:rsidR="00AD22A7">
              <w:rPr>
                <w:rFonts w:ascii="Arial" w:hAnsi="Arial" w:cs="Arial"/>
                <w:i/>
                <w:sz w:val="22"/>
                <w:szCs w:val="22"/>
                <w:highlight w:val="yellow"/>
                <w:lang w:val="es-HN"/>
              </w:rPr>
              <w:t xml:space="preserve"> de </w:t>
            </w:r>
            <w:r w:rsidR="009754E0">
              <w:rPr>
                <w:rFonts w:ascii="Arial" w:hAnsi="Arial" w:cs="Arial"/>
                <w:i/>
                <w:sz w:val="22"/>
                <w:szCs w:val="22"/>
                <w:highlight w:val="yellow"/>
                <w:lang w:val="es-HN"/>
              </w:rPr>
              <w:t>junio</w:t>
            </w:r>
            <w:r w:rsidRPr="00344818">
              <w:rPr>
                <w:rFonts w:ascii="Arial" w:hAnsi="Arial" w:cs="Arial"/>
                <w:i/>
                <w:sz w:val="22"/>
                <w:szCs w:val="22"/>
                <w:highlight w:val="yellow"/>
                <w:lang w:val="es-HN"/>
              </w:rPr>
              <w:t xml:space="preserve"> de 2022</w:t>
            </w:r>
            <w:r w:rsidR="00AD22A7">
              <w:rPr>
                <w:rFonts w:ascii="Arial" w:hAnsi="Arial" w:cs="Arial"/>
                <w:i/>
                <w:color w:val="FF0000"/>
                <w:sz w:val="22"/>
                <w:szCs w:val="22"/>
                <w:highlight w:val="yellow"/>
                <w:lang w:val="es-HN"/>
              </w:rPr>
              <w:t>.</w:t>
            </w:r>
          </w:p>
          <w:p w14:paraId="7A12103D" w14:textId="7BB99BED" w:rsidR="0081766F" w:rsidRPr="00641AB0" w:rsidRDefault="0081766F" w:rsidP="00A4063E">
            <w:pPr>
              <w:pStyle w:val="Prrafodelista"/>
              <w:numPr>
                <w:ilvl w:val="7"/>
                <w:numId w:val="27"/>
              </w:numPr>
              <w:spacing w:before="100" w:after="100"/>
              <w:ind w:left="330" w:right="74"/>
              <w:rPr>
                <w:rFonts w:ascii="Arial" w:hAnsi="Arial" w:cs="Arial"/>
                <w:i/>
                <w:color w:val="FF0000"/>
                <w:sz w:val="22"/>
                <w:szCs w:val="22"/>
                <w:lang w:val="es-ES"/>
              </w:rPr>
            </w:pPr>
            <w:r w:rsidRPr="00344818">
              <w:rPr>
                <w:rFonts w:ascii="Arial" w:hAnsi="Arial" w:cs="Arial"/>
                <w:sz w:val="22"/>
                <w:szCs w:val="22"/>
                <w:lang w:val="es-HN"/>
              </w:rPr>
              <w:t xml:space="preserve">El </w:t>
            </w:r>
            <w:r w:rsidRPr="00344818">
              <w:rPr>
                <w:rFonts w:ascii="Arial" w:hAnsi="Arial" w:cs="Arial"/>
                <w:sz w:val="22"/>
                <w:szCs w:val="22"/>
                <w:lang w:val="es-ES"/>
              </w:rPr>
              <w:t>Contratante</w:t>
            </w:r>
            <w:r w:rsidRPr="00344818">
              <w:rPr>
                <w:rFonts w:ascii="Arial" w:hAnsi="Arial" w:cs="Arial"/>
                <w:sz w:val="22"/>
                <w:szCs w:val="22"/>
                <w:lang w:val="es-HN"/>
              </w:rPr>
              <w:t xml:space="preserve"> responderá las consultas de los oferentes para la preparación de sus ofertas a más tardar el </w:t>
            </w:r>
            <w:r w:rsidR="00210A35">
              <w:rPr>
                <w:rFonts w:ascii="Arial" w:hAnsi="Arial" w:cs="Arial"/>
                <w:i/>
                <w:sz w:val="22"/>
                <w:szCs w:val="22"/>
                <w:highlight w:val="yellow"/>
                <w:lang w:val="es-HN"/>
              </w:rPr>
              <w:t>0</w:t>
            </w:r>
            <w:r w:rsidR="00A4063E">
              <w:rPr>
                <w:rFonts w:ascii="Arial" w:hAnsi="Arial" w:cs="Arial"/>
                <w:i/>
                <w:sz w:val="22"/>
                <w:szCs w:val="22"/>
                <w:highlight w:val="yellow"/>
                <w:lang w:val="es-HN"/>
              </w:rPr>
              <w:t>5</w:t>
            </w:r>
            <w:r w:rsidR="00AD22A7">
              <w:rPr>
                <w:rFonts w:ascii="Arial" w:hAnsi="Arial" w:cs="Arial"/>
                <w:i/>
                <w:sz w:val="22"/>
                <w:szCs w:val="22"/>
                <w:highlight w:val="yellow"/>
                <w:lang w:val="es-HN"/>
              </w:rPr>
              <w:t xml:space="preserve"> de </w:t>
            </w:r>
            <w:r w:rsidR="00210A35">
              <w:rPr>
                <w:rFonts w:ascii="Arial" w:hAnsi="Arial" w:cs="Arial"/>
                <w:i/>
                <w:sz w:val="22"/>
                <w:szCs w:val="22"/>
                <w:highlight w:val="yellow"/>
                <w:lang w:val="es-HN"/>
              </w:rPr>
              <w:t>jul</w:t>
            </w:r>
            <w:r w:rsidR="009754E0">
              <w:rPr>
                <w:rFonts w:ascii="Arial" w:hAnsi="Arial" w:cs="Arial"/>
                <w:i/>
                <w:sz w:val="22"/>
                <w:szCs w:val="22"/>
                <w:highlight w:val="yellow"/>
                <w:lang w:val="es-HN"/>
              </w:rPr>
              <w:t>io</w:t>
            </w:r>
            <w:r w:rsidRPr="00344818">
              <w:rPr>
                <w:rFonts w:ascii="Arial" w:hAnsi="Arial" w:cs="Arial"/>
                <w:i/>
                <w:sz w:val="22"/>
                <w:szCs w:val="22"/>
                <w:highlight w:val="yellow"/>
                <w:lang w:val="es-HN"/>
              </w:rPr>
              <w:t xml:space="preserve"> de 2022</w:t>
            </w:r>
            <w:r w:rsidRPr="00AD22A7">
              <w:rPr>
                <w:rFonts w:ascii="Arial" w:hAnsi="Arial" w:cs="Arial"/>
                <w:i/>
                <w:sz w:val="22"/>
                <w:szCs w:val="22"/>
                <w:highlight w:val="yellow"/>
                <w:lang w:val="es-HN"/>
              </w:rPr>
              <w:t>.</w:t>
            </w:r>
          </w:p>
        </w:tc>
      </w:tr>
      <w:tr w:rsidR="0081766F" w:rsidRPr="00A33F6B" w14:paraId="71A37B84" w14:textId="77777777" w:rsidTr="00B903FF">
        <w:trPr>
          <w:trHeight w:val="20"/>
        </w:trPr>
        <w:tc>
          <w:tcPr>
            <w:tcW w:w="990" w:type="dxa"/>
          </w:tcPr>
          <w:p w14:paraId="57126143" w14:textId="77777777" w:rsidR="0081766F" w:rsidRPr="00641AB0" w:rsidRDefault="0081766F" w:rsidP="0081766F">
            <w:pPr>
              <w:tabs>
                <w:tab w:val="right" w:pos="7254"/>
              </w:tabs>
              <w:spacing w:before="100" w:after="100"/>
              <w:jc w:val="center"/>
              <w:rPr>
                <w:rFonts w:ascii="Arial" w:hAnsi="Arial" w:cs="Arial"/>
                <w:b/>
                <w:sz w:val="22"/>
                <w:szCs w:val="22"/>
                <w:lang w:val="es-ES"/>
              </w:rPr>
            </w:pPr>
            <w:r w:rsidRPr="00641AB0">
              <w:rPr>
                <w:rFonts w:ascii="Arial" w:hAnsi="Arial" w:cs="Arial"/>
                <w:sz w:val="22"/>
                <w:szCs w:val="22"/>
              </w:rPr>
              <w:lastRenderedPageBreak/>
              <w:br w:type="page"/>
            </w:r>
            <w:r w:rsidRPr="00641AB0">
              <w:rPr>
                <w:rFonts w:ascii="Arial" w:hAnsi="Arial" w:cs="Arial"/>
                <w:b/>
                <w:sz w:val="22"/>
                <w:szCs w:val="22"/>
                <w:lang w:val="es-ES"/>
              </w:rPr>
              <w:t>8.4</w:t>
            </w:r>
          </w:p>
        </w:tc>
        <w:tc>
          <w:tcPr>
            <w:tcW w:w="8649" w:type="dxa"/>
          </w:tcPr>
          <w:p w14:paraId="772A2466" w14:textId="77777777" w:rsidR="0081766F" w:rsidRPr="002F4A04" w:rsidRDefault="004C7953" w:rsidP="0071608E">
            <w:pPr>
              <w:pStyle w:val="Prrafodelista"/>
              <w:numPr>
                <w:ilvl w:val="0"/>
                <w:numId w:val="9"/>
              </w:numPr>
              <w:tabs>
                <w:tab w:val="right" w:pos="7254"/>
              </w:tabs>
              <w:spacing w:before="100" w:after="100"/>
              <w:ind w:left="317" w:hanging="317"/>
              <w:rPr>
                <w:rFonts w:ascii="Arial" w:hAnsi="Arial" w:cs="Arial"/>
                <w:sz w:val="20"/>
                <w:lang w:val="es-ES"/>
              </w:rPr>
            </w:pPr>
            <w:r w:rsidRPr="002F4A04">
              <w:rPr>
                <w:rFonts w:ascii="Arial" w:hAnsi="Arial" w:cs="Arial"/>
                <w:i/>
                <w:color w:val="FF0000"/>
                <w:sz w:val="20"/>
                <w:lang w:val="es-ES"/>
              </w:rPr>
              <w:t>Se realizará</w:t>
            </w:r>
            <w:r w:rsidR="0081766F" w:rsidRPr="002F4A04">
              <w:rPr>
                <w:rFonts w:ascii="Arial" w:hAnsi="Arial" w:cs="Arial"/>
                <w:sz w:val="20"/>
                <w:lang w:val="es-ES"/>
              </w:rPr>
              <w:t xml:space="preserve"> reunión de homologación, la cual será de carácter</w:t>
            </w:r>
            <w:r w:rsidR="0081766F" w:rsidRPr="002F4A04">
              <w:rPr>
                <w:rFonts w:ascii="Arial" w:hAnsi="Arial" w:cs="Arial"/>
                <w:i/>
                <w:sz w:val="20"/>
                <w:lang w:val="es-ES"/>
              </w:rPr>
              <w:t xml:space="preserve"> </w:t>
            </w:r>
            <w:r w:rsidR="0081766F" w:rsidRPr="002F4A04">
              <w:rPr>
                <w:rFonts w:ascii="Arial" w:hAnsi="Arial" w:cs="Arial"/>
                <w:sz w:val="20"/>
                <w:lang w:val="es-ES"/>
              </w:rPr>
              <w:t xml:space="preserve">no obligatorio. </w:t>
            </w:r>
          </w:p>
          <w:p w14:paraId="26C34DD3" w14:textId="77777777" w:rsidR="004C7953" w:rsidRPr="002F4A04" w:rsidRDefault="004C7953" w:rsidP="004C7953">
            <w:pPr>
              <w:tabs>
                <w:tab w:val="right" w:pos="7254"/>
              </w:tabs>
              <w:spacing w:before="100" w:after="100"/>
              <w:ind w:left="317"/>
              <w:rPr>
                <w:rFonts w:ascii="Arial" w:hAnsi="Arial" w:cs="Arial"/>
                <w:i/>
                <w:sz w:val="20"/>
                <w:lang w:val="es-ES"/>
              </w:rPr>
            </w:pPr>
            <w:r w:rsidRPr="002F4A04">
              <w:rPr>
                <w:rFonts w:ascii="Arial" w:hAnsi="Arial" w:cs="Arial"/>
                <w:i/>
                <w:sz w:val="20"/>
                <w:lang w:val="es-ES"/>
              </w:rPr>
              <w:t>El lugar, la fecha y la hora de la reunión se indican a continuación:</w:t>
            </w:r>
          </w:p>
          <w:p w14:paraId="2D8D595E" w14:textId="0F1A3F1B" w:rsidR="004C7953" w:rsidRPr="002F4A04" w:rsidRDefault="004C7953" w:rsidP="004C7953">
            <w:pPr>
              <w:tabs>
                <w:tab w:val="right" w:pos="7254"/>
              </w:tabs>
              <w:spacing w:before="100" w:after="100"/>
              <w:ind w:left="317"/>
              <w:rPr>
                <w:rFonts w:ascii="Arial" w:hAnsi="Arial" w:cs="Arial"/>
                <w:i/>
                <w:sz w:val="20"/>
                <w:lang w:val="es-ES"/>
              </w:rPr>
            </w:pPr>
            <w:r w:rsidRPr="002F4A04">
              <w:rPr>
                <w:rFonts w:ascii="Arial" w:hAnsi="Arial" w:cs="Arial"/>
                <w:i/>
                <w:sz w:val="20"/>
                <w:lang w:val="es-ES"/>
              </w:rPr>
              <w:t>Fecha:</w:t>
            </w:r>
            <w:r w:rsidR="00AD22A7" w:rsidRPr="002F4A04">
              <w:rPr>
                <w:rFonts w:ascii="Arial" w:hAnsi="Arial" w:cs="Arial"/>
                <w:i/>
                <w:sz w:val="20"/>
                <w:lang w:val="es-ES"/>
              </w:rPr>
              <w:t xml:space="preserve"> </w:t>
            </w:r>
            <w:r w:rsidR="00A4063E">
              <w:rPr>
                <w:rFonts w:ascii="Arial" w:hAnsi="Arial" w:cs="Arial"/>
                <w:i/>
                <w:sz w:val="20"/>
                <w:lang w:val="es-ES"/>
              </w:rPr>
              <w:t>29</w:t>
            </w:r>
            <w:r w:rsidR="00E96C6A" w:rsidRPr="00E96C6A">
              <w:rPr>
                <w:rFonts w:ascii="Arial" w:hAnsi="Arial" w:cs="Arial"/>
                <w:i/>
                <w:sz w:val="20"/>
                <w:highlight w:val="yellow"/>
                <w:lang w:val="es-ES"/>
              </w:rPr>
              <w:t xml:space="preserve"> de </w:t>
            </w:r>
            <w:r w:rsidR="00E96C6A">
              <w:rPr>
                <w:rFonts w:ascii="Arial" w:hAnsi="Arial" w:cs="Arial"/>
                <w:i/>
                <w:sz w:val="20"/>
                <w:highlight w:val="yellow"/>
                <w:lang w:val="es-ES"/>
              </w:rPr>
              <w:t>junio</w:t>
            </w:r>
            <w:r w:rsidR="00E96C6A" w:rsidRPr="00E96C6A">
              <w:rPr>
                <w:rFonts w:ascii="Arial" w:hAnsi="Arial" w:cs="Arial"/>
                <w:i/>
                <w:sz w:val="20"/>
                <w:highlight w:val="yellow"/>
                <w:lang w:val="es-ES"/>
              </w:rPr>
              <w:t xml:space="preserve"> de 2022</w:t>
            </w:r>
            <w:r w:rsidRPr="002F4A04">
              <w:rPr>
                <w:rFonts w:ascii="Arial" w:hAnsi="Arial" w:cs="Arial"/>
                <w:i/>
                <w:sz w:val="20"/>
                <w:lang w:val="es-ES"/>
              </w:rPr>
              <w:tab/>
            </w:r>
          </w:p>
          <w:p w14:paraId="22AA2A17" w14:textId="77777777" w:rsidR="004C7953" w:rsidRPr="002F4A04" w:rsidRDefault="004C7953" w:rsidP="004C7953">
            <w:pPr>
              <w:tabs>
                <w:tab w:val="right" w:pos="7254"/>
              </w:tabs>
              <w:spacing w:before="100" w:after="100"/>
              <w:ind w:left="317"/>
              <w:rPr>
                <w:rFonts w:ascii="Arial" w:hAnsi="Arial" w:cs="Arial"/>
                <w:i/>
                <w:sz w:val="20"/>
                <w:lang w:val="es-ES"/>
              </w:rPr>
            </w:pPr>
            <w:r w:rsidRPr="002F4A04">
              <w:rPr>
                <w:rFonts w:ascii="Arial" w:hAnsi="Arial" w:cs="Arial"/>
                <w:i/>
                <w:sz w:val="20"/>
                <w:lang w:val="es-ES"/>
              </w:rPr>
              <w:t xml:space="preserve">Hora: </w:t>
            </w:r>
            <w:r w:rsidR="00AD22A7" w:rsidRPr="002F4A04">
              <w:rPr>
                <w:rFonts w:ascii="Arial" w:hAnsi="Arial" w:cs="Arial"/>
                <w:i/>
                <w:sz w:val="20"/>
                <w:lang w:val="es-ES"/>
              </w:rPr>
              <w:t>10:00 a.m.</w:t>
            </w:r>
            <w:r w:rsidRPr="002F4A04">
              <w:rPr>
                <w:rFonts w:ascii="Arial" w:hAnsi="Arial" w:cs="Arial"/>
                <w:i/>
                <w:sz w:val="20"/>
                <w:lang w:val="es-ES"/>
              </w:rPr>
              <w:tab/>
            </w:r>
          </w:p>
          <w:p w14:paraId="751D7E02" w14:textId="77777777" w:rsidR="004C7953" w:rsidRPr="00AD22A7" w:rsidRDefault="004C7953" w:rsidP="004C7953">
            <w:pPr>
              <w:tabs>
                <w:tab w:val="right" w:pos="7254"/>
              </w:tabs>
              <w:spacing w:before="100" w:after="100"/>
              <w:ind w:left="317"/>
              <w:rPr>
                <w:rFonts w:ascii="Arial" w:hAnsi="Arial" w:cs="Arial"/>
                <w:i/>
                <w:sz w:val="20"/>
                <w:lang w:val="es-ES"/>
              </w:rPr>
            </w:pPr>
            <w:r w:rsidRPr="002F4A04">
              <w:rPr>
                <w:rFonts w:ascii="Arial" w:hAnsi="Arial" w:cs="Arial"/>
                <w:i/>
                <w:sz w:val="20"/>
                <w:lang w:val="es-ES"/>
              </w:rPr>
              <w:t xml:space="preserve">Lugar: </w:t>
            </w:r>
            <w:r w:rsidR="00AD22A7" w:rsidRPr="002F4A04">
              <w:rPr>
                <w:rFonts w:ascii="Arial" w:hAnsi="Arial" w:cs="Arial"/>
                <w:i/>
                <w:sz w:val="20"/>
                <w:lang w:val="es-ES"/>
              </w:rPr>
              <w:t>Oficina de Adqu</w:t>
            </w:r>
            <w:r w:rsidR="002F4A04">
              <w:rPr>
                <w:rFonts w:ascii="Arial" w:hAnsi="Arial" w:cs="Arial"/>
                <w:i/>
                <w:sz w:val="20"/>
                <w:lang w:val="es-ES"/>
              </w:rPr>
              <w:t>i</w:t>
            </w:r>
            <w:r w:rsidR="00AD22A7" w:rsidRPr="002F4A04">
              <w:rPr>
                <w:rFonts w:ascii="Arial" w:hAnsi="Arial" w:cs="Arial"/>
                <w:i/>
                <w:sz w:val="20"/>
                <w:lang w:val="es-ES"/>
              </w:rPr>
              <w:t>siciones</w:t>
            </w:r>
          </w:p>
          <w:p w14:paraId="077801C6" w14:textId="77777777" w:rsidR="004C7953" w:rsidRPr="00AD22A7" w:rsidRDefault="004C7953" w:rsidP="0071608E">
            <w:pPr>
              <w:pStyle w:val="Prrafodelista"/>
              <w:numPr>
                <w:ilvl w:val="0"/>
                <w:numId w:val="9"/>
              </w:numPr>
              <w:tabs>
                <w:tab w:val="right" w:pos="7254"/>
              </w:tabs>
              <w:spacing w:before="100" w:after="100"/>
              <w:ind w:left="317" w:hanging="317"/>
              <w:rPr>
                <w:rFonts w:ascii="Arial" w:hAnsi="Arial" w:cs="Arial"/>
                <w:i/>
                <w:sz w:val="20"/>
                <w:lang w:val="es-ES"/>
              </w:rPr>
            </w:pPr>
            <w:r w:rsidRPr="00AD22A7">
              <w:rPr>
                <w:rFonts w:ascii="Arial" w:hAnsi="Arial" w:cs="Arial"/>
                <w:i/>
                <w:sz w:val="20"/>
                <w:lang w:val="es-ES"/>
              </w:rPr>
              <w:t xml:space="preserve">Se efectuará la </w:t>
            </w:r>
            <w:r w:rsidRPr="00AD22A7">
              <w:rPr>
                <w:rFonts w:ascii="Arial" w:hAnsi="Arial" w:cs="Arial"/>
                <w:sz w:val="20"/>
                <w:lang w:val="es-ES"/>
              </w:rPr>
              <w:t>visita al lugar donde se desarrollarán las obras, organizada por el Contratante</w:t>
            </w:r>
            <w:r w:rsidRPr="00AD22A7">
              <w:rPr>
                <w:rFonts w:ascii="Arial" w:hAnsi="Arial" w:cs="Arial"/>
                <w:i/>
                <w:sz w:val="20"/>
                <w:lang w:val="es-ES"/>
              </w:rPr>
              <w:t xml:space="preserve">, </w:t>
            </w:r>
            <w:r w:rsidRPr="00AD22A7">
              <w:rPr>
                <w:rFonts w:ascii="Arial" w:hAnsi="Arial" w:cs="Arial"/>
                <w:sz w:val="20"/>
                <w:lang w:val="es-ES"/>
              </w:rPr>
              <w:t>la cual será</w:t>
            </w:r>
            <w:r w:rsidRPr="00AD22A7">
              <w:rPr>
                <w:rFonts w:ascii="Arial" w:hAnsi="Arial" w:cs="Arial"/>
                <w:i/>
                <w:sz w:val="20"/>
                <w:lang w:val="es-ES"/>
              </w:rPr>
              <w:t xml:space="preserve"> </w:t>
            </w:r>
            <w:r w:rsidRPr="00AD22A7">
              <w:rPr>
                <w:rFonts w:ascii="Arial" w:hAnsi="Arial" w:cs="Arial"/>
                <w:sz w:val="20"/>
                <w:lang w:val="es-ES"/>
              </w:rPr>
              <w:t>de carácter</w:t>
            </w:r>
            <w:r w:rsidRPr="00AD22A7">
              <w:rPr>
                <w:rFonts w:ascii="Arial" w:hAnsi="Arial" w:cs="Arial"/>
                <w:i/>
                <w:sz w:val="20"/>
                <w:lang w:val="es-ES"/>
              </w:rPr>
              <w:t xml:space="preserve"> </w:t>
            </w:r>
            <w:r w:rsidR="00AD22A7" w:rsidRPr="00AD22A7">
              <w:rPr>
                <w:rFonts w:ascii="Arial" w:hAnsi="Arial" w:cs="Arial"/>
                <w:b/>
                <w:i/>
                <w:sz w:val="20"/>
                <w:lang w:val="es-ES"/>
              </w:rPr>
              <w:t xml:space="preserve">no </w:t>
            </w:r>
            <w:r w:rsidRPr="00AD22A7">
              <w:rPr>
                <w:rFonts w:ascii="Arial" w:hAnsi="Arial" w:cs="Arial"/>
                <w:b/>
                <w:sz w:val="20"/>
                <w:lang w:val="es-ES"/>
              </w:rPr>
              <w:t>obligatorio.</w:t>
            </w:r>
          </w:p>
          <w:p w14:paraId="21E8C3E7" w14:textId="77777777" w:rsidR="004C7953" w:rsidRPr="00AD22A7" w:rsidRDefault="004C7953" w:rsidP="004C7953">
            <w:pPr>
              <w:tabs>
                <w:tab w:val="right" w:pos="7254"/>
              </w:tabs>
              <w:spacing w:before="100" w:after="100"/>
              <w:ind w:left="317"/>
              <w:rPr>
                <w:rFonts w:ascii="Arial" w:hAnsi="Arial" w:cs="Arial"/>
                <w:i/>
                <w:sz w:val="20"/>
                <w:lang w:val="es-ES"/>
              </w:rPr>
            </w:pPr>
            <w:r w:rsidRPr="00AD22A7">
              <w:rPr>
                <w:rFonts w:ascii="Arial" w:hAnsi="Arial" w:cs="Arial"/>
                <w:i/>
                <w:sz w:val="20"/>
                <w:lang w:val="es-ES"/>
              </w:rPr>
              <w:t>El lugar, la fecha y la hora de encuentro se indican a continuación:</w:t>
            </w:r>
          </w:p>
          <w:p w14:paraId="79B02684"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LOTE No. 1, GRUPO B</w:t>
            </w:r>
          </w:p>
          <w:p w14:paraId="75C29F98"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Proyecto: 19886 Agua y Saneamiento Comunidad La Concepción</w:t>
            </w:r>
          </w:p>
          <w:p w14:paraId="46717DFC" w14:textId="77777777" w:rsidR="00AD22A7" w:rsidRPr="00AD22A7" w:rsidRDefault="00AD22A7" w:rsidP="00AD22A7">
            <w:pPr>
              <w:spacing w:before="100" w:after="100"/>
              <w:ind w:left="317"/>
              <w:rPr>
                <w:rFonts w:ascii="Arial" w:hAnsi="Arial" w:cs="Arial"/>
                <w:i/>
                <w:iCs/>
                <w:sz w:val="20"/>
                <w:lang w:val="es-ES"/>
              </w:rPr>
            </w:pPr>
            <w:r w:rsidRPr="00AD22A7">
              <w:rPr>
                <w:rFonts w:ascii="Arial" w:hAnsi="Arial" w:cs="Arial"/>
                <w:i/>
                <w:iCs/>
                <w:sz w:val="20"/>
                <w:lang w:val="es-ES"/>
              </w:rPr>
              <w:t>Comunidad: La Concepción</w:t>
            </w:r>
          </w:p>
          <w:p w14:paraId="0AFAF874" w14:textId="4D8089B4" w:rsidR="00AD22A7" w:rsidRPr="00AD22A7" w:rsidRDefault="00E96C6A" w:rsidP="00AD22A7">
            <w:pPr>
              <w:spacing w:before="100" w:after="100"/>
              <w:ind w:left="317"/>
              <w:rPr>
                <w:rFonts w:ascii="Arial" w:hAnsi="Arial" w:cs="Arial"/>
                <w:i/>
                <w:iCs/>
                <w:sz w:val="20"/>
                <w:lang w:val="es-ES"/>
              </w:rPr>
            </w:pPr>
            <w:r>
              <w:rPr>
                <w:rFonts w:ascii="Arial" w:hAnsi="Arial" w:cs="Arial"/>
                <w:i/>
                <w:iCs/>
                <w:sz w:val="20"/>
                <w:lang w:val="es-ES"/>
              </w:rPr>
              <w:t xml:space="preserve">Fecha: </w:t>
            </w:r>
            <w:r w:rsidR="004B50CC">
              <w:rPr>
                <w:rFonts w:ascii="Arial" w:hAnsi="Arial" w:cs="Arial"/>
                <w:i/>
                <w:sz w:val="20"/>
                <w:highlight w:val="yellow"/>
                <w:lang w:val="es-ES"/>
              </w:rPr>
              <w:t>24</w:t>
            </w:r>
            <w:r w:rsidR="005D6D02">
              <w:rPr>
                <w:rFonts w:ascii="Arial" w:hAnsi="Arial" w:cs="Arial"/>
                <w:i/>
                <w:sz w:val="20"/>
                <w:highlight w:val="yellow"/>
                <w:lang w:val="es-ES"/>
              </w:rPr>
              <w:t xml:space="preserve"> de junio</w:t>
            </w:r>
            <w:r w:rsidRPr="00E96C6A">
              <w:rPr>
                <w:rFonts w:ascii="Arial" w:hAnsi="Arial" w:cs="Arial"/>
                <w:i/>
                <w:sz w:val="20"/>
                <w:highlight w:val="yellow"/>
                <w:lang w:val="es-ES"/>
              </w:rPr>
              <w:t xml:space="preserve"> de 2022</w:t>
            </w:r>
          </w:p>
          <w:p w14:paraId="591A2DB1" w14:textId="5736391C" w:rsidR="00AD22A7" w:rsidRPr="00AD22A7" w:rsidRDefault="00D53C75" w:rsidP="00AD22A7">
            <w:pPr>
              <w:spacing w:before="100" w:after="100"/>
              <w:ind w:left="317"/>
              <w:rPr>
                <w:rFonts w:ascii="Arial" w:hAnsi="Arial" w:cs="Arial"/>
                <w:i/>
                <w:iCs/>
                <w:sz w:val="20"/>
                <w:lang w:val="es-ES"/>
              </w:rPr>
            </w:pPr>
            <w:r>
              <w:rPr>
                <w:rFonts w:ascii="Arial" w:hAnsi="Arial" w:cs="Arial"/>
                <w:i/>
                <w:iCs/>
                <w:sz w:val="20"/>
                <w:lang w:val="es-ES"/>
              </w:rPr>
              <w:t>Hora: 02</w:t>
            </w:r>
            <w:r w:rsidR="00AD22A7" w:rsidRPr="00AD22A7">
              <w:rPr>
                <w:rFonts w:ascii="Arial" w:hAnsi="Arial" w:cs="Arial"/>
                <w:i/>
                <w:iCs/>
                <w:sz w:val="20"/>
                <w:lang w:val="es-ES"/>
              </w:rPr>
              <w:t xml:space="preserve">:00 p.m. </w:t>
            </w:r>
          </w:p>
          <w:p w14:paraId="5C57B7F1" w14:textId="77777777" w:rsidR="00AD22A7" w:rsidRPr="00AD22A7" w:rsidRDefault="00AD22A7" w:rsidP="00AD22A7">
            <w:pPr>
              <w:pStyle w:val="i"/>
              <w:spacing w:before="100" w:after="100"/>
              <w:ind w:left="317"/>
              <w:rPr>
                <w:rFonts w:ascii="Arial" w:hAnsi="Arial" w:cs="Arial"/>
                <w:i/>
                <w:iCs/>
                <w:sz w:val="20"/>
                <w:lang w:val="es-ES"/>
              </w:rPr>
            </w:pPr>
            <w:r w:rsidRPr="00AD22A7">
              <w:rPr>
                <w:rFonts w:ascii="Arial" w:hAnsi="Arial" w:cs="Arial"/>
                <w:i/>
                <w:iCs/>
                <w:sz w:val="20"/>
                <w:lang w:val="es-ES"/>
              </w:rPr>
              <w:t>Lugar: Alcaldía Municipal de Palacagüina, Madriz</w:t>
            </w:r>
          </w:p>
          <w:p w14:paraId="2C386DD2" w14:textId="2F1B1AE7" w:rsidR="00AD22A7" w:rsidRPr="00AD22A7" w:rsidRDefault="00AD22A7" w:rsidP="00AD22A7">
            <w:pPr>
              <w:rPr>
                <w:sz w:val="20"/>
                <w:lang w:val="es-NI"/>
              </w:rPr>
            </w:pPr>
            <w:r w:rsidRPr="00AD22A7">
              <w:rPr>
                <w:rFonts w:ascii="Arial" w:hAnsi="Arial" w:cs="Arial"/>
                <w:i/>
                <w:iCs/>
                <w:sz w:val="20"/>
                <w:lang w:val="es-ES"/>
              </w:rPr>
              <w:t xml:space="preserve">     Nombre del Coordinador de la actividad: </w:t>
            </w:r>
            <w:r w:rsidR="00D53C75" w:rsidRPr="00AD22A7">
              <w:rPr>
                <w:rFonts w:ascii="Arial" w:hAnsi="Arial" w:cs="Arial"/>
                <w:i/>
                <w:iCs/>
                <w:sz w:val="20"/>
                <w:lang w:val="es-ES"/>
              </w:rPr>
              <w:t>Ing. Edgardo Cruz Córdoba</w:t>
            </w:r>
            <w:r w:rsidR="00D53C75">
              <w:rPr>
                <w:rFonts w:ascii="Arial" w:hAnsi="Arial" w:cs="Arial"/>
                <w:i/>
                <w:iCs/>
                <w:sz w:val="20"/>
                <w:lang w:val="es-ES"/>
              </w:rPr>
              <w:t xml:space="preserve"> e Ing. Markos Mendoza</w:t>
            </w:r>
          </w:p>
          <w:p w14:paraId="0BD9DFE4" w14:textId="77777777" w:rsidR="00AD22A7" w:rsidRDefault="00AD22A7" w:rsidP="00AD22A7">
            <w:pPr>
              <w:spacing w:before="100" w:after="100"/>
              <w:ind w:left="317"/>
              <w:rPr>
                <w:rFonts w:ascii="Arial" w:hAnsi="Arial" w:cs="Arial"/>
                <w:b/>
                <w:i/>
                <w:iCs/>
                <w:sz w:val="20"/>
                <w:lang w:val="es-ES"/>
              </w:rPr>
            </w:pPr>
          </w:p>
          <w:p w14:paraId="406EF60F"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LOTE No. 2, GRUPO B</w:t>
            </w:r>
          </w:p>
          <w:p w14:paraId="7BE27B2E"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Proyecto: 19962 Agua y Saneamiento Comunidad Naranjo Norte</w:t>
            </w:r>
          </w:p>
          <w:p w14:paraId="3A9C9CD5" w14:textId="77777777" w:rsidR="00AD22A7" w:rsidRPr="00AD22A7" w:rsidRDefault="00AD22A7" w:rsidP="00AD22A7">
            <w:pPr>
              <w:spacing w:before="100" w:after="100"/>
              <w:ind w:left="317"/>
              <w:rPr>
                <w:rFonts w:ascii="Arial" w:hAnsi="Arial" w:cs="Arial"/>
                <w:i/>
                <w:iCs/>
                <w:sz w:val="20"/>
                <w:lang w:val="es-ES"/>
              </w:rPr>
            </w:pPr>
            <w:r w:rsidRPr="00AD22A7">
              <w:rPr>
                <w:rFonts w:ascii="Arial" w:hAnsi="Arial" w:cs="Arial"/>
                <w:i/>
                <w:iCs/>
                <w:sz w:val="20"/>
                <w:lang w:val="es-ES"/>
              </w:rPr>
              <w:t>Comunidad: Naranjo Norte</w:t>
            </w:r>
          </w:p>
          <w:p w14:paraId="25395A71" w14:textId="035E20FA" w:rsidR="00AD22A7" w:rsidRPr="00AD22A7" w:rsidRDefault="00E96C6A" w:rsidP="00AD22A7">
            <w:pPr>
              <w:spacing w:before="100" w:after="100"/>
              <w:ind w:left="317"/>
              <w:rPr>
                <w:rFonts w:ascii="Arial" w:hAnsi="Arial" w:cs="Arial"/>
                <w:i/>
                <w:iCs/>
                <w:sz w:val="20"/>
                <w:lang w:val="es-ES"/>
              </w:rPr>
            </w:pPr>
            <w:r>
              <w:rPr>
                <w:rFonts w:ascii="Arial" w:hAnsi="Arial" w:cs="Arial"/>
                <w:i/>
                <w:iCs/>
                <w:sz w:val="20"/>
                <w:lang w:val="es-ES"/>
              </w:rPr>
              <w:t xml:space="preserve">Fecha: </w:t>
            </w:r>
            <w:r w:rsidR="004B50CC">
              <w:rPr>
                <w:rFonts w:ascii="Arial" w:hAnsi="Arial" w:cs="Arial"/>
                <w:i/>
                <w:iCs/>
                <w:sz w:val="20"/>
                <w:lang w:val="es-ES"/>
              </w:rPr>
              <w:t>24</w:t>
            </w:r>
            <w:r w:rsidRPr="00E96C6A">
              <w:rPr>
                <w:rFonts w:ascii="Arial" w:hAnsi="Arial" w:cs="Arial"/>
                <w:i/>
                <w:iCs/>
                <w:sz w:val="20"/>
                <w:highlight w:val="yellow"/>
                <w:lang w:val="es-ES"/>
              </w:rPr>
              <w:t xml:space="preserve"> de junio</w:t>
            </w:r>
            <w:r w:rsidR="00AD22A7" w:rsidRPr="00E96C6A">
              <w:rPr>
                <w:rFonts w:ascii="Arial" w:hAnsi="Arial" w:cs="Arial"/>
                <w:i/>
                <w:iCs/>
                <w:sz w:val="20"/>
                <w:highlight w:val="yellow"/>
                <w:lang w:val="es-ES"/>
              </w:rPr>
              <w:t xml:space="preserve"> 2022</w:t>
            </w:r>
            <w:r w:rsidR="00AD22A7" w:rsidRPr="00AD22A7">
              <w:rPr>
                <w:rFonts w:ascii="Arial" w:hAnsi="Arial" w:cs="Arial"/>
                <w:i/>
                <w:iCs/>
                <w:sz w:val="20"/>
                <w:lang w:val="es-ES"/>
              </w:rPr>
              <w:t xml:space="preserve"> </w:t>
            </w:r>
          </w:p>
          <w:p w14:paraId="244F6A55" w14:textId="38BD5071" w:rsidR="00AD22A7" w:rsidRPr="00AD22A7" w:rsidRDefault="00D53C75" w:rsidP="00AD22A7">
            <w:pPr>
              <w:spacing w:before="100" w:after="100"/>
              <w:ind w:left="317"/>
              <w:rPr>
                <w:rFonts w:ascii="Arial" w:hAnsi="Arial" w:cs="Arial"/>
                <w:i/>
                <w:iCs/>
                <w:sz w:val="20"/>
                <w:lang w:val="es-ES"/>
              </w:rPr>
            </w:pPr>
            <w:r>
              <w:rPr>
                <w:rFonts w:ascii="Arial" w:hAnsi="Arial" w:cs="Arial"/>
                <w:i/>
                <w:iCs/>
                <w:sz w:val="20"/>
                <w:lang w:val="es-ES"/>
              </w:rPr>
              <w:t>Hora: 10</w:t>
            </w:r>
            <w:r w:rsidR="00AD22A7" w:rsidRPr="00AD22A7">
              <w:rPr>
                <w:rFonts w:ascii="Arial" w:hAnsi="Arial" w:cs="Arial"/>
                <w:i/>
                <w:iCs/>
                <w:sz w:val="20"/>
                <w:lang w:val="es-ES"/>
              </w:rPr>
              <w:t xml:space="preserve">:00 a.m. </w:t>
            </w:r>
          </w:p>
          <w:p w14:paraId="15AF0B15" w14:textId="77777777" w:rsidR="00AD22A7" w:rsidRPr="00AD22A7" w:rsidRDefault="00AD22A7" w:rsidP="00AD22A7">
            <w:pPr>
              <w:pStyle w:val="i"/>
              <w:spacing w:before="100" w:after="100"/>
              <w:ind w:left="317"/>
              <w:rPr>
                <w:rFonts w:ascii="Arial" w:hAnsi="Arial" w:cs="Arial"/>
                <w:i/>
                <w:iCs/>
                <w:sz w:val="20"/>
                <w:lang w:val="es-ES"/>
              </w:rPr>
            </w:pPr>
            <w:r w:rsidRPr="00AD22A7">
              <w:rPr>
                <w:rFonts w:ascii="Arial" w:hAnsi="Arial" w:cs="Arial"/>
                <w:i/>
                <w:iCs/>
                <w:sz w:val="20"/>
                <w:lang w:val="es-ES"/>
              </w:rPr>
              <w:t>Lugar: Alcaldía Municipal de Telpaneca, Madriz</w:t>
            </w:r>
          </w:p>
          <w:p w14:paraId="7748F40D" w14:textId="5CB8C6E1" w:rsidR="00AD22A7" w:rsidRPr="00AD22A7" w:rsidRDefault="00AD22A7" w:rsidP="00AD22A7">
            <w:pPr>
              <w:rPr>
                <w:sz w:val="20"/>
                <w:lang w:val="es-NI"/>
              </w:rPr>
            </w:pPr>
            <w:r w:rsidRPr="00AD22A7">
              <w:rPr>
                <w:rFonts w:ascii="Arial" w:hAnsi="Arial" w:cs="Arial"/>
                <w:i/>
                <w:iCs/>
                <w:sz w:val="20"/>
                <w:lang w:val="es-ES"/>
              </w:rPr>
              <w:t xml:space="preserve">     Nombre del Coordinador de la actividad: </w:t>
            </w:r>
            <w:r w:rsidR="00D53C75" w:rsidRPr="00AD22A7">
              <w:rPr>
                <w:rFonts w:ascii="Arial" w:hAnsi="Arial" w:cs="Arial"/>
                <w:i/>
                <w:iCs/>
                <w:sz w:val="20"/>
                <w:lang w:val="es-ES"/>
              </w:rPr>
              <w:t>Ing. Edgardo Cruz Córdoba</w:t>
            </w:r>
            <w:r w:rsidR="00D53C75">
              <w:rPr>
                <w:rFonts w:ascii="Arial" w:hAnsi="Arial" w:cs="Arial"/>
                <w:i/>
                <w:iCs/>
                <w:sz w:val="20"/>
                <w:lang w:val="es-ES"/>
              </w:rPr>
              <w:t xml:space="preserve"> e Ing. Markos Mendoza</w:t>
            </w:r>
          </w:p>
          <w:p w14:paraId="44C7853E" w14:textId="77777777" w:rsidR="00AD22A7" w:rsidRDefault="00AD22A7" w:rsidP="00AD22A7">
            <w:pPr>
              <w:spacing w:before="100" w:after="100"/>
              <w:ind w:left="317"/>
              <w:rPr>
                <w:rFonts w:ascii="Arial" w:hAnsi="Arial" w:cs="Arial"/>
                <w:b/>
                <w:i/>
                <w:iCs/>
                <w:sz w:val="20"/>
                <w:lang w:val="es-ES"/>
              </w:rPr>
            </w:pPr>
          </w:p>
          <w:p w14:paraId="354F725E"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LOTE No.3, GRUPO B</w:t>
            </w:r>
          </w:p>
          <w:p w14:paraId="43E347A1"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Proyecto: 19842 Agua y Saneamiento Comunidad Zacatera</w:t>
            </w:r>
          </w:p>
          <w:p w14:paraId="013FD045" w14:textId="77777777" w:rsidR="00AD22A7" w:rsidRPr="00AD22A7" w:rsidRDefault="00AD22A7" w:rsidP="00AD22A7">
            <w:pPr>
              <w:spacing w:before="100" w:after="100"/>
              <w:ind w:left="317"/>
              <w:rPr>
                <w:rFonts w:ascii="Arial" w:hAnsi="Arial" w:cs="Arial"/>
                <w:i/>
                <w:iCs/>
                <w:sz w:val="20"/>
                <w:lang w:val="es-ES"/>
              </w:rPr>
            </w:pPr>
            <w:r w:rsidRPr="00AD22A7">
              <w:rPr>
                <w:rFonts w:ascii="Arial" w:hAnsi="Arial" w:cs="Arial"/>
                <w:i/>
                <w:iCs/>
                <w:sz w:val="20"/>
                <w:lang w:val="es-ES"/>
              </w:rPr>
              <w:t>Comunidad: Zacatera</w:t>
            </w:r>
          </w:p>
          <w:p w14:paraId="0825A64F" w14:textId="52F82052" w:rsidR="00AD22A7" w:rsidRPr="00AD22A7" w:rsidRDefault="00E96C6A" w:rsidP="00AD22A7">
            <w:pPr>
              <w:spacing w:before="100" w:after="100"/>
              <w:ind w:left="317"/>
              <w:rPr>
                <w:rFonts w:ascii="Arial" w:hAnsi="Arial" w:cs="Arial"/>
                <w:i/>
                <w:iCs/>
                <w:sz w:val="20"/>
                <w:lang w:val="es-ES"/>
              </w:rPr>
            </w:pPr>
            <w:r>
              <w:rPr>
                <w:rFonts w:ascii="Arial" w:hAnsi="Arial" w:cs="Arial"/>
                <w:i/>
                <w:iCs/>
                <w:sz w:val="20"/>
                <w:lang w:val="es-ES"/>
              </w:rPr>
              <w:t xml:space="preserve">Fecha: </w:t>
            </w:r>
            <w:r w:rsidR="004B50CC">
              <w:rPr>
                <w:rFonts w:ascii="Arial" w:hAnsi="Arial" w:cs="Arial"/>
                <w:i/>
                <w:iCs/>
                <w:sz w:val="20"/>
                <w:highlight w:val="yellow"/>
                <w:lang w:val="es-ES"/>
              </w:rPr>
              <w:t>22</w:t>
            </w:r>
            <w:r w:rsidRPr="00E96C6A">
              <w:rPr>
                <w:rFonts w:ascii="Arial" w:hAnsi="Arial" w:cs="Arial"/>
                <w:i/>
                <w:iCs/>
                <w:sz w:val="20"/>
                <w:highlight w:val="yellow"/>
                <w:lang w:val="es-ES"/>
              </w:rPr>
              <w:t xml:space="preserve"> de junio 2022</w:t>
            </w:r>
          </w:p>
          <w:p w14:paraId="2769E3DE" w14:textId="75A043F1" w:rsidR="00AD22A7" w:rsidRPr="00AD22A7" w:rsidRDefault="00B13EAD" w:rsidP="00AD22A7">
            <w:pPr>
              <w:spacing w:before="100" w:after="100"/>
              <w:ind w:left="317"/>
              <w:rPr>
                <w:rFonts w:ascii="Arial" w:hAnsi="Arial" w:cs="Arial"/>
                <w:i/>
                <w:iCs/>
                <w:sz w:val="20"/>
                <w:lang w:val="es-ES"/>
              </w:rPr>
            </w:pPr>
            <w:r>
              <w:rPr>
                <w:rFonts w:ascii="Arial" w:hAnsi="Arial" w:cs="Arial"/>
                <w:i/>
                <w:iCs/>
                <w:sz w:val="20"/>
                <w:lang w:val="es-ES"/>
              </w:rPr>
              <w:t>Hora: 10</w:t>
            </w:r>
            <w:r w:rsidR="00AD22A7">
              <w:rPr>
                <w:rFonts w:ascii="Arial" w:hAnsi="Arial" w:cs="Arial"/>
                <w:i/>
                <w:iCs/>
                <w:sz w:val="20"/>
                <w:lang w:val="es-ES"/>
              </w:rPr>
              <w:t xml:space="preserve">:00 </w:t>
            </w:r>
            <w:r>
              <w:rPr>
                <w:rFonts w:ascii="Arial" w:hAnsi="Arial" w:cs="Arial"/>
                <w:i/>
                <w:iCs/>
                <w:sz w:val="20"/>
                <w:lang w:val="es-ES"/>
              </w:rPr>
              <w:t>a</w:t>
            </w:r>
            <w:r w:rsidR="00AD22A7">
              <w:rPr>
                <w:rFonts w:ascii="Arial" w:hAnsi="Arial" w:cs="Arial"/>
                <w:i/>
                <w:iCs/>
                <w:sz w:val="20"/>
                <w:lang w:val="es-ES"/>
              </w:rPr>
              <w:t>.m.</w:t>
            </w:r>
            <w:r w:rsidR="00AD22A7" w:rsidRPr="00AD22A7">
              <w:rPr>
                <w:rFonts w:ascii="Arial" w:hAnsi="Arial" w:cs="Arial"/>
                <w:i/>
                <w:iCs/>
                <w:sz w:val="20"/>
                <w:lang w:val="es-ES"/>
              </w:rPr>
              <w:t xml:space="preserve"> </w:t>
            </w:r>
          </w:p>
          <w:p w14:paraId="24577F59" w14:textId="77777777" w:rsidR="00AD22A7" w:rsidRPr="00AD22A7" w:rsidRDefault="00AD22A7" w:rsidP="00AD22A7">
            <w:pPr>
              <w:pStyle w:val="i"/>
              <w:spacing w:before="100" w:after="100"/>
              <w:ind w:left="317"/>
              <w:rPr>
                <w:rFonts w:ascii="Arial" w:hAnsi="Arial" w:cs="Arial"/>
                <w:i/>
                <w:iCs/>
                <w:sz w:val="20"/>
                <w:lang w:val="es-ES"/>
              </w:rPr>
            </w:pPr>
            <w:r w:rsidRPr="00AD22A7">
              <w:rPr>
                <w:rFonts w:ascii="Arial" w:hAnsi="Arial" w:cs="Arial"/>
                <w:i/>
                <w:iCs/>
                <w:sz w:val="20"/>
                <w:lang w:val="es-ES"/>
              </w:rPr>
              <w:t>Lugar: Alcaldía Municipal de Wiwilí, Nueva Segovia</w:t>
            </w:r>
          </w:p>
          <w:p w14:paraId="4BBD444C" w14:textId="1F4961EB" w:rsidR="00AD22A7" w:rsidRPr="00AD22A7" w:rsidRDefault="00AD22A7" w:rsidP="00AD22A7">
            <w:pPr>
              <w:rPr>
                <w:sz w:val="20"/>
                <w:lang w:val="es-NI"/>
              </w:rPr>
            </w:pPr>
            <w:r w:rsidRPr="00AD22A7">
              <w:rPr>
                <w:rFonts w:ascii="Arial" w:hAnsi="Arial" w:cs="Arial"/>
                <w:i/>
                <w:iCs/>
                <w:sz w:val="20"/>
                <w:lang w:val="es-ES"/>
              </w:rPr>
              <w:t xml:space="preserve">     Nombre del Coordinador de la actividad: </w:t>
            </w:r>
            <w:r w:rsidR="00D53C75" w:rsidRPr="00AD22A7">
              <w:rPr>
                <w:rFonts w:ascii="Arial" w:hAnsi="Arial" w:cs="Arial"/>
                <w:i/>
                <w:iCs/>
                <w:sz w:val="20"/>
                <w:lang w:val="es-ES"/>
              </w:rPr>
              <w:t>Ing. Edgardo Cruz Córdoba</w:t>
            </w:r>
            <w:r w:rsidR="00D53C75">
              <w:rPr>
                <w:rFonts w:ascii="Arial" w:hAnsi="Arial" w:cs="Arial"/>
                <w:i/>
                <w:iCs/>
                <w:sz w:val="20"/>
                <w:lang w:val="es-ES"/>
              </w:rPr>
              <w:t xml:space="preserve"> e Ing. Markos Mendoza</w:t>
            </w:r>
          </w:p>
          <w:p w14:paraId="36F1FA54"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lastRenderedPageBreak/>
              <w:t>LOTE No. 4, GRUPO B</w:t>
            </w:r>
          </w:p>
          <w:p w14:paraId="7C1D3B15" w14:textId="77777777" w:rsidR="00AD22A7" w:rsidRPr="00AD22A7" w:rsidRDefault="00AD22A7" w:rsidP="00AD22A7">
            <w:pPr>
              <w:spacing w:before="100" w:after="100"/>
              <w:ind w:left="317"/>
              <w:rPr>
                <w:rFonts w:ascii="Arial" w:hAnsi="Arial" w:cs="Arial"/>
                <w:b/>
                <w:i/>
                <w:iCs/>
                <w:sz w:val="20"/>
                <w:lang w:val="es-ES"/>
              </w:rPr>
            </w:pPr>
            <w:r w:rsidRPr="00AD22A7">
              <w:rPr>
                <w:rFonts w:ascii="Arial" w:hAnsi="Arial" w:cs="Arial"/>
                <w:b/>
                <w:i/>
                <w:iCs/>
                <w:sz w:val="20"/>
                <w:lang w:val="es-ES"/>
              </w:rPr>
              <w:t>Proyecto: 19892 Agua y Saneamiento Comunidad Bálsamo Abajo</w:t>
            </w:r>
          </w:p>
          <w:p w14:paraId="08709B47" w14:textId="77777777" w:rsidR="00AD22A7" w:rsidRPr="00AD22A7" w:rsidRDefault="00AD22A7" w:rsidP="00AD22A7">
            <w:pPr>
              <w:spacing w:before="100" w:after="100"/>
              <w:ind w:left="317"/>
              <w:rPr>
                <w:rFonts w:ascii="Arial" w:hAnsi="Arial" w:cs="Arial"/>
                <w:i/>
                <w:iCs/>
                <w:sz w:val="20"/>
                <w:lang w:val="es-ES"/>
              </w:rPr>
            </w:pPr>
            <w:r w:rsidRPr="00AD22A7">
              <w:rPr>
                <w:rFonts w:ascii="Arial" w:hAnsi="Arial" w:cs="Arial"/>
                <w:i/>
                <w:iCs/>
                <w:sz w:val="20"/>
                <w:lang w:val="es-ES"/>
              </w:rPr>
              <w:t>Comunidad: Bálsamo Abajo</w:t>
            </w:r>
          </w:p>
          <w:p w14:paraId="6301B600" w14:textId="37FCD07B" w:rsidR="00AD22A7" w:rsidRPr="00AD22A7" w:rsidRDefault="00AD22A7" w:rsidP="00AD22A7">
            <w:pPr>
              <w:spacing w:before="100" w:after="100"/>
              <w:ind w:left="317"/>
              <w:rPr>
                <w:rFonts w:ascii="Arial" w:hAnsi="Arial" w:cs="Arial"/>
                <w:i/>
                <w:iCs/>
                <w:sz w:val="20"/>
                <w:lang w:val="es-ES"/>
              </w:rPr>
            </w:pPr>
            <w:r w:rsidRPr="00AD22A7">
              <w:rPr>
                <w:rFonts w:ascii="Arial" w:hAnsi="Arial" w:cs="Arial"/>
                <w:i/>
                <w:iCs/>
                <w:sz w:val="20"/>
                <w:lang w:val="es-ES"/>
              </w:rPr>
              <w:t xml:space="preserve">Fecha: </w:t>
            </w:r>
            <w:r w:rsidR="004B50CC">
              <w:rPr>
                <w:rFonts w:ascii="Arial" w:hAnsi="Arial" w:cs="Arial"/>
                <w:i/>
                <w:iCs/>
                <w:sz w:val="20"/>
                <w:highlight w:val="yellow"/>
                <w:lang w:val="es-ES"/>
              </w:rPr>
              <w:t>23</w:t>
            </w:r>
            <w:r w:rsidR="00E96C6A" w:rsidRPr="00E96C6A">
              <w:rPr>
                <w:rFonts w:ascii="Arial" w:hAnsi="Arial" w:cs="Arial"/>
                <w:i/>
                <w:iCs/>
                <w:sz w:val="20"/>
                <w:highlight w:val="yellow"/>
                <w:lang w:val="es-ES"/>
              </w:rPr>
              <w:t xml:space="preserve"> de junio 2022</w:t>
            </w:r>
          </w:p>
          <w:p w14:paraId="53B01B94" w14:textId="77777777" w:rsidR="00AD22A7" w:rsidRPr="00AD22A7" w:rsidRDefault="00AD22A7" w:rsidP="00AD22A7">
            <w:pPr>
              <w:spacing w:before="100" w:after="100"/>
              <w:ind w:left="317"/>
              <w:rPr>
                <w:rFonts w:ascii="Arial" w:hAnsi="Arial" w:cs="Arial"/>
                <w:i/>
                <w:iCs/>
                <w:sz w:val="20"/>
                <w:lang w:val="es-ES"/>
              </w:rPr>
            </w:pPr>
            <w:r w:rsidRPr="00AD22A7">
              <w:rPr>
                <w:rFonts w:ascii="Arial" w:hAnsi="Arial" w:cs="Arial"/>
                <w:i/>
                <w:iCs/>
                <w:sz w:val="20"/>
                <w:lang w:val="es-ES"/>
              </w:rPr>
              <w:t xml:space="preserve">Hora: 10:00 a.m. </w:t>
            </w:r>
          </w:p>
          <w:p w14:paraId="261EE717" w14:textId="77777777" w:rsidR="00AD22A7" w:rsidRPr="00AD22A7" w:rsidRDefault="00AD22A7" w:rsidP="00AD22A7">
            <w:pPr>
              <w:pStyle w:val="i"/>
              <w:spacing w:before="100" w:after="100"/>
              <w:ind w:left="317"/>
              <w:rPr>
                <w:rFonts w:ascii="Arial" w:hAnsi="Arial" w:cs="Arial"/>
                <w:i/>
                <w:iCs/>
                <w:sz w:val="20"/>
                <w:lang w:val="es-ES"/>
              </w:rPr>
            </w:pPr>
            <w:r w:rsidRPr="00AD22A7">
              <w:rPr>
                <w:rFonts w:ascii="Arial" w:hAnsi="Arial" w:cs="Arial"/>
                <w:i/>
                <w:iCs/>
                <w:sz w:val="20"/>
                <w:lang w:val="es-ES"/>
              </w:rPr>
              <w:t>Lugar: Alcaldía Municipal de San Juan del Río Coco, Madriz</w:t>
            </w:r>
          </w:p>
          <w:p w14:paraId="0A942D88" w14:textId="0C308FB8" w:rsidR="00ED2DB6" w:rsidRPr="00AD22A7" w:rsidRDefault="00AD22A7" w:rsidP="00AD22A7">
            <w:pPr>
              <w:rPr>
                <w:sz w:val="20"/>
                <w:lang w:val="es-NI"/>
              </w:rPr>
            </w:pPr>
            <w:r w:rsidRPr="00AD22A7">
              <w:rPr>
                <w:rFonts w:ascii="Arial" w:hAnsi="Arial" w:cs="Arial"/>
                <w:i/>
                <w:iCs/>
                <w:sz w:val="20"/>
                <w:lang w:val="es-ES"/>
              </w:rPr>
              <w:t xml:space="preserve">     Nombre del Coordinador de la actividad: Ing. Edgardo Cruz Córdoba</w:t>
            </w:r>
            <w:r w:rsidR="00D53C75">
              <w:rPr>
                <w:rFonts w:ascii="Arial" w:hAnsi="Arial" w:cs="Arial"/>
                <w:i/>
                <w:iCs/>
                <w:sz w:val="20"/>
                <w:lang w:val="es-ES"/>
              </w:rPr>
              <w:t xml:space="preserve"> e Ing. Markos Mendoza</w:t>
            </w:r>
          </w:p>
        </w:tc>
      </w:tr>
      <w:tr w:rsidR="0081766F" w:rsidRPr="00A33F6B" w14:paraId="20AA4F35" w14:textId="77777777" w:rsidTr="00B903FF">
        <w:trPr>
          <w:trHeight w:val="20"/>
        </w:trPr>
        <w:tc>
          <w:tcPr>
            <w:tcW w:w="990" w:type="dxa"/>
          </w:tcPr>
          <w:p w14:paraId="27C6713D" w14:textId="77777777" w:rsidR="0081766F" w:rsidRPr="00641AB0" w:rsidRDefault="0081766F" w:rsidP="0081766F">
            <w:pPr>
              <w:tabs>
                <w:tab w:val="right" w:pos="7254"/>
              </w:tabs>
              <w:spacing w:before="100" w:after="100"/>
              <w:jc w:val="center"/>
              <w:rPr>
                <w:rFonts w:ascii="Arial" w:hAnsi="Arial" w:cs="Arial"/>
                <w:b/>
                <w:bCs/>
                <w:sz w:val="22"/>
                <w:szCs w:val="22"/>
              </w:rPr>
            </w:pPr>
            <w:r w:rsidRPr="00641AB0">
              <w:rPr>
                <w:rFonts w:ascii="Arial" w:hAnsi="Arial" w:cs="Arial"/>
                <w:b/>
                <w:bCs/>
                <w:sz w:val="22"/>
                <w:szCs w:val="22"/>
              </w:rPr>
              <w:lastRenderedPageBreak/>
              <w:t>8.6</w:t>
            </w:r>
          </w:p>
        </w:tc>
        <w:tc>
          <w:tcPr>
            <w:tcW w:w="8649" w:type="dxa"/>
          </w:tcPr>
          <w:p w14:paraId="02F2F56D" w14:textId="77777777" w:rsidR="0081766F" w:rsidRPr="00641AB0" w:rsidRDefault="0081766F" w:rsidP="0081766F">
            <w:pPr>
              <w:tabs>
                <w:tab w:val="right" w:pos="7254"/>
              </w:tabs>
              <w:spacing w:before="100" w:after="100"/>
              <w:rPr>
                <w:rFonts w:ascii="Arial" w:hAnsi="Arial" w:cs="Arial"/>
                <w:sz w:val="22"/>
                <w:szCs w:val="22"/>
                <w:lang w:val="es-ES"/>
              </w:rPr>
            </w:pPr>
            <w:r w:rsidRPr="00641AB0">
              <w:rPr>
                <w:rFonts w:ascii="Arial" w:hAnsi="Arial" w:cs="Arial"/>
                <w:sz w:val="22"/>
                <w:szCs w:val="22"/>
                <w:lang w:val="es-ES"/>
              </w:rPr>
              <w:t>La comunicación de las respuestas a las consultas de los oferentes y enmiendas a este Documento Base realizadas durante el período de preparación de ofertas se realizará mediante:</w:t>
            </w:r>
          </w:p>
          <w:p w14:paraId="3DBDF5EB" w14:textId="77777777" w:rsidR="004C7953" w:rsidRPr="0073721E" w:rsidRDefault="004C7953" w:rsidP="0071608E">
            <w:pPr>
              <w:pStyle w:val="Prrafodelista"/>
              <w:numPr>
                <w:ilvl w:val="0"/>
                <w:numId w:val="23"/>
              </w:numPr>
              <w:tabs>
                <w:tab w:val="right" w:pos="7254"/>
              </w:tabs>
              <w:spacing w:before="100" w:after="100"/>
              <w:ind w:left="519" w:hanging="202"/>
              <w:rPr>
                <w:rFonts w:ascii="Arial" w:hAnsi="Arial" w:cs="Arial"/>
                <w:i/>
                <w:color w:val="000000" w:themeColor="text1"/>
                <w:sz w:val="22"/>
                <w:szCs w:val="22"/>
                <w:lang w:val="es-ES"/>
              </w:rPr>
            </w:pPr>
            <w:r w:rsidRPr="0073721E">
              <w:rPr>
                <w:rFonts w:ascii="Arial" w:hAnsi="Arial" w:cs="Arial"/>
                <w:i/>
                <w:color w:val="000000" w:themeColor="text1"/>
                <w:sz w:val="22"/>
                <w:szCs w:val="22"/>
                <w:lang w:val="es-ES"/>
              </w:rPr>
              <w:t xml:space="preserve">Publicación en el portal </w:t>
            </w:r>
            <w:r w:rsidRPr="009C530D">
              <w:rPr>
                <w:rFonts w:ascii="Arial" w:hAnsi="Arial" w:cs="Arial"/>
                <w:i/>
                <w:color w:val="2F5496" w:themeColor="accent1" w:themeShade="BF"/>
                <w:sz w:val="22"/>
                <w:szCs w:val="22"/>
                <w:lang w:val="es-ES"/>
              </w:rPr>
              <w:t xml:space="preserve">web </w:t>
            </w:r>
            <w:hyperlink r:id="rId24" w:history="1">
              <w:r w:rsidRPr="009C530D">
                <w:rPr>
                  <w:rStyle w:val="Hipervnculo"/>
                  <w:rFonts w:ascii="Arial" w:hAnsi="Arial" w:cs="Arial"/>
                  <w:i/>
                  <w:noProof w:val="0"/>
                  <w:color w:val="2F5496" w:themeColor="accent1" w:themeShade="BF"/>
                  <w:sz w:val="22"/>
                  <w:szCs w:val="22"/>
                  <w:lang w:val="es-NI"/>
                </w:rPr>
                <w:t>www.nicaraguacompra.gob.ni</w:t>
              </w:r>
            </w:hyperlink>
            <w:r w:rsidRPr="009C530D">
              <w:rPr>
                <w:rFonts w:ascii="Arial" w:hAnsi="Arial" w:cs="Arial"/>
                <w:i/>
                <w:color w:val="2F5496" w:themeColor="accent1" w:themeShade="BF"/>
                <w:sz w:val="22"/>
                <w:szCs w:val="22"/>
                <w:u w:val="single"/>
                <w:lang w:val="es-NI"/>
              </w:rPr>
              <w:t xml:space="preserve"> </w:t>
            </w:r>
            <w:r w:rsidRPr="009C530D">
              <w:rPr>
                <w:rFonts w:ascii="Arial" w:hAnsi="Arial" w:cs="Arial"/>
                <w:i/>
                <w:color w:val="2F5496" w:themeColor="accent1" w:themeShade="BF"/>
                <w:sz w:val="22"/>
                <w:szCs w:val="22"/>
                <w:lang w:val="es-HN"/>
              </w:rPr>
              <w:t xml:space="preserve"> </w:t>
            </w:r>
          </w:p>
          <w:p w14:paraId="3B900F5E" w14:textId="77777777" w:rsidR="0081766F" w:rsidRPr="00641AB0" w:rsidRDefault="004C7953" w:rsidP="00181F97">
            <w:pPr>
              <w:pStyle w:val="Prrafodelista"/>
              <w:numPr>
                <w:ilvl w:val="0"/>
                <w:numId w:val="23"/>
              </w:numPr>
              <w:tabs>
                <w:tab w:val="right" w:pos="7254"/>
              </w:tabs>
              <w:spacing w:before="100" w:after="100"/>
              <w:rPr>
                <w:rFonts w:ascii="Arial" w:hAnsi="Arial" w:cs="Arial"/>
                <w:color w:val="FF0000"/>
                <w:sz w:val="22"/>
                <w:szCs w:val="22"/>
                <w:lang w:val="es-ES"/>
              </w:rPr>
            </w:pPr>
            <w:r w:rsidRPr="0073721E">
              <w:rPr>
                <w:rFonts w:ascii="Arial" w:hAnsi="Arial" w:cs="Arial"/>
                <w:i/>
                <w:color w:val="000000" w:themeColor="text1"/>
                <w:sz w:val="22"/>
                <w:szCs w:val="22"/>
                <w:lang w:val="es-ES"/>
              </w:rPr>
              <w:t xml:space="preserve">Otros: </w:t>
            </w:r>
            <w:r w:rsidR="00181F97" w:rsidRPr="0073721E">
              <w:rPr>
                <w:rFonts w:ascii="Arial" w:hAnsi="Arial" w:cs="Arial"/>
                <w:i/>
                <w:color w:val="000000" w:themeColor="text1"/>
                <w:sz w:val="22"/>
                <w:szCs w:val="22"/>
                <w:lang w:val="es-ES"/>
              </w:rPr>
              <w:t xml:space="preserve">correos electrónicos a todos los oferentes participantes con copia a: </w:t>
            </w:r>
            <w:r w:rsidR="00181F97" w:rsidRPr="00AD22A7">
              <w:rPr>
                <w:rFonts w:ascii="Arial" w:hAnsi="Arial" w:cs="Arial"/>
                <w:i/>
                <w:color w:val="2F5496" w:themeColor="accent1" w:themeShade="BF"/>
                <w:sz w:val="22"/>
                <w:szCs w:val="22"/>
                <w:lang w:val="es-ES"/>
              </w:rPr>
              <w:t>ARobelo@fise.gob.</w:t>
            </w:r>
            <w:r w:rsidR="002B39A2" w:rsidRPr="00AD22A7">
              <w:rPr>
                <w:rFonts w:ascii="Arial" w:hAnsi="Arial" w:cs="Arial"/>
                <w:i/>
                <w:color w:val="2F5496" w:themeColor="accent1" w:themeShade="BF"/>
                <w:sz w:val="22"/>
                <w:szCs w:val="22"/>
                <w:lang w:val="es-ES"/>
              </w:rPr>
              <w:t>ni; BSMendoza@fise.gob.ni; YIGodinez</w:t>
            </w:r>
            <w:r w:rsidR="00181F97" w:rsidRPr="00AD22A7">
              <w:rPr>
                <w:rFonts w:ascii="Arial" w:hAnsi="Arial" w:cs="Arial"/>
                <w:i/>
                <w:color w:val="2F5496" w:themeColor="accent1" w:themeShade="BF"/>
                <w:sz w:val="22"/>
                <w:szCs w:val="22"/>
                <w:lang w:val="es-ES"/>
              </w:rPr>
              <w:t xml:space="preserve">@fise.gob.ni  </w:t>
            </w:r>
          </w:p>
        </w:tc>
      </w:tr>
      <w:tr w:rsidR="0081766F" w:rsidRPr="00A33F6B" w14:paraId="59D6DB62" w14:textId="77777777" w:rsidTr="00B903FF">
        <w:trPr>
          <w:trHeight w:val="235"/>
        </w:trPr>
        <w:tc>
          <w:tcPr>
            <w:tcW w:w="9639" w:type="dxa"/>
            <w:gridSpan w:val="2"/>
            <w:shd w:val="clear" w:color="auto" w:fill="00B050"/>
          </w:tcPr>
          <w:p w14:paraId="40AD77B9" w14:textId="77777777" w:rsidR="0081766F" w:rsidRPr="00641AB0" w:rsidRDefault="0081766F" w:rsidP="0081766F">
            <w:pPr>
              <w:tabs>
                <w:tab w:val="right" w:pos="7254"/>
              </w:tabs>
              <w:spacing w:before="100" w:after="100"/>
              <w:jc w:val="center"/>
              <w:rPr>
                <w:rFonts w:ascii="Arial" w:hAnsi="Arial" w:cs="Arial"/>
                <w:b/>
                <w:color w:val="FFFFFF" w:themeColor="background1"/>
                <w:sz w:val="22"/>
                <w:szCs w:val="22"/>
                <w:lang w:val="es-ES"/>
              </w:rPr>
            </w:pPr>
            <w:r w:rsidRPr="00641AB0">
              <w:rPr>
                <w:rFonts w:ascii="Arial" w:hAnsi="Arial" w:cs="Arial"/>
                <w:b/>
                <w:color w:val="FFFFFF" w:themeColor="background1"/>
                <w:sz w:val="22"/>
                <w:szCs w:val="22"/>
                <w:lang w:val="es-ES"/>
              </w:rPr>
              <w:t>C.        Preparación de las Ofertas</w:t>
            </w:r>
          </w:p>
        </w:tc>
      </w:tr>
      <w:tr w:rsidR="0081766F" w:rsidRPr="00A33F6B" w14:paraId="174C65EE" w14:textId="77777777" w:rsidTr="00B903FF">
        <w:trPr>
          <w:trHeight w:val="235"/>
        </w:trPr>
        <w:tc>
          <w:tcPr>
            <w:tcW w:w="990" w:type="dxa"/>
          </w:tcPr>
          <w:p w14:paraId="22AB1D03" w14:textId="77777777" w:rsidR="0081766F" w:rsidRPr="00641AB0" w:rsidRDefault="0081766F" w:rsidP="0081766F">
            <w:pPr>
              <w:tabs>
                <w:tab w:val="right" w:pos="7254"/>
              </w:tabs>
              <w:spacing w:before="100" w:after="100"/>
              <w:jc w:val="center"/>
              <w:rPr>
                <w:rFonts w:ascii="Arial" w:hAnsi="Arial" w:cs="Arial"/>
                <w:b/>
                <w:bCs/>
                <w:sz w:val="22"/>
                <w:szCs w:val="22"/>
              </w:rPr>
            </w:pPr>
            <w:r w:rsidRPr="00641AB0">
              <w:rPr>
                <w:rFonts w:ascii="Arial" w:hAnsi="Arial" w:cs="Arial"/>
                <w:b/>
                <w:bCs/>
                <w:sz w:val="22"/>
                <w:szCs w:val="22"/>
              </w:rPr>
              <w:t>11.1</w:t>
            </w:r>
          </w:p>
        </w:tc>
        <w:tc>
          <w:tcPr>
            <w:tcW w:w="8649" w:type="dxa"/>
          </w:tcPr>
          <w:p w14:paraId="1984D0D6" w14:textId="77777777" w:rsidR="0081766F" w:rsidRPr="00641AB0" w:rsidRDefault="0081766F" w:rsidP="0002748D">
            <w:pPr>
              <w:tabs>
                <w:tab w:val="right" w:pos="7254"/>
              </w:tabs>
              <w:spacing w:before="100" w:after="100"/>
              <w:rPr>
                <w:rFonts w:ascii="Arial" w:hAnsi="Arial" w:cs="Arial"/>
                <w:sz w:val="22"/>
                <w:szCs w:val="22"/>
                <w:lang w:val="es-ES"/>
              </w:rPr>
            </w:pPr>
            <w:r w:rsidRPr="00641AB0">
              <w:rPr>
                <w:rFonts w:ascii="Arial" w:hAnsi="Arial" w:cs="Arial"/>
                <w:sz w:val="22"/>
                <w:szCs w:val="22"/>
                <w:lang w:val="es-ES"/>
              </w:rPr>
              <w:t xml:space="preserve">El idioma en que se debe redactar la Oferta es: </w:t>
            </w:r>
            <w:r w:rsidR="0002748D" w:rsidRPr="00344818">
              <w:rPr>
                <w:rFonts w:ascii="Arial" w:hAnsi="Arial" w:cs="Arial"/>
                <w:sz w:val="22"/>
                <w:szCs w:val="22"/>
                <w:u w:val="single"/>
                <w:lang w:val="es-ES"/>
              </w:rPr>
              <w:t>Español</w:t>
            </w:r>
          </w:p>
        </w:tc>
      </w:tr>
      <w:tr w:rsidR="0081766F" w:rsidRPr="00A33F6B" w14:paraId="29E082EA" w14:textId="77777777" w:rsidTr="00B903FF">
        <w:trPr>
          <w:trHeight w:val="235"/>
        </w:trPr>
        <w:tc>
          <w:tcPr>
            <w:tcW w:w="990" w:type="dxa"/>
          </w:tcPr>
          <w:p w14:paraId="68EF1A2C" w14:textId="77777777" w:rsidR="0081766F" w:rsidRPr="00641AB0" w:rsidRDefault="0081766F" w:rsidP="0081766F">
            <w:pPr>
              <w:tabs>
                <w:tab w:val="right" w:pos="7254"/>
              </w:tabs>
              <w:spacing w:before="100" w:after="100"/>
              <w:jc w:val="center"/>
              <w:rPr>
                <w:rFonts w:ascii="Arial" w:hAnsi="Arial" w:cs="Arial"/>
                <w:b/>
                <w:bCs/>
                <w:sz w:val="22"/>
                <w:szCs w:val="22"/>
              </w:rPr>
            </w:pPr>
            <w:r w:rsidRPr="00641AB0">
              <w:rPr>
                <w:rFonts w:ascii="Arial" w:hAnsi="Arial" w:cs="Arial"/>
                <w:b/>
                <w:bCs/>
                <w:sz w:val="22"/>
                <w:szCs w:val="22"/>
              </w:rPr>
              <w:t>11.2</w:t>
            </w:r>
          </w:p>
        </w:tc>
        <w:tc>
          <w:tcPr>
            <w:tcW w:w="8649" w:type="dxa"/>
          </w:tcPr>
          <w:p w14:paraId="37CC0B76" w14:textId="77777777" w:rsidR="0081766F" w:rsidRPr="00210A35" w:rsidRDefault="0081766F" w:rsidP="0002748D">
            <w:pPr>
              <w:tabs>
                <w:tab w:val="right" w:pos="7254"/>
              </w:tabs>
              <w:spacing w:before="100" w:after="100"/>
              <w:rPr>
                <w:rFonts w:ascii="Arial" w:hAnsi="Arial" w:cs="Arial"/>
                <w:sz w:val="22"/>
                <w:szCs w:val="22"/>
              </w:rPr>
            </w:pPr>
            <w:r w:rsidRPr="00210A35">
              <w:rPr>
                <w:rFonts w:ascii="Arial" w:hAnsi="Arial" w:cs="Arial"/>
                <w:sz w:val="22"/>
                <w:szCs w:val="22"/>
                <w:lang w:val="es-ES"/>
              </w:rPr>
              <w:t xml:space="preserve">Documentos de soporte y cualquier otro material impreso que formen parte de la oferta podrán estar en otro idioma, con la condición de que sean acompañados de una traducción fidedigna al idioma </w:t>
            </w:r>
            <w:r w:rsidR="0002748D" w:rsidRPr="00210A35">
              <w:rPr>
                <w:rFonts w:ascii="Arial" w:hAnsi="Arial" w:cs="Arial"/>
                <w:sz w:val="22"/>
                <w:szCs w:val="22"/>
                <w:u w:val="single"/>
                <w:lang w:val="es-ES"/>
              </w:rPr>
              <w:t>Español</w:t>
            </w:r>
          </w:p>
        </w:tc>
      </w:tr>
      <w:tr w:rsidR="0081766F" w:rsidRPr="00A33F6B" w14:paraId="1E57C990" w14:textId="77777777" w:rsidTr="00B903FF">
        <w:trPr>
          <w:trHeight w:val="20"/>
        </w:trPr>
        <w:tc>
          <w:tcPr>
            <w:tcW w:w="990" w:type="dxa"/>
            <w:vAlign w:val="center"/>
          </w:tcPr>
          <w:p w14:paraId="250B04B4" w14:textId="77777777" w:rsidR="0081766F" w:rsidRPr="00641AB0" w:rsidRDefault="0081766F" w:rsidP="0081766F">
            <w:pPr>
              <w:tabs>
                <w:tab w:val="right" w:pos="7434"/>
              </w:tabs>
              <w:spacing w:before="60" w:after="60"/>
              <w:jc w:val="center"/>
              <w:rPr>
                <w:rFonts w:ascii="Arial" w:hAnsi="Arial" w:cs="Arial"/>
                <w:b/>
                <w:sz w:val="22"/>
                <w:szCs w:val="22"/>
              </w:rPr>
            </w:pPr>
            <w:r w:rsidRPr="00641AB0">
              <w:rPr>
                <w:rFonts w:ascii="Arial" w:hAnsi="Arial" w:cs="Arial"/>
                <w:b/>
                <w:sz w:val="22"/>
                <w:szCs w:val="22"/>
              </w:rPr>
              <w:t>12.1 (b)</w:t>
            </w:r>
          </w:p>
        </w:tc>
        <w:tc>
          <w:tcPr>
            <w:tcW w:w="8649" w:type="dxa"/>
          </w:tcPr>
          <w:p w14:paraId="32C041FC" w14:textId="77777777" w:rsidR="0002748D" w:rsidRPr="00210A35" w:rsidRDefault="000C774A" w:rsidP="0002748D">
            <w:pPr>
              <w:spacing w:before="100" w:after="100"/>
              <w:ind w:right="74"/>
              <w:rPr>
                <w:rFonts w:ascii="Arial" w:hAnsi="Arial" w:cs="Arial"/>
                <w:i/>
                <w:color w:val="FF0000"/>
                <w:sz w:val="22"/>
                <w:szCs w:val="22"/>
                <w:lang w:val="es-ES"/>
              </w:rPr>
            </w:pPr>
            <w:r w:rsidRPr="00210A35">
              <w:rPr>
                <w:rFonts w:ascii="Arial" w:hAnsi="Arial" w:cs="Arial"/>
                <w:sz w:val="22"/>
                <w:szCs w:val="22"/>
                <w:lang w:val="es-ES"/>
              </w:rPr>
              <w:t>El siguiente formulario</w:t>
            </w:r>
            <w:r w:rsidR="0002748D" w:rsidRPr="00210A35">
              <w:rPr>
                <w:rFonts w:ascii="Arial" w:hAnsi="Arial" w:cs="Arial"/>
                <w:sz w:val="22"/>
                <w:szCs w:val="22"/>
                <w:lang w:val="es-ES"/>
              </w:rPr>
              <w:t xml:space="preserve"> se presentarán con la Oferta: </w:t>
            </w:r>
          </w:p>
          <w:p w14:paraId="14B03D29" w14:textId="77777777" w:rsidR="0002748D" w:rsidRPr="00210A35" w:rsidRDefault="0002748D" w:rsidP="0002748D">
            <w:pPr>
              <w:spacing w:before="120" w:after="120"/>
              <w:ind w:left="1440" w:hanging="1440"/>
              <w:rPr>
                <w:rFonts w:ascii="Arial" w:hAnsi="Arial" w:cs="Arial"/>
                <w:sz w:val="22"/>
                <w:szCs w:val="22"/>
                <w:lang w:val="es-HN"/>
              </w:rPr>
            </w:pPr>
            <w:r w:rsidRPr="00210A35">
              <w:rPr>
                <w:rFonts w:ascii="Arial" w:hAnsi="Arial" w:cs="Arial"/>
                <w:b/>
                <w:sz w:val="22"/>
                <w:szCs w:val="22"/>
              </w:rPr>
              <w:t xml:space="preserve">ECO-1 </w:t>
            </w:r>
            <w:r w:rsidRPr="00210A35">
              <w:rPr>
                <w:rFonts w:ascii="Arial" w:hAnsi="Arial" w:cs="Arial"/>
                <w:sz w:val="22"/>
                <w:szCs w:val="22"/>
              </w:rPr>
              <w:t>Lista Estimada de Cantidades y sus Precios Unitarios</w:t>
            </w:r>
            <w:r w:rsidRPr="00210A35" w:rsidDel="00607D38">
              <w:rPr>
                <w:rFonts w:ascii="Arial" w:hAnsi="Arial" w:cs="Arial"/>
                <w:sz w:val="22"/>
                <w:szCs w:val="22"/>
                <w:lang w:val="es-HN"/>
              </w:rPr>
              <w:t xml:space="preserve"> </w:t>
            </w:r>
            <w:r w:rsidRPr="00210A35">
              <w:rPr>
                <w:rFonts w:ascii="Arial" w:hAnsi="Arial" w:cs="Arial"/>
                <w:sz w:val="22"/>
                <w:szCs w:val="22"/>
                <w:lang w:val="es-HN"/>
              </w:rPr>
              <w:t xml:space="preserve">(Para contratos por </w:t>
            </w:r>
          </w:p>
          <w:p w14:paraId="482714DA" w14:textId="77777777" w:rsidR="0081766F" w:rsidRPr="00210A35" w:rsidRDefault="0002748D" w:rsidP="0002748D">
            <w:pPr>
              <w:spacing w:before="100" w:after="100"/>
              <w:ind w:right="74"/>
              <w:rPr>
                <w:rFonts w:ascii="Arial" w:hAnsi="Arial" w:cs="Arial"/>
                <w:sz w:val="22"/>
                <w:szCs w:val="22"/>
              </w:rPr>
            </w:pPr>
            <w:r w:rsidRPr="00210A35">
              <w:rPr>
                <w:rFonts w:ascii="Arial" w:hAnsi="Arial" w:cs="Arial"/>
                <w:sz w:val="22"/>
                <w:szCs w:val="22"/>
                <w:lang w:val="es-HN"/>
              </w:rPr>
              <w:t>precios unitarios) (</w:t>
            </w:r>
            <w:r w:rsidRPr="00210A35">
              <w:rPr>
                <w:rFonts w:ascii="Arial" w:hAnsi="Arial" w:cs="Arial"/>
                <w:i/>
                <w:sz w:val="22"/>
                <w:szCs w:val="22"/>
                <w:u w:val="single"/>
                <w:lang w:val="es-HN"/>
              </w:rPr>
              <w:t>Monto en dólares, separado por proyecto</w:t>
            </w:r>
            <w:r w:rsidRPr="00210A35">
              <w:rPr>
                <w:rFonts w:ascii="Arial" w:hAnsi="Arial" w:cs="Arial"/>
                <w:sz w:val="22"/>
                <w:szCs w:val="22"/>
                <w:lang w:val="es-HN"/>
              </w:rPr>
              <w:t>).</w:t>
            </w:r>
          </w:p>
        </w:tc>
      </w:tr>
      <w:tr w:rsidR="0002748D" w:rsidRPr="00A33F6B" w14:paraId="4BA5B730" w14:textId="77777777" w:rsidTr="00B903FF">
        <w:trPr>
          <w:trHeight w:val="20"/>
        </w:trPr>
        <w:tc>
          <w:tcPr>
            <w:tcW w:w="990" w:type="dxa"/>
            <w:vAlign w:val="center"/>
          </w:tcPr>
          <w:p w14:paraId="28DC4F0A" w14:textId="77777777" w:rsidR="0002748D" w:rsidRPr="00641AB0" w:rsidRDefault="0002748D" w:rsidP="0002748D">
            <w:pPr>
              <w:tabs>
                <w:tab w:val="right" w:pos="7434"/>
              </w:tabs>
              <w:spacing w:before="60" w:after="60"/>
              <w:jc w:val="center"/>
              <w:rPr>
                <w:rFonts w:ascii="Arial" w:hAnsi="Arial" w:cs="Arial"/>
                <w:b/>
                <w:sz w:val="22"/>
                <w:szCs w:val="22"/>
              </w:rPr>
            </w:pPr>
            <w:r w:rsidRPr="00641AB0">
              <w:rPr>
                <w:rFonts w:ascii="Arial" w:hAnsi="Arial" w:cs="Arial"/>
                <w:b/>
                <w:sz w:val="22"/>
                <w:szCs w:val="22"/>
              </w:rPr>
              <w:t>12.1 (i)</w:t>
            </w:r>
          </w:p>
        </w:tc>
        <w:tc>
          <w:tcPr>
            <w:tcW w:w="8649" w:type="dxa"/>
          </w:tcPr>
          <w:p w14:paraId="26D0EF2D" w14:textId="77777777" w:rsidR="0002748D" w:rsidRPr="00210A35" w:rsidRDefault="0002748D" w:rsidP="0002748D">
            <w:pPr>
              <w:tabs>
                <w:tab w:val="right" w:pos="7254"/>
              </w:tabs>
              <w:spacing w:before="120" w:after="120"/>
              <w:rPr>
                <w:rFonts w:ascii="Arial" w:hAnsi="Arial" w:cs="Arial"/>
                <w:sz w:val="22"/>
                <w:szCs w:val="22"/>
                <w:lang w:val="es-ES"/>
              </w:rPr>
            </w:pPr>
            <w:r w:rsidRPr="00210A35">
              <w:rPr>
                <w:rFonts w:ascii="Arial" w:hAnsi="Arial" w:cs="Arial"/>
                <w:sz w:val="22"/>
                <w:szCs w:val="22"/>
                <w:lang w:val="es-ES"/>
              </w:rPr>
              <w:t xml:space="preserve">El </w:t>
            </w:r>
            <w:r w:rsidRPr="00A4063E">
              <w:rPr>
                <w:rFonts w:ascii="Arial" w:hAnsi="Arial" w:cs="Arial"/>
                <w:sz w:val="22"/>
                <w:szCs w:val="22"/>
                <w:lang w:val="es-ES"/>
              </w:rPr>
              <w:t>oferente deberá presentar los siguientes documentos adicionales en su Oferta:</w:t>
            </w:r>
            <w:r w:rsidRPr="00210A35">
              <w:rPr>
                <w:rFonts w:ascii="Arial" w:hAnsi="Arial" w:cs="Arial"/>
                <w:sz w:val="22"/>
                <w:szCs w:val="22"/>
                <w:lang w:val="es-ES"/>
              </w:rPr>
              <w:t xml:space="preserve"> </w:t>
            </w:r>
          </w:p>
          <w:p w14:paraId="6FED5E11" w14:textId="77777777" w:rsidR="008F02F4" w:rsidRPr="00210A35" w:rsidRDefault="008F02F4" w:rsidP="008F02F4">
            <w:pPr>
              <w:pStyle w:val="Prrafodelista"/>
              <w:numPr>
                <w:ilvl w:val="0"/>
                <w:numId w:val="109"/>
              </w:numPr>
              <w:rPr>
                <w:rFonts w:ascii="Arial" w:hAnsi="Arial" w:cs="Arial"/>
                <w:sz w:val="22"/>
                <w:szCs w:val="22"/>
                <w:lang w:val="es-ES"/>
              </w:rPr>
            </w:pPr>
            <w:r w:rsidRPr="00210A35">
              <w:rPr>
                <w:rFonts w:ascii="Arial" w:hAnsi="Arial" w:cs="Arial"/>
                <w:sz w:val="22"/>
                <w:szCs w:val="22"/>
                <w:lang w:val="es-ES"/>
              </w:rPr>
              <w:t xml:space="preserve">Copia Simple del Acta de Constitución debidamente registrada en el Registro Público competente. En caso de propuestas presentadas por APCA, el acta de constitución debidamente registrada en el Registro Público competente, de cada uno de los miembros del APCA.  (Notariada). </w:t>
            </w:r>
            <w:r w:rsidRPr="00210A35">
              <w:rPr>
                <w:rFonts w:ascii="Arial" w:hAnsi="Arial" w:cs="Arial"/>
                <w:i/>
                <w:sz w:val="22"/>
                <w:szCs w:val="22"/>
                <w:lang w:val="es-ES"/>
              </w:rPr>
              <w:t>SOLO APLICA PARA PERSONAS JURIDICAS.</w:t>
            </w:r>
            <w:r w:rsidRPr="00210A35">
              <w:rPr>
                <w:rFonts w:ascii="Arial" w:hAnsi="Arial" w:cs="Arial"/>
                <w:sz w:val="22"/>
                <w:szCs w:val="22"/>
                <w:lang w:val="es-ES"/>
              </w:rPr>
              <w:t xml:space="preserve"> </w:t>
            </w:r>
          </w:p>
          <w:p w14:paraId="003EA33F" w14:textId="77777777" w:rsidR="008F02F4" w:rsidRPr="00210A35" w:rsidRDefault="008F02F4" w:rsidP="008F02F4">
            <w:pPr>
              <w:pStyle w:val="Prrafodelista"/>
              <w:numPr>
                <w:ilvl w:val="0"/>
                <w:numId w:val="109"/>
              </w:numPr>
              <w:rPr>
                <w:rFonts w:ascii="Arial" w:hAnsi="Arial" w:cs="Arial"/>
                <w:sz w:val="22"/>
                <w:szCs w:val="22"/>
                <w:lang w:val="es-ES"/>
              </w:rPr>
            </w:pPr>
            <w:r w:rsidRPr="00210A35">
              <w:rPr>
                <w:rFonts w:ascii="Arial" w:hAnsi="Arial" w:cs="Arial"/>
                <w:sz w:val="22"/>
                <w:szCs w:val="22"/>
                <w:lang w:val="es-ES"/>
              </w:rPr>
              <w:t>Copia Simple del Poder de Representación de quien suscribe la propuesta (Notariado, apostillado en caso de Notariado en el extranjero). SOLO APLICA PARA PERSONAS JURIDICAS.</w:t>
            </w:r>
          </w:p>
          <w:p w14:paraId="542D82AE" w14:textId="77777777" w:rsidR="0002748D" w:rsidRPr="00210A35" w:rsidRDefault="0002748D" w:rsidP="003B68DB">
            <w:pPr>
              <w:pStyle w:val="Prrafodelista"/>
              <w:numPr>
                <w:ilvl w:val="0"/>
                <w:numId w:val="109"/>
              </w:numPr>
              <w:spacing w:before="100" w:after="100"/>
              <w:ind w:right="74"/>
              <w:rPr>
                <w:rFonts w:ascii="Arial" w:hAnsi="Arial" w:cs="Arial"/>
                <w:sz w:val="22"/>
                <w:szCs w:val="22"/>
                <w:lang w:val="es-ES"/>
              </w:rPr>
            </w:pPr>
            <w:r w:rsidRPr="00210A35">
              <w:rPr>
                <w:rFonts w:ascii="Arial" w:hAnsi="Arial" w:cs="Arial"/>
                <w:sz w:val="22"/>
                <w:szCs w:val="22"/>
                <w:lang w:val="es-ES"/>
              </w:rPr>
              <w:t xml:space="preserve">Copia de cédula de identidad o documento oficial de identificación vigente, de quien suscribe la propuesta </w:t>
            </w:r>
          </w:p>
          <w:p w14:paraId="70FB3B34" w14:textId="77777777" w:rsidR="0002748D" w:rsidRPr="00210A35" w:rsidRDefault="0002748D" w:rsidP="003B68DB">
            <w:pPr>
              <w:pStyle w:val="Prrafodelista"/>
              <w:numPr>
                <w:ilvl w:val="0"/>
                <w:numId w:val="109"/>
              </w:numPr>
              <w:spacing w:before="100" w:after="100"/>
              <w:ind w:right="74"/>
              <w:rPr>
                <w:rFonts w:ascii="Arial" w:hAnsi="Arial" w:cs="Arial"/>
                <w:i/>
                <w:sz w:val="22"/>
                <w:szCs w:val="22"/>
                <w:lang w:val="es-ES"/>
              </w:rPr>
            </w:pPr>
            <w:r w:rsidRPr="00210A35">
              <w:rPr>
                <w:rFonts w:ascii="Arial" w:hAnsi="Arial" w:cs="Arial"/>
                <w:sz w:val="22"/>
                <w:szCs w:val="22"/>
                <w:lang w:val="es-HN"/>
              </w:rPr>
              <w:t>Documento para soporte para la experiencia general y especifica:</w:t>
            </w:r>
          </w:p>
          <w:p w14:paraId="711B2C9A" w14:textId="77777777" w:rsidR="0002748D" w:rsidRPr="00210A35" w:rsidRDefault="0002748D" w:rsidP="003B68DB">
            <w:pPr>
              <w:pStyle w:val="Prrafodelista"/>
              <w:numPr>
                <w:ilvl w:val="1"/>
                <w:numId w:val="110"/>
              </w:numPr>
              <w:spacing w:before="100" w:after="100"/>
              <w:ind w:left="458" w:right="74" w:firstLine="0"/>
              <w:rPr>
                <w:rFonts w:ascii="Arial" w:hAnsi="Arial" w:cs="Arial"/>
                <w:sz w:val="22"/>
                <w:szCs w:val="22"/>
                <w:lang w:val="es-ES"/>
              </w:rPr>
            </w:pPr>
            <w:r w:rsidRPr="00210A35">
              <w:rPr>
                <w:rFonts w:ascii="Arial" w:hAnsi="Arial" w:cs="Arial"/>
                <w:sz w:val="22"/>
                <w:szCs w:val="22"/>
                <w:lang w:val="es-ES"/>
              </w:rPr>
              <w:t>Actas de recepción final de Proyectos.</w:t>
            </w:r>
          </w:p>
          <w:p w14:paraId="3A8B13BF" w14:textId="77777777" w:rsidR="0002748D" w:rsidRPr="00210A35" w:rsidRDefault="0002748D" w:rsidP="003B68DB">
            <w:pPr>
              <w:pStyle w:val="Prrafodelista"/>
              <w:numPr>
                <w:ilvl w:val="0"/>
                <w:numId w:val="109"/>
              </w:numPr>
              <w:spacing w:before="100" w:after="100"/>
              <w:ind w:right="74"/>
              <w:rPr>
                <w:rFonts w:ascii="Arial" w:hAnsi="Arial" w:cs="Arial"/>
                <w:i/>
                <w:sz w:val="22"/>
                <w:szCs w:val="22"/>
                <w:lang w:val="es-ES"/>
              </w:rPr>
            </w:pPr>
            <w:r w:rsidRPr="00210A35">
              <w:rPr>
                <w:rFonts w:ascii="Arial" w:hAnsi="Arial" w:cs="Arial"/>
                <w:sz w:val="22"/>
                <w:szCs w:val="22"/>
                <w:lang w:val="es-HN"/>
              </w:rPr>
              <w:t>Documento de soporte para la experiencia general y específica del personal clave.</w:t>
            </w:r>
          </w:p>
          <w:p w14:paraId="04814D59" w14:textId="77777777" w:rsidR="0002748D" w:rsidRPr="00210A35" w:rsidRDefault="0002748D" w:rsidP="003B68DB">
            <w:pPr>
              <w:pStyle w:val="Prrafodelista"/>
              <w:numPr>
                <w:ilvl w:val="1"/>
                <w:numId w:val="110"/>
              </w:numPr>
              <w:spacing w:before="100" w:after="100"/>
              <w:ind w:left="741" w:right="74" w:hanging="283"/>
              <w:rPr>
                <w:rFonts w:ascii="Arial" w:hAnsi="Arial" w:cs="Arial"/>
                <w:sz w:val="22"/>
                <w:szCs w:val="22"/>
                <w:lang w:val="es-ES"/>
              </w:rPr>
            </w:pPr>
            <w:r w:rsidRPr="00210A35">
              <w:rPr>
                <w:rFonts w:ascii="Arial" w:hAnsi="Arial" w:cs="Arial"/>
                <w:sz w:val="22"/>
                <w:szCs w:val="22"/>
                <w:lang w:val="es-ES"/>
              </w:rPr>
              <w:lastRenderedPageBreak/>
              <w:t>Actas de recepción final de proyectos.</w:t>
            </w:r>
          </w:p>
          <w:p w14:paraId="6F810354" w14:textId="77777777" w:rsidR="0002748D" w:rsidRPr="00210A35" w:rsidRDefault="0002748D" w:rsidP="003B68DB">
            <w:pPr>
              <w:pStyle w:val="Prrafodelista"/>
              <w:numPr>
                <w:ilvl w:val="1"/>
                <w:numId w:val="110"/>
              </w:numPr>
              <w:spacing w:before="100" w:after="100"/>
              <w:ind w:left="458" w:right="74" w:firstLine="0"/>
              <w:rPr>
                <w:rFonts w:ascii="Arial" w:hAnsi="Arial" w:cs="Arial"/>
                <w:sz w:val="22"/>
                <w:szCs w:val="22"/>
                <w:lang w:val="es-ES"/>
              </w:rPr>
            </w:pPr>
            <w:r w:rsidRPr="00210A35">
              <w:rPr>
                <w:rFonts w:ascii="Arial" w:hAnsi="Arial" w:cs="Arial"/>
                <w:sz w:val="22"/>
                <w:szCs w:val="22"/>
                <w:lang w:val="es-ES"/>
              </w:rPr>
              <w:t xml:space="preserve">Constancias </w:t>
            </w:r>
          </w:p>
          <w:p w14:paraId="4369AFF7" w14:textId="77777777" w:rsidR="0002748D" w:rsidRPr="00210A35" w:rsidRDefault="0002748D" w:rsidP="003B68DB">
            <w:pPr>
              <w:pStyle w:val="Prrafodelista"/>
              <w:numPr>
                <w:ilvl w:val="1"/>
                <w:numId w:val="110"/>
              </w:numPr>
              <w:spacing w:before="100" w:after="100"/>
              <w:ind w:left="741" w:right="74" w:hanging="283"/>
              <w:rPr>
                <w:rFonts w:ascii="Arial" w:hAnsi="Arial" w:cs="Arial"/>
                <w:sz w:val="22"/>
                <w:szCs w:val="22"/>
                <w:lang w:val="es-ES"/>
              </w:rPr>
            </w:pPr>
            <w:r w:rsidRPr="00210A35">
              <w:rPr>
                <w:rFonts w:ascii="Arial" w:hAnsi="Arial" w:cs="Arial"/>
                <w:sz w:val="22"/>
                <w:szCs w:val="22"/>
                <w:lang w:val="es-ES"/>
              </w:rPr>
              <w:t>Finiquitos de trabajo, consultoría en proyecto de agua y Saneamiento y/o Agua, del componente social (Social).</w:t>
            </w:r>
          </w:p>
          <w:p w14:paraId="489079B6" w14:textId="77777777" w:rsidR="0002748D" w:rsidRPr="00210A35" w:rsidRDefault="0002748D" w:rsidP="003B68DB">
            <w:pPr>
              <w:pStyle w:val="Prrafodelista"/>
              <w:numPr>
                <w:ilvl w:val="0"/>
                <w:numId w:val="109"/>
              </w:numPr>
              <w:spacing w:before="100" w:after="100"/>
              <w:ind w:right="74"/>
              <w:rPr>
                <w:rFonts w:ascii="Arial" w:hAnsi="Arial" w:cs="Arial"/>
                <w:i/>
                <w:sz w:val="22"/>
                <w:szCs w:val="22"/>
                <w:lang w:val="es-ES"/>
              </w:rPr>
            </w:pPr>
            <w:r w:rsidRPr="00210A35">
              <w:rPr>
                <w:rFonts w:ascii="Arial" w:hAnsi="Arial" w:cs="Arial"/>
                <w:sz w:val="22"/>
                <w:szCs w:val="22"/>
                <w:lang w:val="es-HN"/>
              </w:rPr>
              <w:t>Para los equipos el soporte que deben de presentar es:</w:t>
            </w:r>
          </w:p>
          <w:p w14:paraId="699A12EE" w14:textId="77777777" w:rsidR="009C530D" w:rsidRPr="00210A35" w:rsidRDefault="0002748D" w:rsidP="009C530D">
            <w:pPr>
              <w:pStyle w:val="Prrafodelista"/>
              <w:numPr>
                <w:ilvl w:val="1"/>
                <w:numId w:val="110"/>
              </w:numPr>
              <w:spacing w:before="100" w:after="100"/>
              <w:ind w:left="741" w:right="74" w:hanging="283"/>
              <w:rPr>
                <w:rFonts w:ascii="Arial" w:hAnsi="Arial" w:cs="Arial"/>
                <w:sz w:val="22"/>
                <w:szCs w:val="22"/>
                <w:lang w:val="es-ES"/>
              </w:rPr>
            </w:pPr>
            <w:r w:rsidRPr="00210A35">
              <w:rPr>
                <w:rFonts w:ascii="Arial" w:hAnsi="Arial" w:cs="Arial"/>
                <w:sz w:val="22"/>
                <w:szCs w:val="22"/>
                <w:lang w:val="es-ES"/>
              </w:rPr>
              <w:t xml:space="preserve">Si son equipos propios, deben de presentar, copia de circulación copia de factura, documento notariado dando fe que el equipo es personal. (al menos uno de los documentos mencionados). </w:t>
            </w:r>
          </w:p>
          <w:p w14:paraId="56D5302B" w14:textId="77777777" w:rsidR="0002748D" w:rsidRPr="00210A35" w:rsidRDefault="009C530D" w:rsidP="009C530D">
            <w:pPr>
              <w:pStyle w:val="Prrafodelista"/>
              <w:numPr>
                <w:ilvl w:val="1"/>
                <w:numId w:val="110"/>
              </w:numPr>
              <w:spacing w:before="100" w:after="100"/>
              <w:ind w:left="741" w:right="74" w:hanging="283"/>
              <w:rPr>
                <w:rFonts w:ascii="Arial" w:hAnsi="Arial" w:cs="Arial"/>
                <w:sz w:val="22"/>
                <w:szCs w:val="22"/>
                <w:lang w:val="es-ES"/>
              </w:rPr>
            </w:pPr>
            <w:r w:rsidRPr="00210A35">
              <w:rPr>
                <w:rFonts w:ascii="Arial" w:hAnsi="Arial" w:cs="Arial"/>
                <w:sz w:val="22"/>
                <w:szCs w:val="22"/>
                <w:lang w:val="es-ES"/>
              </w:rPr>
              <w:t>Si los equipos son alquilados, presentar una constancia de alquiler, que demuestre que están a disposición del proyecto.</w:t>
            </w:r>
          </w:p>
        </w:tc>
      </w:tr>
      <w:tr w:rsidR="0002748D" w:rsidRPr="00A33F6B" w14:paraId="1DE47779" w14:textId="77777777" w:rsidTr="00B903FF">
        <w:trPr>
          <w:trHeight w:val="20"/>
        </w:trPr>
        <w:tc>
          <w:tcPr>
            <w:tcW w:w="990" w:type="dxa"/>
            <w:vAlign w:val="center"/>
          </w:tcPr>
          <w:p w14:paraId="2F7196E9" w14:textId="77777777" w:rsidR="0002748D" w:rsidRPr="00641AB0" w:rsidRDefault="0002748D" w:rsidP="0002748D">
            <w:pPr>
              <w:tabs>
                <w:tab w:val="right" w:pos="7434"/>
              </w:tabs>
              <w:spacing w:before="60" w:after="60"/>
              <w:jc w:val="center"/>
              <w:rPr>
                <w:rFonts w:ascii="Arial" w:hAnsi="Arial" w:cs="Arial"/>
                <w:b/>
                <w:sz w:val="22"/>
                <w:szCs w:val="22"/>
                <w:lang w:val="pt-BR"/>
              </w:rPr>
            </w:pPr>
            <w:r w:rsidRPr="00641AB0">
              <w:rPr>
                <w:rFonts w:ascii="Arial" w:hAnsi="Arial" w:cs="Arial"/>
                <w:b/>
                <w:sz w:val="22"/>
                <w:szCs w:val="22"/>
              </w:rPr>
              <w:lastRenderedPageBreak/>
              <w:t>12.2</w:t>
            </w:r>
          </w:p>
        </w:tc>
        <w:tc>
          <w:tcPr>
            <w:tcW w:w="8649" w:type="dxa"/>
          </w:tcPr>
          <w:p w14:paraId="33B746C1" w14:textId="77777777" w:rsidR="0002748D" w:rsidRPr="00BA77FC" w:rsidRDefault="0002748D" w:rsidP="0002748D">
            <w:pPr>
              <w:spacing w:before="100" w:after="100"/>
              <w:ind w:right="74"/>
              <w:rPr>
                <w:rFonts w:ascii="Arial" w:hAnsi="Arial" w:cs="Arial"/>
                <w:sz w:val="22"/>
                <w:szCs w:val="22"/>
                <w:lang w:val="es-HN"/>
              </w:rPr>
            </w:pPr>
            <w:r w:rsidRPr="00BA77FC">
              <w:rPr>
                <w:rFonts w:ascii="Arial" w:hAnsi="Arial" w:cs="Arial"/>
                <w:sz w:val="22"/>
                <w:szCs w:val="22"/>
                <w:lang w:val="es-HN"/>
              </w:rPr>
              <w:t>Los períodos para los cuales se analizará la información presentada son:</w:t>
            </w:r>
          </w:p>
          <w:p w14:paraId="1922395A" w14:textId="77777777" w:rsidR="0002748D" w:rsidRPr="00BA77FC" w:rsidRDefault="0002748D" w:rsidP="0002748D">
            <w:pPr>
              <w:spacing w:before="100" w:after="100"/>
              <w:ind w:right="74"/>
              <w:rPr>
                <w:rFonts w:ascii="Arial" w:hAnsi="Arial" w:cs="Arial"/>
                <w:sz w:val="22"/>
                <w:szCs w:val="22"/>
                <w:lang w:val="es-HN"/>
              </w:rPr>
            </w:pPr>
            <w:r w:rsidRPr="00BA77FC">
              <w:rPr>
                <w:rFonts w:ascii="Arial" w:hAnsi="Arial" w:cs="Arial"/>
                <w:sz w:val="22"/>
                <w:szCs w:val="22"/>
                <w:lang w:val="es-HN"/>
              </w:rPr>
              <w:t>a.  Información financiera para los períodos enero – diciembre correspondiente a los años 2017,2018, 2019, 2020.</w:t>
            </w:r>
          </w:p>
          <w:p w14:paraId="50FEE000" w14:textId="77777777" w:rsidR="0002748D" w:rsidRPr="00BA77FC" w:rsidRDefault="0002748D" w:rsidP="0002748D">
            <w:pPr>
              <w:spacing w:before="100" w:after="100"/>
              <w:ind w:right="74"/>
              <w:rPr>
                <w:rFonts w:ascii="Arial" w:hAnsi="Arial" w:cs="Arial"/>
                <w:sz w:val="22"/>
                <w:szCs w:val="22"/>
                <w:lang w:val="es-HN"/>
              </w:rPr>
            </w:pPr>
            <w:r w:rsidRPr="00BA77FC">
              <w:rPr>
                <w:rFonts w:ascii="Arial" w:hAnsi="Arial" w:cs="Arial"/>
                <w:sz w:val="22"/>
                <w:szCs w:val="22"/>
                <w:lang w:val="es-HN"/>
              </w:rPr>
              <w:t>b. Información sobre antecedentes de contratación correspondiente a los años 2018, 2019, 2020.</w:t>
            </w:r>
          </w:p>
          <w:p w14:paraId="5CE44394" w14:textId="77777777" w:rsidR="0002748D" w:rsidRPr="00BA77FC" w:rsidRDefault="0002748D" w:rsidP="0071608E">
            <w:pPr>
              <w:pStyle w:val="Prrafodelista"/>
              <w:numPr>
                <w:ilvl w:val="0"/>
                <w:numId w:val="13"/>
              </w:numPr>
              <w:spacing w:before="100" w:after="100"/>
              <w:ind w:left="339" w:right="74" w:hanging="339"/>
              <w:rPr>
                <w:rFonts w:ascii="Arial" w:hAnsi="Arial" w:cs="Arial"/>
                <w:sz w:val="22"/>
                <w:szCs w:val="22"/>
                <w:lang w:val="es-HN"/>
              </w:rPr>
            </w:pPr>
            <w:r w:rsidRPr="00BA77FC">
              <w:rPr>
                <w:rFonts w:ascii="Arial" w:hAnsi="Arial" w:cs="Arial"/>
                <w:sz w:val="22"/>
                <w:szCs w:val="22"/>
                <w:lang w:val="es-HN"/>
              </w:rPr>
              <w:t>Información sobre experiencia general correspondiente a los años 2017, 2018, 2019, 2020 y 2021</w:t>
            </w:r>
          </w:p>
          <w:p w14:paraId="3C016DF7" w14:textId="77777777" w:rsidR="0002748D" w:rsidRPr="00BA77FC" w:rsidRDefault="0002748D" w:rsidP="0071608E">
            <w:pPr>
              <w:pStyle w:val="Prrafodelista"/>
              <w:numPr>
                <w:ilvl w:val="0"/>
                <w:numId w:val="13"/>
              </w:numPr>
              <w:spacing w:before="100" w:after="100"/>
              <w:ind w:left="339" w:right="74" w:hanging="339"/>
              <w:rPr>
                <w:rFonts w:ascii="Arial" w:hAnsi="Arial" w:cs="Arial"/>
                <w:sz w:val="22"/>
                <w:szCs w:val="22"/>
                <w:lang w:val="es-HN"/>
              </w:rPr>
            </w:pPr>
            <w:r w:rsidRPr="00BA77FC">
              <w:rPr>
                <w:rFonts w:ascii="Arial" w:hAnsi="Arial" w:cs="Arial"/>
                <w:sz w:val="22"/>
                <w:szCs w:val="22"/>
                <w:lang w:val="es-HN"/>
              </w:rPr>
              <w:t>Información sobre experiencia especifica correspondiente a los años 2017, 2018, 2019, 2020 y 2021</w:t>
            </w:r>
          </w:p>
        </w:tc>
      </w:tr>
      <w:tr w:rsidR="0002748D" w:rsidRPr="00A33F6B" w14:paraId="222F5EE3" w14:textId="77777777" w:rsidTr="00B903FF">
        <w:trPr>
          <w:trHeight w:val="20"/>
        </w:trPr>
        <w:tc>
          <w:tcPr>
            <w:tcW w:w="990" w:type="dxa"/>
            <w:vAlign w:val="center"/>
          </w:tcPr>
          <w:p w14:paraId="60C80F28" w14:textId="77777777" w:rsidR="0002748D" w:rsidRPr="00641AB0" w:rsidRDefault="0002748D" w:rsidP="0002748D">
            <w:pPr>
              <w:tabs>
                <w:tab w:val="right" w:pos="7434"/>
              </w:tabs>
              <w:spacing w:before="100" w:after="100"/>
              <w:jc w:val="center"/>
              <w:rPr>
                <w:rFonts w:ascii="Arial" w:hAnsi="Arial" w:cs="Arial"/>
                <w:b/>
                <w:sz w:val="22"/>
                <w:szCs w:val="22"/>
                <w:lang w:val="es-ES"/>
              </w:rPr>
            </w:pPr>
            <w:r w:rsidRPr="00641AB0">
              <w:rPr>
                <w:rFonts w:ascii="Arial" w:hAnsi="Arial" w:cs="Arial"/>
                <w:b/>
                <w:sz w:val="22"/>
                <w:szCs w:val="22"/>
                <w:lang w:val="es-ES"/>
              </w:rPr>
              <w:t>14.1</w:t>
            </w:r>
          </w:p>
        </w:tc>
        <w:tc>
          <w:tcPr>
            <w:tcW w:w="8649" w:type="dxa"/>
          </w:tcPr>
          <w:p w14:paraId="75FA6631" w14:textId="77777777" w:rsidR="0002748D" w:rsidRPr="00641AB0" w:rsidRDefault="0002748D" w:rsidP="0002748D">
            <w:pPr>
              <w:tabs>
                <w:tab w:val="right" w:pos="7254"/>
              </w:tabs>
              <w:spacing w:before="100" w:after="100"/>
              <w:jc w:val="left"/>
              <w:rPr>
                <w:rFonts w:ascii="Arial" w:hAnsi="Arial" w:cs="Arial"/>
                <w:sz w:val="22"/>
                <w:szCs w:val="22"/>
                <w:lang w:val="es-ES"/>
              </w:rPr>
            </w:pPr>
            <w:r w:rsidRPr="0002748D">
              <w:rPr>
                <w:rFonts w:ascii="Arial" w:hAnsi="Arial" w:cs="Arial"/>
                <w:sz w:val="22"/>
                <w:szCs w:val="22"/>
                <w:lang w:val="es-ES"/>
              </w:rPr>
              <w:t xml:space="preserve">No se permite </w:t>
            </w:r>
            <w:r w:rsidRPr="00641AB0">
              <w:rPr>
                <w:rFonts w:ascii="Arial" w:hAnsi="Arial" w:cs="Arial"/>
                <w:sz w:val="22"/>
                <w:szCs w:val="22"/>
                <w:lang w:val="es-ES"/>
              </w:rPr>
              <w:t>la presentación de ofertas alternativas</w:t>
            </w:r>
          </w:p>
        </w:tc>
      </w:tr>
      <w:tr w:rsidR="0002748D" w:rsidRPr="00A33F6B" w14:paraId="23267FBF" w14:textId="77777777" w:rsidTr="00B903FF">
        <w:trPr>
          <w:trHeight w:val="20"/>
        </w:trPr>
        <w:tc>
          <w:tcPr>
            <w:tcW w:w="990" w:type="dxa"/>
            <w:vAlign w:val="center"/>
          </w:tcPr>
          <w:p w14:paraId="0E57F253" w14:textId="77777777" w:rsidR="0002748D" w:rsidRPr="00641AB0" w:rsidRDefault="0002748D" w:rsidP="0002748D">
            <w:pPr>
              <w:tabs>
                <w:tab w:val="right" w:pos="7434"/>
              </w:tabs>
              <w:spacing w:before="100" w:after="100"/>
              <w:jc w:val="center"/>
              <w:rPr>
                <w:rFonts w:ascii="Arial" w:hAnsi="Arial" w:cs="Arial"/>
                <w:b/>
                <w:sz w:val="22"/>
                <w:szCs w:val="22"/>
                <w:lang w:val="es-ES"/>
              </w:rPr>
            </w:pPr>
            <w:r w:rsidRPr="00641AB0">
              <w:rPr>
                <w:rFonts w:ascii="Arial" w:hAnsi="Arial" w:cs="Arial"/>
                <w:b/>
                <w:sz w:val="22"/>
                <w:szCs w:val="22"/>
                <w:lang w:val="es-ES"/>
              </w:rPr>
              <w:t>15.3</w:t>
            </w:r>
          </w:p>
        </w:tc>
        <w:tc>
          <w:tcPr>
            <w:tcW w:w="8649" w:type="dxa"/>
          </w:tcPr>
          <w:p w14:paraId="5EF8150B" w14:textId="77777777" w:rsidR="0002748D" w:rsidRPr="00344818" w:rsidRDefault="0002748D" w:rsidP="0002748D">
            <w:pPr>
              <w:spacing w:before="100" w:after="100"/>
              <w:ind w:right="74"/>
              <w:rPr>
                <w:rFonts w:ascii="Arial" w:hAnsi="Arial" w:cs="Arial"/>
                <w:sz w:val="22"/>
                <w:szCs w:val="22"/>
                <w:lang w:val="es-HN"/>
              </w:rPr>
            </w:pPr>
            <w:r w:rsidRPr="00344818">
              <w:rPr>
                <w:rFonts w:ascii="Arial" w:hAnsi="Arial" w:cs="Arial"/>
                <w:sz w:val="22"/>
                <w:szCs w:val="22"/>
                <w:lang w:val="es-HN"/>
              </w:rPr>
              <w:t>El contratista</w:t>
            </w:r>
            <w:r w:rsidRPr="00344818">
              <w:rPr>
                <w:rFonts w:ascii="Arial" w:hAnsi="Arial" w:cs="Arial"/>
                <w:color w:val="FF0000"/>
                <w:sz w:val="22"/>
                <w:szCs w:val="22"/>
                <w:lang w:val="es-HN"/>
              </w:rPr>
              <w:t xml:space="preserve"> </w:t>
            </w:r>
            <w:r w:rsidRPr="00344818">
              <w:rPr>
                <w:rFonts w:ascii="Arial" w:hAnsi="Arial" w:cs="Arial"/>
                <w:sz w:val="22"/>
                <w:szCs w:val="22"/>
                <w:lang w:val="es-HN"/>
              </w:rPr>
              <w:t xml:space="preserve">estará sujeto a impuestos nacionales sobre los gastos y montos pagaderos bajo el contrato, por lo cual deberá incluir los mismos en la oferta económica. </w:t>
            </w:r>
          </w:p>
          <w:p w14:paraId="6E4C3E5B" w14:textId="77777777" w:rsidR="0002748D" w:rsidRPr="00344818" w:rsidRDefault="0002748D" w:rsidP="0002748D">
            <w:pPr>
              <w:spacing w:before="100" w:after="100"/>
              <w:ind w:right="74"/>
              <w:rPr>
                <w:rFonts w:ascii="Arial" w:hAnsi="Arial" w:cs="Arial"/>
                <w:sz w:val="22"/>
                <w:szCs w:val="22"/>
                <w:lang w:val="es-HN"/>
              </w:rPr>
            </w:pPr>
            <w:r w:rsidRPr="00344818">
              <w:rPr>
                <w:rFonts w:ascii="Arial" w:hAnsi="Arial" w:cs="Arial"/>
                <w:sz w:val="22"/>
                <w:szCs w:val="22"/>
                <w:lang w:val="es-HN"/>
              </w:rPr>
              <w:t xml:space="preserve">*El Impuesto al Valor Agregado (IVA 15%) será exonerado de acuerdo a lo dispuesto en los artículos 145 y 146 de la Ley No. 562 Código Tributario de la República de Nicaragua, y sus Reformas Incorporadas en la Ley No. 598 “Ley de Reforma a la Ley 562 Código Tributario” de la República de Nicaragua. </w:t>
            </w:r>
          </w:p>
          <w:p w14:paraId="7E011075" w14:textId="77777777" w:rsidR="0002748D" w:rsidRPr="00344818" w:rsidRDefault="0002748D" w:rsidP="0002748D">
            <w:pPr>
              <w:spacing w:before="100" w:after="100"/>
              <w:ind w:right="74"/>
              <w:rPr>
                <w:rFonts w:ascii="Arial" w:hAnsi="Arial" w:cs="Arial"/>
                <w:sz w:val="22"/>
                <w:szCs w:val="22"/>
                <w:lang w:val="es-HN"/>
              </w:rPr>
            </w:pPr>
            <w:r w:rsidRPr="00344818">
              <w:rPr>
                <w:rFonts w:ascii="Arial" w:hAnsi="Arial" w:cs="Arial"/>
                <w:sz w:val="22"/>
                <w:szCs w:val="22"/>
                <w:lang w:val="es-HN"/>
              </w:rPr>
              <w:t>El Contratante extenderá un Certificado de Crédito Tributario (CCT)-franquicia, para exonera el IVA por cada factura y/o avalúo de avance de obras.</w:t>
            </w:r>
          </w:p>
          <w:p w14:paraId="09E14BD2" w14:textId="77777777" w:rsidR="0002748D" w:rsidRPr="00641AB0" w:rsidRDefault="0002748D" w:rsidP="0002748D">
            <w:pPr>
              <w:tabs>
                <w:tab w:val="right" w:pos="7254"/>
              </w:tabs>
              <w:spacing w:before="100" w:after="100"/>
              <w:jc w:val="left"/>
              <w:rPr>
                <w:rFonts w:ascii="Arial" w:hAnsi="Arial" w:cs="Arial"/>
                <w:i/>
                <w:color w:val="FF0000"/>
                <w:sz w:val="22"/>
                <w:szCs w:val="22"/>
                <w:lang w:val="es-ES"/>
              </w:rPr>
            </w:pPr>
            <w:r w:rsidRPr="00344818">
              <w:rPr>
                <w:rFonts w:ascii="Arial" w:hAnsi="Arial" w:cs="Arial"/>
                <w:sz w:val="22"/>
                <w:szCs w:val="22"/>
                <w:lang w:val="es-HN"/>
              </w:rPr>
              <w:t>El contratista estará sujeto a pagos por conceptos de prestaciones o seguridad social bajo el contrato, por lo cual deberá incluir los mismos en la oferta económica.</w:t>
            </w:r>
          </w:p>
        </w:tc>
      </w:tr>
      <w:tr w:rsidR="0002748D" w:rsidRPr="00A33F6B" w14:paraId="545A2A34" w14:textId="77777777" w:rsidTr="00B903FF">
        <w:trPr>
          <w:trHeight w:val="20"/>
        </w:trPr>
        <w:tc>
          <w:tcPr>
            <w:tcW w:w="990" w:type="dxa"/>
            <w:vAlign w:val="center"/>
          </w:tcPr>
          <w:p w14:paraId="16FF8EAB" w14:textId="77777777" w:rsidR="0002748D" w:rsidRPr="00641AB0" w:rsidRDefault="0002748D" w:rsidP="0002748D">
            <w:pPr>
              <w:tabs>
                <w:tab w:val="right" w:pos="7434"/>
              </w:tabs>
              <w:spacing w:before="240" w:after="240"/>
              <w:jc w:val="center"/>
              <w:rPr>
                <w:rFonts w:ascii="Arial" w:hAnsi="Arial" w:cs="Arial"/>
                <w:b/>
                <w:sz w:val="22"/>
                <w:szCs w:val="22"/>
                <w:lang w:val="es-ES"/>
              </w:rPr>
            </w:pPr>
            <w:r w:rsidRPr="00641AB0">
              <w:rPr>
                <w:rFonts w:ascii="Arial" w:hAnsi="Arial" w:cs="Arial"/>
                <w:b/>
                <w:sz w:val="22"/>
                <w:szCs w:val="22"/>
                <w:lang w:val="es-ES"/>
              </w:rPr>
              <w:t>16.1</w:t>
            </w:r>
          </w:p>
        </w:tc>
        <w:tc>
          <w:tcPr>
            <w:tcW w:w="8649" w:type="dxa"/>
            <w:shd w:val="clear" w:color="auto" w:fill="auto"/>
          </w:tcPr>
          <w:p w14:paraId="6510E626" w14:textId="77777777" w:rsidR="0002748D" w:rsidRPr="00210A35" w:rsidRDefault="0002748D" w:rsidP="0002748D">
            <w:pPr>
              <w:tabs>
                <w:tab w:val="right" w:pos="7254"/>
              </w:tabs>
              <w:spacing w:before="100" w:after="100"/>
              <w:jc w:val="left"/>
              <w:rPr>
                <w:rFonts w:ascii="Arial" w:hAnsi="Arial" w:cs="Arial"/>
                <w:sz w:val="22"/>
                <w:szCs w:val="22"/>
                <w:lang w:val="es-ES"/>
              </w:rPr>
            </w:pPr>
            <w:r w:rsidRPr="00210A35">
              <w:rPr>
                <w:rFonts w:ascii="Arial" w:hAnsi="Arial" w:cs="Arial"/>
                <w:sz w:val="22"/>
                <w:szCs w:val="22"/>
                <w:lang w:val="es-ES"/>
              </w:rPr>
              <w:t>Los precios cotizados por el oferent</w:t>
            </w:r>
            <w:r w:rsidR="0060514A" w:rsidRPr="00210A35">
              <w:rPr>
                <w:rFonts w:ascii="Arial" w:hAnsi="Arial" w:cs="Arial"/>
                <w:sz w:val="22"/>
                <w:szCs w:val="22"/>
                <w:lang w:val="es-ES"/>
              </w:rPr>
              <w:t xml:space="preserve">e no estarán sujetos a ajuste. </w:t>
            </w:r>
          </w:p>
        </w:tc>
      </w:tr>
      <w:tr w:rsidR="0002748D" w:rsidRPr="00A33F6B" w14:paraId="25DD3916" w14:textId="77777777" w:rsidTr="00B903FF">
        <w:trPr>
          <w:trHeight w:val="20"/>
        </w:trPr>
        <w:tc>
          <w:tcPr>
            <w:tcW w:w="990" w:type="dxa"/>
            <w:vAlign w:val="center"/>
          </w:tcPr>
          <w:p w14:paraId="2211E409" w14:textId="77777777" w:rsidR="0002748D" w:rsidRPr="00641AB0" w:rsidRDefault="0002748D" w:rsidP="0002748D">
            <w:pPr>
              <w:tabs>
                <w:tab w:val="right" w:pos="7434"/>
              </w:tabs>
              <w:spacing w:before="240" w:after="240"/>
              <w:jc w:val="center"/>
              <w:rPr>
                <w:rFonts w:ascii="Arial" w:hAnsi="Arial" w:cs="Arial"/>
                <w:b/>
                <w:sz w:val="22"/>
                <w:szCs w:val="22"/>
                <w:lang w:val="es-ES"/>
              </w:rPr>
            </w:pPr>
            <w:r w:rsidRPr="00641AB0">
              <w:rPr>
                <w:rFonts w:ascii="Arial" w:hAnsi="Arial" w:cs="Arial"/>
                <w:b/>
                <w:sz w:val="22"/>
                <w:szCs w:val="22"/>
                <w:lang w:val="es-ES"/>
              </w:rPr>
              <w:t>16.2</w:t>
            </w:r>
          </w:p>
        </w:tc>
        <w:tc>
          <w:tcPr>
            <w:tcW w:w="8649" w:type="dxa"/>
          </w:tcPr>
          <w:p w14:paraId="2365EA43" w14:textId="77777777" w:rsidR="0002748D" w:rsidRPr="00210A35" w:rsidRDefault="0002748D" w:rsidP="0002748D">
            <w:pPr>
              <w:tabs>
                <w:tab w:val="right" w:pos="7254"/>
              </w:tabs>
              <w:spacing w:before="100" w:after="100"/>
              <w:rPr>
                <w:rFonts w:ascii="Arial" w:hAnsi="Arial" w:cs="Arial"/>
                <w:i/>
                <w:color w:val="FF0000"/>
                <w:sz w:val="22"/>
                <w:szCs w:val="22"/>
                <w:lang w:val="es-ES"/>
              </w:rPr>
            </w:pPr>
            <w:r w:rsidRPr="00210A35">
              <w:rPr>
                <w:rFonts w:ascii="Arial" w:hAnsi="Arial" w:cs="Arial"/>
                <w:sz w:val="22"/>
                <w:szCs w:val="22"/>
                <w:lang w:val="es-ES"/>
              </w:rPr>
              <w:t xml:space="preserve">Las ofertas </w:t>
            </w:r>
            <w:r w:rsidR="0060514A" w:rsidRPr="00210A35">
              <w:rPr>
                <w:rFonts w:ascii="Arial" w:hAnsi="Arial" w:cs="Arial"/>
                <w:sz w:val="22"/>
                <w:szCs w:val="22"/>
                <w:lang w:val="es-ES"/>
              </w:rPr>
              <w:t>podrán presentarse por lote de la siguiente manera:</w:t>
            </w:r>
          </w:p>
          <w:tbl>
            <w:tblPr>
              <w:tblW w:w="5000" w:type="pct"/>
              <w:tblLayout w:type="fixed"/>
              <w:tblLook w:val="04A0" w:firstRow="1" w:lastRow="0" w:firstColumn="1" w:lastColumn="0" w:noHBand="0" w:noVBand="1"/>
            </w:tblPr>
            <w:tblGrid>
              <w:gridCol w:w="955"/>
              <w:gridCol w:w="5562"/>
              <w:gridCol w:w="253"/>
              <w:gridCol w:w="1663"/>
            </w:tblGrid>
            <w:tr w:rsidR="00F86761" w:rsidRPr="00210A35" w14:paraId="2D187B92" w14:textId="77777777" w:rsidTr="002F4A04">
              <w:trPr>
                <w:tblHeader/>
              </w:trPr>
              <w:tc>
                <w:tcPr>
                  <w:tcW w:w="566" w:type="pct"/>
                  <w:shd w:val="clear" w:color="auto" w:fill="D9E2F3" w:themeFill="accent1" w:themeFillTint="33"/>
                </w:tcPr>
                <w:p w14:paraId="17D8E0A3" w14:textId="77777777" w:rsidR="00F86761" w:rsidRPr="00210A35" w:rsidRDefault="00F86761" w:rsidP="00F86761">
                  <w:pPr>
                    <w:tabs>
                      <w:tab w:val="right" w:pos="7272"/>
                    </w:tabs>
                    <w:spacing w:before="60" w:after="60"/>
                    <w:jc w:val="center"/>
                    <w:rPr>
                      <w:rFonts w:ascii="Arial" w:hAnsi="Arial" w:cs="Arial"/>
                      <w:sz w:val="22"/>
                      <w:szCs w:val="22"/>
                      <w:lang w:val="es-ES"/>
                    </w:rPr>
                  </w:pPr>
                  <w:r w:rsidRPr="00210A35">
                    <w:rPr>
                      <w:rFonts w:ascii="Arial" w:hAnsi="Arial" w:cs="Arial"/>
                      <w:sz w:val="22"/>
                      <w:szCs w:val="22"/>
                      <w:lang w:val="es-ES"/>
                    </w:rPr>
                    <w:t>Lote N°</w:t>
                  </w:r>
                </w:p>
              </w:tc>
              <w:tc>
                <w:tcPr>
                  <w:tcW w:w="3298" w:type="pct"/>
                  <w:shd w:val="clear" w:color="auto" w:fill="D9E2F3" w:themeFill="accent1" w:themeFillTint="33"/>
                </w:tcPr>
                <w:p w14:paraId="762E8DF3" w14:textId="77777777" w:rsidR="00F86761" w:rsidRPr="00210A35" w:rsidRDefault="00F86761" w:rsidP="00F86761">
                  <w:pPr>
                    <w:tabs>
                      <w:tab w:val="right" w:pos="7272"/>
                    </w:tabs>
                    <w:spacing w:before="60" w:after="60"/>
                    <w:jc w:val="center"/>
                    <w:rPr>
                      <w:rFonts w:ascii="Arial" w:hAnsi="Arial" w:cs="Arial"/>
                      <w:sz w:val="22"/>
                      <w:szCs w:val="22"/>
                      <w:lang w:val="es-ES"/>
                    </w:rPr>
                  </w:pPr>
                  <w:r w:rsidRPr="00210A35">
                    <w:rPr>
                      <w:rFonts w:ascii="Arial" w:hAnsi="Arial" w:cs="Arial"/>
                      <w:sz w:val="22"/>
                      <w:szCs w:val="22"/>
                      <w:lang w:val="es-ES"/>
                    </w:rPr>
                    <w:t>Nombre del Proyecto</w:t>
                  </w:r>
                </w:p>
              </w:tc>
              <w:tc>
                <w:tcPr>
                  <w:tcW w:w="1136" w:type="pct"/>
                  <w:gridSpan w:val="2"/>
                  <w:shd w:val="clear" w:color="auto" w:fill="D9E2F3" w:themeFill="accent1" w:themeFillTint="33"/>
                </w:tcPr>
                <w:p w14:paraId="7308A114" w14:textId="77777777" w:rsidR="00F86761" w:rsidRPr="00210A35" w:rsidRDefault="00F86761" w:rsidP="00F86761">
                  <w:pPr>
                    <w:tabs>
                      <w:tab w:val="right" w:pos="7272"/>
                    </w:tabs>
                    <w:spacing w:before="60" w:after="60"/>
                    <w:jc w:val="center"/>
                    <w:rPr>
                      <w:rFonts w:ascii="Arial" w:hAnsi="Arial" w:cs="Arial"/>
                      <w:sz w:val="22"/>
                      <w:szCs w:val="22"/>
                      <w:lang w:val="es-ES"/>
                    </w:rPr>
                  </w:pPr>
                </w:p>
              </w:tc>
            </w:tr>
            <w:tr w:rsidR="00F86761" w:rsidRPr="00210A35" w14:paraId="0A286C72" w14:textId="77777777" w:rsidTr="002F4A04">
              <w:tc>
                <w:tcPr>
                  <w:tcW w:w="566" w:type="pct"/>
                </w:tcPr>
                <w:p w14:paraId="1F495AE5" w14:textId="77777777" w:rsidR="00F86761" w:rsidRPr="00210A35" w:rsidRDefault="00F86761" w:rsidP="00F86761">
                  <w:pPr>
                    <w:tabs>
                      <w:tab w:val="right" w:pos="7272"/>
                    </w:tabs>
                    <w:spacing w:before="20" w:after="20"/>
                    <w:jc w:val="center"/>
                    <w:rPr>
                      <w:rFonts w:ascii="Arial" w:hAnsi="Arial" w:cs="Arial"/>
                      <w:sz w:val="22"/>
                      <w:szCs w:val="22"/>
                      <w:lang w:val="es-ES"/>
                    </w:rPr>
                  </w:pPr>
                  <w:r w:rsidRPr="00210A35">
                    <w:rPr>
                      <w:rFonts w:ascii="Arial" w:hAnsi="Arial" w:cs="Arial"/>
                      <w:sz w:val="22"/>
                      <w:szCs w:val="22"/>
                      <w:lang w:val="es-ES"/>
                    </w:rPr>
                    <w:t>1</w:t>
                  </w:r>
                </w:p>
              </w:tc>
              <w:tc>
                <w:tcPr>
                  <w:tcW w:w="3298" w:type="pct"/>
                  <w:vAlign w:val="center"/>
                </w:tcPr>
                <w:p w14:paraId="5C30C846" w14:textId="77777777" w:rsidR="00F86761" w:rsidRPr="00210A35" w:rsidRDefault="00F86761" w:rsidP="00F86761">
                  <w:pPr>
                    <w:tabs>
                      <w:tab w:val="right" w:pos="7272"/>
                    </w:tabs>
                    <w:spacing w:before="20" w:after="20"/>
                    <w:jc w:val="left"/>
                    <w:rPr>
                      <w:rFonts w:ascii="Arial" w:hAnsi="Arial" w:cs="Arial"/>
                      <w:sz w:val="22"/>
                      <w:szCs w:val="22"/>
                      <w:lang w:val="es-NI"/>
                    </w:rPr>
                  </w:pPr>
                  <w:r w:rsidRPr="00210A35">
                    <w:rPr>
                      <w:rFonts w:ascii="Arial" w:hAnsi="Arial" w:cs="Arial"/>
                      <w:sz w:val="22"/>
                      <w:szCs w:val="22"/>
                      <w:lang w:val="es-ES"/>
                    </w:rPr>
                    <w:t>19886 Agua y Saneamiento Comunidad La Concepcion</w:t>
                  </w:r>
                </w:p>
              </w:tc>
              <w:tc>
                <w:tcPr>
                  <w:tcW w:w="1136" w:type="pct"/>
                  <w:gridSpan w:val="2"/>
                </w:tcPr>
                <w:p w14:paraId="56801166" w14:textId="77777777" w:rsidR="00F86761" w:rsidRPr="00210A35" w:rsidRDefault="00F86761" w:rsidP="00F86761">
                  <w:pPr>
                    <w:tabs>
                      <w:tab w:val="right" w:pos="7272"/>
                    </w:tabs>
                    <w:spacing w:before="20" w:after="20"/>
                    <w:jc w:val="center"/>
                    <w:rPr>
                      <w:rFonts w:ascii="Arial" w:hAnsi="Arial" w:cs="Arial"/>
                      <w:sz w:val="22"/>
                      <w:szCs w:val="22"/>
                      <w:lang w:val="es-ES"/>
                    </w:rPr>
                  </w:pPr>
                </w:p>
              </w:tc>
            </w:tr>
            <w:tr w:rsidR="00F86761" w:rsidRPr="00210A35" w14:paraId="67E3333D" w14:textId="77777777" w:rsidTr="002F4A04">
              <w:tc>
                <w:tcPr>
                  <w:tcW w:w="566" w:type="pct"/>
                </w:tcPr>
                <w:p w14:paraId="4BD50497" w14:textId="77777777" w:rsidR="00F86761" w:rsidRPr="00210A35" w:rsidRDefault="00F86761" w:rsidP="00F86761">
                  <w:pPr>
                    <w:tabs>
                      <w:tab w:val="left" w:pos="340"/>
                      <w:tab w:val="center" w:pos="399"/>
                      <w:tab w:val="right" w:pos="7272"/>
                    </w:tabs>
                    <w:spacing w:before="20" w:after="20"/>
                    <w:jc w:val="left"/>
                    <w:rPr>
                      <w:rFonts w:ascii="Arial" w:hAnsi="Arial" w:cs="Arial"/>
                      <w:sz w:val="22"/>
                      <w:szCs w:val="22"/>
                      <w:lang w:val="es-ES"/>
                    </w:rPr>
                  </w:pPr>
                  <w:r w:rsidRPr="00210A35">
                    <w:rPr>
                      <w:rFonts w:ascii="Arial" w:hAnsi="Arial" w:cs="Arial"/>
                      <w:sz w:val="22"/>
                      <w:szCs w:val="22"/>
                      <w:lang w:val="es-ES"/>
                    </w:rPr>
                    <w:lastRenderedPageBreak/>
                    <w:tab/>
                    <w:t>2</w:t>
                  </w:r>
                </w:p>
              </w:tc>
              <w:tc>
                <w:tcPr>
                  <w:tcW w:w="3298" w:type="pct"/>
                  <w:vAlign w:val="center"/>
                </w:tcPr>
                <w:p w14:paraId="461DF104" w14:textId="77777777" w:rsidR="00F86761" w:rsidRPr="00210A35" w:rsidRDefault="00F86761" w:rsidP="00F86761">
                  <w:pPr>
                    <w:tabs>
                      <w:tab w:val="right" w:pos="7272"/>
                    </w:tabs>
                    <w:spacing w:before="20" w:after="20"/>
                    <w:jc w:val="left"/>
                    <w:rPr>
                      <w:rFonts w:ascii="Arial" w:hAnsi="Arial" w:cs="Arial"/>
                      <w:sz w:val="22"/>
                      <w:szCs w:val="22"/>
                      <w:lang w:val="es-ES"/>
                    </w:rPr>
                  </w:pPr>
                  <w:r w:rsidRPr="00210A35">
                    <w:rPr>
                      <w:rFonts w:ascii="Arial" w:hAnsi="Arial" w:cs="Arial"/>
                      <w:sz w:val="22"/>
                      <w:szCs w:val="22"/>
                      <w:lang w:val="es-ES"/>
                    </w:rPr>
                    <w:t xml:space="preserve">19962 Agua y Saneamiento Comunidad Naranjo Norte </w:t>
                  </w:r>
                </w:p>
              </w:tc>
              <w:tc>
                <w:tcPr>
                  <w:tcW w:w="1136" w:type="pct"/>
                  <w:gridSpan w:val="2"/>
                </w:tcPr>
                <w:p w14:paraId="05B41055" w14:textId="77777777" w:rsidR="00F86761" w:rsidRPr="00210A35" w:rsidRDefault="00F86761" w:rsidP="00F86761">
                  <w:pPr>
                    <w:tabs>
                      <w:tab w:val="right" w:pos="7272"/>
                    </w:tabs>
                    <w:spacing w:before="20" w:after="20"/>
                    <w:jc w:val="center"/>
                    <w:rPr>
                      <w:rFonts w:ascii="Arial" w:hAnsi="Arial" w:cs="Arial"/>
                      <w:sz w:val="22"/>
                      <w:szCs w:val="22"/>
                      <w:lang w:val="es-ES"/>
                    </w:rPr>
                  </w:pPr>
                </w:p>
              </w:tc>
            </w:tr>
            <w:tr w:rsidR="00F86761" w:rsidRPr="00210A35" w14:paraId="18AD3C6B" w14:textId="77777777" w:rsidTr="002F4A04">
              <w:tc>
                <w:tcPr>
                  <w:tcW w:w="566" w:type="pct"/>
                  <w:vAlign w:val="center"/>
                </w:tcPr>
                <w:p w14:paraId="1231AB5E" w14:textId="77777777" w:rsidR="00F86761" w:rsidRPr="00210A35" w:rsidRDefault="00F86761" w:rsidP="00F86761">
                  <w:pPr>
                    <w:tabs>
                      <w:tab w:val="left" w:pos="427"/>
                    </w:tabs>
                    <w:spacing w:before="20" w:after="20"/>
                    <w:jc w:val="center"/>
                    <w:rPr>
                      <w:rFonts w:ascii="Arial" w:hAnsi="Arial" w:cs="Arial"/>
                      <w:sz w:val="22"/>
                      <w:szCs w:val="22"/>
                      <w:lang w:val="es-ES"/>
                    </w:rPr>
                  </w:pPr>
                  <w:r w:rsidRPr="00210A35">
                    <w:rPr>
                      <w:rFonts w:ascii="Arial" w:hAnsi="Arial" w:cs="Arial"/>
                      <w:sz w:val="22"/>
                      <w:szCs w:val="22"/>
                      <w:lang w:val="es-ES"/>
                    </w:rPr>
                    <w:t>3</w:t>
                  </w:r>
                </w:p>
              </w:tc>
              <w:tc>
                <w:tcPr>
                  <w:tcW w:w="3448" w:type="pct"/>
                  <w:gridSpan w:val="2"/>
                  <w:vAlign w:val="center"/>
                </w:tcPr>
                <w:p w14:paraId="1687E076" w14:textId="77777777" w:rsidR="00F86761" w:rsidRPr="00210A35" w:rsidRDefault="00F86761" w:rsidP="00F86761">
                  <w:pPr>
                    <w:tabs>
                      <w:tab w:val="right" w:pos="7272"/>
                    </w:tabs>
                    <w:spacing w:before="20" w:after="20"/>
                    <w:jc w:val="left"/>
                    <w:rPr>
                      <w:rFonts w:ascii="Arial" w:hAnsi="Arial" w:cs="Arial"/>
                      <w:sz w:val="22"/>
                      <w:szCs w:val="22"/>
                      <w:lang w:val="es-ES"/>
                    </w:rPr>
                  </w:pPr>
                  <w:r w:rsidRPr="00210A35">
                    <w:rPr>
                      <w:rFonts w:ascii="Arial" w:hAnsi="Arial" w:cs="Arial"/>
                      <w:sz w:val="22"/>
                      <w:szCs w:val="22"/>
                      <w:lang w:val="es-ES"/>
                    </w:rPr>
                    <w:t xml:space="preserve">19842 Agua y Saneamiento Comunidad Zacateras </w:t>
                  </w:r>
                </w:p>
              </w:tc>
              <w:tc>
                <w:tcPr>
                  <w:tcW w:w="986" w:type="pct"/>
                </w:tcPr>
                <w:p w14:paraId="75BAC1E4" w14:textId="77777777" w:rsidR="00F86761" w:rsidRPr="00210A35" w:rsidRDefault="00F86761" w:rsidP="00F86761">
                  <w:pPr>
                    <w:tabs>
                      <w:tab w:val="left" w:pos="831"/>
                      <w:tab w:val="right" w:pos="7272"/>
                    </w:tabs>
                    <w:spacing w:before="20" w:after="20"/>
                    <w:rPr>
                      <w:rFonts w:ascii="Arial" w:hAnsi="Arial" w:cs="Arial"/>
                      <w:sz w:val="22"/>
                      <w:szCs w:val="22"/>
                      <w:lang w:val="es-ES"/>
                    </w:rPr>
                  </w:pPr>
                </w:p>
              </w:tc>
            </w:tr>
            <w:tr w:rsidR="00F86761" w:rsidRPr="00210A35" w14:paraId="3F64EF09" w14:textId="77777777" w:rsidTr="002F4A04">
              <w:tc>
                <w:tcPr>
                  <w:tcW w:w="566" w:type="pct"/>
                  <w:vAlign w:val="center"/>
                </w:tcPr>
                <w:p w14:paraId="48F3A0A0" w14:textId="77777777" w:rsidR="00F86761" w:rsidRPr="00210A35" w:rsidRDefault="00F86761" w:rsidP="00F86761">
                  <w:pPr>
                    <w:tabs>
                      <w:tab w:val="left" w:pos="427"/>
                    </w:tabs>
                    <w:spacing w:before="20" w:after="20"/>
                    <w:jc w:val="center"/>
                    <w:rPr>
                      <w:rFonts w:ascii="Arial" w:hAnsi="Arial" w:cs="Arial"/>
                      <w:sz w:val="22"/>
                      <w:szCs w:val="22"/>
                      <w:lang w:val="es-ES"/>
                    </w:rPr>
                  </w:pPr>
                  <w:r w:rsidRPr="00210A35">
                    <w:rPr>
                      <w:rFonts w:ascii="Arial" w:hAnsi="Arial" w:cs="Arial"/>
                      <w:sz w:val="22"/>
                      <w:szCs w:val="22"/>
                      <w:lang w:val="es-ES"/>
                    </w:rPr>
                    <w:t>4</w:t>
                  </w:r>
                </w:p>
              </w:tc>
              <w:tc>
                <w:tcPr>
                  <w:tcW w:w="3448" w:type="pct"/>
                  <w:gridSpan w:val="2"/>
                  <w:vAlign w:val="center"/>
                </w:tcPr>
                <w:p w14:paraId="4565E61A" w14:textId="77777777" w:rsidR="00F86761" w:rsidRPr="00210A35" w:rsidRDefault="00F86761" w:rsidP="00F86761">
                  <w:pPr>
                    <w:tabs>
                      <w:tab w:val="right" w:pos="7272"/>
                    </w:tabs>
                    <w:spacing w:before="20" w:after="20"/>
                    <w:jc w:val="left"/>
                    <w:rPr>
                      <w:rFonts w:ascii="Arial" w:hAnsi="Arial" w:cs="Arial"/>
                      <w:sz w:val="22"/>
                      <w:szCs w:val="22"/>
                      <w:lang w:val="es-ES"/>
                    </w:rPr>
                  </w:pPr>
                  <w:r w:rsidRPr="00210A35">
                    <w:rPr>
                      <w:rFonts w:ascii="Arial" w:hAnsi="Arial" w:cs="Arial"/>
                      <w:sz w:val="22"/>
                      <w:szCs w:val="22"/>
                      <w:lang w:val="es-ES"/>
                    </w:rPr>
                    <w:t>19892 Agua y Saneamiento Comunidad Bálsamo Abajo</w:t>
                  </w:r>
                </w:p>
              </w:tc>
              <w:tc>
                <w:tcPr>
                  <w:tcW w:w="986" w:type="pct"/>
                </w:tcPr>
                <w:p w14:paraId="71395453" w14:textId="77777777" w:rsidR="00F86761" w:rsidRPr="00210A35" w:rsidRDefault="00F86761" w:rsidP="00F86761">
                  <w:pPr>
                    <w:tabs>
                      <w:tab w:val="left" w:pos="831"/>
                      <w:tab w:val="right" w:pos="7272"/>
                    </w:tabs>
                    <w:spacing w:before="20" w:after="20"/>
                    <w:rPr>
                      <w:rFonts w:ascii="Arial" w:hAnsi="Arial" w:cs="Arial"/>
                      <w:sz w:val="22"/>
                      <w:szCs w:val="22"/>
                      <w:lang w:val="es-ES"/>
                    </w:rPr>
                  </w:pPr>
                </w:p>
              </w:tc>
            </w:tr>
          </w:tbl>
          <w:p w14:paraId="1E3301EA" w14:textId="77777777" w:rsidR="0002748D" w:rsidRPr="00210A35" w:rsidRDefault="00F86761" w:rsidP="0002748D">
            <w:pPr>
              <w:tabs>
                <w:tab w:val="right" w:pos="7254"/>
              </w:tabs>
              <w:spacing w:before="100" w:after="100"/>
              <w:rPr>
                <w:rFonts w:ascii="Arial" w:hAnsi="Arial" w:cs="Arial"/>
                <w:i/>
                <w:sz w:val="22"/>
                <w:szCs w:val="22"/>
                <w:lang w:val="es-ES"/>
              </w:rPr>
            </w:pPr>
            <w:r w:rsidRPr="00210A35">
              <w:rPr>
                <w:rFonts w:ascii="Arial" w:hAnsi="Arial" w:cs="Arial"/>
                <w:i/>
                <w:sz w:val="22"/>
                <w:szCs w:val="22"/>
                <w:lang w:val="es-ES"/>
              </w:rPr>
              <w:t>En el formulario CC-1 se debe Indicar el número y detalle de los Lotes en los cuales muestre su intención de participar.</w:t>
            </w:r>
          </w:p>
        </w:tc>
      </w:tr>
      <w:tr w:rsidR="0002748D" w:rsidRPr="00A33F6B" w14:paraId="37BE8A2B" w14:textId="77777777" w:rsidTr="00B903FF">
        <w:trPr>
          <w:trHeight w:val="20"/>
        </w:trPr>
        <w:tc>
          <w:tcPr>
            <w:tcW w:w="990" w:type="dxa"/>
            <w:vAlign w:val="center"/>
          </w:tcPr>
          <w:p w14:paraId="32E3DAFB" w14:textId="77777777" w:rsidR="0002748D" w:rsidRPr="00641AB0" w:rsidRDefault="0002748D" w:rsidP="0002748D">
            <w:pPr>
              <w:tabs>
                <w:tab w:val="right" w:pos="7434"/>
              </w:tabs>
              <w:spacing w:before="240" w:after="60"/>
              <w:jc w:val="center"/>
              <w:rPr>
                <w:rFonts w:ascii="Arial" w:hAnsi="Arial" w:cs="Arial"/>
                <w:b/>
                <w:sz w:val="22"/>
                <w:szCs w:val="22"/>
                <w:lang w:val="es-ES"/>
              </w:rPr>
            </w:pPr>
            <w:r w:rsidRPr="00641AB0">
              <w:rPr>
                <w:rFonts w:ascii="Arial" w:hAnsi="Arial" w:cs="Arial"/>
                <w:b/>
                <w:sz w:val="22"/>
                <w:szCs w:val="22"/>
                <w:lang w:val="es-ES"/>
              </w:rPr>
              <w:lastRenderedPageBreak/>
              <w:t>17.1</w:t>
            </w:r>
          </w:p>
        </w:tc>
        <w:tc>
          <w:tcPr>
            <w:tcW w:w="8649" w:type="dxa"/>
          </w:tcPr>
          <w:p w14:paraId="6A54AECA" w14:textId="77777777" w:rsidR="00F86761" w:rsidRPr="00210A35" w:rsidRDefault="0002748D" w:rsidP="00F86761">
            <w:pPr>
              <w:pStyle w:val="Prrafodelista"/>
              <w:numPr>
                <w:ilvl w:val="0"/>
                <w:numId w:val="24"/>
              </w:numPr>
              <w:tabs>
                <w:tab w:val="right" w:pos="7254"/>
              </w:tabs>
              <w:spacing w:before="100" w:after="100"/>
              <w:ind w:left="339" w:hanging="339"/>
              <w:rPr>
                <w:rFonts w:ascii="Arial" w:hAnsi="Arial" w:cs="Arial"/>
                <w:sz w:val="22"/>
                <w:szCs w:val="22"/>
                <w:lang w:val="es-ES"/>
              </w:rPr>
            </w:pPr>
            <w:r w:rsidRPr="00210A35">
              <w:rPr>
                <w:rFonts w:ascii="Arial" w:hAnsi="Arial" w:cs="Arial"/>
                <w:sz w:val="22"/>
                <w:szCs w:val="22"/>
                <w:lang w:val="es-ES"/>
              </w:rPr>
              <w:t xml:space="preserve">El oferente deberá presentar su oferta económica en: dólares y presentar el detalle de la misma de acuerdo con el formulario ECO-1 </w:t>
            </w:r>
          </w:p>
          <w:p w14:paraId="4DC272E5" w14:textId="77777777" w:rsidR="0002748D" w:rsidRPr="00210A35" w:rsidRDefault="0002748D" w:rsidP="00F86761">
            <w:pPr>
              <w:pStyle w:val="Prrafodelista"/>
              <w:numPr>
                <w:ilvl w:val="0"/>
                <w:numId w:val="24"/>
              </w:numPr>
              <w:tabs>
                <w:tab w:val="right" w:pos="7254"/>
              </w:tabs>
              <w:spacing w:before="100" w:after="100"/>
              <w:ind w:left="339" w:hanging="339"/>
              <w:rPr>
                <w:rFonts w:ascii="Arial" w:hAnsi="Arial" w:cs="Arial"/>
                <w:sz w:val="22"/>
                <w:szCs w:val="22"/>
                <w:lang w:val="es-ES"/>
              </w:rPr>
            </w:pPr>
            <w:r w:rsidRPr="00210A35">
              <w:rPr>
                <w:rFonts w:ascii="Arial" w:hAnsi="Arial" w:cs="Arial"/>
                <w:sz w:val="22"/>
                <w:szCs w:val="22"/>
                <w:lang w:val="es-ES"/>
              </w:rPr>
              <w:t xml:space="preserve">La moneda de pago del contrato será: </w:t>
            </w:r>
            <w:r w:rsidRPr="00210A35">
              <w:rPr>
                <w:rFonts w:ascii="Arial" w:hAnsi="Arial" w:cs="Arial"/>
                <w:sz w:val="22"/>
                <w:szCs w:val="22"/>
                <w:lang w:val="es-NI"/>
              </w:rPr>
              <w:t>Se pagará el valor del Contrato, menos el impuesto directo de retenciones sobre la renta (IR), en moneda córdobas equivalentes a dólares de los Estados Unidos de América al tipo de cambio oficial del Banco Central de Nicaragua a la fecha de emisión de cada cheque respectivo.</w:t>
            </w:r>
          </w:p>
        </w:tc>
      </w:tr>
      <w:tr w:rsidR="0002748D" w:rsidRPr="00A33F6B" w14:paraId="28B2F75B" w14:textId="77777777" w:rsidTr="00B903FF">
        <w:trPr>
          <w:trHeight w:val="20"/>
        </w:trPr>
        <w:tc>
          <w:tcPr>
            <w:tcW w:w="990" w:type="dxa"/>
            <w:vAlign w:val="center"/>
          </w:tcPr>
          <w:p w14:paraId="23C75855" w14:textId="77777777" w:rsidR="0002748D" w:rsidRPr="00641AB0" w:rsidRDefault="0002748D" w:rsidP="0002748D">
            <w:pPr>
              <w:tabs>
                <w:tab w:val="right" w:pos="7434"/>
              </w:tabs>
              <w:spacing w:before="240" w:after="60"/>
              <w:jc w:val="center"/>
              <w:rPr>
                <w:rFonts w:ascii="Arial" w:hAnsi="Arial" w:cs="Arial"/>
                <w:b/>
                <w:sz w:val="22"/>
                <w:szCs w:val="22"/>
                <w:lang w:val="es-ES"/>
              </w:rPr>
            </w:pPr>
            <w:r w:rsidRPr="00641AB0">
              <w:rPr>
                <w:rFonts w:ascii="Arial" w:hAnsi="Arial" w:cs="Arial"/>
                <w:b/>
                <w:sz w:val="22"/>
                <w:szCs w:val="22"/>
                <w:lang w:val="es-ES"/>
              </w:rPr>
              <w:t>20.1</w:t>
            </w:r>
          </w:p>
        </w:tc>
        <w:tc>
          <w:tcPr>
            <w:tcW w:w="8649" w:type="dxa"/>
          </w:tcPr>
          <w:p w14:paraId="31947E03" w14:textId="77777777" w:rsidR="0002748D" w:rsidRPr="00210A35" w:rsidRDefault="0002748D" w:rsidP="0002748D">
            <w:pPr>
              <w:tabs>
                <w:tab w:val="right" w:pos="7254"/>
              </w:tabs>
              <w:spacing w:before="100" w:after="100"/>
              <w:jc w:val="left"/>
              <w:rPr>
                <w:rFonts w:ascii="Arial" w:hAnsi="Arial" w:cs="Arial"/>
                <w:sz w:val="22"/>
                <w:szCs w:val="22"/>
                <w:lang w:val="es-ES"/>
              </w:rPr>
            </w:pPr>
            <w:r w:rsidRPr="00210A35">
              <w:rPr>
                <w:rFonts w:ascii="Arial" w:hAnsi="Arial" w:cs="Arial"/>
                <w:color w:val="000000" w:themeColor="text1"/>
                <w:spacing w:val="-4"/>
                <w:sz w:val="22"/>
                <w:szCs w:val="22"/>
                <w:lang w:val="es-ES"/>
              </w:rPr>
              <w:t xml:space="preserve">En este momento el </w:t>
            </w:r>
            <w:r w:rsidRPr="00210A35">
              <w:rPr>
                <w:rFonts w:ascii="Arial" w:hAnsi="Arial" w:cs="Arial"/>
                <w:color w:val="000000" w:themeColor="text1"/>
                <w:sz w:val="22"/>
                <w:szCs w:val="22"/>
                <w:lang w:val="es-ES"/>
              </w:rPr>
              <w:t>Contratante No ha provisto</w:t>
            </w:r>
            <w:r w:rsidRPr="00210A35">
              <w:rPr>
                <w:rFonts w:ascii="Arial" w:hAnsi="Arial" w:cs="Arial"/>
                <w:i/>
                <w:iCs/>
                <w:color w:val="FF0000"/>
                <w:spacing w:val="-4"/>
                <w:sz w:val="22"/>
                <w:szCs w:val="22"/>
                <w:lang w:val="es-ES"/>
              </w:rPr>
              <w:t xml:space="preserve"> </w:t>
            </w:r>
            <w:r w:rsidRPr="00210A35">
              <w:rPr>
                <w:rFonts w:ascii="Arial" w:hAnsi="Arial" w:cs="Arial"/>
                <w:color w:val="000000" w:themeColor="text1"/>
                <w:sz w:val="22"/>
                <w:szCs w:val="22"/>
                <w:lang w:val="es-ES"/>
              </w:rPr>
              <w:t>ejecutar determinadas partes específicas de las Obras mediante subcontratistas seleccionados previamente</w:t>
            </w:r>
            <w:r w:rsidRPr="00210A35">
              <w:rPr>
                <w:rFonts w:ascii="Arial" w:hAnsi="Arial" w:cs="Arial"/>
                <w:color w:val="000000" w:themeColor="text1"/>
                <w:spacing w:val="-4"/>
                <w:sz w:val="22"/>
                <w:szCs w:val="22"/>
                <w:lang w:val="es-ES"/>
              </w:rPr>
              <w:t>.</w:t>
            </w:r>
          </w:p>
        </w:tc>
      </w:tr>
      <w:tr w:rsidR="0002748D" w:rsidRPr="00A33F6B" w14:paraId="04B1CD16" w14:textId="77777777" w:rsidTr="00B903FF">
        <w:trPr>
          <w:trHeight w:val="20"/>
        </w:trPr>
        <w:tc>
          <w:tcPr>
            <w:tcW w:w="990" w:type="dxa"/>
            <w:shd w:val="clear" w:color="auto" w:fill="auto"/>
            <w:vAlign w:val="center"/>
          </w:tcPr>
          <w:p w14:paraId="74C835B9" w14:textId="77777777" w:rsidR="0002748D" w:rsidRPr="00641AB0" w:rsidRDefault="0002748D" w:rsidP="0002748D">
            <w:pPr>
              <w:tabs>
                <w:tab w:val="right" w:pos="7434"/>
              </w:tabs>
              <w:spacing w:before="240" w:after="60"/>
              <w:jc w:val="center"/>
              <w:rPr>
                <w:rFonts w:ascii="Arial" w:hAnsi="Arial" w:cs="Arial"/>
                <w:b/>
                <w:sz w:val="22"/>
                <w:szCs w:val="22"/>
                <w:lang w:val="es-ES"/>
              </w:rPr>
            </w:pPr>
            <w:r w:rsidRPr="00641AB0">
              <w:rPr>
                <w:rFonts w:ascii="Arial" w:hAnsi="Arial" w:cs="Arial"/>
                <w:b/>
                <w:sz w:val="22"/>
                <w:szCs w:val="22"/>
                <w:lang w:val="es-ES"/>
              </w:rPr>
              <w:t>20.2</w:t>
            </w:r>
          </w:p>
        </w:tc>
        <w:tc>
          <w:tcPr>
            <w:tcW w:w="8649" w:type="dxa"/>
            <w:shd w:val="clear" w:color="auto" w:fill="auto"/>
          </w:tcPr>
          <w:p w14:paraId="3FC1E7FA" w14:textId="77777777" w:rsidR="00DD4B1F" w:rsidRPr="00210A35" w:rsidRDefault="00DD4B1F" w:rsidP="00DD4B1F">
            <w:pPr>
              <w:tabs>
                <w:tab w:val="right" w:pos="7254"/>
              </w:tabs>
              <w:spacing w:before="100" w:after="100"/>
              <w:rPr>
                <w:rFonts w:ascii="Arial" w:hAnsi="Arial" w:cs="Arial"/>
                <w:sz w:val="22"/>
                <w:szCs w:val="22"/>
                <w:lang w:val="es-ES"/>
              </w:rPr>
            </w:pPr>
            <w:r w:rsidRPr="00210A35">
              <w:rPr>
                <w:rFonts w:ascii="Arial" w:hAnsi="Arial" w:cs="Arial"/>
                <w:color w:val="000000" w:themeColor="text1"/>
                <w:spacing w:val="-4"/>
                <w:sz w:val="22"/>
                <w:szCs w:val="22"/>
                <w:lang w:val="es-ES"/>
              </w:rPr>
              <w:t>Subcontratación propuesta por el Contratista:</w:t>
            </w:r>
          </w:p>
          <w:p w14:paraId="0CED3FB5" w14:textId="7856A102" w:rsidR="0002748D" w:rsidRPr="00210A35" w:rsidRDefault="00E96C6A" w:rsidP="00DD4B1F">
            <w:pPr>
              <w:tabs>
                <w:tab w:val="right" w:pos="7254"/>
              </w:tabs>
              <w:spacing w:before="100" w:after="100"/>
              <w:rPr>
                <w:rFonts w:ascii="Arial" w:hAnsi="Arial" w:cs="Arial"/>
                <w:sz w:val="22"/>
                <w:szCs w:val="22"/>
                <w:lang w:val="es-ES"/>
              </w:rPr>
            </w:pPr>
            <w:r w:rsidRPr="00210A35">
              <w:rPr>
                <w:rFonts w:ascii="Arial" w:hAnsi="Arial" w:cs="Arial"/>
                <w:sz w:val="22"/>
                <w:szCs w:val="22"/>
                <w:lang w:val="es-ES"/>
              </w:rPr>
              <w:t>El porcentaje máximo de subcontratación es de</w:t>
            </w:r>
            <w:r w:rsidRPr="00210A35">
              <w:rPr>
                <w:rFonts w:ascii="Arial" w:hAnsi="Arial" w:cs="Arial"/>
                <w:color w:val="FF0000"/>
                <w:sz w:val="22"/>
                <w:szCs w:val="22"/>
                <w:lang w:val="es-ES"/>
              </w:rPr>
              <w:t xml:space="preserve"> </w:t>
            </w:r>
            <w:r w:rsidRPr="00210A35">
              <w:rPr>
                <w:rFonts w:ascii="Arial" w:hAnsi="Arial" w:cs="Arial"/>
                <w:sz w:val="22"/>
                <w:szCs w:val="22"/>
                <w:lang w:val="es-ES"/>
              </w:rPr>
              <w:t>20 %</w:t>
            </w:r>
            <w:r w:rsidRPr="00210A35">
              <w:rPr>
                <w:rFonts w:ascii="Arial" w:hAnsi="Arial" w:cs="Arial"/>
                <w:sz w:val="22"/>
                <w:szCs w:val="22"/>
                <w:lang w:val="es-HN"/>
              </w:rPr>
              <w:t xml:space="preserve"> del monto total del contrato o el </w:t>
            </w:r>
            <w:r w:rsidRPr="00210A35">
              <w:rPr>
                <w:rFonts w:ascii="Arial" w:hAnsi="Arial" w:cs="Arial"/>
                <w:i/>
                <w:sz w:val="22"/>
                <w:szCs w:val="22"/>
                <w:lang w:val="es-HN"/>
              </w:rPr>
              <w:t>20 %</w:t>
            </w:r>
            <w:r w:rsidRPr="00210A35">
              <w:rPr>
                <w:rFonts w:ascii="Arial" w:hAnsi="Arial" w:cs="Arial"/>
                <w:sz w:val="22"/>
                <w:szCs w:val="22"/>
                <w:lang w:val="es-HN"/>
              </w:rPr>
              <w:t xml:space="preserve"> del volumen de obras.</w:t>
            </w:r>
          </w:p>
        </w:tc>
      </w:tr>
      <w:tr w:rsidR="0002748D" w:rsidRPr="00A33F6B" w14:paraId="28907099" w14:textId="77777777" w:rsidTr="00B903FF">
        <w:trPr>
          <w:trHeight w:val="376"/>
        </w:trPr>
        <w:tc>
          <w:tcPr>
            <w:tcW w:w="990" w:type="dxa"/>
            <w:vAlign w:val="center"/>
          </w:tcPr>
          <w:p w14:paraId="34157FA9" w14:textId="77777777" w:rsidR="0002748D" w:rsidRPr="00DD4B1F" w:rsidRDefault="0002748D" w:rsidP="0002748D">
            <w:pPr>
              <w:tabs>
                <w:tab w:val="right" w:pos="7434"/>
              </w:tabs>
              <w:spacing w:before="240" w:after="60"/>
              <w:jc w:val="center"/>
              <w:rPr>
                <w:rFonts w:ascii="Arial" w:hAnsi="Arial" w:cs="Arial"/>
                <w:b/>
                <w:color w:val="000000" w:themeColor="text1"/>
                <w:sz w:val="22"/>
                <w:szCs w:val="22"/>
                <w:lang w:val="es-ES"/>
              </w:rPr>
            </w:pPr>
            <w:r w:rsidRPr="00DD4B1F">
              <w:rPr>
                <w:rFonts w:ascii="Arial" w:hAnsi="Arial" w:cs="Arial"/>
                <w:b/>
                <w:color w:val="000000" w:themeColor="text1"/>
                <w:sz w:val="22"/>
                <w:szCs w:val="22"/>
                <w:lang w:val="es-ES"/>
              </w:rPr>
              <w:t>20.3</w:t>
            </w:r>
          </w:p>
        </w:tc>
        <w:tc>
          <w:tcPr>
            <w:tcW w:w="8649" w:type="dxa"/>
          </w:tcPr>
          <w:p w14:paraId="37CF58DA" w14:textId="77777777" w:rsidR="0002748D" w:rsidRPr="00210A35" w:rsidRDefault="0002748D" w:rsidP="00DD4B1F">
            <w:pPr>
              <w:spacing w:before="120" w:after="120"/>
              <w:rPr>
                <w:rFonts w:ascii="Arial" w:hAnsi="Arial" w:cs="Arial"/>
                <w:color w:val="000000" w:themeColor="text1"/>
                <w:sz w:val="22"/>
                <w:szCs w:val="22"/>
                <w:lang w:val="es-ES"/>
              </w:rPr>
            </w:pPr>
            <w:r w:rsidRPr="00210A35">
              <w:rPr>
                <w:rFonts w:ascii="Arial" w:hAnsi="Arial" w:cs="Arial"/>
                <w:color w:val="000000" w:themeColor="text1"/>
                <w:sz w:val="22"/>
                <w:szCs w:val="22"/>
                <w:lang w:val="es-ES"/>
              </w:rPr>
              <w:t>No Aplica</w:t>
            </w:r>
          </w:p>
        </w:tc>
      </w:tr>
      <w:tr w:rsidR="0002748D" w:rsidRPr="00A33F6B" w14:paraId="599DB31E" w14:textId="77777777" w:rsidTr="00B903FF">
        <w:trPr>
          <w:trHeight w:val="20"/>
        </w:trPr>
        <w:tc>
          <w:tcPr>
            <w:tcW w:w="990" w:type="dxa"/>
            <w:vAlign w:val="center"/>
          </w:tcPr>
          <w:p w14:paraId="483C6969" w14:textId="77777777" w:rsidR="0002748D" w:rsidRPr="00641AB0" w:rsidRDefault="0002748D" w:rsidP="0002748D">
            <w:pPr>
              <w:tabs>
                <w:tab w:val="right" w:pos="7434"/>
              </w:tabs>
              <w:spacing w:before="240" w:after="60"/>
              <w:jc w:val="center"/>
              <w:rPr>
                <w:rFonts w:ascii="Arial" w:hAnsi="Arial" w:cs="Arial"/>
                <w:b/>
                <w:sz w:val="22"/>
                <w:szCs w:val="22"/>
                <w:lang w:val="es-ES"/>
              </w:rPr>
            </w:pPr>
            <w:r w:rsidRPr="00641AB0">
              <w:rPr>
                <w:rFonts w:ascii="Arial" w:hAnsi="Arial" w:cs="Arial"/>
                <w:b/>
                <w:sz w:val="22"/>
                <w:szCs w:val="22"/>
                <w:lang w:val="es-ES"/>
              </w:rPr>
              <w:t>21.1</w:t>
            </w:r>
          </w:p>
        </w:tc>
        <w:tc>
          <w:tcPr>
            <w:tcW w:w="8649" w:type="dxa"/>
          </w:tcPr>
          <w:p w14:paraId="50A4B417" w14:textId="77777777" w:rsidR="0002748D" w:rsidRPr="00210A35" w:rsidRDefault="00E239B0" w:rsidP="0086448A">
            <w:pPr>
              <w:tabs>
                <w:tab w:val="right" w:pos="7254"/>
              </w:tabs>
              <w:spacing w:before="100" w:after="100"/>
              <w:rPr>
                <w:rFonts w:ascii="Arial" w:hAnsi="Arial" w:cs="Arial"/>
                <w:color w:val="FF0000"/>
                <w:sz w:val="22"/>
                <w:szCs w:val="22"/>
                <w:lang w:val="es-ES"/>
              </w:rPr>
            </w:pPr>
            <w:r w:rsidRPr="00210A35">
              <w:rPr>
                <w:rFonts w:ascii="Arial" w:hAnsi="Arial" w:cs="Arial"/>
                <w:sz w:val="22"/>
                <w:szCs w:val="22"/>
                <w:lang w:val="es-ES"/>
              </w:rPr>
              <w:t xml:space="preserve">El plazo de validez de la oferta será de </w:t>
            </w:r>
            <w:r w:rsidR="0086448A" w:rsidRPr="00210A35">
              <w:rPr>
                <w:rFonts w:ascii="Arial" w:hAnsi="Arial" w:cs="Arial"/>
                <w:i/>
                <w:sz w:val="22"/>
                <w:szCs w:val="22"/>
                <w:lang w:val="es-ES"/>
              </w:rPr>
              <w:t>(180</w:t>
            </w:r>
            <w:r w:rsidRPr="00210A35">
              <w:rPr>
                <w:rFonts w:ascii="Arial" w:hAnsi="Arial" w:cs="Arial"/>
                <w:i/>
                <w:sz w:val="22"/>
                <w:szCs w:val="22"/>
                <w:lang w:val="es-ES"/>
              </w:rPr>
              <w:t xml:space="preserve">) Ciento </w:t>
            </w:r>
            <w:r w:rsidR="0086448A" w:rsidRPr="00210A35">
              <w:rPr>
                <w:rFonts w:ascii="Arial" w:hAnsi="Arial" w:cs="Arial"/>
                <w:i/>
                <w:sz w:val="22"/>
                <w:szCs w:val="22"/>
                <w:lang w:val="es-ES"/>
              </w:rPr>
              <w:t xml:space="preserve">ochenta </w:t>
            </w:r>
            <w:r w:rsidRPr="00210A35">
              <w:rPr>
                <w:rFonts w:ascii="Arial" w:hAnsi="Arial" w:cs="Arial"/>
                <w:i/>
                <w:sz w:val="22"/>
                <w:szCs w:val="22"/>
                <w:lang w:val="es-ES"/>
              </w:rPr>
              <w:t xml:space="preserve">días calendario, </w:t>
            </w:r>
            <w:r w:rsidRPr="00210A35">
              <w:rPr>
                <w:rFonts w:ascii="Arial" w:hAnsi="Arial" w:cs="Arial"/>
                <w:sz w:val="22"/>
                <w:szCs w:val="22"/>
                <w:lang w:val="es-ES"/>
              </w:rPr>
              <w:t>contados después de la fecha de terminación del plazo de recepción de ofertas establecido.</w:t>
            </w:r>
          </w:p>
        </w:tc>
      </w:tr>
      <w:tr w:rsidR="0002748D" w:rsidRPr="00A33F6B" w14:paraId="1D4CFCA6" w14:textId="77777777" w:rsidTr="00B903FF">
        <w:trPr>
          <w:trHeight w:val="20"/>
        </w:trPr>
        <w:tc>
          <w:tcPr>
            <w:tcW w:w="990" w:type="dxa"/>
            <w:vAlign w:val="center"/>
          </w:tcPr>
          <w:p w14:paraId="11ED5ACC" w14:textId="77777777" w:rsidR="0002748D" w:rsidRPr="00641AB0" w:rsidRDefault="0002748D" w:rsidP="0002748D">
            <w:pPr>
              <w:tabs>
                <w:tab w:val="right" w:pos="7434"/>
              </w:tabs>
              <w:spacing w:before="240" w:after="60"/>
              <w:jc w:val="center"/>
              <w:rPr>
                <w:rFonts w:ascii="Arial" w:hAnsi="Arial" w:cs="Arial"/>
                <w:b/>
                <w:sz w:val="22"/>
                <w:szCs w:val="22"/>
                <w:lang w:val="es-ES"/>
              </w:rPr>
            </w:pPr>
            <w:r w:rsidRPr="00641AB0">
              <w:rPr>
                <w:rFonts w:ascii="Arial" w:hAnsi="Arial" w:cs="Arial"/>
                <w:b/>
                <w:sz w:val="22"/>
                <w:szCs w:val="22"/>
                <w:lang w:val="es-ES"/>
              </w:rPr>
              <w:t xml:space="preserve">21.3 (a) </w:t>
            </w:r>
          </w:p>
        </w:tc>
        <w:tc>
          <w:tcPr>
            <w:tcW w:w="8649" w:type="dxa"/>
          </w:tcPr>
          <w:p w14:paraId="59C0EFDE" w14:textId="77777777" w:rsidR="00E239B0" w:rsidRPr="00210A35" w:rsidRDefault="00E239B0" w:rsidP="00E239B0">
            <w:pPr>
              <w:tabs>
                <w:tab w:val="right" w:pos="7254"/>
              </w:tabs>
              <w:spacing w:before="100" w:after="100"/>
              <w:rPr>
                <w:rFonts w:ascii="Arial" w:hAnsi="Arial" w:cs="Arial"/>
                <w:sz w:val="22"/>
                <w:szCs w:val="22"/>
                <w:lang w:val="es-ES"/>
              </w:rPr>
            </w:pPr>
            <w:r w:rsidRPr="00210A35">
              <w:rPr>
                <w:rFonts w:ascii="Arial" w:hAnsi="Arial" w:cs="Arial"/>
                <w:sz w:val="22"/>
                <w:szCs w:val="22"/>
                <w:lang w:val="es-ES"/>
              </w:rPr>
              <w:t xml:space="preserve">El precio de la Oferta se ajustará por el siguiente factor: ______ </w:t>
            </w:r>
          </w:p>
          <w:p w14:paraId="59BEF47C" w14:textId="77777777" w:rsidR="008A1CB4" w:rsidRPr="00210A35" w:rsidRDefault="008A1CB4" w:rsidP="008A1CB4">
            <w:pPr>
              <w:jc w:val="left"/>
              <w:rPr>
                <w:rFonts w:ascii="Arial" w:hAnsi="Arial" w:cs="Arial"/>
                <w:sz w:val="22"/>
                <w:szCs w:val="22"/>
                <w:lang w:val="es-ES"/>
              </w:rPr>
            </w:pPr>
            <w:r w:rsidRPr="00210A35">
              <w:rPr>
                <w:rFonts w:ascii="Arial" w:hAnsi="Arial" w:cs="Arial"/>
                <w:sz w:val="22"/>
                <w:szCs w:val="22"/>
                <w:lang w:val="es-ES"/>
              </w:rPr>
              <w:t xml:space="preserve">El precio de la Oferta se ajustará por el siguiente factor: Variación del Índice de Precios del Consumidor de Estados Unidos de America, publicado en la página oficial del U.S. Bureau of Labor Statistics disponible en  </w:t>
            </w:r>
            <w:hyperlink r:id="rId25" w:history="1">
              <w:r w:rsidRPr="00210A35">
                <w:rPr>
                  <w:rFonts w:ascii="Arial" w:hAnsi="Arial" w:cs="Arial"/>
                  <w:color w:val="0070C0"/>
                  <w:sz w:val="22"/>
                  <w:szCs w:val="22"/>
                  <w:lang w:val="es-ES"/>
                </w:rPr>
                <w:t>https://www.bls.gov/cpi/</w:t>
              </w:r>
            </w:hyperlink>
            <w:r w:rsidRPr="00210A35">
              <w:rPr>
                <w:rFonts w:ascii="Arial" w:hAnsi="Arial" w:cs="Arial"/>
                <w:color w:val="0070C0"/>
                <w:sz w:val="22"/>
                <w:szCs w:val="22"/>
                <w:lang w:val="es-ES"/>
              </w:rPr>
              <w:t> </w:t>
            </w:r>
            <w:r w:rsidRPr="00210A35">
              <w:rPr>
                <w:rFonts w:ascii="Arial" w:hAnsi="Arial" w:cs="Arial"/>
                <w:sz w:val="22"/>
                <w:szCs w:val="22"/>
                <w:lang w:val="es-ES"/>
              </w:rPr>
              <w:t xml:space="preserve"> </w:t>
            </w:r>
          </w:p>
          <w:p w14:paraId="0DB614EA" w14:textId="77777777" w:rsidR="0002748D" w:rsidRPr="00210A35" w:rsidRDefault="008A1CB4" w:rsidP="008A1CB4">
            <w:pPr>
              <w:tabs>
                <w:tab w:val="right" w:pos="7254"/>
              </w:tabs>
              <w:spacing w:before="100" w:after="100"/>
              <w:rPr>
                <w:rFonts w:ascii="Arial" w:hAnsi="Arial" w:cs="Arial"/>
                <w:sz w:val="22"/>
                <w:szCs w:val="22"/>
                <w:lang w:val="es-ES"/>
              </w:rPr>
            </w:pPr>
            <w:r w:rsidRPr="00210A35">
              <w:rPr>
                <w:rFonts w:ascii="Arial" w:hAnsi="Arial" w:cs="Arial"/>
                <w:sz w:val="22"/>
                <w:szCs w:val="22"/>
                <w:lang w:val="es-ES"/>
              </w:rPr>
              <w:t>Para efectos de cálculo la variación será la existente entre los 56 días después de la fecha de vencimiento de la validez de la oferta y la fecha de la firma de contrato.</w:t>
            </w:r>
          </w:p>
        </w:tc>
      </w:tr>
      <w:tr w:rsidR="0002748D" w:rsidRPr="00A33F6B" w14:paraId="4B9878F3" w14:textId="77777777" w:rsidTr="00B903FF">
        <w:trPr>
          <w:trHeight w:val="20"/>
        </w:trPr>
        <w:tc>
          <w:tcPr>
            <w:tcW w:w="990" w:type="dxa"/>
            <w:vAlign w:val="center"/>
          </w:tcPr>
          <w:p w14:paraId="2D852327" w14:textId="77777777" w:rsidR="0002748D" w:rsidRPr="00641AB0" w:rsidRDefault="0002748D" w:rsidP="0002748D">
            <w:pPr>
              <w:tabs>
                <w:tab w:val="right" w:pos="7434"/>
              </w:tabs>
              <w:spacing w:before="240" w:after="60"/>
              <w:jc w:val="center"/>
              <w:rPr>
                <w:rFonts w:ascii="Arial" w:hAnsi="Arial" w:cs="Arial"/>
                <w:b/>
                <w:sz w:val="22"/>
                <w:szCs w:val="22"/>
                <w:lang w:val="es-ES"/>
              </w:rPr>
            </w:pPr>
            <w:r w:rsidRPr="00641AB0">
              <w:rPr>
                <w:rFonts w:ascii="Arial" w:hAnsi="Arial" w:cs="Arial"/>
                <w:b/>
                <w:sz w:val="22"/>
                <w:szCs w:val="22"/>
                <w:lang w:val="es-ES"/>
              </w:rPr>
              <w:t>22.1</w:t>
            </w:r>
          </w:p>
        </w:tc>
        <w:tc>
          <w:tcPr>
            <w:tcW w:w="8649" w:type="dxa"/>
          </w:tcPr>
          <w:p w14:paraId="67A26782" w14:textId="77777777" w:rsidR="00E239B0" w:rsidRPr="00210A35" w:rsidRDefault="006354AC" w:rsidP="00E239B0">
            <w:pPr>
              <w:tabs>
                <w:tab w:val="right" w:pos="7254"/>
              </w:tabs>
              <w:spacing w:before="100" w:after="100"/>
              <w:rPr>
                <w:rFonts w:ascii="Arial" w:hAnsi="Arial" w:cs="Arial"/>
                <w:sz w:val="22"/>
                <w:szCs w:val="22"/>
                <w:lang w:val="es-ES"/>
              </w:rPr>
            </w:pPr>
            <w:r w:rsidRPr="00210A35">
              <w:rPr>
                <w:rFonts w:ascii="Arial" w:hAnsi="Arial" w:cs="Arial"/>
                <w:sz w:val="22"/>
                <w:szCs w:val="22"/>
                <w:lang w:val="es-ES"/>
              </w:rPr>
              <w:t xml:space="preserve">Por cada Lote ofertados, </w:t>
            </w:r>
            <w:r w:rsidR="00E239B0" w:rsidRPr="00210A35">
              <w:rPr>
                <w:rFonts w:ascii="Arial" w:hAnsi="Arial" w:cs="Arial"/>
                <w:sz w:val="22"/>
                <w:szCs w:val="22"/>
                <w:lang w:val="es-ES"/>
              </w:rPr>
              <w:t>deberá</w:t>
            </w:r>
            <w:r w:rsidRPr="00210A35">
              <w:rPr>
                <w:rFonts w:ascii="Arial" w:hAnsi="Arial" w:cs="Arial"/>
                <w:sz w:val="22"/>
                <w:szCs w:val="22"/>
                <w:lang w:val="es-ES"/>
              </w:rPr>
              <w:t>n</w:t>
            </w:r>
            <w:r w:rsidR="00E239B0" w:rsidRPr="00210A35">
              <w:rPr>
                <w:rFonts w:ascii="Arial" w:hAnsi="Arial" w:cs="Arial"/>
                <w:sz w:val="22"/>
                <w:szCs w:val="22"/>
                <w:lang w:val="es-ES"/>
              </w:rPr>
              <w:t xml:space="preserve"> presentar una Garantía de Mantenimiento de la oferta y Firma de Contrato o Fianza de Mantenimiento de la Oferta</w:t>
            </w:r>
            <w:r w:rsidR="00E239B0" w:rsidRPr="00210A35">
              <w:t xml:space="preserve"> </w:t>
            </w:r>
            <w:r w:rsidR="00E239B0" w:rsidRPr="00210A35">
              <w:rPr>
                <w:rFonts w:ascii="Arial" w:hAnsi="Arial" w:cs="Arial"/>
                <w:sz w:val="22"/>
                <w:szCs w:val="22"/>
                <w:lang w:val="es-ES"/>
              </w:rPr>
              <w:t xml:space="preserve">y Firma de Contrato la que será devuelta a los oferentes que no sean seleccionados y tendrá las siguientes características:  </w:t>
            </w:r>
          </w:p>
          <w:p w14:paraId="5C69C5FC" w14:textId="77777777" w:rsidR="00E239B0" w:rsidRPr="00210A35" w:rsidRDefault="00E239B0" w:rsidP="0071608E">
            <w:pPr>
              <w:pStyle w:val="Prrafodelista"/>
              <w:numPr>
                <w:ilvl w:val="0"/>
                <w:numId w:val="45"/>
              </w:numPr>
              <w:spacing w:before="100" w:after="100"/>
              <w:rPr>
                <w:rFonts w:ascii="Arial" w:hAnsi="Arial" w:cs="Arial"/>
                <w:sz w:val="22"/>
                <w:szCs w:val="22"/>
                <w:lang w:val="es-ES"/>
              </w:rPr>
            </w:pPr>
            <w:r w:rsidRPr="00210A35">
              <w:rPr>
                <w:rFonts w:ascii="Arial" w:hAnsi="Arial" w:cs="Arial"/>
                <w:sz w:val="22"/>
                <w:szCs w:val="22"/>
                <w:lang w:val="es-ES"/>
              </w:rPr>
              <w:t xml:space="preserve">Tipo de Garantía aceptables:  Garantía Bancaria/ Fianza </w:t>
            </w:r>
          </w:p>
          <w:p w14:paraId="60DD33A1" w14:textId="77777777" w:rsidR="00E239B0" w:rsidRPr="00210A35" w:rsidRDefault="00E239B0" w:rsidP="0071608E">
            <w:pPr>
              <w:pStyle w:val="Prrafodelista"/>
              <w:numPr>
                <w:ilvl w:val="0"/>
                <w:numId w:val="45"/>
              </w:numPr>
              <w:spacing w:before="100" w:after="100"/>
              <w:rPr>
                <w:rFonts w:ascii="Arial" w:hAnsi="Arial" w:cs="Arial"/>
                <w:sz w:val="22"/>
                <w:szCs w:val="22"/>
                <w:lang w:val="es-ES"/>
              </w:rPr>
            </w:pPr>
            <w:r w:rsidRPr="00210A35">
              <w:rPr>
                <w:rFonts w:ascii="Arial" w:hAnsi="Arial" w:cs="Arial"/>
                <w:sz w:val="22"/>
                <w:szCs w:val="22"/>
                <w:lang w:val="es-ES"/>
              </w:rPr>
              <w:t>Vigencia: 210 (doscientos diez días calendario), contados a partir del día de recepción de oferta.</w:t>
            </w:r>
          </w:p>
          <w:p w14:paraId="21129496" w14:textId="77777777" w:rsidR="00E239B0" w:rsidRPr="00210A35" w:rsidRDefault="00E239B0" w:rsidP="0071608E">
            <w:pPr>
              <w:pStyle w:val="Prrafodelista"/>
              <w:numPr>
                <w:ilvl w:val="0"/>
                <w:numId w:val="45"/>
              </w:numPr>
              <w:spacing w:before="100" w:after="100"/>
              <w:rPr>
                <w:rFonts w:ascii="Arial" w:hAnsi="Arial" w:cs="Arial"/>
                <w:sz w:val="22"/>
                <w:szCs w:val="22"/>
                <w:lang w:val="es-ES"/>
              </w:rPr>
            </w:pPr>
            <w:r w:rsidRPr="00210A35">
              <w:rPr>
                <w:rFonts w:ascii="Arial" w:hAnsi="Arial" w:cs="Arial"/>
                <w:sz w:val="22"/>
                <w:szCs w:val="22"/>
                <w:lang w:val="es-ES"/>
              </w:rPr>
              <w:t>La Garantía deberá estar a favor de: Fondo de Inversión Social de Emergencia</w:t>
            </w:r>
          </w:p>
          <w:p w14:paraId="60DB03F3" w14:textId="77777777" w:rsidR="00E239B0" w:rsidRPr="00210A35" w:rsidRDefault="00E239B0" w:rsidP="0071608E">
            <w:pPr>
              <w:pStyle w:val="Prrafodelista"/>
              <w:numPr>
                <w:ilvl w:val="0"/>
                <w:numId w:val="45"/>
              </w:numPr>
              <w:spacing w:before="100" w:after="100"/>
              <w:rPr>
                <w:rFonts w:ascii="Arial" w:hAnsi="Arial" w:cs="Arial"/>
                <w:sz w:val="22"/>
                <w:szCs w:val="22"/>
                <w:lang w:val="es-ES"/>
              </w:rPr>
            </w:pPr>
            <w:r w:rsidRPr="00210A35">
              <w:rPr>
                <w:rFonts w:ascii="Arial" w:hAnsi="Arial" w:cs="Arial"/>
                <w:sz w:val="22"/>
                <w:szCs w:val="22"/>
                <w:lang w:val="es-ES"/>
              </w:rPr>
              <w:t xml:space="preserve">Monto y moneda de la Garantía/Fianza de Mantenimiento de la Oferta: será en dólares americano, </w:t>
            </w:r>
            <w:r w:rsidRPr="00210A35">
              <w:rPr>
                <w:rFonts w:ascii="Arial" w:hAnsi="Arial" w:cs="Arial"/>
                <w:spacing w:val="-2"/>
                <w:sz w:val="22"/>
                <w:szCs w:val="22"/>
                <w:lang w:val="es-ES"/>
              </w:rPr>
              <w:t>según la tabla siguiente:</w:t>
            </w:r>
          </w:p>
          <w:p w14:paraId="4D3369BA" w14:textId="77777777" w:rsidR="00E239B0" w:rsidRPr="00210A35" w:rsidRDefault="00E239B0" w:rsidP="00E239B0">
            <w:pPr>
              <w:pStyle w:val="Prrafodelista"/>
              <w:spacing w:after="120"/>
              <w:ind w:left="360"/>
              <w:rPr>
                <w:rFonts w:ascii="Arial" w:hAnsi="Arial" w:cs="Arial"/>
                <w:sz w:val="22"/>
                <w:szCs w:val="22"/>
                <w:lang w:val="es-ES"/>
              </w:rPr>
            </w:pPr>
            <w:r w:rsidRPr="00210A35">
              <w:rPr>
                <w:rFonts w:ascii="Arial" w:hAnsi="Arial" w:cs="Arial"/>
                <w:sz w:val="22"/>
                <w:szCs w:val="22"/>
                <w:lang w:val="es-ES"/>
              </w:rPr>
              <w:lastRenderedPageBreak/>
              <w:t>Monto y moneda de la Garantía / Fianza de Mantenimiento de la Oferta</w:t>
            </w:r>
            <w:r w:rsidRPr="00210A35">
              <w:t xml:space="preserve"> </w:t>
            </w:r>
            <w:r w:rsidRPr="00210A35">
              <w:rPr>
                <w:rFonts w:ascii="Arial" w:hAnsi="Arial" w:cs="Arial"/>
                <w:sz w:val="22"/>
                <w:szCs w:val="22"/>
                <w:lang w:val="es-ES"/>
              </w:rPr>
              <w:t xml:space="preserve">y Firma de Contrato: </w:t>
            </w:r>
          </w:p>
          <w:tbl>
            <w:tblPr>
              <w:tblW w:w="5000" w:type="pct"/>
              <w:tblLayout w:type="fixed"/>
              <w:tblLook w:val="04A0" w:firstRow="1" w:lastRow="0" w:firstColumn="1" w:lastColumn="0" w:noHBand="0" w:noVBand="1"/>
            </w:tblPr>
            <w:tblGrid>
              <w:gridCol w:w="955"/>
              <w:gridCol w:w="5562"/>
              <w:gridCol w:w="253"/>
              <w:gridCol w:w="1663"/>
            </w:tblGrid>
            <w:tr w:rsidR="008E0068" w:rsidRPr="00210A35" w14:paraId="202ED139" w14:textId="77777777" w:rsidTr="00BA6BB0">
              <w:trPr>
                <w:tblHeader/>
              </w:trPr>
              <w:tc>
                <w:tcPr>
                  <w:tcW w:w="566" w:type="pct"/>
                  <w:shd w:val="clear" w:color="auto" w:fill="D9E2F3" w:themeFill="accent1" w:themeFillTint="33"/>
                </w:tcPr>
                <w:p w14:paraId="486BE65A" w14:textId="77777777" w:rsidR="008E0068" w:rsidRPr="00210A35" w:rsidRDefault="008E0068" w:rsidP="008E0068">
                  <w:pPr>
                    <w:tabs>
                      <w:tab w:val="right" w:pos="7272"/>
                    </w:tabs>
                    <w:spacing w:before="60" w:after="60"/>
                    <w:jc w:val="center"/>
                    <w:rPr>
                      <w:rFonts w:ascii="Arial" w:hAnsi="Arial" w:cs="Arial"/>
                      <w:sz w:val="22"/>
                      <w:szCs w:val="22"/>
                      <w:lang w:val="es-ES"/>
                    </w:rPr>
                  </w:pPr>
                  <w:r w:rsidRPr="00210A35">
                    <w:rPr>
                      <w:rFonts w:ascii="Arial" w:hAnsi="Arial" w:cs="Arial"/>
                      <w:sz w:val="22"/>
                      <w:szCs w:val="22"/>
                      <w:lang w:val="es-ES"/>
                    </w:rPr>
                    <w:t>Lote N°</w:t>
                  </w:r>
                </w:p>
              </w:tc>
              <w:tc>
                <w:tcPr>
                  <w:tcW w:w="3298" w:type="pct"/>
                  <w:shd w:val="clear" w:color="auto" w:fill="D9E2F3" w:themeFill="accent1" w:themeFillTint="33"/>
                </w:tcPr>
                <w:p w14:paraId="6E70E61B" w14:textId="77777777" w:rsidR="008E0068" w:rsidRPr="00210A35" w:rsidRDefault="008E0068" w:rsidP="008E0068">
                  <w:pPr>
                    <w:tabs>
                      <w:tab w:val="right" w:pos="7272"/>
                    </w:tabs>
                    <w:spacing w:before="60" w:after="60"/>
                    <w:jc w:val="center"/>
                    <w:rPr>
                      <w:rFonts w:ascii="Arial" w:hAnsi="Arial" w:cs="Arial"/>
                      <w:sz w:val="22"/>
                      <w:szCs w:val="22"/>
                      <w:lang w:val="es-ES"/>
                    </w:rPr>
                  </w:pPr>
                  <w:r w:rsidRPr="00210A35">
                    <w:rPr>
                      <w:rFonts w:ascii="Arial" w:hAnsi="Arial" w:cs="Arial"/>
                      <w:sz w:val="22"/>
                      <w:szCs w:val="22"/>
                      <w:lang w:val="es-ES"/>
                    </w:rPr>
                    <w:t>Nombre del Proyecto</w:t>
                  </w:r>
                </w:p>
              </w:tc>
              <w:tc>
                <w:tcPr>
                  <w:tcW w:w="1136" w:type="pct"/>
                  <w:gridSpan w:val="2"/>
                  <w:shd w:val="clear" w:color="auto" w:fill="D9E2F3" w:themeFill="accent1" w:themeFillTint="33"/>
                </w:tcPr>
                <w:p w14:paraId="7C388AB9" w14:textId="77777777" w:rsidR="008E0068" w:rsidRPr="00210A35" w:rsidRDefault="008E0068" w:rsidP="008E0068">
                  <w:pPr>
                    <w:tabs>
                      <w:tab w:val="right" w:pos="7272"/>
                    </w:tabs>
                    <w:spacing w:before="60" w:after="60"/>
                    <w:jc w:val="center"/>
                    <w:rPr>
                      <w:rFonts w:ascii="Arial" w:hAnsi="Arial" w:cs="Arial"/>
                      <w:sz w:val="22"/>
                      <w:szCs w:val="22"/>
                      <w:lang w:val="es-ES"/>
                    </w:rPr>
                  </w:pPr>
                  <w:r w:rsidRPr="00210A35">
                    <w:rPr>
                      <w:rFonts w:ascii="Arial" w:hAnsi="Arial" w:cs="Arial"/>
                      <w:sz w:val="22"/>
                      <w:szCs w:val="22"/>
                      <w:lang w:val="es-ES"/>
                    </w:rPr>
                    <w:t>Monto y moneda</w:t>
                  </w:r>
                </w:p>
              </w:tc>
            </w:tr>
            <w:tr w:rsidR="008E0068" w:rsidRPr="00210A35" w14:paraId="38569471" w14:textId="77777777" w:rsidTr="00BA6BB0">
              <w:tc>
                <w:tcPr>
                  <w:tcW w:w="566" w:type="pct"/>
                </w:tcPr>
                <w:p w14:paraId="3F1D2E7B" w14:textId="77777777" w:rsidR="008E0068" w:rsidRPr="00210A35" w:rsidRDefault="008E0068" w:rsidP="008E0068">
                  <w:pPr>
                    <w:tabs>
                      <w:tab w:val="right" w:pos="7272"/>
                    </w:tabs>
                    <w:spacing w:before="20" w:after="20"/>
                    <w:jc w:val="center"/>
                    <w:rPr>
                      <w:rFonts w:ascii="Arial" w:hAnsi="Arial" w:cs="Arial"/>
                      <w:sz w:val="22"/>
                      <w:szCs w:val="22"/>
                      <w:lang w:val="es-ES"/>
                    </w:rPr>
                  </w:pPr>
                  <w:r w:rsidRPr="00210A35">
                    <w:rPr>
                      <w:rFonts w:ascii="Arial" w:hAnsi="Arial" w:cs="Arial"/>
                      <w:sz w:val="22"/>
                      <w:szCs w:val="22"/>
                      <w:lang w:val="es-ES"/>
                    </w:rPr>
                    <w:t>1</w:t>
                  </w:r>
                </w:p>
              </w:tc>
              <w:tc>
                <w:tcPr>
                  <w:tcW w:w="3298" w:type="pct"/>
                  <w:vAlign w:val="center"/>
                </w:tcPr>
                <w:p w14:paraId="5D8CF60E" w14:textId="77777777" w:rsidR="008E0068" w:rsidRPr="00210A35" w:rsidRDefault="008E0068" w:rsidP="008E0068">
                  <w:pPr>
                    <w:tabs>
                      <w:tab w:val="right" w:pos="7272"/>
                    </w:tabs>
                    <w:spacing w:before="20" w:after="20"/>
                    <w:jc w:val="left"/>
                    <w:rPr>
                      <w:rFonts w:ascii="Arial" w:hAnsi="Arial" w:cs="Arial"/>
                      <w:sz w:val="22"/>
                      <w:szCs w:val="22"/>
                      <w:lang w:val="es-NI"/>
                    </w:rPr>
                  </w:pPr>
                  <w:r w:rsidRPr="00210A35">
                    <w:rPr>
                      <w:rFonts w:ascii="Arial" w:hAnsi="Arial" w:cs="Arial"/>
                      <w:sz w:val="22"/>
                      <w:szCs w:val="22"/>
                      <w:lang w:val="es-ES"/>
                    </w:rPr>
                    <w:t>19886 Agua y Saneamiento Comunidad La Concepcion</w:t>
                  </w:r>
                </w:p>
              </w:tc>
              <w:tc>
                <w:tcPr>
                  <w:tcW w:w="1136" w:type="pct"/>
                  <w:gridSpan w:val="2"/>
                </w:tcPr>
                <w:p w14:paraId="03C85AF8" w14:textId="77777777" w:rsidR="008E0068" w:rsidRPr="00210A35" w:rsidRDefault="008E0068" w:rsidP="008E0068">
                  <w:pPr>
                    <w:tabs>
                      <w:tab w:val="right" w:pos="7272"/>
                    </w:tabs>
                    <w:spacing w:before="20" w:after="20"/>
                    <w:jc w:val="center"/>
                    <w:rPr>
                      <w:rFonts w:ascii="Arial" w:hAnsi="Arial" w:cs="Arial"/>
                      <w:sz w:val="22"/>
                      <w:szCs w:val="22"/>
                      <w:lang w:val="es-ES"/>
                    </w:rPr>
                  </w:pPr>
                  <w:r w:rsidRPr="00210A35">
                    <w:rPr>
                      <w:rFonts w:ascii="Arial" w:hAnsi="Arial" w:cs="Arial"/>
                      <w:sz w:val="22"/>
                      <w:szCs w:val="22"/>
                      <w:lang w:val="es-ES"/>
                    </w:rPr>
                    <w:t>U</w:t>
                  </w:r>
                  <w:r w:rsidR="00F209A6" w:rsidRPr="00210A35">
                    <w:rPr>
                      <w:rFonts w:ascii="Arial" w:hAnsi="Arial" w:cs="Arial"/>
                      <w:sz w:val="22"/>
                      <w:szCs w:val="22"/>
                      <w:lang w:val="es-ES"/>
                    </w:rPr>
                    <w:t>S$ 10,000.00</w:t>
                  </w:r>
                </w:p>
              </w:tc>
            </w:tr>
            <w:tr w:rsidR="008E0068" w:rsidRPr="00210A35" w14:paraId="0CDFB1B3" w14:textId="77777777" w:rsidTr="00BA6BB0">
              <w:tc>
                <w:tcPr>
                  <w:tcW w:w="566" w:type="pct"/>
                </w:tcPr>
                <w:p w14:paraId="6C897D4D" w14:textId="77777777" w:rsidR="008E0068" w:rsidRPr="00210A35" w:rsidRDefault="008E0068" w:rsidP="008E0068">
                  <w:pPr>
                    <w:tabs>
                      <w:tab w:val="left" w:pos="340"/>
                      <w:tab w:val="center" w:pos="399"/>
                      <w:tab w:val="right" w:pos="7272"/>
                    </w:tabs>
                    <w:spacing w:before="20" w:after="20"/>
                    <w:jc w:val="left"/>
                    <w:rPr>
                      <w:rFonts w:ascii="Arial" w:hAnsi="Arial" w:cs="Arial"/>
                      <w:sz w:val="22"/>
                      <w:szCs w:val="22"/>
                      <w:lang w:val="es-ES"/>
                    </w:rPr>
                  </w:pPr>
                  <w:r w:rsidRPr="00210A35">
                    <w:rPr>
                      <w:rFonts w:ascii="Arial" w:hAnsi="Arial" w:cs="Arial"/>
                      <w:sz w:val="22"/>
                      <w:szCs w:val="22"/>
                      <w:lang w:val="es-ES"/>
                    </w:rPr>
                    <w:tab/>
                    <w:t>2</w:t>
                  </w:r>
                </w:p>
              </w:tc>
              <w:tc>
                <w:tcPr>
                  <w:tcW w:w="3298" w:type="pct"/>
                  <w:vAlign w:val="center"/>
                </w:tcPr>
                <w:p w14:paraId="7198F366" w14:textId="77777777" w:rsidR="008E0068" w:rsidRPr="00210A35" w:rsidRDefault="008E0068" w:rsidP="008E0068">
                  <w:pPr>
                    <w:tabs>
                      <w:tab w:val="right" w:pos="7272"/>
                    </w:tabs>
                    <w:spacing w:before="20" w:after="20"/>
                    <w:jc w:val="left"/>
                    <w:rPr>
                      <w:rFonts w:ascii="Arial" w:hAnsi="Arial" w:cs="Arial"/>
                      <w:sz w:val="22"/>
                      <w:szCs w:val="22"/>
                      <w:lang w:val="es-ES"/>
                    </w:rPr>
                  </w:pPr>
                  <w:r w:rsidRPr="00210A35">
                    <w:rPr>
                      <w:rFonts w:ascii="Arial" w:hAnsi="Arial" w:cs="Arial"/>
                      <w:sz w:val="22"/>
                      <w:szCs w:val="22"/>
                      <w:lang w:val="es-ES"/>
                    </w:rPr>
                    <w:t xml:space="preserve">19962 Agua y Saneamiento Comunidad Naranjo Norte </w:t>
                  </w:r>
                </w:p>
              </w:tc>
              <w:tc>
                <w:tcPr>
                  <w:tcW w:w="1136" w:type="pct"/>
                  <w:gridSpan w:val="2"/>
                </w:tcPr>
                <w:p w14:paraId="13BE76C9" w14:textId="77777777" w:rsidR="008E0068" w:rsidRPr="00210A35" w:rsidRDefault="008E0068" w:rsidP="008E0068">
                  <w:pPr>
                    <w:tabs>
                      <w:tab w:val="right" w:pos="7272"/>
                    </w:tabs>
                    <w:spacing w:before="20" w:after="20"/>
                    <w:jc w:val="center"/>
                    <w:rPr>
                      <w:rFonts w:ascii="Arial" w:hAnsi="Arial" w:cs="Arial"/>
                      <w:sz w:val="22"/>
                      <w:szCs w:val="22"/>
                      <w:lang w:val="es-ES"/>
                    </w:rPr>
                  </w:pPr>
                  <w:r w:rsidRPr="00210A35">
                    <w:rPr>
                      <w:rFonts w:ascii="Arial" w:hAnsi="Arial" w:cs="Arial"/>
                      <w:sz w:val="22"/>
                      <w:szCs w:val="22"/>
                      <w:lang w:val="es-ES"/>
                    </w:rPr>
                    <w:t>U</w:t>
                  </w:r>
                  <w:r w:rsidR="00F209A6" w:rsidRPr="00210A35">
                    <w:rPr>
                      <w:rFonts w:ascii="Arial" w:hAnsi="Arial" w:cs="Arial"/>
                      <w:sz w:val="22"/>
                      <w:szCs w:val="22"/>
                      <w:lang w:val="es-ES"/>
                    </w:rPr>
                    <w:t>S$ 3,500.00</w:t>
                  </w:r>
                </w:p>
              </w:tc>
            </w:tr>
            <w:tr w:rsidR="008E0068" w:rsidRPr="00210A35" w14:paraId="4466D528" w14:textId="77777777" w:rsidTr="00BA6BB0">
              <w:tc>
                <w:tcPr>
                  <w:tcW w:w="566" w:type="pct"/>
                  <w:vAlign w:val="center"/>
                </w:tcPr>
                <w:p w14:paraId="7CB0C7BC" w14:textId="77777777" w:rsidR="008E0068" w:rsidRPr="00210A35" w:rsidRDefault="008E0068" w:rsidP="008E0068">
                  <w:pPr>
                    <w:tabs>
                      <w:tab w:val="left" w:pos="427"/>
                    </w:tabs>
                    <w:spacing w:before="20" w:after="20"/>
                    <w:jc w:val="center"/>
                    <w:rPr>
                      <w:rFonts w:ascii="Arial" w:hAnsi="Arial" w:cs="Arial"/>
                      <w:sz w:val="22"/>
                      <w:szCs w:val="22"/>
                      <w:lang w:val="es-ES"/>
                    </w:rPr>
                  </w:pPr>
                  <w:r w:rsidRPr="00210A35">
                    <w:rPr>
                      <w:rFonts w:ascii="Arial" w:hAnsi="Arial" w:cs="Arial"/>
                      <w:sz w:val="22"/>
                      <w:szCs w:val="22"/>
                      <w:lang w:val="es-ES"/>
                    </w:rPr>
                    <w:t>3</w:t>
                  </w:r>
                </w:p>
              </w:tc>
              <w:tc>
                <w:tcPr>
                  <w:tcW w:w="3448" w:type="pct"/>
                  <w:gridSpan w:val="2"/>
                  <w:vAlign w:val="center"/>
                </w:tcPr>
                <w:p w14:paraId="24EB81D7" w14:textId="77777777" w:rsidR="008E0068" w:rsidRPr="00210A35" w:rsidRDefault="008E0068" w:rsidP="008E0068">
                  <w:pPr>
                    <w:tabs>
                      <w:tab w:val="right" w:pos="7272"/>
                    </w:tabs>
                    <w:spacing w:before="20" w:after="20"/>
                    <w:jc w:val="left"/>
                    <w:rPr>
                      <w:rFonts w:ascii="Arial" w:hAnsi="Arial" w:cs="Arial"/>
                      <w:sz w:val="22"/>
                      <w:szCs w:val="22"/>
                      <w:lang w:val="es-ES"/>
                    </w:rPr>
                  </w:pPr>
                  <w:r w:rsidRPr="00210A35">
                    <w:rPr>
                      <w:rFonts w:ascii="Arial" w:hAnsi="Arial" w:cs="Arial"/>
                      <w:sz w:val="22"/>
                      <w:szCs w:val="22"/>
                      <w:lang w:val="es-ES"/>
                    </w:rPr>
                    <w:t xml:space="preserve">19842 Agua y Saneamiento Comunidad Zacateras </w:t>
                  </w:r>
                </w:p>
              </w:tc>
              <w:tc>
                <w:tcPr>
                  <w:tcW w:w="986" w:type="pct"/>
                </w:tcPr>
                <w:p w14:paraId="79E0E966" w14:textId="77777777" w:rsidR="008E0068" w:rsidRPr="00210A35" w:rsidRDefault="008E0068" w:rsidP="008E0068">
                  <w:pPr>
                    <w:tabs>
                      <w:tab w:val="left" w:pos="831"/>
                      <w:tab w:val="right" w:pos="7272"/>
                    </w:tabs>
                    <w:spacing w:before="20" w:after="20"/>
                    <w:rPr>
                      <w:rFonts w:ascii="Arial" w:hAnsi="Arial" w:cs="Arial"/>
                      <w:sz w:val="22"/>
                      <w:szCs w:val="22"/>
                      <w:lang w:val="es-ES"/>
                    </w:rPr>
                  </w:pPr>
                  <w:r w:rsidRPr="00210A35">
                    <w:rPr>
                      <w:rFonts w:ascii="Arial" w:hAnsi="Arial" w:cs="Arial"/>
                      <w:sz w:val="22"/>
                      <w:szCs w:val="22"/>
                      <w:lang w:val="es-ES"/>
                    </w:rPr>
                    <w:t>U</w:t>
                  </w:r>
                  <w:r w:rsidR="00F209A6" w:rsidRPr="00210A35">
                    <w:rPr>
                      <w:rFonts w:ascii="Arial" w:hAnsi="Arial" w:cs="Arial"/>
                      <w:sz w:val="22"/>
                      <w:szCs w:val="22"/>
                      <w:lang w:val="es-ES"/>
                    </w:rPr>
                    <w:t>S$ 6,500.00</w:t>
                  </w:r>
                </w:p>
              </w:tc>
            </w:tr>
            <w:tr w:rsidR="008E0068" w:rsidRPr="00210A35" w14:paraId="4EFF8BF7" w14:textId="77777777" w:rsidTr="00BA6BB0">
              <w:tc>
                <w:tcPr>
                  <w:tcW w:w="566" w:type="pct"/>
                  <w:vAlign w:val="center"/>
                </w:tcPr>
                <w:p w14:paraId="380C36F9" w14:textId="77777777" w:rsidR="008E0068" w:rsidRPr="00210A35" w:rsidRDefault="008E0068" w:rsidP="008E0068">
                  <w:pPr>
                    <w:tabs>
                      <w:tab w:val="left" w:pos="427"/>
                    </w:tabs>
                    <w:spacing w:before="20" w:after="20"/>
                    <w:jc w:val="center"/>
                    <w:rPr>
                      <w:rFonts w:ascii="Arial" w:hAnsi="Arial" w:cs="Arial"/>
                      <w:sz w:val="22"/>
                      <w:szCs w:val="22"/>
                      <w:lang w:val="es-ES"/>
                    </w:rPr>
                  </w:pPr>
                  <w:r w:rsidRPr="00210A35">
                    <w:rPr>
                      <w:rFonts w:ascii="Arial" w:hAnsi="Arial" w:cs="Arial"/>
                      <w:sz w:val="22"/>
                      <w:szCs w:val="22"/>
                      <w:lang w:val="es-ES"/>
                    </w:rPr>
                    <w:t>4</w:t>
                  </w:r>
                </w:p>
              </w:tc>
              <w:tc>
                <w:tcPr>
                  <w:tcW w:w="3448" w:type="pct"/>
                  <w:gridSpan w:val="2"/>
                  <w:vAlign w:val="center"/>
                </w:tcPr>
                <w:p w14:paraId="47A5C752" w14:textId="77777777" w:rsidR="008E0068" w:rsidRPr="00210A35" w:rsidRDefault="008E0068" w:rsidP="008E0068">
                  <w:pPr>
                    <w:tabs>
                      <w:tab w:val="right" w:pos="7272"/>
                    </w:tabs>
                    <w:spacing w:before="20" w:after="20"/>
                    <w:jc w:val="left"/>
                    <w:rPr>
                      <w:rFonts w:ascii="Arial" w:hAnsi="Arial" w:cs="Arial"/>
                      <w:sz w:val="22"/>
                      <w:szCs w:val="22"/>
                      <w:lang w:val="es-ES"/>
                    </w:rPr>
                  </w:pPr>
                  <w:r w:rsidRPr="00210A35">
                    <w:rPr>
                      <w:rFonts w:ascii="Arial" w:hAnsi="Arial" w:cs="Arial"/>
                      <w:sz w:val="22"/>
                      <w:szCs w:val="22"/>
                      <w:lang w:val="es-ES"/>
                    </w:rPr>
                    <w:t>19892 Agua y Saneamiento Comunidad Balsamo Abajo</w:t>
                  </w:r>
                </w:p>
              </w:tc>
              <w:tc>
                <w:tcPr>
                  <w:tcW w:w="986" w:type="pct"/>
                </w:tcPr>
                <w:p w14:paraId="3DDC7EF7" w14:textId="77777777" w:rsidR="008E0068" w:rsidRPr="00210A35" w:rsidRDefault="00F209A6" w:rsidP="008E0068">
                  <w:pPr>
                    <w:tabs>
                      <w:tab w:val="left" w:pos="831"/>
                      <w:tab w:val="right" w:pos="7272"/>
                    </w:tabs>
                    <w:spacing w:before="20" w:after="20"/>
                    <w:rPr>
                      <w:rFonts w:ascii="Arial" w:hAnsi="Arial" w:cs="Arial"/>
                      <w:sz w:val="22"/>
                      <w:szCs w:val="22"/>
                      <w:lang w:val="es-ES"/>
                    </w:rPr>
                  </w:pPr>
                  <w:r w:rsidRPr="00210A35">
                    <w:rPr>
                      <w:rFonts w:ascii="Arial" w:hAnsi="Arial" w:cs="Arial"/>
                      <w:sz w:val="22"/>
                      <w:szCs w:val="22"/>
                      <w:lang w:val="es-ES"/>
                    </w:rPr>
                    <w:t>US$ 7,000.00</w:t>
                  </w:r>
                </w:p>
              </w:tc>
            </w:tr>
          </w:tbl>
          <w:p w14:paraId="3CA97273" w14:textId="77777777" w:rsidR="0002748D" w:rsidRPr="00210A35" w:rsidRDefault="0002748D" w:rsidP="00E239B0">
            <w:pPr>
              <w:pStyle w:val="Prrafodelista"/>
              <w:tabs>
                <w:tab w:val="right" w:pos="7254"/>
              </w:tabs>
              <w:spacing w:before="100" w:after="100"/>
              <w:ind w:left="360"/>
              <w:rPr>
                <w:rFonts w:ascii="Arial" w:hAnsi="Arial" w:cs="Arial"/>
                <w:sz w:val="22"/>
                <w:szCs w:val="22"/>
              </w:rPr>
            </w:pPr>
          </w:p>
        </w:tc>
      </w:tr>
      <w:tr w:rsidR="0002748D" w:rsidRPr="00A33F6B" w14:paraId="3D2F95A9" w14:textId="77777777" w:rsidTr="00B903FF">
        <w:trPr>
          <w:trHeight w:val="20"/>
        </w:trPr>
        <w:tc>
          <w:tcPr>
            <w:tcW w:w="9639" w:type="dxa"/>
            <w:gridSpan w:val="2"/>
            <w:shd w:val="clear" w:color="auto" w:fill="00B050"/>
          </w:tcPr>
          <w:p w14:paraId="3364CD95" w14:textId="77777777" w:rsidR="0002748D" w:rsidRPr="00210A35" w:rsidRDefault="0002748D" w:rsidP="0002748D">
            <w:pPr>
              <w:tabs>
                <w:tab w:val="right" w:pos="7434"/>
              </w:tabs>
              <w:spacing w:before="120" w:after="120"/>
              <w:jc w:val="center"/>
              <w:rPr>
                <w:rFonts w:ascii="Arial" w:hAnsi="Arial" w:cs="Arial"/>
                <w:b/>
                <w:color w:val="FFFFFF" w:themeColor="background1"/>
                <w:sz w:val="22"/>
                <w:szCs w:val="22"/>
                <w:lang w:val="es-ES"/>
              </w:rPr>
            </w:pPr>
            <w:r w:rsidRPr="00210A35">
              <w:rPr>
                <w:rFonts w:ascii="Arial" w:hAnsi="Arial" w:cs="Arial"/>
                <w:b/>
                <w:color w:val="FFFFFF" w:themeColor="background1"/>
                <w:sz w:val="22"/>
                <w:szCs w:val="22"/>
                <w:lang w:val="es-ES"/>
              </w:rPr>
              <w:lastRenderedPageBreak/>
              <w:t>D. Presentación y apertura de las Ofertas</w:t>
            </w:r>
          </w:p>
        </w:tc>
      </w:tr>
      <w:tr w:rsidR="0002748D" w:rsidRPr="00A33F6B" w14:paraId="0718DF9C" w14:textId="77777777" w:rsidTr="00B903FF">
        <w:trPr>
          <w:trHeight w:val="20"/>
        </w:trPr>
        <w:tc>
          <w:tcPr>
            <w:tcW w:w="990" w:type="dxa"/>
          </w:tcPr>
          <w:p w14:paraId="658D47A3" w14:textId="77777777" w:rsidR="0002748D" w:rsidRPr="00641AB0" w:rsidRDefault="0002748D" w:rsidP="0002748D">
            <w:pPr>
              <w:tabs>
                <w:tab w:val="right" w:pos="7434"/>
              </w:tabs>
              <w:spacing w:before="120" w:after="120"/>
              <w:jc w:val="center"/>
              <w:rPr>
                <w:rFonts w:ascii="Arial" w:hAnsi="Arial" w:cs="Arial"/>
                <w:b/>
                <w:sz w:val="22"/>
                <w:szCs w:val="22"/>
                <w:lang w:val="es-ES"/>
              </w:rPr>
            </w:pPr>
            <w:r w:rsidRPr="00641AB0">
              <w:rPr>
                <w:rFonts w:ascii="Arial" w:hAnsi="Arial" w:cs="Arial"/>
                <w:b/>
                <w:sz w:val="22"/>
                <w:szCs w:val="22"/>
                <w:lang w:val="es-ES"/>
              </w:rPr>
              <w:t>23.1</w:t>
            </w:r>
          </w:p>
        </w:tc>
        <w:tc>
          <w:tcPr>
            <w:tcW w:w="8649" w:type="dxa"/>
          </w:tcPr>
          <w:p w14:paraId="780230D9" w14:textId="77777777" w:rsidR="0002748D" w:rsidRPr="00210A35" w:rsidRDefault="0002748D" w:rsidP="0002748D">
            <w:pPr>
              <w:tabs>
                <w:tab w:val="right" w:pos="7434"/>
              </w:tabs>
              <w:spacing w:before="120" w:after="120"/>
              <w:jc w:val="left"/>
              <w:rPr>
                <w:rFonts w:ascii="Arial" w:hAnsi="Arial" w:cs="Arial"/>
                <w:bCs/>
                <w:sz w:val="22"/>
                <w:szCs w:val="22"/>
                <w:lang w:val="es-ES"/>
              </w:rPr>
            </w:pPr>
            <w:r w:rsidRPr="00210A35">
              <w:rPr>
                <w:rFonts w:ascii="Arial" w:hAnsi="Arial" w:cs="Arial"/>
                <w:bCs/>
                <w:sz w:val="22"/>
                <w:szCs w:val="22"/>
                <w:lang w:val="es-ES"/>
              </w:rPr>
              <w:t xml:space="preserve">El oferente deberá presentar el siguiente número de copias: </w:t>
            </w:r>
            <w:r w:rsidR="008E0068" w:rsidRPr="00210A35">
              <w:rPr>
                <w:rFonts w:ascii="Arial" w:hAnsi="Arial" w:cs="Arial"/>
                <w:bCs/>
                <w:i/>
                <w:iCs/>
                <w:sz w:val="22"/>
                <w:szCs w:val="22"/>
                <w:lang w:val="es-ES"/>
              </w:rPr>
              <w:t>una (1) copia en dispositivo digital.</w:t>
            </w:r>
          </w:p>
        </w:tc>
      </w:tr>
      <w:tr w:rsidR="0002748D" w:rsidRPr="00A33F6B" w14:paraId="4DE469D4" w14:textId="77777777" w:rsidTr="00B903FF">
        <w:trPr>
          <w:trHeight w:val="20"/>
        </w:trPr>
        <w:tc>
          <w:tcPr>
            <w:tcW w:w="990" w:type="dxa"/>
            <w:vAlign w:val="center"/>
          </w:tcPr>
          <w:p w14:paraId="60471100" w14:textId="77777777" w:rsidR="0002748D" w:rsidRPr="00210A35" w:rsidRDefault="0002748D" w:rsidP="0002748D">
            <w:pPr>
              <w:tabs>
                <w:tab w:val="right" w:pos="7434"/>
              </w:tabs>
              <w:spacing w:before="60" w:after="60"/>
              <w:ind w:left="-100" w:right="-110"/>
              <w:jc w:val="center"/>
              <w:rPr>
                <w:rFonts w:ascii="Arial" w:hAnsi="Arial" w:cs="Arial"/>
                <w:b/>
                <w:sz w:val="22"/>
                <w:szCs w:val="22"/>
                <w:lang w:val="pt-BR"/>
              </w:rPr>
            </w:pPr>
            <w:r w:rsidRPr="00210A35">
              <w:rPr>
                <w:rFonts w:ascii="Arial" w:hAnsi="Arial" w:cs="Arial"/>
                <w:b/>
                <w:sz w:val="22"/>
                <w:szCs w:val="22"/>
                <w:lang w:val="pt-BR"/>
              </w:rPr>
              <w:t>24.1</w:t>
            </w:r>
          </w:p>
        </w:tc>
        <w:tc>
          <w:tcPr>
            <w:tcW w:w="8649" w:type="dxa"/>
          </w:tcPr>
          <w:p w14:paraId="21642915" w14:textId="77777777" w:rsidR="008E0068" w:rsidRPr="00210A35" w:rsidRDefault="008E0068" w:rsidP="008E0068">
            <w:pPr>
              <w:tabs>
                <w:tab w:val="right" w:pos="7254"/>
              </w:tabs>
              <w:spacing w:before="120" w:after="120"/>
              <w:rPr>
                <w:rFonts w:ascii="Arial" w:hAnsi="Arial" w:cs="Arial"/>
                <w:sz w:val="22"/>
                <w:szCs w:val="22"/>
              </w:rPr>
            </w:pPr>
            <w:r w:rsidRPr="00210A35">
              <w:rPr>
                <w:rFonts w:ascii="Arial" w:hAnsi="Arial" w:cs="Arial"/>
                <w:sz w:val="22"/>
                <w:szCs w:val="22"/>
                <w:lang w:val="es-ES"/>
              </w:rPr>
              <w:t xml:space="preserve">Exclusivamente a los </w:t>
            </w:r>
            <w:r w:rsidRPr="00210A35">
              <w:rPr>
                <w:rFonts w:ascii="Arial" w:hAnsi="Arial" w:cs="Arial"/>
                <w:bCs/>
                <w:sz w:val="22"/>
                <w:szCs w:val="22"/>
                <w:u w:val="single"/>
                <w:lang w:val="es-ES"/>
              </w:rPr>
              <w:t>efectos de la presentación de la Oferta</w:t>
            </w:r>
            <w:r w:rsidRPr="00210A35">
              <w:rPr>
                <w:rFonts w:ascii="Arial" w:hAnsi="Arial" w:cs="Arial"/>
                <w:sz w:val="22"/>
                <w:szCs w:val="22"/>
                <w:lang w:val="es-ES"/>
              </w:rPr>
              <w:t xml:space="preserve">, la dirección del </w:t>
            </w:r>
            <w:r w:rsidRPr="00210A35">
              <w:rPr>
                <w:rFonts w:ascii="Arial" w:hAnsi="Arial" w:cs="Arial"/>
                <w:sz w:val="22"/>
                <w:szCs w:val="22"/>
              </w:rPr>
              <w:t>Fondo de Inversión Social de Emergencia (FISE)</w:t>
            </w:r>
            <w:r w:rsidRPr="00210A35">
              <w:rPr>
                <w:rFonts w:ascii="Arial" w:hAnsi="Arial" w:cs="Arial"/>
                <w:sz w:val="22"/>
                <w:szCs w:val="22"/>
                <w:lang w:val="es-ES"/>
              </w:rPr>
              <w:t xml:space="preserve"> es: </w:t>
            </w:r>
          </w:p>
          <w:p w14:paraId="1A88DCAE" w14:textId="77777777" w:rsidR="008E0068" w:rsidRPr="00210A35" w:rsidRDefault="008E0068" w:rsidP="008E0068">
            <w:pPr>
              <w:tabs>
                <w:tab w:val="right" w:pos="7254"/>
              </w:tabs>
              <w:spacing w:before="120" w:after="120"/>
              <w:rPr>
                <w:rFonts w:ascii="Arial" w:hAnsi="Arial" w:cs="Arial"/>
                <w:i/>
                <w:sz w:val="22"/>
                <w:szCs w:val="22"/>
                <w:lang w:val="es-ES"/>
              </w:rPr>
            </w:pPr>
            <w:r w:rsidRPr="00210A35">
              <w:rPr>
                <w:rFonts w:ascii="Arial" w:hAnsi="Arial" w:cs="Arial"/>
                <w:sz w:val="22"/>
                <w:szCs w:val="22"/>
                <w:lang w:val="es-ES"/>
              </w:rPr>
              <w:t xml:space="preserve">Atención: </w:t>
            </w:r>
            <w:r w:rsidRPr="00210A35">
              <w:rPr>
                <w:rFonts w:ascii="Arial" w:hAnsi="Arial" w:cs="Arial"/>
                <w:i/>
                <w:sz w:val="22"/>
                <w:szCs w:val="22"/>
              </w:rPr>
              <w:t>Hortencia Aracely Robelo Somarriba</w:t>
            </w:r>
          </w:p>
          <w:p w14:paraId="0F86AEB8" w14:textId="77777777" w:rsidR="008E0068" w:rsidRPr="00210A35" w:rsidRDefault="008E0068" w:rsidP="008E0068">
            <w:pPr>
              <w:tabs>
                <w:tab w:val="right" w:pos="7254"/>
              </w:tabs>
              <w:spacing w:before="120" w:after="120"/>
              <w:rPr>
                <w:rFonts w:ascii="Arial" w:hAnsi="Arial" w:cs="Arial"/>
                <w:i/>
                <w:sz w:val="22"/>
                <w:szCs w:val="22"/>
              </w:rPr>
            </w:pPr>
            <w:r w:rsidRPr="00210A35">
              <w:rPr>
                <w:rFonts w:ascii="Arial" w:hAnsi="Arial" w:cs="Arial"/>
                <w:sz w:val="22"/>
                <w:szCs w:val="22"/>
                <w:lang w:val="es-ES"/>
              </w:rPr>
              <w:t xml:space="preserve">Dirección: </w:t>
            </w:r>
            <w:r w:rsidRPr="00210A35">
              <w:rPr>
                <w:rFonts w:ascii="Arial" w:hAnsi="Arial" w:cs="Arial"/>
                <w:i/>
                <w:sz w:val="22"/>
                <w:szCs w:val="22"/>
              </w:rPr>
              <w:t>De la Iglesia San Agustín, 1 cuadra al Oeste, 10 varas al Sur. Altamira D´Este.</w:t>
            </w:r>
          </w:p>
          <w:p w14:paraId="3CE98277" w14:textId="77777777" w:rsidR="008E0068" w:rsidRPr="00210A35" w:rsidRDefault="008E0068" w:rsidP="008E0068">
            <w:pPr>
              <w:tabs>
                <w:tab w:val="right" w:pos="7254"/>
              </w:tabs>
              <w:spacing w:before="120" w:after="120"/>
              <w:rPr>
                <w:rFonts w:ascii="Arial" w:hAnsi="Arial" w:cs="Arial"/>
                <w:i/>
                <w:sz w:val="22"/>
                <w:szCs w:val="22"/>
              </w:rPr>
            </w:pPr>
            <w:r w:rsidRPr="00210A35">
              <w:rPr>
                <w:rFonts w:ascii="Arial" w:hAnsi="Arial" w:cs="Arial"/>
                <w:sz w:val="22"/>
                <w:szCs w:val="22"/>
                <w:lang w:val="es-ES"/>
              </w:rPr>
              <w:t>Oficina</w:t>
            </w:r>
            <w:r w:rsidRPr="00210A35">
              <w:rPr>
                <w:rFonts w:ascii="Arial" w:hAnsi="Arial" w:cs="Arial"/>
                <w:i/>
                <w:sz w:val="22"/>
                <w:szCs w:val="22"/>
                <w:lang w:val="es-ES"/>
              </w:rPr>
              <w:t xml:space="preserve">: </w:t>
            </w:r>
            <w:r w:rsidRPr="00210A35">
              <w:rPr>
                <w:rFonts w:ascii="Arial" w:hAnsi="Arial" w:cs="Arial"/>
                <w:i/>
                <w:sz w:val="22"/>
                <w:szCs w:val="22"/>
              </w:rPr>
              <w:t>División de Adquisiciones</w:t>
            </w:r>
            <w:r w:rsidRPr="00210A35">
              <w:rPr>
                <w:rFonts w:ascii="Arial" w:hAnsi="Arial" w:cs="Arial"/>
                <w:sz w:val="22"/>
                <w:szCs w:val="22"/>
                <w:lang w:val="es-ES"/>
              </w:rPr>
              <w:tab/>
            </w:r>
          </w:p>
          <w:p w14:paraId="653EDCDB" w14:textId="77777777" w:rsidR="008E0068" w:rsidRPr="00210A35" w:rsidRDefault="008E0068" w:rsidP="008E0068">
            <w:pPr>
              <w:tabs>
                <w:tab w:val="right" w:pos="7254"/>
              </w:tabs>
              <w:spacing w:before="120" w:after="120"/>
              <w:rPr>
                <w:rFonts w:ascii="Arial" w:hAnsi="Arial" w:cs="Arial"/>
                <w:i/>
                <w:sz w:val="22"/>
                <w:szCs w:val="22"/>
                <w:lang w:val="es-ES"/>
              </w:rPr>
            </w:pPr>
            <w:r w:rsidRPr="00210A35">
              <w:rPr>
                <w:rFonts w:ascii="Arial" w:hAnsi="Arial" w:cs="Arial"/>
                <w:sz w:val="22"/>
                <w:szCs w:val="22"/>
                <w:lang w:val="es-ES"/>
              </w:rPr>
              <w:t>Ciudad:</w:t>
            </w:r>
            <w:r w:rsidRPr="00210A35">
              <w:rPr>
                <w:rFonts w:ascii="Arial" w:hAnsi="Arial" w:cs="Arial"/>
                <w:i/>
                <w:sz w:val="22"/>
                <w:szCs w:val="22"/>
                <w:lang w:val="es-ES"/>
              </w:rPr>
              <w:t xml:space="preserve"> Managua</w:t>
            </w:r>
          </w:p>
          <w:p w14:paraId="37AB9E4B" w14:textId="77777777" w:rsidR="0002748D" w:rsidRPr="00210A35" w:rsidRDefault="008E0068" w:rsidP="008E0068">
            <w:pPr>
              <w:tabs>
                <w:tab w:val="right" w:pos="7254"/>
              </w:tabs>
              <w:spacing w:before="120" w:after="120"/>
              <w:rPr>
                <w:rFonts w:ascii="Arial" w:hAnsi="Arial" w:cs="Arial"/>
                <w:i/>
                <w:sz w:val="22"/>
                <w:szCs w:val="22"/>
                <w:lang w:val="es-ES"/>
              </w:rPr>
            </w:pPr>
            <w:r w:rsidRPr="00210A35">
              <w:rPr>
                <w:rFonts w:ascii="Arial" w:hAnsi="Arial" w:cs="Arial"/>
                <w:sz w:val="22"/>
                <w:szCs w:val="22"/>
                <w:lang w:val="es-ES"/>
              </w:rPr>
              <w:t>País:</w:t>
            </w:r>
            <w:r w:rsidRPr="00210A35">
              <w:rPr>
                <w:rFonts w:ascii="Arial" w:hAnsi="Arial" w:cs="Arial"/>
                <w:i/>
                <w:sz w:val="22"/>
                <w:szCs w:val="22"/>
                <w:lang w:val="es-ES"/>
              </w:rPr>
              <w:t xml:space="preserve"> Nicaragua</w:t>
            </w:r>
          </w:p>
        </w:tc>
      </w:tr>
      <w:tr w:rsidR="0002748D" w:rsidRPr="00A33F6B" w14:paraId="3C7A11D4" w14:textId="77777777" w:rsidTr="00B903FF">
        <w:trPr>
          <w:trHeight w:val="20"/>
        </w:trPr>
        <w:tc>
          <w:tcPr>
            <w:tcW w:w="990" w:type="dxa"/>
            <w:vAlign w:val="center"/>
          </w:tcPr>
          <w:p w14:paraId="4EBCC7E6" w14:textId="77777777" w:rsidR="0002748D" w:rsidRPr="00210A35" w:rsidRDefault="0002748D" w:rsidP="0002748D">
            <w:pPr>
              <w:tabs>
                <w:tab w:val="right" w:pos="7434"/>
              </w:tabs>
              <w:spacing w:before="60" w:after="60"/>
              <w:jc w:val="center"/>
              <w:rPr>
                <w:rFonts w:ascii="Arial" w:hAnsi="Arial" w:cs="Arial"/>
                <w:b/>
                <w:sz w:val="22"/>
                <w:szCs w:val="22"/>
                <w:lang w:val="es-ES"/>
              </w:rPr>
            </w:pPr>
            <w:r w:rsidRPr="00210A35">
              <w:rPr>
                <w:rFonts w:ascii="Arial" w:hAnsi="Arial" w:cs="Arial"/>
                <w:b/>
                <w:sz w:val="22"/>
                <w:szCs w:val="22"/>
                <w:lang w:val="pt-BR"/>
              </w:rPr>
              <w:t>25.1</w:t>
            </w:r>
          </w:p>
        </w:tc>
        <w:tc>
          <w:tcPr>
            <w:tcW w:w="8649" w:type="dxa"/>
          </w:tcPr>
          <w:p w14:paraId="3B4DB33F" w14:textId="1762B7FA" w:rsidR="008E0068" w:rsidRPr="00210A35" w:rsidRDefault="008E0068" w:rsidP="008E0068">
            <w:pPr>
              <w:pStyle w:val="wfxRecipient"/>
              <w:tabs>
                <w:tab w:val="right" w:pos="7308"/>
              </w:tabs>
              <w:overflowPunct/>
              <w:autoSpaceDE/>
              <w:autoSpaceDN/>
              <w:adjustRightInd/>
              <w:spacing w:before="100" w:after="100"/>
              <w:ind w:right="74"/>
              <w:jc w:val="both"/>
              <w:textAlignment w:val="auto"/>
              <w:rPr>
                <w:rFonts w:ascii="Arial" w:hAnsi="Arial" w:cs="Arial"/>
                <w:sz w:val="22"/>
                <w:szCs w:val="22"/>
                <w:highlight w:val="yellow"/>
                <w:lang w:val="es-ES"/>
              </w:rPr>
            </w:pPr>
            <w:r w:rsidRPr="00210A35">
              <w:rPr>
                <w:rFonts w:ascii="Arial" w:hAnsi="Arial" w:cs="Arial"/>
                <w:sz w:val="22"/>
                <w:szCs w:val="22"/>
                <w:lang w:val="es-ES"/>
              </w:rPr>
              <w:t xml:space="preserve">a. Las ofertas deberán recibirse a más tardar </w:t>
            </w:r>
            <w:r w:rsidRPr="00A4063E">
              <w:rPr>
                <w:rFonts w:ascii="Arial" w:hAnsi="Arial" w:cs="Arial"/>
                <w:sz w:val="22"/>
                <w:szCs w:val="22"/>
                <w:highlight w:val="yellow"/>
                <w:lang w:val="es-ES"/>
              </w:rPr>
              <w:t xml:space="preserve">el </w:t>
            </w:r>
            <w:r w:rsidR="004B50CC">
              <w:rPr>
                <w:rFonts w:ascii="Arial" w:hAnsi="Arial" w:cs="Arial"/>
                <w:sz w:val="22"/>
                <w:szCs w:val="22"/>
                <w:highlight w:val="yellow"/>
                <w:lang w:val="es-ES"/>
              </w:rPr>
              <w:t>20</w:t>
            </w:r>
            <w:r w:rsidR="006F18C0" w:rsidRPr="00A4063E">
              <w:rPr>
                <w:rFonts w:ascii="Arial" w:hAnsi="Arial" w:cs="Arial"/>
                <w:sz w:val="22"/>
                <w:szCs w:val="22"/>
                <w:highlight w:val="yellow"/>
                <w:lang w:val="es-ES"/>
              </w:rPr>
              <w:t xml:space="preserve"> </w:t>
            </w:r>
            <w:r w:rsidRPr="00A4063E">
              <w:rPr>
                <w:rFonts w:ascii="Arial" w:hAnsi="Arial" w:cs="Arial"/>
                <w:sz w:val="22"/>
                <w:szCs w:val="22"/>
                <w:highlight w:val="yellow"/>
                <w:lang w:val="es-ES"/>
              </w:rPr>
              <w:t xml:space="preserve">de </w:t>
            </w:r>
            <w:r w:rsidR="00B13EAD" w:rsidRPr="00A4063E">
              <w:rPr>
                <w:rFonts w:ascii="Arial" w:hAnsi="Arial" w:cs="Arial"/>
                <w:sz w:val="22"/>
                <w:szCs w:val="22"/>
                <w:highlight w:val="yellow"/>
                <w:lang w:val="es-ES"/>
              </w:rPr>
              <w:t>jul</w:t>
            </w:r>
            <w:r w:rsidR="00B903FF" w:rsidRPr="00A4063E">
              <w:rPr>
                <w:rFonts w:ascii="Arial" w:hAnsi="Arial" w:cs="Arial"/>
                <w:sz w:val="22"/>
                <w:szCs w:val="22"/>
                <w:highlight w:val="yellow"/>
                <w:lang w:val="es-ES"/>
              </w:rPr>
              <w:t>io</w:t>
            </w:r>
            <w:r w:rsidRPr="00A4063E">
              <w:rPr>
                <w:rFonts w:ascii="Arial" w:hAnsi="Arial" w:cs="Arial"/>
                <w:sz w:val="22"/>
                <w:szCs w:val="22"/>
                <w:highlight w:val="yellow"/>
                <w:lang w:val="es-ES"/>
              </w:rPr>
              <w:t xml:space="preserve"> del </w:t>
            </w:r>
            <w:r w:rsidRPr="00A4063E">
              <w:rPr>
                <w:rFonts w:ascii="Arial" w:hAnsi="Arial" w:cs="Arial"/>
                <w:i/>
                <w:sz w:val="22"/>
                <w:szCs w:val="22"/>
                <w:highlight w:val="yellow"/>
                <w:u w:val="single"/>
                <w:lang w:val="es-HN"/>
              </w:rPr>
              <w:t>2022</w:t>
            </w:r>
            <w:r w:rsidRPr="00210A35">
              <w:rPr>
                <w:rFonts w:ascii="Arial" w:hAnsi="Arial" w:cs="Arial"/>
                <w:sz w:val="22"/>
                <w:szCs w:val="22"/>
                <w:lang w:val="es-ES"/>
              </w:rPr>
              <w:t xml:space="preserve">, hasta las </w:t>
            </w:r>
            <w:r w:rsidR="00B903FF" w:rsidRPr="00210A35">
              <w:rPr>
                <w:rFonts w:ascii="Arial" w:hAnsi="Arial" w:cs="Arial"/>
                <w:sz w:val="22"/>
                <w:szCs w:val="22"/>
                <w:lang w:val="es-ES"/>
              </w:rPr>
              <w:t xml:space="preserve">11:00 a.m. </w:t>
            </w:r>
            <w:r w:rsidRPr="00210A35">
              <w:rPr>
                <w:rFonts w:ascii="Arial" w:hAnsi="Arial" w:cs="Arial"/>
                <w:sz w:val="22"/>
                <w:szCs w:val="22"/>
                <w:lang w:val="es-ES"/>
              </w:rPr>
              <w:t xml:space="preserve">en la dirección detallada en el aviso de la Licitación.  </w:t>
            </w:r>
          </w:p>
          <w:p w14:paraId="2EE258EC" w14:textId="4C4843BC" w:rsidR="0002748D" w:rsidRPr="00210A35" w:rsidRDefault="00B903FF" w:rsidP="004B50CC">
            <w:pPr>
              <w:pStyle w:val="wfxRecipient"/>
              <w:tabs>
                <w:tab w:val="right" w:pos="7308"/>
              </w:tabs>
              <w:overflowPunct/>
              <w:autoSpaceDE/>
              <w:autoSpaceDN/>
              <w:adjustRightInd/>
              <w:spacing w:before="100" w:after="100"/>
              <w:ind w:right="74"/>
              <w:jc w:val="both"/>
              <w:textAlignment w:val="auto"/>
              <w:rPr>
                <w:rFonts w:ascii="Arial" w:hAnsi="Arial" w:cs="Arial"/>
                <w:sz w:val="22"/>
                <w:szCs w:val="22"/>
              </w:rPr>
            </w:pPr>
            <w:r w:rsidRPr="00210A35">
              <w:rPr>
                <w:rFonts w:ascii="Arial" w:hAnsi="Arial" w:cs="Arial"/>
                <w:sz w:val="22"/>
                <w:szCs w:val="22"/>
                <w:lang w:val="es-ES"/>
              </w:rPr>
              <w:t xml:space="preserve">b. El plazo de la preparación de la oferta será de </w:t>
            </w:r>
            <w:r w:rsidR="004B50CC">
              <w:rPr>
                <w:rFonts w:ascii="Arial" w:hAnsi="Arial" w:cs="Arial"/>
                <w:sz w:val="22"/>
                <w:szCs w:val="22"/>
                <w:highlight w:val="yellow"/>
                <w:lang w:val="es-ES"/>
              </w:rPr>
              <w:t xml:space="preserve">cincuenta </w:t>
            </w:r>
            <w:r w:rsidRPr="00210A35">
              <w:rPr>
                <w:rFonts w:ascii="Arial" w:hAnsi="Arial" w:cs="Arial"/>
                <w:sz w:val="22"/>
                <w:szCs w:val="22"/>
                <w:highlight w:val="yellow"/>
                <w:lang w:val="es-ES"/>
              </w:rPr>
              <w:t xml:space="preserve">y </w:t>
            </w:r>
            <w:r w:rsidR="004B50CC">
              <w:rPr>
                <w:rFonts w:ascii="Arial" w:hAnsi="Arial" w:cs="Arial"/>
                <w:sz w:val="22"/>
                <w:szCs w:val="22"/>
                <w:highlight w:val="yellow"/>
                <w:lang w:val="es-ES"/>
              </w:rPr>
              <w:t>un (</w:t>
            </w:r>
            <w:r w:rsidR="00B13EAD" w:rsidRPr="00210A35">
              <w:rPr>
                <w:rFonts w:ascii="Arial" w:hAnsi="Arial" w:cs="Arial"/>
                <w:sz w:val="22"/>
                <w:szCs w:val="22"/>
                <w:highlight w:val="yellow"/>
                <w:lang w:val="es-ES"/>
              </w:rPr>
              <w:t>5</w:t>
            </w:r>
            <w:r w:rsidR="004B50CC">
              <w:rPr>
                <w:rFonts w:ascii="Arial" w:hAnsi="Arial" w:cs="Arial"/>
                <w:sz w:val="22"/>
                <w:szCs w:val="22"/>
                <w:highlight w:val="yellow"/>
                <w:lang w:val="es-ES"/>
              </w:rPr>
              <w:t>1</w:t>
            </w:r>
            <w:r w:rsidRPr="00210A35">
              <w:rPr>
                <w:rFonts w:ascii="Arial" w:hAnsi="Arial" w:cs="Arial"/>
                <w:sz w:val="22"/>
                <w:szCs w:val="22"/>
                <w:highlight w:val="yellow"/>
                <w:lang w:val="es-ES"/>
              </w:rPr>
              <w:t>) días</w:t>
            </w:r>
            <w:r w:rsidRPr="00210A35">
              <w:rPr>
                <w:rFonts w:ascii="Arial" w:hAnsi="Arial" w:cs="Arial"/>
                <w:sz w:val="22"/>
                <w:szCs w:val="22"/>
                <w:lang w:val="es-ES"/>
              </w:rPr>
              <w:t xml:space="preserve"> calendario.</w:t>
            </w:r>
            <w:r w:rsidRPr="00210A35">
              <w:t xml:space="preserve"> </w:t>
            </w:r>
            <w:r w:rsidR="00B13EAD" w:rsidRPr="00210A35">
              <w:rPr>
                <w:rFonts w:ascii="Arial" w:hAnsi="Arial" w:cs="Arial"/>
                <w:sz w:val="22"/>
                <w:szCs w:val="22"/>
                <w:lang w:val="es-ES"/>
              </w:rPr>
              <w:t xml:space="preserve">iniciando el día </w:t>
            </w:r>
            <w:r w:rsidR="00A4063E">
              <w:rPr>
                <w:rFonts w:ascii="Arial" w:hAnsi="Arial" w:cs="Arial"/>
                <w:sz w:val="22"/>
                <w:szCs w:val="22"/>
                <w:highlight w:val="yellow"/>
                <w:lang w:val="es-ES"/>
              </w:rPr>
              <w:t>31</w:t>
            </w:r>
            <w:r w:rsidRPr="00210A35">
              <w:rPr>
                <w:rFonts w:ascii="Arial" w:hAnsi="Arial" w:cs="Arial"/>
                <w:sz w:val="22"/>
                <w:szCs w:val="22"/>
                <w:highlight w:val="yellow"/>
                <w:lang w:val="es-ES"/>
              </w:rPr>
              <w:t xml:space="preserve"> de </w:t>
            </w:r>
            <w:r w:rsidR="00B13EAD" w:rsidRPr="00210A35">
              <w:rPr>
                <w:rFonts w:ascii="Arial" w:hAnsi="Arial" w:cs="Arial"/>
                <w:sz w:val="22"/>
                <w:szCs w:val="22"/>
                <w:highlight w:val="yellow"/>
                <w:lang w:val="es-ES"/>
              </w:rPr>
              <w:t>mayo</w:t>
            </w:r>
            <w:bookmarkStart w:id="367" w:name="_GoBack"/>
            <w:bookmarkEnd w:id="367"/>
            <w:r w:rsidRPr="00210A35">
              <w:rPr>
                <w:rFonts w:ascii="Arial" w:hAnsi="Arial" w:cs="Arial"/>
                <w:sz w:val="22"/>
                <w:szCs w:val="22"/>
                <w:highlight w:val="yellow"/>
                <w:lang w:val="es-ES"/>
              </w:rPr>
              <w:t xml:space="preserve"> del año 2022.</w:t>
            </w:r>
          </w:p>
        </w:tc>
      </w:tr>
      <w:tr w:rsidR="0002748D" w:rsidRPr="00A33F6B" w14:paraId="768BA0F8" w14:textId="77777777" w:rsidTr="00B903FF">
        <w:trPr>
          <w:trHeight w:val="20"/>
        </w:trPr>
        <w:tc>
          <w:tcPr>
            <w:tcW w:w="990" w:type="dxa"/>
          </w:tcPr>
          <w:p w14:paraId="320ABF6B" w14:textId="77777777" w:rsidR="0002748D" w:rsidRPr="00641AB0" w:rsidDel="00BA215C" w:rsidRDefault="0002748D" w:rsidP="0002748D">
            <w:pPr>
              <w:tabs>
                <w:tab w:val="right" w:pos="7434"/>
              </w:tabs>
              <w:spacing w:before="60" w:after="60"/>
              <w:jc w:val="center"/>
              <w:rPr>
                <w:rFonts w:ascii="Arial" w:hAnsi="Arial" w:cs="Arial"/>
                <w:b/>
                <w:sz w:val="22"/>
                <w:szCs w:val="22"/>
                <w:lang w:val="es-ES"/>
              </w:rPr>
            </w:pPr>
            <w:r w:rsidRPr="00641AB0">
              <w:rPr>
                <w:rFonts w:ascii="Arial" w:hAnsi="Arial" w:cs="Arial"/>
                <w:b/>
                <w:sz w:val="22"/>
                <w:szCs w:val="22"/>
                <w:lang w:val="es-ES"/>
              </w:rPr>
              <w:t>25.3</w:t>
            </w:r>
          </w:p>
        </w:tc>
        <w:tc>
          <w:tcPr>
            <w:tcW w:w="8649" w:type="dxa"/>
          </w:tcPr>
          <w:p w14:paraId="615E37B2" w14:textId="77777777" w:rsidR="0002748D" w:rsidRPr="00641AB0" w:rsidRDefault="008E0068" w:rsidP="0002748D">
            <w:pPr>
              <w:pStyle w:val="wfxRecipient"/>
              <w:tabs>
                <w:tab w:val="right" w:pos="7308"/>
              </w:tabs>
              <w:overflowPunct/>
              <w:autoSpaceDE/>
              <w:autoSpaceDN/>
              <w:adjustRightInd/>
              <w:spacing w:before="100" w:after="100"/>
              <w:ind w:right="74"/>
              <w:jc w:val="both"/>
              <w:textAlignment w:val="auto"/>
              <w:rPr>
                <w:rFonts w:ascii="Arial" w:hAnsi="Arial" w:cs="Arial"/>
                <w:sz w:val="22"/>
                <w:szCs w:val="22"/>
              </w:rPr>
            </w:pPr>
            <w:r w:rsidRPr="00344818">
              <w:rPr>
                <w:rFonts w:ascii="Arial" w:hAnsi="Arial" w:cs="Arial"/>
                <w:sz w:val="22"/>
                <w:szCs w:val="22"/>
                <w:lang w:val="es-ES"/>
              </w:rPr>
              <w:t xml:space="preserve">Los oferentes </w:t>
            </w:r>
            <w:r w:rsidRPr="00344818">
              <w:rPr>
                <w:rFonts w:ascii="Arial" w:hAnsi="Arial" w:cs="Arial"/>
                <w:i/>
                <w:sz w:val="22"/>
                <w:szCs w:val="22"/>
                <w:lang w:val="es-ES"/>
              </w:rPr>
              <w:t xml:space="preserve">no tendrán </w:t>
            </w:r>
            <w:r w:rsidRPr="00344818">
              <w:rPr>
                <w:rFonts w:ascii="Arial" w:hAnsi="Arial" w:cs="Arial"/>
                <w:sz w:val="22"/>
                <w:szCs w:val="22"/>
                <w:lang w:val="es-ES"/>
              </w:rPr>
              <w:t>la opción de presentar sus ofertas de manera electrónica</w:t>
            </w:r>
          </w:p>
        </w:tc>
      </w:tr>
      <w:tr w:rsidR="00B36B13" w:rsidRPr="00A33F6B" w14:paraId="569FE006" w14:textId="77777777" w:rsidTr="00B903FF">
        <w:trPr>
          <w:trHeight w:val="20"/>
        </w:trPr>
        <w:tc>
          <w:tcPr>
            <w:tcW w:w="990" w:type="dxa"/>
          </w:tcPr>
          <w:p w14:paraId="65AB4D37" w14:textId="77777777" w:rsidR="00B36B13" w:rsidRPr="00641AB0" w:rsidDel="00BE7BA6" w:rsidRDefault="00B36B13" w:rsidP="00B36B13">
            <w:pPr>
              <w:tabs>
                <w:tab w:val="right" w:pos="7434"/>
              </w:tabs>
              <w:spacing w:before="60" w:after="60"/>
              <w:jc w:val="center"/>
              <w:rPr>
                <w:rFonts w:ascii="Arial" w:hAnsi="Arial" w:cs="Arial"/>
                <w:b/>
                <w:sz w:val="22"/>
                <w:szCs w:val="22"/>
                <w:lang w:val="es-ES"/>
              </w:rPr>
            </w:pPr>
            <w:r w:rsidRPr="00641AB0">
              <w:rPr>
                <w:rFonts w:ascii="Arial" w:hAnsi="Arial" w:cs="Arial"/>
                <w:b/>
                <w:sz w:val="22"/>
                <w:szCs w:val="22"/>
                <w:lang w:val="es-ES"/>
              </w:rPr>
              <w:t>28.2</w:t>
            </w:r>
          </w:p>
        </w:tc>
        <w:tc>
          <w:tcPr>
            <w:tcW w:w="8649" w:type="dxa"/>
          </w:tcPr>
          <w:p w14:paraId="77BE3262" w14:textId="77777777" w:rsidR="00B36B13" w:rsidRPr="00641AB0" w:rsidRDefault="00B36B13" w:rsidP="00B36B13">
            <w:pPr>
              <w:widowControl w:val="0"/>
              <w:tabs>
                <w:tab w:val="right" w:pos="7254"/>
              </w:tabs>
              <w:spacing w:before="120" w:after="120"/>
              <w:rPr>
                <w:rFonts w:ascii="Arial" w:hAnsi="Arial" w:cs="Arial"/>
                <w:bCs/>
                <w:i/>
                <w:color w:val="000000" w:themeColor="text1"/>
                <w:sz w:val="22"/>
                <w:szCs w:val="22"/>
                <w:lang w:val="es-ES"/>
              </w:rPr>
            </w:pPr>
            <w:r w:rsidRPr="00344818">
              <w:rPr>
                <w:rFonts w:ascii="Arial" w:hAnsi="Arial" w:cs="Arial"/>
                <w:color w:val="000000" w:themeColor="text1"/>
                <w:sz w:val="22"/>
                <w:szCs w:val="22"/>
                <w:lang w:val="es-ES"/>
              </w:rPr>
              <w:t xml:space="preserve">La Carta de la Oferta y todas las páginas de la Lista de Cantidades o Lista de Actividades con sus precios deberán estar firmadas con las iniciales de </w:t>
            </w:r>
            <w:r w:rsidRPr="00344818">
              <w:rPr>
                <w:rFonts w:ascii="Arial" w:hAnsi="Arial" w:cs="Arial"/>
                <w:sz w:val="22"/>
                <w:szCs w:val="22"/>
                <w:lang w:val="es-ES"/>
              </w:rPr>
              <w:t xml:space="preserve">3 </w:t>
            </w:r>
            <w:r w:rsidRPr="00344818">
              <w:rPr>
                <w:rFonts w:ascii="Arial" w:hAnsi="Arial" w:cs="Arial"/>
                <w:i/>
                <w:sz w:val="22"/>
                <w:szCs w:val="22"/>
                <w:lang w:val="es-ES"/>
              </w:rPr>
              <w:t xml:space="preserve">(Tres) </w:t>
            </w:r>
            <w:r w:rsidRPr="00344818">
              <w:rPr>
                <w:rFonts w:ascii="Arial" w:hAnsi="Arial" w:cs="Arial"/>
                <w:color w:val="000000" w:themeColor="text1"/>
                <w:sz w:val="22"/>
                <w:szCs w:val="22"/>
                <w:lang w:val="es-ES"/>
              </w:rPr>
              <w:t>representantes del Contratante que realizan la apertura de las Ofertas</w:t>
            </w:r>
            <w:r w:rsidRPr="00344818">
              <w:rPr>
                <w:rFonts w:ascii="Arial" w:hAnsi="Arial" w:cs="Arial"/>
                <w:i/>
                <w:color w:val="000000" w:themeColor="text1"/>
                <w:sz w:val="22"/>
                <w:szCs w:val="22"/>
                <w:lang w:val="es-ES"/>
              </w:rPr>
              <w:t>.</w:t>
            </w:r>
          </w:p>
        </w:tc>
      </w:tr>
      <w:tr w:rsidR="00B36B13" w:rsidRPr="00A33F6B" w14:paraId="24AFBA49" w14:textId="77777777" w:rsidTr="00B903FF">
        <w:trPr>
          <w:trHeight w:val="20"/>
        </w:trPr>
        <w:tc>
          <w:tcPr>
            <w:tcW w:w="9639" w:type="dxa"/>
            <w:gridSpan w:val="2"/>
            <w:shd w:val="clear" w:color="auto" w:fill="00B050"/>
            <w:vAlign w:val="center"/>
          </w:tcPr>
          <w:p w14:paraId="4E621AEC" w14:textId="77777777" w:rsidR="00B36B13" w:rsidRPr="00641AB0" w:rsidRDefault="00B36B13" w:rsidP="00B36B13">
            <w:pPr>
              <w:autoSpaceDE w:val="0"/>
              <w:autoSpaceDN w:val="0"/>
              <w:adjustRightInd w:val="0"/>
              <w:spacing w:before="100" w:after="100"/>
              <w:jc w:val="center"/>
              <w:rPr>
                <w:rFonts w:ascii="Arial" w:hAnsi="Arial" w:cs="Arial"/>
                <w:color w:val="FFFFFF" w:themeColor="background1"/>
                <w:sz w:val="22"/>
                <w:szCs w:val="22"/>
                <w:lang w:val="pt-BR"/>
              </w:rPr>
            </w:pPr>
            <w:r w:rsidRPr="00641AB0">
              <w:rPr>
                <w:rFonts w:ascii="Arial" w:hAnsi="Arial" w:cs="Arial"/>
                <w:b/>
                <w:color w:val="FFFFFF" w:themeColor="background1"/>
                <w:sz w:val="22"/>
                <w:szCs w:val="22"/>
                <w:lang w:val="es-ES"/>
              </w:rPr>
              <w:t>E. Evaluación y comparación de las Ofertas</w:t>
            </w:r>
          </w:p>
        </w:tc>
      </w:tr>
      <w:tr w:rsidR="00B36B13" w:rsidRPr="00A33F6B" w:rsidDel="00BC4F74" w14:paraId="51B940B0" w14:textId="77777777" w:rsidTr="00B903FF">
        <w:trPr>
          <w:trHeight w:val="20"/>
        </w:trPr>
        <w:tc>
          <w:tcPr>
            <w:tcW w:w="990" w:type="dxa"/>
            <w:vAlign w:val="center"/>
          </w:tcPr>
          <w:p w14:paraId="048A413D" w14:textId="77777777" w:rsidR="00B36B13" w:rsidRPr="00641AB0" w:rsidDel="00A17444" w:rsidRDefault="00B36B13" w:rsidP="00B36B13">
            <w:pPr>
              <w:tabs>
                <w:tab w:val="right" w:pos="7434"/>
              </w:tabs>
              <w:spacing w:before="100" w:after="100"/>
              <w:jc w:val="center"/>
              <w:rPr>
                <w:rFonts w:ascii="Arial" w:hAnsi="Arial" w:cs="Arial"/>
                <w:b/>
                <w:sz w:val="22"/>
                <w:szCs w:val="22"/>
                <w:lang w:val="es-ES"/>
              </w:rPr>
            </w:pPr>
            <w:r w:rsidRPr="00641AB0">
              <w:rPr>
                <w:rFonts w:ascii="Arial" w:hAnsi="Arial" w:cs="Arial"/>
                <w:b/>
                <w:sz w:val="22"/>
                <w:szCs w:val="22"/>
                <w:lang w:val="es-ES"/>
              </w:rPr>
              <w:t>30.2</w:t>
            </w:r>
          </w:p>
        </w:tc>
        <w:tc>
          <w:tcPr>
            <w:tcW w:w="8649" w:type="dxa"/>
          </w:tcPr>
          <w:p w14:paraId="46F575E9" w14:textId="77777777" w:rsidR="00B36B13" w:rsidRPr="00641AB0" w:rsidDel="00BC4F74" w:rsidRDefault="00B36B13" w:rsidP="00B36B13">
            <w:pPr>
              <w:spacing w:before="100" w:after="100"/>
              <w:ind w:right="74"/>
              <w:rPr>
                <w:rFonts w:ascii="Arial" w:hAnsi="Arial" w:cs="Arial"/>
                <w:sz w:val="22"/>
                <w:szCs w:val="22"/>
                <w:lang w:val="es-HN"/>
              </w:rPr>
            </w:pPr>
            <w:r w:rsidRPr="00344818">
              <w:rPr>
                <w:rFonts w:ascii="Arial" w:hAnsi="Arial" w:cs="Arial"/>
                <w:sz w:val="22"/>
                <w:szCs w:val="22"/>
                <w:lang w:val="es-HN"/>
              </w:rPr>
              <w:t>El plazo para presentar aclaraciones o información adicional que solicite el Contratante será de al menos</w:t>
            </w:r>
            <w:r w:rsidRPr="00344818">
              <w:rPr>
                <w:rFonts w:ascii="Arial" w:hAnsi="Arial" w:cs="Arial"/>
                <w:i/>
                <w:color w:val="FF0000"/>
                <w:sz w:val="22"/>
                <w:szCs w:val="22"/>
                <w:lang w:val="es-HN"/>
              </w:rPr>
              <w:t xml:space="preserve"> </w:t>
            </w:r>
            <w:r w:rsidRPr="00344818">
              <w:rPr>
                <w:rFonts w:ascii="Arial" w:hAnsi="Arial" w:cs="Arial"/>
                <w:sz w:val="22"/>
                <w:szCs w:val="22"/>
                <w:lang w:val="es-HN"/>
              </w:rPr>
              <w:t>tres (3)</w:t>
            </w:r>
            <w:r w:rsidRPr="00344818">
              <w:rPr>
                <w:rFonts w:ascii="Arial" w:hAnsi="Arial" w:cs="Arial"/>
                <w:i/>
                <w:color w:val="FF0000"/>
                <w:sz w:val="22"/>
                <w:szCs w:val="22"/>
                <w:lang w:val="es-HN"/>
              </w:rPr>
              <w:t xml:space="preserve"> </w:t>
            </w:r>
            <w:r w:rsidRPr="00344818">
              <w:rPr>
                <w:rFonts w:ascii="Arial" w:hAnsi="Arial" w:cs="Arial"/>
                <w:sz w:val="22"/>
                <w:szCs w:val="22"/>
                <w:lang w:val="es-HN"/>
              </w:rPr>
              <w:t>días hábiles contados a partir del día siguiente de la solicitud.</w:t>
            </w:r>
          </w:p>
        </w:tc>
      </w:tr>
      <w:tr w:rsidR="00B36B13" w:rsidRPr="00A33F6B" w14:paraId="6F346A0B" w14:textId="77777777" w:rsidTr="00B903FF">
        <w:trPr>
          <w:trHeight w:val="20"/>
        </w:trPr>
        <w:tc>
          <w:tcPr>
            <w:tcW w:w="990" w:type="dxa"/>
            <w:vAlign w:val="center"/>
          </w:tcPr>
          <w:p w14:paraId="4AF37FFF" w14:textId="77777777" w:rsidR="00B36B13" w:rsidRPr="00641AB0" w:rsidRDefault="00B36B13" w:rsidP="00B36B13">
            <w:pPr>
              <w:spacing w:before="100" w:after="100"/>
              <w:jc w:val="center"/>
              <w:rPr>
                <w:rFonts w:ascii="Arial" w:hAnsi="Arial" w:cs="Arial"/>
                <w:b/>
                <w:sz w:val="22"/>
                <w:szCs w:val="22"/>
                <w:lang w:val="es-ES"/>
              </w:rPr>
            </w:pPr>
            <w:r w:rsidRPr="00641AB0">
              <w:rPr>
                <w:rFonts w:ascii="Arial" w:hAnsi="Arial" w:cs="Arial"/>
                <w:b/>
                <w:sz w:val="22"/>
                <w:szCs w:val="22"/>
                <w:lang w:val="es-ES"/>
              </w:rPr>
              <w:t>41.1</w:t>
            </w:r>
          </w:p>
        </w:tc>
        <w:tc>
          <w:tcPr>
            <w:tcW w:w="8649" w:type="dxa"/>
          </w:tcPr>
          <w:p w14:paraId="7A822E3A" w14:textId="77777777" w:rsidR="00B36B13" w:rsidRPr="00641AB0" w:rsidRDefault="00B36B13" w:rsidP="00B36B13">
            <w:pPr>
              <w:tabs>
                <w:tab w:val="right" w:pos="7254"/>
              </w:tabs>
              <w:spacing w:before="100" w:after="100"/>
              <w:rPr>
                <w:rFonts w:ascii="Arial" w:hAnsi="Arial" w:cs="Arial"/>
                <w:sz w:val="22"/>
                <w:szCs w:val="22"/>
                <w:lang w:val="es-HN"/>
              </w:rPr>
            </w:pPr>
            <w:r w:rsidRPr="00641AB0">
              <w:rPr>
                <w:rFonts w:ascii="Arial" w:hAnsi="Arial" w:cs="Arial"/>
                <w:sz w:val="22"/>
                <w:szCs w:val="22"/>
                <w:lang w:val="es-HN"/>
              </w:rPr>
              <w:t xml:space="preserve">El proceso se realiza en una situación de emergencia reconocida por el BCIE: </w:t>
            </w:r>
            <w:r w:rsidRPr="00641AB0">
              <w:rPr>
                <w:rFonts w:ascii="Arial" w:hAnsi="Arial" w:cs="Arial"/>
                <w:sz w:val="22"/>
                <w:szCs w:val="22"/>
              </w:rPr>
              <w:t>____</w:t>
            </w:r>
            <w:r w:rsidRPr="00641AB0">
              <w:rPr>
                <w:rFonts w:ascii="Arial" w:hAnsi="Arial" w:cs="Arial"/>
                <w:sz w:val="22"/>
                <w:szCs w:val="22"/>
                <w:lang w:val="es-HN"/>
              </w:rPr>
              <w:t>(Si</w:t>
            </w:r>
            <w:r w:rsidRPr="00641AB0">
              <w:rPr>
                <w:rFonts w:ascii="Arial" w:hAnsi="Arial" w:cs="Arial"/>
                <w:sz w:val="22"/>
                <w:szCs w:val="22"/>
              </w:rPr>
              <w:t>) __</w:t>
            </w:r>
            <w:r>
              <w:rPr>
                <w:rFonts w:ascii="Arial" w:hAnsi="Arial" w:cs="Arial"/>
                <w:sz w:val="22"/>
                <w:szCs w:val="22"/>
                <w:u w:val="single"/>
              </w:rPr>
              <w:t>X</w:t>
            </w:r>
            <w:r w:rsidRPr="00641AB0">
              <w:rPr>
                <w:rFonts w:ascii="Arial" w:hAnsi="Arial" w:cs="Arial"/>
                <w:sz w:val="22"/>
                <w:szCs w:val="22"/>
              </w:rPr>
              <w:t>_(</w:t>
            </w:r>
            <w:r w:rsidRPr="00641AB0">
              <w:rPr>
                <w:rFonts w:ascii="Arial" w:hAnsi="Arial" w:cs="Arial"/>
                <w:sz w:val="22"/>
                <w:szCs w:val="22"/>
                <w:lang w:val="es-HN"/>
              </w:rPr>
              <w:t>No)</w:t>
            </w:r>
          </w:p>
        </w:tc>
      </w:tr>
      <w:tr w:rsidR="00B36B13" w:rsidRPr="00A33F6B" w14:paraId="76FABE1E" w14:textId="77777777" w:rsidTr="00B903FF">
        <w:trPr>
          <w:trHeight w:val="20"/>
        </w:trPr>
        <w:tc>
          <w:tcPr>
            <w:tcW w:w="990" w:type="dxa"/>
            <w:vAlign w:val="center"/>
          </w:tcPr>
          <w:p w14:paraId="48D51551" w14:textId="77777777" w:rsidR="00B36B13" w:rsidRPr="00641AB0" w:rsidRDefault="00B36B13" w:rsidP="00B36B13">
            <w:pPr>
              <w:spacing w:before="100" w:after="100"/>
              <w:jc w:val="center"/>
              <w:rPr>
                <w:rFonts w:ascii="Arial" w:hAnsi="Arial" w:cs="Arial"/>
                <w:b/>
                <w:sz w:val="22"/>
                <w:szCs w:val="22"/>
                <w:lang w:val="es-ES"/>
              </w:rPr>
            </w:pPr>
            <w:r w:rsidRPr="00641AB0">
              <w:rPr>
                <w:rFonts w:ascii="Arial" w:hAnsi="Arial" w:cs="Arial"/>
                <w:b/>
                <w:sz w:val="22"/>
                <w:szCs w:val="22"/>
                <w:lang w:val="es-ES"/>
              </w:rPr>
              <w:t>41.3</w:t>
            </w:r>
          </w:p>
        </w:tc>
        <w:tc>
          <w:tcPr>
            <w:tcW w:w="8649" w:type="dxa"/>
          </w:tcPr>
          <w:p w14:paraId="319F9EDE" w14:textId="77777777" w:rsidR="00B36B13" w:rsidRPr="00344818" w:rsidRDefault="00B36B13" w:rsidP="00B36B13">
            <w:pPr>
              <w:spacing w:before="100" w:after="100"/>
              <w:rPr>
                <w:rFonts w:ascii="Arial" w:hAnsi="Arial" w:cs="Arial"/>
                <w:sz w:val="22"/>
                <w:szCs w:val="22"/>
                <w:lang w:val="es-HN"/>
              </w:rPr>
            </w:pPr>
            <w:r w:rsidRPr="00344818">
              <w:rPr>
                <w:rFonts w:ascii="Arial" w:hAnsi="Arial" w:cs="Arial"/>
                <w:sz w:val="22"/>
                <w:szCs w:val="22"/>
                <w:lang w:val="es-HN"/>
              </w:rPr>
              <w:t>Todas las protestas deben enviarse por escrito a cualquiera de las siguientes direcciones:</w:t>
            </w:r>
          </w:p>
          <w:p w14:paraId="539E6757" w14:textId="77777777" w:rsidR="00B36B13" w:rsidRPr="00344818" w:rsidRDefault="00B36B13" w:rsidP="00B36B13">
            <w:pPr>
              <w:shd w:val="clear" w:color="auto" w:fill="FFFFFF"/>
              <w:spacing w:before="120" w:after="120"/>
              <w:ind w:left="340" w:hanging="340"/>
              <w:rPr>
                <w:rFonts w:ascii="Arial" w:hAnsi="Arial" w:cs="Arial"/>
                <w:sz w:val="22"/>
                <w:szCs w:val="22"/>
                <w:lang w:val="es-HN"/>
              </w:rPr>
            </w:pPr>
            <w:r w:rsidRPr="00344818">
              <w:rPr>
                <w:rFonts w:ascii="Arial" w:hAnsi="Arial" w:cs="Arial"/>
                <w:b/>
                <w:bCs/>
                <w:color w:val="212121"/>
                <w:sz w:val="22"/>
                <w:szCs w:val="22"/>
                <w:lang w:val="es-ES"/>
              </w:rPr>
              <w:lastRenderedPageBreak/>
              <w:t>A la atención de</w:t>
            </w:r>
            <w:r w:rsidRPr="00344818">
              <w:rPr>
                <w:rFonts w:ascii="Arial" w:hAnsi="Arial" w:cs="Arial"/>
                <w:color w:val="212121"/>
                <w:sz w:val="22"/>
                <w:szCs w:val="22"/>
                <w:lang w:val="es-ES"/>
              </w:rPr>
              <w:t xml:space="preserve">: </w:t>
            </w:r>
            <w:r w:rsidRPr="00344818">
              <w:rPr>
                <w:rFonts w:ascii="Arial" w:hAnsi="Arial" w:cs="Arial"/>
                <w:i/>
                <w:iCs/>
                <w:sz w:val="22"/>
                <w:szCs w:val="22"/>
              </w:rPr>
              <w:t>Hortencia Aracely Robelo Somarriba</w:t>
            </w:r>
          </w:p>
          <w:p w14:paraId="7EEF5363" w14:textId="77777777" w:rsidR="00B36B13" w:rsidRPr="00344818" w:rsidRDefault="00B36B13" w:rsidP="00B36B13">
            <w:pPr>
              <w:shd w:val="clear" w:color="auto" w:fill="FFFFFF"/>
              <w:spacing w:before="120" w:after="120"/>
              <w:ind w:left="340" w:hanging="340"/>
              <w:rPr>
                <w:rFonts w:ascii="Arial" w:hAnsi="Arial" w:cs="Arial"/>
                <w:sz w:val="22"/>
                <w:szCs w:val="22"/>
                <w:lang w:val="es-HN"/>
              </w:rPr>
            </w:pPr>
            <w:r w:rsidRPr="00344818">
              <w:rPr>
                <w:rFonts w:ascii="Arial" w:hAnsi="Arial" w:cs="Arial"/>
                <w:b/>
                <w:bCs/>
                <w:sz w:val="22"/>
                <w:szCs w:val="22"/>
                <w:lang w:val="es-ES"/>
              </w:rPr>
              <w:t>Título / posición</w:t>
            </w:r>
            <w:r w:rsidRPr="00344818">
              <w:rPr>
                <w:rFonts w:ascii="Arial" w:hAnsi="Arial" w:cs="Arial"/>
                <w:sz w:val="22"/>
                <w:szCs w:val="22"/>
                <w:lang w:val="es-ES"/>
              </w:rPr>
              <w:t xml:space="preserve">: </w:t>
            </w:r>
            <w:r w:rsidRPr="00344818">
              <w:rPr>
                <w:rFonts w:ascii="Arial" w:hAnsi="Arial" w:cs="Arial"/>
                <w:i/>
                <w:iCs/>
                <w:sz w:val="22"/>
                <w:szCs w:val="22"/>
                <w:lang w:val="es-ES"/>
              </w:rPr>
              <w:t>Licenciada /Directora División de Adquisiciones</w:t>
            </w:r>
          </w:p>
          <w:p w14:paraId="3E5EF48D" w14:textId="77777777" w:rsidR="00B36B13" w:rsidRPr="00344818" w:rsidRDefault="00B36B13" w:rsidP="00B36B13">
            <w:pPr>
              <w:shd w:val="clear" w:color="auto" w:fill="FFFFFF"/>
              <w:spacing w:before="120" w:after="120"/>
              <w:ind w:left="340" w:hanging="340"/>
              <w:rPr>
                <w:rFonts w:ascii="Arial" w:hAnsi="Arial" w:cs="Arial"/>
                <w:sz w:val="22"/>
                <w:szCs w:val="22"/>
                <w:lang w:val="es-HN"/>
              </w:rPr>
            </w:pPr>
            <w:r w:rsidRPr="00344818">
              <w:rPr>
                <w:rFonts w:ascii="Arial" w:hAnsi="Arial" w:cs="Arial"/>
                <w:b/>
                <w:bCs/>
                <w:sz w:val="22"/>
                <w:szCs w:val="22"/>
                <w:lang w:val="es-ES"/>
              </w:rPr>
              <w:t>Contratante</w:t>
            </w:r>
            <w:r w:rsidRPr="00344818">
              <w:rPr>
                <w:rFonts w:ascii="Arial" w:hAnsi="Arial" w:cs="Arial"/>
                <w:sz w:val="22"/>
                <w:szCs w:val="22"/>
                <w:lang w:val="es-ES"/>
              </w:rPr>
              <w:t xml:space="preserve">: </w:t>
            </w:r>
            <w:r w:rsidRPr="00344818">
              <w:rPr>
                <w:rFonts w:ascii="Arial" w:hAnsi="Arial" w:cs="Arial"/>
                <w:i/>
                <w:iCs/>
                <w:sz w:val="22"/>
                <w:szCs w:val="22"/>
              </w:rPr>
              <w:t>Fondo de Inversión Social de Emergencia (FISE)</w:t>
            </w:r>
          </w:p>
          <w:p w14:paraId="5BD89B2A" w14:textId="77777777" w:rsidR="00B36B13" w:rsidRPr="00344818" w:rsidRDefault="00B36B13" w:rsidP="00B36B13">
            <w:pPr>
              <w:shd w:val="clear" w:color="auto" w:fill="FFFFFF"/>
              <w:spacing w:before="120" w:after="120"/>
              <w:ind w:left="340" w:hanging="340"/>
              <w:rPr>
                <w:rFonts w:ascii="Arial" w:hAnsi="Arial" w:cs="Arial"/>
                <w:color w:val="FF0000"/>
                <w:sz w:val="22"/>
                <w:szCs w:val="22"/>
                <w:lang w:val="es-ES"/>
              </w:rPr>
            </w:pPr>
            <w:r w:rsidRPr="00344818">
              <w:rPr>
                <w:rFonts w:ascii="Arial" w:hAnsi="Arial" w:cs="Arial"/>
                <w:b/>
                <w:bCs/>
                <w:color w:val="212121"/>
                <w:sz w:val="22"/>
                <w:szCs w:val="22"/>
                <w:lang w:val="es-ES"/>
              </w:rPr>
              <w:t xml:space="preserve">Dirección de correo electrónico: </w:t>
            </w:r>
            <w:hyperlink r:id="rId26" w:history="1">
              <w:r w:rsidRPr="00344818">
                <w:rPr>
                  <w:rStyle w:val="Hipervnculo"/>
                  <w:rFonts w:ascii="Arial" w:hAnsi="Arial" w:cs="Arial"/>
                  <w:i/>
                  <w:iCs/>
                  <w:noProof w:val="0"/>
                  <w:sz w:val="22"/>
                  <w:szCs w:val="22"/>
                  <w:lang w:val="es-HN"/>
                </w:rPr>
                <w:t>ARobelo@fise.gob.ni</w:t>
              </w:r>
            </w:hyperlink>
            <w:r w:rsidRPr="00344818">
              <w:rPr>
                <w:rFonts w:ascii="Arial" w:hAnsi="Arial" w:cs="Arial"/>
                <w:i/>
                <w:iCs/>
                <w:sz w:val="22"/>
                <w:szCs w:val="22"/>
                <w:lang w:val="es-ES"/>
              </w:rPr>
              <w:t>; con copia a</w:t>
            </w:r>
            <w:r w:rsidRPr="00344818">
              <w:rPr>
                <w:rFonts w:ascii="Arial" w:hAnsi="Arial" w:cs="Arial"/>
                <w:i/>
                <w:sz w:val="22"/>
                <w:szCs w:val="22"/>
                <w:lang w:val="es-HN"/>
              </w:rPr>
              <w:t>:</w:t>
            </w:r>
            <w:r w:rsidRPr="00344818">
              <w:rPr>
                <w:rStyle w:val="Hipervnculo"/>
                <w:rFonts w:ascii="Arial" w:hAnsi="Arial" w:cs="Arial"/>
                <w:noProof w:val="0"/>
                <w:sz w:val="22"/>
                <w:szCs w:val="22"/>
              </w:rPr>
              <w:t xml:space="preserve"> </w:t>
            </w:r>
            <w:r w:rsidRPr="00344818">
              <w:rPr>
                <w:rStyle w:val="Hipervnculo"/>
                <w:rFonts w:ascii="Arial" w:hAnsi="Arial" w:cs="Arial"/>
                <w:i/>
                <w:noProof w:val="0"/>
                <w:sz w:val="22"/>
                <w:szCs w:val="22"/>
                <w:lang w:val="es-HN"/>
              </w:rPr>
              <w:t xml:space="preserve">BSMendoza@fise.gob.ni; </w:t>
            </w:r>
            <w:hyperlink r:id="rId27" w:history="1">
              <w:r w:rsidRPr="009F1D58">
                <w:rPr>
                  <w:rStyle w:val="Hipervnculo"/>
                  <w:rFonts w:ascii="Arial" w:hAnsi="Arial" w:cs="Arial"/>
                  <w:i/>
                  <w:noProof w:val="0"/>
                  <w:sz w:val="22"/>
                  <w:szCs w:val="22"/>
                  <w:lang w:val="es-HN"/>
                </w:rPr>
                <w:t>YIGodinez@fise.gob.ni</w:t>
              </w:r>
            </w:hyperlink>
            <w:r w:rsidRPr="00344818">
              <w:rPr>
                <w:rFonts w:ascii="Arial" w:hAnsi="Arial" w:cs="Arial"/>
                <w:i/>
                <w:color w:val="FF0000"/>
                <w:sz w:val="22"/>
                <w:szCs w:val="22"/>
                <w:lang w:val="es-HN"/>
              </w:rPr>
              <w:t xml:space="preserve"> .</w:t>
            </w:r>
          </w:p>
          <w:p w14:paraId="1FC58136" w14:textId="77777777" w:rsidR="00B36B13" w:rsidRPr="00641AB0" w:rsidRDefault="00B36B13" w:rsidP="00B36B13">
            <w:pPr>
              <w:tabs>
                <w:tab w:val="right" w:pos="7254"/>
              </w:tabs>
              <w:spacing w:before="100" w:after="100"/>
              <w:ind w:left="335" w:hanging="340"/>
              <w:rPr>
                <w:rFonts w:ascii="Arial" w:hAnsi="Arial" w:cs="Arial"/>
                <w:sz w:val="22"/>
                <w:szCs w:val="22"/>
                <w:lang w:val="es-HN"/>
              </w:rPr>
            </w:pPr>
            <w:r w:rsidRPr="00344818">
              <w:rPr>
                <w:rFonts w:ascii="Arial" w:hAnsi="Arial" w:cs="Arial"/>
                <w:b/>
                <w:bCs/>
                <w:color w:val="212121"/>
                <w:sz w:val="22"/>
                <w:szCs w:val="22"/>
                <w:lang w:val="es-ES"/>
              </w:rPr>
              <w:t xml:space="preserve">Dirección física: </w:t>
            </w:r>
            <w:r w:rsidRPr="00344818">
              <w:rPr>
                <w:rFonts w:ascii="Arial" w:hAnsi="Arial" w:cs="Arial"/>
                <w:iCs/>
                <w:sz w:val="22"/>
                <w:szCs w:val="22"/>
              </w:rPr>
              <w:t>De la Iglesia San Agustín, 1 cuadra al Oeste, 10 varas al Sur. Altamira D´Este.</w:t>
            </w:r>
          </w:p>
        </w:tc>
      </w:tr>
      <w:tr w:rsidR="00B36B13" w:rsidRPr="00A33F6B" w14:paraId="71D15FAE" w14:textId="77777777" w:rsidTr="00B903FF">
        <w:trPr>
          <w:trHeight w:val="20"/>
        </w:trPr>
        <w:tc>
          <w:tcPr>
            <w:tcW w:w="990" w:type="dxa"/>
            <w:vAlign w:val="center"/>
          </w:tcPr>
          <w:p w14:paraId="0C5C8C5F" w14:textId="77777777" w:rsidR="00B36B13" w:rsidRPr="00641AB0" w:rsidRDefault="00B36B13" w:rsidP="00B36B13">
            <w:pPr>
              <w:spacing w:before="100" w:after="100"/>
              <w:jc w:val="center"/>
              <w:rPr>
                <w:rFonts w:ascii="Arial" w:hAnsi="Arial" w:cs="Arial"/>
                <w:b/>
                <w:sz w:val="22"/>
                <w:szCs w:val="22"/>
                <w:lang w:val="es-ES"/>
              </w:rPr>
            </w:pPr>
            <w:r w:rsidRPr="00641AB0">
              <w:rPr>
                <w:rFonts w:ascii="Arial" w:hAnsi="Arial" w:cs="Arial"/>
                <w:b/>
                <w:sz w:val="22"/>
                <w:szCs w:val="22"/>
                <w:lang w:val="es-ES"/>
              </w:rPr>
              <w:lastRenderedPageBreak/>
              <w:t>41.4</w:t>
            </w:r>
          </w:p>
        </w:tc>
        <w:tc>
          <w:tcPr>
            <w:tcW w:w="8649" w:type="dxa"/>
          </w:tcPr>
          <w:p w14:paraId="5581DB92" w14:textId="77777777" w:rsidR="00B36B13" w:rsidRPr="00641AB0" w:rsidRDefault="00B36B13" w:rsidP="00B36B13">
            <w:pPr>
              <w:tabs>
                <w:tab w:val="right" w:pos="7254"/>
              </w:tabs>
              <w:spacing w:before="100" w:after="100"/>
              <w:rPr>
                <w:rFonts w:ascii="Arial" w:hAnsi="Arial" w:cs="Arial"/>
                <w:sz w:val="22"/>
                <w:szCs w:val="22"/>
                <w:lang w:val="es-HN"/>
              </w:rPr>
            </w:pPr>
            <w:r w:rsidRPr="00344818">
              <w:rPr>
                <w:rFonts w:ascii="Arial" w:hAnsi="Arial" w:cs="Arial"/>
                <w:sz w:val="22"/>
                <w:szCs w:val="22"/>
                <w:lang w:val="es-HN"/>
              </w:rPr>
              <w:t>Toda protesta deberá ser resuelta por el Contratante y ser comunicada al oferente dentro de los 10 días hábiles</w:t>
            </w:r>
            <w:r w:rsidRPr="00344818">
              <w:rPr>
                <w:rFonts w:ascii="Arial" w:hAnsi="Arial" w:cs="Arial"/>
                <w:i/>
                <w:color w:val="FF0000"/>
                <w:sz w:val="22"/>
                <w:szCs w:val="22"/>
                <w:lang w:val="es-HN"/>
              </w:rPr>
              <w:t xml:space="preserve"> </w:t>
            </w:r>
            <w:r w:rsidRPr="00344818">
              <w:rPr>
                <w:rFonts w:ascii="Arial" w:hAnsi="Arial" w:cs="Arial"/>
                <w:sz w:val="22"/>
                <w:szCs w:val="22"/>
                <w:lang w:val="es-HN"/>
              </w:rPr>
              <w:t>posteriores a la recepción protesta.</w:t>
            </w:r>
          </w:p>
        </w:tc>
      </w:tr>
      <w:tr w:rsidR="00B36B13" w:rsidRPr="00A33F6B" w14:paraId="149C09CB" w14:textId="77777777" w:rsidTr="00B903FF">
        <w:trPr>
          <w:trHeight w:val="20"/>
        </w:trPr>
        <w:tc>
          <w:tcPr>
            <w:tcW w:w="9639" w:type="dxa"/>
            <w:gridSpan w:val="2"/>
            <w:shd w:val="clear" w:color="auto" w:fill="00B050"/>
            <w:vAlign w:val="center"/>
          </w:tcPr>
          <w:p w14:paraId="085088C8" w14:textId="77777777" w:rsidR="00B36B13" w:rsidRPr="00641AB0" w:rsidRDefault="00B36B13" w:rsidP="00B36B13">
            <w:pPr>
              <w:autoSpaceDE w:val="0"/>
              <w:autoSpaceDN w:val="0"/>
              <w:adjustRightInd w:val="0"/>
              <w:spacing w:before="100" w:after="100"/>
              <w:jc w:val="center"/>
              <w:rPr>
                <w:rFonts w:ascii="Arial" w:hAnsi="Arial" w:cs="Arial"/>
                <w:color w:val="FFFFFF" w:themeColor="background1"/>
                <w:sz w:val="22"/>
                <w:szCs w:val="22"/>
                <w:lang w:val="es-ES"/>
              </w:rPr>
            </w:pPr>
            <w:r w:rsidRPr="00641AB0">
              <w:rPr>
                <w:rFonts w:ascii="Arial" w:hAnsi="Arial" w:cs="Arial"/>
                <w:b/>
                <w:color w:val="FFFFFF" w:themeColor="background1"/>
                <w:sz w:val="22"/>
                <w:szCs w:val="22"/>
                <w:lang w:val="es-ES"/>
              </w:rPr>
              <w:t>F. Adjudicación de la Licitación</w:t>
            </w:r>
          </w:p>
        </w:tc>
      </w:tr>
      <w:tr w:rsidR="00B36B13" w:rsidRPr="00A33F6B" w14:paraId="481F7AF4" w14:textId="77777777" w:rsidTr="00B903FF">
        <w:trPr>
          <w:trHeight w:val="20"/>
        </w:trPr>
        <w:tc>
          <w:tcPr>
            <w:tcW w:w="990" w:type="dxa"/>
            <w:vAlign w:val="center"/>
          </w:tcPr>
          <w:p w14:paraId="41307FDF" w14:textId="77777777" w:rsidR="00B36B13" w:rsidRPr="00641AB0" w:rsidRDefault="00B36B13" w:rsidP="00B36B13">
            <w:pPr>
              <w:autoSpaceDE w:val="0"/>
              <w:autoSpaceDN w:val="0"/>
              <w:adjustRightInd w:val="0"/>
              <w:spacing w:before="100" w:after="100"/>
              <w:jc w:val="center"/>
              <w:rPr>
                <w:rFonts w:ascii="Arial" w:hAnsi="Arial" w:cs="Arial"/>
                <w:b/>
                <w:sz w:val="22"/>
                <w:szCs w:val="22"/>
                <w:lang w:val="es-ES"/>
              </w:rPr>
            </w:pPr>
            <w:r w:rsidRPr="00641AB0">
              <w:rPr>
                <w:rFonts w:ascii="Arial" w:hAnsi="Arial" w:cs="Arial"/>
                <w:b/>
                <w:sz w:val="22"/>
                <w:szCs w:val="22"/>
                <w:lang w:val="es-ES"/>
              </w:rPr>
              <w:t>43.2</w:t>
            </w:r>
          </w:p>
        </w:tc>
        <w:tc>
          <w:tcPr>
            <w:tcW w:w="8649" w:type="dxa"/>
            <w:vAlign w:val="center"/>
          </w:tcPr>
          <w:p w14:paraId="7CA660A7" w14:textId="77777777" w:rsidR="00B36B13" w:rsidRPr="00925131" w:rsidRDefault="006562A3" w:rsidP="00B36B13">
            <w:pPr>
              <w:spacing w:before="100" w:after="100"/>
              <w:ind w:right="74"/>
              <w:rPr>
                <w:rFonts w:ascii="Arial" w:hAnsi="Arial" w:cs="Arial"/>
                <w:b/>
                <w:sz w:val="22"/>
                <w:szCs w:val="22"/>
                <w:lang w:val="es-HN"/>
              </w:rPr>
            </w:pPr>
            <w:r>
              <w:rPr>
                <w:rFonts w:ascii="Arial" w:hAnsi="Arial" w:cs="Arial"/>
                <w:b/>
                <w:sz w:val="22"/>
                <w:szCs w:val="22"/>
                <w:lang w:val="es-HN"/>
              </w:rPr>
              <w:t>Se pagará anticipo de acuerdo con</w:t>
            </w:r>
            <w:r w:rsidR="007F0803">
              <w:rPr>
                <w:rFonts w:ascii="Arial" w:hAnsi="Arial" w:cs="Arial"/>
                <w:b/>
                <w:sz w:val="22"/>
                <w:szCs w:val="22"/>
                <w:lang w:val="es-HN"/>
              </w:rPr>
              <w:t xml:space="preserve">  </w:t>
            </w:r>
            <w:r w:rsidR="000A2557">
              <w:rPr>
                <w:rFonts w:ascii="Arial" w:hAnsi="Arial" w:cs="Arial"/>
                <w:b/>
                <w:sz w:val="22"/>
                <w:szCs w:val="22"/>
                <w:lang w:val="es-HN"/>
              </w:rPr>
              <w:t xml:space="preserve">  </w:t>
            </w:r>
            <w:r w:rsidR="00B36B13" w:rsidRPr="00925131">
              <w:rPr>
                <w:rFonts w:ascii="Arial" w:hAnsi="Arial" w:cs="Arial"/>
                <w:b/>
                <w:sz w:val="22"/>
                <w:szCs w:val="22"/>
                <w:lang w:val="es-HN"/>
              </w:rPr>
              <w:t xml:space="preserve"> la solicitud del oferente.</w:t>
            </w:r>
          </w:p>
          <w:p w14:paraId="15D6F449" w14:textId="77777777" w:rsidR="00B36B13" w:rsidRPr="00344818" w:rsidRDefault="00B36B13" w:rsidP="00B36B13">
            <w:pPr>
              <w:spacing w:before="100" w:after="100"/>
              <w:ind w:right="74"/>
              <w:rPr>
                <w:rFonts w:ascii="Arial" w:hAnsi="Arial" w:cs="Arial"/>
                <w:sz w:val="22"/>
                <w:szCs w:val="22"/>
                <w:lang w:val="es-HN"/>
              </w:rPr>
            </w:pPr>
            <w:r w:rsidRPr="00344818">
              <w:rPr>
                <w:rFonts w:ascii="Arial" w:hAnsi="Arial" w:cs="Arial"/>
                <w:spacing w:val="-3"/>
                <w:sz w:val="22"/>
                <w:szCs w:val="22"/>
              </w:rPr>
              <w:t xml:space="preserve">En caso de requerir Anticipo o no, el Contratista deberá manifestarlo en una comunicación oficial dentro del plazo indicado en el </w:t>
            </w:r>
            <w:r w:rsidRPr="00512254">
              <w:rPr>
                <w:rFonts w:ascii="Arial" w:hAnsi="Arial" w:cs="Arial"/>
                <w:spacing w:val="-3"/>
                <w:sz w:val="22"/>
                <w:szCs w:val="22"/>
              </w:rPr>
              <w:t>numeral 44.1</w:t>
            </w:r>
            <w:r w:rsidRPr="00344818">
              <w:rPr>
                <w:rFonts w:ascii="Arial" w:hAnsi="Arial" w:cs="Arial"/>
                <w:spacing w:val="-3"/>
                <w:sz w:val="22"/>
                <w:szCs w:val="22"/>
              </w:rPr>
              <w:t xml:space="preserve"> de esta sección.</w:t>
            </w:r>
          </w:p>
          <w:p w14:paraId="726653AE" w14:textId="77777777" w:rsidR="00B36B13" w:rsidRPr="00344818" w:rsidRDefault="00B36B13" w:rsidP="00B36B13">
            <w:pPr>
              <w:spacing w:before="100" w:after="100"/>
              <w:ind w:right="74"/>
              <w:rPr>
                <w:rFonts w:ascii="Arial" w:hAnsi="Arial" w:cs="Arial"/>
                <w:b/>
                <w:sz w:val="22"/>
                <w:szCs w:val="22"/>
                <w:u w:val="single"/>
                <w:lang w:val="es-HN"/>
              </w:rPr>
            </w:pPr>
            <w:r w:rsidRPr="00344818">
              <w:rPr>
                <w:rFonts w:ascii="Arial" w:hAnsi="Arial" w:cs="Arial"/>
                <w:sz w:val="22"/>
                <w:szCs w:val="22"/>
                <w:lang w:val="es-HN"/>
              </w:rPr>
              <w:t xml:space="preserve">El anticipo por otorgar será por un monto máximo del </w:t>
            </w:r>
            <w:r w:rsidRPr="00344818">
              <w:rPr>
                <w:rFonts w:ascii="Arial" w:hAnsi="Arial" w:cs="Arial"/>
                <w:b/>
                <w:sz w:val="22"/>
                <w:szCs w:val="22"/>
                <w:u w:val="single"/>
                <w:lang w:val="es-HN"/>
              </w:rPr>
              <w:t>30 por ciento del precio del contrato</w:t>
            </w:r>
            <w:r w:rsidRPr="00344818">
              <w:rPr>
                <w:rFonts w:ascii="Arial" w:hAnsi="Arial" w:cs="Arial"/>
                <w:sz w:val="22"/>
                <w:szCs w:val="22"/>
                <w:lang w:val="es-HN"/>
              </w:rPr>
              <w:t xml:space="preserve">, previo a la presentación de una garantía de buen uso del anticipo por el 100% del monto otorgado, con una vigencia de </w:t>
            </w:r>
            <w:r w:rsidRPr="00344818">
              <w:rPr>
                <w:rFonts w:ascii="Arial" w:hAnsi="Arial" w:cs="Arial"/>
                <w:b/>
                <w:sz w:val="22"/>
                <w:szCs w:val="22"/>
                <w:u w:val="single"/>
                <w:lang w:val="es-HN"/>
              </w:rPr>
              <w:t>500 días calendario</w:t>
            </w:r>
            <w:r w:rsidRPr="00344818">
              <w:rPr>
                <w:rFonts w:ascii="Arial" w:hAnsi="Arial" w:cs="Arial"/>
                <w:sz w:val="22"/>
                <w:szCs w:val="22"/>
                <w:u w:val="single"/>
                <w:lang w:val="es-NI"/>
              </w:rPr>
              <w:t xml:space="preserve"> </w:t>
            </w:r>
            <w:r w:rsidRPr="00344818">
              <w:rPr>
                <w:rFonts w:ascii="Arial" w:hAnsi="Arial" w:cs="Arial"/>
                <w:b/>
                <w:sz w:val="22"/>
                <w:szCs w:val="22"/>
                <w:u w:val="single"/>
                <w:lang w:val="es-HN"/>
              </w:rPr>
              <w:t>contados a partir de la Orden de Inicio.</w:t>
            </w:r>
          </w:p>
          <w:p w14:paraId="5AA53F22" w14:textId="77777777" w:rsidR="00B36B13" w:rsidRPr="00344818" w:rsidRDefault="00B36B13" w:rsidP="00B36B13">
            <w:pPr>
              <w:spacing w:before="100" w:after="100"/>
              <w:ind w:right="74"/>
              <w:rPr>
                <w:rFonts w:ascii="Arial" w:hAnsi="Arial" w:cs="Arial"/>
                <w:sz w:val="22"/>
                <w:szCs w:val="22"/>
                <w:lang w:val="es-NI"/>
              </w:rPr>
            </w:pPr>
            <w:r w:rsidRPr="00344818">
              <w:rPr>
                <w:rFonts w:ascii="Arial" w:hAnsi="Arial" w:cs="Arial"/>
                <w:sz w:val="22"/>
                <w:szCs w:val="22"/>
                <w:lang w:val="es-ES"/>
              </w:rPr>
              <w:t xml:space="preserve">Esta garantía deberá ser </w:t>
            </w:r>
            <w:r w:rsidRPr="00344818">
              <w:rPr>
                <w:rFonts w:ascii="Arial" w:hAnsi="Arial" w:cs="Arial"/>
                <w:b/>
                <w:sz w:val="22"/>
                <w:szCs w:val="22"/>
                <w:u w:val="single"/>
                <w:lang w:val="es-ES"/>
              </w:rPr>
              <w:t xml:space="preserve">tipo “Bancaria” </w:t>
            </w:r>
            <w:r w:rsidRPr="00344818">
              <w:rPr>
                <w:rFonts w:ascii="Arial" w:hAnsi="Arial" w:cs="Arial"/>
                <w:sz w:val="22"/>
                <w:szCs w:val="22"/>
                <w:lang w:val="es-HN"/>
              </w:rPr>
              <w:t>de fácil ejecución que sea incondicional y a primer requerimiento y</w:t>
            </w:r>
            <w:r w:rsidRPr="00344818">
              <w:rPr>
                <w:rFonts w:ascii="Arial" w:hAnsi="Arial" w:cs="Arial"/>
                <w:sz w:val="22"/>
                <w:szCs w:val="22"/>
                <w:lang w:val="es-ES"/>
              </w:rPr>
              <w:t xml:space="preserve"> </w:t>
            </w:r>
            <w:r w:rsidRPr="00344818">
              <w:rPr>
                <w:rFonts w:ascii="Arial" w:hAnsi="Arial" w:cs="Arial"/>
                <w:sz w:val="22"/>
                <w:szCs w:val="22"/>
                <w:lang w:val="es-HN"/>
              </w:rPr>
              <w:t xml:space="preserve">emitida por </w:t>
            </w:r>
            <w:r w:rsidRPr="00344818">
              <w:rPr>
                <w:rFonts w:ascii="Arial" w:hAnsi="Arial" w:cs="Arial"/>
                <w:sz w:val="22"/>
                <w:szCs w:val="22"/>
                <w:lang w:val="es-NI"/>
              </w:rPr>
              <w:t xml:space="preserve">una entidad autorizada por la Superintendencia de bancos y otras instituciones financieras (SIBOIF). </w:t>
            </w:r>
          </w:p>
          <w:p w14:paraId="1073DE2F" w14:textId="77777777" w:rsidR="00B36B13" w:rsidRPr="00641AB0" w:rsidRDefault="00B36B13" w:rsidP="00B36B13">
            <w:pPr>
              <w:spacing w:before="100" w:after="100"/>
              <w:ind w:right="74"/>
              <w:rPr>
                <w:rFonts w:ascii="Arial" w:hAnsi="Arial" w:cs="Arial"/>
                <w:color w:val="FF0000"/>
                <w:sz w:val="22"/>
                <w:szCs w:val="22"/>
                <w:lang w:val="es-HN"/>
              </w:rPr>
            </w:pPr>
            <w:r w:rsidRPr="00344818">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B36B13" w:rsidRPr="00A33F6B" w14:paraId="3B2652DE" w14:textId="77777777" w:rsidTr="00B903FF">
        <w:trPr>
          <w:trHeight w:val="20"/>
        </w:trPr>
        <w:tc>
          <w:tcPr>
            <w:tcW w:w="990" w:type="dxa"/>
            <w:vAlign w:val="center"/>
          </w:tcPr>
          <w:p w14:paraId="7ABCC039" w14:textId="77777777" w:rsidR="00B36B13" w:rsidRPr="00641AB0" w:rsidRDefault="00B36B13" w:rsidP="00B36B13">
            <w:pPr>
              <w:autoSpaceDE w:val="0"/>
              <w:autoSpaceDN w:val="0"/>
              <w:adjustRightInd w:val="0"/>
              <w:spacing w:before="100" w:after="100"/>
              <w:jc w:val="center"/>
              <w:rPr>
                <w:rFonts w:ascii="Arial" w:hAnsi="Arial" w:cs="Arial"/>
                <w:b/>
                <w:sz w:val="22"/>
                <w:szCs w:val="22"/>
                <w:lang w:val="es-HN"/>
              </w:rPr>
            </w:pPr>
            <w:r w:rsidRPr="00641AB0">
              <w:rPr>
                <w:rFonts w:ascii="Arial" w:hAnsi="Arial" w:cs="Arial"/>
                <w:b/>
                <w:sz w:val="22"/>
                <w:szCs w:val="22"/>
                <w:lang w:val="es-ES"/>
              </w:rPr>
              <w:t xml:space="preserve">44.1    </w:t>
            </w:r>
          </w:p>
        </w:tc>
        <w:tc>
          <w:tcPr>
            <w:tcW w:w="8649" w:type="dxa"/>
            <w:vAlign w:val="center"/>
          </w:tcPr>
          <w:p w14:paraId="362745E4" w14:textId="77777777" w:rsidR="00B36B13" w:rsidRPr="00B36B13" w:rsidRDefault="00B36B13" w:rsidP="00B36B13">
            <w:pPr>
              <w:spacing w:before="100" w:after="100"/>
              <w:ind w:right="74"/>
              <w:rPr>
                <w:rFonts w:ascii="Arial" w:hAnsi="Arial" w:cs="Arial"/>
                <w:sz w:val="22"/>
                <w:szCs w:val="22"/>
                <w:lang w:val="es-HN"/>
              </w:rPr>
            </w:pPr>
            <w:r w:rsidRPr="00B36B13">
              <w:rPr>
                <w:rFonts w:ascii="Arial" w:hAnsi="Arial" w:cs="Arial"/>
                <w:sz w:val="22"/>
                <w:szCs w:val="22"/>
                <w:lang w:val="es-HN"/>
              </w:rPr>
              <w:t>Documentos a presentar posterior a la adjudicación</w:t>
            </w:r>
          </w:p>
          <w:p w14:paraId="1BB106FC" w14:textId="77777777" w:rsidR="00B36B13" w:rsidRPr="00B36B13" w:rsidRDefault="00B36B13" w:rsidP="00B36B13">
            <w:pPr>
              <w:pStyle w:val="Prrafodelista"/>
              <w:numPr>
                <w:ilvl w:val="0"/>
                <w:numId w:val="5"/>
              </w:numPr>
              <w:spacing w:before="100" w:after="100"/>
              <w:ind w:left="339" w:right="74" w:hanging="339"/>
              <w:rPr>
                <w:rFonts w:ascii="Arial" w:hAnsi="Arial" w:cs="Arial"/>
                <w:sz w:val="22"/>
                <w:szCs w:val="22"/>
                <w:lang w:val="es-HN"/>
              </w:rPr>
            </w:pPr>
            <w:r w:rsidRPr="00B36B13">
              <w:rPr>
                <w:rFonts w:ascii="Arial" w:hAnsi="Arial" w:cs="Arial"/>
                <w:sz w:val="22"/>
                <w:szCs w:val="22"/>
                <w:lang w:val="es-HN"/>
              </w:rPr>
              <w:t>Formularios actualizados acordados con el contratante:</w:t>
            </w:r>
          </w:p>
          <w:p w14:paraId="7165AC23" w14:textId="77777777" w:rsidR="00B36B13" w:rsidRPr="00B36B13" w:rsidRDefault="00B36B13" w:rsidP="0071608E">
            <w:pPr>
              <w:pStyle w:val="Prrafodelista"/>
              <w:numPr>
                <w:ilvl w:val="2"/>
                <w:numId w:val="34"/>
              </w:numPr>
              <w:spacing w:before="100" w:after="100"/>
              <w:ind w:left="609" w:right="74" w:hanging="270"/>
              <w:rPr>
                <w:rFonts w:ascii="Arial" w:hAnsi="Arial" w:cs="Arial"/>
                <w:sz w:val="22"/>
                <w:szCs w:val="22"/>
                <w:lang w:val="es-HN"/>
              </w:rPr>
            </w:pPr>
            <w:r w:rsidRPr="00B36B13">
              <w:rPr>
                <w:rFonts w:ascii="Arial" w:hAnsi="Arial" w:cs="Arial"/>
                <w:sz w:val="22"/>
                <w:szCs w:val="22"/>
                <w:lang w:val="es-HN"/>
              </w:rPr>
              <w:t>Formulario TEC-4: Plan de trabajo y cronograma de ejecución de obra</w:t>
            </w:r>
          </w:p>
          <w:p w14:paraId="6489BC90" w14:textId="77777777" w:rsidR="00B36B13" w:rsidRPr="00B36B13" w:rsidRDefault="00B36B13" w:rsidP="0071608E">
            <w:pPr>
              <w:pStyle w:val="Prrafodelista"/>
              <w:numPr>
                <w:ilvl w:val="2"/>
                <w:numId w:val="34"/>
              </w:numPr>
              <w:spacing w:before="100" w:after="100"/>
              <w:ind w:left="609" w:right="74" w:hanging="270"/>
              <w:rPr>
                <w:rFonts w:ascii="Arial" w:hAnsi="Arial" w:cs="Arial"/>
                <w:sz w:val="22"/>
                <w:szCs w:val="22"/>
                <w:lang w:val="es-HN"/>
              </w:rPr>
            </w:pPr>
            <w:r w:rsidRPr="00B36B13">
              <w:rPr>
                <w:rFonts w:ascii="Arial" w:hAnsi="Arial" w:cs="Arial"/>
                <w:sz w:val="22"/>
                <w:szCs w:val="22"/>
                <w:lang w:val="es-HN"/>
              </w:rPr>
              <w:t>Formulario TEC-5: Subcontratistas Previstos (Cuando aplique)</w:t>
            </w:r>
          </w:p>
          <w:p w14:paraId="1313D847" w14:textId="77777777" w:rsidR="00B36B13" w:rsidRPr="00B36B13" w:rsidRDefault="00B36B13" w:rsidP="0071608E">
            <w:pPr>
              <w:pStyle w:val="Prrafodelista"/>
              <w:numPr>
                <w:ilvl w:val="2"/>
                <w:numId w:val="34"/>
              </w:numPr>
              <w:spacing w:before="100" w:after="100"/>
              <w:ind w:left="609" w:right="74" w:hanging="270"/>
              <w:rPr>
                <w:rFonts w:ascii="Arial" w:hAnsi="Arial" w:cs="Arial"/>
                <w:sz w:val="22"/>
                <w:szCs w:val="22"/>
                <w:lang w:val="es-HN"/>
              </w:rPr>
            </w:pPr>
            <w:r w:rsidRPr="00B36B13">
              <w:rPr>
                <w:rFonts w:ascii="Arial" w:hAnsi="Arial" w:cs="Arial"/>
                <w:sz w:val="22"/>
                <w:szCs w:val="22"/>
                <w:lang w:val="es-HN"/>
              </w:rPr>
              <w:t>Formulario TEC–6: Organización del lugar de las obras</w:t>
            </w:r>
          </w:p>
          <w:p w14:paraId="7B5CC7D9" w14:textId="77777777" w:rsidR="00B36B13" w:rsidRPr="00B36B13" w:rsidRDefault="00B36B13" w:rsidP="0071608E">
            <w:pPr>
              <w:pStyle w:val="Prrafodelista"/>
              <w:numPr>
                <w:ilvl w:val="2"/>
                <w:numId w:val="34"/>
              </w:numPr>
              <w:spacing w:before="100" w:after="100"/>
              <w:ind w:left="609" w:right="74" w:hanging="270"/>
              <w:rPr>
                <w:rFonts w:ascii="Arial" w:hAnsi="Arial" w:cs="Arial"/>
                <w:sz w:val="22"/>
                <w:szCs w:val="22"/>
                <w:lang w:val="es-HN"/>
              </w:rPr>
            </w:pPr>
            <w:r w:rsidRPr="00B36B13">
              <w:rPr>
                <w:rFonts w:ascii="Arial" w:hAnsi="Arial" w:cs="Arial"/>
                <w:sz w:val="22"/>
                <w:szCs w:val="22"/>
                <w:lang w:val="es-HN"/>
              </w:rPr>
              <w:t>Formulario TEC–7: Métodos constructivos de actividades clave</w:t>
            </w:r>
          </w:p>
          <w:p w14:paraId="316BC88B" w14:textId="77777777" w:rsidR="00B36B13" w:rsidRPr="00B36B13" w:rsidRDefault="00B36B13" w:rsidP="0071608E">
            <w:pPr>
              <w:pStyle w:val="Prrafodelista"/>
              <w:numPr>
                <w:ilvl w:val="2"/>
                <w:numId w:val="34"/>
              </w:numPr>
              <w:spacing w:before="100" w:after="100"/>
              <w:ind w:left="609" w:right="74" w:hanging="270"/>
              <w:rPr>
                <w:rFonts w:ascii="Arial" w:hAnsi="Arial" w:cs="Arial"/>
                <w:sz w:val="22"/>
                <w:szCs w:val="22"/>
              </w:rPr>
            </w:pPr>
            <w:r w:rsidRPr="00B36B13">
              <w:rPr>
                <w:rFonts w:ascii="Arial" w:hAnsi="Arial" w:cs="Arial"/>
                <w:sz w:val="22"/>
                <w:szCs w:val="22"/>
                <w:lang w:val="es-HN"/>
              </w:rPr>
              <w:t>Formulario</w:t>
            </w:r>
            <w:r w:rsidRPr="00B36B13">
              <w:rPr>
                <w:rFonts w:ascii="Arial" w:hAnsi="Arial" w:cs="Arial"/>
                <w:sz w:val="22"/>
                <w:szCs w:val="22"/>
              </w:rPr>
              <w:t xml:space="preserve"> TE</w:t>
            </w:r>
            <w:r w:rsidRPr="00B36B13">
              <w:rPr>
                <w:rFonts w:ascii="Arial" w:hAnsi="Arial" w:cs="Arial"/>
                <w:sz w:val="22"/>
                <w:szCs w:val="22"/>
                <w:lang w:val="es-HN"/>
              </w:rPr>
              <w:t>C–8: Programa de movilización</w:t>
            </w:r>
          </w:p>
          <w:p w14:paraId="0EF947F4" w14:textId="77777777" w:rsidR="00B36B13" w:rsidRPr="00B36B13" w:rsidRDefault="00B36B13" w:rsidP="00B36B13">
            <w:pPr>
              <w:pStyle w:val="Prrafodelista"/>
              <w:numPr>
                <w:ilvl w:val="0"/>
                <w:numId w:val="5"/>
              </w:numPr>
              <w:spacing w:before="100" w:after="100"/>
              <w:ind w:left="339" w:right="74" w:hanging="339"/>
              <w:rPr>
                <w:rFonts w:ascii="Arial" w:hAnsi="Arial" w:cs="Arial"/>
                <w:sz w:val="22"/>
                <w:szCs w:val="22"/>
                <w:lang w:val="es-HN"/>
              </w:rPr>
            </w:pPr>
            <w:r w:rsidRPr="00B36B13">
              <w:rPr>
                <w:rFonts w:ascii="Arial" w:hAnsi="Arial" w:cs="Arial"/>
                <w:sz w:val="22"/>
                <w:szCs w:val="22"/>
                <w:lang w:val="es-HN"/>
              </w:rPr>
              <w:t>Acta de Constitución notariada de la formalización del APCA (En caso de oferta presentada por un APCA)</w:t>
            </w:r>
          </w:p>
          <w:p w14:paraId="0C4A0BC0" w14:textId="77777777" w:rsidR="00B36B13" w:rsidRPr="00B36B13" w:rsidRDefault="00B36B13" w:rsidP="00B36B13">
            <w:pPr>
              <w:pStyle w:val="Prrafodelista"/>
              <w:numPr>
                <w:ilvl w:val="0"/>
                <w:numId w:val="5"/>
              </w:numPr>
              <w:spacing w:before="100" w:after="100"/>
              <w:ind w:left="339" w:right="74" w:hanging="339"/>
              <w:rPr>
                <w:rFonts w:ascii="Arial" w:hAnsi="Arial" w:cs="Arial"/>
                <w:sz w:val="22"/>
                <w:szCs w:val="22"/>
                <w:lang w:val="es-HN"/>
              </w:rPr>
            </w:pPr>
            <w:r w:rsidRPr="00B36B13">
              <w:rPr>
                <w:rFonts w:ascii="Arial" w:hAnsi="Arial" w:cs="Arial"/>
                <w:sz w:val="22"/>
                <w:szCs w:val="22"/>
                <w:lang w:val="es-HN"/>
              </w:rPr>
              <w:t>Poder de representación debidamente apostillado (Si aplica) y debidamente registrado ante el Registro Público Correspondiente.</w:t>
            </w:r>
          </w:p>
          <w:p w14:paraId="0FB16965" w14:textId="77777777" w:rsidR="00B36B13" w:rsidRPr="00B36B13" w:rsidRDefault="00B36B13" w:rsidP="00B36B13">
            <w:pPr>
              <w:pStyle w:val="Prrafodelista"/>
              <w:numPr>
                <w:ilvl w:val="0"/>
                <w:numId w:val="5"/>
              </w:numPr>
              <w:spacing w:before="100" w:after="100"/>
              <w:ind w:left="339" w:right="74" w:hanging="339"/>
              <w:rPr>
                <w:rFonts w:ascii="Arial" w:hAnsi="Arial" w:cs="Arial"/>
                <w:sz w:val="22"/>
                <w:szCs w:val="22"/>
                <w:lang w:val="es-HN"/>
              </w:rPr>
            </w:pPr>
            <w:r w:rsidRPr="00B36B13">
              <w:rPr>
                <w:rFonts w:ascii="Arial" w:hAnsi="Arial" w:cs="Arial"/>
                <w:sz w:val="22"/>
                <w:szCs w:val="22"/>
                <w:lang w:val="es-HN"/>
              </w:rPr>
              <w:t>Carta de Requerimiento o Renuncia de anticipo, en caso de requerir, deberá indicar el porcentaje que solicitará, el cual no deberá ser mayor al 30%.</w:t>
            </w:r>
          </w:p>
          <w:p w14:paraId="2424F45A" w14:textId="77777777" w:rsidR="00B36B13" w:rsidRPr="00B36B13" w:rsidRDefault="00B36B13" w:rsidP="00B36B13">
            <w:pPr>
              <w:pStyle w:val="Prrafodelista"/>
              <w:numPr>
                <w:ilvl w:val="0"/>
                <w:numId w:val="5"/>
              </w:numPr>
              <w:spacing w:before="100" w:after="100"/>
              <w:ind w:left="339" w:right="74" w:hanging="339"/>
              <w:rPr>
                <w:rFonts w:ascii="Arial" w:hAnsi="Arial" w:cs="Arial"/>
                <w:sz w:val="22"/>
                <w:szCs w:val="22"/>
                <w:highlight w:val="lightGray"/>
                <w:lang w:val="es-HN"/>
              </w:rPr>
            </w:pPr>
            <w:r w:rsidRPr="00B36B13">
              <w:rPr>
                <w:rFonts w:ascii="Arial" w:hAnsi="Arial" w:cs="Arial"/>
                <w:sz w:val="22"/>
                <w:szCs w:val="22"/>
                <w:lang w:val="es-HN"/>
              </w:rPr>
              <w:lastRenderedPageBreak/>
              <w:t>Otros documentos que requiera la legislación nacional (vigentes)</w:t>
            </w:r>
          </w:p>
          <w:p w14:paraId="38BEDE10" w14:textId="77777777" w:rsidR="00B36B13" w:rsidRPr="00B36B13" w:rsidRDefault="00B36B13" w:rsidP="003B68DB">
            <w:pPr>
              <w:pStyle w:val="Prrafodelista"/>
              <w:numPr>
                <w:ilvl w:val="0"/>
                <w:numId w:val="112"/>
              </w:numPr>
              <w:spacing w:after="60"/>
              <w:ind w:right="74"/>
              <w:rPr>
                <w:rFonts w:ascii="Arial" w:hAnsi="Arial" w:cs="Arial"/>
                <w:sz w:val="22"/>
                <w:szCs w:val="22"/>
                <w:lang w:val="es-HN"/>
              </w:rPr>
            </w:pPr>
            <w:r w:rsidRPr="00B36B13">
              <w:rPr>
                <w:rFonts w:ascii="Arial" w:hAnsi="Arial" w:cs="Arial"/>
                <w:sz w:val="22"/>
                <w:szCs w:val="22"/>
              </w:rPr>
              <w:t>Copia de Cédula RUC</w:t>
            </w:r>
          </w:p>
          <w:p w14:paraId="0D59DC97" w14:textId="77777777" w:rsidR="00B36B13" w:rsidRPr="00B36B13" w:rsidRDefault="00B36B13" w:rsidP="003B68DB">
            <w:pPr>
              <w:pStyle w:val="Prrafodelista"/>
              <w:numPr>
                <w:ilvl w:val="0"/>
                <w:numId w:val="112"/>
              </w:numPr>
              <w:spacing w:after="60"/>
              <w:ind w:right="74"/>
              <w:rPr>
                <w:rFonts w:ascii="Arial" w:hAnsi="Arial" w:cs="Arial"/>
                <w:sz w:val="22"/>
                <w:szCs w:val="22"/>
                <w:lang w:val="es-HN"/>
              </w:rPr>
            </w:pPr>
            <w:r w:rsidRPr="00B36B13">
              <w:rPr>
                <w:rFonts w:ascii="Arial" w:hAnsi="Arial" w:cs="Arial"/>
                <w:bCs/>
                <w:sz w:val="22"/>
                <w:szCs w:val="22"/>
                <w:lang w:val="es-HN"/>
              </w:rPr>
              <w:t>Licencia de Operación y su actualización emitida por el Ministerio de Transporte e Infraestructura (MTI)</w:t>
            </w:r>
          </w:p>
          <w:p w14:paraId="4B7038FD" w14:textId="77777777" w:rsidR="00B36B13" w:rsidRPr="00B36B13" w:rsidRDefault="00B36B13" w:rsidP="003B68DB">
            <w:pPr>
              <w:pStyle w:val="Prrafodelista"/>
              <w:numPr>
                <w:ilvl w:val="0"/>
                <w:numId w:val="112"/>
              </w:numPr>
              <w:spacing w:after="60"/>
              <w:ind w:right="74"/>
              <w:rPr>
                <w:rFonts w:ascii="Arial" w:hAnsi="Arial" w:cs="Arial"/>
                <w:sz w:val="22"/>
                <w:szCs w:val="22"/>
                <w:lang w:val="es-HN"/>
              </w:rPr>
            </w:pPr>
            <w:r w:rsidRPr="00B36B13">
              <w:rPr>
                <w:rFonts w:ascii="Arial" w:hAnsi="Arial" w:cs="Arial"/>
                <w:bCs/>
                <w:sz w:val="22"/>
                <w:szCs w:val="22"/>
                <w:lang w:val="es-HN"/>
              </w:rPr>
              <w:t xml:space="preserve">Solvencia fiscal </w:t>
            </w:r>
          </w:p>
          <w:p w14:paraId="2B471B3A" w14:textId="77777777" w:rsidR="00B36B13" w:rsidRPr="00B36B13" w:rsidRDefault="00B36B13" w:rsidP="003B68DB">
            <w:pPr>
              <w:pStyle w:val="Prrafodelista"/>
              <w:numPr>
                <w:ilvl w:val="0"/>
                <w:numId w:val="112"/>
              </w:numPr>
              <w:spacing w:after="60"/>
              <w:ind w:right="74"/>
              <w:rPr>
                <w:rFonts w:ascii="Arial" w:hAnsi="Arial" w:cs="Arial"/>
                <w:sz w:val="22"/>
                <w:szCs w:val="22"/>
                <w:lang w:val="es-HN"/>
              </w:rPr>
            </w:pPr>
            <w:r w:rsidRPr="00B36B13">
              <w:rPr>
                <w:rFonts w:ascii="Arial" w:hAnsi="Arial" w:cs="Arial"/>
                <w:bCs/>
                <w:sz w:val="22"/>
                <w:szCs w:val="22"/>
                <w:lang w:val="es-HN"/>
              </w:rPr>
              <w:t>Solvencia Municipal</w:t>
            </w:r>
          </w:p>
          <w:p w14:paraId="61EC4753" w14:textId="77777777" w:rsidR="00B36B13" w:rsidRPr="00B36B13" w:rsidRDefault="00B36B13" w:rsidP="003B68DB">
            <w:pPr>
              <w:pStyle w:val="Prrafodelista"/>
              <w:numPr>
                <w:ilvl w:val="0"/>
                <w:numId w:val="112"/>
              </w:numPr>
              <w:spacing w:after="60"/>
              <w:ind w:right="74"/>
              <w:rPr>
                <w:rFonts w:ascii="Arial" w:hAnsi="Arial" w:cs="Arial"/>
                <w:sz w:val="22"/>
                <w:szCs w:val="22"/>
                <w:lang w:val="es-HN"/>
              </w:rPr>
            </w:pPr>
            <w:r w:rsidRPr="00B36B13">
              <w:rPr>
                <w:rFonts w:ascii="Arial" w:hAnsi="Arial" w:cs="Arial"/>
                <w:bCs/>
                <w:sz w:val="22"/>
                <w:szCs w:val="22"/>
                <w:lang w:val="es-HN"/>
              </w:rPr>
              <w:t xml:space="preserve">Certificado de Proveedor del Estado </w:t>
            </w:r>
          </w:p>
          <w:p w14:paraId="40793164" w14:textId="77777777" w:rsidR="00B36B13" w:rsidRPr="00B36B13" w:rsidRDefault="00B36B13" w:rsidP="003B68DB">
            <w:pPr>
              <w:pStyle w:val="Prrafodelista"/>
              <w:numPr>
                <w:ilvl w:val="0"/>
                <w:numId w:val="112"/>
              </w:numPr>
              <w:spacing w:after="60"/>
              <w:ind w:right="74"/>
              <w:rPr>
                <w:rFonts w:ascii="Arial" w:hAnsi="Arial" w:cs="Arial"/>
                <w:sz w:val="22"/>
                <w:szCs w:val="22"/>
                <w:lang w:val="es-HN"/>
              </w:rPr>
            </w:pPr>
            <w:r w:rsidRPr="00B36B13">
              <w:rPr>
                <w:rFonts w:ascii="Arial" w:hAnsi="Arial" w:cs="Arial"/>
                <w:bCs/>
                <w:sz w:val="22"/>
                <w:szCs w:val="22"/>
                <w:lang w:val="es-HN"/>
              </w:rPr>
              <w:t>Seguros y Garantía de Ejecución/Cumplimiento de conformidad con lo indicado en el numeral 43.1.</w:t>
            </w:r>
          </w:p>
          <w:p w14:paraId="046894EF" w14:textId="77777777" w:rsidR="00B36B13" w:rsidRPr="00B36B13" w:rsidRDefault="00B36B13" w:rsidP="00B36B13">
            <w:pPr>
              <w:spacing w:before="100" w:after="100"/>
              <w:ind w:left="360" w:right="74"/>
              <w:rPr>
                <w:rFonts w:ascii="Arial" w:hAnsi="Arial" w:cs="Arial"/>
                <w:sz w:val="22"/>
                <w:szCs w:val="22"/>
                <w:lang w:val="es-HN"/>
              </w:rPr>
            </w:pPr>
            <w:r w:rsidRPr="00B36B13">
              <w:rPr>
                <w:rFonts w:ascii="Arial" w:hAnsi="Arial" w:cs="Arial"/>
                <w:sz w:val="22"/>
                <w:szCs w:val="22"/>
                <w:lang w:val="es-HN"/>
              </w:rPr>
              <w:t xml:space="preserve">Los documentos anteriores deberán presentarse al menos </w:t>
            </w:r>
            <w:r w:rsidRPr="00B36B13">
              <w:rPr>
                <w:rFonts w:ascii="Arial" w:hAnsi="Arial" w:cs="Arial"/>
                <w:i/>
                <w:sz w:val="22"/>
                <w:szCs w:val="22"/>
                <w:lang w:val="es-ES"/>
              </w:rPr>
              <w:t>15 días</w:t>
            </w:r>
            <w:r w:rsidRPr="00B36B13">
              <w:rPr>
                <w:rFonts w:ascii="Arial" w:hAnsi="Arial" w:cs="Arial"/>
                <w:sz w:val="22"/>
                <w:szCs w:val="22"/>
                <w:lang w:val="es-HN"/>
              </w:rPr>
              <w:t xml:space="preserve"> hábiles posteriores a la adjudicación.</w:t>
            </w:r>
          </w:p>
        </w:tc>
      </w:tr>
      <w:tr w:rsidR="00B36B13" w:rsidRPr="00A33F6B" w14:paraId="4E8E4A19" w14:textId="77777777" w:rsidTr="00B903FF">
        <w:trPr>
          <w:trHeight w:val="20"/>
        </w:trPr>
        <w:tc>
          <w:tcPr>
            <w:tcW w:w="990" w:type="dxa"/>
            <w:vAlign w:val="center"/>
          </w:tcPr>
          <w:p w14:paraId="4845D169" w14:textId="77777777" w:rsidR="00B36B13" w:rsidRPr="00641AB0" w:rsidRDefault="00B36B13" w:rsidP="00B36B13">
            <w:pPr>
              <w:autoSpaceDE w:val="0"/>
              <w:autoSpaceDN w:val="0"/>
              <w:adjustRightInd w:val="0"/>
              <w:spacing w:before="100" w:after="100"/>
              <w:jc w:val="center"/>
              <w:rPr>
                <w:rFonts w:ascii="Arial" w:hAnsi="Arial" w:cs="Arial"/>
                <w:b/>
                <w:sz w:val="22"/>
                <w:szCs w:val="22"/>
                <w:lang w:val="es-ES"/>
              </w:rPr>
            </w:pPr>
            <w:r w:rsidRPr="00641AB0">
              <w:rPr>
                <w:rFonts w:ascii="Arial" w:hAnsi="Arial" w:cs="Arial"/>
                <w:b/>
                <w:sz w:val="22"/>
                <w:szCs w:val="22"/>
                <w:lang w:val="es-ES"/>
              </w:rPr>
              <w:lastRenderedPageBreak/>
              <w:t>44.2</w:t>
            </w:r>
          </w:p>
        </w:tc>
        <w:tc>
          <w:tcPr>
            <w:tcW w:w="8649" w:type="dxa"/>
            <w:vAlign w:val="center"/>
          </w:tcPr>
          <w:p w14:paraId="397F7CEA" w14:textId="77777777" w:rsidR="00B36B13" w:rsidRPr="0083687A" w:rsidRDefault="00B36B13" w:rsidP="00B36B13">
            <w:pPr>
              <w:spacing w:before="100" w:after="100"/>
              <w:ind w:right="74"/>
              <w:rPr>
                <w:rFonts w:ascii="Arial" w:hAnsi="Arial" w:cs="Arial"/>
                <w:i/>
                <w:color w:val="FF0000"/>
                <w:sz w:val="22"/>
                <w:szCs w:val="22"/>
                <w:lang w:val="es-ES"/>
              </w:rPr>
            </w:pPr>
            <w:r w:rsidRPr="0083687A">
              <w:rPr>
                <w:rFonts w:ascii="Arial" w:hAnsi="Arial" w:cs="Arial"/>
                <w:sz w:val="22"/>
                <w:szCs w:val="22"/>
                <w:lang w:val="es-ES"/>
              </w:rPr>
              <w:t>El procedimiento para seguir para la firma del contrato es:</w:t>
            </w:r>
            <w:r w:rsidRPr="0083687A">
              <w:rPr>
                <w:rFonts w:ascii="Arial" w:hAnsi="Arial" w:cs="Arial"/>
                <w:i/>
                <w:sz w:val="22"/>
                <w:szCs w:val="22"/>
                <w:lang w:val="es-ES"/>
              </w:rPr>
              <w:t xml:space="preserve"> </w:t>
            </w:r>
          </w:p>
          <w:p w14:paraId="6AE7F9B1" w14:textId="77777777" w:rsidR="00B36B13" w:rsidRPr="0083687A" w:rsidRDefault="00B36B13" w:rsidP="00B36B13">
            <w:pPr>
              <w:spacing w:before="100" w:after="100"/>
              <w:ind w:right="74"/>
              <w:rPr>
                <w:rFonts w:ascii="Arial" w:hAnsi="Arial" w:cs="Arial"/>
                <w:sz w:val="22"/>
                <w:szCs w:val="22"/>
                <w:lang w:val="es-ES"/>
              </w:rPr>
            </w:pPr>
            <w:r w:rsidRPr="0083687A">
              <w:rPr>
                <w:rFonts w:ascii="Arial" w:hAnsi="Arial" w:cs="Arial"/>
                <w:sz w:val="22"/>
                <w:szCs w:val="22"/>
                <w:lang w:val="es-ES"/>
              </w:rPr>
              <w:t xml:space="preserve">Una vez notificados los resultados de la Evaluación Económica, y transcurrido el plazo de presentación de protestas y/o haber resuelto las protestas presentadas de manera definitiva, la máxima autoridad de la institución procederá a emitir Resolución de adjudicación.  </w:t>
            </w:r>
          </w:p>
          <w:p w14:paraId="6062EF96" w14:textId="77777777" w:rsidR="00B36B13" w:rsidRPr="00641AB0" w:rsidRDefault="00B36B13" w:rsidP="00B36B13">
            <w:pPr>
              <w:spacing w:before="100" w:after="100"/>
              <w:ind w:right="74"/>
              <w:rPr>
                <w:rFonts w:ascii="Arial" w:hAnsi="Arial" w:cs="Arial"/>
                <w:i/>
                <w:color w:val="FF0000"/>
                <w:sz w:val="22"/>
                <w:szCs w:val="22"/>
                <w:lang w:val="es-ES"/>
              </w:rPr>
            </w:pPr>
            <w:r w:rsidRPr="0083687A">
              <w:rPr>
                <w:rFonts w:ascii="Arial" w:hAnsi="Arial" w:cs="Arial"/>
                <w:sz w:val="22"/>
                <w:szCs w:val="22"/>
                <w:lang w:val="es-ES"/>
              </w:rPr>
              <w:t xml:space="preserve">Posteriormente, se llamará al Adjudicado para que se presente en un plazo máximo de </w:t>
            </w:r>
            <w:r w:rsidRPr="0083687A">
              <w:rPr>
                <w:rFonts w:ascii="Arial" w:hAnsi="Arial" w:cs="Arial"/>
                <w:b/>
                <w:sz w:val="22"/>
                <w:szCs w:val="22"/>
                <w:u w:val="single"/>
                <w:lang w:val="es-ES"/>
              </w:rPr>
              <w:t>15 días</w:t>
            </w:r>
            <w:r w:rsidRPr="0083687A">
              <w:rPr>
                <w:rFonts w:ascii="Arial" w:hAnsi="Arial" w:cs="Arial"/>
                <w:b/>
                <w:sz w:val="22"/>
                <w:szCs w:val="22"/>
                <w:u w:val="single"/>
                <w:lang w:val="es-HN"/>
              </w:rPr>
              <w:t xml:space="preserve"> hábiles</w:t>
            </w:r>
            <w:r w:rsidRPr="0083687A">
              <w:rPr>
                <w:rFonts w:ascii="Arial" w:hAnsi="Arial" w:cs="Arial"/>
                <w:b/>
                <w:sz w:val="22"/>
                <w:szCs w:val="22"/>
                <w:u w:val="single"/>
                <w:lang w:val="es-ES"/>
              </w:rPr>
              <w:t xml:space="preserve"> </w:t>
            </w:r>
            <w:r w:rsidRPr="0083687A">
              <w:rPr>
                <w:rFonts w:ascii="Arial" w:hAnsi="Arial" w:cs="Arial"/>
                <w:sz w:val="22"/>
                <w:szCs w:val="22"/>
                <w:lang w:val="es-ES"/>
              </w:rPr>
              <w:t>para firma del contrato, previa presentación de documentos conforme lo indicado en el numeral 44.1. numeral 4</w:t>
            </w:r>
          </w:p>
        </w:tc>
      </w:tr>
      <w:tr w:rsidR="00B36B13" w:rsidRPr="00A33F6B" w14:paraId="04DBF94F" w14:textId="77777777" w:rsidTr="00B903FF">
        <w:trPr>
          <w:trHeight w:val="20"/>
        </w:trPr>
        <w:tc>
          <w:tcPr>
            <w:tcW w:w="990" w:type="dxa"/>
            <w:vAlign w:val="center"/>
          </w:tcPr>
          <w:p w14:paraId="43BD7D8B" w14:textId="77777777" w:rsidR="00B36B13" w:rsidRPr="00641AB0" w:rsidRDefault="00B36B13" w:rsidP="00B36B13">
            <w:pPr>
              <w:autoSpaceDE w:val="0"/>
              <w:autoSpaceDN w:val="0"/>
              <w:adjustRightInd w:val="0"/>
              <w:spacing w:before="100" w:after="100"/>
              <w:jc w:val="center"/>
              <w:rPr>
                <w:rFonts w:ascii="Arial" w:hAnsi="Arial" w:cs="Arial"/>
                <w:b/>
                <w:sz w:val="22"/>
                <w:szCs w:val="22"/>
                <w:lang w:val="es-ES"/>
              </w:rPr>
            </w:pPr>
            <w:r w:rsidRPr="00641AB0">
              <w:rPr>
                <w:rFonts w:ascii="Arial" w:hAnsi="Arial" w:cs="Arial"/>
                <w:b/>
                <w:sz w:val="22"/>
                <w:szCs w:val="22"/>
                <w:lang w:val="es-ES"/>
              </w:rPr>
              <w:t>45.1</w:t>
            </w:r>
          </w:p>
        </w:tc>
        <w:tc>
          <w:tcPr>
            <w:tcW w:w="8649" w:type="dxa"/>
            <w:vAlign w:val="center"/>
          </w:tcPr>
          <w:p w14:paraId="57861CE1" w14:textId="77777777" w:rsidR="00B36B13" w:rsidRPr="006913BA" w:rsidRDefault="00B36B13" w:rsidP="00B36B13">
            <w:pPr>
              <w:spacing w:before="100" w:after="100"/>
              <w:ind w:right="74"/>
              <w:rPr>
                <w:rFonts w:ascii="Arial" w:hAnsi="Arial" w:cs="Arial"/>
                <w:b/>
                <w:iCs/>
                <w:sz w:val="22"/>
                <w:szCs w:val="22"/>
                <w:lang w:val="es-ES"/>
              </w:rPr>
            </w:pPr>
            <w:r w:rsidRPr="006913BA">
              <w:rPr>
                <w:rFonts w:ascii="Arial" w:hAnsi="Arial" w:cs="Arial"/>
                <w:b/>
                <w:iCs/>
                <w:sz w:val="22"/>
                <w:szCs w:val="22"/>
                <w:lang w:val="es-ES"/>
              </w:rPr>
              <w:t xml:space="preserve">Solución de Conflicto: </w:t>
            </w:r>
          </w:p>
          <w:p w14:paraId="4F0EC658" w14:textId="77777777" w:rsidR="00B36B13" w:rsidRPr="00641AB0" w:rsidRDefault="00B36B13" w:rsidP="00B36B13">
            <w:pPr>
              <w:spacing w:before="100" w:after="100"/>
              <w:ind w:right="74"/>
              <w:rPr>
                <w:rFonts w:ascii="Arial" w:hAnsi="Arial" w:cs="Arial"/>
                <w:i/>
                <w:color w:val="FF0000"/>
                <w:sz w:val="22"/>
                <w:szCs w:val="22"/>
                <w:lang w:val="es-ES"/>
              </w:rPr>
            </w:pPr>
            <w:r w:rsidRPr="002D4DCD">
              <w:rPr>
                <w:rFonts w:ascii="Arial" w:hAnsi="Arial" w:cs="Arial"/>
                <w:iCs/>
                <w:sz w:val="22"/>
                <w:szCs w:val="22"/>
                <w:lang w:val="es-ES"/>
              </w:rPr>
              <w:t>El Contratante designa que todo conflicto o desacuerdo derivada de la relac</w:t>
            </w:r>
            <w:r>
              <w:rPr>
                <w:rFonts w:ascii="Arial" w:hAnsi="Arial" w:cs="Arial"/>
                <w:iCs/>
                <w:sz w:val="22"/>
                <w:szCs w:val="22"/>
                <w:lang w:val="es-ES"/>
              </w:rPr>
              <w:t>ión contractual oficializada por</w:t>
            </w:r>
            <w:r w:rsidRPr="002D4DCD">
              <w:rPr>
                <w:rFonts w:ascii="Arial" w:hAnsi="Arial" w:cs="Arial"/>
                <w:iCs/>
                <w:sz w:val="22"/>
                <w:szCs w:val="22"/>
                <w:lang w:val="es-ES"/>
              </w:rPr>
              <w:t xml:space="preserve"> el contratante será sometido al Centro de Arbitraje de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derecho.</w:t>
            </w:r>
          </w:p>
        </w:tc>
      </w:tr>
    </w:tbl>
    <w:p w14:paraId="05F80F4A" w14:textId="77777777" w:rsidR="00B903FF" w:rsidRDefault="00B903FF"/>
    <w:p w14:paraId="186F3738" w14:textId="77777777" w:rsidR="00B903FF" w:rsidRDefault="00B903FF">
      <w:pPr>
        <w:jc w:val="left"/>
      </w:pPr>
      <w:r>
        <w:br w:type="page"/>
      </w:r>
    </w:p>
    <w:p w14:paraId="7DA60EB2" w14:textId="77777777" w:rsidR="00D62CF8" w:rsidRPr="00ED2DB6" w:rsidRDefault="00D62CF8" w:rsidP="00C2353B">
      <w:pPr>
        <w:pStyle w:val="INDGEN2"/>
        <w:rPr>
          <w:sz w:val="22"/>
          <w:szCs w:val="22"/>
        </w:rPr>
      </w:pPr>
      <w:bookmarkStart w:id="368" w:name="_Toc74048224"/>
      <w:bookmarkStart w:id="369" w:name="_Toc74520008"/>
      <w:bookmarkStart w:id="370" w:name="_Toc74781382"/>
      <w:bookmarkStart w:id="371" w:name="_Toc74894069"/>
      <w:r w:rsidRPr="00ED2DB6">
        <w:rPr>
          <w:sz w:val="22"/>
          <w:szCs w:val="22"/>
        </w:rPr>
        <w:lastRenderedPageBreak/>
        <w:t>Sección III.</w:t>
      </w:r>
      <w:bookmarkStart w:id="372" w:name="_Toc365893476"/>
      <w:r w:rsidR="002D4D3B" w:rsidRPr="00ED2DB6">
        <w:rPr>
          <w:sz w:val="22"/>
          <w:szCs w:val="22"/>
        </w:rPr>
        <w:t xml:space="preserve"> </w:t>
      </w:r>
      <w:r w:rsidRPr="00ED2DB6">
        <w:rPr>
          <w:sz w:val="22"/>
          <w:szCs w:val="22"/>
        </w:rPr>
        <w:t xml:space="preserve">Criterios de </w:t>
      </w:r>
      <w:bookmarkEnd w:id="372"/>
      <w:r w:rsidRPr="00ED2DB6">
        <w:rPr>
          <w:sz w:val="22"/>
          <w:szCs w:val="22"/>
        </w:rPr>
        <w:t>Evaluación</w:t>
      </w:r>
      <w:bookmarkEnd w:id="368"/>
      <w:bookmarkEnd w:id="369"/>
      <w:bookmarkEnd w:id="370"/>
      <w:bookmarkEnd w:id="371"/>
      <w:r w:rsidRPr="00ED2DB6">
        <w:rPr>
          <w:sz w:val="22"/>
          <w:szCs w:val="22"/>
        </w:rPr>
        <w:t xml:space="preserve"> </w:t>
      </w:r>
    </w:p>
    <w:p w14:paraId="668EBB12" w14:textId="77777777" w:rsidR="00D62CF8" w:rsidRPr="002C6280" w:rsidRDefault="00D62CF8" w:rsidP="0071608E">
      <w:pPr>
        <w:pStyle w:val="Prrafodelista"/>
        <w:numPr>
          <w:ilvl w:val="0"/>
          <w:numId w:val="47"/>
        </w:numPr>
        <w:tabs>
          <w:tab w:val="num" w:pos="567"/>
        </w:tabs>
        <w:spacing w:before="240" w:after="120"/>
        <w:ind w:left="0" w:firstLine="0"/>
        <w:jc w:val="left"/>
        <w:rPr>
          <w:rFonts w:ascii="Arial" w:hAnsi="Arial" w:cs="Arial"/>
          <w:b/>
          <w:sz w:val="22"/>
          <w:szCs w:val="22"/>
          <w:lang w:val="es-HN"/>
        </w:rPr>
      </w:pPr>
      <w:r w:rsidRPr="002C6280">
        <w:rPr>
          <w:rFonts w:ascii="Arial" w:hAnsi="Arial" w:cs="Arial"/>
          <w:b/>
          <w:sz w:val="22"/>
          <w:szCs w:val="22"/>
          <w:lang w:val="es-HN"/>
        </w:rPr>
        <w:t xml:space="preserve">Evaluación de Antecedentes de Oferentes </w:t>
      </w:r>
    </w:p>
    <w:p w14:paraId="0CAB9DD9" w14:textId="77777777" w:rsidR="00D62CF8" w:rsidRPr="002C6280" w:rsidRDefault="00D62CF8" w:rsidP="00E81E9D">
      <w:pPr>
        <w:pStyle w:val="CM76"/>
        <w:spacing w:after="0"/>
        <w:jc w:val="both"/>
        <w:rPr>
          <w:rFonts w:cs="Arial"/>
          <w:sz w:val="22"/>
          <w:szCs w:val="22"/>
          <w:lang w:val="es-ES"/>
        </w:rPr>
      </w:pPr>
      <w:r w:rsidRPr="002C6280">
        <w:rPr>
          <w:rFonts w:cs="Arial"/>
          <w:sz w:val="22"/>
          <w:szCs w:val="22"/>
          <w:lang w:val="es-ES"/>
        </w:rPr>
        <w:t xml:space="preserve">El oferente presentará incluidos como parte de su oferta, todos los documentos que acrediten sus antecedentes para participar en la licitación y sus calificaciones para proveer las obras requeridas </w:t>
      </w:r>
    </w:p>
    <w:p w14:paraId="2ED34E6C" w14:textId="77777777" w:rsidR="00D62CF8" w:rsidRPr="002C6280" w:rsidRDefault="00D62CF8" w:rsidP="00E81E9D">
      <w:pPr>
        <w:spacing w:before="240" w:after="120"/>
        <w:rPr>
          <w:rFonts w:ascii="Arial" w:hAnsi="Arial" w:cs="Arial"/>
          <w:b/>
          <w:sz w:val="22"/>
          <w:szCs w:val="22"/>
          <w:lang w:val="es-HN"/>
        </w:rPr>
      </w:pPr>
      <w:r w:rsidRPr="002C6280">
        <w:rPr>
          <w:rFonts w:ascii="Arial" w:hAnsi="Arial" w:cs="Arial"/>
          <w:b/>
          <w:sz w:val="22"/>
          <w:szCs w:val="22"/>
          <w:lang w:val="es-HN"/>
        </w:rPr>
        <w:t>El oferente que no cumpla todos los criterios no pasará a la etapa de evaluación de la oferta técnica.</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7920"/>
      </w:tblGrid>
      <w:tr w:rsidR="00D62CF8" w:rsidRPr="002C6280" w14:paraId="37FD89C5" w14:textId="77777777" w:rsidTr="002C6280">
        <w:trPr>
          <w:trHeight w:val="20"/>
          <w:tblHeader/>
        </w:trPr>
        <w:tc>
          <w:tcPr>
            <w:tcW w:w="9360" w:type="dxa"/>
            <w:gridSpan w:val="2"/>
            <w:tcBorders>
              <w:bottom w:val="single" w:sz="4" w:space="0" w:color="auto"/>
            </w:tcBorders>
            <w:shd w:val="clear" w:color="auto" w:fill="002060"/>
            <w:noWrap/>
            <w:vAlign w:val="center"/>
          </w:tcPr>
          <w:p w14:paraId="7B744EBC" w14:textId="77777777" w:rsidR="00D62CF8" w:rsidRPr="002C6280" w:rsidRDefault="00D62CF8" w:rsidP="000C6174">
            <w:pPr>
              <w:autoSpaceDE w:val="0"/>
              <w:autoSpaceDN w:val="0"/>
              <w:adjustRightInd w:val="0"/>
              <w:spacing w:before="60" w:after="60"/>
              <w:ind w:right="-32"/>
              <w:jc w:val="left"/>
              <w:rPr>
                <w:rFonts w:ascii="Arial" w:hAnsi="Arial" w:cs="Arial"/>
                <w:b/>
                <w:sz w:val="22"/>
                <w:szCs w:val="22"/>
                <w:lang w:val="es-HN"/>
              </w:rPr>
            </w:pPr>
            <w:r w:rsidRPr="002C6280">
              <w:rPr>
                <w:rFonts w:ascii="Arial" w:hAnsi="Arial" w:cs="Arial"/>
                <w:b/>
                <w:sz w:val="22"/>
                <w:szCs w:val="22"/>
                <w:lang w:val="es-HN"/>
              </w:rPr>
              <w:t xml:space="preserve">Criterio 1:  Autorización para presentar la oferta y capacidad para obligarse y contratar </w:t>
            </w:r>
          </w:p>
        </w:tc>
      </w:tr>
      <w:tr w:rsidR="00D62CF8" w:rsidRPr="002C6280" w14:paraId="4B7F2BC5" w14:textId="77777777" w:rsidTr="00C535F0">
        <w:trPr>
          <w:trHeight w:val="20"/>
          <w:tblHeader/>
        </w:trPr>
        <w:tc>
          <w:tcPr>
            <w:tcW w:w="1440" w:type="dxa"/>
            <w:tcBorders>
              <w:bottom w:val="single" w:sz="4" w:space="0" w:color="auto"/>
            </w:tcBorders>
            <w:shd w:val="clear" w:color="auto" w:fill="00B050"/>
            <w:noWrap/>
            <w:vAlign w:val="center"/>
          </w:tcPr>
          <w:p w14:paraId="149B0DA1" w14:textId="77777777" w:rsidR="00D62CF8" w:rsidRPr="00C535F0" w:rsidRDefault="00D62CF8" w:rsidP="000C6174">
            <w:pPr>
              <w:spacing w:before="60" w:after="60"/>
              <w:ind w:right="-34"/>
              <w:jc w:val="center"/>
              <w:rPr>
                <w:rFonts w:ascii="Arial" w:hAnsi="Arial" w:cs="Arial"/>
                <w:b/>
                <w:color w:val="FFFFFF" w:themeColor="background1"/>
                <w:sz w:val="22"/>
                <w:szCs w:val="22"/>
                <w:lang w:val="es-HN"/>
              </w:rPr>
            </w:pPr>
            <w:r w:rsidRPr="00C535F0">
              <w:rPr>
                <w:rFonts w:ascii="Arial" w:hAnsi="Arial" w:cs="Arial"/>
                <w:b/>
                <w:color w:val="FFFFFF" w:themeColor="background1"/>
                <w:sz w:val="22"/>
                <w:szCs w:val="22"/>
                <w:lang w:val="es-HN"/>
              </w:rPr>
              <w:t>Evaluación</w:t>
            </w:r>
          </w:p>
        </w:tc>
        <w:tc>
          <w:tcPr>
            <w:tcW w:w="7920" w:type="dxa"/>
            <w:tcBorders>
              <w:bottom w:val="single" w:sz="4" w:space="0" w:color="auto"/>
            </w:tcBorders>
            <w:shd w:val="clear" w:color="auto" w:fill="00B050"/>
            <w:vAlign w:val="center"/>
          </w:tcPr>
          <w:p w14:paraId="1B66A2C5" w14:textId="77777777" w:rsidR="00D62CF8" w:rsidRPr="00C535F0" w:rsidRDefault="00D62CF8" w:rsidP="000C6174">
            <w:pPr>
              <w:tabs>
                <w:tab w:val="num" w:pos="1782"/>
              </w:tabs>
              <w:autoSpaceDE w:val="0"/>
              <w:autoSpaceDN w:val="0"/>
              <w:adjustRightInd w:val="0"/>
              <w:spacing w:before="60" w:after="60"/>
              <w:ind w:left="1782" w:right="214" w:hanging="792"/>
              <w:jc w:val="center"/>
              <w:rPr>
                <w:rFonts w:ascii="Arial" w:hAnsi="Arial" w:cs="Arial"/>
                <w:b/>
                <w:color w:val="FFFFFF" w:themeColor="background1"/>
                <w:sz w:val="22"/>
                <w:szCs w:val="22"/>
                <w:lang w:val="es-HN"/>
              </w:rPr>
            </w:pPr>
            <w:r w:rsidRPr="00C535F0">
              <w:rPr>
                <w:rFonts w:ascii="Arial" w:hAnsi="Arial" w:cs="Arial"/>
                <w:b/>
                <w:color w:val="FFFFFF" w:themeColor="background1"/>
                <w:sz w:val="22"/>
                <w:szCs w:val="22"/>
                <w:lang w:val="es-HN"/>
              </w:rPr>
              <w:t>Evidencia Presentada</w:t>
            </w:r>
          </w:p>
        </w:tc>
      </w:tr>
      <w:tr w:rsidR="00D62CF8" w:rsidRPr="002C6280" w14:paraId="2448F4D1" w14:textId="77777777" w:rsidTr="002F7C0E">
        <w:trPr>
          <w:trHeight w:val="571"/>
        </w:trPr>
        <w:tc>
          <w:tcPr>
            <w:tcW w:w="1440" w:type="dxa"/>
            <w:shd w:val="clear" w:color="auto" w:fill="auto"/>
            <w:noWrap/>
            <w:vAlign w:val="center"/>
          </w:tcPr>
          <w:p w14:paraId="68BEF3FD" w14:textId="77777777" w:rsidR="00D62CF8" w:rsidRPr="002C6280" w:rsidRDefault="00D62CF8" w:rsidP="000C6174">
            <w:pPr>
              <w:spacing w:before="60"/>
              <w:ind w:right="-34"/>
              <w:jc w:val="center"/>
              <w:rPr>
                <w:rFonts w:ascii="Arial" w:hAnsi="Arial" w:cs="Arial"/>
                <w:sz w:val="22"/>
                <w:szCs w:val="22"/>
                <w:lang w:val="es-HN"/>
              </w:rPr>
            </w:pPr>
            <w:r w:rsidRPr="002C6280">
              <w:rPr>
                <w:rFonts w:ascii="Arial" w:hAnsi="Arial" w:cs="Arial"/>
                <w:sz w:val="22"/>
                <w:szCs w:val="22"/>
                <w:lang w:val="es-HN"/>
              </w:rPr>
              <w:t>Cumple /</w:t>
            </w:r>
          </w:p>
          <w:p w14:paraId="00A31F6F" w14:textId="77777777" w:rsidR="00D62CF8" w:rsidRPr="002C6280" w:rsidRDefault="00D62CF8" w:rsidP="000C6174">
            <w:pPr>
              <w:spacing w:before="60"/>
              <w:ind w:right="-34"/>
              <w:jc w:val="center"/>
              <w:rPr>
                <w:rFonts w:ascii="Arial" w:hAnsi="Arial" w:cs="Arial"/>
                <w:sz w:val="22"/>
                <w:szCs w:val="22"/>
                <w:lang w:val="es-HN"/>
              </w:rPr>
            </w:pPr>
            <w:r w:rsidRPr="002C6280">
              <w:rPr>
                <w:rFonts w:ascii="Arial" w:hAnsi="Arial" w:cs="Arial"/>
                <w:sz w:val="22"/>
                <w:szCs w:val="22"/>
                <w:lang w:val="es-HN"/>
              </w:rPr>
              <w:t>No Cumple</w:t>
            </w:r>
          </w:p>
        </w:tc>
        <w:tc>
          <w:tcPr>
            <w:tcW w:w="7920" w:type="dxa"/>
            <w:shd w:val="clear" w:color="auto" w:fill="auto"/>
            <w:vAlign w:val="center"/>
          </w:tcPr>
          <w:p w14:paraId="0CF995BB" w14:textId="77777777" w:rsidR="00D62CF8" w:rsidRPr="00210A35" w:rsidRDefault="00D62CF8" w:rsidP="0071608E">
            <w:pPr>
              <w:pStyle w:val="Prrafodelista"/>
              <w:numPr>
                <w:ilvl w:val="0"/>
                <w:numId w:val="48"/>
              </w:numPr>
              <w:autoSpaceDE w:val="0"/>
              <w:autoSpaceDN w:val="0"/>
              <w:adjustRightInd w:val="0"/>
              <w:spacing w:before="60" w:after="60"/>
              <w:ind w:left="355" w:right="214" w:hanging="355"/>
              <w:rPr>
                <w:rFonts w:ascii="Arial" w:hAnsi="Arial" w:cs="Arial"/>
                <w:sz w:val="22"/>
                <w:szCs w:val="22"/>
                <w:lang w:val="es-HN"/>
              </w:rPr>
            </w:pPr>
            <w:r w:rsidRPr="00210A35">
              <w:rPr>
                <w:rFonts w:ascii="Arial" w:hAnsi="Arial" w:cs="Arial"/>
                <w:sz w:val="22"/>
                <w:szCs w:val="22"/>
                <w:lang w:val="es-HN"/>
              </w:rPr>
              <w:t>Carta de confirmación de participación y presentación de la oferta, debidamente firmada por el representante legal del oferente. (CC-1, No Subsanable)</w:t>
            </w:r>
          </w:p>
          <w:p w14:paraId="5DF1E772" w14:textId="77777777" w:rsidR="00D62CF8" w:rsidRPr="00210A35" w:rsidRDefault="00D62CF8" w:rsidP="000C6174">
            <w:pPr>
              <w:pStyle w:val="Prrafodelista"/>
              <w:autoSpaceDE w:val="0"/>
              <w:autoSpaceDN w:val="0"/>
              <w:adjustRightInd w:val="0"/>
              <w:spacing w:before="60" w:after="60"/>
              <w:ind w:left="355" w:right="214"/>
              <w:rPr>
                <w:rFonts w:ascii="Arial" w:hAnsi="Arial" w:cs="Arial"/>
                <w:sz w:val="22"/>
                <w:szCs w:val="22"/>
                <w:lang w:val="es-HN"/>
              </w:rPr>
            </w:pPr>
            <w:r w:rsidRPr="00210A35">
              <w:rPr>
                <w:rFonts w:ascii="Arial" w:hAnsi="Arial" w:cs="Arial"/>
                <w:sz w:val="22"/>
                <w:szCs w:val="22"/>
                <w:lang w:val="es-HN"/>
              </w:rPr>
              <w:t>Los anexos 1, 2 y 3 de esta carta serán subsanables</w:t>
            </w:r>
          </w:p>
        </w:tc>
      </w:tr>
      <w:tr w:rsidR="00D62CF8" w:rsidRPr="002C6280" w14:paraId="7C52B8F8" w14:textId="77777777" w:rsidTr="002F7C0E">
        <w:trPr>
          <w:trHeight w:val="571"/>
        </w:trPr>
        <w:tc>
          <w:tcPr>
            <w:tcW w:w="1440" w:type="dxa"/>
            <w:shd w:val="clear" w:color="auto" w:fill="auto"/>
            <w:noWrap/>
            <w:vAlign w:val="center"/>
          </w:tcPr>
          <w:p w14:paraId="1DE4C367"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Cumple /</w:t>
            </w:r>
          </w:p>
          <w:p w14:paraId="6C291936" w14:textId="77777777" w:rsidR="00D62CF8" w:rsidRPr="002C6280" w:rsidRDefault="00D62CF8" w:rsidP="000C6174">
            <w:pPr>
              <w:spacing w:before="60"/>
              <w:ind w:right="-34"/>
              <w:jc w:val="center"/>
              <w:rPr>
                <w:rFonts w:ascii="Arial" w:hAnsi="Arial" w:cs="Arial"/>
                <w:sz w:val="22"/>
                <w:szCs w:val="22"/>
                <w:lang w:val="es-HN"/>
              </w:rPr>
            </w:pPr>
            <w:r w:rsidRPr="002C6280">
              <w:rPr>
                <w:rFonts w:ascii="Arial" w:hAnsi="Arial" w:cs="Arial"/>
                <w:sz w:val="22"/>
                <w:szCs w:val="22"/>
                <w:lang w:val="es-HN"/>
              </w:rPr>
              <w:t>No Cumple / No Aplica</w:t>
            </w:r>
          </w:p>
        </w:tc>
        <w:tc>
          <w:tcPr>
            <w:tcW w:w="7920" w:type="dxa"/>
            <w:shd w:val="clear" w:color="auto" w:fill="auto"/>
            <w:vAlign w:val="center"/>
          </w:tcPr>
          <w:p w14:paraId="253CFF13" w14:textId="77777777" w:rsidR="00E705BA" w:rsidRPr="00210A35" w:rsidRDefault="00E705BA" w:rsidP="00E705BA">
            <w:pPr>
              <w:pStyle w:val="Prrafodelista"/>
              <w:numPr>
                <w:ilvl w:val="0"/>
                <w:numId w:val="48"/>
              </w:numPr>
              <w:spacing w:before="60" w:after="60"/>
              <w:ind w:right="214"/>
              <w:rPr>
                <w:rFonts w:ascii="Arial" w:hAnsi="Arial" w:cs="Arial"/>
                <w:sz w:val="22"/>
                <w:szCs w:val="22"/>
                <w:lang w:val="es-HN"/>
              </w:rPr>
            </w:pPr>
            <w:r w:rsidRPr="00210A35">
              <w:rPr>
                <w:rFonts w:ascii="Arial" w:hAnsi="Arial" w:cs="Arial"/>
                <w:sz w:val="22"/>
                <w:szCs w:val="22"/>
                <w:lang w:val="es-HN"/>
              </w:rPr>
              <w:t xml:space="preserve">Formulario CC-6: Garantía de Mantenimiento de Oferta y Firma de Contrato.  Documento No Subsanable </w:t>
            </w:r>
          </w:p>
          <w:p w14:paraId="7FB921CD" w14:textId="2C6B237B" w:rsidR="00596D86" w:rsidRPr="00210A35" w:rsidRDefault="00596D86" w:rsidP="00E705BA">
            <w:pPr>
              <w:pStyle w:val="Prrafodelista"/>
              <w:spacing w:before="60" w:after="60"/>
              <w:ind w:left="360" w:right="214"/>
              <w:rPr>
                <w:rFonts w:ascii="Arial" w:hAnsi="Arial" w:cs="Arial"/>
                <w:sz w:val="22"/>
                <w:szCs w:val="22"/>
                <w:lang w:val="es-HN"/>
              </w:rPr>
            </w:pPr>
          </w:p>
        </w:tc>
      </w:tr>
      <w:tr w:rsidR="00D62CF8" w:rsidRPr="002C6280" w14:paraId="176FD99F" w14:textId="77777777" w:rsidTr="002F7C0E">
        <w:trPr>
          <w:trHeight w:val="254"/>
        </w:trPr>
        <w:tc>
          <w:tcPr>
            <w:tcW w:w="1440" w:type="dxa"/>
            <w:shd w:val="clear" w:color="auto" w:fill="auto"/>
            <w:noWrap/>
          </w:tcPr>
          <w:p w14:paraId="0C8EF9E8"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Cumple /</w:t>
            </w:r>
          </w:p>
          <w:p w14:paraId="6415FDD7"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No Cumple</w:t>
            </w:r>
          </w:p>
        </w:tc>
        <w:tc>
          <w:tcPr>
            <w:tcW w:w="7920" w:type="dxa"/>
            <w:shd w:val="clear" w:color="auto" w:fill="auto"/>
            <w:vAlign w:val="center"/>
          </w:tcPr>
          <w:p w14:paraId="3AB802AA" w14:textId="77777777" w:rsidR="00D62CF8" w:rsidRPr="002C6280" w:rsidRDefault="00D62CF8" w:rsidP="0071608E">
            <w:pPr>
              <w:pStyle w:val="Prrafodelista"/>
              <w:numPr>
                <w:ilvl w:val="0"/>
                <w:numId w:val="48"/>
              </w:numPr>
              <w:spacing w:before="60" w:after="60"/>
              <w:ind w:right="214"/>
              <w:rPr>
                <w:rFonts w:ascii="Arial" w:hAnsi="Arial" w:cs="Arial"/>
                <w:sz w:val="22"/>
                <w:szCs w:val="22"/>
                <w:lang w:val="es-HN"/>
              </w:rPr>
            </w:pPr>
            <w:r w:rsidRPr="002C6280">
              <w:rPr>
                <w:rFonts w:ascii="Arial" w:hAnsi="Arial" w:cs="Arial"/>
                <w:sz w:val="22"/>
                <w:szCs w:val="22"/>
                <w:lang w:val="es-HN"/>
              </w:rPr>
              <w:t xml:space="preserve">Acta de constitución y sus reformas (si hubiera) debidamente registrada en el Registro Público competente. </w:t>
            </w:r>
          </w:p>
          <w:p w14:paraId="404AFA44" w14:textId="77777777" w:rsidR="00D62CF8" w:rsidRPr="002C6280" w:rsidRDefault="00D62CF8" w:rsidP="000C6174">
            <w:pPr>
              <w:pStyle w:val="Prrafodelista"/>
              <w:autoSpaceDE w:val="0"/>
              <w:autoSpaceDN w:val="0"/>
              <w:adjustRightInd w:val="0"/>
              <w:spacing w:before="60" w:after="60"/>
              <w:ind w:left="360" w:right="214"/>
              <w:rPr>
                <w:rFonts w:ascii="Arial" w:hAnsi="Arial" w:cs="Arial"/>
                <w:sz w:val="22"/>
                <w:szCs w:val="22"/>
                <w:lang w:val="es-HN"/>
              </w:rPr>
            </w:pPr>
            <w:r w:rsidRPr="002C6280">
              <w:rPr>
                <w:rFonts w:ascii="Arial" w:hAnsi="Arial" w:cs="Arial"/>
                <w:sz w:val="22"/>
                <w:szCs w:val="22"/>
                <w:lang w:val="es-HN"/>
              </w:rPr>
              <w:t>En caso de ofertas presentadas por una APCA el acta de constitución debidamente registrado en el Registro Público competente de cada uno de los miembros del APCA. (Subsanable)</w:t>
            </w:r>
          </w:p>
        </w:tc>
      </w:tr>
      <w:tr w:rsidR="00D62CF8" w:rsidRPr="002C6280" w14:paraId="5FC70456" w14:textId="77777777" w:rsidTr="002F7C0E">
        <w:trPr>
          <w:trHeight w:val="757"/>
        </w:trPr>
        <w:tc>
          <w:tcPr>
            <w:tcW w:w="1440" w:type="dxa"/>
            <w:shd w:val="clear" w:color="auto" w:fill="auto"/>
            <w:noWrap/>
            <w:vAlign w:val="center"/>
          </w:tcPr>
          <w:p w14:paraId="38FC7736"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Cumple /</w:t>
            </w:r>
          </w:p>
          <w:p w14:paraId="48763346"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No Cumple</w:t>
            </w:r>
          </w:p>
        </w:tc>
        <w:tc>
          <w:tcPr>
            <w:tcW w:w="7920" w:type="dxa"/>
            <w:shd w:val="clear" w:color="auto" w:fill="auto"/>
            <w:vAlign w:val="center"/>
          </w:tcPr>
          <w:p w14:paraId="7999EA67" w14:textId="77777777" w:rsidR="00D62CF8" w:rsidRPr="002C6280" w:rsidRDefault="00D62CF8" w:rsidP="0071608E">
            <w:pPr>
              <w:pStyle w:val="Prrafodelista"/>
              <w:numPr>
                <w:ilvl w:val="0"/>
                <w:numId w:val="48"/>
              </w:numPr>
              <w:spacing w:before="60" w:after="60"/>
              <w:ind w:right="214"/>
              <w:rPr>
                <w:rFonts w:ascii="Arial" w:hAnsi="Arial" w:cs="Arial"/>
                <w:sz w:val="22"/>
                <w:szCs w:val="22"/>
                <w:lang w:val="es-HN"/>
              </w:rPr>
            </w:pPr>
            <w:r w:rsidRPr="002C6280">
              <w:rPr>
                <w:rFonts w:ascii="Arial" w:hAnsi="Arial" w:cs="Arial"/>
                <w:sz w:val="22"/>
                <w:szCs w:val="22"/>
                <w:lang w:val="es-HN"/>
              </w:rPr>
              <w:t xml:space="preserve">Copia simple del poder de representación de quien suscribe la oferta, emitido mediante escritura notariada de autorización para representación legal del oferente (No Subsanable)  </w:t>
            </w:r>
          </w:p>
          <w:p w14:paraId="20C279CA" w14:textId="77777777" w:rsidR="00D62CF8" w:rsidRPr="002C6280" w:rsidRDefault="00D62CF8" w:rsidP="000C6174">
            <w:pPr>
              <w:pStyle w:val="Prrafodelista"/>
              <w:autoSpaceDE w:val="0"/>
              <w:autoSpaceDN w:val="0"/>
              <w:adjustRightInd w:val="0"/>
              <w:spacing w:before="60" w:after="60"/>
              <w:ind w:left="355" w:right="214"/>
              <w:rPr>
                <w:rFonts w:ascii="Arial" w:hAnsi="Arial" w:cs="Arial"/>
                <w:sz w:val="22"/>
                <w:szCs w:val="22"/>
                <w:lang w:val="es-HN"/>
              </w:rPr>
            </w:pPr>
            <w:r w:rsidRPr="002C6280">
              <w:rPr>
                <w:rFonts w:ascii="Arial" w:hAnsi="Arial" w:cs="Arial"/>
                <w:sz w:val="22"/>
                <w:szCs w:val="22"/>
                <w:lang w:val="es-HN"/>
              </w:rPr>
              <w:t xml:space="preserve">En caso de ofertas presentadas por una APCA, la copia simple del poder de representación de quien firma el formulario de Intención de Asociación en Participación, Consorcio o Asociación (APCA) (No Subsanable)  </w:t>
            </w:r>
          </w:p>
        </w:tc>
      </w:tr>
      <w:tr w:rsidR="00D62CF8" w:rsidRPr="002C6280" w14:paraId="696F45E0" w14:textId="77777777" w:rsidTr="002F7C0E">
        <w:trPr>
          <w:trHeight w:val="757"/>
        </w:trPr>
        <w:tc>
          <w:tcPr>
            <w:tcW w:w="1440" w:type="dxa"/>
            <w:shd w:val="clear" w:color="auto" w:fill="auto"/>
            <w:noWrap/>
          </w:tcPr>
          <w:p w14:paraId="70FE3BCB"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Cumple /</w:t>
            </w:r>
          </w:p>
          <w:p w14:paraId="6448D1CE"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No Cumple</w:t>
            </w:r>
          </w:p>
        </w:tc>
        <w:tc>
          <w:tcPr>
            <w:tcW w:w="7920" w:type="dxa"/>
            <w:shd w:val="clear" w:color="auto" w:fill="auto"/>
            <w:vAlign w:val="center"/>
          </w:tcPr>
          <w:p w14:paraId="58A5BDCD" w14:textId="77777777" w:rsidR="00D62CF8" w:rsidRPr="002C6280" w:rsidRDefault="00D62CF8" w:rsidP="0071608E">
            <w:pPr>
              <w:pStyle w:val="Prrafodelista"/>
              <w:numPr>
                <w:ilvl w:val="0"/>
                <w:numId w:val="48"/>
              </w:numPr>
              <w:spacing w:before="60" w:after="60"/>
              <w:ind w:right="214"/>
              <w:rPr>
                <w:rFonts w:ascii="Arial" w:hAnsi="Arial" w:cs="Arial"/>
                <w:sz w:val="22"/>
                <w:szCs w:val="22"/>
                <w:lang w:val="es-HN"/>
              </w:rPr>
            </w:pPr>
            <w:r w:rsidRPr="002C6280">
              <w:rPr>
                <w:rFonts w:ascii="Arial" w:hAnsi="Arial" w:cs="Arial"/>
                <w:sz w:val="22"/>
                <w:szCs w:val="22"/>
                <w:lang w:val="es-HN"/>
              </w:rPr>
              <w:t>Copia simple de cédula de identidad o documento similar de identificación, vigente, de quien suscribe la oferta. (Subsanable)</w:t>
            </w:r>
          </w:p>
        </w:tc>
      </w:tr>
      <w:tr w:rsidR="00D62CF8" w:rsidRPr="002C6280" w14:paraId="06244BA9" w14:textId="77777777" w:rsidTr="002F7C0E">
        <w:trPr>
          <w:trHeight w:val="757"/>
        </w:trPr>
        <w:tc>
          <w:tcPr>
            <w:tcW w:w="1440" w:type="dxa"/>
            <w:shd w:val="clear" w:color="auto" w:fill="auto"/>
            <w:noWrap/>
          </w:tcPr>
          <w:p w14:paraId="6CD88B7F"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Cumple /</w:t>
            </w:r>
          </w:p>
          <w:p w14:paraId="4A6C8145" w14:textId="77777777" w:rsidR="00D62CF8" w:rsidRPr="002C6280" w:rsidRDefault="00D62CF8" w:rsidP="000C6174">
            <w:pPr>
              <w:tabs>
                <w:tab w:val="num" w:pos="1782"/>
              </w:tabs>
              <w:spacing w:before="60"/>
              <w:ind w:left="-72" w:right="-75"/>
              <w:jc w:val="center"/>
              <w:rPr>
                <w:rFonts w:ascii="Arial" w:hAnsi="Arial" w:cs="Arial"/>
                <w:sz w:val="22"/>
                <w:szCs w:val="22"/>
                <w:lang w:val="es-HN"/>
              </w:rPr>
            </w:pPr>
            <w:r w:rsidRPr="002C6280">
              <w:rPr>
                <w:rFonts w:ascii="Arial" w:hAnsi="Arial" w:cs="Arial"/>
                <w:sz w:val="22"/>
                <w:szCs w:val="22"/>
                <w:lang w:val="es-HN"/>
              </w:rPr>
              <w:t>No Cumple /</w:t>
            </w:r>
          </w:p>
          <w:p w14:paraId="3FA810E7" w14:textId="77777777" w:rsidR="00D62CF8" w:rsidRPr="002C6280" w:rsidRDefault="00D62CF8" w:rsidP="000C6174">
            <w:pPr>
              <w:tabs>
                <w:tab w:val="num" w:pos="1782"/>
              </w:tabs>
              <w:spacing w:before="60"/>
              <w:ind w:right="-34"/>
              <w:jc w:val="center"/>
              <w:rPr>
                <w:rFonts w:ascii="Arial" w:hAnsi="Arial" w:cs="Arial"/>
                <w:sz w:val="22"/>
                <w:szCs w:val="22"/>
                <w:lang w:val="es-HN"/>
              </w:rPr>
            </w:pPr>
            <w:r w:rsidRPr="002C6280">
              <w:rPr>
                <w:rFonts w:ascii="Arial" w:hAnsi="Arial" w:cs="Arial"/>
                <w:sz w:val="22"/>
                <w:szCs w:val="22"/>
                <w:lang w:val="es-HN"/>
              </w:rPr>
              <w:t>No Aplica</w:t>
            </w:r>
          </w:p>
        </w:tc>
        <w:tc>
          <w:tcPr>
            <w:tcW w:w="7920" w:type="dxa"/>
            <w:shd w:val="clear" w:color="auto" w:fill="auto"/>
            <w:vAlign w:val="center"/>
          </w:tcPr>
          <w:p w14:paraId="2D9D49C8" w14:textId="77777777" w:rsidR="00D62CF8" w:rsidRPr="002C6280" w:rsidRDefault="00D62CF8" w:rsidP="0071608E">
            <w:pPr>
              <w:pStyle w:val="Prrafodelista"/>
              <w:numPr>
                <w:ilvl w:val="0"/>
                <w:numId w:val="48"/>
              </w:numPr>
              <w:spacing w:before="60" w:after="60"/>
              <w:ind w:right="214"/>
              <w:rPr>
                <w:rFonts w:ascii="Arial" w:hAnsi="Arial" w:cs="Arial"/>
                <w:sz w:val="22"/>
                <w:szCs w:val="22"/>
                <w:lang w:val="es-HN"/>
              </w:rPr>
            </w:pPr>
            <w:r w:rsidRPr="002C6280">
              <w:rPr>
                <w:rFonts w:ascii="Arial" w:hAnsi="Arial" w:cs="Arial"/>
                <w:sz w:val="22"/>
                <w:szCs w:val="22"/>
                <w:lang w:val="es-HN"/>
              </w:rPr>
              <w:t xml:space="preserve">Formulario CC-2: Intención de Asociación en Participación, Consorcio o Asociación (APCA) (No Subsanable) </w:t>
            </w:r>
            <w:r w:rsidRPr="00596D86">
              <w:rPr>
                <w:rFonts w:ascii="Arial" w:hAnsi="Arial" w:cs="Arial"/>
                <w:i/>
                <w:sz w:val="22"/>
                <w:szCs w:val="22"/>
                <w:lang w:val="es-HN"/>
              </w:rPr>
              <w:t>(En caso de ofertas presentadas por una APCA)</w:t>
            </w:r>
          </w:p>
        </w:tc>
      </w:tr>
    </w:tbl>
    <w:p w14:paraId="3977493E" w14:textId="77777777" w:rsidR="00D62CF8" w:rsidRPr="002C6280" w:rsidRDefault="00D62CF8" w:rsidP="000C6174">
      <w:pP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2C6280" w14:paraId="434EEA15" w14:textId="77777777" w:rsidTr="002C6280">
        <w:trPr>
          <w:trHeight w:val="271"/>
          <w:tblHeader/>
        </w:trPr>
        <w:tc>
          <w:tcPr>
            <w:tcW w:w="9360" w:type="dxa"/>
            <w:gridSpan w:val="3"/>
            <w:shd w:val="clear" w:color="auto" w:fill="002060"/>
          </w:tcPr>
          <w:p w14:paraId="3041A7DD" w14:textId="77777777" w:rsidR="00D62CF8" w:rsidRPr="002C6280" w:rsidRDefault="00D62CF8" w:rsidP="000C6174">
            <w:pPr>
              <w:rPr>
                <w:rFonts w:ascii="Arial" w:hAnsi="Arial" w:cs="Arial"/>
                <w:b/>
                <w:color w:val="FFFFFF" w:themeColor="background1"/>
                <w:sz w:val="22"/>
                <w:szCs w:val="22"/>
                <w:lang w:val="es-HN"/>
              </w:rPr>
            </w:pPr>
            <w:r w:rsidRPr="002C6280">
              <w:rPr>
                <w:rFonts w:ascii="Arial" w:hAnsi="Arial" w:cs="Arial"/>
                <w:b/>
                <w:color w:val="FFFFFF" w:themeColor="background1"/>
                <w:sz w:val="22"/>
                <w:szCs w:val="22"/>
                <w:lang w:val="es-HN"/>
              </w:rPr>
              <w:t>Crite</w:t>
            </w:r>
            <w:r w:rsidR="00596D86">
              <w:rPr>
                <w:rFonts w:ascii="Arial" w:hAnsi="Arial" w:cs="Arial"/>
                <w:b/>
                <w:color w:val="FFFFFF" w:themeColor="background1"/>
                <w:sz w:val="22"/>
                <w:szCs w:val="22"/>
                <w:lang w:val="es-HN"/>
              </w:rPr>
              <w:t xml:space="preserve">rio 2: </w:t>
            </w:r>
            <w:r w:rsidRPr="002C6280">
              <w:rPr>
                <w:rFonts w:ascii="Arial" w:hAnsi="Arial" w:cs="Arial"/>
                <w:b/>
                <w:color w:val="FFFFFF" w:themeColor="background1"/>
                <w:sz w:val="22"/>
                <w:szCs w:val="22"/>
                <w:lang w:val="es-HN"/>
              </w:rPr>
              <w:t xml:space="preserve"> Elegibilidad para contratar con financiamiento del BCIE</w:t>
            </w:r>
          </w:p>
          <w:p w14:paraId="61D1A90B" w14:textId="77777777" w:rsidR="00D62CF8" w:rsidRPr="002C6280" w:rsidRDefault="00D62CF8" w:rsidP="000C6174">
            <w:pPr>
              <w:tabs>
                <w:tab w:val="num" w:pos="1782"/>
              </w:tabs>
              <w:ind w:left="540" w:right="74" w:hanging="500"/>
              <w:jc w:val="left"/>
              <w:rPr>
                <w:rFonts w:ascii="Arial" w:hAnsi="Arial" w:cs="Arial"/>
                <w:b/>
                <w:sz w:val="22"/>
                <w:szCs w:val="22"/>
                <w:lang w:val="es-HN"/>
              </w:rPr>
            </w:pPr>
            <w:r w:rsidRPr="002C6280">
              <w:rPr>
                <w:rFonts w:ascii="Arial" w:hAnsi="Arial" w:cs="Arial"/>
                <w:color w:val="FFFFFF" w:themeColor="background1"/>
                <w:sz w:val="22"/>
                <w:szCs w:val="22"/>
                <w:lang w:val="es-HN"/>
              </w:rPr>
              <w:t>En caso de ofertas presentada por una APCA cada uno de los miembros debe cumplir el requisito.</w:t>
            </w:r>
          </w:p>
        </w:tc>
      </w:tr>
      <w:tr w:rsidR="00D62CF8" w:rsidRPr="002C6280" w14:paraId="378A1F64" w14:textId="77777777" w:rsidTr="00C535F0">
        <w:trPr>
          <w:trHeight w:val="54"/>
          <w:tblHeader/>
        </w:trPr>
        <w:tc>
          <w:tcPr>
            <w:tcW w:w="5850" w:type="dxa"/>
            <w:shd w:val="clear" w:color="auto" w:fill="00B050"/>
            <w:vAlign w:val="center"/>
          </w:tcPr>
          <w:p w14:paraId="4576EE5C" w14:textId="77777777" w:rsidR="00D62CF8" w:rsidRPr="00C535F0" w:rsidRDefault="00D62CF8" w:rsidP="000C6174">
            <w:pPr>
              <w:pStyle w:val="titulo"/>
              <w:spacing w:after="0"/>
              <w:ind w:left="540" w:right="74"/>
              <w:rPr>
                <w:rFonts w:ascii="Arial" w:hAnsi="Arial" w:cs="Arial"/>
                <w:b w:val="0"/>
                <w:color w:val="FFFFFF" w:themeColor="background1"/>
                <w:sz w:val="22"/>
                <w:szCs w:val="22"/>
                <w:lang w:val="es-HN"/>
              </w:rPr>
            </w:pPr>
            <w:r w:rsidRPr="00C535F0">
              <w:rPr>
                <w:rFonts w:ascii="Arial" w:hAnsi="Arial" w:cs="Arial"/>
                <w:color w:val="FFFFFF" w:themeColor="background1"/>
                <w:sz w:val="22"/>
                <w:szCs w:val="22"/>
                <w:lang w:val="es-HN"/>
              </w:rPr>
              <w:t>Requisito</w:t>
            </w:r>
          </w:p>
        </w:tc>
        <w:tc>
          <w:tcPr>
            <w:tcW w:w="1530" w:type="dxa"/>
            <w:shd w:val="clear" w:color="auto" w:fill="00B050"/>
            <w:vAlign w:val="center"/>
          </w:tcPr>
          <w:p w14:paraId="7EA32B3D" w14:textId="77777777" w:rsidR="00D62CF8" w:rsidRPr="00C535F0" w:rsidRDefault="00D62CF8" w:rsidP="000C6174">
            <w:pPr>
              <w:tabs>
                <w:tab w:val="num" w:pos="1782"/>
              </w:tabs>
              <w:ind w:left="33" w:right="74"/>
              <w:jc w:val="center"/>
              <w:rPr>
                <w:rFonts w:ascii="Arial" w:hAnsi="Arial" w:cs="Arial"/>
                <w:b/>
                <w:color w:val="FFFFFF" w:themeColor="background1"/>
                <w:sz w:val="22"/>
                <w:szCs w:val="22"/>
                <w:lang w:val="es-HN"/>
              </w:rPr>
            </w:pPr>
            <w:r w:rsidRPr="00C535F0">
              <w:rPr>
                <w:rFonts w:ascii="Arial" w:hAnsi="Arial" w:cs="Arial"/>
                <w:b/>
                <w:color w:val="FFFFFF" w:themeColor="background1"/>
                <w:sz w:val="22"/>
                <w:szCs w:val="22"/>
                <w:lang w:val="es-HN"/>
              </w:rPr>
              <w:t>Evaluación</w:t>
            </w:r>
          </w:p>
        </w:tc>
        <w:tc>
          <w:tcPr>
            <w:tcW w:w="1980" w:type="dxa"/>
            <w:shd w:val="clear" w:color="auto" w:fill="00B050"/>
            <w:vAlign w:val="center"/>
          </w:tcPr>
          <w:p w14:paraId="54BED1F9" w14:textId="77777777" w:rsidR="00D62CF8" w:rsidRPr="00C535F0" w:rsidRDefault="00D62CF8" w:rsidP="000C6174">
            <w:pPr>
              <w:pStyle w:val="titulo"/>
              <w:spacing w:after="0"/>
              <w:ind w:left="34" w:right="-108"/>
              <w:rPr>
                <w:rFonts w:ascii="Arial" w:hAnsi="Arial" w:cs="Arial"/>
                <w:color w:val="FFFFFF" w:themeColor="background1"/>
                <w:sz w:val="22"/>
                <w:szCs w:val="22"/>
                <w:lang w:val="es-HN"/>
              </w:rPr>
            </w:pPr>
            <w:r w:rsidRPr="00C535F0">
              <w:rPr>
                <w:rFonts w:ascii="Arial" w:hAnsi="Arial" w:cs="Arial"/>
                <w:color w:val="FFFFFF" w:themeColor="background1"/>
                <w:sz w:val="22"/>
                <w:szCs w:val="22"/>
                <w:lang w:val="es-HN"/>
              </w:rPr>
              <w:t>Documentación requerida</w:t>
            </w:r>
          </w:p>
        </w:tc>
      </w:tr>
      <w:tr w:rsidR="00D62CF8" w:rsidRPr="002C6280" w14:paraId="52375B58" w14:textId="77777777" w:rsidTr="002F7C0E">
        <w:trPr>
          <w:trHeight w:val="54"/>
        </w:trPr>
        <w:tc>
          <w:tcPr>
            <w:tcW w:w="5850" w:type="dxa"/>
          </w:tcPr>
          <w:p w14:paraId="48E30250" w14:textId="77777777" w:rsidR="00D62CF8" w:rsidRPr="002C6280" w:rsidRDefault="00D62CF8" w:rsidP="003B68DB">
            <w:pPr>
              <w:pStyle w:val="Prrafodelista"/>
              <w:numPr>
                <w:ilvl w:val="0"/>
                <w:numId w:val="55"/>
              </w:numPr>
              <w:spacing w:before="100" w:after="100" w:line="259" w:lineRule="auto"/>
              <w:contextualSpacing/>
              <w:rPr>
                <w:rFonts w:ascii="Arial" w:hAnsi="Arial" w:cs="Arial"/>
                <w:sz w:val="22"/>
                <w:szCs w:val="22"/>
                <w:lang w:val="es-ES"/>
              </w:rPr>
            </w:pPr>
            <w:r w:rsidRPr="002C6280">
              <w:rPr>
                <w:rFonts w:ascii="Arial" w:hAnsi="Arial" w:cs="Arial"/>
                <w:sz w:val="22"/>
                <w:szCs w:val="22"/>
                <w:lang w:val="es-ES"/>
              </w:rPr>
              <w:t>El Oferente:</w:t>
            </w:r>
          </w:p>
          <w:p w14:paraId="47DC9FBD" w14:textId="77777777" w:rsidR="00D62CF8" w:rsidRPr="002C6280" w:rsidRDefault="00D62CF8" w:rsidP="003B68DB">
            <w:pPr>
              <w:pStyle w:val="Prrafodelista"/>
              <w:numPr>
                <w:ilvl w:val="0"/>
                <w:numId w:val="56"/>
              </w:numPr>
              <w:spacing w:before="100" w:after="100" w:line="259" w:lineRule="auto"/>
              <w:ind w:left="580" w:hanging="270"/>
              <w:contextualSpacing/>
              <w:rPr>
                <w:rFonts w:ascii="Arial" w:hAnsi="Arial" w:cs="Arial"/>
                <w:sz w:val="22"/>
                <w:szCs w:val="22"/>
                <w:lang w:val="es-ES"/>
              </w:rPr>
            </w:pPr>
            <w:r w:rsidRPr="002C6280">
              <w:rPr>
                <w:rFonts w:ascii="Arial" w:hAnsi="Arial" w:cs="Arial"/>
                <w:sz w:val="22"/>
                <w:szCs w:val="22"/>
                <w:lang w:val="es-ES"/>
              </w:rPr>
              <w:t>Sus agentes, su personal, contratistas, consultores, directores, funcionarios o accionistas</w:t>
            </w:r>
            <w:r w:rsidRPr="002C6280">
              <w:rPr>
                <w:rFonts w:ascii="Arial" w:hAnsi="Arial" w:cs="Arial"/>
                <w:sz w:val="22"/>
                <w:szCs w:val="22"/>
              </w:rPr>
              <w:t xml:space="preserve"> </w:t>
            </w:r>
            <w:r w:rsidRPr="002C6280">
              <w:rPr>
                <w:rFonts w:ascii="Arial" w:hAnsi="Arial" w:cs="Arial"/>
                <w:sz w:val="22"/>
                <w:szCs w:val="22"/>
                <w:lang w:val="es-ES"/>
              </w:rPr>
              <w:t xml:space="preserve">no tienen </w:t>
            </w:r>
            <w:r w:rsidRPr="002C6280">
              <w:rPr>
                <w:rFonts w:ascii="Arial" w:hAnsi="Arial" w:cs="Arial"/>
                <w:sz w:val="22"/>
                <w:szCs w:val="22"/>
                <w:lang w:val="es-ES"/>
              </w:rPr>
              <w:lastRenderedPageBreak/>
              <w:t>relación alguna, ni se han visto involucrados en actividades relacionadas con el lavado de activos y financiamiento del terrorismo;</w:t>
            </w:r>
          </w:p>
          <w:p w14:paraId="75E8E5FB" w14:textId="77777777" w:rsidR="00D62CF8" w:rsidRPr="002C6280" w:rsidRDefault="00D62CF8" w:rsidP="003B68DB">
            <w:pPr>
              <w:pStyle w:val="Prrafodelista"/>
              <w:numPr>
                <w:ilvl w:val="0"/>
                <w:numId w:val="56"/>
              </w:numPr>
              <w:spacing w:before="100" w:after="100"/>
              <w:ind w:left="580" w:hanging="270"/>
              <w:contextualSpacing/>
              <w:rPr>
                <w:rFonts w:ascii="Arial" w:hAnsi="Arial" w:cs="Arial"/>
                <w:sz w:val="22"/>
                <w:szCs w:val="22"/>
                <w:lang w:val="es-ES"/>
              </w:rPr>
            </w:pPr>
            <w:r w:rsidRPr="002C6280">
              <w:rPr>
                <w:rFonts w:ascii="Arial" w:hAnsi="Arial" w:cs="Arial"/>
                <w:sz w:val="22"/>
                <w:szCs w:val="22"/>
                <w:lang w:val="es-ES"/>
              </w:rPr>
              <w:t>No se encuentra en convocatoria de acreedores, quiebra o liquidación;</w:t>
            </w:r>
          </w:p>
          <w:p w14:paraId="02CBC39A" w14:textId="77777777" w:rsidR="00D62CF8" w:rsidRPr="002C6280" w:rsidRDefault="00D62CF8" w:rsidP="003B68DB">
            <w:pPr>
              <w:pStyle w:val="Prrafodelista"/>
              <w:numPr>
                <w:ilvl w:val="0"/>
                <w:numId w:val="56"/>
              </w:numPr>
              <w:spacing w:before="100" w:after="100"/>
              <w:ind w:left="580" w:hanging="270"/>
              <w:contextualSpacing/>
              <w:rPr>
                <w:rFonts w:ascii="Arial" w:hAnsi="Arial" w:cs="Arial"/>
                <w:sz w:val="22"/>
                <w:szCs w:val="22"/>
                <w:lang w:val="es-ES"/>
              </w:rPr>
            </w:pPr>
            <w:r w:rsidRPr="002C6280">
              <w:rPr>
                <w:rFonts w:ascii="Arial" w:hAnsi="Arial" w:cs="Arial"/>
                <w:sz w:val="22"/>
                <w:szCs w:val="22"/>
                <w:lang w:val="es-ES"/>
              </w:rPr>
              <w:t>No se encuentra en interdicción judicial;</w:t>
            </w:r>
          </w:p>
          <w:p w14:paraId="5E1B9055" w14:textId="77777777" w:rsidR="00D62CF8" w:rsidRPr="002C6280" w:rsidRDefault="00D62CF8" w:rsidP="003B68DB">
            <w:pPr>
              <w:pStyle w:val="Prrafodelista"/>
              <w:numPr>
                <w:ilvl w:val="0"/>
                <w:numId w:val="56"/>
              </w:numPr>
              <w:spacing w:before="100" w:after="100"/>
              <w:ind w:left="580" w:hanging="270"/>
              <w:contextualSpacing/>
              <w:rPr>
                <w:rFonts w:ascii="Arial" w:hAnsi="Arial" w:cs="Arial"/>
                <w:sz w:val="22"/>
                <w:szCs w:val="22"/>
                <w:lang w:val="es-ES"/>
              </w:rPr>
            </w:pPr>
            <w:r w:rsidRPr="002C6280">
              <w:rPr>
                <w:rFonts w:ascii="Arial" w:hAnsi="Arial" w:cs="Arial"/>
                <w:sz w:val="22"/>
                <w:szCs w:val="22"/>
                <w:lang w:val="es-ES"/>
              </w:rPr>
              <w:t>No tiene conflicto de Interés de acuerdo con lo descrito en las Instrucciones para los Oferentes y Datos de la Licitación;</w:t>
            </w:r>
          </w:p>
          <w:p w14:paraId="627CFF38" w14:textId="77777777" w:rsidR="00D62CF8" w:rsidRPr="002C6280" w:rsidRDefault="00D62CF8" w:rsidP="003B68DB">
            <w:pPr>
              <w:pStyle w:val="Prrafodelista"/>
              <w:numPr>
                <w:ilvl w:val="0"/>
                <w:numId w:val="56"/>
              </w:numPr>
              <w:spacing w:before="100" w:after="100"/>
              <w:ind w:left="580" w:hanging="270"/>
              <w:contextualSpacing/>
              <w:rPr>
                <w:rFonts w:ascii="Arial" w:hAnsi="Arial" w:cs="Arial"/>
                <w:sz w:val="22"/>
                <w:szCs w:val="22"/>
                <w:lang w:val="es-ES"/>
              </w:rPr>
            </w:pPr>
            <w:r w:rsidRPr="002C6280">
              <w:rPr>
                <w:rFonts w:ascii="Arial" w:hAnsi="Arial" w:cs="Arial"/>
                <w:sz w:val="22"/>
                <w:szCs w:val="22"/>
                <w:lang w:val="es-ES"/>
              </w:rPr>
              <w:t>Sus agentes, su personal, contratistas, consultores, directores, funcionarios o accionistas no se encuentran incluidos en la Lista de Contrapartes Prohibidas del BCIE u otra lista de inelegibilidad del BCIE;</w:t>
            </w:r>
          </w:p>
          <w:p w14:paraId="7057FF3A" w14:textId="77777777" w:rsidR="00D62CF8" w:rsidRPr="002C6280" w:rsidRDefault="00D62CF8" w:rsidP="003B68DB">
            <w:pPr>
              <w:pStyle w:val="Prrafodelista"/>
              <w:numPr>
                <w:ilvl w:val="0"/>
                <w:numId w:val="56"/>
              </w:numPr>
              <w:spacing w:before="100" w:after="100" w:line="259" w:lineRule="auto"/>
              <w:ind w:left="580" w:hanging="270"/>
              <w:contextualSpacing/>
              <w:rPr>
                <w:rFonts w:ascii="Arial" w:hAnsi="Arial" w:cs="Arial"/>
                <w:sz w:val="22"/>
                <w:szCs w:val="22"/>
                <w:lang w:val="es-ES"/>
              </w:rPr>
            </w:pPr>
            <w:r w:rsidRPr="002C6280">
              <w:rPr>
                <w:rFonts w:ascii="Arial" w:hAnsi="Arial" w:cs="Arial"/>
                <w:sz w:val="22"/>
                <w:szCs w:val="22"/>
                <w:lang w:val="es-ES"/>
              </w:rPr>
              <w:t>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7AE745E2" w14:textId="77777777" w:rsidR="00D62CF8" w:rsidRPr="002C6280" w:rsidRDefault="00D62CF8" w:rsidP="003B68DB">
            <w:pPr>
              <w:pStyle w:val="Prrafodelista"/>
              <w:numPr>
                <w:ilvl w:val="0"/>
                <w:numId w:val="56"/>
              </w:numPr>
              <w:spacing w:before="100" w:after="100" w:line="259" w:lineRule="auto"/>
              <w:ind w:left="580" w:hanging="270"/>
              <w:contextualSpacing/>
              <w:rPr>
                <w:rFonts w:ascii="Arial" w:hAnsi="Arial" w:cs="Arial"/>
                <w:sz w:val="22"/>
                <w:szCs w:val="22"/>
                <w:lang w:val="es-ES"/>
              </w:rPr>
            </w:pPr>
            <w:r w:rsidRPr="002C6280">
              <w:rPr>
                <w:rFonts w:ascii="Arial" w:hAnsi="Arial" w:cs="Arial"/>
                <w:sz w:val="22"/>
                <w:szCs w:val="22"/>
                <w:lang w:val="es-ES"/>
              </w:rPr>
              <w:t>Sus agentes, su personal, contratistas, consultores, directores, funcionarios o accionistas no han sido declarados culpables de delitos o sanciones vinculadas con Prácticas Prohibidas por parte de la autoridad competente.</w:t>
            </w:r>
          </w:p>
          <w:p w14:paraId="1570EC03" w14:textId="77777777" w:rsidR="00D62CF8" w:rsidRPr="002C6280" w:rsidRDefault="00D62CF8" w:rsidP="003B68DB">
            <w:pPr>
              <w:pStyle w:val="Prrafodelista"/>
              <w:numPr>
                <w:ilvl w:val="0"/>
                <w:numId w:val="56"/>
              </w:numPr>
              <w:spacing w:before="100" w:after="100" w:line="259" w:lineRule="auto"/>
              <w:ind w:left="580" w:hanging="270"/>
              <w:contextualSpacing/>
              <w:rPr>
                <w:rFonts w:ascii="Arial" w:hAnsi="Arial" w:cs="Arial"/>
                <w:sz w:val="22"/>
                <w:szCs w:val="22"/>
                <w:lang w:val="es-ES"/>
              </w:rPr>
            </w:pPr>
            <w:r w:rsidRPr="002C6280">
              <w:rPr>
                <w:rFonts w:ascii="Arial" w:hAnsi="Arial" w:cs="Arial"/>
                <w:sz w:val="22"/>
                <w:szCs w:val="22"/>
                <w:lang w:val="es-ES"/>
              </w:rPr>
              <w:t xml:space="preserve">No tienen antecedentes de incumplimiento de contrato en los últimos 10 años. </w:t>
            </w:r>
          </w:p>
        </w:tc>
        <w:tc>
          <w:tcPr>
            <w:tcW w:w="1530" w:type="dxa"/>
            <w:vAlign w:val="center"/>
          </w:tcPr>
          <w:p w14:paraId="281ADAC6" w14:textId="77777777" w:rsidR="00D62CF8" w:rsidRPr="002C6280" w:rsidRDefault="00D62CF8" w:rsidP="000C6174">
            <w:pPr>
              <w:ind w:left="33"/>
              <w:jc w:val="center"/>
              <w:rPr>
                <w:rFonts w:ascii="Arial" w:hAnsi="Arial" w:cs="Arial"/>
                <w:sz w:val="22"/>
                <w:szCs w:val="22"/>
                <w:lang w:val="es-HN"/>
              </w:rPr>
            </w:pPr>
            <w:r w:rsidRPr="002C6280">
              <w:rPr>
                <w:rFonts w:ascii="Arial" w:hAnsi="Arial" w:cs="Arial"/>
                <w:sz w:val="22"/>
                <w:szCs w:val="22"/>
                <w:lang w:val="es-HN"/>
              </w:rPr>
              <w:lastRenderedPageBreak/>
              <w:t>Cumple / No Cumple</w:t>
            </w:r>
          </w:p>
        </w:tc>
        <w:tc>
          <w:tcPr>
            <w:tcW w:w="1980" w:type="dxa"/>
            <w:vAlign w:val="center"/>
          </w:tcPr>
          <w:p w14:paraId="2947B3CD" w14:textId="77777777" w:rsidR="00D62CF8" w:rsidRPr="002C6280" w:rsidRDefault="00D62CF8" w:rsidP="000C6174">
            <w:pPr>
              <w:ind w:right="-23"/>
              <w:jc w:val="center"/>
              <w:rPr>
                <w:rFonts w:ascii="Arial" w:hAnsi="Arial" w:cs="Arial"/>
                <w:sz w:val="22"/>
                <w:szCs w:val="22"/>
                <w:lang w:val="es-HN"/>
              </w:rPr>
            </w:pPr>
            <w:r w:rsidRPr="002C6280">
              <w:rPr>
                <w:rFonts w:ascii="Arial" w:hAnsi="Arial" w:cs="Arial"/>
                <w:sz w:val="22"/>
                <w:szCs w:val="22"/>
                <w:lang w:val="es-HN"/>
              </w:rPr>
              <w:t xml:space="preserve">Formulario CC-4 </w:t>
            </w:r>
          </w:p>
          <w:p w14:paraId="3EC97918" w14:textId="77777777" w:rsidR="00D62CF8" w:rsidRPr="002C6280" w:rsidRDefault="008B4A30" w:rsidP="008B4A30">
            <w:pPr>
              <w:ind w:left="-105" w:right="-113"/>
              <w:jc w:val="center"/>
              <w:rPr>
                <w:rFonts w:ascii="Arial" w:hAnsi="Arial" w:cs="Arial"/>
                <w:sz w:val="22"/>
                <w:szCs w:val="22"/>
                <w:lang w:val="es-HN"/>
              </w:rPr>
            </w:pPr>
            <w:r>
              <w:rPr>
                <w:rFonts w:ascii="Arial" w:hAnsi="Arial" w:cs="Arial"/>
                <w:sz w:val="22"/>
                <w:szCs w:val="22"/>
                <w:lang w:val="es-HN"/>
              </w:rPr>
              <w:t>Declaración notarial</w:t>
            </w:r>
          </w:p>
        </w:tc>
      </w:tr>
      <w:tr w:rsidR="00D62CF8" w:rsidRPr="002C6280" w14:paraId="2A743436" w14:textId="77777777" w:rsidTr="002F7C0E">
        <w:trPr>
          <w:trHeight w:val="802"/>
        </w:trPr>
        <w:tc>
          <w:tcPr>
            <w:tcW w:w="5850" w:type="dxa"/>
          </w:tcPr>
          <w:p w14:paraId="30B81FB4" w14:textId="77777777" w:rsidR="00D62CF8" w:rsidRPr="002C6280" w:rsidRDefault="00D62CF8" w:rsidP="000C6174">
            <w:pPr>
              <w:spacing w:before="100" w:after="100" w:line="259" w:lineRule="auto"/>
              <w:ind w:left="310" w:hanging="270"/>
              <w:contextualSpacing/>
              <w:rPr>
                <w:rFonts w:ascii="Arial" w:hAnsi="Arial" w:cs="Arial"/>
                <w:sz w:val="22"/>
                <w:szCs w:val="22"/>
              </w:rPr>
            </w:pPr>
            <w:r w:rsidRPr="002C6280">
              <w:rPr>
                <w:rFonts w:ascii="Arial" w:hAnsi="Arial" w:cs="Arial"/>
                <w:sz w:val="22"/>
                <w:szCs w:val="22"/>
              </w:rPr>
              <w:lastRenderedPageBreak/>
              <w:t xml:space="preserve">2.  </w:t>
            </w:r>
            <w:r w:rsidRPr="002C6280">
              <w:rPr>
                <w:rFonts w:ascii="Arial" w:hAnsi="Arial" w:cs="Arial"/>
                <w:sz w:val="22"/>
                <w:szCs w:val="22"/>
                <w:lang w:val="es-ES"/>
              </w:rPr>
              <w:t>El</w:t>
            </w:r>
            <w:r w:rsidRPr="002C6280">
              <w:rPr>
                <w:rFonts w:ascii="Arial" w:hAnsi="Arial" w:cs="Arial"/>
                <w:sz w:val="22"/>
                <w:szCs w:val="22"/>
              </w:rPr>
              <w:t xml:space="preserve"> oferente no se encuentra inhabilitado o declarado como inelegible o sancionado para la obtención de recursos o la adjudicación de contratos en:</w:t>
            </w:r>
          </w:p>
          <w:p w14:paraId="22A502FA" w14:textId="77777777" w:rsidR="00D62CF8" w:rsidRPr="002C6280" w:rsidRDefault="00D62CF8" w:rsidP="003B68DB">
            <w:pPr>
              <w:pStyle w:val="Prrafodelista"/>
              <w:numPr>
                <w:ilvl w:val="0"/>
                <w:numId w:val="57"/>
              </w:numPr>
              <w:ind w:left="578" w:hanging="272"/>
              <w:rPr>
                <w:rFonts w:ascii="Arial" w:hAnsi="Arial" w:cs="Arial"/>
                <w:sz w:val="22"/>
                <w:szCs w:val="22"/>
              </w:rPr>
            </w:pPr>
            <w:r w:rsidRPr="002C6280">
              <w:rPr>
                <w:rFonts w:ascii="Arial" w:hAnsi="Arial" w:cs="Arial"/>
                <w:sz w:val="22"/>
                <w:szCs w:val="22"/>
              </w:rPr>
              <w:t xml:space="preserve">Lista consolidada de sanciones del Consejo de Seguridad de las Naciones Unidas (ONU) </w:t>
            </w:r>
          </w:p>
          <w:p w14:paraId="2F6FE858" w14:textId="77777777" w:rsidR="00D62CF8" w:rsidRPr="002C6280" w:rsidRDefault="00D62CF8" w:rsidP="003B68DB">
            <w:pPr>
              <w:pStyle w:val="Prrafodelista"/>
              <w:numPr>
                <w:ilvl w:val="0"/>
                <w:numId w:val="57"/>
              </w:numPr>
              <w:ind w:left="578" w:hanging="272"/>
              <w:rPr>
                <w:rFonts w:ascii="Arial" w:hAnsi="Arial" w:cs="Arial"/>
                <w:sz w:val="22"/>
                <w:szCs w:val="22"/>
              </w:rPr>
            </w:pPr>
            <w:r w:rsidRPr="002C6280">
              <w:rPr>
                <w:rFonts w:ascii="Arial" w:hAnsi="Arial" w:cs="Arial"/>
                <w:sz w:val="22"/>
                <w:szCs w:val="22"/>
              </w:rPr>
              <w:t xml:space="preserve">Lista consolidada de personas, grupos y entidades sujetas a las sanciones financieras de la Unión Europea (UE) </w:t>
            </w:r>
          </w:p>
          <w:p w14:paraId="7331424B" w14:textId="77777777" w:rsidR="00D62CF8" w:rsidRPr="002C6280" w:rsidRDefault="00D62CF8" w:rsidP="003B68DB">
            <w:pPr>
              <w:pStyle w:val="Prrafodelista"/>
              <w:numPr>
                <w:ilvl w:val="0"/>
                <w:numId w:val="57"/>
              </w:numPr>
              <w:ind w:left="578" w:hanging="272"/>
              <w:rPr>
                <w:rFonts w:ascii="Arial" w:hAnsi="Arial" w:cs="Arial"/>
                <w:sz w:val="22"/>
                <w:szCs w:val="22"/>
              </w:rPr>
            </w:pPr>
            <w:r w:rsidRPr="002C6280">
              <w:rPr>
                <w:rFonts w:ascii="Arial" w:hAnsi="Arial" w:cs="Arial"/>
                <w:sz w:val="22"/>
                <w:szCs w:val="22"/>
              </w:rPr>
              <w:t xml:space="preserve">Lista consolidada de personas, grupos y entidades sujetas a las sanciones del Banco Mundial (BM) </w:t>
            </w:r>
          </w:p>
          <w:p w14:paraId="43C93EA4" w14:textId="77777777" w:rsidR="00D62CF8" w:rsidRPr="002C6280" w:rsidRDefault="00D62CF8" w:rsidP="003B68DB">
            <w:pPr>
              <w:pStyle w:val="Prrafodelista"/>
              <w:numPr>
                <w:ilvl w:val="0"/>
                <w:numId w:val="57"/>
              </w:numPr>
              <w:ind w:left="578" w:hanging="272"/>
              <w:rPr>
                <w:rFonts w:ascii="Arial" w:hAnsi="Arial" w:cs="Arial"/>
                <w:sz w:val="22"/>
                <w:szCs w:val="22"/>
              </w:rPr>
            </w:pPr>
            <w:r w:rsidRPr="002C6280">
              <w:rPr>
                <w:rFonts w:ascii="Arial" w:hAnsi="Arial" w:cs="Arial"/>
                <w:sz w:val="22"/>
                <w:szCs w:val="22"/>
              </w:rPr>
              <w:t>Lista Consolidada de la Oficina de Control de Activos del Extranjero (OFAC)</w:t>
            </w:r>
          </w:p>
          <w:p w14:paraId="1A74FC1D" w14:textId="77777777" w:rsidR="00D62CF8" w:rsidRPr="002C6280" w:rsidRDefault="00D62CF8" w:rsidP="003B68DB">
            <w:pPr>
              <w:pStyle w:val="Prrafodelista"/>
              <w:numPr>
                <w:ilvl w:val="0"/>
                <w:numId w:val="57"/>
              </w:numPr>
              <w:ind w:left="578" w:hanging="272"/>
              <w:rPr>
                <w:rFonts w:ascii="Arial" w:hAnsi="Arial" w:cs="Arial"/>
                <w:sz w:val="22"/>
                <w:szCs w:val="22"/>
              </w:rPr>
            </w:pPr>
            <w:r w:rsidRPr="002C6280">
              <w:rPr>
                <w:rFonts w:ascii="Arial" w:hAnsi="Arial" w:cs="Arial"/>
                <w:sz w:val="22"/>
                <w:szCs w:val="22"/>
              </w:rPr>
              <w:t xml:space="preserve">Lista de Contrapartes Prohibidas del BCIE </w:t>
            </w:r>
          </w:p>
          <w:p w14:paraId="14F8928B" w14:textId="77777777" w:rsidR="00D62CF8" w:rsidRPr="002C6280" w:rsidRDefault="00D62CF8" w:rsidP="003B68DB">
            <w:pPr>
              <w:pStyle w:val="Prrafodelista"/>
              <w:numPr>
                <w:ilvl w:val="0"/>
                <w:numId w:val="57"/>
              </w:numPr>
              <w:ind w:left="578" w:hanging="272"/>
              <w:rPr>
                <w:rFonts w:ascii="Arial" w:hAnsi="Arial" w:cs="Arial"/>
                <w:sz w:val="22"/>
                <w:szCs w:val="22"/>
              </w:rPr>
            </w:pPr>
            <w:r w:rsidRPr="002C6280">
              <w:rPr>
                <w:rFonts w:ascii="Arial" w:hAnsi="Arial" w:cs="Arial"/>
                <w:sz w:val="22"/>
                <w:szCs w:val="22"/>
              </w:rPr>
              <w:t>Oficina para la aplicación de Sanciones Financieras del Reino Unido (OFSI por sus siglas en Ingles)</w:t>
            </w:r>
          </w:p>
        </w:tc>
        <w:tc>
          <w:tcPr>
            <w:tcW w:w="1530" w:type="dxa"/>
            <w:vAlign w:val="center"/>
          </w:tcPr>
          <w:p w14:paraId="1F1AA634" w14:textId="77777777" w:rsidR="00D62CF8" w:rsidRPr="002C6280" w:rsidRDefault="00D62CF8" w:rsidP="000C6174">
            <w:pPr>
              <w:tabs>
                <w:tab w:val="num" w:pos="175"/>
              </w:tabs>
              <w:ind w:left="33"/>
              <w:jc w:val="center"/>
              <w:rPr>
                <w:rFonts w:ascii="Arial" w:hAnsi="Arial" w:cs="Arial"/>
                <w:sz w:val="22"/>
                <w:szCs w:val="22"/>
                <w:lang w:val="es-HN"/>
              </w:rPr>
            </w:pPr>
            <w:r w:rsidRPr="002C6280">
              <w:rPr>
                <w:rFonts w:ascii="Arial" w:hAnsi="Arial" w:cs="Arial"/>
                <w:sz w:val="22"/>
                <w:szCs w:val="22"/>
                <w:lang w:val="es-HN"/>
              </w:rPr>
              <w:t>Cumple / No Cumple</w:t>
            </w:r>
          </w:p>
          <w:p w14:paraId="5C66EC36" w14:textId="77777777" w:rsidR="00D62CF8" w:rsidRPr="002C6280" w:rsidRDefault="00D62CF8" w:rsidP="000C6174">
            <w:pPr>
              <w:tabs>
                <w:tab w:val="num" w:pos="142"/>
              </w:tabs>
              <w:ind w:left="-11" w:firstLine="11"/>
              <w:jc w:val="center"/>
              <w:rPr>
                <w:rFonts w:ascii="Arial" w:hAnsi="Arial" w:cs="Arial"/>
                <w:sz w:val="22"/>
                <w:szCs w:val="22"/>
                <w:lang w:val="es-HN"/>
              </w:rPr>
            </w:pPr>
          </w:p>
        </w:tc>
        <w:tc>
          <w:tcPr>
            <w:tcW w:w="1980" w:type="dxa"/>
            <w:vAlign w:val="center"/>
          </w:tcPr>
          <w:p w14:paraId="7380ACDB" w14:textId="77777777" w:rsidR="00D62CF8" w:rsidRPr="002C6280" w:rsidRDefault="00D62CF8" w:rsidP="000C6174">
            <w:pPr>
              <w:ind w:left="-105" w:right="-113"/>
              <w:jc w:val="center"/>
              <w:rPr>
                <w:rFonts w:ascii="Arial" w:hAnsi="Arial" w:cs="Arial"/>
                <w:sz w:val="22"/>
                <w:szCs w:val="22"/>
                <w:lang w:val="es-HN"/>
              </w:rPr>
            </w:pPr>
            <w:r w:rsidRPr="002C6280">
              <w:rPr>
                <w:rFonts w:ascii="Arial" w:hAnsi="Arial" w:cs="Arial"/>
                <w:sz w:val="22"/>
                <w:szCs w:val="22"/>
                <w:lang w:val="es-HN"/>
              </w:rPr>
              <w:t>Formulario CC-4 y búsqueda en las listas de inhabilitados, sancionados o declarados inelegibles en el BCIE y las organizaciones reconocidas por el BCIE</w:t>
            </w:r>
          </w:p>
        </w:tc>
      </w:tr>
      <w:tr w:rsidR="0086201A" w:rsidRPr="002C6280" w14:paraId="0EBA960C" w14:textId="77777777" w:rsidTr="002F7C0E">
        <w:trPr>
          <w:trHeight w:val="54"/>
        </w:trPr>
        <w:tc>
          <w:tcPr>
            <w:tcW w:w="5850" w:type="dxa"/>
          </w:tcPr>
          <w:p w14:paraId="4703CFC3" w14:textId="77777777" w:rsidR="0086201A" w:rsidRPr="002C6280" w:rsidRDefault="0086201A" w:rsidP="0086201A">
            <w:pPr>
              <w:spacing w:before="100" w:after="100" w:line="259" w:lineRule="auto"/>
              <w:ind w:left="310" w:hanging="270"/>
              <w:contextualSpacing/>
              <w:rPr>
                <w:rFonts w:ascii="Arial" w:hAnsi="Arial" w:cs="Arial"/>
                <w:sz w:val="22"/>
                <w:szCs w:val="22"/>
              </w:rPr>
            </w:pPr>
            <w:r w:rsidRPr="002C6280">
              <w:rPr>
                <w:rFonts w:ascii="Arial" w:hAnsi="Arial" w:cs="Arial"/>
                <w:sz w:val="22"/>
                <w:szCs w:val="22"/>
              </w:rPr>
              <w:lastRenderedPageBreak/>
              <w:t>3. El oferente no tiene sanción vigente por incumplimiento de una declaración de mantenimiento de ofertas, y no tener antecedentes de incumplimiento de contratos atribuibles al contratista en los últimos 10 años</w:t>
            </w:r>
          </w:p>
        </w:tc>
        <w:tc>
          <w:tcPr>
            <w:tcW w:w="1530" w:type="dxa"/>
            <w:vAlign w:val="center"/>
          </w:tcPr>
          <w:p w14:paraId="78464500" w14:textId="77777777" w:rsidR="0086201A" w:rsidRPr="002C6280" w:rsidRDefault="0086201A" w:rsidP="0086201A">
            <w:pPr>
              <w:tabs>
                <w:tab w:val="num" w:pos="175"/>
              </w:tabs>
              <w:ind w:left="33"/>
              <w:jc w:val="center"/>
              <w:rPr>
                <w:rFonts w:ascii="Arial" w:hAnsi="Arial" w:cs="Arial"/>
                <w:sz w:val="22"/>
                <w:szCs w:val="22"/>
                <w:lang w:val="es-HN"/>
              </w:rPr>
            </w:pPr>
            <w:r w:rsidRPr="002C6280">
              <w:rPr>
                <w:rFonts w:ascii="Arial" w:hAnsi="Arial" w:cs="Arial"/>
                <w:sz w:val="22"/>
                <w:szCs w:val="22"/>
                <w:lang w:val="es-HN"/>
              </w:rPr>
              <w:t>Cumple / No Cumple</w:t>
            </w:r>
          </w:p>
        </w:tc>
        <w:tc>
          <w:tcPr>
            <w:tcW w:w="1980" w:type="dxa"/>
            <w:vAlign w:val="center"/>
          </w:tcPr>
          <w:p w14:paraId="3AD2170C" w14:textId="77777777" w:rsidR="0086201A" w:rsidRPr="00BA77FC" w:rsidRDefault="0086201A" w:rsidP="0086201A">
            <w:pPr>
              <w:ind w:left="-105" w:right="-113"/>
              <w:jc w:val="center"/>
              <w:rPr>
                <w:rFonts w:ascii="Arial" w:hAnsi="Arial" w:cs="Arial"/>
                <w:sz w:val="22"/>
                <w:szCs w:val="22"/>
                <w:lang w:val="es-HN"/>
              </w:rPr>
            </w:pPr>
            <w:r w:rsidRPr="00BA77FC">
              <w:rPr>
                <w:rFonts w:ascii="Arial" w:hAnsi="Arial" w:cs="Arial"/>
                <w:sz w:val="22"/>
                <w:szCs w:val="22"/>
                <w:lang w:val="es-HN"/>
              </w:rPr>
              <w:t xml:space="preserve">Formulario CC-1 </w:t>
            </w:r>
          </w:p>
          <w:p w14:paraId="28CAFF8D" w14:textId="77777777" w:rsidR="0086201A" w:rsidRPr="002C6280" w:rsidRDefault="0086201A" w:rsidP="0086201A">
            <w:pPr>
              <w:ind w:left="-105" w:right="-113"/>
              <w:jc w:val="center"/>
              <w:rPr>
                <w:rFonts w:ascii="Arial" w:hAnsi="Arial" w:cs="Arial"/>
                <w:sz w:val="22"/>
                <w:szCs w:val="22"/>
                <w:lang w:val="es-HN"/>
              </w:rPr>
            </w:pPr>
            <w:r w:rsidRPr="00BA77FC">
              <w:rPr>
                <w:rFonts w:ascii="Arial" w:hAnsi="Arial" w:cs="Arial"/>
                <w:sz w:val="22"/>
                <w:szCs w:val="22"/>
                <w:lang w:val="es-HN"/>
              </w:rPr>
              <w:t>y CC-4 Declaración Notariada</w:t>
            </w:r>
          </w:p>
        </w:tc>
      </w:tr>
    </w:tbl>
    <w:p w14:paraId="271B0B53" w14:textId="77777777" w:rsidR="00D62CF8" w:rsidRPr="002C6280" w:rsidRDefault="00D62CF8" w:rsidP="0071608E">
      <w:pPr>
        <w:pStyle w:val="Prrafodelista"/>
        <w:numPr>
          <w:ilvl w:val="0"/>
          <w:numId w:val="47"/>
        </w:numPr>
        <w:tabs>
          <w:tab w:val="num" w:pos="567"/>
        </w:tabs>
        <w:spacing w:before="240" w:after="120"/>
        <w:ind w:left="0" w:right="-96" w:firstLine="0"/>
        <w:jc w:val="left"/>
        <w:rPr>
          <w:rFonts w:ascii="Arial" w:hAnsi="Arial" w:cs="Arial"/>
          <w:sz w:val="22"/>
          <w:szCs w:val="22"/>
        </w:rPr>
      </w:pPr>
      <w:r w:rsidRPr="002C6280">
        <w:rPr>
          <w:rFonts w:ascii="Arial" w:hAnsi="Arial" w:cs="Arial"/>
          <w:b/>
          <w:sz w:val="22"/>
          <w:szCs w:val="22"/>
          <w:lang w:val="es-HN"/>
        </w:rPr>
        <w:t>Calificaciones del Oferente</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2C6280" w14:paraId="410DC547" w14:textId="77777777" w:rsidTr="002C6280">
        <w:trPr>
          <w:trHeight w:val="54"/>
          <w:tblHeader/>
        </w:trPr>
        <w:tc>
          <w:tcPr>
            <w:tcW w:w="9360" w:type="dxa"/>
            <w:gridSpan w:val="3"/>
            <w:shd w:val="clear" w:color="auto" w:fill="002060"/>
          </w:tcPr>
          <w:p w14:paraId="538E3522" w14:textId="77777777" w:rsidR="00D62CF8" w:rsidRPr="002C6280" w:rsidRDefault="00D62CF8" w:rsidP="000C6174">
            <w:pPr>
              <w:rPr>
                <w:rFonts w:ascii="Arial" w:hAnsi="Arial" w:cs="Arial"/>
                <w:b/>
                <w:sz w:val="22"/>
                <w:szCs w:val="22"/>
                <w:lang w:val="es-HN"/>
              </w:rPr>
            </w:pPr>
            <w:r w:rsidRPr="002C6280">
              <w:rPr>
                <w:rFonts w:ascii="Arial" w:hAnsi="Arial" w:cs="Arial"/>
                <w:b/>
                <w:sz w:val="22"/>
                <w:szCs w:val="22"/>
                <w:lang w:val="es-HN"/>
              </w:rPr>
              <w:t>Criterio 1:   Historial de incumplimientos de contratos y litigios</w:t>
            </w:r>
          </w:p>
          <w:p w14:paraId="11994C38" w14:textId="77777777" w:rsidR="00D62CF8" w:rsidRPr="002C6280" w:rsidRDefault="00D62CF8" w:rsidP="000C6174">
            <w:pPr>
              <w:jc w:val="left"/>
              <w:rPr>
                <w:rFonts w:ascii="Arial" w:hAnsi="Arial" w:cs="Arial"/>
                <w:sz w:val="22"/>
                <w:szCs w:val="22"/>
                <w:lang w:val="es-HN"/>
              </w:rPr>
            </w:pPr>
            <w:r w:rsidRPr="002C6280">
              <w:rPr>
                <w:rFonts w:ascii="Arial" w:hAnsi="Arial" w:cs="Arial"/>
                <w:sz w:val="22"/>
                <w:szCs w:val="22"/>
                <w:lang w:val="es-HN"/>
              </w:rPr>
              <w:t>En caso de oferta presentada por una APCA cada uno de los miembros debe cumplir el requisito</w:t>
            </w:r>
          </w:p>
        </w:tc>
      </w:tr>
      <w:tr w:rsidR="00D62CF8" w:rsidRPr="002C6280" w14:paraId="5B81A01E" w14:textId="77777777" w:rsidTr="00C535F0">
        <w:trPr>
          <w:trHeight w:val="54"/>
          <w:tblHeader/>
        </w:trPr>
        <w:tc>
          <w:tcPr>
            <w:tcW w:w="5850" w:type="dxa"/>
            <w:shd w:val="clear" w:color="auto" w:fill="00B050"/>
            <w:vAlign w:val="center"/>
          </w:tcPr>
          <w:p w14:paraId="485612D4" w14:textId="77777777" w:rsidR="00D62CF8" w:rsidRPr="00C535F0" w:rsidDel="00A03C04" w:rsidRDefault="00D62CF8" w:rsidP="000C6174">
            <w:pPr>
              <w:rPr>
                <w:rFonts w:ascii="Arial" w:hAnsi="Arial" w:cs="Arial"/>
                <w:b/>
                <w:color w:val="FFFFFF" w:themeColor="background1"/>
                <w:sz w:val="22"/>
                <w:szCs w:val="22"/>
                <w:lang w:val="es-ES"/>
              </w:rPr>
            </w:pPr>
            <w:r w:rsidRPr="00C535F0">
              <w:rPr>
                <w:rFonts w:ascii="Arial" w:hAnsi="Arial" w:cs="Arial"/>
                <w:b/>
                <w:color w:val="FFFFFF" w:themeColor="background1"/>
                <w:sz w:val="22"/>
                <w:szCs w:val="22"/>
                <w:lang w:val="es-HN"/>
              </w:rPr>
              <w:t>Requisito</w:t>
            </w:r>
          </w:p>
        </w:tc>
        <w:tc>
          <w:tcPr>
            <w:tcW w:w="1530" w:type="dxa"/>
            <w:shd w:val="clear" w:color="auto" w:fill="00B050"/>
            <w:vAlign w:val="center"/>
          </w:tcPr>
          <w:p w14:paraId="291D2748" w14:textId="77777777" w:rsidR="00D62CF8" w:rsidRPr="00C535F0" w:rsidRDefault="00D62CF8" w:rsidP="000C6174">
            <w:pPr>
              <w:tabs>
                <w:tab w:val="num" w:pos="175"/>
              </w:tabs>
              <w:ind w:left="33"/>
              <w:jc w:val="center"/>
              <w:rPr>
                <w:rFonts w:ascii="Arial" w:hAnsi="Arial" w:cs="Arial"/>
                <w:b/>
                <w:color w:val="FFFFFF" w:themeColor="background1"/>
                <w:sz w:val="22"/>
                <w:szCs w:val="22"/>
                <w:lang w:val="es-HN"/>
              </w:rPr>
            </w:pPr>
            <w:r w:rsidRPr="00C535F0">
              <w:rPr>
                <w:rFonts w:ascii="Arial" w:hAnsi="Arial" w:cs="Arial"/>
                <w:b/>
                <w:color w:val="FFFFFF" w:themeColor="background1"/>
                <w:sz w:val="22"/>
                <w:szCs w:val="22"/>
                <w:lang w:val="es-HN"/>
              </w:rPr>
              <w:t>Requisito</w:t>
            </w:r>
          </w:p>
        </w:tc>
        <w:tc>
          <w:tcPr>
            <w:tcW w:w="1980" w:type="dxa"/>
            <w:shd w:val="clear" w:color="auto" w:fill="00B050"/>
            <w:vAlign w:val="center"/>
          </w:tcPr>
          <w:p w14:paraId="5E78CDF2" w14:textId="77777777" w:rsidR="00D62CF8" w:rsidRPr="00C535F0" w:rsidRDefault="00D62CF8" w:rsidP="000C6174">
            <w:pPr>
              <w:jc w:val="center"/>
              <w:rPr>
                <w:rFonts w:ascii="Arial" w:hAnsi="Arial" w:cs="Arial"/>
                <w:b/>
                <w:color w:val="FFFFFF" w:themeColor="background1"/>
                <w:sz w:val="22"/>
                <w:szCs w:val="22"/>
                <w:lang w:val="es-HN"/>
              </w:rPr>
            </w:pPr>
            <w:r w:rsidRPr="00C535F0">
              <w:rPr>
                <w:rFonts w:ascii="Arial" w:hAnsi="Arial" w:cs="Arial"/>
                <w:b/>
                <w:color w:val="FFFFFF" w:themeColor="background1"/>
                <w:sz w:val="22"/>
                <w:szCs w:val="22"/>
                <w:lang w:val="es-HN"/>
              </w:rPr>
              <w:t>Documentación requerida</w:t>
            </w:r>
          </w:p>
        </w:tc>
      </w:tr>
      <w:tr w:rsidR="00D62CF8" w:rsidRPr="002C6280" w14:paraId="05F13278" w14:textId="77777777" w:rsidTr="002F7C0E">
        <w:trPr>
          <w:trHeight w:val="54"/>
        </w:trPr>
        <w:tc>
          <w:tcPr>
            <w:tcW w:w="5850" w:type="dxa"/>
          </w:tcPr>
          <w:p w14:paraId="16E88B9F" w14:textId="77777777" w:rsidR="00D62CF8" w:rsidRPr="002C6280" w:rsidDel="00A03C04" w:rsidRDefault="00D62CF8" w:rsidP="003B68DB">
            <w:pPr>
              <w:pStyle w:val="Prrafodelista"/>
              <w:numPr>
                <w:ilvl w:val="1"/>
                <w:numId w:val="55"/>
              </w:numPr>
              <w:spacing w:before="120" w:after="120"/>
              <w:ind w:left="340"/>
              <w:rPr>
                <w:rFonts w:ascii="Arial" w:hAnsi="Arial" w:cs="Arial"/>
                <w:sz w:val="22"/>
                <w:szCs w:val="22"/>
                <w:lang w:val="es-ES"/>
              </w:rPr>
            </w:pPr>
            <w:r w:rsidRPr="002C6280">
              <w:rPr>
                <w:rFonts w:ascii="Arial" w:hAnsi="Arial" w:cs="Arial"/>
                <w:sz w:val="22"/>
                <w:szCs w:val="22"/>
                <w:lang w:val="es-ES"/>
              </w:rPr>
              <w:t xml:space="preserve">El oferente no ha incurrido en incumplimiento de contrato de ejecución de obras atribuible al contratista en los últimos 5 años previos a la fecha de recepción de la oferta. </w:t>
            </w:r>
          </w:p>
        </w:tc>
        <w:tc>
          <w:tcPr>
            <w:tcW w:w="1530" w:type="dxa"/>
            <w:vAlign w:val="center"/>
          </w:tcPr>
          <w:p w14:paraId="72411BBD" w14:textId="77777777" w:rsidR="00D62CF8" w:rsidRPr="002C6280" w:rsidRDefault="00D62CF8" w:rsidP="000C6174">
            <w:pPr>
              <w:tabs>
                <w:tab w:val="num" w:pos="175"/>
              </w:tabs>
              <w:ind w:left="33"/>
              <w:jc w:val="center"/>
              <w:rPr>
                <w:rFonts w:ascii="Arial" w:hAnsi="Arial" w:cs="Arial"/>
                <w:sz w:val="22"/>
                <w:szCs w:val="22"/>
                <w:lang w:val="es-HN"/>
              </w:rPr>
            </w:pPr>
            <w:r w:rsidRPr="002C6280">
              <w:rPr>
                <w:rFonts w:ascii="Arial" w:hAnsi="Arial" w:cs="Arial"/>
                <w:sz w:val="22"/>
                <w:szCs w:val="22"/>
                <w:lang w:val="es-HN"/>
              </w:rPr>
              <w:t>Cumple / No Cumple</w:t>
            </w:r>
          </w:p>
        </w:tc>
        <w:tc>
          <w:tcPr>
            <w:tcW w:w="1980" w:type="dxa"/>
            <w:vAlign w:val="center"/>
          </w:tcPr>
          <w:p w14:paraId="46D21EB7" w14:textId="77777777" w:rsidR="00D62CF8" w:rsidRPr="002C6280" w:rsidRDefault="00D62CF8" w:rsidP="000C6174">
            <w:pPr>
              <w:jc w:val="center"/>
              <w:rPr>
                <w:rFonts w:ascii="Arial" w:hAnsi="Arial" w:cs="Arial"/>
                <w:sz w:val="22"/>
                <w:szCs w:val="22"/>
                <w:lang w:val="es-HN"/>
              </w:rPr>
            </w:pPr>
            <w:r w:rsidRPr="002C6280">
              <w:rPr>
                <w:rFonts w:ascii="Arial" w:hAnsi="Arial" w:cs="Arial"/>
                <w:sz w:val="22"/>
                <w:szCs w:val="22"/>
                <w:lang w:val="es-HN"/>
              </w:rPr>
              <w:t>Formulario CC-5</w:t>
            </w:r>
          </w:p>
        </w:tc>
      </w:tr>
      <w:tr w:rsidR="00D62CF8" w:rsidRPr="002C6280" w14:paraId="05D377E8" w14:textId="77777777" w:rsidTr="002F7C0E">
        <w:trPr>
          <w:trHeight w:val="54"/>
        </w:trPr>
        <w:tc>
          <w:tcPr>
            <w:tcW w:w="5850" w:type="dxa"/>
          </w:tcPr>
          <w:p w14:paraId="1129CCDC" w14:textId="77777777" w:rsidR="00D62CF8" w:rsidRPr="002C6280" w:rsidRDefault="00D62CF8" w:rsidP="003B68DB">
            <w:pPr>
              <w:pStyle w:val="Prrafodelista"/>
              <w:numPr>
                <w:ilvl w:val="1"/>
                <w:numId w:val="55"/>
              </w:numPr>
              <w:spacing w:before="120" w:after="120"/>
              <w:ind w:left="340"/>
              <w:rPr>
                <w:rFonts w:ascii="Arial" w:hAnsi="Arial" w:cs="Arial"/>
                <w:sz w:val="22"/>
                <w:szCs w:val="22"/>
                <w:lang w:val="es-ES"/>
              </w:rPr>
            </w:pPr>
            <w:r w:rsidRPr="002C6280">
              <w:rPr>
                <w:rFonts w:ascii="Arial" w:hAnsi="Arial" w:cs="Arial"/>
                <w:sz w:val="22"/>
                <w:szCs w:val="22"/>
                <w:lang w:val="es-ES"/>
              </w:rPr>
              <w:t>El oferente no tiene antecedentes de fallos judiciales o laudos arbitrales en contra del contratista, relacionados a la ejecución de contratos de obras, en los últimos 5 años previos a la fecha de recepción de la oferta.</w:t>
            </w:r>
          </w:p>
        </w:tc>
        <w:tc>
          <w:tcPr>
            <w:tcW w:w="1530" w:type="dxa"/>
            <w:vAlign w:val="center"/>
          </w:tcPr>
          <w:p w14:paraId="0BA4CE4B" w14:textId="77777777" w:rsidR="00D62CF8" w:rsidRPr="002C6280" w:rsidRDefault="00D62CF8" w:rsidP="000C6174">
            <w:pPr>
              <w:tabs>
                <w:tab w:val="num" w:pos="175"/>
              </w:tabs>
              <w:ind w:left="33"/>
              <w:jc w:val="center"/>
              <w:rPr>
                <w:rFonts w:ascii="Arial" w:hAnsi="Arial" w:cs="Arial"/>
                <w:sz w:val="22"/>
                <w:szCs w:val="22"/>
                <w:lang w:val="es-HN"/>
              </w:rPr>
            </w:pPr>
            <w:r w:rsidRPr="002C6280">
              <w:rPr>
                <w:rFonts w:ascii="Arial" w:hAnsi="Arial" w:cs="Arial"/>
                <w:sz w:val="22"/>
                <w:szCs w:val="22"/>
                <w:lang w:val="es-HN"/>
              </w:rPr>
              <w:t>Cumple / No Cumple</w:t>
            </w:r>
          </w:p>
        </w:tc>
        <w:tc>
          <w:tcPr>
            <w:tcW w:w="1980" w:type="dxa"/>
            <w:vAlign w:val="center"/>
          </w:tcPr>
          <w:p w14:paraId="4C8AD9D4" w14:textId="77777777" w:rsidR="00D62CF8" w:rsidRPr="002C6280" w:rsidRDefault="00D62CF8" w:rsidP="000C6174">
            <w:pPr>
              <w:jc w:val="center"/>
              <w:rPr>
                <w:rFonts w:ascii="Arial" w:hAnsi="Arial" w:cs="Arial"/>
                <w:sz w:val="22"/>
                <w:szCs w:val="22"/>
                <w:lang w:val="es-HN"/>
              </w:rPr>
            </w:pPr>
            <w:r w:rsidRPr="002C6280">
              <w:rPr>
                <w:rFonts w:ascii="Arial" w:hAnsi="Arial" w:cs="Arial"/>
                <w:sz w:val="22"/>
                <w:szCs w:val="22"/>
                <w:lang w:val="es-HN"/>
              </w:rPr>
              <w:t>Formulario CC-5</w:t>
            </w:r>
          </w:p>
        </w:tc>
      </w:tr>
      <w:tr w:rsidR="00D62CF8" w:rsidRPr="002C6280" w14:paraId="4C606F91" w14:textId="77777777" w:rsidTr="002F7C0E">
        <w:trPr>
          <w:trHeight w:val="54"/>
        </w:trPr>
        <w:tc>
          <w:tcPr>
            <w:tcW w:w="5850" w:type="dxa"/>
            <w:tcBorders>
              <w:bottom w:val="single" w:sz="4" w:space="0" w:color="auto"/>
            </w:tcBorders>
          </w:tcPr>
          <w:p w14:paraId="1CABA340" w14:textId="77777777" w:rsidR="00D62CF8" w:rsidRPr="002C6280" w:rsidRDefault="00596D86" w:rsidP="003B68DB">
            <w:pPr>
              <w:pStyle w:val="Prrafodelista"/>
              <w:numPr>
                <w:ilvl w:val="1"/>
                <w:numId w:val="55"/>
              </w:numPr>
              <w:spacing w:before="120" w:after="120"/>
              <w:ind w:left="340"/>
              <w:rPr>
                <w:rFonts w:ascii="Arial" w:hAnsi="Arial" w:cs="Arial"/>
                <w:sz w:val="22"/>
                <w:szCs w:val="22"/>
                <w:lang w:val="es-ES"/>
              </w:rPr>
            </w:pPr>
            <w:r w:rsidRPr="00344818">
              <w:rPr>
                <w:rFonts w:ascii="Arial" w:hAnsi="Arial" w:cs="Arial"/>
                <w:sz w:val="22"/>
                <w:szCs w:val="22"/>
                <w:lang w:val="es-ES"/>
              </w:rPr>
              <w:t>El Oferente, no se le ha suspendido o terminado       contratos de obra civil ni se le ha cobrado garantías de cumplimiento, por razones relacionadas con el incumplimiento de cualquier requisito o salvaguarda ambiental y social (incluyendo explotación y abusos sexuales) en los últimos 5 años (2017, 2018, 2019, 2020 y 2021).</w:t>
            </w:r>
          </w:p>
        </w:tc>
        <w:tc>
          <w:tcPr>
            <w:tcW w:w="1530" w:type="dxa"/>
            <w:tcBorders>
              <w:bottom w:val="single" w:sz="4" w:space="0" w:color="auto"/>
            </w:tcBorders>
            <w:vAlign w:val="center"/>
          </w:tcPr>
          <w:p w14:paraId="7FA288EA" w14:textId="77777777" w:rsidR="00D62CF8" w:rsidRPr="002C6280" w:rsidRDefault="00D62CF8" w:rsidP="000C6174">
            <w:pPr>
              <w:tabs>
                <w:tab w:val="num" w:pos="175"/>
              </w:tabs>
              <w:ind w:left="33"/>
              <w:jc w:val="center"/>
              <w:rPr>
                <w:rFonts w:ascii="Arial" w:hAnsi="Arial" w:cs="Arial"/>
                <w:sz w:val="22"/>
                <w:szCs w:val="22"/>
                <w:lang w:val="es-HN"/>
              </w:rPr>
            </w:pPr>
            <w:r w:rsidRPr="002C6280">
              <w:rPr>
                <w:rFonts w:ascii="Arial" w:hAnsi="Arial" w:cs="Arial"/>
                <w:sz w:val="22"/>
                <w:szCs w:val="22"/>
                <w:lang w:val="es-HN"/>
              </w:rPr>
              <w:t>Cumple / No Cumple</w:t>
            </w:r>
          </w:p>
        </w:tc>
        <w:tc>
          <w:tcPr>
            <w:tcW w:w="1980" w:type="dxa"/>
            <w:vAlign w:val="center"/>
          </w:tcPr>
          <w:p w14:paraId="196B81D4" w14:textId="77777777" w:rsidR="00D62CF8" w:rsidRPr="002C6280" w:rsidRDefault="00D62CF8" w:rsidP="000C6174">
            <w:pPr>
              <w:jc w:val="center"/>
              <w:rPr>
                <w:rFonts w:ascii="Arial" w:hAnsi="Arial" w:cs="Arial"/>
                <w:sz w:val="22"/>
                <w:szCs w:val="22"/>
                <w:lang w:val="es-HN"/>
              </w:rPr>
            </w:pPr>
            <w:r w:rsidRPr="002C6280">
              <w:rPr>
                <w:rFonts w:ascii="Arial" w:hAnsi="Arial" w:cs="Arial"/>
                <w:sz w:val="22"/>
                <w:szCs w:val="22"/>
                <w:lang w:val="es-HN"/>
              </w:rPr>
              <w:t>Formulario CC-7</w:t>
            </w:r>
          </w:p>
        </w:tc>
      </w:tr>
    </w:tbl>
    <w:p w14:paraId="2AA4E771" w14:textId="77777777" w:rsidR="00D62CF8" w:rsidRPr="002C6280" w:rsidRDefault="00D62CF8" w:rsidP="00E85AAD">
      <w:pPr>
        <w:spacing w:before="120" w:after="120"/>
        <w:rPr>
          <w:rFonts w:ascii="Arial" w:hAnsi="Arial" w:cs="Arial"/>
          <w:sz w:val="22"/>
          <w:szCs w:val="22"/>
        </w:rPr>
      </w:pPr>
      <w:r w:rsidRPr="002C6280">
        <w:rPr>
          <w:rFonts w:ascii="Arial" w:hAnsi="Arial" w:cs="Arial"/>
          <w:sz w:val="22"/>
          <w:szCs w:val="22"/>
        </w:rPr>
        <w:t>Para efectos de evaluación se considerará incumplimiento del contrato atribuible al contratista cuando el incumplimiento implicó la terminación del Contrato y se dio alguno de los siguientes escenarios:</w:t>
      </w:r>
    </w:p>
    <w:p w14:paraId="134FA4C2" w14:textId="77777777" w:rsidR="00D62CF8" w:rsidRPr="002C6280" w:rsidRDefault="00D62CF8" w:rsidP="003B68DB">
      <w:pPr>
        <w:pStyle w:val="Prrafodelista"/>
        <w:numPr>
          <w:ilvl w:val="0"/>
          <w:numId w:val="53"/>
        </w:numPr>
        <w:spacing w:before="120" w:after="120"/>
        <w:ind w:left="0" w:firstLine="0"/>
        <w:rPr>
          <w:rFonts w:ascii="Arial" w:hAnsi="Arial" w:cs="Arial"/>
          <w:sz w:val="22"/>
          <w:szCs w:val="22"/>
        </w:rPr>
      </w:pPr>
      <w:r w:rsidRPr="002C6280">
        <w:rPr>
          <w:rFonts w:ascii="Arial" w:hAnsi="Arial" w:cs="Arial"/>
          <w:sz w:val="22"/>
          <w:szCs w:val="22"/>
        </w:rPr>
        <w:t xml:space="preserve">El Contratista no impugnó el incumplimiento del contrato, incluso mediante el uso por su parte del mecanismo de solución de controversias previsto en el Contrato </w:t>
      </w:r>
      <w:r w:rsidR="00BE77C2" w:rsidRPr="002C6280">
        <w:rPr>
          <w:rFonts w:ascii="Arial" w:hAnsi="Arial" w:cs="Arial"/>
          <w:sz w:val="22"/>
          <w:szCs w:val="22"/>
        </w:rPr>
        <w:t>pertinente, o</w:t>
      </w:r>
      <w:r w:rsidRPr="002C6280">
        <w:rPr>
          <w:rFonts w:ascii="Arial" w:hAnsi="Arial" w:cs="Arial"/>
          <w:sz w:val="22"/>
          <w:szCs w:val="22"/>
        </w:rPr>
        <w:t xml:space="preserve"> </w:t>
      </w:r>
    </w:p>
    <w:p w14:paraId="71705D9F" w14:textId="77777777" w:rsidR="00D62CF8" w:rsidRPr="002C6280" w:rsidRDefault="00D62CF8" w:rsidP="003B68DB">
      <w:pPr>
        <w:pStyle w:val="Prrafodelista"/>
        <w:numPr>
          <w:ilvl w:val="0"/>
          <w:numId w:val="53"/>
        </w:numPr>
        <w:spacing w:before="120" w:after="120"/>
        <w:ind w:left="0" w:firstLine="0"/>
        <w:rPr>
          <w:rFonts w:ascii="Arial" w:hAnsi="Arial" w:cs="Arial"/>
          <w:sz w:val="22"/>
          <w:szCs w:val="22"/>
        </w:rPr>
      </w:pPr>
      <w:r w:rsidRPr="002C6280">
        <w:rPr>
          <w:rFonts w:ascii="Arial" w:hAnsi="Arial" w:cs="Arial"/>
          <w:sz w:val="22"/>
          <w:szCs w:val="22"/>
        </w:rPr>
        <w:t xml:space="preserve">Si se impugnó el incumplimiento, pero existe una resolución definitiva en contra del Contratista. </w:t>
      </w:r>
    </w:p>
    <w:p w14:paraId="7EC490F9" w14:textId="77777777" w:rsidR="00D62CF8" w:rsidRPr="002C6280" w:rsidRDefault="00D62CF8" w:rsidP="00E85AAD">
      <w:pPr>
        <w:spacing w:before="120" w:after="120"/>
        <w:rPr>
          <w:rFonts w:ascii="Arial" w:hAnsi="Arial" w:cs="Arial"/>
          <w:sz w:val="22"/>
          <w:szCs w:val="22"/>
        </w:rPr>
      </w:pPr>
      <w:r w:rsidRPr="002C6280">
        <w:rPr>
          <w:rFonts w:ascii="Arial" w:hAnsi="Arial" w:cs="Arial"/>
          <w:sz w:val="22"/>
          <w:szCs w:val="22"/>
        </w:rPr>
        <w:t>Adicionalmente se considerará lo siguiente:</w:t>
      </w:r>
    </w:p>
    <w:p w14:paraId="55FA962B" w14:textId="77777777" w:rsidR="00D62CF8" w:rsidRPr="002C6280" w:rsidRDefault="00D62CF8" w:rsidP="003B68DB">
      <w:pPr>
        <w:pStyle w:val="Prrafodelista"/>
        <w:numPr>
          <w:ilvl w:val="0"/>
          <w:numId w:val="54"/>
        </w:numPr>
        <w:spacing w:before="120" w:after="120"/>
        <w:ind w:left="0" w:firstLine="0"/>
        <w:rPr>
          <w:rFonts w:ascii="Arial" w:hAnsi="Arial" w:cs="Arial"/>
          <w:sz w:val="22"/>
          <w:szCs w:val="22"/>
        </w:rPr>
      </w:pPr>
      <w:r w:rsidRPr="002C6280">
        <w:rPr>
          <w:rFonts w:ascii="Arial" w:hAnsi="Arial" w:cs="Arial"/>
          <w:sz w:val="22"/>
          <w:szCs w:val="22"/>
        </w:rPr>
        <w:t>No se considerará como incumplimiento de contrato atribuible al contratista, cuando la decisión del Contratante haya sido desestimada en el marco del mecanismo de solución de controversias.</w:t>
      </w:r>
    </w:p>
    <w:p w14:paraId="095FD740" w14:textId="77777777" w:rsidR="00D62CF8" w:rsidRPr="002C6280" w:rsidRDefault="00D62CF8" w:rsidP="003B68DB">
      <w:pPr>
        <w:pStyle w:val="Prrafodelista"/>
        <w:numPr>
          <w:ilvl w:val="0"/>
          <w:numId w:val="54"/>
        </w:numPr>
        <w:spacing w:before="120" w:after="120"/>
        <w:ind w:left="0" w:firstLine="0"/>
        <w:rPr>
          <w:rFonts w:ascii="Arial" w:hAnsi="Arial" w:cs="Arial"/>
          <w:sz w:val="22"/>
          <w:szCs w:val="22"/>
        </w:rPr>
      </w:pPr>
      <w:r w:rsidRPr="002C6280">
        <w:rPr>
          <w:rFonts w:ascii="Arial" w:hAnsi="Arial" w:cs="Arial"/>
          <w:sz w:val="22"/>
          <w:szCs w:val="22"/>
        </w:rPr>
        <w:lastRenderedPageBreak/>
        <w:t>El incumplimiento se determinará en virtud de toda la información relativa a controversias o litigios que se hayan resuelto de manera definitiva, es decir, controversias o litigios cuya solución haya tenido lugar en el marco del mecanismo de solución de controversias previsto en el Contrato pertinente y en los que se hayan agotado todas las instancias de apelación que el oferente tuviera a su disposición.</w:t>
      </w:r>
    </w:p>
    <w:p w14:paraId="3CD16DBE" w14:textId="77777777" w:rsidR="00D62CF8" w:rsidRPr="002C6280" w:rsidRDefault="00D62CF8" w:rsidP="000C6174">
      <w:pPr>
        <w:pStyle w:val="Prrafodelista"/>
        <w:spacing w:before="120" w:after="120"/>
        <w:ind w:left="-270"/>
        <w:rPr>
          <w:rFonts w:ascii="Arial" w:hAnsi="Arial" w:cs="Arial"/>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2C6280" w14:paraId="0EF10DEF" w14:textId="77777777" w:rsidTr="002C6280">
        <w:trPr>
          <w:trHeight w:val="20"/>
          <w:tblHeader/>
        </w:trPr>
        <w:tc>
          <w:tcPr>
            <w:tcW w:w="9360" w:type="dxa"/>
            <w:gridSpan w:val="3"/>
            <w:shd w:val="clear" w:color="auto" w:fill="002060"/>
          </w:tcPr>
          <w:p w14:paraId="496BF467" w14:textId="77777777" w:rsidR="00D62CF8" w:rsidRPr="009B31CF" w:rsidRDefault="00D62CF8" w:rsidP="000C6174">
            <w:pPr>
              <w:spacing w:before="120" w:after="120"/>
              <w:rPr>
                <w:rFonts w:ascii="Arial" w:hAnsi="Arial" w:cs="Arial"/>
                <w:b/>
                <w:sz w:val="22"/>
                <w:szCs w:val="22"/>
                <w:lang w:val="es-HN"/>
              </w:rPr>
            </w:pPr>
            <w:r w:rsidRPr="009B31CF">
              <w:rPr>
                <w:rFonts w:ascii="Arial" w:hAnsi="Arial" w:cs="Arial"/>
                <w:b/>
                <w:sz w:val="22"/>
                <w:szCs w:val="22"/>
                <w:lang w:val="es-HN"/>
              </w:rPr>
              <w:t>Criterio 2:   Solidez de la situación financiera actual</w:t>
            </w:r>
          </w:p>
          <w:p w14:paraId="4D8C0037" w14:textId="77777777" w:rsidR="00D62CF8" w:rsidRPr="002C6280" w:rsidRDefault="00D62CF8" w:rsidP="000C6174">
            <w:pPr>
              <w:rPr>
                <w:rFonts w:ascii="Arial" w:hAnsi="Arial" w:cs="Arial"/>
                <w:b/>
                <w:sz w:val="22"/>
                <w:szCs w:val="22"/>
                <w:lang w:val="es-HN"/>
              </w:rPr>
            </w:pPr>
            <w:r w:rsidRPr="009B31CF">
              <w:rPr>
                <w:rFonts w:ascii="Arial" w:hAnsi="Arial" w:cs="Arial"/>
                <w:sz w:val="22"/>
                <w:szCs w:val="22"/>
                <w:lang w:val="es-ES"/>
              </w:rPr>
              <w:t>La evaluación se realizará suponiendo que todos los litigios pendientes, identificados en el Formulario CC-5, se resolverán en contra del Oferente</w:t>
            </w:r>
          </w:p>
        </w:tc>
      </w:tr>
      <w:tr w:rsidR="00D62CF8" w:rsidRPr="002C6280" w14:paraId="7C0F326F" w14:textId="77777777" w:rsidTr="00882CB1">
        <w:trPr>
          <w:trHeight w:val="20"/>
          <w:tblHeader/>
        </w:trPr>
        <w:tc>
          <w:tcPr>
            <w:tcW w:w="5850" w:type="dxa"/>
            <w:shd w:val="clear" w:color="auto" w:fill="00B050"/>
            <w:vAlign w:val="center"/>
          </w:tcPr>
          <w:p w14:paraId="50B03608" w14:textId="77777777" w:rsidR="00D62CF8" w:rsidRPr="00882CB1" w:rsidRDefault="00D62CF8" w:rsidP="000C6174">
            <w:pPr>
              <w:pStyle w:val="titulo"/>
              <w:spacing w:after="0"/>
              <w:ind w:left="540" w:right="74"/>
              <w:rPr>
                <w:rFonts w:ascii="Arial" w:hAnsi="Arial" w:cs="Arial"/>
                <w:b w:val="0"/>
                <w:color w:val="FFFFFF" w:themeColor="background1"/>
                <w:sz w:val="22"/>
                <w:szCs w:val="22"/>
                <w:lang w:val="es-HN"/>
              </w:rPr>
            </w:pPr>
            <w:r w:rsidRPr="00882CB1">
              <w:rPr>
                <w:rFonts w:ascii="Arial" w:hAnsi="Arial" w:cs="Arial"/>
                <w:color w:val="FFFFFF" w:themeColor="background1"/>
                <w:sz w:val="22"/>
                <w:szCs w:val="22"/>
                <w:lang w:val="es-HN"/>
              </w:rPr>
              <w:t>Requisito</w:t>
            </w:r>
          </w:p>
        </w:tc>
        <w:tc>
          <w:tcPr>
            <w:tcW w:w="1530" w:type="dxa"/>
            <w:shd w:val="clear" w:color="auto" w:fill="00B050"/>
            <w:vAlign w:val="center"/>
          </w:tcPr>
          <w:p w14:paraId="1315B131" w14:textId="77777777" w:rsidR="00D62CF8" w:rsidRPr="00882CB1" w:rsidRDefault="00D62CF8" w:rsidP="000C6174">
            <w:pPr>
              <w:tabs>
                <w:tab w:val="num" w:pos="1782"/>
              </w:tabs>
              <w:ind w:left="-110" w:right="-110" w:hanging="20"/>
              <w:jc w:val="center"/>
              <w:rPr>
                <w:rFonts w:ascii="Arial" w:hAnsi="Arial" w:cs="Arial"/>
                <w:b/>
                <w:color w:val="FFFFFF" w:themeColor="background1"/>
                <w:sz w:val="22"/>
                <w:szCs w:val="22"/>
                <w:lang w:val="es-HN"/>
              </w:rPr>
            </w:pPr>
            <w:r w:rsidRPr="00882CB1">
              <w:rPr>
                <w:rFonts w:ascii="Arial" w:hAnsi="Arial" w:cs="Arial"/>
                <w:b/>
                <w:color w:val="FFFFFF" w:themeColor="background1"/>
                <w:sz w:val="22"/>
                <w:szCs w:val="22"/>
                <w:lang w:val="es-HN"/>
              </w:rPr>
              <w:t>Evaluación</w:t>
            </w:r>
          </w:p>
        </w:tc>
        <w:tc>
          <w:tcPr>
            <w:tcW w:w="1980" w:type="dxa"/>
            <w:shd w:val="clear" w:color="auto" w:fill="00B050"/>
            <w:vAlign w:val="center"/>
          </w:tcPr>
          <w:p w14:paraId="423B67F0" w14:textId="77777777" w:rsidR="00D62CF8" w:rsidRPr="00882CB1" w:rsidRDefault="00D62CF8" w:rsidP="00942F4C">
            <w:pPr>
              <w:pStyle w:val="titulo"/>
              <w:spacing w:after="0"/>
              <w:ind w:right="-108"/>
              <w:rPr>
                <w:rFonts w:ascii="Arial" w:hAnsi="Arial" w:cs="Arial"/>
                <w:color w:val="FFFFFF" w:themeColor="background1"/>
                <w:sz w:val="22"/>
                <w:szCs w:val="22"/>
                <w:lang w:val="es-HN"/>
              </w:rPr>
            </w:pPr>
            <w:r w:rsidRPr="00882CB1">
              <w:rPr>
                <w:rFonts w:ascii="Arial" w:hAnsi="Arial" w:cs="Arial"/>
                <w:color w:val="FFFFFF" w:themeColor="background1"/>
                <w:sz w:val="22"/>
                <w:szCs w:val="22"/>
                <w:lang w:val="es-HN"/>
              </w:rPr>
              <w:t>Documentación requerida</w:t>
            </w:r>
          </w:p>
        </w:tc>
      </w:tr>
      <w:tr w:rsidR="00D62CF8" w:rsidRPr="002C6280" w14:paraId="426F25D5" w14:textId="77777777" w:rsidTr="00882CB1">
        <w:trPr>
          <w:trHeight w:val="20"/>
          <w:hidden/>
        </w:trPr>
        <w:tc>
          <w:tcPr>
            <w:tcW w:w="9360" w:type="dxa"/>
            <w:gridSpan w:val="3"/>
            <w:shd w:val="clear" w:color="auto" w:fill="D9D9D9" w:themeFill="background1" w:themeFillShade="D9"/>
            <w:vAlign w:val="center"/>
          </w:tcPr>
          <w:p w14:paraId="6E0EBAC4" w14:textId="77777777" w:rsidR="00D62CF8" w:rsidRPr="00042B17" w:rsidRDefault="00D62CF8" w:rsidP="00042B17">
            <w:pPr>
              <w:ind w:right="-108"/>
              <w:jc w:val="left"/>
              <w:outlineLvl w:val="4"/>
              <w:rPr>
                <w:rFonts w:ascii="Arial" w:hAnsi="Arial" w:cs="Arial"/>
                <w:b/>
                <w:vanish/>
                <w:sz w:val="22"/>
                <w:szCs w:val="22"/>
                <w:lang w:val="es-HN"/>
              </w:rPr>
            </w:pPr>
          </w:p>
          <w:p w14:paraId="461FE784" w14:textId="77777777" w:rsidR="00D62CF8" w:rsidRPr="002C6280" w:rsidRDefault="00D62CF8" w:rsidP="003B68DB">
            <w:pPr>
              <w:pStyle w:val="titulo"/>
              <w:numPr>
                <w:ilvl w:val="1"/>
                <w:numId w:val="113"/>
              </w:numPr>
              <w:spacing w:after="0"/>
              <w:ind w:right="-108"/>
              <w:jc w:val="left"/>
              <w:rPr>
                <w:rFonts w:ascii="Arial" w:hAnsi="Arial" w:cs="Arial"/>
                <w:sz w:val="22"/>
                <w:szCs w:val="22"/>
                <w:lang w:val="es-HN"/>
              </w:rPr>
            </w:pPr>
            <w:r w:rsidRPr="002C6280">
              <w:rPr>
                <w:rFonts w:ascii="Arial" w:hAnsi="Arial" w:cs="Arial"/>
                <w:sz w:val="22"/>
                <w:szCs w:val="22"/>
                <w:lang w:val="es-HN"/>
              </w:rPr>
              <w:t>Indicadores financieros</w:t>
            </w:r>
          </w:p>
          <w:p w14:paraId="51018599" w14:textId="77777777" w:rsidR="00D62CF8" w:rsidRPr="002C6280" w:rsidRDefault="00D62CF8" w:rsidP="000C6174">
            <w:pPr>
              <w:pStyle w:val="titulo"/>
              <w:spacing w:after="0"/>
              <w:ind w:left="337" w:right="-108"/>
              <w:jc w:val="left"/>
              <w:rPr>
                <w:rFonts w:ascii="Arial" w:hAnsi="Arial" w:cs="Arial"/>
                <w:b w:val="0"/>
                <w:sz w:val="22"/>
                <w:szCs w:val="22"/>
                <w:lang w:val="es-HN"/>
              </w:rPr>
            </w:pPr>
            <w:r w:rsidRPr="002C6280">
              <w:rPr>
                <w:rFonts w:ascii="Arial" w:hAnsi="Arial" w:cs="Arial"/>
                <w:b w:val="0"/>
                <w:sz w:val="22"/>
                <w:szCs w:val="22"/>
                <w:lang w:val="es-HN"/>
              </w:rPr>
              <w:t>En caso de ofertas presentada por una APCA, cada uno de los integrantes de la APCA debe cumplir los requisitos.</w:t>
            </w:r>
          </w:p>
        </w:tc>
      </w:tr>
      <w:tr w:rsidR="00D62CF8" w:rsidRPr="002C6280" w14:paraId="19108931" w14:textId="77777777" w:rsidTr="002F7C0E">
        <w:trPr>
          <w:trHeight w:val="20"/>
        </w:trPr>
        <w:tc>
          <w:tcPr>
            <w:tcW w:w="5850" w:type="dxa"/>
            <w:tcBorders>
              <w:bottom w:val="single" w:sz="4" w:space="0" w:color="auto"/>
            </w:tcBorders>
            <w:vAlign w:val="center"/>
          </w:tcPr>
          <w:p w14:paraId="3D0B41C2" w14:textId="77777777" w:rsidR="00D62CF8" w:rsidRPr="002C6280" w:rsidRDefault="00D62CF8" w:rsidP="000C6174">
            <w:pPr>
              <w:spacing w:before="100" w:after="100"/>
              <w:contextualSpacing/>
              <w:jc w:val="left"/>
              <w:rPr>
                <w:rFonts w:ascii="Arial" w:hAnsi="Arial" w:cs="Arial"/>
                <w:sz w:val="22"/>
                <w:szCs w:val="22"/>
                <w:lang w:val="es-HN"/>
              </w:rPr>
            </w:pPr>
            <w:r w:rsidRPr="002C6280">
              <w:rPr>
                <w:rFonts w:ascii="Arial" w:hAnsi="Arial" w:cs="Arial"/>
                <w:sz w:val="22"/>
                <w:szCs w:val="22"/>
                <w:lang w:val="es-HN"/>
              </w:rPr>
              <w:t>Presentación de estados financieros auditados</w:t>
            </w:r>
          </w:p>
        </w:tc>
        <w:tc>
          <w:tcPr>
            <w:tcW w:w="1530" w:type="dxa"/>
            <w:tcBorders>
              <w:bottom w:val="single" w:sz="4" w:space="0" w:color="auto"/>
            </w:tcBorders>
            <w:vAlign w:val="center"/>
          </w:tcPr>
          <w:p w14:paraId="73E68019" w14:textId="77777777" w:rsidR="00D62CF8" w:rsidRPr="002C6280" w:rsidRDefault="00D62CF8" w:rsidP="000C6174">
            <w:pPr>
              <w:spacing w:before="100" w:after="100"/>
              <w:ind w:left="-107" w:right="-112"/>
              <w:contextualSpacing/>
              <w:jc w:val="center"/>
              <w:rPr>
                <w:rFonts w:ascii="Arial" w:hAnsi="Arial" w:cs="Arial"/>
                <w:sz w:val="22"/>
                <w:szCs w:val="22"/>
                <w:lang w:val="es-HN"/>
              </w:rPr>
            </w:pPr>
            <w:r w:rsidRPr="002C6280">
              <w:rPr>
                <w:rFonts w:ascii="Arial" w:hAnsi="Arial" w:cs="Arial"/>
                <w:sz w:val="22"/>
                <w:szCs w:val="22"/>
                <w:lang w:val="es-HN"/>
              </w:rPr>
              <w:t xml:space="preserve">Cumple / </w:t>
            </w:r>
          </w:p>
          <w:p w14:paraId="6CCD2A01" w14:textId="77777777" w:rsidR="00D62CF8" w:rsidRPr="002C6280" w:rsidRDefault="00D62CF8" w:rsidP="000C6174">
            <w:pPr>
              <w:spacing w:before="100" w:after="100"/>
              <w:ind w:left="-107" w:right="-112"/>
              <w:contextualSpacing/>
              <w:jc w:val="center"/>
              <w:rPr>
                <w:rFonts w:ascii="Arial" w:hAnsi="Arial" w:cs="Arial"/>
                <w:b/>
                <w:sz w:val="22"/>
                <w:szCs w:val="22"/>
                <w:lang w:val="es-HN"/>
              </w:rPr>
            </w:pPr>
            <w:r w:rsidRPr="002C6280">
              <w:rPr>
                <w:rFonts w:ascii="Arial" w:hAnsi="Arial" w:cs="Arial"/>
                <w:sz w:val="22"/>
                <w:szCs w:val="22"/>
                <w:lang w:val="es-HN"/>
              </w:rPr>
              <w:t>No Cumple</w:t>
            </w:r>
          </w:p>
        </w:tc>
        <w:tc>
          <w:tcPr>
            <w:tcW w:w="1980" w:type="dxa"/>
            <w:vAlign w:val="center"/>
          </w:tcPr>
          <w:p w14:paraId="15D149FF" w14:textId="77777777" w:rsidR="00D62CF8" w:rsidRPr="002C6280" w:rsidRDefault="00D62CF8" w:rsidP="000C6174">
            <w:pPr>
              <w:spacing w:before="100" w:after="100"/>
              <w:ind w:left="-105"/>
              <w:contextualSpacing/>
              <w:jc w:val="center"/>
              <w:rPr>
                <w:rFonts w:ascii="Arial" w:hAnsi="Arial" w:cs="Arial"/>
                <w:sz w:val="22"/>
                <w:szCs w:val="22"/>
                <w:lang w:val="es-HN"/>
              </w:rPr>
            </w:pPr>
            <w:r w:rsidRPr="002C6280">
              <w:rPr>
                <w:rFonts w:ascii="Arial" w:hAnsi="Arial" w:cs="Arial"/>
                <w:sz w:val="22"/>
                <w:szCs w:val="22"/>
                <w:lang w:val="es-HN"/>
              </w:rPr>
              <w:t>Estados financieros auditados</w:t>
            </w:r>
          </w:p>
        </w:tc>
      </w:tr>
      <w:tr w:rsidR="00C10A2C" w:rsidRPr="002C6280" w14:paraId="576E8D39" w14:textId="77777777" w:rsidTr="002F7C0E">
        <w:trPr>
          <w:trHeight w:val="20"/>
        </w:trPr>
        <w:tc>
          <w:tcPr>
            <w:tcW w:w="5850" w:type="dxa"/>
            <w:tcBorders>
              <w:bottom w:val="single" w:sz="4" w:space="0" w:color="auto"/>
            </w:tcBorders>
          </w:tcPr>
          <w:p w14:paraId="2A6BD034" w14:textId="77777777" w:rsidR="00C10A2C" w:rsidRPr="00210A35" w:rsidRDefault="00C10A2C" w:rsidP="00C10A2C">
            <w:pPr>
              <w:spacing w:before="100" w:after="100"/>
              <w:contextualSpacing/>
              <w:rPr>
                <w:rFonts w:ascii="Arial" w:hAnsi="Arial" w:cs="Arial"/>
                <w:sz w:val="22"/>
                <w:szCs w:val="22"/>
                <w:lang w:val="es-HN"/>
              </w:rPr>
            </w:pPr>
            <w:r w:rsidRPr="00210A35">
              <w:rPr>
                <w:rFonts w:ascii="Arial" w:hAnsi="Arial" w:cs="Arial"/>
                <w:sz w:val="22"/>
                <w:szCs w:val="22"/>
                <w:lang w:val="es-HN"/>
              </w:rPr>
              <w:t xml:space="preserve">Coeficiente medio de Liquidez </w:t>
            </w:r>
          </w:p>
          <w:p w14:paraId="051F2599" w14:textId="77777777" w:rsidR="00C10A2C" w:rsidRPr="00210A35" w:rsidRDefault="00C10A2C" w:rsidP="00C10A2C">
            <w:pPr>
              <w:spacing w:before="100" w:after="100"/>
              <w:contextualSpacing/>
              <w:rPr>
                <w:rFonts w:ascii="Arial" w:hAnsi="Arial" w:cs="Arial"/>
                <w:sz w:val="22"/>
                <w:szCs w:val="22"/>
                <w:lang w:val="es-HN"/>
              </w:rPr>
            </w:pPr>
            <w:r w:rsidRPr="00210A35">
              <w:rPr>
                <w:rFonts w:ascii="Arial" w:hAnsi="Arial" w:cs="Arial"/>
                <w:i/>
                <w:sz w:val="22"/>
                <w:szCs w:val="22"/>
                <w:lang w:val="es-HN"/>
              </w:rPr>
              <w:t xml:space="preserve">Igual o mayor a </w:t>
            </w:r>
            <w:r w:rsidRPr="00210A35">
              <w:rPr>
                <w:rFonts w:ascii="Arial" w:hAnsi="Arial" w:cs="Arial"/>
                <w:i/>
                <w:sz w:val="22"/>
                <w:szCs w:val="22"/>
                <w:u w:val="single"/>
                <w:lang w:val="es-HN"/>
              </w:rPr>
              <w:t>1</w:t>
            </w:r>
            <w:r w:rsidRPr="00210A35">
              <w:rPr>
                <w:rFonts w:ascii="Arial" w:hAnsi="Arial" w:cs="Arial"/>
                <w:i/>
                <w:sz w:val="22"/>
                <w:szCs w:val="22"/>
                <w:lang w:val="es-HN"/>
              </w:rPr>
              <w:t>:</w:t>
            </w:r>
          </w:p>
          <w:p w14:paraId="16F215BB" w14:textId="77777777" w:rsidR="00C10A2C" w:rsidRPr="00210A35" w:rsidRDefault="00C10A2C" w:rsidP="00C10A2C">
            <w:pPr>
              <w:spacing w:before="100" w:after="100"/>
              <w:contextualSpacing/>
              <w:rPr>
                <w:rFonts w:ascii="Arial" w:hAnsi="Arial" w:cs="Arial"/>
                <w:sz w:val="22"/>
                <w:szCs w:val="22"/>
                <w:lang w:val="es-HN"/>
              </w:rPr>
            </w:pPr>
          </w:p>
          <w:p w14:paraId="603874C8"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Dónde: CL = AC/ PC</w:t>
            </w:r>
          </w:p>
          <w:p w14:paraId="70E5124A"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CL= Coeficiente medio de Liquidez</w:t>
            </w:r>
          </w:p>
          <w:p w14:paraId="1EFBA7D5"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AC = Promedio del activo a corto plazo</w:t>
            </w:r>
          </w:p>
          <w:p w14:paraId="37624F1A"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PC = Promedio del Pasivo a corto plazo</w:t>
            </w:r>
          </w:p>
        </w:tc>
        <w:tc>
          <w:tcPr>
            <w:tcW w:w="1530" w:type="dxa"/>
            <w:tcBorders>
              <w:bottom w:val="single" w:sz="4" w:space="0" w:color="auto"/>
            </w:tcBorders>
            <w:vAlign w:val="center"/>
          </w:tcPr>
          <w:p w14:paraId="51815F2D" w14:textId="77777777" w:rsidR="00C10A2C" w:rsidRPr="00210A35" w:rsidRDefault="00C10A2C" w:rsidP="00C10A2C">
            <w:pPr>
              <w:spacing w:before="100" w:after="100"/>
              <w:ind w:left="33"/>
              <w:contextualSpacing/>
              <w:jc w:val="center"/>
              <w:rPr>
                <w:rFonts w:ascii="Arial" w:hAnsi="Arial" w:cs="Arial"/>
                <w:b/>
                <w:sz w:val="22"/>
                <w:szCs w:val="22"/>
                <w:lang w:val="es-HN"/>
              </w:rPr>
            </w:pPr>
            <w:r w:rsidRPr="00210A35">
              <w:rPr>
                <w:rFonts w:ascii="Arial" w:hAnsi="Arial" w:cs="Arial"/>
                <w:sz w:val="22"/>
                <w:szCs w:val="22"/>
                <w:lang w:val="es-HN"/>
              </w:rPr>
              <w:t>Cumple / No Cumple</w:t>
            </w:r>
          </w:p>
          <w:p w14:paraId="6B2D2D2B" w14:textId="77777777" w:rsidR="00C10A2C" w:rsidRPr="00210A35" w:rsidRDefault="00C10A2C" w:rsidP="00C10A2C">
            <w:pPr>
              <w:tabs>
                <w:tab w:val="num" w:pos="142"/>
              </w:tabs>
              <w:spacing w:before="100" w:after="100"/>
              <w:ind w:left="33"/>
              <w:contextualSpacing/>
              <w:jc w:val="center"/>
              <w:rPr>
                <w:rFonts w:ascii="Arial" w:hAnsi="Arial" w:cs="Arial"/>
                <w:b/>
                <w:sz w:val="22"/>
                <w:szCs w:val="22"/>
                <w:lang w:val="es-HN"/>
              </w:rPr>
            </w:pPr>
          </w:p>
        </w:tc>
        <w:tc>
          <w:tcPr>
            <w:tcW w:w="1980" w:type="dxa"/>
            <w:vMerge w:val="restart"/>
            <w:vAlign w:val="center"/>
          </w:tcPr>
          <w:p w14:paraId="3F2AB312" w14:textId="77777777" w:rsidR="00C10A2C" w:rsidRPr="002C6280" w:rsidRDefault="00C10A2C" w:rsidP="00C10A2C">
            <w:pPr>
              <w:spacing w:before="100" w:after="100"/>
              <w:contextualSpacing/>
              <w:jc w:val="center"/>
              <w:rPr>
                <w:rFonts w:ascii="Arial" w:hAnsi="Arial" w:cs="Arial"/>
                <w:sz w:val="22"/>
                <w:szCs w:val="22"/>
                <w:lang w:val="es-HN"/>
              </w:rPr>
            </w:pPr>
            <w:r w:rsidRPr="002C6280">
              <w:rPr>
                <w:rFonts w:ascii="Arial" w:hAnsi="Arial" w:cs="Arial"/>
                <w:sz w:val="22"/>
                <w:szCs w:val="22"/>
                <w:lang w:val="es-HN"/>
              </w:rPr>
              <w:t xml:space="preserve">Formulario </w:t>
            </w:r>
          </w:p>
          <w:p w14:paraId="64249B78" w14:textId="77777777" w:rsidR="00C10A2C" w:rsidRPr="002C6280" w:rsidRDefault="00C10A2C" w:rsidP="00C10A2C">
            <w:pPr>
              <w:spacing w:before="100" w:after="100"/>
              <w:contextualSpacing/>
              <w:jc w:val="center"/>
              <w:rPr>
                <w:rFonts w:ascii="Arial" w:hAnsi="Arial" w:cs="Arial"/>
                <w:sz w:val="22"/>
                <w:szCs w:val="22"/>
                <w:lang w:val="es-HN"/>
              </w:rPr>
            </w:pPr>
            <w:r w:rsidRPr="002C6280">
              <w:rPr>
                <w:rFonts w:ascii="Arial" w:hAnsi="Arial" w:cs="Arial"/>
                <w:sz w:val="22"/>
                <w:szCs w:val="22"/>
                <w:lang w:val="es-HN"/>
              </w:rPr>
              <w:t>FIN-1</w:t>
            </w:r>
          </w:p>
          <w:p w14:paraId="6B6D33F1" w14:textId="77777777" w:rsidR="00C10A2C" w:rsidRPr="002C6280" w:rsidRDefault="00C10A2C" w:rsidP="00C10A2C">
            <w:pPr>
              <w:spacing w:before="100" w:after="100"/>
              <w:contextualSpacing/>
              <w:jc w:val="center"/>
              <w:rPr>
                <w:rFonts w:ascii="Arial" w:hAnsi="Arial" w:cs="Arial"/>
                <w:sz w:val="22"/>
                <w:szCs w:val="22"/>
                <w:lang w:val="es-HN"/>
              </w:rPr>
            </w:pPr>
            <w:r w:rsidRPr="002C6280">
              <w:rPr>
                <w:rFonts w:ascii="Arial" w:hAnsi="Arial" w:cs="Arial"/>
                <w:sz w:val="22"/>
                <w:szCs w:val="22"/>
                <w:lang w:val="es-HN"/>
              </w:rPr>
              <w:t>con sus respectivos anexos</w:t>
            </w:r>
          </w:p>
        </w:tc>
      </w:tr>
      <w:tr w:rsidR="00C10A2C" w:rsidRPr="002C6280" w14:paraId="6A6E4489" w14:textId="77777777" w:rsidTr="002F7C0E">
        <w:trPr>
          <w:trHeight w:val="20"/>
        </w:trPr>
        <w:tc>
          <w:tcPr>
            <w:tcW w:w="5850" w:type="dxa"/>
            <w:tcBorders>
              <w:bottom w:val="single" w:sz="4" w:space="0" w:color="auto"/>
            </w:tcBorders>
          </w:tcPr>
          <w:p w14:paraId="06A7CBC9" w14:textId="77777777" w:rsidR="00B13EAD" w:rsidRPr="00210A35" w:rsidRDefault="00B13EAD" w:rsidP="00B13EAD">
            <w:pPr>
              <w:spacing w:before="100" w:after="100"/>
              <w:contextualSpacing/>
              <w:rPr>
                <w:rFonts w:ascii="Arial" w:hAnsi="Arial" w:cs="Arial"/>
                <w:sz w:val="22"/>
                <w:szCs w:val="22"/>
                <w:lang w:val="es-HN"/>
              </w:rPr>
            </w:pPr>
            <w:r w:rsidRPr="00210A35">
              <w:rPr>
                <w:rFonts w:ascii="Arial" w:hAnsi="Arial" w:cs="Arial"/>
                <w:sz w:val="22"/>
                <w:szCs w:val="22"/>
                <w:lang w:val="es-HN"/>
              </w:rPr>
              <w:t xml:space="preserve">Coeficiente medio de Endeudamiento </w:t>
            </w:r>
          </w:p>
          <w:p w14:paraId="6E41879A" w14:textId="77777777" w:rsidR="00B13EAD" w:rsidRPr="00210A35" w:rsidRDefault="00B13EAD" w:rsidP="00B13EAD">
            <w:pPr>
              <w:spacing w:before="100" w:after="100"/>
              <w:contextualSpacing/>
              <w:rPr>
                <w:rFonts w:ascii="Arial" w:hAnsi="Arial" w:cs="Arial"/>
                <w:b/>
                <w:i/>
                <w:sz w:val="22"/>
                <w:szCs w:val="22"/>
                <w:lang w:val="es-HN"/>
              </w:rPr>
            </w:pPr>
            <w:r w:rsidRPr="00210A35">
              <w:rPr>
                <w:rFonts w:ascii="Arial" w:hAnsi="Arial" w:cs="Arial"/>
                <w:i/>
                <w:sz w:val="22"/>
                <w:szCs w:val="22"/>
                <w:lang w:val="es-HN"/>
              </w:rPr>
              <w:t xml:space="preserve">Igual o menor que </w:t>
            </w:r>
            <w:r w:rsidRPr="00210A35">
              <w:rPr>
                <w:rFonts w:ascii="Arial" w:hAnsi="Arial" w:cs="Arial"/>
                <w:i/>
                <w:sz w:val="22"/>
                <w:szCs w:val="22"/>
                <w:u w:val="single"/>
                <w:lang w:val="es-HN"/>
              </w:rPr>
              <w:t>0.70</w:t>
            </w:r>
            <w:r w:rsidRPr="00210A35">
              <w:rPr>
                <w:rFonts w:ascii="Arial" w:hAnsi="Arial" w:cs="Arial"/>
                <w:i/>
                <w:sz w:val="22"/>
                <w:szCs w:val="22"/>
                <w:lang w:val="es-HN"/>
              </w:rPr>
              <w:t>:</w:t>
            </w:r>
          </w:p>
          <w:p w14:paraId="35CC4598" w14:textId="77777777" w:rsidR="00C10A2C" w:rsidRPr="00210A35" w:rsidRDefault="00C10A2C" w:rsidP="00C10A2C">
            <w:pPr>
              <w:spacing w:before="100" w:after="100"/>
              <w:contextualSpacing/>
              <w:rPr>
                <w:rFonts w:ascii="Arial" w:hAnsi="Arial" w:cs="Arial"/>
                <w:sz w:val="22"/>
                <w:szCs w:val="22"/>
                <w:lang w:val="es-HN"/>
              </w:rPr>
            </w:pPr>
          </w:p>
          <w:p w14:paraId="78969D99"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Dónde: CE = TP/ TA</w:t>
            </w:r>
          </w:p>
          <w:p w14:paraId="4528FE6D"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CE = Coeficiente medio de Endeudamiento</w:t>
            </w:r>
          </w:p>
          <w:p w14:paraId="50B58193"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 xml:space="preserve">TP = Promedio del total del pasivo </w:t>
            </w:r>
          </w:p>
          <w:p w14:paraId="5E38C668" w14:textId="77777777" w:rsidR="00C10A2C" w:rsidRPr="00210A35" w:rsidRDefault="00C10A2C" w:rsidP="00C10A2C">
            <w:pPr>
              <w:spacing w:before="100" w:after="100"/>
              <w:contextualSpacing/>
              <w:rPr>
                <w:rFonts w:ascii="Arial" w:hAnsi="Arial" w:cs="Arial"/>
                <w:b/>
                <w:sz w:val="22"/>
                <w:szCs w:val="22"/>
                <w:lang w:val="es-HN"/>
              </w:rPr>
            </w:pPr>
            <w:r w:rsidRPr="00210A35">
              <w:rPr>
                <w:rFonts w:ascii="Arial" w:hAnsi="Arial" w:cs="Arial"/>
                <w:sz w:val="22"/>
                <w:szCs w:val="22"/>
                <w:lang w:val="es-HN"/>
              </w:rPr>
              <w:t xml:space="preserve">TA = Promedio del total del activo </w:t>
            </w:r>
          </w:p>
        </w:tc>
        <w:tc>
          <w:tcPr>
            <w:tcW w:w="1530" w:type="dxa"/>
            <w:tcBorders>
              <w:bottom w:val="single" w:sz="4" w:space="0" w:color="auto"/>
            </w:tcBorders>
            <w:vAlign w:val="center"/>
          </w:tcPr>
          <w:p w14:paraId="43207419" w14:textId="77777777" w:rsidR="00C10A2C" w:rsidRPr="00210A35" w:rsidRDefault="00C10A2C" w:rsidP="00C10A2C">
            <w:pPr>
              <w:tabs>
                <w:tab w:val="num" w:pos="175"/>
              </w:tabs>
              <w:spacing w:before="100" w:after="100"/>
              <w:ind w:left="33"/>
              <w:contextualSpacing/>
              <w:jc w:val="center"/>
              <w:rPr>
                <w:rFonts w:ascii="Arial" w:hAnsi="Arial" w:cs="Arial"/>
                <w:b/>
                <w:sz w:val="22"/>
                <w:szCs w:val="22"/>
                <w:lang w:val="es-HN"/>
              </w:rPr>
            </w:pPr>
            <w:r w:rsidRPr="00210A35">
              <w:rPr>
                <w:rFonts w:ascii="Arial" w:hAnsi="Arial" w:cs="Arial"/>
                <w:sz w:val="22"/>
                <w:szCs w:val="22"/>
                <w:lang w:val="es-HN"/>
              </w:rPr>
              <w:t>Cumple / No Cumple</w:t>
            </w:r>
          </w:p>
          <w:p w14:paraId="4F12C7A3" w14:textId="77777777" w:rsidR="00C10A2C" w:rsidRPr="00210A35" w:rsidRDefault="00C10A2C" w:rsidP="00C10A2C">
            <w:pPr>
              <w:tabs>
                <w:tab w:val="num" w:pos="142"/>
              </w:tabs>
              <w:spacing w:before="100" w:after="100"/>
              <w:ind w:left="-11" w:firstLine="11"/>
              <w:contextualSpacing/>
              <w:jc w:val="center"/>
              <w:rPr>
                <w:rFonts w:ascii="Arial" w:hAnsi="Arial" w:cs="Arial"/>
                <w:sz w:val="22"/>
                <w:szCs w:val="22"/>
                <w:lang w:val="es-HN"/>
              </w:rPr>
            </w:pPr>
          </w:p>
        </w:tc>
        <w:tc>
          <w:tcPr>
            <w:tcW w:w="1980" w:type="dxa"/>
            <w:vMerge/>
            <w:vAlign w:val="center"/>
          </w:tcPr>
          <w:p w14:paraId="1E8188EA" w14:textId="77777777" w:rsidR="00C10A2C" w:rsidRPr="002C6280" w:rsidRDefault="00C10A2C" w:rsidP="00C10A2C">
            <w:pPr>
              <w:spacing w:before="100" w:after="100"/>
              <w:contextualSpacing/>
              <w:rPr>
                <w:rFonts w:ascii="Arial" w:hAnsi="Arial" w:cs="Arial"/>
                <w:sz w:val="22"/>
                <w:szCs w:val="22"/>
                <w:lang w:val="es-HN"/>
              </w:rPr>
            </w:pPr>
          </w:p>
        </w:tc>
      </w:tr>
      <w:tr w:rsidR="00D62CF8" w:rsidRPr="002C6280" w14:paraId="19F98B1D" w14:textId="77777777" w:rsidTr="00882CB1">
        <w:trPr>
          <w:trHeight w:val="20"/>
        </w:trPr>
        <w:tc>
          <w:tcPr>
            <w:tcW w:w="9360" w:type="dxa"/>
            <w:gridSpan w:val="3"/>
            <w:tcBorders>
              <w:bottom w:val="single" w:sz="4" w:space="0" w:color="auto"/>
            </w:tcBorders>
            <w:shd w:val="clear" w:color="auto" w:fill="D9D9D9" w:themeFill="background1" w:themeFillShade="D9"/>
          </w:tcPr>
          <w:p w14:paraId="48CF8F39" w14:textId="77777777" w:rsidR="00B13EAD" w:rsidRPr="00210A35" w:rsidRDefault="00B13EAD" w:rsidP="00B13EAD">
            <w:pPr>
              <w:pStyle w:val="titulo"/>
              <w:numPr>
                <w:ilvl w:val="1"/>
                <w:numId w:val="113"/>
              </w:numPr>
              <w:spacing w:after="0"/>
              <w:ind w:right="-108"/>
              <w:jc w:val="left"/>
              <w:rPr>
                <w:rFonts w:ascii="Arial" w:hAnsi="Arial" w:cs="Arial"/>
                <w:b w:val="0"/>
                <w:sz w:val="22"/>
                <w:szCs w:val="22"/>
                <w:lang w:val="es-HN"/>
              </w:rPr>
            </w:pPr>
            <w:r w:rsidRPr="00210A35">
              <w:rPr>
                <w:rFonts w:ascii="Arial" w:hAnsi="Arial" w:cs="Arial"/>
                <w:sz w:val="22"/>
                <w:szCs w:val="22"/>
                <w:lang w:val="es-HN"/>
              </w:rPr>
              <w:t xml:space="preserve">Capacidad financiera: </w:t>
            </w:r>
          </w:p>
          <w:p w14:paraId="1FFBCD23" w14:textId="5DB64C15" w:rsidR="00D62CF8" w:rsidRPr="00210A35" w:rsidRDefault="00B13EAD" w:rsidP="00B13EAD">
            <w:pPr>
              <w:pStyle w:val="Prrafodelista"/>
              <w:spacing w:before="40" w:after="40"/>
              <w:ind w:left="360"/>
              <w:contextualSpacing/>
              <w:rPr>
                <w:rFonts w:ascii="Arial" w:hAnsi="Arial" w:cs="Arial"/>
                <w:color w:val="FF0000"/>
                <w:sz w:val="22"/>
                <w:szCs w:val="22"/>
                <w:lang w:val="es-HN"/>
              </w:rPr>
            </w:pPr>
            <w:r w:rsidRPr="00210A35">
              <w:rPr>
                <w:rFonts w:ascii="Arial" w:hAnsi="Arial" w:cs="Arial"/>
                <w:i/>
                <w:sz w:val="22"/>
                <w:szCs w:val="22"/>
              </w:rPr>
              <w:t>Las cifras correspondientes a cada uno de los integrantes de una APCA se sumarán a fin de determinar si el oferente cumple con los requisitos mínimos de calificación.</w:t>
            </w:r>
          </w:p>
        </w:tc>
      </w:tr>
      <w:tr w:rsidR="00D62CF8" w:rsidRPr="002C6280" w14:paraId="0D597BE8" w14:textId="77777777" w:rsidTr="002F7C0E">
        <w:trPr>
          <w:trHeight w:val="20"/>
        </w:trPr>
        <w:tc>
          <w:tcPr>
            <w:tcW w:w="5850" w:type="dxa"/>
            <w:tcBorders>
              <w:bottom w:val="single" w:sz="4" w:space="0" w:color="auto"/>
            </w:tcBorders>
            <w:shd w:val="clear" w:color="auto" w:fill="auto"/>
          </w:tcPr>
          <w:p w14:paraId="155A9162" w14:textId="77777777" w:rsidR="001860A5" w:rsidRPr="00210A35" w:rsidRDefault="001860A5" w:rsidP="001860A5">
            <w:pPr>
              <w:spacing w:before="100" w:after="100"/>
              <w:contextualSpacing/>
              <w:rPr>
                <w:rFonts w:ascii="Arial" w:hAnsi="Arial" w:cs="Arial"/>
                <w:sz w:val="22"/>
                <w:szCs w:val="22"/>
                <w:lang w:val="es-HN"/>
              </w:rPr>
            </w:pPr>
            <w:r w:rsidRPr="00210A35">
              <w:rPr>
                <w:rFonts w:ascii="Arial" w:hAnsi="Arial" w:cs="Arial"/>
                <w:sz w:val="22"/>
                <w:szCs w:val="22"/>
                <w:lang w:val="es-HN"/>
              </w:rPr>
              <w:t>Capital de trabajo del último año evaluado descontando anticipos contractuales y descontando los valores producto de suponer que todos los litigios pendientes se resolverán en contra del oferente</w:t>
            </w:r>
          </w:p>
          <w:p w14:paraId="4E8818C5" w14:textId="77777777" w:rsidR="001860A5" w:rsidRPr="00210A35" w:rsidRDefault="001860A5" w:rsidP="001860A5">
            <w:pPr>
              <w:spacing w:before="100" w:after="100"/>
              <w:contextualSpacing/>
              <w:rPr>
                <w:rFonts w:ascii="Arial" w:hAnsi="Arial" w:cs="Arial"/>
                <w:sz w:val="22"/>
                <w:szCs w:val="22"/>
                <w:lang w:val="es-HN"/>
              </w:rPr>
            </w:pPr>
            <w:r w:rsidRPr="00210A35">
              <w:rPr>
                <w:rFonts w:ascii="Arial" w:hAnsi="Arial" w:cs="Arial"/>
                <w:i/>
                <w:sz w:val="22"/>
                <w:szCs w:val="22"/>
                <w:lang w:val="es-HN"/>
              </w:rPr>
              <w:t>Mayor o igual a (*):</w:t>
            </w:r>
            <w:r w:rsidRPr="00210A35">
              <w:rPr>
                <w:rFonts w:ascii="Arial" w:hAnsi="Arial" w:cs="Arial"/>
                <w:sz w:val="22"/>
                <w:szCs w:val="22"/>
                <w:lang w:val="es-HN"/>
              </w:rPr>
              <w:t xml:space="preserve"> </w:t>
            </w:r>
          </w:p>
          <w:p w14:paraId="562B11EF" w14:textId="77777777" w:rsidR="001860A5" w:rsidRPr="00210A35" w:rsidRDefault="001860A5" w:rsidP="003B68DB">
            <w:pPr>
              <w:pStyle w:val="Prrafodelista"/>
              <w:numPr>
                <w:ilvl w:val="0"/>
                <w:numId w:val="114"/>
              </w:numPr>
              <w:rPr>
                <w:rFonts w:asciiTheme="minorHAnsi" w:hAnsiTheme="minorHAnsi"/>
                <w:b/>
                <w:sz w:val="22"/>
                <w:szCs w:val="22"/>
                <w:lang w:val="es-HN"/>
              </w:rPr>
            </w:pPr>
            <w:r w:rsidRPr="00210A35">
              <w:rPr>
                <w:rFonts w:asciiTheme="minorHAnsi" w:hAnsiTheme="minorHAnsi"/>
                <w:b/>
                <w:sz w:val="22"/>
                <w:szCs w:val="22"/>
                <w:lang w:val="es-HN"/>
              </w:rPr>
              <w:t>Para el Lote# 1: US$ 320,000.00 (Trecientos veinte mil dólares americanos)</w:t>
            </w:r>
          </w:p>
          <w:p w14:paraId="4D5BEBE5" w14:textId="77777777" w:rsidR="001860A5" w:rsidRPr="00210A35" w:rsidRDefault="00C42E51" w:rsidP="003B68DB">
            <w:pPr>
              <w:pStyle w:val="Prrafodelista"/>
              <w:numPr>
                <w:ilvl w:val="0"/>
                <w:numId w:val="114"/>
              </w:numPr>
              <w:rPr>
                <w:rFonts w:asciiTheme="minorHAnsi" w:hAnsiTheme="minorHAnsi"/>
                <w:b/>
                <w:sz w:val="22"/>
                <w:szCs w:val="22"/>
                <w:lang w:val="es-HN"/>
              </w:rPr>
            </w:pPr>
            <w:r w:rsidRPr="00210A35">
              <w:rPr>
                <w:rFonts w:asciiTheme="minorHAnsi" w:hAnsiTheme="minorHAnsi"/>
                <w:b/>
                <w:sz w:val="22"/>
                <w:szCs w:val="22"/>
                <w:lang w:val="es-HN"/>
              </w:rPr>
              <w:t>Para el Lote# 2: US$ 100,000.00 (Cien</w:t>
            </w:r>
            <w:r w:rsidR="001860A5" w:rsidRPr="00210A35">
              <w:rPr>
                <w:rFonts w:asciiTheme="minorHAnsi" w:hAnsiTheme="minorHAnsi"/>
                <w:b/>
                <w:sz w:val="22"/>
                <w:szCs w:val="22"/>
                <w:lang w:val="es-HN"/>
              </w:rPr>
              <w:t xml:space="preserve"> mil dólares americanos)</w:t>
            </w:r>
          </w:p>
          <w:p w14:paraId="5A758383" w14:textId="77777777" w:rsidR="001860A5" w:rsidRPr="00210A35" w:rsidRDefault="00C42E51" w:rsidP="003B68DB">
            <w:pPr>
              <w:pStyle w:val="Prrafodelista"/>
              <w:numPr>
                <w:ilvl w:val="0"/>
                <w:numId w:val="114"/>
              </w:numPr>
              <w:rPr>
                <w:rFonts w:asciiTheme="minorHAnsi" w:hAnsiTheme="minorHAnsi"/>
                <w:b/>
                <w:sz w:val="22"/>
                <w:szCs w:val="22"/>
                <w:lang w:val="es-HN"/>
              </w:rPr>
            </w:pPr>
            <w:r w:rsidRPr="00210A35">
              <w:rPr>
                <w:rFonts w:asciiTheme="minorHAnsi" w:hAnsiTheme="minorHAnsi"/>
                <w:b/>
                <w:sz w:val="22"/>
                <w:szCs w:val="22"/>
                <w:lang w:val="es-HN"/>
              </w:rPr>
              <w:t>Para el Lote# 3</w:t>
            </w:r>
            <w:r w:rsidR="001860A5" w:rsidRPr="00210A35">
              <w:rPr>
                <w:rFonts w:asciiTheme="minorHAnsi" w:hAnsiTheme="minorHAnsi"/>
                <w:b/>
                <w:sz w:val="22"/>
                <w:szCs w:val="22"/>
                <w:lang w:val="es-HN"/>
              </w:rPr>
              <w:t xml:space="preserve">: US$ </w:t>
            </w:r>
            <w:r w:rsidR="0020603A" w:rsidRPr="00210A35">
              <w:rPr>
                <w:rFonts w:asciiTheme="minorHAnsi" w:hAnsiTheme="minorHAnsi"/>
                <w:b/>
                <w:sz w:val="22"/>
                <w:szCs w:val="22"/>
                <w:lang w:val="es-HN"/>
              </w:rPr>
              <w:t>200,000.00</w:t>
            </w:r>
            <w:r w:rsidR="0020603A" w:rsidRPr="00210A35">
              <w:rPr>
                <w:rFonts w:ascii="Calibri" w:hAnsi="Calibri" w:cs="Calibri"/>
                <w:color w:val="000000"/>
                <w:sz w:val="20"/>
                <w:lang w:val="es-MX" w:eastAsia="es-MX"/>
              </w:rPr>
              <w:t xml:space="preserve"> </w:t>
            </w:r>
            <w:r w:rsidR="001860A5" w:rsidRPr="00210A35">
              <w:rPr>
                <w:rFonts w:asciiTheme="minorHAnsi" w:hAnsiTheme="minorHAnsi"/>
                <w:b/>
                <w:sz w:val="22"/>
                <w:szCs w:val="22"/>
                <w:lang w:val="es-HN"/>
              </w:rPr>
              <w:t>(</w:t>
            </w:r>
            <w:r w:rsidR="0020603A" w:rsidRPr="00210A35">
              <w:rPr>
                <w:rFonts w:asciiTheme="minorHAnsi" w:hAnsiTheme="minorHAnsi"/>
                <w:b/>
                <w:sz w:val="22"/>
                <w:szCs w:val="22"/>
                <w:lang w:val="es-HN"/>
              </w:rPr>
              <w:t>doscientos</w:t>
            </w:r>
            <w:r w:rsidR="001860A5" w:rsidRPr="00210A35">
              <w:rPr>
                <w:rFonts w:asciiTheme="minorHAnsi" w:hAnsiTheme="minorHAnsi"/>
                <w:b/>
                <w:sz w:val="22"/>
                <w:szCs w:val="22"/>
                <w:lang w:val="es-HN"/>
              </w:rPr>
              <w:t xml:space="preserve"> mil dólares americanos)</w:t>
            </w:r>
          </w:p>
          <w:p w14:paraId="694311D4" w14:textId="77777777" w:rsidR="0020603A" w:rsidRPr="00210A35" w:rsidRDefault="0020603A" w:rsidP="003B68DB">
            <w:pPr>
              <w:pStyle w:val="Prrafodelista"/>
              <w:numPr>
                <w:ilvl w:val="0"/>
                <w:numId w:val="114"/>
              </w:numPr>
              <w:rPr>
                <w:rFonts w:asciiTheme="minorHAnsi" w:hAnsiTheme="minorHAnsi"/>
                <w:b/>
                <w:sz w:val="22"/>
                <w:szCs w:val="22"/>
                <w:lang w:val="es-HN"/>
              </w:rPr>
            </w:pPr>
            <w:r w:rsidRPr="00210A35">
              <w:rPr>
                <w:rFonts w:asciiTheme="minorHAnsi" w:hAnsiTheme="minorHAnsi"/>
                <w:b/>
                <w:sz w:val="22"/>
                <w:szCs w:val="22"/>
                <w:lang w:val="es-HN"/>
              </w:rPr>
              <w:lastRenderedPageBreak/>
              <w:t xml:space="preserve">Para el Lote# 4: US$ </w:t>
            </w:r>
            <w:r w:rsidR="00A33DEC" w:rsidRPr="00210A35">
              <w:rPr>
                <w:rFonts w:asciiTheme="minorHAnsi" w:hAnsiTheme="minorHAnsi"/>
                <w:b/>
                <w:sz w:val="22"/>
                <w:szCs w:val="22"/>
                <w:lang w:val="es-HN"/>
              </w:rPr>
              <w:t>23</w:t>
            </w:r>
            <w:r w:rsidRPr="00210A35">
              <w:rPr>
                <w:rFonts w:asciiTheme="minorHAnsi" w:hAnsiTheme="minorHAnsi"/>
                <w:b/>
                <w:sz w:val="22"/>
                <w:szCs w:val="22"/>
                <w:lang w:val="es-HN"/>
              </w:rPr>
              <w:t>0,000.00</w:t>
            </w:r>
            <w:r w:rsidRPr="00210A35">
              <w:rPr>
                <w:rFonts w:ascii="Calibri" w:hAnsi="Calibri" w:cs="Calibri"/>
                <w:color w:val="000000"/>
                <w:sz w:val="20"/>
                <w:lang w:val="es-MX" w:eastAsia="es-MX"/>
              </w:rPr>
              <w:t xml:space="preserve"> </w:t>
            </w:r>
            <w:r w:rsidRPr="00210A35">
              <w:rPr>
                <w:rFonts w:asciiTheme="minorHAnsi" w:hAnsiTheme="minorHAnsi"/>
                <w:b/>
                <w:sz w:val="22"/>
                <w:szCs w:val="22"/>
                <w:lang w:val="es-HN"/>
              </w:rPr>
              <w:t>(doscientos</w:t>
            </w:r>
            <w:r w:rsidR="00A33DEC" w:rsidRPr="00210A35">
              <w:rPr>
                <w:rFonts w:asciiTheme="minorHAnsi" w:hAnsiTheme="minorHAnsi"/>
                <w:b/>
                <w:sz w:val="22"/>
                <w:szCs w:val="22"/>
                <w:lang w:val="es-HN"/>
              </w:rPr>
              <w:t xml:space="preserve"> treinta</w:t>
            </w:r>
            <w:r w:rsidRPr="00210A35">
              <w:rPr>
                <w:rFonts w:asciiTheme="minorHAnsi" w:hAnsiTheme="minorHAnsi"/>
                <w:b/>
                <w:sz w:val="22"/>
                <w:szCs w:val="22"/>
                <w:lang w:val="es-HN"/>
              </w:rPr>
              <w:t xml:space="preserve"> mil dólares americanos)</w:t>
            </w:r>
          </w:p>
          <w:p w14:paraId="4D0FD8AB" w14:textId="77777777" w:rsidR="001860A5" w:rsidRPr="00210A35" w:rsidRDefault="001860A5" w:rsidP="001860A5">
            <w:pPr>
              <w:rPr>
                <w:rFonts w:asciiTheme="minorHAnsi" w:hAnsiTheme="minorHAnsi"/>
                <w:b/>
                <w:sz w:val="22"/>
                <w:szCs w:val="22"/>
                <w:lang w:val="es-HN"/>
              </w:rPr>
            </w:pPr>
          </w:p>
          <w:p w14:paraId="73F7EC1D" w14:textId="77777777" w:rsidR="001860A5" w:rsidRPr="00210A35" w:rsidRDefault="001860A5" w:rsidP="001860A5">
            <w:pPr>
              <w:rPr>
                <w:rFonts w:ascii="Calibri" w:hAnsi="Calibri"/>
                <w:sz w:val="22"/>
                <w:szCs w:val="22"/>
                <w:lang w:val="es-HN"/>
              </w:rPr>
            </w:pPr>
            <w:r w:rsidRPr="00210A35">
              <w:rPr>
                <w:rFonts w:ascii="Calibri" w:hAnsi="Calibri"/>
                <w:sz w:val="22"/>
                <w:szCs w:val="22"/>
                <w:lang w:val="es-HN"/>
              </w:rPr>
              <w:t xml:space="preserve">Dónde:   </w:t>
            </w:r>
            <w:r w:rsidRPr="00210A35">
              <w:rPr>
                <w:rFonts w:ascii="Calibri" w:hAnsi="Calibri"/>
                <w:b/>
                <w:sz w:val="22"/>
                <w:szCs w:val="22"/>
                <w:lang w:val="es-HN"/>
              </w:rPr>
              <w:t>CT = AC+LC - PC</w:t>
            </w:r>
          </w:p>
          <w:p w14:paraId="092A0621" w14:textId="77777777" w:rsidR="001860A5" w:rsidRPr="00210A35" w:rsidRDefault="001860A5" w:rsidP="001860A5">
            <w:pPr>
              <w:rPr>
                <w:rFonts w:ascii="Calibri" w:hAnsi="Calibri"/>
                <w:sz w:val="22"/>
                <w:szCs w:val="22"/>
                <w:lang w:val="es-HN"/>
              </w:rPr>
            </w:pPr>
            <w:r w:rsidRPr="00210A35">
              <w:rPr>
                <w:rFonts w:ascii="Calibri" w:hAnsi="Calibri"/>
                <w:sz w:val="22"/>
                <w:szCs w:val="22"/>
                <w:lang w:val="es-HN"/>
              </w:rPr>
              <w:t>AC: Activo circulante</w:t>
            </w:r>
          </w:p>
          <w:p w14:paraId="2C39E18D" w14:textId="77777777" w:rsidR="001860A5" w:rsidRPr="00210A35" w:rsidRDefault="001860A5" w:rsidP="001860A5">
            <w:pPr>
              <w:rPr>
                <w:rFonts w:ascii="Calibri" w:hAnsi="Calibri"/>
                <w:sz w:val="22"/>
                <w:szCs w:val="22"/>
                <w:lang w:val="es-HN"/>
              </w:rPr>
            </w:pPr>
            <w:r w:rsidRPr="00210A35">
              <w:rPr>
                <w:rFonts w:ascii="Calibri" w:hAnsi="Calibri"/>
                <w:sz w:val="22"/>
                <w:szCs w:val="22"/>
                <w:lang w:val="es-HN"/>
              </w:rPr>
              <w:t>PC: Pasivo Circulante</w:t>
            </w:r>
          </w:p>
          <w:p w14:paraId="438EB597" w14:textId="77777777" w:rsidR="001860A5" w:rsidRPr="00210A35" w:rsidRDefault="001860A5" w:rsidP="001860A5">
            <w:pPr>
              <w:rPr>
                <w:rFonts w:asciiTheme="minorHAnsi" w:hAnsiTheme="minorHAnsi"/>
                <w:b/>
                <w:sz w:val="22"/>
                <w:szCs w:val="22"/>
                <w:lang w:val="es-HN"/>
              </w:rPr>
            </w:pPr>
            <w:r w:rsidRPr="00210A35">
              <w:rPr>
                <w:rFonts w:ascii="Calibri" w:hAnsi="Calibri"/>
                <w:sz w:val="22"/>
                <w:szCs w:val="22"/>
                <w:lang w:val="es-HN"/>
              </w:rPr>
              <w:t xml:space="preserve">LC: Monto disponible en </w:t>
            </w:r>
            <w:r w:rsidRPr="00210A35">
              <w:rPr>
                <w:rFonts w:ascii="Calibri" w:hAnsi="Calibri" w:cs="Calibri"/>
                <w:sz w:val="22"/>
                <w:szCs w:val="22"/>
                <w:lang w:val="es-HN"/>
              </w:rPr>
              <w:t>líneas de crédito emitidas por instituciones bancarias o proveedores</w:t>
            </w:r>
          </w:p>
          <w:p w14:paraId="54D933C0" w14:textId="77777777" w:rsidR="00D62CF8" w:rsidRPr="00210A35" w:rsidRDefault="00D62CF8" w:rsidP="000C6174">
            <w:pPr>
              <w:spacing w:before="100" w:after="100"/>
              <w:contextualSpacing/>
              <w:rPr>
                <w:rFonts w:ascii="Arial" w:hAnsi="Arial" w:cs="Arial"/>
                <w:i/>
                <w:color w:val="FF0000"/>
                <w:sz w:val="22"/>
                <w:szCs w:val="22"/>
                <w:lang w:val="es-HN"/>
              </w:rPr>
            </w:pPr>
          </w:p>
        </w:tc>
        <w:tc>
          <w:tcPr>
            <w:tcW w:w="1530" w:type="dxa"/>
            <w:tcBorders>
              <w:bottom w:val="single" w:sz="4" w:space="0" w:color="auto"/>
            </w:tcBorders>
            <w:shd w:val="clear" w:color="auto" w:fill="auto"/>
            <w:vAlign w:val="center"/>
          </w:tcPr>
          <w:p w14:paraId="2BA33B0C" w14:textId="77777777" w:rsidR="00D62CF8" w:rsidRPr="00210A35" w:rsidRDefault="00D62CF8" w:rsidP="000C6174">
            <w:pPr>
              <w:spacing w:before="100" w:after="100"/>
              <w:ind w:left="-107"/>
              <w:contextualSpacing/>
              <w:jc w:val="center"/>
              <w:rPr>
                <w:rFonts w:ascii="Arial" w:hAnsi="Arial" w:cs="Arial"/>
                <w:b/>
                <w:color w:val="FF0000"/>
                <w:sz w:val="22"/>
                <w:szCs w:val="22"/>
                <w:lang w:val="es-HN"/>
              </w:rPr>
            </w:pPr>
            <w:r w:rsidRPr="00210A35">
              <w:rPr>
                <w:rFonts w:ascii="Arial" w:hAnsi="Arial" w:cs="Arial"/>
                <w:color w:val="FF0000"/>
                <w:sz w:val="22"/>
                <w:szCs w:val="22"/>
                <w:lang w:val="es-HN"/>
              </w:rPr>
              <w:lastRenderedPageBreak/>
              <w:t xml:space="preserve"> </w:t>
            </w:r>
            <w:r w:rsidRPr="00210A35">
              <w:rPr>
                <w:rFonts w:ascii="Arial" w:hAnsi="Arial" w:cs="Arial"/>
                <w:sz w:val="22"/>
                <w:szCs w:val="22"/>
                <w:lang w:val="es-HN"/>
              </w:rPr>
              <w:t>Cumple / No Cumple</w:t>
            </w:r>
          </w:p>
        </w:tc>
        <w:tc>
          <w:tcPr>
            <w:tcW w:w="1980" w:type="dxa"/>
            <w:tcBorders>
              <w:bottom w:val="single" w:sz="4" w:space="0" w:color="auto"/>
            </w:tcBorders>
            <w:vAlign w:val="center"/>
          </w:tcPr>
          <w:p w14:paraId="301CFD39" w14:textId="77777777" w:rsidR="00D62CF8" w:rsidRPr="002C6280" w:rsidRDefault="00D62CF8" w:rsidP="000C6174">
            <w:pPr>
              <w:spacing w:before="100" w:after="100"/>
              <w:contextualSpacing/>
              <w:jc w:val="center"/>
              <w:rPr>
                <w:rFonts w:ascii="Arial" w:hAnsi="Arial" w:cs="Arial"/>
                <w:sz w:val="22"/>
                <w:szCs w:val="22"/>
                <w:lang w:val="es-HN"/>
              </w:rPr>
            </w:pPr>
            <w:r w:rsidRPr="002C6280">
              <w:rPr>
                <w:rFonts w:ascii="Arial" w:hAnsi="Arial" w:cs="Arial"/>
                <w:sz w:val="22"/>
                <w:szCs w:val="22"/>
                <w:lang w:val="es-HN"/>
              </w:rPr>
              <w:t>Formulario FIN-3</w:t>
            </w:r>
          </w:p>
          <w:p w14:paraId="632B4095" w14:textId="77777777" w:rsidR="00D62CF8" w:rsidRPr="002C6280" w:rsidRDefault="00D62CF8" w:rsidP="000C6174">
            <w:pPr>
              <w:spacing w:before="100" w:after="100"/>
              <w:contextualSpacing/>
              <w:jc w:val="center"/>
              <w:rPr>
                <w:rFonts w:ascii="Arial" w:hAnsi="Arial" w:cs="Arial"/>
                <w:sz w:val="22"/>
                <w:szCs w:val="22"/>
                <w:lang w:val="es-HN"/>
              </w:rPr>
            </w:pPr>
            <w:r w:rsidRPr="002C6280">
              <w:rPr>
                <w:rFonts w:ascii="Arial" w:hAnsi="Arial" w:cs="Arial"/>
                <w:sz w:val="22"/>
                <w:szCs w:val="22"/>
                <w:lang w:val="es-HN"/>
              </w:rPr>
              <w:t>con sus respectivos anexos</w:t>
            </w:r>
          </w:p>
        </w:tc>
      </w:tr>
    </w:tbl>
    <w:p w14:paraId="3CF33CB6" w14:textId="77777777" w:rsidR="001860A5" w:rsidRPr="00344818" w:rsidRDefault="001860A5" w:rsidP="001860A5">
      <w:pPr>
        <w:spacing w:before="100" w:after="100"/>
        <w:ind w:left="540" w:firstLine="27"/>
        <w:rPr>
          <w:rFonts w:ascii="Arial" w:hAnsi="Arial" w:cs="Arial"/>
          <w:color w:val="FF0000"/>
          <w:sz w:val="22"/>
          <w:szCs w:val="22"/>
          <w:lang w:val="es-HN"/>
        </w:rPr>
      </w:pPr>
      <w:r w:rsidRPr="00AD368C">
        <w:rPr>
          <w:rFonts w:ascii="Arial" w:hAnsi="Arial" w:cs="Arial"/>
          <w:b/>
          <w:sz w:val="22"/>
          <w:szCs w:val="22"/>
          <w:u w:val="single"/>
        </w:rPr>
        <w:lastRenderedPageBreak/>
        <w:t xml:space="preserve">Para efecto de dicha evaluación, un oferente podrá aplicar a varios lotes; sin embargo, por cada lote evaluado se irá disminuyendo </w:t>
      </w:r>
      <w:r w:rsidR="003E4826" w:rsidRPr="00AD368C">
        <w:rPr>
          <w:rFonts w:ascii="Arial" w:hAnsi="Arial" w:cs="Arial"/>
          <w:b/>
          <w:sz w:val="22"/>
          <w:szCs w:val="22"/>
          <w:u w:val="single"/>
        </w:rPr>
        <w:t xml:space="preserve">el monto disponible </w:t>
      </w:r>
      <w:r w:rsidRPr="00AD368C">
        <w:rPr>
          <w:rFonts w:ascii="Arial" w:hAnsi="Arial" w:cs="Arial"/>
          <w:b/>
          <w:sz w:val="22"/>
          <w:szCs w:val="22"/>
          <w:u w:val="single"/>
        </w:rPr>
        <w:t>del capital de trabajo necesario para aplicar a otros Lotes y/o procesos</w:t>
      </w:r>
      <w:r w:rsidR="003E4826" w:rsidRPr="00AD368C">
        <w:rPr>
          <w:rFonts w:ascii="Arial" w:hAnsi="Arial" w:cs="Arial"/>
          <w:b/>
          <w:sz w:val="22"/>
          <w:szCs w:val="22"/>
          <w:u w:val="single"/>
        </w:rPr>
        <w:t xml:space="preserve"> que se estén desarrollando en paralelo</w:t>
      </w:r>
      <w:r w:rsidRPr="00AD368C">
        <w:rPr>
          <w:rFonts w:ascii="Arial" w:hAnsi="Arial" w:cs="Arial"/>
          <w:sz w:val="22"/>
          <w:szCs w:val="22"/>
        </w:rPr>
        <w:t>.</w:t>
      </w:r>
    </w:p>
    <w:p w14:paraId="5A6CEC41" w14:textId="77777777" w:rsidR="00D62CF8" w:rsidRPr="002C6280" w:rsidRDefault="00D62CF8" w:rsidP="001860A5">
      <w:pPr>
        <w:spacing w:before="100" w:after="100"/>
        <w:rPr>
          <w:rFonts w:ascii="Arial" w:hAnsi="Arial" w:cs="Arial"/>
          <w:color w:val="FF0000"/>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2C6280" w14:paraId="4D7258CD" w14:textId="77777777" w:rsidTr="00387122">
        <w:trPr>
          <w:trHeight w:val="470"/>
          <w:tblHeader/>
        </w:trPr>
        <w:tc>
          <w:tcPr>
            <w:tcW w:w="9360" w:type="dxa"/>
            <w:gridSpan w:val="3"/>
            <w:shd w:val="clear" w:color="auto" w:fill="002060"/>
          </w:tcPr>
          <w:p w14:paraId="1FB06729" w14:textId="77777777" w:rsidR="00D62CF8" w:rsidRPr="00387122" w:rsidRDefault="00D62CF8" w:rsidP="00387122">
            <w:pPr>
              <w:spacing w:before="120" w:after="120"/>
              <w:rPr>
                <w:rFonts w:ascii="Arial" w:hAnsi="Arial" w:cs="Arial"/>
                <w:b/>
                <w:color w:val="FFFFFF" w:themeColor="background1"/>
                <w:sz w:val="22"/>
                <w:szCs w:val="22"/>
                <w:lang w:val="es-HN"/>
              </w:rPr>
            </w:pPr>
            <w:r w:rsidRPr="00387122">
              <w:rPr>
                <w:rFonts w:ascii="Arial" w:hAnsi="Arial" w:cs="Arial"/>
                <w:b/>
                <w:color w:val="FFFFFF" w:themeColor="background1"/>
                <w:sz w:val="22"/>
                <w:szCs w:val="22"/>
                <w:lang w:val="es-HN"/>
              </w:rPr>
              <w:t>Criterio 3:    Antecedentes de contratación</w:t>
            </w:r>
          </w:p>
        </w:tc>
      </w:tr>
      <w:tr w:rsidR="006B4D0C" w:rsidRPr="002C6280" w14:paraId="51D3E231" w14:textId="77777777" w:rsidTr="005A5CFE">
        <w:trPr>
          <w:trHeight w:val="332"/>
          <w:tblHeader/>
        </w:trPr>
        <w:tc>
          <w:tcPr>
            <w:tcW w:w="9360" w:type="dxa"/>
            <w:gridSpan w:val="3"/>
            <w:shd w:val="clear" w:color="auto" w:fill="auto"/>
            <w:vAlign w:val="center"/>
          </w:tcPr>
          <w:p w14:paraId="36C58032" w14:textId="618FC02E" w:rsidR="006B4D0C" w:rsidRPr="001860A5" w:rsidRDefault="006B4D0C" w:rsidP="006B4D0C">
            <w:pPr>
              <w:pStyle w:val="Prrafodelista"/>
              <w:numPr>
                <w:ilvl w:val="0"/>
                <w:numId w:val="52"/>
              </w:numPr>
              <w:ind w:left="567" w:right="327" w:hanging="283"/>
              <w:rPr>
                <w:rFonts w:ascii="Arial" w:hAnsi="Arial" w:cs="Arial"/>
                <w:i/>
                <w:color w:val="FF0000"/>
                <w:sz w:val="22"/>
                <w:szCs w:val="22"/>
              </w:rPr>
            </w:pPr>
            <w:r w:rsidRPr="00E8097D">
              <w:rPr>
                <w:rFonts w:ascii="Arial" w:hAnsi="Arial" w:cs="Arial"/>
                <w:i/>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6B4D0C" w:rsidRPr="002C6280" w14:paraId="484278B3" w14:textId="77777777" w:rsidTr="00882CB1">
        <w:trPr>
          <w:trHeight w:val="332"/>
          <w:tblHeader/>
        </w:trPr>
        <w:tc>
          <w:tcPr>
            <w:tcW w:w="5850" w:type="dxa"/>
            <w:shd w:val="clear" w:color="auto" w:fill="00B050"/>
            <w:vAlign w:val="center"/>
          </w:tcPr>
          <w:p w14:paraId="48995E72" w14:textId="77777777" w:rsidR="006B4D0C" w:rsidRPr="00882CB1" w:rsidRDefault="006B4D0C" w:rsidP="006B4D0C">
            <w:pPr>
              <w:pStyle w:val="titulo"/>
              <w:spacing w:after="0"/>
              <w:ind w:left="540" w:right="74"/>
              <w:rPr>
                <w:rFonts w:ascii="Arial" w:hAnsi="Arial" w:cs="Arial"/>
                <w:color w:val="FFFFFF" w:themeColor="background1"/>
                <w:sz w:val="22"/>
                <w:szCs w:val="22"/>
                <w:lang w:val="es-HN"/>
              </w:rPr>
            </w:pPr>
            <w:r w:rsidRPr="00882CB1">
              <w:rPr>
                <w:rFonts w:ascii="Arial" w:hAnsi="Arial" w:cs="Arial"/>
                <w:color w:val="FFFFFF" w:themeColor="background1"/>
                <w:sz w:val="22"/>
                <w:szCs w:val="22"/>
                <w:lang w:val="es-HN"/>
              </w:rPr>
              <w:t>Requisito</w:t>
            </w:r>
          </w:p>
        </w:tc>
        <w:tc>
          <w:tcPr>
            <w:tcW w:w="1530" w:type="dxa"/>
            <w:shd w:val="clear" w:color="auto" w:fill="00B050"/>
            <w:vAlign w:val="center"/>
          </w:tcPr>
          <w:p w14:paraId="3EC923CA" w14:textId="77777777" w:rsidR="006B4D0C" w:rsidRPr="00882CB1" w:rsidRDefault="006B4D0C" w:rsidP="006B4D0C">
            <w:pPr>
              <w:ind w:left="-23" w:right="74"/>
              <w:jc w:val="center"/>
              <w:rPr>
                <w:rFonts w:ascii="Arial" w:hAnsi="Arial" w:cs="Arial"/>
                <w:b/>
                <w:color w:val="FFFFFF" w:themeColor="background1"/>
                <w:sz w:val="22"/>
                <w:szCs w:val="22"/>
                <w:lang w:val="es-HN"/>
              </w:rPr>
            </w:pPr>
            <w:r w:rsidRPr="00882CB1">
              <w:rPr>
                <w:rFonts w:ascii="Arial" w:hAnsi="Arial" w:cs="Arial"/>
                <w:b/>
                <w:color w:val="FFFFFF" w:themeColor="background1"/>
                <w:sz w:val="22"/>
                <w:szCs w:val="22"/>
                <w:lang w:val="es-HN"/>
              </w:rPr>
              <w:t>Evaluación</w:t>
            </w:r>
          </w:p>
        </w:tc>
        <w:tc>
          <w:tcPr>
            <w:tcW w:w="1980" w:type="dxa"/>
            <w:shd w:val="clear" w:color="auto" w:fill="00B050"/>
            <w:vAlign w:val="center"/>
          </w:tcPr>
          <w:p w14:paraId="456ED732" w14:textId="77777777" w:rsidR="006B4D0C" w:rsidRPr="00882CB1" w:rsidRDefault="006B4D0C" w:rsidP="006B4D0C">
            <w:pPr>
              <w:pStyle w:val="titulo"/>
              <w:spacing w:after="0"/>
              <w:ind w:right="-102"/>
              <w:rPr>
                <w:rFonts w:ascii="Arial" w:hAnsi="Arial" w:cs="Arial"/>
                <w:color w:val="FFFFFF" w:themeColor="background1"/>
                <w:sz w:val="22"/>
                <w:szCs w:val="22"/>
                <w:lang w:val="es-HN"/>
              </w:rPr>
            </w:pPr>
            <w:r w:rsidRPr="00882CB1">
              <w:rPr>
                <w:rFonts w:ascii="Arial" w:hAnsi="Arial" w:cs="Arial"/>
                <w:color w:val="FFFFFF" w:themeColor="background1"/>
                <w:sz w:val="22"/>
                <w:szCs w:val="22"/>
                <w:lang w:val="es-HN"/>
              </w:rPr>
              <w:t>Documentación requerida</w:t>
            </w:r>
          </w:p>
        </w:tc>
      </w:tr>
      <w:tr w:rsidR="006B4D0C" w:rsidRPr="002C6280" w14:paraId="79D8F0DC" w14:textId="77777777" w:rsidTr="002F7C0E">
        <w:trPr>
          <w:trHeight w:val="393"/>
        </w:trPr>
        <w:tc>
          <w:tcPr>
            <w:tcW w:w="5850" w:type="dxa"/>
            <w:tcBorders>
              <w:bottom w:val="single" w:sz="4" w:space="0" w:color="auto"/>
            </w:tcBorders>
            <w:shd w:val="clear" w:color="auto" w:fill="auto"/>
          </w:tcPr>
          <w:p w14:paraId="391D3535" w14:textId="77777777" w:rsidR="006B4D0C" w:rsidRDefault="006B4D0C" w:rsidP="006B4D0C">
            <w:pPr>
              <w:spacing w:before="100" w:beforeAutospacing="1"/>
              <w:rPr>
                <w:rFonts w:ascii="Arial" w:hAnsi="Arial" w:cs="Arial"/>
                <w:i/>
                <w:sz w:val="22"/>
                <w:szCs w:val="22"/>
                <w:lang w:val="es-HN"/>
              </w:rPr>
            </w:pPr>
            <w:r w:rsidRPr="00344818">
              <w:rPr>
                <w:rFonts w:ascii="Arial" w:hAnsi="Arial" w:cs="Arial"/>
                <w:sz w:val="22"/>
                <w:szCs w:val="22"/>
                <w:lang w:val="es-HN"/>
              </w:rPr>
              <w:t xml:space="preserve">Facturación anual media </w:t>
            </w:r>
            <w:r w:rsidRPr="00344818">
              <w:rPr>
                <w:rFonts w:ascii="Arial" w:hAnsi="Arial" w:cs="Arial"/>
                <w:i/>
                <w:color w:val="FF0000"/>
                <w:sz w:val="22"/>
                <w:szCs w:val="22"/>
                <w:lang w:val="es-HN"/>
              </w:rPr>
              <w:t xml:space="preserve">(**) </w:t>
            </w:r>
            <w:r w:rsidRPr="00344818">
              <w:rPr>
                <w:rFonts w:ascii="Arial" w:hAnsi="Arial" w:cs="Arial"/>
                <w:i/>
                <w:sz w:val="22"/>
                <w:szCs w:val="22"/>
                <w:lang w:val="es-HN"/>
              </w:rPr>
              <w:t xml:space="preserve">igual o mayor que </w:t>
            </w:r>
          </w:p>
          <w:p w14:paraId="308F055A" w14:textId="77777777" w:rsidR="006B4D0C" w:rsidRPr="00BA77FC" w:rsidRDefault="006B4D0C" w:rsidP="006B4D0C">
            <w:pPr>
              <w:pStyle w:val="Prrafodelista"/>
              <w:rPr>
                <w:rFonts w:asciiTheme="minorHAnsi" w:hAnsiTheme="minorHAnsi"/>
                <w:b/>
                <w:sz w:val="22"/>
                <w:szCs w:val="22"/>
                <w:lang w:val="es-HN"/>
              </w:rPr>
            </w:pPr>
          </w:p>
          <w:p w14:paraId="79CD1207" w14:textId="77777777" w:rsidR="006B4D0C" w:rsidRPr="00BA77FC" w:rsidRDefault="006B4D0C" w:rsidP="006B4D0C">
            <w:pPr>
              <w:pStyle w:val="Prrafodelista"/>
              <w:numPr>
                <w:ilvl w:val="0"/>
                <w:numId w:val="114"/>
              </w:numPr>
              <w:rPr>
                <w:rFonts w:asciiTheme="minorHAnsi" w:hAnsiTheme="minorHAnsi"/>
                <w:b/>
                <w:sz w:val="22"/>
                <w:szCs w:val="22"/>
                <w:lang w:val="es-HN"/>
              </w:rPr>
            </w:pPr>
            <w:r w:rsidRPr="00BA77FC">
              <w:rPr>
                <w:rFonts w:asciiTheme="minorHAnsi" w:hAnsiTheme="minorHAnsi"/>
                <w:b/>
                <w:sz w:val="22"/>
                <w:szCs w:val="22"/>
                <w:lang w:val="es-HN"/>
              </w:rPr>
              <w:t>Para el Lote# 1: US$ 580,000.00 (quinientos ochenta mil dólares americanos)</w:t>
            </w:r>
          </w:p>
          <w:p w14:paraId="4B39898F" w14:textId="77777777" w:rsidR="006B4D0C" w:rsidRPr="00BA77FC" w:rsidRDefault="006B4D0C" w:rsidP="006B4D0C">
            <w:pPr>
              <w:pStyle w:val="Prrafodelista"/>
              <w:numPr>
                <w:ilvl w:val="0"/>
                <w:numId w:val="114"/>
              </w:numPr>
              <w:rPr>
                <w:rFonts w:asciiTheme="minorHAnsi" w:hAnsiTheme="minorHAnsi"/>
                <w:b/>
                <w:sz w:val="22"/>
                <w:szCs w:val="22"/>
                <w:lang w:val="es-HN"/>
              </w:rPr>
            </w:pPr>
            <w:r w:rsidRPr="00BA77FC">
              <w:rPr>
                <w:rFonts w:asciiTheme="minorHAnsi" w:hAnsiTheme="minorHAnsi"/>
                <w:b/>
                <w:sz w:val="22"/>
                <w:szCs w:val="22"/>
                <w:lang w:val="es-HN"/>
              </w:rPr>
              <w:t>Para el Lote# 2: US$ 190,000.00 (ciento noventa mil dólares americanos)</w:t>
            </w:r>
          </w:p>
          <w:p w14:paraId="795F05E4" w14:textId="77777777" w:rsidR="006B4D0C" w:rsidRPr="00BA77FC" w:rsidRDefault="006B4D0C" w:rsidP="006B4D0C">
            <w:pPr>
              <w:pStyle w:val="Prrafodelista"/>
              <w:numPr>
                <w:ilvl w:val="0"/>
                <w:numId w:val="114"/>
              </w:numPr>
              <w:rPr>
                <w:rFonts w:asciiTheme="minorHAnsi" w:hAnsiTheme="minorHAnsi"/>
                <w:b/>
                <w:sz w:val="22"/>
                <w:szCs w:val="22"/>
                <w:lang w:val="es-HN"/>
              </w:rPr>
            </w:pPr>
            <w:r w:rsidRPr="00BA77FC">
              <w:rPr>
                <w:rFonts w:asciiTheme="minorHAnsi" w:hAnsiTheme="minorHAnsi"/>
                <w:b/>
                <w:sz w:val="22"/>
                <w:szCs w:val="22"/>
                <w:lang w:val="es-HN"/>
              </w:rPr>
              <w:t>Para el Lote# 3: US$ 370,000.00</w:t>
            </w:r>
            <w:r w:rsidRPr="00BA77FC">
              <w:rPr>
                <w:sz w:val="20"/>
                <w:lang w:val="es-MX" w:eastAsia="es-MX"/>
              </w:rPr>
              <w:t xml:space="preserve"> </w:t>
            </w:r>
            <w:r w:rsidRPr="00BA77FC">
              <w:rPr>
                <w:rFonts w:asciiTheme="minorHAnsi" w:hAnsiTheme="minorHAnsi"/>
                <w:b/>
                <w:sz w:val="22"/>
                <w:szCs w:val="22"/>
                <w:lang w:val="es-HN"/>
              </w:rPr>
              <w:t>(trescientos setenta mil dólares americanos)</w:t>
            </w:r>
          </w:p>
          <w:p w14:paraId="4D71FEF4" w14:textId="77777777" w:rsidR="006B4D0C" w:rsidRPr="00BA77FC" w:rsidRDefault="006B4D0C" w:rsidP="006B4D0C">
            <w:pPr>
              <w:pStyle w:val="Prrafodelista"/>
              <w:numPr>
                <w:ilvl w:val="0"/>
                <w:numId w:val="114"/>
              </w:numPr>
              <w:rPr>
                <w:rFonts w:asciiTheme="minorHAnsi" w:hAnsiTheme="minorHAnsi"/>
                <w:b/>
                <w:sz w:val="22"/>
                <w:szCs w:val="22"/>
                <w:lang w:val="es-HN"/>
              </w:rPr>
            </w:pPr>
            <w:r w:rsidRPr="00BA77FC">
              <w:rPr>
                <w:rFonts w:asciiTheme="minorHAnsi" w:hAnsiTheme="minorHAnsi"/>
                <w:b/>
                <w:sz w:val="22"/>
                <w:szCs w:val="22"/>
                <w:lang w:val="es-HN"/>
              </w:rPr>
              <w:t>Para el Lote# 4: US$ 410,000.00</w:t>
            </w:r>
            <w:r w:rsidRPr="00BA77FC">
              <w:rPr>
                <w:sz w:val="20"/>
                <w:lang w:val="es-MX" w:eastAsia="es-MX"/>
              </w:rPr>
              <w:t xml:space="preserve"> </w:t>
            </w:r>
            <w:r w:rsidRPr="00BA77FC">
              <w:rPr>
                <w:rFonts w:asciiTheme="minorHAnsi" w:hAnsiTheme="minorHAnsi"/>
                <w:b/>
                <w:sz w:val="22"/>
                <w:szCs w:val="22"/>
                <w:lang w:val="es-HN"/>
              </w:rPr>
              <w:t>(cuatrocientos diez mil dólares americanos)</w:t>
            </w:r>
          </w:p>
          <w:p w14:paraId="294EABB0" w14:textId="77777777" w:rsidR="006B4D0C" w:rsidRPr="002C6280" w:rsidRDefault="006B4D0C" w:rsidP="006B4D0C">
            <w:pPr>
              <w:spacing w:before="60"/>
              <w:rPr>
                <w:rFonts w:ascii="Arial" w:hAnsi="Arial" w:cs="Arial"/>
                <w:sz w:val="22"/>
                <w:szCs w:val="22"/>
                <w:lang w:val="es-HN"/>
              </w:rPr>
            </w:pPr>
            <w:r w:rsidRPr="00BA77FC">
              <w:rPr>
                <w:rFonts w:ascii="Arial" w:hAnsi="Arial" w:cs="Arial"/>
                <w:sz w:val="22"/>
                <w:szCs w:val="22"/>
                <w:lang w:val="es-HN"/>
              </w:rPr>
              <w:t>Promedio anual de pagos certificados</w:t>
            </w:r>
            <w:r w:rsidRPr="00344818">
              <w:rPr>
                <w:rFonts w:ascii="Arial" w:hAnsi="Arial" w:cs="Arial"/>
                <w:sz w:val="22"/>
                <w:szCs w:val="22"/>
                <w:lang w:val="es-HN"/>
              </w:rPr>
              <w:t xml:space="preserve"> recibidos por contratos de ejecución de obra</w:t>
            </w:r>
          </w:p>
        </w:tc>
        <w:tc>
          <w:tcPr>
            <w:tcW w:w="1530" w:type="dxa"/>
            <w:tcBorders>
              <w:bottom w:val="single" w:sz="4" w:space="0" w:color="auto"/>
            </w:tcBorders>
            <w:shd w:val="clear" w:color="auto" w:fill="auto"/>
            <w:vAlign w:val="center"/>
          </w:tcPr>
          <w:p w14:paraId="4A1D38A2" w14:textId="77777777" w:rsidR="006B4D0C" w:rsidRPr="002C6280" w:rsidRDefault="006B4D0C" w:rsidP="006B4D0C">
            <w:pPr>
              <w:jc w:val="center"/>
              <w:rPr>
                <w:rFonts w:ascii="Arial" w:hAnsi="Arial" w:cs="Arial"/>
                <w:b/>
                <w:sz w:val="22"/>
                <w:szCs w:val="22"/>
                <w:lang w:val="es-HN"/>
              </w:rPr>
            </w:pPr>
            <w:r w:rsidRPr="002C6280">
              <w:rPr>
                <w:rFonts w:ascii="Arial" w:hAnsi="Arial" w:cs="Arial"/>
                <w:sz w:val="22"/>
                <w:szCs w:val="22"/>
                <w:lang w:val="es-HN"/>
              </w:rPr>
              <w:t>Cumple /</w:t>
            </w:r>
          </w:p>
          <w:p w14:paraId="5E127372" w14:textId="77777777" w:rsidR="006B4D0C" w:rsidRPr="002C6280" w:rsidRDefault="006B4D0C" w:rsidP="006B4D0C">
            <w:pPr>
              <w:jc w:val="center"/>
              <w:rPr>
                <w:rFonts w:ascii="Arial" w:hAnsi="Arial" w:cs="Arial"/>
                <w:b/>
                <w:sz w:val="22"/>
                <w:szCs w:val="22"/>
                <w:lang w:val="es-HN"/>
              </w:rPr>
            </w:pPr>
            <w:r w:rsidRPr="002C6280">
              <w:rPr>
                <w:rFonts w:ascii="Arial" w:hAnsi="Arial" w:cs="Arial"/>
                <w:sz w:val="22"/>
                <w:szCs w:val="22"/>
                <w:lang w:val="es-HN"/>
              </w:rPr>
              <w:t>No Cumple</w:t>
            </w:r>
          </w:p>
          <w:p w14:paraId="04E3B908" w14:textId="77777777" w:rsidR="006B4D0C" w:rsidRPr="002C6280" w:rsidRDefault="006B4D0C" w:rsidP="006B4D0C">
            <w:pPr>
              <w:jc w:val="center"/>
              <w:rPr>
                <w:rFonts w:ascii="Arial" w:hAnsi="Arial" w:cs="Arial"/>
                <w:sz w:val="22"/>
                <w:szCs w:val="22"/>
                <w:lang w:val="es-HN"/>
              </w:rPr>
            </w:pPr>
          </w:p>
        </w:tc>
        <w:tc>
          <w:tcPr>
            <w:tcW w:w="1980" w:type="dxa"/>
            <w:tcBorders>
              <w:bottom w:val="single" w:sz="4" w:space="0" w:color="auto"/>
            </w:tcBorders>
            <w:shd w:val="clear" w:color="auto" w:fill="auto"/>
            <w:vAlign w:val="center"/>
          </w:tcPr>
          <w:p w14:paraId="2F3E0880" w14:textId="77777777" w:rsidR="006B4D0C" w:rsidRPr="002C6280" w:rsidRDefault="006B4D0C" w:rsidP="006B4D0C">
            <w:pPr>
              <w:jc w:val="center"/>
              <w:rPr>
                <w:rFonts w:ascii="Arial" w:hAnsi="Arial" w:cs="Arial"/>
                <w:sz w:val="22"/>
                <w:szCs w:val="22"/>
                <w:lang w:val="es-HN"/>
              </w:rPr>
            </w:pPr>
            <w:r w:rsidRPr="002C6280">
              <w:rPr>
                <w:rFonts w:ascii="Arial" w:hAnsi="Arial" w:cs="Arial"/>
                <w:sz w:val="22"/>
                <w:szCs w:val="22"/>
                <w:lang w:val="es-HN"/>
              </w:rPr>
              <w:t>Formulario FIN-2 con sus respectivos anexos</w:t>
            </w:r>
          </w:p>
        </w:tc>
      </w:tr>
    </w:tbl>
    <w:p w14:paraId="129D2A60" w14:textId="77777777" w:rsidR="00D62CF8" w:rsidRDefault="00D62CF8" w:rsidP="00942F4C">
      <w:pPr>
        <w:ind w:left="540" w:hanging="540"/>
        <w:rPr>
          <w:rFonts w:ascii="Arial" w:hAnsi="Arial" w:cs="Arial"/>
          <w:sz w:val="22"/>
          <w:szCs w:val="22"/>
          <w:lang w:val="es-HN"/>
        </w:rPr>
      </w:pPr>
      <w:bookmarkStart w:id="373" w:name="_Hlk514159571"/>
    </w:p>
    <w:p w14:paraId="326F617E" w14:textId="77777777" w:rsidR="00D23A40" w:rsidRPr="003E4826" w:rsidRDefault="003E4826" w:rsidP="003E4826">
      <w:pPr>
        <w:ind w:left="540" w:hanging="540"/>
        <w:rPr>
          <w:rFonts w:ascii="Arial" w:hAnsi="Arial" w:cs="Arial"/>
          <w:b/>
          <w:sz w:val="22"/>
          <w:szCs w:val="22"/>
          <w:lang w:val="es-NI"/>
        </w:rPr>
      </w:pPr>
      <w:r w:rsidRPr="003E4826">
        <w:rPr>
          <w:rFonts w:ascii="Arial" w:hAnsi="Arial" w:cs="Arial"/>
          <w:b/>
          <w:sz w:val="22"/>
          <w:szCs w:val="22"/>
          <w:lang w:val="es-NI"/>
        </w:rPr>
        <w:t xml:space="preserve">         </w:t>
      </w:r>
      <w:r w:rsidR="00D23A40" w:rsidRPr="003E4826">
        <w:rPr>
          <w:rFonts w:ascii="Arial" w:hAnsi="Arial" w:cs="Arial"/>
          <w:b/>
          <w:sz w:val="22"/>
          <w:szCs w:val="22"/>
          <w:lang w:val="es-NI"/>
        </w:rPr>
        <w:t xml:space="preserve">Para efecto de dicha evaluación, un oferente podrá aplicar a varios lotes, sin embargo, por cada lote evaluado se irá disminuyendo el monto disponible de la facturación anual media necesaria para aplicar a otros Lotes y/o procesos que se estén desarrollando en paralelo. </w:t>
      </w:r>
    </w:p>
    <w:p w14:paraId="75FBF696" w14:textId="77777777" w:rsidR="00A33DEC" w:rsidRPr="00D23A40" w:rsidRDefault="00A33DEC" w:rsidP="00942F4C">
      <w:pPr>
        <w:ind w:left="540" w:hanging="540"/>
        <w:rPr>
          <w:rFonts w:ascii="Arial" w:hAnsi="Arial" w:cs="Arial"/>
          <w:sz w:val="22"/>
          <w:szCs w:val="22"/>
          <w:lang w:val="es-NI"/>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1530"/>
        <w:gridCol w:w="1980"/>
      </w:tblGrid>
      <w:tr w:rsidR="00D62CF8" w:rsidRPr="002C6280" w14:paraId="6BEC7E2B" w14:textId="77777777" w:rsidTr="00BA528D">
        <w:trPr>
          <w:trHeight w:val="470"/>
          <w:tblHeader/>
        </w:trPr>
        <w:tc>
          <w:tcPr>
            <w:tcW w:w="9360" w:type="dxa"/>
            <w:gridSpan w:val="3"/>
            <w:shd w:val="clear" w:color="auto" w:fill="002060"/>
          </w:tcPr>
          <w:bookmarkEnd w:id="373"/>
          <w:p w14:paraId="5E2FD433" w14:textId="77777777" w:rsidR="00D62CF8" w:rsidRPr="00BA528D" w:rsidRDefault="00D62CF8" w:rsidP="00BA528D">
            <w:pPr>
              <w:spacing w:before="120" w:after="120"/>
              <w:rPr>
                <w:rFonts w:ascii="Arial" w:hAnsi="Arial" w:cs="Arial"/>
                <w:b/>
                <w:i/>
                <w:color w:val="FF0000"/>
                <w:sz w:val="22"/>
                <w:szCs w:val="22"/>
              </w:rPr>
            </w:pPr>
            <w:r w:rsidRPr="00BA528D">
              <w:rPr>
                <w:rFonts w:ascii="Arial" w:hAnsi="Arial" w:cs="Arial"/>
                <w:b/>
                <w:sz w:val="22"/>
                <w:szCs w:val="22"/>
              </w:rPr>
              <w:lastRenderedPageBreak/>
              <w:t xml:space="preserve">Criterio 4:     Experiencia  </w:t>
            </w:r>
          </w:p>
        </w:tc>
      </w:tr>
      <w:tr w:rsidR="00BA6BB0" w:rsidRPr="002C6280" w14:paraId="298124F4" w14:textId="77777777" w:rsidTr="00BA528D">
        <w:trPr>
          <w:trHeight w:val="100"/>
          <w:tblHeader/>
        </w:trPr>
        <w:tc>
          <w:tcPr>
            <w:tcW w:w="9360" w:type="dxa"/>
            <w:gridSpan w:val="3"/>
            <w:shd w:val="clear" w:color="auto" w:fill="auto"/>
            <w:vAlign w:val="center"/>
          </w:tcPr>
          <w:p w14:paraId="6AB1290F" w14:textId="77777777" w:rsidR="00BA6BB0" w:rsidRPr="00BA6BB0" w:rsidRDefault="00BA6BB0" w:rsidP="00BA6BB0">
            <w:pPr>
              <w:spacing w:after="240"/>
              <w:ind w:right="327"/>
              <w:rPr>
                <w:rFonts w:ascii="Arial" w:hAnsi="Arial" w:cs="Arial"/>
                <w:i/>
                <w:color w:val="FF0000"/>
                <w:sz w:val="22"/>
                <w:szCs w:val="22"/>
                <w:lang w:val="es-HN"/>
              </w:rPr>
            </w:pPr>
            <w:r w:rsidRPr="00BA6BB0">
              <w:rPr>
                <w:rFonts w:ascii="Arial" w:hAnsi="Arial" w:cs="Arial"/>
                <w:i/>
                <w:sz w:val="22"/>
                <w:szCs w:val="22"/>
              </w:rPr>
              <w:t>Las cifras correspondientes a cada uno de los integrantes de una APCA se sumarán a fin de determinar si el oferente cumple con los requisitos mínimos de calificación; y la empresa líder de la APCA debe cumplir al menos con el cincuenta y uno por ciento (51%) de ellos.</w:t>
            </w:r>
          </w:p>
        </w:tc>
      </w:tr>
      <w:tr w:rsidR="00BA6BB0" w:rsidRPr="002C6280" w14:paraId="2365C984" w14:textId="77777777" w:rsidTr="00882CB1">
        <w:trPr>
          <w:trHeight w:val="100"/>
          <w:tblHeader/>
        </w:trPr>
        <w:tc>
          <w:tcPr>
            <w:tcW w:w="5850" w:type="dxa"/>
            <w:shd w:val="clear" w:color="auto" w:fill="00B050"/>
            <w:vAlign w:val="center"/>
          </w:tcPr>
          <w:p w14:paraId="5A736BD2" w14:textId="77777777" w:rsidR="00BA6BB0" w:rsidRPr="00882CB1" w:rsidRDefault="00BA6BB0" w:rsidP="00BA6BB0">
            <w:pPr>
              <w:rPr>
                <w:rFonts w:ascii="Arial" w:hAnsi="Arial" w:cs="Arial"/>
                <w:b/>
                <w:color w:val="FFFFFF" w:themeColor="background1"/>
                <w:sz w:val="22"/>
                <w:szCs w:val="22"/>
              </w:rPr>
            </w:pPr>
            <w:r w:rsidRPr="00882CB1">
              <w:rPr>
                <w:rFonts w:ascii="Arial" w:hAnsi="Arial" w:cs="Arial"/>
                <w:b/>
                <w:color w:val="FFFFFF" w:themeColor="background1"/>
                <w:sz w:val="22"/>
                <w:szCs w:val="22"/>
              </w:rPr>
              <w:t>Requisito</w:t>
            </w:r>
          </w:p>
        </w:tc>
        <w:tc>
          <w:tcPr>
            <w:tcW w:w="1530" w:type="dxa"/>
            <w:shd w:val="clear" w:color="auto" w:fill="00B050"/>
            <w:vAlign w:val="center"/>
          </w:tcPr>
          <w:p w14:paraId="18FC468F" w14:textId="77777777" w:rsidR="00BA6BB0" w:rsidRPr="00882CB1" w:rsidRDefault="00BA6BB0" w:rsidP="00BA6BB0">
            <w:pPr>
              <w:jc w:val="center"/>
              <w:rPr>
                <w:rFonts w:ascii="Arial" w:hAnsi="Arial" w:cs="Arial"/>
                <w:b/>
                <w:color w:val="FFFFFF" w:themeColor="background1"/>
                <w:sz w:val="22"/>
                <w:szCs w:val="22"/>
              </w:rPr>
            </w:pPr>
            <w:r w:rsidRPr="00882CB1">
              <w:rPr>
                <w:rFonts w:ascii="Arial" w:hAnsi="Arial" w:cs="Arial"/>
                <w:b/>
                <w:color w:val="FFFFFF" w:themeColor="background1"/>
                <w:sz w:val="22"/>
                <w:szCs w:val="22"/>
              </w:rPr>
              <w:t>Evaluación</w:t>
            </w:r>
          </w:p>
        </w:tc>
        <w:tc>
          <w:tcPr>
            <w:tcW w:w="1980" w:type="dxa"/>
            <w:shd w:val="clear" w:color="auto" w:fill="00B050"/>
            <w:vAlign w:val="center"/>
          </w:tcPr>
          <w:p w14:paraId="212BABAD" w14:textId="77777777" w:rsidR="00BA6BB0" w:rsidRPr="00882CB1" w:rsidRDefault="00BA6BB0" w:rsidP="00BA6BB0">
            <w:pPr>
              <w:jc w:val="center"/>
              <w:rPr>
                <w:rFonts w:ascii="Arial" w:hAnsi="Arial" w:cs="Arial"/>
                <w:b/>
                <w:color w:val="FFFFFF" w:themeColor="background1"/>
                <w:sz w:val="22"/>
                <w:szCs w:val="22"/>
              </w:rPr>
            </w:pPr>
            <w:r w:rsidRPr="00882CB1">
              <w:rPr>
                <w:rFonts w:ascii="Arial" w:hAnsi="Arial" w:cs="Arial"/>
                <w:b/>
                <w:color w:val="FFFFFF" w:themeColor="background1"/>
                <w:sz w:val="22"/>
                <w:szCs w:val="22"/>
              </w:rPr>
              <w:t>Documentación requerida</w:t>
            </w:r>
          </w:p>
        </w:tc>
      </w:tr>
      <w:tr w:rsidR="00BA6BB0" w:rsidRPr="002C6280" w14:paraId="395B3C5C" w14:textId="77777777" w:rsidTr="002F7C0E">
        <w:trPr>
          <w:trHeight w:val="689"/>
        </w:trPr>
        <w:tc>
          <w:tcPr>
            <w:tcW w:w="5850" w:type="dxa"/>
            <w:vAlign w:val="center"/>
          </w:tcPr>
          <w:p w14:paraId="12F0933D" w14:textId="77777777" w:rsidR="00AF300D" w:rsidRPr="00344818" w:rsidRDefault="00AF300D" w:rsidP="00AF300D">
            <w:pPr>
              <w:spacing w:before="100" w:after="100"/>
              <w:rPr>
                <w:rFonts w:ascii="Arial" w:hAnsi="Arial" w:cs="Arial"/>
                <w:b/>
                <w:sz w:val="22"/>
                <w:szCs w:val="22"/>
                <w:u w:val="single"/>
              </w:rPr>
            </w:pPr>
            <w:r w:rsidRPr="00344818">
              <w:rPr>
                <w:rFonts w:ascii="Arial" w:hAnsi="Arial" w:cs="Arial"/>
                <w:b/>
                <w:sz w:val="22"/>
                <w:szCs w:val="22"/>
                <w:u w:val="single"/>
              </w:rPr>
              <w:t xml:space="preserve">Experiencia general mínima en: </w:t>
            </w:r>
          </w:p>
          <w:p w14:paraId="324D4D2C" w14:textId="77777777" w:rsidR="00BA6BB0" w:rsidRPr="002C6280" w:rsidRDefault="00AF300D" w:rsidP="00AF300D">
            <w:pPr>
              <w:spacing w:before="100" w:after="100"/>
              <w:rPr>
                <w:rFonts w:ascii="Arial" w:hAnsi="Arial" w:cs="Arial"/>
                <w:sz w:val="22"/>
                <w:szCs w:val="22"/>
              </w:rPr>
            </w:pPr>
            <w:r w:rsidRPr="00344818">
              <w:rPr>
                <w:rFonts w:ascii="Arial" w:hAnsi="Arial" w:cs="Arial"/>
                <w:sz w:val="22"/>
                <w:szCs w:val="22"/>
              </w:rPr>
              <w:t>Experiencia general mínima de 5 proyectos de Construcción de Obras Civiles Horizontales y/o Verticales, y/o Sistemas de Agua y Saneamiento , ejecutadas en cualquiera de los años 2017, 2018, 2019, 2020 y 2021.</w:t>
            </w:r>
          </w:p>
        </w:tc>
        <w:tc>
          <w:tcPr>
            <w:tcW w:w="1530" w:type="dxa"/>
            <w:vAlign w:val="center"/>
          </w:tcPr>
          <w:p w14:paraId="5A966BCC" w14:textId="77777777" w:rsidR="00BA6BB0" w:rsidRPr="002C6280" w:rsidRDefault="00BA6BB0" w:rsidP="00BA6BB0">
            <w:pPr>
              <w:spacing w:before="100" w:after="100"/>
              <w:jc w:val="center"/>
              <w:rPr>
                <w:rFonts w:ascii="Arial" w:hAnsi="Arial" w:cs="Arial"/>
                <w:sz w:val="22"/>
                <w:szCs w:val="22"/>
              </w:rPr>
            </w:pPr>
            <w:r w:rsidRPr="002C6280">
              <w:rPr>
                <w:rFonts w:ascii="Arial" w:hAnsi="Arial" w:cs="Arial"/>
                <w:sz w:val="22"/>
                <w:szCs w:val="22"/>
              </w:rPr>
              <w:t>Cumple /</w:t>
            </w:r>
          </w:p>
          <w:p w14:paraId="57B250A4" w14:textId="77777777" w:rsidR="00BA6BB0" w:rsidRPr="002C6280" w:rsidRDefault="00BA6BB0" w:rsidP="00BA6BB0">
            <w:pPr>
              <w:spacing w:before="100" w:after="100"/>
              <w:jc w:val="center"/>
              <w:rPr>
                <w:rFonts w:ascii="Arial" w:hAnsi="Arial" w:cs="Arial"/>
                <w:sz w:val="22"/>
                <w:szCs w:val="22"/>
              </w:rPr>
            </w:pPr>
            <w:r w:rsidRPr="002C6280">
              <w:rPr>
                <w:rFonts w:ascii="Arial" w:hAnsi="Arial" w:cs="Arial"/>
                <w:sz w:val="22"/>
                <w:szCs w:val="22"/>
              </w:rPr>
              <w:t>No Cumple</w:t>
            </w:r>
          </w:p>
        </w:tc>
        <w:tc>
          <w:tcPr>
            <w:tcW w:w="1980" w:type="dxa"/>
            <w:vAlign w:val="center"/>
          </w:tcPr>
          <w:p w14:paraId="6ECC941E" w14:textId="77777777" w:rsidR="00BA6BB0" w:rsidRPr="002C6280" w:rsidRDefault="00BA6BB0" w:rsidP="00BA6BB0">
            <w:pPr>
              <w:spacing w:before="100" w:after="100"/>
              <w:jc w:val="center"/>
              <w:rPr>
                <w:rFonts w:ascii="Arial" w:hAnsi="Arial" w:cs="Arial"/>
                <w:sz w:val="22"/>
                <w:szCs w:val="22"/>
              </w:rPr>
            </w:pPr>
            <w:r w:rsidRPr="002C6280">
              <w:rPr>
                <w:rFonts w:ascii="Arial" w:hAnsi="Arial" w:cs="Arial"/>
                <w:sz w:val="22"/>
                <w:szCs w:val="22"/>
              </w:rPr>
              <w:t>Formulario EXP-1</w:t>
            </w:r>
            <w:r w:rsidRPr="002C6280">
              <w:rPr>
                <w:rFonts w:ascii="Arial" w:hAnsi="Arial" w:cs="Arial"/>
                <w:color w:val="FF0000"/>
                <w:sz w:val="22"/>
                <w:szCs w:val="22"/>
              </w:rPr>
              <w:t xml:space="preserve"> </w:t>
            </w:r>
            <w:r w:rsidRPr="002C6280">
              <w:rPr>
                <w:rFonts w:ascii="Arial" w:hAnsi="Arial" w:cs="Arial"/>
                <w:sz w:val="22"/>
                <w:szCs w:val="22"/>
              </w:rPr>
              <w:t>con sus respectivos anexos</w:t>
            </w:r>
          </w:p>
        </w:tc>
      </w:tr>
      <w:tr w:rsidR="00BA6BB0" w:rsidRPr="002C6280" w14:paraId="03DE6ACB" w14:textId="77777777" w:rsidTr="00AF300D">
        <w:trPr>
          <w:trHeight w:val="689"/>
        </w:trPr>
        <w:tc>
          <w:tcPr>
            <w:tcW w:w="5850" w:type="dxa"/>
            <w:vAlign w:val="center"/>
          </w:tcPr>
          <w:p w14:paraId="7C2759D4" w14:textId="77777777" w:rsidR="00AF300D" w:rsidRPr="00344818" w:rsidRDefault="00AF300D" w:rsidP="00AF300D">
            <w:pPr>
              <w:spacing w:before="100" w:after="100"/>
              <w:rPr>
                <w:rFonts w:ascii="Arial" w:hAnsi="Arial" w:cs="Arial"/>
                <w:b/>
                <w:sz w:val="22"/>
                <w:szCs w:val="22"/>
                <w:u w:val="single"/>
              </w:rPr>
            </w:pPr>
            <w:r w:rsidRPr="00344818">
              <w:rPr>
                <w:rFonts w:ascii="Arial" w:hAnsi="Arial" w:cs="Arial"/>
                <w:b/>
                <w:sz w:val="22"/>
                <w:szCs w:val="22"/>
                <w:u w:val="single"/>
              </w:rPr>
              <w:t xml:space="preserve">Experiencia especifica mínima en: </w:t>
            </w:r>
          </w:p>
          <w:p w14:paraId="0CAE1401" w14:textId="77777777" w:rsidR="00BA6BB0" w:rsidRPr="002C6280" w:rsidRDefault="00AF300D" w:rsidP="00AF300D">
            <w:pPr>
              <w:spacing w:before="100" w:after="100"/>
              <w:rPr>
                <w:rFonts w:ascii="Arial" w:hAnsi="Arial" w:cs="Arial"/>
                <w:sz w:val="22"/>
                <w:szCs w:val="22"/>
              </w:rPr>
            </w:pPr>
            <w:r w:rsidRPr="00344818">
              <w:rPr>
                <w:rFonts w:ascii="Arial" w:hAnsi="Arial" w:cs="Arial"/>
                <w:sz w:val="22"/>
                <w:szCs w:val="22"/>
              </w:rPr>
              <w:t>Experiencia especifica mínima de 2 proyectos de Construcción de Sistemas de Agua y Saneamiento, ejecutadas en cualquiera de los años 2017, 2018, 2019, 2020 y 2021.</w:t>
            </w:r>
          </w:p>
        </w:tc>
        <w:tc>
          <w:tcPr>
            <w:tcW w:w="1530" w:type="dxa"/>
            <w:vAlign w:val="center"/>
          </w:tcPr>
          <w:p w14:paraId="0D4212C1" w14:textId="77777777" w:rsidR="00BA6BB0" w:rsidRPr="002C6280" w:rsidRDefault="00BA6BB0" w:rsidP="00BA6BB0">
            <w:pPr>
              <w:spacing w:before="100" w:after="100"/>
              <w:jc w:val="center"/>
              <w:rPr>
                <w:rFonts w:ascii="Arial" w:hAnsi="Arial" w:cs="Arial"/>
                <w:sz w:val="22"/>
                <w:szCs w:val="22"/>
              </w:rPr>
            </w:pPr>
            <w:r w:rsidRPr="002C6280">
              <w:rPr>
                <w:rFonts w:ascii="Arial" w:hAnsi="Arial" w:cs="Arial"/>
                <w:sz w:val="22"/>
                <w:szCs w:val="22"/>
              </w:rPr>
              <w:t xml:space="preserve">Cumple / </w:t>
            </w:r>
          </w:p>
          <w:p w14:paraId="3AD625EB" w14:textId="77777777" w:rsidR="00BA6BB0" w:rsidRPr="002C6280" w:rsidRDefault="00BA6BB0" w:rsidP="00BA6BB0">
            <w:pPr>
              <w:spacing w:before="100" w:after="100"/>
              <w:jc w:val="center"/>
              <w:rPr>
                <w:rFonts w:ascii="Arial" w:hAnsi="Arial" w:cs="Arial"/>
                <w:sz w:val="22"/>
                <w:szCs w:val="22"/>
              </w:rPr>
            </w:pPr>
            <w:r w:rsidRPr="002C6280">
              <w:rPr>
                <w:rFonts w:ascii="Arial" w:hAnsi="Arial" w:cs="Arial"/>
                <w:sz w:val="22"/>
                <w:szCs w:val="22"/>
              </w:rPr>
              <w:t>No Cumple</w:t>
            </w:r>
          </w:p>
        </w:tc>
        <w:tc>
          <w:tcPr>
            <w:tcW w:w="1980" w:type="dxa"/>
            <w:vAlign w:val="center"/>
          </w:tcPr>
          <w:p w14:paraId="44797DDD" w14:textId="77777777" w:rsidR="00BA6BB0" w:rsidRPr="002C6280" w:rsidRDefault="00BA6BB0" w:rsidP="00BA6BB0">
            <w:pPr>
              <w:spacing w:before="100" w:after="100"/>
              <w:jc w:val="center"/>
              <w:rPr>
                <w:rFonts w:ascii="Arial" w:hAnsi="Arial" w:cs="Arial"/>
                <w:sz w:val="22"/>
                <w:szCs w:val="22"/>
              </w:rPr>
            </w:pPr>
            <w:r w:rsidRPr="002C6280">
              <w:rPr>
                <w:rFonts w:ascii="Arial" w:hAnsi="Arial" w:cs="Arial"/>
                <w:sz w:val="22"/>
                <w:szCs w:val="22"/>
              </w:rPr>
              <w:t>Formulario EXP-2 con sus respectivos anexos</w:t>
            </w:r>
          </w:p>
        </w:tc>
      </w:tr>
    </w:tbl>
    <w:p w14:paraId="06B3A99E" w14:textId="77777777" w:rsidR="003B27F0" w:rsidRPr="003B27F0" w:rsidRDefault="003B27F0" w:rsidP="009B31CF">
      <w:pPr>
        <w:spacing w:before="240" w:after="120"/>
        <w:rPr>
          <w:rFonts w:ascii="Arial" w:hAnsi="Arial" w:cs="Arial"/>
          <w:b/>
          <w:sz w:val="22"/>
          <w:szCs w:val="22"/>
          <w:lang w:val="es-HN"/>
        </w:rPr>
      </w:pPr>
      <w:r w:rsidRPr="003B27F0">
        <w:rPr>
          <w:rFonts w:ascii="Arial" w:hAnsi="Arial" w:cs="Arial"/>
          <w:b/>
          <w:sz w:val="22"/>
          <w:szCs w:val="22"/>
          <w:lang w:val="es-HN"/>
        </w:rPr>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357ECAE5" w14:textId="77777777" w:rsidR="003B27F0" w:rsidRPr="003B27F0" w:rsidRDefault="003B27F0" w:rsidP="009B31CF">
      <w:pPr>
        <w:spacing w:before="240" w:after="120"/>
        <w:rPr>
          <w:rFonts w:ascii="Arial" w:hAnsi="Arial" w:cs="Arial"/>
          <w:b/>
          <w:sz w:val="22"/>
          <w:szCs w:val="22"/>
          <w:lang w:val="es-HN"/>
        </w:rPr>
      </w:pPr>
      <w:r w:rsidRPr="003B27F0">
        <w:rPr>
          <w:rFonts w:ascii="Arial" w:hAnsi="Arial" w:cs="Arial"/>
          <w:b/>
          <w:sz w:val="22"/>
          <w:szCs w:val="22"/>
          <w:lang w:val="es-HN"/>
        </w:rPr>
        <w:t>En caso que presente proyecto/s con avance financiero menor al 70%, se podrán adjudicar un número de proyecto/s que sumados a los proyectos en ejecución, totalicen un máximo de tres proyectos.</w:t>
      </w:r>
    </w:p>
    <w:p w14:paraId="5C3A8B61" w14:textId="77777777" w:rsidR="003B27F0" w:rsidRDefault="003B27F0" w:rsidP="003B27F0">
      <w:pPr>
        <w:spacing w:before="240" w:after="120"/>
        <w:jc w:val="left"/>
        <w:rPr>
          <w:rFonts w:ascii="Arial" w:hAnsi="Arial" w:cs="Arial"/>
          <w:b/>
          <w:sz w:val="22"/>
          <w:szCs w:val="22"/>
          <w:lang w:val="es-HN"/>
        </w:rPr>
      </w:pPr>
      <w:r w:rsidRPr="003B27F0">
        <w:rPr>
          <w:rFonts w:ascii="Arial" w:hAnsi="Arial" w:cs="Arial"/>
          <w:b/>
          <w:sz w:val="22"/>
          <w:szCs w:val="22"/>
          <w:lang w:val="es-HN"/>
        </w:rPr>
        <w:t>NOTA: El número máximo de proyecto que se puede adjudicar aun oferente: son 03 (tres)</w:t>
      </w:r>
    </w:p>
    <w:p w14:paraId="4D02006C" w14:textId="77777777" w:rsidR="00D62CF8" w:rsidRPr="002C6280" w:rsidRDefault="00D62CF8" w:rsidP="0071608E">
      <w:pPr>
        <w:numPr>
          <w:ilvl w:val="0"/>
          <w:numId w:val="47"/>
        </w:numPr>
        <w:spacing w:before="240" w:after="120"/>
        <w:ind w:left="0" w:firstLine="0"/>
        <w:jc w:val="left"/>
        <w:rPr>
          <w:rFonts w:ascii="Arial" w:hAnsi="Arial" w:cs="Arial"/>
          <w:b/>
          <w:sz w:val="22"/>
          <w:szCs w:val="22"/>
          <w:lang w:val="es-HN"/>
        </w:rPr>
      </w:pPr>
      <w:r w:rsidRPr="002C6280">
        <w:rPr>
          <w:rFonts w:ascii="Arial" w:hAnsi="Arial" w:cs="Arial"/>
          <w:b/>
          <w:sz w:val="22"/>
          <w:szCs w:val="22"/>
          <w:lang w:val="es-HN"/>
        </w:rPr>
        <w:t>Conformidad de la Oferta Técnica.</w:t>
      </w:r>
      <w:r w:rsidRPr="002C6280">
        <w:rPr>
          <w:rFonts w:ascii="Arial" w:hAnsi="Arial" w:cs="Arial"/>
          <w:b/>
          <w:sz w:val="22"/>
          <w:szCs w:val="22"/>
          <w:lang w:val="es-ES"/>
        </w:rPr>
        <w:t xml:space="preserve">         </w:t>
      </w:r>
    </w:p>
    <w:p w14:paraId="60D7168F" w14:textId="77777777" w:rsidR="00D62CF8" w:rsidRPr="002C6280" w:rsidRDefault="00D62CF8" w:rsidP="000C6174">
      <w:pPr>
        <w:spacing w:before="120" w:after="120"/>
        <w:rPr>
          <w:rFonts w:ascii="Arial" w:hAnsi="Arial" w:cs="Arial"/>
          <w:sz w:val="22"/>
          <w:szCs w:val="22"/>
          <w:lang w:val="es-ES"/>
        </w:rPr>
      </w:pPr>
      <w:r w:rsidRPr="002C6280">
        <w:rPr>
          <w:rFonts w:ascii="Arial" w:hAnsi="Arial" w:cs="Arial"/>
          <w:sz w:val="22"/>
          <w:szCs w:val="22"/>
          <w:lang w:val="es-ES"/>
        </w:rPr>
        <w:t>Los criterios de evaluación de las ofertas técnicas serán: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0"/>
        <w:gridCol w:w="1980"/>
      </w:tblGrid>
      <w:tr w:rsidR="00D62CF8" w:rsidRPr="002C6280" w14:paraId="69C8A578" w14:textId="77777777" w:rsidTr="005A5CFE">
        <w:trPr>
          <w:trHeight w:val="380"/>
          <w:tblHeader/>
        </w:trPr>
        <w:tc>
          <w:tcPr>
            <w:tcW w:w="7380" w:type="dxa"/>
            <w:shd w:val="clear" w:color="auto" w:fill="002060"/>
            <w:vAlign w:val="center"/>
          </w:tcPr>
          <w:p w14:paraId="3689584C" w14:textId="77777777" w:rsidR="00D62CF8" w:rsidRPr="005A5CFE" w:rsidRDefault="00D62CF8" w:rsidP="000C6174">
            <w:pPr>
              <w:tabs>
                <w:tab w:val="left" w:pos="9468"/>
              </w:tabs>
              <w:spacing w:before="60" w:after="60"/>
              <w:jc w:val="center"/>
              <w:rPr>
                <w:rFonts w:ascii="Arial" w:hAnsi="Arial" w:cs="Arial"/>
                <w:b/>
                <w:color w:val="FFFFFF" w:themeColor="background1"/>
                <w:sz w:val="22"/>
                <w:szCs w:val="22"/>
                <w:lang w:val="es-ES"/>
              </w:rPr>
            </w:pPr>
            <w:r w:rsidRPr="005A5CFE">
              <w:rPr>
                <w:rFonts w:ascii="Arial" w:hAnsi="Arial" w:cs="Arial"/>
                <w:b/>
                <w:color w:val="FFFFFF" w:themeColor="background1"/>
                <w:sz w:val="22"/>
                <w:szCs w:val="22"/>
                <w:lang w:val="es-ES"/>
              </w:rPr>
              <w:t>Criterios de Evaluación</w:t>
            </w:r>
          </w:p>
        </w:tc>
        <w:tc>
          <w:tcPr>
            <w:tcW w:w="1980" w:type="dxa"/>
            <w:shd w:val="clear" w:color="auto" w:fill="002060"/>
            <w:vAlign w:val="center"/>
          </w:tcPr>
          <w:p w14:paraId="4E0D281C" w14:textId="77777777" w:rsidR="00D62CF8" w:rsidRPr="005A5CFE" w:rsidRDefault="00D62CF8" w:rsidP="00942F4C">
            <w:pPr>
              <w:tabs>
                <w:tab w:val="left" w:pos="9468"/>
              </w:tabs>
              <w:spacing w:before="60" w:after="60"/>
              <w:ind w:left="-106"/>
              <w:jc w:val="center"/>
              <w:rPr>
                <w:rFonts w:ascii="Arial" w:hAnsi="Arial" w:cs="Arial"/>
                <w:b/>
                <w:color w:val="FFFFFF" w:themeColor="background1"/>
                <w:sz w:val="22"/>
                <w:szCs w:val="22"/>
                <w:lang w:val="es-ES"/>
              </w:rPr>
            </w:pPr>
            <w:r w:rsidRPr="005A5CFE">
              <w:rPr>
                <w:rFonts w:ascii="Arial" w:hAnsi="Arial" w:cs="Arial"/>
                <w:b/>
                <w:color w:val="FFFFFF" w:themeColor="background1"/>
                <w:sz w:val="22"/>
                <w:szCs w:val="22"/>
                <w:lang w:val="es-ES"/>
              </w:rPr>
              <w:t>Puntaje Máximo</w:t>
            </w:r>
          </w:p>
        </w:tc>
      </w:tr>
      <w:tr w:rsidR="00D62CF8" w:rsidRPr="002C6280" w14:paraId="3DA876E7" w14:textId="77777777" w:rsidTr="003D50ED">
        <w:trPr>
          <w:trHeight w:val="318"/>
        </w:trPr>
        <w:tc>
          <w:tcPr>
            <w:tcW w:w="7380" w:type="dxa"/>
          </w:tcPr>
          <w:p w14:paraId="5180CAA1" w14:textId="77777777" w:rsidR="00D62CF8" w:rsidRPr="006B4D0C" w:rsidRDefault="00D62CF8" w:rsidP="0071608E">
            <w:pPr>
              <w:pStyle w:val="Prrafodelista"/>
              <w:numPr>
                <w:ilvl w:val="0"/>
                <w:numId w:val="50"/>
              </w:numPr>
              <w:tabs>
                <w:tab w:val="left" w:pos="9468"/>
              </w:tabs>
              <w:spacing w:before="60" w:after="60"/>
              <w:jc w:val="left"/>
              <w:rPr>
                <w:rFonts w:ascii="Arial" w:hAnsi="Arial" w:cs="Arial"/>
                <w:sz w:val="22"/>
                <w:szCs w:val="22"/>
                <w:lang w:val="es-ES"/>
              </w:rPr>
            </w:pPr>
            <w:r w:rsidRPr="006B4D0C">
              <w:rPr>
                <w:rFonts w:ascii="Arial" w:hAnsi="Arial" w:cs="Arial"/>
                <w:sz w:val="22"/>
                <w:szCs w:val="22"/>
                <w:lang w:val="es-ES"/>
              </w:rPr>
              <w:t>Experiencia del personal clave propuesto (TEC-1 y TEC-2)</w:t>
            </w:r>
          </w:p>
        </w:tc>
        <w:tc>
          <w:tcPr>
            <w:tcW w:w="1980" w:type="dxa"/>
          </w:tcPr>
          <w:p w14:paraId="54EA5AC1" w14:textId="77777777" w:rsidR="00D62CF8" w:rsidRPr="006B4D0C" w:rsidRDefault="00D62CF8" w:rsidP="00942F4C">
            <w:pPr>
              <w:pStyle w:val="Prrafodelista"/>
              <w:tabs>
                <w:tab w:val="left" w:pos="9468"/>
              </w:tabs>
              <w:spacing w:before="60" w:after="60"/>
              <w:ind w:left="-106"/>
              <w:jc w:val="center"/>
              <w:rPr>
                <w:rFonts w:ascii="Arial" w:hAnsi="Arial" w:cs="Arial"/>
                <w:i/>
                <w:sz w:val="22"/>
                <w:szCs w:val="22"/>
                <w:lang w:val="es-ES"/>
              </w:rPr>
            </w:pPr>
            <w:r w:rsidRPr="006B4D0C">
              <w:rPr>
                <w:rFonts w:ascii="Arial" w:hAnsi="Arial" w:cs="Arial"/>
                <w:sz w:val="22"/>
                <w:szCs w:val="22"/>
                <w:lang w:val="es-HN"/>
              </w:rPr>
              <w:t>Cumple / No Cumple</w:t>
            </w:r>
          </w:p>
        </w:tc>
      </w:tr>
      <w:tr w:rsidR="00D62CF8" w:rsidRPr="002C6280" w14:paraId="481DD087" w14:textId="77777777" w:rsidTr="003D50ED">
        <w:tc>
          <w:tcPr>
            <w:tcW w:w="7380" w:type="dxa"/>
          </w:tcPr>
          <w:p w14:paraId="02E65F21" w14:textId="77777777" w:rsidR="00D62CF8" w:rsidRPr="002C6280" w:rsidRDefault="00D62CF8" w:rsidP="0071608E">
            <w:pPr>
              <w:pStyle w:val="Prrafodelista"/>
              <w:numPr>
                <w:ilvl w:val="0"/>
                <w:numId w:val="50"/>
              </w:numPr>
              <w:spacing w:before="60" w:after="60"/>
              <w:jc w:val="left"/>
              <w:rPr>
                <w:rFonts w:ascii="Arial" w:hAnsi="Arial" w:cs="Arial"/>
                <w:sz w:val="22"/>
                <w:szCs w:val="22"/>
                <w:lang w:val="es-ES"/>
              </w:rPr>
            </w:pPr>
            <w:r w:rsidRPr="002C6280">
              <w:rPr>
                <w:rFonts w:ascii="Arial" w:hAnsi="Arial" w:cs="Arial"/>
                <w:sz w:val="22"/>
                <w:szCs w:val="22"/>
                <w:lang w:val="es-ES"/>
              </w:rPr>
              <w:t>Disponibilidad de equipo necesario para la construcción (TEC-3)</w:t>
            </w:r>
          </w:p>
        </w:tc>
        <w:tc>
          <w:tcPr>
            <w:tcW w:w="1980" w:type="dxa"/>
          </w:tcPr>
          <w:p w14:paraId="5ADC14FB" w14:textId="77777777" w:rsidR="00D62CF8" w:rsidRPr="002C6280" w:rsidRDefault="00D62CF8" w:rsidP="00942F4C">
            <w:pPr>
              <w:pStyle w:val="Prrafodelista"/>
              <w:tabs>
                <w:tab w:val="left" w:pos="9468"/>
              </w:tabs>
              <w:spacing w:before="60" w:after="60"/>
              <w:ind w:left="-106"/>
              <w:jc w:val="center"/>
              <w:rPr>
                <w:rFonts w:ascii="Arial" w:hAnsi="Arial" w:cs="Arial"/>
                <w:i/>
                <w:sz w:val="22"/>
                <w:szCs w:val="22"/>
                <w:lang w:val="es-ES"/>
              </w:rPr>
            </w:pPr>
            <w:r w:rsidRPr="002C6280">
              <w:rPr>
                <w:rFonts w:ascii="Arial" w:hAnsi="Arial" w:cs="Arial"/>
                <w:sz w:val="22"/>
                <w:szCs w:val="22"/>
                <w:lang w:val="es-HN"/>
              </w:rPr>
              <w:t>Cumple / No Cumple</w:t>
            </w:r>
          </w:p>
        </w:tc>
      </w:tr>
    </w:tbl>
    <w:p w14:paraId="3AD5B8BD" w14:textId="77777777" w:rsidR="00D62CF8" w:rsidRPr="002C6280" w:rsidRDefault="00D62CF8" w:rsidP="0071608E">
      <w:pPr>
        <w:pStyle w:val="Prrafodelista"/>
        <w:numPr>
          <w:ilvl w:val="0"/>
          <w:numId w:val="49"/>
        </w:numPr>
        <w:tabs>
          <w:tab w:val="left" w:pos="5238"/>
          <w:tab w:val="left" w:pos="5474"/>
          <w:tab w:val="left" w:pos="9468"/>
        </w:tabs>
        <w:jc w:val="left"/>
        <w:rPr>
          <w:rFonts w:ascii="Arial" w:hAnsi="Arial" w:cs="Arial"/>
          <w:b/>
          <w:sz w:val="22"/>
          <w:szCs w:val="22"/>
          <w:lang w:val="es-ES"/>
        </w:rPr>
      </w:pPr>
      <w:r w:rsidRPr="002C6280">
        <w:rPr>
          <w:rFonts w:ascii="Arial" w:hAnsi="Arial" w:cs="Arial"/>
          <w:sz w:val="22"/>
          <w:szCs w:val="22"/>
          <w:lang w:val="es-ES"/>
        </w:rPr>
        <w:t xml:space="preserve"> </w:t>
      </w:r>
    </w:p>
    <w:p w14:paraId="341D0181" w14:textId="77777777" w:rsidR="00D62CF8" w:rsidRPr="002C6280" w:rsidRDefault="00D62CF8" w:rsidP="00942F4C">
      <w:pPr>
        <w:rPr>
          <w:rFonts w:ascii="Arial" w:hAnsi="Arial" w:cs="Arial"/>
          <w:b/>
          <w:sz w:val="22"/>
          <w:szCs w:val="22"/>
          <w:lang w:val="es-HN"/>
        </w:rPr>
      </w:pPr>
      <w:r w:rsidRPr="002C6280">
        <w:rPr>
          <w:rFonts w:ascii="Arial" w:hAnsi="Arial" w:cs="Arial"/>
          <w:b/>
          <w:sz w:val="22"/>
          <w:szCs w:val="22"/>
          <w:lang w:val="es-HN"/>
        </w:rPr>
        <w:t>El oferente que no cumpla con todos los criterios de evaluación técnica</w:t>
      </w:r>
      <w:r w:rsidRPr="002C6280">
        <w:rPr>
          <w:rFonts w:ascii="Arial" w:hAnsi="Arial" w:cs="Arial"/>
          <w:b/>
          <w:color w:val="FF0000"/>
          <w:sz w:val="22"/>
          <w:szCs w:val="22"/>
          <w:lang w:val="es-HN"/>
        </w:rPr>
        <w:t xml:space="preserve"> </w:t>
      </w:r>
      <w:r w:rsidRPr="002C6280">
        <w:rPr>
          <w:rFonts w:ascii="Arial" w:hAnsi="Arial" w:cs="Arial"/>
          <w:b/>
          <w:sz w:val="22"/>
          <w:szCs w:val="22"/>
          <w:lang w:val="es-HN"/>
        </w:rPr>
        <w:t>no pasará a la etapa de evaluación de la oferta económica.</w:t>
      </w:r>
    </w:p>
    <w:p w14:paraId="57CF7958" w14:textId="243AA5F6" w:rsidR="00D62CF8" w:rsidRDefault="00D62CF8" w:rsidP="000C6174">
      <w:pPr>
        <w:pStyle w:val="Prrafodelista"/>
        <w:ind w:left="11" w:right="609"/>
        <w:rPr>
          <w:rFonts w:ascii="Arial" w:hAnsi="Arial" w:cs="Arial"/>
          <w:b/>
          <w:sz w:val="22"/>
          <w:szCs w:val="22"/>
          <w:lang w:val="es-ES"/>
        </w:rPr>
      </w:pPr>
    </w:p>
    <w:p w14:paraId="78FD825D" w14:textId="50591A95" w:rsidR="006B4D0C" w:rsidRDefault="006B4D0C" w:rsidP="000C6174">
      <w:pPr>
        <w:pStyle w:val="Prrafodelista"/>
        <w:ind w:left="11" w:right="609"/>
        <w:rPr>
          <w:rFonts w:ascii="Arial" w:hAnsi="Arial" w:cs="Arial"/>
          <w:b/>
          <w:sz w:val="22"/>
          <w:szCs w:val="22"/>
          <w:lang w:val="es-ES"/>
        </w:rPr>
      </w:pPr>
    </w:p>
    <w:p w14:paraId="055D9F4C" w14:textId="249A4278" w:rsidR="006B4D0C" w:rsidRDefault="006B4D0C" w:rsidP="000C6174">
      <w:pPr>
        <w:pStyle w:val="Prrafodelista"/>
        <w:ind w:left="11" w:right="609"/>
        <w:rPr>
          <w:rFonts w:ascii="Arial" w:hAnsi="Arial" w:cs="Arial"/>
          <w:b/>
          <w:sz w:val="22"/>
          <w:szCs w:val="22"/>
          <w:lang w:val="es-ES"/>
        </w:rPr>
      </w:pPr>
    </w:p>
    <w:p w14:paraId="4CF4C072" w14:textId="77777777" w:rsidR="006B4D0C" w:rsidRPr="002C6280" w:rsidDel="0048515D" w:rsidRDefault="006B4D0C" w:rsidP="000C6174">
      <w:pPr>
        <w:pStyle w:val="Prrafodelista"/>
        <w:ind w:left="11" w:right="609"/>
        <w:rPr>
          <w:rFonts w:ascii="Arial" w:hAnsi="Arial" w:cs="Arial"/>
          <w:b/>
          <w:sz w:val="22"/>
          <w:szCs w:val="22"/>
          <w:lang w:val="es-ES"/>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13"/>
        <w:gridCol w:w="1435"/>
        <w:gridCol w:w="2795"/>
        <w:gridCol w:w="1530"/>
        <w:gridCol w:w="1890"/>
        <w:gridCol w:w="10"/>
      </w:tblGrid>
      <w:tr w:rsidR="00AF300D" w:rsidRPr="00344818" w:rsidDel="0048515D" w14:paraId="2A8CAB40" w14:textId="77777777" w:rsidTr="00DA684E">
        <w:tc>
          <w:tcPr>
            <w:tcW w:w="9503" w:type="dxa"/>
            <w:gridSpan w:val="7"/>
            <w:shd w:val="clear" w:color="auto" w:fill="002060"/>
            <w:vAlign w:val="center"/>
          </w:tcPr>
          <w:p w14:paraId="4D6F09BF" w14:textId="77777777" w:rsidR="00AF300D" w:rsidRPr="00344818" w:rsidRDefault="00AF300D" w:rsidP="00DA684E">
            <w:pPr>
              <w:spacing w:before="60" w:after="60"/>
              <w:contextualSpacing/>
              <w:jc w:val="left"/>
              <w:rPr>
                <w:rFonts w:ascii="Arial" w:hAnsi="Arial" w:cs="Arial"/>
                <w:b/>
                <w:sz w:val="22"/>
                <w:szCs w:val="22"/>
                <w:lang w:val="es-ES"/>
              </w:rPr>
            </w:pPr>
          </w:p>
          <w:p w14:paraId="37D5C9FE" w14:textId="77777777" w:rsidR="00AF300D" w:rsidRPr="00344818" w:rsidRDefault="00AF300D" w:rsidP="00DA684E">
            <w:pPr>
              <w:spacing w:before="60" w:after="60"/>
              <w:contextualSpacing/>
              <w:jc w:val="left"/>
              <w:rPr>
                <w:rFonts w:ascii="Arial" w:hAnsi="Arial" w:cs="Arial"/>
                <w:i/>
                <w:sz w:val="22"/>
                <w:szCs w:val="22"/>
                <w:lang w:val="es-ES"/>
              </w:rPr>
            </w:pPr>
            <w:r w:rsidRPr="00344818" w:rsidDel="0048515D">
              <w:rPr>
                <w:rFonts w:ascii="Arial" w:hAnsi="Arial" w:cs="Arial"/>
                <w:b/>
                <w:sz w:val="22"/>
                <w:szCs w:val="22"/>
                <w:lang w:val="es-ES"/>
              </w:rPr>
              <w:t xml:space="preserve">Criterio </w:t>
            </w:r>
            <w:r w:rsidRPr="00344818">
              <w:rPr>
                <w:rFonts w:ascii="Arial" w:hAnsi="Arial" w:cs="Arial"/>
                <w:b/>
                <w:sz w:val="22"/>
                <w:szCs w:val="22"/>
                <w:lang w:val="es-ES"/>
              </w:rPr>
              <w:t>1</w:t>
            </w:r>
            <w:r w:rsidRPr="00344818" w:rsidDel="0048515D">
              <w:rPr>
                <w:rFonts w:ascii="Arial" w:hAnsi="Arial" w:cs="Arial"/>
                <w:b/>
                <w:sz w:val="22"/>
                <w:szCs w:val="22"/>
                <w:lang w:val="es-ES"/>
              </w:rPr>
              <w:t>: Formación Experiencia del personal profesional clave propuesto</w:t>
            </w:r>
            <w:r w:rsidRPr="00344818" w:rsidDel="0048515D">
              <w:rPr>
                <w:rFonts w:ascii="Arial" w:hAnsi="Arial" w:cs="Arial"/>
                <w:i/>
                <w:sz w:val="22"/>
                <w:szCs w:val="22"/>
                <w:lang w:val="es-ES"/>
              </w:rPr>
              <w:t xml:space="preserve"> </w:t>
            </w:r>
          </w:p>
          <w:p w14:paraId="1FB2D471" w14:textId="77777777" w:rsidR="00AF300D" w:rsidRPr="00344818" w:rsidDel="0048515D" w:rsidRDefault="00AF300D" w:rsidP="00DA684E">
            <w:pPr>
              <w:spacing w:before="60" w:after="60"/>
              <w:contextualSpacing/>
              <w:jc w:val="left"/>
              <w:rPr>
                <w:rFonts w:ascii="Arial" w:hAnsi="Arial" w:cs="Arial"/>
                <w:b/>
                <w:sz w:val="22"/>
                <w:szCs w:val="22"/>
                <w:lang w:val="es-ES"/>
              </w:rPr>
            </w:pPr>
          </w:p>
        </w:tc>
      </w:tr>
      <w:tr w:rsidR="00AF300D" w:rsidRPr="00344818" w:rsidDel="0048515D" w14:paraId="76C5E16A" w14:textId="77777777" w:rsidTr="00DA684E">
        <w:trPr>
          <w:gridAfter w:val="1"/>
          <w:wAfter w:w="10" w:type="dxa"/>
        </w:trPr>
        <w:tc>
          <w:tcPr>
            <w:tcW w:w="630" w:type="dxa"/>
            <w:shd w:val="clear" w:color="auto" w:fill="00B050"/>
            <w:vAlign w:val="center"/>
          </w:tcPr>
          <w:p w14:paraId="71927291" w14:textId="77777777" w:rsidR="00AF300D" w:rsidRPr="00344818" w:rsidDel="0048515D" w:rsidRDefault="00AF300D" w:rsidP="00DA684E">
            <w:pPr>
              <w:spacing w:before="60" w:after="60"/>
              <w:ind w:left="-103" w:right="-194"/>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No.</w:t>
            </w:r>
          </w:p>
        </w:tc>
        <w:tc>
          <w:tcPr>
            <w:tcW w:w="1213" w:type="dxa"/>
            <w:shd w:val="clear" w:color="auto" w:fill="00B050"/>
            <w:vAlign w:val="center"/>
          </w:tcPr>
          <w:p w14:paraId="1A4206FC" w14:textId="77777777" w:rsidR="00AF300D" w:rsidRPr="00344818" w:rsidDel="0048515D" w:rsidRDefault="00AF300D"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Cargo</w:t>
            </w:r>
          </w:p>
        </w:tc>
        <w:tc>
          <w:tcPr>
            <w:tcW w:w="1435" w:type="dxa"/>
            <w:shd w:val="clear" w:color="auto" w:fill="00B050"/>
            <w:vAlign w:val="center"/>
          </w:tcPr>
          <w:p w14:paraId="7212B102" w14:textId="77777777" w:rsidR="00AF300D" w:rsidRPr="00344818" w:rsidDel="0048515D" w:rsidRDefault="00AF300D"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Criterios a evaluar</w:t>
            </w:r>
          </w:p>
        </w:tc>
        <w:tc>
          <w:tcPr>
            <w:tcW w:w="2795" w:type="dxa"/>
            <w:shd w:val="clear" w:color="auto" w:fill="00B050"/>
            <w:vAlign w:val="center"/>
          </w:tcPr>
          <w:p w14:paraId="521D9429" w14:textId="77777777" w:rsidR="00AF300D" w:rsidRPr="00344818" w:rsidDel="0048515D" w:rsidRDefault="00AF300D"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Requerimiento</w:t>
            </w:r>
          </w:p>
        </w:tc>
        <w:tc>
          <w:tcPr>
            <w:tcW w:w="1530" w:type="dxa"/>
            <w:shd w:val="clear" w:color="auto" w:fill="00B050"/>
            <w:vAlign w:val="center"/>
          </w:tcPr>
          <w:p w14:paraId="53C9BB3D" w14:textId="77777777" w:rsidR="00AF300D" w:rsidRPr="00344818" w:rsidDel="0048515D" w:rsidRDefault="00AF300D"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 xml:space="preserve"> Evaluación</w:t>
            </w:r>
          </w:p>
        </w:tc>
        <w:tc>
          <w:tcPr>
            <w:tcW w:w="1890" w:type="dxa"/>
            <w:shd w:val="clear" w:color="auto" w:fill="00B050"/>
            <w:vAlign w:val="center"/>
          </w:tcPr>
          <w:p w14:paraId="7D2104E6" w14:textId="77777777" w:rsidR="00AF300D" w:rsidRPr="00344818" w:rsidDel="0048515D" w:rsidRDefault="00AF300D"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HN"/>
              </w:rPr>
              <w:t>Documentación requerida</w:t>
            </w:r>
          </w:p>
        </w:tc>
      </w:tr>
      <w:tr w:rsidR="00AF300D" w:rsidRPr="00344818" w:rsidDel="0048515D" w14:paraId="6BF52DFD" w14:textId="77777777" w:rsidTr="00DA684E">
        <w:trPr>
          <w:gridAfter w:val="1"/>
          <w:wAfter w:w="10" w:type="dxa"/>
          <w:trHeight w:val="294"/>
        </w:trPr>
        <w:tc>
          <w:tcPr>
            <w:tcW w:w="630" w:type="dxa"/>
            <w:vMerge w:val="restart"/>
            <w:vAlign w:val="center"/>
          </w:tcPr>
          <w:p w14:paraId="20659513" w14:textId="77777777" w:rsidR="00AF300D" w:rsidRPr="00344818" w:rsidDel="0048515D" w:rsidRDefault="00AF300D" w:rsidP="00DA684E">
            <w:pPr>
              <w:pStyle w:val="Encabezado"/>
              <w:spacing w:before="60" w:after="60"/>
              <w:contextualSpacing/>
              <w:jc w:val="center"/>
              <w:rPr>
                <w:rFonts w:ascii="Arial" w:hAnsi="Arial" w:cs="Arial"/>
                <w:b/>
                <w:bCs/>
                <w:sz w:val="22"/>
                <w:szCs w:val="22"/>
                <w:lang w:val="es-ES"/>
              </w:rPr>
            </w:pPr>
            <w:r w:rsidRPr="00344818">
              <w:rPr>
                <w:rFonts w:ascii="Arial" w:hAnsi="Arial" w:cs="Arial"/>
                <w:sz w:val="22"/>
                <w:szCs w:val="22"/>
                <w:lang w:val="es-ES"/>
              </w:rPr>
              <w:t>1</w:t>
            </w:r>
          </w:p>
        </w:tc>
        <w:tc>
          <w:tcPr>
            <w:tcW w:w="1213" w:type="dxa"/>
            <w:vMerge w:val="restart"/>
            <w:vAlign w:val="center"/>
          </w:tcPr>
          <w:p w14:paraId="7414AD3A" w14:textId="77777777" w:rsidR="00AF300D" w:rsidRPr="00344818" w:rsidDel="0048515D" w:rsidRDefault="00AF300D" w:rsidP="00DA684E">
            <w:pPr>
              <w:spacing w:before="20" w:after="20"/>
              <w:ind w:left="34"/>
              <w:jc w:val="left"/>
              <w:rPr>
                <w:rFonts w:ascii="Arial" w:hAnsi="Arial" w:cs="Arial"/>
                <w:i/>
                <w:color w:val="FF0000"/>
                <w:sz w:val="22"/>
                <w:szCs w:val="22"/>
                <w:lang w:val="es-ES"/>
              </w:rPr>
            </w:pPr>
            <w:r w:rsidRPr="00344818">
              <w:rPr>
                <w:rFonts w:ascii="Arial" w:hAnsi="Arial" w:cs="Arial"/>
                <w:sz w:val="22"/>
                <w:szCs w:val="22"/>
                <w:lang w:val="es-ES"/>
              </w:rPr>
              <w:t>Ingeniero Residente</w:t>
            </w:r>
          </w:p>
        </w:tc>
        <w:tc>
          <w:tcPr>
            <w:tcW w:w="1435" w:type="dxa"/>
            <w:vAlign w:val="center"/>
          </w:tcPr>
          <w:p w14:paraId="5846742B" w14:textId="77777777" w:rsidR="00AF300D" w:rsidRPr="00344818" w:rsidDel="0048515D" w:rsidRDefault="00AF300D" w:rsidP="00DA684E">
            <w:pPr>
              <w:spacing w:before="20" w:after="20"/>
              <w:ind w:left="33"/>
              <w:jc w:val="left"/>
              <w:rPr>
                <w:rFonts w:ascii="Arial" w:hAnsi="Arial" w:cs="Arial"/>
                <w:i/>
                <w:color w:val="FF0000"/>
                <w:sz w:val="22"/>
                <w:szCs w:val="22"/>
                <w:lang w:val="es-ES"/>
              </w:rPr>
            </w:pPr>
            <w:r w:rsidRPr="00344818">
              <w:rPr>
                <w:rFonts w:ascii="Arial" w:hAnsi="Arial" w:cs="Arial"/>
                <w:sz w:val="22"/>
                <w:szCs w:val="22"/>
                <w:lang w:val="es-ES"/>
              </w:rPr>
              <w:t xml:space="preserve">Educación </w:t>
            </w:r>
          </w:p>
        </w:tc>
        <w:tc>
          <w:tcPr>
            <w:tcW w:w="2795" w:type="dxa"/>
            <w:vAlign w:val="center"/>
          </w:tcPr>
          <w:p w14:paraId="21E37741" w14:textId="77777777" w:rsidR="00AF300D" w:rsidRPr="00344818" w:rsidDel="0048515D" w:rsidRDefault="00AF300D" w:rsidP="00DA684E">
            <w:pPr>
              <w:spacing w:before="20" w:after="20"/>
              <w:ind w:left="33"/>
              <w:rPr>
                <w:rFonts w:ascii="Arial" w:hAnsi="Arial" w:cs="Arial"/>
                <w:sz w:val="22"/>
                <w:szCs w:val="22"/>
                <w:lang w:val="es-ES"/>
              </w:rPr>
            </w:pPr>
            <w:r w:rsidRPr="00344818">
              <w:rPr>
                <w:rFonts w:ascii="Arial" w:hAnsi="Arial" w:cs="Arial"/>
                <w:sz w:val="22"/>
                <w:szCs w:val="22"/>
                <w:lang w:val="es-ES"/>
              </w:rPr>
              <w:t>Titulado en Ingeniería Civil ó Arquitectura.</w:t>
            </w:r>
          </w:p>
        </w:tc>
        <w:tc>
          <w:tcPr>
            <w:tcW w:w="1530" w:type="dxa"/>
            <w:vAlign w:val="center"/>
          </w:tcPr>
          <w:p w14:paraId="2E62C617" w14:textId="77777777" w:rsidR="00AF300D" w:rsidRPr="00344818" w:rsidDel="0048515D" w:rsidRDefault="00AF300D" w:rsidP="00DA684E">
            <w:pPr>
              <w:spacing w:before="20" w:after="20"/>
              <w:jc w:val="center"/>
              <w:rPr>
                <w:rFonts w:ascii="Arial" w:hAnsi="Arial" w:cs="Arial"/>
                <w:sz w:val="22"/>
                <w:szCs w:val="22"/>
                <w:lang w:val="es-ES"/>
              </w:rPr>
            </w:pPr>
            <w:r w:rsidRPr="00344818">
              <w:rPr>
                <w:rFonts w:ascii="Arial" w:hAnsi="Arial" w:cs="Arial"/>
                <w:sz w:val="22"/>
                <w:szCs w:val="22"/>
                <w:lang w:val="es-ES"/>
              </w:rPr>
              <w:t>Cumple / No Cumple</w:t>
            </w:r>
          </w:p>
        </w:tc>
        <w:tc>
          <w:tcPr>
            <w:tcW w:w="1890" w:type="dxa"/>
            <w:vMerge w:val="restart"/>
            <w:vAlign w:val="center"/>
          </w:tcPr>
          <w:p w14:paraId="1E563327" w14:textId="77777777" w:rsidR="00AF300D" w:rsidRPr="00344818" w:rsidDel="0048515D" w:rsidRDefault="00AF300D" w:rsidP="00DA684E">
            <w:pPr>
              <w:spacing w:before="20" w:after="20"/>
              <w:jc w:val="center"/>
              <w:rPr>
                <w:rFonts w:ascii="Arial" w:hAnsi="Arial" w:cs="Arial"/>
                <w:sz w:val="22"/>
                <w:szCs w:val="22"/>
                <w:lang w:val="es-ES"/>
              </w:rPr>
            </w:pPr>
            <w:r w:rsidRPr="00344818" w:rsidDel="0048515D">
              <w:rPr>
                <w:rFonts w:ascii="Arial" w:hAnsi="Arial" w:cs="Arial"/>
                <w:sz w:val="22"/>
                <w:szCs w:val="22"/>
                <w:lang w:val="es-ES"/>
              </w:rPr>
              <w:t>Formulario TEC-</w:t>
            </w:r>
            <w:r w:rsidRPr="00344818">
              <w:rPr>
                <w:rFonts w:ascii="Arial" w:hAnsi="Arial" w:cs="Arial"/>
                <w:sz w:val="22"/>
                <w:szCs w:val="22"/>
                <w:lang w:val="es-ES"/>
              </w:rPr>
              <w:t>1</w:t>
            </w:r>
            <w:r w:rsidRPr="00344818" w:rsidDel="0048515D">
              <w:rPr>
                <w:rFonts w:ascii="Arial" w:hAnsi="Arial" w:cs="Arial"/>
                <w:sz w:val="22"/>
                <w:szCs w:val="22"/>
                <w:lang w:val="es-ES"/>
              </w:rPr>
              <w:t xml:space="preserve"> y TEC-</w:t>
            </w:r>
            <w:r w:rsidRPr="00344818">
              <w:rPr>
                <w:rFonts w:ascii="Arial" w:hAnsi="Arial" w:cs="Arial"/>
                <w:sz w:val="22"/>
                <w:szCs w:val="22"/>
                <w:lang w:val="es-ES"/>
              </w:rPr>
              <w:t>2</w:t>
            </w:r>
            <w:r w:rsidRPr="00344818" w:rsidDel="0048515D">
              <w:rPr>
                <w:rFonts w:ascii="Arial" w:hAnsi="Arial" w:cs="Arial"/>
                <w:sz w:val="22"/>
                <w:szCs w:val="22"/>
                <w:lang w:val="es-ES"/>
              </w:rPr>
              <w:t xml:space="preserve"> con su respaldo correspondiente</w:t>
            </w:r>
          </w:p>
        </w:tc>
      </w:tr>
      <w:tr w:rsidR="00AF300D" w:rsidRPr="00344818" w:rsidDel="0048515D" w14:paraId="630B6FC7" w14:textId="77777777" w:rsidTr="00DA684E">
        <w:trPr>
          <w:gridAfter w:val="1"/>
          <w:wAfter w:w="10" w:type="dxa"/>
          <w:trHeight w:val="339"/>
        </w:trPr>
        <w:tc>
          <w:tcPr>
            <w:tcW w:w="630" w:type="dxa"/>
            <w:vMerge/>
            <w:vAlign w:val="center"/>
          </w:tcPr>
          <w:p w14:paraId="37F24669" w14:textId="77777777" w:rsidR="00AF300D" w:rsidRPr="00344818" w:rsidDel="0048515D" w:rsidRDefault="00AF300D" w:rsidP="00DA684E">
            <w:pPr>
              <w:pStyle w:val="Encabezado"/>
              <w:spacing w:before="60" w:after="60"/>
              <w:contextualSpacing/>
              <w:jc w:val="center"/>
              <w:rPr>
                <w:rFonts w:ascii="Arial" w:hAnsi="Arial" w:cs="Arial"/>
                <w:sz w:val="22"/>
                <w:szCs w:val="22"/>
                <w:lang w:val="es-ES"/>
              </w:rPr>
            </w:pPr>
          </w:p>
        </w:tc>
        <w:tc>
          <w:tcPr>
            <w:tcW w:w="1213" w:type="dxa"/>
            <w:vMerge/>
            <w:vAlign w:val="center"/>
          </w:tcPr>
          <w:p w14:paraId="6483FB97" w14:textId="77777777" w:rsidR="00AF300D" w:rsidRPr="00344818" w:rsidDel="0048515D" w:rsidRDefault="00AF300D" w:rsidP="00DA684E">
            <w:pPr>
              <w:spacing w:before="20" w:after="20"/>
              <w:rPr>
                <w:rFonts w:ascii="Arial" w:hAnsi="Arial" w:cs="Arial"/>
                <w:i/>
                <w:sz w:val="22"/>
                <w:szCs w:val="22"/>
                <w:lang w:val="es-ES"/>
              </w:rPr>
            </w:pPr>
          </w:p>
        </w:tc>
        <w:tc>
          <w:tcPr>
            <w:tcW w:w="1435" w:type="dxa"/>
            <w:vAlign w:val="center"/>
          </w:tcPr>
          <w:p w14:paraId="3657BAB4" w14:textId="77777777" w:rsidR="00AF300D" w:rsidRPr="00344818" w:rsidDel="0048515D" w:rsidRDefault="00AF300D" w:rsidP="00DA684E">
            <w:pPr>
              <w:tabs>
                <w:tab w:val="num" w:pos="1025"/>
              </w:tabs>
              <w:spacing w:before="20" w:after="20"/>
              <w:ind w:left="33"/>
              <w:jc w:val="left"/>
              <w:rPr>
                <w:rFonts w:ascii="Arial" w:hAnsi="Arial" w:cs="Arial"/>
                <w:i/>
                <w:color w:val="FF0000"/>
                <w:sz w:val="22"/>
                <w:szCs w:val="22"/>
                <w:lang w:val="es-ES"/>
              </w:rPr>
            </w:pPr>
            <w:r w:rsidRPr="00344818">
              <w:rPr>
                <w:rFonts w:ascii="Arial" w:hAnsi="Arial" w:cs="Arial"/>
                <w:sz w:val="22"/>
                <w:szCs w:val="22"/>
                <w:lang w:val="es-ES"/>
              </w:rPr>
              <w:t xml:space="preserve">Experiencia General </w:t>
            </w:r>
          </w:p>
        </w:tc>
        <w:tc>
          <w:tcPr>
            <w:tcW w:w="2795" w:type="dxa"/>
            <w:vAlign w:val="center"/>
          </w:tcPr>
          <w:p w14:paraId="5EA265FA" w14:textId="77777777" w:rsidR="00AF300D" w:rsidRPr="00344818" w:rsidDel="0048515D" w:rsidRDefault="00AF300D" w:rsidP="00DA684E">
            <w:pPr>
              <w:spacing w:before="20" w:after="20"/>
              <w:ind w:left="33"/>
              <w:rPr>
                <w:rFonts w:ascii="Arial" w:hAnsi="Arial" w:cs="Arial"/>
                <w:i/>
                <w:color w:val="FF0000"/>
                <w:sz w:val="22"/>
                <w:szCs w:val="22"/>
                <w:lang w:val="es-ES"/>
              </w:rPr>
            </w:pPr>
            <w:r w:rsidRPr="00344818">
              <w:rPr>
                <w:rFonts w:ascii="Arial" w:hAnsi="Arial" w:cs="Arial"/>
                <w:sz w:val="22"/>
                <w:szCs w:val="22"/>
                <w:lang w:val="es-ES"/>
              </w:rPr>
              <w:t>Tres (3) proyectos de Obras Civiles. En el cargo de Ingeniero, Residente y/o Supervisor.</w:t>
            </w:r>
          </w:p>
        </w:tc>
        <w:tc>
          <w:tcPr>
            <w:tcW w:w="1530" w:type="dxa"/>
            <w:vAlign w:val="center"/>
          </w:tcPr>
          <w:p w14:paraId="172F18D1" w14:textId="77777777" w:rsidR="00AF300D" w:rsidRPr="00344818" w:rsidDel="0048515D" w:rsidRDefault="00AF300D" w:rsidP="00DA684E">
            <w:pPr>
              <w:spacing w:before="20" w:after="20"/>
              <w:jc w:val="center"/>
              <w:rPr>
                <w:rFonts w:ascii="Arial" w:hAnsi="Arial" w:cs="Arial"/>
                <w:sz w:val="22"/>
                <w:szCs w:val="22"/>
              </w:rPr>
            </w:pPr>
            <w:r w:rsidRPr="00344818">
              <w:rPr>
                <w:rFonts w:ascii="Arial" w:hAnsi="Arial" w:cs="Arial"/>
                <w:sz w:val="22"/>
                <w:szCs w:val="22"/>
                <w:lang w:val="es-ES"/>
              </w:rPr>
              <w:t>Cumple / No Cumple</w:t>
            </w:r>
          </w:p>
        </w:tc>
        <w:tc>
          <w:tcPr>
            <w:tcW w:w="1890" w:type="dxa"/>
            <w:vMerge/>
          </w:tcPr>
          <w:p w14:paraId="04D7BA1C" w14:textId="77777777" w:rsidR="00AF300D" w:rsidRPr="00344818" w:rsidDel="0048515D" w:rsidRDefault="00AF300D" w:rsidP="00DA684E">
            <w:pPr>
              <w:spacing w:before="60" w:after="60"/>
              <w:contextualSpacing/>
              <w:rPr>
                <w:rFonts w:ascii="Arial" w:hAnsi="Arial" w:cs="Arial"/>
                <w:sz w:val="22"/>
                <w:szCs w:val="22"/>
                <w:lang w:val="es-ES"/>
              </w:rPr>
            </w:pPr>
          </w:p>
        </w:tc>
      </w:tr>
      <w:tr w:rsidR="00AF300D" w:rsidRPr="00344818" w:rsidDel="0048515D" w14:paraId="235F4B19" w14:textId="77777777" w:rsidTr="00DA684E">
        <w:trPr>
          <w:gridAfter w:val="1"/>
          <w:wAfter w:w="10" w:type="dxa"/>
          <w:trHeight w:val="444"/>
        </w:trPr>
        <w:tc>
          <w:tcPr>
            <w:tcW w:w="630" w:type="dxa"/>
            <w:vMerge/>
            <w:vAlign w:val="center"/>
          </w:tcPr>
          <w:p w14:paraId="48CC1A8E" w14:textId="77777777" w:rsidR="00AF300D" w:rsidRPr="00344818" w:rsidDel="0048515D" w:rsidRDefault="00AF300D" w:rsidP="00DA684E">
            <w:pPr>
              <w:pStyle w:val="Encabezado"/>
              <w:spacing w:before="60" w:after="60"/>
              <w:contextualSpacing/>
              <w:jc w:val="center"/>
              <w:rPr>
                <w:rFonts w:ascii="Arial" w:hAnsi="Arial" w:cs="Arial"/>
                <w:sz w:val="22"/>
                <w:szCs w:val="22"/>
                <w:lang w:val="es-ES"/>
              </w:rPr>
            </w:pPr>
          </w:p>
        </w:tc>
        <w:tc>
          <w:tcPr>
            <w:tcW w:w="1213" w:type="dxa"/>
            <w:vMerge/>
            <w:vAlign w:val="center"/>
          </w:tcPr>
          <w:p w14:paraId="59239DB0" w14:textId="77777777" w:rsidR="00AF300D" w:rsidRPr="00344818" w:rsidDel="0048515D" w:rsidRDefault="00AF300D" w:rsidP="00DA684E">
            <w:pPr>
              <w:spacing w:before="20" w:after="20"/>
              <w:rPr>
                <w:rFonts w:ascii="Arial" w:hAnsi="Arial" w:cs="Arial"/>
                <w:i/>
                <w:sz w:val="22"/>
                <w:szCs w:val="22"/>
                <w:lang w:val="es-ES"/>
              </w:rPr>
            </w:pPr>
          </w:p>
        </w:tc>
        <w:tc>
          <w:tcPr>
            <w:tcW w:w="1435" w:type="dxa"/>
            <w:vAlign w:val="center"/>
          </w:tcPr>
          <w:p w14:paraId="46655C8D" w14:textId="77777777" w:rsidR="00AF300D" w:rsidRPr="00344818" w:rsidDel="0048515D" w:rsidRDefault="00AF300D" w:rsidP="00DA684E">
            <w:pPr>
              <w:tabs>
                <w:tab w:val="num" w:pos="1025"/>
              </w:tabs>
              <w:spacing w:before="20" w:after="20"/>
              <w:ind w:left="33"/>
              <w:jc w:val="left"/>
              <w:rPr>
                <w:rFonts w:ascii="Arial" w:hAnsi="Arial" w:cs="Arial"/>
                <w:i/>
                <w:color w:val="FF0000"/>
                <w:sz w:val="22"/>
                <w:szCs w:val="22"/>
                <w:lang w:val="es-ES"/>
              </w:rPr>
            </w:pPr>
            <w:r w:rsidRPr="00344818">
              <w:rPr>
                <w:rFonts w:ascii="Arial" w:hAnsi="Arial" w:cs="Arial"/>
                <w:sz w:val="22"/>
                <w:szCs w:val="22"/>
                <w:lang w:val="es-ES"/>
              </w:rPr>
              <w:t>Experiencia Especifica</w:t>
            </w:r>
          </w:p>
        </w:tc>
        <w:tc>
          <w:tcPr>
            <w:tcW w:w="2795" w:type="dxa"/>
            <w:vAlign w:val="center"/>
          </w:tcPr>
          <w:p w14:paraId="399C717A" w14:textId="77777777" w:rsidR="00AF300D" w:rsidRPr="00344818" w:rsidDel="0048515D" w:rsidRDefault="00AF300D" w:rsidP="00DA684E">
            <w:pPr>
              <w:spacing w:before="20" w:after="20"/>
              <w:ind w:left="33"/>
              <w:rPr>
                <w:rFonts w:ascii="Arial" w:hAnsi="Arial" w:cs="Arial"/>
                <w:i/>
                <w:color w:val="FF0000"/>
                <w:sz w:val="22"/>
                <w:szCs w:val="22"/>
                <w:lang w:val="es-ES"/>
              </w:rPr>
            </w:pPr>
            <w:r w:rsidRPr="00344818">
              <w:rPr>
                <w:rFonts w:ascii="Arial" w:hAnsi="Arial" w:cs="Arial"/>
                <w:sz w:val="22"/>
                <w:szCs w:val="22"/>
                <w:lang w:val="es-ES"/>
              </w:rPr>
              <w:t>Dos (2) proyectos de Agua y Saneamiento / Agua / Saneamiento (excepto letrinas). En el cargo de Ingeniero Residente y/o Supervisor</w:t>
            </w:r>
          </w:p>
        </w:tc>
        <w:tc>
          <w:tcPr>
            <w:tcW w:w="1530" w:type="dxa"/>
            <w:vAlign w:val="center"/>
          </w:tcPr>
          <w:p w14:paraId="41BA3082" w14:textId="77777777" w:rsidR="00AF300D" w:rsidRPr="00344818" w:rsidDel="0048515D" w:rsidRDefault="00AF300D" w:rsidP="00DA684E">
            <w:pPr>
              <w:spacing w:before="20" w:after="20"/>
              <w:jc w:val="center"/>
              <w:rPr>
                <w:rFonts w:ascii="Arial" w:hAnsi="Arial" w:cs="Arial"/>
                <w:sz w:val="22"/>
                <w:szCs w:val="22"/>
              </w:rPr>
            </w:pPr>
            <w:r w:rsidRPr="00344818">
              <w:rPr>
                <w:rFonts w:ascii="Arial" w:hAnsi="Arial" w:cs="Arial"/>
                <w:sz w:val="22"/>
                <w:szCs w:val="22"/>
                <w:lang w:val="es-ES"/>
              </w:rPr>
              <w:t>Cumple / No Cumple</w:t>
            </w:r>
          </w:p>
        </w:tc>
        <w:tc>
          <w:tcPr>
            <w:tcW w:w="1890" w:type="dxa"/>
            <w:vMerge/>
          </w:tcPr>
          <w:p w14:paraId="1EE3C73E" w14:textId="77777777" w:rsidR="00AF300D" w:rsidRPr="00344818" w:rsidDel="0048515D" w:rsidRDefault="00AF300D" w:rsidP="00DA684E">
            <w:pPr>
              <w:spacing w:before="60" w:after="60"/>
              <w:ind w:right="175"/>
              <w:contextualSpacing/>
              <w:rPr>
                <w:rFonts w:ascii="Arial" w:hAnsi="Arial" w:cs="Arial"/>
                <w:sz w:val="22"/>
                <w:szCs w:val="22"/>
                <w:lang w:val="es-ES"/>
              </w:rPr>
            </w:pPr>
          </w:p>
        </w:tc>
      </w:tr>
      <w:tr w:rsidR="00AF300D" w:rsidRPr="00344818" w:rsidDel="0048515D" w14:paraId="4C457E25" w14:textId="77777777" w:rsidTr="00DA684E">
        <w:trPr>
          <w:gridAfter w:val="1"/>
          <w:wAfter w:w="10" w:type="dxa"/>
          <w:trHeight w:val="444"/>
        </w:trPr>
        <w:tc>
          <w:tcPr>
            <w:tcW w:w="630" w:type="dxa"/>
            <w:vMerge w:val="restart"/>
            <w:vAlign w:val="center"/>
          </w:tcPr>
          <w:p w14:paraId="19D0D30E" w14:textId="77777777" w:rsidR="00AF300D" w:rsidRPr="00344818" w:rsidDel="0048515D" w:rsidRDefault="00AF300D" w:rsidP="00DA684E">
            <w:pPr>
              <w:pStyle w:val="Encabezado"/>
              <w:spacing w:before="60" w:after="60"/>
              <w:contextualSpacing/>
              <w:jc w:val="center"/>
              <w:rPr>
                <w:rFonts w:ascii="Arial" w:hAnsi="Arial" w:cs="Arial"/>
                <w:sz w:val="22"/>
                <w:szCs w:val="22"/>
                <w:lang w:val="es-ES"/>
              </w:rPr>
            </w:pPr>
            <w:r w:rsidRPr="00344818">
              <w:rPr>
                <w:rFonts w:ascii="Arial" w:hAnsi="Arial" w:cs="Arial"/>
                <w:sz w:val="22"/>
                <w:szCs w:val="22"/>
                <w:lang w:val="es-ES"/>
              </w:rPr>
              <w:t>2</w:t>
            </w:r>
          </w:p>
        </w:tc>
        <w:tc>
          <w:tcPr>
            <w:tcW w:w="1213" w:type="dxa"/>
            <w:vMerge w:val="restart"/>
            <w:vAlign w:val="center"/>
          </w:tcPr>
          <w:p w14:paraId="7B3D72CF" w14:textId="77777777" w:rsidR="00AF300D" w:rsidRPr="00344818" w:rsidDel="0048515D" w:rsidRDefault="00AF300D" w:rsidP="00DA684E">
            <w:pPr>
              <w:spacing w:before="20" w:after="20"/>
              <w:jc w:val="center"/>
              <w:rPr>
                <w:rFonts w:ascii="Arial" w:hAnsi="Arial" w:cs="Arial"/>
                <w:i/>
                <w:sz w:val="22"/>
                <w:szCs w:val="22"/>
                <w:lang w:val="es-ES"/>
              </w:rPr>
            </w:pPr>
            <w:r w:rsidRPr="00344818">
              <w:rPr>
                <w:rFonts w:ascii="Arial" w:hAnsi="Arial" w:cs="Arial"/>
                <w:sz w:val="22"/>
                <w:szCs w:val="22"/>
                <w:lang w:val="es-ES"/>
              </w:rPr>
              <w:t>Facilitador Social Individual</w:t>
            </w:r>
          </w:p>
        </w:tc>
        <w:tc>
          <w:tcPr>
            <w:tcW w:w="1435" w:type="dxa"/>
            <w:vAlign w:val="center"/>
          </w:tcPr>
          <w:p w14:paraId="7F6A6E46" w14:textId="77777777" w:rsidR="00AF300D" w:rsidRPr="00344818" w:rsidRDefault="00AF300D" w:rsidP="00DA684E">
            <w:pPr>
              <w:tabs>
                <w:tab w:val="num" w:pos="1025"/>
              </w:tabs>
              <w:spacing w:before="20" w:after="20"/>
              <w:ind w:left="33"/>
              <w:jc w:val="left"/>
              <w:rPr>
                <w:rFonts w:ascii="Arial" w:hAnsi="Arial" w:cs="Arial"/>
                <w:sz w:val="22"/>
                <w:szCs w:val="22"/>
                <w:lang w:val="es-ES"/>
              </w:rPr>
            </w:pPr>
            <w:r w:rsidRPr="00344818">
              <w:rPr>
                <w:rFonts w:ascii="Arial" w:hAnsi="Arial" w:cs="Arial"/>
                <w:sz w:val="22"/>
                <w:szCs w:val="22"/>
                <w:lang w:val="es-ES"/>
              </w:rPr>
              <w:t xml:space="preserve">Educación </w:t>
            </w:r>
          </w:p>
        </w:tc>
        <w:tc>
          <w:tcPr>
            <w:tcW w:w="2795" w:type="dxa"/>
            <w:vAlign w:val="center"/>
          </w:tcPr>
          <w:p w14:paraId="31157608" w14:textId="77777777" w:rsidR="00AF300D" w:rsidRPr="00344818" w:rsidRDefault="00AF300D" w:rsidP="00DA684E">
            <w:pPr>
              <w:spacing w:before="20" w:after="20"/>
              <w:ind w:left="33"/>
              <w:rPr>
                <w:rFonts w:ascii="Arial" w:hAnsi="Arial" w:cs="Arial"/>
                <w:sz w:val="22"/>
                <w:szCs w:val="22"/>
                <w:lang w:val="es-ES"/>
              </w:rPr>
            </w:pPr>
            <w:r w:rsidRPr="00344818">
              <w:rPr>
                <w:rFonts w:ascii="Arial" w:hAnsi="Arial" w:cs="Arial"/>
                <w:bCs/>
                <w:spacing w:val="-1"/>
                <w:sz w:val="22"/>
                <w:szCs w:val="22"/>
                <w:lang w:val="es-MX"/>
              </w:rPr>
              <w:t>Profesional, o Egresado</w:t>
            </w:r>
            <w:r w:rsidRPr="00344818">
              <w:rPr>
                <w:rFonts w:ascii="Arial" w:hAnsi="Arial" w:cs="Arial"/>
                <w:b/>
                <w:bCs/>
                <w:spacing w:val="-1"/>
                <w:sz w:val="22"/>
                <w:szCs w:val="22"/>
                <w:lang w:val="es-MX"/>
              </w:rPr>
              <w:t xml:space="preserve"> </w:t>
            </w:r>
            <w:r w:rsidRPr="00344818">
              <w:rPr>
                <w:rFonts w:ascii="Arial" w:hAnsi="Arial" w:cs="Arial"/>
                <w:spacing w:val="-1"/>
                <w:sz w:val="22"/>
                <w:szCs w:val="22"/>
                <w:lang w:val="es-MX"/>
              </w:rPr>
              <w:t>de carreras de Sociología, Antropología, Trabajo Social, Desarrollo Rural, Economía Agrícola, Psicología y/o de Ciencias Sociales, Ambientales, Jurídicas, Económicas, de la Administración, Agrarias, Forestales, de la Educación (Incluida la informática Educativa), de la comunicación (Periodismo, Comunicación, Comunicación Social, Relaciones Públicas), Ciencias de la Ingeniería y Arquitectura.</w:t>
            </w:r>
          </w:p>
        </w:tc>
        <w:tc>
          <w:tcPr>
            <w:tcW w:w="1530" w:type="dxa"/>
            <w:vAlign w:val="center"/>
          </w:tcPr>
          <w:p w14:paraId="1F5DDB76" w14:textId="77777777" w:rsidR="00AF300D" w:rsidRPr="00344818" w:rsidRDefault="00AF300D" w:rsidP="00DA684E">
            <w:pPr>
              <w:spacing w:before="20" w:after="20"/>
              <w:jc w:val="center"/>
              <w:rPr>
                <w:rFonts w:ascii="Arial" w:hAnsi="Arial" w:cs="Arial"/>
                <w:sz w:val="22"/>
                <w:szCs w:val="22"/>
                <w:lang w:val="es-ES"/>
              </w:rPr>
            </w:pPr>
            <w:r w:rsidRPr="00344818">
              <w:rPr>
                <w:rFonts w:ascii="Arial" w:hAnsi="Arial" w:cs="Arial"/>
                <w:sz w:val="22"/>
                <w:szCs w:val="22"/>
                <w:lang w:val="es-ES"/>
              </w:rPr>
              <w:t>Cumple / No Cumple</w:t>
            </w:r>
          </w:p>
        </w:tc>
        <w:tc>
          <w:tcPr>
            <w:tcW w:w="1890" w:type="dxa"/>
            <w:vMerge w:val="restart"/>
            <w:vAlign w:val="center"/>
          </w:tcPr>
          <w:p w14:paraId="6EB90D70" w14:textId="77777777" w:rsidR="00AF300D" w:rsidRPr="00344818" w:rsidDel="0048515D" w:rsidRDefault="00AF300D" w:rsidP="00DA684E">
            <w:pPr>
              <w:spacing w:before="60" w:after="60"/>
              <w:ind w:right="175"/>
              <w:contextualSpacing/>
              <w:jc w:val="center"/>
              <w:rPr>
                <w:rFonts w:ascii="Arial" w:hAnsi="Arial" w:cs="Arial"/>
                <w:sz w:val="22"/>
                <w:szCs w:val="22"/>
                <w:lang w:val="es-ES"/>
              </w:rPr>
            </w:pPr>
            <w:r w:rsidRPr="00344818" w:rsidDel="0048515D">
              <w:rPr>
                <w:rFonts w:ascii="Arial" w:hAnsi="Arial" w:cs="Arial"/>
                <w:sz w:val="22"/>
                <w:szCs w:val="22"/>
                <w:lang w:val="es-ES"/>
              </w:rPr>
              <w:t>Formulario TEC-</w:t>
            </w:r>
            <w:r w:rsidRPr="00344818">
              <w:rPr>
                <w:rFonts w:ascii="Arial" w:hAnsi="Arial" w:cs="Arial"/>
                <w:sz w:val="22"/>
                <w:szCs w:val="22"/>
                <w:lang w:val="es-ES"/>
              </w:rPr>
              <w:t>1</w:t>
            </w:r>
            <w:r w:rsidRPr="00344818" w:rsidDel="0048515D">
              <w:rPr>
                <w:rFonts w:ascii="Arial" w:hAnsi="Arial" w:cs="Arial"/>
                <w:sz w:val="22"/>
                <w:szCs w:val="22"/>
                <w:lang w:val="es-ES"/>
              </w:rPr>
              <w:t xml:space="preserve"> y TEC-</w:t>
            </w:r>
            <w:r w:rsidRPr="00344818">
              <w:rPr>
                <w:rFonts w:ascii="Arial" w:hAnsi="Arial" w:cs="Arial"/>
                <w:sz w:val="22"/>
                <w:szCs w:val="22"/>
                <w:lang w:val="es-ES"/>
              </w:rPr>
              <w:t>2</w:t>
            </w:r>
            <w:r w:rsidRPr="00344818" w:rsidDel="0048515D">
              <w:rPr>
                <w:rFonts w:ascii="Arial" w:hAnsi="Arial" w:cs="Arial"/>
                <w:sz w:val="22"/>
                <w:szCs w:val="22"/>
                <w:lang w:val="es-ES"/>
              </w:rPr>
              <w:t xml:space="preserve"> con su respaldo correspondient</w:t>
            </w:r>
            <w:r w:rsidRPr="00344818">
              <w:rPr>
                <w:rFonts w:ascii="Arial" w:hAnsi="Arial" w:cs="Arial"/>
                <w:sz w:val="22"/>
                <w:szCs w:val="22"/>
                <w:lang w:val="es-ES"/>
              </w:rPr>
              <w:t>e</w:t>
            </w:r>
          </w:p>
        </w:tc>
      </w:tr>
      <w:tr w:rsidR="00AF300D" w:rsidRPr="00344818" w:rsidDel="0048515D" w14:paraId="56BE2B1B" w14:textId="77777777" w:rsidTr="00DA684E">
        <w:trPr>
          <w:gridAfter w:val="1"/>
          <w:wAfter w:w="10" w:type="dxa"/>
          <w:trHeight w:val="444"/>
        </w:trPr>
        <w:tc>
          <w:tcPr>
            <w:tcW w:w="630" w:type="dxa"/>
            <w:vMerge/>
          </w:tcPr>
          <w:p w14:paraId="2105200B" w14:textId="77777777" w:rsidR="00AF300D" w:rsidRPr="00344818" w:rsidDel="0048515D" w:rsidRDefault="00AF300D" w:rsidP="00DA684E">
            <w:pPr>
              <w:pStyle w:val="Encabezado"/>
              <w:spacing w:before="60" w:after="60"/>
              <w:contextualSpacing/>
              <w:jc w:val="center"/>
              <w:rPr>
                <w:rFonts w:ascii="Arial" w:hAnsi="Arial" w:cs="Arial"/>
                <w:sz w:val="22"/>
                <w:szCs w:val="22"/>
                <w:lang w:val="es-ES"/>
              </w:rPr>
            </w:pPr>
          </w:p>
        </w:tc>
        <w:tc>
          <w:tcPr>
            <w:tcW w:w="1213" w:type="dxa"/>
            <w:vMerge/>
          </w:tcPr>
          <w:p w14:paraId="5CAB0E3A" w14:textId="77777777" w:rsidR="00AF300D" w:rsidRPr="00344818" w:rsidDel="0048515D" w:rsidRDefault="00AF300D" w:rsidP="00DA684E">
            <w:pPr>
              <w:spacing w:before="20" w:after="20"/>
              <w:rPr>
                <w:rFonts w:ascii="Arial" w:hAnsi="Arial" w:cs="Arial"/>
                <w:i/>
                <w:sz w:val="22"/>
                <w:szCs w:val="22"/>
                <w:lang w:val="es-ES"/>
              </w:rPr>
            </w:pPr>
          </w:p>
        </w:tc>
        <w:tc>
          <w:tcPr>
            <w:tcW w:w="1435" w:type="dxa"/>
            <w:vAlign w:val="center"/>
          </w:tcPr>
          <w:p w14:paraId="294DA4CF" w14:textId="77777777" w:rsidR="00AF300D" w:rsidRPr="00344818" w:rsidRDefault="00AF300D" w:rsidP="00DA684E">
            <w:pPr>
              <w:tabs>
                <w:tab w:val="num" w:pos="1025"/>
              </w:tabs>
              <w:spacing w:before="20" w:after="20"/>
              <w:ind w:left="33"/>
              <w:jc w:val="left"/>
              <w:rPr>
                <w:rFonts w:ascii="Arial" w:hAnsi="Arial" w:cs="Arial"/>
                <w:sz w:val="22"/>
                <w:szCs w:val="22"/>
                <w:lang w:val="es-ES"/>
              </w:rPr>
            </w:pPr>
            <w:r w:rsidRPr="00344818">
              <w:rPr>
                <w:rFonts w:ascii="Arial" w:hAnsi="Arial" w:cs="Arial"/>
                <w:sz w:val="22"/>
                <w:szCs w:val="22"/>
                <w:lang w:val="es-ES"/>
              </w:rPr>
              <w:t xml:space="preserve">Experiencia General </w:t>
            </w:r>
          </w:p>
        </w:tc>
        <w:tc>
          <w:tcPr>
            <w:tcW w:w="2795" w:type="dxa"/>
            <w:vAlign w:val="center"/>
          </w:tcPr>
          <w:p w14:paraId="22B85598" w14:textId="77777777" w:rsidR="00AF300D" w:rsidRPr="00344818" w:rsidRDefault="00AF300D" w:rsidP="00DA684E">
            <w:pPr>
              <w:spacing w:before="20" w:after="20"/>
              <w:ind w:left="33"/>
              <w:rPr>
                <w:rFonts w:ascii="Arial" w:hAnsi="Arial" w:cs="Arial"/>
                <w:sz w:val="22"/>
                <w:szCs w:val="22"/>
                <w:lang w:val="es-ES"/>
              </w:rPr>
            </w:pPr>
            <w:r w:rsidRPr="00344818">
              <w:rPr>
                <w:rFonts w:ascii="Arial" w:hAnsi="Arial" w:cs="Arial"/>
                <w:sz w:val="22"/>
                <w:szCs w:val="22"/>
                <w:lang w:val="es-ES"/>
              </w:rPr>
              <w:t xml:space="preserve">Tres (3) proyectos </w:t>
            </w:r>
            <w:r w:rsidRPr="00344818">
              <w:rPr>
                <w:rFonts w:ascii="Arial" w:hAnsi="Arial" w:cs="Arial"/>
                <w:spacing w:val="-1"/>
                <w:sz w:val="22"/>
                <w:szCs w:val="22"/>
              </w:rPr>
              <w:t>en acompañamiento social y/o comunitario</w:t>
            </w:r>
            <w:r w:rsidRPr="00344818">
              <w:rPr>
                <w:rFonts w:ascii="Arial" w:hAnsi="Arial" w:cs="Arial"/>
                <w:sz w:val="22"/>
                <w:szCs w:val="22"/>
                <w:lang w:val="es-ES"/>
              </w:rPr>
              <w:t>.</w:t>
            </w:r>
          </w:p>
        </w:tc>
        <w:tc>
          <w:tcPr>
            <w:tcW w:w="1530" w:type="dxa"/>
            <w:vAlign w:val="center"/>
          </w:tcPr>
          <w:p w14:paraId="14B86B22" w14:textId="77777777" w:rsidR="00AF300D" w:rsidRPr="00344818" w:rsidRDefault="00AF300D" w:rsidP="00DA684E">
            <w:pPr>
              <w:spacing w:before="20" w:after="20"/>
              <w:jc w:val="center"/>
              <w:rPr>
                <w:rFonts w:ascii="Arial" w:hAnsi="Arial" w:cs="Arial"/>
                <w:sz w:val="22"/>
                <w:szCs w:val="22"/>
                <w:lang w:val="es-ES"/>
              </w:rPr>
            </w:pPr>
            <w:r w:rsidRPr="00344818">
              <w:rPr>
                <w:rFonts w:ascii="Arial" w:hAnsi="Arial" w:cs="Arial"/>
                <w:sz w:val="22"/>
                <w:szCs w:val="22"/>
                <w:lang w:val="es-ES"/>
              </w:rPr>
              <w:t>Cumple / No Cumple</w:t>
            </w:r>
          </w:p>
        </w:tc>
        <w:tc>
          <w:tcPr>
            <w:tcW w:w="1890" w:type="dxa"/>
            <w:vMerge/>
          </w:tcPr>
          <w:p w14:paraId="01F2B2B3" w14:textId="77777777" w:rsidR="00AF300D" w:rsidRPr="00344818" w:rsidDel="0048515D" w:rsidRDefault="00AF300D" w:rsidP="00DA684E">
            <w:pPr>
              <w:spacing w:before="60" w:after="60"/>
              <w:ind w:right="175"/>
              <w:contextualSpacing/>
              <w:rPr>
                <w:rFonts w:ascii="Arial" w:hAnsi="Arial" w:cs="Arial"/>
                <w:sz w:val="22"/>
                <w:szCs w:val="22"/>
                <w:lang w:val="es-ES"/>
              </w:rPr>
            </w:pPr>
          </w:p>
        </w:tc>
      </w:tr>
      <w:tr w:rsidR="00AF300D" w:rsidRPr="00344818" w:rsidDel="0048515D" w14:paraId="483B90CD" w14:textId="77777777" w:rsidTr="00DA684E">
        <w:trPr>
          <w:gridAfter w:val="1"/>
          <w:wAfter w:w="10" w:type="dxa"/>
          <w:trHeight w:val="444"/>
        </w:trPr>
        <w:tc>
          <w:tcPr>
            <w:tcW w:w="630" w:type="dxa"/>
            <w:vMerge/>
          </w:tcPr>
          <w:p w14:paraId="58889FD9" w14:textId="77777777" w:rsidR="00AF300D" w:rsidRPr="00344818" w:rsidDel="0048515D" w:rsidRDefault="00AF300D" w:rsidP="00DA684E">
            <w:pPr>
              <w:pStyle w:val="Encabezado"/>
              <w:spacing w:before="60" w:after="60"/>
              <w:contextualSpacing/>
              <w:jc w:val="center"/>
              <w:rPr>
                <w:rFonts w:ascii="Arial" w:hAnsi="Arial" w:cs="Arial"/>
                <w:sz w:val="22"/>
                <w:szCs w:val="22"/>
                <w:lang w:val="es-ES"/>
              </w:rPr>
            </w:pPr>
          </w:p>
        </w:tc>
        <w:tc>
          <w:tcPr>
            <w:tcW w:w="1213" w:type="dxa"/>
            <w:vMerge/>
          </w:tcPr>
          <w:p w14:paraId="0C692E0A" w14:textId="77777777" w:rsidR="00AF300D" w:rsidRPr="00344818" w:rsidDel="0048515D" w:rsidRDefault="00AF300D" w:rsidP="00DA684E">
            <w:pPr>
              <w:spacing w:before="20" w:after="20"/>
              <w:rPr>
                <w:rFonts w:ascii="Arial" w:hAnsi="Arial" w:cs="Arial"/>
                <w:i/>
                <w:sz w:val="22"/>
                <w:szCs w:val="22"/>
                <w:lang w:val="es-ES"/>
              </w:rPr>
            </w:pPr>
          </w:p>
        </w:tc>
        <w:tc>
          <w:tcPr>
            <w:tcW w:w="1435" w:type="dxa"/>
            <w:vAlign w:val="center"/>
          </w:tcPr>
          <w:p w14:paraId="3A17DFD1" w14:textId="77777777" w:rsidR="00AF300D" w:rsidRPr="00344818" w:rsidRDefault="00AF300D" w:rsidP="00DA684E">
            <w:pPr>
              <w:tabs>
                <w:tab w:val="num" w:pos="1025"/>
              </w:tabs>
              <w:spacing w:before="20" w:after="20"/>
              <w:ind w:left="33"/>
              <w:jc w:val="left"/>
              <w:rPr>
                <w:rFonts w:ascii="Arial" w:hAnsi="Arial" w:cs="Arial"/>
                <w:sz w:val="22"/>
                <w:szCs w:val="22"/>
                <w:lang w:val="es-ES"/>
              </w:rPr>
            </w:pPr>
            <w:r w:rsidRPr="00344818">
              <w:rPr>
                <w:rFonts w:ascii="Arial" w:hAnsi="Arial" w:cs="Arial"/>
                <w:sz w:val="22"/>
                <w:szCs w:val="22"/>
                <w:lang w:val="es-ES"/>
              </w:rPr>
              <w:t>Experiencia Especifica</w:t>
            </w:r>
          </w:p>
        </w:tc>
        <w:tc>
          <w:tcPr>
            <w:tcW w:w="2795" w:type="dxa"/>
            <w:vAlign w:val="center"/>
          </w:tcPr>
          <w:p w14:paraId="40F238E1" w14:textId="77777777" w:rsidR="00AF300D" w:rsidRPr="00344818" w:rsidRDefault="00AF300D" w:rsidP="00DA684E">
            <w:pPr>
              <w:spacing w:before="20" w:after="20"/>
              <w:ind w:left="33"/>
              <w:rPr>
                <w:rFonts w:ascii="Arial" w:hAnsi="Arial" w:cs="Arial"/>
                <w:sz w:val="22"/>
                <w:szCs w:val="22"/>
                <w:lang w:val="es-ES"/>
              </w:rPr>
            </w:pPr>
            <w:r w:rsidRPr="00344818">
              <w:rPr>
                <w:rFonts w:ascii="Arial" w:hAnsi="Arial" w:cs="Arial"/>
                <w:sz w:val="22"/>
                <w:szCs w:val="22"/>
                <w:lang w:val="es-ES"/>
              </w:rPr>
              <w:t xml:space="preserve">Dos (2) proyectos </w:t>
            </w:r>
            <w:r w:rsidRPr="00344818">
              <w:rPr>
                <w:rFonts w:ascii="Arial" w:hAnsi="Arial" w:cs="Arial"/>
                <w:spacing w:val="-1"/>
                <w:sz w:val="22"/>
                <w:szCs w:val="22"/>
              </w:rPr>
              <w:t>en acompañamiento social y/o comunitario  en agua y /o saneamiento .</w:t>
            </w:r>
          </w:p>
        </w:tc>
        <w:tc>
          <w:tcPr>
            <w:tcW w:w="1530" w:type="dxa"/>
            <w:vAlign w:val="center"/>
          </w:tcPr>
          <w:p w14:paraId="277CF56B" w14:textId="77777777" w:rsidR="00AF300D" w:rsidRPr="00344818" w:rsidRDefault="00AF300D" w:rsidP="00DA684E">
            <w:pPr>
              <w:spacing w:before="20" w:after="20"/>
              <w:jc w:val="center"/>
              <w:rPr>
                <w:rFonts w:ascii="Arial" w:hAnsi="Arial" w:cs="Arial"/>
                <w:sz w:val="22"/>
                <w:szCs w:val="22"/>
                <w:lang w:val="es-ES"/>
              </w:rPr>
            </w:pPr>
            <w:r w:rsidRPr="00344818">
              <w:rPr>
                <w:rFonts w:ascii="Arial" w:hAnsi="Arial" w:cs="Arial"/>
                <w:sz w:val="22"/>
                <w:szCs w:val="22"/>
                <w:lang w:val="es-ES"/>
              </w:rPr>
              <w:t>Cumple / No Cumple</w:t>
            </w:r>
          </w:p>
        </w:tc>
        <w:tc>
          <w:tcPr>
            <w:tcW w:w="1890" w:type="dxa"/>
            <w:vMerge/>
          </w:tcPr>
          <w:p w14:paraId="7FDFD000" w14:textId="77777777" w:rsidR="00AF300D" w:rsidRPr="00344818" w:rsidDel="0048515D" w:rsidRDefault="00AF300D" w:rsidP="00DA684E">
            <w:pPr>
              <w:spacing w:before="60" w:after="60"/>
              <w:ind w:right="175"/>
              <w:contextualSpacing/>
              <w:rPr>
                <w:rFonts w:ascii="Arial" w:hAnsi="Arial" w:cs="Arial"/>
                <w:sz w:val="22"/>
                <w:szCs w:val="22"/>
                <w:lang w:val="es-ES"/>
              </w:rPr>
            </w:pPr>
          </w:p>
        </w:tc>
      </w:tr>
    </w:tbl>
    <w:p w14:paraId="302EEB9B" w14:textId="77777777" w:rsidR="00AA0F1F" w:rsidRPr="002C6280" w:rsidRDefault="00AA0F1F" w:rsidP="000C6174">
      <w:pPr>
        <w:jc w:val="left"/>
        <w:rPr>
          <w:rFonts w:ascii="Arial" w:hAnsi="Arial" w:cs="Arial"/>
          <w:i/>
          <w:color w:val="FF0000"/>
          <w:sz w:val="22"/>
          <w:szCs w:val="22"/>
          <w:lang w:val="es-ES"/>
        </w:rPr>
      </w:pPr>
    </w:p>
    <w:p w14:paraId="131158B3" w14:textId="77777777" w:rsidR="00AF300D" w:rsidRPr="00344818" w:rsidRDefault="00AF300D" w:rsidP="00AF300D">
      <w:pPr>
        <w:jc w:val="left"/>
        <w:rPr>
          <w:rFonts w:ascii="Arial" w:hAnsi="Arial" w:cs="Arial"/>
          <w:i/>
          <w:sz w:val="22"/>
          <w:szCs w:val="22"/>
          <w:lang w:val="es-ES"/>
        </w:rPr>
      </w:pPr>
      <w:r w:rsidRPr="00344818">
        <w:rPr>
          <w:rFonts w:ascii="Arial" w:hAnsi="Arial" w:cs="Arial"/>
          <w:i/>
          <w:sz w:val="22"/>
          <w:szCs w:val="22"/>
          <w:lang w:val="es-ES"/>
        </w:rPr>
        <w:t xml:space="preserve">Este es </w:t>
      </w:r>
      <w:r>
        <w:rPr>
          <w:rFonts w:ascii="Arial" w:hAnsi="Arial" w:cs="Arial"/>
          <w:i/>
          <w:sz w:val="22"/>
          <w:szCs w:val="22"/>
          <w:lang w:val="es-ES"/>
        </w:rPr>
        <w:t>el personal clave mínimo para cada</w:t>
      </w:r>
      <w:r w:rsidRPr="00344818">
        <w:rPr>
          <w:rFonts w:ascii="Arial" w:hAnsi="Arial" w:cs="Arial"/>
          <w:i/>
          <w:sz w:val="22"/>
          <w:szCs w:val="22"/>
          <w:lang w:val="es-ES"/>
        </w:rPr>
        <w:t xml:space="preserve"> proyecto. </w:t>
      </w:r>
      <w:r>
        <w:rPr>
          <w:rFonts w:ascii="Arial" w:hAnsi="Arial" w:cs="Arial"/>
          <w:i/>
          <w:sz w:val="22"/>
          <w:szCs w:val="22"/>
          <w:lang w:val="es-ES"/>
        </w:rPr>
        <w:t xml:space="preserve">En caso de ofertar varios lotes, se deberá proponer distintos profesionales para cada lote ofertado, y estar </w:t>
      </w:r>
      <w:r w:rsidRPr="00344818">
        <w:rPr>
          <w:rFonts w:ascii="Arial" w:hAnsi="Arial" w:cs="Arial"/>
          <w:i/>
          <w:sz w:val="22"/>
          <w:szCs w:val="22"/>
          <w:lang w:val="es-ES"/>
        </w:rPr>
        <w:t xml:space="preserve">100% disponible </w:t>
      </w:r>
    </w:p>
    <w:p w14:paraId="1B849822" w14:textId="77777777" w:rsidR="00D62CF8" w:rsidRPr="002C6280" w:rsidDel="0048515D" w:rsidRDefault="00D62CF8" w:rsidP="000C6174">
      <w:pPr>
        <w:pStyle w:val="Piedepgina"/>
        <w:ind w:left="-720"/>
        <w:rPr>
          <w:rFonts w:ascii="Arial" w:hAnsi="Arial" w:cs="Arial"/>
          <w:color w:val="FF0000"/>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1980"/>
        <w:gridCol w:w="1800"/>
        <w:gridCol w:w="1440"/>
        <w:gridCol w:w="1260"/>
      </w:tblGrid>
      <w:tr w:rsidR="0086201A" w:rsidRPr="00344818" w:rsidDel="0048515D" w14:paraId="69E5355C" w14:textId="77777777" w:rsidTr="00DA684E">
        <w:tc>
          <w:tcPr>
            <w:tcW w:w="9360" w:type="dxa"/>
            <w:gridSpan w:val="6"/>
            <w:shd w:val="clear" w:color="auto" w:fill="002060"/>
            <w:vAlign w:val="center"/>
          </w:tcPr>
          <w:p w14:paraId="48CD004E" w14:textId="77777777" w:rsidR="0086201A" w:rsidRPr="00344818" w:rsidRDefault="0086201A" w:rsidP="00DA684E">
            <w:pPr>
              <w:pStyle w:val="Piedepgina"/>
              <w:keepNext/>
              <w:keepLines/>
              <w:rPr>
                <w:rFonts w:ascii="Arial" w:hAnsi="Arial" w:cs="Arial"/>
                <w:b/>
                <w:sz w:val="22"/>
                <w:szCs w:val="22"/>
                <w:lang w:val="es-ES"/>
              </w:rPr>
            </w:pPr>
          </w:p>
          <w:p w14:paraId="7B9193C3" w14:textId="77777777" w:rsidR="0086201A" w:rsidRPr="00344818" w:rsidRDefault="0086201A" w:rsidP="00DA684E">
            <w:pPr>
              <w:pStyle w:val="Piedepgina"/>
              <w:keepNext/>
              <w:keepLines/>
              <w:rPr>
                <w:rFonts w:ascii="Arial" w:hAnsi="Arial" w:cs="Arial"/>
                <w:b/>
                <w:i/>
                <w:color w:val="FF0000"/>
                <w:sz w:val="22"/>
                <w:szCs w:val="22"/>
                <w:lang w:val="es-ES"/>
              </w:rPr>
            </w:pPr>
            <w:r w:rsidRPr="00344818" w:rsidDel="0048515D">
              <w:rPr>
                <w:rFonts w:ascii="Arial" w:hAnsi="Arial" w:cs="Arial"/>
                <w:b/>
                <w:sz w:val="22"/>
                <w:szCs w:val="22"/>
                <w:lang w:val="es-ES"/>
              </w:rPr>
              <w:t>Criterio</w:t>
            </w:r>
            <w:r w:rsidRPr="00344818">
              <w:rPr>
                <w:rFonts w:ascii="Arial" w:hAnsi="Arial" w:cs="Arial"/>
                <w:b/>
                <w:sz w:val="22"/>
                <w:szCs w:val="22"/>
                <w:lang w:val="es-ES"/>
              </w:rPr>
              <w:t xml:space="preserve"> 2: Equipos para construcción</w:t>
            </w:r>
          </w:p>
          <w:p w14:paraId="1ADEA178" w14:textId="77777777" w:rsidR="0086201A" w:rsidRPr="00344818" w:rsidDel="0048515D" w:rsidRDefault="0086201A" w:rsidP="00DA684E">
            <w:pPr>
              <w:pStyle w:val="Piedepgina"/>
              <w:keepNext/>
              <w:keepLines/>
              <w:rPr>
                <w:rFonts w:ascii="Arial" w:hAnsi="Arial" w:cs="Arial"/>
                <w:b/>
                <w:sz w:val="22"/>
                <w:szCs w:val="22"/>
                <w:lang w:val="es-HN"/>
              </w:rPr>
            </w:pPr>
          </w:p>
        </w:tc>
      </w:tr>
      <w:tr w:rsidR="0086201A" w:rsidRPr="00344818" w:rsidDel="0048515D" w14:paraId="08EE1B5A" w14:textId="77777777" w:rsidTr="00DA684E">
        <w:tc>
          <w:tcPr>
            <w:tcW w:w="630" w:type="dxa"/>
            <w:shd w:val="clear" w:color="auto" w:fill="00B050"/>
            <w:vAlign w:val="center"/>
          </w:tcPr>
          <w:p w14:paraId="193CF02D" w14:textId="77777777" w:rsidR="0086201A" w:rsidRPr="00344818" w:rsidDel="0048515D" w:rsidRDefault="0086201A" w:rsidP="00DA684E">
            <w:pPr>
              <w:spacing w:before="60" w:after="60"/>
              <w:ind w:left="-103" w:right="-8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No.</w:t>
            </w:r>
          </w:p>
        </w:tc>
        <w:tc>
          <w:tcPr>
            <w:tcW w:w="2250" w:type="dxa"/>
            <w:shd w:val="clear" w:color="auto" w:fill="00B050"/>
            <w:vAlign w:val="center"/>
          </w:tcPr>
          <w:p w14:paraId="51D6BB73" w14:textId="77777777" w:rsidR="0086201A" w:rsidRPr="00344818" w:rsidDel="0048515D" w:rsidRDefault="0086201A"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Equipo</w:t>
            </w:r>
          </w:p>
        </w:tc>
        <w:tc>
          <w:tcPr>
            <w:tcW w:w="1980" w:type="dxa"/>
            <w:shd w:val="clear" w:color="auto" w:fill="00B050"/>
            <w:vAlign w:val="center"/>
          </w:tcPr>
          <w:p w14:paraId="35E20118" w14:textId="77777777" w:rsidR="0086201A" w:rsidRPr="00344818" w:rsidDel="0048515D" w:rsidRDefault="0086201A"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Criterios a evaluar</w:t>
            </w:r>
          </w:p>
        </w:tc>
        <w:tc>
          <w:tcPr>
            <w:tcW w:w="1800" w:type="dxa"/>
            <w:shd w:val="clear" w:color="auto" w:fill="00B050"/>
            <w:vAlign w:val="center"/>
          </w:tcPr>
          <w:p w14:paraId="3A50D926" w14:textId="77777777" w:rsidR="0086201A" w:rsidRPr="00344818" w:rsidDel="0048515D" w:rsidRDefault="0086201A"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Requerimiento</w:t>
            </w:r>
          </w:p>
        </w:tc>
        <w:tc>
          <w:tcPr>
            <w:tcW w:w="1440" w:type="dxa"/>
            <w:shd w:val="clear" w:color="auto" w:fill="00B050"/>
            <w:vAlign w:val="center"/>
          </w:tcPr>
          <w:p w14:paraId="4AA76211" w14:textId="77777777" w:rsidR="0086201A" w:rsidRPr="00344818" w:rsidDel="0048515D" w:rsidRDefault="0086201A"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Evaluación</w:t>
            </w:r>
          </w:p>
        </w:tc>
        <w:tc>
          <w:tcPr>
            <w:tcW w:w="1260" w:type="dxa"/>
            <w:shd w:val="clear" w:color="auto" w:fill="00B050"/>
          </w:tcPr>
          <w:p w14:paraId="126A0929" w14:textId="77777777" w:rsidR="0086201A" w:rsidRPr="00344818" w:rsidDel="0048515D" w:rsidRDefault="0086201A" w:rsidP="00DA684E">
            <w:pPr>
              <w:spacing w:before="60" w:after="60"/>
              <w:contextualSpacing/>
              <w:jc w:val="center"/>
              <w:rPr>
                <w:rFonts w:ascii="Arial" w:hAnsi="Arial" w:cs="Arial"/>
                <w:b/>
                <w:color w:val="FFFFFF" w:themeColor="background1"/>
                <w:sz w:val="22"/>
                <w:szCs w:val="22"/>
                <w:lang w:val="es-ES"/>
              </w:rPr>
            </w:pPr>
            <w:r w:rsidRPr="00344818" w:rsidDel="0048515D">
              <w:rPr>
                <w:rFonts w:ascii="Arial" w:hAnsi="Arial" w:cs="Arial"/>
                <w:b/>
                <w:color w:val="FFFFFF" w:themeColor="background1"/>
                <w:sz w:val="22"/>
                <w:szCs w:val="22"/>
                <w:lang w:val="es-ES"/>
              </w:rPr>
              <w:t>Documentación requerida</w:t>
            </w:r>
          </w:p>
        </w:tc>
      </w:tr>
      <w:tr w:rsidR="0086201A" w:rsidRPr="00344818" w:rsidDel="0048515D" w14:paraId="0C61AA6E" w14:textId="77777777" w:rsidTr="00DA684E">
        <w:trPr>
          <w:trHeight w:val="890"/>
        </w:trPr>
        <w:tc>
          <w:tcPr>
            <w:tcW w:w="630" w:type="dxa"/>
            <w:vMerge w:val="restart"/>
            <w:vAlign w:val="center"/>
          </w:tcPr>
          <w:p w14:paraId="319BFAAD" w14:textId="77777777" w:rsidR="0086201A" w:rsidRPr="00344818" w:rsidDel="0048515D" w:rsidRDefault="0086201A" w:rsidP="00DA684E">
            <w:pPr>
              <w:pStyle w:val="Encabezado"/>
              <w:spacing w:before="60" w:after="60"/>
              <w:contextualSpacing/>
              <w:jc w:val="center"/>
              <w:rPr>
                <w:rFonts w:ascii="Arial" w:hAnsi="Arial" w:cs="Arial"/>
                <w:sz w:val="22"/>
                <w:szCs w:val="22"/>
                <w:lang w:val="es-ES"/>
              </w:rPr>
            </w:pPr>
            <w:r w:rsidRPr="00344818">
              <w:rPr>
                <w:rFonts w:ascii="Arial" w:hAnsi="Arial" w:cs="Arial"/>
                <w:sz w:val="22"/>
                <w:szCs w:val="22"/>
                <w:lang w:val="es-ES"/>
              </w:rPr>
              <w:t>1</w:t>
            </w:r>
          </w:p>
        </w:tc>
        <w:tc>
          <w:tcPr>
            <w:tcW w:w="2250" w:type="dxa"/>
            <w:vMerge w:val="restart"/>
            <w:vAlign w:val="center"/>
          </w:tcPr>
          <w:p w14:paraId="47EC946A" w14:textId="77777777" w:rsidR="0086201A" w:rsidRPr="00344818" w:rsidDel="0048515D" w:rsidRDefault="0086201A" w:rsidP="00DA684E">
            <w:pPr>
              <w:spacing w:before="20" w:after="20"/>
              <w:ind w:left="34"/>
              <w:jc w:val="left"/>
              <w:rPr>
                <w:rFonts w:ascii="Arial" w:hAnsi="Arial" w:cs="Arial"/>
                <w:sz w:val="22"/>
                <w:szCs w:val="22"/>
                <w:lang w:val="es-ES"/>
              </w:rPr>
            </w:pPr>
            <w:r w:rsidRPr="00344818">
              <w:rPr>
                <w:rFonts w:ascii="Arial" w:hAnsi="Arial" w:cs="Arial"/>
                <w:sz w:val="22"/>
                <w:szCs w:val="22"/>
              </w:rPr>
              <w:t xml:space="preserve">Mezcladora </w:t>
            </w:r>
          </w:p>
        </w:tc>
        <w:tc>
          <w:tcPr>
            <w:tcW w:w="1980" w:type="dxa"/>
            <w:vAlign w:val="center"/>
          </w:tcPr>
          <w:p w14:paraId="5A0690FB"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Cantidad mínima requerida</w:t>
            </w:r>
          </w:p>
        </w:tc>
        <w:tc>
          <w:tcPr>
            <w:tcW w:w="1800" w:type="dxa"/>
            <w:vAlign w:val="center"/>
          </w:tcPr>
          <w:p w14:paraId="48F4CB4B"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Dos (2) Unidades</w:t>
            </w:r>
          </w:p>
        </w:tc>
        <w:tc>
          <w:tcPr>
            <w:tcW w:w="1440" w:type="dxa"/>
            <w:vAlign w:val="center"/>
          </w:tcPr>
          <w:p w14:paraId="7227DB7A" w14:textId="77777777" w:rsidR="0086201A" w:rsidRPr="00344818" w:rsidDel="0048515D" w:rsidRDefault="0086201A" w:rsidP="00DA684E">
            <w:pPr>
              <w:spacing w:before="60" w:after="60"/>
              <w:contextualSpacing/>
              <w:jc w:val="center"/>
              <w:rPr>
                <w:rFonts w:ascii="Arial" w:hAnsi="Arial" w:cs="Arial"/>
                <w:sz w:val="22"/>
                <w:szCs w:val="22"/>
              </w:rPr>
            </w:pPr>
            <w:r w:rsidRPr="00344818">
              <w:rPr>
                <w:rFonts w:ascii="Arial" w:hAnsi="Arial" w:cs="Arial"/>
                <w:sz w:val="22"/>
                <w:szCs w:val="22"/>
                <w:lang w:val="es-ES"/>
              </w:rPr>
              <w:t>Cumple / No Cumple</w:t>
            </w:r>
          </w:p>
        </w:tc>
        <w:tc>
          <w:tcPr>
            <w:tcW w:w="1260" w:type="dxa"/>
            <w:vMerge w:val="restart"/>
            <w:vAlign w:val="center"/>
          </w:tcPr>
          <w:p w14:paraId="7E1BD259" w14:textId="77777777" w:rsidR="0086201A" w:rsidRPr="00344818" w:rsidDel="0048515D" w:rsidRDefault="0086201A" w:rsidP="00DA684E">
            <w:pPr>
              <w:spacing w:before="20" w:after="20"/>
              <w:ind w:left="-109" w:right="-102"/>
              <w:jc w:val="center"/>
              <w:rPr>
                <w:rFonts w:ascii="Arial" w:hAnsi="Arial" w:cs="Arial"/>
                <w:sz w:val="22"/>
                <w:szCs w:val="22"/>
                <w:lang w:val="es-ES"/>
              </w:rPr>
            </w:pPr>
            <w:r w:rsidRPr="00344818" w:rsidDel="0048515D">
              <w:rPr>
                <w:rFonts w:ascii="Arial" w:hAnsi="Arial" w:cs="Arial"/>
                <w:sz w:val="22"/>
                <w:szCs w:val="22"/>
                <w:lang w:val="es-ES"/>
              </w:rPr>
              <w:t>Formulario TEC-</w:t>
            </w:r>
            <w:r w:rsidRPr="00344818">
              <w:rPr>
                <w:rFonts w:ascii="Arial" w:hAnsi="Arial" w:cs="Arial"/>
                <w:sz w:val="22"/>
                <w:szCs w:val="22"/>
                <w:lang w:val="es-ES"/>
              </w:rPr>
              <w:t>3</w:t>
            </w:r>
            <w:r w:rsidRPr="00344818" w:rsidDel="0048515D">
              <w:rPr>
                <w:rFonts w:ascii="Arial" w:hAnsi="Arial" w:cs="Arial"/>
                <w:sz w:val="22"/>
                <w:szCs w:val="22"/>
                <w:lang w:val="es-ES"/>
              </w:rPr>
              <w:t xml:space="preserve"> y su respaldo correspondiente</w:t>
            </w:r>
          </w:p>
        </w:tc>
      </w:tr>
      <w:tr w:rsidR="0086201A" w:rsidRPr="00344818" w:rsidDel="0048515D" w14:paraId="6672D9D9" w14:textId="77777777" w:rsidTr="00DA684E">
        <w:trPr>
          <w:trHeight w:val="157"/>
        </w:trPr>
        <w:tc>
          <w:tcPr>
            <w:tcW w:w="630" w:type="dxa"/>
            <w:vMerge/>
            <w:vAlign w:val="center"/>
          </w:tcPr>
          <w:p w14:paraId="19D3E873" w14:textId="77777777" w:rsidR="0086201A" w:rsidRPr="00344818" w:rsidDel="0048515D" w:rsidRDefault="0086201A" w:rsidP="00DA684E">
            <w:pPr>
              <w:pStyle w:val="Encabezado"/>
              <w:spacing w:before="60" w:after="60"/>
              <w:contextualSpacing/>
              <w:jc w:val="center"/>
              <w:rPr>
                <w:rFonts w:ascii="Arial" w:hAnsi="Arial" w:cs="Arial"/>
                <w:sz w:val="22"/>
                <w:szCs w:val="22"/>
                <w:lang w:val="es-ES"/>
              </w:rPr>
            </w:pPr>
          </w:p>
        </w:tc>
        <w:tc>
          <w:tcPr>
            <w:tcW w:w="2250" w:type="dxa"/>
            <w:vMerge/>
            <w:vAlign w:val="center"/>
          </w:tcPr>
          <w:p w14:paraId="718936E0" w14:textId="77777777" w:rsidR="0086201A" w:rsidRPr="00344818" w:rsidDel="0048515D" w:rsidRDefault="0086201A" w:rsidP="00DA684E">
            <w:pPr>
              <w:spacing w:before="60" w:after="60"/>
              <w:contextualSpacing/>
              <w:rPr>
                <w:rFonts w:ascii="Arial" w:hAnsi="Arial" w:cs="Arial"/>
                <w:sz w:val="22"/>
                <w:szCs w:val="22"/>
                <w:lang w:val="es-ES"/>
              </w:rPr>
            </w:pPr>
          </w:p>
        </w:tc>
        <w:tc>
          <w:tcPr>
            <w:tcW w:w="1980" w:type="dxa"/>
            <w:vAlign w:val="center"/>
          </w:tcPr>
          <w:p w14:paraId="380B2AEF"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Capacidad</w:t>
            </w:r>
          </w:p>
        </w:tc>
        <w:tc>
          <w:tcPr>
            <w:tcW w:w="1800" w:type="dxa"/>
            <w:vAlign w:val="center"/>
          </w:tcPr>
          <w:p w14:paraId="1F7ADA88"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NI"/>
              </w:rPr>
              <w:t xml:space="preserve"> 2 Sacos</w:t>
            </w:r>
          </w:p>
        </w:tc>
        <w:tc>
          <w:tcPr>
            <w:tcW w:w="1440" w:type="dxa"/>
            <w:vAlign w:val="center"/>
          </w:tcPr>
          <w:p w14:paraId="471E66BA" w14:textId="77777777" w:rsidR="0086201A" w:rsidRPr="00344818" w:rsidDel="0048515D" w:rsidRDefault="0086201A" w:rsidP="00DA684E">
            <w:pPr>
              <w:spacing w:before="60" w:after="60"/>
              <w:contextualSpacing/>
              <w:jc w:val="center"/>
              <w:rPr>
                <w:rFonts w:ascii="Arial" w:hAnsi="Arial" w:cs="Arial"/>
                <w:sz w:val="22"/>
                <w:szCs w:val="22"/>
              </w:rPr>
            </w:pPr>
            <w:r w:rsidRPr="00344818">
              <w:rPr>
                <w:rFonts w:ascii="Arial" w:hAnsi="Arial" w:cs="Arial"/>
                <w:sz w:val="22"/>
                <w:szCs w:val="22"/>
                <w:lang w:val="es-ES"/>
              </w:rPr>
              <w:t>Cumple / No Cumple</w:t>
            </w:r>
          </w:p>
        </w:tc>
        <w:tc>
          <w:tcPr>
            <w:tcW w:w="1260" w:type="dxa"/>
            <w:vMerge/>
          </w:tcPr>
          <w:p w14:paraId="7457C6CF" w14:textId="77777777" w:rsidR="0086201A" w:rsidRPr="00344818" w:rsidDel="0048515D" w:rsidRDefault="0086201A" w:rsidP="00DA684E">
            <w:pPr>
              <w:spacing w:before="60" w:after="60"/>
              <w:contextualSpacing/>
              <w:rPr>
                <w:rFonts w:ascii="Arial" w:hAnsi="Arial" w:cs="Arial"/>
                <w:sz w:val="22"/>
                <w:szCs w:val="22"/>
                <w:lang w:val="es-ES"/>
              </w:rPr>
            </w:pPr>
          </w:p>
        </w:tc>
      </w:tr>
      <w:tr w:rsidR="0086201A" w:rsidRPr="00344818" w:rsidDel="0048515D" w14:paraId="6745F741" w14:textId="77777777" w:rsidTr="00DA684E">
        <w:trPr>
          <w:trHeight w:val="157"/>
        </w:trPr>
        <w:tc>
          <w:tcPr>
            <w:tcW w:w="630" w:type="dxa"/>
            <w:vMerge w:val="restart"/>
            <w:vAlign w:val="center"/>
          </w:tcPr>
          <w:p w14:paraId="5F1C5457" w14:textId="77777777" w:rsidR="0086201A" w:rsidRPr="00344818" w:rsidDel="0048515D" w:rsidRDefault="0086201A" w:rsidP="00DA684E">
            <w:pPr>
              <w:pStyle w:val="Encabezado"/>
              <w:spacing w:before="60" w:after="60"/>
              <w:contextualSpacing/>
              <w:jc w:val="center"/>
              <w:rPr>
                <w:rFonts w:ascii="Arial" w:hAnsi="Arial" w:cs="Arial"/>
                <w:sz w:val="22"/>
                <w:szCs w:val="22"/>
                <w:lang w:val="es-ES"/>
              </w:rPr>
            </w:pPr>
            <w:r w:rsidRPr="00344818">
              <w:rPr>
                <w:rFonts w:ascii="Arial" w:hAnsi="Arial" w:cs="Arial"/>
                <w:sz w:val="22"/>
                <w:szCs w:val="22"/>
                <w:lang w:val="es-ES"/>
              </w:rPr>
              <w:t>2</w:t>
            </w:r>
          </w:p>
        </w:tc>
        <w:tc>
          <w:tcPr>
            <w:tcW w:w="2250" w:type="dxa"/>
            <w:vMerge w:val="restart"/>
            <w:vAlign w:val="center"/>
          </w:tcPr>
          <w:p w14:paraId="5CDC66C5" w14:textId="77777777" w:rsidR="0086201A" w:rsidRPr="00344818" w:rsidDel="0048515D" w:rsidRDefault="0086201A" w:rsidP="00DA684E">
            <w:pPr>
              <w:spacing w:before="60" w:after="60"/>
              <w:contextualSpacing/>
              <w:rPr>
                <w:rFonts w:ascii="Arial" w:hAnsi="Arial" w:cs="Arial"/>
                <w:sz w:val="22"/>
                <w:szCs w:val="22"/>
                <w:lang w:val="es-ES"/>
              </w:rPr>
            </w:pPr>
            <w:r w:rsidRPr="00344818">
              <w:rPr>
                <w:rFonts w:ascii="Arial" w:hAnsi="Arial" w:cs="Arial"/>
                <w:sz w:val="22"/>
                <w:szCs w:val="22"/>
              </w:rPr>
              <w:t xml:space="preserve">Bomba de Prueba Hidrostática </w:t>
            </w:r>
          </w:p>
        </w:tc>
        <w:tc>
          <w:tcPr>
            <w:tcW w:w="1980" w:type="dxa"/>
            <w:vAlign w:val="center"/>
          </w:tcPr>
          <w:p w14:paraId="0E5F7341"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Cantidad mínima requerida</w:t>
            </w:r>
          </w:p>
        </w:tc>
        <w:tc>
          <w:tcPr>
            <w:tcW w:w="1800" w:type="dxa"/>
            <w:vAlign w:val="center"/>
          </w:tcPr>
          <w:p w14:paraId="7ED5365D"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Una (1) Unidad</w:t>
            </w:r>
          </w:p>
        </w:tc>
        <w:tc>
          <w:tcPr>
            <w:tcW w:w="1440" w:type="dxa"/>
          </w:tcPr>
          <w:p w14:paraId="54937F00" w14:textId="77777777" w:rsidR="0086201A" w:rsidRPr="00344818"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Cumple / No Cumple</w:t>
            </w:r>
          </w:p>
        </w:tc>
        <w:tc>
          <w:tcPr>
            <w:tcW w:w="1260" w:type="dxa"/>
            <w:vMerge/>
          </w:tcPr>
          <w:p w14:paraId="397C0E86" w14:textId="77777777" w:rsidR="0086201A" w:rsidRPr="00344818" w:rsidDel="0048515D" w:rsidRDefault="0086201A" w:rsidP="00DA684E">
            <w:pPr>
              <w:spacing w:before="60" w:after="60"/>
              <w:contextualSpacing/>
              <w:rPr>
                <w:rFonts w:ascii="Arial" w:hAnsi="Arial" w:cs="Arial"/>
                <w:sz w:val="22"/>
                <w:szCs w:val="22"/>
                <w:lang w:val="es-ES"/>
              </w:rPr>
            </w:pPr>
          </w:p>
        </w:tc>
      </w:tr>
      <w:tr w:rsidR="0086201A" w:rsidRPr="00344818" w:rsidDel="0048515D" w14:paraId="0C41362E" w14:textId="77777777" w:rsidTr="00DA684E">
        <w:trPr>
          <w:trHeight w:val="157"/>
        </w:trPr>
        <w:tc>
          <w:tcPr>
            <w:tcW w:w="630" w:type="dxa"/>
            <w:vMerge/>
            <w:vAlign w:val="center"/>
          </w:tcPr>
          <w:p w14:paraId="022B6AE2" w14:textId="77777777" w:rsidR="0086201A" w:rsidRPr="00344818" w:rsidDel="0048515D" w:rsidRDefault="0086201A" w:rsidP="00DA684E">
            <w:pPr>
              <w:pStyle w:val="Encabezado"/>
              <w:spacing w:before="60" w:after="60"/>
              <w:contextualSpacing/>
              <w:jc w:val="center"/>
              <w:rPr>
                <w:rFonts w:ascii="Arial" w:hAnsi="Arial" w:cs="Arial"/>
                <w:sz w:val="22"/>
                <w:szCs w:val="22"/>
                <w:lang w:val="es-ES"/>
              </w:rPr>
            </w:pPr>
          </w:p>
        </w:tc>
        <w:tc>
          <w:tcPr>
            <w:tcW w:w="2250" w:type="dxa"/>
            <w:vMerge/>
            <w:vAlign w:val="center"/>
          </w:tcPr>
          <w:p w14:paraId="56B013A7" w14:textId="77777777" w:rsidR="0086201A" w:rsidRPr="00344818" w:rsidDel="0048515D" w:rsidRDefault="0086201A" w:rsidP="00DA684E">
            <w:pPr>
              <w:spacing w:before="60" w:after="60"/>
              <w:contextualSpacing/>
              <w:rPr>
                <w:rFonts w:ascii="Arial" w:hAnsi="Arial" w:cs="Arial"/>
                <w:sz w:val="22"/>
                <w:szCs w:val="22"/>
                <w:lang w:val="es-ES"/>
              </w:rPr>
            </w:pPr>
          </w:p>
        </w:tc>
        <w:tc>
          <w:tcPr>
            <w:tcW w:w="1980" w:type="dxa"/>
            <w:vAlign w:val="center"/>
          </w:tcPr>
          <w:p w14:paraId="3BEEC650"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Capacidad</w:t>
            </w:r>
          </w:p>
        </w:tc>
        <w:tc>
          <w:tcPr>
            <w:tcW w:w="1800" w:type="dxa"/>
            <w:vAlign w:val="center"/>
          </w:tcPr>
          <w:p w14:paraId="523AB0F8"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rPr>
              <w:t>200 PSI</w:t>
            </w:r>
          </w:p>
        </w:tc>
        <w:tc>
          <w:tcPr>
            <w:tcW w:w="1440" w:type="dxa"/>
          </w:tcPr>
          <w:p w14:paraId="30A405FE" w14:textId="77777777" w:rsidR="0086201A" w:rsidRPr="00344818"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sz w:val="22"/>
                <w:szCs w:val="22"/>
                <w:lang w:val="es-ES"/>
              </w:rPr>
              <w:t>Cumple / No Cumple</w:t>
            </w:r>
          </w:p>
        </w:tc>
        <w:tc>
          <w:tcPr>
            <w:tcW w:w="1260" w:type="dxa"/>
            <w:vMerge/>
          </w:tcPr>
          <w:p w14:paraId="1F86AA55" w14:textId="77777777" w:rsidR="0086201A" w:rsidRPr="00344818" w:rsidDel="0048515D" w:rsidRDefault="0086201A" w:rsidP="00DA684E">
            <w:pPr>
              <w:spacing w:before="60" w:after="60"/>
              <w:contextualSpacing/>
              <w:rPr>
                <w:rFonts w:ascii="Arial" w:hAnsi="Arial" w:cs="Arial"/>
                <w:sz w:val="22"/>
                <w:szCs w:val="22"/>
                <w:lang w:val="es-ES"/>
              </w:rPr>
            </w:pPr>
          </w:p>
        </w:tc>
      </w:tr>
      <w:tr w:rsidR="0086201A" w:rsidRPr="00344818" w:rsidDel="0048515D" w14:paraId="0AFFAABC" w14:textId="77777777" w:rsidTr="00DA684E">
        <w:trPr>
          <w:trHeight w:val="157"/>
        </w:trPr>
        <w:tc>
          <w:tcPr>
            <w:tcW w:w="630" w:type="dxa"/>
            <w:vMerge w:val="restart"/>
            <w:vAlign w:val="center"/>
          </w:tcPr>
          <w:p w14:paraId="3CC83823" w14:textId="77777777" w:rsidR="0086201A" w:rsidRPr="00344818" w:rsidDel="0048515D" w:rsidRDefault="0086201A" w:rsidP="00DA684E">
            <w:pPr>
              <w:pStyle w:val="Encabezado"/>
              <w:spacing w:before="60" w:after="60"/>
              <w:contextualSpacing/>
              <w:jc w:val="center"/>
              <w:rPr>
                <w:rFonts w:ascii="Arial" w:hAnsi="Arial" w:cs="Arial"/>
                <w:sz w:val="22"/>
                <w:szCs w:val="22"/>
                <w:lang w:val="es-ES"/>
              </w:rPr>
            </w:pPr>
            <w:r w:rsidRPr="00344818">
              <w:rPr>
                <w:rFonts w:ascii="Arial" w:hAnsi="Arial" w:cs="Arial"/>
                <w:color w:val="000000" w:themeColor="text1"/>
                <w:sz w:val="22"/>
                <w:szCs w:val="22"/>
                <w:lang w:val="es-NI"/>
              </w:rPr>
              <w:t>3</w:t>
            </w:r>
          </w:p>
        </w:tc>
        <w:tc>
          <w:tcPr>
            <w:tcW w:w="2250" w:type="dxa"/>
            <w:vMerge w:val="restart"/>
            <w:vAlign w:val="center"/>
          </w:tcPr>
          <w:p w14:paraId="681E5DBF" w14:textId="77777777" w:rsidR="0086201A" w:rsidRPr="00344818" w:rsidDel="0048515D" w:rsidRDefault="0086201A" w:rsidP="00DA684E">
            <w:pPr>
              <w:spacing w:before="60" w:after="60"/>
              <w:contextualSpacing/>
              <w:rPr>
                <w:rFonts w:ascii="Arial" w:hAnsi="Arial" w:cs="Arial"/>
                <w:sz w:val="22"/>
                <w:szCs w:val="22"/>
                <w:lang w:val="es-ES"/>
              </w:rPr>
            </w:pPr>
            <w:r w:rsidRPr="00344818">
              <w:rPr>
                <w:rFonts w:ascii="Arial" w:hAnsi="Arial" w:cs="Arial"/>
                <w:color w:val="000000" w:themeColor="text1"/>
                <w:sz w:val="22"/>
                <w:szCs w:val="22"/>
                <w:lang w:val="es-NI"/>
              </w:rPr>
              <w:t>Vibro compactadora Manual</w:t>
            </w:r>
          </w:p>
        </w:tc>
        <w:tc>
          <w:tcPr>
            <w:tcW w:w="1980" w:type="dxa"/>
            <w:vAlign w:val="center"/>
          </w:tcPr>
          <w:p w14:paraId="6FFF49B7"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color w:val="000000" w:themeColor="text1"/>
                <w:sz w:val="22"/>
                <w:szCs w:val="22"/>
                <w:lang w:val="es-NI"/>
              </w:rPr>
              <w:t>Cantidad Mínima Requerida</w:t>
            </w:r>
          </w:p>
        </w:tc>
        <w:tc>
          <w:tcPr>
            <w:tcW w:w="1800" w:type="dxa"/>
            <w:vAlign w:val="center"/>
          </w:tcPr>
          <w:p w14:paraId="2FBBEFD0"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color w:val="000000" w:themeColor="text1"/>
                <w:sz w:val="22"/>
                <w:szCs w:val="22"/>
                <w:lang w:val="es-NI"/>
              </w:rPr>
              <w:t>Dos (2) Unidades</w:t>
            </w:r>
          </w:p>
        </w:tc>
        <w:tc>
          <w:tcPr>
            <w:tcW w:w="1440" w:type="dxa"/>
          </w:tcPr>
          <w:p w14:paraId="57EBBBA1" w14:textId="77777777" w:rsidR="0086201A" w:rsidRPr="00344818"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color w:val="000000" w:themeColor="text1"/>
                <w:sz w:val="22"/>
                <w:szCs w:val="22"/>
                <w:lang w:val="es-NI"/>
              </w:rPr>
              <w:t>Cumple / No Cumple</w:t>
            </w:r>
          </w:p>
        </w:tc>
        <w:tc>
          <w:tcPr>
            <w:tcW w:w="1260" w:type="dxa"/>
            <w:vMerge/>
          </w:tcPr>
          <w:p w14:paraId="0989EAC1" w14:textId="77777777" w:rsidR="0086201A" w:rsidRPr="00344818" w:rsidDel="0048515D" w:rsidRDefault="0086201A" w:rsidP="00DA684E">
            <w:pPr>
              <w:spacing w:before="60" w:after="60"/>
              <w:contextualSpacing/>
              <w:rPr>
                <w:rFonts w:ascii="Arial" w:hAnsi="Arial" w:cs="Arial"/>
                <w:sz w:val="22"/>
                <w:szCs w:val="22"/>
                <w:lang w:val="es-ES"/>
              </w:rPr>
            </w:pPr>
          </w:p>
        </w:tc>
      </w:tr>
      <w:tr w:rsidR="0086201A" w:rsidRPr="00344818" w:rsidDel="0048515D" w14:paraId="63BE707C" w14:textId="77777777" w:rsidTr="00DA684E">
        <w:trPr>
          <w:trHeight w:val="157"/>
        </w:trPr>
        <w:tc>
          <w:tcPr>
            <w:tcW w:w="630" w:type="dxa"/>
            <w:vMerge/>
            <w:vAlign w:val="center"/>
          </w:tcPr>
          <w:p w14:paraId="0D459FC1" w14:textId="77777777" w:rsidR="0086201A" w:rsidRPr="00344818" w:rsidDel="0048515D" w:rsidRDefault="0086201A" w:rsidP="00DA684E">
            <w:pPr>
              <w:pStyle w:val="Encabezado"/>
              <w:spacing w:before="60" w:after="60"/>
              <w:contextualSpacing/>
              <w:jc w:val="center"/>
              <w:rPr>
                <w:rFonts w:ascii="Arial" w:hAnsi="Arial" w:cs="Arial"/>
                <w:sz w:val="22"/>
                <w:szCs w:val="22"/>
                <w:lang w:val="es-ES"/>
              </w:rPr>
            </w:pPr>
          </w:p>
        </w:tc>
        <w:tc>
          <w:tcPr>
            <w:tcW w:w="2250" w:type="dxa"/>
            <w:vMerge/>
            <w:vAlign w:val="center"/>
          </w:tcPr>
          <w:p w14:paraId="430E5E18" w14:textId="77777777" w:rsidR="0086201A" w:rsidRPr="00344818" w:rsidDel="0048515D" w:rsidRDefault="0086201A" w:rsidP="00DA684E">
            <w:pPr>
              <w:spacing w:before="60" w:after="60"/>
              <w:contextualSpacing/>
              <w:rPr>
                <w:rFonts w:ascii="Arial" w:hAnsi="Arial" w:cs="Arial"/>
                <w:sz w:val="22"/>
                <w:szCs w:val="22"/>
                <w:lang w:val="es-ES"/>
              </w:rPr>
            </w:pPr>
          </w:p>
        </w:tc>
        <w:tc>
          <w:tcPr>
            <w:tcW w:w="1980" w:type="dxa"/>
            <w:vAlign w:val="center"/>
          </w:tcPr>
          <w:p w14:paraId="193C944A"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color w:val="000000" w:themeColor="text1"/>
                <w:sz w:val="22"/>
                <w:szCs w:val="22"/>
                <w:lang w:val="es-NI"/>
              </w:rPr>
              <w:t xml:space="preserve"> Capacidad</w:t>
            </w:r>
          </w:p>
        </w:tc>
        <w:tc>
          <w:tcPr>
            <w:tcW w:w="1800" w:type="dxa"/>
            <w:vAlign w:val="center"/>
          </w:tcPr>
          <w:p w14:paraId="44119EFE" w14:textId="77777777" w:rsidR="0086201A" w:rsidRPr="00344818" w:rsidDel="0048515D"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color w:val="000000" w:themeColor="text1"/>
                <w:sz w:val="22"/>
                <w:szCs w:val="22"/>
                <w:lang w:val="es-NI"/>
              </w:rPr>
              <w:t>4HP de Potencia</w:t>
            </w:r>
          </w:p>
        </w:tc>
        <w:tc>
          <w:tcPr>
            <w:tcW w:w="1440" w:type="dxa"/>
          </w:tcPr>
          <w:p w14:paraId="730D5461" w14:textId="77777777" w:rsidR="0086201A" w:rsidRPr="00344818" w:rsidRDefault="0086201A" w:rsidP="00DA684E">
            <w:pPr>
              <w:spacing w:before="60" w:after="60"/>
              <w:contextualSpacing/>
              <w:jc w:val="center"/>
              <w:rPr>
                <w:rFonts w:ascii="Arial" w:hAnsi="Arial" w:cs="Arial"/>
                <w:i/>
                <w:color w:val="FF0000"/>
                <w:sz w:val="22"/>
                <w:szCs w:val="22"/>
                <w:lang w:val="es-ES"/>
              </w:rPr>
            </w:pPr>
            <w:r w:rsidRPr="00344818">
              <w:rPr>
                <w:rFonts w:ascii="Arial" w:hAnsi="Arial" w:cs="Arial"/>
                <w:color w:val="000000" w:themeColor="text1"/>
                <w:sz w:val="22"/>
                <w:szCs w:val="22"/>
                <w:lang w:val="es-NI"/>
              </w:rPr>
              <w:t>Cumple / No Cumple</w:t>
            </w:r>
          </w:p>
        </w:tc>
        <w:tc>
          <w:tcPr>
            <w:tcW w:w="1260" w:type="dxa"/>
            <w:vMerge/>
          </w:tcPr>
          <w:p w14:paraId="616B12D5" w14:textId="77777777" w:rsidR="0086201A" w:rsidRPr="00344818" w:rsidDel="0048515D" w:rsidRDefault="0086201A" w:rsidP="00DA684E">
            <w:pPr>
              <w:spacing w:before="60" w:after="60"/>
              <w:contextualSpacing/>
              <w:rPr>
                <w:rFonts w:ascii="Arial" w:hAnsi="Arial" w:cs="Arial"/>
                <w:sz w:val="22"/>
                <w:szCs w:val="22"/>
                <w:lang w:val="es-ES"/>
              </w:rPr>
            </w:pPr>
          </w:p>
        </w:tc>
      </w:tr>
    </w:tbl>
    <w:p w14:paraId="1BEE2F99" w14:textId="77777777" w:rsidR="0086201A" w:rsidRPr="00344818" w:rsidRDefault="0086201A" w:rsidP="0086201A">
      <w:pPr>
        <w:jc w:val="left"/>
        <w:rPr>
          <w:rFonts w:ascii="Arial" w:hAnsi="Arial" w:cs="Arial"/>
          <w:i/>
          <w:sz w:val="22"/>
          <w:szCs w:val="22"/>
          <w:lang w:val="es-ES"/>
        </w:rPr>
      </w:pPr>
      <w:r w:rsidRPr="00344818">
        <w:rPr>
          <w:rFonts w:ascii="Arial" w:hAnsi="Arial" w:cs="Arial"/>
          <w:i/>
          <w:sz w:val="22"/>
          <w:szCs w:val="22"/>
          <w:lang w:val="es-ES"/>
        </w:rPr>
        <w:t>Este es el l</w:t>
      </w:r>
      <w:r>
        <w:rPr>
          <w:rFonts w:ascii="Arial" w:hAnsi="Arial" w:cs="Arial"/>
          <w:i/>
          <w:sz w:val="22"/>
          <w:szCs w:val="22"/>
          <w:lang w:val="es-ES"/>
        </w:rPr>
        <w:t xml:space="preserve">istado mínimo de equipo para cada </w:t>
      </w:r>
      <w:r w:rsidRPr="00344818">
        <w:rPr>
          <w:rFonts w:ascii="Arial" w:hAnsi="Arial" w:cs="Arial"/>
          <w:i/>
          <w:sz w:val="22"/>
          <w:szCs w:val="22"/>
          <w:lang w:val="es-ES"/>
        </w:rPr>
        <w:t xml:space="preserve">proyecto. </w:t>
      </w:r>
      <w:r w:rsidRPr="00CF1718">
        <w:rPr>
          <w:rFonts w:ascii="Arial" w:hAnsi="Arial" w:cs="Arial"/>
          <w:i/>
          <w:sz w:val="22"/>
          <w:szCs w:val="22"/>
          <w:lang w:val="es-ES"/>
        </w:rPr>
        <w:t xml:space="preserve">En caso de ofertar varios lotes, se deberá </w:t>
      </w:r>
      <w:r>
        <w:rPr>
          <w:rFonts w:ascii="Arial" w:hAnsi="Arial" w:cs="Arial"/>
          <w:i/>
          <w:sz w:val="22"/>
          <w:szCs w:val="22"/>
          <w:lang w:val="es-ES"/>
        </w:rPr>
        <w:t>proponer distintos equipos</w:t>
      </w:r>
      <w:r w:rsidRPr="00CF1718">
        <w:rPr>
          <w:rFonts w:ascii="Arial" w:hAnsi="Arial" w:cs="Arial"/>
          <w:i/>
          <w:sz w:val="22"/>
          <w:szCs w:val="22"/>
          <w:lang w:val="es-ES"/>
        </w:rPr>
        <w:t xml:space="preserve"> para cada lote ofertado</w:t>
      </w:r>
      <w:r>
        <w:rPr>
          <w:rFonts w:ascii="Arial" w:hAnsi="Arial" w:cs="Arial"/>
          <w:i/>
          <w:sz w:val="22"/>
          <w:szCs w:val="22"/>
          <w:lang w:val="es-ES"/>
        </w:rPr>
        <w:t xml:space="preserve"> y estér</w:t>
      </w:r>
      <w:r w:rsidRPr="00344818">
        <w:rPr>
          <w:rFonts w:ascii="Arial" w:hAnsi="Arial" w:cs="Arial"/>
          <w:i/>
          <w:sz w:val="22"/>
          <w:szCs w:val="22"/>
          <w:lang w:val="es-ES"/>
        </w:rPr>
        <w:t xml:space="preserve"> 100% disponible </w:t>
      </w:r>
    </w:p>
    <w:p w14:paraId="1BA4BF4D" w14:textId="77777777" w:rsidR="00D62CF8" w:rsidRPr="002C6280" w:rsidRDefault="00D62CF8" w:rsidP="000C6174">
      <w:pPr>
        <w:spacing w:before="240" w:after="120"/>
        <w:jc w:val="left"/>
        <w:rPr>
          <w:rFonts w:ascii="Arial" w:hAnsi="Arial" w:cs="Arial"/>
          <w:b/>
          <w:sz w:val="22"/>
          <w:szCs w:val="22"/>
          <w:lang w:val="es-HN"/>
        </w:rPr>
      </w:pPr>
      <w:r w:rsidRPr="002C6280">
        <w:rPr>
          <w:rFonts w:ascii="Arial" w:hAnsi="Arial" w:cs="Arial"/>
          <w:b/>
          <w:sz w:val="22"/>
          <w:szCs w:val="22"/>
          <w:lang w:val="es-HN"/>
        </w:rPr>
        <w:t>Información adicional</w:t>
      </w:r>
    </w:p>
    <w:p w14:paraId="1A4BA1BA" w14:textId="77777777" w:rsidR="00D62CF8" w:rsidRPr="009B31CF" w:rsidRDefault="00D62CF8" w:rsidP="000C6174">
      <w:pPr>
        <w:spacing w:before="100" w:after="100"/>
        <w:ind w:right="74"/>
        <w:rPr>
          <w:rFonts w:ascii="Arial" w:hAnsi="Arial" w:cs="Arial"/>
          <w:sz w:val="22"/>
          <w:szCs w:val="22"/>
        </w:rPr>
      </w:pPr>
      <w:r w:rsidRPr="008640AF">
        <w:rPr>
          <w:rFonts w:ascii="Arial" w:hAnsi="Arial" w:cs="Arial"/>
          <w:sz w:val="22"/>
          <w:szCs w:val="22"/>
          <w:lang w:val="es-ES"/>
        </w:rPr>
        <w:t xml:space="preserve">El contratante, revisará y analizará los formularios TEC-4. TEC-6, TEC-7 y TEC-8, podrá solicitar aclaraciones y/o subsanaciones de los mismos, teniendo en cuenta que como resultado de dicha revisión </w:t>
      </w:r>
      <w:r w:rsidRPr="008640AF">
        <w:rPr>
          <w:rFonts w:ascii="Arial" w:hAnsi="Arial" w:cs="Arial"/>
          <w:b/>
          <w:sz w:val="22"/>
          <w:szCs w:val="22"/>
          <w:u w:val="single"/>
          <w:lang w:val="es-ES"/>
        </w:rPr>
        <w:t>no se podrá descalificar</w:t>
      </w:r>
      <w:r w:rsidRPr="008640AF">
        <w:rPr>
          <w:rFonts w:ascii="Arial" w:hAnsi="Arial" w:cs="Arial"/>
          <w:sz w:val="22"/>
          <w:szCs w:val="22"/>
          <w:lang w:val="es-ES"/>
        </w:rPr>
        <w:t xml:space="preserve"> a ninguno de los oferente</w:t>
      </w:r>
      <w:r w:rsidR="00942F4C" w:rsidRPr="008640AF">
        <w:rPr>
          <w:rFonts w:ascii="Arial" w:hAnsi="Arial" w:cs="Arial"/>
          <w:sz w:val="22"/>
          <w:szCs w:val="22"/>
          <w:lang w:val="es-ES"/>
        </w:rPr>
        <w:t>s</w:t>
      </w:r>
      <w:r w:rsidRPr="008640AF">
        <w:rPr>
          <w:rFonts w:ascii="Arial" w:hAnsi="Arial" w:cs="Arial"/>
          <w:sz w:val="22"/>
          <w:szCs w:val="22"/>
          <w:lang w:val="es-ES"/>
        </w:rPr>
        <w:t>.</w:t>
      </w:r>
    </w:p>
    <w:p w14:paraId="62880B40" w14:textId="77777777" w:rsidR="00D62CF8" w:rsidRPr="002C6280" w:rsidRDefault="00D62CF8" w:rsidP="000C6174">
      <w:pPr>
        <w:pStyle w:val="i"/>
        <w:ind w:left="-720"/>
        <w:rPr>
          <w:rFonts w:ascii="Arial" w:hAnsi="Arial" w:cs="Arial"/>
          <w:sz w:val="22"/>
          <w:szCs w:val="22"/>
        </w:rPr>
      </w:pPr>
    </w:p>
    <w:p w14:paraId="18247650" w14:textId="77777777" w:rsidR="00D62CF8" w:rsidRPr="002C6280" w:rsidRDefault="00D62CF8" w:rsidP="0071608E">
      <w:pPr>
        <w:numPr>
          <w:ilvl w:val="0"/>
          <w:numId w:val="47"/>
        </w:numPr>
        <w:spacing w:before="240" w:after="120"/>
        <w:ind w:left="0" w:firstLine="0"/>
        <w:jc w:val="left"/>
        <w:rPr>
          <w:rFonts w:ascii="Arial" w:hAnsi="Arial" w:cs="Arial"/>
          <w:b/>
          <w:sz w:val="22"/>
          <w:szCs w:val="22"/>
          <w:lang w:val="es-HN"/>
        </w:rPr>
      </w:pPr>
      <w:r w:rsidRPr="002C6280">
        <w:rPr>
          <w:rFonts w:ascii="Arial" w:hAnsi="Arial" w:cs="Arial"/>
          <w:b/>
          <w:sz w:val="22"/>
          <w:szCs w:val="22"/>
          <w:lang w:val="es-HN"/>
        </w:rPr>
        <w:t>Evaluación Económica</w:t>
      </w:r>
    </w:p>
    <w:p w14:paraId="49DB894B" w14:textId="77777777" w:rsidR="00D62CF8" w:rsidRPr="002C6280" w:rsidRDefault="00D62CF8" w:rsidP="000C6174">
      <w:pPr>
        <w:spacing w:before="100" w:after="100"/>
        <w:rPr>
          <w:rFonts w:ascii="Arial" w:hAnsi="Arial" w:cs="Arial"/>
          <w:sz w:val="22"/>
          <w:szCs w:val="22"/>
          <w:lang w:val="es-ES"/>
        </w:rPr>
      </w:pPr>
      <w:r w:rsidRPr="002C6280">
        <w:rPr>
          <w:rFonts w:ascii="Arial" w:hAnsi="Arial" w:cs="Arial"/>
          <w:sz w:val="22"/>
          <w:szCs w:val="22"/>
          <w:lang w:val="es-ES"/>
        </w:rPr>
        <w:t>El oferente deberá proporcionar los datos requeridos de acuerdo con lo descrito en los formularios indicados en la Sección IV Formularios, con base a estos formularios, el Contratante evaluará solamente las ofertas económicas de aquellas ofertas que cumplan con los requisitos establecidos de antecedentes del oferente de la oferta técnica.</w:t>
      </w:r>
    </w:p>
    <w:p w14:paraId="062EDEDC" w14:textId="77777777" w:rsidR="0086201A" w:rsidRPr="00BA77FC" w:rsidRDefault="0086201A" w:rsidP="003B68DB">
      <w:pPr>
        <w:pStyle w:val="Prrafodelista"/>
        <w:numPr>
          <w:ilvl w:val="0"/>
          <w:numId w:val="115"/>
        </w:numPr>
        <w:spacing w:before="100" w:after="100"/>
        <w:rPr>
          <w:rFonts w:ascii="Arial" w:hAnsi="Arial" w:cs="Arial"/>
          <w:sz w:val="22"/>
          <w:szCs w:val="22"/>
        </w:rPr>
      </w:pPr>
      <w:r w:rsidRPr="00BA77FC">
        <w:rPr>
          <w:rFonts w:ascii="Arial" w:hAnsi="Arial" w:cs="Arial"/>
          <w:sz w:val="22"/>
          <w:szCs w:val="22"/>
        </w:rPr>
        <w:t>Aquellas empresas que tengan contrato/s vigentes con FISE, podrán ser adjudicados, si el contrato o los contratos vigentes que tengan al momento de la evaluación, presentan al menos el 70% de avance financiero, (Se le podrán adjudicar un máximo de 03 (tres contratos).</w:t>
      </w:r>
    </w:p>
    <w:p w14:paraId="4F2864E1" w14:textId="77777777" w:rsidR="0086201A" w:rsidRPr="00BA77FC" w:rsidRDefault="0086201A" w:rsidP="003B68DB">
      <w:pPr>
        <w:pStyle w:val="Prrafodelista"/>
        <w:numPr>
          <w:ilvl w:val="0"/>
          <w:numId w:val="115"/>
        </w:numPr>
        <w:spacing w:before="100" w:after="100"/>
        <w:rPr>
          <w:rFonts w:ascii="Arial" w:hAnsi="Arial" w:cs="Arial"/>
          <w:sz w:val="22"/>
          <w:szCs w:val="22"/>
        </w:rPr>
      </w:pPr>
      <w:r w:rsidRPr="00BA77FC">
        <w:rPr>
          <w:rFonts w:ascii="Arial" w:hAnsi="Arial" w:cs="Arial"/>
          <w:sz w:val="22"/>
          <w:szCs w:val="22"/>
        </w:rPr>
        <w:t>En caso que presente proyecto/s con avance financiero menor al 70%, se podrán adjudicar un número de proyecto/s que sumados a los proyectos en ejecución, totalicen un máximo de tres proyectos.</w:t>
      </w:r>
    </w:p>
    <w:p w14:paraId="7A4941BE" w14:textId="77777777" w:rsidR="008640AF" w:rsidRDefault="0086201A" w:rsidP="008640AF">
      <w:pPr>
        <w:pStyle w:val="Prrafodelista"/>
        <w:numPr>
          <w:ilvl w:val="0"/>
          <w:numId w:val="115"/>
        </w:numPr>
        <w:spacing w:before="100" w:after="100"/>
        <w:rPr>
          <w:rFonts w:ascii="Arial" w:hAnsi="Arial" w:cs="Arial"/>
          <w:sz w:val="22"/>
          <w:szCs w:val="22"/>
        </w:rPr>
      </w:pPr>
      <w:r w:rsidRPr="00BA77FC">
        <w:rPr>
          <w:rFonts w:ascii="Arial" w:hAnsi="Arial" w:cs="Arial"/>
          <w:sz w:val="22"/>
          <w:szCs w:val="22"/>
        </w:rPr>
        <w:t>El número máximo de proyecto que se puede adjudicar aun oferente: son 03 (tres)</w:t>
      </w:r>
    </w:p>
    <w:p w14:paraId="79324F87" w14:textId="78DABB1D" w:rsidR="0086201A" w:rsidRPr="008640AF" w:rsidRDefault="0086201A" w:rsidP="008640AF">
      <w:pPr>
        <w:pStyle w:val="Prrafodelista"/>
        <w:numPr>
          <w:ilvl w:val="0"/>
          <w:numId w:val="115"/>
        </w:numPr>
        <w:spacing w:before="100" w:after="100"/>
        <w:rPr>
          <w:rFonts w:ascii="Arial" w:hAnsi="Arial" w:cs="Arial"/>
          <w:sz w:val="22"/>
          <w:szCs w:val="22"/>
        </w:rPr>
      </w:pPr>
      <w:r w:rsidRPr="008640AF">
        <w:rPr>
          <w:rFonts w:ascii="Arial" w:hAnsi="Arial" w:cs="Arial"/>
          <w:sz w:val="22"/>
          <w:szCs w:val="22"/>
        </w:rPr>
        <w:t>De presentarse casos en que un mismo contratista, es el precio evaluado como el más conveniente en más de los contratos/Proyectos, que según las condiciones anteriores se les podrá adjudicar, se le solicitará mediante comunicación oficial, nos indique cual es el orden de su preferencia para ser Adjudicado. (Extensivo a otros procesos que se estén desarrollando en paralelo).</w:t>
      </w:r>
    </w:p>
    <w:p w14:paraId="1A21F750" w14:textId="77777777" w:rsidR="00D62CF8" w:rsidRPr="002C6280" w:rsidRDefault="00D62CF8" w:rsidP="000C6174">
      <w:pPr>
        <w:autoSpaceDE w:val="0"/>
        <w:autoSpaceDN w:val="0"/>
        <w:adjustRightInd w:val="0"/>
        <w:spacing w:before="100" w:after="100"/>
        <w:rPr>
          <w:rFonts w:ascii="Arial" w:hAnsi="Arial" w:cs="Arial"/>
          <w:sz w:val="22"/>
          <w:szCs w:val="22"/>
          <w:lang w:val="es-ES"/>
        </w:rPr>
      </w:pPr>
      <w:r w:rsidRPr="002C6280">
        <w:rPr>
          <w:rFonts w:ascii="Arial" w:hAnsi="Arial" w:cs="Arial"/>
          <w:sz w:val="22"/>
          <w:szCs w:val="22"/>
          <w:lang w:val="es-ES"/>
        </w:rPr>
        <w:lastRenderedPageBreak/>
        <w:t xml:space="preserve">Al evaluar las ofertas económicas, el Contratante determinará la razonabilidad del precio y el precio evaluado de cada oferta, realizando las correcciones aritméticas de acuerdo con lo establecido en las IAO 34.  </w:t>
      </w:r>
    </w:p>
    <w:p w14:paraId="241988EA" w14:textId="77777777" w:rsidR="00D62CF8" w:rsidRPr="002C6280" w:rsidRDefault="00D62CF8" w:rsidP="000C6174">
      <w:pPr>
        <w:spacing w:before="100" w:after="100"/>
        <w:rPr>
          <w:rFonts w:ascii="Arial" w:hAnsi="Arial" w:cs="Arial"/>
          <w:sz w:val="22"/>
          <w:szCs w:val="22"/>
        </w:rPr>
      </w:pPr>
      <w:r w:rsidRPr="002C6280">
        <w:rPr>
          <w:rFonts w:ascii="Arial" w:hAnsi="Arial" w:cs="Arial"/>
          <w:sz w:val="22"/>
          <w:szCs w:val="22"/>
        </w:rPr>
        <w:t>Una vez revisadas las ofertas económicas y confirmadas las correcciones aritméticas por los oferentes en caso de existir, se ordenarán de acuerdo con el valor de la oferta económica y se seleccionara la oferta más conveniente.</w:t>
      </w:r>
    </w:p>
    <w:p w14:paraId="02A62C1D" w14:textId="77777777" w:rsidR="00D62CF8" w:rsidRPr="002C6280" w:rsidRDefault="00D62CF8" w:rsidP="0071608E">
      <w:pPr>
        <w:pStyle w:val="Prrafodelista"/>
        <w:numPr>
          <w:ilvl w:val="0"/>
          <w:numId w:val="47"/>
        </w:numPr>
        <w:spacing w:before="240" w:after="120"/>
        <w:ind w:left="0" w:firstLine="0"/>
        <w:rPr>
          <w:rFonts w:ascii="Arial" w:hAnsi="Arial" w:cs="Arial"/>
          <w:b/>
          <w:sz w:val="22"/>
          <w:szCs w:val="22"/>
          <w:lang w:val="es-HN"/>
        </w:rPr>
      </w:pPr>
      <w:r w:rsidRPr="002C6280">
        <w:rPr>
          <w:rFonts w:ascii="Arial" w:hAnsi="Arial" w:cs="Arial"/>
          <w:b/>
          <w:sz w:val="22"/>
          <w:szCs w:val="22"/>
          <w:lang w:val="es-HN"/>
        </w:rPr>
        <w:t>Oferta más conveniente</w:t>
      </w:r>
    </w:p>
    <w:p w14:paraId="3BF7035E" w14:textId="77777777" w:rsidR="00D62CF8" w:rsidRPr="002C6280" w:rsidRDefault="00D62CF8" w:rsidP="000C6174">
      <w:pPr>
        <w:spacing w:before="100" w:after="100"/>
        <w:rPr>
          <w:rFonts w:ascii="Arial" w:hAnsi="Arial" w:cs="Arial"/>
          <w:b/>
          <w:sz w:val="22"/>
          <w:szCs w:val="22"/>
          <w:lang w:val="es-HN"/>
        </w:rPr>
      </w:pPr>
      <w:r w:rsidRPr="002C6280">
        <w:rPr>
          <w:rFonts w:ascii="Arial" w:hAnsi="Arial" w:cs="Arial"/>
          <w:sz w:val="22"/>
          <w:szCs w:val="22"/>
        </w:rPr>
        <w:t>El Contratante recomendará la adjudicación del contrato a la oferta más conveniente, que será aquella que:</w:t>
      </w:r>
    </w:p>
    <w:p w14:paraId="0E48F4C9" w14:textId="77777777" w:rsidR="00D62CF8" w:rsidRPr="002C6280" w:rsidRDefault="00D62CF8" w:rsidP="0071608E">
      <w:pPr>
        <w:pStyle w:val="Prrafodelista"/>
        <w:widowControl w:val="0"/>
        <w:numPr>
          <w:ilvl w:val="0"/>
          <w:numId w:val="51"/>
        </w:numPr>
        <w:spacing w:before="60" w:after="60"/>
        <w:ind w:left="360"/>
        <w:jc w:val="left"/>
        <w:rPr>
          <w:rFonts w:ascii="Arial" w:hAnsi="Arial" w:cs="Arial"/>
          <w:sz w:val="22"/>
          <w:szCs w:val="22"/>
        </w:rPr>
      </w:pPr>
      <w:r w:rsidRPr="002C6280">
        <w:rPr>
          <w:rFonts w:ascii="Arial" w:hAnsi="Arial" w:cs="Arial"/>
          <w:sz w:val="22"/>
          <w:szCs w:val="22"/>
        </w:rPr>
        <w:t xml:space="preserve">Cumple todos los requisitos relacionados a los antecedentes, </w:t>
      </w:r>
    </w:p>
    <w:p w14:paraId="1FE38003" w14:textId="77777777" w:rsidR="00D62CF8" w:rsidRPr="002C6280" w:rsidRDefault="00D62CF8" w:rsidP="0071608E">
      <w:pPr>
        <w:pStyle w:val="Prrafodelista"/>
        <w:widowControl w:val="0"/>
        <w:numPr>
          <w:ilvl w:val="0"/>
          <w:numId w:val="51"/>
        </w:numPr>
        <w:spacing w:before="60" w:after="60"/>
        <w:ind w:left="360"/>
        <w:jc w:val="left"/>
        <w:rPr>
          <w:rFonts w:ascii="Arial" w:hAnsi="Arial" w:cs="Arial"/>
          <w:sz w:val="22"/>
          <w:szCs w:val="22"/>
        </w:rPr>
      </w:pPr>
      <w:r w:rsidRPr="002C6280">
        <w:rPr>
          <w:rFonts w:ascii="Arial" w:hAnsi="Arial" w:cs="Arial"/>
          <w:sz w:val="22"/>
          <w:szCs w:val="22"/>
        </w:rPr>
        <w:t xml:space="preserve">La oferta técnica cumple todos los criterios de evaluación </w:t>
      </w:r>
    </w:p>
    <w:p w14:paraId="75B2C762" w14:textId="77777777" w:rsidR="00D62CF8" w:rsidRPr="002C6280" w:rsidRDefault="00D62CF8" w:rsidP="0071608E">
      <w:pPr>
        <w:pStyle w:val="Prrafodelista"/>
        <w:widowControl w:val="0"/>
        <w:numPr>
          <w:ilvl w:val="0"/>
          <w:numId w:val="51"/>
        </w:numPr>
        <w:spacing w:before="60" w:after="60"/>
        <w:ind w:left="360"/>
        <w:jc w:val="left"/>
        <w:rPr>
          <w:rFonts w:ascii="Arial" w:hAnsi="Arial" w:cs="Arial"/>
          <w:sz w:val="22"/>
          <w:szCs w:val="22"/>
          <w:lang w:val="es-ES"/>
        </w:rPr>
      </w:pPr>
      <w:r w:rsidRPr="002C6280">
        <w:rPr>
          <w:rFonts w:ascii="Arial" w:hAnsi="Arial" w:cs="Arial"/>
          <w:sz w:val="22"/>
          <w:szCs w:val="22"/>
        </w:rPr>
        <w:t>Presente la oferta económica más baja</w:t>
      </w:r>
    </w:p>
    <w:p w14:paraId="6697E1B3" w14:textId="77777777" w:rsidR="00D62CF8" w:rsidRPr="002C6280" w:rsidRDefault="00D62CF8" w:rsidP="0071608E">
      <w:pPr>
        <w:pStyle w:val="Prrafodelista"/>
        <w:widowControl w:val="0"/>
        <w:numPr>
          <w:ilvl w:val="0"/>
          <w:numId w:val="51"/>
        </w:numPr>
        <w:spacing w:before="60" w:after="60"/>
        <w:ind w:left="360"/>
        <w:jc w:val="left"/>
        <w:rPr>
          <w:rFonts w:ascii="Arial" w:hAnsi="Arial" w:cs="Arial"/>
          <w:sz w:val="22"/>
          <w:szCs w:val="22"/>
          <w:lang w:val="es-ES"/>
        </w:rPr>
      </w:pPr>
      <w:r w:rsidRPr="002C6280">
        <w:rPr>
          <w:rFonts w:ascii="Arial" w:hAnsi="Arial" w:cs="Arial"/>
          <w:sz w:val="22"/>
          <w:szCs w:val="22"/>
        </w:rPr>
        <w:t>Cumpla con lo establecido en el numeral 6.1 de las IAO.</w:t>
      </w:r>
    </w:p>
    <w:p w14:paraId="6BBA8DD4" w14:textId="77777777" w:rsidR="00D62CF8" w:rsidRPr="002C6280" w:rsidRDefault="00D62CF8" w:rsidP="0071608E">
      <w:pPr>
        <w:pStyle w:val="Prrafodelista"/>
        <w:widowControl w:val="0"/>
        <w:numPr>
          <w:ilvl w:val="0"/>
          <w:numId w:val="51"/>
        </w:numPr>
        <w:spacing w:before="60" w:after="60"/>
        <w:ind w:left="360"/>
        <w:rPr>
          <w:rFonts w:ascii="Arial" w:hAnsi="Arial" w:cs="Arial"/>
          <w:sz w:val="22"/>
          <w:szCs w:val="22"/>
          <w:lang w:val="es-ES"/>
        </w:rPr>
      </w:pPr>
      <w:r w:rsidRPr="002C6280">
        <w:rPr>
          <w:rFonts w:ascii="Arial" w:hAnsi="Arial" w:cs="Arial"/>
          <w:sz w:val="22"/>
          <w:szCs w:val="22"/>
        </w:rPr>
        <w:t xml:space="preserve">No </w:t>
      </w:r>
      <w:r w:rsidRPr="002C6280">
        <w:rPr>
          <w:rFonts w:ascii="Arial" w:hAnsi="Arial" w:cs="Arial"/>
          <w:sz w:val="22"/>
          <w:szCs w:val="22"/>
          <w:lang w:val="es-HN"/>
        </w:rPr>
        <w:t xml:space="preserve">se encuentra incluidos en la lista de Contrapartes Prohibidas del BCIE </w:t>
      </w:r>
    </w:p>
    <w:p w14:paraId="6EDFFD3E" w14:textId="77777777" w:rsidR="00D62CF8" w:rsidRPr="002C6280" w:rsidRDefault="00D62CF8" w:rsidP="0071608E">
      <w:pPr>
        <w:pStyle w:val="Prrafodelista"/>
        <w:widowControl w:val="0"/>
        <w:numPr>
          <w:ilvl w:val="0"/>
          <w:numId w:val="51"/>
        </w:numPr>
        <w:spacing w:before="60" w:after="60"/>
        <w:ind w:left="360"/>
        <w:rPr>
          <w:rFonts w:ascii="Arial" w:hAnsi="Arial" w:cs="Arial"/>
          <w:sz w:val="22"/>
          <w:szCs w:val="22"/>
          <w:lang w:val="es-ES"/>
        </w:rPr>
      </w:pPr>
      <w:r w:rsidRPr="002C6280">
        <w:rPr>
          <w:rFonts w:ascii="Arial" w:hAnsi="Arial" w:cs="Arial"/>
          <w:sz w:val="22"/>
          <w:szCs w:val="22"/>
          <w:lang w:val="es-HN"/>
        </w:rPr>
        <w:t>No se encuentra inhabilitado o declarado como inelegible o sancionado para la obtención de recursos o la adjudicación de contratos financiados por organizaciones reconocidas por el BCIE</w:t>
      </w:r>
    </w:p>
    <w:p w14:paraId="22031DD9" w14:textId="77777777" w:rsidR="00D62CF8" w:rsidRPr="00F10C3E" w:rsidRDefault="00D62CF8">
      <w:pPr>
        <w:rPr>
          <w:rFonts w:ascii="Arial" w:hAnsi="Arial" w:cs="Arial"/>
          <w:szCs w:val="24"/>
        </w:rPr>
      </w:pPr>
    </w:p>
    <w:p w14:paraId="6C9CDE14" w14:textId="77777777" w:rsidR="002713DE" w:rsidRPr="00F10C3E" w:rsidRDefault="002713DE">
      <w:pPr>
        <w:rPr>
          <w:rFonts w:ascii="Arial" w:hAnsi="Arial" w:cs="Arial"/>
          <w:szCs w:val="24"/>
        </w:rPr>
      </w:pPr>
    </w:p>
    <w:p w14:paraId="590093B5" w14:textId="77777777" w:rsidR="00A563E0" w:rsidRPr="00F10C3E" w:rsidRDefault="00A563E0" w:rsidP="000C6174">
      <w:pPr>
        <w:jc w:val="center"/>
        <w:rPr>
          <w:rFonts w:ascii="Arial" w:hAnsi="Arial" w:cs="Arial"/>
          <w:b/>
          <w:szCs w:val="24"/>
          <w:lang w:val="es-ES"/>
        </w:rPr>
      </w:pPr>
      <w:bookmarkStart w:id="374" w:name="_Toc365893477"/>
      <w:bookmarkStart w:id="375" w:name="_Toc364779459"/>
      <w:bookmarkStart w:id="376" w:name="_Toc47916946"/>
    </w:p>
    <w:p w14:paraId="062F7D12" w14:textId="77777777" w:rsidR="00A563E0" w:rsidRPr="00F10C3E" w:rsidRDefault="00A563E0" w:rsidP="000C6174">
      <w:pPr>
        <w:jc w:val="center"/>
        <w:rPr>
          <w:rFonts w:ascii="Arial" w:hAnsi="Arial" w:cs="Arial"/>
          <w:b/>
          <w:szCs w:val="24"/>
          <w:lang w:val="es-ES"/>
        </w:rPr>
      </w:pPr>
    </w:p>
    <w:p w14:paraId="66DDC7BF" w14:textId="77777777" w:rsidR="0006771D" w:rsidRPr="00F10C3E" w:rsidRDefault="0006771D" w:rsidP="000C6174">
      <w:pPr>
        <w:jc w:val="center"/>
        <w:rPr>
          <w:rFonts w:ascii="Arial" w:hAnsi="Arial" w:cs="Arial"/>
          <w:b/>
          <w:szCs w:val="24"/>
          <w:lang w:val="es-ES"/>
        </w:rPr>
      </w:pPr>
    </w:p>
    <w:p w14:paraId="6544CAAB" w14:textId="77777777" w:rsidR="0006771D" w:rsidRDefault="0006771D" w:rsidP="000C6174">
      <w:pPr>
        <w:jc w:val="center"/>
        <w:rPr>
          <w:rFonts w:ascii="Arial" w:hAnsi="Arial" w:cs="Arial"/>
          <w:b/>
          <w:szCs w:val="24"/>
          <w:lang w:val="es-ES"/>
        </w:rPr>
      </w:pPr>
    </w:p>
    <w:p w14:paraId="1B1FEB9F" w14:textId="77777777" w:rsidR="002C6280" w:rsidRDefault="002C6280" w:rsidP="000C6174">
      <w:pPr>
        <w:jc w:val="center"/>
        <w:rPr>
          <w:rFonts w:ascii="Arial" w:hAnsi="Arial" w:cs="Arial"/>
          <w:b/>
          <w:szCs w:val="24"/>
          <w:lang w:val="es-ES"/>
        </w:rPr>
      </w:pPr>
    </w:p>
    <w:p w14:paraId="329F0303" w14:textId="77777777" w:rsidR="002C6280" w:rsidRDefault="002C6280" w:rsidP="000C6174">
      <w:pPr>
        <w:jc w:val="center"/>
        <w:rPr>
          <w:rFonts w:ascii="Arial" w:hAnsi="Arial" w:cs="Arial"/>
          <w:b/>
          <w:szCs w:val="24"/>
          <w:lang w:val="es-ES"/>
        </w:rPr>
      </w:pPr>
    </w:p>
    <w:p w14:paraId="1943522C" w14:textId="77777777" w:rsidR="002C6280" w:rsidRDefault="002C6280" w:rsidP="000C6174">
      <w:pPr>
        <w:jc w:val="center"/>
        <w:rPr>
          <w:rFonts w:ascii="Arial" w:hAnsi="Arial" w:cs="Arial"/>
          <w:b/>
          <w:szCs w:val="24"/>
          <w:lang w:val="es-ES"/>
        </w:rPr>
      </w:pPr>
    </w:p>
    <w:p w14:paraId="46B431C8" w14:textId="77777777" w:rsidR="009B31CF" w:rsidRDefault="009B31CF">
      <w:pPr>
        <w:jc w:val="left"/>
        <w:rPr>
          <w:rFonts w:ascii="Arial" w:hAnsi="Arial" w:cs="Arial"/>
          <w:b/>
          <w:szCs w:val="24"/>
          <w:lang w:val="es-ES"/>
        </w:rPr>
      </w:pPr>
      <w:r>
        <w:rPr>
          <w:rFonts w:ascii="Arial" w:hAnsi="Arial" w:cs="Arial"/>
          <w:b/>
          <w:szCs w:val="24"/>
          <w:lang w:val="es-ES"/>
        </w:rPr>
        <w:br w:type="page"/>
      </w:r>
    </w:p>
    <w:p w14:paraId="09E6B0A8" w14:textId="77777777" w:rsidR="008C0885" w:rsidRPr="002C5B0D" w:rsidRDefault="008C0885" w:rsidP="00C2353B">
      <w:pPr>
        <w:pStyle w:val="INDGEN2"/>
      </w:pPr>
      <w:bookmarkStart w:id="377" w:name="_Toc74520009"/>
      <w:bookmarkStart w:id="378" w:name="_Toc74781383"/>
      <w:bookmarkStart w:id="379" w:name="_Toc74894070"/>
      <w:r w:rsidRPr="002C5B0D">
        <w:lastRenderedPageBreak/>
        <w:t>Sección IV</w:t>
      </w:r>
      <w:bookmarkStart w:id="380" w:name="_Toc365893478"/>
      <w:bookmarkEnd w:id="374"/>
      <w:r w:rsidRPr="002C5B0D">
        <w:tab/>
      </w:r>
      <w:r w:rsidR="00C2353B">
        <w:t>.</w:t>
      </w:r>
      <w:r w:rsidR="002D4D3B">
        <w:t xml:space="preserve"> </w:t>
      </w:r>
      <w:r w:rsidRPr="002C5B0D">
        <w:t xml:space="preserve">Formularios </w:t>
      </w:r>
      <w:bookmarkEnd w:id="375"/>
      <w:bookmarkEnd w:id="380"/>
      <w:r w:rsidRPr="002C5B0D">
        <w:t>de Licitación</w:t>
      </w:r>
      <w:bookmarkEnd w:id="376"/>
      <w:bookmarkEnd w:id="377"/>
      <w:bookmarkEnd w:id="378"/>
      <w:bookmarkEnd w:id="379"/>
    </w:p>
    <w:p w14:paraId="7213DF31" w14:textId="77777777" w:rsidR="008C0885" w:rsidRDefault="008C0885" w:rsidP="000C6174">
      <w:pPr>
        <w:spacing w:before="120" w:after="120"/>
        <w:rPr>
          <w:rFonts w:asciiTheme="minorHAnsi" w:hAnsiTheme="minorHAnsi" w:cs="Arial"/>
          <w:b/>
          <w:szCs w:val="22"/>
        </w:rPr>
      </w:pPr>
    </w:p>
    <w:p w14:paraId="7F66438C" w14:textId="77777777" w:rsidR="008C0885" w:rsidRPr="002C5B0D" w:rsidRDefault="008C0885" w:rsidP="000C6174">
      <w:pPr>
        <w:spacing w:before="120" w:after="120"/>
        <w:rPr>
          <w:rFonts w:ascii="Arial" w:hAnsi="Arial" w:cs="Arial"/>
          <w:b/>
          <w:sz w:val="22"/>
          <w:szCs w:val="22"/>
        </w:rPr>
      </w:pPr>
      <w:r w:rsidRPr="002C5B0D">
        <w:rPr>
          <w:rFonts w:ascii="Arial" w:hAnsi="Arial" w:cs="Arial"/>
          <w:b/>
          <w:sz w:val="22"/>
          <w:szCs w:val="22"/>
        </w:rPr>
        <w:t>Antecedentes del Oferente</w:t>
      </w:r>
    </w:p>
    <w:p w14:paraId="113A4FAB" w14:textId="77777777" w:rsidR="008C0885" w:rsidRPr="002C5B0D" w:rsidRDefault="008C0885" w:rsidP="000C6174">
      <w:pPr>
        <w:spacing w:before="60" w:after="60"/>
        <w:jc w:val="left"/>
        <w:rPr>
          <w:rFonts w:ascii="Arial" w:hAnsi="Arial" w:cs="Arial"/>
          <w:b/>
          <w:sz w:val="22"/>
          <w:szCs w:val="22"/>
        </w:rPr>
      </w:pPr>
      <w:r w:rsidRPr="002C5B0D">
        <w:rPr>
          <w:rFonts w:ascii="Arial" w:hAnsi="Arial" w:cs="Arial"/>
          <w:b/>
          <w:sz w:val="22"/>
          <w:szCs w:val="22"/>
          <w:lang w:val="es-HN"/>
        </w:rPr>
        <w:t>CC - 1</w:t>
      </w:r>
      <w:r w:rsidRPr="002C5B0D">
        <w:rPr>
          <w:rFonts w:ascii="Arial" w:hAnsi="Arial" w:cs="Arial"/>
          <w:b/>
          <w:sz w:val="22"/>
          <w:szCs w:val="22"/>
          <w:lang w:val="es-HN"/>
        </w:rPr>
        <w:tab/>
      </w:r>
      <w:r w:rsidRPr="002C5B0D">
        <w:rPr>
          <w:rFonts w:ascii="Arial" w:hAnsi="Arial" w:cs="Arial"/>
          <w:b/>
          <w:sz w:val="22"/>
          <w:szCs w:val="22"/>
          <w:lang w:val="es-HN"/>
        </w:rPr>
        <w:tab/>
      </w:r>
      <w:r w:rsidRPr="002C5B0D">
        <w:rPr>
          <w:rFonts w:ascii="Arial" w:hAnsi="Arial" w:cs="Arial"/>
          <w:sz w:val="22"/>
          <w:szCs w:val="22"/>
          <w:lang w:val="es-HN"/>
        </w:rPr>
        <w:t xml:space="preserve">Carta de Presentación de la Oferta </w:t>
      </w:r>
    </w:p>
    <w:p w14:paraId="050F05B4" w14:textId="77777777" w:rsidR="008C0885" w:rsidRPr="002C5B0D" w:rsidRDefault="008C0885" w:rsidP="000C6174">
      <w:pPr>
        <w:spacing w:before="60" w:after="60"/>
        <w:ind w:left="1440" w:hanging="1440"/>
        <w:rPr>
          <w:rFonts w:ascii="Arial" w:hAnsi="Arial" w:cs="Arial"/>
          <w:i/>
          <w:sz w:val="22"/>
          <w:szCs w:val="22"/>
          <w:lang w:val="es-HN"/>
        </w:rPr>
      </w:pPr>
      <w:r w:rsidRPr="002C5B0D">
        <w:rPr>
          <w:rFonts w:ascii="Arial" w:hAnsi="Arial" w:cs="Arial"/>
          <w:b/>
          <w:sz w:val="22"/>
          <w:szCs w:val="22"/>
          <w:lang w:val="es-HN"/>
        </w:rPr>
        <w:t>CC - 2</w:t>
      </w:r>
      <w:r w:rsidRPr="002C5B0D">
        <w:rPr>
          <w:rFonts w:ascii="Arial" w:hAnsi="Arial" w:cs="Arial"/>
          <w:b/>
          <w:sz w:val="22"/>
          <w:szCs w:val="22"/>
          <w:lang w:val="es-HN"/>
        </w:rPr>
        <w:tab/>
      </w:r>
      <w:r w:rsidRPr="002C5B0D">
        <w:rPr>
          <w:rFonts w:ascii="Arial" w:hAnsi="Arial" w:cs="Arial"/>
          <w:sz w:val="22"/>
          <w:szCs w:val="22"/>
        </w:rPr>
        <w:t xml:space="preserve">Intención de </w:t>
      </w:r>
      <w:r w:rsidRPr="002C5B0D">
        <w:rPr>
          <w:rFonts w:ascii="Arial" w:hAnsi="Arial" w:cs="Arial"/>
          <w:sz w:val="22"/>
          <w:szCs w:val="22"/>
          <w:lang w:val="es-ES"/>
        </w:rPr>
        <w:t xml:space="preserve">Asociación en </w:t>
      </w:r>
      <w:r w:rsidRPr="0086201A">
        <w:rPr>
          <w:rFonts w:ascii="Arial" w:hAnsi="Arial" w:cs="Arial"/>
          <w:sz w:val="22"/>
          <w:szCs w:val="22"/>
          <w:lang w:val="es-ES"/>
        </w:rPr>
        <w:t>Participación, Consorcio o Asociación (APCA)</w:t>
      </w:r>
      <w:r w:rsidRPr="0086201A">
        <w:rPr>
          <w:rFonts w:ascii="Arial" w:hAnsi="Arial" w:cs="Arial"/>
          <w:i/>
          <w:sz w:val="22"/>
          <w:szCs w:val="22"/>
        </w:rPr>
        <w:t xml:space="preserve"> (Aplica en caso de propuestas presentadas por APCA)</w:t>
      </w:r>
    </w:p>
    <w:p w14:paraId="2C5A6ECF" w14:textId="77777777" w:rsidR="008C0885" w:rsidRPr="002C5B0D" w:rsidRDefault="008C0885" w:rsidP="000C6174">
      <w:pPr>
        <w:spacing w:before="60" w:after="60"/>
        <w:rPr>
          <w:rFonts w:ascii="Arial" w:hAnsi="Arial" w:cs="Arial"/>
          <w:b/>
          <w:sz w:val="22"/>
          <w:szCs w:val="22"/>
          <w:lang w:val="es-HN"/>
        </w:rPr>
      </w:pPr>
      <w:r w:rsidRPr="002C5B0D">
        <w:rPr>
          <w:rFonts w:ascii="Arial" w:hAnsi="Arial" w:cs="Arial"/>
          <w:b/>
          <w:sz w:val="22"/>
          <w:szCs w:val="22"/>
          <w:lang w:val="es-HN"/>
        </w:rPr>
        <w:t>CC - 3</w:t>
      </w:r>
      <w:r w:rsidRPr="002C5B0D">
        <w:rPr>
          <w:rFonts w:ascii="Arial" w:hAnsi="Arial" w:cs="Arial"/>
          <w:b/>
          <w:sz w:val="22"/>
          <w:szCs w:val="22"/>
          <w:lang w:val="es-HN"/>
        </w:rPr>
        <w:tab/>
      </w:r>
      <w:r w:rsidRPr="002C5B0D">
        <w:rPr>
          <w:rFonts w:ascii="Arial" w:hAnsi="Arial" w:cs="Arial"/>
          <w:b/>
          <w:sz w:val="22"/>
          <w:szCs w:val="22"/>
          <w:lang w:val="es-HN"/>
        </w:rPr>
        <w:tab/>
      </w:r>
      <w:r w:rsidRPr="002C5B0D">
        <w:rPr>
          <w:rFonts w:ascii="Arial" w:hAnsi="Arial" w:cs="Arial"/>
          <w:sz w:val="22"/>
          <w:szCs w:val="22"/>
        </w:rPr>
        <w:t>Identificación del Oferente</w:t>
      </w:r>
      <w:r w:rsidRPr="002C5B0D">
        <w:rPr>
          <w:rFonts w:ascii="Arial" w:hAnsi="Arial" w:cs="Arial"/>
          <w:b/>
          <w:sz w:val="22"/>
          <w:szCs w:val="22"/>
          <w:lang w:val="es-HN"/>
        </w:rPr>
        <w:t xml:space="preserve"> </w:t>
      </w:r>
    </w:p>
    <w:p w14:paraId="2459B951" w14:textId="77777777" w:rsidR="008C0885" w:rsidRPr="002C5B0D" w:rsidRDefault="008C0885" w:rsidP="000C6174">
      <w:pPr>
        <w:spacing w:before="60" w:after="60"/>
        <w:rPr>
          <w:rFonts w:ascii="Arial" w:hAnsi="Arial" w:cs="Arial"/>
          <w:sz w:val="22"/>
          <w:szCs w:val="22"/>
          <w:lang w:val="es-HN"/>
        </w:rPr>
      </w:pPr>
      <w:r w:rsidRPr="002C5B0D">
        <w:rPr>
          <w:rFonts w:ascii="Arial" w:hAnsi="Arial" w:cs="Arial"/>
          <w:b/>
          <w:sz w:val="22"/>
          <w:szCs w:val="22"/>
          <w:lang w:val="es-HN"/>
        </w:rPr>
        <w:t>CC - 4</w:t>
      </w:r>
      <w:r w:rsidRPr="002C5B0D">
        <w:rPr>
          <w:rFonts w:ascii="Arial" w:hAnsi="Arial" w:cs="Arial"/>
          <w:sz w:val="22"/>
          <w:szCs w:val="22"/>
          <w:lang w:val="es-HN"/>
        </w:rPr>
        <w:tab/>
      </w:r>
      <w:r w:rsidRPr="002C5B0D">
        <w:rPr>
          <w:rFonts w:ascii="Arial" w:hAnsi="Arial" w:cs="Arial"/>
          <w:sz w:val="22"/>
          <w:szCs w:val="22"/>
          <w:lang w:val="es-HN"/>
        </w:rPr>
        <w:tab/>
        <w:t xml:space="preserve">Declaración </w:t>
      </w:r>
      <w:r w:rsidR="005002FF">
        <w:rPr>
          <w:rFonts w:ascii="Arial" w:hAnsi="Arial" w:cs="Arial"/>
          <w:sz w:val="22"/>
          <w:szCs w:val="22"/>
          <w:lang w:val="es-HN"/>
        </w:rPr>
        <w:t>Notarial</w:t>
      </w:r>
    </w:p>
    <w:p w14:paraId="21272228" w14:textId="77777777" w:rsidR="008C0885" w:rsidRPr="002C5B0D" w:rsidRDefault="008C0885" w:rsidP="000C6174">
      <w:pPr>
        <w:spacing w:before="60" w:after="60"/>
        <w:rPr>
          <w:rFonts w:ascii="Arial" w:hAnsi="Arial" w:cs="Arial"/>
          <w:sz w:val="22"/>
          <w:szCs w:val="22"/>
        </w:rPr>
      </w:pPr>
      <w:r w:rsidRPr="002C5B0D">
        <w:rPr>
          <w:rFonts w:ascii="Arial" w:hAnsi="Arial" w:cs="Arial"/>
          <w:b/>
          <w:sz w:val="22"/>
          <w:szCs w:val="22"/>
        </w:rPr>
        <w:t>CC – 5</w:t>
      </w:r>
      <w:r w:rsidRPr="002C5B0D">
        <w:rPr>
          <w:rFonts w:ascii="Arial" w:hAnsi="Arial" w:cs="Arial"/>
          <w:b/>
          <w:sz w:val="22"/>
          <w:szCs w:val="22"/>
        </w:rPr>
        <w:tab/>
      </w:r>
      <w:r w:rsidRPr="002C5B0D">
        <w:rPr>
          <w:rFonts w:ascii="Arial" w:hAnsi="Arial" w:cs="Arial"/>
          <w:b/>
          <w:sz w:val="22"/>
          <w:szCs w:val="22"/>
        </w:rPr>
        <w:tab/>
      </w:r>
      <w:r w:rsidRPr="002C5B0D">
        <w:rPr>
          <w:rFonts w:ascii="Arial" w:hAnsi="Arial" w:cs="Arial"/>
          <w:sz w:val="22"/>
          <w:szCs w:val="22"/>
        </w:rPr>
        <w:t>Historial de incumplimientos de contratos y litigios</w:t>
      </w:r>
    </w:p>
    <w:p w14:paraId="7556282D" w14:textId="77777777" w:rsidR="0086201A" w:rsidRPr="00BA77FC" w:rsidRDefault="008C0885" w:rsidP="0086201A">
      <w:pPr>
        <w:spacing w:before="60" w:after="60"/>
        <w:rPr>
          <w:rFonts w:ascii="Arial" w:hAnsi="Arial" w:cs="Arial"/>
          <w:sz w:val="22"/>
          <w:szCs w:val="22"/>
        </w:rPr>
      </w:pPr>
      <w:r w:rsidRPr="002C5B0D">
        <w:rPr>
          <w:rFonts w:ascii="Arial" w:hAnsi="Arial" w:cs="Arial"/>
          <w:b/>
          <w:sz w:val="22"/>
          <w:szCs w:val="22"/>
          <w:lang w:val="es-HN"/>
        </w:rPr>
        <w:t>CC - 6</w:t>
      </w:r>
      <w:r w:rsidRPr="002C5B0D">
        <w:rPr>
          <w:rFonts w:ascii="Arial" w:hAnsi="Arial" w:cs="Arial"/>
          <w:b/>
          <w:sz w:val="22"/>
          <w:szCs w:val="22"/>
          <w:lang w:val="es-HN"/>
        </w:rPr>
        <w:tab/>
      </w:r>
      <w:r w:rsidRPr="002C5B0D">
        <w:rPr>
          <w:rFonts w:ascii="Arial" w:hAnsi="Arial" w:cs="Arial"/>
          <w:b/>
          <w:sz w:val="22"/>
          <w:szCs w:val="22"/>
          <w:lang w:val="es-HN"/>
        </w:rPr>
        <w:tab/>
      </w:r>
      <w:r w:rsidR="0086201A" w:rsidRPr="00BA77FC">
        <w:rPr>
          <w:rFonts w:ascii="Arial" w:hAnsi="Arial" w:cs="Arial"/>
          <w:sz w:val="22"/>
          <w:szCs w:val="22"/>
        </w:rPr>
        <w:t>Garantía Bancaria de Mantenimiento de la Oferta y de Firma de Contrato</w:t>
      </w:r>
    </w:p>
    <w:p w14:paraId="055049C7" w14:textId="77777777" w:rsidR="008C0885" w:rsidRPr="002C5B0D" w:rsidRDefault="0086201A" w:rsidP="0086201A">
      <w:pPr>
        <w:spacing w:before="60" w:after="60"/>
        <w:ind w:left="1418"/>
        <w:rPr>
          <w:rFonts w:ascii="Arial" w:hAnsi="Arial" w:cs="Arial"/>
          <w:sz w:val="22"/>
          <w:szCs w:val="22"/>
        </w:rPr>
      </w:pPr>
      <w:r w:rsidRPr="00BA77FC">
        <w:rPr>
          <w:rFonts w:ascii="Arial" w:hAnsi="Arial" w:cs="Arial"/>
          <w:sz w:val="22"/>
          <w:szCs w:val="22"/>
        </w:rPr>
        <w:t>Fianza de Mantenimiento de la Oferta y de Firma de Contrato</w:t>
      </w:r>
      <w:r w:rsidRPr="002C5B0D">
        <w:rPr>
          <w:rFonts w:ascii="Arial" w:hAnsi="Arial" w:cs="Arial"/>
          <w:sz w:val="22"/>
          <w:szCs w:val="22"/>
        </w:rPr>
        <w:t xml:space="preserve"> </w:t>
      </w:r>
    </w:p>
    <w:p w14:paraId="742AFB7B" w14:textId="77777777" w:rsidR="008C0885" w:rsidRPr="002C5B0D" w:rsidRDefault="008C0885" w:rsidP="000C6174">
      <w:pPr>
        <w:tabs>
          <w:tab w:val="left" w:pos="1440"/>
        </w:tabs>
        <w:spacing w:before="60" w:after="60"/>
        <w:rPr>
          <w:rFonts w:ascii="Arial" w:hAnsi="Arial" w:cs="Arial"/>
          <w:color w:val="FF0000"/>
          <w:sz w:val="22"/>
          <w:szCs w:val="22"/>
        </w:rPr>
      </w:pPr>
      <w:r w:rsidRPr="002C5B0D">
        <w:rPr>
          <w:rFonts w:ascii="Arial" w:hAnsi="Arial" w:cs="Arial"/>
          <w:b/>
          <w:sz w:val="22"/>
          <w:szCs w:val="22"/>
          <w:lang w:val="es-HN"/>
        </w:rPr>
        <w:t>CC - 7</w:t>
      </w:r>
      <w:r w:rsidRPr="002C5B0D">
        <w:rPr>
          <w:rFonts w:ascii="Arial" w:hAnsi="Arial" w:cs="Arial"/>
          <w:b/>
          <w:sz w:val="22"/>
          <w:szCs w:val="22"/>
          <w:lang w:val="es-HN"/>
        </w:rPr>
        <w:tab/>
      </w:r>
      <w:r w:rsidRPr="002C5B0D">
        <w:rPr>
          <w:rFonts w:ascii="Arial" w:hAnsi="Arial" w:cs="Arial"/>
          <w:sz w:val="22"/>
          <w:szCs w:val="22"/>
        </w:rPr>
        <w:t>Declaración de desempeño ambiental y social</w:t>
      </w:r>
    </w:p>
    <w:p w14:paraId="2FFE939F" w14:textId="77777777" w:rsidR="008C0885" w:rsidRPr="002C5B0D" w:rsidRDefault="008C0885" w:rsidP="000C6174">
      <w:pPr>
        <w:spacing w:before="60" w:after="60"/>
        <w:rPr>
          <w:rFonts w:ascii="Arial" w:hAnsi="Arial" w:cs="Arial"/>
          <w:sz w:val="22"/>
          <w:szCs w:val="22"/>
        </w:rPr>
      </w:pPr>
      <w:r w:rsidRPr="002C5B0D">
        <w:rPr>
          <w:rFonts w:ascii="Arial" w:hAnsi="Arial" w:cs="Arial"/>
          <w:b/>
          <w:sz w:val="22"/>
          <w:szCs w:val="22"/>
          <w:lang w:val="es-HN"/>
        </w:rPr>
        <w:t>FIN - 1</w:t>
      </w:r>
      <w:r w:rsidRPr="002C5B0D">
        <w:rPr>
          <w:rFonts w:ascii="Arial" w:hAnsi="Arial" w:cs="Arial"/>
          <w:b/>
          <w:sz w:val="22"/>
          <w:szCs w:val="22"/>
          <w:lang w:val="es-HN"/>
        </w:rPr>
        <w:tab/>
      </w:r>
      <w:r w:rsidRPr="002C5B0D">
        <w:rPr>
          <w:rFonts w:ascii="Arial" w:hAnsi="Arial" w:cs="Arial"/>
          <w:b/>
          <w:sz w:val="22"/>
          <w:szCs w:val="22"/>
          <w:lang w:val="es-HN"/>
        </w:rPr>
        <w:tab/>
      </w:r>
      <w:r w:rsidRPr="002C5B0D">
        <w:rPr>
          <w:rFonts w:ascii="Arial" w:hAnsi="Arial" w:cs="Arial"/>
          <w:sz w:val="22"/>
          <w:szCs w:val="22"/>
        </w:rPr>
        <w:t>Situación Financiera</w:t>
      </w:r>
    </w:p>
    <w:p w14:paraId="54721101" w14:textId="77777777" w:rsidR="008C0885" w:rsidRPr="002C5B0D" w:rsidRDefault="008C0885" w:rsidP="000C6174">
      <w:pPr>
        <w:spacing w:before="60" w:after="60"/>
        <w:rPr>
          <w:rFonts w:ascii="Arial" w:hAnsi="Arial" w:cs="Arial"/>
          <w:b/>
          <w:sz w:val="22"/>
          <w:szCs w:val="22"/>
        </w:rPr>
      </w:pPr>
      <w:r w:rsidRPr="002C5B0D">
        <w:rPr>
          <w:rFonts w:ascii="Arial" w:hAnsi="Arial" w:cs="Arial"/>
          <w:b/>
          <w:sz w:val="22"/>
          <w:szCs w:val="22"/>
          <w:lang w:val="es-HN"/>
        </w:rPr>
        <w:t>FIN - 2</w:t>
      </w:r>
      <w:r w:rsidRPr="002C5B0D">
        <w:rPr>
          <w:rFonts w:ascii="Arial" w:hAnsi="Arial" w:cs="Arial"/>
          <w:b/>
          <w:sz w:val="22"/>
          <w:szCs w:val="22"/>
          <w:lang w:val="es-HN"/>
        </w:rPr>
        <w:tab/>
      </w:r>
      <w:r w:rsidRPr="002C5B0D">
        <w:rPr>
          <w:rFonts w:ascii="Arial" w:hAnsi="Arial" w:cs="Arial"/>
          <w:b/>
          <w:sz w:val="22"/>
          <w:szCs w:val="22"/>
          <w:lang w:val="es-HN"/>
        </w:rPr>
        <w:tab/>
      </w:r>
      <w:r w:rsidRPr="002C5B0D">
        <w:rPr>
          <w:rFonts w:ascii="Arial" w:hAnsi="Arial" w:cs="Arial"/>
          <w:sz w:val="22"/>
          <w:szCs w:val="22"/>
        </w:rPr>
        <w:t>Antecedentes de contratación</w:t>
      </w:r>
    </w:p>
    <w:p w14:paraId="37032FD3" w14:textId="77777777" w:rsidR="008C0885" w:rsidRPr="002C5B0D" w:rsidRDefault="008C0885" w:rsidP="000C6174">
      <w:pPr>
        <w:spacing w:before="60" w:after="60"/>
        <w:rPr>
          <w:rFonts w:ascii="Arial" w:hAnsi="Arial" w:cs="Arial"/>
          <w:b/>
          <w:sz w:val="22"/>
          <w:szCs w:val="22"/>
        </w:rPr>
      </w:pPr>
      <w:r w:rsidRPr="002C5B0D">
        <w:rPr>
          <w:rFonts w:ascii="Arial" w:hAnsi="Arial" w:cs="Arial"/>
          <w:b/>
          <w:sz w:val="22"/>
          <w:szCs w:val="22"/>
        </w:rPr>
        <w:t>FIN - 3</w:t>
      </w:r>
      <w:r w:rsidRPr="002C5B0D">
        <w:rPr>
          <w:rFonts w:ascii="Arial" w:hAnsi="Arial" w:cs="Arial"/>
          <w:sz w:val="22"/>
          <w:szCs w:val="22"/>
        </w:rPr>
        <w:tab/>
      </w:r>
      <w:r w:rsidRPr="002C5B0D">
        <w:rPr>
          <w:rFonts w:ascii="Arial" w:hAnsi="Arial" w:cs="Arial"/>
          <w:sz w:val="22"/>
          <w:szCs w:val="22"/>
        </w:rPr>
        <w:tab/>
        <w:t>Capital de trabajo</w:t>
      </w:r>
    </w:p>
    <w:p w14:paraId="104E910A" w14:textId="77777777" w:rsidR="008C0885" w:rsidRPr="002C5B0D" w:rsidRDefault="008C0885" w:rsidP="000C6174">
      <w:pPr>
        <w:spacing w:before="60" w:after="60"/>
        <w:rPr>
          <w:rFonts w:ascii="Arial" w:hAnsi="Arial" w:cs="Arial"/>
          <w:b/>
          <w:sz w:val="22"/>
          <w:szCs w:val="22"/>
        </w:rPr>
      </w:pPr>
      <w:r w:rsidRPr="002C5B0D">
        <w:rPr>
          <w:rFonts w:ascii="Arial" w:hAnsi="Arial" w:cs="Arial"/>
          <w:b/>
          <w:sz w:val="22"/>
          <w:szCs w:val="22"/>
        </w:rPr>
        <w:t>EXP - 1</w:t>
      </w:r>
      <w:r w:rsidRPr="002C5B0D">
        <w:rPr>
          <w:rFonts w:ascii="Arial" w:hAnsi="Arial" w:cs="Arial"/>
          <w:b/>
          <w:sz w:val="22"/>
          <w:szCs w:val="22"/>
        </w:rPr>
        <w:tab/>
      </w:r>
      <w:r w:rsidRPr="002C5B0D">
        <w:rPr>
          <w:rFonts w:ascii="Arial" w:hAnsi="Arial" w:cs="Arial"/>
          <w:sz w:val="22"/>
          <w:szCs w:val="22"/>
        </w:rPr>
        <w:t>Experiencia General</w:t>
      </w:r>
      <w:r w:rsidRPr="002C5B0D">
        <w:rPr>
          <w:rFonts w:ascii="Arial" w:hAnsi="Arial" w:cs="Arial"/>
          <w:b/>
          <w:sz w:val="22"/>
          <w:szCs w:val="22"/>
        </w:rPr>
        <w:t xml:space="preserve"> </w:t>
      </w:r>
    </w:p>
    <w:p w14:paraId="311EE8E0" w14:textId="77777777" w:rsidR="008C0885" w:rsidRPr="002C5B0D" w:rsidRDefault="008C0885" w:rsidP="000C6174">
      <w:pPr>
        <w:spacing w:before="60" w:after="60"/>
        <w:rPr>
          <w:rFonts w:ascii="Arial" w:hAnsi="Arial" w:cs="Arial"/>
          <w:sz w:val="22"/>
          <w:szCs w:val="22"/>
        </w:rPr>
      </w:pPr>
      <w:r w:rsidRPr="002C5B0D">
        <w:rPr>
          <w:rFonts w:ascii="Arial" w:hAnsi="Arial" w:cs="Arial"/>
          <w:b/>
          <w:sz w:val="22"/>
          <w:szCs w:val="22"/>
        </w:rPr>
        <w:t>EXP - 2</w:t>
      </w:r>
      <w:r w:rsidRPr="002C5B0D">
        <w:rPr>
          <w:rFonts w:ascii="Arial" w:hAnsi="Arial" w:cs="Arial"/>
          <w:b/>
          <w:sz w:val="22"/>
          <w:szCs w:val="22"/>
        </w:rPr>
        <w:tab/>
      </w:r>
      <w:r w:rsidRPr="002C5B0D">
        <w:rPr>
          <w:rFonts w:ascii="Arial" w:hAnsi="Arial" w:cs="Arial"/>
          <w:sz w:val="22"/>
          <w:szCs w:val="22"/>
        </w:rPr>
        <w:t xml:space="preserve">Experiencia Específica </w:t>
      </w:r>
    </w:p>
    <w:p w14:paraId="09D8B4B7" w14:textId="77777777" w:rsidR="008C0885" w:rsidRPr="002C5B0D" w:rsidRDefault="008C0885" w:rsidP="000C6174">
      <w:pPr>
        <w:rPr>
          <w:rFonts w:ascii="Arial" w:hAnsi="Arial" w:cs="Arial"/>
          <w:b/>
          <w:sz w:val="22"/>
          <w:szCs w:val="22"/>
          <w:lang w:val="es-HN"/>
        </w:rPr>
      </w:pPr>
    </w:p>
    <w:p w14:paraId="59999411" w14:textId="77777777" w:rsidR="008C0885" w:rsidRPr="002C5B0D" w:rsidRDefault="008C0885" w:rsidP="000C6174">
      <w:pPr>
        <w:spacing w:before="120" w:after="120"/>
        <w:rPr>
          <w:rFonts w:ascii="Arial" w:hAnsi="Arial" w:cs="Arial"/>
          <w:b/>
          <w:sz w:val="22"/>
          <w:szCs w:val="22"/>
        </w:rPr>
      </w:pPr>
      <w:r w:rsidRPr="002C5B0D">
        <w:rPr>
          <w:rFonts w:ascii="Arial" w:hAnsi="Arial" w:cs="Arial"/>
          <w:b/>
          <w:sz w:val="22"/>
          <w:szCs w:val="22"/>
        </w:rPr>
        <w:t>Oferta Técnica</w:t>
      </w:r>
    </w:p>
    <w:p w14:paraId="73D223DE" w14:textId="77777777" w:rsidR="008C0885" w:rsidRPr="002C5B0D" w:rsidRDefault="008C0885" w:rsidP="000C6174">
      <w:pPr>
        <w:spacing w:before="60" w:after="60"/>
        <w:rPr>
          <w:rFonts w:ascii="Arial" w:hAnsi="Arial" w:cs="Arial"/>
          <w:sz w:val="22"/>
          <w:szCs w:val="22"/>
        </w:rPr>
      </w:pPr>
      <w:r w:rsidRPr="002C5B0D">
        <w:rPr>
          <w:rFonts w:ascii="Arial" w:hAnsi="Arial" w:cs="Arial"/>
          <w:b/>
          <w:sz w:val="22"/>
          <w:szCs w:val="22"/>
          <w:lang w:val="es-HN"/>
        </w:rPr>
        <w:t>TEC - 1</w:t>
      </w:r>
      <w:r w:rsidRPr="002C5B0D">
        <w:rPr>
          <w:rFonts w:ascii="Arial" w:hAnsi="Arial" w:cs="Arial"/>
          <w:b/>
          <w:sz w:val="22"/>
          <w:szCs w:val="22"/>
          <w:lang w:val="es-HN"/>
        </w:rPr>
        <w:tab/>
      </w:r>
      <w:r w:rsidRPr="002C5B0D">
        <w:rPr>
          <w:rFonts w:ascii="Arial" w:hAnsi="Arial" w:cs="Arial"/>
          <w:sz w:val="22"/>
          <w:szCs w:val="22"/>
        </w:rPr>
        <w:t>Profesionales Propuestos y Asignación de Funciones</w:t>
      </w:r>
    </w:p>
    <w:p w14:paraId="5FB6F7BA" w14:textId="77777777" w:rsidR="008C0885" w:rsidRPr="002C5B0D" w:rsidRDefault="008C0885" w:rsidP="000C6174">
      <w:pPr>
        <w:spacing w:before="60" w:after="60"/>
        <w:rPr>
          <w:rFonts w:ascii="Arial" w:hAnsi="Arial" w:cs="Arial"/>
          <w:sz w:val="22"/>
          <w:szCs w:val="22"/>
          <w:lang w:val="es-HN"/>
        </w:rPr>
      </w:pPr>
      <w:r w:rsidRPr="002C5B0D">
        <w:rPr>
          <w:rFonts w:ascii="Arial" w:hAnsi="Arial" w:cs="Arial"/>
          <w:b/>
          <w:sz w:val="22"/>
          <w:szCs w:val="22"/>
          <w:lang w:val="es-HN"/>
        </w:rPr>
        <w:t>TEC - 2</w:t>
      </w:r>
      <w:r w:rsidRPr="002C5B0D">
        <w:rPr>
          <w:rFonts w:ascii="Arial" w:hAnsi="Arial" w:cs="Arial"/>
          <w:b/>
          <w:sz w:val="22"/>
          <w:szCs w:val="22"/>
          <w:lang w:val="es-HN"/>
        </w:rPr>
        <w:tab/>
      </w:r>
      <w:r w:rsidRPr="002C5B0D">
        <w:rPr>
          <w:rFonts w:ascii="Arial" w:hAnsi="Arial" w:cs="Arial"/>
          <w:sz w:val="22"/>
          <w:szCs w:val="22"/>
          <w:lang w:val="es-HN"/>
        </w:rPr>
        <w:t>Hoja de vida del Personal Profesional Clave Propuesto</w:t>
      </w:r>
    </w:p>
    <w:p w14:paraId="094A92FC" w14:textId="77777777" w:rsidR="008C0885" w:rsidRPr="002C5B0D" w:rsidRDefault="008C0885" w:rsidP="000C6174">
      <w:pPr>
        <w:spacing w:before="60" w:after="60"/>
        <w:rPr>
          <w:rFonts w:ascii="Arial" w:hAnsi="Arial" w:cs="Arial"/>
          <w:sz w:val="22"/>
          <w:szCs w:val="22"/>
        </w:rPr>
      </w:pPr>
      <w:r w:rsidRPr="002C5B0D">
        <w:rPr>
          <w:rFonts w:ascii="Arial" w:hAnsi="Arial" w:cs="Arial"/>
          <w:b/>
          <w:sz w:val="22"/>
          <w:szCs w:val="22"/>
          <w:lang w:val="es-HN"/>
        </w:rPr>
        <w:t>TEC - 3</w:t>
      </w:r>
      <w:r w:rsidRPr="002C5B0D">
        <w:rPr>
          <w:rFonts w:ascii="Arial" w:hAnsi="Arial" w:cs="Arial"/>
          <w:b/>
          <w:sz w:val="22"/>
          <w:szCs w:val="22"/>
          <w:lang w:val="es-HN"/>
        </w:rPr>
        <w:tab/>
      </w:r>
      <w:r w:rsidRPr="002C5B0D">
        <w:rPr>
          <w:rFonts w:ascii="Arial" w:hAnsi="Arial" w:cs="Arial"/>
          <w:sz w:val="22"/>
          <w:szCs w:val="22"/>
        </w:rPr>
        <w:t xml:space="preserve">Equipo necesario para la ejecución de la obra </w:t>
      </w:r>
    </w:p>
    <w:p w14:paraId="0CF57D0E" w14:textId="77777777" w:rsidR="008C0885" w:rsidRPr="002C5B0D" w:rsidRDefault="008C0885" w:rsidP="000C6174">
      <w:pPr>
        <w:spacing w:before="60" w:after="60"/>
        <w:rPr>
          <w:rFonts w:ascii="Arial" w:hAnsi="Arial" w:cs="Arial"/>
          <w:b/>
          <w:sz w:val="22"/>
          <w:szCs w:val="22"/>
          <w:lang w:val="es-HN"/>
        </w:rPr>
      </w:pPr>
      <w:r w:rsidRPr="002C5B0D">
        <w:rPr>
          <w:rFonts w:ascii="Arial" w:hAnsi="Arial" w:cs="Arial"/>
          <w:b/>
          <w:sz w:val="22"/>
          <w:szCs w:val="22"/>
          <w:lang w:val="es-HN"/>
        </w:rPr>
        <w:t>TEC - 4</w:t>
      </w:r>
      <w:r w:rsidRPr="002C5B0D">
        <w:rPr>
          <w:rFonts w:ascii="Arial" w:hAnsi="Arial" w:cs="Arial"/>
          <w:b/>
          <w:sz w:val="22"/>
          <w:szCs w:val="22"/>
          <w:lang w:val="es-HN"/>
        </w:rPr>
        <w:tab/>
      </w:r>
      <w:r w:rsidRPr="002C5B0D">
        <w:rPr>
          <w:rFonts w:ascii="Arial" w:hAnsi="Arial" w:cs="Arial"/>
          <w:sz w:val="22"/>
          <w:szCs w:val="22"/>
          <w:lang w:val="es-HN"/>
        </w:rPr>
        <w:t>Plan de Trabajo y Cronograma de Ejecución de la Obra</w:t>
      </w:r>
    </w:p>
    <w:p w14:paraId="40CB3BB5" w14:textId="77777777" w:rsidR="008C0885" w:rsidRPr="002C5B0D" w:rsidRDefault="008C0885" w:rsidP="000C6174">
      <w:pPr>
        <w:spacing w:before="60" w:after="60"/>
        <w:ind w:left="1440" w:hanging="1440"/>
        <w:rPr>
          <w:rFonts w:ascii="Arial" w:hAnsi="Arial" w:cs="Arial"/>
          <w:sz w:val="22"/>
          <w:szCs w:val="22"/>
          <w:lang w:val="es-HN"/>
        </w:rPr>
      </w:pPr>
      <w:r w:rsidRPr="002C5B0D">
        <w:rPr>
          <w:rFonts w:ascii="Arial" w:hAnsi="Arial" w:cs="Arial"/>
          <w:b/>
          <w:sz w:val="22"/>
          <w:szCs w:val="22"/>
          <w:lang w:val="es-HN"/>
        </w:rPr>
        <w:t xml:space="preserve">TEC – 5 </w:t>
      </w:r>
      <w:r w:rsidRPr="002C5B0D">
        <w:rPr>
          <w:rFonts w:ascii="Arial" w:hAnsi="Arial" w:cs="Arial"/>
          <w:b/>
          <w:sz w:val="22"/>
          <w:szCs w:val="22"/>
          <w:lang w:val="es-HN"/>
        </w:rPr>
        <w:tab/>
      </w:r>
      <w:r w:rsidRPr="002C5B0D">
        <w:rPr>
          <w:rFonts w:ascii="Arial" w:hAnsi="Arial" w:cs="Arial"/>
          <w:sz w:val="22"/>
          <w:szCs w:val="22"/>
          <w:lang w:val="es-HN"/>
        </w:rPr>
        <w:t>Subcontratistas especializados previstos</w:t>
      </w:r>
    </w:p>
    <w:p w14:paraId="4FBE5C61" w14:textId="77777777" w:rsidR="008C0885" w:rsidRPr="002C5B0D" w:rsidRDefault="008C0885" w:rsidP="000C6174">
      <w:pPr>
        <w:spacing w:before="60" w:after="60"/>
        <w:rPr>
          <w:rFonts w:ascii="Arial" w:hAnsi="Arial" w:cs="Arial"/>
          <w:sz w:val="22"/>
          <w:szCs w:val="22"/>
          <w:lang w:val="es-HN"/>
        </w:rPr>
      </w:pPr>
      <w:r w:rsidRPr="002C5B0D">
        <w:rPr>
          <w:rFonts w:ascii="Arial" w:hAnsi="Arial" w:cs="Arial"/>
          <w:b/>
          <w:sz w:val="22"/>
          <w:szCs w:val="22"/>
          <w:lang w:val="es-HN"/>
        </w:rPr>
        <w:t>TEC – 6</w:t>
      </w:r>
      <w:r w:rsidRPr="002C5B0D">
        <w:rPr>
          <w:rFonts w:ascii="Arial" w:hAnsi="Arial" w:cs="Arial"/>
          <w:b/>
          <w:sz w:val="22"/>
          <w:szCs w:val="22"/>
          <w:lang w:val="es-HN"/>
        </w:rPr>
        <w:tab/>
      </w:r>
      <w:r w:rsidRPr="002C5B0D">
        <w:rPr>
          <w:rFonts w:ascii="Arial" w:hAnsi="Arial" w:cs="Arial"/>
          <w:sz w:val="22"/>
          <w:szCs w:val="22"/>
          <w:lang w:val="es-HN"/>
        </w:rPr>
        <w:t>Organización del lugar de las obras</w:t>
      </w:r>
    </w:p>
    <w:p w14:paraId="54EAD5F8" w14:textId="77777777" w:rsidR="008C0885" w:rsidRPr="002C5B0D" w:rsidRDefault="008C0885" w:rsidP="000C6174">
      <w:pPr>
        <w:spacing w:before="60" w:after="60"/>
        <w:rPr>
          <w:rFonts w:ascii="Arial" w:hAnsi="Arial" w:cs="Arial"/>
          <w:sz w:val="22"/>
          <w:szCs w:val="22"/>
          <w:lang w:val="es-HN"/>
        </w:rPr>
      </w:pPr>
      <w:r w:rsidRPr="002C5B0D">
        <w:rPr>
          <w:rFonts w:ascii="Arial" w:hAnsi="Arial" w:cs="Arial"/>
          <w:b/>
          <w:sz w:val="22"/>
          <w:szCs w:val="22"/>
          <w:lang w:val="es-HN"/>
        </w:rPr>
        <w:t xml:space="preserve">TEC – 7 </w:t>
      </w:r>
      <w:r w:rsidRPr="002C5B0D">
        <w:rPr>
          <w:rFonts w:ascii="Arial" w:hAnsi="Arial" w:cs="Arial"/>
          <w:b/>
          <w:sz w:val="22"/>
          <w:szCs w:val="22"/>
          <w:lang w:val="es-HN"/>
        </w:rPr>
        <w:tab/>
      </w:r>
      <w:r w:rsidRPr="002C5B0D">
        <w:rPr>
          <w:rFonts w:ascii="Arial" w:hAnsi="Arial" w:cs="Arial"/>
          <w:sz w:val="22"/>
          <w:szCs w:val="22"/>
          <w:lang w:val="es-HN"/>
        </w:rPr>
        <w:t>Métodos constructivos de actividades clave</w:t>
      </w:r>
    </w:p>
    <w:p w14:paraId="501F780A" w14:textId="77777777" w:rsidR="008C0885" w:rsidRPr="002C5B0D" w:rsidRDefault="008C0885" w:rsidP="000C6174">
      <w:pPr>
        <w:spacing w:before="60" w:after="60"/>
        <w:rPr>
          <w:rFonts w:ascii="Arial" w:hAnsi="Arial" w:cs="Arial"/>
          <w:sz w:val="22"/>
          <w:szCs w:val="22"/>
          <w:lang w:val="es-HN"/>
        </w:rPr>
      </w:pPr>
      <w:r w:rsidRPr="002C5B0D">
        <w:rPr>
          <w:rFonts w:ascii="Arial" w:hAnsi="Arial" w:cs="Arial"/>
          <w:b/>
          <w:sz w:val="22"/>
          <w:szCs w:val="22"/>
          <w:lang w:val="es-HN"/>
        </w:rPr>
        <w:t>TEC – 8</w:t>
      </w:r>
      <w:r w:rsidRPr="002C5B0D">
        <w:rPr>
          <w:rFonts w:ascii="Arial" w:hAnsi="Arial" w:cs="Arial"/>
          <w:b/>
          <w:sz w:val="22"/>
          <w:szCs w:val="22"/>
          <w:lang w:val="es-HN"/>
        </w:rPr>
        <w:tab/>
      </w:r>
      <w:r w:rsidRPr="002C5B0D">
        <w:rPr>
          <w:rFonts w:ascii="Arial" w:hAnsi="Arial" w:cs="Arial"/>
          <w:sz w:val="22"/>
          <w:szCs w:val="22"/>
          <w:lang w:val="es-HN"/>
        </w:rPr>
        <w:t>Programa de movilización</w:t>
      </w:r>
    </w:p>
    <w:p w14:paraId="624CF584" w14:textId="77777777" w:rsidR="008C0885" w:rsidRPr="002C5B0D" w:rsidRDefault="008C0885" w:rsidP="000C6174">
      <w:pPr>
        <w:spacing w:before="60" w:after="60"/>
        <w:rPr>
          <w:rFonts w:ascii="Arial" w:hAnsi="Arial" w:cs="Arial"/>
          <w:sz w:val="22"/>
          <w:szCs w:val="22"/>
          <w:lang w:val="es-HN"/>
        </w:rPr>
      </w:pPr>
    </w:p>
    <w:p w14:paraId="3D73B9A5" w14:textId="77777777" w:rsidR="008C0885" w:rsidRPr="002C5B0D" w:rsidRDefault="008C0885" w:rsidP="000C6174">
      <w:pPr>
        <w:spacing w:before="120" w:after="120"/>
        <w:rPr>
          <w:rFonts w:ascii="Arial" w:hAnsi="Arial" w:cs="Arial"/>
          <w:b/>
          <w:sz w:val="22"/>
          <w:szCs w:val="22"/>
        </w:rPr>
      </w:pPr>
      <w:r w:rsidRPr="002C5B0D">
        <w:rPr>
          <w:rFonts w:ascii="Arial" w:hAnsi="Arial" w:cs="Arial"/>
          <w:b/>
          <w:sz w:val="22"/>
          <w:szCs w:val="22"/>
        </w:rPr>
        <w:t>Oferta Económica</w:t>
      </w:r>
    </w:p>
    <w:p w14:paraId="1BA5CFFA" w14:textId="77777777" w:rsidR="008C0885" w:rsidRPr="002C5B0D" w:rsidRDefault="008C0885" w:rsidP="000C6174">
      <w:pPr>
        <w:spacing w:before="120" w:after="120"/>
        <w:ind w:left="1440" w:hanging="1440"/>
        <w:rPr>
          <w:rFonts w:ascii="Arial" w:hAnsi="Arial" w:cs="Arial"/>
          <w:sz w:val="22"/>
          <w:szCs w:val="22"/>
          <w:lang w:val="es-HN"/>
        </w:rPr>
      </w:pPr>
      <w:r w:rsidRPr="002C5B0D">
        <w:rPr>
          <w:rFonts w:ascii="Arial" w:hAnsi="Arial" w:cs="Arial"/>
          <w:b/>
          <w:sz w:val="22"/>
          <w:szCs w:val="22"/>
        </w:rPr>
        <w:t>ECO-1</w:t>
      </w:r>
      <w:r w:rsidRPr="002C5B0D">
        <w:rPr>
          <w:rFonts w:ascii="Arial" w:hAnsi="Arial" w:cs="Arial"/>
          <w:b/>
          <w:sz w:val="22"/>
          <w:szCs w:val="22"/>
        </w:rPr>
        <w:tab/>
      </w:r>
      <w:r w:rsidRPr="002C5B0D">
        <w:rPr>
          <w:rFonts w:ascii="Arial" w:hAnsi="Arial" w:cs="Arial"/>
          <w:sz w:val="22"/>
          <w:szCs w:val="22"/>
        </w:rPr>
        <w:t>Lista Estimada de Cantidades y sus Precios Unitarios</w:t>
      </w:r>
      <w:r w:rsidRPr="002C5B0D" w:rsidDel="00607D38">
        <w:rPr>
          <w:rFonts w:ascii="Arial" w:hAnsi="Arial" w:cs="Arial"/>
          <w:sz w:val="22"/>
          <w:szCs w:val="22"/>
          <w:lang w:val="es-HN"/>
        </w:rPr>
        <w:t xml:space="preserve"> </w:t>
      </w:r>
      <w:r w:rsidRPr="002C5B0D">
        <w:rPr>
          <w:rFonts w:ascii="Arial" w:hAnsi="Arial" w:cs="Arial"/>
          <w:sz w:val="22"/>
          <w:szCs w:val="22"/>
          <w:lang w:val="es-HN"/>
        </w:rPr>
        <w:t>(Para contratos por precios unitarios)</w:t>
      </w:r>
    </w:p>
    <w:p w14:paraId="432865EA" w14:textId="77777777" w:rsidR="008C0885" w:rsidRPr="00A33F6B"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b/>
          <w:szCs w:val="24"/>
          <w:lang w:val="es-ES"/>
        </w:rPr>
      </w:pPr>
    </w:p>
    <w:p w14:paraId="7FDA8F68" w14:textId="77777777" w:rsidR="00834D92" w:rsidRPr="00313596" w:rsidRDefault="008C0885" w:rsidP="000C6174">
      <w:pPr>
        <w:spacing w:before="120" w:after="120"/>
        <w:jc w:val="left"/>
        <w:rPr>
          <w:rFonts w:ascii="Arial" w:hAnsi="Arial" w:cs="Arial"/>
          <w:b/>
          <w:sz w:val="22"/>
          <w:szCs w:val="22"/>
          <w:lang w:val="es-ES"/>
        </w:rPr>
      </w:pPr>
      <w:r w:rsidRPr="00A33F6B">
        <w:rPr>
          <w:rFonts w:asciiTheme="minorHAnsi" w:hAnsiTheme="minorHAnsi"/>
          <w:b/>
          <w:szCs w:val="24"/>
          <w:lang w:val="es-ES"/>
        </w:rPr>
        <w:br w:type="page"/>
      </w:r>
      <w:bookmarkStart w:id="381" w:name="_Toc125540372"/>
      <w:bookmarkStart w:id="382" w:name="_Toc125886565"/>
      <w:r w:rsidR="00834D92" w:rsidRPr="00313596">
        <w:rPr>
          <w:rFonts w:ascii="Arial" w:hAnsi="Arial" w:cs="Arial"/>
          <w:b/>
          <w:sz w:val="22"/>
          <w:szCs w:val="22"/>
          <w:lang w:val="es-ES"/>
        </w:rPr>
        <w:lastRenderedPageBreak/>
        <w:t xml:space="preserve">FORMULARIO </w:t>
      </w:r>
      <w:r w:rsidRPr="00313596">
        <w:rPr>
          <w:rFonts w:ascii="Arial" w:hAnsi="Arial" w:cs="Arial"/>
          <w:b/>
          <w:sz w:val="22"/>
          <w:szCs w:val="22"/>
          <w:lang w:val="es-ES"/>
        </w:rPr>
        <w:t>CC-1</w:t>
      </w:r>
      <w:r w:rsidRPr="00313596">
        <w:rPr>
          <w:rFonts w:ascii="Arial" w:hAnsi="Arial" w:cs="Arial"/>
          <w:b/>
          <w:sz w:val="22"/>
          <w:szCs w:val="22"/>
          <w:lang w:val="es-ES"/>
        </w:rPr>
        <w:tab/>
      </w:r>
      <w:r w:rsidRPr="00313596">
        <w:rPr>
          <w:rFonts w:ascii="Arial" w:hAnsi="Arial" w:cs="Arial"/>
          <w:b/>
          <w:sz w:val="22"/>
          <w:szCs w:val="22"/>
          <w:lang w:val="es-ES"/>
        </w:rPr>
        <w:tab/>
      </w:r>
    </w:p>
    <w:p w14:paraId="7EBC7AF8" w14:textId="77777777" w:rsidR="008C0885" w:rsidRPr="00313596" w:rsidRDefault="008C0885" w:rsidP="00834D92">
      <w:pPr>
        <w:spacing w:before="120" w:after="120"/>
        <w:jc w:val="center"/>
        <w:rPr>
          <w:rFonts w:ascii="Arial" w:hAnsi="Arial" w:cs="Arial"/>
          <w:b/>
          <w:sz w:val="22"/>
          <w:szCs w:val="22"/>
        </w:rPr>
      </w:pPr>
      <w:r w:rsidRPr="00313596">
        <w:rPr>
          <w:rFonts w:ascii="Arial" w:hAnsi="Arial" w:cs="Arial"/>
          <w:b/>
          <w:sz w:val="22"/>
          <w:szCs w:val="22"/>
        </w:rPr>
        <w:t>Carta de Presentación de la oferta</w:t>
      </w:r>
      <w:bookmarkEnd w:id="381"/>
      <w:bookmarkEnd w:id="382"/>
    </w:p>
    <w:p w14:paraId="1FC6756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Table"/>
          <w:rFonts w:cs="Arial"/>
          <w:spacing w:val="-2"/>
          <w:sz w:val="22"/>
          <w:szCs w:val="22"/>
          <w:lang w:val="es-ES"/>
        </w:rPr>
      </w:pPr>
    </w:p>
    <w:p w14:paraId="1B92CD42" w14:textId="77777777" w:rsidR="008C0885" w:rsidRPr="00313596" w:rsidRDefault="008C0885" w:rsidP="000C6174">
      <w:pPr>
        <w:tabs>
          <w:tab w:val="right" w:pos="9000"/>
        </w:tabs>
        <w:ind w:left="4320" w:firstLine="720"/>
        <w:rPr>
          <w:rFonts w:ascii="Arial" w:hAnsi="Arial" w:cs="Arial"/>
          <w:sz w:val="22"/>
          <w:szCs w:val="22"/>
          <w:lang w:val="es-ES"/>
        </w:rPr>
      </w:pPr>
      <w:r w:rsidRPr="00313596">
        <w:rPr>
          <w:rFonts w:ascii="Arial" w:hAnsi="Arial" w:cs="Arial"/>
          <w:sz w:val="22"/>
          <w:szCs w:val="22"/>
          <w:lang w:val="es-ES"/>
        </w:rPr>
        <w:t xml:space="preserve">Licitación Pública Internacional No.: </w:t>
      </w:r>
      <w:r w:rsidRPr="00313596">
        <w:rPr>
          <w:rFonts w:ascii="Arial" w:hAnsi="Arial" w:cs="Arial"/>
          <w:sz w:val="22"/>
          <w:szCs w:val="22"/>
          <w:lang w:val="es-ES"/>
        </w:rPr>
        <w:tab/>
      </w:r>
    </w:p>
    <w:p w14:paraId="69D91279" w14:textId="77777777" w:rsidR="008C0885" w:rsidRPr="00313596" w:rsidRDefault="008C0885" w:rsidP="000C6174">
      <w:pPr>
        <w:ind w:right="-720"/>
        <w:jc w:val="center"/>
        <w:rPr>
          <w:rFonts w:ascii="Arial" w:hAnsi="Arial" w:cs="Arial"/>
          <w:b/>
          <w:sz w:val="22"/>
          <w:szCs w:val="22"/>
          <w:lang w:val="es-HN"/>
        </w:rPr>
      </w:pPr>
    </w:p>
    <w:p w14:paraId="47A6A052" w14:textId="77777777" w:rsidR="008C0885" w:rsidRPr="00313596" w:rsidRDefault="008C0885" w:rsidP="000C6174">
      <w:pPr>
        <w:ind w:right="162"/>
        <w:rPr>
          <w:rFonts w:ascii="Arial" w:hAnsi="Arial" w:cs="Arial"/>
          <w:color w:val="FF0000"/>
          <w:sz w:val="22"/>
          <w:szCs w:val="22"/>
          <w:lang w:val="es-HN"/>
        </w:rPr>
      </w:pPr>
      <w:r w:rsidRPr="00313596">
        <w:rPr>
          <w:rFonts w:ascii="Arial" w:hAnsi="Arial" w:cs="Arial"/>
          <w:sz w:val="22"/>
          <w:szCs w:val="22"/>
          <w:lang w:val="es-HN"/>
        </w:rPr>
        <w:t xml:space="preserve">Señores: </w:t>
      </w:r>
      <w:r w:rsidRPr="00313596">
        <w:rPr>
          <w:rFonts w:ascii="Arial" w:hAnsi="Arial" w:cs="Arial"/>
          <w:i/>
          <w:color w:val="FF0000"/>
          <w:sz w:val="22"/>
          <w:szCs w:val="22"/>
          <w:lang w:val="es-HN"/>
        </w:rPr>
        <w:t>(Nombre del Contratante)</w:t>
      </w:r>
    </w:p>
    <w:p w14:paraId="5E614700" w14:textId="77777777" w:rsidR="008C0885" w:rsidRPr="00313596" w:rsidRDefault="008C0885" w:rsidP="000C6174">
      <w:pPr>
        <w:spacing w:before="120" w:after="120"/>
        <w:ind w:right="162"/>
        <w:rPr>
          <w:rFonts w:ascii="Arial" w:hAnsi="Arial" w:cs="Arial"/>
          <w:sz w:val="22"/>
          <w:szCs w:val="22"/>
          <w:lang w:val="es-HN"/>
        </w:rPr>
      </w:pPr>
      <w:r w:rsidRPr="00313596">
        <w:rPr>
          <w:rFonts w:ascii="Arial" w:hAnsi="Arial" w:cs="Arial"/>
          <w:sz w:val="22"/>
          <w:szCs w:val="22"/>
          <w:lang w:val="es-HN"/>
        </w:rPr>
        <w:t>Estimado Señores:</w:t>
      </w:r>
    </w:p>
    <w:p w14:paraId="54EDA357" w14:textId="77777777" w:rsidR="0086201A" w:rsidRPr="00344818" w:rsidRDefault="008C0885" w:rsidP="0086201A">
      <w:pPr>
        <w:ind w:right="162"/>
        <w:rPr>
          <w:rFonts w:ascii="Arial" w:hAnsi="Arial" w:cs="Arial"/>
          <w:i/>
          <w:color w:val="FF0000"/>
          <w:sz w:val="22"/>
          <w:szCs w:val="22"/>
          <w:lang w:val="es-HN"/>
        </w:rPr>
      </w:pPr>
      <w:r w:rsidRPr="00313596">
        <w:rPr>
          <w:rFonts w:ascii="Arial" w:hAnsi="Arial" w:cs="Arial"/>
          <w:sz w:val="22"/>
          <w:szCs w:val="22"/>
          <w:lang w:val="es-HN"/>
        </w:rPr>
        <w:t xml:space="preserve">Por medio de la presente, nosotros los abajo firmantes, confirmamos nuestra decisión de participar en la licitación </w:t>
      </w:r>
      <w:r w:rsidRPr="00313596">
        <w:rPr>
          <w:rFonts w:ascii="Arial" w:hAnsi="Arial" w:cs="Arial"/>
          <w:i/>
          <w:color w:val="FF0000"/>
          <w:sz w:val="22"/>
          <w:szCs w:val="22"/>
          <w:lang w:val="es-HN"/>
        </w:rPr>
        <w:t>“(título de la l</w:t>
      </w:r>
      <w:r w:rsidR="0086201A">
        <w:rPr>
          <w:rFonts w:ascii="Arial" w:hAnsi="Arial" w:cs="Arial"/>
          <w:i/>
          <w:color w:val="FF0000"/>
          <w:sz w:val="22"/>
          <w:szCs w:val="22"/>
          <w:lang w:val="es-HN"/>
        </w:rPr>
        <w:t xml:space="preserve">icitación en la que participa)”. </w:t>
      </w:r>
      <w:r w:rsidR="0086201A" w:rsidRPr="00344818">
        <w:rPr>
          <w:rFonts w:ascii="Arial" w:hAnsi="Arial" w:cs="Arial"/>
          <w:sz w:val="22"/>
          <w:szCs w:val="22"/>
        </w:rPr>
        <w:t>Lote No. _______________</w:t>
      </w:r>
      <w:r w:rsidR="0086201A" w:rsidRPr="00344818">
        <w:rPr>
          <w:rFonts w:ascii="Arial" w:hAnsi="Arial" w:cs="Arial"/>
          <w:i/>
          <w:sz w:val="22"/>
          <w:szCs w:val="22"/>
          <w:lang w:val="es-HN"/>
        </w:rPr>
        <w:t>.</w:t>
      </w:r>
    </w:p>
    <w:p w14:paraId="3BA0205D" w14:textId="77777777" w:rsidR="008C0885" w:rsidRPr="00313596" w:rsidRDefault="008C0885" w:rsidP="000C6174">
      <w:pPr>
        <w:ind w:right="162"/>
        <w:rPr>
          <w:rFonts w:ascii="Arial" w:hAnsi="Arial" w:cs="Arial"/>
          <w:i/>
          <w:color w:val="FF0000"/>
          <w:sz w:val="22"/>
          <w:szCs w:val="22"/>
          <w:lang w:val="es-HN"/>
        </w:rPr>
      </w:pPr>
    </w:p>
    <w:p w14:paraId="09066EDF" w14:textId="77777777" w:rsidR="008C0885" w:rsidRPr="00313596" w:rsidRDefault="008C0885" w:rsidP="000C6174">
      <w:pPr>
        <w:spacing w:before="120" w:after="120"/>
        <w:ind w:right="158"/>
        <w:rPr>
          <w:rFonts w:ascii="Arial" w:hAnsi="Arial" w:cs="Arial"/>
          <w:sz w:val="22"/>
          <w:szCs w:val="22"/>
          <w:lang w:val="es-HN"/>
        </w:rPr>
      </w:pPr>
      <w:r w:rsidRPr="00313596">
        <w:rPr>
          <w:rFonts w:ascii="Arial" w:hAnsi="Arial" w:cs="Arial"/>
          <w:sz w:val="22"/>
          <w:szCs w:val="22"/>
          <w:lang w:val="es-HN"/>
        </w:rPr>
        <w:t>Asimismo, declaramos que:</w:t>
      </w:r>
    </w:p>
    <w:p w14:paraId="56D827BE" w14:textId="77777777" w:rsidR="008C0885" w:rsidRPr="00313596" w:rsidRDefault="008C0885" w:rsidP="003B68DB">
      <w:pPr>
        <w:pStyle w:val="Prrafodelista"/>
        <w:numPr>
          <w:ilvl w:val="0"/>
          <w:numId w:val="66"/>
        </w:numPr>
        <w:spacing w:before="120" w:after="120"/>
        <w:ind w:right="158"/>
        <w:rPr>
          <w:rFonts w:ascii="Arial" w:hAnsi="Arial" w:cs="Arial"/>
          <w:sz w:val="22"/>
          <w:szCs w:val="22"/>
          <w:lang w:val="es-HN"/>
        </w:rPr>
      </w:pPr>
      <w:r w:rsidRPr="00313596">
        <w:rPr>
          <w:rFonts w:ascii="Arial" w:hAnsi="Arial" w:cs="Arial"/>
          <w:sz w:val="22"/>
          <w:szCs w:val="22"/>
          <w:lang w:val="es-HN"/>
        </w:rPr>
        <w:t>Hemos examinado el documento de licitación, incluidas las enmiendas emitidas de conformidad con las Instrucciones a los Oferentes, y no tenemos reserva alguna al respecto.</w:t>
      </w:r>
    </w:p>
    <w:p w14:paraId="3D798FD9" w14:textId="77777777" w:rsidR="008C0885" w:rsidRPr="00313596" w:rsidRDefault="008C0885" w:rsidP="003B68DB">
      <w:pPr>
        <w:pStyle w:val="Prrafodelista"/>
        <w:numPr>
          <w:ilvl w:val="0"/>
          <w:numId w:val="66"/>
        </w:numPr>
        <w:spacing w:before="120" w:after="120"/>
        <w:ind w:right="158"/>
        <w:rPr>
          <w:rFonts w:ascii="Arial" w:hAnsi="Arial" w:cs="Arial"/>
          <w:sz w:val="22"/>
          <w:szCs w:val="22"/>
        </w:rPr>
      </w:pPr>
      <w:r w:rsidRPr="00313596">
        <w:rPr>
          <w:rFonts w:ascii="Arial" w:hAnsi="Arial" w:cs="Arial"/>
          <w:sz w:val="22"/>
          <w:szCs w:val="22"/>
          <w:lang w:val="es-HN"/>
        </w:rPr>
        <w:t xml:space="preserve">Presentamos nuestra oferta en adjunto, con un plazo de validez de la oferta de ____ días a partir de la fecha de terminación del plazo de recepción de ofertas establecido. </w:t>
      </w:r>
    </w:p>
    <w:p w14:paraId="7B9039EA" w14:textId="77777777" w:rsidR="008C0885" w:rsidRDefault="008C0885" w:rsidP="003B68DB">
      <w:pPr>
        <w:pStyle w:val="Prrafodelista"/>
        <w:numPr>
          <w:ilvl w:val="0"/>
          <w:numId w:val="66"/>
        </w:numPr>
        <w:spacing w:before="120" w:after="120"/>
        <w:ind w:right="158"/>
        <w:rPr>
          <w:rFonts w:ascii="Arial" w:hAnsi="Arial" w:cs="Arial"/>
          <w:sz w:val="22"/>
          <w:szCs w:val="22"/>
        </w:rPr>
      </w:pPr>
      <w:r w:rsidRPr="00313596">
        <w:rPr>
          <w:rFonts w:ascii="Arial" w:hAnsi="Arial" w:cs="Arial"/>
          <w:sz w:val="22"/>
          <w:szCs w:val="22"/>
        </w:rPr>
        <w:t xml:space="preserve">Nuestra oferta económica es por una suma cerrada total de </w:t>
      </w:r>
      <w:r w:rsidRPr="00313596">
        <w:rPr>
          <w:rFonts w:ascii="Arial" w:hAnsi="Arial" w:cs="Arial"/>
          <w:i/>
          <w:sz w:val="22"/>
          <w:szCs w:val="22"/>
        </w:rPr>
        <w:t>____________________________</w:t>
      </w:r>
      <w:r w:rsidRPr="00313596">
        <w:rPr>
          <w:rFonts w:ascii="Arial" w:hAnsi="Arial" w:cs="Arial"/>
          <w:i/>
          <w:color w:val="FF0000"/>
          <w:sz w:val="22"/>
          <w:szCs w:val="22"/>
        </w:rPr>
        <w:t xml:space="preserve"> (Escribir la moneda, el monto en números y letras</w:t>
      </w:r>
      <w:r w:rsidRPr="00313596">
        <w:rPr>
          <w:rFonts w:ascii="Arial" w:hAnsi="Arial" w:cs="Arial"/>
          <w:i/>
          <w:sz w:val="22"/>
          <w:szCs w:val="22"/>
        </w:rPr>
        <w:t>)</w:t>
      </w:r>
      <w:r w:rsidRPr="00313596">
        <w:rPr>
          <w:rFonts w:ascii="Arial" w:hAnsi="Arial" w:cs="Arial"/>
          <w:sz w:val="22"/>
          <w:szCs w:val="22"/>
        </w:rPr>
        <w:t>.</w:t>
      </w:r>
    </w:p>
    <w:p w14:paraId="670ACE27" w14:textId="77777777" w:rsidR="0086201A" w:rsidRPr="00BA77FC" w:rsidRDefault="0086201A" w:rsidP="0086201A">
      <w:pPr>
        <w:pStyle w:val="Prrafodelista"/>
        <w:spacing w:before="120" w:after="120"/>
        <w:ind w:left="360" w:right="158"/>
        <w:rPr>
          <w:rFonts w:ascii="Arial" w:hAnsi="Arial" w:cs="Arial"/>
          <w:sz w:val="22"/>
          <w:szCs w:val="22"/>
        </w:rPr>
      </w:pPr>
      <w:r w:rsidRPr="00BA77FC">
        <w:rPr>
          <w:rFonts w:ascii="Arial" w:hAnsi="Arial" w:cs="Arial"/>
          <w:sz w:val="22"/>
          <w:szCs w:val="22"/>
        </w:rPr>
        <w:t xml:space="preserve">Monto para Lote xxx </w:t>
      </w:r>
      <w:r w:rsidRPr="00BA77FC">
        <w:rPr>
          <w:rFonts w:ascii="Arial" w:hAnsi="Arial" w:cs="Arial"/>
          <w:i/>
          <w:color w:val="FF0000"/>
          <w:sz w:val="22"/>
          <w:szCs w:val="22"/>
        </w:rPr>
        <w:t>(Escribir la moneda, el monto en números y letras</w:t>
      </w:r>
      <w:r w:rsidRPr="00BA77FC">
        <w:rPr>
          <w:rFonts w:ascii="Arial" w:hAnsi="Arial" w:cs="Arial"/>
          <w:i/>
          <w:sz w:val="22"/>
          <w:szCs w:val="22"/>
        </w:rPr>
        <w:t>)</w:t>
      </w:r>
      <w:r w:rsidRPr="00BA77FC">
        <w:rPr>
          <w:rFonts w:ascii="Arial" w:hAnsi="Arial" w:cs="Arial"/>
          <w:sz w:val="22"/>
          <w:szCs w:val="22"/>
        </w:rPr>
        <w:t>.</w:t>
      </w:r>
    </w:p>
    <w:p w14:paraId="249389A8" w14:textId="77777777" w:rsidR="0086201A" w:rsidRPr="00344818" w:rsidRDefault="0086201A" w:rsidP="0086201A">
      <w:pPr>
        <w:pStyle w:val="Prrafodelista"/>
        <w:spacing w:before="120" w:after="120"/>
        <w:ind w:left="360" w:right="158"/>
        <w:rPr>
          <w:rFonts w:ascii="Arial" w:hAnsi="Arial" w:cs="Arial"/>
          <w:sz w:val="22"/>
          <w:szCs w:val="22"/>
        </w:rPr>
      </w:pPr>
      <w:r w:rsidRPr="00BA77FC">
        <w:rPr>
          <w:rFonts w:ascii="Arial" w:hAnsi="Arial" w:cs="Arial"/>
          <w:sz w:val="22"/>
          <w:szCs w:val="22"/>
        </w:rPr>
        <w:t>Monto para Lote xxx</w:t>
      </w:r>
      <w:r w:rsidRPr="00BA77FC">
        <w:rPr>
          <w:rFonts w:ascii="Arial" w:hAnsi="Arial" w:cs="Arial"/>
          <w:i/>
          <w:color w:val="FF0000"/>
          <w:sz w:val="22"/>
          <w:szCs w:val="22"/>
        </w:rPr>
        <w:t>(Escribir la moneda, el monto en números y letras</w:t>
      </w:r>
      <w:r w:rsidRPr="00BA77FC">
        <w:rPr>
          <w:rFonts w:ascii="Arial" w:hAnsi="Arial" w:cs="Arial"/>
          <w:i/>
          <w:sz w:val="22"/>
          <w:szCs w:val="22"/>
        </w:rPr>
        <w:t>)</w:t>
      </w:r>
      <w:r w:rsidRPr="00BA77FC">
        <w:rPr>
          <w:rFonts w:ascii="Arial" w:hAnsi="Arial" w:cs="Arial"/>
          <w:sz w:val="22"/>
          <w:szCs w:val="22"/>
        </w:rPr>
        <w:t>.</w:t>
      </w:r>
    </w:p>
    <w:p w14:paraId="4B14C38E" w14:textId="77777777" w:rsidR="0086201A" w:rsidRPr="00313596" w:rsidRDefault="0086201A" w:rsidP="0086201A">
      <w:pPr>
        <w:pStyle w:val="Prrafodelista"/>
        <w:spacing w:before="120" w:after="120"/>
        <w:ind w:left="360" w:right="158"/>
        <w:rPr>
          <w:rFonts w:ascii="Arial" w:hAnsi="Arial" w:cs="Arial"/>
          <w:sz w:val="22"/>
          <w:szCs w:val="22"/>
        </w:rPr>
      </w:pPr>
    </w:p>
    <w:p w14:paraId="769EEA09" w14:textId="77777777" w:rsidR="008C0885" w:rsidRPr="00313596" w:rsidRDefault="008C0885" w:rsidP="003B68DB">
      <w:pPr>
        <w:pStyle w:val="Prrafodelista"/>
        <w:numPr>
          <w:ilvl w:val="0"/>
          <w:numId w:val="66"/>
        </w:numPr>
        <w:spacing w:before="120" w:after="120"/>
        <w:ind w:right="158"/>
        <w:rPr>
          <w:rFonts w:ascii="Arial" w:hAnsi="Arial" w:cs="Arial"/>
          <w:sz w:val="22"/>
          <w:szCs w:val="22"/>
        </w:rPr>
      </w:pPr>
      <w:r w:rsidRPr="00313596">
        <w:rPr>
          <w:rFonts w:ascii="Arial" w:hAnsi="Arial" w:cs="Arial"/>
          <w:sz w:val="22"/>
          <w:szCs w:val="22"/>
          <w:lang w:val="es-HN"/>
        </w:rPr>
        <w:t xml:space="preserve">Confirmamos el compromiso de cumplir con lo propuesto en caso de que nuestra empresa </w:t>
      </w:r>
      <w:r w:rsidRPr="00313596">
        <w:rPr>
          <w:rFonts w:ascii="Arial" w:hAnsi="Arial" w:cs="Arial"/>
          <w:i/>
          <w:color w:val="FF0000"/>
          <w:sz w:val="22"/>
          <w:szCs w:val="22"/>
          <w:lang w:val="es-HN"/>
        </w:rPr>
        <w:t>(nombre completo del oferente)</w:t>
      </w:r>
      <w:r w:rsidRPr="00313596">
        <w:rPr>
          <w:rFonts w:ascii="Arial" w:hAnsi="Arial" w:cs="Arial"/>
          <w:sz w:val="22"/>
          <w:szCs w:val="22"/>
          <w:lang w:val="es-HN"/>
        </w:rPr>
        <w:t xml:space="preserve"> resulte adjudicataria y sea contratada</w:t>
      </w:r>
      <w:r w:rsidRPr="00313596">
        <w:rPr>
          <w:rFonts w:ascii="Arial" w:hAnsi="Arial" w:cs="Arial"/>
          <w:color w:val="000000"/>
          <w:sz w:val="22"/>
          <w:szCs w:val="22"/>
          <w:lang w:val="es-HN"/>
        </w:rPr>
        <w:t>.</w:t>
      </w:r>
    </w:p>
    <w:p w14:paraId="4985581A" w14:textId="77777777" w:rsidR="008C0885" w:rsidRPr="00313596" w:rsidRDefault="008C0885" w:rsidP="003B68DB">
      <w:pPr>
        <w:pStyle w:val="Prrafodelista"/>
        <w:numPr>
          <w:ilvl w:val="0"/>
          <w:numId w:val="66"/>
        </w:numPr>
        <w:spacing w:before="120" w:after="120"/>
        <w:ind w:right="158"/>
        <w:rPr>
          <w:rFonts w:ascii="Arial" w:hAnsi="Arial" w:cs="Arial"/>
          <w:sz w:val="22"/>
          <w:szCs w:val="22"/>
        </w:rPr>
      </w:pPr>
      <w:r w:rsidRPr="00313596">
        <w:rPr>
          <w:rFonts w:ascii="Arial" w:hAnsi="Arial" w:cs="Arial"/>
          <w:color w:val="000000"/>
          <w:sz w:val="22"/>
          <w:szCs w:val="22"/>
          <w:lang w:val="es-HN"/>
        </w:rPr>
        <w:t>Aceptamos que cualquier dato falso u omisión que pudiera contener esta oferta y/o sus anexos puede ser elemento justificable para la descalificación de la oferta y declaramos que:</w:t>
      </w:r>
    </w:p>
    <w:p w14:paraId="1B91A89A" w14:textId="77777777" w:rsidR="008C0885" w:rsidRPr="00313596" w:rsidRDefault="008C0885" w:rsidP="0071608E">
      <w:pPr>
        <w:pStyle w:val="Prrafodelista"/>
        <w:numPr>
          <w:ilvl w:val="7"/>
          <w:numId w:val="26"/>
        </w:numPr>
        <w:spacing w:after="200"/>
        <w:ind w:left="720"/>
        <w:rPr>
          <w:rFonts w:ascii="Arial" w:hAnsi="Arial" w:cs="Arial"/>
          <w:sz w:val="22"/>
          <w:szCs w:val="22"/>
          <w:lang w:val="es-ES"/>
        </w:rPr>
      </w:pPr>
      <w:r w:rsidRPr="00313596">
        <w:rPr>
          <w:rFonts w:ascii="Arial" w:hAnsi="Arial" w:cs="Arial"/>
          <w:sz w:val="22"/>
          <w:szCs w:val="22"/>
          <w:lang w:val="es-ES"/>
        </w:rPr>
        <w:t>No hemos sido suspendidos ni declarados inelegibles por el Contratante en relación con la ejecución de una Declaración de Mantenimiento de la Oferta en el país del Contratante.</w:t>
      </w:r>
    </w:p>
    <w:p w14:paraId="3DFDD68A" w14:textId="77777777" w:rsidR="008C0885" w:rsidRPr="00313596" w:rsidRDefault="008C0885" w:rsidP="0071608E">
      <w:pPr>
        <w:pStyle w:val="Prrafodelista"/>
        <w:numPr>
          <w:ilvl w:val="7"/>
          <w:numId w:val="26"/>
        </w:numPr>
        <w:spacing w:after="200"/>
        <w:ind w:left="720"/>
        <w:rPr>
          <w:rFonts w:ascii="Arial" w:hAnsi="Arial" w:cs="Arial"/>
          <w:sz w:val="22"/>
          <w:szCs w:val="22"/>
          <w:lang w:val="es-ES"/>
        </w:rPr>
      </w:pPr>
      <w:r w:rsidRPr="00313596">
        <w:rPr>
          <w:rFonts w:ascii="Arial" w:hAnsi="Arial" w:cs="Arial"/>
          <w:color w:val="000000"/>
          <w:sz w:val="22"/>
          <w:szCs w:val="22"/>
          <w:lang w:val="es-HN"/>
        </w:rPr>
        <w:t>De</w:t>
      </w:r>
      <w:r w:rsidRPr="00313596">
        <w:rPr>
          <w:rFonts w:ascii="Arial" w:hAnsi="Arial" w:cs="Arial"/>
          <w:spacing w:val="-3"/>
          <w:sz w:val="22"/>
          <w:szCs w:val="22"/>
          <w:lang w:val="es-ES"/>
        </w:rPr>
        <w:t xml:space="preserve"> haber comisiones o gratificaciones, pagadas o a ser pagadas por nosotros a agentes en relación con esta Oferta y la ejecución del Contrato si nos es adjudicado, las mismas están indicadas a continuación:</w:t>
      </w:r>
    </w:p>
    <w:tbl>
      <w:tblPr>
        <w:tblW w:w="9630" w:type="dxa"/>
        <w:tblLayout w:type="fixed"/>
        <w:tblLook w:val="0000" w:firstRow="0" w:lastRow="0" w:firstColumn="0" w:lastColumn="0" w:noHBand="0" w:noVBand="0"/>
      </w:tblPr>
      <w:tblGrid>
        <w:gridCol w:w="3330"/>
        <w:gridCol w:w="2430"/>
        <w:gridCol w:w="3870"/>
      </w:tblGrid>
      <w:tr w:rsidR="008C0885" w:rsidRPr="00313596" w14:paraId="6B032019" w14:textId="77777777" w:rsidTr="000C6174">
        <w:trPr>
          <w:trHeight w:val="398"/>
        </w:trPr>
        <w:tc>
          <w:tcPr>
            <w:tcW w:w="3330" w:type="dxa"/>
          </w:tcPr>
          <w:p w14:paraId="4E1C479F" w14:textId="77777777" w:rsidR="008C0885" w:rsidRPr="00313596" w:rsidRDefault="008C0885" w:rsidP="000C6174">
            <w:pPr>
              <w:ind w:left="720"/>
              <w:jc w:val="center"/>
              <w:rPr>
                <w:rFonts w:ascii="Arial" w:hAnsi="Arial" w:cs="Arial"/>
                <w:sz w:val="22"/>
                <w:szCs w:val="22"/>
                <w:lang w:val="es-ES"/>
              </w:rPr>
            </w:pPr>
            <w:r w:rsidRPr="00313596">
              <w:rPr>
                <w:rFonts w:ascii="Arial" w:hAnsi="Arial" w:cs="Arial"/>
                <w:sz w:val="22"/>
                <w:szCs w:val="22"/>
                <w:lang w:val="es-ES"/>
              </w:rPr>
              <w:t>Nombre y dirección del Receptor</w:t>
            </w:r>
          </w:p>
        </w:tc>
        <w:tc>
          <w:tcPr>
            <w:tcW w:w="2430" w:type="dxa"/>
          </w:tcPr>
          <w:p w14:paraId="2DF47049" w14:textId="77777777" w:rsidR="008C0885" w:rsidRPr="00313596" w:rsidRDefault="008C0885" w:rsidP="00A563E0">
            <w:pPr>
              <w:ind w:left="-107" w:right="-109"/>
              <w:jc w:val="center"/>
              <w:rPr>
                <w:rFonts w:ascii="Arial" w:hAnsi="Arial" w:cs="Arial"/>
                <w:sz w:val="22"/>
                <w:szCs w:val="22"/>
                <w:lang w:val="es-ES"/>
              </w:rPr>
            </w:pPr>
            <w:r w:rsidRPr="00313596">
              <w:rPr>
                <w:rFonts w:ascii="Arial" w:hAnsi="Arial" w:cs="Arial"/>
                <w:sz w:val="22"/>
                <w:szCs w:val="22"/>
                <w:lang w:val="es-ES"/>
              </w:rPr>
              <w:t>Monto y Moneda</w:t>
            </w:r>
          </w:p>
        </w:tc>
        <w:tc>
          <w:tcPr>
            <w:tcW w:w="3870" w:type="dxa"/>
          </w:tcPr>
          <w:p w14:paraId="15846BFA" w14:textId="77777777" w:rsidR="008C0885" w:rsidRPr="00313596" w:rsidRDefault="008C0885" w:rsidP="00A563E0">
            <w:pPr>
              <w:ind w:left="-109"/>
              <w:jc w:val="center"/>
              <w:rPr>
                <w:rFonts w:ascii="Arial" w:hAnsi="Arial" w:cs="Arial"/>
                <w:sz w:val="22"/>
                <w:szCs w:val="22"/>
                <w:lang w:val="es-ES"/>
              </w:rPr>
            </w:pPr>
            <w:r w:rsidRPr="00313596">
              <w:rPr>
                <w:rFonts w:ascii="Arial" w:hAnsi="Arial" w:cs="Arial"/>
                <w:sz w:val="22"/>
                <w:szCs w:val="22"/>
                <w:lang w:val="es-ES"/>
              </w:rPr>
              <w:t>Propósito de la Comisión o Gratificación</w:t>
            </w:r>
          </w:p>
          <w:p w14:paraId="142F05ED" w14:textId="77777777" w:rsidR="008C0885" w:rsidRPr="00313596" w:rsidRDefault="008C0885" w:rsidP="000C6174">
            <w:pPr>
              <w:ind w:left="720"/>
              <w:rPr>
                <w:rFonts w:ascii="Arial" w:hAnsi="Arial" w:cs="Arial"/>
                <w:sz w:val="22"/>
                <w:szCs w:val="22"/>
                <w:lang w:val="es-ES"/>
              </w:rPr>
            </w:pPr>
          </w:p>
        </w:tc>
      </w:tr>
      <w:tr w:rsidR="008C0885" w:rsidRPr="00313596" w14:paraId="7B6C7D71" w14:textId="77777777" w:rsidTr="000C6174">
        <w:trPr>
          <w:trHeight w:val="420"/>
        </w:trPr>
        <w:tc>
          <w:tcPr>
            <w:tcW w:w="3330" w:type="dxa"/>
          </w:tcPr>
          <w:p w14:paraId="71F35877" w14:textId="77777777" w:rsidR="008C0885" w:rsidRPr="00313596" w:rsidRDefault="008C0885" w:rsidP="000C6174">
            <w:pPr>
              <w:ind w:left="720"/>
              <w:rPr>
                <w:rFonts w:ascii="Arial" w:hAnsi="Arial" w:cs="Arial"/>
                <w:sz w:val="22"/>
                <w:szCs w:val="22"/>
                <w:lang w:val="es-ES"/>
              </w:rPr>
            </w:pPr>
            <w:r w:rsidRPr="00313596">
              <w:rPr>
                <w:rFonts w:ascii="Arial" w:hAnsi="Arial" w:cs="Arial"/>
                <w:sz w:val="22"/>
                <w:szCs w:val="22"/>
                <w:lang w:val="es-ES"/>
              </w:rPr>
              <w:t>___________________</w:t>
            </w:r>
          </w:p>
        </w:tc>
        <w:tc>
          <w:tcPr>
            <w:tcW w:w="2430" w:type="dxa"/>
          </w:tcPr>
          <w:p w14:paraId="1F95B0F6" w14:textId="77777777" w:rsidR="008C0885" w:rsidRPr="00313596" w:rsidRDefault="008C0885" w:rsidP="000C6174">
            <w:pPr>
              <w:ind w:left="66"/>
              <w:rPr>
                <w:rFonts w:ascii="Arial" w:hAnsi="Arial" w:cs="Arial"/>
                <w:sz w:val="22"/>
                <w:szCs w:val="22"/>
                <w:lang w:val="es-ES"/>
              </w:rPr>
            </w:pPr>
            <w:r w:rsidRPr="00313596">
              <w:rPr>
                <w:rFonts w:ascii="Arial" w:hAnsi="Arial" w:cs="Arial"/>
                <w:sz w:val="22"/>
                <w:szCs w:val="22"/>
                <w:lang w:val="es-ES"/>
              </w:rPr>
              <w:t>_________________</w:t>
            </w:r>
          </w:p>
        </w:tc>
        <w:tc>
          <w:tcPr>
            <w:tcW w:w="3870" w:type="dxa"/>
          </w:tcPr>
          <w:p w14:paraId="4CB29E37" w14:textId="77777777" w:rsidR="008C0885" w:rsidRPr="00313596" w:rsidRDefault="00A563E0" w:rsidP="00A563E0">
            <w:pPr>
              <w:ind w:left="-109"/>
              <w:rPr>
                <w:rFonts w:ascii="Arial" w:hAnsi="Arial" w:cs="Arial"/>
                <w:sz w:val="22"/>
                <w:szCs w:val="22"/>
                <w:lang w:val="es-ES"/>
              </w:rPr>
            </w:pPr>
            <w:r w:rsidRPr="00313596">
              <w:rPr>
                <w:rFonts w:ascii="Arial" w:hAnsi="Arial" w:cs="Arial"/>
                <w:sz w:val="22"/>
                <w:szCs w:val="22"/>
                <w:lang w:val="es-ES"/>
              </w:rPr>
              <w:t xml:space="preserve">   </w:t>
            </w:r>
            <w:r w:rsidR="006322CE" w:rsidRPr="00313596">
              <w:rPr>
                <w:rFonts w:ascii="Arial" w:hAnsi="Arial" w:cs="Arial"/>
                <w:sz w:val="22"/>
                <w:szCs w:val="22"/>
                <w:lang w:val="es-ES"/>
              </w:rPr>
              <w:t>___</w:t>
            </w:r>
            <w:r w:rsidRPr="00313596">
              <w:rPr>
                <w:rFonts w:ascii="Arial" w:hAnsi="Arial" w:cs="Arial"/>
                <w:sz w:val="22"/>
                <w:szCs w:val="22"/>
                <w:lang w:val="es-ES"/>
              </w:rPr>
              <w:t>__</w:t>
            </w:r>
            <w:r w:rsidR="008C0885" w:rsidRPr="00313596">
              <w:rPr>
                <w:rFonts w:ascii="Arial" w:hAnsi="Arial" w:cs="Arial"/>
                <w:sz w:val="22"/>
                <w:szCs w:val="22"/>
                <w:lang w:val="es-ES"/>
              </w:rPr>
              <w:t>_____________________</w:t>
            </w:r>
          </w:p>
        </w:tc>
      </w:tr>
      <w:tr w:rsidR="008C0885" w:rsidRPr="00313596" w14:paraId="2AE8BA31" w14:textId="77777777" w:rsidTr="000C6174">
        <w:trPr>
          <w:trHeight w:val="420"/>
        </w:trPr>
        <w:tc>
          <w:tcPr>
            <w:tcW w:w="3330" w:type="dxa"/>
          </w:tcPr>
          <w:p w14:paraId="0C15539C" w14:textId="77777777" w:rsidR="008C0885" w:rsidRPr="00313596" w:rsidRDefault="008C0885" w:rsidP="000C6174">
            <w:pPr>
              <w:ind w:left="720"/>
              <w:rPr>
                <w:rFonts w:ascii="Arial" w:hAnsi="Arial" w:cs="Arial"/>
                <w:sz w:val="22"/>
                <w:szCs w:val="22"/>
                <w:lang w:val="es-ES"/>
              </w:rPr>
            </w:pPr>
            <w:r w:rsidRPr="00313596">
              <w:rPr>
                <w:rFonts w:ascii="Arial" w:hAnsi="Arial" w:cs="Arial"/>
                <w:sz w:val="22"/>
                <w:szCs w:val="22"/>
                <w:lang w:val="es-ES"/>
              </w:rPr>
              <w:t>___________________</w:t>
            </w:r>
          </w:p>
        </w:tc>
        <w:tc>
          <w:tcPr>
            <w:tcW w:w="2430" w:type="dxa"/>
          </w:tcPr>
          <w:p w14:paraId="29354F61" w14:textId="77777777" w:rsidR="008C0885" w:rsidRPr="00313596" w:rsidRDefault="008C0885" w:rsidP="000C6174">
            <w:pPr>
              <w:ind w:left="66"/>
              <w:rPr>
                <w:rFonts w:ascii="Arial" w:hAnsi="Arial" w:cs="Arial"/>
                <w:sz w:val="22"/>
                <w:szCs w:val="22"/>
                <w:lang w:val="es-ES"/>
              </w:rPr>
            </w:pPr>
            <w:r w:rsidRPr="00313596">
              <w:rPr>
                <w:rFonts w:ascii="Arial" w:hAnsi="Arial" w:cs="Arial"/>
                <w:sz w:val="22"/>
                <w:szCs w:val="22"/>
                <w:lang w:val="es-ES"/>
              </w:rPr>
              <w:t>_________________</w:t>
            </w:r>
          </w:p>
        </w:tc>
        <w:tc>
          <w:tcPr>
            <w:tcW w:w="3870" w:type="dxa"/>
          </w:tcPr>
          <w:p w14:paraId="7D330F8E" w14:textId="77777777" w:rsidR="008C0885" w:rsidRPr="00313596" w:rsidRDefault="006322CE" w:rsidP="006322CE">
            <w:pPr>
              <w:ind w:left="-109"/>
              <w:rPr>
                <w:rFonts w:ascii="Arial" w:hAnsi="Arial" w:cs="Arial"/>
                <w:sz w:val="22"/>
                <w:szCs w:val="22"/>
                <w:lang w:val="es-ES"/>
              </w:rPr>
            </w:pPr>
            <w:r w:rsidRPr="00313596">
              <w:rPr>
                <w:rFonts w:ascii="Arial" w:hAnsi="Arial" w:cs="Arial"/>
                <w:sz w:val="22"/>
                <w:szCs w:val="22"/>
                <w:lang w:val="es-ES"/>
              </w:rPr>
              <w:t xml:space="preserve">   _____</w:t>
            </w:r>
            <w:r w:rsidR="008C0885" w:rsidRPr="00313596">
              <w:rPr>
                <w:rFonts w:ascii="Arial" w:hAnsi="Arial" w:cs="Arial"/>
                <w:sz w:val="22"/>
                <w:szCs w:val="22"/>
                <w:lang w:val="es-ES"/>
              </w:rPr>
              <w:t>_____________________</w:t>
            </w:r>
          </w:p>
        </w:tc>
      </w:tr>
      <w:tr w:rsidR="008C0885" w:rsidRPr="00313596" w14:paraId="34FBE839" w14:textId="77777777" w:rsidTr="000C6174">
        <w:trPr>
          <w:cantSplit/>
          <w:trHeight w:val="420"/>
        </w:trPr>
        <w:tc>
          <w:tcPr>
            <w:tcW w:w="9628" w:type="dxa"/>
            <w:gridSpan w:val="3"/>
          </w:tcPr>
          <w:p w14:paraId="3D3BAA2A" w14:textId="77777777" w:rsidR="008C0885" w:rsidRPr="00313596" w:rsidRDefault="008C0885" w:rsidP="000C6174">
            <w:pPr>
              <w:ind w:left="697"/>
              <w:rPr>
                <w:rFonts w:ascii="Arial" w:hAnsi="Arial" w:cs="Arial"/>
                <w:i/>
                <w:sz w:val="22"/>
                <w:szCs w:val="22"/>
                <w:lang w:val="es-ES"/>
              </w:rPr>
            </w:pPr>
            <w:r w:rsidRPr="00313596">
              <w:rPr>
                <w:rFonts w:ascii="Arial" w:hAnsi="Arial" w:cs="Arial"/>
                <w:i/>
                <w:sz w:val="22"/>
                <w:szCs w:val="22"/>
                <w:lang w:val="es-ES"/>
              </w:rPr>
              <w:t>(Si no hay comisiones o gratificaciones indicar “ninguna”)</w:t>
            </w:r>
          </w:p>
        </w:tc>
      </w:tr>
    </w:tbl>
    <w:p w14:paraId="3F0899D0" w14:textId="77777777" w:rsidR="008C0885" w:rsidRPr="00313596" w:rsidRDefault="008C0885" w:rsidP="003B68DB">
      <w:pPr>
        <w:pStyle w:val="Prrafodelista"/>
        <w:numPr>
          <w:ilvl w:val="0"/>
          <w:numId w:val="66"/>
        </w:numPr>
        <w:spacing w:before="120" w:after="120"/>
        <w:ind w:right="158"/>
        <w:rPr>
          <w:rFonts w:ascii="Arial" w:hAnsi="Arial" w:cs="Arial"/>
          <w:sz w:val="22"/>
          <w:szCs w:val="22"/>
          <w:lang w:val="es-HN"/>
        </w:rPr>
      </w:pPr>
      <w:r w:rsidRPr="00313596">
        <w:rPr>
          <w:rFonts w:ascii="Arial" w:hAnsi="Arial" w:cs="Arial"/>
          <w:sz w:val="22"/>
          <w:szCs w:val="22"/>
          <w:lang w:val="es-HN"/>
        </w:rPr>
        <w:t>Queda entendido que los documentos presentados y toda la información que se anexa en esta oferta, será utilizada por el Contratante, para determinar, con su criterio y discreción, la capacidad para la provisión de lo requerido mediante el proceso de licitación.</w:t>
      </w:r>
    </w:p>
    <w:p w14:paraId="4801A8DD" w14:textId="77777777" w:rsidR="008C0885" w:rsidRPr="00313596" w:rsidRDefault="008C0885" w:rsidP="003B68DB">
      <w:pPr>
        <w:pStyle w:val="Prrafodelista"/>
        <w:numPr>
          <w:ilvl w:val="0"/>
          <w:numId w:val="66"/>
        </w:numPr>
        <w:spacing w:before="120" w:after="120"/>
        <w:ind w:right="158"/>
        <w:rPr>
          <w:rFonts w:ascii="Arial" w:hAnsi="Arial" w:cs="Arial"/>
          <w:sz w:val="22"/>
          <w:szCs w:val="22"/>
          <w:lang w:val="es-HN"/>
        </w:rPr>
      </w:pPr>
      <w:r w:rsidRPr="00313596">
        <w:rPr>
          <w:rFonts w:ascii="Arial" w:hAnsi="Arial" w:cs="Arial"/>
          <w:sz w:val="22"/>
          <w:szCs w:val="22"/>
          <w:lang w:val="es-HN"/>
        </w:rPr>
        <w:lastRenderedPageBreak/>
        <w:t xml:space="preserve">Entendemos que esta Oferta, junto con sus Anexos 1, 2 y 3 así como con la aceptación de ustedes por escrito incluida en su Carta de Aceptación, constituirá un contrato vinculante entre nosotros hasta que el contrato formal haya sido redactado y formalizado. </w:t>
      </w:r>
    </w:p>
    <w:p w14:paraId="02B7FA22" w14:textId="77777777" w:rsidR="008C0885" w:rsidRPr="00313596" w:rsidRDefault="008C0885" w:rsidP="003B68DB">
      <w:pPr>
        <w:pStyle w:val="Prrafodelista"/>
        <w:numPr>
          <w:ilvl w:val="0"/>
          <w:numId w:val="66"/>
        </w:numPr>
        <w:spacing w:before="120" w:after="120"/>
        <w:ind w:right="158"/>
        <w:rPr>
          <w:rFonts w:ascii="Arial" w:hAnsi="Arial" w:cs="Arial"/>
          <w:sz w:val="22"/>
          <w:szCs w:val="22"/>
          <w:lang w:val="es-HN"/>
        </w:rPr>
      </w:pPr>
      <w:r w:rsidRPr="00313596">
        <w:rPr>
          <w:rFonts w:ascii="Arial" w:hAnsi="Arial" w:cs="Arial"/>
          <w:sz w:val="22"/>
          <w:szCs w:val="22"/>
          <w:lang w:val="es-HN"/>
        </w:rPr>
        <w:t>Entendemos que ustedes no están obligados a aceptar la Oferta evaluada más baja, ni la Oferta Más Conveniente ni ninguna otra Oferta que pudieran recibir.</w:t>
      </w:r>
    </w:p>
    <w:p w14:paraId="6703A7A4" w14:textId="77777777" w:rsidR="008C0885" w:rsidRPr="00313596" w:rsidRDefault="008C0885" w:rsidP="003B68DB">
      <w:pPr>
        <w:pStyle w:val="Prrafodelista"/>
        <w:numPr>
          <w:ilvl w:val="0"/>
          <w:numId w:val="66"/>
        </w:numPr>
        <w:spacing w:before="120" w:after="120"/>
        <w:ind w:right="158"/>
        <w:rPr>
          <w:rFonts w:ascii="Arial" w:hAnsi="Arial" w:cs="Arial"/>
          <w:sz w:val="22"/>
          <w:szCs w:val="22"/>
          <w:lang w:val="es-HN"/>
        </w:rPr>
      </w:pPr>
      <w:r w:rsidRPr="00313596">
        <w:rPr>
          <w:rFonts w:ascii="Arial" w:hAnsi="Arial" w:cs="Arial"/>
          <w:sz w:val="22"/>
          <w:szCs w:val="22"/>
          <w:lang w:val="es-HN"/>
        </w:rPr>
        <w:t xml:space="preserve">Proponemos por la presente las siguientes tres personas, cuyo currículo vitae se adjunta, como potenciales miembros </w:t>
      </w:r>
      <w:r w:rsidRPr="009B31CF">
        <w:rPr>
          <w:rFonts w:ascii="Arial" w:hAnsi="Arial" w:cs="Arial"/>
          <w:sz w:val="22"/>
          <w:szCs w:val="22"/>
          <w:lang w:val="es-HN"/>
        </w:rPr>
        <w:t>del DAAB:</w:t>
      </w:r>
    </w:p>
    <w:tbl>
      <w:tblPr>
        <w:tblStyle w:val="Tablaconcuadrcula"/>
        <w:tblW w:w="0" w:type="auto"/>
        <w:tblInd w:w="-5" w:type="dxa"/>
        <w:tblLook w:val="04A0" w:firstRow="1" w:lastRow="0" w:firstColumn="1" w:lastColumn="0" w:noHBand="0" w:noVBand="1"/>
      </w:tblPr>
      <w:tblGrid>
        <w:gridCol w:w="4680"/>
        <w:gridCol w:w="4675"/>
      </w:tblGrid>
      <w:tr w:rsidR="008C0885" w:rsidRPr="00313596" w14:paraId="65C87399" w14:textId="77777777" w:rsidTr="00B86AF7">
        <w:tc>
          <w:tcPr>
            <w:tcW w:w="4680" w:type="dxa"/>
            <w:shd w:val="clear" w:color="auto" w:fill="00B050"/>
          </w:tcPr>
          <w:p w14:paraId="12432EC0" w14:textId="77777777" w:rsidR="008C0885" w:rsidRPr="00B86AF7" w:rsidRDefault="008C0885" w:rsidP="000C6174">
            <w:pPr>
              <w:spacing w:before="120"/>
              <w:rPr>
                <w:rFonts w:ascii="Arial" w:hAnsi="Arial" w:cs="Arial"/>
                <w:color w:val="FFFFFF" w:themeColor="background1"/>
                <w:sz w:val="22"/>
                <w:szCs w:val="22"/>
                <w:lang w:val="es-ES"/>
              </w:rPr>
            </w:pPr>
            <w:r w:rsidRPr="00B86AF7">
              <w:rPr>
                <w:rFonts w:ascii="Arial" w:hAnsi="Arial" w:cs="Arial"/>
                <w:color w:val="FFFFFF" w:themeColor="background1"/>
                <w:sz w:val="22"/>
                <w:szCs w:val="22"/>
                <w:lang w:val="es-ES"/>
              </w:rPr>
              <w:t>Nombre</w:t>
            </w:r>
          </w:p>
        </w:tc>
        <w:tc>
          <w:tcPr>
            <w:tcW w:w="4675" w:type="dxa"/>
            <w:shd w:val="clear" w:color="auto" w:fill="00B050"/>
          </w:tcPr>
          <w:p w14:paraId="36654302" w14:textId="77777777" w:rsidR="008C0885" w:rsidRPr="00B86AF7" w:rsidRDefault="008C0885" w:rsidP="000C6174">
            <w:pPr>
              <w:spacing w:before="120"/>
              <w:rPr>
                <w:rFonts w:ascii="Arial" w:hAnsi="Arial" w:cs="Arial"/>
                <w:color w:val="FFFFFF" w:themeColor="background1"/>
                <w:sz w:val="22"/>
                <w:szCs w:val="22"/>
                <w:lang w:val="es-ES"/>
              </w:rPr>
            </w:pPr>
            <w:r w:rsidRPr="00B86AF7">
              <w:rPr>
                <w:rFonts w:ascii="Arial" w:hAnsi="Arial" w:cs="Arial"/>
                <w:color w:val="FFFFFF" w:themeColor="background1"/>
                <w:sz w:val="22"/>
                <w:szCs w:val="22"/>
                <w:lang w:val="es-ES"/>
              </w:rPr>
              <w:t>Dirección</w:t>
            </w:r>
          </w:p>
        </w:tc>
      </w:tr>
      <w:tr w:rsidR="008C0885" w:rsidRPr="00313596" w14:paraId="090E4C78" w14:textId="77777777" w:rsidTr="003D50ED">
        <w:tc>
          <w:tcPr>
            <w:tcW w:w="4680" w:type="dxa"/>
          </w:tcPr>
          <w:p w14:paraId="5607A68C" w14:textId="77777777" w:rsidR="008C0885" w:rsidRPr="00313596" w:rsidRDefault="008C0885" w:rsidP="003B68DB">
            <w:pPr>
              <w:pStyle w:val="Prrafodelista"/>
              <w:numPr>
                <w:ilvl w:val="3"/>
                <w:numId w:val="67"/>
              </w:numPr>
              <w:spacing w:before="120"/>
              <w:ind w:left="340"/>
              <w:rPr>
                <w:rFonts w:ascii="Arial" w:hAnsi="Arial" w:cs="Arial"/>
                <w:color w:val="000000" w:themeColor="text1"/>
                <w:sz w:val="22"/>
                <w:szCs w:val="22"/>
                <w:lang w:val="es-ES"/>
              </w:rPr>
            </w:pPr>
            <w:r w:rsidRPr="00313596">
              <w:rPr>
                <w:rFonts w:ascii="Arial" w:hAnsi="Arial" w:cs="Arial"/>
                <w:color w:val="000000" w:themeColor="text1"/>
                <w:sz w:val="22"/>
                <w:szCs w:val="22"/>
                <w:lang w:val="es-ES"/>
              </w:rPr>
              <w:t>……......</w:t>
            </w:r>
          </w:p>
        </w:tc>
        <w:tc>
          <w:tcPr>
            <w:tcW w:w="4675" w:type="dxa"/>
          </w:tcPr>
          <w:p w14:paraId="7E8D2D43" w14:textId="77777777" w:rsidR="008C0885" w:rsidRPr="00313596" w:rsidRDefault="008C0885" w:rsidP="000C6174">
            <w:pPr>
              <w:spacing w:before="120"/>
              <w:rPr>
                <w:rFonts w:ascii="Arial" w:hAnsi="Arial" w:cs="Arial"/>
                <w:color w:val="000000" w:themeColor="text1"/>
                <w:sz w:val="22"/>
                <w:szCs w:val="22"/>
                <w:lang w:val="es-ES"/>
              </w:rPr>
            </w:pPr>
          </w:p>
        </w:tc>
      </w:tr>
      <w:tr w:rsidR="008C0885" w:rsidRPr="00313596" w14:paraId="4740B0C1" w14:textId="77777777" w:rsidTr="003D50ED">
        <w:tc>
          <w:tcPr>
            <w:tcW w:w="4680" w:type="dxa"/>
          </w:tcPr>
          <w:p w14:paraId="04984514" w14:textId="77777777" w:rsidR="008C0885" w:rsidRPr="00313596" w:rsidRDefault="008C0885" w:rsidP="003B68DB">
            <w:pPr>
              <w:pStyle w:val="Prrafodelista"/>
              <w:numPr>
                <w:ilvl w:val="3"/>
                <w:numId w:val="67"/>
              </w:numPr>
              <w:spacing w:before="120"/>
              <w:ind w:left="340"/>
              <w:rPr>
                <w:rFonts w:ascii="Arial" w:hAnsi="Arial" w:cs="Arial"/>
                <w:color w:val="000000" w:themeColor="text1"/>
                <w:sz w:val="22"/>
                <w:szCs w:val="22"/>
                <w:lang w:val="es-ES"/>
              </w:rPr>
            </w:pPr>
            <w:r w:rsidRPr="00313596">
              <w:rPr>
                <w:rFonts w:ascii="Arial" w:hAnsi="Arial" w:cs="Arial"/>
                <w:color w:val="000000" w:themeColor="text1"/>
                <w:sz w:val="22"/>
                <w:szCs w:val="22"/>
                <w:lang w:val="es-ES"/>
              </w:rPr>
              <w:t>………..</w:t>
            </w:r>
          </w:p>
        </w:tc>
        <w:tc>
          <w:tcPr>
            <w:tcW w:w="4675" w:type="dxa"/>
          </w:tcPr>
          <w:p w14:paraId="609ECD8E" w14:textId="77777777" w:rsidR="008C0885" w:rsidRPr="00313596" w:rsidRDefault="008C0885" w:rsidP="000C6174">
            <w:pPr>
              <w:spacing w:before="120"/>
              <w:rPr>
                <w:rFonts w:ascii="Arial" w:hAnsi="Arial" w:cs="Arial"/>
                <w:color w:val="000000" w:themeColor="text1"/>
                <w:sz w:val="22"/>
                <w:szCs w:val="22"/>
                <w:lang w:val="es-ES"/>
              </w:rPr>
            </w:pPr>
          </w:p>
        </w:tc>
      </w:tr>
      <w:tr w:rsidR="008C0885" w:rsidRPr="00313596" w14:paraId="6DC1C427" w14:textId="77777777" w:rsidTr="003D50ED">
        <w:tc>
          <w:tcPr>
            <w:tcW w:w="4680" w:type="dxa"/>
          </w:tcPr>
          <w:p w14:paraId="17C9B2BC" w14:textId="77777777" w:rsidR="008C0885" w:rsidRPr="00313596" w:rsidRDefault="008C0885" w:rsidP="003B68DB">
            <w:pPr>
              <w:pStyle w:val="Prrafodelista"/>
              <w:numPr>
                <w:ilvl w:val="3"/>
                <w:numId w:val="67"/>
              </w:numPr>
              <w:spacing w:before="120"/>
              <w:ind w:left="340"/>
              <w:rPr>
                <w:rFonts w:ascii="Arial" w:hAnsi="Arial" w:cs="Arial"/>
                <w:color w:val="000000" w:themeColor="text1"/>
                <w:sz w:val="22"/>
                <w:szCs w:val="22"/>
                <w:lang w:val="es-ES"/>
              </w:rPr>
            </w:pPr>
            <w:r w:rsidRPr="00313596">
              <w:rPr>
                <w:rFonts w:ascii="Arial" w:hAnsi="Arial" w:cs="Arial"/>
                <w:color w:val="000000" w:themeColor="text1"/>
                <w:sz w:val="22"/>
                <w:szCs w:val="22"/>
                <w:lang w:val="es-ES"/>
              </w:rPr>
              <w:t>………</w:t>
            </w:r>
          </w:p>
        </w:tc>
        <w:tc>
          <w:tcPr>
            <w:tcW w:w="4675" w:type="dxa"/>
          </w:tcPr>
          <w:p w14:paraId="2FDA88E0" w14:textId="77777777" w:rsidR="008C0885" w:rsidRPr="00313596" w:rsidRDefault="008C0885" w:rsidP="000C6174">
            <w:pPr>
              <w:spacing w:before="120"/>
              <w:rPr>
                <w:rFonts w:ascii="Arial" w:hAnsi="Arial" w:cs="Arial"/>
                <w:color w:val="000000" w:themeColor="text1"/>
                <w:sz w:val="22"/>
                <w:szCs w:val="22"/>
                <w:lang w:val="es-ES"/>
              </w:rPr>
            </w:pPr>
          </w:p>
        </w:tc>
      </w:tr>
    </w:tbl>
    <w:p w14:paraId="3D8EF0A6" w14:textId="77777777" w:rsidR="008C0885" w:rsidRPr="00313596" w:rsidRDefault="008C0885" w:rsidP="000C6174">
      <w:pPr>
        <w:spacing w:before="120" w:after="120"/>
        <w:ind w:right="162"/>
        <w:rPr>
          <w:rFonts w:ascii="Arial" w:hAnsi="Arial" w:cs="Arial"/>
          <w:color w:val="000000"/>
          <w:sz w:val="22"/>
          <w:szCs w:val="22"/>
          <w:lang w:val="es-HN"/>
        </w:rPr>
      </w:pPr>
    </w:p>
    <w:p w14:paraId="2FB2DA1C" w14:textId="77777777" w:rsidR="008C0885" w:rsidRPr="00313596" w:rsidRDefault="008C0885" w:rsidP="000C6174">
      <w:pPr>
        <w:spacing w:before="120" w:after="120"/>
        <w:ind w:right="162"/>
        <w:rPr>
          <w:rFonts w:ascii="Arial" w:hAnsi="Arial" w:cs="Arial"/>
          <w:i/>
          <w:color w:val="FF0000"/>
          <w:sz w:val="22"/>
          <w:szCs w:val="22"/>
          <w:lang w:val="es-HN"/>
        </w:rPr>
      </w:pPr>
      <w:r w:rsidRPr="00313596">
        <w:rPr>
          <w:rFonts w:ascii="Arial" w:hAnsi="Arial" w:cs="Arial"/>
          <w:color w:val="000000"/>
          <w:sz w:val="22"/>
          <w:szCs w:val="22"/>
          <w:lang w:val="es-HN"/>
        </w:rPr>
        <w:t>Estamos presentando nuestra oferta como una APCA formada por</w:t>
      </w:r>
      <w:r w:rsidRPr="00313596">
        <w:rPr>
          <w:rFonts w:ascii="Arial" w:hAnsi="Arial" w:cs="Arial"/>
          <w:color w:val="FF0000"/>
          <w:sz w:val="22"/>
          <w:szCs w:val="22"/>
          <w:lang w:val="es-HN"/>
        </w:rPr>
        <w:t>: (</w:t>
      </w:r>
      <w:r w:rsidRPr="00313596">
        <w:rPr>
          <w:rFonts w:ascii="Arial" w:hAnsi="Arial" w:cs="Arial"/>
          <w:i/>
          <w:color w:val="FF0000"/>
          <w:sz w:val="22"/>
          <w:szCs w:val="22"/>
          <w:lang w:val="es-HN"/>
        </w:rPr>
        <w:t>en este caso</w:t>
      </w:r>
      <w:r w:rsidRPr="00313596">
        <w:rPr>
          <w:rFonts w:ascii="Arial" w:hAnsi="Arial" w:cs="Arial"/>
          <w:color w:val="FF0000"/>
          <w:sz w:val="22"/>
          <w:szCs w:val="22"/>
          <w:lang w:val="es-HN"/>
        </w:rPr>
        <w:t xml:space="preserve"> </w:t>
      </w:r>
      <w:r w:rsidRPr="00313596">
        <w:rPr>
          <w:rFonts w:ascii="Arial" w:hAnsi="Arial" w:cs="Arial"/>
          <w:i/>
          <w:color w:val="FF0000"/>
          <w:sz w:val="22"/>
          <w:szCs w:val="22"/>
          <w:lang w:val="es-HN"/>
        </w:rPr>
        <w:t>insertar una lista con el nombre completo y dirección de cada miembro de la APCA, indicando la empresa o firma que lidera el consorcio, si no aplica este tema borrar estas líneas)</w:t>
      </w:r>
    </w:p>
    <w:p w14:paraId="7B663AC9" w14:textId="77777777" w:rsidR="008C0885" w:rsidRPr="00313596" w:rsidRDefault="008C0885" w:rsidP="000C6174">
      <w:pPr>
        <w:pStyle w:val="i"/>
        <w:spacing w:before="120" w:after="120"/>
        <w:rPr>
          <w:rFonts w:ascii="Arial" w:hAnsi="Arial" w:cs="Arial"/>
          <w:sz w:val="22"/>
          <w:szCs w:val="22"/>
        </w:rPr>
      </w:pPr>
      <w:r w:rsidRPr="00313596">
        <w:rPr>
          <w:rFonts w:ascii="Arial" w:hAnsi="Arial" w:cs="Arial"/>
          <w:sz w:val="22"/>
          <w:szCs w:val="22"/>
        </w:rPr>
        <w:t xml:space="preserve">En caso de ser </w:t>
      </w:r>
      <w:r w:rsidRPr="00313596">
        <w:rPr>
          <w:rFonts w:ascii="Arial" w:hAnsi="Arial" w:cs="Arial"/>
          <w:snapToGrid w:val="0"/>
          <w:sz w:val="22"/>
          <w:szCs w:val="22"/>
        </w:rPr>
        <w:t>seleccionado como el contratista de</w:t>
      </w:r>
      <w:r w:rsidRPr="00313596">
        <w:rPr>
          <w:rFonts w:ascii="Arial" w:hAnsi="Arial" w:cs="Arial"/>
          <w:sz w:val="22"/>
          <w:szCs w:val="22"/>
        </w:rPr>
        <w:t xml:space="preserve"> la </w:t>
      </w:r>
      <w:r w:rsidRPr="00313596">
        <w:rPr>
          <w:rFonts w:ascii="Arial" w:hAnsi="Arial" w:cs="Arial"/>
          <w:snapToGrid w:val="0"/>
          <w:sz w:val="22"/>
          <w:szCs w:val="22"/>
        </w:rPr>
        <w:t>obra</w:t>
      </w:r>
      <w:r w:rsidRPr="00313596">
        <w:rPr>
          <w:rFonts w:ascii="Arial" w:hAnsi="Arial" w:cs="Arial"/>
          <w:i/>
          <w:sz w:val="22"/>
          <w:szCs w:val="22"/>
        </w:rPr>
        <w:t>,</w:t>
      </w:r>
      <w:r w:rsidRPr="00313596">
        <w:rPr>
          <w:rFonts w:ascii="Arial" w:hAnsi="Arial" w:cs="Arial"/>
          <w:sz w:val="22"/>
          <w:szCs w:val="22"/>
        </w:rPr>
        <w:t xml:space="preserve"> nos comprometemos a desarrollar el cronograma de ejecución propuesto y cumplir con todos los alcances solicitados en las cláusulas del contrato, de acuerdo con los </w:t>
      </w:r>
      <w:r w:rsidRPr="00313596">
        <w:rPr>
          <w:rFonts w:ascii="Arial" w:hAnsi="Arial" w:cs="Arial"/>
          <w:snapToGrid w:val="0"/>
          <w:sz w:val="22"/>
          <w:szCs w:val="22"/>
        </w:rPr>
        <w:t>requerimientos técnicos, planos, estudios,</w:t>
      </w:r>
      <w:r w:rsidRPr="00313596">
        <w:rPr>
          <w:rFonts w:ascii="Arial" w:hAnsi="Arial" w:cs="Arial"/>
          <w:sz w:val="22"/>
          <w:szCs w:val="22"/>
        </w:rPr>
        <w:t xml:space="preserve"> instrucciones </w:t>
      </w:r>
      <w:r w:rsidRPr="00313596">
        <w:rPr>
          <w:rFonts w:ascii="Arial" w:hAnsi="Arial" w:cs="Arial"/>
          <w:snapToGrid w:val="0"/>
          <w:sz w:val="22"/>
          <w:szCs w:val="22"/>
        </w:rPr>
        <w:t>de la</w:t>
      </w:r>
      <w:r w:rsidRPr="00313596">
        <w:rPr>
          <w:rFonts w:ascii="Arial" w:hAnsi="Arial" w:cs="Arial"/>
          <w:sz w:val="22"/>
          <w:szCs w:val="22"/>
        </w:rPr>
        <w:t xml:space="preserve"> presente </w:t>
      </w:r>
      <w:r w:rsidRPr="00313596">
        <w:rPr>
          <w:rFonts w:ascii="Arial" w:hAnsi="Arial" w:cs="Arial"/>
          <w:snapToGrid w:val="0"/>
          <w:sz w:val="22"/>
          <w:szCs w:val="22"/>
        </w:rPr>
        <w:t>licitación</w:t>
      </w:r>
      <w:r w:rsidRPr="00313596">
        <w:rPr>
          <w:rFonts w:ascii="Arial" w:hAnsi="Arial" w:cs="Arial"/>
          <w:sz w:val="22"/>
          <w:szCs w:val="22"/>
        </w:rPr>
        <w:t>.</w:t>
      </w:r>
    </w:p>
    <w:p w14:paraId="1BEA3053" w14:textId="77777777" w:rsidR="008C0885" w:rsidRPr="00313596" w:rsidRDefault="008C0885" w:rsidP="000C6174">
      <w:pPr>
        <w:spacing w:before="60" w:after="60"/>
        <w:ind w:right="162"/>
        <w:rPr>
          <w:rFonts w:ascii="Arial" w:hAnsi="Arial" w:cs="Arial"/>
          <w:color w:val="000000"/>
          <w:sz w:val="22"/>
          <w:szCs w:val="22"/>
          <w:lang w:val="es-HN"/>
        </w:rPr>
      </w:pPr>
      <w:r w:rsidRPr="00313596">
        <w:rPr>
          <w:rFonts w:ascii="Arial" w:hAnsi="Arial" w:cs="Arial"/>
          <w:color w:val="000000"/>
          <w:sz w:val="22"/>
          <w:szCs w:val="22"/>
          <w:lang w:val="es-HN"/>
        </w:rPr>
        <w:t>La firma del suscrito en este documento está debidamente autorizada para firmar por y en nombre de (</w:t>
      </w:r>
      <w:r w:rsidRPr="00313596">
        <w:rPr>
          <w:rFonts w:ascii="Arial" w:hAnsi="Arial" w:cs="Arial"/>
          <w:i/>
          <w:color w:val="FF0000"/>
          <w:sz w:val="22"/>
          <w:szCs w:val="22"/>
          <w:lang w:val="es-HN"/>
        </w:rPr>
        <w:t>nombre completo del oferente</w:t>
      </w:r>
      <w:r w:rsidRPr="00313596">
        <w:rPr>
          <w:rFonts w:ascii="Arial" w:hAnsi="Arial" w:cs="Arial"/>
          <w:color w:val="000000"/>
          <w:sz w:val="22"/>
          <w:szCs w:val="22"/>
          <w:lang w:val="es-HN"/>
        </w:rPr>
        <w:t>) y garantiza la verdad y exactitud de todas las declaraciones y documentos incluidos.</w:t>
      </w:r>
    </w:p>
    <w:p w14:paraId="024CAB03" w14:textId="77777777" w:rsidR="008C0885" w:rsidRPr="00313596" w:rsidRDefault="008C0885" w:rsidP="000C6174">
      <w:pPr>
        <w:spacing w:before="120" w:after="60"/>
        <w:ind w:right="158"/>
        <w:rPr>
          <w:rFonts w:ascii="Arial" w:hAnsi="Arial" w:cs="Arial"/>
          <w:sz w:val="22"/>
          <w:szCs w:val="22"/>
          <w:lang w:val="es-HN"/>
        </w:rPr>
      </w:pPr>
    </w:p>
    <w:p w14:paraId="524930CF" w14:textId="77777777" w:rsidR="0086201A" w:rsidRPr="00344818" w:rsidRDefault="0086201A" w:rsidP="0086201A">
      <w:pPr>
        <w:spacing w:before="120" w:after="60"/>
        <w:ind w:right="158"/>
        <w:rPr>
          <w:rFonts w:ascii="Arial" w:hAnsi="Arial" w:cs="Arial"/>
          <w:sz w:val="22"/>
          <w:szCs w:val="22"/>
          <w:lang w:val="es-HN"/>
        </w:rPr>
      </w:pPr>
      <w:r w:rsidRPr="00344818">
        <w:rPr>
          <w:rFonts w:ascii="Arial" w:hAnsi="Arial" w:cs="Arial"/>
          <w:sz w:val="22"/>
          <w:szCs w:val="22"/>
          <w:lang w:val="es-HN"/>
        </w:rPr>
        <w:t>Fechado en __________ el día_____ del mes de ___________ del año ______.</w:t>
      </w:r>
    </w:p>
    <w:p w14:paraId="5CE2612C" w14:textId="77777777" w:rsidR="0086201A" w:rsidRPr="00344818" w:rsidRDefault="0086201A" w:rsidP="0086201A">
      <w:pPr>
        <w:spacing w:before="60" w:after="60"/>
        <w:ind w:right="162"/>
        <w:rPr>
          <w:rFonts w:ascii="Arial" w:hAnsi="Arial" w:cs="Arial"/>
          <w:sz w:val="22"/>
          <w:szCs w:val="22"/>
          <w:lang w:val="es-HN"/>
        </w:rPr>
      </w:pPr>
      <w:r w:rsidRPr="00344818">
        <w:rPr>
          <w:rFonts w:ascii="Arial" w:hAnsi="Arial" w:cs="Arial"/>
          <w:sz w:val="22"/>
          <w:szCs w:val="22"/>
          <w:lang w:val="es-HN"/>
        </w:rPr>
        <w:t>Nombre de la Empresa o APCA ______________________</w:t>
      </w:r>
    </w:p>
    <w:p w14:paraId="73B6BC02" w14:textId="77777777" w:rsidR="0086201A" w:rsidRPr="00344818" w:rsidRDefault="0086201A" w:rsidP="0086201A">
      <w:pPr>
        <w:spacing w:before="60" w:after="60"/>
        <w:ind w:right="162"/>
        <w:rPr>
          <w:rFonts w:ascii="Arial" w:hAnsi="Arial" w:cs="Arial"/>
          <w:sz w:val="22"/>
          <w:szCs w:val="22"/>
          <w:lang w:val="es-HN"/>
        </w:rPr>
      </w:pPr>
      <w:r w:rsidRPr="00344818">
        <w:rPr>
          <w:rFonts w:ascii="Arial" w:hAnsi="Arial" w:cs="Arial"/>
          <w:sz w:val="22"/>
          <w:szCs w:val="22"/>
          <w:lang w:val="es-HN"/>
        </w:rPr>
        <w:t>Cargo del Firmante ______________________</w:t>
      </w:r>
    </w:p>
    <w:p w14:paraId="44578F90" w14:textId="77777777" w:rsidR="0086201A" w:rsidRPr="00344818" w:rsidRDefault="0086201A" w:rsidP="0086201A">
      <w:pPr>
        <w:spacing w:before="60" w:after="60"/>
        <w:ind w:right="162"/>
        <w:rPr>
          <w:rFonts w:ascii="Arial" w:hAnsi="Arial" w:cs="Arial"/>
          <w:sz w:val="22"/>
          <w:szCs w:val="22"/>
          <w:lang w:val="es-HN"/>
        </w:rPr>
      </w:pPr>
      <w:r w:rsidRPr="00344818">
        <w:rPr>
          <w:rFonts w:ascii="Arial" w:hAnsi="Arial" w:cs="Arial"/>
          <w:sz w:val="22"/>
          <w:szCs w:val="22"/>
          <w:lang w:val="es-HN"/>
        </w:rPr>
        <w:t>Nombre y firma del representante legal ______________________</w:t>
      </w:r>
    </w:p>
    <w:p w14:paraId="6E2B6472" w14:textId="77777777" w:rsidR="0086201A" w:rsidRPr="00344818" w:rsidRDefault="0086201A" w:rsidP="0086201A">
      <w:pPr>
        <w:spacing w:before="60" w:after="60"/>
        <w:ind w:right="162"/>
        <w:rPr>
          <w:rFonts w:ascii="Arial" w:hAnsi="Arial" w:cs="Arial"/>
          <w:color w:val="000000"/>
          <w:sz w:val="22"/>
          <w:szCs w:val="22"/>
          <w:lang w:val="es-HN"/>
        </w:rPr>
      </w:pPr>
      <w:r w:rsidRPr="00344818">
        <w:rPr>
          <w:rFonts w:ascii="Arial" w:hAnsi="Arial" w:cs="Arial"/>
          <w:color w:val="000000"/>
          <w:sz w:val="22"/>
          <w:szCs w:val="22"/>
          <w:lang w:val="es-HN"/>
        </w:rPr>
        <w:t>Dirección: _________________________________</w:t>
      </w:r>
    </w:p>
    <w:p w14:paraId="11B96127" w14:textId="77777777" w:rsidR="0086201A" w:rsidRPr="00344818" w:rsidRDefault="0086201A" w:rsidP="0086201A">
      <w:pPr>
        <w:spacing w:before="60" w:after="60"/>
        <w:ind w:right="162"/>
        <w:rPr>
          <w:rFonts w:ascii="Arial" w:hAnsi="Arial" w:cs="Arial"/>
          <w:color w:val="000000"/>
          <w:sz w:val="22"/>
          <w:szCs w:val="22"/>
          <w:lang w:val="es-HN"/>
        </w:rPr>
      </w:pPr>
      <w:r w:rsidRPr="00344818">
        <w:rPr>
          <w:rFonts w:ascii="Arial" w:hAnsi="Arial" w:cs="Arial"/>
          <w:color w:val="000000"/>
          <w:sz w:val="22"/>
          <w:szCs w:val="22"/>
          <w:lang w:val="es-HN"/>
        </w:rPr>
        <w:t>Teléfono: __________________________________</w:t>
      </w:r>
    </w:p>
    <w:p w14:paraId="0FD0D2D6" w14:textId="77777777" w:rsidR="0086201A" w:rsidRPr="00344818" w:rsidRDefault="0086201A" w:rsidP="0086201A">
      <w:pPr>
        <w:spacing w:before="60" w:after="60"/>
        <w:ind w:right="162"/>
        <w:rPr>
          <w:rFonts w:ascii="Arial" w:hAnsi="Arial" w:cs="Arial"/>
          <w:color w:val="000000"/>
          <w:sz w:val="22"/>
          <w:szCs w:val="22"/>
          <w:lang w:val="es-HN"/>
        </w:rPr>
      </w:pPr>
      <w:r w:rsidRPr="00344818">
        <w:rPr>
          <w:rFonts w:ascii="Arial" w:hAnsi="Arial" w:cs="Arial"/>
          <w:color w:val="000000"/>
          <w:sz w:val="22"/>
          <w:szCs w:val="22"/>
          <w:lang w:val="es-HN"/>
        </w:rPr>
        <w:t>Correo Electrónico: __________________________</w:t>
      </w:r>
    </w:p>
    <w:p w14:paraId="59352206" w14:textId="77777777" w:rsidR="0086201A" w:rsidRPr="00344818" w:rsidRDefault="0086201A" w:rsidP="0086201A">
      <w:pPr>
        <w:spacing w:before="60" w:after="60"/>
        <w:ind w:right="162"/>
        <w:rPr>
          <w:rFonts w:ascii="Arial" w:hAnsi="Arial" w:cs="Arial"/>
          <w:color w:val="000000"/>
          <w:sz w:val="22"/>
          <w:szCs w:val="22"/>
          <w:lang w:val="es-HN"/>
        </w:rPr>
      </w:pPr>
      <w:r w:rsidRPr="00344818">
        <w:rPr>
          <w:rFonts w:ascii="Arial" w:hAnsi="Arial" w:cs="Arial"/>
          <w:color w:val="000000"/>
          <w:sz w:val="22"/>
          <w:szCs w:val="22"/>
          <w:lang w:val="es-HN"/>
        </w:rPr>
        <w:t>Número RUC:___________________</w:t>
      </w:r>
    </w:p>
    <w:p w14:paraId="6667288E" w14:textId="77777777" w:rsidR="008C0885" w:rsidRPr="00313596" w:rsidRDefault="008C0885" w:rsidP="000C6174">
      <w:pPr>
        <w:spacing w:before="60" w:after="60"/>
        <w:ind w:right="162"/>
        <w:rPr>
          <w:rFonts w:ascii="Arial" w:hAnsi="Arial" w:cs="Arial"/>
          <w:color w:val="000000"/>
          <w:sz w:val="22"/>
          <w:szCs w:val="22"/>
          <w:lang w:val="es-HN"/>
        </w:rPr>
      </w:pPr>
    </w:p>
    <w:p w14:paraId="1E8BAA67" w14:textId="77777777" w:rsidR="008C0885" w:rsidRPr="00313596" w:rsidRDefault="008C0885" w:rsidP="000C6174">
      <w:pPr>
        <w:spacing w:before="60" w:after="60"/>
        <w:ind w:right="162"/>
        <w:rPr>
          <w:rFonts w:ascii="Arial" w:hAnsi="Arial" w:cs="Arial"/>
          <w:color w:val="000000"/>
          <w:sz w:val="22"/>
          <w:szCs w:val="22"/>
          <w:lang w:val="es-HN"/>
        </w:rPr>
      </w:pPr>
      <w:r w:rsidRPr="00313596">
        <w:rPr>
          <w:rFonts w:ascii="Arial" w:hAnsi="Arial" w:cs="Arial"/>
          <w:color w:val="000000"/>
          <w:sz w:val="22"/>
          <w:szCs w:val="22"/>
          <w:lang w:val="es-HN"/>
        </w:rPr>
        <w:t>Forman Parte de la presenta carta:</w:t>
      </w:r>
    </w:p>
    <w:p w14:paraId="6F14EA96" w14:textId="77777777" w:rsidR="008C0885" w:rsidRPr="00313596" w:rsidRDefault="008C0885" w:rsidP="000C6174">
      <w:pPr>
        <w:pStyle w:val="explanatorynotes"/>
        <w:spacing w:after="120" w:line="240" w:lineRule="auto"/>
        <w:jc w:val="left"/>
        <w:rPr>
          <w:rFonts w:cs="Arial"/>
          <w:color w:val="000000"/>
          <w:sz w:val="22"/>
          <w:szCs w:val="22"/>
          <w:lang w:val="es-HN"/>
        </w:rPr>
      </w:pPr>
      <w:r w:rsidRPr="00313596">
        <w:rPr>
          <w:rFonts w:cs="Arial"/>
          <w:color w:val="000000"/>
          <w:sz w:val="22"/>
          <w:szCs w:val="22"/>
          <w:lang w:val="es-HN"/>
        </w:rPr>
        <w:t xml:space="preserve">Anexo 1: </w:t>
      </w:r>
      <w:r w:rsidRPr="00313596">
        <w:rPr>
          <w:rFonts w:cs="Arial"/>
          <w:color w:val="FF0000"/>
          <w:sz w:val="22"/>
          <w:szCs w:val="22"/>
          <w:lang w:val="es-HN"/>
        </w:rPr>
        <w:t>Lista Estimada de Cantidades y sus Precios Unitarios / Calendario de actividades</w:t>
      </w:r>
    </w:p>
    <w:p w14:paraId="10786D0A" w14:textId="77777777" w:rsidR="008C0885" w:rsidRPr="00313596" w:rsidRDefault="008C0885" w:rsidP="000C6174">
      <w:pPr>
        <w:spacing w:before="60" w:after="60"/>
        <w:ind w:right="162"/>
        <w:rPr>
          <w:rFonts w:ascii="Arial" w:hAnsi="Arial" w:cs="Arial"/>
          <w:color w:val="000000"/>
          <w:sz w:val="22"/>
          <w:szCs w:val="22"/>
          <w:lang w:val="es-HN"/>
        </w:rPr>
      </w:pPr>
      <w:r w:rsidRPr="00313596">
        <w:rPr>
          <w:rFonts w:ascii="Arial" w:hAnsi="Arial" w:cs="Arial"/>
          <w:color w:val="000000"/>
          <w:sz w:val="22"/>
          <w:szCs w:val="22"/>
          <w:lang w:val="es-HN"/>
        </w:rPr>
        <w:t xml:space="preserve">Anexo 2: CC-4 Declaración </w:t>
      </w:r>
      <w:r w:rsidR="005002FF">
        <w:rPr>
          <w:rFonts w:ascii="Arial" w:hAnsi="Arial" w:cs="Arial"/>
          <w:color w:val="000000"/>
          <w:sz w:val="22"/>
          <w:szCs w:val="22"/>
          <w:lang w:val="es-HN"/>
        </w:rPr>
        <w:t>Notarial</w:t>
      </w:r>
    </w:p>
    <w:p w14:paraId="76FBC583" w14:textId="77777777" w:rsidR="008C0885" w:rsidRPr="00313596" w:rsidRDefault="008C0885" w:rsidP="000C6174">
      <w:pPr>
        <w:spacing w:before="60" w:after="60"/>
        <w:ind w:right="162"/>
        <w:rPr>
          <w:rFonts w:ascii="Arial" w:hAnsi="Arial" w:cs="Arial"/>
          <w:color w:val="000000"/>
          <w:sz w:val="22"/>
          <w:szCs w:val="22"/>
          <w:lang w:val="es-HN"/>
        </w:rPr>
      </w:pPr>
      <w:r w:rsidRPr="00313596">
        <w:rPr>
          <w:rFonts w:ascii="Arial" w:hAnsi="Arial" w:cs="Arial"/>
          <w:color w:val="000000"/>
          <w:sz w:val="22"/>
          <w:szCs w:val="22"/>
          <w:lang w:val="es-HN"/>
        </w:rPr>
        <w:t>Anexo 3: TEC – 4 Cronograma de ejecución</w:t>
      </w:r>
    </w:p>
    <w:p w14:paraId="33D52B3A" w14:textId="77777777" w:rsidR="008C0885" w:rsidRPr="00313596" w:rsidRDefault="008C0885">
      <w:pPr>
        <w:jc w:val="left"/>
        <w:rPr>
          <w:rFonts w:ascii="Arial" w:hAnsi="Arial" w:cs="Arial"/>
          <w:b/>
          <w:sz w:val="22"/>
          <w:szCs w:val="22"/>
        </w:rPr>
      </w:pPr>
      <w:r w:rsidRPr="00313596">
        <w:rPr>
          <w:rFonts w:ascii="Arial" w:hAnsi="Arial" w:cs="Arial"/>
          <w:b/>
          <w:sz w:val="22"/>
          <w:szCs w:val="22"/>
        </w:rPr>
        <w:br w:type="page"/>
      </w:r>
    </w:p>
    <w:p w14:paraId="13E814A2"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r w:rsidRPr="00313596">
        <w:rPr>
          <w:rFonts w:ascii="Arial" w:hAnsi="Arial" w:cs="Arial"/>
          <w:b/>
          <w:sz w:val="22"/>
          <w:szCs w:val="22"/>
        </w:rPr>
        <w:lastRenderedPageBreak/>
        <w:t>FORMULARIO CC-2</w:t>
      </w:r>
    </w:p>
    <w:p w14:paraId="496C460B" w14:textId="77777777" w:rsidR="008C0885" w:rsidRPr="00313596" w:rsidRDefault="008C0885" w:rsidP="000C6174">
      <w:pPr>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Arial" w:hAnsi="Arial" w:cs="Arial"/>
          <w:i/>
          <w:color w:val="FF0000"/>
          <w:sz w:val="22"/>
          <w:szCs w:val="22"/>
          <w:lang w:val="es-HN"/>
        </w:rPr>
      </w:pPr>
      <w:r w:rsidRPr="00313596">
        <w:rPr>
          <w:rFonts w:ascii="Arial" w:hAnsi="Arial" w:cs="Arial"/>
          <w:i/>
          <w:color w:val="FF0000"/>
          <w:sz w:val="22"/>
          <w:szCs w:val="22"/>
          <w:lang w:val="es-HN"/>
        </w:rPr>
        <w:t>Aplica en caso de ofertas presentadas por empresas tengan la intención de formar una Asociaciones en participación, consorcio u otras formas de asociación (APCA)</w:t>
      </w:r>
    </w:p>
    <w:p w14:paraId="59C800D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 w:val="22"/>
          <w:szCs w:val="22"/>
        </w:rPr>
      </w:pPr>
    </w:p>
    <w:p w14:paraId="68D61B90" w14:textId="77777777" w:rsidR="008C0885" w:rsidRPr="00313596" w:rsidRDefault="008C0885" w:rsidP="000C6174">
      <w:pPr>
        <w:pStyle w:val="i"/>
        <w:jc w:val="center"/>
        <w:rPr>
          <w:rFonts w:ascii="Arial" w:hAnsi="Arial" w:cs="Arial"/>
          <w:b/>
          <w:sz w:val="22"/>
          <w:szCs w:val="22"/>
        </w:rPr>
      </w:pPr>
      <w:r w:rsidRPr="00313596">
        <w:rPr>
          <w:rFonts w:ascii="Arial" w:hAnsi="Arial" w:cs="Arial"/>
          <w:b/>
          <w:sz w:val="22"/>
          <w:szCs w:val="22"/>
        </w:rPr>
        <w:t>Intención de Asociación en Participación, Consorcio o Asociación (APCA)</w:t>
      </w:r>
    </w:p>
    <w:p w14:paraId="78EC581F" w14:textId="77777777" w:rsidR="008C0885" w:rsidRPr="00313596" w:rsidRDefault="008C0885" w:rsidP="000C6174">
      <w:pPr>
        <w:pStyle w:val="i"/>
        <w:rPr>
          <w:rFonts w:ascii="Arial" w:hAnsi="Arial" w:cs="Arial"/>
          <w:sz w:val="22"/>
          <w:szCs w:val="22"/>
        </w:rPr>
      </w:pPr>
    </w:p>
    <w:p w14:paraId="1DFDA449" w14:textId="77777777" w:rsidR="008C0885" w:rsidRPr="00313596" w:rsidRDefault="008C0885" w:rsidP="000C6174">
      <w:pPr>
        <w:ind w:right="162"/>
        <w:rPr>
          <w:rFonts w:ascii="Arial" w:hAnsi="Arial" w:cs="Arial"/>
          <w:color w:val="FF0000"/>
          <w:sz w:val="22"/>
          <w:szCs w:val="22"/>
        </w:rPr>
      </w:pPr>
      <w:r w:rsidRPr="00313596">
        <w:rPr>
          <w:rFonts w:ascii="Arial" w:hAnsi="Arial" w:cs="Arial"/>
          <w:sz w:val="22"/>
          <w:szCs w:val="22"/>
        </w:rPr>
        <w:t xml:space="preserve">Señores: </w:t>
      </w:r>
      <w:r w:rsidRPr="00313596">
        <w:rPr>
          <w:rFonts w:ascii="Arial" w:hAnsi="Arial" w:cs="Arial"/>
          <w:i/>
          <w:color w:val="FF0000"/>
          <w:sz w:val="22"/>
          <w:szCs w:val="22"/>
          <w:lang w:val="es-HN"/>
        </w:rPr>
        <w:t xml:space="preserve">(Nombre del Contratante) </w:t>
      </w:r>
      <w:r w:rsidRPr="00313596">
        <w:rPr>
          <w:rFonts w:ascii="Arial" w:hAnsi="Arial" w:cs="Arial"/>
          <w:sz w:val="22"/>
          <w:szCs w:val="22"/>
        </w:rPr>
        <w:t xml:space="preserve">del Proceso No.  </w:t>
      </w:r>
      <w:r w:rsidRPr="00313596">
        <w:rPr>
          <w:rFonts w:ascii="Arial" w:hAnsi="Arial" w:cs="Arial"/>
          <w:i/>
          <w:color w:val="FF0000"/>
          <w:sz w:val="22"/>
          <w:szCs w:val="22"/>
        </w:rPr>
        <w:t>(indicar nombre y número de proceso)</w:t>
      </w:r>
    </w:p>
    <w:p w14:paraId="26944449" w14:textId="77777777" w:rsidR="008C0885" w:rsidRPr="00313596" w:rsidRDefault="008C0885" w:rsidP="000C6174">
      <w:pPr>
        <w:pStyle w:val="i"/>
        <w:rPr>
          <w:rFonts w:ascii="Arial" w:hAnsi="Arial" w:cs="Arial"/>
          <w:sz w:val="22"/>
          <w:szCs w:val="22"/>
        </w:rPr>
      </w:pPr>
    </w:p>
    <w:p w14:paraId="210C6E1A" w14:textId="77777777" w:rsidR="008C0885" w:rsidRPr="00313596" w:rsidRDefault="008C0885" w:rsidP="000C6174">
      <w:pPr>
        <w:suppressAutoHyphens/>
        <w:spacing w:before="120" w:after="120"/>
        <w:rPr>
          <w:rFonts w:ascii="Arial" w:hAnsi="Arial" w:cs="Arial"/>
          <w:sz w:val="22"/>
          <w:szCs w:val="22"/>
        </w:rPr>
      </w:pPr>
      <w:r w:rsidRPr="00313596">
        <w:rPr>
          <w:rFonts w:ascii="Arial" w:hAnsi="Arial" w:cs="Arial"/>
          <w:sz w:val="22"/>
          <w:szCs w:val="22"/>
        </w:rPr>
        <w:t>De nuestra consideración:</w:t>
      </w:r>
    </w:p>
    <w:p w14:paraId="74E89D28" w14:textId="77777777" w:rsidR="008C0885" w:rsidRPr="00313596" w:rsidRDefault="008C0885" w:rsidP="001632F8">
      <w:pPr>
        <w:suppressAutoHyphens/>
        <w:rPr>
          <w:rFonts w:ascii="Arial" w:hAnsi="Arial" w:cs="Arial"/>
          <w:sz w:val="22"/>
          <w:szCs w:val="22"/>
        </w:rPr>
      </w:pPr>
      <w:r w:rsidRPr="00313596">
        <w:rPr>
          <w:rFonts w:ascii="Arial" w:hAnsi="Arial" w:cs="Arial"/>
          <w:sz w:val="22"/>
          <w:szCs w:val="22"/>
        </w:rPr>
        <w:t xml:space="preserve">Por la presente declaramos Intención de formar una Asociación en Participación, Consorcio o Asociación (APCA) en la que los miembros participantes seamos conjunta y solidariamente responsables, bajo las siguientes consideraciones: </w:t>
      </w:r>
    </w:p>
    <w:p w14:paraId="1AE1ECD6" w14:textId="77777777" w:rsidR="008C0885" w:rsidRPr="00313596" w:rsidRDefault="008C0885" w:rsidP="000C6174">
      <w:pPr>
        <w:suppressAutoHyphens/>
        <w:spacing w:before="120" w:after="120"/>
        <w:rPr>
          <w:rFonts w:ascii="Arial" w:hAnsi="Arial" w:cs="Arial"/>
          <w:sz w:val="22"/>
          <w:szCs w:val="22"/>
        </w:rPr>
      </w:pPr>
      <w:r w:rsidRPr="00313596">
        <w:rPr>
          <w:rFonts w:ascii="Arial" w:hAnsi="Arial" w:cs="Arial"/>
          <w:sz w:val="22"/>
          <w:szCs w:val="22"/>
        </w:rPr>
        <w:t>Nombre del APCA:</w:t>
      </w:r>
      <w:r w:rsidR="00313596">
        <w:rPr>
          <w:rFonts w:ascii="Arial" w:hAnsi="Arial" w:cs="Arial"/>
          <w:sz w:val="22"/>
          <w:szCs w:val="22"/>
        </w:rPr>
        <w:t xml:space="preserve"> </w:t>
      </w:r>
      <w:r w:rsidRPr="00313596">
        <w:rPr>
          <w:rFonts w:ascii="Arial" w:hAnsi="Arial" w:cs="Arial"/>
          <w:sz w:val="22"/>
          <w:szCs w:val="22"/>
        </w:rPr>
        <w:t>___________________________</w:t>
      </w:r>
      <w:r w:rsidR="00834D92" w:rsidRPr="00313596">
        <w:rPr>
          <w:rFonts w:ascii="Arial" w:hAnsi="Arial" w:cs="Arial"/>
          <w:sz w:val="22"/>
          <w:szCs w:val="22"/>
        </w:rPr>
        <w:t>_</w:t>
      </w:r>
      <w:r w:rsidRPr="00313596">
        <w:rPr>
          <w:rFonts w:ascii="Arial" w:hAnsi="Arial" w:cs="Arial"/>
          <w:sz w:val="22"/>
          <w:szCs w:val="22"/>
        </w:rPr>
        <w:t>______________________</w:t>
      </w:r>
      <w:r w:rsidR="00313596">
        <w:rPr>
          <w:rFonts w:ascii="Arial" w:hAnsi="Arial" w:cs="Arial"/>
          <w:sz w:val="22"/>
          <w:szCs w:val="22"/>
        </w:rPr>
        <w:t>__________</w:t>
      </w:r>
      <w:r w:rsidRPr="00313596">
        <w:rPr>
          <w:rFonts w:ascii="Arial" w:hAnsi="Arial" w:cs="Arial"/>
          <w:sz w:val="22"/>
          <w:szCs w:val="22"/>
        </w:rPr>
        <w:t xml:space="preserve"> </w:t>
      </w:r>
    </w:p>
    <w:p w14:paraId="68479765" w14:textId="77777777" w:rsidR="008C0885" w:rsidRPr="00313596" w:rsidRDefault="008C0885" w:rsidP="001632F8">
      <w:pPr>
        <w:suppressAutoHyphens/>
        <w:spacing w:before="120" w:after="120"/>
        <w:jc w:val="left"/>
        <w:rPr>
          <w:rFonts w:ascii="Arial" w:hAnsi="Arial" w:cs="Arial"/>
          <w:sz w:val="22"/>
          <w:szCs w:val="22"/>
        </w:rPr>
      </w:pPr>
      <w:r w:rsidRPr="00313596">
        <w:rPr>
          <w:rFonts w:ascii="Arial" w:hAnsi="Arial" w:cs="Arial"/>
          <w:sz w:val="22"/>
          <w:szCs w:val="22"/>
        </w:rPr>
        <w:t>Persona Jurídica líder del APCA: _________________</w:t>
      </w:r>
      <w:r w:rsidR="00834D92" w:rsidRPr="00313596">
        <w:rPr>
          <w:rFonts w:ascii="Arial" w:hAnsi="Arial" w:cs="Arial"/>
          <w:sz w:val="22"/>
          <w:szCs w:val="22"/>
        </w:rPr>
        <w:t>_</w:t>
      </w:r>
      <w:r w:rsidRPr="00313596">
        <w:rPr>
          <w:rFonts w:ascii="Arial" w:hAnsi="Arial" w:cs="Arial"/>
          <w:sz w:val="22"/>
          <w:szCs w:val="22"/>
        </w:rPr>
        <w:t>_____________________</w:t>
      </w:r>
      <w:r w:rsidR="00313596">
        <w:rPr>
          <w:rFonts w:ascii="Arial" w:hAnsi="Arial" w:cs="Arial"/>
          <w:sz w:val="22"/>
          <w:szCs w:val="22"/>
        </w:rPr>
        <w:t>__________</w:t>
      </w:r>
    </w:p>
    <w:p w14:paraId="1D87ECBD" w14:textId="77777777" w:rsidR="008C0885" w:rsidRPr="00313596" w:rsidRDefault="008C0885" w:rsidP="001632F8">
      <w:pPr>
        <w:suppressAutoHyphens/>
        <w:spacing w:before="120" w:after="120"/>
        <w:jc w:val="left"/>
        <w:rPr>
          <w:rFonts w:ascii="Arial" w:hAnsi="Arial" w:cs="Arial"/>
          <w:sz w:val="22"/>
          <w:szCs w:val="22"/>
        </w:rPr>
      </w:pPr>
      <w:r w:rsidRPr="00313596">
        <w:rPr>
          <w:rFonts w:ascii="Arial" w:hAnsi="Arial" w:cs="Arial"/>
          <w:sz w:val="22"/>
          <w:szCs w:val="22"/>
        </w:rPr>
        <w:t>Fecha estimada de constitución: ___________________</w:t>
      </w:r>
      <w:r w:rsidR="00834D92" w:rsidRPr="00313596">
        <w:rPr>
          <w:rFonts w:ascii="Arial" w:hAnsi="Arial" w:cs="Arial"/>
          <w:sz w:val="22"/>
          <w:szCs w:val="22"/>
        </w:rPr>
        <w:t>_</w:t>
      </w:r>
      <w:r w:rsidRPr="00313596">
        <w:rPr>
          <w:rFonts w:ascii="Arial" w:hAnsi="Arial" w:cs="Arial"/>
          <w:sz w:val="22"/>
          <w:szCs w:val="22"/>
        </w:rPr>
        <w:t>____________________</w:t>
      </w:r>
      <w:r w:rsidR="00313596">
        <w:rPr>
          <w:rFonts w:ascii="Arial" w:hAnsi="Arial" w:cs="Arial"/>
          <w:sz w:val="22"/>
          <w:szCs w:val="22"/>
        </w:rPr>
        <w:t>_________</w:t>
      </w:r>
      <w:r w:rsidRPr="00313596">
        <w:rPr>
          <w:rFonts w:ascii="Arial" w:hAnsi="Arial" w:cs="Arial"/>
          <w:sz w:val="22"/>
          <w:szCs w:val="22"/>
        </w:rPr>
        <w:t xml:space="preserve"> </w:t>
      </w:r>
    </w:p>
    <w:p w14:paraId="0291C97C" w14:textId="77777777" w:rsidR="008C0885" w:rsidRPr="00313596" w:rsidRDefault="008C0885" w:rsidP="001632F8">
      <w:pPr>
        <w:suppressAutoHyphens/>
        <w:spacing w:before="120" w:after="120"/>
        <w:jc w:val="left"/>
        <w:rPr>
          <w:rFonts w:ascii="Arial" w:hAnsi="Arial" w:cs="Arial"/>
          <w:sz w:val="22"/>
          <w:szCs w:val="22"/>
        </w:rPr>
      </w:pPr>
      <w:r w:rsidRPr="00313596">
        <w:rPr>
          <w:rFonts w:ascii="Arial" w:hAnsi="Arial" w:cs="Arial"/>
          <w:sz w:val="22"/>
          <w:szCs w:val="22"/>
        </w:rPr>
        <w:t>Nombre del representante legal propuesto para el APCA: _</w:t>
      </w:r>
      <w:r w:rsidR="00834D92" w:rsidRPr="00313596">
        <w:rPr>
          <w:rFonts w:ascii="Arial" w:hAnsi="Arial" w:cs="Arial"/>
          <w:sz w:val="22"/>
          <w:szCs w:val="22"/>
        </w:rPr>
        <w:t>_</w:t>
      </w:r>
      <w:r w:rsidRPr="00313596">
        <w:rPr>
          <w:rFonts w:ascii="Arial" w:hAnsi="Arial" w:cs="Arial"/>
          <w:sz w:val="22"/>
          <w:szCs w:val="22"/>
        </w:rPr>
        <w:t>_________________</w:t>
      </w:r>
      <w:r w:rsidR="00313596">
        <w:rPr>
          <w:rFonts w:ascii="Arial" w:hAnsi="Arial" w:cs="Arial"/>
          <w:sz w:val="22"/>
          <w:szCs w:val="22"/>
        </w:rPr>
        <w:t>__________</w:t>
      </w:r>
      <w:r w:rsidRPr="00313596">
        <w:rPr>
          <w:rFonts w:ascii="Arial" w:hAnsi="Arial" w:cs="Arial"/>
          <w:sz w:val="22"/>
          <w:szCs w:val="22"/>
        </w:rPr>
        <w:t xml:space="preserve">_ </w:t>
      </w:r>
    </w:p>
    <w:p w14:paraId="2DEB3DB7" w14:textId="77777777" w:rsidR="008C0885" w:rsidRPr="00313596" w:rsidRDefault="008C0885" w:rsidP="000C6174">
      <w:pPr>
        <w:suppressAutoHyphens/>
        <w:spacing w:before="120" w:after="120"/>
        <w:jc w:val="left"/>
        <w:rPr>
          <w:rFonts w:ascii="Arial" w:hAnsi="Arial" w:cs="Arial"/>
          <w:sz w:val="22"/>
          <w:szCs w:val="22"/>
        </w:rPr>
      </w:pPr>
      <w:r w:rsidRPr="00313596">
        <w:rPr>
          <w:rFonts w:ascii="Arial" w:hAnsi="Arial" w:cs="Arial"/>
          <w:sz w:val="22"/>
          <w:szCs w:val="22"/>
        </w:rPr>
        <w:t xml:space="preserve">Documento de identificación del representante legal propuesto del APCA: </w:t>
      </w:r>
      <w:r w:rsidR="00313596">
        <w:rPr>
          <w:rFonts w:ascii="Arial" w:hAnsi="Arial" w:cs="Arial"/>
          <w:sz w:val="22"/>
          <w:szCs w:val="22"/>
        </w:rPr>
        <w:t>______</w:t>
      </w:r>
      <w:r w:rsidRPr="00313596">
        <w:rPr>
          <w:rFonts w:ascii="Arial" w:hAnsi="Arial" w:cs="Arial"/>
          <w:sz w:val="22"/>
          <w:szCs w:val="22"/>
        </w:rPr>
        <w:t>___________</w:t>
      </w:r>
    </w:p>
    <w:p w14:paraId="34AB5AA5" w14:textId="77777777" w:rsidR="008C0885" w:rsidRPr="00313596" w:rsidRDefault="008C0885" w:rsidP="000C6174">
      <w:pPr>
        <w:suppressAutoHyphens/>
        <w:spacing w:before="120" w:after="120"/>
        <w:rPr>
          <w:rFonts w:ascii="Arial" w:hAnsi="Arial" w:cs="Arial"/>
          <w:sz w:val="22"/>
          <w:szCs w:val="22"/>
        </w:rPr>
      </w:pPr>
      <w:r w:rsidRPr="00313596">
        <w:rPr>
          <w:rFonts w:ascii="Arial" w:hAnsi="Arial" w:cs="Arial"/>
          <w:sz w:val="22"/>
          <w:szCs w:val="22"/>
        </w:rPr>
        <w:t>Denominación de las Personas Jurídicas que forman el APCA y su respectiva participación porcentual.</w:t>
      </w:r>
    </w:p>
    <w:tbl>
      <w:tblPr>
        <w:tblStyle w:val="Tablaconcuadrcula"/>
        <w:tblW w:w="9355" w:type="dxa"/>
        <w:tblLook w:val="04A0" w:firstRow="1" w:lastRow="0" w:firstColumn="1" w:lastColumn="0" w:noHBand="0" w:noVBand="1"/>
      </w:tblPr>
      <w:tblGrid>
        <w:gridCol w:w="3505"/>
        <w:gridCol w:w="3150"/>
        <w:gridCol w:w="2700"/>
      </w:tblGrid>
      <w:tr w:rsidR="008C0885" w:rsidRPr="00313596" w14:paraId="2C702B0D" w14:textId="77777777" w:rsidTr="00B86AF7">
        <w:tc>
          <w:tcPr>
            <w:tcW w:w="3505" w:type="dxa"/>
            <w:tcBorders>
              <w:top w:val="single" w:sz="4" w:space="0" w:color="auto"/>
              <w:left w:val="single" w:sz="4" w:space="0" w:color="auto"/>
              <w:bottom w:val="single" w:sz="4" w:space="0" w:color="auto"/>
              <w:right w:val="single" w:sz="4" w:space="0" w:color="auto"/>
            </w:tcBorders>
            <w:shd w:val="clear" w:color="auto" w:fill="00B050"/>
            <w:hideMark/>
          </w:tcPr>
          <w:p w14:paraId="2CC12929" w14:textId="77777777" w:rsidR="008C0885" w:rsidRPr="00B86AF7" w:rsidRDefault="008C0885" w:rsidP="000C6174">
            <w:pPr>
              <w:suppressAutoHyphens/>
              <w:jc w:val="center"/>
              <w:rPr>
                <w:rFonts w:ascii="Arial" w:hAnsi="Arial" w:cs="Arial"/>
                <w:color w:val="FFFFFF" w:themeColor="background1"/>
                <w:sz w:val="22"/>
                <w:szCs w:val="22"/>
                <w:lang w:eastAsia="es-HN"/>
              </w:rPr>
            </w:pPr>
            <w:r w:rsidRPr="00B86AF7">
              <w:rPr>
                <w:rFonts w:ascii="Arial" w:hAnsi="Arial" w:cs="Arial"/>
                <w:color w:val="FFFFFF" w:themeColor="background1"/>
                <w:sz w:val="22"/>
                <w:szCs w:val="22"/>
                <w:lang w:eastAsia="es-HN"/>
              </w:rPr>
              <w:t>Persona Jurídica</w:t>
            </w:r>
          </w:p>
        </w:tc>
        <w:tc>
          <w:tcPr>
            <w:tcW w:w="3150" w:type="dxa"/>
            <w:tcBorders>
              <w:top w:val="single" w:sz="4" w:space="0" w:color="auto"/>
              <w:left w:val="single" w:sz="4" w:space="0" w:color="auto"/>
              <w:bottom w:val="single" w:sz="4" w:space="0" w:color="auto"/>
              <w:right w:val="single" w:sz="4" w:space="0" w:color="auto"/>
            </w:tcBorders>
            <w:shd w:val="clear" w:color="auto" w:fill="00B050"/>
            <w:hideMark/>
          </w:tcPr>
          <w:p w14:paraId="0954CCBC" w14:textId="77777777" w:rsidR="008C0885" w:rsidRPr="00B86AF7" w:rsidRDefault="008C0885" w:rsidP="000C6174">
            <w:pPr>
              <w:suppressAutoHyphens/>
              <w:jc w:val="center"/>
              <w:rPr>
                <w:rFonts w:ascii="Arial" w:hAnsi="Arial" w:cs="Arial"/>
                <w:color w:val="FFFFFF" w:themeColor="background1"/>
                <w:sz w:val="22"/>
                <w:szCs w:val="22"/>
                <w:lang w:eastAsia="es-HN"/>
              </w:rPr>
            </w:pPr>
            <w:r w:rsidRPr="00B86AF7">
              <w:rPr>
                <w:rFonts w:ascii="Arial" w:hAnsi="Arial" w:cs="Arial"/>
                <w:color w:val="FFFFFF" w:themeColor="background1"/>
                <w:sz w:val="22"/>
                <w:szCs w:val="22"/>
                <w:lang w:eastAsia="es-HN"/>
              </w:rPr>
              <w:t>Identificación tributaria</w:t>
            </w:r>
          </w:p>
        </w:tc>
        <w:tc>
          <w:tcPr>
            <w:tcW w:w="2700" w:type="dxa"/>
            <w:tcBorders>
              <w:top w:val="single" w:sz="4" w:space="0" w:color="auto"/>
              <w:left w:val="single" w:sz="4" w:space="0" w:color="auto"/>
              <w:bottom w:val="single" w:sz="4" w:space="0" w:color="auto"/>
              <w:right w:val="single" w:sz="4" w:space="0" w:color="auto"/>
            </w:tcBorders>
            <w:shd w:val="clear" w:color="auto" w:fill="00B050"/>
            <w:hideMark/>
          </w:tcPr>
          <w:p w14:paraId="153EFCAD" w14:textId="77777777" w:rsidR="008C0885" w:rsidRPr="00B86AF7" w:rsidRDefault="008C0885" w:rsidP="000C6174">
            <w:pPr>
              <w:suppressAutoHyphens/>
              <w:jc w:val="center"/>
              <w:rPr>
                <w:rFonts w:ascii="Arial" w:hAnsi="Arial" w:cs="Arial"/>
                <w:color w:val="FFFFFF" w:themeColor="background1"/>
                <w:sz w:val="22"/>
                <w:szCs w:val="22"/>
                <w:lang w:eastAsia="es-HN"/>
              </w:rPr>
            </w:pPr>
            <w:r w:rsidRPr="00B86AF7">
              <w:rPr>
                <w:rFonts w:ascii="Arial" w:hAnsi="Arial" w:cs="Arial"/>
                <w:color w:val="FFFFFF" w:themeColor="background1"/>
                <w:sz w:val="22"/>
                <w:szCs w:val="22"/>
                <w:lang w:eastAsia="es-HN"/>
              </w:rPr>
              <w:t>Participación (%)</w:t>
            </w:r>
          </w:p>
        </w:tc>
      </w:tr>
      <w:tr w:rsidR="008C0885" w:rsidRPr="00313596" w14:paraId="14EF9631" w14:textId="77777777" w:rsidTr="003D50ED">
        <w:tc>
          <w:tcPr>
            <w:tcW w:w="3505" w:type="dxa"/>
            <w:tcBorders>
              <w:top w:val="single" w:sz="4" w:space="0" w:color="auto"/>
              <w:left w:val="single" w:sz="4" w:space="0" w:color="auto"/>
              <w:bottom w:val="single" w:sz="4" w:space="0" w:color="auto"/>
              <w:right w:val="single" w:sz="4" w:space="0" w:color="auto"/>
            </w:tcBorders>
          </w:tcPr>
          <w:p w14:paraId="66306005" w14:textId="77777777" w:rsidR="008C0885" w:rsidRPr="00313596" w:rsidDel="00324347" w:rsidRDefault="008C0885" w:rsidP="000C6174">
            <w:pPr>
              <w:suppressAutoHyphens/>
              <w:jc w:val="center"/>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68E098E6" w14:textId="77777777" w:rsidR="008C0885" w:rsidRPr="00313596" w:rsidRDefault="008C0885" w:rsidP="000C6174">
            <w:pPr>
              <w:suppressAutoHyphens/>
              <w:jc w:val="center"/>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0B569DC7" w14:textId="77777777" w:rsidR="008C0885" w:rsidRPr="00313596" w:rsidRDefault="008C0885" w:rsidP="000C6174">
            <w:pPr>
              <w:suppressAutoHyphens/>
              <w:jc w:val="center"/>
              <w:rPr>
                <w:rFonts w:ascii="Arial" w:hAnsi="Arial" w:cs="Arial"/>
                <w:sz w:val="22"/>
                <w:szCs w:val="22"/>
                <w:lang w:eastAsia="es-HN"/>
              </w:rPr>
            </w:pPr>
          </w:p>
        </w:tc>
      </w:tr>
      <w:tr w:rsidR="008C0885" w:rsidRPr="00313596" w14:paraId="5DAC6A0F" w14:textId="77777777" w:rsidTr="003D50ED">
        <w:tc>
          <w:tcPr>
            <w:tcW w:w="3505" w:type="dxa"/>
            <w:tcBorders>
              <w:top w:val="single" w:sz="4" w:space="0" w:color="auto"/>
              <w:left w:val="single" w:sz="4" w:space="0" w:color="auto"/>
              <w:bottom w:val="single" w:sz="4" w:space="0" w:color="auto"/>
              <w:right w:val="single" w:sz="4" w:space="0" w:color="auto"/>
            </w:tcBorders>
          </w:tcPr>
          <w:p w14:paraId="4661806F" w14:textId="77777777" w:rsidR="008C0885" w:rsidRPr="00313596"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258909BA" w14:textId="77777777" w:rsidR="008C0885" w:rsidRPr="00313596"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tcPr>
          <w:p w14:paraId="1546F186" w14:textId="77777777" w:rsidR="008C0885" w:rsidRPr="00313596" w:rsidRDefault="008C0885" w:rsidP="000C6174">
            <w:pPr>
              <w:suppressAutoHyphens/>
              <w:rPr>
                <w:rFonts w:ascii="Arial" w:hAnsi="Arial" w:cs="Arial"/>
                <w:sz w:val="22"/>
                <w:szCs w:val="22"/>
                <w:lang w:eastAsia="es-HN"/>
              </w:rPr>
            </w:pPr>
          </w:p>
        </w:tc>
      </w:tr>
      <w:tr w:rsidR="008C0885" w:rsidRPr="00313596" w14:paraId="2293A44E" w14:textId="77777777" w:rsidTr="003D50ED">
        <w:tc>
          <w:tcPr>
            <w:tcW w:w="3505" w:type="dxa"/>
            <w:tcBorders>
              <w:top w:val="single" w:sz="4" w:space="0" w:color="auto"/>
              <w:left w:val="single" w:sz="4" w:space="0" w:color="auto"/>
              <w:bottom w:val="single" w:sz="4" w:space="0" w:color="auto"/>
              <w:right w:val="single" w:sz="4" w:space="0" w:color="auto"/>
            </w:tcBorders>
          </w:tcPr>
          <w:p w14:paraId="3A6DAD1F" w14:textId="77777777" w:rsidR="008C0885" w:rsidRPr="00313596" w:rsidRDefault="008C0885" w:rsidP="000C6174">
            <w:pPr>
              <w:suppressAutoHyphens/>
              <w:rPr>
                <w:rFonts w:ascii="Arial" w:hAnsi="Arial" w:cs="Arial"/>
                <w:sz w:val="22"/>
                <w:szCs w:val="22"/>
                <w:lang w:eastAsia="es-HN"/>
              </w:rPr>
            </w:pPr>
          </w:p>
        </w:tc>
        <w:tc>
          <w:tcPr>
            <w:tcW w:w="3150" w:type="dxa"/>
            <w:tcBorders>
              <w:top w:val="single" w:sz="4" w:space="0" w:color="auto"/>
              <w:left w:val="single" w:sz="4" w:space="0" w:color="auto"/>
              <w:bottom w:val="single" w:sz="4" w:space="0" w:color="auto"/>
              <w:right w:val="single" w:sz="4" w:space="0" w:color="auto"/>
            </w:tcBorders>
          </w:tcPr>
          <w:p w14:paraId="1C9758C7" w14:textId="77777777" w:rsidR="008C0885" w:rsidRPr="00313596" w:rsidRDefault="008C0885" w:rsidP="000C6174">
            <w:pPr>
              <w:suppressAutoHyphens/>
              <w:rPr>
                <w:rFonts w:ascii="Arial" w:hAnsi="Arial" w:cs="Arial"/>
                <w:sz w:val="22"/>
                <w:szCs w:val="22"/>
                <w:lang w:eastAsia="es-HN"/>
              </w:rPr>
            </w:pPr>
          </w:p>
        </w:tc>
        <w:tc>
          <w:tcPr>
            <w:tcW w:w="2700" w:type="dxa"/>
            <w:tcBorders>
              <w:top w:val="single" w:sz="4" w:space="0" w:color="auto"/>
              <w:left w:val="single" w:sz="4" w:space="0" w:color="auto"/>
              <w:bottom w:val="single" w:sz="4" w:space="0" w:color="auto"/>
              <w:right w:val="single" w:sz="4" w:space="0" w:color="auto"/>
            </w:tcBorders>
            <w:hideMark/>
          </w:tcPr>
          <w:p w14:paraId="75358DF3" w14:textId="77777777" w:rsidR="008C0885" w:rsidRPr="00313596" w:rsidRDefault="008C0885" w:rsidP="000C6174">
            <w:pPr>
              <w:suppressAutoHyphens/>
              <w:rPr>
                <w:rFonts w:ascii="Arial" w:hAnsi="Arial" w:cs="Arial"/>
                <w:sz w:val="22"/>
                <w:szCs w:val="22"/>
                <w:lang w:eastAsia="es-HN"/>
              </w:rPr>
            </w:pPr>
            <w:r w:rsidRPr="00313596">
              <w:rPr>
                <w:rFonts w:ascii="Arial" w:hAnsi="Arial" w:cs="Arial"/>
                <w:sz w:val="22"/>
                <w:szCs w:val="22"/>
                <w:lang w:eastAsia="es-HN"/>
              </w:rPr>
              <w:t>Total 100%</w:t>
            </w:r>
          </w:p>
        </w:tc>
      </w:tr>
    </w:tbl>
    <w:p w14:paraId="15131616" w14:textId="77777777" w:rsidR="008C0885" w:rsidRPr="00313596" w:rsidRDefault="008C0885" w:rsidP="000C6174">
      <w:pPr>
        <w:pStyle w:val="i"/>
        <w:rPr>
          <w:rFonts w:ascii="Arial" w:hAnsi="Arial" w:cs="Arial"/>
          <w:sz w:val="22"/>
          <w:szCs w:val="22"/>
        </w:rPr>
      </w:pPr>
    </w:p>
    <w:p w14:paraId="184303FD" w14:textId="77777777" w:rsidR="008C0885" w:rsidRPr="00313596" w:rsidRDefault="008C0885" w:rsidP="000C6174">
      <w:pPr>
        <w:pStyle w:val="i"/>
        <w:rPr>
          <w:rFonts w:ascii="Arial" w:hAnsi="Arial" w:cs="Arial"/>
          <w:sz w:val="22"/>
          <w:szCs w:val="22"/>
        </w:rPr>
      </w:pPr>
      <w:r w:rsidRPr="00313596">
        <w:rPr>
          <w:rFonts w:ascii="Arial" w:hAnsi="Arial" w:cs="Arial"/>
          <w:sz w:val="22"/>
          <w:szCs w:val="22"/>
        </w:rPr>
        <w:t>Atentamente,</w:t>
      </w:r>
    </w:p>
    <w:p w14:paraId="5DFCCB03" w14:textId="77777777" w:rsidR="008C0885" w:rsidRPr="00313596" w:rsidRDefault="008C0885" w:rsidP="000C6174">
      <w:pPr>
        <w:pStyle w:val="i"/>
        <w:rPr>
          <w:rFonts w:ascii="Arial" w:hAnsi="Arial" w:cs="Arial"/>
          <w:sz w:val="22"/>
          <w:szCs w:val="22"/>
        </w:rPr>
      </w:pPr>
    </w:p>
    <w:p w14:paraId="46052495" w14:textId="77777777" w:rsidR="0086201A" w:rsidRPr="00344818" w:rsidRDefault="0086201A" w:rsidP="0086201A">
      <w:pPr>
        <w:pStyle w:val="i"/>
        <w:rPr>
          <w:rFonts w:ascii="Arial" w:hAnsi="Arial" w:cs="Arial"/>
          <w:i/>
          <w:sz w:val="22"/>
          <w:szCs w:val="22"/>
        </w:rPr>
      </w:pPr>
      <w:r w:rsidRPr="00344818">
        <w:rPr>
          <w:rFonts w:ascii="Arial" w:hAnsi="Arial" w:cs="Arial"/>
          <w:sz w:val="22"/>
          <w:szCs w:val="22"/>
        </w:rPr>
        <w:t>Representante Legal (Persona Jurídica 1)</w:t>
      </w:r>
      <w:r w:rsidRPr="00344818">
        <w:rPr>
          <w:rFonts w:ascii="Arial" w:hAnsi="Arial" w:cs="Arial"/>
          <w:sz w:val="22"/>
          <w:szCs w:val="22"/>
        </w:rPr>
        <w:tab/>
      </w:r>
      <w:r w:rsidRPr="00344818">
        <w:rPr>
          <w:rFonts w:ascii="Arial" w:hAnsi="Arial" w:cs="Arial"/>
          <w:sz w:val="22"/>
          <w:szCs w:val="22"/>
        </w:rPr>
        <w:tab/>
        <w:t xml:space="preserve">    Representante Legal (Persona Jurídica 2)</w:t>
      </w:r>
    </w:p>
    <w:p w14:paraId="4E593096" w14:textId="77777777" w:rsidR="0086201A" w:rsidRPr="00344818" w:rsidRDefault="0086201A" w:rsidP="0086201A">
      <w:pPr>
        <w:pStyle w:val="i"/>
        <w:rPr>
          <w:rFonts w:ascii="Arial" w:hAnsi="Arial" w:cs="Arial"/>
          <w:sz w:val="22"/>
          <w:szCs w:val="22"/>
        </w:rPr>
      </w:pPr>
    </w:p>
    <w:p w14:paraId="4EA9B6C5" w14:textId="77777777" w:rsidR="0086201A" w:rsidRPr="00344818" w:rsidRDefault="0086201A" w:rsidP="0086201A">
      <w:pPr>
        <w:pStyle w:val="i"/>
        <w:rPr>
          <w:rFonts w:ascii="Arial" w:hAnsi="Arial" w:cs="Arial"/>
          <w:sz w:val="22"/>
          <w:szCs w:val="22"/>
        </w:rPr>
      </w:pPr>
      <w:r w:rsidRPr="00344818">
        <w:rPr>
          <w:rFonts w:ascii="Arial" w:hAnsi="Arial" w:cs="Arial"/>
          <w:sz w:val="22"/>
          <w:szCs w:val="22"/>
        </w:rPr>
        <w:t>__________________________                                    __________________________</w:t>
      </w:r>
    </w:p>
    <w:p w14:paraId="5FD579F5" w14:textId="77777777" w:rsidR="0086201A" w:rsidRPr="00344818" w:rsidRDefault="0086201A" w:rsidP="0086201A">
      <w:pPr>
        <w:pStyle w:val="i"/>
        <w:rPr>
          <w:rFonts w:ascii="Arial" w:hAnsi="Arial" w:cs="Arial"/>
          <w:sz w:val="22"/>
          <w:szCs w:val="22"/>
        </w:rPr>
      </w:pPr>
    </w:p>
    <w:p w14:paraId="1BB49668" w14:textId="77777777" w:rsidR="0086201A" w:rsidRPr="00344818" w:rsidRDefault="0086201A" w:rsidP="0086201A">
      <w:pPr>
        <w:pStyle w:val="i"/>
        <w:rPr>
          <w:rFonts w:ascii="Arial" w:hAnsi="Arial" w:cs="Arial"/>
          <w:sz w:val="22"/>
          <w:szCs w:val="22"/>
        </w:rPr>
      </w:pPr>
      <w:r w:rsidRPr="00344818">
        <w:rPr>
          <w:rFonts w:ascii="Arial" w:hAnsi="Arial" w:cs="Arial"/>
          <w:sz w:val="22"/>
          <w:szCs w:val="22"/>
        </w:rPr>
        <w:t>Representante Legal (Persona Jurídica 3)                        Representante Legal Designado</w:t>
      </w:r>
    </w:p>
    <w:p w14:paraId="79FAC48E" w14:textId="77777777" w:rsidR="0086201A" w:rsidRPr="00344818" w:rsidRDefault="0086201A" w:rsidP="0086201A">
      <w:pPr>
        <w:pStyle w:val="i"/>
        <w:spacing w:before="120"/>
        <w:rPr>
          <w:rFonts w:ascii="Arial" w:hAnsi="Arial" w:cs="Arial"/>
          <w:i/>
          <w:color w:val="FF0000"/>
          <w:sz w:val="22"/>
          <w:szCs w:val="22"/>
        </w:rPr>
      </w:pPr>
    </w:p>
    <w:p w14:paraId="2453854E" w14:textId="77777777" w:rsidR="0086201A" w:rsidRPr="00344818" w:rsidRDefault="0086201A" w:rsidP="0086201A">
      <w:pPr>
        <w:suppressAutoHyphens/>
        <w:spacing w:before="120" w:after="120"/>
        <w:rPr>
          <w:rFonts w:ascii="Arial" w:hAnsi="Arial" w:cs="Arial"/>
          <w:sz w:val="22"/>
          <w:szCs w:val="22"/>
        </w:rPr>
      </w:pPr>
      <w:r w:rsidRPr="00344818">
        <w:rPr>
          <w:rFonts w:ascii="Arial" w:hAnsi="Arial" w:cs="Arial"/>
          <w:sz w:val="22"/>
          <w:szCs w:val="22"/>
        </w:rPr>
        <w:t>Número RUC de cada empresa.</w:t>
      </w:r>
    </w:p>
    <w:p w14:paraId="332DD5C8" w14:textId="77777777" w:rsidR="0086201A" w:rsidRPr="00344818" w:rsidRDefault="0086201A" w:rsidP="0086201A">
      <w:pPr>
        <w:suppressAutoHyphens/>
        <w:spacing w:before="120" w:after="120"/>
        <w:rPr>
          <w:rFonts w:ascii="Arial" w:hAnsi="Arial" w:cs="Arial"/>
          <w:sz w:val="22"/>
          <w:szCs w:val="22"/>
        </w:rPr>
      </w:pPr>
      <w:r w:rsidRPr="00344818">
        <w:rPr>
          <w:rFonts w:ascii="Arial" w:hAnsi="Arial" w:cs="Arial"/>
          <w:sz w:val="22"/>
          <w:szCs w:val="22"/>
        </w:rPr>
        <w:t xml:space="preserve">___________________       ____________________     ____________________    </w:t>
      </w:r>
    </w:p>
    <w:p w14:paraId="006F2856" w14:textId="77777777" w:rsidR="0086201A" w:rsidRPr="00344818" w:rsidRDefault="0086201A" w:rsidP="0086201A">
      <w:pPr>
        <w:tabs>
          <w:tab w:val="left" w:pos="6511"/>
        </w:tabs>
        <w:suppressAutoHyphens/>
        <w:spacing w:before="120" w:after="120"/>
        <w:rPr>
          <w:rFonts w:ascii="Arial" w:hAnsi="Arial" w:cs="Arial"/>
          <w:sz w:val="22"/>
          <w:szCs w:val="22"/>
        </w:rPr>
      </w:pPr>
      <w:r w:rsidRPr="00344818">
        <w:rPr>
          <w:rFonts w:ascii="Arial" w:hAnsi="Arial" w:cs="Arial"/>
          <w:sz w:val="22"/>
          <w:szCs w:val="22"/>
        </w:rPr>
        <w:t>(Persona Jurídica 1)                (Persona Jurídica)               (Persona Jurídica 3)</w:t>
      </w:r>
    </w:p>
    <w:p w14:paraId="436B1414" w14:textId="77777777" w:rsidR="0086201A" w:rsidRDefault="0086201A" w:rsidP="0086201A">
      <w:pPr>
        <w:pStyle w:val="i"/>
        <w:spacing w:before="120"/>
        <w:rPr>
          <w:rFonts w:ascii="Arial" w:hAnsi="Arial" w:cs="Arial"/>
          <w:i/>
          <w:color w:val="FF0000"/>
          <w:sz w:val="22"/>
          <w:szCs w:val="22"/>
        </w:rPr>
      </w:pPr>
      <w:r w:rsidRPr="00313596">
        <w:rPr>
          <w:rFonts w:ascii="Arial" w:hAnsi="Arial" w:cs="Arial"/>
          <w:i/>
          <w:color w:val="FF0000"/>
          <w:sz w:val="22"/>
          <w:szCs w:val="22"/>
        </w:rPr>
        <w:t xml:space="preserve"> </w:t>
      </w:r>
    </w:p>
    <w:p w14:paraId="7DEE1CE1" w14:textId="77777777" w:rsidR="008C0885" w:rsidRPr="00313596" w:rsidRDefault="008C0885" w:rsidP="0086201A">
      <w:pPr>
        <w:pStyle w:val="i"/>
        <w:spacing w:before="120"/>
        <w:rPr>
          <w:rFonts w:ascii="Arial" w:hAnsi="Arial" w:cs="Arial"/>
          <w:i/>
          <w:color w:val="FF0000"/>
          <w:sz w:val="22"/>
          <w:szCs w:val="22"/>
        </w:rPr>
      </w:pPr>
      <w:r w:rsidRPr="00313596">
        <w:rPr>
          <w:rFonts w:ascii="Arial" w:hAnsi="Arial" w:cs="Arial"/>
          <w:i/>
          <w:color w:val="FF0000"/>
          <w:sz w:val="22"/>
          <w:szCs w:val="22"/>
        </w:rPr>
        <w:t>(Firmas de los representantes legales de las personas jurídicas en APCA y del representante legal designado)</w:t>
      </w:r>
    </w:p>
    <w:p w14:paraId="32D6D255" w14:textId="77777777" w:rsidR="008C0885" w:rsidRPr="00313596" w:rsidRDefault="008C0885" w:rsidP="000C6174">
      <w:pPr>
        <w:pStyle w:val="i"/>
        <w:rPr>
          <w:rFonts w:ascii="Arial" w:hAnsi="Arial" w:cs="Arial"/>
          <w:sz w:val="22"/>
          <w:szCs w:val="22"/>
        </w:rPr>
      </w:pPr>
    </w:p>
    <w:p w14:paraId="764FE49C" w14:textId="77777777" w:rsidR="008C0885" w:rsidRPr="00313596" w:rsidRDefault="008C0885" w:rsidP="000C6174">
      <w:pPr>
        <w:pStyle w:val="i"/>
        <w:rPr>
          <w:rFonts w:ascii="Arial" w:hAnsi="Arial" w:cs="Arial"/>
          <w:i/>
          <w:color w:val="FF0000"/>
          <w:sz w:val="22"/>
          <w:szCs w:val="22"/>
        </w:rPr>
      </w:pPr>
      <w:r w:rsidRPr="00313596">
        <w:rPr>
          <w:rFonts w:ascii="Arial" w:hAnsi="Arial" w:cs="Arial"/>
          <w:i/>
          <w:color w:val="FF0000"/>
          <w:sz w:val="22"/>
          <w:szCs w:val="22"/>
        </w:rPr>
        <w:t xml:space="preserve">Cada uno de los miembros de la APCA deberá adjuntar </w:t>
      </w:r>
      <w:r w:rsidRPr="00313596">
        <w:rPr>
          <w:rFonts w:ascii="Arial" w:hAnsi="Arial" w:cs="Arial"/>
          <w:i/>
          <w:iCs/>
          <w:color w:val="FF0000"/>
          <w:sz w:val="22"/>
          <w:szCs w:val="22"/>
          <w:lang w:val="es-ES"/>
        </w:rPr>
        <w:t>una confirmación escrita mediante un poder de representación</w:t>
      </w:r>
      <w:r w:rsidRPr="00313596">
        <w:rPr>
          <w:rFonts w:ascii="Arial" w:hAnsi="Arial" w:cs="Arial"/>
          <w:i/>
          <w:color w:val="FF0000"/>
          <w:sz w:val="22"/>
          <w:szCs w:val="22"/>
        </w:rPr>
        <w:t xml:space="preserve"> para firmar </w:t>
      </w:r>
    </w:p>
    <w:p w14:paraId="72023DCA" w14:textId="77777777" w:rsidR="008C0885" w:rsidRPr="00313596" w:rsidRDefault="008C0885" w:rsidP="000C6174">
      <w:pPr>
        <w:rPr>
          <w:rFonts w:ascii="Arial" w:hAnsi="Arial" w:cs="Arial"/>
          <w:sz w:val="22"/>
          <w:szCs w:val="22"/>
        </w:rPr>
      </w:pPr>
      <w:r w:rsidRPr="00313596">
        <w:rPr>
          <w:rFonts w:ascii="Arial" w:hAnsi="Arial" w:cs="Arial"/>
          <w:sz w:val="22"/>
          <w:szCs w:val="22"/>
        </w:rPr>
        <w:t xml:space="preserve">NOTA: La carta de intención de Asociación en Participación, Consorcio o Asociación (APCA) deberá enviarse con una copia adjunta del acuerdo APCA propuesto. </w:t>
      </w:r>
    </w:p>
    <w:p w14:paraId="5B0957CE"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bookmarkStart w:id="383" w:name="_Toc77664159"/>
      <w:bookmarkStart w:id="384" w:name="_Toc106681844"/>
      <w:bookmarkStart w:id="385" w:name="_Hlk514173410"/>
      <w:r w:rsidRPr="00313596">
        <w:rPr>
          <w:rFonts w:ascii="Arial" w:hAnsi="Arial" w:cs="Arial"/>
          <w:b/>
          <w:sz w:val="22"/>
          <w:szCs w:val="22"/>
          <w:lang w:val="es-HN"/>
        </w:rPr>
        <w:lastRenderedPageBreak/>
        <w:t>FORMULARIO CC-3</w:t>
      </w:r>
    </w:p>
    <w:p w14:paraId="107A698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313596">
        <w:rPr>
          <w:rFonts w:ascii="Arial" w:hAnsi="Arial" w:cs="Arial"/>
          <w:b/>
          <w:sz w:val="22"/>
          <w:szCs w:val="22"/>
        </w:rPr>
        <w:t xml:space="preserve">Identificación del </w:t>
      </w:r>
      <w:bookmarkEnd w:id="383"/>
      <w:r w:rsidRPr="00313596">
        <w:rPr>
          <w:rFonts w:ascii="Arial" w:hAnsi="Arial" w:cs="Arial"/>
          <w:b/>
          <w:sz w:val="22"/>
          <w:szCs w:val="22"/>
        </w:rPr>
        <w:t>Oferente</w:t>
      </w:r>
      <w:bookmarkEnd w:id="384"/>
    </w:p>
    <w:p w14:paraId="43303FC2" w14:textId="77777777" w:rsidR="0092283A" w:rsidRPr="00313596" w:rsidRDefault="0092283A" w:rsidP="000C6174">
      <w:pPr>
        <w:tabs>
          <w:tab w:val="right" w:pos="9630"/>
        </w:tabs>
        <w:spacing w:before="120" w:after="120"/>
        <w:ind w:right="158"/>
        <w:contextualSpacing/>
        <w:jc w:val="left"/>
        <w:rPr>
          <w:rFonts w:ascii="Arial" w:hAnsi="Arial" w:cs="Arial"/>
          <w:sz w:val="22"/>
          <w:szCs w:val="22"/>
          <w:lang w:val="es-ES"/>
        </w:rPr>
      </w:pPr>
    </w:p>
    <w:p w14:paraId="2D0AC0C8" w14:textId="77777777" w:rsidR="008C0885" w:rsidRPr="00313596" w:rsidRDefault="008C0885" w:rsidP="000C6174">
      <w:pPr>
        <w:tabs>
          <w:tab w:val="right" w:pos="9630"/>
        </w:tabs>
        <w:spacing w:before="120" w:after="120"/>
        <w:ind w:right="158"/>
        <w:contextualSpacing/>
        <w:jc w:val="left"/>
        <w:rPr>
          <w:rFonts w:ascii="Arial" w:hAnsi="Arial" w:cs="Arial"/>
          <w:sz w:val="22"/>
          <w:szCs w:val="22"/>
          <w:lang w:val="es-ES"/>
        </w:rPr>
      </w:pPr>
      <w:r w:rsidRPr="00313596">
        <w:rPr>
          <w:rFonts w:ascii="Arial" w:hAnsi="Arial" w:cs="Arial"/>
          <w:sz w:val="22"/>
          <w:szCs w:val="22"/>
          <w:lang w:val="es-ES"/>
        </w:rPr>
        <w:t xml:space="preserve">Licitación Pública Internacional No.: </w:t>
      </w:r>
      <w:r w:rsidRPr="00313596">
        <w:rPr>
          <w:rFonts w:ascii="Arial" w:hAnsi="Arial" w:cs="Arial"/>
          <w:sz w:val="22"/>
          <w:szCs w:val="22"/>
          <w:lang w:val="es-ES"/>
        </w:rPr>
        <w:tab/>
      </w:r>
    </w:p>
    <w:p w14:paraId="10928131" w14:textId="77777777" w:rsidR="008C0885" w:rsidRPr="00313596" w:rsidRDefault="008C0885" w:rsidP="000C6174">
      <w:pPr>
        <w:tabs>
          <w:tab w:val="right" w:pos="9630"/>
        </w:tabs>
        <w:spacing w:before="120" w:after="120"/>
        <w:ind w:right="158"/>
        <w:contextualSpacing/>
        <w:jc w:val="left"/>
        <w:rPr>
          <w:rFonts w:ascii="Arial" w:hAnsi="Arial" w:cs="Arial"/>
          <w:sz w:val="22"/>
          <w:szCs w:val="22"/>
        </w:rPr>
      </w:pPr>
      <w:r w:rsidRPr="00313596">
        <w:rPr>
          <w:rFonts w:ascii="Arial" w:hAnsi="Arial" w:cs="Arial"/>
          <w:sz w:val="22"/>
          <w:szCs w:val="22"/>
        </w:rPr>
        <w:t>Nombre del oferente</w:t>
      </w:r>
      <w:r w:rsidRPr="00313596">
        <w:rPr>
          <w:rFonts w:ascii="Arial" w:hAnsi="Arial" w:cs="Arial"/>
          <w:i/>
          <w:sz w:val="22"/>
          <w:szCs w:val="22"/>
        </w:rPr>
        <w:t xml:space="preserve">: </w:t>
      </w:r>
      <w:r w:rsidRPr="00313596">
        <w:rPr>
          <w:rFonts w:ascii="Arial" w:hAnsi="Arial" w:cs="Arial"/>
          <w:i/>
          <w:color w:val="FF0000"/>
          <w:sz w:val="22"/>
          <w:szCs w:val="22"/>
        </w:rPr>
        <w:t>(indicar nombre completo)</w:t>
      </w:r>
      <w:r w:rsidRPr="00313596">
        <w:rPr>
          <w:rFonts w:ascii="Arial" w:hAnsi="Arial" w:cs="Arial"/>
          <w:sz w:val="22"/>
          <w:szCs w:val="22"/>
        </w:rPr>
        <w:tab/>
      </w:r>
    </w:p>
    <w:p w14:paraId="5F72E1AE" w14:textId="77777777" w:rsidR="008C0885" w:rsidRPr="00313596" w:rsidRDefault="008C0885" w:rsidP="000C6174">
      <w:pPr>
        <w:tabs>
          <w:tab w:val="right" w:pos="9630"/>
        </w:tabs>
        <w:spacing w:before="120" w:after="120"/>
        <w:ind w:right="158"/>
        <w:contextualSpacing/>
        <w:jc w:val="left"/>
        <w:rPr>
          <w:rFonts w:ascii="Arial" w:hAnsi="Arial" w:cs="Arial"/>
          <w:sz w:val="22"/>
          <w:szCs w:val="22"/>
        </w:rPr>
      </w:pPr>
      <w:r w:rsidRPr="00313596">
        <w:rPr>
          <w:rFonts w:ascii="Arial" w:hAnsi="Arial" w:cs="Arial"/>
          <w:sz w:val="22"/>
          <w:szCs w:val="22"/>
        </w:rPr>
        <w:t xml:space="preserve">Fecha: </w:t>
      </w:r>
      <w:r w:rsidRPr="00313596">
        <w:rPr>
          <w:rFonts w:ascii="Arial" w:hAnsi="Arial" w:cs="Arial"/>
          <w:i/>
          <w:color w:val="FF0000"/>
          <w:sz w:val="22"/>
          <w:szCs w:val="22"/>
        </w:rPr>
        <w:t>(indicar día, mes y año)</w:t>
      </w:r>
      <w:r w:rsidRPr="00313596">
        <w:rPr>
          <w:rFonts w:ascii="Arial" w:hAnsi="Arial" w:cs="Arial"/>
          <w:color w:val="FF0000"/>
          <w:sz w:val="22"/>
          <w:szCs w:val="22"/>
        </w:rPr>
        <w:t>          </w:t>
      </w:r>
    </w:p>
    <w:p w14:paraId="5548C8D8" w14:textId="77777777" w:rsidR="008C0885" w:rsidRPr="00313596" w:rsidRDefault="008C0885" w:rsidP="000C6174">
      <w:pPr>
        <w:tabs>
          <w:tab w:val="right" w:leader="dot" w:pos="8820"/>
        </w:tabs>
        <w:spacing w:before="240" w:after="120"/>
        <w:rPr>
          <w:rFonts w:ascii="Arial" w:hAnsi="Arial" w:cs="Arial"/>
          <w:i/>
          <w:color w:val="FF0000"/>
          <w:sz w:val="22"/>
          <w:szCs w:val="22"/>
        </w:rPr>
      </w:pPr>
      <w:r w:rsidRPr="00313596">
        <w:rPr>
          <w:rFonts w:ascii="Arial" w:hAnsi="Arial" w:cs="Arial"/>
          <w:i/>
          <w:color w:val="FF0000"/>
          <w:sz w:val="22"/>
          <w:szCs w:val="22"/>
        </w:rPr>
        <w:t>La información contenida en este formulario se utilizará durante el proceso de evaluación para la identificación del oferente, por lo cual la información aquí presentada deberá ser consistente entre otros con los estados financieros, antecedentes de contratación, experiencia general y especifica presentada.</w:t>
      </w:r>
    </w:p>
    <w:p w14:paraId="644DF13D" w14:textId="77777777" w:rsidR="008C0885" w:rsidRPr="00313596" w:rsidRDefault="008C0885" w:rsidP="003B68DB">
      <w:pPr>
        <w:pStyle w:val="Prrafodelista"/>
        <w:numPr>
          <w:ilvl w:val="6"/>
          <w:numId w:val="70"/>
        </w:numPr>
        <w:suppressAutoHyphens/>
        <w:spacing w:before="120" w:after="120"/>
        <w:ind w:left="360"/>
        <w:jc w:val="left"/>
        <w:rPr>
          <w:rFonts w:ascii="Arial" w:hAnsi="Arial" w:cs="Arial"/>
          <w:i/>
          <w:color w:val="FF0000"/>
          <w:sz w:val="22"/>
          <w:szCs w:val="22"/>
        </w:rPr>
      </w:pPr>
      <w:r w:rsidRPr="00313596">
        <w:rPr>
          <w:rFonts w:ascii="Arial" w:hAnsi="Arial" w:cs="Arial"/>
          <w:i/>
          <w:color w:val="FF0000"/>
          <w:sz w:val="22"/>
          <w:szCs w:val="22"/>
        </w:rPr>
        <w:t>Se deberá escoger una de las opciones de acuerdo con el tipo de oferente.</w:t>
      </w:r>
    </w:p>
    <w:p w14:paraId="1D2CAB25" w14:textId="77777777" w:rsidR="008C0885" w:rsidRPr="00313596" w:rsidRDefault="008C0885" w:rsidP="000C6174">
      <w:pPr>
        <w:pStyle w:val="Prrafodelista"/>
        <w:suppressAutoHyphens/>
        <w:spacing w:before="120" w:after="120"/>
        <w:ind w:left="360"/>
        <w:jc w:val="left"/>
        <w:rPr>
          <w:rFonts w:ascii="Arial" w:hAnsi="Arial" w:cs="Arial"/>
          <w:b/>
          <w:i/>
          <w:color w:val="FF0000"/>
          <w:sz w:val="22"/>
          <w:szCs w:val="22"/>
          <w:lang w:val="es-CO"/>
        </w:rPr>
      </w:pPr>
      <w:r w:rsidRPr="00313596">
        <w:rPr>
          <w:rFonts w:ascii="Arial" w:hAnsi="Arial" w:cs="Arial"/>
          <w:b/>
          <w:i/>
          <w:color w:val="FF0000"/>
          <w:spacing w:val="-2"/>
          <w:sz w:val="22"/>
          <w:szCs w:val="22"/>
          <w:lang w:val="es-CO"/>
        </w:rPr>
        <w:t>Para oferentes que presentan su oferta de manera individual:</w:t>
      </w:r>
    </w:p>
    <w:p w14:paraId="55AE7931" w14:textId="77777777" w:rsidR="008C0885" w:rsidRPr="00313596" w:rsidRDefault="008C0885" w:rsidP="000C6174">
      <w:pPr>
        <w:pStyle w:val="Prrafodelista"/>
        <w:suppressAutoHyphens/>
        <w:spacing w:before="120" w:after="120"/>
        <w:ind w:left="432"/>
        <w:jc w:val="left"/>
        <w:rPr>
          <w:rFonts w:ascii="Arial" w:hAnsi="Arial" w:cs="Arial"/>
          <w:spacing w:val="-2"/>
          <w:sz w:val="22"/>
          <w:szCs w:val="22"/>
          <w:lang w:val="es-CO"/>
        </w:rPr>
      </w:pPr>
      <w:r w:rsidRPr="00313596">
        <w:rPr>
          <w:rFonts w:ascii="Arial" w:hAnsi="Arial" w:cs="Arial"/>
          <w:spacing w:val="-2"/>
          <w:sz w:val="22"/>
          <w:szCs w:val="22"/>
          <w:lang w:val="es-CO"/>
        </w:rPr>
        <w:t>El oferente se presenta de manera individual, con la descripción siguiente:</w:t>
      </w:r>
    </w:p>
    <w:p w14:paraId="216C22F8" w14:textId="77777777" w:rsidR="008C0885" w:rsidRPr="00313596" w:rsidRDefault="008C0885" w:rsidP="000C6174">
      <w:pPr>
        <w:pStyle w:val="Prrafodelista"/>
        <w:suppressAutoHyphens/>
        <w:spacing w:before="120" w:after="120"/>
        <w:ind w:left="432"/>
        <w:jc w:val="left"/>
        <w:rPr>
          <w:rFonts w:ascii="Arial" w:hAnsi="Arial" w:cs="Arial"/>
          <w:i/>
          <w:color w:val="FF0000"/>
          <w:sz w:val="22"/>
          <w:szCs w:val="22"/>
          <w:lang w:val="es-CO"/>
        </w:rPr>
      </w:pPr>
      <w:r w:rsidRPr="00313596">
        <w:rPr>
          <w:rFonts w:ascii="Arial" w:hAnsi="Arial" w:cs="Arial"/>
          <w:spacing w:val="-2"/>
          <w:sz w:val="22"/>
          <w:szCs w:val="22"/>
          <w:lang w:val="es-CO"/>
        </w:rPr>
        <w:t>Nombre jurídico del oferente:</w:t>
      </w:r>
      <w:r w:rsidRPr="00313596">
        <w:rPr>
          <w:rFonts w:ascii="Arial" w:hAnsi="Arial" w:cs="Arial"/>
          <w:sz w:val="22"/>
          <w:szCs w:val="22"/>
          <w:lang w:val="es-CO"/>
        </w:rPr>
        <w:t xml:space="preserve"> </w:t>
      </w:r>
      <w:r w:rsidRPr="00313596">
        <w:rPr>
          <w:rFonts w:ascii="Arial" w:hAnsi="Arial" w:cs="Arial"/>
          <w:i/>
          <w:color w:val="FF0000"/>
          <w:sz w:val="22"/>
          <w:szCs w:val="22"/>
          <w:lang w:val="es-CO"/>
        </w:rPr>
        <w:t>(indicar el nombre jurídico)</w:t>
      </w:r>
    </w:p>
    <w:p w14:paraId="4C865996" w14:textId="77777777" w:rsidR="008C0885" w:rsidRPr="00313596" w:rsidRDefault="008C0885" w:rsidP="000C6174">
      <w:pPr>
        <w:pStyle w:val="Prrafodelista"/>
        <w:suppressAutoHyphens/>
        <w:spacing w:before="120" w:after="120"/>
        <w:ind w:left="432"/>
        <w:jc w:val="left"/>
        <w:rPr>
          <w:rFonts w:ascii="Arial" w:hAnsi="Arial" w:cs="Arial"/>
          <w:spacing w:val="-2"/>
          <w:sz w:val="22"/>
          <w:szCs w:val="22"/>
          <w:lang w:val="es-CO"/>
        </w:rPr>
      </w:pPr>
      <w:r w:rsidRPr="00313596">
        <w:rPr>
          <w:rFonts w:ascii="Arial" w:hAnsi="Arial" w:cs="Arial"/>
          <w:spacing w:val="-2"/>
          <w:sz w:val="22"/>
          <w:szCs w:val="22"/>
          <w:lang w:val="es-CO"/>
        </w:rPr>
        <w:t>Identificación Tributaria del Oferente:</w:t>
      </w:r>
      <w:r w:rsidRPr="00313596">
        <w:rPr>
          <w:rFonts w:ascii="Arial" w:hAnsi="Arial" w:cs="Arial"/>
          <w:sz w:val="22"/>
          <w:szCs w:val="22"/>
          <w:lang w:val="es-CO"/>
        </w:rPr>
        <w:t xml:space="preserve"> </w:t>
      </w:r>
      <w:r w:rsidRPr="00313596">
        <w:rPr>
          <w:rFonts w:ascii="Arial" w:hAnsi="Arial" w:cs="Arial"/>
          <w:i/>
          <w:color w:val="FF0000"/>
          <w:sz w:val="22"/>
          <w:szCs w:val="22"/>
          <w:lang w:val="es-CO"/>
        </w:rPr>
        <w:t>(indicar identificación tributaria)</w:t>
      </w:r>
    </w:p>
    <w:p w14:paraId="5927B2FF" w14:textId="77777777" w:rsidR="008C0885" w:rsidRPr="00313596" w:rsidRDefault="008C0885" w:rsidP="000C6174">
      <w:pPr>
        <w:pStyle w:val="Prrafodelista"/>
        <w:suppressAutoHyphens/>
        <w:spacing w:before="120" w:after="120"/>
        <w:ind w:left="432"/>
        <w:jc w:val="left"/>
        <w:rPr>
          <w:rFonts w:ascii="Arial" w:hAnsi="Arial" w:cs="Arial"/>
          <w:sz w:val="22"/>
          <w:szCs w:val="22"/>
          <w:lang w:val="es-CO"/>
        </w:rPr>
      </w:pPr>
      <w:r w:rsidRPr="00313596">
        <w:rPr>
          <w:rFonts w:ascii="Arial" w:hAnsi="Arial" w:cs="Arial"/>
          <w:spacing w:val="-2"/>
          <w:sz w:val="22"/>
          <w:szCs w:val="22"/>
          <w:lang w:val="es-CO"/>
        </w:rPr>
        <w:t xml:space="preserve">País donde se encuentra legalmente constituido el oferente: </w:t>
      </w:r>
      <w:r w:rsidRPr="00313596">
        <w:rPr>
          <w:rFonts w:ascii="Arial" w:hAnsi="Arial" w:cs="Arial"/>
          <w:i/>
          <w:color w:val="FF0000"/>
          <w:sz w:val="22"/>
          <w:szCs w:val="22"/>
          <w:lang w:val="es-CO"/>
        </w:rPr>
        <w:t>(País donde se encuentra legalmente constituido el oferente</w:t>
      </w:r>
    </w:p>
    <w:p w14:paraId="630AC2DE" w14:textId="77777777" w:rsidR="008C0885" w:rsidRPr="00313596" w:rsidRDefault="008C0885" w:rsidP="000C6174">
      <w:pPr>
        <w:pStyle w:val="Prrafodelista"/>
        <w:suppressAutoHyphens/>
        <w:spacing w:before="120" w:after="120"/>
        <w:ind w:left="360"/>
        <w:jc w:val="left"/>
        <w:rPr>
          <w:rFonts w:ascii="Arial" w:hAnsi="Arial" w:cs="Arial"/>
          <w:b/>
          <w:i/>
          <w:color w:val="FF0000"/>
          <w:spacing w:val="-2"/>
          <w:sz w:val="22"/>
          <w:szCs w:val="22"/>
          <w:lang w:val="es-CO"/>
        </w:rPr>
      </w:pPr>
      <w:r w:rsidRPr="00313596">
        <w:rPr>
          <w:rFonts w:ascii="Arial" w:hAnsi="Arial" w:cs="Arial"/>
          <w:b/>
          <w:i/>
          <w:color w:val="FF0000"/>
          <w:spacing w:val="-2"/>
          <w:sz w:val="22"/>
          <w:szCs w:val="22"/>
          <w:lang w:val="es-CO"/>
        </w:rPr>
        <w:t>Para oferentes que presentan su oferta en una APCA:</w:t>
      </w:r>
    </w:p>
    <w:p w14:paraId="2EE29D82" w14:textId="77777777" w:rsidR="008C0885" w:rsidRPr="00313596" w:rsidRDefault="008C0885" w:rsidP="000C6174">
      <w:pPr>
        <w:pStyle w:val="Prrafodelista"/>
        <w:suppressAutoHyphens/>
        <w:spacing w:after="200"/>
        <w:ind w:left="426"/>
        <w:jc w:val="left"/>
        <w:rPr>
          <w:rFonts w:ascii="Arial" w:hAnsi="Arial" w:cs="Arial"/>
          <w:spacing w:val="-2"/>
          <w:sz w:val="22"/>
          <w:szCs w:val="22"/>
          <w:lang w:val="es-CO"/>
        </w:rPr>
      </w:pPr>
      <w:r w:rsidRPr="00313596">
        <w:rPr>
          <w:rFonts w:ascii="Arial" w:hAnsi="Arial" w:cs="Arial"/>
          <w:spacing w:val="-2"/>
          <w:sz w:val="22"/>
          <w:szCs w:val="22"/>
          <w:lang w:val="es-CO"/>
        </w:rPr>
        <w:t>El oferente se presenta como una APCA, con la descripción siguiente: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2979"/>
        <w:gridCol w:w="2850"/>
      </w:tblGrid>
      <w:tr w:rsidR="008C0885" w:rsidRPr="00313596" w14:paraId="54E57579" w14:textId="77777777" w:rsidTr="00B86AF7">
        <w:trPr>
          <w:trHeight w:val="227"/>
        </w:trPr>
        <w:tc>
          <w:tcPr>
            <w:tcW w:w="3526" w:type="dxa"/>
            <w:shd w:val="clear" w:color="auto" w:fill="00B050"/>
            <w:vAlign w:val="center"/>
          </w:tcPr>
          <w:p w14:paraId="46C15C6B" w14:textId="77777777" w:rsidR="008C0885" w:rsidRPr="00313596" w:rsidRDefault="008C0885" w:rsidP="000C6174">
            <w:pPr>
              <w:suppressAutoHyphens/>
              <w:jc w:val="center"/>
              <w:rPr>
                <w:rFonts w:ascii="Arial" w:hAnsi="Arial" w:cs="Arial"/>
                <w:b/>
                <w:color w:val="FF0000"/>
                <w:spacing w:val="-2"/>
                <w:sz w:val="22"/>
                <w:szCs w:val="22"/>
                <w:lang w:val="es-CO"/>
              </w:rPr>
            </w:pPr>
            <w:r w:rsidRPr="00313596">
              <w:rPr>
                <w:rFonts w:ascii="Arial" w:hAnsi="Arial" w:cs="Arial"/>
                <w:b/>
                <w:color w:val="FF0000"/>
                <w:spacing w:val="-2"/>
                <w:sz w:val="22"/>
                <w:szCs w:val="22"/>
                <w:lang w:val="es-CO"/>
              </w:rPr>
              <w:t>Nombre Jurídico de cada miembro de la APCA</w:t>
            </w:r>
          </w:p>
        </w:tc>
        <w:tc>
          <w:tcPr>
            <w:tcW w:w="2979" w:type="dxa"/>
            <w:shd w:val="clear" w:color="auto" w:fill="00B050"/>
            <w:vAlign w:val="center"/>
          </w:tcPr>
          <w:p w14:paraId="030346B2" w14:textId="77777777" w:rsidR="008C0885" w:rsidRPr="00313596" w:rsidRDefault="008C0885" w:rsidP="000C6174">
            <w:pPr>
              <w:suppressAutoHyphens/>
              <w:jc w:val="center"/>
              <w:rPr>
                <w:rFonts w:ascii="Arial" w:hAnsi="Arial" w:cs="Arial"/>
                <w:b/>
                <w:color w:val="FF0000"/>
                <w:spacing w:val="-2"/>
                <w:sz w:val="22"/>
                <w:szCs w:val="22"/>
                <w:lang w:val="es-CO"/>
              </w:rPr>
            </w:pPr>
            <w:r w:rsidRPr="00313596">
              <w:rPr>
                <w:rFonts w:ascii="Arial" w:hAnsi="Arial" w:cs="Arial"/>
                <w:b/>
                <w:color w:val="FF0000"/>
                <w:spacing w:val="-2"/>
                <w:sz w:val="22"/>
                <w:szCs w:val="22"/>
                <w:lang w:val="es-CO"/>
              </w:rPr>
              <w:t>Identificación Tributaria</w:t>
            </w:r>
          </w:p>
        </w:tc>
        <w:tc>
          <w:tcPr>
            <w:tcW w:w="2850" w:type="dxa"/>
            <w:shd w:val="clear" w:color="auto" w:fill="00B050"/>
          </w:tcPr>
          <w:p w14:paraId="2FBBDBA1" w14:textId="77777777" w:rsidR="008C0885" w:rsidRPr="00313596" w:rsidRDefault="008C0885" w:rsidP="000C6174">
            <w:pPr>
              <w:suppressAutoHyphens/>
              <w:jc w:val="center"/>
              <w:rPr>
                <w:rFonts w:ascii="Arial" w:hAnsi="Arial" w:cs="Arial"/>
                <w:b/>
                <w:color w:val="FF0000"/>
                <w:spacing w:val="-2"/>
                <w:sz w:val="22"/>
                <w:szCs w:val="22"/>
                <w:lang w:val="es-CO"/>
              </w:rPr>
            </w:pPr>
            <w:r w:rsidRPr="00313596">
              <w:rPr>
                <w:rFonts w:ascii="Arial" w:hAnsi="Arial" w:cs="Arial"/>
                <w:b/>
                <w:color w:val="FF0000"/>
                <w:spacing w:val="-2"/>
                <w:sz w:val="22"/>
                <w:szCs w:val="22"/>
                <w:lang w:val="es-CO"/>
              </w:rPr>
              <w:t>País donde se encuentra legalmente constituido</w:t>
            </w:r>
          </w:p>
        </w:tc>
      </w:tr>
      <w:tr w:rsidR="008C0885" w:rsidRPr="00313596" w14:paraId="167F8CBF" w14:textId="77777777" w:rsidTr="003D50ED">
        <w:tc>
          <w:tcPr>
            <w:tcW w:w="3526" w:type="dxa"/>
          </w:tcPr>
          <w:p w14:paraId="01D88677"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6AAB3F19"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46A080F2"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r>
      <w:tr w:rsidR="008C0885" w:rsidRPr="00313596" w14:paraId="26FDC781" w14:textId="77777777" w:rsidTr="003D50ED">
        <w:tc>
          <w:tcPr>
            <w:tcW w:w="3526" w:type="dxa"/>
          </w:tcPr>
          <w:p w14:paraId="36474425"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670E013A"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1F51FA58"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r>
      <w:tr w:rsidR="008C0885" w:rsidRPr="00313596" w14:paraId="5E26CE70" w14:textId="77777777" w:rsidTr="003D50ED">
        <w:trPr>
          <w:trHeight w:val="333"/>
        </w:trPr>
        <w:tc>
          <w:tcPr>
            <w:tcW w:w="3526" w:type="dxa"/>
          </w:tcPr>
          <w:p w14:paraId="70DB68EA"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c>
          <w:tcPr>
            <w:tcW w:w="2979" w:type="dxa"/>
          </w:tcPr>
          <w:p w14:paraId="2C54DD08"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c>
          <w:tcPr>
            <w:tcW w:w="2850" w:type="dxa"/>
          </w:tcPr>
          <w:p w14:paraId="4EB057D8" w14:textId="77777777" w:rsidR="008C0885" w:rsidRPr="00313596" w:rsidRDefault="008C0885" w:rsidP="000C6174">
            <w:pPr>
              <w:suppressAutoHyphens/>
              <w:spacing w:before="120" w:after="120"/>
              <w:contextualSpacing/>
              <w:rPr>
                <w:rFonts w:ascii="Arial" w:hAnsi="Arial" w:cs="Arial"/>
                <w:color w:val="FF0000"/>
                <w:sz w:val="22"/>
                <w:szCs w:val="22"/>
                <w:lang w:val="es-CO"/>
              </w:rPr>
            </w:pPr>
          </w:p>
        </w:tc>
      </w:tr>
    </w:tbl>
    <w:p w14:paraId="11CA77C8" w14:textId="77777777" w:rsidR="008C0885" w:rsidRPr="00313596" w:rsidRDefault="008C0885" w:rsidP="003B68DB">
      <w:pPr>
        <w:pStyle w:val="Prrafodelista"/>
        <w:numPr>
          <w:ilvl w:val="6"/>
          <w:numId w:val="70"/>
        </w:numPr>
        <w:suppressAutoHyphens/>
        <w:spacing w:before="120" w:after="120"/>
        <w:ind w:left="360"/>
        <w:jc w:val="left"/>
        <w:rPr>
          <w:rFonts w:ascii="Arial" w:hAnsi="Arial" w:cs="Arial"/>
          <w:i/>
          <w:color w:val="FF0000"/>
          <w:sz w:val="22"/>
          <w:szCs w:val="22"/>
          <w:lang w:val="es-CO"/>
        </w:rPr>
      </w:pPr>
      <w:r w:rsidRPr="00313596">
        <w:rPr>
          <w:rFonts w:ascii="Arial" w:hAnsi="Arial" w:cs="Arial"/>
          <w:sz w:val="22"/>
          <w:szCs w:val="22"/>
          <w:lang w:val="es-CO"/>
        </w:rPr>
        <w:t xml:space="preserve">Correo electrónico para notificaciones: </w:t>
      </w:r>
      <w:r w:rsidRPr="00313596">
        <w:rPr>
          <w:rFonts w:ascii="Arial" w:hAnsi="Arial" w:cs="Arial"/>
          <w:i/>
          <w:color w:val="FF0000"/>
          <w:sz w:val="22"/>
          <w:szCs w:val="22"/>
          <w:lang w:val="es-CO"/>
        </w:rPr>
        <w:t xml:space="preserve">(colocar dirección electrónica) </w:t>
      </w:r>
    </w:p>
    <w:p w14:paraId="1F61E603" w14:textId="77777777" w:rsidR="008C0885" w:rsidRPr="00313596" w:rsidRDefault="008C0885" w:rsidP="003B68DB">
      <w:pPr>
        <w:pStyle w:val="Prrafodelista"/>
        <w:numPr>
          <w:ilvl w:val="6"/>
          <w:numId w:val="70"/>
        </w:numPr>
        <w:suppressAutoHyphens/>
        <w:spacing w:after="200"/>
        <w:ind w:left="360"/>
        <w:jc w:val="left"/>
        <w:rPr>
          <w:rFonts w:ascii="Arial" w:hAnsi="Arial" w:cs="Arial"/>
          <w:sz w:val="22"/>
          <w:szCs w:val="22"/>
          <w:lang w:val="es-CO"/>
        </w:rPr>
      </w:pPr>
      <w:r w:rsidRPr="00313596">
        <w:rPr>
          <w:rFonts w:ascii="Arial" w:hAnsi="Arial" w:cs="Arial"/>
          <w:sz w:val="22"/>
          <w:szCs w:val="22"/>
          <w:lang w:val="es-CO"/>
        </w:rPr>
        <w:t xml:space="preserve">En caso de que el oferente sea una APCA todos sus miembros deberán aportar la información siguiente: </w:t>
      </w:r>
      <w:r w:rsidRPr="00313596">
        <w:rPr>
          <w:rFonts w:ascii="Arial" w:hAnsi="Arial" w:cs="Arial"/>
          <w:i/>
          <w:color w:val="FF0000"/>
          <w:sz w:val="22"/>
          <w:szCs w:val="22"/>
          <w:lang w:val="es-CO"/>
        </w:rPr>
        <w:t>(Si el oferente no es una APCA, indicar No Aplica)</w:t>
      </w:r>
    </w:p>
    <w:tbl>
      <w:tblPr>
        <w:tblW w:w="9360" w:type="dxa"/>
        <w:tblInd w:w="-3" w:type="dxa"/>
        <w:tblLayout w:type="fixed"/>
        <w:tblCellMar>
          <w:left w:w="0" w:type="dxa"/>
          <w:right w:w="0" w:type="dxa"/>
        </w:tblCellMar>
        <w:tblLook w:val="0000" w:firstRow="0" w:lastRow="0" w:firstColumn="0" w:lastColumn="0" w:noHBand="0" w:noVBand="0"/>
      </w:tblPr>
      <w:tblGrid>
        <w:gridCol w:w="9360"/>
      </w:tblGrid>
      <w:tr w:rsidR="008C0885" w:rsidRPr="00313596" w14:paraId="6794EC35" w14:textId="77777777" w:rsidTr="003D50ED">
        <w:tc>
          <w:tcPr>
            <w:tcW w:w="9360" w:type="dxa"/>
            <w:tcBorders>
              <w:top w:val="single" w:sz="2" w:space="0" w:color="auto"/>
              <w:left w:val="single" w:sz="2" w:space="0" w:color="auto"/>
              <w:bottom w:val="single" w:sz="2" w:space="0" w:color="auto"/>
              <w:right w:val="single" w:sz="2" w:space="0" w:color="auto"/>
            </w:tcBorders>
          </w:tcPr>
          <w:p w14:paraId="09C1B6F8" w14:textId="77777777" w:rsidR="008C0885" w:rsidRPr="00313596" w:rsidRDefault="008C0885" w:rsidP="000C6174">
            <w:pPr>
              <w:spacing w:before="40" w:after="60"/>
              <w:ind w:left="540" w:hanging="450"/>
              <w:rPr>
                <w:rFonts w:ascii="Arial" w:hAnsi="Arial" w:cs="Arial"/>
                <w:spacing w:val="-2"/>
                <w:sz w:val="22"/>
                <w:szCs w:val="22"/>
                <w:lang w:val="es-ES"/>
              </w:rPr>
            </w:pPr>
            <w:bookmarkStart w:id="386" w:name="_Toc78273053"/>
            <w:bookmarkStart w:id="387" w:name="_Toc108950347"/>
            <w:r w:rsidRPr="00313596">
              <w:rPr>
                <w:rFonts w:ascii="Arial" w:hAnsi="Arial" w:cs="Arial"/>
                <w:spacing w:val="-2"/>
                <w:sz w:val="22"/>
                <w:szCs w:val="22"/>
                <w:lang w:val="es-ES"/>
              </w:rPr>
              <w:t xml:space="preserve">Nombre del miembro de la </w:t>
            </w:r>
            <w:r w:rsidRPr="00313596">
              <w:rPr>
                <w:rFonts w:ascii="Arial" w:hAnsi="Arial" w:cs="Arial"/>
                <w:spacing w:val="-7"/>
                <w:sz w:val="22"/>
                <w:szCs w:val="22"/>
                <w:lang w:val="es-ES"/>
              </w:rPr>
              <w:t>APCA</w:t>
            </w:r>
            <w:r w:rsidRPr="00313596">
              <w:rPr>
                <w:rFonts w:ascii="Arial" w:hAnsi="Arial" w:cs="Arial"/>
                <w:spacing w:val="-2"/>
                <w:sz w:val="22"/>
                <w:szCs w:val="22"/>
                <w:lang w:val="es-ES"/>
              </w:rPr>
              <w:t>:</w:t>
            </w:r>
          </w:p>
        </w:tc>
      </w:tr>
      <w:tr w:rsidR="008C0885" w:rsidRPr="00313596" w14:paraId="651410EB" w14:textId="77777777" w:rsidTr="003D50ED">
        <w:tc>
          <w:tcPr>
            <w:tcW w:w="9360" w:type="dxa"/>
            <w:tcBorders>
              <w:top w:val="single" w:sz="2" w:space="0" w:color="auto"/>
              <w:left w:val="single" w:sz="2" w:space="0" w:color="auto"/>
              <w:bottom w:val="single" w:sz="2" w:space="0" w:color="auto"/>
              <w:right w:val="single" w:sz="2" w:space="0" w:color="auto"/>
            </w:tcBorders>
          </w:tcPr>
          <w:p w14:paraId="57369C39" w14:textId="77777777" w:rsidR="008C0885" w:rsidRPr="00313596" w:rsidRDefault="008C0885" w:rsidP="000C6174">
            <w:pPr>
              <w:spacing w:before="40" w:after="60"/>
              <w:ind w:left="540" w:hanging="450"/>
              <w:rPr>
                <w:rFonts w:ascii="Arial" w:hAnsi="Arial" w:cs="Arial"/>
                <w:spacing w:val="-2"/>
                <w:sz w:val="22"/>
                <w:szCs w:val="22"/>
                <w:lang w:val="es-ES"/>
              </w:rPr>
            </w:pPr>
            <w:r w:rsidRPr="00313596">
              <w:rPr>
                <w:rFonts w:ascii="Arial" w:hAnsi="Arial" w:cs="Arial"/>
                <w:spacing w:val="-2"/>
                <w:sz w:val="22"/>
                <w:szCs w:val="22"/>
                <w:lang w:val="es-ES"/>
              </w:rPr>
              <w:t xml:space="preserve">País de inscripción del miembro de la </w:t>
            </w:r>
            <w:r w:rsidRPr="00313596">
              <w:rPr>
                <w:rFonts w:ascii="Arial" w:hAnsi="Arial" w:cs="Arial"/>
                <w:spacing w:val="-7"/>
                <w:sz w:val="22"/>
                <w:szCs w:val="22"/>
                <w:lang w:val="es-ES"/>
              </w:rPr>
              <w:t>APCA</w:t>
            </w:r>
            <w:r w:rsidRPr="00313596">
              <w:rPr>
                <w:rFonts w:ascii="Arial" w:hAnsi="Arial" w:cs="Arial"/>
                <w:spacing w:val="-2"/>
                <w:sz w:val="22"/>
                <w:szCs w:val="22"/>
                <w:lang w:val="es-ES"/>
              </w:rPr>
              <w:t>:</w:t>
            </w:r>
          </w:p>
        </w:tc>
      </w:tr>
      <w:tr w:rsidR="008C0885" w:rsidRPr="00313596" w14:paraId="3EA0F840" w14:textId="77777777" w:rsidTr="003D50ED">
        <w:tc>
          <w:tcPr>
            <w:tcW w:w="9360" w:type="dxa"/>
            <w:tcBorders>
              <w:top w:val="single" w:sz="2" w:space="0" w:color="auto"/>
              <w:left w:val="single" w:sz="2" w:space="0" w:color="auto"/>
              <w:bottom w:val="single" w:sz="2" w:space="0" w:color="auto"/>
              <w:right w:val="single" w:sz="2" w:space="0" w:color="auto"/>
            </w:tcBorders>
          </w:tcPr>
          <w:p w14:paraId="4DD9FBE2" w14:textId="77777777" w:rsidR="008C0885" w:rsidRPr="00313596" w:rsidRDefault="008C0885" w:rsidP="000C6174">
            <w:pPr>
              <w:spacing w:before="40" w:after="60"/>
              <w:ind w:left="540" w:hanging="450"/>
              <w:rPr>
                <w:rFonts w:ascii="Arial" w:hAnsi="Arial" w:cs="Arial"/>
                <w:spacing w:val="-2"/>
                <w:sz w:val="22"/>
                <w:szCs w:val="22"/>
                <w:lang w:val="es-ES"/>
              </w:rPr>
            </w:pPr>
            <w:r w:rsidRPr="00313596">
              <w:rPr>
                <w:rFonts w:ascii="Arial" w:hAnsi="Arial" w:cs="Arial"/>
                <w:spacing w:val="-2"/>
                <w:sz w:val="22"/>
                <w:szCs w:val="22"/>
                <w:lang w:val="es-ES"/>
              </w:rPr>
              <w:t xml:space="preserve">Año de constitución del miembro de la </w:t>
            </w:r>
            <w:r w:rsidRPr="00313596">
              <w:rPr>
                <w:rFonts w:ascii="Arial" w:hAnsi="Arial" w:cs="Arial"/>
                <w:spacing w:val="-7"/>
                <w:sz w:val="22"/>
                <w:szCs w:val="22"/>
                <w:lang w:val="es-ES"/>
              </w:rPr>
              <w:t>APCA</w:t>
            </w:r>
            <w:r w:rsidRPr="00313596">
              <w:rPr>
                <w:rFonts w:ascii="Arial" w:hAnsi="Arial" w:cs="Arial"/>
                <w:spacing w:val="-2"/>
                <w:sz w:val="22"/>
                <w:szCs w:val="22"/>
                <w:lang w:val="es-ES"/>
              </w:rPr>
              <w:t>:</w:t>
            </w:r>
          </w:p>
        </w:tc>
      </w:tr>
      <w:tr w:rsidR="008C0885" w:rsidRPr="00313596" w14:paraId="510259D7" w14:textId="77777777" w:rsidTr="003D50ED">
        <w:tc>
          <w:tcPr>
            <w:tcW w:w="9360" w:type="dxa"/>
            <w:tcBorders>
              <w:top w:val="single" w:sz="2" w:space="0" w:color="auto"/>
              <w:left w:val="single" w:sz="2" w:space="0" w:color="auto"/>
              <w:right w:val="single" w:sz="2" w:space="0" w:color="auto"/>
            </w:tcBorders>
          </w:tcPr>
          <w:p w14:paraId="40607F59" w14:textId="77777777" w:rsidR="008C0885" w:rsidRPr="00313596" w:rsidRDefault="008C0885" w:rsidP="000C6174">
            <w:pPr>
              <w:spacing w:before="40" w:after="60"/>
              <w:ind w:left="540" w:hanging="450"/>
              <w:rPr>
                <w:rFonts w:ascii="Arial" w:hAnsi="Arial" w:cs="Arial"/>
                <w:spacing w:val="-7"/>
                <w:sz w:val="22"/>
                <w:szCs w:val="22"/>
                <w:lang w:val="es-ES"/>
              </w:rPr>
            </w:pPr>
            <w:r w:rsidRPr="00313596">
              <w:rPr>
                <w:rFonts w:ascii="Arial" w:hAnsi="Arial" w:cs="Arial"/>
                <w:spacing w:val="-7"/>
                <w:sz w:val="22"/>
                <w:szCs w:val="22"/>
                <w:lang w:val="es-ES"/>
              </w:rPr>
              <w:t xml:space="preserve">Domicilio legal del </w:t>
            </w:r>
            <w:r w:rsidRPr="00313596">
              <w:rPr>
                <w:rFonts w:ascii="Arial" w:hAnsi="Arial" w:cs="Arial"/>
                <w:spacing w:val="-2"/>
                <w:sz w:val="22"/>
                <w:szCs w:val="22"/>
                <w:lang w:val="es-ES"/>
              </w:rPr>
              <w:t xml:space="preserve">miembro de la </w:t>
            </w:r>
            <w:r w:rsidRPr="00313596">
              <w:rPr>
                <w:rFonts w:ascii="Arial" w:hAnsi="Arial" w:cs="Arial"/>
                <w:spacing w:val="-7"/>
                <w:sz w:val="22"/>
                <w:szCs w:val="22"/>
                <w:lang w:val="es-ES"/>
              </w:rPr>
              <w:t>APCA en el país de constitución:</w:t>
            </w:r>
          </w:p>
        </w:tc>
      </w:tr>
      <w:tr w:rsidR="008C0885" w:rsidRPr="00313596" w14:paraId="08B3B54B" w14:textId="77777777" w:rsidTr="003D50ED">
        <w:tc>
          <w:tcPr>
            <w:tcW w:w="9360" w:type="dxa"/>
            <w:tcBorders>
              <w:top w:val="single" w:sz="2" w:space="0" w:color="auto"/>
              <w:left w:val="single" w:sz="2" w:space="0" w:color="auto"/>
              <w:bottom w:val="single" w:sz="2" w:space="0" w:color="auto"/>
              <w:right w:val="single" w:sz="2" w:space="0" w:color="auto"/>
            </w:tcBorders>
          </w:tcPr>
          <w:p w14:paraId="623D6525" w14:textId="77777777" w:rsidR="008C0885" w:rsidRPr="00313596" w:rsidRDefault="008C0885" w:rsidP="000C6174">
            <w:pPr>
              <w:spacing w:before="40" w:after="60"/>
              <w:ind w:left="90"/>
              <w:rPr>
                <w:rFonts w:ascii="Arial" w:hAnsi="Arial" w:cs="Arial"/>
                <w:spacing w:val="-2"/>
                <w:sz w:val="22"/>
                <w:szCs w:val="22"/>
                <w:lang w:val="es-ES"/>
              </w:rPr>
            </w:pPr>
            <w:r w:rsidRPr="00313596">
              <w:rPr>
                <w:rFonts w:ascii="Arial" w:hAnsi="Arial" w:cs="Arial"/>
                <w:spacing w:val="-2"/>
                <w:sz w:val="22"/>
                <w:szCs w:val="22"/>
                <w:lang w:val="es-ES"/>
              </w:rPr>
              <w:t xml:space="preserve">Información sobre el representante autorizado del miembro de la </w:t>
            </w:r>
            <w:r w:rsidRPr="00313596">
              <w:rPr>
                <w:rFonts w:ascii="Arial" w:hAnsi="Arial" w:cs="Arial"/>
                <w:spacing w:val="-7"/>
                <w:sz w:val="22"/>
                <w:szCs w:val="22"/>
                <w:lang w:val="es-ES"/>
              </w:rPr>
              <w:t>APCA</w:t>
            </w:r>
          </w:p>
          <w:p w14:paraId="685E26B0" w14:textId="77777777" w:rsidR="008C0885" w:rsidRPr="00313596" w:rsidRDefault="008C0885" w:rsidP="000C6174">
            <w:pPr>
              <w:spacing w:before="40" w:after="60"/>
              <w:ind w:left="90"/>
              <w:rPr>
                <w:rFonts w:ascii="Arial" w:hAnsi="Arial" w:cs="Arial"/>
                <w:spacing w:val="6"/>
                <w:sz w:val="22"/>
                <w:szCs w:val="22"/>
                <w:lang w:val="es-ES"/>
              </w:rPr>
            </w:pPr>
            <w:r w:rsidRPr="00313596">
              <w:rPr>
                <w:rFonts w:ascii="Arial" w:hAnsi="Arial" w:cs="Arial"/>
                <w:spacing w:val="-2"/>
                <w:sz w:val="22"/>
                <w:szCs w:val="22"/>
                <w:lang w:val="es-ES"/>
              </w:rPr>
              <w:t>Nombre: _____________________________________</w:t>
            </w:r>
          </w:p>
          <w:p w14:paraId="7EFF1D81" w14:textId="77777777" w:rsidR="008C0885" w:rsidRPr="00313596" w:rsidRDefault="008C0885" w:rsidP="000C6174">
            <w:pPr>
              <w:spacing w:before="40" w:after="60"/>
              <w:ind w:left="90"/>
              <w:rPr>
                <w:rFonts w:ascii="Arial" w:hAnsi="Arial" w:cs="Arial"/>
                <w:i/>
                <w:spacing w:val="1"/>
                <w:sz w:val="22"/>
                <w:szCs w:val="22"/>
                <w:lang w:val="es-ES"/>
              </w:rPr>
            </w:pPr>
            <w:r w:rsidRPr="00313596">
              <w:rPr>
                <w:rFonts w:ascii="Arial" w:hAnsi="Arial" w:cs="Arial"/>
                <w:spacing w:val="-2"/>
                <w:sz w:val="22"/>
                <w:szCs w:val="22"/>
                <w:lang w:val="es-ES"/>
              </w:rPr>
              <w:t xml:space="preserve">Dirección: </w:t>
            </w:r>
            <w:r w:rsidRPr="00313596">
              <w:rPr>
                <w:rFonts w:ascii="Arial" w:hAnsi="Arial" w:cs="Arial"/>
                <w:i/>
                <w:spacing w:val="1"/>
                <w:sz w:val="22"/>
                <w:szCs w:val="22"/>
                <w:lang w:val="es-ES"/>
              </w:rPr>
              <w:t>___________________________________</w:t>
            </w:r>
          </w:p>
          <w:p w14:paraId="1C1BC976" w14:textId="77777777" w:rsidR="008C0885" w:rsidRPr="00313596" w:rsidRDefault="008C0885" w:rsidP="000C6174">
            <w:pPr>
              <w:spacing w:before="40" w:after="60"/>
              <w:ind w:left="90"/>
              <w:rPr>
                <w:rFonts w:ascii="Arial" w:hAnsi="Arial" w:cs="Arial"/>
                <w:spacing w:val="-2"/>
                <w:sz w:val="22"/>
                <w:szCs w:val="22"/>
                <w:lang w:val="es-ES"/>
              </w:rPr>
            </w:pPr>
            <w:r w:rsidRPr="00313596">
              <w:rPr>
                <w:rFonts w:ascii="Arial" w:hAnsi="Arial" w:cs="Arial"/>
                <w:spacing w:val="-2"/>
                <w:sz w:val="22"/>
                <w:szCs w:val="22"/>
                <w:lang w:val="es-ES"/>
              </w:rPr>
              <w:t xml:space="preserve">Números de teléfono: </w:t>
            </w:r>
            <w:r w:rsidRPr="00313596">
              <w:rPr>
                <w:rFonts w:ascii="Arial" w:hAnsi="Arial" w:cs="Arial"/>
                <w:i/>
                <w:sz w:val="22"/>
                <w:szCs w:val="22"/>
                <w:lang w:val="es-ES"/>
              </w:rPr>
              <w:t>_______________________</w:t>
            </w:r>
          </w:p>
          <w:p w14:paraId="710C8769" w14:textId="77777777" w:rsidR="008C0885" w:rsidRPr="00313596" w:rsidRDefault="008C0885" w:rsidP="000C6174">
            <w:pPr>
              <w:spacing w:before="40" w:after="60"/>
              <w:ind w:left="540" w:hanging="450"/>
              <w:rPr>
                <w:rFonts w:ascii="Arial" w:hAnsi="Arial" w:cs="Arial"/>
                <w:i/>
                <w:iCs/>
                <w:spacing w:val="2"/>
                <w:sz w:val="22"/>
                <w:szCs w:val="22"/>
                <w:lang w:val="es-ES"/>
              </w:rPr>
            </w:pPr>
            <w:r w:rsidRPr="00313596">
              <w:rPr>
                <w:rFonts w:ascii="Arial" w:hAnsi="Arial" w:cs="Arial"/>
                <w:spacing w:val="-6"/>
                <w:sz w:val="22"/>
                <w:szCs w:val="22"/>
                <w:lang w:val="es-ES"/>
              </w:rPr>
              <w:t>Dirección de correo electrónico: _____________________________</w:t>
            </w:r>
          </w:p>
        </w:tc>
      </w:tr>
      <w:tr w:rsidR="008C0885" w:rsidRPr="00313596" w14:paraId="0D4BD6D9" w14:textId="77777777" w:rsidTr="003D50ED">
        <w:tc>
          <w:tcPr>
            <w:tcW w:w="9360" w:type="dxa"/>
            <w:tcBorders>
              <w:top w:val="single" w:sz="2" w:space="0" w:color="auto"/>
              <w:left w:val="single" w:sz="2" w:space="0" w:color="auto"/>
              <w:bottom w:val="single" w:sz="2" w:space="0" w:color="auto"/>
              <w:right w:val="single" w:sz="2" w:space="0" w:color="auto"/>
            </w:tcBorders>
          </w:tcPr>
          <w:p w14:paraId="713EB252" w14:textId="77777777" w:rsidR="008C0885" w:rsidRPr="00313596" w:rsidRDefault="008C0885" w:rsidP="000C6174">
            <w:pPr>
              <w:spacing w:before="40" w:after="60"/>
              <w:ind w:left="90" w:right="196"/>
              <w:rPr>
                <w:rFonts w:ascii="Arial" w:hAnsi="Arial" w:cs="Arial"/>
                <w:i/>
                <w:iCs/>
                <w:spacing w:val="-8"/>
                <w:sz w:val="22"/>
                <w:szCs w:val="22"/>
                <w:lang w:val="es-ES"/>
              </w:rPr>
            </w:pPr>
            <w:r w:rsidRPr="00313596">
              <w:rPr>
                <w:rFonts w:ascii="Arial" w:hAnsi="Arial" w:cs="Arial"/>
                <w:spacing w:val="-2"/>
                <w:sz w:val="22"/>
                <w:szCs w:val="22"/>
                <w:lang w:val="es-ES"/>
              </w:rPr>
              <w:t xml:space="preserve">Se deberá adjuntar copia del original de la escritura de constitución (o los documentos equivalentes de constitución o asociación) y/o los documentos de inscripción de la entidad jurídica mencionada arriba, conforme a lo dispuesto en la IAO 23.4 </w:t>
            </w:r>
          </w:p>
        </w:tc>
      </w:tr>
    </w:tbl>
    <w:bookmarkEnd w:id="386"/>
    <w:bookmarkEnd w:id="387"/>
    <w:p w14:paraId="317DFB67" w14:textId="77777777" w:rsidR="008C0885" w:rsidRPr="00313596" w:rsidRDefault="008C0885" w:rsidP="000C6174">
      <w:pPr>
        <w:spacing w:before="120" w:after="120"/>
        <w:jc w:val="left"/>
        <w:rPr>
          <w:rFonts w:ascii="Arial" w:hAnsi="Arial" w:cs="Arial"/>
          <w:b/>
          <w:sz w:val="22"/>
          <w:szCs w:val="22"/>
        </w:rPr>
      </w:pPr>
      <w:r w:rsidRPr="00313596">
        <w:rPr>
          <w:rFonts w:ascii="Arial" w:hAnsi="Arial" w:cs="Arial"/>
          <w:b/>
          <w:sz w:val="22"/>
          <w:szCs w:val="22"/>
        </w:rPr>
        <w:lastRenderedPageBreak/>
        <w:t>FORMULARIO CC - 4</w:t>
      </w:r>
    </w:p>
    <w:p w14:paraId="49227D9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313596">
        <w:rPr>
          <w:rFonts w:ascii="Arial" w:hAnsi="Arial" w:cs="Arial"/>
          <w:b/>
          <w:sz w:val="22"/>
          <w:szCs w:val="22"/>
        </w:rPr>
        <w:t>Anexo 1 de la Carta de presentación de la propuesta</w:t>
      </w:r>
    </w:p>
    <w:p w14:paraId="4B38647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4D7310EE" w14:textId="77777777" w:rsidR="0086201A" w:rsidRPr="00344818" w:rsidRDefault="0086201A" w:rsidP="0086201A">
      <w:pPr>
        <w:spacing w:before="120" w:after="120"/>
        <w:jc w:val="center"/>
        <w:rPr>
          <w:rFonts w:ascii="Arial" w:hAnsi="Arial" w:cs="Arial"/>
          <w:b/>
          <w:sz w:val="22"/>
          <w:szCs w:val="22"/>
        </w:rPr>
      </w:pPr>
      <w:r w:rsidRPr="00344818">
        <w:rPr>
          <w:rFonts w:ascii="Arial" w:hAnsi="Arial" w:cs="Arial"/>
          <w:b/>
          <w:sz w:val="22"/>
          <w:szCs w:val="22"/>
        </w:rPr>
        <w:t>Declaración Notariada</w:t>
      </w:r>
    </w:p>
    <w:p w14:paraId="525D6349" w14:textId="77777777" w:rsidR="008C0885" w:rsidRPr="00313596" w:rsidRDefault="008C0885" w:rsidP="000C6174">
      <w:pPr>
        <w:spacing w:before="120" w:after="120"/>
        <w:jc w:val="center"/>
        <w:rPr>
          <w:rFonts w:ascii="Arial" w:hAnsi="Arial" w:cs="Arial"/>
          <w:b/>
          <w:sz w:val="22"/>
          <w:szCs w:val="22"/>
          <w:lang w:val="es-HN"/>
        </w:rPr>
      </w:pPr>
    </w:p>
    <w:p w14:paraId="63B6C5C7" w14:textId="77777777" w:rsidR="008C0885" w:rsidRPr="00313596" w:rsidRDefault="008C0885" w:rsidP="000C6174">
      <w:pPr>
        <w:spacing w:before="100" w:after="100"/>
        <w:ind w:left="3827" w:right="-17" w:hanging="3827"/>
        <w:rPr>
          <w:rFonts w:ascii="Arial" w:eastAsia="Cambria" w:hAnsi="Arial" w:cs="Arial"/>
          <w:i/>
          <w:sz w:val="22"/>
          <w:szCs w:val="22"/>
        </w:rPr>
      </w:pPr>
      <w:r w:rsidRPr="00313596">
        <w:rPr>
          <w:rFonts w:ascii="Arial" w:eastAsia="Cambria" w:hAnsi="Arial" w:cs="Arial"/>
          <w:sz w:val="22"/>
          <w:szCs w:val="22"/>
        </w:rPr>
        <w:t xml:space="preserve">Licitación Pública Internacional No: </w:t>
      </w:r>
      <w:r w:rsidRPr="00313596">
        <w:rPr>
          <w:rFonts w:ascii="Arial" w:eastAsia="Cambria" w:hAnsi="Arial" w:cs="Arial"/>
          <w:i/>
          <w:sz w:val="22"/>
          <w:szCs w:val="22"/>
        </w:rPr>
        <w:t>(colocar el nombre y número de identificación de la licitación)</w:t>
      </w:r>
    </w:p>
    <w:p w14:paraId="75CE5076" w14:textId="77777777" w:rsidR="008C0885" w:rsidRPr="00313596" w:rsidRDefault="008C0885" w:rsidP="000C6174">
      <w:pPr>
        <w:spacing w:before="100" w:after="100"/>
        <w:rPr>
          <w:rFonts w:ascii="Arial" w:hAnsi="Arial" w:cs="Arial"/>
          <w:sz w:val="22"/>
          <w:szCs w:val="22"/>
          <w:lang w:val="es-ES"/>
        </w:rPr>
      </w:pPr>
      <w:r w:rsidRPr="00313596">
        <w:rPr>
          <w:rFonts w:ascii="Arial" w:hAnsi="Arial" w:cs="Arial"/>
          <w:sz w:val="22"/>
          <w:szCs w:val="22"/>
          <w:lang w:val="es-ES"/>
        </w:rPr>
        <w:t xml:space="preserve">Yo </w:t>
      </w:r>
      <w:r w:rsidRPr="00313596">
        <w:rPr>
          <w:rFonts w:ascii="Arial" w:hAnsi="Arial" w:cs="Arial"/>
          <w:i/>
          <w:color w:val="FF0000"/>
          <w:sz w:val="22"/>
          <w:szCs w:val="22"/>
          <w:lang w:val="es-ES"/>
        </w:rPr>
        <w:t xml:space="preserve">(Nombre de la persona acreditada en el Poder de Representación) </w:t>
      </w:r>
      <w:r w:rsidRPr="00313596">
        <w:rPr>
          <w:rFonts w:ascii="Arial" w:hAnsi="Arial" w:cs="Arial"/>
          <w:sz w:val="22"/>
          <w:szCs w:val="22"/>
          <w:lang w:val="es-ES"/>
        </w:rPr>
        <w:t>_</w:t>
      </w:r>
      <w:r w:rsidRPr="00313596" w:rsidDel="005D1933">
        <w:rPr>
          <w:rFonts w:ascii="Arial" w:hAnsi="Arial" w:cs="Arial"/>
          <w:sz w:val="22"/>
          <w:szCs w:val="22"/>
          <w:lang w:val="es-ES"/>
        </w:rPr>
        <w:t xml:space="preserve"> </w:t>
      </w:r>
      <w:r w:rsidRPr="00313596">
        <w:rPr>
          <w:rFonts w:ascii="Arial" w:hAnsi="Arial" w:cs="Arial"/>
          <w:sz w:val="22"/>
          <w:szCs w:val="22"/>
          <w:lang w:val="es-ES"/>
        </w:rPr>
        <w:t xml:space="preserve">_______________________, con documento de identificación ______________________________número   _______________, en mi carácter de representante legal de </w:t>
      </w:r>
      <w:r w:rsidRPr="00313596">
        <w:rPr>
          <w:rFonts w:ascii="Arial" w:hAnsi="Arial" w:cs="Arial"/>
          <w:i/>
          <w:sz w:val="22"/>
          <w:szCs w:val="22"/>
          <w:lang w:val="es-ES"/>
        </w:rPr>
        <w:t>(Nombre del oferente de acuerdo al CC-3)</w:t>
      </w:r>
      <w:r w:rsidRPr="00313596">
        <w:rPr>
          <w:rFonts w:ascii="Arial" w:hAnsi="Arial" w:cs="Arial"/>
          <w:sz w:val="22"/>
          <w:szCs w:val="22"/>
          <w:lang w:val="es-ES"/>
        </w:rPr>
        <w:t>_______,</w:t>
      </w:r>
    </w:p>
    <w:p w14:paraId="06F1B1A9" w14:textId="77777777" w:rsidR="008C0885" w:rsidRPr="00313596" w:rsidRDefault="008C0885" w:rsidP="000C6174">
      <w:pPr>
        <w:spacing w:before="100" w:after="100"/>
        <w:rPr>
          <w:rFonts w:ascii="Arial" w:hAnsi="Arial" w:cs="Arial"/>
          <w:sz w:val="22"/>
          <w:szCs w:val="22"/>
          <w:lang w:val="es-ES"/>
        </w:rPr>
      </w:pPr>
      <w:r w:rsidRPr="00313596">
        <w:rPr>
          <w:rFonts w:ascii="Arial" w:hAnsi="Arial" w:cs="Arial"/>
          <w:sz w:val="22"/>
          <w:szCs w:val="22"/>
          <w:lang w:val="es-ES"/>
        </w:rPr>
        <w:t>Certifico y declaro lo siguiente:</w:t>
      </w:r>
    </w:p>
    <w:p w14:paraId="01395E5D" w14:textId="77777777" w:rsidR="008C0885" w:rsidRPr="00313596" w:rsidRDefault="008C0885" w:rsidP="003B68DB">
      <w:pPr>
        <w:pStyle w:val="Prrafodelista"/>
        <w:numPr>
          <w:ilvl w:val="0"/>
          <w:numId w:val="61"/>
        </w:numPr>
        <w:spacing w:before="100" w:after="100" w:line="259" w:lineRule="auto"/>
        <w:ind w:left="576" w:hanging="288"/>
        <w:contextualSpacing/>
        <w:rPr>
          <w:rFonts w:ascii="Arial" w:hAnsi="Arial" w:cs="Arial"/>
          <w:sz w:val="22"/>
          <w:szCs w:val="22"/>
          <w:lang w:val="es-ES"/>
        </w:rPr>
      </w:pPr>
      <w:r w:rsidRPr="00313596">
        <w:rPr>
          <w:rFonts w:ascii="Arial" w:hAnsi="Arial" w:cs="Arial"/>
          <w:sz w:val="22"/>
          <w:szCs w:val="22"/>
          <w:lang w:val="es-ES"/>
        </w:rPr>
        <w:t>Que mi representada</w:t>
      </w:r>
      <w:r w:rsidRPr="00313596">
        <w:rPr>
          <w:rFonts w:ascii="Arial" w:hAnsi="Arial" w:cs="Arial"/>
          <w:sz w:val="22"/>
          <w:szCs w:val="22"/>
        </w:rPr>
        <w:t xml:space="preserve">, </w:t>
      </w:r>
      <w:r w:rsidRPr="00313596">
        <w:rPr>
          <w:rFonts w:ascii="Arial" w:hAnsi="Arial" w:cs="Arial"/>
          <w:sz w:val="22"/>
          <w:szCs w:val="22"/>
          <w:lang w:val="es-ES"/>
        </w:rPr>
        <w:t>sus agentes, su personal, contratistas, consultores, directores, funcionarios o accionistas</w:t>
      </w:r>
      <w:r w:rsidRPr="00313596">
        <w:rPr>
          <w:rFonts w:ascii="Arial" w:hAnsi="Arial" w:cs="Arial"/>
          <w:sz w:val="22"/>
          <w:szCs w:val="22"/>
        </w:rPr>
        <w:t xml:space="preserve"> </w:t>
      </w:r>
      <w:r w:rsidRPr="00313596">
        <w:rPr>
          <w:rFonts w:ascii="Arial" w:hAnsi="Arial" w:cs="Arial"/>
          <w:sz w:val="22"/>
          <w:szCs w:val="22"/>
          <w:lang w:val="es-ES"/>
        </w:rPr>
        <w:t>no tiene relación alguna, ni se ha visto involucrados en actividades relacionadas con el lavado de activos y financiamiento del terrorismo;</w:t>
      </w:r>
    </w:p>
    <w:p w14:paraId="10E5D195" w14:textId="77777777" w:rsidR="008C0885" w:rsidRPr="00313596" w:rsidRDefault="008C0885" w:rsidP="003B68DB">
      <w:pPr>
        <w:pStyle w:val="Prrafodelista"/>
        <w:numPr>
          <w:ilvl w:val="0"/>
          <w:numId w:val="61"/>
        </w:numPr>
        <w:spacing w:before="100" w:after="100"/>
        <w:ind w:left="576" w:hanging="288"/>
        <w:contextualSpacing/>
        <w:rPr>
          <w:rFonts w:ascii="Arial" w:hAnsi="Arial" w:cs="Arial"/>
          <w:sz w:val="22"/>
          <w:szCs w:val="22"/>
          <w:lang w:val="es-ES"/>
        </w:rPr>
      </w:pPr>
      <w:r w:rsidRPr="00313596">
        <w:rPr>
          <w:rFonts w:ascii="Arial" w:hAnsi="Arial" w:cs="Arial"/>
          <w:sz w:val="22"/>
          <w:szCs w:val="22"/>
          <w:lang w:val="es-ES"/>
        </w:rPr>
        <w:t>No se encuentra en convocatoria de acreedores, quiebra o liquidación;</w:t>
      </w:r>
    </w:p>
    <w:p w14:paraId="5BA5F2A8" w14:textId="77777777" w:rsidR="008C0885" w:rsidRPr="00313596" w:rsidRDefault="008C0885" w:rsidP="003B68DB">
      <w:pPr>
        <w:pStyle w:val="Prrafodelista"/>
        <w:numPr>
          <w:ilvl w:val="0"/>
          <w:numId w:val="61"/>
        </w:numPr>
        <w:spacing w:before="100" w:after="100"/>
        <w:ind w:left="576" w:hanging="288"/>
        <w:contextualSpacing/>
        <w:rPr>
          <w:rFonts w:ascii="Arial" w:hAnsi="Arial" w:cs="Arial"/>
          <w:sz w:val="22"/>
          <w:szCs w:val="22"/>
          <w:lang w:val="es-ES"/>
        </w:rPr>
      </w:pPr>
      <w:r w:rsidRPr="00313596">
        <w:rPr>
          <w:rFonts w:ascii="Arial" w:hAnsi="Arial" w:cs="Arial"/>
          <w:sz w:val="22"/>
          <w:szCs w:val="22"/>
          <w:lang w:val="es-ES"/>
        </w:rPr>
        <w:t>No se encuentra en interdicción judicial;</w:t>
      </w:r>
    </w:p>
    <w:p w14:paraId="085AFED9" w14:textId="77777777" w:rsidR="008C0885" w:rsidRPr="00313596" w:rsidRDefault="008C0885" w:rsidP="003B68DB">
      <w:pPr>
        <w:pStyle w:val="Prrafodelista"/>
        <w:numPr>
          <w:ilvl w:val="0"/>
          <w:numId w:val="61"/>
        </w:numPr>
        <w:spacing w:before="100" w:after="100"/>
        <w:ind w:left="576" w:hanging="288"/>
        <w:contextualSpacing/>
        <w:rPr>
          <w:rFonts w:ascii="Arial" w:hAnsi="Arial" w:cs="Arial"/>
          <w:sz w:val="22"/>
          <w:szCs w:val="22"/>
          <w:lang w:val="es-ES"/>
        </w:rPr>
      </w:pPr>
      <w:r w:rsidRPr="00313596">
        <w:rPr>
          <w:rFonts w:ascii="Arial" w:hAnsi="Arial" w:cs="Arial"/>
          <w:sz w:val="22"/>
          <w:szCs w:val="22"/>
          <w:lang w:val="es-ES"/>
        </w:rPr>
        <w:t>No tiene conflicto de Interés de acuerdo con lo descrito en las Instrucciones para los Oferentes y Datos de la Licitación;</w:t>
      </w:r>
    </w:p>
    <w:p w14:paraId="25EF8487" w14:textId="77777777" w:rsidR="008C0885" w:rsidRPr="00313596" w:rsidRDefault="008C0885" w:rsidP="003B68DB">
      <w:pPr>
        <w:pStyle w:val="Prrafodelista"/>
        <w:numPr>
          <w:ilvl w:val="0"/>
          <w:numId w:val="61"/>
        </w:numPr>
        <w:spacing w:before="100" w:after="100"/>
        <w:ind w:left="576" w:hanging="288"/>
        <w:contextualSpacing/>
        <w:rPr>
          <w:rFonts w:ascii="Arial" w:hAnsi="Arial" w:cs="Arial"/>
          <w:sz w:val="22"/>
          <w:szCs w:val="22"/>
          <w:lang w:val="es-ES"/>
        </w:rPr>
      </w:pPr>
      <w:r w:rsidRPr="00313596">
        <w:rPr>
          <w:rFonts w:ascii="Arial" w:hAnsi="Arial" w:cs="Arial"/>
          <w:sz w:val="22"/>
          <w:szCs w:val="22"/>
          <w:lang w:val="es-ES"/>
        </w:rPr>
        <w:t>Que mi representada, sus agentes, su personal, contratistas, consultores, directores, funcionarios o accionistas no se encuentran incluidos en la Lista de Contrapartes Prohibidas del BCIE u otra lista de inelegibilidad del BCIE;</w:t>
      </w:r>
    </w:p>
    <w:p w14:paraId="70BC03A2" w14:textId="77777777" w:rsidR="008C0885" w:rsidRPr="00313596" w:rsidRDefault="008C0885" w:rsidP="003B68DB">
      <w:pPr>
        <w:pStyle w:val="Prrafodelista"/>
        <w:numPr>
          <w:ilvl w:val="0"/>
          <w:numId w:val="61"/>
        </w:numPr>
        <w:spacing w:before="100" w:after="100" w:line="259" w:lineRule="auto"/>
        <w:ind w:left="576" w:hanging="288"/>
        <w:contextualSpacing/>
        <w:rPr>
          <w:rFonts w:ascii="Arial" w:hAnsi="Arial" w:cs="Arial"/>
          <w:sz w:val="22"/>
          <w:szCs w:val="22"/>
          <w:lang w:val="es-ES"/>
        </w:rPr>
      </w:pPr>
      <w:r w:rsidRPr="00313596">
        <w:rPr>
          <w:rFonts w:ascii="Arial" w:hAnsi="Arial" w:cs="Arial"/>
          <w:sz w:val="22"/>
          <w:szCs w:val="22"/>
          <w:lang w:val="es-ES"/>
        </w:rPr>
        <w:t>Que mi representada, sus agentes, su personal, contratistas, consultores, directores, funcionarios o accionistas no han sido inhabilitados o declarados por una entidad u autoridad como inelegibles para la obtención de recursos o la adjudicación de contratos financiados por cualquier otra entidad, mientras se encuentre vigente la sanción;</w:t>
      </w:r>
    </w:p>
    <w:p w14:paraId="77E460D3" w14:textId="77777777" w:rsidR="008C0885" w:rsidRPr="00313596" w:rsidRDefault="008C0885" w:rsidP="003B68DB">
      <w:pPr>
        <w:pStyle w:val="Prrafodelista"/>
        <w:numPr>
          <w:ilvl w:val="0"/>
          <w:numId w:val="61"/>
        </w:numPr>
        <w:spacing w:before="100" w:after="100" w:line="259" w:lineRule="auto"/>
        <w:ind w:left="576" w:hanging="288"/>
        <w:contextualSpacing/>
        <w:rPr>
          <w:rFonts w:ascii="Arial" w:hAnsi="Arial" w:cs="Arial"/>
          <w:sz w:val="22"/>
          <w:szCs w:val="22"/>
          <w:lang w:val="es-ES"/>
        </w:rPr>
      </w:pPr>
      <w:r w:rsidRPr="00313596">
        <w:rPr>
          <w:rFonts w:ascii="Arial" w:hAnsi="Arial" w:cs="Arial"/>
          <w:sz w:val="22"/>
          <w:szCs w:val="22"/>
          <w:lang w:val="es-ES"/>
        </w:rPr>
        <w:t>Que mi representada, sus agentes, su personal, contratistas, consultores, directores, funcionarios o accionistas no han sido declarados culpables de delitos o sanciones vinculadas con Prácticas Prohibidas por parte de la autoridad competente.</w:t>
      </w:r>
    </w:p>
    <w:p w14:paraId="0F636BFA" w14:textId="77777777" w:rsidR="008C0885" w:rsidRPr="00313596" w:rsidRDefault="008C0885" w:rsidP="003B68DB">
      <w:pPr>
        <w:pStyle w:val="Prrafodelista"/>
        <w:numPr>
          <w:ilvl w:val="0"/>
          <w:numId w:val="61"/>
        </w:numPr>
        <w:spacing w:before="100" w:after="100" w:line="259" w:lineRule="auto"/>
        <w:ind w:left="576" w:hanging="288"/>
        <w:contextualSpacing/>
        <w:rPr>
          <w:rFonts w:ascii="Arial" w:hAnsi="Arial" w:cs="Arial"/>
          <w:sz w:val="22"/>
          <w:szCs w:val="22"/>
          <w:lang w:val="es-ES"/>
        </w:rPr>
      </w:pPr>
      <w:r w:rsidRPr="00313596">
        <w:rPr>
          <w:rFonts w:ascii="Arial" w:hAnsi="Arial" w:cs="Arial"/>
          <w:sz w:val="22"/>
          <w:szCs w:val="22"/>
          <w:lang w:val="es-ES"/>
        </w:rPr>
        <w:t xml:space="preserve">Que mi representada, no tienen antecedentes de incumplimiento de contrato en los últimos 10 años. </w:t>
      </w:r>
    </w:p>
    <w:p w14:paraId="743209E5" w14:textId="77777777" w:rsidR="008C0885" w:rsidRPr="00313596" w:rsidRDefault="008C0885" w:rsidP="000C6174">
      <w:pPr>
        <w:spacing w:before="100" w:after="100"/>
        <w:ind w:right="162"/>
        <w:rPr>
          <w:rFonts w:ascii="Arial" w:hAnsi="Arial" w:cs="Arial"/>
          <w:sz w:val="22"/>
          <w:szCs w:val="22"/>
          <w:lang w:val="es-ES"/>
        </w:rPr>
      </w:pPr>
      <w:r w:rsidRPr="00313596">
        <w:rPr>
          <w:rFonts w:ascii="Arial" w:hAnsi="Arial" w:cs="Arial"/>
          <w:sz w:val="22"/>
          <w:szCs w:val="22"/>
          <w:lang w:val="es-ES"/>
        </w:rPr>
        <w:t xml:space="preserve">Asimismo, autorizo al </w:t>
      </w:r>
      <w:r w:rsidRPr="00313596">
        <w:rPr>
          <w:rFonts w:ascii="Arial" w:hAnsi="Arial" w:cs="Arial"/>
          <w:i/>
          <w:color w:val="FF0000"/>
          <w:sz w:val="22"/>
          <w:szCs w:val="22"/>
          <w:lang w:val="es-HN"/>
        </w:rPr>
        <w:t xml:space="preserve">(Nombre del Contratante) </w:t>
      </w:r>
      <w:r w:rsidRPr="00313596">
        <w:rPr>
          <w:rFonts w:ascii="Arial" w:hAnsi="Arial" w:cs="Arial"/>
          <w:sz w:val="22"/>
          <w:szCs w:val="22"/>
          <w:lang w:val="es-ES"/>
        </w:rPr>
        <w:t xml:space="preserve">correspondiente y al Banco Centroamericano de Integración Económica (BCIE), para que realice las verificaciones que considere pertinentes con el fin de corroborar lo arriba mencionado con cualquier sistema de búsqueda o base de datos de la que el Contratante o el BCIE disponga para tales fines, así como con cualquier autoridad competente que se estime necesario. </w:t>
      </w:r>
    </w:p>
    <w:p w14:paraId="3EB2793F" w14:textId="77777777" w:rsidR="008C0885" w:rsidRPr="00313596" w:rsidRDefault="008C0885" w:rsidP="000C6174">
      <w:pPr>
        <w:spacing w:before="100" w:after="100"/>
        <w:rPr>
          <w:rFonts w:ascii="Arial" w:hAnsi="Arial" w:cs="Arial"/>
          <w:sz w:val="22"/>
          <w:szCs w:val="22"/>
          <w:lang w:val="es-ES"/>
        </w:rPr>
      </w:pPr>
      <w:r w:rsidRPr="00313596">
        <w:rPr>
          <w:rFonts w:ascii="Arial" w:hAnsi="Arial" w:cs="Arial"/>
          <w:sz w:val="22"/>
          <w:szCs w:val="22"/>
          <w:lang w:val="es-ES"/>
        </w:rPr>
        <w:t xml:space="preserve">Igualmente, certifico y declaro conocer la procedencia de los fondos del patrimonio de mi representada y manifiesto que los mismos no provienen de ninguna actividad ilícita. </w:t>
      </w:r>
    </w:p>
    <w:p w14:paraId="5FE244D2" w14:textId="77777777" w:rsidR="008C0885" w:rsidRPr="00313596" w:rsidRDefault="008C0885" w:rsidP="000C6174">
      <w:pPr>
        <w:spacing w:before="100" w:after="100"/>
        <w:rPr>
          <w:rFonts w:ascii="Arial" w:hAnsi="Arial" w:cs="Arial"/>
          <w:sz w:val="22"/>
          <w:szCs w:val="22"/>
          <w:lang w:val="es-ES"/>
        </w:rPr>
      </w:pPr>
      <w:r w:rsidRPr="00313596">
        <w:rPr>
          <w:rFonts w:ascii="Arial" w:hAnsi="Arial" w:cs="Arial"/>
          <w:sz w:val="22"/>
          <w:szCs w:val="22"/>
          <w:lang w:val="es-ES"/>
        </w:rPr>
        <w:t>Finalmente, y de ser el caso, declaro que los fondos suministrados serán administrados conforme a mejores prácticas, transparencia e integridad y en ningún momento serán utilizados para actividades ilícitas.</w:t>
      </w:r>
    </w:p>
    <w:p w14:paraId="06770B74" w14:textId="77777777" w:rsidR="008C0885" w:rsidRPr="00313596" w:rsidRDefault="008C0885" w:rsidP="000C6174">
      <w:pPr>
        <w:tabs>
          <w:tab w:val="left" w:pos="709"/>
        </w:tabs>
        <w:spacing w:before="100" w:after="100"/>
        <w:rPr>
          <w:rFonts w:ascii="Arial" w:hAnsi="Arial" w:cs="Arial"/>
          <w:sz w:val="22"/>
          <w:szCs w:val="22"/>
          <w:lang w:val="es-ES"/>
        </w:rPr>
      </w:pPr>
      <w:r w:rsidRPr="00313596">
        <w:rPr>
          <w:rFonts w:ascii="Arial" w:hAnsi="Arial" w:cs="Arial"/>
          <w:sz w:val="22"/>
          <w:szCs w:val="22"/>
          <w:lang w:val="es-ES"/>
        </w:rPr>
        <w:t>Declaramos adicionalmente que se dará aviso inmediato al Contratante y al BCIE en caso de que en un momento posterior ocurra cualquier cambio en las condiciones antes mencionadas.</w:t>
      </w:r>
    </w:p>
    <w:p w14:paraId="1FFF087B" w14:textId="77777777" w:rsidR="008C0885" w:rsidRPr="00313596" w:rsidRDefault="008C0885" w:rsidP="005002FF">
      <w:pPr>
        <w:tabs>
          <w:tab w:val="left" w:pos="142"/>
        </w:tabs>
        <w:spacing w:before="100" w:after="100"/>
        <w:rPr>
          <w:rFonts w:ascii="Arial" w:hAnsi="Arial" w:cs="Arial"/>
          <w:sz w:val="22"/>
          <w:szCs w:val="22"/>
          <w:lang w:val="es-ES"/>
        </w:rPr>
      </w:pPr>
      <w:r w:rsidRPr="00313596">
        <w:rPr>
          <w:rFonts w:ascii="Arial" w:hAnsi="Arial" w:cs="Arial"/>
          <w:sz w:val="22"/>
          <w:szCs w:val="22"/>
          <w:lang w:val="es-ES"/>
        </w:rPr>
        <w:lastRenderedPageBreak/>
        <w:t>Aceptamos que el Contratante tendrá el derecho de excluirnos de este proceso de licitación si la información pro</w:t>
      </w:r>
      <w:r w:rsidR="005002FF">
        <w:rPr>
          <w:rFonts w:ascii="Arial" w:hAnsi="Arial" w:cs="Arial"/>
          <w:sz w:val="22"/>
          <w:szCs w:val="22"/>
          <w:lang w:val="es-ES"/>
        </w:rPr>
        <w:t>porcionada en esta Declaración notarial</w:t>
      </w:r>
      <w:r w:rsidRPr="00313596">
        <w:rPr>
          <w:rFonts w:ascii="Arial" w:hAnsi="Arial" w:cs="Arial"/>
          <w:sz w:val="22"/>
          <w:szCs w:val="22"/>
          <w:lang w:val="es-ES"/>
        </w:rPr>
        <w:t xml:space="preserve"> es falsa o si el cambio de condición ocurre en un momento posterior a la entrega de esta Declaración</w:t>
      </w:r>
      <w:r w:rsidR="005002FF">
        <w:rPr>
          <w:rFonts w:ascii="Arial" w:hAnsi="Arial" w:cs="Arial"/>
          <w:sz w:val="22"/>
          <w:szCs w:val="22"/>
          <w:lang w:val="es-ES"/>
        </w:rPr>
        <w:t xml:space="preserve"> notarial</w:t>
      </w:r>
      <w:r w:rsidRPr="00313596">
        <w:rPr>
          <w:rFonts w:ascii="Arial" w:hAnsi="Arial" w:cs="Arial"/>
          <w:sz w:val="22"/>
          <w:szCs w:val="22"/>
          <w:lang w:val="es-ES"/>
        </w:rPr>
        <w:t>.</w:t>
      </w:r>
    </w:p>
    <w:p w14:paraId="15F51806" w14:textId="77777777" w:rsidR="008C0885" w:rsidRPr="00313596" w:rsidRDefault="008C0885" w:rsidP="000C6174">
      <w:pPr>
        <w:tabs>
          <w:tab w:val="left" w:pos="-1440"/>
          <w:tab w:val="left" w:pos="-720"/>
          <w:tab w:val="left" w:pos="0"/>
          <w:tab w:val="left" w:pos="720"/>
          <w:tab w:val="left" w:pos="1276"/>
          <w:tab w:val="left" w:pos="5040"/>
          <w:tab w:val="left" w:pos="5760"/>
          <w:tab w:val="left" w:pos="6480"/>
          <w:tab w:val="left" w:pos="7200"/>
          <w:tab w:val="left" w:pos="7920"/>
          <w:tab w:val="left" w:pos="8640"/>
          <w:tab w:val="left" w:pos="9360"/>
        </w:tabs>
        <w:spacing w:before="100" w:after="100"/>
        <w:ind w:left="4536" w:hanging="4536"/>
        <w:contextualSpacing/>
        <w:rPr>
          <w:rFonts w:ascii="Arial" w:hAnsi="Arial" w:cs="Arial"/>
          <w:i/>
          <w:color w:val="FF0000"/>
          <w:sz w:val="22"/>
          <w:szCs w:val="22"/>
        </w:rPr>
      </w:pPr>
      <w:r w:rsidRPr="00313596">
        <w:rPr>
          <w:rFonts w:ascii="Arial" w:hAnsi="Arial" w:cs="Arial"/>
          <w:b/>
          <w:sz w:val="22"/>
          <w:szCs w:val="22"/>
        </w:rPr>
        <w:t>Oferente:</w:t>
      </w:r>
      <w:r w:rsidRPr="00313596">
        <w:rPr>
          <w:rFonts w:ascii="Arial" w:hAnsi="Arial" w:cs="Arial"/>
          <w:b/>
          <w:sz w:val="22"/>
          <w:szCs w:val="22"/>
        </w:rPr>
        <w:tab/>
      </w:r>
      <w:r w:rsidRPr="00313596">
        <w:rPr>
          <w:rFonts w:ascii="Arial" w:hAnsi="Arial" w:cs="Arial"/>
          <w:i/>
          <w:color w:val="FF0000"/>
          <w:sz w:val="22"/>
          <w:szCs w:val="22"/>
        </w:rPr>
        <w:t>(Nombre completo del oferente)</w:t>
      </w:r>
    </w:p>
    <w:p w14:paraId="76A760A3" w14:textId="77777777" w:rsidR="008C0885" w:rsidRPr="00313596" w:rsidRDefault="008C0885" w:rsidP="000C6174">
      <w:pPr>
        <w:tabs>
          <w:tab w:val="left" w:pos="-1440"/>
          <w:tab w:val="left" w:pos="-720"/>
          <w:tab w:val="left" w:pos="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b/>
          <w:sz w:val="22"/>
          <w:szCs w:val="22"/>
        </w:rPr>
      </w:pPr>
      <w:r w:rsidRPr="00313596">
        <w:rPr>
          <w:rFonts w:ascii="Arial" w:hAnsi="Arial" w:cs="Arial"/>
          <w:b/>
          <w:sz w:val="22"/>
          <w:szCs w:val="22"/>
        </w:rPr>
        <w:t xml:space="preserve">Nombre: </w:t>
      </w:r>
      <w:r w:rsidRPr="00313596">
        <w:rPr>
          <w:rFonts w:ascii="Arial" w:hAnsi="Arial" w:cs="Arial"/>
          <w:b/>
          <w:sz w:val="22"/>
          <w:szCs w:val="22"/>
        </w:rPr>
        <w:tab/>
      </w:r>
      <w:r w:rsidRPr="00313596">
        <w:rPr>
          <w:rFonts w:ascii="Arial" w:hAnsi="Arial" w:cs="Arial"/>
          <w:i/>
          <w:color w:val="FF0000"/>
          <w:sz w:val="22"/>
          <w:szCs w:val="22"/>
        </w:rPr>
        <w:t>(Nombre completo de la persona que firma)</w:t>
      </w:r>
    </w:p>
    <w:p w14:paraId="0E3351D7" w14:textId="77777777" w:rsidR="008C0885" w:rsidRPr="00313596" w:rsidRDefault="008C0885" w:rsidP="000C6174">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sz w:val="22"/>
          <w:szCs w:val="22"/>
        </w:rPr>
      </w:pPr>
      <w:r w:rsidRPr="00313596">
        <w:rPr>
          <w:rFonts w:ascii="Arial" w:hAnsi="Arial" w:cs="Arial"/>
          <w:b/>
          <w:sz w:val="22"/>
          <w:szCs w:val="22"/>
        </w:rPr>
        <w:t xml:space="preserve">Cargo: </w:t>
      </w:r>
      <w:r w:rsidRPr="00313596">
        <w:rPr>
          <w:rFonts w:ascii="Arial" w:hAnsi="Arial" w:cs="Arial"/>
          <w:b/>
          <w:sz w:val="22"/>
          <w:szCs w:val="22"/>
        </w:rPr>
        <w:tab/>
      </w:r>
      <w:r w:rsidRPr="00313596">
        <w:rPr>
          <w:rFonts w:ascii="Arial" w:hAnsi="Arial" w:cs="Arial"/>
          <w:i/>
          <w:color w:val="FF0000"/>
          <w:sz w:val="22"/>
          <w:szCs w:val="22"/>
        </w:rPr>
        <w:t>(del firmante)</w:t>
      </w:r>
    </w:p>
    <w:p w14:paraId="61D76C10" w14:textId="77777777" w:rsidR="008C0885" w:rsidRPr="00313596" w:rsidRDefault="008C0885" w:rsidP="000C6174">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color w:val="FF0000"/>
          <w:sz w:val="22"/>
          <w:szCs w:val="22"/>
        </w:rPr>
      </w:pPr>
      <w:r w:rsidRPr="00313596">
        <w:rPr>
          <w:rFonts w:ascii="Arial" w:hAnsi="Arial" w:cs="Arial"/>
          <w:b/>
          <w:sz w:val="22"/>
          <w:szCs w:val="22"/>
        </w:rPr>
        <w:t>Firma</w:t>
      </w:r>
      <w:r w:rsidRPr="00313596">
        <w:rPr>
          <w:rFonts w:ascii="Arial" w:hAnsi="Arial" w:cs="Arial"/>
          <w:i/>
          <w:sz w:val="22"/>
          <w:szCs w:val="22"/>
        </w:rPr>
        <w:t>:</w:t>
      </w:r>
      <w:r w:rsidRPr="00313596">
        <w:rPr>
          <w:rFonts w:ascii="Arial" w:hAnsi="Arial" w:cs="Arial"/>
          <w:i/>
          <w:sz w:val="22"/>
          <w:szCs w:val="22"/>
        </w:rPr>
        <w:tab/>
      </w:r>
      <w:r w:rsidRPr="00313596">
        <w:rPr>
          <w:rFonts w:ascii="Arial" w:hAnsi="Arial" w:cs="Arial"/>
          <w:i/>
          <w:sz w:val="22"/>
          <w:szCs w:val="22"/>
        </w:rPr>
        <w:tab/>
      </w:r>
      <w:r w:rsidRPr="00313596">
        <w:rPr>
          <w:rFonts w:ascii="Arial" w:hAnsi="Arial" w:cs="Arial"/>
          <w:i/>
          <w:color w:val="FF0000"/>
          <w:sz w:val="22"/>
          <w:szCs w:val="22"/>
        </w:rPr>
        <w:t xml:space="preserve">(firma de la persona cuyo nombre y cargo aparecen arriba indicados). </w:t>
      </w:r>
    </w:p>
    <w:p w14:paraId="20597C2E" w14:textId="77777777" w:rsidR="008C0885" w:rsidRPr="00313596" w:rsidRDefault="008C0885" w:rsidP="000C6174">
      <w:pPr>
        <w:tabs>
          <w:tab w:val="left" w:pos="-1440"/>
          <w:tab w:val="left" w:pos="-720"/>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ind w:left="4321" w:hanging="4321"/>
        <w:contextualSpacing/>
        <w:rPr>
          <w:rFonts w:ascii="Arial" w:hAnsi="Arial" w:cs="Arial"/>
          <w:i/>
          <w:sz w:val="22"/>
          <w:szCs w:val="22"/>
        </w:rPr>
      </w:pPr>
      <w:r w:rsidRPr="00313596">
        <w:rPr>
          <w:rFonts w:ascii="Arial" w:hAnsi="Arial" w:cs="Arial"/>
          <w:b/>
          <w:sz w:val="22"/>
          <w:szCs w:val="22"/>
        </w:rPr>
        <w:t>Fecha</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(día, mes y año en que se firma la oferta)</w:t>
      </w:r>
      <w:bookmarkEnd w:id="385"/>
    </w:p>
    <w:p w14:paraId="23FDA670" w14:textId="77777777" w:rsidR="008C0885" w:rsidRPr="00313596" w:rsidRDefault="008C0885">
      <w:pPr>
        <w:jc w:val="left"/>
        <w:rPr>
          <w:rFonts w:ascii="Arial" w:hAnsi="Arial" w:cs="Arial"/>
          <w:b/>
          <w:sz w:val="22"/>
          <w:szCs w:val="22"/>
        </w:rPr>
      </w:pPr>
    </w:p>
    <w:p w14:paraId="54E6D33B" w14:textId="77777777" w:rsidR="008C0885" w:rsidRPr="00313596" w:rsidRDefault="008C0885">
      <w:pPr>
        <w:jc w:val="left"/>
        <w:rPr>
          <w:rFonts w:ascii="Arial" w:hAnsi="Arial" w:cs="Arial"/>
          <w:b/>
          <w:sz w:val="22"/>
          <w:szCs w:val="22"/>
        </w:rPr>
      </w:pPr>
    </w:p>
    <w:p w14:paraId="36424F48" w14:textId="77777777" w:rsidR="008C0885" w:rsidRPr="00313596" w:rsidRDefault="008C0885">
      <w:pPr>
        <w:jc w:val="left"/>
        <w:rPr>
          <w:rFonts w:ascii="Arial" w:hAnsi="Arial" w:cs="Arial"/>
          <w:i/>
          <w:color w:val="FF0000"/>
          <w:sz w:val="22"/>
          <w:szCs w:val="22"/>
        </w:rPr>
      </w:pPr>
      <w:r w:rsidRPr="00313596">
        <w:rPr>
          <w:rFonts w:ascii="Arial" w:hAnsi="Arial" w:cs="Arial"/>
          <w:i/>
          <w:color w:val="FF0000"/>
          <w:sz w:val="22"/>
          <w:szCs w:val="22"/>
        </w:rPr>
        <w:t>En caso de ofertas presentadas por una APCA, el formulario deberá ser presentado por todos los miembros del APCA</w:t>
      </w:r>
    </w:p>
    <w:p w14:paraId="28E8569F" w14:textId="77777777" w:rsidR="008C0885" w:rsidRPr="00313596" w:rsidRDefault="008C0885">
      <w:pPr>
        <w:jc w:val="left"/>
        <w:rPr>
          <w:rFonts w:ascii="Arial" w:hAnsi="Arial" w:cs="Arial"/>
          <w:i/>
          <w:sz w:val="22"/>
          <w:szCs w:val="22"/>
        </w:rPr>
      </w:pPr>
      <w:r w:rsidRPr="00313596">
        <w:rPr>
          <w:rFonts w:ascii="Arial" w:hAnsi="Arial" w:cs="Arial"/>
          <w:i/>
          <w:sz w:val="22"/>
          <w:szCs w:val="22"/>
        </w:rPr>
        <w:br w:type="page"/>
      </w:r>
    </w:p>
    <w:p w14:paraId="744FE6F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r w:rsidRPr="00313596">
        <w:rPr>
          <w:rFonts w:ascii="Arial" w:hAnsi="Arial" w:cs="Arial"/>
          <w:b/>
          <w:sz w:val="22"/>
          <w:szCs w:val="22"/>
        </w:rPr>
        <w:lastRenderedPageBreak/>
        <w:t xml:space="preserve">Formulario CC-5 </w:t>
      </w:r>
    </w:p>
    <w:p w14:paraId="385C0CA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313596">
        <w:rPr>
          <w:rFonts w:ascii="Arial" w:hAnsi="Arial" w:cs="Arial"/>
          <w:b/>
          <w:sz w:val="22"/>
          <w:szCs w:val="22"/>
        </w:rPr>
        <w:t>Historial de incumplimientos de contratos y litigios</w:t>
      </w:r>
    </w:p>
    <w:p w14:paraId="3E5D9591" w14:textId="77777777" w:rsidR="008C0885" w:rsidRPr="00313596" w:rsidRDefault="008C0885" w:rsidP="000C6174">
      <w:pPr>
        <w:spacing w:before="288" w:after="324" w:line="264" w:lineRule="exact"/>
        <w:jc w:val="left"/>
        <w:rPr>
          <w:rFonts w:ascii="Arial" w:hAnsi="Arial" w:cs="Arial"/>
          <w:i/>
          <w:spacing w:val="-6"/>
          <w:sz w:val="22"/>
          <w:szCs w:val="22"/>
        </w:rPr>
      </w:pPr>
      <w:r w:rsidRPr="00313596">
        <w:rPr>
          <w:rFonts w:ascii="Arial" w:hAnsi="Arial" w:cs="Arial"/>
          <w:sz w:val="22"/>
          <w:szCs w:val="22"/>
        </w:rPr>
        <w:t xml:space="preserve">Nombre del Oferente: </w:t>
      </w:r>
      <w:r w:rsidRPr="00313596">
        <w:rPr>
          <w:rFonts w:ascii="Arial" w:hAnsi="Arial" w:cs="Arial"/>
          <w:i/>
          <w:color w:val="FF0000"/>
          <w:sz w:val="22"/>
          <w:szCs w:val="22"/>
        </w:rPr>
        <w:t>(</w:t>
      </w:r>
      <w:r w:rsidRPr="00313596">
        <w:rPr>
          <w:rFonts w:ascii="Arial" w:hAnsi="Arial" w:cs="Arial"/>
          <w:i/>
          <w:color w:val="FF0000"/>
          <w:spacing w:val="-6"/>
          <w:sz w:val="22"/>
          <w:szCs w:val="22"/>
        </w:rPr>
        <w:t>indicar el nombre completo)</w:t>
      </w:r>
      <w:r w:rsidRPr="00313596">
        <w:rPr>
          <w:rFonts w:ascii="Arial" w:hAnsi="Arial" w:cs="Arial"/>
          <w:i/>
          <w:iCs/>
          <w:spacing w:val="-6"/>
          <w:sz w:val="22"/>
          <w:szCs w:val="22"/>
        </w:rPr>
        <w:br/>
      </w:r>
      <w:r w:rsidRPr="00313596">
        <w:rPr>
          <w:rFonts w:ascii="Arial" w:hAnsi="Arial" w:cs="Arial"/>
          <w:sz w:val="22"/>
          <w:szCs w:val="22"/>
        </w:rPr>
        <w:t xml:space="preserve">Fecha: </w:t>
      </w:r>
      <w:r w:rsidRPr="00313596">
        <w:rPr>
          <w:rFonts w:ascii="Arial" w:hAnsi="Arial" w:cs="Arial"/>
          <w:i/>
          <w:color w:val="FF0000"/>
          <w:spacing w:val="-6"/>
          <w:sz w:val="22"/>
          <w:szCs w:val="22"/>
        </w:rPr>
        <w:t>(indicar día, mes, año)</w:t>
      </w:r>
      <w:r w:rsidRPr="00313596">
        <w:rPr>
          <w:rFonts w:ascii="Arial" w:hAnsi="Arial" w:cs="Arial"/>
          <w:i/>
          <w:iCs/>
          <w:spacing w:val="-6"/>
          <w:sz w:val="22"/>
          <w:szCs w:val="22"/>
        </w:rPr>
        <w:br/>
      </w:r>
      <w:r w:rsidRPr="00313596">
        <w:rPr>
          <w:rFonts w:ascii="Arial" w:hAnsi="Arial" w:cs="Arial"/>
          <w:sz w:val="22"/>
          <w:szCs w:val="22"/>
        </w:rPr>
        <w:t>Nombre del integrante de la APCA:</w:t>
      </w:r>
      <w:r w:rsidRPr="00313596">
        <w:rPr>
          <w:rFonts w:ascii="Arial" w:hAnsi="Arial" w:cs="Arial"/>
          <w:i/>
          <w:spacing w:val="-4"/>
          <w:sz w:val="22"/>
          <w:szCs w:val="22"/>
        </w:rPr>
        <w:t xml:space="preserve"> </w:t>
      </w:r>
      <w:r w:rsidRPr="00313596">
        <w:rPr>
          <w:rFonts w:ascii="Arial" w:hAnsi="Arial" w:cs="Arial"/>
          <w:i/>
          <w:color w:val="FF0000"/>
          <w:spacing w:val="-4"/>
          <w:sz w:val="22"/>
          <w:szCs w:val="22"/>
        </w:rPr>
        <w:t xml:space="preserve">(indicar </w:t>
      </w:r>
      <w:r w:rsidRPr="00313596">
        <w:rPr>
          <w:rFonts w:ascii="Arial" w:hAnsi="Arial" w:cs="Arial"/>
          <w:i/>
          <w:color w:val="FF0000"/>
          <w:spacing w:val="-6"/>
          <w:sz w:val="22"/>
          <w:szCs w:val="22"/>
        </w:rPr>
        <w:t>el nombre completo)</w:t>
      </w:r>
    </w:p>
    <w:p w14:paraId="273FB90A" w14:textId="77777777" w:rsidR="008C0885" w:rsidRPr="00313596" w:rsidRDefault="008C0885" w:rsidP="003B68DB">
      <w:pPr>
        <w:pStyle w:val="Prrafodelista"/>
        <w:numPr>
          <w:ilvl w:val="0"/>
          <w:numId w:val="64"/>
        </w:numPr>
        <w:spacing w:before="288" w:after="324" w:line="264" w:lineRule="exact"/>
        <w:ind w:left="360"/>
        <w:jc w:val="left"/>
        <w:rPr>
          <w:rFonts w:ascii="Arial" w:hAnsi="Arial" w:cs="Arial"/>
          <w:b/>
          <w:spacing w:val="-4"/>
          <w:sz w:val="22"/>
          <w:szCs w:val="22"/>
        </w:rPr>
      </w:pPr>
      <w:r w:rsidRPr="00313596">
        <w:rPr>
          <w:rFonts w:ascii="Arial" w:hAnsi="Arial" w:cs="Arial"/>
          <w:b/>
          <w:spacing w:val="-4"/>
          <w:sz w:val="22"/>
          <w:szCs w:val="22"/>
        </w:rPr>
        <w:t>Historial de Incumplimientos</w:t>
      </w:r>
    </w:p>
    <w:tbl>
      <w:tblPr>
        <w:tblW w:w="9270" w:type="dxa"/>
        <w:tblInd w:w="-3" w:type="dxa"/>
        <w:tblLayout w:type="fixed"/>
        <w:tblCellMar>
          <w:left w:w="0" w:type="dxa"/>
          <w:right w:w="0" w:type="dxa"/>
        </w:tblCellMar>
        <w:tblLook w:val="0000" w:firstRow="0" w:lastRow="0" w:firstColumn="0" w:lastColumn="0" w:noHBand="0" w:noVBand="0"/>
      </w:tblPr>
      <w:tblGrid>
        <w:gridCol w:w="9270"/>
      </w:tblGrid>
      <w:tr w:rsidR="008C0885" w:rsidRPr="00313596" w14:paraId="7045F65F" w14:textId="77777777" w:rsidTr="003D50ED">
        <w:tc>
          <w:tcPr>
            <w:tcW w:w="9270" w:type="dxa"/>
            <w:tcBorders>
              <w:top w:val="single" w:sz="2" w:space="0" w:color="auto"/>
              <w:left w:val="single" w:sz="2" w:space="0" w:color="auto"/>
              <w:bottom w:val="single" w:sz="2" w:space="0" w:color="auto"/>
              <w:right w:val="single" w:sz="2" w:space="0" w:color="auto"/>
            </w:tcBorders>
          </w:tcPr>
          <w:p w14:paraId="52AA748C" w14:textId="77777777" w:rsidR="008C0885" w:rsidRPr="00313596" w:rsidRDefault="008C0885" w:rsidP="000C6174">
            <w:pPr>
              <w:spacing w:before="40" w:after="120"/>
              <w:ind w:left="81" w:right="116"/>
              <w:jc w:val="left"/>
              <w:rPr>
                <w:rFonts w:ascii="Arial" w:hAnsi="Arial" w:cs="Arial"/>
                <w:spacing w:val="-4"/>
                <w:sz w:val="22"/>
                <w:szCs w:val="22"/>
              </w:rPr>
            </w:pPr>
            <w:r w:rsidRPr="00313596">
              <w:rPr>
                <w:rFonts w:ascii="Arial" w:hAnsi="Arial" w:cs="Arial"/>
                <w:spacing w:val="-4"/>
                <w:sz w:val="22"/>
                <w:szCs w:val="22"/>
              </w:rPr>
              <w:t>El oferente declara que:</w:t>
            </w:r>
          </w:p>
        </w:tc>
      </w:tr>
      <w:tr w:rsidR="008C0885" w:rsidRPr="00313596" w14:paraId="2B2518AF" w14:textId="77777777" w:rsidTr="003D50ED">
        <w:tc>
          <w:tcPr>
            <w:tcW w:w="9270" w:type="dxa"/>
            <w:tcBorders>
              <w:top w:val="single" w:sz="2" w:space="0" w:color="auto"/>
              <w:left w:val="single" w:sz="2" w:space="0" w:color="auto"/>
              <w:bottom w:val="single" w:sz="2" w:space="0" w:color="auto"/>
              <w:right w:val="single" w:sz="2" w:space="0" w:color="auto"/>
            </w:tcBorders>
          </w:tcPr>
          <w:p w14:paraId="4709A0B5" w14:textId="77777777" w:rsidR="008C0885" w:rsidRPr="00313596" w:rsidRDefault="008C0885" w:rsidP="000C6174">
            <w:pPr>
              <w:spacing w:before="40" w:after="120"/>
              <w:ind w:left="540" w:right="116" w:hanging="441"/>
              <w:rPr>
                <w:rFonts w:ascii="Arial" w:hAnsi="Arial" w:cs="Arial"/>
                <w:sz w:val="22"/>
                <w:szCs w:val="22"/>
              </w:rPr>
            </w:pPr>
            <w:r w:rsidRPr="00313596">
              <w:rPr>
                <w:rFonts w:ascii="Arial" w:eastAsia="MS Mincho" w:hAnsi="Arial" w:cs="Arial"/>
                <w:spacing w:val="-2"/>
                <w:sz w:val="22"/>
                <w:szCs w:val="22"/>
              </w:rPr>
              <w:sym w:font="Wingdings" w:char="F0A8"/>
            </w:r>
            <w:r w:rsidRPr="00313596">
              <w:rPr>
                <w:rFonts w:ascii="Arial" w:hAnsi="Arial" w:cs="Arial"/>
                <w:sz w:val="22"/>
                <w:szCs w:val="22"/>
              </w:rPr>
              <w:tab/>
              <w:t>No ha incurrido en incumplimiento de contrato en los últimos 5 años previo a la fecha de presentación de las ofertas, de acuerdo con lo especificado en el criterio de evaluación No. 1.1 de la Sección III, inciso B</w:t>
            </w:r>
          </w:p>
          <w:p w14:paraId="576725E1" w14:textId="77777777" w:rsidR="008C0885" w:rsidRPr="00313596" w:rsidRDefault="008C0885" w:rsidP="000C6174">
            <w:pPr>
              <w:spacing w:before="40" w:after="120"/>
              <w:ind w:left="540" w:right="116" w:hanging="441"/>
              <w:rPr>
                <w:rFonts w:ascii="Arial" w:hAnsi="Arial" w:cs="Arial"/>
                <w:sz w:val="22"/>
                <w:szCs w:val="22"/>
              </w:rPr>
            </w:pPr>
            <w:r w:rsidRPr="00313596">
              <w:rPr>
                <w:rFonts w:ascii="Arial" w:eastAsia="MS Mincho" w:hAnsi="Arial" w:cs="Arial"/>
                <w:spacing w:val="-2"/>
                <w:sz w:val="22"/>
                <w:szCs w:val="22"/>
              </w:rPr>
              <w:sym w:font="Wingdings" w:char="F0A8"/>
            </w:r>
            <w:r w:rsidRPr="00313596">
              <w:rPr>
                <w:rFonts w:ascii="Arial" w:hAnsi="Arial" w:cs="Arial"/>
                <w:sz w:val="22"/>
                <w:szCs w:val="22"/>
              </w:rPr>
              <w:tab/>
              <w:t>Se ha incurrido en algún incumplimiento de contrato en los últimos 5 años previos a la fecha de presentación de las ofertas, de acuerdo con lo especificado en el criterio de evaluación No. 1.1 de la Sección III, inciso B.</w:t>
            </w:r>
          </w:p>
        </w:tc>
      </w:tr>
    </w:tbl>
    <w:p w14:paraId="4930B349" w14:textId="77777777" w:rsidR="008C0885" w:rsidRPr="00313596" w:rsidRDefault="008C0885" w:rsidP="000C6174">
      <w:pPr>
        <w:rPr>
          <w:rFonts w:ascii="Arial" w:hAnsi="Arial" w:cs="Arial"/>
          <w:sz w:val="22"/>
          <w:szCs w:val="22"/>
        </w:rPr>
      </w:pPr>
    </w:p>
    <w:p w14:paraId="6C5ADCD2" w14:textId="77777777" w:rsidR="008C0885" w:rsidRPr="00313596" w:rsidRDefault="008C0885" w:rsidP="00425B4F">
      <w:pPr>
        <w:rPr>
          <w:rFonts w:ascii="Arial" w:hAnsi="Arial" w:cs="Arial"/>
          <w:i/>
          <w:color w:val="FF0000"/>
          <w:spacing w:val="-4"/>
          <w:sz w:val="22"/>
          <w:szCs w:val="22"/>
        </w:rPr>
      </w:pPr>
      <w:r w:rsidRPr="00313596">
        <w:rPr>
          <w:rFonts w:ascii="Arial" w:hAnsi="Arial" w:cs="Arial"/>
          <w:i/>
          <w:color w:val="FF0000"/>
          <w:sz w:val="22"/>
          <w:szCs w:val="22"/>
        </w:rPr>
        <w:t>En caso de haber incurrido en incumplimiento de contratos, indicar los detalles de los mismos</w:t>
      </w:r>
      <w:r w:rsidRPr="00313596">
        <w:rPr>
          <w:rFonts w:ascii="Arial" w:hAnsi="Arial" w:cs="Arial"/>
          <w:b/>
          <w:i/>
          <w:color w:val="FF0000"/>
          <w:spacing w:val="-4"/>
          <w:sz w:val="22"/>
          <w:szCs w:val="22"/>
        </w:rPr>
        <w:t xml:space="preserve">, </w:t>
      </w:r>
      <w:r w:rsidRPr="00313596">
        <w:rPr>
          <w:rFonts w:ascii="Arial" w:hAnsi="Arial" w:cs="Arial"/>
          <w:i/>
          <w:color w:val="FF0000"/>
          <w:spacing w:val="-4"/>
          <w:sz w:val="22"/>
          <w:szCs w:val="22"/>
        </w:rPr>
        <w:t>caso contrario indicar No Aplica</w:t>
      </w:r>
    </w:p>
    <w:p w14:paraId="74D6544E" w14:textId="77777777" w:rsidR="00425B4F" w:rsidRPr="00313596" w:rsidRDefault="00425B4F" w:rsidP="00425B4F">
      <w:pPr>
        <w:rPr>
          <w:rFonts w:ascii="Arial" w:hAnsi="Arial" w:cs="Arial"/>
          <w:i/>
          <w:color w:val="FF0000"/>
          <w:spacing w:val="-4"/>
          <w:sz w:val="22"/>
          <w:szCs w:val="22"/>
        </w:rPr>
      </w:pPr>
    </w:p>
    <w:tbl>
      <w:tblPr>
        <w:tblW w:w="9270" w:type="dxa"/>
        <w:tblInd w:w="-3" w:type="dxa"/>
        <w:tblLayout w:type="fixed"/>
        <w:tblCellMar>
          <w:left w:w="0" w:type="dxa"/>
          <w:right w:w="0" w:type="dxa"/>
        </w:tblCellMar>
        <w:tblLook w:val="0000" w:firstRow="0" w:lastRow="0" w:firstColumn="0" w:lastColumn="0" w:noHBand="0" w:noVBand="0"/>
      </w:tblPr>
      <w:tblGrid>
        <w:gridCol w:w="990"/>
        <w:gridCol w:w="1710"/>
        <w:gridCol w:w="4770"/>
        <w:gridCol w:w="1800"/>
      </w:tblGrid>
      <w:tr w:rsidR="008C0885" w:rsidRPr="00313596" w14:paraId="59671155" w14:textId="77777777" w:rsidTr="00D93C23">
        <w:trPr>
          <w:trHeight w:val="20"/>
        </w:trPr>
        <w:tc>
          <w:tcPr>
            <w:tcW w:w="990" w:type="dxa"/>
            <w:tcBorders>
              <w:top w:val="single" w:sz="2" w:space="0" w:color="auto"/>
              <w:left w:val="single" w:sz="2" w:space="0" w:color="auto"/>
              <w:bottom w:val="single" w:sz="2" w:space="0" w:color="auto"/>
              <w:right w:val="single" w:sz="2" w:space="0" w:color="auto"/>
            </w:tcBorders>
            <w:shd w:val="clear" w:color="auto" w:fill="00B050"/>
            <w:vAlign w:val="center"/>
          </w:tcPr>
          <w:p w14:paraId="5D6D2374" w14:textId="77777777" w:rsidR="008C0885" w:rsidRPr="00D93C23" w:rsidRDefault="008C0885" w:rsidP="000C6174">
            <w:pPr>
              <w:ind w:left="102"/>
              <w:contextualSpacing/>
              <w:jc w:val="center"/>
              <w:rPr>
                <w:rFonts w:ascii="Arial" w:hAnsi="Arial" w:cs="Arial"/>
                <w:b/>
                <w:bCs/>
                <w:color w:val="FFFFFF" w:themeColor="background1"/>
                <w:spacing w:val="-4"/>
                <w:sz w:val="22"/>
                <w:szCs w:val="22"/>
              </w:rPr>
            </w:pPr>
            <w:r w:rsidRPr="00D93C23">
              <w:rPr>
                <w:rFonts w:ascii="Arial" w:hAnsi="Arial" w:cs="Arial"/>
                <w:b/>
                <w:color w:val="FFFFFF" w:themeColor="background1"/>
                <w:spacing w:val="-4"/>
                <w:sz w:val="22"/>
                <w:szCs w:val="22"/>
              </w:rPr>
              <w:t>Año</w:t>
            </w:r>
          </w:p>
        </w:tc>
        <w:tc>
          <w:tcPr>
            <w:tcW w:w="1710" w:type="dxa"/>
            <w:tcBorders>
              <w:top w:val="single" w:sz="2" w:space="0" w:color="auto"/>
              <w:left w:val="single" w:sz="2" w:space="0" w:color="auto"/>
              <w:bottom w:val="single" w:sz="2" w:space="0" w:color="auto"/>
              <w:right w:val="single" w:sz="2" w:space="0" w:color="auto"/>
            </w:tcBorders>
            <w:shd w:val="clear" w:color="auto" w:fill="00B050"/>
            <w:vAlign w:val="center"/>
          </w:tcPr>
          <w:p w14:paraId="3EF6015E" w14:textId="77777777" w:rsidR="008C0885" w:rsidRPr="00D93C23" w:rsidRDefault="008C0885" w:rsidP="00425B4F">
            <w:pPr>
              <w:contextualSpacing/>
              <w:jc w:val="center"/>
              <w:rPr>
                <w:rFonts w:ascii="Arial" w:hAnsi="Arial" w:cs="Arial"/>
                <w:b/>
                <w:bCs/>
                <w:color w:val="FFFFFF" w:themeColor="background1"/>
                <w:spacing w:val="-4"/>
                <w:sz w:val="22"/>
                <w:szCs w:val="22"/>
              </w:rPr>
            </w:pPr>
            <w:r w:rsidRPr="00D93C23">
              <w:rPr>
                <w:rFonts w:ascii="Arial" w:hAnsi="Arial" w:cs="Arial"/>
                <w:b/>
                <w:color w:val="FFFFFF" w:themeColor="background1"/>
                <w:spacing w:val="-4"/>
                <w:sz w:val="22"/>
                <w:szCs w:val="22"/>
              </w:rPr>
              <w:t>Parte del Contrato afectada por el incumplimiento</w:t>
            </w:r>
          </w:p>
        </w:tc>
        <w:tc>
          <w:tcPr>
            <w:tcW w:w="4770" w:type="dxa"/>
            <w:tcBorders>
              <w:top w:val="single" w:sz="2" w:space="0" w:color="auto"/>
              <w:left w:val="single" w:sz="2" w:space="0" w:color="auto"/>
              <w:bottom w:val="single" w:sz="2" w:space="0" w:color="auto"/>
              <w:right w:val="single" w:sz="2" w:space="0" w:color="auto"/>
            </w:tcBorders>
            <w:shd w:val="clear" w:color="auto" w:fill="00B050"/>
            <w:vAlign w:val="center"/>
          </w:tcPr>
          <w:p w14:paraId="7E9F4005" w14:textId="77777777" w:rsidR="008C0885" w:rsidRPr="00D93C23" w:rsidRDefault="008C0885" w:rsidP="000C6174">
            <w:pPr>
              <w:ind w:left="81"/>
              <w:contextualSpacing/>
              <w:jc w:val="center"/>
              <w:rPr>
                <w:rFonts w:ascii="Arial" w:hAnsi="Arial" w:cs="Arial"/>
                <w:b/>
                <w:bCs/>
                <w:color w:val="FFFFFF" w:themeColor="background1"/>
                <w:spacing w:val="-4"/>
                <w:sz w:val="22"/>
                <w:szCs w:val="22"/>
              </w:rPr>
            </w:pPr>
            <w:r w:rsidRPr="00D93C23">
              <w:rPr>
                <w:rFonts w:ascii="Arial" w:hAnsi="Arial" w:cs="Arial"/>
                <w:b/>
                <w:color w:val="FFFFFF" w:themeColor="background1"/>
                <w:spacing w:val="-4"/>
                <w:sz w:val="22"/>
                <w:szCs w:val="22"/>
              </w:rPr>
              <w:t>Identificación del Contrato</w:t>
            </w:r>
          </w:p>
          <w:p w14:paraId="3E680DF5" w14:textId="77777777" w:rsidR="008C0885" w:rsidRPr="00D93C23" w:rsidRDefault="008C0885" w:rsidP="000C6174">
            <w:pPr>
              <w:ind w:left="60"/>
              <w:contextualSpacing/>
              <w:jc w:val="center"/>
              <w:rPr>
                <w:rFonts w:ascii="Arial" w:hAnsi="Arial" w:cs="Arial"/>
                <w:i/>
                <w:iCs/>
                <w:color w:val="FFFFFF" w:themeColor="background1"/>
                <w:spacing w:val="-6"/>
                <w:sz w:val="22"/>
                <w:szCs w:val="22"/>
              </w:rPr>
            </w:pPr>
          </w:p>
        </w:tc>
        <w:tc>
          <w:tcPr>
            <w:tcW w:w="1800" w:type="dxa"/>
            <w:tcBorders>
              <w:top w:val="single" w:sz="2" w:space="0" w:color="auto"/>
              <w:left w:val="single" w:sz="2" w:space="0" w:color="auto"/>
              <w:bottom w:val="single" w:sz="2" w:space="0" w:color="auto"/>
              <w:right w:val="single" w:sz="2" w:space="0" w:color="auto"/>
            </w:tcBorders>
            <w:shd w:val="clear" w:color="auto" w:fill="00B050"/>
            <w:vAlign w:val="center"/>
          </w:tcPr>
          <w:p w14:paraId="38EC3982" w14:textId="77777777" w:rsidR="008C0885" w:rsidRPr="00D93C23" w:rsidRDefault="008C0885" w:rsidP="000C6174">
            <w:pPr>
              <w:ind w:left="91" w:right="91"/>
              <w:contextualSpacing/>
              <w:jc w:val="center"/>
              <w:rPr>
                <w:rFonts w:ascii="Arial" w:hAnsi="Arial" w:cs="Arial"/>
                <w:i/>
                <w:iCs/>
                <w:color w:val="FFFFFF" w:themeColor="background1"/>
                <w:spacing w:val="-6"/>
                <w:sz w:val="22"/>
                <w:szCs w:val="22"/>
              </w:rPr>
            </w:pPr>
            <w:r w:rsidRPr="00D93C23">
              <w:rPr>
                <w:rFonts w:ascii="Arial" w:hAnsi="Arial" w:cs="Arial"/>
                <w:b/>
                <w:color w:val="FFFFFF" w:themeColor="background1"/>
                <w:spacing w:val="-4"/>
                <w:sz w:val="22"/>
                <w:szCs w:val="22"/>
              </w:rPr>
              <w:t>Monto total del Contrato (valor actualizado a la moneda de la oferta)</w:t>
            </w:r>
          </w:p>
        </w:tc>
      </w:tr>
      <w:tr w:rsidR="008C0885" w:rsidRPr="00313596" w14:paraId="50B8ED65" w14:textId="77777777" w:rsidTr="003D50ED">
        <w:trPr>
          <w:trHeight w:val="20"/>
        </w:trPr>
        <w:tc>
          <w:tcPr>
            <w:tcW w:w="990" w:type="dxa"/>
            <w:tcBorders>
              <w:top w:val="single" w:sz="2" w:space="0" w:color="auto"/>
              <w:left w:val="single" w:sz="2" w:space="0" w:color="auto"/>
              <w:bottom w:val="single" w:sz="2" w:space="0" w:color="auto"/>
              <w:right w:val="single" w:sz="2" w:space="0" w:color="auto"/>
            </w:tcBorders>
          </w:tcPr>
          <w:p w14:paraId="6210D34D" w14:textId="77777777" w:rsidR="008C0885" w:rsidRPr="00313596" w:rsidRDefault="008C0885" w:rsidP="000C6174">
            <w:pPr>
              <w:spacing w:before="120" w:after="120"/>
              <w:ind w:right="80"/>
              <w:jc w:val="center"/>
              <w:rPr>
                <w:rFonts w:ascii="Arial" w:hAnsi="Arial" w:cs="Arial"/>
                <w:i/>
                <w:color w:val="FF0000"/>
                <w:sz w:val="22"/>
                <w:szCs w:val="22"/>
              </w:rPr>
            </w:pPr>
            <w:r w:rsidRPr="00313596">
              <w:rPr>
                <w:rFonts w:ascii="Arial" w:hAnsi="Arial" w:cs="Arial"/>
                <w:i/>
                <w:color w:val="FF0000"/>
                <w:sz w:val="22"/>
                <w:szCs w:val="22"/>
              </w:rPr>
              <w:t>(indicar el año)</w:t>
            </w:r>
          </w:p>
        </w:tc>
        <w:tc>
          <w:tcPr>
            <w:tcW w:w="1710" w:type="dxa"/>
            <w:tcBorders>
              <w:top w:val="single" w:sz="2" w:space="0" w:color="auto"/>
              <w:left w:val="single" w:sz="2" w:space="0" w:color="auto"/>
              <w:bottom w:val="single" w:sz="2" w:space="0" w:color="auto"/>
              <w:right w:val="single" w:sz="2" w:space="0" w:color="auto"/>
            </w:tcBorders>
          </w:tcPr>
          <w:p w14:paraId="3A87209E" w14:textId="77777777" w:rsidR="008C0885" w:rsidRPr="00313596" w:rsidRDefault="008C0885" w:rsidP="000C6174">
            <w:pPr>
              <w:spacing w:before="120" w:after="120"/>
              <w:ind w:left="89" w:right="116"/>
              <w:rPr>
                <w:rFonts w:ascii="Arial" w:hAnsi="Arial" w:cs="Arial"/>
                <w:i/>
                <w:color w:val="FF0000"/>
                <w:sz w:val="22"/>
                <w:szCs w:val="22"/>
              </w:rPr>
            </w:pPr>
            <w:r w:rsidRPr="00313596">
              <w:rPr>
                <w:rFonts w:ascii="Arial" w:hAnsi="Arial" w:cs="Arial"/>
                <w:i/>
                <w:color w:val="FF0000"/>
                <w:sz w:val="22"/>
                <w:szCs w:val="22"/>
              </w:rPr>
              <w:t>(indicar el monto y el porcentaje)</w:t>
            </w:r>
          </w:p>
        </w:tc>
        <w:tc>
          <w:tcPr>
            <w:tcW w:w="4770" w:type="dxa"/>
            <w:tcBorders>
              <w:top w:val="single" w:sz="2" w:space="0" w:color="auto"/>
              <w:left w:val="single" w:sz="2" w:space="0" w:color="auto"/>
              <w:bottom w:val="single" w:sz="2" w:space="0" w:color="auto"/>
              <w:right w:val="single" w:sz="2" w:space="0" w:color="auto"/>
            </w:tcBorders>
          </w:tcPr>
          <w:p w14:paraId="6CFB1999" w14:textId="77777777" w:rsidR="008C0885" w:rsidRPr="00313596" w:rsidRDefault="008C0885" w:rsidP="000C6174">
            <w:pPr>
              <w:spacing w:before="120" w:after="120"/>
              <w:ind w:left="60" w:right="115"/>
              <w:rPr>
                <w:rFonts w:ascii="Arial" w:hAnsi="Arial" w:cs="Arial"/>
                <w:i/>
                <w:color w:val="FF0000"/>
                <w:spacing w:val="-6"/>
                <w:sz w:val="22"/>
                <w:szCs w:val="22"/>
              </w:rPr>
            </w:pPr>
            <w:r w:rsidRPr="00313596">
              <w:rPr>
                <w:rFonts w:ascii="Arial" w:hAnsi="Arial" w:cs="Arial"/>
                <w:b/>
                <w:sz w:val="22"/>
                <w:szCs w:val="22"/>
              </w:rPr>
              <w:t>Identificación del Contrato:</w:t>
            </w:r>
            <w:r w:rsidRPr="00313596">
              <w:rPr>
                <w:rFonts w:ascii="Arial" w:hAnsi="Arial" w:cs="Arial"/>
                <w:sz w:val="22"/>
                <w:szCs w:val="22"/>
              </w:rPr>
              <w:t xml:space="preserve"> </w:t>
            </w:r>
            <w:r w:rsidRPr="00313596">
              <w:rPr>
                <w:rFonts w:ascii="Arial" w:hAnsi="Arial" w:cs="Arial"/>
                <w:i/>
                <w:color w:val="FF0000"/>
                <w:spacing w:val="-6"/>
                <w:sz w:val="22"/>
                <w:szCs w:val="22"/>
              </w:rPr>
              <w:t>(indicar el nombre completo y el número del contrato y toda otra información de identificación pertinente)</w:t>
            </w:r>
          </w:p>
          <w:p w14:paraId="7811F85E" w14:textId="77777777" w:rsidR="008C0885" w:rsidRPr="00313596" w:rsidRDefault="008C0885" w:rsidP="000C6174">
            <w:pPr>
              <w:spacing w:before="120" w:after="120"/>
              <w:ind w:left="60" w:right="115"/>
              <w:rPr>
                <w:rFonts w:ascii="Arial" w:hAnsi="Arial" w:cs="Arial"/>
                <w:i/>
                <w:color w:val="FF0000"/>
                <w:spacing w:val="-6"/>
                <w:sz w:val="22"/>
                <w:szCs w:val="22"/>
              </w:rPr>
            </w:pPr>
            <w:r w:rsidRPr="00313596">
              <w:rPr>
                <w:rFonts w:ascii="Arial" w:hAnsi="Arial" w:cs="Arial"/>
                <w:b/>
                <w:sz w:val="22"/>
                <w:szCs w:val="22"/>
              </w:rPr>
              <w:t>Nombre del Contratante:</w:t>
            </w:r>
            <w:r w:rsidRPr="00313596">
              <w:rPr>
                <w:rFonts w:ascii="Arial" w:hAnsi="Arial" w:cs="Arial"/>
                <w:color w:val="FF0000"/>
                <w:sz w:val="22"/>
                <w:szCs w:val="22"/>
              </w:rPr>
              <w:t xml:space="preserve"> </w:t>
            </w:r>
            <w:r w:rsidRPr="00313596">
              <w:rPr>
                <w:rFonts w:ascii="Arial" w:hAnsi="Arial" w:cs="Arial"/>
                <w:i/>
                <w:color w:val="FF0000"/>
                <w:spacing w:val="-6"/>
                <w:sz w:val="22"/>
                <w:szCs w:val="22"/>
              </w:rPr>
              <w:t>(indicar el nombre completo)</w:t>
            </w:r>
          </w:p>
          <w:p w14:paraId="64721CAA" w14:textId="77777777" w:rsidR="008C0885" w:rsidRPr="00313596" w:rsidRDefault="008C0885" w:rsidP="000C6174">
            <w:pPr>
              <w:spacing w:before="120" w:after="120"/>
              <w:ind w:left="58" w:right="115"/>
              <w:rPr>
                <w:rFonts w:ascii="Arial" w:hAnsi="Arial" w:cs="Arial"/>
                <w:i/>
                <w:color w:val="FF0000"/>
                <w:spacing w:val="-6"/>
                <w:sz w:val="22"/>
                <w:szCs w:val="22"/>
              </w:rPr>
            </w:pPr>
            <w:r w:rsidRPr="00313596">
              <w:rPr>
                <w:rFonts w:ascii="Arial" w:hAnsi="Arial" w:cs="Arial"/>
                <w:b/>
                <w:sz w:val="22"/>
                <w:szCs w:val="22"/>
              </w:rPr>
              <w:t>Dirección del Contratante:</w:t>
            </w:r>
            <w:r w:rsidRPr="00313596">
              <w:rPr>
                <w:rFonts w:ascii="Arial" w:hAnsi="Arial" w:cs="Arial"/>
                <w:color w:val="FF0000"/>
                <w:sz w:val="22"/>
                <w:szCs w:val="22"/>
              </w:rPr>
              <w:t xml:space="preserve"> </w:t>
            </w:r>
            <w:r w:rsidRPr="00313596">
              <w:rPr>
                <w:rFonts w:ascii="Arial" w:hAnsi="Arial" w:cs="Arial"/>
                <w:i/>
                <w:color w:val="FF0000"/>
                <w:spacing w:val="-6"/>
                <w:sz w:val="22"/>
                <w:szCs w:val="22"/>
              </w:rPr>
              <w:t>(indicar la calle, la ciudad y el país)</w:t>
            </w:r>
          </w:p>
          <w:p w14:paraId="08C2A2F7" w14:textId="77777777" w:rsidR="008C0885" w:rsidRPr="00313596" w:rsidRDefault="008C0885" w:rsidP="000C6174">
            <w:pPr>
              <w:spacing w:before="120" w:after="120"/>
              <w:ind w:left="58" w:right="115"/>
              <w:rPr>
                <w:rFonts w:ascii="Arial" w:hAnsi="Arial" w:cs="Arial"/>
                <w:color w:val="FF0000"/>
                <w:sz w:val="22"/>
                <w:szCs w:val="22"/>
              </w:rPr>
            </w:pPr>
            <w:r w:rsidRPr="00313596">
              <w:rPr>
                <w:rFonts w:ascii="Arial" w:hAnsi="Arial" w:cs="Arial"/>
                <w:b/>
                <w:sz w:val="22"/>
                <w:szCs w:val="22"/>
              </w:rPr>
              <w:t>Razones del incumplimiento:</w:t>
            </w:r>
            <w:r w:rsidRPr="00313596">
              <w:rPr>
                <w:rFonts w:ascii="Arial" w:hAnsi="Arial" w:cs="Arial"/>
                <w:color w:val="FF0000"/>
                <w:sz w:val="22"/>
                <w:szCs w:val="22"/>
              </w:rPr>
              <w:t xml:space="preserve"> </w:t>
            </w:r>
            <w:r w:rsidRPr="00313596">
              <w:rPr>
                <w:rFonts w:ascii="Arial" w:hAnsi="Arial" w:cs="Arial"/>
                <w:i/>
                <w:color w:val="FF0000"/>
                <w:spacing w:val="-6"/>
                <w:sz w:val="22"/>
                <w:szCs w:val="22"/>
              </w:rPr>
              <w:t>(indicar las razones principales)</w:t>
            </w:r>
          </w:p>
        </w:tc>
        <w:tc>
          <w:tcPr>
            <w:tcW w:w="1800" w:type="dxa"/>
            <w:tcBorders>
              <w:top w:val="single" w:sz="2" w:space="0" w:color="auto"/>
              <w:left w:val="single" w:sz="2" w:space="0" w:color="auto"/>
              <w:bottom w:val="single" w:sz="2" w:space="0" w:color="auto"/>
              <w:right w:val="single" w:sz="2" w:space="0" w:color="auto"/>
            </w:tcBorders>
          </w:tcPr>
          <w:p w14:paraId="2DF2A537" w14:textId="77777777" w:rsidR="008C0885" w:rsidRPr="00313596" w:rsidRDefault="008C0885" w:rsidP="000C6174">
            <w:pPr>
              <w:spacing w:before="120" w:after="120"/>
              <w:ind w:left="159" w:right="116"/>
              <w:rPr>
                <w:rFonts w:ascii="Arial" w:hAnsi="Arial" w:cs="Arial"/>
                <w:color w:val="FF0000"/>
                <w:sz w:val="22"/>
                <w:szCs w:val="22"/>
              </w:rPr>
            </w:pPr>
            <w:r w:rsidRPr="00313596">
              <w:rPr>
                <w:rFonts w:ascii="Arial" w:hAnsi="Arial" w:cs="Arial"/>
                <w:i/>
                <w:color w:val="FF0000"/>
                <w:spacing w:val="-6"/>
                <w:sz w:val="22"/>
                <w:szCs w:val="22"/>
              </w:rPr>
              <w:t>(indicar el monto)</w:t>
            </w:r>
          </w:p>
        </w:tc>
      </w:tr>
    </w:tbl>
    <w:p w14:paraId="6178214B" w14:textId="77777777" w:rsidR="008C0885" w:rsidRPr="00313596" w:rsidRDefault="008C0885" w:rsidP="003B68DB">
      <w:pPr>
        <w:pStyle w:val="Prrafodelista"/>
        <w:numPr>
          <w:ilvl w:val="0"/>
          <w:numId w:val="64"/>
        </w:numPr>
        <w:spacing w:before="288" w:after="324" w:line="264" w:lineRule="exact"/>
        <w:ind w:left="360"/>
        <w:jc w:val="left"/>
        <w:rPr>
          <w:rFonts w:ascii="Arial" w:hAnsi="Arial" w:cs="Arial"/>
          <w:sz w:val="22"/>
          <w:szCs w:val="22"/>
        </w:rPr>
      </w:pPr>
      <w:r w:rsidRPr="00313596">
        <w:rPr>
          <w:rFonts w:ascii="Arial" w:hAnsi="Arial" w:cs="Arial"/>
          <w:b/>
          <w:spacing w:val="-4"/>
          <w:sz w:val="22"/>
          <w:szCs w:val="22"/>
        </w:rPr>
        <w:t>Litigios pendientes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8C0885" w:rsidRPr="00313596" w14:paraId="5EA9CD7D" w14:textId="77777777" w:rsidTr="003D50ED">
        <w:trPr>
          <w:cantSplit/>
        </w:trPr>
        <w:tc>
          <w:tcPr>
            <w:tcW w:w="9270" w:type="dxa"/>
          </w:tcPr>
          <w:p w14:paraId="58A21FC6" w14:textId="77777777" w:rsidR="008C0885" w:rsidRPr="00313596" w:rsidRDefault="008C0885" w:rsidP="000C6174">
            <w:pPr>
              <w:jc w:val="left"/>
              <w:rPr>
                <w:rFonts w:ascii="Arial" w:hAnsi="Arial" w:cs="Arial"/>
                <w:i/>
                <w:sz w:val="22"/>
                <w:szCs w:val="22"/>
              </w:rPr>
            </w:pPr>
            <w:r w:rsidRPr="00313596">
              <w:rPr>
                <w:rFonts w:ascii="Arial" w:hAnsi="Arial" w:cs="Arial"/>
                <w:spacing w:val="-4"/>
                <w:sz w:val="22"/>
                <w:szCs w:val="22"/>
              </w:rPr>
              <w:t>El oferente declara que:</w:t>
            </w:r>
          </w:p>
        </w:tc>
      </w:tr>
      <w:tr w:rsidR="008C0885" w:rsidRPr="00313596" w14:paraId="5A7ECC39" w14:textId="77777777" w:rsidTr="003D50ED">
        <w:tc>
          <w:tcPr>
            <w:tcW w:w="9270" w:type="dxa"/>
          </w:tcPr>
          <w:p w14:paraId="333D1718" w14:textId="77777777" w:rsidR="008C0885" w:rsidRPr="00313596" w:rsidRDefault="008C0885" w:rsidP="000C6174">
            <w:pPr>
              <w:spacing w:before="120" w:after="120"/>
              <w:ind w:left="418" w:hanging="418"/>
              <w:rPr>
                <w:rFonts w:ascii="Arial" w:hAnsi="Arial" w:cs="Arial"/>
                <w:sz w:val="22"/>
                <w:szCs w:val="22"/>
              </w:rPr>
            </w:pPr>
            <w:r w:rsidRPr="00313596">
              <w:rPr>
                <w:rFonts w:ascii="Arial" w:eastAsia="MS Mincho" w:hAnsi="Arial" w:cs="Arial"/>
                <w:spacing w:val="-2"/>
                <w:sz w:val="22"/>
                <w:szCs w:val="22"/>
              </w:rPr>
              <w:sym w:font="Wingdings" w:char="F0A8"/>
            </w:r>
            <w:r w:rsidRPr="00313596">
              <w:rPr>
                <w:rFonts w:ascii="Arial" w:hAnsi="Arial" w:cs="Arial"/>
                <w:sz w:val="22"/>
                <w:szCs w:val="22"/>
              </w:rPr>
              <w:tab/>
              <w:t>No existen antecedentes de fallos judiciales o laudos arbitrales contra el Oferente en los últimos 5 años previos a la fecha de presentación de las ofertas, de acuerdo con lo especificado en el criterio de evaluación No. 1.2 de la Sección III, inciso B.</w:t>
            </w:r>
          </w:p>
          <w:p w14:paraId="49ABAFA9" w14:textId="77777777" w:rsidR="008C0885" w:rsidRPr="00313596" w:rsidRDefault="008C0885" w:rsidP="000C6174">
            <w:pPr>
              <w:spacing w:before="120" w:after="120"/>
              <w:ind w:left="418" w:hanging="418"/>
              <w:rPr>
                <w:rFonts w:ascii="Arial" w:hAnsi="Arial" w:cs="Arial"/>
                <w:sz w:val="22"/>
                <w:szCs w:val="22"/>
              </w:rPr>
            </w:pPr>
            <w:r w:rsidRPr="00313596">
              <w:rPr>
                <w:rFonts w:ascii="Arial" w:eastAsia="MS Mincho" w:hAnsi="Arial" w:cs="Arial"/>
                <w:spacing w:val="-2"/>
                <w:sz w:val="22"/>
                <w:szCs w:val="22"/>
              </w:rPr>
              <w:lastRenderedPageBreak/>
              <w:sym w:font="Wingdings" w:char="F0A8"/>
            </w:r>
            <w:r w:rsidRPr="00313596">
              <w:rPr>
                <w:rFonts w:ascii="Arial" w:hAnsi="Arial" w:cs="Arial"/>
                <w:sz w:val="22"/>
                <w:szCs w:val="22"/>
              </w:rPr>
              <w:tab/>
              <w:t>Existe antecedentes de fallos judiciales o laudos arbitrales contra el Oferente en los últimos 5 años previos a la fecha de presentación de las ofertas, de acuerdo con lo especificado en el criterio de evaluación No. 1.2 de la Sección III, inciso B.</w:t>
            </w:r>
          </w:p>
        </w:tc>
      </w:tr>
    </w:tbl>
    <w:p w14:paraId="4D6D7AC7" w14:textId="77777777" w:rsidR="008C0885" w:rsidRPr="00313596" w:rsidRDefault="008C0885" w:rsidP="000C6174">
      <w:pPr>
        <w:rPr>
          <w:rFonts w:ascii="Arial" w:hAnsi="Arial" w:cs="Arial"/>
          <w:i/>
          <w:color w:val="FF0000"/>
          <w:spacing w:val="-4"/>
          <w:sz w:val="22"/>
          <w:szCs w:val="22"/>
        </w:rPr>
      </w:pPr>
      <w:r w:rsidRPr="00313596">
        <w:rPr>
          <w:rFonts w:ascii="Arial" w:hAnsi="Arial" w:cs="Arial"/>
          <w:i/>
          <w:color w:val="FF0000"/>
          <w:sz w:val="22"/>
          <w:szCs w:val="22"/>
        </w:rPr>
        <w:lastRenderedPageBreak/>
        <w:t>En caso de existir fallos judiciales o laudos arbitrales en contra del oferente o litigios pendientes, indicar los detalles de los mismos</w:t>
      </w:r>
      <w:r w:rsidRPr="00313596">
        <w:rPr>
          <w:rFonts w:ascii="Arial" w:hAnsi="Arial" w:cs="Arial"/>
          <w:b/>
          <w:i/>
          <w:color w:val="FF0000"/>
          <w:spacing w:val="-4"/>
          <w:sz w:val="22"/>
          <w:szCs w:val="22"/>
        </w:rPr>
        <w:t xml:space="preserve">, </w:t>
      </w:r>
      <w:r w:rsidRPr="00313596">
        <w:rPr>
          <w:rFonts w:ascii="Arial" w:hAnsi="Arial" w:cs="Arial"/>
          <w:i/>
          <w:color w:val="FF0000"/>
          <w:spacing w:val="-4"/>
          <w:sz w:val="22"/>
          <w:szCs w:val="22"/>
        </w:rPr>
        <w:t>caso contrario indicar No Aplica</w:t>
      </w:r>
    </w:p>
    <w:p w14:paraId="7C0BF67C" w14:textId="77777777" w:rsidR="008C0885" w:rsidRPr="00313596" w:rsidRDefault="008C0885" w:rsidP="000C6174">
      <w:pPr>
        <w:rPr>
          <w:rFonts w:ascii="Arial" w:hAnsi="Arial" w:cs="Arial"/>
          <w:sz w:val="22"/>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1658"/>
        <w:gridCol w:w="4680"/>
        <w:gridCol w:w="1980"/>
      </w:tblGrid>
      <w:tr w:rsidR="008C0885" w:rsidRPr="00313596" w14:paraId="75BDD3C8" w14:textId="77777777" w:rsidTr="00D93C23">
        <w:tc>
          <w:tcPr>
            <w:tcW w:w="952" w:type="dxa"/>
            <w:shd w:val="clear" w:color="auto" w:fill="00B050"/>
            <w:vAlign w:val="center"/>
          </w:tcPr>
          <w:p w14:paraId="71FBFD36" w14:textId="77777777" w:rsidR="008C0885" w:rsidRPr="00D93C23" w:rsidRDefault="008C0885" w:rsidP="000C6174">
            <w:pPr>
              <w:jc w:val="center"/>
              <w:rPr>
                <w:rFonts w:ascii="Arial" w:hAnsi="Arial" w:cs="Arial"/>
                <w:b/>
                <w:color w:val="FFFFFF" w:themeColor="background1"/>
                <w:spacing w:val="8"/>
                <w:sz w:val="22"/>
                <w:szCs w:val="22"/>
              </w:rPr>
            </w:pPr>
            <w:r w:rsidRPr="00D93C23">
              <w:rPr>
                <w:rFonts w:ascii="Arial" w:hAnsi="Arial" w:cs="Arial"/>
                <w:b/>
                <w:color w:val="FFFFFF" w:themeColor="background1"/>
                <w:sz w:val="22"/>
                <w:szCs w:val="22"/>
              </w:rPr>
              <w:t>Año del laudo</w:t>
            </w:r>
          </w:p>
        </w:tc>
        <w:tc>
          <w:tcPr>
            <w:tcW w:w="1658" w:type="dxa"/>
            <w:shd w:val="clear" w:color="auto" w:fill="00B050"/>
            <w:vAlign w:val="center"/>
          </w:tcPr>
          <w:p w14:paraId="6B2DFEB8" w14:textId="77777777" w:rsidR="008C0885" w:rsidRPr="00D93C23" w:rsidRDefault="008C0885" w:rsidP="000C6174">
            <w:pPr>
              <w:jc w:val="center"/>
              <w:rPr>
                <w:rFonts w:ascii="Arial" w:hAnsi="Arial" w:cs="Arial"/>
                <w:b/>
                <w:color w:val="FFFFFF" w:themeColor="background1"/>
                <w:sz w:val="22"/>
                <w:szCs w:val="22"/>
              </w:rPr>
            </w:pPr>
            <w:r w:rsidRPr="00D93C23">
              <w:rPr>
                <w:rFonts w:ascii="Arial" w:hAnsi="Arial" w:cs="Arial"/>
                <w:b/>
                <w:color w:val="FFFFFF" w:themeColor="background1"/>
                <w:sz w:val="22"/>
                <w:szCs w:val="22"/>
              </w:rPr>
              <w:t>Resultado expresado como un porcentaje del valor neto</w:t>
            </w:r>
          </w:p>
        </w:tc>
        <w:tc>
          <w:tcPr>
            <w:tcW w:w="4680" w:type="dxa"/>
            <w:shd w:val="clear" w:color="auto" w:fill="00B050"/>
            <w:vAlign w:val="center"/>
          </w:tcPr>
          <w:p w14:paraId="5E91CDA8" w14:textId="77777777" w:rsidR="008C0885" w:rsidRPr="00D93C23" w:rsidRDefault="008C0885" w:rsidP="000C6174">
            <w:pPr>
              <w:jc w:val="center"/>
              <w:rPr>
                <w:rFonts w:ascii="Arial" w:hAnsi="Arial" w:cs="Arial"/>
                <w:b/>
                <w:color w:val="FFFFFF" w:themeColor="background1"/>
                <w:spacing w:val="8"/>
                <w:sz w:val="22"/>
                <w:szCs w:val="22"/>
              </w:rPr>
            </w:pPr>
            <w:r w:rsidRPr="00D93C23">
              <w:rPr>
                <w:rFonts w:ascii="Arial" w:hAnsi="Arial" w:cs="Arial"/>
                <w:b/>
                <w:color w:val="FFFFFF" w:themeColor="background1"/>
                <w:sz w:val="22"/>
                <w:szCs w:val="22"/>
              </w:rPr>
              <w:t>Identificación del Contrato</w:t>
            </w:r>
          </w:p>
        </w:tc>
        <w:tc>
          <w:tcPr>
            <w:tcW w:w="1980" w:type="dxa"/>
            <w:shd w:val="clear" w:color="auto" w:fill="00B050"/>
            <w:vAlign w:val="center"/>
          </w:tcPr>
          <w:p w14:paraId="1A8B86C4" w14:textId="77777777" w:rsidR="008C0885" w:rsidRPr="00D93C23" w:rsidRDefault="008C0885" w:rsidP="000C6174">
            <w:pPr>
              <w:jc w:val="center"/>
              <w:rPr>
                <w:rFonts w:ascii="Arial" w:hAnsi="Arial" w:cs="Arial"/>
                <w:b/>
                <w:color w:val="FFFFFF" w:themeColor="background1"/>
                <w:sz w:val="22"/>
                <w:szCs w:val="22"/>
              </w:rPr>
            </w:pPr>
            <w:r w:rsidRPr="00D93C23">
              <w:rPr>
                <w:rFonts w:ascii="Arial" w:hAnsi="Arial" w:cs="Arial"/>
                <w:b/>
                <w:color w:val="FFFFFF" w:themeColor="background1"/>
                <w:sz w:val="22"/>
                <w:szCs w:val="22"/>
              </w:rPr>
              <w:t xml:space="preserve">Monto total del Contrato </w:t>
            </w:r>
            <w:r w:rsidRPr="00D93C23">
              <w:rPr>
                <w:rFonts w:ascii="Arial" w:hAnsi="Arial" w:cs="Arial"/>
                <w:b/>
                <w:color w:val="FFFFFF" w:themeColor="background1"/>
                <w:spacing w:val="-4"/>
                <w:sz w:val="22"/>
                <w:szCs w:val="22"/>
              </w:rPr>
              <w:t>(valor actualizado a la moneda de la oferta)</w:t>
            </w:r>
          </w:p>
        </w:tc>
      </w:tr>
      <w:tr w:rsidR="008C0885" w:rsidRPr="00313596" w14:paraId="367B5AC5" w14:textId="77777777" w:rsidTr="003D50ED">
        <w:trPr>
          <w:cantSplit/>
        </w:trPr>
        <w:tc>
          <w:tcPr>
            <w:tcW w:w="952" w:type="dxa"/>
          </w:tcPr>
          <w:p w14:paraId="0E72A3E8" w14:textId="77777777" w:rsidR="008C0885" w:rsidRPr="00313596" w:rsidRDefault="008C0885" w:rsidP="000C6174">
            <w:pPr>
              <w:rPr>
                <w:rFonts w:ascii="Arial" w:hAnsi="Arial" w:cs="Arial"/>
                <w:i/>
                <w:color w:val="FF0000"/>
                <w:sz w:val="22"/>
                <w:szCs w:val="22"/>
              </w:rPr>
            </w:pPr>
            <w:r w:rsidRPr="00313596">
              <w:rPr>
                <w:rFonts w:ascii="Arial" w:hAnsi="Arial" w:cs="Arial"/>
                <w:i/>
                <w:color w:val="FF0000"/>
                <w:sz w:val="22"/>
                <w:szCs w:val="22"/>
              </w:rPr>
              <w:t>(indicar el año)</w:t>
            </w:r>
          </w:p>
        </w:tc>
        <w:tc>
          <w:tcPr>
            <w:tcW w:w="1658" w:type="dxa"/>
          </w:tcPr>
          <w:p w14:paraId="5F06C5AF" w14:textId="77777777" w:rsidR="008C0885" w:rsidRPr="00313596" w:rsidRDefault="008C0885" w:rsidP="000C6174">
            <w:pPr>
              <w:rPr>
                <w:rFonts w:ascii="Arial" w:hAnsi="Arial" w:cs="Arial"/>
                <w:i/>
                <w:color w:val="FF0000"/>
                <w:sz w:val="22"/>
                <w:szCs w:val="22"/>
              </w:rPr>
            </w:pPr>
            <w:r w:rsidRPr="00313596">
              <w:rPr>
                <w:rFonts w:ascii="Arial" w:hAnsi="Arial" w:cs="Arial"/>
                <w:i/>
                <w:color w:val="FF0000"/>
                <w:sz w:val="22"/>
                <w:szCs w:val="22"/>
              </w:rPr>
              <w:t>(indicar porcentaje)</w:t>
            </w:r>
          </w:p>
        </w:tc>
        <w:tc>
          <w:tcPr>
            <w:tcW w:w="4680" w:type="dxa"/>
          </w:tcPr>
          <w:p w14:paraId="21DAB294" w14:textId="77777777" w:rsidR="008C0885" w:rsidRPr="00313596" w:rsidRDefault="008C0885" w:rsidP="000C6174">
            <w:pPr>
              <w:spacing w:before="120" w:after="120"/>
              <w:rPr>
                <w:rFonts w:ascii="Arial" w:hAnsi="Arial" w:cs="Arial"/>
                <w:sz w:val="22"/>
                <w:szCs w:val="22"/>
              </w:rPr>
            </w:pPr>
            <w:r w:rsidRPr="00313596">
              <w:rPr>
                <w:rFonts w:ascii="Arial" w:hAnsi="Arial" w:cs="Arial"/>
                <w:b/>
                <w:sz w:val="22"/>
                <w:szCs w:val="22"/>
              </w:rPr>
              <w:t>Identificación del Contrato:</w:t>
            </w:r>
            <w:r w:rsidRPr="00313596">
              <w:rPr>
                <w:rFonts w:ascii="Arial" w:hAnsi="Arial" w:cs="Arial"/>
                <w:sz w:val="22"/>
                <w:szCs w:val="22"/>
              </w:rPr>
              <w:t xml:space="preserve"> (indicar el nombre completo y el número del contrato y toda otra información de identificación pertinente)</w:t>
            </w:r>
          </w:p>
          <w:p w14:paraId="5E018FBC" w14:textId="77777777" w:rsidR="008C0885" w:rsidRPr="00313596" w:rsidRDefault="008C0885" w:rsidP="000C6174">
            <w:pPr>
              <w:spacing w:before="120" w:after="120"/>
              <w:rPr>
                <w:rFonts w:ascii="Arial" w:hAnsi="Arial" w:cs="Arial"/>
                <w:i/>
                <w:color w:val="FF0000"/>
                <w:sz w:val="22"/>
                <w:szCs w:val="22"/>
              </w:rPr>
            </w:pPr>
            <w:r w:rsidRPr="00313596">
              <w:rPr>
                <w:rFonts w:ascii="Arial" w:hAnsi="Arial" w:cs="Arial"/>
                <w:b/>
                <w:sz w:val="22"/>
                <w:szCs w:val="22"/>
              </w:rPr>
              <w:t>Nombre del Contratante:</w:t>
            </w:r>
            <w:r w:rsidRPr="00313596">
              <w:rPr>
                <w:rFonts w:ascii="Arial" w:hAnsi="Arial" w:cs="Arial"/>
                <w:sz w:val="22"/>
                <w:szCs w:val="22"/>
              </w:rPr>
              <w:t xml:space="preserve"> </w:t>
            </w:r>
            <w:r w:rsidRPr="00313596">
              <w:rPr>
                <w:rFonts w:ascii="Arial" w:hAnsi="Arial" w:cs="Arial"/>
                <w:i/>
                <w:color w:val="FF0000"/>
                <w:sz w:val="22"/>
                <w:szCs w:val="22"/>
              </w:rPr>
              <w:t>(indicar el nombre completo)</w:t>
            </w:r>
          </w:p>
          <w:p w14:paraId="7CF4136F" w14:textId="77777777" w:rsidR="008C0885" w:rsidRPr="00313596" w:rsidRDefault="008C0885" w:rsidP="000C6174">
            <w:pPr>
              <w:spacing w:before="120" w:after="120"/>
              <w:rPr>
                <w:rFonts w:ascii="Arial" w:hAnsi="Arial" w:cs="Arial"/>
                <w:color w:val="FF0000"/>
                <w:sz w:val="22"/>
                <w:szCs w:val="22"/>
              </w:rPr>
            </w:pPr>
            <w:r w:rsidRPr="00313596">
              <w:rPr>
                <w:rFonts w:ascii="Arial" w:hAnsi="Arial" w:cs="Arial"/>
                <w:b/>
                <w:sz w:val="22"/>
                <w:szCs w:val="22"/>
              </w:rPr>
              <w:t xml:space="preserve">Dirección del Contratante: </w:t>
            </w:r>
            <w:r w:rsidRPr="00313596">
              <w:rPr>
                <w:rFonts w:ascii="Arial" w:hAnsi="Arial" w:cs="Arial"/>
                <w:b/>
                <w:color w:val="FF0000"/>
                <w:sz w:val="22"/>
                <w:szCs w:val="22"/>
              </w:rPr>
              <w:t>(</w:t>
            </w:r>
            <w:r w:rsidRPr="00313596">
              <w:rPr>
                <w:rFonts w:ascii="Arial" w:hAnsi="Arial" w:cs="Arial"/>
                <w:i/>
                <w:color w:val="FF0000"/>
                <w:sz w:val="22"/>
                <w:szCs w:val="22"/>
              </w:rPr>
              <w:t>indicar la calle, la ciudad y el país)</w:t>
            </w:r>
          </w:p>
          <w:p w14:paraId="3A9A77FE" w14:textId="77777777" w:rsidR="008C0885" w:rsidRPr="00313596" w:rsidRDefault="008C0885" w:rsidP="000C6174">
            <w:pPr>
              <w:spacing w:before="120" w:after="120"/>
              <w:rPr>
                <w:rFonts w:ascii="Arial" w:hAnsi="Arial" w:cs="Arial"/>
                <w:color w:val="FF0000"/>
                <w:sz w:val="22"/>
                <w:szCs w:val="22"/>
              </w:rPr>
            </w:pPr>
            <w:r w:rsidRPr="00313596">
              <w:rPr>
                <w:rFonts w:ascii="Arial" w:hAnsi="Arial" w:cs="Arial"/>
                <w:b/>
                <w:sz w:val="22"/>
                <w:szCs w:val="22"/>
              </w:rPr>
              <w:t>Objeto de la controversia:</w:t>
            </w:r>
            <w:r w:rsidRPr="00313596">
              <w:rPr>
                <w:rFonts w:ascii="Arial" w:hAnsi="Arial" w:cs="Arial"/>
                <w:sz w:val="22"/>
                <w:szCs w:val="22"/>
              </w:rPr>
              <w:t xml:space="preserve"> </w:t>
            </w:r>
            <w:r w:rsidRPr="00313596">
              <w:rPr>
                <w:rFonts w:ascii="Arial" w:hAnsi="Arial" w:cs="Arial"/>
                <w:i/>
                <w:color w:val="FF0000"/>
                <w:sz w:val="22"/>
                <w:szCs w:val="22"/>
              </w:rPr>
              <w:t>(indicar las cuestiones principales de la controversia)</w:t>
            </w:r>
          </w:p>
          <w:p w14:paraId="52FA300D" w14:textId="77777777" w:rsidR="008C0885" w:rsidRPr="00313596" w:rsidRDefault="008C0885" w:rsidP="000C6174">
            <w:pPr>
              <w:spacing w:before="120" w:after="120"/>
              <w:rPr>
                <w:rFonts w:ascii="Arial" w:hAnsi="Arial" w:cs="Arial"/>
                <w:color w:val="FF0000"/>
                <w:sz w:val="22"/>
                <w:szCs w:val="22"/>
              </w:rPr>
            </w:pPr>
            <w:r w:rsidRPr="00313596">
              <w:rPr>
                <w:rFonts w:ascii="Arial" w:hAnsi="Arial" w:cs="Arial"/>
                <w:b/>
                <w:sz w:val="22"/>
                <w:szCs w:val="22"/>
              </w:rPr>
              <w:t>Parte que inició la controversia:</w:t>
            </w:r>
            <w:r w:rsidRPr="00313596">
              <w:rPr>
                <w:rFonts w:ascii="Arial" w:hAnsi="Arial" w:cs="Arial"/>
                <w:sz w:val="22"/>
                <w:szCs w:val="22"/>
              </w:rPr>
              <w:t xml:space="preserve"> </w:t>
            </w:r>
            <w:r w:rsidRPr="00313596">
              <w:rPr>
                <w:rFonts w:ascii="Arial" w:hAnsi="Arial" w:cs="Arial"/>
                <w:i/>
                <w:color w:val="FF0000"/>
                <w:sz w:val="22"/>
                <w:szCs w:val="22"/>
              </w:rPr>
              <w:t>(indicar “Contratante” o “Contratista”)</w:t>
            </w:r>
          </w:p>
          <w:p w14:paraId="63124853" w14:textId="77777777" w:rsidR="008C0885" w:rsidRPr="00313596" w:rsidRDefault="008C0885" w:rsidP="000C6174">
            <w:pPr>
              <w:spacing w:before="120" w:after="120"/>
              <w:rPr>
                <w:rFonts w:ascii="Arial" w:hAnsi="Arial" w:cs="Arial"/>
                <w:i/>
                <w:sz w:val="22"/>
                <w:szCs w:val="22"/>
              </w:rPr>
            </w:pPr>
            <w:r w:rsidRPr="00313596">
              <w:rPr>
                <w:rFonts w:ascii="Arial" w:hAnsi="Arial" w:cs="Arial"/>
                <w:b/>
                <w:sz w:val="22"/>
                <w:szCs w:val="22"/>
              </w:rPr>
              <w:t>Estado de la controversia:</w:t>
            </w:r>
            <w:r w:rsidRPr="00313596">
              <w:rPr>
                <w:rFonts w:ascii="Arial" w:hAnsi="Arial" w:cs="Arial"/>
                <w:sz w:val="22"/>
                <w:szCs w:val="22"/>
              </w:rPr>
              <w:t xml:space="preserve"> </w:t>
            </w:r>
            <w:r w:rsidRPr="00313596">
              <w:rPr>
                <w:rFonts w:ascii="Arial" w:hAnsi="Arial" w:cs="Arial"/>
                <w:i/>
                <w:color w:val="FF0000"/>
                <w:sz w:val="22"/>
                <w:szCs w:val="22"/>
              </w:rPr>
              <w:t>(indicar si está siendo tratada por el conciliador, si se ha sometido a arbitraje o si se encuentra en instancias judiciales)</w:t>
            </w:r>
          </w:p>
        </w:tc>
        <w:tc>
          <w:tcPr>
            <w:tcW w:w="1980" w:type="dxa"/>
          </w:tcPr>
          <w:p w14:paraId="4F6D7DAE" w14:textId="77777777" w:rsidR="008C0885" w:rsidRPr="00313596" w:rsidRDefault="008C0885" w:rsidP="000C6174">
            <w:pPr>
              <w:rPr>
                <w:rFonts w:ascii="Arial" w:hAnsi="Arial" w:cs="Arial"/>
                <w:i/>
                <w:color w:val="FF0000"/>
                <w:sz w:val="22"/>
                <w:szCs w:val="22"/>
              </w:rPr>
            </w:pPr>
            <w:r w:rsidRPr="00313596">
              <w:rPr>
                <w:rFonts w:ascii="Arial" w:hAnsi="Arial" w:cs="Arial"/>
                <w:i/>
                <w:color w:val="FF0000"/>
                <w:sz w:val="22"/>
                <w:szCs w:val="22"/>
              </w:rPr>
              <w:t>(indicar el monto del litigio)</w:t>
            </w:r>
          </w:p>
        </w:tc>
      </w:tr>
    </w:tbl>
    <w:p w14:paraId="35561A3F" w14:textId="77777777" w:rsidR="008C0885" w:rsidRPr="00313596" w:rsidRDefault="008C0885" w:rsidP="000C6174">
      <w:pPr>
        <w:rPr>
          <w:rFonts w:ascii="Arial" w:hAnsi="Arial" w:cs="Arial"/>
          <w:sz w:val="22"/>
          <w:szCs w:val="22"/>
        </w:rPr>
      </w:pPr>
    </w:p>
    <w:p w14:paraId="4339C53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Oferente / miembro de la APCA</w:t>
      </w:r>
      <w:r w:rsidRPr="00313596">
        <w:rPr>
          <w:rFonts w:ascii="Arial" w:hAnsi="Arial" w:cs="Arial"/>
          <w:b/>
          <w:sz w:val="22"/>
          <w:szCs w:val="22"/>
        </w:rPr>
        <w:t xml:space="preserve">: </w:t>
      </w:r>
      <w:r w:rsidRPr="00313596">
        <w:rPr>
          <w:rFonts w:ascii="Arial" w:hAnsi="Arial" w:cs="Arial"/>
          <w:i/>
          <w:color w:val="FF0000"/>
          <w:sz w:val="22"/>
          <w:szCs w:val="22"/>
        </w:rPr>
        <w:t xml:space="preserve">(indicar nombre completo del </w:t>
      </w:r>
      <w:r w:rsidRPr="00313596">
        <w:rPr>
          <w:rFonts w:ascii="Arial" w:hAnsi="Arial" w:cs="Arial"/>
          <w:i/>
          <w:color w:val="FF0000"/>
          <w:sz w:val="22"/>
          <w:szCs w:val="22"/>
          <w:lang w:val="es-HN"/>
        </w:rPr>
        <w:t>oferente/miembro de la APCA</w:t>
      </w:r>
      <w:r w:rsidRPr="00313596">
        <w:rPr>
          <w:rFonts w:ascii="Arial" w:hAnsi="Arial" w:cs="Arial"/>
          <w:i/>
          <w:color w:val="FF0000"/>
          <w:sz w:val="22"/>
          <w:szCs w:val="22"/>
        </w:rPr>
        <w:t>)</w:t>
      </w:r>
    </w:p>
    <w:p w14:paraId="1A4ECEA2"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313596">
        <w:rPr>
          <w:rFonts w:ascii="Arial" w:hAnsi="Arial" w:cs="Arial"/>
          <w:sz w:val="22"/>
          <w:szCs w:val="22"/>
        </w:rPr>
        <w:t>Nombre:</w:t>
      </w:r>
      <w:r w:rsidRPr="00313596">
        <w:rPr>
          <w:rFonts w:ascii="Arial" w:hAnsi="Arial" w:cs="Arial"/>
          <w:i/>
          <w:sz w:val="22"/>
          <w:szCs w:val="22"/>
        </w:rPr>
        <w:t xml:space="preserve"> </w:t>
      </w:r>
      <w:r w:rsidRPr="00313596">
        <w:rPr>
          <w:rFonts w:ascii="Arial" w:hAnsi="Arial" w:cs="Arial"/>
          <w:i/>
          <w:color w:val="FF0000"/>
          <w:sz w:val="22"/>
          <w:szCs w:val="22"/>
        </w:rPr>
        <w:t>(indicar el nombre completo de la persona del representante)</w:t>
      </w:r>
    </w:p>
    <w:p w14:paraId="5C59CA8E" w14:textId="77777777" w:rsidR="00A951D9" w:rsidRPr="00313596" w:rsidRDefault="008C0885" w:rsidP="00A951D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313596">
        <w:rPr>
          <w:rFonts w:ascii="Arial" w:hAnsi="Arial" w:cs="Arial"/>
          <w:sz w:val="22"/>
          <w:szCs w:val="22"/>
        </w:rPr>
        <w:t>Cargo:</w:t>
      </w:r>
      <w:r w:rsidRPr="00313596">
        <w:rPr>
          <w:rFonts w:ascii="Arial" w:hAnsi="Arial" w:cs="Arial"/>
          <w:i/>
          <w:sz w:val="22"/>
          <w:szCs w:val="22"/>
        </w:rPr>
        <w:t xml:space="preserve"> </w:t>
      </w:r>
      <w:r w:rsidRPr="00313596">
        <w:rPr>
          <w:rFonts w:ascii="Arial" w:hAnsi="Arial" w:cs="Arial"/>
          <w:i/>
          <w:color w:val="FF0000"/>
          <w:sz w:val="22"/>
          <w:szCs w:val="22"/>
        </w:rPr>
        <w:t>(del firmante)</w:t>
      </w:r>
    </w:p>
    <w:p w14:paraId="7BBCA224" w14:textId="77777777" w:rsidR="00747DCA" w:rsidRPr="00313596" w:rsidRDefault="008C0885" w:rsidP="00747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r w:rsidRPr="00313596">
        <w:rPr>
          <w:rFonts w:ascii="Arial" w:hAnsi="Arial" w:cs="Arial"/>
          <w:i/>
          <w:color w:val="FF0000"/>
          <w:sz w:val="22"/>
          <w:szCs w:val="22"/>
        </w:rPr>
        <w:t>En caso de ofertas presentadas por una APCA, el formulario deberá ser presentado por todos los</w:t>
      </w:r>
    </w:p>
    <w:p w14:paraId="0EA54940" w14:textId="77777777" w:rsidR="008C0885" w:rsidRPr="00313596" w:rsidRDefault="008C0885" w:rsidP="00747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r w:rsidRPr="00313596">
        <w:rPr>
          <w:rFonts w:ascii="Arial" w:hAnsi="Arial" w:cs="Arial"/>
          <w:i/>
          <w:color w:val="FF0000"/>
          <w:sz w:val="22"/>
          <w:szCs w:val="22"/>
        </w:rPr>
        <w:t>miembros del APCA</w:t>
      </w:r>
    </w:p>
    <w:p w14:paraId="75F7CDA0" w14:textId="77777777" w:rsidR="0006771D" w:rsidRPr="00313596" w:rsidRDefault="0006771D" w:rsidP="00747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3E9867DD" w14:textId="77777777" w:rsidR="0006771D" w:rsidRPr="00313596" w:rsidRDefault="0006771D" w:rsidP="00747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i/>
          <w:color w:val="FF0000"/>
          <w:sz w:val="22"/>
          <w:szCs w:val="22"/>
        </w:rPr>
      </w:pPr>
    </w:p>
    <w:p w14:paraId="77D5631F" w14:textId="77777777" w:rsidR="003D50ED" w:rsidRPr="00313596" w:rsidRDefault="003D50ED" w:rsidP="00747D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color w:val="FF0000"/>
          <w:sz w:val="22"/>
          <w:szCs w:val="22"/>
        </w:rPr>
      </w:pPr>
    </w:p>
    <w:p w14:paraId="5048944C" w14:textId="77777777" w:rsidR="00DA4946" w:rsidRDefault="00DA4946" w:rsidP="000C6174">
      <w:pPr>
        <w:jc w:val="left"/>
        <w:rPr>
          <w:rFonts w:ascii="Arial" w:hAnsi="Arial" w:cs="Arial"/>
          <w:b/>
          <w:sz w:val="22"/>
          <w:szCs w:val="22"/>
        </w:rPr>
      </w:pPr>
    </w:p>
    <w:p w14:paraId="0B6E0127" w14:textId="77777777" w:rsidR="00DA4946" w:rsidRDefault="00DA4946" w:rsidP="000C6174">
      <w:pPr>
        <w:jc w:val="left"/>
        <w:rPr>
          <w:rFonts w:ascii="Arial" w:hAnsi="Arial" w:cs="Arial"/>
          <w:b/>
          <w:sz w:val="22"/>
          <w:szCs w:val="22"/>
        </w:rPr>
      </w:pPr>
    </w:p>
    <w:p w14:paraId="162EEAF8" w14:textId="77777777" w:rsidR="00DA4946" w:rsidRDefault="00DA4946" w:rsidP="000C6174">
      <w:pPr>
        <w:jc w:val="left"/>
        <w:rPr>
          <w:rFonts w:ascii="Arial" w:hAnsi="Arial" w:cs="Arial"/>
          <w:b/>
          <w:sz w:val="22"/>
          <w:szCs w:val="22"/>
        </w:rPr>
      </w:pPr>
    </w:p>
    <w:p w14:paraId="20F8EF9B" w14:textId="77777777" w:rsidR="00DA4946" w:rsidRDefault="00DA4946" w:rsidP="000C6174">
      <w:pPr>
        <w:jc w:val="left"/>
        <w:rPr>
          <w:rFonts w:ascii="Arial" w:hAnsi="Arial" w:cs="Arial"/>
          <w:b/>
          <w:sz w:val="22"/>
          <w:szCs w:val="22"/>
        </w:rPr>
      </w:pPr>
    </w:p>
    <w:p w14:paraId="090CDA0A" w14:textId="77777777" w:rsidR="00DA4946" w:rsidRDefault="00DA4946" w:rsidP="000C6174">
      <w:pPr>
        <w:jc w:val="left"/>
        <w:rPr>
          <w:rFonts w:ascii="Arial" w:hAnsi="Arial" w:cs="Arial"/>
          <w:b/>
          <w:sz w:val="22"/>
          <w:szCs w:val="22"/>
        </w:rPr>
      </w:pPr>
    </w:p>
    <w:p w14:paraId="4D15651C" w14:textId="77777777" w:rsidR="00DA4946" w:rsidRDefault="00DA4946" w:rsidP="000C6174">
      <w:pPr>
        <w:jc w:val="left"/>
        <w:rPr>
          <w:rFonts w:ascii="Arial" w:hAnsi="Arial" w:cs="Arial"/>
          <w:b/>
          <w:sz w:val="22"/>
          <w:szCs w:val="22"/>
        </w:rPr>
      </w:pPr>
    </w:p>
    <w:p w14:paraId="48D4B4D8" w14:textId="77777777" w:rsidR="00DA4946" w:rsidRDefault="00DA4946" w:rsidP="000C6174">
      <w:pPr>
        <w:jc w:val="left"/>
        <w:rPr>
          <w:rFonts w:ascii="Arial" w:hAnsi="Arial" w:cs="Arial"/>
          <w:b/>
          <w:sz w:val="22"/>
          <w:szCs w:val="22"/>
        </w:rPr>
      </w:pPr>
    </w:p>
    <w:p w14:paraId="232A9BDC" w14:textId="77777777" w:rsidR="00DA4946" w:rsidRDefault="00DA4946" w:rsidP="000C6174">
      <w:pPr>
        <w:jc w:val="left"/>
        <w:rPr>
          <w:rFonts w:ascii="Arial" w:hAnsi="Arial" w:cs="Arial"/>
          <w:b/>
          <w:sz w:val="22"/>
          <w:szCs w:val="22"/>
        </w:rPr>
      </w:pPr>
    </w:p>
    <w:p w14:paraId="34AA1526" w14:textId="77777777" w:rsidR="00DA4946" w:rsidRDefault="00DA4946" w:rsidP="000C6174">
      <w:pPr>
        <w:jc w:val="left"/>
        <w:rPr>
          <w:rFonts w:ascii="Arial" w:hAnsi="Arial" w:cs="Arial"/>
          <w:b/>
          <w:sz w:val="22"/>
          <w:szCs w:val="22"/>
        </w:rPr>
      </w:pPr>
    </w:p>
    <w:p w14:paraId="7BFA1E8E" w14:textId="77777777" w:rsidR="008C0885" w:rsidRPr="00313596" w:rsidRDefault="008C0885" w:rsidP="000C6174">
      <w:pPr>
        <w:jc w:val="left"/>
        <w:rPr>
          <w:rFonts w:ascii="Arial" w:hAnsi="Arial" w:cs="Arial"/>
          <w:b/>
          <w:sz w:val="22"/>
          <w:szCs w:val="22"/>
        </w:rPr>
      </w:pPr>
      <w:r w:rsidRPr="00313596">
        <w:rPr>
          <w:rFonts w:ascii="Arial" w:hAnsi="Arial" w:cs="Arial"/>
          <w:b/>
          <w:sz w:val="22"/>
          <w:szCs w:val="22"/>
        </w:rPr>
        <w:lastRenderedPageBreak/>
        <w:t xml:space="preserve">FORMULARIO CC - 6 </w:t>
      </w:r>
    </w:p>
    <w:p w14:paraId="45731FED" w14:textId="77777777" w:rsidR="008C0885" w:rsidRPr="008A1CB4" w:rsidRDefault="008C0885" w:rsidP="004A5B79">
      <w:pPr>
        <w:pStyle w:val="i"/>
        <w:jc w:val="center"/>
        <w:rPr>
          <w:rFonts w:ascii="Arial" w:hAnsi="Arial" w:cs="Arial"/>
          <w:b/>
          <w:sz w:val="22"/>
          <w:szCs w:val="22"/>
        </w:rPr>
      </w:pPr>
      <w:r w:rsidRPr="008A1CB4">
        <w:rPr>
          <w:rFonts w:ascii="Arial" w:hAnsi="Arial" w:cs="Arial"/>
          <w:b/>
          <w:sz w:val="22"/>
          <w:szCs w:val="22"/>
        </w:rPr>
        <w:t xml:space="preserve">Garantía de Mantenimiento de </w:t>
      </w:r>
      <w:r w:rsidR="004A5B79" w:rsidRPr="008A1CB4">
        <w:rPr>
          <w:rFonts w:ascii="Arial" w:hAnsi="Arial" w:cs="Arial"/>
          <w:b/>
          <w:sz w:val="22"/>
          <w:szCs w:val="22"/>
        </w:rPr>
        <w:t>Oferta y Firma de Contrato (</w:t>
      </w:r>
      <w:r w:rsidRPr="008A1CB4">
        <w:rPr>
          <w:rFonts w:ascii="Arial" w:hAnsi="Arial" w:cs="Arial"/>
          <w:b/>
          <w:sz w:val="22"/>
          <w:szCs w:val="22"/>
        </w:rPr>
        <w:t>a Primer Requerimiento</w:t>
      </w:r>
      <w:r w:rsidR="004A5B79" w:rsidRPr="008A1CB4">
        <w:rPr>
          <w:rFonts w:ascii="Arial" w:hAnsi="Arial" w:cs="Arial"/>
          <w:b/>
          <w:sz w:val="22"/>
          <w:szCs w:val="22"/>
        </w:rPr>
        <w:t>)</w:t>
      </w:r>
    </w:p>
    <w:p w14:paraId="6C9CA821" w14:textId="77777777" w:rsidR="008C0885" w:rsidRPr="008A1CB4" w:rsidRDefault="008C0885" w:rsidP="000C6174">
      <w:pPr>
        <w:pStyle w:val="NormalWeb"/>
        <w:spacing w:before="60" w:beforeAutospacing="0" w:after="60" w:afterAutospacing="0"/>
        <w:rPr>
          <w:rFonts w:ascii="Arial" w:hAnsi="Arial" w:cs="Arial"/>
          <w:i/>
          <w:color w:val="FF0000"/>
          <w:sz w:val="22"/>
          <w:szCs w:val="22"/>
          <w:lang w:val="es-ES"/>
        </w:rPr>
      </w:pPr>
      <w:r w:rsidRPr="008A1CB4">
        <w:rPr>
          <w:rFonts w:ascii="Arial" w:hAnsi="Arial" w:cs="Arial"/>
          <w:i/>
          <w:color w:val="FF0000"/>
          <w:sz w:val="22"/>
          <w:szCs w:val="22"/>
          <w:lang w:val="es-ES"/>
        </w:rPr>
        <w:t>(Membrete o código de identificación SWIFT del Garante)</w:t>
      </w:r>
    </w:p>
    <w:p w14:paraId="50EADC72" w14:textId="77777777" w:rsidR="008C0885" w:rsidRPr="008A1CB4" w:rsidRDefault="008C0885" w:rsidP="000C6174">
      <w:pPr>
        <w:pStyle w:val="NormalWeb"/>
        <w:spacing w:before="60" w:beforeAutospacing="0" w:after="240" w:afterAutospacing="0"/>
        <w:rPr>
          <w:rFonts w:ascii="Arial" w:hAnsi="Arial" w:cs="Arial"/>
          <w:i/>
          <w:sz w:val="22"/>
          <w:szCs w:val="22"/>
          <w:lang w:val="es-ES"/>
        </w:rPr>
      </w:pPr>
      <w:r w:rsidRPr="008A1CB4">
        <w:rPr>
          <w:rFonts w:ascii="Arial" w:hAnsi="Arial" w:cs="Arial"/>
          <w:i/>
          <w:color w:val="FF0000"/>
          <w:sz w:val="22"/>
          <w:szCs w:val="22"/>
          <w:lang w:val="es-ES"/>
        </w:rPr>
        <w:t>(Indique el nombre del banco y dirección de la sucursal u oficina emisora)</w:t>
      </w:r>
    </w:p>
    <w:p w14:paraId="5D17CEF7" w14:textId="77777777" w:rsidR="008C0885" w:rsidRPr="008A1CB4" w:rsidRDefault="008C0885" w:rsidP="000C6174">
      <w:pPr>
        <w:pStyle w:val="NormalWeb"/>
        <w:spacing w:before="60" w:beforeAutospacing="0" w:after="60" w:afterAutospacing="0"/>
        <w:contextualSpacing/>
        <w:rPr>
          <w:rFonts w:ascii="Arial" w:hAnsi="Arial" w:cs="Arial"/>
          <w:i/>
          <w:color w:val="FF0000"/>
          <w:sz w:val="22"/>
          <w:szCs w:val="22"/>
          <w:lang w:val="es-ES"/>
        </w:rPr>
      </w:pPr>
      <w:r w:rsidRPr="008A1CB4">
        <w:rPr>
          <w:rFonts w:ascii="Arial" w:hAnsi="Arial" w:cs="Arial"/>
          <w:sz w:val="22"/>
          <w:szCs w:val="22"/>
          <w:lang w:val="es-ES"/>
        </w:rPr>
        <w:t xml:space="preserve">Beneficiario: </w:t>
      </w:r>
      <w:r w:rsidRPr="008A1CB4">
        <w:rPr>
          <w:rFonts w:ascii="Arial" w:hAnsi="Arial" w:cs="Arial"/>
          <w:i/>
          <w:color w:val="FF0000"/>
          <w:sz w:val="22"/>
          <w:szCs w:val="22"/>
          <w:lang w:val="es-ES"/>
        </w:rPr>
        <w:t>(indique el nombre y dirección del Contratante)</w:t>
      </w:r>
    </w:p>
    <w:p w14:paraId="756BB37E" w14:textId="77777777" w:rsidR="008C0885" w:rsidRPr="008A1CB4" w:rsidRDefault="008C0885" w:rsidP="000C6174">
      <w:pPr>
        <w:pStyle w:val="NormalWeb"/>
        <w:spacing w:before="60" w:beforeAutospacing="0" w:after="60" w:afterAutospacing="0"/>
        <w:contextualSpacing/>
        <w:rPr>
          <w:rFonts w:ascii="Arial" w:hAnsi="Arial" w:cs="Arial"/>
          <w:i/>
          <w:color w:val="FF0000"/>
          <w:sz w:val="22"/>
          <w:szCs w:val="22"/>
          <w:lang w:val="es-ES"/>
        </w:rPr>
      </w:pPr>
      <w:r w:rsidRPr="008A1CB4">
        <w:rPr>
          <w:rFonts w:ascii="Arial" w:hAnsi="Arial" w:cs="Arial"/>
          <w:iCs/>
          <w:sz w:val="22"/>
          <w:szCs w:val="22"/>
          <w:lang w:val="es-ES"/>
        </w:rPr>
        <w:t>Licitación No:</w:t>
      </w:r>
      <w:r w:rsidRPr="008A1CB4">
        <w:rPr>
          <w:rFonts w:ascii="Arial" w:hAnsi="Arial" w:cs="Arial"/>
          <w:i/>
          <w:sz w:val="22"/>
          <w:szCs w:val="22"/>
          <w:lang w:val="es-ES"/>
        </w:rPr>
        <w:t xml:space="preserve"> </w:t>
      </w:r>
      <w:r w:rsidRPr="008A1CB4">
        <w:rPr>
          <w:rFonts w:ascii="Arial" w:hAnsi="Arial" w:cs="Arial"/>
          <w:i/>
          <w:color w:val="FF0000"/>
          <w:sz w:val="22"/>
          <w:szCs w:val="22"/>
          <w:lang w:val="es-ES"/>
        </w:rPr>
        <w:t>(indique número de referencia del Llamado a Licitaci</w:t>
      </w:r>
      <w:r w:rsidR="004A5B79" w:rsidRPr="008A1CB4">
        <w:rPr>
          <w:rFonts w:ascii="Arial" w:hAnsi="Arial" w:cs="Arial"/>
          <w:i/>
          <w:color w:val="FF0000"/>
          <w:sz w:val="22"/>
          <w:szCs w:val="22"/>
          <w:lang w:val="es-ES"/>
        </w:rPr>
        <w:t>ón o del proceso de licitación).</w:t>
      </w:r>
    </w:p>
    <w:p w14:paraId="3FD1D9D7" w14:textId="77777777" w:rsidR="004A5B79" w:rsidRPr="008A1CB4" w:rsidRDefault="004A5B79" w:rsidP="004A5B79">
      <w:pPr>
        <w:pStyle w:val="NormalWeb"/>
        <w:spacing w:before="60" w:beforeAutospacing="0" w:after="60" w:afterAutospacing="0"/>
        <w:contextualSpacing/>
        <w:rPr>
          <w:rFonts w:ascii="Arial" w:hAnsi="Arial" w:cs="Arial"/>
          <w:i/>
          <w:color w:val="FF0000"/>
          <w:sz w:val="22"/>
          <w:szCs w:val="22"/>
          <w:lang w:val="es-ES"/>
        </w:rPr>
      </w:pPr>
      <w:r w:rsidRPr="008A1CB4">
        <w:rPr>
          <w:rFonts w:ascii="Arial" w:hAnsi="Arial" w:cs="Arial"/>
          <w:i/>
          <w:color w:val="FF0000"/>
          <w:sz w:val="22"/>
          <w:szCs w:val="22"/>
          <w:lang w:val="es-ES"/>
        </w:rPr>
        <w:t xml:space="preserve">Lote No: (indique número y nombre del Lote al que aplica) </w:t>
      </w:r>
    </w:p>
    <w:p w14:paraId="709EEAB0" w14:textId="77777777" w:rsidR="008C0885" w:rsidRPr="008A1CB4" w:rsidRDefault="008C0885" w:rsidP="000C6174">
      <w:pPr>
        <w:pStyle w:val="NormalWeb"/>
        <w:spacing w:before="240" w:beforeAutospacing="0" w:after="60" w:afterAutospacing="0"/>
        <w:rPr>
          <w:rFonts w:ascii="Arial" w:hAnsi="Arial" w:cs="Arial"/>
          <w:sz w:val="22"/>
          <w:szCs w:val="22"/>
          <w:lang w:val="es-ES"/>
        </w:rPr>
      </w:pPr>
      <w:r w:rsidRPr="008A1CB4">
        <w:rPr>
          <w:rFonts w:ascii="Arial" w:hAnsi="Arial" w:cs="Arial"/>
          <w:sz w:val="22"/>
          <w:szCs w:val="22"/>
          <w:lang w:val="es-ES"/>
        </w:rPr>
        <w:t xml:space="preserve">Fecha: </w:t>
      </w:r>
      <w:r w:rsidRPr="008A1CB4">
        <w:rPr>
          <w:rFonts w:ascii="Arial" w:hAnsi="Arial" w:cs="Arial"/>
          <w:i/>
          <w:color w:val="FF0000"/>
          <w:sz w:val="22"/>
          <w:szCs w:val="22"/>
          <w:lang w:val="es-ES"/>
        </w:rPr>
        <w:t>(indique fecha de emisión)</w:t>
      </w:r>
      <w:r w:rsidRPr="008A1CB4">
        <w:rPr>
          <w:rFonts w:ascii="Arial" w:hAnsi="Arial" w:cs="Arial"/>
          <w:sz w:val="22"/>
          <w:szCs w:val="22"/>
          <w:lang w:val="es-ES"/>
        </w:rPr>
        <w:t xml:space="preserve"> </w:t>
      </w:r>
    </w:p>
    <w:p w14:paraId="1B9E5D1F" w14:textId="77777777" w:rsidR="008C0885" w:rsidRPr="00313596" w:rsidRDefault="008C0885" w:rsidP="000C6174">
      <w:pPr>
        <w:pStyle w:val="NormalWeb"/>
        <w:spacing w:before="60" w:beforeAutospacing="0" w:after="60" w:afterAutospacing="0"/>
        <w:ind w:right="-359"/>
        <w:rPr>
          <w:rFonts w:ascii="Arial" w:hAnsi="Arial" w:cs="Arial"/>
          <w:i/>
          <w:color w:val="FF0000"/>
          <w:sz w:val="22"/>
          <w:szCs w:val="22"/>
          <w:lang w:val="es-ES"/>
        </w:rPr>
      </w:pPr>
      <w:r w:rsidRPr="008A1CB4">
        <w:rPr>
          <w:rFonts w:ascii="Arial" w:hAnsi="Arial" w:cs="Arial"/>
          <w:sz w:val="22"/>
          <w:szCs w:val="22"/>
          <w:lang w:val="es-ES"/>
        </w:rPr>
        <w:t xml:space="preserve">No. de GARANTÍA DE MANTENIMIENTO DE LA OFERTA </w:t>
      </w:r>
      <w:r w:rsidR="004A5B79" w:rsidRPr="008A1CB4">
        <w:rPr>
          <w:rFonts w:ascii="Arial" w:hAnsi="Arial" w:cs="Arial"/>
          <w:sz w:val="22"/>
          <w:szCs w:val="22"/>
          <w:lang w:val="es-ES"/>
        </w:rPr>
        <w:t xml:space="preserve">Y FIRMA DE CONTRATO </w:t>
      </w:r>
      <w:r w:rsidRPr="008A1CB4">
        <w:rPr>
          <w:rFonts w:ascii="Arial" w:hAnsi="Arial" w:cs="Arial"/>
          <w:sz w:val="22"/>
          <w:szCs w:val="22"/>
          <w:lang w:val="es-ES"/>
        </w:rPr>
        <w:t xml:space="preserve">No.: </w:t>
      </w:r>
      <w:r w:rsidRPr="008A1CB4">
        <w:rPr>
          <w:rFonts w:ascii="Arial" w:hAnsi="Arial" w:cs="Arial"/>
          <w:i/>
          <w:color w:val="FF0000"/>
          <w:sz w:val="22"/>
          <w:szCs w:val="22"/>
        </w:rPr>
        <w:t>(identificación de la Garantía)</w:t>
      </w:r>
    </w:p>
    <w:p w14:paraId="2567396B" w14:textId="77777777" w:rsidR="008C0885" w:rsidRPr="00313596" w:rsidRDefault="008C0885" w:rsidP="000C6174">
      <w:pPr>
        <w:pStyle w:val="NormalWeb"/>
        <w:spacing w:before="60" w:beforeAutospacing="0" w:after="60" w:afterAutospacing="0"/>
        <w:jc w:val="both"/>
        <w:rPr>
          <w:rFonts w:ascii="Arial" w:hAnsi="Arial" w:cs="Arial"/>
          <w:color w:val="FF0000"/>
          <w:sz w:val="22"/>
          <w:szCs w:val="22"/>
          <w:lang w:val="es-ES"/>
        </w:rPr>
      </w:pPr>
      <w:r w:rsidRPr="00313596">
        <w:rPr>
          <w:rFonts w:ascii="Arial" w:hAnsi="Arial" w:cs="Arial"/>
          <w:sz w:val="22"/>
          <w:szCs w:val="22"/>
          <w:lang w:val="es-ES"/>
        </w:rPr>
        <w:t xml:space="preserve">Garante: </w:t>
      </w:r>
      <w:r w:rsidRPr="00313596">
        <w:rPr>
          <w:rFonts w:ascii="Arial" w:hAnsi="Arial" w:cs="Arial"/>
          <w:i/>
          <w:iCs/>
          <w:color w:val="FF0000"/>
          <w:sz w:val="22"/>
          <w:szCs w:val="22"/>
          <w:lang w:val="es-ES"/>
        </w:rPr>
        <w:t>(Indique el nombre y la dirección del lugar de emisión salvo que esté indicado en el membrete)</w:t>
      </w:r>
    </w:p>
    <w:p w14:paraId="04127878" w14:textId="77777777" w:rsidR="008C0885" w:rsidRPr="00313596" w:rsidRDefault="008C0885" w:rsidP="000C6174">
      <w:pPr>
        <w:pStyle w:val="NormalWeb"/>
        <w:spacing w:before="240" w:beforeAutospacing="0" w:after="120" w:afterAutospacing="0"/>
        <w:jc w:val="both"/>
        <w:rPr>
          <w:rFonts w:ascii="Arial" w:hAnsi="Arial" w:cs="Arial"/>
          <w:sz w:val="22"/>
          <w:szCs w:val="22"/>
          <w:lang w:val="es-ES"/>
        </w:rPr>
      </w:pPr>
      <w:r w:rsidRPr="00313596">
        <w:rPr>
          <w:rFonts w:ascii="Arial" w:hAnsi="Arial" w:cs="Arial"/>
          <w:sz w:val="22"/>
          <w:szCs w:val="22"/>
          <w:lang w:val="es-ES"/>
        </w:rPr>
        <w:t xml:space="preserve">Se nos ha informado que </w:t>
      </w:r>
      <w:r w:rsidRPr="00313596">
        <w:rPr>
          <w:rFonts w:ascii="Arial" w:hAnsi="Arial" w:cs="Arial"/>
          <w:i/>
          <w:color w:val="FF0000"/>
          <w:sz w:val="22"/>
          <w:szCs w:val="22"/>
          <w:lang w:val="es-ES"/>
        </w:rPr>
        <w:t>Indique el nombre del oferente, el cual en caso de APCA será el nombre de esta asociación (legalmente constituida o por constituir) o los nombres de sus miembros,</w:t>
      </w:r>
      <w:r w:rsidRPr="00313596">
        <w:rPr>
          <w:rFonts w:ascii="Arial" w:hAnsi="Arial" w:cs="Arial"/>
          <w:color w:val="FF0000"/>
          <w:sz w:val="22"/>
          <w:szCs w:val="22"/>
          <w:lang w:val="es-ES"/>
        </w:rPr>
        <w:t xml:space="preserve"> </w:t>
      </w:r>
      <w:r w:rsidRPr="00313596">
        <w:rPr>
          <w:rFonts w:ascii="Arial" w:hAnsi="Arial" w:cs="Arial"/>
          <w:sz w:val="22"/>
          <w:szCs w:val="22"/>
          <w:lang w:val="es-ES"/>
        </w:rPr>
        <w:t>(</w:t>
      </w:r>
      <w:r w:rsidRPr="00313596">
        <w:rPr>
          <w:rFonts w:ascii="Arial" w:hAnsi="Arial" w:cs="Arial"/>
          <w:iCs/>
          <w:sz w:val="22"/>
          <w:szCs w:val="22"/>
          <w:lang w:val="es-ES"/>
        </w:rPr>
        <w:t>en adelante denominado “el Oferente</w:t>
      </w:r>
      <w:r w:rsidR="00810417" w:rsidRPr="00313596">
        <w:rPr>
          <w:rFonts w:ascii="Arial" w:hAnsi="Arial" w:cs="Arial"/>
          <w:sz w:val="22"/>
          <w:szCs w:val="22"/>
          <w:lang w:val="es-ES"/>
        </w:rPr>
        <w:t>”) ha</w:t>
      </w:r>
      <w:r w:rsidRPr="00313596">
        <w:rPr>
          <w:rFonts w:ascii="Arial" w:hAnsi="Arial" w:cs="Arial"/>
          <w:sz w:val="22"/>
          <w:szCs w:val="22"/>
          <w:lang w:val="es-ES"/>
        </w:rPr>
        <w:t xml:space="preserve"> presentado o presentará al Beneficiario su oferta (</w:t>
      </w:r>
      <w:r w:rsidRPr="00313596">
        <w:rPr>
          <w:rFonts w:ascii="Arial" w:hAnsi="Arial" w:cs="Arial"/>
          <w:iCs/>
          <w:sz w:val="22"/>
          <w:szCs w:val="22"/>
          <w:lang w:val="es-ES"/>
        </w:rPr>
        <w:t>en adelante denominada “la Oferta”</w:t>
      </w:r>
      <w:r w:rsidRPr="00313596">
        <w:rPr>
          <w:rFonts w:ascii="Arial" w:hAnsi="Arial" w:cs="Arial"/>
          <w:sz w:val="22"/>
          <w:szCs w:val="22"/>
          <w:lang w:val="es-ES"/>
        </w:rPr>
        <w:t xml:space="preserve">) para la ejecución de </w:t>
      </w:r>
      <w:r w:rsidRPr="00313596">
        <w:rPr>
          <w:rFonts w:ascii="Arial" w:hAnsi="Arial" w:cs="Arial"/>
          <w:i/>
          <w:color w:val="FF0000"/>
          <w:sz w:val="22"/>
          <w:szCs w:val="22"/>
          <w:lang w:val="es-ES"/>
        </w:rPr>
        <w:t xml:space="preserve">(Nombre del contrato) </w:t>
      </w:r>
      <w:r w:rsidRPr="00313596">
        <w:rPr>
          <w:rFonts w:ascii="Arial" w:hAnsi="Arial" w:cs="Arial"/>
          <w:sz w:val="22"/>
          <w:szCs w:val="22"/>
          <w:lang w:val="es-ES"/>
        </w:rPr>
        <w:t xml:space="preserve">bajo el Llamado a Licitación número </w:t>
      </w:r>
      <w:r w:rsidRPr="00313596">
        <w:rPr>
          <w:rFonts w:ascii="Arial" w:hAnsi="Arial" w:cs="Arial"/>
          <w:i/>
          <w:iCs/>
          <w:color w:val="FF0000"/>
          <w:sz w:val="22"/>
          <w:szCs w:val="22"/>
          <w:lang w:val="es-ES"/>
        </w:rPr>
        <w:t>(indique el número)</w:t>
      </w:r>
      <w:r w:rsidRPr="00313596">
        <w:rPr>
          <w:rFonts w:ascii="Arial" w:hAnsi="Arial" w:cs="Arial"/>
          <w:color w:val="FF0000"/>
          <w:sz w:val="22"/>
          <w:szCs w:val="22"/>
          <w:lang w:val="es-ES"/>
        </w:rPr>
        <w:t>.</w:t>
      </w:r>
    </w:p>
    <w:p w14:paraId="53A448B8" w14:textId="77777777" w:rsidR="008C0885" w:rsidRPr="00313596" w:rsidRDefault="008C0885" w:rsidP="000C6174">
      <w:pPr>
        <w:pStyle w:val="NormalWeb"/>
        <w:spacing w:before="120" w:beforeAutospacing="0" w:after="120" w:afterAutospacing="0"/>
        <w:jc w:val="both"/>
        <w:rPr>
          <w:rFonts w:ascii="Arial" w:hAnsi="Arial" w:cs="Arial"/>
          <w:sz w:val="22"/>
          <w:szCs w:val="22"/>
          <w:lang w:val="es-ES"/>
        </w:rPr>
      </w:pPr>
      <w:r w:rsidRPr="00313596">
        <w:rPr>
          <w:rFonts w:ascii="Arial" w:hAnsi="Arial" w:cs="Arial"/>
          <w:sz w:val="22"/>
          <w:szCs w:val="22"/>
          <w:lang w:val="es-ES"/>
        </w:rPr>
        <w:t>Asimismo, entendemos que, de conformidad con las condiciones establecidas por el Beneficiario, una Garantía de Mantenimiento de la Oferta deberá respaldar la oferta.</w:t>
      </w:r>
    </w:p>
    <w:p w14:paraId="60868C5D" w14:textId="77777777" w:rsidR="008C0885" w:rsidRPr="00313596" w:rsidRDefault="008C0885" w:rsidP="000C6174">
      <w:pPr>
        <w:pStyle w:val="NormalWeb"/>
        <w:spacing w:before="120" w:beforeAutospacing="0" w:after="120" w:afterAutospacing="0"/>
        <w:jc w:val="both"/>
        <w:rPr>
          <w:rFonts w:ascii="Arial" w:hAnsi="Arial" w:cs="Arial"/>
          <w:sz w:val="22"/>
          <w:szCs w:val="22"/>
          <w:lang w:val="es-ES"/>
        </w:rPr>
      </w:pPr>
      <w:r w:rsidRPr="00313596">
        <w:rPr>
          <w:rFonts w:ascii="Arial" w:hAnsi="Arial" w:cs="Arial"/>
          <w:sz w:val="22"/>
          <w:szCs w:val="22"/>
          <w:lang w:val="es-ES"/>
        </w:rPr>
        <w:t xml:space="preserve">A solicitud del Oferente, nosotros  </w:t>
      </w:r>
      <w:r w:rsidRPr="00313596">
        <w:rPr>
          <w:rFonts w:ascii="Arial" w:hAnsi="Arial" w:cs="Arial"/>
          <w:i/>
          <w:color w:val="FF0000"/>
          <w:sz w:val="22"/>
          <w:szCs w:val="22"/>
          <w:lang w:val="es-ES"/>
        </w:rPr>
        <w:t>(indique el nombre del banco)</w:t>
      </w:r>
      <w:r w:rsidRPr="00313596">
        <w:rPr>
          <w:rFonts w:ascii="Arial" w:hAnsi="Arial" w:cs="Arial"/>
          <w:sz w:val="22"/>
          <w:szCs w:val="22"/>
          <w:lang w:val="es-ES"/>
        </w:rPr>
        <w:t>, en calidad de Garante, por medio de la presente Garantía nos obligamos irrevocablemente a pagar a ustedes una suma o sumas, que no exceda(n) un monto total de _________</w:t>
      </w:r>
      <w:r w:rsidRPr="00313596">
        <w:rPr>
          <w:rFonts w:ascii="Arial" w:hAnsi="Arial" w:cs="Arial"/>
          <w:i/>
          <w:color w:val="FF0000"/>
          <w:sz w:val="22"/>
          <w:szCs w:val="22"/>
          <w:lang w:val="es-ES"/>
        </w:rPr>
        <w:t>(indique el monto en cifras)</w:t>
      </w:r>
      <w:r w:rsidRPr="00313596">
        <w:rPr>
          <w:rFonts w:ascii="Arial" w:hAnsi="Arial" w:cs="Arial"/>
          <w:sz w:val="22"/>
          <w:szCs w:val="22"/>
          <w:lang w:val="es-ES"/>
        </w:rPr>
        <w:t xml:space="preserve">  (__________) (</w:t>
      </w:r>
      <w:r w:rsidRPr="00313596">
        <w:rPr>
          <w:rFonts w:ascii="Arial" w:hAnsi="Arial" w:cs="Arial"/>
          <w:i/>
          <w:color w:val="FF0000"/>
          <w:sz w:val="22"/>
          <w:szCs w:val="22"/>
          <w:lang w:val="es-ES"/>
        </w:rPr>
        <w:t>monto en palabras)</w:t>
      </w:r>
      <w:r w:rsidRPr="00313596">
        <w:rPr>
          <w:rFonts w:ascii="Arial" w:hAnsi="Arial" w:cs="Arial"/>
          <w:color w:val="FF0000"/>
          <w:sz w:val="22"/>
          <w:szCs w:val="22"/>
          <w:lang w:val="es-ES"/>
        </w:rPr>
        <w:t xml:space="preserve"> </w:t>
      </w:r>
      <w:r w:rsidRPr="00313596">
        <w:rPr>
          <w:rFonts w:ascii="Arial" w:hAnsi="Arial" w:cs="Arial"/>
          <w:sz w:val="22"/>
          <w:szCs w:val="22"/>
          <w:lang w:val="es-ES"/>
        </w:rPr>
        <w:t>al recibo en nuestras oficinas de su primera solicitud por escrito y acompañada de una comunicación escrita que declare que el oferente está incumpliendo sus obligaciones contraídas bajo las condiciones de la oferta, porque el Oferente:</w:t>
      </w:r>
    </w:p>
    <w:p w14:paraId="24C3BD9A" w14:textId="77777777" w:rsidR="008C0885" w:rsidRPr="00313596" w:rsidRDefault="008C0885" w:rsidP="003B68DB">
      <w:pPr>
        <w:pStyle w:val="NormalWeb"/>
        <w:numPr>
          <w:ilvl w:val="0"/>
          <w:numId w:val="58"/>
        </w:numPr>
        <w:spacing w:before="120" w:beforeAutospacing="0" w:after="120" w:afterAutospacing="0"/>
        <w:ind w:left="426" w:right="-99" w:hanging="426"/>
        <w:jc w:val="both"/>
        <w:rPr>
          <w:rFonts w:ascii="Arial" w:hAnsi="Arial" w:cs="Arial"/>
          <w:sz w:val="22"/>
          <w:szCs w:val="22"/>
          <w:lang w:val="es-ES"/>
        </w:rPr>
      </w:pPr>
      <w:r w:rsidRPr="00313596">
        <w:rPr>
          <w:rFonts w:ascii="Arial" w:hAnsi="Arial" w:cs="Arial"/>
          <w:sz w:val="22"/>
          <w:szCs w:val="22"/>
          <w:lang w:val="es-ES"/>
        </w:rPr>
        <w:t>Ha retirado su Oferta durante el período de validez establecido por el oferente en el formulario de Carta de confirmación de participación y presentación de la oferta, o cualquier fecha extendida establecida por el Oferente; o</w:t>
      </w:r>
    </w:p>
    <w:p w14:paraId="044D936B" w14:textId="77777777" w:rsidR="008C0885" w:rsidRPr="00313596" w:rsidRDefault="008C0885" w:rsidP="00DA4946">
      <w:pPr>
        <w:pStyle w:val="NormalWeb"/>
        <w:tabs>
          <w:tab w:val="left" w:pos="1260"/>
        </w:tabs>
        <w:spacing w:before="120" w:beforeAutospacing="0" w:after="120" w:afterAutospacing="0"/>
        <w:ind w:left="426" w:hanging="426"/>
        <w:jc w:val="both"/>
        <w:rPr>
          <w:rFonts w:ascii="Arial" w:hAnsi="Arial" w:cs="Arial"/>
          <w:sz w:val="22"/>
          <w:szCs w:val="22"/>
          <w:lang w:val="es-ES"/>
        </w:rPr>
      </w:pPr>
      <w:r w:rsidRPr="00313596">
        <w:rPr>
          <w:rFonts w:ascii="Arial" w:hAnsi="Arial" w:cs="Arial"/>
          <w:sz w:val="22"/>
          <w:szCs w:val="22"/>
          <w:lang w:val="es-ES"/>
        </w:rPr>
        <w:t xml:space="preserve">b) </w:t>
      </w:r>
      <w:r w:rsidRPr="00313596">
        <w:rPr>
          <w:rFonts w:ascii="Arial" w:hAnsi="Arial" w:cs="Arial"/>
          <w:sz w:val="22"/>
          <w:szCs w:val="22"/>
          <w:lang w:val="es-ES"/>
        </w:rPr>
        <w:tab/>
        <w:t>Habiéndole notificado el Beneficiario que ha aceptado su Oferta antes de la fecha de expiración de la validez de la Oferta o cualquier ampliación del mismo establecida por el Oferente, (i) no firma o rehúsa firmar el contrato en el plazo establecido para su firma, o (ii) no suministra o rehúsa suministrar la Garantía de Ejecución o cumplimiento, de conformidad con las Instrucciones a los Oferentes.</w:t>
      </w:r>
    </w:p>
    <w:p w14:paraId="2F1D1483" w14:textId="77777777" w:rsidR="008C0885" w:rsidRPr="00313596" w:rsidRDefault="008C0885" w:rsidP="000C6174">
      <w:pPr>
        <w:pStyle w:val="NormalWeb"/>
        <w:spacing w:before="120" w:beforeAutospacing="0" w:after="120" w:afterAutospacing="0"/>
        <w:jc w:val="both"/>
        <w:rPr>
          <w:rFonts w:ascii="Arial" w:hAnsi="Arial" w:cs="Arial"/>
          <w:sz w:val="22"/>
          <w:szCs w:val="22"/>
          <w:lang w:val="es-ES"/>
        </w:rPr>
      </w:pPr>
      <w:r w:rsidRPr="00313596">
        <w:rPr>
          <w:rFonts w:ascii="Arial" w:hAnsi="Arial" w:cs="Arial"/>
          <w:sz w:val="22"/>
          <w:szCs w:val="22"/>
          <w:lang w:val="es-ES"/>
        </w:rPr>
        <w:t xml:space="preserve">Esta garantía expirará (a) si el Oferente es el Oferente seleccionado, cuando recibamos copias del </w:t>
      </w:r>
      <w:r w:rsidRPr="00313596">
        <w:rPr>
          <w:rFonts w:ascii="Arial" w:hAnsi="Arial" w:cs="Arial"/>
          <w:i/>
          <w:color w:val="FF0000"/>
          <w:sz w:val="22"/>
          <w:szCs w:val="22"/>
          <w:lang w:val="es-ES"/>
        </w:rPr>
        <w:t>Convenio / contrato</w:t>
      </w:r>
      <w:r w:rsidRPr="00313596">
        <w:rPr>
          <w:rFonts w:ascii="Arial" w:hAnsi="Arial" w:cs="Arial"/>
          <w:color w:val="FF0000"/>
          <w:sz w:val="22"/>
          <w:szCs w:val="22"/>
          <w:lang w:val="es-ES"/>
        </w:rPr>
        <w:t xml:space="preserve"> </w:t>
      </w:r>
      <w:r w:rsidRPr="00313596">
        <w:rPr>
          <w:rFonts w:ascii="Arial" w:hAnsi="Arial" w:cs="Arial"/>
          <w:sz w:val="22"/>
          <w:szCs w:val="22"/>
          <w:lang w:val="es-ES"/>
        </w:rPr>
        <w:t xml:space="preserve">firmado por el Oferente y la Garantía de Ejecución emitida a favor del Beneficiario con relación a tal </w:t>
      </w:r>
      <w:r w:rsidRPr="00313596">
        <w:rPr>
          <w:rFonts w:ascii="Arial" w:hAnsi="Arial" w:cs="Arial"/>
          <w:i/>
          <w:color w:val="FF0000"/>
          <w:sz w:val="22"/>
          <w:szCs w:val="22"/>
          <w:lang w:val="es-ES"/>
        </w:rPr>
        <w:t>convenio / contrato</w:t>
      </w:r>
      <w:r w:rsidRPr="00313596">
        <w:rPr>
          <w:rFonts w:ascii="Arial" w:hAnsi="Arial" w:cs="Arial"/>
          <w:sz w:val="22"/>
          <w:szCs w:val="22"/>
          <w:lang w:val="es-ES"/>
        </w:rPr>
        <w:t>; (b) en el caso de que el Oferente no sea el Oferente seleccionado, cuando hayan transcurrido treinta días después de la fecha de expiración de la Validez de Oferta.</w:t>
      </w:r>
    </w:p>
    <w:p w14:paraId="09A8B89D" w14:textId="77777777" w:rsidR="008C0885" w:rsidRPr="00313596" w:rsidRDefault="008C0885" w:rsidP="000C6174">
      <w:pPr>
        <w:pStyle w:val="NormalWeb"/>
        <w:adjustRightInd w:val="0"/>
        <w:spacing w:before="120" w:beforeAutospacing="0" w:after="0" w:afterAutospacing="0"/>
        <w:jc w:val="both"/>
        <w:rPr>
          <w:rFonts w:ascii="Arial" w:hAnsi="Arial" w:cs="Arial"/>
          <w:spacing w:val="-4"/>
          <w:sz w:val="22"/>
          <w:szCs w:val="22"/>
          <w:lang w:val="es-ES"/>
        </w:rPr>
      </w:pPr>
      <w:r w:rsidRPr="00313596">
        <w:rPr>
          <w:rFonts w:ascii="Arial" w:hAnsi="Arial" w:cs="Arial"/>
          <w:spacing w:val="-4"/>
          <w:sz w:val="22"/>
          <w:szCs w:val="22"/>
          <w:lang w:val="es-ES"/>
        </w:rPr>
        <w:t>Esta garantía está sujeta a las Reglas Uniformes de la CCI sobre Garantías a Primer Requerimiento (</w:t>
      </w:r>
      <w:r w:rsidRPr="00313596">
        <w:rPr>
          <w:rFonts w:ascii="Arial" w:hAnsi="Arial" w:cs="Arial"/>
          <w:i/>
          <w:spacing w:val="-4"/>
          <w:sz w:val="22"/>
          <w:szCs w:val="22"/>
          <w:lang w:val="es-ES"/>
        </w:rPr>
        <w:t>Uniform Rules for Demand Guarantees, URDG</w:t>
      </w:r>
      <w:r w:rsidRPr="00313596">
        <w:rPr>
          <w:rFonts w:ascii="Arial" w:hAnsi="Arial" w:cs="Arial"/>
          <w:spacing w:val="-4"/>
          <w:sz w:val="22"/>
          <w:szCs w:val="22"/>
          <w:lang w:val="es-ES"/>
        </w:rPr>
        <w:t>), revisión de 2010, publicación de la Cámara de Comercio Internacional n.</w:t>
      </w:r>
      <w:r w:rsidRPr="00313596">
        <w:rPr>
          <w:rFonts w:ascii="Arial" w:hAnsi="Arial" w:cs="Arial"/>
          <w:spacing w:val="-4"/>
          <w:sz w:val="22"/>
          <w:szCs w:val="22"/>
          <w:vertAlign w:val="superscript"/>
          <w:lang w:val="es-ES"/>
        </w:rPr>
        <w:t>o</w:t>
      </w:r>
      <w:r w:rsidRPr="00313596">
        <w:rPr>
          <w:rFonts w:ascii="Arial" w:hAnsi="Arial" w:cs="Arial"/>
          <w:spacing w:val="-4"/>
          <w:sz w:val="22"/>
          <w:szCs w:val="22"/>
          <w:lang w:val="es-ES"/>
        </w:rPr>
        <w:t xml:space="preserve"> 758.</w:t>
      </w:r>
    </w:p>
    <w:p w14:paraId="28BF1C67" w14:textId="77777777" w:rsidR="008C0885" w:rsidRPr="00313596" w:rsidRDefault="008C0885" w:rsidP="000C6174">
      <w:pPr>
        <w:pStyle w:val="NormalWeb"/>
        <w:spacing w:before="120" w:beforeAutospacing="0" w:after="120" w:afterAutospacing="0"/>
        <w:contextualSpacing/>
        <w:jc w:val="both"/>
        <w:rPr>
          <w:rFonts w:ascii="Arial" w:hAnsi="Arial" w:cs="Arial"/>
          <w:sz w:val="22"/>
          <w:szCs w:val="22"/>
          <w:lang w:val="es-ES"/>
        </w:rPr>
      </w:pPr>
      <w:r w:rsidRPr="00313596">
        <w:rPr>
          <w:rFonts w:ascii="Arial" w:hAnsi="Arial" w:cs="Arial"/>
          <w:sz w:val="22"/>
          <w:szCs w:val="22"/>
          <w:lang w:val="es-ES"/>
        </w:rPr>
        <w:t>_______________________________</w:t>
      </w:r>
    </w:p>
    <w:p w14:paraId="46B16C31" w14:textId="77777777" w:rsidR="008C0885" w:rsidRPr="00313596" w:rsidRDefault="008C0885" w:rsidP="000C6174">
      <w:pPr>
        <w:pStyle w:val="NormalWeb"/>
        <w:spacing w:before="0" w:after="0"/>
        <w:contextualSpacing/>
        <w:rPr>
          <w:rFonts w:ascii="Arial" w:hAnsi="Arial" w:cs="Arial"/>
          <w:sz w:val="22"/>
          <w:szCs w:val="22"/>
          <w:lang w:val="es-ES"/>
        </w:rPr>
      </w:pPr>
      <w:r w:rsidRPr="00313596">
        <w:rPr>
          <w:rFonts w:ascii="Arial" w:hAnsi="Arial" w:cs="Arial"/>
          <w:sz w:val="22"/>
          <w:szCs w:val="22"/>
          <w:lang w:val="es-ES"/>
        </w:rPr>
        <w:t>Firma(s)</w:t>
      </w:r>
    </w:p>
    <w:p w14:paraId="645C916A" w14:textId="63C6CD05" w:rsidR="00711338" w:rsidRDefault="00711338">
      <w:pPr>
        <w:jc w:val="left"/>
        <w:rPr>
          <w:rFonts w:ascii="Arial" w:hAnsi="Arial" w:cs="Arial"/>
          <w:b/>
          <w:sz w:val="22"/>
          <w:szCs w:val="22"/>
        </w:rPr>
      </w:pPr>
    </w:p>
    <w:p w14:paraId="4E438EC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left"/>
        <w:rPr>
          <w:rFonts w:ascii="Arial" w:hAnsi="Arial" w:cs="Arial"/>
          <w:b/>
          <w:sz w:val="22"/>
          <w:szCs w:val="22"/>
        </w:rPr>
      </w:pPr>
      <w:bookmarkStart w:id="388" w:name="_Toc38448941"/>
      <w:r w:rsidRPr="00313596">
        <w:rPr>
          <w:rFonts w:ascii="Arial" w:hAnsi="Arial" w:cs="Arial"/>
          <w:b/>
          <w:sz w:val="22"/>
          <w:szCs w:val="22"/>
        </w:rPr>
        <w:t xml:space="preserve">Formulario CC-7 </w:t>
      </w:r>
    </w:p>
    <w:p w14:paraId="10CA8C5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center"/>
        <w:rPr>
          <w:rFonts w:ascii="Arial" w:hAnsi="Arial" w:cs="Arial"/>
          <w:b/>
          <w:sz w:val="22"/>
          <w:szCs w:val="22"/>
        </w:rPr>
      </w:pPr>
      <w:r w:rsidRPr="00313596">
        <w:rPr>
          <w:rFonts w:ascii="Arial" w:hAnsi="Arial" w:cs="Arial"/>
          <w:b/>
          <w:sz w:val="22"/>
          <w:szCs w:val="22"/>
        </w:rPr>
        <w:t xml:space="preserve">Declaración </w:t>
      </w:r>
      <w:r w:rsidR="00711338" w:rsidRPr="000D72A7">
        <w:rPr>
          <w:rFonts w:ascii="Arial" w:hAnsi="Arial" w:cs="Arial"/>
          <w:b/>
          <w:sz w:val="22"/>
          <w:szCs w:val="22"/>
        </w:rPr>
        <w:t>Notarial</w:t>
      </w:r>
      <w:r w:rsidR="00711338">
        <w:rPr>
          <w:rFonts w:ascii="Arial" w:hAnsi="Arial" w:cs="Arial"/>
          <w:b/>
          <w:sz w:val="22"/>
          <w:szCs w:val="22"/>
        </w:rPr>
        <w:t xml:space="preserve"> </w:t>
      </w:r>
      <w:r w:rsidRPr="00313596">
        <w:rPr>
          <w:rFonts w:ascii="Arial" w:hAnsi="Arial" w:cs="Arial"/>
          <w:b/>
          <w:sz w:val="22"/>
          <w:szCs w:val="22"/>
        </w:rPr>
        <w:t>de Desempeño Ambiental y Social</w:t>
      </w:r>
      <w:bookmarkEnd w:id="388"/>
      <w:r w:rsidRPr="00313596">
        <w:rPr>
          <w:rFonts w:ascii="Arial" w:hAnsi="Arial" w:cs="Arial"/>
          <w:b/>
          <w:sz w:val="22"/>
          <w:szCs w:val="22"/>
        </w:rPr>
        <w:t xml:space="preserve"> </w:t>
      </w:r>
    </w:p>
    <w:p w14:paraId="4576CA16" w14:textId="77777777" w:rsidR="008C0885" w:rsidRPr="00313596" w:rsidRDefault="008C0885" w:rsidP="000C6174">
      <w:pPr>
        <w:pStyle w:val="AheaderTerciaryleve"/>
        <w:ind w:right="84"/>
        <w:rPr>
          <w:rFonts w:ascii="Arial" w:hAnsi="Arial" w:cs="Arial"/>
          <w:b w:val="0"/>
          <w:i/>
          <w:noProof w:val="0"/>
          <w:color w:val="FF0000"/>
          <w:spacing w:val="-6"/>
          <w:sz w:val="22"/>
          <w:szCs w:val="22"/>
          <w:lang w:val="es-ES_tradnl"/>
        </w:rPr>
      </w:pPr>
      <w:r w:rsidRPr="00313596" w:rsidDel="00B23FE0">
        <w:rPr>
          <w:rFonts w:ascii="Arial" w:hAnsi="Arial" w:cs="Arial"/>
          <w:b w:val="0"/>
          <w:i/>
          <w:noProof w:val="0"/>
          <w:color w:val="FF0000"/>
          <w:spacing w:val="-6"/>
          <w:sz w:val="22"/>
          <w:szCs w:val="22"/>
          <w:lang w:val="es-ES_tradnl"/>
        </w:rPr>
        <w:t xml:space="preserve"> </w:t>
      </w:r>
      <w:r w:rsidRPr="00313596">
        <w:rPr>
          <w:rFonts w:ascii="Arial" w:hAnsi="Arial" w:cs="Arial"/>
          <w:b w:val="0"/>
          <w:i/>
          <w:noProof w:val="0"/>
          <w:color w:val="FF0000"/>
          <w:spacing w:val="-6"/>
          <w:sz w:val="22"/>
          <w:szCs w:val="22"/>
          <w:lang w:val="es-ES_tradnl"/>
        </w:rPr>
        <w:t>(Este formulario deberá ser llenado por el Oferente, cada miembro de una APCA y cada Subcontratista Especializado)</w:t>
      </w:r>
    </w:p>
    <w:p w14:paraId="793377B8" w14:textId="77777777" w:rsidR="008C0885" w:rsidRPr="00313596" w:rsidRDefault="008C0885" w:rsidP="000C6174">
      <w:pPr>
        <w:pStyle w:val="HTMLconformatoprevio"/>
        <w:shd w:val="clear" w:color="auto" w:fill="FFFFFF"/>
        <w:ind w:right="84"/>
        <w:rPr>
          <w:rFonts w:ascii="Arial" w:hAnsi="Arial" w:cs="Arial"/>
          <w:color w:val="212121"/>
          <w:sz w:val="22"/>
          <w:szCs w:val="22"/>
          <w:lang w:val="es-ES"/>
        </w:rPr>
      </w:pPr>
    </w:p>
    <w:p w14:paraId="4684C3DB" w14:textId="77777777" w:rsidR="008C0885" w:rsidRPr="00313596" w:rsidRDefault="008C0885" w:rsidP="000C6174">
      <w:pPr>
        <w:jc w:val="left"/>
        <w:rPr>
          <w:rFonts w:ascii="Arial" w:hAnsi="Arial" w:cs="Arial"/>
          <w:i/>
          <w:color w:val="FF0000"/>
          <w:spacing w:val="-6"/>
          <w:sz w:val="22"/>
          <w:szCs w:val="22"/>
        </w:rPr>
      </w:pPr>
      <w:r w:rsidRPr="00313596">
        <w:rPr>
          <w:rFonts w:ascii="Arial" w:hAnsi="Arial" w:cs="Arial"/>
          <w:sz w:val="22"/>
          <w:szCs w:val="22"/>
        </w:rPr>
        <w:t xml:space="preserve">Nombre del Oferente: </w:t>
      </w:r>
      <w:r w:rsidRPr="00313596">
        <w:rPr>
          <w:rFonts w:ascii="Arial" w:hAnsi="Arial" w:cs="Arial"/>
          <w:i/>
          <w:color w:val="FF0000"/>
          <w:sz w:val="22"/>
          <w:szCs w:val="22"/>
        </w:rPr>
        <w:t>(</w:t>
      </w:r>
      <w:r w:rsidRPr="00313596">
        <w:rPr>
          <w:rFonts w:ascii="Arial" w:hAnsi="Arial" w:cs="Arial"/>
          <w:i/>
          <w:color w:val="FF0000"/>
          <w:spacing w:val="-6"/>
          <w:sz w:val="22"/>
          <w:szCs w:val="22"/>
        </w:rPr>
        <w:t>indicar el nombre completo)</w:t>
      </w:r>
      <w:r w:rsidRPr="00313596">
        <w:rPr>
          <w:rFonts w:ascii="Arial" w:hAnsi="Arial" w:cs="Arial"/>
          <w:i/>
          <w:iCs/>
          <w:spacing w:val="-6"/>
          <w:sz w:val="22"/>
          <w:szCs w:val="22"/>
        </w:rPr>
        <w:br/>
      </w:r>
      <w:r w:rsidRPr="00313596">
        <w:rPr>
          <w:rFonts w:ascii="Arial" w:hAnsi="Arial" w:cs="Arial"/>
          <w:sz w:val="22"/>
          <w:szCs w:val="22"/>
        </w:rPr>
        <w:t xml:space="preserve">Fecha: </w:t>
      </w:r>
      <w:r w:rsidRPr="00313596">
        <w:rPr>
          <w:rFonts w:ascii="Arial" w:hAnsi="Arial" w:cs="Arial"/>
          <w:i/>
          <w:color w:val="FF0000"/>
          <w:spacing w:val="-6"/>
          <w:sz w:val="22"/>
          <w:szCs w:val="22"/>
        </w:rPr>
        <w:t>(indicar día, mes, año)</w:t>
      </w:r>
      <w:r w:rsidRPr="00313596">
        <w:rPr>
          <w:rFonts w:ascii="Arial" w:hAnsi="Arial" w:cs="Arial"/>
          <w:i/>
          <w:iCs/>
          <w:spacing w:val="-6"/>
          <w:sz w:val="22"/>
          <w:szCs w:val="22"/>
        </w:rPr>
        <w:br/>
      </w:r>
      <w:r w:rsidRPr="00313596">
        <w:rPr>
          <w:rFonts w:ascii="Arial" w:hAnsi="Arial" w:cs="Arial"/>
          <w:sz w:val="22"/>
          <w:szCs w:val="22"/>
        </w:rPr>
        <w:t>Nombre del integrante de la APCA:</w:t>
      </w:r>
      <w:r w:rsidRPr="00313596">
        <w:rPr>
          <w:rFonts w:ascii="Arial" w:hAnsi="Arial" w:cs="Arial"/>
          <w:i/>
          <w:spacing w:val="-4"/>
          <w:sz w:val="22"/>
          <w:szCs w:val="22"/>
        </w:rPr>
        <w:t xml:space="preserve"> </w:t>
      </w:r>
      <w:r w:rsidRPr="00313596">
        <w:rPr>
          <w:rFonts w:ascii="Arial" w:hAnsi="Arial" w:cs="Arial"/>
          <w:i/>
          <w:color w:val="FF0000"/>
          <w:spacing w:val="-4"/>
          <w:sz w:val="22"/>
          <w:szCs w:val="22"/>
        </w:rPr>
        <w:t xml:space="preserve">(indicar </w:t>
      </w:r>
      <w:r w:rsidRPr="00313596">
        <w:rPr>
          <w:rFonts w:ascii="Arial" w:hAnsi="Arial" w:cs="Arial"/>
          <w:i/>
          <w:color w:val="FF0000"/>
          <w:spacing w:val="-6"/>
          <w:sz w:val="22"/>
          <w:szCs w:val="22"/>
        </w:rPr>
        <w:t>el nombre completo)</w:t>
      </w:r>
    </w:p>
    <w:p w14:paraId="6E5A85B1" w14:textId="77777777" w:rsidR="008C0885" w:rsidRPr="00313596" w:rsidRDefault="008C0885" w:rsidP="000C6174">
      <w:pPr>
        <w:jc w:val="left"/>
        <w:rPr>
          <w:rFonts w:ascii="Arial" w:hAnsi="Arial" w:cs="Arial"/>
          <w:i/>
          <w:spacing w:val="-6"/>
          <w:sz w:val="22"/>
          <w:szCs w:val="22"/>
        </w:rPr>
      </w:pPr>
      <w:r w:rsidRPr="00313596">
        <w:rPr>
          <w:rFonts w:ascii="Arial" w:hAnsi="Arial" w:cs="Arial"/>
          <w:sz w:val="22"/>
          <w:szCs w:val="22"/>
        </w:rPr>
        <w:t>Nombre del subcontratista Especializado:</w:t>
      </w:r>
      <w:r w:rsidRPr="00313596">
        <w:rPr>
          <w:rFonts w:ascii="Arial" w:hAnsi="Arial" w:cs="Arial"/>
          <w:i/>
          <w:spacing w:val="-4"/>
          <w:sz w:val="22"/>
          <w:szCs w:val="22"/>
        </w:rPr>
        <w:t xml:space="preserve"> </w:t>
      </w:r>
      <w:r w:rsidRPr="00313596">
        <w:rPr>
          <w:rFonts w:ascii="Arial" w:hAnsi="Arial" w:cs="Arial"/>
          <w:i/>
          <w:color w:val="FF0000"/>
          <w:spacing w:val="-4"/>
          <w:sz w:val="22"/>
          <w:szCs w:val="22"/>
        </w:rPr>
        <w:t xml:space="preserve">(indicar </w:t>
      </w:r>
      <w:r w:rsidRPr="00313596">
        <w:rPr>
          <w:rFonts w:ascii="Arial" w:hAnsi="Arial" w:cs="Arial"/>
          <w:i/>
          <w:color w:val="FF0000"/>
          <w:spacing w:val="-6"/>
          <w:sz w:val="22"/>
          <w:szCs w:val="22"/>
        </w:rPr>
        <w:t>el nombre completo)</w:t>
      </w:r>
    </w:p>
    <w:p w14:paraId="21C7CF0A" w14:textId="77777777" w:rsidR="008C0885" w:rsidRPr="00313596" w:rsidRDefault="008C0885" w:rsidP="000C6174">
      <w:pPr>
        <w:pStyle w:val="HTMLconformatoprevio"/>
        <w:shd w:val="clear" w:color="auto" w:fill="FFFFFF"/>
        <w:ind w:right="84"/>
        <w:rPr>
          <w:rFonts w:ascii="Arial" w:hAnsi="Arial" w:cs="Arial"/>
          <w:color w:val="212121"/>
          <w:sz w:val="22"/>
          <w:szCs w:val="22"/>
          <w:lang w:val="es-ES"/>
        </w:rPr>
      </w:pPr>
    </w:p>
    <w:tbl>
      <w:tblPr>
        <w:tblW w:w="9360" w:type="dxa"/>
        <w:tblInd w:w="-3" w:type="dxa"/>
        <w:tblLayout w:type="fixed"/>
        <w:tblCellMar>
          <w:left w:w="0" w:type="dxa"/>
          <w:right w:w="0" w:type="dxa"/>
        </w:tblCellMar>
        <w:tblLook w:val="0000" w:firstRow="0" w:lastRow="0" w:firstColumn="0" w:lastColumn="0" w:noHBand="0" w:noVBand="0"/>
      </w:tblPr>
      <w:tblGrid>
        <w:gridCol w:w="720"/>
        <w:gridCol w:w="1440"/>
        <w:gridCol w:w="4950"/>
        <w:gridCol w:w="2250"/>
      </w:tblGrid>
      <w:tr w:rsidR="00D61AEA" w:rsidRPr="00313596" w14:paraId="07070042" w14:textId="77777777" w:rsidTr="00D61AEA">
        <w:tc>
          <w:tcPr>
            <w:tcW w:w="9360" w:type="dxa"/>
            <w:gridSpan w:val="4"/>
            <w:tcBorders>
              <w:top w:val="single" w:sz="2" w:space="0" w:color="auto"/>
              <w:left w:val="single" w:sz="2" w:space="0" w:color="auto"/>
              <w:bottom w:val="single" w:sz="2" w:space="0" w:color="auto"/>
              <w:right w:val="single" w:sz="2" w:space="0" w:color="auto"/>
            </w:tcBorders>
            <w:shd w:val="clear" w:color="auto" w:fill="00B050"/>
          </w:tcPr>
          <w:p w14:paraId="095E704D" w14:textId="77777777" w:rsidR="00D61AEA" w:rsidRPr="00D61AEA" w:rsidRDefault="00D61AEA" w:rsidP="00D61AEA">
            <w:pPr>
              <w:spacing w:before="60" w:after="120"/>
              <w:ind w:left="540" w:right="84" w:hanging="441"/>
              <w:jc w:val="center"/>
              <w:rPr>
                <w:rFonts w:ascii="Arial" w:hAnsi="Arial" w:cs="Arial"/>
                <w:b/>
                <w:bCs/>
                <w:spacing w:val="-6"/>
                <w:sz w:val="22"/>
                <w:szCs w:val="22"/>
                <w:lang w:val="es-ES"/>
              </w:rPr>
            </w:pPr>
            <w:r w:rsidRPr="00D61AEA">
              <w:rPr>
                <w:rFonts w:ascii="Arial" w:hAnsi="Arial" w:cs="Arial"/>
                <w:b/>
                <w:bCs/>
                <w:color w:val="FFFFFF" w:themeColor="background1"/>
                <w:spacing w:val="-6"/>
                <w:sz w:val="22"/>
                <w:szCs w:val="22"/>
                <w:lang w:val="es-ES"/>
              </w:rPr>
              <w:t>Declaración de Desempeño Ambiental y Social</w:t>
            </w:r>
          </w:p>
        </w:tc>
      </w:tr>
      <w:tr w:rsidR="008C0885" w:rsidRPr="00313596" w14:paraId="56189847" w14:textId="77777777" w:rsidTr="003D50ED">
        <w:tc>
          <w:tcPr>
            <w:tcW w:w="9360" w:type="dxa"/>
            <w:gridSpan w:val="4"/>
            <w:tcBorders>
              <w:top w:val="single" w:sz="2" w:space="0" w:color="auto"/>
              <w:left w:val="single" w:sz="2" w:space="0" w:color="auto"/>
              <w:bottom w:val="single" w:sz="2" w:space="0" w:color="auto"/>
              <w:right w:val="single" w:sz="2" w:space="0" w:color="auto"/>
            </w:tcBorders>
          </w:tcPr>
          <w:p w14:paraId="32A1A5FD" w14:textId="77777777" w:rsidR="008C0885" w:rsidRPr="00313596" w:rsidRDefault="008C0885" w:rsidP="000C6174">
            <w:pPr>
              <w:spacing w:before="60" w:after="120"/>
              <w:ind w:left="540" w:right="84" w:hanging="441"/>
              <w:rPr>
                <w:rFonts w:ascii="Arial" w:hAnsi="Arial" w:cs="Arial"/>
                <w:spacing w:val="-6"/>
                <w:sz w:val="22"/>
                <w:szCs w:val="22"/>
                <w:lang w:val="es-ES"/>
              </w:rPr>
            </w:pPr>
            <w:r w:rsidRPr="00313596">
              <w:rPr>
                <w:rFonts w:ascii="Arial" w:hAnsi="Arial" w:cs="Arial"/>
                <w:spacing w:val="-6"/>
                <w:sz w:val="22"/>
                <w:szCs w:val="22"/>
                <w:lang w:val="es-ES"/>
              </w:rPr>
              <w:sym w:font="Wingdings" w:char="F0A8"/>
            </w:r>
            <w:r w:rsidRPr="00313596">
              <w:rPr>
                <w:rFonts w:ascii="Arial" w:hAnsi="Arial" w:cs="Arial"/>
                <w:spacing w:val="-6"/>
                <w:sz w:val="22"/>
                <w:szCs w:val="22"/>
                <w:lang w:val="es-ES"/>
              </w:rPr>
              <w:tab/>
            </w:r>
            <w:r w:rsidRPr="00313596">
              <w:rPr>
                <w:rFonts w:ascii="Arial" w:hAnsi="Arial" w:cs="Arial"/>
                <w:b/>
                <w:spacing w:val="-6"/>
                <w:sz w:val="22"/>
                <w:szCs w:val="22"/>
                <w:lang w:val="es-ES"/>
              </w:rPr>
              <w:t>No suspensión o resolución del contrato:</w:t>
            </w:r>
            <w:r w:rsidRPr="00313596">
              <w:rPr>
                <w:rFonts w:ascii="Arial" w:hAnsi="Arial" w:cs="Arial"/>
                <w:spacing w:val="-6"/>
                <w:sz w:val="22"/>
                <w:szCs w:val="22"/>
                <w:lang w:val="es-ES"/>
              </w:rPr>
              <w:t xml:space="preserve"> Ningún Contratante nos ha suspendido ni rescindido un contrato ni ha cobrado la garantía de cumplimiento de un contrato por razones relacionadas con el desempeño ambiental y social en el período indicado </w:t>
            </w:r>
            <w:r w:rsidRPr="00313596">
              <w:rPr>
                <w:rFonts w:ascii="Arial" w:hAnsi="Arial" w:cs="Arial"/>
                <w:sz w:val="22"/>
                <w:szCs w:val="22"/>
              </w:rPr>
              <w:t>en el criterio de evaluación No. 1.3 de la Sección III, inciso B</w:t>
            </w:r>
            <w:r w:rsidRPr="00313596">
              <w:rPr>
                <w:rFonts w:ascii="Arial" w:hAnsi="Arial" w:cs="Arial"/>
                <w:spacing w:val="-6"/>
                <w:sz w:val="22"/>
                <w:szCs w:val="22"/>
                <w:lang w:val="es-ES"/>
              </w:rPr>
              <w:t>.</w:t>
            </w:r>
          </w:p>
          <w:p w14:paraId="7E69B5B8" w14:textId="77777777" w:rsidR="008C0885" w:rsidRPr="00313596" w:rsidRDefault="008C0885" w:rsidP="000C6174">
            <w:pPr>
              <w:spacing w:before="60" w:after="60"/>
              <w:ind w:left="540" w:right="84" w:hanging="441"/>
              <w:rPr>
                <w:rFonts w:ascii="Arial" w:hAnsi="Arial" w:cs="Arial"/>
                <w:spacing w:val="-6"/>
                <w:sz w:val="22"/>
                <w:szCs w:val="22"/>
                <w:lang w:val="es-ES"/>
              </w:rPr>
            </w:pPr>
            <w:r w:rsidRPr="00313596">
              <w:rPr>
                <w:rFonts w:ascii="Arial" w:hAnsi="Arial" w:cs="Arial"/>
                <w:spacing w:val="-6"/>
                <w:sz w:val="22"/>
                <w:szCs w:val="22"/>
                <w:lang w:val="es-ES"/>
              </w:rPr>
              <w:sym w:font="Wingdings" w:char="F0A8"/>
            </w:r>
            <w:r w:rsidRPr="00313596">
              <w:rPr>
                <w:rFonts w:ascii="Arial" w:hAnsi="Arial" w:cs="Arial"/>
                <w:spacing w:val="-6"/>
                <w:sz w:val="22"/>
                <w:szCs w:val="22"/>
                <w:lang w:val="es-ES"/>
              </w:rPr>
              <w:tab/>
            </w:r>
            <w:r w:rsidRPr="00313596">
              <w:rPr>
                <w:rFonts w:ascii="Arial" w:hAnsi="Arial" w:cs="Arial"/>
                <w:b/>
                <w:spacing w:val="-6"/>
                <w:sz w:val="22"/>
                <w:szCs w:val="22"/>
                <w:lang w:val="es-ES"/>
              </w:rPr>
              <w:t>Declaración de suspensión o resolución del contrato</w:t>
            </w:r>
            <w:r w:rsidRPr="00313596">
              <w:rPr>
                <w:rFonts w:ascii="Arial" w:hAnsi="Arial" w:cs="Arial"/>
                <w:spacing w:val="-6"/>
                <w:sz w:val="22"/>
                <w:szCs w:val="22"/>
                <w:lang w:val="es-ES"/>
              </w:rPr>
              <w:t xml:space="preserve">: El / los siguiente (s) contrato (s) ha (n) sido suspendido (s) o terminado (s) y/o la garantía de desempeño ambiental cobrada por un Contratante por razones relacionadas con el desempeño Ambiental y Social, en el período indicado </w:t>
            </w:r>
            <w:r w:rsidRPr="00313596">
              <w:rPr>
                <w:rFonts w:ascii="Arial" w:hAnsi="Arial" w:cs="Arial"/>
                <w:sz w:val="22"/>
                <w:szCs w:val="22"/>
              </w:rPr>
              <w:t>en el criterio de evaluación No. 1.3 de la Sección III, inciso B</w:t>
            </w:r>
          </w:p>
          <w:p w14:paraId="386D59BE" w14:textId="77777777" w:rsidR="008C0885" w:rsidRPr="00313596" w:rsidRDefault="008C0885" w:rsidP="000C6174">
            <w:pPr>
              <w:spacing w:before="60" w:after="60"/>
              <w:ind w:left="981" w:right="84" w:hanging="441"/>
              <w:rPr>
                <w:rFonts w:ascii="Arial" w:hAnsi="Arial" w:cs="Arial"/>
                <w:spacing w:val="-6"/>
                <w:sz w:val="22"/>
                <w:szCs w:val="22"/>
                <w:lang w:val="es-ES"/>
              </w:rPr>
            </w:pPr>
            <w:r w:rsidRPr="00313596">
              <w:rPr>
                <w:rFonts w:ascii="Arial" w:hAnsi="Arial" w:cs="Arial"/>
                <w:spacing w:val="-6"/>
                <w:sz w:val="22"/>
                <w:szCs w:val="22"/>
                <w:lang w:val="es-ES"/>
              </w:rPr>
              <w:t>Los detalles se describen a continuación:</w:t>
            </w:r>
          </w:p>
        </w:tc>
      </w:tr>
      <w:tr w:rsidR="008C0885" w:rsidRPr="00313596" w14:paraId="6D93DCB3" w14:textId="77777777" w:rsidTr="00D61AEA">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0896B5DC" w14:textId="77777777" w:rsidR="008C0885" w:rsidRPr="00D61AEA" w:rsidRDefault="008C0885" w:rsidP="000C6174">
            <w:pPr>
              <w:spacing w:before="60" w:after="60"/>
              <w:ind w:right="84"/>
              <w:jc w:val="center"/>
              <w:rPr>
                <w:rFonts w:ascii="Arial" w:hAnsi="Arial" w:cs="Arial"/>
                <w:b/>
                <w:bCs/>
                <w:color w:val="FFFFFF" w:themeColor="background1"/>
                <w:spacing w:val="-4"/>
                <w:sz w:val="22"/>
                <w:szCs w:val="22"/>
                <w:lang w:val="es-ES"/>
              </w:rPr>
            </w:pPr>
            <w:r w:rsidRPr="00D61AEA">
              <w:rPr>
                <w:rFonts w:ascii="Arial" w:hAnsi="Arial" w:cs="Arial"/>
                <w:b/>
                <w:bCs/>
                <w:color w:val="FFFFFF" w:themeColor="background1"/>
                <w:spacing w:val="-4"/>
                <w:sz w:val="22"/>
                <w:szCs w:val="22"/>
                <w:lang w:val="es-ES"/>
              </w:rPr>
              <w:t>Año</w:t>
            </w:r>
          </w:p>
        </w:tc>
        <w:tc>
          <w:tcPr>
            <w:tcW w:w="1440" w:type="dxa"/>
            <w:tcBorders>
              <w:top w:val="single" w:sz="2" w:space="0" w:color="auto"/>
              <w:left w:val="single" w:sz="2" w:space="0" w:color="auto"/>
              <w:bottom w:val="single" w:sz="2" w:space="0" w:color="auto"/>
              <w:right w:val="single" w:sz="2" w:space="0" w:color="auto"/>
            </w:tcBorders>
            <w:shd w:val="clear" w:color="auto" w:fill="00B050"/>
            <w:vAlign w:val="center"/>
          </w:tcPr>
          <w:p w14:paraId="18CB7923" w14:textId="77777777" w:rsidR="008C0885" w:rsidRPr="00D61AEA"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D61AEA">
              <w:rPr>
                <w:rFonts w:ascii="Arial" w:hAnsi="Arial" w:cs="Arial"/>
                <w:b/>
                <w:bCs/>
                <w:color w:val="FFFFFF" w:themeColor="background1"/>
                <w:spacing w:val="-4"/>
                <w:sz w:val="22"/>
                <w:szCs w:val="22"/>
                <w:lang w:val="es-ES"/>
              </w:rPr>
              <w:t>Suspensión o Resolución parcial del contrato</w:t>
            </w:r>
          </w:p>
        </w:tc>
        <w:tc>
          <w:tcPr>
            <w:tcW w:w="4950" w:type="dxa"/>
            <w:tcBorders>
              <w:top w:val="single" w:sz="2" w:space="0" w:color="auto"/>
              <w:left w:val="single" w:sz="2" w:space="0" w:color="auto"/>
              <w:bottom w:val="single" w:sz="2" w:space="0" w:color="auto"/>
              <w:right w:val="single" w:sz="2" w:space="0" w:color="auto"/>
            </w:tcBorders>
            <w:shd w:val="clear" w:color="auto" w:fill="00B050"/>
            <w:vAlign w:val="center"/>
          </w:tcPr>
          <w:p w14:paraId="50F300BE" w14:textId="77777777" w:rsidR="008C0885" w:rsidRPr="00D61AEA" w:rsidRDefault="008C0885" w:rsidP="000C6174">
            <w:pPr>
              <w:spacing w:before="60" w:after="60"/>
              <w:ind w:right="84"/>
              <w:jc w:val="center"/>
              <w:rPr>
                <w:rFonts w:ascii="Arial" w:hAnsi="Arial" w:cs="Arial"/>
                <w:b/>
                <w:bCs/>
                <w:color w:val="FFFFFF" w:themeColor="background1"/>
                <w:spacing w:val="-4"/>
                <w:sz w:val="22"/>
                <w:szCs w:val="22"/>
                <w:lang w:val="es-ES"/>
              </w:rPr>
            </w:pPr>
            <w:r w:rsidRPr="00D61AEA">
              <w:rPr>
                <w:rFonts w:ascii="Arial" w:hAnsi="Arial" w:cs="Arial"/>
                <w:b/>
                <w:bCs/>
                <w:color w:val="FFFFFF" w:themeColor="background1"/>
                <w:spacing w:val="-4"/>
                <w:sz w:val="22"/>
                <w:szCs w:val="22"/>
                <w:lang w:val="es-ES"/>
              </w:rPr>
              <w:t>Identificación del Contrato</w:t>
            </w:r>
          </w:p>
          <w:p w14:paraId="15704860" w14:textId="77777777" w:rsidR="008C0885" w:rsidRPr="00D61AEA" w:rsidRDefault="008C0885" w:rsidP="000C6174">
            <w:pPr>
              <w:spacing w:before="60" w:after="60"/>
              <w:ind w:left="60" w:right="84"/>
              <w:jc w:val="center"/>
              <w:rPr>
                <w:rFonts w:ascii="Arial" w:hAnsi="Arial" w:cs="Arial"/>
                <w:i/>
                <w:iCs/>
                <w:color w:val="FFFFFF" w:themeColor="background1"/>
                <w:spacing w:val="-6"/>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0F954C11" w14:textId="77777777" w:rsidR="008C0885" w:rsidRPr="00D61AEA" w:rsidRDefault="008C0885" w:rsidP="000C6174">
            <w:pPr>
              <w:spacing w:before="60" w:after="60"/>
              <w:ind w:left="13" w:right="84"/>
              <w:jc w:val="center"/>
              <w:rPr>
                <w:rFonts w:ascii="Arial" w:hAnsi="Arial" w:cs="Arial"/>
                <w:b/>
                <w:bCs/>
                <w:color w:val="FFFFFF" w:themeColor="background1"/>
                <w:spacing w:val="-4"/>
                <w:sz w:val="22"/>
                <w:szCs w:val="22"/>
                <w:lang w:val="es-ES"/>
              </w:rPr>
            </w:pPr>
            <w:r w:rsidRPr="00D61AEA">
              <w:rPr>
                <w:rFonts w:ascii="Arial" w:hAnsi="Arial" w:cs="Arial"/>
                <w:b/>
                <w:bCs/>
                <w:color w:val="FFFFFF" w:themeColor="background1"/>
                <w:spacing w:val="-4"/>
                <w:sz w:val="22"/>
                <w:szCs w:val="22"/>
                <w:lang w:val="es-ES"/>
              </w:rPr>
              <w:t>Monto total del contrato (valor actual, moneda, tipo de cambio y equivalente en US$)</w:t>
            </w:r>
          </w:p>
        </w:tc>
      </w:tr>
      <w:tr w:rsidR="008C0885" w:rsidRPr="00313596" w14:paraId="048061C6" w14:textId="77777777" w:rsidTr="003D50ED">
        <w:tc>
          <w:tcPr>
            <w:tcW w:w="720" w:type="dxa"/>
            <w:tcBorders>
              <w:top w:val="single" w:sz="2" w:space="0" w:color="auto"/>
              <w:left w:val="single" w:sz="2" w:space="0" w:color="auto"/>
              <w:bottom w:val="single" w:sz="2" w:space="0" w:color="auto"/>
              <w:right w:val="single" w:sz="2" w:space="0" w:color="auto"/>
            </w:tcBorders>
          </w:tcPr>
          <w:p w14:paraId="5C86A587" w14:textId="77777777" w:rsidR="008C0885" w:rsidRPr="00313596" w:rsidRDefault="008C0885" w:rsidP="008334D9">
            <w:pPr>
              <w:tabs>
                <w:tab w:val="left" w:pos="807"/>
              </w:tabs>
              <w:spacing w:before="60" w:after="60"/>
              <w:ind w:left="-3" w:firstLine="3"/>
              <w:jc w:val="center"/>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34891877" w14:textId="77777777" w:rsidR="008C0885" w:rsidRPr="00313596" w:rsidRDefault="008C0885" w:rsidP="000C6174">
            <w:pPr>
              <w:spacing w:before="60" w:after="60"/>
              <w:ind w:left="90" w:right="90"/>
              <w:jc w:val="center"/>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0A7C60B4"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spacing w:val="-6"/>
                <w:sz w:val="22"/>
                <w:szCs w:val="22"/>
                <w:lang w:val="es-ES"/>
              </w:rPr>
              <w:t xml:space="preserve">Identificación del Contrato: </w:t>
            </w:r>
            <w:r w:rsidRPr="00313596">
              <w:rPr>
                <w:rFonts w:ascii="Arial" w:hAnsi="Arial" w:cs="Arial"/>
                <w:i/>
                <w:iCs/>
                <w:color w:val="FF0000"/>
                <w:spacing w:val="-6"/>
                <w:sz w:val="22"/>
                <w:szCs w:val="22"/>
                <w:lang w:val="es-ES"/>
              </w:rPr>
              <w:t>(indicar el nombre complete del contrato/ número y cualquier otra identificación pertinente)</w:t>
            </w:r>
          </w:p>
          <w:p w14:paraId="60969A34" w14:textId="77777777" w:rsidR="008C0885" w:rsidRPr="00313596" w:rsidRDefault="008C0885" w:rsidP="000C6174">
            <w:pPr>
              <w:spacing w:before="60" w:after="60"/>
              <w:ind w:left="167" w:right="222"/>
              <w:rPr>
                <w:rFonts w:ascii="Arial" w:hAnsi="Arial" w:cs="Arial"/>
                <w:i/>
                <w:iCs/>
                <w:color w:val="FF0000"/>
                <w:spacing w:val="-6"/>
                <w:sz w:val="22"/>
                <w:szCs w:val="22"/>
                <w:lang w:val="es-ES"/>
              </w:rPr>
            </w:pPr>
            <w:r w:rsidRPr="00313596">
              <w:rPr>
                <w:rFonts w:ascii="Arial" w:hAnsi="Arial" w:cs="Arial"/>
                <w:i/>
                <w:iCs/>
                <w:spacing w:val="-6"/>
                <w:sz w:val="22"/>
                <w:szCs w:val="22"/>
                <w:lang w:val="es-ES"/>
              </w:rPr>
              <w:t xml:space="preserve">Nombre el Contratante: </w:t>
            </w:r>
            <w:r w:rsidRPr="00313596">
              <w:rPr>
                <w:rFonts w:ascii="Arial" w:hAnsi="Arial" w:cs="Arial"/>
                <w:i/>
                <w:iCs/>
                <w:color w:val="FF0000"/>
                <w:spacing w:val="-6"/>
                <w:sz w:val="22"/>
                <w:szCs w:val="22"/>
                <w:lang w:val="es-ES"/>
              </w:rPr>
              <w:t xml:space="preserve">(insertar el </w:t>
            </w:r>
            <w:r w:rsidRPr="00313596">
              <w:rPr>
                <w:rFonts w:ascii="Arial" w:hAnsi="Arial" w:cs="Arial"/>
                <w:i/>
                <w:iCs/>
                <w:color w:val="FF0000"/>
                <w:spacing w:val="-6"/>
                <w:sz w:val="22"/>
                <w:szCs w:val="22"/>
                <w:lang w:val="es-ES"/>
              </w:rPr>
              <w:br/>
              <w:t>nombre completo)</w:t>
            </w:r>
          </w:p>
          <w:p w14:paraId="0CA69B4E" w14:textId="77777777" w:rsidR="008C0885" w:rsidRPr="00313596" w:rsidRDefault="008C0885" w:rsidP="000C6174">
            <w:pPr>
              <w:spacing w:before="60" w:after="60"/>
              <w:ind w:left="167" w:right="222"/>
              <w:rPr>
                <w:rFonts w:ascii="Arial" w:hAnsi="Arial" w:cs="Arial"/>
                <w:i/>
                <w:iCs/>
                <w:color w:val="FF0000"/>
                <w:spacing w:val="-6"/>
                <w:sz w:val="22"/>
                <w:szCs w:val="22"/>
                <w:lang w:val="es-ES"/>
              </w:rPr>
            </w:pPr>
            <w:r w:rsidRPr="00313596">
              <w:rPr>
                <w:rFonts w:ascii="Arial" w:hAnsi="Arial" w:cs="Arial"/>
                <w:i/>
                <w:iCs/>
                <w:spacing w:val="-6"/>
                <w:sz w:val="22"/>
                <w:szCs w:val="22"/>
                <w:lang w:val="es-ES"/>
              </w:rPr>
              <w:t xml:space="preserve">Dirección del Contratante: </w:t>
            </w:r>
            <w:r w:rsidRPr="00313596">
              <w:rPr>
                <w:rFonts w:ascii="Arial" w:hAnsi="Arial" w:cs="Arial"/>
                <w:i/>
                <w:iCs/>
                <w:color w:val="FF0000"/>
                <w:spacing w:val="-6"/>
                <w:sz w:val="22"/>
                <w:szCs w:val="22"/>
                <w:lang w:val="es-ES"/>
              </w:rPr>
              <w:t>(insertar estado, ciudad y país)</w:t>
            </w:r>
          </w:p>
          <w:p w14:paraId="6EA0ADB7"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spacing w:val="-6"/>
                <w:sz w:val="22"/>
                <w:szCs w:val="22"/>
                <w:lang w:val="es-ES"/>
              </w:rPr>
              <w:t xml:space="preserve">Razones de suspensión o terminación: </w:t>
            </w:r>
            <w:r w:rsidRPr="00313596">
              <w:rPr>
                <w:rFonts w:ascii="Arial" w:hAnsi="Arial" w:cs="Arial"/>
                <w:i/>
                <w:iCs/>
                <w:color w:val="FF0000"/>
                <w:spacing w:val="-6"/>
                <w:sz w:val="22"/>
                <w:szCs w:val="22"/>
                <w:lang w:val="es-ES"/>
              </w:rPr>
              <w:t xml:space="preserve">(indicar </w:t>
            </w:r>
            <w:r w:rsidRPr="00313596">
              <w:rPr>
                <w:rFonts w:ascii="Arial" w:hAnsi="Arial" w:cs="Arial"/>
                <w:i/>
                <w:iCs/>
                <w:color w:val="FF0000"/>
                <w:spacing w:val="-6"/>
                <w:sz w:val="22"/>
                <w:szCs w:val="22"/>
                <w:lang w:val="es-ES"/>
              </w:rPr>
              <w:br/>
              <w:t>las razones principales, por ej. por faltas en materia de explotación, abuso y acoso sexual)</w:t>
            </w:r>
          </w:p>
        </w:tc>
        <w:tc>
          <w:tcPr>
            <w:tcW w:w="2250" w:type="dxa"/>
            <w:tcBorders>
              <w:top w:val="single" w:sz="2" w:space="0" w:color="auto"/>
              <w:left w:val="single" w:sz="2" w:space="0" w:color="auto"/>
              <w:bottom w:val="single" w:sz="2" w:space="0" w:color="auto"/>
              <w:right w:val="single" w:sz="2" w:space="0" w:color="auto"/>
            </w:tcBorders>
          </w:tcPr>
          <w:p w14:paraId="25353008"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color w:val="FF0000"/>
                <w:spacing w:val="-6"/>
                <w:sz w:val="22"/>
                <w:szCs w:val="22"/>
                <w:lang w:val="es-ES"/>
              </w:rPr>
              <w:t>(indicar monto)</w:t>
            </w:r>
          </w:p>
        </w:tc>
      </w:tr>
      <w:tr w:rsidR="008C0885" w:rsidRPr="00313596" w14:paraId="6C2A899A" w14:textId="77777777" w:rsidTr="003D50ED">
        <w:tc>
          <w:tcPr>
            <w:tcW w:w="720" w:type="dxa"/>
            <w:tcBorders>
              <w:top w:val="single" w:sz="2" w:space="0" w:color="auto"/>
              <w:left w:val="single" w:sz="2" w:space="0" w:color="auto"/>
              <w:bottom w:val="single" w:sz="2" w:space="0" w:color="auto"/>
              <w:right w:val="single" w:sz="2" w:space="0" w:color="auto"/>
            </w:tcBorders>
          </w:tcPr>
          <w:p w14:paraId="4C33AB9E" w14:textId="77777777" w:rsidR="008C0885" w:rsidRPr="00313596" w:rsidRDefault="008C0885" w:rsidP="008334D9">
            <w:pPr>
              <w:tabs>
                <w:tab w:val="left" w:pos="897"/>
              </w:tabs>
              <w:spacing w:before="60" w:after="60"/>
              <w:ind w:hanging="3"/>
              <w:jc w:val="center"/>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t>(indicar año)</w:t>
            </w:r>
          </w:p>
        </w:tc>
        <w:tc>
          <w:tcPr>
            <w:tcW w:w="1440" w:type="dxa"/>
            <w:tcBorders>
              <w:top w:val="single" w:sz="2" w:space="0" w:color="auto"/>
              <w:left w:val="single" w:sz="2" w:space="0" w:color="auto"/>
              <w:bottom w:val="single" w:sz="2" w:space="0" w:color="auto"/>
              <w:right w:val="single" w:sz="2" w:space="0" w:color="auto"/>
            </w:tcBorders>
          </w:tcPr>
          <w:p w14:paraId="754B9932" w14:textId="77777777" w:rsidR="008C0885" w:rsidRPr="00313596" w:rsidRDefault="008C0885" w:rsidP="000C6174">
            <w:pPr>
              <w:spacing w:before="60" w:after="60"/>
              <w:ind w:left="90" w:right="90"/>
              <w:jc w:val="center"/>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t>(indicar monto o porcentaje)</w:t>
            </w:r>
          </w:p>
        </w:tc>
        <w:tc>
          <w:tcPr>
            <w:tcW w:w="4950" w:type="dxa"/>
            <w:tcBorders>
              <w:top w:val="single" w:sz="2" w:space="0" w:color="auto"/>
              <w:left w:val="single" w:sz="2" w:space="0" w:color="auto"/>
              <w:bottom w:val="single" w:sz="2" w:space="0" w:color="auto"/>
              <w:right w:val="single" w:sz="2" w:space="0" w:color="auto"/>
            </w:tcBorders>
          </w:tcPr>
          <w:p w14:paraId="70411A55" w14:textId="77777777" w:rsidR="008C0885" w:rsidRPr="00313596" w:rsidRDefault="008C0885" w:rsidP="000C6174">
            <w:pPr>
              <w:spacing w:before="60" w:after="60"/>
              <w:ind w:left="167" w:right="222"/>
              <w:rPr>
                <w:rFonts w:ascii="Arial" w:hAnsi="Arial" w:cs="Arial"/>
                <w:i/>
                <w:iCs/>
                <w:color w:val="FF0000"/>
                <w:spacing w:val="-6"/>
                <w:sz w:val="22"/>
                <w:szCs w:val="22"/>
                <w:lang w:val="es-ES"/>
              </w:rPr>
            </w:pPr>
            <w:r w:rsidRPr="00313596">
              <w:rPr>
                <w:rFonts w:ascii="Arial" w:hAnsi="Arial" w:cs="Arial"/>
                <w:i/>
                <w:iCs/>
                <w:spacing w:val="-6"/>
                <w:sz w:val="22"/>
                <w:szCs w:val="22"/>
                <w:lang w:val="es-ES"/>
              </w:rPr>
              <w:t xml:space="preserve">Identificación del Contrato: </w:t>
            </w:r>
            <w:r w:rsidRPr="00313596">
              <w:rPr>
                <w:rFonts w:ascii="Arial" w:hAnsi="Arial" w:cs="Arial"/>
                <w:i/>
                <w:iCs/>
                <w:color w:val="FF0000"/>
                <w:spacing w:val="-6"/>
                <w:sz w:val="22"/>
                <w:szCs w:val="22"/>
                <w:lang w:val="es-ES"/>
              </w:rPr>
              <w:t>(indicar el nombre complete del contrato/ número y cualquier otra identificación pertinente)</w:t>
            </w:r>
          </w:p>
          <w:p w14:paraId="0C9C22CC" w14:textId="77777777" w:rsidR="008C0885" w:rsidRPr="00313596" w:rsidRDefault="008C0885" w:rsidP="000C6174">
            <w:pPr>
              <w:spacing w:before="60" w:after="60"/>
              <w:ind w:left="167" w:right="222"/>
              <w:rPr>
                <w:rFonts w:ascii="Arial" w:hAnsi="Arial" w:cs="Arial"/>
                <w:i/>
                <w:iCs/>
                <w:color w:val="FF0000"/>
                <w:spacing w:val="-6"/>
                <w:sz w:val="22"/>
                <w:szCs w:val="22"/>
                <w:lang w:val="es-ES"/>
              </w:rPr>
            </w:pPr>
            <w:r w:rsidRPr="00313596">
              <w:rPr>
                <w:rFonts w:ascii="Arial" w:hAnsi="Arial" w:cs="Arial"/>
                <w:i/>
                <w:iCs/>
                <w:spacing w:val="-6"/>
                <w:sz w:val="22"/>
                <w:szCs w:val="22"/>
                <w:lang w:val="es-ES"/>
              </w:rPr>
              <w:t xml:space="preserve">Nombre el Contratante: </w:t>
            </w:r>
            <w:r w:rsidRPr="00313596">
              <w:rPr>
                <w:rFonts w:ascii="Arial" w:hAnsi="Arial" w:cs="Arial"/>
                <w:i/>
                <w:iCs/>
                <w:color w:val="FF0000"/>
                <w:spacing w:val="-6"/>
                <w:sz w:val="22"/>
                <w:szCs w:val="22"/>
                <w:lang w:val="es-ES"/>
              </w:rPr>
              <w:t xml:space="preserve">(insertar el </w:t>
            </w:r>
            <w:r w:rsidRPr="00313596">
              <w:rPr>
                <w:rFonts w:ascii="Arial" w:hAnsi="Arial" w:cs="Arial"/>
                <w:i/>
                <w:iCs/>
                <w:color w:val="FF0000"/>
                <w:spacing w:val="-6"/>
                <w:sz w:val="22"/>
                <w:szCs w:val="22"/>
                <w:lang w:val="es-ES"/>
              </w:rPr>
              <w:br/>
              <w:t>nombre completo)</w:t>
            </w:r>
          </w:p>
          <w:p w14:paraId="5CEF9F95" w14:textId="77777777" w:rsidR="008C0885" w:rsidRPr="00313596" w:rsidRDefault="008C0885" w:rsidP="000C6174">
            <w:pPr>
              <w:spacing w:before="60" w:after="60"/>
              <w:ind w:left="167" w:right="222"/>
              <w:rPr>
                <w:rFonts w:ascii="Arial" w:hAnsi="Arial" w:cs="Arial"/>
                <w:i/>
                <w:iCs/>
                <w:color w:val="FF0000"/>
                <w:spacing w:val="-6"/>
                <w:sz w:val="22"/>
                <w:szCs w:val="22"/>
                <w:lang w:val="es-ES"/>
              </w:rPr>
            </w:pPr>
            <w:r w:rsidRPr="00313596">
              <w:rPr>
                <w:rFonts w:ascii="Arial" w:hAnsi="Arial" w:cs="Arial"/>
                <w:i/>
                <w:iCs/>
                <w:spacing w:val="-6"/>
                <w:sz w:val="22"/>
                <w:szCs w:val="22"/>
                <w:lang w:val="es-ES"/>
              </w:rPr>
              <w:t xml:space="preserve">Dirección del Contratante: </w:t>
            </w:r>
            <w:r w:rsidRPr="00313596">
              <w:rPr>
                <w:rFonts w:ascii="Arial" w:hAnsi="Arial" w:cs="Arial"/>
                <w:i/>
                <w:iCs/>
                <w:color w:val="FF0000"/>
                <w:spacing w:val="-6"/>
                <w:sz w:val="22"/>
                <w:szCs w:val="22"/>
                <w:lang w:val="es-ES"/>
              </w:rPr>
              <w:t>(insertar estado, ciudad y país)</w:t>
            </w:r>
          </w:p>
          <w:p w14:paraId="6FCA0F29"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spacing w:val="-6"/>
                <w:sz w:val="22"/>
                <w:szCs w:val="22"/>
                <w:lang w:val="es-ES"/>
              </w:rPr>
              <w:t xml:space="preserve">Razones de suspensión o terminación: </w:t>
            </w:r>
            <w:r w:rsidRPr="00313596">
              <w:rPr>
                <w:rFonts w:ascii="Arial" w:hAnsi="Arial" w:cs="Arial"/>
                <w:i/>
                <w:iCs/>
                <w:color w:val="FF0000"/>
                <w:spacing w:val="-6"/>
                <w:sz w:val="22"/>
                <w:szCs w:val="22"/>
                <w:lang w:val="es-ES"/>
              </w:rPr>
              <w:t xml:space="preserve">(indicar </w:t>
            </w:r>
            <w:r w:rsidRPr="00313596">
              <w:rPr>
                <w:rFonts w:ascii="Arial" w:hAnsi="Arial" w:cs="Arial"/>
                <w:i/>
                <w:iCs/>
                <w:color w:val="FF0000"/>
                <w:spacing w:val="-6"/>
                <w:sz w:val="22"/>
                <w:szCs w:val="22"/>
                <w:lang w:val="es-ES"/>
              </w:rPr>
              <w:br/>
              <w:t>las razones principales)</w:t>
            </w:r>
          </w:p>
        </w:tc>
        <w:tc>
          <w:tcPr>
            <w:tcW w:w="2250" w:type="dxa"/>
            <w:tcBorders>
              <w:top w:val="single" w:sz="2" w:space="0" w:color="auto"/>
              <w:left w:val="single" w:sz="2" w:space="0" w:color="auto"/>
              <w:bottom w:val="single" w:sz="2" w:space="0" w:color="auto"/>
              <w:right w:val="single" w:sz="2" w:space="0" w:color="auto"/>
            </w:tcBorders>
          </w:tcPr>
          <w:p w14:paraId="35B497A6"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color w:val="FF0000"/>
                <w:spacing w:val="-6"/>
                <w:sz w:val="22"/>
                <w:szCs w:val="22"/>
                <w:lang w:val="es-ES"/>
              </w:rPr>
              <w:t>(indicar monto)</w:t>
            </w:r>
          </w:p>
        </w:tc>
      </w:tr>
      <w:tr w:rsidR="008C0885" w:rsidRPr="00313596" w14:paraId="7CF0F4AA" w14:textId="77777777" w:rsidTr="003D50ED">
        <w:tc>
          <w:tcPr>
            <w:tcW w:w="720" w:type="dxa"/>
            <w:tcBorders>
              <w:top w:val="single" w:sz="2" w:space="0" w:color="auto"/>
              <w:left w:val="single" w:sz="2" w:space="0" w:color="auto"/>
              <w:bottom w:val="single" w:sz="2" w:space="0" w:color="auto"/>
              <w:right w:val="single" w:sz="2" w:space="0" w:color="auto"/>
            </w:tcBorders>
          </w:tcPr>
          <w:p w14:paraId="36EDD208" w14:textId="77777777" w:rsidR="008C0885" w:rsidRPr="00313596" w:rsidRDefault="008C0885" w:rsidP="000C6174">
            <w:pPr>
              <w:spacing w:before="60" w:after="60"/>
              <w:ind w:right="84"/>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lastRenderedPageBreak/>
              <w:t>…</w:t>
            </w:r>
          </w:p>
        </w:tc>
        <w:tc>
          <w:tcPr>
            <w:tcW w:w="1440" w:type="dxa"/>
            <w:tcBorders>
              <w:top w:val="single" w:sz="2" w:space="0" w:color="auto"/>
              <w:left w:val="single" w:sz="2" w:space="0" w:color="auto"/>
              <w:bottom w:val="single" w:sz="2" w:space="0" w:color="auto"/>
              <w:right w:val="single" w:sz="2" w:space="0" w:color="auto"/>
            </w:tcBorders>
          </w:tcPr>
          <w:p w14:paraId="5C9F44C3" w14:textId="77777777" w:rsidR="008C0885" w:rsidRPr="00313596" w:rsidRDefault="008C0885" w:rsidP="000C6174">
            <w:pPr>
              <w:spacing w:before="60" w:after="60"/>
              <w:ind w:right="84"/>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t>…</w:t>
            </w:r>
          </w:p>
        </w:tc>
        <w:tc>
          <w:tcPr>
            <w:tcW w:w="4950" w:type="dxa"/>
            <w:tcBorders>
              <w:top w:val="single" w:sz="2" w:space="0" w:color="auto"/>
              <w:left w:val="single" w:sz="2" w:space="0" w:color="auto"/>
              <w:bottom w:val="single" w:sz="2" w:space="0" w:color="auto"/>
              <w:right w:val="single" w:sz="2" w:space="0" w:color="auto"/>
            </w:tcBorders>
          </w:tcPr>
          <w:p w14:paraId="651DCE18" w14:textId="77777777" w:rsidR="008C0885" w:rsidRPr="00313596" w:rsidRDefault="008C0885" w:rsidP="000C6174">
            <w:pPr>
              <w:spacing w:before="60" w:after="60"/>
              <w:ind w:left="60" w:right="84"/>
              <w:rPr>
                <w:rFonts w:ascii="Arial" w:hAnsi="Arial" w:cs="Arial"/>
                <w:i/>
                <w:color w:val="FF0000"/>
                <w:spacing w:val="-4"/>
                <w:sz w:val="22"/>
                <w:szCs w:val="22"/>
                <w:lang w:val="es-ES"/>
              </w:rPr>
            </w:pPr>
            <w:r w:rsidRPr="00313596">
              <w:rPr>
                <w:rFonts w:ascii="Arial" w:hAnsi="Arial" w:cs="Arial"/>
                <w:i/>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43786614" w14:textId="77777777" w:rsidR="008C0885" w:rsidRPr="00313596" w:rsidRDefault="008C0885" w:rsidP="000C6174">
            <w:pPr>
              <w:spacing w:before="60" w:after="60"/>
              <w:ind w:right="84"/>
              <w:rPr>
                <w:rFonts w:ascii="Arial" w:hAnsi="Arial" w:cs="Arial"/>
                <w:i/>
                <w:iCs/>
                <w:color w:val="FF0000"/>
                <w:spacing w:val="-6"/>
                <w:sz w:val="22"/>
                <w:szCs w:val="22"/>
                <w:lang w:val="es-ES"/>
              </w:rPr>
            </w:pPr>
            <w:r w:rsidRPr="00313596">
              <w:rPr>
                <w:rFonts w:ascii="Arial" w:hAnsi="Arial" w:cs="Arial"/>
                <w:i/>
                <w:iCs/>
                <w:color w:val="FF0000"/>
                <w:spacing w:val="-6"/>
                <w:sz w:val="22"/>
                <w:szCs w:val="22"/>
                <w:lang w:val="es-ES"/>
              </w:rPr>
              <w:t>…</w:t>
            </w:r>
          </w:p>
        </w:tc>
      </w:tr>
      <w:tr w:rsidR="008C0885" w:rsidRPr="00313596" w14:paraId="3586CE5C" w14:textId="77777777" w:rsidTr="003D50ED">
        <w:trPr>
          <w:trHeight w:val="494"/>
        </w:trPr>
        <w:tc>
          <w:tcPr>
            <w:tcW w:w="9360" w:type="dxa"/>
            <w:gridSpan w:val="4"/>
            <w:tcBorders>
              <w:top w:val="single" w:sz="2" w:space="0" w:color="auto"/>
              <w:left w:val="single" w:sz="2" w:space="0" w:color="auto"/>
              <w:bottom w:val="single" w:sz="2" w:space="0" w:color="auto"/>
              <w:right w:val="single" w:sz="2" w:space="0" w:color="auto"/>
            </w:tcBorders>
          </w:tcPr>
          <w:p w14:paraId="42E71113" w14:textId="77777777" w:rsidR="008C0885" w:rsidRPr="00313596" w:rsidRDefault="008C0885" w:rsidP="000C6174">
            <w:pPr>
              <w:spacing w:before="60" w:after="60"/>
              <w:ind w:left="160" w:right="84"/>
              <w:rPr>
                <w:rFonts w:ascii="Arial" w:hAnsi="Arial" w:cs="Arial"/>
                <w:i/>
                <w:iCs/>
                <w:spacing w:val="-6"/>
                <w:sz w:val="22"/>
                <w:szCs w:val="22"/>
                <w:lang w:val="es-ES"/>
              </w:rPr>
            </w:pPr>
            <w:r w:rsidRPr="00313596">
              <w:rPr>
                <w:rFonts w:ascii="Arial" w:hAnsi="Arial" w:cs="Arial"/>
                <w:b/>
                <w:spacing w:val="-6"/>
                <w:sz w:val="22"/>
                <w:szCs w:val="22"/>
                <w:lang w:val="es-ES"/>
              </w:rPr>
              <w:t xml:space="preserve">Garantías de Cumplimiento cobradas por un Contratante por razones relacionadas con </w:t>
            </w:r>
            <w:r w:rsidRPr="00313596">
              <w:rPr>
                <w:rFonts w:ascii="Arial" w:hAnsi="Arial" w:cs="Arial"/>
                <w:b/>
                <w:spacing w:val="-6"/>
                <w:sz w:val="22"/>
                <w:szCs w:val="22"/>
                <w:lang w:val="es-ES"/>
              </w:rPr>
              <w:br/>
              <w:t>el desempeño AS</w:t>
            </w:r>
          </w:p>
        </w:tc>
      </w:tr>
      <w:tr w:rsidR="008C0885" w:rsidRPr="00313596" w14:paraId="2BFFFD9C" w14:textId="77777777" w:rsidTr="00272464">
        <w:tc>
          <w:tcPr>
            <w:tcW w:w="720" w:type="dxa"/>
            <w:tcBorders>
              <w:top w:val="single" w:sz="2" w:space="0" w:color="auto"/>
              <w:left w:val="single" w:sz="2" w:space="0" w:color="auto"/>
              <w:bottom w:val="single" w:sz="2" w:space="0" w:color="auto"/>
              <w:right w:val="single" w:sz="2" w:space="0" w:color="auto"/>
            </w:tcBorders>
            <w:shd w:val="clear" w:color="auto" w:fill="00B050"/>
            <w:vAlign w:val="center"/>
          </w:tcPr>
          <w:p w14:paraId="0FA76BB4" w14:textId="77777777" w:rsidR="008C0885" w:rsidRPr="00272464" w:rsidRDefault="008C0885" w:rsidP="000C6174">
            <w:pPr>
              <w:spacing w:before="60" w:after="60"/>
              <w:ind w:right="84"/>
              <w:jc w:val="center"/>
              <w:rPr>
                <w:rFonts w:ascii="Arial" w:hAnsi="Arial" w:cs="Arial"/>
                <w:b/>
                <w:i/>
                <w:iCs/>
                <w:color w:val="FFFFFF" w:themeColor="background1"/>
                <w:spacing w:val="-6"/>
                <w:sz w:val="22"/>
                <w:szCs w:val="22"/>
                <w:lang w:val="es-ES"/>
              </w:rPr>
            </w:pPr>
            <w:r w:rsidRPr="00272464">
              <w:rPr>
                <w:rFonts w:ascii="Arial" w:hAnsi="Arial" w:cs="Arial"/>
                <w:b/>
                <w:bCs/>
                <w:color w:val="FFFFFF" w:themeColor="background1"/>
                <w:spacing w:val="-4"/>
                <w:sz w:val="22"/>
                <w:szCs w:val="22"/>
                <w:lang w:val="es-ES"/>
              </w:rPr>
              <w:t>Año</w:t>
            </w:r>
          </w:p>
        </w:tc>
        <w:tc>
          <w:tcPr>
            <w:tcW w:w="6390" w:type="dxa"/>
            <w:gridSpan w:val="2"/>
            <w:tcBorders>
              <w:top w:val="single" w:sz="2" w:space="0" w:color="auto"/>
              <w:left w:val="single" w:sz="2" w:space="0" w:color="auto"/>
              <w:bottom w:val="single" w:sz="2" w:space="0" w:color="auto"/>
              <w:right w:val="single" w:sz="2" w:space="0" w:color="auto"/>
            </w:tcBorders>
            <w:shd w:val="clear" w:color="auto" w:fill="00B050"/>
            <w:vAlign w:val="center"/>
          </w:tcPr>
          <w:p w14:paraId="24DB886C" w14:textId="77777777" w:rsidR="008C0885" w:rsidRPr="00272464" w:rsidRDefault="008C0885" w:rsidP="000C6174">
            <w:pPr>
              <w:spacing w:before="60" w:after="60"/>
              <w:ind w:left="1299" w:right="84" w:hanging="992"/>
              <w:jc w:val="center"/>
              <w:rPr>
                <w:rFonts w:ascii="Arial" w:hAnsi="Arial" w:cs="Arial"/>
                <w:b/>
                <w:bCs/>
                <w:color w:val="FFFFFF" w:themeColor="background1"/>
                <w:spacing w:val="-4"/>
                <w:sz w:val="22"/>
                <w:szCs w:val="22"/>
                <w:lang w:val="es-ES"/>
              </w:rPr>
            </w:pPr>
            <w:r w:rsidRPr="00272464">
              <w:rPr>
                <w:rFonts w:ascii="Arial" w:hAnsi="Arial" w:cs="Arial"/>
                <w:b/>
                <w:bCs/>
                <w:color w:val="FFFFFF" w:themeColor="background1"/>
                <w:spacing w:val="-4"/>
                <w:sz w:val="22"/>
                <w:szCs w:val="22"/>
                <w:lang w:val="es-ES"/>
              </w:rPr>
              <w:t>Identificación del Contrato</w:t>
            </w:r>
          </w:p>
          <w:p w14:paraId="150D5B46" w14:textId="77777777" w:rsidR="008C0885" w:rsidRPr="00272464" w:rsidRDefault="008C0885" w:rsidP="000C6174">
            <w:pPr>
              <w:spacing w:before="60" w:after="60"/>
              <w:ind w:left="60" w:right="84"/>
              <w:jc w:val="center"/>
              <w:rPr>
                <w:rFonts w:ascii="Arial" w:hAnsi="Arial" w:cs="Arial"/>
                <w:b/>
                <w:i/>
                <w:color w:val="FFFFFF" w:themeColor="background1"/>
                <w:spacing w:val="-4"/>
                <w:sz w:val="22"/>
                <w:szCs w:val="22"/>
                <w:lang w:val="es-ES"/>
              </w:rPr>
            </w:pPr>
          </w:p>
        </w:tc>
        <w:tc>
          <w:tcPr>
            <w:tcW w:w="2250" w:type="dxa"/>
            <w:tcBorders>
              <w:top w:val="single" w:sz="2" w:space="0" w:color="auto"/>
              <w:left w:val="single" w:sz="2" w:space="0" w:color="auto"/>
              <w:bottom w:val="single" w:sz="2" w:space="0" w:color="auto"/>
              <w:right w:val="single" w:sz="2" w:space="0" w:color="auto"/>
            </w:tcBorders>
            <w:shd w:val="clear" w:color="auto" w:fill="00B050"/>
            <w:vAlign w:val="center"/>
          </w:tcPr>
          <w:p w14:paraId="3C733D35" w14:textId="77777777" w:rsidR="008C0885" w:rsidRPr="00272464" w:rsidRDefault="008C0885" w:rsidP="000C6174">
            <w:pPr>
              <w:spacing w:before="60" w:after="60"/>
              <w:ind w:right="84"/>
              <w:jc w:val="center"/>
              <w:rPr>
                <w:rFonts w:ascii="Arial" w:hAnsi="Arial" w:cs="Arial"/>
                <w:b/>
                <w:i/>
                <w:iCs/>
                <w:color w:val="FFFFFF" w:themeColor="background1"/>
                <w:spacing w:val="-6"/>
                <w:sz w:val="22"/>
                <w:szCs w:val="22"/>
                <w:lang w:val="es-ES"/>
              </w:rPr>
            </w:pPr>
            <w:r w:rsidRPr="00272464">
              <w:rPr>
                <w:rFonts w:ascii="Arial" w:hAnsi="Arial" w:cs="Arial"/>
                <w:b/>
                <w:bCs/>
                <w:color w:val="FFFFFF" w:themeColor="background1"/>
                <w:spacing w:val="-4"/>
                <w:sz w:val="22"/>
                <w:szCs w:val="22"/>
                <w:lang w:val="es-ES"/>
              </w:rPr>
              <w:t>Monto Total del Contrato (Valor actualizado, moneda, tipo de cambio y equivalente en US$)</w:t>
            </w:r>
          </w:p>
        </w:tc>
      </w:tr>
      <w:tr w:rsidR="008C0885" w:rsidRPr="00313596" w14:paraId="1309649D" w14:textId="77777777" w:rsidTr="003D50ED">
        <w:tc>
          <w:tcPr>
            <w:tcW w:w="720" w:type="dxa"/>
            <w:tcBorders>
              <w:top w:val="single" w:sz="2" w:space="0" w:color="auto"/>
              <w:left w:val="single" w:sz="2" w:space="0" w:color="auto"/>
              <w:bottom w:val="single" w:sz="2" w:space="0" w:color="auto"/>
              <w:right w:val="single" w:sz="2" w:space="0" w:color="auto"/>
            </w:tcBorders>
          </w:tcPr>
          <w:p w14:paraId="16B11DF8" w14:textId="77777777" w:rsidR="008C0885" w:rsidRPr="00313596" w:rsidRDefault="008C0885" w:rsidP="008334D9">
            <w:pPr>
              <w:spacing w:before="60" w:after="60"/>
              <w:ind w:left="-3" w:firstLine="3"/>
              <w:jc w:val="center"/>
              <w:rPr>
                <w:rFonts w:ascii="Arial" w:hAnsi="Arial" w:cs="Arial"/>
                <w:i/>
                <w:iCs/>
                <w:spacing w:val="-6"/>
                <w:sz w:val="22"/>
                <w:szCs w:val="22"/>
                <w:lang w:val="es-ES"/>
              </w:rPr>
            </w:pPr>
            <w:r w:rsidRPr="00313596">
              <w:rPr>
                <w:rFonts w:ascii="Arial" w:hAnsi="Arial" w:cs="Arial"/>
                <w:i/>
                <w:iCs/>
                <w:color w:val="FF0000"/>
                <w:spacing w:val="-6"/>
                <w:sz w:val="22"/>
                <w:szCs w:val="22"/>
                <w:lang w:val="es-ES"/>
              </w:rPr>
              <w:t>(indicar año)</w:t>
            </w:r>
          </w:p>
        </w:tc>
        <w:tc>
          <w:tcPr>
            <w:tcW w:w="6390" w:type="dxa"/>
            <w:gridSpan w:val="2"/>
            <w:tcBorders>
              <w:top w:val="single" w:sz="2" w:space="0" w:color="auto"/>
              <w:left w:val="single" w:sz="2" w:space="0" w:color="auto"/>
              <w:bottom w:val="single" w:sz="2" w:space="0" w:color="auto"/>
              <w:right w:val="single" w:sz="2" w:space="0" w:color="auto"/>
            </w:tcBorders>
          </w:tcPr>
          <w:p w14:paraId="23D773D5" w14:textId="77777777" w:rsidR="008C0885" w:rsidRPr="00313596" w:rsidRDefault="008C0885" w:rsidP="000C6174">
            <w:pPr>
              <w:spacing w:before="60" w:after="60"/>
              <w:ind w:left="167" w:right="222"/>
              <w:rPr>
                <w:rFonts w:ascii="Arial" w:hAnsi="Arial" w:cs="Arial"/>
                <w:i/>
                <w:iCs/>
                <w:color w:val="FF0000"/>
                <w:spacing w:val="-6"/>
                <w:sz w:val="22"/>
                <w:szCs w:val="22"/>
                <w:lang w:val="es-ES"/>
              </w:rPr>
            </w:pPr>
            <w:r w:rsidRPr="00313596">
              <w:rPr>
                <w:rFonts w:ascii="Arial" w:hAnsi="Arial" w:cs="Arial"/>
                <w:i/>
                <w:iCs/>
                <w:spacing w:val="-6"/>
                <w:sz w:val="22"/>
                <w:szCs w:val="22"/>
                <w:lang w:val="es-ES"/>
              </w:rPr>
              <w:t xml:space="preserve">Identificación del Contrato: </w:t>
            </w:r>
            <w:r w:rsidRPr="00313596">
              <w:rPr>
                <w:rFonts w:ascii="Arial" w:hAnsi="Arial" w:cs="Arial"/>
                <w:i/>
                <w:iCs/>
                <w:color w:val="FF0000"/>
                <w:spacing w:val="-6"/>
                <w:sz w:val="22"/>
                <w:szCs w:val="22"/>
                <w:lang w:val="es-ES"/>
              </w:rPr>
              <w:t>(indicar el nombre complete del contrato/ número y cualquier otra identificación pertinente)</w:t>
            </w:r>
          </w:p>
          <w:p w14:paraId="1B8389D3"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spacing w:val="-6"/>
                <w:sz w:val="22"/>
                <w:szCs w:val="22"/>
                <w:lang w:val="es-ES"/>
              </w:rPr>
              <w:t xml:space="preserve">Nombre el Contratante: </w:t>
            </w:r>
            <w:r w:rsidRPr="00313596">
              <w:rPr>
                <w:rFonts w:ascii="Arial" w:hAnsi="Arial" w:cs="Arial"/>
                <w:i/>
                <w:iCs/>
                <w:color w:val="FF0000"/>
                <w:spacing w:val="-6"/>
                <w:sz w:val="22"/>
                <w:szCs w:val="22"/>
                <w:lang w:val="es-ES"/>
              </w:rPr>
              <w:t>(insertar el nombre completo)</w:t>
            </w:r>
          </w:p>
          <w:p w14:paraId="204B1628"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spacing w:val="-6"/>
                <w:sz w:val="22"/>
                <w:szCs w:val="22"/>
                <w:lang w:val="es-ES"/>
              </w:rPr>
              <w:t xml:space="preserve">Dirección del Contratante: </w:t>
            </w:r>
            <w:r w:rsidRPr="00313596">
              <w:rPr>
                <w:rFonts w:ascii="Arial" w:hAnsi="Arial" w:cs="Arial"/>
                <w:i/>
                <w:iCs/>
                <w:color w:val="FF0000"/>
                <w:spacing w:val="-6"/>
                <w:sz w:val="22"/>
                <w:szCs w:val="22"/>
                <w:lang w:val="es-ES"/>
              </w:rPr>
              <w:t>(insertar estado, ciudad y país)</w:t>
            </w:r>
          </w:p>
          <w:p w14:paraId="7B9DC057" w14:textId="77777777" w:rsidR="008C0885" w:rsidRPr="00313596" w:rsidRDefault="008C0885" w:rsidP="000C6174">
            <w:pPr>
              <w:spacing w:before="60" w:after="60"/>
              <w:ind w:left="167" w:right="222"/>
              <w:rPr>
                <w:rFonts w:ascii="Arial" w:hAnsi="Arial" w:cs="Arial"/>
                <w:i/>
                <w:iCs/>
                <w:spacing w:val="-6"/>
                <w:sz w:val="22"/>
                <w:szCs w:val="22"/>
                <w:lang w:val="es-ES"/>
              </w:rPr>
            </w:pPr>
            <w:r w:rsidRPr="00313596">
              <w:rPr>
                <w:rFonts w:ascii="Arial" w:hAnsi="Arial" w:cs="Arial"/>
                <w:i/>
                <w:iCs/>
                <w:spacing w:val="-6"/>
                <w:sz w:val="22"/>
                <w:szCs w:val="22"/>
                <w:lang w:val="es-ES"/>
              </w:rPr>
              <w:t xml:space="preserve">Razones para el cobro de la Garantía: </w:t>
            </w:r>
            <w:r w:rsidRPr="00313596">
              <w:rPr>
                <w:rFonts w:ascii="Arial" w:hAnsi="Arial" w:cs="Arial"/>
                <w:i/>
                <w:iCs/>
                <w:color w:val="FF0000"/>
                <w:spacing w:val="-6"/>
                <w:sz w:val="22"/>
                <w:szCs w:val="22"/>
                <w:lang w:val="es-ES"/>
              </w:rPr>
              <w:t xml:space="preserve">(indicar las </w:t>
            </w:r>
            <w:r w:rsidRPr="00313596">
              <w:rPr>
                <w:rFonts w:ascii="Arial" w:hAnsi="Arial" w:cs="Arial"/>
                <w:i/>
                <w:iCs/>
                <w:color w:val="FF0000"/>
                <w:spacing w:val="-6"/>
                <w:sz w:val="22"/>
                <w:szCs w:val="22"/>
                <w:lang w:val="es-ES"/>
              </w:rPr>
              <w:br/>
              <w:t>razones principales, por ej. por faltas en materia explotación y abuso sexual)</w:t>
            </w:r>
          </w:p>
        </w:tc>
        <w:tc>
          <w:tcPr>
            <w:tcW w:w="2250" w:type="dxa"/>
            <w:tcBorders>
              <w:top w:val="single" w:sz="2" w:space="0" w:color="auto"/>
              <w:left w:val="single" w:sz="2" w:space="0" w:color="auto"/>
              <w:bottom w:val="single" w:sz="2" w:space="0" w:color="auto"/>
              <w:right w:val="single" w:sz="2" w:space="0" w:color="auto"/>
            </w:tcBorders>
          </w:tcPr>
          <w:p w14:paraId="6DE8B234" w14:textId="77777777" w:rsidR="008C0885" w:rsidRPr="00313596" w:rsidRDefault="008C0885" w:rsidP="000C6174">
            <w:pPr>
              <w:spacing w:before="60" w:after="60"/>
              <w:ind w:left="167" w:right="222"/>
              <w:jc w:val="center"/>
              <w:rPr>
                <w:rFonts w:ascii="Arial" w:hAnsi="Arial" w:cs="Arial"/>
                <w:i/>
                <w:iCs/>
                <w:spacing w:val="-6"/>
                <w:sz w:val="22"/>
                <w:szCs w:val="22"/>
                <w:lang w:val="es-ES"/>
              </w:rPr>
            </w:pPr>
            <w:r w:rsidRPr="00313596">
              <w:rPr>
                <w:rFonts w:ascii="Arial" w:hAnsi="Arial" w:cs="Arial"/>
                <w:i/>
                <w:iCs/>
                <w:color w:val="FF0000"/>
                <w:spacing w:val="-6"/>
                <w:sz w:val="22"/>
                <w:szCs w:val="22"/>
                <w:lang w:val="es-ES"/>
              </w:rPr>
              <w:t>(indicar monto)</w:t>
            </w:r>
          </w:p>
        </w:tc>
      </w:tr>
      <w:tr w:rsidR="008C0885" w:rsidRPr="00313596" w14:paraId="393CCA51" w14:textId="77777777" w:rsidTr="003D50ED">
        <w:tc>
          <w:tcPr>
            <w:tcW w:w="720" w:type="dxa"/>
            <w:tcBorders>
              <w:top w:val="single" w:sz="2" w:space="0" w:color="auto"/>
              <w:left w:val="single" w:sz="2" w:space="0" w:color="auto"/>
              <w:bottom w:val="single" w:sz="2" w:space="0" w:color="auto"/>
              <w:right w:val="single" w:sz="2" w:space="0" w:color="auto"/>
            </w:tcBorders>
          </w:tcPr>
          <w:p w14:paraId="6A6587EA" w14:textId="77777777" w:rsidR="008C0885" w:rsidRPr="00313596" w:rsidRDefault="008C0885" w:rsidP="000C6174">
            <w:pPr>
              <w:spacing w:before="60" w:after="60"/>
              <w:ind w:right="84"/>
              <w:rPr>
                <w:rFonts w:ascii="Arial" w:hAnsi="Arial" w:cs="Arial"/>
                <w:i/>
                <w:iCs/>
                <w:spacing w:val="-6"/>
                <w:sz w:val="22"/>
                <w:szCs w:val="22"/>
                <w:lang w:val="es-ES"/>
              </w:rPr>
            </w:pPr>
            <w:r w:rsidRPr="00313596">
              <w:rPr>
                <w:rFonts w:ascii="Arial" w:hAnsi="Arial" w:cs="Arial"/>
                <w:i/>
                <w:iCs/>
                <w:color w:val="FF0000"/>
                <w:spacing w:val="-6"/>
                <w:sz w:val="22"/>
                <w:szCs w:val="22"/>
                <w:lang w:val="es-ES"/>
              </w:rPr>
              <w:t>…</w:t>
            </w:r>
          </w:p>
        </w:tc>
        <w:tc>
          <w:tcPr>
            <w:tcW w:w="6390" w:type="dxa"/>
            <w:gridSpan w:val="2"/>
            <w:tcBorders>
              <w:top w:val="single" w:sz="2" w:space="0" w:color="auto"/>
              <w:left w:val="single" w:sz="2" w:space="0" w:color="auto"/>
              <w:bottom w:val="single" w:sz="2" w:space="0" w:color="auto"/>
              <w:right w:val="single" w:sz="2" w:space="0" w:color="auto"/>
            </w:tcBorders>
          </w:tcPr>
          <w:p w14:paraId="541C14A4" w14:textId="77777777" w:rsidR="008C0885" w:rsidRPr="00313596" w:rsidRDefault="008C0885" w:rsidP="000C6174">
            <w:pPr>
              <w:spacing w:before="60" w:after="60"/>
              <w:ind w:left="60" w:right="84"/>
              <w:jc w:val="center"/>
              <w:rPr>
                <w:rFonts w:ascii="Arial" w:hAnsi="Arial" w:cs="Arial"/>
                <w:i/>
                <w:spacing w:val="-4"/>
                <w:sz w:val="22"/>
                <w:szCs w:val="22"/>
                <w:lang w:val="es-ES"/>
              </w:rPr>
            </w:pPr>
            <w:r w:rsidRPr="00313596">
              <w:rPr>
                <w:rFonts w:ascii="Arial" w:hAnsi="Arial" w:cs="Arial"/>
                <w:i/>
                <w:color w:val="FF0000"/>
                <w:spacing w:val="-4"/>
                <w:sz w:val="22"/>
                <w:szCs w:val="22"/>
                <w:lang w:val="es-ES"/>
              </w:rPr>
              <w:t>(indicar todos los contratos concernientes)</w:t>
            </w:r>
          </w:p>
        </w:tc>
        <w:tc>
          <w:tcPr>
            <w:tcW w:w="2250" w:type="dxa"/>
            <w:tcBorders>
              <w:top w:val="single" w:sz="2" w:space="0" w:color="auto"/>
              <w:left w:val="single" w:sz="2" w:space="0" w:color="auto"/>
              <w:bottom w:val="single" w:sz="2" w:space="0" w:color="auto"/>
              <w:right w:val="single" w:sz="2" w:space="0" w:color="auto"/>
            </w:tcBorders>
          </w:tcPr>
          <w:p w14:paraId="5450C25A" w14:textId="77777777" w:rsidR="008C0885" w:rsidRPr="00313596" w:rsidRDefault="008C0885" w:rsidP="000C6174">
            <w:pPr>
              <w:spacing w:before="60" w:after="60"/>
              <w:ind w:right="84"/>
              <w:rPr>
                <w:rFonts w:ascii="Arial" w:hAnsi="Arial" w:cs="Arial"/>
                <w:i/>
                <w:iCs/>
                <w:spacing w:val="-6"/>
                <w:sz w:val="22"/>
                <w:szCs w:val="22"/>
                <w:lang w:val="es-ES"/>
              </w:rPr>
            </w:pPr>
            <w:r w:rsidRPr="00313596">
              <w:rPr>
                <w:rFonts w:ascii="Arial" w:hAnsi="Arial" w:cs="Arial"/>
                <w:i/>
                <w:iCs/>
                <w:color w:val="FF0000"/>
                <w:spacing w:val="-6"/>
                <w:sz w:val="22"/>
                <w:szCs w:val="22"/>
                <w:lang w:val="es-ES"/>
              </w:rPr>
              <w:t>…</w:t>
            </w:r>
          </w:p>
        </w:tc>
      </w:tr>
    </w:tbl>
    <w:p w14:paraId="6C2A542C" w14:textId="77777777" w:rsidR="008C0885" w:rsidRPr="00313596" w:rsidRDefault="008C0885" w:rsidP="000C6174">
      <w:pPr>
        <w:pStyle w:val="HTMLconformatoprevio"/>
        <w:shd w:val="clear" w:color="auto" w:fill="FFFFFF"/>
        <w:ind w:right="-279"/>
        <w:rPr>
          <w:rFonts w:ascii="Arial" w:hAnsi="Arial" w:cs="Arial"/>
          <w:color w:val="212121"/>
          <w:sz w:val="22"/>
          <w:szCs w:val="22"/>
          <w:lang w:val="es-ES"/>
        </w:rPr>
      </w:pPr>
    </w:p>
    <w:p w14:paraId="2EEC1884" w14:textId="77777777" w:rsidR="008C0885" w:rsidRPr="00313596" w:rsidRDefault="008C0885" w:rsidP="000C6174">
      <w:pPr>
        <w:pStyle w:val="Technical4"/>
        <w:tabs>
          <w:tab w:val="clear" w:pos="-720"/>
        </w:tabs>
        <w:suppressAutoHyphens w:val="0"/>
        <w:spacing w:after="120"/>
        <w:ind w:right="-279"/>
        <w:rPr>
          <w:rStyle w:val="Table"/>
          <w:rFonts w:cs="Arial"/>
          <w:b w:val="0"/>
          <w:color w:val="000000" w:themeColor="text1"/>
          <w:sz w:val="22"/>
          <w:szCs w:val="22"/>
          <w:lang w:val="es-ES"/>
        </w:rPr>
      </w:pPr>
      <w:r w:rsidRPr="00313596">
        <w:rPr>
          <w:rFonts w:ascii="Arial" w:hAnsi="Arial" w:cs="Arial"/>
          <w:color w:val="000000" w:themeColor="text1"/>
          <w:sz w:val="22"/>
          <w:szCs w:val="22"/>
          <w:lang w:val="es-ES"/>
        </w:rPr>
        <w:br w:type="page"/>
      </w:r>
    </w:p>
    <w:p w14:paraId="32755599" w14:textId="77777777" w:rsidR="008C0885" w:rsidRPr="00313596" w:rsidRDefault="008C0885">
      <w:pPr>
        <w:jc w:val="left"/>
        <w:rPr>
          <w:rFonts w:ascii="Arial" w:hAnsi="Arial" w:cs="Arial"/>
          <w:b/>
          <w:sz w:val="22"/>
          <w:szCs w:val="22"/>
        </w:rPr>
      </w:pPr>
    </w:p>
    <w:p w14:paraId="5A6199A9" w14:textId="77777777" w:rsidR="008C0885" w:rsidRPr="00313596" w:rsidRDefault="008C0885" w:rsidP="000C6174">
      <w:pPr>
        <w:rPr>
          <w:rFonts w:ascii="Arial" w:hAnsi="Arial" w:cs="Arial"/>
          <w:b/>
          <w:sz w:val="22"/>
          <w:szCs w:val="22"/>
        </w:rPr>
      </w:pPr>
      <w:r w:rsidRPr="00313596">
        <w:rPr>
          <w:rFonts w:ascii="Arial" w:hAnsi="Arial" w:cs="Arial"/>
          <w:b/>
          <w:sz w:val="22"/>
          <w:szCs w:val="22"/>
        </w:rPr>
        <w:t>FORMULARIO FIN-1</w:t>
      </w:r>
    </w:p>
    <w:p w14:paraId="6D50C262" w14:textId="77777777" w:rsidR="008C0885" w:rsidRPr="00313596" w:rsidRDefault="008C0885" w:rsidP="000C6174">
      <w:pPr>
        <w:pStyle w:val="SectionVHeader"/>
        <w:rPr>
          <w:rFonts w:ascii="Arial" w:hAnsi="Arial" w:cs="Arial"/>
          <w:sz w:val="22"/>
          <w:szCs w:val="22"/>
        </w:rPr>
      </w:pPr>
      <w:r w:rsidRPr="00313596">
        <w:rPr>
          <w:rFonts w:ascii="Arial" w:hAnsi="Arial" w:cs="Arial"/>
          <w:sz w:val="22"/>
          <w:szCs w:val="22"/>
        </w:rPr>
        <w:t>Situación Financiera</w:t>
      </w:r>
    </w:p>
    <w:p w14:paraId="4E3E0936" w14:textId="77777777" w:rsidR="008C0885" w:rsidRPr="00313596" w:rsidRDefault="008C0885" w:rsidP="000C6174">
      <w:pPr>
        <w:pStyle w:val="SectionVHeader"/>
        <w:rPr>
          <w:rFonts w:ascii="Arial" w:hAnsi="Arial" w:cs="Arial"/>
          <w:sz w:val="22"/>
          <w:szCs w:val="22"/>
        </w:rPr>
      </w:pPr>
    </w:p>
    <w:p w14:paraId="3CF42DC4" w14:textId="77777777" w:rsidR="008C0885" w:rsidRPr="00313596" w:rsidRDefault="008C0885" w:rsidP="000C6174">
      <w:pPr>
        <w:jc w:val="left"/>
        <w:rPr>
          <w:rFonts w:ascii="Arial" w:hAnsi="Arial" w:cs="Arial"/>
          <w:sz w:val="22"/>
          <w:szCs w:val="22"/>
        </w:rPr>
      </w:pPr>
      <w:r w:rsidRPr="00313596">
        <w:rPr>
          <w:rFonts w:ascii="Arial" w:hAnsi="Arial" w:cs="Arial"/>
          <w:i/>
          <w:sz w:val="22"/>
          <w:szCs w:val="22"/>
        </w:rPr>
        <w:t>En caso de ofertas presentadas por una APCA, el formulario deberá ser presentado por todos los miembros del APCA</w:t>
      </w:r>
    </w:p>
    <w:p w14:paraId="7E8C872D" w14:textId="77777777" w:rsidR="008C0885" w:rsidRPr="00313596" w:rsidRDefault="008C0885" w:rsidP="000C6174">
      <w:pPr>
        <w:spacing w:before="120" w:after="120"/>
        <w:rPr>
          <w:rFonts w:ascii="Arial" w:hAnsi="Arial" w:cs="Arial"/>
          <w:sz w:val="22"/>
          <w:szCs w:val="22"/>
        </w:rPr>
      </w:pPr>
      <w:r w:rsidRPr="00313596">
        <w:rPr>
          <w:rFonts w:ascii="Arial" w:hAnsi="Arial" w:cs="Arial"/>
          <w:sz w:val="22"/>
          <w:szCs w:val="22"/>
        </w:rPr>
        <w:t>Información que debe completar el oferente, en caso de una APCA deberá completarlo cada miembro.</w:t>
      </w:r>
    </w:p>
    <w:p w14:paraId="702AB46B" w14:textId="77777777" w:rsidR="008C0885" w:rsidRPr="00313596" w:rsidRDefault="008C0885" w:rsidP="000C6174">
      <w:pPr>
        <w:tabs>
          <w:tab w:val="right" w:pos="9630"/>
        </w:tabs>
        <w:spacing w:before="120" w:after="120"/>
        <w:ind w:right="162"/>
        <w:rPr>
          <w:rFonts w:ascii="Arial" w:hAnsi="Arial" w:cs="Arial"/>
          <w:sz w:val="22"/>
          <w:szCs w:val="22"/>
        </w:rPr>
      </w:pPr>
      <w:r w:rsidRPr="00313596">
        <w:rPr>
          <w:rFonts w:ascii="Arial" w:hAnsi="Arial" w:cs="Arial"/>
          <w:sz w:val="22"/>
          <w:szCs w:val="22"/>
        </w:rPr>
        <w:t xml:space="preserve">Nombre legal del oferente: </w:t>
      </w:r>
      <w:r w:rsidRPr="00313596">
        <w:rPr>
          <w:rFonts w:ascii="Arial" w:hAnsi="Arial" w:cs="Arial"/>
          <w:i/>
          <w:color w:val="FF0000"/>
          <w:sz w:val="22"/>
          <w:szCs w:val="22"/>
        </w:rPr>
        <w:t>(indicar nombre completo)</w:t>
      </w:r>
      <w:r w:rsidRPr="00313596">
        <w:rPr>
          <w:rFonts w:ascii="Arial" w:hAnsi="Arial" w:cs="Arial"/>
          <w:sz w:val="22"/>
          <w:szCs w:val="22"/>
        </w:rPr>
        <w:tab/>
        <w:t xml:space="preserve"> Fecha: </w:t>
      </w:r>
      <w:r w:rsidRPr="00313596">
        <w:rPr>
          <w:rFonts w:ascii="Arial" w:hAnsi="Arial" w:cs="Arial"/>
          <w:i/>
          <w:color w:val="FF0000"/>
          <w:sz w:val="22"/>
          <w:szCs w:val="22"/>
        </w:rPr>
        <w:t>(indicar día, mes y año)</w:t>
      </w:r>
      <w:r w:rsidRPr="00313596">
        <w:rPr>
          <w:rFonts w:ascii="Arial" w:hAnsi="Arial" w:cs="Arial"/>
          <w:color w:val="FF0000"/>
          <w:sz w:val="22"/>
          <w:szCs w:val="22"/>
        </w:rPr>
        <w:t>          </w:t>
      </w:r>
    </w:p>
    <w:p w14:paraId="31585C71" w14:textId="77777777" w:rsidR="008C0885" w:rsidRPr="00313596" w:rsidRDefault="008C0885" w:rsidP="000C6174">
      <w:pPr>
        <w:tabs>
          <w:tab w:val="right" w:pos="9990"/>
        </w:tabs>
        <w:spacing w:before="120" w:after="120"/>
        <w:ind w:right="-18"/>
        <w:rPr>
          <w:rFonts w:ascii="Arial" w:hAnsi="Arial" w:cs="Arial"/>
          <w:sz w:val="22"/>
          <w:szCs w:val="22"/>
        </w:rPr>
      </w:pPr>
      <w:r w:rsidRPr="00313596">
        <w:rPr>
          <w:rFonts w:ascii="Arial" w:hAnsi="Arial" w:cs="Arial"/>
          <w:sz w:val="22"/>
          <w:szCs w:val="22"/>
        </w:rPr>
        <w:t xml:space="preserve">Nombre legal del miembro de la APCA: </w:t>
      </w:r>
      <w:r w:rsidRPr="00313596">
        <w:rPr>
          <w:rFonts w:ascii="Arial" w:hAnsi="Arial" w:cs="Arial"/>
          <w:i/>
          <w:color w:val="FF0000"/>
          <w:sz w:val="22"/>
          <w:szCs w:val="22"/>
        </w:rPr>
        <w:t>(indicar nombre completo</w:t>
      </w:r>
      <w:r w:rsidRPr="00313596">
        <w:rPr>
          <w:rFonts w:ascii="Arial" w:hAnsi="Arial" w:cs="Arial"/>
          <w:color w:val="FF0000"/>
          <w:sz w:val="22"/>
          <w:szCs w:val="22"/>
        </w:rPr>
        <w:t xml:space="preserve">)   </w:t>
      </w:r>
    </w:p>
    <w:p w14:paraId="25DF205D" w14:textId="77777777" w:rsidR="008C0885" w:rsidRPr="00313596" w:rsidRDefault="008C0885" w:rsidP="000C6174">
      <w:pPr>
        <w:tabs>
          <w:tab w:val="right" w:pos="9990"/>
        </w:tabs>
        <w:spacing w:before="120" w:after="120"/>
        <w:ind w:right="-18"/>
        <w:rPr>
          <w:rFonts w:ascii="Arial" w:hAnsi="Arial" w:cs="Arial"/>
          <w:sz w:val="22"/>
          <w:szCs w:val="22"/>
        </w:rPr>
      </w:pPr>
      <w:r w:rsidRPr="00313596">
        <w:rPr>
          <w:rFonts w:ascii="Arial" w:hAnsi="Arial" w:cs="Arial"/>
          <w:sz w:val="22"/>
          <w:szCs w:val="22"/>
        </w:rPr>
        <w:t xml:space="preserve">Llamado a licitación No.: </w:t>
      </w:r>
      <w:r w:rsidRPr="00313596">
        <w:rPr>
          <w:rFonts w:ascii="Arial" w:hAnsi="Arial" w:cs="Arial"/>
          <w:i/>
          <w:color w:val="FF0000"/>
          <w:sz w:val="22"/>
          <w:szCs w:val="22"/>
        </w:rPr>
        <w:t xml:space="preserve">(Indicar número </w:t>
      </w:r>
      <w:r w:rsidRPr="00313596">
        <w:rPr>
          <w:rFonts w:ascii="Arial" w:hAnsi="Arial" w:cs="Arial"/>
          <w:bCs/>
          <w:i/>
          <w:color w:val="FF0000"/>
          <w:sz w:val="22"/>
          <w:szCs w:val="22"/>
        </w:rPr>
        <w:t>de licitación</w:t>
      </w:r>
      <w:r w:rsidRPr="00313596">
        <w:rPr>
          <w:rFonts w:ascii="Arial" w:hAnsi="Arial" w:cs="Arial"/>
          <w:i/>
          <w:color w:val="FF0000"/>
          <w:sz w:val="22"/>
          <w:szCs w:val="22"/>
        </w:rPr>
        <w:t>)</w:t>
      </w:r>
    </w:p>
    <w:p w14:paraId="7BE943EF" w14:textId="77777777" w:rsidR="008C0885" w:rsidRPr="00313596" w:rsidRDefault="008C0885" w:rsidP="000C6174">
      <w:pPr>
        <w:ind w:right="-18"/>
        <w:jc w:val="right"/>
        <w:rPr>
          <w:rFonts w:ascii="Arial" w:hAnsi="Arial" w:cs="Arial"/>
          <w:sz w:val="22"/>
          <w:szCs w:val="22"/>
        </w:rPr>
      </w:pPr>
      <w:r w:rsidRPr="00313596">
        <w:rPr>
          <w:rFonts w:ascii="Arial" w:hAnsi="Arial" w:cs="Arial"/>
          <w:sz w:val="22"/>
          <w:szCs w:val="22"/>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170"/>
        <w:gridCol w:w="990"/>
        <w:gridCol w:w="1080"/>
        <w:gridCol w:w="1080"/>
        <w:gridCol w:w="900"/>
        <w:gridCol w:w="1260"/>
      </w:tblGrid>
      <w:tr w:rsidR="00272464" w:rsidRPr="00272464" w14:paraId="3032959B" w14:textId="77777777" w:rsidTr="00272464">
        <w:trPr>
          <w:cantSplit/>
        </w:trPr>
        <w:tc>
          <w:tcPr>
            <w:tcW w:w="2880" w:type="dxa"/>
            <w:vMerge w:val="restart"/>
            <w:shd w:val="clear" w:color="auto" w:fill="00B050"/>
            <w:vAlign w:val="center"/>
          </w:tcPr>
          <w:p w14:paraId="3EE011D9"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 xml:space="preserve">Información financiera en </w:t>
            </w:r>
            <w:r w:rsidRPr="00272464">
              <w:rPr>
                <w:rFonts w:ascii="Arial" w:hAnsi="Arial" w:cs="Arial"/>
                <w:b/>
                <w:i/>
                <w:color w:val="FF0000"/>
                <w:sz w:val="22"/>
                <w:szCs w:val="22"/>
              </w:rPr>
              <w:t>(indicar moneda)</w:t>
            </w:r>
          </w:p>
        </w:tc>
        <w:tc>
          <w:tcPr>
            <w:tcW w:w="6480" w:type="dxa"/>
            <w:gridSpan w:val="6"/>
            <w:shd w:val="clear" w:color="auto" w:fill="00B050"/>
            <w:vAlign w:val="center"/>
          </w:tcPr>
          <w:p w14:paraId="35198C92"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Información Financiera histórica</w:t>
            </w:r>
            <w:r w:rsidRPr="00272464" w:rsidDel="00226050">
              <w:rPr>
                <w:rFonts w:ascii="Arial" w:hAnsi="Arial" w:cs="Arial"/>
                <w:b/>
                <w:color w:val="FFFFFF" w:themeColor="background1"/>
                <w:sz w:val="22"/>
                <w:szCs w:val="22"/>
              </w:rPr>
              <w:t xml:space="preserve"> </w:t>
            </w:r>
            <w:r w:rsidRPr="00272464">
              <w:rPr>
                <w:rFonts w:ascii="Arial" w:hAnsi="Arial" w:cs="Arial"/>
                <w:b/>
                <w:color w:val="FF0000"/>
                <w:sz w:val="22"/>
                <w:szCs w:val="22"/>
              </w:rPr>
              <w:t>(</w:t>
            </w:r>
            <w:r w:rsidRPr="00272464">
              <w:rPr>
                <w:rFonts w:ascii="Arial" w:hAnsi="Arial" w:cs="Arial"/>
                <w:b/>
                <w:i/>
                <w:color w:val="FF0000"/>
                <w:sz w:val="22"/>
                <w:szCs w:val="22"/>
              </w:rPr>
              <w:t>Indicar moneda</w:t>
            </w:r>
            <w:r w:rsidRPr="00272464">
              <w:rPr>
                <w:rFonts w:ascii="Arial" w:hAnsi="Arial" w:cs="Arial"/>
                <w:b/>
                <w:color w:val="FF0000"/>
                <w:sz w:val="22"/>
                <w:szCs w:val="22"/>
              </w:rPr>
              <w:t>)</w:t>
            </w:r>
          </w:p>
        </w:tc>
      </w:tr>
      <w:tr w:rsidR="00272464" w:rsidRPr="00272464" w14:paraId="08CFF4C7" w14:textId="77777777" w:rsidTr="00272464">
        <w:trPr>
          <w:cantSplit/>
        </w:trPr>
        <w:tc>
          <w:tcPr>
            <w:tcW w:w="2880" w:type="dxa"/>
            <w:vMerge/>
            <w:shd w:val="clear" w:color="auto" w:fill="00B050"/>
            <w:vAlign w:val="center"/>
          </w:tcPr>
          <w:p w14:paraId="1FA2299C" w14:textId="77777777" w:rsidR="008C0885" w:rsidRPr="00272464" w:rsidRDefault="008C0885" w:rsidP="000C6174">
            <w:pPr>
              <w:spacing w:before="60" w:after="60"/>
              <w:jc w:val="center"/>
              <w:rPr>
                <w:rFonts w:ascii="Arial" w:hAnsi="Arial" w:cs="Arial"/>
                <w:b/>
                <w:color w:val="FFFFFF" w:themeColor="background1"/>
                <w:sz w:val="22"/>
                <w:szCs w:val="22"/>
              </w:rPr>
            </w:pPr>
          </w:p>
        </w:tc>
        <w:tc>
          <w:tcPr>
            <w:tcW w:w="1170" w:type="dxa"/>
            <w:shd w:val="clear" w:color="auto" w:fill="00B050"/>
            <w:vAlign w:val="center"/>
          </w:tcPr>
          <w:p w14:paraId="2B231865"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Año 1</w:t>
            </w:r>
          </w:p>
        </w:tc>
        <w:tc>
          <w:tcPr>
            <w:tcW w:w="990" w:type="dxa"/>
            <w:shd w:val="clear" w:color="auto" w:fill="00B050"/>
            <w:vAlign w:val="center"/>
          </w:tcPr>
          <w:p w14:paraId="7C6BA28B"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Año 2</w:t>
            </w:r>
          </w:p>
        </w:tc>
        <w:tc>
          <w:tcPr>
            <w:tcW w:w="1080" w:type="dxa"/>
            <w:shd w:val="clear" w:color="auto" w:fill="00B050"/>
            <w:vAlign w:val="center"/>
          </w:tcPr>
          <w:p w14:paraId="4847B61E"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Año 3</w:t>
            </w:r>
          </w:p>
        </w:tc>
        <w:tc>
          <w:tcPr>
            <w:tcW w:w="1080" w:type="dxa"/>
            <w:shd w:val="clear" w:color="auto" w:fill="00B050"/>
            <w:vAlign w:val="center"/>
          </w:tcPr>
          <w:p w14:paraId="02226E0D"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Año ...</w:t>
            </w:r>
          </w:p>
        </w:tc>
        <w:tc>
          <w:tcPr>
            <w:tcW w:w="900" w:type="dxa"/>
            <w:shd w:val="clear" w:color="auto" w:fill="00B050"/>
            <w:vAlign w:val="center"/>
          </w:tcPr>
          <w:p w14:paraId="7DE49155"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 xml:space="preserve">Año </w:t>
            </w:r>
            <w:r w:rsidRPr="00272464">
              <w:rPr>
                <w:rFonts w:ascii="Arial" w:hAnsi="Arial" w:cs="Arial"/>
                <w:b/>
                <w:i/>
                <w:color w:val="FFFFFF" w:themeColor="background1"/>
                <w:sz w:val="22"/>
                <w:szCs w:val="22"/>
              </w:rPr>
              <w:t>n</w:t>
            </w:r>
          </w:p>
        </w:tc>
        <w:tc>
          <w:tcPr>
            <w:tcW w:w="1260" w:type="dxa"/>
            <w:shd w:val="clear" w:color="auto" w:fill="00B050"/>
            <w:vAlign w:val="center"/>
          </w:tcPr>
          <w:p w14:paraId="44A854F4" w14:textId="77777777" w:rsidR="008C0885" w:rsidRPr="00272464" w:rsidRDefault="008C0885" w:rsidP="000C6174">
            <w:pPr>
              <w:spacing w:before="60" w:after="60"/>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Promedio</w:t>
            </w:r>
          </w:p>
        </w:tc>
      </w:tr>
      <w:tr w:rsidR="008C0885" w:rsidRPr="00313596" w14:paraId="48075943" w14:textId="77777777" w:rsidTr="003D50ED">
        <w:trPr>
          <w:cantSplit/>
        </w:trPr>
        <w:tc>
          <w:tcPr>
            <w:tcW w:w="9360" w:type="dxa"/>
            <w:gridSpan w:val="7"/>
          </w:tcPr>
          <w:p w14:paraId="2CEE2B7E" w14:textId="77777777" w:rsidR="008C0885" w:rsidRPr="00313596" w:rsidRDefault="008C0885" w:rsidP="000C6174">
            <w:pPr>
              <w:spacing w:before="60" w:after="60"/>
              <w:rPr>
                <w:rFonts w:ascii="Arial" w:hAnsi="Arial" w:cs="Arial"/>
                <w:b/>
                <w:sz w:val="22"/>
                <w:szCs w:val="22"/>
              </w:rPr>
            </w:pPr>
            <w:r w:rsidRPr="00313596">
              <w:rPr>
                <w:rFonts w:ascii="Arial" w:hAnsi="Arial" w:cs="Arial"/>
                <w:b/>
                <w:sz w:val="22"/>
                <w:szCs w:val="22"/>
              </w:rPr>
              <w:t>Información del Balance General</w:t>
            </w:r>
          </w:p>
        </w:tc>
      </w:tr>
      <w:tr w:rsidR="008C0885" w:rsidRPr="00313596" w14:paraId="3C2C10CD" w14:textId="77777777" w:rsidTr="003D50ED">
        <w:trPr>
          <w:cantSplit/>
        </w:trPr>
        <w:tc>
          <w:tcPr>
            <w:tcW w:w="2880" w:type="dxa"/>
            <w:vAlign w:val="center"/>
          </w:tcPr>
          <w:p w14:paraId="5CF84D09" w14:textId="77777777" w:rsidR="008C0885" w:rsidRPr="00313596" w:rsidRDefault="008C0885" w:rsidP="000C6174">
            <w:pPr>
              <w:spacing w:before="60" w:after="60"/>
              <w:rPr>
                <w:rFonts w:ascii="Arial" w:hAnsi="Arial" w:cs="Arial"/>
                <w:b/>
                <w:sz w:val="22"/>
                <w:szCs w:val="22"/>
              </w:rPr>
            </w:pPr>
            <w:r w:rsidRPr="00313596">
              <w:rPr>
                <w:rFonts w:ascii="Arial" w:hAnsi="Arial" w:cs="Arial"/>
                <w:sz w:val="22"/>
                <w:szCs w:val="22"/>
              </w:rPr>
              <w:t>Total del Activo (TA)</w:t>
            </w:r>
          </w:p>
        </w:tc>
        <w:tc>
          <w:tcPr>
            <w:tcW w:w="1170" w:type="dxa"/>
          </w:tcPr>
          <w:p w14:paraId="3CB0291D" w14:textId="77777777" w:rsidR="008C0885" w:rsidRPr="00313596" w:rsidRDefault="008C0885" w:rsidP="000C6174">
            <w:pPr>
              <w:spacing w:before="60" w:after="60"/>
              <w:rPr>
                <w:rFonts w:ascii="Arial" w:hAnsi="Arial" w:cs="Arial"/>
                <w:sz w:val="22"/>
                <w:szCs w:val="22"/>
              </w:rPr>
            </w:pPr>
          </w:p>
        </w:tc>
        <w:tc>
          <w:tcPr>
            <w:tcW w:w="990" w:type="dxa"/>
          </w:tcPr>
          <w:p w14:paraId="4D260504" w14:textId="77777777" w:rsidR="008C0885" w:rsidRPr="00313596" w:rsidRDefault="008C0885" w:rsidP="000C6174">
            <w:pPr>
              <w:spacing w:before="60" w:after="60"/>
              <w:rPr>
                <w:rFonts w:ascii="Arial" w:hAnsi="Arial" w:cs="Arial"/>
                <w:sz w:val="22"/>
                <w:szCs w:val="22"/>
              </w:rPr>
            </w:pPr>
          </w:p>
        </w:tc>
        <w:tc>
          <w:tcPr>
            <w:tcW w:w="1080" w:type="dxa"/>
          </w:tcPr>
          <w:p w14:paraId="469B4F3B" w14:textId="77777777" w:rsidR="008C0885" w:rsidRPr="00313596" w:rsidRDefault="008C0885" w:rsidP="000C6174">
            <w:pPr>
              <w:spacing w:before="60" w:after="60"/>
              <w:rPr>
                <w:rFonts w:ascii="Arial" w:hAnsi="Arial" w:cs="Arial"/>
                <w:sz w:val="22"/>
                <w:szCs w:val="22"/>
              </w:rPr>
            </w:pPr>
          </w:p>
        </w:tc>
        <w:tc>
          <w:tcPr>
            <w:tcW w:w="1080" w:type="dxa"/>
          </w:tcPr>
          <w:p w14:paraId="4F3B7009" w14:textId="77777777" w:rsidR="008C0885" w:rsidRPr="00313596" w:rsidRDefault="008C0885" w:rsidP="000C6174">
            <w:pPr>
              <w:spacing w:before="60" w:after="60"/>
              <w:rPr>
                <w:rFonts w:ascii="Arial" w:hAnsi="Arial" w:cs="Arial"/>
                <w:sz w:val="22"/>
                <w:szCs w:val="22"/>
              </w:rPr>
            </w:pPr>
          </w:p>
        </w:tc>
        <w:tc>
          <w:tcPr>
            <w:tcW w:w="900" w:type="dxa"/>
          </w:tcPr>
          <w:p w14:paraId="3645EECC" w14:textId="77777777" w:rsidR="008C0885" w:rsidRPr="00313596" w:rsidRDefault="008C0885" w:rsidP="000C6174">
            <w:pPr>
              <w:spacing w:before="60" w:after="60"/>
              <w:rPr>
                <w:rFonts w:ascii="Arial" w:hAnsi="Arial" w:cs="Arial"/>
                <w:sz w:val="22"/>
                <w:szCs w:val="22"/>
              </w:rPr>
            </w:pPr>
          </w:p>
        </w:tc>
        <w:tc>
          <w:tcPr>
            <w:tcW w:w="1260" w:type="dxa"/>
          </w:tcPr>
          <w:p w14:paraId="33E6E6AC" w14:textId="77777777" w:rsidR="008C0885" w:rsidRPr="00313596" w:rsidRDefault="008C0885" w:rsidP="000C6174">
            <w:pPr>
              <w:spacing w:before="60" w:after="60"/>
              <w:rPr>
                <w:rFonts w:ascii="Arial" w:hAnsi="Arial" w:cs="Arial"/>
                <w:sz w:val="22"/>
                <w:szCs w:val="22"/>
              </w:rPr>
            </w:pPr>
          </w:p>
        </w:tc>
      </w:tr>
      <w:tr w:rsidR="008C0885" w:rsidRPr="00313596" w14:paraId="2F3C6562" w14:textId="77777777" w:rsidTr="003D50ED">
        <w:trPr>
          <w:cantSplit/>
        </w:trPr>
        <w:tc>
          <w:tcPr>
            <w:tcW w:w="2880" w:type="dxa"/>
            <w:vAlign w:val="center"/>
          </w:tcPr>
          <w:p w14:paraId="018D6AC8" w14:textId="77777777" w:rsidR="008C0885" w:rsidRPr="00313596" w:rsidRDefault="008C0885" w:rsidP="000C6174">
            <w:pPr>
              <w:spacing w:before="60" w:after="60"/>
              <w:rPr>
                <w:rFonts w:ascii="Arial" w:hAnsi="Arial" w:cs="Arial"/>
                <w:b/>
                <w:sz w:val="22"/>
                <w:szCs w:val="22"/>
              </w:rPr>
            </w:pPr>
            <w:r w:rsidRPr="00313596">
              <w:rPr>
                <w:rFonts w:ascii="Arial" w:hAnsi="Arial" w:cs="Arial"/>
                <w:sz w:val="22"/>
                <w:szCs w:val="22"/>
              </w:rPr>
              <w:t>Total del Pasivo (TP)</w:t>
            </w:r>
          </w:p>
        </w:tc>
        <w:tc>
          <w:tcPr>
            <w:tcW w:w="1170" w:type="dxa"/>
          </w:tcPr>
          <w:p w14:paraId="29463A1F" w14:textId="77777777" w:rsidR="008C0885" w:rsidRPr="00313596" w:rsidRDefault="008C0885" w:rsidP="000C6174">
            <w:pPr>
              <w:spacing w:before="60" w:after="60"/>
              <w:rPr>
                <w:rFonts w:ascii="Arial" w:hAnsi="Arial" w:cs="Arial"/>
                <w:sz w:val="22"/>
                <w:szCs w:val="22"/>
              </w:rPr>
            </w:pPr>
          </w:p>
        </w:tc>
        <w:tc>
          <w:tcPr>
            <w:tcW w:w="990" w:type="dxa"/>
          </w:tcPr>
          <w:p w14:paraId="06308B56" w14:textId="77777777" w:rsidR="008C0885" w:rsidRPr="00313596" w:rsidRDefault="008C0885" w:rsidP="000C6174">
            <w:pPr>
              <w:spacing w:before="60" w:after="60"/>
              <w:rPr>
                <w:rFonts w:ascii="Arial" w:hAnsi="Arial" w:cs="Arial"/>
                <w:sz w:val="22"/>
                <w:szCs w:val="22"/>
              </w:rPr>
            </w:pPr>
          </w:p>
        </w:tc>
        <w:tc>
          <w:tcPr>
            <w:tcW w:w="1080" w:type="dxa"/>
          </w:tcPr>
          <w:p w14:paraId="0F5E1994" w14:textId="77777777" w:rsidR="008C0885" w:rsidRPr="00313596" w:rsidRDefault="008C0885" w:rsidP="000C6174">
            <w:pPr>
              <w:spacing w:before="60" w:after="60"/>
              <w:rPr>
                <w:rFonts w:ascii="Arial" w:hAnsi="Arial" w:cs="Arial"/>
                <w:sz w:val="22"/>
                <w:szCs w:val="22"/>
              </w:rPr>
            </w:pPr>
          </w:p>
        </w:tc>
        <w:tc>
          <w:tcPr>
            <w:tcW w:w="1080" w:type="dxa"/>
          </w:tcPr>
          <w:p w14:paraId="28080EDB" w14:textId="77777777" w:rsidR="008C0885" w:rsidRPr="00313596" w:rsidRDefault="008C0885" w:rsidP="000C6174">
            <w:pPr>
              <w:spacing w:before="60" w:after="60"/>
              <w:rPr>
                <w:rFonts w:ascii="Arial" w:hAnsi="Arial" w:cs="Arial"/>
                <w:sz w:val="22"/>
                <w:szCs w:val="22"/>
              </w:rPr>
            </w:pPr>
          </w:p>
        </w:tc>
        <w:tc>
          <w:tcPr>
            <w:tcW w:w="900" w:type="dxa"/>
          </w:tcPr>
          <w:p w14:paraId="582EBFB6" w14:textId="77777777" w:rsidR="008C0885" w:rsidRPr="00313596" w:rsidRDefault="008C0885" w:rsidP="000C6174">
            <w:pPr>
              <w:spacing w:before="60" w:after="60"/>
              <w:rPr>
                <w:rFonts w:ascii="Arial" w:hAnsi="Arial" w:cs="Arial"/>
                <w:sz w:val="22"/>
                <w:szCs w:val="22"/>
              </w:rPr>
            </w:pPr>
          </w:p>
        </w:tc>
        <w:tc>
          <w:tcPr>
            <w:tcW w:w="1260" w:type="dxa"/>
          </w:tcPr>
          <w:p w14:paraId="147D8AA4" w14:textId="77777777" w:rsidR="008C0885" w:rsidRPr="00313596" w:rsidRDefault="008C0885" w:rsidP="000C6174">
            <w:pPr>
              <w:spacing w:before="60" w:after="60"/>
              <w:rPr>
                <w:rFonts w:ascii="Arial" w:hAnsi="Arial" w:cs="Arial"/>
                <w:sz w:val="22"/>
                <w:szCs w:val="22"/>
              </w:rPr>
            </w:pPr>
          </w:p>
        </w:tc>
      </w:tr>
      <w:tr w:rsidR="008C0885" w:rsidRPr="00313596" w14:paraId="29C2AA23" w14:textId="77777777" w:rsidTr="003D50ED">
        <w:trPr>
          <w:cantSplit/>
        </w:trPr>
        <w:tc>
          <w:tcPr>
            <w:tcW w:w="2880" w:type="dxa"/>
            <w:vAlign w:val="center"/>
          </w:tcPr>
          <w:p w14:paraId="3B0A3618" w14:textId="77777777" w:rsidR="008C0885" w:rsidRPr="00313596" w:rsidRDefault="008C0885" w:rsidP="000C6174">
            <w:pPr>
              <w:spacing w:before="60" w:after="60"/>
              <w:rPr>
                <w:rFonts w:ascii="Arial" w:hAnsi="Arial" w:cs="Arial"/>
                <w:b/>
                <w:sz w:val="22"/>
                <w:szCs w:val="22"/>
              </w:rPr>
            </w:pPr>
            <w:r w:rsidRPr="00313596">
              <w:rPr>
                <w:rFonts w:ascii="Arial" w:hAnsi="Arial" w:cs="Arial"/>
                <w:sz w:val="22"/>
                <w:szCs w:val="22"/>
              </w:rPr>
              <w:t>Patrimonio Neto (PN)</w:t>
            </w:r>
          </w:p>
        </w:tc>
        <w:tc>
          <w:tcPr>
            <w:tcW w:w="1170" w:type="dxa"/>
          </w:tcPr>
          <w:p w14:paraId="11CA1A3A" w14:textId="77777777" w:rsidR="008C0885" w:rsidRPr="00313596" w:rsidRDefault="008C0885" w:rsidP="000C6174">
            <w:pPr>
              <w:spacing w:before="60" w:after="60"/>
              <w:rPr>
                <w:rFonts w:ascii="Arial" w:hAnsi="Arial" w:cs="Arial"/>
                <w:sz w:val="22"/>
                <w:szCs w:val="22"/>
              </w:rPr>
            </w:pPr>
          </w:p>
        </w:tc>
        <w:tc>
          <w:tcPr>
            <w:tcW w:w="990" w:type="dxa"/>
          </w:tcPr>
          <w:p w14:paraId="115CDEF1" w14:textId="77777777" w:rsidR="008C0885" w:rsidRPr="00313596" w:rsidRDefault="008C0885" w:rsidP="000C6174">
            <w:pPr>
              <w:spacing w:before="60" w:after="60"/>
              <w:rPr>
                <w:rFonts w:ascii="Arial" w:hAnsi="Arial" w:cs="Arial"/>
                <w:sz w:val="22"/>
                <w:szCs w:val="22"/>
              </w:rPr>
            </w:pPr>
          </w:p>
        </w:tc>
        <w:tc>
          <w:tcPr>
            <w:tcW w:w="1080" w:type="dxa"/>
          </w:tcPr>
          <w:p w14:paraId="32E17C0C" w14:textId="77777777" w:rsidR="008C0885" w:rsidRPr="00313596" w:rsidRDefault="008C0885" w:rsidP="000C6174">
            <w:pPr>
              <w:spacing w:before="60" w:after="60"/>
              <w:rPr>
                <w:rFonts w:ascii="Arial" w:hAnsi="Arial" w:cs="Arial"/>
                <w:sz w:val="22"/>
                <w:szCs w:val="22"/>
              </w:rPr>
            </w:pPr>
          </w:p>
        </w:tc>
        <w:tc>
          <w:tcPr>
            <w:tcW w:w="1080" w:type="dxa"/>
          </w:tcPr>
          <w:p w14:paraId="0F60B08E" w14:textId="77777777" w:rsidR="008C0885" w:rsidRPr="00313596" w:rsidRDefault="008C0885" w:rsidP="000C6174">
            <w:pPr>
              <w:spacing w:before="60" w:after="60"/>
              <w:rPr>
                <w:rFonts w:ascii="Arial" w:hAnsi="Arial" w:cs="Arial"/>
                <w:sz w:val="22"/>
                <w:szCs w:val="22"/>
              </w:rPr>
            </w:pPr>
          </w:p>
        </w:tc>
        <w:tc>
          <w:tcPr>
            <w:tcW w:w="900" w:type="dxa"/>
          </w:tcPr>
          <w:p w14:paraId="0B61E30C" w14:textId="77777777" w:rsidR="008C0885" w:rsidRPr="00313596" w:rsidRDefault="008C0885" w:rsidP="000C6174">
            <w:pPr>
              <w:spacing w:before="60" w:after="60"/>
              <w:rPr>
                <w:rFonts w:ascii="Arial" w:hAnsi="Arial" w:cs="Arial"/>
                <w:sz w:val="22"/>
                <w:szCs w:val="22"/>
              </w:rPr>
            </w:pPr>
          </w:p>
        </w:tc>
        <w:tc>
          <w:tcPr>
            <w:tcW w:w="1260" w:type="dxa"/>
          </w:tcPr>
          <w:p w14:paraId="45500452" w14:textId="77777777" w:rsidR="008C0885" w:rsidRPr="00313596" w:rsidRDefault="008C0885" w:rsidP="000C6174">
            <w:pPr>
              <w:spacing w:before="60" w:after="60"/>
              <w:rPr>
                <w:rFonts w:ascii="Arial" w:hAnsi="Arial" w:cs="Arial"/>
                <w:sz w:val="22"/>
                <w:szCs w:val="22"/>
              </w:rPr>
            </w:pPr>
          </w:p>
        </w:tc>
      </w:tr>
      <w:tr w:rsidR="008C0885" w:rsidRPr="00313596" w14:paraId="1F97881D" w14:textId="77777777" w:rsidTr="003D50ED">
        <w:trPr>
          <w:cantSplit/>
        </w:trPr>
        <w:tc>
          <w:tcPr>
            <w:tcW w:w="2880" w:type="dxa"/>
            <w:vAlign w:val="center"/>
          </w:tcPr>
          <w:p w14:paraId="2C05CD38" w14:textId="77777777" w:rsidR="008C0885" w:rsidRPr="00313596" w:rsidRDefault="008C0885" w:rsidP="000C6174">
            <w:pPr>
              <w:spacing w:before="60" w:after="60"/>
              <w:rPr>
                <w:rFonts w:ascii="Arial" w:hAnsi="Arial" w:cs="Arial"/>
                <w:b/>
                <w:sz w:val="22"/>
                <w:szCs w:val="22"/>
              </w:rPr>
            </w:pPr>
            <w:r w:rsidRPr="00313596">
              <w:rPr>
                <w:rFonts w:ascii="Arial" w:hAnsi="Arial" w:cs="Arial"/>
                <w:sz w:val="22"/>
                <w:szCs w:val="22"/>
              </w:rPr>
              <w:t>Activo a corto plazo (AC)</w:t>
            </w:r>
          </w:p>
        </w:tc>
        <w:tc>
          <w:tcPr>
            <w:tcW w:w="1170" w:type="dxa"/>
          </w:tcPr>
          <w:p w14:paraId="759EA246" w14:textId="77777777" w:rsidR="008C0885" w:rsidRPr="00313596" w:rsidRDefault="008C0885" w:rsidP="000C6174">
            <w:pPr>
              <w:spacing w:before="60" w:after="60"/>
              <w:rPr>
                <w:rFonts w:ascii="Arial" w:hAnsi="Arial" w:cs="Arial"/>
                <w:sz w:val="22"/>
                <w:szCs w:val="22"/>
              </w:rPr>
            </w:pPr>
          </w:p>
        </w:tc>
        <w:tc>
          <w:tcPr>
            <w:tcW w:w="990" w:type="dxa"/>
          </w:tcPr>
          <w:p w14:paraId="61C45BD4" w14:textId="77777777" w:rsidR="008C0885" w:rsidRPr="00313596" w:rsidRDefault="008C0885" w:rsidP="000C6174">
            <w:pPr>
              <w:spacing w:before="60" w:after="60"/>
              <w:rPr>
                <w:rFonts w:ascii="Arial" w:hAnsi="Arial" w:cs="Arial"/>
                <w:sz w:val="22"/>
                <w:szCs w:val="22"/>
              </w:rPr>
            </w:pPr>
          </w:p>
        </w:tc>
        <w:tc>
          <w:tcPr>
            <w:tcW w:w="1080" w:type="dxa"/>
          </w:tcPr>
          <w:p w14:paraId="4503AC5B" w14:textId="77777777" w:rsidR="008C0885" w:rsidRPr="00313596" w:rsidRDefault="008C0885" w:rsidP="000C6174">
            <w:pPr>
              <w:spacing w:before="60" w:after="60"/>
              <w:rPr>
                <w:rFonts w:ascii="Arial" w:hAnsi="Arial" w:cs="Arial"/>
                <w:sz w:val="22"/>
                <w:szCs w:val="22"/>
              </w:rPr>
            </w:pPr>
          </w:p>
        </w:tc>
        <w:tc>
          <w:tcPr>
            <w:tcW w:w="1080" w:type="dxa"/>
          </w:tcPr>
          <w:p w14:paraId="38F7FED1" w14:textId="77777777" w:rsidR="008C0885" w:rsidRPr="00313596" w:rsidRDefault="008C0885" w:rsidP="000C6174">
            <w:pPr>
              <w:spacing w:before="60" w:after="60"/>
              <w:rPr>
                <w:rFonts w:ascii="Arial" w:hAnsi="Arial" w:cs="Arial"/>
                <w:sz w:val="22"/>
                <w:szCs w:val="22"/>
              </w:rPr>
            </w:pPr>
          </w:p>
        </w:tc>
        <w:tc>
          <w:tcPr>
            <w:tcW w:w="900" w:type="dxa"/>
          </w:tcPr>
          <w:p w14:paraId="1CF77703" w14:textId="77777777" w:rsidR="008C0885" w:rsidRPr="00313596" w:rsidRDefault="008C0885" w:rsidP="000C6174">
            <w:pPr>
              <w:spacing w:before="60" w:after="60"/>
              <w:rPr>
                <w:rFonts w:ascii="Arial" w:hAnsi="Arial" w:cs="Arial"/>
                <w:sz w:val="22"/>
                <w:szCs w:val="22"/>
              </w:rPr>
            </w:pPr>
          </w:p>
        </w:tc>
        <w:tc>
          <w:tcPr>
            <w:tcW w:w="1260" w:type="dxa"/>
          </w:tcPr>
          <w:p w14:paraId="5C9D74D2" w14:textId="77777777" w:rsidR="008C0885" w:rsidRPr="00313596" w:rsidRDefault="008C0885" w:rsidP="000C6174">
            <w:pPr>
              <w:spacing w:before="60" w:after="60"/>
              <w:rPr>
                <w:rFonts w:ascii="Arial" w:hAnsi="Arial" w:cs="Arial"/>
                <w:sz w:val="22"/>
                <w:szCs w:val="22"/>
              </w:rPr>
            </w:pPr>
          </w:p>
        </w:tc>
      </w:tr>
      <w:tr w:rsidR="008C0885" w:rsidRPr="00313596" w14:paraId="5C152A70" w14:textId="77777777" w:rsidTr="003D50ED">
        <w:trPr>
          <w:cantSplit/>
        </w:trPr>
        <w:tc>
          <w:tcPr>
            <w:tcW w:w="2880" w:type="dxa"/>
            <w:vAlign w:val="center"/>
          </w:tcPr>
          <w:p w14:paraId="134D82A0" w14:textId="77777777" w:rsidR="008C0885" w:rsidRPr="00313596" w:rsidRDefault="008C0885" w:rsidP="000C6174">
            <w:pPr>
              <w:spacing w:before="60" w:after="60"/>
              <w:rPr>
                <w:rFonts w:ascii="Arial" w:hAnsi="Arial" w:cs="Arial"/>
                <w:b/>
                <w:sz w:val="22"/>
                <w:szCs w:val="22"/>
              </w:rPr>
            </w:pPr>
            <w:r w:rsidRPr="00313596">
              <w:rPr>
                <w:rFonts w:ascii="Arial" w:hAnsi="Arial" w:cs="Arial"/>
                <w:sz w:val="22"/>
                <w:szCs w:val="22"/>
              </w:rPr>
              <w:t>Pasivo a corto plazo (PC)</w:t>
            </w:r>
          </w:p>
        </w:tc>
        <w:tc>
          <w:tcPr>
            <w:tcW w:w="1170" w:type="dxa"/>
          </w:tcPr>
          <w:p w14:paraId="1F98EF8C" w14:textId="77777777" w:rsidR="008C0885" w:rsidRPr="00313596" w:rsidRDefault="008C0885" w:rsidP="000C6174">
            <w:pPr>
              <w:spacing w:before="60" w:after="60"/>
              <w:rPr>
                <w:rFonts w:ascii="Arial" w:hAnsi="Arial" w:cs="Arial"/>
                <w:sz w:val="22"/>
                <w:szCs w:val="22"/>
              </w:rPr>
            </w:pPr>
          </w:p>
        </w:tc>
        <w:tc>
          <w:tcPr>
            <w:tcW w:w="990" w:type="dxa"/>
          </w:tcPr>
          <w:p w14:paraId="492A82E9" w14:textId="77777777" w:rsidR="008C0885" w:rsidRPr="00313596" w:rsidRDefault="008C0885" w:rsidP="000C6174">
            <w:pPr>
              <w:spacing w:before="60" w:after="60"/>
              <w:rPr>
                <w:rFonts w:ascii="Arial" w:hAnsi="Arial" w:cs="Arial"/>
                <w:sz w:val="22"/>
                <w:szCs w:val="22"/>
              </w:rPr>
            </w:pPr>
          </w:p>
        </w:tc>
        <w:tc>
          <w:tcPr>
            <w:tcW w:w="1080" w:type="dxa"/>
          </w:tcPr>
          <w:p w14:paraId="7EECEF32" w14:textId="77777777" w:rsidR="008C0885" w:rsidRPr="00313596" w:rsidRDefault="008C0885" w:rsidP="000C6174">
            <w:pPr>
              <w:spacing w:before="60" w:after="60"/>
              <w:rPr>
                <w:rFonts w:ascii="Arial" w:hAnsi="Arial" w:cs="Arial"/>
                <w:sz w:val="22"/>
                <w:szCs w:val="22"/>
              </w:rPr>
            </w:pPr>
          </w:p>
        </w:tc>
        <w:tc>
          <w:tcPr>
            <w:tcW w:w="1080" w:type="dxa"/>
          </w:tcPr>
          <w:p w14:paraId="62A14719" w14:textId="77777777" w:rsidR="008C0885" w:rsidRPr="00313596" w:rsidRDefault="008C0885" w:rsidP="000C6174">
            <w:pPr>
              <w:spacing w:before="60" w:after="60"/>
              <w:rPr>
                <w:rFonts w:ascii="Arial" w:hAnsi="Arial" w:cs="Arial"/>
                <w:sz w:val="22"/>
                <w:szCs w:val="22"/>
              </w:rPr>
            </w:pPr>
          </w:p>
        </w:tc>
        <w:tc>
          <w:tcPr>
            <w:tcW w:w="900" w:type="dxa"/>
          </w:tcPr>
          <w:p w14:paraId="603186B0" w14:textId="77777777" w:rsidR="008C0885" w:rsidRPr="00313596" w:rsidRDefault="008C0885" w:rsidP="000C6174">
            <w:pPr>
              <w:spacing w:before="60" w:after="60"/>
              <w:rPr>
                <w:rFonts w:ascii="Arial" w:hAnsi="Arial" w:cs="Arial"/>
                <w:sz w:val="22"/>
                <w:szCs w:val="22"/>
              </w:rPr>
            </w:pPr>
          </w:p>
        </w:tc>
        <w:tc>
          <w:tcPr>
            <w:tcW w:w="1260" w:type="dxa"/>
          </w:tcPr>
          <w:p w14:paraId="6708EA66" w14:textId="77777777" w:rsidR="008C0885" w:rsidRPr="00313596" w:rsidRDefault="008C0885" w:rsidP="000C6174">
            <w:pPr>
              <w:spacing w:before="60" w:after="60"/>
              <w:rPr>
                <w:rFonts w:ascii="Arial" w:hAnsi="Arial" w:cs="Arial"/>
                <w:sz w:val="22"/>
                <w:szCs w:val="22"/>
              </w:rPr>
            </w:pPr>
          </w:p>
        </w:tc>
      </w:tr>
    </w:tbl>
    <w:p w14:paraId="3309ED4B" w14:textId="77777777" w:rsidR="00711338" w:rsidRDefault="00711338" w:rsidP="00711338">
      <w:pPr>
        <w:tabs>
          <w:tab w:val="left" w:pos="1042"/>
        </w:tabs>
        <w:spacing w:before="100" w:after="100"/>
        <w:ind w:right="74"/>
        <w:rPr>
          <w:rFonts w:ascii="Arial" w:hAnsi="Arial" w:cs="Arial"/>
          <w:sz w:val="22"/>
          <w:szCs w:val="22"/>
        </w:rPr>
      </w:pPr>
      <w:r>
        <w:rPr>
          <w:rFonts w:ascii="Arial" w:hAnsi="Arial" w:cs="Arial"/>
          <w:sz w:val="22"/>
          <w:szCs w:val="22"/>
        </w:rPr>
        <w:t>Se deberán anexar copias de los Estados Financieros:</w:t>
      </w:r>
    </w:p>
    <w:p w14:paraId="1EE13196" w14:textId="77777777" w:rsidR="00711338" w:rsidRPr="00210A35" w:rsidRDefault="00711338" w:rsidP="003B68DB">
      <w:pPr>
        <w:pStyle w:val="Prrafodelista"/>
        <w:numPr>
          <w:ilvl w:val="0"/>
          <w:numId w:val="116"/>
        </w:numPr>
        <w:tabs>
          <w:tab w:val="left" w:pos="1042"/>
        </w:tabs>
        <w:spacing w:before="100" w:after="100"/>
        <w:ind w:right="74"/>
        <w:rPr>
          <w:rFonts w:ascii="Arial" w:hAnsi="Arial" w:cs="Arial"/>
          <w:sz w:val="22"/>
          <w:szCs w:val="22"/>
          <w:lang w:val="es-HN"/>
        </w:rPr>
      </w:pPr>
      <w:r w:rsidRPr="00E52C32">
        <w:rPr>
          <w:rFonts w:ascii="Arial" w:hAnsi="Arial" w:cs="Arial"/>
          <w:sz w:val="22"/>
          <w:szCs w:val="22"/>
        </w:rPr>
        <w:t xml:space="preserve">Balances General, Estado de Resultado y flujos de Efectivo (Incluidas todas las notas relacionadas con estos en cada período, del oferente representante del consorcio y de cada uno de los miembros integrantes del mismo correspondientes a los periodos </w:t>
      </w:r>
      <w:r w:rsidRPr="00210A35">
        <w:rPr>
          <w:rFonts w:ascii="Arial" w:hAnsi="Arial" w:cs="Arial"/>
          <w:sz w:val="22"/>
          <w:szCs w:val="22"/>
        </w:rPr>
        <w:t>contables requeridos, los cuales cumplen con las siguientes condiciones:</w:t>
      </w:r>
    </w:p>
    <w:p w14:paraId="40380B14"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210A35">
        <w:rPr>
          <w:rFonts w:ascii="Arial" w:hAnsi="Arial" w:cs="Arial"/>
          <w:sz w:val="22"/>
          <w:szCs w:val="22"/>
        </w:rPr>
        <w:t>Deben estar auditados, por auditores independientes autorizados (Deberán anexar copia de la Autorización del Ministerio de Educación para el Ejercicio de la profesión Contable independiente debidamente actualizado para el último quinquenio y Certificado del Colegio de Contadores Públicos de Nicaragua. Es importante aclarar que</w:t>
      </w:r>
      <w:r w:rsidRPr="00E52C32">
        <w:rPr>
          <w:rFonts w:ascii="Arial" w:hAnsi="Arial" w:cs="Arial"/>
          <w:sz w:val="22"/>
          <w:szCs w:val="22"/>
        </w:rPr>
        <w:t xml:space="preserve"> no se aceptarán Certificaciones de Estados Financieros.</w:t>
      </w:r>
    </w:p>
    <w:p w14:paraId="410DD1F6"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E52C32">
        <w:rPr>
          <w:rFonts w:ascii="Arial" w:hAnsi="Arial" w:cs="Arial"/>
          <w:sz w:val="22"/>
          <w:szCs w:val="22"/>
        </w:rPr>
        <w:t xml:space="preserve">Deben ser presentados por períodos completos/ del 01 enero al 31 de diciembre, (Conteniendo las respectivas firmas de elaborado, revisado por el Contador General y autorizado por Director Financiero y/o Superior autorizado y con sus sellos respectivos). </w:t>
      </w:r>
    </w:p>
    <w:p w14:paraId="4A3CA016"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E52C32">
        <w:rPr>
          <w:rFonts w:ascii="Arial" w:hAnsi="Arial" w:cs="Arial"/>
          <w:sz w:val="22"/>
          <w:szCs w:val="22"/>
        </w:rPr>
        <w:t>Deben corresponder a períodos contables ya concluidos y auditados (No se aceptarán Estados Financieros de períodos parciales).</w:t>
      </w:r>
    </w:p>
    <w:p w14:paraId="12D63E0B"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E52C32">
        <w:rPr>
          <w:rFonts w:ascii="Arial" w:hAnsi="Arial" w:cs="Arial"/>
          <w:sz w:val="22"/>
          <w:szCs w:val="22"/>
        </w:rPr>
        <w:t xml:space="preserve">Los Estados financieros de cada oferente deben ser presentados junto a cada informe de auditoría. Los informes deben estar debidamente firmados y sellados por el auditor o firma de auditores independientes. </w:t>
      </w:r>
    </w:p>
    <w:p w14:paraId="4016DB80"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E52C32">
        <w:rPr>
          <w:rFonts w:ascii="Arial" w:hAnsi="Arial" w:cs="Arial"/>
          <w:sz w:val="22"/>
          <w:szCs w:val="22"/>
        </w:rPr>
        <w:t xml:space="preserve">Cuando los Estados Financieros son presentados en una moneda diferente a la moneda de curso legal de Nicaragua, éstos deberán ser presentados de forma separada convertidos US $ dólares de los Estados Unidos de Norte América, donde deberán </w:t>
      </w:r>
      <w:r w:rsidRPr="00E52C32">
        <w:rPr>
          <w:rFonts w:ascii="Arial" w:hAnsi="Arial" w:cs="Arial"/>
          <w:sz w:val="22"/>
          <w:szCs w:val="22"/>
        </w:rPr>
        <w:lastRenderedPageBreak/>
        <w:t>detallar en Notas adjuntas los tipos de cambio usados para la conversión de la moneda en cada período.</w:t>
      </w:r>
    </w:p>
    <w:p w14:paraId="47EF9D7C"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E52C32">
        <w:rPr>
          <w:rFonts w:ascii="Arial" w:hAnsi="Arial" w:cs="Arial"/>
          <w:sz w:val="22"/>
          <w:szCs w:val="22"/>
        </w:rPr>
        <w:t xml:space="preserve">Las cifras correspondientes a cada uno de los Estados Financieros y/o soportes adicionales integrantes de un consorcio se sumarán afín de determinar si el oferente cumple con los requisitos correspondientes en cada uno de los integrantes de un consorcio y la empresa líder del consorcio debe cumplir con el 51% (cincuenta y uno por ciento) de ellos. </w:t>
      </w:r>
    </w:p>
    <w:p w14:paraId="4E796BAC" w14:textId="77777777" w:rsidR="00711338" w:rsidRPr="00E52C32" w:rsidRDefault="00711338" w:rsidP="003B68DB">
      <w:pPr>
        <w:pStyle w:val="Prrafodelista"/>
        <w:numPr>
          <w:ilvl w:val="0"/>
          <w:numId w:val="116"/>
        </w:numPr>
        <w:suppressAutoHyphens/>
        <w:spacing w:before="60" w:after="60"/>
        <w:rPr>
          <w:rFonts w:ascii="Arial" w:hAnsi="Arial" w:cs="Arial"/>
          <w:sz w:val="22"/>
          <w:szCs w:val="22"/>
        </w:rPr>
      </w:pPr>
      <w:r w:rsidRPr="00E52C32">
        <w:rPr>
          <w:rFonts w:ascii="Arial" w:hAnsi="Arial" w:cs="Arial"/>
          <w:sz w:val="22"/>
          <w:szCs w:val="22"/>
        </w:rPr>
        <w:t xml:space="preserve">Ante cualquier discrepancia entre la información presentada en el formulario y los Estado Financieros auditados prevalecerán los Estados Financieros Auditados.        </w:t>
      </w:r>
    </w:p>
    <w:p w14:paraId="23248638" w14:textId="77777777" w:rsidR="008C0885" w:rsidRPr="00313596" w:rsidRDefault="008C0885" w:rsidP="000C6174">
      <w:pPr>
        <w:jc w:val="center"/>
        <w:rPr>
          <w:rFonts w:ascii="Arial" w:hAnsi="Arial" w:cs="Arial"/>
          <w:b/>
          <w:sz w:val="22"/>
          <w:szCs w:val="22"/>
        </w:rPr>
      </w:pPr>
    </w:p>
    <w:p w14:paraId="4B3DD8ED" w14:textId="77777777" w:rsidR="008C0885" w:rsidRPr="00313596" w:rsidRDefault="008C0885" w:rsidP="000C6174">
      <w:pPr>
        <w:jc w:val="center"/>
        <w:rPr>
          <w:rFonts w:ascii="Arial" w:hAnsi="Arial" w:cs="Arial"/>
          <w:b/>
          <w:sz w:val="22"/>
          <w:szCs w:val="22"/>
        </w:rPr>
      </w:pPr>
    </w:p>
    <w:p w14:paraId="1EB7D9FC" w14:textId="77777777" w:rsidR="008C0885" w:rsidRPr="00313596" w:rsidRDefault="008C0885" w:rsidP="000C6174">
      <w:pPr>
        <w:jc w:val="center"/>
        <w:rPr>
          <w:rFonts w:ascii="Arial" w:hAnsi="Arial" w:cs="Arial"/>
          <w:b/>
          <w:sz w:val="22"/>
          <w:szCs w:val="22"/>
        </w:rPr>
      </w:pPr>
    </w:p>
    <w:p w14:paraId="0E3262E1" w14:textId="77777777" w:rsidR="008C0885" w:rsidRPr="00313596" w:rsidRDefault="008C0885">
      <w:pPr>
        <w:jc w:val="left"/>
        <w:rPr>
          <w:rFonts w:ascii="Arial" w:hAnsi="Arial" w:cs="Arial"/>
          <w:b/>
          <w:sz w:val="22"/>
          <w:szCs w:val="22"/>
          <w:lang w:val="es-HN"/>
        </w:rPr>
      </w:pPr>
      <w:r w:rsidRPr="00313596">
        <w:rPr>
          <w:rFonts w:ascii="Arial" w:hAnsi="Arial" w:cs="Arial"/>
          <w:b/>
          <w:sz w:val="22"/>
          <w:szCs w:val="22"/>
          <w:lang w:val="es-HN"/>
        </w:rPr>
        <w:br w:type="page"/>
      </w:r>
    </w:p>
    <w:p w14:paraId="3E080C68"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313596">
        <w:rPr>
          <w:rFonts w:ascii="Arial" w:hAnsi="Arial" w:cs="Arial"/>
          <w:b/>
          <w:sz w:val="22"/>
          <w:szCs w:val="22"/>
          <w:lang w:val="es-HN"/>
        </w:rPr>
        <w:lastRenderedPageBreak/>
        <w:t>FORMULARIO FIN-2</w:t>
      </w:r>
    </w:p>
    <w:p w14:paraId="55D0D43C" w14:textId="77777777" w:rsidR="008C0885" w:rsidRPr="00313596" w:rsidRDefault="008C0885" w:rsidP="000C6174">
      <w:pPr>
        <w:ind w:left="3240" w:right="-720" w:hanging="3240"/>
        <w:rPr>
          <w:rFonts w:ascii="Arial" w:hAnsi="Arial" w:cs="Arial"/>
          <w:b/>
          <w:sz w:val="22"/>
          <w:szCs w:val="22"/>
        </w:rPr>
      </w:pPr>
    </w:p>
    <w:p w14:paraId="476AF59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rPr>
      </w:pPr>
      <w:r w:rsidRPr="00313596">
        <w:rPr>
          <w:rFonts w:ascii="Arial" w:hAnsi="Arial" w:cs="Arial"/>
          <w:b/>
          <w:sz w:val="22"/>
          <w:szCs w:val="22"/>
        </w:rPr>
        <w:t xml:space="preserve">Antecedentes de contratación </w:t>
      </w:r>
    </w:p>
    <w:p w14:paraId="6D5B6123" w14:textId="77777777" w:rsidR="008C0885" w:rsidRPr="00313596" w:rsidRDefault="008C0885" w:rsidP="000C6174">
      <w:pPr>
        <w:ind w:left="3240" w:right="-720" w:hanging="3240"/>
        <w:rPr>
          <w:rFonts w:ascii="Arial" w:hAnsi="Arial" w:cs="Arial"/>
          <w:b/>
          <w:sz w:val="22"/>
          <w:szCs w:val="22"/>
        </w:rPr>
      </w:pPr>
    </w:p>
    <w:p w14:paraId="65AA7506" w14:textId="77777777" w:rsidR="008C0885" w:rsidRPr="00313596" w:rsidRDefault="008C0885" w:rsidP="000C6174">
      <w:pPr>
        <w:jc w:val="center"/>
        <w:rPr>
          <w:rFonts w:ascii="Arial" w:hAnsi="Arial" w:cs="Arial"/>
          <w:b/>
          <w:sz w:val="22"/>
          <w:szCs w:val="22"/>
        </w:rPr>
      </w:pPr>
      <w:r w:rsidRPr="00313596">
        <w:rPr>
          <w:rFonts w:ascii="Arial" w:hAnsi="Arial" w:cs="Arial"/>
          <w:b/>
          <w:sz w:val="22"/>
          <w:szCs w:val="22"/>
        </w:rPr>
        <w:t xml:space="preserve">Información a ser completada por el oferente y cada miembro de la APCA  </w:t>
      </w:r>
    </w:p>
    <w:p w14:paraId="57584404" w14:textId="77777777" w:rsidR="008C0885" w:rsidRPr="00313596" w:rsidRDefault="008C0885" w:rsidP="000C6174">
      <w:pPr>
        <w:rPr>
          <w:rFonts w:ascii="Arial" w:hAnsi="Arial" w:cs="Arial"/>
          <w:sz w:val="22"/>
          <w:szCs w:val="22"/>
        </w:rPr>
      </w:pPr>
    </w:p>
    <w:p w14:paraId="70362950" w14:textId="77777777" w:rsidR="008C0885" w:rsidRPr="00313596" w:rsidRDefault="008C0885" w:rsidP="003575F5">
      <w:pPr>
        <w:tabs>
          <w:tab w:val="right" w:pos="9630"/>
        </w:tabs>
        <w:ind w:right="162"/>
        <w:jc w:val="center"/>
        <w:rPr>
          <w:rFonts w:ascii="Arial" w:hAnsi="Arial" w:cs="Arial"/>
          <w:sz w:val="22"/>
          <w:szCs w:val="22"/>
        </w:rPr>
      </w:pPr>
      <w:r w:rsidRPr="00313596">
        <w:rPr>
          <w:rFonts w:ascii="Arial" w:hAnsi="Arial" w:cs="Arial"/>
          <w:sz w:val="22"/>
          <w:szCs w:val="22"/>
        </w:rPr>
        <w:t>Nombre legal del oferente</w:t>
      </w:r>
      <w:r w:rsidRPr="00313596">
        <w:rPr>
          <w:rFonts w:ascii="Arial" w:hAnsi="Arial" w:cs="Arial"/>
          <w:i/>
          <w:sz w:val="22"/>
          <w:szCs w:val="22"/>
        </w:rPr>
        <w:t xml:space="preserve">: </w:t>
      </w:r>
      <w:r w:rsidRPr="00313596">
        <w:rPr>
          <w:rFonts w:ascii="Arial" w:hAnsi="Arial" w:cs="Arial"/>
          <w:i/>
          <w:color w:val="FF0000"/>
          <w:sz w:val="22"/>
          <w:szCs w:val="22"/>
        </w:rPr>
        <w:t>(indicar nombre completo)</w:t>
      </w:r>
      <w:r w:rsidRPr="00313596">
        <w:rPr>
          <w:rFonts w:ascii="Arial" w:hAnsi="Arial" w:cs="Arial"/>
          <w:sz w:val="22"/>
          <w:szCs w:val="22"/>
        </w:rPr>
        <w:tab/>
        <w:t xml:space="preserve">Fecha: </w:t>
      </w:r>
      <w:r w:rsidRPr="00313596">
        <w:rPr>
          <w:rFonts w:ascii="Arial" w:hAnsi="Arial" w:cs="Arial"/>
          <w:i/>
          <w:color w:val="FF0000"/>
          <w:sz w:val="22"/>
          <w:szCs w:val="22"/>
        </w:rPr>
        <w:t>(indicar día, mes y año)</w:t>
      </w:r>
    </w:p>
    <w:p w14:paraId="68DBD66D" w14:textId="77777777" w:rsidR="008C0885" w:rsidRPr="00313596" w:rsidRDefault="008C0885" w:rsidP="000C6174">
      <w:pPr>
        <w:tabs>
          <w:tab w:val="right" w:pos="9990"/>
        </w:tabs>
        <w:ind w:right="-18"/>
        <w:rPr>
          <w:rFonts w:ascii="Arial" w:hAnsi="Arial" w:cs="Arial"/>
          <w:i/>
          <w:sz w:val="22"/>
          <w:szCs w:val="22"/>
        </w:rPr>
      </w:pPr>
      <w:r w:rsidRPr="00313596">
        <w:rPr>
          <w:rFonts w:ascii="Arial" w:hAnsi="Arial" w:cs="Arial"/>
          <w:sz w:val="22"/>
          <w:szCs w:val="22"/>
        </w:rPr>
        <w:t xml:space="preserve">Nombre legal del miembro de la APCA: </w:t>
      </w:r>
      <w:r w:rsidRPr="00313596">
        <w:rPr>
          <w:rFonts w:ascii="Arial" w:hAnsi="Arial" w:cs="Arial"/>
          <w:i/>
          <w:color w:val="FF0000"/>
          <w:sz w:val="22"/>
          <w:szCs w:val="22"/>
        </w:rPr>
        <w:t xml:space="preserve">(indicar nombre completo) </w:t>
      </w:r>
    </w:p>
    <w:p w14:paraId="54BDF0E2" w14:textId="77777777" w:rsidR="008C0885" w:rsidRPr="00313596" w:rsidRDefault="008C0885" w:rsidP="000C6174">
      <w:pPr>
        <w:tabs>
          <w:tab w:val="right" w:pos="9990"/>
        </w:tabs>
        <w:ind w:right="-18"/>
        <w:rPr>
          <w:rFonts w:ascii="Arial" w:hAnsi="Arial" w:cs="Arial"/>
          <w:b/>
          <w:sz w:val="22"/>
          <w:szCs w:val="22"/>
        </w:rPr>
      </w:pPr>
    </w:p>
    <w:p w14:paraId="15CEED6A" w14:textId="77777777" w:rsidR="008C0885" w:rsidRPr="00313596" w:rsidRDefault="008C0885" w:rsidP="000C6174">
      <w:pPr>
        <w:rPr>
          <w:rFonts w:ascii="Arial" w:hAnsi="Arial" w:cs="Arial"/>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860"/>
        <w:gridCol w:w="3320"/>
      </w:tblGrid>
      <w:tr w:rsidR="008C0885" w:rsidRPr="00313596" w14:paraId="50D1EA1C" w14:textId="77777777" w:rsidTr="00272464">
        <w:trPr>
          <w:cantSplit/>
          <w:jc w:val="center"/>
        </w:trPr>
        <w:tc>
          <w:tcPr>
            <w:tcW w:w="5860" w:type="dxa"/>
            <w:shd w:val="clear" w:color="auto" w:fill="00B050"/>
          </w:tcPr>
          <w:p w14:paraId="3E76B0C8" w14:textId="77777777" w:rsidR="008C0885" w:rsidRPr="00272464" w:rsidRDefault="008C0885" w:rsidP="000C6174">
            <w:pPr>
              <w:pStyle w:val="Textoindependiente"/>
              <w:ind w:left="113"/>
              <w:jc w:val="center"/>
              <w:rPr>
                <w:rFonts w:ascii="Arial" w:hAnsi="Arial" w:cs="Arial"/>
                <w:b/>
                <w:color w:val="FFFFFF" w:themeColor="background1"/>
                <w:spacing w:val="0"/>
                <w:sz w:val="22"/>
                <w:szCs w:val="22"/>
              </w:rPr>
            </w:pPr>
            <w:r w:rsidRPr="00272464">
              <w:rPr>
                <w:rFonts w:ascii="Arial" w:hAnsi="Arial" w:cs="Arial"/>
                <w:b/>
                <w:color w:val="FFFFFF" w:themeColor="background1"/>
                <w:spacing w:val="0"/>
                <w:sz w:val="22"/>
                <w:szCs w:val="22"/>
              </w:rPr>
              <w:t>Año</w:t>
            </w:r>
          </w:p>
        </w:tc>
        <w:tc>
          <w:tcPr>
            <w:tcW w:w="3320" w:type="dxa"/>
            <w:shd w:val="clear" w:color="auto" w:fill="00B050"/>
          </w:tcPr>
          <w:p w14:paraId="6A68C81D" w14:textId="77777777" w:rsidR="008C0885" w:rsidRPr="00272464" w:rsidRDefault="008C0885" w:rsidP="000C6174">
            <w:pPr>
              <w:pStyle w:val="Textoindependiente"/>
              <w:ind w:left="113"/>
              <w:jc w:val="center"/>
              <w:rPr>
                <w:rFonts w:ascii="Arial" w:hAnsi="Arial" w:cs="Arial"/>
                <w:b/>
                <w:color w:val="FFFFFF" w:themeColor="background1"/>
                <w:spacing w:val="0"/>
                <w:sz w:val="22"/>
                <w:szCs w:val="22"/>
              </w:rPr>
            </w:pPr>
            <w:r w:rsidRPr="00272464">
              <w:rPr>
                <w:rFonts w:ascii="Arial" w:hAnsi="Arial" w:cs="Arial"/>
                <w:b/>
                <w:color w:val="FFFFFF" w:themeColor="background1"/>
                <w:spacing w:val="0"/>
                <w:sz w:val="22"/>
                <w:szCs w:val="22"/>
              </w:rPr>
              <w:t>Monto y Moneda</w:t>
            </w:r>
          </w:p>
        </w:tc>
      </w:tr>
      <w:tr w:rsidR="008C0885" w:rsidRPr="00313596" w14:paraId="0E9B4A0F" w14:textId="77777777" w:rsidTr="003575F5">
        <w:trPr>
          <w:cantSplit/>
          <w:trHeight w:val="332"/>
          <w:jc w:val="center"/>
        </w:trPr>
        <w:tc>
          <w:tcPr>
            <w:tcW w:w="5860" w:type="dxa"/>
          </w:tcPr>
          <w:p w14:paraId="200F0B64" w14:textId="77777777" w:rsidR="008C0885" w:rsidRPr="00313596" w:rsidRDefault="008C0885" w:rsidP="000C6174">
            <w:pPr>
              <w:pStyle w:val="Textoindependiente"/>
              <w:ind w:left="113"/>
              <w:rPr>
                <w:rFonts w:ascii="Arial" w:hAnsi="Arial" w:cs="Arial"/>
                <w:i/>
                <w:spacing w:val="0"/>
                <w:sz w:val="22"/>
                <w:szCs w:val="22"/>
              </w:rPr>
            </w:pPr>
            <w:r w:rsidRPr="00313596">
              <w:rPr>
                <w:rFonts w:ascii="Arial" w:hAnsi="Arial" w:cs="Arial"/>
                <w:i/>
                <w:color w:val="FF0000"/>
                <w:spacing w:val="0"/>
                <w:sz w:val="22"/>
                <w:szCs w:val="22"/>
              </w:rPr>
              <w:t>(indicar año)</w:t>
            </w:r>
          </w:p>
        </w:tc>
        <w:tc>
          <w:tcPr>
            <w:tcW w:w="3320" w:type="dxa"/>
          </w:tcPr>
          <w:p w14:paraId="7C34BF49" w14:textId="77777777" w:rsidR="008C0885" w:rsidRPr="00313596" w:rsidRDefault="008C0885" w:rsidP="000C6174">
            <w:pPr>
              <w:pStyle w:val="Textoindependiente"/>
              <w:ind w:left="113"/>
              <w:rPr>
                <w:rFonts w:ascii="Arial" w:hAnsi="Arial" w:cs="Arial"/>
                <w:i/>
                <w:spacing w:val="0"/>
                <w:sz w:val="22"/>
                <w:szCs w:val="22"/>
              </w:rPr>
            </w:pPr>
            <w:r w:rsidRPr="00313596">
              <w:rPr>
                <w:rFonts w:ascii="Arial" w:hAnsi="Arial" w:cs="Arial"/>
                <w:i/>
                <w:color w:val="FF0000"/>
                <w:spacing w:val="0"/>
                <w:sz w:val="22"/>
                <w:szCs w:val="22"/>
              </w:rPr>
              <w:t>(indicar monto y moneda)</w:t>
            </w:r>
          </w:p>
        </w:tc>
      </w:tr>
      <w:tr w:rsidR="008C0885" w:rsidRPr="00313596" w14:paraId="5931CFFD" w14:textId="77777777" w:rsidTr="003575F5">
        <w:trPr>
          <w:cantSplit/>
          <w:jc w:val="center"/>
        </w:trPr>
        <w:tc>
          <w:tcPr>
            <w:tcW w:w="5860" w:type="dxa"/>
          </w:tcPr>
          <w:p w14:paraId="7674E2B5" w14:textId="77777777" w:rsidR="008C0885" w:rsidRPr="00313596" w:rsidRDefault="008C0885" w:rsidP="000C6174">
            <w:pPr>
              <w:pStyle w:val="Textoindependiente"/>
              <w:ind w:left="113"/>
              <w:rPr>
                <w:rFonts w:ascii="Arial" w:hAnsi="Arial" w:cs="Arial"/>
                <w:spacing w:val="0"/>
                <w:sz w:val="22"/>
                <w:szCs w:val="22"/>
              </w:rPr>
            </w:pPr>
          </w:p>
        </w:tc>
        <w:tc>
          <w:tcPr>
            <w:tcW w:w="3320" w:type="dxa"/>
          </w:tcPr>
          <w:p w14:paraId="7D2A41F8" w14:textId="77777777" w:rsidR="008C0885" w:rsidRPr="00313596" w:rsidRDefault="008C0885" w:rsidP="000C6174">
            <w:pPr>
              <w:pStyle w:val="Textoindependiente"/>
              <w:ind w:left="113"/>
              <w:rPr>
                <w:rFonts w:ascii="Arial" w:hAnsi="Arial" w:cs="Arial"/>
                <w:spacing w:val="0"/>
                <w:sz w:val="22"/>
                <w:szCs w:val="22"/>
              </w:rPr>
            </w:pPr>
          </w:p>
        </w:tc>
      </w:tr>
      <w:tr w:rsidR="008C0885" w:rsidRPr="00313596" w14:paraId="3858417F" w14:textId="77777777" w:rsidTr="003575F5">
        <w:trPr>
          <w:cantSplit/>
          <w:jc w:val="center"/>
        </w:trPr>
        <w:tc>
          <w:tcPr>
            <w:tcW w:w="5860" w:type="dxa"/>
          </w:tcPr>
          <w:p w14:paraId="6704F15A" w14:textId="77777777" w:rsidR="008C0885" w:rsidRPr="00313596" w:rsidRDefault="008C0885" w:rsidP="000C6174">
            <w:pPr>
              <w:pStyle w:val="Textoindependiente"/>
              <w:ind w:left="454" w:hanging="341"/>
              <w:rPr>
                <w:rFonts w:ascii="Arial" w:hAnsi="Arial" w:cs="Arial"/>
                <w:spacing w:val="0"/>
                <w:sz w:val="22"/>
                <w:szCs w:val="22"/>
              </w:rPr>
            </w:pPr>
          </w:p>
        </w:tc>
        <w:tc>
          <w:tcPr>
            <w:tcW w:w="3320" w:type="dxa"/>
          </w:tcPr>
          <w:p w14:paraId="43ABFEBC" w14:textId="77777777" w:rsidR="008C0885" w:rsidRPr="00313596" w:rsidRDefault="008C0885" w:rsidP="000C6174">
            <w:pPr>
              <w:pStyle w:val="Textoindependiente"/>
              <w:ind w:left="113"/>
              <w:rPr>
                <w:rFonts w:ascii="Arial" w:hAnsi="Arial" w:cs="Arial"/>
                <w:spacing w:val="0"/>
                <w:sz w:val="22"/>
                <w:szCs w:val="22"/>
              </w:rPr>
            </w:pPr>
          </w:p>
        </w:tc>
      </w:tr>
      <w:tr w:rsidR="008C0885" w:rsidRPr="00313596" w14:paraId="7BE6937D" w14:textId="77777777" w:rsidTr="003575F5">
        <w:trPr>
          <w:cantSplit/>
          <w:jc w:val="center"/>
        </w:trPr>
        <w:tc>
          <w:tcPr>
            <w:tcW w:w="5860" w:type="dxa"/>
          </w:tcPr>
          <w:p w14:paraId="2CD57EC1" w14:textId="77777777" w:rsidR="008C0885" w:rsidRPr="00313596" w:rsidRDefault="008C0885" w:rsidP="000C6174">
            <w:pPr>
              <w:pStyle w:val="Textoindependiente"/>
              <w:ind w:left="113"/>
              <w:rPr>
                <w:rFonts w:ascii="Arial" w:hAnsi="Arial" w:cs="Arial"/>
                <w:spacing w:val="0"/>
                <w:sz w:val="22"/>
                <w:szCs w:val="22"/>
              </w:rPr>
            </w:pPr>
          </w:p>
        </w:tc>
        <w:tc>
          <w:tcPr>
            <w:tcW w:w="3320" w:type="dxa"/>
          </w:tcPr>
          <w:p w14:paraId="156C6EE2" w14:textId="77777777" w:rsidR="008C0885" w:rsidRPr="00313596" w:rsidRDefault="008C0885" w:rsidP="000C6174">
            <w:pPr>
              <w:pStyle w:val="Textoindependiente"/>
              <w:ind w:left="113"/>
              <w:rPr>
                <w:rFonts w:ascii="Arial" w:hAnsi="Arial" w:cs="Arial"/>
                <w:spacing w:val="0"/>
                <w:sz w:val="22"/>
                <w:szCs w:val="22"/>
              </w:rPr>
            </w:pPr>
          </w:p>
        </w:tc>
      </w:tr>
      <w:tr w:rsidR="008C0885" w:rsidRPr="00313596" w14:paraId="16FE319B" w14:textId="77777777" w:rsidTr="003575F5">
        <w:trPr>
          <w:cantSplit/>
          <w:jc w:val="center"/>
        </w:trPr>
        <w:tc>
          <w:tcPr>
            <w:tcW w:w="5860" w:type="dxa"/>
          </w:tcPr>
          <w:p w14:paraId="57B515E0" w14:textId="77777777" w:rsidR="008C0885" w:rsidRPr="00313596" w:rsidRDefault="008C0885" w:rsidP="000C6174">
            <w:pPr>
              <w:pStyle w:val="Textoindependiente"/>
              <w:ind w:left="113"/>
              <w:rPr>
                <w:rFonts w:ascii="Arial" w:hAnsi="Arial" w:cs="Arial"/>
                <w:spacing w:val="0"/>
                <w:sz w:val="22"/>
                <w:szCs w:val="22"/>
              </w:rPr>
            </w:pPr>
          </w:p>
        </w:tc>
        <w:tc>
          <w:tcPr>
            <w:tcW w:w="3320" w:type="dxa"/>
          </w:tcPr>
          <w:p w14:paraId="591508C4" w14:textId="77777777" w:rsidR="008C0885" w:rsidRPr="00313596" w:rsidRDefault="008C0885" w:rsidP="000C6174">
            <w:pPr>
              <w:pStyle w:val="Textoindependiente"/>
              <w:ind w:left="113"/>
              <w:rPr>
                <w:rFonts w:ascii="Arial" w:hAnsi="Arial" w:cs="Arial"/>
                <w:spacing w:val="0"/>
                <w:sz w:val="22"/>
                <w:szCs w:val="22"/>
              </w:rPr>
            </w:pPr>
          </w:p>
        </w:tc>
      </w:tr>
      <w:tr w:rsidR="008C0885" w:rsidRPr="00313596" w14:paraId="6BE6B5A0" w14:textId="77777777" w:rsidTr="003575F5">
        <w:trPr>
          <w:cantSplit/>
          <w:jc w:val="center"/>
        </w:trPr>
        <w:tc>
          <w:tcPr>
            <w:tcW w:w="5860" w:type="dxa"/>
          </w:tcPr>
          <w:p w14:paraId="30C1B817" w14:textId="77777777" w:rsidR="008C0885" w:rsidRPr="00313596" w:rsidRDefault="008C0885" w:rsidP="000C6174">
            <w:pPr>
              <w:pStyle w:val="Textoindependiente"/>
              <w:spacing w:before="40" w:after="40"/>
              <w:ind w:left="113"/>
              <w:jc w:val="left"/>
              <w:rPr>
                <w:rFonts w:ascii="Arial" w:hAnsi="Arial" w:cs="Arial"/>
                <w:spacing w:val="0"/>
                <w:sz w:val="22"/>
                <w:szCs w:val="22"/>
              </w:rPr>
            </w:pPr>
            <w:r w:rsidRPr="00313596">
              <w:rPr>
                <w:rFonts w:ascii="Arial" w:hAnsi="Arial" w:cs="Arial"/>
                <w:spacing w:val="0"/>
                <w:sz w:val="22"/>
                <w:szCs w:val="22"/>
              </w:rPr>
              <w:t xml:space="preserve">* </w:t>
            </w:r>
            <w:r w:rsidRPr="00313596">
              <w:rPr>
                <w:rFonts w:ascii="Arial" w:hAnsi="Arial" w:cs="Arial"/>
                <w:b/>
                <w:spacing w:val="0"/>
                <w:sz w:val="22"/>
                <w:szCs w:val="22"/>
              </w:rPr>
              <w:t>Facturación anual media</w:t>
            </w:r>
            <w:r w:rsidRPr="00313596">
              <w:rPr>
                <w:rFonts w:ascii="Arial" w:hAnsi="Arial" w:cs="Arial"/>
                <w:spacing w:val="0"/>
                <w:sz w:val="22"/>
                <w:szCs w:val="22"/>
              </w:rPr>
              <w:t xml:space="preserve"> </w:t>
            </w:r>
          </w:p>
        </w:tc>
        <w:tc>
          <w:tcPr>
            <w:tcW w:w="3320" w:type="dxa"/>
          </w:tcPr>
          <w:p w14:paraId="12C0075A" w14:textId="77777777" w:rsidR="008C0885" w:rsidRPr="00313596" w:rsidRDefault="008C0885" w:rsidP="000C6174">
            <w:pPr>
              <w:pStyle w:val="Textoindependiente"/>
              <w:ind w:left="113"/>
              <w:jc w:val="left"/>
              <w:rPr>
                <w:rFonts w:ascii="Arial" w:hAnsi="Arial" w:cs="Arial"/>
                <w:spacing w:val="0"/>
                <w:sz w:val="22"/>
                <w:szCs w:val="22"/>
              </w:rPr>
            </w:pPr>
          </w:p>
        </w:tc>
      </w:tr>
    </w:tbl>
    <w:p w14:paraId="0CD2A23B" w14:textId="77777777" w:rsidR="008C0885" w:rsidRPr="00313596" w:rsidRDefault="008C0885" w:rsidP="000C6174">
      <w:pPr>
        <w:rPr>
          <w:rFonts w:ascii="Arial" w:hAnsi="Arial" w:cs="Arial"/>
          <w:sz w:val="22"/>
          <w:szCs w:val="22"/>
        </w:rPr>
      </w:pPr>
    </w:p>
    <w:p w14:paraId="07A66284" w14:textId="77777777" w:rsidR="00711338" w:rsidRPr="000D72A7" w:rsidRDefault="00711338" w:rsidP="0071133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151E1475" w14:textId="77777777" w:rsidR="00711338" w:rsidRPr="000D72A7" w:rsidRDefault="00711338" w:rsidP="0071133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0D72A7">
        <w:rPr>
          <w:rFonts w:ascii="Arial" w:hAnsi="Arial" w:cs="Arial"/>
          <w:sz w:val="22"/>
          <w:szCs w:val="22"/>
        </w:rPr>
        <w:t>* Facturación anual media, se obtiene calculando el total de los pagos certificados recibidos por ejecución de obras dividido entre el número de años.</w:t>
      </w:r>
    </w:p>
    <w:p w14:paraId="3E039051" w14:textId="77777777" w:rsidR="00711338" w:rsidRPr="000D72A7" w:rsidRDefault="00711338" w:rsidP="0071133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29C435AA" w14:textId="77777777" w:rsidR="00711338" w:rsidRPr="000D72A7" w:rsidRDefault="00711338" w:rsidP="0071133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0D72A7">
        <w:rPr>
          <w:rFonts w:ascii="Arial" w:hAnsi="Arial" w:cs="Arial"/>
          <w:sz w:val="22"/>
          <w:szCs w:val="22"/>
        </w:rPr>
        <w:t xml:space="preserve">1. Para efecto de dicha evaluación, un oferente podrá aplicar a varios lotes, sin embargo, por cada lote evaluado se irá disminuyendo la disponibilidad de facturación anual media necesaria para aplicar al proceso. </w:t>
      </w:r>
    </w:p>
    <w:p w14:paraId="674B841C" w14:textId="77777777" w:rsidR="00711338" w:rsidRPr="000D72A7" w:rsidRDefault="00711338" w:rsidP="00711338">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7181FB4" w14:textId="77777777" w:rsidR="00711338" w:rsidRPr="000D72A7" w:rsidRDefault="00711338" w:rsidP="003B68DB">
      <w:pPr>
        <w:numPr>
          <w:ilvl w:val="0"/>
          <w:numId w:val="117"/>
        </w:num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0D72A7">
        <w:rPr>
          <w:rFonts w:ascii="Arial" w:hAnsi="Arial" w:cs="Arial"/>
          <w:sz w:val="22"/>
          <w:szCs w:val="22"/>
        </w:rPr>
        <w:t xml:space="preserve">Los soportes necesarios deben ser los recibos por ingresos recibidos, mismos que deben ser detallados en una hoja de Excel, en orden de sub totales por los años requeridos. Aquí podrán agregar las retenciones de impuestos para obtener el valor total facturado por cada recibo.  </w:t>
      </w:r>
    </w:p>
    <w:p w14:paraId="53852E0E"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3744BDF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313596">
        <w:rPr>
          <w:rFonts w:ascii="Arial" w:hAnsi="Arial" w:cs="Arial"/>
          <w:b/>
          <w:sz w:val="22"/>
          <w:szCs w:val="22"/>
        </w:rPr>
        <w:t xml:space="preserve">Oferente: </w:t>
      </w:r>
      <w:r w:rsidRPr="00313596">
        <w:rPr>
          <w:rFonts w:ascii="Arial" w:hAnsi="Arial" w:cs="Arial"/>
          <w:b/>
          <w:sz w:val="22"/>
          <w:szCs w:val="22"/>
        </w:rPr>
        <w:tab/>
      </w:r>
      <w:r w:rsidRPr="00313596">
        <w:rPr>
          <w:rFonts w:ascii="Arial" w:hAnsi="Arial" w:cs="Arial"/>
          <w:i/>
          <w:color w:val="FF0000"/>
          <w:sz w:val="22"/>
          <w:szCs w:val="22"/>
        </w:rPr>
        <w:t xml:space="preserve">(indicar nombre completo del </w:t>
      </w:r>
      <w:r w:rsidRPr="00313596">
        <w:rPr>
          <w:rFonts w:ascii="Arial" w:hAnsi="Arial" w:cs="Arial"/>
          <w:i/>
          <w:color w:val="FF0000"/>
          <w:sz w:val="22"/>
          <w:szCs w:val="22"/>
          <w:lang w:val="es-HN"/>
        </w:rPr>
        <w:t>oferente)</w:t>
      </w:r>
    </w:p>
    <w:p w14:paraId="6339196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2091633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313596">
        <w:rPr>
          <w:rFonts w:ascii="Arial" w:hAnsi="Arial" w:cs="Arial"/>
          <w:b/>
          <w:sz w:val="22"/>
          <w:szCs w:val="22"/>
          <w:lang w:val="es-HN"/>
        </w:rPr>
        <w:t xml:space="preserve">Nombre: </w:t>
      </w:r>
      <w:r w:rsidRPr="00313596">
        <w:rPr>
          <w:rFonts w:ascii="Arial" w:hAnsi="Arial" w:cs="Arial"/>
          <w:b/>
          <w:sz w:val="22"/>
          <w:szCs w:val="22"/>
          <w:lang w:val="es-HN"/>
        </w:rPr>
        <w:tab/>
      </w:r>
      <w:r w:rsidRPr="00313596">
        <w:rPr>
          <w:rFonts w:ascii="Arial" w:hAnsi="Arial" w:cs="Arial"/>
          <w:i/>
          <w:color w:val="FF0000"/>
          <w:sz w:val="22"/>
          <w:szCs w:val="22"/>
          <w:lang w:val="es-HN"/>
        </w:rPr>
        <w:t>(indicar el nombre completo de la persona que firma la oferta)</w:t>
      </w:r>
    </w:p>
    <w:p w14:paraId="0498B93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7205F9D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313596">
        <w:rPr>
          <w:rFonts w:ascii="Arial" w:hAnsi="Arial" w:cs="Arial"/>
          <w:b/>
          <w:sz w:val="22"/>
          <w:szCs w:val="22"/>
          <w:lang w:val="es-HN"/>
        </w:rPr>
        <w:t xml:space="preserve">Cargo: </w:t>
      </w:r>
      <w:r w:rsidRPr="00313596">
        <w:rPr>
          <w:rFonts w:ascii="Arial" w:hAnsi="Arial" w:cs="Arial"/>
          <w:b/>
          <w:sz w:val="22"/>
          <w:szCs w:val="22"/>
          <w:lang w:val="es-HN"/>
        </w:rPr>
        <w:tab/>
      </w:r>
      <w:r w:rsidRPr="00313596">
        <w:rPr>
          <w:rFonts w:ascii="Arial" w:hAnsi="Arial" w:cs="Arial"/>
          <w:b/>
          <w:sz w:val="22"/>
          <w:szCs w:val="22"/>
          <w:lang w:val="es-HN"/>
        </w:rPr>
        <w:tab/>
      </w:r>
      <w:r w:rsidRPr="00313596">
        <w:rPr>
          <w:rFonts w:ascii="Arial" w:hAnsi="Arial" w:cs="Arial"/>
          <w:i/>
          <w:color w:val="FF0000"/>
          <w:sz w:val="22"/>
          <w:szCs w:val="22"/>
          <w:lang w:val="es-HN"/>
        </w:rPr>
        <w:t>(del firmante)</w:t>
      </w:r>
    </w:p>
    <w:p w14:paraId="6A4FD51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13B002D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313596">
        <w:rPr>
          <w:rFonts w:ascii="Arial" w:hAnsi="Arial" w:cs="Arial"/>
          <w:b/>
          <w:sz w:val="22"/>
          <w:szCs w:val="22"/>
          <w:lang w:val="es-HN"/>
        </w:rPr>
        <w:t>Firma</w:t>
      </w:r>
      <w:r w:rsidRPr="00313596">
        <w:rPr>
          <w:rFonts w:ascii="Arial" w:hAnsi="Arial" w:cs="Arial"/>
          <w:i/>
          <w:sz w:val="22"/>
          <w:szCs w:val="22"/>
          <w:lang w:val="es-HN"/>
        </w:rPr>
        <w:t>:</w:t>
      </w:r>
      <w:r w:rsidRPr="00313596">
        <w:rPr>
          <w:rFonts w:ascii="Arial" w:hAnsi="Arial" w:cs="Arial"/>
          <w:i/>
          <w:sz w:val="22"/>
          <w:szCs w:val="22"/>
          <w:lang w:val="es-HN"/>
        </w:rPr>
        <w:tab/>
      </w:r>
      <w:r w:rsidRPr="00313596">
        <w:rPr>
          <w:rFonts w:ascii="Arial" w:hAnsi="Arial" w:cs="Arial"/>
          <w:i/>
          <w:sz w:val="22"/>
          <w:szCs w:val="22"/>
          <w:lang w:val="es-HN"/>
        </w:rPr>
        <w:tab/>
      </w:r>
      <w:r w:rsidRPr="00313596">
        <w:rPr>
          <w:rFonts w:ascii="Arial" w:hAnsi="Arial" w:cs="Arial"/>
          <w:i/>
          <w:color w:val="FF0000"/>
          <w:sz w:val="22"/>
          <w:szCs w:val="22"/>
          <w:lang w:val="es-HN"/>
        </w:rPr>
        <w:t>(firma de la persona cuyo nombre y cargo aparecen arriba indicados)</w:t>
      </w:r>
    </w:p>
    <w:p w14:paraId="626ADB1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3864A08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313596">
        <w:rPr>
          <w:rFonts w:ascii="Arial" w:hAnsi="Arial" w:cs="Arial"/>
          <w:b/>
          <w:sz w:val="22"/>
          <w:szCs w:val="22"/>
          <w:lang w:val="es-HN"/>
        </w:rPr>
        <w:t>Fecha</w:t>
      </w:r>
      <w:r w:rsidRPr="00313596">
        <w:rPr>
          <w:rFonts w:ascii="Arial" w:hAnsi="Arial" w:cs="Arial"/>
          <w:i/>
          <w:sz w:val="22"/>
          <w:szCs w:val="22"/>
          <w:lang w:val="es-HN"/>
        </w:rPr>
        <w:t xml:space="preserve">: </w:t>
      </w:r>
      <w:r w:rsidRPr="00313596">
        <w:rPr>
          <w:rFonts w:ascii="Arial" w:hAnsi="Arial" w:cs="Arial"/>
          <w:i/>
          <w:sz w:val="22"/>
          <w:szCs w:val="22"/>
          <w:lang w:val="es-HN"/>
        </w:rPr>
        <w:tab/>
      </w:r>
      <w:r w:rsidRPr="00313596">
        <w:rPr>
          <w:rFonts w:ascii="Arial" w:hAnsi="Arial" w:cs="Arial"/>
          <w:i/>
          <w:sz w:val="22"/>
          <w:szCs w:val="22"/>
          <w:lang w:val="es-HN"/>
        </w:rPr>
        <w:tab/>
      </w:r>
      <w:r w:rsidRPr="00313596">
        <w:rPr>
          <w:rFonts w:ascii="Arial" w:hAnsi="Arial" w:cs="Arial"/>
          <w:i/>
          <w:color w:val="FF0000"/>
          <w:sz w:val="22"/>
          <w:szCs w:val="22"/>
          <w:lang w:val="es-HN"/>
        </w:rPr>
        <w:t>(día, mes y año en que se firma la oferta)</w:t>
      </w:r>
    </w:p>
    <w:p w14:paraId="07704A32"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sz w:val="22"/>
          <w:szCs w:val="22"/>
          <w:lang w:val="es-HN"/>
        </w:rPr>
      </w:pPr>
    </w:p>
    <w:p w14:paraId="79DB1523" w14:textId="77777777" w:rsidR="008C0885" w:rsidRPr="00313596" w:rsidRDefault="008C0885" w:rsidP="000C6174">
      <w:pPr>
        <w:jc w:val="left"/>
        <w:rPr>
          <w:rFonts w:ascii="Arial" w:hAnsi="Arial" w:cs="Arial"/>
          <w:b/>
          <w:sz w:val="22"/>
          <w:szCs w:val="22"/>
          <w:lang w:val="es-HN"/>
        </w:rPr>
      </w:pPr>
      <w:r w:rsidRPr="00313596">
        <w:rPr>
          <w:rFonts w:ascii="Arial" w:hAnsi="Arial" w:cs="Arial"/>
          <w:b/>
          <w:sz w:val="22"/>
          <w:szCs w:val="22"/>
          <w:lang w:val="es-HN"/>
        </w:rPr>
        <w:br w:type="page"/>
      </w:r>
    </w:p>
    <w:p w14:paraId="64C6C9A9" w14:textId="77777777" w:rsidR="008C0885" w:rsidRPr="00313596" w:rsidRDefault="008C0885" w:rsidP="000C6174">
      <w:pPr>
        <w:jc w:val="left"/>
        <w:rPr>
          <w:rFonts w:ascii="Arial" w:hAnsi="Arial" w:cs="Arial"/>
          <w:b/>
          <w:sz w:val="22"/>
          <w:szCs w:val="22"/>
          <w:lang w:val="es-HN"/>
        </w:rPr>
      </w:pPr>
      <w:r w:rsidRPr="00313596">
        <w:rPr>
          <w:rFonts w:ascii="Arial" w:hAnsi="Arial" w:cs="Arial"/>
          <w:b/>
          <w:sz w:val="22"/>
          <w:szCs w:val="22"/>
          <w:lang w:val="es-HN"/>
        </w:rPr>
        <w:lastRenderedPageBreak/>
        <w:t>FORMULARIO FIN-3</w:t>
      </w:r>
    </w:p>
    <w:p w14:paraId="3933529A" w14:textId="77777777" w:rsidR="008C0885" w:rsidRPr="00313596" w:rsidRDefault="008C0885" w:rsidP="000C6174">
      <w:pPr>
        <w:ind w:left="3240" w:right="-720" w:hanging="3240"/>
        <w:rPr>
          <w:rFonts w:ascii="Arial" w:hAnsi="Arial" w:cs="Arial"/>
          <w:b/>
          <w:sz w:val="22"/>
          <w:szCs w:val="22"/>
          <w:lang w:val="es-HN"/>
        </w:rPr>
      </w:pPr>
    </w:p>
    <w:p w14:paraId="00F4C19B" w14:textId="77777777" w:rsidR="008C0885" w:rsidRPr="00313596" w:rsidRDefault="008C0885" w:rsidP="000C6174">
      <w:pPr>
        <w:pStyle w:val="SectionVHeader"/>
        <w:rPr>
          <w:rFonts w:ascii="Arial" w:hAnsi="Arial" w:cs="Arial"/>
          <w:sz w:val="22"/>
          <w:szCs w:val="22"/>
          <w:lang w:val="es-HN"/>
        </w:rPr>
      </w:pPr>
      <w:r w:rsidRPr="00313596">
        <w:rPr>
          <w:rFonts w:ascii="Arial" w:hAnsi="Arial" w:cs="Arial"/>
          <w:sz w:val="22"/>
          <w:szCs w:val="22"/>
          <w:lang w:val="es-HN"/>
        </w:rPr>
        <w:t>Capital de Trabajo</w:t>
      </w:r>
    </w:p>
    <w:p w14:paraId="48B3FAC0" w14:textId="77777777" w:rsidR="008C0885" w:rsidRPr="00313596" w:rsidRDefault="008C0885" w:rsidP="000C6174">
      <w:pPr>
        <w:pStyle w:val="SectionVHeader"/>
        <w:rPr>
          <w:rFonts w:ascii="Arial" w:hAnsi="Arial" w:cs="Arial"/>
          <w:sz w:val="22"/>
          <w:szCs w:val="22"/>
          <w:lang w:val="es-HN"/>
        </w:rPr>
      </w:pPr>
    </w:p>
    <w:p w14:paraId="3BA76E5E" w14:textId="77777777" w:rsidR="008C0885" w:rsidRPr="00313596" w:rsidRDefault="008C0885" w:rsidP="000C6174">
      <w:pPr>
        <w:tabs>
          <w:tab w:val="right" w:pos="9630"/>
        </w:tabs>
        <w:ind w:right="162"/>
        <w:rPr>
          <w:rFonts w:ascii="Arial" w:hAnsi="Arial" w:cs="Arial"/>
          <w:sz w:val="22"/>
          <w:szCs w:val="22"/>
          <w:lang w:val="es-HN"/>
        </w:rPr>
      </w:pPr>
      <w:r w:rsidRPr="00313596">
        <w:rPr>
          <w:rFonts w:ascii="Arial" w:hAnsi="Arial" w:cs="Arial"/>
          <w:sz w:val="22"/>
          <w:szCs w:val="22"/>
          <w:lang w:val="es-HN"/>
        </w:rPr>
        <w:t xml:space="preserve">Nombre legal del oferente: </w:t>
      </w:r>
      <w:r w:rsidRPr="00313596">
        <w:rPr>
          <w:rFonts w:ascii="Arial" w:hAnsi="Arial" w:cs="Arial"/>
          <w:i/>
          <w:color w:val="FF0000"/>
          <w:sz w:val="22"/>
          <w:szCs w:val="22"/>
          <w:lang w:val="es-HN"/>
        </w:rPr>
        <w:t>(indicar nombre completo)</w:t>
      </w:r>
      <w:r w:rsidRPr="00313596">
        <w:rPr>
          <w:rFonts w:ascii="Arial" w:hAnsi="Arial" w:cs="Arial"/>
          <w:sz w:val="22"/>
          <w:szCs w:val="22"/>
          <w:lang w:val="es-HN"/>
        </w:rPr>
        <w:tab/>
        <w:t>Fecha</w:t>
      </w:r>
      <w:r w:rsidRPr="00313596">
        <w:rPr>
          <w:rFonts w:ascii="Arial" w:hAnsi="Arial" w:cs="Arial"/>
          <w:i/>
          <w:color w:val="FF0000"/>
          <w:sz w:val="22"/>
          <w:szCs w:val="22"/>
          <w:lang w:val="es-HN"/>
        </w:rPr>
        <w:t>: (indicar día, mes y año)</w:t>
      </w:r>
      <w:r w:rsidRPr="00313596">
        <w:rPr>
          <w:rFonts w:ascii="Arial" w:hAnsi="Arial" w:cs="Arial"/>
          <w:color w:val="FF0000"/>
          <w:sz w:val="22"/>
          <w:szCs w:val="22"/>
          <w:lang w:val="es-HN"/>
        </w:rPr>
        <w:t>          </w:t>
      </w:r>
    </w:p>
    <w:p w14:paraId="2141F08E" w14:textId="77777777" w:rsidR="008C0885" w:rsidRPr="00313596" w:rsidRDefault="008C0885" w:rsidP="000C6174">
      <w:pPr>
        <w:tabs>
          <w:tab w:val="right" w:pos="9990"/>
        </w:tabs>
        <w:ind w:right="-18"/>
        <w:rPr>
          <w:rFonts w:ascii="Arial" w:hAnsi="Arial" w:cs="Arial"/>
          <w:i/>
          <w:sz w:val="22"/>
          <w:szCs w:val="22"/>
          <w:lang w:val="es-HN"/>
        </w:rPr>
      </w:pPr>
      <w:r w:rsidRPr="00313596">
        <w:rPr>
          <w:rFonts w:ascii="Arial" w:hAnsi="Arial" w:cs="Arial"/>
          <w:sz w:val="22"/>
          <w:szCs w:val="22"/>
          <w:lang w:val="es-HN"/>
        </w:rPr>
        <w:t xml:space="preserve">Nombre legal del miembro de la APCA: </w:t>
      </w:r>
      <w:r w:rsidRPr="00313596">
        <w:rPr>
          <w:rFonts w:ascii="Arial" w:hAnsi="Arial" w:cs="Arial"/>
          <w:i/>
          <w:color w:val="FF0000"/>
          <w:sz w:val="22"/>
          <w:szCs w:val="22"/>
          <w:lang w:val="es-HN"/>
        </w:rPr>
        <w:t xml:space="preserve">(indicar nombre completo) </w:t>
      </w:r>
    </w:p>
    <w:p w14:paraId="79B63A58" w14:textId="77777777" w:rsidR="008C0885" w:rsidRPr="00313596" w:rsidRDefault="008C0885" w:rsidP="000C6174">
      <w:pPr>
        <w:suppressAutoHyphens/>
        <w:spacing w:before="240" w:after="120"/>
        <w:rPr>
          <w:rStyle w:val="Table"/>
          <w:rFonts w:cs="Arial"/>
          <w:spacing w:val="-2"/>
          <w:sz w:val="22"/>
          <w:szCs w:val="22"/>
          <w:lang w:val="es-ES"/>
        </w:rPr>
      </w:pPr>
      <w:r w:rsidRPr="00313596">
        <w:rPr>
          <w:rFonts w:ascii="Arial" w:hAnsi="Arial" w:cs="Arial"/>
          <w:sz w:val="22"/>
          <w:szCs w:val="22"/>
          <w:lang w:val="es-HN"/>
        </w:rPr>
        <w:t xml:space="preserve">Describir la información detallada de </w:t>
      </w:r>
      <w:r w:rsidRPr="00313596">
        <w:rPr>
          <w:rFonts w:ascii="Arial" w:hAnsi="Arial" w:cs="Arial"/>
          <w:spacing w:val="-2"/>
          <w:sz w:val="22"/>
          <w:szCs w:val="22"/>
          <w:lang w:val="es-ES"/>
        </w:rPr>
        <w:t>las fuentes de financiamiento ofertas, tales como activos líquidos (descontando anticipos contractuales), líneas de crédito y otros medios financieros, (descontados los compromisos vigentes), que estén disponibles para satisfacer todas las necesidades de flujo de fondos para construcción asociadas al contrato.</w:t>
      </w:r>
    </w:p>
    <w:p w14:paraId="5EE93C1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E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4"/>
        <w:gridCol w:w="3046"/>
      </w:tblGrid>
      <w:tr w:rsidR="008C0885" w:rsidRPr="00313596" w14:paraId="581959D1" w14:textId="77777777" w:rsidTr="00272464">
        <w:trPr>
          <w:cantSplit/>
          <w:trHeight w:val="20"/>
          <w:tblHeader/>
        </w:trPr>
        <w:tc>
          <w:tcPr>
            <w:tcW w:w="6314" w:type="dxa"/>
            <w:shd w:val="clear" w:color="auto" w:fill="00B050"/>
            <w:vAlign w:val="center"/>
          </w:tcPr>
          <w:p w14:paraId="34B38E48"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Fuente del capital de trabajo</w:t>
            </w:r>
          </w:p>
        </w:tc>
        <w:tc>
          <w:tcPr>
            <w:tcW w:w="3046" w:type="dxa"/>
            <w:shd w:val="clear" w:color="auto" w:fill="00B050"/>
            <w:vAlign w:val="center"/>
          </w:tcPr>
          <w:p w14:paraId="67663C04"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Monto y Moneda</w:t>
            </w:r>
          </w:p>
        </w:tc>
      </w:tr>
      <w:tr w:rsidR="008C0885" w:rsidRPr="00313596" w14:paraId="0675F7D9" w14:textId="77777777" w:rsidTr="003575F5">
        <w:trPr>
          <w:cantSplit/>
          <w:trHeight w:val="20"/>
        </w:trPr>
        <w:tc>
          <w:tcPr>
            <w:tcW w:w="6314" w:type="dxa"/>
          </w:tcPr>
          <w:p w14:paraId="5F978423" w14:textId="77777777" w:rsidR="008C0885" w:rsidRPr="00313596" w:rsidRDefault="008C0885" w:rsidP="000C6174">
            <w:pPr>
              <w:rPr>
                <w:rFonts w:ascii="Arial" w:hAnsi="Arial" w:cs="Arial"/>
                <w:i/>
                <w:sz w:val="22"/>
                <w:szCs w:val="22"/>
                <w:lang w:val="es-HN"/>
              </w:rPr>
            </w:pPr>
          </w:p>
        </w:tc>
        <w:tc>
          <w:tcPr>
            <w:tcW w:w="3046" w:type="dxa"/>
          </w:tcPr>
          <w:p w14:paraId="52B50B0E" w14:textId="77777777" w:rsidR="008C0885" w:rsidRPr="00313596" w:rsidRDefault="008C0885" w:rsidP="000C6174">
            <w:pPr>
              <w:rPr>
                <w:rFonts w:ascii="Arial" w:hAnsi="Arial" w:cs="Arial"/>
                <w:i/>
                <w:sz w:val="22"/>
                <w:szCs w:val="22"/>
                <w:lang w:val="es-HN"/>
              </w:rPr>
            </w:pPr>
          </w:p>
        </w:tc>
      </w:tr>
      <w:tr w:rsidR="008C0885" w:rsidRPr="00313596" w14:paraId="225FDD40" w14:textId="77777777" w:rsidTr="003575F5">
        <w:trPr>
          <w:cantSplit/>
          <w:trHeight w:val="20"/>
        </w:trPr>
        <w:tc>
          <w:tcPr>
            <w:tcW w:w="6314" w:type="dxa"/>
          </w:tcPr>
          <w:p w14:paraId="76B1F88D" w14:textId="77777777" w:rsidR="008C0885" w:rsidRPr="00313596" w:rsidRDefault="008C0885" w:rsidP="000C6174">
            <w:pPr>
              <w:rPr>
                <w:rFonts w:ascii="Arial" w:hAnsi="Arial" w:cs="Arial"/>
                <w:sz w:val="22"/>
                <w:szCs w:val="22"/>
              </w:rPr>
            </w:pPr>
          </w:p>
        </w:tc>
        <w:tc>
          <w:tcPr>
            <w:tcW w:w="3046" w:type="dxa"/>
          </w:tcPr>
          <w:p w14:paraId="24992652" w14:textId="77777777" w:rsidR="008C0885" w:rsidRPr="00313596" w:rsidRDefault="008C0885" w:rsidP="000C6174">
            <w:pPr>
              <w:rPr>
                <w:rFonts w:ascii="Arial" w:hAnsi="Arial" w:cs="Arial"/>
                <w:sz w:val="22"/>
                <w:szCs w:val="22"/>
              </w:rPr>
            </w:pPr>
          </w:p>
        </w:tc>
      </w:tr>
      <w:tr w:rsidR="008C0885" w:rsidRPr="00313596" w14:paraId="29708498" w14:textId="77777777" w:rsidTr="003575F5">
        <w:trPr>
          <w:cantSplit/>
          <w:trHeight w:val="20"/>
        </w:trPr>
        <w:tc>
          <w:tcPr>
            <w:tcW w:w="6314" w:type="dxa"/>
          </w:tcPr>
          <w:p w14:paraId="52B7A256" w14:textId="77777777" w:rsidR="008C0885" w:rsidRPr="00313596" w:rsidRDefault="008C0885" w:rsidP="000C6174">
            <w:pPr>
              <w:rPr>
                <w:rFonts w:ascii="Arial" w:hAnsi="Arial" w:cs="Arial"/>
                <w:sz w:val="22"/>
                <w:szCs w:val="22"/>
              </w:rPr>
            </w:pPr>
          </w:p>
        </w:tc>
        <w:tc>
          <w:tcPr>
            <w:tcW w:w="3046" w:type="dxa"/>
          </w:tcPr>
          <w:p w14:paraId="69DB9F05" w14:textId="77777777" w:rsidR="008C0885" w:rsidRPr="00313596" w:rsidRDefault="008C0885" w:rsidP="000C6174">
            <w:pPr>
              <w:rPr>
                <w:rFonts w:ascii="Arial" w:hAnsi="Arial" w:cs="Arial"/>
                <w:sz w:val="22"/>
                <w:szCs w:val="22"/>
              </w:rPr>
            </w:pPr>
          </w:p>
        </w:tc>
      </w:tr>
    </w:tbl>
    <w:p w14:paraId="5C9B85C5" w14:textId="77777777" w:rsidR="008C0885" w:rsidRPr="00313596" w:rsidRDefault="008C0885">
      <w:pPr>
        <w:jc w:val="left"/>
        <w:rPr>
          <w:rFonts w:ascii="Arial" w:hAnsi="Arial" w:cs="Arial"/>
          <w:b/>
          <w:sz w:val="22"/>
          <w:szCs w:val="22"/>
          <w:lang w:val="es-HN"/>
        </w:rPr>
      </w:pPr>
    </w:p>
    <w:p w14:paraId="5567CC81" w14:textId="77777777" w:rsidR="00784D19" w:rsidRDefault="00784D19" w:rsidP="00784D19">
      <w:pPr>
        <w:spacing w:before="120" w:after="120"/>
        <w:ind w:left="45" w:right="58"/>
        <w:textAlignment w:val="baseline"/>
        <w:rPr>
          <w:rFonts w:ascii="Arial" w:hAnsi="Arial" w:cs="Arial"/>
          <w:sz w:val="22"/>
          <w:szCs w:val="22"/>
          <w:lang w:val="es-ES" w:eastAsia="es-HN"/>
        </w:rPr>
      </w:pPr>
      <w:r>
        <w:rPr>
          <w:rFonts w:ascii="Arial" w:hAnsi="Arial" w:cs="Arial"/>
          <w:sz w:val="22"/>
          <w:szCs w:val="22"/>
          <w:lang w:val="es-ES" w:eastAsia="es-HN"/>
        </w:rPr>
        <w:t>Para efectos de evaluación se considerará:</w:t>
      </w:r>
    </w:p>
    <w:p w14:paraId="0A1D46F6" w14:textId="77777777" w:rsidR="00784D19" w:rsidRDefault="00784D19" w:rsidP="003B68DB">
      <w:pPr>
        <w:numPr>
          <w:ilvl w:val="7"/>
          <w:numId w:val="117"/>
        </w:numPr>
        <w:spacing w:before="120" w:after="120"/>
        <w:ind w:left="360" w:right="58"/>
        <w:textAlignment w:val="baseline"/>
        <w:rPr>
          <w:rFonts w:ascii="Arial" w:hAnsi="Arial" w:cs="Arial"/>
          <w:sz w:val="22"/>
          <w:szCs w:val="22"/>
          <w:lang w:val="es-HN" w:eastAsia="es-HN"/>
        </w:rPr>
      </w:pPr>
      <w:r>
        <w:rPr>
          <w:rFonts w:ascii="Arial" w:hAnsi="Arial" w:cs="Arial"/>
          <w:sz w:val="22"/>
          <w:szCs w:val="22"/>
          <w:lang w:val="es-ES" w:eastAsia="es-HN"/>
        </w:rPr>
        <w:t>Activos líquidos: Constancia indicando el monto disponible en la cuenta bancaria con una antigüedad no mayor de 30 días de la fecha de recepción de ofertas.</w:t>
      </w:r>
      <w:r>
        <w:rPr>
          <w:rFonts w:ascii="Arial" w:hAnsi="Arial" w:cs="Arial"/>
          <w:sz w:val="22"/>
          <w:szCs w:val="22"/>
          <w:lang w:val="es-HN" w:eastAsia="es-HN"/>
        </w:rPr>
        <w:t> </w:t>
      </w:r>
    </w:p>
    <w:p w14:paraId="2037F388" w14:textId="77777777" w:rsidR="00784D19" w:rsidRDefault="00784D19" w:rsidP="003B68DB">
      <w:pPr>
        <w:numPr>
          <w:ilvl w:val="7"/>
          <w:numId w:val="117"/>
        </w:numPr>
        <w:spacing w:before="120" w:after="120"/>
        <w:ind w:left="360" w:right="58"/>
        <w:textAlignment w:val="baseline"/>
        <w:rPr>
          <w:rFonts w:ascii="Arial" w:hAnsi="Arial" w:cs="Arial"/>
          <w:sz w:val="22"/>
          <w:szCs w:val="22"/>
          <w:lang w:val="es-HN" w:eastAsia="es-HN"/>
        </w:rPr>
      </w:pPr>
      <w:r>
        <w:rPr>
          <w:rFonts w:ascii="Arial" w:hAnsi="Arial" w:cs="Arial"/>
          <w:sz w:val="22"/>
          <w:szCs w:val="22"/>
          <w:lang w:val="es-ES" w:eastAsia="es-HN"/>
        </w:rPr>
        <w:t>Líneas de Créditos: Constancia indicando el monto disponible en línea de crédito bancaria, con una antigüedad no mayor de 30 días de la fecha de recepción de ofertas. No se aceptarán las líneas de crédito por depósitos de garantías bancarias.</w:t>
      </w:r>
    </w:p>
    <w:p w14:paraId="1D8669AC" w14:textId="77777777" w:rsidR="00784D19" w:rsidRDefault="00784D19" w:rsidP="003B68DB">
      <w:pPr>
        <w:numPr>
          <w:ilvl w:val="0"/>
          <w:numId w:val="117"/>
        </w:numPr>
        <w:rPr>
          <w:rFonts w:ascii="Arial" w:hAnsi="Arial" w:cs="Arial"/>
          <w:sz w:val="22"/>
          <w:szCs w:val="22"/>
        </w:rPr>
      </w:pPr>
      <w:r>
        <w:rPr>
          <w:rFonts w:ascii="Arial" w:hAnsi="Arial" w:cs="Arial"/>
          <w:sz w:val="22"/>
          <w:szCs w:val="22"/>
        </w:rPr>
        <w:t xml:space="preserve">Para efecto de dicha evaluación, un oferente podrá aplicar a varios lotes, sin embargo, por cada lote evaluado se irá disminuyendo la disponibilidad del capital de trabajo necesario para aplicar al proceso. </w:t>
      </w:r>
    </w:p>
    <w:p w14:paraId="4890A6FA" w14:textId="77777777" w:rsidR="008C0885" w:rsidRPr="00313596" w:rsidRDefault="008C0885">
      <w:pPr>
        <w:jc w:val="left"/>
        <w:rPr>
          <w:rFonts w:ascii="Arial" w:hAnsi="Arial" w:cs="Arial"/>
          <w:b/>
          <w:sz w:val="22"/>
          <w:szCs w:val="22"/>
          <w:lang w:val="es-HN"/>
        </w:rPr>
      </w:pPr>
    </w:p>
    <w:p w14:paraId="7062A73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313596">
        <w:rPr>
          <w:rFonts w:ascii="Arial" w:hAnsi="Arial" w:cs="Arial"/>
          <w:b/>
          <w:sz w:val="22"/>
          <w:szCs w:val="22"/>
        </w:rPr>
        <w:t xml:space="preserve">Oferente: </w:t>
      </w:r>
      <w:r w:rsidRPr="00313596">
        <w:rPr>
          <w:rFonts w:ascii="Arial" w:hAnsi="Arial" w:cs="Arial"/>
          <w:b/>
          <w:sz w:val="22"/>
          <w:szCs w:val="22"/>
        </w:rPr>
        <w:tab/>
      </w:r>
      <w:r w:rsidRPr="00313596">
        <w:rPr>
          <w:rFonts w:ascii="Arial" w:hAnsi="Arial" w:cs="Arial"/>
          <w:i/>
          <w:color w:val="FF0000"/>
          <w:sz w:val="22"/>
          <w:szCs w:val="22"/>
        </w:rPr>
        <w:t xml:space="preserve">(indicar nombre completo del </w:t>
      </w:r>
      <w:r w:rsidRPr="00313596">
        <w:rPr>
          <w:rFonts w:ascii="Arial" w:hAnsi="Arial" w:cs="Arial"/>
          <w:i/>
          <w:color w:val="FF0000"/>
          <w:sz w:val="22"/>
          <w:szCs w:val="22"/>
          <w:lang w:val="es-HN"/>
        </w:rPr>
        <w:t>oferente)</w:t>
      </w:r>
    </w:p>
    <w:p w14:paraId="13B53C5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2AD80C1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r w:rsidRPr="00313596">
        <w:rPr>
          <w:rFonts w:ascii="Arial" w:hAnsi="Arial" w:cs="Arial"/>
          <w:b/>
          <w:sz w:val="22"/>
          <w:szCs w:val="22"/>
          <w:lang w:val="es-HN"/>
        </w:rPr>
        <w:t xml:space="preserve">Nombre: </w:t>
      </w:r>
      <w:r w:rsidRPr="00313596">
        <w:rPr>
          <w:rFonts w:ascii="Arial" w:hAnsi="Arial" w:cs="Arial"/>
          <w:b/>
          <w:sz w:val="22"/>
          <w:szCs w:val="22"/>
          <w:lang w:val="es-HN"/>
        </w:rPr>
        <w:tab/>
      </w:r>
      <w:r w:rsidRPr="00313596">
        <w:rPr>
          <w:rFonts w:ascii="Arial" w:hAnsi="Arial" w:cs="Arial"/>
          <w:i/>
          <w:color w:val="FF0000"/>
          <w:sz w:val="22"/>
          <w:szCs w:val="22"/>
          <w:lang w:val="es-HN"/>
        </w:rPr>
        <w:t>(indicar el nombre completo de la persona que firma la oferta)</w:t>
      </w:r>
    </w:p>
    <w:p w14:paraId="3D55140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03EDBDB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313596">
        <w:rPr>
          <w:rFonts w:ascii="Arial" w:hAnsi="Arial" w:cs="Arial"/>
          <w:b/>
          <w:sz w:val="22"/>
          <w:szCs w:val="22"/>
          <w:lang w:val="es-HN"/>
        </w:rPr>
        <w:t xml:space="preserve">Cargo: </w:t>
      </w:r>
      <w:r w:rsidRPr="00313596">
        <w:rPr>
          <w:rFonts w:ascii="Arial" w:hAnsi="Arial" w:cs="Arial"/>
          <w:b/>
          <w:sz w:val="22"/>
          <w:szCs w:val="22"/>
          <w:lang w:val="es-HN"/>
        </w:rPr>
        <w:tab/>
      </w:r>
      <w:r w:rsidRPr="00313596">
        <w:rPr>
          <w:rFonts w:ascii="Arial" w:hAnsi="Arial" w:cs="Arial"/>
          <w:i/>
          <w:color w:val="FF0000"/>
          <w:sz w:val="22"/>
          <w:szCs w:val="22"/>
          <w:lang w:val="es-HN"/>
        </w:rPr>
        <w:t>(del firmante)</w:t>
      </w:r>
    </w:p>
    <w:p w14:paraId="5294BEC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2F68685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lang w:val="es-HN"/>
        </w:rPr>
      </w:pPr>
      <w:r w:rsidRPr="00313596">
        <w:rPr>
          <w:rFonts w:ascii="Arial" w:hAnsi="Arial" w:cs="Arial"/>
          <w:b/>
          <w:sz w:val="22"/>
          <w:szCs w:val="22"/>
          <w:lang w:val="es-HN"/>
        </w:rPr>
        <w:t>Firma</w:t>
      </w:r>
      <w:r w:rsidRPr="00313596">
        <w:rPr>
          <w:rFonts w:ascii="Arial" w:hAnsi="Arial" w:cs="Arial"/>
          <w:i/>
          <w:sz w:val="22"/>
          <w:szCs w:val="22"/>
          <w:lang w:val="es-HN"/>
        </w:rPr>
        <w:t>:</w:t>
      </w:r>
      <w:r w:rsidRPr="00313596">
        <w:rPr>
          <w:rFonts w:ascii="Arial" w:hAnsi="Arial" w:cs="Arial"/>
          <w:i/>
          <w:sz w:val="22"/>
          <w:szCs w:val="22"/>
          <w:lang w:val="es-HN"/>
        </w:rPr>
        <w:tab/>
      </w:r>
      <w:r w:rsidRPr="00313596">
        <w:rPr>
          <w:rFonts w:ascii="Arial" w:hAnsi="Arial" w:cs="Arial"/>
          <w:i/>
          <w:sz w:val="22"/>
          <w:szCs w:val="22"/>
          <w:lang w:val="es-HN"/>
        </w:rPr>
        <w:tab/>
      </w:r>
      <w:r w:rsidRPr="00313596">
        <w:rPr>
          <w:rFonts w:ascii="Arial" w:hAnsi="Arial" w:cs="Arial"/>
          <w:i/>
          <w:color w:val="FF0000"/>
          <w:sz w:val="22"/>
          <w:szCs w:val="22"/>
          <w:lang w:val="es-HN"/>
        </w:rPr>
        <w:t>(firma de la persona cuyo nombre y cargo aparecen arriba indicados)</w:t>
      </w:r>
    </w:p>
    <w:p w14:paraId="5378598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lang w:val="es-HN"/>
        </w:rPr>
      </w:pPr>
    </w:p>
    <w:p w14:paraId="4B0E79A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lang w:val="es-HN"/>
        </w:rPr>
      </w:pPr>
      <w:r w:rsidRPr="00313596">
        <w:rPr>
          <w:rFonts w:ascii="Arial" w:hAnsi="Arial" w:cs="Arial"/>
          <w:b/>
          <w:sz w:val="22"/>
          <w:szCs w:val="22"/>
          <w:lang w:val="es-HN"/>
        </w:rPr>
        <w:t>Fecha</w:t>
      </w:r>
      <w:r w:rsidRPr="00313596">
        <w:rPr>
          <w:rFonts w:ascii="Arial" w:hAnsi="Arial" w:cs="Arial"/>
          <w:i/>
          <w:sz w:val="22"/>
          <w:szCs w:val="22"/>
          <w:lang w:val="es-HN"/>
        </w:rPr>
        <w:t xml:space="preserve">: </w:t>
      </w:r>
      <w:r w:rsidRPr="00313596">
        <w:rPr>
          <w:rFonts w:ascii="Arial" w:hAnsi="Arial" w:cs="Arial"/>
          <w:i/>
          <w:sz w:val="22"/>
          <w:szCs w:val="22"/>
          <w:lang w:val="es-HN"/>
        </w:rPr>
        <w:tab/>
      </w:r>
      <w:r w:rsidRPr="00313596">
        <w:rPr>
          <w:rFonts w:ascii="Arial" w:hAnsi="Arial" w:cs="Arial"/>
          <w:i/>
          <w:color w:val="FF0000"/>
          <w:sz w:val="22"/>
          <w:szCs w:val="22"/>
          <w:lang w:val="es-HN"/>
        </w:rPr>
        <w:t>(día, mes y año en que se firma la oferta)</w:t>
      </w:r>
    </w:p>
    <w:p w14:paraId="055E3365" w14:textId="77777777" w:rsidR="008C0885" w:rsidRPr="00313596" w:rsidRDefault="008C0885">
      <w:pPr>
        <w:jc w:val="left"/>
        <w:rPr>
          <w:rFonts w:ascii="Arial" w:hAnsi="Arial" w:cs="Arial"/>
          <w:b/>
          <w:sz w:val="22"/>
          <w:szCs w:val="22"/>
          <w:lang w:val="es-HN"/>
        </w:rPr>
      </w:pPr>
    </w:p>
    <w:p w14:paraId="09E66BDB" w14:textId="77777777" w:rsidR="008C0885" w:rsidRPr="00313596" w:rsidRDefault="008C0885" w:rsidP="000C6174">
      <w:pPr>
        <w:jc w:val="left"/>
        <w:rPr>
          <w:rFonts w:ascii="Arial" w:hAnsi="Arial" w:cs="Arial"/>
          <w:sz w:val="22"/>
          <w:szCs w:val="22"/>
        </w:rPr>
      </w:pPr>
      <w:r w:rsidRPr="00313596">
        <w:rPr>
          <w:rFonts w:ascii="Arial" w:hAnsi="Arial" w:cs="Arial"/>
          <w:i/>
          <w:sz w:val="22"/>
          <w:szCs w:val="22"/>
        </w:rPr>
        <w:t>En caso de ofertas presentadas por una APCA, el formulario deberá ser presentado por todos los miembros del APCA</w:t>
      </w:r>
    </w:p>
    <w:p w14:paraId="67C472F1" w14:textId="77777777" w:rsidR="008C0885" w:rsidRPr="00313596" w:rsidRDefault="008C0885">
      <w:pPr>
        <w:jc w:val="left"/>
        <w:rPr>
          <w:rFonts w:ascii="Arial" w:hAnsi="Arial" w:cs="Arial"/>
          <w:b/>
          <w:sz w:val="22"/>
          <w:szCs w:val="22"/>
          <w:lang w:val="es-HN"/>
        </w:rPr>
      </w:pPr>
      <w:r w:rsidRPr="00313596">
        <w:rPr>
          <w:rFonts w:ascii="Arial" w:hAnsi="Arial" w:cs="Arial"/>
          <w:b/>
          <w:sz w:val="22"/>
          <w:szCs w:val="22"/>
          <w:lang w:val="es-HN"/>
        </w:rPr>
        <w:br w:type="page"/>
      </w:r>
    </w:p>
    <w:p w14:paraId="767A8534" w14:textId="77777777" w:rsidR="008C0885" w:rsidRPr="00313596" w:rsidRDefault="008C0885" w:rsidP="000C6174">
      <w:pPr>
        <w:rPr>
          <w:rFonts w:ascii="Arial" w:hAnsi="Arial" w:cs="Arial"/>
          <w:b/>
          <w:sz w:val="22"/>
          <w:szCs w:val="22"/>
          <w:lang w:val="es-HN"/>
        </w:rPr>
      </w:pPr>
      <w:r w:rsidRPr="00313596">
        <w:rPr>
          <w:rFonts w:ascii="Arial" w:hAnsi="Arial" w:cs="Arial"/>
          <w:b/>
          <w:sz w:val="22"/>
          <w:szCs w:val="22"/>
          <w:lang w:val="es-HN"/>
        </w:rPr>
        <w:lastRenderedPageBreak/>
        <w:t>FORMULARIO EXP-1</w:t>
      </w:r>
    </w:p>
    <w:p w14:paraId="55550D2E" w14:textId="77777777" w:rsidR="008C0885" w:rsidRPr="00313596" w:rsidRDefault="008C0885" w:rsidP="000C6174">
      <w:pPr>
        <w:ind w:left="3240" w:right="-720" w:hanging="3240"/>
        <w:rPr>
          <w:rFonts w:ascii="Arial" w:hAnsi="Arial" w:cs="Arial"/>
          <w:b/>
          <w:sz w:val="22"/>
          <w:szCs w:val="22"/>
          <w:lang w:val="es-HN"/>
        </w:rPr>
      </w:pPr>
    </w:p>
    <w:p w14:paraId="3AE79021" w14:textId="77777777" w:rsidR="008C0885" w:rsidRPr="00313596" w:rsidRDefault="008C0885" w:rsidP="000C6174">
      <w:pPr>
        <w:pStyle w:val="SectionVHeader"/>
        <w:rPr>
          <w:rFonts w:ascii="Arial" w:hAnsi="Arial" w:cs="Arial"/>
          <w:sz w:val="22"/>
          <w:szCs w:val="22"/>
          <w:lang w:val="es-HN"/>
        </w:rPr>
      </w:pPr>
      <w:r w:rsidRPr="00313596">
        <w:rPr>
          <w:rFonts w:ascii="Arial" w:hAnsi="Arial" w:cs="Arial"/>
          <w:sz w:val="22"/>
          <w:szCs w:val="22"/>
          <w:lang w:val="es-HN"/>
        </w:rPr>
        <w:t>Experiencia General</w:t>
      </w:r>
    </w:p>
    <w:p w14:paraId="60910379" w14:textId="77777777" w:rsidR="008C0885" w:rsidRPr="00313596" w:rsidRDefault="008C0885" w:rsidP="000C6174">
      <w:pPr>
        <w:pStyle w:val="SectionVHeader"/>
        <w:rPr>
          <w:rFonts w:ascii="Arial" w:hAnsi="Arial" w:cs="Arial"/>
          <w:sz w:val="22"/>
          <w:szCs w:val="22"/>
          <w:lang w:val="es-HN"/>
        </w:rPr>
      </w:pPr>
    </w:p>
    <w:p w14:paraId="363F2FB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r w:rsidRPr="00313596">
        <w:rPr>
          <w:rFonts w:ascii="Arial" w:hAnsi="Arial" w:cs="Arial"/>
          <w:sz w:val="22"/>
          <w:szCs w:val="22"/>
          <w:lang w:val="es-HN"/>
        </w:rPr>
        <w:t>Describir la información detallada de cada uno de los contratos</w:t>
      </w:r>
      <w:r w:rsidRPr="00313596">
        <w:rPr>
          <w:rFonts w:ascii="Arial" w:hAnsi="Arial" w:cs="Arial"/>
          <w:color w:val="FF0000"/>
          <w:sz w:val="22"/>
          <w:szCs w:val="22"/>
          <w:lang w:val="es-HN"/>
        </w:rPr>
        <w:t>,</w:t>
      </w:r>
      <w:r w:rsidRPr="00313596">
        <w:rPr>
          <w:rFonts w:ascii="Arial" w:hAnsi="Arial" w:cs="Arial"/>
          <w:sz w:val="22"/>
          <w:szCs w:val="22"/>
          <w:lang w:val="es-HN"/>
        </w:rPr>
        <w:t xml:space="preserve"> ya sea en forma individual o como integrante de una APCA. </w:t>
      </w:r>
    </w:p>
    <w:p w14:paraId="31167BDD" w14:textId="77777777" w:rsidR="008C0885" w:rsidRPr="00313596" w:rsidRDefault="008C0885" w:rsidP="000C6174">
      <w:pPr>
        <w:jc w:val="center"/>
        <w:rPr>
          <w:rFonts w:ascii="Arial" w:hAnsi="Arial" w:cs="Arial"/>
          <w:sz w:val="22"/>
          <w:szCs w:val="22"/>
          <w:lang w:val="es-HN"/>
        </w:rPr>
      </w:pPr>
    </w:p>
    <w:p w14:paraId="469A94D7" w14:textId="77777777" w:rsidR="008C0885" w:rsidRPr="00313596" w:rsidRDefault="008C0885" w:rsidP="000C6174">
      <w:pPr>
        <w:tabs>
          <w:tab w:val="right" w:pos="9630"/>
        </w:tabs>
        <w:ind w:right="162"/>
        <w:rPr>
          <w:rFonts w:ascii="Arial" w:hAnsi="Arial" w:cs="Arial"/>
          <w:sz w:val="22"/>
          <w:szCs w:val="22"/>
          <w:lang w:val="es-HN"/>
        </w:rPr>
      </w:pPr>
      <w:r w:rsidRPr="00313596">
        <w:rPr>
          <w:rFonts w:ascii="Arial" w:hAnsi="Arial" w:cs="Arial"/>
          <w:sz w:val="22"/>
          <w:szCs w:val="22"/>
          <w:lang w:val="es-HN"/>
        </w:rPr>
        <w:t xml:space="preserve">Nombre legal del oferente: </w:t>
      </w:r>
      <w:r w:rsidRPr="00313596">
        <w:rPr>
          <w:rFonts w:ascii="Arial" w:hAnsi="Arial" w:cs="Arial"/>
          <w:i/>
          <w:color w:val="FF0000"/>
          <w:sz w:val="22"/>
          <w:szCs w:val="22"/>
          <w:lang w:val="es-HN"/>
        </w:rPr>
        <w:t>(indicar nombre completo)</w:t>
      </w:r>
      <w:r w:rsidRPr="00313596">
        <w:rPr>
          <w:rFonts w:ascii="Arial" w:hAnsi="Arial" w:cs="Arial"/>
          <w:sz w:val="22"/>
          <w:szCs w:val="22"/>
          <w:lang w:val="es-HN"/>
        </w:rPr>
        <w:tab/>
        <w:t>Fecha</w:t>
      </w:r>
      <w:r w:rsidRPr="00313596">
        <w:rPr>
          <w:rFonts w:ascii="Arial" w:hAnsi="Arial" w:cs="Arial"/>
          <w:i/>
          <w:color w:val="FF0000"/>
          <w:sz w:val="22"/>
          <w:szCs w:val="22"/>
          <w:lang w:val="es-HN"/>
        </w:rPr>
        <w:t>: (indicar día, mes y año)</w:t>
      </w:r>
      <w:r w:rsidRPr="00313596">
        <w:rPr>
          <w:rFonts w:ascii="Arial" w:hAnsi="Arial" w:cs="Arial"/>
          <w:color w:val="FF0000"/>
          <w:sz w:val="22"/>
          <w:szCs w:val="22"/>
          <w:lang w:val="es-HN"/>
        </w:rPr>
        <w:t>          </w:t>
      </w:r>
    </w:p>
    <w:p w14:paraId="334CE7DA" w14:textId="77777777" w:rsidR="008C0885" w:rsidRPr="00313596" w:rsidRDefault="008C0885" w:rsidP="000C6174">
      <w:pPr>
        <w:tabs>
          <w:tab w:val="right" w:pos="9990"/>
        </w:tabs>
        <w:ind w:right="-18"/>
        <w:rPr>
          <w:rFonts w:ascii="Arial" w:hAnsi="Arial" w:cs="Arial"/>
          <w:i/>
          <w:sz w:val="22"/>
          <w:szCs w:val="22"/>
          <w:lang w:val="es-HN"/>
        </w:rPr>
      </w:pPr>
      <w:r w:rsidRPr="00313596">
        <w:rPr>
          <w:rFonts w:ascii="Arial" w:hAnsi="Arial" w:cs="Arial"/>
          <w:sz w:val="22"/>
          <w:szCs w:val="22"/>
          <w:lang w:val="es-HN"/>
        </w:rPr>
        <w:t xml:space="preserve">Nombre legal del miembro de la APCA: </w:t>
      </w:r>
      <w:r w:rsidRPr="00313596">
        <w:rPr>
          <w:rFonts w:ascii="Arial" w:hAnsi="Arial" w:cs="Arial"/>
          <w:i/>
          <w:color w:val="FF0000"/>
          <w:sz w:val="22"/>
          <w:szCs w:val="22"/>
          <w:lang w:val="es-HN"/>
        </w:rPr>
        <w:t xml:space="preserve">(indicar nombre completo) </w:t>
      </w:r>
    </w:p>
    <w:p w14:paraId="286777AE" w14:textId="77777777" w:rsidR="008C0885" w:rsidRPr="00313596" w:rsidRDefault="008C0885" w:rsidP="000C6174">
      <w:pPr>
        <w:ind w:right="162"/>
        <w:jc w:val="right"/>
        <w:rPr>
          <w:rFonts w:ascii="Arial" w:hAnsi="Arial" w:cs="Arial"/>
          <w:b/>
          <w:color w:val="FF0000"/>
          <w:sz w:val="22"/>
          <w:szCs w:val="22"/>
          <w:lang w:val="es-HN"/>
        </w:rPr>
      </w:pPr>
    </w:p>
    <w:p w14:paraId="24670DC1" w14:textId="77777777" w:rsidR="008C0885" w:rsidRPr="00313596" w:rsidRDefault="008C0885" w:rsidP="000C6174">
      <w:pPr>
        <w:pStyle w:val="Outline"/>
        <w:suppressAutoHyphens/>
        <w:spacing w:before="0"/>
        <w:rPr>
          <w:rFonts w:ascii="Arial" w:hAnsi="Arial" w:cs="Arial"/>
          <w:color w:val="FF0000"/>
          <w:kern w:val="0"/>
          <w:sz w:val="22"/>
          <w:szCs w:val="22"/>
          <w:lang w:val="es-HN"/>
        </w:rPr>
      </w:pPr>
      <w:r w:rsidRPr="00313596">
        <w:rPr>
          <w:rFonts w:ascii="Arial" w:hAnsi="Arial" w:cs="Arial"/>
          <w:color w:val="FF0000"/>
          <w:kern w:val="0"/>
          <w:sz w:val="22"/>
          <w:szCs w:val="22"/>
          <w:lang w:val="es-HN"/>
        </w:rPr>
        <w:t>(Identificar los contratos que demuestran continuidad de operación)</w:t>
      </w:r>
    </w:p>
    <w:p w14:paraId="208759CA" w14:textId="77777777" w:rsidR="008C0885" w:rsidRPr="00313596" w:rsidRDefault="008C0885" w:rsidP="000C6174">
      <w:pPr>
        <w:pStyle w:val="Outline"/>
        <w:suppressAutoHyphens/>
        <w:spacing w:before="0"/>
        <w:rPr>
          <w:rFonts w:ascii="Arial" w:hAnsi="Arial" w:cs="Arial"/>
          <w:kern w:val="0"/>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174"/>
        <w:gridCol w:w="993"/>
        <w:gridCol w:w="4943"/>
        <w:gridCol w:w="1440"/>
      </w:tblGrid>
      <w:tr w:rsidR="008C0885" w:rsidRPr="00313596" w14:paraId="6FA73C96" w14:textId="77777777" w:rsidTr="00272464">
        <w:trPr>
          <w:cantSplit/>
          <w:trHeight w:val="20"/>
          <w:tblHeader/>
        </w:trPr>
        <w:tc>
          <w:tcPr>
            <w:tcW w:w="810" w:type="dxa"/>
            <w:shd w:val="clear" w:color="auto" w:fill="00B050"/>
            <w:vAlign w:val="center"/>
          </w:tcPr>
          <w:p w14:paraId="038C6876"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Inicio</w:t>
            </w:r>
          </w:p>
          <w:p w14:paraId="3C9034AF" w14:textId="77777777" w:rsidR="008C0885" w:rsidRPr="00272464" w:rsidRDefault="008C0885" w:rsidP="00D31E7E">
            <w:pPr>
              <w:ind w:left="-109" w:right="-103"/>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Mes/</w:t>
            </w:r>
            <w:r w:rsidR="00D31E7E" w:rsidRPr="00272464">
              <w:rPr>
                <w:rFonts w:ascii="Arial" w:hAnsi="Arial" w:cs="Arial"/>
                <w:b/>
                <w:color w:val="FFFFFF" w:themeColor="background1"/>
                <w:sz w:val="22"/>
                <w:szCs w:val="22"/>
                <w:lang w:val="es-HN"/>
              </w:rPr>
              <w:t xml:space="preserve"> </w:t>
            </w:r>
            <w:r w:rsidRPr="00272464">
              <w:rPr>
                <w:rFonts w:ascii="Arial" w:hAnsi="Arial" w:cs="Arial"/>
                <w:b/>
                <w:color w:val="FFFFFF" w:themeColor="background1"/>
                <w:sz w:val="22"/>
                <w:szCs w:val="22"/>
                <w:lang w:val="es-HN"/>
              </w:rPr>
              <w:t>año</w:t>
            </w:r>
          </w:p>
        </w:tc>
        <w:tc>
          <w:tcPr>
            <w:tcW w:w="1174" w:type="dxa"/>
            <w:shd w:val="clear" w:color="auto" w:fill="00B050"/>
            <w:vAlign w:val="center"/>
          </w:tcPr>
          <w:p w14:paraId="0341F1CC"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Fin</w:t>
            </w:r>
          </w:p>
          <w:p w14:paraId="13E5D8E2"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Mes/año</w:t>
            </w:r>
          </w:p>
        </w:tc>
        <w:tc>
          <w:tcPr>
            <w:tcW w:w="993" w:type="dxa"/>
            <w:shd w:val="clear" w:color="auto" w:fill="00B050"/>
            <w:vAlign w:val="center"/>
          </w:tcPr>
          <w:p w14:paraId="73BE0B4D"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Años*</w:t>
            </w:r>
          </w:p>
        </w:tc>
        <w:tc>
          <w:tcPr>
            <w:tcW w:w="4943" w:type="dxa"/>
            <w:shd w:val="clear" w:color="auto" w:fill="00B050"/>
            <w:vAlign w:val="center"/>
          </w:tcPr>
          <w:p w14:paraId="5CC47877"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Identificación del contrato *</w:t>
            </w:r>
          </w:p>
        </w:tc>
        <w:tc>
          <w:tcPr>
            <w:tcW w:w="1440" w:type="dxa"/>
            <w:shd w:val="clear" w:color="auto" w:fill="00B050"/>
            <w:vAlign w:val="center"/>
          </w:tcPr>
          <w:p w14:paraId="784E51DB" w14:textId="77777777" w:rsidR="008C0885" w:rsidRPr="00272464" w:rsidRDefault="008C0885" w:rsidP="000C6174">
            <w:pPr>
              <w:jc w:val="center"/>
              <w:rPr>
                <w:rFonts w:ascii="Arial" w:hAnsi="Arial" w:cs="Arial"/>
                <w:b/>
                <w:color w:val="FFFFFF" w:themeColor="background1"/>
                <w:sz w:val="22"/>
                <w:szCs w:val="22"/>
                <w:lang w:val="es-HN"/>
              </w:rPr>
            </w:pPr>
            <w:r w:rsidRPr="00272464">
              <w:rPr>
                <w:rFonts w:ascii="Arial" w:hAnsi="Arial" w:cs="Arial"/>
                <w:b/>
                <w:color w:val="FFFFFF" w:themeColor="background1"/>
                <w:sz w:val="22"/>
                <w:szCs w:val="22"/>
                <w:lang w:val="es-HN"/>
              </w:rPr>
              <w:t>Función del Oferente</w:t>
            </w:r>
          </w:p>
        </w:tc>
      </w:tr>
      <w:tr w:rsidR="008C0885" w:rsidRPr="00313596" w14:paraId="16A4D0EE" w14:textId="77777777" w:rsidTr="003575F5">
        <w:trPr>
          <w:cantSplit/>
          <w:trHeight w:val="20"/>
        </w:trPr>
        <w:tc>
          <w:tcPr>
            <w:tcW w:w="810" w:type="dxa"/>
          </w:tcPr>
          <w:p w14:paraId="7DCC3469" w14:textId="77777777" w:rsidR="008C0885" w:rsidRPr="00313596" w:rsidRDefault="008C0885" w:rsidP="00D31E7E">
            <w:pPr>
              <w:spacing w:before="120" w:after="240"/>
              <w:ind w:left="-109" w:right="-103" w:hanging="10"/>
              <w:jc w:val="center"/>
              <w:rPr>
                <w:rFonts w:ascii="Arial" w:hAnsi="Arial" w:cs="Arial"/>
                <w:i/>
                <w:sz w:val="22"/>
                <w:szCs w:val="22"/>
                <w:lang w:val="es-HN"/>
              </w:rPr>
            </w:pPr>
            <w:r w:rsidRPr="00313596">
              <w:rPr>
                <w:rFonts w:ascii="Arial" w:hAnsi="Arial" w:cs="Arial"/>
                <w:i/>
                <w:color w:val="FF0000"/>
                <w:sz w:val="22"/>
                <w:szCs w:val="22"/>
                <w:lang w:val="es-HN"/>
              </w:rPr>
              <w:t>(indicar mes/</w:t>
            </w:r>
            <w:r w:rsidR="00D31E7E" w:rsidRPr="00313596">
              <w:rPr>
                <w:rFonts w:ascii="Arial" w:hAnsi="Arial" w:cs="Arial"/>
                <w:i/>
                <w:color w:val="FF0000"/>
                <w:sz w:val="22"/>
                <w:szCs w:val="22"/>
                <w:lang w:val="es-HN"/>
              </w:rPr>
              <w:t xml:space="preserve"> </w:t>
            </w:r>
            <w:r w:rsidRPr="00313596">
              <w:rPr>
                <w:rFonts w:ascii="Arial" w:hAnsi="Arial" w:cs="Arial"/>
                <w:i/>
                <w:color w:val="FF0000"/>
                <w:sz w:val="22"/>
                <w:szCs w:val="22"/>
                <w:lang w:val="es-HN"/>
              </w:rPr>
              <w:t>año)</w:t>
            </w:r>
          </w:p>
        </w:tc>
        <w:tc>
          <w:tcPr>
            <w:tcW w:w="1174" w:type="dxa"/>
          </w:tcPr>
          <w:p w14:paraId="1E038BF8" w14:textId="77777777" w:rsidR="008C0885" w:rsidRPr="00313596" w:rsidRDefault="008C0885" w:rsidP="000C6174">
            <w:pPr>
              <w:spacing w:before="120" w:after="240"/>
              <w:rPr>
                <w:rFonts w:ascii="Arial" w:hAnsi="Arial" w:cs="Arial"/>
                <w:i/>
                <w:sz w:val="22"/>
                <w:szCs w:val="22"/>
                <w:lang w:val="es-HN"/>
              </w:rPr>
            </w:pPr>
            <w:r w:rsidRPr="00313596">
              <w:rPr>
                <w:rFonts w:ascii="Arial" w:hAnsi="Arial" w:cs="Arial"/>
                <w:i/>
                <w:color w:val="FF0000"/>
                <w:sz w:val="22"/>
                <w:szCs w:val="22"/>
                <w:lang w:val="es-HN"/>
              </w:rPr>
              <w:t>(indicar mes/año)</w:t>
            </w:r>
          </w:p>
        </w:tc>
        <w:tc>
          <w:tcPr>
            <w:tcW w:w="993" w:type="dxa"/>
          </w:tcPr>
          <w:p w14:paraId="091D6B42" w14:textId="77777777" w:rsidR="008C0885" w:rsidRPr="00313596" w:rsidRDefault="008C0885" w:rsidP="000C6174">
            <w:pPr>
              <w:spacing w:before="120" w:after="240"/>
              <w:rPr>
                <w:rFonts w:ascii="Arial" w:hAnsi="Arial" w:cs="Arial"/>
                <w:i/>
                <w:sz w:val="22"/>
                <w:szCs w:val="22"/>
                <w:lang w:val="es-HN"/>
              </w:rPr>
            </w:pPr>
            <w:r w:rsidRPr="00313596">
              <w:rPr>
                <w:rFonts w:ascii="Arial" w:hAnsi="Arial" w:cs="Arial"/>
                <w:i/>
                <w:color w:val="FF0000"/>
                <w:sz w:val="22"/>
                <w:szCs w:val="22"/>
                <w:lang w:val="es-HN"/>
              </w:rPr>
              <w:t>(indicar número de años)</w:t>
            </w:r>
          </w:p>
        </w:tc>
        <w:tc>
          <w:tcPr>
            <w:tcW w:w="4943" w:type="dxa"/>
          </w:tcPr>
          <w:p w14:paraId="48A8855D" w14:textId="77777777" w:rsidR="008C0885" w:rsidRPr="00313596" w:rsidRDefault="008C0885" w:rsidP="000C6174">
            <w:pPr>
              <w:spacing w:before="120" w:after="240"/>
              <w:ind w:left="93"/>
              <w:jc w:val="left"/>
              <w:rPr>
                <w:rFonts w:ascii="Arial" w:hAnsi="Arial" w:cs="Arial"/>
                <w:color w:val="FF0000"/>
                <w:sz w:val="22"/>
                <w:szCs w:val="22"/>
                <w:lang w:val="es-HN"/>
              </w:rPr>
            </w:pPr>
            <w:r w:rsidRPr="00313596">
              <w:rPr>
                <w:rFonts w:ascii="Arial" w:hAnsi="Arial" w:cs="Arial"/>
                <w:sz w:val="22"/>
                <w:szCs w:val="22"/>
                <w:lang w:val="es-HN"/>
              </w:rPr>
              <w:t xml:space="preserve">Nombre del contrato: </w:t>
            </w:r>
            <w:r w:rsidRPr="00313596">
              <w:rPr>
                <w:rFonts w:ascii="Arial" w:hAnsi="Arial" w:cs="Arial"/>
                <w:i/>
                <w:color w:val="FF0000"/>
                <w:sz w:val="22"/>
                <w:szCs w:val="22"/>
                <w:lang w:val="es-HN"/>
              </w:rPr>
              <w:t>(indicar nombre completo</w:t>
            </w:r>
            <w:r w:rsidRPr="00313596">
              <w:rPr>
                <w:rFonts w:ascii="Arial" w:hAnsi="Arial" w:cs="Arial"/>
                <w:color w:val="FF0000"/>
                <w:sz w:val="22"/>
                <w:szCs w:val="22"/>
                <w:lang w:val="es-HN"/>
              </w:rPr>
              <w:t>)</w:t>
            </w:r>
          </w:p>
          <w:p w14:paraId="04111815" w14:textId="77777777" w:rsidR="008C0885" w:rsidRPr="00313596" w:rsidRDefault="008C0885" w:rsidP="000C6174">
            <w:pPr>
              <w:spacing w:before="120" w:after="240"/>
              <w:ind w:left="93"/>
              <w:jc w:val="left"/>
              <w:rPr>
                <w:rFonts w:ascii="Arial" w:hAnsi="Arial" w:cs="Arial"/>
                <w:i/>
                <w:color w:val="FF0000"/>
                <w:sz w:val="22"/>
                <w:szCs w:val="22"/>
                <w:lang w:val="es-HN"/>
              </w:rPr>
            </w:pPr>
            <w:r w:rsidRPr="00313596">
              <w:rPr>
                <w:rFonts w:ascii="Arial" w:hAnsi="Arial" w:cs="Arial"/>
                <w:sz w:val="22"/>
                <w:szCs w:val="22"/>
                <w:lang w:val="es-HN"/>
              </w:rPr>
              <w:t xml:space="preserve">Breve descripción del alcance del: </w:t>
            </w:r>
            <w:r w:rsidRPr="00313596">
              <w:rPr>
                <w:rFonts w:ascii="Arial" w:hAnsi="Arial" w:cs="Arial"/>
                <w:i/>
                <w:color w:val="FF0000"/>
                <w:sz w:val="22"/>
                <w:szCs w:val="22"/>
                <w:lang w:val="es-HN"/>
              </w:rPr>
              <w:t>(describir el objeto del contrato en forma breve)</w:t>
            </w:r>
          </w:p>
          <w:p w14:paraId="1ED58232" w14:textId="77777777" w:rsidR="008C0885" w:rsidRPr="00313596" w:rsidRDefault="008C0885" w:rsidP="000C6174">
            <w:pPr>
              <w:spacing w:before="120" w:after="240"/>
              <w:ind w:left="93"/>
              <w:jc w:val="left"/>
              <w:rPr>
                <w:rFonts w:ascii="Arial" w:hAnsi="Arial" w:cs="Arial"/>
                <w:sz w:val="22"/>
                <w:szCs w:val="22"/>
                <w:lang w:val="es-HN"/>
              </w:rPr>
            </w:pPr>
            <w:r w:rsidRPr="00313596">
              <w:rPr>
                <w:rFonts w:ascii="Arial" w:hAnsi="Arial" w:cs="Arial"/>
                <w:sz w:val="22"/>
                <w:szCs w:val="22"/>
                <w:lang w:val="es-HN"/>
              </w:rPr>
              <w:t>Nombre del Contratante</w:t>
            </w:r>
            <w:r w:rsidRPr="00313596">
              <w:rPr>
                <w:rFonts w:ascii="Arial" w:hAnsi="Arial" w:cs="Arial"/>
                <w:color w:val="FF0000"/>
                <w:sz w:val="22"/>
                <w:szCs w:val="22"/>
                <w:lang w:val="es-HN"/>
              </w:rPr>
              <w:t>:(indicar nombre completo)</w:t>
            </w:r>
          </w:p>
          <w:p w14:paraId="7FF08436" w14:textId="77777777" w:rsidR="008C0885" w:rsidRPr="00313596" w:rsidRDefault="008C0885" w:rsidP="000C6174">
            <w:pPr>
              <w:spacing w:before="120" w:after="240"/>
              <w:ind w:left="93"/>
              <w:jc w:val="left"/>
              <w:rPr>
                <w:rFonts w:ascii="Arial" w:hAnsi="Arial" w:cs="Arial"/>
                <w:sz w:val="22"/>
                <w:szCs w:val="22"/>
                <w:lang w:val="es-HN"/>
              </w:rPr>
            </w:pPr>
            <w:r w:rsidRPr="00313596">
              <w:rPr>
                <w:rFonts w:ascii="Arial" w:hAnsi="Arial" w:cs="Arial"/>
                <w:sz w:val="22"/>
                <w:szCs w:val="22"/>
                <w:lang w:val="es-HN"/>
              </w:rPr>
              <w:t xml:space="preserve">Dirección: </w:t>
            </w:r>
            <w:r w:rsidRPr="00313596">
              <w:rPr>
                <w:rFonts w:ascii="Arial" w:hAnsi="Arial" w:cs="Arial"/>
                <w:color w:val="FF0000"/>
                <w:sz w:val="22"/>
                <w:szCs w:val="22"/>
                <w:lang w:val="es-HN"/>
              </w:rPr>
              <w:t>(</w:t>
            </w:r>
            <w:r w:rsidRPr="00313596">
              <w:rPr>
                <w:rFonts w:ascii="Arial" w:hAnsi="Arial" w:cs="Arial"/>
                <w:i/>
                <w:color w:val="FF0000"/>
                <w:sz w:val="22"/>
                <w:szCs w:val="22"/>
                <w:lang w:val="es-HN"/>
              </w:rPr>
              <w:t>indicar calle/número/ciudad/país)</w:t>
            </w:r>
          </w:p>
        </w:tc>
        <w:tc>
          <w:tcPr>
            <w:tcW w:w="1440" w:type="dxa"/>
          </w:tcPr>
          <w:p w14:paraId="490D19D5" w14:textId="77777777" w:rsidR="008C0885" w:rsidRPr="00313596" w:rsidRDefault="008C0885" w:rsidP="000C6174">
            <w:pPr>
              <w:spacing w:before="120" w:after="240"/>
              <w:ind w:left="27"/>
              <w:rPr>
                <w:rFonts w:ascii="Arial" w:hAnsi="Arial" w:cs="Arial"/>
                <w:i/>
                <w:sz w:val="22"/>
                <w:szCs w:val="22"/>
                <w:lang w:val="es-HN"/>
              </w:rPr>
            </w:pPr>
            <w:r w:rsidRPr="00313596">
              <w:rPr>
                <w:rFonts w:ascii="Arial" w:hAnsi="Arial" w:cs="Arial"/>
                <w:i/>
                <w:color w:val="FF0000"/>
                <w:sz w:val="22"/>
                <w:szCs w:val="22"/>
                <w:lang w:val="es-HN"/>
              </w:rPr>
              <w:t>(indicar función del oferente)</w:t>
            </w:r>
          </w:p>
        </w:tc>
      </w:tr>
      <w:tr w:rsidR="008C0885" w:rsidRPr="00313596" w14:paraId="3447A46F" w14:textId="77777777" w:rsidTr="003575F5">
        <w:trPr>
          <w:cantSplit/>
          <w:trHeight w:val="20"/>
        </w:trPr>
        <w:tc>
          <w:tcPr>
            <w:tcW w:w="810" w:type="dxa"/>
          </w:tcPr>
          <w:p w14:paraId="4BEFF80D" w14:textId="77777777" w:rsidR="008C0885" w:rsidRPr="00313596" w:rsidRDefault="008C0885" w:rsidP="000C6174">
            <w:pPr>
              <w:rPr>
                <w:rFonts w:ascii="Arial" w:hAnsi="Arial" w:cs="Arial"/>
                <w:sz w:val="22"/>
                <w:szCs w:val="22"/>
              </w:rPr>
            </w:pPr>
          </w:p>
        </w:tc>
        <w:tc>
          <w:tcPr>
            <w:tcW w:w="1174" w:type="dxa"/>
          </w:tcPr>
          <w:p w14:paraId="500BF066" w14:textId="77777777" w:rsidR="008C0885" w:rsidRPr="00313596" w:rsidRDefault="008C0885" w:rsidP="000C6174">
            <w:pPr>
              <w:rPr>
                <w:rFonts w:ascii="Arial" w:hAnsi="Arial" w:cs="Arial"/>
                <w:sz w:val="22"/>
                <w:szCs w:val="22"/>
              </w:rPr>
            </w:pPr>
          </w:p>
        </w:tc>
        <w:tc>
          <w:tcPr>
            <w:tcW w:w="993" w:type="dxa"/>
          </w:tcPr>
          <w:p w14:paraId="7512658C" w14:textId="77777777" w:rsidR="008C0885" w:rsidRPr="00313596" w:rsidRDefault="008C0885" w:rsidP="000C6174">
            <w:pPr>
              <w:rPr>
                <w:rFonts w:ascii="Arial" w:hAnsi="Arial" w:cs="Arial"/>
                <w:sz w:val="22"/>
                <w:szCs w:val="22"/>
              </w:rPr>
            </w:pPr>
          </w:p>
        </w:tc>
        <w:tc>
          <w:tcPr>
            <w:tcW w:w="4943" w:type="dxa"/>
          </w:tcPr>
          <w:p w14:paraId="5DCEACA9" w14:textId="77777777" w:rsidR="008C0885" w:rsidRPr="00313596" w:rsidRDefault="008C0885" w:rsidP="000C6174">
            <w:pPr>
              <w:rPr>
                <w:rFonts w:ascii="Arial" w:hAnsi="Arial" w:cs="Arial"/>
                <w:sz w:val="22"/>
                <w:szCs w:val="22"/>
              </w:rPr>
            </w:pPr>
          </w:p>
        </w:tc>
        <w:tc>
          <w:tcPr>
            <w:tcW w:w="1440" w:type="dxa"/>
          </w:tcPr>
          <w:p w14:paraId="5CC2B286" w14:textId="77777777" w:rsidR="008C0885" w:rsidRPr="00313596" w:rsidRDefault="008C0885" w:rsidP="000C6174">
            <w:pPr>
              <w:rPr>
                <w:rFonts w:ascii="Arial" w:hAnsi="Arial" w:cs="Arial"/>
                <w:sz w:val="22"/>
                <w:szCs w:val="22"/>
              </w:rPr>
            </w:pPr>
          </w:p>
        </w:tc>
      </w:tr>
      <w:tr w:rsidR="008C0885" w:rsidRPr="00313596" w14:paraId="1DB955CC" w14:textId="77777777" w:rsidTr="003575F5">
        <w:trPr>
          <w:cantSplit/>
          <w:trHeight w:val="20"/>
        </w:trPr>
        <w:tc>
          <w:tcPr>
            <w:tcW w:w="810" w:type="dxa"/>
          </w:tcPr>
          <w:p w14:paraId="3B7C036D" w14:textId="77777777" w:rsidR="008C0885" w:rsidRPr="00313596" w:rsidRDefault="008C0885" w:rsidP="000C6174">
            <w:pPr>
              <w:rPr>
                <w:rFonts w:ascii="Arial" w:hAnsi="Arial" w:cs="Arial"/>
                <w:sz w:val="22"/>
                <w:szCs w:val="22"/>
              </w:rPr>
            </w:pPr>
          </w:p>
        </w:tc>
        <w:tc>
          <w:tcPr>
            <w:tcW w:w="1174" w:type="dxa"/>
          </w:tcPr>
          <w:p w14:paraId="1F9C42EB" w14:textId="77777777" w:rsidR="008C0885" w:rsidRPr="00313596" w:rsidRDefault="008C0885" w:rsidP="000C6174">
            <w:pPr>
              <w:rPr>
                <w:rFonts w:ascii="Arial" w:hAnsi="Arial" w:cs="Arial"/>
                <w:sz w:val="22"/>
                <w:szCs w:val="22"/>
              </w:rPr>
            </w:pPr>
          </w:p>
        </w:tc>
        <w:tc>
          <w:tcPr>
            <w:tcW w:w="993" w:type="dxa"/>
          </w:tcPr>
          <w:p w14:paraId="48BFEE70" w14:textId="77777777" w:rsidR="008C0885" w:rsidRPr="00313596" w:rsidRDefault="008C0885" w:rsidP="000C6174">
            <w:pPr>
              <w:rPr>
                <w:rFonts w:ascii="Arial" w:hAnsi="Arial" w:cs="Arial"/>
                <w:sz w:val="22"/>
                <w:szCs w:val="22"/>
              </w:rPr>
            </w:pPr>
          </w:p>
        </w:tc>
        <w:tc>
          <w:tcPr>
            <w:tcW w:w="4943" w:type="dxa"/>
          </w:tcPr>
          <w:p w14:paraId="062B19F4" w14:textId="77777777" w:rsidR="008C0885" w:rsidRPr="00313596" w:rsidRDefault="008C0885" w:rsidP="000C6174">
            <w:pPr>
              <w:rPr>
                <w:rFonts w:ascii="Arial" w:hAnsi="Arial" w:cs="Arial"/>
                <w:sz w:val="22"/>
                <w:szCs w:val="22"/>
              </w:rPr>
            </w:pPr>
          </w:p>
        </w:tc>
        <w:tc>
          <w:tcPr>
            <w:tcW w:w="1440" w:type="dxa"/>
          </w:tcPr>
          <w:p w14:paraId="3E8F6242" w14:textId="77777777" w:rsidR="008C0885" w:rsidRPr="00313596" w:rsidRDefault="008C0885" w:rsidP="000C6174">
            <w:pPr>
              <w:rPr>
                <w:rFonts w:ascii="Arial" w:hAnsi="Arial" w:cs="Arial"/>
                <w:sz w:val="22"/>
                <w:szCs w:val="22"/>
              </w:rPr>
            </w:pPr>
          </w:p>
        </w:tc>
      </w:tr>
    </w:tbl>
    <w:p w14:paraId="6A1D2216" w14:textId="77777777" w:rsidR="008C0885" w:rsidRPr="00313596" w:rsidRDefault="008C0885" w:rsidP="000C6174">
      <w:pPr>
        <w:pStyle w:val="Outline"/>
        <w:suppressAutoHyphens/>
        <w:spacing w:before="0"/>
        <w:rPr>
          <w:rFonts w:ascii="Arial" w:hAnsi="Arial" w:cs="Arial"/>
          <w:kern w:val="0"/>
          <w:sz w:val="22"/>
          <w:szCs w:val="22"/>
        </w:rPr>
      </w:pPr>
    </w:p>
    <w:p w14:paraId="7AB1A1EC" w14:textId="77777777" w:rsidR="008C0885" w:rsidRPr="00313596" w:rsidRDefault="008C0885" w:rsidP="000C6174">
      <w:pPr>
        <w:pStyle w:val="Outline"/>
        <w:suppressAutoHyphens/>
        <w:spacing w:before="120" w:after="120"/>
        <w:ind w:left="180" w:hanging="180"/>
        <w:rPr>
          <w:rFonts w:ascii="Arial" w:hAnsi="Arial" w:cs="Arial"/>
          <w:sz w:val="22"/>
          <w:szCs w:val="22"/>
        </w:rPr>
      </w:pPr>
      <w:r w:rsidRPr="00313596">
        <w:rPr>
          <w:rFonts w:ascii="Arial" w:hAnsi="Arial" w:cs="Arial"/>
          <w:sz w:val="22"/>
          <w:szCs w:val="22"/>
        </w:rPr>
        <w:t>* La información aquí suministrada debe completarse para cada una de las experiencias presentadas y debe estar respaldada por la copia del comprobante de las obras recibidas a entera satisfacción, el cual fue emitido por el contratante.</w:t>
      </w:r>
    </w:p>
    <w:p w14:paraId="0B9DC536" w14:textId="77777777" w:rsidR="008C0885" w:rsidRPr="00313596" w:rsidRDefault="008C0885" w:rsidP="000C6174">
      <w:pPr>
        <w:jc w:val="left"/>
        <w:rPr>
          <w:rFonts w:ascii="Arial" w:hAnsi="Arial" w:cs="Arial"/>
          <w:color w:val="FF0000"/>
          <w:sz w:val="22"/>
          <w:szCs w:val="22"/>
        </w:rPr>
      </w:pPr>
      <w:r w:rsidRPr="00313596">
        <w:rPr>
          <w:rFonts w:ascii="Arial" w:hAnsi="Arial" w:cs="Arial"/>
          <w:i/>
          <w:color w:val="FF0000"/>
          <w:sz w:val="22"/>
          <w:szCs w:val="22"/>
        </w:rPr>
        <w:t>En caso de ofertas presentadas por una APCA, el formulario deberá ser presentado por todos los miembros del APCA</w:t>
      </w:r>
    </w:p>
    <w:p w14:paraId="3EA36070" w14:textId="77777777" w:rsidR="008C0885" w:rsidRPr="00313596" w:rsidRDefault="008C0885" w:rsidP="000C6174">
      <w:pPr>
        <w:rPr>
          <w:rFonts w:ascii="Arial" w:hAnsi="Arial" w:cs="Arial"/>
          <w:b/>
          <w:sz w:val="22"/>
          <w:szCs w:val="22"/>
        </w:rPr>
      </w:pPr>
      <w:r w:rsidRPr="00313596">
        <w:rPr>
          <w:rFonts w:ascii="Arial" w:hAnsi="Arial" w:cs="Arial"/>
          <w:sz w:val="22"/>
          <w:szCs w:val="22"/>
        </w:rPr>
        <w:br w:type="page"/>
      </w:r>
    </w:p>
    <w:p w14:paraId="1CB78EE4"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rPr>
          <w:rFonts w:ascii="Arial" w:hAnsi="Arial" w:cs="Arial"/>
          <w:b/>
          <w:sz w:val="22"/>
          <w:szCs w:val="22"/>
          <w:lang w:val="es-HN"/>
        </w:rPr>
      </w:pPr>
      <w:r w:rsidRPr="00313596">
        <w:rPr>
          <w:rFonts w:ascii="Arial" w:hAnsi="Arial" w:cs="Arial"/>
          <w:b/>
          <w:sz w:val="22"/>
          <w:szCs w:val="22"/>
          <w:lang w:val="es-HN"/>
        </w:rPr>
        <w:lastRenderedPageBreak/>
        <w:t xml:space="preserve">FORMULARIO EXP-2                          </w:t>
      </w:r>
    </w:p>
    <w:p w14:paraId="48F19160" w14:textId="77777777" w:rsidR="008C0885" w:rsidRPr="00313596" w:rsidRDefault="008C0885" w:rsidP="000C6174">
      <w:pPr>
        <w:ind w:left="3240" w:right="-720" w:hanging="3240"/>
        <w:rPr>
          <w:rFonts w:ascii="Arial" w:hAnsi="Arial" w:cs="Arial"/>
          <w:b/>
          <w:sz w:val="22"/>
          <w:szCs w:val="22"/>
        </w:rPr>
      </w:pPr>
    </w:p>
    <w:p w14:paraId="7662F3D4" w14:textId="77777777" w:rsidR="008C0885" w:rsidRPr="00313596" w:rsidRDefault="008C0885" w:rsidP="000C6174">
      <w:pPr>
        <w:ind w:right="-720"/>
        <w:jc w:val="center"/>
        <w:rPr>
          <w:rFonts w:ascii="Arial" w:hAnsi="Arial" w:cs="Arial"/>
          <w:sz w:val="22"/>
          <w:szCs w:val="22"/>
          <w:lang w:val="es-HN"/>
        </w:rPr>
      </w:pPr>
      <w:r w:rsidRPr="00313596">
        <w:rPr>
          <w:rFonts w:ascii="Arial" w:hAnsi="Arial" w:cs="Arial"/>
          <w:b/>
          <w:sz w:val="22"/>
          <w:szCs w:val="22"/>
          <w:lang w:val="es-HN"/>
        </w:rPr>
        <w:t>Experiencia Específica del Oferente</w:t>
      </w:r>
      <w:r w:rsidRPr="00313596">
        <w:rPr>
          <w:rFonts w:ascii="Arial" w:hAnsi="Arial" w:cs="Arial"/>
          <w:sz w:val="22"/>
          <w:szCs w:val="22"/>
          <w:lang w:val="es-HN"/>
        </w:rPr>
        <w:tab/>
      </w:r>
    </w:p>
    <w:p w14:paraId="4D30F1B1" w14:textId="77777777" w:rsidR="008C0885" w:rsidRPr="00313596" w:rsidRDefault="008C0885" w:rsidP="000C6174">
      <w:pPr>
        <w:ind w:right="-720"/>
        <w:jc w:val="center"/>
        <w:rPr>
          <w:rFonts w:ascii="Arial" w:hAnsi="Arial" w:cs="Arial"/>
          <w:sz w:val="22"/>
          <w:szCs w:val="22"/>
          <w:lang w:val="es-HN"/>
        </w:rPr>
      </w:pPr>
    </w:p>
    <w:p w14:paraId="69B4FFD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313596">
        <w:rPr>
          <w:rFonts w:ascii="Arial" w:hAnsi="Arial" w:cs="Arial"/>
          <w:sz w:val="22"/>
          <w:szCs w:val="22"/>
        </w:rPr>
        <w:t xml:space="preserve">Describir la información detallada de cada uno de los contratos, ya sea en forma individual o como integrante de una APCA. </w:t>
      </w:r>
    </w:p>
    <w:p w14:paraId="5FC8EF6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tbl>
      <w:tblPr>
        <w:tblW w:w="9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64"/>
      </w:tblGrid>
      <w:tr w:rsidR="008C0885" w:rsidRPr="00313596" w14:paraId="4805B756" w14:textId="77777777" w:rsidTr="003575F5">
        <w:trPr>
          <w:trHeight w:val="542"/>
        </w:trPr>
        <w:tc>
          <w:tcPr>
            <w:tcW w:w="9352" w:type="dxa"/>
            <w:gridSpan w:val="2"/>
            <w:tcBorders>
              <w:top w:val="single" w:sz="6" w:space="0" w:color="auto"/>
              <w:left w:val="single" w:sz="6" w:space="0" w:color="auto"/>
              <w:bottom w:val="single" w:sz="6" w:space="0" w:color="auto"/>
              <w:right w:val="single" w:sz="6" w:space="0" w:color="auto"/>
            </w:tcBorders>
          </w:tcPr>
          <w:p w14:paraId="3A95BACE"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Descripción de las obras ejecutadas por el oferente:</w:t>
            </w:r>
          </w:p>
          <w:p w14:paraId="1D2C4FFF" w14:textId="77777777" w:rsidR="008C0885" w:rsidRPr="00313596" w:rsidRDefault="008C0885" w:rsidP="000C6174">
            <w:pPr>
              <w:rPr>
                <w:rFonts w:ascii="Arial" w:hAnsi="Arial" w:cs="Arial"/>
                <w:sz w:val="22"/>
                <w:szCs w:val="22"/>
                <w:lang w:val="es-HN"/>
              </w:rPr>
            </w:pPr>
          </w:p>
        </w:tc>
      </w:tr>
      <w:tr w:rsidR="008C0885" w:rsidRPr="00313596" w14:paraId="15231761"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1E5745F2"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Nombre del Contratante:</w:t>
            </w:r>
          </w:p>
        </w:tc>
      </w:tr>
      <w:tr w:rsidR="008C0885" w:rsidRPr="00313596" w14:paraId="3F16D8C3"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7E449C22"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Dirección:</w:t>
            </w:r>
          </w:p>
          <w:p w14:paraId="2926B186"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Teléfono:</w:t>
            </w:r>
          </w:p>
          <w:p w14:paraId="4C752E2E"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Fax:</w:t>
            </w:r>
          </w:p>
          <w:p w14:paraId="46798602"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Correo Electrónico:</w:t>
            </w:r>
          </w:p>
        </w:tc>
      </w:tr>
      <w:tr w:rsidR="008C0885" w:rsidRPr="00313596" w14:paraId="374D4CBE"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6A86891A"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País donde se ejecutó la obra:</w:t>
            </w:r>
          </w:p>
          <w:p w14:paraId="4646A999" w14:textId="77777777" w:rsidR="008C0885" w:rsidRPr="00313596" w:rsidRDefault="008C0885" w:rsidP="000C6174">
            <w:pPr>
              <w:rPr>
                <w:rFonts w:ascii="Arial" w:hAnsi="Arial" w:cs="Arial"/>
                <w:sz w:val="22"/>
                <w:szCs w:val="22"/>
                <w:lang w:val="es-HN"/>
              </w:rPr>
            </w:pPr>
          </w:p>
          <w:p w14:paraId="1FE535CA"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Lugar dentro del País:</w:t>
            </w:r>
          </w:p>
        </w:tc>
      </w:tr>
      <w:tr w:rsidR="008C0885" w:rsidRPr="00313596" w14:paraId="49A2A30E" w14:textId="77777777" w:rsidTr="001112A7">
        <w:trPr>
          <w:trHeight w:val="570"/>
        </w:trPr>
        <w:tc>
          <w:tcPr>
            <w:tcW w:w="9352" w:type="dxa"/>
            <w:gridSpan w:val="2"/>
            <w:tcBorders>
              <w:top w:val="single" w:sz="6" w:space="0" w:color="auto"/>
              <w:left w:val="single" w:sz="6" w:space="0" w:color="auto"/>
              <w:bottom w:val="single" w:sz="6" w:space="0" w:color="auto"/>
              <w:right w:val="single" w:sz="6" w:space="0" w:color="auto"/>
            </w:tcBorders>
          </w:tcPr>
          <w:p w14:paraId="2B85DE01" w14:textId="77777777" w:rsidR="008C0885" w:rsidRPr="00313596" w:rsidRDefault="008C0885" w:rsidP="000C6174">
            <w:pPr>
              <w:rPr>
                <w:rFonts w:ascii="Arial" w:hAnsi="Arial" w:cs="Arial"/>
                <w:sz w:val="22"/>
                <w:szCs w:val="22"/>
                <w:lang w:val="es-HN"/>
              </w:rPr>
            </w:pPr>
          </w:p>
        </w:tc>
      </w:tr>
      <w:tr w:rsidR="008C0885" w:rsidRPr="00313596" w14:paraId="3A89F22D" w14:textId="77777777" w:rsidTr="003575F5">
        <w:tc>
          <w:tcPr>
            <w:tcW w:w="9352" w:type="dxa"/>
            <w:gridSpan w:val="2"/>
            <w:tcBorders>
              <w:top w:val="single" w:sz="6" w:space="0" w:color="auto"/>
              <w:left w:val="single" w:sz="6" w:space="0" w:color="auto"/>
              <w:bottom w:val="single" w:sz="6" w:space="0" w:color="auto"/>
              <w:right w:val="single" w:sz="6" w:space="0" w:color="auto"/>
            </w:tcBorders>
          </w:tcPr>
          <w:p w14:paraId="7F562FFE"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Tiempo de ejecución de la obra:</w:t>
            </w:r>
          </w:p>
          <w:p w14:paraId="287C104C" w14:textId="77777777" w:rsidR="008C0885" w:rsidRPr="00313596" w:rsidRDefault="008C0885" w:rsidP="000C6174">
            <w:pPr>
              <w:ind w:left="142"/>
              <w:rPr>
                <w:rFonts w:ascii="Arial" w:hAnsi="Arial" w:cs="Arial"/>
                <w:sz w:val="22"/>
                <w:szCs w:val="22"/>
                <w:lang w:val="es-HN"/>
              </w:rPr>
            </w:pPr>
          </w:p>
        </w:tc>
      </w:tr>
      <w:tr w:rsidR="008C0885" w:rsidRPr="00313596" w14:paraId="39A05445" w14:textId="77777777" w:rsidTr="003575F5">
        <w:tc>
          <w:tcPr>
            <w:tcW w:w="4788" w:type="dxa"/>
            <w:tcBorders>
              <w:top w:val="single" w:sz="6" w:space="0" w:color="auto"/>
              <w:left w:val="single" w:sz="6" w:space="0" w:color="auto"/>
              <w:bottom w:val="single" w:sz="6" w:space="0" w:color="auto"/>
              <w:right w:val="single" w:sz="6" w:space="0" w:color="auto"/>
            </w:tcBorders>
          </w:tcPr>
          <w:p w14:paraId="591C7586"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Fecha de iniciación(mes/año):</w:t>
            </w:r>
          </w:p>
        </w:tc>
        <w:tc>
          <w:tcPr>
            <w:tcW w:w="4564" w:type="dxa"/>
            <w:tcBorders>
              <w:top w:val="single" w:sz="6" w:space="0" w:color="auto"/>
              <w:left w:val="single" w:sz="6" w:space="0" w:color="auto"/>
              <w:bottom w:val="single" w:sz="6" w:space="0" w:color="auto"/>
              <w:right w:val="single" w:sz="6" w:space="0" w:color="auto"/>
            </w:tcBorders>
          </w:tcPr>
          <w:p w14:paraId="33D572F7" w14:textId="77777777" w:rsidR="008C0885" w:rsidRPr="00313596" w:rsidRDefault="008C0885" w:rsidP="000C6174">
            <w:pPr>
              <w:ind w:left="142"/>
              <w:rPr>
                <w:rFonts w:ascii="Arial" w:hAnsi="Arial" w:cs="Arial"/>
                <w:sz w:val="22"/>
                <w:szCs w:val="22"/>
                <w:lang w:val="es-HN"/>
              </w:rPr>
            </w:pPr>
            <w:r w:rsidRPr="00313596">
              <w:rPr>
                <w:rFonts w:ascii="Arial" w:hAnsi="Arial" w:cs="Arial"/>
                <w:sz w:val="22"/>
                <w:szCs w:val="22"/>
                <w:lang w:val="es-HN"/>
              </w:rPr>
              <w:t>Fecha de terminación(mes/año):</w:t>
            </w:r>
          </w:p>
          <w:p w14:paraId="1EA84D0B" w14:textId="77777777" w:rsidR="008C0885" w:rsidRPr="00313596" w:rsidRDefault="008C0885" w:rsidP="000C6174">
            <w:pPr>
              <w:ind w:left="142"/>
              <w:rPr>
                <w:rFonts w:ascii="Arial" w:hAnsi="Arial" w:cs="Arial"/>
                <w:sz w:val="22"/>
                <w:szCs w:val="22"/>
                <w:lang w:val="es-HN"/>
              </w:rPr>
            </w:pPr>
          </w:p>
        </w:tc>
      </w:tr>
      <w:tr w:rsidR="008C0885" w:rsidRPr="00313596" w14:paraId="2B9FE4D5" w14:textId="77777777" w:rsidTr="003575F5">
        <w:trPr>
          <w:trHeight w:val="581"/>
        </w:trPr>
        <w:tc>
          <w:tcPr>
            <w:tcW w:w="9352" w:type="dxa"/>
            <w:gridSpan w:val="2"/>
            <w:tcBorders>
              <w:top w:val="single" w:sz="6" w:space="0" w:color="auto"/>
              <w:left w:val="single" w:sz="6" w:space="0" w:color="auto"/>
              <w:bottom w:val="single" w:sz="6" w:space="0" w:color="auto"/>
              <w:right w:val="single" w:sz="6" w:space="0" w:color="auto"/>
            </w:tcBorders>
          </w:tcPr>
          <w:p w14:paraId="56CDBA86"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Valor total de ejecución de la obra: (</w:t>
            </w:r>
            <w:r w:rsidRPr="00313596">
              <w:rPr>
                <w:rFonts w:ascii="Arial" w:hAnsi="Arial" w:cs="Arial"/>
                <w:i/>
                <w:color w:val="FF0000"/>
                <w:sz w:val="22"/>
                <w:szCs w:val="22"/>
                <w:lang w:val="es-HN"/>
              </w:rPr>
              <w:t>en indicar moneda)</w:t>
            </w:r>
          </w:p>
          <w:p w14:paraId="2D799041" w14:textId="77777777" w:rsidR="008C0885" w:rsidRPr="00313596" w:rsidRDefault="008C0885" w:rsidP="000C6174">
            <w:pPr>
              <w:ind w:left="142"/>
              <w:rPr>
                <w:rFonts w:ascii="Arial" w:hAnsi="Arial" w:cs="Arial"/>
                <w:sz w:val="22"/>
                <w:szCs w:val="22"/>
                <w:lang w:val="es-HN"/>
              </w:rPr>
            </w:pPr>
          </w:p>
        </w:tc>
      </w:tr>
      <w:tr w:rsidR="008C0885" w:rsidRPr="00313596" w14:paraId="042D70C8" w14:textId="77777777" w:rsidTr="003575F5">
        <w:trPr>
          <w:trHeight w:val="713"/>
        </w:trPr>
        <w:tc>
          <w:tcPr>
            <w:tcW w:w="9352" w:type="dxa"/>
            <w:gridSpan w:val="2"/>
            <w:tcBorders>
              <w:top w:val="single" w:sz="6" w:space="0" w:color="auto"/>
              <w:left w:val="single" w:sz="6" w:space="0" w:color="auto"/>
              <w:bottom w:val="single" w:sz="6" w:space="0" w:color="auto"/>
              <w:right w:val="single" w:sz="6" w:space="0" w:color="auto"/>
            </w:tcBorders>
          </w:tcPr>
          <w:p w14:paraId="301A8357" w14:textId="77777777" w:rsidR="008C0885" w:rsidRPr="00313596" w:rsidRDefault="008C0885" w:rsidP="00D31E7E">
            <w:pPr>
              <w:ind w:right="-447"/>
              <w:rPr>
                <w:rFonts w:ascii="Arial" w:hAnsi="Arial" w:cs="Arial"/>
                <w:sz w:val="22"/>
                <w:szCs w:val="22"/>
                <w:lang w:val="es-HN"/>
              </w:rPr>
            </w:pPr>
            <w:r w:rsidRPr="00313596">
              <w:rPr>
                <w:rFonts w:ascii="Arial" w:hAnsi="Arial" w:cs="Arial"/>
                <w:sz w:val="22"/>
                <w:szCs w:val="22"/>
                <w:lang w:val="es-HN"/>
              </w:rPr>
              <w:t>Si el contrato se realizó en una APCA, suministrar el valor del contrato que le correspondió al oferente que presenta la experiencia específica:</w:t>
            </w:r>
          </w:p>
        </w:tc>
      </w:tr>
      <w:tr w:rsidR="008C0885" w:rsidRPr="00313596" w14:paraId="34827E7D" w14:textId="77777777" w:rsidTr="003575F5">
        <w:trPr>
          <w:trHeight w:val="705"/>
        </w:trPr>
        <w:tc>
          <w:tcPr>
            <w:tcW w:w="9352" w:type="dxa"/>
            <w:gridSpan w:val="2"/>
            <w:tcBorders>
              <w:top w:val="single" w:sz="6" w:space="0" w:color="auto"/>
              <w:left w:val="single" w:sz="6" w:space="0" w:color="auto"/>
              <w:bottom w:val="single" w:sz="6" w:space="0" w:color="auto"/>
              <w:right w:val="single" w:sz="6" w:space="0" w:color="auto"/>
            </w:tcBorders>
          </w:tcPr>
          <w:p w14:paraId="5E4C69C4"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Si el contrato se realizó en una APCA, suministrar el nombre de las otras personas/firmas/entidades que formaron parte de la APCA.</w:t>
            </w:r>
          </w:p>
        </w:tc>
      </w:tr>
    </w:tbl>
    <w:p w14:paraId="0D3B45A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s-HN"/>
        </w:rPr>
      </w:pPr>
    </w:p>
    <w:p w14:paraId="35EC9D2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2"/>
        </w:rPr>
      </w:pPr>
      <w:r w:rsidRPr="00313596">
        <w:rPr>
          <w:rFonts w:ascii="Arial" w:hAnsi="Arial" w:cs="Arial"/>
          <w:sz w:val="22"/>
          <w:szCs w:val="22"/>
          <w:lang w:val="es-HN"/>
        </w:rPr>
        <w:t xml:space="preserve">La información aquí suministrada debe completarse para cada una de las experiencias presentadas y deben estar respaldadas por la copia </w:t>
      </w:r>
      <w:r w:rsidRPr="00313596">
        <w:rPr>
          <w:rFonts w:ascii="Arial" w:hAnsi="Arial" w:cs="Arial"/>
          <w:sz w:val="22"/>
          <w:szCs w:val="22"/>
        </w:rPr>
        <w:t>del comprobante de las obras recibidas a entera satisfacción, el cual fue emitido por el contratante</w:t>
      </w:r>
    </w:p>
    <w:p w14:paraId="5156519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785C97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Oferente</w:t>
      </w:r>
      <w:r w:rsidRPr="00313596">
        <w:rPr>
          <w:rFonts w:ascii="Arial" w:hAnsi="Arial" w:cs="Arial"/>
          <w:b/>
          <w:sz w:val="22"/>
          <w:szCs w:val="22"/>
        </w:rPr>
        <w:t xml:space="preserve">: </w:t>
      </w:r>
      <w:r w:rsidRPr="00313596">
        <w:rPr>
          <w:rFonts w:ascii="Arial" w:hAnsi="Arial" w:cs="Arial"/>
          <w:i/>
          <w:color w:val="FF0000"/>
          <w:sz w:val="22"/>
          <w:szCs w:val="22"/>
        </w:rPr>
        <w:t xml:space="preserve">(indicar nombre completo del </w:t>
      </w:r>
      <w:r w:rsidRPr="00313596">
        <w:rPr>
          <w:rFonts w:ascii="Arial" w:hAnsi="Arial" w:cs="Arial"/>
          <w:i/>
          <w:color w:val="FF0000"/>
          <w:sz w:val="22"/>
          <w:szCs w:val="22"/>
          <w:lang w:val="es-HN"/>
        </w:rPr>
        <w:t>oferente</w:t>
      </w:r>
      <w:r w:rsidRPr="00313596">
        <w:rPr>
          <w:rFonts w:ascii="Arial" w:hAnsi="Arial" w:cs="Arial"/>
          <w:i/>
          <w:color w:val="FF0000"/>
          <w:sz w:val="22"/>
          <w:szCs w:val="22"/>
        </w:rPr>
        <w:t>)</w:t>
      </w:r>
    </w:p>
    <w:p w14:paraId="628E43A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313596">
        <w:rPr>
          <w:rFonts w:ascii="Arial" w:hAnsi="Arial" w:cs="Arial"/>
          <w:sz w:val="22"/>
          <w:szCs w:val="22"/>
        </w:rPr>
        <w:t>Nombre:</w:t>
      </w:r>
      <w:r w:rsidRPr="00313596">
        <w:rPr>
          <w:rFonts w:ascii="Arial" w:hAnsi="Arial" w:cs="Arial"/>
          <w:i/>
          <w:sz w:val="22"/>
          <w:szCs w:val="22"/>
        </w:rPr>
        <w:t xml:space="preserve"> </w:t>
      </w:r>
      <w:r w:rsidRPr="00313596">
        <w:rPr>
          <w:rFonts w:ascii="Arial" w:hAnsi="Arial" w:cs="Arial"/>
          <w:i/>
          <w:color w:val="FF0000"/>
          <w:sz w:val="22"/>
          <w:szCs w:val="22"/>
        </w:rPr>
        <w:t>(indicar el nombre completo de la persona que firma la oferta)</w:t>
      </w:r>
    </w:p>
    <w:p w14:paraId="06C72A4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Cargo:</w:t>
      </w:r>
      <w:r w:rsidRPr="00313596">
        <w:rPr>
          <w:rFonts w:ascii="Arial" w:hAnsi="Arial" w:cs="Arial"/>
          <w:i/>
          <w:sz w:val="22"/>
          <w:szCs w:val="22"/>
        </w:rPr>
        <w:t xml:space="preserve"> </w:t>
      </w:r>
      <w:r w:rsidRPr="00313596">
        <w:rPr>
          <w:rFonts w:ascii="Arial" w:hAnsi="Arial" w:cs="Arial"/>
          <w:i/>
          <w:color w:val="FF0000"/>
          <w:sz w:val="22"/>
          <w:szCs w:val="22"/>
        </w:rPr>
        <w:t>(del firmante)</w:t>
      </w:r>
    </w:p>
    <w:p w14:paraId="21ADA4E3" w14:textId="77777777" w:rsidR="008C0885" w:rsidRPr="00313596" w:rsidRDefault="008C0885" w:rsidP="000C6174">
      <w:pPr>
        <w:jc w:val="left"/>
        <w:rPr>
          <w:rFonts w:ascii="Arial" w:hAnsi="Arial" w:cs="Arial"/>
          <w:i/>
          <w:sz w:val="22"/>
          <w:szCs w:val="22"/>
        </w:rPr>
      </w:pPr>
    </w:p>
    <w:p w14:paraId="1D9B49B2" w14:textId="77777777" w:rsidR="008C0885" w:rsidRPr="00313596" w:rsidRDefault="008C0885" w:rsidP="000C6174">
      <w:pPr>
        <w:jc w:val="left"/>
        <w:rPr>
          <w:rFonts w:ascii="Arial" w:hAnsi="Arial" w:cs="Arial"/>
          <w:color w:val="FF0000"/>
          <w:sz w:val="22"/>
          <w:szCs w:val="22"/>
        </w:rPr>
      </w:pPr>
      <w:r w:rsidRPr="00313596">
        <w:rPr>
          <w:rFonts w:ascii="Arial" w:hAnsi="Arial" w:cs="Arial"/>
          <w:i/>
          <w:color w:val="FF0000"/>
          <w:sz w:val="22"/>
          <w:szCs w:val="22"/>
        </w:rPr>
        <w:t>En caso de ofertas presentadas por una APCA, el formulario deberá ser presentado por todos los miembros del APCA</w:t>
      </w:r>
    </w:p>
    <w:p w14:paraId="6966F21A" w14:textId="77777777" w:rsidR="008C0885" w:rsidRPr="00313596" w:rsidRDefault="008C0885">
      <w:pPr>
        <w:jc w:val="left"/>
        <w:rPr>
          <w:rFonts w:ascii="Arial" w:hAnsi="Arial" w:cs="Arial"/>
          <w:b/>
          <w:sz w:val="22"/>
          <w:szCs w:val="22"/>
        </w:rPr>
      </w:pPr>
      <w:r w:rsidRPr="00313596">
        <w:rPr>
          <w:rFonts w:ascii="Arial" w:hAnsi="Arial" w:cs="Arial"/>
          <w:b/>
          <w:sz w:val="22"/>
          <w:szCs w:val="22"/>
        </w:rPr>
        <w:br w:type="page"/>
      </w:r>
    </w:p>
    <w:p w14:paraId="2D62B161" w14:textId="77777777" w:rsidR="008C0885" w:rsidRPr="00313596" w:rsidRDefault="008C0885" w:rsidP="000C6174">
      <w:pPr>
        <w:jc w:val="left"/>
        <w:rPr>
          <w:rFonts w:ascii="Arial" w:hAnsi="Arial" w:cs="Arial"/>
          <w:b/>
          <w:sz w:val="22"/>
          <w:szCs w:val="22"/>
          <w:lang w:val="es-HN"/>
        </w:rPr>
      </w:pPr>
      <w:r w:rsidRPr="00313596">
        <w:rPr>
          <w:rFonts w:ascii="Arial" w:hAnsi="Arial" w:cs="Arial"/>
          <w:b/>
          <w:sz w:val="22"/>
          <w:szCs w:val="22"/>
          <w:lang w:val="es-HN"/>
        </w:rPr>
        <w:lastRenderedPageBreak/>
        <w:t>FORMULARIO TEC-1</w:t>
      </w:r>
    </w:p>
    <w:p w14:paraId="3E3B993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sz w:val="22"/>
          <w:szCs w:val="22"/>
          <w:lang w:val="es-HN"/>
        </w:rPr>
      </w:pPr>
    </w:p>
    <w:p w14:paraId="0F72086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3960"/>
        <w:rPr>
          <w:rFonts w:ascii="Arial" w:hAnsi="Arial" w:cs="Arial"/>
          <w:b/>
          <w:i/>
          <w:sz w:val="22"/>
          <w:szCs w:val="22"/>
          <w:lang w:val="es-HN"/>
        </w:rPr>
      </w:pPr>
    </w:p>
    <w:p w14:paraId="24B867E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 w:val="22"/>
          <w:szCs w:val="22"/>
          <w:lang w:val="es-HN"/>
        </w:rPr>
      </w:pPr>
      <w:r w:rsidRPr="00313596">
        <w:rPr>
          <w:rFonts w:ascii="Arial" w:hAnsi="Arial" w:cs="Arial"/>
          <w:b/>
          <w:sz w:val="22"/>
          <w:szCs w:val="22"/>
          <w:lang w:val="es-HN"/>
        </w:rPr>
        <w:t>Profesionales Propuestos y Asignación de Funciones</w:t>
      </w:r>
    </w:p>
    <w:p w14:paraId="5177BE2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6300" w:hanging="1260"/>
        <w:rPr>
          <w:rFonts w:ascii="Arial" w:hAnsi="Arial" w:cs="Arial"/>
          <w:b/>
          <w:i/>
          <w:sz w:val="22"/>
          <w:szCs w:val="22"/>
          <w:lang w:val="es-HN"/>
        </w:rPr>
      </w:pPr>
    </w:p>
    <w:p w14:paraId="79C6837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7560" w:firstLine="180"/>
        <w:jc w:val="center"/>
        <w:rPr>
          <w:rFonts w:ascii="Arial" w:hAnsi="Arial" w:cs="Arial"/>
          <w:b/>
          <w:i/>
          <w:sz w:val="22"/>
          <w:szCs w:val="22"/>
        </w:rPr>
      </w:pPr>
    </w:p>
    <w:p w14:paraId="4FAEF10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313596">
        <w:rPr>
          <w:rFonts w:ascii="Arial" w:hAnsi="Arial" w:cs="Arial"/>
          <w:sz w:val="22"/>
          <w:szCs w:val="22"/>
        </w:rPr>
        <w:t>Información requerida sobre el personal propuesto</w:t>
      </w:r>
    </w:p>
    <w:p w14:paraId="05628B2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p w14:paraId="3081A55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i/>
          <w:sz w:val="22"/>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260"/>
        <w:gridCol w:w="1260"/>
        <w:gridCol w:w="1530"/>
        <w:gridCol w:w="1620"/>
        <w:gridCol w:w="1800"/>
        <w:gridCol w:w="1350"/>
      </w:tblGrid>
      <w:tr w:rsidR="008C0885" w:rsidRPr="00313596" w14:paraId="14B0D887" w14:textId="77777777" w:rsidTr="00272464">
        <w:trPr>
          <w:trHeight w:val="20"/>
        </w:trPr>
        <w:tc>
          <w:tcPr>
            <w:tcW w:w="540" w:type="dxa"/>
            <w:shd w:val="clear" w:color="auto" w:fill="00B050"/>
            <w:vAlign w:val="center"/>
          </w:tcPr>
          <w:p w14:paraId="78B2028D" w14:textId="77777777" w:rsidR="008C0885" w:rsidRPr="00272464"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No</w:t>
            </w:r>
          </w:p>
        </w:tc>
        <w:tc>
          <w:tcPr>
            <w:tcW w:w="1260" w:type="dxa"/>
            <w:shd w:val="clear" w:color="auto" w:fill="00B050"/>
            <w:vAlign w:val="center"/>
          </w:tcPr>
          <w:p w14:paraId="6018E1A4" w14:textId="77777777" w:rsidR="008C0885" w:rsidRPr="00272464"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Nombre</w:t>
            </w:r>
          </w:p>
        </w:tc>
        <w:tc>
          <w:tcPr>
            <w:tcW w:w="1260" w:type="dxa"/>
            <w:shd w:val="clear" w:color="auto" w:fill="00B050"/>
            <w:vAlign w:val="center"/>
          </w:tcPr>
          <w:p w14:paraId="35954BB0" w14:textId="77777777" w:rsidR="008C0885" w:rsidRPr="00272464"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Profesión</w:t>
            </w:r>
          </w:p>
        </w:tc>
        <w:tc>
          <w:tcPr>
            <w:tcW w:w="1530" w:type="dxa"/>
            <w:shd w:val="clear" w:color="auto" w:fill="00B050"/>
            <w:vAlign w:val="center"/>
          </w:tcPr>
          <w:p w14:paraId="3B85631F" w14:textId="77777777" w:rsidR="008C0885" w:rsidRPr="00272464" w:rsidRDefault="008C0885" w:rsidP="002B615D">
            <w:pPr>
              <w:tabs>
                <w:tab w:val="left" w:pos="-1440"/>
                <w:tab w:val="left" w:pos="-720"/>
                <w:tab w:val="left" w:pos="-113"/>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13" w:right="-110"/>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Cargo a desempeñar</w:t>
            </w:r>
          </w:p>
        </w:tc>
        <w:tc>
          <w:tcPr>
            <w:tcW w:w="1620" w:type="dxa"/>
            <w:shd w:val="clear" w:color="auto" w:fill="00B050"/>
            <w:vAlign w:val="center"/>
          </w:tcPr>
          <w:p w14:paraId="07388158" w14:textId="77777777" w:rsidR="008C0885" w:rsidRPr="00272464"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 de Dedicación al proyecto</w:t>
            </w:r>
          </w:p>
        </w:tc>
        <w:tc>
          <w:tcPr>
            <w:tcW w:w="1800" w:type="dxa"/>
            <w:shd w:val="clear" w:color="auto" w:fill="00B050"/>
            <w:vAlign w:val="center"/>
          </w:tcPr>
          <w:p w14:paraId="1DC6C1B8" w14:textId="77777777" w:rsidR="008C0885" w:rsidRPr="00272464"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Duración del Nombramiento</w:t>
            </w:r>
          </w:p>
        </w:tc>
        <w:tc>
          <w:tcPr>
            <w:tcW w:w="1350" w:type="dxa"/>
            <w:shd w:val="clear" w:color="auto" w:fill="00B050"/>
            <w:vAlign w:val="center"/>
          </w:tcPr>
          <w:p w14:paraId="6D0284E3" w14:textId="77777777" w:rsidR="008C0885" w:rsidRPr="00272464"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color w:val="FFFFFF" w:themeColor="background1"/>
                <w:sz w:val="22"/>
                <w:szCs w:val="22"/>
              </w:rPr>
            </w:pPr>
            <w:r w:rsidRPr="00272464">
              <w:rPr>
                <w:rFonts w:ascii="Arial" w:hAnsi="Arial" w:cs="Arial"/>
                <w:b/>
                <w:color w:val="FFFFFF" w:themeColor="background1"/>
                <w:sz w:val="22"/>
                <w:szCs w:val="22"/>
              </w:rPr>
              <w:t>Calendario planeado para la posición</w:t>
            </w:r>
          </w:p>
        </w:tc>
      </w:tr>
      <w:tr w:rsidR="008C0885" w:rsidRPr="00313596" w14:paraId="2E0CB28C" w14:textId="77777777" w:rsidTr="001112A7">
        <w:trPr>
          <w:trHeight w:val="20"/>
        </w:trPr>
        <w:tc>
          <w:tcPr>
            <w:tcW w:w="540" w:type="dxa"/>
            <w:shd w:val="clear" w:color="auto" w:fill="auto"/>
            <w:vAlign w:val="center"/>
          </w:tcPr>
          <w:p w14:paraId="5F6F616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4EF956C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4E831BB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16CBD66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24ED4F3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3F03C47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0E9610B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313596" w14:paraId="33979678" w14:textId="77777777" w:rsidTr="001112A7">
        <w:trPr>
          <w:trHeight w:val="20"/>
        </w:trPr>
        <w:tc>
          <w:tcPr>
            <w:tcW w:w="540" w:type="dxa"/>
            <w:shd w:val="clear" w:color="auto" w:fill="auto"/>
            <w:vAlign w:val="center"/>
          </w:tcPr>
          <w:p w14:paraId="382A6BD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4E770B4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47F8F1F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4679A0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058BC2D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5DBED84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7D7CB0C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313596" w14:paraId="4DB4B05A" w14:textId="77777777" w:rsidTr="001112A7">
        <w:trPr>
          <w:trHeight w:val="20"/>
        </w:trPr>
        <w:tc>
          <w:tcPr>
            <w:tcW w:w="540" w:type="dxa"/>
            <w:shd w:val="clear" w:color="auto" w:fill="auto"/>
            <w:vAlign w:val="center"/>
          </w:tcPr>
          <w:p w14:paraId="597445F2"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CAC324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55118DB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1D76304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5A26A6E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17DDAB9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2E0D424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313596" w14:paraId="51803643" w14:textId="77777777" w:rsidTr="001112A7">
        <w:trPr>
          <w:trHeight w:val="20"/>
        </w:trPr>
        <w:tc>
          <w:tcPr>
            <w:tcW w:w="540" w:type="dxa"/>
            <w:shd w:val="clear" w:color="auto" w:fill="auto"/>
            <w:vAlign w:val="center"/>
          </w:tcPr>
          <w:p w14:paraId="27DE51A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6EE344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4B594B42"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3BA9024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5DC9862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172C8BF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2303527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313596" w14:paraId="4EE5A856" w14:textId="77777777" w:rsidTr="001112A7">
        <w:trPr>
          <w:trHeight w:val="20"/>
        </w:trPr>
        <w:tc>
          <w:tcPr>
            <w:tcW w:w="540" w:type="dxa"/>
            <w:shd w:val="clear" w:color="auto" w:fill="auto"/>
            <w:vAlign w:val="center"/>
          </w:tcPr>
          <w:p w14:paraId="3EAE92A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4A3D53E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2DC9B8F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2EC8A31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62262D6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6DA9C10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245E40B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r w:rsidR="008C0885" w:rsidRPr="00313596" w14:paraId="0AFDD615" w14:textId="77777777" w:rsidTr="001112A7">
        <w:trPr>
          <w:trHeight w:val="20"/>
        </w:trPr>
        <w:tc>
          <w:tcPr>
            <w:tcW w:w="540" w:type="dxa"/>
            <w:shd w:val="clear" w:color="auto" w:fill="auto"/>
            <w:vAlign w:val="center"/>
          </w:tcPr>
          <w:p w14:paraId="5B77CEB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E43579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260" w:type="dxa"/>
            <w:shd w:val="clear" w:color="auto" w:fill="auto"/>
            <w:vAlign w:val="center"/>
          </w:tcPr>
          <w:p w14:paraId="1885274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530" w:type="dxa"/>
            <w:shd w:val="clear" w:color="auto" w:fill="auto"/>
            <w:vAlign w:val="center"/>
          </w:tcPr>
          <w:p w14:paraId="473FE72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620" w:type="dxa"/>
            <w:shd w:val="clear" w:color="auto" w:fill="auto"/>
            <w:vAlign w:val="center"/>
          </w:tcPr>
          <w:p w14:paraId="79942E7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800" w:type="dxa"/>
            <w:shd w:val="clear" w:color="auto" w:fill="auto"/>
            <w:vAlign w:val="center"/>
          </w:tcPr>
          <w:p w14:paraId="44C68C6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c>
          <w:tcPr>
            <w:tcW w:w="1350" w:type="dxa"/>
            <w:shd w:val="clear" w:color="auto" w:fill="auto"/>
            <w:vAlign w:val="center"/>
          </w:tcPr>
          <w:p w14:paraId="10042B4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cs="Arial"/>
                <w:b/>
                <w:sz w:val="22"/>
                <w:szCs w:val="22"/>
              </w:rPr>
            </w:pPr>
          </w:p>
        </w:tc>
      </w:tr>
    </w:tbl>
    <w:p w14:paraId="470AA47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i/>
          <w:sz w:val="22"/>
          <w:szCs w:val="22"/>
        </w:rPr>
      </w:pPr>
    </w:p>
    <w:p w14:paraId="7E53617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i/>
          <w:sz w:val="22"/>
          <w:szCs w:val="22"/>
        </w:rPr>
      </w:pPr>
    </w:p>
    <w:p w14:paraId="5FCEC09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2880"/>
        <w:jc w:val="center"/>
        <w:rPr>
          <w:rFonts w:ascii="Arial" w:hAnsi="Arial" w:cs="Arial"/>
          <w:b/>
          <w:i/>
          <w:sz w:val="22"/>
          <w:szCs w:val="22"/>
          <w:lang w:val="es-HN"/>
        </w:rPr>
      </w:pPr>
    </w:p>
    <w:p w14:paraId="19C00B4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r w:rsidRPr="00313596">
        <w:rPr>
          <w:rFonts w:ascii="Arial" w:hAnsi="Arial" w:cs="Arial"/>
          <w:b/>
          <w:sz w:val="22"/>
          <w:szCs w:val="22"/>
        </w:rPr>
        <w:t xml:space="preserve">Oferente: </w:t>
      </w:r>
      <w:r w:rsidRPr="00313596">
        <w:rPr>
          <w:rFonts w:ascii="Arial" w:hAnsi="Arial" w:cs="Arial"/>
          <w:b/>
          <w:sz w:val="22"/>
          <w:szCs w:val="22"/>
        </w:rPr>
        <w:tab/>
      </w:r>
      <w:r w:rsidRPr="00313596">
        <w:rPr>
          <w:rFonts w:ascii="Arial" w:hAnsi="Arial" w:cs="Arial"/>
          <w:i/>
          <w:color w:val="FF0000"/>
          <w:sz w:val="22"/>
          <w:szCs w:val="22"/>
        </w:rPr>
        <w:t>(indicar nombre completo del oferente</w:t>
      </w:r>
      <w:r w:rsidRPr="00313596">
        <w:rPr>
          <w:rFonts w:ascii="Arial" w:hAnsi="Arial" w:cs="Arial"/>
          <w:b/>
          <w:color w:val="FF0000"/>
          <w:sz w:val="22"/>
          <w:szCs w:val="22"/>
        </w:rPr>
        <w:t>)</w:t>
      </w:r>
    </w:p>
    <w:p w14:paraId="777E284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3DDC9C3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b/>
          <w:sz w:val="22"/>
          <w:szCs w:val="22"/>
        </w:rPr>
        <w:t xml:space="preserve">Nombre: </w:t>
      </w:r>
      <w:r w:rsidRPr="00313596">
        <w:rPr>
          <w:rFonts w:ascii="Arial" w:hAnsi="Arial" w:cs="Arial"/>
          <w:b/>
          <w:sz w:val="22"/>
          <w:szCs w:val="22"/>
        </w:rPr>
        <w:tab/>
      </w:r>
      <w:r w:rsidRPr="00313596">
        <w:rPr>
          <w:rFonts w:ascii="Arial" w:hAnsi="Arial" w:cs="Arial"/>
          <w:i/>
          <w:color w:val="FF0000"/>
          <w:sz w:val="22"/>
          <w:szCs w:val="22"/>
        </w:rPr>
        <w:t>(indicar el nombre completo de la persona que firma la oferta)</w:t>
      </w:r>
    </w:p>
    <w:p w14:paraId="5362A5A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0A79DB2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b/>
          <w:sz w:val="22"/>
          <w:szCs w:val="22"/>
        </w:rPr>
        <w:t xml:space="preserve">Cargo: </w:t>
      </w:r>
      <w:r w:rsidRPr="00313596">
        <w:rPr>
          <w:rFonts w:ascii="Arial" w:hAnsi="Arial" w:cs="Arial"/>
          <w:b/>
          <w:sz w:val="22"/>
          <w:szCs w:val="22"/>
        </w:rPr>
        <w:tab/>
      </w:r>
      <w:r w:rsidRPr="00313596">
        <w:rPr>
          <w:rFonts w:ascii="Arial" w:hAnsi="Arial" w:cs="Arial"/>
          <w:i/>
          <w:color w:val="FF0000"/>
          <w:sz w:val="22"/>
          <w:szCs w:val="22"/>
        </w:rPr>
        <w:t>(del firmante)</w:t>
      </w:r>
    </w:p>
    <w:p w14:paraId="7FDA093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6AA061D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 w:val="22"/>
          <w:szCs w:val="22"/>
        </w:rPr>
      </w:pPr>
      <w:r w:rsidRPr="00313596">
        <w:rPr>
          <w:rFonts w:ascii="Arial" w:hAnsi="Arial" w:cs="Arial"/>
          <w:b/>
          <w:sz w:val="22"/>
          <w:szCs w:val="22"/>
        </w:rPr>
        <w:t>Firma</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(firma del oferente)</w:t>
      </w:r>
    </w:p>
    <w:p w14:paraId="25D64D7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p>
    <w:p w14:paraId="2965EE2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sz w:val="22"/>
          <w:szCs w:val="22"/>
        </w:rPr>
      </w:pPr>
      <w:r w:rsidRPr="00313596">
        <w:rPr>
          <w:rFonts w:ascii="Arial" w:hAnsi="Arial" w:cs="Arial"/>
          <w:b/>
          <w:sz w:val="22"/>
          <w:szCs w:val="22"/>
        </w:rPr>
        <w:t xml:space="preserve">Fecha: </w:t>
      </w:r>
      <w:r w:rsidRPr="00313596">
        <w:rPr>
          <w:rFonts w:ascii="Arial" w:hAnsi="Arial" w:cs="Arial"/>
          <w:b/>
          <w:sz w:val="22"/>
          <w:szCs w:val="22"/>
        </w:rPr>
        <w:tab/>
      </w:r>
      <w:r w:rsidRPr="00313596">
        <w:rPr>
          <w:rFonts w:ascii="Arial" w:hAnsi="Arial" w:cs="Arial"/>
          <w:i/>
          <w:color w:val="FF0000"/>
          <w:sz w:val="22"/>
          <w:szCs w:val="22"/>
        </w:rPr>
        <w:t>(día, mes y año en que se firma la oferta)</w:t>
      </w:r>
    </w:p>
    <w:p w14:paraId="466EED1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889924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40BD4CE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93B88E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C005AC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4A7D2C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54EA6A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55C976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C294DD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779C21D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BCC500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826616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374605F" w14:textId="77777777" w:rsidR="008C0885" w:rsidRPr="00313596" w:rsidRDefault="008C0885" w:rsidP="000C6174">
      <w:pPr>
        <w:jc w:val="left"/>
        <w:rPr>
          <w:rFonts w:ascii="Arial" w:hAnsi="Arial" w:cs="Arial"/>
          <w:b/>
          <w:sz w:val="22"/>
          <w:szCs w:val="22"/>
          <w:lang w:val="es-HN"/>
        </w:rPr>
      </w:pPr>
      <w:r w:rsidRPr="00313596">
        <w:rPr>
          <w:rFonts w:ascii="Arial" w:hAnsi="Arial" w:cs="Arial"/>
          <w:b/>
          <w:sz w:val="22"/>
          <w:szCs w:val="22"/>
          <w:lang w:val="es-HN"/>
        </w:rPr>
        <w:br w:type="page"/>
      </w:r>
      <w:r w:rsidRPr="00313596">
        <w:rPr>
          <w:rFonts w:ascii="Arial" w:hAnsi="Arial" w:cs="Arial"/>
          <w:b/>
          <w:sz w:val="22"/>
          <w:szCs w:val="22"/>
          <w:lang w:val="es-HN"/>
        </w:rPr>
        <w:lastRenderedPageBreak/>
        <w:t>FORMULARIO TEC-2</w:t>
      </w:r>
    </w:p>
    <w:p w14:paraId="02A20B2F"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r w:rsidRPr="00313596">
        <w:rPr>
          <w:rFonts w:ascii="Arial" w:hAnsi="Arial" w:cs="Arial"/>
          <w:b/>
          <w:sz w:val="22"/>
          <w:szCs w:val="22"/>
          <w:lang w:val="es-HN"/>
        </w:rPr>
        <w:t>Hoja de vida del Personal Profesional Clave Propuesto</w:t>
      </w:r>
    </w:p>
    <w:p w14:paraId="1D93C86B"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tbl>
      <w:tblPr>
        <w:tblW w:w="0" w:type="auto"/>
        <w:tblLook w:val="04A0" w:firstRow="1" w:lastRow="0" w:firstColumn="1" w:lastColumn="0" w:noHBand="0" w:noVBand="1"/>
      </w:tblPr>
      <w:tblGrid>
        <w:gridCol w:w="4685"/>
        <w:gridCol w:w="4675"/>
      </w:tblGrid>
      <w:tr w:rsidR="008C0885" w:rsidRPr="00313596" w14:paraId="44DA8ABB" w14:textId="77777777" w:rsidTr="000C6174">
        <w:tc>
          <w:tcPr>
            <w:tcW w:w="9531" w:type="dxa"/>
            <w:gridSpan w:val="2"/>
          </w:tcPr>
          <w:p w14:paraId="497C6925"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bookmarkStart w:id="389" w:name="_Hlk514174963"/>
            <w:r w:rsidRPr="00313596">
              <w:rPr>
                <w:rFonts w:ascii="Arial" w:hAnsi="Arial" w:cs="Arial"/>
                <w:sz w:val="22"/>
                <w:szCs w:val="22"/>
                <w:lang w:val="es-HN"/>
              </w:rPr>
              <w:t xml:space="preserve">Cargo propuesto: </w:t>
            </w:r>
            <w:r w:rsidRPr="00313596">
              <w:rPr>
                <w:rFonts w:ascii="Arial" w:hAnsi="Arial" w:cs="Arial"/>
                <w:i/>
                <w:color w:val="FF0000"/>
                <w:sz w:val="22"/>
                <w:szCs w:val="22"/>
                <w:lang w:val="es-HN"/>
              </w:rPr>
              <w:t>(solamente un candidato deberá ser nominado para cada posición):</w:t>
            </w:r>
          </w:p>
        </w:tc>
      </w:tr>
      <w:tr w:rsidR="008C0885" w:rsidRPr="00313596" w14:paraId="66E0C2BF" w14:textId="77777777" w:rsidTr="000C6174">
        <w:tc>
          <w:tcPr>
            <w:tcW w:w="9531" w:type="dxa"/>
            <w:gridSpan w:val="2"/>
          </w:tcPr>
          <w:p w14:paraId="0F08FD0E"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313596">
              <w:rPr>
                <w:rFonts w:ascii="Arial" w:hAnsi="Arial" w:cs="Arial"/>
                <w:sz w:val="22"/>
                <w:szCs w:val="22"/>
                <w:lang w:val="es-HN"/>
              </w:rPr>
              <w:t xml:space="preserve">Nombre del oferente: </w:t>
            </w:r>
            <w:r w:rsidRPr="00313596">
              <w:rPr>
                <w:rFonts w:ascii="Arial" w:hAnsi="Arial" w:cs="Arial"/>
                <w:i/>
                <w:color w:val="FF0000"/>
                <w:sz w:val="22"/>
                <w:szCs w:val="22"/>
                <w:lang w:val="es-HN"/>
              </w:rPr>
              <w:t>(inserte el nombre del oferente que propone al candidato):</w:t>
            </w:r>
          </w:p>
        </w:tc>
      </w:tr>
      <w:tr w:rsidR="008C0885" w:rsidRPr="00313596" w14:paraId="192737B2" w14:textId="77777777" w:rsidTr="000C6174">
        <w:tc>
          <w:tcPr>
            <w:tcW w:w="9531" w:type="dxa"/>
            <w:gridSpan w:val="2"/>
          </w:tcPr>
          <w:p w14:paraId="579C1039"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313596">
              <w:rPr>
                <w:rFonts w:ascii="Arial" w:hAnsi="Arial" w:cs="Arial"/>
                <w:sz w:val="22"/>
                <w:szCs w:val="22"/>
                <w:lang w:val="es-HN"/>
              </w:rPr>
              <w:t>Nombre del individuo</w:t>
            </w:r>
            <w:r w:rsidRPr="00313596">
              <w:rPr>
                <w:rFonts w:ascii="Arial" w:hAnsi="Arial" w:cs="Arial"/>
                <w:i/>
                <w:sz w:val="22"/>
                <w:szCs w:val="22"/>
                <w:lang w:val="es-HN"/>
              </w:rPr>
              <w:t xml:space="preserve">: </w:t>
            </w:r>
            <w:r w:rsidRPr="00313596">
              <w:rPr>
                <w:rFonts w:ascii="Arial" w:hAnsi="Arial" w:cs="Arial"/>
                <w:i/>
                <w:color w:val="FF0000"/>
                <w:sz w:val="22"/>
                <w:szCs w:val="22"/>
                <w:lang w:val="es-HN"/>
              </w:rPr>
              <w:t>(inserte el nombre completo):</w:t>
            </w:r>
          </w:p>
        </w:tc>
      </w:tr>
      <w:tr w:rsidR="008C0885" w:rsidRPr="00313596" w14:paraId="5EE7CAD9" w14:textId="77777777" w:rsidTr="000C6174">
        <w:tc>
          <w:tcPr>
            <w:tcW w:w="4765" w:type="dxa"/>
          </w:tcPr>
          <w:p w14:paraId="10906B1A"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b/>
                <w:sz w:val="22"/>
                <w:szCs w:val="22"/>
                <w:lang w:val="es-HN"/>
              </w:rPr>
            </w:pPr>
            <w:r w:rsidRPr="00313596">
              <w:rPr>
                <w:rFonts w:ascii="Arial" w:hAnsi="Arial" w:cs="Arial"/>
                <w:sz w:val="22"/>
                <w:szCs w:val="22"/>
                <w:lang w:val="es-HN"/>
              </w:rPr>
              <w:t xml:space="preserve">Fecha de nacimiento: </w:t>
            </w:r>
          </w:p>
        </w:tc>
        <w:tc>
          <w:tcPr>
            <w:tcW w:w="4766" w:type="dxa"/>
          </w:tcPr>
          <w:p w14:paraId="0F698A35"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b/>
                <w:sz w:val="22"/>
                <w:szCs w:val="22"/>
                <w:lang w:val="es-HN"/>
              </w:rPr>
            </w:pPr>
            <w:r w:rsidRPr="00313596">
              <w:rPr>
                <w:rFonts w:ascii="Arial" w:hAnsi="Arial" w:cs="Arial"/>
                <w:sz w:val="22"/>
                <w:szCs w:val="22"/>
                <w:lang w:val="es-HN"/>
              </w:rPr>
              <w:t>Nacionalidad:</w:t>
            </w:r>
          </w:p>
        </w:tc>
      </w:tr>
      <w:tr w:rsidR="008C0885" w:rsidRPr="00313596" w14:paraId="097C7069" w14:textId="77777777" w:rsidTr="00272464">
        <w:trPr>
          <w:trHeight w:val="981"/>
        </w:trPr>
        <w:tc>
          <w:tcPr>
            <w:tcW w:w="9531" w:type="dxa"/>
            <w:gridSpan w:val="2"/>
          </w:tcPr>
          <w:p w14:paraId="7D5DDE7D"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313596">
              <w:rPr>
                <w:rFonts w:ascii="Arial" w:hAnsi="Arial" w:cs="Arial"/>
                <w:sz w:val="22"/>
                <w:szCs w:val="22"/>
                <w:lang w:val="es-HN"/>
              </w:rPr>
              <w:t xml:space="preserve">Educación: </w:t>
            </w:r>
            <w:r w:rsidRPr="00313596">
              <w:rPr>
                <w:rFonts w:ascii="Arial" w:hAnsi="Arial" w:cs="Arial"/>
                <w:i/>
                <w:color w:val="FF0000"/>
                <w:sz w:val="22"/>
                <w:szCs w:val="22"/>
                <w:lang w:val="es-HN"/>
              </w:rPr>
              <w:t xml:space="preserve">(Indicar los nombres de las universidades y otros estudios especializados del individuo, dando los nombres de las instituciones, grados obtenidos y las fechas en que los obtuvo.) </w:t>
            </w:r>
          </w:p>
          <w:p w14:paraId="152D64B0" w14:textId="77777777" w:rsidR="008C0885" w:rsidRPr="00313596"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313596" w14:paraId="7689A900" w14:textId="77777777" w:rsidTr="00272464">
        <w:trPr>
          <w:trHeight w:val="450"/>
        </w:trPr>
        <w:tc>
          <w:tcPr>
            <w:tcW w:w="9531" w:type="dxa"/>
            <w:gridSpan w:val="2"/>
          </w:tcPr>
          <w:p w14:paraId="05F10FAA"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313596">
              <w:rPr>
                <w:rFonts w:ascii="Arial" w:hAnsi="Arial" w:cs="Arial"/>
                <w:sz w:val="22"/>
                <w:szCs w:val="22"/>
                <w:lang w:val="es-HN"/>
              </w:rPr>
              <w:t>Asociaciones profesionales a las que pertenece:</w:t>
            </w:r>
          </w:p>
          <w:p w14:paraId="0BF2A3FC" w14:textId="77777777" w:rsidR="008C0885" w:rsidRPr="00313596" w:rsidRDefault="008C0885" w:rsidP="000C6174">
            <w:pPr>
              <w:pStyle w:val="Prrafodelista"/>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p>
        </w:tc>
      </w:tr>
      <w:tr w:rsidR="008C0885" w:rsidRPr="00313596" w14:paraId="10CE3401" w14:textId="77777777" w:rsidTr="000C6174">
        <w:tc>
          <w:tcPr>
            <w:tcW w:w="9531" w:type="dxa"/>
            <w:gridSpan w:val="2"/>
          </w:tcPr>
          <w:p w14:paraId="1A255685"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313596">
              <w:rPr>
                <w:rFonts w:ascii="Arial" w:hAnsi="Arial" w:cs="Arial"/>
                <w:sz w:val="22"/>
                <w:szCs w:val="22"/>
                <w:lang w:val="es-HN"/>
              </w:rPr>
              <w:t xml:space="preserve">Otras especialidades </w:t>
            </w:r>
            <w:r w:rsidRPr="00313596">
              <w:rPr>
                <w:rFonts w:ascii="Arial" w:hAnsi="Arial" w:cs="Arial"/>
                <w:color w:val="FF0000"/>
                <w:sz w:val="22"/>
                <w:szCs w:val="22"/>
                <w:lang w:val="es-HN"/>
              </w:rPr>
              <w:t>(Indicar otros estudios significativos después de haber obtenido los grados indicados en el número 5 – Dónde obtuvo la educación):</w:t>
            </w:r>
          </w:p>
          <w:p w14:paraId="2574E6FD" w14:textId="77777777" w:rsidR="008C0885" w:rsidRPr="00313596"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313596" w14:paraId="1DFA73DB" w14:textId="77777777" w:rsidTr="000C6174">
        <w:tc>
          <w:tcPr>
            <w:tcW w:w="9531" w:type="dxa"/>
            <w:gridSpan w:val="2"/>
          </w:tcPr>
          <w:p w14:paraId="51ADD7C3"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313596">
              <w:rPr>
                <w:rFonts w:ascii="Arial" w:hAnsi="Arial" w:cs="Arial"/>
                <w:sz w:val="22"/>
                <w:szCs w:val="22"/>
                <w:lang w:val="es-HN"/>
              </w:rPr>
              <w:t xml:space="preserve">Países donde tiene experiencia de trabajo: </w:t>
            </w:r>
            <w:r w:rsidRPr="00313596">
              <w:rPr>
                <w:rFonts w:ascii="Arial" w:hAnsi="Arial" w:cs="Arial"/>
                <w:i/>
                <w:color w:val="FF0000"/>
                <w:sz w:val="22"/>
                <w:szCs w:val="22"/>
                <w:lang w:val="es-HN"/>
              </w:rPr>
              <w:t>(Enumere los países donde el individuo ha trabajado en los últimos diez años):</w:t>
            </w:r>
          </w:p>
          <w:p w14:paraId="153B4609" w14:textId="77777777" w:rsidR="008C0885" w:rsidRPr="00313596"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313596" w14:paraId="0BF706AE" w14:textId="77777777" w:rsidTr="000C6174">
        <w:tc>
          <w:tcPr>
            <w:tcW w:w="9531" w:type="dxa"/>
            <w:gridSpan w:val="2"/>
          </w:tcPr>
          <w:p w14:paraId="2C3B4EF5"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r w:rsidRPr="00313596">
              <w:rPr>
                <w:rFonts w:ascii="Arial" w:hAnsi="Arial" w:cs="Arial"/>
                <w:sz w:val="22"/>
                <w:szCs w:val="22"/>
                <w:lang w:val="es-HN"/>
              </w:rPr>
              <w:t xml:space="preserve">Idiomas </w:t>
            </w:r>
            <w:r w:rsidRPr="00313596">
              <w:rPr>
                <w:rFonts w:ascii="Arial" w:hAnsi="Arial" w:cs="Arial"/>
                <w:i/>
                <w:color w:val="FF0000"/>
                <w:sz w:val="22"/>
                <w:szCs w:val="22"/>
                <w:lang w:val="es-HN"/>
              </w:rPr>
              <w:t>(Para cada idioma indique el grado de competencia: bueno, regular, pobre, en hablarlo, leerlo y escribirlo):</w:t>
            </w:r>
          </w:p>
          <w:p w14:paraId="7A50E1E5" w14:textId="77777777" w:rsidR="008C0885" w:rsidRPr="00313596" w:rsidRDefault="008C0885" w:rsidP="00272464">
            <w:pPr>
              <w:pStyle w:val="Prrafodelista"/>
              <w:tabs>
                <w:tab w:val="center" w:pos="4680"/>
                <w:tab w:val="left" w:pos="5040"/>
                <w:tab w:val="left" w:pos="5760"/>
                <w:tab w:val="left" w:pos="6480"/>
                <w:tab w:val="left" w:pos="7200"/>
                <w:tab w:val="left" w:pos="7920"/>
                <w:tab w:val="left" w:pos="8640"/>
                <w:tab w:val="left" w:pos="9360"/>
              </w:tabs>
              <w:ind w:left="308"/>
              <w:jc w:val="left"/>
              <w:rPr>
                <w:rFonts w:ascii="Arial" w:hAnsi="Arial" w:cs="Arial"/>
                <w:sz w:val="22"/>
                <w:szCs w:val="22"/>
                <w:lang w:val="es-HN"/>
              </w:rPr>
            </w:pPr>
          </w:p>
        </w:tc>
      </w:tr>
      <w:tr w:rsidR="008C0885" w:rsidRPr="00313596" w14:paraId="720B9A16" w14:textId="77777777" w:rsidTr="002B615D">
        <w:trPr>
          <w:trHeight w:val="2943"/>
        </w:trPr>
        <w:tc>
          <w:tcPr>
            <w:tcW w:w="9531" w:type="dxa"/>
            <w:gridSpan w:val="2"/>
          </w:tcPr>
          <w:p w14:paraId="1EC7F7B0" w14:textId="77777777" w:rsidR="008C0885" w:rsidRPr="00313596" w:rsidRDefault="008C0885" w:rsidP="003B68DB">
            <w:pPr>
              <w:pStyle w:val="Prrafodelista"/>
              <w:numPr>
                <w:ilvl w:val="0"/>
                <w:numId w:val="62"/>
              </w:numPr>
              <w:tabs>
                <w:tab w:val="center" w:pos="4680"/>
                <w:tab w:val="left" w:pos="5040"/>
                <w:tab w:val="left" w:pos="5760"/>
                <w:tab w:val="left" w:pos="6480"/>
                <w:tab w:val="left" w:pos="7200"/>
                <w:tab w:val="left" w:pos="7920"/>
                <w:tab w:val="left" w:pos="8640"/>
                <w:tab w:val="left" w:pos="9360"/>
              </w:tabs>
              <w:spacing w:before="120"/>
              <w:ind w:left="308"/>
              <w:jc w:val="left"/>
              <w:rPr>
                <w:rFonts w:ascii="Arial" w:hAnsi="Arial" w:cs="Arial"/>
                <w:sz w:val="22"/>
                <w:szCs w:val="22"/>
                <w:lang w:val="es-HN"/>
              </w:rPr>
            </w:pPr>
            <w:r w:rsidRPr="00313596">
              <w:rPr>
                <w:rFonts w:ascii="Arial" w:hAnsi="Arial" w:cs="Arial"/>
                <w:sz w:val="22"/>
                <w:szCs w:val="22"/>
                <w:lang w:val="es-HN"/>
              </w:rPr>
              <w:t xml:space="preserve">Historia Laboral </w:t>
            </w:r>
            <w:r w:rsidRPr="00313596">
              <w:rPr>
                <w:rFonts w:ascii="Arial" w:hAnsi="Arial" w:cs="Arial"/>
                <w:color w:val="FF0000"/>
                <w:sz w:val="22"/>
                <w:szCs w:val="22"/>
                <w:lang w:val="es-HN"/>
              </w:rPr>
              <w:t>(</w:t>
            </w:r>
            <w:r w:rsidRPr="00313596">
              <w:rPr>
                <w:rFonts w:ascii="Arial" w:hAnsi="Arial" w:cs="Arial"/>
                <w:i/>
                <w:color w:val="FF0000"/>
                <w:sz w:val="22"/>
                <w:szCs w:val="22"/>
                <w:lang w:val="es-HN"/>
              </w:rPr>
              <w:t xml:space="preserve">Empezando con el cargo actual, enumere en cronológico los cargos que ha desempeñado desde que se graduó el candidato, indicando para cada empleo las actividades realizadas en el marco de esa contratación, </w:t>
            </w:r>
            <w:r w:rsidRPr="00313596">
              <w:rPr>
                <w:rFonts w:ascii="Arial" w:hAnsi="Arial" w:cs="Arial"/>
                <w:sz w:val="22"/>
                <w:szCs w:val="22"/>
                <w:lang w:val="es-HN"/>
              </w:rPr>
              <w:t>fechas de empleo, nombre de la organización y cargos desempeñados):</w:t>
            </w:r>
          </w:p>
          <w:p w14:paraId="7875D06F" w14:textId="77777777" w:rsidR="008C0885" w:rsidRPr="00313596" w:rsidRDefault="008C0885" w:rsidP="000C6174">
            <w:pPr>
              <w:spacing w:before="120"/>
              <w:ind w:left="308" w:right="-540"/>
              <w:rPr>
                <w:rFonts w:ascii="Arial" w:hAnsi="Arial" w:cs="Arial"/>
                <w:sz w:val="22"/>
                <w:szCs w:val="22"/>
                <w:lang w:val="es-HN"/>
              </w:rPr>
            </w:pPr>
            <w:r w:rsidRPr="00313596">
              <w:rPr>
                <w:rFonts w:ascii="Arial" w:hAnsi="Arial" w:cs="Arial"/>
                <w:sz w:val="22"/>
                <w:szCs w:val="22"/>
                <w:lang w:val="es-HN"/>
              </w:rPr>
              <w:t xml:space="preserve">Desde </w:t>
            </w:r>
            <w:r w:rsidRPr="00313596">
              <w:rPr>
                <w:rFonts w:ascii="Arial" w:hAnsi="Arial" w:cs="Arial"/>
                <w:i/>
                <w:color w:val="FF0000"/>
                <w:sz w:val="22"/>
                <w:szCs w:val="22"/>
                <w:lang w:val="es-HN"/>
              </w:rPr>
              <w:t>(Año y mes)</w:t>
            </w:r>
            <w:r w:rsidRPr="00313596">
              <w:rPr>
                <w:rFonts w:ascii="Arial" w:hAnsi="Arial" w:cs="Arial"/>
                <w:i/>
                <w:sz w:val="22"/>
                <w:szCs w:val="22"/>
                <w:lang w:val="es-HN"/>
              </w:rPr>
              <w:t>:</w:t>
            </w:r>
            <w:r w:rsidRPr="00313596">
              <w:rPr>
                <w:rFonts w:ascii="Arial" w:hAnsi="Arial" w:cs="Arial"/>
                <w:sz w:val="22"/>
                <w:szCs w:val="22"/>
                <w:lang w:val="es-HN"/>
              </w:rPr>
              <w:t xml:space="preserve"> ____________ Hasta </w:t>
            </w:r>
            <w:r w:rsidRPr="00313596">
              <w:rPr>
                <w:rFonts w:ascii="Arial" w:hAnsi="Arial" w:cs="Arial"/>
                <w:i/>
                <w:color w:val="FF0000"/>
                <w:sz w:val="22"/>
                <w:szCs w:val="22"/>
                <w:lang w:val="es-HN"/>
              </w:rPr>
              <w:t>(Año y mes)</w:t>
            </w:r>
            <w:r w:rsidRPr="00313596">
              <w:rPr>
                <w:rFonts w:ascii="Arial" w:hAnsi="Arial" w:cs="Arial"/>
                <w:sz w:val="22"/>
                <w:szCs w:val="22"/>
                <w:lang w:val="es-HN"/>
              </w:rPr>
              <w:t xml:space="preserve"> ____________</w:t>
            </w:r>
          </w:p>
          <w:p w14:paraId="5ACA26B0" w14:textId="77777777" w:rsidR="008C0885" w:rsidRPr="00313596" w:rsidRDefault="008C0885" w:rsidP="000C6174">
            <w:pPr>
              <w:spacing w:before="120"/>
              <w:ind w:left="308" w:right="-540"/>
              <w:rPr>
                <w:rFonts w:ascii="Arial" w:hAnsi="Arial" w:cs="Arial"/>
                <w:sz w:val="22"/>
                <w:szCs w:val="22"/>
                <w:lang w:val="es-HN"/>
              </w:rPr>
            </w:pPr>
            <w:r w:rsidRPr="00313596">
              <w:rPr>
                <w:rFonts w:ascii="Arial" w:hAnsi="Arial" w:cs="Arial"/>
                <w:sz w:val="22"/>
                <w:szCs w:val="22"/>
                <w:lang w:val="es-HN"/>
              </w:rPr>
              <w:t>Empresa: ____________________________</w:t>
            </w:r>
          </w:p>
          <w:p w14:paraId="183B0B3A" w14:textId="77777777" w:rsidR="008C0885" w:rsidRPr="00313596" w:rsidRDefault="008C0885" w:rsidP="000C6174">
            <w:pPr>
              <w:spacing w:before="120"/>
              <w:ind w:left="308" w:right="-540"/>
              <w:rPr>
                <w:rFonts w:ascii="Arial" w:hAnsi="Arial" w:cs="Arial"/>
                <w:sz w:val="22"/>
                <w:szCs w:val="22"/>
                <w:lang w:val="es-HN"/>
              </w:rPr>
            </w:pPr>
            <w:r w:rsidRPr="00313596">
              <w:rPr>
                <w:rFonts w:ascii="Arial" w:hAnsi="Arial" w:cs="Arial"/>
                <w:sz w:val="22"/>
                <w:szCs w:val="22"/>
                <w:lang w:val="es-HN"/>
              </w:rPr>
              <w:t>Cargos y funciones desempeñados: ______________________________</w:t>
            </w:r>
          </w:p>
          <w:p w14:paraId="2C2A6904" w14:textId="77777777" w:rsidR="008C0885" w:rsidRPr="00313596" w:rsidRDefault="008C0885" w:rsidP="000C6174">
            <w:pPr>
              <w:tabs>
                <w:tab w:val="center" w:pos="4680"/>
                <w:tab w:val="left" w:pos="5040"/>
                <w:tab w:val="left" w:pos="5760"/>
                <w:tab w:val="left" w:pos="6480"/>
                <w:tab w:val="left" w:pos="7200"/>
                <w:tab w:val="left" w:pos="7920"/>
                <w:tab w:val="left" w:pos="8640"/>
                <w:tab w:val="left" w:pos="9360"/>
              </w:tabs>
              <w:spacing w:before="120"/>
              <w:jc w:val="left"/>
              <w:rPr>
                <w:rFonts w:ascii="Arial" w:hAnsi="Arial" w:cs="Arial"/>
                <w:sz w:val="22"/>
                <w:szCs w:val="22"/>
                <w:lang w:val="es-HN"/>
              </w:rPr>
            </w:pPr>
          </w:p>
        </w:tc>
      </w:tr>
      <w:bookmarkEnd w:id="389"/>
    </w:tbl>
    <w:p w14:paraId="422343D0" w14:textId="77777777" w:rsidR="008C0885" w:rsidRPr="00313596" w:rsidRDefault="008C0885" w:rsidP="000C6174">
      <w:pPr>
        <w:ind w:right="-540"/>
        <w:jc w:val="left"/>
        <w:rPr>
          <w:rFonts w:ascii="Arial" w:hAnsi="Arial" w:cs="Arial"/>
          <w:b/>
          <w:sz w:val="22"/>
          <w:szCs w:val="22"/>
          <w:lang w:val="es-HN"/>
        </w:rPr>
      </w:pPr>
    </w:p>
    <w:p w14:paraId="5DED6C49" w14:textId="77777777" w:rsidR="008C0885" w:rsidRPr="00313596" w:rsidRDefault="008C0885" w:rsidP="00665A7A">
      <w:pPr>
        <w:spacing w:before="120" w:after="120"/>
        <w:jc w:val="left"/>
        <w:rPr>
          <w:rFonts w:ascii="Arial" w:hAnsi="Arial" w:cs="Arial"/>
          <w:b/>
          <w:sz w:val="22"/>
          <w:szCs w:val="22"/>
        </w:rPr>
      </w:pPr>
      <w:bookmarkStart w:id="390" w:name="_Hlk514174976"/>
      <w:r w:rsidRPr="00313596">
        <w:rPr>
          <w:rFonts w:ascii="Arial" w:hAnsi="Arial" w:cs="Arial"/>
          <w:b/>
          <w:sz w:val="22"/>
          <w:szCs w:val="22"/>
        </w:rPr>
        <w:t>Certificación del profesional propuesto:</w:t>
      </w:r>
    </w:p>
    <w:p w14:paraId="786011AB" w14:textId="77777777" w:rsidR="008C0885" w:rsidRPr="00313596" w:rsidRDefault="008C0885" w:rsidP="00665A7A">
      <w:pPr>
        <w:rPr>
          <w:rFonts w:ascii="Arial" w:hAnsi="Arial" w:cs="Arial"/>
          <w:sz w:val="22"/>
          <w:szCs w:val="22"/>
          <w:lang w:val="es-HN"/>
        </w:rPr>
      </w:pPr>
      <w:r w:rsidRPr="00313596">
        <w:rPr>
          <w:rFonts w:ascii="Arial" w:hAnsi="Arial" w:cs="Arial"/>
          <w:sz w:val="22"/>
          <w:szCs w:val="22"/>
          <w:lang w:val="es-HN"/>
        </w:rPr>
        <w:t xml:space="preserve">Yo, el abajo firmante, certifico que, </w:t>
      </w:r>
    </w:p>
    <w:p w14:paraId="1892D591" w14:textId="77777777" w:rsidR="008C0885" w:rsidRPr="00313596" w:rsidRDefault="008C0885" w:rsidP="003B68DB">
      <w:pPr>
        <w:pStyle w:val="Prrafodelista"/>
        <w:numPr>
          <w:ilvl w:val="7"/>
          <w:numId w:val="63"/>
        </w:numPr>
        <w:ind w:left="540"/>
        <w:rPr>
          <w:rFonts w:ascii="Arial" w:hAnsi="Arial" w:cs="Arial"/>
          <w:sz w:val="22"/>
          <w:szCs w:val="22"/>
          <w:lang w:val="es-HN"/>
        </w:rPr>
      </w:pPr>
      <w:r w:rsidRPr="00313596">
        <w:rPr>
          <w:rFonts w:ascii="Arial" w:hAnsi="Arial" w:cs="Arial"/>
          <w:sz w:val="22"/>
          <w:szCs w:val="22"/>
          <w:lang w:val="es-HN"/>
        </w:rPr>
        <w:t xml:space="preserve">He sido informado por el </w:t>
      </w:r>
      <w:r w:rsidRPr="00313596">
        <w:rPr>
          <w:rFonts w:ascii="Arial" w:hAnsi="Arial" w:cs="Arial"/>
          <w:i/>
          <w:color w:val="FF0000"/>
          <w:sz w:val="22"/>
          <w:szCs w:val="22"/>
          <w:lang w:val="es-HN"/>
        </w:rPr>
        <w:t>(colocar nombre del oferente)</w:t>
      </w:r>
      <w:r w:rsidRPr="00313596">
        <w:rPr>
          <w:rFonts w:ascii="Arial" w:hAnsi="Arial" w:cs="Arial"/>
          <w:sz w:val="22"/>
          <w:szCs w:val="22"/>
          <w:lang w:val="es-HN"/>
        </w:rPr>
        <w:t xml:space="preserve"> que mi hoja de vida será incluida en la oferta para el proceso de licitación: </w:t>
      </w:r>
      <w:r w:rsidRPr="00313596">
        <w:rPr>
          <w:rFonts w:ascii="Arial" w:hAnsi="Arial" w:cs="Arial"/>
          <w:i/>
          <w:color w:val="FF0000"/>
          <w:sz w:val="22"/>
          <w:szCs w:val="22"/>
          <w:u w:val="single"/>
          <w:lang w:val="es-HN"/>
        </w:rPr>
        <w:t>(Nombre del proceso)</w:t>
      </w:r>
      <w:r w:rsidRPr="00313596">
        <w:rPr>
          <w:rFonts w:ascii="Arial" w:hAnsi="Arial" w:cs="Arial"/>
          <w:i/>
          <w:color w:val="FF0000"/>
          <w:sz w:val="22"/>
          <w:szCs w:val="22"/>
          <w:lang w:val="es-HN"/>
        </w:rPr>
        <w:t>.</w:t>
      </w:r>
    </w:p>
    <w:p w14:paraId="5417ECAC" w14:textId="77777777" w:rsidR="008C0885" w:rsidRPr="00313596" w:rsidRDefault="008C0885" w:rsidP="003B68DB">
      <w:pPr>
        <w:pStyle w:val="Prrafodelista"/>
        <w:numPr>
          <w:ilvl w:val="7"/>
          <w:numId w:val="63"/>
        </w:numPr>
        <w:ind w:left="540"/>
        <w:rPr>
          <w:rFonts w:ascii="Arial" w:hAnsi="Arial" w:cs="Arial"/>
          <w:sz w:val="22"/>
          <w:szCs w:val="22"/>
          <w:lang w:val="es-HN"/>
        </w:rPr>
      </w:pPr>
      <w:r w:rsidRPr="00313596">
        <w:rPr>
          <w:rFonts w:ascii="Arial" w:hAnsi="Arial" w:cs="Arial"/>
          <w:sz w:val="22"/>
          <w:szCs w:val="22"/>
          <w:lang w:val="es-HN"/>
        </w:rPr>
        <w:t xml:space="preserve">Según mi mejor conocimiento y mi entender, este currículo describe correctamente mi persona, mis calificaciones y mi experiencia. </w:t>
      </w:r>
    </w:p>
    <w:p w14:paraId="34DF69E3" w14:textId="77777777" w:rsidR="008C0885" w:rsidRPr="00313596" w:rsidRDefault="008C0885" w:rsidP="003B68DB">
      <w:pPr>
        <w:pStyle w:val="Prrafodelista"/>
        <w:numPr>
          <w:ilvl w:val="7"/>
          <w:numId w:val="63"/>
        </w:numPr>
        <w:ind w:left="540"/>
        <w:rPr>
          <w:rFonts w:ascii="Arial" w:hAnsi="Arial" w:cs="Arial"/>
          <w:color w:val="000000"/>
          <w:sz w:val="22"/>
          <w:szCs w:val="22"/>
          <w:lang w:val="es-HN"/>
        </w:rPr>
      </w:pPr>
      <w:r w:rsidRPr="00313596">
        <w:rPr>
          <w:rFonts w:ascii="Arial" w:hAnsi="Arial" w:cs="Arial"/>
          <w:color w:val="000000"/>
          <w:sz w:val="22"/>
          <w:szCs w:val="22"/>
          <w:lang w:val="es-HN"/>
        </w:rPr>
        <w:t>Aceptamos que cualquier dato falso u omisión que pudiera contener esta hoja de vida y sus anexos puede ser elemento justificable para la descalificación de la oferta</w:t>
      </w:r>
      <w:r w:rsidR="00665A7A" w:rsidRPr="00313596">
        <w:rPr>
          <w:rFonts w:ascii="Arial" w:hAnsi="Arial" w:cs="Arial"/>
          <w:color w:val="000000"/>
          <w:sz w:val="22"/>
          <w:szCs w:val="22"/>
          <w:lang w:val="es-HN"/>
        </w:rPr>
        <w:t>.</w:t>
      </w:r>
    </w:p>
    <w:p w14:paraId="79EDF66A" w14:textId="77777777" w:rsidR="008C0885" w:rsidRPr="00313596" w:rsidRDefault="008C0885" w:rsidP="000C6174">
      <w:pPr>
        <w:pStyle w:val="Prrafodelista"/>
        <w:ind w:left="540" w:right="-540"/>
        <w:rPr>
          <w:rFonts w:ascii="Arial" w:hAnsi="Arial" w:cs="Arial"/>
          <w:color w:val="000000"/>
          <w:sz w:val="22"/>
          <w:szCs w:val="22"/>
          <w:lang w:val="es-HN"/>
        </w:rPr>
      </w:pPr>
    </w:p>
    <w:p w14:paraId="39132F41" w14:textId="77777777" w:rsidR="008C0885" w:rsidRPr="00313596" w:rsidRDefault="008C0885" w:rsidP="000C6174">
      <w:pPr>
        <w:ind w:right="-540"/>
        <w:rPr>
          <w:rFonts w:ascii="Arial" w:hAnsi="Arial" w:cs="Arial"/>
          <w:sz w:val="22"/>
          <w:szCs w:val="22"/>
          <w:lang w:val="es-HN"/>
        </w:rPr>
      </w:pPr>
    </w:p>
    <w:p w14:paraId="30089613"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________________________________________________ Fecha: _________________</w:t>
      </w:r>
    </w:p>
    <w:p w14:paraId="547218FD" w14:textId="77777777" w:rsidR="008C0885" w:rsidRPr="00313596" w:rsidRDefault="008C0885" w:rsidP="000C6174">
      <w:pPr>
        <w:rPr>
          <w:rFonts w:ascii="Arial" w:hAnsi="Arial" w:cs="Arial"/>
          <w:sz w:val="22"/>
          <w:szCs w:val="22"/>
          <w:lang w:val="es-HN"/>
        </w:rPr>
      </w:pPr>
      <w:r w:rsidRPr="00313596">
        <w:rPr>
          <w:rFonts w:ascii="Arial" w:hAnsi="Arial" w:cs="Arial"/>
          <w:i/>
          <w:color w:val="FF0000"/>
          <w:sz w:val="22"/>
          <w:szCs w:val="22"/>
          <w:lang w:val="es-HN"/>
        </w:rPr>
        <w:lastRenderedPageBreak/>
        <w:t>(Firma del profesional propuesto)</w:t>
      </w:r>
      <w:r w:rsidRPr="00313596">
        <w:rPr>
          <w:rFonts w:ascii="Arial" w:hAnsi="Arial" w:cs="Arial"/>
          <w:i/>
          <w:sz w:val="22"/>
          <w:szCs w:val="22"/>
          <w:lang w:val="es-HN"/>
        </w:rPr>
        <w:tab/>
      </w:r>
      <w:r w:rsidRPr="00313596">
        <w:rPr>
          <w:rFonts w:ascii="Arial" w:hAnsi="Arial" w:cs="Arial"/>
          <w:sz w:val="22"/>
          <w:szCs w:val="22"/>
          <w:lang w:val="es-HN"/>
        </w:rPr>
        <w:tab/>
        <w:t xml:space="preserve">                                      Día / Mes / Año</w:t>
      </w:r>
    </w:p>
    <w:p w14:paraId="383583B1" w14:textId="77777777" w:rsidR="008C0885" w:rsidRPr="00313596" w:rsidRDefault="008C0885" w:rsidP="000C6174">
      <w:pPr>
        <w:rPr>
          <w:rFonts w:ascii="Arial" w:hAnsi="Arial" w:cs="Arial"/>
          <w:sz w:val="22"/>
          <w:szCs w:val="22"/>
          <w:lang w:val="es-HN"/>
        </w:rPr>
      </w:pPr>
    </w:p>
    <w:p w14:paraId="7809F8B6" w14:textId="77777777" w:rsidR="008C0885" w:rsidRPr="00313596" w:rsidRDefault="008C0885" w:rsidP="000C6174">
      <w:pPr>
        <w:spacing w:before="120" w:after="120"/>
        <w:rPr>
          <w:rFonts w:ascii="Arial" w:hAnsi="Arial" w:cs="Arial"/>
          <w:b/>
          <w:sz w:val="22"/>
          <w:szCs w:val="22"/>
          <w:lang w:val="es-HN"/>
        </w:rPr>
      </w:pPr>
      <w:r w:rsidRPr="00313596">
        <w:rPr>
          <w:rFonts w:ascii="Arial" w:hAnsi="Arial" w:cs="Arial"/>
          <w:b/>
          <w:sz w:val="22"/>
          <w:szCs w:val="22"/>
          <w:lang w:val="es-HN"/>
        </w:rPr>
        <w:t>Certificación del Oferente:</w:t>
      </w:r>
    </w:p>
    <w:p w14:paraId="31974F09"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 xml:space="preserve">Yo, como representante autorizado de </w:t>
      </w:r>
      <w:r w:rsidRPr="00313596">
        <w:rPr>
          <w:rFonts w:ascii="Arial" w:hAnsi="Arial" w:cs="Arial"/>
          <w:i/>
          <w:color w:val="FF0000"/>
          <w:sz w:val="22"/>
          <w:szCs w:val="22"/>
          <w:u w:val="single"/>
          <w:lang w:val="es-HN"/>
        </w:rPr>
        <w:t>(Nombre del Oferente),</w:t>
      </w:r>
      <w:r w:rsidRPr="00313596">
        <w:rPr>
          <w:rFonts w:ascii="Arial" w:hAnsi="Arial" w:cs="Arial"/>
          <w:color w:val="FF0000"/>
          <w:sz w:val="22"/>
          <w:szCs w:val="22"/>
          <w:lang w:val="es-HN"/>
        </w:rPr>
        <w:t xml:space="preserve"> </w:t>
      </w:r>
      <w:r w:rsidRPr="00313596">
        <w:rPr>
          <w:rFonts w:ascii="Arial" w:hAnsi="Arial" w:cs="Arial"/>
          <w:sz w:val="22"/>
          <w:szCs w:val="22"/>
          <w:lang w:val="es-HN"/>
        </w:rPr>
        <w:t xml:space="preserve">certifico que he obtenido el consentimiento del profesional mencionado para incluir su hoja de vida en la oferta del proceso </w:t>
      </w:r>
      <w:r w:rsidRPr="00313596">
        <w:rPr>
          <w:rFonts w:ascii="Arial" w:hAnsi="Arial" w:cs="Arial"/>
          <w:i/>
          <w:color w:val="FF0000"/>
          <w:sz w:val="22"/>
          <w:szCs w:val="22"/>
          <w:u w:val="single"/>
          <w:lang w:val="es-HN"/>
        </w:rPr>
        <w:t>(Nombre del Proceso)</w:t>
      </w:r>
      <w:r w:rsidRPr="00313596">
        <w:rPr>
          <w:rFonts w:ascii="Arial" w:hAnsi="Arial" w:cs="Arial"/>
          <w:sz w:val="22"/>
          <w:szCs w:val="22"/>
          <w:lang w:val="es-HN"/>
        </w:rPr>
        <w:t>, y que dicho profesional ha declarado que estará disponible para realizar el trabajo de acuerdo con las disposiciones de ejecución y cronograma señalados en la oferta.</w:t>
      </w:r>
    </w:p>
    <w:p w14:paraId="14BFDBEC" w14:textId="77777777" w:rsidR="008C0885" w:rsidRPr="00313596" w:rsidRDefault="008C0885" w:rsidP="000C6174">
      <w:pPr>
        <w:rPr>
          <w:rFonts w:ascii="Arial" w:hAnsi="Arial" w:cs="Arial"/>
          <w:sz w:val="22"/>
          <w:szCs w:val="22"/>
          <w:lang w:val="es-HN"/>
        </w:rPr>
      </w:pPr>
    </w:p>
    <w:p w14:paraId="1F64A36F"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Nombre completo del representante del oferente: __________________________</w:t>
      </w:r>
    </w:p>
    <w:p w14:paraId="72DEA3BA" w14:textId="77777777" w:rsidR="008C0885" w:rsidRPr="00313596" w:rsidRDefault="008C0885" w:rsidP="000C6174">
      <w:pPr>
        <w:rPr>
          <w:rFonts w:ascii="Arial" w:hAnsi="Arial" w:cs="Arial"/>
          <w:sz w:val="22"/>
          <w:szCs w:val="22"/>
          <w:lang w:val="es-HN"/>
        </w:rPr>
      </w:pPr>
    </w:p>
    <w:p w14:paraId="623BFE92" w14:textId="77777777" w:rsidR="008C0885" w:rsidRPr="00313596" w:rsidRDefault="008C0885" w:rsidP="000C6174">
      <w:pPr>
        <w:rPr>
          <w:rFonts w:ascii="Arial" w:hAnsi="Arial" w:cs="Arial"/>
          <w:sz w:val="22"/>
          <w:szCs w:val="22"/>
          <w:lang w:val="es-HN"/>
        </w:rPr>
      </w:pPr>
    </w:p>
    <w:p w14:paraId="32A20560" w14:textId="77777777" w:rsidR="008C0885" w:rsidRPr="00313596" w:rsidRDefault="008C0885" w:rsidP="000C6174">
      <w:pPr>
        <w:rPr>
          <w:rFonts w:ascii="Arial" w:hAnsi="Arial" w:cs="Arial"/>
          <w:sz w:val="22"/>
          <w:szCs w:val="22"/>
          <w:lang w:val="es-HN"/>
        </w:rPr>
      </w:pPr>
    </w:p>
    <w:p w14:paraId="0CB501A7" w14:textId="77777777" w:rsidR="008C0885" w:rsidRPr="00313596" w:rsidRDefault="008C0885" w:rsidP="000C6174">
      <w:pPr>
        <w:rPr>
          <w:rFonts w:ascii="Arial" w:hAnsi="Arial" w:cs="Arial"/>
          <w:sz w:val="22"/>
          <w:szCs w:val="22"/>
          <w:lang w:val="es-HN"/>
        </w:rPr>
      </w:pPr>
    </w:p>
    <w:p w14:paraId="170D2BFA"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____________________</w:t>
      </w:r>
      <w:r w:rsidRPr="00313596">
        <w:rPr>
          <w:rFonts w:ascii="Arial" w:hAnsi="Arial" w:cs="Arial"/>
          <w:sz w:val="22"/>
          <w:szCs w:val="22"/>
          <w:lang w:val="es-HN"/>
        </w:rPr>
        <w:tab/>
      </w:r>
      <w:r w:rsidRPr="00313596">
        <w:rPr>
          <w:rFonts w:ascii="Arial" w:hAnsi="Arial" w:cs="Arial"/>
          <w:sz w:val="22"/>
          <w:szCs w:val="22"/>
          <w:lang w:val="es-HN"/>
        </w:rPr>
        <w:tab/>
        <w:t>_________________</w:t>
      </w:r>
    </w:p>
    <w:p w14:paraId="6F5CD428" w14:textId="77777777" w:rsidR="008C0885" w:rsidRPr="00313596" w:rsidRDefault="008C0885" w:rsidP="000C6174">
      <w:pPr>
        <w:rPr>
          <w:rFonts w:ascii="Arial" w:hAnsi="Arial" w:cs="Arial"/>
          <w:sz w:val="22"/>
          <w:szCs w:val="22"/>
          <w:lang w:val="es-HN"/>
        </w:rPr>
      </w:pPr>
      <w:r w:rsidRPr="00313596">
        <w:rPr>
          <w:rFonts w:ascii="Arial" w:hAnsi="Arial" w:cs="Arial"/>
          <w:sz w:val="22"/>
          <w:szCs w:val="22"/>
          <w:lang w:val="es-HN"/>
        </w:rPr>
        <w:t>Firma del representante</w:t>
      </w:r>
      <w:r w:rsidRPr="00313596">
        <w:rPr>
          <w:rFonts w:ascii="Arial" w:hAnsi="Arial" w:cs="Arial"/>
          <w:sz w:val="22"/>
          <w:szCs w:val="22"/>
          <w:lang w:val="es-HN"/>
        </w:rPr>
        <w:tab/>
      </w:r>
      <w:r w:rsidRPr="00313596">
        <w:rPr>
          <w:rFonts w:ascii="Arial" w:hAnsi="Arial" w:cs="Arial"/>
          <w:sz w:val="22"/>
          <w:szCs w:val="22"/>
          <w:lang w:val="es-HN"/>
        </w:rPr>
        <w:tab/>
        <w:t>Fecha (día, mes, año)</w:t>
      </w:r>
    </w:p>
    <w:bookmarkEnd w:id="390"/>
    <w:p w14:paraId="57440787" w14:textId="77777777" w:rsidR="008C0885" w:rsidRPr="00313596" w:rsidRDefault="008C0885">
      <w:pPr>
        <w:jc w:val="left"/>
        <w:rPr>
          <w:rFonts w:ascii="Arial" w:hAnsi="Arial" w:cs="Arial"/>
          <w:b/>
          <w:sz w:val="22"/>
          <w:szCs w:val="22"/>
        </w:rPr>
      </w:pPr>
      <w:r w:rsidRPr="00313596">
        <w:rPr>
          <w:rFonts w:ascii="Arial" w:hAnsi="Arial" w:cs="Arial"/>
          <w:b/>
          <w:sz w:val="22"/>
          <w:szCs w:val="22"/>
        </w:rPr>
        <w:br w:type="page"/>
      </w:r>
    </w:p>
    <w:p w14:paraId="67E1AFC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313596">
        <w:rPr>
          <w:rFonts w:ascii="Arial" w:hAnsi="Arial" w:cs="Arial"/>
          <w:b/>
          <w:sz w:val="22"/>
          <w:szCs w:val="22"/>
        </w:rPr>
        <w:lastRenderedPageBreak/>
        <w:t>FORMULARIO TEC- 3</w:t>
      </w:r>
    </w:p>
    <w:p w14:paraId="5820D75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7EF2A02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color w:val="FF0000"/>
          <w:sz w:val="22"/>
          <w:szCs w:val="22"/>
        </w:rPr>
      </w:pPr>
      <w:bookmarkStart w:id="391" w:name="_Toc263415273"/>
      <w:r w:rsidRPr="00313596">
        <w:rPr>
          <w:rFonts w:ascii="Arial" w:hAnsi="Arial" w:cs="Arial"/>
          <w:b/>
          <w:sz w:val="22"/>
          <w:szCs w:val="22"/>
        </w:rPr>
        <w:t xml:space="preserve">Equipo necesario para la construcción de la obra </w:t>
      </w:r>
    </w:p>
    <w:p w14:paraId="3CF6560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2"/>
          <w:szCs w:val="22"/>
        </w:rPr>
      </w:pPr>
    </w:p>
    <w:p w14:paraId="514E1E6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rPr>
      </w:pPr>
    </w:p>
    <w:p w14:paraId="3CF2596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r w:rsidRPr="00313596">
        <w:rPr>
          <w:rFonts w:ascii="Arial" w:hAnsi="Arial" w:cs="Arial"/>
          <w:sz w:val="22"/>
          <w:szCs w:val="22"/>
        </w:rPr>
        <w:t xml:space="preserve">El oferente declara que la siguiente información, sobre la existencia de equipo necesario para realizar la construcción de la obra </w:t>
      </w:r>
      <w:r w:rsidRPr="00313596">
        <w:rPr>
          <w:rFonts w:ascii="Arial" w:hAnsi="Arial" w:cs="Arial"/>
          <w:i/>
          <w:color w:val="FF0000"/>
          <w:sz w:val="22"/>
          <w:szCs w:val="22"/>
        </w:rPr>
        <w:t xml:space="preserve">(definir en </w:t>
      </w:r>
      <w:r w:rsidRPr="000D72A7">
        <w:rPr>
          <w:rFonts w:ascii="Arial" w:hAnsi="Arial" w:cs="Arial"/>
          <w:i/>
          <w:color w:val="FF0000"/>
          <w:sz w:val="22"/>
          <w:szCs w:val="22"/>
        </w:rPr>
        <w:t xml:space="preserve">cada </w:t>
      </w:r>
      <w:r w:rsidR="005E6156" w:rsidRPr="000D72A7">
        <w:rPr>
          <w:rFonts w:ascii="Arial" w:hAnsi="Arial" w:cs="Arial"/>
          <w:i/>
          <w:color w:val="FF0000"/>
          <w:sz w:val="22"/>
          <w:szCs w:val="22"/>
        </w:rPr>
        <w:t>Lote</w:t>
      </w:r>
      <w:r w:rsidRPr="000D72A7">
        <w:rPr>
          <w:rFonts w:ascii="Arial" w:hAnsi="Arial" w:cs="Arial"/>
          <w:i/>
          <w:color w:val="FF0000"/>
          <w:sz w:val="22"/>
          <w:szCs w:val="22"/>
        </w:rPr>
        <w:t>),</w:t>
      </w:r>
      <w:r w:rsidRPr="00313596">
        <w:rPr>
          <w:rFonts w:ascii="Arial" w:hAnsi="Arial" w:cs="Arial"/>
          <w:i/>
          <w:sz w:val="22"/>
          <w:szCs w:val="22"/>
        </w:rPr>
        <w:t xml:space="preserve"> refleja</w:t>
      </w:r>
      <w:r w:rsidRPr="00313596">
        <w:rPr>
          <w:rFonts w:ascii="Arial" w:hAnsi="Arial" w:cs="Arial"/>
          <w:sz w:val="22"/>
          <w:szCs w:val="22"/>
        </w:rPr>
        <w:t xml:space="preserve"> el detalle del equipo que el oferente pone a disposición para realizar la misma y en caso de no poseerla presenta la constancia de intención de arrendamiento por parte de la(s) casa(s) comercial(es) de reconocida solvencia y credibilidad.</w:t>
      </w:r>
    </w:p>
    <w:p w14:paraId="385C661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4BC43CA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42574EB2"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90"/>
        <w:gridCol w:w="1170"/>
        <w:gridCol w:w="810"/>
        <w:gridCol w:w="1260"/>
        <w:gridCol w:w="1440"/>
        <w:gridCol w:w="990"/>
        <w:gridCol w:w="1080"/>
        <w:gridCol w:w="1260"/>
      </w:tblGrid>
      <w:tr w:rsidR="00665A7A" w:rsidRPr="00313596" w14:paraId="61010E57" w14:textId="77777777" w:rsidTr="00B47035">
        <w:trPr>
          <w:trHeight w:val="901"/>
        </w:trPr>
        <w:tc>
          <w:tcPr>
            <w:tcW w:w="540" w:type="dxa"/>
            <w:shd w:val="clear" w:color="auto" w:fill="00B050"/>
            <w:vAlign w:val="center"/>
          </w:tcPr>
          <w:p w14:paraId="2A72EAD1" w14:textId="77777777" w:rsidR="008C0885" w:rsidRPr="00B47035" w:rsidRDefault="008C0885" w:rsidP="000C6174">
            <w:pPr>
              <w:pStyle w:val="i"/>
              <w:jc w:val="center"/>
              <w:rPr>
                <w:rFonts w:ascii="Arial" w:hAnsi="Arial" w:cs="Arial"/>
                <w:b/>
                <w:snapToGrid w:val="0"/>
                <w:color w:val="FFFFFF" w:themeColor="background1"/>
                <w:sz w:val="18"/>
                <w:szCs w:val="18"/>
              </w:rPr>
            </w:pPr>
          </w:p>
          <w:p w14:paraId="15A719D6" w14:textId="77777777" w:rsidR="008C0885" w:rsidRPr="00B47035" w:rsidRDefault="008C0885" w:rsidP="000C6174">
            <w:pPr>
              <w:pStyle w:val="i"/>
              <w:jc w:val="center"/>
              <w:rPr>
                <w:rFonts w:ascii="Arial" w:hAnsi="Arial" w:cs="Arial"/>
                <w:b/>
                <w:snapToGrid w:val="0"/>
                <w:color w:val="FFFFFF" w:themeColor="background1"/>
                <w:sz w:val="18"/>
                <w:szCs w:val="18"/>
              </w:rPr>
            </w:pPr>
            <w:r w:rsidRPr="00B47035">
              <w:rPr>
                <w:rFonts w:ascii="Arial" w:hAnsi="Arial" w:cs="Arial"/>
                <w:b/>
                <w:snapToGrid w:val="0"/>
                <w:color w:val="FFFFFF" w:themeColor="background1"/>
                <w:sz w:val="18"/>
                <w:szCs w:val="18"/>
              </w:rPr>
              <w:t>No</w:t>
            </w:r>
          </w:p>
          <w:p w14:paraId="4696EC47" w14:textId="77777777" w:rsidR="008C0885" w:rsidRPr="00B47035" w:rsidRDefault="008C0885" w:rsidP="000C6174">
            <w:pPr>
              <w:pStyle w:val="i"/>
              <w:jc w:val="center"/>
              <w:rPr>
                <w:rFonts w:ascii="Arial" w:hAnsi="Arial" w:cs="Arial"/>
                <w:b/>
                <w:snapToGrid w:val="0"/>
                <w:color w:val="FFFFFF" w:themeColor="background1"/>
                <w:sz w:val="18"/>
                <w:szCs w:val="18"/>
              </w:rPr>
            </w:pPr>
          </w:p>
        </w:tc>
        <w:tc>
          <w:tcPr>
            <w:tcW w:w="990" w:type="dxa"/>
            <w:shd w:val="clear" w:color="auto" w:fill="00B050"/>
            <w:vAlign w:val="center"/>
          </w:tcPr>
          <w:p w14:paraId="26F328DA"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Tipo y Modelo del Equipo</w:t>
            </w:r>
          </w:p>
        </w:tc>
        <w:tc>
          <w:tcPr>
            <w:tcW w:w="1170" w:type="dxa"/>
            <w:shd w:val="clear" w:color="auto" w:fill="00B050"/>
            <w:vAlign w:val="center"/>
          </w:tcPr>
          <w:p w14:paraId="5972EA7E"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Año de Fabricación</w:t>
            </w:r>
          </w:p>
        </w:tc>
        <w:tc>
          <w:tcPr>
            <w:tcW w:w="810" w:type="dxa"/>
            <w:shd w:val="clear" w:color="auto" w:fill="00B050"/>
            <w:vAlign w:val="center"/>
          </w:tcPr>
          <w:p w14:paraId="289ABF90"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Estado actual</w:t>
            </w:r>
          </w:p>
        </w:tc>
        <w:tc>
          <w:tcPr>
            <w:tcW w:w="1260" w:type="dxa"/>
            <w:shd w:val="clear" w:color="auto" w:fill="00B050"/>
            <w:vAlign w:val="center"/>
          </w:tcPr>
          <w:p w14:paraId="53B3BE58"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 Propio (P)</w:t>
            </w:r>
          </w:p>
          <w:p w14:paraId="319A174D"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o</w:t>
            </w:r>
          </w:p>
          <w:p w14:paraId="7F7CBCEF"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Alquilado (A)</w:t>
            </w:r>
          </w:p>
        </w:tc>
        <w:tc>
          <w:tcPr>
            <w:tcW w:w="1440" w:type="dxa"/>
            <w:shd w:val="clear" w:color="auto" w:fill="00B050"/>
            <w:vAlign w:val="center"/>
          </w:tcPr>
          <w:p w14:paraId="6F692677"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Especificación de Potencia</w:t>
            </w:r>
          </w:p>
        </w:tc>
        <w:tc>
          <w:tcPr>
            <w:tcW w:w="990" w:type="dxa"/>
            <w:shd w:val="clear" w:color="auto" w:fill="00B050"/>
            <w:vAlign w:val="center"/>
          </w:tcPr>
          <w:p w14:paraId="2FF596FF"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Capa</w:t>
            </w:r>
            <w:r w:rsidR="00890C5D">
              <w:rPr>
                <w:rFonts w:ascii="Arial" w:hAnsi="Arial" w:cs="Arial"/>
                <w:b/>
                <w:i/>
                <w:snapToGrid w:val="0"/>
                <w:color w:val="FFFFFF" w:themeColor="background1"/>
                <w:sz w:val="18"/>
                <w:szCs w:val="18"/>
              </w:rPr>
              <w:t>-</w:t>
            </w:r>
            <w:r w:rsidRPr="00B47035">
              <w:rPr>
                <w:rFonts w:ascii="Arial" w:hAnsi="Arial" w:cs="Arial"/>
                <w:b/>
                <w:i/>
                <w:snapToGrid w:val="0"/>
                <w:color w:val="FFFFFF" w:themeColor="background1"/>
                <w:sz w:val="18"/>
                <w:szCs w:val="18"/>
              </w:rPr>
              <w:t>cidad</w:t>
            </w:r>
          </w:p>
          <w:p w14:paraId="7BAE8089"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(Ton. o m</w:t>
            </w:r>
            <w:r w:rsidRPr="00B47035">
              <w:rPr>
                <w:rFonts w:ascii="Arial" w:hAnsi="Arial" w:cs="Arial"/>
                <w:b/>
                <w:i/>
                <w:snapToGrid w:val="0"/>
                <w:color w:val="FFFFFF" w:themeColor="background1"/>
                <w:sz w:val="18"/>
                <w:szCs w:val="18"/>
                <w:vertAlign w:val="superscript"/>
              </w:rPr>
              <w:t>3</w:t>
            </w:r>
            <w:r w:rsidRPr="00B47035">
              <w:rPr>
                <w:rFonts w:ascii="Arial" w:hAnsi="Arial" w:cs="Arial"/>
                <w:b/>
                <w:i/>
                <w:snapToGrid w:val="0"/>
                <w:color w:val="FFFFFF" w:themeColor="background1"/>
                <w:sz w:val="18"/>
                <w:szCs w:val="18"/>
              </w:rPr>
              <w:t>)</w:t>
            </w:r>
          </w:p>
        </w:tc>
        <w:tc>
          <w:tcPr>
            <w:tcW w:w="1080" w:type="dxa"/>
            <w:shd w:val="clear" w:color="auto" w:fill="00B050"/>
            <w:vAlign w:val="center"/>
          </w:tcPr>
          <w:p w14:paraId="7086080B" w14:textId="77777777" w:rsidR="008C0885" w:rsidRPr="00B47035" w:rsidRDefault="008C0885" w:rsidP="000C6174">
            <w:pPr>
              <w:pStyle w:val="i"/>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Ubicación Actual</w:t>
            </w:r>
          </w:p>
        </w:tc>
        <w:tc>
          <w:tcPr>
            <w:tcW w:w="1260" w:type="dxa"/>
            <w:shd w:val="clear" w:color="auto" w:fill="00B050"/>
            <w:vAlign w:val="center"/>
          </w:tcPr>
          <w:p w14:paraId="60EF8CFF" w14:textId="77777777" w:rsidR="008C0885" w:rsidRPr="00B47035" w:rsidRDefault="008C0885" w:rsidP="00665A7A">
            <w:pPr>
              <w:pStyle w:val="i"/>
              <w:ind w:left="-77" w:right="-63"/>
              <w:jc w:val="center"/>
              <w:rPr>
                <w:rFonts w:ascii="Arial" w:hAnsi="Arial" w:cs="Arial"/>
                <w:b/>
                <w:i/>
                <w:snapToGrid w:val="0"/>
                <w:color w:val="FFFFFF" w:themeColor="background1"/>
                <w:sz w:val="18"/>
                <w:szCs w:val="18"/>
              </w:rPr>
            </w:pPr>
            <w:r w:rsidRPr="00B47035">
              <w:rPr>
                <w:rFonts w:ascii="Arial" w:hAnsi="Arial" w:cs="Arial"/>
                <w:b/>
                <w:i/>
                <w:snapToGrid w:val="0"/>
                <w:color w:val="FFFFFF" w:themeColor="background1"/>
                <w:sz w:val="18"/>
                <w:szCs w:val="18"/>
              </w:rPr>
              <w:t>Compromisos Actuales</w:t>
            </w:r>
          </w:p>
        </w:tc>
      </w:tr>
      <w:tr w:rsidR="00665A7A" w:rsidRPr="00313596" w14:paraId="4CB996F7" w14:textId="77777777" w:rsidTr="00B47035">
        <w:trPr>
          <w:trHeight w:val="573"/>
        </w:trPr>
        <w:tc>
          <w:tcPr>
            <w:tcW w:w="540" w:type="dxa"/>
          </w:tcPr>
          <w:p w14:paraId="00901B8B" w14:textId="77777777" w:rsidR="008C0885" w:rsidRPr="00313596" w:rsidRDefault="008C0885" w:rsidP="000C6174">
            <w:pPr>
              <w:pStyle w:val="i"/>
              <w:rPr>
                <w:rFonts w:ascii="Arial" w:hAnsi="Arial" w:cs="Arial"/>
                <w:snapToGrid w:val="0"/>
                <w:sz w:val="22"/>
                <w:szCs w:val="22"/>
              </w:rPr>
            </w:pPr>
          </w:p>
        </w:tc>
        <w:tc>
          <w:tcPr>
            <w:tcW w:w="990" w:type="dxa"/>
          </w:tcPr>
          <w:p w14:paraId="337D413E" w14:textId="77777777" w:rsidR="008C0885" w:rsidRPr="00313596" w:rsidRDefault="008C0885" w:rsidP="000C6174">
            <w:pPr>
              <w:pStyle w:val="i"/>
              <w:rPr>
                <w:rFonts w:ascii="Arial" w:hAnsi="Arial" w:cs="Arial"/>
                <w:snapToGrid w:val="0"/>
                <w:sz w:val="22"/>
                <w:szCs w:val="22"/>
              </w:rPr>
            </w:pPr>
          </w:p>
        </w:tc>
        <w:tc>
          <w:tcPr>
            <w:tcW w:w="1170" w:type="dxa"/>
          </w:tcPr>
          <w:p w14:paraId="673CC5A2" w14:textId="77777777" w:rsidR="008C0885" w:rsidRPr="00313596" w:rsidRDefault="008C0885" w:rsidP="000C6174">
            <w:pPr>
              <w:pStyle w:val="i"/>
              <w:jc w:val="center"/>
              <w:rPr>
                <w:rFonts w:ascii="Arial" w:hAnsi="Arial" w:cs="Arial"/>
                <w:snapToGrid w:val="0"/>
                <w:sz w:val="22"/>
                <w:szCs w:val="22"/>
              </w:rPr>
            </w:pPr>
          </w:p>
        </w:tc>
        <w:tc>
          <w:tcPr>
            <w:tcW w:w="810" w:type="dxa"/>
          </w:tcPr>
          <w:p w14:paraId="2176C297" w14:textId="77777777" w:rsidR="008C0885" w:rsidRPr="00313596" w:rsidRDefault="008C0885" w:rsidP="000C6174">
            <w:pPr>
              <w:pStyle w:val="i"/>
              <w:rPr>
                <w:rFonts w:ascii="Arial" w:hAnsi="Arial" w:cs="Arial"/>
                <w:snapToGrid w:val="0"/>
                <w:sz w:val="22"/>
                <w:szCs w:val="22"/>
              </w:rPr>
            </w:pPr>
          </w:p>
        </w:tc>
        <w:tc>
          <w:tcPr>
            <w:tcW w:w="1260" w:type="dxa"/>
          </w:tcPr>
          <w:p w14:paraId="6413D7D8" w14:textId="77777777" w:rsidR="008C0885" w:rsidRPr="00313596" w:rsidRDefault="008C0885" w:rsidP="000C6174">
            <w:pPr>
              <w:pStyle w:val="i"/>
              <w:jc w:val="center"/>
              <w:rPr>
                <w:rFonts w:ascii="Arial" w:hAnsi="Arial" w:cs="Arial"/>
                <w:snapToGrid w:val="0"/>
                <w:sz w:val="22"/>
                <w:szCs w:val="22"/>
              </w:rPr>
            </w:pPr>
          </w:p>
        </w:tc>
        <w:tc>
          <w:tcPr>
            <w:tcW w:w="1440" w:type="dxa"/>
          </w:tcPr>
          <w:p w14:paraId="684C7420" w14:textId="77777777" w:rsidR="008C0885" w:rsidRPr="00313596" w:rsidRDefault="008C0885" w:rsidP="000C6174">
            <w:pPr>
              <w:pStyle w:val="i"/>
              <w:jc w:val="center"/>
              <w:rPr>
                <w:rFonts w:ascii="Arial" w:hAnsi="Arial" w:cs="Arial"/>
                <w:snapToGrid w:val="0"/>
                <w:sz w:val="22"/>
                <w:szCs w:val="22"/>
              </w:rPr>
            </w:pPr>
          </w:p>
        </w:tc>
        <w:tc>
          <w:tcPr>
            <w:tcW w:w="990" w:type="dxa"/>
          </w:tcPr>
          <w:p w14:paraId="580FD6BA" w14:textId="77777777" w:rsidR="008C0885" w:rsidRPr="00313596" w:rsidRDefault="008C0885" w:rsidP="000C6174">
            <w:pPr>
              <w:pStyle w:val="i"/>
              <w:jc w:val="center"/>
              <w:rPr>
                <w:rFonts w:ascii="Arial" w:hAnsi="Arial" w:cs="Arial"/>
                <w:snapToGrid w:val="0"/>
                <w:sz w:val="22"/>
                <w:szCs w:val="22"/>
              </w:rPr>
            </w:pPr>
          </w:p>
        </w:tc>
        <w:tc>
          <w:tcPr>
            <w:tcW w:w="1080" w:type="dxa"/>
          </w:tcPr>
          <w:p w14:paraId="72AD7502" w14:textId="77777777" w:rsidR="008C0885" w:rsidRPr="00313596" w:rsidRDefault="008C0885" w:rsidP="000C6174">
            <w:pPr>
              <w:pStyle w:val="i"/>
              <w:jc w:val="center"/>
              <w:rPr>
                <w:rFonts w:ascii="Arial" w:hAnsi="Arial" w:cs="Arial"/>
                <w:snapToGrid w:val="0"/>
                <w:sz w:val="22"/>
                <w:szCs w:val="22"/>
              </w:rPr>
            </w:pPr>
          </w:p>
        </w:tc>
        <w:tc>
          <w:tcPr>
            <w:tcW w:w="1260" w:type="dxa"/>
          </w:tcPr>
          <w:p w14:paraId="036ECCF5" w14:textId="77777777" w:rsidR="008C0885" w:rsidRPr="00313596" w:rsidRDefault="008C0885" w:rsidP="000C6174">
            <w:pPr>
              <w:pStyle w:val="i"/>
              <w:jc w:val="center"/>
              <w:rPr>
                <w:rFonts w:ascii="Arial" w:hAnsi="Arial" w:cs="Arial"/>
                <w:snapToGrid w:val="0"/>
                <w:sz w:val="22"/>
                <w:szCs w:val="22"/>
              </w:rPr>
            </w:pPr>
          </w:p>
        </w:tc>
      </w:tr>
      <w:tr w:rsidR="00665A7A" w:rsidRPr="00313596" w14:paraId="68D701D6" w14:textId="77777777" w:rsidTr="00B47035">
        <w:tc>
          <w:tcPr>
            <w:tcW w:w="540" w:type="dxa"/>
          </w:tcPr>
          <w:p w14:paraId="06E151E8" w14:textId="77777777" w:rsidR="008C0885" w:rsidRPr="00313596" w:rsidRDefault="008C0885" w:rsidP="000C6174">
            <w:pPr>
              <w:pStyle w:val="i"/>
              <w:rPr>
                <w:rFonts w:ascii="Arial" w:hAnsi="Arial" w:cs="Arial"/>
                <w:snapToGrid w:val="0"/>
                <w:sz w:val="22"/>
                <w:szCs w:val="22"/>
              </w:rPr>
            </w:pPr>
          </w:p>
        </w:tc>
        <w:tc>
          <w:tcPr>
            <w:tcW w:w="990" w:type="dxa"/>
          </w:tcPr>
          <w:p w14:paraId="0D0FF266" w14:textId="77777777" w:rsidR="008C0885" w:rsidRPr="00313596" w:rsidRDefault="008C0885" w:rsidP="000C6174">
            <w:pPr>
              <w:pStyle w:val="i"/>
              <w:rPr>
                <w:rFonts w:ascii="Arial" w:hAnsi="Arial" w:cs="Arial"/>
                <w:snapToGrid w:val="0"/>
                <w:sz w:val="22"/>
                <w:szCs w:val="22"/>
              </w:rPr>
            </w:pPr>
          </w:p>
        </w:tc>
        <w:tc>
          <w:tcPr>
            <w:tcW w:w="1170" w:type="dxa"/>
          </w:tcPr>
          <w:p w14:paraId="37D2E09D" w14:textId="77777777" w:rsidR="008C0885" w:rsidRPr="00313596" w:rsidRDefault="008C0885" w:rsidP="000C6174">
            <w:pPr>
              <w:pStyle w:val="i"/>
              <w:rPr>
                <w:rFonts w:ascii="Arial" w:hAnsi="Arial" w:cs="Arial"/>
                <w:snapToGrid w:val="0"/>
                <w:sz w:val="22"/>
                <w:szCs w:val="22"/>
              </w:rPr>
            </w:pPr>
          </w:p>
        </w:tc>
        <w:tc>
          <w:tcPr>
            <w:tcW w:w="810" w:type="dxa"/>
          </w:tcPr>
          <w:p w14:paraId="2FFFAB4C" w14:textId="77777777" w:rsidR="008C0885" w:rsidRPr="00313596" w:rsidRDefault="008C0885" w:rsidP="000C6174">
            <w:pPr>
              <w:pStyle w:val="i"/>
              <w:rPr>
                <w:rFonts w:ascii="Arial" w:hAnsi="Arial" w:cs="Arial"/>
                <w:snapToGrid w:val="0"/>
                <w:sz w:val="22"/>
                <w:szCs w:val="22"/>
              </w:rPr>
            </w:pPr>
          </w:p>
        </w:tc>
        <w:tc>
          <w:tcPr>
            <w:tcW w:w="1260" w:type="dxa"/>
          </w:tcPr>
          <w:p w14:paraId="7E5B484A" w14:textId="77777777" w:rsidR="008C0885" w:rsidRPr="00313596" w:rsidRDefault="008C0885" w:rsidP="000C6174">
            <w:pPr>
              <w:pStyle w:val="i"/>
              <w:rPr>
                <w:rFonts w:ascii="Arial" w:hAnsi="Arial" w:cs="Arial"/>
                <w:snapToGrid w:val="0"/>
                <w:sz w:val="22"/>
                <w:szCs w:val="22"/>
              </w:rPr>
            </w:pPr>
          </w:p>
        </w:tc>
        <w:tc>
          <w:tcPr>
            <w:tcW w:w="1440" w:type="dxa"/>
          </w:tcPr>
          <w:p w14:paraId="0EF13C3E" w14:textId="77777777" w:rsidR="008C0885" w:rsidRPr="00313596" w:rsidRDefault="008C0885" w:rsidP="000C6174">
            <w:pPr>
              <w:pStyle w:val="i"/>
              <w:rPr>
                <w:rFonts w:ascii="Arial" w:hAnsi="Arial" w:cs="Arial"/>
                <w:snapToGrid w:val="0"/>
                <w:sz w:val="22"/>
                <w:szCs w:val="22"/>
              </w:rPr>
            </w:pPr>
          </w:p>
        </w:tc>
        <w:tc>
          <w:tcPr>
            <w:tcW w:w="990" w:type="dxa"/>
          </w:tcPr>
          <w:p w14:paraId="57A0C5A7" w14:textId="77777777" w:rsidR="008C0885" w:rsidRPr="00313596" w:rsidRDefault="008C0885" w:rsidP="000C6174">
            <w:pPr>
              <w:pStyle w:val="i"/>
              <w:rPr>
                <w:rFonts w:ascii="Arial" w:hAnsi="Arial" w:cs="Arial"/>
                <w:snapToGrid w:val="0"/>
                <w:sz w:val="22"/>
                <w:szCs w:val="22"/>
              </w:rPr>
            </w:pPr>
          </w:p>
        </w:tc>
        <w:tc>
          <w:tcPr>
            <w:tcW w:w="1080" w:type="dxa"/>
          </w:tcPr>
          <w:p w14:paraId="4DCB7B2C" w14:textId="77777777" w:rsidR="008C0885" w:rsidRPr="00313596" w:rsidRDefault="008C0885" w:rsidP="000C6174">
            <w:pPr>
              <w:pStyle w:val="i"/>
              <w:rPr>
                <w:rFonts w:ascii="Arial" w:hAnsi="Arial" w:cs="Arial"/>
                <w:snapToGrid w:val="0"/>
                <w:sz w:val="22"/>
                <w:szCs w:val="22"/>
              </w:rPr>
            </w:pPr>
          </w:p>
        </w:tc>
        <w:tc>
          <w:tcPr>
            <w:tcW w:w="1260" w:type="dxa"/>
          </w:tcPr>
          <w:p w14:paraId="12412938" w14:textId="77777777" w:rsidR="008C0885" w:rsidRPr="00313596" w:rsidRDefault="008C0885" w:rsidP="000C6174">
            <w:pPr>
              <w:pStyle w:val="i"/>
              <w:rPr>
                <w:rFonts w:ascii="Arial" w:hAnsi="Arial" w:cs="Arial"/>
                <w:snapToGrid w:val="0"/>
                <w:sz w:val="22"/>
                <w:szCs w:val="22"/>
              </w:rPr>
            </w:pPr>
          </w:p>
        </w:tc>
      </w:tr>
      <w:tr w:rsidR="00665A7A" w:rsidRPr="00313596" w14:paraId="1DB0EB48" w14:textId="77777777" w:rsidTr="00B47035">
        <w:tc>
          <w:tcPr>
            <w:tcW w:w="540" w:type="dxa"/>
          </w:tcPr>
          <w:p w14:paraId="1B6E6D4C" w14:textId="77777777" w:rsidR="008C0885" w:rsidRPr="00313596" w:rsidRDefault="008C0885" w:rsidP="000C6174">
            <w:pPr>
              <w:pStyle w:val="i"/>
              <w:rPr>
                <w:rFonts w:ascii="Arial" w:hAnsi="Arial" w:cs="Arial"/>
                <w:snapToGrid w:val="0"/>
                <w:sz w:val="22"/>
                <w:szCs w:val="22"/>
              </w:rPr>
            </w:pPr>
          </w:p>
        </w:tc>
        <w:tc>
          <w:tcPr>
            <w:tcW w:w="990" w:type="dxa"/>
          </w:tcPr>
          <w:p w14:paraId="7663CE6E" w14:textId="77777777" w:rsidR="008C0885" w:rsidRPr="00313596" w:rsidRDefault="008C0885" w:rsidP="000C6174">
            <w:pPr>
              <w:pStyle w:val="i"/>
              <w:rPr>
                <w:rFonts w:ascii="Arial" w:hAnsi="Arial" w:cs="Arial"/>
                <w:snapToGrid w:val="0"/>
                <w:sz w:val="22"/>
                <w:szCs w:val="22"/>
              </w:rPr>
            </w:pPr>
          </w:p>
        </w:tc>
        <w:tc>
          <w:tcPr>
            <w:tcW w:w="1170" w:type="dxa"/>
          </w:tcPr>
          <w:p w14:paraId="6DF33949" w14:textId="77777777" w:rsidR="008C0885" w:rsidRPr="00313596" w:rsidRDefault="008C0885" w:rsidP="000C6174">
            <w:pPr>
              <w:pStyle w:val="i"/>
              <w:rPr>
                <w:rFonts w:ascii="Arial" w:hAnsi="Arial" w:cs="Arial"/>
                <w:snapToGrid w:val="0"/>
                <w:sz w:val="22"/>
                <w:szCs w:val="22"/>
              </w:rPr>
            </w:pPr>
          </w:p>
        </w:tc>
        <w:tc>
          <w:tcPr>
            <w:tcW w:w="810" w:type="dxa"/>
          </w:tcPr>
          <w:p w14:paraId="26E991F1" w14:textId="77777777" w:rsidR="008C0885" w:rsidRPr="00313596" w:rsidRDefault="008C0885" w:rsidP="000C6174">
            <w:pPr>
              <w:pStyle w:val="i"/>
              <w:rPr>
                <w:rFonts w:ascii="Arial" w:hAnsi="Arial" w:cs="Arial"/>
                <w:snapToGrid w:val="0"/>
                <w:sz w:val="22"/>
                <w:szCs w:val="22"/>
              </w:rPr>
            </w:pPr>
          </w:p>
        </w:tc>
        <w:tc>
          <w:tcPr>
            <w:tcW w:w="1260" w:type="dxa"/>
          </w:tcPr>
          <w:p w14:paraId="69909E18" w14:textId="77777777" w:rsidR="008C0885" w:rsidRPr="00313596" w:rsidRDefault="008C0885" w:rsidP="000C6174">
            <w:pPr>
              <w:pStyle w:val="i"/>
              <w:rPr>
                <w:rFonts w:ascii="Arial" w:hAnsi="Arial" w:cs="Arial"/>
                <w:snapToGrid w:val="0"/>
                <w:sz w:val="22"/>
                <w:szCs w:val="22"/>
              </w:rPr>
            </w:pPr>
          </w:p>
        </w:tc>
        <w:tc>
          <w:tcPr>
            <w:tcW w:w="1440" w:type="dxa"/>
          </w:tcPr>
          <w:p w14:paraId="6C0DECDC" w14:textId="77777777" w:rsidR="008C0885" w:rsidRPr="00313596" w:rsidRDefault="008C0885" w:rsidP="000C6174">
            <w:pPr>
              <w:pStyle w:val="i"/>
              <w:rPr>
                <w:rFonts w:ascii="Arial" w:hAnsi="Arial" w:cs="Arial"/>
                <w:snapToGrid w:val="0"/>
                <w:sz w:val="22"/>
                <w:szCs w:val="22"/>
              </w:rPr>
            </w:pPr>
          </w:p>
        </w:tc>
        <w:tc>
          <w:tcPr>
            <w:tcW w:w="990" w:type="dxa"/>
          </w:tcPr>
          <w:p w14:paraId="6D44B492" w14:textId="77777777" w:rsidR="008C0885" w:rsidRPr="00313596" w:rsidRDefault="008C0885" w:rsidP="000C6174">
            <w:pPr>
              <w:pStyle w:val="i"/>
              <w:rPr>
                <w:rFonts w:ascii="Arial" w:hAnsi="Arial" w:cs="Arial"/>
                <w:snapToGrid w:val="0"/>
                <w:sz w:val="22"/>
                <w:szCs w:val="22"/>
              </w:rPr>
            </w:pPr>
          </w:p>
        </w:tc>
        <w:tc>
          <w:tcPr>
            <w:tcW w:w="1080" w:type="dxa"/>
          </w:tcPr>
          <w:p w14:paraId="7FD04098" w14:textId="77777777" w:rsidR="008C0885" w:rsidRPr="00313596" w:rsidRDefault="008C0885" w:rsidP="000C6174">
            <w:pPr>
              <w:pStyle w:val="i"/>
              <w:rPr>
                <w:rFonts w:ascii="Arial" w:hAnsi="Arial" w:cs="Arial"/>
                <w:snapToGrid w:val="0"/>
                <w:sz w:val="22"/>
                <w:szCs w:val="22"/>
              </w:rPr>
            </w:pPr>
          </w:p>
        </w:tc>
        <w:tc>
          <w:tcPr>
            <w:tcW w:w="1260" w:type="dxa"/>
          </w:tcPr>
          <w:p w14:paraId="734AF549" w14:textId="77777777" w:rsidR="008C0885" w:rsidRPr="00313596" w:rsidRDefault="008C0885" w:rsidP="000C6174">
            <w:pPr>
              <w:pStyle w:val="i"/>
              <w:rPr>
                <w:rFonts w:ascii="Arial" w:hAnsi="Arial" w:cs="Arial"/>
                <w:snapToGrid w:val="0"/>
                <w:sz w:val="22"/>
                <w:szCs w:val="22"/>
              </w:rPr>
            </w:pPr>
          </w:p>
        </w:tc>
      </w:tr>
      <w:tr w:rsidR="00665A7A" w:rsidRPr="00313596" w14:paraId="3D1CF0BD" w14:textId="77777777" w:rsidTr="00B47035">
        <w:tc>
          <w:tcPr>
            <w:tcW w:w="540" w:type="dxa"/>
          </w:tcPr>
          <w:p w14:paraId="273EE314" w14:textId="77777777" w:rsidR="008C0885" w:rsidRPr="00313596" w:rsidRDefault="008C0885" w:rsidP="000C6174">
            <w:pPr>
              <w:pStyle w:val="i"/>
              <w:rPr>
                <w:rFonts w:ascii="Arial" w:hAnsi="Arial" w:cs="Arial"/>
                <w:snapToGrid w:val="0"/>
                <w:sz w:val="22"/>
                <w:szCs w:val="22"/>
              </w:rPr>
            </w:pPr>
          </w:p>
        </w:tc>
        <w:tc>
          <w:tcPr>
            <w:tcW w:w="990" w:type="dxa"/>
          </w:tcPr>
          <w:p w14:paraId="329A3967" w14:textId="77777777" w:rsidR="008C0885" w:rsidRPr="00313596" w:rsidRDefault="008C0885" w:rsidP="000C6174">
            <w:pPr>
              <w:pStyle w:val="i"/>
              <w:rPr>
                <w:rFonts w:ascii="Arial" w:hAnsi="Arial" w:cs="Arial"/>
                <w:snapToGrid w:val="0"/>
                <w:sz w:val="22"/>
                <w:szCs w:val="22"/>
              </w:rPr>
            </w:pPr>
          </w:p>
        </w:tc>
        <w:tc>
          <w:tcPr>
            <w:tcW w:w="1170" w:type="dxa"/>
          </w:tcPr>
          <w:p w14:paraId="6198F4AA" w14:textId="77777777" w:rsidR="008C0885" w:rsidRPr="00313596" w:rsidRDefault="008C0885" w:rsidP="000C6174">
            <w:pPr>
              <w:pStyle w:val="i"/>
              <w:rPr>
                <w:rFonts w:ascii="Arial" w:hAnsi="Arial" w:cs="Arial"/>
                <w:snapToGrid w:val="0"/>
                <w:sz w:val="22"/>
                <w:szCs w:val="22"/>
              </w:rPr>
            </w:pPr>
          </w:p>
        </w:tc>
        <w:tc>
          <w:tcPr>
            <w:tcW w:w="810" w:type="dxa"/>
          </w:tcPr>
          <w:p w14:paraId="43EF0C34" w14:textId="77777777" w:rsidR="008C0885" w:rsidRPr="00313596" w:rsidRDefault="008C0885" w:rsidP="000C6174">
            <w:pPr>
              <w:pStyle w:val="i"/>
              <w:rPr>
                <w:rFonts w:ascii="Arial" w:hAnsi="Arial" w:cs="Arial"/>
                <w:snapToGrid w:val="0"/>
                <w:sz w:val="22"/>
                <w:szCs w:val="22"/>
              </w:rPr>
            </w:pPr>
          </w:p>
        </w:tc>
        <w:tc>
          <w:tcPr>
            <w:tcW w:w="1260" w:type="dxa"/>
          </w:tcPr>
          <w:p w14:paraId="44B3F6B0" w14:textId="77777777" w:rsidR="008C0885" w:rsidRPr="00313596" w:rsidRDefault="008C0885" w:rsidP="000C6174">
            <w:pPr>
              <w:pStyle w:val="i"/>
              <w:rPr>
                <w:rFonts w:ascii="Arial" w:hAnsi="Arial" w:cs="Arial"/>
                <w:snapToGrid w:val="0"/>
                <w:sz w:val="22"/>
                <w:szCs w:val="22"/>
              </w:rPr>
            </w:pPr>
          </w:p>
        </w:tc>
        <w:tc>
          <w:tcPr>
            <w:tcW w:w="1440" w:type="dxa"/>
          </w:tcPr>
          <w:p w14:paraId="470BA8EF" w14:textId="77777777" w:rsidR="008C0885" w:rsidRPr="00313596" w:rsidRDefault="008C0885" w:rsidP="000C6174">
            <w:pPr>
              <w:pStyle w:val="i"/>
              <w:rPr>
                <w:rFonts w:ascii="Arial" w:hAnsi="Arial" w:cs="Arial"/>
                <w:snapToGrid w:val="0"/>
                <w:sz w:val="22"/>
                <w:szCs w:val="22"/>
              </w:rPr>
            </w:pPr>
          </w:p>
        </w:tc>
        <w:tc>
          <w:tcPr>
            <w:tcW w:w="990" w:type="dxa"/>
          </w:tcPr>
          <w:p w14:paraId="255CC15A" w14:textId="77777777" w:rsidR="008C0885" w:rsidRPr="00313596" w:rsidRDefault="008C0885" w:rsidP="000C6174">
            <w:pPr>
              <w:pStyle w:val="i"/>
              <w:rPr>
                <w:rFonts w:ascii="Arial" w:hAnsi="Arial" w:cs="Arial"/>
                <w:snapToGrid w:val="0"/>
                <w:sz w:val="22"/>
                <w:szCs w:val="22"/>
              </w:rPr>
            </w:pPr>
          </w:p>
        </w:tc>
        <w:tc>
          <w:tcPr>
            <w:tcW w:w="1080" w:type="dxa"/>
          </w:tcPr>
          <w:p w14:paraId="72725C14" w14:textId="77777777" w:rsidR="008C0885" w:rsidRPr="00313596" w:rsidRDefault="008C0885" w:rsidP="000C6174">
            <w:pPr>
              <w:pStyle w:val="i"/>
              <w:rPr>
                <w:rFonts w:ascii="Arial" w:hAnsi="Arial" w:cs="Arial"/>
                <w:snapToGrid w:val="0"/>
                <w:sz w:val="22"/>
                <w:szCs w:val="22"/>
              </w:rPr>
            </w:pPr>
          </w:p>
        </w:tc>
        <w:tc>
          <w:tcPr>
            <w:tcW w:w="1260" w:type="dxa"/>
          </w:tcPr>
          <w:p w14:paraId="284368EC" w14:textId="77777777" w:rsidR="008C0885" w:rsidRPr="00313596" w:rsidRDefault="008C0885" w:rsidP="000C6174">
            <w:pPr>
              <w:pStyle w:val="i"/>
              <w:rPr>
                <w:rFonts w:ascii="Arial" w:hAnsi="Arial" w:cs="Arial"/>
                <w:snapToGrid w:val="0"/>
                <w:sz w:val="22"/>
                <w:szCs w:val="22"/>
              </w:rPr>
            </w:pPr>
          </w:p>
        </w:tc>
      </w:tr>
      <w:tr w:rsidR="00665A7A" w:rsidRPr="00313596" w14:paraId="6CDB5038" w14:textId="77777777" w:rsidTr="00B47035">
        <w:tc>
          <w:tcPr>
            <w:tcW w:w="540" w:type="dxa"/>
          </w:tcPr>
          <w:p w14:paraId="1A4C55AF" w14:textId="77777777" w:rsidR="008C0885" w:rsidRPr="00313596" w:rsidRDefault="008C0885" w:rsidP="000C6174">
            <w:pPr>
              <w:pStyle w:val="i"/>
              <w:rPr>
                <w:rFonts w:ascii="Arial" w:hAnsi="Arial" w:cs="Arial"/>
                <w:snapToGrid w:val="0"/>
                <w:sz w:val="22"/>
                <w:szCs w:val="22"/>
              </w:rPr>
            </w:pPr>
          </w:p>
        </w:tc>
        <w:tc>
          <w:tcPr>
            <w:tcW w:w="990" w:type="dxa"/>
          </w:tcPr>
          <w:p w14:paraId="7D7FD7F0" w14:textId="77777777" w:rsidR="008C0885" w:rsidRPr="00313596" w:rsidRDefault="008C0885" w:rsidP="000C6174">
            <w:pPr>
              <w:pStyle w:val="i"/>
              <w:rPr>
                <w:rFonts w:ascii="Arial" w:hAnsi="Arial" w:cs="Arial"/>
                <w:snapToGrid w:val="0"/>
                <w:sz w:val="22"/>
                <w:szCs w:val="22"/>
              </w:rPr>
            </w:pPr>
          </w:p>
        </w:tc>
        <w:tc>
          <w:tcPr>
            <w:tcW w:w="1170" w:type="dxa"/>
          </w:tcPr>
          <w:p w14:paraId="2C8C0953" w14:textId="77777777" w:rsidR="008C0885" w:rsidRPr="00313596" w:rsidRDefault="008C0885" w:rsidP="000C6174">
            <w:pPr>
              <w:pStyle w:val="i"/>
              <w:rPr>
                <w:rFonts w:ascii="Arial" w:hAnsi="Arial" w:cs="Arial"/>
                <w:snapToGrid w:val="0"/>
                <w:sz w:val="22"/>
                <w:szCs w:val="22"/>
              </w:rPr>
            </w:pPr>
          </w:p>
        </w:tc>
        <w:tc>
          <w:tcPr>
            <w:tcW w:w="810" w:type="dxa"/>
          </w:tcPr>
          <w:p w14:paraId="134E87CD" w14:textId="77777777" w:rsidR="008C0885" w:rsidRPr="00313596" w:rsidRDefault="008C0885" w:rsidP="000C6174">
            <w:pPr>
              <w:pStyle w:val="i"/>
              <w:rPr>
                <w:rFonts w:ascii="Arial" w:hAnsi="Arial" w:cs="Arial"/>
                <w:snapToGrid w:val="0"/>
                <w:sz w:val="22"/>
                <w:szCs w:val="22"/>
              </w:rPr>
            </w:pPr>
          </w:p>
        </w:tc>
        <w:tc>
          <w:tcPr>
            <w:tcW w:w="1260" w:type="dxa"/>
          </w:tcPr>
          <w:p w14:paraId="46BC845C" w14:textId="77777777" w:rsidR="008C0885" w:rsidRPr="00313596" w:rsidRDefault="008C0885" w:rsidP="000C6174">
            <w:pPr>
              <w:pStyle w:val="i"/>
              <w:rPr>
                <w:rFonts w:ascii="Arial" w:hAnsi="Arial" w:cs="Arial"/>
                <w:snapToGrid w:val="0"/>
                <w:sz w:val="22"/>
                <w:szCs w:val="22"/>
              </w:rPr>
            </w:pPr>
          </w:p>
        </w:tc>
        <w:tc>
          <w:tcPr>
            <w:tcW w:w="1440" w:type="dxa"/>
          </w:tcPr>
          <w:p w14:paraId="492EA2CD" w14:textId="77777777" w:rsidR="008C0885" w:rsidRPr="00313596" w:rsidRDefault="008C0885" w:rsidP="000C6174">
            <w:pPr>
              <w:pStyle w:val="i"/>
              <w:rPr>
                <w:rFonts w:ascii="Arial" w:hAnsi="Arial" w:cs="Arial"/>
                <w:snapToGrid w:val="0"/>
                <w:sz w:val="22"/>
                <w:szCs w:val="22"/>
              </w:rPr>
            </w:pPr>
          </w:p>
        </w:tc>
        <w:tc>
          <w:tcPr>
            <w:tcW w:w="990" w:type="dxa"/>
          </w:tcPr>
          <w:p w14:paraId="1D286319" w14:textId="77777777" w:rsidR="008C0885" w:rsidRPr="00313596" w:rsidRDefault="008C0885" w:rsidP="000C6174">
            <w:pPr>
              <w:pStyle w:val="i"/>
              <w:rPr>
                <w:rFonts w:ascii="Arial" w:hAnsi="Arial" w:cs="Arial"/>
                <w:snapToGrid w:val="0"/>
                <w:sz w:val="22"/>
                <w:szCs w:val="22"/>
              </w:rPr>
            </w:pPr>
          </w:p>
        </w:tc>
        <w:tc>
          <w:tcPr>
            <w:tcW w:w="1080" w:type="dxa"/>
          </w:tcPr>
          <w:p w14:paraId="316E7AA5" w14:textId="77777777" w:rsidR="008C0885" w:rsidRPr="00313596" w:rsidRDefault="008C0885" w:rsidP="000C6174">
            <w:pPr>
              <w:pStyle w:val="i"/>
              <w:rPr>
                <w:rFonts w:ascii="Arial" w:hAnsi="Arial" w:cs="Arial"/>
                <w:snapToGrid w:val="0"/>
                <w:sz w:val="22"/>
                <w:szCs w:val="22"/>
              </w:rPr>
            </w:pPr>
          </w:p>
        </w:tc>
        <w:tc>
          <w:tcPr>
            <w:tcW w:w="1260" w:type="dxa"/>
          </w:tcPr>
          <w:p w14:paraId="7663C722" w14:textId="77777777" w:rsidR="008C0885" w:rsidRPr="00313596" w:rsidRDefault="008C0885" w:rsidP="000C6174">
            <w:pPr>
              <w:pStyle w:val="i"/>
              <w:rPr>
                <w:rFonts w:ascii="Arial" w:hAnsi="Arial" w:cs="Arial"/>
                <w:snapToGrid w:val="0"/>
                <w:sz w:val="22"/>
                <w:szCs w:val="22"/>
              </w:rPr>
            </w:pPr>
          </w:p>
        </w:tc>
      </w:tr>
    </w:tbl>
    <w:p w14:paraId="34A171B3" w14:textId="77777777" w:rsidR="008C0885" w:rsidRPr="00313596" w:rsidRDefault="008C0885" w:rsidP="000C6174">
      <w:pPr>
        <w:widowControl w:val="0"/>
        <w:tabs>
          <w:tab w:val="left" w:pos="3402"/>
        </w:tabs>
        <w:ind w:left="567" w:hanging="567"/>
        <w:rPr>
          <w:rFonts w:ascii="Arial" w:hAnsi="Arial" w:cs="Arial"/>
          <w:snapToGrid w:val="0"/>
          <w:sz w:val="22"/>
          <w:szCs w:val="22"/>
        </w:rPr>
      </w:pPr>
    </w:p>
    <w:p w14:paraId="3093B586" w14:textId="77777777" w:rsidR="008C0885" w:rsidRPr="00313596" w:rsidRDefault="008C0885" w:rsidP="002C6B9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ind w:left="357" w:hanging="357"/>
        <w:rPr>
          <w:rFonts w:ascii="Arial" w:hAnsi="Arial" w:cs="Arial"/>
          <w:sz w:val="22"/>
          <w:szCs w:val="22"/>
        </w:rPr>
      </w:pPr>
      <w:r w:rsidRPr="00313596">
        <w:rPr>
          <w:rFonts w:ascii="Arial" w:hAnsi="Arial" w:cs="Arial"/>
          <w:sz w:val="22"/>
          <w:szCs w:val="22"/>
        </w:rPr>
        <w:t>(*) En caso de equipo alquilado, presentar compromiso de disponibilidad por parte del propietario de dichos equipos.</w:t>
      </w:r>
    </w:p>
    <w:p w14:paraId="2DA792D3" w14:textId="77777777" w:rsidR="008C0885" w:rsidRPr="00313596"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rPr>
          <w:rFonts w:ascii="Arial" w:hAnsi="Arial" w:cs="Arial"/>
          <w:sz w:val="22"/>
          <w:szCs w:val="22"/>
        </w:rPr>
      </w:pPr>
      <w:r w:rsidRPr="00313596">
        <w:rPr>
          <w:rFonts w:ascii="Arial" w:hAnsi="Arial" w:cs="Arial"/>
          <w:sz w:val="22"/>
          <w:szCs w:val="22"/>
        </w:rPr>
        <w:t>El Contratante se reserva el derecho de confirmar esta información y en caso de no poder realizar la comprobación correspondiente, la misma no será considerada en la evaluación.</w:t>
      </w:r>
    </w:p>
    <w:p w14:paraId="10B86486" w14:textId="77777777" w:rsidR="008C0885" w:rsidRPr="00313596" w:rsidRDefault="008C0885" w:rsidP="000C617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ind w:left="360"/>
        <w:jc w:val="center"/>
        <w:rPr>
          <w:rFonts w:ascii="Arial" w:hAnsi="Arial" w:cs="Arial"/>
          <w:sz w:val="22"/>
          <w:szCs w:val="22"/>
        </w:rPr>
      </w:pPr>
    </w:p>
    <w:p w14:paraId="0CF5212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2"/>
          <w:szCs w:val="22"/>
        </w:rPr>
      </w:pPr>
    </w:p>
    <w:p w14:paraId="3306938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s>
        <w:ind w:left="4320" w:hanging="4320"/>
        <w:rPr>
          <w:rFonts w:ascii="Arial" w:hAnsi="Arial" w:cs="Arial"/>
          <w:i/>
          <w:sz w:val="22"/>
          <w:szCs w:val="22"/>
        </w:rPr>
      </w:pPr>
      <w:r w:rsidRPr="00313596">
        <w:rPr>
          <w:rFonts w:ascii="Arial" w:hAnsi="Arial" w:cs="Arial"/>
          <w:sz w:val="22"/>
          <w:szCs w:val="22"/>
        </w:rPr>
        <w:t>Oferente</w:t>
      </w:r>
      <w:r w:rsidRPr="00313596">
        <w:rPr>
          <w:rFonts w:ascii="Arial" w:hAnsi="Arial" w:cs="Arial"/>
          <w:b/>
          <w:sz w:val="22"/>
          <w:szCs w:val="22"/>
        </w:rPr>
        <w:t xml:space="preserve">: </w:t>
      </w:r>
      <w:r w:rsidRPr="00313596">
        <w:rPr>
          <w:rFonts w:ascii="Arial" w:hAnsi="Arial" w:cs="Arial"/>
          <w:b/>
          <w:sz w:val="22"/>
          <w:szCs w:val="22"/>
        </w:rPr>
        <w:tab/>
      </w:r>
      <w:r w:rsidRPr="00313596">
        <w:rPr>
          <w:rFonts w:ascii="Arial" w:hAnsi="Arial" w:cs="Arial"/>
          <w:color w:val="FF0000"/>
          <w:sz w:val="22"/>
          <w:szCs w:val="22"/>
        </w:rPr>
        <w:t>(</w:t>
      </w:r>
      <w:r w:rsidRPr="00313596">
        <w:rPr>
          <w:rFonts w:ascii="Arial" w:hAnsi="Arial" w:cs="Arial"/>
          <w:i/>
          <w:color w:val="FF0000"/>
          <w:sz w:val="22"/>
          <w:szCs w:val="22"/>
        </w:rPr>
        <w:t>indicar nombre completo del oferente)</w:t>
      </w:r>
      <w:r w:rsidRPr="00313596">
        <w:rPr>
          <w:rFonts w:ascii="Arial" w:hAnsi="Arial" w:cs="Arial"/>
          <w:i/>
          <w:color w:val="FF0000"/>
          <w:sz w:val="22"/>
          <w:szCs w:val="22"/>
        </w:rPr>
        <w:tab/>
      </w:r>
      <w:r w:rsidRPr="00313596">
        <w:rPr>
          <w:rFonts w:ascii="Arial" w:hAnsi="Arial" w:cs="Arial"/>
          <w:i/>
          <w:sz w:val="22"/>
          <w:szCs w:val="22"/>
        </w:rPr>
        <w:tab/>
      </w:r>
    </w:p>
    <w:p w14:paraId="1E56E6F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06E705F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Nombre:</w:t>
      </w:r>
      <w:r w:rsidRPr="00313596">
        <w:rPr>
          <w:rFonts w:ascii="Arial" w:hAnsi="Arial" w:cs="Arial"/>
          <w:b/>
          <w:sz w:val="22"/>
          <w:szCs w:val="22"/>
        </w:rPr>
        <w:t xml:space="preserve"> </w:t>
      </w:r>
      <w:r w:rsidRPr="00313596">
        <w:rPr>
          <w:rFonts w:ascii="Arial" w:hAnsi="Arial" w:cs="Arial"/>
          <w:b/>
          <w:sz w:val="22"/>
          <w:szCs w:val="22"/>
        </w:rPr>
        <w:tab/>
      </w:r>
      <w:r w:rsidRPr="00313596">
        <w:rPr>
          <w:rFonts w:ascii="Arial" w:hAnsi="Arial" w:cs="Arial"/>
          <w:i/>
          <w:color w:val="FF0000"/>
          <w:sz w:val="22"/>
          <w:szCs w:val="22"/>
        </w:rPr>
        <w:t>(indicar el nombre completo de la persona que firma la oferta)</w:t>
      </w:r>
    </w:p>
    <w:p w14:paraId="67DCC11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1AE7E8C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Cargo:</w:t>
      </w:r>
      <w:r w:rsidRPr="00313596">
        <w:rPr>
          <w:rFonts w:ascii="Arial" w:hAnsi="Arial" w:cs="Arial"/>
          <w:b/>
          <w:sz w:val="22"/>
          <w:szCs w:val="22"/>
        </w:rPr>
        <w:t xml:space="preserve"> </w:t>
      </w:r>
      <w:r w:rsidRPr="00313596">
        <w:rPr>
          <w:rFonts w:ascii="Arial" w:hAnsi="Arial" w:cs="Arial"/>
          <w:b/>
          <w:sz w:val="22"/>
          <w:szCs w:val="22"/>
        </w:rPr>
        <w:tab/>
      </w:r>
      <w:r w:rsidRPr="00313596">
        <w:rPr>
          <w:rFonts w:ascii="Arial" w:hAnsi="Arial" w:cs="Arial"/>
          <w:i/>
          <w:color w:val="FF0000"/>
          <w:sz w:val="22"/>
          <w:szCs w:val="22"/>
        </w:rPr>
        <w:t>(del firmante)</w:t>
      </w:r>
    </w:p>
    <w:p w14:paraId="4DD9928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ED6168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Firma</w:t>
      </w:r>
      <w:r w:rsidRPr="00313596">
        <w:rPr>
          <w:rFonts w:ascii="Arial" w:hAnsi="Arial" w:cs="Arial"/>
          <w:i/>
          <w:sz w:val="22"/>
          <w:szCs w:val="22"/>
        </w:rPr>
        <w:t>:</w:t>
      </w:r>
      <w:r w:rsidRPr="00313596">
        <w:rPr>
          <w:rFonts w:ascii="Arial" w:hAnsi="Arial" w:cs="Arial"/>
          <w:i/>
          <w:sz w:val="22"/>
          <w:szCs w:val="22"/>
        </w:rPr>
        <w:tab/>
      </w:r>
      <w:r w:rsidRPr="00313596">
        <w:rPr>
          <w:rFonts w:ascii="Arial" w:hAnsi="Arial" w:cs="Arial"/>
          <w:i/>
          <w:sz w:val="22"/>
          <w:szCs w:val="22"/>
        </w:rPr>
        <w:tab/>
      </w:r>
      <w:r w:rsidRPr="00313596">
        <w:rPr>
          <w:rFonts w:ascii="Arial" w:hAnsi="Arial" w:cs="Arial"/>
          <w:i/>
          <w:color w:val="FF0000"/>
          <w:sz w:val="22"/>
          <w:szCs w:val="22"/>
        </w:rPr>
        <w:t>(firma de la persona cuyo nombre y cargo aparecen arriba indicados)</w:t>
      </w:r>
    </w:p>
    <w:p w14:paraId="662B5E0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28C3581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sz w:val="22"/>
          <w:szCs w:val="22"/>
        </w:rPr>
        <w:t xml:space="preserve">Fecha: </w:t>
      </w:r>
      <w:r w:rsidRPr="00313596">
        <w:rPr>
          <w:rFonts w:ascii="Arial" w:hAnsi="Arial" w:cs="Arial"/>
          <w:sz w:val="22"/>
          <w:szCs w:val="22"/>
        </w:rPr>
        <w:tab/>
      </w:r>
      <w:r w:rsidRPr="00313596">
        <w:rPr>
          <w:rFonts w:ascii="Arial" w:hAnsi="Arial" w:cs="Arial"/>
          <w:i/>
          <w:color w:val="FF0000"/>
          <w:sz w:val="22"/>
          <w:szCs w:val="22"/>
        </w:rPr>
        <w:t>(día, mes y año en que se firma la oferta)</w:t>
      </w:r>
    </w:p>
    <w:p w14:paraId="69161AA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1009656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sectPr w:rsidR="008C0885" w:rsidRPr="00313596" w:rsidSect="00D52575">
          <w:headerReference w:type="even" r:id="rId28"/>
          <w:headerReference w:type="default" r:id="rId29"/>
          <w:footerReference w:type="even" r:id="rId30"/>
          <w:headerReference w:type="first" r:id="rId31"/>
          <w:footerReference w:type="first" r:id="rId32"/>
          <w:pgSz w:w="12240" w:h="15840" w:code="1"/>
          <w:pgMar w:top="1152" w:right="1440" w:bottom="1440" w:left="1440" w:header="720" w:footer="720" w:gutter="0"/>
          <w:cols w:space="720"/>
          <w:docGrid w:linePitch="360"/>
        </w:sectPr>
      </w:pPr>
    </w:p>
    <w:p w14:paraId="5383764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313596">
        <w:rPr>
          <w:rFonts w:ascii="Arial" w:hAnsi="Arial" w:cs="Arial"/>
          <w:b/>
          <w:sz w:val="22"/>
          <w:szCs w:val="22"/>
        </w:rPr>
        <w:lastRenderedPageBreak/>
        <w:t>FORMULARIO TEC-4</w:t>
      </w:r>
    </w:p>
    <w:p w14:paraId="755E8B63" w14:textId="77777777" w:rsidR="008C0885" w:rsidRPr="00313596" w:rsidRDefault="008C0885" w:rsidP="000C6174">
      <w:pPr>
        <w:pStyle w:val="Subttulo"/>
        <w:jc w:val="both"/>
        <w:rPr>
          <w:rFonts w:ascii="Arial" w:hAnsi="Arial" w:cs="Arial"/>
          <w:b w:val="0"/>
          <w:sz w:val="22"/>
          <w:szCs w:val="22"/>
        </w:rPr>
      </w:pPr>
    </w:p>
    <w:p w14:paraId="47165B3C" w14:textId="77777777" w:rsidR="008C0885" w:rsidRPr="00313596" w:rsidRDefault="008C0885" w:rsidP="000C6174">
      <w:pPr>
        <w:pStyle w:val="i"/>
        <w:jc w:val="center"/>
        <w:rPr>
          <w:rFonts w:ascii="Arial" w:hAnsi="Arial" w:cs="Arial"/>
          <w:b/>
          <w:sz w:val="22"/>
          <w:szCs w:val="22"/>
          <w:lang w:val="es-HN"/>
        </w:rPr>
      </w:pPr>
      <w:r w:rsidRPr="00313596">
        <w:rPr>
          <w:rFonts w:ascii="Arial" w:hAnsi="Arial" w:cs="Arial"/>
          <w:b/>
          <w:sz w:val="22"/>
          <w:szCs w:val="22"/>
          <w:lang w:val="es-HN"/>
        </w:rPr>
        <w:t xml:space="preserve">Plan de Trabajo y Cronograma de Ejecución de la Obra </w:t>
      </w:r>
    </w:p>
    <w:p w14:paraId="3FB6F9D1" w14:textId="77777777" w:rsidR="008C0885" w:rsidRPr="00313596" w:rsidRDefault="008C0885" w:rsidP="000C6174">
      <w:pPr>
        <w:pStyle w:val="Subttulo"/>
        <w:ind w:right="344"/>
        <w:jc w:val="both"/>
        <w:rPr>
          <w:rFonts w:ascii="Arial" w:hAnsi="Arial" w:cs="Arial"/>
          <w:b w:val="0"/>
          <w:sz w:val="22"/>
          <w:szCs w:val="22"/>
        </w:rPr>
      </w:pPr>
    </w:p>
    <w:p w14:paraId="699AABC7" w14:textId="77777777" w:rsidR="008C0885" w:rsidRPr="00313596" w:rsidRDefault="008C0885" w:rsidP="000C6174">
      <w:pPr>
        <w:pStyle w:val="i"/>
        <w:ind w:right="344"/>
        <w:jc w:val="center"/>
        <w:rPr>
          <w:rFonts w:ascii="Arial" w:hAnsi="Arial" w:cs="Arial"/>
          <w:b/>
          <w:sz w:val="22"/>
          <w:szCs w:val="22"/>
          <w:lang w:val="es-HN"/>
        </w:rPr>
      </w:pPr>
      <w:r w:rsidRPr="00313596">
        <w:rPr>
          <w:rFonts w:ascii="Arial" w:hAnsi="Arial" w:cs="Arial"/>
          <w:b/>
          <w:sz w:val="22"/>
          <w:szCs w:val="22"/>
          <w:lang w:val="es-HN"/>
        </w:rPr>
        <w:t xml:space="preserve">PLAN DE TRABAJO (DIAGRAMA DE GANTT) </w:t>
      </w:r>
    </w:p>
    <w:p w14:paraId="6DBCDDDD" w14:textId="77777777" w:rsidR="008C0885" w:rsidRPr="00313596" w:rsidRDefault="008C0885" w:rsidP="000C6174">
      <w:pPr>
        <w:pStyle w:val="i"/>
        <w:jc w:val="center"/>
        <w:rPr>
          <w:rFonts w:ascii="Arial" w:hAnsi="Arial" w:cs="Arial"/>
          <w:b/>
          <w:sz w:val="22"/>
          <w:szCs w:val="22"/>
          <w:lang w:val="es-HN"/>
        </w:rPr>
      </w:pPr>
    </w:p>
    <w:p w14:paraId="019848B2" w14:textId="77777777" w:rsidR="008C0885" w:rsidRPr="00313596" w:rsidRDefault="008C0885" w:rsidP="001112A7">
      <w:pPr>
        <w:spacing w:before="120" w:after="120"/>
        <w:rPr>
          <w:rFonts w:ascii="Arial" w:hAnsi="Arial" w:cs="Arial"/>
          <w:sz w:val="22"/>
          <w:szCs w:val="22"/>
          <w:lang w:val="es-HN"/>
        </w:rPr>
      </w:pPr>
      <w:r w:rsidRPr="00313596">
        <w:rPr>
          <w:rFonts w:ascii="Arial" w:hAnsi="Arial" w:cs="Arial"/>
          <w:i/>
          <w:color w:val="FF0000"/>
          <w:sz w:val="22"/>
          <w:szCs w:val="22"/>
          <w:lang w:val="es-HN"/>
        </w:rPr>
        <w:t>Deberá mostrarse las actividades principales a realizar para la ejecución de la obra, el orden cronológico de las mismas</w:t>
      </w:r>
      <w:r w:rsidRPr="00313596">
        <w:rPr>
          <w:rFonts w:ascii="Arial" w:hAnsi="Arial" w:cs="Arial"/>
          <w:bCs/>
          <w:i/>
          <w:color w:val="FF0000"/>
          <w:sz w:val="22"/>
          <w:szCs w:val="22"/>
          <w:lang w:val="es-HN"/>
        </w:rPr>
        <w:t xml:space="preserve"> y los tiempos propuestos para cada una de ellas.</w:t>
      </w:r>
    </w:p>
    <w:tbl>
      <w:tblPr>
        <w:tblW w:w="93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50"/>
        <w:gridCol w:w="1580"/>
        <w:gridCol w:w="678"/>
        <w:gridCol w:w="678"/>
        <w:gridCol w:w="678"/>
        <w:gridCol w:w="678"/>
        <w:gridCol w:w="678"/>
        <w:gridCol w:w="678"/>
        <w:gridCol w:w="678"/>
        <w:gridCol w:w="678"/>
        <w:gridCol w:w="678"/>
        <w:gridCol w:w="678"/>
        <w:gridCol w:w="550"/>
      </w:tblGrid>
      <w:tr w:rsidR="008C0885" w:rsidRPr="00313596" w14:paraId="03021E4F" w14:textId="77777777" w:rsidTr="001D62A5">
        <w:trPr>
          <w:trHeight w:hRule="exact" w:val="397"/>
        </w:trPr>
        <w:tc>
          <w:tcPr>
            <w:tcW w:w="450" w:type="dxa"/>
            <w:vMerge w:val="restart"/>
            <w:vAlign w:val="center"/>
          </w:tcPr>
          <w:p w14:paraId="4A298D3C"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N°</w:t>
            </w:r>
          </w:p>
        </w:tc>
        <w:tc>
          <w:tcPr>
            <w:tcW w:w="1580" w:type="dxa"/>
            <w:vMerge w:val="restart"/>
            <w:vAlign w:val="center"/>
          </w:tcPr>
          <w:p w14:paraId="371C15F5"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Actividad</w:t>
            </w:r>
          </w:p>
        </w:tc>
        <w:tc>
          <w:tcPr>
            <w:tcW w:w="7330" w:type="dxa"/>
            <w:gridSpan w:val="11"/>
            <w:vAlign w:val="center"/>
          </w:tcPr>
          <w:p w14:paraId="4B83312B"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Meses</w:t>
            </w:r>
          </w:p>
        </w:tc>
      </w:tr>
      <w:tr w:rsidR="008C0885" w:rsidRPr="00313596" w14:paraId="0560F27A" w14:textId="77777777" w:rsidTr="001D62A5">
        <w:trPr>
          <w:trHeight w:hRule="exact" w:val="397"/>
        </w:trPr>
        <w:tc>
          <w:tcPr>
            <w:tcW w:w="450" w:type="dxa"/>
            <w:vMerge/>
            <w:vAlign w:val="center"/>
          </w:tcPr>
          <w:p w14:paraId="03516E75" w14:textId="77777777" w:rsidR="008C0885" w:rsidRPr="00313596" w:rsidRDefault="008C0885" w:rsidP="000C6174">
            <w:pPr>
              <w:jc w:val="center"/>
              <w:rPr>
                <w:rFonts w:ascii="Arial" w:hAnsi="Arial" w:cs="Arial"/>
                <w:b/>
                <w:sz w:val="22"/>
                <w:szCs w:val="22"/>
                <w:lang w:val="pt-BR"/>
              </w:rPr>
            </w:pPr>
          </w:p>
        </w:tc>
        <w:tc>
          <w:tcPr>
            <w:tcW w:w="1580" w:type="dxa"/>
            <w:vMerge/>
            <w:vAlign w:val="center"/>
          </w:tcPr>
          <w:p w14:paraId="660722FF" w14:textId="77777777" w:rsidR="008C0885" w:rsidRPr="00313596" w:rsidRDefault="008C0885" w:rsidP="000C6174">
            <w:pPr>
              <w:jc w:val="center"/>
              <w:rPr>
                <w:rFonts w:ascii="Arial" w:hAnsi="Arial" w:cs="Arial"/>
                <w:b/>
                <w:sz w:val="22"/>
                <w:szCs w:val="22"/>
                <w:lang w:val="pt-BR"/>
              </w:rPr>
            </w:pPr>
          </w:p>
        </w:tc>
        <w:tc>
          <w:tcPr>
            <w:tcW w:w="678" w:type="dxa"/>
            <w:vAlign w:val="center"/>
          </w:tcPr>
          <w:p w14:paraId="3AD66CB8"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1</w:t>
            </w:r>
          </w:p>
        </w:tc>
        <w:tc>
          <w:tcPr>
            <w:tcW w:w="678" w:type="dxa"/>
            <w:vAlign w:val="center"/>
          </w:tcPr>
          <w:p w14:paraId="4F15AA1B"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2</w:t>
            </w:r>
          </w:p>
        </w:tc>
        <w:tc>
          <w:tcPr>
            <w:tcW w:w="678" w:type="dxa"/>
            <w:vAlign w:val="center"/>
          </w:tcPr>
          <w:p w14:paraId="0D2BB0CB"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3</w:t>
            </w:r>
          </w:p>
        </w:tc>
        <w:tc>
          <w:tcPr>
            <w:tcW w:w="678" w:type="dxa"/>
            <w:vAlign w:val="center"/>
          </w:tcPr>
          <w:p w14:paraId="602A0D32"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4</w:t>
            </w:r>
          </w:p>
        </w:tc>
        <w:tc>
          <w:tcPr>
            <w:tcW w:w="678" w:type="dxa"/>
            <w:vAlign w:val="center"/>
          </w:tcPr>
          <w:p w14:paraId="484932DF"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5</w:t>
            </w:r>
          </w:p>
        </w:tc>
        <w:tc>
          <w:tcPr>
            <w:tcW w:w="678" w:type="dxa"/>
            <w:vAlign w:val="center"/>
          </w:tcPr>
          <w:p w14:paraId="3B316A95"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6</w:t>
            </w:r>
          </w:p>
        </w:tc>
        <w:tc>
          <w:tcPr>
            <w:tcW w:w="678" w:type="dxa"/>
            <w:vAlign w:val="center"/>
          </w:tcPr>
          <w:p w14:paraId="71D29A3C"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7</w:t>
            </w:r>
          </w:p>
        </w:tc>
        <w:tc>
          <w:tcPr>
            <w:tcW w:w="678" w:type="dxa"/>
            <w:vAlign w:val="center"/>
          </w:tcPr>
          <w:p w14:paraId="3773F445"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8</w:t>
            </w:r>
          </w:p>
        </w:tc>
        <w:tc>
          <w:tcPr>
            <w:tcW w:w="678" w:type="dxa"/>
            <w:vAlign w:val="center"/>
          </w:tcPr>
          <w:p w14:paraId="766EDA4C"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9</w:t>
            </w:r>
          </w:p>
        </w:tc>
        <w:tc>
          <w:tcPr>
            <w:tcW w:w="678" w:type="dxa"/>
            <w:vAlign w:val="center"/>
          </w:tcPr>
          <w:p w14:paraId="15B990A5"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10</w:t>
            </w:r>
          </w:p>
        </w:tc>
        <w:tc>
          <w:tcPr>
            <w:tcW w:w="550" w:type="dxa"/>
            <w:vAlign w:val="center"/>
          </w:tcPr>
          <w:p w14:paraId="0AEEC750" w14:textId="77777777" w:rsidR="008C0885" w:rsidRPr="00313596" w:rsidRDefault="008C0885" w:rsidP="000C6174">
            <w:pPr>
              <w:jc w:val="center"/>
              <w:rPr>
                <w:rFonts w:ascii="Arial" w:hAnsi="Arial" w:cs="Arial"/>
                <w:b/>
                <w:sz w:val="22"/>
                <w:szCs w:val="22"/>
                <w:lang w:val="pt-BR"/>
              </w:rPr>
            </w:pPr>
            <w:r w:rsidRPr="00313596">
              <w:rPr>
                <w:rFonts w:ascii="Arial" w:hAnsi="Arial" w:cs="Arial"/>
                <w:b/>
                <w:sz w:val="22"/>
                <w:szCs w:val="22"/>
                <w:lang w:val="pt-BR"/>
              </w:rPr>
              <w:t>n</w:t>
            </w:r>
          </w:p>
        </w:tc>
      </w:tr>
      <w:tr w:rsidR="008C0885" w:rsidRPr="00313596" w14:paraId="14253867" w14:textId="77777777" w:rsidTr="001D62A5">
        <w:tc>
          <w:tcPr>
            <w:tcW w:w="450" w:type="dxa"/>
            <w:vAlign w:val="center"/>
          </w:tcPr>
          <w:p w14:paraId="7342DE73" w14:textId="77777777" w:rsidR="008C0885" w:rsidRPr="00313596" w:rsidRDefault="008C0885" w:rsidP="000C6174">
            <w:pPr>
              <w:jc w:val="center"/>
              <w:rPr>
                <w:rFonts w:ascii="Arial" w:hAnsi="Arial" w:cs="Arial"/>
                <w:sz w:val="22"/>
                <w:szCs w:val="22"/>
              </w:rPr>
            </w:pPr>
            <w:r w:rsidRPr="00313596">
              <w:rPr>
                <w:rFonts w:ascii="Arial" w:hAnsi="Arial" w:cs="Arial"/>
                <w:sz w:val="22"/>
                <w:szCs w:val="22"/>
              </w:rPr>
              <w:t>1</w:t>
            </w:r>
          </w:p>
        </w:tc>
        <w:tc>
          <w:tcPr>
            <w:tcW w:w="1580" w:type="dxa"/>
          </w:tcPr>
          <w:p w14:paraId="675CE174" w14:textId="77777777" w:rsidR="008C0885" w:rsidRPr="00313596" w:rsidRDefault="008C0885" w:rsidP="000C6174">
            <w:pPr>
              <w:rPr>
                <w:rFonts w:ascii="Arial" w:hAnsi="Arial" w:cs="Arial"/>
                <w:sz w:val="22"/>
                <w:szCs w:val="22"/>
              </w:rPr>
            </w:pPr>
          </w:p>
        </w:tc>
        <w:tc>
          <w:tcPr>
            <w:tcW w:w="678" w:type="dxa"/>
          </w:tcPr>
          <w:p w14:paraId="71420CC2" w14:textId="77777777" w:rsidR="008C0885" w:rsidRPr="00313596" w:rsidRDefault="008C0885" w:rsidP="000C6174">
            <w:pPr>
              <w:rPr>
                <w:rFonts w:ascii="Arial" w:hAnsi="Arial" w:cs="Arial"/>
                <w:sz w:val="22"/>
                <w:szCs w:val="22"/>
              </w:rPr>
            </w:pPr>
          </w:p>
        </w:tc>
        <w:tc>
          <w:tcPr>
            <w:tcW w:w="678" w:type="dxa"/>
          </w:tcPr>
          <w:p w14:paraId="0DF064B8" w14:textId="77777777" w:rsidR="008C0885" w:rsidRPr="00313596" w:rsidRDefault="008C0885" w:rsidP="000C6174">
            <w:pPr>
              <w:rPr>
                <w:rFonts w:ascii="Arial" w:hAnsi="Arial" w:cs="Arial"/>
                <w:sz w:val="22"/>
                <w:szCs w:val="22"/>
              </w:rPr>
            </w:pPr>
          </w:p>
        </w:tc>
        <w:tc>
          <w:tcPr>
            <w:tcW w:w="678" w:type="dxa"/>
          </w:tcPr>
          <w:p w14:paraId="5A548C3B" w14:textId="77777777" w:rsidR="008C0885" w:rsidRPr="00313596" w:rsidRDefault="008C0885" w:rsidP="000C6174">
            <w:pPr>
              <w:rPr>
                <w:rFonts w:ascii="Arial" w:hAnsi="Arial" w:cs="Arial"/>
                <w:sz w:val="22"/>
                <w:szCs w:val="22"/>
              </w:rPr>
            </w:pPr>
          </w:p>
        </w:tc>
        <w:tc>
          <w:tcPr>
            <w:tcW w:w="678" w:type="dxa"/>
          </w:tcPr>
          <w:p w14:paraId="7894A5C5" w14:textId="77777777" w:rsidR="008C0885" w:rsidRPr="00313596" w:rsidRDefault="008C0885" w:rsidP="000C6174">
            <w:pPr>
              <w:rPr>
                <w:rFonts w:ascii="Arial" w:hAnsi="Arial" w:cs="Arial"/>
                <w:sz w:val="22"/>
                <w:szCs w:val="22"/>
              </w:rPr>
            </w:pPr>
          </w:p>
        </w:tc>
        <w:tc>
          <w:tcPr>
            <w:tcW w:w="678" w:type="dxa"/>
          </w:tcPr>
          <w:p w14:paraId="79A87DCF" w14:textId="77777777" w:rsidR="008C0885" w:rsidRPr="00313596" w:rsidRDefault="008C0885" w:rsidP="000C6174">
            <w:pPr>
              <w:rPr>
                <w:rFonts w:ascii="Arial" w:hAnsi="Arial" w:cs="Arial"/>
                <w:sz w:val="22"/>
                <w:szCs w:val="22"/>
              </w:rPr>
            </w:pPr>
          </w:p>
        </w:tc>
        <w:tc>
          <w:tcPr>
            <w:tcW w:w="678" w:type="dxa"/>
          </w:tcPr>
          <w:p w14:paraId="4FEF6928" w14:textId="77777777" w:rsidR="008C0885" w:rsidRPr="00313596" w:rsidRDefault="008C0885" w:rsidP="000C6174">
            <w:pPr>
              <w:rPr>
                <w:rFonts w:ascii="Arial" w:hAnsi="Arial" w:cs="Arial"/>
                <w:sz w:val="22"/>
                <w:szCs w:val="22"/>
              </w:rPr>
            </w:pPr>
          </w:p>
        </w:tc>
        <w:tc>
          <w:tcPr>
            <w:tcW w:w="678" w:type="dxa"/>
          </w:tcPr>
          <w:p w14:paraId="2EA20038" w14:textId="77777777" w:rsidR="008C0885" w:rsidRPr="00313596" w:rsidRDefault="008C0885" w:rsidP="000C6174">
            <w:pPr>
              <w:rPr>
                <w:rFonts w:ascii="Arial" w:hAnsi="Arial" w:cs="Arial"/>
                <w:sz w:val="22"/>
                <w:szCs w:val="22"/>
              </w:rPr>
            </w:pPr>
          </w:p>
        </w:tc>
        <w:tc>
          <w:tcPr>
            <w:tcW w:w="678" w:type="dxa"/>
          </w:tcPr>
          <w:p w14:paraId="17EF3246" w14:textId="77777777" w:rsidR="008C0885" w:rsidRPr="00313596" w:rsidRDefault="008C0885" w:rsidP="000C6174">
            <w:pPr>
              <w:rPr>
                <w:rFonts w:ascii="Arial" w:hAnsi="Arial" w:cs="Arial"/>
                <w:sz w:val="22"/>
                <w:szCs w:val="22"/>
              </w:rPr>
            </w:pPr>
          </w:p>
        </w:tc>
        <w:tc>
          <w:tcPr>
            <w:tcW w:w="678" w:type="dxa"/>
          </w:tcPr>
          <w:p w14:paraId="4E68574F" w14:textId="77777777" w:rsidR="008C0885" w:rsidRPr="00313596" w:rsidRDefault="008C0885" w:rsidP="000C6174">
            <w:pPr>
              <w:rPr>
                <w:rFonts w:ascii="Arial" w:hAnsi="Arial" w:cs="Arial"/>
                <w:sz w:val="22"/>
                <w:szCs w:val="22"/>
              </w:rPr>
            </w:pPr>
          </w:p>
        </w:tc>
        <w:tc>
          <w:tcPr>
            <w:tcW w:w="678" w:type="dxa"/>
          </w:tcPr>
          <w:p w14:paraId="13EA4E2A" w14:textId="77777777" w:rsidR="008C0885" w:rsidRPr="00313596" w:rsidRDefault="008C0885" w:rsidP="000C6174">
            <w:pPr>
              <w:rPr>
                <w:rFonts w:ascii="Arial" w:hAnsi="Arial" w:cs="Arial"/>
                <w:sz w:val="22"/>
                <w:szCs w:val="22"/>
              </w:rPr>
            </w:pPr>
          </w:p>
        </w:tc>
        <w:tc>
          <w:tcPr>
            <w:tcW w:w="550" w:type="dxa"/>
          </w:tcPr>
          <w:p w14:paraId="1EC55A48" w14:textId="77777777" w:rsidR="008C0885" w:rsidRPr="00313596" w:rsidRDefault="008C0885" w:rsidP="000C6174">
            <w:pPr>
              <w:rPr>
                <w:rFonts w:ascii="Arial" w:hAnsi="Arial" w:cs="Arial"/>
                <w:sz w:val="22"/>
                <w:szCs w:val="22"/>
              </w:rPr>
            </w:pPr>
          </w:p>
        </w:tc>
      </w:tr>
      <w:tr w:rsidR="008C0885" w:rsidRPr="00313596" w14:paraId="64500A89" w14:textId="77777777" w:rsidTr="001D62A5">
        <w:tc>
          <w:tcPr>
            <w:tcW w:w="450" w:type="dxa"/>
            <w:vAlign w:val="center"/>
          </w:tcPr>
          <w:p w14:paraId="72F17C64" w14:textId="77777777" w:rsidR="008C0885" w:rsidRPr="00313596" w:rsidRDefault="008C0885" w:rsidP="000C6174">
            <w:pPr>
              <w:jc w:val="center"/>
              <w:rPr>
                <w:rFonts w:ascii="Arial" w:hAnsi="Arial" w:cs="Arial"/>
                <w:sz w:val="22"/>
                <w:szCs w:val="22"/>
              </w:rPr>
            </w:pPr>
            <w:r w:rsidRPr="00313596">
              <w:rPr>
                <w:rFonts w:ascii="Arial" w:hAnsi="Arial" w:cs="Arial"/>
                <w:sz w:val="22"/>
                <w:szCs w:val="22"/>
              </w:rPr>
              <w:t>2</w:t>
            </w:r>
          </w:p>
        </w:tc>
        <w:tc>
          <w:tcPr>
            <w:tcW w:w="1580" w:type="dxa"/>
          </w:tcPr>
          <w:p w14:paraId="353DF247" w14:textId="77777777" w:rsidR="008C0885" w:rsidRPr="00313596" w:rsidRDefault="008C0885" w:rsidP="000C6174">
            <w:pPr>
              <w:rPr>
                <w:rFonts w:ascii="Arial" w:hAnsi="Arial" w:cs="Arial"/>
                <w:sz w:val="22"/>
                <w:szCs w:val="22"/>
              </w:rPr>
            </w:pPr>
          </w:p>
        </w:tc>
        <w:tc>
          <w:tcPr>
            <w:tcW w:w="678" w:type="dxa"/>
          </w:tcPr>
          <w:p w14:paraId="248461A4" w14:textId="77777777" w:rsidR="008C0885" w:rsidRPr="00313596" w:rsidRDefault="008C0885" w:rsidP="000C6174">
            <w:pPr>
              <w:rPr>
                <w:rFonts w:ascii="Arial" w:hAnsi="Arial" w:cs="Arial"/>
                <w:sz w:val="22"/>
                <w:szCs w:val="22"/>
              </w:rPr>
            </w:pPr>
          </w:p>
        </w:tc>
        <w:tc>
          <w:tcPr>
            <w:tcW w:w="678" w:type="dxa"/>
          </w:tcPr>
          <w:p w14:paraId="05A28DE0" w14:textId="77777777" w:rsidR="008C0885" w:rsidRPr="00313596" w:rsidRDefault="008C0885" w:rsidP="000C6174">
            <w:pPr>
              <w:rPr>
                <w:rFonts w:ascii="Arial" w:hAnsi="Arial" w:cs="Arial"/>
                <w:sz w:val="22"/>
                <w:szCs w:val="22"/>
              </w:rPr>
            </w:pPr>
          </w:p>
        </w:tc>
        <w:tc>
          <w:tcPr>
            <w:tcW w:w="678" w:type="dxa"/>
          </w:tcPr>
          <w:p w14:paraId="48296DD1" w14:textId="77777777" w:rsidR="008C0885" w:rsidRPr="00313596" w:rsidRDefault="008C0885" w:rsidP="000C6174">
            <w:pPr>
              <w:rPr>
                <w:rFonts w:ascii="Arial" w:hAnsi="Arial" w:cs="Arial"/>
                <w:sz w:val="22"/>
                <w:szCs w:val="22"/>
              </w:rPr>
            </w:pPr>
          </w:p>
        </w:tc>
        <w:tc>
          <w:tcPr>
            <w:tcW w:w="678" w:type="dxa"/>
          </w:tcPr>
          <w:p w14:paraId="7866C18A" w14:textId="77777777" w:rsidR="008C0885" w:rsidRPr="00313596" w:rsidRDefault="008C0885" w:rsidP="000C6174">
            <w:pPr>
              <w:rPr>
                <w:rFonts w:ascii="Arial" w:hAnsi="Arial" w:cs="Arial"/>
                <w:sz w:val="22"/>
                <w:szCs w:val="22"/>
              </w:rPr>
            </w:pPr>
          </w:p>
        </w:tc>
        <w:tc>
          <w:tcPr>
            <w:tcW w:w="678" w:type="dxa"/>
          </w:tcPr>
          <w:p w14:paraId="191BCA70" w14:textId="77777777" w:rsidR="008C0885" w:rsidRPr="00313596" w:rsidRDefault="008C0885" w:rsidP="000C6174">
            <w:pPr>
              <w:rPr>
                <w:rFonts w:ascii="Arial" w:hAnsi="Arial" w:cs="Arial"/>
                <w:sz w:val="22"/>
                <w:szCs w:val="22"/>
              </w:rPr>
            </w:pPr>
          </w:p>
        </w:tc>
        <w:tc>
          <w:tcPr>
            <w:tcW w:w="678" w:type="dxa"/>
          </w:tcPr>
          <w:p w14:paraId="5A31F58A" w14:textId="77777777" w:rsidR="008C0885" w:rsidRPr="00313596" w:rsidRDefault="008C0885" w:rsidP="000C6174">
            <w:pPr>
              <w:rPr>
                <w:rFonts w:ascii="Arial" w:hAnsi="Arial" w:cs="Arial"/>
                <w:sz w:val="22"/>
                <w:szCs w:val="22"/>
              </w:rPr>
            </w:pPr>
          </w:p>
        </w:tc>
        <w:tc>
          <w:tcPr>
            <w:tcW w:w="678" w:type="dxa"/>
          </w:tcPr>
          <w:p w14:paraId="49A59A94" w14:textId="77777777" w:rsidR="008C0885" w:rsidRPr="00313596" w:rsidRDefault="008C0885" w:rsidP="000C6174">
            <w:pPr>
              <w:rPr>
                <w:rFonts w:ascii="Arial" w:hAnsi="Arial" w:cs="Arial"/>
                <w:sz w:val="22"/>
                <w:szCs w:val="22"/>
              </w:rPr>
            </w:pPr>
          </w:p>
        </w:tc>
        <w:tc>
          <w:tcPr>
            <w:tcW w:w="678" w:type="dxa"/>
          </w:tcPr>
          <w:p w14:paraId="71280BBC" w14:textId="77777777" w:rsidR="008C0885" w:rsidRPr="00313596" w:rsidRDefault="008C0885" w:rsidP="000C6174">
            <w:pPr>
              <w:rPr>
                <w:rFonts w:ascii="Arial" w:hAnsi="Arial" w:cs="Arial"/>
                <w:sz w:val="22"/>
                <w:szCs w:val="22"/>
              </w:rPr>
            </w:pPr>
          </w:p>
        </w:tc>
        <w:tc>
          <w:tcPr>
            <w:tcW w:w="678" w:type="dxa"/>
          </w:tcPr>
          <w:p w14:paraId="285721AF" w14:textId="77777777" w:rsidR="008C0885" w:rsidRPr="00313596" w:rsidRDefault="008C0885" w:rsidP="000C6174">
            <w:pPr>
              <w:rPr>
                <w:rFonts w:ascii="Arial" w:hAnsi="Arial" w:cs="Arial"/>
                <w:sz w:val="22"/>
                <w:szCs w:val="22"/>
              </w:rPr>
            </w:pPr>
          </w:p>
        </w:tc>
        <w:tc>
          <w:tcPr>
            <w:tcW w:w="678" w:type="dxa"/>
          </w:tcPr>
          <w:p w14:paraId="31B4101D" w14:textId="77777777" w:rsidR="008C0885" w:rsidRPr="00313596" w:rsidRDefault="008C0885" w:rsidP="000C6174">
            <w:pPr>
              <w:rPr>
                <w:rFonts w:ascii="Arial" w:hAnsi="Arial" w:cs="Arial"/>
                <w:sz w:val="22"/>
                <w:szCs w:val="22"/>
              </w:rPr>
            </w:pPr>
          </w:p>
        </w:tc>
        <w:tc>
          <w:tcPr>
            <w:tcW w:w="550" w:type="dxa"/>
          </w:tcPr>
          <w:p w14:paraId="63DB04B2" w14:textId="77777777" w:rsidR="008C0885" w:rsidRPr="00313596" w:rsidRDefault="008C0885" w:rsidP="000C6174">
            <w:pPr>
              <w:rPr>
                <w:rFonts w:ascii="Arial" w:hAnsi="Arial" w:cs="Arial"/>
                <w:sz w:val="22"/>
                <w:szCs w:val="22"/>
              </w:rPr>
            </w:pPr>
          </w:p>
        </w:tc>
      </w:tr>
      <w:tr w:rsidR="008C0885" w:rsidRPr="00313596" w14:paraId="506B7F58" w14:textId="77777777" w:rsidTr="001D62A5">
        <w:tc>
          <w:tcPr>
            <w:tcW w:w="450" w:type="dxa"/>
            <w:vAlign w:val="center"/>
          </w:tcPr>
          <w:p w14:paraId="6DB11CDB" w14:textId="77777777" w:rsidR="008C0885" w:rsidRPr="00313596" w:rsidRDefault="008C0885" w:rsidP="000C6174">
            <w:pPr>
              <w:jc w:val="center"/>
              <w:rPr>
                <w:rFonts w:ascii="Arial" w:hAnsi="Arial" w:cs="Arial"/>
                <w:sz w:val="22"/>
                <w:szCs w:val="22"/>
              </w:rPr>
            </w:pPr>
            <w:r w:rsidRPr="00313596">
              <w:rPr>
                <w:rFonts w:ascii="Arial" w:hAnsi="Arial" w:cs="Arial"/>
                <w:sz w:val="22"/>
                <w:szCs w:val="22"/>
              </w:rPr>
              <w:t>3</w:t>
            </w:r>
          </w:p>
        </w:tc>
        <w:tc>
          <w:tcPr>
            <w:tcW w:w="1580" w:type="dxa"/>
          </w:tcPr>
          <w:p w14:paraId="3EACFDC3" w14:textId="77777777" w:rsidR="008C0885" w:rsidRPr="00313596" w:rsidRDefault="008C0885" w:rsidP="000C6174">
            <w:pPr>
              <w:rPr>
                <w:rFonts w:ascii="Arial" w:hAnsi="Arial" w:cs="Arial"/>
                <w:sz w:val="22"/>
                <w:szCs w:val="22"/>
              </w:rPr>
            </w:pPr>
          </w:p>
        </w:tc>
        <w:tc>
          <w:tcPr>
            <w:tcW w:w="678" w:type="dxa"/>
          </w:tcPr>
          <w:p w14:paraId="0D8FF397" w14:textId="77777777" w:rsidR="008C0885" w:rsidRPr="00313596" w:rsidRDefault="008C0885" w:rsidP="000C6174">
            <w:pPr>
              <w:rPr>
                <w:rFonts w:ascii="Arial" w:hAnsi="Arial" w:cs="Arial"/>
                <w:sz w:val="22"/>
                <w:szCs w:val="22"/>
              </w:rPr>
            </w:pPr>
          </w:p>
        </w:tc>
        <w:tc>
          <w:tcPr>
            <w:tcW w:w="678" w:type="dxa"/>
          </w:tcPr>
          <w:p w14:paraId="6680A1D9" w14:textId="77777777" w:rsidR="008C0885" w:rsidRPr="00313596" w:rsidRDefault="008C0885" w:rsidP="000C6174">
            <w:pPr>
              <w:rPr>
                <w:rFonts w:ascii="Arial" w:hAnsi="Arial" w:cs="Arial"/>
                <w:sz w:val="22"/>
                <w:szCs w:val="22"/>
              </w:rPr>
            </w:pPr>
          </w:p>
        </w:tc>
        <w:tc>
          <w:tcPr>
            <w:tcW w:w="678" w:type="dxa"/>
          </w:tcPr>
          <w:p w14:paraId="6FCDF24C" w14:textId="77777777" w:rsidR="008C0885" w:rsidRPr="00313596" w:rsidRDefault="008C0885" w:rsidP="000C6174">
            <w:pPr>
              <w:rPr>
                <w:rFonts w:ascii="Arial" w:hAnsi="Arial" w:cs="Arial"/>
                <w:sz w:val="22"/>
                <w:szCs w:val="22"/>
              </w:rPr>
            </w:pPr>
          </w:p>
        </w:tc>
        <w:tc>
          <w:tcPr>
            <w:tcW w:w="678" w:type="dxa"/>
          </w:tcPr>
          <w:p w14:paraId="4AD54019" w14:textId="77777777" w:rsidR="008C0885" w:rsidRPr="00313596" w:rsidRDefault="008C0885" w:rsidP="000C6174">
            <w:pPr>
              <w:rPr>
                <w:rFonts w:ascii="Arial" w:hAnsi="Arial" w:cs="Arial"/>
                <w:sz w:val="22"/>
                <w:szCs w:val="22"/>
              </w:rPr>
            </w:pPr>
          </w:p>
        </w:tc>
        <w:tc>
          <w:tcPr>
            <w:tcW w:w="678" w:type="dxa"/>
          </w:tcPr>
          <w:p w14:paraId="7208EDE6" w14:textId="77777777" w:rsidR="008C0885" w:rsidRPr="00313596" w:rsidRDefault="008C0885" w:rsidP="000C6174">
            <w:pPr>
              <w:rPr>
                <w:rFonts w:ascii="Arial" w:hAnsi="Arial" w:cs="Arial"/>
                <w:sz w:val="22"/>
                <w:szCs w:val="22"/>
              </w:rPr>
            </w:pPr>
          </w:p>
        </w:tc>
        <w:tc>
          <w:tcPr>
            <w:tcW w:w="678" w:type="dxa"/>
          </w:tcPr>
          <w:p w14:paraId="5B9B8332" w14:textId="77777777" w:rsidR="008C0885" w:rsidRPr="00313596" w:rsidRDefault="008C0885" w:rsidP="000C6174">
            <w:pPr>
              <w:rPr>
                <w:rFonts w:ascii="Arial" w:hAnsi="Arial" w:cs="Arial"/>
                <w:sz w:val="22"/>
                <w:szCs w:val="22"/>
              </w:rPr>
            </w:pPr>
          </w:p>
        </w:tc>
        <w:tc>
          <w:tcPr>
            <w:tcW w:w="678" w:type="dxa"/>
          </w:tcPr>
          <w:p w14:paraId="7804EBB4" w14:textId="77777777" w:rsidR="008C0885" w:rsidRPr="00313596" w:rsidRDefault="008C0885" w:rsidP="000C6174">
            <w:pPr>
              <w:rPr>
                <w:rFonts w:ascii="Arial" w:hAnsi="Arial" w:cs="Arial"/>
                <w:sz w:val="22"/>
                <w:szCs w:val="22"/>
              </w:rPr>
            </w:pPr>
          </w:p>
        </w:tc>
        <w:tc>
          <w:tcPr>
            <w:tcW w:w="678" w:type="dxa"/>
          </w:tcPr>
          <w:p w14:paraId="6FD350B9" w14:textId="77777777" w:rsidR="008C0885" w:rsidRPr="00313596" w:rsidRDefault="008C0885" w:rsidP="000C6174">
            <w:pPr>
              <w:rPr>
                <w:rFonts w:ascii="Arial" w:hAnsi="Arial" w:cs="Arial"/>
                <w:sz w:val="22"/>
                <w:szCs w:val="22"/>
              </w:rPr>
            </w:pPr>
          </w:p>
        </w:tc>
        <w:tc>
          <w:tcPr>
            <w:tcW w:w="678" w:type="dxa"/>
          </w:tcPr>
          <w:p w14:paraId="18CCBE9F" w14:textId="77777777" w:rsidR="008C0885" w:rsidRPr="00313596" w:rsidRDefault="008C0885" w:rsidP="000C6174">
            <w:pPr>
              <w:rPr>
                <w:rFonts w:ascii="Arial" w:hAnsi="Arial" w:cs="Arial"/>
                <w:sz w:val="22"/>
                <w:szCs w:val="22"/>
              </w:rPr>
            </w:pPr>
          </w:p>
        </w:tc>
        <w:tc>
          <w:tcPr>
            <w:tcW w:w="678" w:type="dxa"/>
          </w:tcPr>
          <w:p w14:paraId="01B9A585" w14:textId="77777777" w:rsidR="008C0885" w:rsidRPr="00313596" w:rsidRDefault="008C0885" w:rsidP="000C6174">
            <w:pPr>
              <w:rPr>
                <w:rFonts w:ascii="Arial" w:hAnsi="Arial" w:cs="Arial"/>
                <w:sz w:val="22"/>
                <w:szCs w:val="22"/>
              </w:rPr>
            </w:pPr>
          </w:p>
        </w:tc>
        <w:tc>
          <w:tcPr>
            <w:tcW w:w="550" w:type="dxa"/>
          </w:tcPr>
          <w:p w14:paraId="4A0F84EE" w14:textId="77777777" w:rsidR="008C0885" w:rsidRPr="00313596" w:rsidRDefault="008C0885" w:rsidP="000C6174">
            <w:pPr>
              <w:rPr>
                <w:rFonts w:ascii="Arial" w:hAnsi="Arial" w:cs="Arial"/>
                <w:sz w:val="22"/>
                <w:szCs w:val="22"/>
              </w:rPr>
            </w:pPr>
          </w:p>
        </w:tc>
      </w:tr>
      <w:tr w:rsidR="008C0885" w:rsidRPr="00313596" w14:paraId="15694F24" w14:textId="77777777" w:rsidTr="001D62A5">
        <w:tc>
          <w:tcPr>
            <w:tcW w:w="450" w:type="dxa"/>
            <w:vAlign w:val="center"/>
          </w:tcPr>
          <w:p w14:paraId="47013E7E" w14:textId="77777777" w:rsidR="008C0885" w:rsidRPr="00313596" w:rsidRDefault="008C0885" w:rsidP="000C6174">
            <w:pPr>
              <w:jc w:val="center"/>
              <w:rPr>
                <w:rFonts w:ascii="Arial" w:hAnsi="Arial" w:cs="Arial"/>
                <w:sz w:val="22"/>
                <w:szCs w:val="22"/>
              </w:rPr>
            </w:pPr>
            <w:r w:rsidRPr="00313596">
              <w:rPr>
                <w:rFonts w:ascii="Arial" w:hAnsi="Arial" w:cs="Arial"/>
                <w:sz w:val="22"/>
                <w:szCs w:val="22"/>
              </w:rPr>
              <w:t>4</w:t>
            </w:r>
          </w:p>
        </w:tc>
        <w:tc>
          <w:tcPr>
            <w:tcW w:w="1580" w:type="dxa"/>
          </w:tcPr>
          <w:p w14:paraId="15C7345A" w14:textId="77777777" w:rsidR="008C0885" w:rsidRPr="00313596" w:rsidRDefault="008C0885" w:rsidP="000C6174">
            <w:pPr>
              <w:rPr>
                <w:rFonts w:ascii="Arial" w:hAnsi="Arial" w:cs="Arial"/>
                <w:sz w:val="22"/>
                <w:szCs w:val="22"/>
              </w:rPr>
            </w:pPr>
          </w:p>
        </w:tc>
        <w:tc>
          <w:tcPr>
            <w:tcW w:w="678" w:type="dxa"/>
          </w:tcPr>
          <w:p w14:paraId="16302C9A" w14:textId="77777777" w:rsidR="008C0885" w:rsidRPr="00313596" w:rsidRDefault="008C0885" w:rsidP="000C6174">
            <w:pPr>
              <w:rPr>
                <w:rFonts w:ascii="Arial" w:hAnsi="Arial" w:cs="Arial"/>
                <w:sz w:val="22"/>
                <w:szCs w:val="22"/>
              </w:rPr>
            </w:pPr>
          </w:p>
        </w:tc>
        <w:tc>
          <w:tcPr>
            <w:tcW w:w="678" w:type="dxa"/>
          </w:tcPr>
          <w:p w14:paraId="512BC37F" w14:textId="77777777" w:rsidR="008C0885" w:rsidRPr="00313596" w:rsidRDefault="008C0885" w:rsidP="000C6174">
            <w:pPr>
              <w:rPr>
                <w:rFonts w:ascii="Arial" w:hAnsi="Arial" w:cs="Arial"/>
                <w:sz w:val="22"/>
                <w:szCs w:val="22"/>
              </w:rPr>
            </w:pPr>
          </w:p>
        </w:tc>
        <w:tc>
          <w:tcPr>
            <w:tcW w:w="678" w:type="dxa"/>
          </w:tcPr>
          <w:p w14:paraId="16F7B7C8" w14:textId="77777777" w:rsidR="008C0885" w:rsidRPr="00313596" w:rsidRDefault="008C0885" w:rsidP="000C6174">
            <w:pPr>
              <w:rPr>
                <w:rFonts w:ascii="Arial" w:hAnsi="Arial" w:cs="Arial"/>
                <w:sz w:val="22"/>
                <w:szCs w:val="22"/>
              </w:rPr>
            </w:pPr>
          </w:p>
        </w:tc>
        <w:tc>
          <w:tcPr>
            <w:tcW w:w="678" w:type="dxa"/>
          </w:tcPr>
          <w:p w14:paraId="38522290" w14:textId="77777777" w:rsidR="008C0885" w:rsidRPr="00313596" w:rsidRDefault="008C0885" w:rsidP="000C6174">
            <w:pPr>
              <w:rPr>
                <w:rFonts w:ascii="Arial" w:hAnsi="Arial" w:cs="Arial"/>
                <w:sz w:val="22"/>
                <w:szCs w:val="22"/>
              </w:rPr>
            </w:pPr>
          </w:p>
        </w:tc>
        <w:tc>
          <w:tcPr>
            <w:tcW w:w="678" w:type="dxa"/>
          </w:tcPr>
          <w:p w14:paraId="4204BCEA" w14:textId="77777777" w:rsidR="008C0885" w:rsidRPr="00313596" w:rsidRDefault="008C0885" w:rsidP="000C6174">
            <w:pPr>
              <w:rPr>
                <w:rFonts w:ascii="Arial" w:hAnsi="Arial" w:cs="Arial"/>
                <w:sz w:val="22"/>
                <w:szCs w:val="22"/>
              </w:rPr>
            </w:pPr>
          </w:p>
        </w:tc>
        <w:tc>
          <w:tcPr>
            <w:tcW w:w="678" w:type="dxa"/>
          </w:tcPr>
          <w:p w14:paraId="4AD0253D" w14:textId="77777777" w:rsidR="008C0885" w:rsidRPr="00313596" w:rsidRDefault="008C0885" w:rsidP="000C6174">
            <w:pPr>
              <w:rPr>
                <w:rFonts w:ascii="Arial" w:hAnsi="Arial" w:cs="Arial"/>
                <w:sz w:val="22"/>
                <w:szCs w:val="22"/>
              </w:rPr>
            </w:pPr>
          </w:p>
        </w:tc>
        <w:tc>
          <w:tcPr>
            <w:tcW w:w="678" w:type="dxa"/>
          </w:tcPr>
          <w:p w14:paraId="2E3172E6" w14:textId="77777777" w:rsidR="008C0885" w:rsidRPr="00313596" w:rsidRDefault="008C0885" w:rsidP="000C6174">
            <w:pPr>
              <w:rPr>
                <w:rFonts w:ascii="Arial" w:hAnsi="Arial" w:cs="Arial"/>
                <w:sz w:val="22"/>
                <w:szCs w:val="22"/>
              </w:rPr>
            </w:pPr>
          </w:p>
        </w:tc>
        <w:tc>
          <w:tcPr>
            <w:tcW w:w="678" w:type="dxa"/>
          </w:tcPr>
          <w:p w14:paraId="3A119DF3" w14:textId="77777777" w:rsidR="008C0885" w:rsidRPr="00313596" w:rsidRDefault="008C0885" w:rsidP="000C6174">
            <w:pPr>
              <w:rPr>
                <w:rFonts w:ascii="Arial" w:hAnsi="Arial" w:cs="Arial"/>
                <w:sz w:val="22"/>
                <w:szCs w:val="22"/>
              </w:rPr>
            </w:pPr>
          </w:p>
        </w:tc>
        <w:tc>
          <w:tcPr>
            <w:tcW w:w="678" w:type="dxa"/>
          </w:tcPr>
          <w:p w14:paraId="50E53630" w14:textId="77777777" w:rsidR="008C0885" w:rsidRPr="00313596" w:rsidRDefault="008C0885" w:rsidP="000C6174">
            <w:pPr>
              <w:rPr>
                <w:rFonts w:ascii="Arial" w:hAnsi="Arial" w:cs="Arial"/>
                <w:sz w:val="22"/>
                <w:szCs w:val="22"/>
              </w:rPr>
            </w:pPr>
          </w:p>
        </w:tc>
        <w:tc>
          <w:tcPr>
            <w:tcW w:w="678" w:type="dxa"/>
          </w:tcPr>
          <w:p w14:paraId="045CB126" w14:textId="77777777" w:rsidR="008C0885" w:rsidRPr="00313596" w:rsidRDefault="008C0885" w:rsidP="000C6174">
            <w:pPr>
              <w:rPr>
                <w:rFonts w:ascii="Arial" w:hAnsi="Arial" w:cs="Arial"/>
                <w:sz w:val="22"/>
                <w:szCs w:val="22"/>
              </w:rPr>
            </w:pPr>
          </w:p>
        </w:tc>
        <w:tc>
          <w:tcPr>
            <w:tcW w:w="550" w:type="dxa"/>
          </w:tcPr>
          <w:p w14:paraId="7304ACE2" w14:textId="77777777" w:rsidR="008C0885" w:rsidRPr="00313596" w:rsidRDefault="008C0885" w:rsidP="000C6174">
            <w:pPr>
              <w:rPr>
                <w:rFonts w:ascii="Arial" w:hAnsi="Arial" w:cs="Arial"/>
                <w:sz w:val="22"/>
                <w:szCs w:val="22"/>
              </w:rPr>
            </w:pPr>
          </w:p>
        </w:tc>
      </w:tr>
      <w:tr w:rsidR="008C0885" w:rsidRPr="00313596" w14:paraId="691B75CE" w14:textId="77777777" w:rsidTr="001D62A5">
        <w:tc>
          <w:tcPr>
            <w:tcW w:w="450" w:type="dxa"/>
            <w:vAlign w:val="center"/>
          </w:tcPr>
          <w:p w14:paraId="040DE76E" w14:textId="77777777" w:rsidR="008C0885" w:rsidRPr="00313596" w:rsidRDefault="008C0885" w:rsidP="000C6174">
            <w:pPr>
              <w:jc w:val="center"/>
              <w:rPr>
                <w:rFonts w:ascii="Arial" w:hAnsi="Arial" w:cs="Arial"/>
                <w:sz w:val="22"/>
                <w:szCs w:val="22"/>
              </w:rPr>
            </w:pPr>
            <w:r w:rsidRPr="00313596">
              <w:rPr>
                <w:rFonts w:ascii="Arial" w:hAnsi="Arial" w:cs="Arial"/>
                <w:sz w:val="22"/>
                <w:szCs w:val="22"/>
              </w:rPr>
              <w:t>5</w:t>
            </w:r>
          </w:p>
        </w:tc>
        <w:tc>
          <w:tcPr>
            <w:tcW w:w="1580" w:type="dxa"/>
          </w:tcPr>
          <w:p w14:paraId="24742827" w14:textId="77777777" w:rsidR="008C0885" w:rsidRPr="00313596" w:rsidRDefault="008C0885" w:rsidP="000C6174">
            <w:pPr>
              <w:rPr>
                <w:rFonts w:ascii="Arial" w:hAnsi="Arial" w:cs="Arial"/>
                <w:sz w:val="22"/>
                <w:szCs w:val="22"/>
              </w:rPr>
            </w:pPr>
          </w:p>
        </w:tc>
        <w:tc>
          <w:tcPr>
            <w:tcW w:w="678" w:type="dxa"/>
          </w:tcPr>
          <w:p w14:paraId="173514B2" w14:textId="77777777" w:rsidR="008C0885" w:rsidRPr="00313596" w:rsidRDefault="008C0885" w:rsidP="000C6174">
            <w:pPr>
              <w:rPr>
                <w:rFonts w:ascii="Arial" w:hAnsi="Arial" w:cs="Arial"/>
                <w:sz w:val="22"/>
                <w:szCs w:val="22"/>
              </w:rPr>
            </w:pPr>
          </w:p>
        </w:tc>
        <w:tc>
          <w:tcPr>
            <w:tcW w:w="678" w:type="dxa"/>
          </w:tcPr>
          <w:p w14:paraId="6A67B0CD" w14:textId="77777777" w:rsidR="008C0885" w:rsidRPr="00313596" w:rsidRDefault="008C0885" w:rsidP="000C6174">
            <w:pPr>
              <w:rPr>
                <w:rFonts w:ascii="Arial" w:hAnsi="Arial" w:cs="Arial"/>
                <w:sz w:val="22"/>
                <w:szCs w:val="22"/>
              </w:rPr>
            </w:pPr>
          </w:p>
        </w:tc>
        <w:tc>
          <w:tcPr>
            <w:tcW w:w="678" w:type="dxa"/>
          </w:tcPr>
          <w:p w14:paraId="26F694E5" w14:textId="77777777" w:rsidR="008C0885" w:rsidRPr="00313596" w:rsidRDefault="008C0885" w:rsidP="000C6174">
            <w:pPr>
              <w:rPr>
                <w:rFonts w:ascii="Arial" w:hAnsi="Arial" w:cs="Arial"/>
                <w:sz w:val="22"/>
                <w:szCs w:val="22"/>
              </w:rPr>
            </w:pPr>
          </w:p>
        </w:tc>
        <w:tc>
          <w:tcPr>
            <w:tcW w:w="678" w:type="dxa"/>
          </w:tcPr>
          <w:p w14:paraId="5CBAE8A9" w14:textId="77777777" w:rsidR="008C0885" w:rsidRPr="00313596" w:rsidRDefault="008C0885" w:rsidP="000C6174">
            <w:pPr>
              <w:rPr>
                <w:rFonts w:ascii="Arial" w:hAnsi="Arial" w:cs="Arial"/>
                <w:sz w:val="22"/>
                <w:szCs w:val="22"/>
              </w:rPr>
            </w:pPr>
          </w:p>
        </w:tc>
        <w:tc>
          <w:tcPr>
            <w:tcW w:w="678" w:type="dxa"/>
          </w:tcPr>
          <w:p w14:paraId="097C8293" w14:textId="77777777" w:rsidR="008C0885" w:rsidRPr="00313596" w:rsidRDefault="008C0885" w:rsidP="000C6174">
            <w:pPr>
              <w:rPr>
                <w:rFonts w:ascii="Arial" w:hAnsi="Arial" w:cs="Arial"/>
                <w:sz w:val="22"/>
                <w:szCs w:val="22"/>
              </w:rPr>
            </w:pPr>
          </w:p>
        </w:tc>
        <w:tc>
          <w:tcPr>
            <w:tcW w:w="678" w:type="dxa"/>
          </w:tcPr>
          <w:p w14:paraId="08A9F974" w14:textId="77777777" w:rsidR="008C0885" w:rsidRPr="00313596" w:rsidRDefault="008C0885" w:rsidP="000C6174">
            <w:pPr>
              <w:rPr>
                <w:rFonts w:ascii="Arial" w:hAnsi="Arial" w:cs="Arial"/>
                <w:sz w:val="22"/>
                <w:szCs w:val="22"/>
              </w:rPr>
            </w:pPr>
          </w:p>
        </w:tc>
        <w:tc>
          <w:tcPr>
            <w:tcW w:w="678" w:type="dxa"/>
          </w:tcPr>
          <w:p w14:paraId="7BD38585" w14:textId="77777777" w:rsidR="008C0885" w:rsidRPr="00313596" w:rsidRDefault="008C0885" w:rsidP="000C6174">
            <w:pPr>
              <w:rPr>
                <w:rFonts w:ascii="Arial" w:hAnsi="Arial" w:cs="Arial"/>
                <w:sz w:val="22"/>
                <w:szCs w:val="22"/>
              </w:rPr>
            </w:pPr>
          </w:p>
        </w:tc>
        <w:tc>
          <w:tcPr>
            <w:tcW w:w="678" w:type="dxa"/>
          </w:tcPr>
          <w:p w14:paraId="7CB629DC" w14:textId="77777777" w:rsidR="008C0885" w:rsidRPr="00313596" w:rsidRDefault="008C0885" w:rsidP="000C6174">
            <w:pPr>
              <w:rPr>
                <w:rFonts w:ascii="Arial" w:hAnsi="Arial" w:cs="Arial"/>
                <w:sz w:val="22"/>
                <w:szCs w:val="22"/>
              </w:rPr>
            </w:pPr>
          </w:p>
        </w:tc>
        <w:tc>
          <w:tcPr>
            <w:tcW w:w="678" w:type="dxa"/>
          </w:tcPr>
          <w:p w14:paraId="7370E883" w14:textId="77777777" w:rsidR="008C0885" w:rsidRPr="00313596" w:rsidRDefault="008C0885" w:rsidP="000C6174">
            <w:pPr>
              <w:rPr>
                <w:rFonts w:ascii="Arial" w:hAnsi="Arial" w:cs="Arial"/>
                <w:sz w:val="22"/>
                <w:szCs w:val="22"/>
              </w:rPr>
            </w:pPr>
          </w:p>
        </w:tc>
        <w:tc>
          <w:tcPr>
            <w:tcW w:w="678" w:type="dxa"/>
          </w:tcPr>
          <w:p w14:paraId="4D94D2B7" w14:textId="77777777" w:rsidR="008C0885" w:rsidRPr="00313596" w:rsidRDefault="008C0885" w:rsidP="000C6174">
            <w:pPr>
              <w:rPr>
                <w:rFonts w:ascii="Arial" w:hAnsi="Arial" w:cs="Arial"/>
                <w:sz w:val="22"/>
                <w:szCs w:val="22"/>
              </w:rPr>
            </w:pPr>
          </w:p>
        </w:tc>
        <w:tc>
          <w:tcPr>
            <w:tcW w:w="550" w:type="dxa"/>
          </w:tcPr>
          <w:p w14:paraId="61648A53" w14:textId="77777777" w:rsidR="008C0885" w:rsidRPr="00313596" w:rsidRDefault="008C0885" w:rsidP="000C6174">
            <w:pPr>
              <w:rPr>
                <w:rFonts w:ascii="Arial" w:hAnsi="Arial" w:cs="Arial"/>
                <w:sz w:val="22"/>
                <w:szCs w:val="22"/>
              </w:rPr>
            </w:pPr>
          </w:p>
        </w:tc>
      </w:tr>
      <w:tr w:rsidR="008C0885" w:rsidRPr="00313596" w14:paraId="21436CC8" w14:textId="77777777" w:rsidTr="001D62A5">
        <w:trPr>
          <w:trHeight w:val="228"/>
        </w:trPr>
        <w:tc>
          <w:tcPr>
            <w:tcW w:w="450" w:type="dxa"/>
            <w:vAlign w:val="center"/>
          </w:tcPr>
          <w:p w14:paraId="5D835001" w14:textId="77777777" w:rsidR="008C0885" w:rsidRPr="00313596" w:rsidRDefault="008C0885" w:rsidP="000C6174">
            <w:pPr>
              <w:jc w:val="center"/>
              <w:rPr>
                <w:rFonts w:ascii="Arial" w:hAnsi="Arial" w:cs="Arial"/>
                <w:sz w:val="22"/>
                <w:szCs w:val="22"/>
              </w:rPr>
            </w:pPr>
          </w:p>
        </w:tc>
        <w:tc>
          <w:tcPr>
            <w:tcW w:w="1580" w:type="dxa"/>
          </w:tcPr>
          <w:p w14:paraId="11A10CFC" w14:textId="77777777" w:rsidR="008C0885" w:rsidRPr="00313596" w:rsidRDefault="008C0885" w:rsidP="000C6174">
            <w:pPr>
              <w:rPr>
                <w:rFonts w:ascii="Arial" w:hAnsi="Arial" w:cs="Arial"/>
                <w:sz w:val="22"/>
                <w:szCs w:val="22"/>
              </w:rPr>
            </w:pPr>
          </w:p>
        </w:tc>
        <w:tc>
          <w:tcPr>
            <w:tcW w:w="678" w:type="dxa"/>
          </w:tcPr>
          <w:p w14:paraId="6A7BD21F" w14:textId="77777777" w:rsidR="008C0885" w:rsidRPr="00313596" w:rsidRDefault="008C0885" w:rsidP="000C6174">
            <w:pPr>
              <w:pStyle w:val="Encabezado"/>
              <w:rPr>
                <w:rFonts w:ascii="Arial" w:hAnsi="Arial" w:cs="Arial"/>
                <w:sz w:val="22"/>
                <w:szCs w:val="22"/>
              </w:rPr>
            </w:pPr>
          </w:p>
        </w:tc>
        <w:tc>
          <w:tcPr>
            <w:tcW w:w="678" w:type="dxa"/>
          </w:tcPr>
          <w:p w14:paraId="2B38E068" w14:textId="77777777" w:rsidR="008C0885" w:rsidRPr="00313596" w:rsidRDefault="008C0885" w:rsidP="000C6174">
            <w:pPr>
              <w:rPr>
                <w:rFonts w:ascii="Arial" w:hAnsi="Arial" w:cs="Arial"/>
                <w:sz w:val="22"/>
                <w:szCs w:val="22"/>
              </w:rPr>
            </w:pPr>
          </w:p>
        </w:tc>
        <w:tc>
          <w:tcPr>
            <w:tcW w:w="678" w:type="dxa"/>
          </w:tcPr>
          <w:p w14:paraId="4005B3E6" w14:textId="77777777" w:rsidR="008C0885" w:rsidRPr="00313596" w:rsidRDefault="008C0885" w:rsidP="000C6174">
            <w:pPr>
              <w:rPr>
                <w:rFonts w:ascii="Arial" w:hAnsi="Arial" w:cs="Arial"/>
                <w:sz w:val="22"/>
                <w:szCs w:val="22"/>
              </w:rPr>
            </w:pPr>
          </w:p>
        </w:tc>
        <w:tc>
          <w:tcPr>
            <w:tcW w:w="678" w:type="dxa"/>
          </w:tcPr>
          <w:p w14:paraId="35D34849" w14:textId="77777777" w:rsidR="008C0885" w:rsidRPr="00313596" w:rsidRDefault="008C0885" w:rsidP="000C6174">
            <w:pPr>
              <w:rPr>
                <w:rFonts w:ascii="Arial" w:hAnsi="Arial" w:cs="Arial"/>
                <w:sz w:val="22"/>
                <w:szCs w:val="22"/>
              </w:rPr>
            </w:pPr>
          </w:p>
        </w:tc>
        <w:tc>
          <w:tcPr>
            <w:tcW w:w="678" w:type="dxa"/>
          </w:tcPr>
          <w:p w14:paraId="0588E82C" w14:textId="77777777" w:rsidR="008C0885" w:rsidRPr="00313596" w:rsidRDefault="008C0885" w:rsidP="000C6174">
            <w:pPr>
              <w:rPr>
                <w:rFonts w:ascii="Arial" w:hAnsi="Arial" w:cs="Arial"/>
                <w:sz w:val="22"/>
                <w:szCs w:val="22"/>
              </w:rPr>
            </w:pPr>
          </w:p>
        </w:tc>
        <w:tc>
          <w:tcPr>
            <w:tcW w:w="678" w:type="dxa"/>
          </w:tcPr>
          <w:p w14:paraId="703F96AE" w14:textId="77777777" w:rsidR="008C0885" w:rsidRPr="00313596" w:rsidRDefault="008C0885" w:rsidP="000C6174">
            <w:pPr>
              <w:rPr>
                <w:rFonts w:ascii="Arial" w:hAnsi="Arial" w:cs="Arial"/>
                <w:sz w:val="22"/>
                <w:szCs w:val="22"/>
              </w:rPr>
            </w:pPr>
          </w:p>
        </w:tc>
        <w:tc>
          <w:tcPr>
            <w:tcW w:w="678" w:type="dxa"/>
          </w:tcPr>
          <w:p w14:paraId="528481FA" w14:textId="77777777" w:rsidR="008C0885" w:rsidRPr="00313596" w:rsidRDefault="008C0885" w:rsidP="000C6174">
            <w:pPr>
              <w:rPr>
                <w:rFonts w:ascii="Arial" w:hAnsi="Arial" w:cs="Arial"/>
                <w:sz w:val="22"/>
                <w:szCs w:val="22"/>
              </w:rPr>
            </w:pPr>
          </w:p>
        </w:tc>
        <w:tc>
          <w:tcPr>
            <w:tcW w:w="678" w:type="dxa"/>
          </w:tcPr>
          <w:p w14:paraId="407B3BE5" w14:textId="77777777" w:rsidR="008C0885" w:rsidRPr="00313596" w:rsidRDefault="008C0885" w:rsidP="000C6174">
            <w:pPr>
              <w:rPr>
                <w:rFonts w:ascii="Arial" w:hAnsi="Arial" w:cs="Arial"/>
                <w:sz w:val="22"/>
                <w:szCs w:val="22"/>
              </w:rPr>
            </w:pPr>
          </w:p>
        </w:tc>
        <w:tc>
          <w:tcPr>
            <w:tcW w:w="678" w:type="dxa"/>
          </w:tcPr>
          <w:p w14:paraId="52B5A57E" w14:textId="77777777" w:rsidR="008C0885" w:rsidRPr="00313596" w:rsidRDefault="008C0885" w:rsidP="000C6174">
            <w:pPr>
              <w:rPr>
                <w:rFonts w:ascii="Arial" w:hAnsi="Arial" w:cs="Arial"/>
                <w:sz w:val="22"/>
                <w:szCs w:val="22"/>
              </w:rPr>
            </w:pPr>
          </w:p>
        </w:tc>
        <w:tc>
          <w:tcPr>
            <w:tcW w:w="678" w:type="dxa"/>
          </w:tcPr>
          <w:p w14:paraId="1D9AC2CB" w14:textId="77777777" w:rsidR="008C0885" w:rsidRPr="00313596" w:rsidRDefault="008C0885" w:rsidP="000C6174">
            <w:pPr>
              <w:rPr>
                <w:rFonts w:ascii="Arial" w:hAnsi="Arial" w:cs="Arial"/>
                <w:sz w:val="22"/>
                <w:szCs w:val="22"/>
              </w:rPr>
            </w:pPr>
          </w:p>
        </w:tc>
        <w:tc>
          <w:tcPr>
            <w:tcW w:w="550" w:type="dxa"/>
          </w:tcPr>
          <w:p w14:paraId="552FAE6D" w14:textId="77777777" w:rsidR="008C0885" w:rsidRPr="00313596" w:rsidRDefault="008C0885" w:rsidP="000C6174">
            <w:pPr>
              <w:rPr>
                <w:rFonts w:ascii="Arial" w:hAnsi="Arial" w:cs="Arial"/>
                <w:sz w:val="22"/>
                <w:szCs w:val="22"/>
              </w:rPr>
            </w:pPr>
          </w:p>
        </w:tc>
      </w:tr>
      <w:tr w:rsidR="008C0885" w:rsidRPr="00313596" w14:paraId="15AE734E" w14:textId="77777777" w:rsidTr="001D62A5">
        <w:tc>
          <w:tcPr>
            <w:tcW w:w="450" w:type="dxa"/>
            <w:vAlign w:val="center"/>
          </w:tcPr>
          <w:p w14:paraId="32B0FEB0" w14:textId="77777777" w:rsidR="008C0885" w:rsidRPr="00313596" w:rsidRDefault="008C0885" w:rsidP="000C6174">
            <w:pPr>
              <w:jc w:val="center"/>
              <w:rPr>
                <w:rFonts w:ascii="Arial" w:hAnsi="Arial" w:cs="Arial"/>
                <w:sz w:val="22"/>
                <w:szCs w:val="22"/>
              </w:rPr>
            </w:pPr>
          </w:p>
        </w:tc>
        <w:tc>
          <w:tcPr>
            <w:tcW w:w="1580" w:type="dxa"/>
          </w:tcPr>
          <w:p w14:paraId="4B276B19" w14:textId="77777777" w:rsidR="008C0885" w:rsidRPr="00313596" w:rsidRDefault="008C0885" w:rsidP="000C6174">
            <w:pPr>
              <w:rPr>
                <w:rFonts w:ascii="Arial" w:hAnsi="Arial" w:cs="Arial"/>
                <w:sz w:val="22"/>
                <w:szCs w:val="22"/>
              </w:rPr>
            </w:pPr>
          </w:p>
        </w:tc>
        <w:tc>
          <w:tcPr>
            <w:tcW w:w="678" w:type="dxa"/>
          </w:tcPr>
          <w:p w14:paraId="42446AA9" w14:textId="77777777" w:rsidR="008C0885" w:rsidRPr="00313596" w:rsidRDefault="008C0885" w:rsidP="000C6174">
            <w:pPr>
              <w:rPr>
                <w:rFonts w:ascii="Arial" w:hAnsi="Arial" w:cs="Arial"/>
                <w:sz w:val="22"/>
                <w:szCs w:val="22"/>
              </w:rPr>
            </w:pPr>
          </w:p>
        </w:tc>
        <w:tc>
          <w:tcPr>
            <w:tcW w:w="678" w:type="dxa"/>
          </w:tcPr>
          <w:p w14:paraId="55BCA14C" w14:textId="77777777" w:rsidR="008C0885" w:rsidRPr="00313596" w:rsidRDefault="008C0885" w:rsidP="000C6174">
            <w:pPr>
              <w:rPr>
                <w:rFonts w:ascii="Arial" w:hAnsi="Arial" w:cs="Arial"/>
                <w:sz w:val="22"/>
                <w:szCs w:val="22"/>
              </w:rPr>
            </w:pPr>
          </w:p>
        </w:tc>
        <w:tc>
          <w:tcPr>
            <w:tcW w:w="678" w:type="dxa"/>
          </w:tcPr>
          <w:p w14:paraId="4084BA86" w14:textId="77777777" w:rsidR="008C0885" w:rsidRPr="00313596" w:rsidRDefault="008C0885" w:rsidP="000C6174">
            <w:pPr>
              <w:rPr>
                <w:rFonts w:ascii="Arial" w:hAnsi="Arial" w:cs="Arial"/>
                <w:sz w:val="22"/>
                <w:szCs w:val="22"/>
              </w:rPr>
            </w:pPr>
          </w:p>
        </w:tc>
        <w:tc>
          <w:tcPr>
            <w:tcW w:w="678" w:type="dxa"/>
          </w:tcPr>
          <w:p w14:paraId="3EF47F52" w14:textId="77777777" w:rsidR="008C0885" w:rsidRPr="00313596" w:rsidRDefault="008C0885" w:rsidP="000C6174">
            <w:pPr>
              <w:rPr>
                <w:rFonts w:ascii="Arial" w:hAnsi="Arial" w:cs="Arial"/>
                <w:sz w:val="22"/>
                <w:szCs w:val="22"/>
              </w:rPr>
            </w:pPr>
          </w:p>
        </w:tc>
        <w:tc>
          <w:tcPr>
            <w:tcW w:w="678" w:type="dxa"/>
          </w:tcPr>
          <w:p w14:paraId="44C5420F" w14:textId="77777777" w:rsidR="008C0885" w:rsidRPr="00313596" w:rsidRDefault="008C0885" w:rsidP="000C6174">
            <w:pPr>
              <w:rPr>
                <w:rFonts w:ascii="Arial" w:hAnsi="Arial" w:cs="Arial"/>
                <w:sz w:val="22"/>
                <w:szCs w:val="22"/>
              </w:rPr>
            </w:pPr>
          </w:p>
        </w:tc>
        <w:tc>
          <w:tcPr>
            <w:tcW w:w="678" w:type="dxa"/>
          </w:tcPr>
          <w:p w14:paraId="5E84080C" w14:textId="77777777" w:rsidR="008C0885" w:rsidRPr="00313596" w:rsidRDefault="008C0885" w:rsidP="000C6174">
            <w:pPr>
              <w:rPr>
                <w:rFonts w:ascii="Arial" w:hAnsi="Arial" w:cs="Arial"/>
                <w:sz w:val="22"/>
                <w:szCs w:val="22"/>
              </w:rPr>
            </w:pPr>
          </w:p>
        </w:tc>
        <w:tc>
          <w:tcPr>
            <w:tcW w:w="678" w:type="dxa"/>
          </w:tcPr>
          <w:p w14:paraId="0A35A2F5" w14:textId="77777777" w:rsidR="008C0885" w:rsidRPr="00313596" w:rsidRDefault="008C0885" w:rsidP="000C6174">
            <w:pPr>
              <w:rPr>
                <w:rFonts w:ascii="Arial" w:hAnsi="Arial" w:cs="Arial"/>
                <w:sz w:val="22"/>
                <w:szCs w:val="22"/>
              </w:rPr>
            </w:pPr>
          </w:p>
        </w:tc>
        <w:tc>
          <w:tcPr>
            <w:tcW w:w="678" w:type="dxa"/>
          </w:tcPr>
          <w:p w14:paraId="46B94860" w14:textId="77777777" w:rsidR="008C0885" w:rsidRPr="00313596" w:rsidRDefault="008C0885" w:rsidP="000C6174">
            <w:pPr>
              <w:rPr>
                <w:rFonts w:ascii="Arial" w:hAnsi="Arial" w:cs="Arial"/>
                <w:sz w:val="22"/>
                <w:szCs w:val="22"/>
              </w:rPr>
            </w:pPr>
          </w:p>
        </w:tc>
        <w:tc>
          <w:tcPr>
            <w:tcW w:w="678" w:type="dxa"/>
          </w:tcPr>
          <w:p w14:paraId="4D1A6DA1" w14:textId="77777777" w:rsidR="008C0885" w:rsidRPr="00313596" w:rsidRDefault="008C0885" w:rsidP="000C6174">
            <w:pPr>
              <w:rPr>
                <w:rFonts w:ascii="Arial" w:hAnsi="Arial" w:cs="Arial"/>
                <w:sz w:val="22"/>
                <w:szCs w:val="22"/>
              </w:rPr>
            </w:pPr>
          </w:p>
        </w:tc>
        <w:tc>
          <w:tcPr>
            <w:tcW w:w="678" w:type="dxa"/>
          </w:tcPr>
          <w:p w14:paraId="09ECA2C4" w14:textId="77777777" w:rsidR="008C0885" w:rsidRPr="00313596" w:rsidRDefault="008C0885" w:rsidP="000C6174">
            <w:pPr>
              <w:rPr>
                <w:rFonts w:ascii="Arial" w:hAnsi="Arial" w:cs="Arial"/>
                <w:sz w:val="22"/>
                <w:szCs w:val="22"/>
              </w:rPr>
            </w:pPr>
          </w:p>
        </w:tc>
        <w:tc>
          <w:tcPr>
            <w:tcW w:w="550" w:type="dxa"/>
          </w:tcPr>
          <w:p w14:paraId="562CF48C" w14:textId="77777777" w:rsidR="008C0885" w:rsidRPr="00313596" w:rsidRDefault="008C0885" w:rsidP="000C6174">
            <w:pPr>
              <w:rPr>
                <w:rFonts w:ascii="Arial" w:hAnsi="Arial" w:cs="Arial"/>
                <w:sz w:val="22"/>
                <w:szCs w:val="22"/>
              </w:rPr>
            </w:pPr>
          </w:p>
        </w:tc>
      </w:tr>
      <w:tr w:rsidR="008C0885" w:rsidRPr="00313596" w14:paraId="5FCD5925" w14:textId="77777777" w:rsidTr="001D62A5">
        <w:tc>
          <w:tcPr>
            <w:tcW w:w="450" w:type="dxa"/>
            <w:vAlign w:val="center"/>
          </w:tcPr>
          <w:p w14:paraId="608A4602" w14:textId="77777777" w:rsidR="008C0885" w:rsidRPr="00313596" w:rsidRDefault="008C0885" w:rsidP="000C6174">
            <w:pPr>
              <w:ind w:left="-25"/>
              <w:jc w:val="center"/>
              <w:rPr>
                <w:rFonts w:ascii="Arial" w:hAnsi="Arial" w:cs="Arial"/>
                <w:sz w:val="22"/>
                <w:szCs w:val="22"/>
              </w:rPr>
            </w:pPr>
          </w:p>
        </w:tc>
        <w:tc>
          <w:tcPr>
            <w:tcW w:w="1580" w:type="dxa"/>
          </w:tcPr>
          <w:p w14:paraId="33ACB04A" w14:textId="77777777" w:rsidR="008C0885" w:rsidRPr="00313596" w:rsidRDefault="008C0885" w:rsidP="000C6174">
            <w:pPr>
              <w:ind w:left="-25"/>
              <w:rPr>
                <w:rFonts w:ascii="Arial" w:hAnsi="Arial" w:cs="Arial"/>
                <w:sz w:val="22"/>
                <w:szCs w:val="22"/>
              </w:rPr>
            </w:pPr>
          </w:p>
        </w:tc>
        <w:tc>
          <w:tcPr>
            <w:tcW w:w="678" w:type="dxa"/>
          </w:tcPr>
          <w:p w14:paraId="02F3E080" w14:textId="77777777" w:rsidR="008C0885" w:rsidRPr="00313596" w:rsidRDefault="008C0885" w:rsidP="000C6174">
            <w:pPr>
              <w:rPr>
                <w:rFonts w:ascii="Arial" w:hAnsi="Arial" w:cs="Arial"/>
                <w:sz w:val="22"/>
                <w:szCs w:val="22"/>
              </w:rPr>
            </w:pPr>
          </w:p>
        </w:tc>
        <w:tc>
          <w:tcPr>
            <w:tcW w:w="678" w:type="dxa"/>
          </w:tcPr>
          <w:p w14:paraId="60F84B44" w14:textId="77777777" w:rsidR="008C0885" w:rsidRPr="00313596" w:rsidRDefault="008C0885" w:rsidP="000C6174">
            <w:pPr>
              <w:rPr>
                <w:rFonts w:ascii="Arial" w:hAnsi="Arial" w:cs="Arial"/>
                <w:sz w:val="22"/>
                <w:szCs w:val="22"/>
              </w:rPr>
            </w:pPr>
          </w:p>
        </w:tc>
        <w:tc>
          <w:tcPr>
            <w:tcW w:w="678" w:type="dxa"/>
          </w:tcPr>
          <w:p w14:paraId="306C5576" w14:textId="77777777" w:rsidR="008C0885" w:rsidRPr="00313596" w:rsidRDefault="008C0885" w:rsidP="000C6174">
            <w:pPr>
              <w:rPr>
                <w:rFonts w:ascii="Arial" w:hAnsi="Arial" w:cs="Arial"/>
                <w:sz w:val="22"/>
                <w:szCs w:val="22"/>
              </w:rPr>
            </w:pPr>
          </w:p>
        </w:tc>
        <w:tc>
          <w:tcPr>
            <w:tcW w:w="678" w:type="dxa"/>
          </w:tcPr>
          <w:p w14:paraId="47174D9C" w14:textId="77777777" w:rsidR="008C0885" w:rsidRPr="00313596" w:rsidRDefault="008C0885" w:rsidP="000C6174">
            <w:pPr>
              <w:rPr>
                <w:rFonts w:ascii="Arial" w:hAnsi="Arial" w:cs="Arial"/>
                <w:sz w:val="22"/>
                <w:szCs w:val="22"/>
              </w:rPr>
            </w:pPr>
          </w:p>
        </w:tc>
        <w:tc>
          <w:tcPr>
            <w:tcW w:w="678" w:type="dxa"/>
          </w:tcPr>
          <w:p w14:paraId="640926EC" w14:textId="77777777" w:rsidR="008C0885" w:rsidRPr="00313596" w:rsidRDefault="008C0885" w:rsidP="000C6174">
            <w:pPr>
              <w:rPr>
                <w:rFonts w:ascii="Arial" w:hAnsi="Arial" w:cs="Arial"/>
                <w:sz w:val="22"/>
                <w:szCs w:val="22"/>
              </w:rPr>
            </w:pPr>
          </w:p>
        </w:tc>
        <w:tc>
          <w:tcPr>
            <w:tcW w:w="678" w:type="dxa"/>
          </w:tcPr>
          <w:p w14:paraId="4E270FFD" w14:textId="77777777" w:rsidR="008C0885" w:rsidRPr="00313596" w:rsidRDefault="008C0885" w:rsidP="000C6174">
            <w:pPr>
              <w:rPr>
                <w:rFonts w:ascii="Arial" w:hAnsi="Arial" w:cs="Arial"/>
                <w:sz w:val="22"/>
                <w:szCs w:val="22"/>
              </w:rPr>
            </w:pPr>
          </w:p>
        </w:tc>
        <w:tc>
          <w:tcPr>
            <w:tcW w:w="678" w:type="dxa"/>
          </w:tcPr>
          <w:p w14:paraId="4B9D3819" w14:textId="77777777" w:rsidR="008C0885" w:rsidRPr="00313596" w:rsidRDefault="008C0885" w:rsidP="000C6174">
            <w:pPr>
              <w:rPr>
                <w:rFonts w:ascii="Arial" w:hAnsi="Arial" w:cs="Arial"/>
                <w:sz w:val="22"/>
                <w:szCs w:val="22"/>
              </w:rPr>
            </w:pPr>
          </w:p>
        </w:tc>
        <w:tc>
          <w:tcPr>
            <w:tcW w:w="678" w:type="dxa"/>
          </w:tcPr>
          <w:p w14:paraId="697DF317" w14:textId="77777777" w:rsidR="008C0885" w:rsidRPr="00313596" w:rsidRDefault="008C0885" w:rsidP="000C6174">
            <w:pPr>
              <w:rPr>
                <w:rFonts w:ascii="Arial" w:hAnsi="Arial" w:cs="Arial"/>
                <w:sz w:val="22"/>
                <w:szCs w:val="22"/>
              </w:rPr>
            </w:pPr>
          </w:p>
        </w:tc>
        <w:tc>
          <w:tcPr>
            <w:tcW w:w="678" w:type="dxa"/>
          </w:tcPr>
          <w:p w14:paraId="1FE3BBA8" w14:textId="77777777" w:rsidR="008C0885" w:rsidRPr="00313596" w:rsidRDefault="008C0885" w:rsidP="000C6174">
            <w:pPr>
              <w:rPr>
                <w:rFonts w:ascii="Arial" w:hAnsi="Arial" w:cs="Arial"/>
                <w:sz w:val="22"/>
                <w:szCs w:val="22"/>
              </w:rPr>
            </w:pPr>
          </w:p>
        </w:tc>
        <w:tc>
          <w:tcPr>
            <w:tcW w:w="678" w:type="dxa"/>
          </w:tcPr>
          <w:p w14:paraId="7EA2F0FF" w14:textId="77777777" w:rsidR="008C0885" w:rsidRPr="00313596" w:rsidRDefault="008C0885" w:rsidP="000C6174">
            <w:pPr>
              <w:rPr>
                <w:rFonts w:ascii="Arial" w:hAnsi="Arial" w:cs="Arial"/>
                <w:sz w:val="22"/>
                <w:szCs w:val="22"/>
              </w:rPr>
            </w:pPr>
          </w:p>
        </w:tc>
        <w:tc>
          <w:tcPr>
            <w:tcW w:w="550" w:type="dxa"/>
          </w:tcPr>
          <w:p w14:paraId="4C046617" w14:textId="77777777" w:rsidR="008C0885" w:rsidRPr="00313596" w:rsidRDefault="008C0885" w:rsidP="000C6174">
            <w:pPr>
              <w:rPr>
                <w:rFonts w:ascii="Arial" w:hAnsi="Arial" w:cs="Arial"/>
                <w:sz w:val="22"/>
                <w:szCs w:val="22"/>
              </w:rPr>
            </w:pPr>
          </w:p>
        </w:tc>
      </w:tr>
      <w:tr w:rsidR="008C0885" w:rsidRPr="00313596" w14:paraId="58E12814" w14:textId="77777777" w:rsidTr="001D62A5">
        <w:tc>
          <w:tcPr>
            <w:tcW w:w="450" w:type="dxa"/>
            <w:vAlign w:val="center"/>
          </w:tcPr>
          <w:p w14:paraId="63E1C3A5" w14:textId="77777777" w:rsidR="008C0885" w:rsidRPr="00313596" w:rsidRDefault="008C0885" w:rsidP="000C6174">
            <w:pPr>
              <w:ind w:left="-25"/>
              <w:jc w:val="center"/>
              <w:rPr>
                <w:rFonts w:ascii="Arial" w:hAnsi="Arial" w:cs="Arial"/>
                <w:sz w:val="22"/>
                <w:szCs w:val="22"/>
              </w:rPr>
            </w:pPr>
            <w:r w:rsidRPr="00313596">
              <w:rPr>
                <w:rFonts w:ascii="Arial" w:hAnsi="Arial" w:cs="Arial"/>
                <w:sz w:val="22"/>
                <w:szCs w:val="22"/>
              </w:rPr>
              <w:t>N</w:t>
            </w:r>
          </w:p>
        </w:tc>
        <w:tc>
          <w:tcPr>
            <w:tcW w:w="1580" w:type="dxa"/>
          </w:tcPr>
          <w:p w14:paraId="671B7DA9" w14:textId="77777777" w:rsidR="008C0885" w:rsidRPr="00313596" w:rsidRDefault="008C0885" w:rsidP="000C6174">
            <w:pPr>
              <w:ind w:left="-25"/>
              <w:rPr>
                <w:rFonts w:ascii="Arial" w:hAnsi="Arial" w:cs="Arial"/>
                <w:sz w:val="22"/>
                <w:szCs w:val="22"/>
              </w:rPr>
            </w:pPr>
            <w:r w:rsidRPr="00313596">
              <w:rPr>
                <w:rFonts w:ascii="Arial" w:hAnsi="Arial" w:cs="Arial"/>
                <w:i/>
                <w:color w:val="FF0000"/>
                <w:sz w:val="22"/>
                <w:szCs w:val="22"/>
                <w:lang w:val="es-ES"/>
              </w:rPr>
              <w:t>Sumas provisionales (eliminarlo en caso de no utilizar este concepto)</w:t>
            </w:r>
          </w:p>
        </w:tc>
        <w:tc>
          <w:tcPr>
            <w:tcW w:w="678" w:type="dxa"/>
          </w:tcPr>
          <w:p w14:paraId="24B0ABBD" w14:textId="77777777" w:rsidR="008C0885" w:rsidRPr="00313596" w:rsidRDefault="008C0885" w:rsidP="000C6174">
            <w:pPr>
              <w:rPr>
                <w:rFonts w:ascii="Arial" w:hAnsi="Arial" w:cs="Arial"/>
                <w:sz w:val="22"/>
                <w:szCs w:val="22"/>
              </w:rPr>
            </w:pPr>
          </w:p>
        </w:tc>
        <w:tc>
          <w:tcPr>
            <w:tcW w:w="678" w:type="dxa"/>
          </w:tcPr>
          <w:p w14:paraId="28B9485B" w14:textId="77777777" w:rsidR="008C0885" w:rsidRPr="00313596" w:rsidRDefault="008C0885" w:rsidP="000C6174">
            <w:pPr>
              <w:rPr>
                <w:rFonts w:ascii="Arial" w:hAnsi="Arial" w:cs="Arial"/>
                <w:sz w:val="22"/>
                <w:szCs w:val="22"/>
              </w:rPr>
            </w:pPr>
          </w:p>
        </w:tc>
        <w:tc>
          <w:tcPr>
            <w:tcW w:w="678" w:type="dxa"/>
          </w:tcPr>
          <w:p w14:paraId="6719849A" w14:textId="77777777" w:rsidR="008C0885" w:rsidRPr="00313596" w:rsidRDefault="008C0885" w:rsidP="000C6174">
            <w:pPr>
              <w:rPr>
                <w:rFonts w:ascii="Arial" w:hAnsi="Arial" w:cs="Arial"/>
                <w:sz w:val="22"/>
                <w:szCs w:val="22"/>
              </w:rPr>
            </w:pPr>
          </w:p>
        </w:tc>
        <w:tc>
          <w:tcPr>
            <w:tcW w:w="678" w:type="dxa"/>
          </w:tcPr>
          <w:p w14:paraId="5900F4F7" w14:textId="77777777" w:rsidR="008C0885" w:rsidRPr="00313596" w:rsidRDefault="008C0885" w:rsidP="000C6174">
            <w:pPr>
              <w:rPr>
                <w:rFonts w:ascii="Arial" w:hAnsi="Arial" w:cs="Arial"/>
                <w:sz w:val="22"/>
                <w:szCs w:val="22"/>
              </w:rPr>
            </w:pPr>
          </w:p>
        </w:tc>
        <w:tc>
          <w:tcPr>
            <w:tcW w:w="678" w:type="dxa"/>
          </w:tcPr>
          <w:p w14:paraId="14C28C96" w14:textId="77777777" w:rsidR="008C0885" w:rsidRPr="00313596" w:rsidRDefault="008C0885" w:rsidP="000C6174">
            <w:pPr>
              <w:rPr>
                <w:rFonts w:ascii="Arial" w:hAnsi="Arial" w:cs="Arial"/>
                <w:sz w:val="22"/>
                <w:szCs w:val="22"/>
              </w:rPr>
            </w:pPr>
          </w:p>
        </w:tc>
        <w:tc>
          <w:tcPr>
            <w:tcW w:w="678" w:type="dxa"/>
          </w:tcPr>
          <w:p w14:paraId="06981CB4" w14:textId="77777777" w:rsidR="008C0885" w:rsidRPr="00313596" w:rsidRDefault="008C0885" w:rsidP="000C6174">
            <w:pPr>
              <w:rPr>
                <w:rFonts w:ascii="Arial" w:hAnsi="Arial" w:cs="Arial"/>
                <w:sz w:val="22"/>
                <w:szCs w:val="22"/>
              </w:rPr>
            </w:pPr>
          </w:p>
        </w:tc>
        <w:tc>
          <w:tcPr>
            <w:tcW w:w="678" w:type="dxa"/>
          </w:tcPr>
          <w:p w14:paraId="1491E070" w14:textId="77777777" w:rsidR="008C0885" w:rsidRPr="00313596" w:rsidRDefault="008C0885" w:rsidP="000C6174">
            <w:pPr>
              <w:rPr>
                <w:rFonts w:ascii="Arial" w:hAnsi="Arial" w:cs="Arial"/>
                <w:sz w:val="22"/>
                <w:szCs w:val="22"/>
              </w:rPr>
            </w:pPr>
          </w:p>
        </w:tc>
        <w:tc>
          <w:tcPr>
            <w:tcW w:w="678" w:type="dxa"/>
          </w:tcPr>
          <w:p w14:paraId="3B5BE142" w14:textId="77777777" w:rsidR="008C0885" w:rsidRPr="00313596" w:rsidRDefault="008C0885" w:rsidP="000C6174">
            <w:pPr>
              <w:rPr>
                <w:rFonts w:ascii="Arial" w:hAnsi="Arial" w:cs="Arial"/>
                <w:sz w:val="22"/>
                <w:szCs w:val="22"/>
              </w:rPr>
            </w:pPr>
          </w:p>
        </w:tc>
        <w:tc>
          <w:tcPr>
            <w:tcW w:w="678" w:type="dxa"/>
          </w:tcPr>
          <w:p w14:paraId="4EDD8023" w14:textId="77777777" w:rsidR="008C0885" w:rsidRPr="00313596" w:rsidRDefault="008C0885" w:rsidP="000C6174">
            <w:pPr>
              <w:rPr>
                <w:rFonts w:ascii="Arial" w:hAnsi="Arial" w:cs="Arial"/>
                <w:sz w:val="22"/>
                <w:szCs w:val="22"/>
              </w:rPr>
            </w:pPr>
          </w:p>
        </w:tc>
        <w:tc>
          <w:tcPr>
            <w:tcW w:w="678" w:type="dxa"/>
          </w:tcPr>
          <w:p w14:paraId="22898C6B" w14:textId="77777777" w:rsidR="008C0885" w:rsidRPr="00313596" w:rsidRDefault="008C0885" w:rsidP="000C6174">
            <w:pPr>
              <w:rPr>
                <w:rFonts w:ascii="Arial" w:hAnsi="Arial" w:cs="Arial"/>
                <w:sz w:val="22"/>
                <w:szCs w:val="22"/>
              </w:rPr>
            </w:pPr>
          </w:p>
        </w:tc>
        <w:tc>
          <w:tcPr>
            <w:tcW w:w="550" w:type="dxa"/>
          </w:tcPr>
          <w:p w14:paraId="11DCA636" w14:textId="77777777" w:rsidR="008C0885" w:rsidRPr="00313596" w:rsidRDefault="008C0885" w:rsidP="000C6174">
            <w:pPr>
              <w:rPr>
                <w:rFonts w:ascii="Arial" w:hAnsi="Arial" w:cs="Arial"/>
                <w:sz w:val="22"/>
                <w:szCs w:val="22"/>
              </w:rPr>
            </w:pPr>
          </w:p>
        </w:tc>
      </w:tr>
    </w:tbl>
    <w:p w14:paraId="50CB6586" w14:textId="77777777" w:rsidR="008C0885" w:rsidRPr="00313596" w:rsidRDefault="008C0885" w:rsidP="000C6174">
      <w:pPr>
        <w:rPr>
          <w:rFonts w:ascii="Arial" w:hAnsi="Arial" w:cs="Arial"/>
          <w:sz w:val="22"/>
          <w:szCs w:val="22"/>
        </w:rPr>
      </w:pPr>
    </w:p>
    <w:p w14:paraId="2602B2D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313596">
        <w:rPr>
          <w:rFonts w:ascii="Arial" w:hAnsi="Arial" w:cs="Arial"/>
          <w:b/>
          <w:sz w:val="22"/>
          <w:szCs w:val="22"/>
        </w:rPr>
        <w:t>Oferente</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(indicar nombre completo del oferente)</w:t>
      </w:r>
    </w:p>
    <w:p w14:paraId="5094219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color w:val="FF0000"/>
          <w:sz w:val="22"/>
          <w:szCs w:val="22"/>
        </w:rPr>
      </w:pPr>
      <w:r w:rsidRPr="00313596">
        <w:rPr>
          <w:rFonts w:ascii="Arial" w:hAnsi="Arial" w:cs="Arial"/>
          <w:b/>
          <w:sz w:val="22"/>
          <w:szCs w:val="22"/>
        </w:rPr>
        <w:t xml:space="preserve">Nombre: </w:t>
      </w:r>
      <w:r w:rsidRPr="00313596">
        <w:rPr>
          <w:rFonts w:ascii="Arial" w:hAnsi="Arial" w:cs="Arial"/>
          <w:b/>
          <w:sz w:val="22"/>
          <w:szCs w:val="22"/>
        </w:rPr>
        <w:tab/>
      </w:r>
      <w:r w:rsidRPr="00313596">
        <w:rPr>
          <w:rFonts w:ascii="Arial" w:hAnsi="Arial" w:cs="Arial"/>
          <w:i/>
          <w:color w:val="FF0000"/>
          <w:sz w:val="22"/>
          <w:szCs w:val="22"/>
        </w:rPr>
        <w:t>(indicar el nombre completo de la persona que firma la oferta)</w:t>
      </w:r>
    </w:p>
    <w:p w14:paraId="5DDAB51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313596">
        <w:rPr>
          <w:rFonts w:ascii="Arial" w:hAnsi="Arial" w:cs="Arial"/>
          <w:b/>
          <w:sz w:val="22"/>
          <w:szCs w:val="22"/>
        </w:rPr>
        <w:t>Cargo</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(del firmante)</w:t>
      </w:r>
    </w:p>
    <w:p w14:paraId="2A62158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313596">
        <w:rPr>
          <w:rFonts w:ascii="Arial" w:hAnsi="Arial" w:cs="Arial"/>
          <w:b/>
          <w:sz w:val="22"/>
          <w:szCs w:val="22"/>
        </w:rPr>
        <w:t>Firma</w:t>
      </w:r>
      <w:r w:rsidRPr="00313596">
        <w:rPr>
          <w:rFonts w:ascii="Arial" w:hAnsi="Arial" w:cs="Arial"/>
          <w:i/>
          <w:sz w:val="22"/>
          <w:szCs w:val="22"/>
        </w:rPr>
        <w:t>:</w:t>
      </w:r>
      <w:r w:rsidRPr="00313596">
        <w:rPr>
          <w:rFonts w:ascii="Arial" w:hAnsi="Arial" w:cs="Arial"/>
          <w:i/>
          <w:sz w:val="22"/>
          <w:szCs w:val="22"/>
        </w:rPr>
        <w:tab/>
      </w:r>
      <w:r w:rsidRPr="00313596">
        <w:rPr>
          <w:rFonts w:ascii="Arial" w:hAnsi="Arial" w:cs="Arial"/>
          <w:i/>
          <w:sz w:val="22"/>
          <w:szCs w:val="22"/>
        </w:rPr>
        <w:tab/>
      </w:r>
      <w:r w:rsidR="00890C5D" w:rsidRPr="00890C5D">
        <w:rPr>
          <w:rFonts w:ascii="Arial" w:hAnsi="Arial" w:cs="Arial"/>
          <w:i/>
          <w:color w:val="FF0000"/>
          <w:sz w:val="22"/>
          <w:szCs w:val="22"/>
        </w:rPr>
        <w:t>(</w:t>
      </w:r>
      <w:r w:rsidRPr="00313596">
        <w:rPr>
          <w:rFonts w:ascii="Arial" w:hAnsi="Arial" w:cs="Arial"/>
          <w:i/>
          <w:color w:val="FF0000"/>
          <w:sz w:val="22"/>
          <w:szCs w:val="22"/>
        </w:rPr>
        <w:t>firma de la persona cuyo nombre y cargo aparecen arriba indicados)</w:t>
      </w:r>
    </w:p>
    <w:p w14:paraId="0FE01A7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1" w:hanging="4321"/>
        <w:rPr>
          <w:rFonts w:ascii="Arial" w:hAnsi="Arial" w:cs="Arial"/>
          <w:i/>
          <w:sz w:val="22"/>
          <w:szCs w:val="22"/>
        </w:rPr>
      </w:pPr>
      <w:r w:rsidRPr="00313596">
        <w:rPr>
          <w:rFonts w:ascii="Arial" w:hAnsi="Arial" w:cs="Arial"/>
          <w:b/>
          <w:sz w:val="22"/>
          <w:szCs w:val="22"/>
        </w:rPr>
        <w:t xml:space="preserve">Fecha: </w:t>
      </w:r>
      <w:r w:rsidRPr="00313596">
        <w:rPr>
          <w:rFonts w:ascii="Arial" w:hAnsi="Arial" w:cs="Arial"/>
          <w:b/>
          <w:sz w:val="22"/>
          <w:szCs w:val="22"/>
        </w:rPr>
        <w:tab/>
      </w:r>
      <w:r w:rsidRPr="00313596">
        <w:rPr>
          <w:rFonts w:ascii="Arial" w:hAnsi="Arial" w:cs="Arial"/>
          <w:i/>
          <w:color w:val="FF0000"/>
          <w:sz w:val="22"/>
          <w:szCs w:val="22"/>
        </w:rPr>
        <w:t>(día, mes y año en que se firma la oferta)</w:t>
      </w:r>
    </w:p>
    <w:p w14:paraId="2364BCFF" w14:textId="77777777" w:rsidR="008C0885" w:rsidRPr="00313596" w:rsidRDefault="008C0885">
      <w:pPr>
        <w:jc w:val="left"/>
        <w:rPr>
          <w:rFonts w:ascii="Arial" w:hAnsi="Arial" w:cs="Arial"/>
          <w:b/>
          <w:sz w:val="22"/>
          <w:szCs w:val="22"/>
        </w:rPr>
      </w:pPr>
    </w:p>
    <w:p w14:paraId="6AB35415" w14:textId="77777777" w:rsidR="008C0885" w:rsidRPr="00313596" w:rsidRDefault="008C0885">
      <w:pPr>
        <w:jc w:val="left"/>
        <w:rPr>
          <w:rFonts w:ascii="Arial" w:hAnsi="Arial" w:cs="Arial"/>
          <w:b/>
          <w:sz w:val="22"/>
          <w:szCs w:val="22"/>
        </w:rPr>
        <w:sectPr w:rsidR="008C0885" w:rsidRPr="00313596" w:rsidSect="00D52575">
          <w:endnotePr>
            <w:numFmt w:val="decimal"/>
          </w:endnotePr>
          <w:pgSz w:w="12240" w:h="15840" w:code="1"/>
          <w:pgMar w:top="1152" w:right="1440" w:bottom="1440" w:left="1440" w:header="720" w:footer="720" w:gutter="0"/>
          <w:cols w:space="720"/>
          <w:docGrid w:linePitch="326"/>
        </w:sectPr>
      </w:pPr>
    </w:p>
    <w:bookmarkEnd w:id="391"/>
    <w:p w14:paraId="7CAD947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313596">
        <w:rPr>
          <w:rFonts w:ascii="Arial" w:hAnsi="Arial" w:cs="Arial"/>
          <w:b/>
          <w:sz w:val="22"/>
          <w:szCs w:val="22"/>
        </w:rPr>
        <w:lastRenderedPageBreak/>
        <w:t>FORMULARIO TEC-5</w:t>
      </w:r>
    </w:p>
    <w:p w14:paraId="2A25E6E9" w14:textId="77777777" w:rsidR="008C0885" w:rsidRPr="00313596" w:rsidRDefault="008C0885" w:rsidP="000C6174">
      <w:pPr>
        <w:ind w:right="-32"/>
        <w:rPr>
          <w:rFonts w:ascii="Arial" w:hAnsi="Arial" w:cs="Arial"/>
          <w:b/>
          <w:sz w:val="22"/>
          <w:szCs w:val="22"/>
          <w:lang w:val="es-HN"/>
        </w:rPr>
      </w:pPr>
    </w:p>
    <w:p w14:paraId="0B18435A" w14:textId="77777777" w:rsidR="008C0885" w:rsidRPr="00313596" w:rsidRDefault="008C0885" w:rsidP="000C6174">
      <w:pPr>
        <w:ind w:right="-32"/>
        <w:jc w:val="center"/>
        <w:rPr>
          <w:rFonts w:ascii="Arial" w:hAnsi="Arial" w:cs="Arial"/>
          <w:b/>
          <w:sz w:val="22"/>
          <w:szCs w:val="22"/>
          <w:lang w:val="es-HN"/>
        </w:rPr>
      </w:pPr>
      <w:r w:rsidRPr="00313596">
        <w:rPr>
          <w:rFonts w:ascii="Arial" w:hAnsi="Arial" w:cs="Arial"/>
          <w:b/>
          <w:sz w:val="22"/>
          <w:szCs w:val="22"/>
          <w:lang w:val="es-HN"/>
        </w:rPr>
        <w:t>Subcontratistas Especializados Previstos</w:t>
      </w:r>
    </w:p>
    <w:p w14:paraId="3CDC8AD8" w14:textId="77777777" w:rsidR="008C0885" w:rsidRPr="00313596" w:rsidRDefault="008C0885" w:rsidP="000C6174">
      <w:pPr>
        <w:ind w:right="-32"/>
        <w:jc w:val="center"/>
        <w:rPr>
          <w:rFonts w:ascii="Arial" w:hAnsi="Arial" w:cs="Arial"/>
          <w:b/>
          <w:sz w:val="22"/>
          <w:szCs w:val="22"/>
          <w:lang w:val="es-HN"/>
        </w:rPr>
      </w:pPr>
    </w:p>
    <w:p w14:paraId="73C74E51" w14:textId="77777777" w:rsidR="008C0885" w:rsidRPr="00313596" w:rsidRDefault="008C0885" w:rsidP="000C6174">
      <w:pPr>
        <w:ind w:right="-32"/>
        <w:jc w:val="center"/>
        <w:rPr>
          <w:rFonts w:ascii="Arial" w:hAnsi="Arial" w:cs="Arial"/>
          <w:b/>
          <w:sz w:val="22"/>
          <w:szCs w:val="22"/>
          <w:lang w:val="es-HN"/>
        </w:rPr>
      </w:pPr>
    </w:p>
    <w:p w14:paraId="40146F1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r w:rsidRPr="00313596">
        <w:rPr>
          <w:rFonts w:ascii="Arial" w:hAnsi="Arial" w:cs="Arial"/>
          <w:sz w:val="22"/>
          <w:szCs w:val="22"/>
          <w:lang w:val="es-HN"/>
        </w:rPr>
        <w:t>En caso de subcontrataciones especializadas, el oferente deberá llenar el siguiente formulario y anexar para cada subcontratista la información siguiente:</w:t>
      </w:r>
    </w:p>
    <w:p w14:paraId="6AF5998B" w14:textId="77777777" w:rsidR="008C0885" w:rsidRPr="00313596" w:rsidRDefault="008C0885" w:rsidP="000C6174">
      <w:pPr>
        <w:ind w:right="-32"/>
        <w:rPr>
          <w:rFonts w:ascii="Arial" w:hAnsi="Arial" w:cs="Arial"/>
          <w:sz w:val="22"/>
          <w:szCs w:val="22"/>
          <w:lang w:val="es-HN"/>
        </w:rPr>
      </w:pPr>
    </w:p>
    <w:p w14:paraId="6B105671" w14:textId="77777777" w:rsidR="008C0885" w:rsidRPr="00313596" w:rsidRDefault="008C0885" w:rsidP="000C6174">
      <w:pPr>
        <w:ind w:right="-32"/>
        <w:jc w:val="center"/>
        <w:rPr>
          <w:rFonts w:ascii="Arial" w:hAnsi="Arial" w:cs="Arial"/>
          <w:sz w:val="22"/>
          <w:szCs w:val="22"/>
          <w:lang w:val="es-H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433"/>
        <w:gridCol w:w="2696"/>
        <w:gridCol w:w="2474"/>
      </w:tblGrid>
      <w:tr w:rsidR="008C0885" w:rsidRPr="00313596" w14:paraId="24028199" w14:textId="77777777" w:rsidTr="001D62A5">
        <w:tc>
          <w:tcPr>
            <w:tcW w:w="1620" w:type="dxa"/>
            <w:shd w:val="clear" w:color="auto" w:fill="00B050"/>
            <w:vAlign w:val="center"/>
          </w:tcPr>
          <w:p w14:paraId="6CD10B15" w14:textId="77777777" w:rsidR="008C0885" w:rsidRPr="00890C5D"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890C5D">
              <w:rPr>
                <w:rFonts w:ascii="Arial" w:hAnsi="Arial" w:cs="Arial"/>
                <w:b/>
                <w:color w:val="FFFFFF" w:themeColor="background1"/>
                <w:sz w:val="22"/>
                <w:szCs w:val="22"/>
              </w:rPr>
              <w:t>Nombre del Subcontratista</w:t>
            </w:r>
          </w:p>
        </w:tc>
        <w:tc>
          <w:tcPr>
            <w:tcW w:w="2476" w:type="dxa"/>
            <w:shd w:val="clear" w:color="auto" w:fill="00B050"/>
            <w:vAlign w:val="center"/>
          </w:tcPr>
          <w:p w14:paraId="2AA32356" w14:textId="77777777" w:rsidR="008C0885" w:rsidRPr="00890C5D" w:rsidRDefault="008C0885" w:rsidP="001D62A5">
            <w:pPr>
              <w:tabs>
                <w:tab w:val="left" w:pos="8640"/>
                <w:tab w:val="left" w:pos="9360"/>
              </w:tabs>
              <w:jc w:val="center"/>
              <w:rPr>
                <w:rFonts w:ascii="Arial" w:hAnsi="Arial" w:cs="Arial"/>
                <w:b/>
                <w:color w:val="FFFFFF" w:themeColor="background1"/>
                <w:sz w:val="22"/>
                <w:szCs w:val="22"/>
              </w:rPr>
            </w:pPr>
            <w:r w:rsidRPr="00890C5D">
              <w:rPr>
                <w:rFonts w:ascii="Arial" w:hAnsi="Arial" w:cs="Arial"/>
                <w:b/>
                <w:color w:val="FFFFFF" w:themeColor="background1"/>
                <w:sz w:val="22"/>
                <w:szCs w:val="22"/>
              </w:rPr>
              <w:t>Secciones de la obra a Subcontratar</w:t>
            </w:r>
          </w:p>
        </w:tc>
        <w:tc>
          <w:tcPr>
            <w:tcW w:w="2744" w:type="dxa"/>
            <w:shd w:val="clear" w:color="auto" w:fill="00B050"/>
          </w:tcPr>
          <w:p w14:paraId="4F8F53B6" w14:textId="77777777" w:rsidR="008C0885" w:rsidRPr="00890C5D"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890C5D">
              <w:rPr>
                <w:rFonts w:ascii="Arial" w:hAnsi="Arial" w:cs="Arial"/>
                <w:b/>
                <w:color w:val="FFFFFF" w:themeColor="background1"/>
                <w:sz w:val="22"/>
                <w:szCs w:val="22"/>
              </w:rPr>
              <w:t>Dirección, física telefónica y electrónica del subcontratista</w:t>
            </w:r>
          </w:p>
        </w:tc>
        <w:tc>
          <w:tcPr>
            <w:tcW w:w="2520" w:type="dxa"/>
            <w:shd w:val="clear" w:color="auto" w:fill="00B050"/>
            <w:vAlign w:val="center"/>
          </w:tcPr>
          <w:p w14:paraId="488B532B" w14:textId="77777777" w:rsidR="008C0885" w:rsidRPr="00890C5D" w:rsidRDefault="008C0885" w:rsidP="001D62A5">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jc w:val="center"/>
              <w:rPr>
                <w:rFonts w:ascii="Arial" w:hAnsi="Arial" w:cs="Arial"/>
                <w:b/>
                <w:color w:val="FFFFFF" w:themeColor="background1"/>
                <w:sz w:val="22"/>
                <w:szCs w:val="22"/>
              </w:rPr>
            </w:pPr>
            <w:r w:rsidRPr="00890C5D">
              <w:rPr>
                <w:rFonts w:ascii="Arial" w:hAnsi="Arial" w:cs="Arial"/>
                <w:b/>
                <w:color w:val="FFFFFF" w:themeColor="background1"/>
                <w:sz w:val="22"/>
                <w:szCs w:val="22"/>
              </w:rPr>
              <w:t>Porcentaje a subcontratar</w:t>
            </w:r>
          </w:p>
        </w:tc>
      </w:tr>
      <w:tr w:rsidR="008C0885" w:rsidRPr="00313596" w14:paraId="62935F6C" w14:textId="77777777" w:rsidTr="001112A7">
        <w:trPr>
          <w:trHeight w:val="1089"/>
        </w:trPr>
        <w:tc>
          <w:tcPr>
            <w:tcW w:w="1620" w:type="dxa"/>
          </w:tcPr>
          <w:p w14:paraId="0F32906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476" w:type="dxa"/>
          </w:tcPr>
          <w:p w14:paraId="21DB177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744" w:type="dxa"/>
          </w:tcPr>
          <w:p w14:paraId="6D1EF0D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c>
          <w:tcPr>
            <w:tcW w:w="2520" w:type="dxa"/>
          </w:tcPr>
          <w:p w14:paraId="570B2B92" w14:textId="77777777" w:rsidR="008C0885" w:rsidRPr="00313596" w:rsidRDefault="008C0885" w:rsidP="000C6174">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b/>
                <w:sz w:val="22"/>
                <w:szCs w:val="22"/>
              </w:rPr>
            </w:pPr>
          </w:p>
        </w:tc>
      </w:tr>
      <w:tr w:rsidR="008C0885" w:rsidRPr="00313596" w14:paraId="7B44BD74" w14:textId="77777777" w:rsidTr="001112A7">
        <w:trPr>
          <w:trHeight w:val="1402"/>
        </w:trPr>
        <w:tc>
          <w:tcPr>
            <w:tcW w:w="1620" w:type="dxa"/>
          </w:tcPr>
          <w:p w14:paraId="4AC094D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476" w:type="dxa"/>
          </w:tcPr>
          <w:p w14:paraId="591AD77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744" w:type="dxa"/>
          </w:tcPr>
          <w:p w14:paraId="75C7F3F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20" w:type="dxa"/>
          </w:tcPr>
          <w:p w14:paraId="12E877B3" w14:textId="77777777" w:rsidR="008C0885" w:rsidRPr="00313596"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r w:rsidR="008C0885" w:rsidRPr="00313596" w14:paraId="7B39CF7B" w14:textId="77777777" w:rsidTr="001112A7">
        <w:trPr>
          <w:trHeight w:val="1563"/>
        </w:trPr>
        <w:tc>
          <w:tcPr>
            <w:tcW w:w="1620" w:type="dxa"/>
          </w:tcPr>
          <w:p w14:paraId="17250A8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476" w:type="dxa"/>
          </w:tcPr>
          <w:p w14:paraId="03116211"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744" w:type="dxa"/>
          </w:tcPr>
          <w:p w14:paraId="4CEBE02B" w14:textId="77777777" w:rsidR="008C0885" w:rsidRPr="00313596" w:rsidRDefault="008C0885" w:rsidP="000C6174">
            <w:pPr>
              <w:tabs>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c>
          <w:tcPr>
            <w:tcW w:w="2520" w:type="dxa"/>
          </w:tcPr>
          <w:p w14:paraId="1003C218" w14:textId="77777777" w:rsidR="008C0885" w:rsidRPr="00313596" w:rsidRDefault="008C0885" w:rsidP="000C6174">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cs="Arial"/>
                <w:sz w:val="22"/>
                <w:szCs w:val="22"/>
              </w:rPr>
            </w:pPr>
          </w:p>
        </w:tc>
      </w:tr>
    </w:tbl>
    <w:p w14:paraId="73D9ADCC" w14:textId="77777777" w:rsidR="008C0885" w:rsidRPr="00313596" w:rsidRDefault="008C0885" w:rsidP="000C6174">
      <w:pPr>
        <w:ind w:right="-32"/>
        <w:rPr>
          <w:rFonts w:ascii="Arial" w:hAnsi="Arial" w:cs="Arial"/>
          <w:sz w:val="22"/>
          <w:szCs w:val="22"/>
          <w:lang w:val="es-HN"/>
        </w:rPr>
      </w:pPr>
    </w:p>
    <w:p w14:paraId="00ED5EB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313596">
        <w:rPr>
          <w:rFonts w:ascii="Arial" w:hAnsi="Arial" w:cs="Arial"/>
          <w:b/>
          <w:sz w:val="22"/>
          <w:szCs w:val="22"/>
        </w:rPr>
        <w:t>Subcontratista</w:t>
      </w:r>
    </w:p>
    <w:p w14:paraId="2D57C38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 w:val="22"/>
          <w:szCs w:val="22"/>
        </w:rPr>
      </w:pPr>
      <w:r w:rsidRPr="00313596">
        <w:rPr>
          <w:rFonts w:ascii="Arial" w:hAnsi="Arial" w:cs="Arial"/>
          <w:b/>
          <w:sz w:val="22"/>
          <w:szCs w:val="22"/>
        </w:rPr>
        <w:t xml:space="preserve">Nombre: </w:t>
      </w:r>
      <w:r w:rsidRPr="00313596">
        <w:rPr>
          <w:rFonts w:ascii="Arial" w:hAnsi="Arial" w:cs="Arial"/>
          <w:b/>
          <w:sz w:val="22"/>
          <w:szCs w:val="22"/>
        </w:rPr>
        <w:tab/>
      </w:r>
      <w:r w:rsidRPr="00313596">
        <w:rPr>
          <w:rFonts w:ascii="Arial" w:hAnsi="Arial" w:cs="Arial"/>
          <w:i/>
          <w:color w:val="FF0000"/>
          <w:sz w:val="22"/>
          <w:szCs w:val="22"/>
        </w:rPr>
        <w:t>(indicar el nombre completo del representante del subcontratista)</w:t>
      </w:r>
    </w:p>
    <w:p w14:paraId="1AF540EE"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313596">
        <w:rPr>
          <w:rFonts w:ascii="Arial" w:hAnsi="Arial" w:cs="Arial"/>
          <w:b/>
          <w:sz w:val="22"/>
          <w:szCs w:val="22"/>
        </w:rPr>
        <w:t>Firma</w:t>
      </w:r>
      <w:r w:rsidRPr="00313596">
        <w:rPr>
          <w:rFonts w:ascii="Arial" w:hAnsi="Arial" w:cs="Arial"/>
          <w:i/>
          <w:sz w:val="22"/>
          <w:szCs w:val="22"/>
        </w:rPr>
        <w:t>:</w:t>
      </w:r>
      <w:r w:rsidRPr="00313596">
        <w:rPr>
          <w:rFonts w:ascii="Arial" w:hAnsi="Arial" w:cs="Arial"/>
          <w:i/>
          <w:sz w:val="22"/>
          <w:szCs w:val="22"/>
        </w:rPr>
        <w:tab/>
      </w:r>
      <w:r w:rsidRPr="00313596">
        <w:rPr>
          <w:rFonts w:ascii="Arial" w:hAnsi="Arial" w:cs="Arial"/>
          <w:i/>
          <w:sz w:val="22"/>
          <w:szCs w:val="22"/>
        </w:rPr>
        <w:tab/>
      </w:r>
      <w:r w:rsidRPr="00313596">
        <w:rPr>
          <w:rFonts w:ascii="Arial" w:hAnsi="Arial" w:cs="Arial"/>
          <w:i/>
          <w:color w:val="FF0000"/>
          <w:sz w:val="22"/>
          <w:szCs w:val="22"/>
        </w:rPr>
        <w:t>(firma de la persona cuyo nombre y cargo aparecen arriba indicados)</w:t>
      </w:r>
    </w:p>
    <w:p w14:paraId="4DC8A77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p>
    <w:p w14:paraId="25CE515F"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313596">
        <w:rPr>
          <w:rFonts w:ascii="Arial" w:hAnsi="Arial" w:cs="Arial"/>
          <w:b/>
          <w:sz w:val="22"/>
          <w:szCs w:val="22"/>
        </w:rPr>
        <w:t>Oferente</w:t>
      </w:r>
      <w:r w:rsidRPr="00313596">
        <w:rPr>
          <w:rFonts w:ascii="Arial" w:hAnsi="Arial" w:cs="Arial"/>
          <w:i/>
          <w:sz w:val="22"/>
          <w:szCs w:val="22"/>
        </w:rPr>
        <w:t xml:space="preserve">: </w:t>
      </w:r>
    </w:p>
    <w:p w14:paraId="77147B5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313596">
        <w:rPr>
          <w:rFonts w:ascii="Arial" w:hAnsi="Arial" w:cs="Arial"/>
          <w:b/>
          <w:sz w:val="22"/>
          <w:szCs w:val="22"/>
        </w:rPr>
        <w:t xml:space="preserve">Nombre: </w:t>
      </w:r>
      <w:r w:rsidRPr="00313596">
        <w:rPr>
          <w:rFonts w:ascii="Arial" w:hAnsi="Arial" w:cs="Arial"/>
          <w:b/>
          <w:sz w:val="22"/>
          <w:szCs w:val="22"/>
        </w:rPr>
        <w:tab/>
      </w:r>
      <w:r w:rsidRPr="00313596">
        <w:rPr>
          <w:rFonts w:ascii="Arial" w:hAnsi="Arial" w:cs="Arial"/>
          <w:i/>
          <w:color w:val="FF0000"/>
          <w:sz w:val="22"/>
          <w:szCs w:val="22"/>
        </w:rPr>
        <w:t>(indicar el nombre completo de la persona que firma la oferta)</w:t>
      </w:r>
    </w:p>
    <w:p w14:paraId="67CC533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 w:val="22"/>
          <w:szCs w:val="22"/>
        </w:rPr>
      </w:pPr>
      <w:r w:rsidRPr="00313596">
        <w:rPr>
          <w:rFonts w:ascii="Arial" w:hAnsi="Arial" w:cs="Arial"/>
          <w:b/>
          <w:sz w:val="22"/>
          <w:szCs w:val="22"/>
        </w:rPr>
        <w:t>Cargo</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(del firmante)</w:t>
      </w:r>
      <w:r w:rsidRPr="00313596">
        <w:rPr>
          <w:rFonts w:ascii="Arial" w:hAnsi="Arial" w:cs="Arial"/>
          <w:b/>
          <w:sz w:val="22"/>
          <w:szCs w:val="22"/>
        </w:rPr>
        <w:t xml:space="preserve"> </w:t>
      </w:r>
    </w:p>
    <w:p w14:paraId="24A0DE50"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color w:val="FF0000"/>
          <w:sz w:val="22"/>
          <w:szCs w:val="22"/>
        </w:rPr>
      </w:pPr>
      <w:r w:rsidRPr="00313596">
        <w:rPr>
          <w:rFonts w:ascii="Arial" w:hAnsi="Arial" w:cs="Arial"/>
          <w:b/>
          <w:sz w:val="22"/>
          <w:szCs w:val="22"/>
        </w:rPr>
        <w:t xml:space="preserve">Firma: </w:t>
      </w:r>
      <w:r w:rsidRPr="00313596">
        <w:rPr>
          <w:rFonts w:ascii="Arial" w:hAnsi="Arial" w:cs="Arial"/>
          <w:b/>
          <w:sz w:val="22"/>
          <w:szCs w:val="22"/>
        </w:rPr>
        <w:tab/>
      </w:r>
      <w:r w:rsidRPr="00313596">
        <w:rPr>
          <w:rFonts w:ascii="Arial" w:hAnsi="Arial" w:cs="Arial"/>
          <w:i/>
          <w:color w:val="FF0000"/>
          <w:sz w:val="22"/>
          <w:szCs w:val="22"/>
        </w:rPr>
        <w:t>(firma de la persona que firma la oferta)</w:t>
      </w:r>
    </w:p>
    <w:p w14:paraId="4A7D768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i/>
          <w:sz w:val="22"/>
          <w:szCs w:val="22"/>
        </w:rPr>
      </w:pPr>
      <w:r w:rsidRPr="00313596">
        <w:rPr>
          <w:rFonts w:ascii="Arial" w:hAnsi="Arial" w:cs="Arial"/>
          <w:b/>
          <w:sz w:val="22"/>
          <w:szCs w:val="22"/>
        </w:rPr>
        <w:t xml:space="preserve">Fecha: </w:t>
      </w:r>
      <w:r w:rsidRPr="00313596">
        <w:rPr>
          <w:rFonts w:ascii="Arial" w:hAnsi="Arial" w:cs="Arial"/>
          <w:b/>
          <w:sz w:val="22"/>
          <w:szCs w:val="22"/>
        </w:rPr>
        <w:tab/>
      </w:r>
      <w:r w:rsidRPr="00313596">
        <w:rPr>
          <w:rFonts w:ascii="Arial" w:hAnsi="Arial" w:cs="Arial"/>
          <w:i/>
          <w:color w:val="FF0000"/>
          <w:sz w:val="22"/>
          <w:szCs w:val="22"/>
        </w:rPr>
        <w:t>(día, mes y año en que se firma la oferta)</w:t>
      </w:r>
    </w:p>
    <w:p w14:paraId="4A39269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D8A008B" w14:textId="77777777" w:rsidR="0006771D" w:rsidRPr="00313596" w:rsidRDefault="0006771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24382E1" w14:textId="77777777" w:rsidR="008C0885"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7300B5EC" w14:textId="77777777" w:rsidR="00890C5D"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7D5003D0" w14:textId="77777777" w:rsidR="00890C5D" w:rsidRPr="00313596" w:rsidRDefault="00890C5D"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01AF34AF" w14:textId="77777777" w:rsidR="008C0885" w:rsidRPr="00313596" w:rsidRDefault="008C0885" w:rsidP="000C6174">
      <w:pPr>
        <w:jc w:val="left"/>
        <w:rPr>
          <w:rFonts w:ascii="Arial" w:hAnsi="Arial" w:cs="Arial"/>
          <w:b/>
          <w:sz w:val="22"/>
          <w:szCs w:val="22"/>
        </w:rPr>
      </w:pPr>
      <w:r w:rsidRPr="00313596">
        <w:rPr>
          <w:rFonts w:ascii="Arial" w:hAnsi="Arial" w:cs="Arial"/>
          <w:b/>
          <w:sz w:val="22"/>
          <w:szCs w:val="22"/>
        </w:rPr>
        <w:lastRenderedPageBreak/>
        <w:t>FORMULARIO TEC-6</w:t>
      </w:r>
    </w:p>
    <w:p w14:paraId="3984C344"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3543C932" w14:textId="77777777" w:rsidR="008C0885" w:rsidRPr="00313596" w:rsidRDefault="008C0885" w:rsidP="000C6174">
      <w:pPr>
        <w:pStyle w:val="i"/>
        <w:jc w:val="center"/>
        <w:rPr>
          <w:rFonts w:ascii="Arial" w:hAnsi="Arial" w:cs="Arial"/>
          <w:b/>
          <w:sz w:val="22"/>
          <w:szCs w:val="22"/>
          <w:lang w:val="es-HN"/>
        </w:rPr>
      </w:pPr>
      <w:r w:rsidRPr="00313596">
        <w:rPr>
          <w:rFonts w:ascii="Arial" w:hAnsi="Arial" w:cs="Arial"/>
          <w:b/>
          <w:sz w:val="22"/>
          <w:szCs w:val="22"/>
          <w:lang w:val="es-HN"/>
        </w:rPr>
        <w:t>Organización del lugar de las obras</w:t>
      </w:r>
    </w:p>
    <w:p w14:paraId="048A4435"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2"/>
          <w:szCs w:val="22"/>
          <w:lang w:val="es-HN"/>
        </w:rPr>
      </w:pPr>
    </w:p>
    <w:p w14:paraId="47674BD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0D565D9" w14:textId="77777777" w:rsidR="008C0885" w:rsidRPr="009D5C6A" w:rsidRDefault="008C0885" w:rsidP="000C6174">
      <w:pPr>
        <w:pStyle w:val="i"/>
        <w:rPr>
          <w:rFonts w:ascii="Arial" w:hAnsi="Arial" w:cs="Arial"/>
          <w:i/>
          <w:color w:val="FF0000"/>
          <w:sz w:val="22"/>
          <w:szCs w:val="22"/>
        </w:rPr>
      </w:pPr>
      <w:r w:rsidRPr="009D5C6A">
        <w:rPr>
          <w:rFonts w:ascii="Arial" w:hAnsi="Arial" w:cs="Arial"/>
          <w:i/>
          <w:color w:val="FF0000"/>
          <w:sz w:val="22"/>
          <w:szCs w:val="22"/>
        </w:rPr>
        <w:t>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w:t>
      </w:r>
    </w:p>
    <w:p w14:paraId="75B12180" w14:textId="77777777" w:rsidR="008C0885" w:rsidRPr="009D5C6A" w:rsidRDefault="008C0885" w:rsidP="000C6174">
      <w:pPr>
        <w:pStyle w:val="i"/>
        <w:rPr>
          <w:rFonts w:ascii="Arial" w:hAnsi="Arial" w:cs="Arial"/>
          <w:i/>
          <w:color w:val="FF0000"/>
          <w:sz w:val="22"/>
          <w:szCs w:val="22"/>
        </w:rPr>
      </w:pPr>
    </w:p>
    <w:p w14:paraId="275F2C61" w14:textId="77777777" w:rsidR="008C0885" w:rsidRPr="009D5C6A" w:rsidRDefault="008C0885" w:rsidP="000C6174">
      <w:pPr>
        <w:pStyle w:val="HTMLconformatoprevio"/>
        <w:shd w:val="clear" w:color="auto" w:fill="FFFFFF"/>
        <w:spacing w:before="120" w:after="120"/>
        <w:jc w:val="both"/>
        <w:rPr>
          <w:rFonts w:ascii="Arial" w:hAnsi="Arial" w:cs="Arial"/>
          <w:i/>
          <w:color w:val="FF0000"/>
          <w:sz w:val="22"/>
          <w:szCs w:val="22"/>
          <w:lang w:val="es-ES"/>
        </w:rPr>
      </w:pPr>
      <w:r w:rsidRPr="009D5C6A">
        <w:rPr>
          <w:rFonts w:ascii="Arial" w:hAnsi="Arial" w:cs="Arial"/>
          <w:i/>
          <w:color w:val="FF0000"/>
          <w:sz w:val="22"/>
          <w:szCs w:val="22"/>
          <w:lang w:val="es-ES"/>
        </w:rPr>
        <w:t>El contratante deberá listar el contenido esperado, a manera de referencia se lista ejemplos de contenido</w:t>
      </w:r>
    </w:p>
    <w:p w14:paraId="093648E7" w14:textId="77777777" w:rsidR="008C0885" w:rsidRPr="009D5C6A" w:rsidRDefault="008C0885" w:rsidP="000C6174">
      <w:pPr>
        <w:pStyle w:val="i"/>
        <w:rPr>
          <w:rFonts w:ascii="Arial" w:hAnsi="Arial" w:cs="Arial"/>
          <w:i/>
          <w:color w:val="FF0000"/>
          <w:sz w:val="22"/>
          <w:szCs w:val="22"/>
        </w:rPr>
      </w:pPr>
    </w:p>
    <w:p w14:paraId="02977A39" w14:textId="77777777" w:rsidR="008C0885" w:rsidRPr="009D5C6A" w:rsidRDefault="008C0885" w:rsidP="000C6174">
      <w:pPr>
        <w:pStyle w:val="i"/>
        <w:rPr>
          <w:rFonts w:ascii="Arial" w:hAnsi="Arial" w:cs="Arial"/>
          <w:i/>
          <w:color w:val="FF0000"/>
          <w:sz w:val="22"/>
          <w:szCs w:val="22"/>
        </w:rPr>
      </w:pPr>
      <w:r w:rsidRPr="009D5C6A">
        <w:rPr>
          <w:rFonts w:ascii="Arial" w:hAnsi="Arial" w:cs="Arial"/>
          <w:b/>
          <w:i/>
          <w:color w:val="FF0000"/>
          <w:sz w:val="22"/>
          <w:szCs w:val="22"/>
        </w:rPr>
        <w:t>A. Organización Técnica</w:t>
      </w:r>
      <w:r w:rsidRPr="009D5C6A">
        <w:rPr>
          <w:rFonts w:ascii="Arial" w:hAnsi="Arial" w:cs="Arial"/>
          <w:i/>
          <w:color w:val="FF0000"/>
          <w:sz w:val="22"/>
          <w:szCs w:val="22"/>
        </w:rPr>
        <w:t>: Deberá presentar un organigrama en el cual se indiquen los niveles de mando en el equipo y la relación con Prestatario/Beneficiario,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directamente relacionada con la información proporcionada en el formulario TEC-4.</w:t>
      </w:r>
    </w:p>
    <w:p w14:paraId="083887F2" w14:textId="77777777" w:rsidR="008C0885" w:rsidRPr="009D5C6A" w:rsidRDefault="008C0885" w:rsidP="000C6174">
      <w:pPr>
        <w:pStyle w:val="i"/>
        <w:rPr>
          <w:rFonts w:ascii="Arial" w:hAnsi="Arial" w:cs="Arial"/>
          <w:i/>
          <w:color w:val="FF0000"/>
          <w:sz w:val="22"/>
          <w:szCs w:val="22"/>
        </w:rPr>
      </w:pPr>
    </w:p>
    <w:p w14:paraId="7BC3FAF9" w14:textId="77777777" w:rsidR="008C0885" w:rsidRPr="00313596" w:rsidRDefault="008C0885" w:rsidP="000C6174">
      <w:pPr>
        <w:pStyle w:val="i"/>
        <w:rPr>
          <w:rFonts w:ascii="Arial" w:hAnsi="Arial" w:cs="Arial"/>
          <w:i/>
          <w:color w:val="FF0000"/>
          <w:sz w:val="22"/>
          <w:szCs w:val="22"/>
        </w:rPr>
      </w:pPr>
      <w:r w:rsidRPr="009D5C6A">
        <w:rPr>
          <w:rFonts w:ascii="Arial" w:hAnsi="Arial" w:cs="Arial"/>
          <w:b/>
          <w:i/>
          <w:color w:val="FF0000"/>
          <w:sz w:val="22"/>
          <w:szCs w:val="22"/>
        </w:rPr>
        <w:t>B. Organización Administrativa</w:t>
      </w:r>
      <w:r w:rsidRPr="009D5C6A">
        <w:rPr>
          <w:rFonts w:ascii="Arial" w:hAnsi="Arial" w:cs="Arial"/>
          <w:i/>
          <w:color w:val="FF0000"/>
          <w:sz w:val="22"/>
          <w:szCs w:val="22"/>
        </w:rPr>
        <w:t>: Deberá presentar un organigrama en el cual se indiquen los niveles de mando para coordinar el trabajo administrativo y su relación con el Prestatario/Beneficiario, así como su apoyo al grupo de especialistas y técnicos que estarán directamente en los trabajos de construcción, se debe describir las actividades y/o tareas a ejecutar en cada uno de los niveles.</w:t>
      </w:r>
    </w:p>
    <w:p w14:paraId="28800BCC" w14:textId="77777777" w:rsidR="008C0885" w:rsidRPr="00313596" w:rsidRDefault="008C0885" w:rsidP="000C6174">
      <w:pPr>
        <w:pStyle w:val="i"/>
        <w:rPr>
          <w:rFonts w:ascii="Arial" w:hAnsi="Arial" w:cs="Arial"/>
          <w:sz w:val="22"/>
          <w:szCs w:val="22"/>
        </w:rPr>
      </w:pPr>
    </w:p>
    <w:p w14:paraId="53516AA6" w14:textId="77777777" w:rsidR="008C0885" w:rsidRPr="00313596" w:rsidRDefault="008C0885" w:rsidP="000C6174">
      <w:pPr>
        <w:jc w:val="left"/>
        <w:rPr>
          <w:rFonts w:ascii="Arial" w:hAnsi="Arial" w:cs="Arial"/>
          <w:b/>
          <w:sz w:val="22"/>
          <w:szCs w:val="22"/>
        </w:rPr>
      </w:pPr>
    </w:p>
    <w:p w14:paraId="75753E77" w14:textId="77777777" w:rsidR="008C0885" w:rsidRPr="00313596" w:rsidRDefault="008C0885" w:rsidP="000C6174">
      <w:pPr>
        <w:jc w:val="left"/>
        <w:rPr>
          <w:rFonts w:ascii="Arial" w:hAnsi="Arial" w:cs="Arial"/>
          <w:i/>
          <w:sz w:val="22"/>
          <w:szCs w:val="22"/>
        </w:rPr>
      </w:pPr>
      <w:r w:rsidRPr="00313596">
        <w:rPr>
          <w:rFonts w:ascii="Arial" w:hAnsi="Arial" w:cs="Arial"/>
          <w:b/>
          <w:sz w:val="22"/>
          <w:szCs w:val="22"/>
        </w:rPr>
        <w:t>Oferente</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(indicar nombre completo del oferente)</w:t>
      </w:r>
    </w:p>
    <w:p w14:paraId="2DEA451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0F69E99D"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 w:val="22"/>
          <w:szCs w:val="22"/>
        </w:rPr>
      </w:pPr>
      <w:r w:rsidRPr="00313596">
        <w:rPr>
          <w:rFonts w:ascii="Arial" w:hAnsi="Arial" w:cs="Arial"/>
          <w:b/>
          <w:sz w:val="22"/>
          <w:szCs w:val="22"/>
        </w:rPr>
        <w:t xml:space="preserve">Nombre: </w:t>
      </w:r>
      <w:r w:rsidRPr="00313596">
        <w:rPr>
          <w:rFonts w:ascii="Arial" w:hAnsi="Arial" w:cs="Arial"/>
          <w:b/>
          <w:sz w:val="22"/>
          <w:szCs w:val="22"/>
        </w:rPr>
        <w:tab/>
      </w:r>
      <w:r w:rsidRPr="00313596">
        <w:rPr>
          <w:rFonts w:ascii="Arial" w:hAnsi="Arial" w:cs="Arial"/>
          <w:color w:val="FF0000"/>
          <w:sz w:val="22"/>
          <w:szCs w:val="22"/>
        </w:rPr>
        <w:t>(indicar el nombre completo de la persona que firma la propuesta)</w:t>
      </w:r>
    </w:p>
    <w:p w14:paraId="6D33E67A"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 w:val="22"/>
          <w:szCs w:val="22"/>
        </w:rPr>
      </w:pPr>
    </w:p>
    <w:p w14:paraId="7B1DCA3B"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b/>
          <w:sz w:val="22"/>
          <w:szCs w:val="22"/>
        </w:rPr>
        <w:t>Cargo</w:t>
      </w:r>
      <w:r w:rsidRPr="00313596">
        <w:rPr>
          <w:rFonts w:ascii="Arial" w:hAnsi="Arial" w:cs="Arial"/>
          <w:i/>
          <w:sz w:val="22"/>
          <w:szCs w:val="22"/>
        </w:rPr>
        <w:t xml:space="preserve">: </w:t>
      </w:r>
      <w:r w:rsidRPr="00313596">
        <w:rPr>
          <w:rFonts w:ascii="Arial" w:hAnsi="Arial" w:cs="Arial"/>
          <w:i/>
          <w:sz w:val="22"/>
          <w:szCs w:val="22"/>
        </w:rPr>
        <w:tab/>
      </w:r>
      <w:r w:rsidRPr="00313596">
        <w:rPr>
          <w:rFonts w:ascii="Arial" w:hAnsi="Arial" w:cs="Arial"/>
          <w:i/>
          <w:color w:val="FF0000"/>
          <w:sz w:val="22"/>
          <w:szCs w:val="22"/>
        </w:rPr>
        <w:t>(del firmante)</w:t>
      </w:r>
    </w:p>
    <w:p w14:paraId="40E439A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 w:val="22"/>
          <w:szCs w:val="22"/>
        </w:rPr>
      </w:pPr>
    </w:p>
    <w:p w14:paraId="0E83F3F7"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b/>
          <w:sz w:val="22"/>
          <w:szCs w:val="22"/>
        </w:rPr>
        <w:t>Firma</w:t>
      </w:r>
      <w:r w:rsidRPr="00313596">
        <w:rPr>
          <w:rFonts w:ascii="Arial" w:hAnsi="Arial" w:cs="Arial"/>
          <w:i/>
          <w:sz w:val="22"/>
          <w:szCs w:val="22"/>
        </w:rPr>
        <w:t>:</w:t>
      </w:r>
      <w:r w:rsidRPr="00313596">
        <w:rPr>
          <w:rFonts w:ascii="Arial" w:hAnsi="Arial" w:cs="Arial"/>
          <w:i/>
          <w:sz w:val="22"/>
          <w:szCs w:val="22"/>
        </w:rPr>
        <w:tab/>
      </w:r>
      <w:r w:rsidRPr="00313596">
        <w:rPr>
          <w:rFonts w:ascii="Arial" w:hAnsi="Arial" w:cs="Arial"/>
          <w:i/>
          <w:sz w:val="22"/>
          <w:szCs w:val="22"/>
        </w:rPr>
        <w:tab/>
      </w:r>
      <w:r w:rsidRPr="00313596">
        <w:rPr>
          <w:rFonts w:ascii="Arial" w:hAnsi="Arial" w:cs="Arial"/>
          <w:i/>
          <w:color w:val="FF0000"/>
          <w:sz w:val="22"/>
          <w:szCs w:val="22"/>
        </w:rPr>
        <w:t>(firma de la persona cuyo nombre y cargo aparecen arriba indicados)</w:t>
      </w:r>
    </w:p>
    <w:p w14:paraId="773304B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i/>
          <w:sz w:val="22"/>
          <w:szCs w:val="22"/>
        </w:rPr>
      </w:pPr>
    </w:p>
    <w:p w14:paraId="7B491DA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 w:val="22"/>
          <w:szCs w:val="22"/>
        </w:rPr>
      </w:pPr>
      <w:r w:rsidRPr="00313596">
        <w:rPr>
          <w:rFonts w:ascii="Arial" w:hAnsi="Arial" w:cs="Arial"/>
          <w:b/>
          <w:sz w:val="22"/>
          <w:szCs w:val="22"/>
        </w:rPr>
        <w:t xml:space="preserve">Fecha: </w:t>
      </w:r>
      <w:r w:rsidRPr="00313596">
        <w:rPr>
          <w:rFonts w:ascii="Arial" w:hAnsi="Arial" w:cs="Arial"/>
          <w:b/>
          <w:sz w:val="22"/>
          <w:szCs w:val="22"/>
        </w:rPr>
        <w:tab/>
      </w:r>
      <w:r w:rsidRPr="00313596">
        <w:rPr>
          <w:rFonts w:ascii="Arial" w:hAnsi="Arial" w:cs="Arial"/>
          <w:i/>
          <w:color w:val="FF0000"/>
          <w:sz w:val="22"/>
          <w:szCs w:val="22"/>
        </w:rPr>
        <w:t>(día, mes y año en que se firma la propuesta)</w:t>
      </w:r>
    </w:p>
    <w:p w14:paraId="3F04420D" w14:textId="77777777" w:rsidR="008C0885" w:rsidRPr="00313596" w:rsidRDefault="008C0885">
      <w:pPr>
        <w:jc w:val="left"/>
        <w:rPr>
          <w:rFonts w:ascii="Arial" w:hAnsi="Arial" w:cs="Arial"/>
          <w:b/>
          <w:sz w:val="22"/>
          <w:szCs w:val="22"/>
        </w:rPr>
      </w:pPr>
      <w:r w:rsidRPr="00313596">
        <w:rPr>
          <w:rFonts w:ascii="Arial" w:hAnsi="Arial" w:cs="Arial"/>
          <w:b/>
          <w:sz w:val="22"/>
          <w:szCs w:val="22"/>
        </w:rPr>
        <w:br w:type="page"/>
      </w:r>
    </w:p>
    <w:p w14:paraId="2166BC39"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22"/>
          <w:szCs w:val="22"/>
        </w:rPr>
      </w:pPr>
    </w:p>
    <w:p w14:paraId="7D4FA5D4" w14:textId="77777777" w:rsidR="008C0885" w:rsidRPr="00313596" w:rsidRDefault="008C0885" w:rsidP="000C6174">
      <w:pPr>
        <w:jc w:val="left"/>
        <w:rPr>
          <w:rFonts w:ascii="Arial" w:hAnsi="Arial" w:cs="Arial"/>
          <w:b/>
          <w:sz w:val="22"/>
          <w:szCs w:val="22"/>
        </w:rPr>
      </w:pPr>
      <w:r w:rsidRPr="00313596">
        <w:rPr>
          <w:rFonts w:ascii="Arial" w:hAnsi="Arial" w:cs="Arial"/>
          <w:b/>
          <w:sz w:val="22"/>
          <w:szCs w:val="22"/>
        </w:rPr>
        <w:t>FORMULARIO TEC-7</w:t>
      </w:r>
    </w:p>
    <w:p w14:paraId="7399AF06"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9DC6081" w14:textId="77777777" w:rsidR="008C0885" w:rsidRPr="00313596" w:rsidRDefault="008C0885" w:rsidP="000C6174">
      <w:pPr>
        <w:pStyle w:val="i"/>
        <w:jc w:val="center"/>
        <w:rPr>
          <w:rFonts w:ascii="Arial" w:hAnsi="Arial" w:cs="Arial"/>
          <w:b/>
          <w:sz w:val="22"/>
          <w:szCs w:val="22"/>
          <w:lang w:val="es-HN"/>
        </w:rPr>
      </w:pPr>
      <w:r w:rsidRPr="00313596">
        <w:rPr>
          <w:rFonts w:ascii="Arial" w:hAnsi="Arial" w:cs="Arial"/>
          <w:b/>
          <w:sz w:val="22"/>
          <w:szCs w:val="22"/>
          <w:lang w:val="es-HN"/>
        </w:rPr>
        <w:t>Métodos Constructivos de Actividades Clave</w:t>
      </w:r>
    </w:p>
    <w:p w14:paraId="466F2149" w14:textId="77777777" w:rsidR="008C0885" w:rsidRPr="00313596" w:rsidRDefault="008C0885" w:rsidP="000C6174">
      <w:pPr>
        <w:pStyle w:val="HTMLconformatoprevio"/>
        <w:shd w:val="clear" w:color="auto" w:fill="FFFFFF"/>
        <w:spacing w:before="120" w:after="120"/>
        <w:jc w:val="both"/>
        <w:rPr>
          <w:rFonts w:ascii="Arial" w:hAnsi="Arial" w:cs="Arial"/>
          <w:iCs/>
          <w:sz w:val="22"/>
          <w:szCs w:val="22"/>
          <w:lang w:val="es-ES"/>
        </w:rPr>
      </w:pPr>
      <w:r w:rsidRPr="00313596">
        <w:rPr>
          <w:rFonts w:ascii="Arial" w:hAnsi="Arial" w:cs="Arial"/>
          <w:iCs/>
          <w:sz w:val="22"/>
          <w:szCs w:val="22"/>
          <w:lang w:val="es-ES"/>
        </w:rPr>
        <w:t xml:space="preserve">El oferente proporcionará explicaciones del método constructivo usado en las siguientes actividades claves de las obras. Cada explicación de método describirá el enfoque propuesto para la construcción de la actividad, el nivel de dotación de personal y su experiencia, el sistema de trabajo seguro y los equipos a utilizar de conformidad con los Requisitos del Contratante. </w:t>
      </w:r>
    </w:p>
    <w:p w14:paraId="305CC0FE" w14:textId="77777777" w:rsidR="008C0885" w:rsidRPr="00313596" w:rsidRDefault="008C0885" w:rsidP="000C6174">
      <w:pPr>
        <w:pStyle w:val="HTMLconformatoprevio"/>
        <w:shd w:val="clear" w:color="auto" w:fill="FFFFFF"/>
        <w:spacing w:before="120" w:after="120"/>
        <w:jc w:val="both"/>
        <w:rPr>
          <w:rFonts w:ascii="Arial" w:hAnsi="Arial" w:cs="Arial"/>
          <w:i/>
          <w:color w:val="FF0000"/>
          <w:sz w:val="22"/>
          <w:szCs w:val="22"/>
          <w:lang w:val="es-ES"/>
        </w:rPr>
      </w:pPr>
      <w:r w:rsidRPr="00313596">
        <w:rPr>
          <w:rFonts w:ascii="Arial" w:hAnsi="Arial" w:cs="Arial"/>
          <w:i/>
          <w:color w:val="FF0000"/>
          <w:sz w:val="22"/>
          <w:szCs w:val="22"/>
          <w:lang w:val="es-ES"/>
        </w:rPr>
        <w:t>(El Contratante deberá identificar las actividades clave de construcción relacionadas con el contrato.)</w:t>
      </w:r>
    </w:p>
    <w:p w14:paraId="71649115" w14:textId="77777777" w:rsidR="008C0885" w:rsidRPr="00313596" w:rsidRDefault="008C0885" w:rsidP="000C6174">
      <w:pPr>
        <w:spacing w:before="120" w:after="120"/>
        <w:rPr>
          <w:rFonts w:ascii="Arial" w:hAnsi="Arial" w:cs="Arial"/>
          <w:i/>
          <w:iCs/>
          <w:noProof/>
          <w:color w:val="FF0000"/>
          <w:sz w:val="22"/>
          <w:szCs w:val="22"/>
          <w:lang w:val="es-ES"/>
        </w:rPr>
      </w:pPr>
      <w:r w:rsidRPr="00313596">
        <w:rPr>
          <w:rFonts w:ascii="Arial" w:hAnsi="Arial" w:cs="Arial"/>
          <w:i/>
          <w:iCs/>
          <w:noProof/>
          <w:color w:val="FF0000"/>
          <w:sz w:val="22"/>
          <w:szCs w:val="22"/>
          <w:lang w:val="es-ES"/>
        </w:rPr>
        <w:t>Ejemplos:</w:t>
      </w:r>
    </w:p>
    <w:p w14:paraId="3A1ED767" w14:textId="77777777" w:rsidR="008C0885" w:rsidRPr="00313596" w:rsidRDefault="008C0885" w:rsidP="003B68DB">
      <w:pPr>
        <w:pStyle w:val="Prrafodelista"/>
        <w:numPr>
          <w:ilvl w:val="0"/>
          <w:numId w:val="68"/>
        </w:numPr>
        <w:tabs>
          <w:tab w:val="right" w:pos="4860"/>
        </w:tabs>
        <w:spacing w:before="120" w:after="120"/>
        <w:rPr>
          <w:rFonts w:ascii="Arial" w:hAnsi="Arial" w:cs="Arial"/>
          <w:i/>
          <w:iCs/>
          <w:noProof/>
          <w:color w:val="FF0000"/>
          <w:sz w:val="22"/>
          <w:szCs w:val="22"/>
          <w:lang w:val="es-ES"/>
        </w:rPr>
      </w:pPr>
      <w:r w:rsidRPr="00313596">
        <w:rPr>
          <w:rFonts w:ascii="Arial" w:hAnsi="Arial" w:cs="Arial"/>
          <w:i/>
          <w:iCs/>
          <w:noProof/>
          <w:color w:val="FF0000"/>
          <w:sz w:val="22"/>
          <w:szCs w:val="22"/>
          <w:lang w:val="es-ES"/>
        </w:rPr>
        <w:t>Excavación de fundaciones;</w:t>
      </w:r>
    </w:p>
    <w:p w14:paraId="4C3A5F29" w14:textId="77777777" w:rsidR="008C0885" w:rsidRPr="00313596" w:rsidRDefault="008C0885" w:rsidP="003B68DB">
      <w:pPr>
        <w:pStyle w:val="Prrafodelista"/>
        <w:numPr>
          <w:ilvl w:val="0"/>
          <w:numId w:val="68"/>
        </w:numPr>
        <w:tabs>
          <w:tab w:val="right" w:pos="4860"/>
        </w:tabs>
        <w:spacing w:before="120" w:after="120"/>
        <w:rPr>
          <w:rFonts w:ascii="Arial" w:hAnsi="Arial" w:cs="Arial"/>
          <w:i/>
          <w:iCs/>
          <w:noProof/>
          <w:color w:val="FF0000"/>
          <w:sz w:val="22"/>
          <w:szCs w:val="22"/>
          <w:lang w:val="es-ES"/>
        </w:rPr>
      </w:pPr>
      <w:r w:rsidRPr="00313596">
        <w:rPr>
          <w:rFonts w:ascii="Arial" w:hAnsi="Arial" w:cs="Arial"/>
          <w:i/>
          <w:iCs/>
          <w:noProof/>
          <w:color w:val="FF0000"/>
          <w:sz w:val="22"/>
          <w:szCs w:val="22"/>
          <w:lang w:val="es-ES"/>
        </w:rPr>
        <w:t xml:space="preserve">Levantamiento de estructuras metálicas; </w:t>
      </w:r>
    </w:p>
    <w:p w14:paraId="76619271" w14:textId="77777777" w:rsidR="008C0885" w:rsidRPr="00313596" w:rsidRDefault="008C0885" w:rsidP="003B68DB">
      <w:pPr>
        <w:pStyle w:val="Prrafodelista"/>
        <w:numPr>
          <w:ilvl w:val="0"/>
          <w:numId w:val="68"/>
        </w:numPr>
        <w:tabs>
          <w:tab w:val="right" w:pos="4860"/>
        </w:tabs>
        <w:spacing w:before="120" w:after="120"/>
        <w:rPr>
          <w:rFonts w:ascii="Arial" w:hAnsi="Arial" w:cs="Arial"/>
          <w:i/>
          <w:iCs/>
          <w:noProof/>
          <w:color w:val="FF0000"/>
          <w:sz w:val="22"/>
          <w:szCs w:val="22"/>
          <w:lang w:val="es-ES"/>
        </w:rPr>
      </w:pPr>
      <w:r w:rsidRPr="00313596">
        <w:rPr>
          <w:rFonts w:ascii="Arial" w:hAnsi="Arial" w:cs="Arial"/>
          <w:i/>
          <w:iCs/>
          <w:noProof/>
          <w:color w:val="FF0000"/>
          <w:sz w:val="22"/>
          <w:szCs w:val="22"/>
          <w:lang w:val="es-ES"/>
        </w:rPr>
        <w:t>Prevención de explotación sexual y abuso sexual prevention of  sexual exploitation,);</w:t>
      </w:r>
    </w:p>
    <w:p w14:paraId="183BDE22" w14:textId="77777777" w:rsidR="008C0885" w:rsidRPr="00313596" w:rsidRDefault="008C0885" w:rsidP="003B68DB">
      <w:pPr>
        <w:pStyle w:val="Prrafodelista"/>
        <w:numPr>
          <w:ilvl w:val="0"/>
          <w:numId w:val="68"/>
        </w:numPr>
        <w:spacing w:before="120" w:after="120"/>
        <w:rPr>
          <w:rFonts w:ascii="Arial" w:hAnsi="Arial" w:cs="Arial"/>
          <w:i/>
          <w:iCs/>
          <w:noProof/>
          <w:color w:val="FF0000"/>
          <w:sz w:val="22"/>
          <w:szCs w:val="22"/>
          <w:lang w:val="es-ES"/>
        </w:rPr>
      </w:pPr>
      <w:r w:rsidRPr="00313596">
        <w:rPr>
          <w:rFonts w:ascii="Arial" w:hAnsi="Arial" w:cs="Arial"/>
          <w:i/>
          <w:iCs/>
          <w:noProof/>
          <w:color w:val="FF0000"/>
          <w:sz w:val="22"/>
          <w:szCs w:val="22"/>
          <w:lang w:val="es-ES"/>
        </w:rPr>
        <w:t xml:space="preserve">Gestión de tráfico inlcuyendo el tráfico de la construcción </w:t>
      </w:r>
    </w:p>
    <w:p w14:paraId="4BC5732D" w14:textId="77777777" w:rsidR="008C0885" w:rsidRPr="00313596" w:rsidRDefault="008C0885" w:rsidP="003B68DB">
      <w:pPr>
        <w:pStyle w:val="Prrafodelista"/>
        <w:numPr>
          <w:ilvl w:val="0"/>
          <w:numId w:val="68"/>
        </w:numPr>
        <w:spacing w:before="120" w:after="120"/>
        <w:rPr>
          <w:rFonts w:ascii="Arial" w:hAnsi="Arial" w:cs="Arial"/>
          <w:i/>
          <w:iCs/>
          <w:noProof/>
          <w:color w:val="FF0000"/>
          <w:sz w:val="22"/>
          <w:szCs w:val="22"/>
          <w:lang w:val="es-ES"/>
        </w:rPr>
      </w:pPr>
      <w:r w:rsidRPr="00313596">
        <w:rPr>
          <w:rFonts w:ascii="Arial" w:hAnsi="Arial" w:cs="Arial"/>
          <w:i/>
          <w:iCs/>
          <w:noProof/>
          <w:color w:val="FF0000"/>
          <w:sz w:val="22"/>
          <w:szCs w:val="22"/>
          <w:lang w:val="es-ES"/>
        </w:rPr>
        <w:t>…</w:t>
      </w:r>
    </w:p>
    <w:p w14:paraId="70E0615B" w14:textId="77777777" w:rsidR="008C0885" w:rsidRPr="00313596" w:rsidRDefault="008C0885">
      <w:pPr>
        <w:jc w:val="left"/>
        <w:rPr>
          <w:rFonts w:ascii="Arial" w:hAnsi="Arial" w:cs="Arial"/>
          <w:i/>
          <w:color w:val="FF0000"/>
          <w:sz w:val="22"/>
          <w:szCs w:val="22"/>
          <w:lang w:val="es-ES"/>
        </w:rPr>
      </w:pPr>
      <w:r w:rsidRPr="00313596">
        <w:rPr>
          <w:rFonts w:ascii="Arial" w:hAnsi="Arial" w:cs="Arial"/>
          <w:i/>
          <w:color w:val="FF0000"/>
          <w:sz w:val="22"/>
          <w:szCs w:val="22"/>
          <w:lang w:val="es-ES"/>
        </w:rPr>
        <w:br w:type="page"/>
      </w:r>
    </w:p>
    <w:p w14:paraId="6B03E25B" w14:textId="77777777" w:rsidR="008C0885" w:rsidRPr="00313596" w:rsidRDefault="008C0885" w:rsidP="000C6174">
      <w:pPr>
        <w:jc w:val="left"/>
        <w:rPr>
          <w:rFonts w:ascii="Arial" w:hAnsi="Arial" w:cs="Arial"/>
          <w:b/>
          <w:sz w:val="22"/>
          <w:szCs w:val="22"/>
        </w:rPr>
      </w:pPr>
      <w:r w:rsidRPr="00313596">
        <w:rPr>
          <w:rFonts w:ascii="Arial" w:hAnsi="Arial" w:cs="Arial"/>
          <w:b/>
          <w:sz w:val="22"/>
          <w:szCs w:val="22"/>
        </w:rPr>
        <w:lastRenderedPageBreak/>
        <w:t>FORMULARIO TEC-8</w:t>
      </w:r>
    </w:p>
    <w:p w14:paraId="0F0FB878"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69248D5C" w14:textId="77777777" w:rsidR="008C0885" w:rsidRPr="00313596" w:rsidRDefault="008C0885" w:rsidP="000C6174">
      <w:pPr>
        <w:pStyle w:val="i"/>
        <w:jc w:val="center"/>
        <w:rPr>
          <w:rFonts w:ascii="Arial" w:hAnsi="Arial" w:cs="Arial"/>
          <w:b/>
          <w:sz w:val="22"/>
          <w:szCs w:val="22"/>
          <w:lang w:val="es-HN"/>
        </w:rPr>
      </w:pPr>
      <w:r w:rsidRPr="00313596">
        <w:rPr>
          <w:rFonts w:ascii="Arial" w:hAnsi="Arial" w:cs="Arial"/>
          <w:b/>
          <w:sz w:val="22"/>
          <w:szCs w:val="22"/>
          <w:lang w:val="es-HN"/>
        </w:rPr>
        <w:t>Cronograma de movilización</w:t>
      </w:r>
    </w:p>
    <w:p w14:paraId="3A500459" w14:textId="77777777" w:rsidR="008C0885" w:rsidRPr="00313596" w:rsidRDefault="008C0885" w:rsidP="000C6174">
      <w:pPr>
        <w:tabs>
          <w:tab w:val="left" w:pos="5238"/>
          <w:tab w:val="left" w:pos="5474"/>
          <w:tab w:val="left" w:pos="9468"/>
        </w:tabs>
        <w:spacing w:before="120" w:after="120"/>
        <w:ind w:left="-86"/>
        <w:rPr>
          <w:rFonts w:ascii="Arial" w:hAnsi="Arial" w:cs="Arial"/>
          <w:i/>
          <w:color w:val="FF0000"/>
          <w:sz w:val="22"/>
          <w:szCs w:val="22"/>
          <w:lang w:val="es-ES"/>
        </w:rPr>
      </w:pPr>
      <w:r w:rsidRPr="00313596">
        <w:rPr>
          <w:rFonts w:ascii="Arial" w:hAnsi="Arial" w:cs="Arial"/>
          <w:i/>
          <w:iCs/>
          <w:color w:val="FF0000"/>
          <w:sz w:val="22"/>
          <w:szCs w:val="22"/>
          <w:lang w:val="es-ES"/>
        </w:rPr>
        <w:t>El oferente deberá presentar su propuesta de movilización al lugar de las obras</w:t>
      </w:r>
      <w:r w:rsidRPr="00313596">
        <w:rPr>
          <w:rFonts w:ascii="Arial" w:hAnsi="Arial" w:cs="Arial"/>
          <w:i/>
          <w:color w:val="FF0000"/>
          <w:sz w:val="22"/>
          <w:szCs w:val="22"/>
          <w:lang w:val="es-ES"/>
        </w:rPr>
        <w:t xml:space="preserve"> </w:t>
      </w:r>
      <w:r w:rsidRPr="00313596">
        <w:rPr>
          <w:rFonts w:ascii="Arial" w:hAnsi="Arial" w:cs="Arial"/>
          <w:i/>
          <w:color w:val="FF0000"/>
          <w:sz w:val="22"/>
          <w:szCs w:val="22"/>
          <w:lang w:val="es-ES"/>
        </w:rPr>
        <w:br w:type="page"/>
      </w:r>
    </w:p>
    <w:p w14:paraId="2AC3A2D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313596">
        <w:rPr>
          <w:rFonts w:ascii="Arial" w:hAnsi="Arial" w:cs="Arial"/>
          <w:b/>
          <w:sz w:val="22"/>
          <w:szCs w:val="22"/>
        </w:rPr>
        <w:lastRenderedPageBreak/>
        <w:t>FORMULARIO ECO – 1</w:t>
      </w:r>
    </w:p>
    <w:p w14:paraId="2E4A3FFC"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r w:rsidRPr="00313596">
        <w:rPr>
          <w:rFonts w:ascii="Arial" w:hAnsi="Arial" w:cs="Arial"/>
          <w:b/>
          <w:sz w:val="22"/>
          <w:szCs w:val="22"/>
        </w:rPr>
        <w:t>Anexo 1 de la Carta de presentación de la propuesta, para contratos por precios unitarios</w:t>
      </w:r>
    </w:p>
    <w:p w14:paraId="71857D63" w14:textId="77777777" w:rsidR="008C0885" w:rsidRPr="00313596" w:rsidRDefault="008C0885" w:rsidP="000C61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2"/>
          <w:szCs w:val="22"/>
        </w:rPr>
      </w:pPr>
    </w:p>
    <w:p w14:paraId="29282CD0" w14:textId="77777777" w:rsidR="008C0885" w:rsidRPr="00313596" w:rsidRDefault="008C0885" w:rsidP="000C6174">
      <w:pPr>
        <w:pStyle w:val="explanatorynotes"/>
        <w:spacing w:after="120" w:line="240" w:lineRule="auto"/>
        <w:jc w:val="center"/>
        <w:rPr>
          <w:rFonts w:cs="Arial"/>
          <w:b/>
          <w:sz w:val="22"/>
          <w:szCs w:val="22"/>
          <w:lang w:val="es-ES"/>
        </w:rPr>
      </w:pPr>
      <w:r w:rsidRPr="00313596">
        <w:rPr>
          <w:rFonts w:cs="Arial"/>
          <w:b/>
          <w:sz w:val="22"/>
          <w:szCs w:val="22"/>
          <w:lang w:val="es-ES"/>
        </w:rPr>
        <w:t>Lista Estimada de Cantidades y sus Precios Unitarios</w:t>
      </w:r>
    </w:p>
    <w:p w14:paraId="054BE622" w14:textId="77777777" w:rsidR="008C0885" w:rsidRPr="00313596" w:rsidRDefault="008C0885" w:rsidP="000C6174">
      <w:pPr>
        <w:pStyle w:val="Subttulo"/>
        <w:jc w:val="both"/>
        <w:rPr>
          <w:rFonts w:ascii="Arial" w:hAnsi="Arial" w:cs="Arial"/>
          <w:b w:val="0"/>
          <w:color w:val="FF0000"/>
          <w:sz w:val="22"/>
          <w:szCs w:val="22"/>
          <w:lang w:val="es-ES"/>
        </w:rPr>
      </w:pPr>
      <w:r w:rsidRPr="00313596">
        <w:rPr>
          <w:rFonts w:ascii="Arial" w:hAnsi="Arial" w:cs="Arial"/>
          <w:b w:val="0"/>
          <w:color w:val="FF0000"/>
          <w:sz w:val="22"/>
          <w:szCs w:val="22"/>
          <w:lang w:val="es-ES"/>
        </w:rPr>
        <w:t xml:space="preserve">Se debe presentar el formato de Lista Estimada de Cantidades y sus Precios Unitarios, que será elaborado por el </w:t>
      </w:r>
      <w:r w:rsidRPr="00313596">
        <w:rPr>
          <w:rFonts w:ascii="Arial" w:hAnsi="Arial" w:cs="Arial"/>
          <w:b w:val="0"/>
          <w:color w:val="FF0000"/>
          <w:sz w:val="22"/>
          <w:szCs w:val="22"/>
        </w:rPr>
        <w:t>Contratante</w:t>
      </w:r>
      <w:r w:rsidRPr="00313596" w:rsidDel="009827B3">
        <w:rPr>
          <w:rFonts w:ascii="Arial" w:hAnsi="Arial" w:cs="Arial"/>
          <w:b w:val="0"/>
          <w:color w:val="FF0000"/>
          <w:sz w:val="22"/>
          <w:szCs w:val="22"/>
          <w:lang w:val="es-ES"/>
        </w:rPr>
        <w:t xml:space="preserve"> </w:t>
      </w:r>
      <w:r w:rsidRPr="00313596">
        <w:rPr>
          <w:rFonts w:ascii="Arial" w:hAnsi="Arial" w:cs="Arial"/>
          <w:b w:val="0"/>
          <w:color w:val="FF0000"/>
          <w:sz w:val="22"/>
          <w:szCs w:val="22"/>
          <w:lang w:val="es-ES"/>
        </w:rPr>
        <w:t xml:space="preserve">y en el que, de acuerdo con la cantidad de obra a ejecutar y/o actividades a realizar, los oferentes deberán presentar los precios unitarios y totales de su oferta económica. </w:t>
      </w:r>
    </w:p>
    <w:p w14:paraId="4BC84D2A" w14:textId="77777777" w:rsidR="008C0885" w:rsidRPr="00313596" w:rsidRDefault="008C0885" w:rsidP="000C6174">
      <w:pPr>
        <w:pStyle w:val="explanatorynotes"/>
        <w:spacing w:after="120" w:line="240" w:lineRule="auto"/>
        <w:rPr>
          <w:rFonts w:cs="Arial"/>
          <w:b/>
          <w:color w:val="FF0000"/>
          <w:sz w:val="22"/>
          <w:szCs w:val="22"/>
          <w:lang w:val="es-ES"/>
        </w:rPr>
      </w:pPr>
    </w:p>
    <w:p w14:paraId="5E45218B" w14:textId="77777777" w:rsidR="008C0885" w:rsidRPr="00313596" w:rsidRDefault="008C0885" w:rsidP="000C6174">
      <w:pPr>
        <w:pStyle w:val="explanatorynotes"/>
        <w:spacing w:after="120" w:line="240" w:lineRule="auto"/>
        <w:rPr>
          <w:rFonts w:cs="Arial"/>
          <w:color w:val="FF0000"/>
          <w:sz w:val="22"/>
          <w:szCs w:val="22"/>
          <w:lang w:val="es-ES"/>
        </w:rPr>
      </w:pPr>
      <w:r w:rsidRPr="00313596">
        <w:rPr>
          <w:rFonts w:cs="Arial"/>
          <w:color w:val="FF0000"/>
          <w:sz w:val="22"/>
          <w:szCs w:val="22"/>
          <w:lang w:val="es-ES"/>
        </w:rPr>
        <w:t>La lista de cantidades tiene por objeto:</w:t>
      </w:r>
    </w:p>
    <w:p w14:paraId="1D24B0CF" w14:textId="77777777" w:rsidR="008C0885" w:rsidRPr="00313596" w:rsidRDefault="008C0885" w:rsidP="003B68DB">
      <w:pPr>
        <w:pStyle w:val="explanatorynotes"/>
        <w:numPr>
          <w:ilvl w:val="0"/>
          <w:numId w:val="59"/>
        </w:numPr>
        <w:spacing w:after="120" w:line="240" w:lineRule="auto"/>
        <w:rPr>
          <w:rFonts w:cs="Arial"/>
          <w:color w:val="FF0000"/>
          <w:sz w:val="22"/>
          <w:szCs w:val="22"/>
          <w:lang w:val="es-ES"/>
        </w:rPr>
      </w:pPr>
      <w:r w:rsidRPr="00313596">
        <w:rPr>
          <w:rFonts w:cs="Arial"/>
          <w:color w:val="FF0000"/>
          <w:sz w:val="22"/>
          <w:szCs w:val="22"/>
          <w:lang w:val="es-ES"/>
        </w:rPr>
        <w:t xml:space="preserve">Proporcionar suficiente información acerca de la cantidad de obras y/o bienes que se llevará a cabo a fin de que las ofertas puedan prepararse de manera eficaz y precisa; y </w:t>
      </w:r>
    </w:p>
    <w:p w14:paraId="239FAA7A" w14:textId="77777777" w:rsidR="008C0885" w:rsidRPr="00313596" w:rsidRDefault="008C0885" w:rsidP="003B68DB">
      <w:pPr>
        <w:pStyle w:val="explanatorynotes"/>
        <w:numPr>
          <w:ilvl w:val="0"/>
          <w:numId w:val="59"/>
        </w:numPr>
        <w:spacing w:after="120" w:line="240" w:lineRule="auto"/>
        <w:rPr>
          <w:rFonts w:cs="Arial"/>
          <w:color w:val="FF0000"/>
          <w:sz w:val="22"/>
          <w:szCs w:val="22"/>
          <w:lang w:val="es-ES"/>
        </w:rPr>
      </w:pPr>
      <w:r w:rsidRPr="00313596">
        <w:rPr>
          <w:rFonts w:cs="Arial"/>
          <w:color w:val="FF0000"/>
          <w:sz w:val="22"/>
          <w:szCs w:val="22"/>
          <w:lang w:val="es-ES"/>
        </w:rPr>
        <w:t xml:space="preserve">En los casos en que se haya celebrado un contrato, proporcionar una lista de cantidades con precios para la valoración periódica de las obras ejecutadas. </w:t>
      </w:r>
    </w:p>
    <w:p w14:paraId="3F5BC36B" w14:textId="77777777" w:rsidR="008C0885" w:rsidRPr="00313596" w:rsidRDefault="008C0885" w:rsidP="003B68DB">
      <w:pPr>
        <w:pStyle w:val="explanatorynotes"/>
        <w:numPr>
          <w:ilvl w:val="0"/>
          <w:numId w:val="59"/>
        </w:numPr>
        <w:spacing w:after="120" w:line="240" w:lineRule="auto"/>
        <w:rPr>
          <w:rFonts w:cs="Arial"/>
          <w:color w:val="FF0000"/>
          <w:sz w:val="22"/>
          <w:szCs w:val="22"/>
          <w:lang w:val="es-ES"/>
        </w:rPr>
      </w:pPr>
      <w:r w:rsidRPr="00313596">
        <w:rPr>
          <w:rFonts w:cs="Arial"/>
          <w:color w:val="FF0000"/>
          <w:sz w:val="22"/>
          <w:szCs w:val="22"/>
          <w:lang w:val="es-ES"/>
        </w:rPr>
        <w:t xml:space="preserve">El contratante podrá incluir una reserva general para imprevistos físicos (excesos de cantidades) mediante la incorporación de una suma provisional en la Lista de Cantidades. </w:t>
      </w:r>
    </w:p>
    <w:p w14:paraId="3E64A315" w14:textId="77777777" w:rsidR="008C0885" w:rsidRPr="00313596" w:rsidRDefault="008C0885" w:rsidP="000C6174">
      <w:pPr>
        <w:pStyle w:val="explanatorynotes"/>
        <w:spacing w:after="120" w:line="240" w:lineRule="auto"/>
        <w:jc w:val="center"/>
        <w:rPr>
          <w:rFonts w:cs="Arial"/>
          <w:b/>
          <w:sz w:val="22"/>
          <w:szCs w:val="22"/>
          <w:lang w:val="es-E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836"/>
        <w:gridCol w:w="993"/>
        <w:gridCol w:w="1158"/>
        <w:gridCol w:w="1977"/>
        <w:gridCol w:w="1729"/>
      </w:tblGrid>
      <w:tr w:rsidR="008C0885" w:rsidRPr="00313596" w14:paraId="763B9248" w14:textId="77777777" w:rsidTr="00867F9F">
        <w:trPr>
          <w:trHeight w:val="602"/>
        </w:trPr>
        <w:tc>
          <w:tcPr>
            <w:tcW w:w="663" w:type="dxa"/>
            <w:shd w:val="clear" w:color="auto" w:fill="00B050"/>
            <w:vAlign w:val="center"/>
          </w:tcPr>
          <w:p w14:paraId="35D133D9"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FFFF" w:themeColor="background1"/>
                <w:sz w:val="22"/>
                <w:szCs w:val="22"/>
                <w:lang w:val="es-ES"/>
              </w:rPr>
              <w:t>No</w:t>
            </w:r>
          </w:p>
        </w:tc>
        <w:tc>
          <w:tcPr>
            <w:tcW w:w="2847" w:type="dxa"/>
            <w:shd w:val="clear" w:color="auto" w:fill="00B050"/>
            <w:vAlign w:val="center"/>
          </w:tcPr>
          <w:p w14:paraId="35BECFCB"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FFFF" w:themeColor="background1"/>
                <w:sz w:val="22"/>
                <w:szCs w:val="22"/>
                <w:lang w:val="es-ES"/>
              </w:rPr>
              <w:t>Concepto</w:t>
            </w:r>
          </w:p>
        </w:tc>
        <w:tc>
          <w:tcPr>
            <w:tcW w:w="993" w:type="dxa"/>
            <w:shd w:val="clear" w:color="auto" w:fill="00B050"/>
            <w:vAlign w:val="center"/>
          </w:tcPr>
          <w:p w14:paraId="74366EEB"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FFFF" w:themeColor="background1"/>
                <w:sz w:val="22"/>
                <w:szCs w:val="22"/>
                <w:lang w:val="es-ES"/>
              </w:rPr>
              <w:t>Unidad</w:t>
            </w:r>
          </w:p>
        </w:tc>
        <w:tc>
          <w:tcPr>
            <w:tcW w:w="1134" w:type="dxa"/>
            <w:shd w:val="clear" w:color="auto" w:fill="00B050"/>
            <w:vAlign w:val="center"/>
          </w:tcPr>
          <w:p w14:paraId="674A14D8"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FFFF" w:themeColor="background1"/>
                <w:sz w:val="22"/>
                <w:szCs w:val="22"/>
                <w:lang w:val="es-ES"/>
              </w:rPr>
              <w:t>Cantidad</w:t>
            </w:r>
          </w:p>
        </w:tc>
        <w:tc>
          <w:tcPr>
            <w:tcW w:w="1984" w:type="dxa"/>
            <w:shd w:val="clear" w:color="auto" w:fill="00B050"/>
            <w:vAlign w:val="center"/>
          </w:tcPr>
          <w:p w14:paraId="200E9CD4"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FFFF" w:themeColor="background1"/>
                <w:sz w:val="22"/>
                <w:szCs w:val="22"/>
                <w:lang w:val="es-ES"/>
              </w:rPr>
              <w:t>Precio Unitario</w:t>
            </w:r>
          </w:p>
          <w:p w14:paraId="6BA33C3E"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0000"/>
                <w:sz w:val="22"/>
                <w:szCs w:val="22"/>
                <w:lang w:val="es-ES"/>
              </w:rPr>
              <w:t>(indicar moneda)</w:t>
            </w:r>
          </w:p>
        </w:tc>
        <w:tc>
          <w:tcPr>
            <w:tcW w:w="1734" w:type="dxa"/>
            <w:shd w:val="clear" w:color="auto" w:fill="00B050"/>
            <w:vAlign w:val="center"/>
          </w:tcPr>
          <w:p w14:paraId="704AFE72"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FFFF" w:themeColor="background1"/>
                <w:sz w:val="22"/>
                <w:szCs w:val="22"/>
                <w:lang w:val="es-ES"/>
              </w:rPr>
              <w:t>Monto</w:t>
            </w:r>
          </w:p>
          <w:p w14:paraId="08105939" w14:textId="77777777" w:rsidR="008C0885" w:rsidRPr="00867F9F" w:rsidRDefault="008C0885" w:rsidP="000C6174">
            <w:pPr>
              <w:pStyle w:val="explanatorynotes"/>
              <w:spacing w:after="0" w:line="240" w:lineRule="auto"/>
              <w:jc w:val="center"/>
              <w:rPr>
                <w:rFonts w:cs="Arial"/>
                <w:b/>
                <w:color w:val="FFFFFF" w:themeColor="background1"/>
                <w:sz w:val="22"/>
                <w:szCs w:val="22"/>
                <w:lang w:val="es-ES"/>
              </w:rPr>
            </w:pPr>
            <w:r w:rsidRPr="00867F9F">
              <w:rPr>
                <w:rFonts w:cs="Arial"/>
                <w:b/>
                <w:color w:val="FF0000"/>
                <w:sz w:val="22"/>
                <w:szCs w:val="22"/>
                <w:lang w:val="es-ES"/>
              </w:rPr>
              <w:t>(Indicar Moneda)</w:t>
            </w:r>
          </w:p>
        </w:tc>
      </w:tr>
      <w:tr w:rsidR="008C0885" w:rsidRPr="00313596" w14:paraId="19CF2C00" w14:textId="77777777" w:rsidTr="001112A7">
        <w:trPr>
          <w:trHeight w:val="389"/>
        </w:trPr>
        <w:tc>
          <w:tcPr>
            <w:tcW w:w="663" w:type="dxa"/>
          </w:tcPr>
          <w:p w14:paraId="6667C54C" w14:textId="77777777" w:rsidR="008C0885" w:rsidRPr="00313596" w:rsidRDefault="008C0885" w:rsidP="000C6174">
            <w:pPr>
              <w:pStyle w:val="explanatorynotes"/>
              <w:spacing w:after="120" w:line="240" w:lineRule="auto"/>
              <w:rPr>
                <w:rFonts w:cs="Arial"/>
                <w:sz w:val="22"/>
                <w:szCs w:val="22"/>
                <w:lang w:val="es-ES"/>
              </w:rPr>
            </w:pPr>
          </w:p>
        </w:tc>
        <w:tc>
          <w:tcPr>
            <w:tcW w:w="2847" w:type="dxa"/>
          </w:tcPr>
          <w:p w14:paraId="3608D93D" w14:textId="77777777" w:rsidR="008C0885" w:rsidRPr="00313596" w:rsidRDefault="008C0885" w:rsidP="000C6174">
            <w:pPr>
              <w:pStyle w:val="explanatorynotes"/>
              <w:spacing w:after="120" w:line="240" w:lineRule="auto"/>
              <w:rPr>
                <w:rFonts w:cs="Arial"/>
                <w:sz w:val="22"/>
                <w:szCs w:val="22"/>
                <w:lang w:val="es-ES"/>
              </w:rPr>
            </w:pPr>
          </w:p>
        </w:tc>
        <w:tc>
          <w:tcPr>
            <w:tcW w:w="993" w:type="dxa"/>
          </w:tcPr>
          <w:p w14:paraId="0C82D0D4" w14:textId="77777777" w:rsidR="008C0885" w:rsidRPr="00313596" w:rsidRDefault="008C0885" w:rsidP="000C6174">
            <w:pPr>
              <w:pStyle w:val="explanatorynotes"/>
              <w:spacing w:after="120" w:line="240" w:lineRule="auto"/>
              <w:rPr>
                <w:rFonts w:cs="Arial"/>
                <w:sz w:val="22"/>
                <w:szCs w:val="22"/>
                <w:lang w:val="es-ES"/>
              </w:rPr>
            </w:pPr>
          </w:p>
        </w:tc>
        <w:tc>
          <w:tcPr>
            <w:tcW w:w="1134" w:type="dxa"/>
          </w:tcPr>
          <w:p w14:paraId="11921C6D" w14:textId="77777777" w:rsidR="008C0885" w:rsidRPr="00313596" w:rsidRDefault="008C0885" w:rsidP="000C6174">
            <w:pPr>
              <w:pStyle w:val="explanatorynotes"/>
              <w:spacing w:after="120" w:line="240" w:lineRule="auto"/>
              <w:rPr>
                <w:rFonts w:cs="Arial"/>
                <w:sz w:val="22"/>
                <w:szCs w:val="22"/>
                <w:lang w:val="es-ES"/>
              </w:rPr>
            </w:pPr>
          </w:p>
        </w:tc>
        <w:tc>
          <w:tcPr>
            <w:tcW w:w="1984" w:type="dxa"/>
          </w:tcPr>
          <w:p w14:paraId="2D59390C" w14:textId="77777777" w:rsidR="008C0885" w:rsidRPr="00313596" w:rsidRDefault="008C0885" w:rsidP="000C6174">
            <w:pPr>
              <w:pStyle w:val="explanatorynotes"/>
              <w:spacing w:after="120" w:line="240" w:lineRule="auto"/>
              <w:rPr>
                <w:rFonts w:cs="Arial"/>
                <w:sz w:val="22"/>
                <w:szCs w:val="22"/>
                <w:lang w:val="es-ES"/>
              </w:rPr>
            </w:pPr>
          </w:p>
        </w:tc>
        <w:tc>
          <w:tcPr>
            <w:tcW w:w="1734" w:type="dxa"/>
          </w:tcPr>
          <w:p w14:paraId="52EE44B8" w14:textId="77777777" w:rsidR="008C0885" w:rsidRPr="00313596" w:rsidRDefault="008C0885" w:rsidP="000C6174">
            <w:pPr>
              <w:pStyle w:val="explanatorynotes"/>
              <w:spacing w:after="120" w:line="240" w:lineRule="auto"/>
              <w:rPr>
                <w:rFonts w:cs="Arial"/>
                <w:sz w:val="22"/>
                <w:szCs w:val="22"/>
                <w:lang w:val="es-ES"/>
              </w:rPr>
            </w:pPr>
          </w:p>
        </w:tc>
      </w:tr>
      <w:tr w:rsidR="008C0885" w:rsidRPr="00313596" w14:paraId="07C2DC27" w14:textId="77777777" w:rsidTr="001112A7">
        <w:trPr>
          <w:trHeight w:val="389"/>
        </w:trPr>
        <w:tc>
          <w:tcPr>
            <w:tcW w:w="663" w:type="dxa"/>
          </w:tcPr>
          <w:p w14:paraId="3BD7B7B8" w14:textId="77777777" w:rsidR="008C0885" w:rsidRPr="00313596" w:rsidRDefault="008C0885" w:rsidP="000C6174">
            <w:pPr>
              <w:pStyle w:val="explanatorynotes"/>
              <w:spacing w:after="120" w:line="240" w:lineRule="auto"/>
              <w:rPr>
                <w:rFonts w:cs="Arial"/>
                <w:sz w:val="22"/>
                <w:szCs w:val="22"/>
                <w:lang w:val="es-ES"/>
              </w:rPr>
            </w:pPr>
          </w:p>
        </w:tc>
        <w:tc>
          <w:tcPr>
            <w:tcW w:w="2847" w:type="dxa"/>
          </w:tcPr>
          <w:p w14:paraId="5DAFDEC4" w14:textId="77777777" w:rsidR="008C0885" w:rsidRPr="00313596" w:rsidRDefault="008C0885" w:rsidP="000C6174">
            <w:pPr>
              <w:pStyle w:val="explanatorynotes"/>
              <w:spacing w:after="120" w:line="240" w:lineRule="auto"/>
              <w:rPr>
                <w:rFonts w:cs="Arial"/>
                <w:sz w:val="22"/>
                <w:szCs w:val="22"/>
                <w:lang w:val="es-ES"/>
              </w:rPr>
            </w:pPr>
          </w:p>
        </w:tc>
        <w:tc>
          <w:tcPr>
            <w:tcW w:w="993" w:type="dxa"/>
          </w:tcPr>
          <w:p w14:paraId="3F01E5A3" w14:textId="77777777" w:rsidR="008C0885" w:rsidRPr="00313596" w:rsidRDefault="008C0885" w:rsidP="000C6174">
            <w:pPr>
              <w:pStyle w:val="explanatorynotes"/>
              <w:spacing w:after="120" w:line="240" w:lineRule="auto"/>
              <w:rPr>
                <w:rFonts w:cs="Arial"/>
                <w:sz w:val="22"/>
                <w:szCs w:val="22"/>
                <w:lang w:val="es-ES"/>
              </w:rPr>
            </w:pPr>
          </w:p>
        </w:tc>
        <w:tc>
          <w:tcPr>
            <w:tcW w:w="1134" w:type="dxa"/>
          </w:tcPr>
          <w:p w14:paraId="46D36F4A" w14:textId="77777777" w:rsidR="008C0885" w:rsidRPr="00313596" w:rsidRDefault="008C0885" w:rsidP="000C6174">
            <w:pPr>
              <w:pStyle w:val="explanatorynotes"/>
              <w:spacing w:after="120" w:line="240" w:lineRule="auto"/>
              <w:rPr>
                <w:rFonts w:cs="Arial"/>
                <w:sz w:val="22"/>
                <w:szCs w:val="22"/>
                <w:lang w:val="es-ES"/>
              </w:rPr>
            </w:pPr>
          </w:p>
        </w:tc>
        <w:tc>
          <w:tcPr>
            <w:tcW w:w="1984" w:type="dxa"/>
          </w:tcPr>
          <w:p w14:paraId="386131E4" w14:textId="77777777" w:rsidR="008C0885" w:rsidRPr="00313596" w:rsidRDefault="008C0885" w:rsidP="000C6174">
            <w:pPr>
              <w:pStyle w:val="explanatorynotes"/>
              <w:spacing w:after="120" w:line="240" w:lineRule="auto"/>
              <w:rPr>
                <w:rFonts w:cs="Arial"/>
                <w:sz w:val="22"/>
                <w:szCs w:val="22"/>
                <w:lang w:val="es-ES"/>
              </w:rPr>
            </w:pPr>
          </w:p>
        </w:tc>
        <w:tc>
          <w:tcPr>
            <w:tcW w:w="1734" w:type="dxa"/>
          </w:tcPr>
          <w:p w14:paraId="03C3C0AA" w14:textId="77777777" w:rsidR="008C0885" w:rsidRPr="00313596" w:rsidRDefault="008C0885" w:rsidP="000C6174">
            <w:pPr>
              <w:pStyle w:val="explanatorynotes"/>
              <w:spacing w:after="120" w:line="240" w:lineRule="auto"/>
              <w:rPr>
                <w:rFonts w:cs="Arial"/>
                <w:sz w:val="22"/>
                <w:szCs w:val="22"/>
                <w:lang w:val="es-ES"/>
              </w:rPr>
            </w:pPr>
          </w:p>
        </w:tc>
      </w:tr>
      <w:tr w:rsidR="008C0885" w:rsidRPr="00313596" w14:paraId="042D24DD" w14:textId="77777777" w:rsidTr="001112A7">
        <w:trPr>
          <w:trHeight w:val="476"/>
        </w:trPr>
        <w:tc>
          <w:tcPr>
            <w:tcW w:w="663" w:type="dxa"/>
          </w:tcPr>
          <w:p w14:paraId="598485F4" w14:textId="77777777" w:rsidR="008C0885" w:rsidRPr="00313596" w:rsidRDefault="008C0885" w:rsidP="000C6174">
            <w:pPr>
              <w:pStyle w:val="explanatorynotes"/>
              <w:spacing w:after="120" w:line="240" w:lineRule="auto"/>
              <w:rPr>
                <w:rFonts w:cs="Arial"/>
                <w:sz w:val="22"/>
                <w:szCs w:val="22"/>
                <w:lang w:val="es-ES"/>
              </w:rPr>
            </w:pPr>
          </w:p>
        </w:tc>
        <w:tc>
          <w:tcPr>
            <w:tcW w:w="2847" w:type="dxa"/>
          </w:tcPr>
          <w:p w14:paraId="4C13CDE9" w14:textId="77777777" w:rsidR="008C0885" w:rsidRPr="00313596" w:rsidRDefault="008C0885" w:rsidP="000C6174">
            <w:pPr>
              <w:pStyle w:val="explanatorynotes"/>
              <w:spacing w:after="120" w:line="240" w:lineRule="auto"/>
              <w:rPr>
                <w:rFonts w:cs="Arial"/>
                <w:sz w:val="22"/>
                <w:szCs w:val="22"/>
                <w:lang w:val="es-ES"/>
              </w:rPr>
            </w:pPr>
          </w:p>
        </w:tc>
        <w:tc>
          <w:tcPr>
            <w:tcW w:w="993" w:type="dxa"/>
          </w:tcPr>
          <w:p w14:paraId="2ECF4F8B" w14:textId="77777777" w:rsidR="008C0885" w:rsidRPr="00313596" w:rsidRDefault="008C0885" w:rsidP="000C6174">
            <w:pPr>
              <w:pStyle w:val="explanatorynotes"/>
              <w:spacing w:after="120" w:line="240" w:lineRule="auto"/>
              <w:rPr>
                <w:rFonts w:cs="Arial"/>
                <w:sz w:val="22"/>
                <w:szCs w:val="22"/>
                <w:lang w:val="es-ES"/>
              </w:rPr>
            </w:pPr>
          </w:p>
        </w:tc>
        <w:tc>
          <w:tcPr>
            <w:tcW w:w="1134" w:type="dxa"/>
          </w:tcPr>
          <w:p w14:paraId="622B508D" w14:textId="77777777" w:rsidR="008C0885" w:rsidRPr="00313596" w:rsidRDefault="008C0885" w:rsidP="000C6174">
            <w:pPr>
              <w:pStyle w:val="explanatorynotes"/>
              <w:spacing w:after="120" w:line="240" w:lineRule="auto"/>
              <w:rPr>
                <w:rFonts w:cs="Arial"/>
                <w:sz w:val="22"/>
                <w:szCs w:val="22"/>
                <w:lang w:val="es-ES"/>
              </w:rPr>
            </w:pPr>
          </w:p>
        </w:tc>
        <w:tc>
          <w:tcPr>
            <w:tcW w:w="1984" w:type="dxa"/>
          </w:tcPr>
          <w:p w14:paraId="32BE0EE2" w14:textId="77777777" w:rsidR="008C0885" w:rsidRPr="00313596" w:rsidRDefault="008C0885" w:rsidP="000C6174">
            <w:pPr>
              <w:pStyle w:val="explanatorynotes"/>
              <w:spacing w:after="120" w:line="240" w:lineRule="auto"/>
              <w:rPr>
                <w:rFonts w:cs="Arial"/>
                <w:sz w:val="22"/>
                <w:szCs w:val="22"/>
                <w:lang w:val="es-ES"/>
              </w:rPr>
            </w:pPr>
          </w:p>
        </w:tc>
        <w:tc>
          <w:tcPr>
            <w:tcW w:w="1734" w:type="dxa"/>
          </w:tcPr>
          <w:p w14:paraId="404DCFE4" w14:textId="77777777" w:rsidR="008C0885" w:rsidRPr="00313596" w:rsidRDefault="008C0885" w:rsidP="000C6174">
            <w:pPr>
              <w:pStyle w:val="explanatorynotes"/>
              <w:spacing w:after="120" w:line="240" w:lineRule="auto"/>
              <w:rPr>
                <w:rFonts w:cs="Arial"/>
                <w:sz w:val="22"/>
                <w:szCs w:val="22"/>
                <w:lang w:val="es-ES"/>
              </w:rPr>
            </w:pPr>
          </w:p>
        </w:tc>
      </w:tr>
      <w:tr w:rsidR="008C0885" w:rsidRPr="00313596" w14:paraId="68AB470B" w14:textId="77777777" w:rsidTr="001112A7">
        <w:trPr>
          <w:trHeight w:val="406"/>
        </w:trPr>
        <w:tc>
          <w:tcPr>
            <w:tcW w:w="7621" w:type="dxa"/>
            <w:gridSpan w:val="5"/>
          </w:tcPr>
          <w:p w14:paraId="52EBED41" w14:textId="77777777" w:rsidR="008C0885" w:rsidRPr="00313596" w:rsidRDefault="008C0885" w:rsidP="000C6174">
            <w:pPr>
              <w:pStyle w:val="explanatorynotes"/>
              <w:spacing w:after="120" w:line="240" w:lineRule="auto"/>
              <w:jc w:val="right"/>
              <w:rPr>
                <w:rFonts w:cs="Arial"/>
                <w:b/>
                <w:sz w:val="22"/>
                <w:szCs w:val="22"/>
                <w:lang w:val="es-ES"/>
              </w:rPr>
            </w:pPr>
            <w:r w:rsidRPr="00313596">
              <w:rPr>
                <w:rFonts w:cs="Arial"/>
                <w:b/>
                <w:sz w:val="22"/>
                <w:szCs w:val="22"/>
                <w:lang w:val="es-ES"/>
              </w:rPr>
              <w:t>Total, antes de sumas provisionales</w:t>
            </w:r>
          </w:p>
        </w:tc>
        <w:tc>
          <w:tcPr>
            <w:tcW w:w="1734" w:type="dxa"/>
          </w:tcPr>
          <w:p w14:paraId="3FF9AE94" w14:textId="77777777" w:rsidR="008C0885" w:rsidRPr="00313596" w:rsidRDefault="008C0885" w:rsidP="000C6174">
            <w:pPr>
              <w:pStyle w:val="explanatorynotes"/>
              <w:spacing w:after="120" w:line="240" w:lineRule="auto"/>
              <w:rPr>
                <w:rFonts w:cs="Arial"/>
                <w:sz w:val="22"/>
                <w:szCs w:val="22"/>
                <w:lang w:val="es-ES"/>
              </w:rPr>
            </w:pPr>
          </w:p>
        </w:tc>
      </w:tr>
      <w:tr w:rsidR="008C0885" w:rsidRPr="00313596" w14:paraId="5A362C6E" w14:textId="77777777" w:rsidTr="001112A7">
        <w:trPr>
          <w:trHeight w:val="389"/>
        </w:trPr>
        <w:tc>
          <w:tcPr>
            <w:tcW w:w="663" w:type="dxa"/>
          </w:tcPr>
          <w:p w14:paraId="0DD164B0" w14:textId="77777777" w:rsidR="008C0885" w:rsidRPr="00313596" w:rsidRDefault="008C0885" w:rsidP="000C6174">
            <w:pPr>
              <w:pStyle w:val="explanatorynotes"/>
              <w:spacing w:after="120" w:line="240" w:lineRule="auto"/>
              <w:rPr>
                <w:rFonts w:cs="Arial"/>
                <w:i/>
                <w:color w:val="FF0000"/>
                <w:sz w:val="22"/>
                <w:szCs w:val="22"/>
                <w:lang w:val="es-ES"/>
              </w:rPr>
            </w:pPr>
          </w:p>
        </w:tc>
        <w:tc>
          <w:tcPr>
            <w:tcW w:w="2847" w:type="dxa"/>
          </w:tcPr>
          <w:p w14:paraId="351078CC" w14:textId="77777777" w:rsidR="008C0885" w:rsidRPr="00313596" w:rsidRDefault="008C0885" w:rsidP="000C6174">
            <w:pPr>
              <w:pStyle w:val="explanatorynotes"/>
              <w:spacing w:after="120" w:line="240" w:lineRule="auto"/>
              <w:rPr>
                <w:rFonts w:cs="Arial"/>
                <w:i/>
                <w:color w:val="FF0000"/>
                <w:sz w:val="22"/>
                <w:szCs w:val="22"/>
                <w:lang w:val="es-ES"/>
              </w:rPr>
            </w:pPr>
            <w:r w:rsidRPr="00313596">
              <w:rPr>
                <w:rFonts w:cs="Arial"/>
                <w:i/>
                <w:color w:val="FF0000"/>
                <w:sz w:val="22"/>
                <w:szCs w:val="22"/>
                <w:lang w:val="es-ES"/>
              </w:rPr>
              <w:t>Sumas provisionales (eliminarlo en caso de no utilizar este concepto)</w:t>
            </w:r>
          </w:p>
        </w:tc>
        <w:tc>
          <w:tcPr>
            <w:tcW w:w="993" w:type="dxa"/>
          </w:tcPr>
          <w:p w14:paraId="53F7012D" w14:textId="77777777" w:rsidR="008C0885" w:rsidRPr="00313596" w:rsidRDefault="008C0885" w:rsidP="000C6174">
            <w:pPr>
              <w:pStyle w:val="explanatorynotes"/>
              <w:spacing w:after="120" w:line="240" w:lineRule="auto"/>
              <w:rPr>
                <w:rFonts w:cs="Arial"/>
                <w:i/>
                <w:color w:val="FF0000"/>
                <w:sz w:val="22"/>
                <w:szCs w:val="22"/>
                <w:lang w:val="es-ES"/>
              </w:rPr>
            </w:pPr>
            <w:r w:rsidRPr="00313596">
              <w:rPr>
                <w:rFonts w:cs="Arial"/>
                <w:i/>
                <w:color w:val="FF0000"/>
                <w:sz w:val="22"/>
                <w:szCs w:val="22"/>
                <w:lang w:val="es-ES"/>
              </w:rPr>
              <w:t>Global</w:t>
            </w:r>
          </w:p>
        </w:tc>
        <w:tc>
          <w:tcPr>
            <w:tcW w:w="1134" w:type="dxa"/>
          </w:tcPr>
          <w:p w14:paraId="45F4F7BC" w14:textId="77777777" w:rsidR="008C0885" w:rsidRPr="00313596" w:rsidRDefault="008C0885" w:rsidP="000C6174">
            <w:pPr>
              <w:pStyle w:val="explanatorynotes"/>
              <w:spacing w:after="120" w:line="240" w:lineRule="auto"/>
              <w:rPr>
                <w:rFonts w:cs="Arial"/>
                <w:i/>
                <w:color w:val="FF0000"/>
                <w:sz w:val="22"/>
                <w:szCs w:val="22"/>
                <w:lang w:val="es-ES"/>
              </w:rPr>
            </w:pPr>
            <w:r w:rsidRPr="00313596">
              <w:rPr>
                <w:rFonts w:cs="Arial"/>
                <w:i/>
                <w:color w:val="FF0000"/>
                <w:sz w:val="22"/>
                <w:szCs w:val="22"/>
                <w:lang w:val="es-ES"/>
              </w:rPr>
              <w:t>1</w:t>
            </w:r>
          </w:p>
        </w:tc>
        <w:tc>
          <w:tcPr>
            <w:tcW w:w="1984" w:type="dxa"/>
          </w:tcPr>
          <w:p w14:paraId="61D0BFB6" w14:textId="77777777" w:rsidR="008C0885" w:rsidRPr="00313596" w:rsidRDefault="008C0885" w:rsidP="000C6174">
            <w:pPr>
              <w:pStyle w:val="explanatorynotes"/>
              <w:spacing w:after="120" w:line="240" w:lineRule="auto"/>
              <w:rPr>
                <w:rFonts w:cs="Arial"/>
                <w:i/>
                <w:color w:val="FF0000"/>
                <w:sz w:val="22"/>
                <w:szCs w:val="22"/>
                <w:lang w:val="es-ES"/>
              </w:rPr>
            </w:pPr>
            <w:r w:rsidRPr="00313596">
              <w:rPr>
                <w:rFonts w:cs="Arial"/>
                <w:i/>
                <w:color w:val="FF0000"/>
                <w:sz w:val="22"/>
                <w:szCs w:val="22"/>
                <w:lang w:val="es-ES"/>
              </w:rPr>
              <w:t>Monto a definir</w:t>
            </w:r>
          </w:p>
        </w:tc>
        <w:tc>
          <w:tcPr>
            <w:tcW w:w="1734" w:type="dxa"/>
          </w:tcPr>
          <w:p w14:paraId="20578FD9" w14:textId="77777777" w:rsidR="008C0885" w:rsidRPr="00313596" w:rsidRDefault="008C0885" w:rsidP="000C6174">
            <w:pPr>
              <w:pStyle w:val="explanatorynotes"/>
              <w:spacing w:after="120" w:line="240" w:lineRule="auto"/>
              <w:rPr>
                <w:rFonts w:cs="Arial"/>
                <w:i/>
                <w:color w:val="FF0000"/>
                <w:sz w:val="22"/>
                <w:szCs w:val="22"/>
                <w:lang w:val="es-ES"/>
              </w:rPr>
            </w:pPr>
            <w:r w:rsidRPr="00313596">
              <w:rPr>
                <w:rFonts w:cs="Arial"/>
                <w:i/>
                <w:color w:val="FF0000"/>
                <w:sz w:val="22"/>
                <w:szCs w:val="22"/>
                <w:lang w:val="es-ES"/>
              </w:rPr>
              <w:t>Monto a definir</w:t>
            </w:r>
          </w:p>
        </w:tc>
      </w:tr>
      <w:tr w:rsidR="008C0885" w:rsidRPr="00313596" w14:paraId="02A77F30" w14:textId="77777777" w:rsidTr="001112A7">
        <w:trPr>
          <w:trHeight w:val="406"/>
        </w:trPr>
        <w:tc>
          <w:tcPr>
            <w:tcW w:w="7621" w:type="dxa"/>
            <w:gridSpan w:val="5"/>
          </w:tcPr>
          <w:p w14:paraId="6B53656E" w14:textId="77777777" w:rsidR="008C0885" w:rsidRPr="00313596" w:rsidRDefault="008C0885" w:rsidP="000C6174">
            <w:pPr>
              <w:pStyle w:val="explanatorynotes"/>
              <w:spacing w:after="120" w:line="240" w:lineRule="auto"/>
              <w:jc w:val="center"/>
              <w:rPr>
                <w:rFonts w:cs="Arial"/>
                <w:sz w:val="22"/>
                <w:szCs w:val="22"/>
                <w:lang w:val="es-ES"/>
              </w:rPr>
            </w:pPr>
            <w:r w:rsidRPr="00313596">
              <w:rPr>
                <w:rFonts w:cs="Arial"/>
                <w:sz w:val="22"/>
                <w:szCs w:val="22"/>
                <w:lang w:val="es-ES"/>
              </w:rPr>
              <w:t>Total</w:t>
            </w:r>
          </w:p>
        </w:tc>
        <w:tc>
          <w:tcPr>
            <w:tcW w:w="1734" w:type="dxa"/>
          </w:tcPr>
          <w:p w14:paraId="79671542" w14:textId="77777777" w:rsidR="008C0885" w:rsidRPr="00313596" w:rsidRDefault="008C0885" w:rsidP="000C6174">
            <w:pPr>
              <w:pStyle w:val="explanatorynotes"/>
              <w:spacing w:after="120" w:line="240" w:lineRule="auto"/>
              <w:rPr>
                <w:rFonts w:cs="Arial"/>
                <w:sz w:val="22"/>
                <w:szCs w:val="22"/>
                <w:lang w:val="es-ES"/>
              </w:rPr>
            </w:pPr>
          </w:p>
        </w:tc>
      </w:tr>
    </w:tbl>
    <w:p w14:paraId="6EC711CD" w14:textId="77777777" w:rsidR="008C0885" w:rsidRPr="00313596" w:rsidRDefault="008C0885" w:rsidP="000C6174">
      <w:pPr>
        <w:pStyle w:val="explanatorynotes"/>
        <w:spacing w:after="120" w:line="240" w:lineRule="auto"/>
        <w:rPr>
          <w:rFonts w:cs="Arial"/>
          <w:sz w:val="22"/>
          <w:szCs w:val="22"/>
          <w:lang w:val="es-ES"/>
        </w:rPr>
      </w:pPr>
    </w:p>
    <w:p w14:paraId="6602DC9C" w14:textId="77777777" w:rsidR="008C0885" w:rsidRPr="00313596" w:rsidRDefault="008C0885" w:rsidP="000C6174">
      <w:pPr>
        <w:pStyle w:val="Subttulo"/>
        <w:jc w:val="both"/>
        <w:rPr>
          <w:rFonts w:ascii="Arial" w:hAnsi="Arial" w:cs="Arial"/>
          <w:b w:val="0"/>
          <w:sz w:val="22"/>
          <w:szCs w:val="22"/>
          <w:lang w:val="es-ES"/>
        </w:rPr>
      </w:pPr>
      <w:r w:rsidRPr="00313596">
        <w:rPr>
          <w:rFonts w:ascii="Arial" w:hAnsi="Arial" w:cs="Arial"/>
          <w:b w:val="0"/>
          <w:sz w:val="22"/>
          <w:szCs w:val="22"/>
          <w:lang w:val="es-ES"/>
        </w:rPr>
        <w:t>Si al momento de preparar la oferta el oferente encuentra discrepancias o no está de acuerdo con el cálculo de las cantidades de obra, deberá solicitar aclaración al Contratante.</w:t>
      </w:r>
    </w:p>
    <w:p w14:paraId="16D63640" w14:textId="77777777" w:rsidR="008C0885" w:rsidRPr="00313596" w:rsidRDefault="008C0885">
      <w:pPr>
        <w:jc w:val="left"/>
        <w:rPr>
          <w:rFonts w:ascii="Arial" w:hAnsi="Arial" w:cs="Arial"/>
          <w:sz w:val="22"/>
          <w:szCs w:val="22"/>
        </w:rPr>
      </w:pPr>
      <w:r w:rsidRPr="00313596">
        <w:rPr>
          <w:rFonts w:ascii="Arial" w:hAnsi="Arial" w:cs="Arial"/>
          <w:sz w:val="22"/>
          <w:szCs w:val="22"/>
        </w:rPr>
        <w:br w:type="page"/>
      </w:r>
    </w:p>
    <w:p w14:paraId="32EBE61B" w14:textId="77777777" w:rsidR="008C0885" w:rsidRPr="00DA67F9" w:rsidRDefault="008C0885" w:rsidP="00C2353B">
      <w:pPr>
        <w:pStyle w:val="INDGEN1"/>
        <w:rPr>
          <w:sz w:val="22"/>
          <w:szCs w:val="22"/>
        </w:rPr>
      </w:pPr>
      <w:bookmarkStart w:id="392" w:name="_Toc74048225"/>
      <w:bookmarkStart w:id="393" w:name="_Toc74520010"/>
      <w:bookmarkStart w:id="394" w:name="_Toc74781384"/>
      <w:bookmarkStart w:id="395" w:name="_Toc74894071"/>
      <w:r w:rsidRPr="00DA67F9">
        <w:rPr>
          <w:sz w:val="22"/>
          <w:szCs w:val="22"/>
        </w:rPr>
        <w:lastRenderedPageBreak/>
        <w:t>SEGUNDA PARTE: REQUISITOS DE OBRAS</w:t>
      </w:r>
      <w:bookmarkEnd w:id="392"/>
      <w:bookmarkEnd w:id="393"/>
      <w:bookmarkEnd w:id="394"/>
      <w:bookmarkEnd w:id="395"/>
    </w:p>
    <w:p w14:paraId="1EE75DC5" w14:textId="77777777" w:rsidR="00A029E9" w:rsidRDefault="00A029E9" w:rsidP="003A3568">
      <w:pPr>
        <w:pStyle w:val="Subttulo"/>
        <w:outlineLvl w:val="3"/>
        <w:rPr>
          <w:rFonts w:asciiTheme="minorHAnsi" w:hAnsiTheme="minorHAnsi" w:cstheme="minorHAnsi"/>
          <w:sz w:val="32"/>
          <w:szCs w:val="24"/>
          <w:lang w:val="es-ES"/>
        </w:rPr>
      </w:pPr>
    </w:p>
    <w:p w14:paraId="2D051EBE" w14:textId="77777777" w:rsidR="00EB250D" w:rsidRDefault="00EB250D" w:rsidP="00E13BB4">
      <w:pPr>
        <w:pStyle w:val="i"/>
        <w:spacing w:before="120" w:after="120"/>
        <w:jc w:val="center"/>
        <w:outlineLvl w:val="0"/>
        <w:rPr>
          <w:rFonts w:asciiTheme="minorHAnsi" w:hAnsiTheme="minorHAnsi"/>
          <w:b/>
          <w:sz w:val="32"/>
          <w:szCs w:val="32"/>
          <w:lang w:val="es-ES"/>
        </w:rPr>
      </w:pPr>
      <w:bookmarkStart w:id="396" w:name="_Toc74520011"/>
    </w:p>
    <w:p w14:paraId="38792023" w14:textId="77777777" w:rsidR="00EB250D" w:rsidRDefault="00EB250D" w:rsidP="00E13BB4">
      <w:pPr>
        <w:pStyle w:val="i"/>
        <w:spacing w:before="120" w:after="120"/>
        <w:jc w:val="center"/>
        <w:outlineLvl w:val="0"/>
        <w:rPr>
          <w:rFonts w:asciiTheme="minorHAnsi" w:hAnsiTheme="minorHAnsi"/>
          <w:b/>
          <w:sz w:val="32"/>
          <w:szCs w:val="32"/>
          <w:lang w:val="es-ES"/>
        </w:rPr>
      </w:pPr>
    </w:p>
    <w:p w14:paraId="19D2B2A3" w14:textId="77777777" w:rsidR="00EB250D" w:rsidRDefault="00EB250D" w:rsidP="00E13BB4">
      <w:pPr>
        <w:pStyle w:val="i"/>
        <w:spacing w:before="120" w:after="120"/>
        <w:jc w:val="center"/>
        <w:outlineLvl w:val="0"/>
        <w:rPr>
          <w:rFonts w:asciiTheme="minorHAnsi" w:hAnsiTheme="minorHAnsi"/>
          <w:b/>
          <w:sz w:val="32"/>
          <w:szCs w:val="32"/>
          <w:lang w:val="es-ES"/>
        </w:rPr>
      </w:pPr>
    </w:p>
    <w:p w14:paraId="431BDB7A" w14:textId="77777777" w:rsidR="00EB250D" w:rsidRDefault="00EB250D" w:rsidP="00E13BB4">
      <w:pPr>
        <w:pStyle w:val="i"/>
        <w:spacing w:before="120" w:after="120"/>
        <w:jc w:val="center"/>
        <w:outlineLvl w:val="0"/>
        <w:rPr>
          <w:rFonts w:asciiTheme="minorHAnsi" w:hAnsiTheme="minorHAnsi"/>
          <w:b/>
          <w:sz w:val="32"/>
          <w:szCs w:val="32"/>
          <w:lang w:val="es-ES"/>
        </w:rPr>
      </w:pPr>
    </w:p>
    <w:p w14:paraId="1EBF9D02" w14:textId="77777777" w:rsidR="00EB250D" w:rsidRDefault="00EB250D" w:rsidP="00E13BB4">
      <w:pPr>
        <w:pStyle w:val="i"/>
        <w:spacing w:before="120" w:after="120"/>
        <w:jc w:val="center"/>
        <w:outlineLvl w:val="0"/>
        <w:rPr>
          <w:rFonts w:asciiTheme="minorHAnsi" w:hAnsiTheme="minorHAnsi"/>
          <w:b/>
          <w:sz w:val="32"/>
          <w:szCs w:val="32"/>
          <w:lang w:val="es-ES"/>
        </w:rPr>
      </w:pPr>
    </w:p>
    <w:p w14:paraId="37F7065B" w14:textId="77777777" w:rsidR="00EB250D" w:rsidRDefault="00EB250D" w:rsidP="00E13BB4">
      <w:pPr>
        <w:pStyle w:val="i"/>
        <w:spacing w:before="120" w:after="120"/>
        <w:jc w:val="center"/>
        <w:outlineLvl w:val="0"/>
        <w:rPr>
          <w:rFonts w:asciiTheme="minorHAnsi" w:hAnsiTheme="minorHAnsi"/>
          <w:b/>
          <w:sz w:val="32"/>
          <w:szCs w:val="32"/>
          <w:lang w:val="es-ES"/>
        </w:rPr>
      </w:pPr>
    </w:p>
    <w:p w14:paraId="1ABBA67B" w14:textId="77777777" w:rsidR="00A029E9" w:rsidRPr="00FF5EDB" w:rsidRDefault="00A029E9" w:rsidP="00C2353B">
      <w:pPr>
        <w:pStyle w:val="INDGEN2"/>
      </w:pPr>
      <w:bookmarkStart w:id="397" w:name="_Toc74781385"/>
      <w:bookmarkStart w:id="398" w:name="_Toc74894072"/>
      <w:r w:rsidRPr="00FF5EDB">
        <w:t>Sección V.</w:t>
      </w:r>
      <w:r w:rsidR="002D4D3B">
        <w:t xml:space="preserve"> </w:t>
      </w:r>
      <w:r w:rsidRPr="00FF5EDB">
        <w:t>Especificaciones Técnicas</w:t>
      </w:r>
      <w:bookmarkEnd w:id="396"/>
      <w:bookmarkEnd w:id="397"/>
      <w:bookmarkEnd w:id="398"/>
    </w:p>
    <w:p w14:paraId="2BEE72DC" w14:textId="77777777" w:rsidR="00A029E9" w:rsidRPr="00A029E9" w:rsidRDefault="00A029E9" w:rsidP="003A3568">
      <w:pPr>
        <w:pStyle w:val="Subttulo"/>
        <w:outlineLvl w:val="3"/>
        <w:rPr>
          <w:rFonts w:asciiTheme="minorHAnsi" w:hAnsiTheme="minorHAnsi" w:cstheme="minorHAnsi"/>
          <w:sz w:val="32"/>
          <w:szCs w:val="24"/>
          <w:lang w:val="es-ES"/>
        </w:rPr>
      </w:pPr>
    </w:p>
    <w:p w14:paraId="75B921E8" w14:textId="77777777" w:rsidR="00D656B3" w:rsidRDefault="00D656B3" w:rsidP="000C6174">
      <w:pPr>
        <w:jc w:val="center"/>
        <w:rPr>
          <w:rFonts w:asciiTheme="minorHAnsi" w:hAnsiTheme="minorHAnsi"/>
          <w:b/>
          <w:color w:val="000000" w:themeColor="text1"/>
          <w:sz w:val="28"/>
          <w:szCs w:val="24"/>
          <w:lang w:val="es-MX"/>
        </w:rPr>
      </w:pPr>
    </w:p>
    <w:p w14:paraId="5A56C621" w14:textId="77777777" w:rsidR="00D656B3" w:rsidRDefault="00D656B3" w:rsidP="000C6174">
      <w:pPr>
        <w:jc w:val="center"/>
        <w:rPr>
          <w:rFonts w:asciiTheme="minorHAnsi" w:hAnsiTheme="minorHAnsi"/>
          <w:b/>
          <w:color w:val="000000" w:themeColor="text1"/>
          <w:sz w:val="28"/>
          <w:szCs w:val="24"/>
          <w:lang w:val="es-MX"/>
        </w:rPr>
      </w:pPr>
    </w:p>
    <w:p w14:paraId="4DFBBBC6" w14:textId="77777777" w:rsidR="00D656B3" w:rsidRDefault="00D656B3" w:rsidP="000C6174">
      <w:pPr>
        <w:jc w:val="center"/>
        <w:rPr>
          <w:rFonts w:asciiTheme="minorHAnsi" w:hAnsiTheme="minorHAnsi"/>
          <w:b/>
          <w:color w:val="000000" w:themeColor="text1"/>
          <w:sz w:val="28"/>
          <w:szCs w:val="24"/>
          <w:lang w:val="es-MX"/>
        </w:rPr>
      </w:pPr>
    </w:p>
    <w:p w14:paraId="4D5F8853" w14:textId="77777777" w:rsidR="00D656B3" w:rsidRDefault="00D656B3" w:rsidP="000C6174">
      <w:pPr>
        <w:jc w:val="center"/>
        <w:rPr>
          <w:rFonts w:asciiTheme="minorHAnsi" w:hAnsiTheme="minorHAnsi"/>
          <w:b/>
          <w:color w:val="000000" w:themeColor="text1"/>
          <w:sz w:val="28"/>
          <w:szCs w:val="24"/>
          <w:lang w:val="es-MX"/>
        </w:rPr>
      </w:pPr>
    </w:p>
    <w:p w14:paraId="64FDB97B" w14:textId="77777777" w:rsidR="00D656B3" w:rsidRDefault="00D656B3" w:rsidP="000C6174">
      <w:pPr>
        <w:jc w:val="center"/>
        <w:rPr>
          <w:rFonts w:asciiTheme="minorHAnsi" w:hAnsiTheme="minorHAnsi"/>
          <w:b/>
          <w:color w:val="000000" w:themeColor="text1"/>
          <w:sz w:val="28"/>
          <w:szCs w:val="24"/>
          <w:lang w:val="es-MX"/>
        </w:rPr>
      </w:pPr>
    </w:p>
    <w:p w14:paraId="74C1A203" w14:textId="77777777" w:rsidR="00D656B3" w:rsidRDefault="00D656B3" w:rsidP="000C6174">
      <w:pPr>
        <w:jc w:val="center"/>
        <w:rPr>
          <w:rFonts w:asciiTheme="minorHAnsi" w:hAnsiTheme="minorHAnsi"/>
          <w:b/>
          <w:color w:val="000000" w:themeColor="text1"/>
          <w:sz w:val="28"/>
          <w:szCs w:val="24"/>
          <w:lang w:val="es-MX"/>
        </w:rPr>
      </w:pPr>
    </w:p>
    <w:p w14:paraId="4371305F" w14:textId="77777777" w:rsidR="00D656B3" w:rsidRDefault="00D656B3" w:rsidP="000C6174">
      <w:pPr>
        <w:jc w:val="center"/>
        <w:rPr>
          <w:rFonts w:asciiTheme="minorHAnsi" w:hAnsiTheme="minorHAnsi"/>
          <w:b/>
          <w:color w:val="000000" w:themeColor="text1"/>
          <w:sz w:val="28"/>
          <w:szCs w:val="24"/>
          <w:lang w:val="es-MX"/>
        </w:rPr>
      </w:pPr>
    </w:p>
    <w:p w14:paraId="685979E9" w14:textId="77777777" w:rsidR="00D656B3" w:rsidRDefault="00D656B3" w:rsidP="000C6174">
      <w:pPr>
        <w:jc w:val="center"/>
        <w:rPr>
          <w:rFonts w:asciiTheme="minorHAnsi" w:hAnsiTheme="minorHAnsi"/>
          <w:b/>
          <w:color w:val="000000" w:themeColor="text1"/>
          <w:sz w:val="28"/>
          <w:szCs w:val="24"/>
          <w:lang w:val="es-MX"/>
        </w:rPr>
      </w:pPr>
    </w:p>
    <w:p w14:paraId="4BA6D1D6" w14:textId="77777777" w:rsidR="00D656B3" w:rsidRDefault="00D656B3" w:rsidP="000C6174">
      <w:pPr>
        <w:jc w:val="center"/>
        <w:rPr>
          <w:rFonts w:asciiTheme="minorHAnsi" w:hAnsiTheme="minorHAnsi"/>
          <w:b/>
          <w:color w:val="000000" w:themeColor="text1"/>
          <w:sz w:val="28"/>
          <w:szCs w:val="24"/>
          <w:lang w:val="es-MX"/>
        </w:rPr>
      </w:pPr>
    </w:p>
    <w:p w14:paraId="59CCD1B0" w14:textId="77777777" w:rsidR="00D656B3" w:rsidRDefault="00D656B3" w:rsidP="000C6174">
      <w:pPr>
        <w:jc w:val="center"/>
        <w:rPr>
          <w:rFonts w:asciiTheme="minorHAnsi" w:hAnsiTheme="minorHAnsi"/>
          <w:b/>
          <w:color w:val="000000" w:themeColor="text1"/>
          <w:sz w:val="28"/>
          <w:szCs w:val="24"/>
          <w:lang w:val="es-MX"/>
        </w:rPr>
      </w:pPr>
    </w:p>
    <w:p w14:paraId="219529B3" w14:textId="77777777" w:rsidR="00D656B3" w:rsidRDefault="00D656B3" w:rsidP="000C6174">
      <w:pPr>
        <w:jc w:val="center"/>
        <w:rPr>
          <w:rFonts w:asciiTheme="minorHAnsi" w:hAnsiTheme="minorHAnsi"/>
          <w:b/>
          <w:color w:val="000000" w:themeColor="text1"/>
          <w:sz w:val="28"/>
          <w:szCs w:val="24"/>
          <w:lang w:val="es-MX"/>
        </w:rPr>
      </w:pPr>
    </w:p>
    <w:p w14:paraId="726D8CEB" w14:textId="77777777" w:rsidR="00D656B3" w:rsidRDefault="00D656B3" w:rsidP="000C6174">
      <w:pPr>
        <w:jc w:val="center"/>
        <w:rPr>
          <w:rFonts w:asciiTheme="minorHAnsi" w:hAnsiTheme="minorHAnsi"/>
          <w:b/>
          <w:color w:val="000000" w:themeColor="text1"/>
          <w:sz w:val="28"/>
          <w:szCs w:val="24"/>
          <w:lang w:val="es-MX"/>
        </w:rPr>
      </w:pPr>
    </w:p>
    <w:p w14:paraId="6FC40BDA" w14:textId="77777777" w:rsidR="00D656B3" w:rsidRDefault="00D656B3" w:rsidP="000C6174">
      <w:pPr>
        <w:jc w:val="center"/>
        <w:rPr>
          <w:rFonts w:asciiTheme="minorHAnsi" w:hAnsiTheme="minorHAnsi"/>
          <w:b/>
          <w:color w:val="000000" w:themeColor="text1"/>
          <w:sz w:val="28"/>
          <w:szCs w:val="24"/>
          <w:lang w:val="es-MX"/>
        </w:rPr>
      </w:pPr>
    </w:p>
    <w:p w14:paraId="4F07AD65" w14:textId="77777777" w:rsidR="00D656B3" w:rsidRDefault="00D656B3" w:rsidP="000C6174">
      <w:pPr>
        <w:jc w:val="center"/>
        <w:rPr>
          <w:rFonts w:asciiTheme="minorHAnsi" w:hAnsiTheme="minorHAnsi"/>
          <w:b/>
          <w:color w:val="000000" w:themeColor="text1"/>
          <w:sz w:val="28"/>
          <w:szCs w:val="24"/>
          <w:lang w:val="es-MX"/>
        </w:rPr>
      </w:pPr>
    </w:p>
    <w:p w14:paraId="7493D7A0" w14:textId="77777777" w:rsidR="00D656B3" w:rsidRDefault="00D656B3" w:rsidP="000C6174">
      <w:pPr>
        <w:jc w:val="center"/>
        <w:rPr>
          <w:rFonts w:asciiTheme="minorHAnsi" w:hAnsiTheme="minorHAnsi"/>
          <w:b/>
          <w:color w:val="000000" w:themeColor="text1"/>
          <w:sz w:val="28"/>
          <w:szCs w:val="24"/>
          <w:lang w:val="es-MX"/>
        </w:rPr>
      </w:pPr>
    </w:p>
    <w:p w14:paraId="66C41074" w14:textId="77777777" w:rsidR="00D656B3" w:rsidRDefault="00D656B3" w:rsidP="000C6174">
      <w:pPr>
        <w:jc w:val="center"/>
        <w:rPr>
          <w:rFonts w:asciiTheme="minorHAnsi" w:hAnsiTheme="minorHAnsi"/>
          <w:b/>
          <w:color w:val="000000" w:themeColor="text1"/>
          <w:sz w:val="28"/>
          <w:szCs w:val="24"/>
          <w:lang w:val="es-MX"/>
        </w:rPr>
      </w:pPr>
    </w:p>
    <w:p w14:paraId="0AB831BF" w14:textId="77777777" w:rsidR="00D656B3" w:rsidRDefault="00D656B3" w:rsidP="000C6174">
      <w:pPr>
        <w:jc w:val="center"/>
        <w:rPr>
          <w:rFonts w:asciiTheme="minorHAnsi" w:hAnsiTheme="minorHAnsi"/>
          <w:b/>
          <w:color w:val="000000" w:themeColor="text1"/>
          <w:sz w:val="28"/>
          <w:szCs w:val="24"/>
          <w:lang w:val="es-MX"/>
        </w:rPr>
      </w:pPr>
    </w:p>
    <w:p w14:paraId="57592CAD" w14:textId="77777777" w:rsidR="00D656B3" w:rsidRDefault="00D656B3" w:rsidP="000C6174">
      <w:pPr>
        <w:jc w:val="center"/>
        <w:rPr>
          <w:rFonts w:asciiTheme="minorHAnsi" w:hAnsiTheme="minorHAnsi"/>
          <w:b/>
          <w:color w:val="000000" w:themeColor="text1"/>
          <w:sz w:val="28"/>
          <w:szCs w:val="24"/>
          <w:lang w:val="es-MX"/>
        </w:rPr>
      </w:pPr>
    </w:p>
    <w:p w14:paraId="1313BCD8" w14:textId="77777777" w:rsidR="00D656B3" w:rsidRDefault="00D656B3" w:rsidP="000C6174">
      <w:pPr>
        <w:jc w:val="center"/>
        <w:rPr>
          <w:rFonts w:asciiTheme="minorHAnsi" w:hAnsiTheme="minorHAnsi"/>
          <w:b/>
          <w:color w:val="000000" w:themeColor="text1"/>
          <w:sz w:val="28"/>
          <w:szCs w:val="24"/>
          <w:lang w:val="es-MX"/>
        </w:rPr>
      </w:pPr>
    </w:p>
    <w:p w14:paraId="774075B2" w14:textId="77777777" w:rsidR="00D656B3" w:rsidRDefault="00D656B3" w:rsidP="000C6174">
      <w:pPr>
        <w:jc w:val="center"/>
        <w:rPr>
          <w:rFonts w:asciiTheme="minorHAnsi" w:hAnsiTheme="minorHAnsi"/>
          <w:b/>
          <w:color w:val="000000" w:themeColor="text1"/>
          <w:sz w:val="28"/>
          <w:szCs w:val="24"/>
          <w:lang w:val="es-MX"/>
        </w:rPr>
      </w:pPr>
    </w:p>
    <w:p w14:paraId="7EF01596" w14:textId="77777777" w:rsidR="00D656B3" w:rsidRDefault="00D656B3" w:rsidP="000C6174">
      <w:pPr>
        <w:jc w:val="center"/>
        <w:rPr>
          <w:rFonts w:asciiTheme="minorHAnsi" w:hAnsiTheme="minorHAnsi"/>
          <w:b/>
          <w:color w:val="000000" w:themeColor="text1"/>
          <w:sz w:val="28"/>
          <w:szCs w:val="24"/>
          <w:lang w:val="es-MX"/>
        </w:rPr>
      </w:pPr>
    </w:p>
    <w:p w14:paraId="5B79194C" w14:textId="77777777" w:rsidR="00D656B3" w:rsidRDefault="00D656B3" w:rsidP="000C6174">
      <w:pPr>
        <w:jc w:val="center"/>
        <w:rPr>
          <w:rFonts w:asciiTheme="minorHAnsi" w:hAnsiTheme="minorHAnsi"/>
          <w:b/>
          <w:color w:val="000000" w:themeColor="text1"/>
          <w:sz w:val="28"/>
          <w:szCs w:val="24"/>
          <w:lang w:val="es-MX"/>
        </w:rPr>
      </w:pPr>
    </w:p>
    <w:p w14:paraId="4FCC518C" w14:textId="77777777" w:rsidR="00D656B3" w:rsidRDefault="00D656B3" w:rsidP="000C6174">
      <w:pPr>
        <w:jc w:val="center"/>
        <w:rPr>
          <w:rFonts w:asciiTheme="minorHAnsi" w:hAnsiTheme="minorHAnsi"/>
          <w:b/>
          <w:color w:val="000000" w:themeColor="text1"/>
          <w:sz w:val="28"/>
          <w:szCs w:val="24"/>
          <w:lang w:val="es-MX"/>
        </w:rPr>
      </w:pPr>
    </w:p>
    <w:p w14:paraId="6C615900" w14:textId="77777777" w:rsidR="009658EA" w:rsidRPr="008420BC" w:rsidRDefault="009658EA" w:rsidP="009658EA">
      <w:pPr>
        <w:jc w:val="center"/>
        <w:rPr>
          <w:rFonts w:ascii="Calibri" w:eastAsiaTheme="minorHAnsi" w:hAnsi="Calibri" w:cs="Calibri"/>
          <w:b/>
          <w:lang w:val="es-419"/>
        </w:rPr>
      </w:pPr>
      <w:r w:rsidRPr="008420BC">
        <w:rPr>
          <w:rFonts w:ascii="Calibri" w:eastAsiaTheme="minorHAnsi" w:hAnsi="Calibri" w:cs="Calibri"/>
          <w:b/>
          <w:lang w:val="es-419"/>
        </w:rPr>
        <w:lastRenderedPageBreak/>
        <w:t>DESCRIPCIÓN DEL PROYECTO</w:t>
      </w:r>
    </w:p>
    <w:p w14:paraId="6DA0397A" w14:textId="77777777" w:rsidR="009658EA" w:rsidRPr="008420BC" w:rsidRDefault="009658EA" w:rsidP="009658EA">
      <w:pPr>
        <w:spacing w:after="160" w:line="259" w:lineRule="auto"/>
        <w:rPr>
          <w:rFonts w:ascii="Calibri" w:eastAsiaTheme="minorHAnsi" w:hAnsi="Calibri" w:cs="Calibri"/>
          <w:sz w:val="22"/>
          <w:szCs w:val="22"/>
          <w:lang w:val="es-419"/>
        </w:rPr>
      </w:pPr>
    </w:p>
    <w:p w14:paraId="36C9ED7D" w14:textId="77777777" w:rsidR="009658EA" w:rsidRPr="008420BC" w:rsidRDefault="009658EA" w:rsidP="009658EA">
      <w:pPr>
        <w:spacing w:after="160" w:line="259" w:lineRule="auto"/>
        <w:rPr>
          <w:rFonts w:eastAsiaTheme="minorHAnsi"/>
          <w:sz w:val="22"/>
          <w:szCs w:val="22"/>
          <w:lang w:val="es-419"/>
        </w:rPr>
      </w:pPr>
      <w:r w:rsidRPr="008420BC">
        <w:rPr>
          <w:rFonts w:eastAsiaTheme="minorHAnsi"/>
          <w:sz w:val="22"/>
          <w:szCs w:val="22"/>
          <w:lang w:val="es-419"/>
        </w:rPr>
        <w:t>Código del Proyecto</w:t>
      </w:r>
      <w:r w:rsidRPr="008420BC">
        <w:rPr>
          <w:rFonts w:eastAsiaTheme="minorHAnsi"/>
          <w:sz w:val="22"/>
          <w:szCs w:val="22"/>
          <w:lang w:val="es-419"/>
        </w:rPr>
        <w:tab/>
        <w:t>:</w:t>
      </w:r>
      <w:r w:rsidRPr="008420BC">
        <w:rPr>
          <w:rFonts w:eastAsiaTheme="minorHAnsi"/>
          <w:sz w:val="22"/>
          <w:szCs w:val="22"/>
          <w:lang w:val="es-419"/>
        </w:rPr>
        <w:tab/>
        <w:t>19886</w:t>
      </w:r>
    </w:p>
    <w:p w14:paraId="7BA8AB19" w14:textId="77777777" w:rsidR="009658EA" w:rsidRPr="008420BC" w:rsidRDefault="009658EA" w:rsidP="009658EA">
      <w:pPr>
        <w:spacing w:after="160" w:line="259" w:lineRule="auto"/>
        <w:rPr>
          <w:rFonts w:eastAsiaTheme="minorHAnsi"/>
          <w:sz w:val="22"/>
          <w:szCs w:val="22"/>
          <w:lang w:val="es-419"/>
        </w:rPr>
      </w:pPr>
      <w:r w:rsidRPr="008420BC">
        <w:rPr>
          <w:rFonts w:eastAsiaTheme="minorHAnsi"/>
          <w:sz w:val="22"/>
          <w:szCs w:val="22"/>
          <w:lang w:val="es-419"/>
        </w:rPr>
        <w:t>Nombre del Proyecto</w:t>
      </w:r>
      <w:r w:rsidRPr="008420BC">
        <w:rPr>
          <w:rFonts w:eastAsiaTheme="minorHAnsi"/>
          <w:sz w:val="22"/>
          <w:szCs w:val="22"/>
          <w:lang w:val="es-419"/>
        </w:rPr>
        <w:tab/>
        <w:t>:</w:t>
      </w:r>
      <w:r w:rsidRPr="008420BC">
        <w:rPr>
          <w:rFonts w:eastAsiaTheme="minorHAnsi"/>
          <w:sz w:val="22"/>
          <w:szCs w:val="22"/>
          <w:lang w:val="es-419"/>
        </w:rPr>
        <w:tab/>
      </w:r>
      <w:r w:rsidRPr="008F01F1">
        <w:rPr>
          <w:rFonts w:eastAsiaTheme="minorHAnsi"/>
          <w:sz w:val="22"/>
          <w:szCs w:val="22"/>
          <w:highlight w:val="yellow"/>
          <w:lang w:val="es-419"/>
        </w:rPr>
        <w:t>Agua y Saneamiento Comunidad La Concepción.</w:t>
      </w:r>
      <w:r w:rsidRPr="00A71156">
        <w:rPr>
          <w:rFonts w:eastAsiaTheme="minorHAnsi"/>
          <w:sz w:val="22"/>
          <w:szCs w:val="22"/>
          <w:highlight w:val="yellow"/>
          <w:lang w:val="es-419"/>
        </w:rPr>
        <w:t xml:space="preserve"> (LOTE N°1)</w:t>
      </w:r>
    </w:p>
    <w:p w14:paraId="10B8E45B" w14:textId="77777777" w:rsidR="009658EA" w:rsidRPr="008420BC" w:rsidRDefault="009658EA" w:rsidP="009658EA">
      <w:pPr>
        <w:spacing w:after="160" w:line="259" w:lineRule="auto"/>
        <w:rPr>
          <w:rFonts w:eastAsiaTheme="minorHAnsi"/>
          <w:sz w:val="22"/>
          <w:szCs w:val="22"/>
          <w:lang w:val="es-419"/>
        </w:rPr>
      </w:pPr>
      <w:r w:rsidRPr="008420BC">
        <w:rPr>
          <w:rFonts w:eastAsiaTheme="minorHAnsi"/>
          <w:sz w:val="22"/>
          <w:szCs w:val="22"/>
          <w:lang w:val="es-419"/>
        </w:rPr>
        <w:t>Departamento</w:t>
      </w:r>
      <w:r w:rsidRPr="008420BC">
        <w:rPr>
          <w:rFonts w:eastAsiaTheme="minorHAnsi"/>
          <w:sz w:val="22"/>
          <w:szCs w:val="22"/>
          <w:lang w:val="es-419"/>
        </w:rPr>
        <w:tab/>
      </w:r>
      <w:r w:rsidRPr="008420BC">
        <w:rPr>
          <w:rFonts w:eastAsiaTheme="minorHAnsi"/>
          <w:sz w:val="22"/>
          <w:szCs w:val="22"/>
          <w:lang w:val="es-419"/>
        </w:rPr>
        <w:tab/>
        <w:t>:</w:t>
      </w:r>
      <w:r w:rsidRPr="008420BC">
        <w:rPr>
          <w:rFonts w:eastAsiaTheme="minorHAnsi"/>
          <w:sz w:val="22"/>
          <w:szCs w:val="22"/>
          <w:lang w:val="es-419"/>
        </w:rPr>
        <w:tab/>
      </w:r>
      <w:r w:rsidRPr="008420BC">
        <w:rPr>
          <w:rFonts w:eastAsiaTheme="minorHAnsi"/>
          <w:sz w:val="22"/>
          <w:szCs w:val="22"/>
          <w:lang w:val="es-419"/>
        </w:rPr>
        <w:fldChar w:fldCharType="begin"/>
      </w:r>
      <w:r w:rsidRPr="008420BC">
        <w:rPr>
          <w:rFonts w:eastAsiaTheme="minorHAnsi"/>
          <w:sz w:val="22"/>
          <w:szCs w:val="22"/>
          <w:lang w:val="es-419"/>
        </w:rPr>
        <w:instrText xml:space="preserve"> DOCVARIABLE  Depto</w:instrText>
      </w:r>
      <w:r w:rsidRPr="008420BC">
        <w:rPr>
          <w:rFonts w:eastAsiaTheme="minorHAnsi"/>
          <w:sz w:val="22"/>
          <w:szCs w:val="22"/>
          <w:lang w:val="es-419"/>
        </w:rPr>
        <w:fldChar w:fldCharType="separate"/>
      </w:r>
      <w:r w:rsidRPr="008420BC">
        <w:rPr>
          <w:rFonts w:eastAsiaTheme="minorHAnsi"/>
          <w:sz w:val="22"/>
          <w:szCs w:val="22"/>
          <w:lang w:val="es-419"/>
        </w:rPr>
        <w:t>Madriz</w:t>
      </w:r>
      <w:r w:rsidRPr="008420BC">
        <w:rPr>
          <w:rFonts w:eastAsiaTheme="minorHAnsi"/>
          <w:sz w:val="22"/>
          <w:szCs w:val="22"/>
          <w:lang w:val="es-419"/>
        </w:rPr>
        <w:fldChar w:fldCharType="end"/>
      </w:r>
    </w:p>
    <w:p w14:paraId="201D3DB8" w14:textId="77777777" w:rsidR="009658EA" w:rsidRPr="008420BC" w:rsidRDefault="009658EA" w:rsidP="009658EA">
      <w:pPr>
        <w:spacing w:after="160" w:line="259" w:lineRule="auto"/>
        <w:rPr>
          <w:rFonts w:eastAsiaTheme="minorHAnsi"/>
          <w:sz w:val="22"/>
          <w:szCs w:val="22"/>
          <w:lang w:val="es-419"/>
        </w:rPr>
      </w:pPr>
      <w:r w:rsidRPr="008420BC">
        <w:rPr>
          <w:rFonts w:eastAsiaTheme="minorHAnsi"/>
          <w:sz w:val="22"/>
          <w:szCs w:val="22"/>
          <w:lang w:val="es-419"/>
        </w:rPr>
        <w:t>Municipio</w:t>
      </w:r>
      <w:r w:rsidRPr="008420BC">
        <w:rPr>
          <w:rFonts w:eastAsiaTheme="minorHAnsi"/>
          <w:sz w:val="22"/>
          <w:szCs w:val="22"/>
          <w:lang w:val="es-419"/>
        </w:rPr>
        <w:tab/>
      </w:r>
      <w:r w:rsidRPr="008420BC">
        <w:rPr>
          <w:rFonts w:eastAsiaTheme="minorHAnsi"/>
          <w:sz w:val="22"/>
          <w:szCs w:val="22"/>
          <w:lang w:val="es-419"/>
        </w:rPr>
        <w:tab/>
        <w:t>:</w:t>
      </w:r>
      <w:r w:rsidRPr="008420BC">
        <w:rPr>
          <w:rFonts w:eastAsiaTheme="minorHAnsi"/>
          <w:sz w:val="22"/>
          <w:szCs w:val="22"/>
          <w:lang w:val="es-419"/>
        </w:rPr>
        <w:tab/>
        <w:t>Palacagüina</w:t>
      </w:r>
    </w:p>
    <w:p w14:paraId="1CD57A56" w14:textId="77777777" w:rsidR="009658EA" w:rsidRPr="008420BC" w:rsidRDefault="009658EA" w:rsidP="009658EA">
      <w:pPr>
        <w:pBdr>
          <w:bottom w:val="single" w:sz="12" w:space="1" w:color="auto"/>
        </w:pBdr>
        <w:spacing w:after="160" w:line="259" w:lineRule="auto"/>
        <w:rPr>
          <w:rFonts w:eastAsiaTheme="minorHAnsi"/>
          <w:sz w:val="22"/>
          <w:szCs w:val="22"/>
          <w:lang w:val="es-419"/>
        </w:rPr>
      </w:pPr>
    </w:p>
    <w:p w14:paraId="44C2FB73" w14:textId="77777777" w:rsidR="009658EA" w:rsidRDefault="009658EA" w:rsidP="009658EA">
      <w:pPr>
        <w:jc w:val="center"/>
        <w:rPr>
          <w:b/>
          <w:sz w:val="22"/>
          <w:szCs w:val="22"/>
        </w:rPr>
      </w:pPr>
    </w:p>
    <w:p w14:paraId="07354C30" w14:textId="77777777" w:rsidR="009658EA" w:rsidRPr="005D365B" w:rsidRDefault="009658EA" w:rsidP="009658EA">
      <w:pPr>
        <w:rPr>
          <w:sz w:val="22"/>
          <w:szCs w:val="22"/>
        </w:rPr>
      </w:pPr>
      <w:r w:rsidRPr="005D365B">
        <w:rPr>
          <w:sz w:val="22"/>
          <w:szCs w:val="22"/>
        </w:rPr>
        <w:t xml:space="preserve">La duración de los proyectos se estima en </w:t>
      </w:r>
      <w:r>
        <w:rPr>
          <w:sz w:val="22"/>
          <w:szCs w:val="22"/>
        </w:rPr>
        <w:t xml:space="preserve">cuatrocientos ochenta y cinco </w:t>
      </w:r>
      <w:r w:rsidRPr="005D365B">
        <w:rPr>
          <w:sz w:val="22"/>
          <w:szCs w:val="22"/>
        </w:rPr>
        <w:t>(</w:t>
      </w:r>
      <w:r>
        <w:rPr>
          <w:sz w:val="22"/>
          <w:szCs w:val="22"/>
        </w:rPr>
        <w:t>365</w:t>
      </w:r>
      <w:r w:rsidRPr="005D365B">
        <w:rPr>
          <w:sz w:val="22"/>
          <w:szCs w:val="22"/>
        </w:rPr>
        <w:t>) días calendario, plazo que incluye:</w:t>
      </w:r>
    </w:p>
    <w:p w14:paraId="22B88603" w14:textId="77777777" w:rsidR="009658EA" w:rsidRPr="005D365B" w:rsidRDefault="009658EA" w:rsidP="009658EA">
      <w:pPr>
        <w:rPr>
          <w:sz w:val="22"/>
          <w:szCs w:val="22"/>
        </w:rPr>
      </w:pPr>
    </w:p>
    <w:p w14:paraId="1BF9D9E3" w14:textId="77777777" w:rsidR="009658EA" w:rsidRPr="005D365B" w:rsidRDefault="009658EA" w:rsidP="009658EA">
      <w:pPr>
        <w:rPr>
          <w:sz w:val="22"/>
          <w:szCs w:val="22"/>
        </w:rPr>
      </w:pPr>
      <w:r w:rsidRPr="005D365B">
        <w:rPr>
          <w:sz w:val="22"/>
          <w:szCs w:val="22"/>
        </w:rPr>
        <w:t xml:space="preserve">•   </w:t>
      </w:r>
      <w:r>
        <w:rPr>
          <w:sz w:val="22"/>
          <w:szCs w:val="22"/>
        </w:rPr>
        <w:t>60</w:t>
      </w:r>
      <w:r w:rsidRPr="005D365B">
        <w:rPr>
          <w:sz w:val="22"/>
          <w:szCs w:val="22"/>
        </w:rPr>
        <w:t xml:space="preserve"> días para realizar actividades de Pre-Construcción</w:t>
      </w:r>
      <w:r>
        <w:rPr>
          <w:sz w:val="22"/>
          <w:szCs w:val="22"/>
        </w:rPr>
        <w:t>.</w:t>
      </w:r>
      <w:r w:rsidRPr="00D6476D">
        <w:rPr>
          <w:sz w:val="22"/>
          <w:szCs w:val="22"/>
        </w:rPr>
        <w:t xml:space="preserve"> (Estas actividades deben ir paralelas a la ejecución y no limita el avance de la misma)</w:t>
      </w:r>
      <w:r>
        <w:rPr>
          <w:sz w:val="22"/>
          <w:szCs w:val="22"/>
        </w:rPr>
        <w:t xml:space="preserve">, </w:t>
      </w:r>
      <w:r w:rsidRPr="005D365B">
        <w:rPr>
          <w:sz w:val="22"/>
          <w:szCs w:val="22"/>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5B28A72A" w14:textId="77777777" w:rsidR="009658EA" w:rsidRPr="005D365B" w:rsidRDefault="009658EA" w:rsidP="009658EA">
      <w:pPr>
        <w:rPr>
          <w:sz w:val="22"/>
          <w:szCs w:val="22"/>
        </w:rPr>
      </w:pPr>
    </w:p>
    <w:p w14:paraId="41A1DDF5" w14:textId="77777777" w:rsidR="009658EA" w:rsidRPr="00D6476D" w:rsidRDefault="009658EA" w:rsidP="009658EA">
      <w:pPr>
        <w:pStyle w:val="Prrafodelista"/>
        <w:numPr>
          <w:ilvl w:val="0"/>
          <w:numId w:val="207"/>
        </w:numPr>
        <w:contextualSpacing/>
        <w:rPr>
          <w:sz w:val="22"/>
          <w:szCs w:val="22"/>
        </w:rPr>
      </w:pPr>
      <w:r>
        <w:rPr>
          <w:sz w:val="22"/>
          <w:szCs w:val="22"/>
        </w:rPr>
        <w:t xml:space="preserve">215 días para la construcción de las obras civiles. </w:t>
      </w:r>
    </w:p>
    <w:p w14:paraId="79CCE8D3" w14:textId="77777777" w:rsidR="009658EA" w:rsidRPr="005D365B" w:rsidRDefault="009658EA" w:rsidP="009658EA">
      <w:pPr>
        <w:rPr>
          <w:sz w:val="22"/>
          <w:szCs w:val="22"/>
        </w:rPr>
      </w:pPr>
    </w:p>
    <w:p w14:paraId="450CEB47" w14:textId="77777777" w:rsidR="009658EA" w:rsidRPr="005D365B" w:rsidRDefault="009658EA" w:rsidP="009658EA">
      <w:pPr>
        <w:rPr>
          <w:sz w:val="22"/>
          <w:szCs w:val="22"/>
        </w:rPr>
      </w:pPr>
      <w:r w:rsidRPr="005D365B">
        <w:rPr>
          <w:sz w:val="22"/>
          <w:szCs w:val="22"/>
        </w:rPr>
        <w:t>Construcción de la obra de acuerdo a los planos, especificaciones técnicas, respetando la programación realizada, tanto para la parte física y social.</w:t>
      </w:r>
    </w:p>
    <w:p w14:paraId="1BAAC9C1" w14:textId="77777777" w:rsidR="009658EA" w:rsidRPr="005D365B" w:rsidRDefault="009658EA" w:rsidP="009658EA">
      <w:pPr>
        <w:rPr>
          <w:sz w:val="22"/>
          <w:szCs w:val="22"/>
        </w:rPr>
      </w:pPr>
    </w:p>
    <w:p w14:paraId="020AA51E" w14:textId="77777777" w:rsidR="009658EA" w:rsidRPr="005D365B" w:rsidRDefault="009658EA" w:rsidP="009658EA">
      <w:pPr>
        <w:rPr>
          <w:sz w:val="22"/>
          <w:szCs w:val="22"/>
        </w:rPr>
      </w:pPr>
      <w:r>
        <w:rPr>
          <w:sz w:val="22"/>
          <w:szCs w:val="22"/>
        </w:rPr>
        <w:t>•</w:t>
      </w:r>
      <w:r w:rsidRPr="005D365B">
        <w:rPr>
          <w:sz w:val="22"/>
          <w:szCs w:val="22"/>
        </w:rPr>
        <w:t>90 días para realizar actividades de Post-obra. Post obra social de acuerdo a las especificaciones técnicas.</w:t>
      </w:r>
    </w:p>
    <w:p w14:paraId="6D6D259F" w14:textId="77777777" w:rsidR="009658EA" w:rsidRPr="008420BC" w:rsidRDefault="009658EA" w:rsidP="009658EA">
      <w:pPr>
        <w:rPr>
          <w:b/>
          <w:sz w:val="22"/>
          <w:szCs w:val="22"/>
        </w:rPr>
      </w:pPr>
    </w:p>
    <w:p w14:paraId="0F4927AC" w14:textId="77777777" w:rsidR="009658EA" w:rsidRPr="008420BC" w:rsidRDefault="009658EA" w:rsidP="009658EA">
      <w:pPr>
        <w:rPr>
          <w:sz w:val="22"/>
          <w:szCs w:val="22"/>
        </w:rPr>
      </w:pPr>
      <w:r w:rsidRPr="008420BC">
        <w:rPr>
          <w:sz w:val="22"/>
          <w:szCs w:val="22"/>
        </w:rPr>
        <w:t>El proyecto consiste en la construcción de un mini acueducto por bombeo eléctrico (MABE) diseñado para llevar el agua desde un pozo perforado hasta un tanque cisterna de almacenamiento de concreto reforzado para posteriormente por gravedad, mediante una red de distribución, abastecer cada una de las viviendas beneficiadas</w:t>
      </w:r>
    </w:p>
    <w:p w14:paraId="0483B30D" w14:textId="77777777" w:rsidR="009658EA" w:rsidRPr="008420BC" w:rsidRDefault="009658EA" w:rsidP="009658EA">
      <w:pPr>
        <w:rPr>
          <w:sz w:val="22"/>
          <w:szCs w:val="22"/>
        </w:rPr>
      </w:pPr>
    </w:p>
    <w:p w14:paraId="4B78AABA" w14:textId="77777777" w:rsidR="009658EA" w:rsidRPr="008420BC" w:rsidRDefault="009658EA" w:rsidP="009658EA">
      <w:pPr>
        <w:rPr>
          <w:sz w:val="22"/>
          <w:szCs w:val="22"/>
        </w:rPr>
      </w:pPr>
      <w:r w:rsidRPr="008420BC">
        <w:rPr>
          <w:sz w:val="22"/>
          <w:szCs w:val="22"/>
        </w:rPr>
        <w:t>El pozo perforado debe ser construido en el predio denominado Barranco Colorado ubicado a la orilla de la carretera Palacagüina-San Juan de Telpaneca y tiene una profundidad de 60 m, el Tanque Cisterna de concreto reforzado tiene una capacidad de 11,740 GLN (44 m³), La línea de conducción de tubería HFD y Ho.Go tiene una longitud de 5,008 m, la Red de distribución tiene una longitud de 6,964.00 m de tubería SDR 26 con diámetros de 1 ½ y 2".</w:t>
      </w:r>
    </w:p>
    <w:p w14:paraId="6F3A7377" w14:textId="77777777" w:rsidR="009658EA" w:rsidRPr="008420BC" w:rsidRDefault="009658EA" w:rsidP="009658EA">
      <w:pPr>
        <w:rPr>
          <w:sz w:val="22"/>
          <w:szCs w:val="22"/>
        </w:rPr>
      </w:pPr>
    </w:p>
    <w:p w14:paraId="306C8A87" w14:textId="77777777" w:rsidR="009658EA" w:rsidRPr="008420BC" w:rsidRDefault="009658EA" w:rsidP="009658EA">
      <w:pPr>
        <w:rPr>
          <w:sz w:val="22"/>
          <w:szCs w:val="22"/>
        </w:rPr>
      </w:pPr>
      <w:r w:rsidRPr="008420BC">
        <w:rPr>
          <w:sz w:val="22"/>
          <w:szCs w:val="22"/>
        </w:rPr>
        <w:t xml:space="preserve">La cobertura del sistema proyectado alcanza el 100% de las viviendas de la comunidad. El nivel de servicio proyectado es de conexiones domiciliares de patio, de acuerdo a la demanda de la comunidad se debe están construyendo 217 conexiones. </w:t>
      </w:r>
    </w:p>
    <w:p w14:paraId="4F0B1EE8" w14:textId="77777777" w:rsidR="009658EA" w:rsidRPr="008420BC" w:rsidRDefault="009658EA" w:rsidP="009658EA">
      <w:pPr>
        <w:rPr>
          <w:sz w:val="22"/>
          <w:szCs w:val="22"/>
        </w:rPr>
      </w:pPr>
    </w:p>
    <w:p w14:paraId="78AD7728" w14:textId="77777777" w:rsidR="009658EA" w:rsidRPr="008420BC" w:rsidRDefault="009658EA" w:rsidP="009658EA">
      <w:pPr>
        <w:rPr>
          <w:sz w:val="22"/>
          <w:szCs w:val="22"/>
        </w:rPr>
      </w:pPr>
      <w:r w:rsidRPr="008420BC">
        <w:rPr>
          <w:sz w:val="22"/>
          <w:szCs w:val="22"/>
        </w:rPr>
        <w:t>El componente de saneamiento consiste en la construcción de 191 unidades sanitarias para la disposición de excretas, específicamente Letrinas Semi elevadas, distribuidas en 72 para las viviendas que no cuentan con una opción de saneamiento más 119 para las viviendas que tienen sus letrinas caídas o en mal estado y 191 lavaderos de concreto de fabricación nacional a ser instalados cercanos a la vivienda y sobre el trayecto hacia la letrina, con el propósito de promover hábitos de higiene.</w:t>
      </w:r>
    </w:p>
    <w:p w14:paraId="31C1214F" w14:textId="77777777" w:rsidR="009658EA" w:rsidRPr="008420BC" w:rsidRDefault="009658EA" w:rsidP="009658EA">
      <w:pPr>
        <w:rPr>
          <w:sz w:val="22"/>
          <w:szCs w:val="22"/>
        </w:rPr>
      </w:pPr>
    </w:p>
    <w:p w14:paraId="59279D34" w14:textId="77777777" w:rsidR="009658EA" w:rsidRPr="008420BC" w:rsidRDefault="009658EA" w:rsidP="009658EA">
      <w:pPr>
        <w:rPr>
          <w:sz w:val="22"/>
          <w:szCs w:val="22"/>
        </w:rPr>
      </w:pPr>
      <w:r w:rsidRPr="008420BC">
        <w:rPr>
          <w:sz w:val="22"/>
          <w:szCs w:val="22"/>
        </w:rPr>
        <w:lastRenderedPageBreak/>
        <w:t>El componente de acompañamiento de los procesos sociales del proyecto. Su implementación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5FC6B4FF" w14:textId="77777777" w:rsidR="009658EA" w:rsidRPr="008420BC" w:rsidRDefault="009658EA" w:rsidP="009658EA">
      <w:pPr>
        <w:rPr>
          <w:sz w:val="22"/>
          <w:szCs w:val="22"/>
        </w:rPr>
      </w:pPr>
    </w:p>
    <w:p w14:paraId="651A840F" w14:textId="77777777" w:rsidR="009658EA" w:rsidRPr="008420BC" w:rsidRDefault="009658EA" w:rsidP="009658EA">
      <w:pPr>
        <w:rPr>
          <w:sz w:val="22"/>
          <w:szCs w:val="22"/>
        </w:rPr>
      </w:pPr>
      <w:r w:rsidRPr="008420BC">
        <w:rPr>
          <w:sz w:val="22"/>
          <w:szCs w:val="22"/>
        </w:rPr>
        <w:t>Cabe señalar que la tecnología seleccionada tanto en agua como saneamiento, se adapta a las condiciones socioeconómicas, técnicas, culturales y ambientales del territorio.</w:t>
      </w:r>
    </w:p>
    <w:p w14:paraId="45492318" w14:textId="77777777" w:rsidR="009658EA" w:rsidRPr="008420BC" w:rsidRDefault="009658EA" w:rsidP="009658EA">
      <w:pPr>
        <w:rPr>
          <w:sz w:val="22"/>
          <w:szCs w:val="22"/>
        </w:rPr>
      </w:pPr>
    </w:p>
    <w:p w14:paraId="21D41BEC" w14:textId="77777777" w:rsidR="009658EA" w:rsidRPr="008420BC" w:rsidRDefault="009658EA" w:rsidP="009658EA">
      <w:pPr>
        <w:rPr>
          <w:sz w:val="22"/>
          <w:szCs w:val="22"/>
        </w:rPr>
      </w:pPr>
      <w:r w:rsidRPr="008420BC">
        <w:rPr>
          <w:sz w:val="22"/>
          <w:szCs w:val="22"/>
        </w:rPr>
        <w:t>El MABE debe ser activado con fuente de energía eléctrica del interconectado nacional de media y baja tensión. El punto de derivación se localiza en la comunidad La Barranco Colorado sobre la carretera Telpaneca - San Juan del Río Coco, a unos 90 metros del pozo. que es el sitio más cercano al predio donde debe estar ubicada la estación de bombeo.</w:t>
      </w:r>
    </w:p>
    <w:p w14:paraId="613FFC28" w14:textId="77777777" w:rsidR="009658EA" w:rsidRPr="008420BC" w:rsidRDefault="009658EA" w:rsidP="009658EA">
      <w:pPr>
        <w:rPr>
          <w:sz w:val="22"/>
          <w:szCs w:val="22"/>
        </w:rPr>
      </w:pPr>
    </w:p>
    <w:p w14:paraId="6EB9790C" w14:textId="77777777" w:rsidR="009658EA" w:rsidRPr="008420BC" w:rsidRDefault="009658EA" w:rsidP="009658EA">
      <w:pPr>
        <w:rPr>
          <w:sz w:val="22"/>
          <w:szCs w:val="22"/>
        </w:rPr>
      </w:pPr>
      <w:r w:rsidRPr="008420BC">
        <w:rPr>
          <w:sz w:val="22"/>
          <w:szCs w:val="22"/>
        </w:rPr>
        <w:t>A continuación, se describe brevemente la alternativa aprobada por la Comunidad, en Asamblea de Concertación.</w:t>
      </w:r>
    </w:p>
    <w:p w14:paraId="5C65BE7D" w14:textId="77777777" w:rsidR="009658EA" w:rsidRPr="008420BC" w:rsidRDefault="009658EA" w:rsidP="009658EA">
      <w:pPr>
        <w:rPr>
          <w:sz w:val="22"/>
          <w:szCs w:val="22"/>
        </w:rPr>
      </w:pPr>
    </w:p>
    <w:p w14:paraId="4649A870" w14:textId="77777777" w:rsidR="009658EA" w:rsidRPr="008420BC" w:rsidRDefault="009658EA" w:rsidP="009658EA">
      <w:pPr>
        <w:rPr>
          <w:sz w:val="22"/>
          <w:szCs w:val="22"/>
        </w:rPr>
      </w:pPr>
      <w:r w:rsidRPr="008420BC">
        <w:rPr>
          <w:sz w:val="22"/>
          <w:szCs w:val="22"/>
        </w:rPr>
        <w:t>El proyecto se estructura en tres componentes: Agua Potable, Saneamiento y Acompañamiento Social, el primer componente es un MABE y se configura de la siguiente manera: fuente de agua subterránea (pozo perforado) como obra de captación - sistema de bombeo - tubería de conducción - sistema de desinfección - tanque de almacenamiento - red de tubería de distribución y conexión domiciliar de patio con micromedición. Esta configuración permite el 100% de cobertura de la máxima demanda actual y futura de la población, para un período de diseño de 20 años. El Componente de Saneamiento e Higiene comprende como alternativa seleccionada la Letrina Sencilla Semi-elevada y la instalación de lavaderos sencillos de fabricación nacional para la higiene.</w:t>
      </w:r>
    </w:p>
    <w:p w14:paraId="12CFA12A" w14:textId="77777777" w:rsidR="009658EA" w:rsidRPr="008420BC" w:rsidRDefault="009658EA" w:rsidP="009658EA">
      <w:pPr>
        <w:rPr>
          <w:sz w:val="22"/>
          <w:szCs w:val="22"/>
        </w:rPr>
      </w:pPr>
    </w:p>
    <w:p w14:paraId="42667EE1" w14:textId="77777777" w:rsidR="009658EA" w:rsidRPr="008420BC" w:rsidRDefault="009658EA" w:rsidP="009658EA">
      <w:pPr>
        <w:rPr>
          <w:sz w:val="22"/>
          <w:szCs w:val="22"/>
        </w:rPr>
      </w:pPr>
      <w:r w:rsidRPr="008420BC">
        <w:rPr>
          <w:sz w:val="22"/>
          <w:szCs w:val="22"/>
        </w:rPr>
        <w:t>La comunidad está compuesta por 209 viviendas y 08 instituciones entre las que destacan 4 Iglesias, 1 Pre-escolar, 1 Escuela Primaria, 1 Casa Base y 1 Banco de Semillas.</w:t>
      </w:r>
    </w:p>
    <w:p w14:paraId="711E6789" w14:textId="77777777" w:rsidR="009658EA" w:rsidRPr="008420BC" w:rsidRDefault="009658EA" w:rsidP="009658EA">
      <w:pPr>
        <w:rPr>
          <w:sz w:val="22"/>
          <w:szCs w:val="22"/>
        </w:rPr>
      </w:pPr>
      <w:r w:rsidRPr="008420BC">
        <w:rPr>
          <w:sz w:val="22"/>
          <w:szCs w:val="22"/>
        </w:rPr>
        <w:t>.</w:t>
      </w:r>
    </w:p>
    <w:p w14:paraId="3676DEE4" w14:textId="77777777" w:rsidR="009658EA" w:rsidRPr="008420BC" w:rsidRDefault="009658EA" w:rsidP="009658EA">
      <w:pPr>
        <w:rPr>
          <w:sz w:val="22"/>
          <w:szCs w:val="22"/>
        </w:rPr>
      </w:pPr>
      <w:r w:rsidRPr="008420BC">
        <w:rPr>
          <w:sz w:val="22"/>
          <w:szCs w:val="22"/>
        </w:rPr>
        <w:t>A continuación, se describe cada componente.</w:t>
      </w:r>
    </w:p>
    <w:p w14:paraId="0951AEDE" w14:textId="77777777" w:rsidR="009658EA" w:rsidRPr="008420BC" w:rsidRDefault="009658EA" w:rsidP="009658EA">
      <w:pPr>
        <w:rPr>
          <w:sz w:val="22"/>
          <w:szCs w:val="22"/>
        </w:rPr>
      </w:pPr>
    </w:p>
    <w:p w14:paraId="1DAE2C8E" w14:textId="77777777" w:rsidR="009658EA" w:rsidRPr="008420BC" w:rsidRDefault="009658EA" w:rsidP="009658EA">
      <w:pPr>
        <w:rPr>
          <w:b/>
          <w:sz w:val="22"/>
          <w:szCs w:val="22"/>
        </w:rPr>
      </w:pPr>
      <w:r w:rsidRPr="008420BC">
        <w:rPr>
          <w:b/>
          <w:sz w:val="22"/>
          <w:szCs w:val="22"/>
        </w:rPr>
        <w:t>COMPONENTE I</w:t>
      </w:r>
      <w:r w:rsidRPr="008420BC">
        <w:rPr>
          <w:b/>
          <w:sz w:val="22"/>
          <w:szCs w:val="22"/>
        </w:rPr>
        <w:tab/>
        <w:t xml:space="preserve">AGUA POTABLE </w:t>
      </w:r>
    </w:p>
    <w:p w14:paraId="3DEFF603" w14:textId="77777777" w:rsidR="009658EA" w:rsidRPr="008420BC" w:rsidRDefault="009658EA" w:rsidP="009658EA">
      <w:pPr>
        <w:rPr>
          <w:sz w:val="22"/>
          <w:szCs w:val="22"/>
        </w:rPr>
      </w:pPr>
    </w:p>
    <w:p w14:paraId="39BDB44C" w14:textId="77777777" w:rsidR="009658EA" w:rsidRPr="008420BC" w:rsidRDefault="009658EA" w:rsidP="009658EA">
      <w:pPr>
        <w:rPr>
          <w:b/>
          <w:sz w:val="22"/>
          <w:szCs w:val="22"/>
        </w:rPr>
      </w:pPr>
      <w:r w:rsidRPr="008420BC">
        <w:rPr>
          <w:b/>
          <w:sz w:val="22"/>
          <w:szCs w:val="22"/>
        </w:rPr>
        <w:t>1.1</w:t>
      </w:r>
      <w:r w:rsidRPr="008420BC">
        <w:rPr>
          <w:b/>
          <w:sz w:val="22"/>
          <w:szCs w:val="22"/>
        </w:rPr>
        <w:tab/>
        <w:t>Obra de toma:</w:t>
      </w:r>
    </w:p>
    <w:p w14:paraId="3DBA8DF8" w14:textId="77777777" w:rsidR="009658EA" w:rsidRPr="008420BC" w:rsidRDefault="009658EA" w:rsidP="009658EA">
      <w:pPr>
        <w:rPr>
          <w:sz w:val="22"/>
          <w:szCs w:val="22"/>
        </w:rPr>
      </w:pPr>
    </w:p>
    <w:p w14:paraId="38E52C13" w14:textId="77777777" w:rsidR="009658EA" w:rsidRPr="008420BC" w:rsidRDefault="009658EA" w:rsidP="009658EA">
      <w:pPr>
        <w:rPr>
          <w:sz w:val="22"/>
          <w:szCs w:val="22"/>
        </w:rPr>
      </w:pPr>
      <w:r w:rsidRPr="008420BC">
        <w:rPr>
          <w:sz w:val="22"/>
          <w:szCs w:val="22"/>
        </w:rPr>
        <w:t>Esta consiste en la construcción de un pozo perforado con las siguientes características diámetro Ø 14", ademe con tubería PVC SDR 21 de Ø 8", con una profundidad de 196.85 pies. Ubicado en las coordenadas Este:565803 m, Norte:1459617 m.a una elevación de 558.6 msnm.</w:t>
      </w:r>
    </w:p>
    <w:p w14:paraId="4AD8AB98" w14:textId="77777777" w:rsidR="009658EA" w:rsidRPr="008420BC" w:rsidRDefault="009658EA" w:rsidP="009658EA">
      <w:pPr>
        <w:rPr>
          <w:sz w:val="22"/>
          <w:szCs w:val="22"/>
        </w:rPr>
      </w:pPr>
    </w:p>
    <w:p w14:paraId="753BC620" w14:textId="77777777" w:rsidR="009658EA" w:rsidRPr="008420BC" w:rsidRDefault="009658EA" w:rsidP="009658EA">
      <w:pPr>
        <w:pStyle w:val="Prrafodelista"/>
        <w:numPr>
          <w:ilvl w:val="0"/>
          <w:numId w:val="118"/>
        </w:numPr>
        <w:contextualSpacing/>
        <w:rPr>
          <w:sz w:val="22"/>
          <w:szCs w:val="22"/>
        </w:rPr>
      </w:pPr>
      <w:r w:rsidRPr="008420BC">
        <w:rPr>
          <w:sz w:val="22"/>
          <w:szCs w:val="22"/>
        </w:rPr>
        <w:t>Profundidad total: 196.85 pies (60 m)</w:t>
      </w:r>
    </w:p>
    <w:p w14:paraId="112CA6A6" w14:textId="77777777" w:rsidR="009658EA" w:rsidRPr="008420BC" w:rsidRDefault="009658EA" w:rsidP="009658EA">
      <w:pPr>
        <w:pStyle w:val="Prrafodelista"/>
        <w:numPr>
          <w:ilvl w:val="0"/>
          <w:numId w:val="118"/>
        </w:numPr>
        <w:contextualSpacing/>
        <w:rPr>
          <w:sz w:val="22"/>
          <w:szCs w:val="22"/>
        </w:rPr>
      </w:pPr>
      <w:r w:rsidRPr="008420BC">
        <w:rPr>
          <w:sz w:val="22"/>
          <w:szCs w:val="22"/>
        </w:rPr>
        <w:t>NF* promedio: 33.46 pies (10.2 m)</w:t>
      </w:r>
    </w:p>
    <w:p w14:paraId="7901ECDE" w14:textId="77777777" w:rsidR="009658EA" w:rsidRPr="008420BC" w:rsidRDefault="009658EA" w:rsidP="009658EA">
      <w:pPr>
        <w:pStyle w:val="Prrafodelista"/>
        <w:numPr>
          <w:ilvl w:val="0"/>
          <w:numId w:val="118"/>
        </w:numPr>
        <w:contextualSpacing/>
        <w:rPr>
          <w:sz w:val="22"/>
          <w:szCs w:val="22"/>
        </w:rPr>
      </w:pPr>
      <w:r w:rsidRPr="008420BC">
        <w:rPr>
          <w:sz w:val="22"/>
          <w:szCs w:val="22"/>
        </w:rPr>
        <w:t>Sello sanitario 30 pies (Arcilla Coloidal y Mortero proporción 1:1)</w:t>
      </w:r>
    </w:p>
    <w:p w14:paraId="59E8F430" w14:textId="77777777" w:rsidR="009658EA" w:rsidRPr="008420BC" w:rsidRDefault="009658EA" w:rsidP="009658EA">
      <w:pPr>
        <w:pStyle w:val="Prrafodelista"/>
        <w:numPr>
          <w:ilvl w:val="0"/>
          <w:numId w:val="118"/>
        </w:numPr>
        <w:contextualSpacing/>
        <w:rPr>
          <w:sz w:val="22"/>
          <w:szCs w:val="22"/>
        </w:rPr>
      </w:pPr>
      <w:r w:rsidRPr="008420BC">
        <w:rPr>
          <w:sz w:val="22"/>
          <w:szCs w:val="22"/>
        </w:rPr>
        <w:t xml:space="preserve">Diámetro de perforación: 14 pulgadas </w:t>
      </w:r>
    </w:p>
    <w:p w14:paraId="58ECB2DF" w14:textId="77777777" w:rsidR="009658EA" w:rsidRPr="008420BC" w:rsidRDefault="009658EA" w:rsidP="009658EA">
      <w:pPr>
        <w:pStyle w:val="Prrafodelista"/>
        <w:numPr>
          <w:ilvl w:val="0"/>
          <w:numId w:val="118"/>
        </w:numPr>
        <w:contextualSpacing/>
        <w:rPr>
          <w:sz w:val="22"/>
          <w:szCs w:val="22"/>
        </w:rPr>
      </w:pPr>
      <w:r w:rsidRPr="008420BC">
        <w:rPr>
          <w:sz w:val="22"/>
          <w:szCs w:val="22"/>
        </w:rPr>
        <w:t>Ademe del pozo: Tubería diámetro 8" para tubería ciega y ranurada</w:t>
      </w:r>
    </w:p>
    <w:p w14:paraId="0B970243" w14:textId="77777777" w:rsidR="009658EA" w:rsidRPr="008420BC" w:rsidRDefault="009658EA" w:rsidP="009658EA">
      <w:pPr>
        <w:pStyle w:val="Prrafodelista"/>
        <w:numPr>
          <w:ilvl w:val="0"/>
          <w:numId w:val="118"/>
        </w:numPr>
        <w:contextualSpacing/>
        <w:rPr>
          <w:sz w:val="22"/>
          <w:szCs w:val="22"/>
        </w:rPr>
      </w:pPr>
      <w:r w:rsidRPr="008420BC">
        <w:rPr>
          <w:sz w:val="22"/>
          <w:szCs w:val="22"/>
        </w:rPr>
        <w:t>Bomba: Ubicarla del NTN** a los 160 pies de profundidad (La Posición definitiva se definirá cuando se lleve a cabo la perforación y se efectúen las pruebas de calibración y bombeo).</w:t>
      </w:r>
    </w:p>
    <w:p w14:paraId="3B3E715F" w14:textId="77777777" w:rsidR="009658EA" w:rsidRPr="008420BC" w:rsidRDefault="009658EA" w:rsidP="009658EA">
      <w:pPr>
        <w:pStyle w:val="Prrafodelista"/>
        <w:numPr>
          <w:ilvl w:val="0"/>
          <w:numId w:val="118"/>
        </w:numPr>
        <w:contextualSpacing/>
        <w:rPr>
          <w:sz w:val="22"/>
          <w:szCs w:val="22"/>
        </w:rPr>
      </w:pPr>
      <w:r w:rsidRPr="008420BC">
        <w:rPr>
          <w:sz w:val="22"/>
          <w:szCs w:val="22"/>
        </w:rPr>
        <w:t>Tubería ciega: 157.48 pies, incluye 2 pies de tubería por encima del NTN</w:t>
      </w:r>
    </w:p>
    <w:p w14:paraId="659029B8" w14:textId="77777777" w:rsidR="009658EA" w:rsidRPr="008420BC" w:rsidRDefault="009658EA" w:rsidP="009658EA">
      <w:pPr>
        <w:pStyle w:val="Prrafodelista"/>
        <w:numPr>
          <w:ilvl w:val="0"/>
          <w:numId w:val="118"/>
        </w:numPr>
        <w:contextualSpacing/>
        <w:rPr>
          <w:sz w:val="22"/>
          <w:szCs w:val="22"/>
        </w:rPr>
      </w:pPr>
      <w:r w:rsidRPr="008420BC">
        <w:rPr>
          <w:sz w:val="22"/>
          <w:szCs w:val="22"/>
        </w:rPr>
        <w:t>Tubería ranurada: 39.37 pies</w:t>
      </w:r>
    </w:p>
    <w:p w14:paraId="669D5A5F" w14:textId="77777777" w:rsidR="009658EA" w:rsidRPr="008420BC" w:rsidRDefault="009658EA" w:rsidP="009658EA">
      <w:pPr>
        <w:pStyle w:val="Prrafodelista"/>
        <w:numPr>
          <w:ilvl w:val="0"/>
          <w:numId w:val="118"/>
        </w:numPr>
        <w:contextualSpacing/>
        <w:rPr>
          <w:sz w:val="22"/>
          <w:szCs w:val="22"/>
        </w:rPr>
      </w:pPr>
      <w:r w:rsidRPr="008420BC">
        <w:rPr>
          <w:sz w:val="22"/>
          <w:szCs w:val="22"/>
        </w:rPr>
        <w:t>Tubería piezométrica: PVC diámetro 1 ½ pulgada (198.85) pies, incluye 2 pies de tubería por encima del NTN.</w:t>
      </w:r>
    </w:p>
    <w:p w14:paraId="3DA0E93F" w14:textId="77777777" w:rsidR="009658EA" w:rsidRPr="008420BC" w:rsidRDefault="009658EA" w:rsidP="009658EA">
      <w:pPr>
        <w:pStyle w:val="Prrafodelista"/>
        <w:numPr>
          <w:ilvl w:val="0"/>
          <w:numId w:val="118"/>
        </w:numPr>
        <w:contextualSpacing/>
        <w:rPr>
          <w:sz w:val="22"/>
          <w:szCs w:val="22"/>
        </w:rPr>
      </w:pPr>
      <w:r w:rsidRPr="008420BC">
        <w:rPr>
          <w:sz w:val="22"/>
          <w:szCs w:val="22"/>
        </w:rPr>
        <w:lastRenderedPageBreak/>
        <w:t>Tubería de engrave: PVC diámetro 2 pulgada (33) pies, incluye 3 pies de tubería por encima de la cimentación de la base de concreto.</w:t>
      </w:r>
    </w:p>
    <w:p w14:paraId="6120DD97" w14:textId="77777777" w:rsidR="009658EA" w:rsidRPr="008420BC" w:rsidRDefault="009658EA" w:rsidP="009658EA">
      <w:pPr>
        <w:pStyle w:val="Prrafodelista"/>
        <w:numPr>
          <w:ilvl w:val="0"/>
          <w:numId w:val="118"/>
        </w:numPr>
        <w:contextualSpacing/>
        <w:rPr>
          <w:sz w:val="22"/>
          <w:szCs w:val="22"/>
        </w:rPr>
      </w:pPr>
      <w:r w:rsidRPr="008420BC">
        <w:rPr>
          <w:sz w:val="22"/>
          <w:szCs w:val="22"/>
        </w:rPr>
        <w:t>Empaque de grava de ½" a ¾": Aplicar a partir del sello sanitario</w:t>
      </w:r>
    </w:p>
    <w:p w14:paraId="44E1E38A" w14:textId="77777777" w:rsidR="009658EA" w:rsidRPr="008420BC" w:rsidRDefault="009658EA" w:rsidP="009658EA">
      <w:pPr>
        <w:pStyle w:val="Prrafodelista"/>
        <w:numPr>
          <w:ilvl w:val="0"/>
          <w:numId w:val="118"/>
        </w:numPr>
        <w:contextualSpacing/>
        <w:rPr>
          <w:sz w:val="22"/>
          <w:szCs w:val="22"/>
        </w:rPr>
      </w:pPr>
      <w:r w:rsidRPr="008420BC">
        <w:rPr>
          <w:sz w:val="22"/>
          <w:szCs w:val="22"/>
        </w:rPr>
        <w:t>Equipo de perforación: Maquina rotativa con martillo al fondo y compresor de aire, se recomienda no usar bentonita durante la perforación del pozo.</w:t>
      </w:r>
    </w:p>
    <w:p w14:paraId="28E2FE60" w14:textId="77777777" w:rsidR="009658EA" w:rsidRPr="008420BC" w:rsidRDefault="009658EA" w:rsidP="009658EA">
      <w:pPr>
        <w:rPr>
          <w:sz w:val="22"/>
          <w:szCs w:val="22"/>
        </w:rPr>
      </w:pPr>
    </w:p>
    <w:p w14:paraId="2745692A" w14:textId="77777777" w:rsidR="009658EA" w:rsidRPr="008420BC" w:rsidRDefault="009658EA" w:rsidP="009658EA">
      <w:pPr>
        <w:rPr>
          <w:sz w:val="22"/>
          <w:szCs w:val="22"/>
        </w:rPr>
      </w:pPr>
      <w:r w:rsidRPr="008420BC">
        <w:rPr>
          <w:sz w:val="22"/>
          <w:szCs w:val="22"/>
        </w:rPr>
        <w:t>*NF.- Nivel freático</w:t>
      </w:r>
    </w:p>
    <w:p w14:paraId="2CE04441" w14:textId="77777777" w:rsidR="009658EA" w:rsidRPr="008420BC" w:rsidRDefault="009658EA" w:rsidP="009658EA">
      <w:pPr>
        <w:rPr>
          <w:sz w:val="22"/>
          <w:szCs w:val="22"/>
        </w:rPr>
      </w:pPr>
      <w:r w:rsidRPr="008420BC">
        <w:rPr>
          <w:sz w:val="22"/>
          <w:szCs w:val="22"/>
        </w:rPr>
        <w:t>**NTN.- Nivel de terreno natual</w:t>
      </w:r>
    </w:p>
    <w:p w14:paraId="32A73CD8" w14:textId="77777777" w:rsidR="009658EA" w:rsidRPr="008420BC" w:rsidRDefault="009658EA" w:rsidP="009658EA">
      <w:pPr>
        <w:rPr>
          <w:sz w:val="22"/>
          <w:szCs w:val="22"/>
        </w:rPr>
      </w:pPr>
    </w:p>
    <w:p w14:paraId="54D5EC08" w14:textId="77777777" w:rsidR="009658EA" w:rsidRPr="008420BC" w:rsidRDefault="009658EA" w:rsidP="009658EA">
      <w:pPr>
        <w:rPr>
          <w:b/>
          <w:sz w:val="22"/>
          <w:szCs w:val="22"/>
        </w:rPr>
      </w:pPr>
      <w:r w:rsidRPr="008420BC">
        <w:rPr>
          <w:b/>
          <w:sz w:val="22"/>
          <w:szCs w:val="22"/>
        </w:rPr>
        <w:t>1.2</w:t>
      </w:r>
      <w:r w:rsidRPr="008420BC">
        <w:rPr>
          <w:b/>
          <w:sz w:val="22"/>
          <w:szCs w:val="22"/>
        </w:rPr>
        <w:tab/>
        <w:t>Equipo de bombeo:</w:t>
      </w:r>
    </w:p>
    <w:p w14:paraId="2DCCC646" w14:textId="77777777" w:rsidR="009658EA" w:rsidRPr="008420BC" w:rsidRDefault="009658EA" w:rsidP="009658EA">
      <w:pPr>
        <w:rPr>
          <w:sz w:val="22"/>
          <w:szCs w:val="22"/>
        </w:rPr>
      </w:pPr>
    </w:p>
    <w:p w14:paraId="23DF3D54" w14:textId="77777777" w:rsidR="009658EA" w:rsidRPr="008420BC" w:rsidRDefault="009658EA" w:rsidP="009658EA">
      <w:pPr>
        <w:rPr>
          <w:sz w:val="22"/>
          <w:szCs w:val="22"/>
        </w:rPr>
      </w:pPr>
      <w:r w:rsidRPr="008420BC">
        <w:rPr>
          <w:sz w:val="22"/>
          <w:szCs w:val="22"/>
        </w:rPr>
        <w:t xml:space="preserve">Para la succión del agua del pozo y llevarla hasta el tanque de almacenamiento, se utilizará un equipo de bombeo sumergible con capacidad de Q=34.51GPM, Carga total dinámica,CTD = 1,286.05 pies (391.99 m) y Potencia 20 HP 3/60/460 v, el cual debe ser energizada a través del sistema nacional de energía, a fin de garantizar la eficiencia del sistema, se adicionará una sarta de bombeo de 3" construida en HG, dicha sarta, dispondrá de un medidor maestro, manómetros, válvulas de aire, etc. </w:t>
      </w:r>
    </w:p>
    <w:p w14:paraId="46408772" w14:textId="77777777" w:rsidR="009658EA" w:rsidRPr="008420BC" w:rsidRDefault="009658EA" w:rsidP="009658EA">
      <w:pPr>
        <w:rPr>
          <w:sz w:val="22"/>
          <w:szCs w:val="22"/>
        </w:rPr>
      </w:pPr>
    </w:p>
    <w:p w14:paraId="349908A4" w14:textId="77777777" w:rsidR="009658EA" w:rsidRPr="008420BC" w:rsidRDefault="009658EA" w:rsidP="009658EA">
      <w:pPr>
        <w:rPr>
          <w:sz w:val="22"/>
          <w:szCs w:val="22"/>
        </w:rPr>
      </w:pPr>
      <w:r w:rsidRPr="008420BC">
        <w:rPr>
          <w:sz w:val="22"/>
          <w:szCs w:val="22"/>
        </w:rPr>
        <w:t>Se le indica al Contratista que la actividad Código 95990 BOMBA C/MOTOR SUMERGIBLE DE 20 HP, Q=35 GPM, CTD=1,210 ', 3/60/230 V, se debe considerar una CTD DE 1286.05 PIES y una Bomba de 20 HP, Q=35 GPM, 3/60/460 V.</w:t>
      </w:r>
    </w:p>
    <w:p w14:paraId="6DED4874" w14:textId="77777777" w:rsidR="009658EA" w:rsidRPr="008420BC" w:rsidRDefault="009658EA" w:rsidP="009658EA">
      <w:pPr>
        <w:rPr>
          <w:sz w:val="22"/>
          <w:szCs w:val="22"/>
        </w:rPr>
      </w:pPr>
    </w:p>
    <w:p w14:paraId="430171EB" w14:textId="77777777" w:rsidR="009658EA" w:rsidRPr="008420BC" w:rsidRDefault="009658EA" w:rsidP="009658EA">
      <w:pPr>
        <w:rPr>
          <w:b/>
          <w:sz w:val="22"/>
          <w:szCs w:val="22"/>
        </w:rPr>
      </w:pPr>
      <w:r w:rsidRPr="008420BC">
        <w:rPr>
          <w:b/>
          <w:sz w:val="22"/>
          <w:szCs w:val="22"/>
        </w:rPr>
        <w:t>1.3</w:t>
      </w:r>
      <w:r w:rsidRPr="008420BC">
        <w:rPr>
          <w:b/>
          <w:sz w:val="22"/>
          <w:szCs w:val="22"/>
        </w:rPr>
        <w:tab/>
        <w:t>Red Eléctrica de Media y baja tensión</w:t>
      </w:r>
    </w:p>
    <w:p w14:paraId="297C0DE1" w14:textId="77777777" w:rsidR="009658EA" w:rsidRPr="008420BC" w:rsidRDefault="009658EA" w:rsidP="009658EA">
      <w:pPr>
        <w:rPr>
          <w:sz w:val="22"/>
          <w:szCs w:val="22"/>
        </w:rPr>
      </w:pPr>
    </w:p>
    <w:p w14:paraId="172D2B7C" w14:textId="77777777" w:rsidR="009658EA" w:rsidRPr="008420BC" w:rsidRDefault="009658EA" w:rsidP="009658EA">
      <w:pPr>
        <w:rPr>
          <w:sz w:val="22"/>
          <w:szCs w:val="22"/>
        </w:rPr>
      </w:pPr>
      <w:r w:rsidRPr="008420BC">
        <w:rPr>
          <w:sz w:val="22"/>
          <w:szCs w:val="22"/>
        </w:rPr>
        <w:t>La infraestructura eléctrica que se debe de construir para poder operar el equipo de bombeo del Mini- acueducto debe estar constituida de tipos de redes las que se identifican así:</w:t>
      </w:r>
    </w:p>
    <w:p w14:paraId="3AE9F71C" w14:textId="77777777" w:rsidR="009658EA" w:rsidRPr="008420BC" w:rsidRDefault="009658EA" w:rsidP="009658EA">
      <w:pPr>
        <w:rPr>
          <w:sz w:val="22"/>
          <w:szCs w:val="22"/>
        </w:rPr>
      </w:pPr>
    </w:p>
    <w:p w14:paraId="3CB9B674" w14:textId="77777777" w:rsidR="009658EA" w:rsidRPr="008420BC" w:rsidRDefault="009658EA" w:rsidP="009658EA">
      <w:pPr>
        <w:rPr>
          <w:b/>
          <w:sz w:val="22"/>
          <w:szCs w:val="22"/>
        </w:rPr>
      </w:pPr>
      <w:r w:rsidRPr="008420BC">
        <w:rPr>
          <w:b/>
          <w:sz w:val="22"/>
          <w:szCs w:val="22"/>
        </w:rPr>
        <w:t>1.3.1</w:t>
      </w:r>
      <w:r w:rsidRPr="008420BC">
        <w:rPr>
          <w:b/>
          <w:sz w:val="22"/>
          <w:szCs w:val="22"/>
        </w:rPr>
        <w:tab/>
        <w:t>Red Eléctrica Media Tensión</w:t>
      </w:r>
    </w:p>
    <w:p w14:paraId="3B994C58" w14:textId="77777777" w:rsidR="009658EA" w:rsidRPr="008420BC" w:rsidRDefault="009658EA" w:rsidP="009658EA">
      <w:pPr>
        <w:rPr>
          <w:sz w:val="22"/>
          <w:szCs w:val="22"/>
        </w:rPr>
      </w:pPr>
    </w:p>
    <w:p w14:paraId="03129B66" w14:textId="77777777" w:rsidR="009658EA" w:rsidRPr="008420BC" w:rsidRDefault="009658EA" w:rsidP="009658EA">
      <w:pPr>
        <w:rPr>
          <w:sz w:val="22"/>
          <w:szCs w:val="22"/>
        </w:rPr>
      </w:pPr>
      <w:r w:rsidRPr="008420BC">
        <w:rPr>
          <w:sz w:val="22"/>
          <w:szCs w:val="22"/>
        </w:rPr>
        <w:t>Tiene una distancia de 90 metros, y tiene las características de 14.4 / 24.9 kv. La sub-estación trifásica tiene tres transformadores de 3 x 10 KVA monofásico 14.4 / 24.9 KV, 120 /240 V. La subestación se localizará en el lindero del predio de la estación de bombeo.</w:t>
      </w:r>
    </w:p>
    <w:p w14:paraId="7BE039D8" w14:textId="77777777" w:rsidR="009658EA" w:rsidRPr="008420BC" w:rsidRDefault="009658EA" w:rsidP="009658EA">
      <w:pPr>
        <w:rPr>
          <w:sz w:val="22"/>
          <w:szCs w:val="22"/>
        </w:rPr>
      </w:pPr>
    </w:p>
    <w:p w14:paraId="64181099" w14:textId="77777777" w:rsidR="009658EA" w:rsidRPr="008420BC" w:rsidRDefault="009658EA" w:rsidP="009658EA">
      <w:pPr>
        <w:rPr>
          <w:b/>
          <w:sz w:val="22"/>
          <w:szCs w:val="22"/>
        </w:rPr>
      </w:pPr>
      <w:r w:rsidRPr="008420BC">
        <w:rPr>
          <w:b/>
          <w:sz w:val="22"/>
          <w:szCs w:val="22"/>
        </w:rPr>
        <w:t>1.3.2</w:t>
      </w:r>
      <w:r w:rsidRPr="008420BC">
        <w:rPr>
          <w:b/>
          <w:sz w:val="22"/>
          <w:szCs w:val="22"/>
        </w:rPr>
        <w:tab/>
        <w:t>Red Eléctrica de Baja Tensión</w:t>
      </w:r>
    </w:p>
    <w:p w14:paraId="0A41BB8A" w14:textId="77777777" w:rsidR="009658EA" w:rsidRPr="008420BC" w:rsidRDefault="009658EA" w:rsidP="009658EA">
      <w:pPr>
        <w:rPr>
          <w:sz w:val="22"/>
          <w:szCs w:val="22"/>
        </w:rPr>
      </w:pPr>
    </w:p>
    <w:p w14:paraId="16C45D93" w14:textId="77777777" w:rsidR="009658EA" w:rsidRPr="008420BC" w:rsidRDefault="009658EA" w:rsidP="009658EA">
      <w:pPr>
        <w:rPr>
          <w:sz w:val="22"/>
          <w:szCs w:val="22"/>
        </w:rPr>
      </w:pPr>
      <w:r w:rsidRPr="008420BC">
        <w:rPr>
          <w:sz w:val="22"/>
          <w:szCs w:val="22"/>
        </w:rPr>
        <w:t>Se extiende desde el transformador convencional ubicado a 15 ML seleccionado con base a la carga, mediante una acometida triplex 1/0 ACSR, AWG 240/480 Voltios, con la que se alimentará la caseta de control eléctrico, incluyendo la iluminación exterior de predio.</w:t>
      </w:r>
    </w:p>
    <w:p w14:paraId="06468BF9" w14:textId="77777777" w:rsidR="009658EA" w:rsidRPr="008420BC" w:rsidRDefault="009658EA" w:rsidP="009658EA">
      <w:pPr>
        <w:rPr>
          <w:sz w:val="22"/>
          <w:szCs w:val="22"/>
        </w:rPr>
      </w:pPr>
    </w:p>
    <w:p w14:paraId="5B749271" w14:textId="77777777" w:rsidR="009658EA" w:rsidRPr="008420BC" w:rsidRDefault="009658EA" w:rsidP="009658EA">
      <w:pPr>
        <w:rPr>
          <w:b/>
          <w:sz w:val="22"/>
          <w:szCs w:val="22"/>
        </w:rPr>
      </w:pPr>
      <w:r w:rsidRPr="008420BC">
        <w:rPr>
          <w:b/>
          <w:sz w:val="22"/>
          <w:szCs w:val="22"/>
        </w:rPr>
        <w:t>1.4</w:t>
      </w:r>
      <w:r w:rsidRPr="008420BC">
        <w:rPr>
          <w:b/>
          <w:sz w:val="22"/>
          <w:szCs w:val="22"/>
        </w:rPr>
        <w:tab/>
        <w:t>Tubería de Conducción:</w:t>
      </w:r>
    </w:p>
    <w:p w14:paraId="2222E1BA" w14:textId="77777777" w:rsidR="009658EA" w:rsidRPr="008420BC" w:rsidRDefault="009658EA" w:rsidP="009658EA">
      <w:pPr>
        <w:rPr>
          <w:sz w:val="22"/>
          <w:szCs w:val="22"/>
        </w:rPr>
      </w:pPr>
    </w:p>
    <w:p w14:paraId="2F3A6CE5" w14:textId="77777777" w:rsidR="009658EA" w:rsidRPr="008420BC" w:rsidRDefault="009658EA" w:rsidP="009658EA">
      <w:pPr>
        <w:rPr>
          <w:sz w:val="22"/>
          <w:szCs w:val="22"/>
        </w:rPr>
      </w:pPr>
      <w:r w:rsidRPr="008420BC">
        <w:rPr>
          <w:sz w:val="22"/>
          <w:szCs w:val="22"/>
        </w:rPr>
        <w:t>Instalar una tubería de conducción de 5008 metros de longitud, con un diámetro de 3" (75mm) distribuido de la siguiente manera 1,417 m de Tubería de Hierro Fundido Dúctil y 3,591 metros de Tubería de Hierro Galvanizado Cédula 40, con el objetivo de conducir el agua del pozo hacía el tanque de almacenamiento. La línea debe estar dotada de sus respectivos accesorios y bloques de reacción.</w:t>
      </w:r>
    </w:p>
    <w:p w14:paraId="6F705C3D" w14:textId="77777777" w:rsidR="009658EA" w:rsidRPr="008420BC" w:rsidRDefault="009658EA" w:rsidP="009658EA">
      <w:pPr>
        <w:rPr>
          <w:sz w:val="22"/>
          <w:szCs w:val="22"/>
        </w:rPr>
      </w:pPr>
    </w:p>
    <w:p w14:paraId="448F8233" w14:textId="77777777" w:rsidR="009658EA" w:rsidRPr="008420BC" w:rsidRDefault="009658EA" w:rsidP="009658EA">
      <w:pPr>
        <w:rPr>
          <w:b/>
          <w:sz w:val="22"/>
          <w:szCs w:val="22"/>
        </w:rPr>
      </w:pPr>
      <w:r w:rsidRPr="008420BC">
        <w:rPr>
          <w:b/>
          <w:sz w:val="22"/>
          <w:szCs w:val="22"/>
        </w:rPr>
        <w:t>1.5</w:t>
      </w:r>
      <w:r w:rsidRPr="008420BC">
        <w:rPr>
          <w:b/>
          <w:sz w:val="22"/>
          <w:szCs w:val="22"/>
        </w:rPr>
        <w:tab/>
        <w:t xml:space="preserve">Sistema de desinfección: </w:t>
      </w:r>
    </w:p>
    <w:p w14:paraId="5082CA0C" w14:textId="77777777" w:rsidR="009658EA" w:rsidRPr="008420BC" w:rsidRDefault="009658EA" w:rsidP="009658EA">
      <w:pPr>
        <w:rPr>
          <w:sz w:val="22"/>
          <w:szCs w:val="22"/>
        </w:rPr>
      </w:pPr>
    </w:p>
    <w:p w14:paraId="448E214D" w14:textId="77777777" w:rsidR="009658EA" w:rsidRPr="008420BC" w:rsidRDefault="009658EA" w:rsidP="009658EA">
      <w:pPr>
        <w:rPr>
          <w:sz w:val="22"/>
          <w:szCs w:val="22"/>
        </w:rPr>
      </w:pPr>
      <w:r w:rsidRPr="008420BC">
        <w:rPr>
          <w:sz w:val="22"/>
          <w:szCs w:val="22"/>
        </w:rPr>
        <w:t xml:space="preserve">Se contempla realizar la desinfección para la eliminación de Coliformes Fecales y Totales a través de la incorporación de Hipoclorito de Calcio 70%, a través de hipoclorador de goteo constante instalado sobre el tanque previsto a construirse, el cual es de fácil manejo, poco riesgo técnico-económico, reducido costo </w:t>
      </w:r>
      <w:r w:rsidRPr="008420BC">
        <w:rPr>
          <w:sz w:val="22"/>
          <w:szCs w:val="22"/>
        </w:rPr>
        <w:lastRenderedPageBreak/>
        <w:t>para la operación y mantenimiento de tal manera que se garantice el suministro de agua con la calidad bacteriológica establecida por las Normas de Calidad de Agua de INAA NTON 09003-99.</w:t>
      </w:r>
    </w:p>
    <w:p w14:paraId="1BA052E1" w14:textId="77777777" w:rsidR="009658EA" w:rsidRPr="008420BC" w:rsidRDefault="009658EA" w:rsidP="009658EA">
      <w:pPr>
        <w:rPr>
          <w:sz w:val="22"/>
          <w:szCs w:val="22"/>
        </w:rPr>
      </w:pPr>
    </w:p>
    <w:p w14:paraId="70983549" w14:textId="77777777" w:rsidR="009658EA" w:rsidRPr="008420BC" w:rsidRDefault="009658EA" w:rsidP="009658EA">
      <w:pPr>
        <w:rPr>
          <w:sz w:val="22"/>
          <w:szCs w:val="22"/>
        </w:rPr>
      </w:pPr>
      <w:r w:rsidRPr="008420BC">
        <w:rPr>
          <w:sz w:val="22"/>
          <w:szCs w:val="22"/>
        </w:rPr>
        <w:t>Dosis: 2.0 mg/l a 3.5 mg/l, para obtener rango de valores entre 0.5 mg/l a 1.0 mg/l de cloro residual, en la vivienda más alejada del tanque de almacenamiento, preestablecido en las Normas.</w:t>
      </w:r>
    </w:p>
    <w:p w14:paraId="1A413087" w14:textId="77777777" w:rsidR="009658EA" w:rsidRPr="008420BC" w:rsidRDefault="009658EA" w:rsidP="009658EA">
      <w:pPr>
        <w:rPr>
          <w:sz w:val="22"/>
          <w:szCs w:val="22"/>
        </w:rPr>
      </w:pPr>
    </w:p>
    <w:p w14:paraId="51EF5A06" w14:textId="77777777" w:rsidR="009658EA" w:rsidRPr="008420BC" w:rsidRDefault="009658EA" w:rsidP="009658EA">
      <w:pPr>
        <w:rPr>
          <w:b/>
          <w:sz w:val="22"/>
          <w:szCs w:val="22"/>
        </w:rPr>
      </w:pPr>
      <w:r w:rsidRPr="008420BC">
        <w:rPr>
          <w:b/>
          <w:sz w:val="22"/>
          <w:szCs w:val="22"/>
        </w:rPr>
        <w:t>1.6</w:t>
      </w:r>
      <w:r w:rsidRPr="008420BC">
        <w:rPr>
          <w:b/>
          <w:sz w:val="22"/>
          <w:szCs w:val="22"/>
        </w:rPr>
        <w:tab/>
        <w:t xml:space="preserve">Almacenamiento: </w:t>
      </w:r>
    </w:p>
    <w:p w14:paraId="665D6DBF" w14:textId="77777777" w:rsidR="009658EA" w:rsidRPr="008420BC" w:rsidRDefault="009658EA" w:rsidP="009658EA">
      <w:pPr>
        <w:rPr>
          <w:sz w:val="22"/>
          <w:szCs w:val="22"/>
        </w:rPr>
      </w:pPr>
    </w:p>
    <w:p w14:paraId="294822DD" w14:textId="77777777" w:rsidR="009658EA" w:rsidRPr="008420BC" w:rsidRDefault="009658EA" w:rsidP="009658EA">
      <w:pPr>
        <w:rPr>
          <w:sz w:val="22"/>
          <w:szCs w:val="22"/>
        </w:rPr>
      </w:pPr>
      <w:r w:rsidRPr="008420BC">
        <w:rPr>
          <w:sz w:val="22"/>
          <w:szCs w:val="22"/>
        </w:rPr>
        <w:t>De acuerdo a la proyección de la demanda al final del periodo de diseño, se propone la construcción de un tanque de almacenamiento tipo cisterna de concreto reforzado de 44 m3, enterrado en el suelo, su cimentación se construirá en la cota topográfica 869.25 msnm y su nivel de rebose debe estar en la cota 872.50 msnm, incluye su respectiva tubería de limpieza, rebose, válvulas de entrada y salida. Ubicado en las coordenadas X= 568897.745 m Y=1492575.414 m.</w:t>
      </w:r>
    </w:p>
    <w:p w14:paraId="4F6E3008" w14:textId="77777777" w:rsidR="009658EA" w:rsidRPr="008420BC" w:rsidRDefault="009658EA" w:rsidP="009658EA">
      <w:pPr>
        <w:rPr>
          <w:sz w:val="22"/>
          <w:szCs w:val="22"/>
        </w:rPr>
      </w:pPr>
    </w:p>
    <w:p w14:paraId="51358224" w14:textId="77777777" w:rsidR="009658EA" w:rsidRPr="008420BC" w:rsidRDefault="009658EA" w:rsidP="009658EA">
      <w:pPr>
        <w:rPr>
          <w:b/>
          <w:sz w:val="22"/>
          <w:szCs w:val="22"/>
        </w:rPr>
      </w:pPr>
      <w:r w:rsidRPr="008420BC">
        <w:rPr>
          <w:b/>
          <w:sz w:val="22"/>
          <w:szCs w:val="22"/>
        </w:rPr>
        <w:t>1.7</w:t>
      </w:r>
      <w:r w:rsidRPr="008420BC">
        <w:rPr>
          <w:b/>
          <w:sz w:val="22"/>
          <w:szCs w:val="22"/>
        </w:rPr>
        <w:tab/>
        <w:t xml:space="preserve">Red de Distribución: </w:t>
      </w:r>
    </w:p>
    <w:p w14:paraId="0CCE73C0" w14:textId="77777777" w:rsidR="009658EA" w:rsidRPr="008420BC" w:rsidRDefault="009658EA" w:rsidP="009658EA">
      <w:pPr>
        <w:rPr>
          <w:sz w:val="22"/>
          <w:szCs w:val="22"/>
        </w:rPr>
      </w:pPr>
    </w:p>
    <w:p w14:paraId="673B49F7" w14:textId="77777777" w:rsidR="009658EA" w:rsidRPr="008420BC" w:rsidRDefault="009658EA" w:rsidP="009658EA">
      <w:pPr>
        <w:rPr>
          <w:sz w:val="22"/>
          <w:szCs w:val="22"/>
        </w:rPr>
      </w:pPr>
      <w:r w:rsidRPr="008420BC">
        <w:rPr>
          <w:sz w:val="22"/>
          <w:szCs w:val="22"/>
        </w:rPr>
        <w:t>Se contempla instalar 6,964 metros de líneas en tubería, siendo 481 m en tubería PVC -1120 cedula SDR-26, Ø 2" (50 mm) y 6,481.39 ml   de tubería PVC -1120 cedula SDR-26, Ø 1 1/2"(38mm), para conducir el agua ya tratada desde el Tanque de Almacenamiento hasta cada una de las conexiones de patio.</w:t>
      </w:r>
    </w:p>
    <w:p w14:paraId="689171ED" w14:textId="77777777" w:rsidR="009658EA" w:rsidRPr="008420BC" w:rsidRDefault="009658EA" w:rsidP="009658EA">
      <w:pPr>
        <w:rPr>
          <w:sz w:val="22"/>
          <w:szCs w:val="22"/>
        </w:rPr>
      </w:pPr>
    </w:p>
    <w:p w14:paraId="2ECC9233" w14:textId="77777777" w:rsidR="009658EA" w:rsidRPr="008420BC" w:rsidRDefault="009658EA" w:rsidP="009658EA">
      <w:pPr>
        <w:rPr>
          <w:sz w:val="22"/>
          <w:szCs w:val="22"/>
        </w:rPr>
      </w:pPr>
      <w:r w:rsidRPr="008420BC">
        <w:rPr>
          <w:sz w:val="22"/>
          <w:szCs w:val="22"/>
        </w:rPr>
        <w:t xml:space="preserve">Para el diseño de los diámetros de las tuberías se utilizó el software EPANET bajo las condiciones de consumo y sin Consumo en la red, se evaluó la presión en la red y las velocidades. </w:t>
      </w:r>
    </w:p>
    <w:p w14:paraId="79118717" w14:textId="77777777" w:rsidR="009658EA" w:rsidRPr="008420BC" w:rsidRDefault="009658EA" w:rsidP="009658EA">
      <w:pPr>
        <w:rPr>
          <w:sz w:val="22"/>
          <w:szCs w:val="22"/>
        </w:rPr>
      </w:pPr>
    </w:p>
    <w:p w14:paraId="30787205" w14:textId="77777777" w:rsidR="009658EA" w:rsidRPr="008420BC" w:rsidRDefault="009658EA" w:rsidP="009658EA">
      <w:pPr>
        <w:rPr>
          <w:sz w:val="22"/>
          <w:szCs w:val="22"/>
        </w:rPr>
      </w:pPr>
      <w:r w:rsidRPr="008420BC">
        <w:rPr>
          <w:sz w:val="22"/>
          <w:szCs w:val="22"/>
        </w:rPr>
        <w:t>A lo largo de la red se requiere la construcción de 1 cruce bajo lecho con una longitud total de 6 m; este cruce se construirá utilizando tubería de Ho. Go. con diámetro de 1 1/2".</w:t>
      </w:r>
    </w:p>
    <w:p w14:paraId="17BAFC9D" w14:textId="77777777" w:rsidR="009658EA" w:rsidRPr="008420BC" w:rsidRDefault="009658EA" w:rsidP="009658EA">
      <w:pPr>
        <w:rPr>
          <w:sz w:val="22"/>
          <w:szCs w:val="22"/>
        </w:rPr>
      </w:pPr>
    </w:p>
    <w:p w14:paraId="7B79E1DB" w14:textId="77777777" w:rsidR="009658EA" w:rsidRPr="008420BC" w:rsidRDefault="009658EA" w:rsidP="009658EA">
      <w:pPr>
        <w:rPr>
          <w:b/>
          <w:sz w:val="22"/>
          <w:szCs w:val="22"/>
        </w:rPr>
      </w:pPr>
      <w:r w:rsidRPr="008420BC">
        <w:rPr>
          <w:b/>
          <w:sz w:val="22"/>
          <w:szCs w:val="22"/>
        </w:rPr>
        <w:t>1.8</w:t>
      </w:r>
      <w:r w:rsidRPr="008420BC">
        <w:rPr>
          <w:b/>
          <w:sz w:val="22"/>
          <w:szCs w:val="22"/>
        </w:rPr>
        <w:tab/>
        <w:t xml:space="preserve">Conexiones de patio: </w:t>
      </w:r>
    </w:p>
    <w:p w14:paraId="0DDA9210" w14:textId="77777777" w:rsidR="009658EA" w:rsidRPr="008420BC" w:rsidRDefault="009658EA" w:rsidP="009658EA">
      <w:pPr>
        <w:rPr>
          <w:sz w:val="22"/>
          <w:szCs w:val="22"/>
        </w:rPr>
      </w:pPr>
    </w:p>
    <w:p w14:paraId="15221AE6" w14:textId="77777777" w:rsidR="009658EA" w:rsidRPr="008420BC" w:rsidRDefault="009658EA" w:rsidP="009658EA">
      <w:pPr>
        <w:rPr>
          <w:sz w:val="22"/>
          <w:szCs w:val="22"/>
        </w:rPr>
      </w:pPr>
      <w:r w:rsidRPr="008420BC">
        <w:rPr>
          <w:sz w:val="22"/>
          <w:szCs w:val="22"/>
        </w:rPr>
        <w:t>Compuesto de 217 conexiones de patio, de las cuales corresponden a 209 viviendas y 08 instituciones entre las que destacan 4 Iglesias, 1 Preescolar, 1 Escuela Primaria, 1 Casa Base y 1 Banco de Semilla, cada conexión dispondrá de un micro medidor que debe ser asumido por cada beneficiario.</w:t>
      </w:r>
    </w:p>
    <w:p w14:paraId="586EAE0A" w14:textId="77777777" w:rsidR="009658EA" w:rsidRPr="008420BC" w:rsidRDefault="009658EA" w:rsidP="009658EA">
      <w:pPr>
        <w:rPr>
          <w:sz w:val="22"/>
          <w:szCs w:val="22"/>
        </w:rPr>
      </w:pPr>
    </w:p>
    <w:p w14:paraId="29179039" w14:textId="77777777" w:rsidR="009658EA" w:rsidRPr="008420BC" w:rsidRDefault="009658EA" w:rsidP="009658EA">
      <w:pPr>
        <w:rPr>
          <w:b/>
          <w:sz w:val="22"/>
          <w:szCs w:val="22"/>
        </w:rPr>
      </w:pPr>
      <w:r w:rsidRPr="008420BC">
        <w:rPr>
          <w:b/>
          <w:sz w:val="22"/>
          <w:szCs w:val="22"/>
        </w:rPr>
        <w:t>COMPONENTE II</w:t>
      </w:r>
      <w:r w:rsidRPr="008420BC">
        <w:rPr>
          <w:b/>
          <w:sz w:val="22"/>
          <w:szCs w:val="22"/>
        </w:rPr>
        <w:tab/>
        <w:t>SANEAMIENTO E HIGIENE</w:t>
      </w:r>
    </w:p>
    <w:p w14:paraId="0804A557" w14:textId="77777777" w:rsidR="009658EA" w:rsidRPr="008420BC" w:rsidRDefault="009658EA" w:rsidP="009658EA">
      <w:pPr>
        <w:rPr>
          <w:sz w:val="22"/>
          <w:szCs w:val="22"/>
        </w:rPr>
      </w:pPr>
    </w:p>
    <w:p w14:paraId="3547AAC9" w14:textId="77777777" w:rsidR="009658EA" w:rsidRPr="008420BC" w:rsidRDefault="009658EA" w:rsidP="009658EA">
      <w:pPr>
        <w:rPr>
          <w:b/>
          <w:sz w:val="22"/>
          <w:szCs w:val="22"/>
        </w:rPr>
      </w:pPr>
      <w:r w:rsidRPr="008420BC">
        <w:rPr>
          <w:b/>
          <w:sz w:val="22"/>
          <w:szCs w:val="22"/>
        </w:rPr>
        <w:t>2.1</w:t>
      </w:r>
      <w:r w:rsidRPr="008420BC">
        <w:rPr>
          <w:b/>
          <w:sz w:val="22"/>
          <w:szCs w:val="22"/>
        </w:rPr>
        <w:tab/>
        <w:t>Saneamiento</w:t>
      </w:r>
    </w:p>
    <w:p w14:paraId="196FB2FE" w14:textId="77777777" w:rsidR="009658EA" w:rsidRPr="008420BC" w:rsidRDefault="009658EA" w:rsidP="009658EA">
      <w:pPr>
        <w:rPr>
          <w:sz w:val="22"/>
          <w:szCs w:val="22"/>
        </w:rPr>
      </w:pPr>
      <w:r w:rsidRPr="008420BC">
        <w:rPr>
          <w:b/>
          <w:sz w:val="22"/>
          <w:szCs w:val="22"/>
        </w:rPr>
        <w:t>Letrinas sencillas de fosa seca semi elevada</w:t>
      </w:r>
      <w:r w:rsidRPr="008420BC">
        <w:rPr>
          <w:sz w:val="22"/>
          <w:szCs w:val="22"/>
        </w:rPr>
        <w:t>: Para la selección del saneamiento a implementar, se evaluó las características del subsuelo, y con base al menú de saneamiento normado por FISE, se determinó implementar una letrina sencilla de fosa seca semi elevada. Conforme al resultado del informe de la concertación de saneamiento se pretende construir 191 unidades distribuidas en 72 para las viviendas que no tienen, más 119 para las viviendas que tienen sus letrinas caídas o en mal estado para cubrir al 100%.</w:t>
      </w:r>
    </w:p>
    <w:p w14:paraId="6D32892C" w14:textId="77777777" w:rsidR="009658EA" w:rsidRPr="008420BC" w:rsidRDefault="009658EA" w:rsidP="009658EA">
      <w:pPr>
        <w:rPr>
          <w:sz w:val="22"/>
          <w:szCs w:val="22"/>
        </w:rPr>
      </w:pPr>
      <w:r w:rsidRPr="008420BC">
        <w:rPr>
          <w:sz w:val="22"/>
          <w:szCs w:val="22"/>
        </w:rPr>
        <w:t xml:space="preserve"> </w:t>
      </w:r>
    </w:p>
    <w:p w14:paraId="46C54117" w14:textId="77777777" w:rsidR="009658EA" w:rsidRPr="008420BC" w:rsidRDefault="009658EA" w:rsidP="009658EA">
      <w:pPr>
        <w:rPr>
          <w:sz w:val="22"/>
          <w:szCs w:val="22"/>
        </w:rPr>
      </w:pPr>
      <w:r w:rsidRPr="008420BC">
        <w:rPr>
          <w:sz w:val="22"/>
          <w:szCs w:val="22"/>
        </w:rPr>
        <w:t>La Letrina semi elevada está constituida por una fosa seca revestida de ladrillo cuarterón y gradas. La fosa debe estar a 1.00 m por debajo del nivel de suelo y 1.00 m por encima del nivel de suelo. La plancha y banco debe ser de concreto. El cerramiento debe ser de estructura metálica de tubo cuadrado de 1 ½" y forro de lámina de zinc liso cal. 28. La cubierta de techo es de zinc corrugado calibre 28.</w:t>
      </w:r>
    </w:p>
    <w:p w14:paraId="185EDC9C" w14:textId="77777777" w:rsidR="009658EA" w:rsidRPr="008420BC" w:rsidRDefault="009658EA" w:rsidP="009658EA">
      <w:pPr>
        <w:rPr>
          <w:sz w:val="22"/>
          <w:szCs w:val="22"/>
        </w:rPr>
      </w:pPr>
    </w:p>
    <w:p w14:paraId="0A420A91" w14:textId="77777777" w:rsidR="009658EA" w:rsidRPr="008420BC" w:rsidRDefault="009658EA" w:rsidP="009658EA">
      <w:pPr>
        <w:rPr>
          <w:b/>
          <w:sz w:val="22"/>
          <w:szCs w:val="22"/>
        </w:rPr>
      </w:pPr>
      <w:r w:rsidRPr="008420BC">
        <w:rPr>
          <w:b/>
          <w:sz w:val="22"/>
          <w:szCs w:val="22"/>
        </w:rPr>
        <w:t>2.2</w:t>
      </w:r>
      <w:r w:rsidRPr="008420BC">
        <w:rPr>
          <w:b/>
          <w:sz w:val="22"/>
          <w:szCs w:val="22"/>
        </w:rPr>
        <w:tab/>
        <w:t>Higiene</w:t>
      </w:r>
    </w:p>
    <w:p w14:paraId="229C1181" w14:textId="77777777" w:rsidR="009658EA" w:rsidRPr="008420BC" w:rsidRDefault="009658EA" w:rsidP="009658EA">
      <w:pPr>
        <w:rPr>
          <w:sz w:val="22"/>
          <w:szCs w:val="22"/>
        </w:rPr>
      </w:pPr>
      <w:r w:rsidRPr="008420BC">
        <w:rPr>
          <w:sz w:val="22"/>
          <w:szCs w:val="22"/>
        </w:rPr>
        <w:t>Se propone el suministro e instalación de 191 lavaderos de concreto de fabricación nacional para el componente de higiene; dicha unidad irá colocada sobre una losa de concreto y dispondrá de un foso recolector de las aguas grises provenientes de las actividades domésticas.</w:t>
      </w:r>
    </w:p>
    <w:p w14:paraId="58583783" w14:textId="77777777" w:rsidR="009658EA" w:rsidRPr="008420BC" w:rsidRDefault="009658EA" w:rsidP="009658EA">
      <w:pPr>
        <w:rPr>
          <w:sz w:val="22"/>
          <w:szCs w:val="22"/>
        </w:rPr>
      </w:pPr>
    </w:p>
    <w:p w14:paraId="4B567887" w14:textId="77777777" w:rsidR="009658EA" w:rsidRPr="008420BC" w:rsidRDefault="009658EA" w:rsidP="009658EA">
      <w:pPr>
        <w:rPr>
          <w:sz w:val="22"/>
          <w:szCs w:val="22"/>
        </w:rPr>
      </w:pPr>
      <w:r w:rsidRPr="008420BC">
        <w:rPr>
          <w:sz w:val="22"/>
          <w:szCs w:val="22"/>
        </w:rPr>
        <w:t>APORTE DE LA COMUNIDAD:  Los Beneficiarios del Proyecto se comprometieron en la Asamblea de Concertación a realizar las actividades de Excavación, Relleno y Compactación en la Línea de Conducción y Red de Distribución, que se considera como aporte en Especie y la compra del Medidor de agua potable de 1/2" por vivienda, como Aporte en efectivo de acuerdo al siguiente detalle:</w:t>
      </w:r>
    </w:p>
    <w:p w14:paraId="4F5AA803" w14:textId="77777777" w:rsidR="009658EA" w:rsidRPr="008420BC" w:rsidRDefault="009658EA" w:rsidP="009658EA">
      <w:pPr>
        <w:rPr>
          <w:sz w:val="22"/>
          <w:szCs w:val="22"/>
        </w:rPr>
      </w:pP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6327"/>
        <w:gridCol w:w="914"/>
        <w:gridCol w:w="1520"/>
      </w:tblGrid>
      <w:tr w:rsidR="009658EA" w:rsidRPr="008420BC" w14:paraId="6CEBDD41"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63EC542D" w14:textId="77777777" w:rsidR="009658EA" w:rsidRPr="008420BC" w:rsidRDefault="009658EA" w:rsidP="009658EA">
            <w:pPr>
              <w:jc w:val="center"/>
              <w:rPr>
                <w:b/>
                <w:bCs/>
                <w:sz w:val="22"/>
                <w:szCs w:val="22"/>
                <w:lang w:eastAsia="es-NI"/>
              </w:rPr>
            </w:pPr>
            <w:r w:rsidRPr="008420BC">
              <w:rPr>
                <w:b/>
                <w:bCs/>
                <w:sz w:val="22"/>
                <w:szCs w:val="22"/>
                <w:lang w:eastAsia="es-NI"/>
              </w:rPr>
              <w:t>CODIGO</w:t>
            </w:r>
          </w:p>
        </w:tc>
        <w:tc>
          <w:tcPr>
            <w:tcW w:w="6326" w:type="dxa"/>
            <w:tcBorders>
              <w:top w:val="single" w:sz="4" w:space="0" w:color="auto"/>
              <w:left w:val="single" w:sz="4" w:space="0" w:color="auto"/>
              <w:bottom w:val="single" w:sz="4" w:space="0" w:color="auto"/>
              <w:right w:val="single" w:sz="4" w:space="0" w:color="auto"/>
            </w:tcBorders>
            <w:vAlign w:val="bottom"/>
            <w:hideMark/>
          </w:tcPr>
          <w:p w14:paraId="7C66416C" w14:textId="77777777" w:rsidR="009658EA" w:rsidRPr="008420BC" w:rsidRDefault="009658EA" w:rsidP="009658EA">
            <w:pPr>
              <w:jc w:val="center"/>
              <w:rPr>
                <w:b/>
                <w:bCs/>
                <w:sz w:val="22"/>
                <w:szCs w:val="22"/>
                <w:lang w:eastAsia="es-NI"/>
              </w:rPr>
            </w:pPr>
            <w:r w:rsidRPr="008420BC">
              <w:rPr>
                <w:b/>
                <w:bCs/>
                <w:sz w:val="22"/>
                <w:szCs w:val="22"/>
                <w:lang w:eastAsia="es-NI"/>
              </w:rPr>
              <w:t>DESCRIPCION</w:t>
            </w:r>
          </w:p>
        </w:tc>
        <w:tc>
          <w:tcPr>
            <w:tcW w:w="914" w:type="dxa"/>
            <w:tcBorders>
              <w:top w:val="single" w:sz="4" w:space="0" w:color="auto"/>
              <w:left w:val="single" w:sz="4" w:space="0" w:color="auto"/>
              <w:bottom w:val="single" w:sz="4" w:space="0" w:color="auto"/>
              <w:right w:val="single" w:sz="4" w:space="0" w:color="auto"/>
            </w:tcBorders>
            <w:vAlign w:val="bottom"/>
            <w:hideMark/>
          </w:tcPr>
          <w:p w14:paraId="79E8CED5" w14:textId="77777777" w:rsidR="009658EA" w:rsidRPr="008420BC" w:rsidRDefault="009658EA" w:rsidP="009658EA">
            <w:pPr>
              <w:jc w:val="center"/>
              <w:rPr>
                <w:b/>
                <w:bCs/>
                <w:sz w:val="22"/>
                <w:szCs w:val="22"/>
                <w:lang w:eastAsia="es-NI"/>
              </w:rPr>
            </w:pPr>
            <w:r w:rsidRPr="008420BC">
              <w:rPr>
                <w:b/>
                <w:bCs/>
                <w:sz w:val="22"/>
                <w:szCs w:val="22"/>
                <w:lang w:eastAsia="es-NI"/>
              </w:rPr>
              <w:t>U.M</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53B24B" w14:textId="77777777" w:rsidR="009658EA" w:rsidRPr="008420BC" w:rsidRDefault="009658EA" w:rsidP="009658EA">
            <w:pPr>
              <w:jc w:val="center"/>
              <w:rPr>
                <w:b/>
                <w:bCs/>
                <w:sz w:val="22"/>
                <w:szCs w:val="22"/>
                <w:lang w:eastAsia="es-NI"/>
              </w:rPr>
            </w:pPr>
            <w:r w:rsidRPr="008420BC">
              <w:rPr>
                <w:b/>
                <w:bCs/>
                <w:sz w:val="22"/>
                <w:szCs w:val="22"/>
                <w:lang w:eastAsia="es-NI"/>
              </w:rPr>
              <w:t>CANTIDAD</w:t>
            </w:r>
          </w:p>
        </w:tc>
      </w:tr>
      <w:tr w:rsidR="009658EA" w:rsidRPr="008420BC" w14:paraId="530BD87E" w14:textId="77777777" w:rsidTr="009658EA">
        <w:trPr>
          <w:trHeight w:val="298"/>
        </w:trPr>
        <w:tc>
          <w:tcPr>
            <w:tcW w:w="7463" w:type="dxa"/>
            <w:gridSpan w:val="2"/>
            <w:tcBorders>
              <w:top w:val="single" w:sz="4" w:space="0" w:color="auto"/>
              <w:left w:val="single" w:sz="4" w:space="0" w:color="auto"/>
              <w:bottom w:val="single" w:sz="4" w:space="0" w:color="auto"/>
              <w:right w:val="single" w:sz="4" w:space="0" w:color="auto"/>
            </w:tcBorders>
            <w:vAlign w:val="bottom"/>
            <w:hideMark/>
          </w:tcPr>
          <w:p w14:paraId="2F940A1D" w14:textId="77777777" w:rsidR="009658EA" w:rsidRPr="008420BC" w:rsidRDefault="009658EA" w:rsidP="009658EA">
            <w:pPr>
              <w:jc w:val="center"/>
              <w:rPr>
                <w:b/>
                <w:bCs/>
                <w:sz w:val="22"/>
                <w:szCs w:val="22"/>
                <w:lang w:eastAsia="es-NI"/>
              </w:rPr>
            </w:pPr>
            <w:r w:rsidRPr="008420BC">
              <w:rPr>
                <w:b/>
                <w:bCs/>
                <w:sz w:val="22"/>
                <w:szCs w:val="22"/>
                <w:lang w:eastAsia="es-NI"/>
              </w:rPr>
              <w:t>PRELIMINARES</w:t>
            </w:r>
          </w:p>
        </w:tc>
        <w:tc>
          <w:tcPr>
            <w:tcW w:w="914" w:type="dxa"/>
            <w:tcBorders>
              <w:top w:val="single" w:sz="4" w:space="0" w:color="auto"/>
              <w:left w:val="single" w:sz="4" w:space="0" w:color="auto"/>
              <w:bottom w:val="single" w:sz="4" w:space="0" w:color="auto"/>
              <w:right w:val="single" w:sz="4" w:space="0" w:color="auto"/>
            </w:tcBorders>
            <w:vAlign w:val="bottom"/>
          </w:tcPr>
          <w:p w14:paraId="5D54CBFB" w14:textId="77777777" w:rsidR="009658EA" w:rsidRPr="008420BC" w:rsidRDefault="009658EA" w:rsidP="009658EA">
            <w:pPr>
              <w:jc w:val="center"/>
              <w:rPr>
                <w:b/>
                <w:bCs/>
                <w:sz w:val="22"/>
                <w:szCs w:val="22"/>
                <w:lang w:eastAsia="es-NI"/>
              </w:rPr>
            </w:pPr>
          </w:p>
        </w:tc>
        <w:tc>
          <w:tcPr>
            <w:tcW w:w="1520" w:type="dxa"/>
            <w:tcBorders>
              <w:top w:val="single" w:sz="4" w:space="0" w:color="auto"/>
              <w:left w:val="single" w:sz="4" w:space="0" w:color="auto"/>
              <w:bottom w:val="single" w:sz="4" w:space="0" w:color="auto"/>
              <w:right w:val="single" w:sz="4" w:space="0" w:color="auto"/>
            </w:tcBorders>
            <w:vAlign w:val="bottom"/>
          </w:tcPr>
          <w:p w14:paraId="19224709" w14:textId="77777777" w:rsidR="009658EA" w:rsidRPr="008420BC" w:rsidRDefault="009658EA" w:rsidP="009658EA">
            <w:pPr>
              <w:jc w:val="center"/>
              <w:rPr>
                <w:b/>
                <w:bCs/>
                <w:sz w:val="22"/>
                <w:szCs w:val="22"/>
                <w:lang w:eastAsia="es-NI"/>
              </w:rPr>
            </w:pPr>
          </w:p>
        </w:tc>
      </w:tr>
      <w:tr w:rsidR="009658EA" w:rsidRPr="008420BC" w14:paraId="689391E4"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087D4AC5" w14:textId="77777777" w:rsidR="009658EA" w:rsidRPr="008420BC" w:rsidRDefault="009658EA" w:rsidP="009658EA">
            <w:pPr>
              <w:rPr>
                <w:sz w:val="22"/>
                <w:szCs w:val="22"/>
                <w:lang w:eastAsia="es-NI"/>
              </w:rPr>
            </w:pPr>
            <w:r w:rsidRPr="008420BC">
              <w:rPr>
                <w:sz w:val="22"/>
                <w:szCs w:val="22"/>
                <w:lang w:eastAsia="es-NI"/>
              </w:rPr>
              <w:t>92224</w:t>
            </w:r>
          </w:p>
        </w:tc>
        <w:tc>
          <w:tcPr>
            <w:tcW w:w="6326" w:type="dxa"/>
            <w:tcBorders>
              <w:top w:val="single" w:sz="4" w:space="0" w:color="auto"/>
              <w:left w:val="single" w:sz="4" w:space="0" w:color="auto"/>
              <w:bottom w:val="single" w:sz="4" w:space="0" w:color="auto"/>
              <w:right w:val="single" w:sz="4" w:space="0" w:color="auto"/>
            </w:tcBorders>
            <w:vAlign w:val="bottom"/>
            <w:hideMark/>
          </w:tcPr>
          <w:p w14:paraId="49AA17BF" w14:textId="77777777" w:rsidR="009658EA" w:rsidRPr="008420BC" w:rsidRDefault="009658EA" w:rsidP="009658EA">
            <w:pPr>
              <w:rPr>
                <w:sz w:val="22"/>
                <w:szCs w:val="22"/>
                <w:lang w:eastAsia="es-NI"/>
              </w:rPr>
            </w:pPr>
            <w:r w:rsidRPr="008420BC">
              <w:rPr>
                <w:sz w:val="22"/>
                <w:szCs w:val="22"/>
                <w:lang w:eastAsia="es-NI"/>
              </w:rPr>
              <w:t>LIMPIEZA MANUAL INICIAL</w:t>
            </w:r>
          </w:p>
        </w:tc>
        <w:tc>
          <w:tcPr>
            <w:tcW w:w="914" w:type="dxa"/>
            <w:tcBorders>
              <w:top w:val="single" w:sz="4" w:space="0" w:color="auto"/>
              <w:left w:val="single" w:sz="4" w:space="0" w:color="auto"/>
              <w:bottom w:val="single" w:sz="4" w:space="0" w:color="auto"/>
              <w:right w:val="single" w:sz="4" w:space="0" w:color="auto"/>
            </w:tcBorders>
            <w:vAlign w:val="bottom"/>
            <w:hideMark/>
          </w:tcPr>
          <w:p w14:paraId="1D5DCC5C" w14:textId="77777777" w:rsidR="009658EA" w:rsidRPr="008420BC" w:rsidRDefault="009658EA" w:rsidP="009658EA">
            <w:pPr>
              <w:rPr>
                <w:sz w:val="22"/>
                <w:szCs w:val="22"/>
                <w:lang w:eastAsia="es-NI"/>
              </w:rPr>
            </w:pPr>
            <w:r w:rsidRPr="008420BC">
              <w:rPr>
                <w:sz w:val="22"/>
                <w:szCs w:val="22"/>
                <w:lang w:eastAsia="es-NI"/>
              </w:rPr>
              <w:t>M2</w:t>
            </w:r>
          </w:p>
        </w:tc>
        <w:tc>
          <w:tcPr>
            <w:tcW w:w="1520" w:type="dxa"/>
            <w:tcBorders>
              <w:top w:val="single" w:sz="4" w:space="0" w:color="auto"/>
              <w:left w:val="single" w:sz="4" w:space="0" w:color="auto"/>
              <w:bottom w:val="single" w:sz="4" w:space="0" w:color="auto"/>
              <w:right w:val="single" w:sz="4" w:space="0" w:color="auto"/>
            </w:tcBorders>
            <w:vAlign w:val="bottom"/>
            <w:hideMark/>
          </w:tcPr>
          <w:p w14:paraId="3275B453" w14:textId="77777777" w:rsidR="009658EA" w:rsidRPr="008420BC" w:rsidRDefault="009658EA" w:rsidP="009658EA">
            <w:pPr>
              <w:rPr>
                <w:sz w:val="22"/>
                <w:szCs w:val="22"/>
                <w:lang w:eastAsia="es-NI"/>
              </w:rPr>
            </w:pPr>
            <w:r w:rsidRPr="008420BC">
              <w:rPr>
                <w:sz w:val="22"/>
                <w:szCs w:val="22"/>
                <w:lang w:eastAsia="es-NI"/>
              </w:rPr>
              <w:t>225</w:t>
            </w:r>
          </w:p>
        </w:tc>
      </w:tr>
      <w:tr w:rsidR="009658EA" w:rsidRPr="008420BC" w14:paraId="56DA7668"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0050CB72" w14:textId="77777777" w:rsidR="009658EA" w:rsidRPr="008420BC" w:rsidRDefault="009658EA" w:rsidP="009658EA">
            <w:pPr>
              <w:rPr>
                <w:sz w:val="22"/>
                <w:szCs w:val="22"/>
                <w:lang w:eastAsia="es-NI"/>
              </w:rPr>
            </w:pPr>
            <w:r w:rsidRPr="008420BC">
              <w:rPr>
                <w:sz w:val="22"/>
                <w:szCs w:val="22"/>
                <w:lang w:eastAsia="es-NI"/>
              </w:rPr>
              <w:t>03412</w:t>
            </w:r>
          </w:p>
        </w:tc>
        <w:tc>
          <w:tcPr>
            <w:tcW w:w="6326" w:type="dxa"/>
            <w:tcBorders>
              <w:top w:val="single" w:sz="4" w:space="0" w:color="auto"/>
              <w:left w:val="single" w:sz="4" w:space="0" w:color="auto"/>
              <w:bottom w:val="single" w:sz="4" w:space="0" w:color="auto"/>
              <w:right w:val="single" w:sz="4" w:space="0" w:color="auto"/>
            </w:tcBorders>
            <w:vAlign w:val="bottom"/>
            <w:hideMark/>
          </w:tcPr>
          <w:p w14:paraId="3699924E" w14:textId="77777777" w:rsidR="009658EA" w:rsidRPr="008420BC" w:rsidRDefault="009658EA" w:rsidP="009658EA">
            <w:pPr>
              <w:rPr>
                <w:sz w:val="22"/>
                <w:szCs w:val="22"/>
                <w:lang w:eastAsia="es-NI"/>
              </w:rPr>
            </w:pPr>
            <w:r w:rsidRPr="008420BC">
              <w:rPr>
                <w:sz w:val="22"/>
                <w:szCs w:val="22"/>
                <w:lang w:eastAsia="es-NI"/>
              </w:rPr>
              <w:t>TALA MANUAL DE ARBOLES (INCL. UN VIAJE DE BOTAR ESCOMBROS A 1 Km CON CAMION PLATAFORMA DE 8 m3)</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3C8E9587" w14:textId="77777777" w:rsidR="009658EA" w:rsidRPr="008420BC" w:rsidRDefault="009658EA" w:rsidP="009658EA">
            <w:pPr>
              <w:rPr>
                <w:sz w:val="22"/>
                <w:szCs w:val="22"/>
                <w:lang w:eastAsia="es-NI"/>
              </w:rPr>
            </w:pPr>
            <w:r w:rsidRPr="008420BC">
              <w:rPr>
                <w:sz w:val="22"/>
                <w:szCs w:val="22"/>
                <w:lang w:eastAsia="es-NI"/>
              </w:rPr>
              <w:t>C/U</w:t>
            </w:r>
          </w:p>
        </w:tc>
        <w:tc>
          <w:tcPr>
            <w:tcW w:w="1520" w:type="dxa"/>
            <w:tcBorders>
              <w:top w:val="single" w:sz="4" w:space="0" w:color="auto"/>
              <w:left w:val="single" w:sz="4" w:space="0" w:color="auto"/>
              <w:bottom w:val="single" w:sz="4" w:space="0" w:color="auto"/>
              <w:right w:val="single" w:sz="4" w:space="0" w:color="auto"/>
            </w:tcBorders>
            <w:vAlign w:val="bottom"/>
            <w:hideMark/>
          </w:tcPr>
          <w:p w14:paraId="450B2014" w14:textId="77777777" w:rsidR="009658EA" w:rsidRPr="008420BC" w:rsidRDefault="009658EA" w:rsidP="009658EA">
            <w:pPr>
              <w:rPr>
                <w:sz w:val="22"/>
                <w:szCs w:val="22"/>
                <w:lang w:eastAsia="es-NI"/>
              </w:rPr>
            </w:pPr>
            <w:r w:rsidRPr="008420BC">
              <w:rPr>
                <w:sz w:val="22"/>
                <w:szCs w:val="22"/>
                <w:lang w:eastAsia="es-NI"/>
              </w:rPr>
              <w:t>2</w:t>
            </w:r>
          </w:p>
        </w:tc>
      </w:tr>
      <w:tr w:rsidR="009658EA" w:rsidRPr="008420BC" w14:paraId="33867E5F"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15FD5724" w14:textId="77777777" w:rsidR="009658EA" w:rsidRPr="008420BC" w:rsidRDefault="009658EA" w:rsidP="009658EA">
            <w:pPr>
              <w:rPr>
                <w:sz w:val="22"/>
                <w:szCs w:val="22"/>
                <w:lang w:eastAsia="es-NI"/>
              </w:rPr>
            </w:pPr>
            <w:r w:rsidRPr="008420BC">
              <w:rPr>
                <w:sz w:val="22"/>
                <w:szCs w:val="22"/>
                <w:lang w:eastAsia="es-NI"/>
              </w:rPr>
              <w:t>92107</w:t>
            </w:r>
          </w:p>
        </w:tc>
        <w:tc>
          <w:tcPr>
            <w:tcW w:w="6326" w:type="dxa"/>
            <w:tcBorders>
              <w:top w:val="single" w:sz="4" w:space="0" w:color="auto"/>
              <w:left w:val="single" w:sz="4" w:space="0" w:color="auto"/>
              <w:bottom w:val="single" w:sz="4" w:space="0" w:color="auto"/>
              <w:right w:val="single" w:sz="4" w:space="0" w:color="auto"/>
            </w:tcBorders>
            <w:vAlign w:val="bottom"/>
            <w:hideMark/>
          </w:tcPr>
          <w:p w14:paraId="3304AE03" w14:textId="77777777" w:rsidR="009658EA" w:rsidRPr="008420BC" w:rsidRDefault="009658EA" w:rsidP="009658EA">
            <w:pPr>
              <w:rPr>
                <w:sz w:val="22"/>
                <w:szCs w:val="22"/>
                <w:lang w:eastAsia="es-NI"/>
              </w:rPr>
            </w:pPr>
            <w:r w:rsidRPr="008420BC">
              <w:rPr>
                <w:sz w:val="22"/>
                <w:szCs w:val="22"/>
                <w:lang w:eastAsia="es-NI"/>
              </w:rPr>
              <w:t>TROCHA (Ancho=3.00m ) ELABORADA CON MACHETE Y RASTRILLO</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559469D4" w14:textId="77777777" w:rsidR="009658EA" w:rsidRPr="008420BC" w:rsidRDefault="009658EA" w:rsidP="009658EA">
            <w:pPr>
              <w:rPr>
                <w:sz w:val="22"/>
                <w:szCs w:val="22"/>
                <w:lang w:eastAsia="es-NI"/>
              </w:rPr>
            </w:pPr>
            <w:r w:rsidRPr="008420BC">
              <w:rPr>
                <w:sz w:val="22"/>
                <w:szCs w:val="22"/>
                <w:lang w:eastAsia="es-NI"/>
              </w:rPr>
              <w:t>KM</w:t>
            </w:r>
          </w:p>
        </w:tc>
        <w:tc>
          <w:tcPr>
            <w:tcW w:w="1520" w:type="dxa"/>
            <w:tcBorders>
              <w:top w:val="single" w:sz="4" w:space="0" w:color="auto"/>
              <w:left w:val="single" w:sz="4" w:space="0" w:color="auto"/>
              <w:bottom w:val="single" w:sz="4" w:space="0" w:color="auto"/>
              <w:right w:val="single" w:sz="4" w:space="0" w:color="auto"/>
            </w:tcBorders>
            <w:vAlign w:val="bottom"/>
            <w:hideMark/>
          </w:tcPr>
          <w:p w14:paraId="39ACC175" w14:textId="77777777" w:rsidR="009658EA" w:rsidRPr="008420BC" w:rsidRDefault="009658EA" w:rsidP="009658EA">
            <w:pPr>
              <w:rPr>
                <w:sz w:val="22"/>
                <w:szCs w:val="22"/>
                <w:lang w:eastAsia="es-NI"/>
              </w:rPr>
            </w:pPr>
            <w:r w:rsidRPr="008420BC">
              <w:rPr>
                <w:sz w:val="22"/>
                <w:szCs w:val="22"/>
                <w:lang w:eastAsia="es-NI"/>
              </w:rPr>
              <w:t>2.361</w:t>
            </w:r>
          </w:p>
        </w:tc>
      </w:tr>
      <w:tr w:rsidR="009658EA" w:rsidRPr="008420BC" w14:paraId="4F33BDBE" w14:textId="77777777" w:rsidTr="009658EA">
        <w:trPr>
          <w:trHeight w:val="298"/>
        </w:trPr>
        <w:tc>
          <w:tcPr>
            <w:tcW w:w="7463" w:type="dxa"/>
            <w:gridSpan w:val="2"/>
            <w:tcBorders>
              <w:top w:val="single" w:sz="4" w:space="0" w:color="auto"/>
              <w:left w:val="single" w:sz="4" w:space="0" w:color="auto"/>
              <w:bottom w:val="single" w:sz="4" w:space="0" w:color="auto"/>
              <w:right w:val="single" w:sz="4" w:space="0" w:color="auto"/>
            </w:tcBorders>
            <w:vAlign w:val="bottom"/>
            <w:hideMark/>
          </w:tcPr>
          <w:p w14:paraId="49AAC652" w14:textId="77777777" w:rsidR="009658EA" w:rsidRPr="008420BC" w:rsidRDefault="009658EA" w:rsidP="009658EA">
            <w:pPr>
              <w:jc w:val="center"/>
              <w:rPr>
                <w:sz w:val="22"/>
                <w:szCs w:val="22"/>
                <w:lang w:eastAsia="es-NI"/>
              </w:rPr>
            </w:pPr>
            <w:r w:rsidRPr="008420BC">
              <w:rPr>
                <w:b/>
                <w:bCs/>
                <w:sz w:val="22"/>
                <w:szCs w:val="22"/>
                <w:lang w:eastAsia="es-NI"/>
              </w:rPr>
              <w:t>LINEA DE CONDUCCION</w:t>
            </w:r>
          </w:p>
        </w:tc>
        <w:tc>
          <w:tcPr>
            <w:tcW w:w="914" w:type="dxa"/>
            <w:tcBorders>
              <w:top w:val="single" w:sz="4" w:space="0" w:color="auto"/>
              <w:left w:val="single" w:sz="4" w:space="0" w:color="auto"/>
              <w:bottom w:val="single" w:sz="4" w:space="0" w:color="auto"/>
              <w:right w:val="single" w:sz="4" w:space="0" w:color="auto"/>
            </w:tcBorders>
            <w:noWrap/>
            <w:vAlign w:val="bottom"/>
          </w:tcPr>
          <w:p w14:paraId="37872064" w14:textId="77777777" w:rsidR="009658EA" w:rsidRPr="008420BC" w:rsidRDefault="009658EA" w:rsidP="009658EA">
            <w:pPr>
              <w:jc w:val="right"/>
              <w:rPr>
                <w:sz w:val="22"/>
                <w:szCs w:val="22"/>
                <w:lang w:eastAsia="es-NI"/>
              </w:rPr>
            </w:pPr>
          </w:p>
        </w:tc>
        <w:tc>
          <w:tcPr>
            <w:tcW w:w="1520" w:type="dxa"/>
            <w:tcBorders>
              <w:top w:val="single" w:sz="4" w:space="0" w:color="auto"/>
              <w:left w:val="single" w:sz="4" w:space="0" w:color="auto"/>
              <w:bottom w:val="single" w:sz="4" w:space="0" w:color="auto"/>
              <w:right w:val="single" w:sz="4" w:space="0" w:color="auto"/>
            </w:tcBorders>
            <w:vAlign w:val="bottom"/>
          </w:tcPr>
          <w:p w14:paraId="55F265AF" w14:textId="77777777" w:rsidR="009658EA" w:rsidRPr="008420BC" w:rsidRDefault="009658EA" w:rsidP="009658EA">
            <w:pPr>
              <w:jc w:val="right"/>
              <w:rPr>
                <w:sz w:val="22"/>
                <w:szCs w:val="22"/>
                <w:lang w:eastAsia="es-NI"/>
              </w:rPr>
            </w:pPr>
          </w:p>
        </w:tc>
      </w:tr>
      <w:tr w:rsidR="009658EA" w:rsidRPr="008420BC" w14:paraId="73056076"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0F0313B1" w14:textId="77777777" w:rsidR="009658EA" w:rsidRPr="008420BC" w:rsidRDefault="009658EA" w:rsidP="009658EA">
            <w:pPr>
              <w:rPr>
                <w:sz w:val="22"/>
                <w:szCs w:val="22"/>
                <w:lang w:eastAsia="es-NI"/>
              </w:rPr>
            </w:pPr>
            <w:r w:rsidRPr="008420BC">
              <w:rPr>
                <w:sz w:val="22"/>
                <w:szCs w:val="22"/>
                <w:lang w:eastAsia="es-NI"/>
              </w:rPr>
              <w:t>93285</w:t>
            </w:r>
          </w:p>
        </w:tc>
        <w:tc>
          <w:tcPr>
            <w:tcW w:w="6326" w:type="dxa"/>
            <w:tcBorders>
              <w:top w:val="single" w:sz="4" w:space="0" w:color="auto"/>
              <w:left w:val="single" w:sz="4" w:space="0" w:color="auto"/>
              <w:bottom w:val="single" w:sz="4" w:space="0" w:color="auto"/>
              <w:right w:val="single" w:sz="4" w:space="0" w:color="auto"/>
            </w:tcBorders>
            <w:vAlign w:val="bottom"/>
            <w:hideMark/>
          </w:tcPr>
          <w:p w14:paraId="041735D6" w14:textId="77777777" w:rsidR="009658EA" w:rsidRPr="008420BC" w:rsidRDefault="009658EA" w:rsidP="009658EA">
            <w:pPr>
              <w:rPr>
                <w:sz w:val="22"/>
                <w:szCs w:val="22"/>
                <w:lang w:eastAsia="es-NI"/>
              </w:rPr>
            </w:pPr>
            <w:r w:rsidRPr="008420BC">
              <w:rPr>
                <w:sz w:val="22"/>
                <w:szCs w:val="22"/>
                <w:lang w:eastAsia="es-NI"/>
              </w:rPr>
              <w:t>EXCAVACIÓN MANUAL EN TERRENO MATERIAL MIXTO (ARCILLAS, LIMOS Y BOLONES)</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0978FFA1" w14:textId="77777777" w:rsidR="009658EA" w:rsidRPr="008420BC" w:rsidRDefault="009658EA" w:rsidP="009658EA">
            <w:pPr>
              <w:rPr>
                <w:sz w:val="22"/>
                <w:szCs w:val="22"/>
                <w:lang w:eastAsia="es-NI"/>
              </w:rPr>
            </w:pPr>
            <w:r w:rsidRPr="008420BC">
              <w:rPr>
                <w:sz w:val="22"/>
                <w:szCs w:val="22"/>
                <w:lang w:eastAsia="es-NI"/>
              </w:rPr>
              <w:t>M3</w:t>
            </w:r>
          </w:p>
        </w:tc>
        <w:tc>
          <w:tcPr>
            <w:tcW w:w="1520" w:type="dxa"/>
            <w:tcBorders>
              <w:top w:val="single" w:sz="4" w:space="0" w:color="auto"/>
              <w:left w:val="single" w:sz="4" w:space="0" w:color="auto"/>
              <w:bottom w:val="single" w:sz="4" w:space="0" w:color="auto"/>
              <w:right w:val="single" w:sz="4" w:space="0" w:color="auto"/>
            </w:tcBorders>
            <w:vAlign w:val="bottom"/>
            <w:hideMark/>
          </w:tcPr>
          <w:p w14:paraId="01F36F66" w14:textId="77777777" w:rsidR="009658EA" w:rsidRPr="008420BC" w:rsidRDefault="009658EA" w:rsidP="009658EA">
            <w:pPr>
              <w:rPr>
                <w:sz w:val="22"/>
                <w:szCs w:val="22"/>
                <w:lang w:eastAsia="es-NI"/>
              </w:rPr>
            </w:pPr>
            <w:r w:rsidRPr="008420BC">
              <w:rPr>
                <w:sz w:val="22"/>
                <w:szCs w:val="22"/>
                <w:lang w:eastAsia="es-NI"/>
              </w:rPr>
              <w:t>5,100.00</w:t>
            </w:r>
          </w:p>
        </w:tc>
      </w:tr>
      <w:tr w:rsidR="009658EA" w:rsidRPr="008420BC" w14:paraId="38360538"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305288DB" w14:textId="77777777" w:rsidR="009658EA" w:rsidRPr="008420BC" w:rsidRDefault="009658EA" w:rsidP="009658EA">
            <w:pPr>
              <w:rPr>
                <w:sz w:val="22"/>
                <w:szCs w:val="22"/>
                <w:lang w:eastAsia="es-NI"/>
              </w:rPr>
            </w:pPr>
            <w:r w:rsidRPr="008420BC">
              <w:rPr>
                <w:sz w:val="22"/>
                <w:szCs w:val="22"/>
                <w:lang w:eastAsia="es-NI"/>
              </w:rPr>
              <w:t>92226</w:t>
            </w:r>
          </w:p>
        </w:tc>
        <w:tc>
          <w:tcPr>
            <w:tcW w:w="6326" w:type="dxa"/>
            <w:tcBorders>
              <w:top w:val="single" w:sz="4" w:space="0" w:color="auto"/>
              <w:left w:val="single" w:sz="4" w:space="0" w:color="auto"/>
              <w:bottom w:val="single" w:sz="4" w:space="0" w:color="auto"/>
              <w:right w:val="single" w:sz="4" w:space="0" w:color="auto"/>
            </w:tcBorders>
            <w:vAlign w:val="bottom"/>
            <w:hideMark/>
          </w:tcPr>
          <w:p w14:paraId="6958F905" w14:textId="77777777" w:rsidR="009658EA" w:rsidRPr="008420BC" w:rsidRDefault="009658EA" w:rsidP="009658EA">
            <w:pPr>
              <w:rPr>
                <w:sz w:val="22"/>
                <w:szCs w:val="22"/>
                <w:lang w:eastAsia="es-NI"/>
              </w:rPr>
            </w:pPr>
            <w:r w:rsidRPr="008420BC">
              <w:rPr>
                <w:sz w:val="22"/>
                <w:szCs w:val="22"/>
                <w:lang w:eastAsia="es-NI"/>
              </w:rPr>
              <w:t>RELLENO Y COMPACTACIÓN MANUAL</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15562F41" w14:textId="77777777" w:rsidR="009658EA" w:rsidRPr="008420BC" w:rsidRDefault="009658EA" w:rsidP="009658EA">
            <w:pPr>
              <w:rPr>
                <w:sz w:val="22"/>
                <w:szCs w:val="22"/>
                <w:lang w:eastAsia="es-NI"/>
              </w:rPr>
            </w:pPr>
            <w:r w:rsidRPr="008420BC">
              <w:rPr>
                <w:sz w:val="22"/>
                <w:szCs w:val="22"/>
                <w:lang w:eastAsia="es-NI"/>
              </w:rPr>
              <w:t>M3</w:t>
            </w:r>
          </w:p>
        </w:tc>
        <w:tc>
          <w:tcPr>
            <w:tcW w:w="1520" w:type="dxa"/>
            <w:tcBorders>
              <w:top w:val="single" w:sz="4" w:space="0" w:color="auto"/>
              <w:left w:val="single" w:sz="4" w:space="0" w:color="auto"/>
              <w:bottom w:val="single" w:sz="4" w:space="0" w:color="auto"/>
              <w:right w:val="single" w:sz="4" w:space="0" w:color="auto"/>
            </w:tcBorders>
            <w:vAlign w:val="bottom"/>
            <w:hideMark/>
          </w:tcPr>
          <w:p w14:paraId="265F7C73" w14:textId="77777777" w:rsidR="009658EA" w:rsidRPr="008420BC" w:rsidRDefault="009658EA" w:rsidP="009658EA">
            <w:pPr>
              <w:rPr>
                <w:sz w:val="22"/>
                <w:szCs w:val="22"/>
                <w:lang w:eastAsia="es-NI"/>
              </w:rPr>
            </w:pPr>
            <w:r w:rsidRPr="008420BC">
              <w:rPr>
                <w:sz w:val="22"/>
                <w:szCs w:val="22"/>
                <w:lang w:eastAsia="es-NI"/>
              </w:rPr>
              <w:t>5,100.00</w:t>
            </w:r>
          </w:p>
        </w:tc>
      </w:tr>
      <w:tr w:rsidR="009658EA" w:rsidRPr="008420BC" w14:paraId="4EAD79D7" w14:textId="77777777" w:rsidTr="009658EA">
        <w:trPr>
          <w:trHeight w:val="298"/>
        </w:trPr>
        <w:tc>
          <w:tcPr>
            <w:tcW w:w="7463" w:type="dxa"/>
            <w:gridSpan w:val="2"/>
            <w:tcBorders>
              <w:top w:val="single" w:sz="4" w:space="0" w:color="auto"/>
              <w:left w:val="single" w:sz="4" w:space="0" w:color="auto"/>
              <w:bottom w:val="single" w:sz="4" w:space="0" w:color="auto"/>
              <w:right w:val="single" w:sz="4" w:space="0" w:color="auto"/>
            </w:tcBorders>
            <w:vAlign w:val="bottom"/>
            <w:hideMark/>
          </w:tcPr>
          <w:p w14:paraId="0B730D17" w14:textId="77777777" w:rsidR="009658EA" w:rsidRPr="008420BC" w:rsidRDefault="009658EA" w:rsidP="009658EA">
            <w:pPr>
              <w:jc w:val="center"/>
              <w:rPr>
                <w:sz w:val="22"/>
                <w:szCs w:val="22"/>
                <w:lang w:eastAsia="es-NI"/>
              </w:rPr>
            </w:pPr>
            <w:r w:rsidRPr="008420BC">
              <w:rPr>
                <w:b/>
                <w:bCs/>
                <w:sz w:val="22"/>
                <w:szCs w:val="22"/>
                <w:lang w:eastAsia="es-NI"/>
              </w:rPr>
              <w:t>RED DE DISTRIBUCION</w:t>
            </w:r>
          </w:p>
        </w:tc>
        <w:tc>
          <w:tcPr>
            <w:tcW w:w="914" w:type="dxa"/>
            <w:tcBorders>
              <w:top w:val="single" w:sz="4" w:space="0" w:color="auto"/>
              <w:left w:val="single" w:sz="4" w:space="0" w:color="auto"/>
              <w:bottom w:val="single" w:sz="4" w:space="0" w:color="auto"/>
              <w:right w:val="single" w:sz="4" w:space="0" w:color="auto"/>
            </w:tcBorders>
            <w:noWrap/>
            <w:vAlign w:val="bottom"/>
          </w:tcPr>
          <w:p w14:paraId="57C9D35E" w14:textId="77777777" w:rsidR="009658EA" w:rsidRPr="008420BC" w:rsidRDefault="009658EA" w:rsidP="009658EA">
            <w:pPr>
              <w:jc w:val="right"/>
              <w:rPr>
                <w:sz w:val="22"/>
                <w:szCs w:val="22"/>
                <w:lang w:eastAsia="es-NI"/>
              </w:rPr>
            </w:pPr>
          </w:p>
        </w:tc>
        <w:tc>
          <w:tcPr>
            <w:tcW w:w="1520" w:type="dxa"/>
            <w:tcBorders>
              <w:top w:val="single" w:sz="4" w:space="0" w:color="auto"/>
              <w:left w:val="single" w:sz="4" w:space="0" w:color="auto"/>
              <w:bottom w:val="single" w:sz="4" w:space="0" w:color="auto"/>
              <w:right w:val="single" w:sz="4" w:space="0" w:color="auto"/>
            </w:tcBorders>
            <w:vAlign w:val="bottom"/>
          </w:tcPr>
          <w:p w14:paraId="74BE96D6" w14:textId="77777777" w:rsidR="009658EA" w:rsidRPr="008420BC" w:rsidRDefault="009658EA" w:rsidP="009658EA">
            <w:pPr>
              <w:jc w:val="right"/>
              <w:rPr>
                <w:sz w:val="22"/>
                <w:szCs w:val="22"/>
                <w:lang w:eastAsia="es-NI"/>
              </w:rPr>
            </w:pPr>
          </w:p>
        </w:tc>
      </w:tr>
      <w:tr w:rsidR="009658EA" w:rsidRPr="008420BC" w14:paraId="60F1AA6C"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70280EBC" w14:textId="77777777" w:rsidR="009658EA" w:rsidRPr="008420BC" w:rsidRDefault="009658EA" w:rsidP="009658EA">
            <w:pPr>
              <w:rPr>
                <w:sz w:val="22"/>
                <w:szCs w:val="22"/>
                <w:lang w:eastAsia="es-NI"/>
              </w:rPr>
            </w:pPr>
            <w:r w:rsidRPr="008420BC">
              <w:rPr>
                <w:sz w:val="22"/>
                <w:szCs w:val="22"/>
                <w:lang w:eastAsia="es-NI"/>
              </w:rPr>
              <w:t>93285</w:t>
            </w:r>
          </w:p>
        </w:tc>
        <w:tc>
          <w:tcPr>
            <w:tcW w:w="6326" w:type="dxa"/>
            <w:tcBorders>
              <w:top w:val="single" w:sz="4" w:space="0" w:color="auto"/>
              <w:left w:val="single" w:sz="4" w:space="0" w:color="auto"/>
              <w:bottom w:val="single" w:sz="4" w:space="0" w:color="auto"/>
              <w:right w:val="single" w:sz="4" w:space="0" w:color="auto"/>
            </w:tcBorders>
            <w:vAlign w:val="bottom"/>
            <w:hideMark/>
          </w:tcPr>
          <w:p w14:paraId="4BCA3623" w14:textId="77777777" w:rsidR="009658EA" w:rsidRPr="008420BC" w:rsidRDefault="009658EA" w:rsidP="009658EA">
            <w:pPr>
              <w:rPr>
                <w:sz w:val="22"/>
                <w:szCs w:val="22"/>
                <w:lang w:eastAsia="es-NI"/>
              </w:rPr>
            </w:pPr>
            <w:r w:rsidRPr="008420BC">
              <w:rPr>
                <w:sz w:val="22"/>
                <w:szCs w:val="22"/>
                <w:lang w:eastAsia="es-NI"/>
              </w:rPr>
              <w:t>EXCAVACIÓN MANUAL EN TERRENO MATERIAL MIXTO (ARCILLAS, LIMOS Y BOLONES)</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278BAFAA" w14:textId="77777777" w:rsidR="009658EA" w:rsidRPr="008420BC" w:rsidRDefault="009658EA" w:rsidP="009658EA">
            <w:pPr>
              <w:rPr>
                <w:sz w:val="22"/>
                <w:szCs w:val="22"/>
                <w:lang w:eastAsia="es-NI"/>
              </w:rPr>
            </w:pPr>
            <w:r w:rsidRPr="008420BC">
              <w:rPr>
                <w:sz w:val="22"/>
                <w:szCs w:val="22"/>
                <w:lang w:eastAsia="es-NI"/>
              </w:rPr>
              <w:t>M3</w:t>
            </w:r>
          </w:p>
        </w:tc>
        <w:tc>
          <w:tcPr>
            <w:tcW w:w="1520" w:type="dxa"/>
            <w:tcBorders>
              <w:top w:val="single" w:sz="4" w:space="0" w:color="auto"/>
              <w:left w:val="single" w:sz="4" w:space="0" w:color="auto"/>
              <w:bottom w:val="single" w:sz="4" w:space="0" w:color="auto"/>
              <w:right w:val="single" w:sz="4" w:space="0" w:color="auto"/>
            </w:tcBorders>
            <w:vAlign w:val="bottom"/>
            <w:hideMark/>
          </w:tcPr>
          <w:p w14:paraId="34DEC328" w14:textId="77777777" w:rsidR="009658EA" w:rsidRPr="008420BC" w:rsidRDefault="009658EA" w:rsidP="009658EA">
            <w:pPr>
              <w:rPr>
                <w:sz w:val="22"/>
                <w:szCs w:val="22"/>
                <w:lang w:eastAsia="es-NI"/>
              </w:rPr>
            </w:pPr>
            <w:r w:rsidRPr="008420BC">
              <w:rPr>
                <w:sz w:val="22"/>
                <w:szCs w:val="22"/>
                <w:lang w:eastAsia="es-NI"/>
              </w:rPr>
              <w:t>6,770.00</w:t>
            </w:r>
          </w:p>
        </w:tc>
      </w:tr>
      <w:tr w:rsidR="009658EA" w:rsidRPr="008420BC" w14:paraId="4119D421"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3223E9B8" w14:textId="77777777" w:rsidR="009658EA" w:rsidRPr="008420BC" w:rsidRDefault="009658EA" w:rsidP="009658EA">
            <w:pPr>
              <w:rPr>
                <w:sz w:val="22"/>
                <w:szCs w:val="22"/>
                <w:lang w:eastAsia="es-NI"/>
              </w:rPr>
            </w:pPr>
            <w:r w:rsidRPr="008420BC">
              <w:rPr>
                <w:sz w:val="22"/>
                <w:szCs w:val="22"/>
                <w:lang w:eastAsia="es-NI"/>
              </w:rPr>
              <w:t>92226</w:t>
            </w:r>
          </w:p>
        </w:tc>
        <w:tc>
          <w:tcPr>
            <w:tcW w:w="6326" w:type="dxa"/>
            <w:tcBorders>
              <w:top w:val="single" w:sz="4" w:space="0" w:color="auto"/>
              <w:left w:val="single" w:sz="4" w:space="0" w:color="auto"/>
              <w:bottom w:val="single" w:sz="4" w:space="0" w:color="auto"/>
              <w:right w:val="single" w:sz="4" w:space="0" w:color="auto"/>
            </w:tcBorders>
            <w:vAlign w:val="bottom"/>
            <w:hideMark/>
          </w:tcPr>
          <w:p w14:paraId="26CA14AF" w14:textId="77777777" w:rsidR="009658EA" w:rsidRPr="008420BC" w:rsidRDefault="009658EA" w:rsidP="009658EA">
            <w:pPr>
              <w:rPr>
                <w:sz w:val="22"/>
                <w:szCs w:val="22"/>
                <w:lang w:eastAsia="es-NI"/>
              </w:rPr>
            </w:pPr>
            <w:r w:rsidRPr="008420BC">
              <w:rPr>
                <w:sz w:val="22"/>
                <w:szCs w:val="22"/>
                <w:lang w:eastAsia="es-NI"/>
              </w:rPr>
              <w:t>RELLENO Y COMPACTACIÓN MANUAL</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31883313" w14:textId="77777777" w:rsidR="009658EA" w:rsidRPr="008420BC" w:rsidRDefault="009658EA" w:rsidP="009658EA">
            <w:pPr>
              <w:rPr>
                <w:sz w:val="22"/>
                <w:szCs w:val="22"/>
                <w:lang w:eastAsia="es-NI"/>
              </w:rPr>
            </w:pPr>
            <w:r w:rsidRPr="008420BC">
              <w:rPr>
                <w:sz w:val="22"/>
                <w:szCs w:val="22"/>
                <w:lang w:eastAsia="es-NI"/>
              </w:rPr>
              <w:t>M3</w:t>
            </w:r>
          </w:p>
        </w:tc>
        <w:tc>
          <w:tcPr>
            <w:tcW w:w="1520" w:type="dxa"/>
            <w:tcBorders>
              <w:top w:val="single" w:sz="4" w:space="0" w:color="auto"/>
              <w:left w:val="single" w:sz="4" w:space="0" w:color="auto"/>
              <w:bottom w:val="single" w:sz="4" w:space="0" w:color="auto"/>
              <w:right w:val="single" w:sz="4" w:space="0" w:color="auto"/>
            </w:tcBorders>
            <w:vAlign w:val="bottom"/>
            <w:hideMark/>
          </w:tcPr>
          <w:p w14:paraId="511C2DE7" w14:textId="77777777" w:rsidR="009658EA" w:rsidRPr="008420BC" w:rsidRDefault="009658EA" w:rsidP="009658EA">
            <w:pPr>
              <w:rPr>
                <w:sz w:val="22"/>
                <w:szCs w:val="22"/>
                <w:lang w:eastAsia="es-NI"/>
              </w:rPr>
            </w:pPr>
            <w:r w:rsidRPr="008420BC">
              <w:rPr>
                <w:sz w:val="22"/>
                <w:szCs w:val="22"/>
                <w:lang w:eastAsia="es-NI"/>
              </w:rPr>
              <w:t>6,770.00</w:t>
            </w:r>
          </w:p>
        </w:tc>
      </w:tr>
      <w:tr w:rsidR="009658EA" w:rsidRPr="008420BC" w14:paraId="7CEBA6C2" w14:textId="77777777" w:rsidTr="009658EA">
        <w:trPr>
          <w:trHeight w:val="298"/>
        </w:trPr>
        <w:tc>
          <w:tcPr>
            <w:tcW w:w="7463" w:type="dxa"/>
            <w:gridSpan w:val="2"/>
            <w:tcBorders>
              <w:top w:val="single" w:sz="4" w:space="0" w:color="auto"/>
              <w:left w:val="single" w:sz="4" w:space="0" w:color="auto"/>
              <w:bottom w:val="single" w:sz="4" w:space="0" w:color="auto"/>
              <w:right w:val="single" w:sz="4" w:space="0" w:color="auto"/>
            </w:tcBorders>
            <w:vAlign w:val="bottom"/>
            <w:hideMark/>
          </w:tcPr>
          <w:p w14:paraId="16EBCE55" w14:textId="77777777" w:rsidR="009658EA" w:rsidRPr="008420BC" w:rsidRDefault="009658EA" w:rsidP="009658EA">
            <w:pPr>
              <w:jc w:val="center"/>
              <w:rPr>
                <w:sz w:val="22"/>
                <w:szCs w:val="22"/>
                <w:lang w:eastAsia="es-NI"/>
              </w:rPr>
            </w:pPr>
            <w:r w:rsidRPr="008420BC">
              <w:rPr>
                <w:b/>
                <w:bCs/>
                <w:sz w:val="22"/>
                <w:szCs w:val="22"/>
                <w:lang w:eastAsia="es-NI"/>
              </w:rPr>
              <w:t>MEDIDORES DE AGUA POTABLE</w:t>
            </w:r>
            <w:r w:rsidRPr="008420BC">
              <w:rPr>
                <w:sz w:val="22"/>
                <w:szCs w:val="22"/>
                <w:lang w:eastAsia="es-NI"/>
              </w:rPr>
              <w:t xml:space="preserve">                                   </w:t>
            </w:r>
          </w:p>
        </w:tc>
        <w:tc>
          <w:tcPr>
            <w:tcW w:w="914" w:type="dxa"/>
            <w:tcBorders>
              <w:top w:val="single" w:sz="4" w:space="0" w:color="auto"/>
              <w:left w:val="single" w:sz="4" w:space="0" w:color="auto"/>
              <w:bottom w:val="single" w:sz="4" w:space="0" w:color="auto"/>
              <w:right w:val="single" w:sz="4" w:space="0" w:color="auto"/>
            </w:tcBorders>
            <w:noWrap/>
            <w:vAlign w:val="bottom"/>
          </w:tcPr>
          <w:p w14:paraId="6F574C45" w14:textId="77777777" w:rsidR="009658EA" w:rsidRPr="008420BC" w:rsidRDefault="009658EA" w:rsidP="009658EA">
            <w:pPr>
              <w:jc w:val="right"/>
              <w:rPr>
                <w:sz w:val="22"/>
                <w:szCs w:val="22"/>
                <w:lang w:eastAsia="es-NI"/>
              </w:rPr>
            </w:pPr>
          </w:p>
        </w:tc>
        <w:tc>
          <w:tcPr>
            <w:tcW w:w="1520" w:type="dxa"/>
            <w:tcBorders>
              <w:top w:val="single" w:sz="4" w:space="0" w:color="auto"/>
              <w:left w:val="single" w:sz="4" w:space="0" w:color="auto"/>
              <w:bottom w:val="single" w:sz="4" w:space="0" w:color="auto"/>
              <w:right w:val="single" w:sz="4" w:space="0" w:color="auto"/>
            </w:tcBorders>
            <w:vAlign w:val="bottom"/>
          </w:tcPr>
          <w:p w14:paraId="0315F885" w14:textId="77777777" w:rsidR="009658EA" w:rsidRPr="008420BC" w:rsidRDefault="009658EA" w:rsidP="009658EA">
            <w:pPr>
              <w:jc w:val="right"/>
              <w:rPr>
                <w:sz w:val="22"/>
                <w:szCs w:val="22"/>
                <w:lang w:eastAsia="es-NI"/>
              </w:rPr>
            </w:pPr>
          </w:p>
        </w:tc>
      </w:tr>
      <w:tr w:rsidR="009658EA" w:rsidRPr="008420BC" w14:paraId="03A2900D"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77695344" w14:textId="77777777" w:rsidR="009658EA" w:rsidRPr="008420BC" w:rsidRDefault="009658EA" w:rsidP="009658EA">
            <w:pPr>
              <w:rPr>
                <w:sz w:val="22"/>
                <w:szCs w:val="22"/>
                <w:lang w:eastAsia="es-NI"/>
              </w:rPr>
            </w:pPr>
            <w:r w:rsidRPr="008420BC">
              <w:rPr>
                <w:sz w:val="22"/>
                <w:szCs w:val="22"/>
                <w:lang w:eastAsia="es-NI"/>
              </w:rPr>
              <w:t>92728</w:t>
            </w:r>
          </w:p>
        </w:tc>
        <w:tc>
          <w:tcPr>
            <w:tcW w:w="6326" w:type="dxa"/>
            <w:tcBorders>
              <w:top w:val="single" w:sz="4" w:space="0" w:color="auto"/>
              <w:left w:val="single" w:sz="4" w:space="0" w:color="auto"/>
              <w:bottom w:val="single" w:sz="4" w:space="0" w:color="auto"/>
              <w:right w:val="single" w:sz="4" w:space="0" w:color="auto"/>
            </w:tcBorders>
            <w:vAlign w:val="bottom"/>
            <w:hideMark/>
          </w:tcPr>
          <w:p w14:paraId="1EAC531D" w14:textId="77777777" w:rsidR="009658EA" w:rsidRPr="008420BC" w:rsidRDefault="009658EA" w:rsidP="009658EA">
            <w:pPr>
              <w:rPr>
                <w:sz w:val="22"/>
                <w:szCs w:val="22"/>
                <w:lang w:eastAsia="es-NI"/>
              </w:rPr>
            </w:pPr>
            <w:r w:rsidRPr="008420BC">
              <w:rPr>
                <w:sz w:val="22"/>
                <w:szCs w:val="22"/>
                <w:lang w:eastAsia="es-NI"/>
              </w:rPr>
              <w:t>MEDIDOR DE BRONCE PARA AGUA POTABLE Diám.=½" (Tipo volumétrico, Clase C, CON 2 ADAPTADORES DE PVC Diám.=½") (NO INCL. CAJA) PARA USO DOMICILIAR</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53FD394E" w14:textId="77777777" w:rsidR="009658EA" w:rsidRPr="008420BC" w:rsidRDefault="009658EA" w:rsidP="009658EA">
            <w:pPr>
              <w:rPr>
                <w:sz w:val="22"/>
                <w:szCs w:val="22"/>
                <w:lang w:eastAsia="es-NI"/>
              </w:rPr>
            </w:pPr>
            <w:r w:rsidRPr="008420BC">
              <w:rPr>
                <w:sz w:val="22"/>
                <w:szCs w:val="22"/>
                <w:lang w:eastAsia="es-NI"/>
              </w:rPr>
              <w:t>C/U</w:t>
            </w:r>
          </w:p>
        </w:tc>
        <w:tc>
          <w:tcPr>
            <w:tcW w:w="1520" w:type="dxa"/>
            <w:tcBorders>
              <w:top w:val="single" w:sz="4" w:space="0" w:color="auto"/>
              <w:left w:val="single" w:sz="4" w:space="0" w:color="auto"/>
              <w:bottom w:val="single" w:sz="4" w:space="0" w:color="auto"/>
              <w:right w:val="single" w:sz="4" w:space="0" w:color="auto"/>
            </w:tcBorders>
            <w:vAlign w:val="bottom"/>
            <w:hideMark/>
          </w:tcPr>
          <w:p w14:paraId="348C40E6" w14:textId="77777777" w:rsidR="009658EA" w:rsidRPr="008420BC" w:rsidRDefault="009658EA" w:rsidP="009658EA">
            <w:pPr>
              <w:rPr>
                <w:sz w:val="22"/>
                <w:szCs w:val="22"/>
                <w:lang w:eastAsia="es-NI"/>
              </w:rPr>
            </w:pPr>
            <w:r w:rsidRPr="008420BC">
              <w:rPr>
                <w:sz w:val="22"/>
                <w:szCs w:val="22"/>
                <w:lang w:eastAsia="es-NI"/>
              </w:rPr>
              <w:t>217</w:t>
            </w:r>
          </w:p>
        </w:tc>
      </w:tr>
      <w:tr w:rsidR="009658EA" w:rsidRPr="008420BC" w14:paraId="605D8083" w14:textId="77777777" w:rsidTr="009658EA">
        <w:trPr>
          <w:trHeight w:val="298"/>
        </w:trPr>
        <w:tc>
          <w:tcPr>
            <w:tcW w:w="7463" w:type="dxa"/>
            <w:gridSpan w:val="2"/>
            <w:tcBorders>
              <w:top w:val="single" w:sz="4" w:space="0" w:color="auto"/>
              <w:left w:val="single" w:sz="4" w:space="0" w:color="auto"/>
              <w:bottom w:val="single" w:sz="4" w:space="0" w:color="auto"/>
              <w:right w:val="single" w:sz="4" w:space="0" w:color="auto"/>
            </w:tcBorders>
            <w:vAlign w:val="bottom"/>
            <w:hideMark/>
          </w:tcPr>
          <w:p w14:paraId="0E7CE3B2" w14:textId="77777777" w:rsidR="009658EA" w:rsidRPr="008420BC" w:rsidRDefault="009658EA" w:rsidP="009658EA">
            <w:pPr>
              <w:jc w:val="center"/>
              <w:rPr>
                <w:sz w:val="22"/>
                <w:szCs w:val="22"/>
                <w:lang w:eastAsia="es-NI"/>
              </w:rPr>
            </w:pPr>
            <w:r w:rsidRPr="008420BC">
              <w:rPr>
                <w:b/>
                <w:bCs/>
                <w:sz w:val="22"/>
                <w:szCs w:val="22"/>
                <w:lang w:eastAsia="es-NI"/>
              </w:rPr>
              <w:t>LIMPIEZA FINAL</w:t>
            </w:r>
            <w:r w:rsidRPr="008420BC">
              <w:rPr>
                <w:sz w:val="22"/>
                <w:szCs w:val="22"/>
                <w:lang w:eastAsia="es-NI"/>
              </w:rPr>
              <w:t xml:space="preserve">                                              </w:t>
            </w:r>
          </w:p>
        </w:tc>
        <w:tc>
          <w:tcPr>
            <w:tcW w:w="914" w:type="dxa"/>
            <w:tcBorders>
              <w:top w:val="single" w:sz="4" w:space="0" w:color="auto"/>
              <w:left w:val="single" w:sz="4" w:space="0" w:color="auto"/>
              <w:bottom w:val="single" w:sz="4" w:space="0" w:color="auto"/>
              <w:right w:val="single" w:sz="4" w:space="0" w:color="auto"/>
            </w:tcBorders>
            <w:noWrap/>
            <w:vAlign w:val="bottom"/>
          </w:tcPr>
          <w:p w14:paraId="6837D424" w14:textId="77777777" w:rsidR="009658EA" w:rsidRPr="008420BC" w:rsidRDefault="009658EA" w:rsidP="009658EA">
            <w:pPr>
              <w:jc w:val="right"/>
              <w:rPr>
                <w:sz w:val="22"/>
                <w:szCs w:val="22"/>
                <w:lang w:eastAsia="es-NI"/>
              </w:rPr>
            </w:pPr>
          </w:p>
        </w:tc>
        <w:tc>
          <w:tcPr>
            <w:tcW w:w="1520" w:type="dxa"/>
            <w:tcBorders>
              <w:top w:val="single" w:sz="4" w:space="0" w:color="auto"/>
              <w:left w:val="single" w:sz="4" w:space="0" w:color="auto"/>
              <w:bottom w:val="single" w:sz="4" w:space="0" w:color="auto"/>
              <w:right w:val="single" w:sz="4" w:space="0" w:color="auto"/>
            </w:tcBorders>
            <w:vAlign w:val="bottom"/>
          </w:tcPr>
          <w:p w14:paraId="40D256EC" w14:textId="77777777" w:rsidR="009658EA" w:rsidRPr="008420BC" w:rsidRDefault="009658EA" w:rsidP="009658EA">
            <w:pPr>
              <w:jc w:val="right"/>
              <w:rPr>
                <w:sz w:val="22"/>
                <w:szCs w:val="22"/>
                <w:lang w:eastAsia="es-NI"/>
              </w:rPr>
            </w:pPr>
          </w:p>
        </w:tc>
      </w:tr>
      <w:tr w:rsidR="009658EA" w:rsidRPr="008420BC" w14:paraId="2BBF3433"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hideMark/>
          </w:tcPr>
          <w:p w14:paraId="7E180730" w14:textId="77777777" w:rsidR="009658EA" w:rsidRPr="008420BC" w:rsidRDefault="009658EA" w:rsidP="009658EA">
            <w:pPr>
              <w:rPr>
                <w:sz w:val="22"/>
                <w:szCs w:val="22"/>
                <w:lang w:eastAsia="es-NI"/>
              </w:rPr>
            </w:pPr>
            <w:r w:rsidRPr="008420BC">
              <w:rPr>
                <w:sz w:val="22"/>
                <w:szCs w:val="22"/>
                <w:lang w:eastAsia="es-NI"/>
              </w:rPr>
              <w:t>92225</w:t>
            </w:r>
          </w:p>
        </w:tc>
        <w:tc>
          <w:tcPr>
            <w:tcW w:w="6326" w:type="dxa"/>
            <w:tcBorders>
              <w:top w:val="single" w:sz="4" w:space="0" w:color="auto"/>
              <w:left w:val="single" w:sz="4" w:space="0" w:color="auto"/>
              <w:bottom w:val="single" w:sz="4" w:space="0" w:color="auto"/>
              <w:right w:val="single" w:sz="4" w:space="0" w:color="auto"/>
            </w:tcBorders>
            <w:vAlign w:val="bottom"/>
            <w:hideMark/>
          </w:tcPr>
          <w:p w14:paraId="7AD8C853" w14:textId="77777777" w:rsidR="009658EA" w:rsidRPr="008420BC" w:rsidRDefault="009658EA" w:rsidP="009658EA">
            <w:pPr>
              <w:rPr>
                <w:sz w:val="22"/>
                <w:szCs w:val="22"/>
                <w:lang w:eastAsia="es-NI"/>
              </w:rPr>
            </w:pPr>
            <w:r w:rsidRPr="008420BC">
              <w:rPr>
                <w:sz w:val="22"/>
                <w:szCs w:val="22"/>
                <w:lang w:eastAsia="es-NI"/>
              </w:rPr>
              <w:t>LIMPIEZA MANUAL FINAL</w:t>
            </w:r>
          </w:p>
        </w:tc>
        <w:tc>
          <w:tcPr>
            <w:tcW w:w="914" w:type="dxa"/>
            <w:tcBorders>
              <w:top w:val="single" w:sz="4" w:space="0" w:color="auto"/>
              <w:left w:val="single" w:sz="4" w:space="0" w:color="auto"/>
              <w:bottom w:val="single" w:sz="4" w:space="0" w:color="auto"/>
              <w:right w:val="single" w:sz="4" w:space="0" w:color="auto"/>
            </w:tcBorders>
            <w:noWrap/>
            <w:vAlign w:val="bottom"/>
            <w:hideMark/>
          </w:tcPr>
          <w:p w14:paraId="698A1D26" w14:textId="77777777" w:rsidR="009658EA" w:rsidRPr="008420BC" w:rsidRDefault="009658EA" w:rsidP="009658EA">
            <w:pPr>
              <w:rPr>
                <w:sz w:val="22"/>
                <w:szCs w:val="22"/>
                <w:lang w:eastAsia="es-NI"/>
              </w:rPr>
            </w:pPr>
            <w:r w:rsidRPr="008420BC">
              <w:rPr>
                <w:sz w:val="22"/>
                <w:szCs w:val="22"/>
                <w:lang w:eastAsia="es-NI"/>
              </w:rPr>
              <w:t>M2</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28D2487" w14:textId="77777777" w:rsidR="009658EA" w:rsidRPr="008420BC" w:rsidRDefault="009658EA" w:rsidP="009658EA">
            <w:pPr>
              <w:rPr>
                <w:sz w:val="22"/>
                <w:szCs w:val="22"/>
                <w:lang w:eastAsia="es-NI"/>
              </w:rPr>
            </w:pPr>
            <w:r w:rsidRPr="008420BC">
              <w:rPr>
                <w:sz w:val="22"/>
                <w:szCs w:val="22"/>
                <w:lang w:eastAsia="es-NI"/>
              </w:rPr>
              <w:t>225</w:t>
            </w:r>
          </w:p>
        </w:tc>
      </w:tr>
      <w:tr w:rsidR="009658EA" w:rsidRPr="008420BC" w14:paraId="2C89EBD8" w14:textId="77777777" w:rsidTr="009658EA">
        <w:trPr>
          <w:trHeight w:val="298"/>
        </w:trPr>
        <w:tc>
          <w:tcPr>
            <w:tcW w:w="1136" w:type="dxa"/>
            <w:tcBorders>
              <w:top w:val="single" w:sz="4" w:space="0" w:color="auto"/>
              <w:left w:val="single" w:sz="4" w:space="0" w:color="auto"/>
              <w:bottom w:val="single" w:sz="4" w:space="0" w:color="auto"/>
              <w:right w:val="single" w:sz="4" w:space="0" w:color="auto"/>
            </w:tcBorders>
            <w:vAlign w:val="bottom"/>
          </w:tcPr>
          <w:p w14:paraId="61424465" w14:textId="77777777" w:rsidR="009658EA" w:rsidRPr="008420BC" w:rsidRDefault="009658EA" w:rsidP="009658EA">
            <w:pPr>
              <w:rPr>
                <w:sz w:val="22"/>
                <w:szCs w:val="22"/>
                <w:lang w:eastAsia="es-NI"/>
              </w:rPr>
            </w:pPr>
          </w:p>
        </w:tc>
        <w:tc>
          <w:tcPr>
            <w:tcW w:w="6326" w:type="dxa"/>
            <w:tcBorders>
              <w:top w:val="single" w:sz="4" w:space="0" w:color="auto"/>
              <w:left w:val="single" w:sz="4" w:space="0" w:color="auto"/>
              <w:bottom w:val="single" w:sz="4" w:space="0" w:color="auto"/>
              <w:right w:val="single" w:sz="4" w:space="0" w:color="auto"/>
            </w:tcBorders>
            <w:vAlign w:val="bottom"/>
          </w:tcPr>
          <w:p w14:paraId="4646B58D" w14:textId="77777777" w:rsidR="009658EA" w:rsidRPr="008420BC" w:rsidRDefault="009658EA" w:rsidP="009658EA">
            <w:pPr>
              <w:rPr>
                <w:sz w:val="22"/>
                <w:szCs w:val="22"/>
                <w:lang w:eastAsia="es-NI"/>
              </w:rPr>
            </w:pPr>
          </w:p>
        </w:tc>
        <w:tc>
          <w:tcPr>
            <w:tcW w:w="914" w:type="dxa"/>
            <w:tcBorders>
              <w:top w:val="single" w:sz="4" w:space="0" w:color="auto"/>
              <w:left w:val="single" w:sz="4" w:space="0" w:color="auto"/>
              <w:bottom w:val="single" w:sz="4" w:space="0" w:color="auto"/>
              <w:right w:val="single" w:sz="4" w:space="0" w:color="auto"/>
            </w:tcBorders>
            <w:noWrap/>
            <w:vAlign w:val="bottom"/>
          </w:tcPr>
          <w:p w14:paraId="21AFBA6A" w14:textId="77777777" w:rsidR="009658EA" w:rsidRPr="008420BC" w:rsidRDefault="009658EA" w:rsidP="009658EA">
            <w:pPr>
              <w:rPr>
                <w:sz w:val="22"/>
                <w:szCs w:val="22"/>
                <w:lang w:eastAsia="es-NI"/>
              </w:rPr>
            </w:pPr>
          </w:p>
        </w:tc>
        <w:tc>
          <w:tcPr>
            <w:tcW w:w="1520" w:type="dxa"/>
            <w:tcBorders>
              <w:top w:val="single" w:sz="4" w:space="0" w:color="auto"/>
              <w:left w:val="single" w:sz="4" w:space="0" w:color="auto"/>
              <w:bottom w:val="single" w:sz="4" w:space="0" w:color="auto"/>
              <w:right w:val="single" w:sz="4" w:space="0" w:color="auto"/>
            </w:tcBorders>
            <w:vAlign w:val="bottom"/>
          </w:tcPr>
          <w:p w14:paraId="6D8F4654" w14:textId="77777777" w:rsidR="009658EA" w:rsidRPr="008420BC" w:rsidRDefault="009658EA" w:rsidP="009658EA">
            <w:pPr>
              <w:rPr>
                <w:sz w:val="22"/>
                <w:szCs w:val="22"/>
                <w:lang w:eastAsia="es-NI"/>
              </w:rPr>
            </w:pPr>
          </w:p>
        </w:tc>
      </w:tr>
    </w:tbl>
    <w:p w14:paraId="42298387" w14:textId="77777777" w:rsidR="009658EA" w:rsidRPr="008420BC" w:rsidRDefault="009658EA" w:rsidP="009658EA">
      <w:pPr>
        <w:rPr>
          <w:sz w:val="22"/>
          <w:szCs w:val="22"/>
        </w:rPr>
      </w:pPr>
    </w:p>
    <w:p w14:paraId="4DA7A583" w14:textId="77777777" w:rsidR="009658EA" w:rsidRPr="008420BC" w:rsidRDefault="009658EA" w:rsidP="009658EA">
      <w:pPr>
        <w:rPr>
          <w:b/>
          <w:sz w:val="22"/>
          <w:szCs w:val="22"/>
        </w:rPr>
      </w:pPr>
      <w:r w:rsidRPr="008420BC">
        <w:rPr>
          <w:b/>
          <w:sz w:val="22"/>
          <w:szCs w:val="22"/>
        </w:rPr>
        <w:t>COMPONENTE III</w:t>
      </w:r>
      <w:r w:rsidRPr="008420BC">
        <w:rPr>
          <w:b/>
          <w:sz w:val="22"/>
          <w:szCs w:val="22"/>
        </w:rPr>
        <w:tab/>
      </w:r>
      <w:r w:rsidRPr="008420BC">
        <w:rPr>
          <w:b/>
          <w:i/>
          <w:sz w:val="22"/>
          <w:szCs w:val="22"/>
        </w:rPr>
        <w:t>ACOMPAÑAMIENTO DE LOS PROCESOS SOCIALES DEL PROYECTO</w:t>
      </w:r>
    </w:p>
    <w:p w14:paraId="338579C4" w14:textId="77777777" w:rsidR="009658EA" w:rsidRPr="008420BC" w:rsidRDefault="009658EA" w:rsidP="009658EA">
      <w:pPr>
        <w:rPr>
          <w:sz w:val="22"/>
          <w:szCs w:val="22"/>
        </w:rPr>
      </w:pPr>
    </w:p>
    <w:p w14:paraId="229D329D" w14:textId="77777777" w:rsidR="009658EA" w:rsidRPr="008420BC" w:rsidRDefault="009658EA" w:rsidP="009658EA">
      <w:pPr>
        <w:rPr>
          <w:sz w:val="22"/>
          <w:szCs w:val="22"/>
        </w:rPr>
      </w:pPr>
      <w:r w:rsidRPr="008420BC">
        <w:rPr>
          <w:b/>
          <w:i/>
          <w:sz w:val="22"/>
          <w:szCs w:val="22"/>
        </w:rPr>
        <w:t>DESCRIPCIÓN</w:t>
      </w:r>
    </w:p>
    <w:p w14:paraId="03AB85C8" w14:textId="77777777" w:rsidR="009658EA" w:rsidRPr="008420BC" w:rsidRDefault="009658EA" w:rsidP="009658EA">
      <w:pPr>
        <w:rPr>
          <w:sz w:val="22"/>
          <w:szCs w:val="22"/>
          <w:lang w:eastAsia="es-NI"/>
        </w:rPr>
      </w:pPr>
    </w:p>
    <w:p w14:paraId="66380DD7" w14:textId="77777777" w:rsidR="009658EA" w:rsidRPr="008420BC" w:rsidRDefault="009658EA" w:rsidP="009658EA">
      <w:pPr>
        <w:rPr>
          <w:b/>
          <w:i/>
          <w:sz w:val="22"/>
          <w:szCs w:val="22"/>
        </w:rPr>
      </w:pPr>
      <w:r w:rsidRPr="008420BC">
        <w:rPr>
          <w:b/>
          <w:i/>
          <w:sz w:val="22"/>
          <w:szCs w:val="22"/>
        </w:rPr>
        <w:t>3.1</w:t>
      </w:r>
      <w:r w:rsidRPr="008420BC">
        <w:rPr>
          <w:b/>
          <w:i/>
          <w:sz w:val="22"/>
          <w:szCs w:val="22"/>
        </w:rPr>
        <w:tab/>
        <w:t>Conceptualización del Acompañamiento de los procesos sociales del proyecto.</w:t>
      </w:r>
    </w:p>
    <w:p w14:paraId="0F77D630" w14:textId="77777777" w:rsidR="009658EA" w:rsidRPr="008420BC" w:rsidRDefault="009658EA" w:rsidP="009658EA">
      <w:pPr>
        <w:rPr>
          <w:sz w:val="22"/>
          <w:szCs w:val="22"/>
          <w:lang w:eastAsia="es-NI"/>
        </w:rPr>
      </w:pPr>
      <w:r w:rsidRPr="008420BC">
        <w:rPr>
          <w:sz w:val="22"/>
          <w:szCs w:val="22"/>
          <w:lang w:eastAsia="es-NI"/>
        </w:rPr>
        <w:t>Los aspectos Sociales, retoman la importancia estratégica del empoderamiento de las comunidades que garanticen la sostenibilidad de los sistemas de agua y saneamiento y promuevan los cambios de comportamiento sostenibles de saneamiento integral en el ámbito personal, familiar, escolar y comunitario. Los aspectos sociales están integrados en el ciclo del sub proyecto con el objetivo de que el componente social tenga la suficiente permanencia y continuidad para el desarrollo de los objetivos planeados.</w:t>
      </w:r>
    </w:p>
    <w:p w14:paraId="0360A431" w14:textId="77777777" w:rsidR="009658EA" w:rsidRPr="008420BC" w:rsidRDefault="009658EA" w:rsidP="009658EA">
      <w:pPr>
        <w:rPr>
          <w:b/>
          <w:i/>
          <w:sz w:val="22"/>
          <w:szCs w:val="22"/>
        </w:rPr>
      </w:pPr>
    </w:p>
    <w:p w14:paraId="2D879A7C" w14:textId="77777777" w:rsidR="009658EA" w:rsidRPr="008420BC" w:rsidRDefault="009658EA" w:rsidP="009658EA">
      <w:pPr>
        <w:rPr>
          <w:b/>
          <w:i/>
          <w:sz w:val="22"/>
          <w:szCs w:val="22"/>
        </w:rPr>
      </w:pPr>
      <w:r w:rsidRPr="008420BC">
        <w:rPr>
          <w:b/>
          <w:i/>
          <w:sz w:val="22"/>
          <w:szCs w:val="22"/>
        </w:rPr>
        <w:t>3.2</w:t>
      </w:r>
      <w:r w:rsidRPr="008420BC">
        <w:rPr>
          <w:b/>
          <w:i/>
          <w:sz w:val="22"/>
          <w:szCs w:val="22"/>
        </w:rPr>
        <w:tab/>
      </w:r>
      <w:bookmarkStart w:id="399" w:name="_Toc497153496"/>
      <w:r w:rsidRPr="008420BC">
        <w:rPr>
          <w:b/>
          <w:i/>
          <w:sz w:val="22"/>
          <w:szCs w:val="22"/>
        </w:rPr>
        <w:t>Componentes del Acompañamiento de los procesos sociales del proyecto.</w:t>
      </w:r>
    </w:p>
    <w:p w14:paraId="463E40BE" w14:textId="77777777" w:rsidR="009658EA" w:rsidRPr="008420BC" w:rsidRDefault="009658EA" w:rsidP="009658EA">
      <w:pPr>
        <w:rPr>
          <w:sz w:val="22"/>
          <w:szCs w:val="22"/>
        </w:rPr>
      </w:pPr>
      <w:r w:rsidRPr="008420BC">
        <w:rPr>
          <w:sz w:val="22"/>
          <w:szCs w:val="22"/>
        </w:rPr>
        <w:t>Las intervenciones sociales se enfocan en cuatro tópicos principales:</w:t>
      </w:r>
    </w:p>
    <w:p w14:paraId="5D468D9E" w14:textId="77777777" w:rsidR="009658EA" w:rsidRPr="008420BC" w:rsidRDefault="009658EA" w:rsidP="009658EA">
      <w:pPr>
        <w:rPr>
          <w:b/>
          <w:i/>
          <w:sz w:val="22"/>
          <w:szCs w:val="22"/>
        </w:rPr>
      </w:pPr>
      <w:r w:rsidRPr="008420BC">
        <w:rPr>
          <w:b/>
          <w:i/>
          <w:sz w:val="22"/>
          <w:szCs w:val="22"/>
        </w:rPr>
        <w:t>3.2.1</w:t>
      </w:r>
      <w:r w:rsidRPr="008420BC">
        <w:rPr>
          <w:b/>
          <w:i/>
          <w:sz w:val="22"/>
          <w:szCs w:val="22"/>
        </w:rPr>
        <w:tab/>
        <w:t xml:space="preserve"> Organización Comunitaria </w:t>
      </w:r>
      <w:r w:rsidRPr="008420BC">
        <w:rPr>
          <w:sz w:val="22"/>
          <w:szCs w:val="22"/>
        </w:rPr>
        <w:t>(conformación de la estructura comunitaria por medio de la elección de la junta directiva del Comité de Agua Potable y Saneamiento (CAPS), se promueve la participación de la mujer en cargos de relevancia (Presidente o Secretaria), red de promotores comunitarios, grupo de apoyo.</w:t>
      </w:r>
      <w:r w:rsidRPr="008420BC">
        <w:rPr>
          <w:b/>
          <w:i/>
          <w:sz w:val="22"/>
          <w:szCs w:val="22"/>
        </w:rPr>
        <w:t xml:space="preserve"> </w:t>
      </w:r>
    </w:p>
    <w:p w14:paraId="76B3C302" w14:textId="77777777" w:rsidR="009658EA" w:rsidRPr="008420BC" w:rsidRDefault="009658EA" w:rsidP="009658EA">
      <w:pPr>
        <w:rPr>
          <w:b/>
          <w:i/>
          <w:sz w:val="22"/>
          <w:szCs w:val="22"/>
        </w:rPr>
      </w:pPr>
      <w:r w:rsidRPr="008420BC">
        <w:rPr>
          <w:b/>
          <w:i/>
          <w:sz w:val="22"/>
          <w:szCs w:val="22"/>
        </w:rPr>
        <w:t>3.2.2</w:t>
      </w:r>
      <w:r w:rsidRPr="008420BC">
        <w:rPr>
          <w:b/>
          <w:i/>
          <w:sz w:val="22"/>
          <w:szCs w:val="22"/>
        </w:rPr>
        <w:tab/>
        <w:t xml:space="preserve"> Participación Comunitaria </w:t>
      </w:r>
      <w:r w:rsidRPr="008420BC">
        <w:rPr>
          <w:sz w:val="22"/>
          <w:szCs w:val="22"/>
        </w:rPr>
        <w:t>con responsabilidad compartida durante el proceso;</w:t>
      </w:r>
    </w:p>
    <w:p w14:paraId="694D110B" w14:textId="77777777" w:rsidR="009658EA" w:rsidRPr="008420BC" w:rsidRDefault="009658EA" w:rsidP="009658EA">
      <w:pPr>
        <w:rPr>
          <w:b/>
          <w:i/>
          <w:sz w:val="22"/>
          <w:szCs w:val="22"/>
        </w:rPr>
      </w:pPr>
      <w:r w:rsidRPr="008420BC">
        <w:rPr>
          <w:b/>
          <w:i/>
          <w:sz w:val="22"/>
          <w:szCs w:val="22"/>
        </w:rPr>
        <w:lastRenderedPageBreak/>
        <w:t>3.2.3</w:t>
      </w:r>
      <w:r w:rsidRPr="008420BC">
        <w:rPr>
          <w:b/>
          <w:i/>
          <w:sz w:val="22"/>
          <w:szCs w:val="22"/>
        </w:rPr>
        <w:tab/>
        <w:t xml:space="preserve"> Capacitación Comunitaria: </w:t>
      </w:r>
      <w:r w:rsidRPr="008420BC">
        <w:rPr>
          <w:sz w:val="22"/>
          <w:szCs w:val="22"/>
        </w:rPr>
        <w:t xml:space="preserve">en temas de organización, genero, medio ambiente, cambio climático, administración, operación, mantenimiento, promoción de cambios de comportamientos sostenibles de saneamiento integral en el ámbito personal, familiar, escolar y comunitario a través de la Estrategia Metodológica de Familia, comunidad, salud y ambiente (FCSA) </w:t>
      </w:r>
    </w:p>
    <w:p w14:paraId="4C93D3CC" w14:textId="77777777" w:rsidR="009658EA" w:rsidRPr="008420BC" w:rsidRDefault="009658EA" w:rsidP="009658EA">
      <w:pPr>
        <w:rPr>
          <w:b/>
          <w:i/>
          <w:sz w:val="22"/>
          <w:szCs w:val="22"/>
        </w:rPr>
      </w:pPr>
      <w:r w:rsidRPr="008420BC">
        <w:rPr>
          <w:b/>
          <w:i/>
          <w:sz w:val="22"/>
          <w:szCs w:val="22"/>
        </w:rPr>
        <w:t>3.2.4</w:t>
      </w:r>
      <w:r w:rsidRPr="008420BC">
        <w:rPr>
          <w:b/>
          <w:i/>
          <w:sz w:val="22"/>
          <w:szCs w:val="22"/>
        </w:rPr>
        <w:tab/>
        <w:t xml:space="preserve"> Asistencia Técnica y acompañamiento social a la comunidad </w:t>
      </w:r>
      <w:r w:rsidRPr="008420BC">
        <w:rPr>
          <w:sz w:val="22"/>
          <w:szCs w:val="22"/>
        </w:rPr>
        <w:t>con el fin de que ésta cumpla con calidad y conciencia las funciones que se le han asignado para antes de la ejecución de la obra, durante la ejecución de la misma y para después de haberse puesto en operación el proyecto construido con un enfoque de sostenibilidad.</w:t>
      </w:r>
    </w:p>
    <w:p w14:paraId="5E311C2A" w14:textId="77777777" w:rsidR="009658EA" w:rsidRPr="008420BC" w:rsidRDefault="009658EA" w:rsidP="009658EA">
      <w:pPr>
        <w:rPr>
          <w:b/>
          <w:i/>
          <w:sz w:val="22"/>
          <w:szCs w:val="22"/>
        </w:rPr>
      </w:pPr>
    </w:p>
    <w:p w14:paraId="1D12560B" w14:textId="77777777" w:rsidR="009658EA" w:rsidRPr="008420BC" w:rsidRDefault="009658EA" w:rsidP="009658EA">
      <w:pPr>
        <w:rPr>
          <w:b/>
          <w:i/>
          <w:sz w:val="22"/>
          <w:szCs w:val="22"/>
        </w:rPr>
      </w:pPr>
      <w:r w:rsidRPr="008420BC">
        <w:rPr>
          <w:b/>
          <w:i/>
          <w:sz w:val="22"/>
          <w:szCs w:val="22"/>
        </w:rPr>
        <w:t>3.3 Actividades a realizar por cada producto en el ciclo del proyecto</w:t>
      </w:r>
    </w:p>
    <w:p w14:paraId="637BB537" w14:textId="77777777" w:rsidR="009658EA" w:rsidRPr="008420BC" w:rsidRDefault="009658EA" w:rsidP="009658EA">
      <w:pPr>
        <w:rPr>
          <w:b/>
          <w:i/>
          <w:sz w:val="22"/>
          <w:szCs w:val="22"/>
        </w:rPr>
      </w:pPr>
    </w:p>
    <w:p w14:paraId="1BE3FB4A" w14:textId="77777777" w:rsidR="009658EA" w:rsidRPr="008420BC" w:rsidRDefault="009658EA" w:rsidP="009658EA">
      <w:pPr>
        <w:rPr>
          <w:sz w:val="22"/>
          <w:szCs w:val="22"/>
        </w:rPr>
      </w:pPr>
      <w:r w:rsidRPr="008420BC">
        <w:rPr>
          <w:sz w:val="22"/>
          <w:szCs w:val="22"/>
        </w:rPr>
        <w:t>Las actividades del componente de acompañamiento de los proceros sociales del proyecto, tienen carácter general y están concebidas para implementarse en la etapa de ejecución y post obra del ciclo del proyecto de agua, saneamiento e higiene.</w:t>
      </w:r>
    </w:p>
    <w:p w14:paraId="142C0679" w14:textId="77777777" w:rsidR="009658EA" w:rsidRPr="008420BC" w:rsidRDefault="009658EA" w:rsidP="009658EA">
      <w:pPr>
        <w:rPr>
          <w:b/>
          <w:sz w:val="22"/>
          <w:szCs w:val="22"/>
        </w:rPr>
      </w:pPr>
    </w:p>
    <w:p w14:paraId="78011975" w14:textId="77777777" w:rsidR="009658EA" w:rsidRPr="008420BC" w:rsidRDefault="009658EA" w:rsidP="009658EA">
      <w:pPr>
        <w:rPr>
          <w:b/>
          <w:sz w:val="22"/>
          <w:szCs w:val="22"/>
        </w:rPr>
      </w:pPr>
      <w:r w:rsidRPr="008420BC">
        <w:rPr>
          <w:b/>
          <w:sz w:val="22"/>
          <w:szCs w:val="22"/>
        </w:rPr>
        <w:t>3.3.1</w:t>
      </w:r>
      <w:r w:rsidRPr="008420BC">
        <w:rPr>
          <w:b/>
          <w:sz w:val="22"/>
          <w:szCs w:val="22"/>
        </w:rPr>
        <w:tab/>
        <w:t>Actividades en la Etapa ejecución</w:t>
      </w:r>
    </w:p>
    <w:p w14:paraId="5D3AA4F9" w14:textId="77777777" w:rsidR="009658EA" w:rsidRPr="008420BC" w:rsidRDefault="009658EA" w:rsidP="009658EA">
      <w:pPr>
        <w:rPr>
          <w:b/>
          <w:i/>
          <w:sz w:val="22"/>
          <w:szCs w:val="22"/>
        </w:rPr>
      </w:pPr>
    </w:p>
    <w:p w14:paraId="2DD7CDE2" w14:textId="77777777" w:rsidR="009658EA" w:rsidRPr="008420BC" w:rsidRDefault="009658EA" w:rsidP="009658EA">
      <w:pPr>
        <w:rPr>
          <w:b/>
          <w:sz w:val="22"/>
          <w:szCs w:val="22"/>
        </w:rPr>
      </w:pPr>
      <w:r w:rsidRPr="008420BC">
        <w:rPr>
          <w:b/>
          <w:sz w:val="22"/>
          <w:szCs w:val="22"/>
        </w:rPr>
        <w:t>3.3.1.1</w:t>
      </w:r>
      <w:r w:rsidRPr="008420BC">
        <w:rPr>
          <w:b/>
          <w:sz w:val="22"/>
          <w:szCs w:val="22"/>
        </w:rPr>
        <w:tab/>
        <w:t>Preparar el acompañamiento social para la ejecución de obras</w:t>
      </w:r>
    </w:p>
    <w:p w14:paraId="4B022062" w14:textId="77777777" w:rsidR="009658EA" w:rsidRPr="008420BC" w:rsidRDefault="009658EA" w:rsidP="009658EA">
      <w:pPr>
        <w:rPr>
          <w:sz w:val="22"/>
          <w:szCs w:val="22"/>
        </w:rPr>
      </w:pPr>
      <w:r w:rsidRPr="008420BC">
        <w:rPr>
          <w:sz w:val="22"/>
          <w:szCs w:val="22"/>
        </w:rPr>
        <w:t>1. Elaborar Cronograma de trabajo y Plan metodológico para el acompañamiento social en la(s) comunidad(es) y realizar reunión de coordinación con actores claves del proyecto.</w:t>
      </w:r>
    </w:p>
    <w:p w14:paraId="2BA11BCE" w14:textId="77777777" w:rsidR="009658EA" w:rsidRPr="008420BC" w:rsidRDefault="009658EA" w:rsidP="009658EA">
      <w:pPr>
        <w:rPr>
          <w:sz w:val="22"/>
          <w:szCs w:val="22"/>
        </w:rPr>
      </w:pPr>
    </w:p>
    <w:p w14:paraId="5EB47D42" w14:textId="77777777" w:rsidR="009658EA" w:rsidRPr="008420BC" w:rsidRDefault="009658EA" w:rsidP="009658EA">
      <w:pPr>
        <w:rPr>
          <w:sz w:val="22"/>
          <w:szCs w:val="22"/>
        </w:rPr>
      </w:pPr>
      <w:r w:rsidRPr="008420BC">
        <w:rPr>
          <w:sz w:val="22"/>
          <w:szCs w:val="22"/>
        </w:rPr>
        <w:t>2. Elaborar Informe de Planificación y Realización de Asamblea general comunitaria para entrega de sitio del proyecto a contratista y dar a conocer Plan.</w:t>
      </w:r>
    </w:p>
    <w:p w14:paraId="4D363B7F" w14:textId="77777777" w:rsidR="009658EA" w:rsidRPr="008420BC" w:rsidRDefault="009658EA" w:rsidP="009658EA">
      <w:pPr>
        <w:rPr>
          <w:sz w:val="22"/>
          <w:szCs w:val="22"/>
        </w:rPr>
      </w:pPr>
    </w:p>
    <w:p w14:paraId="34954DE8" w14:textId="77777777" w:rsidR="009658EA" w:rsidRPr="008420BC" w:rsidRDefault="009658EA" w:rsidP="009658EA">
      <w:pPr>
        <w:rPr>
          <w:b/>
          <w:sz w:val="22"/>
          <w:szCs w:val="22"/>
        </w:rPr>
      </w:pPr>
      <w:r w:rsidRPr="008420BC">
        <w:rPr>
          <w:b/>
          <w:sz w:val="22"/>
          <w:szCs w:val="22"/>
        </w:rPr>
        <w:t>3.3.1.2</w:t>
      </w:r>
      <w:r w:rsidRPr="008420BC">
        <w:rPr>
          <w:b/>
          <w:sz w:val="22"/>
          <w:szCs w:val="22"/>
        </w:rPr>
        <w:tab/>
        <w:t xml:space="preserve">Acompañar a la comunidad organizada, durante la ejecución de obras </w:t>
      </w:r>
    </w:p>
    <w:p w14:paraId="5EDA7DCB" w14:textId="77777777" w:rsidR="009658EA" w:rsidRPr="008420BC" w:rsidRDefault="009658EA" w:rsidP="009658EA">
      <w:pPr>
        <w:rPr>
          <w:sz w:val="22"/>
          <w:szCs w:val="22"/>
        </w:rPr>
      </w:pPr>
      <w:r w:rsidRPr="008420BC">
        <w:rPr>
          <w:sz w:val="22"/>
          <w:szCs w:val="22"/>
        </w:rPr>
        <w:t>3.  Planificar y realizar taller de capacitación del Módulo III (Taller No. 5 y 6) Compendio metodológico</w:t>
      </w:r>
    </w:p>
    <w:p w14:paraId="7F18BDA4" w14:textId="77777777" w:rsidR="009658EA" w:rsidRPr="008420BC" w:rsidRDefault="009658EA" w:rsidP="009658EA">
      <w:pPr>
        <w:rPr>
          <w:sz w:val="22"/>
          <w:szCs w:val="22"/>
        </w:rPr>
      </w:pPr>
      <w:r w:rsidRPr="008420BC">
        <w:rPr>
          <w:sz w:val="22"/>
          <w:szCs w:val="22"/>
        </w:rPr>
        <w:t>4.  Planificar y realizar taller de capacitación del Módulo III (Taller No. 7 y 8) Compendio metodológico</w:t>
      </w:r>
    </w:p>
    <w:p w14:paraId="7330482B" w14:textId="77777777" w:rsidR="009658EA" w:rsidRPr="008420BC" w:rsidRDefault="009658EA" w:rsidP="009658EA">
      <w:pPr>
        <w:rPr>
          <w:sz w:val="22"/>
          <w:szCs w:val="22"/>
        </w:rPr>
      </w:pPr>
      <w:r w:rsidRPr="008420BC">
        <w:rPr>
          <w:sz w:val="22"/>
          <w:szCs w:val="22"/>
        </w:rPr>
        <w:t>5. Elaborar informe de planificación de realización de talleres de capacitación del módulo III (taller No. 5,6,7 y 8) del compendio metodológico</w:t>
      </w:r>
    </w:p>
    <w:p w14:paraId="1E4D82BF" w14:textId="77777777" w:rsidR="009658EA" w:rsidRPr="008420BC" w:rsidRDefault="009658EA" w:rsidP="009658EA">
      <w:pPr>
        <w:rPr>
          <w:sz w:val="22"/>
          <w:szCs w:val="22"/>
        </w:rPr>
      </w:pPr>
    </w:p>
    <w:p w14:paraId="1E9DAD3C" w14:textId="77777777" w:rsidR="009658EA" w:rsidRPr="008420BC" w:rsidRDefault="009658EA" w:rsidP="009658EA">
      <w:pPr>
        <w:rPr>
          <w:sz w:val="22"/>
          <w:szCs w:val="22"/>
        </w:rPr>
      </w:pPr>
      <w:r w:rsidRPr="008420BC">
        <w:rPr>
          <w:sz w:val="22"/>
          <w:szCs w:val="22"/>
        </w:rPr>
        <w:t xml:space="preserve">6. Planificar y realizar taller de capacitación del Módulo IV (Talleres No. 9 y10) compendio metodológico (incluye local, material didáctico, material de apoyo y refrigerio)                  </w:t>
      </w:r>
    </w:p>
    <w:p w14:paraId="220B9417" w14:textId="77777777" w:rsidR="009658EA" w:rsidRPr="008420BC" w:rsidRDefault="009658EA" w:rsidP="009658EA">
      <w:pPr>
        <w:rPr>
          <w:sz w:val="22"/>
          <w:szCs w:val="22"/>
        </w:rPr>
      </w:pPr>
      <w:r w:rsidRPr="008420BC">
        <w:rPr>
          <w:sz w:val="22"/>
          <w:szCs w:val="22"/>
        </w:rPr>
        <w:t xml:space="preserve">7. Elaborar informe de planificación de realización de talleres de capacitación del Módulo III (Talleres No. 9 y 10) del compendio metodológico. </w:t>
      </w:r>
    </w:p>
    <w:p w14:paraId="313D0029" w14:textId="77777777" w:rsidR="009658EA" w:rsidRPr="008420BC" w:rsidRDefault="009658EA" w:rsidP="009658EA">
      <w:pPr>
        <w:rPr>
          <w:sz w:val="22"/>
          <w:szCs w:val="22"/>
        </w:rPr>
      </w:pPr>
      <w:r w:rsidRPr="008420BC">
        <w:rPr>
          <w:sz w:val="22"/>
          <w:szCs w:val="22"/>
        </w:rPr>
        <w:t xml:space="preserve">                </w:t>
      </w:r>
    </w:p>
    <w:p w14:paraId="0C3BFB84" w14:textId="77777777" w:rsidR="009658EA" w:rsidRPr="008420BC" w:rsidRDefault="009658EA" w:rsidP="009658EA">
      <w:pPr>
        <w:rPr>
          <w:sz w:val="22"/>
          <w:szCs w:val="22"/>
        </w:rPr>
      </w:pPr>
      <w:r w:rsidRPr="008420BC">
        <w:rPr>
          <w:sz w:val="22"/>
          <w:szCs w:val="22"/>
        </w:rPr>
        <w:t>8. Planificar y realización de taller de capacitación dirigido a promotores (as) sociales comunitarios para implementación de metodología FCSA. Elaborar informe de planificación y realización de taller FCSA.  </w:t>
      </w:r>
    </w:p>
    <w:p w14:paraId="742CA987" w14:textId="77777777" w:rsidR="009658EA" w:rsidRPr="008420BC" w:rsidRDefault="009658EA" w:rsidP="009658EA">
      <w:pPr>
        <w:rPr>
          <w:sz w:val="22"/>
          <w:szCs w:val="22"/>
        </w:rPr>
      </w:pPr>
      <w:r w:rsidRPr="008420BC">
        <w:rPr>
          <w:sz w:val="22"/>
          <w:szCs w:val="22"/>
        </w:rPr>
        <w:t xml:space="preserve">       </w:t>
      </w:r>
    </w:p>
    <w:p w14:paraId="7070912F" w14:textId="77777777" w:rsidR="009658EA" w:rsidRPr="008420BC" w:rsidRDefault="009658EA" w:rsidP="009658EA">
      <w:pPr>
        <w:rPr>
          <w:sz w:val="22"/>
          <w:szCs w:val="22"/>
        </w:rPr>
      </w:pPr>
      <w:r w:rsidRPr="008420BC">
        <w:rPr>
          <w:sz w:val="22"/>
          <w:szCs w:val="22"/>
        </w:rPr>
        <w:t>9. Elaborar informe de la Promoción y aseguramiento del cumplimiento de los aportes comunitarios del fondo social comunitario (FSC) cuota No.3 y No.4.</w:t>
      </w:r>
    </w:p>
    <w:p w14:paraId="297E9CB4" w14:textId="77777777" w:rsidR="009658EA" w:rsidRPr="008420BC" w:rsidRDefault="009658EA" w:rsidP="009658EA">
      <w:pPr>
        <w:rPr>
          <w:sz w:val="22"/>
          <w:szCs w:val="22"/>
        </w:rPr>
      </w:pPr>
    </w:p>
    <w:p w14:paraId="794E7D21" w14:textId="77777777" w:rsidR="009658EA" w:rsidRPr="008420BC" w:rsidRDefault="009658EA" w:rsidP="009658EA">
      <w:pPr>
        <w:rPr>
          <w:sz w:val="22"/>
          <w:szCs w:val="22"/>
        </w:rPr>
      </w:pPr>
      <w:r w:rsidRPr="008420BC">
        <w:rPr>
          <w:sz w:val="22"/>
          <w:szCs w:val="22"/>
        </w:rPr>
        <w:t>10. Elaborar Informe de Promoción y aseguramiento del cumplimiento de los aportes comunitarios del fondo social comunitario (FSC) cuota No.5 y No.6.</w:t>
      </w:r>
    </w:p>
    <w:p w14:paraId="53234FBA" w14:textId="77777777" w:rsidR="009658EA" w:rsidRPr="008420BC" w:rsidRDefault="009658EA" w:rsidP="009658EA">
      <w:pPr>
        <w:rPr>
          <w:sz w:val="22"/>
          <w:szCs w:val="22"/>
        </w:rPr>
      </w:pPr>
    </w:p>
    <w:p w14:paraId="0CB66C6A" w14:textId="77777777" w:rsidR="009658EA" w:rsidRPr="008420BC" w:rsidRDefault="009658EA" w:rsidP="009658EA">
      <w:pPr>
        <w:rPr>
          <w:sz w:val="22"/>
          <w:szCs w:val="22"/>
        </w:rPr>
      </w:pPr>
      <w:r w:rsidRPr="008420BC">
        <w:rPr>
          <w:sz w:val="22"/>
          <w:szCs w:val="22"/>
        </w:rPr>
        <w:t>11. Elaborar Informe de Promoción y aseguramiento del cumplimiento de los aportes comunitarios para la compra de medidor.</w:t>
      </w:r>
    </w:p>
    <w:p w14:paraId="4D69C9D1" w14:textId="77777777" w:rsidR="009658EA" w:rsidRPr="008420BC" w:rsidRDefault="009658EA" w:rsidP="009658EA">
      <w:pPr>
        <w:rPr>
          <w:sz w:val="22"/>
          <w:szCs w:val="22"/>
        </w:rPr>
      </w:pPr>
      <w:r w:rsidRPr="008420BC">
        <w:rPr>
          <w:sz w:val="22"/>
          <w:szCs w:val="22"/>
        </w:rPr>
        <w:t>12. Elaborar informe para implementación de metodología FCSA -Primera visita casa a casa.</w:t>
      </w:r>
    </w:p>
    <w:p w14:paraId="6E703050" w14:textId="77777777" w:rsidR="009658EA" w:rsidRPr="008420BC" w:rsidRDefault="009658EA" w:rsidP="009658EA">
      <w:pPr>
        <w:rPr>
          <w:sz w:val="22"/>
          <w:szCs w:val="22"/>
        </w:rPr>
      </w:pPr>
      <w:r w:rsidRPr="008420BC">
        <w:rPr>
          <w:sz w:val="22"/>
          <w:szCs w:val="22"/>
        </w:rPr>
        <w:t>13. Elaborar informe para implementación de metodología FCSA -Segunda visita casa a casa.</w:t>
      </w:r>
    </w:p>
    <w:p w14:paraId="60FA61A6" w14:textId="77777777" w:rsidR="009658EA" w:rsidRPr="008420BC" w:rsidRDefault="009658EA" w:rsidP="009658EA">
      <w:pPr>
        <w:rPr>
          <w:sz w:val="22"/>
          <w:szCs w:val="22"/>
        </w:rPr>
      </w:pPr>
      <w:r w:rsidRPr="008420BC">
        <w:rPr>
          <w:sz w:val="22"/>
          <w:szCs w:val="22"/>
        </w:rPr>
        <w:t>14. Elaborar informe para implementación de metodología FCSA -Tercera visita casa a casa.</w:t>
      </w:r>
    </w:p>
    <w:p w14:paraId="00810F6D" w14:textId="77777777" w:rsidR="009658EA" w:rsidRPr="008420BC" w:rsidRDefault="009658EA" w:rsidP="009658EA">
      <w:pPr>
        <w:rPr>
          <w:sz w:val="22"/>
          <w:szCs w:val="22"/>
        </w:rPr>
      </w:pPr>
      <w:r w:rsidRPr="008420BC">
        <w:rPr>
          <w:sz w:val="22"/>
          <w:szCs w:val="22"/>
        </w:rPr>
        <w:t>15. Elaborar informe para implementación de metodología FCSA -Cuarta visita casa a casa.</w:t>
      </w:r>
    </w:p>
    <w:p w14:paraId="72396E35" w14:textId="77777777" w:rsidR="009658EA" w:rsidRPr="008420BC" w:rsidRDefault="009658EA" w:rsidP="009658EA">
      <w:pPr>
        <w:rPr>
          <w:sz w:val="22"/>
          <w:szCs w:val="22"/>
        </w:rPr>
      </w:pPr>
      <w:r w:rsidRPr="008420BC">
        <w:rPr>
          <w:sz w:val="22"/>
          <w:szCs w:val="22"/>
        </w:rPr>
        <w:lastRenderedPageBreak/>
        <w:t>16. Planificar y realizar taller de capacitación dirigido al Comité CAPS sobre la elaboración del reglamento interno del sistema de agua potable (SAP)</w:t>
      </w:r>
    </w:p>
    <w:p w14:paraId="2045EE81" w14:textId="77777777" w:rsidR="009658EA" w:rsidRPr="008420BC" w:rsidRDefault="009658EA" w:rsidP="009658EA">
      <w:pPr>
        <w:rPr>
          <w:sz w:val="22"/>
          <w:szCs w:val="22"/>
        </w:rPr>
      </w:pPr>
      <w:r w:rsidRPr="008420BC">
        <w:rPr>
          <w:sz w:val="22"/>
          <w:szCs w:val="22"/>
        </w:rPr>
        <w:t>17. Planificar y realizar Asamblea general comunitaria para dar a conocer y aprobar el Reglamento Interno del Sistema de Agua Potable-SAP, construido. Elaborar informe de planificaciòn y realizaciòn de asamble generl comunitaria.</w:t>
      </w:r>
    </w:p>
    <w:p w14:paraId="35DB84A2" w14:textId="77777777" w:rsidR="009658EA" w:rsidRPr="008420BC" w:rsidRDefault="009658EA" w:rsidP="009658EA">
      <w:pPr>
        <w:rPr>
          <w:sz w:val="22"/>
          <w:szCs w:val="22"/>
        </w:rPr>
      </w:pPr>
      <w:r w:rsidRPr="008420BC">
        <w:rPr>
          <w:sz w:val="22"/>
          <w:szCs w:val="22"/>
        </w:rPr>
        <w:t>18. Planificar, Elaborar Informe y Realización de Asamblea General comunitaria para dar a conocer Plan de Operación y Mantenimiento del Sistema y firma de acta de recepción final.</w:t>
      </w:r>
    </w:p>
    <w:p w14:paraId="417C166A" w14:textId="77777777" w:rsidR="009658EA" w:rsidRPr="008420BC" w:rsidRDefault="009658EA" w:rsidP="009658EA">
      <w:pPr>
        <w:rPr>
          <w:sz w:val="22"/>
          <w:szCs w:val="22"/>
        </w:rPr>
      </w:pPr>
      <w:r w:rsidRPr="008420BC">
        <w:rPr>
          <w:sz w:val="22"/>
          <w:szCs w:val="22"/>
        </w:rPr>
        <w:t>19. Elaborar y realizar el levantamiento de la ficha de finiquito del proyecto</w:t>
      </w:r>
    </w:p>
    <w:p w14:paraId="5074B8FF" w14:textId="77777777" w:rsidR="009658EA" w:rsidRPr="008420BC" w:rsidRDefault="009658EA" w:rsidP="009658EA">
      <w:pPr>
        <w:rPr>
          <w:sz w:val="22"/>
          <w:szCs w:val="22"/>
        </w:rPr>
      </w:pPr>
    </w:p>
    <w:p w14:paraId="28E9FC55" w14:textId="77777777" w:rsidR="009658EA" w:rsidRPr="008420BC" w:rsidRDefault="009658EA" w:rsidP="009658EA">
      <w:pPr>
        <w:rPr>
          <w:b/>
          <w:sz w:val="22"/>
          <w:szCs w:val="22"/>
        </w:rPr>
      </w:pPr>
      <w:r w:rsidRPr="008420BC">
        <w:rPr>
          <w:b/>
          <w:sz w:val="22"/>
          <w:szCs w:val="22"/>
        </w:rPr>
        <w:t>3.3.2</w:t>
      </w:r>
      <w:r w:rsidRPr="008420BC">
        <w:rPr>
          <w:b/>
          <w:sz w:val="22"/>
          <w:szCs w:val="22"/>
        </w:rPr>
        <w:tab/>
        <w:t>Actividades en la Etapa post obra</w:t>
      </w:r>
    </w:p>
    <w:p w14:paraId="33821FB9" w14:textId="77777777" w:rsidR="009658EA" w:rsidRPr="008420BC" w:rsidRDefault="009658EA" w:rsidP="009658EA">
      <w:pPr>
        <w:rPr>
          <w:b/>
          <w:sz w:val="22"/>
          <w:szCs w:val="22"/>
        </w:rPr>
      </w:pPr>
    </w:p>
    <w:p w14:paraId="2207C3B1" w14:textId="77777777" w:rsidR="009658EA" w:rsidRPr="008420BC" w:rsidRDefault="009658EA" w:rsidP="009658EA">
      <w:pPr>
        <w:rPr>
          <w:b/>
          <w:sz w:val="22"/>
          <w:szCs w:val="22"/>
        </w:rPr>
      </w:pPr>
      <w:r w:rsidRPr="008420BC">
        <w:rPr>
          <w:b/>
          <w:sz w:val="22"/>
          <w:szCs w:val="22"/>
        </w:rPr>
        <w:t>3.3.2.1</w:t>
      </w:r>
      <w:r w:rsidRPr="008420BC">
        <w:rPr>
          <w:b/>
          <w:sz w:val="22"/>
          <w:szCs w:val="22"/>
        </w:rPr>
        <w:tab/>
        <w:t>Acompañar a la comunidad organizada, en la etapa de Postobra</w:t>
      </w:r>
    </w:p>
    <w:p w14:paraId="1EEB1BB8" w14:textId="77777777" w:rsidR="009658EA" w:rsidRPr="008420BC" w:rsidRDefault="009658EA" w:rsidP="009658EA">
      <w:pPr>
        <w:rPr>
          <w:sz w:val="22"/>
          <w:szCs w:val="22"/>
        </w:rPr>
      </w:pPr>
      <w:r w:rsidRPr="008420BC">
        <w:rPr>
          <w:sz w:val="22"/>
          <w:szCs w:val="22"/>
        </w:rPr>
        <w:t>1. Elaborar informe para implementación de metodología FCSA –Quinta visita casa a casa.</w:t>
      </w:r>
    </w:p>
    <w:p w14:paraId="3C932115" w14:textId="77777777" w:rsidR="009658EA" w:rsidRPr="008420BC" w:rsidRDefault="009658EA" w:rsidP="009658EA">
      <w:pPr>
        <w:rPr>
          <w:sz w:val="22"/>
          <w:szCs w:val="22"/>
        </w:rPr>
      </w:pPr>
      <w:r w:rsidRPr="008420BC">
        <w:rPr>
          <w:sz w:val="22"/>
          <w:szCs w:val="22"/>
        </w:rPr>
        <w:t>2. Elaborar informe para implementación de metodología FCSA –Sexta y última visita casa a casa. (Elaborar Informe Final de resultados de la implementación de FCSA.)</w:t>
      </w:r>
    </w:p>
    <w:p w14:paraId="73690827" w14:textId="77777777" w:rsidR="009658EA" w:rsidRPr="008420BC" w:rsidRDefault="009658EA" w:rsidP="009658EA">
      <w:pPr>
        <w:rPr>
          <w:sz w:val="22"/>
          <w:szCs w:val="22"/>
        </w:rPr>
      </w:pPr>
      <w:r w:rsidRPr="008420BC">
        <w:rPr>
          <w:sz w:val="22"/>
          <w:szCs w:val="22"/>
        </w:rPr>
        <w:t xml:space="preserve">3. Planificar, Realizar Taller de capacitación dirigido al Comité para reforzamiento sobre la Ley No.722 y el Reglamento (Incluye local, material didáctico, material de apoyo y refrigerio) y elaborar informe de realización de taller.  </w:t>
      </w:r>
    </w:p>
    <w:p w14:paraId="1F6AC518" w14:textId="77777777" w:rsidR="009658EA" w:rsidRPr="008420BC" w:rsidRDefault="009658EA" w:rsidP="009658EA">
      <w:pPr>
        <w:rPr>
          <w:sz w:val="22"/>
          <w:szCs w:val="22"/>
        </w:rPr>
      </w:pPr>
      <w:r w:rsidRPr="008420BC">
        <w:rPr>
          <w:sz w:val="22"/>
          <w:szCs w:val="22"/>
        </w:rPr>
        <w:t xml:space="preserve">4.  Planificar y realizar Taller de capacitación dirigido al Comité para calculo / ajuste de tarifa para pago mensual del agua (Incluye Tema de lectura de medidor). (Incluye local, material didáctico, material de apoyo y refrigerio), elaborar informe de planificación y realización de taller.  </w:t>
      </w:r>
    </w:p>
    <w:p w14:paraId="5E17E62F" w14:textId="77777777" w:rsidR="009658EA" w:rsidRPr="008420BC" w:rsidRDefault="009658EA" w:rsidP="009658EA">
      <w:pPr>
        <w:rPr>
          <w:sz w:val="22"/>
          <w:szCs w:val="22"/>
        </w:rPr>
      </w:pPr>
      <w:r w:rsidRPr="008420BC">
        <w:rPr>
          <w:sz w:val="22"/>
          <w:szCs w:val="22"/>
        </w:rPr>
        <w:t>5. Planificar y realizar taller de capacitación para la operación y mantenimiento del sistema de agua, elaborar informe de taller.</w:t>
      </w:r>
    </w:p>
    <w:p w14:paraId="55E68951" w14:textId="77777777" w:rsidR="009658EA" w:rsidRPr="008420BC" w:rsidRDefault="009658EA" w:rsidP="009658EA">
      <w:pPr>
        <w:rPr>
          <w:sz w:val="22"/>
          <w:szCs w:val="22"/>
        </w:rPr>
      </w:pPr>
      <w:r w:rsidRPr="008420BC">
        <w:rPr>
          <w:sz w:val="22"/>
          <w:szCs w:val="22"/>
        </w:rPr>
        <w:t>6. Planificar y realizar Asamblea general comunitaria para la presentación del informe final del componente social del proyecto.</w:t>
      </w:r>
    </w:p>
    <w:p w14:paraId="082EC604" w14:textId="77777777" w:rsidR="009658EA" w:rsidRPr="008420BC" w:rsidRDefault="009658EA" w:rsidP="009658EA">
      <w:pPr>
        <w:rPr>
          <w:sz w:val="22"/>
          <w:szCs w:val="22"/>
        </w:rPr>
      </w:pPr>
      <w:r w:rsidRPr="008420BC">
        <w:rPr>
          <w:sz w:val="22"/>
          <w:szCs w:val="22"/>
        </w:rPr>
        <w:t>7. Elaborar Informe final de la consultoría.</w:t>
      </w:r>
    </w:p>
    <w:p w14:paraId="056F35EA" w14:textId="77777777" w:rsidR="009658EA" w:rsidRPr="008420BC" w:rsidRDefault="009658EA" w:rsidP="009658EA">
      <w:pPr>
        <w:rPr>
          <w:sz w:val="22"/>
          <w:szCs w:val="22"/>
        </w:rPr>
      </w:pPr>
      <w:r w:rsidRPr="008420BC">
        <w:rPr>
          <w:sz w:val="22"/>
          <w:szCs w:val="22"/>
        </w:rPr>
        <w:t>8. Elaborar Informe de Planificación y Realización de Asamblea general comunitaria de cierre y evaluación final del proyecto.</w:t>
      </w:r>
    </w:p>
    <w:bookmarkEnd w:id="399"/>
    <w:p w14:paraId="1673F6CD" w14:textId="77777777" w:rsidR="009658EA" w:rsidRPr="008420BC" w:rsidRDefault="009658EA" w:rsidP="009658EA">
      <w:pPr>
        <w:rPr>
          <w:b/>
          <w:sz w:val="22"/>
          <w:szCs w:val="22"/>
        </w:rPr>
      </w:pPr>
    </w:p>
    <w:p w14:paraId="79CFD110" w14:textId="77777777" w:rsidR="009658EA" w:rsidRPr="008420BC" w:rsidRDefault="009658EA" w:rsidP="009658EA">
      <w:pPr>
        <w:jc w:val="center"/>
        <w:rPr>
          <w:b/>
          <w:sz w:val="22"/>
          <w:szCs w:val="22"/>
        </w:rPr>
      </w:pPr>
      <w:r w:rsidRPr="008420BC">
        <w:rPr>
          <w:b/>
          <w:sz w:val="22"/>
          <w:szCs w:val="22"/>
        </w:rPr>
        <w:t>DIMENSION DEL PROGRAMA DE CAPACITACIÓN</w:t>
      </w:r>
    </w:p>
    <w:p w14:paraId="349454AA" w14:textId="77777777" w:rsidR="009658EA" w:rsidRPr="008420BC" w:rsidRDefault="009658EA" w:rsidP="009658EA">
      <w:pPr>
        <w:jc w:val="center"/>
        <w:rPr>
          <w:sz w:val="22"/>
          <w:szCs w:val="22"/>
          <w:lang w:eastAsia="es-NI"/>
        </w:rPr>
      </w:pPr>
    </w:p>
    <w:p w14:paraId="3980CF5B" w14:textId="77777777" w:rsidR="009658EA" w:rsidRPr="008420BC" w:rsidRDefault="009658EA" w:rsidP="009658EA">
      <w:pPr>
        <w:jc w:val="center"/>
        <w:rPr>
          <w:sz w:val="22"/>
          <w:szCs w:val="22"/>
          <w:lang w:eastAsia="es-NI"/>
        </w:rPr>
      </w:pPr>
      <w:r w:rsidRPr="008420BC">
        <w:rPr>
          <w:sz w:val="22"/>
          <w:szCs w:val="22"/>
          <w:lang w:eastAsia="es-NI"/>
        </w:rPr>
        <w:t>Programa de capacitación en proyectos de agua, saneamiento e higiene en las modalidades de ejecución Proyectos guiados por la comunidad (PGC), descentralizado o centralizado:</w:t>
      </w:r>
    </w:p>
    <w:p w14:paraId="1D9FA87B" w14:textId="77777777" w:rsidR="009658EA" w:rsidRPr="008420BC" w:rsidRDefault="009658EA" w:rsidP="009658EA">
      <w:pPr>
        <w:jc w:val="center"/>
        <w:rPr>
          <w:sz w:val="22"/>
          <w:szCs w:val="22"/>
          <w:lang w:eastAsia="es-NI"/>
        </w:rPr>
      </w:pPr>
    </w:p>
    <w:p w14:paraId="110F4908" w14:textId="77777777" w:rsidR="009658EA" w:rsidRPr="008420BC" w:rsidRDefault="009658EA" w:rsidP="009658EA">
      <w:pPr>
        <w:jc w:val="center"/>
        <w:rPr>
          <w:b/>
          <w:bCs/>
          <w:noProof/>
          <w:sz w:val="22"/>
          <w:szCs w:val="22"/>
          <w:lang w:val="es-ES"/>
        </w:rPr>
      </w:pPr>
      <w:r w:rsidRPr="008420BC">
        <w:rPr>
          <w:b/>
          <w:bCs/>
          <w:sz w:val="22"/>
          <w:szCs w:val="22"/>
          <w:lang w:val="es-ES"/>
        </w:rPr>
        <w:t xml:space="preserve">Proyecto: </w:t>
      </w:r>
      <w:r w:rsidRPr="008420BC">
        <w:rPr>
          <w:b/>
          <w:bCs/>
          <w:noProof/>
          <w:sz w:val="22"/>
          <w:szCs w:val="22"/>
          <w:lang w:val="es-ES"/>
        </w:rPr>
        <w:t>19886 Agua y Saneamiento Comunidad La Concepción</w:t>
      </w:r>
    </w:p>
    <w:p w14:paraId="1271834A" w14:textId="77777777" w:rsidR="009658EA" w:rsidRPr="008420BC" w:rsidRDefault="009658EA" w:rsidP="009658EA">
      <w:pPr>
        <w:rPr>
          <w:b/>
          <w:bCs/>
          <w:sz w:val="22"/>
          <w:szCs w:val="22"/>
        </w:rPr>
      </w:pPr>
    </w:p>
    <w:tbl>
      <w:tblPr>
        <w:tblW w:w="99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3971"/>
        <w:gridCol w:w="1268"/>
        <w:gridCol w:w="1771"/>
        <w:gridCol w:w="1268"/>
      </w:tblGrid>
      <w:tr w:rsidR="009658EA" w:rsidRPr="008420BC" w14:paraId="4C36051E" w14:textId="77777777" w:rsidTr="009658EA">
        <w:trPr>
          <w:trHeight w:val="272"/>
        </w:trPr>
        <w:tc>
          <w:tcPr>
            <w:tcW w:w="1697" w:type="dxa"/>
            <w:vMerge w:val="restart"/>
            <w:shd w:val="clear" w:color="auto" w:fill="auto"/>
            <w:hideMark/>
          </w:tcPr>
          <w:p w14:paraId="27C65705" w14:textId="77777777" w:rsidR="009658EA" w:rsidRPr="008420BC" w:rsidRDefault="009658EA" w:rsidP="009658EA">
            <w:pPr>
              <w:jc w:val="center"/>
              <w:rPr>
                <w:b/>
                <w:bCs/>
                <w:sz w:val="22"/>
                <w:szCs w:val="22"/>
              </w:rPr>
            </w:pPr>
            <w:r w:rsidRPr="008420BC">
              <w:rPr>
                <w:b/>
                <w:bCs/>
                <w:sz w:val="22"/>
                <w:szCs w:val="22"/>
              </w:rPr>
              <w:t>PRODUCTO</w:t>
            </w:r>
          </w:p>
        </w:tc>
        <w:tc>
          <w:tcPr>
            <w:tcW w:w="3971" w:type="dxa"/>
            <w:vMerge w:val="restart"/>
            <w:shd w:val="clear" w:color="auto" w:fill="auto"/>
            <w:hideMark/>
          </w:tcPr>
          <w:p w14:paraId="7F0529F0" w14:textId="77777777" w:rsidR="009658EA" w:rsidRPr="008420BC" w:rsidRDefault="009658EA" w:rsidP="009658EA">
            <w:pPr>
              <w:jc w:val="center"/>
              <w:rPr>
                <w:b/>
                <w:bCs/>
                <w:sz w:val="22"/>
                <w:szCs w:val="22"/>
              </w:rPr>
            </w:pPr>
            <w:r w:rsidRPr="008420BC">
              <w:rPr>
                <w:b/>
                <w:bCs/>
                <w:sz w:val="22"/>
                <w:szCs w:val="22"/>
              </w:rPr>
              <w:t>CAPACITACIÓN</w:t>
            </w:r>
          </w:p>
        </w:tc>
        <w:tc>
          <w:tcPr>
            <w:tcW w:w="1268" w:type="dxa"/>
            <w:vMerge w:val="restart"/>
            <w:shd w:val="clear" w:color="auto" w:fill="auto"/>
            <w:hideMark/>
          </w:tcPr>
          <w:p w14:paraId="0426D533" w14:textId="77777777" w:rsidR="009658EA" w:rsidRPr="008420BC" w:rsidRDefault="009658EA" w:rsidP="009658EA">
            <w:pPr>
              <w:jc w:val="center"/>
              <w:rPr>
                <w:b/>
                <w:bCs/>
                <w:sz w:val="22"/>
                <w:szCs w:val="22"/>
              </w:rPr>
            </w:pPr>
            <w:r w:rsidRPr="008420BC">
              <w:rPr>
                <w:b/>
                <w:bCs/>
                <w:sz w:val="22"/>
                <w:szCs w:val="22"/>
              </w:rPr>
              <w:t>TALLER</w:t>
            </w:r>
          </w:p>
        </w:tc>
        <w:tc>
          <w:tcPr>
            <w:tcW w:w="1771" w:type="dxa"/>
            <w:vMerge w:val="restart"/>
            <w:shd w:val="clear" w:color="auto" w:fill="auto"/>
            <w:hideMark/>
          </w:tcPr>
          <w:p w14:paraId="60CDC67D" w14:textId="77777777" w:rsidR="009658EA" w:rsidRPr="008420BC" w:rsidRDefault="009658EA" w:rsidP="009658EA">
            <w:pPr>
              <w:jc w:val="center"/>
              <w:rPr>
                <w:b/>
                <w:bCs/>
                <w:sz w:val="22"/>
                <w:szCs w:val="22"/>
              </w:rPr>
            </w:pPr>
            <w:r w:rsidRPr="008420BC">
              <w:rPr>
                <w:b/>
                <w:bCs/>
                <w:sz w:val="22"/>
                <w:szCs w:val="22"/>
              </w:rPr>
              <w:t>PERSONAS A CAPACITAR POR TALLER</w:t>
            </w:r>
          </w:p>
        </w:tc>
        <w:tc>
          <w:tcPr>
            <w:tcW w:w="1268" w:type="dxa"/>
            <w:vMerge w:val="restart"/>
            <w:shd w:val="clear" w:color="auto" w:fill="auto"/>
            <w:hideMark/>
          </w:tcPr>
          <w:p w14:paraId="514495C1" w14:textId="77777777" w:rsidR="009658EA" w:rsidRPr="008420BC" w:rsidRDefault="009658EA" w:rsidP="009658EA">
            <w:pPr>
              <w:jc w:val="center"/>
              <w:rPr>
                <w:b/>
                <w:bCs/>
                <w:sz w:val="22"/>
                <w:szCs w:val="22"/>
              </w:rPr>
            </w:pPr>
            <w:r w:rsidRPr="008420BC">
              <w:rPr>
                <w:b/>
                <w:bCs/>
                <w:sz w:val="22"/>
                <w:szCs w:val="22"/>
              </w:rPr>
              <w:t>TOTAL TALLER</w:t>
            </w:r>
          </w:p>
          <w:p w14:paraId="4F31FFFA" w14:textId="77777777" w:rsidR="009658EA" w:rsidRPr="008420BC" w:rsidRDefault="009658EA" w:rsidP="009658EA">
            <w:pPr>
              <w:jc w:val="center"/>
              <w:rPr>
                <w:b/>
                <w:bCs/>
                <w:sz w:val="22"/>
                <w:szCs w:val="22"/>
              </w:rPr>
            </w:pPr>
          </w:p>
        </w:tc>
      </w:tr>
      <w:tr w:rsidR="009658EA" w:rsidRPr="008420BC" w14:paraId="2A0771A1" w14:textId="77777777" w:rsidTr="009658EA">
        <w:trPr>
          <w:trHeight w:val="443"/>
        </w:trPr>
        <w:tc>
          <w:tcPr>
            <w:tcW w:w="1697" w:type="dxa"/>
            <w:vMerge/>
            <w:hideMark/>
          </w:tcPr>
          <w:p w14:paraId="4F6F2DEF" w14:textId="77777777" w:rsidR="009658EA" w:rsidRPr="008420BC" w:rsidRDefault="009658EA" w:rsidP="009658EA">
            <w:pPr>
              <w:rPr>
                <w:b/>
                <w:bCs/>
                <w:sz w:val="22"/>
                <w:szCs w:val="22"/>
              </w:rPr>
            </w:pPr>
          </w:p>
        </w:tc>
        <w:tc>
          <w:tcPr>
            <w:tcW w:w="3971" w:type="dxa"/>
            <w:vMerge/>
            <w:hideMark/>
          </w:tcPr>
          <w:p w14:paraId="77420216" w14:textId="77777777" w:rsidR="009658EA" w:rsidRPr="008420BC" w:rsidRDefault="009658EA" w:rsidP="009658EA">
            <w:pPr>
              <w:rPr>
                <w:b/>
                <w:bCs/>
                <w:sz w:val="22"/>
                <w:szCs w:val="22"/>
              </w:rPr>
            </w:pPr>
          </w:p>
        </w:tc>
        <w:tc>
          <w:tcPr>
            <w:tcW w:w="1268" w:type="dxa"/>
            <w:vMerge/>
            <w:hideMark/>
          </w:tcPr>
          <w:p w14:paraId="3A570525" w14:textId="77777777" w:rsidR="009658EA" w:rsidRPr="008420BC" w:rsidRDefault="009658EA" w:rsidP="009658EA">
            <w:pPr>
              <w:rPr>
                <w:b/>
                <w:bCs/>
                <w:sz w:val="22"/>
                <w:szCs w:val="22"/>
              </w:rPr>
            </w:pPr>
          </w:p>
        </w:tc>
        <w:tc>
          <w:tcPr>
            <w:tcW w:w="1771" w:type="dxa"/>
            <w:vMerge/>
            <w:hideMark/>
          </w:tcPr>
          <w:p w14:paraId="376D3FB9" w14:textId="77777777" w:rsidR="009658EA" w:rsidRPr="008420BC" w:rsidRDefault="009658EA" w:rsidP="009658EA">
            <w:pPr>
              <w:rPr>
                <w:b/>
                <w:bCs/>
                <w:sz w:val="22"/>
                <w:szCs w:val="22"/>
              </w:rPr>
            </w:pPr>
          </w:p>
        </w:tc>
        <w:tc>
          <w:tcPr>
            <w:tcW w:w="1268" w:type="dxa"/>
            <w:vMerge/>
            <w:shd w:val="clear" w:color="auto" w:fill="auto"/>
            <w:hideMark/>
          </w:tcPr>
          <w:p w14:paraId="75326988" w14:textId="77777777" w:rsidR="009658EA" w:rsidRPr="008420BC" w:rsidRDefault="009658EA" w:rsidP="009658EA">
            <w:pPr>
              <w:rPr>
                <w:b/>
                <w:bCs/>
                <w:sz w:val="22"/>
                <w:szCs w:val="22"/>
              </w:rPr>
            </w:pPr>
          </w:p>
        </w:tc>
      </w:tr>
      <w:tr w:rsidR="009658EA" w:rsidRPr="008420BC" w14:paraId="418177D8" w14:textId="77777777" w:rsidTr="009658EA">
        <w:trPr>
          <w:gridAfter w:val="4"/>
          <w:wAfter w:w="8278" w:type="dxa"/>
          <w:trHeight w:val="109"/>
        </w:trPr>
        <w:tc>
          <w:tcPr>
            <w:tcW w:w="1697" w:type="dxa"/>
            <w:shd w:val="clear" w:color="auto" w:fill="auto"/>
            <w:hideMark/>
          </w:tcPr>
          <w:p w14:paraId="7A9F04A0" w14:textId="77777777" w:rsidR="009658EA" w:rsidRPr="008420BC" w:rsidRDefault="009658EA" w:rsidP="009658EA">
            <w:pPr>
              <w:rPr>
                <w:b/>
                <w:bCs/>
                <w:sz w:val="22"/>
                <w:szCs w:val="22"/>
              </w:rPr>
            </w:pPr>
            <w:r w:rsidRPr="008420BC">
              <w:rPr>
                <w:b/>
                <w:bCs/>
                <w:sz w:val="22"/>
                <w:szCs w:val="22"/>
              </w:rPr>
              <w:t> </w:t>
            </w:r>
          </w:p>
        </w:tc>
      </w:tr>
      <w:tr w:rsidR="009658EA" w:rsidRPr="008420BC" w14:paraId="0B1D51C6" w14:textId="77777777" w:rsidTr="009658EA">
        <w:trPr>
          <w:trHeight w:val="44"/>
        </w:trPr>
        <w:tc>
          <w:tcPr>
            <w:tcW w:w="1697" w:type="dxa"/>
            <w:shd w:val="clear" w:color="auto" w:fill="auto"/>
            <w:hideMark/>
          </w:tcPr>
          <w:p w14:paraId="1EDF6DEA" w14:textId="77777777" w:rsidR="009658EA" w:rsidRPr="008420BC" w:rsidRDefault="009658EA" w:rsidP="009658EA">
            <w:pPr>
              <w:rPr>
                <w:sz w:val="22"/>
                <w:szCs w:val="22"/>
              </w:rPr>
            </w:pPr>
            <w:r w:rsidRPr="008420BC">
              <w:rPr>
                <w:sz w:val="22"/>
                <w:szCs w:val="22"/>
              </w:rPr>
              <w:t>Producto 1:</w:t>
            </w:r>
          </w:p>
        </w:tc>
        <w:tc>
          <w:tcPr>
            <w:tcW w:w="3971" w:type="dxa"/>
            <w:shd w:val="clear" w:color="auto" w:fill="auto"/>
            <w:hideMark/>
          </w:tcPr>
          <w:p w14:paraId="7C8878AE"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1A8AA0C7" w14:textId="77777777" w:rsidR="009658EA" w:rsidRPr="008420BC" w:rsidRDefault="009658EA" w:rsidP="009658EA">
            <w:pPr>
              <w:rPr>
                <w:sz w:val="22"/>
                <w:szCs w:val="22"/>
              </w:rPr>
            </w:pPr>
            <w:r w:rsidRPr="008420BC">
              <w:rPr>
                <w:sz w:val="22"/>
                <w:szCs w:val="22"/>
              </w:rPr>
              <w:t> </w:t>
            </w:r>
          </w:p>
        </w:tc>
        <w:tc>
          <w:tcPr>
            <w:tcW w:w="1771" w:type="dxa"/>
            <w:shd w:val="clear" w:color="auto" w:fill="auto"/>
            <w:hideMark/>
          </w:tcPr>
          <w:p w14:paraId="5346A59E"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584C887F" w14:textId="77777777" w:rsidR="009658EA" w:rsidRPr="008420BC" w:rsidRDefault="009658EA" w:rsidP="009658EA">
            <w:pPr>
              <w:rPr>
                <w:sz w:val="22"/>
                <w:szCs w:val="22"/>
              </w:rPr>
            </w:pPr>
            <w:r w:rsidRPr="008420BC">
              <w:rPr>
                <w:sz w:val="22"/>
                <w:szCs w:val="22"/>
              </w:rPr>
              <w:t> </w:t>
            </w:r>
          </w:p>
        </w:tc>
      </w:tr>
      <w:tr w:rsidR="009658EA" w:rsidRPr="008420BC" w14:paraId="3866C1ED" w14:textId="77777777" w:rsidTr="009658EA">
        <w:trPr>
          <w:trHeight w:val="115"/>
        </w:trPr>
        <w:tc>
          <w:tcPr>
            <w:tcW w:w="1697" w:type="dxa"/>
            <w:shd w:val="clear" w:color="auto" w:fill="auto"/>
            <w:hideMark/>
          </w:tcPr>
          <w:p w14:paraId="7ED6C00A" w14:textId="77777777" w:rsidR="009658EA" w:rsidRPr="008420BC" w:rsidRDefault="009658EA" w:rsidP="009658EA">
            <w:pPr>
              <w:rPr>
                <w:sz w:val="22"/>
                <w:szCs w:val="22"/>
              </w:rPr>
            </w:pPr>
            <w:r w:rsidRPr="008420BC">
              <w:rPr>
                <w:sz w:val="22"/>
                <w:szCs w:val="22"/>
              </w:rPr>
              <w:t>Producto 2:</w:t>
            </w:r>
          </w:p>
        </w:tc>
        <w:tc>
          <w:tcPr>
            <w:tcW w:w="3971" w:type="dxa"/>
            <w:shd w:val="clear" w:color="auto" w:fill="auto"/>
            <w:hideMark/>
          </w:tcPr>
          <w:p w14:paraId="0F9238CC"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779992A4" w14:textId="77777777" w:rsidR="009658EA" w:rsidRPr="008420BC" w:rsidRDefault="009658EA" w:rsidP="009658EA">
            <w:pPr>
              <w:rPr>
                <w:sz w:val="22"/>
                <w:szCs w:val="22"/>
              </w:rPr>
            </w:pPr>
            <w:r w:rsidRPr="008420BC">
              <w:rPr>
                <w:sz w:val="22"/>
                <w:szCs w:val="22"/>
              </w:rPr>
              <w:t> </w:t>
            </w:r>
          </w:p>
        </w:tc>
        <w:tc>
          <w:tcPr>
            <w:tcW w:w="1771" w:type="dxa"/>
            <w:shd w:val="clear" w:color="auto" w:fill="auto"/>
            <w:hideMark/>
          </w:tcPr>
          <w:p w14:paraId="599BA80B"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438AA19C" w14:textId="77777777" w:rsidR="009658EA" w:rsidRPr="008420BC" w:rsidRDefault="009658EA" w:rsidP="009658EA">
            <w:pPr>
              <w:rPr>
                <w:sz w:val="22"/>
                <w:szCs w:val="22"/>
              </w:rPr>
            </w:pPr>
            <w:r w:rsidRPr="008420BC">
              <w:rPr>
                <w:sz w:val="22"/>
                <w:szCs w:val="22"/>
              </w:rPr>
              <w:t> </w:t>
            </w:r>
          </w:p>
        </w:tc>
      </w:tr>
      <w:tr w:rsidR="009658EA" w:rsidRPr="008420BC" w14:paraId="3248B982" w14:textId="77777777" w:rsidTr="009658EA">
        <w:trPr>
          <w:trHeight w:val="201"/>
        </w:trPr>
        <w:tc>
          <w:tcPr>
            <w:tcW w:w="1697" w:type="dxa"/>
            <w:vMerge w:val="restart"/>
            <w:shd w:val="clear" w:color="auto" w:fill="auto"/>
            <w:hideMark/>
          </w:tcPr>
          <w:p w14:paraId="592A7C49" w14:textId="77777777" w:rsidR="009658EA" w:rsidRPr="008420BC" w:rsidRDefault="009658EA" w:rsidP="009658EA">
            <w:pPr>
              <w:rPr>
                <w:sz w:val="22"/>
                <w:szCs w:val="22"/>
              </w:rPr>
            </w:pPr>
            <w:r w:rsidRPr="008420BC">
              <w:rPr>
                <w:sz w:val="22"/>
                <w:szCs w:val="22"/>
              </w:rPr>
              <w:t>PRODUCTO 3:</w:t>
            </w:r>
          </w:p>
        </w:tc>
        <w:tc>
          <w:tcPr>
            <w:tcW w:w="3971" w:type="dxa"/>
            <w:vMerge w:val="restart"/>
            <w:shd w:val="clear" w:color="auto" w:fill="auto"/>
            <w:hideMark/>
          </w:tcPr>
          <w:p w14:paraId="4DEED888" w14:textId="77777777" w:rsidR="009658EA" w:rsidRPr="008420BC" w:rsidRDefault="009658EA" w:rsidP="009658EA">
            <w:pPr>
              <w:rPr>
                <w:sz w:val="22"/>
                <w:szCs w:val="22"/>
              </w:rPr>
            </w:pPr>
            <w:r w:rsidRPr="008420BC">
              <w:rPr>
                <w:sz w:val="22"/>
                <w:szCs w:val="22"/>
              </w:rPr>
              <w:t>Capacitación Modulo I del compendio metodológico sobre la Gestión Social en los proyectos de agua y saneamiento e higiene en la comunidad.</w:t>
            </w:r>
          </w:p>
        </w:tc>
        <w:tc>
          <w:tcPr>
            <w:tcW w:w="1268" w:type="dxa"/>
            <w:shd w:val="clear" w:color="auto" w:fill="auto"/>
            <w:hideMark/>
          </w:tcPr>
          <w:p w14:paraId="5EF5B557" w14:textId="77777777" w:rsidR="009658EA" w:rsidRPr="008420BC" w:rsidRDefault="009658EA" w:rsidP="009658EA">
            <w:pPr>
              <w:jc w:val="right"/>
              <w:rPr>
                <w:sz w:val="22"/>
                <w:szCs w:val="22"/>
              </w:rPr>
            </w:pPr>
            <w:r w:rsidRPr="008420BC">
              <w:rPr>
                <w:sz w:val="22"/>
                <w:szCs w:val="22"/>
              </w:rPr>
              <w:t xml:space="preserve">Taller 1 </w:t>
            </w:r>
          </w:p>
        </w:tc>
        <w:tc>
          <w:tcPr>
            <w:tcW w:w="1771" w:type="dxa"/>
            <w:shd w:val="clear" w:color="auto" w:fill="auto"/>
            <w:hideMark/>
          </w:tcPr>
          <w:p w14:paraId="133AC5F1"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50C86147" w14:textId="77777777" w:rsidR="009658EA" w:rsidRPr="008420BC" w:rsidRDefault="009658EA" w:rsidP="009658EA">
            <w:pPr>
              <w:jc w:val="right"/>
              <w:rPr>
                <w:sz w:val="22"/>
                <w:szCs w:val="22"/>
              </w:rPr>
            </w:pPr>
            <w:r w:rsidRPr="008420BC">
              <w:rPr>
                <w:sz w:val="22"/>
                <w:szCs w:val="22"/>
              </w:rPr>
              <w:t>1</w:t>
            </w:r>
          </w:p>
        </w:tc>
      </w:tr>
      <w:tr w:rsidR="009658EA" w:rsidRPr="008420BC" w14:paraId="72CA09A3" w14:textId="77777777" w:rsidTr="009658EA">
        <w:trPr>
          <w:trHeight w:val="274"/>
        </w:trPr>
        <w:tc>
          <w:tcPr>
            <w:tcW w:w="1697" w:type="dxa"/>
            <w:vMerge/>
            <w:hideMark/>
          </w:tcPr>
          <w:p w14:paraId="2B018C77" w14:textId="77777777" w:rsidR="009658EA" w:rsidRPr="008420BC" w:rsidRDefault="009658EA" w:rsidP="009658EA">
            <w:pPr>
              <w:rPr>
                <w:sz w:val="22"/>
                <w:szCs w:val="22"/>
              </w:rPr>
            </w:pPr>
          </w:p>
        </w:tc>
        <w:tc>
          <w:tcPr>
            <w:tcW w:w="3971" w:type="dxa"/>
            <w:vMerge/>
            <w:hideMark/>
          </w:tcPr>
          <w:p w14:paraId="75767BB5" w14:textId="77777777" w:rsidR="009658EA" w:rsidRPr="008420BC" w:rsidRDefault="009658EA" w:rsidP="009658EA">
            <w:pPr>
              <w:rPr>
                <w:sz w:val="22"/>
                <w:szCs w:val="22"/>
              </w:rPr>
            </w:pPr>
          </w:p>
        </w:tc>
        <w:tc>
          <w:tcPr>
            <w:tcW w:w="1268" w:type="dxa"/>
            <w:shd w:val="clear" w:color="auto" w:fill="auto"/>
            <w:hideMark/>
          </w:tcPr>
          <w:p w14:paraId="5D74BDB9" w14:textId="77777777" w:rsidR="009658EA" w:rsidRPr="008420BC" w:rsidRDefault="009658EA" w:rsidP="009658EA">
            <w:pPr>
              <w:jc w:val="right"/>
              <w:rPr>
                <w:sz w:val="22"/>
                <w:szCs w:val="22"/>
              </w:rPr>
            </w:pPr>
            <w:r w:rsidRPr="008420BC">
              <w:rPr>
                <w:sz w:val="22"/>
                <w:szCs w:val="22"/>
              </w:rPr>
              <w:t>Taller  2</w:t>
            </w:r>
          </w:p>
        </w:tc>
        <w:tc>
          <w:tcPr>
            <w:tcW w:w="1771" w:type="dxa"/>
            <w:shd w:val="clear" w:color="auto" w:fill="auto"/>
            <w:hideMark/>
          </w:tcPr>
          <w:p w14:paraId="629F3C7E"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tcPr>
          <w:p w14:paraId="11E0A942" w14:textId="77777777" w:rsidR="009658EA" w:rsidRPr="008420BC" w:rsidRDefault="009658EA" w:rsidP="009658EA">
            <w:pPr>
              <w:jc w:val="right"/>
              <w:rPr>
                <w:sz w:val="22"/>
                <w:szCs w:val="22"/>
              </w:rPr>
            </w:pPr>
            <w:r w:rsidRPr="008420BC">
              <w:rPr>
                <w:sz w:val="22"/>
                <w:szCs w:val="22"/>
              </w:rPr>
              <w:t>1</w:t>
            </w:r>
          </w:p>
        </w:tc>
      </w:tr>
      <w:tr w:rsidR="009658EA" w:rsidRPr="008420BC" w14:paraId="4274B97F" w14:textId="77777777" w:rsidTr="009658EA">
        <w:trPr>
          <w:trHeight w:val="373"/>
        </w:trPr>
        <w:tc>
          <w:tcPr>
            <w:tcW w:w="1697" w:type="dxa"/>
            <w:vMerge/>
            <w:hideMark/>
          </w:tcPr>
          <w:p w14:paraId="4BE0A90D" w14:textId="77777777" w:rsidR="009658EA" w:rsidRPr="008420BC" w:rsidRDefault="009658EA" w:rsidP="009658EA">
            <w:pPr>
              <w:rPr>
                <w:sz w:val="22"/>
                <w:szCs w:val="22"/>
              </w:rPr>
            </w:pPr>
          </w:p>
        </w:tc>
        <w:tc>
          <w:tcPr>
            <w:tcW w:w="3971" w:type="dxa"/>
            <w:shd w:val="clear" w:color="auto" w:fill="auto"/>
            <w:hideMark/>
          </w:tcPr>
          <w:p w14:paraId="04C234DD" w14:textId="77777777" w:rsidR="009658EA" w:rsidRPr="008420BC" w:rsidRDefault="009658EA" w:rsidP="009658EA">
            <w:pPr>
              <w:rPr>
                <w:sz w:val="22"/>
                <w:szCs w:val="22"/>
              </w:rPr>
            </w:pPr>
            <w:r w:rsidRPr="008420BC">
              <w:rPr>
                <w:sz w:val="22"/>
                <w:szCs w:val="22"/>
              </w:rPr>
              <w:t>Capacitación sobre la Ley 722 “Ley especial para los CAPS” y su reglamento.</w:t>
            </w:r>
          </w:p>
        </w:tc>
        <w:tc>
          <w:tcPr>
            <w:tcW w:w="1268" w:type="dxa"/>
            <w:shd w:val="clear" w:color="auto" w:fill="auto"/>
            <w:hideMark/>
          </w:tcPr>
          <w:p w14:paraId="2972AD4C" w14:textId="77777777" w:rsidR="009658EA" w:rsidRPr="008420BC" w:rsidRDefault="009658EA" w:rsidP="009658EA">
            <w:pPr>
              <w:jc w:val="right"/>
              <w:rPr>
                <w:sz w:val="22"/>
                <w:szCs w:val="22"/>
              </w:rPr>
            </w:pPr>
            <w:r w:rsidRPr="008420BC">
              <w:rPr>
                <w:sz w:val="22"/>
                <w:szCs w:val="22"/>
              </w:rPr>
              <w:t>Taller 1</w:t>
            </w:r>
          </w:p>
        </w:tc>
        <w:tc>
          <w:tcPr>
            <w:tcW w:w="1771" w:type="dxa"/>
            <w:shd w:val="clear" w:color="auto" w:fill="auto"/>
            <w:hideMark/>
          </w:tcPr>
          <w:p w14:paraId="2F6EFA20"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4F7E7C55" w14:textId="77777777" w:rsidR="009658EA" w:rsidRPr="008420BC" w:rsidRDefault="009658EA" w:rsidP="009658EA">
            <w:pPr>
              <w:jc w:val="right"/>
              <w:rPr>
                <w:sz w:val="22"/>
                <w:szCs w:val="22"/>
              </w:rPr>
            </w:pPr>
            <w:r w:rsidRPr="008420BC">
              <w:rPr>
                <w:sz w:val="22"/>
                <w:szCs w:val="22"/>
              </w:rPr>
              <w:t>1</w:t>
            </w:r>
          </w:p>
        </w:tc>
      </w:tr>
      <w:tr w:rsidR="009658EA" w:rsidRPr="008420BC" w14:paraId="3FA89B2B" w14:textId="77777777" w:rsidTr="009658EA">
        <w:trPr>
          <w:trHeight w:val="147"/>
        </w:trPr>
        <w:tc>
          <w:tcPr>
            <w:tcW w:w="1697" w:type="dxa"/>
            <w:vMerge/>
            <w:hideMark/>
          </w:tcPr>
          <w:p w14:paraId="12FD1734" w14:textId="77777777" w:rsidR="009658EA" w:rsidRPr="008420BC" w:rsidRDefault="009658EA" w:rsidP="009658EA">
            <w:pPr>
              <w:rPr>
                <w:sz w:val="22"/>
                <w:szCs w:val="22"/>
              </w:rPr>
            </w:pPr>
          </w:p>
        </w:tc>
        <w:tc>
          <w:tcPr>
            <w:tcW w:w="3971" w:type="dxa"/>
            <w:vMerge w:val="restart"/>
            <w:shd w:val="clear" w:color="auto" w:fill="auto"/>
            <w:hideMark/>
          </w:tcPr>
          <w:p w14:paraId="126FE61B" w14:textId="77777777" w:rsidR="009658EA" w:rsidRPr="008420BC" w:rsidRDefault="009658EA" w:rsidP="009658EA">
            <w:pPr>
              <w:rPr>
                <w:sz w:val="22"/>
                <w:szCs w:val="22"/>
              </w:rPr>
            </w:pPr>
            <w:r w:rsidRPr="008420BC">
              <w:rPr>
                <w:sz w:val="22"/>
                <w:szCs w:val="22"/>
              </w:rPr>
              <w:t xml:space="preserve">Capacitación Modulo II del compendio metodológico: Preparándonos en la fase de </w:t>
            </w:r>
            <w:r w:rsidRPr="008420BC">
              <w:rPr>
                <w:sz w:val="22"/>
                <w:szCs w:val="22"/>
              </w:rPr>
              <w:lastRenderedPageBreak/>
              <w:t>pre inversión de un proyecto de agua, saneamiento e higiene.</w:t>
            </w:r>
          </w:p>
        </w:tc>
        <w:tc>
          <w:tcPr>
            <w:tcW w:w="1268" w:type="dxa"/>
            <w:shd w:val="clear" w:color="auto" w:fill="auto"/>
            <w:hideMark/>
          </w:tcPr>
          <w:p w14:paraId="69DB66D5" w14:textId="77777777" w:rsidR="009658EA" w:rsidRPr="008420BC" w:rsidRDefault="009658EA" w:rsidP="009658EA">
            <w:pPr>
              <w:jc w:val="right"/>
              <w:rPr>
                <w:sz w:val="22"/>
                <w:szCs w:val="22"/>
              </w:rPr>
            </w:pPr>
            <w:r w:rsidRPr="008420BC">
              <w:rPr>
                <w:sz w:val="22"/>
                <w:szCs w:val="22"/>
              </w:rPr>
              <w:lastRenderedPageBreak/>
              <w:t>Taller 3</w:t>
            </w:r>
          </w:p>
        </w:tc>
        <w:tc>
          <w:tcPr>
            <w:tcW w:w="1771" w:type="dxa"/>
            <w:shd w:val="clear" w:color="auto" w:fill="auto"/>
            <w:hideMark/>
          </w:tcPr>
          <w:p w14:paraId="2104EF18"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55552CE8" w14:textId="77777777" w:rsidR="009658EA" w:rsidRPr="008420BC" w:rsidRDefault="009658EA" w:rsidP="009658EA">
            <w:pPr>
              <w:jc w:val="right"/>
              <w:rPr>
                <w:sz w:val="22"/>
                <w:szCs w:val="22"/>
              </w:rPr>
            </w:pPr>
            <w:r w:rsidRPr="008420BC">
              <w:rPr>
                <w:sz w:val="22"/>
                <w:szCs w:val="22"/>
              </w:rPr>
              <w:t>1</w:t>
            </w:r>
          </w:p>
        </w:tc>
      </w:tr>
      <w:tr w:rsidR="009658EA" w:rsidRPr="008420BC" w14:paraId="3E507B16" w14:textId="77777777" w:rsidTr="009658EA">
        <w:trPr>
          <w:trHeight w:val="234"/>
        </w:trPr>
        <w:tc>
          <w:tcPr>
            <w:tcW w:w="1697" w:type="dxa"/>
            <w:vMerge/>
            <w:hideMark/>
          </w:tcPr>
          <w:p w14:paraId="4255A720" w14:textId="77777777" w:rsidR="009658EA" w:rsidRPr="008420BC" w:rsidRDefault="009658EA" w:rsidP="009658EA">
            <w:pPr>
              <w:rPr>
                <w:sz w:val="22"/>
                <w:szCs w:val="22"/>
              </w:rPr>
            </w:pPr>
          </w:p>
        </w:tc>
        <w:tc>
          <w:tcPr>
            <w:tcW w:w="3971" w:type="dxa"/>
            <w:vMerge/>
            <w:hideMark/>
          </w:tcPr>
          <w:p w14:paraId="6AF93CAE" w14:textId="77777777" w:rsidR="009658EA" w:rsidRPr="008420BC" w:rsidRDefault="009658EA" w:rsidP="009658EA">
            <w:pPr>
              <w:rPr>
                <w:sz w:val="22"/>
                <w:szCs w:val="22"/>
              </w:rPr>
            </w:pPr>
          </w:p>
        </w:tc>
        <w:tc>
          <w:tcPr>
            <w:tcW w:w="1268" w:type="dxa"/>
            <w:shd w:val="clear" w:color="auto" w:fill="auto"/>
            <w:hideMark/>
          </w:tcPr>
          <w:p w14:paraId="7699D90B" w14:textId="77777777" w:rsidR="009658EA" w:rsidRPr="008420BC" w:rsidRDefault="009658EA" w:rsidP="009658EA">
            <w:pPr>
              <w:jc w:val="right"/>
              <w:rPr>
                <w:sz w:val="22"/>
                <w:szCs w:val="22"/>
              </w:rPr>
            </w:pPr>
            <w:r w:rsidRPr="008420BC">
              <w:rPr>
                <w:sz w:val="22"/>
                <w:szCs w:val="22"/>
              </w:rPr>
              <w:t>Taller 4</w:t>
            </w:r>
          </w:p>
        </w:tc>
        <w:tc>
          <w:tcPr>
            <w:tcW w:w="1771" w:type="dxa"/>
            <w:shd w:val="clear" w:color="auto" w:fill="auto"/>
            <w:hideMark/>
          </w:tcPr>
          <w:p w14:paraId="07286253"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3350D036" w14:textId="77777777" w:rsidR="009658EA" w:rsidRPr="008420BC" w:rsidRDefault="009658EA" w:rsidP="009658EA">
            <w:pPr>
              <w:jc w:val="right"/>
              <w:rPr>
                <w:sz w:val="22"/>
                <w:szCs w:val="22"/>
              </w:rPr>
            </w:pPr>
            <w:r w:rsidRPr="008420BC">
              <w:rPr>
                <w:sz w:val="22"/>
                <w:szCs w:val="22"/>
              </w:rPr>
              <w:t>1</w:t>
            </w:r>
          </w:p>
        </w:tc>
      </w:tr>
      <w:tr w:rsidR="009658EA" w:rsidRPr="008420BC" w14:paraId="390A596F" w14:textId="77777777" w:rsidTr="009658EA">
        <w:trPr>
          <w:trHeight w:val="729"/>
        </w:trPr>
        <w:tc>
          <w:tcPr>
            <w:tcW w:w="1697" w:type="dxa"/>
            <w:vMerge/>
            <w:hideMark/>
          </w:tcPr>
          <w:p w14:paraId="308EE22B" w14:textId="77777777" w:rsidR="009658EA" w:rsidRPr="008420BC" w:rsidRDefault="009658EA" w:rsidP="009658EA">
            <w:pPr>
              <w:rPr>
                <w:sz w:val="22"/>
                <w:szCs w:val="22"/>
              </w:rPr>
            </w:pPr>
          </w:p>
        </w:tc>
        <w:tc>
          <w:tcPr>
            <w:tcW w:w="3971" w:type="dxa"/>
            <w:vMerge w:val="restart"/>
            <w:shd w:val="clear" w:color="auto" w:fill="auto"/>
            <w:hideMark/>
          </w:tcPr>
          <w:p w14:paraId="74876A07" w14:textId="77777777" w:rsidR="009658EA" w:rsidRPr="008420BC" w:rsidRDefault="009658EA" w:rsidP="009658EA">
            <w:pPr>
              <w:rPr>
                <w:sz w:val="22"/>
                <w:szCs w:val="22"/>
              </w:rPr>
            </w:pPr>
            <w:r w:rsidRPr="008420BC">
              <w:rPr>
                <w:sz w:val="22"/>
                <w:szCs w:val="22"/>
              </w:rPr>
              <w:t>Capacitación del Módulo III del Compendio Metodológico. Primera parte, utiliza cartilla No.3 "Contrataciones y Gestión de los recursos en la etapa de inversión de un proyecto de agua, saneamiento e higiene".</w:t>
            </w:r>
          </w:p>
        </w:tc>
        <w:tc>
          <w:tcPr>
            <w:tcW w:w="1268" w:type="dxa"/>
            <w:vMerge w:val="restart"/>
            <w:shd w:val="clear" w:color="auto" w:fill="auto"/>
            <w:hideMark/>
          </w:tcPr>
          <w:p w14:paraId="09FB89A7" w14:textId="77777777" w:rsidR="009658EA" w:rsidRPr="008420BC" w:rsidRDefault="009658EA" w:rsidP="009658EA">
            <w:pPr>
              <w:jc w:val="right"/>
              <w:rPr>
                <w:sz w:val="22"/>
                <w:szCs w:val="22"/>
              </w:rPr>
            </w:pPr>
            <w:r w:rsidRPr="008420BC">
              <w:rPr>
                <w:sz w:val="22"/>
                <w:szCs w:val="22"/>
              </w:rPr>
              <w:t>Taller 5</w:t>
            </w:r>
          </w:p>
        </w:tc>
        <w:tc>
          <w:tcPr>
            <w:tcW w:w="1771" w:type="dxa"/>
            <w:vMerge w:val="restart"/>
            <w:shd w:val="clear" w:color="auto" w:fill="auto"/>
            <w:hideMark/>
          </w:tcPr>
          <w:p w14:paraId="11DC8FEE" w14:textId="77777777" w:rsidR="009658EA" w:rsidRPr="008420BC" w:rsidRDefault="009658EA" w:rsidP="009658EA">
            <w:pPr>
              <w:jc w:val="right"/>
              <w:rPr>
                <w:sz w:val="22"/>
                <w:szCs w:val="22"/>
              </w:rPr>
            </w:pPr>
            <w:r w:rsidRPr="008420BC">
              <w:rPr>
                <w:sz w:val="22"/>
                <w:szCs w:val="22"/>
              </w:rPr>
              <w:t>18-25</w:t>
            </w:r>
          </w:p>
        </w:tc>
        <w:tc>
          <w:tcPr>
            <w:tcW w:w="1268" w:type="dxa"/>
            <w:vMerge w:val="restart"/>
            <w:shd w:val="clear" w:color="auto" w:fill="auto"/>
            <w:hideMark/>
          </w:tcPr>
          <w:p w14:paraId="558A6325" w14:textId="77777777" w:rsidR="009658EA" w:rsidRPr="008420BC" w:rsidRDefault="009658EA" w:rsidP="009658EA">
            <w:pPr>
              <w:jc w:val="right"/>
              <w:rPr>
                <w:sz w:val="22"/>
                <w:szCs w:val="22"/>
              </w:rPr>
            </w:pPr>
            <w:r w:rsidRPr="008420BC">
              <w:rPr>
                <w:sz w:val="22"/>
                <w:szCs w:val="22"/>
              </w:rPr>
              <w:t>1</w:t>
            </w:r>
          </w:p>
        </w:tc>
      </w:tr>
      <w:tr w:rsidR="009658EA" w:rsidRPr="008420BC" w14:paraId="3526E547" w14:textId="77777777" w:rsidTr="009658EA">
        <w:trPr>
          <w:trHeight w:val="443"/>
        </w:trPr>
        <w:tc>
          <w:tcPr>
            <w:tcW w:w="1697" w:type="dxa"/>
            <w:vMerge/>
            <w:hideMark/>
          </w:tcPr>
          <w:p w14:paraId="5D15CCBE" w14:textId="77777777" w:rsidR="009658EA" w:rsidRPr="008420BC" w:rsidRDefault="009658EA" w:rsidP="009658EA">
            <w:pPr>
              <w:rPr>
                <w:sz w:val="22"/>
                <w:szCs w:val="22"/>
              </w:rPr>
            </w:pPr>
          </w:p>
        </w:tc>
        <w:tc>
          <w:tcPr>
            <w:tcW w:w="3971" w:type="dxa"/>
            <w:vMerge/>
            <w:hideMark/>
          </w:tcPr>
          <w:p w14:paraId="285C7190" w14:textId="77777777" w:rsidR="009658EA" w:rsidRPr="008420BC" w:rsidRDefault="009658EA" w:rsidP="009658EA">
            <w:pPr>
              <w:rPr>
                <w:sz w:val="22"/>
                <w:szCs w:val="22"/>
              </w:rPr>
            </w:pPr>
          </w:p>
        </w:tc>
        <w:tc>
          <w:tcPr>
            <w:tcW w:w="1268" w:type="dxa"/>
            <w:vMerge/>
            <w:hideMark/>
          </w:tcPr>
          <w:p w14:paraId="7D7D614C" w14:textId="77777777" w:rsidR="009658EA" w:rsidRPr="008420BC" w:rsidRDefault="009658EA" w:rsidP="009658EA">
            <w:pPr>
              <w:jc w:val="right"/>
              <w:rPr>
                <w:sz w:val="22"/>
                <w:szCs w:val="22"/>
              </w:rPr>
            </w:pPr>
          </w:p>
        </w:tc>
        <w:tc>
          <w:tcPr>
            <w:tcW w:w="1771" w:type="dxa"/>
            <w:vMerge/>
            <w:hideMark/>
          </w:tcPr>
          <w:p w14:paraId="4E0AA575" w14:textId="77777777" w:rsidR="009658EA" w:rsidRPr="008420BC" w:rsidRDefault="009658EA" w:rsidP="009658EA">
            <w:pPr>
              <w:jc w:val="right"/>
              <w:rPr>
                <w:sz w:val="22"/>
                <w:szCs w:val="22"/>
              </w:rPr>
            </w:pPr>
          </w:p>
        </w:tc>
        <w:tc>
          <w:tcPr>
            <w:tcW w:w="1268" w:type="dxa"/>
            <w:vMerge/>
            <w:hideMark/>
          </w:tcPr>
          <w:p w14:paraId="097A554B" w14:textId="77777777" w:rsidR="009658EA" w:rsidRPr="008420BC" w:rsidRDefault="009658EA" w:rsidP="009658EA">
            <w:pPr>
              <w:jc w:val="right"/>
              <w:rPr>
                <w:sz w:val="22"/>
                <w:szCs w:val="22"/>
              </w:rPr>
            </w:pPr>
          </w:p>
        </w:tc>
      </w:tr>
      <w:tr w:rsidR="009658EA" w:rsidRPr="008420BC" w14:paraId="4448BBA0" w14:textId="77777777" w:rsidTr="009658EA">
        <w:trPr>
          <w:trHeight w:val="136"/>
        </w:trPr>
        <w:tc>
          <w:tcPr>
            <w:tcW w:w="1697" w:type="dxa"/>
            <w:vMerge/>
            <w:hideMark/>
          </w:tcPr>
          <w:p w14:paraId="3036B620" w14:textId="77777777" w:rsidR="009658EA" w:rsidRPr="008420BC" w:rsidRDefault="009658EA" w:rsidP="009658EA">
            <w:pPr>
              <w:rPr>
                <w:sz w:val="22"/>
                <w:szCs w:val="22"/>
              </w:rPr>
            </w:pPr>
          </w:p>
        </w:tc>
        <w:tc>
          <w:tcPr>
            <w:tcW w:w="3971" w:type="dxa"/>
            <w:vMerge/>
            <w:hideMark/>
          </w:tcPr>
          <w:p w14:paraId="3DF5C197" w14:textId="77777777" w:rsidR="009658EA" w:rsidRPr="008420BC" w:rsidRDefault="009658EA" w:rsidP="009658EA">
            <w:pPr>
              <w:rPr>
                <w:sz w:val="22"/>
                <w:szCs w:val="22"/>
              </w:rPr>
            </w:pPr>
          </w:p>
        </w:tc>
        <w:tc>
          <w:tcPr>
            <w:tcW w:w="1268" w:type="dxa"/>
            <w:shd w:val="clear" w:color="auto" w:fill="auto"/>
            <w:hideMark/>
          </w:tcPr>
          <w:p w14:paraId="1810A123" w14:textId="77777777" w:rsidR="009658EA" w:rsidRPr="008420BC" w:rsidRDefault="009658EA" w:rsidP="009658EA">
            <w:pPr>
              <w:jc w:val="right"/>
              <w:rPr>
                <w:sz w:val="22"/>
                <w:szCs w:val="22"/>
              </w:rPr>
            </w:pPr>
            <w:r w:rsidRPr="008420BC">
              <w:rPr>
                <w:sz w:val="22"/>
                <w:szCs w:val="22"/>
              </w:rPr>
              <w:t>Taller 6</w:t>
            </w:r>
          </w:p>
        </w:tc>
        <w:tc>
          <w:tcPr>
            <w:tcW w:w="1771" w:type="dxa"/>
            <w:shd w:val="clear" w:color="auto" w:fill="auto"/>
            <w:hideMark/>
          </w:tcPr>
          <w:p w14:paraId="5102890A"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69502FDA" w14:textId="77777777" w:rsidR="009658EA" w:rsidRPr="008420BC" w:rsidRDefault="009658EA" w:rsidP="009658EA">
            <w:pPr>
              <w:jc w:val="right"/>
              <w:rPr>
                <w:sz w:val="22"/>
                <w:szCs w:val="22"/>
              </w:rPr>
            </w:pPr>
            <w:r w:rsidRPr="008420BC">
              <w:rPr>
                <w:sz w:val="22"/>
                <w:szCs w:val="22"/>
              </w:rPr>
              <w:t>1</w:t>
            </w:r>
          </w:p>
        </w:tc>
      </w:tr>
      <w:tr w:rsidR="009658EA" w:rsidRPr="008420BC" w14:paraId="5A9EBA7E" w14:textId="77777777" w:rsidTr="009658EA">
        <w:trPr>
          <w:trHeight w:val="112"/>
        </w:trPr>
        <w:tc>
          <w:tcPr>
            <w:tcW w:w="1697" w:type="dxa"/>
            <w:vMerge/>
            <w:hideMark/>
          </w:tcPr>
          <w:p w14:paraId="3552C583" w14:textId="77777777" w:rsidR="009658EA" w:rsidRPr="008420BC" w:rsidRDefault="009658EA" w:rsidP="009658EA">
            <w:pPr>
              <w:rPr>
                <w:sz w:val="22"/>
                <w:szCs w:val="22"/>
              </w:rPr>
            </w:pPr>
          </w:p>
        </w:tc>
        <w:tc>
          <w:tcPr>
            <w:tcW w:w="3971" w:type="dxa"/>
            <w:vMerge/>
            <w:hideMark/>
          </w:tcPr>
          <w:p w14:paraId="43700B01" w14:textId="77777777" w:rsidR="009658EA" w:rsidRPr="008420BC" w:rsidRDefault="009658EA" w:rsidP="009658EA">
            <w:pPr>
              <w:rPr>
                <w:sz w:val="22"/>
                <w:szCs w:val="22"/>
              </w:rPr>
            </w:pPr>
          </w:p>
        </w:tc>
        <w:tc>
          <w:tcPr>
            <w:tcW w:w="1268" w:type="dxa"/>
            <w:shd w:val="clear" w:color="auto" w:fill="auto"/>
            <w:hideMark/>
          </w:tcPr>
          <w:p w14:paraId="3C630C17" w14:textId="77777777" w:rsidR="009658EA" w:rsidRPr="008420BC" w:rsidRDefault="009658EA" w:rsidP="009658EA">
            <w:pPr>
              <w:jc w:val="right"/>
              <w:rPr>
                <w:sz w:val="22"/>
                <w:szCs w:val="22"/>
              </w:rPr>
            </w:pPr>
            <w:r w:rsidRPr="008420BC">
              <w:rPr>
                <w:sz w:val="22"/>
                <w:szCs w:val="22"/>
              </w:rPr>
              <w:t>Taller 7</w:t>
            </w:r>
          </w:p>
        </w:tc>
        <w:tc>
          <w:tcPr>
            <w:tcW w:w="1771" w:type="dxa"/>
            <w:shd w:val="clear" w:color="auto" w:fill="auto"/>
            <w:hideMark/>
          </w:tcPr>
          <w:p w14:paraId="3ED3A952"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591375E5" w14:textId="77777777" w:rsidR="009658EA" w:rsidRPr="008420BC" w:rsidRDefault="009658EA" w:rsidP="009658EA">
            <w:pPr>
              <w:jc w:val="right"/>
              <w:rPr>
                <w:sz w:val="22"/>
                <w:szCs w:val="22"/>
              </w:rPr>
            </w:pPr>
            <w:r w:rsidRPr="008420BC">
              <w:rPr>
                <w:sz w:val="22"/>
                <w:szCs w:val="22"/>
              </w:rPr>
              <w:t>1</w:t>
            </w:r>
          </w:p>
        </w:tc>
      </w:tr>
      <w:tr w:rsidR="009658EA" w:rsidRPr="008420BC" w14:paraId="7BE532D5" w14:textId="77777777" w:rsidTr="009658EA">
        <w:trPr>
          <w:trHeight w:val="44"/>
        </w:trPr>
        <w:tc>
          <w:tcPr>
            <w:tcW w:w="1697" w:type="dxa"/>
            <w:vMerge/>
            <w:hideMark/>
          </w:tcPr>
          <w:p w14:paraId="1665479F" w14:textId="77777777" w:rsidR="009658EA" w:rsidRPr="008420BC" w:rsidRDefault="009658EA" w:rsidP="009658EA">
            <w:pPr>
              <w:rPr>
                <w:sz w:val="22"/>
                <w:szCs w:val="22"/>
              </w:rPr>
            </w:pPr>
          </w:p>
        </w:tc>
        <w:tc>
          <w:tcPr>
            <w:tcW w:w="3971" w:type="dxa"/>
            <w:vMerge/>
            <w:hideMark/>
          </w:tcPr>
          <w:p w14:paraId="46795C0E" w14:textId="77777777" w:rsidR="009658EA" w:rsidRPr="008420BC" w:rsidRDefault="009658EA" w:rsidP="009658EA">
            <w:pPr>
              <w:rPr>
                <w:sz w:val="22"/>
                <w:szCs w:val="22"/>
              </w:rPr>
            </w:pPr>
          </w:p>
        </w:tc>
        <w:tc>
          <w:tcPr>
            <w:tcW w:w="1268" w:type="dxa"/>
            <w:shd w:val="clear" w:color="auto" w:fill="auto"/>
            <w:hideMark/>
          </w:tcPr>
          <w:p w14:paraId="38CD4EE4" w14:textId="77777777" w:rsidR="009658EA" w:rsidRPr="008420BC" w:rsidRDefault="009658EA" w:rsidP="009658EA">
            <w:pPr>
              <w:jc w:val="right"/>
              <w:rPr>
                <w:sz w:val="22"/>
                <w:szCs w:val="22"/>
              </w:rPr>
            </w:pPr>
            <w:r w:rsidRPr="008420BC">
              <w:rPr>
                <w:sz w:val="22"/>
                <w:szCs w:val="22"/>
              </w:rPr>
              <w:t>Taller 8</w:t>
            </w:r>
          </w:p>
        </w:tc>
        <w:tc>
          <w:tcPr>
            <w:tcW w:w="1771" w:type="dxa"/>
            <w:shd w:val="clear" w:color="auto" w:fill="auto"/>
            <w:hideMark/>
          </w:tcPr>
          <w:p w14:paraId="37585772" w14:textId="77777777" w:rsidR="009658EA" w:rsidRPr="008420BC" w:rsidRDefault="009658EA" w:rsidP="009658EA">
            <w:pPr>
              <w:jc w:val="right"/>
              <w:rPr>
                <w:sz w:val="22"/>
                <w:szCs w:val="22"/>
              </w:rPr>
            </w:pPr>
            <w:r w:rsidRPr="008420BC">
              <w:rPr>
                <w:sz w:val="22"/>
                <w:szCs w:val="22"/>
              </w:rPr>
              <w:t>18-25</w:t>
            </w:r>
          </w:p>
        </w:tc>
        <w:tc>
          <w:tcPr>
            <w:tcW w:w="1268" w:type="dxa"/>
            <w:shd w:val="clear" w:color="auto" w:fill="auto"/>
            <w:hideMark/>
          </w:tcPr>
          <w:p w14:paraId="531F895A" w14:textId="77777777" w:rsidR="009658EA" w:rsidRPr="008420BC" w:rsidRDefault="009658EA" w:rsidP="009658EA">
            <w:pPr>
              <w:jc w:val="right"/>
              <w:rPr>
                <w:sz w:val="22"/>
                <w:szCs w:val="22"/>
              </w:rPr>
            </w:pPr>
            <w:r w:rsidRPr="008420BC">
              <w:rPr>
                <w:sz w:val="22"/>
                <w:szCs w:val="22"/>
              </w:rPr>
              <w:t>1</w:t>
            </w:r>
          </w:p>
        </w:tc>
      </w:tr>
      <w:tr w:rsidR="009658EA" w:rsidRPr="008420BC" w14:paraId="7295502D" w14:textId="77777777" w:rsidTr="009658EA">
        <w:trPr>
          <w:trHeight w:val="65"/>
        </w:trPr>
        <w:tc>
          <w:tcPr>
            <w:tcW w:w="1697" w:type="dxa"/>
            <w:vMerge/>
            <w:hideMark/>
          </w:tcPr>
          <w:p w14:paraId="22DC2039" w14:textId="77777777" w:rsidR="009658EA" w:rsidRPr="008420BC" w:rsidRDefault="009658EA" w:rsidP="009658EA">
            <w:pPr>
              <w:rPr>
                <w:sz w:val="22"/>
                <w:szCs w:val="22"/>
              </w:rPr>
            </w:pPr>
          </w:p>
        </w:tc>
        <w:tc>
          <w:tcPr>
            <w:tcW w:w="3971" w:type="dxa"/>
            <w:vMerge/>
            <w:hideMark/>
          </w:tcPr>
          <w:p w14:paraId="71CCF482" w14:textId="77777777" w:rsidR="009658EA" w:rsidRPr="008420BC" w:rsidRDefault="009658EA" w:rsidP="009658EA">
            <w:pPr>
              <w:rPr>
                <w:sz w:val="22"/>
                <w:szCs w:val="22"/>
              </w:rPr>
            </w:pPr>
          </w:p>
        </w:tc>
        <w:tc>
          <w:tcPr>
            <w:tcW w:w="1268" w:type="dxa"/>
            <w:shd w:val="clear" w:color="auto" w:fill="auto"/>
            <w:hideMark/>
          </w:tcPr>
          <w:p w14:paraId="5ECD1C35" w14:textId="77777777" w:rsidR="009658EA" w:rsidRPr="008420BC" w:rsidRDefault="009658EA" w:rsidP="009658EA">
            <w:pPr>
              <w:rPr>
                <w:sz w:val="22"/>
                <w:szCs w:val="22"/>
              </w:rPr>
            </w:pPr>
            <w:r w:rsidRPr="008420BC">
              <w:rPr>
                <w:sz w:val="22"/>
                <w:szCs w:val="22"/>
              </w:rPr>
              <w:t> </w:t>
            </w:r>
          </w:p>
        </w:tc>
        <w:tc>
          <w:tcPr>
            <w:tcW w:w="1771" w:type="dxa"/>
            <w:shd w:val="clear" w:color="auto" w:fill="auto"/>
            <w:hideMark/>
          </w:tcPr>
          <w:p w14:paraId="7DBFF631"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4854A6F1" w14:textId="77777777" w:rsidR="009658EA" w:rsidRPr="008420BC" w:rsidRDefault="009658EA" w:rsidP="009658EA">
            <w:pPr>
              <w:rPr>
                <w:sz w:val="22"/>
                <w:szCs w:val="22"/>
              </w:rPr>
            </w:pPr>
            <w:r w:rsidRPr="008420BC">
              <w:rPr>
                <w:sz w:val="22"/>
                <w:szCs w:val="22"/>
              </w:rPr>
              <w:t> </w:t>
            </w:r>
          </w:p>
        </w:tc>
      </w:tr>
      <w:tr w:rsidR="009658EA" w:rsidRPr="008420BC" w14:paraId="427A6CCC" w14:textId="77777777" w:rsidTr="009658EA">
        <w:trPr>
          <w:gridAfter w:val="4"/>
          <w:wAfter w:w="8278" w:type="dxa"/>
          <w:trHeight w:val="295"/>
        </w:trPr>
        <w:tc>
          <w:tcPr>
            <w:tcW w:w="1697" w:type="dxa"/>
            <w:shd w:val="clear" w:color="auto" w:fill="auto"/>
            <w:hideMark/>
          </w:tcPr>
          <w:p w14:paraId="6531CC60" w14:textId="77777777" w:rsidR="009658EA" w:rsidRPr="008420BC" w:rsidRDefault="009658EA" w:rsidP="009658EA">
            <w:pPr>
              <w:rPr>
                <w:b/>
                <w:bCs/>
                <w:sz w:val="22"/>
                <w:szCs w:val="22"/>
              </w:rPr>
            </w:pPr>
            <w:r w:rsidRPr="008420BC">
              <w:rPr>
                <w:b/>
                <w:bCs/>
                <w:sz w:val="22"/>
                <w:szCs w:val="22"/>
              </w:rPr>
              <w:t> </w:t>
            </w:r>
          </w:p>
        </w:tc>
      </w:tr>
      <w:tr w:rsidR="009658EA" w:rsidRPr="008420BC" w14:paraId="54E3CC2D" w14:textId="77777777" w:rsidTr="009658EA">
        <w:trPr>
          <w:trHeight w:val="1346"/>
        </w:trPr>
        <w:tc>
          <w:tcPr>
            <w:tcW w:w="1697" w:type="dxa"/>
            <w:vMerge w:val="restart"/>
            <w:shd w:val="clear" w:color="auto" w:fill="auto"/>
            <w:hideMark/>
          </w:tcPr>
          <w:p w14:paraId="6DAC937E" w14:textId="77777777" w:rsidR="009658EA" w:rsidRPr="008420BC" w:rsidRDefault="009658EA" w:rsidP="009658EA">
            <w:pPr>
              <w:rPr>
                <w:sz w:val="22"/>
                <w:szCs w:val="22"/>
              </w:rPr>
            </w:pPr>
            <w:r w:rsidRPr="008420BC">
              <w:rPr>
                <w:sz w:val="22"/>
                <w:szCs w:val="22"/>
              </w:rPr>
              <w:t>PRODUCTO 4:</w:t>
            </w:r>
          </w:p>
        </w:tc>
        <w:tc>
          <w:tcPr>
            <w:tcW w:w="3971" w:type="dxa"/>
            <w:vMerge w:val="restart"/>
            <w:shd w:val="clear" w:color="auto" w:fill="auto"/>
            <w:hideMark/>
          </w:tcPr>
          <w:p w14:paraId="10A32A42" w14:textId="77777777" w:rsidR="009658EA" w:rsidRPr="008420BC" w:rsidRDefault="009658EA" w:rsidP="009658EA">
            <w:pPr>
              <w:rPr>
                <w:sz w:val="22"/>
                <w:szCs w:val="22"/>
              </w:rPr>
            </w:pPr>
            <w:r w:rsidRPr="008420BC">
              <w:rPr>
                <w:sz w:val="22"/>
                <w:szCs w:val="22"/>
              </w:rPr>
              <w:t>Capacitación a promotores/ras comunitarios para la Implementación de Metodología FCSA.</w:t>
            </w:r>
          </w:p>
        </w:tc>
        <w:tc>
          <w:tcPr>
            <w:tcW w:w="1268" w:type="dxa"/>
            <w:vMerge w:val="restart"/>
            <w:shd w:val="clear" w:color="auto" w:fill="auto"/>
            <w:hideMark/>
          </w:tcPr>
          <w:p w14:paraId="5E98E597" w14:textId="77777777" w:rsidR="009658EA" w:rsidRPr="008420BC" w:rsidRDefault="009658EA" w:rsidP="009658EA">
            <w:pPr>
              <w:jc w:val="right"/>
              <w:rPr>
                <w:sz w:val="22"/>
                <w:szCs w:val="22"/>
              </w:rPr>
            </w:pPr>
            <w:r w:rsidRPr="008420BC">
              <w:rPr>
                <w:sz w:val="22"/>
                <w:szCs w:val="22"/>
              </w:rPr>
              <w:t>1 taller</w:t>
            </w:r>
          </w:p>
        </w:tc>
        <w:tc>
          <w:tcPr>
            <w:tcW w:w="1771" w:type="dxa"/>
            <w:vMerge w:val="restart"/>
            <w:shd w:val="clear" w:color="auto" w:fill="auto"/>
          </w:tcPr>
          <w:p w14:paraId="2AACB3DD" w14:textId="77777777" w:rsidR="009658EA" w:rsidRPr="008420BC" w:rsidRDefault="009658EA" w:rsidP="009658EA">
            <w:pPr>
              <w:jc w:val="right"/>
              <w:rPr>
                <w:sz w:val="22"/>
                <w:szCs w:val="22"/>
              </w:rPr>
            </w:pPr>
            <w:r w:rsidRPr="008420BC">
              <w:rPr>
                <w:sz w:val="22"/>
                <w:szCs w:val="22"/>
              </w:rPr>
              <w:t>10</w:t>
            </w:r>
          </w:p>
        </w:tc>
        <w:tc>
          <w:tcPr>
            <w:tcW w:w="1268" w:type="dxa"/>
            <w:vMerge w:val="restart"/>
            <w:shd w:val="clear" w:color="auto" w:fill="auto"/>
            <w:hideMark/>
          </w:tcPr>
          <w:p w14:paraId="3E7CEF3D" w14:textId="77777777" w:rsidR="009658EA" w:rsidRPr="008420BC" w:rsidRDefault="009658EA" w:rsidP="009658EA">
            <w:pPr>
              <w:jc w:val="right"/>
              <w:rPr>
                <w:sz w:val="22"/>
                <w:szCs w:val="22"/>
              </w:rPr>
            </w:pPr>
            <w:r w:rsidRPr="008420BC">
              <w:rPr>
                <w:sz w:val="22"/>
                <w:szCs w:val="22"/>
              </w:rPr>
              <w:t> 1</w:t>
            </w:r>
          </w:p>
          <w:p w14:paraId="59F2DBB6" w14:textId="77777777" w:rsidR="009658EA" w:rsidRPr="008420BC" w:rsidRDefault="009658EA" w:rsidP="009658EA">
            <w:pPr>
              <w:jc w:val="right"/>
              <w:rPr>
                <w:sz w:val="22"/>
                <w:szCs w:val="22"/>
              </w:rPr>
            </w:pPr>
          </w:p>
        </w:tc>
      </w:tr>
      <w:tr w:rsidR="009658EA" w:rsidRPr="008420BC" w14:paraId="171BEA6A" w14:textId="77777777" w:rsidTr="009658EA">
        <w:trPr>
          <w:trHeight w:val="443"/>
        </w:trPr>
        <w:tc>
          <w:tcPr>
            <w:tcW w:w="1697" w:type="dxa"/>
            <w:vMerge/>
            <w:hideMark/>
          </w:tcPr>
          <w:p w14:paraId="421CCC3D" w14:textId="77777777" w:rsidR="009658EA" w:rsidRPr="008420BC" w:rsidRDefault="009658EA" w:rsidP="009658EA">
            <w:pPr>
              <w:rPr>
                <w:sz w:val="22"/>
                <w:szCs w:val="22"/>
              </w:rPr>
            </w:pPr>
          </w:p>
        </w:tc>
        <w:tc>
          <w:tcPr>
            <w:tcW w:w="3971" w:type="dxa"/>
            <w:vMerge/>
            <w:hideMark/>
          </w:tcPr>
          <w:p w14:paraId="65D41D98" w14:textId="77777777" w:rsidR="009658EA" w:rsidRPr="008420BC" w:rsidRDefault="009658EA" w:rsidP="009658EA">
            <w:pPr>
              <w:rPr>
                <w:sz w:val="22"/>
                <w:szCs w:val="22"/>
              </w:rPr>
            </w:pPr>
          </w:p>
        </w:tc>
        <w:tc>
          <w:tcPr>
            <w:tcW w:w="1268" w:type="dxa"/>
            <w:vMerge/>
            <w:hideMark/>
          </w:tcPr>
          <w:p w14:paraId="15803D78" w14:textId="77777777" w:rsidR="009658EA" w:rsidRPr="008420BC" w:rsidRDefault="009658EA" w:rsidP="009658EA">
            <w:pPr>
              <w:jc w:val="right"/>
              <w:rPr>
                <w:sz w:val="22"/>
                <w:szCs w:val="22"/>
              </w:rPr>
            </w:pPr>
          </w:p>
        </w:tc>
        <w:tc>
          <w:tcPr>
            <w:tcW w:w="1771" w:type="dxa"/>
            <w:vMerge/>
            <w:hideMark/>
          </w:tcPr>
          <w:p w14:paraId="73C2D19F" w14:textId="77777777" w:rsidR="009658EA" w:rsidRPr="008420BC" w:rsidRDefault="009658EA" w:rsidP="009658EA">
            <w:pPr>
              <w:jc w:val="right"/>
              <w:rPr>
                <w:sz w:val="22"/>
                <w:szCs w:val="22"/>
              </w:rPr>
            </w:pPr>
          </w:p>
        </w:tc>
        <w:tc>
          <w:tcPr>
            <w:tcW w:w="1268" w:type="dxa"/>
            <w:vMerge/>
            <w:hideMark/>
          </w:tcPr>
          <w:p w14:paraId="13F0C756" w14:textId="77777777" w:rsidR="009658EA" w:rsidRPr="008420BC" w:rsidRDefault="009658EA" w:rsidP="009658EA">
            <w:pPr>
              <w:jc w:val="right"/>
              <w:rPr>
                <w:sz w:val="22"/>
                <w:szCs w:val="22"/>
              </w:rPr>
            </w:pPr>
          </w:p>
        </w:tc>
      </w:tr>
      <w:tr w:rsidR="009658EA" w:rsidRPr="008420BC" w14:paraId="3EF0A522" w14:textId="77777777" w:rsidTr="009658EA">
        <w:trPr>
          <w:trHeight w:val="443"/>
        </w:trPr>
        <w:tc>
          <w:tcPr>
            <w:tcW w:w="1697" w:type="dxa"/>
            <w:vMerge/>
            <w:hideMark/>
          </w:tcPr>
          <w:p w14:paraId="24FC9284" w14:textId="77777777" w:rsidR="009658EA" w:rsidRPr="008420BC" w:rsidRDefault="009658EA" w:rsidP="009658EA">
            <w:pPr>
              <w:rPr>
                <w:sz w:val="22"/>
                <w:szCs w:val="22"/>
              </w:rPr>
            </w:pPr>
          </w:p>
        </w:tc>
        <w:tc>
          <w:tcPr>
            <w:tcW w:w="3971" w:type="dxa"/>
            <w:vMerge/>
          </w:tcPr>
          <w:p w14:paraId="088D99AA" w14:textId="77777777" w:rsidR="009658EA" w:rsidRPr="008420BC" w:rsidRDefault="009658EA" w:rsidP="009658EA">
            <w:pPr>
              <w:rPr>
                <w:sz w:val="22"/>
                <w:szCs w:val="22"/>
              </w:rPr>
            </w:pPr>
          </w:p>
        </w:tc>
        <w:tc>
          <w:tcPr>
            <w:tcW w:w="1268" w:type="dxa"/>
            <w:vMerge/>
          </w:tcPr>
          <w:p w14:paraId="3B4CBBB7" w14:textId="77777777" w:rsidR="009658EA" w:rsidRPr="008420BC" w:rsidRDefault="009658EA" w:rsidP="009658EA">
            <w:pPr>
              <w:jc w:val="right"/>
              <w:rPr>
                <w:sz w:val="22"/>
                <w:szCs w:val="22"/>
              </w:rPr>
            </w:pPr>
          </w:p>
        </w:tc>
        <w:tc>
          <w:tcPr>
            <w:tcW w:w="1771" w:type="dxa"/>
            <w:vMerge/>
          </w:tcPr>
          <w:p w14:paraId="09CA34B9" w14:textId="77777777" w:rsidR="009658EA" w:rsidRPr="008420BC" w:rsidRDefault="009658EA" w:rsidP="009658EA">
            <w:pPr>
              <w:jc w:val="right"/>
              <w:rPr>
                <w:sz w:val="22"/>
                <w:szCs w:val="22"/>
              </w:rPr>
            </w:pPr>
          </w:p>
        </w:tc>
        <w:tc>
          <w:tcPr>
            <w:tcW w:w="1268" w:type="dxa"/>
            <w:vMerge/>
          </w:tcPr>
          <w:p w14:paraId="2D555D7F" w14:textId="77777777" w:rsidR="009658EA" w:rsidRPr="008420BC" w:rsidRDefault="009658EA" w:rsidP="009658EA">
            <w:pPr>
              <w:jc w:val="right"/>
              <w:rPr>
                <w:sz w:val="22"/>
                <w:szCs w:val="22"/>
              </w:rPr>
            </w:pPr>
          </w:p>
        </w:tc>
      </w:tr>
      <w:tr w:rsidR="009658EA" w:rsidRPr="008420BC" w14:paraId="67CE4E9C" w14:textId="77777777" w:rsidTr="009658EA">
        <w:trPr>
          <w:trHeight w:val="272"/>
        </w:trPr>
        <w:tc>
          <w:tcPr>
            <w:tcW w:w="1697" w:type="dxa"/>
            <w:vMerge/>
            <w:hideMark/>
          </w:tcPr>
          <w:p w14:paraId="30FBD495" w14:textId="77777777" w:rsidR="009658EA" w:rsidRPr="008420BC" w:rsidRDefault="009658EA" w:rsidP="009658EA">
            <w:pPr>
              <w:rPr>
                <w:sz w:val="22"/>
                <w:szCs w:val="22"/>
              </w:rPr>
            </w:pPr>
          </w:p>
        </w:tc>
        <w:tc>
          <w:tcPr>
            <w:tcW w:w="3971" w:type="dxa"/>
            <w:vMerge/>
          </w:tcPr>
          <w:p w14:paraId="481719B1" w14:textId="77777777" w:rsidR="009658EA" w:rsidRPr="008420BC" w:rsidRDefault="009658EA" w:rsidP="009658EA">
            <w:pPr>
              <w:rPr>
                <w:sz w:val="22"/>
                <w:szCs w:val="22"/>
              </w:rPr>
            </w:pPr>
          </w:p>
        </w:tc>
        <w:tc>
          <w:tcPr>
            <w:tcW w:w="1268" w:type="dxa"/>
            <w:vMerge/>
          </w:tcPr>
          <w:p w14:paraId="394172AB" w14:textId="77777777" w:rsidR="009658EA" w:rsidRPr="008420BC" w:rsidRDefault="009658EA" w:rsidP="009658EA">
            <w:pPr>
              <w:jc w:val="right"/>
              <w:rPr>
                <w:sz w:val="22"/>
                <w:szCs w:val="22"/>
              </w:rPr>
            </w:pPr>
          </w:p>
        </w:tc>
        <w:tc>
          <w:tcPr>
            <w:tcW w:w="1771" w:type="dxa"/>
            <w:vMerge/>
          </w:tcPr>
          <w:p w14:paraId="1ED8DC05" w14:textId="77777777" w:rsidR="009658EA" w:rsidRPr="008420BC" w:rsidRDefault="009658EA" w:rsidP="009658EA">
            <w:pPr>
              <w:jc w:val="right"/>
              <w:rPr>
                <w:sz w:val="22"/>
                <w:szCs w:val="22"/>
              </w:rPr>
            </w:pPr>
          </w:p>
        </w:tc>
        <w:tc>
          <w:tcPr>
            <w:tcW w:w="1268" w:type="dxa"/>
            <w:vMerge/>
          </w:tcPr>
          <w:p w14:paraId="007D73C0" w14:textId="77777777" w:rsidR="009658EA" w:rsidRPr="008420BC" w:rsidRDefault="009658EA" w:rsidP="009658EA">
            <w:pPr>
              <w:jc w:val="right"/>
              <w:rPr>
                <w:sz w:val="22"/>
                <w:szCs w:val="22"/>
              </w:rPr>
            </w:pPr>
          </w:p>
        </w:tc>
      </w:tr>
      <w:tr w:rsidR="009658EA" w:rsidRPr="008420BC" w14:paraId="08CEB4D4" w14:textId="77777777" w:rsidTr="009658EA">
        <w:trPr>
          <w:trHeight w:val="443"/>
        </w:trPr>
        <w:tc>
          <w:tcPr>
            <w:tcW w:w="1697" w:type="dxa"/>
            <w:vMerge w:val="restart"/>
          </w:tcPr>
          <w:p w14:paraId="70AAA9E9" w14:textId="77777777" w:rsidR="009658EA" w:rsidRPr="008420BC" w:rsidRDefault="009658EA" w:rsidP="009658EA">
            <w:pPr>
              <w:rPr>
                <w:sz w:val="22"/>
                <w:szCs w:val="22"/>
              </w:rPr>
            </w:pPr>
            <w:r w:rsidRPr="008420BC">
              <w:rPr>
                <w:sz w:val="22"/>
                <w:szCs w:val="22"/>
              </w:rPr>
              <w:t>PRODUCTO 5:</w:t>
            </w:r>
          </w:p>
          <w:p w14:paraId="5E4542E2" w14:textId="77777777" w:rsidR="009658EA" w:rsidRPr="008420BC" w:rsidRDefault="009658EA" w:rsidP="009658EA">
            <w:pPr>
              <w:rPr>
                <w:sz w:val="22"/>
                <w:szCs w:val="22"/>
              </w:rPr>
            </w:pPr>
          </w:p>
        </w:tc>
        <w:tc>
          <w:tcPr>
            <w:tcW w:w="3971" w:type="dxa"/>
          </w:tcPr>
          <w:p w14:paraId="2223C007" w14:textId="77777777" w:rsidR="009658EA" w:rsidRPr="008420BC" w:rsidRDefault="009658EA" w:rsidP="009658EA">
            <w:pPr>
              <w:rPr>
                <w:sz w:val="22"/>
                <w:szCs w:val="22"/>
              </w:rPr>
            </w:pPr>
            <w:r w:rsidRPr="008420BC">
              <w:rPr>
                <w:sz w:val="22"/>
                <w:szCs w:val="22"/>
              </w:rPr>
              <w:t>Capacitación del Módulo III: Compendio Metodológico. Segunda Parte, Cartilla N° 4: "Cómo administramos nuestros servicios de agua potable y saneamiento".</w:t>
            </w:r>
          </w:p>
        </w:tc>
        <w:tc>
          <w:tcPr>
            <w:tcW w:w="1268" w:type="dxa"/>
          </w:tcPr>
          <w:p w14:paraId="508AA3E9" w14:textId="77777777" w:rsidR="009658EA" w:rsidRPr="008420BC" w:rsidRDefault="009658EA" w:rsidP="009658EA">
            <w:pPr>
              <w:jc w:val="right"/>
              <w:rPr>
                <w:sz w:val="22"/>
                <w:szCs w:val="22"/>
              </w:rPr>
            </w:pPr>
            <w:r w:rsidRPr="008420BC">
              <w:rPr>
                <w:sz w:val="22"/>
                <w:szCs w:val="22"/>
              </w:rPr>
              <w:t> 1 taller</w:t>
            </w:r>
          </w:p>
        </w:tc>
        <w:tc>
          <w:tcPr>
            <w:tcW w:w="1771" w:type="dxa"/>
          </w:tcPr>
          <w:p w14:paraId="71BEF38A" w14:textId="77777777" w:rsidR="009658EA" w:rsidRPr="008420BC" w:rsidRDefault="009658EA" w:rsidP="009658EA">
            <w:pPr>
              <w:jc w:val="right"/>
              <w:rPr>
                <w:sz w:val="22"/>
                <w:szCs w:val="22"/>
              </w:rPr>
            </w:pPr>
            <w:r w:rsidRPr="008420BC">
              <w:rPr>
                <w:sz w:val="22"/>
                <w:szCs w:val="22"/>
              </w:rPr>
              <w:t>18-25</w:t>
            </w:r>
          </w:p>
        </w:tc>
        <w:tc>
          <w:tcPr>
            <w:tcW w:w="1268" w:type="dxa"/>
          </w:tcPr>
          <w:p w14:paraId="4591E36D" w14:textId="77777777" w:rsidR="009658EA" w:rsidRPr="008420BC" w:rsidRDefault="009658EA" w:rsidP="009658EA">
            <w:pPr>
              <w:jc w:val="right"/>
              <w:rPr>
                <w:sz w:val="22"/>
                <w:szCs w:val="22"/>
              </w:rPr>
            </w:pPr>
            <w:r w:rsidRPr="008420BC">
              <w:rPr>
                <w:sz w:val="22"/>
                <w:szCs w:val="22"/>
              </w:rPr>
              <w:t> 1</w:t>
            </w:r>
          </w:p>
        </w:tc>
      </w:tr>
      <w:tr w:rsidR="009658EA" w:rsidRPr="008420BC" w14:paraId="7A48B71D" w14:textId="77777777" w:rsidTr="009658EA">
        <w:trPr>
          <w:trHeight w:val="443"/>
        </w:trPr>
        <w:tc>
          <w:tcPr>
            <w:tcW w:w="1697" w:type="dxa"/>
            <w:vMerge/>
          </w:tcPr>
          <w:p w14:paraId="7CFBCF86" w14:textId="77777777" w:rsidR="009658EA" w:rsidRPr="008420BC" w:rsidRDefault="009658EA" w:rsidP="009658EA">
            <w:pPr>
              <w:rPr>
                <w:sz w:val="22"/>
                <w:szCs w:val="22"/>
              </w:rPr>
            </w:pPr>
          </w:p>
        </w:tc>
        <w:tc>
          <w:tcPr>
            <w:tcW w:w="3971" w:type="dxa"/>
          </w:tcPr>
          <w:p w14:paraId="635555D1" w14:textId="77777777" w:rsidR="009658EA" w:rsidRPr="008420BC" w:rsidRDefault="009658EA" w:rsidP="009658EA">
            <w:pPr>
              <w:rPr>
                <w:sz w:val="22"/>
                <w:szCs w:val="22"/>
              </w:rPr>
            </w:pPr>
            <w:r w:rsidRPr="008420BC">
              <w:rPr>
                <w:sz w:val="22"/>
                <w:szCs w:val="22"/>
              </w:rPr>
              <w:t>Capacitación del Módulo IV: Compendio Metodológico, cartillas No.5, ó No.6 ó No.7 o No.8, en correspondencia al tipo de sistema a brindar operación y mantenimiento.</w:t>
            </w:r>
          </w:p>
        </w:tc>
        <w:tc>
          <w:tcPr>
            <w:tcW w:w="1268" w:type="dxa"/>
          </w:tcPr>
          <w:p w14:paraId="5BCA22CB" w14:textId="77777777" w:rsidR="009658EA" w:rsidRPr="008420BC" w:rsidRDefault="009658EA" w:rsidP="009658EA">
            <w:pPr>
              <w:jc w:val="right"/>
              <w:rPr>
                <w:sz w:val="22"/>
                <w:szCs w:val="22"/>
              </w:rPr>
            </w:pPr>
            <w:r w:rsidRPr="008420BC">
              <w:rPr>
                <w:sz w:val="22"/>
                <w:szCs w:val="22"/>
              </w:rPr>
              <w:t> 1 taller</w:t>
            </w:r>
          </w:p>
        </w:tc>
        <w:tc>
          <w:tcPr>
            <w:tcW w:w="1771" w:type="dxa"/>
          </w:tcPr>
          <w:p w14:paraId="74A5A6DA" w14:textId="77777777" w:rsidR="009658EA" w:rsidRPr="008420BC" w:rsidRDefault="009658EA" w:rsidP="009658EA">
            <w:pPr>
              <w:jc w:val="right"/>
              <w:rPr>
                <w:sz w:val="22"/>
                <w:szCs w:val="22"/>
              </w:rPr>
            </w:pPr>
            <w:r w:rsidRPr="008420BC">
              <w:rPr>
                <w:sz w:val="22"/>
                <w:szCs w:val="22"/>
              </w:rPr>
              <w:t>18-25</w:t>
            </w:r>
          </w:p>
        </w:tc>
        <w:tc>
          <w:tcPr>
            <w:tcW w:w="1268" w:type="dxa"/>
          </w:tcPr>
          <w:p w14:paraId="11FEE29F" w14:textId="77777777" w:rsidR="009658EA" w:rsidRPr="008420BC" w:rsidRDefault="009658EA" w:rsidP="009658EA">
            <w:pPr>
              <w:jc w:val="right"/>
              <w:rPr>
                <w:sz w:val="22"/>
                <w:szCs w:val="22"/>
              </w:rPr>
            </w:pPr>
            <w:r w:rsidRPr="008420BC">
              <w:rPr>
                <w:sz w:val="22"/>
                <w:szCs w:val="22"/>
              </w:rPr>
              <w:t> 1</w:t>
            </w:r>
          </w:p>
        </w:tc>
      </w:tr>
      <w:tr w:rsidR="009658EA" w:rsidRPr="008420BC" w14:paraId="718D12E9" w14:textId="77777777" w:rsidTr="009658EA">
        <w:trPr>
          <w:trHeight w:val="1169"/>
        </w:trPr>
        <w:tc>
          <w:tcPr>
            <w:tcW w:w="1697" w:type="dxa"/>
            <w:vMerge w:val="restart"/>
            <w:shd w:val="clear" w:color="auto" w:fill="auto"/>
            <w:hideMark/>
          </w:tcPr>
          <w:p w14:paraId="52A5CD11" w14:textId="77777777" w:rsidR="009658EA" w:rsidRPr="008420BC" w:rsidRDefault="009658EA" w:rsidP="009658EA">
            <w:pPr>
              <w:rPr>
                <w:sz w:val="22"/>
                <w:szCs w:val="22"/>
              </w:rPr>
            </w:pPr>
            <w:r w:rsidRPr="008420BC">
              <w:rPr>
                <w:sz w:val="22"/>
                <w:szCs w:val="22"/>
              </w:rPr>
              <w:t>PRODUCTO 6:</w:t>
            </w:r>
          </w:p>
        </w:tc>
        <w:tc>
          <w:tcPr>
            <w:tcW w:w="3971" w:type="dxa"/>
            <w:vMerge w:val="restart"/>
            <w:shd w:val="clear" w:color="auto" w:fill="auto"/>
            <w:hideMark/>
          </w:tcPr>
          <w:p w14:paraId="3DB8F6FE" w14:textId="77777777" w:rsidR="009658EA" w:rsidRPr="008420BC" w:rsidRDefault="009658EA" w:rsidP="009658EA">
            <w:pPr>
              <w:rPr>
                <w:sz w:val="22"/>
                <w:szCs w:val="22"/>
              </w:rPr>
            </w:pPr>
            <w:r w:rsidRPr="008420BC">
              <w:rPr>
                <w:sz w:val="22"/>
                <w:szCs w:val="22"/>
              </w:rPr>
              <w:t>Capacitación: Elaboración del Reglamento Interno del Sistema Construido.</w:t>
            </w:r>
          </w:p>
        </w:tc>
        <w:tc>
          <w:tcPr>
            <w:tcW w:w="1268" w:type="dxa"/>
            <w:vMerge w:val="restart"/>
            <w:shd w:val="clear" w:color="auto" w:fill="auto"/>
            <w:hideMark/>
          </w:tcPr>
          <w:p w14:paraId="7BE844BD" w14:textId="77777777" w:rsidR="009658EA" w:rsidRPr="008420BC" w:rsidRDefault="009658EA" w:rsidP="009658EA">
            <w:pPr>
              <w:jc w:val="right"/>
              <w:rPr>
                <w:sz w:val="22"/>
                <w:szCs w:val="22"/>
              </w:rPr>
            </w:pPr>
            <w:r w:rsidRPr="008420BC">
              <w:rPr>
                <w:sz w:val="22"/>
                <w:szCs w:val="22"/>
              </w:rPr>
              <w:t> 1 taller</w:t>
            </w:r>
          </w:p>
        </w:tc>
        <w:tc>
          <w:tcPr>
            <w:tcW w:w="1771" w:type="dxa"/>
            <w:vMerge w:val="restart"/>
            <w:shd w:val="clear" w:color="auto" w:fill="auto"/>
            <w:hideMark/>
          </w:tcPr>
          <w:p w14:paraId="18A1F808" w14:textId="77777777" w:rsidR="009658EA" w:rsidRPr="008420BC" w:rsidRDefault="009658EA" w:rsidP="009658EA">
            <w:pPr>
              <w:jc w:val="right"/>
              <w:rPr>
                <w:sz w:val="22"/>
                <w:szCs w:val="22"/>
              </w:rPr>
            </w:pPr>
            <w:r w:rsidRPr="008420BC">
              <w:rPr>
                <w:sz w:val="22"/>
                <w:szCs w:val="22"/>
              </w:rPr>
              <w:t>18-25</w:t>
            </w:r>
          </w:p>
        </w:tc>
        <w:tc>
          <w:tcPr>
            <w:tcW w:w="1268" w:type="dxa"/>
            <w:vMerge w:val="restart"/>
            <w:shd w:val="clear" w:color="auto" w:fill="auto"/>
            <w:hideMark/>
          </w:tcPr>
          <w:p w14:paraId="18B4F7A4" w14:textId="77777777" w:rsidR="009658EA" w:rsidRPr="008420BC" w:rsidRDefault="009658EA" w:rsidP="009658EA">
            <w:pPr>
              <w:jc w:val="right"/>
              <w:rPr>
                <w:sz w:val="22"/>
                <w:szCs w:val="22"/>
              </w:rPr>
            </w:pPr>
            <w:r w:rsidRPr="008420BC">
              <w:rPr>
                <w:sz w:val="22"/>
                <w:szCs w:val="22"/>
              </w:rPr>
              <w:t> 1</w:t>
            </w:r>
          </w:p>
        </w:tc>
      </w:tr>
      <w:tr w:rsidR="009658EA" w:rsidRPr="008420BC" w14:paraId="416A359B" w14:textId="77777777" w:rsidTr="009658EA">
        <w:trPr>
          <w:trHeight w:val="272"/>
        </w:trPr>
        <w:tc>
          <w:tcPr>
            <w:tcW w:w="1697" w:type="dxa"/>
            <w:vMerge/>
            <w:hideMark/>
          </w:tcPr>
          <w:p w14:paraId="4C1B67A9" w14:textId="77777777" w:rsidR="009658EA" w:rsidRPr="008420BC" w:rsidRDefault="009658EA" w:rsidP="009658EA">
            <w:pPr>
              <w:rPr>
                <w:sz w:val="22"/>
                <w:szCs w:val="22"/>
              </w:rPr>
            </w:pPr>
          </w:p>
        </w:tc>
        <w:tc>
          <w:tcPr>
            <w:tcW w:w="3971" w:type="dxa"/>
            <w:vMerge/>
            <w:hideMark/>
          </w:tcPr>
          <w:p w14:paraId="52649157" w14:textId="77777777" w:rsidR="009658EA" w:rsidRPr="008420BC" w:rsidRDefault="009658EA" w:rsidP="009658EA">
            <w:pPr>
              <w:rPr>
                <w:sz w:val="22"/>
                <w:szCs w:val="22"/>
              </w:rPr>
            </w:pPr>
          </w:p>
        </w:tc>
        <w:tc>
          <w:tcPr>
            <w:tcW w:w="1268" w:type="dxa"/>
            <w:vMerge/>
            <w:hideMark/>
          </w:tcPr>
          <w:p w14:paraId="7728935D" w14:textId="77777777" w:rsidR="009658EA" w:rsidRPr="008420BC" w:rsidRDefault="009658EA" w:rsidP="009658EA">
            <w:pPr>
              <w:jc w:val="right"/>
              <w:rPr>
                <w:sz w:val="22"/>
                <w:szCs w:val="22"/>
              </w:rPr>
            </w:pPr>
          </w:p>
        </w:tc>
        <w:tc>
          <w:tcPr>
            <w:tcW w:w="1771" w:type="dxa"/>
            <w:vMerge/>
            <w:hideMark/>
          </w:tcPr>
          <w:p w14:paraId="6AAA520A" w14:textId="77777777" w:rsidR="009658EA" w:rsidRPr="008420BC" w:rsidRDefault="009658EA" w:rsidP="009658EA">
            <w:pPr>
              <w:jc w:val="right"/>
              <w:rPr>
                <w:sz w:val="22"/>
                <w:szCs w:val="22"/>
              </w:rPr>
            </w:pPr>
          </w:p>
        </w:tc>
        <w:tc>
          <w:tcPr>
            <w:tcW w:w="1268" w:type="dxa"/>
            <w:vMerge/>
            <w:hideMark/>
          </w:tcPr>
          <w:p w14:paraId="231A4232" w14:textId="77777777" w:rsidR="009658EA" w:rsidRPr="008420BC" w:rsidRDefault="009658EA" w:rsidP="009658EA">
            <w:pPr>
              <w:jc w:val="right"/>
              <w:rPr>
                <w:sz w:val="22"/>
                <w:szCs w:val="22"/>
              </w:rPr>
            </w:pPr>
          </w:p>
        </w:tc>
      </w:tr>
      <w:tr w:rsidR="009658EA" w:rsidRPr="008420BC" w14:paraId="2259E81A" w14:textId="77777777" w:rsidTr="009658EA">
        <w:trPr>
          <w:gridAfter w:val="4"/>
          <w:wAfter w:w="8278" w:type="dxa"/>
          <w:trHeight w:val="295"/>
        </w:trPr>
        <w:tc>
          <w:tcPr>
            <w:tcW w:w="1697" w:type="dxa"/>
            <w:shd w:val="clear" w:color="auto" w:fill="auto"/>
            <w:hideMark/>
          </w:tcPr>
          <w:p w14:paraId="2297530D" w14:textId="77777777" w:rsidR="009658EA" w:rsidRPr="008420BC" w:rsidRDefault="009658EA" w:rsidP="009658EA">
            <w:pPr>
              <w:rPr>
                <w:b/>
                <w:bCs/>
                <w:sz w:val="22"/>
                <w:szCs w:val="22"/>
              </w:rPr>
            </w:pPr>
            <w:r w:rsidRPr="008420BC">
              <w:rPr>
                <w:b/>
                <w:bCs/>
                <w:sz w:val="22"/>
                <w:szCs w:val="22"/>
              </w:rPr>
              <w:t> </w:t>
            </w:r>
          </w:p>
        </w:tc>
      </w:tr>
      <w:tr w:rsidR="009658EA" w:rsidRPr="008420BC" w14:paraId="56E9F9AD" w14:textId="77777777" w:rsidTr="009658EA">
        <w:trPr>
          <w:trHeight w:val="501"/>
        </w:trPr>
        <w:tc>
          <w:tcPr>
            <w:tcW w:w="1697" w:type="dxa"/>
            <w:vMerge w:val="restart"/>
            <w:shd w:val="clear" w:color="auto" w:fill="auto"/>
            <w:hideMark/>
          </w:tcPr>
          <w:p w14:paraId="6E29E0C5" w14:textId="77777777" w:rsidR="009658EA" w:rsidRPr="008420BC" w:rsidRDefault="009658EA" w:rsidP="009658EA">
            <w:pPr>
              <w:rPr>
                <w:sz w:val="22"/>
                <w:szCs w:val="22"/>
              </w:rPr>
            </w:pPr>
            <w:r w:rsidRPr="008420BC">
              <w:rPr>
                <w:sz w:val="22"/>
                <w:szCs w:val="22"/>
              </w:rPr>
              <w:t xml:space="preserve">PRODUCTO 7 </w:t>
            </w:r>
          </w:p>
        </w:tc>
        <w:tc>
          <w:tcPr>
            <w:tcW w:w="3971" w:type="dxa"/>
            <w:vMerge w:val="restart"/>
            <w:shd w:val="clear" w:color="auto" w:fill="auto"/>
            <w:hideMark/>
          </w:tcPr>
          <w:p w14:paraId="57A0CFAA" w14:textId="77777777" w:rsidR="009658EA" w:rsidRPr="008420BC" w:rsidRDefault="009658EA" w:rsidP="009658EA">
            <w:pPr>
              <w:rPr>
                <w:sz w:val="22"/>
                <w:szCs w:val="22"/>
              </w:rPr>
            </w:pPr>
            <w:r w:rsidRPr="008420BC">
              <w:rPr>
                <w:sz w:val="22"/>
                <w:szCs w:val="22"/>
              </w:rPr>
              <w:t>Capacitación de Reforzamiento sobre Ley 722 y su reglamento.</w:t>
            </w:r>
          </w:p>
        </w:tc>
        <w:tc>
          <w:tcPr>
            <w:tcW w:w="1268" w:type="dxa"/>
            <w:vMerge w:val="restart"/>
            <w:shd w:val="clear" w:color="auto" w:fill="auto"/>
            <w:hideMark/>
          </w:tcPr>
          <w:p w14:paraId="4F4B8E64" w14:textId="77777777" w:rsidR="009658EA" w:rsidRPr="008420BC" w:rsidRDefault="009658EA" w:rsidP="009658EA">
            <w:pPr>
              <w:jc w:val="right"/>
              <w:rPr>
                <w:sz w:val="22"/>
                <w:szCs w:val="22"/>
              </w:rPr>
            </w:pPr>
            <w:r w:rsidRPr="008420BC">
              <w:rPr>
                <w:sz w:val="22"/>
                <w:szCs w:val="22"/>
              </w:rPr>
              <w:t> 1 taller</w:t>
            </w:r>
          </w:p>
        </w:tc>
        <w:tc>
          <w:tcPr>
            <w:tcW w:w="1771" w:type="dxa"/>
            <w:vMerge w:val="restart"/>
            <w:shd w:val="clear" w:color="auto" w:fill="auto"/>
            <w:hideMark/>
          </w:tcPr>
          <w:p w14:paraId="20A25FCE" w14:textId="77777777" w:rsidR="009658EA" w:rsidRPr="008420BC" w:rsidRDefault="009658EA" w:rsidP="009658EA">
            <w:pPr>
              <w:jc w:val="right"/>
              <w:rPr>
                <w:sz w:val="22"/>
                <w:szCs w:val="22"/>
              </w:rPr>
            </w:pPr>
            <w:r w:rsidRPr="008420BC">
              <w:rPr>
                <w:sz w:val="22"/>
                <w:szCs w:val="22"/>
              </w:rPr>
              <w:t>18-25</w:t>
            </w:r>
          </w:p>
        </w:tc>
        <w:tc>
          <w:tcPr>
            <w:tcW w:w="1268" w:type="dxa"/>
            <w:vMerge w:val="restart"/>
            <w:shd w:val="clear" w:color="auto" w:fill="auto"/>
            <w:hideMark/>
          </w:tcPr>
          <w:p w14:paraId="104234A3" w14:textId="77777777" w:rsidR="009658EA" w:rsidRPr="008420BC" w:rsidRDefault="009658EA" w:rsidP="009658EA">
            <w:pPr>
              <w:jc w:val="right"/>
              <w:rPr>
                <w:sz w:val="22"/>
                <w:szCs w:val="22"/>
              </w:rPr>
            </w:pPr>
            <w:r w:rsidRPr="008420BC">
              <w:rPr>
                <w:sz w:val="22"/>
                <w:szCs w:val="22"/>
              </w:rPr>
              <w:t> 1</w:t>
            </w:r>
          </w:p>
        </w:tc>
      </w:tr>
      <w:tr w:rsidR="009658EA" w:rsidRPr="008420BC" w14:paraId="09CE60B8" w14:textId="77777777" w:rsidTr="009658EA">
        <w:trPr>
          <w:trHeight w:val="443"/>
        </w:trPr>
        <w:tc>
          <w:tcPr>
            <w:tcW w:w="1697" w:type="dxa"/>
            <w:vMerge/>
            <w:hideMark/>
          </w:tcPr>
          <w:p w14:paraId="691C3EFB" w14:textId="77777777" w:rsidR="009658EA" w:rsidRPr="008420BC" w:rsidRDefault="009658EA" w:rsidP="009658EA">
            <w:pPr>
              <w:rPr>
                <w:sz w:val="22"/>
                <w:szCs w:val="22"/>
              </w:rPr>
            </w:pPr>
          </w:p>
        </w:tc>
        <w:tc>
          <w:tcPr>
            <w:tcW w:w="3971" w:type="dxa"/>
            <w:vMerge/>
            <w:hideMark/>
          </w:tcPr>
          <w:p w14:paraId="7BA91AEA" w14:textId="77777777" w:rsidR="009658EA" w:rsidRPr="008420BC" w:rsidRDefault="009658EA" w:rsidP="009658EA">
            <w:pPr>
              <w:rPr>
                <w:sz w:val="22"/>
                <w:szCs w:val="22"/>
              </w:rPr>
            </w:pPr>
          </w:p>
        </w:tc>
        <w:tc>
          <w:tcPr>
            <w:tcW w:w="1268" w:type="dxa"/>
            <w:vMerge/>
            <w:hideMark/>
          </w:tcPr>
          <w:p w14:paraId="217A8D41" w14:textId="77777777" w:rsidR="009658EA" w:rsidRPr="008420BC" w:rsidRDefault="009658EA" w:rsidP="009658EA">
            <w:pPr>
              <w:rPr>
                <w:sz w:val="22"/>
                <w:szCs w:val="22"/>
              </w:rPr>
            </w:pPr>
          </w:p>
        </w:tc>
        <w:tc>
          <w:tcPr>
            <w:tcW w:w="1771" w:type="dxa"/>
            <w:vMerge/>
            <w:hideMark/>
          </w:tcPr>
          <w:p w14:paraId="7589AF08" w14:textId="77777777" w:rsidR="009658EA" w:rsidRPr="008420BC" w:rsidRDefault="009658EA" w:rsidP="009658EA">
            <w:pPr>
              <w:rPr>
                <w:sz w:val="22"/>
                <w:szCs w:val="22"/>
              </w:rPr>
            </w:pPr>
          </w:p>
        </w:tc>
        <w:tc>
          <w:tcPr>
            <w:tcW w:w="1268" w:type="dxa"/>
            <w:vMerge/>
            <w:hideMark/>
          </w:tcPr>
          <w:p w14:paraId="3E0CBD7E" w14:textId="77777777" w:rsidR="009658EA" w:rsidRPr="008420BC" w:rsidRDefault="009658EA" w:rsidP="009658EA">
            <w:pPr>
              <w:rPr>
                <w:sz w:val="22"/>
                <w:szCs w:val="22"/>
              </w:rPr>
            </w:pPr>
          </w:p>
        </w:tc>
      </w:tr>
      <w:tr w:rsidR="009658EA" w:rsidRPr="008420BC" w14:paraId="341463B2" w14:textId="77777777" w:rsidTr="009658EA">
        <w:trPr>
          <w:trHeight w:val="295"/>
        </w:trPr>
        <w:tc>
          <w:tcPr>
            <w:tcW w:w="1697" w:type="dxa"/>
            <w:shd w:val="clear" w:color="auto" w:fill="auto"/>
            <w:hideMark/>
          </w:tcPr>
          <w:p w14:paraId="4D61336E" w14:textId="77777777" w:rsidR="009658EA" w:rsidRPr="008420BC" w:rsidRDefault="009658EA" w:rsidP="009658EA">
            <w:pPr>
              <w:rPr>
                <w:sz w:val="22"/>
                <w:szCs w:val="22"/>
              </w:rPr>
            </w:pPr>
            <w:r w:rsidRPr="008420BC">
              <w:rPr>
                <w:sz w:val="22"/>
                <w:szCs w:val="22"/>
              </w:rPr>
              <w:t>Producto 8:</w:t>
            </w:r>
          </w:p>
        </w:tc>
        <w:tc>
          <w:tcPr>
            <w:tcW w:w="3971" w:type="dxa"/>
            <w:shd w:val="clear" w:color="auto" w:fill="auto"/>
            <w:hideMark/>
          </w:tcPr>
          <w:p w14:paraId="24FEF2D5"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63B6901F" w14:textId="77777777" w:rsidR="009658EA" w:rsidRPr="008420BC" w:rsidRDefault="009658EA" w:rsidP="009658EA">
            <w:pPr>
              <w:rPr>
                <w:sz w:val="22"/>
                <w:szCs w:val="22"/>
              </w:rPr>
            </w:pPr>
            <w:r w:rsidRPr="008420BC">
              <w:rPr>
                <w:sz w:val="22"/>
                <w:szCs w:val="22"/>
              </w:rPr>
              <w:t> </w:t>
            </w:r>
          </w:p>
        </w:tc>
        <w:tc>
          <w:tcPr>
            <w:tcW w:w="1771" w:type="dxa"/>
            <w:shd w:val="clear" w:color="auto" w:fill="auto"/>
            <w:hideMark/>
          </w:tcPr>
          <w:p w14:paraId="6DC3DEAF" w14:textId="77777777" w:rsidR="009658EA" w:rsidRPr="008420BC" w:rsidRDefault="009658EA" w:rsidP="009658EA">
            <w:pPr>
              <w:rPr>
                <w:sz w:val="22"/>
                <w:szCs w:val="22"/>
              </w:rPr>
            </w:pPr>
          </w:p>
        </w:tc>
        <w:tc>
          <w:tcPr>
            <w:tcW w:w="1268" w:type="dxa"/>
            <w:shd w:val="clear" w:color="auto" w:fill="auto"/>
            <w:hideMark/>
          </w:tcPr>
          <w:p w14:paraId="0E42CF39" w14:textId="77777777" w:rsidR="009658EA" w:rsidRPr="008420BC" w:rsidRDefault="009658EA" w:rsidP="009658EA">
            <w:pPr>
              <w:rPr>
                <w:sz w:val="22"/>
                <w:szCs w:val="22"/>
              </w:rPr>
            </w:pPr>
            <w:r w:rsidRPr="008420BC">
              <w:rPr>
                <w:sz w:val="22"/>
                <w:szCs w:val="22"/>
              </w:rPr>
              <w:t> </w:t>
            </w:r>
          </w:p>
        </w:tc>
      </w:tr>
      <w:tr w:rsidR="009658EA" w:rsidRPr="008420BC" w14:paraId="149F09E8" w14:textId="77777777" w:rsidTr="009658EA">
        <w:trPr>
          <w:trHeight w:val="295"/>
        </w:trPr>
        <w:tc>
          <w:tcPr>
            <w:tcW w:w="1697" w:type="dxa"/>
            <w:shd w:val="clear" w:color="auto" w:fill="auto"/>
            <w:hideMark/>
          </w:tcPr>
          <w:p w14:paraId="0D418107" w14:textId="77777777" w:rsidR="009658EA" w:rsidRPr="008420BC" w:rsidRDefault="009658EA" w:rsidP="009658EA">
            <w:pPr>
              <w:rPr>
                <w:sz w:val="22"/>
                <w:szCs w:val="22"/>
              </w:rPr>
            </w:pPr>
            <w:r w:rsidRPr="008420BC">
              <w:rPr>
                <w:sz w:val="22"/>
                <w:szCs w:val="22"/>
              </w:rPr>
              <w:t>Producto 9:</w:t>
            </w:r>
          </w:p>
        </w:tc>
        <w:tc>
          <w:tcPr>
            <w:tcW w:w="3971" w:type="dxa"/>
            <w:shd w:val="clear" w:color="auto" w:fill="auto"/>
            <w:hideMark/>
          </w:tcPr>
          <w:p w14:paraId="24FFA975" w14:textId="77777777" w:rsidR="009658EA" w:rsidRPr="008420BC" w:rsidRDefault="009658EA" w:rsidP="009658EA">
            <w:pPr>
              <w:rPr>
                <w:sz w:val="22"/>
                <w:szCs w:val="22"/>
              </w:rPr>
            </w:pPr>
            <w:r w:rsidRPr="008420BC">
              <w:rPr>
                <w:sz w:val="22"/>
                <w:szCs w:val="22"/>
              </w:rPr>
              <w:t> </w:t>
            </w:r>
          </w:p>
        </w:tc>
        <w:tc>
          <w:tcPr>
            <w:tcW w:w="1268" w:type="dxa"/>
            <w:shd w:val="clear" w:color="auto" w:fill="auto"/>
            <w:hideMark/>
          </w:tcPr>
          <w:p w14:paraId="7F14C504" w14:textId="77777777" w:rsidR="009658EA" w:rsidRPr="008420BC" w:rsidRDefault="009658EA" w:rsidP="009658EA">
            <w:pPr>
              <w:rPr>
                <w:sz w:val="22"/>
                <w:szCs w:val="22"/>
              </w:rPr>
            </w:pPr>
            <w:r w:rsidRPr="008420BC">
              <w:rPr>
                <w:sz w:val="22"/>
                <w:szCs w:val="22"/>
              </w:rPr>
              <w:t> </w:t>
            </w:r>
          </w:p>
        </w:tc>
        <w:tc>
          <w:tcPr>
            <w:tcW w:w="1771" w:type="dxa"/>
            <w:shd w:val="clear" w:color="auto" w:fill="auto"/>
            <w:hideMark/>
          </w:tcPr>
          <w:p w14:paraId="5AD730A6" w14:textId="77777777" w:rsidR="009658EA" w:rsidRPr="008420BC" w:rsidRDefault="009658EA" w:rsidP="009658EA">
            <w:pPr>
              <w:rPr>
                <w:sz w:val="22"/>
                <w:szCs w:val="22"/>
              </w:rPr>
            </w:pPr>
          </w:p>
        </w:tc>
        <w:tc>
          <w:tcPr>
            <w:tcW w:w="1268" w:type="dxa"/>
            <w:shd w:val="clear" w:color="auto" w:fill="auto"/>
            <w:hideMark/>
          </w:tcPr>
          <w:p w14:paraId="0C72366F" w14:textId="77777777" w:rsidR="009658EA" w:rsidRPr="008420BC" w:rsidRDefault="009658EA" w:rsidP="009658EA">
            <w:pPr>
              <w:rPr>
                <w:sz w:val="22"/>
                <w:szCs w:val="22"/>
              </w:rPr>
            </w:pPr>
            <w:r w:rsidRPr="008420BC">
              <w:rPr>
                <w:sz w:val="22"/>
                <w:szCs w:val="22"/>
              </w:rPr>
              <w:t> </w:t>
            </w:r>
          </w:p>
        </w:tc>
      </w:tr>
    </w:tbl>
    <w:p w14:paraId="344BCAFF" w14:textId="77777777" w:rsidR="009658EA" w:rsidRPr="008420BC" w:rsidRDefault="009658EA" w:rsidP="009658EA">
      <w:pPr>
        <w:rPr>
          <w:bCs/>
          <w:sz w:val="22"/>
          <w:szCs w:val="22"/>
          <w:lang w:val="es-ES"/>
        </w:rPr>
      </w:pPr>
    </w:p>
    <w:p w14:paraId="5AB75793" w14:textId="77777777" w:rsidR="009658EA" w:rsidRPr="008420BC" w:rsidRDefault="009658EA" w:rsidP="009658EA">
      <w:pPr>
        <w:rPr>
          <w:sz w:val="22"/>
          <w:szCs w:val="22"/>
        </w:rPr>
      </w:pPr>
      <w:r w:rsidRPr="008420BC">
        <w:rPr>
          <w:bCs/>
          <w:sz w:val="22"/>
          <w:szCs w:val="22"/>
          <w:lang w:val="es-ES"/>
        </w:rPr>
        <w:t>No existen capacitaciones en los productos 1, 2, 8 y 9</w:t>
      </w:r>
    </w:p>
    <w:p w14:paraId="46A7926C" w14:textId="77777777" w:rsidR="009658EA" w:rsidRPr="008420BC" w:rsidRDefault="009658EA" w:rsidP="009658EA">
      <w:pPr>
        <w:rPr>
          <w:b/>
          <w:sz w:val="22"/>
          <w:szCs w:val="22"/>
        </w:rPr>
      </w:pPr>
    </w:p>
    <w:p w14:paraId="25A901EB" w14:textId="77777777" w:rsidR="00D656B3" w:rsidRDefault="00D656B3" w:rsidP="000C6174">
      <w:pPr>
        <w:jc w:val="center"/>
        <w:rPr>
          <w:rFonts w:asciiTheme="minorHAnsi" w:hAnsiTheme="minorHAnsi"/>
          <w:b/>
          <w:color w:val="000000" w:themeColor="text1"/>
          <w:sz w:val="28"/>
          <w:szCs w:val="24"/>
          <w:lang w:val="es-MX"/>
        </w:rPr>
      </w:pPr>
    </w:p>
    <w:p w14:paraId="5FBB4F30" w14:textId="77777777" w:rsidR="00D656B3" w:rsidRDefault="00D656B3" w:rsidP="000C6174">
      <w:pPr>
        <w:jc w:val="center"/>
        <w:rPr>
          <w:rFonts w:asciiTheme="minorHAnsi" w:hAnsiTheme="minorHAnsi"/>
          <w:b/>
          <w:color w:val="000000" w:themeColor="text1"/>
          <w:sz w:val="28"/>
          <w:szCs w:val="24"/>
          <w:lang w:val="es-MX"/>
        </w:rPr>
      </w:pPr>
    </w:p>
    <w:p w14:paraId="2FD9D4D5" w14:textId="77777777" w:rsidR="00D656B3" w:rsidRDefault="00D656B3" w:rsidP="000C6174">
      <w:pPr>
        <w:jc w:val="center"/>
        <w:rPr>
          <w:rFonts w:asciiTheme="minorHAnsi" w:hAnsiTheme="minorHAnsi"/>
          <w:b/>
          <w:color w:val="000000" w:themeColor="text1"/>
          <w:sz w:val="28"/>
          <w:szCs w:val="24"/>
          <w:lang w:val="es-MX"/>
        </w:rPr>
      </w:pPr>
    </w:p>
    <w:p w14:paraId="52C6B489" w14:textId="77777777" w:rsidR="008F01F1" w:rsidRPr="007B7228" w:rsidRDefault="008F01F1" w:rsidP="008F01F1">
      <w:pPr>
        <w:jc w:val="center"/>
        <w:rPr>
          <w:rFonts w:ascii="Calibri" w:hAnsi="Calibri" w:cs="Calibri"/>
          <w:b/>
          <w:szCs w:val="24"/>
        </w:rPr>
      </w:pPr>
      <w:r w:rsidRPr="007B7228">
        <w:rPr>
          <w:rFonts w:ascii="Calibri" w:hAnsi="Calibri" w:cs="Calibri"/>
          <w:b/>
          <w:szCs w:val="24"/>
        </w:rPr>
        <w:t>DESCRIPCIÓN DEL PROYECTO</w:t>
      </w:r>
    </w:p>
    <w:p w14:paraId="2C08DEB6" w14:textId="77777777" w:rsidR="008F01F1" w:rsidRPr="007B7228" w:rsidRDefault="008F01F1" w:rsidP="008F01F1">
      <w:pPr>
        <w:rPr>
          <w:rFonts w:ascii="Calibri" w:hAnsi="Calibri" w:cs="Calibri"/>
        </w:rPr>
      </w:pPr>
    </w:p>
    <w:p w14:paraId="6B54B804" w14:textId="77777777" w:rsidR="008F01F1" w:rsidRPr="007B7228" w:rsidRDefault="008F01F1" w:rsidP="008F01F1">
      <w:pPr>
        <w:rPr>
          <w:rFonts w:ascii="Calibri" w:hAnsi="Calibri" w:cs="Calibri"/>
          <w:b/>
        </w:rPr>
      </w:pPr>
      <w:r w:rsidRPr="007B7228">
        <w:rPr>
          <w:rFonts w:ascii="Calibri" w:hAnsi="Calibri" w:cs="Calibri"/>
          <w:b/>
        </w:rPr>
        <w:t>Código del Proyecto</w:t>
      </w:r>
      <w:r w:rsidRPr="007B7228">
        <w:rPr>
          <w:rFonts w:ascii="Calibri" w:hAnsi="Calibri" w:cs="Calibri"/>
          <w:b/>
        </w:rPr>
        <w:tab/>
        <w:t>:</w:t>
      </w:r>
      <w:r w:rsidRPr="007B7228">
        <w:rPr>
          <w:rFonts w:ascii="Calibri" w:hAnsi="Calibri" w:cs="Calibri"/>
          <w:b/>
        </w:rPr>
        <w:tab/>
        <w:t>19962</w:t>
      </w:r>
    </w:p>
    <w:p w14:paraId="2C2471BB" w14:textId="77777777" w:rsidR="008F01F1" w:rsidRPr="007B7228" w:rsidRDefault="008F01F1" w:rsidP="008F01F1">
      <w:pPr>
        <w:rPr>
          <w:rFonts w:ascii="Calibri" w:hAnsi="Calibri" w:cs="Calibri"/>
          <w:b/>
        </w:rPr>
      </w:pPr>
      <w:r w:rsidRPr="007B7228">
        <w:rPr>
          <w:rFonts w:ascii="Calibri" w:hAnsi="Calibri" w:cs="Calibri"/>
          <w:b/>
        </w:rPr>
        <w:t>Nombre del Proyecto</w:t>
      </w:r>
      <w:r w:rsidRPr="007B7228">
        <w:rPr>
          <w:rFonts w:ascii="Calibri" w:hAnsi="Calibri" w:cs="Calibri"/>
          <w:b/>
        </w:rPr>
        <w:tab/>
        <w:t>:</w:t>
      </w:r>
      <w:r w:rsidRPr="007B7228">
        <w:rPr>
          <w:rFonts w:ascii="Calibri" w:hAnsi="Calibri" w:cs="Calibri"/>
          <w:b/>
        </w:rPr>
        <w:tab/>
      </w:r>
      <w:r w:rsidRPr="008F01F1">
        <w:rPr>
          <w:rFonts w:ascii="Calibri" w:hAnsi="Calibri" w:cs="Calibri"/>
          <w:b/>
          <w:highlight w:val="yellow"/>
        </w:rPr>
        <w:t>Agua y Saneamiento Comunidad Naranjo Norte</w:t>
      </w:r>
      <w:r w:rsidR="00A71156">
        <w:rPr>
          <w:rFonts w:ascii="Calibri" w:hAnsi="Calibri" w:cs="Calibri"/>
          <w:b/>
        </w:rPr>
        <w:t xml:space="preserve"> </w:t>
      </w:r>
      <w:r w:rsidR="00A71156">
        <w:rPr>
          <w:rFonts w:ascii="Arial" w:eastAsia="Calibri" w:hAnsi="Arial" w:cs="Arial"/>
          <w:b/>
          <w:sz w:val="22"/>
          <w:szCs w:val="22"/>
          <w:highlight w:val="yellow"/>
        </w:rPr>
        <w:t>(</w:t>
      </w:r>
      <w:r w:rsidR="00A71156" w:rsidRPr="00A71156">
        <w:rPr>
          <w:rFonts w:ascii="Calibri" w:hAnsi="Calibri" w:cs="Calibri"/>
          <w:b/>
          <w:highlight w:val="yellow"/>
        </w:rPr>
        <w:t>LOTE N°2)</w:t>
      </w:r>
    </w:p>
    <w:p w14:paraId="0D2BEB94" w14:textId="77777777" w:rsidR="008F01F1" w:rsidRPr="007B7228" w:rsidRDefault="008F01F1" w:rsidP="008F01F1">
      <w:pPr>
        <w:rPr>
          <w:rFonts w:ascii="Calibri" w:hAnsi="Calibri" w:cs="Calibri"/>
          <w:b/>
        </w:rPr>
      </w:pPr>
      <w:r w:rsidRPr="007B7228">
        <w:rPr>
          <w:rFonts w:ascii="Calibri" w:hAnsi="Calibri" w:cs="Calibri"/>
          <w:b/>
        </w:rPr>
        <w:t>Departamento</w:t>
      </w:r>
      <w:r w:rsidRPr="007B7228">
        <w:rPr>
          <w:rFonts w:ascii="Calibri" w:hAnsi="Calibri" w:cs="Calibri"/>
          <w:b/>
        </w:rPr>
        <w:tab/>
      </w:r>
      <w:r w:rsidRPr="007B7228">
        <w:rPr>
          <w:rFonts w:ascii="Calibri" w:hAnsi="Calibri" w:cs="Calibri"/>
          <w:b/>
        </w:rPr>
        <w:tab/>
        <w:t>:</w:t>
      </w:r>
      <w:r w:rsidRPr="007B7228">
        <w:rPr>
          <w:rFonts w:ascii="Calibri" w:hAnsi="Calibri" w:cs="Calibri"/>
          <w:b/>
        </w:rPr>
        <w:tab/>
        <w:t>Madriz</w:t>
      </w:r>
    </w:p>
    <w:p w14:paraId="68F93BAB" w14:textId="77777777" w:rsidR="008F01F1" w:rsidRPr="007B7228" w:rsidRDefault="008F01F1" w:rsidP="008F01F1">
      <w:pPr>
        <w:rPr>
          <w:rFonts w:ascii="Calibri" w:hAnsi="Calibri" w:cs="Calibri"/>
          <w:b/>
        </w:rPr>
      </w:pPr>
      <w:r w:rsidRPr="007B7228">
        <w:rPr>
          <w:rFonts w:ascii="Calibri" w:hAnsi="Calibri" w:cs="Calibri"/>
          <w:b/>
        </w:rPr>
        <w:t>Municipio</w:t>
      </w:r>
      <w:r w:rsidRPr="007B7228">
        <w:rPr>
          <w:rFonts w:ascii="Calibri" w:hAnsi="Calibri" w:cs="Calibri"/>
          <w:b/>
        </w:rPr>
        <w:tab/>
      </w:r>
      <w:r w:rsidRPr="007B7228">
        <w:rPr>
          <w:rFonts w:ascii="Calibri" w:hAnsi="Calibri" w:cs="Calibri"/>
          <w:b/>
        </w:rPr>
        <w:tab/>
        <w:t>:</w:t>
      </w:r>
      <w:r w:rsidRPr="007B7228">
        <w:rPr>
          <w:rFonts w:ascii="Calibri" w:hAnsi="Calibri" w:cs="Calibri"/>
          <w:b/>
        </w:rPr>
        <w:tab/>
        <w:t>Telpaneca</w:t>
      </w:r>
    </w:p>
    <w:p w14:paraId="3C730416" w14:textId="77777777" w:rsidR="008F01F1" w:rsidRPr="007B7228" w:rsidRDefault="008F01F1" w:rsidP="008F01F1">
      <w:pPr>
        <w:pBdr>
          <w:bottom w:val="single" w:sz="12" w:space="1" w:color="auto"/>
        </w:pBdr>
        <w:rPr>
          <w:rFonts w:ascii="Calibri" w:hAnsi="Calibri" w:cs="Calibri"/>
          <w:b/>
        </w:rPr>
      </w:pPr>
    </w:p>
    <w:p w14:paraId="2370883A" w14:textId="77777777" w:rsidR="005C60A7" w:rsidRDefault="005C60A7" w:rsidP="005C60A7">
      <w:pPr>
        <w:rPr>
          <w:rFonts w:ascii="Calibri" w:hAnsi="Calibri" w:cs="Calibri"/>
        </w:rPr>
      </w:pPr>
    </w:p>
    <w:p w14:paraId="2F26D072" w14:textId="77777777" w:rsidR="005C60A7" w:rsidRDefault="005C60A7" w:rsidP="005C60A7">
      <w:pPr>
        <w:rPr>
          <w:rFonts w:ascii="Calibri" w:hAnsi="Calibri" w:cs="Calibri"/>
        </w:rPr>
      </w:pPr>
      <w:r>
        <w:rPr>
          <w:rFonts w:ascii="Calibri" w:hAnsi="Calibri" w:cs="Calibri"/>
        </w:rPr>
        <w:t>La duración de los proyectos se estima en trecientos sesenta y cinco (365) días calendario, plazo que incluye:</w:t>
      </w:r>
    </w:p>
    <w:p w14:paraId="7F1761CE" w14:textId="77777777" w:rsidR="005C60A7" w:rsidRDefault="005C60A7" w:rsidP="005C60A7">
      <w:pPr>
        <w:rPr>
          <w:rFonts w:ascii="Calibri" w:hAnsi="Calibri" w:cs="Calibri"/>
        </w:rPr>
      </w:pPr>
      <w:r>
        <w:rPr>
          <w:rFonts w:ascii="Calibri" w:hAnsi="Calibri" w:cs="Calibri"/>
        </w:rPr>
        <w:t>•   275 días para realizar actividades de Construcción y actividades de Pre-Construcción (Estas actividades deben ir paralelas a la ejecución y no limita el avance de la misma)</w:t>
      </w:r>
    </w:p>
    <w:p w14:paraId="3F10051C" w14:textId="77777777" w:rsidR="005C60A7" w:rsidRDefault="005C60A7" w:rsidP="005C60A7">
      <w:pPr>
        <w:rPr>
          <w:rFonts w:ascii="Calibri" w:hAnsi="Calibri" w:cs="Calibri"/>
        </w:rPr>
      </w:pPr>
      <w:r>
        <w:rPr>
          <w:rFonts w:ascii="Calibri" w:hAnsi="Calibri" w:cs="Calibri"/>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64A0E4F4" w14:textId="77777777" w:rsidR="005C60A7" w:rsidRDefault="005C60A7" w:rsidP="005C60A7">
      <w:pPr>
        <w:rPr>
          <w:rFonts w:ascii="Calibri" w:hAnsi="Calibri" w:cs="Calibri"/>
        </w:rPr>
      </w:pPr>
      <w:r>
        <w:rPr>
          <w:rFonts w:ascii="Calibri" w:hAnsi="Calibri" w:cs="Calibri"/>
        </w:rPr>
        <w:t>Construcción de la obra de acuerdo a los planos, especificaciones técnicas, respetando la programación realizada, tanto para la parte física y social.</w:t>
      </w:r>
    </w:p>
    <w:p w14:paraId="0B7C400F" w14:textId="77777777" w:rsidR="005C60A7" w:rsidRDefault="005C60A7" w:rsidP="005C60A7">
      <w:pPr>
        <w:rPr>
          <w:rFonts w:ascii="Calibri" w:hAnsi="Calibri" w:cs="Calibri"/>
        </w:rPr>
      </w:pPr>
      <w:r>
        <w:rPr>
          <w:rFonts w:ascii="Calibri" w:hAnsi="Calibri" w:cs="Calibri"/>
        </w:rPr>
        <w:t>•   90 días para realizar actividades de Post-obra. Post obra social de acuerdo a las especificaciones técnicas.</w:t>
      </w:r>
    </w:p>
    <w:p w14:paraId="38B223A4" w14:textId="77777777" w:rsidR="005C60A7" w:rsidRPr="007B7228" w:rsidRDefault="005C60A7" w:rsidP="005C60A7">
      <w:pPr>
        <w:rPr>
          <w:rFonts w:ascii="Calibri" w:hAnsi="Calibri" w:cs="Calibri"/>
        </w:rPr>
      </w:pPr>
      <w:r w:rsidRPr="007B7228">
        <w:rPr>
          <w:rFonts w:ascii="Calibri" w:hAnsi="Calibri" w:cs="Calibri"/>
        </w:rPr>
        <w:fldChar w:fldCharType="begin"/>
      </w:r>
      <w:r w:rsidRPr="007B7228">
        <w:rPr>
          <w:rFonts w:ascii="Calibri" w:hAnsi="Calibri" w:cs="Calibri"/>
        </w:rPr>
        <w:instrText xml:space="preserve"> DOCVARIABLE  txtDesc </w:instrText>
      </w:r>
      <w:r w:rsidRPr="007B7228">
        <w:rPr>
          <w:rFonts w:ascii="Calibri" w:hAnsi="Calibri" w:cs="Calibri"/>
        </w:rPr>
        <w:fldChar w:fldCharType="separate"/>
      </w:r>
      <w:r w:rsidRPr="007B7228">
        <w:rPr>
          <w:rFonts w:ascii="Calibri" w:hAnsi="Calibri" w:cs="Calibri"/>
        </w:rPr>
        <w:t xml:space="preserve">El proyecto consiste en la construcción de un mini-acueducto por gravedad (MAG) con una configuración fuente - tanque - red, diseñado para cubrir la demanda de agua de la población en la comunidad Naranjo Norte para un período de 20 años. </w:t>
      </w:r>
    </w:p>
    <w:p w14:paraId="250E1A27" w14:textId="77777777" w:rsidR="005C60A7" w:rsidRPr="007B7228" w:rsidRDefault="005C60A7" w:rsidP="005C60A7">
      <w:pPr>
        <w:rPr>
          <w:rFonts w:ascii="Calibri" w:hAnsi="Calibri" w:cs="Calibri"/>
        </w:rPr>
      </w:pPr>
      <w:r w:rsidRPr="007B7228">
        <w:rPr>
          <w:rFonts w:ascii="Calibri" w:hAnsi="Calibri" w:cs="Calibri"/>
        </w:rPr>
        <w:t>La fuente de agua para abastecer a la comunidad de acuerdo a estudios hidrogeológico, son las aguas superficiales proveniente del río Matasano, afluente del río Walí que desemboca al río El Jícaro en la propiedad del señor Modesto Peralta. La fuente se ubica en las coordenadas 586368 E y 1501238 N y elevación 1195 msnm. Cabe mencionar que la producción promedio de esta fuente de agua es de 2.72 L/s en época de estiaje cubriendo la demanda de consumo de máximo día para el final de periodo de diseño de 2.67 L/s.</w:t>
      </w:r>
    </w:p>
    <w:p w14:paraId="290E2043" w14:textId="77777777" w:rsidR="005C60A7" w:rsidRPr="007B7228" w:rsidRDefault="005C60A7" w:rsidP="005C60A7">
      <w:pPr>
        <w:rPr>
          <w:rFonts w:ascii="Calibri" w:hAnsi="Calibri" w:cs="Calibri"/>
        </w:rPr>
      </w:pPr>
      <w:r w:rsidRPr="007B7228">
        <w:rPr>
          <w:rFonts w:ascii="Calibri" w:hAnsi="Calibri" w:cs="Calibri"/>
        </w:rPr>
        <w:t xml:space="preserve">Los componentes que conforman el sistema son los siguientes: </w:t>
      </w:r>
    </w:p>
    <w:p w14:paraId="1DF878DE" w14:textId="77777777" w:rsidR="005C60A7" w:rsidRPr="007B7228" w:rsidRDefault="005C60A7" w:rsidP="005C60A7">
      <w:pPr>
        <w:rPr>
          <w:rFonts w:ascii="Calibri" w:hAnsi="Calibri" w:cs="Calibri"/>
        </w:rPr>
      </w:pPr>
      <w:r w:rsidRPr="007B7228">
        <w:rPr>
          <w:rFonts w:ascii="Calibri" w:hAnsi="Calibri" w:cs="Calibri"/>
        </w:rPr>
        <w:t xml:space="preserve">Obra de captación: Se construirá un dique toma con pre filtró de flujo vertical de concreto ciclópeo con dimensiones de 2.6 m de ancho por 6.0 m de largo. La obra incluye la proyección horizontal de 02 aletones de 1.71 m de longitud. El área de filtración será de 15.6 m2 y será cubierta de 03 capas de material granular tipo grava de diferente granulometría con espesor total de 0.80 m. En la parte inferior del lecho filtrante se ubicarán los drenes que llevarán el agua hasta una caja de captación, dicha caja tendrá dimensiones típicas de 1m x 1m y altura 1.1m. El sistema de drenaje estará compuesto por 05 drenes laterales de PVC SDR-17 de Diám. = 3" los que serán perforados con 72 orificios de 8 mm colocados en 03 hileras a cada 10 cm para un total de orificios de 361. La longitud de cada dren lateral será de 2.30 m. Los drenes laterales conducirán el agua hacia la tubería principal de 5.90 m de longitud de PVC SDR-17 Diám. = 4", esta será dirigida a una pila de captación que permitirá la salida del flujo por la línea de conducción. </w:t>
      </w:r>
    </w:p>
    <w:p w14:paraId="60419DE9" w14:textId="77777777" w:rsidR="005C60A7" w:rsidRPr="007B7228" w:rsidRDefault="005C60A7" w:rsidP="005C60A7">
      <w:pPr>
        <w:rPr>
          <w:rFonts w:ascii="Calibri" w:hAnsi="Calibri" w:cs="Calibri"/>
        </w:rPr>
      </w:pPr>
      <w:r w:rsidRPr="007B7228">
        <w:rPr>
          <w:rFonts w:ascii="Calibri" w:hAnsi="Calibri" w:cs="Calibri"/>
        </w:rPr>
        <w:t>Línea de Conducción:  Se instalará una tubería de conducción de 1,360 m de longitud, Diám= 2" PVC SDR-26.</w:t>
      </w:r>
    </w:p>
    <w:p w14:paraId="5053D580" w14:textId="77777777" w:rsidR="005C60A7" w:rsidRPr="007B7228" w:rsidRDefault="005C60A7" w:rsidP="005C60A7">
      <w:pPr>
        <w:rPr>
          <w:rFonts w:ascii="Calibri" w:hAnsi="Calibri" w:cs="Calibri"/>
        </w:rPr>
      </w:pPr>
      <w:r w:rsidRPr="007B7228">
        <w:rPr>
          <w:rFonts w:ascii="Calibri" w:hAnsi="Calibri" w:cs="Calibri"/>
        </w:rPr>
        <w:lastRenderedPageBreak/>
        <w:t xml:space="preserve">Planta de tratamiento: el sistema considera una planta de tratamiento en el predio donde está ubicado el tanque de almacenamiento existente. El tratamiento consiste en un aireador con bandejas para la remoción del hierro por oxidación, un sedimentador para oxidar el hierro producido en el proceso de aireación y luego un filtro lento de arena para la remoción de la turbiedad a los parámetros indicados en las normas técnicas.  </w:t>
      </w:r>
    </w:p>
    <w:p w14:paraId="3B3271E2" w14:textId="77777777" w:rsidR="005C60A7" w:rsidRPr="007B7228" w:rsidRDefault="005C60A7" w:rsidP="005C60A7">
      <w:pPr>
        <w:rPr>
          <w:rFonts w:ascii="Calibri" w:hAnsi="Calibri" w:cs="Calibri"/>
        </w:rPr>
      </w:pPr>
      <w:r w:rsidRPr="007B7228">
        <w:rPr>
          <w:rFonts w:ascii="Calibri" w:hAnsi="Calibri" w:cs="Calibri"/>
        </w:rPr>
        <w:t>Tanque de almacenamiento: Se construirá tanque de concreto reforzado con capacidad de 30 m3.</w:t>
      </w:r>
    </w:p>
    <w:p w14:paraId="1947B189" w14:textId="77777777" w:rsidR="005C60A7" w:rsidRPr="008420BC" w:rsidRDefault="005C60A7" w:rsidP="005C60A7">
      <w:r>
        <w:t xml:space="preserve">Desinfección: </w:t>
      </w:r>
      <w:r w:rsidRPr="008420BC">
        <w:t>Se contempla realizar la desinfección para la eliminación de Coliformes Fecales y Totales a través de la incorporación de Hipoclorito de Calcio 70%, a través de hipoclorador de goteo constante instalado sobre el tanque previsto a construirse, el cual es de fácil manejo, poco riesgo técnico-económico, reducido costo para la operación y mantenimiento de tal manera que se garantice el suministro de agua con la calidad bacteriológica establecida por las Normas de Calidad de Agua de INAA NTON 09003-99.</w:t>
      </w:r>
    </w:p>
    <w:p w14:paraId="6E72A4B7" w14:textId="77777777" w:rsidR="005C60A7" w:rsidRPr="007B7228" w:rsidRDefault="005C60A7" w:rsidP="005C60A7">
      <w:pPr>
        <w:rPr>
          <w:rFonts w:ascii="Calibri" w:hAnsi="Calibri" w:cs="Calibri"/>
        </w:rPr>
      </w:pPr>
      <w:r w:rsidRPr="007B7228">
        <w:rPr>
          <w:rFonts w:ascii="Calibri" w:hAnsi="Calibri" w:cs="Calibri"/>
        </w:rPr>
        <w:t xml:space="preserve">Red de distribución: Se instalará un total de 4,224.65 m de longitud de tubería PVC SDR-26 con los siguientes diámetros: 212.94 m de tubería PVC SDR -26 Diám. = 3", 3,541.56 m de tubería PVC SDR-26 Diám. = 2" y 470.15 m de tubería PVC SDR-26 Diám. = 1 1/2".   </w:t>
      </w:r>
    </w:p>
    <w:p w14:paraId="3F25F96A" w14:textId="77777777" w:rsidR="005C60A7" w:rsidRPr="007B7228" w:rsidRDefault="005C60A7" w:rsidP="005C60A7">
      <w:pPr>
        <w:rPr>
          <w:rFonts w:ascii="Calibri" w:hAnsi="Calibri" w:cs="Calibri"/>
        </w:rPr>
      </w:pPr>
      <w:r w:rsidRPr="007B7228">
        <w:rPr>
          <w:rFonts w:ascii="Calibri" w:hAnsi="Calibri" w:cs="Calibri"/>
        </w:rPr>
        <w:t xml:space="preserve">Conexiones domiciliares: Se instalarán 137 conexiones domiciliares con sus respectivos medidor y 03 puestos públicos. La cobertura de agua potable en la comunidad será de un 70.25%, esto debido a la topografía del terreno, la elevación de las viviendas es mayor que la elevación del tanque de almacenamiento. </w:t>
      </w:r>
    </w:p>
    <w:p w14:paraId="2EDE37F1" w14:textId="77777777" w:rsidR="005C60A7" w:rsidRPr="007B7228" w:rsidRDefault="005C60A7" w:rsidP="005C60A7">
      <w:pPr>
        <w:rPr>
          <w:rFonts w:ascii="Calibri" w:hAnsi="Calibri" w:cs="Calibri"/>
        </w:rPr>
      </w:pPr>
      <w:r w:rsidRPr="007B7228">
        <w:rPr>
          <w:rFonts w:ascii="Calibri" w:hAnsi="Calibri" w:cs="Calibri"/>
        </w:rPr>
        <w:t xml:space="preserve">Con respecto al componente de saneamiento consiste en la construcción de 30 unidades sanitarias para la disposición de excretas, específicamente 30 letrinas sencillas con fosos excavados y revestidos con bloques de mortero de 6 pulgadas. </w:t>
      </w:r>
    </w:p>
    <w:p w14:paraId="1E14E9A0" w14:textId="77777777" w:rsidR="005C60A7" w:rsidRPr="00F320DB" w:rsidRDefault="005C60A7" w:rsidP="005C60A7">
      <w:pPr>
        <w:rPr>
          <w:rFonts w:ascii="Calibri" w:hAnsi="Calibri" w:cs="Calibri"/>
        </w:rPr>
      </w:pPr>
      <w:r w:rsidRPr="007B7228">
        <w:rPr>
          <w:rFonts w:ascii="Calibri" w:hAnsi="Calibri" w:cs="Calibri"/>
        </w:rPr>
        <w:t>Para el componente de higiene se propone suministrar 30 lavaderos sencillos de concreto para cubrir el 100% de la demanda de higiene.</w:t>
      </w:r>
    </w:p>
    <w:p w14:paraId="23536722" w14:textId="77777777" w:rsidR="005C60A7" w:rsidRPr="007B7228" w:rsidRDefault="005C60A7" w:rsidP="005C60A7">
      <w:pPr>
        <w:rPr>
          <w:b/>
        </w:rPr>
      </w:pPr>
      <w:r w:rsidRPr="007B7228">
        <w:rPr>
          <w:b/>
        </w:rPr>
        <w:t>COMPONENTE III</w:t>
      </w:r>
      <w:r w:rsidRPr="007B7228">
        <w:rPr>
          <w:b/>
        </w:rPr>
        <w:tab/>
        <w:t>ACOMPAÑAMIENTO DE LOS PROCESOS SOCIALES DEL PROYECTO</w:t>
      </w:r>
      <w:r>
        <w:rPr>
          <w:b/>
        </w:rPr>
        <w:t>.</w:t>
      </w:r>
    </w:p>
    <w:p w14:paraId="51A84C2E" w14:textId="77777777" w:rsidR="005C60A7" w:rsidRPr="007B7228" w:rsidRDefault="005C60A7" w:rsidP="005C60A7">
      <w:r w:rsidRPr="007B7228">
        <w:rPr>
          <w:b/>
        </w:rPr>
        <w:t>DESCRIPCIÓN</w:t>
      </w:r>
    </w:p>
    <w:p w14:paraId="407F6FD4" w14:textId="77777777" w:rsidR="005C60A7" w:rsidRPr="007B7228" w:rsidRDefault="005C60A7" w:rsidP="005C60A7">
      <w:pPr>
        <w:rPr>
          <w:b/>
        </w:rPr>
      </w:pPr>
      <w:r w:rsidRPr="007B7228">
        <w:rPr>
          <w:b/>
        </w:rPr>
        <w:t>3.1</w:t>
      </w:r>
      <w:r w:rsidRPr="007B7228">
        <w:rPr>
          <w:b/>
        </w:rPr>
        <w:tab/>
        <w:t>Conceptualización del Acompañamiento de los procesos sociales del proyecto.</w:t>
      </w:r>
    </w:p>
    <w:p w14:paraId="73F2002A" w14:textId="77777777" w:rsidR="005C60A7" w:rsidRPr="007B7228" w:rsidRDefault="005C60A7" w:rsidP="005C60A7">
      <w:pPr>
        <w:rPr>
          <w:lang w:eastAsia="es-NI"/>
        </w:rPr>
      </w:pPr>
      <w:r w:rsidRPr="007B7228">
        <w:rPr>
          <w:lang w:eastAsia="es-NI"/>
        </w:rPr>
        <w:t>Los aspectos Sociales, retoman la importancia estratégica del empoderamiento de las comunidades que garanticen la sostenibilidad de los sistemas de agua y saneamiento y promuevan los cambios de comportamiento sostenibles de saneamiento integral en el ámbito personal, familiar, escolar y comunitario. Los aspectos sociales están integrados en el ciclo del sub proyecto con el objetivo de que el componente social tenga la suficiente permanencia y continuidad para el desarrollo de los objetivos planeados.</w:t>
      </w:r>
    </w:p>
    <w:p w14:paraId="25FD3788" w14:textId="77777777" w:rsidR="005C60A7" w:rsidRPr="007B7228" w:rsidRDefault="005C60A7" w:rsidP="005C60A7">
      <w:pPr>
        <w:rPr>
          <w:b/>
        </w:rPr>
      </w:pPr>
      <w:r w:rsidRPr="007B7228">
        <w:rPr>
          <w:b/>
        </w:rPr>
        <w:t>3.2</w:t>
      </w:r>
      <w:r w:rsidRPr="007B7228">
        <w:rPr>
          <w:b/>
        </w:rPr>
        <w:tab/>
        <w:t>Componentes del Acompañamiento de los procesos sociales del proyecto.</w:t>
      </w:r>
    </w:p>
    <w:p w14:paraId="7E482203" w14:textId="77777777" w:rsidR="005C60A7" w:rsidRPr="007B7228" w:rsidRDefault="005C60A7" w:rsidP="005C60A7">
      <w:r w:rsidRPr="007B7228">
        <w:t>Las intervenciones sociales se enfocan en cuatro tópicos principales:</w:t>
      </w:r>
    </w:p>
    <w:p w14:paraId="304DC37A" w14:textId="77777777" w:rsidR="005C60A7" w:rsidRPr="007B7228" w:rsidRDefault="005C60A7" w:rsidP="005C60A7">
      <w:pPr>
        <w:rPr>
          <w:b/>
        </w:rPr>
      </w:pPr>
      <w:r w:rsidRPr="007B7228">
        <w:rPr>
          <w:b/>
        </w:rPr>
        <w:t>3.2.1</w:t>
      </w:r>
      <w:r w:rsidRPr="007B7228">
        <w:rPr>
          <w:b/>
        </w:rPr>
        <w:tab/>
        <w:t xml:space="preserve"> Organización Comunitaria </w:t>
      </w:r>
      <w:r w:rsidRPr="007B7228">
        <w:t>(conformación de la estructura comunitaria por medio de la elección de la junta directiva del Comité de Agua Potable y Saneamiento (CAPS), se promueve la participación de la mujer en cargos de relevancia (Presidente o Secretaria), red de promotores comunitarios, grupo de apoyo.</w:t>
      </w:r>
      <w:r w:rsidRPr="007B7228">
        <w:rPr>
          <w:b/>
        </w:rPr>
        <w:t xml:space="preserve"> </w:t>
      </w:r>
    </w:p>
    <w:p w14:paraId="3250F8DC" w14:textId="77777777" w:rsidR="005C60A7" w:rsidRPr="007B7228" w:rsidRDefault="005C60A7" w:rsidP="005C60A7">
      <w:pPr>
        <w:rPr>
          <w:b/>
        </w:rPr>
      </w:pPr>
      <w:r w:rsidRPr="007B7228">
        <w:rPr>
          <w:b/>
        </w:rPr>
        <w:t>3.2.2</w:t>
      </w:r>
      <w:r w:rsidRPr="007B7228">
        <w:rPr>
          <w:b/>
        </w:rPr>
        <w:tab/>
        <w:t xml:space="preserve"> Participación Comunitaria </w:t>
      </w:r>
      <w:r w:rsidRPr="007B7228">
        <w:t>con responsabilidad compartida durante el proceso;</w:t>
      </w:r>
    </w:p>
    <w:p w14:paraId="6767EC15" w14:textId="77777777" w:rsidR="005C60A7" w:rsidRPr="007B7228" w:rsidRDefault="005C60A7" w:rsidP="005C60A7">
      <w:pPr>
        <w:rPr>
          <w:b/>
        </w:rPr>
      </w:pPr>
      <w:r w:rsidRPr="007B7228">
        <w:rPr>
          <w:b/>
        </w:rPr>
        <w:t>3.2.3</w:t>
      </w:r>
      <w:r w:rsidRPr="007B7228">
        <w:rPr>
          <w:b/>
        </w:rPr>
        <w:tab/>
        <w:t xml:space="preserve"> Capacitación Comunitaria: </w:t>
      </w:r>
      <w:r w:rsidRPr="007B7228">
        <w:t xml:space="preserve">en temas de organización, genero, medio ambiente, cambio climático, administración, operación, mantenimiento, promoción de cambios de comportamientos </w:t>
      </w:r>
      <w:r w:rsidRPr="007B7228">
        <w:lastRenderedPageBreak/>
        <w:t xml:space="preserve">sostenibles de saneamiento integral en el ámbito personal, familiar, escolar y comunitario a través de la Estrategia Metodológica de Familia, comunidad, salud y ambiente (FCSA) </w:t>
      </w:r>
    </w:p>
    <w:p w14:paraId="18D8CB81" w14:textId="77777777" w:rsidR="005C60A7" w:rsidRPr="007B7228" w:rsidRDefault="005C60A7" w:rsidP="005C60A7">
      <w:pPr>
        <w:rPr>
          <w:b/>
        </w:rPr>
      </w:pPr>
      <w:r w:rsidRPr="007B7228">
        <w:rPr>
          <w:b/>
        </w:rPr>
        <w:t>3.2.4</w:t>
      </w:r>
      <w:r w:rsidRPr="007B7228">
        <w:rPr>
          <w:b/>
        </w:rPr>
        <w:tab/>
        <w:t xml:space="preserve"> Asistencia Técnica y acompañamiento social a la comunidad </w:t>
      </w:r>
      <w:r w:rsidRPr="007B7228">
        <w:t>con el fin de que ésta cumpla con calidad y conciencia las funciones que se le han asignado para antes de la ejecución de la obra, durante la ejecución de la misma y para después de haberse puesto en operación el proyecto construido con un enfoque de sostenibilidad.</w:t>
      </w:r>
    </w:p>
    <w:p w14:paraId="5003E097" w14:textId="77777777" w:rsidR="005C60A7" w:rsidRPr="007B7228" w:rsidRDefault="005C60A7" w:rsidP="005C60A7">
      <w:pPr>
        <w:rPr>
          <w:b/>
        </w:rPr>
      </w:pPr>
      <w:r w:rsidRPr="007B7228">
        <w:rPr>
          <w:b/>
        </w:rPr>
        <w:t>3.3 Actividades a realizar por cada producto en el ciclo del proyecto</w:t>
      </w:r>
    </w:p>
    <w:p w14:paraId="3FCBDAB2" w14:textId="77777777" w:rsidR="005C60A7" w:rsidRPr="007B7228" w:rsidRDefault="005C60A7" w:rsidP="005C60A7">
      <w:r w:rsidRPr="007B7228">
        <w:t>Las actividades del componente de acompañamiento de los proceros sociales del proyecto, tienen carácter general y están concebidas para implementarse en la etapa de ejecución y post obra del ciclo del proyecto de agua, saneamiento e higiene.</w:t>
      </w:r>
    </w:p>
    <w:p w14:paraId="0A91B057" w14:textId="77777777" w:rsidR="005C60A7" w:rsidRPr="007B7228" w:rsidRDefault="005C60A7" w:rsidP="005C60A7">
      <w:pPr>
        <w:rPr>
          <w:b/>
        </w:rPr>
      </w:pPr>
      <w:r w:rsidRPr="007B7228">
        <w:rPr>
          <w:b/>
        </w:rPr>
        <w:t>3.3.1</w:t>
      </w:r>
      <w:r w:rsidRPr="007B7228">
        <w:rPr>
          <w:b/>
        </w:rPr>
        <w:tab/>
        <w:t>Actividades en la Etapa ejecución</w:t>
      </w:r>
    </w:p>
    <w:p w14:paraId="1226ACA2" w14:textId="77777777" w:rsidR="005C60A7" w:rsidRPr="007B7228" w:rsidRDefault="005C60A7" w:rsidP="005C60A7">
      <w:pPr>
        <w:rPr>
          <w:b/>
        </w:rPr>
      </w:pPr>
      <w:r w:rsidRPr="007B7228">
        <w:rPr>
          <w:b/>
        </w:rPr>
        <w:t>3.3.1.1</w:t>
      </w:r>
      <w:r w:rsidRPr="007B7228">
        <w:rPr>
          <w:b/>
        </w:rPr>
        <w:tab/>
        <w:t>Preparar el acompañamiento social para la ejecución de obras</w:t>
      </w:r>
    </w:p>
    <w:p w14:paraId="70B99113" w14:textId="77777777" w:rsidR="005C60A7" w:rsidRPr="007B7228" w:rsidRDefault="005C60A7" w:rsidP="005C60A7">
      <w:r w:rsidRPr="007B7228">
        <w:t>1. Elaborar Cronograma de trabajo y Plan metodológico para el acompañamiento social en la(s) comunidad(es) y realizar reunión de coordinación con actores claves del proyecto.</w:t>
      </w:r>
    </w:p>
    <w:p w14:paraId="19FF7805" w14:textId="77777777" w:rsidR="005C60A7" w:rsidRPr="007B7228" w:rsidRDefault="005C60A7" w:rsidP="005C60A7">
      <w:r w:rsidRPr="007B7228">
        <w:t>2. Elaborar Informe de Planificación y Realización de Asamblea general comunitaria para entrega de sitio del proyecto a contratista y dar a conocer Plan.</w:t>
      </w:r>
    </w:p>
    <w:p w14:paraId="78AC23DE" w14:textId="77777777" w:rsidR="005C60A7" w:rsidRPr="007B7228" w:rsidRDefault="005C60A7" w:rsidP="005C60A7">
      <w:pPr>
        <w:rPr>
          <w:b/>
        </w:rPr>
      </w:pPr>
      <w:r w:rsidRPr="007B7228">
        <w:rPr>
          <w:b/>
        </w:rPr>
        <w:t>3.3.1.2</w:t>
      </w:r>
      <w:r w:rsidRPr="007B7228">
        <w:rPr>
          <w:b/>
        </w:rPr>
        <w:tab/>
        <w:t xml:space="preserve">Acompañar a la comunidad organizada, durante la ejecución de obras </w:t>
      </w:r>
    </w:p>
    <w:p w14:paraId="7EE8E37F" w14:textId="77777777" w:rsidR="005C60A7" w:rsidRPr="007B7228" w:rsidRDefault="005C60A7" w:rsidP="005C60A7">
      <w:r w:rsidRPr="007B7228">
        <w:t>3.  Planificar y realizar taller de capacitación del Módulo III (Taller No. 5 y 6) Compendio metodológico</w:t>
      </w:r>
    </w:p>
    <w:p w14:paraId="476C760C" w14:textId="77777777" w:rsidR="005C60A7" w:rsidRPr="007B7228" w:rsidRDefault="005C60A7" w:rsidP="005C60A7">
      <w:r w:rsidRPr="007B7228">
        <w:t>4.  Planificar y realizar taller de capacitación del Módulo III (Taller No. 7 y 8) Compendio metodológico</w:t>
      </w:r>
    </w:p>
    <w:p w14:paraId="26F98E64" w14:textId="77777777" w:rsidR="005C60A7" w:rsidRPr="007B7228" w:rsidRDefault="005C60A7" w:rsidP="005C60A7">
      <w:r w:rsidRPr="007B7228">
        <w:t>5. Elaborar informe de planificación de realización de talleres de capacitación del módulo III (taller No. 5,6,7 y 8) del compendio metodológico</w:t>
      </w:r>
    </w:p>
    <w:p w14:paraId="4ED8589C" w14:textId="77777777" w:rsidR="005C60A7" w:rsidRPr="007B7228" w:rsidRDefault="005C60A7" w:rsidP="005C60A7">
      <w:r w:rsidRPr="007B7228">
        <w:t xml:space="preserve">6. Planificar y realizar taller de capacitación del Módulo IV (Talleres No. 9 y10) compendio metodológico (incluye local, material didáctico, material de apoyo y refrigerio)                  </w:t>
      </w:r>
    </w:p>
    <w:p w14:paraId="5CCC410C" w14:textId="77777777" w:rsidR="005C60A7" w:rsidRPr="007B7228" w:rsidRDefault="005C60A7" w:rsidP="005C60A7">
      <w:r w:rsidRPr="007B7228">
        <w:t xml:space="preserve">7. Elaborar informe de planificación de realización de talleres de capacitación del Módulo III (Talleres No. 9 y 10) del compendio metodológico. </w:t>
      </w:r>
    </w:p>
    <w:p w14:paraId="22E8442D" w14:textId="77777777" w:rsidR="005C60A7" w:rsidRPr="007B7228" w:rsidRDefault="005C60A7" w:rsidP="005C60A7">
      <w:r w:rsidRPr="007B7228">
        <w:t>8. Planificar y realización de taller de capacitación dirigido a promotores (as) sociales comunitarios para implementación de metodología FCSA. Elaborar informe de planificación y realización de taller FCSA.        </w:t>
      </w:r>
    </w:p>
    <w:p w14:paraId="438C2B85" w14:textId="77777777" w:rsidR="005C60A7" w:rsidRPr="007B7228" w:rsidRDefault="005C60A7" w:rsidP="005C60A7">
      <w:r w:rsidRPr="007B7228">
        <w:t>9. Elaborar informe de la Promoción y aseguramiento del cumplimiento de los aportes comunitarios del fondo social comunitario (FSC) cuota No.3 y No.4.</w:t>
      </w:r>
    </w:p>
    <w:p w14:paraId="736E577E" w14:textId="77777777" w:rsidR="005C60A7" w:rsidRPr="007B7228" w:rsidRDefault="005C60A7" w:rsidP="005C60A7">
      <w:r w:rsidRPr="007B7228">
        <w:t>10. Elaborar Informe de Promoción y aseguramiento del cumplimiento de los aportes comunitarios del fondo social comunitario (FSC) cuota No.5 y No.6.</w:t>
      </w:r>
    </w:p>
    <w:p w14:paraId="6B1F763B" w14:textId="77777777" w:rsidR="005C60A7" w:rsidRPr="007B7228" w:rsidRDefault="005C60A7" w:rsidP="005C60A7">
      <w:r w:rsidRPr="007B7228">
        <w:t>11. Elaborar Informe de Promoción y aseguramiento del cumplimiento de los aportes comunitarios para la compra de medidor.</w:t>
      </w:r>
    </w:p>
    <w:p w14:paraId="3107A035" w14:textId="77777777" w:rsidR="005C60A7" w:rsidRPr="007B7228" w:rsidRDefault="005C60A7" w:rsidP="005C60A7">
      <w:r w:rsidRPr="007B7228">
        <w:t>12. Elaborar informe para implementación de metodología FCSA -Primera visita casa a casa.</w:t>
      </w:r>
    </w:p>
    <w:p w14:paraId="0C99E4F4" w14:textId="77777777" w:rsidR="005C60A7" w:rsidRPr="007B7228" w:rsidRDefault="005C60A7" w:rsidP="005C60A7">
      <w:r w:rsidRPr="007B7228">
        <w:t>13. Elaborar informe para implementación de metodología FCSA -Segunda visita casa a casa.</w:t>
      </w:r>
    </w:p>
    <w:p w14:paraId="06F11400" w14:textId="77777777" w:rsidR="005C60A7" w:rsidRPr="007B7228" w:rsidRDefault="005C60A7" w:rsidP="005C60A7">
      <w:r w:rsidRPr="007B7228">
        <w:t>14. Elaborar informe para implementación de metodología FCSA -Tercera visita casa a casa.</w:t>
      </w:r>
    </w:p>
    <w:p w14:paraId="6998EFAE" w14:textId="77777777" w:rsidR="005C60A7" w:rsidRPr="007B7228" w:rsidRDefault="005C60A7" w:rsidP="005C60A7">
      <w:r w:rsidRPr="007B7228">
        <w:t>15. Elaborar informe para implementación de metodología FCSA -Cuarta visita casa a casa.</w:t>
      </w:r>
    </w:p>
    <w:p w14:paraId="2B2FE272" w14:textId="77777777" w:rsidR="005C60A7" w:rsidRPr="007B7228" w:rsidRDefault="005C60A7" w:rsidP="005C60A7">
      <w:r w:rsidRPr="007B7228">
        <w:t>16. Planificar y realizar taller de capacitación dirigido al Comité CAPS sobre la elaboración del reglamento interno del sistema de agua potable (SAP)</w:t>
      </w:r>
    </w:p>
    <w:p w14:paraId="670EE908" w14:textId="77777777" w:rsidR="005C60A7" w:rsidRPr="007B7228" w:rsidRDefault="005C60A7" w:rsidP="005C60A7">
      <w:r w:rsidRPr="007B7228">
        <w:t>17. Planificar y realizar Asamblea general comunitaria para dar a conocer y aprobar el Reglamento Interno del Sistema de Agua Potable-SAP, construido. Elaborar informe de planificaciòn y realizaciòn de asamble generl comunitaria.</w:t>
      </w:r>
    </w:p>
    <w:p w14:paraId="420ECBE5" w14:textId="77777777" w:rsidR="005C60A7" w:rsidRPr="007B7228" w:rsidRDefault="005C60A7" w:rsidP="005C60A7">
      <w:r w:rsidRPr="007B7228">
        <w:lastRenderedPageBreak/>
        <w:t>18. Planificar, Elaborar Informe y Realización de Asamblea General comunitaria para dar a conocer Plan de Operación y Mantenimiento del Sistema y firma de acta de recepción final.</w:t>
      </w:r>
    </w:p>
    <w:p w14:paraId="4CB0F0EC" w14:textId="77777777" w:rsidR="005C60A7" w:rsidRPr="007B7228" w:rsidRDefault="005C60A7" w:rsidP="005C60A7">
      <w:r w:rsidRPr="007B7228">
        <w:t>19. Elaborar y realizar el levantamiento de la ficha de finiquito del proyecto</w:t>
      </w:r>
    </w:p>
    <w:p w14:paraId="3B177AAE" w14:textId="77777777" w:rsidR="005C60A7" w:rsidRPr="007B7228" w:rsidRDefault="005C60A7" w:rsidP="005C60A7">
      <w:pPr>
        <w:rPr>
          <w:b/>
        </w:rPr>
      </w:pPr>
      <w:r w:rsidRPr="007B7228">
        <w:rPr>
          <w:b/>
        </w:rPr>
        <w:t>3.3.2</w:t>
      </w:r>
      <w:r w:rsidRPr="007B7228">
        <w:rPr>
          <w:b/>
        </w:rPr>
        <w:tab/>
        <w:t>Actividades en la Etapa post obra</w:t>
      </w:r>
    </w:p>
    <w:p w14:paraId="0ECA4319" w14:textId="77777777" w:rsidR="005C60A7" w:rsidRPr="007B7228" w:rsidRDefault="005C60A7" w:rsidP="005C60A7">
      <w:pPr>
        <w:rPr>
          <w:b/>
        </w:rPr>
      </w:pPr>
      <w:r w:rsidRPr="007B7228">
        <w:rPr>
          <w:b/>
        </w:rPr>
        <w:t>3.3.2.1</w:t>
      </w:r>
      <w:r w:rsidRPr="007B7228">
        <w:rPr>
          <w:b/>
        </w:rPr>
        <w:tab/>
        <w:t>Acompañar a la comunidad organizada, en la etapa de Postobra</w:t>
      </w:r>
    </w:p>
    <w:p w14:paraId="007CE06A" w14:textId="77777777" w:rsidR="005C60A7" w:rsidRPr="007B7228" w:rsidRDefault="005C60A7" w:rsidP="005C60A7">
      <w:r w:rsidRPr="007B7228">
        <w:t>1. Elaborar informe para implementación de metodología FCSA –Quinta visita casa a casa.</w:t>
      </w:r>
    </w:p>
    <w:p w14:paraId="51B9FD2D" w14:textId="77777777" w:rsidR="005C60A7" w:rsidRPr="007B7228" w:rsidRDefault="005C60A7" w:rsidP="005C60A7">
      <w:r w:rsidRPr="007B7228">
        <w:t>2. Elaborar informe para implementación de metodología FCSA –Sexta y última visita casa a casa. (Elaborar Informe Final de resultados de la implementación de FCSA.)</w:t>
      </w:r>
    </w:p>
    <w:p w14:paraId="673289CD" w14:textId="77777777" w:rsidR="005C60A7" w:rsidRPr="007B7228" w:rsidRDefault="005C60A7" w:rsidP="005C60A7">
      <w:r w:rsidRPr="007B7228">
        <w:t xml:space="preserve">3. Planificar, Realizar Taller de capacitación dirigido al Comité para reforzamiento sobre la Ley No.722 y el Reglamento (Incluye local, material didáctico, material de apoyo y refrigerio) y elaborar informe de realización de taller.  </w:t>
      </w:r>
    </w:p>
    <w:p w14:paraId="18DD7CB4" w14:textId="77777777" w:rsidR="005C60A7" w:rsidRPr="007B7228" w:rsidRDefault="005C60A7" w:rsidP="005C60A7">
      <w:r w:rsidRPr="007B7228">
        <w:t xml:space="preserve">4.  Planificar y realizar Taller de capacitación dirigido al Comité para calculo / ajuste de tarifa para pago mensual del agua (Incluye Tema de lectura de medidor). (Incluye local, material didáctico, material de apoyo y refrigerio), elaborar informe de planificación y realización de taller.  </w:t>
      </w:r>
    </w:p>
    <w:p w14:paraId="0405C934" w14:textId="77777777" w:rsidR="005C60A7" w:rsidRPr="007B7228" w:rsidRDefault="005C60A7" w:rsidP="005C60A7">
      <w:r w:rsidRPr="007B7228">
        <w:t>5. Planificar y realizar taller de capacitación para la operación y mantenimiento del sistema de agua, elaborar informe de taller.</w:t>
      </w:r>
    </w:p>
    <w:p w14:paraId="6D049220" w14:textId="77777777" w:rsidR="005C60A7" w:rsidRPr="007B7228" w:rsidRDefault="005C60A7" w:rsidP="005C60A7">
      <w:r w:rsidRPr="007B7228">
        <w:t>6. Planificar y realizar Asamblea general comunitaria para la presentación del informe final del componente social del proyecto.</w:t>
      </w:r>
    </w:p>
    <w:p w14:paraId="6366C557" w14:textId="77777777" w:rsidR="005C60A7" w:rsidRPr="007B7228" w:rsidRDefault="005C60A7" w:rsidP="005C60A7">
      <w:r w:rsidRPr="007B7228">
        <w:t>7. Elaborar Informe final de la consultoría.</w:t>
      </w:r>
    </w:p>
    <w:p w14:paraId="78AD9436" w14:textId="77777777" w:rsidR="005C60A7" w:rsidRPr="007B7228" w:rsidRDefault="005C60A7" w:rsidP="005C60A7">
      <w:r w:rsidRPr="007B7228">
        <w:t>8. Elaborar Informe de Planificación y Realización de Asamblea general comunitaria de cierre y evaluación final del proyecto</w:t>
      </w:r>
      <w:r>
        <w:t>.</w:t>
      </w:r>
    </w:p>
    <w:p w14:paraId="361BD441" w14:textId="77777777" w:rsidR="005C60A7" w:rsidRPr="007B7228" w:rsidRDefault="005C60A7" w:rsidP="005C60A7">
      <w:pPr>
        <w:jc w:val="center"/>
        <w:rPr>
          <w:b/>
        </w:rPr>
      </w:pPr>
      <w:r w:rsidRPr="007B7228">
        <w:rPr>
          <w:b/>
        </w:rPr>
        <w:t>DIMENSION DEL PROGRAMA DE CAPACITACIÓN</w:t>
      </w:r>
    </w:p>
    <w:p w14:paraId="64AA862C" w14:textId="77777777" w:rsidR="005C60A7" w:rsidRPr="007B7228" w:rsidRDefault="005C60A7" w:rsidP="005C60A7">
      <w:pPr>
        <w:jc w:val="center"/>
        <w:rPr>
          <w:lang w:eastAsia="es-NI"/>
        </w:rPr>
      </w:pPr>
    </w:p>
    <w:p w14:paraId="7CEA278A" w14:textId="77777777" w:rsidR="005C60A7" w:rsidRPr="007B7228" w:rsidRDefault="005C60A7" w:rsidP="005C60A7">
      <w:pPr>
        <w:jc w:val="center"/>
        <w:rPr>
          <w:lang w:eastAsia="es-NI"/>
        </w:rPr>
      </w:pPr>
      <w:r w:rsidRPr="007B7228">
        <w:rPr>
          <w:lang w:eastAsia="es-NI"/>
        </w:rPr>
        <w:t>Programa de capacitación en proyectos de agua, saneamiento e higiene en las modalidades de ejecución Proyectos guiados por la comunidad (PGC), descentralizado o centralizado:</w:t>
      </w:r>
    </w:p>
    <w:p w14:paraId="3DFBC601" w14:textId="77777777" w:rsidR="005C60A7" w:rsidRPr="007B7228" w:rsidRDefault="005C60A7" w:rsidP="005C60A7">
      <w:pPr>
        <w:jc w:val="center"/>
        <w:rPr>
          <w:lang w:eastAsia="es-NI"/>
        </w:rPr>
      </w:pPr>
    </w:p>
    <w:p w14:paraId="7EE7EB5A" w14:textId="77777777" w:rsidR="005C60A7" w:rsidRPr="007B7228" w:rsidRDefault="005C60A7" w:rsidP="005C60A7">
      <w:pPr>
        <w:jc w:val="center"/>
        <w:rPr>
          <w:b/>
          <w:bCs/>
          <w:noProof/>
          <w:lang w:val="es-ES"/>
        </w:rPr>
      </w:pPr>
      <w:r w:rsidRPr="007B7228">
        <w:rPr>
          <w:b/>
          <w:bCs/>
          <w:lang w:val="es-ES"/>
        </w:rPr>
        <w:t xml:space="preserve">Proyecto: </w:t>
      </w:r>
      <w:r w:rsidRPr="007B7228">
        <w:rPr>
          <w:b/>
          <w:bCs/>
          <w:noProof/>
          <w:lang w:val="es-ES"/>
        </w:rPr>
        <w:t>19886 Agua y Saneamiento Comunidad La Concepción</w:t>
      </w:r>
    </w:p>
    <w:p w14:paraId="223CD77B" w14:textId="77777777" w:rsidR="005C60A7" w:rsidRPr="007B7228" w:rsidRDefault="005C60A7" w:rsidP="005C60A7">
      <w:pPr>
        <w:rPr>
          <w:b/>
          <w:bCs/>
        </w:rPr>
      </w:pPr>
    </w:p>
    <w:tbl>
      <w:tblPr>
        <w:tblW w:w="88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4"/>
        <w:gridCol w:w="3457"/>
        <w:gridCol w:w="1127"/>
        <w:gridCol w:w="1580"/>
        <w:gridCol w:w="1127"/>
      </w:tblGrid>
      <w:tr w:rsidR="005C60A7" w:rsidRPr="007B7228" w14:paraId="6D2D56F5" w14:textId="77777777" w:rsidTr="00CD039D">
        <w:trPr>
          <w:trHeight w:val="450"/>
        </w:trPr>
        <w:tc>
          <w:tcPr>
            <w:tcW w:w="1301" w:type="dxa"/>
            <w:vMerge w:val="restart"/>
            <w:shd w:val="clear" w:color="auto" w:fill="auto"/>
            <w:hideMark/>
          </w:tcPr>
          <w:p w14:paraId="13233FDC" w14:textId="77777777" w:rsidR="005C60A7" w:rsidRPr="007B7228" w:rsidRDefault="005C60A7" w:rsidP="00CD039D">
            <w:pPr>
              <w:jc w:val="center"/>
              <w:rPr>
                <w:b/>
                <w:bCs/>
              </w:rPr>
            </w:pPr>
            <w:r w:rsidRPr="007B7228">
              <w:rPr>
                <w:b/>
                <w:bCs/>
              </w:rPr>
              <w:t>PRODUCTO</w:t>
            </w:r>
          </w:p>
        </w:tc>
        <w:tc>
          <w:tcPr>
            <w:tcW w:w="4038" w:type="dxa"/>
            <w:vMerge w:val="restart"/>
            <w:shd w:val="clear" w:color="auto" w:fill="auto"/>
            <w:hideMark/>
          </w:tcPr>
          <w:p w14:paraId="4A559AE9" w14:textId="77777777" w:rsidR="005C60A7" w:rsidRPr="007B7228" w:rsidRDefault="005C60A7" w:rsidP="00CD039D">
            <w:pPr>
              <w:jc w:val="center"/>
              <w:rPr>
                <w:b/>
                <w:bCs/>
              </w:rPr>
            </w:pPr>
            <w:r w:rsidRPr="007B7228">
              <w:rPr>
                <w:b/>
                <w:bCs/>
              </w:rPr>
              <w:t>CAPACITACIÓN</w:t>
            </w:r>
          </w:p>
        </w:tc>
        <w:tc>
          <w:tcPr>
            <w:tcW w:w="1054" w:type="dxa"/>
            <w:vMerge w:val="restart"/>
            <w:shd w:val="clear" w:color="auto" w:fill="auto"/>
            <w:hideMark/>
          </w:tcPr>
          <w:p w14:paraId="5124BB21" w14:textId="77777777" w:rsidR="005C60A7" w:rsidRPr="007B7228" w:rsidRDefault="005C60A7" w:rsidP="00CD039D">
            <w:pPr>
              <w:jc w:val="center"/>
              <w:rPr>
                <w:b/>
                <w:bCs/>
              </w:rPr>
            </w:pPr>
            <w:r w:rsidRPr="007B7228">
              <w:rPr>
                <w:b/>
                <w:bCs/>
              </w:rPr>
              <w:t>TALLER</w:t>
            </w:r>
          </w:p>
        </w:tc>
        <w:tc>
          <w:tcPr>
            <w:tcW w:w="1556" w:type="dxa"/>
            <w:vMerge w:val="restart"/>
            <w:shd w:val="clear" w:color="auto" w:fill="auto"/>
            <w:hideMark/>
          </w:tcPr>
          <w:p w14:paraId="092BBCB4" w14:textId="77777777" w:rsidR="005C60A7" w:rsidRPr="007B7228" w:rsidRDefault="005C60A7" w:rsidP="00CD039D">
            <w:pPr>
              <w:jc w:val="center"/>
              <w:rPr>
                <w:b/>
                <w:bCs/>
              </w:rPr>
            </w:pPr>
            <w:r w:rsidRPr="007B7228">
              <w:rPr>
                <w:b/>
                <w:bCs/>
              </w:rPr>
              <w:t>PERSONAS A CAPACITAR POR TALLER</w:t>
            </w:r>
          </w:p>
        </w:tc>
        <w:tc>
          <w:tcPr>
            <w:tcW w:w="856" w:type="dxa"/>
            <w:vMerge w:val="restart"/>
            <w:shd w:val="clear" w:color="auto" w:fill="auto"/>
            <w:hideMark/>
          </w:tcPr>
          <w:p w14:paraId="6DF30574" w14:textId="77777777" w:rsidR="005C60A7" w:rsidRPr="007B7228" w:rsidRDefault="005C60A7" w:rsidP="00CD039D">
            <w:pPr>
              <w:jc w:val="center"/>
              <w:rPr>
                <w:b/>
                <w:bCs/>
              </w:rPr>
            </w:pPr>
            <w:r w:rsidRPr="007B7228">
              <w:rPr>
                <w:b/>
                <w:bCs/>
              </w:rPr>
              <w:t>TOTAL, TALLER</w:t>
            </w:r>
          </w:p>
          <w:p w14:paraId="1F251899" w14:textId="77777777" w:rsidR="005C60A7" w:rsidRPr="007B7228" w:rsidRDefault="005C60A7" w:rsidP="00CD039D">
            <w:pPr>
              <w:jc w:val="center"/>
              <w:rPr>
                <w:b/>
                <w:bCs/>
              </w:rPr>
            </w:pPr>
          </w:p>
        </w:tc>
      </w:tr>
      <w:tr w:rsidR="005C60A7" w:rsidRPr="007B7228" w14:paraId="00B0E555" w14:textId="77777777" w:rsidTr="00CD039D">
        <w:trPr>
          <w:trHeight w:val="450"/>
        </w:trPr>
        <w:tc>
          <w:tcPr>
            <w:tcW w:w="1301" w:type="dxa"/>
            <w:vMerge/>
            <w:hideMark/>
          </w:tcPr>
          <w:p w14:paraId="7F6DE9BD" w14:textId="77777777" w:rsidR="005C60A7" w:rsidRPr="007B7228" w:rsidRDefault="005C60A7" w:rsidP="00CD039D">
            <w:pPr>
              <w:rPr>
                <w:b/>
                <w:bCs/>
              </w:rPr>
            </w:pPr>
          </w:p>
        </w:tc>
        <w:tc>
          <w:tcPr>
            <w:tcW w:w="4038" w:type="dxa"/>
            <w:vMerge/>
            <w:hideMark/>
          </w:tcPr>
          <w:p w14:paraId="36ACF7DD" w14:textId="77777777" w:rsidR="005C60A7" w:rsidRPr="007B7228" w:rsidRDefault="005C60A7" w:rsidP="00CD039D">
            <w:pPr>
              <w:rPr>
                <w:b/>
                <w:bCs/>
              </w:rPr>
            </w:pPr>
          </w:p>
        </w:tc>
        <w:tc>
          <w:tcPr>
            <w:tcW w:w="1054" w:type="dxa"/>
            <w:vMerge/>
            <w:hideMark/>
          </w:tcPr>
          <w:p w14:paraId="24ADAB09" w14:textId="77777777" w:rsidR="005C60A7" w:rsidRPr="007B7228" w:rsidRDefault="005C60A7" w:rsidP="00CD039D">
            <w:pPr>
              <w:rPr>
                <w:b/>
                <w:bCs/>
              </w:rPr>
            </w:pPr>
          </w:p>
        </w:tc>
        <w:tc>
          <w:tcPr>
            <w:tcW w:w="1556" w:type="dxa"/>
            <w:vMerge/>
            <w:hideMark/>
          </w:tcPr>
          <w:p w14:paraId="35873244" w14:textId="77777777" w:rsidR="005C60A7" w:rsidRPr="007B7228" w:rsidRDefault="005C60A7" w:rsidP="00CD039D">
            <w:pPr>
              <w:rPr>
                <w:b/>
                <w:bCs/>
              </w:rPr>
            </w:pPr>
          </w:p>
        </w:tc>
        <w:tc>
          <w:tcPr>
            <w:tcW w:w="856" w:type="dxa"/>
            <w:vMerge/>
            <w:shd w:val="clear" w:color="auto" w:fill="auto"/>
            <w:hideMark/>
          </w:tcPr>
          <w:p w14:paraId="1EA024CF" w14:textId="77777777" w:rsidR="005C60A7" w:rsidRPr="007B7228" w:rsidRDefault="005C60A7" w:rsidP="00CD039D">
            <w:pPr>
              <w:rPr>
                <w:b/>
                <w:bCs/>
              </w:rPr>
            </w:pPr>
          </w:p>
        </w:tc>
      </w:tr>
      <w:tr w:rsidR="005C60A7" w:rsidRPr="007B7228" w14:paraId="3454D41A" w14:textId="77777777" w:rsidTr="00CD039D">
        <w:trPr>
          <w:trHeight w:val="41"/>
        </w:trPr>
        <w:tc>
          <w:tcPr>
            <w:tcW w:w="1301" w:type="dxa"/>
            <w:shd w:val="clear" w:color="auto" w:fill="auto"/>
            <w:hideMark/>
          </w:tcPr>
          <w:p w14:paraId="1D5A8FF9" w14:textId="77777777" w:rsidR="005C60A7" w:rsidRPr="007B7228" w:rsidRDefault="005C60A7" w:rsidP="00CD039D">
            <w:r w:rsidRPr="007B7228">
              <w:t>Producto 1:</w:t>
            </w:r>
          </w:p>
        </w:tc>
        <w:tc>
          <w:tcPr>
            <w:tcW w:w="4038" w:type="dxa"/>
            <w:shd w:val="clear" w:color="auto" w:fill="auto"/>
            <w:hideMark/>
          </w:tcPr>
          <w:p w14:paraId="36520FBC" w14:textId="77777777" w:rsidR="005C60A7" w:rsidRPr="007B7228" w:rsidRDefault="005C60A7" w:rsidP="00CD039D">
            <w:r w:rsidRPr="007B7228">
              <w:t> </w:t>
            </w:r>
          </w:p>
        </w:tc>
        <w:tc>
          <w:tcPr>
            <w:tcW w:w="1054" w:type="dxa"/>
            <w:shd w:val="clear" w:color="auto" w:fill="auto"/>
            <w:hideMark/>
          </w:tcPr>
          <w:p w14:paraId="05328132" w14:textId="77777777" w:rsidR="005C60A7" w:rsidRPr="007B7228" w:rsidRDefault="005C60A7" w:rsidP="00CD039D">
            <w:r w:rsidRPr="007B7228">
              <w:t> </w:t>
            </w:r>
          </w:p>
        </w:tc>
        <w:tc>
          <w:tcPr>
            <w:tcW w:w="1556" w:type="dxa"/>
            <w:shd w:val="clear" w:color="auto" w:fill="auto"/>
            <w:hideMark/>
          </w:tcPr>
          <w:p w14:paraId="7D930785" w14:textId="77777777" w:rsidR="005C60A7" w:rsidRPr="007B7228" w:rsidRDefault="005C60A7" w:rsidP="00CD039D">
            <w:r w:rsidRPr="007B7228">
              <w:t> </w:t>
            </w:r>
          </w:p>
        </w:tc>
        <w:tc>
          <w:tcPr>
            <w:tcW w:w="856" w:type="dxa"/>
            <w:shd w:val="clear" w:color="auto" w:fill="auto"/>
            <w:hideMark/>
          </w:tcPr>
          <w:p w14:paraId="0C94678A" w14:textId="77777777" w:rsidR="005C60A7" w:rsidRPr="007B7228" w:rsidRDefault="005C60A7" w:rsidP="00CD039D">
            <w:r w:rsidRPr="007B7228">
              <w:t> </w:t>
            </w:r>
          </w:p>
        </w:tc>
      </w:tr>
      <w:tr w:rsidR="005C60A7" w:rsidRPr="007B7228" w14:paraId="5F80D2ED" w14:textId="77777777" w:rsidTr="00CD039D">
        <w:trPr>
          <w:trHeight w:val="107"/>
        </w:trPr>
        <w:tc>
          <w:tcPr>
            <w:tcW w:w="1301" w:type="dxa"/>
            <w:shd w:val="clear" w:color="auto" w:fill="auto"/>
            <w:hideMark/>
          </w:tcPr>
          <w:p w14:paraId="3559C169" w14:textId="77777777" w:rsidR="005C60A7" w:rsidRPr="007B7228" w:rsidRDefault="005C60A7" w:rsidP="00CD039D">
            <w:r w:rsidRPr="007B7228">
              <w:t>Producto 2:</w:t>
            </w:r>
          </w:p>
        </w:tc>
        <w:tc>
          <w:tcPr>
            <w:tcW w:w="4038" w:type="dxa"/>
            <w:shd w:val="clear" w:color="auto" w:fill="auto"/>
            <w:hideMark/>
          </w:tcPr>
          <w:p w14:paraId="4F5DBC6D" w14:textId="77777777" w:rsidR="005C60A7" w:rsidRPr="007B7228" w:rsidRDefault="005C60A7" w:rsidP="00CD039D">
            <w:r w:rsidRPr="007B7228">
              <w:t> </w:t>
            </w:r>
          </w:p>
        </w:tc>
        <w:tc>
          <w:tcPr>
            <w:tcW w:w="1054" w:type="dxa"/>
            <w:shd w:val="clear" w:color="auto" w:fill="auto"/>
            <w:hideMark/>
          </w:tcPr>
          <w:p w14:paraId="5A126EEC" w14:textId="77777777" w:rsidR="005C60A7" w:rsidRPr="007B7228" w:rsidRDefault="005C60A7" w:rsidP="00CD039D">
            <w:r w:rsidRPr="007B7228">
              <w:t> </w:t>
            </w:r>
          </w:p>
        </w:tc>
        <w:tc>
          <w:tcPr>
            <w:tcW w:w="1556" w:type="dxa"/>
            <w:shd w:val="clear" w:color="auto" w:fill="auto"/>
            <w:hideMark/>
          </w:tcPr>
          <w:p w14:paraId="10363EF6" w14:textId="77777777" w:rsidR="005C60A7" w:rsidRPr="007B7228" w:rsidRDefault="005C60A7" w:rsidP="00CD039D">
            <w:r w:rsidRPr="007B7228">
              <w:t> </w:t>
            </w:r>
          </w:p>
        </w:tc>
        <w:tc>
          <w:tcPr>
            <w:tcW w:w="856" w:type="dxa"/>
            <w:shd w:val="clear" w:color="auto" w:fill="auto"/>
            <w:hideMark/>
          </w:tcPr>
          <w:p w14:paraId="0C1A1413" w14:textId="77777777" w:rsidR="005C60A7" w:rsidRPr="007B7228" w:rsidRDefault="005C60A7" w:rsidP="00CD039D">
            <w:r w:rsidRPr="007B7228">
              <w:t> </w:t>
            </w:r>
          </w:p>
        </w:tc>
      </w:tr>
      <w:tr w:rsidR="005C60A7" w:rsidRPr="007B7228" w14:paraId="016F7111" w14:textId="77777777" w:rsidTr="00CD039D">
        <w:trPr>
          <w:trHeight w:val="188"/>
        </w:trPr>
        <w:tc>
          <w:tcPr>
            <w:tcW w:w="1301" w:type="dxa"/>
            <w:vMerge w:val="restart"/>
            <w:shd w:val="clear" w:color="auto" w:fill="auto"/>
            <w:hideMark/>
          </w:tcPr>
          <w:p w14:paraId="6C28A683" w14:textId="77777777" w:rsidR="005C60A7" w:rsidRPr="007B7228" w:rsidRDefault="005C60A7" w:rsidP="00CD039D">
            <w:r w:rsidRPr="007B7228">
              <w:t>PRODUCTO 3:</w:t>
            </w:r>
          </w:p>
        </w:tc>
        <w:tc>
          <w:tcPr>
            <w:tcW w:w="4038" w:type="dxa"/>
            <w:vMerge w:val="restart"/>
            <w:shd w:val="clear" w:color="auto" w:fill="auto"/>
            <w:hideMark/>
          </w:tcPr>
          <w:p w14:paraId="6E88D650" w14:textId="77777777" w:rsidR="005C60A7" w:rsidRPr="007B7228" w:rsidRDefault="005C60A7" w:rsidP="00CD039D">
            <w:r w:rsidRPr="007B7228">
              <w:t>Capacitación Modulo I del compendio metodológico sobre la Gestión Social en los proyectos de agua y saneamiento e higiene en la comunidad.</w:t>
            </w:r>
          </w:p>
        </w:tc>
        <w:tc>
          <w:tcPr>
            <w:tcW w:w="1054" w:type="dxa"/>
            <w:shd w:val="clear" w:color="auto" w:fill="auto"/>
            <w:hideMark/>
          </w:tcPr>
          <w:p w14:paraId="1292BC77" w14:textId="77777777" w:rsidR="005C60A7" w:rsidRPr="007B7228" w:rsidRDefault="005C60A7" w:rsidP="00CD039D">
            <w:pPr>
              <w:jc w:val="right"/>
            </w:pPr>
            <w:r w:rsidRPr="007B7228">
              <w:t xml:space="preserve">Taller 1 </w:t>
            </w:r>
          </w:p>
        </w:tc>
        <w:tc>
          <w:tcPr>
            <w:tcW w:w="1556" w:type="dxa"/>
            <w:shd w:val="clear" w:color="auto" w:fill="auto"/>
            <w:hideMark/>
          </w:tcPr>
          <w:p w14:paraId="2254EF62" w14:textId="77777777" w:rsidR="005C60A7" w:rsidRPr="007B7228" w:rsidRDefault="005C60A7" w:rsidP="00CD039D">
            <w:pPr>
              <w:jc w:val="right"/>
            </w:pPr>
            <w:r w:rsidRPr="007B7228">
              <w:t>18-25</w:t>
            </w:r>
          </w:p>
        </w:tc>
        <w:tc>
          <w:tcPr>
            <w:tcW w:w="856" w:type="dxa"/>
            <w:shd w:val="clear" w:color="auto" w:fill="auto"/>
            <w:hideMark/>
          </w:tcPr>
          <w:p w14:paraId="2F704763" w14:textId="77777777" w:rsidR="005C60A7" w:rsidRPr="007B7228" w:rsidRDefault="005C60A7" w:rsidP="00CD039D">
            <w:pPr>
              <w:jc w:val="right"/>
            </w:pPr>
            <w:r w:rsidRPr="007B7228">
              <w:t>1</w:t>
            </w:r>
          </w:p>
        </w:tc>
      </w:tr>
      <w:tr w:rsidR="005C60A7" w:rsidRPr="007B7228" w14:paraId="5B18B476" w14:textId="77777777" w:rsidTr="00CD039D">
        <w:trPr>
          <w:trHeight w:val="256"/>
        </w:trPr>
        <w:tc>
          <w:tcPr>
            <w:tcW w:w="1301" w:type="dxa"/>
            <w:vMerge/>
            <w:hideMark/>
          </w:tcPr>
          <w:p w14:paraId="2B515352" w14:textId="77777777" w:rsidR="005C60A7" w:rsidRPr="007B7228" w:rsidRDefault="005C60A7" w:rsidP="00CD039D"/>
        </w:tc>
        <w:tc>
          <w:tcPr>
            <w:tcW w:w="4038" w:type="dxa"/>
            <w:vMerge/>
            <w:hideMark/>
          </w:tcPr>
          <w:p w14:paraId="69F648D4" w14:textId="77777777" w:rsidR="005C60A7" w:rsidRPr="007B7228" w:rsidRDefault="005C60A7" w:rsidP="00CD039D"/>
        </w:tc>
        <w:tc>
          <w:tcPr>
            <w:tcW w:w="1054" w:type="dxa"/>
            <w:shd w:val="clear" w:color="auto" w:fill="auto"/>
            <w:hideMark/>
          </w:tcPr>
          <w:p w14:paraId="2854E2C4" w14:textId="77777777" w:rsidR="005C60A7" w:rsidRPr="007B7228" w:rsidRDefault="005C60A7" w:rsidP="00CD039D">
            <w:pPr>
              <w:jc w:val="right"/>
            </w:pPr>
            <w:r w:rsidRPr="007B7228">
              <w:t>Taller  2</w:t>
            </w:r>
          </w:p>
        </w:tc>
        <w:tc>
          <w:tcPr>
            <w:tcW w:w="1556" w:type="dxa"/>
            <w:shd w:val="clear" w:color="auto" w:fill="auto"/>
            <w:hideMark/>
          </w:tcPr>
          <w:p w14:paraId="5B8C5105" w14:textId="77777777" w:rsidR="005C60A7" w:rsidRPr="007B7228" w:rsidRDefault="005C60A7" w:rsidP="00CD039D">
            <w:pPr>
              <w:jc w:val="right"/>
            </w:pPr>
            <w:r w:rsidRPr="007B7228">
              <w:t>18-25</w:t>
            </w:r>
          </w:p>
        </w:tc>
        <w:tc>
          <w:tcPr>
            <w:tcW w:w="856" w:type="dxa"/>
            <w:shd w:val="clear" w:color="auto" w:fill="auto"/>
          </w:tcPr>
          <w:p w14:paraId="310D0229" w14:textId="77777777" w:rsidR="005C60A7" w:rsidRPr="007B7228" w:rsidRDefault="005C60A7" w:rsidP="00CD039D">
            <w:pPr>
              <w:jc w:val="right"/>
            </w:pPr>
            <w:r w:rsidRPr="007B7228">
              <w:t>1</w:t>
            </w:r>
          </w:p>
        </w:tc>
      </w:tr>
      <w:tr w:rsidR="005C60A7" w:rsidRPr="007B7228" w14:paraId="096309CE" w14:textId="77777777" w:rsidTr="00CD039D">
        <w:trPr>
          <w:trHeight w:val="349"/>
        </w:trPr>
        <w:tc>
          <w:tcPr>
            <w:tcW w:w="1301" w:type="dxa"/>
            <w:vMerge/>
            <w:hideMark/>
          </w:tcPr>
          <w:p w14:paraId="5DCFFD57" w14:textId="77777777" w:rsidR="005C60A7" w:rsidRPr="007B7228" w:rsidRDefault="005C60A7" w:rsidP="00CD039D"/>
        </w:tc>
        <w:tc>
          <w:tcPr>
            <w:tcW w:w="4038" w:type="dxa"/>
            <w:shd w:val="clear" w:color="auto" w:fill="auto"/>
            <w:hideMark/>
          </w:tcPr>
          <w:p w14:paraId="0F36D0B8" w14:textId="77777777" w:rsidR="005C60A7" w:rsidRPr="007B7228" w:rsidRDefault="005C60A7" w:rsidP="00CD039D">
            <w:r w:rsidRPr="007B7228">
              <w:t>Capacitación sobre la Ley 722 “Ley especial para los CAPS” y su reglamento.</w:t>
            </w:r>
          </w:p>
        </w:tc>
        <w:tc>
          <w:tcPr>
            <w:tcW w:w="1054" w:type="dxa"/>
            <w:shd w:val="clear" w:color="auto" w:fill="auto"/>
            <w:hideMark/>
          </w:tcPr>
          <w:p w14:paraId="44F1DBB7" w14:textId="77777777" w:rsidR="005C60A7" w:rsidRPr="007B7228" w:rsidRDefault="005C60A7" w:rsidP="00CD039D">
            <w:pPr>
              <w:jc w:val="right"/>
            </w:pPr>
            <w:r w:rsidRPr="007B7228">
              <w:t>Taller 1</w:t>
            </w:r>
          </w:p>
        </w:tc>
        <w:tc>
          <w:tcPr>
            <w:tcW w:w="1556" w:type="dxa"/>
            <w:shd w:val="clear" w:color="auto" w:fill="auto"/>
            <w:hideMark/>
          </w:tcPr>
          <w:p w14:paraId="0D86D027" w14:textId="77777777" w:rsidR="005C60A7" w:rsidRPr="007B7228" w:rsidRDefault="005C60A7" w:rsidP="00CD039D">
            <w:pPr>
              <w:jc w:val="right"/>
            </w:pPr>
            <w:r w:rsidRPr="007B7228">
              <w:t>18-25</w:t>
            </w:r>
          </w:p>
        </w:tc>
        <w:tc>
          <w:tcPr>
            <w:tcW w:w="856" w:type="dxa"/>
            <w:shd w:val="clear" w:color="auto" w:fill="auto"/>
            <w:hideMark/>
          </w:tcPr>
          <w:p w14:paraId="07EC2563" w14:textId="77777777" w:rsidR="005C60A7" w:rsidRPr="007B7228" w:rsidRDefault="005C60A7" w:rsidP="00CD039D">
            <w:pPr>
              <w:jc w:val="right"/>
            </w:pPr>
            <w:r w:rsidRPr="007B7228">
              <w:t>1</w:t>
            </w:r>
          </w:p>
        </w:tc>
      </w:tr>
      <w:tr w:rsidR="005C60A7" w:rsidRPr="007B7228" w14:paraId="3A4C2CF2" w14:textId="77777777" w:rsidTr="00CD039D">
        <w:trPr>
          <w:trHeight w:val="137"/>
        </w:trPr>
        <w:tc>
          <w:tcPr>
            <w:tcW w:w="1301" w:type="dxa"/>
            <w:vMerge/>
            <w:hideMark/>
          </w:tcPr>
          <w:p w14:paraId="377BD836" w14:textId="77777777" w:rsidR="005C60A7" w:rsidRPr="007B7228" w:rsidRDefault="005C60A7" w:rsidP="00CD039D"/>
        </w:tc>
        <w:tc>
          <w:tcPr>
            <w:tcW w:w="4038" w:type="dxa"/>
            <w:vMerge w:val="restart"/>
            <w:shd w:val="clear" w:color="auto" w:fill="auto"/>
            <w:hideMark/>
          </w:tcPr>
          <w:p w14:paraId="2522682F" w14:textId="77777777" w:rsidR="005C60A7" w:rsidRPr="007B7228" w:rsidRDefault="005C60A7" w:rsidP="00CD039D">
            <w:r w:rsidRPr="007B7228">
              <w:t xml:space="preserve">Capacitación Modulo II del compendio metodológico: Preparándonos en la fase de pre </w:t>
            </w:r>
            <w:r w:rsidRPr="007B7228">
              <w:lastRenderedPageBreak/>
              <w:t>inversión de un proyecto de agua, saneamiento e higiene.</w:t>
            </w:r>
          </w:p>
        </w:tc>
        <w:tc>
          <w:tcPr>
            <w:tcW w:w="1054" w:type="dxa"/>
            <w:shd w:val="clear" w:color="auto" w:fill="auto"/>
            <w:hideMark/>
          </w:tcPr>
          <w:p w14:paraId="3403A160" w14:textId="77777777" w:rsidR="005C60A7" w:rsidRPr="007B7228" w:rsidRDefault="005C60A7" w:rsidP="00CD039D">
            <w:pPr>
              <w:jc w:val="right"/>
            </w:pPr>
            <w:r w:rsidRPr="007B7228">
              <w:lastRenderedPageBreak/>
              <w:t>Taller 3</w:t>
            </w:r>
          </w:p>
        </w:tc>
        <w:tc>
          <w:tcPr>
            <w:tcW w:w="1556" w:type="dxa"/>
            <w:shd w:val="clear" w:color="auto" w:fill="auto"/>
            <w:hideMark/>
          </w:tcPr>
          <w:p w14:paraId="0A52B299" w14:textId="77777777" w:rsidR="005C60A7" w:rsidRPr="007B7228" w:rsidRDefault="005C60A7" w:rsidP="00CD039D">
            <w:pPr>
              <w:jc w:val="right"/>
            </w:pPr>
            <w:r w:rsidRPr="007B7228">
              <w:t>18-25</w:t>
            </w:r>
          </w:p>
        </w:tc>
        <w:tc>
          <w:tcPr>
            <w:tcW w:w="856" w:type="dxa"/>
            <w:shd w:val="clear" w:color="auto" w:fill="auto"/>
            <w:hideMark/>
          </w:tcPr>
          <w:p w14:paraId="219A5F71" w14:textId="77777777" w:rsidR="005C60A7" w:rsidRPr="007B7228" w:rsidRDefault="005C60A7" w:rsidP="00CD039D">
            <w:pPr>
              <w:jc w:val="right"/>
            </w:pPr>
            <w:r w:rsidRPr="007B7228">
              <w:t>1</w:t>
            </w:r>
          </w:p>
        </w:tc>
      </w:tr>
      <w:tr w:rsidR="005C60A7" w:rsidRPr="007B7228" w14:paraId="67EF7176" w14:textId="77777777" w:rsidTr="00CD039D">
        <w:trPr>
          <w:trHeight w:val="219"/>
        </w:trPr>
        <w:tc>
          <w:tcPr>
            <w:tcW w:w="1301" w:type="dxa"/>
            <w:vMerge/>
            <w:hideMark/>
          </w:tcPr>
          <w:p w14:paraId="176510EA" w14:textId="77777777" w:rsidR="005C60A7" w:rsidRPr="007B7228" w:rsidRDefault="005C60A7" w:rsidP="00CD039D"/>
        </w:tc>
        <w:tc>
          <w:tcPr>
            <w:tcW w:w="4038" w:type="dxa"/>
            <w:vMerge/>
            <w:hideMark/>
          </w:tcPr>
          <w:p w14:paraId="1B46A20C" w14:textId="77777777" w:rsidR="005C60A7" w:rsidRPr="007B7228" w:rsidRDefault="005C60A7" w:rsidP="00CD039D"/>
        </w:tc>
        <w:tc>
          <w:tcPr>
            <w:tcW w:w="1054" w:type="dxa"/>
            <w:shd w:val="clear" w:color="auto" w:fill="auto"/>
            <w:hideMark/>
          </w:tcPr>
          <w:p w14:paraId="7FC3734F" w14:textId="77777777" w:rsidR="005C60A7" w:rsidRPr="007B7228" w:rsidRDefault="005C60A7" w:rsidP="00CD039D">
            <w:pPr>
              <w:jc w:val="right"/>
            </w:pPr>
            <w:r w:rsidRPr="007B7228">
              <w:t>Taller 4</w:t>
            </w:r>
          </w:p>
        </w:tc>
        <w:tc>
          <w:tcPr>
            <w:tcW w:w="1556" w:type="dxa"/>
            <w:shd w:val="clear" w:color="auto" w:fill="auto"/>
            <w:hideMark/>
          </w:tcPr>
          <w:p w14:paraId="082B8C72" w14:textId="77777777" w:rsidR="005C60A7" w:rsidRPr="007B7228" w:rsidRDefault="005C60A7" w:rsidP="00CD039D">
            <w:pPr>
              <w:jc w:val="right"/>
            </w:pPr>
            <w:r w:rsidRPr="007B7228">
              <w:t>18-25</w:t>
            </w:r>
          </w:p>
        </w:tc>
        <w:tc>
          <w:tcPr>
            <w:tcW w:w="856" w:type="dxa"/>
            <w:shd w:val="clear" w:color="auto" w:fill="auto"/>
            <w:hideMark/>
          </w:tcPr>
          <w:p w14:paraId="09B7B6E0" w14:textId="77777777" w:rsidR="005C60A7" w:rsidRPr="007B7228" w:rsidRDefault="005C60A7" w:rsidP="00CD039D">
            <w:pPr>
              <w:jc w:val="right"/>
            </w:pPr>
            <w:r w:rsidRPr="007B7228">
              <w:t>1</w:t>
            </w:r>
          </w:p>
        </w:tc>
      </w:tr>
      <w:tr w:rsidR="005C60A7" w:rsidRPr="007B7228" w14:paraId="26952DA8" w14:textId="77777777" w:rsidTr="00CD039D">
        <w:trPr>
          <w:trHeight w:val="681"/>
        </w:trPr>
        <w:tc>
          <w:tcPr>
            <w:tcW w:w="1301" w:type="dxa"/>
            <w:vMerge/>
            <w:hideMark/>
          </w:tcPr>
          <w:p w14:paraId="67E09DA6" w14:textId="77777777" w:rsidR="005C60A7" w:rsidRPr="007B7228" w:rsidRDefault="005C60A7" w:rsidP="00CD039D"/>
        </w:tc>
        <w:tc>
          <w:tcPr>
            <w:tcW w:w="4038" w:type="dxa"/>
            <w:vMerge w:val="restart"/>
            <w:shd w:val="clear" w:color="auto" w:fill="auto"/>
            <w:hideMark/>
          </w:tcPr>
          <w:p w14:paraId="2F0CC4B8" w14:textId="77777777" w:rsidR="005C60A7" w:rsidRPr="007B7228" w:rsidRDefault="005C60A7" w:rsidP="00CD039D">
            <w:r w:rsidRPr="007B7228">
              <w:t>Capacitación del Módulo III del Compendio Metodológico. Primera parte, utiliza cartilla No.3 "Contrataciones y Gestión de los recursos en la etapa de inversión de un proyecto de agua, saneamiento e higiene".</w:t>
            </w:r>
          </w:p>
        </w:tc>
        <w:tc>
          <w:tcPr>
            <w:tcW w:w="1054" w:type="dxa"/>
            <w:vMerge w:val="restart"/>
            <w:shd w:val="clear" w:color="auto" w:fill="auto"/>
            <w:hideMark/>
          </w:tcPr>
          <w:p w14:paraId="17E39166" w14:textId="77777777" w:rsidR="005C60A7" w:rsidRPr="007B7228" w:rsidRDefault="005C60A7" w:rsidP="00CD039D">
            <w:pPr>
              <w:jc w:val="right"/>
            </w:pPr>
            <w:r w:rsidRPr="007B7228">
              <w:t>Taller 5</w:t>
            </w:r>
          </w:p>
        </w:tc>
        <w:tc>
          <w:tcPr>
            <w:tcW w:w="1556" w:type="dxa"/>
            <w:vMerge w:val="restart"/>
            <w:shd w:val="clear" w:color="auto" w:fill="auto"/>
            <w:hideMark/>
          </w:tcPr>
          <w:p w14:paraId="104DC5A2" w14:textId="77777777" w:rsidR="005C60A7" w:rsidRPr="007B7228" w:rsidRDefault="005C60A7" w:rsidP="00CD039D">
            <w:pPr>
              <w:jc w:val="right"/>
            </w:pPr>
            <w:r w:rsidRPr="007B7228">
              <w:t>18-25</w:t>
            </w:r>
          </w:p>
        </w:tc>
        <w:tc>
          <w:tcPr>
            <w:tcW w:w="856" w:type="dxa"/>
            <w:vMerge w:val="restart"/>
            <w:shd w:val="clear" w:color="auto" w:fill="auto"/>
            <w:hideMark/>
          </w:tcPr>
          <w:p w14:paraId="12A38795" w14:textId="77777777" w:rsidR="005C60A7" w:rsidRPr="007B7228" w:rsidRDefault="005C60A7" w:rsidP="00CD039D">
            <w:pPr>
              <w:jc w:val="right"/>
            </w:pPr>
            <w:r w:rsidRPr="007B7228">
              <w:t>1</w:t>
            </w:r>
          </w:p>
        </w:tc>
      </w:tr>
      <w:tr w:rsidR="005C60A7" w:rsidRPr="007B7228" w14:paraId="4E49C124" w14:textId="77777777" w:rsidTr="00CD039D">
        <w:trPr>
          <w:trHeight w:val="450"/>
        </w:trPr>
        <w:tc>
          <w:tcPr>
            <w:tcW w:w="1301" w:type="dxa"/>
            <w:vMerge/>
            <w:hideMark/>
          </w:tcPr>
          <w:p w14:paraId="4405474B" w14:textId="77777777" w:rsidR="005C60A7" w:rsidRPr="007B7228" w:rsidRDefault="005C60A7" w:rsidP="00CD039D"/>
        </w:tc>
        <w:tc>
          <w:tcPr>
            <w:tcW w:w="4038" w:type="dxa"/>
            <w:vMerge/>
            <w:hideMark/>
          </w:tcPr>
          <w:p w14:paraId="198CEA1B" w14:textId="77777777" w:rsidR="005C60A7" w:rsidRPr="007B7228" w:rsidRDefault="005C60A7" w:rsidP="00CD039D"/>
        </w:tc>
        <w:tc>
          <w:tcPr>
            <w:tcW w:w="1054" w:type="dxa"/>
            <w:vMerge/>
            <w:hideMark/>
          </w:tcPr>
          <w:p w14:paraId="4DFDC9D3" w14:textId="77777777" w:rsidR="005C60A7" w:rsidRPr="007B7228" w:rsidRDefault="005C60A7" w:rsidP="00CD039D">
            <w:pPr>
              <w:jc w:val="right"/>
            </w:pPr>
          </w:p>
        </w:tc>
        <w:tc>
          <w:tcPr>
            <w:tcW w:w="1556" w:type="dxa"/>
            <w:vMerge/>
            <w:hideMark/>
          </w:tcPr>
          <w:p w14:paraId="1C349073" w14:textId="77777777" w:rsidR="005C60A7" w:rsidRPr="007B7228" w:rsidRDefault="005C60A7" w:rsidP="00CD039D">
            <w:pPr>
              <w:jc w:val="right"/>
            </w:pPr>
          </w:p>
        </w:tc>
        <w:tc>
          <w:tcPr>
            <w:tcW w:w="856" w:type="dxa"/>
            <w:vMerge/>
            <w:hideMark/>
          </w:tcPr>
          <w:p w14:paraId="27965BBA" w14:textId="77777777" w:rsidR="005C60A7" w:rsidRPr="007B7228" w:rsidRDefault="005C60A7" w:rsidP="00CD039D">
            <w:pPr>
              <w:jc w:val="right"/>
            </w:pPr>
          </w:p>
        </w:tc>
      </w:tr>
      <w:tr w:rsidR="005C60A7" w:rsidRPr="007B7228" w14:paraId="6B8D1B84" w14:textId="77777777" w:rsidTr="00CD039D">
        <w:trPr>
          <w:trHeight w:val="127"/>
        </w:trPr>
        <w:tc>
          <w:tcPr>
            <w:tcW w:w="1301" w:type="dxa"/>
            <w:vMerge/>
            <w:hideMark/>
          </w:tcPr>
          <w:p w14:paraId="7E83625C" w14:textId="77777777" w:rsidR="005C60A7" w:rsidRPr="007B7228" w:rsidRDefault="005C60A7" w:rsidP="00CD039D"/>
        </w:tc>
        <w:tc>
          <w:tcPr>
            <w:tcW w:w="4038" w:type="dxa"/>
            <w:vMerge/>
            <w:hideMark/>
          </w:tcPr>
          <w:p w14:paraId="11614CED" w14:textId="77777777" w:rsidR="005C60A7" w:rsidRPr="007B7228" w:rsidRDefault="005C60A7" w:rsidP="00CD039D"/>
        </w:tc>
        <w:tc>
          <w:tcPr>
            <w:tcW w:w="1054" w:type="dxa"/>
            <w:shd w:val="clear" w:color="auto" w:fill="auto"/>
            <w:hideMark/>
          </w:tcPr>
          <w:p w14:paraId="5CD0C9FB" w14:textId="77777777" w:rsidR="005C60A7" w:rsidRPr="007B7228" w:rsidRDefault="005C60A7" w:rsidP="00CD039D">
            <w:pPr>
              <w:jc w:val="right"/>
            </w:pPr>
            <w:r w:rsidRPr="007B7228">
              <w:t>Taller 6</w:t>
            </w:r>
          </w:p>
        </w:tc>
        <w:tc>
          <w:tcPr>
            <w:tcW w:w="1556" w:type="dxa"/>
            <w:shd w:val="clear" w:color="auto" w:fill="auto"/>
            <w:hideMark/>
          </w:tcPr>
          <w:p w14:paraId="50E190A1" w14:textId="77777777" w:rsidR="005C60A7" w:rsidRPr="007B7228" w:rsidRDefault="005C60A7" w:rsidP="00CD039D">
            <w:pPr>
              <w:jc w:val="right"/>
            </w:pPr>
            <w:r w:rsidRPr="007B7228">
              <w:t>18-25</w:t>
            </w:r>
          </w:p>
        </w:tc>
        <w:tc>
          <w:tcPr>
            <w:tcW w:w="856" w:type="dxa"/>
            <w:shd w:val="clear" w:color="auto" w:fill="auto"/>
            <w:hideMark/>
          </w:tcPr>
          <w:p w14:paraId="78764049" w14:textId="77777777" w:rsidR="005C60A7" w:rsidRPr="007B7228" w:rsidRDefault="005C60A7" w:rsidP="00CD039D">
            <w:pPr>
              <w:jc w:val="right"/>
            </w:pPr>
            <w:r w:rsidRPr="007B7228">
              <w:t>1</w:t>
            </w:r>
          </w:p>
        </w:tc>
      </w:tr>
      <w:tr w:rsidR="005C60A7" w:rsidRPr="007B7228" w14:paraId="170365D8" w14:textId="77777777" w:rsidTr="00CD039D">
        <w:trPr>
          <w:trHeight w:val="105"/>
        </w:trPr>
        <w:tc>
          <w:tcPr>
            <w:tcW w:w="1301" w:type="dxa"/>
            <w:vMerge/>
            <w:hideMark/>
          </w:tcPr>
          <w:p w14:paraId="1F657F7B" w14:textId="77777777" w:rsidR="005C60A7" w:rsidRPr="007B7228" w:rsidRDefault="005C60A7" w:rsidP="00CD039D"/>
        </w:tc>
        <w:tc>
          <w:tcPr>
            <w:tcW w:w="4038" w:type="dxa"/>
            <w:vMerge/>
            <w:hideMark/>
          </w:tcPr>
          <w:p w14:paraId="13D85426" w14:textId="77777777" w:rsidR="005C60A7" w:rsidRPr="007B7228" w:rsidRDefault="005C60A7" w:rsidP="00CD039D"/>
        </w:tc>
        <w:tc>
          <w:tcPr>
            <w:tcW w:w="1054" w:type="dxa"/>
            <w:shd w:val="clear" w:color="auto" w:fill="auto"/>
            <w:hideMark/>
          </w:tcPr>
          <w:p w14:paraId="6D20EDB3" w14:textId="77777777" w:rsidR="005C60A7" w:rsidRPr="007B7228" w:rsidRDefault="005C60A7" w:rsidP="00CD039D">
            <w:pPr>
              <w:jc w:val="right"/>
            </w:pPr>
            <w:r w:rsidRPr="007B7228">
              <w:t>Taller 7</w:t>
            </w:r>
          </w:p>
        </w:tc>
        <w:tc>
          <w:tcPr>
            <w:tcW w:w="1556" w:type="dxa"/>
            <w:shd w:val="clear" w:color="auto" w:fill="auto"/>
            <w:hideMark/>
          </w:tcPr>
          <w:p w14:paraId="234BD933" w14:textId="77777777" w:rsidR="005C60A7" w:rsidRPr="007B7228" w:rsidRDefault="005C60A7" w:rsidP="00CD039D">
            <w:pPr>
              <w:jc w:val="right"/>
            </w:pPr>
            <w:r w:rsidRPr="007B7228">
              <w:t>18-25</w:t>
            </w:r>
          </w:p>
        </w:tc>
        <w:tc>
          <w:tcPr>
            <w:tcW w:w="856" w:type="dxa"/>
            <w:shd w:val="clear" w:color="auto" w:fill="auto"/>
            <w:hideMark/>
          </w:tcPr>
          <w:p w14:paraId="2FD84608" w14:textId="77777777" w:rsidR="005C60A7" w:rsidRPr="007B7228" w:rsidRDefault="005C60A7" w:rsidP="00CD039D">
            <w:pPr>
              <w:jc w:val="right"/>
            </w:pPr>
            <w:r w:rsidRPr="007B7228">
              <w:t>1</w:t>
            </w:r>
          </w:p>
        </w:tc>
      </w:tr>
      <w:tr w:rsidR="005C60A7" w:rsidRPr="007B7228" w14:paraId="1B1B6A36" w14:textId="77777777" w:rsidTr="00CD039D">
        <w:trPr>
          <w:trHeight w:val="41"/>
        </w:trPr>
        <w:tc>
          <w:tcPr>
            <w:tcW w:w="1301" w:type="dxa"/>
            <w:vMerge/>
            <w:hideMark/>
          </w:tcPr>
          <w:p w14:paraId="7866C723" w14:textId="77777777" w:rsidR="005C60A7" w:rsidRPr="007B7228" w:rsidRDefault="005C60A7" w:rsidP="00CD039D"/>
        </w:tc>
        <w:tc>
          <w:tcPr>
            <w:tcW w:w="4038" w:type="dxa"/>
            <w:vMerge/>
            <w:hideMark/>
          </w:tcPr>
          <w:p w14:paraId="19F28859" w14:textId="77777777" w:rsidR="005C60A7" w:rsidRPr="007B7228" w:rsidRDefault="005C60A7" w:rsidP="00CD039D"/>
        </w:tc>
        <w:tc>
          <w:tcPr>
            <w:tcW w:w="1054" w:type="dxa"/>
            <w:shd w:val="clear" w:color="auto" w:fill="auto"/>
            <w:hideMark/>
          </w:tcPr>
          <w:p w14:paraId="086570EA" w14:textId="77777777" w:rsidR="005C60A7" w:rsidRPr="007B7228" w:rsidRDefault="005C60A7" w:rsidP="00CD039D">
            <w:pPr>
              <w:jc w:val="right"/>
            </w:pPr>
            <w:r w:rsidRPr="007B7228">
              <w:t>Taller 8</w:t>
            </w:r>
          </w:p>
        </w:tc>
        <w:tc>
          <w:tcPr>
            <w:tcW w:w="1556" w:type="dxa"/>
            <w:shd w:val="clear" w:color="auto" w:fill="auto"/>
            <w:hideMark/>
          </w:tcPr>
          <w:p w14:paraId="36A9656D" w14:textId="77777777" w:rsidR="005C60A7" w:rsidRPr="007B7228" w:rsidRDefault="005C60A7" w:rsidP="00CD039D">
            <w:pPr>
              <w:jc w:val="right"/>
            </w:pPr>
            <w:r w:rsidRPr="007B7228">
              <w:t>18-25</w:t>
            </w:r>
          </w:p>
        </w:tc>
        <w:tc>
          <w:tcPr>
            <w:tcW w:w="856" w:type="dxa"/>
            <w:shd w:val="clear" w:color="auto" w:fill="auto"/>
            <w:hideMark/>
          </w:tcPr>
          <w:p w14:paraId="1BA4C4B7" w14:textId="77777777" w:rsidR="005C60A7" w:rsidRPr="007B7228" w:rsidRDefault="005C60A7" w:rsidP="00CD039D">
            <w:pPr>
              <w:jc w:val="right"/>
            </w:pPr>
            <w:r w:rsidRPr="007B7228">
              <w:t>1</w:t>
            </w:r>
          </w:p>
        </w:tc>
      </w:tr>
      <w:tr w:rsidR="005C60A7" w:rsidRPr="007B7228" w14:paraId="2B11390C" w14:textId="77777777" w:rsidTr="00CD039D">
        <w:trPr>
          <w:trHeight w:val="60"/>
        </w:trPr>
        <w:tc>
          <w:tcPr>
            <w:tcW w:w="1301" w:type="dxa"/>
            <w:vMerge/>
            <w:hideMark/>
          </w:tcPr>
          <w:p w14:paraId="05C66945" w14:textId="77777777" w:rsidR="005C60A7" w:rsidRPr="007B7228" w:rsidRDefault="005C60A7" w:rsidP="00CD039D"/>
        </w:tc>
        <w:tc>
          <w:tcPr>
            <w:tcW w:w="4038" w:type="dxa"/>
            <w:vMerge/>
            <w:hideMark/>
          </w:tcPr>
          <w:p w14:paraId="27C132C4" w14:textId="77777777" w:rsidR="005C60A7" w:rsidRPr="007B7228" w:rsidRDefault="005C60A7" w:rsidP="00CD039D"/>
        </w:tc>
        <w:tc>
          <w:tcPr>
            <w:tcW w:w="1054" w:type="dxa"/>
            <w:shd w:val="clear" w:color="auto" w:fill="auto"/>
            <w:hideMark/>
          </w:tcPr>
          <w:p w14:paraId="39C5539C" w14:textId="77777777" w:rsidR="005C60A7" w:rsidRPr="007B7228" w:rsidRDefault="005C60A7" w:rsidP="00CD039D">
            <w:r w:rsidRPr="007B7228">
              <w:t> </w:t>
            </w:r>
          </w:p>
        </w:tc>
        <w:tc>
          <w:tcPr>
            <w:tcW w:w="1556" w:type="dxa"/>
            <w:shd w:val="clear" w:color="auto" w:fill="auto"/>
            <w:hideMark/>
          </w:tcPr>
          <w:p w14:paraId="6225494F" w14:textId="77777777" w:rsidR="005C60A7" w:rsidRPr="007B7228" w:rsidRDefault="005C60A7" w:rsidP="00CD039D">
            <w:r w:rsidRPr="007B7228">
              <w:t> </w:t>
            </w:r>
          </w:p>
        </w:tc>
        <w:tc>
          <w:tcPr>
            <w:tcW w:w="856" w:type="dxa"/>
            <w:shd w:val="clear" w:color="auto" w:fill="auto"/>
            <w:hideMark/>
          </w:tcPr>
          <w:p w14:paraId="4B7A3A09" w14:textId="77777777" w:rsidR="005C60A7" w:rsidRPr="007B7228" w:rsidRDefault="005C60A7" w:rsidP="00CD039D">
            <w:r w:rsidRPr="007B7228">
              <w:t> </w:t>
            </w:r>
          </w:p>
        </w:tc>
      </w:tr>
      <w:tr w:rsidR="005C60A7" w:rsidRPr="007B7228" w14:paraId="0BD2BC16" w14:textId="77777777" w:rsidTr="00CD039D">
        <w:trPr>
          <w:trHeight w:val="450"/>
        </w:trPr>
        <w:tc>
          <w:tcPr>
            <w:tcW w:w="1301" w:type="dxa"/>
            <w:vMerge w:val="restart"/>
            <w:shd w:val="clear" w:color="auto" w:fill="auto"/>
            <w:hideMark/>
          </w:tcPr>
          <w:p w14:paraId="4EC649AA" w14:textId="77777777" w:rsidR="005C60A7" w:rsidRPr="007B7228" w:rsidRDefault="005C60A7" w:rsidP="00CD039D">
            <w:r w:rsidRPr="007B7228">
              <w:t>PRODUCTO 4:</w:t>
            </w:r>
          </w:p>
        </w:tc>
        <w:tc>
          <w:tcPr>
            <w:tcW w:w="4038" w:type="dxa"/>
            <w:vMerge w:val="restart"/>
            <w:shd w:val="clear" w:color="auto" w:fill="auto"/>
            <w:hideMark/>
          </w:tcPr>
          <w:p w14:paraId="2804E377" w14:textId="77777777" w:rsidR="005C60A7" w:rsidRPr="007B7228" w:rsidRDefault="005C60A7" w:rsidP="00CD039D">
            <w:r w:rsidRPr="007B7228">
              <w:t>Capacitación a promotores/ras comunitarios para la Implementación de Metodología FCSA.</w:t>
            </w:r>
          </w:p>
        </w:tc>
        <w:tc>
          <w:tcPr>
            <w:tcW w:w="1054" w:type="dxa"/>
            <w:vMerge w:val="restart"/>
            <w:shd w:val="clear" w:color="auto" w:fill="auto"/>
            <w:hideMark/>
          </w:tcPr>
          <w:p w14:paraId="5E970480" w14:textId="77777777" w:rsidR="005C60A7" w:rsidRPr="007B7228" w:rsidRDefault="005C60A7" w:rsidP="00CD039D">
            <w:pPr>
              <w:jc w:val="right"/>
            </w:pPr>
            <w:r w:rsidRPr="007B7228">
              <w:t>1 taller</w:t>
            </w:r>
          </w:p>
        </w:tc>
        <w:tc>
          <w:tcPr>
            <w:tcW w:w="1556" w:type="dxa"/>
            <w:vMerge w:val="restart"/>
            <w:shd w:val="clear" w:color="auto" w:fill="auto"/>
          </w:tcPr>
          <w:p w14:paraId="62948C26" w14:textId="77777777" w:rsidR="005C60A7" w:rsidRPr="007B7228" w:rsidRDefault="005C60A7" w:rsidP="00CD039D">
            <w:pPr>
              <w:jc w:val="right"/>
            </w:pPr>
            <w:r w:rsidRPr="007B7228">
              <w:t>10</w:t>
            </w:r>
          </w:p>
        </w:tc>
        <w:tc>
          <w:tcPr>
            <w:tcW w:w="856" w:type="dxa"/>
            <w:vMerge w:val="restart"/>
            <w:shd w:val="clear" w:color="auto" w:fill="auto"/>
            <w:hideMark/>
          </w:tcPr>
          <w:p w14:paraId="77D16BFD" w14:textId="77777777" w:rsidR="005C60A7" w:rsidRPr="007B7228" w:rsidRDefault="005C60A7" w:rsidP="00CD039D">
            <w:pPr>
              <w:jc w:val="right"/>
            </w:pPr>
            <w:r w:rsidRPr="007B7228">
              <w:t> 1</w:t>
            </w:r>
          </w:p>
          <w:p w14:paraId="3828AF1D" w14:textId="77777777" w:rsidR="005C60A7" w:rsidRPr="007B7228" w:rsidRDefault="005C60A7" w:rsidP="00CD039D">
            <w:pPr>
              <w:jc w:val="right"/>
            </w:pPr>
          </w:p>
        </w:tc>
      </w:tr>
      <w:tr w:rsidR="005C60A7" w:rsidRPr="007B7228" w14:paraId="00993B79" w14:textId="77777777" w:rsidTr="00CD039D">
        <w:trPr>
          <w:trHeight w:val="450"/>
        </w:trPr>
        <w:tc>
          <w:tcPr>
            <w:tcW w:w="1301" w:type="dxa"/>
            <w:vMerge/>
            <w:hideMark/>
          </w:tcPr>
          <w:p w14:paraId="2E865596" w14:textId="77777777" w:rsidR="005C60A7" w:rsidRPr="007B7228" w:rsidRDefault="005C60A7" w:rsidP="00CD039D"/>
        </w:tc>
        <w:tc>
          <w:tcPr>
            <w:tcW w:w="4038" w:type="dxa"/>
            <w:vMerge/>
            <w:hideMark/>
          </w:tcPr>
          <w:p w14:paraId="728E1ACE" w14:textId="77777777" w:rsidR="005C60A7" w:rsidRPr="007B7228" w:rsidRDefault="005C60A7" w:rsidP="00CD039D"/>
        </w:tc>
        <w:tc>
          <w:tcPr>
            <w:tcW w:w="1054" w:type="dxa"/>
            <w:vMerge/>
            <w:hideMark/>
          </w:tcPr>
          <w:p w14:paraId="50A73D55" w14:textId="77777777" w:rsidR="005C60A7" w:rsidRPr="007B7228" w:rsidRDefault="005C60A7" w:rsidP="00CD039D">
            <w:pPr>
              <w:jc w:val="right"/>
            </w:pPr>
          </w:p>
        </w:tc>
        <w:tc>
          <w:tcPr>
            <w:tcW w:w="1556" w:type="dxa"/>
            <w:vMerge/>
            <w:hideMark/>
          </w:tcPr>
          <w:p w14:paraId="3AE8C051" w14:textId="77777777" w:rsidR="005C60A7" w:rsidRPr="007B7228" w:rsidRDefault="005C60A7" w:rsidP="00CD039D">
            <w:pPr>
              <w:jc w:val="right"/>
            </w:pPr>
          </w:p>
        </w:tc>
        <w:tc>
          <w:tcPr>
            <w:tcW w:w="856" w:type="dxa"/>
            <w:vMerge/>
            <w:hideMark/>
          </w:tcPr>
          <w:p w14:paraId="0E26C67C" w14:textId="77777777" w:rsidR="005C60A7" w:rsidRPr="007B7228" w:rsidRDefault="005C60A7" w:rsidP="00CD039D">
            <w:pPr>
              <w:jc w:val="right"/>
            </w:pPr>
          </w:p>
        </w:tc>
      </w:tr>
      <w:tr w:rsidR="005C60A7" w:rsidRPr="007B7228" w14:paraId="484FDCA6" w14:textId="77777777" w:rsidTr="00CD039D">
        <w:trPr>
          <w:trHeight w:val="450"/>
        </w:trPr>
        <w:tc>
          <w:tcPr>
            <w:tcW w:w="1301" w:type="dxa"/>
            <w:vMerge/>
            <w:hideMark/>
          </w:tcPr>
          <w:p w14:paraId="118B3BD2" w14:textId="77777777" w:rsidR="005C60A7" w:rsidRPr="007B7228" w:rsidRDefault="005C60A7" w:rsidP="00CD039D"/>
        </w:tc>
        <w:tc>
          <w:tcPr>
            <w:tcW w:w="4038" w:type="dxa"/>
            <w:vMerge/>
          </w:tcPr>
          <w:p w14:paraId="258296DF" w14:textId="77777777" w:rsidR="005C60A7" w:rsidRPr="007B7228" w:rsidRDefault="005C60A7" w:rsidP="00CD039D"/>
        </w:tc>
        <w:tc>
          <w:tcPr>
            <w:tcW w:w="1054" w:type="dxa"/>
            <w:vMerge/>
          </w:tcPr>
          <w:p w14:paraId="1DE2B51B" w14:textId="77777777" w:rsidR="005C60A7" w:rsidRPr="007B7228" w:rsidRDefault="005C60A7" w:rsidP="00CD039D">
            <w:pPr>
              <w:jc w:val="right"/>
            </w:pPr>
          </w:p>
        </w:tc>
        <w:tc>
          <w:tcPr>
            <w:tcW w:w="1556" w:type="dxa"/>
            <w:vMerge/>
          </w:tcPr>
          <w:p w14:paraId="1D4A7E9A" w14:textId="77777777" w:rsidR="005C60A7" w:rsidRPr="007B7228" w:rsidRDefault="005C60A7" w:rsidP="00CD039D">
            <w:pPr>
              <w:jc w:val="right"/>
            </w:pPr>
          </w:p>
        </w:tc>
        <w:tc>
          <w:tcPr>
            <w:tcW w:w="856" w:type="dxa"/>
            <w:vMerge/>
          </w:tcPr>
          <w:p w14:paraId="4DE7951A" w14:textId="77777777" w:rsidR="005C60A7" w:rsidRPr="007B7228" w:rsidRDefault="005C60A7" w:rsidP="00CD039D">
            <w:pPr>
              <w:jc w:val="right"/>
            </w:pPr>
          </w:p>
        </w:tc>
      </w:tr>
      <w:tr w:rsidR="005C60A7" w:rsidRPr="007B7228" w14:paraId="0319CD1F" w14:textId="77777777" w:rsidTr="00CD039D">
        <w:trPr>
          <w:trHeight w:val="450"/>
        </w:trPr>
        <w:tc>
          <w:tcPr>
            <w:tcW w:w="1301" w:type="dxa"/>
            <w:vMerge/>
            <w:hideMark/>
          </w:tcPr>
          <w:p w14:paraId="3AD0B880" w14:textId="77777777" w:rsidR="005C60A7" w:rsidRPr="007B7228" w:rsidRDefault="005C60A7" w:rsidP="00CD039D"/>
        </w:tc>
        <w:tc>
          <w:tcPr>
            <w:tcW w:w="4038" w:type="dxa"/>
            <w:vMerge/>
          </w:tcPr>
          <w:p w14:paraId="7442EB6D" w14:textId="77777777" w:rsidR="005C60A7" w:rsidRPr="007B7228" w:rsidRDefault="005C60A7" w:rsidP="00CD039D"/>
        </w:tc>
        <w:tc>
          <w:tcPr>
            <w:tcW w:w="1054" w:type="dxa"/>
            <w:vMerge/>
          </w:tcPr>
          <w:p w14:paraId="464EA823" w14:textId="77777777" w:rsidR="005C60A7" w:rsidRPr="007B7228" w:rsidRDefault="005C60A7" w:rsidP="00CD039D">
            <w:pPr>
              <w:jc w:val="right"/>
            </w:pPr>
          </w:p>
        </w:tc>
        <w:tc>
          <w:tcPr>
            <w:tcW w:w="1556" w:type="dxa"/>
            <w:vMerge/>
          </w:tcPr>
          <w:p w14:paraId="52952426" w14:textId="77777777" w:rsidR="005C60A7" w:rsidRPr="007B7228" w:rsidRDefault="005C60A7" w:rsidP="00CD039D">
            <w:pPr>
              <w:jc w:val="right"/>
            </w:pPr>
          </w:p>
        </w:tc>
        <w:tc>
          <w:tcPr>
            <w:tcW w:w="856" w:type="dxa"/>
            <w:vMerge/>
          </w:tcPr>
          <w:p w14:paraId="3E98B30D" w14:textId="77777777" w:rsidR="005C60A7" w:rsidRPr="007B7228" w:rsidRDefault="005C60A7" w:rsidP="00CD039D">
            <w:pPr>
              <w:jc w:val="right"/>
            </w:pPr>
          </w:p>
        </w:tc>
      </w:tr>
      <w:tr w:rsidR="005C60A7" w:rsidRPr="007B7228" w14:paraId="2A427764" w14:textId="77777777" w:rsidTr="00CD039D">
        <w:trPr>
          <w:trHeight w:val="415"/>
        </w:trPr>
        <w:tc>
          <w:tcPr>
            <w:tcW w:w="1301" w:type="dxa"/>
            <w:vMerge w:val="restart"/>
          </w:tcPr>
          <w:p w14:paraId="0FDED81C" w14:textId="77777777" w:rsidR="005C60A7" w:rsidRPr="007B7228" w:rsidRDefault="005C60A7" w:rsidP="00CD039D">
            <w:r w:rsidRPr="007B7228">
              <w:t>PRODUCTO 5:</w:t>
            </w:r>
          </w:p>
          <w:p w14:paraId="73156657" w14:textId="77777777" w:rsidR="005C60A7" w:rsidRPr="007B7228" w:rsidRDefault="005C60A7" w:rsidP="00CD039D"/>
        </w:tc>
        <w:tc>
          <w:tcPr>
            <w:tcW w:w="4038" w:type="dxa"/>
          </w:tcPr>
          <w:p w14:paraId="170402FB" w14:textId="77777777" w:rsidR="005C60A7" w:rsidRPr="007B7228" w:rsidRDefault="005C60A7" w:rsidP="00CD039D">
            <w:r w:rsidRPr="007B7228">
              <w:t>Capacitación del Módulo III: Compendio Metodológico. Segunda Parte, Cartilla N° 4: "Cómo administramos nuestros servicios de agua potable y saneamiento".</w:t>
            </w:r>
          </w:p>
        </w:tc>
        <w:tc>
          <w:tcPr>
            <w:tcW w:w="1054" w:type="dxa"/>
          </w:tcPr>
          <w:p w14:paraId="0FF315E7" w14:textId="77777777" w:rsidR="005C60A7" w:rsidRPr="007B7228" w:rsidRDefault="005C60A7" w:rsidP="00CD039D">
            <w:pPr>
              <w:jc w:val="right"/>
            </w:pPr>
            <w:r w:rsidRPr="007B7228">
              <w:t> 1 taller</w:t>
            </w:r>
          </w:p>
        </w:tc>
        <w:tc>
          <w:tcPr>
            <w:tcW w:w="1556" w:type="dxa"/>
          </w:tcPr>
          <w:p w14:paraId="7B9BF3AA" w14:textId="77777777" w:rsidR="005C60A7" w:rsidRPr="007B7228" w:rsidRDefault="005C60A7" w:rsidP="00CD039D">
            <w:pPr>
              <w:jc w:val="right"/>
            </w:pPr>
            <w:r w:rsidRPr="007B7228">
              <w:t>18-25</w:t>
            </w:r>
          </w:p>
        </w:tc>
        <w:tc>
          <w:tcPr>
            <w:tcW w:w="856" w:type="dxa"/>
          </w:tcPr>
          <w:p w14:paraId="28DFBC2B" w14:textId="77777777" w:rsidR="005C60A7" w:rsidRPr="007B7228" w:rsidRDefault="005C60A7" w:rsidP="00CD039D">
            <w:pPr>
              <w:jc w:val="right"/>
            </w:pPr>
            <w:r w:rsidRPr="007B7228">
              <w:t> 1</w:t>
            </w:r>
          </w:p>
        </w:tc>
      </w:tr>
      <w:tr w:rsidR="005C60A7" w:rsidRPr="007B7228" w14:paraId="590070A9" w14:textId="77777777" w:rsidTr="00CD039D">
        <w:trPr>
          <w:trHeight w:val="415"/>
        </w:trPr>
        <w:tc>
          <w:tcPr>
            <w:tcW w:w="1301" w:type="dxa"/>
            <w:vMerge/>
          </w:tcPr>
          <w:p w14:paraId="52EB12E4" w14:textId="77777777" w:rsidR="005C60A7" w:rsidRPr="007B7228" w:rsidRDefault="005C60A7" w:rsidP="00CD039D"/>
        </w:tc>
        <w:tc>
          <w:tcPr>
            <w:tcW w:w="4038" w:type="dxa"/>
          </w:tcPr>
          <w:p w14:paraId="1F408D52" w14:textId="77777777" w:rsidR="005C60A7" w:rsidRPr="007B7228" w:rsidRDefault="005C60A7" w:rsidP="00CD039D">
            <w:r w:rsidRPr="007B7228">
              <w:t>Capacitación del Módulo IV: Compendio Metodológico, cartillas No.5, ó No.6 ó No.7 o No.8, en correspondencia al tipo de sistema a brindar operación y mantenimiento.</w:t>
            </w:r>
          </w:p>
        </w:tc>
        <w:tc>
          <w:tcPr>
            <w:tcW w:w="1054" w:type="dxa"/>
          </w:tcPr>
          <w:p w14:paraId="0A7A4A20" w14:textId="77777777" w:rsidR="005C60A7" w:rsidRPr="007B7228" w:rsidRDefault="005C60A7" w:rsidP="00CD039D">
            <w:pPr>
              <w:jc w:val="right"/>
            </w:pPr>
            <w:r w:rsidRPr="007B7228">
              <w:t> 1 taller</w:t>
            </w:r>
          </w:p>
        </w:tc>
        <w:tc>
          <w:tcPr>
            <w:tcW w:w="1556" w:type="dxa"/>
          </w:tcPr>
          <w:p w14:paraId="107A5E1B" w14:textId="77777777" w:rsidR="005C60A7" w:rsidRPr="007B7228" w:rsidRDefault="005C60A7" w:rsidP="00CD039D">
            <w:pPr>
              <w:jc w:val="right"/>
            </w:pPr>
            <w:r w:rsidRPr="007B7228">
              <w:t>18-25</w:t>
            </w:r>
          </w:p>
        </w:tc>
        <w:tc>
          <w:tcPr>
            <w:tcW w:w="856" w:type="dxa"/>
          </w:tcPr>
          <w:p w14:paraId="4178F94A" w14:textId="77777777" w:rsidR="005C60A7" w:rsidRPr="007B7228" w:rsidRDefault="005C60A7" w:rsidP="00CD039D">
            <w:pPr>
              <w:jc w:val="right"/>
            </w:pPr>
            <w:r w:rsidRPr="007B7228">
              <w:t> 1</w:t>
            </w:r>
          </w:p>
        </w:tc>
      </w:tr>
      <w:tr w:rsidR="005C60A7" w:rsidRPr="007B7228" w14:paraId="0E8B2723" w14:textId="77777777" w:rsidTr="00CD039D">
        <w:trPr>
          <w:trHeight w:val="1093"/>
        </w:trPr>
        <w:tc>
          <w:tcPr>
            <w:tcW w:w="1301" w:type="dxa"/>
            <w:vMerge w:val="restart"/>
            <w:shd w:val="clear" w:color="auto" w:fill="auto"/>
            <w:hideMark/>
          </w:tcPr>
          <w:p w14:paraId="00EEE900" w14:textId="77777777" w:rsidR="005C60A7" w:rsidRPr="007B7228" w:rsidRDefault="005C60A7" w:rsidP="00CD039D">
            <w:r w:rsidRPr="007B7228">
              <w:t>PRODUCTO 6:</w:t>
            </w:r>
          </w:p>
        </w:tc>
        <w:tc>
          <w:tcPr>
            <w:tcW w:w="4038" w:type="dxa"/>
            <w:vMerge w:val="restart"/>
            <w:shd w:val="clear" w:color="auto" w:fill="auto"/>
            <w:hideMark/>
          </w:tcPr>
          <w:p w14:paraId="686D642A" w14:textId="77777777" w:rsidR="005C60A7" w:rsidRPr="007B7228" w:rsidRDefault="005C60A7" w:rsidP="00CD039D">
            <w:r w:rsidRPr="007B7228">
              <w:t>Capacitación: Elaboración del Reglamento Interno del Sistema Construido.</w:t>
            </w:r>
          </w:p>
        </w:tc>
        <w:tc>
          <w:tcPr>
            <w:tcW w:w="1054" w:type="dxa"/>
            <w:vMerge w:val="restart"/>
            <w:shd w:val="clear" w:color="auto" w:fill="auto"/>
            <w:hideMark/>
          </w:tcPr>
          <w:p w14:paraId="47A87DD1" w14:textId="77777777" w:rsidR="005C60A7" w:rsidRPr="007B7228" w:rsidRDefault="005C60A7" w:rsidP="00CD039D">
            <w:pPr>
              <w:jc w:val="right"/>
            </w:pPr>
            <w:r w:rsidRPr="007B7228">
              <w:t> 1 taller</w:t>
            </w:r>
          </w:p>
        </w:tc>
        <w:tc>
          <w:tcPr>
            <w:tcW w:w="1556" w:type="dxa"/>
            <w:vMerge w:val="restart"/>
            <w:shd w:val="clear" w:color="auto" w:fill="auto"/>
            <w:hideMark/>
          </w:tcPr>
          <w:p w14:paraId="25EFA913" w14:textId="77777777" w:rsidR="005C60A7" w:rsidRPr="007B7228" w:rsidRDefault="005C60A7" w:rsidP="00CD039D">
            <w:pPr>
              <w:jc w:val="right"/>
            </w:pPr>
            <w:r w:rsidRPr="007B7228">
              <w:t>18-25</w:t>
            </w:r>
          </w:p>
        </w:tc>
        <w:tc>
          <w:tcPr>
            <w:tcW w:w="856" w:type="dxa"/>
            <w:vMerge w:val="restart"/>
            <w:shd w:val="clear" w:color="auto" w:fill="auto"/>
            <w:hideMark/>
          </w:tcPr>
          <w:p w14:paraId="7635F1D3" w14:textId="77777777" w:rsidR="005C60A7" w:rsidRPr="007B7228" w:rsidRDefault="005C60A7" w:rsidP="00CD039D">
            <w:pPr>
              <w:jc w:val="right"/>
            </w:pPr>
            <w:r w:rsidRPr="007B7228">
              <w:t> 1</w:t>
            </w:r>
          </w:p>
        </w:tc>
      </w:tr>
      <w:tr w:rsidR="005C60A7" w:rsidRPr="007B7228" w14:paraId="2DB7F6E7" w14:textId="77777777" w:rsidTr="00CD039D">
        <w:trPr>
          <w:trHeight w:val="450"/>
        </w:trPr>
        <w:tc>
          <w:tcPr>
            <w:tcW w:w="1301" w:type="dxa"/>
            <w:vMerge/>
            <w:hideMark/>
          </w:tcPr>
          <w:p w14:paraId="0B692A62" w14:textId="77777777" w:rsidR="005C60A7" w:rsidRPr="007B7228" w:rsidRDefault="005C60A7" w:rsidP="00CD039D"/>
        </w:tc>
        <w:tc>
          <w:tcPr>
            <w:tcW w:w="4038" w:type="dxa"/>
            <w:vMerge/>
            <w:hideMark/>
          </w:tcPr>
          <w:p w14:paraId="5C8B9BB6" w14:textId="77777777" w:rsidR="005C60A7" w:rsidRPr="007B7228" w:rsidRDefault="005C60A7" w:rsidP="00CD039D"/>
        </w:tc>
        <w:tc>
          <w:tcPr>
            <w:tcW w:w="1054" w:type="dxa"/>
            <w:vMerge/>
            <w:hideMark/>
          </w:tcPr>
          <w:p w14:paraId="72E1721A" w14:textId="77777777" w:rsidR="005C60A7" w:rsidRPr="007B7228" w:rsidRDefault="005C60A7" w:rsidP="00CD039D">
            <w:pPr>
              <w:jc w:val="right"/>
            </w:pPr>
          </w:p>
        </w:tc>
        <w:tc>
          <w:tcPr>
            <w:tcW w:w="1556" w:type="dxa"/>
            <w:vMerge/>
            <w:hideMark/>
          </w:tcPr>
          <w:p w14:paraId="4DE3393E" w14:textId="77777777" w:rsidR="005C60A7" w:rsidRPr="007B7228" w:rsidRDefault="005C60A7" w:rsidP="00CD039D">
            <w:pPr>
              <w:jc w:val="right"/>
            </w:pPr>
          </w:p>
        </w:tc>
        <w:tc>
          <w:tcPr>
            <w:tcW w:w="856" w:type="dxa"/>
            <w:vMerge/>
            <w:hideMark/>
          </w:tcPr>
          <w:p w14:paraId="2117EBA6" w14:textId="77777777" w:rsidR="005C60A7" w:rsidRPr="007B7228" w:rsidRDefault="005C60A7" w:rsidP="00CD039D">
            <w:pPr>
              <w:jc w:val="right"/>
            </w:pPr>
          </w:p>
        </w:tc>
      </w:tr>
      <w:tr w:rsidR="005C60A7" w:rsidRPr="007B7228" w14:paraId="0B698647" w14:textId="77777777" w:rsidTr="00CD039D">
        <w:trPr>
          <w:trHeight w:val="468"/>
        </w:trPr>
        <w:tc>
          <w:tcPr>
            <w:tcW w:w="1301" w:type="dxa"/>
            <w:vMerge w:val="restart"/>
            <w:shd w:val="clear" w:color="auto" w:fill="auto"/>
            <w:hideMark/>
          </w:tcPr>
          <w:p w14:paraId="0587CD38" w14:textId="77777777" w:rsidR="005C60A7" w:rsidRPr="007B7228" w:rsidRDefault="005C60A7" w:rsidP="00CD039D">
            <w:r w:rsidRPr="007B7228">
              <w:t xml:space="preserve">PRODUCTO 7 </w:t>
            </w:r>
          </w:p>
        </w:tc>
        <w:tc>
          <w:tcPr>
            <w:tcW w:w="4038" w:type="dxa"/>
            <w:vMerge w:val="restart"/>
            <w:shd w:val="clear" w:color="auto" w:fill="auto"/>
            <w:hideMark/>
          </w:tcPr>
          <w:p w14:paraId="45D893E4" w14:textId="77777777" w:rsidR="005C60A7" w:rsidRPr="007B7228" w:rsidRDefault="005C60A7" w:rsidP="00CD039D">
            <w:r w:rsidRPr="007B7228">
              <w:t>Capacitación de Reforzamiento sobre Ley 722 y su reglamento.</w:t>
            </w:r>
          </w:p>
        </w:tc>
        <w:tc>
          <w:tcPr>
            <w:tcW w:w="1054" w:type="dxa"/>
            <w:vMerge w:val="restart"/>
            <w:shd w:val="clear" w:color="auto" w:fill="auto"/>
            <w:hideMark/>
          </w:tcPr>
          <w:p w14:paraId="20AE74A9" w14:textId="77777777" w:rsidR="005C60A7" w:rsidRPr="007B7228" w:rsidRDefault="005C60A7" w:rsidP="00CD039D">
            <w:pPr>
              <w:jc w:val="right"/>
            </w:pPr>
            <w:r w:rsidRPr="007B7228">
              <w:t> 1 taller</w:t>
            </w:r>
          </w:p>
        </w:tc>
        <w:tc>
          <w:tcPr>
            <w:tcW w:w="1556" w:type="dxa"/>
            <w:vMerge w:val="restart"/>
            <w:shd w:val="clear" w:color="auto" w:fill="auto"/>
            <w:hideMark/>
          </w:tcPr>
          <w:p w14:paraId="5FBE4146" w14:textId="77777777" w:rsidR="005C60A7" w:rsidRPr="007B7228" w:rsidRDefault="005C60A7" w:rsidP="00CD039D">
            <w:pPr>
              <w:jc w:val="right"/>
            </w:pPr>
            <w:r w:rsidRPr="007B7228">
              <w:t>18-25</w:t>
            </w:r>
          </w:p>
        </w:tc>
        <w:tc>
          <w:tcPr>
            <w:tcW w:w="856" w:type="dxa"/>
            <w:vMerge w:val="restart"/>
            <w:shd w:val="clear" w:color="auto" w:fill="auto"/>
            <w:hideMark/>
          </w:tcPr>
          <w:p w14:paraId="20DAF804" w14:textId="77777777" w:rsidR="005C60A7" w:rsidRPr="007B7228" w:rsidRDefault="005C60A7" w:rsidP="00CD039D">
            <w:pPr>
              <w:jc w:val="right"/>
            </w:pPr>
            <w:r w:rsidRPr="007B7228">
              <w:t> 1</w:t>
            </w:r>
          </w:p>
        </w:tc>
      </w:tr>
      <w:tr w:rsidR="005C60A7" w:rsidRPr="007B7228" w14:paraId="75D74838" w14:textId="77777777" w:rsidTr="00CD039D">
        <w:trPr>
          <w:trHeight w:val="450"/>
        </w:trPr>
        <w:tc>
          <w:tcPr>
            <w:tcW w:w="1301" w:type="dxa"/>
            <w:vMerge/>
            <w:hideMark/>
          </w:tcPr>
          <w:p w14:paraId="6A50F695" w14:textId="77777777" w:rsidR="005C60A7" w:rsidRPr="007B7228" w:rsidRDefault="005C60A7" w:rsidP="00CD039D"/>
        </w:tc>
        <w:tc>
          <w:tcPr>
            <w:tcW w:w="4038" w:type="dxa"/>
            <w:vMerge/>
            <w:hideMark/>
          </w:tcPr>
          <w:p w14:paraId="3F109316" w14:textId="77777777" w:rsidR="005C60A7" w:rsidRPr="007B7228" w:rsidRDefault="005C60A7" w:rsidP="00CD039D"/>
        </w:tc>
        <w:tc>
          <w:tcPr>
            <w:tcW w:w="1054" w:type="dxa"/>
            <w:vMerge/>
            <w:hideMark/>
          </w:tcPr>
          <w:p w14:paraId="79E78E7A" w14:textId="77777777" w:rsidR="005C60A7" w:rsidRPr="007B7228" w:rsidRDefault="005C60A7" w:rsidP="00CD039D"/>
        </w:tc>
        <w:tc>
          <w:tcPr>
            <w:tcW w:w="1556" w:type="dxa"/>
            <w:vMerge/>
            <w:hideMark/>
          </w:tcPr>
          <w:p w14:paraId="4351D635" w14:textId="77777777" w:rsidR="005C60A7" w:rsidRPr="007B7228" w:rsidRDefault="005C60A7" w:rsidP="00CD039D"/>
        </w:tc>
        <w:tc>
          <w:tcPr>
            <w:tcW w:w="856" w:type="dxa"/>
            <w:vMerge/>
            <w:hideMark/>
          </w:tcPr>
          <w:p w14:paraId="35937AB5" w14:textId="77777777" w:rsidR="005C60A7" w:rsidRPr="007B7228" w:rsidRDefault="005C60A7" w:rsidP="00CD039D"/>
        </w:tc>
      </w:tr>
      <w:tr w:rsidR="005C60A7" w:rsidRPr="007B7228" w14:paraId="6537FA81" w14:textId="77777777" w:rsidTr="00CD039D">
        <w:trPr>
          <w:trHeight w:val="276"/>
        </w:trPr>
        <w:tc>
          <w:tcPr>
            <w:tcW w:w="1301" w:type="dxa"/>
            <w:shd w:val="clear" w:color="auto" w:fill="auto"/>
            <w:hideMark/>
          </w:tcPr>
          <w:p w14:paraId="5EFA7DB5" w14:textId="77777777" w:rsidR="005C60A7" w:rsidRPr="007B7228" w:rsidRDefault="005C60A7" w:rsidP="00CD039D">
            <w:r w:rsidRPr="007B7228">
              <w:t>Producto 8:</w:t>
            </w:r>
          </w:p>
        </w:tc>
        <w:tc>
          <w:tcPr>
            <w:tcW w:w="4038" w:type="dxa"/>
            <w:shd w:val="clear" w:color="auto" w:fill="auto"/>
            <w:hideMark/>
          </w:tcPr>
          <w:p w14:paraId="4AB58236" w14:textId="77777777" w:rsidR="005C60A7" w:rsidRPr="007B7228" w:rsidRDefault="005C60A7" w:rsidP="00CD039D">
            <w:r w:rsidRPr="007B7228">
              <w:t> </w:t>
            </w:r>
          </w:p>
        </w:tc>
        <w:tc>
          <w:tcPr>
            <w:tcW w:w="1054" w:type="dxa"/>
            <w:shd w:val="clear" w:color="auto" w:fill="auto"/>
            <w:hideMark/>
          </w:tcPr>
          <w:p w14:paraId="30513C51" w14:textId="77777777" w:rsidR="005C60A7" w:rsidRPr="007B7228" w:rsidRDefault="005C60A7" w:rsidP="00CD039D">
            <w:r w:rsidRPr="007B7228">
              <w:t> </w:t>
            </w:r>
          </w:p>
        </w:tc>
        <w:tc>
          <w:tcPr>
            <w:tcW w:w="1556" w:type="dxa"/>
            <w:shd w:val="clear" w:color="auto" w:fill="auto"/>
            <w:hideMark/>
          </w:tcPr>
          <w:p w14:paraId="3783BC14" w14:textId="77777777" w:rsidR="005C60A7" w:rsidRPr="007B7228" w:rsidRDefault="005C60A7" w:rsidP="00CD039D"/>
        </w:tc>
        <w:tc>
          <w:tcPr>
            <w:tcW w:w="856" w:type="dxa"/>
            <w:shd w:val="clear" w:color="auto" w:fill="auto"/>
            <w:hideMark/>
          </w:tcPr>
          <w:p w14:paraId="53D31E23" w14:textId="77777777" w:rsidR="005C60A7" w:rsidRPr="007B7228" w:rsidRDefault="005C60A7" w:rsidP="00CD039D">
            <w:r w:rsidRPr="007B7228">
              <w:t> </w:t>
            </w:r>
          </w:p>
        </w:tc>
      </w:tr>
      <w:tr w:rsidR="005C60A7" w:rsidRPr="007B7228" w14:paraId="7E83BBC5" w14:textId="77777777" w:rsidTr="00CD039D">
        <w:trPr>
          <w:trHeight w:val="276"/>
        </w:trPr>
        <w:tc>
          <w:tcPr>
            <w:tcW w:w="1301" w:type="dxa"/>
            <w:shd w:val="clear" w:color="auto" w:fill="auto"/>
            <w:hideMark/>
          </w:tcPr>
          <w:p w14:paraId="2F92263E" w14:textId="77777777" w:rsidR="005C60A7" w:rsidRPr="007B7228" w:rsidRDefault="005C60A7" w:rsidP="00CD039D">
            <w:r w:rsidRPr="007B7228">
              <w:t>Producto 9:</w:t>
            </w:r>
          </w:p>
        </w:tc>
        <w:tc>
          <w:tcPr>
            <w:tcW w:w="4038" w:type="dxa"/>
            <w:shd w:val="clear" w:color="auto" w:fill="auto"/>
            <w:hideMark/>
          </w:tcPr>
          <w:p w14:paraId="14D1EA46" w14:textId="77777777" w:rsidR="005C60A7" w:rsidRPr="007B7228" w:rsidRDefault="005C60A7" w:rsidP="00CD039D">
            <w:r w:rsidRPr="007B7228">
              <w:t> </w:t>
            </w:r>
          </w:p>
        </w:tc>
        <w:tc>
          <w:tcPr>
            <w:tcW w:w="1054" w:type="dxa"/>
            <w:shd w:val="clear" w:color="auto" w:fill="auto"/>
            <w:hideMark/>
          </w:tcPr>
          <w:p w14:paraId="5415396C" w14:textId="77777777" w:rsidR="005C60A7" w:rsidRPr="007B7228" w:rsidRDefault="005C60A7" w:rsidP="00CD039D">
            <w:r w:rsidRPr="007B7228">
              <w:t> </w:t>
            </w:r>
          </w:p>
        </w:tc>
        <w:tc>
          <w:tcPr>
            <w:tcW w:w="1556" w:type="dxa"/>
            <w:shd w:val="clear" w:color="auto" w:fill="auto"/>
            <w:hideMark/>
          </w:tcPr>
          <w:p w14:paraId="4D48D4B4" w14:textId="77777777" w:rsidR="005C60A7" w:rsidRPr="007B7228" w:rsidRDefault="005C60A7" w:rsidP="00CD039D"/>
        </w:tc>
        <w:tc>
          <w:tcPr>
            <w:tcW w:w="856" w:type="dxa"/>
            <w:shd w:val="clear" w:color="auto" w:fill="auto"/>
            <w:hideMark/>
          </w:tcPr>
          <w:p w14:paraId="7E14C984" w14:textId="77777777" w:rsidR="005C60A7" w:rsidRPr="007B7228" w:rsidRDefault="005C60A7" w:rsidP="00CD039D">
            <w:r w:rsidRPr="007B7228">
              <w:t> </w:t>
            </w:r>
          </w:p>
        </w:tc>
      </w:tr>
    </w:tbl>
    <w:p w14:paraId="1EC76749" w14:textId="77777777" w:rsidR="005C60A7" w:rsidRPr="007B7228" w:rsidRDefault="005C60A7" w:rsidP="005C60A7">
      <w:pPr>
        <w:rPr>
          <w:bCs/>
          <w:lang w:val="es-ES"/>
        </w:rPr>
      </w:pPr>
    </w:p>
    <w:p w14:paraId="62D21297" w14:textId="77777777" w:rsidR="005C60A7" w:rsidRPr="007B7228" w:rsidRDefault="005C60A7" w:rsidP="005C60A7">
      <w:r w:rsidRPr="007B7228">
        <w:rPr>
          <w:bCs/>
          <w:lang w:val="es-ES"/>
        </w:rPr>
        <w:t>No existen capacitaciones en los productos 1, 2, 8 y 9</w:t>
      </w:r>
    </w:p>
    <w:p w14:paraId="3020181A" w14:textId="77777777" w:rsidR="005C60A7" w:rsidRPr="007B7228" w:rsidRDefault="005C60A7" w:rsidP="005C60A7">
      <w:pPr>
        <w:rPr>
          <w:b/>
        </w:rPr>
      </w:pPr>
    </w:p>
    <w:p w14:paraId="5A4970D7" w14:textId="77777777" w:rsidR="005C60A7" w:rsidRPr="007B7228" w:rsidRDefault="005C60A7" w:rsidP="005C60A7">
      <w:pPr>
        <w:rPr>
          <w:rFonts w:ascii="Calibri" w:hAnsi="Calibri" w:cs="Calibri"/>
        </w:rPr>
      </w:pPr>
    </w:p>
    <w:p w14:paraId="4E7AC850" w14:textId="77777777" w:rsidR="008F01F1" w:rsidRPr="007B7228" w:rsidRDefault="005C60A7" w:rsidP="005C60A7">
      <w:r w:rsidRPr="007B7228">
        <w:rPr>
          <w:rFonts w:ascii="Calibri" w:hAnsi="Calibri" w:cs="Calibri"/>
        </w:rPr>
        <w:fldChar w:fldCharType="end"/>
      </w:r>
      <w:r w:rsidR="008F01F1" w:rsidRPr="007B7228">
        <w:rPr>
          <w:rFonts w:ascii="Calibri" w:hAnsi="Calibri" w:cs="Calibri"/>
        </w:rPr>
        <w:fldChar w:fldCharType="begin"/>
      </w:r>
      <w:r w:rsidR="008F01F1" w:rsidRPr="007B7228">
        <w:rPr>
          <w:rFonts w:ascii="Calibri" w:hAnsi="Calibri" w:cs="Calibri"/>
        </w:rPr>
        <w:instrText xml:space="preserve"> DOCVARIABLE  txtDesc </w:instrText>
      </w:r>
      <w:r w:rsidR="008F01F1" w:rsidRPr="007B7228">
        <w:rPr>
          <w:rFonts w:ascii="Calibri" w:hAnsi="Calibri" w:cs="Calibri"/>
        </w:rPr>
        <w:fldChar w:fldCharType="separate"/>
      </w:r>
    </w:p>
    <w:p w14:paraId="57638798" w14:textId="77777777" w:rsidR="008F01F1" w:rsidRPr="007B7228" w:rsidRDefault="008F01F1" w:rsidP="008F01F1">
      <w:pPr>
        <w:rPr>
          <w:b/>
        </w:rPr>
      </w:pPr>
    </w:p>
    <w:p w14:paraId="2055A697" w14:textId="77777777" w:rsidR="00D656B3" w:rsidRDefault="008F01F1" w:rsidP="005C60A7">
      <w:pPr>
        <w:rPr>
          <w:rFonts w:asciiTheme="minorHAnsi" w:hAnsiTheme="minorHAnsi"/>
          <w:b/>
          <w:color w:val="000000" w:themeColor="text1"/>
          <w:sz w:val="28"/>
          <w:szCs w:val="24"/>
          <w:lang w:val="es-MX"/>
        </w:rPr>
      </w:pPr>
      <w:r w:rsidRPr="007B7228">
        <w:rPr>
          <w:rFonts w:ascii="Calibri" w:hAnsi="Calibri" w:cs="Calibri"/>
        </w:rPr>
        <w:lastRenderedPageBreak/>
        <w:fldChar w:fldCharType="end"/>
      </w:r>
    </w:p>
    <w:p w14:paraId="10E4B691" w14:textId="77777777" w:rsidR="008F01F1" w:rsidRPr="00967CC6" w:rsidRDefault="008F01F1" w:rsidP="008F01F1">
      <w:pPr>
        <w:jc w:val="center"/>
        <w:rPr>
          <w:b/>
        </w:rPr>
      </w:pPr>
      <w:r w:rsidRPr="00967CC6">
        <w:rPr>
          <w:b/>
        </w:rPr>
        <w:t>DESCRIPCIÓN DEL PROYECTO</w:t>
      </w:r>
    </w:p>
    <w:p w14:paraId="313C85A2" w14:textId="77777777" w:rsidR="008F01F1" w:rsidRPr="00967CC6" w:rsidRDefault="008F01F1" w:rsidP="008F01F1">
      <w:pPr>
        <w:jc w:val="center"/>
        <w:rPr>
          <w:b/>
          <w:sz w:val="22"/>
          <w:szCs w:val="22"/>
        </w:rPr>
      </w:pPr>
    </w:p>
    <w:p w14:paraId="79DF7117" w14:textId="77777777" w:rsidR="008F01F1" w:rsidRPr="00967CC6" w:rsidRDefault="008F01F1" w:rsidP="008F01F1">
      <w:pPr>
        <w:rPr>
          <w:b/>
          <w:sz w:val="22"/>
          <w:szCs w:val="22"/>
        </w:rPr>
      </w:pPr>
      <w:r w:rsidRPr="00967CC6">
        <w:rPr>
          <w:b/>
          <w:sz w:val="22"/>
          <w:szCs w:val="22"/>
        </w:rPr>
        <w:t xml:space="preserve">Código del Proyecto: </w:t>
      </w:r>
      <w:r w:rsidRPr="00967CC6">
        <w:rPr>
          <w:sz w:val="22"/>
          <w:szCs w:val="22"/>
        </w:rPr>
        <w:t>19842</w:t>
      </w:r>
    </w:p>
    <w:p w14:paraId="0C026603" w14:textId="77777777" w:rsidR="008F01F1" w:rsidRPr="00967CC6" w:rsidRDefault="008F01F1" w:rsidP="008F01F1">
      <w:pPr>
        <w:rPr>
          <w:sz w:val="22"/>
          <w:szCs w:val="22"/>
        </w:rPr>
      </w:pPr>
      <w:r w:rsidRPr="00967CC6">
        <w:rPr>
          <w:b/>
          <w:sz w:val="22"/>
          <w:szCs w:val="22"/>
        </w:rPr>
        <w:t xml:space="preserve">Nombre del Proyecto: </w:t>
      </w:r>
      <w:r w:rsidRPr="008F01F1">
        <w:rPr>
          <w:sz w:val="22"/>
          <w:szCs w:val="22"/>
          <w:highlight w:val="yellow"/>
        </w:rPr>
        <w:t>Agua y Saneamiento Comunidad Zacatera.</w:t>
      </w:r>
      <w:r w:rsidR="00A71156" w:rsidRPr="00A71156">
        <w:rPr>
          <w:sz w:val="22"/>
          <w:szCs w:val="22"/>
          <w:highlight w:val="yellow"/>
        </w:rPr>
        <w:t xml:space="preserve"> </w:t>
      </w:r>
      <w:r w:rsidR="00A71156">
        <w:rPr>
          <w:sz w:val="22"/>
          <w:szCs w:val="22"/>
          <w:highlight w:val="yellow"/>
        </w:rPr>
        <w:t>(LOTE N°3</w:t>
      </w:r>
      <w:r w:rsidR="00A71156" w:rsidRPr="00A71156">
        <w:rPr>
          <w:sz w:val="22"/>
          <w:szCs w:val="22"/>
          <w:highlight w:val="yellow"/>
        </w:rPr>
        <w:t>)</w:t>
      </w:r>
    </w:p>
    <w:p w14:paraId="53102EDF" w14:textId="77777777" w:rsidR="008F01F1" w:rsidRPr="00967CC6" w:rsidRDefault="008F01F1" w:rsidP="008F01F1">
      <w:pPr>
        <w:rPr>
          <w:b/>
          <w:sz w:val="22"/>
          <w:szCs w:val="22"/>
        </w:rPr>
      </w:pPr>
      <w:r w:rsidRPr="00967CC6">
        <w:rPr>
          <w:b/>
          <w:sz w:val="22"/>
          <w:szCs w:val="22"/>
        </w:rPr>
        <w:t xml:space="preserve">Departamento: </w:t>
      </w:r>
      <w:r w:rsidRPr="00967CC6">
        <w:rPr>
          <w:sz w:val="22"/>
          <w:szCs w:val="22"/>
        </w:rPr>
        <w:t>Nueva Segovia.</w:t>
      </w:r>
      <w:r w:rsidRPr="00967CC6">
        <w:rPr>
          <w:b/>
          <w:sz w:val="22"/>
          <w:szCs w:val="22"/>
        </w:rPr>
        <w:t xml:space="preserve"> </w:t>
      </w:r>
    </w:p>
    <w:p w14:paraId="2EE2FA2E" w14:textId="77777777" w:rsidR="008F01F1" w:rsidRPr="00967CC6" w:rsidRDefault="008F01F1" w:rsidP="008F01F1">
      <w:pPr>
        <w:rPr>
          <w:b/>
          <w:sz w:val="22"/>
          <w:szCs w:val="22"/>
        </w:rPr>
      </w:pPr>
      <w:r w:rsidRPr="00967CC6">
        <w:rPr>
          <w:b/>
          <w:sz w:val="22"/>
          <w:szCs w:val="22"/>
        </w:rPr>
        <w:t xml:space="preserve">Municipio: </w:t>
      </w:r>
      <w:r w:rsidRPr="00967CC6">
        <w:rPr>
          <w:sz w:val="22"/>
          <w:szCs w:val="22"/>
        </w:rPr>
        <w:t>Wiwilí de Nueva Segovia.</w:t>
      </w:r>
      <w:r w:rsidRPr="00967CC6">
        <w:rPr>
          <w:b/>
          <w:sz w:val="22"/>
          <w:szCs w:val="22"/>
        </w:rPr>
        <w:t xml:space="preserve"> </w:t>
      </w:r>
    </w:p>
    <w:p w14:paraId="54A47008" w14:textId="77777777" w:rsidR="008F01F1" w:rsidRPr="00967CC6" w:rsidRDefault="008F01F1" w:rsidP="008F01F1">
      <w:pPr>
        <w:pBdr>
          <w:bottom w:val="single" w:sz="18" w:space="1" w:color="auto"/>
        </w:pBdr>
        <w:rPr>
          <w:b/>
          <w:sz w:val="22"/>
          <w:szCs w:val="22"/>
        </w:rPr>
      </w:pPr>
      <w:r w:rsidRPr="00967CC6">
        <w:rPr>
          <w:b/>
          <w:sz w:val="22"/>
          <w:szCs w:val="22"/>
        </w:rPr>
        <w:t xml:space="preserve">Fecha: </w:t>
      </w:r>
    </w:p>
    <w:p w14:paraId="436ABB06" w14:textId="77777777" w:rsidR="005C60A7" w:rsidRPr="00DE6BB5" w:rsidRDefault="005C60A7" w:rsidP="005C60A7">
      <w:pPr>
        <w:rPr>
          <w:sz w:val="22"/>
          <w:szCs w:val="22"/>
        </w:rPr>
      </w:pPr>
      <w:r w:rsidRPr="00DE6BB5">
        <w:rPr>
          <w:sz w:val="22"/>
          <w:szCs w:val="22"/>
        </w:rPr>
        <w:t>La duración de los proyectos se estima en trecientos sesenta y cinco (365) días calendario, plazo que incluye:</w:t>
      </w:r>
    </w:p>
    <w:p w14:paraId="7095A008" w14:textId="77777777" w:rsidR="005C60A7" w:rsidRPr="00DE6BB5" w:rsidRDefault="005C60A7" w:rsidP="005C60A7">
      <w:pPr>
        <w:rPr>
          <w:sz w:val="22"/>
          <w:szCs w:val="22"/>
        </w:rPr>
      </w:pPr>
      <w:r>
        <w:rPr>
          <w:sz w:val="22"/>
          <w:szCs w:val="22"/>
        </w:rPr>
        <w:t>•</w:t>
      </w:r>
      <w:r w:rsidRPr="00DE6BB5">
        <w:rPr>
          <w:sz w:val="22"/>
          <w:szCs w:val="22"/>
        </w:rPr>
        <w:t xml:space="preserve"> 275 días para realizar actividades de Construcción y actividades de Pre-Construcción (Estas actividades deben ir paralelas a la ejecución y no limita el avance de la misma)</w:t>
      </w:r>
    </w:p>
    <w:p w14:paraId="37293E5B" w14:textId="77777777" w:rsidR="005C60A7" w:rsidRPr="00DE6BB5" w:rsidRDefault="005C60A7" w:rsidP="005C60A7">
      <w:pPr>
        <w:rPr>
          <w:sz w:val="22"/>
          <w:szCs w:val="22"/>
        </w:rPr>
      </w:pPr>
    </w:p>
    <w:p w14:paraId="4449EED1" w14:textId="77777777" w:rsidR="005C60A7" w:rsidRPr="00DE6BB5" w:rsidRDefault="005C60A7" w:rsidP="005C60A7">
      <w:pPr>
        <w:rPr>
          <w:sz w:val="22"/>
          <w:szCs w:val="22"/>
        </w:rPr>
      </w:pPr>
      <w:r w:rsidRPr="00DE6BB5">
        <w:rPr>
          <w:sz w:val="22"/>
          <w:szCs w:val="22"/>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635BA5E2" w14:textId="77777777" w:rsidR="005C60A7" w:rsidRPr="00DE6BB5" w:rsidRDefault="005C60A7" w:rsidP="005C60A7">
      <w:pPr>
        <w:rPr>
          <w:sz w:val="22"/>
          <w:szCs w:val="22"/>
        </w:rPr>
      </w:pPr>
    </w:p>
    <w:p w14:paraId="4DF7C6C3" w14:textId="77777777" w:rsidR="005C60A7" w:rsidRPr="00DE6BB5" w:rsidRDefault="005C60A7" w:rsidP="005C60A7">
      <w:pPr>
        <w:rPr>
          <w:sz w:val="22"/>
          <w:szCs w:val="22"/>
        </w:rPr>
      </w:pPr>
      <w:r w:rsidRPr="00DE6BB5">
        <w:rPr>
          <w:sz w:val="22"/>
          <w:szCs w:val="22"/>
        </w:rPr>
        <w:t>Construcción de la obra de acuerdo a los planos, especificaciones técnicas, respetando la programación realizada, tanto para la parte física y social.</w:t>
      </w:r>
    </w:p>
    <w:p w14:paraId="359103C0" w14:textId="77777777" w:rsidR="005C60A7" w:rsidRPr="00DE6BB5" w:rsidRDefault="005C60A7" w:rsidP="005C60A7">
      <w:pPr>
        <w:rPr>
          <w:sz w:val="22"/>
          <w:szCs w:val="22"/>
        </w:rPr>
      </w:pPr>
    </w:p>
    <w:p w14:paraId="1749BF95" w14:textId="77777777" w:rsidR="005C60A7" w:rsidRPr="00DE6BB5" w:rsidRDefault="005C60A7" w:rsidP="005C60A7">
      <w:pPr>
        <w:rPr>
          <w:sz w:val="22"/>
          <w:szCs w:val="22"/>
        </w:rPr>
      </w:pPr>
      <w:r>
        <w:rPr>
          <w:sz w:val="22"/>
          <w:szCs w:val="22"/>
        </w:rPr>
        <w:t>•</w:t>
      </w:r>
      <w:r w:rsidRPr="00DE6BB5">
        <w:rPr>
          <w:sz w:val="22"/>
          <w:szCs w:val="22"/>
        </w:rPr>
        <w:t>90 días para realizar actividades de Post-obra. Post obra social de acuerdo a las especificaciones técnicas.</w:t>
      </w:r>
    </w:p>
    <w:p w14:paraId="03478103" w14:textId="77777777" w:rsidR="005C60A7" w:rsidRDefault="005C60A7" w:rsidP="005C60A7">
      <w:pPr>
        <w:pStyle w:val="Textoindependiente"/>
        <w:ind w:right="15"/>
        <w:rPr>
          <w:sz w:val="22"/>
          <w:szCs w:val="22"/>
        </w:rPr>
      </w:pPr>
    </w:p>
    <w:p w14:paraId="692D074F" w14:textId="77777777" w:rsidR="005C60A7" w:rsidRPr="00967CC6" w:rsidRDefault="005C60A7" w:rsidP="005C60A7">
      <w:pPr>
        <w:pStyle w:val="Textoindependiente"/>
        <w:ind w:right="15"/>
        <w:rPr>
          <w:sz w:val="22"/>
          <w:szCs w:val="22"/>
        </w:rPr>
      </w:pPr>
      <w:r w:rsidRPr="00967CC6">
        <w:rPr>
          <w:sz w:val="22"/>
          <w:szCs w:val="22"/>
        </w:rPr>
        <w:t>El proyecto consiste en la construcción de un sistema de abastecimiento de agua potable tipo MAG (mini acueducto por gravedad) diseñado para llevar el agua por medio de una línea de conducción que parte desde una obra de captación con fuente superficial, que dispone de un sistema de pretratamiento por medio de filtración hasta un sistema de tratamiento de filtros presurizados rurales y luego derivamos el agua tratada a 2 tanques de almacenamiento, el agua al segundo tanque se lleva por medio de una línea de aducción, posteriormente desde los tanques mediante una red de distribución, se abastecen las viviendas de la comunidad.</w:t>
      </w:r>
    </w:p>
    <w:p w14:paraId="7F7E5CE1" w14:textId="77777777" w:rsidR="005C60A7" w:rsidRPr="00967CC6" w:rsidRDefault="005C60A7" w:rsidP="005C60A7">
      <w:pPr>
        <w:pStyle w:val="Textoindependiente"/>
        <w:ind w:right="15"/>
        <w:rPr>
          <w:sz w:val="22"/>
          <w:szCs w:val="22"/>
        </w:rPr>
      </w:pPr>
      <w:r w:rsidRPr="00967CC6">
        <w:rPr>
          <w:sz w:val="22"/>
          <w:szCs w:val="22"/>
        </w:rPr>
        <w:t>El nivel de servicio proyectado es de conexiones domiciliares de patio, de acuerdo a la demanda de la comunidad se estarán construyendo 124 conexiones, incluyendo 1 escuela y 4 iglesias. La cobertura del sistema proyectado alcanza el 100% de las viviendas.</w:t>
      </w:r>
    </w:p>
    <w:p w14:paraId="2DBE2C42" w14:textId="77777777" w:rsidR="005C60A7" w:rsidRPr="00967CC6" w:rsidRDefault="005C60A7" w:rsidP="005C60A7">
      <w:pPr>
        <w:pStyle w:val="Textoindependiente"/>
        <w:ind w:right="15"/>
        <w:rPr>
          <w:sz w:val="22"/>
          <w:szCs w:val="22"/>
        </w:rPr>
      </w:pPr>
      <w:r w:rsidRPr="00967CC6">
        <w:rPr>
          <w:sz w:val="22"/>
          <w:szCs w:val="22"/>
        </w:rPr>
        <w:t xml:space="preserve">El componente de saneamiento consiste en la construcción de 123 unidades sanitarias para disposición de excretas, específicamente 123 Letrinas semielevadas e igual número de lavaderos a ser instalados cercanos a la vivienda y sobre el trayecto hacia la letrina, con el propósito de promover el hábito de lavado de manos. </w:t>
      </w:r>
    </w:p>
    <w:p w14:paraId="73B4B804" w14:textId="77777777" w:rsidR="005C60A7" w:rsidRPr="00967CC6" w:rsidRDefault="005C60A7" w:rsidP="005C60A7">
      <w:pPr>
        <w:pStyle w:val="Textoindependiente"/>
        <w:ind w:right="15"/>
        <w:rPr>
          <w:sz w:val="22"/>
          <w:szCs w:val="22"/>
        </w:rPr>
      </w:pPr>
      <w:r w:rsidRPr="00967CC6">
        <w:rPr>
          <w:sz w:val="22"/>
          <w:szCs w:val="22"/>
        </w:rPr>
        <w:t>El componente de acompañamiento de los procesos sociales del proyecto,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77045BB3" w14:textId="77777777" w:rsidR="005C60A7" w:rsidRDefault="005C60A7" w:rsidP="005C60A7">
      <w:pPr>
        <w:pStyle w:val="Textoindependiente"/>
        <w:ind w:right="15"/>
        <w:rPr>
          <w:sz w:val="22"/>
          <w:szCs w:val="22"/>
        </w:rPr>
      </w:pPr>
    </w:p>
    <w:p w14:paraId="7D3ED1BE" w14:textId="77777777" w:rsidR="005C60A7" w:rsidRPr="00967CC6" w:rsidRDefault="005C60A7" w:rsidP="005C60A7">
      <w:pPr>
        <w:ind w:right="15"/>
        <w:rPr>
          <w:b/>
          <w:bCs/>
          <w:noProof/>
          <w:sz w:val="22"/>
          <w:szCs w:val="22"/>
        </w:rPr>
      </w:pPr>
      <w:r w:rsidRPr="00967CC6">
        <w:rPr>
          <w:b/>
          <w:bCs/>
          <w:noProof/>
          <w:sz w:val="22"/>
          <w:szCs w:val="22"/>
        </w:rPr>
        <w:t>2.4</w:t>
      </w:r>
      <w:r w:rsidRPr="00967CC6">
        <w:rPr>
          <w:b/>
          <w:bCs/>
          <w:noProof/>
          <w:sz w:val="22"/>
          <w:szCs w:val="22"/>
        </w:rPr>
        <w:tab/>
        <w:t xml:space="preserve">Descripción técnica sistemas propuestos. </w:t>
      </w:r>
    </w:p>
    <w:p w14:paraId="6E015FA1" w14:textId="77777777" w:rsidR="005C60A7" w:rsidRPr="00967CC6" w:rsidRDefault="005C60A7" w:rsidP="005C60A7">
      <w:pPr>
        <w:pStyle w:val="Prrafodelista"/>
        <w:ind w:left="284" w:right="15"/>
        <w:rPr>
          <w:b/>
          <w:bCs/>
          <w:noProof/>
          <w:sz w:val="22"/>
          <w:szCs w:val="22"/>
        </w:rPr>
      </w:pPr>
    </w:p>
    <w:p w14:paraId="45BE9C33" w14:textId="77777777" w:rsidR="005C60A7" w:rsidRPr="00967CC6" w:rsidRDefault="005C60A7" w:rsidP="005C60A7">
      <w:pPr>
        <w:pStyle w:val="Prrafodelista"/>
        <w:ind w:left="0" w:right="15"/>
        <w:rPr>
          <w:b/>
          <w:bCs/>
          <w:noProof/>
          <w:sz w:val="22"/>
          <w:szCs w:val="22"/>
        </w:rPr>
      </w:pPr>
      <w:r w:rsidRPr="00967CC6">
        <w:rPr>
          <w:b/>
          <w:bCs/>
          <w:noProof/>
          <w:sz w:val="22"/>
          <w:szCs w:val="22"/>
        </w:rPr>
        <w:t>2.4.1</w:t>
      </w:r>
      <w:r w:rsidRPr="00967CC6">
        <w:rPr>
          <w:b/>
          <w:bCs/>
          <w:noProof/>
          <w:sz w:val="22"/>
          <w:szCs w:val="22"/>
        </w:rPr>
        <w:tab/>
        <w:t xml:space="preserve">Agua potable. </w:t>
      </w:r>
    </w:p>
    <w:p w14:paraId="3C7B1BFB" w14:textId="77777777" w:rsidR="005C60A7" w:rsidRPr="00967CC6" w:rsidRDefault="005C60A7" w:rsidP="005C60A7">
      <w:pPr>
        <w:pStyle w:val="Prrafodelista"/>
        <w:ind w:left="284" w:right="15"/>
        <w:rPr>
          <w:b/>
          <w:bCs/>
          <w:noProof/>
          <w:sz w:val="22"/>
          <w:szCs w:val="22"/>
        </w:rPr>
      </w:pPr>
    </w:p>
    <w:p w14:paraId="59ED42A6" w14:textId="77777777" w:rsidR="005C60A7" w:rsidRDefault="005C60A7" w:rsidP="005C60A7">
      <w:pPr>
        <w:tabs>
          <w:tab w:val="left" w:pos="5745"/>
        </w:tabs>
        <w:ind w:left="284" w:right="15"/>
        <w:jc w:val="center"/>
        <w:rPr>
          <w:b/>
          <w:sz w:val="22"/>
          <w:szCs w:val="22"/>
          <w:lang w:val="es-ES"/>
        </w:rPr>
      </w:pPr>
    </w:p>
    <w:p w14:paraId="7E22CBAB" w14:textId="77777777" w:rsidR="005C60A7" w:rsidRDefault="005C60A7" w:rsidP="005C60A7">
      <w:pPr>
        <w:tabs>
          <w:tab w:val="left" w:pos="5745"/>
        </w:tabs>
        <w:ind w:left="284" w:right="15"/>
        <w:jc w:val="center"/>
        <w:rPr>
          <w:b/>
          <w:sz w:val="22"/>
          <w:szCs w:val="22"/>
          <w:lang w:val="es-ES"/>
        </w:rPr>
      </w:pPr>
    </w:p>
    <w:p w14:paraId="17EC5882" w14:textId="77777777" w:rsidR="005C60A7" w:rsidRDefault="005C60A7" w:rsidP="005C60A7">
      <w:pPr>
        <w:tabs>
          <w:tab w:val="left" w:pos="5745"/>
        </w:tabs>
        <w:ind w:left="284" w:right="15"/>
        <w:jc w:val="center"/>
        <w:rPr>
          <w:b/>
          <w:sz w:val="22"/>
          <w:szCs w:val="22"/>
          <w:lang w:val="es-ES"/>
        </w:rPr>
      </w:pPr>
    </w:p>
    <w:p w14:paraId="610C3097" w14:textId="77777777" w:rsidR="005C60A7" w:rsidRDefault="005C60A7" w:rsidP="005C60A7">
      <w:pPr>
        <w:tabs>
          <w:tab w:val="left" w:pos="5745"/>
        </w:tabs>
        <w:ind w:left="284" w:right="15"/>
        <w:jc w:val="center"/>
        <w:rPr>
          <w:b/>
          <w:sz w:val="22"/>
          <w:szCs w:val="22"/>
          <w:lang w:val="es-ES"/>
        </w:rPr>
      </w:pPr>
    </w:p>
    <w:p w14:paraId="2BB107FE" w14:textId="77777777" w:rsidR="005C60A7" w:rsidRDefault="005C60A7" w:rsidP="005C60A7">
      <w:pPr>
        <w:tabs>
          <w:tab w:val="left" w:pos="5745"/>
        </w:tabs>
        <w:ind w:left="284" w:right="15"/>
        <w:jc w:val="center"/>
        <w:rPr>
          <w:b/>
          <w:sz w:val="22"/>
          <w:szCs w:val="22"/>
          <w:lang w:val="es-ES"/>
        </w:rPr>
      </w:pPr>
    </w:p>
    <w:p w14:paraId="418C6DC5" w14:textId="77777777" w:rsidR="005C60A7" w:rsidRDefault="005C60A7" w:rsidP="005C60A7">
      <w:pPr>
        <w:tabs>
          <w:tab w:val="left" w:pos="5745"/>
        </w:tabs>
        <w:ind w:left="284" w:right="15"/>
        <w:jc w:val="center"/>
        <w:rPr>
          <w:b/>
          <w:sz w:val="22"/>
          <w:szCs w:val="22"/>
          <w:lang w:val="es-ES"/>
        </w:rPr>
      </w:pPr>
    </w:p>
    <w:p w14:paraId="435BF7E2" w14:textId="77777777" w:rsidR="005C60A7" w:rsidRPr="00967CC6" w:rsidRDefault="005C60A7" w:rsidP="005C60A7">
      <w:pPr>
        <w:tabs>
          <w:tab w:val="left" w:pos="5745"/>
        </w:tabs>
        <w:ind w:left="284" w:right="15"/>
        <w:jc w:val="center"/>
        <w:rPr>
          <w:b/>
          <w:sz w:val="22"/>
          <w:szCs w:val="22"/>
          <w:lang w:val="es-ES"/>
        </w:rPr>
      </w:pPr>
      <w:r w:rsidRPr="00967CC6">
        <w:rPr>
          <w:b/>
          <w:sz w:val="22"/>
          <w:szCs w:val="22"/>
          <w:lang w:val="es-ES"/>
        </w:rPr>
        <w:lastRenderedPageBreak/>
        <w:t xml:space="preserve">Tabla1. Resumen de los componentes del sistema. </w:t>
      </w:r>
    </w:p>
    <w:p w14:paraId="3A41605C" w14:textId="77777777" w:rsidR="005C60A7" w:rsidRPr="00967CC6" w:rsidRDefault="005C60A7" w:rsidP="005C60A7">
      <w:pPr>
        <w:tabs>
          <w:tab w:val="left" w:pos="5745"/>
        </w:tabs>
        <w:ind w:left="284" w:right="15"/>
        <w:jc w:val="center"/>
        <w:rPr>
          <w:b/>
          <w:sz w:val="22"/>
          <w:szCs w:val="22"/>
          <w:lang w:val="es-ES"/>
        </w:rPr>
      </w:pP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144"/>
        <w:gridCol w:w="51"/>
        <w:gridCol w:w="3026"/>
        <w:gridCol w:w="30"/>
      </w:tblGrid>
      <w:tr w:rsidR="005C60A7" w:rsidRPr="00967CC6" w14:paraId="07D458D1" w14:textId="77777777" w:rsidTr="00CD039D">
        <w:trPr>
          <w:jc w:val="center"/>
        </w:trPr>
        <w:tc>
          <w:tcPr>
            <w:tcW w:w="2376" w:type="dxa"/>
            <w:shd w:val="clear" w:color="auto" w:fill="AEAAAA" w:themeFill="background2" w:themeFillShade="BF"/>
          </w:tcPr>
          <w:p w14:paraId="791A794B" w14:textId="77777777" w:rsidR="005C60A7" w:rsidRPr="00967CC6" w:rsidRDefault="005C60A7" w:rsidP="00CD039D">
            <w:pPr>
              <w:ind w:left="284" w:right="15"/>
              <w:jc w:val="center"/>
              <w:rPr>
                <w:b/>
                <w:sz w:val="22"/>
                <w:szCs w:val="22"/>
              </w:rPr>
            </w:pPr>
            <w:r w:rsidRPr="00967CC6">
              <w:rPr>
                <w:b/>
                <w:sz w:val="22"/>
                <w:szCs w:val="22"/>
              </w:rPr>
              <w:t>Componente</w:t>
            </w:r>
          </w:p>
        </w:tc>
        <w:tc>
          <w:tcPr>
            <w:tcW w:w="4195" w:type="dxa"/>
            <w:gridSpan w:val="2"/>
            <w:shd w:val="clear" w:color="auto" w:fill="AEAAAA" w:themeFill="background2" w:themeFillShade="BF"/>
          </w:tcPr>
          <w:p w14:paraId="07AC2437" w14:textId="77777777" w:rsidR="005C60A7" w:rsidRPr="00967CC6" w:rsidRDefault="005C60A7" w:rsidP="00CD039D">
            <w:pPr>
              <w:ind w:left="284" w:right="15"/>
              <w:jc w:val="center"/>
              <w:rPr>
                <w:b/>
                <w:sz w:val="22"/>
                <w:szCs w:val="22"/>
              </w:rPr>
            </w:pPr>
            <w:r w:rsidRPr="00967CC6">
              <w:rPr>
                <w:b/>
                <w:sz w:val="22"/>
                <w:szCs w:val="22"/>
              </w:rPr>
              <w:t xml:space="preserve">Dimensionamiento </w:t>
            </w:r>
          </w:p>
        </w:tc>
        <w:tc>
          <w:tcPr>
            <w:tcW w:w="3056" w:type="dxa"/>
            <w:gridSpan w:val="2"/>
            <w:shd w:val="clear" w:color="auto" w:fill="AEAAAA" w:themeFill="background2" w:themeFillShade="BF"/>
          </w:tcPr>
          <w:p w14:paraId="71F61018" w14:textId="77777777" w:rsidR="005C60A7" w:rsidRPr="00967CC6" w:rsidRDefault="005C60A7" w:rsidP="00CD039D">
            <w:pPr>
              <w:ind w:left="284" w:right="15"/>
              <w:jc w:val="center"/>
              <w:rPr>
                <w:b/>
                <w:sz w:val="22"/>
                <w:szCs w:val="22"/>
              </w:rPr>
            </w:pPr>
            <w:r w:rsidRPr="00967CC6">
              <w:rPr>
                <w:b/>
                <w:sz w:val="22"/>
                <w:szCs w:val="22"/>
              </w:rPr>
              <w:t xml:space="preserve">Otras características </w:t>
            </w:r>
          </w:p>
        </w:tc>
      </w:tr>
      <w:tr w:rsidR="005C60A7" w:rsidRPr="00967CC6" w14:paraId="316E75EB" w14:textId="77777777" w:rsidTr="00CD039D">
        <w:trPr>
          <w:trHeight w:val="2183"/>
          <w:jc w:val="center"/>
        </w:trPr>
        <w:tc>
          <w:tcPr>
            <w:tcW w:w="2376" w:type="dxa"/>
          </w:tcPr>
          <w:p w14:paraId="785FF335" w14:textId="77777777" w:rsidR="005C60A7" w:rsidRPr="00967CC6" w:rsidRDefault="005C60A7" w:rsidP="00CD039D">
            <w:pPr>
              <w:ind w:right="15"/>
              <w:rPr>
                <w:b/>
                <w:sz w:val="22"/>
                <w:szCs w:val="22"/>
              </w:rPr>
            </w:pPr>
            <w:r w:rsidRPr="00967CC6">
              <w:rPr>
                <w:b/>
                <w:sz w:val="22"/>
                <w:szCs w:val="22"/>
              </w:rPr>
              <w:t>Obra de Captación</w:t>
            </w:r>
          </w:p>
          <w:p w14:paraId="14023BAE" w14:textId="77777777" w:rsidR="005C60A7" w:rsidRPr="00967CC6" w:rsidRDefault="005C60A7" w:rsidP="00CD039D">
            <w:pPr>
              <w:ind w:right="15"/>
              <w:rPr>
                <w:b/>
                <w:sz w:val="22"/>
                <w:szCs w:val="22"/>
              </w:rPr>
            </w:pPr>
            <w:r w:rsidRPr="00967CC6">
              <w:rPr>
                <w:b/>
                <w:sz w:val="22"/>
                <w:szCs w:val="22"/>
              </w:rPr>
              <w:t>y Prefiltro.</w:t>
            </w:r>
          </w:p>
        </w:tc>
        <w:tc>
          <w:tcPr>
            <w:tcW w:w="4195" w:type="dxa"/>
            <w:gridSpan w:val="2"/>
          </w:tcPr>
          <w:p w14:paraId="34B84CC4" w14:textId="77777777" w:rsidR="005C60A7" w:rsidRPr="00967CC6" w:rsidRDefault="005C60A7" w:rsidP="00CD039D">
            <w:pPr>
              <w:ind w:left="284" w:right="15"/>
              <w:rPr>
                <w:sz w:val="22"/>
                <w:szCs w:val="22"/>
              </w:rPr>
            </w:pPr>
            <w:r w:rsidRPr="00967CC6">
              <w:rPr>
                <w:sz w:val="22"/>
                <w:szCs w:val="22"/>
              </w:rPr>
              <w:t>Dique Toma: 8m de largo x 2m de alto.</w:t>
            </w:r>
          </w:p>
          <w:p w14:paraId="1D65CAC8" w14:textId="77777777" w:rsidR="005C60A7" w:rsidRPr="00967CC6" w:rsidRDefault="005C60A7" w:rsidP="00CD039D">
            <w:pPr>
              <w:ind w:left="284" w:right="15"/>
              <w:rPr>
                <w:sz w:val="22"/>
                <w:szCs w:val="22"/>
              </w:rPr>
            </w:pPr>
            <w:r w:rsidRPr="00967CC6">
              <w:rPr>
                <w:sz w:val="22"/>
                <w:szCs w:val="22"/>
              </w:rPr>
              <w:t>Prefiltro: 3.20m x 2m x 0.80m</w:t>
            </w:r>
          </w:p>
          <w:p w14:paraId="65210A62" w14:textId="77777777" w:rsidR="005C60A7" w:rsidRPr="00967CC6" w:rsidRDefault="005C60A7" w:rsidP="00CD039D">
            <w:pPr>
              <w:ind w:left="284" w:right="15"/>
              <w:rPr>
                <w:sz w:val="22"/>
                <w:szCs w:val="22"/>
              </w:rPr>
            </w:pPr>
            <w:r w:rsidRPr="00967CC6">
              <w:rPr>
                <w:sz w:val="22"/>
                <w:szCs w:val="22"/>
              </w:rPr>
              <w:t>Coordenadas: (X:620037, Y:1502250)</w:t>
            </w:r>
          </w:p>
          <w:p w14:paraId="3F98467D" w14:textId="77777777" w:rsidR="005C60A7" w:rsidRPr="00967CC6" w:rsidRDefault="005C60A7" w:rsidP="00CD039D">
            <w:pPr>
              <w:ind w:left="284" w:right="15"/>
              <w:rPr>
                <w:sz w:val="22"/>
                <w:szCs w:val="22"/>
              </w:rPr>
            </w:pPr>
            <w:r w:rsidRPr="00967CC6">
              <w:rPr>
                <w:sz w:val="22"/>
                <w:szCs w:val="22"/>
              </w:rPr>
              <w:t>Cota del terreno 976.96 msnm</w:t>
            </w:r>
          </w:p>
          <w:p w14:paraId="4FD51109" w14:textId="77777777" w:rsidR="005C60A7" w:rsidRPr="00967CC6" w:rsidRDefault="005C60A7" w:rsidP="00CD039D">
            <w:pPr>
              <w:ind w:left="284" w:right="15"/>
              <w:rPr>
                <w:sz w:val="22"/>
                <w:szCs w:val="22"/>
              </w:rPr>
            </w:pPr>
            <w:r w:rsidRPr="00967CC6">
              <w:rPr>
                <w:sz w:val="22"/>
                <w:szCs w:val="22"/>
              </w:rPr>
              <w:t>Caudal estimado de la fuente: 53.58 GPM</w:t>
            </w:r>
          </w:p>
          <w:p w14:paraId="3BFB6820" w14:textId="77777777" w:rsidR="005C60A7" w:rsidRPr="00967CC6" w:rsidRDefault="005C60A7" w:rsidP="00CD039D">
            <w:pPr>
              <w:ind w:left="284" w:right="15"/>
              <w:rPr>
                <w:sz w:val="22"/>
                <w:szCs w:val="22"/>
              </w:rPr>
            </w:pPr>
            <w:r w:rsidRPr="00967CC6">
              <w:rPr>
                <w:sz w:val="22"/>
                <w:szCs w:val="22"/>
              </w:rPr>
              <w:t>(Producción estimada con criterio ecológico según estudio Hidrológico (90% fuente)</w:t>
            </w:r>
          </w:p>
        </w:tc>
        <w:tc>
          <w:tcPr>
            <w:tcW w:w="3056" w:type="dxa"/>
            <w:gridSpan w:val="2"/>
          </w:tcPr>
          <w:p w14:paraId="36D67602" w14:textId="77777777" w:rsidR="005C60A7" w:rsidRPr="00967CC6" w:rsidRDefault="005C60A7" w:rsidP="00CD039D">
            <w:pPr>
              <w:ind w:right="15"/>
              <w:rPr>
                <w:sz w:val="22"/>
                <w:szCs w:val="22"/>
              </w:rPr>
            </w:pPr>
            <w:r w:rsidRPr="00967CC6">
              <w:rPr>
                <w:sz w:val="22"/>
                <w:szCs w:val="22"/>
              </w:rPr>
              <w:t>- Losa y paredes de concreto reforzado:4000 psi</w:t>
            </w:r>
          </w:p>
          <w:p w14:paraId="5C79F128" w14:textId="77777777" w:rsidR="005C60A7" w:rsidRPr="00967CC6" w:rsidRDefault="005C60A7" w:rsidP="00CD039D">
            <w:pPr>
              <w:ind w:right="15"/>
              <w:rPr>
                <w:sz w:val="22"/>
                <w:szCs w:val="22"/>
              </w:rPr>
            </w:pPr>
            <w:r w:rsidRPr="00967CC6">
              <w:rPr>
                <w:sz w:val="22"/>
                <w:szCs w:val="22"/>
              </w:rPr>
              <w:t>-Concreto ciclópeo:2500psi debajo de losa y delantal</w:t>
            </w:r>
          </w:p>
          <w:p w14:paraId="4D2581D8" w14:textId="77777777" w:rsidR="005C60A7" w:rsidRPr="00967CC6" w:rsidRDefault="005C60A7" w:rsidP="00CD039D">
            <w:pPr>
              <w:ind w:right="15"/>
              <w:rPr>
                <w:sz w:val="22"/>
                <w:szCs w:val="22"/>
              </w:rPr>
            </w:pPr>
            <w:r w:rsidRPr="00967CC6">
              <w:rPr>
                <w:sz w:val="22"/>
                <w:szCs w:val="22"/>
              </w:rPr>
              <w:t>- Prefiltro: Grava de diferente diámetro.</w:t>
            </w:r>
          </w:p>
          <w:p w14:paraId="32F30E0A" w14:textId="77777777" w:rsidR="005C60A7" w:rsidRPr="00967CC6" w:rsidRDefault="005C60A7" w:rsidP="00CD039D">
            <w:pPr>
              <w:ind w:right="15"/>
              <w:rPr>
                <w:b/>
                <w:sz w:val="22"/>
                <w:szCs w:val="22"/>
              </w:rPr>
            </w:pPr>
          </w:p>
        </w:tc>
      </w:tr>
      <w:tr w:rsidR="005C60A7" w:rsidRPr="00967CC6" w14:paraId="15D2B63D" w14:textId="77777777" w:rsidTr="00CD039D">
        <w:trPr>
          <w:gridAfter w:val="1"/>
          <w:wAfter w:w="30" w:type="dxa"/>
          <w:trHeight w:val="2474"/>
          <w:jc w:val="center"/>
        </w:trPr>
        <w:tc>
          <w:tcPr>
            <w:tcW w:w="2376" w:type="dxa"/>
          </w:tcPr>
          <w:p w14:paraId="75AE7B81" w14:textId="77777777" w:rsidR="005C60A7" w:rsidRPr="00967CC6" w:rsidRDefault="005C60A7" w:rsidP="00CD039D">
            <w:pPr>
              <w:ind w:left="25" w:right="15"/>
              <w:rPr>
                <w:b/>
                <w:sz w:val="22"/>
                <w:szCs w:val="22"/>
              </w:rPr>
            </w:pPr>
            <w:r w:rsidRPr="00967CC6">
              <w:rPr>
                <w:b/>
                <w:sz w:val="22"/>
                <w:szCs w:val="22"/>
              </w:rPr>
              <w:t>Línea de Conducción.</w:t>
            </w:r>
          </w:p>
        </w:tc>
        <w:tc>
          <w:tcPr>
            <w:tcW w:w="4144" w:type="dxa"/>
          </w:tcPr>
          <w:p w14:paraId="41C4FA7A" w14:textId="77777777" w:rsidR="005C60A7" w:rsidRPr="00967CC6" w:rsidRDefault="005C60A7" w:rsidP="00CD039D">
            <w:pPr>
              <w:ind w:left="284" w:right="15"/>
              <w:rPr>
                <w:sz w:val="22"/>
                <w:szCs w:val="22"/>
              </w:rPr>
            </w:pPr>
            <w:r w:rsidRPr="00967CC6">
              <w:rPr>
                <w:sz w:val="22"/>
                <w:szCs w:val="22"/>
              </w:rPr>
              <w:t>Caudal de diseño: 42 GPM</w:t>
            </w:r>
          </w:p>
          <w:p w14:paraId="3CC9E27A" w14:textId="77777777" w:rsidR="005C60A7" w:rsidRPr="00967CC6" w:rsidRDefault="005C60A7" w:rsidP="00CD039D">
            <w:pPr>
              <w:ind w:left="284" w:right="15"/>
              <w:rPr>
                <w:sz w:val="22"/>
                <w:szCs w:val="22"/>
              </w:rPr>
            </w:pPr>
            <w:r w:rsidRPr="00967CC6">
              <w:rPr>
                <w:sz w:val="22"/>
                <w:szCs w:val="22"/>
              </w:rPr>
              <w:t>Régimen de trabajo:12 horas</w:t>
            </w:r>
          </w:p>
          <w:p w14:paraId="28023917" w14:textId="77777777" w:rsidR="005C60A7" w:rsidRPr="00967CC6" w:rsidRDefault="005C60A7" w:rsidP="00CD039D">
            <w:pPr>
              <w:ind w:left="284" w:right="15"/>
              <w:rPr>
                <w:sz w:val="22"/>
                <w:szCs w:val="22"/>
              </w:rPr>
            </w:pPr>
            <w:r w:rsidRPr="00967CC6">
              <w:rPr>
                <w:sz w:val="22"/>
                <w:szCs w:val="22"/>
              </w:rPr>
              <w:t>Longitud: 2,749.58 m.</w:t>
            </w:r>
          </w:p>
          <w:p w14:paraId="7854E7DE" w14:textId="77777777" w:rsidR="005C60A7" w:rsidRPr="00967CC6" w:rsidRDefault="005C60A7" w:rsidP="00CD039D">
            <w:pPr>
              <w:tabs>
                <w:tab w:val="left" w:pos="780"/>
              </w:tabs>
              <w:ind w:left="284" w:right="15"/>
              <w:rPr>
                <w:sz w:val="22"/>
                <w:szCs w:val="22"/>
              </w:rPr>
            </w:pPr>
            <w:r w:rsidRPr="00967CC6">
              <w:rPr>
                <w:sz w:val="22"/>
                <w:szCs w:val="22"/>
              </w:rPr>
              <w:t>Velocidad Mínima= 0.4 m/s</w:t>
            </w:r>
          </w:p>
          <w:p w14:paraId="6C50188C" w14:textId="77777777" w:rsidR="005C60A7" w:rsidRPr="00967CC6" w:rsidRDefault="005C60A7" w:rsidP="00CD039D">
            <w:pPr>
              <w:ind w:left="284" w:right="15"/>
              <w:rPr>
                <w:sz w:val="22"/>
                <w:szCs w:val="22"/>
              </w:rPr>
            </w:pPr>
            <w:r w:rsidRPr="00967CC6">
              <w:rPr>
                <w:sz w:val="22"/>
                <w:szCs w:val="22"/>
              </w:rPr>
              <w:t>Velocidad Máxima= 2.0 m/</w:t>
            </w:r>
          </w:p>
          <w:p w14:paraId="57CA9816" w14:textId="77777777" w:rsidR="005C60A7" w:rsidRPr="00967CC6" w:rsidRDefault="005C60A7" w:rsidP="00CD039D">
            <w:pPr>
              <w:tabs>
                <w:tab w:val="left" w:pos="780"/>
              </w:tabs>
              <w:ind w:left="284" w:right="15"/>
              <w:rPr>
                <w:sz w:val="22"/>
                <w:szCs w:val="22"/>
              </w:rPr>
            </w:pPr>
            <w:r w:rsidRPr="00967CC6">
              <w:rPr>
                <w:sz w:val="22"/>
                <w:szCs w:val="22"/>
              </w:rPr>
              <w:t>Presión Mínima= 5 m.</w:t>
            </w:r>
          </w:p>
          <w:p w14:paraId="12396D1F" w14:textId="77777777" w:rsidR="005C60A7" w:rsidRPr="00967CC6" w:rsidRDefault="005C60A7" w:rsidP="00CD039D">
            <w:pPr>
              <w:tabs>
                <w:tab w:val="left" w:pos="780"/>
              </w:tabs>
              <w:ind w:left="284" w:right="15"/>
              <w:rPr>
                <w:sz w:val="22"/>
                <w:szCs w:val="22"/>
              </w:rPr>
            </w:pPr>
            <w:r w:rsidRPr="00967CC6">
              <w:rPr>
                <w:sz w:val="22"/>
                <w:szCs w:val="22"/>
              </w:rPr>
              <w:t>Presión Máxima = 50 m</w:t>
            </w:r>
          </w:p>
          <w:p w14:paraId="401BEBAB" w14:textId="77777777" w:rsidR="005C60A7" w:rsidRPr="00967CC6" w:rsidRDefault="005C60A7" w:rsidP="00CD039D">
            <w:pPr>
              <w:tabs>
                <w:tab w:val="left" w:pos="780"/>
              </w:tabs>
              <w:ind w:left="284" w:right="15"/>
              <w:rPr>
                <w:b/>
                <w:sz w:val="22"/>
                <w:szCs w:val="22"/>
              </w:rPr>
            </w:pPr>
            <w:r w:rsidRPr="00967CC6">
              <w:rPr>
                <w:sz w:val="22"/>
                <w:szCs w:val="22"/>
              </w:rPr>
              <w:t>-Diámetro Económico: 2 pulg.</w:t>
            </w:r>
          </w:p>
        </w:tc>
        <w:tc>
          <w:tcPr>
            <w:tcW w:w="3077" w:type="dxa"/>
            <w:gridSpan w:val="2"/>
          </w:tcPr>
          <w:p w14:paraId="0A2CDBD0" w14:textId="77777777" w:rsidR="005C60A7" w:rsidRPr="00967CC6" w:rsidRDefault="005C60A7" w:rsidP="00CD039D">
            <w:pPr>
              <w:ind w:left="200" w:right="15" w:hanging="366"/>
              <w:rPr>
                <w:sz w:val="22"/>
                <w:szCs w:val="22"/>
              </w:rPr>
            </w:pPr>
            <w:r w:rsidRPr="00967CC6">
              <w:rPr>
                <w:sz w:val="22"/>
                <w:szCs w:val="22"/>
              </w:rPr>
              <w:t>- 2,749.58 m de tuberías de 2 pulg. sdr-26</w:t>
            </w:r>
          </w:p>
          <w:p w14:paraId="75F9621F" w14:textId="77777777" w:rsidR="005C60A7" w:rsidRPr="00967CC6" w:rsidRDefault="005C60A7" w:rsidP="00CD039D">
            <w:pPr>
              <w:ind w:right="15"/>
              <w:rPr>
                <w:sz w:val="22"/>
                <w:szCs w:val="22"/>
              </w:rPr>
            </w:pPr>
            <w:r w:rsidRPr="00967CC6">
              <w:rPr>
                <w:sz w:val="22"/>
                <w:szCs w:val="22"/>
              </w:rPr>
              <w:t>-3 Válvula de aire y- vacío de 1/2 pulg.</w:t>
            </w:r>
          </w:p>
          <w:p w14:paraId="7B363BDD" w14:textId="77777777" w:rsidR="005C60A7" w:rsidRPr="00967CC6" w:rsidRDefault="005C60A7" w:rsidP="00CD039D">
            <w:pPr>
              <w:ind w:right="15"/>
              <w:rPr>
                <w:sz w:val="22"/>
                <w:szCs w:val="22"/>
              </w:rPr>
            </w:pPr>
            <w:r w:rsidRPr="00967CC6">
              <w:rPr>
                <w:sz w:val="22"/>
                <w:szCs w:val="22"/>
              </w:rPr>
              <w:t>-4 Válvulas de pase de limpieza de 2” (2 en 2 PRP y 2 en la LC)</w:t>
            </w:r>
          </w:p>
          <w:p w14:paraId="6AA3902F" w14:textId="77777777" w:rsidR="005C60A7" w:rsidRPr="00967CC6" w:rsidRDefault="005C60A7" w:rsidP="00CD039D">
            <w:pPr>
              <w:ind w:right="15"/>
              <w:rPr>
                <w:sz w:val="22"/>
                <w:szCs w:val="22"/>
              </w:rPr>
            </w:pPr>
            <w:r w:rsidRPr="00967CC6">
              <w:rPr>
                <w:sz w:val="22"/>
                <w:szCs w:val="22"/>
              </w:rPr>
              <w:t>-1 Válvula reguladora de presión de 2 pulg.</w:t>
            </w:r>
          </w:p>
          <w:p w14:paraId="1FDF4181" w14:textId="77777777" w:rsidR="005C60A7" w:rsidRPr="00967CC6" w:rsidRDefault="005C60A7" w:rsidP="00CD039D">
            <w:pPr>
              <w:ind w:right="15"/>
              <w:rPr>
                <w:sz w:val="22"/>
                <w:szCs w:val="22"/>
              </w:rPr>
            </w:pPr>
            <w:r w:rsidRPr="00967CC6">
              <w:rPr>
                <w:sz w:val="22"/>
                <w:szCs w:val="22"/>
              </w:rPr>
              <w:t>-7 Válvulas de compuerta de 2”</w:t>
            </w:r>
          </w:p>
          <w:p w14:paraId="52E0B0F4" w14:textId="77777777" w:rsidR="005C60A7" w:rsidRPr="00967CC6" w:rsidRDefault="005C60A7" w:rsidP="00CD039D">
            <w:pPr>
              <w:ind w:right="15"/>
              <w:rPr>
                <w:sz w:val="22"/>
                <w:szCs w:val="22"/>
              </w:rPr>
            </w:pPr>
            <w:r w:rsidRPr="00967CC6">
              <w:rPr>
                <w:sz w:val="22"/>
                <w:szCs w:val="22"/>
              </w:rPr>
              <w:t>(3 en la VRP y 4 en 2 PRP)</w:t>
            </w:r>
          </w:p>
          <w:p w14:paraId="10F1583C" w14:textId="77777777" w:rsidR="005C60A7" w:rsidRPr="00967CC6" w:rsidRDefault="005C60A7" w:rsidP="00CD039D">
            <w:pPr>
              <w:ind w:right="15"/>
              <w:rPr>
                <w:b/>
                <w:sz w:val="22"/>
                <w:szCs w:val="22"/>
              </w:rPr>
            </w:pPr>
          </w:p>
        </w:tc>
      </w:tr>
      <w:tr w:rsidR="005C60A7" w:rsidRPr="00967CC6" w14:paraId="066149A1" w14:textId="77777777" w:rsidTr="00CD039D">
        <w:trPr>
          <w:gridAfter w:val="1"/>
          <w:wAfter w:w="30" w:type="dxa"/>
          <w:trHeight w:val="1691"/>
          <w:jc w:val="center"/>
        </w:trPr>
        <w:tc>
          <w:tcPr>
            <w:tcW w:w="2376" w:type="dxa"/>
          </w:tcPr>
          <w:p w14:paraId="4FA5FDBA" w14:textId="77777777" w:rsidR="005C60A7" w:rsidRPr="00967CC6" w:rsidRDefault="005C60A7" w:rsidP="00CD039D">
            <w:pPr>
              <w:ind w:left="25" w:right="15"/>
              <w:rPr>
                <w:b/>
                <w:sz w:val="22"/>
                <w:szCs w:val="22"/>
                <w:highlight w:val="green"/>
              </w:rPr>
            </w:pPr>
            <w:r w:rsidRPr="00967CC6">
              <w:rPr>
                <w:b/>
                <w:sz w:val="22"/>
                <w:szCs w:val="22"/>
              </w:rPr>
              <w:t>Planta de Tratamiento de Agua Potable - FPR</w:t>
            </w:r>
          </w:p>
        </w:tc>
        <w:tc>
          <w:tcPr>
            <w:tcW w:w="4144" w:type="dxa"/>
          </w:tcPr>
          <w:p w14:paraId="2E03B1EC" w14:textId="77777777" w:rsidR="005C60A7" w:rsidRPr="00967CC6" w:rsidRDefault="005C60A7" w:rsidP="00CD039D">
            <w:pPr>
              <w:ind w:left="284" w:right="15"/>
              <w:rPr>
                <w:sz w:val="22"/>
                <w:szCs w:val="22"/>
              </w:rPr>
            </w:pPr>
            <w:r w:rsidRPr="00967CC6">
              <w:rPr>
                <w:sz w:val="22"/>
                <w:szCs w:val="22"/>
              </w:rPr>
              <w:t>Planta presurizada para agua potable (PTAP) de filtros lentos, Cap.= 9.54 m3/h</w:t>
            </w:r>
          </w:p>
        </w:tc>
        <w:tc>
          <w:tcPr>
            <w:tcW w:w="3077" w:type="dxa"/>
            <w:gridSpan w:val="2"/>
          </w:tcPr>
          <w:p w14:paraId="5ECD6D0B" w14:textId="77777777" w:rsidR="005C60A7" w:rsidRPr="00967CC6" w:rsidRDefault="005C60A7" w:rsidP="00CD039D">
            <w:pPr>
              <w:ind w:right="15"/>
              <w:rPr>
                <w:sz w:val="22"/>
                <w:szCs w:val="22"/>
              </w:rPr>
            </w:pPr>
            <w:r w:rsidRPr="00967CC6">
              <w:rPr>
                <w:sz w:val="22"/>
                <w:szCs w:val="22"/>
              </w:rPr>
              <w:t>-3 Cuerpos de acero con Filtración Multi – Media para remoción de contaminantes: Micro–Z + Filox-R+ Arena Soporte a baja velocidad   + clorador + bomba inyectora de sulfato de aluminio.</w:t>
            </w:r>
          </w:p>
          <w:p w14:paraId="09DD35B0" w14:textId="77777777" w:rsidR="005C60A7" w:rsidRPr="00967CC6" w:rsidRDefault="005C60A7" w:rsidP="00CD039D">
            <w:pPr>
              <w:ind w:left="200" w:right="15" w:hanging="366"/>
              <w:rPr>
                <w:sz w:val="22"/>
                <w:szCs w:val="22"/>
              </w:rPr>
            </w:pPr>
            <w:r w:rsidRPr="00967CC6">
              <w:rPr>
                <w:sz w:val="22"/>
                <w:szCs w:val="22"/>
              </w:rPr>
              <w:t>- Sistema fotovoltaico para bomba inyectora de sulfato de aluminio.</w:t>
            </w:r>
          </w:p>
        </w:tc>
      </w:tr>
      <w:tr w:rsidR="005C60A7" w:rsidRPr="00967CC6" w14:paraId="679FDC21" w14:textId="77777777" w:rsidTr="00CD039D">
        <w:trPr>
          <w:gridAfter w:val="1"/>
          <w:wAfter w:w="30" w:type="dxa"/>
          <w:trHeight w:val="1270"/>
          <w:jc w:val="center"/>
        </w:trPr>
        <w:tc>
          <w:tcPr>
            <w:tcW w:w="2376" w:type="dxa"/>
          </w:tcPr>
          <w:p w14:paraId="5D524ACD" w14:textId="77777777" w:rsidR="005C60A7" w:rsidRPr="00967CC6" w:rsidRDefault="005C60A7" w:rsidP="00CD039D">
            <w:pPr>
              <w:ind w:left="25" w:right="15"/>
              <w:rPr>
                <w:b/>
                <w:sz w:val="22"/>
                <w:szCs w:val="22"/>
                <w:highlight w:val="green"/>
              </w:rPr>
            </w:pPr>
            <w:r w:rsidRPr="00967CC6">
              <w:rPr>
                <w:b/>
                <w:sz w:val="22"/>
                <w:szCs w:val="22"/>
              </w:rPr>
              <w:t>Tanque de Almacenamiento No 1</w:t>
            </w:r>
          </w:p>
        </w:tc>
        <w:tc>
          <w:tcPr>
            <w:tcW w:w="4144" w:type="dxa"/>
          </w:tcPr>
          <w:p w14:paraId="390C85D8" w14:textId="77777777" w:rsidR="005C60A7" w:rsidRPr="00967CC6" w:rsidRDefault="005C60A7" w:rsidP="00CD039D">
            <w:pPr>
              <w:ind w:left="284" w:right="15"/>
              <w:rPr>
                <w:sz w:val="22"/>
                <w:szCs w:val="22"/>
              </w:rPr>
            </w:pPr>
            <w:r w:rsidRPr="00967CC6">
              <w:rPr>
                <w:sz w:val="22"/>
                <w:szCs w:val="22"/>
              </w:rPr>
              <w:t xml:space="preserve">-Tipo de tanque: Sobresuelo </w:t>
            </w:r>
          </w:p>
          <w:p w14:paraId="30779479" w14:textId="77777777" w:rsidR="005C60A7" w:rsidRPr="00967CC6" w:rsidRDefault="005C60A7" w:rsidP="00CD039D">
            <w:pPr>
              <w:ind w:left="284" w:right="15"/>
              <w:rPr>
                <w:sz w:val="22"/>
                <w:szCs w:val="22"/>
              </w:rPr>
            </w:pPr>
            <w:r w:rsidRPr="00967CC6">
              <w:rPr>
                <w:sz w:val="22"/>
                <w:szCs w:val="22"/>
              </w:rPr>
              <w:t>-Capacidad: 5,501.98 Gal</w:t>
            </w:r>
          </w:p>
          <w:p w14:paraId="7687BA19" w14:textId="77777777" w:rsidR="005C60A7" w:rsidRPr="00967CC6" w:rsidRDefault="005C60A7" w:rsidP="00CD039D">
            <w:pPr>
              <w:ind w:left="284" w:right="15"/>
              <w:rPr>
                <w:sz w:val="22"/>
                <w:szCs w:val="22"/>
              </w:rPr>
            </w:pPr>
            <w:r w:rsidRPr="00967CC6">
              <w:rPr>
                <w:sz w:val="22"/>
                <w:szCs w:val="22"/>
              </w:rPr>
              <w:t xml:space="preserve">(Tanque nuevo) </w:t>
            </w:r>
          </w:p>
        </w:tc>
        <w:tc>
          <w:tcPr>
            <w:tcW w:w="3077" w:type="dxa"/>
            <w:gridSpan w:val="2"/>
          </w:tcPr>
          <w:p w14:paraId="4FFB509C" w14:textId="77777777" w:rsidR="005C60A7" w:rsidRPr="00967CC6" w:rsidRDefault="005C60A7" w:rsidP="00CD039D">
            <w:pPr>
              <w:ind w:left="-82" w:right="15"/>
              <w:rPr>
                <w:sz w:val="22"/>
                <w:szCs w:val="22"/>
              </w:rPr>
            </w:pPr>
            <w:r w:rsidRPr="00967CC6">
              <w:rPr>
                <w:b/>
                <w:sz w:val="22"/>
                <w:szCs w:val="22"/>
              </w:rPr>
              <w:t>-</w:t>
            </w:r>
            <w:r w:rsidRPr="00967CC6">
              <w:rPr>
                <w:sz w:val="22"/>
                <w:szCs w:val="22"/>
              </w:rPr>
              <w:t>Concreto reforzado.</w:t>
            </w:r>
          </w:p>
          <w:p w14:paraId="77505081" w14:textId="77777777" w:rsidR="005C60A7" w:rsidRPr="00967CC6" w:rsidRDefault="005C60A7" w:rsidP="00CD039D">
            <w:pPr>
              <w:ind w:left="-82" w:right="15"/>
              <w:rPr>
                <w:sz w:val="22"/>
                <w:szCs w:val="22"/>
              </w:rPr>
            </w:pPr>
            <w:r w:rsidRPr="00967CC6">
              <w:rPr>
                <w:sz w:val="22"/>
                <w:szCs w:val="22"/>
              </w:rPr>
              <w:t>- Dimensión interna: 3.50 m x 3.50 m x 2.10 m de alto, y rebose a 1.70 m.</w:t>
            </w:r>
          </w:p>
          <w:p w14:paraId="5F2D4AEA" w14:textId="77777777" w:rsidR="005C60A7" w:rsidRPr="00967CC6" w:rsidRDefault="005C60A7" w:rsidP="00CD039D">
            <w:pPr>
              <w:ind w:right="15"/>
              <w:rPr>
                <w:sz w:val="22"/>
                <w:szCs w:val="22"/>
              </w:rPr>
            </w:pPr>
            <w:r w:rsidRPr="00967CC6">
              <w:rPr>
                <w:sz w:val="22"/>
                <w:szCs w:val="22"/>
              </w:rPr>
              <w:t>-Cota del terreno:757.85  msnm</w:t>
            </w:r>
          </w:p>
        </w:tc>
      </w:tr>
      <w:tr w:rsidR="005C60A7" w:rsidRPr="00967CC6" w14:paraId="1A75DF0B" w14:textId="77777777" w:rsidTr="00CD039D">
        <w:trPr>
          <w:gridAfter w:val="1"/>
          <w:wAfter w:w="30" w:type="dxa"/>
          <w:trHeight w:val="2536"/>
          <w:jc w:val="center"/>
        </w:trPr>
        <w:tc>
          <w:tcPr>
            <w:tcW w:w="2376" w:type="dxa"/>
          </w:tcPr>
          <w:p w14:paraId="7ACCD81E" w14:textId="77777777" w:rsidR="005C60A7" w:rsidRPr="00967CC6" w:rsidRDefault="005C60A7" w:rsidP="00CD039D">
            <w:pPr>
              <w:ind w:left="25" w:right="15"/>
              <w:rPr>
                <w:b/>
                <w:sz w:val="22"/>
                <w:szCs w:val="22"/>
                <w:highlight w:val="green"/>
              </w:rPr>
            </w:pPr>
            <w:r w:rsidRPr="00967CC6">
              <w:rPr>
                <w:b/>
                <w:sz w:val="22"/>
                <w:szCs w:val="22"/>
              </w:rPr>
              <w:t>Línea de Aducción.</w:t>
            </w:r>
          </w:p>
        </w:tc>
        <w:tc>
          <w:tcPr>
            <w:tcW w:w="4144" w:type="dxa"/>
          </w:tcPr>
          <w:p w14:paraId="1F8BF9F3" w14:textId="77777777" w:rsidR="005C60A7" w:rsidRPr="00967CC6" w:rsidRDefault="005C60A7" w:rsidP="00CD039D">
            <w:pPr>
              <w:ind w:left="284" w:right="15"/>
              <w:rPr>
                <w:sz w:val="22"/>
                <w:szCs w:val="22"/>
              </w:rPr>
            </w:pPr>
            <w:r w:rsidRPr="00967CC6">
              <w:rPr>
                <w:sz w:val="22"/>
                <w:szCs w:val="22"/>
              </w:rPr>
              <w:t>CMD: 23 GPM</w:t>
            </w:r>
          </w:p>
          <w:p w14:paraId="5800AD47" w14:textId="77777777" w:rsidR="005C60A7" w:rsidRPr="00967CC6" w:rsidRDefault="005C60A7" w:rsidP="00CD039D">
            <w:pPr>
              <w:ind w:left="284" w:right="15"/>
              <w:rPr>
                <w:sz w:val="22"/>
                <w:szCs w:val="22"/>
              </w:rPr>
            </w:pPr>
            <w:r w:rsidRPr="00967CC6">
              <w:rPr>
                <w:sz w:val="22"/>
                <w:szCs w:val="22"/>
              </w:rPr>
              <w:t>Longitud: 1,703.70 m.</w:t>
            </w:r>
          </w:p>
          <w:p w14:paraId="2D045A01" w14:textId="77777777" w:rsidR="005C60A7" w:rsidRPr="00967CC6" w:rsidRDefault="005C60A7" w:rsidP="00CD039D">
            <w:pPr>
              <w:tabs>
                <w:tab w:val="left" w:pos="780"/>
              </w:tabs>
              <w:ind w:left="284" w:right="15"/>
              <w:rPr>
                <w:sz w:val="22"/>
                <w:szCs w:val="22"/>
              </w:rPr>
            </w:pPr>
            <w:r w:rsidRPr="00967CC6">
              <w:rPr>
                <w:sz w:val="22"/>
                <w:szCs w:val="22"/>
              </w:rPr>
              <w:t>Velocidad Mínima= 0.4 m/s</w:t>
            </w:r>
          </w:p>
          <w:p w14:paraId="1AFDB0B5" w14:textId="77777777" w:rsidR="005C60A7" w:rsidRPr="00967CC6" w:rsidRDefault="005C60A7" w:rsidP="00CD039D">
            <w:pPr>
              <w:ind w:left="284" w:right="15"/>
              <w:rPr>
                <w:sz w:val="22"/>
                <w:szCs w:val="22"/>
              </w:rPr>
            </w:pPr>
            <w:r w:rsidRPr="00967CC6">
              <w:rPr>
                <w:sz w:val="22"/>
                <w:szCs w:val="22"/>
              </w:rPr>
              <w:t>Velocidad Máxima= 2.0 m/</w:t>
            </w:r>
          </w:p>
          <w:p w14:paraId="1170C927" w14:textId="77777777" w:rsidR="005C60A7" w:rsidRPr="00967CC6" w:rsidRDefault="005C60A7" w:rsidP="00CD039D">
            <w:pPr>
              <w:tabs>
                <w:tab w:val="left" w:pos="780"/>
              </w:tabs>
              <w:ind w:left="284" w:right="15"/>
              <w:rPr>
                <w:sz w:val="22"/>
                <w:szCs w:val="22"/>
              </w:rPr>
            </w:pPr>
            <w:r w:rsidRPr="00967CC6">
              <w:rPr>
                <w:sz w:val="22"/>
                <w:szCs w:val="22"/>
              </w:rPr>
              <w:t>Presión Mínima= 5 m.</w:t>
            </w:r>
          </w:p>
          <w:p w14:paraId="2EE195E4" w14:textId="77777777" w:rsidR="005C60A7" w:rsidRPr="00967CC6" w:rsidRDefault="005C60A7" w:rsidP="00CD039D">
            <w:pPr>
              <w:tabs>
                <w:tab w:val="left" w:pos="780"/>
              </w:tabs>
              <w:ind w:left="284" w:right="15"/>
              <w:rPr>
                <w:sz w:val="22"/>
                <w:szCs w:val="22"/>
              </w:rPr>
            </w:pPr>
            <w:r w:rsidRPr="00967CC6">
              <w:rPr>
                <w:sz w:val="22"/>
                <w:szCs w:val="22"/>
              </w:rPr>
              <w:t>Presión Máxima = 50 m</w:t>
            </w:r>
          </w:p>
          <w:p w14:paraId="1F401290" w14:textId="77777777" w:rsidR="005C60A7" w:rsidRPr="00967CC6" w:rsidRDefault="005C60A7" w:rsidP="00CD039D">
            <w:pPr>
              <w:ind w:left="284" w:right="15"/>
              <w:rPr>
                <w:sz w:val="22"/>
                <w:szCs w:val="22"/>
              </w:rPr>
            </w:pPr>
            <w:r w:rsidRPr="00967CC6">
              <w:rPr>
                <w:sz w:val="22"/>
                <w:szCs w:val="22"/>
              </w:rPr>
              <w:t>-Diámetro Económico: 2 pulg.</w:t>
            </w:r>
          </w:p>
        </w:tc>
        <w:tc>
          <w:tcPr>
            <w:tcW w:w="3077" w:type="dxa"/>
            <w:gridSpan w:val="2"/>
          </w:tcPr>
          <w:p w14:paraId="7814E3C5" w14:textId="77777777" w:rsidR="005C60A7" w:rsidRPr="00967CC6" w:rsidRDefault="005C60A7" w:rsidP="00CD039D">
            <w:pPr>
              <w:ind w:left="200" w:right="15" w:hanging="366"/>
              <w:rPr>
                <w:sz w:val="22"/>
                <w:szCs w:val="22"/>
              </w:rPr>
            </w:pPr>
            <w:r w:rsidRPr="00967CC6">
              <w:rPr>
                <w:sz w:val="22"/>
                <w:szCs w:val="22"/>
              </w:rPr>
              <w:t>- -1,353.70 m de tuberías de 2 pulg. sdr-26</w:t>
            </w:r>
          </w:p>
          <w:p w14:paraId="5472E504" w14:textId="77777777" w:rsidR="005C60A7" w:rsidRPr="00967CC6" w:rsidRDefault="005C60A7" w:rsidP="00CD039D">
            <w:pPr>
              <w:ind w:left="200" w:right="15" w:hanging="366"/>
              <w:rPr>
                <w:sz w:val="22"/>
                <w:szCs w:val="22"/>
              </w:rPr>
            </w:pPr>
            <w:r w:rsidRPr="00967CC6">
              <w:rPr>
                <w:sz w:val="22"/>
                <w:szCs w:val="22"/>
              </w:rPr>
              <w:t>--350 m de tuberías de 2 pulg. sdr-17</w:t>
            </w:r>
          </w:p>
          <w:p w14:paraId="56C8AC62" w14:textId="77777777" w:rsidR="005C60A7" w:rsidRPr="00967CC6" w:rsidRDefault="005C60A7" w:rsidP="00CD039D">
            <w:pPr>
              <w:ind w:right="15"/>
              <w:rPr>
                <w:sz w:val="22"/>
                <w:szCs w:val="22"/>
              </w:rPr>
            </w:pPr>
            <w:r w:rsidRPr="00967CC6">
              <w:rPr>
                <w:sz w:val="22"/>
                <w:szCs w:val="22"/>
              </w:rPr>
              <w:t>-1 Válvula de aire y- vacío de 1/2 pulg.</w:t>
            </w:r>
          </w:p>
          <w:p w14:paraId="6B8A14F3" w14:textId="77777777" w:rsidR="005C60A7" w:rsidRPr="00967CC6" w:rsidRDefault="005C60A7" w:rsidP="00CD039D">
            <w:pPr>
              <w:ind w:right="15"/>
              <w:rPr>
                <w:sz w:val="22"/>
                <w:szCs w:val="22"/>
              </w:rPr>
            </w:pPr>
            <w:r w:rsidRPr="00967CC6">
              <w:rPr>
                <w:sz w:val="22"/>
                <w:szCs w:val="22"/>
              </w:rPr>
              <w:t>-4 Válvulas de pase de limpieza de 2” (3 en 3 PRP y 1 en la línea)</w:t>
            </w:r>
          </w:p>
          <w:p w14:paraId="2B5296F4" w14:textId="77777777" w:rsidR="005C60A7" w:rsidRPr="00967CC6" w:rsidRDefault="005C60A7" w:rsidP="00CD039D">
            <w:pPr>
              <w:ind w:right="15"/>
              <w:rPr>
                <w:sz w:val="22"/>
                <w:szCs w:val="22"/>
              </w:rPr>
            </w:pPr>
            <w:r w:rsidRPr="00967CC6">
              <w:rPr>
                <w:sz w:val="22"/>
                <w:szCs w:val="22"/>
              </w:rPr>
              <w:t>-6 Válvulas de compuerta de 2” (6 en 3 PRP)</w:t>
            </w:r>
          </w:p>
        </w:tc>
      </w:tr>
      <w:tr w:rsidR="005C60A7" w:rsidRPr="00967CC6" w14:paraId="4863A741" w14:textId="77777777" w:rsidTr="00CD039D">
        <w:trPr>
          <w:gridAfter w:val="1"/>
          <w:wAfter w:w="30" w:type="dxa"/>
          <w:trHeight w:val="1044"/>
          <w:jc w:val="center"/>
        </w:trPr>
        <w:tc>
          <w:tcPr>
            <w:tcW w:w="2376" w:type="dxa"/>
          </w:tcPr>
          <w:p w14:paraId="36FA58A7" w14:textId="77777777" w:rsidR="005C60A7" w:rsidRPr="00967CC6" w:rsidRDefault="005C60A7" w:rsidP="00CD039D">
            <w:pPr>
              <w:ind w:left="25" w:right="15"/>
              <w:rPr>
                <w:b/>
                <w:sz w:val="22"/>
                <w:szCs w:val="22"/>
                <w:highlight w:val="green"/>
              </w:rPr>
            </w:pPr>
            <w:r w:rsidRPr="00967CC6">
              <w:rPr>
                <w:b/>
                <w:sz w:val="22"/>
                <w:szCs w:val="22"/>
              </w:rPr>
              <w:lastRenderedPageBreak/>
              <w:t>Tanque de Almacenamiento No 2</w:t>
            </w:r>
          </w:p>
        </w:tc>
        <w:tc>
          <w:tcPr>
            <w:tcW w:w="4144" w:type="dxa"/>
          </w:tcPr>
          <w:p w14:paraId="3D27C63A" w14:textId="77777777" w:rsidR="005C60A7" w:rsidRPr="00967CC6" w:rsidRDefault="005C60A7" w:rsidP="00CD039D">
            <w:pPr>
              <w:ind w:left="284" w:right="15"/>
              <w:rPr>
                <w:sz w:val="22"/>
                <w:szCs w:val="22"/>
              </w:rPr>
            </w:pPr>
            <w:r w:rsidRPr="00967CC6">
              <w:rPr>
                <w:sz w:val="22"/>
                <w:szCs w:val="22"/>
              </w:rPr>
              <w:t xml:space="preserve">-Tipo de tanque: Sobresuelo </w:t>
            </w:r>
          </w:p>
          <w:p w14:paraId="39EC6474" w14:textId="77777777" w:rsidR="005C60A7" w:rsidRPr="00967CC6" w:rsidRDefault="005C60A7" w:rsidP="00CD039D">
            <w:pPr>
              <w:ind w:left="284" w:right="15"/>
              <w:rPr>
                <w:sz w:val="22"/>
                <w:szCs w:val="22"/>
              </w:rPr>
            </w:pPr>
            <w:r w:rsidRPr="00967CC6">
              <w:rPr>
                <w:sz w:val="22"/>
                <w:szCs w:val="22"/>
              </w:rPr>
              <w:t xml:space="preserve">-Capacidad: 5,501.98 Gal </w:t>
            </w:r>
          </w:p>
          <w:p w14:paraId="3CD6979F" w14:textId="77777777" w:rsidR="005C60A7" w:rsidRPr="00967CC6" w:rsidRDefault="005C60A7" w:rsidP="00CD039D">
            <w:pPr>
              <w:ind w:left="284" w:right="15"/>
              <w:rPr>
                <w:sz w:val="22"/>
                <w:szCs w:val="22"/>
              </w:rPr>
            </w:pPr>
            <w:r w:rsidRPr="00967CC6">
              <w:rPr>
                <w:sz w:val="22"/>
                <w:szCs w:val="22"/>
              </w:rPr>
              <w:t>(Tanque nuevo)</w:t>
            </w:r>
          </w:p>
        </w:tc>
        <w:tc>
          <w:tcPr>
            <w:tcW w:w="3077" w:type="dxa"/>
            <w:gridSpan w:val="2"/>
          </w:tcPr>
          <w:p w14:paraId="0F8394AB" w14:textId="77777777" w:rsidR="005C60A7" w:rsidRPr="00967CC6" w:rsidRDefault="005C60A7" w:rsidP="00CD039D">
            <w:pPr>
              <w:ind w:left="-82" w:right="15"/>
              <w:rPr>
                <w:sz w:val="22"/>
                <w:szCs w:val="22"/>
              </w:rPr>
            </w:pPr>
            <w:r w:rsidRPr="00967CC6">
              <w:rPr>
                <w:b/>
                <w:sz w:val="22"/>
                <w:szCs w:val="22"/>
              </w:rPr>
              <w:t>-</w:t>
            </w:r>
            <w:r w:rsidRPr="00967CC6">
              <w:rPr>
                <w:sz w:val="22"/>
                <w:szCs w:val="22"/>
              </w:rPr>
              <w:t>Concreto reforzado.</w:t>
            </w:r>
          </w:p>
          <w:p w14:paraId="45EB18CC" w14:textId="77777777" w:rsidR="005C60A7" w:rsidRPr="00967CC6" w:rsidRDefault="005C60A7" w:rsidP="00CD039D">
            <w:pPr>
              <w:ind w:left="-82" w:right="15"/>
              <w:rPr>
                <w:sz w:val="22"/>
                <w:szCs w:val="22"/>
              </w:rPr>
            </w:pPr>
            <w:r w:rsidRPr="00967CC6">
              <w:rPr>
                <w:sz w:val="22"/>
                <w:szCs w:val="22"/>
              </w:rPr>
              <w:t>- Dimensión: 3.50 m x 3.50 m x 2.10 m de alto, y rebose a 1.70 m.</w:t>
            </w:r>
          </w:p>
          <w:p w14:paraId="6723182F" w14:textId="77777777" w:rsidR="005C60A7" w:rsidRPr="00967CC6" w:rsidRDefault="005C60A7" w:rsidP="00CD039D">
            <w:pPr>
              <w:ind w:left="-82" w:right="15"/>
              <w:rPr>
                <w:b/>
                <w:sz w:val="22"/>
                <w:szCs w:val="22"/>
              </w:rPr>
            </w:pPr>
            <w:r w:rsidRPr="00967CC6">
              <w:rPr>
                <w:sz w:val="22"/>
                <w:szCs w:val="22"/>
              </w:rPr>
              <w:t>-Cota del terreno:599.39  msnm</w:t>
            </w:r>
          </w:p>
        </w:tc>
      </w:tr>
      <w:tr w:rsidR="005C60A7" w:rsidRPr="00967CC6" w14:paraId="66A55ED4" w14:textId="77777777" w:rsidTr="00CD039D">
        <w:trPr>
          <w:gridAfter w:val="1"/>
          <w:wAfter w:w="30" w:type="dxa"/>
          <w:trHeight w:val="3794"/>
          <w:jc w:val="center"/>
        </w:trPr>
        <w:tc>
          <w:tcPr>
            <w:tcW w:w="2376" w:type="dxa"/>
          </w:tcPr>
          <w:p w14:paraId="32143CD5" w14:textId="77777777" w:rsidR="005C60A7" w:rsidRPr="00967CC6" w:rsidRDefault="005C60A7" w:rsidP="00CD039D">
            <w:pPr>
              <w:ind w:left="25" w:right="15"/>
              <w:rPr>
                <w:b/>
                <w:sz w:val="22"/>
                <w:szCs w:val="22"/>
              </w:rPr>
            </w:pPr>
            <w:r w:rsidRPr="00967CC6">
              <w:rPr>
                <w:b/>
                <w:sz w:val="22"/>
                <w:szCs w:val="22"/>
              </w:rPr>
              <w:t>Red de Distribución.</w:t>
            </w:r>
          </w:p>
        </w:tc>
        <w:tc>
          <w:tcPr>
            <w:tcW w:w="4144" w:type="dxa"/>
          </w:tcPr>
          <w:p w14:paraId="4D6E9783" w14:textId="77777777" w:rsidR="005C60A7" w:rsidRPr="00967CC6" w:rsidRDefault="005C60A7" w:rsidP="00CD039D">
            <w:pPr>
              <w:ind w:left="284" w:right="15"/>
              <w:rPr>
                <w:sz w:val="22"/>
                <w:szCs w:val="22"/>
              </w:rPr>
            </w:pPr>
            <w:r w:rsidRPr="00967CC6">
              <w:rPr>
                <w:sz w:val="22"/>
                <w:szCs w:val="22"/>
              </w:rPr>
              <w:t>CMH: 52.81 GPM</w:t>
            </w:r>
          </w:p>
          <w:p w14:paraId="26B75827" w14:textId="77777777" w:rsidR="005C60A7" w:rsidRPr="00967CC6" w:rsidRDefault="005C60A7" w:rsidP="00CD039D">
            <w:pPr>
              <w:ind w:left="284" w:right="15"/>
              <w:rPr>
                <w:sz w:val="22"/>
                <w:szCs w:val="22"/>
              </w:rPr>
            </w:pPr>
            <w:r w:rsidRPr="00967CC6">
              <w:rPr>
                <w:sz w:val="22"/>
                <w:szCs w:val="22"/>
              </w:rPr>
              <w:t>Longitud: 12,519.29 m.</w:t>
            </w:r>
          </w:p>
          <w:p w14:paraId="62BDA8A8" w14:textId="77777777" w:rsidR="005C60A7" w:rsidRPr="00967CC6" w:rsidRDefault="005C60A7" w:rsidP="00CD039D">
            <w:pPr>
              <w:tabs>
                <w:tab w:val="left" w:pos="780"/>
              </w:tabs>
              <w:ind w:left="284" w:right="15"/>
              <w:rPr>
                <w:sz w:val="22"/>
                <w:szCs w:val="22"/>
              </w:rPr>
            </w:pPr>
            <w:r w:rsidRPr="00967CC6">
              <w:rPr>
                <w:sz w:val="22"/>
                <w:szCs w:val="22"/>
              </w:rPr>
              <w:t>Velocidad Mínima= 0.4 m/s</w:t>
            </w:r>
          </w:p>
          <w:p w14:paraId="20FC22BA" w14:textId="77777777" w:rsidR="005C60A7" w:rsidRPr="00967CC6" w:rsidRDefault="005C60A7" w:rsidP="00CD039D">
            <w:pPr>
              <w:ind w:left="284" w:right="15"/>
              <w:rPr>
                <w:sz w:val="22"/>
                <w:szCs w:val="22"/>
              </w:rPr>
            </w:pPr>
            <w:r w:rsidRPr="00967CC6">
              <w:rPr>
                <w:sz w:val="22"/>
                <w:szCs w:val="22"/>
              </w:rPr>
              <w:t>Velocidad Máxima= 2.0 m/</w:t>
            </w:r>
          </w:p>
          <w:p w14:paraId="03CD106B" w14:textId="77777777" w:rsidR="005C60A7" w:rsidRPr="00967CC6" w:rsidRDefault="005C60A7" w:rsidP="00CD039D">
            <w:pPr>
              <w:tabs>
                <w:tab w:val="left" w:pos="780"/>
              </w:tabs>
              <w:ind w:left="284" w:right="15"/>
              <w:rPr>
                <w:sz w:val="22"/>
                <w:szCs w:val="22"/>
              </w:rPr>
            </w:pPr>
            <w:r w:rsidRPr="00967CC6">
              <w:rPr>
                <w:sz w:val="22"/>
                <w:szCs w:val="22"/>
              </w:rPr>
              <w:t>Presión Mínima= 5 m.</w:t>
            </w:r>
          </w:p>
          <w:p w14:paraId="6CFB79FD" w14:textId="77777777" w:rsidR="005C60A7" w:rsidRPr="00967CC6" w:rsidRDefault="005C60A7" w:rsidP="00CD039D">
            <w:pPr>
              <w:tabs>
                <w:tab w:val="left" w:pos="780"/>
              </w:tabs>
              <w:ind w:left="284" w:right="15"/>
              <w:rPr>
                <w:sz w:val="22"/>
                <w:szCs w:val="22"/>
              </w:rPr>
            </w:pPr>
            <w:r w:rsidRPr="00967CC6">
              <w:rPr>
                <w:sz w:val="22"/>
                <w:szCs w:val="22"/>
              </w:rPr>
              <w:t>Presión Máxima = 50 m</w:t>
            </w:r>
          </w:p>
          <w:p w14:paraId="0683C3B1" w14:textId="77777777" w:rsidR="005C60A7" w:rsidRPr="00967CC6" w:rsidRDefault="005C60A7" w:rsidP="00CD039D">
            <w:pPr>
              <w:tabs>
                <w:tab w:val="left" w:pos="780"/>
              </w:tabs>
              <w:ind w:left="284" w:right="15"/>
              <w:rPr>
                <w:sz w:val="22"/>
                <w:szCs w:val="22"/>
              </w:rPr>
            </w:pPr>
          </w:p>
        </w:tc>
        <w:tc>
          <w:tcPr>
            <w:tcW w:w="3077" w:type="dxa"/>
            <w:gridSpan w:val="2"/>
          </w:tcPr>
          <w:p w14:paraId="07F71C9E" w14:textId="77777777" w:rsidR="005C60A7" w:rsidRPr="00967CC6" w:rsidRDefault="005C60A7" w:rsidP="00CD039D">
            <w:pPr>
              <w:ind w:left="-82" w:right="15"/>
              <w:rPr>
                <w:sz w:val="22"/>
                <w:szCs w:val="22"/>
              </w:rPr>
            </w:pPr>
            <w:r w:rsidRPr="00967CC6">
              <w:rPr>
                <w:sz w:val="22"/>
                <w:szCs w:val="22"/>
              </w:rPr>
              <w:t>-3,576.58 m de tuberías de 1 ½”. sdr-26</w:t>
            </w:r>
          </w:p>
          <w:p w14:paraId="2E119F88" w14:textId="77777777" w:rsidR="005C60A7" w:rsidRPr="00967CC6" w:rsidRDefault="005C60A7" w:rsidP="00CD039D">
            <w:pPr>
              <w:ind w:left="-82" w:right="15"/>
              <w:rPr>
                <w:sz w:val="22"/>
                <w:szCs w:val="22"/>
              </w:rPr>
            </w:pPr>
            <w:r w:rsidRPr="00967CC6">
              <w:rPr>
                <w:sz w:val="22"/>
                <w:szCs w:val="22"/>
              </w:rPr>
              <w:t>-8,942.71 m de tuberías de 2” sdr-26</w:t>
            </w:r>
          </w:p>
          <w:p w14:paraId="7521FED7" w14:textId="77777777" w:rsidR="005C60A7" w:rsidRPr="00967CC6" w:rsidRDefault="005C60A7" w:rsidP="00CD039D">
            <w:pPr>
              <w:ind w:left="-82" w:right="15"/>
              <w:rPr>
                <w:sz w:val="22"/>
                <w:szCs w:val="22"/>
              </w:rPr>
            </w:pPr>
            <w:r w:rsidRPr="00967CC6">
              <w:rPr>
                <w:sz w:val="22"/>
                <w:szCs w:val="22"/>
              </w:rPr>
              <w:t>-2 Válvula de compuerta de 1½ pulg (2 en 1 PRP)</w:t>
            </w:r>
          </w:p>
          <w:p w14:paraId="343A8786" w14:textId="77777777" w:rsidR="005C60A7" w:rsidRPr="00967CC6" w:rsidRDefault="005C60A7" w:rsidP="00CD039D">
            <w:pPr>
              <w:ind w:left="-82" w:right="15"/>
              <w:rPr>
                <w:sz w:val="22"/>
                <w:szCs w:val="22"/>
              </w:rPr>
            </w:pPr>
            <w:r w:rsidRPr="00967CC6">
              <w:rPr>
                <w:sz w:val="22"/>
                <w:szCs w:val="22"/>
              </w:rPr>
              <w:t>-44 Válvula de compuerta de 2” pulg (16 en 8 PRP, 9 en 3 VRP y 19 en la red)</w:t>
            </w:r>
          </w:p>
          <w:p w14:paraId="446DFE9D" w14:textId="77777777" w:rsidR="005C60A7" w:rsidRPr="00967CC6" w:rsidRDefault="005C60A7" w:rsidP="00CD039D">
            <w:pPr>
              <w:ind w:left="-82" w:right="15"/>
              <w:rPr>
                <w:sz w:val="22"/>
                <w:szCs w:val="22"/>
              </w:rPr>
            </w:pPr>
            <w:r w:rsidRPr="00967CC6">
              <w:rPr>
                <w:sz w:val="22"/>
                <w:szCs w:val="22"/>
              </w:rPr>
              <w:t>-3 Válvula de pase de limpieza de 1 ½” (1 en 1 PRP y 2 en la red)</w:t>
            </w:r>
          </w:p>
          <w:p w14:paraId="4ACDAC32" w14:textId="77777777" w:rsidR="005C60A7" w:rsidRPr="00967CC6" w:rsidRDefault="005C60A7" w:rsidP="00CD039D">
            <w:pPr>
              <w:ind w:left="-82" w:right="15"/>
              <w:rPr>
                <w:sz w:val="22"/>
                <w:szCs w:val="22"/>
              </w:rPr>
            </w:pPr>
            <w:r w:rsidRPr="00967CC6">
              <w:rPr>
                <w:sz w:val="22"/>
                <w:szCs w:val="22"/>
              </w:rPr>
              <w:t>-16 Válvula de pase de limpieza de 2” (8 en 8 PRP y 8 en la red)</w:t>
            </w:r>
          </w:p>
          <w:p w14:paraId="4F53C7DD" w14:textId="77777777" w:rsidR="005C60A7" w:rsidRPr="00967CC6" w:rsidRDefault="005C60A7" w:rsidP="00CD039D">
            <w:pPr>
              <w:ind w:left="-82" w:right="15"/>
              <w:rPr>
                <w:sz w:val="22"/>
                <w:szCs w:val="22"/>
              </w:rPr>
            </w:pPr>
            <w:r w:rsidRPr="00967CC6">
              <w:rPr>
                <w:b/>
                <w:sz w:val="22"/>
                <w:szCs w:val="22"/>
              </w:rPr>
              <w:t>- 3</w:t>
            </w:r>
            <w:r w:rsidRPr="00967CC6">
              <w:rPr>
                <w:sz w:val="22"/>
                <w:szCs w:val="22"/>
              </w:rPr>
              <w:t xml:space="preserve"> Válvula reg. De presión 2”</w:t>
            </w:r>
          </w:p>
          <w:p w14:paraId="5C2750FC" w14:textId="77777777" w:rsidR="005C60A7" w:rsidRPr="00967CC6" w:rsidRDefault="005C60A7" w:rsidP="00CD039D">
            <w:pPr>
              <w:ind w:left="-82" w:right="15"/>
              <w:rPr>
                <w:sz w:val="22"/>
                <w:szCs w:val="22"/>
              </w:rPr>
            </w:pPr>
            <w:r w:rsidRPr="00967CC6">
              <w:rPr>
                <w:sz w:val="22"/>
                <w:szCs w:val="22"/>
              </w:rPr>
              <w:t>-12 Válvulas de aire y vacío de 1/2”</w:t>
            </w:r>
          </w:p>
          <w:p w14:paraId="6B5ABC5F" w14:textId="77777777" w:rsidR="005C60A7" w:rsidRPr="00967CC6" w:rsidRDefault="005C60A7" w:rsidP="00CD039D">
            <w:pPr>
              <w:tabs>
                <w:tab w:val="left" w:pos="780"/>
              </w:tabs>
              <w:ind w:left="-82" w:right="15"/>
              <w:rPr>
                <w:sz w:val="22"/>
                <w:szCs w:val="22"/>
              </w:rPr>
            </w:pPr>
            <w:r w:rsidRPr="00967CC6">
              <w:rPr>
                <w:sz w:val="22"/>
                <w:szCs w:val="22"/>
              </w:rPr>
              <w:t>Criterio de Simulación.</w:t>
            </w:r>
          </w:p>
          <w:p w14:paraId="12F966C6" w14:textId="77777777" w:rsidR="005C60A7" w:rsidRPr="00967CC6" w:rsidRDefault="005C60A7" w:rsidP="005C60A7">
            <w:pPr>
              <w:numPr>
                <w:ilvl w:val="0"/>
                <w:numId w:val="119"/>
              </w:numPr>
              <w:tabs>
                <w:tab w:val="clear" w:pos="720"/>
              </w:tabs>
              <w:ind w:left="201" w:right="15" w:hanging="283"/>
              <w:jc w:val="left"/>
              <w:rPr>
                <w:sz w:val="22"/>
                <w:szCs w:val="22"/>
              </w:rPr>
            </w:pPr>
            <w:r w:rsidRPr="00967CC6">
              <w:rPr>
                <w:sz w:val="22"/>
                <w:szCs w:val="22"/>
              </w:rPr>
              <w:t xml:space="preserve">Consumo de Máximo Hora (CMH) </w:t>
            </w:r>
          </w:p>
          <w:p w14:paraId="04E880E4" w14:textId="77777777" w:rsidR="005C60A7" w:rsidRPr="00967CC6" w:rsidRDefault="005C60A7" w:rsidP="005C60A7">
            <w:pPr>
              <w:numPr>
                <w:ilvl w:val="0"/>
                <w:numId w:val="119"/>
              </w:numPr>
              <w:tabs>
                <w:tab w:val="clear" w:pos="720"/>
              </w:tabs>
              <w:ind w:left="201" w:right="15" w:hanging="283"/>
              <w:jc w:val="left"/>
              <w:rPr>
                <w:b/>
                <w:sz w:val="22"/>
                <w:szCs w:val="22"/>
              </w:rPr>
            </w:pPr>
            <w:r w:rsidRPr="00967CC6">
              <w:rPr>
                <w:sz w:val="22"/>
                <w:szCs w:val="22"/>
              </w:rPr>
              <w:t>Demanda Cero</w:t>
            </w:r>
          </w:p>
        </w:tc>
      </w:tr>
      <w:tr w:rsidR="005C60A7" w:rsidRPr="00967CC6" w14:paraId="37855F90" w14:textId="77777777" w:rsidTr="00CD039D">
        <w:trPr>
          <w:gridAfter w:val="1"/>
          <w:wAfter w:w="30" w:type="dxa"/>
          <w:trHeight w:val="652"/>
          <w:jc w:val="center"/>
        </w:trPr>
        <w:tc>
          <w:tcPr>
            <w:tcW w:w="2376" w:type="dxa"/>
          </w:tcPr>
          <w:p w14:paraId="7133C71A" w14:textId="77777777" w:rsidR="005C60A7" w:rsidRPr="00967CC6" w:rsidRDefault="005C60A7" w:rsidP="00CD039D">
            <w:pPr>
              <w:ind w:left="25" w:right="15"/>
              <w:rPr>
                <w:b/>
                <w:sz w:val="22"/>
                <w:szCs w:val="22"/>
              </w:rPr>
            </w:pPr>
            <w:r w:rsidRPr="00967CC6">
              <w:rPr>
                <w:b/>
                <w:sz w:val="22"/>
                <w:szCs w:val="22"/>
              </w:rPr>
              <w:t>Conexiones.</w:t>
            </w:r>
          </w:p>
        </w:tc>
        <w:tc>
          <w:tcPr>
            <w:tcW w:w="4144" w:type="dxa"/>
          </w:tcPr>
          <w:p w14:paraId="6A6A1359" w14:textId="77777777" w:rsidR="005C60A7" w:rsidRPr="00967CC6" w:rsidRDefault="005C60A7" w:rsidP="00CD039D">
            <w:pPr>
              <w:ind w:left="284" w:right="15"/>
              <w:rPr>
                <w:b/>
                <w:sz w:val="22"/>
                <w:szCs w:val="22"/>
              </w:rPr>
            </w:pPr>
            <w:r w:rsidRPr="00967CC6">
              <w:rPr>
                <w:sz w:val="22"/>
                <w:szCs w:val="22"/>
              </w:rPr>
              <w:t>Tipo de conexión: Domiciliar o de patio</w:t>
            </w:r>
          </w:p>
        </w:tc>
        <w:tc>
          <w:tcPr>
            <w:tcW w:w="3077" w:type="dxa"/>
            <w:gridSpan w:val="2"/>
          </w:tcPr>
          <w:p w14:paraId="0275348C" w14:textId="77777777" w:rsidR="005C60A7" w:rsidRPr="00967CC6" w:rsidRDefault="005C60A7" w:rsidP="00CD039D">
            <w:pPr>
              <w:ind w:left="284" w:right="15" w:hanging="284"/>
              <w:rPr>
                <w:sz w:val="22"/>
                <w:szCs w:val="22"/>
              </w:rPr>
            </w:pPr>
            <w:r w:rsidRPr="00967CC6">
              <w:rPr>
                <w:sz w:val="22"/>
                <w:szCs w:val="22"/>
              </w:rPr>
              <w:t>-124 conexiones de patio.</w:t>
            </w:r>
          </w:p>
          <w:p w14:paraId="656D91F5" w14:textId="77777777" w:rsidR="005C60A7" w:rsidRPr="00967CC6" w:rsidRDefault="005C60A7" w:rsidP="00CD039D">
            <w:pPr>
              <w:ind w:left="284" w:right="15" w:hanging="284"/>
              <w:rPr>
                <w:sz w:val="22"/>
                <w:szCs w:val="22"/>
              </w:rPr>
            </w:pPr>
            <w:r w:rsidRPr="00967CC6">
              <w:rPr>
                <w:sz w:val="22"/>
                <w:szCs w:val="22"/>
              </w:rPr>
              <w:t>-124 medidores</w:t>
            </w:r>
          </w:p>
        </w:tc>
      </w:tr>
    </w:tbl>
    <w:p w14:paraId="12AFF5F3" w14:textId="77777777" w:rsidR="005C60A7" w:rsidRPr="00967CC6" w:rsidRDefault="005C60A7" w:rsidP="005C60A7">
      <w:pPr>
        <w:pStyle w:val="Textoindependiente"/>
        <w:ind w:left="284" w:right="15"/>
        <w:rPr>
          <w:sz w:val="22"/>
          <w:szCs w:val="22"/>
        </w:rPr>
      </w:pPr>
    </w:p>
    <w:p w14:paraId="037B2E91" w14:textId="77777777" w:rsidR="005C60A7" w:rsidRPr="00967CC6" w:rsidRDefault="005C60A7" w:rsidP="005C60A7">
      <w:pPr>
        <w:pStyle w:val="Ttulo3"/>
        <w:ind w:right="15"/>
        <w:rPr>
          <w:rFonts w:ascii="Times New Roman" w:hAnsi="Times New Roman"/>
          <w:noProof/>
          <w:sz w:val="22"/>
          <w:szCs w:val="22"/>
        </w:rPr>
      </w:pPr>
      <w:r w:rsidRPr="00967CC6">
        <w:rPr>
          <w:rFonts w:ascii="Times New Roman" w:hAnsi="Times New Roman"/>
          <w:sz w:val="22"/>
          <w:szCs w:val="22"/>
        </w:rPr>
        <w:t>2.4.2</w:t>
      </w:r>
      <w:r w:rsidRPr="00967CC6">
        <w:rPr>
          <w:rFonts w:ascii="Times New Roman" w:hAnsi="Times New Roman"/>
          <w:sz w:val="22"/>
          <w:szCs w:val="22"/>
        </w:rPr>
        <w:tab/>
        <w:t xml:space="preserve">Sistemas Saneamiento e </w:t>
      </w:r>
      <w:r w:rsidRPr="00967CC6">
        <w:rPr>
          <w:rFonts w:ascii="Times New Roman" w:hAnsi="Times New Roman"/>
          <w:noProof/>
          <w:sz w:val="22"/>
          <w:szCs w:val="22"/>
        </w:rPr>
        <w:t>Higiene.</w:t>
      </w:r>
    </w:p>
    <w:p w14:paraId="27B62880" w14:textId="77777777" w:rsidR="005C60A7" w:rsidRPr="00967CC6" w:rsidRDefault="005C60A7" w:rsidP="005C60A7">
      <w:pPr>
        <w:rPr>
          <w:sz w:val="22"/>
          <w:szCs w:val="22"/>
          <w:lang w:val="es-ES" w:eastAsia="es-ES"/>
        </w:rPr>
      </w:pPr>
    </w:p>
    <w:p w14:paraId="123C7658" w14:textId="77777777" w:rsidR="005C60A7" w:rsidRPr="00967CC6" w:rsidRDefault="005C60A7" w:rsidP="005C60A7">
      <w:pPr>
        <w:pStyle w:val="Prrafodelista"/>
        <w:numPr>
          <w:ilvl w:val="0"/>
          <w:numId w:val="120"/>
        </w:numPr>
        <w:tabs>
          <w:tab w:val="left" w:pos="0"/>
        </w:tabs>
        <w:spacing w:line="300" w:lineRule="exact"/>
        <w:ind w:left="284" w:right="15" w:hanging="283"/>
        <w:outlineLvl w:val="2"/>
        <w:rPr>
          <w:color w:val="000000"/>
          <w:sz w:val="22"/>
          <w:szCs w:val="22"/>
          <w:lang w:val="es-NI"/>
        </w:rPr>
      </w:pPr>
      <w:r w:rsidRPr="00967CC6">
        <w:rPr>
          <w:color w:val="000000"/>
          <w:sz w:val="22"/>
          <w:szCs w:val="22"/>
          <w:lang w:val="es-NI"/>
        </w:rPr>
        <w:t xml:space="preserve">El sistema de disposición de excreta seleccionado corresponde a un sistema seco, esto debido a las condiciones geotécnicas de la zona en estudio (suelos rocosos). Las excretas caen directamente a la fosa y los líquidos se separan y se infiltran en el suelo circundante, para lo cual se dispondrá a cada unidad de un foso de absorción. Para el lavado de manos se ha contemplado la dotación en cada una de las viviendas de un lavadero de concreto. </w:t>
      </w:r>
    </w:p>
    <w:p w14:paraId="3494B828" w14:textId="77777777" w:rsidR="005C60A7" w:rsidRPr="00967CC6" w:rsidRDefault="005C60A7" w:rsidP="005C60A7">
      <w:pPr>
        <w:tabs>
          <w:tab w:val="left" w:pos="0"/>
        </w:tabs>
        <w:spacing w:line="300" w:lineRule="exact"/>
        <w:ind w:right="15"/>
        <w:outlineLvl w:val="2"/>
        <w:rPr>
          <w:color w:val="000000"/>
          <w:sz w:val="22"/>
          <w:szCs w:val="22"/>
        </w:rPr>
      </w:pPr>
    </w:p>
    <w:p w14:paraId="4869941F" w14:textId="77777777" w:rsidR="005C60A7" w:rsidRPr="00967CC6" w:rsidRDefault="005C60A7" w:rsidP="005C60A7">
      <w:pPr>
        <w:pStyle w:val="Prrafodelista"/>
        <w:ind w:left="284" w:right="15"/>
        <w:rPr>
          <w:b/>
          <w:sz w:val="22"/>
          <w:szCs w:val="22"/>
        </w:rPr>
      </w:pPr>
      <w:r w:rsidRPr="00967CC6">
        <w:rPr>
          <w:b/>
          <w:sz w:val="22"/>
          <w:szCs w:val="22"/>
        </w:rPr>
        <w:t>Tabla 2. Resumen de los componentes del sistema de Saneamiento e Higiene.</w:t>
      </w:r>
    </w:p>
    <w:p w14:paraId="15644EF1" w14:textId="77777777" w:rsidR="005C60A7" w:rsidRPr="00967CC6" w:rsidRDefault="005C60A7" w:rsidP="005C60A7">
      <w:pPr>
        <w:pStyle w:val="Prrafodelista"/>
        <w:ind w:left="284" w:right="15"/>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5C60A7" w:rsidRPr="00967CC6" w14:paraId="65B37939" w14:textId="77777777" w:rsidTr="00CD039D">
        <w:tc>
          <w:tcPr>
            <w:tcW w:w="3070" w:type="dxa"/>
          </w:tcPr>
          <w:p w14:paraId="443539AF" w14:textId="77777777" w:rsidR="005C60A7" w:rsidRPr="00967CC6" w:rsidRDefault="005C60A7" w:rsidP="00CD039D">
            <w:pPr>
              <w:ind w:left="284" w:right="15"/>
              <w:rPr>
                <w:b/>
                <w:sz w:val="22"/>
                <w:szCs w:val="22"/>
              </w:rPr>
            </w:pPr>
            <w:r w:rsidRPr="00967CC6">
              <w:rPr>
                <w:b/>
                <w:sz w:val="22"/>
                <w:szCs w:val="22"/>
              </w:rPr>
              <w:t xml:space="preserve">Componente </w:t>
            </w:r>
          </w:p>
        </w:tc>
        <w:tc>
          <w:tcPr>
            <w:tcW w:w="3070" w:type="dxa"/>
          </w:tcPr>
          <w:p w14:paraId="48F2C903" w14:textId="77777777" w:rsidR="005C60A7" w:rsidRPr="00967CC6" w:rsidRDefault="005C60A7" w:rsidP="00CD039D">
            <w:pPr>
              <w:ind w:left="284" w:right="15"/>
              <w:rPr>
                <w:b/>
                <w:sz w:val="22"/>
                <w:szCs w:val="22"/>
              </w:rPr>
            </w:pPr>
            <w:r w:rsidRPr="00967CC6">
              <w:rPr>
                <w:b/>
                <w:sz w:val="22"/>
                <w:szCs w:val="22"/>
              </w:rPr>
              <w:t>Materiales y Dimensiones</w:t>
            </w:r>
          </w:p>
        </w:tc>
        <w:tc>
          <w:tcPr>
            <w:tcW w:w="3070" w:type="dxa"/>
          </w:tcPr>
          <w:p w14:paraId="25165B26" w14:textId="77777777" w:rsidR="005C60A7" w:rsidRPr="00967CC6" w:rsidRDefault="005C60A7" w:rsidP="00CD039D">
            <w:pPr>
              <w:ind w:left="284" w:right="15"/>
              <w:rPr>
                <w:b/>
                <w:sz w:val="22"/>
                <w:szCs w:val="22"/>
              </w:rPr>
            </w:pPr>
            <w:r w:rsidRPr="00967CC6">
              <w:rPr>
                <w:b/>
                <w:sz w:val="22"/>
                <w:szCs w:val="22"/>
              </w:rPr>
              <w:t>Consideraciones</w:t>
            </w:r>
          </w:p>
        </w:tc>
      </w:tr>
      <w:tr w:rsidR="005C60A7" w:rsidRPr="00967CC6" w14:paraId="3C11A679" w14:textId="77777777" w:rsidTr="00CD039D">
        <w:tc>
          <w:tcPr>
            <w:tcW w:w="3070" w:type="dxa"/>
          </w:tcPr>
          <w:p w14:paraId="313E774B" w14:textId="77777777" w:rsidR="005C60A7" w:rsidRPr="00967CC6" w:rsidRDefault="005C60A7" w:rsidP="005C60A7">
            <w:pPr>
              <w:pStyle w:val="Prrafodelista"/>
              <w:numPr>
                <w:ilvl w:val="0"/>
                <w:numId w:val="120"/>
              </w:numPr>
              <w:tabs>
                <w:tab w:val="left" w:pos="0"/>
              </w:tabs>
              <w:spacing w:line="300" w:lineRule="exact"/>
              <w:ind w:left="567" w:right="15" w:hanging="283"/>
              <w:outlineLvl w:val="2"/>
              <w:rPr>
                <w:color w:val="000000"/>
                <w:sz w:val="22"/>
                <w:szCs w:val="22"/>
                <w:lang w:val="es-NI"/>
              </w:rPr>
            </w:pPr>
            <w:r w:rsidRPr="00967CC6">
              <w:rPr>
                <w:color w:val="000000"/>
                <w:sz w:val="22"/>
                <w:szCs w:val="22"/>
                <w:lang w:val="es-NI"/>
              </w:rPr>
              <w:t>Letrina Semielevadas de una sola fosa. (123)</w:t>
            </w:r>
          </w:p>
          <w:p w14:paraId="44734E30" w14:textId="77777777" w:rsidR="005C60A7" w:rsidRPr="00967CC6" w:rsidRDefault="005C60A7" w:rsidP="00CD039D">
            <w:pPr>
              <w:tabs>
                <w:tab w:val="left" w:pos="0"/>
              </w:tabs>
              <w:spacing w:line="300" w:lineRule="exact"/>
              <w:ind w:right="15"/>
              <w:outlineLvl w:val="2"/>
              <w:rPr>
                <w:color w:val="000000"/>
                <w:sz w:val="22"/>
                <w:szCs w:val="22"/>
              </w:rPr>
            </w:pPr>
          </w:p>
          <w:p w14:paraId="168B6E64" w14:textId="77777777" w:rsidR="005C60A7" w:rsidRPr="00967CC6" w:rsidRDefault="005C60A7" w:rsidP="00CD039D">
            <w:pPr>
              <w:tabs>
                <w:tab w:val="left" w:pos="0"/>
              </w:tabs>
              <w:spacing w:line="300" w:lineRule="exact"/>
              <w:ind w:right="15"/>
              <w:outlineLvl w:val="2"/>
              <w:rPr>
                <w:color w:val="000000"/>
                <w:sz w:val="22"/>
                <w:szCs w:val="22"/>
              </w:rPr>
            </w:pPr>
          </w:p>
          <w:p w14:paraId="7E16BBD4" w14:textId="77777777" w:rsidR="005C60A7" w:rsidRPr="00967CC6" w:rsidRDefault="005C60A7" w:rsidP="00CD039D">
            <w:pPr>
              <w:tabs>
                <w:tab w:val="left" w:pos="0"/>
              </w:tabs>
              <w:spacing w:line="300" w:lineRule="exact"/>
              <w:ind w:right="15"/>
              <w:outlineLvl w:val="2"/>
              <w:rPr>
                <w:color w:val="000000"/>
                <w:sz w:val="22"/>
                <w:szCs w:val="22"/>
              </w:rPr>
            </w:pPr>
          </w:p>
          <w:p w14:paraId="4930BB7C" w14:textId="77777777" w:rsidR="005C60A7" w:rsidRPr="00967CC6" w:rsidRDefault="005C60A7" w:rsidP="00CD039D">
            <w:pPr>
              <w:tabs>
                <w:tab w:val="left" w:pos="0"/>
              </w:tabs>
              <w:spacing w:line="300" w:lineRule="exact"/>
              <w:ind w:right="15"/>
              <w:outlineLvl w:val="2"/>
              <w:rPr>
                <w:color w:val="000000"/>
                <w:sz w:val="22"/>
                <w:szCs w:val="22"/>
              </w:rPr>
            </w:pPr>
          </w:p>
          <w:p w14:paraId="6D956D78" w14:textId="77777777" w:rsidR="005C60A7" w:rsidRPr="00967CC6" w:rsidRDefault="005C60A7" w:rsidP="00CD039D">
            <w:pPr>
              <w:tabs>
                <w:tab w:val="left" w:pos="0"/>
              </w:tabs>
              <w:spacing w:line="300" w:lineRule="exact"/>
              <w:ind w:right="15"/>
              <w:outlineLvl w:val="2"/>
              <w:rPr>
                <w:color w:val="000000"/>
                <w:sz w:val="22"/>
                <w:szCs w:val="22"/>
              </w:rPr>
            </w:pPr>
          </w:p>
          <w:p w14:paraId="1895843D" w14:textId="77777777" w:rsidR="005C60A7" w:rsidRPr="00967CC6" w:rsidRDefault="005C60A7" w:rsidP="00CD039D">
            <w:pPr>
              <w:tabs>
                <w:tab w:val="left" w:pos="0"/>
              </w:tabs>
              <w:spacing w:line="300" w:lineRule="exact"/>
              <w:ind w:right="15"/>
              <w:outlineLvl w:val="2"/>
              <w:rPr>
                <w:color w:val="000000"/>
                <w:sz w:val="22"/>
                <w:szCs w:val="22"/>
              </w:rPr>
            </w:pPr>
          </w:p>
          <w:p w14:paraId="3AFEE483" w14:textId="77777777" w:rsidR="005C60A7" w:rsidRPr="00967CC6" w:rsidRDefault="005C60A7" w:rsidP="00CD039D">
            <w:pPr>
              <w:tabs>
                <w:tab w:val="left" w:pos="0"/>
              </w:tabs>
              <w:spacing w:line="300" w:lineRule="exact"/>
              <w:ind w:right="15"/>
              <w:outlineLvl w:val="2"/>
              <w:rPr>
                <w:color w:val="000000"/>
                <w:sz w:val="22"/>
                <w:szCs w:val="22"/>
              </w:rPr>
            </w:pPr>
          </w:p>
          <w:p w14:paraId="5F9152F3" w14:textId="77777777" w:rsidR="005C60A7" w:rsidRPr="00967CC6" w:rsidRDefault="005C60A7" w:rsidP="00CD039D">
            <w:pPr>
              <w:tabs>
                <w:tab w:val="left" w:pos="0"/>
              </w:tabs>
              <w:spacing w:line="300" w:lineRule="exact"/>
              <w:ind w:right="15"/>
              <w:outlineLvl w:val="2"/>
              <w:rPr>
                <w:color w:val="000000"/>
                <w:sz w:val="22"/>
                <w:szCs w:val="22"/>
              </w:rPr>
            </w:pPr>
          </w:p>
          <w:p w14:paraId="65281A8D" w14:textId="77777777" w:rsidR="005C60A7" w:rsidRPr="00967CC6" w:rsidRDefault="005C60A7" w:rsidP="00CD039D">
            <w:pPr>
              <w:tabs>
                <w:tab w:val="left" w:pos="0"/>
              </w:tabs>
              <w:spacing w:line="300" w:lineRule="exact"/>
              <w:ind w:right="15"/>
              <w:outlineLvl w:val="2"/>
              <w:rPr>
                <w:color w:val="000000"/>
                <w:sz w:val="22"/>
                <w:szCs w:val="22"/>
              </w:rPr>
            </w:pPr>
          </w:p>
          <w:p w14:paraId="4E8F911A" w14:textId="77777777" w:rsidR="005C60A7" w:rsidRPr="00967CC6" w:rsidRDefault="005C60A7" w:rsidP="005C60A7">
            <w:pPr>
              <w:pStyle w:val="Prrafodelista"/>
              <w:numPr>
                <w:ilvl w:val="0"/>
                <w:numId w:val="120"/>
              </w:numPr>
              <w:tabs>
                <w:tab w:val="left" w:pos="0"/>
              </w:tabs>
              <w:spacing w:line="300" w:lineRule="exact"/>
              <w:ind w:left="567" w:right="15" w:hanging="283"/>
              <w:outlineLvl w:val="2"/>
              <w:rPr>
                <w:color w:val="000000"/>
                <w:sz w:val="22"/>
                <w:szCs w:val="22"/>
                <w:lang w:val="es-NI"/>
              </w:rPr>
            </w:pPr>
            <w:r w:rsidRPr="00967CC6">
              <w:rPr>
                <w:color w:val="000000"/>
                <w:sz w:val="22"/>
                <w:szCs w:val="22"/>
                <w:lang w:val="es-NI"/>
              </w:rPr>
              <w:t>Lavaderos (123)</w:t>
            </w:r>
          </w:p>
        </w:tc>
        <w:tc>
          <w:tcPr>
            <w:tcW w:w="3070" w:type="dxa"/>
          </w:tcPr>
          <w:p w14:paraId="74BE7247" w14:textId="77777777" w:rsidR="005C60A7" w:rsidRPr="00967CC6" w:rsidRDefault="005C60A7" w:rsidP="005C60A7">
            <w:pPr>
              <w:pStyle w:val="Prrafodelista"/>
              <w:numPr>
                <w:ilvl w:val="0"/>
                <w:numId w:val="120"/>
              </w:numPr>
              <w:tabs>
                <w:tab w:val="left" w:pos="0"/>
              </w:tabs>
              <w:spacing w:line="300" w:lineRule="exact"/>
              <w:ind w:left="567" w:right="15" w:hanging="283"/>
              <w:outlineLvl w:val="2"/>
              <w:rPr>
                <w:color w:val="000000"/>
                <w:sz w:val="22"/>
                <w:szCs w:val="22"/>
                <w:lang w:val="es-NI"/>
              </w:rPr>
            </w:pPr>
            <w:r w:rsidRPr="00967CC6">
              <w:rPr>
                <w:color w:val="000000"/>
                <w:sz w:val="22"/>
                <w:szCs w:val="22"/>
                <w:lang w:val="es-NI"/>
              </w:rPr>
              <w:lastRenderedPageBreak/>
              <w:t xml:space="preserve">Caseta: alto 1.84-1.91 m, ancho 0.93m, largo 1.12 m, de estructura metálica, forrada con zinc liso, puerta de zinc liso, Cubierta de zinc, Foso: calzada con bloque de concreta, Dimensión del </w:t>
            </w:r>
            <w:r w:rsidRPr="00967CC6">
              <w:rPr>
                <w:color w:val="000000"/>
                <w:sz w:val="22"/>
                <w:szCs w:val="22"/>
                <w:lang w:val="es-NI"/>
              </w:rPr>
              <w:lastRenderedPageBreak/>
              <w:t>Foso: 1 m enterrado y 1 m. sobre el nivel del piso, Tubo de ventilación de pvc 1 ½ pulg.</w:t>
            </w:r>
          </w:p>
          <w:p w14:paraId="4932F3D8" w14:textId="77777777" w:rsidR="005C60A7" w:rsidRPr="00967CC6" w:rsidRDefault="005C60A7" w:rsidP="005C60A7">
            <w:pPr>
              <w:pStyle w:val="Prrafodelista"/>
              <w:numPr>
                <w:ilvl w:val="0"/>
                <w:numId w:val="120"/>
              </w:numPr>
              <w:tabs>
                <w:tab w:val="left" w:pos="0"/>
              </w:tabs>
              <w:spacing w:line="300" w:lineRule="exact"/>
              <w:ind w:left="567" w:right="15" w:hanging="283"/>
              <w:outlineLvl w:val="2"/>
              <w:rPr>
                <w:color w:val="000000"/>
                <w:sz w:val="22"/>
                <w:szCs w:val="22"/>
                <w:lang w:val="es-NI"/>
              </w:rPr>
            </w:pPr>
            <w:r w:rsidRPr="00967CC6">
              <w:rPr>
                <w:color w:val="000000"/>
                <w:sz w:val="22"/>
                <w:szCs w:val="22"/>
                <w:lang w:val="es-NI"/>
              </w:rPr>
              <w:t xml:space="preserve">Lavaderos de concreto </w:t>
            </w:r>
          </w:p>
        </w:tc>
        <w:tc>
          <w:tcPr>
            <w:tcW w:w="3070" w:type="dxa"/>
          </w:tcPr>
          <w:p w14:paraId="42C18E98" w14:textId="77777777" w:rsidR="005C60A7" w:rsidRPr="00967CC6" w:rsidRDefault="005C60A7" w:rsidP="005C60A7">
            <w:pPr>
              <w:pStyle w:val="Prrafodelista"/>
              <w:numPr>
                <w:ilvl w:val="0"/>
                <w:numId w:val="120"/>
              </w:numPr>
              <w:tabs>
                <w:tab w:val="left" w:pos="0"/>
              </w:tabs>
              <w:spacing w:line="300" w:lineRule="exact"/>
              <w:ind w:left="567" w:right="15" w:hanging="283"/>
              <w:outlineLvl w:val="2"/>
              <w:rPr>
                <w:color w:val="000000"/>
                <w:sz w:val="22"/>
                <w:szCs w:val="22"/>
                <w:lang w:val="es-NI"/>
              </w:rPr>
            </w:pPr>
            <w:r w:rsidRPr="00967CC6">
              <w:rPr>
                <w:color w:val="000000"/>
                <w:sz w:val="22"/>
                <w:szCs w:val="22"/>
                <w:lang w:val="es-NI"/>
              </w:rPr>
              <w:lastRenderedPageBreak/>
              <w:t>4.72 personas por vivienda. Distancia a la letrina promedio 6 m. de la vivienda</w:t>
            </w:r>
          </w:p>
          <w:p w14:paraId="168830FE" w14:textId="77777777" w:rsidR="005C60A7" w:rsidRPr="00967CC6" w:rsidRDefault="005C60A7" w:rsidP="00CD039D">
            <w:pPr>
              <w:pStyle w:val="Prrafodelista"/>
              <w:tabs>
                <w:tab w:val="left" w:pos="0"/>
              </w:tabs>
              <w:spacing w:line="300" w:lineRule="exact"/>
              <w:ind w:left="567" w:right="15"/>
              <w:outlineLvl w:val="2"/>
              <w:rPr>
                <w:color w:val="000000"/>
                <w:sz w:val="22"/>
                <w:szCs w:val="22"/>
                <w:lang w:val="es-NI"/>
              </w:rPr>
            </w:pPr>
          </w:p>
          <w:p w14:paraId="01CC369A" w14:textId="77777777" w:rsidR="005C60A7" w:rsidRPr="00967CC6" w:rsidRDefault="005C60A7" w:rsidP="005C60A7">
            <w:pPr>
              <w:pStyle w:val="Prrafodelista"/>
              <w:numPr>
                <w:ilvl w:val="0"/>
                <w:numId w:val="120"/>
              </w:numPr>
              <w:tabs>
                <w:tab w:val="left" w:pos="0"/>
              </w:tabs>
              <w:spacing w:line="300" w:lineRule="exact"/>
              <w:ind w:left="567" w:right="15" w:hanging="283"/>
              <w:outlineLvl w:val="2"/>
              <w:rPr>
                <w:color w:val="000000"/>
                <w:sz w:val="22"/>
                <w:szCs w:val="22"/>
                <w:lang w:val="es-NI"/>
              </w:rPr>
            </w:pPr>
            <w:r w:rsidRPr="00967CC6">
              <w:rPr>
                <w:color w:val="000000"/>
                <w:sz w:val="22"/>
                <w:szCs w:val="22"/>
                <w:lang w:val="es-NI"/>
              </w:rPr>
              <w:t>Producción de excretas/año: 0.04 m</w:t>
            </w:r>
            <w:r w:rsidRPr="00967CC6">
              <w:rPr>
                <w:color w:val="000000"/>
                <w:sz w:val="22"/>
                <w:szCs w:val="22"/>
                <w:vertAlign w:val="superscript"/>
                <w:lang w:val="es-NI"/>
              </w:rPr>
              <w:t>3</w:t>
            </w:r>
            <w:r w:rsidRPr="00967CC6">
              <w:rPr>
                <w:color w:val="000000"/>
                <w:sz w:val="22"/>
                <w:szCs w:val="22"/>
                <w:lang w:val="es-NI"/>
              </w:rPr>
              <w:t xml:space="preserve"> /año/hab.</w:t>
            </w:r>
          </w:p>
          <w:p w14:paraId="12575983" w14:textId="77777777" w:rsidR="005C60A7" w:rsidRPr="00967CC6" w:rsidRDefault="005C60A7" w:rsidP="00CD039D">
            <w:pPr>
              <w:pStyle w:val="Prrafodelista"/>
              <w:tabs>
                <w:tab w:val="left" w:pos="0"/>
              </w:tabs>
              <w:spacing w:line="300" w:lineRule="exact"/>
              <w:ind w:left="567" w:right="15"/>
              <w:outlineLvl w:val="2"/>
              <w:rPr>
                <w:color w:val="000000"/>
                <w:sz w:val="22"/>
                <w:szCs w:val="22"/>
                <w:lang w:val="es-NI"/>
              </w:rPr>
            </w:pPr>
          </w:p>
        </w:tc>
      </w:tr>
    </w:tbl>
    <w:p w14:paraId="0C2C3D10" w14:textId="77777777" w:rsidR="005C60A7" w:rsidRPr="00967CC6" w:rsidRDefault="005C60A7" w:rsidP="005C60A7">
      <w:pPr>
        <w:pStyle w:val="Prrafodelista"/>
        <w:ind w:left="180" w:right="15"/>
        <w:outlineLvl w:val="2"/>
        <w:rPr>
          <w:b/>
          <w:color w:val="000000"/>
          <w:sz w:val="22"/>
          <w:szCs w:val="22"/>
          <w:lang w:val="es-NI"/>
        </w:rPr>
      </w:pPr>
    </w:p>
    <w:p w14:paraId="182F3EC5" w14:textId="77777777" w:rsidR="008F01F1" w:rsidRPr="00967CC6" w:rsidRDefault="008F01F1" w:rsidP="008F01F1">
      <w:pPr>
        <w:pStyle w:val="Prrafodelista"/>
        <w:ind w:left="180" w:right="15"/>
        <w:outlineLvl w:val="2"/>
        <w:rPr>
          <w:b/>
          <w:color w:val="000000"/>
          <w:sz w:val="22"/>
          <w:szCs w:val="22"/>
          <w:lang w:val="es-NI"/>
        </w:rPr>
      </w:pPr>
    </w:p>
    <w:p w14:paraId="6787C8A2" w14:textId="77777777" w:rsidR="008F01F1" w:rsidRPr="00914540" w:rsidRDefault="008F01F1" w:rsidP="008F01F1">
      <w:pPr>
        <w:jc w:val="center"/>
        <w:rPr>
          <w:b/>
          <w:sz w:val="28"/>
          <w:szCs w:val="28"/>
        </w:rPr>
      </w:pPr>
      <w:r w:rsidRPr="00914540">
        <w:rPr>
          <w:b/>
          <w:sz w:val="28"/>
          <w:szCs w:val="28"/>
        </w:rPr>
        <w:t>DESCRIPCIÓN DEL PROYECTO</w:t>
      </w:r>
    </w:p>
    <w:p w14:paraId="5F28CA1D" w14:textId="77777777" w:rsidR="008F01F1" w:rsidRDefault="008F01F1" w:rsidP="008F01F1"/>
    <w:p w14:paraId="3ADE9D84" w14:textId="77777777" w:rsidR="008F01F1" w:rsidRPr="00B761A9" w:rsidRDefault="008F01F1" w:rsidP="008F01F1">
      <w:pPr>
        <w:rPr>
          <w:b/>
        </w:rPr>
      </w:pPr>
      <w:r w:rsidRPr="00B761A9">
        <w:rPr>
          <w:b/>
        </w:rPr>
        <w:t>Código del Proyecto</w:t>
      </w:r>
      <w:r w:rsidRPr="00B761A9">
        <w:rPr>
          <w:b/>
        </w:rPr>
        <w:tab/>
        <w:t>:</w:t>
      </w:r>
      <w:r w:rsidRPr="00B761A9">
        <w:rPr>
          <w:b/>
        </w:rPr>
        <w:tab/>
      </w:r>
      <w:r w:rsidRPr="00BD4B7F">
        <w:rPr>
          <w:b/>
        </w:rPr>
        <w:t>19892</w:t>
      </w:r>
    </w:p>
    <w:p w14:paraId="094DA8C6" w14:textId="77777777" w:rsidR="008F01F1" w:rsidRPr="00B761A9" w:rsidRDefault="00A71156" w:rsidP="008F01F1">
      <w:pPr>
        <w:rPr>
          <w:b/>
        </w:rPr>
      </w:pPr>
      <w:r>
        <w:rPr>
          <w:b/>
        </w:rPr>
        <w:t>Nombre del Proyecto</w:t>
      </w:r>
      <w:r>
        <w:rPr>
          <w:b/>
        </w:rPr>
        <w:tab/>
        <w:t>:</w:t>
      </w:r>
      <w:r w:rsidR="008F01F1" w:rsidRPr="008F01F1">
        <w:rPr>
          <w:b/>
          <w:highlight w:val="yellow"/>
        </w:rPr>
        <w:t>Agua Y Saneamiento Comunidad Bálsamo Abajo</w:t>
      </w:r>
      <w:r>
        <w:rPr>
          <w:b/>
        </w:rPr>
        <w:t xml:space="preserve"> </w:t>
      </w:r>
      <w:r>
        <w:rPr>
          <w:rFonts w:ascii="Arial" w:eastAsia="Calibri" w:hAnsi="Arial" w:cs="Arial"/>
          <w:b/>
          <w:sz w:val="22"/>
          <w:szCs w:val="22"/>
          <w:highlight w:val="yellow"/>
        </w:rPr>
        <w:t>(LOTE N°4</w:t>
      </w:r>
      <w:r w:rsidRPr="00344818">
        <w:rPr>
          <w:rFonts w:ascii="Arial" w:eastAsia="Calibri" w:hAnsi="Arial" w:cs="Arial"/>
          <w:b/>
          <w:sz w:val="22"/>
          <w:szCs w:val="22"/>
          <w:highlight w:val="yellow"/>
        </w:rPr>
        <w:t>)</w:t>
      </w:r>
    </w:p>
    <w:p w14:paraId="035062EA" w14:textId="77777777" w:rsidR="008F01F1" w:rsidRPr="00B761A9" w:rsidRDefault="008F01F1" w:rsidP="008F01F1">
      <w:pPr>
        <w:rPr>
          <w:b/>
        </w:rPr>
      </w:pPr>
      <w:r w:rsidRPr="00B761A9">
        <w:rPr>
          <w:b/>
        </w:rPr>
        <w:t>Departamento</w:t>
      </w:r>
      <w:r w:rsidRPr="00B761A9">
        <w:rPr>
          <w:b/>
        </w:rPr>
        <w:tab/>
      </w:r>
      <w:r w:rsidRPr="00B761A9">
        <w:rPr>
          <w:b/>
        </w:rPr>
        <w:tab/>
        <w:t>:</w:t>
      </w:r>
      <w:r w:rsidRPr="00B761A9">
        <w:rPr>
          <w:b/>
        </w:rPr>
        <w:tab/>
        <w:t>Madriz</w:t>
      </w:r>
    </w:p>
    <w:p w14:paraId="3DEF5A37" w14:textId="77777777" w:rsidR="008F01F1" w:rsidRPr="00B761A9" w:rsidRDefault="008F01F1" w:rsidP="008F01F1">
      <w:pPr>
        <w:rPr>
          <w:b/>
        </w:rPr>
      </w:pPr>
      <w:r w:rsidRPr="00B761A9">
        <w:rPr>
          <w:b/>
        </w:rPr>
        <w:t>Municipio</w:t>
      </w:r>
      <w:r w:rsidRPr="00B761A9">
        <w:rPr>
          <w:b/>
        </w:rPr>
        <w:tab/>
      </w:r>
      <w:r w:rsidRPr="00B761A9">
        <w:rPr>
          <w:b/>
        </w:rPr>
        <w:tab/>
        <w:t>:</w:t>
      </w:r>
      <w:r w:rsidRPr="00B761A9">
        <w:rPr>
          <w:b/>
        </w:rPr>
        <w:tab/>
      </w:r>
      <w:r w:rsidRPr="00BD4B7F">
        <w:rPr>
          <w:b/>
        </w:rPr>
        <w:t>San Juan De Rio Coco</w:t>
      </w:r>
    </w:p>
    <w:p w14:paraId="2264B418" w14:textId="77777777" w:rsidR="008F01F1" w:rsidRPr="00BD4B7F" w:rsidRDefault="008F01F1" w:rsidP="008F01F1">
      <w:pPr>
        <w:pBdr>
          <w:bottom w:val="single" w:sz="12" w:space="1" w:color="auto"/>
        </w:pBdr>
        <w:rPr>
          <w:b/>
        </w:rPr>
      </w:pPr>
    </w:p>
    <w:p w14:paraId="0C5DCB79" w14:textId="77777777" w:rsidR="005C60A7" w:rsidRPr="004A72BD" w:rsidRDefault="005C60A7" w:rsidP="005C60A7">
      <w:pPr>
        <w:rPr>
          <w:rFonts w:ascii="Arial" w:hAnsi="Arial" w:cs="Arial"/>
          <w:szCs w:val="24"/>
        </w:rPr>
      </w:pPr>
      <w:r w:rsidRPr="004A72BD">
        <w:rPr>
          <w:rFonts w:ascii="Arial" w:hAnsi="Arial" w:cs="Arial"/>
          <w:szCs w:val="24"/>
        </w:rPr>
        <w:t>La duración de los proyectos se estima en trecientos sesenta y cinco (365) días calendario, plazo que incluye:</w:t>
      </w:r>
    </w:p>
    <w:p w14:paraId="055390C4" w14:textId="77777777" w:rsidR="005C60A7" w:rsidRPr="004A72BD" w:rsidRDefault="005C60A7" w:rsidP="005C60A7">
      <w:pPr>
        <w:rPr>
          <w:rFonts w:ascii="Arial" w:hAnsi="Arial" w:cs="Arial"/>
          <w:szCs w:val="24"/>
        </w:rPr>
      </w:pPr>
      <w:r>
        <w:rPr>
          <w:rFonts w:ascii="Arial" w:hAnsi="Arial" w:cs="Arial"/>
          <w:szCs w:val="24"/>
        </w:rPr>
        <w:t>•</w:t>
      </w:r>
      <w:r w:rsidRPr="004A72BD">
        <w:rPr>
          <w:rFonts w:ascii="Arial" w:hAnsi="Arial" w:cs="Arial"/>
          <w:szCs w:val="24"/>
        </w:rPr>
        <w:t>275 días para realizar actividades de Construcción y actividades de Pre-Construcción (Estas actividades deben ir paralelas a la ejecución y no limita el avance de la misma)</w:t>
      </w:r>
    </w:p>
    <w:p w14:paraId="71E55E55" w14:textId="77777777" w:rsidR="005C60A7" w:rsidRPr="004A72BD" w:rsidRDefault="005C60A7" w:rsidP="005C60A7">
      <w:pPr>
        <w:rPr>
          <w:rFonts w:ascii="Arial" w:hAnsi="Arial" w:cs="Arial"/>
          <w:szCs w:val="24"/>
        </w:rPr>
      </w:pPr>
      <w:r w:rsidRPr="004A72BD">
        <w:rPr>
          <w:rFonts w:ascii="Arial" w:hAnsi="Arial" w:cs="Arial"/>
          <w:szCs w:val="24"/>
        </w:rPr>
        <w:t>En esta etapa se va a realizar la verificación de la lista de los protagonistas, identificación de las fuentes de agua, se puede avanzar en obra, construcción de letrina, topografía dependiendo de la ubicación de la fuente, revisión de los diseños y cronograma de ejecución.</w:t>
      </w:r>
    </w:p>
    <w:p w14:paraId="0760C663" w14:textId="77777777" w:rsidR="005C60A7" w:rsidRPr="004A72BD" w:rsidRDefault="005C60A7" w:rsidP="005C60A7">
      <w:pPr>
        <w:rPr>
          <w:rFonts w:ascii="Arial" w:hAnsi="Arial" w:cs="Arial"/>
          <w:szCs w:val="24"/>
        </w:rPr>
      </w:pPr>
      <w:r w:rsidRPr="004A72BD">
        <w:rPr>
          <w:rFonts w:ascii="Arial" w:hAnsi="Arial" w:cs="Arial"/>
          <w:szCs w:val="24"/>
        </w:rPr>
        <w:t>Construcción de la obra de acuerdo a los planos, especificaciones técnicas, respetando la programación realizada, tanto para la parte física y social.</w:t>
      </w:r>
    </w:p>
    <w:p w14:paraId="26A77FD6" w14:textId="77777777" w:rsidR="005C60A7" w:rsidRPr="004A72BD" w:rsidRDefault="005C60A7" w:rsidP="005C60A7">
      <w:pPr>
        <w:rPr>
          <w:rFonts w:ascii="Arial" w:hAnsi="Arial" w:cs="Arial"/>
          <w:szCs w:val="24"/>
        </w:rPr>
      </w:pPr>
      <w:r>
        <w:rPr>
          <w:rFonts w:ascii="Arial" w:hAnsi="Arial" w:cs="Arial"/>
          <w:szCs w:val="24"/>
        </w:rPr>
        <w:t>•</w:t>
      </w:r>
      <w:r w:rsidRPr="004A72BD">
        <w:rPr>
          <w:rFonts w:ascii="Arial" w:hAnsi="Arial" w:cs="Arial"/>
          <w:szCs w:val="24"/>
        </w:rPr>
        <w:t>90 días para realizar actividades de Post-obra. Post obra social de acuerdo a las especificaciones técnicas</w:t>
      </w:r>
      <w:r>
        <w:rPr>
          <w:rFonts w:ascii="Calibri" w:hAnsi="Calibri" w:cs="Calibri"/>
        </w:rPr>
        <w:t>.</w:t>
      </w:r>
    </w:p>
    <w:p w14:paraId="02DFED3E" w14:textId="77777777" w:rsidR="005C60A7" w:rsidRDefault="005C60A7" w:rsidP="005C60A7">
      <w:pPr>
        <w:rPr>
          <w:rFonts w:ascii="Arial" w:hAnsi="Arial" w:cs="Arial"/>
          <w:szCs w:val="24"/>
        </w:rPr>
      </w:pPr>
      <w:r w:rsidRPr="00AD544F">
        <w:rPr>
          <w:rFonts w:ascii="Arial" w:hAnsi="Arial" w:cs="Arial"/>
          <w:szCs w:val="24"/>
        </w:rPr>
        <w:t>Para solucionar la problemática de abastecimiento de agua de la comunidad Bálsamo Abajo del municipio de San Juan de Rio Coco, del departamento de Madriz, se propone la construcción de un sistema de abastecimiento de agua potable tipo Mini Acueducto por Gravedad (MAG), para abastecer al 100% de la población. Con la instalación de una Obra de Captación con pre-filtro y un Tanque sobre suelo de concreto reforzado con capaci</w:t>
      </w:r>
      <w:r>
        <w:rPr>
          <w:rFonts w:ascii="Arial" w:hAnsi="Arial" w:cs="Arial"/>
          <w:szCs w:val="24"/>
        </w:rPr>
        <w:t xml:space="preserve">dad para </w:t>
      </w:r>
      <w:r w:rsidRPr="009872BB">
        <w:rPr>
          <w:rFonts w:ascii="Arial" w:hAnsi="Arial" w:cs="Arial"/>
          <w:b/>
          <w:szCs w:val="24"/>
        </w:rPr>
        <w:t>52.00 m3</w:t>
      </w:r>
      <w:r w:rsidRPr="00FA32AC">
        <w:rPr>
          <w:rFonts w:ascii="Arial" w:hAnsi="Arial" w:cs="Arial"/>
          <w:b/>
          <w:szCs w:val="24"/>
        </w:rPr>
        <w:t>.</w:t>
      </w:r>
      <w:r>
        <w:rPr>
          <w:rFonts w:ascii="Arial" w:hAnsi="Arial" w:cs="Arial"/>
          <w:szCs w:val="24"/>
        </w:rPr>
        <w:t xml:space="preserve"> con servicio</w:t>
      </w:r>
      <w:r w:rsidRPr="00AD544F">
        <w:rPr>
          <w:rFonts w:ascii="Arial" w:hAnsi="Arial" w:cs="Arial"/>
          <w:szCs w:val="24"/>
        </w:rPr>
        <w:t xml:space="preserve"> de </w:t>
      </w:r>
      <w:r>
        <w:rPr>
          <w:rFonts w:ascii="Arial" w:hAnsi="Arial" w:cs="Arial"/>
          <w:b/>
          <w:szCs w:val="24"/>
        </w:rPr>
        <w:t>220</w:t>
      </w:r>
      <w:r w:rsidRPr="00FA32AC">
        <w:rPr>
          <w:rFonts w:ascii="Arial" w:hAnsi="Arial" w:cs="Arial"/>
          <w:b/>
          <w:szCs w:val="24"/>
        </w:rPr>
        <w:t xml:space="preserve"> conexiones domiciliares</w:t>
      </w:r>
      <w:r>
        <w:rPr>
          <w:rFonts w:ascii="Arial" w:hAnsi="Arial" w:cs="Arial"/>
          <w:szCs w:val="24"/>
        </w:rPr>
        <w:t xml:space="preserve"> </w:t>
      </w:r>
      <w:r w:rsidRPr="00AD544F">
        <w:rPr>
          <w:rFonts w:ascii="Arial" w:hAnsi="Arial" w:cs="Arial"/>
          <w:szCs w:val="24"/>
        </w:rPr>
        <w:t xml:space="preserve">+ </w:t>
      </w:r>
      <w:r w:rsidRPr="00FA32AC">
        <w:rPr>
          <w:rFonts w:ascii="Arial" w:hAnsi="Arial" w:cs="Arial"/>
          <w:b/>
          <w:szCs w:val="24"/>
        </w:rPr>
        <w:t>2 extra domiciliares</w:t>
      </w:r>
      <w:r w:rsidRPr="00AD544F">
        <w:rPr>
          <w:rFonts w:ascii="Arial" w:hAnsi="Arial" w:cs="Arial"/>
          <w:szCs w:val="24"/>
        </w:rPr>
        <w:t xml:space="preserve"> + </w:t>
      </w:r>
      <w:r w:rsidRPr="00FA32AC">
        <w:rPr>
          <w:rFonts w:ascii="Arial" w:hAnsi="Arial" w:cs="Arial"/>
          <w:b/>
          <w:szCs w:val="24"/>
        </w:rPr>
        <w:t>1 puesto</w:t>
      </w:r>
      <w:r w:rsidRPr="00AD544F">
        <w:rPr>
          <w:rFonts w:ascii="Arial" w:hAnsi="Arial" w:cs="Arial"/>
          <w:szCs w:val="24"/>
        </w:rPr>
        <w:t xml:space="preserve"> </w:t>
      </w:r>
      <w:r w:rsidRPr="00FA32AC">
        <w:rPr>
          <w:rFonts w:ascii="Arial" w:hAnsi="Arial" w:cs="Arial"/>
          <w:b/>
          <w:szCs w:val="24"/>
        </w:rPr>
        <w:t>público</w:t>
      </w:r>
      <w:r w:rsidRPr="00AD544F">
        <w:rPr>
          <w:rFonts w:ascii="Arial" w:hAnsi="Arial" w:cs="Arial"/>
          <w:szCs w:val="24"/>
        </w:rPr>
        <w:t>,</w:t>
      </w:r>
      <w:r>
        <w:rPr>
          <w:rFonts w:ascii="Arial" w:hAnsi="Arial" w:cs="Arial"/>
          <w:szCs w:val="24"/>
        </w:rPr>
        <w:t xml:space="preserve"> </w:t>
      </w:r>
      <w:r w:rsidRPr="00AD544F">
        <w:rPr>
          <w:rFonts w:ascii="Arial" w:hAnsi="Arial" w:cs="Arial"/>
          <w:szCs w:val="24"/>
        </w:rPr>
        <w:t xml:space="preserve">con micro medición y la construcción de </w:t>
      </w:r>
      <w:r>
        <w:rPr>
          <w:rFonts w:ascii="Arial" w:hAnsi="Arial" w:cs="Arial"/>
          <w:b/>
          <w:szCs w:val="24"/>
        </w:rPr>
        <w:t>135</w:t>
      </w:r>
      <w:r w:rsidRPr="00FA32AC">
        <w:rPr>
          <w:rFonts w:ascii="Arial" w:hAnsi="Arial" w:cs="Arial"/>
          <w:b/>
          <w:szCs w:val="24"/>
        </w:rPr>
        <w:t xml:space="preserve"> letrinas </w:t>
      </w:r>
      <w:r>
        <w:rPr>
          <w:rFonts w:ascii="Arial" w:hAnsi="Arial" w:cs="Arial"/>
          <w:b/>
          <w:szCs w:val="24"/>
        </w:rPr>
        <w:t>semi-elevadas</w:t>
      </w:r>
      <w:r w:rsidRPr="00AD544F">
        <w:rPr>
          <w:rFonts w:ascii="Arial" w:hAnsi="Arial" w:cs="Arial"/>
          <w:szCs w:val="24"/>
        </w:rPr>
        <w:t>.</w:t>
      </w:r>
    </w:p>
    <w:p w14:paraId="639D1559" w14:textId="77777777" w:rsidR="005C60A7" w:rsidRDefault="005C60A7" w:rsidP="005C60A7">
      <w:pPr>
        <w:rPr>
          <w:rFonts w:ascii="Arial" w:hAnsi="Arial" w:cs="Arial"/>
          <w:b/>
          <w:szCs w:val="24"/>
        </w:rPr>
      </w:pPr>
      <w:r w:rsidRPr="008E5C81">
        <w:rPr>
          <w:rFonts w:ascii="Arial" w:hAnsi="Arial" w:cs="Arial"/>
          <w:b/>
          <w:szCs w:val="24"/>
        </w:rPr>
        <w:t>Componentes del sistema:</w:t>
      </w:r>
    </w:p>
    <w:p w14:paraId="1C48EF86" w14:textId="77777777" w:rsidR="005C60A7" w:rsidRPr="00FA32AC" w:rsidRDefault="005C60A7" w:rsidP="005C60A7">
      <w:pPr>
        <w:pStyle w:val="Prrafodelista"/>
        <w:numPr>
          <w:ilvl w:val="0"/>
          <w:numId w:val="121"/>
        </w:numPr>
        <w:spacing w:after="160" w:line="259" w:lineRule="auto"/>
        <w:contextualSpacing/>
        <w:jc w:val="left"/>
        <w:rPr>
          <w:rFonts w:ascii="Arial" w:hAnsi="Arial" w:cs="Arial"/>
          <w:b/>
          <w:szCs w:val="24"/>
        </w:rPr>
      </w:pPr>
      <w:r w:rsidRPr="00FA32AC">
        <w:rPr>
          <w:rFonts w:ascii="Arial" w:hAnsi="Arial" w:cs="Arial"/>
          <w:b/>
          <w:szCs w:val="24"/>
        </w:rPr>
        <w:t xml:space="preserve">Agua potable </w:t>
      </w:r>
    </w:p>
    <w:p w14:paraId="35199949" w14:textId="77777777" w:rsidR="005C60A7" w:rsidRPr="008E5C81" w:rsidRDefault="005C60A7" w:rsidP="005C60A7">
      <w:pPr>
        <w:rPr>
          <w:rFonts w:ascii="Arial" w:hAnsi="Arial" w:cs="Arial"/>
          <w:b/>
          <w:szCs w:val="24"/>
        </w:rPr>
      </w:pPr>
      <w:r w:rsidRPr="008E5C81">
        <w:rPr>
          <w:rFonts w:ascii="Arial" w:hAnsi="Arial" w:cs="Arial"/>
          <w:b/>
          <w:szCs w:val="24"/>
        </w:rPr>
        <w:t xml:space="preserve">Fuente: </w:t>
      </w:r>
    </w:p>
    <w:p w14:paraId="321A4270" w14:textId="77777777" w:rsidR="005C60A7" w:rsidRDefault="005C60A7" w:rsidP="005C60A7">
      <w:pPr>
        <w:rPr>
          <w:rFonts w:ascii="Arial" w:hAnsi="Arial" w:cs="Arial"/>
          <w:szCs w:val="24"/>
        </w:rPr>
      </w:pPr>
      <w:r w:rsidRPr="008E5C81">
        <w:rPr>
          <w:rFonts w:ascii="Arial" w:hAnsi="Arial" w:cs="Arial"/>
          <w:szCs w:val="24"/>
        </w:rPr>
        <w:t xml:space="preserve">Consiste en una fuente superficial con coordenadas UTM X=586653.803 Y=1499744.797 ubicada en la propiedad del Sr. Natividad </w:t>
      </w:r>
      <w:r>
        <w:rPr>
          <w:rFonts w:ascii="Arial" w:hAnsi="Arial" w:cs="Arial"/>
          <w:szCs w:val="24"/>
        </w:rPr>
        <w:t>Guerrero.</w:t>
      </w:r>
    </w:p>
    <w:p w14:paraId="34739004" w14:textId="77777777" w:rsidR="005C60A7" w:rsidRPr="008E5C81" w:rsidRDefault="005C60A7" w:rsidP="005C60A7">
      <w:pPr>
        <w:rPr>
          <w:rFonts w:ascii="Arial" w:hAnsi="Arial" w:cs="Arial"/>
          <w:szCs w:val="24"/>
        </w:rPr>
      </w:pPr>
      <w:r>
        <w:rPr>
          <w:rFonts w:ascii="Arial" w:hAnsi="Arial" w:cs="Arial"/>
          <w:szCs w:val="24"/>
        </w:rPr>
        <w:t xml:space="preserve"> </w:t>
      </w:r>
    </w:p>
    <w:p w14:paraId="5068AE50" w14:textId="77777777" w:rsidR="005C60A7" w:rsidRPr="008E5C81" w:rsidRDefault="005C60A7" w:rsidP="005C60A7">
      <w:pPr>
        <w:rPr>
          <w:rFonts w:ascii="Arial" w:hAnsi="Arial" w:cs="Arial"/>
          <w:b/>
          <w:szCs w:val="24"/>
        </w:rPr>
      </w:pPr>
      <w:r w:rsidRPr="008E5C81">
        <w:rPr>
          <w:rFonts w:ascii="Arial" w:hAnsi="Arial" w:cs="Arial"/>
          <w:b/>
          <w:szCs w:val="24"/>
        </w:rPr>
        <w:t xml:space="preserve">Obra de captación: </w:t>
      </w:r>
    </w:p>
    <w:p w14:paraId="5AF40A21" w14:textId="77777777" w:rsidR="005C60A7" w:rsidRPr="008E5C81" w:rsidRDefault="005C60A7" w:rsidP="005C60A7">
      <w:pPr>
        <w:rPr>
          <w:rFonts w:ascii="Arial" w:hAnsi="Arial" w:cs="Arial"/>
          <w:szCs w:val="24"/>
        </w:rPr>
      </w:pPr>
      <w:r w:rsidRPr="008E5C81">
        <w:rPr>
          <w:rFonts w:ascii="Arial" w:hAnsi="Arial" w:cs="Arial"/>
          <w:szCs w:val="24"/>
        </w:rPr>
        <w:t xml:space="preserve">La obra consiste en un dique con pre -filtro de flujo vertical. El muro será de concreto ciclópeo con una anchura de 3.90m y el largo del pre-filtro de 7.00m la obra incluya la proyección de dos letones de 1.38m de longitud. El área de filtración será de 23.04m2  y </w:t>
      </w:r>
      <w:r w:rsidRPr="008E5C81">
        <w:rPr>
          <w:rFonts w:ascii="Arial" w:hAnsi="Arial" w:cs="Arial"/>
          <w:szCs w:val="24"/>
        </w:rPr>
        <w:lastRenderedPageBreak/>
        <w:t>será cubierta de 3 capas de material granular tipo grava de diferente granulometría con un espesor total de 0.8m.</w:t>
      </w:r>
    </w:p>
    <w:p w14:paraId="5F357060" w14:textId="77777777" w:rsidR="005C60A7" w:rsidRPr="008E5C81" w:rsidRDefault="005C60A7" w:rsidP="005C60A7">
      <w:pPr>
        <w:rPr>
          <w:rFonts w:ascii="Arial" w:hAnsi="Arial" w:cs="Arial"/>
          <w:szCs w:val="24"/>
        </w:rPr>
      </w:pPr>
      <w:r w:rsidRPr="008E5C81">
        <w:rPr>
          <w:rFonts w:ascii="Arial" w:hAnsi="Arial" w:cs="Arial"/>
          <w:b/>
          <w:szCs w:val="24"/>
        </w:rPr>
        <w:t>Línea de conducción:</w:t>
      </w:r>
      <w:r w:rsidRPr="008E5C81">
        <w:rPr>
          <w:rFonts w:ascii="Arial" w:hAnsi="Arial" w:cs="Arial"/>
          <w:szCs w:val="24"/>
        </w:rPr>
        <w:t xml:space="preserve"> </w:t>
      </w:r>
    </w:p>
    <w:p w14:paraId="2024EB4B" w14:textId="77777777" w:rsidR="005C60A7" w:rsidRDefault="005C60A7" w:rsidP="005C60A7">
      <w:pPr>
        <w:rPr>
          <w:rFonts w:ascii="Arial" w:hAnsi="Arial" w:cs="Arial"/>
          <w:b/>
          <w:szCs w:val="24"/>
        </w:rPr>
      </w:pPr>
      <w:r>
        <w:rPr>
          <w:rFonts w:ascii="Arial" w:hAnsi="Arial" w:cs="Arial"/>
          <w:szCs w:val="24"/>
        </w:rPr>
        <w:t>L</w:t>
      </w:r>
      <w:r w:rsidRPr="008E5C81">
        <w:rPr>
          <w:rFonts w:ascii="Arial" w:hAnsi="Arial" w:cs="Arial"/>
          <w:szCs w:val="24"/>
        </w:rPr>
        <w:t xml:space="preserve">a </w:t>
      </w:r>
      <w:r>
        <w:rPr>
          <w:rFonts w:ascii="Arial" w:hAnsi="Arial" w:cs="Arial"/>
          <w:szCs w:val="24"/>
        </w:rPr>
        <w:t>línea de conducción transportará</w:t>
      </w:r>
      <w:r w:rsidRPr="008E5C81">
        <w:rPr>
          <w:rFonts w:ascii="Arial" w:hAnsi="Arial" w:cs="Arial"/>
          <w:szCs w:val="24"/>
        </w:rPr>
        <w:t xml:space="preserve"> agua cruda desde la obra de captación con tubería de PVC-SDR 26, SDR 17 y hierro galvanizado, con una longitud total de </w:t>
      </w:r>
      <w:r>
        <w:rPr>
          <w:rFonts w:ascii="Arial" w:hAnsi="Arial" w:cs="Arial"/>
          <w:b/>
          <w:szCs w:val="24"/>
        </w:rPr>
        <w:t xml:space="preserve">5,632.59 </w:t>
      </w:r>
      <w:r w:rsidRPr="00FA32AC">
        <w:rPr>
          <w:rFonts w:ascii="Arial" w:hAnsi="Arial" w:cs="Arial"/>
          <w:b/>
          <w:szCs w:val="24"/>
        </w:rPr>
        <w:t>m</w:t>
      </w:r>
      <w:r w:rsidRPr="008E5C81">
        <w:rPr>
          <w:rFonts w:ascii="Arial" w:hAnsi="Arial" w:cs="Arial"/>
          <w:szCs w:val="24"/>
        </w:rPr>
        <w:t xml:space="preserve"> con un diámetro nominal de </w:t>
      </w:r>
      <w:r w:rsidRPr="00FA32AC">
        <w:rPr>
          <w:rFonts w:ascii="Arial" w:hAnsi="Arial" w:cs="Arial"/>
          <w:b/>
          <w:szCs w:val="24"/>
        </w:rPr>
        <w:t>75 mm (3")</w:t>
      </w:r>
    </w:p>
    <w:p w14:paraId="43635C9C" w14:textId="77777777" w:rsidR="005C60A7" w:rsidRPr="008E5C81" w:rsidRDefault="005C60A7" w:rsidP="005C60A7">
      <w:pPr>
        <w:rPr>
          <w:rFonts w:ascii="Arial" w:hAnsi="Arial" w:cs="Arial"/>
          <w:b/>
          <w:szCs w:val="24"/>
        </w:rPr>
      </w:pPr>
      <w:r w:rsidRPr="008E5C81">
        <w:rPr>
          <w:rFonts w:ascii="Arial" w:hAnsi="Arial" w:cs="Arial"/>
          <w:b/>
          <w:szCs w:val="24"/>
        </w:rPr>
        <w:t>Desinfección:</w:t>
      </w:r>
    </w:p>
    <w:p w14:paraId="55E4A7A2" w14:textId="77777777" w:rsidR="005C60A7" w:rsidRDefault="005C60A7" w:rsidP="005C60A7">
      <w:pPr>
        <w:rPr>
          <w:rFonts w:ascii="Arial" w:hAnsi="Arial" w:cs="Arial"/>
          <w:szCs w:val="24"/>
        </w:rPr>
      </w:pPr>
      <w:r w:rsidRPr="008E5C81">
        <w:rPr>
          <w:rFonts w:ascii="Arial" w:hAnsi="Arial" w:cs="Arial"/>
          <w:szCs w:val="24"/>
        </w:rPr>
        <w:t>Para la cloración se instalará un hipoclorador de carga constante, este estará ubicado en la parte superior del tanque de almacenamiento.</w:t>
      </w:r>
    </w:p>
    <w:p w14:paraId="3FFFDF52" w14:textId="77777777" w:rsidR="005C60A7" w:rsidRDefault="005C60A7" w:rsidP="005C60A7">
      <w:pPr>
        <w:rPr>
          <w:rFonts w:ascii="Arial" w:hAnsi="Arial" w:cs="Arial"/>
          <w:szCs w:val="24"/>
        </w:rPr>
      </w:pPr>
      <w:r w:rsidRPr="008E5C81">
        <w:rPr>
          <w:rFonts w:ascii="Arial" w:hAnsi="Arial" w:cs="Arial"/>
          <w:b/>
          <w:szCs w:val="24"/>
        </w:rPr>
        <w:t>Tanque de almacenamiento</w:t>
      </w:r>
      <w:r w:rsidRPr="008E5C81">
        <w:rPr>
          <w:rFonts w:ascii="Arial" w:hAnsi="Arial" w:cs="Arial"/>
          <w:szCs w:val="24"/>
        </w:rPr>
        <w:t xml:space="preserve">: </w:t>
      </w:r>
    </w:p>
    <w:p w14:paraId="56273517" w14:textId="77777777" w:rsidR="005C60A7" w:rsidRPr="008E5C81" w:rsidRDefault="005C60A7" w:rsidP="005C60A7">
      <w:pPr>
        <w:rPr>
          <w:rFonts w:ascii="Arial" w:hAnsi="Arial" w:cs="Arial"/>
          <w:szCs w:val="24"/>
        </w:rPr>
      </w:pPr>
      <w:r w:rsidRPr="008E5C81">
        <w:rPr>
          <w:rFonts w:ascii="Arial" w:hAnsi="Arial" w:cs="Arial"/>
          <w:szCs w:val="24"/>
        </w:rPr>
        <w:t xml:space="preserve">Se localiza en las coordenadas UTM (X= 590576.646 Y= 1499758.692) de concreto ciclópeo con capacidad </w:t>
      </w:r>
      <w:r w:rsidRPr="00614147">
        <w:rPr>
          <w:rFonts w:ascii="Arial" w:hAnsi="Arial" w:cs="Arial"/>
          <w:szCs w:val="24"/>
        </w:rPr>
        <w:t>para 52.00 m3</w:t>
      </w:r>
      <w:r w:rsidRPr="008E5C81">
        <w:rPr>
          <w:rFonts w:ascii="Arial" w:hAnsi="Arial" w:cs="Arial"/>
          <w:szCs w:val="24"/>
        </w:rPr>
        <w:t>,</w:t>
      </w:r>
      <w:r>
        <w:rPr>
          <w:rFonts w:ascii="Arial" w:hAnsi="Arial" w:cs="Arial"/>
          <w:szCs w:val="24"/>
        </w:rPr>
        <w:t xml:space="preserve"> con dimensiones internas de 4.70</w:t>
      </w:r>
      <w:r w:rsidRPr="008E5C81">
        <w:rPr>
          <w:rFonts w:ascii="Arial" w:hAnsi="Arial" w:cs="Arial"/>
          <w:szCs w:val="24"/>
        </w:rPr>
        <w:t xml:space="preserve"> m </w:t>
      </w:r>
      <w:r>
        <w:rPr>
          <w:rFonts w:ascii="Arial" w:hAnsi="Arial" w:cs="Arial"/>
          <w:szCs w:val="24"/>
        </w:rPr>
        <w:t>x 4.70 m x 2.35</w:t>
      </w:r>
      <w:r w:rsidRPr="008E5C81">
        <w:rPr>
          <w:rFonts w:ascii="Arial" w:hAnsi="Arial" w:cs="Arial"/>
          <w:szCs w:val="24"/>
        </w:rPr>
        <w:t xml:space="preserve"> m, suelo mejorado en proporción 1:6 compactado al 95% proctor </w:t>
      </w:r>
    </w:p>
    <w:p w14:paraId="392C8733" w14:textId="77777777" w:rsidR="005C60A7" w:rsidRDefault="005C60A7" w:rsidP="005C60A7">
      <w:pPr>
        <w:rPr>
          <w:rFonts w:ascii="Arial" w:hAnsi="Arial" w:cs="Arial"/>
          <w:szCs w:val="24"/>
        </w:rPr>
      </w:pPr>
      <w:r w:rsidRPr="008E5C81">
        <w:rPr>
          <w:rFonts w:ascii="Arial" w:hAnsi="Arial" w:cs="Arial"/>
          <w:b/>
          <w:szCs w:val="24"/>
        </w:rPr>
        <w:t>Red de distribución:</w:t>
      </w:r>
      <w:r w:rsidRPr="008E5C81">
        <w:rPr>
          <w:rFonts w:ascii="Arial" w:hAnsi="Arial" w:cs="Arial"/>
          <w:szCs w:val="24"/>
        </w:rPr>
        <w:t xml:space="preserve"> </w:t>
      </w:r>
    </w:p>
    <w:p w14:paraId="7C4B932E" w14:textId="77777777" w:rsidR="005C60A7" w:rsidRPr="008E5C81" w:rsidRDefault="005C60A7" w:rsidP="005C60A7">
      <w:pPr>
        <w:rPr>
          <w:rFonts w:ascii="Arial" w:hAnsi="Arial" w:cs="Arial"/>
          <w:szCs w:val="24"/>
        </w:rPr>
      </w:pPr>
      <w:r w:rsidRPr="008E5C81">
        <w:rPr>
          <w:rFonts w:ascii="Arial" w:hAnsi="Arial" w:cs="Arial"/>
          <w:szCs w:val="24"/>
        </w:rPr>
        <w:t>Se entregará agua potable desde el sistema de almacenamiento hacia la red de distribución. Esta red será completamente nueva conformada por tubería de PVC-SDR -26 con diámetro entre 100 mm (4"), 75 mm (3"), 50 mm (2") y 38 mm (1 1/2")</w:t>
      </w:r>
      <w:r>
        <w:rPr>
          <w:rFonts w:ascii="Arial" w:hAnsi="Arial" w:cs="Arial"/>
          <w:szCs w:val="24"/>
        </w:rPr>
        <w:t xml:space="preserve">, para un total de </w:t>
      </w:r>
      <w:r w:rsidRPr="004C6727">
        <w:rPr>
          <w:rFonts w:ascii="Arial" w:hAnsi="Arial" w:cs="Arial"/>
          <w:b/>
          <w:szCs w:val="24"/>
        </w:rPr>
        <w:t>8,405.42 metros.</w:t>
      </w:r>
      <w:r>
        <w:rPr>
          <w:rFonts w:ascii="Arial" w:hAnsi="Arial" w:cs="Arial"/>
          <w:szCs w:val="24"/>
        </w:rPr>
        <w:t xml:space="preserve"> </w:t>
      </w:r>
    </w:p>
    <w:p w14:paraId="7A5A3BE0" w14:textId="77777777" w:rsidR="005C60A7" w:rsidRPr="008E5C81" w:rsidRDefault="005C60A7" w:rsidP="005C60A7">
      <w:pPr>
        <w:rPr>
          <w:rFonts w:ascii="Arial" w:hAnsi="Arial" w:cs="Arial"/>
          <w:b/>
          <w:szCs w:val="24"/>
        </w:rPr>
      </w:pPr>
      <w:r w:rsidRPr="008E5C81">
        <w:rPr>
          <w:rFonts w:ascii="Arial" w:hAnsi="Arial" w:cs="Arial"/>
          <w:b/>
          <w:szCs w:val="24"/>
        </w:rPr>
        <w:t>Conexiones:</w:t>
      </w:r>
    </w:p>
    <w:p w14:paraId="72B7FD6D" w14:textId="77777777" w:rsidR="005C60A7" w:rsidRPr="008E5C81" w:rsidRDefault="005C60A7" w:rsidP="005C60A7">
      <w:pPr>
        <w:rPr>
          <w:rFonts w:ascii="Arial" w:hAnsi="Arial" w:cs="Arial"/>
          <w:szCs w:val="24"/>
        </w:rPr>
      </w:pPr>
      <w:r>
        <w:rPr>
          <w:rFonts w:ascii="Arial" w:hAnsi="Arial" w:cs="Arial"/>
          <w:szCs w:val="24"/>
        </w:rPr>
        <w:t>220</w:t>
      </w:r>
      <w:r w:rsidRPr="008E5C81">
        <w:rPr>
          <w:rFonts w:ascii="Arial" w:hAnsi="Arial" w:cs="Arial"/>
          <w:szCs w:val="24"/>
        </w:rPr>
        <w:t xml:space="preserve"> conexiones domiciliares de patio + 2 extra domiciliares +1 puesto publico </w:t>
      </w:r>
    </w:p>
    <w:p w14:paraId="178244F2" w14:textId="77777777" w:rsidR="005C60A7" w:rsidRDefault="005C60A7" w:rsidP="005C60A7">
      <w:pPr>
        <w:pStyle w:val="Prrafodelista"/>
        <w:numPr>
          <w:ilvl w:val="0"/>
          <w:numId w:val="121"/>
        </w:numPr>
        <w:spacing w:after="160" w:line="259" w:lineRule="auto"/>
        <w:contextualSpacing/>
        <w:jc w:val="left"/>
        <w:rPr>
          <w:rFonts w:ascii="Arial" w:hAnsi="Arial" w:cs="Arial"/>
          <w:b/>
          <w:szCs w:val="24"/>
        </w:rPr>
      </w:pPr>
      <w:r w:rsidRPr="00FA32AC">
        <w:rPr>
          <w:rFonts w:ascii="Arial" w:hAnsi="Arial" w:cs="Arial"/>
          <w:b/>
          <w:szCs w:val="24"/>
        </w:rPr>
        <w:t>Saneamiento e higiene:</w:t>
      </w:r>
    </w:p>
    <w:p w14:paraId="7B9BC59D" w14:textId="77777777" w:rsidR="005C60A7" w:rsidRPr="00CE13F2" w:rsidRDefault="005C60A7" w:rsidP="005C60A7">
      <w:pPr>
        <w:rPr>
          <w:rFonts w:ascii="Arial" w:hAnsi="Arial" w:cs="Arial"/>
          <w:szCs w:val="24"/>
        </w:rPr>
      </w:pPr>
      <w:r w:rsidRPr="00CE13F2">
        <w:rPr>
          <w:rFonts w:ascii="Arial" w:hAnsi="Arial" w:cs="Arial"/>
          <w:szCs w:val="24"/>
        </w:rPr>
        <w:t>Letrinas sencillas de fosa seca semi elevada: Para la selección del saneamiento a implementar, se evaluó las características del subsuelo, y con base al menú de saneamiento normado por FISE, se determinó implementar una letrina sencilla de fosa seca semi elevada. Conforme al resultado del informe de la concertación de sanea</w:t>
      </w:r>
      <w:r>
        <w:rPr>
          <w:rFonts w:ascii="Arial" w:hAnsi="Arial" w:cs="Arial"/>
          <w:szCs w:val="24"/>
        </w:rPr>
        <w:t>miento se pretende construir 135</w:t>
      </w:r>
      <w:r w:rsidRPr="00CE13F2">
        <w:rPr>
          <w:rFonts w:ascii="Arial" w:hAnsi="Arial" w:cs="Arial"/>
          <w:szCs w:val="24"/>
        </w:rPr>
        <w:t xml:space="preserve"> unidades </w:t>
      </w:r>
      <w:r>
        <w:rPr>
          <w:rFonts w:ascii="Arial" w:hAnsi="Arial" w:cs="Arial"/>
          <w:szCs w:val="24"/>
        </w:rPr>
        <w:t xml:space="preserve">sanitarias </w:t>
      </w:r>
      <w:r w:rsidRPr="00CE13F2">
        <w:rPr>
          <w:rFonts w:ascii="Arial" w:hAnsi="Arial" w:cs="Arial"/>
          <w:szCs w:val="24"/>
        </w:rPr>
        <w:t xml:space="preserve">para las viviendas que tienen sus </w:t>
      </w:r>
      <w:r>
        <w:rPr>
          <w:rFonts w:ascii="Arial" w:hAnsi="Arial" w:cs="Arial"/>
          <w:szCs w:val="24"/>
        </w:rPr>
        <w:t>letrinas caídas o en mal estado.</w:t>
      </w:r>
    </w:p>
    <w:p w14:paraId="21F8FFBD" w14:textId="77777777" w:rsidR="005C60A7" w:rsidRDefault="005C60A7" w:rsidP="005C60A7">
      <w:pPr>
        <w:rPr>
          <w:rFonts w:ascii="Arial" w:hAnsi="Arial" w:cs="Arial"/>
          <w:szCs w:val="24"/>
        </w:rPr>
      </w:pPr>
      <w:r>
        <w:rPr>
          <w:rFonts w:ascii="Arial" w:hAnsi="Arial" w:cs="Arial"/>
          <w:szCs w:val="24"/>
        </w:rPr>
        <w:t>La l</w:t>
      </w:r>
      <w:r w:rsidRPr="00CE13F2">
        <w:rPr>
          <w:rFonts w:ascii="Arial" w:hAnsi="Arial" w:cs="Arial"/>
          <w:szCs w:val="24"/>
        </w:rPr>
        <w:t>etrina</w:t>
      </w:r>
      <w:r>
        <w:rPr>
          <w:rFonts w:ascii="Arial" w:hAnsi="Arial" w:cs="Arial"/>
          <w:szCs w:val="24"/>
        </w:rPr>
        <w:t>-</w:t>
      </w:r>
      <w:r w:rsidRPr="00CE13F2">
        <w:rPr>
          <w:rFonts w:ascii="Arial" w:hAnsi="Arial" w:cs="Arial"/>
          <w:szCs w:val="24"/>
        </w:rPr>
        <w:t>semi elevada está constituida por una fosa seca revestida de ladrillo cuarterón y gradas. La fosa debe estar a 1.00 m por debajo del nivel de suelo y 1.00 m por encima del nivel de suelo. La plancha y banco debe ser de concreto. El cerramiento debe ser de estructura metálica de tubo cuadrado de 1 ½" y forro de lámina de zinc liso cal. 28. La cubierta de techo es de zinc corrugado calibre 28.</w:t>
      </w:r>
    </w:p>
    <w:p w14:paraId="6877B81F" w14:textId="77777777" w:rsidR="005C60A7" w:rsidRPr="00CE13F2" w:rsidRDefault="005C60A7" w:rsidP="005C60A7">
      <w:pPr>
        <w:rPr>
          <w:rFonts w:ascii="Arial" w:hAnsi="Arial" w:cs="Arial"/>
          <w:szCs w:val="24"/>
        </w:rPr>
      </w:pPr>
    </w:p>
    <w:p w14:paraId="53DF5B85" w14:textId="77777777" w:rsidR="005C60A7" w:rsidRPr="00CE13F2" w:rsidRDefault="005C60A7" w:rsidP="005C60A7">
      <w:pPr>
        <w:rPr>
          <w:rFonts w:ascii="Arial" w:hAnsi="Arial" w:cs="Arial"/>
          <w:b/>
          <w:szCs w:val="24"/>
        </w:rPr>
      </w:pPr>
      <w:r w:rsidRPr="00CE13F2">
        <w:rPr>
          <w:rFonts w:ascii="Arial" w:hAnsi="Arial" w:cs="Arial"/>
          <w:b/>
          <w:szCs w:val="24"/>
        </w:rPr>
        <w:t>2.2</w:t>
      </w:r>
      <w:r w:rsidRPr="00CE13F2">
        <w:rPr>
          <w:rFonts w:ascii="Arial" w:hAnsi="Arial" w:cs="Arial"/>
          <w:b/>
          <w:szCs w:val="24"/>
        </w:rPr>
        <w:tab/>
        <w:t>Higiene</w:t>
      </w:r>
    </w:p>
    <w:p w14:paraId="3AC6EA7D" w14:textId="77777777" w:rsidR="005C60A7" w:rsidRPr="00FA32AC" w:rsidRDefault="005C60A7" w:rsidP="005C60A7">
      <w:pPr>
        <w:rPr>
          <w:b/>
        </w:rPr>
      </w:pPr>
      <w:r w:rsidRPr="00CE13F2">
        <w:rPr>
          <w:rFonts w:ascii="Arial" w:hAnsi="Arial" w:cs="Arial"/>
          <w:szCs w:val="24"/>
        </w:rPr>
        <w:t>Se propone el</w:t>
      </w:r>
      <w:r>
        <w:rPr>
          <w:rFonts w:ascii="Arial" w:hAnsi="Arial" w:cs="Arial"/>
          <w:szCs w:val="24"/>
        </w:rPr>
        <w:t xml:space="preserve"> suministro e instalación de 135</w:t>
      </w:r>
      <w:r w:rsidRPr="00CE13F2">
        <w:rPr>
          <w:rFonts w:ascii="Arial" w:hAnsi="Arial" w:cs="Arial"/>
          <w:szCs w:val="24"/>
        </w:rPr>
        <w:t xml:space="preserve"> lavaderos de concreto de fabricación nacional para el componente de higiene; dicha unidad irá colocada sobre una losa de concreto y dispondrá de un foso recolector de las aguas grises provenientes de las actividades domésticas.</w:t>
      </w:r>
    </w:p>
    <w:p w14:paraId="7C1E89D5" w14:textId="77777777" w:rsidR="005C60A7" w:rsidRPr="00FA32AC" w:rsidRDefault="005C60A7" w:rsidP="005C60A7">
      <w:pPr>
        <w:pStyle w:val="Prrafodelista"/>
        <w:numPr>
          <w:ilvl w:val="0"/>
          <w:numId w:val="121"/>
        </w:numPr>
        <w:spacing w:after="160" w:line="259" w:lineRule="auto"/>
        <w:ind w:left="0" w:firstLine="0"/>
        <w:contextualSpacing/>
        <w:rPr>
          <w:rFonts w:ascii="Arial" w:hAnsi="Arial" w:cs="Arial"/>
          <w:szCs w:val="24"/>
        </w:rPr>
      </w:pPr>
      <w:r w:rsidRPr="00FA32AC">
        <w:rPr>
          <w:rFonts w:ascii="Arial" w:hAnsi="Arial" w:cs="Arial"/>
          <w:b/>
          <w:szCs w:val="24"/>
        </w:rPr>
        <w:t xml:space="preserve">Acompañamiento social  </w:t>
      </w:r>
    </w:p>
    <w:p w14:paraId="3A9ABB12" w14:textId="77777777" w:rsidR="005C60A7" w:rsidRDefault="005C60A7" w:rsidP="005C60A7">
      <w:pPr>
        <w:rPr>
          <w:rFonts w:ascii="Arial" w:hAnsi="Arial" w:cs="Arial"/>
          <w:szCs w:val="24"/>
        </w:rPr>
      </w:pPr>
      <w:r w:rsidRPr="008E5C81">
        <w:rPr>
          <w:rFonts w:ascii="Arial" w:hAnsi="Arial" w:cs="Arial"/>
          <w:szCs w:val="24"/>
        </w:rPr>
        <w:t>El componente de acompañamiento de los procesos sociales del proyecto, consiste en fortalecer la sostenibilidad comunitaria como acción esencial para el manejo eficiente de los sistemas de agua, saneamiento e higiene rural, a partir del acompañamiento, la capacitación y la asistencia técnica social a la comunidad y a los Comités de Agua Potable y Saneamiento (CAPS) en la etapa de ejecución y post obra que son parte del ciclo de proyecto.</w:t>
      </w:r>
    </w:p>
    <w:p w14:paraId="5D0783C5" w14:textId="77777777" w:rsidR="005C60A7" w:rsidRPr="00FA32AC" w:rsidRDefault="005C60A7" w:rsidP="005C60A7">
      <w:pPr>
        <w:rPr>
          <w:rFonts w:ascii="Arial" w:hAnsi="Arial" w:cs="Arial"/>
          <w:szCs w:val="24"/>
        </w:rPr>
      </w:pPr>
    </w:p>
    <w:p w14:paraId="0456FB6E" w14:textId="77777777" w:rsidR="005C60A7" w:rsidRPr="00FA32AC" w:rsidRDefault="005C60A7" w:rsidP="005C60A7">
      <w:pPr>
        <w:jc w:val="center"/>
        <w:rPr>
          <w:rFonts w:ascii="Arial" w:hAnsi="Arial" w:cs="Arial"/>
          <w:b/>
          <w:szCs w:val="24"/>
        </w:rPr>
      </w:pPr>
      <w:r w:rsidRPr="00AD544F">
        <w:rPr>
          <w:rFonts w:ascii="Arial" w:hAnsi="Arial" w:cs="Arial"/>
          <w:b/>
          <w:szCs w:val="24"/>
        </w:rPr>
        <w:t>19892</w:t>
      </w:r>
      <w:r>
        <w:rPr>
          <w:rFonts w:ascii="Arial" w:hAnsi="Arial" w:cs="Arial"/>
          <w:b/>
          <w:szCs w:val="24"/>
        </w:rPr>
        <w:t xml:space="preserve"> - </w:t>
      </w:r>
      <w:r w:rsidRPr="00AD544F">
        <w:rPr>
          <w:rFonts w:ascii="Arial" w:hAnsi="Arial" w:cs="Arial"/>
          <w:b/>
          <w:szCs w:val="24"/>
        </w:rPr>
        <w:t>Agua y saneamiento comunidad Bálsamo Abajo</w:t>
      </w:r>
      <w:r w:rsidRPr="006D5E17">
        <w:rPr>
          <w:b/>
          <w:bCs/>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2"/>
        <w:gridCol w:w="4896"/>
        <w:gridCol w:w="772"/>
        <w:gridCol w:w="1647"/>
        <w:gridCol w:w="933"/>
      </w:tblGrid>
      <w:tr w:rsidR="005C60A7" w:rsidRPr="008E5C81" w14:paraId="0C36BDCA" w14:textId="77777777" w:rsidTr="00CD039D">
        <w:trPr>
          <w:trHeight w:val="371"/>
        </w:trPr>
        <w:tc>
          <w:tcPr>
            <w:tcW w:w="1102" w:type="dxa"/>
            <w:vMerge w:val="restart"/>
            <w:shd w:val="clear" w:color="auto" w:fill="auto"/>
            <w:hideMark/>
          </w:tcPr>
          <w:p w14:paraId="17F85CCB" w14:textId="77777777" w:rsidR="005C60A7" w:rsidRPr="008E5C81" w:rsidRDefault="005C60A7" w:rsidP="00CD039D">
            <w:pPr>
              <w:jc w:val="center"/>
              <w:rPr>
                <w:rFonts w:ascii="Arial" w:hAnsi="Arial" w:cs="Arial"/>
                <w:b/>
                <w:bCs/>
                <w:sz w:val="16"/>
                <w:szCs w:val="16"/>
              </w:rPr>
            </w:pPr>
            <w:r w:rsidRPr="008E5C81">
              <w:rPr>
                <w:rFonts w:ascii="Arial" w:hAnsi="Arial" w:cs="Arial"/>
                <w:b/>
                <w:bCs/>
                <w:sz w:val="16"/>
                <w:szCs w:val="16"/>
              </w:rPr>
              <w:t>PRODUCTO</w:t>
            </w:r>
          </w:p>
        </w:tc>
        <w:tc>
          <w:tcPr>
            <w:tcW w:w="4896" w:type="dxa"/>
            <w:vMerge w:val="restart"/>
            <w:shd w:val="clear" w:color="auto" w:fill="auto"/>
            <w:hideMark/>
          </w:tcPr>
          <w:p w14:paraId="2E0C8335" w14:textId="77777777" w:rsidR="005C60A7" w:rsidRPr="008E5C81" w:rsidRDefault="005C60A7" w:rsidP="00CD039D">
            <w:pPr>
              <w:jc w:val="center"/>
              <w:rPr>
                <w:rFonts w:ascii="Arial" w:hAnsi="Arial" w:cs="Arial"/>
                <w:b/>
                <w:bCs/>
                <w:sz w:val="16"/>
                <w:szCs w:val="16"/>
              </w:rPr>
            </w:pPr>
            <w:r w:rsidRPr="008E5C81">
              <w:rPr>
                <w:rFonts w:ascii="Arial" w:hAnsi="Arial" w:cs="Arial"/>
                <w:b/>
                <w:bCs/>
                <w:sz w:val="16"/>
                <w:szCs w:val="16"/>
              </w:rPr>
              <w:t>CAPACITACIÓN</w:t>
            </w:r>
          </w:p>
        </w:tc>
        <w:tc>
          <w:tcPr>
            <w:tcW w:w="772" w:type="dxa"/>
            <w:vMerge w:val="restart"/>
            <w:shd w:val="clear" w:color="auto" w:fill="auto"/>
            <w:hideMark/>
          </w:tcPr>
          <w:p w14:paraId="31124938" w14:textId="77777777" w:rsidR="005C60A7" w:rsidRPr="008E5C81" w:rsidRDefault="005C60A7" w:rsidP="00CD039D">
            <w:pPr>
              <w:jc w:val="center"/>
              <w:rPr>
                <w:rFonts w:ascii="Arial" w:hAnsi="Arial" w:cs="Arial"/>
                <w:b/>
                <w:bCs/>
                <w:sz w:val="16"/>
                <w:szCs w:val="16"/>
              </w:rPr>
            </w:pPr>
            <w:r w:rsidRPr="008E5C81">
              <w:rPr>
                <w:rFonts w:ascii="Arial" w:hAnsi="Arial" w:cs="Arial"/>
                <w:b/>
                <w:bCs/>
                <w:sz w:val="16"/>
                <w:szCs w:val="16"/>
              </w:rPr>
              <w:t>TALLER</w:t>
            </w:r>
          </w:p>
        </w:tc>
        <w:tc>
          <w:tcPr>
            <w:tcW w:w="1647" w:type="dxa"/>
            <w:vMerge w:val="restart"/>
            <w:shd w:val="clear" w:color="auto" w:fill="auto"/>
            <w:hideMark/>
          </w:tcPr>
          <w:p w14:paraId="258FAF54" w14:textId="77777777" w:rsidR="005C60A7" w:rsidRPr="008E5C81" w:rsidRDefault="005C60A7" w:rsidP="00CD039D">
            <w:pPr>
              <w:jc w:val="center"/>
              <w:rPr>
                <w:rFonts w:ascii="Arial" w:hAnsi="Arial" w:cs="Arial"/>
                <w:b/>
                <w:bCs/>
                <w:sz w:val="16"/>
                <w:szCs w:val="16"/>
              </w:rPr>
            </w:pPr>
            <w:r w:rsidRPr="008E5C81">
              <w:rPr>
                <w:rFonts w:ascii="Arial" w:hAnsi="Arial" w:cs="Arial"/>
                <w:b/>
                <w:bCs/>
                <w:sz w:val="16"/>
                <w:szCs w:val="16"/>
              </w:rPr>
              <w:t>PERSONAS A CAPACITAR POR TALLER</w:t>
            </w:r>
          </w:p>
        </w:tc>
        <w:tc>
          <w:tcPr>
            <w:tcW w:w="933" w:type="dxa"/>
            <w:vMerge w:val="restart"/>
            <w:shd w:val="clear" w:color="auto" w:fill="auto"/>
            <w:hideMark/>
          </w:tcPr>
          <w:p w14:paraId="1445F605" w14:textId="77777777" w:rsidR="005C60A7" w:rsidRPr="008E5C81" w:rsidRDefault="005C60A7" w:rsidP="00CD039D">
            <w:pPr>
              <w:jc w:val="center"/>
              <w:rPr>
                <w:rFonts w:ascii="Arial" w:hAnsi="Arial" w:cs="Arial"/>
                <w:b/>
                <w:bCs/>
                <w:sz w:val="16"/>
                <w:szCs w:val="16"/>
              </w:rPr>
            </w:pPr>
            <w:r w:rsidRPr="008E5C81">
              <w:rPr>
                <w:rFonts w:ascii="Arial" w:hAnsi="Arial" w:cs="Arial"/>
                <w:b/>
                <w:bCs/>
                <w:sz w:val="16"/>
                <w:szCs w:val="16"/>
              </w:rPr>
              <w:t>TOTAL, TALLER</w:t>
            </w:r>
          </w:p>
          <w:p w14:paraId="5AFBE2C0" w14:textId="77777777" w:rsidR="005C60A7" w:rsidRPr="008E5C81" w:rsidRDefault="005C60A7" w:rsidP="00CD039D">
            <w:pPr>
              <w:jc w:val="center"/>
              <w:rPr>
                <w:rFonts w:ascii="Arial" w:hAnsi="Arial" w:cs="Arial"/>
                <w:b/>
                <w:bCs/>
                <w:sz w:val="16"/>
                <w:szCs w:val="16"/>
              </w:rPr>
            </w:pPr>
          </w:p>
        </w:tc>
      </w:tr>
      <w:tr w:rsidR="005C60A7" w:rsidRPr="008E5C81" w14:paraId="7FF2E0A3" w14:textId="77777777" w:rsidTr="00CD039D">
        <w:trPr>
          <w:trHeight w:val="450"/>
        </w:trPr>
        <w:tc>
          <w:tcPr>
            <w:tcW w:w="1102" w:type="dxa"/>
            <w:vMerge/>
            <w:hideMark/>
          </w:tcPr>
          <w:p w14:paraId="2B1BA049" w14:textId="77777777" w:rsidR="005C60A7" w:rsidRPr="008E5C81" w:rsidRDefault="005C60A7" w:rsidP="00CD039D">
            <w:pPr>
              <w:rPr>
                <w:rFonts w:ascii="Arial" w:hAnsi="Arial" w:cs="Arial"/>
                <w:b/>
                <w:bCs/>
                <w:sz w:val="16"/>
                <w:szCs w:val="16"/>
              </w:rPr>
            </w:pPr>
          </w:p>
        </w:tc>
        <w:tc>
          <w:tcPr>
            <w:tcW w:w="4896" w:type="dxa"/>
            <w:vMerge/>
            <w:hideMark/>
          </w:tcPr>
          <w:p w14:paraId="5DE0E94F" w14:textId="77777777" w:rsidR="005C60A7" w:rsidRPr="008E5C81" w:rsidRDefault="005C60A7" w:rsidP="00CD039D">
            <w:pPr>
              <w:rPr>
                <w:rFonts w:ascii="Arial" w:hAnsi="Arial" w:cs="Arial"/>
                <w:b/>
                <w:bCs/>
                <w:sz w:val="16"/>
                <w:szCs w:val="16"/>
              </w:rPr>
            </w:pPr>
          </w:p>
        </w:tc>
        <w:tc>
          <w:tcPr>
            <w:tcW w:w="772" w:type="dxa"/>
            <w:vMerge/>
            <w:hideMark/>
          </w:tcPr>
          <w:p w14:paraId="18635EE8" w14:textId="77777777" w:rsidR="005C60A7" w:rsidRPr="008E5C81" w:rsidRDefault="005C60A7" w:rsidP="00CD039D">
            <w:pPr>
              <w:rPr>
                <w:rFonts w:ascii="Arial" w:hAnsi="Arial" w:cs="Arial"/>
                <w:b/>
                <w:bCs/>
                <w:sz w:val="16"/>
                <w:szCs w:val="16"/>
              </w:rPr>
            </w:pPr>
          </w:p>
        </w:tc>
        <w:tc>
          <w:tcPr>
            <w:tcW w:w="1647" w:type="dxa"/>
            <w:vMerge/>
            <w:hideMark/>
          </w:tcPr>
          <w:p w14:paraId="373CB0A4" w14:textId="77777777" w:rsidR="005C60A7" w:rsidRPr="008E5C81" w:rsidRDefault="005C60A7" w:rsidP="00CD039D">
            <w:pPr>
              <w:rPr>
                <w:rFonts w:ascii="Arial" w:hAnsi="Arial" w:cs="Arial"/>
                <w:b/>
                <w:bCs/>
                <w:sz w:val="16"/>
                <w:szCs w:val="16"/>
              </w:rPr>
            </w:pPr>
          </w:p>
        </w:tc>
        <w:tc>
          <w:tcPr>
            <w:tcW w:w="933" w:type="dxa"/>
            <w:vMerge/>
            <w:shd w:val="clear" w:color="auto" w:fill="auto"/>
            <w:hideMark/>
          </w:tcPr>
          <w:p w14:paraId="2E514C8F" w14:textId="77777777" w:rsidR="005C60A7" w:rsidRPr="008E5C81" w:rsidRDefault="005C60A7" w:rsidP="00CD039D">
            <w:pPr>
              <w:rPr>
                <w:rFonts w:ascii="Arial" w:hAnsi="Arial" w:cs="Arial"/>
                <w:b/>
                <w:bCs/>
                <w:sz w:val="16"/>
                <w:szCs w:val="16"/>
              </w:rPr>
            </w:pPr>
          </w:p>
        </w:tc>
      </w:tr>
      <w:tr w:rsidR="005C60A7" w:rsidRPr="008E5C81" w14:paraId="7EB6B443" w14:textId="77777777" w:rsidTr="00CD039D">
        <w:trPr>
          <w:trHeight w:val="45"/>
        </w:trPr>
        <w:tc>
          <w:tcPr>
            <w:tcW w:w="1102" w:type="dxa"/>
            <w:shd w:val="clear" w:color="auto" w:fill="auto"/>
            <w:hideMark/>
          </w:tcPr>
          <w:p w14:paraId="23A0D37D" w14:textId="77777777" w:rsidR="005C60A7" w:rsidRPr="008E5C81" w:rsidRDefault="005C60A7" w:rsidP="00CD039D">
            <w:pPr>
              <w:rPr>
                <w:rFonts w:ascii="Arial" w:hAnsi="Arial" w:cs="Arial"/>
                <w:sz w:val="16"/>
                <w:szCs w:val="16"/>
              </w:rPr>
            </w:pPr>
            <w:r w:rsidRPr="008E5C81">
              <w:rPr>
                <w:rFonts w:ascii="Arial" w:hAnsi="Arial" w:cs="Arial"/>
                <w:sz w:val="16"/>
                <w:szCs w:val="16"/>
              </w:rPr>
              <w:t>Producto 1:</w:t>
            </w:r>
          </w:p>
        </w:tc>
        <w:tc>
          <w:tcPr>
            <w:tcW w:w="4896" w:type="dxa"/>
            <w:shd w:val="clear" w:color="auto" w:fill="auto"/>
            <w:hideMark/>
          </w:tcPr>
          <w:p w14:paraId="6BDE2911"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772" w:type="dxa"/>
            <w:shd w:val="clear" w:color="auto" w:fill="auto"/>
            <w:hideMark/>
          </w:tcPr>
          <w:p w14:paraId="44DA5608"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1647" w:type="dxa"/>
            <w:shd w:val="clear" w:color="auto" w:fill="auto"/>
            <w:hideMark/>
          </w:tcPr>
          <w:p w14:paraId="07233745"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933" w:type="dxa"/>
            <w:shd w:val="clear" w:color="auto" w:fill="auto"/>
            <w:hideMark/>
          </w:tcPr>
          <w:p w14:paraId="6D0BF4AE"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r>
      <w:tr w:rsidR="005C60A7" w:rsidRPr="008E5C81" w14:paraId="6062A562" w14:textId="77777777" w:rsidTr="00CD039D">
        <w:trPr>
          <w:trHeight w:val="117"/>
        </w:trPr>
        <w:tc>
          <w:tcPr>
            <w:tcW w:w="1102" w:type="dxa"/>
            <w:shd w:val="clear" w:color="auto" w:fill="auto"/>
            <w:hideMark/>
          </w:tcPr>
          <w:p w14:paraId="422E74B0" w14:textId="77777777" w:rsidR="005C60A7" w:rsidRPr="008E5C81" w:rsidRDefault="005C60A7" w:rsidP="00CD039D">
            <w:pPr>
              <w:rPr>
                <w:rFonts w:ascii="Arial" w:hAnsi="Arial" w:cs="Arial"/>
                <w:sz w:val="16"/>
                <w:szCs w:val="16"/>
              </w:rPr>
            </w:pPr>
            <w:r w:rsidRPr="008E5C81">
              <w:rPr>
                <w:rFonts w:ascii="Arial" w:hAnsi="Arial" w:cs="Arial"/>
                <w:sz w:val="16"/>
                <w:szCs w:val="16"/>
              </w:rPr>
              <w:t>Producto 2:</w:t>
            </w:r>
          </w:p>
        </w:tc>
        <w:tc>
          <w:tcPr>
            <w:tcW w:w="4896" w:type="dxa"/>
            <w:shd w:val="clear" w:color="auto" w:fill="auto"/>
            <w:hideMark/>
          </w:tcPr>
          <w:p w14:paraId="0B3F51A4"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772" w:type="dxa"/>
            <w:shd w:val="clear" w:color="auto" w:fill="auto"/>
            <w:hideMark/>
          </w:tcPr>
          <w:p w14:paraId="172BC1EB"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1647" w:type="dxa"/>
            <w:shd w:val="clear" w:color="auto" w:fill="auto"/>
            <w:hideMark/>
          </w:tcPr>
          <w:p w14:paraId="04BB16D6"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933" w:type="dxa"/>
            <w:shd w:val="clear" w:color="auto" w:fill="auto"/>
            <w:hideMark/>
          </w:tcPr>
          <w:p w14:paraId="1867C7A4"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r>
      <w:tr w:rsidR="005C60A7" w:rsidRPr="008E5C81" w14:paraId="404E5377" w14:textId="77777777" w:rsidTr="00CD039D">
        <w:trPr>
          <w:trHeight w:val="204"/>
        </w:trPr>
        <w:tc>
          <w:tcPr>
            <w:tcW w:w="1102" w:type="dxa"/>
            <w:vMerge w:val="restart"/>
            <w:shd w:val="clear" w:color="auto" w:fill="auto"/>
            <w:hideMark/>
          </w:tcPr>
          <w:p w14:paraId="436F9364" w14:textId="77777777" w:rsidR="005C60A7" w:rsidRPr="008E5C81" w:rsidRDefault="005C60A7" w:rsidP="00CD039D">
            <w:pPr>
              <w:rPr>
                <w:rFonts w:ascii="Arial" w:hAnsi="Arial" w:cs="Arial"/>
                <w:sz w:val="16"/>
                <w:szCs w:val="16"/>
              </w:rPr>
            </w:pPr>
            <w:r w:rsidRPr="008E5C81">
              <w:rPr>
                <w:rFonts w:ascii="Arial" w:hAnsi="Arial" w:cs="Arial"/>
                <w:sz w:val="16"/>
                <w:szCs w:val="16"/>
              </w:rPr>
              <w:t>PRODUCTO 3:</w:t>
            </w:r>
          </w:p>
        </w:tc>
        <w:tc>
          <w:tcPr>
            <w:tcW w:w="4896" w:type="dxa"/>
            <w:vMerge w:val="restart"/>
            <w:shd w:val="clear" w:color="auto" w:fill="auto"/>
            <w:hideMark/>
          </w:tcPr>
          <w:p w14:paraId="2A7647A9"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Modulo I del compendio metodológico sobre la Gestión Social en los proyectos de agua y saneamiento e higiene en la comunidad.</w:t>
            </w:r>
          </w:p>
        </w:tc>
        <w:tc>
          <w:tcPr>
            <w:tcW w:w="772" w:type="dxa"/>
            <w:shd w:val="clear" w:color="auto" w:fill="auto"/>
            <w:hideMark/>
          </w:tcPr>
          <w:p w14:paraId="16A7DA31"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xml:space="preserve">Taller 1 </w:t>
            </w:r>
          </w:p>
        </w:tc>
        <w:tc>
          <w:tcPr>
            <w:tcW w:w="1647" w:type="dxa"/>
            <w:shd w:val="clear" w:color="auto" w:fill="auto"/>
            <w:hideMark/>
          </w:tcPr>
          <w:p w14:paraId="406A3B54"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4672E1D4"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01CEDF56" w14:textId="77777777" w:rsidTr="00CD039D">
        <w:trPr>
          <w:trHeight w:val="278"/>
        </w:trPr>
        <w:tc>
          <w:tcPr>
            <w:tcW w:w="1102" w:type="dxa"/>
            <w:vMerge/>
            <w:hideMark/>
          </w:tcPr>
          <w:p w14:paraId="17E4C0B8" w14:textId="77777777" w:rsidR="005C60A7" w:rsidRPr="008E5C81" w:rsidRDefault="005C60A7" w:rsidP="00CD039D">
            <w:pPr>
              <w:rPr>
                <w:rFonts w:ascii="Arial" w:hAnsi="Arial" w:cs="Arial"/>
                <w:sz w:val="16"/>
                <w:szCs w:val="16"/>
              </w:rPr>
            </w:pPr>
          </w:p>
        </w:tc>
        <w:tc>
          <w:tcPr>
            <w:tcW w:w="4896" w:type="dxa"/>
            <w:vMerge/>
            <w:hideMark/>
          </w:tcPr>
          <w:p w14:paraId="3DC20712" w14:textId="77777777" w:rsidR="005C60A7" w:rsidRPr="008E5C81" w:rsidRDefault="005C60A7" w:rsidP="00CD039D">
            <w:pPr>
              <w:rPr>
                <w:rFonts w:ascii="Arial" w:hAnsi="Arial" w:cs="Arial"/>
                <w:sz w:val="16"/>
                <w:szCs w:val="16"/>
              </w:rPr>
            </w:pPr>
          </w:p>
        </w:tc>
        <w:tc>
          <w:tcPr>
            <w:tcW w:w="772" w:type="dxa"/>
            <w:shd w:val="clear" w:color="auto" w:fill="auto"/>
            <w:hideMark/>
          </w:tcPr>
          <w:p w14:paraId="5796082B"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2</w:t>
            </w:r>
          </w:p>
        </w:tc>
        <w:tc>
          <w:tcPr>
            <w:tcW w:w="1647" w:type="dxa"/>
            <w:shd w:val="clear" w:color="auto" w:fill="auto"/>
            <w:hideMark/>
          </w:tcPr>
          <w:p w14:paraId="31C4302A"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tcPr>
          <w:p w14:paraId="4E788D3B"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386D60C8" w14:textId="77777777" w:rsidTr="00CD039D">
        <w:trPr>
          <w:trHeight w:val="379"/>
        </w:trPr>
        <w:tc>
          <w:tcPr>
            <w:tcW w:w="1102" w:type="dxa"/>
            <w:vMerge/>
            <w:hideMark/>
          </w:tcPr>
          <w:p w14:paraId="785AA3FB" w14:textId="77777777" w:rsidR="005C60A7" w:rsidRPr="008E5C81" w:rsidRDefault="005C60A7" w:rsidP="00CD039D">
            <w:pPr>
              <w:rPr>
                <w:rFonts w:ascii="Arial" w:hAnsi="Arial" w:cs="Arial"/>
                <w:sz w:val="16"/>
                <w:szCs w:val="16"/>
              </w:rPr>
            </w:pPr>
          </w:p>
        </w:tc>
        <w:tc>
          <w:tcPr>
            <w:tcW w:w="4896" w:type="dxa"/>
            <w:shd w:val="clear" w:color="auto" w:fill="auto"/>
            <w:hideMark/>
          </w:tcPr>
          <w:p w14:paraId="4851C7CD"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sobre la Ley 722 “Ley especial para los CAPS” y su reglamento.</w:t>
            </w:r>
          </w:p>
        </w:tc>
        <w:tc>
          <w:tcPr>
            <w:tcW w:w="772" w:type="dxa"/>
            <w:shd w:val="clear" w:color="auto" w:fill="auto"/>
            <w:hideMark/>
          </w:tcPr>
          <w:p w14:paraId="046AD85F"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1</w:t>
            </w:r>
          </w:p>
        </w:tc>
        <w:tc>
          <w:tcPr>
            <w:tcW w:w="1647" w:type="dxa"/>
            <w:shd w:val="clear" w:color="auto" w:fill="auto"/>
            <w:hideMark/>
          </w:tcPr>
          <w:p w14:paraId="11FB6046"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73A913E6"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6BFD7F63" w14:textId="77777777" w:rsidTr="00CD039D">
        <w:trPr>
          <w:trHeight w:val="149"/>
        </w:trPr>
        <w:tc>
          <w:tcPr>
            <w:tcW w:w="1102" w:type="dxa"/>
            <w:vMerge/>
            <w:hideMark/>
          </w:tcPr>
          <w:p w14:paraId="5726A6CE" w14:textId="77777777" w:rsidR="005C60A7" w:rsidRPr="008E5C81" w:rsidRDefault="005C60A7" w:rsidP="00CD039D">
            <w:pPr>
              <w:rPr>
                <w:rFonts w:ascii="Arial" w:hAnsi="Arial" w:cs="Arial"/>
                <w:sz w:val="16"/>
                <w:szCs w:val="16"/>
              </w:rPr>
            </w:pPr>
          </w:p>
        </w:tc>
        <w:tc>
          <w:tcPr>
            <w:tcW w:w="4896" w:type="dxa"/>
            <w:vMerge w:val="restart"/>
            <w:shd w:val="clear" w:color="auto" w:fill="auto"/>
            <w:hideMark/>
          </w:tcPr>
          <w:p w14:paraId="00DA17FD"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Modulo II del compendio metodológico: Preparándonos en la fase de pre inversión de un proyecto de agua, saneamiento e higiene.</w:t>
            </w:r>
          </w:p>
        </w:tc>
        <w:tc>
          <w:tcPr>
            <w:tcW w:w="772" w:type="dxa"/>
            <w:shd w:val="clear" w:color="auto" w:fill="auto"/>
            <w:hideMark/>
          </w:tcPr>
          <w:p w14:paraId="49D6EEA5"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3</w:t>
            </w:r>
          </w:p>
        </w:tc>
        <w:tc>
          <w:tcPr>
            <w:tcW w:w="1647" w:type="dxa"/>
            <w:shd w:val="clear" w:color="auto" w:fill="auto"/>
            <w:hideMark/>
          </w:tcPr>
          <w:p w14:paraId="558E1073"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4619EF48"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1865A722" w14:textId="77777777" w:rsidTr="00CD039D">
        <w:trPr>
          <w:trHeight w:val="238"/>
        </w:trPr>
        <w:tc>
          <w:tcPr>
            <w:tcW w:w="1102" w:type="dxa"/>
            <w:vMerge/>
            <w:hideMark/>
          </w:tcPr>
          <w:p w14:paraId="770CD7D2" w14:textId="77777777" w:rsidR="005C60A7" w:rsidRPr="008E5C81" w:rsidRDefault="005C60A7" w:rsidP="00CD039D">
            <w:pPr>
              <w:rPr>
                <w:rFonts w:ascii="Arial" w:hAnsi="Arial" w:cs="Arial"/>
                <w:sz w:val="16"/>
                <w:szCs w:val="16"/>
              </w:rPr>
            </w:pPr>
          </w:p>
        </w:tc>
        <w:tc>
          <w:tcPr>
            <w:tcW w:w="4896" w:type="dxa"/>
            <w:vMerge/>
            <w:hideMark/>
          </w:tcPr>
          <w:p w14:paraId="42C091FE" w14:textId="77777777" w:rsidR="005C60A7" w:rsidRPr="008E5C81" w:rsidRDefault="005C60A7" w:rsidP="00CD039D">
            <w:pPr>
              <w:rPr>
                <w:rFonts w:ascii="Arial" w:hAnsi="Arial" w:cs="Arial"/>
                <w:sz w:val="16"/>
                <w:szCs w:val="16"/>
              </w:rPr>
            </w:pPr>
          </w:p>
        </w:tc>
        <w:tc>
          <w:tcPr>
            <w:tcW w:w="772" w:type="dxa"/>
            <w:shd w:val="clear" w:color="auto" w:fill="auto"/>
            <w:hideMark/>
          </w:tcPr>
          <w:p w14:paraId="70AD9D1B"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4</w:t>
            </w:r>
          </w:p>
        </w:tc>
        <w:tc>
          <w:tcPr>
            <w:tcW w:w="1647" w:type="dxa"/>
            <w:shd w:val="clear" w:color="auto" w:fill="auto"/>
            <w:hideMark/>
          </w:tcPr>
          <w:p w14:paraId="4F70FADC"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3C54B30C"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586895B7" w14:textId="77777777" w:rsidTr="00CD039D">
        <w:trPr>
          <w:trHeight w:val="2535"/>
        </w:trPr>
        <w:tc>
          <w:tcPr>
            <w:tcW w:w="1102" w:type="dxa"/>
            <w:vMerge/>
            <w:hideMark/>
          </w:tcPr>
          <w:p w14:paraId="0EC979AE" w14:textId="77777777" w:rsidR="005C60A7" w:rsidRPr="008E5C81" w:rsidRDefault="005C60A7" w:rsidP="00CD039D">
            <w:pPr>
              <w:rPr>
                <w:rFonts w:ascii="Arial" w:hAnsi="Arial" w:cs="Arial"/>
                <w:sz w:val="16"/>
                <w:szCs w:val="16"/>
              </w:rPr>
            </w:pPr>
          </w:p>
        </w:tc>
        <w:tc>
          <w:tcPr>
            <w:tcW w:w="4896" w:type="dxa"/>
            <w:vMerge w:val="restart"/>
            <w:shd w:val="clear" w:color="auto" w:fill="auto"/>
            <w:hideMark/>
          </w:tcPr>
          <w:p w14:paraId="624DAFC5"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del Módulo III del Compendio Metodológico. Primera parte, utiliza cartilla No.3 "Contrataciones y Gestión de los recursos en la etapa de inversión de un proyecto de agua, saneamiento e higiene".</w:t>
            </w:r>
          </w:p>
        </w:tc>
        <w:tc>
          <w:tcPr>
            <w:tcW w:w="772" w:type="dxa"/>
            <w:vMerge w:val="restart"/>
            <w:shd w:val="clear" w:color="auto" w:fill="auto"/>
            <w:hideMark/>
          </w:tcPr>
          <w:p w14:paraId="595D152C"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5</w:t>
            </w:r>
          </w:p>
        </w:tc>
        <w:tc>
          <w:tcPr>
            <w:tcW w:w="1647" w:type="dxa"/>
            <w:vMerge w:val="restart"/>
            <w:shd w:val="clear" w:color="auto" w:fill="auto"/>
            <w:hideMark/>
          </w:tcPr>
          <w:p w14:paraId="63021572"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vMerge w:val="restart"/>
            <w:shd w:val="clear" w:color="auto" w:fill="auto"/>
            <w:hideMark/>
          </w:tcPr>
          <w:p w14:paraId="61FD95CC"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5F490E0C" w14:textId="77777777" w:rsidTr="00CD039D">
        <w:trPr>
          <w:trHeight w:val="184"/>
        </w:trPr>
        <w:tc>
          <w:tcPr>
            <w:tcW w:w="1102" w:type="dxa"/>
            <w:vMerge/>
            <w:hideMark/>
          </w:tcPr>
          <w:p w14:paraId="3F4468D2" w14:textId="77777777" w:rsidR="005C60A7" w:rsidRPr="008E5C81" w:rsidRDefault="005C60A7" w:rsidP="00CD039D">
            <w:pPr>
              <w:rPr>
                <w:rFonts w:ascii="Arial" w:hAnsi="Arial" w:cs="Arial"/>
                <w:sz w:val="16"/>
                <w:szCs w:val="16"/>
              </w:rPr>
            </w:pPr>
          </w:p>
        </w:tc>
        <w:tc>
          <w:tcPr>
            <w:tcW w:w="4896" w:type="dxa"/>
            <w:vMerge/>
            <w:hideMark/>
          </w:tcPr>
          <w:p w14:paraId="3E7603E0" w14:textId="77777777" w:rsidR="005C60A7" w:rsidRPr="008E5C81" w:rsidRDefault="005C60A7" w:rsidP="00CD039D">
            <w:pPr>
              <w:rPr>
                <w:rFonts w:ascii="Arial" w:hAnsi="Arial" w:cs="Arial"/>
                <w:sz w:val="16"/>
                <w:szCs w:val="16"/>
              </w:rPr>
            </w:pPr>
          </w:p>
        </w:tc>
        <w:tc>
          <w:tcPr>
            <w:tcW w:w="772" w:type="dxa"/>
            <w:vMerge/>
            <w:hideMark/>
          </w:tcPr>
          <w:p w14:paraId="507F7C12" w14:textId="77777777" w:rsidR="005C60A7" w:rsidRPr="008E5C81" w:rsidRDefault="005C60A7" w:rsidP="00CD039D">
            <w:pPr>
              <w:jc w:val="right"/>
              <w:rPr>
                <w:rFonts w:ascii="Arial" w:hAnsi="Arial" w:cs="Arial"/>
                <w:sz w:val="16"/>
                <w:szCs w:val="16"/>
              </w:rPr>
            </w:pPr>
          </w:p>
        </w:tc>
        <w:tc>
          <w:tcPr>
            <w:tcW w:w="1647" w:type="dxa"/>
            <w:vMerge/>
            <w:hideMark/>
          </w:tcPr>
          <w:p w14:paraId="45C79442" w14:textId="77777777" w:rsidR="005C60A7" w:rsidRPr="008E5C81" w:rsidRDefault="005C60A7" w:rsidP="00CD039D">
            <w:pPr>
              <w:jc w:val="right"/>
              <w:rPr>
                <w:rFonts w:ascii="Arial" w:hAnsi="Arial" w:cs="Arial"/>
                <w:sz w:val="16"/>
                <w:szCs w:val="16"/>
              </w:rPr>
            </w:pPr>
          </w:p>
        </w:tc>
        <w:tc>
          <w:tcPr>
            <w:tcW w:w="933" w:type="dxa"/>
            <w:vMerge/>
            <w:hideMark/>
          </w:tcPr>
          <w:p w14:paraId="148F7A07" w14:textId="77777777" w:rsidR="005C60A7" w:rsidRPr="008E5C81" w:rsidRDefault="005C60A7" w:rsidP="00CD039D">
            <w:pPr>
              <w:jc w:val="right"/>
              <w:rPr>
                <w:rFonts w:ascii="Arial" w:hAnsi="Arial" w:cs="Arial"/>
                <w:sz w:val="16"/>
                <w:szCs w:val="16"/>
              </w:rPr>
            </w:pPr>
          </w:p>
        </w:tc>
      </w:tr>
      <w:tr w:rsidR="005C60A7" w:rsidRPr="008E5C81" w14:paraId="35E7128C" w14:textId="77777777" w:rsidTr="00CD039D">
        <w:trPr>
          <w:trHeight w:val="138"/>
        </w:trPr>
        <w:tc>
          <w:tcPr>
            <w:tcW w:w="1102" w:type="dxa"/>
            <w:vMerge/>
            <w:hideMark/>
          </w:tcPr>
          <w:p w14:paraId="10ACC259" w14:textId="77777777" w:rsidR="005C60A7" w:rsidRPr="008E5C81" w:rsidRDefault="005C60A7" w:rsidP="00CD039D">
            <w:pPr>
              <w:rPr>
                <w:rFonts w:ascii="Arial" w:hAnsi="Arial" w:cs="Arial"/>
                <w:sz w:val="16"/>
                <w:szCs w:val="16"/>
              </w:rPr>
            </w:pPr>
          </w:p>
        </w:tc>
        <w:tc>
          <w:tcPr>
            <w:tcW w:w="4896" w:type="dxa"/>
            <w:vMerge/>
            <w:hideMark/>
          </w:tcPr>
          <w:p w14:paraId="4EA87798" w14:textId="77777777" w:rsidR="005C60A7" w:rsidRPr="008E5C81" w:rsidRDefault="005C60A7" w:rsidP="00CD039D">
            <w:pPr>
              <w:rPr>
                <w:rFonts w:ascii="Arial" w:hAnsi="Arial" w:cs="Arial"/>
                <w:sz w:val="16"/>
                <w:szCs w:val="16"/>
              </w:rPr>
            </w:pPr>
          </w:p>
        </w:tc>
        <w:tc>
          <w:tcPr>
            <w:tcW w:w="772" w:type="dxa"/>
            <w:shd w:val="clear" w:color="auto" w:fill="auto"/>
            <w:hideMark/>
          </w:tcPr>
          <w:p w14:paraId="3000E2F4"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6</w:t>
            </w:r>
          </w:p>
        </w:tc>
        <w:tc>
          <w:tcPr>
            <w:tcW w:w="1647" w:type="dxa"/>
            <w:shd w:val="clear" w:color="auto" w:fill="auto"/>
            <w:hideMark/>
          </w:tcPr>
          <w:p w14:paraId="2D0F7139"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44777598"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61ADCC37" w14:textId="77777777" w:rsidTr="00CD039D">
        <w:trPr>
          <w:trHeight w:val="114"/>
        </w:trPr>
        <w:tc>
          <w:tcPr>
            <w:tcW w:w="1102" w:type="dxa"/>
            <w:vMerge/>
            <w:hideMark/>
          </w:tcPr>
          <w:p w14:paraId="7CBF65E3" w14:textId="77777777" w:rsidR="005C60A7" w:rsidRPr="008E5C81" w:rsidRDefault="005C60A7" w:rsidP="00CD039D">
            <w:pPr>
              <w:rPr>
                <w:rFonts w:ascii="Arial" w:hAnsi="Arial" w:cs="Arial"/>
                <w:sz w:val="16"/>
                <w:szCs w:val="16"/>
              </w:rPr>
            </w:pPr>
          </w:p>
        </w:tc>
        <w:tc>
          <w:tcPr>
            <w:tcW w:w="4896" w:type="dxa"/>
            <w:vMerge/>
            <w:hideMark/>
          </w:tcPr>
          <w:p w14:paraId="55B4BE48" w14:textId="77777777" w:rsidR="005C60A7" w:rsidRPr="008E5C81" w:rsidRDefault="005C60A7" w:rsidP="00CD039D">
            <w:pPr>
              <w:rPr>
                <w:rFonts w:ascii="Arial" w:hAnsi="Arial" w:cs="Arial"/>
                <w:sz w:val="16"/>
                <w:szCs w:val="16"/>
              </w:rPr>
            </w:pPr>
          </w:p>
        </w:tc>
        <w:tc>
          <w:tcPr>
            <w:tcW w:w="772" w:type="dxa"/>
            <w:shd w:val="clear" w:color="auto" w:fill="auto"/>
            <w:hideMark/>
          </w:tcPr>
          <w:p w14:paraId="11F4C413"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7</w:t>
            </w:r>
          </w:p>
        </w:tc>
        <w:tc>
          <w:tcPr>
            <w:tcW w:w="1647" w:type="dxa"/>
            <w:shd w:val="clear" w:color="auto" w:fill="auto"/>
            <w:hideMark/>
          </w:tcPr>
          <w:p w14:paraId="7612C04D"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48683B0A"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059873CA" w14:textId="77777777" w:rsidTr="00CD039D">
        <w:trPr>
          <w:trHeight w:val="45"/>
        </w:trPr>
        <w:tc>
          <w:tcPr>
            <w:tcW w:w="1102" w:type="dxa"/>
            <w:vMerge/>
            <w:hideMark/>
          </w:tcPr>
          <w:p w14:paraId="63805529" w14:textId="77777777" w:rsidR="005C60A7" w:rsidRPr="008E5C81" w:rsidRDefault="005C60A7" w:rsidP="00CD039D">
            <w:pPr>
              <w:rPr>
                <w:rFonts w:ascii="Arial" w:hAnsi="Arial" w:cs="Arial"/>
                <w:sz w:val="16"/>
                <w:szCs w:val="16"/>
              </w:rPr>
            </w:pPr>
          </w:p>
        </w:tc>
        <w:tc>
          <w:tcPr>
            <w:tcW w:w="4896" w:type="dxa"/>
            <w:vMerge/>
            <w:hideMark/>
          </w:tcPr>
          <w:p w14:paraId="4D4FF769" w14:textId="77777777" w:rsidR="005C60A7" w:rsidRPr="008E5C81" w:rsidRDefault="005C60A7" w:rsidP="00CD039D">
            <w:pPr>
              <w:rPr>
                <w:rFonts w:ascii="Arial" w:hAnsi="Arial" w:cs="Arial"/>
                <w:sz w:val="16"/>
                <w:szCs w:val="16"/>
              </w:rPr>
            </w:pPr>
          </w:p>
        </w:tc>
        <w:tc>
          <w:tcPr>
            <w:tcW w:w="772" w:type="dxa"/>
            <w:shd w:val="clear" w:color="auto" w:fill="auto"/>
            <w:hideMark/>
          </w:tcPr>
          <w:p w14:paraId="0FD3581B"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Taller 8</w:t>
            </w:r>
          </w:p>
        </w:tc>
        <w:tc>
          <w:tcPr>
            <w:tcW w:w="1647" w:type="dxa"/>
            <w:shd w:val="clear" w:color="auto" w:fill="auto"/>
            <w:hideMark/>
          </w:tcPr>
          <w:p w14:paraId="39E7B8EF"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shd w:val="clear" w:color="auto" w:fill="auto"/>
            <w:hideMark/>
          </w:tcPr>
          <w:p w14:paraId="09AE7A5A"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w:t>
            </w:r>
          </w:p>
        </w:tc>
      </w:tr>
      <w:tr w:rsidR="005C60A7" w:rsidRPr="008E5C81" w14:paraId="02CA40C3" w14:textId="77777777" w:rsidTr="00CD039D">
        <w:trPr>
          <w:trHeight w:val="58"/>
        </w:trPr>
        <w:tc>
          <w:tcPr>
            <w:tcW w:w="1102" w:type="dxa"/>
            <w:vMerge/>
            <w:hideMark/>
          </w:tcPr>
          <w:p w14:paraId="449EBC7D" w14:textId="77777777" w:rsidR="005C60A7" w:rsidRPr="008E5C81" w:rsidRDefault="005C60A7" w:rsidP="00CD039D">
            <w:pPr>
              <w:rPr>
                <w:rFonts w:ascii="Arial" w:hAnsi="Arial" w:cs="Arial"/>
                <w:sz w:val="16"/>
                <w:szCs w:val="16"/>
              </w:rPr>
            </w:pPr>
          </w:p>
        </w:tc>
        <w:tc>
          <w:tcPr>
            <w:tcW w:w="4896" w:type="dxa"/>
            <w:vMerge/>
            <w:hideMark/>
          </w:tcPr>
          <w:p w14:paraId="18B1D26B" w14:textId="77777777" w:rsidR="005C60A7" w:rsidRPr="008E5C81" w:rsidRDefault="005C60A7" w:rsidP="00CD039D">
            <w:pPr>
              <w:rPr>
                <w:rFonts w:ascii="Arial" w:hAnsi="Arial" w:cs="Arial"/>
                <w:sz w:val="16"/>
                <w:szCs w:val="16"/>
              </w:rPr>
            </w:pPr>
          </w:p>
        </w:tc>
        <w:tc>
          <w:tcPr>
            <w:tcW w:w="772" w:type="dxa"/>
            <w:shd w:val="clear" w:color="auto" w:fill="auto"/>
            <w:hideMark/>
          </w:tcPr>
          <w:p w14:paraId="78E1FF86"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1647" w:type="dxa"/>
            <w:shd w:val="clear" w:color="auto" w:fill="auto"/>
            <w:hideMark/>
          </w:tcPr>
          <w:p w14:paraId="1114C1C7"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933" w:type="dxa"/>
            <w:shd w:val="clear" w:color="auto" w:fill="auto"/>
            <w:hideMark/>
          </w:tcPr>
          <w:p w14:paraId="645A99C7"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r>
      <w:tr w:rsidR="005C60A7" w:rsidRPr="008E5C81" w14:paraId="03CD8945" w14:textId="77777777" w:rsidTr="00CD039D">
        <w:trPr>
          <w:trHeight w:val="1365"/>
        </w:trPr>
        <w:tc>
          <w:tcPr>
            <w:tcW w:w="1102" w:type="dxa"/>
            <w:vMerge w:val="restart"/>
            <w:shd w:val="clear" w:color="auto" w:fill="auto"/>
            <w:hideMark/>
          </w:tcPr>
          <w:p w14:paraId="242327AC" w14:textId="77777777" w:rsidR="005C60A7" w:rsidRPr="008E5C81" w:rsidRDefault="005C60A7" w:rsidP="00CD039D">
            <w:pPr>
              <w:rPr>
                <w:rFonts w:ascii="Arial" w:hAnsi="Arial" w:cs="Arial"/>
                <w:sz w:val="16"/>
                <w:szCs w:val="16"/>
              </w:rPr>
            </w:pPr>
            <w:r w:rsidRPr="008E5C81">
              <w:rPr>
                <w:rFonts w:ascii="Arial" w:hAnsi="Arial" w:cs="Arial"/>
                <w:sz w:val="16"/>
                <w:szCs w:val="16"/>
              </w:rPr>
              <w:t>PRODUCTO 4:</w:t>
            </w:r>
          </w:p>
        </w:tc>
        <w:tc>
          <w:tcPr>
            <w:tcW w:w="4896" w:type="dxa"/>
            <w:vMerge w:val="restart"/>
            <w:shd w:val="clear" w:color="auto" w:fill="auto"/>
            <w:hideMark/>
          </w:tcPr>
          <w:p w14:paraId="73B5B91E"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a promotores/ras comunitarios para la Implementación de Metodología FCSA.</w:t>
            </w:r>
          </w:p>
        </w:tc>
        <w:tc>
          <w:tcPr>
            <w:tcW w:w="772" w:type="dxa"/>
            <w:vMerge w:val="restart"/>
            <w:shd w:val="clear" w:color="auto" w:fill="auto"/>
            <w:hideMark/>
          </w:tcPr>
          <w:p w14:paraId="1D8B9741"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 taller</w:t>
            </w:r>
          </w:p>
        </w:tc>
        <w:tc>
          <w:tcPr>
            <w:tcW w:w="1647" w:type="dxa"/>
            <w:vMerge w:val="restart"/>
            <w:shd w:val="clear" w:color="auto" w:fill="auto"/>
          </w:tcPr>
          <w:p w14:paraId="0F366D10"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10</w:t>
            </w:r>
          </w:p>
        </w:tc>
        <w:tc>
          <w:tcPr>
            <w:tcW w:w="933" w:type="dxa"/>
            <w:vMerge w:val="restart"/>
            <w:shd w:val="clear" w:color="auto" w:fill="auto"/>
            <w:hideMark/>
          </w:tcPr>
          <w:p w14:paraId="3602A720"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w:t>
            </w:r>
          </w:p>
          <w:p w14:paraId="1ED245D4" w14:textId="77777777" w:rsidR="005C60A7" w:rsidRPr="008E5C81" w:rsidRDefault="005C60A7" w:rsidP="00CD039D">
            <w:pPr>
              <w:jc w:val="right"/>
              <w:rPr>
                <w:rFonts w:ascii="Arial" w:hAnsi="Arial" w:cs="Arial"/>
                <w:sz w:val="16"/>
                <w:szCs w:val="16"/>
              </w:rPr>
            </w:pPr>
          </w:p>
        </w:tc>
      </w:tr>
      <w:tr w:rsidR="005C60A7" w:rsidRPr="008E5C81" w14:paraId="766C357D" w14:textId="77777777" w:rsidTr="00CD039D">
        <w:trPr>
          <w:trHeight w:val="450"/>
        </w:trPr>
        <w:tc>
          <w:tcPr>
            <w:tcW w:w="1102" w:type="dxa"/>
            <w:vMerge/>
            <w:hideMark/>
          </w:tcPr>
          <w:p w14:paraId="7F17D8D4" w14:textId="77777777" w:rsidR="005C60A7" w:rsidRPr="008E5C81" w:rsidRDefault="005C60A7" w:rsidP="00CD039D">
            <w:pPr>
              <w:rPr>
                <w:rFonts w:ascii="Arial" w:hAnsi="Arial" w:cs="Arial"/>
                <w:sz w:val="16"/>
                <w:szCs w:val="16"/>
              </w:rPr>
            </w:pPr>
          </w:p>
        </w:tc>
        <w:tc>
          <w:tcPr>
            <w:tcW w:w="4896" w:type="dxa"/>
            <w:vMerge/>
            <w:hideMark/>
          </w:tcPr>
          <w:p w14:paraId="50E64921" w14:textId="77777777" w:rsidR="005C60A7" w:rsidRPr="008E5C81" w:rsidRDefault="005C60A7" w:rsidP="00CD039D">
            <w:pPr>
              <w:rPr>
                <w:rFonts w:ascii="Arial" w:hAnsi="Arial" w:cs="Arial"/>
                <w:sz w:val="16"/>
                <w:szCs w:val="16"/>
              </w:rPr>
            </w:pPr>
          </w:p>
        </w:tc>
        <w:tc>
          <w:tcPr>
            <w:tcW w:w="772" w:type="dxa"/>
            <w:vMerge/>
            <w:hideMark/>
          </w:tcPr>
          <w:p w14:paraId="2D906A9B" w14:textId="77777777" w:rsidR="005C60A7" w:rsidRPr="008E5C81" w:rsidRDefault="005C60A7" w:rsidP="00CD039D">
            <w:pPr>
              <w:jc w:val="right"/>
              <w:rPr>
                <w:rFonts w:ascii="Arial" w:hAnsi="Arial" w:cs="Arial"/>
                <w:sz w:val="16"/>
                <w:szCs w:val="16"/>
              </w:rPr>
            </w:pPr>
          </w:p>
        </w:tc>
        <w:tc>
          <w:tcPr>
            <w:tcW w:w="1647" w:type="dxa"/>
            <w:vMerge/>
            <w:hideMark/>
          </w:tcPr>
          <w:p w14:paraId="18567A34" w14:textId="77777777" w:rsidR="005C60A7" w:rsidRPr="008E5C81" w:rsidRDefault="005C60A7" w:rsidP="00CD039D">
            <w:pPr>
              <w:jc w:val="right"/>
              <w:rPr>
                <w:rFonts w:ascii="Arial" w:hAnsi="Arial" w:cs="Arial"/>
                <w:sz w:val="16"/>
                <w:szCs w:val="16"/>
              </w:rPr>
            </w:pPr>
          </w:p>
        </w:tc>
        <w:tc>
          <w:tcPr>
            <w:tcW w:w="933" w:type="dxa"/>
            <w:vMerge/>
            <w:hideMark/>
          </w:tcPr>
          <w:p w14:paraId="489AD1B7" w14:textId="77777777" w:rsidR="005C60A7" w:rsidRPr="008E5C81" w:rsidRDefault="005C60A7" w:rsidP="00CD039D">
            <w:pPr>
              <w:jc w:val="right"/>
              <w:rPr>
                <w:rFonts w:ascii="Arial" w:hAnsi="Arial" w:cs="Arial"/>
                <w:sz w:val="16"/>
                <w:szCs w:val="16"/>
              </w:rPr>
            </w:pPr>
          </w:p>
        </w:tc>
      </w:tr>
      <w:tr w:rsidR="005C60A7" w:rsidRPr="008E5C81" w14:paraId="1FAB471B" w14:textId="77777777" w:rsidTr="00CD039D">
        <w:trPr>
          <w:trHeight w:val="450"/>
        </w:trPr>
        <w:tc>
          <w:tcPr>
            <w:tcW w:w="1102" w:type="dxa"/>
            <w:vMerge/>
            <w:hideMark/>
          </w:tcPr>
          <w:p w14:paraId="304CFEB6" w14:textId="77777777" w:rsidR="005C60A7" w:rsidRPr="008E5C81" w:rsidRDefault="005C60A7" w:rsidP="00CD039D">
            <w:pPr>
              <w:rPr>
                <w:rFonts w:ascii="Arial" w:hAnsi="Arial" w:cs="Arial"/>
                <w:sz w:val="16"/>
                <w:szCs w:val="16"/>
              </w:rPr>
            </w:pPr>
          </w:p>
        </w:tc>
        <w:tc>
          <w:tcPr>
            <w:tcW w:w="4896" w:type="dxa"/>
            <w:vMerge/>
          </w:tcPr>
          <w:p w14:paraId="14D4612A" w14:textId="77777777" w:rsidR="005C60A7" w:rsidRPr="008E5C81" w:rsidRDefault="005C60A7" w:rsidP="00CD039D">
            <w:pPr>
              <w:rPr>
                <w:rFonts w:ascii="Arial" w:hAnsi="Arial" w:cs="Arial"/>
                <w:sz w:val="16"/>
                <w:szCs w:val="16"/>
              </w:rPr>
            </w:pPr>
          </w:p>
        </w:tc>
        <w:tc>
          <w:tcPr>
            <w:tcW w:w="772" w:type="dxa"/>
            <w:vMerge/>
          </w:tcPr>
          <w:p w14:paraId="32A041F4" w14:textId="77777777" w:rsidR="005C60A7" w:rsidRPr="008E5C81" w:rsidRDefault="005C60A7" w:rsidP="00CD039D">
            <w:pPr>
              <w:jc w:val="right"/>
              <w:rPr>
                <w:rFonts w:ascii="Arial" w:hAnsi="Arial" w:cs="Arial"/>
                <w:sz w:val="16"/>
                <w:szCs w:val="16"/>
              </w:rPr>
            </w:pPr>
          </w:p>
        </w:tc>
        <w:tc>
          <w:tcPr>
            <w:tcW w:w="1647" w:type="dxa"/>
            <w:vMerge/>
          </w:tcPr>
          <w:p w14:paraId="490F023C" w14:textId="77777777" w:rsidR="005C60A7" w:rsidRPr="008E5C81" w:rsidRDefault="005C60A7" w:rsidP="00CD039D">
            <w:pPr>
              <w:jc w:val="right"/>
              <w:rPr>
                <w:rFonts w:ascii="Arial" w:hAnsi="Arial" w:cs="Arial"/>
                <w:sz w:val="16"/>
                <w:szCs w:val="16"/>
              </w:rPr>
            </w:pPr>
          </w:p>
        </w:tc>
        <w:tc>
          <w:tcPr>
            <w:tcW w:w="933" w:type="dxa"/>
            <w:vMerge/>
          </w:tcPr>
          <w:p w14:paraId="5FD59468" w14:textId="77777777" w:rsidR="005C60A7" w:rsidRPr="008E5C81" w:rsidRDefault="005C60A7" w:rsidP="00CD039D">
            <w:pPr>
              <w:jc w:val="right"/>
              <w:rPr>
                <w:rFonts w:ascii="Arial" w:hAnsi="Arial" w:cs="Arial"/>
                <w:sz w:val="16"/>
                <w:szCs w:val="16"/>
              </w:rPr>
            </w:pPr>
          </w:p>
        </w:tc>
      </w:tr>
      <w:tr w:rsidR="005C60A7" w:rsidRPr="008E5C81" w14:paraId="642A6AEE" w14:textId="77777777" w:rsidTr="00CD039D">
        <w:trPr>
          <w:trHeight w:val="184"/>
        </w:trPr>
        <w:tc>
          <w:tcPr>
            <w:tcW w:w="1102" w:type="dxa"/>
            <w:vMerge/>
            <w:hideMark/>
          </w:tcPr>
          <w:p w14:paraId="08D38AD0" w14:textId="77777777" w:rsidR="005C60A7" w:rsidRPr="008E5C81" w:rsidRDefault="005C60A7" w:rsidP="00CD039D">
            <w:pPr>
              <w:rPr>
                <w:rFonts w:ascii="Arial" w:hAnsi="Arial" w:cs="Arial"/>
                <w:sz w:val="16"/>
                <w:szCs w:val="16"/>
              </w:rPr>
            </w:pPr>
          </w:p>
        </w:tc>
        <w:tc>
          <w:tcPr>
            <w:tcW w:w="4896" w:type="dxa"/>
            <w:vMerge/>
          </w:tcPr>
          <w:p w14:paraId="36810349" w14:textId="77777777" w:rsidR="005C60A7" w:rsidRPr="008E5C81" w:rsidRDefault="005C60A7" w:rsidP="00CD039D">
            <w:pPr>
              <w:rPr>
                <w:rFonts w:ascii="Arial" w:hAnsi="Arial" w:cs="Arial"/>
                <w:sz w:val="16"/>
                <w:szCs w:val="16"/>
              </w:rPr>
            </w:pPr>
          </w:p>
        </w:tc>
        <w:tc>
          <w:tcPr>
            <w:tcW w:w="772" w:type="dxa"/>
            <w:vMerge/>
          </w:tcPr>
          <w:p w14:paraId="0E67EA6E" w14:textId="77777777" w:rsidR="005C60A7" w:rsidRPr="008E5C81" w:rsidRDefault="005C60A7" w:rsidP="00CD039D">
            <w:pPr>
              <w:jc w:val="right"/>
              <w:rPr>
                <w:rFonts w:ascii="Arial" w:hAnsi="Arial" w:cs="Arial"/>
                <w:sz w:val="16"/>
                <w:szCs w:val="16"/>
              </w:rPr>
            </w:pPr>
          </w:p>
        </w:tc>
        <w:tc>
          <w:tcPr>
            <w:tcW w:w="1647" w:type="dxa"/>
            <w:vMerge/>
          </w:tcPr>
          <w:p w14:paraId="43992872" w14:textId="77777777" w:rsidR="005C60A7" w:rsidRPr="008E5C81" w:rsidRDefault="005C60A7" w:rsidP="00CD039D">
            <w:pPr>
              <w:jc w:val="right"/>
              <w:rPr>
                <w:rFonts w:ascii="Arial" w:hAnsi="Arial" w:cs="Arial"/>
                <w:sz w:val="16"/>
                <w:szCs w:val="16"/>
              </w:rPr>
            </w:pPr>
          </w:p>
        </w:tc>
        <w:tc>
          <w:tcPr>
            <w:tcW w:w="933" w:type="dxa"/>
            <w:vMerge/>
          </w:tcPr>
          <w:p w14:paraId="65B176E0" w14:textId="77777777" w:rsidR="005C60A7" w:rsidRPr="008E5C81" w:rsidRDefault="005C60A7" w:rsidP="00CD039D">
            <w:pPr>
              <w:jc w:val="right"/>
              <w:rPr>
                <w:rFonts w:ascii="Arial" w:hAnsi="Arial" w:cs="Arial"/>
                <w:sz w:val="16"/>
                <w:szCs w:val="16"/>
              </w:rPr>
            </w:pPr>
          </w:p>
        </w:tc>
      </w:tr>
      <w:tr w:rsidR="005C60A7" w:rsidRPr="008E5C81" w14:paraId="7A0E1F50" w14:textId="77777777" w:rsidTr="00CD039D">
        <w:trPr>
          <w:trHeight w:val="450"/>
        </w:trPr>
        <w:tc>
          <w:tcPr>
            <w:tcW w:w="1102" w:type="dxa"/>
            <w:vMerge w:val="restart"/>
          </w:tcPr>
          <w:p w14:paraId="4A551A75" w14:textId="77777777" w:rsidR="005C60A7" w:rsidRPr="008E5C81" w:rsidRDefault="005C60A7" w:rsidP="00CD039D">
            <w:pPr>
              <w:rPr>
                <w:rFonts w:ascii="Arial" w:hAnsi="Arial" w:cs="Arial"/>
                <w:sz w:val="16"/>
                <w:szCs w:val="16"/>
              </w:rPr>
            </w:pPr>
            <w:r w:rsidRPr="008E5C81">
              <w:rPr>
                <w:rFonts w:ascii="Arial" w:hAnsi="Arial" w:cs="Arial"/>
                <w:sz w:val="16"/>
                <w:szCs w:val="16"/>
              </w:rPr>
              <w:t>PRODUCTO 5:</w:t>
            </w:r>
          </w:p>
          <w:p w14:paraId="3DE4C6DB" w14:textId="77777777" w:rsidR="005C60A7" w:rsidRPr="008E5C81" w:rsidRDefault="005C60A7" w:rsidP="00CD039D">
            <w:pPr>
              <w:rPr>
                <w:rFonts w:ascii="Arial" w:hAnsi="Arial" w:cs="Arial"/>
                <w:sz w:val="16"/>
                <w:szCs w:val="16"/>
              </w:rPr>
            </w:pPr>
          </w:p>
        </w:tc>
        <w:tc>
          <w:tcPr>
            <w:tcW w:w="4896" w:type="dxa"/>
          </w:tcPr>
          <w:p w14:paraId="0CAD9CEC"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del Módulo III: Compendio Metodológico. Segunda Parte, Cartilla N° 4: "Cómo administramos nuestros servicios de agua potable y saneamiento".</w:t>
            </w:r>
          </w:p>
        </w:tc>
        <w:tc>
          <w:tcPr>
            <w:tcW w:w="772" w:type="dxa"/>
          </w:tcPr>
          <w:p w14:paraId="7B69C9A5"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 taller</w:t>
            </w:r>
          </w:p>
        </w:tc>
        <w:tc>
          <w:tcPr>
            <w:tcW w:w="1647" w:type="dxa"/>
          </w:tcPr>
          <w:p w14:paraId="2469BCD3"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tcPr>
          <w:p w14:paraId="077DA420"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w:t>
            </w:r>
          </w:p>
        </w:tc>
      </w:tr>
      <w:tr w:rsidR="005C60A7" w:rsidRPr="008E5C81" w14:paraId="1011367C" w14:textId="77777777" w:rsidTr="00CD039D">
        <w:trPr>
          <w:trHeight w:val="450"/>
        </w:trPr>
        <w:tc>
          <w:tcPr>
            <w:tcW w:w="1102" w:type="dxa"/>
            <w:vMerge/>
          </w:tcPr>
          <w:p w14:paraId="0AD4290A" w14:textId="77777777" w:rsidR="005C60A7" w:rsidRPr="008E5C81" w:rsidRDefault="005C60A7" w:rsidP="00CD039D">
            <w:pPr>
              <w:rPr>
                <w:rFonts w:ascii="Arial" w:hAnsi="Arial" w:cs="Arial"/>
                <w:sz w:val="16"/>
                <w:szCs w:val="16"/>
              </w:rPr>
            </w:pPr>
          </w:p>
        </w:tc>
        <w:tc>
          <w:tcPr>
            <w:tcW w:w="4896" w:type="dxa"/>
          </w:tcPr>
          <w:p w14:paraId="08372A8B"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del Módulo IV: Compendio Metodológico, cartillas No.5, ó No.6 ó No.7 o No.8, en correspondencia al tipo de sistema a brindar operación y mantenimiento.</w:t>
            </w:r>
          </w:p>
        </w:tc>
        <w:tc>
          <w:tcPr>
            <w:tcW w:w="772" w:type="dxa"/>
          </w:tcPr>
          <w:p w14:paraId="4767DC08"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 taller</w:t>
            </w:r>
          </w:p>
        </w:tc>
        <w:tc>
          <w:tcPr>
            <w:tcW w:w="1647" w:type="dxa"/>
          </w:tcPr>
          <w:p w14:paraId="7670E7F5"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tcPr>
          <w:p w14:paraId="647FA607"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w:t>
            </w:r>
          </w:p>
        </w:tc>
      </w:tr>
      <w:tr w:rsidR="005C60A7" w:rsidRPr="008E5C81" w14:paraId="008C1A59" w14:textId="77777777" w:rsidTr="00CD039D">
        <w:trPr>
          <w:trHeight w:val="1185"/>
        </w:trPr>
        <w:tc>
          <w:tcPr>
            <w:tcW w:w="1102" w:type="dxa"/>
            <w:vMerge w:val="restart"/>
            <w:shd w:val="clear" w:color="auto" w:fill="auto"/>
            <w:hideMark/>
          </w:tcPr>
          <w:p w14:paraId="7F63E1A6" w14:textId="77777777" w:rsidR="005C60A7" w:rsidRPr="008E5C81" w:rsidRDefault="005C60A7" w:rsidP="00CD039D">
            <w:pPr>
              <w:rPr>
                <w:rFonts w:ascii="Arial" w:hAnsi="Arial" w:cs="Arial"/>
                <w:sz w:val="16"/>
                <w:szCs w:val="16"/>
              </w:rPr>
            </w:pPr>
            <w:r w:rsidRPr="008E5C81">
              <w:rPr>
                <w:rFonts w:ascii="Arial" w:hAnsi="Arial" w:cs="Arial"/>
                <w:sz w:val="16"/>
                <w:szCs w:val="16"/>
              </w:rPr>
              <w:t>PRODUCTO 6:</w:t>
            </w:r>
          </w:p>
        </w:tc>
        <w:tc>
          <w:tcPr>
            <w:tcW w:w="4896" w:type="dxa"/>
            <w:vMerge w:val="restart"/>
            <w:shd w:val="clear" w:color="auto" w:fill="auto"/>
            <w:hideMark/>
          </w:tcPr>
          <w:p w14:paraId="35D49CC2"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Elaboración del Reglamento Interno del Sistema Construido.</w:t>
            </w:r>
          </w:p>
        </w:tc>
        <w:tc>
          <w:tcPr>
            <w:tcW w:w="772" w:type="dxa"/>
            <w:vMerge w:val="restart"/>
            <w:shd w:val="clear" w:color="auto" w:fill="auto"/>
            <w:hideMark/>
          </w:tcPr>
          <w:p w14:paraId="388E9744"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 taller</w:t>
            </w:r>
          </w:p>
        </w:tc>
        <w:tc>
          <w:tcPr>
            <w:tcW w:w="1647" w:type="dxa"/>
            <w:vMerge w:val="restart"/>
            <w:shd w:val="clear" w:color="auto" w:fill="auto"/>
            <w:hideMark/>
          </w:tcPr>
          <w:p w14:paraId="514DEEE8"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vMerge w:val="restart"/>
            <w:shd w:val="clear" w:color="auto" w:fill="auto"/>
            <w:hideMark/>
          </w:tcPr>
          <w:p w14:paraId="35D32701"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w:t>
            </w:r>
          </w:p>
        </w:tc>
      </w:tr>
      <w:tr w:rsidR="005C60A7" w:rsidRPr="008E5C81" w14:paraId="0BA6C033" w14:textId="77777777" w:rsidTr="00CD039D">
        <w:trPr>
          <w:trHeight w:val="359"/>
        </w:trPr>
        <w:tc>
          <w:tcPr>
            <w:tcW w:w="1102" w:type="dxa"/>
            <w:vMerge/>
            <w:hideMark/>
          </w:tcPr>
          <w:p w14:paraId="19DB78AA" w14:textId="77777777" w:rsidR="005C60A7" w:rsidRPr="008E5C81" w:rsidRDefault="005C60A7" w:rsidP="00CD039D">
            <w:pPr>
              <w:rPr>
                <w:rFonts w:ascii="Arial" w:hAnsi="Arial" w:cs="Arial"/>
                <w:sz w:val="16"/>
                <w:szCs w:val="16"/>
              </w:rPr>
            </w:pPr>
          </w:p>
        </w:tc>
        <w:tc>
          <w:tcPr>
            <w:tcW w:w="4896" w:type="dxa"/>
            <w:vMerge/>
            <w:hideMark/>
          </w:tcPr>
          <w:p w14:paraId="13B0CB4F" w14:textId="77777777" w:rsidR="005C60A7" w:rsidRPr="008E5C81" w:rsidRDefault="005C60A7" w:rsidP="00CD039D">
            <w:pPr>
              <w:rPr>
                <w:rFonts w:ascii="Arial" w:hAnsi="Arial" w:cs="Arial"/>
                <w:sz w:val="16"/>
                <w:szCs w:val="16"/>
              </w:rPr>
            </w:pPr>
          </w:p>
        </w:tc>
        <w:tc>
          <w:tcPr>
            <w:tcW w:w="772" w:type="dxa"/>
            <w:vMerge/>
            <w:hideMark/>
          </w:tcPr>
          <w:p w14:paraId="00744180" w14:textId="77777777" w:rsidR="005C60A7" w:rsidRPr="008E5C81" w:rsidRDefault="005C60A7" w:rsidP="00CD039D">
            <w:pPr>
              <w:jc w:val="right"/>
              <w:rPr>
                <w:rFonts w:ascii="Arial" w:hAnsi="Arial" w:cs="Arial"/>
                <w:sz w:val="16"/>
                <w:szCs w:val="16"/>
              </w:rPr>
            </w:pPr>
          </w:p>
        </w:tc>
        <w:tc>
          <w:tcPr>
            <w:tcW w:w="1647" w:type="dxa"/>
            <w:vMerge/>
            <w:hideMark/>
          </w:tcPr>
          <w:p w14:paraId="07017247" w14:textId="77777777" w:rsidR="005C60A7" w:rsidRPr="008E5C81" w:rsidRDefault="005C60A7" w:rsidP="00CD039D">
            <w:pPr>
              <w:jc w:val="right"/>
              <w:rPr>
                <w:rFonts w:ascii="Arial" w:hAnsi="Arial" w:cs="Arial"/>
                <w:sz w:val="16"/>
                <w:szCs w:val="16"/>
              </w:rPr>
            </w:pPr>
          </w:p>
        </w:tc>
        <w:tc>
          <w:tcPr>
            <w:tcW w:w="933" w:type="dxa"/>
            <w:vMerge/>
            <w:hideMark/>
          </w:tcPr>
          <w:p w14:paraId="5D89D46A" w14:textId="77777777" w:rsidR="005C60A7" w:rsidRPr="008E5C81" w:rsidRDefault="005C60A7" w:rsidP="00CD039D">
            <w:pPr>
              <w:jc w:val="right"/>
              <w:rPr>
                <w:rFonts w:ascii="Arial" w:hAnsi="Arial" w:cs="Arial"/>
                <w:sz w:val="16"/>
                <w:szCs w:val="16"/>
              </w:rPr>
            </w:pPr>
          </w:p>
        </w:tc>
      </w:tr>
      <w:tr w:rsidR="005C60A7" w:rsidRPr="008E5C81" w14:paraId="0C04746A" w14:textId="77777777" w:rsidTr="00CD039D">
        <w:trPr>
          <w:trHeight w:val="1020"/>
        </w:trPr>
        <w:tc>
          <w:tcPr>
            <w:tcW w:w="1102" w:type="dxa"/>
            <w:vMerge w:val="restart"/>
            <w:shd w:val="clear" w:color="auto" w:fill="auto"/>
            <w:hideMark/>
          </w:tcPr>
          <w:p w14:paraId="17282844" w14:textId="77777777" w:rsidR="005C60A7" w:rsidRPr="008E5C81" w:rsidRDefault="005C60A7" w:rsidP="00CD039D">
            <w:pPr>
              <w:rPr>
                <w:rFonts w:ascii="Arial" w:hAnsi="Arial" w:cs="Arial"/>
                <w:sz w:val="16"/>
                <w:szCs w:val="16"/>
              </w:rPr>
            </w:pPr>
            <w:r w:rsidRPr="008E5C81">
              <w:rPr>
                <w:rFonts w:ascii="Arial" w:hAnsi="Arial" w:cs="Arial"/>
                <w:sz w:val="16"/>
                <w:szCs w:val="16"/>
              </w:rPr>
              <w:lastRenderedPageBreak/>
              <w:t xml:space="preserve">PRODUCTO 7 </w:t>
            </w:r>
          </w:p>
        </w:tc>
        <w:tc>
          <w:tcPr>
            <w:tcW w:w="4896" w:type="dxa"/>
            <w:vMerge w:val="restart"/>
            <w:shd w:val="clear" w:color="auto" w:fill="auto"/>
            <w:hideMark/>
          </w:tcPr>
          <w:p w14:paraId="7A9D73F8" w14:textId="77777777" w:rsidR="005C60A7" w:rsidRPr="008E5C81" w:rsidRDefault="005C60A7" w:rsidP="00CD039D">
            <w:pPr>
              <w:rPr>
                <w:rFonts w:ascii="Arial" w:hAnsi="Arial" w:cs="Arial"/>
                <w:sz w:val="16"/>
                <w:szCs w:val="16"/>
              </w:rPr>
            </w:pPr>
            <w:r w:rsidRPr="008E5C81">
              <w:rPr>
                <w:rFonts w:ascii="Arial" w:hAnsi="Arial" w:cs="Arial"/>
                <w:sz w:val="16"/>
                <w:szCs w:val="16"/>
              </w:rPr>
              <w:t>Capacitación de Reforzamiento sobre Ley 722 y su reglamento.</w:t>
            </w:r>
          </w:p>
        </w:tc>
        <w:tc>
          <w:tcPr>
            <w:tcW w:w="772" w:type="dxa"/>
            <w:vMerge w:val="restart"/>
            <w:shd w:val="clear" w:color="auto" w:fill="auto"/>
            <w:hideMark/>
          </w:tcPr>
          <w:p w14:paraId="0576E4F0"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 taller</w:t>
            </w:r>
          </w:p>
        </w:tc>
        <w:tc>
          <w:tcPr>
            <w:tcW w:w="1647" w:type="dxa"/>
            <w:vMerge w:val="restart"/>
            <w:shd w:val="clear" w:color="auto" w:fill="auto"/>
            <w:hideMark/>
          </w:tcPr>
          <w:p w14:paraId="3D3977C5"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18-25</w:t>
            </w:r>
          </w:p>
        </w:tc>
        <w:tc>
          <w:tcPr>
            <w:tcW w:w="933" w:type="dxa"/>
            <w:vMerge w:val="restart"/>
            <w:shd w:val="clear" w:color="auto" w:fill="auto"/>
            <w:hideMark/>
          </w:tcPr>
          <w:p w14:paraId="60B49D53" w14:textId="77777777" w:rsidR="005C60A7" w:rsidRPr="008E5C81" w:rsidRDefault="005C60A7" w:rsidP="00CD039D">
            <w:pPr>
              <w:jc w:val="right"/>
              <w:rPr>
                <w:rFonts w:ascii="Arial" w:hAnsi="Arial" w:cs="Arial"/>
                <w:sz w:val="16"/>
                <w:szCs w:val="16"/>
              </w:rPr>
            </w:pPr>
            <w:r w:rsidRPr="008E5C81">
              <w:rPr>
                <w:rFonts w:ascii="Arial" w:hAnsi="Arial" w:cs="Arial"/>
                <w:sz w:val="16"/>
                <w:szCs w:val="16"/>
              </w:rPr>
              <w:t> 1</w:t>
            </w:r>
          </w:p>
        </w:tc>
      </w:tr>
      <w:tr w:rsidR="005C60A7" w:rsidRPr="008E5C81" w14:paraId="2C57272F" w14:textId="77777777" w:rsidTr="00CD039D">
        <w:trPr>
          <w:trHeight w:val="184"/>
        </w:trPr>
        <w:tc>
          <w:tcPr>
            <w:tcW w:w="1102" w:type="dxa"/>
            <w:vMerge/>
            <w:hideMark/>
          </w:tcPr>
          <w:p w14:paraId="21F2B245" w14:textId="77777777" w:rsidR="005C60A7" w:rsidRPr="008E5C81" w:rsidRDefault="005C60A7" w:rsidP="00CD039D">
            <w:pPr>
              <w:rPr>
                <w:rFonts w:ascii="Arial" w:hAnsi="Arial" w:cs="Arial"/>
                <w:sz w:val="16"/>
                <w:szCs w:val="16"/>
              </w:rPr>
            </w:pPr>
          </w:p>
        </w:tc>
        <w:tc>
          <w:tcPr>
            <w:tcW w:w="4896" w:type="dxa"/>
            <w:vMerge/>
            <w:hideMark/>
          </w:tcPr>
          <w:p w14:paraId="76ADB789" w14:textId="77777777" w:rsidR="005C60A7" w:rsidRPr="008E5C81" w:rsidRDefault="005C60A7" w:rsidP="00CD039D">
            <w:pPr>
              <w:rPr>
                <w:rFonts w:ascii="Arial" w:hAnsi="Arial" w:cs="Arial"/>
                <w:sz w:val="16"/>
                <w:szCs w:val="16"/>
              </w:rPr>
            </w:pPr>
          </w:p>
        </w:tc>
        <w:tc>
          <w:tcPr>
            <w:tcW w:w="772" w:type="dxa"/>
            <w:vMerge/>
            <w:hideMark/>
          </w:tcPr>
          <w:p w14:paraId="01670500" w14:textId="77777777" w:rsidR="005C60A7" w:rsidRPr="008E5C81" w:rsidRDefault="005C60A7" w:rsidP="00CD039D">
            <w:pPr>
              <w:rPr>
                <w:rFonts w:ascii="Arial" w:hAnsi="Arial" w:cs="Arial"/>
                <w:sz w:val="16"/>
                <w:szCs w:val="16"/>
              </w:rPr>
            </w:pPr>
          </w:p>
        </w:tc>
        <w:tc>
          <w:tcPr>
            <w:tcW w:w="1647" w:type="dxa"/>
            <w:vMerge/>
            <w:hideMark/>
          </w:tcPr>
          <w:p w14:paraId="683778C9" w14:textId="77777777" w:rsidR="005C60A7" w:rsidRPr="008E5C81" w:rsidRDefault="005C60A7" w:rsidP="00CD039D">
            <w:pPr>
              <w:rPr>
                <w:rFonts w:ascii="Arial" w:hAnsi="Arial" w:cs="Arial"/>
                <w:sz w:val="16"/>
                <w:szCs w:val="16"/>
              </w:rPr>
            </w:pPr>
          </w:p>
        </w:tc>
        <w:tc>
          <w:tcPr>
            <w:tcW w:w="933" w:type="dxa"/>
            <w:vMerge/>
            <w:hideMark/>
          </w:tcPr>
          <w:p w14:paraId="3321A22B" w14:textId="77777777" w:rsidR="005C60A7" w:rsidRPr="008E5C81" w:rsidRDefault="005C60A7" w:rsidP="00CD039D">
            <w:pPr>
              <w:rPr>
                <w:rFonts w:ascii="Arial" w:hAnsi="Arial" w:cs="Arial"/>
                <w:sz w:val="16"/>
                <w:szCs w:val="16"/>
              </w:rPr>
            </w:pPr>
          </w:p>
        </w:tc>
      </w:tr>
      <w:tr w:rsidR="005C60A7" w:rsidRPr="008E5C81" w14:paraId="5BF69423" w14:textId="77777777" w:rsidTr="00CD039D">
        <w:trPr>
          <w:trHeight w:val="300"/>
        </w:trPr>
        <w:tc>
          <w:tcPr>
            <w:tcW w:w="1102" w:type="dxa"/>
            <w:shd w:val="clear" w:color="auto" w:fill="auto"/>
            <w:hideMark/>
          </w:tcPr>
          <w:p w14:paraId="26870E91" w14:textId="77777777" w:rsidR="005C60A7" w:rsidRPr="008E5C81" w:rsidRDefault="005C60A7" w:rsidP="00CD039D">
            <w:pPr>
              <w:rPr>
                <w:rFonts w:ascii="Arial" w:hAnsi="Arial" w:cs="Arial"/>
                <w:sz w:val="16"/>
                <w:szCs w:val="16"/>
              </w:rPr>
            </w:pPr>
            <w:r w:rsidRPr="008E5C81">
              <w:rPr>
                <w:rFonts w:ascii="Arial" w:hAnsi="Arial" w:cs="Arial"/>
                <w:sz w:val="16"/>
                <w:szCs w:val="16"/>
              </w:rPr>
              <w:t>Producto 8:</w:t>
            </w:r>
          </w:p>
        </w:tc>
        <w:tc>
          <w:tcPr>
            <w:tcW w:w="4896" w:type="dxa"/>
            <w:shd w:val="clear" w:color="auto" w:fill="auto"/>
            <w:hideMark/>
          </w:tcPr>
          <w:p w14:paraId="26469802"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772" w:type="dxa"/>
            <w:shd w:val="clear" w:color="auto" w:fill="auto"/>
            <w:hideMark/>
          </w:tcPr>
          <w:p w14:paraId="7D425B91"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1647" w:type="dxa"/>
            <w:shd w:val="clear" w:color="auto" w:fill="auto"/>
            <w:hideMark/>
          </w:tcPr>
          <w:p w14:paraId="75BFB785" w14:textId="77777777" w:rsidR="005C60A7" w:rsidRPr="008E5C81" w:rsidRDefault="005C60A7" w:rsidP="00CD039D">
            <w:pPr>
              <w:rPr>
                <w:rFonts w:ascii="Arial" w:hAnsi="Arial" w:cs="Arial"/>
                <w:sz w:val="16"/>
                <w:szCs w:val="16"/>
              </w:rPr>
            </w:pPr>
          </w:p>
        </w:tc>
        <w:tc>
          <w:tcPr>
            <w:tcW w:w="933" w:type="dxa"/>
            <w:shd w:val="clear" w:color="auto" w:fill="auto"/>
            <w:hideMark/>
          </w:tcPr>
          <w:p w14:paraId="56F04E3E"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r>
      <w:tr w:rsidR="005C60A7" w:rsidRPr="008E5C81" w14:paraId="7C83C09B" w14:textId="77777777" w:rsidTr="00CD039D">
        <w:trPr>
          <w:trHeight w:val="300"/>
        </w:trPr>
        <w:tc>
          <w:tcPr>
            <w:tcW w:w="1102" w:type="dxa"/>
            <w:shd w:val="clear" w:color="auto" w:fill="auto"/>
            <w:hideMark/>
          </w:tcPr>
          <w:p w14:paraId="1D9DE6F9" w14:textId="77777777" w:rsidR="005C60A7" w:rsidRPr="008E5C81" w:rsidRDefault="005C60A7" w:rsidP="00CD039D">
            <w:pPr>
              <w:rPr>
                <w:rFonts w:ascii="Arial" w:hAnsi="Arial" w:cs="Arial"/>
                <w:sz w:val="16"/>
                <w:szCs w:val="16"/>
              </w:rPr>
            </w:pPr>
            <w:r w:rsidRPr="008E5C81">
              <w:rPr>
                <w:rFonts w:ascii="Arial" w:hAnsi="Arial" w:cs="Arial"/>
                <w:sz w:val="16"/>
                <w:szCs w:val="16"/>
              </w:rPr>
              <w:t>Producto 9:</w:t>
            </w:r>
          </w:p>
        </w:tc>
        <w:tc>
          <w:tcPr>
            <w:tcW w:w="4896" w:type="dxa"/>
            <w:shd w:val="clear" w:color="auto" w:fill="auto"/>
            <w:hideMark/>
          </w:tcPr>
          <w:p w14:paraId="4DB29348"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772" w:type="dxa"/>
            <w:shd w:val="clear" w:color="auto" w:fill="auto"/>
            <w:hideMark/>
          </w:tcPr>
          <w:p w14:paraId="56C90D2B"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c>
          <w:tcPr>
            <w:tcW w:w="1647" w:type="dxa"/>
            <w:shd w:val="clear" w:color="auto" w:fill="auto"/>
            <w:hideMark/>
          </w:tcPr>
          <w:p w14:paraId="7A0B068E" w14:textId="77777777" w:rsidR="005C60A7" w:rsidRPr="008E5C81" w:rsidRDefault="005C60A7" w:rsidP="00CD039D">
            <w:pPr>
              <w:rPr>
                <w:rFonts w:ascii="Arial" w:hAnsi="Arial" w:cs="Arial"/>
                <w:sz w:val="16"/>
                <w:szCs w:val="16"/>
              </w:rPr>
            </w:pPr>
          </w:p>
        </w:tc>
        <w:tc>
          <w:tcPr>
            <w:tcW w:w="933" w:type="dxa"/>
            <w:shd w:val="clear" w:color="auto" w:fill="auto"/>
            <w:hideMark/>
          </w:tcPr>
          <w:p w14:paraId="140770EC" w14:textId="77777777" w:rsidR="005C60A7" w:rsidRPr="008E5C81" w:rsidRDefault="005C60A7" w:rsidP="00CD039D">
            <w:pPr>
              <w:rPr>
                <w:rFonts w:ascii="Arial" w:hAnsi="Arial" w:cs="Arial"/>
                <w:sz w:val="16"/>
                <w:szCs w:val="16"/>
              </w:rPr>
            </w:pPr>
            <w:r w:rsidRPr="008E5C81">
              <w:rPr>
                <w:rFonts w:ascii="Arial" w:hAnsi="Arial" w:cs="Arial"/>
                <w:sz w:val="16"/>
                <w:szCs w:val="16"/>
              </w:rPr>
              <w:t> </w:t>
            </w:r>
          </w:p>
        </w:tc>
      </w:tr>
    </w:tbl>
    <w:p w14:paraId="65810752" w14:textId="77777777" w:rsidR="005C60A7" w:rsidRDefault="005C60A7" w:rsidP="005C60A7">
      <w:r w:rsidRPr="00FA32AC">
        <w:rPr>
          <w:rFonts w:ascii="Arial" w:hAnsi="Arial" w:cs="Arial"/>
          <w:bCs/>
          <w:szCs w:val="24"/>
        </w:rPr>
        <w:t>No existen capacitaciones en los productos 1, 2, 8 y 9</w:t>
      </w:r>
    </w:p>
    <w:p w14:paraId="2202CF4D" w14:textId="77777777" w:rsidR="00D656B3" w:rsidRDefault="00D656B3" w:rsidP="000C6174">
      <w:pPr>
        <w:jc w:val="center"/>
        <w:rPr>
          <w:rFonts w:asciiTheme="minorHAnsi" w:hAnsiTheme="minorHAnsi"/>
          <w:b/>
          <w:color w:val="000000" w:themeColor="text1"/>
          <w:sz w:val="28"/>
          <w:szCs w:val="24"/>
          <w:lang w:val="es-MX"/>
        </w:rPr>
      </w:pPr>
    </w:p>
    <w:p w14:paraId="60D76FC6" w14:textId="77777777" w:rsidR="00D656B3" w:rsidRDefault="00D656B3" w:rsidP="000C6174">
      <w:pPr>
        <w:jc w:val="center"/>
        <w:rPr>
          <w:rFonts w:asciiTheme="minorHAnsi" w:hAnsiTheme="minorHAnsi"/>
          <w:b/>
          <w:color w:val="000000" w:themeColor="text1"/>
          <w:sz w:val="28"/>
          <w:szCs w:val="24"/>
          <w:lang w:val="es-MX"/>
        </w:rPr>
      </w:pPr>
    </w:p>
    <w:p w14:paraId="43E7DE9D" w14:textId="77777777" w:rsidR="00A71156" w:rsidRPr="00A71156" w:rsidRDefault="00A71156" w:rsidP="003B68DB">
      <w:pPr>
        <w:numPr>
          <w:ilvl w:val="0"/>
          <w:numId w:val="143"/>
        </w:numPr>
        <w:contextualSpacing/>
        <w:jc w:val="center"/>
        <w:rPr>
          <w:rFonts w:cs="Arial"/>
          <w:b/>
          <w:szCs w:val="24"/>
          <w:lang w:val="es-ES" w:eastAsia="es-ES"/>
        </w:rPr>
      </w:pPr>
      <w:bookmarkStart w:id="400" w:name="_Toc364413888"/>
      <w:bookmarkStart w:id="401" w:name="_Toc365049888"/>
      <w:bookmarkStart w:id="402" w:name="_Toc408932360"/>
      <w:bookmarkStart w:id="403" w:name="_Toc474217138"/>
      <w:bookmarkStart w:id="404" w:name="_Toc474473020"/>
      <w:bookmarkStart w:id="405" w:name="_Toc475941623"/>
      <w:bookmarkStart w:id="406" w:name="_Toc477683618"/>
      <w:bookmarkStart w:id="407" w:name="_Toc482705826"/>
      <w:bookmarkStart w:id="408" w:name="_Toc350343145"/>
      <w:bookmarkStart w:id="409" w:name="_Toc350856302"/>
      <w:bookmarkStart w:id="410" w:name="_Toc359853524"/>
      <w:bookmarkStart w:id="411" w:name="_Toc363051261"/>
      <w:bookmarkStart w:id="412" w:name="_Toc408932384"/>
      <w:bookmarkStart w:id="413" w:name="_Toc528750817"/>
      <w:bookmarkStart w:id="414" w:name="_Toc16063780"/>
      <w:bookmarkStart w:id="415" w:name="_Toc20409480"/>
      <w:bookmarkStart w:id="416" w:name="_Toc20566063"/>
      <w:r w:rsidRPr="00A71156">
        <w:rPr>
          <w:rFonts w:cs="Arial"/>
          <w:b/>
          <w:szCs w:val="24"/>
          <w:lang w:val="es-ES" w:eastAsia="es-ES"/>
        </w:rPr>
        <w:t>ESPECIFICACIONES TÉCNICAS GENERALES</w:t>
      </w:r>
      <w:bookmarkEnd w:id="400"/>
      <w:bookmarkEnd w:id="401"/>
      <w:bookmarkEnd w:id="402"/>
      <w:bookmarkEnd w:id="403"/>
      <w:bookmarkEnd w:id="404"/>
      <w:bookmarkEnd w:id="405"/>
      <w:bookmarkEnd w:id="406"/>
      <w:bookmarkEnd w:id="407"/>
    </w:p>
    <w:p w14:paraId="31540527" w14:textId="77777777" w:rsidR="00A71156" w:rsidRDefault="00A71156" w:rsidP="00A71156">
      <w:pPr>
        <w:keepNext/>
        <w:tabs>
          <w:tab w:val="left" w:pos="142"/>
        </w:tabs>
        <w:ind w:right="-516"/>
        <w:outlineLvl w:val="1"/>
        <w:rPr>
          <w:rFonts w:cs="Arial"/>
          <w:b/>
          <w:szCs w:val="24"/>
          <w:lang w:val="es-ES" w:eastAsia="es-ES"/>
        </w:rPr>
      </w:pPr>
    </w:p>
    <w:p w14:paraId="7F567405" w14:textId="77777777" w:rsidR="00A71156" w:rsidRPr="00A71156" w:rsidRDefault="00A71156" w:rsidP="00A71156">
      <w:pPr>
        <w:keepNext/>
        <w:tabs>
          <w:tab w:val="left" w:pos="142"/>
        </w:tabs>
        <w:ind w:right="-516"/>
        <w:outlineLvl w:val="1"/>
        <w:rPr>
          <w:rFonts w:cs="Arial"/>
          <w:b/>
          <w:szCs w:val="24"/>
          <w:lang w:val="es-ES" w:eastAsia="es-ES"/>
        </w:rPr>
      </w:pPr>
      <w:r w:rsidRPr="00A71156">
        <w:rPr>
          <w:rFonts w:cs="Arial"/>
          <w:b/>
          <w:szCs w:val="24"/>
          <w:highlight w:val="yellow"/>
          <w:lang w:val="es-ES" w:eastAsia="es-ES"/>
        </w:rPr>
        <w:t>Proyecto 19886 Agua y Saneamiento Comunidad La Concepción</w:t>
      </w:r>
      <w:r>
        <w:rPr>
          <w:rFonts w:cs="Arial"/>
          <w:b/>
          <w:szCs w:val="24"/>
          <w:lang w:val="es-ES" w:eastAsia="es-ES"/>
        </w:rPr>
        <w:t xml:space="preserve"> </w:t>
      </w:r>
      <w:r w:rsidRPr="00344818">
        <w:rPr>
          <w:rFonts w:ascii="Arial" w:eastAsia="Calibri" w:hAnsi="Arial" w:cs="Arial"/>
          <w:b/>
          <w:sz w:val="22"/>
          <w:szCs w:val="22"/>
          <w:highlight w:val="yellow"/>
        </w:rPr>
        <w:t>(LOTE N°1)</w:t>
      </w:r>
    </w:p>
    <w:p w14:paraId="32ADCF44" w14:textId="77777777" w:rsidR="00A71156" w:rsidRDefault="00A71156" w:rsidP="00A71156">
      <w:pPr>
        <w:keepNext/>
        <w:keepLines/>
        <w:spacing w:before="40"/>
        <w:outlineLvl w:val="1"/>
        <w:rPr>
          <w:rFonts w:cs="Arial"/>
          <w:b/>
          <w:szCs w:val="24"/>
          <w:lang w:val="es-ES" w:eastAsia="es-ES"/>
        </w:rPr>
      </w:pPr>
      <w:bookmarkStart w:id="417" w:name="_Toc482965951"/>
      <w:bookmarkStart w:id="418" w:name="_Toc497292631"/>
      <w:bookmarkStart w:id="419" w:name="_Toc498690707"/>
      <w:bookmarkStart w:id="420" w:name="_Toc21686103"/>
    </w:p>
    <w:p w14:paraId="50F52976" w14:textId="77777777" w:rsidR="00A71156" w:rsidRPr="00D53C8B" w:rsidRDefault="00A71156" w:rsidP="00A71156">
      <w:pPr>
        <w:keepNext/>
        <w:keepLines/>
        <w:spacing w:before="40"/>
        <w:outlineLvl w:val="1"/>
        <w:rPr>
          <w:rFonts w:cs="Arial"/>
          <w:b/>
          <w:szCs w:val="24"/>
          <w:lang w:val="es-ES" w:eastAsia="es-ES"/>
        </w:rPr>
      </w:pPr>
      <w:r w:rsidRPr="00D53C8B">
        <w:rPr>
          <w:rFonts w:cs="Arial"/>
          <w:b/>
          <w:szCs w:val="24"/>
          <w:lang w:val="es-ES" w:eastAsia="es-ES"/>
        </w:rPr>
        <w:t>Definiciones</w:t>
      </w:r>
      <w:bookmarkEnd w:id="417"/>
      <w:bookmarkEnd w:id="418"/>
      <w:bookmarkEnd w:id="419"/>
      <w:bookmarkEnd w:id="420"/>
    </w:p>
    <w:p w14:paraId="684471D3" w14:textId="77777777" w:rsidR="00A71156" w:rsidRPr="00D53C8B" w:rsidRDefault="00A71156" w:rsidP="00A71156">
      <w:pPr>
        <w:rPr>
          <w:rFonts w:cs="Arial"/>
          <w:szCs w:val="24"/>
          <w:lang w:val="es-ES" w:eastAsia="es-ES"/>
        </w:rPr>
      </w:pPr>
    </w:p>
    <w:p w14:paraId="24CFA351" w14:textId="77777777" w:rsidR="00A71156" w:rsidRPr="00D53C8B" w:rsidRDefault="00A71156" w:rsidP="00A71156">
      <w:pPr>
        <w:rPr>
          <w:rFonts w:cs="Arial"/>
          <w:szCs w:val="24"/>
          <w:lang w:val="es-ES" w:eastAsia="es-ES"/>
        </w:rPr>
      </w:pPr>
      <w:r w:rsidRPr="00D53C8B">
        <w:rPr>
          <w:rFonts w:cs="Arial"/>
          <w:szCs w:val="24"/>
          <w:lang w:val="es-ES" w:eastAsia="es-ES"/>
        </w:rPr>
        <w:t>En cualquier parte de estos Documentos en los cuales se usen los términos que se describen a continuación, su intención y significado deberán ser interpretadas de la manera siguiente:</w:t>
      </w:r>
    </w:p>
    <w:p w14:paraId="4CB910F9" w14:textId="77777777" w:rsidR="00A71156" w:rsidRPr="00D53C8B" w:rsidRDefault="00A71156" w:rsidP="00A71156">
      <w:pPr>
        <w:rPr>
          <w:rFonts w:cs="Arial"/>
          <w:b/>
          <w:szCs w:val="24"/>
          <w:lang w:val="es-ES" w:eastAsia="es-ES"/>
        </w:rPr>
      </w:pPr>
    </w:p>
    <w:p w14:paraId="72CD0349" w14:textId="77777777" w:rsidR="00A71156" w:rsidRPr="00D53C8B" w:rsidRDefault="00A71156" w:rsidP="00A71156">
      <w:pPr>
        <w:rPr>
          <w:rFonts w:cs="Arial"/>
          <w:szCs w:val="24"/>
          <w:lang w:val="es-ES" w:eastAsia="es-ES"/>
        </w:rPr>
      </w:pPr>
      <w:r w:rsidRPr="00D53C8B">
        <w:rPr>
          <w:rFonts w:cs="Arial"/>
          <w:b/>
          <w:szCs w:val="24"/>
          <w:lang w:val="es-ES" w:eastAsia="es-ES"/>
        </w:rPr>
        <w:t>Supervisor</w:t>
      </w:r>
      <w:r w:rsidRPr="00D53C8B">
        <w:rPr>
          <w:rFonts w:cs="Arial"/>
          <w:szCs w:val="24"/>
          <w:lang w:val="es-ES" w:eastAsia="es-ES"/>
        </w:rPr>
        <w:t>: El Profesional contratado por el FISE, para la supervisión técnica de la Obra, actuando dentro del marco de las atribuciones que le serán confiadas.</w:t>
      </w:r>
    </w:p>
    <w:p w14:paraId="3E03F7C3" w14:textId="77777777" w:rsidR="00A71156" w:rsidRPr="00D53C8B" w:rsidRDefault="00A71156" w:rsidP="00A71156">
      <w:pPr>
        <w:rPr>
          <w:rFonts w:cs="Arial"/>
          <w:szCs w:val="24"/>
          <w:lang w:val="es-ES" w:eastAsia="es-ES"/>
        </w:rPr>
      </w:pPr>
    </w:p>
    <w:p w14:paraId="3944D193" w14:textId="77777777" w:rsidR="00A71156" w:rsidRPr="00D53C8B" w:rsidRDefault="00A71156" w:rsidP="00A71156">
      <w:pPr>
        <w:rPr>
          <w:rFonts w:cs="Arial"/>
          <w:szCs w:val="24"/>
          <w:lang w:val="es-ES" w:eastAsia="es-ES"/>
        </w:rPr>
      </w:pPr>
      <w:r w:rsidRPr="00D53C8B">
        <w:rPr>
          <w:rFonts w:cs="Arial"/>
          <w:b/>
          <w:szCs w:val="24"/>
          <w:lang w:val="es-ES" w:eastAsia="es-ES"/>
        </w:rPr>
        <w:t>Contratista</w:t>
      </w:r>
      <w:r w:rsidRPr="00D53C8B">
        <w:rPr>
          <w:rFonts w:cs="Arial"/>
          <w:szCs w:val="24"/>
          <w:lang w:val="es-ES" w:eastAsia="es-ES"/>
        </w:rPr>
        <w:t>: El Oferente a quien este Contrato es adjudicado por el FISE.</w:t>
      </w:r>
    </w:p>
    <w:p w14:paraId="2028D729" w14:textId="77777777" w:rsidR="00A71156" w:rsidRPr="00D53C8B" w:rsidRDefault="00A71156" w:rsidP="00A71156">
      <w:pPr>
        <w:rPr>
          <w:rFonts w:cs="Arial"/>
          <w:b/>
          <w:szCs w:val="24"/>
          <w:lang w:val="es-ES" w:eastAsia="es-ES"/>
        </w:rPr>
      </w:pPr>
    </w:p>
    <w:p w14:paraId="59D302CE" w14:textId="77777777" w:rsidR="00A71156" w:rsidRPr="00D53C8B" w:rsidRDefault="00A71156" w:rsidP="00A71156">
      <w:pPr>
        <w:rPr>
          <w:rFonts w:cs="Arial"/>
          <w:szCs w:val="24"/>
          <w:lang w:val="es-ES" w:eastAsia="es-ES"/>
        </w:rPr>
      </w:pPr>
      <w:r w:rsidRPr="00D53C8B">
        <w:rPr>
          <w:rFonts w:cs="Arial"/>
          <w:b/>
          <w:szCs w:val="24"/>
          <w:lang w:val="es-ES" w:eastAsia="es-ES"/>
        </w:rPr>
        <w:t>Sub-Contratista</w:t>
      </w:r>
      <w:r w:rsidRPr="00D53C8B">
        <w:rPr>
          <w:rFonts w:cs="Arial"/>
          <w:szCs w:val="24"/>
          <w:lang w:val="es-ES" w:eastAsia="es-ES"/>
        </w:rPr>
        <w:t>: Cualquier Empresa Constructora, persona natural o jurídica seleccionada por el Contratista y aprobado por el supervisor designado para efectuar una obra en particular o suplir bienes demandados por el trabajo.</w:t>
      </w:r>
    </w:p>
    <w:p w14:paraId="0F1F7A8C" w14:textId="77777777" w:rsidR="00A71156" w:rsidRPr="00D53C8B" w:rsidRDefault="00A71156" w:rsidP="00A71156">
      <w:pPr>
        <w:rPr>
          <w:rFonts w:cs="Arial"/>
          <w:szCs w:val="24"/>
          <w:lang w:val="es-ES" w:eastAsia="es-ES"/>
        </w:rPr>
      </w:pPr>
    </w:p>
    <w:p w14:paraId="45ACFAF1" w14:textId="77777777" w:rsidR="00A71156" w:rsidRPr="00D53C8B" w:rsidRDefault="00A71156" w:rsidP="00A71156">
      <w:pPr>
        <w:rPr>
          <w:rFonts w:cs="Arial"/>
          <w:szCs w:val="24"/>
          <w:lang w:val="es-ES" w:eastAsia="es-ES"/>
        </w:rPr>
      </w:pPr>
      <w:r w:rsidRPr="00D53C8B">
        <w:rPr>
          <w:rFonts w:cs="Arial"/>
          <w:b/>
          <w:szCs w:val="24"/>
          <w:lang w:val="es-ES" w:eastAsia="es-ES"/>
        </w:rPr>
        <w:t>Fiador</w:t>
      </w:r>
      <w:r w:rsidRPr="00D53C8B">
        <w:rPr>
          <w:rFonts w:cs="Arial"/>
          <w:szCs w:val="24"/>
          <w:lang w:val="es-ES" w:eastAsia="es-ES"/>
        </w:rPr>
        <w:t>: La compañía debida y legalmente autorizada para operar en Nicaragua, la cual adquiere obligación con y por el Contratista por el pago de todas las obligaciones para el desarrollo aceptable del trabajo requerido por este Contrato.</w:t>
      </w:r>
    </w:p>
    <w:p w14:paraId="1823BE3A" w14:textId="77777777" w:rsidR="00A71156" w:rsidRPr="00D53C8B" w:rsidRDefault="00A71156" w:rsidP="00A71156">
      <w:pPr>
        <w:rPr>
          <w:rFonts w:cs="Arial"/>
          <w:b/>
          <w:szCs w:val="24"/>
          <w:lang w:val="es-ES" w:eastAsia="es-ES"/>
        </w:rPr>
      </w:pPr>
    </w:p>
    <w:p w14:paraId="2E458645" w14:textId="77777777" w:rsidR="00A71156" w:rsidRPr="00D53C8B" w:rsidRDefault="00A71156" w:rsidP="00A71156">
      <w:pPr>
        <w:rPr>
          <w:rFonts w:cs="Arial"/>
          <w:szCs w:val="24"/>
          <w:lang w:val="es-ES" w:eastAsia="es-ES"/>
        </w:rPr>
      </w:pPr>
      <w:r w:rsidRPr="00D53C8B">
        <w:rPr>
          <w:rFonts w:cs="Arial"/>
          <w:b/>
          <w:szCs w:val="24"/>
          <w:lang w:val="es-ES" w:eastAsia="es-ES"/>
        </w:rPr>
        <w:t>Laboratorio</w:t>
      </w:r>
      <w:r w:rsidRPr="00D53C8B">
        <w:rPr>
          <w:rFonts w:cs="Arial"/>
          <w:szCs w:val="24"/>
          <w:lang w:val="es-ES" w:eastAsia="es-ES"/>
        </w:rPr>
        <w:t>: Cualquier laboratorio aprobado por el Supervisor para efectuar pruebas en los materiales que serán incorporados a la obra.</w:t>
      </w:r>
    </w:p>
    <w:p w14:paraId="3C3CDEAE" w14:textId="77777777" w:rsidR="00A71156" w:rsidRPr="00D53C8B" w:rsidRDefault="00A71156" w:rsidP="00A71156">
      <w:pPr>
        <w:rPr>
          <w:rFonts w:cs="Arial"/>
          <w:b/>
          <w:szCs w:val="24"/>
          <w:lang w:val="es-ES" w:eastAsia="es-ES"/>
        </w:rPr>
      </w:pPr>
    </w:p>
    <w:p w14:paraId="06379C58" w14:textId="77777777" w:rsidR="00A71156" w:rsidRPr="00D53C8B" w:rsidRDefault="00A71156" w:rsidP="00A71156">
      <w:pPr>
        <w:rPr>
          <w:rFonts w:cs="Arial"/>
          <w:szCs w:val="24"/>
          <w:lang w:val="es-ES" w:eastAsia="es-ES"/>
        </w:rPr>
      </w:pPr>
      <w:r w:rsidRPr="00D53C8B">
        <w:rPr>
          <w:rFonts w:cs="Arial"/>
          <w:b/>
          <w:szCs w:val="24"/>
          <w:lang w:val="es-ES" w:eastAsia="es-ES"/>
        </w:rPr>
        <w:t>Planos</w:t>
      </w:r>
      <w:r w:rsidRPr="00D53C8B">
        <w:rPr>
          <w:rFonts w:cs="Arial"/>
          <w:szCs w:val="24"/>
          <w:lang w:val="es-ES" w:eastAsia="es-ES"/>
        </w:rPr>
        <w:t>: Los dibujos, planos, perfiles, cortes, esquemas suplementarios o reproducciones exactas de ellos, suplidos por El FISE y/o aprobados por el Supervisor, que muestren la ubicación, carácter, dimensiones y detalles del trabajo que se ha de hacer.</w:t>
      </w:r>
    </w:p>
    <w:p w14:paraId="1E759B5C" w14:textId="77777777" w:rsidR="00A71156" w:rsidRPr="00D53C8B" w:rsidRDefault="00A71156" w:rsidP="00A71156">
      <w:pPr>
        <w:rPr>
          <w:rFonts w:cs="Arial"/>
          <w:b/>
          <w:szCs w:val="24"/>
          <w:lang w:val="es-ES" w:eastAsia="es-ES"/>
        </w:rPr>
      </w:pPr>
    </w:p>
    <w:p w14:paraId="20D5E586" w14:textId="77777777" w:rsidR="00A71156" w:rsidRPr="00D53C8B" w:rsidRDefault="00A71156" w:rsidP="00A71156">
      <w:pPr>
        <w:rPr>
          <w:rFonts w:cs="Arial"/>
          <w:szCs w:val="24"/>
          <w:lang w:val="es-ES" w:eastAsia="es-ES"/>
        </w:rPr>
      </w:pPr>
      <w:r w:rsidRPr="00D53C8B">
        <w:rPr>
          <w:rFonts w:cs="Arial"/>
          <w:b/>
          <w:szCs w:val="24"/>
          <w:lang w:val="es-ES" w:eastAsia="es-ES"/>
        </w:rPr>
        <w:t>Especificaciones</w:t>
      </w:r>
      <w:r w:rsidRPr="00D53C8B">
        <w:rPr>
          <w:rFonts w:cs="Arial"/>
          <w:szCs w:val="24"/>
          <w:lang w:val="es-ES" w:eastAsia="es-ES"/>
        </w:rPr>
        <w:t>: Las direcciones, disposiciones y estipulaciones comprendidas en los Documentos de Contrato que establecen los métodos constructivos, calidad de insumos, bienes y servicios que serán suministrados por el Contratista.</w:t>
      </w:r>
    </w:p>
    <w:p w14:paraId="48D31BFF" w14:textId="77777777" w:rsidR="00A71156" w:rsidRPr="00D53C8B" w:rsidRDefault="00A71156" w:rsidP="00A71156">
      <w:pPr>
        <w:rPr>
          <w:rFonts w:cs="Arial"/>
          <w:b/>
          <w:szCs w:val="24"/>
          <w:lang w:val="es-ES" w:eastAsia="es-ES"/>
        </w:rPr>
      </w:pPr>
    </w:p>
    <w:p w14:paraId="65E5E911" w14:textId="77777777" w:rsidR="00A71156" w:rsidRPr="00D53C8B" w:rsidRDefault="00A71156" w:rsidP="00A71156">
      <w:pPr>
        <w:rPr>
          <w:rFonts w:cs="Arial"/>
          <w:szCs w:val="24"/>
          <w:lang w:val="es-ES" w:eastAsia="es-ES"/>
        </w:rPr>
      </w:pPr>
      <w:r w:rsidRPr="00D53C8B">
        <w:rPr>
          <w:rFonts w:cs="Arial"/>
          <w:b/>
          <w:szCs w:val="24"/>
          <w:lang w:val="es-ES" w:eastAsia="es-ES"/>
        </w:rPr>
        <w:t>Orden de Cambio</w:t>
      </w:r>
      <w:r w:rsidRPr="00D53C8B">
        <w:rPr>
          <w:rFonts w:cs="Arial"/>
          <w:szCs w:val="24"/>
          <w:lang w:val="es-ES" w:eastAsia="es-ES"/>
        </w:rPr>
        <w:t xml:space="preserve">: Un convenio escrito entre el Contratante y el Contratista, el cual una vez debidamente ejecutado pasa a formar parte del Contrato. Las órdenes de cambio pueden </w:t>
      </w:r>
      <w:r w:rsidRPr="00D53C8B">
        <w:rPr>
          <w:rFonts w:cs="Arial"/>
          <w:szCs w:val="24"/>
          <w:lang w:val="es-ES" w:eastAsia="es-ES"/>
        </w:rPr>
        <w:lastRenderedPageBreak/>
        <w:t>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402B0C70" w14:textId="77777777" w:rsidR="00A71156" w:rsidRPr="00D53C8B" w:rsidRDefault="00A71156" w:rsidP="00A71156">
      <w:pPr>
        <w:rPr>
          <w:rFonts w:ascii="Arial" w:hAnsi="Arial" w:cs="Arial"/>
          <w:szCs w:val="24"/>
          <w:lang w:val="es-ES" w:eastAsia="es-ES"/>
        </w:rPr>
      </w:pPr>
    </w:p>
    <w:p w14:paraId="4E8907AB" w14:textId="77777777" w:rsidR="00A71156" w:rsidRPr="004817A1" w:rsidRDefault="00A71156" w:rsidP="003B68DB">
      <w:pPr>
        <w:numPr>
          <w:ilvl w:val="1"/>
          <w:numId w:val="127"/>
        </w:numPr>
        <w:contextualSpacing/>
        <w:rPr>
          <w:rFonts w:cs="Arial"/>
          <w:b/>
          <w:szCs w:val="24"/>
          <w:lang w:val="es-ES" w:eastAsia="es-ES"/>
        </w:rPr>
      </w:pPr>
      <w:r w:rsidRPr="004817A1">
        <w:rPr>
          <w:rFonts w:cs="Arial"/>
          <w:b/>
          <w:i/>
          <w:szCs w:val="24"/>
          <w:lang w:val="es-ES" w:eastAsia="es-ES"/>
        </w:rPr>
        <w:t>Generalidades</w:t>
      </w:r>
    </w:p>
    <w:p w14:paraId="79F802EF" w14:textId="77777777" w:rsidR="00A71156" w:rsidRPr="004817A1" w:rsidRDefault="00A71156" w:rsidP="00A71156">
      <w:pPr>
        <w:tabs>
          <w:tab w:val="left" w:pos="142"/>
        </w:tabs>
        <w:rPr>
          <w:rFonts w:cs="Arial"/>
          <w:szCs w:val="24"/>
          <w:lang w:val="es-ES" w:eastAsia="es-ES"/>
        </w:rPr>
      </w:pPr>
    </w:p>
    <w:p w14:paraId="3A958688"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Estas especificaciones técnicas son generales y se refieren a todos los aspectos de la construcción, en el caso que algún tipo de actividad no esté incluida en estas especificaciones, es deber del contratista hacer la obra de manera técnicamente correcta y sin ninguna mala intención, es decir no debe valerse del hecho que no esté incluida en las especificaciones.</w:t>
      </w:r>
    </w:p>
    <w:p w14:paraId="1556E50D" w14:textId="77777777" w:rsidR="00A71156" w:rsidRPr="004817A1" w:rsidRDefault="00A71156" w:rsidP="00A71156">
      <w:pPr>
        <w:tabs>
          <w:tab w:val="left" w:pos="142"/>
        </w:tabs>
        <w:rPr>
          <w:rFonts w:cs="Arial"/>
          <w:szCs w:val="24"/>
          <w:lang w:val="es-ES" w:eastAsia="es-ES"/>
        </w:rPr>
      </w:pPr>
    </w:p>
    <w:p w14:paraId="419DEECD"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62DF0876" w14:textId="77777777" w:rsidR="00A71156" w:rsidRPr="004817A1" w:rsidRDefault="00A71156" w:rsidP="00A71156">
      <w:pPr>
        <w:tabs>
          <w:tab w:val="left" w:pos="142"/>
        </w:tabs>
        <w:rPr>
          <w:rFonts w:cs="Arial"/>
          <w:szCs w:val="24"/>
          <w:lang w:val="es-ES" w:eastAsia="es-ES"/>
        </w:rPr>
      </w:pPr>
    </w:p>
    <w:p w14:paraId="2154767A"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Asimismo, se considerarán como especificaciones técnicas generales, las especificaciones ambientales generales.</w:t>
      </w:r>
    </w:p>
    <w:p w14:paraId="4051F778" w14:textId="77777777" w:rsidR="00A71156" w:rsidRPr="004817A1" w:rsidRDefault="00A71156" w:rsidP="00A71156">
      <w:pPr>
        <w:tabs>
          <w:tab w:val="left" w:pos="142"/>
        </w:tabs>
        <w:rPr>
          <w:rFonts w:cs="Arial"/>
          <w:szCs w:val="24"/>
          <w:lang w:val="es-ES" w:eastAsia="es-ES"/>
        </w:rPr>
      </w:pPr>
    </w:p>
    <w:p w14:paraId="238F8592" w14:textId="77777777" w:rsidR="00A71156" w:rsidRPr="004817A1" w:rsidRDefault="00A71156" w:rsidP="003B68DB">
      <w:pPr>
        <w:keepNext/>
        <w:numPr>
          <w:ilvl w:val="1"/>
          <w:numId w:val="127"/>
        </w:numPr>
        <w:tabs>
          <w:tab w:val="left" w:pos="142"/>
        </w:tabs>
        <w:ind w:right="-516"/>
        <w:contextualSpacing/>
        <w:outlineLvl w:val="1"/>
        <w:rPr>
          <w:rFonts w:cs="Arial"/>
          <w:b/>
          <w:bCs/>
          <w:iCs/>
          <w:szCs w:val="24"/>
          <w:lang w:val="es-ES" w:eastAsia="es-ES"/>
        </w:rPr>
      </w:pPr>
      <w:r w:rsidRPr="004817A1">
        <w:rPr>
          <w:rFonts w:cs="Arial"/>
          <w:b/>
          <w:bCs/>
          <w:i/>
          <w:iCs/>
          <w:szCs w:val="24"/>
          <w:lang w:val="es-ES" w:eastAsia="es-ES"/>
        </w:rPr>
        <w:t>NOTAS GENERALES A LAS ESPECIFICACIONES TECNICAS</w:t>
      </w:r>
    </w:p>
    <w:p w14:paraId="5403F6BF" w14:textId="77777777" w:rsidR="00A71156" w:rsidRPr="004817A1" w:rsidRDefault="00A71156" w:rsidP="00A71156">
      <w:pPr>
        <w:keepNext/>
        <w:tabs>
          <w:tab w:val="left" w:pos="142"/>
        </w:tabs>
        <w:ind w:left="720" w:right="-516"/>
        <w:contextualSpacing/>
        <w:outlineLvl w:val="1"/>
        <w:rPr>
          <w:rFonts w:cs="Arial"/>
          <w:b/>
          <w:bCs/>
          <w:iCs/>
          <w:szCs w:val="24"/>
          <w:lang w:val="es-ES" w:eastAsia="es-ES"/>
        </w:rPr>
      </w:pPr>
    </w:p>
    <w:p w14:paraId="371DECE2"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1215585F" w14:textId="77777777" w:rsidR="00A71156" w:rsidRPr="004817A1" w:rsidRDefault="00A71156" w:rsidP="00A71156">
      <w:pPr>
        <w:tabs>
          <w:tab w:val="left" w:pos="142"/>
        </w:tabs>
        <w:rPr>
          <w:rFonts w:cs="Arial"/>
          <w:szCs w:val="24"/>
          <w:lang w:val="es-ES" w:eastAsia="es-ES"/>
        </w:rPr>
      </w:pPr>
    </w:p>
    <w:p w14:paraId="57EBE5D0"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2.- Toda contratista considerara las especificaciones que competan a cada proyecto específico, ya que estas abarcan a la generalidad de los proyectos.</w:t>
      </w:r>
    </w:p>
    <w:p w14:paraId="0FDC4A56" w14:textId="77777777" w:rsidR="00A71156" w:rsidRPr="004817A1" w:rsidRDefault="00A71156" w:rsidP="00A71156">
      <w:pPr>
        <w:tabs>
          <w:tab w:val="left" w:pos="142"/>
        </w:tabs>
        <w:rPr>
          <w:rFonts w:cs="Arial"/>
          <w:szCs w:val="24"/>
          <w:lang w:val="es-ES" w:eastAsia="es-ES"/>
        </w:rPr>
      </w:pPr>
    </w:p>
    <w:p w14:paraId="111C7CB1"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0CE855AA" w14:textId="77777777" w:rsidR="00A71156" w:rsidRPr="004817A1" w:rsidRDefault="00A71156" w:rsidP="00A71156">
      <w:pPr>
        <w:tabs>
          <w:tab w:val="left" w:pos="142"/>
        </w:tabs>
        <w:rPr>
          <w:rFonts w:cs="Arial"/>
          <w:szCs w:val="24"/>
          <w:lang w:val="es-ES" w:eastAsia="es-ES"/>
        </w:rPr>
      </w:pPr>
    </w:p>
    <w:p w14:paraId="482B198C"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387FF1F1" w14:textId="77777777" w:rsidR="00A71156" w:rsidRPr="004817A1" w:rsidRDefault="00A71156" w:rsidP="00A71156">
      <w:pPr>
        <w:tabs>
          <w:tab w:val="left" w:pos="142"/>
        </w:tabs>
        <w:rPr>
          <w:rFonts w:cs="Arial"/>
          <w:szCs w:val="24"/>
          <w:lang w:val="es-ES" w:eastAsia="es-ES"/>
        </w:rPr>
      </w:pPr>
    </w:p>
    <w:p w14:paraId="1F717B7A"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w:t>
      </w:r>
      <w:r w:rsidRPr="004817A1">
        <w:rPr>
          <w:rFonts w:cs="Arial"/>
          <w:i/>
          <w:szCs w:val="24"/>
          <w:lang w:val="es-ES" w:eastAsia="es-ES"/>
        </w:rPr>
        <w:lastRenderedPageBreak/>
        <w:t>existentes, no a los materiales nuevos que los contratistas adquieren en el comercio para construir y reparar las infraestructuras</w:t>
      </w:r>
    </w:p>
    <w:p w14:paraId="5F9AB163" w14:textId="77777777" w:rsidR="00A71156" w:rsidRPr="004817A1" w:rsidRDefault="00A71156" w:rsidP="00A71156">
      <w:pPr>
        <w:tabs>
          <w:tab w:val="left" w:pos="142"/>
        </w:tabs>
        <w:rPr>
          <w:rFonts w:cs="Arial"/>
          <w:szCs w:val="24"/>
          <w:lang w:val="es-ES" w:eastAsia="es-ES"/>
        </w:rPr>
      </w:pPr>
    </w:p>
    <w:p w14:paraId="4C941A66"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El contratista no tomará ventaja con cualquier contradicción que hubiere en los planos y en las especificaciones, en este caso el supervisor decidirá la manera más técnica de resolver el caso a favor de la buena ejecución de la obra.</w:t>
      </w:r>
    </w:p>
    <w:p w14:paraId="68C5A96C" w14:textId="77777777" w:rsidR="00A71156" w:rsidRPr="004817A1" w:rsidRDefault="00A71156" w:rsidP="00A71156">
      <w:pPr>
        <w:keepNext/>
        <w:tabs>
          <w:tab w:val="left" w:pos="142"/>
        </w:tabs>
        <w:ind w:left="720" w:right="-516"/>
        <w:contextualSpacing/>
        <w:outlineLvl w:val="1"/>
        <w:rPr>
          <w:rFonts w:cs="Arial"/>
          <w:b/>
          <w:bCs/>
          <w:iCs/>
          <w:szCs w:val="24"/>
          <w:lang w:val="es-ES" w:eastAsia="es-ES"/>
        </w:rPr>
      </w:pPr>
    </w:p>
    <w:p w14:paraId="0201836F" w14:textId="77777777" w:rsidR="00A71156" w:rsidRPr="004817A1" w:rsidRDefault="00A71156" w:rsidP="003B68DB">
      <w:pPr>
        <w:keepNext/>
        <w:numPr>
          <w:ilvl w:val="1"/>
          <w:numId w:val="127"/>
        </w:numPr>
        <w:tabs>
          <w:tab w:val="left" w:pos="142"/>
        </w:tabs>
        <w:ind w:right="-516"/>
        <w:contextualSpacing/>
        <w:outlineLvl w:val="1"/>
        <w:rPr>
          <w:rFonts w:cs="Arial"/>
          <w:b/>
          <w:bCs/>
          <w:iCs/>
          <w:szCs w:val="24"/>
          <w:lang w:val="es-ES" w:eastAsia="es-ES"/>
        </w:rPr>
      </w:pPr>
      <w:r w:rsidRPr="004817A1">
        <w:rPr>
          <w:rFonts w:cs="Arial"/>
          <w:b/>
          <w:bCs/>
          <w:i/>
          <w:iCs/>
          <w:szCs w:val="24"/>
          <w:lang w:val="es-ES" w:eastAsia="es-ES"/>
        </w:rPr>
        <w:t xml:space="preserve"> INTERPRETACIÓN DE PLANOS</w:t>
      </w:r>
    </w:p>
    <w:p w14:paraId="0F1BDBB8" w14:textId="77777777" w:rsidR="00A71156" w:rsidRPr="004817A1" w:rsidRDefault="00A71156" w:rsidP="00A71156">
      <w:pPr>
        <w:keepNext/>
        <w:tabs>
          <w:tab w:val="left" w:pos="142"/>
        </w:tabs>
        <w:ind w:left="720" w:right="-516"/>
        <w:contextualSpacing/>
        <w:outlineLvl w:val="1"/>
        <w:rPr>
          <w:rFonts w:cs="Arial"/>
          <w:b/>
          <w:bCs/>
          <w:iCs/>
          <w:szCs w:val="24"/>
          <w:lang w:val="es-ES" w:eastAsia="es-ES"/>
        </w:rPr>
      </w:pPr>
    </w:p>
    <w:p w14:paraId="3AC8E3A2"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47D19AC3"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ab/>
      </w:r>
    </w:p>
    <w:p w14:paraId="4F2B0DAB"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haber recibido la autorización de El Supervisor para proceder, correrán por su cuenta, riesgo y responsabilidad</w:t>
      </w:r>
    </w:p>
    <w:p w14:paraId="41B8495D" w14:textId="77777777" w:rsidR="00A71156" w:rsidRPr="004817A1" w:rsidRDefault="00A71156" w:rsidP="00A71156">
      <w:pPr>
        <w:tabs>
          <w:tab w:val="left" w:pos="142"/>
        </w:tabs>
        <w:rPr>
          <w:rFonts w:cs="Arial"/>
          <w:szCs w:val="24"/>
          <w:lang w:val="es-ES" w:eastAsia="es-ES"/>
        </w:rPr>
      </w:pPr>
    </w:p>
    <w:p w14:paraId="55E3525F"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LIMITACIONES DE TRABAJO</w:t>
      </w:r>
    </w:p>
    <w:p w14:paraId="0CDBDB56" w14:textId="77777777" w:rsidR="00A71156" w:rsidRPr="004817A1" w:rsidRDefault="00A71156" w:rsidP="00A71156">
      <w:pPr>
        <w:tabs>
          <w:tab w:val="left" w:pos="142"/>
        </w:tabs>
        <w:rPr>
          <w:rFonts w:cs="Arial"/>
          <w:szCs w:val="24"/>
          <w:lang w:val="es-ES" w:eastAsia="es-ES"/>
        </w:rPr>
      </w:pPr>
    </w:p>
    <w:p w14:paraId="697A1708"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0BD26EDE" w14:textId="77777777" w:rsidR="00A71156" w:rsidRPr="004817A1" w:rsidRDefault="00A71156" w:rsidP="00A71156">
      <w:pPr>
        <w:tabs>
          <w:tab w:val="left" w:pos="142"/>
        </w:tabs>
        <w:rPr>
          <w:rFonts w:cs="Arial"/>
          <w:szCs w:val="24"/>
          <w:lang w:val="es-ES" w:eastAsia="es-ES"/>
        </w:rPr>
      </w:pPr>
    </w:p>
    <w:p w14:paraId="22F3EFC6"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03425075" w14:textId="77777777" w:rsidR="00A71156" w:rsidRPr="004817A1" w:rsidRDefault="00A71156" w:rsidP="00A71156">
      <w:pPr>
        <w:tabs>
          <w:tab w:val="left" w:pos="142"/>
        </w:tabs>
        <w:rPr>
          <w:rFonts w:cs="Arial"/>
          <w:szCs w:val="24"/>
          <w:lang w:val="es-ES" w:eastAsia="es-ES"/>
        </w:rPr>
      </w:pPr>
    </w:p>
    <w:p w14:paraId="22153D98"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DOCUMENTOS DE CONTRATO</w:t>
      </w:r>
    </w:p>
    <w:p w14:paraId="23E8C6B1" w14:textId="77777777" w:rsidR="00A71156" w:rsidRPr="004817A1" w:rsidRDefault="00A71156" w:rsidP="00A71156">
      <w:pPr>
        <w:tabs>
          <w:tab w:val="left" w:pos="142"/>
        </w:tabs>
        <w:rPr>
          <w:rFonts w:cs="Arial"/>
          <w:szCs w:val="24"/>
          <w:lang w:val="es-ES" w:eastAsia="es-ES"/>
        </w:rPr>
      </w:pPr>
    </w:p>
    <w:p w14:paraId="341B2FF2"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Forman parte del contrato los siguientes documentos: Planos (que incluyen detalles, estructurales, arquitectónicos, eléctricos e hidra sanitarios, así como toda adenda que se refiera al sistema constructivo). Especificaciones Técnicas: Estas complementan lo indicado en los planos.        </w:t>
      </w:r>
    </w:p>
    <w:p w14:paraId="120B20DF" w14:textId="77777777" w:rsidR="00A71156" w:rsidRPr="004817A1" w:rsidRDefault="00A71156" w:rsidP="00A71156">
      <w:pPr>
        <w:tabs>
          <w:tab w:val="left" w:pos="142"/>
        </w:tabs>
        <w:rPr>
          <w:rFonts w:cs="Arial"/>
          <w:szCs w:val="24"/>
          <w:lang w:val="es-ES" w:eastAsia="es-ES"/>
        </w:rPr>
      </w:pPr>
    </w:p>
    <w:p w14:paraId="4FF8C934"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w:t>
      </w:r>
      <w:r w:rsidRPr="004817A1">
        <w:rPr>
          <w:rFonts w:cs="Arial"/>
          <w:i/>
          <w:szCs w:val="24"/>
          <w:lang w:val="es-ES" w:eastAsia="es-ES"/>
        </w:rPr>
        <w:lastRenderedPageBreak/>
        <w:t>solicitados por el contratista.    Las consideraciones generales. Todas las aclaraciones hechas a las preguntas que hacen los contratistas, para presentar su oferta en las licitaciones.</w:t>
      </w:r>
    </w:p>
    <w:p w14:paraId="164BA097" w14:textId="77777777" w:rsidR="00A71156" w:rsidRPr="004817A1" w:rsidRDefault="00A71156" w:rsidP="00A71156">
      <w:pPr>
        <w:tabs>
          <w:tab w:val="left" w:pos="142"/>
        </w:tabs>
        <w:rPr>
          <w:rFonts w:cs="Arial"/>
          <w:szCs w:val="24"/>
          <w:lang w:val="es-ES" w:eastAsia="es-ES"/>
        </w:rPr>
      </w:pPr>
    </w:p>
    <w:p w14:paraId="6E5C8C61"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PROTECCIÓN Y REEMPLAZO DE ESTRUCTURAS</w:t>
      </w:r>
    </w:p>
    <w:p w14:paraId="6F826909" w14:textId="77777777" w:rsidR="00A71156" w:rsidRPr="004817A1" w:rsidRDefault="00A71156" w:rsidP="00A71156">
      <w:pPr>
        <w:tabs>
          <w:tab w:val="left" w:pos="142"/>
        </w:tabs>
        <w:rPr>
          <w:rFonts w:cs="Arial"/>
          <w:szCs w:val="24"/>
          <w:lang w:val="es-ES" w:eastAsia="es-ES"/>
        </w:rPr>
      </w:pPr>
    </w:p>
    <w:p w14:paraId="79046B96"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39A05A4B" w14:textId="77777777" w:rsidR="00A71156" w:rsidRPr="004817A1" w:rsidRDefault="00A71156" w:rsidP="00A71156">
      <w:pPr>
        <w:tabs>
          <w:tab w:val="left" w:pos="142"/>
        </w:tabs>
        <w:rPr>
          <w:rFonts w:cs="Arial"/>
          <w:szCs w:val="24"/>
          <w:lang w:val="es-ES" w:eastAsia="es-ES"/>
        </w:rPr>
      </w:pPr>
    </w:p>
    <w:p w14:paraId="57B4D260"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4EF792A1" w14:textId="77777777" w:rsidR="00A71156" w:rsidRPr="004817A1" w:rsidRDefault="00A71156" w:rsidP="00A71156">
      <w:pPr>
        <w:tabs>
          <w:tab w:val="left" w:pos="142"/>
        </w:tabs>
        <w:rPr>
          <w:rFonts w:cs="Arial"/>
          <w:szCs w:val="24"/>
          <w:lang w:val="es-ES" w:eastAsia="es-ES"/>
        </w:rPr>
      </w:pPr>
    </w:p>
    <w:p w14:paraId="0AC0F798"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PROTECCIÓN DE LA PROPIEDAD PÚBLICA Y PRIVADA</w:t>
      </w:r>
    </w:p>
    <w:p w14:paraId="27E7322D" w14:textId="77777777" w:rsidR="00A71156" w:rsidRPr="004817A1" w:rsidRDefault="00A71156" w:rsidP="00A71156">
      <w:pPr>
        <w:tabs>
          <w:tab w:val="left" w:pos="142"/>
        </w:tabs>
        <w:rPr>
          <w:rFonts w:cs="Arial"/>
          <w:szCs w:val="24"/>
          <w:lang w:val="es-ES" w:eastAsia="es-ES"/>
        </w:rPr>
      </w:pPr>
    </w:p>
    <w:p w14:paraId="6B7CA569"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27E2AEC6" w14:textId="77777777" w:rsidR="00A71156" w:rsidRPr="004817A1" w:rsidRDefault="00A71156" w:rsidP="00A71156">
      <w:pPr>
        <w:tabs>
          <w:tab w:val="left" w:pos="142"/>
        </w:tabs>
        <w:rPr>
          <w:rFonts w:cs="Arial"/>
          <w:szCs w:val="24"/>
          <w:lang w:val="es-ES" w:eastAsia="es-ES"/>
        </w:rPr>
      </w:pPr>
    </w:p>
    <w:p w14:paraId="3E579EB2"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426FF86B" w14:textId="77777777" w:rsidR="00A71156" w:rsidRPr="004817A1" w:rsidRDefault="00A71156" w:rsidP="00A71156">
      <w:pPr>
        <w:tabs>
          <w:tab w:val="left" w:pos="142"/>
        </w:tabs>
        <w:rPr>
          <w:rFonts w:cs="Arial"/>
          <w:szCs w:val="24"/>
          <w:lang w:val="es-ES" w:eastAsia="es-ES"/>
        </w:rPr>
      </w:pPr>
    </w:p>
    <w:p w14:paraId="5C99EDF9"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184B3FC7" w14:textId="77777777" w:rsidR="00A71156" w:rsidRPr="004817A1" w:rsidRDefault="00A71156" w:rsidP="00A71156">
      <w:pPr>
        <w:tabs>
          <w:tab w:val="left" w:pos="142"/>
        </w:tabs>
        <w:rPr>
          <w:rFonts w:cs="Arial"/>
          <w:szCs w:val="24"/>
          <w:lang w:val="es-ES" w:eastAsia="es-ES"/>
        </w:rPr>
      </w:pPr>
    </w:p>
    <w:p w14:paraId="19DA725D"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FACILIDADES PARA TRÁNSITO DE VEHÍCULOS Y PEATONES</w:t>
      </w:r>
    </w:p>
    <w:p w14:paraId="6C620EAF" w14:textId="77777777" w:rsidR="00A71156" w:rsidRPr="004817A1" w:rsidRDefault="00A71156" w:rsidP="00A71156">
      <w:pPr>
        <w:tabs>
          <w:tab w:val="left" w:pos="142"/>
        </w:tabs>
        <w:rPr>
          <w:rFonts w:cs="Arial"/>
          <w:szCs w:val="24"/>
          <w:lang w:val="es-ES" w:eastAsia="es-ES"/>
        </w:rPr>
      </w:pPr>
    </w:p>
    <w:p w14:paraId="08DA328F"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35D2497A" w14:textId="77777777" w:rsidR="00A71156" w:rsidRPr="004817A1" w:rsidRDefault="00A71156" w:rsidP="00A71156">
      <w:pPr>
        <w:tabs>
          <w:tab w:val="left" w:pos="142"/>
        </w:tabs>
        <w:rPr>
          <w:rFonts w:cs="Arial"/>
          <w:szCs w:val="24"/>
          <w:lang w:val="es-ES" w:eastAsia="es-ES"/>
        </w:rPr>
      </w:pPr>
    </w:p>
    <w:p w14:paraId="5F59A9A1"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0DCD7D4D" w14:textId="77777777" w:rsidR="00A71156" w:rsidRPr="004817A1" w:rsidRDefault="00A71156" w:rsidP="00A71156">
      <w:pPr>
        <w:tabs>
          <w:tab w:val="left" w:pos="142"/>
        </w:tabs>
        <w:rPr>
          <w:rFonts w:cs="Arial"/>
          <w:szCs w:val="24"/>
          <w:lang w:val="es-ES" w:eastAsia="es-ES"/>
        </w:rPr>
      </w:pPr>
    </w:p>
    <w:p w14:paraId="1F4CB776"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lastRenderedPageBreak/>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5D26DE17" w14:textId="77777777" w:rsidR="00A71156" w:rsidRPr="004817A1" w:rsidRDefault="00A71156" w:rsidP="00A71156">
      <w:pPr>
        <w:tabs>
          <w:tab w:val="left" w:pos="142"/>
        </w:tabs>
        <w:rPr>
          <w:rFonts w:cs="Arial"/>
          <w:szCs w:val="24"/>
          <w:lang w:val="es-ES" w:eastAsia="es-ES"/>
        </w:rPr>
      </w:pPr>
    </w:p>
    <w:p w14:paraId="37230959"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562A71E0" w14:textId="77777777" w:rsidR="00A71156" w:rsidRPr="004817A1" w:rsidRDefault="00A71156" w:rsidP="00A71156">
      <w:pPr>
        <w:tabs>
          <w:tab w:val="left" w:pos="142"/>
        </w:tabs>
        <w:rPr>
          <w:rFonts w:cs="Arial"/>
          <w:szCs w:val="24"/>
          <w:lang w:val="es-ES" w:eastAsia="es-ES"/>
        </w:rPr>
      </w:pPr>
    </w:p>
    <w:p w14:paraId="355F7059" w14:textId="77777777" w:rsidR="00A71156" w:rsidRPr="004817A1" w:rsidRDefault="00A71156" w:rsidP="00A71156">
      <w:pPr>
        <w:tabs>
          <w:tab w:val="left" w:pos="142"/>
        </w:tabs>
        <w:rPr>
          <w:rFonts w:cs="Arial"/>
          <w:szCs w:val="24"/>
          <w:lang w:val="es-ES" w:eastAsia="es-ES"/>
        </w:rPr>
      </w:pPr>
      <w:r w:rsidRPr="004817A1">
        <w:rPr>
          <w:rFonts w:cs="Arial"/>
          <w:b/>
          <w:i/>
          <w:szCs w:val="24"/>
          <w:lang w:val="es-ES" w:eastAsia="es-ES"/>
        </w:rPr>
        <w:t>El Contratista</w:t>
      </w:r>
      <w:r w:rsidRPr="004817A1">
        <w:rPr>
          <w:rFonts w:cs="Arial"/>
          <w:i/>
          <w:szCs w:val="24"/>
          <w:lang w:val="es-ES" w:eastAsia="es-ES"/>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2965D53C" w14:textId="77777777" w:rsidR="00A71156" w:rsidRPr="004817A1" w:rsidRDefault="00A71156" w:rsidP="00A71156">
      <w:pPr>
        <w:tabs>
          <w:tab w:val="left" w:pos="142"/>
        </w:tabs>
        <w:rPr>
          <w:rFonts w:cs="Arial"/>
          <w:szCs w:val="24"/>
          <w:lang w:val="es-ES" w:eastAsia="es-ES"/>
        </w:rPr>
      </w:pPr>
    </w:p>
    <w:p w14:paraId="42B21C8A"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45FDA762" w14:textId="77777777" w:rsidR="00A71156" w:rsidRPr="004817A1" w:rsidRDefault="00A71156" w:rsidP="00A71156">
      <w:pPr>
        <w:tabs>
          <w:tab w:val="left" w:pos="142"/>
        </w:tabs>
        <w:rPr>
          <w:rFonts w:cs="Arial"/>
          <w:szCs w:val="24"/>
          <w:lang w:val="es-ES" w:eastAsia="es-ES"/>
        </w:rPr>
      </w:pPr>
    </w:p>
    <w:p w14:paraId="2F0B3EDB"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BARRICADAS, AVISOS PREVENTIVOS Y LUCES</w:t>
      </w:r>
      <w:r w:rsidRPr="004817A1">
        <w:rPr>
          <w:rFonts w:cs="Arial"/>
          <w:b/>
          <w:i/>
          <w:szCs w:val="24"/>
          <w:lang w:val="es-ES" w:eastAsia="es-ES"/>
        </w:rPr>
        <w:cr/>
      </w:r>
    </w:p>
    <w:p w14:paraId="5D7732BF"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40E2A566" w14:textId="77777777" w:rsidR="00A71156" w:rsidRPr="004817A1" w:rsidRDefault="00A71156" w:rsidP="00A71156">
      <w:pPr>
        <w:tabs>
          <w:tab w:val="left" w:pos="142"/>
        </w:tabs>
        <w:rPr>
          <w:rFonts w:cs="Arial"/>
          <w:szCs w:val="24"/>
          <w:lang w:val="es-ES" w:eastAsia="es-ES"/>
        </w:rPr>
      </w:pPr>
    </w:p>
    <w:p w14:paraId="51F015FE"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0288863F" w14:textId="77777777" w:rsidR="00A71156" w:rsidRPr="004817A1" w:rsidRDefault="00A71156" w:rsidP="00A71156">
      <w:pPr>
        <w:tabs>
          <w:tab w:val="left" w:pos="142"/>
        </w:tabs>
        <w:rPr>
          <w:rFonts w:cs="Arial"/>
          <w:szCs w:val="24"/>
          <w:lang w:val="es-ES" w:eastAsia="es-ES"/>
        </w:rPr>
      </w:pPr>
    </w:p>
    <w:p w14:paraId="4A92D19D"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7D804CC0" w14:textId="77777777" w:rsidR="00A71156" w:rsidRPr="004817A1" w:rsidRDefault="00A71156" w:rsidP="00A71156">
      <w:pPr>
        <w:tabs>
          <w:tab w:val="left" w:pos="142"/>
        </w:tabs>
        <w:rPr>
          <w:rFonts w:cs="Arial"/>
          <w:szCs w:val="24"/>
          <w:lang w:val="es-ES" w:eastAsia="es-ES"/>
        </w:rPr>
      </w:pPr>
    </w:p>
    <w:p w14:paraId="3E0D54FD"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MATERIALES EQUIPO Y HERRAMIENTAS A SUMINISTRAR</w:t>
      </w:r>
    </w:p>
    <w:p w14:paraId="208255D7" w14:textId="77777777" w:rsidR="00A71156" w:rsidRPr="004817A1" w:rsidRDefault="00A71156" w:rsidP="00A71156">
      <w:pPr>
        <w:tabs>
          <w:tab w:val="left" w:pos="142"/>
        </w:tabs>
        <w:rPr>
          <w:rFonts w:cs="Arial"/>
          <w:b/>
          <w:szCs w:val="24"/>
          <w:lang w:val="es-ES" w:eastAsia="es-ES"/>
        </w:rPr>
      </w:pPr>
    </w:p>
    <w:p w14:paraId="4323CA1C"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Todos los materiales y equipos requeridos para los trabajos comprendidos por este contrato serán suministrados por cuenta del contratista. Así como los equipos y herramientas que se necesiten </w:t>
      </w:r>
      <w:r w:rsidRPr="004817A1">
        <w:rPr>
          <w:rFonts w:cs="Arial"/>
          <w:i/>
          <w:szCs w:val="24"/>
          <w:lang w:val="es-ES" w:eastAsia="es-ES"/>
        </w:rPr>
        <w:lastRenderedPageBreak/>
        <w:t>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4F0D6611" w14:textId="77777777" w:rsidR="00A71156" w:rsidRPr="004817A1" w:rsidRDefault="00A71156" w:rsidP="00A71156">
      <w:pPr>
        <w:tabs>
          <w:tab w:val="left" w:pos="142"/>
        </w:tabs>
        <w:rPr>
          <w:rFonts w:cs="Arial"/>
          <w:szCs w:val="24"/>
          <w:lang w:val="es-ES" w:eastAsia="es-ES"/>
        </w:rPr>
      </w:pPr>
    </w:p>
    <w:p w14:paraId="50118878"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PRIORIDAD DEL TRABAJO </w:t>
      </w:r>
    </w:p>
    <w:p w14:paraId="4BAD4BD2" w14:textId="77777777" w:rsidR="00A71156" w:rsidRPr="004817A1" w:rsidRDefault="00A71156" w:rsidP="00A71156">
      <w:pPr>
        <w:tabs>
          <w:tab w:val="left" w:pos="142"/>
        </w:tabs>
        <w:rPr>
          <w:rFonts w:cs="Arial"/>
          <w:b/>
          <w:szCs w:val="24"/>
          <w:lang w:val="es-ES" w:eastAsia="es-ES"/>
        </w:rPr>
      </w:pPr>
    </w:p>
    <w:p w14:paraId="5242842A"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5CD52708" w14:textId="77777777" w:rsidR="00A71156" w:rsidRPr="004817A1" w:rsidRDefault="00A71156" w:rsidP="00A71156">
      <w:pPr>
        <w:tabs>
          <w:tab w:val="left" w:pos="142"/>
        </w:tabs>
        <w:rPr>
          <w:rFonts w:cs="Arial"/>
          <w:szCs w:val="24"/>
          <w:lang w:val="es-ES" w:eastAsia="es-ES"/>
        </w:rPr>
      </w:pPr>
    </w:p>
    <w:p w14:paraId="78474DB2"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LIMPIEZA PERIÓDICA </w:t>
      </w:r>
    </w:p>
    <w:p w14:paraId="627CA62A" w14:textId="77777777" w:rsidR="00A71156" w:rsidRPr="004817A1" w:rsidRDefault="00A71156" w:rsidP="00A71156">
      <w:pPr>
        <w:tabs>
          <w:tab w:val="left" w:pos="142"/>
        </w:tabs>
        <w:rPr>
          <w:rFonts w:cs="Arial"/>
          <w:b/>
          <w:szCs w:val="24"/>
          <w:lang w:val="es-ES" w:eastAsia="es-ES"/>
        </w:rPr>
      </w:pPr>
    </w:p>
    <w:p w14:paraId="62FF86E0"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7FE6359C" w14:textId="77777777" w:rsidR="00A71156" w:rsidRPr="004817A1" w:rsidRDefault="00A71156" w:rsidP="00A71156">
      <w:pPr>
        <w:tabs>
          <w:tab w:val="left" w:pos="142"/>
        </w:tabs>
        <w:rPr>
          <w:rFonts w:cs="Arial"/>
          <w:szCs w:val="24"/>
          <w:lang w:val="es-ES" w:eastAsia="es-ES"/>
        </w:rPr>
      </w:pPr>
    </w:p>
    <w:p w14:paraId="3DA393A3"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RÓTULO</w:t>
      </w:r>
    </w:p>
    <w:p w14:paraId="4763B8B2" w14:textId="77777777" w:rsidR="00A71156" w:rsidRPr="004817A1" w:rsidRDefault="00A71156" w:rsidP="00A71156">
      <w:pPr>
        <w:tabs>
          <w:tab w:val="left" w:pos="142"/>
        </w:tabs>
        <w:rPr>
          <w:rFonts w:cs="Arial"/>
          <w:b/>
          <w:szCs w:val="24"/>
          <w:lang w:val="es-ES" w:eastAsia="es-ES"/>
        </w:rPr>
      </w:pPr>
    </w:p>
    <w:p w14:paraId="57B14E64" w14:textId="77777777" w:rsidR="00A71156" w:rsidRPr="004817A1" w:rsidRDefault="00A71156" w:rsidP="00A71156">
      <w:pPr>
        <w:rPr>
          <w:rFonts w:cs="Arial"/>
          <w:szCs w:val="24"/>
          <w:lang w:val="es-ES" w:eastAsia="es-ES"/>
        </w:rPr>
      </w:pPr>
      <w:r w:rsidRPr="004817A1">
        <w:rPr>
          <w:rFonts w:cs="Arial"/>
          <w:i/>
          <w:szCs w:val="24"/>
          <w:lang w:val="es-ES" w:eastAsia="es-ES"/>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48194857" w14:textId="77777777" w:rsidR="00A71156" w:rsidRPr="004817A1" w:rsidRDefault="00A71156" w:rsidP="00A71156">
      <w:pPr>
        <w:tabs>
          <w:tab w:val="left" w:pos="142"/>
        </w:tabs>
        <w:rPr>
          <w:rFonts w:cs="Arial"/>
          <w:szCs w:val="24"/>
          <w:lang w:val="es-ES" w:eastAsia="es-ES"/>
        </w:rPr>
      </w:pPr>
    </w:p>
    <w:p w14:paraId="0CF90EAB"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CONDICIONES GENERALES</w:t>
      </w:r>
    </w:p>
    <w:p w14:paraId="49B48086" w14:textId="77777777" w:rsidR="00A71156" w:rsidRPr="004817A1" w:rsidRDefault="00A71156" w:rsidP="00A71156">
      <w:pPr>
        <w:tabs>
          <w:tab w:val="left" w:pos="142"/>
        </w:tabs>
        <w:rPr>
          <w:rFonts w:cs="Arial"/>
          <w:b/>
          <w:szCs w:val="24"/>
          <w:lang w:val="es-ES" w:eastAsia="es-ES"/>
        </w:rPr>
      </w:pPr>
    </w:p>
    <w:p w14:paraId="2CB37CAF" w14:textId="77777777" w:rsidR="00A71156" w:rsidRPr="004817A1" w:rsidRDefault="00A71156" w:rsidP="003B68DB">
      <w:pPr>
        <w:numPr>
          <w:ilvl w:val="0"/>
          <w:numId w:val="128"/>
        </w:numPr>
        <w:tabs>
          <w:tab w:val="left" w:pos="142"/>
        </w:tabs>
        <w:ind w:left="284" w:firstLine="0"/>
        <w:contextualSpacing/>
        <w:rPr>
          <w:rFonts w:cs="Arial"/>
          <w:szCs w:val="24"/>
          <w:lang w:val="es-ES" w:eastAsia="es-ES"/>
        </w:rPr>
      </w:pPr>
      <w:r w:rsidRPr="004817A1">
        <w:rPr>
          <w:rFonts w:cs="Arial"/>
          <w:i/>
          <w:szCs w:val="24"/>
          <w:lang w:val="es-ES" w:eastAsia="es-ES"/>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7CC2FD8B" w14:textId="77777777" w:rsidR="00A71156" w:rsidRPr="004817A1" w:rsidRDefault="00A71156" w:rsidP="00A71156">
      <w:pPr>
        <w:tabs>
          <w:tab w:val="left" w:pos="142"/>
        </w:tabs>
        <w:rPr>
          <w:rFonts w:cs="Arial"/>
          <w:szCs w:val="24"/>
          <w:lang w:val="es-ES" w:eastAsia="es-ES"/>
        </w:rPr>
      </w:pPr>
    </w:p>
    <w:p w14:paraId="5F85B1A2"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26FC82AC"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     </w:t>
      </w:r>
    </w:p>
    <w:p w14:paraId="402DCCC3"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38152B3C" w14:textId="77777777" w:rsidR="00A71156" w:rsidRPr="004817A1" w:rsidRDefault="00A71156" w:rsidP="00A71156">
      <w:pPr>
        <w:tabs>
          <w:tab w:val="left" w:pos="142"/>
        </w:tabs>
        <w:rPr>
          <w:rFonts w:cs="Arial"/>
          <w:szCs w:val="24"/>
          <w:lang w:val="es-ES" w:eastAsia="es-ES"/>
        </w:rPr>
      </w:pPr>
    </w:p>
    <w:p w14:paraId="1F2860D6"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lastRenderedPageBreak/>
        <w:t>D.</w:t>
      </w:r>
      <w:r w:rsidRPr="004817A1">
        <w:rPr>
          <w:rFonts w:cs="Arial"/>
          <w:i/>
          <w:szCs w:val="24"/>
          <w:lang w:val="es-ES" w:eastAsia="es-ES"/>
        </w:rPr>
        <w:tab/>
        <w:t xml:space="preserve">Los documentos del contrato, que incluyen planos y Especificaciones, son complementarios los unos con los otros, de modo que lo dicho en uno se entenderá como dicho en todos. </w:t>
      </w:r>
    </w:p>
    <w:p w14:paraId="6B17A285" w14:textId="77777777" w:rsidR="00A71156" w:rsidRPr="004817A1" w:rsidRDefault="00A71156" w:rsidP="00A71156">
      <w:pPr>
        <w:tabs>
          <w:tab w:val="left" w:pos="142"/>
        </w:tabs>
        <w:ind w:left="284"/>
        <w:rPr>
          <w:rFonts w:cs="Arial"/>
          <w:szCs w:val="24"/>
          <w:lang w:val="es-ES" w:eastAsia="es-ES"/>
        </w:rPr>
      </w:pPr>
    </w:p>
    <w:p w14:paraId="04C2ABAD"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3B40B9EE"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 xml:space="preserve"> </w:t>
      </w:r>
    </w:p>
    <w:p w14:paraId="3D29AE23"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 xml:space="preserve">Si la contradicción fuere de orden mayor, deberá ser consultado al diseñador por medio del supervisor para la debida aclaración. Para lo que él se encargara de solucionar este caso en un plazo no mayor de 10 días. </w:t>
      </w:r>
    </w:p>
    <w:p w14:paraId="030A43EB" w14:textId="77777777" w:rsidR="00A71156" w:rsidRPr="004817A1" w:rsidRDefault="00A71156" w:rsidP="00A71156">
      <w:pPr>
        <w:tabs>
          <w:tab w:val="left" w:pos="142"/>
        </w:tabs>
        <w:rPr>
          <w:rFonts w:cs="Arial"/>
          <w:szCs w:val="24"/>
          <w:lang w:val="es-ES" w:eastAsia="es-ES"/>
        </w:rPr>
      </w:pPr>
    </w:p>
    <w:p w14:paraId="3BDC419F"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E.</w:t>
      </w:r>
      <w:r w:rsidRPr="004817A1">
        <w:rPr>
          <w:rFonts w:cs="Arial"/>
          <w:i/>
          <w:szCs w:val="24"/>
          <w:lang w:val="es-ES" w:eastAsia="es-ES"/>
        </w:rPr>
        <w:tab/>
        <w:t xml:space="preserve">Trabajo Requerido: El trabajo consiste en la preparación del sitio, excavación, relleno, terraplén, nivelación, como esta descrito en las especificaciones o indicado en los planos o razonablemente implicado en ellos. </w:t>
      </w:r>
    </w:p>
    <w:p w14:paraId="0BCE53E6" w14:textId="77777777" w:rsidR="00A71156" w:rsidRPr="004817A1" w:rsidRDefault="00A71156" w:rsidP="00A71156">
      <w:pPr>
        <w:tabs>
          <w:tab w:val="left" w:pos="142"/>
        </w:tabs>
        <w:rPr>
          <w:rFonts w:cs="Arial"/>
          <w:szCs w:val="24"/>
          <w:lang w:val="es-ES" w:eastAsia="es-ES"/>
        </w:rPr>
      </w:pPr>
    </w:p>
    <w:p w14:paraId="05754E96"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F.</w:t>
      </w:r>
      <w:r w:rsidRPr="004817A1">
        <w:rPr>
          <w:rFonts w:cs="Arial"/>
          <w:i/>
          <w:szCs w:val="24"/>
          <w:lang w:val="es-ES" w:eastAsia="es-ES"/>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00549488"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ab/>
      </w:r>
    </w:p>
    <w:p w14:paraId="47D2D62F"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7E6FAC6D" w14:textId="77777777" w:rsidR="00A71156" w:rsidRPr="004817A1" w:rsidRDefault="00A71156" w:rsidP="00A71156">
      <w:pPr>
        <w:tabs>
          <w:tab w:val="left" w:pos="142"/>
        </w:tabs>
        <w:rPr>
          <w:rFonts w:cs="Arial"/>
          <w:szCs w:val="24"/>
          <w:lang w:val="es-ES" w:eastAsia="es-ES"/>
        </w:rPr>
      </w:pPr>
    </w:p>
    <w:p w14:paraId="1D36DAA5"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G.</w:t>
      </w:r>
      <w:r w:rsidRPr="004817A1">
        <w:rPr>
          <w:rFonts w:cs="Arial"/>
          <w:i/>
          <w:szCs w:val="24"/>
          <w:lang w:val="es-ES" w:eastAsia="es-ES"/>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5C6EA7F5" w14:textId="77777777" w:rsidR="00A71156" w:rsidRPr="004817A1" w:rsidRDefault="00A71156" w:rsidP="00A71156">
      <w:pPr>
        <w:tabs>
          <w:tab w:val="left" w:pos="142"/>
        </w:tabs>
        <w:rPr>
          <w:rFonts w:cs="Arial"/>
          <w:szCs w:val="24"/>
          <w:lang w:val="es-ES" w:eastAsia="es-ES"/>
        </w:rPr>
      </w:pPr>
    </w:p>
    <w:p w14:paraId="1C2E4ECD"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H.</w:t>
      </w:r>
      <w:r w:rsidRPr="004817A1">
        <w:rPr>
          <w:rFonts w:cs="Arial"/>
          <w:i/>
          <w:szCs w:val="24"/>
          <w:lang w:val="es-ES" w:eastAsia="es-ES"/>
        </w:rPr>
        <w:tab/>
        <w:t xml:space="preserve">Banco de Nivel: El contratista levantara todos los bancos de nivel, puntos de coordinación y estacas, las cuales deben ser preservados y mantenidas por cuenta del contratista; hasta que el supervisor crea conveniente mantenerlos. </w:t>
      </w:r>
    </w:p>
    <w:p w14:paraId="3791DE6C" w14:textId="77777777" w:rsidR="00A71156" w:rsidRPr="004817A1" w:rsidRDefault="00A71156" w:rsidP="00A71156">
      <w:pPr>
        <w:tabs>
          <w:tab w:val="left" w:pos="142"/>
        </w:tabs>
        <w:rPr>
          <w:rFonts w:cs="Arial"/>
          <w:szCs w:val="24"/>
          <w:lang w:val="es-ES" w:eastAsia="es-ES"/>
        </w:rPr>
      </w:pPr>
    </w:p>
    <w:p w14:paraId="720EA7CD"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I.</w:t>
      </w:r>
      <w:r w:rsidRPr="004817A1">
        <w:rPr>
          <w:rFonts w:cs="Arial"/>
          <w:i/>
          <w:szCs w:val="24"/>
          <w:lang w:val="es-ES" w:eastAsia="es-ES"/>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37486A1F" w14:textId="77777777" w:rsidR="00A71156" w:rsidRPr="004817A1" w:rsidRDefault="00A71156" w:rsidP="00A71156">
      <w:pPr>
        <w:tabs>
          <w:tab w:val="left" w:pos="142"/>
        </w:tabs>
        <w:rPr>
          <w:rFonts w:cs="Arial"/>
          <w:szCs w:val="24"/>
          <w:lang w:val="es-ES" w:eastAsia="es-ES"/>
        </w:rPr>
      </w:pPr>
    </w:p>
    <w:p w14:paraId="701BEA78"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79FEFB2C" w14:textId="77777777" w:rsidR="00A71156" w:rsidRPr="004817A1" w:rsidRDefault="00A71156" w:rsidP="00A71156">
      <w:pPr>
        <w:tabs>
          <w:tab w:val="left" w:pos="142"/>
        </w:tabs>
        <w:ind w:left="284"/>
        <w:rPr>
          <w:rFonts w:cs="Arial"/>
          <w:szCs w:val="24"/>
          <w:lang w:val="es-ES" w:eastAsia="es-ES"/>
        </w:rPr>
      </w:pPr>
    </w:p>
    <w:p w14:paraId="45F6B14F"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 xml:space="preserve">EL CONTRATISTA será responsable de proteger de daños todas las líneas, niveles y puntos de referencia y si se destruyen deberán ser reparados y repuestos por su cuenta. Se notificará a el </w:t>
      </w:r>
      <w:r w:rsidRPr="004817A1">
        <w:rPr>
          <w:rFonts w:cs="Arial"/>
          <w:i/>
          <w:szCs w:val="24"/>
          <w:lang w:val="es-ES" w:eastAsia="es-ES"/>
        </w:rPr>
        <w:lastRenderedPageBreak/>
        <w:t xml:space="preserve">supervisor, cuando el trazo este sustancialmente terminado y se procederá a la construcción hasta que haya sido aprobado. </w:t>
      </w:r>
    </w:p>
    <w:p w14:paraId="23FCF3F3" w14:textId="77777777" w:rsidR="00A71156" w:rsidRPr="004817A1" w:rsidRDefault="00A71156" w:rsidP="00A71156">
      <w:pPr>
        <w:tabs>
          <w:tab w:val="left" w:pos="142"/>
        </w:tabs>
        <w:rPr>
          <w:rFonts w:cs="Arial"/>
          <w:szCs w:val="24"/>
          <w:lang w:val="es-ES" w:eastAsia="es-ES"/>
        </w:rPr>
      </w:pPr>
    </w:p>
    <w:p w14:paraId="3A27795C"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w:t>
      </w:r>
      <w:r>
        <w:rPr>
          <w:rFonts w:cs="Arial"/>
          <w:i/>
          <w:szCs w:val="24"/>
          <w:lang w:val="es-ES" w:eastAsia="es-ES"/>
        </w:rPr>
        <w:t>5% proctor o lo que indique las especificaciones particulares.</w:t>
      </w:r>
    </w:p>
    <w:p w14:paraId="17678E39" w14:textId="77777777" w:rsidR="00A71156" w:rsidRPr="004817A1" w:rsidRDefault="00A71156" w:rsidP="00A71156">
      <w:pPr>
        <w:tabs>
          <w:tab w:val="left" w:pos="142"/>
        </w:tabs>
        <w:rPr>
          <w:rFonts w:cs="Arial"/>
          <w:szCs w:val="24"/>
          <w:lang w:val="es-ES" w:eastAsia="es-ES"/>
        </w:rPr>
      </w:pPr>
    </w:p>
    <w:p w14:paraId="7AC7E557"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L. La nivelación se extenderá alrededor de la construcción un ancho mínimo de 1 mt. La diferencia entre el nivel de piso interior y el nivel del terreno circundante no podrá ser mayor de 10 cms ó de acuerdo a la orientación del supervisor</w:t>
      </w:r>
    </w:p>
    <w:p w14:paraId="61B62321" w14:textId="77777777" w:rsidR="00A71156" w:rsidRPr="004817A1" w:rsidRDefault="00A71156" w:rsidP="00A71156">
      <w:pPr>
        <w:tabs>
          <w:tab w:val="left" w:pos="142"/>
        </w:tabs>
        <w:ind w:left="284"/>
        <w:rPr>
          <w:rFonts w:cs="Arial"/>
          <w:szCs w:val="24"/>
          <w:lang w:val="es-ES" w:eastAsia="es-ES"/>
        </w:rPr>
      </w:pPr>
    </w:p>
    <w:p w14:paraId="236E91D1" w14:textId="77777777" w:rsidR="00A71156" w:rsidRPr="004817A1" w:rsidRDefault="00A71156" w:rsidP="00A71156">
      <w:pPr>
        <w:tabs>
          <w:tab w:val="left" w:pos="142"/>
        </w:tabs>
        <w:ind w:left="284"/>
        <w:rPr>
          <w:rFonts w:cs="Arial"/>
          <w:szCs w:val="24"/>
          <w:lang w:val="es-ES" w:eastAsia="es-ES"/>
        </w:rPr>
      </w:pPr>
      <w:r w:rsidRPr="004817A1">
        <w:rPr>
          <w:rFonts w:cs="Arial"/>
          <w:i/>
          <w:szCs w:val="24"/>
          <w:lang w:val="es-ES" w:eastAsia="es-ES"/>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63DCB6D2" w14:textId="77777777" w:rsidR="00A71156" w:rsidRPr="004817A1" w:rsidRDefault="00A71156" w:rsidP="00A71156">
      <w:pPr>
        <w:tabs>
          <w:tab w:val="left" w:pos="142"/>
        </w:tabs>
        <w:rPr>
          <w:rFonts w:cs="Arial"/>
          <w:szCs w:val="24"/>
          <w:lang w:val="es-ES" w:eastAsia="es-ES"/>
        </w:rPr>
      </w:pPr>
    </w:p>
    <w:p w14:paraId="255E8376"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CERTIFICADOS</w:t>
      </w:r>
    </w:p>
    <w:p w14:paraId="35E6124C" w14:textId="77777777" w:rsidR="00A71156" w:rsidRPr="004817A1" w:rsidRDefault="00A71156" w:rsidP="00A71156">
      <w:pPr>
        <w:tabs>
          <w:tab w:val="left" w:pos="142"/>
        </w:tabs>
        <w:rPr>
          <w:rFonts w:cs="Arial"/>
          <w:b/>
          <w:szCs w:val="24"/>
          <w:lang w:val="es-ES" w:eastAsia="es-ES"/>
        </w:rPr>
      </w:pPr>
    </w:p>
    <w:p w14:paraId="5658AB93"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22BB088F" w14:textId="77777777" w:rsidR="00A71156" w:rsidRPr="004817A1" w:rsidRDefault="00A71156" w:rsidP="00A71156">
      <w:pPr>
        <w:tabs>
          <w:tab w:val="left" w:pos="142"/>
        </w:tabs>
        <w:rPr>
          <w:rFonts w:cs="Arial"/>
          <w:szCs w:val="24"/>
          <w:lang w:val="es-ES" w:eastAsia="es-ES"/>
        </w:rPr>
      </w:pPr>
    </w:p>
    <w:p w14:paraId="7C442DD6"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1.- Nombre y marca del producto y del manufacturero.</w:t>
      </w:r>
    </w:p>
    <w:p w14:paraId="5E9F6D6A"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2.- Descripción de propiedades químicas y físicas del material y nombre del laboratorio o autoridad donde se obtuvo el dato.</w:t>
      </w:r>
    </w:p>
    <w:p w14:paraId="25357352"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3.- Fecha de la prueba. Si la declaración es original del manufacturero, El CONTRATISTA endosará a su nombre todo reclamo y someterá la declaración bajo su propio nombre.</w:t>
      </w:r>
    </w:p>
    <w:p w14:paraId="0E95D547" w14:textId="77777777" w:rsidR="00A71156" w:rsidRPr="004817A1" w:rsidRDefault="00A71156" w:rsidP="00A71156">
      <w:pPr>
        <w:tabs>
          <w:tab w:val="left" w:pos="142"/>
        </w:tabs>
        <w:rPr>
          <w:rFonts w:cs="Arial"/>
          <w:szCs w:val="24"/>
          <w:lang w:val="es-ES" w:eastAsia="es-ES"/>
        </w:rPr>
      </w:pPr>
    </w:p>
    <w:p w14:paraId="2523B905"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APROBACIÓN DE MATERIALES</w:t>
      </w:r>
    </w:p>
    <w:p w14:paraId="667DBF71" w14:textId="77777777" w:rsidR="00A71156" w:rsidRPr="004817A1" w:rsidRDefault="00A71156" w:rsidP="00A71156">
      <w:pPr>
        <w:tabs>
          <w:tab w:val="left" w:pos="142"/>
        </w:tabs>
        <w:rPr>
          <w:rFonts w:cs="Arial"/>
          <w:b/>
          <w:szCs w:val="24"/>
          <w:lang w:val="es-ES" w:eastAsia="es-ES"/>
        </w:rPr>
      </w:pPr>
    </w:p>
    <w:p w14:paraId="01264EF6"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35AFDEFA" w14:textId="77777777" w:rsidR="00A71156" w:rsidRPr="004817A1" w:rsidRDefault="00A71156" w:rsidP="00A71156">
      <w:pPr>
        <w:tabs>
          <w:tab w:val="left" w:pos="142"/>
        </w:tabs>
        <w:rPr>
          <w:rFonts w:cs="Arial"/>
          <w:szCs w:val="24"/>
          <w:lang w:val="es-ES" w:eastAsia="es-ES"/>
        </w:rPr>
      </w:pPr>
    </w:p>
    <w:p w14:paraId="3709EBB9"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La aprobación de cualquier material o producto no constituirá renuncia del derecho del INSPECTOR para demandar el completo incumplimiento de los requisitos del Contrato.  </w:t>
      </w:r>
    </w:p>
    <w:p w14:paraId="12A4E16A" w14:textId="77777777" w:rsidR="00A71156" w:rsidRPr="004817A1" w:rsidRDefault="00A71156" w:rsidP="00A71156">
      <w:pPr>
        <w:tabs>
          <w:tab w:val="left" w:pos="142"/>
        </w:tabs>
        <w:rPr>
          <w:rFonts w:cs="Arial"/>
          <w:szCs w:val="24"/>
          <w:lang w:val="es-ES" w:eastAsia="es-ES"/>
        </w:rPr>
      </w:pPr>
    </w:p>
    <w:p w14:paraId="5A6864BE"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71EDA091" w14:textId="77777777" w:rsidR="00A71156" w:rsidRPr="004817A1" w:rsidRDefault="00A71156" w:rsidP="00A71156">
      <w:pPr>
        <w:tabs>
          <w:tab w:val="left" w:pos="142"/>
        </w:tabs>
        <w:rPr>
          <w:rFonts w:cs="Arial"/>
          <w:szCs w:val="24"/>
          <w:lang w:val="es-ES" w:eastAsia="es-ES"/>
        </w:rPr>
      </w:pPr>
    </w:p>
    <w:p w14:paraId="4435C8D2"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lastRenderedPageBreak/>
        <w:t xml:space="preserve"> RECHAZO DE MATERIALES</w:t>
      </w:r>
    </w:p>
    <w:p w14:paraId="5E65FABA" w14:textId="77777777" w:rsidR="00A71156" w:rsidRPr="004817A1" w:rsidRDefault="00A71156" w:rsidP="00A71156">
      <w:pPr>
        <w:tabs>
          <w:tab w:val="left" w:pos="142"/>
        </w:tabs>
        <w:rPr>
          <w:rFonts w:cs="Arial"/>
          <w:szCs w:val="24"/>
          <w:lang w:val="es-ES" w:eastAsia="es-ES"/>
        </w:rPr>
      </w:pPr>
    </w:p>
    <w:p w14:paraId="095094A1"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73629CE8" w14:textId="77777777" w:rsidR="00A71156" w:rsidRPr="004817A1" w:rsidRDefault="00A71156" w:rsidP="00A71156">
      <w:pPr>
        <w:tabs>
          <w:tab w:val="left" w:pos="142"/>
        </w:tabs>
        <w:rPr>
          <w:rFonts w:cs="Arial"/>
          <w:szCs w:val="24"/>
          <w:lang w:val="es-ES" w:eastAsia="es-ES"/>
        </w:rPr>
      </w:pPr>
    </w:p>
    <w:p w14:paraId="292A67DE"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5ADF8597" w14:textId="77777777" w:rsidR="00A71156" w:rsidRPr="004817A1" w:rsidRDefault="00A71156" w:rsidP="00A71156">
      <w:pPr>
        <w:tabs>
          <w:tab w:val="left" w:pos="142"/>
        </w:tabs>
        <w:ind w:left="720"/>
        <w:contextualSpacing/>
        <w:rPr>
          <w:rFonts w:cs="Arial"/>
          <w:b/>
          <w:szCs w:val="24"/>
          <w:lang w:val="es-ES" w:eastAsia="es-ES"/>
        </w:rPr>
      </w:pPr>
    </w:p>
    <w:p w14:paraId="4C14D8CE"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FORMA PARA PRESENTAR MUESTRAS</w:t>
      </w:r>
    </w:p>
    <w:p w14:paraId="56CE46B4" w14:textId="77777777" w:rsidR="00A71156" w:rsidRPr="004817A1" w:rsidRDefault="00A71156" w:rsidP="00A71156">
      <w:pPr>
        <w:tabs>
          <w:tab w:val="left" w:pos="142"/>
        </w:tabs>
        <w:ind w:left="720"/>
        <w:contextualSpacing/>
        <w:rPr>
          <w:rFonts w:cs="Arial"/>
          <w:b/>
          <w:szCs w:val="24"/>
          <w:lang w:val="es-ES" w:eastAsia="es-ES"/>
        </w:rPr>
      </w:pPr>
    </w:p>
    <w:p w14:paraId="427B487F" w14:textId="77777777" w:rsidR="00A71156" w:rsidRPr="004817A1" w:rsidRDefault="00A71156" w:rsidP="00A71156">
      <w:pPr>
        <w:tabs>
          <w:tab w:val="left" w:pos="142"/>
        </w:tabs>
        <w:contextualSpacing/>
        <w:rPr>
          <w:rFonts w:cs="Arial"/>
          <w:szCs w:val="24"/>
          <w:lang w:val="es-ES" w:eastAsia="es-ES"/>
        </w:rPr>
      </w:pPr>
      <w:r w:rsidRPr="004817A1">
        <w:rPr>
          <w:rFonts w:cs="Arial"/>
          <w:i/>
          <w:szCs w:val="24"/>
          <w:lang w:val="es-ES" w:eastAsia="es-ES"/>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0E991990" w14:textId="77777777" w:rsidR="00A71156" w:rsidRPr="004817A1" w:rsidRDefault="00A71156" w:rsidP="00A71156">
      <w:pPr>
        <w:tabs>
          <w:tab w:val="left" w:pos="142"/>
        </w:tabs>
        <w:contextualSpacing/>
        <w:rPr>
          <w:rFonts w:cs="Arial"/>
          <w:b/>
          <w:szCs w:val="24"/>
          <w:lang w:val="es-ES" w:eastAsia="es-ES"/>
        </w:rPr>
      </w:pPr>
    </w:p>
    <w:p w14:paraId="22767298" w14:textId="77777777" w:rsidR="00A71156" w:rsidRPr="004817A1" w:rsidRDefault="00A71156" w:rsidP="00A71156">
      <w:pPr>
        <w:tabs>
          <w:tab w:val="left" w:pos="142"/>
        </w:tabs>
        <w:contextualSpacing/>
        <w:rPr>
          <w:rFonts w:cs="Arial"/>
          <w:b/>
          <w:szCs w:val="24"/>
          <w:lang w:val="es-ES" w:eastAsia="es-ES"/>
        </w:rPr>
      </w:pPr>
    </w:p>
    <w:p w14:paraId="3516FD6C"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CAMBIO EN LAS ESPECIFICACIONES</w:t>
      </w:r>
    </w:p>
    <w:p w14:paraId="4E04E7A8" w14:textId="77777777" w:rsidR="00A71156" w:rsidRPr="004817A1" w:rsidRDefault="00A71156" w:rsidP="00A71156">
      <w:pPr>
        <w:tabs>
          <w:tab w:val="left" w:pos="142"/>
        </w:tabs>
        <w:ind w:left="720"/>
        <w:contextualSpacing/>
        <w:rPr>
          <w:rFonts w:cs="Arial"/>
          <w:szCs w:val="24"/>
          <w:lang w:val="es-ES" w:eastAsia="es-ES"/>
        </w:rPr>
      </w:pPr>
    </w:p>
    <w:p w14:paraId="2D38068D" w14:textId="77777777" w:rsidR="00A71156" w:rsidRPr="004817A1" w:rsidRDefault="00A71156" w:rsidP="00A71156">
      <w:pPr>
        <w:rPr>
          <w:rFonts w:cs="Arial"/>
          <w:szCs w:val="24"/>
          <w:lang w:val="es-ES" w:eastAsia="es-ES"/>
        </w:rPr>
      </w:pPr>
      <w:r w:rsidRPr="004817A1">
        <w:rPr>
          <w:rFonts w:cs="Arial"/>
          <w:i/>
          <w:szCs w:val="24"/>
          <w:lang w:val="es-ES" w:eastAsia="es-ES"/>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596025FD" w14:textId="77777777" w:rsidR="00A71156" w:rsidRPr="004817A1" w:rsidRDefault="00A71156" w:rsidP="00A71156">
      <w:pPr>
        <w:tabs>
          <w:tab w:val="left" w:pos="142"/>
        </w:tabs>
        <w:ind w:left="720"/>
        <w:contextualSpacing/>
        <w:rPr>
          <w:rFonts w:cs="Arial"/>
          <w:b/>
          <w:szCs w:val="24"/>
          <w:lang w:val="es-ES" w:eastAsia="es-ES"/>
        </w:rPr>
      </w:pPr>
    </w:p>
    <w:p w14:paraId="589E41C9" w14:textId="77777777" w:rsidR="00A71156" w:rsidRPr="004817A1" w:rsidRDefault="00A71156" w:rsidP="00A71156">
      <w:pPr>
        <w:tabs>
          <w:tab w:val="left" w:pos="142"/>
        </w:tabs>
        <w:ind w:left="720"/>
        <w:contextualSpacing/>
        <w:rPr>
          <w:rFonts w:cs="Arial"/>
          <w:b/>
          <w:szCs w:val="24"/>
          <w:lang w:val="es-ES" w:eastAsia="es-ES"/>
        </w:rPr>
      </w:pPr>
    </w:p>
    <w:p w14:paraId="4A4EA4EB" w14:textId="77777777" w:rsidR="00A71156" w:rsidRPr="004817A1" w:rsidRDefault="00A71156" w:rsidP="003B68DB">
      <w:pPr>
        <w:numPr>
          <w:ilvl w:val="1"/>
          <w:numId w:val="127"/>
        </w:numPr>
        <w:tabs>
          <w:tab w:val="left" w:pos="142"/>
        </w:tabs>
        <w:contextualSpacing/>
        <w:rPr>
          <w:rFonts w:cs="Arial"/>
          <w:b/>
          <w:szCs w:val="24"/>
          <w:lang w:val="es-ES" w:eastAsia="es-ES"/>
        </w:rPr>
      </w:pPr>
      <w:r w:rsidRPr="004817A1">
        <w:rPr>
          <w:rFonts w:cs="Arial"/>
          <w:b/>
          <w:i/>
          <w:szCs w:val="24"/>
          <w:lang w:val="es-ES" w:eastAsia="es-ES"/>
        </w:rPr>
        <w:t xml:space="preserve"> MATERIALES NO ESPECIFICADOS POR MARCA O SIMILITUD</w:t>
      </w:r>
    </w:p>
    <w:p w14:paraId="4619B099" w14:textId="77777777" w:rsidR="00A71156" w:rsidRPr="004817A1" w:rsidRDefault="00A71156" w:rsidP="00A71156">
      <w:pPr>
        <w:tabs>
          <w:tab w:val="left" w:pos="142"/>
        </w:tabs>
        <w:ind w:left="720"/>
        <w:contextualSpacing/>
        <w:rPr>
          <w:rFonts w:cs="Arial"/>
          <w:szCs w:val="24"/>
          <w:lang w:val="es-ES" w:eastAsia="es-ES"/>
        </w:rPr>
      </w:pPr>
    </w:p>
    <w:p w14:paraId="6298C6A1" w14:textId="77777777" w:rsidR="00A71156" w:rsidRPr="004817A1" w:rsidRDefault="00A71156" w:rsidP="00A71156">
      <w:pPr>
        <w:rPr>
          <w:rFonts w:cs="Arial"/>
          <w:szCs w:val="24"/>
          <w:lang w:val="es-ES" w:eastAsia="es-ES"/>
        </w:rPr>
      </w:pPr>
      <w:r w:rsidRPr="004817A1">
        <w:rPr>
          <w:rFonts w:cs="Arial"/>
          <w:i/>
          <w:szCs w:val="24"/>
          <w:lang w:val="es-ES" w:eastAsia="es-ES"/>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1A0901A8" w14:textId="77777777" w:rsidR="00A71156" w:rsidRPr="004817A1" w:rsidRDefault="00A71156" w:rsidP="00A71156">
      <w:pPr>
        <w:rPr>
          <w:rFonts w:cs="Arial"/>
          <w:szCs w:val="24"/>
          <w:lang w:val="es-ES" w:eastAsia="es-ES"/>
        </w:rPr>
      </w:pPr>
    </w:p>
    <w:p w14:paraId="66914479" w14:textId="77777777" w:rsidR="00A71156" w:rsidRPr="004817A1" w:rsidRDefault="00A71156" w:rsidP="003B68DB">
      <w:pPr>
        <w:numPr>
          <w:ilvl w:val="1"/>
          <w:numId w:val="127"/>
        </w:numPr>
        <w:contextualSpacing/>
        <w:rPr>
          <w:rFonts w:cs="Arial"/>
          <w:b/>
          <w:szCs w:val="24"/>
          <w:lang w:val="es-ES" w:eastAsia="es-ES"/>
        </w:rPr>
      </w:pPr>
      <w:r w:rsidRPr="004817A1">
        <w:rPr>
          <w:rFonts w:cs="Arial"/>
          <w:b/>
          <w:i/>
          <w:szCs w:val="24"/>
          <w:lang w:val="es-ES" w:eastAsia="es-ES"/>
        </w:rPr>
        <w:t xml:space="preserve"> MATERIALES ESPECIFICADOS PO MARCA O SIMILITUD</w:t>
      </w:r>
    </w:p>
    <w:p w14:paraId="6DFCC9DE" w14:textId="77777777" w:rsidR="00A71156" w:rsidRPr="004817A1" w:rsidRDefault="00A71156" w:rsidP="00A71156">
      <w:pPr>
        <w:tabs>
          <w:tab w:val="left" w:pos="142"/>
        </w:tabs>
        <w:ind w:left="720"/>
        <w:contextualSpacing/>
        <w:rPr>
          <w:rFonts w:cs="Arial"/>
          <w:b/>
          <w:szCs w:val="24"/>
          <w:lang w:val="es-ES" w:eastAsia="es-ES"/>
        </w:rPr>
      </w:pPr>
    </w:p>
    <w:p w14:paraId="15D949C7" w14:textId="77777777" w:rsidR="00A71156" w:rsidRDefault="00A71156" w:rsidP="00A71156">
      <w:pPr>
        <w:tabs>
          <w:tab w:val="left" w:pos="142"/>
        </w:tabs>
        <w:contextualSpacing/>
        <w:rPr>
          <w:rFonts w:cs="Arial"/>
          <w:i/>
          <w:szCs w:val="24"/>
          <w:lang w:val="es-ES" w:eastAsia="es-ES"/>
        </w:rPr>
      </w:pPr>
      <w:r w:rsidRPr="004817A1">
        <w:rPr>
          <w:rFonts w:cs="Arial"/>
          <w:i/>
          <w:szCs w:val="24"/>
          <w:lang w:val="es-ES" w:eastAsia="es-ES"/>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4BF02225" w14:textId="77777777" w:rsidR="00A71156" w:rsidRDefault="00A71156" w:rsidP="00A71156">
      <w:pPr>
        <w:rPr>
          <w:rFonts w:cs="Arial"/>
          <w:i/>
          <w:szCs w:val="24"/>
          <w:lang w:val="es-ES" w:eastAsia="es-ES"/>
        </w:rPr>
      </w:pPr>
      <w:r>
        <w:rPr>
          <w:rFonts w:cs="Arial"/>
          <w:i/>
          <w:szCs w:val="24"/>
          <w:lang w:val="es-ES" w:eastAsia="es-ES"/>
        </w:rPr>
        <w:br w:type="page"/>
      </w:r>
    </w:p>
    <w:p w14:paraId="565AD0E3" w14:textId="77777777" w:rsidR="00A71156" w:rsidRPr="004817A1" w:rsidRDefault="00A71156" w:rsidP="00A71156">
      <w:pPr>
        <w:tabs>
          <w:tab w:val="left" w:pos="142"/>
        </w:tabs>
        <w:contextualSpacing/>
        <w:rPr>
          <w:rFonts w:cs="Arial"/>
          <w:szCs w:val="24"/>
          <w:lang w:val="es-ES" w:eastAsia="es-ES"/>
        </w:rPr>
      </w:pPr>
    </w:p>
    <w:p w14:paraId="750C806F" w14:textId="77777777" w:rsidR="00A71156" w:rsidRPr="004817A1" w:rsidRDefault="00A71156" w:rsidP="00A71156">
      <w:pPr>
        <w:tabs>
          <w:tab w:val="left" w:pos="142"/>
        </w:tabs>
        <w:rPr>
          <w:rFonts w:cs="Arial"/>
          <w:szCs w:val="24"/>
          <w:lang w:val="es-ES" w:eastAsia="es-ES"/>
        </w:rPr>
      </w:pPr>
    </w:p>
    <w:p w14:paraId="7BA818B5" w14:textId="77777777" w:rsidR="00A71156" w:rsidRPr="004817A1" w:rsidRDefault="00A71156" w:rsidP="003B68DB">
      <w:pPr>
        <w:numPr>
          <w:ilvl w:val="0"/>
          <w:numId w:val="143"/>
        </w:numPr>
        <w:contextualSpacing/>
        <w:jc w:val="center"/>
        <w:rPr>
          <w:rFonts w:cs="Arial"/>
          <w:b/>
          <w:bCs/>
          <w:i/>
          <w:iCs/>
          <w:sz w:val="28"/>
          <w:szCs w:val="24"/>
          <w:lang w:val="es-ES" w:eastAsia="es-ES"/>
        </w:rPr>
      </w:pPr>
      <w:r w:rsidRPr="004817A1">
        <w:rPr>
          <w:rFonts w:cs="Arial"/>
          <w:b/>
          <w:bCs/>
          <w:i/>
          <w:iCs/>
          <w:sz w:val="28"/>
          <w:szCs w:val="24"/>
          <w:lang w:val="es-ES" w:eastAsia="es-ES"/>
        </w:rPr>
        <w:t>ESPECIFICACIONES TÉCNICAS GENERALES PARA LA CONSTRUCCIÓN DE LETRINAS</w:t>
      </w:r>
    </w:p>
    <w:p w14:paraId="7AC8D7A7" w14:textId="77777777" w:rsidR="00A71156" w:rsidRPr="004817A1" w:rsidRDefault="00A71156" w:rsidP="00A71156">
      <w:pPr>
        <w:tabs>
          <w:tab w:val="left" w:pos="142"/>
        </w:tabs>
        <w:ind w:left="-567"/>
        <w:rPr>
          <w:rFonts w:cs="Arial"/>
          <w:b/>
          <w:szCs w:val="24"/>
          <w:lang w:val="es-ES" w:eastAsia="es-ES"/>
        </w:rPr>
      </w:pPr>
    </w:p>
    <w:p w14:paraId="06062446" w14:textId="77777777" w:rsidR="00A71156" w:rsidRPr="004817A1" w:rsidRDefault="00A71156" w:rsidP="003B68DB">
      <w:pPr>
        <w:keepNext/>
        <w:numPr>
          <w:ilvl w:val="0"/>
          <w:numId w:val="127"/>
        </w:numPr>
        <w:tabs>
          <w:tab w:val="left" w:pos="142"/>
        </w:tabs>
        <w:ind w:left="720" w:right="-516"/>
        <w:contextualSpacing/>
        <w:outlineLvl w:val="1"/>
        <w:rPr>
          <w:rFonts w:cs="Arial"/>
          <w:b/>
          <w:bCs/>
          <w:i/>
          <w:iCs/>
          <w:vanish/>
          <w:szCs w:val="24"/>
          <w:lang w:val="es-ES" w:eastAsia="es-ES"/>
        </w:rPr>
      </w:pPr>
      <w:bookmarkStart w:id="421" w:name="_Toc496114428"/>
    </w:p>
    <w:p w14:paraId="34AA359F" w14:textId="77777777" w:rsidR="00A71156" w:rsidRPr="004817A1" w:rsidRDefault="00A71156" w:rsidP="003B68DB">
      <w:pPr>
        <w:keepNext/>
        <w:numPr>
          <w:ilvl w:val="1"/>
          <w:numId w:val="127"/>
        </w:numPr>
        <w:tabs>
          <w:tab w:val="left" w:pos="142"/>
        </w:tabs>
        <w:ind w:left="360" w:right="-516"/>
        <w:contextualSpacing/>
        <w:outlineLvl w:val="1"/>
        <w:rPr>
          <w:rFonts w:cs="Arial"/>
          <w:b/>
          <w:bCs/>
          <w:iCs/>
          <w:szCs w:val="24"/>
          <w:lang w:val="es-ES" w:eastAsia="es-ES"/>
        </w:rPr>
      </w:pPr>
      <w:r w:rsidRPr="004817A1">
        <w:rPr>
          <w:rFonts w:cs="Arial"/>
          <w:b/>
          <w:bCs/>
          <w:i/>
          <w:iCs/>
          <w:szCs w:val="24"/>
          <w:lang w:val="es-ES" w:eastAsia="es-ES"/>
        </w:rPr>
        <w:t>LOCALIZACIÓN DE SITIOS DONDE SE CONSTRUIRÁN LAS LETRINAS</w:t>
      </w:r>
    </w:p>
    <w:p w14:paraId="00D7E457" w14:textId="77777777" w:rsidR="00A71156" w:rsidRPr="004817A1" w:rsidRDefault="00A71156" w:rsidP="00A71156">
      <w:pPr>
        <w:tabs>
          <w:tab w:val="left" w:pos="142"/>
        </w:tabs>
        <w:ind w:left="-567"/>
        <w:rPr>
          <w:rFonts w:cs="Arial"/>
          <w:szCs w:val="24"/>
          <w:lang w:val="es-ES" w:eastAsia="es-NI"/>
        </w:rPr>
      </w:pPr>
    </w:p>
    <w:p w14:paraId="755F8D55"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Estas obras se realizarán en los predios de cada una de las viviendas que integran el proyecto y para lo cual se deberán tomas los aspectos generales siguientes:</w:t>
      </w:r>
    </w:p>
    <w:p w14:paraId="6DBDEAC4" w14:textId="77777777" w:rsidR="00A71156" w:rsidRPr="004817A1" w:rsidRDefault="00A71156" w:rsidP="00A71156">
      <w:pPr>
        <w:tabs>
          <w:tab w:val="left" w:pos="142"/>
        </w:tabs>
        <w:autoSpaceDE w:val="0"/>
        <w:autoSpaceDN w:val="0"/>
        <w:adjustRightInd w:val="0"/>
        <w:rPr>
          <w:rFonts w:cs="Arial"/>
          <w:szCs w:val="24"/>
          <w:lang w:val="es-NI" w:eastAsia="es-NI"/>
        </w:rPr>
      </w:pPr>
    </w:p>
    <w:p w14:paraId="29E4545F"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Localización y ubicación del terreno, el cual debe tener las condiciones de permanecer seco y/o libres de inundaciones.</w:t>
      </w:r>
    </w:p>
    <w:p w14:paraId="37857B08"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En terrenos con pendientes altas la letrina se localizará en las partes más bajas.</w:t>
      </w:r>
    </w:p>
    <w:p w14:paraId="16CDB66E"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La distancia mínima entre la letrina y cualquier fuente de abastecimiento de agua, será de 20.00 m., o fuera del predio donde se construirá.</w:t>
      </w:r>
    </w:p>
    <w:p w14:paraId="6CDC493D"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La distancia mínima vertical entre el fondo de la fosa y el nivel freático será de 3.00 m.</w:t>
      </w:r>
    </w:p>
    <w:p w14:paraId="59F29A9A"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La distancia entre la casa y la letrina será de 5.00 m como mínimo.</w:t>
      </w:r>
    </w:p>
    <w:p w14:paraId="4B21E015"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Deberá considerarse la dirección del viento al ubicar la letrina a sotavento de la vivienda.</w:t>
      </w:r>
    </w:p>
    <w:p w14:paraId="6D9E732C" w14:textId="77777777" w:rsidR="00A71156" w:rsidRPr="004817A1" w:rsidRDefault="00A71156" w:rsidP="003B68DB">
      <w:pPr>
        <w:numPr>
          <w:ilvl w:val="0"/>
          <w:numId w:val="129"/>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En terrenos inestables, para evitar derrumbes durante la excavación, será necesario ademar las paredes de la fosa con material local.</w:t>
      </w:r>
    </w:p>
    <w:p w14:paraId="72B54E40" w14:textId="77777777" w:rsidR="00A71156" w:rsidRPr="004817A1" w:rsidRDefault="00A71156" w:rsidP="00A71156">
      <w:pPr>
        <w:tabs>
          <w:tab w:val="left" w:pos="142"/>
        </w:tabs>
        <w:autoSpaceDE w:val="0"/>
        <w:autoSpaceDN w:val="0"/>
        <w:adjustRightInd w:val="0"/>
        <w:ind w:left="-567"/>
        <w:rPr>
          <w:rFonts w:cs="Arial"/>
          <w:szCs w:val="24"/>
          <w:lang w:val="es-NI" w:eastAsia="es-NI"/>
        </w:rPr>
      </w:pPr>
    </w:p>
    <w:p w14:paraId="3087E36A"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MATERIALES</w:t>
      </w:r>
    </w:p>
    <w:p w14:paraId="682C1E37" w14:textId="77777777" w:rsidR="00A71156" w:rsidRPr="004817A1" w:rsidRDefault="00A71156" w:rsidP="00A71156">
      <w:pPr>
        <w:keepNext/>
        <w:tabs>
          <w:tab w:val="left" w:pos="142"/>
        </w:tabs>
        <w:ind w:right="-516"/>
        <w:contextualSpacing/>
        <w:outlineLvl w:val="1"/>
        <w:rPr>
          <w:rFonts w:cs="Arial"/>
          <w:b/>
          <w:bCs/>
          <w:iCs/>
          <w:szCs w:val="24"/>
          <w:lang w:val="es-ES" w:eastAsia="es-ES"/>
        </w:rPr>
      </w:pPr>
    </w:p>
    <w:p w14:paraId="7F901378" w14:textId="77777777" w:rsidR="00A71156" w:rsidRPr="004817A1" w:rsidRDefault="00A71156" w:rsidP="00A71156">
      <w:pPr>
        <w:keepNext/>
        <w:tabs>
          <w:tab w:val="left" w:pos="142"/>
        </w:tabs>
        <w:ind w:right="-516"/>
        <w:contextualSpacing/>
        <w:outlineLvl w:val="1"/>
        <w:rPr>
          <w:rFonts w:cs="Arial"/>
          <w:b/>
          <w:bCs/>
          <w:iCs/>
          <w:szCs w:val="24"/>
          <w:lang w:val="es-ES" w:eastAsia="es-ES"/>
        </w:rPr>
      </w:pPr>
    </w:p>
    <w:p w14:paraId="5547ED96" w14:textId="77777777" w:rsidR="00A71156" w:rsidRPr="004817A1" w:rsidRDefault="00A71156" w:rsidP="003B68DB">
      <w:pPr>
        <w:keepNext/>
        <w:numPr>
          <w:ilvl w:val="0"/>
          <w:numId w:val="132"/>
        </w:numPr>
        <w:tabs>
          <w:tab w:val="left" w:pos="142"/>
        </w:tabs>
        <w:ind w:right="-516"/>
        <w:contextualSpacing/>
        <w:outlineLvl w:val="1"/>
        <w:rPr>
          <w:rFonts w:cs="Arial"/>
          <w:b/>
          <w:bCs/>
          <w:iCs/>
          <w:szCs w:val="24"/>
          <w:lang w:val="es-ES" w:eastAsia="es-ES"/>
        </w:rPr>
      </w:pPr>
      <w:r w:rsidRPr="004817A1">
        <w:rPr>
          <w:rFonts w:cs="Arial"/>
          <w:i/>
          <w:szCs w:val="24"/>
          <w:lang w:val="es-NI" w:eastAsia="es-NI"/>
        </w:rPr>
        <w:t>El forro de las paredes de la opción básica será zinc liso calibre 28 standard, fijado con tornillos golosos de buena calidad, cabeza plana ranurada.</w:t>
      </w:r>
    </w:p>
    <w:p w14:paraId="43726B3C" w14:textId="77777777" w:rsidR="00A71156" w:rsidRPr="004817A1" w:rsidRDefault="00A71156" w:rsidP="00A71156">
      <w:pPr>
        <w:tabs>
          <w:tab w:val="left" w:pos="142"/>
        </w:tabs>
        <w:autoSpaceDE w:val="0"/>
        <w:autoSpaceDN w:val="0"/>
        <w:adjustRightInd w:val="0"/>
        <w:rPr>
          <w:rFonts w:cs="Arial"/>
          <w:szCs w:val="24"/>
          <w:lang w:val="es-NI" w:eastAsia="es-NI"/>
        </w:rPr>
      </w:pPr>
    </w:p>
    <w:p w14:paraId="1788AB2D" w14:textId="77777777" w:rsidR="00A71156" w:rsidRPr="004817A1" w:rsidRDefault="00A71156" w:rsidP="003B68DB">
      <w:pPr>
        <w:numPr>
          <w:ilvl w:val="0"/>
          <w:numId w:val="132"/>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Para la cubierta de techo será zinc corrugado calibre 28 standard, fijado con tornillo goloso para zinc con arandela de neopreno.</w:t>
      </w:r>
    </w:p>
    <w:p w14:paraId="711B90AC" w14:textId="77777777" w:rsidR="00A71156" w:rsidRPr="004817A1" w:rsidRDefault="00A71156" w:rsidP="00A71156">
      <w:pPr>
        <w:tabs>
          <w:tab w:val="left" w:pos="142"/>
        </w:tabs>
        <w:autoSpaceDE w:val="0"/>
        <w:autoSpaceDN w:val="0"/>
        <w:adjustRightInd w:val="0"/>
        <w:rPr>
          <w:rFonts w:cs="Arial"/>
          <w:szCs w:val="24"/>
          <w:lang w:val="es-NI" w:eastAsia="es-NI"/>
        </w:rPr>
      </w:pPr>
    </w:p>
    <w:p w14:paraId="498A0095" w14:textId="77777777" w:rsidR="00A71156" w:rsidRPr="004817A1" w:rsidRDefault="00A71156" w:rsidP="003B68DB">
      <w:pPr>
        <w:numPr>
          <w:ilvl w:val="0"/>
          <w:numId w:val="132"/>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Las estructuras de las casetas y la estructura del techo serán de acuerdo a dimensiones reflejadas en planos.</w:t>
      </w:r>
    </w:p>
    <w:p w14:paraId="4E4535C3" w14:textId="77777777" w:rsidR="00A71156" w:rsidRPr="004817A1" w:rsidRDefault="00A71156" w:rsidP="00A71156">
      <w:pPr>
        <w:tabs>
          <w:tab w:val="left" w:pos="142"/>
        </w:tabs>
        <w:autoSpaceDE w:val="0"/>
        <w:autoSpaceDN w:val="0"/>
        <w:adjustRightInd w:val="0"/>
        <w:rPr>
          <w:rFonts w:cs="Arial"/>
          <w:szCs w:val="24"/>
          <w:lang w:val="es-NI" w:eastAsia="es-NI"/>
        </w:rPr>
      </w:pPr>
    </w:p>
    <w:p w14:paraId="502C4751" w14:textId="77777777" w:rsidR="00A71156" w:rsidRPr="004817A1" w:rsidRDefault="00A71156" w:rsidP="003B68DB">
      <w:pPr>
        <w:numPr>
          <w:ilvl w:val="0"/>
          <w:numId w:val="132"/>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4DB8C139" w14:textId="77777777" w:rsidR="00A71156" w:rsidRPr="004817A1" w:rsidRDefault="00A71156" w:rsidP="00A71156">
      <w:pPr>
        <w:tabs>
          <w:tab w:val="left" w:pos="142"/>
        </w:tabs>
        <w:autoSpaceDE w:val="0"/>
        <w:autoSpaceDN w:val="0"/>
        <w:adjustRightInd w:val="0"/>
        <w:rPr>
          <w:rFonts w:cs="Arial"/>
          <w:szCs w:val="24"/>
          <w:lang w:val="es-NI" w:eastAsia="es-NI"/>
        </w:rPr>
      </w:pPr>
    </w:p>
    <w:p w14:paraId="43D97688" w14:textId="77777777" w:rsidR="00A71156" w:rsidRPr="004817A1" w:rsidRDefault="00A71156" w:rsidP="003B68DB">
      <w:pPr>
        <w:numPr>
          <w:ilvl w:val="0"/>
          <w:numId w:val="132"/>
        </w:numPr>
        <w:contextualSpacing/>
        <w:rPr>
          <w:rFonts w:cs="Arial"/>
          <w:szCs w:val="24"/>
          <w:lang w:val="es-NI" w:eastAsia="es-NI"/>
        </w:rPr>
      </w:pPr>
      <w:r w:rsidRPr="004817A1">
        <w:rPr>
          <w:rFonts w:cs="Arial"/>
          <w:i/>
          <w:szCs w:val="24"/>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08A51C8C" w14:textId="77777777" w:rsidR="00A71156" w:rsidRPr="004817A1" w:rsidRDefault="00A71156" w:rsidP="00A71156">
      <w:pPr>
        <w:tabs>
          <w:tab w:val="left" w:pos="142"/>
        </w:tabs>
        <w:autoSpaceDE w:val="0"/>
        <w:autoSpaceDN w:val="0"/>
        <w:adjustRightInd w:val="0"/>
        <w:rPr>
          <w:rFonts w:cs="Arial"/>
          <w:szCs w:val="24"/>
          <w:lang w:val="es-NI" w:eastAsia="es-NI"/>
        </w:rPr>
      </w:pPr>
    </w:p>
    <w:p w14:paraId="4144D1DE" w14:textId="77777777" w:rsidR="00A71156" w:rsidRPr="004817A1" w:rsidRDefault="00A71156" w:rsidP="003B68DB">
      <w:pPr>
        <w:numPr>
          <w:ilvl w:val="0"/>
          <w:numId w:val="132"/>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lastRenderedPageBreak/>
        <w:t>No se permitirán bloques quebrados ni de medidas diferentes excepto previa autorización de El Supervisor.</w:t>
      </w:r>
    </w:p>
    <w:p w14:paraId="08341588" w14:textId="77777777" w:rsidR="00A71156" w:rsidRPr="004817A1" w:rsidRDefault="00A71156" w:rsidP="00A71156">
      <w:pPr>
        <w:tabs>
          <w:tab w:val="left" w:pos="142"/>
        </w:tabs>
        <w:autoSpaceDE w:val="0"/>
        <w:autoSpaceDN w:val="0"/>
        <w:adjustRightInd w:val="0"/>
        <w:rPr>
          <w:rFonts w:cs="Arial"/>
          <w:szCs w:val="24"/>
          <w:lang w:val="es-NI" w:eastAsia="es-NI"/>
        </w:rPr>
      </w:pPr>
    </w:p>
    <w:p w14:paraId="512ABAC0" w14:textId="77777777" w:rsidR="00A71156" w:rsidRPr="004817A1" w:rsidRDefault="00A71156" w:rsidP="003B68DB">
      <w:pPr>
        <w:numPr>
          <w:ilvl w:val="0"/>
          <w:numId w:val="132"/>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Pintura, para los elementos estructurales de acero se pintarán con anticorrosivo de color rojo, aplicada sobre la estructura a dos manos de acuerdo a las recomendaciones del fabricante.</w:t>
      </w:r>
    </w:p>
    <w:p w14:paraId="6F4B485D" w14:textId="77777777" w:rsidR="00A71156" w:rsidRPr="004817A1" w:rsidRDefault="00A71156" w:rsidP="00A71156">
      <w:pPr>
        <w:tabs>
          <w:tab w:val="left" w:pos="142"/>
        </w:tabs>
        <w:autoSpaceDE w:val="0"/>
        <w:autoSpaceDN w:val="0"/>
        <w:adjustRightInd w:val="0"/>
        <w:rPr>
          <w:rFonts w:cs="Arial"/>
          <w:szCs w:val="24"/>
          <w:lang w:val="es-NI" w:eastAsia="es-NI"/>
        </w:rPr>
      </w:pPr>
    </w:p>
    <w:p w14:paraId="36241837" w14:textId="77777777" w:rsidR="00A71156" w:rsidRPr="004817A1" w:rsidRDefault="00A71156" w:rsidP="003B68DB">
      <w:pPr>
        <w:numPr>
          <w:ilvl w:val="0"/>
          <w:numId w:val="132"/>
        </w:numPr>
        <w:tabs>
          <w:tab w:val="left" w:pos="142"/>
        </w:tabs>
        <w:autoSpaceDE w:val="0"/>
        <w:autoSpaceDN w:val="0"/>
        <w:adjustRightInd w:val="0"/>
        <w:contextualSpacing/>
        <w:rPr>
          <w:rFonts w:cs="Arial"/>
          <w:szCs w:val="24"/>
          <w:lang w:val="es-NI" w:eastAsia="es-NI"/>
        </w:rPr>
      </w:pPr>
      <w:r w:rsidRPr="004817A1">
        <w:rPr>
          <w:rFonts w:cs="Arial"/>
          <w:i/>
          <w:szCs w:val="24"/>
          <w:lang w:val="es-NI" w:eastAsia="es-NI"/>
        </w:rPr>
        <w:t>Se podrá utilizar arena de río que no esté contaminada, que tenga la granulometría adecuada, debe estar limpia y tamizada, antes de usarla debe estar autorizada por El Supervisor.</w:t>
      </w:r>
    </w:p>
    <w:p w14:paraId="21C1B659" w14:textId="77777777" w:rsidR="00A71156" w:rsidRPr="004817A1" w:rsidRDefault="00A71156" w:rsidP="00A71156">
      <w:pPr>
        <w:tabs>
          <w:tab w:val="left" w:pos="142"/>
        </w:tabs>
        <w:autoSpaceDE w:val="0"/>
        <w:autoSpaceDN w:val="0"/>
        <w:adjustRightInd w:val="0"/>
        <w:ind w:left="-567"/>
        <w:rPr>
          <w:rFonts w:cs="Arial"/>
          <w:szCs w:val="24"/>
          <w:lang w:val="es-NI" w:eastAsia="es-NI"/>
        </w:rPr>
      </w:pPr>
    </w:p>
    <w:p w14:paraId="1F7D28EF"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CONSTRUCCIÓN</w:t>
      </w:r>
    </w:p>
    <w:p w14:paraId="1F981FEF" w14:textId="77777777" w:rsidR="00A71156" w:rsidRPr="004817A1" w:rsidRDefault="00A71156" w:rsidP="00A71156">
      <w:pPr>
        <w:tabs>
          <w:tab w:val="left" w:pos="142"/>
        </w:tabs>
        <w:rPr>
          <w:rFonts w:cs="Arial"/>
          <w:szCs w:val="24"/>
          <w:lang w:val="es-NI" w:eastAsia="es-NI"/>
        </w:rPr>
      </w:pPr>
    </w:p>
    <w:p w14:paraId="2A0DD5C3" w14:textId="77777777" w:rsidR="00A71156" w:rsidRPr="004817A1" w:rsidRDefault="00A71156" w:rsidP="003B68DB">
      <w:pPr>
        <w:numPr>
          <w:ilvl w:val="0"/>
          <w:numId w:val="144"/>
        </w:numPr>
        <w:tabs>
          <w:tab w:val="left" w:pos="142"/>
        </w:tabs>
        <w:outlineLvl w:val="1"/>
        <w:rPr>
          <w:rFonts w:eastAsiaTheme="majorEastAsia" w:cstheme="majorBidi"/>
          <w:i/>
          <w:szCs w:val="24"/>
          <w:lang w:val="es-ES" w:eastAsia="es-ES"/>
        </w:rPr>
      </w:pPr>
      <w:r w:rsidRPr="004817A1">
        <w:rPr>
          <w:rFonts w:eastAsiaTheme="majorEastAsia" w:cstheme="majorBidi"/>
          <w:i/>
          <w:szCs w:val="24"/>
          <w:lang w:val="es-ES" w:eastAsia="es-ES"/>
        </w:rPr>
        <w:t>EXCAVACIÓN</w:t>
      </w:r>
    </w:p>
    <w:p w14:paraId="6FCE6DAF" w14:textId="77777777" w:rsidR="00A71156" w:rsidRPr="004817A1" w:rsidRDefault="00A71156" w:rsidP="00A71156">
      <w:pPr>
        <w:tabs>
          <w:tab w:val="left" w:pos="142"/>
        </w:tabs>
        <w:rPr>
          <w:rFonts w:cs="Arial"/>
          <w:i/>
          <w:szCs w:val="24"/>
          <w:lang w:val="es-ES" w:eastAsia="es-NI"/>
        </w:rPr>
      </w:pPr>
    </w:p>
    <w:p w14:paraId="5D52B63A"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general, a menos que El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4925BF63" w14:textId="77777777" w:rsidR="00A71156" w:rsidRPr="004817A1" w:rsidRDefault="00A71156" w:rsidP="00A71156">
      <w:pPr>
        <w:tabs>
          <w:tab w:val="left" w:pos="142"/>
        </w:tabs>
        <w:autoSpaceDE w:val="0"/>
        <w:autoSpaceDN w:val="0"/>
        <w:adjustRightInd w:val="0"/>
        <w:rPr>
          <w:rFonts w:cs="Arial"/>
          <w:szCs w:val="24"/>
          <w:lang w:val="es-NI" w:eastAsia="es-NI"/>
        </w:rPr>
      </w:pPr>
    </w:p>
    <w:p w14:paraId="482C1D85"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El fondo de la fosa deberá quedar perfectamente nivelado, sin la presencia de bolones que se pudiesen encontrar durante la excavación.</w:t>
      </w:r>
    </w:p>
    <w:p w14:paraId="5F754803" w14:textId="77777777" w:rsidR="00A71156" w:rsidRPr="004817A1" w:rsidRDefault="00A71156" w:rsidP="00A71156">
      <w:pPr>
        <w:tabs>
          <w:tab w:val="left" w:pos="142"/>
        </w:tabs>
        <w:autoSpaceDE w:val="0"/>
        <w:autoSpaceDN w:val="0"/>
        <w:adjustRightInd w:val="0"/>
        <w:rPr>
          <w:rFonts w:cs="Arial"/>
          <w:szCs w:val="24"/>
          <w:lang w:val="es-NI" w:eastAsia="es-NI"/>
        </w:rPr>
      </w:pPr>
    </w:p>
    <w:p w14:paraId="31588CFB"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ningún caso se permitirá al CONTRATISTA excavar menos de la profundidad establecida en los planos, cualquier situación que impida esta disposición deberá ser solicitada por escrito a El Supervisor.</w:t>
      </w:r>
    </w:p>
    <w:p w14:paraId="2D25569F" w14:textId="77777777" w:rsidR="00A71156" w:rsidRPr="004817A1" w:rsidRDefault="00A71156" w:rsidP="00A71156">
      <w:pPr>
        <w:tabs>
          <w:tab w:val="left" w:pos="142"/>
        </w:tabs>
        <w:autoSpaceDE w:val="0"/>
        <w:autoSpaceDN w:val="0"/>
        <w:adjustRightInd w:val="0"/>
        <w:rPr>
          <w:rFonts w:cs="Arial"/>
          <w:szCs w:val="24"/>
          <w:lang w:val="es-NI" w:eastAsia="es-NI"/>
        </w:rPr>
      </w:pPr>
    </w:p>
    <w:p w14:paraId="0C78D8A6"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EL CONTRATISTA deberá tomar las precauciones necesarias durante el proceso de excavación para evitar la acumulación de aguas, inundaciones por escorrentías, lluvias o fuentes de agua.</w:t>
      </w:r>
    </w:p>
    <w:p w14:paraId="131C0557" w14:textId="77777777" w:rsidR="00A71156" w:rsidRPr="004817A1" w:rsidRDefault="00A71156" w:rsidP="00A71156">
      <w:pPr>
        <w:tabs>
          <w:tab w:val="left" w:pos="142"/>
        </w:tabs>
        <w:autoSpaceDE w:val="0"/>
        <w:autoSpaceDN w:val="0"/>
        <w:adjustRightInd w:val="0"/>
        <w:rPr>
          <w:rFonts w:cs="Arial"/>
          <w:szCs w:val="24"/>
          <w:lang w:val="es-NI" w:eastAsia="es-NI"/>
        </w:rPr>
      </w:pPr>
    </w:p>
    <w:p w14:paraId="35059473"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321CE24F" w14:textId="77777777" w:rsidR="00A71156" w:rsidRPr="004817A1" w:rsidRDefault="00A71156" w:rsidP="00A71156">
      <w:pPr>
        <w:tabs>
          <w:tab w:val="left" w:pos="142"/>
        </w:tabs>
        <w:autoSpaceDE w:val="0"/>
        <w:autoSpaceDN w:val="0"/>
        <w:adjustRightInd w:val="0"/>
        <w:rPr>
          <w:rFonts w:cs="Arial"/>
          <w:szCs w:val="24"/>
          <w:lang w:val="es-NI" w:eastAsia="es-NI"/>
        </w:rPr>
      </w:pPr>
    </w:p>
    <w:p w14:paraId="1922C512"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65EF0B3E" w14:textId="77777777" w:rsidR="00A71156" w:rsidRPr="004817A1" w:rsidRDefault="00A71156" w:rsidP="00A71156">
      <w:pPr>
        <w:tabs>
          <w:tab w:val="left" w:pos="142"/>
        </w:tabs>
        <w:autoSpaceDE w:val="0"/>
        <w:autoSpaceDN w:val="0"/>
        <w:adjustRightInd w:val="0"/>
        <w:rPr>
          <w:rFonts w:cs="Arial"/>
          <w:szCs w:val="24"/>
          <w:lang w:val="es-NI" w:eastAsia="es-NI"/>
        </w:rPr>
      </w:pPr>
    </w:p>
    <w:p w14:paraId="1E8F4336"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Cuando el foso es revestido, las medidas de la fosa son las indicadas en los planos más 0.15 m, correspondiente al ancho del material a colocar como paredes.</w:t>
      </w:r>
    </w:p>
    <w:p w14:paraId="7912217E" w14:textId="77777777" w:rsidR="00A71156" w:rsidRPr="004817A1" w:rsidRDefault="00A71156" w:rsidP="00A71156">
      <w:pPr>
        <w:tabs>
          <w:tab w:val="left" w:pos="142"/>
        </w:tabs>
        <w:autoSpaceDE w:val="0"/>
        <w:autoSpaceDN w:val="0"/>
        <w:adjustRightInd w:val="0"/>
        <w:rPr>
          <w:rFonts w:cs="Arial"/>
          <w:szCs w:val="24"/>
          <w:lang w:val="es-NI" w:eastAsia="es-NI"/>
        </w:rPr>
      </w:pPr>
    </w:p>
    <w:p w14:paraId="479BC56D"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3DF1BABE" w14:textId="77777777" w:rsidR="00A71156" w:rsidRPr="004817A1" w:rsidRDefault="00A71156" w:rsidP="00A71156">
      <w:pPr>
        <w:tabs>
          <w:tab w:val="left" w:pos="142"/>
        </w:tabs>
        <w:autoSpaceDE w:val="0"/>
        <w:autoSpaceDN w:val="0"/>
        <w:adjustRightInd w:val="0"/>
        <w:rPr>
          <w:rFonts w:cs="Arial"/>
          <w:szCs w:val="24"/>
          <w:lang w:val="es-NI" w:eastAsia="es-NI"/>
        </w:rPr>
      </w:pPr>
    </w:p>
    <w:p w14:paraId="7D95E42F"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terrenos flojos que se indique la construcción de letrinas estándar, para evitar derrumbes, habrá necesidad de ademar las paredes de la fosa, utilizando materiales existentes en la región.</w:t>
      </w:r>
    </w:p>
    <w:p w14:paraId="7A5FE51E" w14:textId="77777777" w:rsidR="00A71156" w:rsidRPr="004817A1" w:rsidRDefault="00A71156" w:rsidP="00A71156">
      <w:pPr>
        <w:tabs>
          <w:tab w:val="left" w:pos="142"/>
        </w:tabs>
        <w:autoSpaceDE w:val="0"/>
        <w:autoSpaceDN w:val="0"/>
        <w:adjustRightInd w:val="0"/>
        <w:rPr>
          <w:rFonts w:cs="Arial"/>
          <w:szCs w:val="24"/>
          <w:lang w:val="es-NI" w:eastAsia="es-NI"/>
        </w:rPr>
      </w:pPr>
    </w:p>
    <w:p w14:paraId="4BE5AE74"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Estos costos deben ser considerados por el OFERENTE en los costos indirectos del pliego de oferta.</w:t>
      </w:r>
    </w:p>
    <w:p w14:paraId="45626A0A" w14:textId="77777777" w:rsidR="00A71156" w:rsidRPr="004817A1" w:rsidRDefault="00A71156" w:rsidP="00A71156">
      <w:pPr>
        <w:tabs>
          <w:tab w:val="left" w:pos="142"/>
        </w:tabs>
        <w:autoSpaceDE w:val="0"/>
        <w:autoSpaceDN w:val="0"/>
        <w:adjustRightInd w:val="0"/>
        <w:rPr>
          <w:rFonts w:cs="Arial"/>
          <w:szCs w:val="24"/>
          <w:lang w:val="es-NI" w:eastAsia="es-NI"/>
        </w:rPr>
      </w:pPr>
    </w:p>
    <w:p w14:paraId="6B8AC990"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EL CONTRATISTA deberá someter la metodología y programa de construcción a El Supervisor para cumplir en el tiempo y forma con sus obligaciones contractuales.</w:t>
      </w:r>
    </w:p>
    <w:p w14:paraId="4663818A" w14:textId="77777777" w:rsidR="00A71156" w:rsidRPr="004817A1" w:rsidRDefault="00A71156" w:rsidP="00A71156">
      <w:pPr>
        <w:tabs>
          <w:tab w:val="left" w:pos="142"/>
        </w:tabs>
        <w:autoSpaceDE w:val="0"/>
        <w:autoSpaceDN w:val="0"/>
        <w:adjustRightInd w:val="0"/>
        <w:rPr>
          <w:rFonts w:cs="Arial"/>
          <w:szCs w:val="24"/>
          <w:lang w:val="es-NI" w:eastAsia="es-NI"/>
        </w:rPr>
      </w:pPr>
    </w:p>
    <w:p w14:paraId="726D5815"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RESTRICCIONES Y CALIDAD DEL TRABAJO</w:t>
      </w:r>
    </w:p>
    <w:p w14:paraId="67D90C5F" w14:textId="77777777" w:rsidR="00A71156" w:rsidRPr="004817A1" w:rsidRDefault="00A71156" w:rsidP="00A71156">
      <w:pPr>
        <w:keepNext/>
        <w:tabs>
          <w:tab w:val="left" w:pos="142"/>
        </w:tabs>
        <w:ind w:right="-516"/>
        <w:contextualSpacing/>
        <w:outlineLvl w:val="1"/>
        <w:rPr>
          <w:rFonts w:cs="Arial"/>
          <w:b/>
          <w:bCs/>
          <w:iCs/>
          <w:szCs w:val="24"/>
          <w:lang w:val="es-ES" w:eastAsia="es-ES"/>
        </w:rPr>
      </w:pPr>
    </w:p>
    <w:p w14:paraId="0CBC8456" w14:textId="77777777" w:rsidR="00A71156" w:rsidRPr="004817A1" w:rsidRDefault="00A71156" w:rsidP="003B68DB">
      <w:pPr>
        <w:keepNext/>
        <w:numPr>
          <w:ilvl w:val="0"/>
          <w:numId w:val="133"/>
        </w:numPr>
        <w:tabs>
          <w:tab w:val="left" w:pos="142"/>
        </w:tabs>
        <w:ind w:left="502" w:right="-516"/>
        <w:contextualSpacing/>
        <w:outlineLvl w:val="1"/>
        <w:rPr>
          <w:rFonts w:cs="Arial"/>
          <w:b/>
          <w:bCs/>
          <w:iCs/>
          <w:szCs w:val="24"/>
          <w:lang w:val="es-ES" w:eastAsia="es-ES"/>
        </w:rPr>
      </w:pPr>
      <w:r w:rsidRPr="004817A1">
        <w:rPr>
          <w:rFonts w:cs="Arial"/>
          <w:i/>
          <w:szCs w:val="24"/>
          <w:lang w:val="es-NI" w:eastAsia="es-NI"/>
        </w:rPr>
        <w:t>No se permitirán fosas abiertas por períodos mayores de tres (3) días, previo al inicio de las obras de revestimiento de paredes y/o a la colocación de la losa y banco.</w:t>
      </w:r>
    </w:p>
    <w:p w14:paraId="372D9954" w14:textId="77777777" w:rsidR="00A71156" w:rsidRPr="004817A1" w:rsidRDefault="00A71156" w:rsidP="00A71156">
      <w:pPr>
        <w:tabs>
          <w:tab w:val="left" w:pos="142"/>
        </w:tabs>
        <w:autoSpaceDE w:val="0"/>
        <w:autoSpaceDN w:val="0"/>
        <w:adjustRightInd w:val="0"/>
        <w:rPr>
          <w:rFonts w:cs="Arial"/>
          <w:szCs w:val="24"/>
          <w:lang w:val="es-ES" w:eastAsia="es-NI"/>
        </w:rPr>
      </w:pPr>
    </w:p>
    <w:p w14:paraId="6B600D4B" w14:textId="77777777" w:rsidR="00A71156" w:rsidRPr="004817A1" w:rsidRDefault="00A71156" w:rsidP="003B68DB">
      <w:pPr>
        <w:numPr>
          <w:ilvl w:val="0"/>
          <w:numId w:val="133"/>
        </w:numPr>
        <w:tabs>
          <w:tab w:val="left" w:pos="142"/>
        </w:tabs>
        <w:autoSpaceDE w:val="0"/>
        <w:autoSpaceDN w:val="0"/>
        <w:adjustRightInd w:val="0"/>
        <w:ind w:left="502"/>
        <w:contextualSpacing/>
        <w:rPr>
          <w:rFonts w:cs="Arial"/>
          <w:szCs w:val="24"/>
          <w:lang w:val="es-NI" w:eastAsia="es-NI"/>
        </w:rPr>
      </w:pPr>
      <w:r w:rsidRPr="004817A1">
        <w:rPr>
          <w:rFonts w:cs="Arial"/>
          <w:i/>
          <w:szCs w:val="24"/>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5EEAF805" w14:textId="77777777" w:rsidR="00A71156" w:rsidRPr="004817A1" w:rsidRDefault="00A71156" w:rsidP="00A71156">
      <w:pPr>
        <w:tabs>
          <w:tab w:val="left" w:pos="142"/>
        </w:tabs>
        <w:autoSpaceDE w:val="0"/>
        <w:autoSpaceDN w:val="0"/>
        <w:adjustRightInd w:val="0"/>
        <w:rPr>
          <w:rFonts w:cs="Arial"/>
          <w:szCs w:val="24"/>
          <w:lang w:val="es-NI" w:eastAsia="es-NI"/>
        </w:rPr>
      </w:pPr>
    </w:p>
    <w:p w14:paraId="7739C8BB" w14:textId="77777777" w:rsidR="00A71156" w:rsidRPr="004817A1" w:rsidRDefault="00A71156" w:rsidP="003B68DB">
      <w:pPr>
        <w:numPr>
          <w:ilvl w:val="0"/>
          <w:numId w:val="133"/>
        </w:numPr>
        <w:tabs>
          <w:tab w:val="left" w:pos="142"/>
        </w:tabs>
        <w:autoSpaceDE w:val="0"/>
        <w:autoSpaceDN w:val="0"/>
        <w:adjustRightInd w:val="0"/>
        <w:ind w:left="502"/>
        <w:contextualSpacing/>
        <w:rPr>
          <w:rFonts w:cs="Arial"/>
          <w:szCs w:val="24"/>
          <w:lang w:val="es-NI" w:eastAsia="es-NI"/>
        </w:rPr>
      </w:pPr>
      <w:r w:rsidRPr="004817A1">
        <w:rPr>
          <w:rFonts w:cs="Arial"/>
          <w:i/>
          <w:szCs w:val="24"/>
          <w:lang w:val="es-NI" w:eastAsia="es-NI"/>
        </w:rPr>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7ED6A3DE" w14:textId="77777777" w:rsidR="00A71156" w:rsidRPr="004817A1" w:rsidRDefault="00A71156" w:rsidP="00A71156">
      <w:pPr>
        <w:tabs>
          <w:tab w:val="left" w:pos="142"/>
        </w:tabs>
        <w:autoSpaceDE w:val="0"/>
        <w:autoSpaceDN w:val="0"/>
        <w:adjustRightInd w:val="0"/>
        <w:rPr>
          <w:rFonts w:cs="Arial"/>
          <w:szCs w:val="24"/>
          <w:lang w:val="es-NI" w:eastAsia="es-NI"/>
        </w:rPr>
      </w:pPr>
    </w:p>
    <w:p w14:paraId="0B597842"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CONSTRUCCIÓN DE PAREDES</w:t>
      </w:r>
    </w:p>
    <w:p w14:paraId="02673227" w14:textId="77777777" w:rsidR="00A71156" w:rsidRPr="004817A1" w:rsidRDefault="00A71156" w:rsidP="00A71156">
      <w:pPr>
        <w:tabs>
          <w:tab w:val="left" w:pos="142"/>
        </w:tabs>
        <w:autoSpaceDE w:val="0"/>
        <w:autoSpaceDN w:val="0"/>
        <w:adjustRightInd w:val="0"/>
        <w:rPr>
          <w:rFonts w:cs="Arial"/>
          <w:szCs w:val="24"/>
          <w:lang w:val="es-NI" w:eastAsia="es-NI"/>
        </w:rPr>
      </w:pPr>
    </w:p>
    <w:p w14:paraId="4BFBC228"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De acuerdo a la práctica constructiva que se exige para la construcción de paredes de bloque, ladrillo cuarterón, piedra cantera u otro material indicado, ésta deberá presentar aplomo y escuadra todos sus lados.</w:t>
      </w:r>
    </w:p>
    <w:p w14:paraId="14545705" w14:textId="77777777" w:rsidR="00A71156" w:rsidRPr="004817A1" w:rsidRDefault="00A71156" w:rsidP="00A71156">
      <w:pPr>
        <w:tabs>
          <w:tab w:val="left" w:pos="142"/>
        </w:tabs>
        <w:autoSpaceDE w:val="0"/>
        <w:autoSpaceDN w:val="0"/>
        <w:adjustRightInd w:val="0"/>
        <w:rPr>
          <w:rFonts w:cs="Arial"/>
          <w:szCs w:val="24"/>
          <w:lang w:val="es-NI" w:eastAsia="es-NI"/>
        </w:rPr>
      </w:pPr>
    </w:p>
    <w:p w14:paraId="029B272C"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Las paredes deben estar cimentadas según el caso: Para las letrinas semi-elevadas y elevadas deben llevar una losa de concreto simple en toda el área del foso con un espesor de 0.05 m.</w:t>
      </w:r>
    </w:p>
    <w:p w14:paraId="153A79FC" w14:textId="77777777" w:rsidR="00A71156" w:rsidRPr="004817A1" w:rsidRDefault="00A71156" w:rsidP="00A71156">
      <w:pPr>
        <w:tabs>
          <w:tab w:val="left" w:pos="142"/>
        </w:tabs>
        <w:autoSpaceDE w:val="0"/>
        <w:autoSpaceDN w:val="0"/>
        <w:adjustRightInd w:val="0"/>
        <w:rPr>
          <w:rFonts w:cs="Arial"/>
          <w:szCs w:val="24"/>
          <w:lang w:val="es-NI" w:eastAsia="es-NI"/>
        </w:rPr>
      </w:pPr>
    </w:p>
    <w:p w14:paraId="7F667876"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19283564" w14:textId="77777777" w:rsidR="00A71156" w:rsidRPr="004817A1" w:rsidRDefault="00A71156" w:rsidP="00A71156">
      <w:pPr>
        <w:tabs>
          <w:tab w:val="left" w:pos="142"/>
        </w:tabs>
        <w:autoSpaceDE w:val="0"/>
        <w:autoSpaceDN w:val="0"/>
        <w:adjustRightInd w:val="0"/>
        <w:rPr>
          <w:rFonts w:cs="Arial"/>
          <w:szCs w:val="24"/>
          <w:lang w:val="es-NI" w:eastAsia="es-NI"/>
        </w:rPr>
      </w:pPr>
    </w:p>
    <w:p w14:paraId="3694EDCF"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el caso de letrinas semi-elevadas y elevadas todas las paredes de la fosa serán revestidas con repello arenillado en ambas caras (internas y externas) este costo debe de estar incluido en la propuesta.</w:t>
      </w:r>
    </w:p>
    <w:p w14:paraId="0A73E5AF" w14:textId="77777777" w:rsidR="00A71156" w:rsidRPr="004817A1" w:rsidRDefault="00A71156" w:rsidP="00A71156">
      <w:pPr>
        <w:tabs>
          <w:tab w:val="left" w:pos="142"/>
        </w:tabs>
        <w:autoSpaceDE w:val="0"/>
        <w:autoSpaceDN w:val="0"/>
        <w:adjustRightInd w:val="0"/>
        <w:rPr>
          <w:rFonts w:cs="Arial"/>
          <w:szCs w:val="24"/>
          <w:lang w:val="es-NI" w:eastAsia="es-NI"/>
        </w:rPr>
      </w:pPr>
    </w:p>
    <w:p w14:paraId="1B3F28FE"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El cajón de las escaleras en las letrinas semi-elevadas y elevadas llevaran refuerzo en sus esquinas, de hierro corrugado con diámetro de 3/8”, según se indica en los planos constructivos (elevaciones isométricas)</w:t>
      </w:r>
    </w:p>
    <w:p w14:paraId="61145783" w14:textId="77777777" w:rsidR="00A71156" w:rsidRPr="004817A1" w:rsidRDefault="00A71156" w:rsidP="00A71156">
      <w:pPr>
        <w:tabs>
          <w:tab w:val="left" w:pos="142"/>
        </w:tabs>
        <w:autoSpaceDE w:val="0"/>
        <w:autoSpaceDN w:val="0"/>
        <w:adjustRightInd w:val="0"/>
        <w:rPr>
          <w:rFonts w:cs="Arial"/>
          <w:b/>
          <w:bCs/>
          <w:szCs w:val="24"/>
          <w:lang w:val="es-NI" w:eastAsia="es-NI"/>
        </w:rPr>
      </w:pPr>
    </w:p>
    <w:p w14:paraId="646E221E"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lastRenderedPageBreak/>
        <w:t>CONSTRUCCIÓN Y COLOCACIÓN DE PLANCHA Y BANCO</w:t>
      </w:r>
    </w:p>
    <w:p w14:paraId="701FB775" w14:textId="77777777" w:rsidR="00A71156" w:rsidRPr="004817A1" w:rsidRDefault="00A71156" w:rsidP="00A71156">
      <w:pPr>
        <w:tabs>
          <w:tab w:val="left" w:pos="142"/>
        </w:tabs>
        <w:autoSpaceDE w:val="0"/>
        <w:autoSpaceDN w:val="0"/>
        <w:adjustRightInd w:val="0"/>
        <w:rPr>
          <w:rFonts w:cs="Arial"/>
          <w:szCs w:val="24"/>
          <w:lang w:val="es-NI" w:eastAsia="es-NI"/>
        </w:rPr>
      </w:pPr>
    </w:p>
    <w:p w14:paraId="0BCDE630"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75047B74" w14:textId="77777777" w:rsidR="00A71156" w:rsidRPr="004817A1" w:rsidRDefault="00A71156" w:rsidP="00A71156">
      <w:pPr>
        <w:tabs>
          <w:tab w:val="left" w:pos="142"/>
        </w:tabs>
        <w:autoSpaceDE w:val="0"/>
        <w:autoSpaceDN w:val="0"/>
        <w:adjustRightInd w:val="0"/>
        <w:rPr>
          <w:rFonts w:cs="Arial"/>
          <w:szCs w:val="24"/>
          <w:lang w:val="es-NI" w:eastAsia="es-NI"/>
        </w:rPr>
      </w:pPr>
    </w:p>
    <w:p w14:paraId="4800FDF0"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CONSTRUCCIÓN Y COLOCACIÓN DE CASETA.</w:t>
      </w:r>
    </w:p>
    <w:p w14:paraId="691AB022" w14:textId="77777777" w:rsidR="00A71156" w:rsidRPr="004817A1" w:rsidRDefault="00A71156" w:rsidP="00A71156">
      <w:pPr>
        <w:tabs>
          <w:tab w:val="left" w:pos="142"/>
        </w:tabs>
        <w:autoSpaceDE w:val="0"/>
        <w:autoSpaceDN w:val="0"/>
        <w:adjustRightInd w:val="0"/>
        <w:rPr>
          <w:rFonts w:cs="Arial"/>
          <w:szCs w:val="24"/>
          <w:lang w:val="es-NI" w:eastAsia="es-NI"/>
        </w:rPr>
      </w:pPr>
    </w:p>
    <w:p w14:paraId="3FE40149"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La estructura de paredes y techo, así como el forro y cubierta será como se indica en los planos, conservando las medidas estándar y la calidad de los materiales.</w:t>
      </w:r>
    </w:p>
    <w:p w14:paraId="29122DCE" w14:textId="77777777" w:rsidR="00A71156" w:rsidRPr="004817A1" w:rsidRDefault="00A71156" w:rsidP="00A71156">
      <w:pPr>
        <w:tabs>
          <w:tab w:val="left" w:pos="142"/>
        </w:tabs>
        <w:autoSpaceDE w:val="0"/>
        <w:autoSpaceDN w:val="0"/>
        <w:adjustRightInd w:val="0"/>
        <w:rPr>
          <w:rFonts w:cs="Arial"/>
          <w:szCs w:val="24"/>
          <w:lang w:val="es-NI" w:eastAsia="es-NI"/>
        </w:rPr>
      </w:pPr>
    </w:p>
    <w:p w14:paraId="3973FAF9"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La colocación del forro del zinc no debe presentar bordes salientes, puntas corto punzantes, virutas que puedan ocasionar cortaduras a los usuarios.</w:t>
      </w:r>
    </w:p>
    <w:p w14:paraId="316FF2B5" w14:textId="77777777" w:rsidR="00A71156" w:rsidRPr="004817A1" w:rsidRDefault="00A71156" w:rsidP="00A71156">
      <w:pPr>
        <w:tabs>
          <w:tab w:val="left" w:pos="142"/>
        </w:tabs>
        <w:autoSpaceDE w:val="0"/>
        <w:autoSpaceDN w:val="0"/>
        <w:adjustRightInd w:val="0"/>
        <w:rPr>
          <w:rFonts w:cs="Arial"/>
          <w:szCs w:val="24"/>
          <w:lang w:val="es-NI" w:eastAsia="es-NI"/>
        </w:rPr>
      </w:pPr>
    </w:p>
    <w:p w14:paraId="2EBED1D6"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Al colocar el tubo de ventilación debe quedar sellado entre la cubierta de techo, de igual forma en la unión con el piso y este debe de terminar con una tee.</w:t>
      </w:r>
    </w:p>
    <w:p w14:paraId="6984CE8A" w14:textId="77777777" w:rsidR="00A71156" w:rsidRPr="004817A1" w:rsidRDefault="00A71156" w:rsidP="00A71156">
      <w:pPr>
        <w:tabs>
          <w:tab w:val="left" w:pos="142"/>
        </w:tabs>
        <w:autoSpaceDE w:val="0"/>
        <w:autoSpaceDN w:val="0"/>
        <w:adjustRightInd w:val="0"/>
        <w:rPr>
          <w:rFonts w:cs="Arial"/>
          <w:szCs w:val="24"/>
          <w:lang w:val="es-NI" w:eastAsia="es-NI"/>
        </w:rPr>
      </w:pPr>
    </w:p>
    <w:p w14:paraId="26F46F22"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0A582D84" w14:textId="77777777" w:rsidR="00A71156" w:rsidRPr="004817A1" w:rsidRDefault="00A71156" w:rsidP="00A71156">
      <w:pPr>
        <w:tabs>
          <w:tab w:val="left" w:pos="142"/>
        </w:tabs>
        <w:autoSpaceDE w:val="0"/>
        <w:autoSpaceDN w:val="0"/>
        <w:adjustRightInd w:val="0"/>
        <w:rPr>
          <w:rFonts w:cs="Arial"/>
          <w:szCs w:val="24"/>
          <w:lang w:val="es-NI" w:eastAsia="es-NI"/>
        </w:rPr>
      </w:pPr>
    </w:p>
    <w:p w14:paraId="73D6E356"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Todas las piezas deberán estar secas y tratadas con productos químicos contra comején. El acabado de la madera deberá ser repasada (acepillada y/o eliminar lo rústico y mechudo) en las caras expuestas.</w:t>
      </w:r>
    </w:p>
    <w:p w14:paraId="15DC57E6" w14:textId="77777777" w:rsidR="00A71156" w:rsidRPr="004817A1" w:rsidRDefault="00A71156" w:rsidP="00A71156">
      <w:pPr>
        <w:tabs>
          <w:tab w:val="left" w:pos="142"/>
        </w:tabs>
        <w:autoSpaceDE w:val="0"/>
        <w:autoSpaceDN w:val="0"/>
        <w:adjustRightInd w:val="0"/>
        <w:rPr>
          <w:rFonts w:cs="Arial"/>
          <w:szCs w:val="24"/>
          <w:lang w:val="es-NI" w:eastAsia="es-NI"/>
        </w:rPr>
      </w:pPr>
    </w:p>
    <w:p w14:paraId="4124DD8F"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3E5489F8" w14:textId="77777777" w:rsidR="00A71156" w:rsidRPr="004817A1" w:rsidRDefault="00A71156" w:rsidP="00A71156">
      <w:pPr>
        <w:tabs>
          <w:tab w:val="left" w:pos="142"/>
        </w:tabs>
        <w:autoSpaceDE w:val="0"/>
        <w:autoSpaceDN w:val="0"/>
        <w:adjustRightInd w:val="0"/>
        <w:rPr>
          <w:rFonts w:cs="Arial"/>
          <w:szCs w:val="24"/>
          <w:lang w:val="es-NI" w:eastAsia="es-NI"/>
        </w:rPr>
      </w:pPr>
    </w:p>
    <w:p w14:paraId="4C3DD2D3"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7ACDB96C" w14:textId="77777777" w:rsidR="00A71156" w:rsidRPr="004817A1" w:rsidRDefault="00A71156" w:rsidP="00A71156">
      <w:pPr>
        <w:tabs>
          <w:tab w:val="left" w:pos="142"/>
        </w:tabs>
        <w:autoSpaceDE w:val="0"/>
        <w:autoSpaceDN w:val="0"/>
        <w:adjustRightInd w:val="0"/>
        <w:rPr>
          <w:rFonts w:cs="Arial"/>
          <w:szCs w:val="24"/>
          <w:lang w:val="es-NI" w:eastAsia="es-NI"/>
        </w:rPr>
      </w:pPr>
    </w:p>
    <w:p w14:paraId="414F5D18"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b/>
          <w:bCs/>
          <w:i/>
          <w:szCs w:val="24"/>
          <w:lang w:val="es-NI" w:eastAsia="es-NI"/>
        </w:rPr>
        <w:t xml:space="preserve">Estructura metálica: </w:t>
      </w:r>
      <w:r w:rsidRPr="004817A1">
        <w:rPr>
          <w:rFonts w:cs="Arial"/>
          <w:i/>
          <w:szCs w:val="24"/>
          <w:lang w:val="es-NI" w:eastAsia="es-NI"/>
        </w:rPr>
        <w:t>Se fijará con una bisagra artesanal formada por ejes de hierro de ¼” y tubo cuadrado negro soldado a la estructura.</w:t>
      </w:r>
    </w:p>
    <w:p w14:paraId="1CB33B1C" w14:textId="77777777" w:rsidR="00A71156" w:rsidRPr="004817A1" w:rsidRDefault="00A71156" w:rsidP="00A71156">
      <w:pPr>
        <w:tabs>
          <w:tab w:val="left" w:pos="142"/>
        </w:tabs>
        <w:autoSpaceDE w:val="0"/>
        <w:autoSpaceDN w:val="0"/>
        <w:adjustRightInd w:val="0"/>
        <w:rPr>
          <w:rFonts w:cs="Arial"/>
          <w:szCs w:val="24"/>
          <w:lang w:val="es-NI" w:eastAsia="es-NI"/>
        </w:rPr>
      </w:pPr>
    </w:p>
    <w:p w14:paraId="22EF6F66"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Estructura de madera: Se fijará con 3 bisagras de 2 ½”* 2 ½” galvanizada, fijadas con tornillos golosos ranurados. Los tornillos deben quedar a tope y planos a la placa de bisagra.</w:t>
      </w:r>
    </w:p>
    <w:p w14:paraId="569167CE" w14:textId="77777777" w:rsidR="00A71156" w:rsidRPr="004817A1" w:rsidRDefault="00A71156" w:rsidP="00A71156">
      <w:pPr>
        <w:tabs>
          <w:tab w:val="left" w:pos="142"/>
        </w:tabs>
        <w:autoSpaceDE w:val="0"/>
        <w:autoSpaceDN w:val="0"/>
        <w:adjustRightInd w:val="0"/>
        <w:rPr>
          <w:rFonts w:cs="Arial"/>
          <w:szCs w:val="24"/>
          <w:lang w:val="es-NI" w:eastAsia="es-NI"/>
        </w:rPr>
      </w:pPr>
    </w:p>
    <w:p w14:paraId="23483C2E"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Cuando la estructura de la caseta se indique de madera, la sección será de 2”x2” con una tolerancia máxima de 1-7/8”. La cubierta de techo será de una sola pieza, con la longitud indicada en los planos.</w:t>
      </w:r>
    </w:p>
    <w:p w14:paraId="25396B3B" w14:textId="77777777" w:rsidR="00A71156" w:rsidRPr="004817A1" w:rsidRDefault="00A71156" w:rsidP="00A71156">
      <w:pPr>
        <w:tabs>
          <w:tab w:val="left" w:pos="142"/>
        </w:tabs>
        <w:autoSpaceDE w:val="0"/>
        <w:autoSpaceDN w:val="0"/>
        <w:adjustRightInd w:val="0"/>
        <w:rPr>
          <w:rFonts w:cs="Arial"/>
          <w:szCs w:val="24"/>
          <w:lang w:val="es-NI" w:eastAsia="es-NI"/>
        </w:rPr>
      </w:pPr>
    </w:p>
    <w:p w14:paraId="26D38AF4"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lastRenderedPageBreak/>
        <w:t>Al concluir la construcción del brocal y la caseta de la letrina, se debe forjar un talud entre el terreno natural con el pie de pared, en los costados y la parte posterior para evitar la penetración de agua pluvial.</w:t>
      </w:r>
    </w:p>
    <w:p w14:paraId="1C868849" w14:textId="77777777" w:rsidR="00A71156" w:rsidRPr="004817A1" w:rsidRDefault="00A71156" w:rsidP="00A71156">
      <w:pPr>
        <w:tabs>
          <w:tab w:val="left" w:pos="142"/>
        </w:tabs>
        <w:autoSpaceDE w:val="0"/>
        <w:autoSpaceDN w:val="0"/>
        <w:adjustRightInd w:val="0"/>
        <w:rPr>
          <w:rFonts w:cs="Arial"/>
          <w:szCs w:val="24"/>
          <w:lang w:val="es-NI" w:eastAsia="es-NI"/>
        </w:rPr>
      </w:pPr>
    </w:p>
    <w:p w14:paraId="70272398" w14:textId="77777777" w:rsidR="00A71156" w:rsidRPr="004817A1" w:rsidRDefault="00A71156" w:rsidP="003B68DB">
      <w:pPr>
        <w:numPr>
          <w:ilvl w:val="1"/>
          <w:numId w:val="127"/>
        </w:numPr>
        <w:contextualSpacing/>
        <w:rPr>
          <w:rFonts w:cs="Arial"/>
          <w:b/>
          <w:bCs/>
          <w:iCs/>
          <w:szCs w:val="24"/>
          <w:lang w:val="es-ES" w:eastAsia="es-ES"/>
        </w:rPr>
      </w:pPr>
      <w:r w:rsidRPr="004817A1">
        <w:rPr>
          <w:rFonts w:cs="Arial"/>
          <w:b/>
          <w:bCs/>
          <w:i/>
          <w:iCs/>
          <w:szCs w:val="24"/>
          <w:lang w:val="es-ES" w:eastAsia="es-ES"/>
        </w:rPr>
        <w:t>ESPECIFICACIÓN TÉCNICA DE LAVADEROS</w:t>
      </w:r>
    </w:p>
    <w:p w14:paraId="288D7E93" w14:textId="77777777" w:rsidR="00A71156" w:rsidRPr="004817A1" w:rsidRDefault="00A71156" w:rsidP="00A71156">
      <w:pPr>
        <w:ind w:left="720"/>
        <w:contextualSpacing/>
        <w:rPr>
          <w:rFonts w:cs="Arial"/>
          <w:b/>
          <w:bCs/>
          <w:iCs/>
          <w:szCs w:val="24"/>
          <w:lang w:val="es-ES" w:eastAsia="es-ES"/>
        </w:rPr>
      </w:pPr>
    </w:p>
    <w:p w14:paraId="573D86B9"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6E663F52" w14:textId="77777777" w:rsidR="00A71156" w:rsidRPr="004817A1" w:rsidRDefault="00A71156" w:rsidP="00A71156">
      <w:pPr>
        <w:tabs>
          <w:tab w:val="left" w:pos="142"/>
        </w:tabs>
        <w:autoSpaceDE w:val="0"/>
        <w:autoSpaceDN w:val="0"/>
        <w:adjustRightInd w:val="0"/>
        <w:rPr>
          <w:rFonts w:cs="Arial"/>
          <w:szCs w:val="24"/>
          <w:lang w:val="es-NI" w:eastAsia="es-NI"/>
        </w:rPr>
      </w:pPr>
    </w:p>
    <w:p w14:paraId="63981E01"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 xml:space="preserve">Tendrá dimensiones totales: ancho 0.63 m, largo 1.00 m, alto 0.83 m. </w:t>
      </w:r>
    </w:p>
    <w:p w14:paraId="5DC3F7E2" w14:textId="77777777" w:rsidR="00A71156" w:rsidRPr="004817A1" w:rsidRDefault="00A71156" w:rsidP="00A71156">
      <w:pPr>
        <w:tabs>
          <w:tab w:val="left" w:pos="142"/>
        </w:tabs>
        <w:autoSpaceDE w:val="0"/>
        <w:autoSpaceDN w:val="0"/>
        <w:adjustRightInd w:val="0"/>
        <w:rPr>
          <w:rFonts w:cs="Arial"/>
          <w:szCs w:val="24"/>
          <w:lang w:val="es-NI" w:eastAsia="es-NI"/>
        </w:rPr>
      </w:pPr>
    </w:p>
    <w:p w14:paraId="42098C0B"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Dimensiones internas de la pila: 0.41m x 0.59 m x 0.32 m con capacidad máxima de 77.40 lts.</w:t>
      </w:r>
    </w:p>
    <w:p w14:paraId="034E4DE7" w14:textId="77777777" w:rsidR="00A71156" w:rsidRPr="004817A1" w:rsidRDefault="00A71156" w:rsidP="00A71156">
      <w:pPr>
        <w:tabs>
          <w:tab w:val="left" w:pos="142"/>
        </w:tabs>
        <w:autoSpaceDE w:val="0"/>
        <w:autoSpaceDN w:val="0"/>
        <w:adjustRightInd w:val="0"/>
        <w:rPr>
          <w:rFonts w:cs="Arial"/>
          <w:szCs w:val="24"/>
          <w:lang w:val="es-NI" w:eastAsia="es-NI"/>
        </w:rPr>
      </w:pPr>
    </w:p>
    <w:p w14:paraId="6E0F4A77"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Dimensiones internas de la pila estriada: 0.59m x 0.59 m x 0.21m.</w:t>
      </w:r>
    </w:p>
    <w:p w14:paraId="5BA8B63C" w14:textId="77777777" w:rsidR="00A71156" w:rsidRPr="004817A1" w:rsidRDefault="00A71156" w:rsidP="00A71156">
      <w:pPr>
        <w:tabs>
          <w:tab w:val="left" w:pos="142"/>
        </w:tabs>
        <w:autoSpaceDE w:val="0"/>
        <w:autoSpaceDN w:val="0"/>
        <w:adjustRightInd w:val="0"/>
        <w:rPr>
          <w:rFonts w:cs="Arial"/>
          <w:szCs w:val="24"/>
          <w:lang w:val="es-NI" w:eastAsia="es-NI"/>
        </w:rPr>
      </w:pPr>
    </w:p>
    <w:p w14:paraId="72640811"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 xml:space="preserve">Tendrá acabado general de fino liso de cemento portland, la estrillas serán formada con largo 0.49m, labrada con ondulación de 3/8”. </w:t>
      </w:r>
    </w:p>
    <w:p w14:paraId="02966014" w14:textId="77777777" w:rsidR="00A71156" w:rsidRPr="004817A1" w:rsidRDefault="00A71156" w:rsidP="00A71156">
      <w:pPr>
        <w:tabs>
          <w:tab w:val="left" w:pos="142"/>
        </w:tabs>
        <w:autoSpaceDE w:val="0"/>
        <w:autoSpaceDN w:val="0"/>
        <w:adjustRightInd w:val="0"/>
        <w:rPr>
          <w:rFonts w:cs="Arial"/>
          <w:szCs w:val="24"/>
          <w:lang w:val="es-NI" w:eastAsia="es-NI"/>
        </w:rPr>
      </w:pPr>
    </w:p>
    <w:p w14:paraId="5DF081F5"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6EB671AA" w14:textId="77777777" w:rsidR="00A71156" w:rsidRPr="004817A1" w:rsidRDefault="00A71156" w:rsidP="00A71156">
      <w:pPr>
        <w:keepNext/>
        <w:tabs>
          <w:tab w:val="left" w:pos="142"/>
        </w:tabs>
        <w:ind w:right="-516"/>
        <w:contextualSpacing/>
        <w:outlineLvl w:val="1"/>
        <w:rPr>
          <w:rFonts w:cs="Arial"/>
          <w:b/>
          <w:bCs/>
          <w:iCs/>
          <w:szCs w:val="24"/>
          <w:lang w:val="es-ES" w:eastAsia="es-ES"/>
        </w:rPr>
      </w:pPr>
    </w:p>
    <w:p w14:paraId="6833798C"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PROTECCIÓN DE PROPIEDADES Y ESTRUCTURAS</w:t>
      </w:r>
    </w:p>
    <w:p w14:paraId="19CAD431" w14:textId="77777777" w:rsidR="00A71156" w:rsidRPr="004817A1" w:rsidRDefault="00A71156" w:rsidP="00A71156">
      <w:pPr>
        <w:tabs>
          <w:tab w:val="left" w:pos="142"/>
        </w:tabs>
        <w:autoSpaceDE w:val="0"/>
        <w:autoSpaceDN w:val="0"/>
        <w:adjustRightInd w:val="0"/>
        <w:rPr>
          <w:rFonts w:cs="Arial"/>
          <w:b/>
          <w:bCs/>
          <w:szCs w:val="24"/>
          <w:lang w:val="es-NI" w:eastAsia="es-NI"/>
        </w:rPr>
      </w:pPr>
    </w:p>
    <w:p w14:paraId="153B1799"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1704FA1D" w14:textId="77777777" w:rsidR="00A71156" w:rsidRPr="004817A1" w:rsidRDefault="00A71156" w:rsidP="00A71156">
      <w:pPr>
        <w:tabs>
          <w:tab w:val="left" w:pos="142"/>
        </w:tabs>
        <w:autoSpaceDE w:val="0"/>
        <w:autoSpaceDN w:val="0"/>
        <w:adjustRightInd w:val="0"/>
        <w:rPr>
          <w:rFonts w:cs="Arial"/>
          <w:szCs w:val="24"/>
          <w:lang w:val="es-NI" w:eastAsia="es-NI"/>
        </w:rPr>
      </w:pPr>
    </w:p>
    <w:p w14:paraId="34FBE07C"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MEDICIÓN DE LOS TRABAJOS Y FORMA DE PAGO</w:t>
      </w:r>
    </w:p>
    <w:p w14:paraId="3DDFC67F" w14:textId="77777777" w:rsidR="00A71156" w:rsidRPr="004817A1" w:rsidRDefault="00A71156" w:rsidP="00A71156">
      <w:pPr>
        <w:tabs>
          <w:tab w:val="left" w:pos="142"/>
        </w:tabs>
        <w:autoSpaceDE w:val="0"/>
        <w:autoSpaceDN w:val="0"/>
        <w:adjustRightInd w:val="0"/>
        <w:rPr>
          <w:rFonts w:cs="Arial"/>
          <w:b/>
          <w:bCs/>
          <w:szCs w:val="24"/>
          <w:lang w:val="es-NI" w:eastAsia="es-NI"/>
        </w:rPr>
      </w:pPr>
    </w:p>
    <w:p w14:paraId="4CCEBA9F" w14:textId="77777777" w:rsidR="00A71156" w:rsidRPr="004817A1" w:rsidRDefault="00A71156" w:rsidP="00A71156">
      <w:pPr>
        <w:tabs>
          <w:tab w:val="left" w:pos="142"/>
        </w:tabs>
        <w:autoSpaceDE w:val="0"/>
        <w:autoSpaceDN w:val="0"/>
        <w:adjustRightInd w:val="0"/>
        <w:rPr>
          <w:rFonts w:cs="Arial"/>
          <w:szCs w:val="24"/>
          <w:lang w:val="es-NI" w:eastAsia="es-NI"/>
        </w:rPr>
      </w:pPr>
      <w:r w:rsidRPr="004817A1">
        <w:rPr>
          <w:rFonts w:cs="Arial"/>
          <w:i/>
          <w:szCs w:val="24"/>
          <w:lang w:val="es-NI" w:eastAsia="es-NI"/>
        </w:rPr>
        <w:t>Todos los trabajos a ejecutarse dentro de los alcances estimados de obra, se pagarán conforme las unidades totalmente terminadas.</w:t>
      </w:r>
    </w:p>
    <w:p w14:paraId="31DA405A" w14:textId="77777777" w:rsidR="00A71156" w:rsidRPr="004817A1" w:rsidRDefault="00A71156" w:rsidP="00A71156">
      <w:pPr>
        <w:tabs>
          <w:tab w:val="left" w:pos="142"/>
        </w:tabs>
        <w:autoSpaceDE w:val="0"/>
        <w:autoSpaceDN w:val="0"/>
        <w:adjustRightInd w:val="0"/>
        <w:rPr>
          <w:rFonts w:cs="Arial"/>
          <w:szCs w:val="24"/>
          <w:lang w:val="es-NI" w:eastAsia="es-NI"/>
        </w:rPr>
      </w:pPr>
    </w:p>
    <w:p w14:paraId="1CE38754" w14:textId="77777777" w:rsidR="00A71156" w:rsidRPr="004817A1" w:rsidRDefault="00A71156" w:rsidP="003B68DB">
      <w:pPr>
        <w:keepNext/>
        <w:numPr>
          <w:ilvl w:val="1"/>
          <w:numId w:val="127"/>
        </w:numPr>
        <w:tabs>
          <w:tab w:val="left" w:pos="142"/>
        </w:tabs>
        <w:ind w:left="0" w:right="-516" w:firstLine="0"/>
        <w:contextualSpacing/>
        <w:outlineLvl w:val="1"/>
        <w:rPr>
          <w:rFonts w:cs="Arial"/>
          <w:b/>
          <w:bCs/>
          <w:iCs/>
          <w:szCs w:val="24"/>
          <w:lang w:val="es-ES" w:eastAsia="es-ES"/>
        </w:rPr>
      </w:pPr>
      <w:r w:rsidRPr="004817A1">
        <w:rPr>
          <w:rFonts w:cs="Arial"/>
          <w:b/>
          <w:bCs/>
          <w:i/>
          <w:iCs/>
          <w:szCs w:val="24"/>
          <w:lang w:val="es-ES" w:eastAsia="es-ES"/>
        </w:rPr>
        <w:t>LIMPIEZA FINAL</w:t>
      </w:r>
    </w:p>
    <w:p w14:paraId="5FCB51B1" w14:textId="77777777" w:rsidR="00A71156" w:rsidRPr="004817A1" w:rsidRDefault="00A71156" w:rsidP="00A71156">
      <w:pPr>
        <w:tabs>
          <w:tab w:val="left" w:pos="142"/>
        </w:tabs>
        <w:autoSpaceDE w:val="0"/>
        <w:autoSpaceDN w:val="0"/>
        <w:adjustRightInd w:val="0"/>
        <w:rPr>
          <w:rFonts w:cs="Arial"/>
          <w:szCs w:val="24"/>
          <w:lang w:val="es-NI" w:eastAsia="es-NI"/>
        </w:rPr>
      </w:pPr>
    </w:p>
    <w:p w14:paraId="1609EBA3" w14:textId="77777777" w:rsidR="00A71156" w:rsidRPr="004817A1" w:rsidRDefault="00A71156" w:rsidP="00A71156">
      <w:pPr>
        <w:tabs>
          <w:tab w:val="left" w:pos="142"/>
        </w:tabs>
        <w:autoSpaceDE w:val="0"/>
        <w:autoSpaceDN w:val="0"/>
        <w:adjustRightInd w:val="0"/>
        <w:rPr>
          <w:rFonts w:cs="Arial"/>
          <w:i/>
          <w:szCs w:val="24"/>
          <w:lang w:val="es-NI" w:eastAsia="es-NI"/>
        </w:rPr>
      </w:pPr>
      <w:r w:rsidRPr="004817A1">
        <w:rPr>
          <w:rFonts w:cs="Arial"/>
          <w:i/>
          <w:szCs w:val="24"/>
          <w:lang w:val="es-NI" w:eastAsia="es-NI"/>
        </w:rPr>
        <w:t>EL CONTRATISTA una vez terminado el trabajo, eliminará toda basura material y sobrante de la ejecución de la obra, dejando en condición original y limpia el terreno y la letrina.</w:t>
      </w:r>
    </w:p>
    <w:p w14:paraId="15A19B1E" w14:textId="77777777" w:rsidR="00A71156" w:rsidRPr="004817A1" w:rsidRDefault="00A71156" w:rsidP="00A71156">
      <w:pPr>
        <w:rPr>
          <w:rFonts w:cs="Arial"/>
          <w:i/>
          <w:szCs w:val="24"/>
          <w:lang w:val="es-NI" w:eastAsia="es-NI"/>
        </w:rPr>
      </w:pPr>
      <w:r w:rsidRPr="004817A1">
        <w:rPr>
          <w:rFonts w:cs="Arial"/>
          <w:i/>
          <w:szCs w:val="24"/>
          <w:lang w:val="es-NI" w:eastAsia="es-NI"/>
        </w:rPr>
        <w:br w:type="page"/>
      </w:r>
    </w:p>
    <w:p w14:paraId="73C88BA3" w14:textId="77777777" w:rsidR="00A71156" w:rsidRPr="004817A1" w:rsidRDefault="00A71156" w:rsidP="00A71156">
      <w:pPr>
        <w:tabs>
          <w:tab w:val="left" w:pos="142"/>
        </w:tabs>
        <w:autoSpaceDE w:val="0"/>
        <w:autoSpaceDN w:val="0"/>
        <w:adjustRightInd w:val="0"/>
        <w:ind w:left="-567"/>
        <w:rPr>
          <w:rFonts w:cs="Arial"/>
          <w:szCs w:val="24"/>
          <w:lang w:val="es-NI" w:eastAsia="es-NI"/>
        </w:rPr>
      </w:pPr>
    </w:p>
    <w:p w14:paraId="6FA1DFD4" w14:textId="77777777" w:rsidR="00A71156" w:rsidRPr="004817A1" w:rsidRDefault="00A71156" w:rsidP="003B68DB">
      <w:pPr>
        <w:keepNext/>
        <w:numPr>
          <w:ilvl w:val="0"/>
          <w:numId w:val="127"/>
        </w:numPr>
        <w:tabs>
          <w:tab w:val="left" w:pos="142"/>
        </w:tabs>
        <w:ind w:left="426" w:right="-516" w:firstLine="0"/>
        <w:contextualSpacing/>
        <w:outlineLvl w:val="1"/>
        <w:rPr>
          <w:rFonts w:cs="Arial"/>
          <w:b/>
          <w:bCs/>
          <w:iCs/>
          <w:sz w:val="28"/>
          <w:szCs w:val="24"/>
          <w:lang w:val="es-ES" w:eastAsia="es-ES"/>
        </w:rPr>
      </w:pPr>
      <w:r w:rsidRPr="004817A1">
        <w:rPr>
          <w:rFonts w:cs="Arial"/>
          <w:b/>
          <w:bCs/>
          <w:i/>
          <w:iCs/>
          <w:sz w:val="28"/>
          <w:szCs w:val="24"/>
          <w:lang w:val="es-ES" w:eastAsia="es-ES"/>
        </w:rPr>
        <w:t xml:space="preserve">         ESPECIFICACIONES TECNICAS GENERALES AMBIENTALES</w:t>
      </w:r>
    </w:p>
    <w:p w14:paraId="3014AC59" w14:textId="77777777" w:rsidR="00A71156" w:rsidRPr="004817A1" w:rsidRDefault="00A71156" w:rsidP="00A71156">
      <w:pPr>
        <w:tabs>
          <w:tab w:val="left" w:pos="142"/>
        </w:tabs>
        <w:autoSpaceDE w:val="0"/>
        <w:autoSpaceDN w:val="0"/>
        <w:adjustRightInd w:val="0"/>
        <w:ind w:left="-567"/>
        <w:rPr>
          <w:rFonts w:cs="Arial"/>
          <w:szCs w:val="24"/>
          <w:lang w:val="es-NI" w:eastAsia="es-NI"/>
        </w:rPr>
      </w:pPr>
    </w:p>
    <w:p w14:paraId="24248E34" w14:textId="77777777" w:rsidR="00A71156" w:rsidRPr="004817A1" w:rsidRDefault="00A71156" w:rsidP="003B68DB">
      <w:pPr>
        <w:keepNext/>
        <w:numPr>
          <w:ilvl w:val="1"/>
          <w:numId w:val="127"/>
        </w:numPr>
        <w:tabs>
          <w:tab w:val="left" w:pos="0"/>
        </w:tabs>
        <w:ind w:left="0" w:right="-516" w:firstLine="0"/>
        <w:contextualSpacing/>
        <w:outlineLvl w:val="1"/>
        <w:rPr>
          <w:rFonts w:cs="Arial"/>
          <w:b/>
          <w:bCs/>
          <w:iCs/>
          <w:szCs w:val="24"/>
          <w:lang w:val="es-ES" w:eastAsia="es-ES"/>
        </w:rPr>
      </w:pPr>
      <w:bookmarkStart w:id="422" w:name="_Toc386446464"/>
      <w:r w:rsidRPr="004817A1">
        <w:rPr>
          <w:rFonts w:cs="Arial"/>
          <w:b/>
          <w:bCs/>
          <w:i/>
          <w:iCs/>
          <w:szCs w:val="24"/>
          <w:lang w:val="es-ES" w:eastAsia="es-ES"/>
        </w:rPr>
        <w:t>INTRODUCCIÓN</w:t>
      </w:r>
      <w:bookmarkEnd w:id="422"/>
    </w:p>
    <w:p w14:paraId="29701963" w14:textId="77777777" w:rsidR="00A71156" w:rsidRPr="004817A1" w:rsidRDefault="00A71156" w:rsidP="00A71156">
      <w:pPr>
        <w:tabs>
          <w:tab w:val="left" w:pos="142"/>
        </w:tabs>
        <w:rPr>
          <w:rFonts w:cs="Arial"/>
          <w:szCs w:val="24"/>
          <w:lang w:val="es-MX" w:eastAsia="es-ES"/>
        </w:rPr>
      </w:pPr>
    </w:p>
    <w:p w14:paraId="4C8AC328" w14:textId="77777777" w:rsidR="00A71156" w:rsidRPr="004817A1" w:rsidRDefault="00A71156" w:rsidP="00A71156">
      <w:pPr>
        <w:tabs>
          <w:tab w:val="left" w:pos="142"/>
        </w:tabs>
        <w:rPr>
          <w:rFonts w:cs="Arial"/>
          <w:szCs w:val="24"/>
          <w:lang w:val="es-MX" w:eastAsia="es-ES"/>
        </w:rPr>
      </w:pPr>
      <w:r w:rsidRPr="004817A1">
        <w:rPr>
          <w:rFonts w:cs="Arial"/>
          <w:i/>
          <w:szCs w:val="24"/>
          <w:lang w:val="es-MX" w:eastAsia="es-ES"/>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026DA75B" w14:textId="77777777" w:rsidR="00A71156" w:rsidRPr="004817A1" w:rsidRDefault="00A71156" w:rsidP="00A71156">
      <w:pPr>
        <w:tabs>
          <w:tab w:val="left" w:pos="142"/>
        </w:tabs>
        <w:rPr>
          <w:rFonts w:cs="Arial"/>
          <w:szCs w:val="24"/>
          <w:lang w:val="es-MX" w:eastAsia="es-ES"/>
        </w:rPr>
      </w:pPr>
    </w:p>
    <w:p w14:paraId="43BA0F06" w14:textId="77777777" w:rsidR="00A71156" w:rsidRPr="004817A1" w:rsidRDefault="00A71156" w:rsidP="00A71156">
      <w:pPr>
        <w:tabs>
          <w:tab w:val="left" w:pos="142"/>
        </w:tabs>
        <w:rPr>
          <w:rFonts w:cs="Arial"/>
          <w:szCs w:val="24"/>
          <w:lang w:val="es-MX" w:eastAsia="es-ES"/>
        </w:rPr>
      </w:pPr>
      <w:r w:rsidRPr="004817A1">
        <w:rPr>
          <w:rFonts w:cs="Arial"/>
          <w:i/>
          <w:szCs w:val="24"/>
          <w:lang w:val="es-MX" w:eastAsia="es-ES"/>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53DF1F2A" w14:textId="77777777" w:rsidR="00A71156" w:rsidRPr="004817A1" w:rsidRDefault="00A71156" w:rsidP="00A71156">
      <w:pPr>
        <w:keepNext/>
        <w:tabs>
          <w:tab w:val="left" w:pos="0"/>
        </w:tabs>
        <w:ind w:right="-516"/>
        <w:contextualSpacing/>
        <w:outlineLvl w:val="1"/>
        <w:rPr>
          <w:rFonts w:cs="Arial"/>
          <w:b/>
          <w:bCs/>
          <w:iCs/>
          <w:szCs w:val="24"/>
          <w:lang w:val="es-ES" w:eastAsia="es-ES"/>
        </w:rPr>
      </w:pPr>
    </w:p>
    <w:p w14:paraId="31BB71C4" w14:textId="77777777" w:rsidR="00A71156" w:rsidRPr="004817A1" w:rsidRDefault="00A71156" w:rsidP="003B68DB">
      <w:pPr>
        <w:keepNext/>
        <w:numPr>
          <w:ilvl w:val="1"/>
          <w:numId w:val="127"/>
        </w:numPr>
        <w:tabs>
          <w:tab w:val="left" w:pos="0"/>
        </w:tabs>
        <w:ind w:left="0" w:right="-516" w:firstLine="0"/>
        <w:contextualSpacing/>
        <w:outlineLvl w:val="1"/>
        <w:rPr>
          <w:rFonts w:cs="Arial"/>
          <w:b/>
          <w:bCs/>
          <w:iCs/>
          <w:szCs w:val="24"/>
          <w:lang w:val="es-ES" w:eastAsia="es-ES"/>
        </w:rPr>
      </w:pPr>
      <w:bookmarkStart w:id="423" w:name="_Toc386446484"/>
      <w:r w:rsidRPr="004817A1">
        <w:rPr>
          <w:rFonts w:cs="Arial"/>
          <w:b/>
          <w:bCs/>
          <w:i/>
          <w:iCs/>
          <w:szCs w:val="24"/>
          <w:lang w:val="es-ES" w:eastAsia="es-ES"/>
        </w:rPr>
        <w:t>ESPECIFICACIONES TÉCNICAS AMBIENTALES GENERALES PARA LOS PROYECTOS</w:t>
      </w:r>
      <w:bookmarkEnd w:id="423"/>
      <w:r w:rsidRPr="004817A1">
        <w:rPr>
          <w:rFonts w:cs="Arial"/>
          <w:b/>
          <w:bCs/>
          <w:i/>
          <w:iCs/>
          <w:szCs w:val="24"/>
          <w:lang w:val="es-ES" w:eastAsia="es-ES"/>
        </w:rPr>
        <w:t xml:space="preserve"> NUEVO </w:t>
      </w:r>
    </w:p>
    <w:p w14:paraId="7F082811" w14:textId="77777777" w:rsidR="00A71156" w:rsidRPr="004817A1" w:rsidRDefault="00A71156" w:rsidP="00A71156">
      <w:pPr>
        <w:tabs>
          <w:tab w:val="left" w:pos="142"/>
        </w:tabs>
        <w:rPr>
          <w:rFonts w:cs="Arial"/>
          <w:szCs w:val="24"/>
          <w:lang w:val="es-MX" w:eastAsia="es-ES"/>
        </w:rPr>
      </w:pPr>
    </w:p>
    <w:p w14:paraId="76F61965" w14:textId="77777777" w:rsidR="00A71156" w:rsidRPr="004817A1" w:rsidRDefault="00A71156" w:rsidP="00A71156">
      <w:pPr>
        <w:tabs>
          <w:tab w:val="left" w:pos="142"/>
        </w:tabs>
        <w:rPr>
          <w:rFonts w:cs="Arial"/>
          <w:b/>
          <w:szCs w:val="24"/>
          <w:lang w:val="es-ES" w:eastAsia="es-ES"/>
        </w:rPr>
      </w:pPr>
      <w:r w:rsidRPr="004817A1">
        <w:rPr>
          <w:rFonts w:cs="Arial"/>
          <w:b/>
          <w:i/>
          <w:szCs w:val="24"/>
          <w:lang w:val="es-ES" w:eastAsia="es-ES"/>
        </w:rPr>
        <w:t>Disposición de materiales y residuos</w:t>
      </w:r>
    </w:p>
    <w:p w14:paraId="5A393665"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Antes de iniciar actividades, se debe delimitar el área a intervenir y señalizar a través de barreras, estacas, cintas reflectoras, entre otras.</w:t>
      </w:r>
    </w:p>
    <w:p w14:paraId="5FE8A086"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Una vez generado el material (escombros) de excavación o demolición se debe clasificar, almacenar y resguardar inmediatamente del frente de la obra y una vez finalizada ser retirados a sitios autorizados.</w:t>
      </w:r>
    </w:p>
    <w:p w14:paraId="7A631ABB"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Cubrir los materiales acopiados o producto de la excavación con lonas o plástico para evitar el arrastre de sedimentos al cuerpo de agua e impedir la dispersión del material por acción del viento.</w:t>
      </w:r>
    </w:p>
    <w:p w14:paraId="470560E8"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El contratista no puede directamente o a través de terceras personas, disponer de estos residuos en sitios diferentes que los establecidos para ello y autorizados por el supervisor.</w:t>
      </w:r>
    </w:p>
    <w:p w14:paraId="3463908E"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No se permitirá botar los residuos en ríos o quebradas, calzadas, canales de aguas pluviales o cauces, cuerpos de agua o cualquier otro sitio donde puedan ser causa de contaminación del ambiente o deterioro del paisaje.</w:t>
      </w:r>
    </w:p>
    <w:p w14:paraId="6AAD5D1E"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No disponer en cauces o cursos los sobrantes de mezclas de concreto.</w:t>
      </w:r>
    </w:p>
    <w:p w14:paraId="17DA3752"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Se recomienda en separar el papel y la madera que pueda ser utilizados como combustible, la tierra sobrante de excavación que se pueda disponer como relleno, los metales y los plásticos que se puedan reciclar.</w:t>
      </w:r>
    </w:p>
    <w:p w14:paraId="2988FC16"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073BB3C8"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lastRenderedPageBreak/>
        <w:t>Al finalizar cada actividad de la obra en el día, los sitios de las obras y sus zonas contiguas deberán estar en óptimas condiciones de limpieza y libre de cualquier tipo de material de desecho.</w:t>
      </w:r>
    </w:p>
    <w:p w14:paraId="186CC6B1"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Las zonas de paso, salidas y vías de circulación de los lugares de trabajo deberán permanecer libres de obstáculos, de forma que sea posible utilizarlas sin dificultad.</w:t>
      </w:r>
    </w:p>
    <w:p w14:paraId="200F2F46"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Se prohíbe la utilización de las zonas verdes y el espacio público para la disposición temporal de materiales sobrantes, producto de las actividades constructivas de los proyectos.</w:t>
      </w:r>
    </w:p>
    <w:p w14:paraId="01954209" w14:textId="77777777" w:rsidR="00A71156" w:rsidRPr="004817A1" w:rsidRDefault="00A71156" w:rsidP="003B68DB">
      <w:pPr>
        <w:numPr>
          <w:ilvl w:val="0"/>
          <w:numId w:val="134"/>
        </w:numPr>
        <w:tabs>
          <w:tab w:val="left" w:pos="142"/>
        </w:tabs>
        <w:contextualSpacing/>
        <w:rPr>
          <w:rFonts w:cs="Arial"/>
          <w:szCs w:val="24"/>
          <w:lang w:val="es-MX" w:eastAsia="es-ES"/>
        </w:rPr>
      </w:pPr>
      <w:r w:rsidRPr="004817A1">
        <w:rPr>
          <w:rFonts w:cs="Arial"/>
          <w:i/>
          <w:szCs w:val="24"/>
          <w:lang w:val="es-ES" w:eastAsia="es-ES"/>
        </w:rPr>
        <w:t xml:space="preserve">El contratista debe contar con materiales aptos para la mezcla de cemento como: lona de plástico, batea, entre otros.   </w:t>
      </w:r>
    </w:p>
    <w:p w14:paraId="5613102F" w14:textId="77777777" w:rsidR="00A71156" w:rsidRPr="004817A1" w:rsidRDefault="00A71156" w:rsidP="00A71156">
      <w:pPr>
        <w:tabs>
          <w:tab w:val="left" w:pos="142"/>
        </w:tabs>
        <w:ind w:left="720"/>
        <w:rPr>
          <w:rFonts w:cs="Arial"/>
          <w:szCs w:val="24"/>
          <w:lang w:val="es-ES" w:eastAsia="es-ES"/>
        </w:rPr>
      </w:pPr>
    </w:p>
    <w:p w14:paraId="3460CEC4" w14:textId="77777777" w:rsidR="00A71156" w:rsidRPr="004817A1" w:rsidRDefault="00A71156" w:rsidP="00A71156">
      <w:pPr>
        <w:tabs>
          <w:tab w:val="left" w:pos="142"/>
        </w:tabs>
        <w:rPr>
          <w:rFonts w:cs="Arial"/>
          <w:b/>
          <w:szCs w:val="24"/>
          <w:lang w:val="es-ES" w:eastAsia="es-ES"/>
        </w:rPr>
      </w:pPr>
      <w:r w:rsidRPr="004817A1">
        <w:rPr>
          <w:rFonts w:cs="Arial"/>
          <w:b/>
          <w:i/>
          <w:szCs w:val="24"/>
          <w:lang w:val="es-ES" w:eastAsia="es-ES"/>
        </w:rPr>
        <w:t>Disposiciones de Excretas</w:t>
      </w:r>
    </w:p>
    <w:p w14:paraId="00E90588" w14:textId="77777777" w:rsidR="00A71156" w:rsidRPr="004817A1" w:rsidRDefault="00A71156" w:rsidP="003B68DB">
      <w:pPr>
        <w:numPr>
          <w:ilvl w:val="0"/>
          <w:numId w:val="135"/>
        </w:numPr>
        <w:tabs>
          <w:tab w:val="left" w:pos="142"/>
        </w:tabs>
        <w:contextualSpacing/>
        <w:rPr>
          <w:rFonts w:cs="Arial"/>
          <w:szCs w:val="24"/>
          <w:lang w:val="es-MX" w:eastAsia="es-ES"/>
        </w:rPr>
      </w:pPr>
      <w:r w:rsidRPr="004817A1">
        <w:rPr>
          <w:rFonts w:cs="Arial"/>
          <w:i/>
          <w:szCs w:val="24"/>
          <w:lang w:val="es-ES" w:eastAsia="es-ES"/>
        </w:rPr>
        <w:t>Si el sitio de las obras no dispone de sistema sanitario que pueda ser utilizado por los trabajadores del contratista, el contratista deberá construir una letrina para este fin. El tipo de letrina a construir dependerá de la zona donde se ubicará.</w:t>
      </w:r>
    </w:p>
    <w:p w14:paraId="0685DB19" w14:textId="77777777" w:rsidR="00A71156" w:rsidRPr="004817A1" w:rsidRDefault="00A71156" w:rsidP="00A71156">
      <w:pPr>
        <w:tabs>
          <w:tab w:val="left" w:pos="142"/>
        </w:tabs>
        <w:rPr>
          <w:rFonts w:cs="Arial"/>
          <w:szCs w:val="24"/>
          <w:lang w:val="es-ES" w:eastAsia="es-ES"/>
        </w:rPr>
      </w:pPr>
    </w:p>
    <w:p w14:paraId="5832F365" w14:textId="77777777" w:rsidR="00A71156" w:rsidRPr="004817A1" w:rsidRDefault="00A71156" w:rsidP="00A71156">
      <w:pPr>
        <w:tabs>
          <w:tab w:val="left" w:pos="142"/>
        </w:tabs>
        <w:rPr>
          <w:rFonts w:cs="Arial"/>
          <w:b/>
          <w:iCs/>
          <w:szCs w:val="24"/>
          <w:lang w:val="es-ES" w:eastAsia="es-ES"/>
        </w:rPr>
      </w:pPr>
      <w:r w:rsidRPr="004817A1">
        <w:rPr>
          <w:rFonts w:cs="Arial"/>
          <w:b/>
          <w:i/>
          <w:iCs/>
          <w:szCs w:val="24"/>
          <w:lang w:val="es-ES" w:eastAsia="es-ES"/>
        </w:rPr>
        <w:t>Residuos Líquidos</w:t>
      </w:r>
    </w:p>
    <w:p w14:paraId="35B06090" w14:textId="77777777" w:rsidR="00A71156" w:rsidRPr="004817A1" w:rsidRDefault="00A71156" w:rsidP="003B68DB">
      <w:pPr>
        <w:numPr>
          <w:ilvl w:val="0"/>
          <w:numId w:val="135"/>
        </w:numPr>
        <w:tabs>
          <w:tab w:val="left" w:pos="142"/>
        </w:tabs>
        <w:contextualSpacing/>
        <w:rPr>
          <w:rFonts w:cs="Arial"/>
          <w:szCs w:val="24"/>
          <w:lang w:val="es-MX" w:eastAsia="es-ES"/>
        </w:rPr>
      </w:pPr>
      <w:r w:rsidRPr="004817A1">
        <w:rPr>
          <w:rFonts w:cs="Arial"/>
          <w:i/>
          <w:szCs w:val="24"/>
          <w:lang w:val="es-ES" w:eastAsia="es-ES"/>
        </w:rPr>
        <w:t xml:space="preserve">Los residuos líquidos como grasas, aceites y pintura con base de aceite, se les deberán de almacenar en pequeños envases herméticos y disponerlos en vertederos en la municipalidad.  </w:t>
      </w:r>
    </w:p>
    <w:p w14:paraId="4A7539FF" w14:textId="77777777" w:rsidR="00A71156" w:rsidRPr="004817A1" w:rsidRDefault="00A71156" w:rsidP="00A71156">
      <w:pPr>
        <w:tabs>
          <w:tab w:val="left" w:pos="142"/>
        </w:tabs>
        <w:ind w:left="720"/>
        <w:rPr>
          <w:rFonts w:cs="Arial"/>
          <w:szCs w:val="24"/>
          <w:lang w:val="es-MX" w:eastAsia="es-ES"/>
        </w:rPr>
      </w:pPr>
    </w:p>
    <w:p w14:paraId="0E3EC2A2" w14:textId="77777777" w:rsidR="00A71156" w:rsidRPr="004817A1" w:rsidRDefault="00A71156" w:rsidP="003B68DB">
      <w:pPr>
        <w:numPr>
          <w:ilvl w:val="0"/>
          <w:numId w:val="135"/>
        </w:numPr>
        <w:tabs>
          <w:tab w:val="left" w:pos="142"/>
        </w:tabs>
        <w:contextualSpacing/>
        <w:rPr>
          <w:rFonts w:cs="Arial"/>
          <w:szCs w:val="24"/>
          <w:lang w:val="es-MX" w:eastAsia="es-ES"/>
        </w:rPr>
      </w:pPr>
      <w:r w:rsidRPr="004817A1">
        <w:rPr>
          <w:rFonts w:cs="Arial"/>
          <w:i/>
          <w:szCs w:val="24"/>
          <w:lang w:val="es-ES" w:eastAsia="es-ES"/>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18BD6FE9" w14:textId="77777777" w:rsidR="00A71156" w:rsidRPr="004817A1" w:rsidRDefault="00A71156" w:rsidP="00A71156">
      <w:pPr>
        <w:tabs>
          <w:tab w:val="left" w:pos="142"/>
        </w:tabs>
        <w:ind w:left="720"/>
        <w:contextualSpacing/>
        <w:rPr>
          <w:rFonts w:cs="Arial"/>
          <w:szCs w:val="24"/>
          <w:lang w:val="es-MX" w:eastAsia="es-ES"/>
        </w:rPr>
      </w:pPr>
    </w:p>
    <w:p w14:paraId="367AF3D2" w14:textId="77777777" w:rsidR="00A71156" w:rsidRPr="004817A1" w:rsidRDefault="00A71156" w:rsidP="00A71156">
      <w:pPr>
        <w:tabs>
          <w:tab w:val="left" w:pos="142"/>
        </w:tabs>
        <w:ind w:left="720"/>
        <w:contextualSpacing/>
        <w:rPr>
          <w:rFonts w:cs="Arial"/>
          <w:szCs w:val="24"/>
          <w:lang w:val="es-MX" w:eastAsia="es-ES"/>
        </w:rPr>
      </w:pPr>
    </w:p>
    <w:p w14:paraId="25E87F48" w14:textId="77777777" w:rsidR="00A71156" w:rsidRPr="004817A1" w:rsidRDefault="00A71156" w:rsidP="00A71156">
      <w:pPr>
        <w:tabs>
          <w:tab w:val="left" w:pos="142"/>
        </w:tabs>
        <w:rPr>
          <w:rFonts w:cs="Arial"/>
          <w:b/>
          <w:iCs/>
          <w:szCs w:val="24"/>
          <w:lang w:val="es-ES" w:eastAsia="es-ES"/>
        </w:rPr>
      </w:pPr>
      <w:r w:rsidRPr="004817A1">
        <w:rPr>
          <w:rFonts w:cs="Arial"/>
          <w:b/>
          <w:i/>
          <w:iCs/>
          <w:szCs w:val="24"/>
          <w:lang w:val="es-ES" w:eastAsia="es-ES"/>
        </w:rPr>
        <w:t>Residuos de Tierra Sobrante</w:t>
      </w:r>
    </w:p>
    <w:p w14:paraId="6367A547" w14:textId="77777777" w:rsidR="00A71156" w:rsidRPr="004817A1" w:rsidRDefault="00A71156" w:rsidP="003B68DB">
      <w:pPr>
        <w:numPr>
          <w:ilvl w:val="0"/>
          <w:numId w:val="136"/>
        </w:numPr>
        <w:tabs>
          <w:tab w:val="left" w:pos="142"/>
        </w:tabs>
        <w:contextualSpacing/>
        <w:rPr>
          <w:rFonts w:cs="Arial"/>
          <w:szCs w:val="24"/>
          <w:lang w:val="es-MX" w:eastAsia="es-ES"/>
        </w:rPr>
      </w:pPr>
      <w:r w:rsidRPr="004817A1">
        <w:rPr>
          <w:rFonts w:cs="Arial"/>
          <w:i/>
          <w:szCs w:val="24"/>
          <w:lang w:val="es-ES" w:eastAsia="es-ES"/>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1A3C7082" w14:textId="77777777" w:rsidR="00A71156" w:rsidRPr="004817A1" w:rsidRDefault="00A71156" w:rsidP="00A71156">
      <w:pPr>
        <w:tabs>
          <w:tab w:val="left" w:pos="142"/>
        </w:tabs>
        <w:ind w:left="720"/>
        <w:rPr>
          <w:rFonts w:cs="Arial"/>
          <w:szCs w:val="24"/>
          <w:lang w:val="es-MX" w:eastAsia="es-ES"/>
        </w:rPr>
      </w:pPr>
    </w:p>
    <w:p w14:paraId="1BB4EB4B" w14:textId="77777777" w:rsidR="00A71156" w:rsidRPr="004817A1" w:rsidRDefault="00A71156" w:rsidP="00A71156">
      <w:pPr>
        <w:tabs>
          <w:tab w:val="left" w:pos="142"/>
        </w:tabs>
        <w:rPr>
          <w:rFonts w:cs="Arial"/>
          <w:b/>
          <w:iCs/>
          <w:szCs w:val="24"/>
          <w:lang w:val="es-ES" w:eastAsia="es-ES"/>
        </w:rPr>
      </w:pPr>
      <w:r w:rsidRPr="004817A1">
        <w:rPr>
          <w:rFonts w:cs="Arial"/>
          <w:b/>
          <w:i/>
          <w:iCs/>
          <w:szCs w:val="24"/>
          <w:lang w:val="es-ES" w:eastAsia="es-ES"/>
        </w:rPr>
        <w:t>Apertura de Zanjas</w:t>
      </w:r>
    </w:p>
    <w:p w14:paraId="06B35B57" w14:textId="77777777" w:rsidR="00A71156" w:rsidRPr="004817A1" w:rsidRDefault="00A71156" w:rsidP="003B68DB">
      <w:pPr>
        <w:numPr>
          <w:ilvl w:val="0"/>
          <w:numId w:val="139"/>
        </w:numPr>
        <w:tabs>
          <w:tab w:val="left" w:pos="142"/>
        </w:tabs>
        <w:contextualSpacing/>
        <w:rPr>
          <w:rFonts w:cs="Arial"/>
          <w:b/>
          <w:iCs/>
          <w:szCs w:val="24"/>
          <w:lang w:val="es-ES" w:eastAsia="es-ES"/>
        </w:rPr>
      </w:pPr>
      <w:r w:rsidRPr="004817A1">
        <w:rPr>
          <w:rFonts w:cs="Arial"/>
          <w:i/>
          <w:szCs w:val="24"/>
          <w:lang w:val="es-ES" w:eastAsia="es-ES"/>
        </w:rPr>
        <w:t>Las zanjas que se excaven para la instalación de las tuberías de agua potable o servida, tanques sépticos y pozos de absorción, deberán señalizarse con cinta de color naranja internacional, para evitar accidentes.</w:t>
      </w:r>
    </w:p>
    <w:p w14:paraId="29C3C9D6" w14:textId="77777777" w:rsidR="00A71156" w:rsidRPr="004817A1" w:rsidRDefault="00A71156" w:rsidP="003B68DB">
      <w:pPr>
        <w:numPr>
          <w:ilvl w:val="0"/>
          <w:numId w:val="139"/>
        </w:numPr>
        <w:tabs>
          <w:tab w:val="left" w:pos="142"/>
        </w:tabs>
        <w:contextualSpacing/>
        <w:rPr>
          <w:rFonts w:cs="Arial"/>
          <w:szCs w:val="24"/>
          <w:lang w:val="es-MX" w:eastAsia="es-ES"/>
        </w:rPr>
      </w:pPr>
      <w:r w:rsidRPr="004817A1">
        <w:rPr>
          <w:rFonts w:cs="Arial"/>
          <w:i/>
          <w:szCs w:val="24"/>
          <w:lang w:val="es-ES" w:eastAsia="es-ES"/>
        </w:rPr>
        <w:t>El material excavado se deberá depositar al lado de la misma y cubrir con plástico durante la época lluviosa, para evitar el arrastre de material por la escorrentía.</w:t>
      </w:r>
    </w:p>
    <w:p w14:paraId="5722D72E" w14:textId="77777777" w:rsidR="00A71156" w:rsidRPr="004817A1" w:rsidRDefault="00A71156" w:rsidP="003B68DB">
      <w:pPr>
        <w:numPr>
          <w:ilvl w:val="0"/>
          <w:numId w:val="139"/>
        </w:numPr>
        <w:tabs>
          <w:tab w:val="left" w:pos="142"/>
        </w:tabs>
        <w:contextualSpacing/>
        <w:rPr>
          <w:rFonts w:cs="Arial"/>
          <w:szCs w:val="24"/>
          <w:lang w:val="es-MX" w:eastAsia="es-ES"/>
        </w:rPr>
      </w:pPr>
      <w:r w:rsidRPr="004817A1">
        <w:rPr>
          <w:rFonts w:cs="Arial"/>
          <w:i/>
          <w:szCs w:val="24"/>
          <w:lang w:val="es-ES" w:eastAsia="es-ES"/>
        </w:rPr>
        <w:t>En época de sequía, se deberá humedecer el material para minimizar la producción de polvo.</w:t>
      </w:r>
    </w:p>
    <w:p w14:paraId="6EA5E1A4" w14:textId="77777777" w:rsidR="00A71156" w:rsidRPr="004817A1" w:rsidRDefault="00A71156" w:rsidP="003B68DB">
      <w:pPr>
        <w:numPr>
          <w:ilvl w:val="0"/>
          <w:numId w:val="139"/>
        </w:numPr>
        <w:tabs>
          <w:tab w:val="left" w:pos="142"/>
        </w:tabs>
        <w:autoSpaceDE w:val="0"/>
        <w:autoSpaceDN w:val="0"/>
        <w:adjustRightInd w:val="0"/>
        <w:rPr>
          <w:rFonts w:cs="Arial"/>
          <w:szCs w:val="24"/>
          <w:lang w:val="es-NI"/>
        </w:rPr>
      </w:pPr>
      <w:r w:rsidRPr="004817A1">
        <w:rPr>
          <w:rFonts w:cs="Arial"/>
          <w:szCs w:val="24"/>
          <w:lang w:val="es-NI"/>
        </w:rPr>
        <w:t xml:space="preserve">Si el material excavado es inestable, se deberán entibar las zanjas independientemente de la altura. Si el material es estable, se entibará a partir de 2.50 metros. </w:t>
      </w:r>
    </w:p>
    <w:p w14:paraId="6CCE39ED" w14:textId="77777777" w:rsidR="00A71156" w:rsidRPr="004817A1" w:rsidRDefault="00A71156" w:rsidP="00A71156">
      <w:pPr>
        <w:tabs>
          <w:tab w:val="left" w:pos="142"/>
        </w:tabs>
        <w:rPr>
          <w:rFonts w:cs="Arial"/>
          <w:szCs w:val="24"/>
          <w:lang w:val="es-MX" w:eastAsia="es-ES"/>
        </w:rPr>
      </w:pPr>
    </w:p>
    <w:p w14:paraId="3E9121EC" w14:textId="77777777" w:rsidR="00A71156" w:rsidRPr="004817A1" w:rsidRDefault="00A71156" w:rsidP="00A71156">
      <w:pPr>
        <w:tabs>
          <w:tab w:val="left" w:pos="142"/>
        </w:tabs>
        <w:rPr>
          <w:rFonts w:cs="Arial"/>
          <w:b/>
          <w:iCs/>
          <w:szCs w:val="24"/>
          <w:lang w:val="es-ES" w:eastAsia="es-ES"/>
        </w:rPr>
      </w:pPr>
      <w:r w:rsidRPr="004817A1">
        <w:rPr>
          <w:rFonts w:cs="Arial"/>
          <w:b/>
          <w:i/>
          <w:iCs/>
          <w:szCs w:val="24"/>
          <w:lang w:val="es-ES" w:eastAsia="es-ES"/>
        </w:rPr>
        <w:t>Tala de árboles y Reemplazo</w:t>
      </w:r>
    </w:p>
    <w:p w14:paraId="60CF3911" w14:textId="77777777" w:rsidR="00A71156" w:rsidRPr="004817A1" w:rsidRDefault="00A71156" w:rsidP="003B68DB">
      <w:pPr>
        <w:numPr>
          <w:ilvl w:val="0"/>
          <w:numId w:val="138"/>
        </w:numPr>
        <w:tabs>
          <w:tab w:val="left" w:pos="142"/>
        </w:tabs>
        <w:ind w:left="502"/>
        <w:contextualSpacing/>
        <w:rPr>
          <w:rFonts w:cs="Arial"/>
          <w:szCs w:val="24"/>
          <w:lang w:val="es-NI" w:eastAsia="es-ES"/>
        </w:rPr>
      </w:pPr>
      <w:r w:rsidRPr="004817A1">
        <w:rPr>
          <w:rFonts w:cs="Arial"/>
          <w:i/>
          <w:szCs w:val="24"/>
          <w:lang w:val="es-NI" w:eastAsia="es-ES"/>
        </w:rPr>
        <w:t xml:space="preserve">Si las talas de árboles son requeridas para la construcción del proyecto, el contratista deberá contar con el aval vigente de INAFOR o autorización de MARENA en caso que se encuentre </w:t>
      </w:r>
      <w:r w:rsidRPr="004817A1">
        <w:rPr>
          <w:rFonts w:cs="Arial"/>
          <w:i/>
          <w:szCs w:val="24"/>
          <w:lang w:val="es-NI" w:eastAsia="es-ES"/>
        </w:rPr>
        <w:lastRenderedPageBreak/>
        <w:t>dentro de un Área Protegida. Para cada árbol derribado, se extraerá el tronco y la raíz. Se rellenará el hueco provocado por la eliminación del árbol.</w:t>
      </w:r>
    </w:p>
    <w:p w14:paraId="08CD3551" w14:textId="77777777" w:rsidR="00A71156" w:rsidRPr="004817A1" w:rsidRDefault="00A71156" w:rsidP="003B68DB">
      <w:pPr>
        <w:numPr>
          <w:ilvl w:val="0"/>
          <w:numId w:val="138"/>
        </w:numPr>
        <w:tabs>
          <w:tab w:val="left" w:pos="142"/>
        </w:tabs>
        <w:ind w:left="502"/>
        <w:contextualSpacing/>
        <w:rPr>
          <w:rFonts w:cs="Arial"/>
          <w:szCs w:val="24"/>
          <w:lang w:val="es-NI" w:eastAsia="es-ES"/>
        </w:rPr>
      </w:pPr>
      <w:r w:rsidRPr="004817A1">
        <w:rPr>
          <w:rFonts w:cs="Arial"/>
          <w:i/>
          <w:szCs w:val="24"/>
          <w:lang w:val="es-NI" w:eastAsia="es-ES"/>
        </w:rPr>
        <w:t>Si el contratista, en la ejecución del proyecto, requiere talar árboles adicionales a los contemplados en los planos y diseños del proyecto, deberá asumir los costos de dicha acción y cumplir con los requisitos establecidos.</w:t>
      </w:r>
    </w:p>
    <w:p w14:paraId="43832CBB" w14:textId="77777777" w:rsidR="00A71156" w:rsidRPr="004817A1" w:rsidRDefault="00A71156" w:rsidP="003B68DB">
      <w:pPr>
        <w:numPr>
          <w:ilvl w:val="0"/>
          <w:numId w:val="138"/>
        </w:numPr>
        <w:tabs>
          <w:tab w:val="left" w:pos="142"/>
        </w:tabs>
        <w:ind w:left="502"/>
        <w:contextualSpacing/>
        <w:rPr>
          <w:rFonts w:cs="Arial"/>
          <w:szCs w:val="24"/>
          <w:lang w:val="es-MX" w:eastAsia="es-ES"/>
        </w:rPr>
      </w:pPr>
      <w:r w:rsidRPr="004817A1">
        <w:rPr>
          <w:rFonts w:cs="Arial"/>
          <w:i/>
          <w:szCs w:val="24"/>
          <w:lang w:val="es-NI" w:eastAsia="es-ES"/>
        </w:rPr>
        <w:t>Si las condiciones del terreno, no permiten la siembra del número de árboles requerido el contratista podrá realizar la siembra dentro de la comunidad con previa autorización del</w:t>
      </w:r>
      <w:r w:rsidRPr="004817A1">
        <w:rPr>
          <w:rFonts w:cs="Arial"/>
          <w:i/>
          <w:szCs w:val="24"/>
          <w:lang w:val="es-ES" w:eastAsia="es-ES"/>
        </w:rPr>
        <w:t xml:space="preserve"> supervisor en común acuerdo con la comunidad.  </w:t>
      </w:r>
    </w:p>
    <w:p w14:paraId="1A57E6A4" w14:textId="77777777" w:rsidR="00A71156" w:rsidRPr="004817A1" w:rsidRDefault="00A71156" w:rsidP="00A71156">
      <w:pPr>
        <w:tabs>
          <w:tab w:val="left" w:pos="142"/>
        </w:tabs>
        <w:ind w:left="360"/>
        <w:contextualSpacing/>
        <w:rPr>
          <w:rFonts w:cs="Arial"/>
          <w:szCs w:val="24"/>
          <w:lang w:val="es-MX" w:eastAsia="es-ES"/>
        </w:rPr>
      </w:pPr>
    </w:p>
    <w:p w14:paraId="3937D9DA" w14:textId="77777777" w:rsidR="00A71156" w:rsidRPr="004817A1" w:rsidRDefault="00A71156" w:rsidP="00A71156">
      <w:pPr>
        <w:tabs>
          <w:tab w:val="left" w:pos="142"/>
        </w:tabs>
        <w:rPr>
          <w:rFonts w:cs="Arial"/>
          <w:b/>
          <w:iCs/>
          <w:szCs w:val="24"/>
          <w:lang w:val="es-ES" w:eastAsia="es-ES"/>
        </w:rPr>
      </w:pPr>
      <w:r w:rsidRPr="004817A1">
        <w:rPr>
          <w:rFonts w:cs="Arial"/>
          <w:b/>
          <w:i/>
          <w:iCs/>
          <w:szCs w:val="24"/>
          <w:lang w:val="es-ES" w:eastAsia="es-ES"/>
        </w:rPr>
        <w:t>Sustancias peligrosas</w:t>
      </w:r>
    </w:p>
    <w:p w14:paraId="2EAD437B" w14:textId="77777777" w:rsidR="00A71156" w:rsidRPr="004817A1" w:rsidRDefault="00A71156" w:rsidP="003B68DB">
      <w:pPr>
        <w:numPr>
          <w:ilvl w:val="0"/>
          <w:numId w:val="137"/>
        </w:numPr>
        <w:tabs>
          <w:tab w:val="left" w:pos="142"/>
        </w:tabs>
        <w:contextualSpacing/>
        <w:rPr>
          <w:rFonts w:cs="Arial"/>
          <w:szCs w:val="24"/>
          <w:lang w:val="es-MX" w:eastAsia="es-ES"/>
        </w:rPr>
      </w:pPr>
      <w:r w:rsidRPr="004817A1">
        <w:rPr>
          <w:rFonts w:cs="Arial"/>
          <w:i/>
          <w:szCs w:val="24"/>
          <w:lang w:val="es-ES" w:eastAsia="es-ES"/>
        </w:rPr>
        <w:t>No será permitida, bajo ningún motivo, la utilización de productos que contengan plomo en los interiores de las infraestructuras verticales (pintura, etc.)</w:t>
      </w:r>
    </w:p>
    <w:p w14:paraId="4802A3DE" w14:textId="77777777" w:rsidR="00A71156" w:rsidRPr="004817A1" w:rsidRDefault="00A71156" w:rsidP="003B68DB">
      <w:pPr>
        <w:numPr>
          <w:ilvl w:val="0"/>
          <w:numId w:val="137"/>
        </w:numPr>
        <w:tabs>
          <w:tab w:val="left" w:pos="142"/>
        </w:tabs>
        <w:contextualSpacing/>
        <w:rPr>
          <w:rFonts w:cs="Arial"/>
          <w:szCs w:val="24"/>
          <w:lang w:val="es-ES" w:eastAsia="es-ES"/>
        </w:rPr>
      </w:pPr>
      <w:r w:rsidRPr="004817A1">
        <w:rPr>
          <w:rFonts w:cs="Arial"/>
          <w:i/>
          <w:szCs w:val="24"/>
          <w:lang w:val="es-ES" w:eastAsia="es-ES"/>
        </w:rPr>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285561DA" w14:textId="77777777" w:rsidR="00A71156" w:rsidRPr="004817A1" w:rsidRDefault="00A71156" w:rsidP="003B68DB">
      <w:pPr>
        <w:numPr>
          <w:ilvl w:val="0"/>
          <w:numId w:val="137"/>
        </w:numPr>
        <w:tabs>
          <w:tab w:val="left" w:pos="142"/>
        </w:tabs>
        <w:contextualSpacing/>
        <w:jc w:val="left"/>
        <w:rPr>
          <w:rFonts w:cs="Arial"/>
          <w:szCs w:val="24"/>
          <w:lang w:val="es-MX" w:eastAsia="es-ES"/>
        </w:rPr>
      </w:pPr>
      <w:r w:rsidRPr="004817A1">
        <w:rPr>
          <w:rFonts w:cs="Arial"/>
          <w:i/>
          <w:color w:val="000000"/>
          <w:szCs w:val="24"/>
          <w:lang w:val="es-ES" w:eastAsia="es-NI"/>
        </w:rPr>
        <w:t>El contratista no podrá utilizar materiales de construcción compuesto por sustancias peligrosas tales como:</w:t>
      </w:r>
      <w:r w:rsidRPr="004817A1">
        <w:rPr>
          <w:rFonts w:cs="Arial"/>
          <w:i/>
          <w:color w:val="000000"/>
          <w:szCs w:val="24"/>
          <w:lang w:val="es-ES" w:eastAsia="es-NI"/>
        </w:rPr>
        <w:br/>
      </w:r>
    </w:p>
    <w:p w14:paraId="6E97B8BE" w14:textId="77777777" w:rsidR="00A71156" w:rsidRPr="004817A1" w:rsidRDefault="00A71156" w:rsidP="003B68DB">
      <w:pPr>
        <w:numPr>
          <w:ilvl w:val="0"/>
          <w:numId w:val="142"/>
        </w:numPr>
        <w:tabs>
          <w:tab w:val="left" w:pos="142"/>
        </w:tabs>
        <w:contextualSpacing/>
        <w:jc w:val="left"/>
        <w:rPr>
          <w:rFonts w:cs="Arial"/>
          <w:szCs w:val="24"/>
          <w:lang w:val="es-MX" w:eastAsia="es-ES"/>
        </w:rPr>
      </w:pPr>
      <w:r w:rsidRPr="004817A1">
        <w:rPr>
          <w:rFonts w:cs="Arial"/>
          <w:i/>
          <w:color w:val="000000"/>
          <w:szCs w:val="24"/>
          <w:lang w:val="es-ES" w:eastAsia="es-NI"/>
        </w:rPr>
        <w:t>Plomo</w:t>
      </w:r>
    </w:p>
    <w:p w14:paraId="4D9734FA" w14:textId="77777777" w:rsidR="00A71156" w:rsidRPr="004817A1" w:rsidRDefault="00A71156" w:rsidP="003B68DB">
      <w:pPr>
        <w:numPr>
          <w:ilvl w:val="0"/>
          <w:numId w:val="142"/>
        </w:numPr>
        <w:tabs>
          <w:tab w:val="left" w:pos="142"/>
        </w:tabs>
        <w:contextualSpacing/>
        <w:jc w:val="left"/>
        <w:rPr>
          <w:rFonts w:cs="Arial"/>
          <w:szCs w:val="24"/>
          <w:lang w:val="es-MX" w:eastAsia="es-ES"/>
        </w:rPr>
      </w:pPr>
      <w:r w:rsidRPr="004817A1">
        <w:rPr>
          <w:rFonts w:cs="Arial"/>
          <w:i/>
          <w:color w:val="000000"/>
          <w:szCs w:val="24"/>
          <w:lang w:val="es-ES" w:eastAsia="es-NI"/>
        </w:rPr>
        <w:t>Mercurio</w:t>
      </w:r>
    </w:p>
    <w:p w14:paraId="3CD840A6" w14:textId="77777777" w:rsidR="00A71156" w:rsidRPr="004817A1" w:rsidRDefault="00A71156" w:rsidP="003B68DB">
      <w:pPr>
        <w:numPr>
          <w:ilvl w:val="0"/>
          <w:numId w:val="142"/>
        </w:numPr>
        <w:tabs>
          <w:tab w:val="left" w:pos="142"/>
        </w:tabs>
        <w:contextualSpacing/>
        <w:jc w:val="left"/>
        <w:rPr>
          <w:rFonts w:cs="Arial"/>
          <w:szCs w:val="24"/>
          <w:lang w:val="es-MX" w:eastAsia="es-ES"/>
        </w:rPr>
      </w:pPr>
      <w:r w:rsidRPr="004817A1">
        <w:rPr>
          <w:rFonts w:cs="Arial"/>
          <w:i/>
          <w:color w:val="000000"/>
          <w:szCs w:val="24"/>
          <w:lang w:val="es-ES" w:eastAsia="es-NI"/>
        </w:rPr>
        <w:t>Asbesto</w:t>
      </w:r>
    </w:p>
    <w:p w14:paraId="4F34F460" w14:textId="77777777" w:rsidR="00A71156" w:rsidRPr="004817A1" w:rsidRDefault="00A71156" w:rsidP="003B68DB">
      <w:pPr>
        <w:numPr>
          <w:ilvl w:val="0"/>
          <w:numId w:val="142"/>
        </w:numPr>
        <w:tabs>
          <w:tab w:val="left" w:pos="142"/>
        </w:tabs>
        <w:contextualSpacing/>
        <w:jc w:val="left"/>
        <w:rPr>
          <w:rFonts w:cs="Arial"/>
          <w:szCs w:val="24"/>
          <w:lang w:val="es-MX" w:eastAsia="es-ES"/>
        </w:rPr>
      </w:pPr>
      <w:r w:rsidRPr="004817A1">
        <w:rPr>
          <w:rFonts w:cs="Arial"/>
          <w:i/>
          <w:color w:val="000000"/>
          <w:szCs w:val="24"/>
          <w:lang w:val="es-ES" w:eastAsia="es-NI"/>
        </w:rPr>
        <w:t>Amianto</w:t>
      </w:r>
    </w:p>
    <w:p w14:paraId="3D8FD912" w14:textId="77777777" w:rsidR="00A71156" w:rsidRPr="004817A1" w:rsidRDefault="00A71156" w:rsidP="003B68DB">
      <w:pPr>
        <w:numPr>
          <w:ilvl w:val="0"/>
          <w:numId w:val="142"/>
        </w:numPr>
        <w:tabs>
          <w:tab w:val="left" w:pos="142"/>
        </w:tabs>
        <w:contextualSpacing/>
        <w:jc w:val="left"/>
        <w:rPr>
          <w:rFonts w:cs="Arial"/>
          <w:szCs w:val="24"/>
          <w:lang w:val="es-MX" w:eastAsia="es-ES"/>
        </w:rPr>
      </w:pPr>
      <w:r w:rsidRPr="004817A1">
        <w:rPr>
          <w:rFonts w:cs="Arial"/>
          <w:i/>
          <w:color w:val="000000"/>
          <w:szCs w:val="24"/>
          <w:lang w:val="es-ES" w:eastAsia="es-NI"/>
        </w:rPr>
        <w:t>Cualquier sustancia susceptible de producir intoxicación o daños por inhalación o contacto</w:t>
      </w:r>
    </w:p>
    <w:p w14:paraId="52876B58" w14:textId="77777777" w:rsidR="00A71156" w:rsidRPr="004817A1" w:rsidRDefault="00A71156" w:rsidP="00A71156">
      <w:pPr>
        <w:tabs>
          <w:tab w:val="left" w:pos="142"/>
        </w:tabs>
        <w:rPr>
          <w:rFonts w:cs="Arial"/>
          <w:b/>
          <w:szCs w:val="24"/>
          <w:lang w:val="es-ES" w:eastAsia="es-ES"/>
        </w:rPr>
      </w:pPr>
      <w:r w:rsidRPr="004817A1">
        <w:rPr>
          <w:rFonts w:cs="Arial"/>
          <w:b/>
          <w:i/>
          <w:szCs w:val="24"/>
          <w:lang w:val="es-ES" w:eastAsia="es-ES"/>
        </w:rPr>
        <w:t>Transporte</w:t>
      </w:r>
    </w:p>
    <w:p w14:paraId="302DE6B6" w14:textId="77777777" w:rsidR="00A71156" w:rsidRPr="004817A1" w:rsidRDefault="00A71156" w:rsidP="003B68DB">
      <w:pPr>
        <w:numPr>
          <w:ilvl w:val="0"/>
          <w:numId w:val="140"/>
        </w:numPr>
        <w:tabs>
          <w:tab w:val="left" w:pos="142"/>
        </w:tabs>
        <w:ind w:left="502"/>
        <w:contextualSpacing/>
        <w:rPr>
          <w:rFonts w:cs="Arial"/>
          <w:szCs w:val="24"/>
          <w:lang w:val="es-MX" w:eastAsia="es-ES"/>
        </w:rPr>
      </w:pPr>
      <w:r w:rsidRPr="004817A1">
        <w:rPr>
          <w:rFonts w:cs="Arial"/>
          <w:i/>
          <w:szCs w:val="24"/>
          <w:lang w:val="es-ES" w:eastAsia="es-ES"/>
        </w:rPr>
        <w:t>La maquinaria utilizada deberá mantenerse en las mejores condiciones, considerando motores, minimizando el nivel de ruido.</w:t>
      </w:r>
    </w:p>
    <w:p w14:paraId="6BF8A27D" w14:textId="77777777" w:rsidR="00A71156" w:rsidRPr="004817A1" w:rsidRDefault="00A71156" w:rsidP="003B68DB">
      <w:pPr>
        <w:numPr>
          <w:ilvl w:val="0"/>
          <w:numId w:val="140"/>
        </w:numPr>
        <w:tabs>
          <w:tab w:val="left" w:pos="142"/>
        </w:tabs>
        <w:ind w:left="502"/>
        <w:contextualSpacing/>
        <w:rPr>
          <w:rFonts w:cs="Arial"/>
          <w:szCs w:val="24"/>
          <w:lang w:val="es-MX" w:eastAsia="es-ES"/>
        </w:rPr>
      </w:pPr>
      <w:r w:rsidRPr="004817A1">
        <w:rPr>
          <w:rFonts w:cs="Arial"/>
          <w:i/>
          <w:szCs w:val="24"/>
          <w:lang w:val="es-ES" w:eastAsia="es-ES"/>
        </w:rPr>
        <w:t>Transporte de escombros y materia de excavación sin superar la capacidad del vehículo de carga.</w:t>
      </w:r>
    </w:p>
    <w:p w14:paraId="3C7E9577" w14:textId="77777777" w:rsidR="00A71156" w:rsidRPr="004817A1" w:rsidRDefault="00A71156" w:rsidP="00A71156">
      <w:pPr>
        <w:tabs>
          <w:tab w:val="left" w:pos="142"/>
        </w:tabs>
        <w:ind w:left="-218"/>
        <w:rPr>
          <w:rFonts w:cs="Arial"/>
          <w:szCs w:val="24"/>
          <w:lang w:val="es-MX" w:eastAsia="es-ES"/>
        </w:rPr>
      </w:pPr>
    </w:p>
    <w:p w14:paraId="5F38BA0A" w14:textId="77777777" w:rsidR="00A71156" w:rsidRPr="004817A1" w:rsidRDefault="00A71156" w:rsidP="003B68DB">
      <w:pPr>
        <w:numPr>
          <w:ilvl w:val="0"/>
          <w:numId w:val="140"/>
        </w:numPr>
        <w:tabs>
          <w:tab w:val="left" w:pos="142"/>
        </w:tabs>
        <w:ind w:left="502"/>
        <w:contextualSpacing/>
        <w:rPr>
          <w:rFonts w:cs="Arial"/>
          <w:szCs w:val="24"/>
          <w:lang w:val="es-MX" w:eastAsia="es-ES"/>
        </w:rPr>
      </w:pPr>
      <w:r w:rsidRPr="004817A1">
        <w:rPr>
          <w:rFonts w:cs="Arial"/>
          <w:i/>
          <w:szCs w:val="24"/>
          <w:lang w:val="es-ES" w:eastAsia="es-ES"/>
        </w:rPr>
        <w:t>Evitar el paso de maquinaria sobre suelo con cobertura vegetal fuera del área de la obra</w:t>
      </w:r>
    </w:p>
    <w:p w14:paraId="1E45FA3C" w14:textId="77777777" w:rsidR="00A71156" w:rsidRPr="004817A1" w:rsidRDefault="00A71156" w:rsidP="00A71156">
      <w:pPr>
        <w:tabs>
          <w:tab w:val="left" w:pos="142"/>
        </w:tabs>
        <w:contextualSpacing/>
        <w:rPr>
          <w:rFonts w:cs="Arial"/>
          <w:szCs w:val="24"/>
          <w:lang w:val="es-MX" w:eastAsia="es-ES"/>
        </w:rPr>
      </w:pPr>
    </w:p>
    <w:p w14:paraId="7D9D9926" w14:textId="77777777" w:rsidR="00A71156" w:rsidRPr="004817A1" w:rsidRDefault="00A71156" w:rsidP="003B68DB">
      <w:pPr>
        <w:numPr>
          <w:ilvl w:val="0"/>
          <w:numId w:val="140"/>
        </w:numPr>
        <w:tabs>
          <w:tab w:val="left" w:pos="142"/>
        </w:tabs>
        <w:ind w:left="502"/>
        <w:contextualSpacing/>
        <w:rPr>
          <w:rFonts w:cs="Arial"/>
          <w:szCs w:val="24"/>
          <w:lang w:val="es-MX" w:eastAsia="es-ES"/>
        </w:rPr>
      </w:pPr>
      <w:r w:rsidRPr="004817A1">
        <w:rPr>
          <w:rFonts w:cs="Arial"/>
          <w:i/>
          <w:szCs w:val="24"/>
          <w:lang w:val="es-ES" w:eastAsia="es-ES"/>
        </w:rPr>
        <w:t>Recuperar y restaurar el espacio público afectado una vez finalizada cada actividad, retirando todos los materiales y residuos del lugar.</w:t>
      </w:r>
    </w:p>
    <w:p w14:paraId="22094057" w14:textId="77777777" w:rsidR="00A71156" w:rsidRPr="004817A1" w:rsidRDefault="00A71156" w:rsidP="00A71156">
      <w:pPr>
        <w:tabs>
          <w:tab w:val="left" w:pos="142"/>
        </w:tabs>
        <w:contextualSpacing/>
        <w:rPr>
          <w:rFonts w:cs="Arial"/>
          <w:szCs w:val="24"/>
          <w:lang w:val="es-MX" w:eastAsia="es-ES"/>
        </w:rPr>
      </w:pPr>
    </w:p>
    <w:p w14:paraId="57F6150F" w14:textId="77777777" w:rsidR="00A71156" w:rsidRPr="004817A1" w:rsidRDefault="00A71156" w:rsidP="003B68DB">
      <w:pPr>
        <w:numPr>
          <w:ilvl w:val="0"/>
          <w:numId w:val="140"/>
        </w:numPr>
        <w:tabs>
          <w:tab w:val="left" w:pos="142"/>
        </w:tabs>
        <w:ind w:left="502"/>
        <w:contextualSpacing/>
        <w:rPr>
          <w:rFonts w:cs="Arial"/>
          <w:szCs w:val="24"/>
          <w:lang w:val="es-MX" w:eastAsia="es-ES"/>
        </w:rPr>
      </w:pPr>
      <w:r w:rsidRPr="004817A1">
        <w:rPr>
          <w:rFonts w:cs="Arial"/>
          <w:i/>
          <w:szCs w:val="24"/>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1692B6EB" w14:textId="77777777" w:rsidR="00A71156" w:rsidRPr="004817A1" w:rsidRDefault="00A71156" w:rsidP="00A71156">
      <w:pPr>
        <w:tabs>
          <w:tab w:val="left" w:pos="142"/>
        </w:tabs>
        <w:ind w:left="360"/>
        <w:rPr>
          <w:rFonts w:cs="Arial"/>
          <w:szCs w:val="24"/>
          <w:lang w:val="es-MX" w:eastAsia="es-ES"/>
        </w:rPr>
      </w:pPr>
    </w:p>
    <w:p w14:paraId="15802061" w14:textId="77777777" w:rsidR="00A71156" w:rsidRPr="004817A1" w:rsidRDefault="00A71156" w:rsidP="00A71156">
      <w:pPr>
        <w:tabs>
          <w:tab w:val="left" w:pos="142"/>
        </w:tabs>
        <w:ind w:left="360"/>
        <w:rPr>
          <w:rFonts w:cs="Arial"/>
          <w:b/>
          <w:szCs w:val="24"/>
          <w:lang w:val="es-ES" w:eastAsia="es-ES"/>
        </w:rPr>
      </w:pPr>
      <w:r w:rsidRPr="004817A1">
        <w:rPr>
          <w:rFonts w:cs="Arial"/>
          <w:b/>
          <w:i/>
          <w:szCs w:val="24"/>
          <w:lang w:val="es-ES" w:eastAsia="es-ES"/>
        </w:rPr>
        <w:t>Protección Personal</w:t>
      </w:r>
    </w:p>
    <w:p w14:paraId="6F66D5E5" w14:textId="77777777" w:rsidR="00A71156" w:rsidRPr="004817A1" w:rsidRDefault="00A71156" w:rsidP="003B68DB">
      <w:pPr>
        <w:numPr>
          <w:ilvl w:val="0"/>
          <w:numId w:val="141"/>
        </w:numPr>
        <w:tabs>
          <w:tab w:val="left" w:pos="142"/>
        </w:tabs>
        <w:contextualSpacing/>
        <w:rPr>
          <w:rFonts w:cs="Arial"/>
          <w:szCs w:val="24"/>
          <w:lang w:val="es-MX" w:eastAsia="es-ES"/>
        </w:rPr>
      </w:pPr>
      <w:r w:rsidRPr="004817A1">
        <w:rPr>
          <w:rFonts w:cs="Arial"/>
          <w:i/>
          <w:szCs w:val="24"/>
          <w:lang w:val="es-ES" w:eastAsia="es-ES"/>
        </w:rPr>
        <w:t>Utilización obligatoria de equipo de protección personal básico (casco, zapatos de seguridad, guantes) y específico como protección respiratoria, auditiva y para los ojos, cuando aplique.</w:t>
      </w:r>
    </w:p>
    <w:p w14:paraId="572895EB" w14:textId="77777777" w:rsidR="00A71156" w:rsidRPr="004817A1" w:rsidRDefault="00A71156" w:rsidP="003B68DB">
      <w:pPr>
        <w:numPr>
          <w:ilvl w:val="0"/>
          <w:numId w:val="141"/>
        </w:numPr>
        <w:tabs>
          <w:tab w:val="left" w:pos="142"/>
        </w:tabs>
        <w:contextualSpacing/>
        <w:rPr>
          <w:rFonts w:cs="Arial"/>
          <w:szCs w:val="24"/>
          <w:lang w:val="es-MX" w:eastAsia="es-ES"/>
        </w:rPr>
      </w:pPr>
      <w:r w:rsidRPr="004817A1">
        <w:rPr>
          <w:rFonts w:cs="Arial"/>
          <w:i/>
          <w:szCs w:val="24"/>
          <w:lang w:val="es-ES" w:eastAsia="es-ES"/>
        </w:rPr>
        <w:lastRenderedPageBreak/>
        <w:t>Que las instalaciones de servicio o de protección anexas a los lugares de trabajo puedan ser utilizadas sin peligro para la salud y la seguridad de los trabajadores.</w:t>
      </w:r>
    </w:p>
    <w:p w14:paraId="4B0C4F95" w14:textId="77777777" w:rsidR="00A71156" w:rsidRPr="004817A1" w:rsidRDefault="00A71156" w:rsidP="003B68DB">
      <w:pPr>
        <w:numPr>
          <w:ilvl w:val="0"/>
          <w:numId w:val="141"/>
        </w:numPr>
        <w:tabs>
          <w:tab w:val="left" w:pos="142"/>
        </w:tabs>
        <w:contextualSpacing/>
        <w:rPr>
          <w:rFonts w:cs="Arial"/>
          <w:szCs w:val="24"/>
          <w:lang w:val="es-MX" w:eastAsia="es-ES"/>
        </w:rPr>
      </w:pPr>
      <w:r w:rsidRPr="004817A1">
        <w:rPr>
          <w:rFonts w:cs="Arial"/>
          <w:i/>
          <w:szCs w:val="24"/>
          <w:lang w:val="es-ES" w:eastAsia="es-ES"/>
        </w:rPr>
        <w:t>Que dichas instalaciones y dispositivos de protección cumplan con su cometido, dando protección efectiva frente a los riesgos que pretenden evitar.</w:t>
      </w:r>
    </w:p>
    <w:p w14:paraId="3255E098" w14:textId="77777777" w:rsidR="00A71156" w:rsidRPr="004817A1" w:rsidRDefault="00A71156" w:rsidP="003B68DB">
      <w:pPr>
        <w:numPr>
          <w:ilvl w:val="0"/>
          <w:numId w:val="141"/>
        </w:numPr>
        <w:tabs>
          <w:tab w:val="left" w:pos="142"/>
        </w:tabs>
        <w:autoSpaceDE w:val="0"/>
        <w:autoSpaceDN w:val="0"/>
        <w:adjustRightInd w:val="0"/>
        <w:contextualSpacing/>
        <w:rPr>
          <w:rFonts w:cs="Arial"/>
          <w:szCs w:val="24"/>
          <w:lang w:val="es-NI" w:eastAsia="es-NI"/>
        </w:rPr>
      </w:pPr>
      <w:r w:rsidRPr="004817A1">
        <w:rPr>
          <w:rFonts w:cs="Arial"/>
          <w:i/>
          <w:szCs w:val="24"/>
          <w:lang w:val="es-ES" w:eastAsia="es-ES"/>
        </w:rPr>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2395FC6A" w14:textId="77777777" w:rsidR="00A71156" w:rsidRPr="004817A1" w:rsidRDefault="00A71156" w:rsidP="00A71156">
      <w:pPr>
        <w:tabs>
          <w:tab w:val="left" w:pos="142"/>
        </w:tabs>
        <w:ind w:left="720"/>
        <w:contextualSpacing/>
        <w:rPr>
          <w:rFonts w:cs="Arial"/>
          <w:szCs w:val="24"/>
          <w:lang w:val="es-NI" w:eastAsia="es-NI"/>
        </w:rPr>
      </w:pPr>
    </w:p>
    <w:p w14:paraId="4C013624" w14:textId="77777777" w:rsidR="00A71156" w:rsidRPr="004817A1" w:rsidRDefault="00A71156" w:rsidP="00A71156">
      <w:pPr>
        <w:tabs>
          <w:tab w:val="left" w:pos="142"/>
        </w:tabs>
        <w:autoSpaceDE w:val="0"/>
        <w:autoSpaceDN w:val="0"/>
        <w:adjustRightInd w:val="0"/>
        <w:rPr>
          <w:rFonts w:cs="Arial"/>
          <w:szCs w:val="24"/>
          <w:lang w:val="es-NI" w:eastAsia="es-NI"/>
        </w:rPr>
      </w:pPr>
    </w:p>
    <w:p w14:paraId="6586CF6E" w14:textId="77777777" w:rsidR="00A71156" w:rsidRPr="004817A1" w:rsidRDefault="00A71156" w:rsidP="003B68DB">
      <w:pPr>
        <w:keepNext/>
        <w:numPr>
          <w:ilvl w:val="0"/>
          <w:numId w:val="127"/>
        </w:numPr>
        <w:tabs>
          <w:tab w:val="left" w:pos="142"/>
        </w:tabs>
        <w:ind w:left="426" w:right="-516" w:firstLine="0"/>
        <w:contextualSpacing/>
        <w:jc w:val="center"/>
        <w:outlineLvl w:val="2"/>
        <w:rPr>
          <w:rFonts w:cs="Arial"/>
          <w:b/>
          <w:bCs/>
          <w:i/>
          <w:iCs/>
          <w:sz w:val="28"/>
          <w:szCs w:val="24"/>
          <w:lang w:val="es-ES" w:eastAsia="es-ES"/>
        </w:rPr>
      </w:pPr>
      <w:bookmarkStart w:id="424" w:name="_Toc5885513"/>
      <w:bookmarkStart w:id="425" w:name="_Toc5954801"/>
      <w:r w:rsidRPr="004817A1">
        <w:rPr>
          <w:rFonts w:cs="Arial"/>
          <w:b/>
          <w:bCs/>
          <w:i/>
          <w:iCs/>
          <w:sz w:val="28"/>
          <w:szCs w:val="24"/>
          <w:lang w:eastAsia="es-ES"/>
        </w:rPr>
        <w:t>ESPECIFICACIONES GENERALES SOCIALES</w:t>
      </w:r>
      <w:bookmarkEnd w:id="424"/>
      <w:bookmarkEnd w:id="425"/>
    </w:p>
    <w:p w14:paraId="7FD08C51" w14:textId="77777777" w:rsidR="00A71156" w:rsidRPr="004817A1" w:rsidRDefault="00A71156" w:rsidP="00A71156">
      <w:pPr>
        <w:tabs>
          <w:tab w:val="left" w:pos="142"/>
        </w:tabs>
        <w:jc w:val="center"/>
        <w:rPr>
          <w:rFonts w:cs="Arial"/>
          <w:b/>
          <w:i/>
          <w:szCs w:val="24"/>
          <w:lang w:eastAsia="es-ES"/>
        </w:rPr>
      </w:pPr>
    </w:p>
    <w:p w14:paraId="7EA40C10"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ETAPA DE EJECUCIÓN</w:t>
      </w:r>
    </w:p>
    <w:p w14:paraId="766FBFC4" w14:textId="77777777" w:rsidR="00A71156" w:rsidRPr="004817A1" w:rsidRDefault="00A71156" w:rsidP="00A71156">
      <w:pPr>
        <w:tabs>
          <w:tab w:val="left" w:pos="142"/>
        </w:tabs>
        <w:rPr>
          <w:rFonts w:cs="Arial"/>
          <w:b/>
          <w:i/>
          <w:szCs w:val="24"/>
          <w:lang w:eastAsia="es-ES"/>
        </w:rPr>
      </w:pPr>
    </w:p>
    <w:p w14:paraId="381CA915"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PRE OBRA</w:t>
      </w:r>
    </w:p>
    <w:p w14:paraId="3E8F4D3E" w14:textId="77777777" w:rsidR="00A71156" w:rsidRPr="004817A1" w:rsidRDefault="00A71156" w:rsidP="00A71156">
      <w:pPr>
        <w:tabs>
          <w:tab w:val="left" w:pos="142"/>
        </w:tabs>
        <w:rPr>
          <w:rFonts w:cs="Arial"/>
          <w:b/>
          <w:i/>
          <w:szCs w:val="24"/>
          <w:lang w:eastAsia="es-ES"/>
        </w:rPr>
      </w:pPr>
    </w:p>
    <w:p w14:paraId="1A93095C"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Cronograma de trabajo y Plan metodológico para el acompañamiento social en la(s) comunidad(es) y realizar reunión de coordinación con actores claves del proyecto.</w:t>
      </w:r>
    </w:p>
    <w:p w14:paraId="15DACCFD" w14:textId="77777777" w:rsidR="00A71156" w:rsidRPr="004817A1" w:rsidRDefault="00A71156" w:rsidP="00A71156">
      <w:pPr>
        <w:tabs>
          <w:tab w:val="left" w:pos="142"/>
        </w:tabs>
        <w:rPr>
          <w:rFonts w:cs="Arial"/>
          <w:i/>
          <w:szCs w:val="24"/>
          <w:lang w:eastAsia="es-ES"/>
        </w:rPr>
      </w:pPr>
    </w:p>
    <w:p w14:paraId="05F6D31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690CD04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Se debe reflejar cada una de las actividades a realizar, definiéndose fechas para su ejecución, responsable, involucrados, instrumentos o metodología a usar según la etapa del ciclo de proyecto a intervenir.  Este deberá ser avalado por el Especialista Social de cada Región.</w:t>
      </w:r>
    </w:p>
    <w:p w14:paraId="2B9F131A" w14:textId="77777777" w:rsidR="00A71156" w:rsidRPr="004817A1" w:rsidRDefault="00A71156" w:rsidP="00A71156">
      <w:pPr>
        <w:tabs>
          <w:tab w:val="left" w:pos="142"/>
        </w:tabs>
        <w:rPr>
          <w:rFonts w:cs="Arial"/>
          <w:i/>
          <w:szCs w:val="24"/>
          <w:lang w:eastAsia="es-ES"/>
        </w:rPr>
      </w:pPr>
    </w:p>
    <w:p w14:paraId="10ACA81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4AB90D16" w14:textId="77777777" w:rsidR="00A71156" w:rsidRPr="004817A1" w:rsidRDefault="00A71156" w:rsidP="00A71156">
      <w:pPr>
        <w:tabs>
          <w:tab w:val="left" w:pos="142"/>
        </w:tabs>
        <w:rPr>
          <w:rFonts w:cs="Arial"/>
          <w:i/>
          <w:szCs w:val="24"/>
          <w:lang w:eastAsia="es-ES"/>
        </w:rPr>
      </w:pPr>
    </w:p>
    <w:p w14:paraId="3837EE91"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 por parte del contratista:</w:t>
      </w:r>
    </w:p>
    <w:p w14:paraId="54C807E4" w14:textId="77777777" w:rsidR="00A71156" w:rsidRPr="004817A1" w:rsidRDefault="00A71156" w:rsidP="003B68DB">
      <w:pPr>
        <w:numPr>
          <w:ilvl w:val="0"/>
          <w:numId w:val="126"/>
        </w:numPr>
        <w:tabs>
          <w:tab w:val="left" w:pos="142"/>
        </w:tabs>
        <w:rPr>
          <w:rFonts w:cs="Arial"/>
          <w:szCs w:val="24"/>
          <w:lang w:eastAsia="es-ES"/>
        </w:rPr>
      </w:pPr>
      <w:r w:rsidRPr="004817A1">
        <w:rPr>
          <w:rFonts w:cs="Arial"/>
          <w:i/>
          <w:szCs w:val="24"/>
          <w:lang w:eastAsia="es-ES"/>
        </w:rPr>
        <w:t>Cronograma de trabajo y plan metodológico para la intervención social.</w:t>
      </w:r>
    </w:p>
    <w:p w14:paraId="18E3A027" w14:textId="77777777" w:rsidR="00A71156" w:rsidRPr="004817A1" w:rsidRDefault="00A71156" w:rsidP="003B68DB">
      <w:pPr>
        <w:numPr>
          <w:ilvl w:val="0"/>
          <w:numId w:val="126"/>
        </w:numPr>
        <w:tabs>
          <w:tab w:val="left" w:pos="142"/>
        </w:tabs>
        <w:rPr>
          <w:rFonts w:cs="Arial"/>
          <w:szCs w:val="24"/>
          <w:lang w:eastAsia="es-ES"/>
        </w:rPr>
      </w:pPr>
      <w:r w:rsidRPr="004817A1">
        <w:rPr>
          <w:rFonts w:cs="Arial"/>
          <w:i/>
          <w:szCs w:val="24"/>
          <w:lang w:eastAsia="es-ES"/>
        </w:rPr>
        <w:t>Ayuda memoria de reunión</w:t>
      </w:r>
    </w:p>
    <w:p w14:paraId="6F83C857" w14:textId="77777777" w:rsidR="00A71156" w:rsidRPr="004817A1" w:rsidRDefault="00A71156" w:rsidP="003B68DB">
      <w:pPr>
        <w:numPr>
          <w:ilvl w:val="0"/>
          <w:numId w:val="126"/>
        </w:numPr>
        <w:tabs>
          <w:tab w:val="left" w:pos="142"/>
        </w:tabs>
        <w:rPr>
          <w:rFonts w:cs="Arial"/>
          <w:szCs w:val="24"/>
          <w:lang w:eastAsia="es-ES"/>
        </w:rPr>
      </w:pPr>
      <w:r w:rsidRPr="004817A1">
        <w:rPr>
          <w:rFonts w:cs="Arial"/>
          <w:i/>
          <w:szCs w:val="24"/>
          <w:lang w:eastAsia="es-ES"/>
        </w:rPr>
        <w:t>Listado de asistencia</w:t>
      </w:r>
    </w:p>
    <w:p w14:paraId="2DA99915" w14:textId="77777777" w:rsidR="00A71156" w:rsidRPr="004817A1" w:rsidRDefault="00A71156" w:rsidP="00A71156">
      <w:pPr>
        <w:tabs>
          <w:tab w:val="left" w:pos="142"/>
        </w:tabs>
        <w:ind w:left="720"/>
        <w:rPr>
          <w:rFonts w:cs="Arial"/>
          <w:szCs w:val="24"/>
          <w:lang w:eastAsia="es-ES"/>
        </w:rPr>
      </w:pPr>
    </w:p>
    <w:p w14:paraId="5E628E9F"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de Planificación y Realización de Asamblea general comunitaria para entrega de sitio del proyecto a contratista y dar a conocer Plan.</w:t>
      </w:r>
    </w:p>
    <w:p w14:paraId="06065B5B" w14:textId="77777777" w:rsidR="00A71156" w:rsidRPr="004817A1" w:rsidRDefault="00A71156" w:rsidP="00A71156">
      <w:pPr>
        <w:tabs>
          <w:tab w:val="left" w:pos="142"/>
        </w:tabs>
        <w:rPr>
          <w:rFonts w:cs="Arial"/>
          <w:i/>
          <w:szCs w:val="24"/>
          <w:lang w:eastAsia="es-ES"/>
        </w:rPr>
      </w:pPr>
    </w:p>
    <w:p w14:paraId="3CEB739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Planificar y realizar asamblea general comunitaria para entrega de sitio, elegir y/o ratificar red de promotores.  </w:t>
      </w:r>
    </w:p>
    <w:p w14:paraId="2FBF722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Realizar visita casa a casa para convocar y entregar invitación a tod@s l@s protagonistas del proyecto a la Asamblea, 100% de viviendas visitas.  (JD del CAPS, grupo de apoyo y red de promotores/as sociales comunitarios y líderes).</w:t>
      </w:r>
    </w:p>
    <w:p w14:paraId="5E8A2DE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Se debe levantar listado de participantes y/o representante por vivienda, reflejándose nombres y apellidos, # de cédula, cargo y firmas (en caso de no poder firmar se utiliza huella digital), la lista de asistencia debe garantizar el cumplimiento.</w:t>
      </w:r>
    </w:p>
    <w:p w14:paraId="760F2565" w14:textId="77777777" w:rsidR="00A71156" w:rsidRPr="004817A1" w:rsidRDefault="00A71156" w:rsidP="00A71156">
      <w:pPr>
        <w:tabs>
          <w:tab w:val="left" w:pos="142"/>
        </w:tabs>
        <w:rPr>
          <w:rFonts w:cs="Arial"/>
          <w:i/>
          <w:szCs w:val="24"/>
          <w:lang w:eastAsia="es-ES"/>
        </w:rPr>
      </w:pPr>
    </w:p>
    <w:p w14:paraId="3E1A7BEB" w14:textId="77777777" w:rsidR="00A71156" w:rsidRPr="004817A1" w:rsidRDefault="00A71156" w:rsidP="00A71156">
      <w:pPr>
        <w:tabs>
          <w:tab w:val="left" w:pos="142"/>
        </w:tabs>
        <w:rPr>
          <w:rFonts w:cs="Arial"/>
          <w:i/>
          <w:szCs w:val="24"/>
          <w:lang w:eastAsia="es-ES"/>
        </w:rPr>
      </w:pPr>
    </w:p>
    <w:p w14:paraId="1910B353"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 xml:space="preserve">Producto esperado por parte del contratista: </w:t>
      </w:r>
    </w:p>
    <w:p w14:paraId="30BC3F8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Ayuda memoria.</w:t>
      </w:r>
    </w:p>
    <w:p w14:paraId="40DE301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Acta de asamblea comunitaria</w:t>
      </w:r>
    </w:p>
    <w:p w14:paraId="26E749C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Copia de Bitácora</w:t>
      </w:r>
    </w:p>
    <w:p w14:paraId="1206415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4. Listado de participantes.</w:t>
      </w:r>
    </w:p>
    <w:p w14:paraId="15049B18" w14:textId="77777777" w:rsidR="00A71156" w:rsidRPr="004817A1" w:rsidRDefault="00A71156" w:rsidP="00A71156">
      <w:pPr>
        <w:tabs>
          <w:tab w:val="left" w:pos="142"/>
        </w:tabs>
        <w:rPr>
          <w:rFonts w:cs="Arial"/>
          <w:szCs w:val="24"/>
          <w:lang w:val="es-ES" w:eastAsia="es-ES"/>
        </w:rPr>
      </w:pPr>
      <w:r w:rsidRPr="004817A1">
        <w:rPr>
          <w:rFonts w:cs="Arial"/>
          <w:i/>
          <w:szCs w:val="24"/>
          <w:lang w:val="es-ES" w:eastAsia="es-ES"/>
        </w:rPr>
        <w:t>5. Listado oficial de beneficiarios.</w:t>
      </w:r>
    </w:p>
    <w:p w14:paraId="6CBE92F3" w14:textId="77777777" w:rsidR="00A71156" w:rsidRPr="004817A1" w:rsidRDefault="00A71156" w:rsidP="00A71156">
      <w:pPr>
        <w:tabs>
          <w:tab w:val="left" w:pos="142"/>
        </w:tabs>
        <w:rPr>
          <w:rFonts w:cs="Arial"/>
          <w:b/>
          <w:i/>
          <w:szCs w:val="24"/>
          <w:lang w:eastAsia="es-ES"/>
        </w:rPr>
      </w:pPr>
    </w:p>
    <w:p w14:paraId="66186D0F"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EJECUCIÓN</w:t>
      </w:r>
    </w:p>
    <w:p w14:paraId="521CD128" w14:textId="77777777" w:rsidR="00A71156" w:rsidRPr="004817A1" w:rsidRDefault="00A71156" w:rsidP="00A71156">
      <w:pPr>
        <w:tabs>
          <w:tab w:val="left" w:pos="142"/>
        </w:tabs>
        <w:rPr>
          <w:rFonts w:cs="Arial"/>
          <w:b/>
          <w:i/>
          <w:szCs w:val="24"/>
          <w:lang w:eastAsia="es-ES"/>
        </w:rPr>
      </w:pPr>
    </w:p>
    <w:p w14:paraId="3690DD46"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Planifica y Realizar Taller de capacitación del Módulo III (Taller No. 5y 6,) Compendio Metodológico.</w:t>
      </w:r>
    </w:p>
    <w:p w14:paraId="6E8595ED" w14:textId="77777777" w:rsidR="00A71156" w:rsidRPr="004817A1" w:rsidRDefault="00A71156" w:rsidP="00A71156">
      <w:pPr>
        <w:tabs>
          <w:tab w:val="left" w:pos="142"/>
        </w:tabs>
        <w:rPr>
          <w:rFonts w:cs="Arial"/>
          <w:i/>
          <w:szCs w:val="24"/>
          <w:lang w:eastAsia="es-ES"/>
        </w:rPr>
      </w:pPr>
    </w:p>
    <w:p w14:paraId="15D59A9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4817A1">
        <w:rPr>
          <w:rFonts w:cs="Arial"/>
          <w:b/>
          <w:i/>
          <w:szCs w:val="24"/>
          <w:lang w:eastAsia="es-ES"/>
        </w:rPr>
        <w:t>Como administramos nuestros servicios de agua”</w:t>
      </w:r>
      <w:r w:rsidRPr="004817A1">
        <w:rPr>
          <w:rFonts w:cs="Arial"/>
          <w:i/>
          <w:szCs w:val="24"/>
          <w:lang w:eastAsia="es-ES"/>
        </w:rPr>
        <w:t xml:space="preserve"> talleres No 5 y 6  (con participación de un grupo meta de 18 a 25 protagonistas, integrado por personas de la JD del CAPS, grupo de apoyo, red de promotores/as sociales comunitarios, líderes naturales, gremiales, políticos y religiosos.</w:t>
      </w:r>
    </w:p>
    <w:p w14:paraId="3E983F23" w14:textId="77777777" w:rsidR="00A71156" w:rsidRPr="004817A1" w:rsidRDefault="00A71156" w:rsidP="00A71156">
      <w:pPr>
        <w:tabs>
          <w:tab w:val="left" w:pos="142"/>
        </w:tabs>
        <w:rPr>
          <w:rFonts w:cs="Arial"/>
          <w:b/>
          <w:i/>
          <w:szCs w:val="24"/>
          <w:lang w:eastAsia="es-ES"/>
        </w:rPr>
      </w:pPr>
    </w:p>
    <w:p w14:paraId="71BB08F7"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contratista:</w:t>
      </w:r>
    </w:p>
    <w:p w14:paraId="2F53D11C" w14:textId="77777777" w:rsidR="00A71156" w:rsidRPr="004817A1" w:rsidRDefault="00A71156" w:rsidP="00A71156">
      <w:pPr>
        <w:tabs>
          <w:tab w:val="left" w:pos="142"/>
        </w:tabs>
        <w:rPr>
          <w:rFonts w:cs="Arial"/>
          <w:i/>
          <w:szCs w:val="24"/>
          <w:lang w:eastAsia="es-ES"/>
        </w:rPr>
      </w:pPr>
    </w:p>
    <w:p w14:paraId="3D89EFD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 lapiceros.</w:t>
      </w:r>
    </w:p>
    <w:p w14:paraId="6FC4098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3. Local para realizar los talleres.  </w:t>
      </w:r>
    </w:p>
    <w:p w14:paraId="4EAED09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refrigerios/Almuerzos.</w:t>
      </w:r>
    </w:p>
    <w:p w14:paraId="23843800" w14:textId="77777777" w:rsidR="00A71156" w:rsidRPr="004817A1" w:rsidRDefault="00A71156" w:rsidP="00A71156">
      <w:pPr>
        <w:tabs>
          <w:tab w:val="left" w:pos="142"/>
        </w:tabs>
        <w:rPr>
          <w:rFonts w:cs="Arial"/>
          <w:b/>
          <w:i/>
          <w:szCs w:val="24"/>
          <w:lang w:eastAsia="es-ES"/>
        </w:rPr>
      </w:pPr>
    </w:p>
    <w:p w14:paraId="22650C01"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Fise:</w:t>
      </w:r>
    </w:p>
    <w:p w14:paraId="198A381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Guía Metodológica.</w:t>
      </w:r>
    </w:p>
    <w:p w14:paraId="669686E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2.  Módulo 3 Cartilla 5, 6,  </w:t>
      </w:r>
    </w:p>
    <w:p w14:paraId="37C1F667" w14:textId="77777777" w:rsidR="00A71156" w:rsidRPr="004817A1" w:rsidRDefault="00A71156" w:rsidP="00A71156">
      <w:pPr>
        <w:tabs>
          <w:tab w:val="left" w:pos="142"/>
        </w:tabs>
        <w:rPr>
          <w:rFonts w:cs="Arial"/>
          <w:i/>
          <w:szCs w:val="24"/>
          <w:lang w:eastAsia="es-ES"/>
        </w:rPr>
      </w:pPr>
    </w:p>
    <w:p w14:paraId="2716A6E2"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Duración:</w:t>
      </w:r>
    </w:p>
    <w:p w14:paraId="2B0D014C"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 Carga horaria cuatro (4) horas.</w:t>
      </w:r>
    </w:p>
    <w:p w14:paraId="2CF7883E" w14:textId="77777777" w:rsidR="00A71156" w:rsidRPr="004817A1" w:rsidRDefault="00A71156" w:rsidP="00A71156">
      <w:pPr>
        <w:tabs>
          <w:tab w:val="left" w:pos="142"/>
        </w:tabs>
        <w:rPr>
          <w:rFonts w:cs="Arial"/>
          <w:i/>
          <w:szCs w:val="24"/>
          <w:lang w:eastAsia="es-ES"/>
        </w:rPr>
      </w:pPr>
    </w:p>
    <w:p w14:paraId="2F327EE0"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 xml:space="preserve"> Producto esperado:</w:t>
      </w:r>
    </w:p>
    <w:p w14:paraId="3F3A34BC"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Ayuda Memoria.</w:t>
      </w:r>
    </w:p>
    <w:p w14:paraId="3705F69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Lista de participantes.</w:t>
      </w:r>
    </w:p>
    <w:p w14:paraId="7AD13CE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Memoria fotográfica.</w:t>
      </w:r>
    </w:p>
    <w:p w14:paraId="481AE33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   </w:t>
      </w:r>
    </w:p>
    <w:p w14:paraId="4A8B2804"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Planificar y Realizar Taller de capacitación del Módulo III (Taller No. 7 y 8 ,) Compendio Metodológico.</w:t>
      </w:r>
    </w:p>
    <w:p w14:paraId="578B1165" w14:textId="77777777" w:rsidR="00A71156" w:rsidRPr="004817A1" w:rsidRDefault="00A71156" w:rsidP="00A71156">
      <w:pPr>
        <w:tabs>
          <w:tab w:val="left" w:pos="142"/>
        </w:tabs>
        <w:rPr>
          <w:rFonts w:cs="Arial"/>
          <w:i/>
          <w:szCs w:val="24"/>
          <w:lang w:eastAsia="es-ES"/>
        </w:rPr>
      </w:pPr>
    </w:p>
    <w:p w14:paraId="0D2737C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4817A1">
        <w:rPr>
          <w:rFonts w:cs="Arial"/>
          <w:b/>
          <w:i/>
          <w:szCs w:val="24"/>
          <w:lang w:eastAsia="es-ES"/>
        </w:rPr>
        <w:t>Como administramos nuestros servicios de agua”</w:t>
      </w:r>
      <w:r w:rsidRPr="004817A1">
        <w:rPr>
          <w:rFonts w:cs="Arial"/>
          <w:i/>
          <w:szCs w:val="24"/>
          <w:lang w:eastAsia="es-ES"/>
        </w:rPr>
        <w:t xml:space="preserve"> talleres No 7 y 8  (con participación de un grupo meta de 18 a 25 protagonistas, integrado por personas de la JD del CAPS, grupo de apoyo, red de promotores/as sociales comunitarios, líderes naturales, gremiales, políticos y religiosos.</w:t>
      </w:r>
    </w:p>
    <w:p w14:paraId="34933F82" w14:textId="77777777" w:rsidR="00A71156" w:rsidRPr="004817A1" w:rsidRDefault="00A71156" w:rsidP="00A71156">
      <w:pPr>
        <w:tabs>
          <w:tab w:val="left" w:pos="142"/>
        </w:tabs>
        <w:rPr>
          <w:rFonts w:cs="Arial"/>
          <w:b/>
          <w:i/>
          <w:szCs w:val="24"/>
          <w:lang w:eastAsia="es-ES"/>
        </w:rPr>
      </w:pPr>
    </w:p>
    <w:p w14:paraId="0FF827E2"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contratista:</w:t>
      </w:r>
    </w:p>
    <w:p w14:paraId="3E1ED1C8" w14:textId="77777777" w:rsidR="00A71156" w:rsidRPr="004817A1" w:rsidRDefault="00A71156" w:rsidP="00A71156">
      <w:pPr>
        <w:tabs>
          <w:tab w:val="left" w:pos="142"/>
        </w:tabs>
        <w:rPr>
          <w:rFonts w:cs="Arial"/>
          <w:i/>
          <w:szCs w:val="24"/>
          <w:lang w:eastAsia="es-ES"/>
        </w:rPr>
      </w:pPr>
    </w:p>
    <w:p w14:paraId="3F62C6D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 lapiceros.</w:t>
      </w:r>
    </w:p>
    <w:p w14:paraId="4B72F02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3. Local para realizar los talleres.  </w:t>
      </w:r>
    </w:p>
    <w:p w14:paraId="137333E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refrigerios/Almuerzos.</w:t>
      </w:r>
    </w:p>
    <w:p w14:paraId="4599E4F4" w14:textId="77777777" w:rsidR="00A71156" w:rsidRPr="004817A1" w:rsidRDefault="00A71156" w:rsidP="00A71156">
      <w:pPr>
        <w:tabs>
          <w:tab w:val="left" w:pos="142"/>
        </w:tabs>
        <w:rPr>
          <w:rFonts w:cs="Arial"/>
          <w:b/>
          <w:i/>
          <w:szCs w:val="24"/>
          <w:lang w:eastAsia="es-ES"/>
        </w:rPr>
      </w:pPr>
    </w:p>
    <w:p w14:paraId="3BF1308B"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Fise:</w:t>
      </w:r>
    </w:p>
    <w:p w14:paraId="2EE01E6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Guía Metodológica.</w:t>
      </w:r>
    </w:p>
    <w:p w14:paraId="66FB7AC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2.  Módulo 3 Cartilla 5, 6,  </w:t>
      </w:r>
    </w:p>
    <w:p w14:paraId="58A24649" w14:textId="77777777" w:rsidR="00A71156" w:rsidRPr="004817A1" w:rsidRDefault="00A71156" w:rsidP="00A71156">
      <w:pPr>
        <w:tabs>
          <w:tab w:val="left" w:pos="142"/>
        </w:tabs>
        <w:rPr>
          <w:rFonts w:cs="Arial"/>
          <w:i/>
          <w:szCs w:val="24"/>
          <w:lang w:eastAsia="es-ES"/>
        </w:rPr>
      </w:pPr>
    </w:p>
    <w:p w14:paraId="646F537B"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Duración:</w:t>
      </w:r>
    </w:p>
    <w:p w14:paraId="1DE2844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 Carga horaria cuatro (4) horas.</w:t>
      </w:r>
    </w:p>
    <w:p w14:paraId="15F97588" w14:textId="77777777" w:rsidR="00A71156" w:rsidRPr="004817A1" w:rsidRDefault="00A71156" w:rsidP="00A71156">
      <w:pPr>
        <w:tabs>
          <w:tab w:val="left" w:pos="142"/>
        </w:tabs>
        <w:rPr>
          <w:rFonts w:cs="Arial"/>
          <w:i/>
          <w:szCs w:val="24"/>
          <w:lang w:eastAsia="es-ES"/>
        </w:rPr>
      </w:pPr>
    </w:p>
    <w:p w14:paraId="1E1E9ECD"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 xml:space="preserve"> Producto esperado:</w:t>
      </w:r>
    </w:p>
    <w:p w14:paraId="17BEE16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Ayuda Memoria.</w:t>
      </w:r>
    </w:p>
    <w:p w14:paraId="10D94E5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Lista de participantes.</w:t>
      </w:r>
    </w:p>
    <w:p w14:paraId="7B9E012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Memoria fotográfica.</w:t>
      </w:r>
    </w:p>
    <w:p w14:paraId="779EB71D" w14:textId="77777777" w:rsidR="00A71156" w:rsidRPr="004817A1" w:rsidRDefault="00A71156" w:rsidP="00A71156">
      <w:pPr>
        <w:tabs>
          <w:tab w:val="left" w:pos="142"/>
        </w:tabs>
        <w:rPr>
          <w:rFonts w:cs="Arial"/>
          <w:i/>
          <w:szCs w:val="24"/>
          <w:lang w:eastAsia="es-ES"/>
        </w:rPr>
      </w:pPr>
    </w:p>
    <w:p w14:paraId="1EE3C940"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de planificación de realización de talleres de capacitación del módulo III (taller No. 5,6,7 y 8) del compendio metodológico</w:t>
      </w:r>
    </w:p>
    <w:p w14:paraId="23AC5D84" w14:textId="77777777" w:rsidR="00A71156" w:rsidRPr="004817A1" w:rsidRDefault="00A71156" w:rsidP="00A71156">
      <w:pPr>
        <w:tabs>
          <w:tab w:val="left" w:pos="142"/>
        </w:tabs>
        <w:contextualSpacing/>
        <w:rPr>
          <w:rFonts w:cs="Arial"/>
          <w:b/>
          <w:i/>
          <w:szCs w:val="24"/>
          <w:lang w:eastAsia="es-ES"/>
        </w:rPr>
      </w:pPr>
    </w:p>
    <w:p w14:paraId="268C4C73"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El contratista va elaborar un informe de resultados consolidado de la actividad planificada de realización de talleres de capacitación del módulo III del compendio metodológico.</w:t>
      </w:r>
    </w:p>
    <w:p w14:paraId="6F5D93CB" w14:textId="77777777" w:rsidR="00A71156" w:rsidRPr="004817A1" w:rsidRDefault="00A71156" w:rsidP="00A71156">
      <w:pPr>
        <w:tabs>
          <w:tab w:val="left" w:pos="142"/>
        </w:tabs>
        <w:contextualSpacing/>
        <w:rPr>
          <w:rFonts w:cs="Arial"/>
          <w:szCs w:val="24"/>
          <w:lang w:eastAsia="es-ES"/>
        </w:rPr>
      </w:pPr>
    </w:p>
    <w:p w14:paraId="73FBBF8A"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Requerimiento del contratista:</w:t>
      </w:r>
    </w:p>
    <w:p w14:paraId="1BF00772" w14:textId="77777777" w:rsidR="00A71156" w:rsidRPr="004817A1" w:rsidRDefault="00A71156" w:rsidP="00A71156">
      <w:pPr>
        <w:tabs>
          <w:tab w:val="left" w:pos="142"/>
        </w:tabs>
        <w:contextualSpacing/>
        <w:rPr>
          <w:rFonts w:cs="Arial"/>
          <w:szCs w:val="24"/>
          <w:lang w:eastAsia="es-ES"/>
        </w:rPr>
      </w:pPr>
    </w:p>
    <w:p w14:paraId="625A730F" w14:textId="77777777" w:rsidR="00A71156" w:rsidRPr="004817A1" w:rsidRDefault="00A71156" w:rsidP="003B68DB">
      <w:pPr>
        <w:numPr>
          <w:ilvl w:val="0"/>
          <w:numId w:val="125"/>
        </w:numPr>
        <w:tabs>
          <w:tab w:val="left" w:pos="142"/>
        </w:tabs>
        <w:contextualSpacing/>
        <w:rPr>
          <w:rFonts w:cs="Arial"/>
          <w:szCs w:val="24"/>
          <w:lang w:eastAsia="es-ES"/>
        </w:rPr>
      </w:pPr>
      <w:r w:rsidRPr="004817A1">
        <w:rPr>
          <w:rFonts w:cs="Arial"/>
          <w:i/>
          <w:szCs w:val="24"/>
          <w:lang w:eastAsia="es-ES"/>
        </w:rPr>
        <w:t>Papel, impresiones a colores, encuadernado</w:t>
      </w:r>
    </w:p>
    <w:p w14:paraId="42FCEDB3" w14:textId="77777777" w:rsidR="00A71156" w:rsidRPr="004817A1" w:rsidRDefault="00A71156" w:rsidP="00A71156">
      <w:pPr>
        <w:tabs>
          <w:tab w:val="left" w:pos="142"/>
        </w:tabs>
        <w:ind w:left="720"/>
        <w:contextualSpacing/>
        <w:rPr>
          <w:rFonts w:cs="Arial"/>
          <w:szCs w:val="24"/>
          <w:lang w:eastAsia="es-ES"/>
        </w:rPr>
      </w:pPr>
    </w:p>
    <w:p w14:paraId="7C37D167"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Producto esperado:</w:t>
      </w:r>
    </w:p>
    <w:p w14:paraId="04695368" w14:textId="77777777" w:rsidR="00A71156" w:rsidRPr="004817A1" w:rsidRDefault="00A71156" w:rsidP="00A71156">
      <w:pPr>
        <w:tabs>
          <w:tab w:val="left" w:pos="142"/>
        </w:tabs>
        <w:contextualSpacing/>
        <w:rPr>
          <w:rFonts w:cs="Arial"/>
          <w:szCs w:val="24"/>
          <w:lang w:eastAsia="es-ES"/>
        </w:rPr>
      </w:pPr>
    </w:p>
    <w:p w14:paraId="57B18157"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Informe de talleres consolidado con resultados obtenidos en los talleres</w:t>
      </w:r>
    </w:p>
    <w:p w14:paraId="4FBBC829"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Lista de participantes</w:t>
      </w:r>
    </w:p>
    <w:p w14:paraId="71FAB9C3"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Memoria fotográfica</w:t>
      </w:r>
    </w:p>
    <w:p w14:paraId="3AB56B1F" w14:textId="77777777" w:rsidR="00A71156" w:rsidRPr="004817A1" w:rsidRDefault="00A71156" w:rsidP="00A71156">
      <w:pPr>
        <w:tabs>
          <w:tab w:val="left" w:pos="142"/>
        </w:tabs>
        <w:contextualSpacing/>
        <w:rPr>
          <w:rFonts w:cs="Arial"/>
          <w:szCs w:val="24"/>
          <w:lang w:eastAsia="es-ES"/>
        </w:rPr>
      </w:pPr>
    </w:p>
    <w:p w14:paraId="5CDB52B6" w14:textId="77777777" w:rsidR="00A71156" w:rsidRPr="004817A1" w:rsidRDefault="00A71156" w:rsidP="00A71156">
      <w:pPr>
        <w:tabs>
          <w:tab w:val="left" w:pos="142"/>
        </w:tabs>
        <w:contextualSpacing/>
        <w:rPr>
          <w:rFonts w:cs="Arial"/>
          <w:b/>
          <w:i/>
          <w:szCs w:val="24"/>
          <w:lang w:eastAsia="es-ES"/>
        </w:rPr>
      </w:pPr>
    </w:p>
    <w:p w14:paraId="6500F0C6"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 xml:space="preserve">Planificar y Realizar Taller de capacitación del Módulo IV (Talleres No.9 y 10) Compendio Metodológico. (Incluye local, material didáctico, material de apoyo y refrigerio).  </w:t>
      </w:r>
    </w:p>
    <w:p w14:paraId="7021C1E8" w14:textId="77777777" w:rsidR="00A71156" w:rsidRPr="004817A1" w:rsidRDefault="00A71156" w:rsidP="00A71156">
      <w:pPr>
        <w:tabs>
          <w:tab w:val="left" w:pos="142"/>
        </w:tabs>
        <w:ind w:left="720"/>
        <w:contextualSpacing/>
        <w:rPr>
          <w:rFonts w:cs="Arial"/>
          <w:b/>
          <w:i/>
          <w:szCs w:val="24"/>
          <w:lang w:eastAsia="es-ES"/>
        </w:rPr>
      </w:pPr>
    </w:p>
    <w:p w14:paraId="5A18C34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0308B7D7" w14:textId="77777777" w:rsidR="00A71156" w:rsidRPr="004817A1" w:rsidRDefault="00A71156" w:rsidP="00A71156">
      <w:pPr>
        <w:tabs>
          <w:tab w:val="left" w:pos="142"/>
        </w:tabs>
        <w:rPr>
          <w:rFonts w:cs="Arial"/>
          <w:i/>
          <w:szCs w:val="24"/>
          <w:lang w:eastAsia="es-ES"/>
        </w:rPr>
      </w:pPr>
    </w:p>
    <w:p w14:paraId="0081714D"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contratista:</w:t>
      </w:r>
    </w:p>
    <w:p w14:paraId="00E4415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1. Cuaderno y lapiceros </w:t>
      </w:r>
    </w:p>
    <w:p w14:paraId="4FAA563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Refrigerios.</w:t>
      </w:r>
    </w:p>
    <w:p w14:paraId="54BAB05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Local para realizar taller.</w:t>
      </w:r>
    </w:p>
    <w:p w14:paraId="190AD6CA" w14:textId="77777777" w:rsidR="00A71156" w:rsidRPr="004817A1" w:rsidRDefault="00A71156" w:rsidP="00A71156">
      <w:pPr>
        <w:tabs>
          <w:tab w:val="left" w:pos="142"/>
        </w:tabs>
        <w:rPr>
          <w:rFonts w:cs="Arial"/>
          <w:i/>
          <w:szCs w:val="24"/>
          <w:lang w:eastAsia="es-ES"/>
        </w:rPr>
      </w:pPr>
    </w:p>
    <w:p w14:paraId="4FDEC22C"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Fise:</w:t>
      </w:r>
    </w:p>
    <w:p w14:paraId="2FCBF41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Guía Metodológica.</w:t>
      </w:r>
    </w:p>
    <w:p w14:paraId="3E5F011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Cartilla del módulo IV.</w:t>
      </w:r>
    </w:p>
    <w:p w14:paraId="5DB9FC83" w14:textId="77777777" w:rsidR="00A71156" w:rsidRPr="004817A1" w:rsidRDefault="00A71156" w:rsidP="00A71156">
      <w:pPr>
        <w:tabs>
          <w:tab w:val="left" w:pos="142"/>
        </w:tabs>
        <w:rPr>
          <w:rFonts w:cs="Arial"/>
          <w:b/>
          <w:i/>
          <w:szCs w:val="24"/>
          <w:lang w:eastAsia="es-ES"/>
        </w:rPr>
      </w:pPr>
    </w:p>
    <w:p w14:paraId="43192507"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w:t>
      </w:r>
    </w:p>
    <w:p w14:paraId="36AE458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talleres.</w:t>
      </w:r>
    </w:p>
    <w:p w14:paraId="56AEFB0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Ayuda Memoria.</w:t>
      </w:r>
    </w:p>
    <w:p w14:paraId="11E210D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Lista de participantes.</w:t>
      </w:r>
    </w:p>
    <w:p w14:paraId="28ACF04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Memoria fotográfica.</w:t>
      </w:r>
    </w:p>
    <w:p w14:paraId="0D89D9E3" w14:textId="77777777" w:rsidR="00A71156" w:rsidRPr="004817A1" w:rsidRDefault="00A71156" w:rsidP="00A71156">
      <w:pPr>
        <w:tabs>
          <w:tab w:val="left" w:pos="142"/>
        </w:tabs>
        <w:rPr>
          <w:rFonts w:cs="Arial"/>
          <w:i/>
          <w:szCs w:val="24"/>
          <w:lang w:eastAsia="es-ES"/>
        </w:rPr>
      </w:pPr>
    </w:p>
    <w:p w14:paraId="7C789EF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Duración de cuatro (4) horas. </w:t>
      </w:r>
    </w:p>
    <w:p w14:paraId="3A788C0E" w14:textId="77777777" w:rsidR="00A71156" w:rsidRPr="004817A1" w:rsidRDefault="00A71156" w:rsidP="00A71156">
      <w:pPr>
        <w:tabs>
          <w:tab w:val="left" w:pos="142"/>
        </w:tabs>
        <w:rPr>
          <w:rFonts w:cs="Arial"/>
          <w:i/>
          <w:szCs w:val="24"/>
          <w:lang w:eastAsia="es-ES"/>
        </w:rPr>
      </w:pPr>
    </w:p>
    <w:p w14:paraId="3DA1D2D2"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de planificación de realización de talleres de capacitación del módulo III (taller No. 9 y 10) del compendio metodológico</w:t>
      </w:r>
    </w:p>
    <w:p w14:paraId="0421A50C" w14:textId="77777777" w:rsidR="00A71156" w:rsidRPr="004817A1" w:rsidRDefault="00A71156" w:rsidP="00A71156">
      <w:pPr>
        <w:tabs>
          <w:tab w:val="left" w:pos="142"/>
        </w:tabs>
        <w:contextualSpacing/>
        <w:rPr>
          <w:rFonts w:cs="Arial"/>
          <w:b/>
          <w:i/>
          <w:szCs w:val="24"/>
          <w:lang w:eastAsia="es-ES"/>
        </w:rPr>
      </w:pPr>
    </w:p>
    <w:p w14:paraId="19C58046"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El contratista va elaborar un informe de resultados consolidado de la actividad planificada de realización de talleres de capacitación del módulo III del compendio metodológico.</w:t>
      </w:r>
    </w:p>
    <w:p w14:paraId="48D6B8C6" w14:textId="77777777" w:rsidR="00A71156" w:rsidRPr="004817A1" w:rsidRDefault="00A71156" w:rsidP="00A71156">
      <w:pPr>
        <w:tabs>
          <w:tab w:val="left" w:pos="142"/>
        </w:tabs>
        <w:contextualSpacing/>
        <w:rPr>
          <w:rFonts w:cs="Arial"/>
          <w:szCs w:val="24"/>
          <w:lang w:eastAsia="es-ES"/>
        </w:rPr>
      </w:pPr>
    </w:p>
    <w:p w14:paraId="707B585F"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Requerimiento del contratista:</w:t>
      </w:r>
    </w:p>
    <w:p w14:paraId="46FA298D" w14:textId="77777777" w:rsidR="00A71156" w:rsidRPr="004817A1" w:rsidRDefault="00A71156" w:rsidP="00A71156">
      <w:pPr>
        <w:tabs>
          <w:tab w:val="left" w:pos="142"/>
        </w:tabs>
        <w:contextualSpacing/>
        <w:rPr>
          <w:rFonts w:cs="Arial"/>
          <w:szCs w:val="24"/>
          <w:lang w:eastAsia="es-ES"/>
        </w:rPr>
      </w:pPr>
    </w:p>
    <w:p w14:paraId="0618D593" w14:textId="77777777" w:rsidR="00A71156" w:rsidRPr="004817A1" w:rsidRDefault="00A71156" w:rsidP="003B68DB">
      <w:pPr>
        <w:numPr>
          <w:ilvl w:val="0"/>
          <w:numId w:val="125"/>
        </w:numPr>
        <w:tabs>
          <w:tab w:val="left" w:pos="142"/>
        </w:tabs>
        <w:contextualSpacing/>
        <w:rPr>
          <w:rFonts w:cs="Arial"/>
          <w:szCs w:val="24"/>
          <w:lang w:eastAsia="es-ES"/>
        </w:rPr>
      </w:pPr>
      <w:r w:rsidRPr="004817A1">
        <w:rPr>
          <w:rFonts w:cs="Arial"/>
          <w:i/>
          <w:szCs w:val="24"/>
          <w:lang w:eastAsia="es-ES"/>
        </w:rPr>
        <w:t>Papel, impresiones a colores, encuadernado</w:t>
      </w:r>
    </w:p>
    <w:p w14:paraId="01C62998" w14:textId="77777777" w:rsidR="00A71156" w:rsidRPr="004817A1" w:rsidRDefault="00A71156" w:rsidP="00A71156">
      <w:pPr>
        <w:tabs>
          <w:tab w:val="left" w:pos="142"/>
        </w:tabs>
        <w:ind w:left="720"/>
        <w:contextualSpacing/>
        <w:rPr>
          <w:rFonts w:cs="Arial"/>
          <w:szCs w:val="24"/>
          <w:lang w:eastAsia="es-ES"/>
        </w:rPr>
      </w:pPr>
    </w:p>
    <w:p w14:paraId="2A3660BF" w14:textId="77777777" w:rsidR="00A71156" w:rsidRPr="004817A1" w:rsidRDefault="00A71156" w:rsidP="00A71156">
      <w:pPr>
        <w:tabs>
          <w:tab w:val="left" w:pos="142"/>
        </w:tabs>
        <w:ind w:left="720"/>
        <w:contextualSpacing/>
        <w:rPr>
          <w:rFonts w:cs="Arial"/>
          <w:szCs w:val="24"/>
          <w:lang w:eastAsia="es-ES"/>
        </w:rPr>
      </w:pPr>
    </w:p>
    <w:p w14:paraId="032A3F88"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Producto esperado:</w:t>
      </w:r>
    </w:p>
    <w:p w14:paraId="06D3FB1C" w14:textId="77777777" w:rsidR="00A71156" w:rsidRPr="004817A1" w:rsidRDefault="00A71156" w:rsidP="00A71156">
      <w:pPr>
        <w:tabs>
          <w:tab w:val="left" w:pos="142"/>
        </w:tabs>
        <w:contextualSpacing/>
        <w:rPr>
          <w:rFonts w:cs="Arial"/>
          <w:szCs w:val="24"/>
          <w:lang w:eastAsia="es-ES"/>
        </w:rPr>
      </w:pPr>
    </w:p>
    <w:p w14:paraId="0D550538"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Informe de talleres consolidado con resultados obtenidos en los talleres</w:t>
      </w:r>
    </w:p>
    <w:p w14:paraId="11B5E79D"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Lista de participantes</w:t>
      </w:r>
    </w:p>
    <w:p w14:paraId="0A83380D"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Memoria fotográfica</w:t>
      </w:r>
    </w:p>
    <w:p w14:paraId="6709F847" w14:textId="77777777" w:rsidR="00A71156" w:rsidRPr="004817A1" w:rsidRDefault="00A71156" w:rsidP="00A71156">
      <w:pPr>
        <w:tabs>
          <w:tab w:val="left" w:pos="142"/>
        </w:tabs>
        <w:contextualSpacing/>
        <w:rPr>
          <w:rFonts w:cs="Arial"/>
          <w:szCs w:val="24"/>
          <w:lang w:eastAsia="es-ES"/>
        </w:rPr>
      </w:pPr>
    </w:p>
    <w:p w14:paraId="0486A66B" w14:textId="77777777" w:rsidR="00A71156" w:rsidRPr="004817A1" w:rsidRDefault="00A71156" w:rsidP="00A71156">
      <w:pPr>
        <w:tabs>
          <w:tab w:val="left" w:pos="142"/>
        </w:tabs>
        <w:ind w:left="720"/>
        <w:contextualSpacing/>
        <w:rPr>
          <w:rFonts w:cs="Arial"/>
          <w:b/>
          <w:i/>
          <w:szCs w:val="24"/>
          <w:lang w:eastAsia="es-ES"/>
        </w:rPr>
      </w:pPr>
    </w:p>
    <w:p w14:paraId="3CAB1C8E"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Planificar y Realización de Taller de capacitación dirigido a promotores(as) sociales comunitarios para implementación de metodología FCSA. Elaborar Informe de Planificación y realización de taller FCSA.</w:t>
      </w:r>
    </w:p>
    <w:p w14:paraId="0B734A95" w14:textId="77777777" w:rsidR="00A71156" w:rsidRPr="004817A1" w:rsidRDefault="00A71156" w:rsidP="00A71156">
      <w:pPr>
        <w:tabs>
          <w:tab w:val="left" w:pos="142"/>
        </w:tabs>
        <w:ind w:left="720"/>
        <w:contextualSpacing/>
        <w:rPr>
          <w:rFonts w:cs="Arial"/>
          <w:b/>
          <w:i/>
          <w:szCs w:val="24"/>
          <w:lang w:eastAsia="es-ES"/>
        </w:rPr>
      </w:pPr>
    </w:p>
    <w:p w14:paraId="6100E52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Utilizando material Didáctico de FISE (guía del promotor comunitario, cuaderno para promotores comunitarios, ficha familiar, gotitas alegres, tarjetas SARAR, gota alegre grande), se planifica y realiza taller para Implementación de Metodología Familia y Comunidad Saludable-FCSA), con participación de un promotor/ra por cada diez (10) viviendas beneficiarias directas con el proyecto.</w:t>
      </w:r>
    </w:p>
    <w:p w14:paraId="7A65189B" w14:textId="77777777" w:rsidR="00A71156" w:rsidRPr="004817A1" w:rsidRDefault="00A71156" w:rsidP="00A71156">
      <w:pPr>
        <w:tabs>
          <w:tab w:val="left" w:pos="142"/>
        </w:tabs>
        <w:rPr>
          <w:rFonts w:cs="Arial"/>
          <w:i/>
          <w:szCs w:val="24"/>
          <w:lang w:eastAsia="es-ES"/>
        </w:rPr>
      </w:pPr>
    </w:p>
    <w:p w14:paraId="136DFF07"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 xml:space="preserve">Requerimiento del Contratista: (Incluye local, material didáctico, material de apoyo y refrigerio).  </w:t>
      </w:r>
    </w:p>
    <w:p w14:paraId="7DDD67D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Cuadernos.</w:t>
      </w:r>
    </w:p>
    <w:p w14:paraId="31E4803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Lapiceros.</w:t>
      </w:r>
    </w:p>
    <w:p w14:paraId="261775F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Guía del promotor comunitario.</w:t>
      </w:r>
    </w:p>
    <w:p w14:paraId="6D14DF6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4. Cuadernos de registro de vistas FCSA.</w:t>
      </w:r>
    </w:p>
    <w:p w14:paraId="54CBD42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5. Refrigerios/ Almuerzos</w:t>
      </w:r>
    </w:p>
    <w:p w14:paraId="2A97A72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6. Local para realizar taller.</w:t>
      </w:r>
    </w:p>
    <w:p w14:paraId="16F35C3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7. Listado del número de viviendas a intervenir con FCSA.</w:t>
      </w:r>
    </w:p>
    <w:p w14:paraId="1126029A" w14:textId="77777777" w:rsidR="00A71156" w:rsidRPr="004817A1" w:rsidRDefault="00A71156" w:rsidP="00A71156">
      <w:pPr>
        <w:tabs>
          <w:tab w:val="left" w:pos="142"/>
        </w:tabs>
        <w:rPr>
          <w:rFonts w:cs="Arial"/>
          <w:i/>
          <w:szCs w:val="24"/>
          <w:lang w:eastAsia="es-ES"/>
        </w:rPr>
      </w:pPr>
    </w:p>
    <w:p w14:paraId="7A3E8623"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 Fise:</w:t>
      </w:r>
    </w:p>
    <w:p w14:paraId="4BACF5C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Fichas Familiares.</w:t>
      </w:r>
    </w:p>
    <w:p w14:paraId="455CF5D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Afiche de Saneamiento.</w:t>
      </w:r>
    </w:p>
    <w:p w14:paraId="1A50BF5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Afiche de Lavado de mano.</w:t>
      </w:r>
    </w:p>
    <w:p w14:paraId="26C9D602" w14:textId="77777777" w:rsidR="00A71156" w:rsidRDefault="00A71156" w:rsidP="00A71156">
      <w:pPr>
        <w:tabs>
          <w:tab w:val="left" w:pos="142"/>
        </w:tabs>
        <w:rPr>
          <w:rFonts w:cs="Arial"/>
          <w:i/>
          <w:szCs w:val="24"/>
          <w:lang w:eastAsia="es-ES"/>
        </w:rPr>
      </w:pPr>
    </w:p>
    <w:p w14:paraId="2823DD4D"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w:t>
      </w:r>
    </w:p>
    <w:p w14:paraId="02ED8CE5" w14:textId="77777777" w:rsidR="00A71156" w:rsidRPr="004817A1" w:rsidRDefault="00A71156" w:rsidP="00A71156">
      <w:pPr>
        <w:tabs>
          <w:tab w:val="left" w:pos="142"/>
        </w:tabs>
        <w:rPr>
          <w:rFonts w:cs="Arial"/>
          <w:i/>
          <w:szCs w:val="24"/>
          <w:lang w:eastAsia="es-ES"/>
        </w:rPr>
      </w:pPr>
    </w:p>
    <w:p w14:paraId="6E42F053" w14:textId="77777777" w:rsidR="00A71156" w:rsidRPr="004817A1" w:rsidRDefault="00A71156" w:rsidP="003B68DB">
      <w:pPr>
        <w:numPr>
          <w:ilvl w:val="0"/>
          <w:numId w:val="123"/>
        </w:numPr>
        <w:tabs>
          <w:tab w:val="left" w:pos="142"/>
        </w:tabs>
        <w:rPr>
          <w:rFonts w:cs="Arial"/>
          <w:i/>
          <w:szCs w:val="24"/>
          <w:lang w:eastAsia="es-ES"/>
        </w:rPr>
      </w:pPr>
      <w:r w:rsidRPr="004817A1">
        <w:rPr>
          <w:rFonts w:cs="Arial"/>
          <w:i/>
          <w:szCs w:val="24"/>
          <w:lang w:eastAsia="es-ES"/>
        </w:rPr>
        <w:t>Informe de taller a promotores/ as para la implementación de FCSA. (Con su lista de asistencia y ayuda memoria).</w:t>
      </w:r>
    </w:p>
    <w:p w14:paraId="190A96C5" w14:textId="77777777" w:rsidR="00A71156" w:rsidRPr="004817A1" w:rsidRDefault="00A71156" w:rsidP="003B68DB">
      <w:pPr>
        <w:numPr>
          <w:ilvl w:val="0"/>
          <w:numId w:val="123"/>
        </w:numPr>
        <w:tabs>
          <w:tab w:val="left" w:pos="142"/>
        </w:tabs>
        <w:rPr>
          <w:rFonts w:cs="Arial"/>
          <w:i/>
          <w:szCs w:val="24"/>
          <w:lang w:eastAsia="es-ES"/>
        </w:rPr>
      </w:pPr>
      <w:r w:rsidRPr="004817A1">
        <w:rPr>
          <w:rFonts w:cs="Arial"/>
          <w:i/>
          <w:szCs w:val="24"/>
          <w:lang w:eastAsia="es-ES"/>
        </w:rPr>
        <w:t>Cada promotor/a ha recibido el material FCSA correspondiente para 10 viviendas beneficiadas directas del proyecto.</w:t>
      </w:r>
    </w:p>
    <w:p w14:paraId="4646BC49" w14:textId="77777777" w:rsidR="00A71156" w:rsidRPr="004817A1" w:rsidRDefault="00A71156" w:rsidP="00A71156">
      <w:pPr>
        <w:tabs>
          <w:tab w:val="left" w:pos="142"/>
        </w:tabs>
        <w:rPr>
          <w:rFonts w:cs="Arial"/>
          <w:i/>
          <w:szCs w:val="24"/>
          <w:lang w:eastAsia="es-ES"/>
        </w:rPr>
      </w:pPr>
    </w:p>
    <w:p w14:paraId="22B2299E"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de la Promoción y aseguramiento del cumplimiento de los aportes comunitarios del fondo social comunitario (FSC) cuota No.3 y No.4.</w:t>
      </w:r>
    </w:p>
    <w:p w14:paraId="27F357DC" w14:textId="77777777" w:rsidR="00A71156" w:rsidRPr="004817A1" w:rsidRDefault="00A71156" w:rsidP="00A71156">
      <w:pPr>
        <w:tabs>
          <w:tab w:val="left" w:pos="142"/>
        </w:tabs>
        <w:rPr>
          <w:rFonts w:cs="Arial"/>
          <w:b/>
          <w:i/>
          <w:szCs w:val="24"/>
          <w:lang w:eastAsia="es-ES"/>
        </w:rPr>
      </w:pPr>
    </w:p>
    <w:p w14:paraId="3D7E550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32900F82" w14:textId="77777777" w:rsidR="00A71156" w:rsidRPr="004817A1" w:rsidRDefault="00A71156" w:rsidP="00A71156">
      <w:pPr>
        <w:tabs>
          <w:tab w:val="left" w:pos="142"/>
        </w:tabs>
        <w:rPr>
          <w:rFonts w:cs="Arial"/>
          <w:i/>
          <w:szCs w:val="24"/>
          <w:lang w:eastAsia="es-ES"/>
        </w:rPr>
      </w:pPr>
    </w:p>
    <w:p w14:paraId="5BAFC9A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01D76323" w14:textId="77777777" w:rsidR="00A71156" w:rsidRPr="004817A1" w:rsidRDefault="00A71156" w:rsidP="00A71156">
      <w:pPr>
        <w:tabs>
          <w:tab w:val="left" w:pos="142"/>
        </w:tabs>
        <w:rPr>
          <w:rFonts w:cs="Arial"/>
          <w:i/>
          <w:szCs w:val="24"/>
          <w:lang w:eastAsia="es-ES"/>
        </w:rPr>
      </w:pPr>
    </w:p>
    <w:p w14:paraId="3F02DEED"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Instrumentos:</w:t>
      </w:r>
    </w:p>
    <w:p w14:paraId="6C2F003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1.  control de pago del FSC establecidos por FISE, los cuales serán presentados en informes requeridos, en los productos del contrato.  </w:t>
      </w:r>
    </w:p>
    <w:p w14:paraId="62273D54" w14:textId="77777777" w:rsidR="00A71156" w:rsidRPr="004817A1" w:rsidRDefault="00A71156" w:rsidP="00A71156">
      <w:pPr>
        <w:tabs>
          <w:tab w:val="left" w:pos="142"/>
        </w:tabs>
        <w:rPr>
          <w:rFonts w:cs="Arial"/>
          <w:b/>
          <w:i/>
          <w:szCs w:val="24"/>
          <w:lang w:eastAsia="es-ES"/>
        </w:rPr>
      </w:pPr>
    </w:p>
    <w:p w14:paraId="16689E27"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lastRenderedPageBreak/>
        <w:t>Producto esperado:</w:t>
      </w:r>
    </w:p>
    <w:p w14:paraId="4688017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Ejecutivo del cumplimiento del 100% del FSC, correspondiente a esta etapa.</w:t>
      </w:r>
    </w:p>
    <w:p w14:paraId="6AAC9D53" w14:textId="77777777" w:rsidR="00A71156" w:rsidRPr="004817A1" w:rsidRDefault="00A71156" w:rsidP="00A71156">
      <w:pPr>
        <w:tabs>
          <w:tab w:val="left" w:pos="142"/>
        </w:tabs>
        <w:rPr>
          <w:rFonts w:cs="Arial"/>
          <w:i/>
          <w:szCs w:val="24"/>
          <w:lang w:eastAsia="es-ES"/>
        </w:rPr>
      </w:pPr>
    </w:p>
    <w:p w14:paraId="7B1C5F5A"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de Promoción y aseguramiento del cumplimiento de los aportes comunitarios del fondo social comunitario (FSC) cuota No.5 y No.6.</w:t>
      </w:r>
    </w:p>
    <w:p w14:paraId="0A82F69C" w14:textId="77777777" w:rsidR="00A71156" w:rsidRPr="004817A1" w:rsidRDefault="00A71156" w:rsidP="00A71156">
      <w:pPr>
        <w:tabs>
          <w:tab w:val="left" w:pos="142"/>
        </w:tabs>
        <w:rPr>
          <w:rFonts w:cs="Arial"/>
          <w:i/>
          <w:szCs w:val="24"/>
          <w:lang w:eastAsia="es-ES"/>
        </w:rPr>
      </w:pPr>
    </w:p>
    <w:p w14:paraId="5D3B7C5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4E1DDBE3" w14:textId="77777777" w:rsidR="00A71156" w:rsidRPr="004817A1" w:rsidRDefault="00A71156" w:rsidP="00A71156">
      <w:pPr>
        <w:tabs>
          <w:tab w:val="left" w:pos="142"/>
        </w:tabs>
        <w:rPr>
          <w:rFonts w:cs="Arial"/>
          <w:i/>
          <w:szCs w:val="24"/>
          <w:lang w:eastAsia="es-ES"/>
        </w:rPr>
      </w:pPr>
    </w:p>
    <w:p w14:paraId="6A897BD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3760C1E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Hacer uso de instrumentos para control y manejo del FSC, establecidos por FISE, los cuales serán presentados en informes requeridos, en los productos del contrato.  </w:t>
      </w:r>
    </w:p>
    <w:p w14:paraId="15FC33E8" w14:textId="77777777" w:rsidR="00A71156" w:rsidRPr="004817A1" w:rsidRDefault="00A71156" w:rsidP="00A71156">
      <w:pPr>
        <w:tabs>
          <w:tab w:val="left" w:pos="142"/>
        </w:tabs>
        <w:rPr>
          <w:rFonts w:cs="Arial"/>
          <w:b/>
          <w:i/>
          <w:szCs w:val="24"/>
          <w:lang w:eastAsia="es-ES"/>
        </w:rPr>
      </w:pPr>
    </w:p>
    <w:p w14:paraId="07601577"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Instrumentos:</w:t>
      </w:r>
    </w:p>
    <w:p w14:paraId="0C2422F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1.  Control de pago del FSC establecidos por FISE, los cuales serán presentados en informes requeridos, en los productos del contrato.  </w:t>
      </w:r>
    </w:p>
    <w:p w14:paraId="615E2210" w14:textId="77777777" w:rsidR="00A71156" w:rsidRPr="004817A1" w:rsidRDefault="00A71156" w:rsidP="00A71156">
      <w:pPr>
        <w:tabs>
          <w:tab w:val="left" w:pos="142"/>
        </w:tabs>
        <w:rPr>
          <w:rFonts w:cs="Arial"/>
          <w:i/>
          <w:szCs w:val="24"/>
          <w:lang w:eastAsia="es-ES"/>
        </w:rPr>
      </w:pPr>
    </w:p>
    <w:p w14:paraId="734DB2D3"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w:t>
      </w:r>
    </w:p>
    <w:p w14:paraId="06D241E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Ejecutivo del cumplimiento del 100% del FSC, correspondiente a esta etapa.</w:t>
      </w:r>
    </w:p>
    <w:p w14:paraId="4B367768" w14:textId="77777777" w:rsidR="00A71156" w:rsidRPr="004817A1" w:rsidRDefault="00A71156" w:rsidP="00A71156">
      <w:pPr>
        <w:tabs>
          <w:tab w:val="left" w:pos="142"/>
        </w:tabs>
        <w:rPr>
          <w:rFonts w:cs="Arial"/>
          <w:i/>
          <w:szCs w:val="24"/>
          <w:lang w:eastAsia="es-ES"/>
        </w:rPr>
      </w:pPr>
    </w:p>
    <w:p w14:paraId="038FB7BD"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de Promoción y aseguramiento del cumplimiento de los aportes comunitarios para la compra de medidor.</w:t>
      </w:r>
    </w:p>
    <w:p w14:paraId="3B8870CD" w14:textId="77777777" w:rsidR="00A71156" w:rsidRPr="004817A1" w:rsidRDefault="00A71156" w:rsidP="00A71156">
      <w:pPr>
        <w:tabs>
          <w:tab w:val="left" w:pos="142"/>
        </w:tabs>
        <w:rPr>
          <w:rFonts w:cs="Arial"/>
          <w:i/>
          <w:szCs w:val="24"/>
          <w:lang w:eastAsia="es-ES"/>
        </w:rPr>
      </w:pPr>
    </w:p>
    <w:p w14:paraId="7C5C499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7B7F9C30" w14:textId="77777777" w:rsidR="00A71156" w:rsidRPr="004817A1" w:rsidRDefault="00A71156" w:rsidP="00A71156">
      <w:pPr>
        <w:tabs>
          <w:tab w:val="left" w:pos="142"/>
        </w:tabs>
        <w:rPr>
          <w:rFonts w:cs="Arial"/>
          <w:i/>
          <w:szCs w:val="24"/>
          <w:lang w:eastAsia="es-ES"/>
        </w:rPr>
      </w:pPr>
    </w:p>
    <w:p w14:paraId="6997CD2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7FA64AC6" w14:textId="77777777" w:rsidR="00A71156" w:rsidRPr="004817A1" w:rsidRDefault="00A71156" w:rsidP="00A71156">
      <w:pPr>
        <w:tabs>
          <w:tab w:val="left" w:pos="142"/>
        </w:tabs>
        <w:rPr>
          <w:rFonts w:cs="Arial"/>
          <w:i/>
          <w:szCs w:val="24"/>
          <w:lang w:eastAsia="es-ES"/>
        </w:rPr>
      </w:pPr>
    </w:p>
    <w:p w14:paraId="298F869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022A2D3D" w14:textId="77777777" w:rsidR="00A71156" w:rsidRPr="004817A1" w:rsidRDefault="00A71156" w:rsidP="00A71156">
      <w:pPr>
        <w:tabs>
          <w:tab w:val="left" w:pos="142"/>
        </w:tabs>
        <w:rPr>
          <w:rFonts w:cs="Arial"/>
          <w:i/>
          <w:szCs w:val="24"/>
          <w:lang w:eastAsia="es-ES"/>
        </w:rPr>
      </w:pPr>
    </w:p>
    <w:p w14:paraId="2716385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En caso que la compra de los medidores esté incluida en el presupuesto de la obra del proyecto, no aplicara la recolecta del pago de medidores, por lo que esta actividad no será pagada.</w:t>
      </w:r>
    </w:p>
    <w:p w14:paraId="1A7CC192" w14:textId="77777777" w:rsidR="00A71156" w:rsidRPr="004817A1" w:rsidRDefault="00A71156" w:rsidP="00A71156">
      <w:pPr>
        <w:tabs>
          <w:tab w:val="left" w:pos="142"/>
        </w:tabs>
        <w:rPr>
          <w:rFonts w:cs="Arial"/>
          <w:i/>
          <w:szCs w:val="24"/>
          <w:lang w:eastAsia="es-ES"/>
        </w:rPr>
      </w:pPr>
    </w:p>
    <w:p w14:paraId="3F1AC599"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 por el contratista:</w:t>
      </w:r>
    </w:p>
    <w:p w14:paraId="011B43F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cumplimiento del 100% del pago del medidor. (Control de pago de medidor firmado por el CAPS, Alcaldía Municipal.)</w:t>
      </w:r>
    </w:p>
    <w:p w14:paraId="0E0B3C37" w14:textId="77777777" w:rsidR="00A71156" w:rsidRPr="004817A1" w:rsidRDefault="00A71156" w:rsidP="00A71156">
      <w:pPr>
        <w:tabs>
          <w:tab w:val="left" w:pos="142"/>
        </w:tabs>
        <w:rPr>
          <w:rFonts w:cs="Arial"/>
          <w:i/>
          <w:szCs w:val="24"/>
          <w:lang w:eastAsia="es-ES"/>
        </w:rPr>
      </w:pPr>
    </w:p>
    <w:p w14:paraId="6011C985"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para implementación de metodología FCSA -Primera visita casa a casa.</w:t>
      </w:r>
    </w:p>
    <w:p w14:paraId="256CD9DC" w14:textId="77777777" w:rsidR="00A71156" w:rsidRPr="004817A1" w:rsidRDefault="00A71156" w:rsidP="00A71156">
      <w:pPr>
        <w:tabs>
          <w:tab w:val="left" w:pos="142"/>
        </w:tabs>
        <w:rPr>
          <w:rFonts w:cs="Arial"/>
          <w:i/>
          <w:szCs w:val="24"/>
          <w:lang w:eastAsia="es-ES"/>
        </w:rPr>
      </w:pPr>
    </w:p>
    <w:p w14:paraId="5BEE835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6830B5A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 </w:t>
      </w:r>
    </w:p>
    <w:p w14:paraId="2FB6CCB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12D7A581" w14:textId="77777777" w:rsidR="00A71156" w:rsidRPr="004817A1" w:rsidRDefault="00A71156" w:rsidP="00A71156">
      <w:pPr>
        <w:tabs>
          <w:tab w:val="left" w:pos="142"/>
        </w:tabs>
        <w:rPr>
          <w:rFonts w:cs="Arial"/>
          <w:i/>
          <w:szCs w:val="24"/>
          <w:lang w:eastAsia="es-ES"/>
        </w:rPr>
      </w:pPr>
    </w:p>
    <w:p w14:paraId="75F4FB5C"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525BECC9" w14:textId="77777777" w:rsidR="00A71156" w:rsidRPr="004817A1" w:rsidRDefault="00A71156" w:rsidP="00A71156">
      <w:pPr>
        <w:tabs>
          <w:tab w:val="left" w:pos="142"/>
        </w:tabs>
        <w:rPr>
          <w:rFonts w:cs="Arial"/>
          <w:i/>
          <w:szCs w:val="24"/>
          <w:lang w:eastAsia="es-ES"/>
        </w:rPr>
      </w:pPr>
    </w:p>
    <w:p w14:paraId="2B97B84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Contratista, elabora Informe Ejecutivo del diagnóstico higiénico-sanitario, obteniendo una línea de base que refleje el comportamiento de los hábitos de higiene en las familias.  </w:t>
      </w:r>
    </w:p>
    <w:p w14:paraId="768667A4" w14:textId="77777777" w:rsidR="00A71156" w:rsidRPr="004817A1" w:rsidRDefault="00A71156" w:rsidP="00A71156">
      <w:pPr>
        <w:tabs>
          <w:tab w:val="left" w:pos="142"/>
        </w:tabs>
        <w:rPr>
          <w:rFonts w:cs="Arial"/>
          <w:i/>
          <w:szCs w:val="24"/>
          <w:lang w:eastAsia="es-ES"/>
        </w:rPr>
      </w:pPr>
    </w:p>
    <w:p w14:paraId="1D430095"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por el contratista para los promotores:</w:t>
      </w:r>
    </w:p>
    <w:p w14:paraId="2E7A0D4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 de control de visita.</w:t>
      </w:r>
    </w:p>
    <w:p w14:paraId="1B5D0D2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cuadernos/lapiceros/lápiz/ Tabla clan.</w:t>
      </w:r>
    </w:p>
    <w:p w14:paraId="5BCE6443" w14:textId="77777777" w:rsidR="00A71156" w:rsidRPr="004817A1" w:rsidRDefault="00A71156" w:rsidP="00A71156">
      <w:pPr>
        <w:tabs>
          <w:tab w:val="left" w:pos="142"/>
        </w:tabs>
        <w:rPr>
          <w:rFonts w:cs="Arial"/>
          <w:i/>
          <w:szCs w:val="24"/>
          <w:lang w:eastAsia="es-ES"/>
        </w:rPr>
      </w:pPr>
    </w:p>
    <w:p w14:paraId="17E9490A"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esperando:</w:t>
      </w:r>
    </w:p>
    <w:p w14:paraId="6BA3D14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resultado del Diagnostico Higiénico-Sanitario.</w:t>
      </w:r>
    </w:p>
    <w:p w14:paraId="06A0B065" w14:textId="77777777" w:rsidR="00A71156" w:rsidRPr="004817A1" w:rsidRDefault="00A71156" w:rsidP="00A71156">
      <w:pPr>
        <w:tabs>
          <w:tab w:val="left" w:pos="142"/>
        </w:tabs>
        <w:rPr>
          <w:rFonts w:cs="Arial"/>
          <w:i/>
          <w:szCs w:val="24"/>
          <w:lang w:eastAsia="es-ES"/>
        </w:rPr>
      </w:pPr>
    </w:p>
    <w:p w14:paraId="5D9BC245"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para implementación de metodología FCSA -Segunda visita casa a casa.</w:t>
      </w:r>
    </w:p>
    <w:p w14:paraId="3B78B805" w14:textId="77777777" w:rsidR="00A71156" w:rsidRPr="004817A1" w:rsidRDefault="00A71156" w:rsidP="00A71156">
      <w:pPr>
        <w:tabs>
          <w:tab w:val="left" w:pos="142"/>
        </w:tabs>
        <w:ind w:left="720"/>
        <w:contextualSpacing/>
        <w:rPr>
          <w:rFonts w:cs="Arial"/>
          <w:b/>
          <w:i/>
          <w:szCs w:val="24"/>
          <w:lang w:eastAsia="es-ES"/>
        </w:rPr>
      </w:pPr>
    </w:p>
    <w:p w14:paraId="2138615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0AFA67E6" w14:textId="77777777" w:rsidR="00A71156" w:rsidRPr="004817A1" w:rsidRDefault="00A71156" w:rsidP="00A71156">
      <w:pPr>
        <w:tabs>
          <w:tab w:val="left" w:pos="142"/>
        </w:tabs>
        <w:rPr>
          <w:rFonts w:cs="Arial"/>
          <w:i/>
          <w:szCs w:val="24"/>
          <w:lang w:eastAsia="es-ES"/>
        </w:rPr>
      </w:pPr>
    </w:p>
    <w:p w14:paraId="4370A59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538E67AD" w14:textId="77777777" w:rsidR="00A71156" w:rsidRPr="004817A1" w:rsidRDefault="00A71156" w:rsidP="00A71156">
      <w:pPr>
        <w:tabs>
          <w:tab w:val="left" w:pos="142"/>
        </w:tabs>
        <w:rPr>
          <w:rFonts w:cs="Arial"/>
          <w:i/>
          <w:szCs w:val="24"/>
          <w:lang w:eastAsia="es-ES"/>
        </w:rPr>
      </w:pPr>
    </w:p>
    <w:p w14:paraId="192C4A6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 xml:space="preserve">Cada promotor/ra, con apoyo y acompañamiento del contratista, debe negociar con propietarios de viviendas, horario y día para realizar la siguiente visita. </w:t>
      </w:r>
    </w:p>
    <w:p w14:paraId="532F93EE" w14:textId="77777777" w:rsidR="00A71156" w:rsidRPr="004817A1" w:rsidRDefault="00A71156" w:rsidP="00A71156">
      <w:pPr>
        <w:tabs>
          <w:tab w:val="left" w:pos="142"/>
        </w:tabs>
        <w:rPr>
          <w:rFonts w:cs="Arial"/>
          <w:i/>
          <w:szCs w:val="24"/>
          <w:lang w:eastAsia="es-ES"/>
        </w:rPr>
      </w:pPr>
    </w:p>
    <w:p w14:paraId="634AFFF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Contratista, elabora Informe Ejecutivo de la implementación de FCSA, enfatizando limitantes, logros en los cambios de comportamiento de higiene en las familias.</w:t>
      </w:r>
    </w:p>
    <w:p w14:paraId="4F4B16F3" w14:textId="77777777" w:rsidR="00A71156" w:rsidRPr="004817A1" w:rsidRDefault="00A71156" w:rsidP="00A71156">
      <w:pPr>
        <w:tabs>
          <w:tab w:val="left" w:pos="142"/>
        </w:tabs>
        <w:rPr>
          <w:rFonts w:cs="Arial"/>
          <w:b/>
          <w:i/>
          <w:szCs w:val="24"/>
          <w:lang w:eastAsia="es-ES"/>
        </w:rPr>
      </w:pPr>
    </w:p>
    <w:p w14:paraId="0EBC4F28"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por el contratista para los promotores:</w:t>
      </w:r>
    </w:p>
    <w:p w14:paraId="6935741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 de control de visita.</w:t>
      </w:r>
    </w:p>
    <w:p w14:paraId="42B2956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cuadernos/lapiceros/lápiz/ Tabla clan.</w:t>
      </w:r>
    </w:p>
    <w:p w14:paraId="581A7977" w14:textId="77777777" w:rsidR="00A71156" w:rsidRPr="004817A1" w:rsidRDefault="00A71156" w:rsidP="00A71156">
      <w:pPr>
        <w:tabs>
          <w:tab w:val="left" w:pos="142"/>
        </w:tabs>
        <w:rPr>
          <w:rFonts w:cs="Arial"/>
          <w:i/>
          <w:szCs w:val="24"/>
          <w:lang w:eastAsia="es-ES"/>
        </w:rPr>
      </w:pPr>
    </w:p>
    <w:p w14:paraId="0AB2BD66"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esperando por el contratista:</w:t>
      </w:r>
    </w:p>
    <w:p w14:paraId="0618AC8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la visita Tema 1, consolidado por familias.</w:t>
      </w:r>
    </w:p>
    <w:p w14:paraId="7B9E780C"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0970647E" w14:textId="77777777" w:rsidR="00A71156" w:rsidRPr="004817A1" w:rsidRDefault="00A71156" w:rsidP="00A71156">
      <w:pPr>
        <w:tabs>
          <w:tab w:val="left" w:pos="142"/>
        </w:tabs>
        <w:rPr>
          <w:rFonts w:cs="Arial"/>
          <w:i/>
          <w:szCs w:val="24"/>
          <w:lang w:eastAsia="es-ES"/>
        </w:rPr>
      </w:pPr>
    </w:p>
    <w:p w14:paraId="37CBDA44"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para implementación de metodología FCSA -Tercera visita casa a casa.</w:t>
      </w:r>
    </w:p>
    <w:p w14:paraId="228127CA" w14:textId="77777777" w:rsidR="00A71156" w:rsidRPr="004817A1" w:rsidRDefault="00A71156" w:rsidP="00A71156">
      <w:pPr>
        <w:tabs>
          <w:tab w:val="left" w:pos="142"/>
        </w:tabs>
        <w:rPr>
          <w:rFonts w:cs="Arial"/>
          <w:b/>
          <w:i/>
          <w:szCs w:val="24"/>
          <w:lang w:eastAsia="es-ES"/>
        </w:rPr>
      </w:pPr>
    </w:p>
    <w:p w14:paraId="4FE035F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6784214B" w14:textId="77777777" w:rsidR="00A71156" w:rsidRPr="004817A1" w:rsidRDefault="00A71156" w:rsidP="00A71156">
      <w:pPr>
        <w:tabs>
          <w:tab w:val="left" w:pos="142"/>
        </w:tabs>
        <w:rPr>
          <w:rFonts w:cs="Arial"/>
          <w:i/>
          <w:szCs w:val="24"/>
          <w:lang w:eastAsia="es-ES"/>
        </w:rPr>
      </w:pPr>
    </w:p>
    <w:p w14:paraId="52FE3A2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7E099FF7" w14:textId="77777777" w:rsidR="00A71156" w:rsidRPr="004817A1" w:rsidRDefault="00A71156" w:rsidP="00A71156">
      <w:pPr>
        <w:tabs>
          <w:tab w:val="left" w:pos="142"/>
        </w:tabs>
        <w:rPr>
          <w:rFonts w:cs="Arial"/>
          <w:i/>
          <w:szCs w:val="24"/>
          <w:lang w:eastAsia="es-ES"/>
        </w:rPr>
      </w:pPr>
    </w:p>
    <w:p w14:paraId="524AB09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Cada promotor/ra, con apoyo y acompañamiento del contratista, debe negociar con propietarios de viviendas, horario y día para realizar la siguiente visita. </w:t>
      </w:r>
    </w:p>
    <w:p w14:paraId="1665F71D" w14:textId="77777777" w:rsidR="00A71156" w:rsidRPr="004817A1" w:rsidRDefault="00A71156" w:rsidP="00A71156">
      <w:pPr>
        <w:tabs>
          <w:tab w:val="left" w:pos="142"/>
        </w:tabs>
        <w:rPr>
          <w:rFonts w:cs="Arial"/>
          <w:i/>
          <w:szCs w:val="24"/>
          <w:lang w:eastAsia="es-ES"/>
        </w:rPr>
      </w:pPr>
    </w:p>
    <w:p w14:paraId="60C5CDFA"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esperando:</w:t>
      </w:r>
    </w:p>
    <w:p w14:paraId="1F7BE3B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la visita Tema 2, consolidado por familias.</w:t>
      </w:r>
    </w:p>
    <w:p w14:paraId="6EDC7D0F" w14:textId="77777777" w:rsidR="00A71156" w:rsidRPr="004817A1" w:rsidRDefault="00A71156" w:rsidP="00A71156">
      <w:pPr>
        <w:tabs>
          <w:tab w:val="left" w:pos="142"/>
        </w:tabs>
        <w:rPr>
          <w:rFonts w:cs="Arial"/>
          <w:b/>
          <w:i/>
          <w:szCs w:val="24"/>
          <w:lang w:eastAsia="es-ES"/>
        </w:rPr>
      </w:pPr>
      <w:r w:rsidRPr="004817A1">
        <w:rPr>
          <w:rFonts w:cs="Arial"/>
          <w:i/>
          <w:szCs w:val="24"/>
          <w:lang w:eastAsia="es-ES"/>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1BB69985" w14:textId="77777777" w:rsidR="00A71156" w:rsidRPr="004817A1" w:rsidRDefault="00A71156" w:rsidP="00A71156">
      <w:pPr>
        <w:tabs>
          <w:tab w:val="left" w:pos="142"/>
        </w:tabs>
        <w:rPr>
          <w:rFonts w:cs="Arial"/>
          <w:b/>
          <w:i/>
          <w:szCs w:val="24"/>
          <w:lang w:eastAsia="es-ES"/>
        </w:rPr>
      </w:pPr>
    </w:p>
    <w:p w14:paraId="472C3A8A"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informe para implementación de metodología FCSA -Cuarta visita casa a casa.</w:t>
      </w:r>
    </w:p>
    <w:p w14:paraId="06CE94F5" w14:textId="77777777" w:rsidR="00A71156" w:rsidRPr="004817A1" w:rsidRDefault="00A71156" w:rsidP="00A71156">
      <w:pPr>
        <w:tabs>
          <w:tab w:val="left" w:pos="142"/>
        </w:tabs>
        <w:rPr>
          <w:rFonts w:cs="Arial"/>
          <w:b/>
          <w:i/>
          <w:szCs w:val="24"/>
          <w:lang w:eastAsia="es-ES"/>
        </w:rPr>
      </w:pPr>
    </w:p>
    <w:p w14:paraId="3E351FC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17118FB5" w14:textId="77777777" w:rsidR="00A71156" w:rsidRPr="004817A1" w:rsidRDefault="00A71156" w:rsidP="00A71156">
      <w:pPr>
        <w:tabs>
          <w:tab w:val="left" w:pos="142"/>
        </w:tabs>
        <w:rPr>
          <w:rFonts w:cs="Arial"/>
          <w:i/>
          <w:szCs w:val="24"/>
          <w:lang w:eastAsia="es-ES"/>
        </w:rPr>
      </w:pPr>
    </w:p>
    <w:p w14:paraId="17C2C7E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la cuarta visita de FCSA, se evalúa, en base a criterios del tema establecido en la FICHA Familiar, visitándose el 100 % de las viviendas protagonistas directos del proyecto, evaluándose </w:t>
      </w:r>
      <w:r w:rsidRPr="004817A1">
        <w:rPr>
          <w:rFonts w:cs="Arial"/>
          <w:i/>
          <w:szCs w:val="24"/>
          <w:lang w:eastAsia="es-ES"/>
        </w:rPr>
        <w:lastRenderedPageBreak/>
        <w:t xml:space="preserve">el tema, en base a los criterios establecidos en Ficha, en la visita se coloca una gotita alegre en la ficha familiar, poniendo en práctica los procedimientos establecidos, para su aplicación. </w:t>
      </w:r>
    </w:p>
    <w:p w14:paraId="267AD443" w14:textId="77777777" w:rsidR="00A71156" w:rsidRPr="004817A1" w:rsidRDefault="00A71156" w:rsidP="00A71156">
      <w:pPr>
        <w:tabs>
          <w:tab w:val="left" w:pos="142"/>
        </w:tabs>
        <w:rPr>
          <w:rFonts w:cs="Arial"/>
          <w:i/>
          <w:szCs w:val="24"/>
          <w:lang w:eastAsia="es-ES"/>
        </w:rPr>
      </w:pPr>
    </w:p>
    <w:p w14:paraId="512DD9C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Cada promotor/ra, con apoyo y acompañamiento del contratista, debe negociar con propietarios de viviendas, horario y día para realizar la siguiente visita. </w:t>
      </w:r>
    </w:p>
    <w:p w14:paraId="67091736" w14:textId="77777777" w:rsidR="00A71156" w:rsidRPr="004817A1" w:rsidRDefault="00A71156" w:rsidP="00A71156">
      <w:pPr>
        <w:tabs>
          <w:tab w:val="left" w:pos="142"/>
        </w:tabs>
        <w:rPr>
          <w:rFonts w:cs="Arial"/>
          <w:i/>
          <w:szCs w:val="24"/>
          <w:lang w:eastAsia="es-ES"/>
        </w:rPr>
      </w:pPr>
    </w:p>
    <w:p w14:paraId="62CC63FB"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esperando por el contratista:</w:t>
      </w:r>
    </w:p>
    <w:p w14:paraId="56248D9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la visita Tema 3, consolidado por familias.</w:t>
      </w:r>
    </w:p>
    <w:p w14:paraId="5357D76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BEF818D" w14:textId="77777777" w:rsidR="00A71156" w:rsidRPr="004817A1" w:rsidRDefault="00A71156" w:rsidP="00A71156">
      <w:pPr>
        <w:tabs>
          <w:tab w:val="left" w:pos="142"/>
        </w:tabs>
        <w:rPr>
          <w:rFonts w:cs="Arial"/>
          <w:b/>
          <w:i/>
          <w:szCs w:val="24"/>
          <w:lang w:eastAsia="es-ES"/>
        </w:rPr>
      </w:pPr>
    </w:p>
    <w:p w14:paraId="5E49F715"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Planificar y realizar taller de capacitación dirigido al Comité CAPS sobre la elaboración del reglamento interno del sistema de agua potable (SAP)</w:t>
      </w:r>
    </w:p>
    <w:p w14:paraId="5698BA04" w14:textId="77777777" w:rsidR="00A71156" w:rsidRPr="004817A1" w:rsidRDefault="00A71156" w:rsidP="00A71156">
      <w:pPr>
        <w:tabs>
          <w:tab w:val="left" w:pos="142"/>
        </w:tabs>
        <w:contextualSpacing/>
        <w:rPr>
          <w:rFonts w:cs="Arial"/>
          <w:b/>
          <w:i/>
          <w:szCs w:val="24"/>
          <w:lang w:eastAsia="es-ES"/>
        </w:rPr>
      </w:pPr>
    </w:p>
    <w:p w14:paraId="3C25200B"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774B11BF" w14:textId="77777777" w:rsidR="00A71156" w:rsidRPr="004817A1" w:rsidRDefault="00A71156" w:rsidP="00A71156">
      <w:pPr>
        <w:tabs>
          <w:tab w:val="left" w:pos="142"/>
        </w:tabs>
        <w:contextualSpacing/>
        <w:rPr>
          <w:rFonts w:cs="Arial"/>
          <w:szCs w:val="24"/>
          <w:lang w:eastAsia="es-ES"/>
        </w:rPr>
      </w:pPr>
    </w:p>
    <w:p w14:paraId="15F4BEBB" w14:textId="77777777" w:rsidR="00A71156" w:rsidRPr="004817A1" w:rsidRDefault="00A71156" w:rsidP="00A71156">
      <w:pPr>
        <w:tabs>
          <w:tab w:val="left" w:pos="142"/>
        </w:tabs>
        <w:rPr>
          <w:rFonts w:cs="Arial"/>
          <w:szCs w:val="24"/>
          <w:lang w:eastAsia="es-ES"/>
        </w:rPr>
      </w:pPr>
      <w:r w:rsidRPr="004817A1">
        <w:rPr>
          <w:rFonts w:cs="Arial"/>
          <w:i/>
          <w:szCs w:val="24"/>
          <w:lang w:eastAsia="es-ES"/>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6945C69A" w14:textId="77777777" w:rsidR="00A71156" w:rsidRPr="004817A1" w:rsidRDefault="00A71156" w:rsidP="00A71156">
      <w:pPr>
        <w:tabs>
          <w:tab w:val="left" w:pos="142"/>
        </w:tabs>
        <w:rPr>
          <w:rFonts w:cs="Arial"/>
          <w:szCs w:val="24"/>
          <w:lang w:eastAsia="es-ES"/>
        </w:rPr>
      </w:pPr>
      <w:r w:rsidRPr="004817A1">
        <w:rPr>
          <w:rFonts w:cs="Arial"/>
          <w:i/>
          <w:szCs w:val="24"/>
          <w:lang w:eastAsia="es-ES"/>
        </w:rPr>
        <w:t>Para esta actividad deberá tener el apoyo del supervisor y representante de la Alcaldía Municipal.</w:t>
      </w:r>
    </w:p>
    <w:p w14:paraId="34E0E467" w14:textId="77777777" w:rsidR="00A71156" w:rsidRPr="004817A1" w:rsidRDefault="00A71156" w:rsidP="00A71156">
      <w:pPr>
        <w:tabs>
          <w:tab w:val="left" w:pos="142"/>
        </w:tabs>
        <w:contextualSpacing/>
        <w:rPr>
          <w:rFonts w:cs="Arial"/>
          <w:szCs w:val="24"/>
          <w:lang w:eastAsia="es-ES"/>
        </w:rPr>
      </w:pPr>
    </w:p>
    <w:p w14:paraId="32A710D2" w14:textId="77777777" w:rsidR="00A71156" w:rsidRPr="004817A1" w:rsidRDefault="00A71156" w:rsidP="00A71156">
      <w:pPr>
        <w:tabs>
          <w:tab w:val="left" w:pos="142"/>
        </w:tabs>
        <w:contextualSpacing/>
        <w:rPr>
          <w:rFonts w:cs="Arial"/>
          <w:szCs w:val="24"/>
          <w:lang w:eastAsia="es-ES"/>
        </w:rPr>
      </w:pPr>
    </w:p>
    <w:p w14:paraId="4E3D141E"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Carga horaria:</w:t>
      </w:r>
    </w:p>
    <w:p w14:paraId="183995D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El taller tendrá una duración de cuatro (4) horas. </w:t>
      </w:r>
    </w:p>
    <w:p w14:paraId="74365C3A" w14:textId="77777777" w:rsidR="00A71156" w:rsidRPr="004817A1" w:rsidRDefault="00A71156" w:rsidP="00A71156">
      <w:pPr>
        <w:tabs>
          <w:tab w:val="left" w:pos="142"/>
        </w:tabs>
        <w:rPr>
          <w:rFonts w:cs="Arial"/>
          <w:i/>
          <w:szCs w:val="24"/>
          <w:lang w:eastAsia="es-ES"/>
        </w:rPr>
      </w:pPr>
    </w:p>
    <w:p w14:paraId="647D1853"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Requerimientos del contratista:</w:t>
      </w:r>
    </w:p>
    <w:p w14:paraId="2E1B20B7" w14:textId="77777777" w:rsidR="00A71156" w:rsidRPr="004817A1" w:rsidRDefault="00A71156" w:rsidP="00A71156">
      <w:pPr>
        <w:tabs>
          <w:tab w:val="left" w:pos="142"/>
        </w:tabs>
        <w:contextualSpacing/>
        <w:rPr>
          <w:rFonts w:cs="Arial"/>
          <w:szCs w:val="24"/>
          <w:lang w:eastAsia="es-ES"/>
        </w:rPr>
      </w:pPr>
    </w:p>
    <w:p w14:paraId="61C2C9EC"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Lapiceros, marcadores, papelografo, lápices</w:t>
      </w:r>
    </w:p>
    <w:p w14:paraId="08C93A7B"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 xml:space="preserve">Libretas </w:t>
      </w:r>
    </w:p>
    <w:p w14:paraId="2AD528B2"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Refrigerios/Almuerzo</w:t>
      </w:r>
    </w:p>
    <w:p w14:paraId="4E870E5A" w14:textId="77777777" w:rsidR="00A71156" w:rsidRPr="004817A1" w:rsidRDefault="00A71156" w:rsidP="00A71156">
      <w:pPr>
        <w:tabs>
          <w:tab w:val="left" w:pos="142"/>
        </w:tabs>
        <w:contextualSpacing/>
        <w:rPr>
          <w:rFonts w:cs="Arial"/>
          <w:szCs w:val="24"/>
          <w:lang w:eastAsia="es-ES"/>
        </w:rPr>
      </w:pPr>
    </w:p>
    <w:p w14:paraId="2E3E7CCC" w14:textId="77777777" w:rsidR="00A71156" w:rsidRPr="004817A1" w:rsidRDefault="00A71156" w:rsidP="00A71156">
      <w:pPr>
        <w:tabs>
          <w:tab w:val="left" w:pos="142"/>
        </w:tabs>
        <w:contextualSpacing/>
        <w:rPr>
          <w:rFonts w:cs="Arial"/>
          <w:szCs w:val="24"/>
          <w:lang w:eastAsia="es-ES"/>
        </w:rPr>
      </w:pPr>
      <w:r w:rsidRPr="004817A1">
        <w:rPr>
          <w:rFonts w:cs="Arial"/>
          <w:i/>
          <w:szCs w:val="24"/>
          <w:lang w:eastAsia="es-ES"/>
        </w:rPr>
        <w:t>Producto esperado:</w:t>
      </w:r>
    </w:p>
    <w:p w14:paraId="2E465961"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Reglamento interno del sistema de agua</w:t>
      </w:r>
    </w:p>
    <w:p w14:paraId="5BDFABB6"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Ayuda memoria de taller</w:t>
      </w:r>
    </w:p>
    <w:p w14:paraId="2ECB5E47"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Listado de asistencia</w:t>
      </w:r>
    </w:p>
    <w:p w14:paraId="4AEC989E" w14:textId="77777777" w:rsidR="00A71156" w:rsidRPr="004817A1" w:rsidRDefault="00A71156" w:rsidP="003B68DB">
      <w:pPr>
        <w:numPr>
          <w:ilvl w:val="0"/>
          <w:numId w:val="124"/>
        </w:numPr>
        <w:tabs>
          <w:tab w:val="left" w:pos="142"/>
        </w:tabs>
        <w:contextualSpacing/>
        <w:rPr>
          <w:rFonts w:cs="Arial"/>
          <w:szCs w:val="24"/>
          <w:lang w:eastAsia="es-ES"/>
        </w:rPr>
      </w:pPr>
      <w:r w:rsidRPr="004817A1">
        <w:rPr>
          <w:rFonts w:cs="Arial"/>
          <w:i/>
          <w:szCs w:val="24"/>
          <w:lang w:eastAsia="es-ES"/>
        </w:rPr>
        <w:t>Memoria fotográfica</w:t>
      </w:r>
    </w:p>
    <w:p w14:paraId="71A7C288" w14:textId="77777777" w:rsidR="00A71156" w:rsidRPr="004817A1" w:rsidRDefault="00A71156" w:rsidP="00A71156">
      <w:pPr>
        <w:tabs>
          <w:tab w:val="left" w:pos="142"/>
        </w:tabs>
        <w:contextualSpacing/>
        <w:rPr>
          <w:rFonts w:cs="Arial"/>
          <w:szCs w:val="24"/>
          <w:lang w:eastAsia="es-ES"/>
        </w:rPr>
      </w:pPr>
    </w:p>
    <w:p w14:paraId="4BDED324" w14:textId="77777777" w:rsidR="00A71156" w:rsidRPr="004817A1" w:rsidRDefault="00A71156" w:rsidP="00A71156">
      <w:pPr>
        <w:tabs>
          <w:tab w:val="left" w:pos="142"/>
        </w:tabs>
        <w:contextualSpacing/>
        <w:rPr>
          <w:rFonts w:cs="Arial"/>
          <w:szCs w:val="24"/>
          <w:lang w:eastAsia="es-ES"/>
        </w:rPr>
      </w:pPr>
    </w:p>
    <w:p w14:paraId="3E56F01C" w14:textId="77777777" w:rsidR="00A71156" w:rsidRPr="004817A1" w:rsidRDefault="00A71156" w:rsidP="003B68DB">
      <w:pPr>
        <w:numPr>
          <w:ilvl w:val="0"/>
          <w:numId w:val="130"/>
        </w:numPr>
        <w:tabs>
          <w:tab w:val="left" w:pos="142"/>
        </w:tabs>
        <w:contextualSpacing/>
        <w:rPr>
          <w:rFonts w:cs="Arial"/>
          <w:b/>
          <w:i/>
          <w:szCs w:val="24"/>
          <w:lang w:eastAsia="es-ES"/>
        </w:rPr>
      </w:pPr>
      <w:r w:rsidRPr="004817A1">
        <w:rPr>
          <w:rFonts w:cs="Arial"/>
          <w:b/>
          <w:i/>
          <w:szCs w:val="24"/>
          <w:lang w:eastAsia="es-ES"/>
        </w:rPr>
        <w:lastRenderedPageBreak/>
        <w:t>Planificar y realizar Asamblea general comunitaria para dar a conocer y aprobar el Reglamento Interno del Sistema de Agua Potable-SAP, construido. Elaborar informe de planificación y realización de asamblea general comunitaria.</w:t>
      </w:r>
    </w:p>
    <w:p w14:paraId="28462875" w14:textId="77777777" w:rsidR="00A71156" w:rsidRPr="004817A1" w:rsidRDefault="00A71156" w:rsidP="00A71156">
      <w:pPr>
        <w:tabs>
          <w:tab w:val="left" w:pos="142"/>
        </w:tabs>
        <w:rPr>
          <w:rFonts w:cs="Arial"/>
          <w:i/>
          <w:szCs w:val="24"/>
          <w:lang w:eastAsia="es-ES"/>
        </w:rPr>
      </w:pPr>
    </w:p>
    <w:p w14:paraId="268AD285" w14:textId="77777777" w:rsidR="00A71156" w:rsidRPr="004817A1" w:rsidRDefault="00A71156" w:rsidP="00A71156">
      <w:pPr>
        <w:tabs>
          <w:tab w:val="left" w:pos="142"/>
        </w:tabs>
        <w:rPr>
          <w:rFonts w:cs="Arial"/>
          <w:szCs w:val="24"/>
          <w:lang w:eastAsia="es-ES"/>
        </w:rPr>
      </w:pPr>
      <w:r w:rsidRPr="004817A1">
        <w:rPr>
          <w:rFonts w:cs="Arial"/>
          <w:i/>
          <w:szCs w:val="24"/>
          <w:lang w:eastAsia="es-ES"/>
        </w:rPr>
        <w:t>El contratista deberá planificar y realizar la asamblea general para dar a conocer el reglamento interno del sistema construido. Deberá garantizar el 70% de participación de los protagonistas.</w:t>
      </w:r>
    </w:p>
    <w:p w14:paraId="36BAECC4" w14:textId="77777777" w:rsidR="00A71156" w:rsidRPr="004817A1" w:rsidRDefault="00A71156" w:rsidP="00A71156">
      <w:pPr>
        <w:tabs>
          <w:tab w:val="left" w:pos="142"/>
        </w:tabs>
        <w:rPr>
          <w:rFonts w:cs="Arial"/>
          <w:szCs w:val="24"/>
          <w:lang w:eastAsia="es-ES"/>
        </w:rPr>
      </w:pPr>
      <w:r w:rsidRPr="004817A1">
        <w:rPr>
          <w:rFonts w:cs="Arial"/>
          <w:i/>
          <w:szCs w:val="24"/>
          <w:lang w:eastAsia="es-ES"/>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3C19FABD" w14:textId="77777777" w:rsidR="00A71156" w:rsidRPr="004817A1" w:rsidRDefault="00A71156" w:rsidP="00A71156">
      <w:pPr>
        <w:tabs>
          <w:tab w:val="left" w:pos="142"/>
        </w:tabs>
        <w:rPr>
          <w:rFonts w:cs="Arial"/>
          <w:szCs w:val="24"/>
          <w:lang w:eastAsia="es-ES"/>
        </w:rPr>
      </w:pPr>
    </w:p>
    <w:p w14:paraId="4BB4EED7" w14:textId="77777777" w:rsidR="00A71156" w:rsidRPr="004817A1" w:rsidRDefault="00A71156" w:rsidP="00A71156">
      <w:pPr>
        <w:tabs>
          <w:tab w:val="left" w:pos="142"/>
        </w:tabs>
        <w:rPr>
          <w:rFonts w:cs="Arial"/>
          <w:szCs w:val="24"/>
          <w:lang w:eastAsia="es-ES"/>
        </w:rPr>
      </w:pPr>
      <w:r w:rsidRPr="004817A1">
        <w:rPr>
          <w:rFonts w:cs="Arial"/>
          <w:i/>
          <w:szCs w:val="24"/>
          <w:lang w:eastAsia="es-ES"/>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773B8133" w14:textId="77777777" w:rsidR="00A71156" w:rsidRPr="004817A1" w:rsidRDefault="00A71156" w:rsidP="00A71156">
      <w:pPr>
        <w:tabs>
          <w:tab w:val="left" w:pos="142"/>
        </w:tabs>
        <w:rPr>
          <w:rFonts w:cs="Arial"/>
          <w:szCs w:val="24"/>
          <w:lang w:eastAsia="es-ES"/>
        </w:rPr>
      </w:pPr>
    </w:p>
    <w:p w14:paraId="40D86C3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49BCB9B9" w14:textId="77777777" w:rsidR="00A71156" w:rsidRPr="004817A1" w:rsidRDefault="00A71156" w:rsidP="00A71156">
      <w:pPr>
        <w:tabs>
          <w:tab w:val="left" w:pos="142"/>
        </w:tabs>
        <w:rPr>
          <w:rFonts w:cs="Arial"/>
          <w:i/>
          <w:szCs w:val="24"/>
          <w:lang w:eastAsia="es-ES"/>
        </w:rPr>
      </w:pPr>
    </w:p>
    <w:p w14:paraId="682DC11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3E54F20F" w14:textId="77777777" w:rsidR="00A71156" w:rsidRPr="004817A1" w:rsidRDefault="00A71156" w:rsidP="00A71156">
      <w:pPr>
        <w:tabs>
          <w:tab w:val="left" w:pos="142"/>
        </w:tabs>
        <w:rPr>
          <w:rFonts w:cs="Arial"/>
          <w:b/>
          <w:i/>
          <w:szCs w:val="24"/>
          <w:lang w:eastAsia="es-ES"/>
        </w:rPr>
      </w:pPr>
    </w:p>
    <w:p w14:paraId="5BD70276"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Los productos esperados por el contratista:</w:t>
      </w:r>
    </w:p>
    <w:p w14:paraId="628660FA" w14:textId="77777777" w:rsidR="00A71156" w:rsidRPr="004817A1" w:rsidRDefault="00A71156" w:rsidP="00A71156">
      <w:pPr>
        <w:tabs>
          <w:tab w:val="left" w:pos="142"/>
        </w:tabs>
        <w:rPr>
          <w:rFonts w:cs="Arial"/>
          <w:i/>
          <w:szCs w:val="24"/>
          <w:lang w:eastAsia="es-ES"/>
        </w:rPr>
      </w:pPr>
    </w:p>
    <w:p w14:paraId="5843372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ejecutivo</w:t>
      </w:r>
    </w:p>
    <w:p w14:paraId="25A8A9D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Lista de asistencia, debidamente firmada y avalada por técnico UMAS, CAPS, ATT.</w:t>
      </w:r>
    </w:p>
    <w:p w14:paraId="5287830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Acta de asamblea (modelo típico FISE), con su lista de asistencia.</w:t>
      </w:r>
    </w:p>
    <w:p w14:paraId="33BB788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4. Ayuda memoria.</w:t>
      </w:r>
    </w:p>
    <w:p w14:paraId="3A0C38C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5. Memoria fotográfica.</w:t>
      </w:r>
    </w:p>
    <w:p w14:paraId="01EADA5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6. Reglamento interno.</w:t>
      </w:r>
    </w:p>
    <w:p w14:paraId="29C66630" w14:textId="77777777" w:rsidR="00A71156" w:rsidRPr="004817A1" w:rsidRDefault="00A71156" w:rsidP="00A71156">
      <w:pPr>
        <w:tabs>
          <w:tab w:val="left" w:pos="142"/>
        </w:tabs>
        <w:rPr>
          <w:rFonts w:cs="Arial"/>
          <w:i/>
          <w:szCs w:val="24"/>
          <w:lang w:eastAsia="es-ES"/>
        </w:rPr>
      </w:pPr>
    </w:p>
    <w:p w14:paraId="3B4B1695"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Planificar, Elaborar Informe y Realización de Asamblea General comunitaria para dar a conocer Plan de Operación y Mantenimiento del Sistema y firma de acta de recepción final.</w:t>
      </w:r>
    </w:p>
    <w:p w14:paraId="4AAE2620" w14:textId="77777777" w:rsidR="00A71156" w:rsidRPr="004817A1" w:rsidRDefault="00A71156" w:rsidP="00A71156">
      <w:pPr>
        <w:tabs>
          <w:tab w:val="left" w:pos="142"/>
        </w:tabs>
        <w:rPr>
          <w:rFonts w:cs="Arial"/>
          <w:i/>
          <w:szCs w:val="24"/>
          <w:lang w:eastAsia="es-ES"/>
        </w:rPr>
      </w:pPr>
    </w:p>
    <w:p w14:paraId="15F964DB"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1B9EE720" w14:textId="77777777" w:rsidR="00A71156" w:rsidRPr="004817A1" w:rsidRDefault="00A71156" w:rsidP="00A71156">
      <w:pPr>
        <w:tabs>
          <w:tab w:val="left" w:pos="142"/>
        </w:tabs>
        <w:rPr>
          <w:rFonts w:cs="Arial"/>
          <w:i/>
          <w:szCs w:val="24"/>
          <w:lang w:eastAsia="es-ES"/>
        </w:rPr>
      </w:pPr>
    </w:p>
    <w:p w14:paraId="3A1567A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Se debe garantizar a cada participante su refrigerio. El taller tendrá una duración de cuatro (4) horas. </w:t>
      </w:r>
    </w:p>
    <w:p w14:paraId="62355D62" w14:textId="77777777" w:rsidR="00A71156" w:rsidRPr="004817A1" w:rsidRDefault="00A71156" w:rsidP="00A71156">
      <w:pPr>
        <w:tabs>
          <w:tab w:val="left" w:pos="142"/>
        </w:tabs>
        <w:rPr>
          <w:rFonts w:cs="Arial"/>
          <w:i/>
          <w:szCs w:val="24"/>
          <w:lang w:eastAsia="es-ES"/>
        </w:rPr>
      </w:pPr>
    </w:p>
    <w:p w14:paraId="344C66E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7214476A" w14:textId="77777777" w:rsidR="00A71156" w:rsidRPr="004817A1" w:rsidRDefault="00A71156" w:rsidP="00A71156">
      <w:pPr>
        <w:tabs>
          <w:tab w:val="left" w:pos="142"/>
        </w:tabs>
        <w:rPr>
          <w:rFonts w:cs="Arial"/>
          <w:b/>
          <w:i/>
          <w:szCs w:val="24"/>
          <w:lang w:eastAsia="es-ES"/>
        </w:rPr>
      </w:pPr>
    </w:p>
    <w:p w14:paraId="0F04A0C0" w14:textId="77777777" w:rsidR="00A71156" w:rsidRPr="004817A1" w:rsidRDefault="00A71156" w:rsidP="003B68DB">
      <w:pPr>
        <w:numPr>
          <w:ilvl w:val="0"/>
          <w:numId w:val="130"/>
        </w:numPr>
        <w:tabs>
          <w:tab w:val="left" w:pos="142"/>
        </w:tabs>
        <w:ind w:firstLine="0"/>
        <w:contextualSpacing/>
        <w:rPr>
          <w:rFonts w:cs="Arial"/>
          <w:b/>
          <w:i/>
          <w:szCs w:val="24"/>
          <w:lang w:eastAsia="es-ES"/>
        </w:rPr>
      </w:pPr>
      <w:r w:rsidRPr="004817A1">
        <w:rPr>
          <w:rFonts w:cs="Arial"/>
          <w:b/>
          <w:i/>
          <w:szCs w:val="24"/>
          <w:lang w:eastAsia="es-ES"/>
        </w:rPr>
        <w:t>Elaborar y realizar el levantamiento de la ficha de finiquito del proyecto</w:t>
      </w:r>
    </w:p>
    <w:p w14:paraId="3F97A750" w14:textId="77777777" w:rsidR="00A71156" w:rsidRPr="004817A1" w:rsidRDefault="00A71156" w:rsidP="00A71156">
      <w:pPr>
        <w:tabs>
          <w:tab w:val="left" w:pos="142"/>
        </w:tabs>
        <w:ind w:left="720"/>
        <w:contextualSpacing/>
        <w:rPr>
          <w:rFonts w:cs="Arial"/>
          <w:b/>
          <w:i/>
          <w:szCs w:val="24"/>
          <w:lang w:eastAsia="es-ES"/>
        </w:rPr>
      </w:pPr>
    </w:p>
    <w:p w14:paraId="37FA7F6E" w14:textId="77777777" w:rsidR="00A71156" w:rsidRPr="004817A1" w:rsidRDefault="00A71156" w:rsidP="00A71156">
      <w:pPr>
        <w:tabs>
          <w:tab w:val="left" w:pos="142"/>
        </w:tabs>
        <w:rPr>
          <w:rFonts w:cs="Arial"/>
          <w:szCs w:val="24"/>
          <w:lang w:eastAsia="es-ES"/>
        </w:rPr>
      </w:pPr>
      <w:r w:rsidRPr="004817A1">
        <w:rPr>
          <w:rFonts w:cs="Arial"/>
          <w:i/>
          <w:szCs w:val="24"/>
          <w:lang w:eastAsia="es-ES"/>
        </w:rPr>
        <w:t xml:space="preserve">Usando el formato del FISE, en coordinación de la parte de ingeniería de la obra (supervisor, ATT, residente) y parte social se realiza el llenado de la ficha finiquito.  Esta información es responsabilidad compartida de la parte de ingeniería y social garantizar el llenado de información. </w:t>
      </w:r>
    </w:p>
    <w:p w14:paraId="1FF770DC" w14:textId="77777777" w:rsidR="00A71156" w:rsidRPr="004817A1" w:rsidRDefault="00A71156" w:rsidP="00A71156">
      <w:pPr>
        <w:tabs>
          <w:tab w:val="left" w:pos="142"/>
        </w:tabs>
        <w:rPr>
          <w:rFonts w:cs="Arial"/>
          <w:szCs w:val="24"/>
          <w:lang w:eastAsia="es-ES"/>
        </w:rPr>
      </w:pPr>
    </w:p>
    <w:p w14:paraId="72B16FDA"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a entregar por el contratista:</w:t>
      </w:r>
    </w:p>
    <w:p w14:paraId="1C1CE66C" w14:textId="77777777" w:rsidR="00A71156" w:rsidRPr="004817A1" w:rsidRDefault="00A71156" w:rsidP="003B68DB">
      <w:pPr>
        <w:numPr>
          <w:ilvl w:val="0"/>
          <w:numId w:val="124"/>
        </w:numPr>
        <w:tabs>
          <w:tab w:val="left" w:pos="142"/>
        </w:tabs>
        <w:rPr>
          <w:rFonts w:cs="Arial"/>
          <w:szCs w:val="24"/>
          <w:lang w:eastAsia="es-ES"/>
        </w:rPr>
      </w:pPr>
      <w:r w:rsidRPr="004817A1">
        <w:rPr>
          <w:rFonts w:cs="Arial"/>
          <w:i/>
          <w:szCs w:val="24"/>
          <w:lang w:eastAsia="es-ES"/>
        </w:rPr>
        <w:t xml:space="preserve">Ficha finiquito del proyecto de agua, saneamiento e higiene </w:t>
      </w:r>
    </w:p>
    <w:p w14:paraId="1BC08A30" w14:textId="77777777" w:rsidR="00A71156" w:rsidRPr="004817A1" w:rsidRDefault="00A71156" w:rsidP="00A71156">
      <w:pPr>
        <w:tabs>
          <w:tab w:val="left" w:pos="142"/>
        </w:tabs>
        <w:rPr>
          <w:rFonts w:cs="Arial"/>
          <w:b/>
          <w:i/>
          <w:szCs w:val="24"/>
          <w:lang w:eastAsia="es-ES"/>
        </w:rPr>
      </w:pPr>
    </w:p>
    <w:p w14:paraId="44821BD1"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 xml:space="preserve">ETAPA DE POST- OBRA Y SOSTENIBILIDAD </w:t>
      </w:r>
    </w:p>
    <w:p w14:paraId="4E720C99" w14:textId="77777777" w:rsidR="00A71156" w:rsidRPr="004817A1" w:rsidRDefault="00A71156" w:rsidP="00A71156">
      <w:pPr>
        <w:tabs>
          <w:tab w:val="left" w:pos="142"/>
        </w:tabs>
        <w:rPr>
          <w:rFonts w:cs="Arial"/>
          <w:b/>
          <w:i/>
          <w:szCs w:val="24"/>
          <w:lang w:eastAsia="es-ES"/>
        </w:rPr>
      </w:pPr>
    </w:p>
    <w:p w14:paraId="085A2419"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t>Elaborar informe para implementación de metodología FCSA –Quinta visita casa a casa.</w:t>
      </w:r>
    </w:p>
    <w:p w14:paraId="052796BF" w14:textId="77777777" w:rsidR="00A71156" w:rsidRPr="004817A1" w:rsidRDefault="00A71156" w:rsidP="00A71156">
      <w:pPr>
        <w:tabs>
          <w:tab w:val="left" w:pos="142"/>
        </w:tabs>
        <w:rPr>
          <w:rFonts w:cs="Arial"/>
          <w:i/>
          <w:szCs w:val="24"/>
          <w:lang w:eastAsia="es-ES"/>
        </w:rPr>
      </w:pPr>
    </w:p>
    <w:p w14:paraId="5ACED1A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4B4F1E89" w14:textId="77777777" w:rsidR="00A71156" w:rsidRPr="004817A1" w:rsidRDefault="00A71156" w:rsidP="00A71156">
      <w:pPr>
        <w:tabs>
          <w:tab w:val="left" w:pos="142"/>
        </w:tabs>
        <w:rPr>
          <w:rFonts w:cs="Arial"/>
          <w:i/>
          <w:szCs w:val="24"/>
          <w:lang w:eastAsia="es-ES"/>
        </w:rPr>
      </w:pPr>
    </w:p>
    <w:p w14:paraId="3553403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55D26A25" w14:textId="77777777" w:rsidR="00A71156" w:rsidRPr="004817A1" w:rsidRDefault="00A71156" w:rsidP="00A71156">
      <w:pPr>
        <w:tabs>
          <w:tab w:val="left" w:pos="142"/>
        </w:tabs>
        <w:rPr>
          <w:rFonts w:cs="Arial"/>
          <w:i/>
          <w:szCs w:val="24"/>
          <w:lang w:eastAsia="es-ES"/>
        </w:rPr>
      </w:pPr>
    </w:p>
    <w:p w14:paraId="043EFF3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Cada promotor/ra, con apoyo y acompañamiento del contratista, debe negociar con propietarios de viviendas, horario y día para realizar la siguiente visita. </w:t>
      </w:r>
    </w:p>
    <w:p w14:paraId="7FD07D92" w14:textId="77777777" w:rsidR="00A71156" w:rsidRPr="004817A1" w:rsidRDefault="00A71156" w:rsidP="00A71156">
      <w:pPr>
        <w:tabs>
          <w:tab w:val="left" w:pos="142"/>
        </w:tabs>
        <w:rPr>
          <w:rFonts w:cs="Arial"/>
          <w:i/>
          <w:szCs w:val="24"/>
          <w:lang w:eastAsia="es-ES"/>
        </w:rPr>
      </w:pPr>
    </w:p>
    <w:p w14:paraId="7C6E3F86"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w:t>
      </w:r>
    </w:p>
    <w:p w14:paraId="2C87F0B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de la visita Tema 4, consolidado por familias.</w:t>
      </w:r>
    </w:p>
    <w:p w14:paraId="7629774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2FD131B0" w14:textId="77777777" w:rsidR="00A71156" w:rsidRPr="004817A1" w:rsidRDefault="00A71156" w:rsidP="00A71156">
      <w:pPr>
        <w:tabs>
          <w:tab w:val="left" w:pos="142"/>
        </w:tabs>
        <w:rPr>
          <w:rFonts w:cs="Arial"/>
          <w:i/>
          <w:szCs w:val="24"/>
          <w:lang w:eastAsia="es-ES"/>
        </w:rPr>
      </w:pPr>
    </w:p>
    <w:p w14:paraId="076BF998"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t>Elaborar informe para implementación de metodología FCSA –Sexta y última visita casa a casa. (Elaborar Informe Final de resultados de la implementación de FCSA.)</w:t>
      </w:r>
    </w:p>
    <w:p w14:paraId="5452E8BA" w14:textId="77777777" w:rsidR="00A71156" w:rsidRPr="004817A1" w:rsidRDefault="00A71156" w:rsidP="00A71156">
      <w:pPr>
        <w:tabs>
          <w:tab w:val="left" w:pos="142"/>
        </w:tabs>
        <w:rPr>
          <w:rFonts w:cs="Arial"/>
          <w:i/>
          <w:szCs w:val="24"/>
          <w:lang w:eastAsia="es-ES"/>
        </w:rPr>
      </w:pPr>
    </w:p>
    <w:p w14:paraId="0BB6FD5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lastRenderedPageBreak/>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0622B1C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 </w:t>
      </w:r>
    </w:p>
    <w:p w14:paraId="7C0BD73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En esta visita, se evalúan los cuatros temas establecidos en Ficha Familiar, en base a los criterios por tema, dados en cada visita, así mismo se debe retomar el diagnóstico Higiénico-Sanitario, para evaluar el antes de las visitas y el después.</w:t>
      </w:r>
    </w:p>
    <w:p w14:paraId="6D4C5FB3" w14:textId="77777777" w:rsidR="00A71156" w:rsidRPr="004817A1" w:rsidRDefault="00A71156" w:rsidP="00A71156">
      <w:pPr>
        <w:tabs>
          <w:tab w:val="left" w:pos="142"/>
        </w:tabs>
        <w:rPr>
          <w:rFonts w:cs="Arial"/>
          <w:i/>
          <w:szCs w:val="24"/>
          <w:lang w:eastAsia="es-ES"/>
        </w:rPr>
      </w:pPr>
    </w:p>
    <w:p w14:paraId="260046A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esta visita se coloca gradúan las familias colocando una gota alegre, poniendo en práctica los procedimientos establecidos, para su aplicación. </w:t>
      </w:r>
    </w:p>
    <w:p w14:paraId="73A30214" w14:textId="77777777" w:rsidR="00A71156" w:rsidRPr="004817A1" w:rsidRDefault="00A71156" w:rsidP="00A71156">
      <w:pPr>
        <w:tabs>
          <w:tab w:val="left" w:pos="142"/>
        </w:tabs>
        <w:rPr>
          <w:rFonts w:cs="Arial"/>
          <w:i/>
          <w:szCs w:val="24"/>
          <w:lang w:eastAsia="es-ES"/>
        </w:rPr>
      </w:pPr>
    </w:p>
    <w:p w14:paraId="4F93A6C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6E73429D" w14:textId="77777777" w:rsidR="00A71156" w:rsidRPr="004817A1" w:rsidRDefault="00A71156" w:rsidP="00A71156">
      <w:pPr>
        <w:tabs>
          <w:tab w:val="left" w:pos="142"/>
        </w:tabs>
        <w:rPr>
          <w:rFonts w:cs="Arial"/>
          <w:b/>
          <w:i/>
          <w:szCs w:val="24"/>
          <w:lang w:eastAsia="es-ES"/>
        </w:rPr>
      </w:pPr>
    </w:p>
    <w:p w14:paraId="56CF850F"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 esperado:</w:t>
      </w:r>
    </w:p>
    <w:p w14:paraId="72306C6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46BAE6EF" w14:textId="77777777" w:rsidR="00A71156" w:rsidRPr="004817A1" w:rsidRDefault="00A71156" w:rsidP="00A71156">
      <w:pPr>
        <w:tabs>
          <w:tab w:val="left" w:pos="142"/>
        </w:tabs>
        <w:rPr>
          <w:rFonts w:cs="Arial"/>
          <w:i/>
          <w:szCs w:val="24"/>
          <w:lang w:eastAsia="es-ES"/>
        </w:rPr>
      </w:pPr>
    </w:p>
    <w:p w14:paraId="0B3A3811"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t xml:space="preserve">Planificar, Realizar Taller de capacitación dirigido al Comité para reforzamiento sobre la Ley No.722 y el Reglamento (Incluye local, material didáctico, material de apoyo y refrigerio) y elaborar informe de realización de taller.  </w:t>
      </w:r>
    </w:p>
    <w:p w14:paraId="5385A477" w14:textId="77777777" w:rsidR="00A71156" w:rsidRPr="004817A1" w:rsidRDefault="00A71156" w:rsidP="00A71156">
      <w:pPr>
        <w:tabs>
          <w:tab w:val="left" w:pos="142"/>
        </w:tabs>
        <w:rPr>
          <w:rFonts w:cs="Arial"/>
          <w:i/>
          <w:szCs w:val="24"/>
          <w:lang w:eastAsia="es-ES"/>
        </w:rPr>
      </w:pPr>
    </w:p>
    <w:p w14:paraId="49033D3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1C50A54D" w14:textId="77777777" w:rsidR="00A71156" w:rsidRPr="004817A1" w:rsidRDefault="00A71156" w:rsidP="00A71156">
      <w:pPr>
        <w:tabs>
          <w:tab w:val="left" w:pos="142"/>
        </w:tabs>
        <w:rPr>
          <w:rFonts w:cs="Arial"/>
          <w:i/>
          <w:szCs w:val="24"/>
          <w:lang w:eastAsia="es-ES"/>
        </w:rPr>
      </w:pPr>
    </w:p>
    <w:p w14:paraId="5CE23C89"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contratista:</w:t>
      </w:r>
    </w:p>
    <w:p w14:paraId="6E392B2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Cuaderno/lapicero.</w:t>
      </w:r>
    </w:p>
    <w:p w14:paraId="2238AF9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2. INAA-(Estatutos y Reglamento Interno del CAPS), </w:t>
      </w:r>
    </w:p>
    <w:p w14:paraId="73B5E20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Refrigerio/Almuerzo.</w:t>
      </w:r>
    </w:p>
    <w:p w14:paraId="23AD88D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4. local para realizar taller</w:t>
      </w:r>
    </w:p>
    <w:p w14:paraId="5366F5C5" w14:textId="77777777" w:rsidR="00A71156" w:rsidRPr="004817A1" w:rsidRDefault="00A71156" w:rsidP="00A71156">
      <w:pPr>
        <w:tabs>
          <w:tab w:val="left" w:pos="142"/>
        </w:tabs>
        <w:rPr>
          <w:rFonts w:cs="Arial"/>
          <w:i/>
          <w:szCs w:val="24"/>
          <w:lang w:eastAsia="es-ES"/>
        </w:rPr>
      </w:pPr>
    </w:p>
    <w:p w14:paraId="2FEF6EB8"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Productos esperados:</w:t>
      </w:r>
    </w:p>
    <w:p w14:paraId="0F774EC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1. Informe ejecutivo con su lista de asistencia # de cédulas, cargos y firmas, en caso de no poder firmar, soportar con huella digital, además de Informe Ejecutivo del taller impartido, </w:t>
      </w:r>
    </w:p>
    <w:p w14:paraId="6F1507A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Ayuda Memoria.</w:t>
      </w:r>
    </w:p>
    <w:p w14:paraId="14D3345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Memoria fotográfica.</w:t>
      </w:r>
    </w:p>
    <w:p w14:paraId="058C8B29" w14:textId="77777777" w:rsidR="00A71156" w:rsidRPr="004817A1" w:rsidRDefault="00A71156" w:rsidP="00A71156">
      <w:pPr>
        <w:tabs>
          <w:tab w:val="left" w:pos="142"/>
        </w:tabs>
        <w:contextualSpacing/>
        <w:rPr>
          <w:rFonts w:cs="Arial"/>
          <w:b/>
          <w:i/>
          <w:szCs w:val="24"/>
          <w:lang w:eastAsia="es-ES"/>
        </w:rPr>
      </w:pPr>
    </w:p>
    <w:p w14:paraId="7BC36049" w14:textId="77777777" w:rsidR="00A71156" w:rsidRPr="004817A1" w:rsidRDefault="00A71156" w:rsidP="00A71156">
      <w:pPr>
        <w:tabs>
          <w:tab w:val="left" w:pos="142"/>
        </w:tabs>
        <w:contextualSpacing/>
        <w:rPr>
          <w:rFonts w:cs="Arial"/>
          <w:b/>
          <w:i/>
          <w:szCs w:val="24"/>
          <w:lang w:eastAsia="es-ES"/>
        </w:rPr>
      </w:pPr>
    </w:p>
    <w:p w14:paraId="1151B9CC"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i/>
          <w:szCs w:val="24"/>
          <w:lang w:eastAsia="es-ES"/>
        </w:rPr>
        <w:lastRenderedPageBreak/>
        <w:t xml:space="preserve"> </w:t>
      </w:r>
      <w:r w:rsidRPr="004817A1">
        <w:rPr>
          <w:rFonts w:cs="Arial"/>
          <w:b/>
          <w:i/>
          <w:szCs w:val="24"/>
          <w:lang w:eastAsia="es-ES"/>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07518288" w14:textId="77777777" w:rsidR="00A71156" w:rsidRPr="004817A1" w:rsidRDefault="00A71156" w:rsidP="00A71156">
      <w:pPr>
        <w:tabs>
          <w:tab w:val="left" w:pos="142"/>
        </w:tabs>
        <w:rPr>
          <w:rFonts w:cs="Arial"/>
          <w:i/>
          <w:szCs w:val="24"/>
          <w:lang w:eastAsia="es-ES"/>
        </w:rPr>
      </w:pPr>
    </w:p>
    <w:p w14:paraId="5D09507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4960630F" w14:textId="77777777" w:rsidR="00A71156" w:rsidRPr="004817A1" w:rsidRDefault="00A71156" w:rsidP="00A71156">
      <w:pPr>
        <w:tabs>
          <w:tab w:val="left" w:pos="142"/>
        </w:tabs>
        <w:rPr>
          <w:rFonts w:cs="Arial"/>
          <w:i/>
          <w:szCs w:val="24"/>
          <w:lang w:eastAsia="es-ES"/>
        </w:rPr>
      </w:pPr>
    </w:p>
    <w:p w14:paraId="11C5060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El taller tendrá una duración de cuatro (4) horas. </w:t>
      </w:r>
    </w:p>
    <w:p w14:paraId="4E84EA46"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Para esta actividad debe coordinar con Alcaldía Municipal (UMAS) Y Asesor Técnico Territorial Fise (ATT).</w:t>
      </w:r>
    </w:p>
    <w:p w14:paraId="5C1C4DF4" w14:textId="77777777" w:rsidR="00A71156" w:rsidRPr="004817A1" w:rsidRDefault="00A71156" w:rsidP="00A71156">
      <w:pPr>
        <w:tabs>
          <w:tab w:val="left" w:pos="142"/>
        </w:tabs>
        <w:rPr>
          <w:rFonts w:cs="Arial"/>
          <w:i/>
          <w:szCs w:val="24"/>
          <w:lang w:eastAsia="es-ES"/>
        </w:rPr>
      </w:pPr>
    </w:p>
    <w:p w14:paraId="44E77144"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 xml:space="preserve"> Producto a entregar por el contratista:</w:t>
      </w:r>
    </w:p>
    <w:p w14:paraId="7DF11F8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Informe ejecutivo con su lista de asistencia, # de cédulas, cargos y firmas, en caso de no poder firmar, soportar con huella digital.</w:t>
      </w:r>
    </w:p>
    <w:p w14:paraId="2654935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ayuda memoria.</w:t>
      </w:r>
    </w:p>
    <w:p w14:paraId="15A4EA6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Memoria fotográfica.</w:t>
      </w:r>
    </w:p>
    <w:p w14:paraId="72C0AEE1" w14:textId="77777777" w:rsidR="00A71156" w:rsidRPr="004817A1" w:rsidRDefault="00A71156" w:rsidP="00A71156">
      <w:pPr>
        <w:tabs>
          <w:tab w:val="left" w:pos="142"/>
        </w:tabs>
        <w:rPr>
          <w:rFonts w:cs="Arial"/>
          <w:i/>
          <w:szCs w:val="24"/>
          <w:lang w:eastAsia="es-ES"/>
        </w:rPr>
      </w:pPr>
    </w:p>
    <w:p w14:paraId="6501E28D"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t>Planificar y realizar taller de capacitación para la operación y mantenimiento del sistema de agua, elaborar informe de taller.</w:t>
      </w:r>
    </w:p>
    <w:p w14:paraId="145D1BF5" w14:textId="77777777" w:rsidR="00A71156" w:rsidRPr="004817A1" w:rsidRDefault="00A71156" w:rsidP="00A71156">
      <w:pPr>
        <w:tabs>
          <w:tab w:val="left" w:pos="142"/>
        </w:tabs>
        <w:contextualSpacing/>
        <w:rPr>
          <w:rFonts w:cs="Arial"/>
          <w:b/>
          <w:i/>
          <w:szCs w:val="24"/>
          <w:lang w:eastAsia="es-ES"/>
        </w:rPr>
      </w:pPr>
    </w:p>
    <w:p w14:paraId="53064C96" w14:textId="77777777" w:rsidR="00A71156" w:rsidRPr="004817A1" w:rsidRDefault="00A71156" w:rsidP="00A71156">
      <w:pPr>
        <w:tabs>
          <w:tab w:val="left" w:pos="142"/>
        </w:tabs>
        <w:rPr>
          <w:rFonts w:cs="Arial"/>
          <w:szCs w:val="24"/>
          <w:lang w:eastAsia="es-ES"/>
        </w:rPr>
      </w:pPr>
      <w:r w:rsidRPr="004817A1">
        <w:rPr>
          <w:rFonts w:cs="Arial"/>
          <w:i/>
          <w:szCs w:val="24"/>
          <w:lang w:eastAsia="es-ES"/>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33B4F461" w14:textId="77777777" w:rsidR="00A71156" w:rsidRPr="004817A1" w:rsidRDefault="00A71156" w:rsidP="00A71156">
      <w:pPr>
        <w:tabs>
          <w:tab w:val="left" w:pos="142"/>
        </w:tabs>
        <w:rPr>
          <w:rFonts w:cs="Arial"/>
          <w:szCs w:val="24"/>
          <w:lang w:eastAsia="es-ES"/>
        </w:rPr>
      </w:pPr>
      <w:r w:rsidRPr="004817A1">
        <w:rPr>
          <w:rFonts w:cs="Arial"/>
          <w:i/>
          <w:szCs w:val="24"/>
          <w:lang w:eastAsia="es-ES"/>
        </w:rPr>
        <w:t xml:space="preserve">El taller tendrá una duración de cuatro (4) horas. </w:t>
      </w:r>
    </w:p>
    <w:p w14:paraId="400FF791" w14:textId="77777777" w:rsidR="00A71156" w:rsidRPr="004817A1" w:rsidRDefault="00A71156" w:rsidP="00A71156">
      <w:pPr>
        <w:tabs>
          <w:tab w:val="left" w:pos="142"/>
        </w:tabs>
        <w:rPr>
          <w:rFonts w:cs="Arial"/>
          <w:szCs w:val="24"/>
          <w:lang w:eastAsia="es-ES"/>
        </w:rPr>
      </w:pPr>
      <w:r w:rsidRPr="004817A1">
        <w:rPr>
          <w:rFonts w:cs="Arial"/>
          <w:i/>
          <w:szCs w:val="24"/>
          <w:lang w:eastAsia="es-ES"/>
        </w:rPr>
        <w:t>Para esta actividad debe coordinar con Alcaldía Municipal (UMAS) y Asesor Técnico Territorial Fise (ATT).</w:t>
      </w:r>
    </w:p>
    <w:p w14:paraId="3F9956B5" w14:textId="77777777" w:rsidR="00A71156" w:rsidRPr="004817A1" w:rsidRDefault="00A71156" w:rsidP="00A71156">
      <w:pPr>
        <w:tabs>
          <w:tab w:val="left" w:pos="142"/>
        </w:tabs>
        <w:contextualSpacing/>
        <w:rPr>
          <w:rFonts w:cs="Arial"/>
          <w:szCs w:val="24"/>
          <w:lang w:eastAsia="es-ES"/>
        </w:rPr>
      </w:pPr>
    </w:p>
    <w:p w14:paraId="78A04035"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Requerimiento del contratista:</w:t>
      </w:r>
    </w:p>
    <w:p w14:paraId="36CC250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1. Cuaderno/lapicero.</w:t>
      </w:r>
    </w:p>
    <w:p w14:paraId="50B4FCB8"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Manual de operación y mantenimiento del sistema de agua</w:t>
      </w:r>
    </w:p>
    <w:p w14:paraId="4A4FF8C2"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Refrigerio/Almuerzo.</w:t>
      </w:r>
    </w:p>
    <w:p w14:paraId="7907031D"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4. Local para realizar taller</w:t>
      </w:r>
    </w:p>
    <w:p w14:paraId="1D0F6B2B" w14:textId="77777777" w:rsidR="00A71156" w:rsidRPr="004817A1" w:rsidRDefault="00A71156" w:rsidP="00A71156">
      <w:pPr>
        <w:tabs>
          <w:tab w:val="left" w:pos="142"/>
        </w:tabs>
        <w:rPr>
          <w:rFonts w:cs="Arial"/>
          <w:i/>
          <w:szCs w:val="24"/>
          <w:lang w:eastAsia="es-ES"/>
        </w:rPr>
      </w:pPr>
    </w:p>
    <w:p w14:paraId="738F1F5E" w14:textId="77777777" w:rsidR="00A71156" w:rsidRPr="004817A1" w:rsidRDefault="00A71156" w:rsidP="00A71156">
      <w:pPr>
        <w:tabs>
          <w:tab w:val="left" w:pos="142"/>
        </w:tabs>
        <w:rPr>
          <w:rFonts w:cs="Arial"/>
          <w:b/>
          <w:i/>
          <w:szCs w:val="24"/>
          <w:lang w:eastAsia="es-ES"/>
        </w:rPr>
      </w:pPr>
      <w:r w:rsidRPr="004817A1">
        <w:rPr>
          <w:rFonts w:cs="Arial"/>
          <w:b/>
          <w:i/>
          <w:szCs w:val="24"/>
          <w:lang w:eastAsia="es-ES"/>
        </w:rPr>
        <w:t>Productos esperados:</w:t>
      </w:r>
    </w:p>
    <w:p w14:paraId="54B355A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1. Informe ejecutivo con su lista de asistencia # de cédulas, cargos y firmas, en caso de no poder firmar, soportar con huella digital, además de Informe Ejecutivo del taller impartido, </w:t>
      </w:r>
    </w:p>
    <w:p w14:paraId="7EEAC9D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2. Ayuda Memoria.</w:t>
      </w:r>
    </w:p>
    <w:p w14:paraId="104EA1A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3.  Memoria fotográfica.</w:t>
      </w:r>
    </w:p>
    <w:p w14:paraId="339BC45B"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lastRenderedPageBreak/>
        <w:t>Planificar y realizar Asamblea general comunitaria para la presentación del informe final del componente social del proyecto.</w:t>
      </w:r>
    </w:p>
    <w:p w14:paraId="79C89E3D" w14:textId="77777777" w:rsidR="00A71156" w:rsidRPr="004817A1" w:rsidRDefault="00A71156" w:rsidP="00A71156">
      <w:pPr>
        <w:tabs>
          <w:tab w:val="left" w:pos="142"/>
        </w:tabs>
        <w:rPr>
          <w:rFonts w:cs="Arial"/>
          <w:i/>
          <w:szCs w:val="24"/>
          <w:lang w:eastAsia="es-ES"/>
        </w:rPr>
      </w:pPr>
    </w:p>
    <w:p w14:paraId="206B796E"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561E40C2" w14:textId="77777777" w:rsidR="00A71156" w:rsidRPr="004817A1" w:rsidRDefault="00A71156" w:rsidP="00A71156">
      <w:pPr>
        <w:tabs>
          <w:tab w:val="left" w:pos="142"/>
        </w:tabs>
        <w:rPr>
          <w:rFonts w:cs="Arial"/>
          <w:i/>
          <w:szCs w:val="24"/>
          <w:lang w:eastAsia="es-ES"/>
        </w:rPr>
      </w:pPr>
    </w:p>
    <w:p w14:paraId="61A73D79"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Realizar visita casa a casa para convocar y entregar invitación a tod@s l@s protagonistas del proyecto a la Asamblea, 100% de viviendas visitas.  (JD del CAPS, grupo de apoyo y red de promotores/as sociales comunitarios y líderes).</w:t>
      </w:r>
    </w:p>
    <w:p w14:paraId="67EE337B" w14:textId="77777777" w:rsidR="00A71156" w:rsidRPr="004817A1" w:rsidRDefault="00A71156" w:rsidP="00A71156">
      <w:pPr>
        <w:tabs>
          <w:tab w:val="left" w:pos="142"/>
        </w:tabs>
        <w:rPr>
          <w:rFonts w:cs="Arial"/>
          <w:i/>
          <w:szCs w:val="24"/>
          <w:lang w:eastAsia="es-ES"/>
        </w:rPr>
      </w:pPr>
    </w:p>
    <w:p w14:paraId="3839DE6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Se debe levantar listado de participantes y/o representante por vivienda, reflejándose nombres y apellidos, # de cédula, cargo y firmas (en caso de no poder firmar se utiliza huella digital), la lista de asistencia debe garantizar el cumplimiento.</w:t>
      </w:r>
    </w:p>
    <w:p w14:paraId="1F171F9E" w14:textId="77777777" w:rsidR="00A71156" w:rsidRPr="004817A1" w:rsidRDefault="00A71156" w:rsidP="00A71156">
      <w:pPr>
        <w:tabs>
          <w:tab w:val="left" w:pos="142"/>
        </w:tabs>
        <w:rPr>
          <w:rFonts w:cs="Arial"/>
          <w:b/>
          <w:i/>
          <w:szCs w:val="24"/>
          <w:lang w:eastAsia="es-ES"/>
        </w:rPr>
      </w:pPr>
    </w:p>
    <w:p w14:paraId="5524BB53"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t>Elaborar Informe final de la consultoría.</w:t>
      </w:r>
    </w:p>
    <w:p w14:paraId="7D335190" w14:textId="77777777" w:rsidR="00A71156" w:rsidRPr="004817A1" w:rsidRDefault="00A71156" w:rsidP="00A71156">
      <w:pPr>
        <w:tabs>
          <w:tab w:val="left" w:pos="142"/>
        </w:tabs>
        <w:rPr>
          <w:rFonts w:cs="Arial"/>
          <w:i/>
          <w:szCs w:val="24"/>
          <w:lang w:eastAsia="es-ES"/>
        </w:rPr>
      </w:pPr>
    </w:p>
    <w:p w14:paraId="34CD0F87"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39D97E97" w14:textId="77777777" w:rsidR="00A71156" w:rsidRPr="004817A1" w:rsidRDefault="00A71156" w:rsidP="00A71156">
      <w:pPr>
        <w:tabs>
          <w:tab w:val="left" w:pos="142"/>
        </w:tabs>
        <w:rPr>
          <w:rFonts w:cs="Arial"/>
          <w:i/>
          <w:szCs w:val="24"/>
          <w:lang w:eastAsia="es-ES"/>
        </w:rPr>
      </w:pPr>
    </w:p>
    <w:p w14:paraId="67DA4ACF"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Ilustrar informe con gráficos, describiendo los principales logros, la participación de protagonistas por género, cumplimiento de aportes comunitarios en especie y efectivo, memoria fotográfica.  </w:t>
      </w:r>
    </w:p>
    <w:p w14:paraId="3C74CCE1"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  </w:t>
      </w:r>
    </w:p>
    <w:p w14:paraId="67E499DE" w14:textId="77777777" w:rsidR="00A71156" w:rsidRPr="004817A1" w:rsidRDefault="00A71156" w:rsidP="003B68DB">
      <w:pPr>
        <w:numPr>
          <w:ilvl w:val="0"/>
          <w:numId w:val="131"/>
        </w:numPr>
        <w:tabs>
          <w:tab w:val="left" w:pos="142"/>
        </w:tabs>
        <w:ind w:firstLine="0"/>
        <w:contextualSpacing/>
        <w:rPr>
          <w:rFonts w:cs="Arial"/>
          <w:b/>
          <w:i/>
          <w:szCs w:val="24"/>
          <w:lang w:eastAsia="es-ES"/>
        </w:rPr>
      </w:pPr>
      <w:r w:rsidRPr="004817A1">
        <w:rPr>
          <w:rFonts w:cs="Arial"/>
          <w:b/>
          <w:i/>
          <w:szCs w:val="24"/>
          <w:lang w:eastAsia="es-ES"/>
        </w:rPr>
        <w:t>Elaborar Informe de Planificación y Realización de Asamblea general comunitaria de cierre y evaluación final del proyecto.</w:t>
      </w:r>
    </w:p>
    <w:p w14:paraId="47EFDA73" w14:textId="77777777" w:rsidR="00A71156" w:rsidRPr="004817A1" w:rsidRDefault="00A71156" w:rsidP="00A71156">
      <w:pPr>
        <w:tabs>
          <w:tab w:val="left" w:pos="142"/>
        </w:tabs>
        <w:rPr>
          <w:rFonts w:cs="Arial"/>
          <w:i/>
          <w:szCs w:val="24"/>
          <w:lang w:eastAsia="es-ES"/>
        </w:rPr>
      </w:pPr>
    </w:p>
    <w:p w14:paraId="579C50D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Planificar y realizar asamblea general comunitaria, con participación de al menos el 70% de jefes/as de viviendas existentes en la comunidad/es. </w:t>
      </w:r>
    </w:p>
    <w:p w14:paraId="22D5DA2A" w14:textId="77777777" w:rsidR="00A71156" w:rsidRPr="004817A1" w:rsidRDefault="00A71156" w:rsidP="00A71156">
      <w:pPr>
        <w:tabs>
          <w:tab w:val="left" w:pos="142"/>
        </w:tabs>
        <w:rPr>
          <w:rFonts w:cs="Arial"/>
          <w:i/>
          <w:szCs w:val="24"/>
          <w:lang w:eastAsia="es-ES"/>
        </w:rPr>
      </w:pPr>
    </w:p>
    <w:p w14:paraId="011F4E7C"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29129AA1" w14:textId="77777777" w:rsidR="00A71156" w:rsidRPr="004817A1" w:rsidRDefault="00A71156" w:rsidP="00A71156">
      <w:pPr>
        <w:tabs>
          <w:tab w:val="left" w:pos="142"/>
        </w:tabs>
        <w:rPr>
          <w:rFonts w:cs="Arial"/>
          <w:i/>
          <w:szCs w:val="24"/>
          <w:lang w:eastAsia="es-ES"/>
        </w:rPr>
      </w:pPr>
    </w:p>
    <w:p w14:paraId="49C2D314"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Se debe levantar listado de participantes y/o representante por vivienda, reflejándose nombres y apellidos, # de cédula, cargo y firmas (en caso de no poder firmar se utiliza huella digital), la lista </w:t>
      </w:r>
      <w:r w:rsidRPr="004817A1">
        <w:rPr>
          <w:rFonts w:cs="Arial"/>
          <w:i/>
          <w:szCs w:val="24"/>
          <w:lang w:eastAsia="es-ES"/>
        </w:rPr>
        <w:lastRenderedPageBreak/>
        <w:t xml:space="preserve">de asistencia debe garantizar el cumplimiento de la meta del 70% de asistencia. De no cumplir con la meta, se reprograma asamblea y se realiza nueva convocatoria. Utilizar instrumentos FISE. </w:t>
      </w:r>
    </w:p>
    <w:p w14:paraId="52287B45"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760DF5DB" w14:textId="77777777" w:rsidR="00A71156" w:rsidRPr="004817A1" w:rsidRDefault="00A71156" w:rsidP="00A71156">
      <w:pPr>
        <w:tabs>
          <w:tab w:val="left" w:pos="142"/>
        </w:tabs>
        <w:rPr>
          <w:rFonts w:cs="Arial"/>
          <w:i/>
          <w:szCs w:val="24"/>
          <w:lang w:eastAsia="es-ES"/>
        </w:rPr>
      </w:pPr>
    </w:p>
    <w:p w14:paraId="109DD310"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En asamblea se debe contar con participación del responsable de Unidad Municipal de Agua y Saneamiento (UMAS), ATT/FISE y JD del CAPS en pleno. </w:t>
      </w:r>
    </w:p>
    <w:p w14:paraId="11B6D413" w14:textId="77777777" w:rsidR="00A71156" w:rsidRPr="004817A1" w:rsidRDefault="00A71156" w:rsidP="00A71156">
      <w:pPr>
        <w:tabs>
          <w:tab w:val="left" w:pos="142"/>
        </w:tabs>
        <w:rPr>
          <w:rFonts w:cs="Arial"/>
          <w:i/>
          <w:szCs w:val="24"/>
          <w:lang w:eastAsia="es-ES"/>
        </w:rPr>
      </w:pPr>
    </w:p>
    <w:p w14:paraId="2DF2866A"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 xml:space="preserve">Los productos de la actividad serán; lista de asistencia, debidamente firmada y avalada por técnico UMAS, acta de asamblea (modelo típico FISE), ayuda memoria, galería fotográfica. Contratista elabora Informe Ejecutivo de asamblea. </w:t>
      </w:r>
    </w:p>
    <w:p w14:paraId="4C1B5C1C" w14:textId="77777777" w:rsidR="00A71156" w:rsidRPr="004817A1" w:rsidRDefault="00A71156" w:rsidP="00A71156">
      <w:pPr>
        <w:tabs>
          <w:tab w:val="left" w:pos="142"/>
        </w:tabs>
        <w:rPr>
          <w:rFonts w:cs="Arial"/>
          <w:b/>
          <w:i/>
          <w:szCs w:val="24"/>
          <w:lang w:eastAsia="es-ES"/>
        </w:rPr>
      </w:pPr>
    </w:p>
    <w:p w14:paraId="50A98293" w14:textId="77777777" w:rsidR="00A71156" w:rsidRPr="004817A1" w:rsidRDefault="00A71156" w:rsidP="00A71156">
      <w:pPr>
        <w:tabs>
          <w:tab w:val="left" w:pos="142"/>
        </w:tabs>
        <w:rPr>
          <w:rFonts w:cs="Arial"/>
          <w:i/>
          <w:szCs w:val="24"/>
          <w:lang w:eastAsia="es-ES"/>
        </w:rPr>
      </w:pPr>
      <w:r w:rsidRPr="004817A1">
        <w:rPr>
          <w:rFonts w:cs="Arial"/>
          <w:i/>
          <w:szCs w:val="24"/>
          <w:lang w:eastAsia="es-ES"/>
        </w:rPr>
        <w:t>Notas de estricto cumplimiento:</w:t>
      </w:r>
    </w:p>
    <w:p w14:paraId="12032A88" w14:textId="77777777" w:rsidR="00A71156" w:rsidRPr="004817A1" w:rsidRDefault="00A71156" w:rsidP="00A71156">
      <w:pPr>
        <w:tabs>
          <w:tab w:val="left" w:pos="142"/>
        </w:tabs>
        <w:rPr>
          <w:rFonts w:cs="Arial"/>
          <w:i/>
          <w:szCs w:val="24"/>
          <w:lang w:eastAsia="es-ES"/>
        </w:rPr>
      </w:pPr>
    </w:p>
    <w:p w14:paraId="1E8350D1" w14:textId="77777777" w:rsidR="00A71156" w:rsidRPr="004817A1" w:rsidRDefault="00A71156" w:rsidP="003B68DB">
      <w:pPr>
        <w:numPr>
          <w:ilvl w:val="0"/>
          <w:numId w:val="122"/>
        </w:numPr>
        <w:tabs>
          <w:tab w:val="left" w:pos="142"/>
        </w:tabs>
        <w:ind w:hanging="578"/>
        <w:contextualSpacing/>
        <w:rPr>
          <w:rFonts w:cs="Arial"/>
          <w:b/>
          <w:i/>
          <w:szCs w:val="24"/>
          <w:lang w:eastAsia="es-ES"/>
        </w:rPr>
      </w:pPr>
      <w:r w:rsidRPr="004817A1">
        <w:rPr>
          <w:rFonts w:cs="Arial"/>
          <w:b/>
          <w:i/>
          <w:szCs w:val="24"/>
          <w:lang w:eastAsia="es-ES"/>
        </w:rPr>
        <w:t>En cada actividad el contratista debe garantizar (Refrigerios, almuerzos, cuadernos, lapiceros, cartillas del compendio, material FCSA.)</w:t>
      </w:r>
    </w:p>
    <w:p w14:paraId="2EC01840" w14:textId="77777777" w:rsidR="00A71156" w:rsidRPr="004817A1" w:rsidRDefault="00A71156" w:rsidP="003B68DB">
      <w:pPr>
        <w:numPr>
          <w:ilvl w:val="0"/>
          <w:numId w:val="122"/>
        </w:numPr>
        <w:tabs>
          <w:tab w:val="left" w:pos="142"/>
        </w:tabs>
        <w:ind w:hanging="578"/>
        <w:contextualSpacing/>
        <w:rPr>
          <w:rFonts w:cs="Arial"/>
          <w:b/>
          <w:i/>
          <w:szCs w:val="24"/>
          <w:lang w:eastAsia="es-ES"/>
        </w:rPr>
      </w:pPr>
      <w:r w:rsidRPr="004817A1">
        <w:rPr>
          <w:rFonts w:cs="Arial"/>
          <w:b/>
          <w:i/>
          <w:szCs w:val="24"/>
          <w:lang w:eastAsia="es-ES"/>
        </w:rPr>
        <w:t>Todos los informes de actividades sociales deberán ser revisados y avalados por los Especialistas Sociales</w:t>
      </w:r>
    </w:p>
    <w:p w14:paraId="1A6F1D2E" w14:textId="77777777" w:rsidR="00A71156" w:rsidRPr="004817A1" w:rsidRDefault="00A71156" w:rsidP="003B68DB">
      <w:pPr>
        <w:numPr>
          <w:ilvl w:val="0"/>
          <w:numId w:val="122"/>
        </w:numPr>
        <w:tabs>
          <w:tab w:val="left" w:pos="142"/>
        </w:tabs>
        <w:ind w:hanging="578"/>
        <w:contextualSpacing/>
        <w:rPr>
          <w:rFonts w:cs="Arial"/>
          <w:szCs w:val="24"/>
          <w:lang w:eastAsia="es-ES"/>
        </w:rPr>
      </w:pPr>
      <w:r w:rsidRPr="004817A1">
        <w:rPr>
          <w:rFonts w:cs="Arial"/>
          <w:b/>
          <w:i/>
          <w:szCs w:val="24"/>
          <w:lang w:eastAsia="es-ES"/>
        </w:rPr>
        <w:t>Los Informes de las actividades de la etapa de ejecución, llevaran el Vo.Bo. del Asesor Técnico Territorial.</w:t>
      </w:r>
    </w:p>
    <w:bookmarkEnd w:id="408"/>
    <w:bookmarkEnd w:id="409"/>
    <w:bookmarkEnd w:id="410"/>
    <w:bookmarkEnd w:id="411"/>
    <w:bookmarkEnd w:id="412"/>
    <w:bookmarkEnd w:id="421"/>
    <w:p w14:paraId="33BF1D97" w14:textId="77777777" w:rsidR="00A71156" w:rsidRPr="004817A1" w:rsidRDefault="00A71156" w:rsidP="00A71156">
      <w:pPr>
        <w:tabs>
          <w:tab w:val="left" w:pos="142"/>
        </w:tabs>
        <w:autoSpaceDE w:val="0"/>
        <w:autoSpaceDN w:val="0"/>
        <w:adjustRightInd w:val="0"/>
        <w:rPr>
          <w:rFonts w:cs="Arial"/>
          <w:szCs w:val="24"/>
          <w:lang w:val="es-NI" w:eastAsia="es-NI"/>
        </w:rPr>
      </w:pPr>
    </w:p>
    <w:bookmarkEnd w:id="413"/>
    <w:bookmarkEnd w:id="414"/>
    <w:bookmarkEnd w:id="415"/>
    <w:bookmarkEnd w:id="416"/>
    <w:p w14:paraId="45DF0651" w14:textId="77777777" w:rsidR="00D656B3" w:rsidRDefault="00D656B3" w:rsidP="000C6174">
      <w:pPr>
        <w:jc w:val="center"/>
        <w:rPr>
          <w:rFonts w:asciiTheme="minorHAnsi" w:hAnsiTheme="minorHAnsi"/>
          <w:b/>
          <w:color w:val="000000" w:themeColor="text1"/>
          <w:sz w:val="28"/>
          <w:szCs w:val="24"/>
          <w:lang w:val="es-MX"/>
        </w:rPr>
      </w:pPr>
    </w:p>
    <w:p w14:paraId="180230D0" w14:textId="77777777" w:rsidR="0003308B" w:rsidRPr="0003308B" w:rsidRDefault="0003308B" w:rsidP="0003308B">
      <w:pPr>
        <w:keepNext/>
        <w:tabs>
          <w:tab w:val="left" w:pos="142"/>
        </w:tabs>
        <w:ind w:right="-516"/>
        <w:contextualSpacing/>
        <w:outlineLvl w:val="1"/>
        <w:rPr>
          <w:rFonts w:cs="Arial"/>
          <w:b/>
          <w:bCs/>
          <w:i/>
          <w:iCs/>
          <w:sz w:val="22"/>
          <w:szCs w:val="22"/>
        </w:rPr>
      </w:pPr>
      <w:r w:rsidRPr="0003308B">
        <w:rPr>
          <w:rFonts w:cs="Arial"/>
          <w:b/>
          <w:bCs/>
          <w:iCs/>
          <w:sz w:val="22"/>
          <w:szCs w:val="22"/>
        </w:rPr>
        <w:t>ESPECIFICACIONES TÉCNICAS GENERALES</w:t>
      </w:r>
    </w:p>
    <w:p w14:paraId="271757CF" w14:textId="77777777" w:rsidR="0003308B" w:rsidRDefault="0003308B" w:rsidP="0003308B">
      <w:pPr>
        <w:pStyle w:val="Encabezado"/>
        <w:rPr>
          <w:rFonts w:cs="Arial"/>
          <w:b/>
          <w:bCs/>
          <w:iCs/>
          <w:sz w:val="22"/>
          <w:szCs w:val="22"/>
        </w:rPr>
      </w:pPr>
    </w:p>
    <w:p w14:paraId="4590552C" w14:textId="77777777" w:rsidR="0003308B" w:rsidRPr="0003308B" w:rsidRDefault="0003308B" w:rsidP="0003308B">
      <w:pPr>
        <w:pStyle w:val="Encabezado"/>
        <w:rPr>
          <w:rFonts w:cs="Arial"/>
          <w:b/>
          <w:bCs/>
          <w:iCs/>
          <w:sz w:val="22"/>
          <w:szCs w:val="22"/>
        </w:rPr>
      </w:pPr>
      <w:r w:rsidRPr="0003308B">
        <w:rPr>
          <w:rFonts w:cs="Arial"/>
          <w:b/>
          <w:bCs/>
          <w:iCs/>
          <w:sz w:val="22"/>
          <w:szCs w:val="22"/>
          <w:highlight w:val="yellow"/>
        </w:rPr>
        <w:t>Proyecto 19962 Agua y Saneamiento Comunidad Naranjo Norte (LOTE N°2)</w:t>
      </w:r>
    </w:p>
    <w:p w14:paraId="4D2062EF" w14:textId="77777777" w:rsidR="0003308B" w:rsidRPr="00640CFF" w:rsidRDefault="0003308B" w:rsidP="0003308B">
      <w:pPr>
        <w:keepNext/>
        <w:tabs>
          <w:tab w:val="left" w:pos="142"/>
        </w:tabs>
        <w:ind w:right="-516"/>
        <w:outlineLvl w:val="1"/>
        <w:rPr>
          <w:rFonts w:cs="Arial"/>
          <w:b/>
          <w:bCs/>
          <w:i/>
          <w:iCs/>
          <w:sz w:val="22"/>
          <w:szCs w:val="22"/>
        </w:rPr>
      </w:pPr>
    </w:p>
    <w:p w14:paraId="6E803E84" w14:textId="77777777" w:rsidR="0003308B" w:rsidRPr="00640CFF" w:rsidRDefault="0003308B" w:rsidP="0003308B">
      <w:pPr>
        <w:keepNext/>
        <w:keepLines/>
        <w:spacing w:before="40"/>
        <w:outlineLvl w:val="1"/>
        <w:rPr>
          <w:rFonts w:cs="Arial"/>
          <w:b/>
          <w:i/>
        </w:rPr>
      </w:pPr>
      <w:r w:rsidRPr="00640CFF">
        <w:rPr>
          <w:rFonts w:cs="Arial"/>
          <w:b/>
        </w:rPr>
        <w:t>Definiciones</w:t>
      </w:r>
    </w:p>
    <w:p w14:paraId="48EB4A09" w14:textId="77777777" w:rsidR="0003308B" w:rsidRPr="00640CFF" w:rsidRDefault="0003308B" w:rsidP="0003308B">
      <w:pPr>
        <w:rPr>
          <w:rFonts w:cs="Arial"/>
          <w:i/>
        </w:rPr>
      </w:pPr>
    </w:p>
    <w:p w14:paraId="05840D52" w14:textId="77777777" w:rsidR="0003308B" w:rsidRPr="00640CFF" w:rsidRDefault="0003308B" w:rsidP="0003308B">
      <w:pPr>
        <w:rPr>
          <w:rFonts w:cs="Arial"/>
          <w:i/>
        </w:rPr>
      </w:pPr>
      <w:r w:rsidRPr="00640CFF">
        <w:rPr>
          <w:rFonts w:cs="Arial"/>
        </w:rPr>
        <w:t>En cualquier parte de estos Documentos en los cuales se usen los términos que se describen a continuación, su intención y significado deberán ser interpretadas de la manera siguiente:</w:t>
      </w:r>
    </w:p>
    <w:p w14:paraId="35FFB24B" w14:textId="77777777" w:rsidR="0003308B" w:rsidRPr="00640CFF" w:rsidRDefault="0003308B" w:rsidP="0003308B">
      <w:pPr>
        <w:rPr>
          <w:rFonts w:cs="Arial"/>
          <w:b/>
          <w:i/>
        </w:rPr>
      </w:pPr>
    </w:p>
    <w:p w14:paraId="2D67C73B" w14:textId="77777777" w:rsidR="0003308B" w:rsidRPr="00640CFF" w:rsidRDefault="0003308B" w:rsidP="0003308B">
      <w:pPr>
        <w:rPr>
          <w:rFonts w:cs="Arial"/>
          <w:i/>
        </w:rPr>
      </w:pPr>
      <w:r w:rsidRPr="00640CFF">
        <w:rPr>
          <w:rFonts w:cs="Arial"/>
          <w:b/>
        </w:rPr>
        <w:t>Supervisor</w:t>
      </w:r>
      <w:r w:rsidRPr="00640CFF">
        <w:rPr>
          <w:rFonts w:cs="Arial"/>
        </w:rPr>
        <w:t>: El Profesional</w:t>
      </w:r>
      <w:r>
        <w:rPr>
          <w:rFonts w:cs="Arial"/>
        </w:rPr>
        <w:t xml:space="preserve"> contratado por el FISE</w:t>
      </w:r>
      <w:r w:rsidRPr="00640CFF">
        <w:rPr>
          <w:rFonts w:cs="Arial"/>
        </w:rPr>
        <w:t>, para la supervisión técnica de la Obra, actuando dentro del marco de las atribuciones que le serán confiadas.</w:t>
      </w:r>
    </w:p>
    <w:p w14:paraId="0152F010" w14:textId="77777777" w:rsidR="0003308B" w:rsidRPr="00640CFF" w:rsidRDefault="0003308B" w:rsidP="0003308B">
      <w:pPr>
        <w:rPr>
          <w:rFonts w:cs="Arial"/>
          <w:i/>
        </w:rPr>
      </w:pPr>
    </w:p>
    <w:p w14:paraId="65D0502E" w14:textId="77777777" w:rsidR="0003308B" w:rsidRPr="00640CFF" w:rsidRDefault="0003308B" w:rsidP="0003308B">
      <w:pPr>
        <w:rPr>
          <w:rFonts w:cs="Arial"/>
          <w:i/>
        </w:rPr>
      </w:pPr>
      <w:r w:rsidRPr="00640CFF">
        <w:rPr>
          <w:rFonts w:cs="Arial"/>
          <w:b/>
        </w:rPr>
        <w:t>Contratista</w:t>
      </w:r>
      <w:r w:rsidRPr="00640CFF">
        <w:rPr>
          <w:rFonts w:cs="Arial"/>
        </w:rPr>
        <w:t>: El Oferente a quien este Contrato es adjudicado</w:t>
      </w:r>
      <w:r>
        <w:rPr>
          <w:rFonts w:cs="Arial"/>
        </w:rPr>
        <w:t xml:space="preserve"> por el FISE.</w:t>
      </w:r>
    </w:p>
    <w:p w14:paraId="03A0E1A9" w14:textId="77777777" w:rsidR="0003308B" w:rsidRPr="00640CFF" w:rsidRDefault="0003308B" w:rsidP="0003308B">
      <w:pPr>
        <w:rPr>
          <w:rFonts w:cs="Arial"/>
          <w:b/>
          <w:i/>
        </w:rPr>
      </w:pPr>
    </w:p>
    <w:p w14:paraId="4DFDD361" w14:textId="77777777" w:rsidR="0003308B" w:rsidRDefault="0003308B" w:rsidP="0003308B">
      <w:pPr>
        <w:rPr>
          <w:rFonts w:cs="Arial"/>
          <w:i/>
        </w:rPr>
      </w:pPr>
      <w:r w:rsidRPr="00640CFF">
        <w:rPr>
          <w:rFonts w:cs="Arial"/>
          <w:b/>
        </w:rPr>
        <w:t>Sub-Contratista</w:t>
      </w:r>
      <w:r w:rsidRPr="00640CFF">
        <w:rPr>
          <w:rFonts w:cs="Arial"/>
        </w:rPr>
        <w:t xml:space="preserve">: Cualquier Empresa Constructora, persona natural o jurídica seleccionada por el Contratista y aprobado por </w:t>
      </w:r>
      <w:r>
        <w:rPr>
          <w:rFonts w:cs="Arial"/>
        </w:rPr>
        <w:t>el supervisor designado</w:t>
      </w:r>
      <w:r w:rsidRPr="00640CFF">
        <w:rPr>
          <w:rFonts w:cs="Arial"/>
        </w:rPr>
        <w:t xml:space="preserve"> para efectuar una obra en particular o suplir bienes demandados por el trabajo</w:t>
      </w:r>
      <w:r>
        <w:rPr>
          <w:rFonts w:cs="Arial"/>
        </w:rPr>
        <w:t>.</w:t>
      </w:r>
    </w:p>
    <w:p w14:paraId="1DA318EA" w14:textId="77777777" w:rsidR="0003308B" w:rsidRPr="00640CFF" w:rsidRDefault="0003308B" w:rsidP="0003308B">
      <w:pPr>
        <w:rPr>
          <w:rFonts w:cs="Arial"/>
          <w:i/>
        </w:rPr>
      </w:pPr>
    </w:p>
    <w:p w14:paraId="14FF9955" w14:textId="77777777" w:rsidR="0003308B" w:rsidRPr="00640CFF" w:rsidRDefault="0003308B" w:rsidP="0003308B">
      <w:pPr>
        <w:rPr>
          <w:rFonts w:cs="Arial"/>
          <w:i/>
        </w:rPr>
      </w:pPr>
      <w:r w:rsidRPr="00640CFF">
        <w:rPr>
          <w:rFonts w:cs="Arial"/>
          <w:b/>
        </w:rPr>
        <w:t>Fiador</w:t>
      </w:r>
      <w:r w:rsidRPr="00640CFF">
        <w:rPr>
          <w:rFonts w:cs="Arial"/>
        </w:rPr>
        <w:t>: La compañía debida y legalmente autorizada para operar en Nicaragua, la cual adquiere obligación con y por el Contratista por el pago de todas las obligaciones para el desarrollo aceptable del trabajo requerido por este Contrato.</w:t>
      </w:r>
    </w:p>
    <w:p w14:paraId="2CAA20EE" w14:textId="77777777" w:rsidR="0003308B" w:rsidRPr="00640CFF" w:rsidRDefault="0003308B" w:rsidP="0003308B">
      <w:pPr>
        <w:rPr>
          <w:rFonts w:cs="Arial"/>
          <w:b/>
          <w:i/>
        </w:rPr>
      </w:pPr>
    </w:p>
    <w:p w14:paraId="15BE1624" w14:textId="77777777" w:rsidR="0003308B" w:rsidRPr="00640CFF" w:rsidRDefault="0003308B" w:rsidP="0003308B">
      <w:pPr>
        <w:rPr>
          <w:rFonts w:cs="Arial"/>
          <w:i/>
        </w:rPr>
      </w:pPr>
      <w:r w:rsidRPr="00640CFF">
        <w:rPr>
          <w:rFonts w:cs="Arial"/>
          <w:b/>
        </w:rPr>
        <w:t>Laboratorio</w:t>
      </w:r>
      <w:r w:rsidRPr="00640CFF">
        <w:rPr>
          <w:rFonts w:cs="Arial"/>
        </w:rPr>
        <w:t>: Cualquier laboratorio aprobado por el Supervisor para efectuar pruebas en los materiales que serán incorporados a la obra.</w:t>
      </w:r>
    </w:p>
    <w:p w14:paraId="38642816" w14:textId="77777777" w:rsidR="0003308B" w:rsidRPr="00640CFF" w:rsidRDefault="0003308B" w:rsidP="0003308B">
      <w:pPr>
        <w:rPr>
          <w:rFonts w:cs="Arial"/>
          <w:b/>
          <w:i/>
        </w:rPr>
      </w:pPr>
    </w:p>
    <w:p w14:paraId="7562B8FE" w14:textId="77777777" w:rsidR="0003308B" w:rsidRPr="00640CFF" w:rsidRDefault="0003308B" w:rsidP="0003308B">
      <w:pPr>
        <w:rPr>
          <w:rFonts w:cs="Arial"/>
          <w:i/>
        </w:rPr>
      </w:pPr>
      <w:r w:rsidRPr="00640CFF">
        <w:rPr>
          <w:rFonts w:cs="Arial"/>
          <w:b/>
        </w:rPr>
        <w:t>Planos</w:t>
      </w:r>
      <w:r w:rsidRPr="00640CFF">
        <w:rPr>
          <w:rFonts w:cs="Arial"/>
        </w:rPr>
        <w:t xml:space="preserve">: Los dibujos, planos, perfiles, cortes, esquemas suplementarios o reproducciones exactas de ellos, suplidos por </w:t>
      </w:r>
      <w:r>
        <w:rPr>
          <w:rFonts w:cs="Arial"/>
        </w:rPr>
        <w:t>El FISE</w:t>
      </w:r>
      <w:r w:rsidRPr="00640CFF">
        <w:rPr>
          <w:rFonts w:cs="Arial"/>
        </w:rPr>
        <w:t xml:space="preserve"> y/o aprobados por el Supervisor, que muestren la ubicación, carácter, dimensiones y detalles del trabajo que se ha de hacer.</w:t>
      </w:r>
    </w:p>
    <w:p w14:paraId="675FE2C7" w14:textId="77777777" w:rsidR="0003308B" w:rsidRPr="00640CFF" w:rsidRDefault="0003308B" w:rsidP="0003308B">
      <w:pPr>
        <w:rPr>
          <w:rFonts w:cs="Arial"/>
          <w:b/>
          <w:i/>
        </w:rPr>
      </w:pPr>
    </w:p>
    <w:p w14:paraId="648BEBE5" w14:textId="77777777" w:rsidR="0003308B" w:rsidRPr="00640CFF" w:rsidRDefault="0003308B" w:rsidP="0003308B">
      <w:pPr>
        <w:rPr>
          <w:rFonts w:cs="Arial"/>
          <w:i/>
        </w:rPr>
      </w:pPr>
      <w:r w:rsidRPr="00640CFF">
        <w:rPr>
          <w:rFonts w:cs="Arial"/>
          <w:b/>
        </w:rPr>
        <w:t>Especificaciones</w:t>
      </w:r>
      <w:r w:rsidRPr="00640CFF">
        <w:rPr>
          <w:rFonts w:cs="Arial"/>
        </w:rPr>
        <w:t>: Las direcciones, disposiciones y estipulaciones comprendidas en los Documentos de Contrato que establecen los métodos constructivos, calidad de insumos, bienes y servicios que serán suministrados por el Contratista.</w:t>
      </w:r>
    </w:p>
    <w:p w14:paraId="66E596D7" w14:textId="77777777" w:rsidR="0003308B" w:rsidRPr="00640CFF" w:rsidRDefault="0003308B" w:rsidP="0003308B">
      <w:pPr>
        <w:rPr>
          <w:rFonts w:cs="Arial"/>
          <w:b/>
          <w:i/>
        </w:rPr>
      </w:pPr>
    </w:p>
    <w:p w14:paraId="10D8B077" w14:textId="77777777" w:rsidR="0003308B" w:rsidRPr="00640CFF" w:rsidRDefault="0003308B" w:rsidP="0003308B">
      <w:pPr>
        <w:rPr>
          <w:rFonts w:cs="Arial"/>
          <w:i/>
        </w:rPr>
      </w:pPr>
      <w:r w:rsidRPr="00640CFF">
        <w:rPr>
          <w:rFonts w:cs="Arial"/>
          <w:b/>
        </w:rPr>
        <w:t>Orden de Cambio</w:t>
      </w:r>
      <w:r w:rsidRPr="00640CFF">
        <w:rPr>
          <w:rFonts w:cs="Arial"/>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63F69075" w14:textId="77777777" w:rsidR="0003308B" w:rsidRDefault="0003308B" w:rsidP="0003308B">
      <w:pPr>
        <w:rPr>
          <w:rFonts w:cs="Arial"/>
          <w:i/>
        </w:rPr>
      </w:pPr>
    </w:p>
    <w:p w14:paraId="0510C06F" w14:textId="77777777" w:rsidR="0003308B" w:rsidRPr="00640CFF" w:rsidRDefault="0003308B" w:rsidP="003B68DB">
      <w:pPr>
        <w:pStyle w:val="Prrafodelista"/>
        <w:numPr>
          <w:ilvl w:val="1"/>
          <w:numId w:val="127"/>
        </w:numPr>
        <w:contextualSpacing/>
        <w:rPr>
          <w:rFonts w:cs="Arial"/>
          <w:b/>
          <w:i/>
        </w:rPr>
      </w:pPr>
      <w:r w:rsidRPr="00640CFF">
        <w:rPr>
          <w:rFonts w:cs="Arial"/>
          <w:b/>
        </w:rPr>
        <w:t>Generalidades</w:t>
      </w:r>
    </w:p>
    <w:p w14:paraId="6EB31353" w14:textId="77777777" w:rsidR="0003308B" w:rsidRPr="00640CFF" w:rsidRDefault="0003308B" w:rsidP="0003308B">
      <w:pPr>
        <w:tabs>
          <w:tab w:val="left" w:pos="142"/>
        </w:tabs>
        <w:rPr>
          <w:rFonts w:cs="Arial"/>
          <w:i/>
          <w:sz w:val="22"/>
          <w:szCs w:val="22"/>
          <w:highlight w:val="yellow"/>
        </w:rPr>
      </w:pPr>
    </w:p>
    <w:p w14:paraId="66F94F69" w14:textId="77777777" w:rsidR="0003308B" w:rsidRPr="00640CFF" w:rsidRDefault="0003308B" w:rsidP="0003308B">
      <w:pPr>
        <w:tabs>
          <w:tab w:val="left" w:pos="142"/>
        </w:tabs>
        <w:rPr>
          <w:rFonts w:cs="Arial"/>
          <w:i/>
          <w:sz w:val="22"/>
          <w:szCs w:val="22"/>
        </w:rPr>
      </w:pPr>
      <w:r w:rsidRPr="00640CFF">
        <w:rPr>
          <w:rFonts w:cs="Arial"/>
          <w:sz w:val="22"/>
          <w:szCs w:val="22"/>
        </w:rPr>
        <w:t>Estas especificaciones técnicas son generales y se refieren a todos los aspectos de la construcción, en el caso que algún tipo de actividad no esté incluida en estas especificaciones, es deber del contratista hacer la obra de manera técnicamente correcta y sin ninguna mala intención, es decir no debe valerse del hecho que no esté incluida en las especificaciones.</w:t>
      </w:r>
    </w:p>
    <w:p w14:paraId="05685D85" w14:textId="77777777" w:rsidR="0003308B" w:rsidRPr="00640CFF" w:rsidRDefault="0003308B" w:rsidP="0003308B">
      <w:pPr>
        <w:tabs>
          <w:tab w:val="left" w:pos="142"/>
        </w:tabs>
        <w:rPr>
          <w:rFonts w:cs="Arial"/>
          <w:i/>
          <w:sz w:val="22"/>
          <w:szCs w:val="22"/>
        </w:rPr>
      </w:pPr>
    </w:p>
    <w:p w14:paraId="0FD859C9" w14:textId="77777777" w:rsidR="0003308B" w:rsidRPr="00640CFF" w:rsidRDefault="0003308B" w:rsidP="0003308B">
      <w:pPr>
        <w:tabs>
          <w:tab w:val="left" w:pos="142"/>
        </w:tabs>
        <w:rPr>
          <w:rFonts w:cs="Arial"/>
          <w:i/>
          <w:sz w:val="22"/>
          <w:szCs w:val="22"/>
        </w:rPr>
      </w:pPr>
      <w:r w:rsidRPr="00640CFF">
        <w:rPr>
          <w:rFonts w:cs="Arial"/>
          <w:sz w:val="22"/>
          <w:szCs w:val="22"/>
        </w:rPr>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79F93CC6" w14:textId="77777777" w:rsidR="0003308B" w:rsidRPr="00640CFF" w:rsidRDefault="0003308B" w:rsidP="0003308B">
      <w:pPr>
        <w:tabs>
          <w:tab w:val="left" w:pos="142"/>
        </w:tabs>
        <w:rPr>
          <w:rFonts w:cs="Arial"/>
          <w:i/>
          <w:sz w:val="22"/>
          <w:szCs w:val="22"/>
        </w:rPr>
      </w:pPr>
    </w:p>
    <w:p w14:paraId="699D6014" w14:textId="77777777" w:rsidR="0003308B" w:rsidRPr="00640CFF" w:rsidRDefault="0003308B" w:rsidP="0003308B">
      <w:pPr>
        <w:tabs>
          <w:tab w:val="left" w:pos="142"/>
        </w:tabs>
        <w:rPr>
          <w:rFonts w:cs="Arial"/>
          <w:i/>
          <w:sz w:val="22"/>
          <w:szCs w:val="22"/>
        </w:rPr>
      </w:pPr>
      <w:r w:rsidRPr="00640CFF">
        <w:rPr>
          <w:rFonts w:cs="Arial"/>
          <w:sz w:val="22"/>
          <w:szCs w:val="22"/>
        </w:rPr>
        <w:t>Asimismo, se considerarán como especificaciones técnicas generales, las especificaciones ambientales generales.</w:t>
      </w:r>
    </w:p>
    <w:p w14:paraId="557BCBB0" w14:textId="77777777" w:rsidR="0003308B" w:rsidRPr="00640CFF" w:rsidRDefault="0003308B" w:rsidP="0003308B">
      <w:pPr>
        <w:tabs>
          <w:tab w:val="left" w:pos="142"/>
        </w:tabs>
        <w:rPr>
          <w:rFonts w:cs="Arial"/>
          <w:i/>
          <w:sz w:val="22"/>
          <w:szCs w:val="22"/>
        </w:rPr>
      </w:pPr>
    </w:p>
    <w:p w14:paraId="0941F269" w14:textId="77777777" w:rsidR="0003308B" w:rsidRPr="00640CFF" w:rsidRDefault="0003308B" w:rsidP="003B68DB">
      <w:pPr>
        <w:pStyle w:val="Prrafodelista"/>
        <w:keepNext/>
        <w:numPr>
          <w:ilvl w:val="1"/>
          <w:numId w:val="127"/>
        </w:numPr>
        <w:tabs>
          <w:tab w:val="left" w:pos="142"/>
        </w:tabs>
        <w:ind w:right="-516"/>
        <w:contextualSpacing/>
        <w:outlineLvl w:val="1"/>
        <w:rPr>
          <w:rFonts w:cs="Arial"/>
          <w:b/>
          <w:bCs/>
          <w:i/>
          <w:iCs/>
          <w:sz w:val="22"/>
          <w:szCs w:val="22"/>
        </w:rPr>
      </w:pPr>
      <w:r w:rsidRPr="00640CFF">
        <w:rPr>
          <w:rFonts w:cs="Arial"/>
          <w:b/>
          <w:bCs/>
          <w:iCs/>
          <w:sz w:val="22"/>
          <w:szCs w:val="22"/>
        </w:rPr>
        <w:t>NOTAS GENERALES A LAS ESPECIFICACIONES TECNICAS</w:t>
      </w:r>
    </w:p>
    <w:p w14:paraId="41FD66F5" w14:textId="77777777" w:rsidR="0003308B" w:rsidRPr="00640CFF" w:rsidRDefault="0003308B" w:rsidP="0003308B">
      <w:pPr>
        <w:pStyle w:val="Prrafodelista"/>
        <w:keepNext/>
        <w:tabs>
          <w:tab w:val="left" w:pos="142"/>
        </w:tabs>
        <w:ind w:right="-516"/>
        <w:outlineLvl w:val="1"/>
        <w:rPr>
          <w:rFonts w:cs="Arial"/>
          <w:b/>
          <w:bCs/>
          <w:i/>
          <w:iCs/>
          <w:sz w:val="22"/>
          <w:szCs w:val="22"/>
        </w:rPr>
      </w:pPr>
    </w:p>
    <w:p w14:paraId="3163A36A" w14:textId="77777777" w:rsidR="0003308B" w:rsidRPr="00640CFF" w:rsidRDefault="0003308B" w:rsidP="0003308B">
      <w:pPr>
        <w:tabs>
          <w:tab w:val="left" w:pos="142"/>
        </w:tabs>
        <w:rPr>
          <w:rFonts w:cs="Arial"/>
          <w:i/>
          <w:sz w:val="22"/>
          <w:szCs w:val="22"/>
        </w:rPr>
      </w:pPr>
      <w:r w:rsidRPr="00640CFF">
        <w:rPr>
          <w:rFonts w:cs="Arial"/>
          <w:sz w:val="22"/>
          <w:szCs w:val="22"/>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5680EE40" w14:textId="77777777" w:rsidR="0003308B" w:rsidRPr="00640CFF" w:rsidRDefault="0003308B" w:rsidP="0003308B">
      <w:pPr>
        <w:tabs>
          <w:tab w:val="left" w:pos="142"/>
        </w:tabs>
        <w:rPr>
          <w:rFonts w:cs="Arial"/>
          <w:i/>
          <w:sz w:val="22"/>
          <w:szCs w:val="22"/>
        </w:rPr>
      </w:pPr>
    </w:p>
    <w:p w14:paraId="2B40F7CD" w14:textId="77777777" w:rsidR="0003308B" w:rsidRPr="00640CFF" w:rsidRDefault="0003308B" w:rsidP="0003308B">
      <w:pPr>
        <w:tabs>
          <w:tab w:val="left" w:pos="142"/>
        </w:tabs>
        <w:rPr>
          <w:rFonts w:cs="Arial"/>
          <w:i/>
          <w:sz w:val="22"/>
          <w:szCs w:val="22"/>
        </w:rPr>
      </w:pPr>
      <w:r w:rsidRPr="00640CFF">
        <w:rPr>
          <w:rFonts w:cs="Arial"/>
          <w:sz w:val="22"/>
          <w:szCs w:val="22"/>
        </w:rPr>
        <w:t>2.- Toda contratista considerara las especificaciones que competan a cada proyecto específico, ya que estas abarcan a la generalidad de los proyectos.</w:t>
      </w:r>
    </w:p>
    <w:p w14:paraId="766F322F" w14:textId="77777777" w:rsidR="0003308B" w:rsidRPr="00640CFF" w:rsidRDefault="0003308B" w:rsidP="0003308B">
      <w:pPr>
        <w:tabs>
          <w:tab w:val="left" w:pos="142"/>
        </w:tabs>
        <w:rPr>
          <w:rFonts w:cs="Arial"/>
          <w:i/>
          <w:sz w:val="22"/>
          <w:szCs w:val="22"/>
        </w:rPr>
      </w:pPr>
    </w:p>
    <w:p w14:paraId="22E5368D" w14:textId="77777777" w:rsidR="0003308B" w:rsidRPr="00640CFF" w:rsidRDefault="0003308B" w:rsidP="0003308B">
      <w:pPr>
        <w:tabs>
          <w:tab w:val="left" w:pos="142"/>
        </w:tabs>
        <w:rPr>
          <w:rFonts w:cs="Arial"/>
          <w:i/>
          <w:sz w:val="22"/>
          <w:szCs w:val="22"/>
        </w:rPr>
      </w:pPr>
      <w:r w:rsidRPr="00640CFF">
        <w:rPr>
          <w:rFonts w:cs="Arial"/>
          <w:sz w:val="22"/>
          <w:szCs w:val="22"/>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4E6A9444" w14:textId="77777777" w:rsidR="0003308B" w:rsidRPr="00640CFF" w:rsidRDefault="0003308B" w:rsidP="0003308B">
      <w:pPr>
        <w:tabs>
          <w:tab w:val="left" w:pos="142"/>
        </w:tabs>
        <w:rPr>
          <w:rFonts w:cs="Arial"/>
          <w:i/>
          <w:sz w:val="22"/>
          <w:szCs w:val="22"/>
        </w:rPr>
      </w:pPr>
    </w:p>
    <w:p w14:paraId="69C6D4C2" w14:textId="77777777" w:rsidR="0003308B" w:rsidRPr="00640CFF" w:rsidRDefault="0003308B" w:rsidP="0003308B">
      <w:pPr>
        <w:tabs>
          <w:tab w:val="left" w:pos="142"/>
        </w:tabs>
        <w:rPr>
          <w:rFonts w:cs="Arial"/>
          <w:i/>
          <w:sz w:val="22"/>
          <w:szCs w:val="22"/>
        </w:rPr>
      </w:pPr>
      <w:r w:rsidRPr="00640CFF">
        <w:rPr>
          <w:rFonts w:cs="Arial"/>
          <w:sz w:val="22"/>
          <w:szCs w:val="22"/>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0BDD1170" w14:textId="77777777" w:rsidR="0003308B" w:rsidRPr="00640CFF" w:rsidRDefault="0003308B" w:rsidP="0003308B">
      <w:pPr>
        <w:tabs>
          <w:tab w:val="left" w:pos="142"/>
        </w:tabs>
        <w:rPr>
          <w:rFonts w:cs="Arial"/>
          <w:i/>
          <w:sz w:val="22"/>
          <w:szCs w:val="22"/>
        </w:rPr>
      </w:pPr>
    </w:p>
    <w:p w14:paraId="3AF2ABF0" w14:textId="77777777" w:rsidR="0003308B" w:rsidRPr="00640CFF" w:rsidRDefault="0003308B" w:rsidP="0003308B">
      <w:pPr>
        <w:tabs>
          <w:tab w:val="left" w:pos="142"/>
        </w:tabs>
        <w:rPr>
          <w:rFonts w:cs="Arial"/>
          <w:i/>
          <w:sz w:val="22"/>
          <w:szCs w:val="22"/>
        </w:rPr>
      </w:pPr>
      <w:r w:rsidRPr="00640CFF">
        <w:rPr>
          <w:rFonts w:cs="Arial"/>
          <w:sz w:val="22"/>
          <w:szCs w:val="22"/>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0ABADD26" w14:textId="77777777" w:rsidR="0003308B" w:rsidRPr="00640CFF" w:rsidRDefault="0003308B" w:rsidP="0003308B">
      <w:pPr>
        <w:tabs>
          <w:tab w:val="left" w:pos="142"/>
        </w:tabs>
        <w:rPr>
          <w:rFonts w:cs="Arial"/>
          <w:i/>
          <w:sz w:val="22"/>
          <w:szCs w:val="22"/>
        </w:rPr>
      </w:pPr>
    </w:p>
    <w:p w14:paraId="3DC2AECE" w14:textId="77777777" w:rsidR="0003308B" w:rsidRPr="00640CFF" w:rsidRDefault="0003308B" w:rsidP="0003308B">
      <w:pPr>
        <w:tabs>
          <w:tab w:val="left" w:pos="142"/>
        </w:tabs>
        <w:rPr>
          <w:rFonts w:cs="Arial"/>
          <w:i/>
          <w:sz w:val="22"/>
          <w:szCs w:val="22"/>
        </w:rPr>
      </w:pPr>
      <w:r w:rsidRPr="00640CFF">
        <w:rPr>
          <w:rFonts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70B8F0EC" w14:textId="77777777" w:rsidR="0003308B" w:rsidRPr="00640CFF" w:rsidRDefault="0003308B" w:rsidP="0003308B">
      <w:pPr>
        <w:pStyle w:val="Prrafodelista"/>
        <w:keepNext/>
        <w:tabs>
          <w:tab w:val="left" w:pos="142"/>
        </w:tabs>
        <w:ind w:right="-516"/>
        <w:outlineLvl w:val="1"/>
        <w:rPr>
          <w:rFonts w:cs="Arial"/>
          <w:b/>
          <w:bCs/>
          <w:i/>
          <w:iCs/>
          <w:sz w:val="22"/>
          <w:szCs w:val="22"/>
        </w:rPr>
      </w:pPr>
    </w:p>
    <w:p w14:paraId="01FF70A5" w14:textId="77777777" w:rsidR="0003308B" w:rsidRPr="00640CFF" w:rsidRDefault="0003308B" w:rsidP="003B68DB">
      <w:pPr>
        <w:pStyle w:val="Prrafodelista"/>
        <w:keepNext/>
        <w:numPr>
          <w:ilvl w:val="1"/>
          <w:numId w:val="127"/>
        </w:numPr>
        <w:tabs>
          <w:tab w:val="left" w:pos="142"/>
        </w:tabs>
        <w:ind w:right="-516"/>
        <w:contextualSpacing/>
        <w:outlineLvl w:val="1"/>
        <w:rPr>
          <w:rFonts w:cs="Arial"/>
          <w:b/>
          <w:bCs/>
          <w:i/>
          <w:iCs/>
          <w:sz w:val="22"/>
          <w:szCs w:val="22"/>
        </w:rPr>
      </w:pPr>
      <w:r w:rsidRPr="00640CFF">
        <w:rPr>
          <w:rFonts w:cs="Arial"/>
          <w:b/>
          <w:bCs/>
          <w:iCs/>
          <w:sz w:val="22"/>
          <w:szCs w:val="22"/>
        </w:rPr>
        <w:t xml:space="preserve"> INTERPRETACI</w:t>
      </w:r>
      <w:r>
        <w:rPr>
          <w:rFonts w:cs="Arial"/>
          <w:b/>
          <w:bCs/>
          <w:iCs/>
          <w:sz w:val="22"/>
          <w:szCs w:val="22"/>
        </w:rPr>
        <w:t>Ó</w:t>
      </w:r>
      <w:r w:rsidRPr="00640CFF">
        <w:rPr>
          <w:rFonts w:cs="Arial"/>
          <w:b/>
          <w:bCs/>
          <w:iCs/>
          <w:sz w:val="22"/>
          <w:szCs w:val="22"/>
        </w:rPr>
        <w:t>N DE PLANOS</w:t>
      </w:r>
    </w:p>
    <w:p w14:paraId="3F91146D" w14:textId="77777777" w:rsidR="0003308B" w:rsidRPr="00640CFF" w:rsidRDefault="0003308B" w:rsidP="0003308B">
      <w:pPr>
        <w:pStyle w:val="Prrafodelista"/>
        <w:keepNext/>
        <w:tabs>
          <w:tab w:val="left" w:pos="142"/>
        </w:tabs>
        <w:ind w:right="-516"/>
        <w:outlineLvl w:val="1"/>
        <w:rPr>
          <w:rFonts w:cs="Arial"/>
          <w:b/>
          <w:bCs/>
          <w:i/>
          <w:iCs/>
          <w:sz w:val="22"/>
          <w:szCs w:val="22"/>
        </w:rPr>
      </w:pPr>
    </w:p>
    <w:p w14:paraId="3BC97311" w14:textId="77777777" w:rsidR="0003308B" w:rsidRPr="00640CFF" w:rsidRDefault="0003308B" w:rsidP="0003308B">
      <w:pPr>
        <w:tabs>
          <w:tab w:val="left" w:pos="142"/>
        </w:tabs>
        <w:rPr>
          <w:rFonts w:cs="Arial"/>
          <w:i/>
          <w:sz w:val="22"/>
          <w:szCs w:val="22"/>
        </w:rPr>
      </w:pPr>
      <w:r w:rsidRPr="00640CFF">
        <w:rPr>
          <w:rFonts w:cs="Arial"/>
          <w:sz w:val="22"/>
          <w:szCs w:val="22"/>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3A501902" w14:textId="77777777" w:rsidR="0003308B" w:rsidRPr="00640CFF" w:rsidRDefault="0003308B" w:rsidP="0003308B">
      <w:pPr>
        <w:tabs>
          <w:tab w:val="left" w:pos="142"/>
        </w:tabs>
        <w:rPr>
          <w:rFonts w:cs="Arial"/>
          <w:i/>
          <w:sz w:val="22"/>
          <w:szCs w:val="22"/>
        </w:rPr>
      </w:pPr>
      <w:r w:rsidRPr="00640CFF">
        <w:rPr>
          <w:rFonts w:cs="Arial"/>
          <w:sz w:val="22"/>
          <w:szCs w:val="22"/>
        </w:rPr>
        <w:tab/>
      </w:r>
    </w:p>
    <w:p w14:paraId="2DDC46A8" w14:textId="77777777" w:rsidR="0003308B" w:rsidRPr="00640CFF" w:rsidRDefault="0003308B" w:rsidP="0003308B">
      <w:pPr>
        <w:tabs>
          <w:tab w:val="left" w:pos="142"/>
        </w:tabs>
        <w:rPr>
          <w:rFonts w:cs="Arial"/>
          <w:i/>
          <w:sz w:val="22"/>
          <w:szCs w:val="22"/>
        </w:rPr>
      </w:pPr>
      <w:r w:rsidRPr="00640CFF">
        <w:rPr>
          <w:rFonts w:cs="Arial"/>
          <w:sz w:val="22"/>
          <w:szCs w:val="22"/>
        </w:rPr>
        <w:t>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haber recibido la autorización de El Supervisor para proceder, correrán por su cuenta, riesgo y responsabilidad</w:t>
      </w:r>
    </w:p>
    <w:p w14:paraId="768F6834" w14:textId="77777777" w:rsidR="0003308B" w:rsidRPr="00640CFF" w:rsidRDefault="0003308B" w:rsidP="0003308B">
      <w:pPr>
        <w:tabs>
          <w:tab w:val="left" w:pos="142"/>
        </w:tabs>
        <w:rPr>
          <w:rFonts w:cs="Arial"/>
          <w:i/>
          <w:sz w:val="22"/>
          <w:szCs w:val="22"/>
        </w:rPr>
      </w:pPr>
    </w:p>
    <w:p w14:paraId="769D9689"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LIMITACIONES DE TRABAJO</w:t>
      </w:r>
    </w:p>
    <w:p w14:paraId="16A50B85" w14:textId="77777777" w:rsidR="0003308B" w:rsidRPr="00640CFF" w:rsidRDefault="0003308B" w:rsidP="0003308B">
      <w:pPr>
        <w:tabs>
          <w:tab w:val="left" w:pos="142"/>
        </w:tabs>
        <w:rPr>
          <w:rFonts w:cs="Arial"/>
          <w:i/>
          <w:sz w:val="22"/>
          <w:szCs w:val="22"/>
        </w:rPr>
      </w:pPr>
    </w:p>
    <w:p w14:paraId="54B7A9A2" w14:textId="77777777" w:rsidR="0003308B" w:rsidRPr="00640CFF" w:rsidRDefault="0003308B" w:rsidP="0003308B">
      <w:pPr>
        <w:tabs>
          <w:tab w:val="left" w:pos="142"/>
        </w:tabs>
        <w:rPr>
          <w:rFonts w:cs="Arial"/>
          <w:i/>
          <w:sz w:val="22"/>
          <w:szCs w:val="22"/>
        </w:rPr>
      </w:pPr>
      <w:r w:rsidRPr="00640CFF">
        <w:rPr>
          <w:rFonts w:cs="Arial"/>
          <w:sz w:val="22"/>
          <w:szCs w:val="22"/>
        </w:rPr>
        <w:t xml:space="preserve">El </w:t>
      </w:r>
      <w:r>
        <w:rPr>
          <w:rFonts w:cs="Arial"/>
          <w:sz w:val="22"/>
          <w:szCs w:val="22"/>
        </w:rPr>
        <w:t>S</w:t>
      </w:r>
      <w:r w:rsidRPr="00640CFF">
        <w:rPr>
          <w:rFonts w:cs="Arial"/>
          <w:sz w:val="22"/>
          <w:szCs w:val="22"/>
        </w:rPr>
        <w:t xml:space="preserve">upervisor hará entrega oficial al contratista del sitio donde se efectuará la obra, motivo del contrato, y lo dejará asentado en el libro de Bitácora y a partir de esa fecha empieza a contarse el tiempo calendario de ejecución de la obra.  </w:t>
      </w:r>
    </w:p>
    <w:p w14:paraId="24F38E29" w14:textId="77777777" w:rsidR="0003308B" w:rsidRPr="00640CFF" w:rsidRDefault="0003308B" w:rsidP="0003308B">
      <w:pPr>
        <w:tabs>
          <w:tab w:val="left" w:pos="142"/>
        </w:tabs>
        <w:rPr>
          <w:rFonts w:cs="Arial"/>
          <w:i/>
          <w:sz w:val="22"/>
          <w:szCs w:val="22"/>
        </w:rPr>
      </w:pPr>
    </w:p>
    <w:p w14:paraId="2EA17A5C" w14:textId="77777777" w:rsidR="0003308B" w:rsidRPr="00640CFF" w:rsidRDefault="0003308B" w:rsidP="0003308B">
      <w:pPr>
        <w:tabs>
          <w:tab w:val="left" w:pos="142"/>
        </w:tabs>
        <w:rPr>
          <w:rFonts w:cs="Arial"/>
          <w:i/>
          <w:sz w:val="22"/>
          <w:szCs w:val="22"/>
        </w:rPr>
      </w:pPr>
      <w:r w:rsidRPr="00640CFF">
        <w:rPr>
          <w:rFonts w:cs="Arial"/>
          <w:sz w:val="22"/>
          <w:szCs w:val="22"/>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03DFEF7F" w14:textId="77777777" w:rsidR="0003308B" w:rsidRPr="00640CFF" w:rsidRDefault="0003308B" w:rsidP="0003308B">
      <w:pPr>
        <w:tabs>
          <w:tab w:val="left" w:pos="142"/>
        </w:tabs>
        <w:rPr>
          <w:rFonts w:cs="Arial"/>
          <w:i/>
          <w:sz w:val="22"/>
          <w:szCs w:val="22"/>
        </w:rPr>
      </w:pPr>
    </w:p>
    <w:p w14:paraId="40F386F8"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DOCUMENTOS DE CONTRATO</w:t>
      </w:r>
    </w:p>
    <w:p w14:paraId="598DBBE6" w14:textId="77777777" w:rsidR="0003308B" w:rsidRPr="00640CFF" w:rsidRDefault="0003308B" w:rsidP="0003308B">
      <w:pPr>
        <w:tabs>
          <w:tab w:val="left" w:pos="142"/>
        </w:tabs>
        <w:rPr>
          <w:rFonts w:cs="Arial"/>
          <w:i/>
          <w:sz w:val="22"/>
          <w:szCs w:val="22"/>
        </w:rPr>
      </w:pPr>
    </w:p>
    <w:p w14:paraId="2D6E3E4C" w14:textId="77777777" w:rsidR="0003308B" w:rsidRPr="00640CFF" w:rsidRDefault="0003308B" w:rsidP="0003308B">
      <w:pPr>
        <w:tabs>
          <w:tab w:val="left" w:pos="142"/>
        </w:tabs>
        <w:rPr>
          <w:rFonts w:cs="Arial"/>
          <w:i/>
          <w:sz w:val="22"/>
          <w:szCs w:val="22"/>
        </w:rPr>
      </w:pPr>
      <w:r w:rsidRPr="00640CFF">
        <w:rPr>
          <w:rFonts w:cs="Arial"/>
          <w:sz w:val="22"/>
          <w:szCs w:val="22"/>
        </w:rPr>
        <w:t xml:space="preserve">Forman parte del contrato los siguientes documentos: Planos (que incluyen detalles, estructurales, arquitectónicos, eléctricos e hidra sanitarios, así como toda adenda que se refiera al sistema constructivo). Especificaciones Técnicas: Estas complementan lo indicado en los planos.        </w:t>
      </w:r>
    </w:p>
    <w:p w14:paraId="7958B7FB" w14:textId="77777777" w:rsidR="0003308B" w:rsidRPr="00640CFF" w:rsidRDefault="0003308B" w:rsidP="0003308B">
      <w:pPr>
        <w:tabs>
          <w:tab w:val="left" w:pos="142"/>
        </w:tabs>
        <w:rPr>
          <w:rFonts w:cs="Arial"/>
          <w:i/>
          <w:sz w:val="22"/>
          <w:szCs w:val="22"/>
        </w:rPr>
      </w:pPr>
    </w:p>
    <w:p w14:paraId="5B97183C" w14:textId="77777777" w:rsidR="0003308B" w:rsidRPr="00640CFF" w:rsidRDefault="0003308B" w:rsidP="0003308B">
      <w:pPr>
        <w:tabs>
          <w:tab w:val="left" w:pos="142"/>
        </w:tabs>
        <w:rPr>
          <w:rFonts w:cs="Arial"/>
          <w:i/>
          <w:sz w:val="22"/>
          <w:szCs w:val="22"/>
        </w:rPr>
      </w:pPr>
      <w:r w:rsidRPr="00640CFF">
        <w:rPr>
          <w:rFonts w:cs="Arial"/>
          <w:sz w:val="22"/>
          <w:szCs w:val="22"/>
        </w:rPr>
        <w:lastRenderedPageBreak/>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4E899FF8" w14:textId="77777777" w:rsidR="0003308B" w:rsidRPr="00640CFF" w:rsidRDefault="0003308B" w:rsidP="0003308B">
      <w:pPr>
        <w:tabs>
          <w:tab w:val="left" w:pos="142"/>
        </w:tabs>
        <w:rPr>
          <w:rFonts w:cs="Arial"/>
          <w:i/>
          <w:sz w:val="22"/>
          <w:szCs w:val="22"/>
        </w:rPr>
      </w:pPr>
    </w:p>
    <w:p w14:paraId="10CAD5B2"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PROTECCI</w:t>
      </w:r>
      <w:r>
        <w:rPr>
          <w:rFonts w:cs="Arial"/>
          <w:b/>
          <w:sz w:val="22"/>
          <w:szCs w:val="22"/>
        </w:rPr>
        <w:t>Ó</w:t>
      </w:r>
      <w:r w:rsidRPr="00640CFF">
        <w:rPr>
          <w:rFonts w:cs="Arial"/>
          <w:b/>
          <w:sz w:val="22"/>
          <w:szCs w:val="22"/>
        </w:rPr>
        <w:t>N Y REEMPLAZO DE</w:t>
      </w:r>
      <w:r>
        <w:rPr>
          <w:rFonts w:cs="Arial"/>
          <w:b/>
          <w:sz w:val="22"/>
          <w:szCs w:val="22"/>
        </w:rPr>
        <w:t xml:space="preserve"> ESTRUCTURAS</w:t>
      </w:r>
    </w:p>
    <w:p w14:paraId="5074D705" w14:textId="77777777" w:rsidR="0003308B" w:rsidRPr="00640CFF" w:rsidRDefault="0003308B" w:rsidP="0003308B">
      <w:pPr>
        <w:tabs>
          <w:tab w:val="left" w:pos="142"/>
        </w:tabs>
        <w:rPr>
          <w:rFonts w:cs="Arial"/>
          <w:i/>
          <w:sz w:val="22"/>
          <w:szCs w:val="22"/>
        </w:rPr>
      </w:pPr>
    </w:p>
    <w:p w14:paraId="2D69ADFD" w14:textId="77777777" w:rsidR="0003308B" w:rsidRPr="00640CFF" w:rsidRDefault="0003308B" w:rsidP="0003308B">
      <w:pPr>
        <w:tabs>
          <w:tab w:val="left" w:pos="142"/>
        </w:tabs>
        <w:rPr>
          <w:rFonts w:cs="Arial"/>
          <w:i/>
          <w:sz w:val="22"/>
          <w:szCs w:val="22"/>
        </w:rPr>
      </w:pPr>
      <w:r w:rsidRPr="00640CFF">
        <w:rPr>
          <w:rFonts w:cs="Arial"/>
          <w:sz w:val="22"/>
          <w:szCs w:val="22"/>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4A448E36" w14:textId="77777777" w:rsidR="0003308B" w:rsidRPr="00640CFF" w:rsidRDefault="0003308B" w:rsidP="0003308B">
      <w:pPr>
        <w:tabs>
          <w:tab w:val="left" w:pos="142"/>
        </w:tabs>
        <w:rPr>
          <w:rFonts w:cs="Arial"/>
          <w:i/>
          <w:sz w:val="22"/>
          <w:szCs w:val="22"/>
        </w:rPr>
      </w:pPr>
    </w:p>
    <w:p w14:paraId="43109C83" w14:textId="77777777" w:rsidR="0003308B" w:rsidRPr="00640CFF" w:rsidRDefault="0003308B" w:rsidP="0003308B">
      <w:pPr>
        <w:tabs>
          <w:tab w:val="left" w:pos="142"/>
        </w:tabs>
        <w:rPr>
          <w:rFonts w:cs="Arial"/>
          <w:i/>
          <w:sz w:val="22"/>
          <w:szCs w:val="22"/>
        </w:rPr>
      </w:pPr>
      <w:r w:rsidRPr="00640CFF">
        <w:rPr>
          <w:rFonts w:cs="Arial"/>
          <w:sz w:val="22"/>
          <w:szCs w:val="22"/>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6F5120D5" w14:textId="77777777" w:rsidR="0003308B" w:rsidRPr="00640CFF" w:rsidRDefault="0003308B" w:rsidP="0003308B">
      <w:pPr>
        <w:tabs>
          <w:tab w:val="left" w:pos="142"/>
        </w:tabs>
        <w:rPr>
          <w:rFonts w:cs="Arial"/>
          <w:i/>
          <w:sz w:val="22"/>
          <w:szCs w:val="22"/>
        </w:rPr>
      </w:pPr>
    </w:p>
    <w:p w14:paraId="16658404"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PROTECCI</w:t>
      </w:r>
      <w:r>
        <w:rPr>
          <w:rFonts w:cs="Arial"/>
          <w:b/>
          <w:sz w:val="22"/>
          <w:szCs w:val="22"/>
        </w:rPr>
        <w:t>Ó</w:t>
      </w:r>
      <w:r w:rsidRPr="00640CFF">
        <w:rPr>
          <w:rFonts w:cs="Arial"/>
          <w:b/>
          <w:sz w:val="22"/>
          <w:szCs w:val="22"/>
        </w:rPr>
        <w:t>N DE LA PROPIEDAD PÚBLICA Y PRIVADA</w:t>
      </w:r>
    </w:p>
    <w:p w14:paraId="4F865203" w14:textId="77777777" w:rsidR="0003308B" w:rsidRPr="00640CFF" w:rsidRDefault="0003308B" w:rsidP="0003308B">
      <w:pPr>
        <w:tabs>
          <w:tab w:val="left" w:pos="142"/>
        </w:tabs>
        <w:rPr>
          <w:rFonts w:cs="Arial"/>
          <w:i/>
          <w:sz w:val="22"/>
          <w:szCs w:val="22"/>
        </w:rPr>
      </w:pPr>
    </w:p>
    <w:p w14:paraId="6F051EA5" w14:textId="77777777" w:rsidR="0003308B" w:rsidRPr="00640CFF" w:rsidRDefault="0003308B" w:rsidP="0003308B">
      <w:pPr>
        <w:tabs>
          <w:tab w:val="left" w:pos="142"/>
        </w:tabs>
        <w:rPr>
          <w:rFonts w:cs="Arial"/>
          <w:i/>
          <w:sz w:val="22"/>
          <w:szCs w:val="22"/>
        </w:rPr>
      </w:pPr>
      <w:r w:rsidRPr="00640CFF">
        <w:rPr>
          <w:rFonts w:cs="Arial"/>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32758CD0" w14:textId="77777777" w:rsidR="0003308B" w:rsidRPr="00640CFF" w:rsidRDefault="0003308B" w:rsidP="0003308B">
      <w:pPr>
        <w:tabs>
          <w:tab w:val="left" w:pos="142"/>
        </w:tabs>
        <w:rPr>
          <w:rFonts w:cs="Arial"/>
          <w:i/>
          <w:sz w:val="22"/>
          <w:szCs w:val="22"/>
        </w:rPr>
      </w:pPr>
    </w:p>
    <w:p w14:paraId="62A7DE8D" w14:textId="77777777" w:rsidR="0003308B" w:rsidRPr="00640CFF" w:rsidRDefault="0003308B" w:rsidP="0003308B">
      <w:pPr>
        <w:tabs>
          <w:tab w:val="left" w:pos="142"/>
        </w:tabs>
        <w:rPr>
          <w:rFonts w:cs="Arial"/>
          <w:i/>
          <w:sz w:val="22"/>
          <w:szCs w:val="22"/>
        </w:rPr>
      </w:pPr>
      <w:r w:rsidRPr="00640CFF">
        <w:rPr>
          <w:rFonts w:cs="Arial"/>
          <w:sz w:val="22"/>
          <w:szCs w:val="22"/>
        </w:rPr>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5D11C301" w14:textId="77777777" w:rsidR="0003308B" w:rsidRPr="00640CFF" w:rsidRDefault="0003308B" w:rsidP="0003308B">
      <w:pPr>
        <w:tabs>
          <w:tab w:val="left" w:pos="142"/>
        </w:tabs>
        <w:rPr>
          <w:rFonts w:cs="Arial"/>
          <w:i/>
          <w:sz w:val="22"/>
          <w:szCs w:val="22"/>
        </w:rPr>
      </w:pPr>
    </w:p>
    <w:p w14:paraId="0D72D9E7" w14:textId="77777777" w:rsidR="0003308B" w:rsidRPr="00640CFF" w:rsidRDefault="0003308B" w:rsidP="0003308B">
      <w:pPr>
        <w:tabs>
          <w:tab w:val="left" w:pos="142"/>
        </w:tabs>
        <w:rPr>
          <w:rFonts w:cs="Arial"/>
          <w:i/>
          <w:sz w:val="22"/>
          <w:szCs w:val="22"/>
        </w:rPr>
      </w:pPr>
      <w:r w:rsidRPr="00640CFF">
        <w:rPr>
          <w:rFonts w:cs="Arial"/>
          <w:sz w:val="22"/>
          <w:szCs w:val="22"/>
        </w:rPr>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0A1E32E9" w14:textId="77777777" w:rsidR="0003308B" w:rsidRPr="00640CFF" w:rsidRDefault="0003308B" w:rsidP="0003308B">
      <w:pPr>
        <w:tabs>
          <w:tab w:val="left" w:pos="142"/>
        </w:tabs>
        <w:rPr>
          <w:rFonts w:cs="Arial"/>
          <w:i/>
          <w:sz w:val="22"/>
          <w:szCs w:val="22"/>
        </w:rPr>
      </w:pPr>
    </w:p>
    <w:p w14:paraId="4393CCC4"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FACILIDADES PARA TR</w:t>
      </w:r>
      <w:r>
        <w:rPr>
          <w:rFonts w:cs="Arial"/>
          <w:b/>
          <w:sz w:val="22"/>
          <w:szCs w:val="22"/>
        </w:rPr>
        <w:t>Á</w:t>
      </w:r>
      <w:r w:rsidRPr="00640CFF">
        <w:rPr>
          <w:rFonts w:cs="Arial"/>
          <w:b/>
          <w:sz w:val="22"/>
          <w:szCs w:val="22"/>
        </w:rPr>
        <w:t>NSITO DE VEH</w:t>
      </w:r>
      <w:r>
        <w:rPr>
          <w:rFonts w:cs="Arial"/>
          <w:b/>
          <w:sz w:val="22"/>
          <w:szCs w:val="22"/>
        </w:rPr>
        <w:t>Í</w:t>
      </w:r>
      <w:r w:rsidRPr="00640CFF">
        <w:rPr>
          <w:rFonts w:cs="Arial"/>
          <w:b/>
          <w:sz w:val="22"/>
          <w:szCs w:val="22"/>
        </w:rPr>
        <w:t>CULOS Y PEATONES</w:t>
      </w:r>
    </w:p>
    <w:p w14:paraId="182356EB" w14:textId="77777777" w:rsidR="0003308B" w:rsidRPr="00640CFF" w:rsidRDefault="0003308B" w:rsidP="0003308B">
      <w:pPr>
        <w:tabs>
          <w:tab w:val="left" w:pos="142"/>
        </w:tabs>
        <w:rPr>
          <w:rFonts w:cs="Arial"/>
          <w:i/>
          <w:sz w:val="22"/>
          <w:szCs w:val="22"/>
        </w:rPr>
      </w:pPr>
    </w:p>
    <w:p w14:paraId="1ECA3570" w14:textId="77777777" w:rsidR="0003308B" w:rsidRPr="00640CFF" w:rsidRDefault="0003308B" w:rsidP="0003308B">
      <w:pPr>
        <w:tabs>
          <w:tab w:val="left" w:pos="142"/>
        </w:tabs>
        <w:rPr>
          <w:rFonts w:cs="Arial"/>
          <w:i/>
          <w:sz w:val="22"/>
          <w:szCs w:val="22"/>
        </w:rPr>
      </w:pPr>
      <w:r w:rsidRPr="00640CFF">
        <w:rPr>
          <w:rFonts w:cs="Arial"/>
          <w:sz w:val="22"/>
          <w:szCs w:val="22"/>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4E70C8C7" w14:textId="77777777" w:rsidR="0003308B" w:rsidRPr="00640CFF" w:rsidRDefault="0003308B" w:rsidP="0003308B">
      <w:pPr>
        <w:tabs>
          <w:tab w:val="left" w:pos="142"/>
        </w:tabs>
        <w:rPr>
          <w:rFonts w:cs="Arial"/>
          <w:i/>
          <w:sz w:val="22"/>
          <w:szCs w:val="22"/>
        </w:rPr>
      </w:pPr>
    </w:p>
    <w:p w14:paraId="57D351E2" w14:textId="77777777" w:rsidR="0003308B" w:rsidRPr="00640CFF" w:rsidRDefault="0003308B" w:rsidP="0003308B">
      <w:pPr>
        <w:tabs>
          <w:tab w:val="left" w:pos="142"/>
        </w:tabs>
        <w:rPr>
          <w:rFonts w:cs="Arial"/>
          <w:i/>
          <w:sz w:val="22"/>
          <w:szCs w:val="22"/>
        </w:rPr>
      </w:pPr>
      <w:r w:rsidRPr="00640CFF">
        <w:rPr>
          <w:rFonts w:cs="Arial"/>
          <w:sz w:val="22"/>
          <w:szCs w:val="22"/>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60F931E7" w14:textId="77777777" w:rsidR="0003308B" w:rsidRPr="00640CFF" w:rsidRDefault="0003308B" w:rsidP="0003308B">
      <w:pPr>
        <w:tabs>
          <w:tab w:val="left" w:pos="142"/>
        </w:tabs>
        <w:rPr>
          <w:rFonts w:cs="Arial"/>
          <w:i/>
          <w:sz w:val="22"/>
          <w:szCs w:val="22"/>
        </w:rPr>
      </w:pPr>
    </w:p>
    <w:p w14:paraId="52FC4CD9" w14:textId="77777777" w:rsidR="0003308B" w:rsidRPr="00640CFF" w:rsidRDefault="0003308B" w:rsidP="0003308B">
      <w:pPr>
        <w:tabs>
          <w:tab w:val="left" w:pos="142"/>
        </w:tabs>
        <w:rPr>
          <w:rFonts w:cs="Arial"/>
          <w:i/>
          <w:sz w:val="22"/>
          <w:szCs w:val="22"/>
        </w:rPr>
      </w:pPr>
      <w:r w:rsidRPr="00640CFF">
        <w:rPr>
          <w:rFonts w:cs="Arial"/>
          <w:sz w:val="22"/>
          <w:szCs w:val="22"/>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341D0A2F" w14:textId="77777777" w:rsidR="0003308B" w:rsidRPr="00640CFF" w:rsidRDefault="0003308B" w:rsidP="0003308B">
      <w:pPr>
        <w:tabs>
          <w:tab w:val="left" w:pos="142"/>
        </w:tabs>
        <w:rPr>
          <w:rFonts w:cs="Arial"/>
          <w:i/>
          <w:sz w:val="22"/>
          <w:szCs w:val="22"/>
        </w:rPr>
      </w:pPr>
      <w:r w:rsidRPr="00640CFF">
        <w:rPr>
          <w:rFonts w:cs="Arial"/>
          <w:sz w:val="22"/>
          <w:szCs w:val="22"/>
        </w:rPr>
        <w:lastRenderedPageBreak/>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591C6F62" w14:textId="77777777" w:rsidR="0003308B" w:rsidRPr="00640CFF" w:rsidRDefault="0003308B" w:rsidP="0003308B">
      <w:pPr>
        <w:tabs>
          <w:tab w:val="left" w:pos="142"/>
        </w:tabs>
        <w:rPr>
          <w:rFonts w:cs="Arial"/>
          <w:i/>
          <w:sz w:val="22"/>
          <w:szCs w:val="22"/>
        </w:rPr>
      </w:pPr>
    </w:p>
    <w:p w14:paraId="32E9F94A" w14:textId="77777777" w:rsidR="0003308B" w:rsidRPr="00640CFF" w:rsidRDefault="0003308B" w:rsidP="0003308B">
      <w:pPr>
        <w:tabs>
          <w:tab w:val="left" w:pos="142"/>
        </w:tabs>
        <w:rPr>
          <w:rFonts w:cs="Arial"/>
          <w:i/>
          <w:sz w:val="22"/>
          <w:szCs w:val="22"/>
        </w:rPr>
      </w:pPr>
      <w:r w:rsidRPr="00640CFF">
        <w:rPr>
          <w:rFonts w:cs="Arial"/>
          <w:b/>
          <w:sz w:val="22"/>
          <w:szCs w:val="22"/>
        </w:rPr>
        <w:t>El Contratista</w:t>
      </w:r>
      <w:r w:rsidRPr="00640CFF">
        <w:rPr>
          <w:rFonts w:cs="Arial"/>
          <w:sz w:val="22"/>
          <w:szCs w:val="22"/>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550D5AEE" w14:textId="77777777" w:rsidR="0003308B" w:rsidRPr="00640CFF" w:rsidRDefault="0003308B" w:rsidP="0003308B">
      <w:pPr>
        <w:tabs>
          <w:tab w:val="left" w:pos="142"/>
        </w:tabs>
        <w:rPr>
          <w:rFonts w:cs="Arial"/>
          <w:i/>
          <w:sz w:val="22"/>
          <w:szCs w:val="22"/>
        </w:rPr>
      </w:pPr>
    </w:p>
    <w:p w14:paraId="7C664E80" w14:textId="77777777" w:rsidR="0003308B" w:rsidRPr="00640CFF" w:rsidRDefault="0003308B" w:rsidP="0003308B">
      <w:pPr>
        <w:tabs>
          <w:tab w:val="left" w:pos="142"/>
        </w:tabs>
        <w:rPr>
          <w:rFonts w:cs="Arial"/>
          <w:i/>
          <w:sz w:val="22"/>
          <w:szCs w:val="22"/>
        </w:rPr>
      </w:pPr>
      <w:r w:rsidRPr="00640CFF">
        <w:rPr>
          <w:rFonts w:cs="Arial"/>
          <w:sz w:val="22"/>
          <w:szCs w:val="22"/>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7BDE6FDE" w14:textId="77777777" w:rsidR="0003308B" w:rsidRPr="00640CFF" w:rsidRDefault="0003308B" w:rsidP="0003308B">
      <w:pPr>
        <w:tabs>
          <w:tab w:val="left" w:pos="142"/>
        </w:tabs>
        <w:rPr>
          <w:rFonts w:cs="Arial"/>
          <w:i/>
          <w:sz w:val="22"/>
          <w:szCs w:val="22"/>
        </w:rPr>
      </w:pPr>
    </w:p>
    <w:p w14:paraId="1F76A318"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BARRICADAS, AVISOS PREVENTIVOS Y</w:t>
      </w:r>
      <w:r>
        <w:rPr>
          <w:rFonts w:cs="Arial"/>
          <w:b/>
          <w:sz w:val="22"/>
          <w:szCs w:val="22"/>
        </w:rPr>
        <w:t xml:space="preserve"> LUCES</w:t>
      </w:r>
      <w:r w:rsidRPr="00640CFF">
        <w:rPr>
          <w:rFonts w:cs="Arial"/>
          <w:b/>
          <w:sz w:val="22"/>
          <w:szCs w:val="22"/>
        </w:rPr>
        <w:cr/>
      </w:r>
    </w:p>
    <w:p w14:paraId="255B848C" w14:textId="77777777" w:rsidR="0003308B" w:rsidRPr="00640CFF" w:rsidRDefault="0003308B" w:rsidP="0003308B">
      <w:pPr>
        <w:tabs>
          <w:tab w:val="left" w:pos="142"/>
        </w:tabs>
        <w:rPr>
          <w:rFonts w:cs="Arial"/>
          <w:i/>
          <w:sz w:val="22"/>
          <w:szCs w:val="22"/>
        </w:rPr>
      </w:pPr>
      <w:r w:rsidRPr="00640CFF">
        <w:rPr>
          <w:rFonts w:cs="Arial"/>
          <w:sz w:val="22"/>
          <w:szCs w:val="22"/>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42F8A482" w14:textId="77777777" w:rsidR="0003308B" w:rsidRPr="00640CFF" w:rsidRDefault="0003308B" w:rsidP="0003308B">
      <w:pPr>
        <w:tabs>
          <w:tab w:val="left" w:pos="142"/>
        </w:tabs>
        <w:rPr>
          <w:rFonts w:cs="Arial"/>
          <w:i/>
          <w:sz w:val="22"/>
          <w:szCs w:val="22"/>
        </w:rPr>
      </w:pPr>
    </w:p>
    <w:p w14:paraId="57CBEB2A" w14:textId="77777777" w:rsidR="0003308B" w:rsidRPr="00640CFF" w:rsidRDefault="0003308B" w:rsidP="0003308B">
      <w:pPr>
        <w:tabs>
          <w:tab w:val="left" w:pos="142"/>
        </w:tabs>
        <w:rPr>
          <w:rFonts w:cs="Arial"/>
          <w:i/>
          <w:sz w:val="22"/>
          <w:szCs w:val="22"/>
        </w:rPr>
      </w:pPr>
      <w:r w:rsidRPr="00640CFF">
        <w:rPr>
          <w:rFonts w:cs="Arial"/>
          <w:sz w:val="22"/>
          <w:szCs w:val="22"/>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45097F3A" w14:textId="77777777" w:rsidR="0003308B" w:rsidRPr="00640CFF" w:rsidRDefault="0003308B" w:rsidP="0003308B">
      <w:pPr>
        <w:tabs>
          <w:tab w:val="left" w:pos="142"/>
        </w:tabs>
        <w:rPr>
          <w:rFonts w:cs="Arial"/>
          <w:i/>
          <w:sz w:val="22"/>
          <w:szCs w:val="22"/>
        </w:rPr>
      </w:pPr>
    </w:p>
    <w:p w14:paraId="1862AD2A" w14:textId="77777777" w:rsidR="0003308B" w:rsidRPr="00640CFF" w:rsidRDefault="0003308B" w:rsidP="0003308B">
      <w:pPr>
        <w:tabs>
          <w:tab w:val="left" w:pos="142"/>
        </w:tabs>
        <w:rPr>
          <w:rFonts w:cs="Arial"/>
          <w:i/>
          <w:sz w:val="22"/>
          <w:szCs w:val="22"/>
        </w:rPr>
      </w:pPr>
      <w:r w:rsidRPr="00640CFF">
        <w:rPr>
          <w:rFonts w:cs="Arial"/>
          <w:sz w:val="22"/>
          <w:szCs w:val="22"/>
        </w:rPr>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1C99D69D" w14:textId="77777777" w:rsidR="0003308B" w:rsidRPr="00640CFF" w:rsidRDefault="0003308B" w:rsidP="0003308B">
      <w:pPr>
        <w:tabs>
          <w:tab w:val="left" w:pos="142"/>
        </w:tabs>
        <w:rPr>
          <w:rFonts w:cs="Arial"/>
          <w:i/>
          <w:sz w:val="22"/>
          <w:szCs w:val="22"/>
        </w:rPr>
      </w:pPr>
    </w:p>
    <w:p w14:paraId="54CAFAE8"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MATERIALES EQUIPO Y HERRAMIENTAS A SUMINISTRAR</w:t>
      </w:r>
    </w:p>
    <w:p w14:paraId="0A088720" w14:textId="77777777" w:rsidR="0003308B" w:rsidRPr="00640CFF" w:rsidRDefault="0003308B" w:rsidP="0003308B">
      <w:pPr>
        <w:tabs>
          <w:tab w:val="left" w:pos="142"/>
        </w:tabs>
        <w:rPr>
          <w:rFonts w:cs="Arial"/>
          <w:b/>
          <w:i/>
          <w:sz w:val="22"/>
          <w:szCs w:val="22"/>
        </w:rPr>
      </w:pPr>
    </w:p>
    <w:p w14:paraId="04349F3C" w14:textId="77777777" w:rsidR="0003308B" w:rsidRPr="00640CFF" w:rsidRDefault="0003308B" w:rsidP="0003308B">
      <w:pPr>
        <w:tabs>
          <w:tab w:val="left" w:pos="142"/>
        </w:tabs>
        <w:rPr>
          <w:rFonts w:cs="Arial"/>
          <w:i/>
          <w:sz w:val="22"/>
          <w:szCs w:val="22"/>
        </w:rPr>
      </w:pPr>
      <w:r w:rsidRPr="00640CFF">
        <w:rPr>
          <w:rFonts w:cs="Arial"/>
          <w:sz w:val="22"/>
          <w:szCs w:val="22"/>
        </w:rPr>
        <w:t>Todos los materiales y equipos requeridos para los trabajos comprendidos por este contrato serán suministrados por cuenta del contratista.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71CD74A5" w14:textId="77777777" w:rsidR="0003308B" w:rsidRPr="00640CFF" w:rsidRDefault="0003308B" w:rsidP="0003308B">
      <w:pPr>
        <w:tabs>
          <w:tab w:val="left" w:pos="142"/>
        </w:tabs>
        <w:rPr>
          <w:rFonts w:cs="Arial"/>
          <w:i/>
          <w:sz w:val="22"/>
          <w:szCs w:val="22"/>
        </w:rPr>
      </w:pPr>
    </w:p>
    <w:p w14:paraId="7200D274"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PRIORIDAD DEL TRABAJO </w:t>
      </w:r>
    </w:p>
    <w:p w14:paraId="2496975D" w14:textId="77777777" w:rsidR="0003308B" w:rsidRPr="00640CFF" w:rsidRDefault="0003308B" w:rsidP="0003308B">
      <w:pPr>
        <w:tabs>
          <w:tab w:val="left" w:pos="142"/>
        </w:tabs>
        <w:rPr>
          <w:rFonts w:cs="Arial"/>
          <w:b/>
          <w:i/>
          <w:sz w:val="22"/>
          <w:szCs w:val="22"/>
        </w:rPr>
      </w:pPr>
    </w:p>
    <w:p w14:paraId="4039A1ED" w14:textId="77777777" w:rsidR="0003308B" w:rsidRPr="00640CFF" w:rsidRDefault="0003308B" w:rsidP="0003308B">
      <w:pPr>
        <w:tabs>
          <w:tab w:val="left" w:pos="142"/>
        </w:tabs>
        <w:rPr>
          <w:rFonts w:cs="Arial"/>
          <w:i/>
          <w:sz w:val="22"/>
          <w:szCs w:val="22"/>
        </w:rPr>
      </w:pPr>
      <w:r w:rsidRPr="00640CFF">
        <w:rPr>
          <w:rFonts w:cs="Arial"/>
          <w:sz w:val="22"/>
          <w:szCs w:val="22"/>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7E05E473" w14:textId="77777777" w:rsidR="0003308B" w:rsidRDefault="0003308B" w:rsidP="0003308B">
      <w:pPr>
        <w:tabs>
          <w:tab w:val="left" w:pos="142"/>
        </w:tabs>
        <w:rPr>
          <w:rFonts w:cs="Arial"/>
          <w:i/>
          <w:sz w:val="22"/>
          <w:szCs w:val="22"/>
        </w:rPr>
      </w:pPr>
    </w:p>
    <w:p w14:paraId="431A0A6F"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Pr>
          <w:rFonts w:cs="Arial"/>
          <w:b/>
          <w:sz w:val="22"/>
          <w:szCs w:val="22"/>
        </w:rPr>
        <w:t xml:space="preserve">LIMPIEZA PERIÓDICA </w:t>
      </w:r>
    </w:p>
    <w:p w14:paraId="590F2B80" w14:textId="77777777" w:rsidR="0003308B" w:rsidRPr="00640CFF" w:rsidRDefault="0003308B" w:rsidP="0003308B">
      <w:pPr>
        <w:tabs>
          <w:tab w:val="left" w:pos="142"/>
        </w:tabs>
        <w:rPr>
          <w:rFonts w:cs="Arial"/>
          <w:b/>
          <w:i/>
          <w:sz w:val="22"/>
          <w:szCs w:val="22"/>
        </w:rPr>
      </w:pPr>
    </w:p>
    <w:p w14:paraId="3604ABE9" w14:textId="77777777" w:rsidR="0003308B" w:rsidRPr="00640CFF" w:rsidRDefault="0003308B" w:rsidP="0003308B">
      <w:pPr>
        <w:tabs>
          <w:tab w:val="left" w:pos="142"/>
        </w:tabs>
        <w:rPr>
          <w:rFonts w:cs="Arial"/>
          <w:i/>
          <w:sz w:val="22"/>
          <w:szCs w:val="22"/>
        </w:rPr>
      </w:pPr>
      <w:r w:rsidRPr="00640CFF">
        <w:rPr>
          <w:rFonts w:cs="Arial"/>
          <w:sz w:val="22"/>
          <w:szCs w:val="22"/>
        </w:rPr>
        <w:lastRenderedPageBreak/>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6C43DE63" w14:textId="77777777" w:rsidR="0003308B" w:rsidRPr="00640CFF" w:rsidRDefault="0003308B" w:rsidP="0003308B">
      <w:pPr>
        <w:tabs>
          <w:tab w:val="left" w:pos="142"/>
        </w:tabs>
        <w:rPr>
          <w:rFonts w:cs="Arial"/>
          <w:i/>
          <w:sz w:val="22"/>
          <w:szCs w:val="22"/>
        </w:rPr>
      </w:pPr>
    </w:p>
    <w:p w14:paraId="02B76684"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R</w:t>
      </w:r>
      <w:r>
        <w:rPr>
          <w:rFonts w:cs="Arial"/>
          <w:b/>
          <w:sz w:val="22"/>
          <w:szCs w:val="22"/>
        </w:rPr>
        <w:t>ÓTULO</w:t>
      </w:r>
    </w:p>
    <w:p w14:paraId="50E494D1" w14:textId="77777777" w:rsidR="0003308B" w:rsidRPr="00640CFF" w:rsidRDefault="0003308B" w:rsidP="0003308B">
      <w:pPr>
        <w:tabs>
          <w:tab w:val="left" w:pos="142"/>
        </w:tabs>
        <w:rPr>
          <w:rFonts w:cs="Arial"/>
          <w:b/>
          <w:i/>
          <w:sz w:val="22"/>
          <w:szCs w:val="22"/>
        </w:rPr>
      </w:pPr>
    </w:p>
    <w:p w14:paraId="6C2DFEFA" w14:textId="77777777" w:rsidR="0003308B" w:rsidRPr="00640CFF" w:rsidRDefault="0003308B" w:rsidP="0003308B">
      <w:pPr>
        <w:rPr>
          <w:rFonts w:cs="Arial"/>
          <w:i/>
          <w:sz w:val="22"/>
          <w:szCs w:val="22"/>
        </w:rPr>
      </w:pPr>
      <w:r w:rsidRPr="00640CFF">
        <w:rPr>
          <w:rFonts w:cs="Arial"/>
          <w:sz w:val="22"/>
          <w:szCs w:val="22"/>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3B9BA0A0" w14:textId="77777777" w:rsidR="0003308B" w:rsidRPr="00640CFF" w:rsidRDefault="0003308B" w:rsidP="0003308B">
      <w:pPr>
        <w:tabs>
          <w:tab w:val="left" w:pos="142"/>
        </w:tabs>
        <w:rPr>
          <w:rFonts w:cs="Arial"/>
          <w:i/>
          <w:sz w:val="22"/>
          <w:szCs w:val="22"/>
        </w:rPr>
      </w:pPr>
    </w:p>
    <w:p w14:paraId="5C6DF1DD"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CONDICIONES GENERALES</w:t>
      </w:r>
    </w:p>
    <w:p w14:paraId="00E4A007" w14:textId="77777777" w:rsidR="0003308B" w:rsidRPr="00640CFF" w:rsidRDefault="0003308B" w:rsidP="0003308B">
      <w:pPr>
        <w:tabs>
          <w:tab w:val="left" w:pos="142"/>
        </w:tabs>
        <w:rPr>
          <w:rFonts w:cs="Arial"/>
          <w:b/>
          <w:i/>
          <w:sz w:val="22"/>
          <w:szCs w:val="22"/>
        </w:rPr>
      </w:pPr>
    </w:p>
    <w:p w14:paraId="5DDBDFDE" w14:textId="77777777" w:rsidR="0003308B" w:rsidRPr="00640CFF" w:rsidRDefault="0003308B" w:rsidP="003B68DB">
      <w:pPr>
        <w:pStyle w:val="Prrafodelista"/>
        <w:numPr>
          <w:ilvl w:val="0"/>
          <w:numId w:val="128"/>
        </w:numPr>
        <w:tabs>
          <w:tab w:val="left" w:pos="142"/>
        </w:tabs>
        <w:ind w:left="284" w:firstLine="0"/>
        <w:contextualSpacing/>
        <w:rPr>
          <w:rFonts w:cs="Arial"/>
          <w:i/>
          <w:sz w:val="22"/>
          <w:szCs w:val="22"/>
        </w:rPr>
      </w:pPr>
      <w:r w:rsidRPr="00640CFF">
        <w:rPr>
          <w:rFonts w:cs="Arial"/>
          <w:sz w:val="22"/>
          <w:szCs w:val="22"/>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572831BF" w14:textId="77777777" w:rsidR="0003308B" w:rsidRPr="00640CFF" w:rsidRDefault="0003308B" w:rsidP="0003308B">
      <w:pPr>
        <w:tabs>
          <w:tab w:val="left" w:pos="142"/>
        </w:tabs>
        <w:rPr>
          <w:rFonts w:cs="Arial"/>
          <w:i/>
          <w:sz w:val="22"/>
          <w:szCs w:val="22"/>
        </w:rPr>
      </w:pPr>
    </w:p>
    <w:p w14:paraId="3C09597C" w14:textId="77777777" w:rsidR="0003308B" w:rsidRPr="00640CFF" w:rsidRDefault="0003308B" w:rsidP="0003308B">
      <w:pPr>
        <w:tabs>
          <w:tab w:val="left" w:pos="142"/>
        </w:tabs>
        <w:ind w:left="284"/>
        <w:rPr>
          <w:rFonts w:cs="Arial"/>
          <w:i/>
          <w:sz w:val="22"/>
          <w:szCs w:val="22"/>
        </w:rPr>
      </w:pPr>
      <w:r w:rsidRPr="00640CFF">
        <w:rPr>
          <w:rFonts w:cs="Arial"/>
          <w:sz w:val="22"/>
          <w:szCs w:val="22"/>
        </w:rPr>
        <w:t>B. Coordinación. Ser</w:t>
      </w:r>
      <w:r>
        <w:rPr>
          <w:rFonts w:cs="Arial"/>
          <w:sz w:val="22"/>
          <w:szCs w:val="22"/>
        </w:rPr>
        <w:t>á</w:t>
      </w:r>
      <w:r w:rsidRPr="00640CFF">
        <w:rPr>
          <w:rFonts w:cs="Arial"/>
          <w:sz w:val="22"/>
          <w:szCs w:val="22"/>
        </w:rPr>
        <w:t xml:space="preserve"> responsabilidad de esta división la debida coordinación de los trabajos de mampostería con el de las otras artes tal como se expresa en las divisiones de Plomería, Electricidad, Aire Acondicionado, Ventanales, Puertas, Cielos, etc. </w:t>
      </w:r>
    </w:p>
    <w:p w14:paraId="4DBAAF81" w14:textId="77777777" w:rsidR="0003308B" w:rsidRPr="00640CFF" w:rsidRDefault="0003308B" w:rsidP="0003308B">
      <w:pPr>
        <w:tabs>
          <w:tab w:val="left" w:pos="142"/>
        </w:tabs>
        <w:rPr>
          <w:rFonts w:cs="Arial"/>
          <w:i/>
          <w:sz w:val="22"/>
          <w:szCs w:val="22"/>
        </w:rPr>
      </w:pPr>
      <w:r w:rsidRPr="00640CFF">
        <w:rPr>
          <w:rFonts w:cs="Arial"/>
          <w:sz w:val="22"/>
          <w:szCs w:val="22"/>
        </w:rPr>
        <w:t xml:space="preserve">     </w:t>
      </w:r>
    </w:p>
    <w:p w14:paraId="0DEBD051" w14:textId="77777777" w:rsidR="0003308B" w:rsidRPr="00640CFF" w:rsidRDefault="0003308B" w:rsidP="0003308B">
      <w:pPr>
        <w:tabs>
          <w:tab w:val="left" w:pos="142"/>
        </w:tabs>
        <w:ind w:left="284"/>
        <w:rPr>
          <w:rFonts w:cs="Arial"/>
          <w:i/>
          <w:sz w:val="22"/>
          <w:szCs w:val="22"/>
        </w:rPr>
      </w:pPr>
      <w:r w:rsidRPr="00640CFF">
        <w:rPr>
          <w:rFonts w:cs="Arial"/>
          <w:sz w:val="22"/>
          <w:szCs w:val="22"/>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2AA36ED8" w14:textId="77777777" w:rsidR="0003308B" w:rsidRPr="00640CFF" w:rsidRDefault="0003308B" w:rsidP="0003308B">
      <w:pPr>
        <w:tabs>
          <w:tab w:val="left" w:pos="142"/>
        </w:tabs>
        <w:rPr>
          <w:rFonts w:cs="Arial"/>
          <w:i/>
          <w:sz w:val="22"/>
          <w:szCs w:val="22"/>
        </w:rPr>
      </w:pPr>
    </w:p>
    <w:p w14:paraId="5AE02FE1" w14:textId="77777777" w:rsidR="0003308B" w:rsidRPr="00640CFF" w:rsidRDefault="0003308B" w:rsidP="0003308B">
      <w:pPr>
        <w:tabs>
          <w:tab w:val="left" w:pos="142"/>
        </w:tabs>
        <w:ind w:left="284"/>
        <w:rPr>
          <w:rFonts w:cs="Arial"/>
          <w:i/>
          <w:sz w:val="22"/>
          <w:szCs w:val="22"/>
        </w:rPr>
      </w:pPr>
      <w:r w:rsidRPr="00640CFF">
        <w:rPr>
          <w:rFonts w:cs="Arial"/>
          <w:sz w:val="22"/>
          <w:szCs w:val="22"/>
        </w:rPr>
        <w:t>D.</w:t>
      </w:r>
      <w:r w:rsidRPr="00640CFF">
        <w:rPr>
          <w:rFonts w:cs="Arial"/>
          <w:sz w:val="22"/>
          <w:szCs w:val="22"/>
        </w:rPr>
        <w:tab/>
        <w:t xml:space="preserve">Los documentos del contrato, que incluyen planos y Especificaciones, son complementarios los unos con los otros, de modo que lo dicho en uno se entenderá como dicho en todos. </w:t>
      </w:r>
    </w:p>
    <w:p w14:paraId="6599BBA7" w14:textId="77777777" w:rsidR="0003308B" w:rsidRPr="00640CFF" w:rsidRDefault="0003308B" w:rsidP="0003308B">
      <w:pPr>
        <w:tabs>
          <w:tab w:val="left" w:pos="142"/>
        </w:tabs>
        <w:ind w:left="284"/>
        <w:rPr>
          <w:rFonts w:cs="Arial"/>
          <w:i/>
          <w:sz w:val="22"/>
          <w:szCs w:val="22"/>
        </w:rPr>
      </w:pPr>
    </w:p>
    <w:p w14:paraId="55C0EB9B" w14:textId="77777777" w:rsidR="0003308B" w:rsidRPr="00640CFF" w:rsidRDefault="0003308B" w:rsidP="0003308B">
      <w:pPr>
        <w:tabs>
          <w:tab w:val="left" w:pos="142"/>
        </w:tabs>
        <w:ind w:left="284"/>
        <w:rPr>
          <w:rFonts w:cs="Arial"/>
          <w:i/>
          <w:sz w:val="22"/>
          <w:szCs w:val="22"/>
        </w:rPr>
      </w:pPr>
      <w:r w:rsidRPr="00640CFF">
        <w:rPr>
          <w:rFonts w:cs="Arial"/>
          <w:sz w:val="22"/>
          <w:szCs w:val="22"/>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651B6F66" w14:textId="77777777" w:rsidR="0003308B" w:rsidRPr="00640CFF" w:rsidRDefault="0003308B" w:rsidP="0003308B">
      <w:pPr>
        <w:tabs>
          <w:tab w:val="left" w:pos="142"/>
        </w:tabs>
        <w:ind w:left="284"/>
        <w:rPr>
          <w:rFonts w:cs="Arial"/>
          <w:i/>
          <w:sz w:val="22"/>
          <w:szCs w:val="22"/>
        </w:rPr>
      </w:pPr>
      <w:r w:rsidRPr="00640CFF">
        <w:rPr>
          <w:rFonts w:cs="Arial"/>
          <w:sz w:val="22"/>
          <w:szCs w:val="22"/>
        </w:rPr>
        <w:t xml:space="preserve"> </w:t>
      </w:r>
    </w:p>
    <w:p w14:paraId="688D90F1" w14:textId="77777777" w:rsidR="0003308B" w:rsidRPr="00640CFF" w:rsidRDefault="0003308B" w:rsidP="0003308B">
      <w:pPr>
        <w:tabs>
          <w:tab w:val="left" w:pos="142"/>
        </w:tabs>
        <w:ind w:left="284"/>
        <w:rPr>
          <w:rFonts w:cs="Arial"/>
          <w:i/>
          <w:sz w:val="22"/>
          <w:szCs w:val="22"/>
        </w:rPr>
      </w:pPr>
      <w:r w:rsidRPr="00640CFF">
        <w:rPr>
          <w:rFonts w:cs="Arial"/>
          <w:sz w:val="22"/>
          <w:szCs w:val="22"/>
        </w:rPr>
        <w:t xml:space="preserve">Si la contradicción fuere de orden mayor, deberá ser consultado al diseñador por medio del supervisor para la debida aclaración. Para lo que el  se encargara de solucionar este caso en un plazo no mayor de 10 días. </w:t>
      </w:r>
    </w:p>
    <w:p w14:paraId="19FE552E" w14:textId="77777777" w:rsidR="0003308B" w:rsidRPr="00640CFF" w:rsidRDefault="0003308B" w:rsidP="0003308B">
      <w:pPr>
        <w:tabs>
          <w:tab w:val="left" w:pos="142"/>
        </w:tabs>
        <w:rPr>
          <w:rFonts w:cs="Arial"/>
          <w:i/>
          <w:sz w:val="22"/>
          <w:szCs w:val="22"/>
        </w:rPr>
      </w:pPr>
    </w:p>
    <w:p w14:paraId="4D168134" w14:textId="77777777" w:rsidR="0003308B" w:rsidRPr="00640CFF" w:rsidRDefault="0003308B" w:rsidP="0003308B">
      <w:pPr>
        <w:tabs>
          <w:tab w:val="left" w:pos="142"/>
        </w:tabs>
        <w:ind w:left="284"/>
        <w:rPr>
          <w:rFonts w:cs="Arial"/>
          <w:i/>
          <w:sz w:val="22"/>
          <w:szCs w:val="22"/>
        </w:rPr>
      </w:pPr>
      <w:r w:rsidRPr="00640CFF">
        <w:rPr>
          <w:rFonts w:cs="Arial"/>
          <w:sz w:val="22"/>
          <w:szCs w:val="22"/>
        </w:rPr>
        <w:t>E.</w:t>
      </w:r>
      <w:r w:rsidRPr="00640CFF">
        <w:rPr>
          <w:rFonts w:cs="Arial"/>
          <w:sz w:val="22"/>
          <w:szCs w:val="22"/>
        </w:rPr>
        <w:tab/>
        <w:t xml:space="preserve">Trabajo Requerido: El trabajo consiste en la preparación del sitio, excavación, relleno, terraplén, nivelación, como esta descrito en las especificaciones o indicado en los planos o razonablemente implicado en ellos. </w:t>
      </w:r>
    </w:p>
    <w:p w14:paraId="73678A45" w14:textId="77777777" w:rsidR="0003308B" w:rsidRPr="00640CFF" w:rsidRDefault="0003308B" w:rsidP="0003308B">
      <w:pPr>
        <w:tabs>
          <w:tab w:val="left" w:pos="142"/>
        </w:tabs>
        <w:rPr>
          <w:rFonts w:cs="Arial"/>
          <w:i/>
          <w:sz w:val="22"/>
          <w:szCs w:val="22"/>
        </w:rPr>
      </w:pPr>
    </w:p>
    <w:p w14:paraId="663065DC" w14:textId="77777777" w:rsidR="0003308B" w:rsidRPr="00640CFF" w:rsidRDefault="0003308B" w:rsidP="0003308B">
      <w:pPr>
        <w:tabs>
          <w:tab w:val="left" w:pos="142"/>
        </w:tabs>
        <w:ind w:left="284"/>
        <w:rPr>
          <w:rFonts w:cs="Arial"/>
          <w:i/>
          <w:sz w:val="22"/>
          <w:szCs w:val="22"/>
        </w:rPr>
      </w:pPr>
      <w:r w:rsidRPr="00640CFF">
        <w:rPr>
          <w:rFonts w:cs="Arial"/>
          <w:sz w:val="22"/>
          <w:szCs w:val="22"/>
        </w:rPr>
        <w:t>F.</w:t>
      </w:r>
      <w:r w:rsidRPr="00640CFF">
        <w:rPr>
          <w:rFonts w:cs="Arial"/>
          <w:sz w:val="22"/>
          <w:szCs w:val="22"/>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69C09F3B" w14:textId="77777777" w:rsidR="0003308B" w:rsidRPr="00640CFF" w:rsidRDefault="0003308B" w:rsidP="0003308B">
      <w:pPr>
        <w:tabs>
          <w:tab w:val="left" w:pos="142"/>
        </w:tabs>
        <w:ind w:left="284"/>
        <w:rPr>
          <w:rFonts w:cs="Arial"/>
          <w:i/>
          <w:sz w:val="22"/>
          <w:szCs w:val="22"/>
        </w:rPr>
      </w:pPr>
      <w:r w:rsidRPr="00640CFF">
        <w:rPr>
          <w:rFonts w:cs="Arial"/>
          <w:sz w:val="22"/>
          <w:szCs w:val="22"/>
        </w:rPr>
        <w:lastRenderedPageBreak/>
        <w:tab/>
      </w:r>
    </w:p>
    <w:p w14:paraId="1DA9935F" w14:textId="77777777" w:rsidR="0003308B" w:rsidRPr="00640CFF" w:rsidRDefault="0003308B" w:rsidP="0003308B">
      <w:pPr>
        <w:tabs>
          <w:tab w:val="left" w:pos="142"/>
        </w:tabs>
        <w:ind w:left="284"/>
        <w:rPr>
          <w:rFonts w:cs="Arial"/>
          <w:i/>
          <w:sz w:val="22"/>
          <w:szCs w:val="22"/>
        </w:rPr>
      </w:pPr>
      <w:r w:rsidRPr="00640CFF">
        <w:rPr>
          <w:rFonts w:cs="Arial"/>
          <w:sz w:val="22"/>
          <w:szCs w:val="22"/>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0D875D6F" w14:textId="77777777" w:rsidR="0003308B" w:rsidRPr="00640CFF" w:rsidRDefault="0003308B" w:rsidP="0003308B">
      <w:pPr>
        <w:tabs>
          <w:tab w:val="left" w:pos="142"/>
        </w:tabs>
        <w:rPr>
          <w:rFonts w:cs="Arial"/>
          <w:i/>
          <w:sz w:val="22"/>
          <w:szCs w:val="22"/>
        </w:rPr>
      </w:pPr>
    </w:p>
    <w:p w14:paraId="1D182E76" w14:textId="77777777" w:rsidR="0003308B" w:rsidRPr="00640CFF" w:rsidRDefault="0003308B" w:rsidP="0003308B">
      <w:pPr>
        <w:tabs>
          <w:tab w:val="left" w:pos="142"/>
        </w:tabs>
        <w:ind w:left="284"/>
        <w:rPr>
          <w:rFonts w:cs="Arial"/>
          <w:i/>
          <w:sz w:val="22"/>
          <w:szCs w:val="22"/>
        </w:rPr>
      </w:pPr>
      <w:r w:rsidRPr="00640CFF">
        <w:rPr>
          <w:rFonts w:cs="Arial"/>
          <w:sz w:val="22"/>
          <w:szCs w:val="22"/>
        </w:rPr>
        <w:t>G.</w:t>
      </w:r>
      <w:r w:rsidRPr="00640CFF">
        <w:rPr>
          <w:rFonts w:cs="Arial"/>
          <w:sz w:val="22"/>
          <w:szCs w:val="22"/>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43BB351E" w14:textId="77777777" w:rsidR="0003308B" w:rsidRPr="00640CFF" w:rsidRDefault="0003308B" w:rsidP="0003308B">
      <w:pPr>
        <w:tabs>
          <w:tab w:val="left" w:pos="142"/>
        </w:tabs>
        <w:rPr>
          <w:rFonts w:cs="Arial"/>
          <w:i/>
          <w:sz w:val="22"/>
          <w:szCs w:val="22"/>
        </w:rPr>
      </w:pPr>
    </w:p>
    <w:p w14:paraId="7FF187FA" w14:textId="77777777" w:rsidR="0003308B" w:rsidRPr="00640CFF" w:rsidRDefault="0003308B" w:rsidP="0003308B">
      <w:pPr>
        <w:tabs>
          <w:tab w:val="left" w:pos="142"/>
        </w:tabs>
        <w:ind w:left="284"/>
        <w:rPr>
          <w:rFonts w:cs="Arial"/>
          <w:i/>
          <w:sz w:val="22"/>
          <w:szCs w:val="22"/>
        </w:rPr>
      </w:pPr>
      <w:r w:rsidRPr="00640CFF">
        <w:rPr>
          <w:rFonts w:cs="Arial"/>
          <w:sz w:val="22"/>
          <w:szCs w:val="22"/>
        </w:rPr>
        <w:t>H.</w:t>
      </w:r>
      <w:r w:rsidRPr="00640CFF">
        <w:rPr>
          <w:rFonts w:cs="Arial"/>
          <w:sz w:val="22"/>
          <w:szCs w:val="22"/>
        </w:rPr>
        <w:tab/>
        <w:t xml:space="preserve">Banco de Nivel: El contratista levantara todos los bancos de nivel, puntos de coordinación y estacas, las cuales deben ser preservados y mantenidas por cuenta del contratista; hasta que el supervisor crea conveniente mantenerlos. </w:t>
      </w:r>
    </w:p>
    <w:p w14:paraId="6FFA77FB" w14:textId="77777777" w:rsidR="0003308B" w:rsidRPr="00640CFF" w:rsidRDefault="0003308B" w:rsidP="0003308B">
      <w:pPr>
        <w:tabs>
          <w:tab w:val="left" w:pos="142"/>
        </w:tabs>
        <w:rPr>
          <w:rFonts w:cs="Arial"/>
          <w:i/>
          <w:sz w:val="22"/>
          <w:szCs w:val="22"/>
        </w:rPr>
      </w:pPr>
    </w:p>
    <w:p w14:paraId="76D9C341" w14:textId="77777777" w:rsidR="0003308B" w:rsidRPr="00640CFF" w:rsidRDefault="0003308B" w:rsidP="0003308B">
      <w:pPr>
        <w:tabs>
          <w:tab w:val="left" w:pos="142"/>
        </w:tabs>
        <w:ind w:left="284"/>
        <w:rPr>
          <w:rFonts w:cs="Arial"/>
          <w:i/>
          <w:sz w:val="22"/>
          <w:szCs w:val="22"/>
        </w:rPr>
      </w:pPr>
      <w:r w:rsidRPr="00640CFF">
        <w:rPr>
          <w:rFonts w:cs="Arial"/>
          <w:sz w:val="22"/>
          <w:szCs w:val="22"/>
        </w:rPr>
        <w:t>I.</w:t>
      </w:r>
      <w:r w:rsidRPr="00640CFF">
        <w:rPr>
          <w:rFonts w:cs="Arial"/>
          <w:sz w:val="22"/>
          <w:szCs w:val="22"/>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1B24842F" w14:textId="77777777" w:rsidR="0003308B" w:rsidRPr="00640CFF" w:rsidRDefault="0003308B" w:rsidP="0003308B">
      <w:pPr>
        <w:tabs>
          <w:tab w:val="left" w:pos="142"/>
        </w:tabs>
        <w:rPr>
          <w:rFonts w:cs="Arial"/>
          <w:i/>
          <w:sz w:val="22"/>
          <w:szCs w:val="22"/>
        </w:rPr>
      </w:pPr>
    </w:p>
    <w:p w14:paraId="62EFC462" w14:textId="77777777" w:rsidR="0003308B" w:rsidRPr="00640CFF" w:rsidRDefault="0003308B" w:rsidP="0003308B">
      <w:pPr>
        <w:tabs>
          <w:tab w:val="left" w:pos="142"/>
        </w:tabs>
        <w:ind w:left="284"/>
        <w:rPr>
          <w:rFonts w:cs="Arial"/>
          <w:i/>
          <w:sz w:val="22"/>
          <w:szCs w:val="22"/>
        </w:rPr>
      </w:pPr>
      <w:r w:rsidRPr="00640CFF">
        <w:rPr>
          <w:rFonts w:cs="Arial"/>
          <w:sz w:val="22"/>
          <w:szCs w:val="22"/>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234DBE1E" w14:textId="77777777" w:rsidR="0003308B" w:rsidRPr="00640CFF" w:rsidRDefault="0003308B" w:rsidP="0003308B">
      <w:pPr>
        <w:tabs>
          <w:tab w:val="left" w:pos="142"/>
        </w:tabs>
        <w:ind w:left="284"/>
        <w:rPr>
          <w:rFonts w:cs="Arial"/>
          <w:i/>
          <w:sz w:val="22"/>
          <w:szCs w:val="22"/>
        </w:rPr>
      </w:pPr>
    </w:p>
    <w:p w14:paraId="7883488E" w14:textId="77777777" w:rsidR="0003308B" w:rsidRPr="00640CFF" w:rsidRDefault="0003308B" w:rsidP="0003308B">
      <w:pPr>
        <w:tabs>
          <w:tab w:val="left" w:pos="142"/>
        </w:tabs>
        <w:ind w:left="284"/>
        <w:rPr>
          <w:rFonts w:cs="Arial"/>
          <w:i/>
          <w:sz w:val="22"/>
          <w:szCs w:val="22"/>
        </w:rPr>
      </w:pPr>
      <w:r w:rsidRPr="00640CFF">
        <w:rPr>
          <w:rFonts w:cs="Arial"/>
          <w:sz w:val="22"/>
          <w:szCs w:val="22"/>
        </w:rPr>
        <w:t xml:space="preserve">EL CONTRATISTA será responsable de proteger de daños todas las líneas, niveles y puntos de referencia y si se destruyen deberán ser reparados y repuestos por su cuenta. Se notificará a el supervisor, cuando el trazo este sustancialmente terminado y se procederá a la construcción hasta que haya sido aprobado. </w:t>
      </w:r>
    </w:p>
    <w:p w14:paraId="5F83709C" w14:textId="77777777" w:rsidR="0003308B" w:rsidRPr="00640CFF" w:rsidRDefault="0003308B" w:rsidP="0003308B">
      <w:pPr>
        <w:tabs>
          <w:tab w:val="left" w:pos="142"/>
        </w:tabs>
        <w:rPr>
          <w:rFonts w:cs="Arial"/>
          <w:i/>
          <w:sz w:val="22"/>
          <w:szCs w:val="22"/>
        </w:rPr>
      </w:pPr>
    </w:p>
    <w:p w14:paraId="508408C8" w14:textId="77777777" w:rsidR="0003308B" w:rsidRPr="00640CFF" w:rsidRDefault="0003308B" w:rsidP="0003308B">
      <w:pPr>
        <w:tabs>
          <w:tab w:val="left" w:pos="142"/>
        </w:tabs>
        <w:ind w:left="284"/>
        <w:rPr>
          <w:rFonts w:cs="Arial"/>
          <w:i/>
          <w:sz w:val="22"/>
          <w:szCs w:val="22"/>
        </w:rPr>
      </w:pPr>
      <w:r w:rsidRPr="00640CFF">
        <w:rPr>
          <w:rFonts w:cs="Arial"/>
          <w:sz w:val="22"/>
          <w:szCs w:val="22"/>
        </w:rPr>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90% proctor.</w:t>
      </w:r>
    </w:p>
    <w:p w14:paraId="7451C103" w14:textId="77777777" w:rsidR="0003308B" w:rsidRPr="00640CFF" w:rsidRDefault="0003308B" w:rsidP="0003308B">
      <w:pPr>
        <w:tabs>
          <w:tab w:val="left" w:pos="142"/>
        </w:tabs>
        <w:rPr>
          <w:rFonts w:cs="Arial"/>
          <w:i/>
          <w:sz w:val="22"/>
          <w:szCs w:val="22"/>
        </w:rPr>
      </w:pPr>
    </w:p>
    <w:p w14:paraId="7F66808E" w14:textId="77777777" w:rsidR="0003308B" w:rsidRPr="00640CFF" w:rsidRDefault="0003308B" w:rsidP="0003308B">
      <w:pPr>
        <w:tabs>
          <w:tab w:val="left" w:pos="142"/>
        </w:tabs>
        <w:ind w:left="284"/>
        <w:rPr>
          <w:rFonts w:cs="Arial"/>
          <w:i/>
          <w:sz w:val="22"/>
          <w:szCs w:val="22"/>
        </w:rPr>
      </w:pPr>
      <w:r w:rsidRPr="00640CFF">
        <w:rPr>
          <w:rFonts w:cs="Arial"/>
          <w:sz w:val="22"/>
          <w:szCs w:val="22"/>
        </w:rPr>
        <w:t>L. La nivelación se extenderá alrededor de la construcción un ancho mínimo de 1 mt. La diferencia entre el nivel de piso interior y el nivel del terreno circundante no podrá ser mayor de 10 cms ó de acuerdo a la orientación del supervisor</w:t>
      </w:r>
    </w:p>
    <w:p w14:paraId="1A5EBA27" w14:textId="77777777" w:rsidR="0003308B" w:rsidRPr="00640CFF" w:rsidRDefault="0003308B" w:rsidP="0003308B">
      <w:pPr>
        <w:tabs>
          <w:tab w:val="left" w:pos="142"/>
        </w:tabs>
        <w:ind w:left="284"/>
        <w:rPr>
          <w:rFonts w:cs="Arial"/>
          <w:i/>
          <w:sz w:val="22"/>
          <w:szCs w:val="22"/>
        </w:rPr>
      </w:pPr>
    </w:p>
    <w:p w14:paraId="3F1839AB" w14:textId="77777777" w:rsidR="0003308B" w:rsidRPr="00640CFF" w:rsidRDefault="0003308B" w:rsidP="0003308B">
      <w:pPr>
        <w:tabs>
          <w:tab w:val="left" w:pos="142"/>
        </w:tabs>
        <w:ind w:left="284"/>
        <w:rPr>
          <w:rFonts w:cs="Arial"/>
          <w:i/>
          <w:sz w:val="22"/>
          <w:szCs w:val="22"/>
        </w:rPr>
      </w:pPr>
      <w:r w:rsidRPr="00640CFF">
        <w:rPr>
          <w:rFonts w:cs="Arial"/>
          <w:sz w:val="22"/>
          <w:szCs w:val="22"/>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1F69243F" w14:textId="77777777" w:rsidR="0003308B" w:rsidRPr="00640CFF" w:rsidRDefault="0003308B" w:rsidP="0003308B">
      <w:pPr>
        <w:tabs>
          <w:tab w:val="left" w:pos="142"/>
        </w:tabs>
        <w:rPr>
          <w:rFonts w:cs="Arial"/>
          <w:i/>
          <w:sz w:val="22"/>
          <w:szCs w:val="22"/>
        </w:rPr>
      </w:pPr>
    </w:p>
    <w:p w14:paraId="1FA05789"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CERTIFICADOS</w:t>
      </w:r>
    </w:p>
    <w:p w14:paraId="654AE3A8" w14:textId="77777777" w:rsidR="0003308B" w:rsidRPr="00640CFF" w:rsidRDefault="0003308B" w:rsidP="0003308B">
      <w:pPr>
        <w:tabs>
          <w:tab w:val="left" w:pos="142"/>
        </w:tabs>
        <w:rPr>
          <w:rFonts w:cs="Arial"/>
          <w:b/>
          <w:i/>
          <w:sz w:val="22"/>
          <w:szCs w:val="22"/>
        </w:rPr>
      </w:pPr>
    </w:p>
    <w:p w14:paraId="050C896A" w14:textId="77777777" w:rsidR="0003308B" w:rsidRPr="00640CFF" w:rsidRDefault="0003308B" w:rsidP="0003308B">
      <w:pPr>
        <w:tabs>
          <w:tab w:val="left" w:pos="142"/>
        </w:tabs>
        <w:rPr>
          <w:rFonts w:cs="Arial"/>
          <w:i/>
          <w:sz w:val="22"/>
          <w:szCs w:val="22"/>
        </w:rPr>
      </w:pPr>
      <w:r w:rsidRPr="00640CFF">
        <w:rPr>
          <w:rFonts w:cs="Arial"/>
          <w:sz w:val="22"/>
          <w:szCs w:val="22"/>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4D0051C4" w14:textId="77777777" w:rsidR="0003308B" w:rsidRPr="00640CFF" w:rsidRDefault="0003308B" w:rsidP="0003308B">
      <w:pPr>
        <w:tabs>
          <w:tab w:val="left" w:pos="142"/>
        </w:tabs>
        <w:rPr>
          <w:rFonts w:cs="Arial"/>
          <w:i/>
          <w:sz w:val="22"/>
          <w:szCs w:val="22"/>
        </w:rPr>
      </w:pPr>
    </w:p>
    <w:p w14:paraId="204DB721" w14:textId="77777777" w:rsidR="0003308B" w:rsidRPr="00640CFF" w:rsidRDefault="0003308B" w:rsidP="0003308B">
      <w:pPr>
        <w:tabs>
          <w:tab w:val="left" w:pos="142"/>
        </w:tabs>
        <w:rPr>
          <w:rFonts w:cs="Arial"/>
          <w:i/>
          <w:sz w:val="22"/>
          <w:szCs w:val="22"/>
        </w:rPr>
      </w:pPr>
      <w:r w:rsidRPr="00640CFF">
        <w:rPr>
          <w:rFonts w:cs="Arial"/>
          <w:sz w:val="22"/>
          <w:szCs w:val="22"/>
        </w:rPr>
        <w:t>1.- Nombre y marca del producto y del manufacturero.</w:t>
      </w:r>
    </w:p>
    <w:p w14:paraId="6077282E" w14:textId="77777777" w:rsidR="0003308B" w:rsidRPr="00640CFF" w:rsidRDefault="0003308B" w:rsidP="0003308B">
      <w:pPr>
        <w:tabs>
          <w:tab w:val="left" w:pos="142"/>
        </w:tabs>
        <w:rPr>
          <w:rFonts w:cs="Arial"/>
          <w:i/>
          <w:sz w:val="22"/>
          <w:szCs w:val="22"/>
        </w:rPr>
      </w:pPr>
      <w:r w:rsidRPr="00640CFF">
        <w:rPr>
          <w:rFonts w:cs="Arial"/>
          <w:sz w:val="22"/>
          <w:szCs w:val="22"/>
        </w:rPr>
        <w:t>2.- Descripción de propiedades químicas y físicas del material y nombre del laboratorio o autoridad donde se obtuvo el dato.</w:t>
      </w:r>
    </w:p>
    <w:p w14:paraId="564D5995" w14:textId="77777777" w:rsidR="0003308B" w:rsidRPr="00640CFF" w:rsidRDefault="0003308B" w:rsidP="0003308B">
      <w:pPr>
        <w:tabs>
          <w:tab w:val="left" w:pos="142"/>
        </w:tabs>
        <w:rPr>
          <w:rFonts w:cs="Arial"/>
          <w:i/>
          <w:sz w:val="22"/>
          <w:szCs w:val="22"/>
        </w:rPr>
      </w:pPr>
      <w:r w:rsidRPr="00640CFF">
        <w:rPr>
          <w:rFonts w:cs="Arial"/>
          <w:sz w:val="22"/>
          <w:szCs w:val="22"/>
        </w:rPr>
        <w:lastRenderedPageBreak/>
        <w:t>3.- Fecha de la prueba. Si la declaración es original del manufacturero, El CONTRATISTA endosará a su nombre todo reclamo y someterá la declaración bajo su propio nombre.</w:t>
      </w:r>
    </w:p>
    <w:p w14:paraId="7072800B" w14:textId="77777777" w:rsidR="0003308B" w:rsidRPr="00640CFF" w:rsidRDefault="0003308B" w:rsidP="0003308B">
      <w:pPr>
        <w:tabs>
          <w:tab w:val="left" w:pos="142"/>
        </w:tabs>
        <w:rPr>
          <w:rFonts w:cs="Arial"/>
          <w:i/>
          <w:sz w:val="22"/>
          <w:szCs w:val="22"/>
        </w:rPr>
      </w:pPr>
    </w:p>
    <w:p w14:paraId="73A71ACE"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APROBACI</w:t>
      </w:r>
      <w:r>
        <w:rPr>
          <w:rFonts w:cs="Arial"/>
          <w:b/>
          <w:sz w:val="22"/>
          <w:szCs w:val="22"/>
        </w:rPr>
        <w:t>Ó</w:t>
      </w:r>
      <w:r w:rsidRPr="00640CFF">
        <w:rPr>
          <w:rFonts w:cs="Arial"/>
          <w:b/>
          <w:sz w:val="22"/>
          <w:szCs w:val="22"/>
        </w:rPr>
        <w:t>N DE MATERIALES</w:t>
      </w:r>
    </w:p>
    <w:p w14:paraId="6CBC57EE" w14:textId="77777777" w:rsidR="0003308B" w:rsidRPr="00640CFF" w:rsidRDefault="0003308B" w:rsidP="0003308B">
      <w:pPr>
        <w:tabs>
          <w:tab w:val="left" w:pos="142"/>
        </w:tabs>
        <w:rPr>
          <w:rFonts w:cs="Arial"/>
          <w:b/>
          <w:i/>
          <w:sz w:val="22"/>
          <w:szCs w:val="22"/>
        </w:rPr>
      </w:pPr>
    </w:p>
    <w:p w14:paraId="1086327C" w14:textId="77777777" w:rsidR="0003308B" w:rsidRPr="00640CFF" w:rsidRDefault="0003308B" w:rsidP="0003308B">
      <w:pPr>
        <w:tabs>
          <w:tab w:val="left" w:pos="142"/>
        </w:tabs>
        <w:rPr>
          <w:rFonts w:cs="Arial"/>
          <w:i/>
          <w:sz w:val="22"/>
          <w:szCs w:val="22"/>
        </w:rPr>
      </w:pPr>
      <w:r w:rsidRPr="00640CFF">
        <w:rPr>
          <w:rFonts w:cs="Arial"/>
          <w:sz w:val="22"/>
          <w:szCs w:val="22"/>
        </w:rPr>
        <w:t>Todo material, equipo, métodos y accesorios que fueren parte del trabajo quedar</w:t>
      </w:r>
      <w:r>
        <w:rPr>
          <w:rFonts w:cs="Arial"/>
          <w:sz w:val="22"/>
          <w:szCs w:val="22"/>
        </w:rPr>
        <w:t>á</w:t>
      </w:r>
      <w:r w:rsidRPr="00640CFF">
        <w:rPr>
          <w:rFonts w:cs="Arial"/>
          <w:sz w:val="22"/>
          <w:szCs w:val="22"/>
        </w:rPr>
        <w:t xml:space="preserve">n sujetos a la aprobación o desaprobación del Supervisor, él tiene la opción de requerir pruebas de </w:t>
      </w:r>
      <w:r>
        <w:rPr>
          <w:rFonts w:cs="Arial"/>
          <w:sz w:val="22"/>
          <w:szCs w:val="22"/>
        </w:rPr>
        <w:t>l</w:t>
      </w:r>
      <w:r w:rsidRPr="00640CFF">
        <w:rPr>
          <w:rFonts w:cs="Arial"/>
          <w:sz w:val="22"/>
          <w:szCs w:val="22"/>
        </w:rPr>
        <w:t xml:space="preserve">aboratorio de muestras sometidas para su aprobación o a su discreción, aprobar materiales basándose en el dato y muestras sometidas. </w:t>
      </w:r>
    </w:p>
    <w:p w14:paraId="074B7D9E" w14:textId="77777777" w:rsidR="0003308B" w:rsidRPr="00640CFF" w:rsidRDefault="0003308B" w:rsidP="0003308B">
      <w:pPr>
        <w:tabs>
          <w:tab w:val="left" w:pos="142"/>
        </w:tabs>
        <w:rPr>
          <w:rFonts w:cs="Arial"/>
          <w:i/>
          <w:sz w:val="22"/>
          <w:szCs w:val="22"/>
        </w:rPr>
      </w:pPr>
    </w:p>
    <w:p w14:paraId="761EBD35" w14:textId="77777777" w:rsidR="0003308B" w:rsidRPr="00640CFF" w:rsidRDefault="0003308B" w:rsidP="0003308B">
      <w:pPr>
        <w:tabs>
          <w:tab w:val="left" w:pos="142"/>
        </w:tabs>
        <w:rPr>
          <w:rFonts w:cs="Arial"/>
          <w:i/>
          <w:sz w:val="22"/>
          <w:szCs w:val="22"/>
        </w:rPr>
      </w:pPr>
      <w:r w:rsidRPr="00640CFF">
        <w:rPr>
          <w:rFonts w:cs="Arial"/>
          <w:sz w:val="22"/>
          <w:szCs w:val="22"/>
        </w:rPr>
        <w:t xml:space="preserve">La aprobación de cualquier material o producto no constituirá renuncia del derecho del INSPECTOR para demandar el completo incumplimiento de los requisitos del Contrato.  </w:t>
      </w:r>
    </w:p>
    <w:p w14:paraId="144D9DE8" w14:textId="77777777" w:rsidR="0003308B" w:rsidRPr="00640CFF" w:rsidRDefault="0003308B" w:rsidP="0003308B">
      <w:pPr>
        <w:tabs>
          <w:tab w:val="left" w:pos="142"/>
        </w:tabs>
        <w:rPr>
          <w:rFonts w:cs="Arial"/>
          <w:i/>
          <w:sz w:val="22"/>
          <w:szCs w:val="22"/>
        </w:rPr>
      </w:pPr>
    </w:p>
    <w:p w14:paraId="00AF864E" w14:textId="77777777" w:rsidR="0003308B" w:rsidRPr="00640CFF" w:rsidRDefault="0003308B" w:rsidP="0003308B">
      <w:pPr>
        <w:tabs>
          <w:tab w:val="left" w:pos="142"/>
        </w:tabs>
        <w:rPr>
          <w:rFonts w:cs="Arial"/>
          <w:i/>
          <w:sz w:val="22"/>
          <w:szCs w:val="22"/>
        </w:rPr>
      </w:pPr>
      <w:r w:rsidRPr="00640CFF">
        <w:rPr>
          <w:rFonts w:cs="Arial"/>
          <w:sz w:val="22"/>
          <w:szCs w:val="22"/>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68C01A93" w14:textId="77777777" w:rsidR="0003308B" w:rsidRPr="00640CFF" w:rsidRDefault="0003308B" w:rsidP="0003308B">
      <w:pPr>
        <w:tabs>
          <w:tab w:val="left" w:pos="142"/>
        </w:tabs>
        <w:rPr>
          <w:rFonts w:cs="Arial"/>
          <w:i/>
          <w:sz w:val="22"/>
          <w:szCs w:val="22"/>
        </w:rPr>
      </w:pPr>
    </w:p>
    <w:p w14:paraId="2CC87B1B"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RECHAZO DE MATERIALES</w:t>
      </w:r>
    </w:p>
    <w:p w14:paraId="222789DC" w14:textId="77777777" w:rsidR="0003308B" w:rsidRPr="00640CFF" w:rsidRDefault="0003308B" w:rsidP="0003308B">
      <w:pPr>
        <w:tabs>
          <w:tab w:val="left" w:pos="142"/>
        </w:tabs>
        <w:rPr>
          <w:rFonts w:cs="Arial"/>
          <w:i/>
          <w:sz w:val="22"/>
          <w:szCs w:val="22"/>
        </w:rPr>
      </w:pPr>
    </w:p>
    <w:p w14:paraId="61E08899" w14:textId="77777777" w:rsidR="0003308B" w:rsidRPr="00640CFF" w:rsidRDefault="0003308B" w:rsidP="0003308B">
      <w:pPr>
        <w:tabs>
          <w:tab w:val="left" w:pos="142"/>
        </w:tabs>
        <w:rPr>
          <w:rFonts w:cs="Arial"/>
          <w:i/>
          <w:sz w:val="22"/>
          <w:szCs w:val="22"/>
        </w:rPr>
      </w:pPr>
      <w:r w:rsidRPr="00640CFF">
        <w:rPr>
          <w:rFonts w:cs="Arial"/>
          <w:sz w:val="22"/>
          <w:szCs w:val="22"/>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7DE540F3" w14:textId="77777777" w:rsidR="0003308B" w:rsidRPr="00640CFF" w:rsidRDefault="0003308B" w:rsidP="0003308B">
      <w:pPr>
        <w:tabs>
          <w:tab w:val="left" w:pos="142"/>
        </w:tabs>
        <w:rPr>
          <w:rFonts w:cs="Arial"/>
          <w:i/>
          <w:sz w:val="22"/>
          <w:szCs w:val="22"/>
        </w:rPr>
      </w:pPr>
    </w:p>
    <w:p w14:paraId="5EF9B5A4" w14:textId="77777777" w:rsidR="0003308B" w:rsidRPr="00640CFF" w:rsidRDefault="0003308B" w:rsidP="0003308B">
      <w:pPr>
        <w:tabs>
          <w:tab w:val="left" w:pos="142"/>
        </w:tabs>
        <w:rPr>
          <w:rFonts w:cs="Arial"/>
          <w:i/>
          <w:sz w:val="22"/>
          <w:szCs w:val="22"/>
        </w:rPr>
      </w:pPr>
      <w:r w:rsidRPr="00640CFF">
        <w:rPr>
          <w:rFonts w:cs="Arial"/>
          <w:sz w:val="22"/>
          <w:szCs w:val="22"/>
        </w:rPr>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2CBA4F16" w14:textId="77777777" w:rsidR="0003308B" w:rsidRPr="00640CFF" w:rsidRDefault="0003308B" w:rsidP="0003308B">
      <w:pPr>
        <w:pStyle w:val="Prrafodelista"/>
        <w:tabs>
          <w:tab w:val="left" w:pos="142"/>
        </w:tabs>
        <w:rPr>
          <w:rFonts w:cs="Arial"/>
          <w:b/>
          <w:i/>
          <w:sz w:val="22"/>
          <w:szCs w:val="22"/>
        </w:rPr>
      </w:pPr>
    </w:p>
    <w:p w14:paraId="0278D829"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FORMA PARA PRESENTAR MUESTRAS</w:t>
      </w:r>
    </w:p>
    <w:p w14:paraId="71095636" w14:textId="77777777" w:rsidR="0003308B" w:rsidRPr="00640CFF" w:rsidRDefault="0003308B" w:rsidP="0003308B">
      <w:pPr>
        <w:pStyle w:val="Prrafodelista"/>
        <w:tabs>
          <w:tab w:val="left" w:pos="142"/>
        </w:tabs>
        <w:rPr>
          <w:rFonts w:cs="Arial"/>
          <w:b/>
          <w:i/>
        </w:rPr>
      </w:pPr>
    </w:p>
    <w:p w14:paraId="0E3D541A" w14:textId="77777777" w:rsidR="0003308B" w:rsidRPr="00640CFF" w:rsidRDefault="0003308B" w:rsidP="0003308B">
      <w:pPr>
        <w:pStyle w:val="Prrafodelista"/>
        <w:tabs>
          <w:tab w:val="left" w:pos="142"/>
        </w:tabs>
        <w:ind w:left="0"/>
        <w:rPr>
          <w:rFonts w:cs="Arial"/>
          <w:i/>
          <w:sz w:val="22"/>
          <w:szCs w:val="22"/>
        </w:rPr>
      </w:pPr>
      <w:r w:rsidRPr="00640CFF">
        <w:rPr>
          <w:rFonts w:cs="Arial"/>
          <w:sz w:val="22"/>
          <w:szCs w:val="22"/>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61D02503" w14:textId="77777777" w:rsidR="0003308B" w:rsidRDefault="0003308B" w:rsidP="0003308B">
      <w:pPr>
        <w:pStyle w:val="Prrafodelista"/>
        <w:tabs>
          <w:tab w:val="left" w:pos="142"/>
        </w:tabs>
        <w:ind w:left="0"/>
        <w:rPr>
          <w:rFonts w:cs="Arial"/>
          <w:b/>
          <w:i/>
          <w:sz w:val="22"/>
          <w:szCs w:val="22"/>
        </w:rPr>
      </w:pPr>
    </w:p>
    <w:p w14:paraId="0928CD71"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CAMBIO EN LAS ESPECIFICACIONES</w:t>
      </w:r>
    </w:p>
    <w:p w14:paraId="7D5E2A5C" w14:textId="77777777" w:rsidR="0003308B" w:rsidRPr="00640CFF" w:rsidRDefault="0003308B" w:rsidP="0003308B">
      <w:pPr>
        <w:pStyle w:val="Prrafodelista"/>
        <w:tabs>
          <w:tab w:val="left" w:pos="142"/>
        </w:tabs>
        <w:rPr>
          <w:rFonts w:cs="Arial"/>
          <w:i/>
          <w:sz w:val="22"/>
          <w:szCs w:val="22"/>
        </w:rPr>
      </w:pPr>
    </w:p>
    <w:p w14:paraId="208C021C" w14:textId="77777777" w:rsidR="0003308B" w:rsidRPr="00640CFF" w:rsidRDefault="0003308B" w:rsidP="0003308B">
      <w:pPr>
        <w:rPr>
          <w:rFonts w:cs="Arial"/>
          <w:i/>
          <w:sz w:val="22"/>
          <w:szCs w:val="22"/>
        </w:rPr>
      </w:pPr>
      <w:r w:rsidRPr="00640CFF">
        <w:rPr>
          <w:rFonts w:cs="Arial"/>
          <w:sz w:val="22"/>
          <w:szCs w:val="22"/>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3639BB39" w14:textId="77777777" w:rsidR="0003308B" w:rsidRPr="00640CFF" w:rsidRDefault="0003308B" w:rsidP="0003308B">
      <w:pPr>
        <w:pStyle w:val="Prrafodelista"/>
        <w:tabs>
          <w:tab w:val="left" w:pos="142"/>
        </w:tabs>
        <w:rPr>
          <w:rFonts w:cs="Arial"/>
          <w:b/>
          <w:i/>
          <w:sz w:val="22"/>
          <w:szCs w:val="22"/>
        </w:rPr>
      </w:pPr>
    </w:p>
    <w:p w14:paraId="5FD04562" w14:textId="77777777" w:rsidR="0003308B" w:rsidRPr="00640CFF" w:rsidRDefault="0003308B"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MATERIALES NO ESPECIFICADOS POR MARCA O SIMILITUD</w:t>
      </w:r>
    </w:p>
    <w:p w14:paraId="5402ABF9" w14:textId="77777777" w:rsidR="0003308B" w:rsidRPr="00640CFF" w:rsidRDefault="0003308B" w:rsidP="0003308B">
      <w:pPr>
        <w:pStyle w:val="Prrafodelista"/>
        <w:tabs>
          <w:tab w:val="left" w:pos="142"/>
        </w:tabs>
        <w:rPr>
          <w:rFonts w:cs="Arial"/>
          <w:i/>
          <w:sz w:val="22"/>
          <w:szCs w:val="22"/>
        </w:rPr>
      </w:pPr>
    </w:p>
    <w:p w14:paraId="058C5477" w14:textId="77777777" w:rsidR="0003308B" w:rsidRPr="00640CFF" w:rsidRDefault="0003308B" w:rsidP="0003308B">
      <w:pPr>
        <w:rPr>
          <w:rFonts w:cs="Arial"/>
          <w:i/>
          <w:sz w:val="22"/>
          <w:szCs w:val="22"/>
        </w:rPr>
      </w:pPr>
      <w:r w:rsidRPr="00640CFF">
        <w:rPr>
          <w:rFonts w:cs="Arial"/>
          <w:sz w:val="22"/>
          <w:szCs w:val="22"/>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73910702" w14:textId="77777777" w:rsidR="0003308B" w:rsidRPr="00640CFF" w:rsidRDefault="0003308B" w:rsidP="0003308B">
      <w:pPr>
        <w:rPr>
          <w:rFonts w:cs="Arial"/>
          <w:i/>
          <w:sz w:val="22"/>
          <w:szCs w:val="22"/>
        </w:rPr>
      </w:pPr>
    </w:p>
    <w:p w14:paraId="1DC6D742" w14:textId="77777777" w:rsidR="0003308B" w:rsidRPr="00640CFF" w:rsidRDefault="0003308B" w:rsidP="003B68DB">
      <w:pPr>
        <w:pStyle w:val="Prrafodelista"/>
        <w:numPr>
          <w:ilvl w:val="1"/>
          <w:numId w:val="127"/>
        </w:numPr>
        <w:contextualSpacing/>
        <w:rPr>
          <w:rFonts w:cs="Arial"/>
          <w:b/>
          <w:i/>
          <w:sz w:val="22"/>
          <w:szCs w:val="22"/>
        </w:rPr>
      </w:pPr>
      <w:r w:rsidRPr="00640CFF">
        <w:rPr>
          <w:rFonts w:cs="Arial"/>
          <w:b/>
          <w:sz w:val="22"/>
          <w:szCs w:val="22"/>
        </w:rPr>
        <w:t xml:space="preserve"> MATERIALES ESPECIFICADOS PO MARCA O SIMILITUD</w:t>
      </w:r>
    </w:p>
    <w:p w14:paraId="703CB872" w14:textId="77777777" w:rsidR="0003308B" w:rsidRPr="00640CFF" w:rsidRDefault="0003308B" w:rsidP="0003308B">
      <w:pPr>
        <w:pStyle w:val="Prrafodelista"/>
        <w:tabs>
          <w:tab w:val="left" w:pos="142"/>
        </w:tabs>
        <w:rPr>
          <w:rFonts w:cs="Arial"/>
          <w:b/>
          <w:i/>
          <w:sz w:val="22"/>
          <w:szCs w:val="22"/>
        </w:rPr>
      </w:pPr>
    </w:p>
    <w:p w14:paraId="647CD377" w14:textId="77777777" w:rsidR="0003308B" w:rsidRPr="00640CFF" w:rsidRDefault="0003308B" w:rsidP="0003308B">
      <w:pPr>
        <w:pStyle w:val="Prrafodelista"/>
        <w:tabs>
          <w:tab w:val="left" w:pos="142"/>
        </w:tabs>
        <w:ind w:left="0"/>
        <w:rPr>
          <w:rFonts w:cs="Arial"/>
          <w:i/>
          <w:sz w:val="22"/>
          <w:szCs w:val="22"/>
        </w:rPr>
      </w:pPr>
      <w:r w:rsidRPr="00640CFF">
        <w:rPr>
          <w:rFonts w:cs="Arial"/>
          <w:sz w:val="22"/>
          <w:szCs w:val="22"/>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23C9655B" w14:textId="77777777" w:rsidR="0003308B" w:rsidRDefault="0003308B" w:rsidP="0003308B">
      <w:pPr>
        <w:tabs>
          <w:tab w:val="left" w:pos="142"/>
        </w:tabs>
        <w:rPr>
          <w:rFonts w:cs="Arial"/>
          <w:i/>
          <w:sz w:val="22"/>
          <w:szCs w:val="22"/>
        </w:rPr>
      </w:pPr>
    </w:p>
    <w:p w14:paraId="004227D5" w14:textId="77777777" w:rsidR="0003308B" w:rsidRPr="00766894" w:rsidRDefault="0003308B" w:rsidP="003B68DB">
      <w:pPr>
        <w:pStyle w:val="Prrafodelista"/>
        <w:keepNext/>
        <w:numPr>
          <w:ilvl w:val="0"/>
          <w:numId w:val="127"/>
        </w:numPr>
        <w:tabs>
          <w:tab w:val="left" w:pos="142"/>
        </w:tabs>
        <w:ind w:left="426" w:right="-516" w:firstLine="0"/>
        <w:contextualSpacing/>
        <w:outlineLvl w:val="1"/>
        <w:rPr>
          <w:rFonts w:cs="Arial"/>
          <w:b/>
          <w:bCs/>
          <w:i/>
          <w:iCs/>
          <w:sz w:val="22"/>
          <w:szCs w:val="22"/>
        </w:rPr>
      </w:pPr>
      <w:r>
        <w:rPr>
          <w:rFonts w:cs="Arial"/>
          <w:b/>
          <w:bCs/>
          <w:iCs/>
          <w:sz w:val="22"/>
          <w:szCs w:val="22"/>
        </w:rPr>
        <w:t xml:space="preserve"> </w:t>
      </w:r>
      <w:r w:rsidRPr="00766894">
        <w:rPr>
          <w:rFonts w:cs="Arial"/>
          <w:b/>
          <w:bCs/>
          <w:iCs/>
          <w:sz w:val="22"/>
          <w:szCs w:val="22"/>
        </w:rPr>
        <w:t xml:space="preserve">ESPECIFICACIONES TÉCNICAS GENERALES PARA LA CONSTRUCCIÓN DE LETRINAS </w:t>
      </w:r>
    </w:p>
    <w:p w14:paraId="04FECCB5" w14:textId="77777777" w:rsidR="0003308B" w:rsidRPr="00766894" w:rsidRDefault="0003308B" w:rsidP="0003308B">
      <w:pPr>
        <w:tabs>
          <w:tab w:val="left" w:pos="142"/>
        </w:tabs>
        <w:ind w:left="-567"/>
        <w:rPr>
          <w:rFonts w:cs="Arial"/>
          <w:b/>
          <w:i/>
          <w:sz w:val="22"/>
          <w:szCs w:val="22"/>
        </w:rPr>
      </w:pPr>
    </w:p>
    <w:p w14:paraId="3DFFE351"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LOCALIZACIÓN DE SITIOS DO</w:t>
      </w:r>
      <w:r>
        <w:rPr>
          <w:rFonts w:cs="Arial"/>
          <w:b/>
          <w:bCs/>
          <w:iCs/>
          <w:sz w:val="22"/>
          <w:szCs w:val="22"/>
        </w:rPr>
        <w:t>NDE SE CONSTRUIRÁN LAS LETRINAS</w:t>
      </w:r>
    </w:p>
    <w:p w14:paraId="1CC07F0B" w14:textId="77777777" w:rsidR="0003308B" w:rsidRPr="00640CFF" w:rsidRDefault="0003308B" w:rsidP="0003308B">
      <w:pPr>
        <w:tabs>
          <w:tab w:val="left" w:pos="142"/>
        </w:tabs>
        <w:ind w:left="-567"/>
        <w:rPr>
          <w:rFonts w:cs="Arial"/>
          <w:i/>
          <w:sz w:val="22"/>
          <w:szCs w:val="22"/>
          <w:lang w:eastAsia="es-NI"/>
        </w:rPr>
      </w:pPr>
    </w:p>
    <w:p w14:paraId="1FD689D0"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Estas obras se realizarán en los predios de cada una de las viviendas que integran el proyecto y para lo cual se deberán tomas los aspectos generales siguientes:</w:t>
      </w:r>
    </w:p>
    <w:p w14:paraId="0471A89D"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175E3D6B"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Localización y ubicación del terreno, el cual debe tener las condiciones de permanecer seco y/o libres de inundaciones.</w:t>
      </w:r>
    </w:p>
    <w:p w14:paraId="1566F60F"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En terrenos con pendientes altas la letrina se localizará en las partes más bajas.</w:t>
      </w:r>
    </w:p>
    <w:p w14:paraId="29FA5C2A"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La distancia mínima entre la letrina y cualquier fuente de abastecimiento de agua, será de 20.0</w:t>
      </w:r>
      <w:r>
        <w:rPr>
          <w:rFonts w:cs="Arial"/>
          <w:sz w:val="22"/>
          <w:szCs w:val="22"/>
          <w:lang w:val="es-NI" w:eastAsia="es-NI"/>
        </w:rPr>
        <w:t xml:space="preserve">0 m., o fuera del predio donde </w:t>
      </w:r>
      <w:r w:rsidRPr="00F65A3E">
        <w:rPr>
          <w:rFonts w:cs="Arial"/>
          <w:sz w:val="22"/>
          <w:szCs w:val="22"/>
          <w:lang w:val="es-NI" w:eastAsia="es-NI"/>
        </w:rPr>
        <w:t>se construirá.</w:t>
      </w:r>
    </w:p>
    <w:p w14:paraId="04AE9260"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La distancia mínima vertical entre el fondo de la fosa y el nivel freático será de 3.00 m.</w:t>
      </w:r>
    </w:p>
    <w:p w14:paraId="38321B8E"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La distancia entre la casa y la letrina será de 5.00 m como mínimo.</w:t>
      </w:r>
    </w:p>
    <w:p w14:paraId="7557F6A4"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Deberá considerarse la dirección del viento al ubicar la letrina a sotavento de la vivienda.</w:t>
      </w:r>
    </w:p>
    <w:p w14:paraId="4A9DEC89" w14:textId="77777777" w:rsidR="0003308B" w:rsidRPr="00F65A3E" w:rsidRDefault="0003308B"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En terrenos inestables, para evitar derrumbes durante la excavación, será necesario ademar las paredes de la fosa con material local.</w:t>
      </w:r>
    </w:p>
    <w:p w14:paraId="27882075" w14:textId="77777777" w:rsidR="0003308B" w:rsidRPr="00640CFF" w:rsidRDefault="0003308B" w:rsidP="0003308B">
      <w:pPr>
        <w:tabs>
          <w:tab w:val="left" w:pos="142"/>
        </w:tabs>
        <w:autoSpaceDE w:val="0"/>
        <w:autoSpaceDN w:val="0"/>
        <w:adjustRightInd w:val="0"/>
        <w:ind w:left="-567"/>
        <w:rPr>
          <w:rFonts w:cs="Arial"/>
          <w:i/>
          <w:sz w:val="22"/>
          <w:szCs w:val="22"/>
          <w:lang w:val="es-NI" w:eastAsia="es-NI"/>
        </w:rPr>
      </w:pPr>
    </w:p>
    <w:p w14:paraId="2C51F66E"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MATERIALES</w:t>
      </w:r>
    </w:p>
    <w:p w14:paraId="5F67B034" w14:textId="77777777" w:rsidR="0003308B" w:rsidRPr="00640CFF" w:rsidRDefault="0003308B" w:rsidP="0003308B">
      <w:pPr>
        <w:pStyle w:val="Prrafodelista"/>
        <w:keepNext/>
        <w:tabs>
          <w:tab w:val="left" w:pos="142"/>
        </w:tabs>
        <w:ind w:left="0" w:right="-516"/>
        <w:outlineLvl w:val="1"/>
        <w:rPr>
          <w:rFonts w:cs="Arial"/>
          <w:b/>
          <w:bCs/>
          <w:i/>
          <w:iCs/>
          <w:sz w:val="22"/>
          <w:szCs w:val="22"/>
        </w:rPr>
      </w:pPr>
    </w:p>
    <w:p w14:paraId="27DF975B" w14:textId="77777777" w:rsidR="0003308B" w:rsidRPr="00F65A3E" w:rsidRDefault="0003308B" w:rsidP="003B68DB">
      <w:pPr>
        <w:pStyle w:val="Prrafodelista"/>
        <w:keepNext/>
        <w:numPr>
          <w:ilvl w:val="0"/>
          <w:numId w:val="132"/>
        </w:numPr>
        <w:tabs>
          <w:tab w:val="left" w:pos="142"/>
        </w:tabs>
        <w:ind w:right="-516"/>
        <w:contextualSpacing/>
        <w:outlineLvl w:val="1"/>
        <w:rPr>
          <w:rFonts w:cs="Arial"/>
          <w:b/>
          <w:bCs/>
          <w:i/>
          <w:iCs/>
          <w:sz w:val="22"/>
          <w:szCs w:val="22"/>
        </w:rPr>
      </w:pPr>
      <w:r w:rsidRPr="00640CFF">
        <w:rPr>
          <w:rFonts w:cs="Arial"/>
          <w:sz w:val="22"/>
          <w:szCs w:val="22"/>
          <w:lang w:val="es-NI" w:eastAsia="es-NI"/>
        </w:rPr>
        <w:t xml:space="preserve">El forro de las paredes de la opción básica será zinc liso calibre 28 </w:t>
      </w:r>
      <w:r>
        <w:rPr>
          <w:rFonts w:cs="Arial"/>
          <w:sz w:val="22"/>
          <w:szCs w:val="22"/>
          <w:lang w:val="es-NI" w:eastAsia="es-NI"/>
        </w:rPr>
        <w:t>s</w:t>
      </w:r>
      <w:r w:rsidRPr="00640CFF">
        <w:rPr>
          <w:rFonts w:cs="Arial"/>
          <w:sz w:val="22"/>
          <w:szCs w:val="22"/>
          <w:lang w:val="es-NI" w:eastAsia="es-NI"/>
        </w:rPr>
        <w:t xml:space="preserve">tandard, fijado con tornillos golosos de buena calidad, </w:t>
      </w:r>
      <w:r w:rsidRPr="00F65A3E">
        <w:rPr>
          <w:rFonts w:cs="Arial"/>
          <w:sz w:val="22"/>
          <w:szCs w:val="22"/>
          <w:lang w:val="es-NI" w:eastAsia="es-NI"/>
        </w:rPr>
        <w:t>cabeza plana ranurada.</w:t>
      </w:r>
    </w:p>
    <w:p w14:paraId="47BE3714"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753DCDF" w14:textId="77777777" w:rsidR="0003308B" w:rsidRPr="00F65A3E" w:rsidRDefault="0003308B"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 xml:space="preserve">Para la cubierta de techo será zinc corrugado calibre 28 </w:t>
      </w:r>
      <w:r>
        <w:rPr>
          <w:rFonts w:cs="Arial"/>
          <w:sz w:val="22"/>
          <w:szCs w:val="22"/>
          <w:lang w:val="es-NI" w:eastAsia="es-NI"/>
        </w:rPr>
        <w:t>s</w:t>
      </w:r>
      <w:r w:rsidRPr="00640CFF">
        <w:rPr>
          <w:rFonts w:cs="Arial"/>
          <w:sz w:val="22"/>
          <w:szCs w:val="22"/>
          <w:lang w:val="es-NI" w:eastAsia="es-NI"/>
        </w:rPr>
        <w:t xml:space="preserve">tandard, fijado con tornillo goloso para zinc con arandela de </w:t>
      </w:r>
      <w:r w:rsidRPr="00F65A3E">
        <w:rPr>
          <w:rFonts w:cs="Arial"/>
          <w:sz w:val="22"/>
          <w:szCs w:val="22"/>
          <w:lang w:val="es-NI" w:eastAsia="es-NI"/>
        </w:rPr>
        <w:t>neopreno.</w:t>
      </w:r>
    </w:p>
    <w:p w14:paraId="174D325A"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07916A49" w14:textId="77777777" w:rsidR="0003308B" w:rsidRPr="00640CFF" w:rsidRDefault="0003308B"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Las estructuras de las casetas y la estructura del techo serán de acuerdo a dimensiones reflejadas en planos.</w:t>
      </w:r>
    </w:p>
    <w:p w14:paraId="70A71FD9"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67DC3EA" w14:textId="77777777" w:rsidR="0003308B" w:rsidRPr="00640CFF" w:rsidRDefault="0003308B"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31D1BA0E"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5DB80F4" w14:textId="77777777" w:rsidR="0003308B" w:rsidRPr="00640CFF" w:rsidRDefault="0003308B" w:rsidP="003B68DB">
      <w:pPr>
        <w:pStyle w:val="Prrafodelista"/>
        <w:numPr>
          <w:ilvl w:val="0"/>
          <w:numId w:val="132"/>
        </w:numPr>
        <w:contextualSpacing/>
        <w:rPr>
          <w:rFonts w:cs="Arial"/>
          <w:i/>
          <w:sz w:val="22"/>
          <w:szCs w:val="22"/>
          <w:lang w:val="es-NI" w:eastAsia="es-NI"/>
        </w:rPr>
      </w:pPr>
      <w:r w:rsidRPr="00640CFF">
        <w:rPr>
          <w:rFonts w:cs="Arial"/>
          <w:sz w:val="22"/>
          <w:szCs w:val="22"/>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60EEF09F"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4991F7C0" w14:textId="77777777" w:rsidR="0003308B" w:rsidRPr="00640CFF" w:rsidRDefault="0003308B"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No se permitirán bloques quebrados ni de medidas diferentes</w:t>
      </w:r>
      <w:r>
        <w:rPr>
          <w:rFonts w:cs="Arial"/>
          <w:sz w:val="22"/>
          <w:szCs w:val="22"/>
          <w:lang w:val="es-NI" w:eastAsia="es-NI"/>
        </w:rPr>
        <w:t xml:space="preserve"> excepto previa autorización de El</w:t>
      </w:r>
      <w:r w:rsidRPr="00640CFF">
        <w:rPr>
          <w:rFonts w:cs="Arial"/>
          <w:sz w:val="22"/>
          <w:szCs w:val="22"/>
          <w:lang w:val="es-NI" w:eastAsia="es-NI"/>
        </w:rPr>
        <w:t xml:space="preserve"> Supervisor.</w:t>
      </w:r>
    </w:p>
    <w:p w14:paraId="7FDA617B"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77DA98A0" w14:textId="77777777" w:rsidR="0003308B" w:rsidRPr="00640CFF" w:rsidRDefault="0003308B"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lastRenderedPageBreak/>
        <w:t>Pintura, para los elementos estructurales de acero se pintarán con anticorrosivo de color rojo, aplicada sobre la estructura a dos manos de acuerdo a las recomendaciones del fabricante.</w:t>
      </w:r>
    </w:p>
    <w:p w14:paraId="181E3687"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A1E8B05" w14:textId="77777777" w:rsidR="0003308B" w:rsidRPr="00640CFF" w:rsidRDefault="0003308B"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 xml:space="preserve">Se podrá utilizar arena de río que no esté contaminada, que tenga la granulometría adecuada, debe estar limpia y tamizada, antes de usarla debe estar autorizada por </w:t>
      </w:r>
      <w:r>
        <w:rPr>
          <w:rFonts w:cs="Arial"/>
          <w:sz w:val="22"/>
          <w:szCs w:val="22"/>
          <w:lang w:val="es-NI" w:eastAsia="es-NI"/>
        </w:rPr>
        <w:t>E</w:t>
      </w:r>
      <w:r w:rsidRPr="00640CFF">
        <w:rPr>
          <w:rFonts w:cs="Arial"/>
          <w:sz w:val="22"/>
          <w:szCs w:val="22"/>
          <w:lang w:val="es-NI" w:eastAsia="es-NI"/>
        </w:rPr>
        <w:t>l Supervisor.</w:t>
      </w:r>
    </w:p>
    <w:p w14:paraId="60C81E93" w14:textId="77777777" w:rsidR="0003308B" w:rsidRPr="00640CFF" w:rsidRDefault="0003308B" w:rsidP="0003308B">
      <w:pPr>
        <w:tabs>
          <w:tab w:val="left" w:pos="142"/>
        </w:tabs>
        <w:autoSpaceDE w:val="0"/>
        <w:autoSpaceDN w:val="0"/>
        <w:adjustRightInd w:val="0"/>
        <w:ind w:left="-567"/>
        <w:rPr>
          <w:rFonts w:cs="Arial"/>
          <w:i/>
          <w:sz w:val="22"/>
          <w:szCs w:val="22"/>
          <w:lang w:val="es-NI" w:eastAsia="es-NI"/>
        </w:rPr>
      </w:pPr>
    </w:p>
    <w:p w14:paraId="7849CC7C"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w:t>
      </w:r>
    </w:p>
    <w:p w14:paraId="42369E25" w14:textId="77777777" w:rsidR="0003308B" w:rsidRPr="00640CFF" w:rsidRDefault="0003308B" w:rsidP="0003308B">
      <w:pPr>
        <w:tabs>
          <w:tab w:val="left" w:pos="142"/>
        </w:tabs>
        <w:rPr>
          <w:rFonts w:cs="Arial"/>
          <w:i/>
          <w:sz w:val="22"/>
          <w:szCs w:val="22"/>
          <w:lang w:val="es-NI" w:eastAsia="es-NI"/>
        </w:rPr>
      </w:pPr>
    </w:p>
    <w:p w14:paraId="445DB6E6" w14:textId="77777777" w:rsidR="0003308B" w:rsidRPr="00640CFF" w:rsidRDefault="0003308B" w:rsidP="0003308B">
      <w:pPr>
        <w:pStyle w:val="Ttulo2"/>
        <w:tabs>
          <w:tab w:val="left" w:pos="142"/>
        </w:tabs>
        <w:jc w:val="both"/>
        <w:rPr>
          <w:rFonts w:cs="Arial"/>
          <w:i/>
          <w:sz w:val="22"/>
          <w:szCs w:val="22"/>
          <w:lang w:eastAsia="es-NI"/>
        </w:rPr>
      </w:pPr>
      <w:r>
        <w:rPr>
          <w:rFonts w:cs="Arial"/>
          <w:sz w:val="22"/>
          <w:szCs w:val="22"/>
          <w:lang w:eastAsia="es-NI"/>
        </w:rPr>
        <w:t>EXCAVACIÓN</w:t>
      </w:r>
    </w:p>
    <w:p w14:paraId="5A3E7E01" w14:textId="77777777" w:rsidR="0003308B" w:rsidRPr="00640CFF" w:rsidRDefault="0003308B" w:rsidP="0003308B">
      <w:pPr>
        <w:tabs>
          <w:tab w:val="left" w:pos="142"/>
        </w:tabs>
        <w:rPr>
          <w:rFonts w:cs="Arial"/>
          <w:sz w:val="22"/>
          <w:szCs w:val="22"/>
          <w:lang w:eastAsia="es-NI"/>
        </w:rPr>
      </w:pPr>
    </w:p>
    <w:p w14:paraId="2A74CE25"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En general, a menos que </w:t>
      </w:r>
      <w:r>
        <w:rPr>
          <w:rFonts w:cs="Arial"/>
          <w:sz w:val="22"/>
          <w:szCs w:val="22"/>
          <w:lang w:val="es-NI" w:eastAsia="es-NI"/>
        </w:rPr>
        <w:t>E</w:t>
      </w:r>
      <w:r w:rsidRPr="00640CFF">
        <w:rPr>
          <w:rFonts w:cs="Arial"/>
          <w:sz w:val="22"/>
          <w:szCs w:val="22"/>
          <w:lang w:val="es-NI" w:eastAsia="es-NI"/>
        </w:rPr>
        <w:t>l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5E153CDA"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FCC681C"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fondo de la fosa deberá quedar perfectamente nivelado, sin la presencia de bolones que se pudiesen encontrar durante la excavación.</w:t>
      </w:r>
    </w:p>
    <w:p w14:paraId="0FC2F01D"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4482386A"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ningún caso se permitirá al CONTRATISTA excavar menos de la profundidad establecida en los planos, cualquier situación que impida esta disposición deberá ser solicitada por escrito a</w:t>
      </w:r>
      <w:r>
        <w:rPr>
          <w:rFonts w:cs="Arial"/>
          <w:sz w:val="22"/>
          <w:szCs w:val="22"/>
          <w:lang w:val="es-NI" w:eastAsia="es-NI"/>
        </w:rPr>
        <w:t xml:space="preserve"> E</w:t>
      </w:r>
      <w:r w:rsidRPr="00640CFF">
        <w:rPr>
          <w:rFonts w:cs="Arial"/>
          <w:sz w:val="22"/>
          <w:szCs w:val="22"/>
          <w:lang w:val="es-NI" w:eastAsia="es-NI"/>
        </w:rPr>
        <w:t>l Supervisor.</w:t>
      </w:r>
    </w:p>
    <w:p w14:paraId="52BB16F8"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E6D077A"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deberá tomar las precauciones necesarias durante el proceso de excavación para evitar la acumulación de aguas, inundaciones por escorrentías, lluvias o fuentes de agua.</w:t>
      </w:r>
    </w:p>
    <w:p w14:paraId="67C4B5ED"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00842070"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w:t>
      </w:r>
      <w:r>
        <w:rPr>
          <w:rFonts w:cs="Arial"/>
          <w:sz w:val="22"/>
          <w:szCs w:val="22"/>
          <w:lang w:val="es-NI" w:eastAsia="es-NI"/>
        </w:rPr>
        <w:t xml:space="preserve"> E</w:t>
      </w:r>
      <w:r w:rsidRPr="00640CFF">
        <w:rPr>
          <w:rFonts w:cs="Arial"/>
          <w:sz w:val="22"/>
          <w:szCs w:val="22"/>
          <w:lang w:val="es-NI" w:eastAsia="es-NI"/>
        </w:rPr>
        <w:t xml:space="preserve">l </w:t>
      </w:r>
      <w:r>
        <w:rPr>
          <w:rFonts w:cs="Arial"/>
          <w:sz w:val="22"/>
          <w:szCs w:val="22"/>
          <w:lang w:val="es-NI" w:eastAsia="es-NI"/>
        </w:rPr>
        <w:t>S</w:t>
      </w:r>
      <w:r w:rsidRPr="00640CFF">
        <w:rPr>
          <w:rFonts w:cs="Arial"/>
          <w:sz w:val="22"/>
          <w:szCs w:val="22"/>
          <w:lang w:val="es-NI" w:eastAsia="es-NI"/>
        </w:rPr>
        <w:t>upervisor</w:t>
      </w:r>
      <w:r>
        <w:rPr>
          <w:rFonts w:cs="Arial"/>
          <w:sz w:val="22"/>
          <w:szCs w:val="22"/>
          <w:lang w:val="es-NI" w:eastAsia="es-NI"/>
        </w:rPr>
        <w:t>.</w:t>
      </w:r>
    </w:p>
    <w:p w14:paraId="67DD2C45"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2AF84D21"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12B3A5CF"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10ECC03B"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Cuando el foso es revestido, las medidas de la fosa son las indicadas en los planos más 0.15 m, correspondiente al ancho del material a colocar como paredes.</w:t>
      </w:r>
    </w:p>
    <w:p w14:paraId="65975C97"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7AC7FFCB"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r>
        <w:rPr>
          <w:rFonts w:cs="Arial"/>
          <w:sz w:val="22"/>
          <w:szCs w:val="22"/>
          <w:lang w:val="es-NI" w:eastAsia="es-NI"/>
        </w:rPr>
        <w:t>.</w:t>
      </w:r>
    </w:p>
    <w:p w14:paraId="65AD0103"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390CAA14"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terrenos flojos que se indique la construcción de letrinas estándar, para evitar derrumbes, habrá necesidad de ademar las paredes de la fosa, utilizando materiales existentes en la región.</w:t>
      </w:r>
    </w:p>
    <w:p w14:paraId="35E5A0E0"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45598286"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Estos costos debe</w:t>
      </w:r>
      <w:r>
        <w:rPr>
          <w:rFonts w:cs="Arial"/>
          <w:sz w:val="22"/>
          <w:szCs w:val="22"/>
          <w:lang w:val="es-NI" w:eastAsia="es-NI"/>
        </w:rPr>
        <w:t>n ser considerados por</w:t>
      </w:r>
      <w:r w:rsidRPr="00640CFF">
        <w:rPr>
          <w:rFonts w:cs="Arial"/>
          <w:sz w:val="22"/>
          <w:szCs w:val="22"/>
          <w:lang w:val="es-NI" w:eastAsia="es-NI"/>
        </w:rPr>
        <w:t xml:space="preserve"> el OFERENTE en los costos indirectos del pliego de oferta.</w:t>
      </w:r>
    </w:p>
    <w:p w14:paraId="15F11DA8"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E0B7ABD"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deberá someter la metodolog</w:t>
      </w:r>
      <w:r>
        <w:rPr>
          <w:rFonts w:cs="Arial"/>
          <w:sz w:val="22"/>
          <w:szCs w:val="22"/>
          <w:lang w:val="es-NI" w:eastAsia="es-NI"/>
        </w:rPr>
        <w:t>ía y programa de construcción a El</w:t>
      </w:r>
      <w:r w:rsidRPr="00640CFF">
        <w:rPr>
          <w:rFonts w:cs="Arial"/>
          <w:sz w:val="22"/>
          <w:szCs w:val="22"/>
          <w:lang w:val="es-NI" w:eastAsia="es-NI"/>
        </w:rPr>
        <w:t xml:space="preserve"> Supervisor para cumplir en el tiempo y forma con sus obligaciones contractuales.</w:t>
      </w:r>
    </w:p>
    <w:p w14:paraId="79709426"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EF080CB"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lastRenderedPageBreak/>
        <w:t>RESTRICCIONES Y CALIDAD DEL TRABAJO</w:t>
      </w:r>
    </w:p>
    <w:p w14:paraId="1B89E9DA" w14:textId="77777777" w:rsidR="0003308B" w:rsidRPr="00640CFF" w:rsidRDefault="0003308B" w:rsidP="0003308B">
      <w:pPr>
        <w:pStyle w:val="Prrafodelista"/>
        <w:keepNext/>
        <w:tabs>
          <w:tab w:val="left" w:pos="142"/>
        </w:tabs>
        <w:ind w:left="0" w:right="-516"/>
        <w:outlineLvl w:val="1"/>
        <w:rPr>
          <w:rFonts w:cs="Arial"/>
          <w:b/>
          <w:bCs/>
          <w:i/>
          <w:iCs/>
          <w:sz w:val="22"/>
          <w:szCs w:val="22"/>
        </w:rPr>
      </w:pPr>
    </w:p>
    <w:p w14:paraId="14DD1EA6" w14:textId="77777777" w:rsidR="0003308B" w:rsidRPr="00640CFF" w:rsidRDefault="0003308B" w:rsidP="003B68DB">
      <w:pPr>
        <w:pStyle w:val="Prrafodelista"/>
        <w:keepNext/>
        <w:numPr>
          <w:ilvl w:val="0"/>
          <w:numId w:val="133"/>
        </w:numPr>
        <w:tabs>
          <w:tab w:val="left" w:pos="142"/>
        </w:tabs>
        <w:ind w:left="502" w:right="-516"/>
        <w:contextualSpacing/>
        <w:outlineLvl w:val="1"/>
        <w:rPr>
          <w:rFonts w:cs="Arial"/>
          <w:b/>
          <w:bCs/>
          <w:i/>
          <w:iCs/>
          <w:sz w:val="22"/>
          <w:szCs w:val="22"/>
        </w:rPr>
      </w:pPr>
      <w:r w:rsidRPr="00640CFF">
        <w:rPr>
          <w:rFonts w:cs="Arial"/>
          <w:sz w:val="22"/>
          <w:szCs w:val="22"/>
          <w:lang w:val="es-NI" w:eastAsia="es-NI"/>
        </w:rPr>
        <w:t>No se permitirán fosas abiertas por períodos mayores de tres (3) días, previo al inicio de las obras de revestimiento de paredes y/o a la colocación de la losa y banco.</w:t>
      </w:r>
    </w:p>
    <w:p w14:paraId="01ED809A" w14:textId="77777777" w:rsidR="0003308B" w:rsidRPr="00640CFF" w:rsidRDefault="0003308B" w:rsidP="0003308B">
      <w:pPr>
        <w:tabs>
          <w:tab w:val="left" w:pos="142"/>
        </w:tabs>
        <w:autoSpaceDE w:val="0"/>
        <w:autoSpaceDN w:val="0"/>
        <w:adjustRightInd w:val="0"/>
        <w:rPr>
          <w:rFonts w:cs="Arial"/>
          <w:i/>
          <w:sz w:val="22"/>
          <w:szCs w:val="22"/>
          <w:lang w:eastAsia="es-NI"/>
        </w:rPr>
      </w:pPr>
    </w:p>
    <w:p w14:paraId="0F6B5390" w14:textId="77777777" w:rsidR="0003308B" w:rsidRPr="00640CFF" w:rsidRDefault="0003308B" w:rsidP="003B68DB">
      <w:pPr>
        <w:pStyle w:val="Prrafodelista"/>
        <w:numPr>
          <w:ilvl w:val="0"/>
          <w:numId w:val="133"/>
        </w:numPr>
        <w:tabs>
          <w:tab w:val="left" w:pos="142"/>
        </w:tabs>
        <w:autoSpaceDE w:val="0"/>
        <w:autoSpaceDN w:val="0"/>
        <w:adjustRightInd w:val="0"/>
        <w:ind w:left="502"/>
        <w:contextualSpacing/>
        <w:rPr>
          <w:rFonts w:cs="Arial"/>
          <w:i/>
          <w:sz w:val="22"/>
          <w:szCs w:val="22"/>
          <w:lang w:val="es-NI" w:eastAsia="es-NI"/>
        </w:rPr>
      </w:pPr>
      <w:r w:rsidRPr="00640CFF">
        <w:rPr>
          <w:rFonts w:cs="Arial"/>
          <w:sz w:val="22"/>
          <w:szCs w:val="22"/>
          <w:lang w:val="es-NI" w:eastAsia="es-NI"/>
        </w:rPr>
        <w:t xml:space="preserve">Los materiales de excavación y de construcción de la fosa deberán ser colocados donde no </w:t>
      </w:r>
      <w:r>
        <w:rPr>
          <w:rFonts w:cs="Arial"/>
          <w:sz w:val="22"/>
          <w:szCs w:val="22"/>
          <w:lang w:val="es-NI" w:eastAsia="es-NI"/>
        </w:rPr>
        <w:t>obstaculice el tránsito de los m</w:t>
      </w:r>
      <w:r w:rsidRPr="00640CFF">
        <w:rPr>
          <w:rFonts w:cs="Arial"/>
          <w:sz w:val="22"/>
          <w:szCs w:val="22"/>
          <w:lang w:val="es-NI" w:eastAsia="es-NI"/>
        </w:rPr>
        <w:t>iembros de la familia a beneficiar. Los materiales de excavación deben ser esparcidos convenientemente en el predio previa autorización del beneficiario.</w:t>
      </w:r>
    </w:p>
    <w:p w14:paraId="237176F6"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2ED75F6" w14:textId="77777777" w:rsidR="0003308B" w:rsidRPr="00640CFF" w:rsidRDefault="0003308B" w:rsidP="003B68DB">
      <w:pPr>
        <w:pStyle w:val="Prrafodelista"/>
        <w:numPr>
          <w:ilvl w:val="0"/>
          <w:numId w:val="133"/>
        </w:numPr>
        <w:tabs>
          <w:tab w:val="left" w:pos="142"/>
        </w:tabs>
        <w:autoSpaceDE w:val="0"/>
        <w:autoSpaceDN w:val="0"/>
        <w:adjustRightInd w:val="0"/>
        <w:ind w:left="502"/>
        <w:contextualSpacing/>
        <w:rPr>
          <w:rFonts w:cs="Arial"/>
          <w:i/>
          <w:sz w:val="22"/>
          <w:szCs w:val="22"/>
          <w:lang w:val="es-NI" w:eastAsia="es-NI"/>
        </w:rPr>
      </w:pPr>
      <w:r w:rsidRPr="00640CFF">
        <w:rPr>
          <w:rFonts w:cs="Arial"/>
          <w:sz w:val="22"/>
          <w:szCs w:val="22"/>
          <w:lang w:val="es-NI" w:eastAsia="es-NI"/>
        </w:rPr>
        <w:t>EL CONTRATISTA deberá prever qu</w:t>
      </w:r>
      <w:r>
        <w:rPr>
          <w:rFonts w:cs="Arial"/>
          <w:sz w:val="22"/>
          <w:szCs w:val="22"/>
          <w:lang w:val="es-NI" w:eastAsia="es-NI"/>
        </w:rPr>
        <w:t>é</w:t>
      </w:r>
      <w:r w:rsidRPr="00640CFF">
        <w:rPr>
          <w:rFonts w:cs="Arial"/>
          <w:sz w:val="22"/>
          <w:szCs w:val="22"/>
          <w:lang w:val="es-NI" w:eastAsia="es-NI"/>
        </w:rPr>
        <w:t xml:space="preserve"> durante el período de construcción, las fosas no recolecten agua pluvial </w:t>
      </w:r>
      <w:r>
        <w:rPr>
          <w:rFonts w:cs="Arial"/>
          <w:sz w:val="22"/>
          <w:szCs w:val="22"/>
          <w:lang w:val="es-NI" w:eastAsia="es-NI"/>
        </w:rPr>
        <w:t>o de cualquier otra fuente. El C</w:t>
      </w:r>
      <w:r w:rsidRPr="00640CFF">
        <w:rPr>
          <w:rFonts w:cs="Arial"/>
          <w:sz w:val="22"/>
          <w:szCs w:val="22"/>
          <w:lang w:val="es-NI" w:eastAsia="es-NI"/>
        </w:rPr>
        <w:t>ontratista removerá por su cuenta toda el agua que se colecte en las fosas por accidentes, negligencia o casos fortuitos.</w:t>
      </w:r>
    </w:p>
    <w:p w14:paraId="7AD339DA" w14:textId="77777777" w:rsidR="0003308B" w:rsidRDefault="0003308B" w:rsidP="0003308B">
      <w:pPr>
        <w:tabs>
          <w:tab w:val="left" w:pos="142"/>
        </w:tabs>
        <w:autoSpaceDE w:val="0"/>
        <w:autoSpaceDN w:val="0"/>
        <w:adjustRightInd w:val="0"/>
        <w:rPr>
          <w:rFonts w:cs="Arial"/>
          <w:i/>
          <w:sz w:val="22"/>
          <w:szCs w:val="22"/>
          <w:lang w:val="es-NI" w:eastAsia="es-NI"/>
        </w:rPr>
      </w:pPr>
    </w:p>
    <w:p w14:paraId="145F5815"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 DE PAREDES</w:t>
      </w:r>
    </w:p>
    <w:p w14:paraId="28C2E915"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874A118"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De acuerdo a la práctica constructiva que se exige para la construcción de paredes de bloque, ladrillo cuarterón, piedra cantera u otro material indicado, ésta deberá presentar aplomo y escuadra todos sus lados.</w:t>
      </w:r>
    </w:p>
    <w:p w14:paraId="0D550717"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11FDAA04"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Las paredes deben estar cimentadas según el caso: Para las letrinas semi</w:t>
      </w:r>
      <w:r>
        <w:rPr>
          <w:rFonts w:cs="Arial"/>
          <w:sz w:val="22"/>
          <w:szCs w:val="22"/>
          <w:lang w:val="es-NI" w:eastAsia="es-NI"/>
        </w:rPr>
        <w:t>-</w:t>
      </w:r>
      <w:r w:rsidRPr="00640CFF">
        <w:rPr>
          <w:rFonts w:cs="Arial"/>
          <w:sz w:val="22"/>
          <w:szCs w:val="22"/>
          <w:lang w:val="es-NI" w:eastAsia="es-NI"/>
        </w:rPr>
        <w:t>elevadas y elevadas deben llevar una losa de concreto simple en toda el área del foso con un espesor de 0.05 m.</w:t>
      </w:r>
    </w:p>
    <w:p w14:paraId="4B7018D2"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26750110"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71B6954E"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048AD105"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de letrinas semi-elevadas y elevadas todas las paredes de la fosa serán revestidas con repello arenillado en ambas caras (internas y externas) este costo debe de estar incluido en la propuesta.</w:t>
      </w:r>
    </w:p>
    <w:p w14:paraId="5C814DB5"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78F0EFD"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cajón de las escaleras en las letrinas semi-elevadas y elevadas llevaran refuerzo en sus esquinas, de hierro corrugado con diámetro de 3/8”, según se indica en los planos constructivos (elevaciones isométricas)</w:t>
      </w:r>
    </w:p>
    <w:p w14:paraId="763EF1E0"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7D202C7"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 Y COLOCACIÓN DE PLANCHA Y BANCO</w:t>
      </w:r>
    </w:p>
    <w:p w14:paraId="7EC1756A"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EC25DA4"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618F396A"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4E9A735F"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 Y COLOCACIÓN DE CASETA.</w:t>
      </w:r>
    </w:p>
    <w:p w14:paraId="1648D184"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029A6BCE"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 estructura de paredes y techo, así como el forro y cubierta será como se indica en los planos, conservando las medidas est</w:t>
      </w:r>
      <w:r>
        <w:rPr>
          <w:rFonts w:cs="Arial"/>
          <w:sz w:val="22"/>
          <w:szCs w:val="22"/>
          <w:lang w:val="es-NI" w:eastAsia="es-NI"/>
        </w:rPr>
        <w:t>á</w:t>
      </w:r>
      <w:r w:rsidRPr="00640CFF">
        <w:rPr>
          <w:rFonts w:cs="Arial"/>
          <w:sz w:val="22"/>
          <w:szCs w:val="22"/>
          <w:lang w:val="es-NI" w:eastAsia="es-NI"/>
        </w:rPr>
        <w:t>ndar y la calidad de los materiales.</w:t>
      </w:r>
    </w:p>
    <w:p w14:paraId="79266FCF"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29C5E53"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 colocación del forro del zinc no debe presentar bordes salientes, puntas corto punzantes, virutas que puedan ocasionar cortaduras a los usuarios.</w:t>
      </w:r>
    </w:p>
    <w:p w14:paraId="53DB65F3"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22E30647" w14:textId="77777777" w:rsidR="0003308B" w:rsidRPr="00640CFF" w:rsidRDefault="0003308B" w:rsidP="0003308B">
      <w:pPr>
        <w:tabs>
          <w:tab w:val="left" w:pos="142"/>
        </w:tabs>
        <w:autoSpaceDE w:val="0"/>
        <w:autoSpaceDN w:val="0"/>
        <w:adjustRightInd w:val="0"/>
        <w:rPr>
          <w:rFonts w:cs="Arial"/>
          <w:i/>
          <w:lang w:val="es-NI" w:eastAsia="es-NI"/>
        </w:rPr>
      </w:pPr>
      <w:r w:rsidRPr="00640CFF">
        <w:rPr>
          <w:rFonts w:cs="Arial"/>
          <w:sz w:val="22"/>
          <w:szCs w:val="22"/>
          <w:lang w:val="es-NI" w:eastAsia="es-NI"/>
        </w:rPr>
        <w:t>Al colocar el tubo de ventilación debe quedar sellado entre la cubierta de techo, de igual forma en la unión con el piso</w:t>
      </w:r>
      <w:r w:rsidRPr="00640CFF">
        <w:rPr>
          <w:rFonts w:cs="Arial"/>
          <w:lang w:val="es-NI" w:eastAsia="es-NI"/>
        </w:rPr>
        <w:t xml:space="preserve"> </w:t>
      </w:r>
      <w:r w:rsidRPr="00640CFF">
        <w:rPr>
          <w:rFonts w:cs="Arial"/>
          <w:sz w:val="22"/>
          <w:szCs w:val="22"/>
          <w:lang w:val="es-NI" w:eastAsia="es-NI"/>
        </w:rPr>
        <w:t>y este debe de terminar con una tee.</w:t>
      </w:r>
    </w:p>
    <w:p w14:paraId="7A7493F4"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55CE063"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lastRenderedPageBreak/>
        <w:t xml:space="preserve">En el caso de la estructura de madera, se podrá utilizar variedades de reconocido uso en la construcción, que tengan durabilidad mayor de 4 años, entre estas maderas están: Pino, Guanacaste, María, Cedro </w:t>
      </w:r>
      <w:r>
        <w:rPr>
          <w:rFonts w:cs="Arial"/>
          <w:sz w:val="22"/>
          <w:szCs w:val="22"/>
          <w:lang w:val="es-NI" w:eastAsia="es-NI"/>
        </w:rPr>
        <w:t>M</w:t>
      </w:r>
      <w:r w:rsidRPr="00640CFF">
        <w:rPr>
          <w:rFonts w:cs="Arial"/>
          <w:sz w:val="22"/>
          <w:szCs w:val="22"/>
          <w:lang w:val="es-NI" w:eastAsia="es-NI"/>
        </w:rPr>
        <w:t xml:space="preserve">acho, Rosita o Manteco, Carolillo, </w:t>
      </w:r>
      <w:r>
        <w:rPr>
          <w:rFonts w:cs="Arial"/>
          <w:sz w:val="22"/>
          <w:szCs w:val="22"/>
          <w:lang w:val="es-NI" w:eastAsia="es-NI"/>
        </w:rPr>
        <w:t>G</w:t>
      </w:r>
      <w:r w:rsidRPr="00640CFF">
        <w:rPr>
          <w:rFonts w:cs="Arial"/>
          <w:sz w:val="22"/>
          <w:szCs w:val="22"/>
          <w:lang w:val="es-NI" w:eastAsia="es-NI"/>
        </w:rPr>
        <w:t xml:space="preserve">enízaro, </w:t>
      </w:r>
      <w:r>
        <w:rPr>
          <w:rFonts w:cs="Arial"/>
          <w:sz w:val="22"/>
          <w:szCs w:val="22"/>
          <w:lang w:val="es-NI" w:eastAsia="es-NI"/>
        </w:rPr>
        <w:t>G</w:t>
      </w:r>
      <w:r w:rsidRPr="00640CFF">
        <w:rPr>
          <w:rFonts w:cs="Arial"/>
          <w:sz w:val="22"/>
          <w:szCs w:val="22"/>
          <w:lang w:val="es-NI" w:eastAsia="es-NI"/>
        </w:rPr>
        <w:t>avilán entre otras que no estén en veda.</w:t>
      </w:r>
    </w:p>
    <w:p w14:paraId="371933C5"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CE3E56E"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Todas las piezas deberán estar secas y tratadas con productos químicos contra comején. El acabado de la madera deberá ser repasada (acepillada y/o eliminar lo rústico y mechudo) en las caras expuestas.</w:t>
      </w:r>
    </w:p>
    <w:p w14:paraId="2DE59723"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BE3DBF3"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4F79E8FF"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12EC51CF"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la puerta se pintará un letrero con el nombre y logotipo del , con tamaño de 0.37cm x 0.47</w:t>
      </w:r>
      <w:r>
        <w:rPr>
          <w:rFonts w:cs="Arial"/>
          <w:sz w:val="22"/>
          <w:szCs w:val="22"/>
          <w:lang w:val="es-NI" w:eastAsia="es-NI"/>
        </w:rPr>
        <w:t xml:space="preserve"> </w:t>
      </w:r>
      <w:r w:rsidRPr="00640CFF">
        <w:rPr>
          <w:rFonts w:cs="Arial"/>
          <w:sz w:val="22"/>
          <w:szCs w:val="22"/>
          <w:lang w:val="es-NI" w:eastAsia="es-NI"/>
        </w:rPr>
        <w:t>cm, las letras para el N</w:t>
      </w:r>
      <w:r>
        <w:rPr>
          <w:rFonts w:cs="Arial"/>
          <w:sz w:val="22"/>
          <w:szCs w:val="22"/>
          <w:lang w:val="es-NI" w:eastAsia="es-NI"/>
        </w:rPr>
        <w:t>º</w:t>
      </w:r>
      <w:r w:rsidRPr="00640CFF">
        <w:rPr>
          <w:rFonts w:cs="Arial"/>
          <w:sz w:val="22"/>
          <w:szCs w:val="22"/>
          <w:lang w:val="es-NI" w:eastAsia="es-NI"/>
        </w:rPr>
        <w:t xml:space="preserve"> </w:t>
      </w:r>
      <w:r>
        <w:rPr>
          <w:rFonts w:cs="Arial"/>
          <w:sz w:val="22"/>
          <w:szCs w:val="22"/>
          <w:lang w:val="es-NI" w:eastAsia="es-NI"/>
        </w:rPr>
        <w:t>d</w:t>
      </w:r>
      <w:r w:rsidRPr="00640CFF">
        <w:rPr>
          <w:rFonts w:cs="Arial"/>
          <w:sz w:val="22"/>
          <w:szCs w:val="22"/>
          <w:lang w:val="es-NI" w:eastAsia="es-NI"/>
        </w:rPr>
        <w:t xml:space="preserve">e </w:t>
      </w:r>
      <w:r>
        <w:rPr>
          <w:rFonts w:cs="Arial"/>
          <w:sz w:val="22"/>
          <w:szCs w:val="22"/>
          <w:lang w:val="es-NI" w:eastAsia="es-NI"/>
        </w:rPr>
        <w:t>c</w:t>
      </w:r>
      <w:r w:rsidRPr="00640CFF">
        <w:rPr>
          <w:rFonts w:cs="Arial"/>
          <w:sz w:val="22"/>
          <w:szCs w:val="22"/>
          <w:lang w:val="es-NI" w:eastAsia="es-NI"/>
        </w:rPr>
        <w:t>ontrato y del código será la indicada en los planos. La pintura debe ser de aceite brillante conforme los colores establecidos en el detalle de planos. La puerta estará fijada conforme sea el caso:</w:t>
      </w:r>
    </w:p>
    <w:p w14:paraId="0F0B3D81"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3D434665"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b/>
          <w:bCs/>
          <w:sz w:val="22"/>
          <w:szCs w:val="22"/>
          <w:lang w:val="es-NI" w:eastAsia="es-NI"/>
        </w:rPr>
        <w:t xml:space="preserve">Estructura metálica: </w:t>
      </w:r>
      <w:r w:rsidRPr="00640CFF">
        <w:rPr>
          <w:rFonts w:cs="Arial"/>
          <w:sz w:val="22"/>
          <w:szCs w:val="22"/>
          <w:lang w:val="es-NI" w:eastAsia="es-NI"/>
        </w:rPr>
        <w:t>Se fijará con una bisagra artesanal formada por ejes de hierro de ¼” y tubo cuadrado negro soldado a la estructura.</w:t>
      </w:r>
    </w:p>
    <w:p w14:paraId="58F063EF"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1936C076"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Estructura de madera: Se fijará con 3 bisagras de 2 ½”* 2 ½” galvanizada, fijadas con tornillos golosos ranurados. Los tornillos deben quedar a tope y planos a la placa de bisagra.</w:t>
      </w:r>
    </w:p>
    <w:p w14:paraId="64823346"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71F5FE69"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Cuando la estructura de la caseta se indique de madera, la sección será de 2”x2” con una tolerancia máxima de 1-7/8”. La cubierta de techo será de una sola pieza, con la longitud indicada en los planos.</w:t>
      </w:r>
    </w:p>
    <w:p w14:paraId="052DF743"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4F737538"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Al concluir la construcción del brocal y la caseta de la letrina, se debe forjar un talud entre el terreno natural con el pie de pared, en los costados y la parte posterior para evitar la penetración de agua pluvial.</w:t>
      </w:r>
    </w:p>
    <w:p w14:paraId="1B64C1CF"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036BDB39" w14:textId="77777777" w:rsidR="0003308B" w:rsidRPr="00640CFF" w:rsidRDefault="0003308B" w:rsidP="003B68DB">
      <w:pPr>
        <w:pStyle w:val="Prrafodelista"/>
        <w:numPr>
          <w:ilvl w:val="1"/>
          <w:numId w:val="127"/>
        </w:numPr>
        <w:contextualSpacing/>
        <w:rPr>
          <w:rFonts w:cs="Arial"/>
          <w:b/>
          <w:bCs/>
          <w:i/>
          <w:iCs/>
          <w:sz w:val="22"/>
          <w:szCs w:val="22"/>
        </w:rPr>
      </w:pPr>
      <w:r w:rsidRPr="00640CFF">
        <w:rPr>
          <w:rFonts w:cs="Arial"/>
          <w:b/>
          <w:bCs/>
          <w:iCs/>
          <w:sz w:val="22"/>
          <w:szCs w:val="22"/>
        </w:rPr>
        <w:t>ESPECIFICACI</w:t>
      </w:r>
      <w:r>
        <w:rPr>
          <w:rFonts w:cs="Arial"/>
          <w:b/>
          <w:bCs/>
          <w:iCs/>
          <w:sz w:val="22"/>
          <w:szCs w:val="22"/>
        </w:rPr>
        <w:t>Ó</w:t>
      </w:r>
      <w:r w:rsidRPr="00640CFF">
        <w:rPr>
          <w:rFonts w:cs="Arial"/>
          <w:b/>
          <w:bCs/>
          <w:iCs/>
          <w:sz w:val="22"/>
          <w:szCs w:val="22"/>
        </w:rPr>
        <w:t>N T</w:t>
      </w:r>
      <w:r>
        <w:rPr>
          <w:rFonts w:cs="Arial"/>
          <w:b/>
          <w:bCs/>
          <w:iCs/>
          <w:sz w:val="22"/>
          <w:szCs w:val="22"/>
        </w:rPr>
        <w:t>É</w:t>
      </w:r>
      <w:r w:rsidRPr="00640CFF">
        <w:rPr>
          <w:rFonts w:cs="Arial"/>
          <w:b/>
          <w:bCs/>
          <w:iCs/>
          <w:sz w:val="22"/>
          <w:szCs w:val="22"/>
        </w:rPr>
        <w:t>CNICA DE LAVADEROS</w:t>
      </w:r>
    </w:p>
    <w:p w14:paraId="5BC5D5F3" w14:textId="77777777" w:rsidR="0003308B" w:rsidRPr="00640CFF" w:rsidRDefault="0003308B" w:rsidP="0003308B">
      <w:pPr>
        <w:pStyle w:val="Prrafodelista"/>
        <w:rPr>
          <w:rFonts w:cs="Arial"/>
          <w:b/>
          <w:bCs/>
          <w:i/>
          <w:iCs/>
          <w:sz w:val="22"/>
          <w:szCs w:val="22"/>
        </w:rPr>
      </w:pPr>
    </w:p>
    <w:p w14:paraId="4FADA69D"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Se suministrará un lavadero sencillo de concreto reforzado de 2500</w:t>
      </w:r>
      <w:r>
        <w:rPr>
          <w:rFonts w:cs="Arial"/>
          <w:sz w:val="22"/>
          <w:szCs w:val="22"/>
          <w:lang w:val="es-NI" w:eastAsia="es-NI"/>
        </w:rPr>
        <w:t xml:space="preserve"> </w:t>
      </w:r>
      <w:r w:rsidRPr="00640CFF">
        <w:rPr>
          <w:rFonts w:cs="Arial"/>
          <w:sz w:val="22"/>
          <w:szCs w:val="22"/>
          <w:lang w:val="es-NI" w:eastAsia="es-NI"/>
        </w:rPr>
        <w:t xml:space="preserve">psi formado de 2 partes 1 fondo estriado y una pileta de fabricación nacional este puede ser prefabricado o fabricado y debe cumplir con las dimensiones y especificaciones indicados en planos.  </w:t>
      </w:r>
    </w:p>
    <w:p w14:paraId="53DDBEFC"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7CF49D3D"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Tendrá dimensiones totales: ancho 0.63 m, largo 1.00 m, alto 0.83 m. </w:t>
      </w:r>
    </w:p>
    <w:p w14:paraId="4F41293E"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11D80193"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Dimensiones internas de la pila: 0.41m</w:t>
      </w:r>
      <w:r>
        <w:rPr>
          <w:rFonts w:cs="Arial"/>
          <w:sz w:val="22"/>
          <w:szCs w:val="22"/>
          <w:lang w:val="es-NI" w:eastAsia="es-NI"/>
        </w:rPr>
        <w:t xml:space="preserve"> </w:t>
      </w:r>
      <w:r w:rsidRPr="00640CFF">
        <w:rPr>
          <w:rFonts w:cs="Arial"/>
          <w:sz w:val="22"/>
          <w:szCs w:val="22"/>
          <w:lang w:val="es-NI" w:eastAsia="es-NI"/>
        </w:rPr>
        <w:t>x</w:t>
      </w:r>
      <w:r>
        <w:rPr>
          <w:rFonts w:cs="Arial"/>
          <w:sz w:val="22"/>
          <w:szCs w:val="22"/>
          <w:lang w:val="es-NI" w:eastAsia="es-NI"/>
        </w:rPr>
        <w:t xml:space="preserve"> </w:t>
      </w:r>
      <w:r w:rsidRPr="00640CFF">
        <w:rPr>
          <w:rFonts w:cs="Arial"/>
          <w:sz w:val="22"/>
          <w:szCs w:val="22"/>
          <w:lang w:val="es-NI" w:eastAsia="es-NI"/>
        </w:rPr>
        <w:t>0.59</w:t>
      </w:r>
      <w:r>
        <w:rPr>
          <w:rFonts w:cs="Arial"/>
          <w:sz w:val="22"/>
          <w:szCs w:val="22"/>
          <w:lang w:val="es-NI" w:eastAsia="es-NI"/>
        </w:rPr>
        <w:t xml:space="preserve"> </w:t>
      </w:r>
      <w:r w:rsidRPr="00640CFF">
        <w:rPr>
          <w:rFonts w:cs="Arial"/>
          <w:sz w:val="22"/>
          <w:szCs w:val="22"/>
          <w:lang w:val="es-NI" w:eastAsia="es-NI"/>
        </w:rPr>
        <w:t>m</w:t>
      </w:r>
      <w:r>
        <w:rPr>
          <w:rFonts w:cs="Arial"/>
          <w:sz w:val="22"/>
          <w:szCs w:val="22"/>
          <w:lang w:val="es-NI" w:eastAsia="es-NI"/>
        </w:rPr>
        <w:t xml:space="preserve"> </w:t>
      </w:r>
      <w:r w:rsidRPr="00640CFF">
        <w:rPr>
          <w:rFonts w:cs="Arial"/>
          <w:sz w:val="22"/>
          <w:szCs w:val="22"/>
          <w:lang w:val="es-NI" w:eastAsia="es-NI"/>
        </w:rPr>
        <w:t>x</w:t>
      </w:r>
      <w:r>
        <w:rPr>
          <w:rFonts w:cs="Arial"/>
          <w:sz w:val="22"/>
          <w:szCs w:val="22"/>
          <w:lang w:val="es-NI" w:eastAsia="es-NI"/>
        </w:rPr>
        <w:t xml:space="preserve"> </w:t>
      </w:r>
      <w:r w:rsidRPr="00640CFF">
        <w:rPr>
          <w:rFonts w:cs="Arial"/>
          <w:sz w:val="22"/>
          <w:szCs w:val="22"/>
          <w:lang w:val="es-NI" w:eastAsia="es-NI"/>
        </w:rPr>
        <w:t>0.32 m con capacidad máxima de 77.40</w:t>
      </w:r>
      <w:r>
        <w:rPr>
          <w:rFonts w:cs="Arial"/>
          <w:sz w:val="22"/>
          <w:szCs w:val="22"/>
          <w:lang w:val="es-NI" w:eastAsia="es-NI"/>
        </w:rPr>
        <w:t xml:space="preserve"> </w:t>
      </w:r>
      <w:r w:rsidRPr="00640CFF">
        <w:rPr>
          <w:rFonts w:cs="Arial"/>
          <w:sz w:val="22"/>
          <w:szCs w:val="22"/>
          <w:lang w:val="es-NI" w:eastAsia="es-NI"/>
        </w:rPr>
        <w:t>lts.</w:t>
      </w:r>
    </w:p>
    <w:p w14:paraId="26C113E9"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8258B43"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Dimensiones internas de la pila estriada: 0.59m</w:t>
      </w:r>
      <w:r>
        <w:rPr>
          <w:rFonts w:cs="Arial"/>
          <w:sz w:val="22"/>
          <w:szCs w:val="22"/>
          <w:lang w:val="es-NI" w:eastAsia="es-NI"/>
        </w:rPr>
        <w:t xml:space="preserve"> </w:t>
      </w:r>
      <w:r w:rsidRPr="00640CFF">
        <w:rPr>
          <w:rFonts w:cs="Arial"/>
          <w:sz w:val="22"/>
          <w:szCs w:val="22"/>
          <w:lang w:val="es-NI" w:eastAsia="es-NI"/>
        </w:rPr>
        <w:t>x</w:t>
      </w:r>
      <w:r>
        <w:rPr>
          <w:rFonts w:cs="Arial"/>
          <w:sz w:val="22"/>
          <w:szCs w:val="22"/>
          <w:lang w:val="es-NI" w:eastAsia="es-NI"/>
        </w:rPr>
        <w:t xml:space="preserve"> </w:t>
      </w:r>
      <w:r w:rsidRPr="00640CFF">
        <w:rPr>
          <w:rFonts w:cs="Arial"/>
          <w:sz w:val="22"/>
          <w:szCs w:val="22"/>
          <w:lang w:val="es-NI" w:eastAsia="es-NI"/>
        </w:rPr>
        <w:t>0.59 m x 0.21m.</w:t>
      </w:r>
    </w:p>
    <w:p w14:paraId="335C7D54"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7E40E03F"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Tendrá acabado general de fino liso de cemento portland, la estrillas serán formada con largo 0.49m, labrada con ondulación de 3/8”. </w:t>
      </w:r>
    </w:p>
    <w:p w14:paraId="19E7BDD6"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A6A7269"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10B424C7"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69F398B8"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PROTECCIÓN DE PROPIEDADES Y ESTRUCTURAS</w:t>
      </w:r>
    </w:p>
    <w:p w14:paraId="4136AE0D" w14:textId="77777777" w:rsidR="0003308B" w:rsidRPr="00640CFF" w:rsidRDefault="0003308B" w:rsidP="0003308B">
      <w:pPr>
        <w:tabs>
          <w:tab w:val="left" w:pos="142"/>
        </w:tabs>
        <w:autoSpaceDE w:val="0"/>
        <w:autoSpaceDN w:val="0"/>
        <w:adjustRightInd w:val="0"/>
        <w:rPr>
          <w:rFonts w:cs="Arial"/>
          <w:b/>
          <w:bCs/>
          <w:i/>
          <w:sz w:val="22"/>
          <w:szCs w:val="22"/>
          <w:lang w:val="es-NI" w:eastAsia="es-NI"/>
        </w:rPr>
      </w:pPr>
    </w:p>
    <w:p w14:paraId="69BFEF14"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EL CONTRATISTA deberá asumir todos los riesgos inherentes a la presencia o proximidad de paredes, viviendas, cercos, estructuras, servicios públicos y propiedades situadas en la vecindad de su trabajo. Será </w:t>
      </w:r>
      <w:r w:rsidRPr="00640CFF">
        <w:rPr>
          <w:rFonts w:cs="Arial"/>
          <w:sz w:val="22"/>
          <w:szCs w:val="22"/>
          <w:lang w:val="es-NI" w:eastAsia="es-NI"/>
        </w:rPr>
        <w:lastRenderedPageBreak/>
        <w:t>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0343C19D"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967545D"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MEDICIÓN DE LOS TRABAJOS Y FORMA DE PAGO</w:t>
      </w:r>
    </w:p>
    <w:p w14:paraId="6C1C53B1" w14:textId="77777777" w:rsidR="0003308B" w:rsidRPr="00640CFF" w:rsidRDefault="0003308B" w:rsidP="0003308B">
      <w:pPr>
        <w:tabs>
          <w:tab w:val="left" w:pos="142"/>
        </w:tabs>
        <w:autoSpaceDE w:val="0"/>
        <w:autoSpaceDN w:val="0"/>
        <w:adjustRightInd w:val="0"/>
        <w:rPr>
          <w:rFonts w:cs="Arial"/>
          <w:b/>
          <w:bCs/>
          <w:i/>
          <w:sz w:val="22"/>
          <w:szCs w:val="22"/>
          <w:lang w:val="es-NI" w:eastAsia="es-NI"/>
        </w:rPr>
      </w:pPr>
    </w:p>
    <w:p w14:paraId="15C3B154"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Todos los trabajos a ejecutarse dentro de los alcances estimados de obra, se pagarán conforme las unidades totalmente terminadas.</w:t>
      </w:r>
    </w:p>
    <w:p w14:paraId="0F769918" w14:textId="77777777" w:rsidR="0003308B" w:rsidRPr="00640CFF" w:rsidRDefault="0003308B" w:rsidP="0003308B">
      <w:pPr>
        <w:tabs>
          <w:tab w:val="left" w:pos="142"/>
        </w:tabs>
        <w:autoSpaceDE w:val="0"/>
        <w:autoSpaceDN w:val="0"/>
        <w:adjustRightInd w:val="0"/>
        <w:rPr>
          <w:rFonts w:cs="Arial"/>
          <w:i/>
          <w:sz w:val="22"/>
          <w:szCs w:val="22"/>
          <w:lang w:val="es-NI" w:eastAsia="es-NI"/>
        </w:rPr>
      </w:pPr>
    </w:p>
    <w:p w14:paraId="53DBDC53" w14:textId="77777777" w:rsidR="0003308B" w:rsidRPr="00640CFF" w:rsidRDefault="0003308B"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LIMPIEZA FINAL</w:t>
      </w:r>
    </w:p>
    <w:p w14:paraId="34A0353E" w14:textId="77777777" w:rsidR="0003308B" w:rsidRDefault="0003308B" w:rsidP="0003308B">
      <w:pPr>
        <w:tabs>
          <w:tab w:val="left" w:pos="142"/>
        </w:tabs>
        <w:autoSpaceDE w:val="0"/>
        <w:autoSpaceDN w:val="0"/>
        <w:adjustRightInd w:val="0"/>
        <w:rPr>
          <w:rFonts w:cs="Arial"/>
          <w:i/>
          <w:sz w:val="22"/>
          <w:szCs w:val="22"/>
          <w:lang w:val="es-NI" w:eastAsia="es-NI"/>
        </w:rPr>
      </w:pPr>
    </w:p>
    <w:p w14:paraId="0127643E" w14:textId="77777777" w:rsidR="0003308B" w:rsidRPr="00640CFF" w:rsidRDefault="0003308B" w:rsidP="0003308B">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una vez terminado el trabajo, eliminará toda basura material y sobrante de la ejecución de la obra, dejando en condición original y limpia el terreno y la letrina.</w:t>
      </w:r>
    </w:p>
    <w:p w14:paraId="5F3D5465" w14:textId="77777777" w:rsidR="0003308B" w:rsidRDefault="0003308B" w:rsidP="0003308B">
      <w:pPr>
        <w:tabs>
          <w:tab w:val="left" w:pos="142"/>
        </w:tabs>
        <w:autoSpaceDE w:val="0"/>
        <w:autoSpaceDN w:val="0"/>
        <w:adjustRightInd w:val="0"/>
        <w:rPr>
          <w:rFonts w:cs="Arial"/>
          <w:i/>
          <w:sz w:val="22"/>
          <w:szCs w:val="22"/>
          <w:lang w:val="es-NI" w:eastAsia="es-NI"/>
        </w:rPr>
      </w:pPr>
    </w:p>
    <w:p w14:paraId="4EDB9789" w14:textId="77777777" w:rsidR="0003308B" w:rsidRPr="00640CFF" w:rsidRDefault="0003308B" w:rsidP="003B68DB">
      <w:pPr>
        <w:pStyle w:val="Prrafodelista"/>
        <w:keepNext/>
        <w:numPr>
          <w:ilvl w:val="0"/>
          <w:numId w:val="127"/>
        </w:numPr>
        <w:tabs>
          <w:tab w:val="left" w:pos="142"/>
        </w:tabs>
        <w:ind w:left="426" w:right="-516" w:firstLine="0"/>
        <w:contextualSpacing/>
        <w:outlineLvl w:val="1"/>
        <w:rPr>
          <w:rFonts w:cs="Arial"/>
          <w:b/>
          <w:bCs/>
          <w:i/>
          <w:iCs/>
          <w:sz w:val="22"/>
          <w:szCs w:val="22"/>
        </w:rPr>
      </w:pPr>
      <w:r w:rsidRPr="00640CFF">
        <w:rPr>
          <w:rFonts w:cs="Arial"/>
          <w:b/>
          <w:bCs/>
          <w:iCs/>
          <w:sz w:val="22"/>
          <w:szCs w:val="22"/>
        </w:rPr>
        <w:t xml:space="preserve">         ESPECIFICACIONES TECNICAS GENERALES AMBIENTALES</w:t>
      </w:r>
    </w:p>
    <w:p w14:paraId="595136D6" w14:textId="77777777" w:rsidR="0003308B" w:rsidRPr="00640CFF" w:rsidRDefault="0003308B" w:rsidP="0003308B">
      <w:pPr>
        <w:tabs>
          <w:tab w:val="left" w:pos="142"/>
        </w:tabs>
        <w:autoSpaceDE w:val="0"/>
        <w:autoSpaceDN w:val="0"/>
        <w:adjustRightInd w:val="0"/>
        <w:ind w:left="-567"/>
        <w:rPr>
          <w:rFonts w:cs="Arial"/>
          <w:i/>
          <w:sz w:val="22"/>
          <w:szCs w:val="22"/>
          <w:lang w:val="es-NI" w:eastAsia="es-NI"/>
        </w:rPr>
      </w:pPr>
    </w:p>
    <w:p w14:paraId="1BB1A84E" w14:textId="77777777" w:rsidR="0003308B" w:rsidRPr="00640CFF" w:rsidRDefault="0003308B" w:rsidP="003B68DB">
      <w:pPr>
        <w:pStyle w:val="Prrafodelista"/>
        <w:keepNext/>
        <w:numPr>
          <w:ilvl w:val="1"/>
          <w:numId w:val="127"/>
        </w:numPr>
        <w:tabs>
          <w:tab w:val="left" w:pos="0"/>
        </w:tabs>
        <w:ind w:left="0" w:right="-516" w:firstLine="0"/>
        <w:contextualSpacing/>
        <w:outlineLvl w:val="1"/>
        <w:rPr>
          <w:rFonts w:cs="Arial"/>
          <w:b/>
          <w:bCs/>
          <w:i/>
          <w:iCs/>
          <w:sz w:val="22"/>
          <w:szCs w:val="22"/>
        </w:rPr>
      </w:pPr>
      <w:r w:rsidRPr="00640CFF">
        <w:rPr>
          <w:rFonts w:cs="Arial"/>
          <w:b/>
          <w:bCs/>
          <w:iCs/>
          <w:sz w:val="22"/>
          <w:szCs w:val="22"/>
        </w:rPr>
        <w:t>INTRODUCCI</w:t>
      </w:r>
      <w:r>
        <w:rPr>
          <w:rFonts w:cs="Arial"/>
          <w:b/>
          <w:bCs/>
          <w:iCs/>
          <w:sz w:val="22"/>
          <w:szCs w:val="22"/>
        </w:rPr>
        <w:t>Ó</w:t>
      </w:r>
      <w:r w:rsidRPr="00640CFF">
        <w:rPr>
          <w:rFonts w:cs="Arial"/>
          <w:b/>
          <w:bCs/>
          <w:iCs/>
          <w:sz w:val="22"/>
          <w:szCs w:val="22"/>
        </w:rPr>
        <w:t>N</w:t>
      </w:r>
    </w:p>
    <w:p w14:paraId="099275C8" w14:textId="77777777" w:rsidR="0003308B" w:rsidRPr="00640CFF" w:rsidRDefault="0003308B" w:rsidP="0003308B">
      <w:pPr>
        <w:tabs>
          <w:tab w:val="left" w:pos="142"/>
        </w:tabs>
        <w:rPr>
          <w:rFonts w:cs="Arial"/>
          <w:i/>
          <w:sz w:val="22"/>
          <w:szCs w:val="22"/>
          <w:lang w:val="es-MX"/>
        </w:rPr>
      </w:pPr>
    </w:p>
    <w:p w14:paraId="52BD2B08" w14:textId="77777777" w:rsidR="0003308B" w:rsidRPr="00640CFF" w:rsidRDefault="0003308B" w:rsidP="0003308B">
      <w:pPr>
        <w:tabs>
          <w:tab w:val="left" w:pos="142"/>
        </w:tabs>
        <w:rPr>
          <w:rFonts w:cs="Arial"/>
          <w:i/>
          <w:sz w:val="22"/>
          <w:szCs w:val="22"/>
          <w:lang w:val="es-MX"/>
        </w:rPr>
      </w:pPr>
      <w:r w:rsidRPr="00640CFF">
        <w:rPr>
          <w:rFonts w:cs="Arial"/>
          <w:sz w:val="22"/>
          <w:szCs w:val="22"/>
          <w:lang w:val="es-MX"/>
        </w:rPr>
        <w:t xml:space="preserve">El objetivo de estas especificaciones es servir como guía para garantizar que el diseño y la ejecución de las obras de los </w:t>
      </w:r>
      <w:r>
        <w:rPr>
          <w:rFonts w:cs="Arial"/>
          <w:sz w:val="22"/>
          <w:szCs w:val="22"/>
          <w:lang w:val="es-MX"/>
        </w:rPr>
        <w:t>p</w:t>
      </w:r>
      <w:r w:rsidRPr="00640CFF">
        <w:rPr>
          <w:rFonts w:cs="Arial"/>
          <w:sz w:val="22"/>
          <w:szCs w:val="22"/>
          <w:lang w:val="es-MX"/>
        </w:rPr>
        <w:t xml:space="preserve">royectos de </w:t>
      </w:r>
      <w:r>
        <w:rPr>
          <w:rFonts w:cs="Arial"/>
          <w:sz w:val="22"/>
          <w:szCs w:val="22"/>
          <w:lang w:val="es-MX"/>
        </w:rPr>
        <w:t>a</w:t>
      </w:r>
      <w:r w:rsidRPr="00640CFF">
        <w:rPr>
          <w:rFonts w:cs="Arial"/>
          <w:sz w:val="22"/>
          <w:szCs w:val="22"/>
          <w:lang w:val="es-MX"/>
        </w:rPr>
        <w:t xml:space="preserve">gua y </w:t>
      </w:r>
      <w:r>
        <w:rPr>
          <w:rFonts w:cs="Arial"/>
          <w:sz w:val="22"/>
          <w:szCs w:val="22"/>
          <w:lang w:val="es-MX"/>
        </w:rPr>
        <w:t>s</w:t>
      </w:r>
      <w:r w:rsidRPr="00640CFF">
        <w:rPr>
          <w:rFonts w:cs="Arial"/>
          <w:sz w:val="22"/>
          <w:szCs w:val="22"/>
          <w:lang w:val="es-MX"/>
        </w:rPr>
        <w:t>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3E28C6A5" w14:textId="77777777" w:rsidR="0003308B" w:rsidRPr="00640CFF" w:rsidRDefault="0003308B" w:rsidP="0003308B">
      <w:pPr>
        <w:tabs>
          <w:tab w:val="left" w:pos="142"/>
        </w:tabs>
        <w:rPr>
          <w:rFonts w:cs="Arial"/>
          <w:i/>
          <w:sz w:val="22"/>
          <w:szCs w:val="22"/>
          <w:lang w:val="es-MX"/>
        </w:rPr>
      </w:pPr>
    </w:p>
    <w:p w14:paraId="3D5981A2" w14:textId="77777777" w:rsidR="0003308B" w:rsidRPr="00640CFF" w:rsidRDefault="0003308B" w:rsidP="0003308B">
      <w:pPr>
        <w:tabs>
          <w:tab w:val="left" w:pos="142"/>
        </w:tabs>
        <w:rPr>
          <w:rFonts w:cs="Arial"/>
          <w:i/>
          <w:sz w:val="22"/>
          <w:szCs w:val="22"/>
          <w:lang w:val="es-MX"/>
        </w:rPr>
      </w:pPr>
      <w:r w:rsidRPr="00640CFF">
        <w:rPr>
          <w:rFonts w:cs="Arial"/>
          <w:sz w:val="22"/>
          <w:szCs w:val="22"/>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2DCEE797" w14:textId="77777777" w:rsidR="0003308B" w:rsidRPr="00640CFF" w:rsidRDefault="0003308B" w:rsidP="0003308B">
      <w:pPr>
        <w:pStyle w:val="Prrafodelista"/>
        <w:keepNext/>
        <w:tabs>
          <w:tab w:val="left" w:pos="0"/>
        </w:tabs>
        <w:ind w:left="0" w:right="-516"/>
        <w:outlineLvl w:val="1"/>
        <w:rPr>
          <w:rFonts w:cs="Arial"/>
          <w:b/>
          <w:bCs/>
          <w:i/>
          <w:iCs/>
          <w:sz w:val="22"/>
          <w:szCs w:val="22"/>
        </w:rPr>
      </w:pPr>
    </w:p>
    <w:p w14:paraId="7597471F" w14:textId="77777777" w:rsidR="0003308B" w:rsidRPr="00640CFF" w:rsidRDefault="0003308B" w:rsidP="003B68DB">
      <w:pPr>
        <w:pStyle w:val="Prrafodelista"/>
        <w:keepNext/>
        <w:numPr>
          <w:ilvl w:val="1"/>
          <w:numId w:val="127"/>
        </w:numPr>
        <w:tabs>
          <w:tab w:val="left" w:pos="0"/>
        </w:tabs>
        <w:ind w:left="0" w:right="-516" w:firstLine="0"/>
        <w:contextualSpacing/>
        <w:outlineLvl w:val="1"/>
        <w:rPr>
          <w:rFonts w:cs="Arial"/>
          <w:b/>
          <w:bCs/>
          <w:i/>
          <w:iCs/>
          <w:sz w:val="22"/>
          <w:szCs w:val="22"/>
        </w:rPr>
      </w:pPr>
      <w:r w:rsidRPr="00640CFF">
        <w:rPr>
          <w:rFonts w:cs="Arial"/>
          <w:b/>
          <w:bCs/>
          <w:iCs/>
          <w:sz w:val="22"/>
          <w:szCs w:val="22"/>
        </w:rPr>
        <w:t>ESPECIFICACIONES TÉCNICAS AMBIENTALES GENERALES PARA LOS PROYECTOS</w:t>
      </w:r>
      <w:r>
        <w:rPr>
          <w:rFonts w:cs="Arial"/>
          <w:b/>
          <w:bCs/>
          <w:iCs/>
          <w:sz w:val="22"/>
          <w:szCs w:val="22"/>
        </w:rPr>
        <w:t xml:space="preserve"> NUEVO </w:t>
      </w:r>
    </w:p>
    <w:p w14:paraId="4790641A" w14:textId="77777777" w:rsidR="0003308B" w:rsidRPr="00640CFF" w:rsidRDefault="0003308B" w:rsidP="0003308B">
      <w:pPr>
        <w:tabs>
          <w:tab w:val="left" w:pos="142"/>
        </w:tabs>
        <w:rPr>
          <w:rFonts w:cs="Arial"/>
          <w:i/>
          <w:sz w:val="22"/>
          <w:szCs w:val="22"/>
          <w:lang w:val="es-MX"/>
        </w:rPr>
      </w:pPr>
    </w:p>
    <w:p w14:paraId="095D0C65" w14:textId="77777777" w:rsidR="0003308B" w:rsidRPr="00640CFF" w:rsidRDefault="0003308B" w:rsidP="0003308B">
      <w:pPr>
        <w:tabs>
          <w:tab w:val="left" w:pos="142"/>
        </w:tabs>
        <w:rPr>
          <w:rFonts w:cs="Arial"/>
          <w:b/>
          <w:i/>
          <w:sz w:val="22"/>
          <w:szCs w:val="22"/>
        </w:rPr>
      </w:pPr>
      <w:r w:rsidRPr="00640CFF">
        <w:rPr>
          <w:rFonts w:cs="Arial"/>
          <w:b/>
          <w:sz w:val="22"/>
          <w:szCs w:val="22"/>
        </w:rPr>
        <w:t>Disposición de materiales y residuos</w:t>
      </w:r>
    </w:p>
    <w:p w14:paraId="51B13517" w14:textId="77777777" w:rsidR="0003308B" w:rsidRPr="00640CFF" w:rsidRDefault="0003308B" w:rsidP="0003308B">
      <w:pPr>
        <w:tabs>
          <w:tab w:val="left" w:pos="142"/>
        </w:tabs>
        <w:rPr>
          <w:rFonts w:cs="Arial"/>
          <w:b/>
          <w:i/>
          <w:sz w:val="22"/>
          <w:szCs w:val="22"/>
        </w:rPr>
      </w:pPr>
    </w:p>
    <w:p w14:paraId="164E8841"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Antes de iniciar actividades, se debe delimitar el área a intervenir y señalizar a través de barreras, estacas, cintas reflectoras, entre otras.</w:t>
      </w:r>
    </w:p>
    <w:p w14:paraId="5DCDD15F"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Una vez generado el material (escombros) de excavación o demolición se debe clasificar, almacenar y resguardar inmediatamente del frente de la obra y una vez finalizada ser retirados a sitios autorizados.</w:t>
      </w:r>
    </w:p>
    <w:p w14:paraId="3BE60659"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Cubrir los materiales acopiados o producto de la excavación con lonas o plástico para evitar el arrastre de sedimentos al cuerpo de agua e impedir la dispersión del material por acción del viento.</w:t>
      </w:r>
    </w:p>
    <w:p w14:paraId="028E6033"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El contratista no puede directamente o a través de terceras personas, disponer de estos residuos en sitios diferentes que los establecidos para ello y autorizados por el supervisor.</w:t>
      </w:r>
    </w:p>
    <w:p w14:paraId="2B0D2C2B"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No se permitirá botar los residuos en ríos o quebradas, calzadas, canales de aguas pluviales o cauces, cuerpos de agua o cualquier otro sitio donde puedan ser causa de contaminación del ambiente o deterioro del paisaje.</w:t>
      </w:r>
    </w:p>
    <w:p w14:paraId="33642479"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No disponer en cauces o cursos los sobrantes de mezclas de concreto.</w:t>
      </w:r>
    </w:p>
    <w:p w14:paraId="23D7FEF0"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lastRenderedPageBreak/>
        <w:t>Se recomienda en separar el papel y la madera que pueda ser utilizados como combustible, la tierra sobrante de excavación que se pueda disponer como relleno, los metales y los plásticos que se puedan reciclar.</w:t>
      </w:r>
    </w:p>
    <w:p w14:paraId="305C13E1"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57737EA5"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Al finalizar cada actividad de la obra en el día, los sitios de las obras y sus zonas contiguas deberán estar en óptimas condiciones de limpieza y libre de cualquier tipo de material de desecho.</w:t>
      </w:r>
    </w:p>
    <w:p w14:paraId="04CE6CF7"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Las zonas de paso, salidas y vías de circulación de los lugares de trabajo deberán permanecer libres de obstáculos, de forma que sea posible utilizarlas sin dificultad.</w:t>
      </w:r>
    </w:p>
    <w:p w14:paraId="7E36FE38"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Se prohíbe la utilización de las zonas verdes y el espacio público para la disposición temporal de materiales sobrantes, producto de las actividades constructivas de los proyectos.</w:t>
      </w:r>
    </w:p>
    <w:p w14:paraId="1EC396EB" w14:textId="77777777" w:rsidR="0003308B" w:rsidRPr="00640CFF" w:rsidRDefault="0003308B"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 xml:space="preserve">El contratista debe contar con materiales aptos para la mezcla de cemento como: lona de plástico, batea, entre otros.   </w:t>
      </w:r>
    </w:p>
    <w:p w14:paraId="5081707D" w14:textId="77777777" w:rsidR="0003308B" w:rsidRPr="00640CFF" w:rsidRDefault="0003308B" w:rsidP="0003308B">
      <w:pPr>
        <w:tabs>
          <w:tab w:val="left" w:pos="142"/>
        </w:tabs>
        <w:ind w:left="720"/>
        <w:rPr>
          <w:rFonts w:cs="Arial"/>
          <w:i/>
          <w:sz w:val="22"/>
          <w:szCs w:val="22"/>
        </w:rPr>
      </w:pPr>
    </w:p>
    <w:p w14:paraId="10C55151" w14:textId="77777777" w:rsidR="0003308B" w:rsidRPr="00640CFF" w:rsidRDefault="0003308B" w:rsidP="0003308B">
      <w:pPr>
        <w:tabs>
          <w:tab w:val="left" w:pos="142"/>
        </w:tabs>
        <w:ind w:left="720"/>
        <w:rPr>
          <w:rFonts w:cs="Arial"/>
          <w:i/>
          <w:sz w:val="22"/>
          <w:szCs w:val="22"/>
        </w:rPr>
      </w:pPr>
    </w:p>
    <w:p w14:paraId="7CCD4519" w14:textId="77777777" w:rsidR="0003308B" w:rsidRPr="00640CFF" w:rsidRDefault="0003308B" w:rsidP="0003308B">
      <w:pPr>
        <w:tabs>
          <w:tab w:val="left" w:pos="142"/>
        </w:tabs>
        <w:rPr>
          <w:rFonts w:cs="Arial"/>
          <w:b/>
          <w:i/>
          <w:sz w:val="22"/>
          <w:szCs w:val="22"/>
        </w:rPr>
      </w:pPr>
      <w:r w:rsidRPr="00640CFF">
        <w:rPr>
          <w:rFonts w:cs="Arial"/>
          <w:b/>
          <w:sz w:val="22"/>
          <w:szCs w:val="22"/>
        </w:rPr>
        <w:t>Disposiciones de Excretas</w:t>
      </w:r>
    </w:p>
    <w:p w14:paraId="69E0C485" w14:textId="77777777" w:rsidR="0003308B" w:rsidRPr="00640CFF" w:rsidRDefault="0003308B" w:rsidP="0003308B">
      <w:pPr>
        <w:tabs>
          <w:tab w:val="left" w:pos="142"/>
        </w:tabs>
        <w:rPr>
          <w:rFonts w:cs="Arial"/>
          <w:b/>
          <w:i/>
          <w:sz w:val="22"/>
          <w:szCs w:val="22"/>
        </w:rPr>
      </w:pPr>
    </w:p>
    <w:p w14:paraId="6EE006A5" w14:textId="77777777" w:rsidR="0003308B" w:rsidRPr="00640CFF" w:rsidRDefault="0003308B" w:rsidP="003B68DB">
      <w:pPr>
        <w:pStyle w:val="Prrafodelista"/>
        <w:numPr>
          <w:ilvl w:val="0"/>
          <w:numId w:val="135"/>
        </w:numPr>
        <w:tabs>
          <w:tab w:val="left" w:pos="142"/>
        </w:tabs>
        <w:contextualSpacing/>
        <w:rPr>
          <w:rFonts w:cs="Arial"/>
          <w:i/>
          <w:sz w:val="22"/>
          <w:szCs w:val="22"/>
          <w:lang w:val="es-MX"/>
        </w:rPr>
      </w:pPr>
      <w:r w:rsidRPr="00640CFF">
        <w:rPr>
          <w:rFonts w:cs="Arial"/>
          <w:sz w:val="22"/>
          <w:szCs w:val="22"/>
        </w:rPr>
        <w:t>Si el sitio de las obras no dispone de sistema sanitario que pueda ser utilizado por los trabajadores del contratista, el contratista deberá construir una letrina para este fin. El tipo de letrina a construir dependerá de la zona donde se ubicará.</w:t>
      </w:r>
    </w:p>
    <w:p w14:paraId="236BCA19" w14:textId="77777777" w:rsidR="0003308B" w:rsidRPr="00640CFF" w:rsidRDefault="0003308B" w:rsidP="0003308B">
      <w:pPr>
        <w:tabs>
          <w:tab w:val="left" w:pos="142"/>
        </w:tabs>
        <w:rPr>
          <w:rFonts w:cs="Arial"/>
          <w:i/>
          <w:sz w:val="22"/>
          <w:szCs w:val="22"/>
        </w:rPr>
      </w:pPr>
    </w:p>
    <w:p w14:paraId="7934F91F" w14:textId="77777777" w:rsidR="0003308B" w:rsidRPr="00640CFF" w:rsidRDefault="0003308B" w:rsidP="0003308B">
      <w:pPr>
        <w:tabs>
          <w:tab w:val="left" w:pos="142"/>
        </w:tabs>
        <w:rPr>
          <w:rFonts w:cs="Arial"/>
          <w:b/>
          <w:i/>
          <w:iCs/>
          <w:sz w:val="22"/>
          <w:szCs w:val="22"/>
        </w:rPr>
      </w:pPr>
      <w:r w:rsidRPr="00640CFF">
        <w:rPr>
          <w:rFonts w:cs="Arial"/>
          <w:b/>
          <w:iCs/>
          <w:sz w:val="22"/>
          <w:szCs w:val="22"/>
        </w:rPr>
        <w:t>Residuos Líquidos</w:t>
      </w:r>
    </w:p>
    <w:p w14:paraId="00460484" w14:textId="77777777" w:rsidR="0003308B" w:rsidRPr="00640CFF" w:rsidRDefault="0003308B" w:rsidP="0003308B">
      <w:pPr>
        <w:tabs>
          <w:tab w:val="left" w:pos="142"/>
        </w:tabs>
        <w:rPr>
          <w:rFonts w:cs="Arial"/>
          <w:b/>
          <w:i/>
          <w:iCs/>
          <w:sz w:val="22"/>
          <w:szCs w:val="22"/>
        </w:rPr>
      </w:pPr>
    </w:p>
    <w:p w14:paraId="1927DEF3" w14:textId="77777777" w:rsidR="0003308B" w:rsidRPr="00640CFF" w:rsidRDefault="0003308B" w:rsidP="003B68DB">
      <w:pPr>
        <w:pStyle w:val="Prrafodelista"/>
        <w:numPr>
          <w:ilvl w:val="0"/>
          <w:numId w:val="135"/>
        </w:numPr>
        <w:tabs>
          <w:tab w:val="left" w:pos="142"/>
        </w:tabs>
        <w:contextualSpacing/>
        <w:rPr>
          <w:rFonts w:cs="Arial"/>
          <w:i/>
          <w:sz w:val="22"/>
          <w:szCs w:val="22"/>
          <w:lang w:val="es-MX"/>
        </w:rPr>
      </w:pPr>
      <w:r w:rsidRPr="00640CFF">
        <w:rPr>
          <w:rFonts w:cs="Arial"/>
          <w:sz w:val="22"/>
          <w:szCs w:val="22"/>
        </w:rPr>
        <w:t xml:space="preserve">Los residuos líquidos como grasas, aceites y pintura con base de aceite, se les deberán de almacenar en pequeños envases herméticos y disponerlos en vertederos en la municipalidad.  </w:t>
      </w:r>
    </w:p>
    <w:p w14:paraId="29A0BD16" w14:textId="77777777" w:rsidR="0003308B" w:rsidRPr="00640CFF" w:rsidRDefault="0003308B" w:rsidP="0003308B">
      <w:pPr>
        <w:tabs>
          <w:tab w:val="left" w:pos="142"/>
        </w:tabs>
        <w:ind w:left="720"/>
        <w:rPr>
          <w:rFonts w:cs="Arial"/>
          <w:i/>
          <w:sz w:val="22"/>
          <w:szCs w:val="22"/>
          <w:lang w:val="es-MX"/>
        </w:rPr>
      </w:pPr>
    </w:p>
    <w:p w14:paraId="1682CEAA" w14:textId="77777777" w:rsidR="0003308B" w:rsidRPr="00640CFF" w:rsidRDefault="0003308B" w:rsidP="003B68DB">
      <w:pPr>
        <w:pStyle w:val="Prrafodelista"/>
        <w:numPr>
          <w:ilvl w:val="0"/>
          <w:numId w:val="135"/>
        </w:numPr>
        <w:tabs>
          <w:tab w:val="left" w:pos="142"/>
        </w:tabs>
        <w:contextualSpacing/>
        <w:rPr>
          <w:rFonts w:cs="Arial"/>
          <w:i/>
          <w:sz w:val="22"/>
          <w:szCs w:val="22"/>
          <w:lang w:val="es-MX"/>
        </w:rPr>
      </w:pPr>
      <w:r w:rsidRPr="00640CFF">
        <w:rPr>
          <w:rFonts w:cs="Arial"/>
          <w:sz w:val="22"/>
          <w:szCs w:val="22"/>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333F1B5D" w14:textId="77777777" w:rsidR="0003308B" w:rsidRPr="00640CFF" w:rsidRDefault="0003308B" w:rsidP="0003308B">
      <w:pPr>
        <w:pStyle w:val="Prrafodelista"/>
        <w:tabs>
          <w:tab w:val="left" w:pos="142"/>
        </w:tabs>
        <w:rPr>
          <w:rFonts w:cs="Arial"/>
          <w:i/>
          <w:sz w:val="22"/>
          <w:szCs w:val="22"/>
          <w:lang w:val="es-MX"/>
        </w:rPr>
      </w:pPr>
    </w:p>
    <w:p w14:paraId="17097CD4" w14:textId="77777777" w:rsidR="0003308B" w:rsidRPr="00640CFF" w:rsidRDefault="0003308B" w:rsidP="0003308B">
      <w:pPr>
        <w:tabs>
          <w:tab w:val="left" w:pos="142"/>
        </w:tabs>
        <w:rPr>
          <w:rFonts w:cs="Arial"/>
          <w:b/>
          <w:i/>
          <w:iCs/>
          <w:sz w:val="22"/>
          <w:szCs w:val="22"/>
        </w:rPr>
      </w:pPr>
      <w:r w:rsidRPr="00640CFF">
        <w:rPr>
          <w:rFonts w:cs="Arial"/>
          <w:b/>
          <w:iCs/>
          <w:sz w:val="22"/>
          <w:szCs w:val="22"/>
        </w:rPr>
        <w:t>Residuos de Tierra Sobrante</w:t>
      </w:r>
    </w:p>
    <w:p w14:paraId="620693C6" w14:textId="77777777" w:rsidR="0003308B" w:rsidRPr="00640CFF" w:rsidRDefault="0003308B" w:rsidP="0003308B">
      <w:pPr>
        <w:tabs>
          <w:tab w:val="left" w:pos="142"/>
        </w:tabs>
        <w:rPr>
          <w:rFonts w:cs="Arial"/>
          <w:b/>
          <w:i/>
          <w:iCs/>
          <w:sz w:val="22"/>
          <w:szCs w:val="22"/>
        </w:rPr>
      </w:pPr>
    </w:p>
    <w:p w14:paraId="31600D10" w14:textId="77777777" w:rsidR="0003308B" w:rsidRPr="00640CFF" w:rsidRDefault="0003308B" w:rsidP="003B68DB">
      <w:pPr>
        <w:pStyle w:val="Prrafodelista"/>
        <w:numPr>
          <w:ilvl w:val="0"/>
          <w:numId w:val="136"/>
        </w:numPr>
        <w:tabs>
          <w:tab w:val="left" w:pos="142"/>
        </w:tabs>
        <w:contextualSpacing/>
        <w:rPr>
          <w:rFonts w:cs="Arial"/>
          <w:i/>
          <w:sz w:val="22"/>
          <w:szCs w:val="22"/>
          <w:lang w:val="es-MX"/>
        </w:rPr>
      </w:pPr>
      <w:r w:rsidRPr="00640CFF">
        <w:rPr>
          <w:rFonts w:cs="Arial"/>
          <w:sz w:val="22"/>
          <w:szCs w:val="22"/>
        </w:rPr>
        <w:t>Los residuos de tierra sobrante deben utilizarse, cuando sea posible como relleno, de lo contrario deberá disponerse como material sólido. Por ningún motivo se permitirá botar los residuos en ríos o quebradas, calzadas públicas, canales de aguas pluviales o cauces, cuerpos de agua o cualquier otro sitio donde puedan ser causa de contaminación del ambiente o deterioro del paisaje.</w:t>
      </w:r>
    </w:p>
    <w:p w14:paraId="4CE1FB80" w14:textId="77777777" w:rsidR="0003308B" w:rsidRPr="00640CFF" w:rsidRDefault="0003308B" w:rsidP="0003308B">
      <w:pPr>
        <w:tabs>
          <w:tab w:val="left" w:pos="142"/>
        </w:tabs>
        <w:ind w:left="720"/>
        <w:rPr>
          <w:rFonts w:cs="Arial"/>
          <w:i/>
          <w:sz w:val="22"/>
          <w:szCs w:val="22"/>
          <w:lang w:val="es-MX"/>
        </w:rPr>
      </w:pPr>
    </w:p>
    <w:p w14:paraId="147A2B6E" w14:textId="77777777" w:rsidR="0003308B" w:rsidRDefault="0003308B" w:rsidP="0003308B">
      <w:pPr>
        <w:tabs>
          <w:tab w:val="left" w:pos="142"/>
        </w:tabs>
        <w:rPr>
          <w:rFonts w:cs="Arial"/>
          <w:i/>
          <w:sz w:val="22"/>
          <w:szCs w:val="22"/>
        </w:rPr>
      </w:pPr>
    </w:p>
    <w:p w14:paraId="2DE0CAD7" w14:textId="77777777" w:rsidR="0003308B" w:rsidRPr="00640CFF" w:rsidRDefault="0003308B" w:rsidP="0003308B">
      <w:pPr>
        <w:tabs>
          <w:tab w:val="left" w:pos="142"/>
        </w:tabs>
        <w:rPr>
          <w:rFonts w:cs="Arial"/>
          <w:b/>
          <w:i/>
          <w:iCs/>
          <w:sz w:val="22"/>
          <w:szCs w:val="22"/>
        </w:rPr>
      </w:pPr>
      <w:r w:rsidRPr="00640CFF">
        <w:rPr>
          <w:rFonts w:cs="Arial"/>
          <w:b/>
          <w:iCs/>
          <w:sz w:val="22"/>
          <w:szCs w:val="22"/>
        </w:rPr>
        <w:t>Apertura de Zanjas</w:t>
      </w:r>
    </w:p>
    <w:p w14:paraId="23D27692" w14:textId="77777777" w:rsidR="0003308B" w:rsidRPr="00640CFF" w:rsidRDefault="0003308B" w:rsidP="0003308B">
      <w:pPr>
        <w:tabs>
          <w:tab w:val="left" w:pos="142"/>
        </w:tabs>
        <w:rPr>
          <w:rFonts w:cs="Arial"/>
          <w:b/>
          <w:i/>
          <w:iCs/>
          <w:sz w:val="22"/>
          <w:szCs w:val="22"/>
        </w:rPr>
      </w:pPr>
    </w:p>
    <w:p w14:paraId="5C1B780F" w14:textId="77777777" w:rsidR="0003308B" w:rsidRPr="00640CFF" w:rsidRDefault="0003308B" w:rsidP="003B68DB">
      <w:pPr>
        <w:pStyle w:val="Prrafodelista"/>
        <w:numPr>
          <w:ilvl w:val="0"/>
          <w:numId w:val="139"/>
        </w:numPr>
        <w:tabs>
          <w:tab w:val="left" w:pos="142"/>
        </w:tabs>
        <w:contextualSpacing/>
        <w:rPr>
          <w:rFonts w:cs="Arial"/>
          <w:b/>
          <w:i/>
          <w:iCs/>
          <w:sz w:val="22"/>
          <w:szCs w:val="22"/>
        </w:rPr>
      </w:pPr>
      <w:r w:rsidRPr="00640CFF">
        <w:rPr>
          <w:rFonts w:cs="Arial"/>
          <w:sz w:val="22"/>
          <w:szCs w:val="22"/>
        </w:rPr>
        <w:t>Las zanjas que se excaven para la instalación de las tuberías de agua potable o servida, tanques sépticos y pozos de absorción, deberán señalizarse con cinta de color naranja internacional, para evitar accidentes.</w:t>
      </w:r>
    </w:p>
    <w:p w14:paraId="24D9BA0F" w14:textId="77777777" w:rsidR="0003308B" w:rsidRPr="00640CFF" w:rsidRDefault="0003308B" w:rsidP="003B68DB">
      <w:pPr>
        <w:pStyle w:val="Prrafodelista"/>
        <w:numPr>
          <w:ilvl w:val="0"/>
          <w:numId w:val="139"/>
        </w:numPr>
        <w:tabs>
          <w:tab w:val="left" w:pos="142"/>
        </w:tabs>
        <w:contextualSpacing/>
        <w:rPr>
          <w:rFonts w:cs="Arial"/>
          <w:i/>
          <w:sz w:val="22"/>
          <w:szCs w:val="22"/>
          <w:lang w:val="es-MX"/>
        </w:rPr>
      </w:pPr>
      <w:r w:rsidRPr="00640CFF">
        <w:rPr>
          <w:rFonts w:cs="Arial"/>
          <w:sz w:val="22"/>
          <w:szCs w:val="22"/>
        </w:rPr>
        <w:t>El material excavado se deberá depositar al lado de la misma y cubrir con plástico durante la época lluviosa, para evitar el arrastre de material por la escorrentía.</w:t>
      </w:r>
    </w:p>
    <w:p w14:paraId="4FC3866C" w14:textId="77777777" w:rsidR="0003308B" w:rsidRPr="00640CFF" w:rsidRDefault="0003308B" w:rsidP="003B68DB">
      <w:pPr>
        <w:pStyle w:val="Prrafodelista"/>
        <w:numPr>
          <w:ilvl w:val="0"/>
          <w:numId w:val="139"/>
        </w:numPr>
        <w:tabs>
          <w:tab w:val="left" w:pos="142"/>
        </w:tabs>
        <w:contextualSpacing/>
        <w:rPr>
          <w:rFonts w:cs="Arial"/>
          <w:i/>
          <w:sz w:val="22"/>
          <w:szCs w:val="22"/>
          <w:lang w:val="es-MX"/>
        </w:rPr>
      </w:pPr>
      <w:r w:rsidRPr="00640CFF">
        <w:rPr>
          <w:rFonts w:cs="Arial"/>
          <w:sz w:val="22"/>
          <w:szCs w:val="22"/>
        </w:rPr>
        <w:t>En época de sequía, se deberá humedecer el material para minimizar la producción de polvo.</w:t>
      </w:r>
    </w:p>
    <w:p w14:paraId="1B08C730" w14:textId="77777777" w:rsidR="0003308B" w:rsidRPr="00640CFF" w:rsidRDefault="0003308B" w:rsidP="003B68DB">
      <w:pPr>
        <w:pStyle w:val="Default"/>
        <w:numPr>
          <w:ilvl w:val="0"/>
          <w:numId w:val="139"/>
        </w:numPr>
        <w:tabs>
          <w:tab w:val="left" w:pos="142"/>
        </w:tabs>
        <w:jc w:val="both"/>
        <w:rPr>
          <w:rFonts w:ascii="Arial" w:hAnsi="Arial" w:cs="Arial"/>
          <w:color w:val="auto"/>
          <w:sz w:val="22"/>
          <w:szCs w:val="22"/>
        </w:rPr>
      </w:pPr>
      <w:r w:rsidRPr="00640CFF">
        <w:rPr>
          <w:rFonts w:ascii="Arial" w:hAnsi="Arial" w:cs="Arial"/>
          <w:color w:val="auto"/>
          <w:sz w:val="22"/>
          <w:szCs w:val="22"/>
        </w:rPr>
        <w:t xml:space="preserve">Si el material excavado es inestable, se deberán entibar las zanjas independientemente de la altura. Si el material es estable, se entibará a partir de 2.50 metros. </w:t>
      </w:r>
    </w:p>
    <w:p w14:paraId="3ACE29C5" w14:textId="77777777" w:rsidR="0003308B" w:rsidRPr="00640CFF" w:rsidRDefault="0003308B" w:rsidP="0003308B">
      <w:pPr>
        <w:tabs>
          <w:tab w:val="left" w:pos="142"/>
        </w:tabs>
        <w:rPr>
          <w:rFonts w:cs="Arial"/>
          <w:b/>
          <w:i/>
          <w:iCs/>
          <w:sz w:val="22"/>
          <w:szCs w:val="22"/>
        </w:rPr>
      </w:pPr>
      <w:r w:rsidRPr="00640CFF">
        <w:rPr>
          <w:rFonts w:cs="Arial"/>
          <w:b/>
          <w:iCs/>
          <w:sz w:val="22"/>
          <w:szCs w:val="22"/>
        </w:rPr>
        <w:lastRenderedPageBreak/>
        <w:t>Tala de árboles y Reemplazo</w:t>
      </w:r>
    </w:p>
    <w:p w14:paraId="1225404A" w14:textId="77777777" w:rsidR="0003308B" w:rsidRPr="00640CFF" w:rsidRDefault="0003308B" w:rsidP="0003308B">
      <w:pPr>
        <w:tabs>
          <w:tab w:val="left" w:pos="142"/>
        </w:tabs>
        <w:rPr>
          <w:rFonts w:cs="Arial"/>
          <w:b/>
          <w:i/>
          <w:iCs/>
          <w:sz w:val="22"/>
          <w:szCs w:val="22"/>
        </w:rPr>
      </w:pPr>
    </w:p>
    <w:p w14:paraId="3A200291" w14:textId="77777777" w:rsidR="0003308B" w:rsidRPr="00640CFF" w:rsidRDefault="0003308B" w:rsidP="003B68DB">
      <w:pPr>
        <w:pStyle w:val="Prrafodelista"/>
        <w:numPr>
          <w:ilvl w:val="0"/>
          <w:numId w:val="138"/>
        </w:numPr>
        <w:tabs>
          <w:tab w:val="left" w:pos="142"/>
        </w:tabs>
        <w:ind w:left="502"/>
        <w:contextualSpacing/>
        <w:rPr>
          <w:rFonts w:eastAsiaTheme="minorHAnsi" w:cs="Arial"/>
          <w:i/>
          <w:sz w:val="22"/>
          <w:szCs w:val="22"/>
          <w:lang w:val="es-NI"/>
        </w:rPr>
      </w:pPr>
      <w:r w:rsidRPr="00640CFF">
        <w:rPr>
          <w:rFonts w:eastAsiaTheme="minorHAnsi" w:cs="Arial"/>
          <w:sz w:val="22"/>
          <w:szCs w:val="22"/>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790F4A8A" w14:textId="77777777" w:rsidR="0003308B" w:rsidRPr="00640CFF" w:rsidRDefault="0003308B" w:rsidP="003B68DB">
      <w:pPr>
        <w:pStyle w:val="Prrafodelista"/>
        <w:numPr>
          <w:ilvl w:val="0"/>
          <w:numId w:val="138"/>
        </w:numPr>
        <w:tabs>
          <w:tab w:val="left" w:pos="142"/>
        </w:tabs>
        <w:ind w:left="502"/>
        <w:contextualSpacing/>
        <w:rPr>
          <w:rFonts w:eastAsiaTheme="minorHAnsi" w:cs="Arial"/>
          <w:i/>
          <w:sz w:val="22"/>
          <w:szCs w:val="22"/>
          <w:lang w:val="es-NI"/>
        </w:rPr>
      </w:pPr>
      <w:r w:rsidRPr="00640CFF">
        <w:rPr>
          <w:rFonts w:eastAsiaTheme="minorHAnsi" w:cs="Arial"/>
          <w:sz w:val="22"/>
          <w:szCs w:val="22"/>
          <w:lang w:val="es-NI"/>
        </w:rPr>
        <w:t>Si el contratista, en la ejecución del proyecto, requiere talar árboles adicionales a los contemplados en los planos y diseños del proyecto, deberá asumir los costos de dicha acción y cumplir con los requisitos establecidos.</w:t>
      </w:r>
    </w:p>
    <w:p w14:paraId="5AAB967A" w14:textId="77777777" w:rsidR="0003308B" w:rsidRPr="00640CFF" w:rsidRDefault="0003308B" w:rsidP="003B68DB">
      <w:pPr>
        <w:pStyle w:val="Prrafodelista"/>
        <w:numPr>
          <w:ilvl w:val="0"/>
          <w:numId w:val="138"/>
        </w:numPr>
        <w:tabs>
          <w:tab w:val="left" w:pos="142"/>
        </w:tabs>
        <w:ind w:left="502"/>
        <w:contextualSpacing/>
        <w:rPr>
          <w:rFonts w:cs="Arial"/>
          <w:i/>
          <w:sz w:val="22"/>
          <w:szCs w:val="22"/>
          <w:lang w:val="es-MX"/>
        </w:rPr>
      </w:pPr>
      <w:r w:rsidRPr="00640CFF">
        <w:rPr>
          <w:rFonts w:eastAsiaTheme="minorHAnsi" w:cs="Arial"/>
          <w:sz w:val="22"/>
          <w:szCs w:val="22"/>
          <w:lang w:val="es-NI"/>
        </w:rPr>
        <w:t>Si las condiciones del terreno, no permiten la siembra del número de árboles requerido el contratista podrá realizar la siembra dentro de la comunidad con previa autorización del</w:t>
      </w:r>
      <w:r w:rsidRPr="00640CFF">
        <w:rPr>
          <w:rFonts w:cs="Arial"/>
          <w:sz w:val="22"/>
          <w:szCs w:val="22"/>
        </w:rPr>
        <w:t xml:space="preserve"> supervisor en común acuerdo con la comunidad.  </w:t>
      </w:r>
    </w:p>
    <w:p w14:paraId="03B8BA63" w14:textId="77777777" w:rsidR="0003308B" w:rsidRPr="00640CFF" w:rsidRDefault="0003308B" w:rsidP="0003308B">
      <w:pPr>
        <w:pStyle w:val="Prrafodelista"/>
        <w:tabs>
          <w:tab w:val="left" w:pos="142"/>
        </w:tabs>
        <w:ind w:left="360"/>
        <w:rPr>
          <w:rFonts w:cs="Arial"/>
          <w:i/>
          <w:sz w:val="22"/>
          <w:szCs w:val="22"/>
          <w:lang w:val="es-MX"/>
        </w:rPr>
      </w:pPr>
    </w:p>
    <w:p w14:paraId="60D3294D" w14:textId="77777777" w:rsidR="0003308B" w:rsidRPr="00640CFF" w:rsidRDefault="0003308B" w:rsidP="0003308B">
      <w:pPr>
        <w:tabs>
          <w:tab w:val="left" w:pos="142"/>
        </w:tabs>
        <w:rPr>
          <w:rFonts w:cs="Arial"/>
          <w:i/>
          <w:sz w:val="22"/>
          <w:szCs w:val="22"/>
          <w:lang w:val="es-MX"/>
        </w:rPr>
      </w:pPr>
    </w:p>
    <w:p w14:paraId="1FE457CD" w14:textId="77777777" w:rsidR="0003308B" w:rsidRPr="00640CFF" w:rsidRDefault="0003308B" w:rsidP="0003308B">
      <w:pPr>
        <w:tabs>
          <w:tab w:val="left" w:pos="142"/>
        </w:tabs>
        <w:rPr>
          <w:rFonts w:cs="Arial"/>
          <w:b/>
          <w:i/>
          <w:iCs/>
          <w:sz w:val="22"/>
          <w:szCs w:val="22"/>
        </w:rPr>
      </w:pPr>
      <w:r w:rsidRPr="00640CFF">
        <w:rPr>
          <w:rFonts w:cs="Arial"/>
          <w:b/>
          <w:iCs/>
          <w:sz w:val="22"/>
          <w:szCs w:val="22"/>
        </w:rPr>
        <w:t>Sustancias peligrosas</w:t>
      </w:r>
    </w:p>
    <w:p w14:paraId="16090B5F" w14:textId="77777777" w:rsidR="0003308B" w:rsidRPr="00640CFF" w:rsidRDefault="0003308B" w:rsidP="0003308B">
      <w:pPr>
        <w:tabs>
          <w:tab w:val="left" w:pos="142"/>
        </w:tabs>
        <w:rPr>
          <w:rFonts w:cs="Arial"/>
          <w:b/>
          <w:i/>
          <w:iCs/>
          <w:sz w:val="22"/>
          <w:szCs w:val="22"/>
        </w:rPr>
      </w:pPr>
    </w:p>
    <w:p w14:paraId="74060251" w14:textId="77777777" w:rsidR="0003308B" w:rsidRPr="00640CFF" w:rsidRDefault="0003308B" w:rsidP="003B68DB">
      <w:pPr>
        <w:pStyle w:val="Prrafodelista"/>
        <w:numPr>
          <w:ilvl w:val="0"/>
          <w:numId w:val="137"/>
        </w:numPr>
        <w:tabs>
          <w:tab w:val="left" w:pos="142"/>
        </w:tabs>
        <w:contextualSpacing/>
        <w:rPr>
          <w:rFonts w:cs="Arial"/>
          <w:i/>
          <w:sz w:val="22"/>
          <w:szCs w:val="22"/>
          <w:lang w:val="es-MX"/>
        </w:rPr>
      </w:pPr>
      <w:r w:rsidRPr="00640CFF">
        <w:rPr>
          <w:rFonts w:cs="Arial"/>
          <w:sz w:val="22"/>
          <w:szCs w:val="22"/>
        </w:rPr>
        <w:t>No será permitida, bajo ningún motivo, la utilización de productos que contengan plomo en los interiores de las infraestructuras verticales (pintura, etc.)</w:t>
      </w:r>
    </w:p>
    <w:p w14:paraId="2593D038" w14:textId="77777777" w:rsidR="0003308B" w:rsidRPr="00640CFF" w:rsidRDefault="0003308B" w:rsidP="003B68DB">
      <w:pPr>
        <w:pStyle w:val="Prrafodelista"/>
        <w:numPr>
          <w:ilvl w:val="0"/>
          <w:numId w:val="137"/>
        </w:numPr>
        <w:tabs>
          <w:tab w:val="left" w:pos="142"/>
        </w:tabs>
        <w:contextualSpacing/>
        <w:rPr>
          <w:rFonts w:cs="Arial"/>
          <w:i/>
          <w:sz w:val="22"/>
          <w:szCs w:val="22"/>
        </w:rPr>
      </w:pPr>
      <w:r w:rsidRPr="00640CFF">
        <w:rPr>
          <w:rFonts w:cs="Arial"/>
          <w:sz w:val="22"/>
          <w:szCs w:val="22"/>
        </w:rPr>
        <w:t xml:space="preserve">No se permitirá que los envases vacíos sean depósitos a orillas de fuentes de agua o áreas de riesgos, para la salud de la población y los animales, sino que deben ser retirados y depositados en el vertedero municipal con condiciones especiales en coordinación con </w:t>
      </w:r>
      <w:r>
        <w:rPr>
          <w:rFonts w:cs="Arial"/>
          <w:sz w:val="22"/>
          <w:szCs w:val="22"/>
        </w:rPr>
        <w:t>E</w:t>
      </w:r>
      <w:r w:rsidRPr="00640CFF">
        <w:rPr>
          <w:rFonts w:cs="Arial"/>
          <w:sz w:val="22"/>
          <w:szCs w:val="22"/>
        </w:rPr>
        <w:t xml:space="preserve">l </w:t>
      </w:r>
      <w:r>
        <w:rPr>
          <w:rFonts w:cs="Arial"/>
          <w:sz w:val="22"/>
          <w:szCs w:val="22"/>
        </w:rPr>
        <w:t>S</w:t>
      </w:r>
      <w:r w:rsidRPr="00640CFF">
        <w:rPr>
          <w:rFonts w:cs="Arial"/>
          <w:sz w:val="22"/>
          <w:szCs w:val="22"/>
        </w:rPr>
        <w:t>upervisor del proyecto y la alcaldía municipal.</w:t>
      </w:r>
    </w:p>
    <w:p w14:paraId="32A7B250" w14:textId="77777777" w:rsidR="0003308B" w:rsidRPr="007B233F" w:rsidRDefault="0003308B" w:rsidP="003B68DB">
      <w:pPr>
        <w:pStyle w:val="Prrafodelista"/>
        <w:numPr>
          <w:ilvl w:val="0"/>
          <w:numId w:val="137"/>
        </w:numPr>
        <w:tabs>
          <w:tab w:val="left" w:pos="142"/>
        </w:tabs>
        <w:contextualSpacing/>
        <w:jc w:val="left"/>
        <w:rPr>
          <w:rFonts w:cs="Arial"/>
          <w:i/>
          <w:sz w:val="22"/>
          <w:szCs w:val="22"/>
          <w:lang w:val="es-MX"/>
        </w:rPr>
      </w:pPr>
      <w:r w:rsidRPr="00640CFF">
        <w:rPr>
          <w:rFonts w:cs="Arial"/>
          <w:color w:val="000000"/>
          <w:sz w:val="22"/>
          <w:szCs w:val="22"/>
          <w:lang w:eastAsia="es-NI"/>
        </w:rPr>
        <w:t>El contratista no podrá utilizar materiales de construcción compuesto por sustancias peligrosas</w:t>
      </w:r>
      <w:r>
        <w:rPr>
          <w:rFonts w:cs="Arial"/>
          <w:color w:val="000000"/>
          <w:sz w:val="22"/>
          <w:szCs w:val="22"/>
          <w:lang w:eastAsia="es-NI"/>
        </w:rPr>
        <w:t xml:space="preserve"> tales como</w:t>
      </w:r>
      <w:r w:rsidRPr="00640CFF">
        <w:rPr>
          <w:rFonts w:cs="Arial"/>
          <w:color w:val="000000"/>
          <w:sz w:val="22"/>
          <w:szCs w:val="22"/>
          <w:lang w:eastAsia="es-NI"/>
        </w:rPr>
        <w:t>:</w:t>
      </w:r>
      <w:r>
        <w:rPr>
          <w:rFonts w:cs="Arial"/>
          <w:color w:val="000000"/>
          <w:sz w:val="22"/>
          <w:szCs w:val="22"/>
          <w:lang w:eastAsia="es-NI"/>
        </w:rPr>
        <w:br/>
      </w:r>
    </w:p>
    <w:p w14:paraId="667062DA" w14:textId="77777777" w:rsidR="0003308B" w:rsidRPr="007B233F" w:rsidRDefault="0003308B" w:rsidP="003B68DB">
      <w:pPr>
        <w:pStyle w:val="Prrafodelista"/>
        <w:numPr>
          <w:ilvl w:val="0"/>
          <w:numId w:val="142"/>
        </w:numPr>
        <w:tabs>
          <w:tab w:val="left" w:pos="142"/>
        </w:tabs>
        <w:contextualSpacing/>
        <w:jc w:val="left"/>
        <w:rPr>
          <w:rFonts w:cs="Arial"/>
          <w:i/>
          <w:sz w:val="22"/>
          <w:szCs w:val="22"/>
          <w:lang w:val="es-MX"/>
        </w:rPr>
      </w:pPr>
      <w:r>
        <w:rPr>
          <w:rFonts w:cs="Arial"/>
          <w:color w:val="000000"/>
          <w:sz w:val="22"/>
          <w:szCs w:val="22"/>
          <w:lang w:eastAsia="es-NI"/>
        </w:rPr>
        <w:t>Plomo</w:t>
      </w:r>
    </w:p>
    <w:p w14:paraId="008D4374" w14:textId="77777777" w:rsidR="0003308B" w:rsidRPr="007B233F" w:rsidRDefault="0003308B" w:rsidP="003B68DB">
      <w:pPr>
        <w:pStyle w:val="Prrafodelista"/>
        <w:numPr>
          <w:ilvl w:val="0"/>
          <w:numId w:val="142"/>
        </w:numPr>
        <w:tabs>
          <w:tab w:val="left" w:pos="142"/>
        </w:tabs>
        <w:contextualSpacing/>
        <w:jc w:val="left"/>
        <w:rPr>
          <w:rFonts w:cs="Arial"/>
          <w:i/>
          <w:sz w:val="22"/>
          <w:szCs w:val="22"/>
          <w:lang w:val="es-MX"/>
        </w:rPr>
      </w:pPr>
      <w:r>
        <w:rPr>
          <w:rFonts w:cs="Arial"/>
          <w:color w:val="000000"/>
          <w:sz w:val="22"/>
          <w:szCs w:val="22"/>
          <w:lang w:eastAsia="es-NI"/>
        </w:rPr>
        <w:t>Mercurio</w:t>
      </w:r>
    </w:p>
    <w:p w14:paraId="46616F17" w14:textId="77777777" w:rsidR="0003308B" w:rsidRPr="007B233F" w:rsidRDefault="0003308B" w:rsidP="003B68DB">
      <w:pPr>
        <w:pStyle w:val="Prrafodelista"/>
        <w:numPr>
          <w:ilvl w:val="0"/>
          <w:numId w:val="142"/>
        </w:numPr>
        <w:tabs>
          <w:tab w:val="left" w:pos="142"/>
        </w:tabs>
        <w:contextualSpacing/>
        <w:jc w:val="left"/>
        <w:rPr>
          <w:rFonts w:cs="Arial"/>
          <w:i/>
          <w:sz w:val="22"/>
          <w:szCs w:val="22"/>
          <w:lang w:val="es-MX"/>
        </w:rPr>
      </w:pPr>
      <w:r w:rsidRPr="00640CFF">
        <w:rPr>
          <w:rFonts w:cs="Arial"/>
          <w:color w:val="000000"/>
          <w:sz w:val="22"/>
          <w:szCs w:val="22"/>
          <w:lang w:eastAsia="es-NI"/>
        </w:rPr>
        <w:t>Asbesto</w:t>
      </w:r>
    </w:p>
    <w:p w14:paraId="22EF96CE" w14:textId="77777777" w:rsidR="0003308B" w:rsidRPr="007B233F" w:rsidRDefault="0003308B" w:rsidP="003B68DB">
      <w:pPr>
        <w:pStyle w:val="Prrafodelista"/>
        <w:numPr>
          <w:ilvl w:val="0"/>
          <w:numId w:val="142"/>
        </w:numPr>
        <w:tabs>
          <w:tab w:val="left" w:pos="142"/>
        </w:tabs>
        <w:contextualSpacing/>
        <w:jc w:val="left"/>
        <w:rPr>
          <w:rFonts w:cs="Arial"/>
          <w:i/>
          <w:sz w:val="22"/>
          <w:szCs w:val="22"/>
          <w:lang w:val="es-MX"/>
        </w:rPr>
      </w:pPr>
      <w:r>
        <w:rPr>
          <w:rFonts w:cs="Arial"/>
          <w:color w:val="000000"/>
          <w:sz w:val="22"/>
          <w:szCs w:val="22"/>
          <w:lang w:eastAsia="es-NI"/>
        </w:rPr>
        <w:t>Amianto</w:t>
      </w:r>
    </w:p>
    <w:p w14:paraId="5C792CC8" w14:textId="77777777" w:rsidR="0003308B" w:rsidRPr="00640CFF" w:rsidRDefault="0003308B" w:rsidP="003B68DB">
      <w:pPr>
        <w:pStyle w:val="Prrafodelista"/>
        <w:numPr>
          <w:ilvl w:val="0"/>
          <w:numId w:val="142"/>
        </w:numPr>
        <w:tabs>
          <w:tab w:val="left" w:pos="142"/>
        </w:tabs>
        <w:contextualSpacing/>
        <w:jc w:val="left"/>
        <w:rPr>
          <w:rFonts w:cs="Arial"/>
          <w:i/>
          <w:sz w:val="22"/>
          <w:szCs w:val="22"/>
          <w:lang w:val="es-MX"/>
        </w:rPr>
      </w:pPr>
      <w:r w:rsidRPr="00640CFF">
        <w:rPr>
          <w:rFonts w:cs="Arial"/>
          <w:color w:val="000000"/>
          <w:sz w:val="22"/>
          <w:szCs w:val="22"/>
          <w:lang w:eastAsia="es-NI"/>
        </w:rPr>
        <w:t>Cualquier sustancia susceptible de producir intoxicación o daños por inhalación o contacto</w:t>
      </w:r>
    </w:p>
    <w:p w14:paraId="2FB7ED98" w14:textId="77777777" w:rsidR="0003308B" w:rsidRPr="00640CFF" w:rsidRDefault="0003308B" w:rsidP="0003308B">
      <w:pPr>
        <w:tabs>
          <w:tab w:val="left" w:pos="142"/>
        </w:tabs>
        <w:rPr>
          <w:rFonts w:cs="Arial"/>
          <w:b/>
          <w:i/>
          <w:sz w:val="22"/>
          <w:szCs w:val="22"/>
        </w:rPr>
      </w:pPr>
      <w:r w:rsidRPr="00640CFF">
        <w:rPr>
          <w:rFonts w:cs="Arial"/>
          <w:b/>
          <w:sz w:val="22"/>
          <w:szCs w:val="22"/>
        </w:rPr>
        <w:t>Transporte</w:t>
      </w:r>
    </w:p>
    <w:p w14:paraId="3E229A24" w14:textId="77777777" w:rsidR="0003308B" w:rsidRPr="00640CFF" w:rsidRDefault="0003308B" w:rsidP="0003308B">
      <w:pPr>
        <w:tabs>
          <w:tab w:val="left" w:pos="142"/>
        </w:tabs>
        <w:rPr>
          <w:rFonts w:cs="Arial"/>
          <w:b/>
          <w:i/>
          <w:sz w:val="22"/>
          <w:szCs w:val="22"/>
        </w:rPr>
      </w:pPr>
    </w:p>
    <w:p w14:paraId="50801A37" w14:textId="77777777" w:rsidR="0003308B" w:rsidRPr="00640CFF" w:rsidRDefault="0003308B"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La maquinaria utilizada deberá mantenerse en las mejores condiciones, considerando motores, minimizando el nivel de ruido.</w:t>
      </w:r>
    </w:p>
    <w:p w14:paraId="5D7A803A" w14:textId="77777777" w:rsidR="0003308B" w:rsidRPr="00640CFF" w:rsidRDefault="0003308B"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Transporte de escombros y materia de excavación sin superar la capacidad del vehículo de carga.</w:t>
      </w:r>
    </w:p>
    <w:p w14:paraId="3F961F84" w14:textId="77777777" w:rsidR="0003308B" w:rsidRPr="00640CFF" w:rsidRDefault="0003308B" w:rsidP="0003308B">
      <w:pPr>
        <w:tabs>
          <w:tab w:val="left" w:pos="142"/>
        </w:tabs>
        <w:ind w:left="-218"/>
        <w:rPr>
          <w:rFonts w:cs="Arial"/>
          <w:i/>
          <w:sz w:val="22"/>
          <w:szCs w:val="22"/>
          <w:lang w:val="es-MX"/>
        </w:rPr>
      </w:pPr>
    </w:p>
    <w:p w14:paraId="7D43DAC0" w14:textId="77777777" w:rsidR="0003308B" w:rsidRPr="00640CFF" w:rsidRDefault="0003308B"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Evitar el paso de maquinaria sobre suelo con cobertura vegetal fuera del área de la obra</w:t>
      </w:r>
    </w:p>
    <w:p w14:paraId="2F2BE2C0" w14:textId="77777777" w:rsidR="0003308B" w:rsidRPr="00640CFF" w:rsidRDefault="0003308B" w:rsidP="0003308B">
      <w:pPr>
        <w:pStyle w:val="Prrafodelista"/>
        <w:tabs>
          <w:tab w:val="left" w:pos="142"/>
        </w:tabs>
        <w:ind w:left="0"/>
        <w:rPr>
          <w:rFonts w:cs="Arial"/>
          <w:i/>
          <w:sz w:val="22"/>
          <w:szCs w:val="22"/>
          <w:lang w:val="es-MX"/>
        </w:rPr>
      </w:pPr>
    </w:p>
    <w:p w14:paraId="41A6A1E9" w14:textId="77777777" w:rsidR="0003308B" w:rsidRPr="00640CFF" w:rsidRDefault="0003308B"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Recuperar y restaurar el espacio público afectado una vez finalizada cada actividad, retirando todos los materiales y residuos del lugar.</w:t>
      </w:r>
    </w:p>
    <w:p w14:paraId="309E5065" w14:textId="77777777" w:rsidR="0003308B" w:rsidRPr="00640CFF" w:rsidRDefault="0003308B" w:rsidP="0003308B">
      <w:pPr>
        <w:pStyle w:val="Prrafodelista"/>
        <w:tabs>
          <w:tab w:val="left" w:pos="142"/>
        </w:tabs>
        <w:ind w:left="0"/>
        <w:rPr>
          <w:rFonts w:cs="Arial"/>
          <w:i/>
          <w:sz w:val="22"/>
          <w:szCs w:val="22"/>
          <w:lang w:val="es-MX"/>
        </w:rPr>
      </w:pPr>
    </w:p>
    <w:p w14:paraId="447F09FC" w14:textId="77777777" w:rsidR="0003308B" w:rsidRPr="00640CFF" w:rsidRDefault="0003308B"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58AED379" w14:textId="77777777" w:rsidR="00CD039D" w:rsidRDefault="00CD039D" w:rsidP="0003308B">
      <w:pPr>
        <w:tabs>
          <w:tab w:val="left" w:pos="142"/>
        </w:tabs>
        <w:ind w:left="360"/>
        <w:rPr>
          <w:rFonts w:cs="Arial"/>
          <w:b/>
          <w:sz w:val="22"/>
          <w:szCs w:val="22"/>
        </w:rPr>
      </w:pPr>
    </w:p>
    <w:p w14:paraId="45F3BB5F" w14:textId="77777777" w:rsidR="0003308B" w:rsidRPr="00640CFF" w:rsidRDefault="0003308B" w:rsidP="0003308B">
      <w:pPr>
        <w:tabs>
          <w:tab w:val="left" w:pos="142"/>
        </w:tabs>
        <w:ind w:left="360"/>
        <w:rPr>
          <w:rFonts w:cs="Arial"/>
          <w:b/>
          <w:i/>
          <w:sz w:val="22"/>
          <w:szCs w:val="22"/>
        </w:rPr>
      </w:pPr>
      <w:r w:rsidRPr="00640CFF">
        <w:rPr>
          <w:rFonts w:cs="Arial"/>
          <w:b/>
          <w:sz w:val="22"/>
          <w:szCs w:val="22"/>
        </w:rPr>
        <w:t>Protección Personal</w:t>
      </w:r>
    </w:p>
    <w:p w14:paraId="3268135D" w14:textId="77777777" w:rsidR="0003308B" w:rsidRPr="00640CFF" w:rsidRDefault="0003308B" w:rsidP="0003308B">
      <w:pPr>
        <w:tabs>
          <w:tab w:val="left" w:pos="142"/>
        </w:tabs>
        <w:ind w:left="360"/>
        <w:rPr>
          <w:rFonts w:cs="Arial"/>
          <w:b/>
          <w:i/>
          <w:sz w:val="22"/>
          <w:szCs w:val="22"/>
        </w:rPr>
      </w:pPr>
    </w:p>
    <w:p w14:paraId="5DBBA72F" w14:textId="77777777" w:rsidR="0003308B" w:rsidRPr="00640CFF" w:rsidRDefault="0003308B" w:rsidP="003B68DB">
      <w:pPr>
        <w:pStyle w:val="Prrafodelista"/>
        <w:numPr>
          <w:ilvl w:val="0"/>
          <w:numId w:val="141"/>
        </w:numPr>
        <w:tabs>
          <w:tab w:val="left" w:pos="142"/>
        </w:tabs>
        <w:contextualSpacing/>
        <w:rPr>
          <w:rFonts w:cs="Arial"/>
          <w:i/>
          <w:sz w:val="22"/>
          <w:szCs w:val="22"/>
          <w:lang w:val="es-MX"/>
        </w:rPr>
      </w:pPr>
      <w:r w:rsidRPr="00640CFF">
        <w:rPr>
          <w:rFonts w:cs="Arial"/>
          <w:sz w:val="22"/>
          <w:szCs w:val="22"/>
        </w:rPr>
        <w:lastRenderedPageBreak/>
        <w:t>Utilización obligatoria de equipo de protección personal básico (casco, zapatos de seguridad, guantes) y específico como protección respiratoria, auditiva y para los ojos, cuando aplique.</w:t>
      </w:r>
    </w:p>
    <w:p w14:paraId="03098C19" w14:textId="77777777" w:rsidR="0003308B" w:rsidRPr="00640CFF" w:rsidRDefault="0003308B" w:rsidP="003B68DB">
      <w:pPr>
        <w:pStyle w:val="Prrafodelista"/>
        <w:numPr>
          <w:ilvl w:val="0"/>
          <w:numId w:val="141"/>
        </w:numPr>
        <w:tabs>
          <w:tab w:val="left" w:pos="142"/>
        </w:tabs>
        <w:contextualSpacing/>
        <w:rPr>
          <w:rFonts w:cs="Arial"/>
          <w:i/>
          <w:sz w:val="22"/>
          <w:szCs w:val="22"/>
          <w:lang w:val="es-MX"/>
        </w:rPr>
      </w:pPr>
      <w:r w:rsidRPr="00640CFF">
        <w:rPr>
          <w:rFonts w:cs="Arial"/>
          <w:sz w:val="22"/>
          <w:szCs w:val="22"/>
        </w:rPr>
        <w:t>Que las instalaciones de servicio o de protección anexas a los lugares de trabajo puedan ser utilizadas sin peligro para la salud y la seguridad de los trabajadores.</w:t>
      </w:r>
    </w:p>
    <w:p w14:paraId="20503C47" w14:textId="77777777" w:rsidR="0003308B" w:rsidRPr="00640CFF" w:rsidRDefault="0003308B" w:rsidP="003B68DB">
      <w:pPr>
        <w:pStyle w:val="Prrafodelista"/>
        <w:numPr>
          <w:ilvl w:val="0"/>
          <w:numId w:val="141"/>
        </w:numPr>
        <w:tabs>
          <w:tab w:val="left" w:pos="142"/>
        </w:tabs>
        <w:contextualSpacing/>
        <w:rPr>
          <w:rFonts w:cs="Arial"/>
          <w:i/>
          <w:sz w:val="22"/>
          <w:szCs w:val="22"/>
          <w:lang w:val="es-MX"/>
        </w:rPr>
      </w:pPr>
      <w:r w:rsidRPr="00640CFF">
        <w:rPr>
          <w:rFonts w:cs="Arial"/>
          <w:sz w:val="22"/>
          <w:szCs w:val="22"/>
        </w:rPr>
        <w:t>Que dichas instalaciones y dispositivos de protección cumplan con su cometido, dando protección efectiva frente a los riesgos que pretenden evitar.</w:t>
      </w:r>
    </w:p>
    <w:p w14:paraId="4125352E" w14:textId="77777777" w:rsidR="0003308B" w:rsidRPr="00640CFF" w:rsidRDefault="0003308B" w:rsidP="003B68DB">
      <w:pPr>
        <w:pStyle w:val="Prrafodelista"/>
        <w:numPr>
          <w:ilvl w:val="0"/>
          <w:numId w:val="141"/>
        </w:numPr>
        <w:tabs>
          <w:tab w:val="left" w:pos="142"/>
        </w:tabs>
        <w:autoSpaceDE w:val="0"/>
        <w:autoSpaceDN w:val="0"/>
        <w:adjustRightInd w:val="0"/>
        <w:contextualSpacing/>
        <w:rPr>
          <w:rFonts w:cs="Arial"/>
          <w:i/>
          <w:sz w:val="22"/>
          <w:szCs w:val="22"/>
          <w:lang w:val="es-NI" w:eastAsia="es-NI"/>
        </w:rPr>
      </w:pPr>
      <w:r w:rsidRPr="00640CFF">
        <w:rPr>
          <w:rFonts w:cs="Arial"/>
          <w:sz w:val="22"/>
          <w:szCs w:val="22"/>
        </w:rPr>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4B75F7D5" w14:textId="77777777" w:rsidR="0003308B" w:rsidRPr="00384552" w:rsidRDefault="0003308B" w:rsidP="0003308B">
      <w:pPr>
        <w:tabs>
          <w:tab w:val="left" w:pos="142"/>
        </w:tabs>
        <w:autoSpaceDE w:val="0"/>
        <w:autoSpaceDN w:val="0"/>
        <w:adjustRightInd w:val="0"/>
        <w:rPr>
          <w:rFonts w:cs="Arial"/>
          <w:sz w:val="22"/>
          <w:szCs w:val="22"/>
          <w:lang w:val="es-NI" w:eastAsia="es-NI"/>
        </w:rPr>
      </w:pPr>
    </w:p>
    <w:p w14:paraId="07B18338" w14:textId="77777777" w:rsidR="0003308B" w:rsidRPr="001D765C" w:rsidRDefault="0003308B" w:rsidP="003B68DB">
      <w:pPr>
        <w:keepNext/>
        <w:numPr>
          <w:ilvl w:val="0"/>
          <w:numId w:val="127"/>
        </w:numPr>
        <w:tabs>
          <w:tab w:val="left" w:pos="142"/>
        </w:tabs>
        <w:ind w:left="426" w:right="-516" w:firstLine="0"/>
        <w:contextualSpacing/>
        <w:outlineLvl w:val="2"/>
        <w:rPr>
          <w:rFonts w:cs="Arial"/>
          <w:b/>
          <w:bCs/>
          <w:iCs/>
          <w:sz w:val="22"/>
          <w:szCs w:val="22"/>
        </w:rPr>
      </w:pPr>
      <w:r>
        <w:rPr>
          <w:rFonts w:cs="Arial"/>
          <w:b/>
          <w:bCs/>
          <w:iCs/>
          <w:sz w:val="22"/>
          <w:szCs w:val="22"/>
        </w:rPr>
        <w:t xml:space="preserve"> </w:t>
      </w:r>
      <w:r w:rsidRPr="001D765C">
        <w:rPr>
          <w:rFonts w:cs="Arial"/>
          <w:b/>
          <w:bCs/>
          <w:iCs/>
          <w:sz w:val="22"/>
          <w:szCs w:val="22"/>
        </w:rPr>
        <w:t>ESPECIFICACIONES GENERALES SOCIALES</w:t>
      </w:r>
    </w:p>
    <w:p w14:paraId="4003B0D8" w14:textId="77777777" w:rsidR="0003308B" w:rsidRPr="00384552" w:rsidRDefault="0003308B" w:rsidP="0003308B">
      <w:pPr>
        <w:tabs>
          <w:tab w:val="left" w:pos="142"/>
        </w:tabs>
        <w:jc w:val="center"/>
        <w:rPr>
          <w:rFonts w:cs="Arial"/>
          <w:b/>
          <w:sz w:val="22"/>
          <w:szCs w:val="22"/>
        </w:rPr>
      </w:pPr>
    </w:p>
    <w:p w14:paraId="68A41C78" w14:textId="77777777" w:rsidR="0003308B" w:rsidRPr="00384552" w:rsidRDefault="0003308B" w:rsidP="0003308B">
      <w:pPr>
        <w:tabs>
          <w:tab w:val="left" w:pos="142"/>
        </w:tabs>
        <w:rPr>
          <w:rFonts w:cs="Arial"/>
          <w:b/>
          <w:sz w:val="22"/>
          <w:szCs w:val="22"/>
        </w:rPr>
      </w:pPr>
      <w:r w:rsidRPr="00384552">
        <w:rPr>
          <w:rFonts w:cs="Arial"/>
          <w:b/>
          <w:sz w:val="22"/>
          <w:szCs w:val="22"/>
        </w:rPr>
        <w:t>ETAPA DE EJECUCIÓN</w:t>
      </w:r>
    </w:p>
    <w:p w14:paraId="7AE504CD" w14:textId="77777777" w:rsidR="0003308B" w:rsidRPr="00384552" w:rsidRDefault="0003308B" w:rsidP="0003308B">
      <w:pPr>
        <w:tabs>
          <w:tab w:val="left" w:pos="142"/>
        </w:tabs>
        <w:rPr>
          <w:rFonts w:cs="Arial"/>
          <w:b/>
          <w:sz w:val="22"/>
          <w:szCs w:val="22"/>
        </w:rPr>
      </w:pPr>
    </w:p>
    <w:p w14:paraId="3EF62B2D" w14:textId="77777777" w:rsidR="0003308B" w:rsidRPr="00384552" w:rsidRDefault="0003308B" w:rsidP="0003308B">
      <w:pPr>
        <w:tabs>
          <w:tab w:val="left" w:pos="142"/>
        </w:tabs>
        <w:rPr>
          <w:rFonts w:cs="Arial"/>
          <w:b/>
          <w:sz w:val="22"/>
          <w:szCs w:val="22"/>
        </w:rPr>
      </w:pPr>
      <w:r w:rsidRPr="00384552">
        <w:rPr>
          <w:rFonts w:cs="Arial"/>
          <w:b/>
          <w:sz w:val="22"/>
          <w:szCs w:val="22"/>
        </w:rPr>
        <w:t>PRE OBRA</w:t>
      </w:r>
    </w:p>
    <w:p w14:paraId="04E33D2F" w14:textId="77777777" w:rsidR="0003308B" w:rsidRPr="00384552" w:rsidRDefault="0003308B" w:rsidP="0003308B">
      <w:pPr>
        <w:tabs>
          <w:tab w:val="left" w:pos="142"/>
        </w:tabs>
        <w:rPr>
          <w:rFonts w:cs="Arial"/>
          <w:b/>
          <w:sz w:val="22"/>
          <w:szCs w:val="22"/>
        </w:rPr>
      </w:pPr>
    </w:p>
    <w:p w14:paraId="1CAEF3C4"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Cronograma de trabajo y Plan metodológico para el acompañamiento social en la(s) comunidad(es) y realizar reunión de coordinación con actores claves del proyecto.</w:t>
      </w:r>
    </w:p>
    <w:p w14:paraId="7ECA68D0" w14:textId="77777777" w:rsidR="0003308B" w:rsidRPr="00384552" w:rsidRDefault="0003308B" w:rsidP="0003308B">
      <w:pPr>
        <w:tabs>
          <w:tab w:val="left" w:pos="142"/>
        </w:tabs>
        <w:rPr>
          <w:rFonts w:cs="Arial"/>
          <w:sz w:val="22"/>
          <w:szCs w:val="22"/>
        </w:rPr>
      </w:pPr>
    </w:p>
    <w:p w14:paraId="3623DFC3" w14:textId="77777777" w:rsidR="0003308B" w:rsidRPr="00384552" w:rsidRDefault="0003308B" w:rsidP="0003308B">
      <w:pPr>
        <w:tabs>
          <w:tab w:val="left" w:pos="142"/>
        </w:tabs>
        <w:rPr>
          <w:rFonts w:cs="Arial"/>
          <w:sz w:val="22"/>
          <w:szCs w:val="22"/>
        </w:rPr>
      </w:pPr>
      <w:r w:rsidRPr="00384552">
        <w:rPr>
          <w:rFonts w:cs="Arial"/>
          <w:sz w:val="22"/>
          <w:szCs w:val="22"/>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194BFA68" w14:textId="77777777" w:rsidR="0003308B" w:rsidRPr="00384552" w:rsidRDefault="0003308B" w:rsidP="0003308B">
      <w:pPr>
        <w:tabs>
          <w:tab w:val="left" w:pos="142"/>
        </w:tabs>
        <w:rPr>
          <w:rFonts w:cs="Arial"/>
          <w:sz w:val="22"/>
          <w:szCs w:val="22"/>
        </w:rPr>
      </w:pPr>
      <w:r w:rsidRPr="00384552">
        <w:rPr>
          <w:rFonts w:cs="Arial"/>
          <w:sz w:val="22"/>
          <w:szCs w:val="22"/>
        </w:rPr>
        <w:t>Se debe reflejar cada una de las actividades a realizar, definiéndose fechas para su ejecución, responsable, involucrados, instrumentos o metodología a usar según la etapa del ciclo de proyecto a intervenir.  Este deberá ser avalado por el Especialista Social de cada Región.</w:t>
      </w:r>
    </w:p>
    <w:p w14:paraId="12D234F6" w14:textId="77777777" w:rsidR="0003308B" w:rsidRPr="00384552" w:rsidRDefault="0003308B" w:rsidP="0003308B">
      <w:pPr>
        <w:tabs>
          <w:tab w:val="left" w:pos="142"/>
        </w:tabs>
        <w:rPr>
          <w:rFonts w:cs="Arial"/>
          <w:sz w:val="22"/>
          <w:szCs w:val="22"/>
        </w:rPr>
      </w:pPr>
    </w:p>
    <w:p w14:paraId="2546784B" w14:textId="77777777" w:rsidR="0003308B" w:rsidRPr="00384552" w:rsidRDefault="0003308B" w:rsidP="0003308B">
      <w:pPr>
        <w:tabs>
          <w:tab w:val="left" w:pos="142"/>
        </w:tabs>
        <w:rPr>
          <w:rFonts w:cs="Arial"/>
          <w:sz w:val="22"/>
          <w:szCs w:val="22"/>
        </w:rPr>
      </w:pPr>
      <w:r w:rsidRPr="00384552">
        <w:rPr>
          <w:rFonts w:cs="Arial"/>
          <w:sz w:val="22"/>
          <w:szCs w:val="22"/>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1B818E32" w14:textId="77777777" w:rsidR="0003308B" w:rsidRPr="00384552" w:rsidRDefault="0003308B" w:rsidP="0003308B">
      <w:pPr>
        <w:tabs>
          <w:tab w:val="left" w:pos="142"/>
        </w:tabs>
        <w:rPr>
          <w:rFonts w:cs="Arial"/>
          <w:sz w:val="22"/>
          <w:szCs w:val="22"/>
        </w:rPr>
      </w:pPr>
    </w:p>
    <w:p w14:paraId="5438C970" w14:textId="77777777" w:rsidR="0003308B" w:rsidRPr="00384552" w:rsidRDefault="0003308B" w:rsidP="0003308B">
      <w:pPr>
        <w:tabs>
          <w:tab w:val="left" w:pos="142"/>
        </w:tabs>
        <w:rPr>
          <w:rFonts w:cs="Arial"/>
          <w:b/>
          <w:sz w:val="22"/>
          <w:szCs w:val="22"/>
        </w:rPr>
      </w:pPr>
      <w:r w:rsidRPr="00384552">
        <w:rPr>
          <w:rFonts w:cs="Arial"/>
          <w:b/>
          <w:sz w:val="22"/>
          <w:szCs w:val="22"/>
        </w:rPr>
        <w:t>Producto Esperado por parte del contratista:</w:t>
      </w:r>
    </w:p>
    <w:p w14:paraId="2194AD26" w14:textId="77777777" w:rsidR="0003308B" w:rsidRPr="00384552" w:rsidRDefault="0003308B" w:rsidP="003B68DB">
      <w:pPr>
        <w:numPr>
          <w:ilvl w:val="0"/>
          <w:numId w:val="126"/>
        </w:numPr>
        <w:tabs>
          <w:tab w:val="left" w:pos="142"/>
        </w:tabs>
        <w:rPr>
          <w:rFonts w:cs="Arial"/>
          <w:i/>
          <w:sz w:val="22"/>
          <w:szCs w:val="22"/>
        </w:rPr>
      </w:pPr>
      <w:r w:rsidRPr="00384552">
        <w:rPr>
          <w:rFonts w:cs="Arial"/>
          <w:sz w:val="22"/>
          <w:szCs w:val="22"/>
        </w:rPr>
        <w:t>Cronograma de trabajo y plan metodológico para la intervención social.</w:t>
      </w:r>
    </w:p>
    <w:p w14:paraId="5FC34E04" w14:textId="77777777" w:rsidR="0003308B" w:rsidRPr="00384552" w:rsidRDefault="0003308B" w:rsidP="003B68DB">
      <w:pPr>
        <w:numPr>
          <w:ilvl w:val="0"/>
          <w:numId w:val="126"/>
        </w:numPr>
        <w:tabs>
          <w:tab w:val="left" w:pos="142"/>
        </w:tabs>
        <w:rPr>
          <w:rFonts w:cs="Arial"/>
          <w:i/>
          <w:sz w:val="22"/>
          <w:szCs w:val="22"/>
        </w:rPr>
      </w:pPr>
      <w:r w:rsidRPr="00384552">
        <w:rPr>
          <w:rFonts w:cs="Arial"/>
          <w:sz w:val="22"/>
          <w:szCs w:val="22"/>
        </w:rPr>
        <w:t>Ayuda memoria de reunión</w:t>
      </w:r>
    </w:p>
    <w:p w14:paraId="6294C6AB" w14:textId="77777777" w:rsidR="0003308B" w:rsidRPr="00384552" w:rsidRDefault="0003308B" w:rsidP="003B68DB">
      <w:pPr>
        <w:numPr>
          <w:ilvl w:val="0"/>
          <w:numId w:val="126"/>
        </w:numPr>
        <w:tabs>
          <w:tab w:val="left" w:pos="142"/>
        </w:tabs>
        <w:rPr>
          <w:rFonts w:cs="Arial"/>
          <w:i/>
          <w:sz w:val="22"/>
          <w:szCs w:val="22"/>
        </w:rPr>
      </w:pPr>
      <w:r w:rsidRPr="00384552">
        <w:rPr>
          <w:rFonts w:cs="Arial"/>
          <w:sz w:val="22"/>
          <w:szCs w:val="22"/>
        </w:rPr>
        <w:t>Listado de asistencia</w:t>
      </w:r>
    </w:p>
    <w:p w14:paraId="00967873" w14:textId="77777777" w:rsidR="0003308B" w:rsidRPr="00384552" w:rsidRDefault="0003308B" w:rsidP="0003308B">
      <w:pPr>
        <w:tabs>
          <w:tab w:val="left" w:pos="142"/>
        </w:tabs>
        <w:ind w:left="720"/>
        <w:rPr>
          <w:rFonts w:cs="Arial"/>
          <w:i/>
          <w:sz w:val="22"/>
          <w:szCs w:val="22"/>
        </w:rPr>
      </w:pPr>
    </w:p>
    <w:p w14:paraId="27977D97"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Planificación y Realización de Asamblea general comunitaria para entrega de sitio del proyecto a contratista y dar a conocer Plan.</w:t>
      </w:r>
    </w:p>
    <w:p w14:paraId="79B9CAF7" w14:textId="77777777" w:rsidR="0003308B" w:rsidRPr="00384552" w:rsidRDefault="0003308B" w:rsidP="0003308B">
      <w:pPr>
        <w:tabs>
          <w:tab w:val="left" w:pos="142"/>
        </w:tabs>
        <w:rPr>
          <w:rFonts w:cs="Arial"/>
          <w:sz w:val="22"/>
          <w:szCs w:val="22"/>
        </w:rPr>
      </w:pPr>
    </w:p>
    <w:p w14:paraId="67AC6B83" w14:textId="77777777" w:rsidR="0003308B" w:rsidRPr="00384552" w:rsidRDefault="0003308B" w:rsidP="0003308B">
      <w:pPr>
        <w:tabs>
          <w:tab w:val="left" w:pos="142"/>
        </w:tabs>
        <w:rPr>
          <w:rFonts w:cs="Arial"/>
          <w:sz w:val="22"/>
          <w:szCs w:val="22"/>
        </w:rPr>
      </w:pPr>
      <w:r w:rsidRPr="00384552">
        <w:rPr>
          <w:rFonts w:cs="Arial"/>
          <w:sz w:val="22"/>
          <w:szCs w:val="22"/>
        </w:rPr>
        <w:t xml:space="preserve">Planificar y realizar asamblea general comunitaria para entrega de sitio, elegir y/o ratificar red de promotores.  </w:t>
      </w:r>
    </w:p>
    <w:p w14:paraId="5CA579E6" w14:textId="77777777" w:rsidR="0003308B" w:rsidRPr="00384552" w:rsidRDefault="0003308B" w:rsidP="0003308B">
      <w:pPr>
        <w:tabs>
          <w:tab w:val="left" w:pos="142"/>
        </w:tabs>
        <w:rPr>
          <w:rFonts w:cs="Arial"/>
          <w:sz w:val="22"/>
          <w:szCs w:val="22"/>
        </w:rPr>
      </w:pPr>
    </w:p>
    <w:p w14:paraId="53424951" w14:textId="77777777" w:rsidR="0003308B" w:rsidRPr="00384552" w:rsidRDefault="0003308B" w:rsidP="0003308B">
      <w:pPr>
        <w:tabs>
          <w:tab w:val="left" w:pos="142"/>
        </w:tabs>
        <w:rPr>
          <w:rFonts w:cs="Arial"/>
          <w:sz w:val="22"/>
          <w:szCs w:val="22"/>
        </w:rPr>
      </w:pPr>
      <w:r w:rsidRPr="00384552">
        <w:rPr>
          <w:rFonts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31037D52" w14:textId="77777777" w:rsidR="0003308B" w:rsidRPr="00384552" w:rsidRDefault="0003308B" w:rsidP="0003308B">
      <w:pPr>
        <w:tabs>
          <w:tab w:val="left" w:pos="142"/>
        </w:tabs>
        <w:rPr>
          <w:rFonts w:cs="Arial"/>
          <w:sz w:val="22"/>
          <w:szCs w:val="22"/>
        </w:rPr>
      </w:pPr>
      <w:r w:rsidRPr="00384552">
        <w:rPr>
          <w:rFonts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6DEB84E8" w14:textId="77777777" w:rsidR="0003308B" w:rsidRPr="00384552" w:rsidRDefault="0003308B" w:rsidP="0003308B">
      <w:pPr>
        <w:tabs>
          <w:tab w:val="left" w:pos="142"/>
        </w:tabs>
        <w:rPr>
          <w:rFonts w:cs="Arial"/>
          <w:sz w:val="22"/>
          <w:szCs w:val="22"/>
        </w:rPr>
      </w:pPr>
    </w:p>
    <w:p w14:paraId="7F56BB7A" w14:textId="77777777" w:rsidR="0003308B" w:rsidRPr="00384552" w:rsidRDefault="0003308B" w:rsidP="0003308B">
      <w:pPr>
        <w:tabs>
          <w:tab w:val="left" w:pos="142"/>
        </w:tabs>
        <w:rPr>
          <w:rFonts w:cs="Arial"/>
          <w:b/>
          <w:sz w:val="22"/>
          <w:szCs w:val="22"/>
        </w:rPr>
      </w:pPr>
      <w:r w:rsidRPr="00384552">
        <w:rPr>
          <w:rFonts w:cs="Arial"/>
          <w:b/>
          <w:sz w:val="22"/>
          <w:szCs w:val="22"/>
        </w:rPr>
        <w:t xml:space="preserve">Producto esperado por parte del contratista: </w:t>
      </w:r>
    </w:p>
    <w:p w14:paraId="3D63399F" w14:textId="77777777" w:rsidR="0003308B" w:rsidRPr="00384552" w:rsidRDefault="0003308B" w:rsidP="0003308B">
      <w:pPr>
        <w:tabs>
          <w:tab w:val="left" w:pos="142"/>
        </w:tabs>
        <w:rPr>
          <w:rFonts w:cs="Arial"/>
          <w:sz w:val="22"/>
          <w:szCs w:val="22"/>
        </w:rPr>
      </w:pPr>
      <w:r w:rsidRPr="00384552">
        <w:rPr>
          <w:rFonts w:cs="Arial"/>
          <w:sz w:val="22"/>
          <w:szCs w:val="22"/>
        </w:rPr>
        <w:t>1. Ayuda memoria.</w:t>
      </w:r>
    </w:p>
    <w:p w14:paraId="22A65DCF" w14:textId="77777777" w:rsidR="0003308B" w:rsidRPr="00384552" w:rsidRDefault="0003308B" w:rsidP="0003308B">
      <w:pPr>
        <w:tabs>
          <w:tab w:val="left" w:pos="142"/>
        </w:tabs>
        <w:rPr>
          <w:rFonts w:cs="Arial"/>
          <w:sz w:val="22"/>
          <w:szCs w:val="22"/>
        </w:rPr>
      </w:pPr>
      <w:r w:rsidRPr="00384552">
        <w:rPr>
          <w:rFonts w:cs="Arial"/>
          <w:sz w:val="22"/>
          <w:szCs w:val="22"/>
        </w:rPr>
        <w:lastRenderedPageBreak/>
        <w:t>2. Acta de asamblea comunitaria</w:t>
      </w:r>
    </w:p>
    <w:p w14:paraId="636987E4" w14:textId="77777777" w:rsidR="0003308B" w:rsidRPr="00384552" w:rsidRDefault="0003308B" w:rsidP="0003308B">
      <w:pPr>
        <w:tabs>
          <w:tab w:val="left" w:pos="142"/>
        </w:tabs>
        <w:rPr>
          <w:rFonts w:cs="Arial"/>
          <w:sz w:val="22"/>
          <w:szCs w:val="22"/>
        </w:rPr>
      </w:pPr>
      <w:r w:rsidRPr="00384552">
        <w:rPr>
          <w:rFonts w:cs="Arial"/>
          <w:sz w:val="22"/>
          <w:szCs w:val="22"/>
        </w:rPr>
        <w:t>3.  Copia de Bitácora</w:t>
      </w:r>
    </w:p>
    <w:p w14:paraId="628F30C9" w14:textId="77777777" w:rsidR="0003308B" w:rsidRPr="00384552" w:rsidRDefault="0003308B" w:rsidP="0003308B">
      <w:pPr>
        <w:tabs>
          <w:tab w:val="left" w:pos="142"/>
        </w:tabs>
        <w:rPr>
          <w:rFonts w:cs="Arial"/>
          <w:sz w:val="22"/>
          <w:szCs w:val="22"/>
        </w:rPr>
      </w:pPr>
      <w:r w:rsidRPr="00384552">
        <w:rPr>
          <w:rFonts w:cs="Arial"/>
          <w:sz w:val="22"/>
          <w:szCs w:val="22"/>
        </w:rPr>
        <w:t>4. Listado de participantes.</w:t>
      </w:r>
    </w:p>
    <w:p w14:paraId="2A4F6BA2" w14:textId="77777777" w:rsidR="0003308B" w:rsidRPr="001D765C" w:rsidRDefault="0003308B" w:rsidP="0003308B">
      <w:pPr>
        <w:tabs>
          <w:tab w:val="left" w:pos="142"/>
        </w:tabs>
        <w:rPr>
          <w:rFonts w:cs="Arial"/>
          <w:i/>
          <w:sz w:val="22"/>
          <w:szCs w:val="22"/>
        </w:rPr>
      </w:pPr>
      <w:r w:rsidRPr="001D765C">
        <w:rPr>
          <w:rFonts w:cs="Arial"/>
          <w:sz w:val="22"/>
          <w:szCs w:val="22"/>
        </w:rPr>
        <w:t>5. Listado oficial de beneficiarios.</w:t>
      </w:r>
    </w:p>
    <w:p w14:paraId="43E0ECCF" w14:textId="77777777" w:rsidR="0003308B" w:rsidRPr="001D765C" w:rsidRDefault="0003308B" w:rsidP="0003308B">
      <w:pPr>
        <w:tabs>
          <w:tab w:val="left" w:pos="142"/>
        </w:tabs>
        <w:rPr>
          <w:rFonts w:cs="Arial"/>
          <w:sz w:val="22"/>
          <w:szCs w:val="22"/>
        </w:rPr>
      </w:pPr>
    </w:p>
    <w:p w14:paraId="26E99B91" w14:textId="77777777" w:rsidR="0003308B" w:rsidRPr="00384552" w:rsidRDefault="0003308B" w:rsidP="0003308B">
      <w:pPr>
        <w:tabs>
          <w:tab w:val="left" w:pos="142"/>
        </w:tabs>
        <w:rPr>
          <w:rFonts w:cs="Arial"/>
          <w:b/>
          <w:sz w:val="22"/>
          <w:szCs w:val="22"/>
        </w:rPr>
      </w:pPr>
      <w:r w:rsidRPr="001D765C">
        <w:rPr>
          <w:rFonts w:cs="Arial"/>
          <w:b/>
          <w:sz w:val="22"/>
          <w:szCs w:val="22"/>
        </w:rPr>
        <w:t>EJECUCIÓN</w:t>
      </w:r>
    </w:p>
    <w:p w14:paraId="6B01BF66" w14:textId="77777777" w:rsidR="0003308B" w:rsidRPr="00384552" w:rsidRDefault="0003308B" w:rsidP="0003308B">
      <w:pPr>
        <w:tabs>
          <w:tab w:val="left" w:pos="142"/>
        </w:tabs>
        <w:rPr>
          <w:rFonts w:cs="Arial"/>
          <w:b/>
          <w:sz w:val="22"/>
          <w:szCs w:val="22"/>
        </w:rPr>
      </w:pPr>
    </w:p>
    <w:p w14:paraId="3D188EF6"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Planifica y Realizar Taller de capacitación del Módulo III (Taller No. 5y 6,) Compendio Metodológico.</w:t>
      </w:r>
    </w:p>
    <w:p w14:paraId="72314436" w14:textId="77777777" w:rsidR="0003308B" w:rsidRPr="00384552" w:rsidRDefault="0003308B" w:rsidP="0003308B">
      <w:pPr>
        <w:tabs>
          <w:tab w:val="left" w:pos="142"/>
        </w:tabs>
        <w:rPr>
          <w:rFonts w:cs="Arial"/>
          <w:sz w:val="22"/>
          <w:szCs w:val="22"/>
        </w:rPr>
      </w:pPr>
    </w:p>
    <w:p w14:paraId="6712CB71" w14:textId="77777777" w:rsidR="0003308B" w:rsidRPr="00384552" w:rsidRDefault="0003308B" w:rsidP="0003308B">
      <w:pPr>
        <w:tabs>
          <w:tab w:val="left" w:pos="142"/>
        </w:tabs>
        <w:rPr>
          <w:rFonts w:cs="Arial"/>
          <w:sz w:val="22"/>
          <w:szCs w:val="22"/>
        </w:rPr>
      </w:pPr>
      <w:r w:rsidRPr="00384552">
        <w:rPr>
          <w:rFonts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384552">
        <w:rPr>
          <w:rFonts w:cs="Arial"/>
          <w:b/>
          <w:sz w:val="22"/>
          <w:szCs w:val="22"/>
        </w:rPr>
        <w:t>Como administramos nuestros servicios de agua”</w:t>
      </w:r>
      <w:r w:rsidRPr="00384552">
        <w:rPr>
          <w:rFonts w:cs="Arial"/>
          <w:sz w:val="22"/>
          <w:szCs w:val="22"/>
        </w:rPr>
        <w:t xml:space="preserve"> talleres No 5 y 6  (con participación de un grupo meta de 18 a 25 protagonistas, integrado por personas de la JD del CAPS, grupo de apoyo, red de promotores/as sociales comunitarios, líderes naturales, gremiales, políticos y religiosos.</w:t>
      </w:r>
    </w:p>
    <w:p w14:paraId="5713A9C2" w14:textId="77777777" w:rsidR="0003308B" w:rsidRDefault="0003308B" w:rsidP="0003308B">
      <w:pPr>
        <w:tabs>
          <w:tab w:val="left" w:pos="142"/>
        </w:tabs>
        <w:rPr>
          <w:rFonts w:cs="Arial"/>
          <w:b/>
          <w:sz w:val="22"/>
          <w:szCs w:val="22"/>
        </w:rPr>
      </w:pPr>
    </w:p>
    <w:p w14:paraId="28644D0C"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contratista:</w:t>
      </w:r>
    </w:p>
    <w:p w14:paraId="2AEC8979" w14:textId="77777777" w:rsidR="0003308B" w:rsidRPr="00384552" w:rsidRDefault="0003308B" w:rsidP="0003308B">
      <w:pPr>
        <w:tabs>
          <w:tab w:val="left" w:pos="142"/>
        </w:tabs>
        <w:rPr>
          <w:rFonts w:cs="Arial"/>
          <w:sz w:val="22"/>
          <w:szCs w:val="22"/>
        </w:rPr>
      </w:pPr>
    </w:p>
    <w:p w14:paraId="4F629EB4" w14:textId="77777777" w:rsidR="0003308B" w:rsidRPr="00384552" w:rsidRDefault="0003308B" w:rsidP="0003308B">
      <w:pPr>
        <w:tabs>
          <w:tab w:val="left" w:pos="142"/>
        </w:tabs>
        <w:rPr>
          <w:rFonts w:cs="Arial"/>
          <w:sz w:val="22"/>
          <w:szCs w:val="22"/>
        </w:rPr>
      </w:pPr>
      <w:r w:rsidRPr="00384552">
        <w:rPr>
          <w:rFonts w:cs="Arial"/>
          <w:sz w:val="22"/>
          <w:szCs w:val="22"/>
        </w:rPr>
        <w:t>1. Cuaderno, lapiceros.</w:t>
      </w:r>
    </w:p>
    <w:p w14:paraId="156F3EA1" w14:textId="77777777" w:rsidR="0003308B" w:rsidRPr="00384552" w:rsidRDefault="0003308B" w:rsidP="0003308B">
      <w:pPr>
        <w:tabs>
          <w:tab w:val="left" w:pos="142"/>
        </w:tabs>
        <w:rPr>
          <w:rFonts w:cs="Arial"/>
          <w:sz w:val="22"/>
          <w:szCs w:val="22"/>
        </w:rPr>
      </w:pPr>
      <w:r w:rsidRPr="00384552">
        <w:rPr>
          <w:rFonts w:cs="Arial"/>
          <w:sz w:val="22"/>
          <w:szCs w:val="22"/>
        </w:rPr>
        <w:t xml:space="preserve">3. Local para realizar los talleres.  </w:t>
      </w:r>
    </w:p>
    <w:p w14:paraId="67C254CB" w14:textId="77777777" w:rsidR="0003308B" w:rsidRPr="00384552" w:rsidRDefault="0003308B" w:rsidP="0003308B">
      <w:pPr>
        <w:tabs>
          <w:tab w:val="left" w:pos="142"/>
        </w:tabs>
        <w:rPr>
          <w:rFonts w:cs="Arial"/>
          <w:sz w:val="22"/>
          <w:szCs w:val="22"/>
        </w:rPr>
      </w:pPr>
      <w:r w:rsidRPr="00384552">
        <w:rPr>
          <w:rFonts w:cs="Arial"/>
          <w:sz w:val="22"/>
          <w:szCs w:val="22"/>
        </w:rPr>
        <w:t>2. refrigerios/Almuerzos.</w:t>
      </w:r>
    </w:p>
    <w:p w14:paraId="253BD354" w14:textId="77777777" w:rsidR="0003308B" w:rsidRPr="00384552" w:rsidRDefault="0003308B" w:rsidP="0003308B">
      <w:pPr>
        <w:tabs>
          <w:tab w:val="left" w:pos="142"/>
        </w:tabs>
        <w:rPr>
          <w:rFonts w:cs="Arial"/>
          <w:sz w:val="22"/>
          <w:szCs w:val="22"/>
        </w:rPr>
      </w:pPr>
    </w:p>
    <w:p w14:paraId="0327005B"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Fise:</w:t>
      </w:r>
    </w:p>
    <w:p w14:paraId="0A455770" w14:textId="77777777" w:rsidR="0003308B" w:rsidRPr="00384552" w:rsidRDefault="0003308B" w:rsidP="0003308B">
      <w:pPr>
        <w:tabs>
          <w:tab w:val="left" w:pos="142"/>
        </w:tabs>
        <w:rPr>
          <w:rFonts w:cs="Arial"/>
          <w:sz w:val="22"/>
          <w:szCs w:val="22"/>
        </w:rPr>
      </w:pPr>
      <w:r w:rsidRPr="00384552">
        <w:rPr>
          <w:rFonts w:cs="Arial"/>
          <w:sz w:val="22"/>
          <w:szCs w:val="22"/>
        </w:rPr>
        <w:t>1.  Guía Metodológica.</w:t>
      </w:r>
    </w:p>
    <w:p w14:paraId="213815E5" w14:textId="77777777" w:rsidR="0003308B" w:rsidRPr="00384552" w:rsidRDefault="0003308B" w:rsidP="0003308B">
      <w:pPr>
        <w:tabs>
          <w:tab w:val="left" w:pos="142"/>
        </w:tabs>
        <w:rPr>
          <w:rFonts w:cs="Arial"/>
          <w:sz w:val="22"/>
          <w:szCs w:val="22"/>
        </w:rPr>
      </w:pPr>
      <w:r w:rsidRPr="00384552">
        <w:rPr>
          <w:rFonts w:cs="Arial"/>
          <w:sz w:val="22"/>
          <w:szCs w:val="22"/>
        </w:rPr>
        <w:t xml:space="preserve">2.  Módulo 3 Cartilla 5, 6,  </w:t>
      </w:r>
    </w:p>
    <w:p w14:paraId="7FACB11E" w14:textId="77777777" w:rsidR="0003308B" w:rsidRPr="00384552" w:rsidRDefault="0003308B" w:rsidP="0003308B">
      <w:pPr>
        <w:tabs>
          <w:tab w:val="left" w:pos="142"/>
        </w:tabs>
        <w:rPr>
          <w:rFonts w:cs="Arial"/>
          <w:sz w:val="22"/>
          <w:szCs w:val="22"/>
        </w:rPr>
      </w:pPr>
    </w:p>
    <w:p w14:paraId="1F13D309" w14:textId="77777777" w:rsidR="0003308B" w:rsidRPr="00384552" w:rsidRDefault="0003308B" w:rsidP="0003308B">
      <w:pPr>
        <w:tabs>
          <w:tab w:val="left" w:pos="142"/>
        </w:tabs>
        <w:rPr>
          <w:rFonts w:cs="Arial"/>
          <w:b/>
          <w:sz w:val="22"/>
          <w:szCs w:val="22"/>
        </w:rPr>
      </w:pPr>
      <w:r w:rsidRPr="00384552">
        <w:rPr>
          <w:rFonts w:cs="Arial"/>
          <w:b/>
          <w:sz w:val="22"/>
          <w:szCs w:val="22"/>
        </w:rPr>
        <w:t>Duración:</w:t>
      </w:r>
    </w:p>
    <w:p w14:paraId="5693B731" w14:textId="77777777" w:rsidR="0003308B" w:rsidRPr="00384552" w:rsidRDefault="0003308B" w:rsidP="0003308B">
      <w:pPr>
        <w:tabs>
          <w:tab w:val="left" w:pos="142"/>
        </w:tabs>
        <w:rPr>
          <w:rFonts w:cs="Arial"/>
          <w:sz w:val="22"/>
          <w:szCs w:val="22"/>
        </w:rPr>
      </w:pPr>
      <w:r w:rsidRPr="00384552">
        <w:rPr>
          <w:rFonts w:cs="Arial"/>
          <w:sz w:val="22"/>
          <w:szCs w:val="22"/>
        </w:rPr>
        <w:t xml:space="preserve"> Carga horaria cuatro (4) horas.</w:t>
      </w:r>
    </w:p>
    <w:p w14:paraId="7BE7B21B" w14:textId="77777777" w:rsidR="0003308B" w:rsidRPr="00384552" w:rsidRDefault="0003308B" w:rsidP="0003308B">
      <w:pPr>
        <w:tabs>
          <w:tab w:val="left" w:pos="142"/>
        </w:tabs>
        <w:rPr>
          <w:rFonts w:cs="Arial"/>
          <w:sz w:val="22"/>
          <w:szCs w:val="22"/>
        </w:rPr>
      </w:pPr>
    </w:p>
    <w:p w14:paraId="02A8B7D0" w14:textId="77777777" w:rsidR="0003308B" w:rsidRPr="00384552" w:rsidRDefault="0003308B" w:rsidP="0003308B">
      <w:pPr>
        <w:tabs>
          <w:tab w:val="left" w:pos="142"/>
        </w:tabs>
        <w:rPr>
          <w:rFonts w:cs="Arial"/>
          <w:b/>
          <w:sz w:val="22"/>
          <w:szCs w:val="22"/>
        </w:rPr>
      </w:pPr>
      <w:r w:rsidRPr="00384552">
        <w:rPr>
          <w:rFonts w:cs="Arial"/>
          <w:b/>
          <w:sz w:val="22"/>
          <w:szCs w:val="22"/>
        </w:rPr>
        <w:t xml:space="preserve"> Producto esperado:</w:t>
      </w:r>
    </w:p>
    <w:p w14:paraId="1DA05FBC" w14:textId="77777777" w:rsidR="0003308B" w:rsidRPr="00384552" w:rsidRDefault="0003308B" w:rsidP="0003308B">
      <w:pPr>
        <w:tabs>
          <w:tab w:val="left" w:pos="142"/>
        </w:tabs>
        <w:rPr>
          <w:rFonts w:cs="Arial"/>
          <w:sz w:val="22"/>
          <w:szCs w:val="22"/>
        </w:rPr>
      </w:pPr>
      <w:r w:rsidRPr="00384552">
        <w:rPr>
          <w:rFonts w:cs="Arial"/>
          <w:sz w:val="22"/>
          <w:szCs w:val="22"/>
        </w:rPr>
        <w:t>2. Ayuda Memoria.</w:t>
      </w:r>
    </w:p>
    <w:p w14:paraId="2C85797B" w14:textId="77777777" w:rsidR="0003308B" w:rsidRPr="00384552" w:rsidRDefault="0003308B" w:rsidP="0003308B">
      <w:pPr>
        <w:tabs>
          <w:tab w:val="left" w:pos="142"/>
        </w:tabs>
        <w:rPr>
          <w:rFonts w:cs="Arial"/>
          <w:sz w:val="22"/>
          <w:szCs w:val="22"/>
        </w:rPr>
      </w:pPr>
      <w:r w:rsidRPr="00384552">
        <w:rPr>
          <w:rFonts w:cs="Arial"/>
          <w:sz w:val="22"/>
          <w:szCs w:val="22"/>
        </w:rPr>
        <w:t>3. Lista de participantes.</w:t>
      </w:r>
    </w:p>
    <w:p w14:paraId="1792276C" w14:textId="77777777" w:rsidR="0003308B" w:rsidRPr="00384552" w:rsidRDefault="0003308B" w:rsidP="0003308B">
      <w:pPr>
        <w:tabs>
          <w:tab w:val="left" w:pos="142"/>
        </w:tabs>
        <w:rPr>
          <w:rFonts w:cs="Arial"/>
          <w:sz w:val="22"/>
          <w:szCs w:val="22"/>
        </w:rPr>
      </w:pPr>
      <w:r w:rsidRPr="00384552">
        <w:rPr>
          <w:rFonts w:cs="Arial"/>
          <w:sz w:val="22"/>
          <w:szCs w:val="22"/>
        </w:rPr>
        <w:t>3. Memoria fotográfica.</w:t>
      </w:r>
    </w:p>
    <w:p w14:paraId="5CFF1580" w14:textId="77777777" w:rsidR="0003308B" w:rsidRPr="00384552" w:rsidRDefault="0003308B" w:rsidP="0003308B">
      <w:pPr>
        <w:tabs>
          <w:tab w:val="left" w:pos="142"/>
        </w:tabs>
        <w:rPr>
          <w:rFonts w:cs="Arial"/>
          <w:sz w:val="22"/>
          <w:szCs w:val="22"/>
        </w:rPr>
      </w:pPr>
      <w:r w:rsidRPr="00384552">
        <w:rPr>
          <w:rFonts w:cs="Arial"/>
          <w:sz w:val="22"/>
          <w:szCs w:val="22"/>
        </w:rPr>
        <w:t xml:space="preserve">   </w:t>
      </w:r>
    </w:p>
    <w:p w14:paraId="40E8C357"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Planificar y Realizar Taller de capacitación del Módulo III (Taller No. 7 y 8 ,) Compendio Metodológico.</w:t>
      </w:r>
    </w:p>
    <w:p w14:paraId="3C9AB367" w14:textId="77777777" w:rsidR="0003308B" w:rsidRPr="00384552" w:rsidRDefault="0003308B" w:rsidP="0003308B">
      <w:pPr>
        <w:tabs>
          <w:tab w:val="left" w:pos="142"/>
        </w:tabs>
        <w:rPr>
          <w:rFonts w:cs="Arial"/>
          <w:sz w:val="22"/>
          <w:szCs w:val="22"/>
        </w:rPr>
      </w:pPr>
    </w:p>
    <w:p w14:paraId="15E1453F" w14:textId="77777777" w:rsidR="0003308B" w:rsidRPr="00384552" w:rsidRDefault="0003308B" w:rsidP="0003308B">
      <w:pPr>
        <w:tabs>
          <w:tab w:val="left" w:pos="142"/>
        </w:tabs>
        <w:rPr>
          <w:rFonts w:cs="Arial"/>
          <w:sz w:val="22"/>
          <w:szCs w:val="22"/>
        </w:rPr>
      </w:pPr>
      <w:r w:rsidRPr="00384552">
        <w:rPr>
          <w:rFonts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384552">
        <w:rPr>
          <w:rFonts w:cs="Arial"/>
          <w:b/>
          <w:sz w:val="22"/>
          <w:szCs w:val="22"/>
        </w:rPr>
        <w:t>Como administramos nuestros servicios de agua”</w:t>
      </w:r>
      <w:r w:rsidRPr="00384552">
        <w:rPr>
          <w:rFonts w:cs="Arial"/>
          <w:sz w:val="22"/>
          <w:szCs w:val="22"/>
        </w:rPr>
        <w:t xml:space="preserve"> talleres No 7 y 8  (con participación de un grupo meta de 18 a 25 protagonistas, integrado por personas de la JD del CAPS, grupo de apoyo, red de promotores/as sociales comunitarios, líderes naturales, gremiales, políticos y religiosos.</w:t>
      </w:r>
    </w:p>
    <w:p w14:paraId="7E2A38A8" w14:textId="77777777" w:rsidR="0003308B" w:rsidRPr="00384552" w:rsidRDefault="0003308B" w:rsidP="0003308B">
      <w:pPr>
        <w:tabs>
          <w:tab w:val="left" w:pos="142"/>
        </w:tabs>
        <w:rPr>
          <w:rFonts w:cs="Arial"/>
          <w:b/>
          <w:sz w:val="22"/>
          <w:szCs w:val="22"/>
        </w:rPr>
      </w:pPr>
    </w:p>
    <w:p w14:paraId="34CC7CC5"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contratista:</w:t>
      </w:r>
    </w:p>
    <w:p w14:paraId="23DB4F3C" w14:textId="77777777" w:rsidR="0003308B" w:rsidRPr="00384552" w:rsidRDefault="0003308B" w:rsidP="0003308B">
      <w:pPr>
        <w:tabs>
          <w:tab w:val="left" w:pos="142"/>
        </w:tabs>
        <w:rPr>
          <w:rFonts w:cs="Arial"/>
          <w:sz w:val="22"/>
          <w:szCs w:val="22"/>
        </w:rPr>
      </w:pPr>
    </w:p>
    <w:p w14:paraId="2F7B7715" w14:textId="77777777" w:rsidR="0003308B" w:rsidRPr="00384552" w:rsidRDefault="0003308B" w:rsidP="0003308B">
      <w:pPr>
        <w:tabs>
          <w:tab w:val="left" w:pos="142"/>
        </w:tabs>
        <w:rPr>
          <w:rFonts w:cs="Arial"/>
          <w:sz w:val="22"/>
          <w:szCs w:val="22"/>
        </w:rPr>
      </w:pPr>
      <w:r w:rsidRPr="00384552">
        <w:rPr>
          <w:rFonts w:cs="Arial"/>
          <w:sz w:val="22"/>
          <w:szCs w:val="22"/>
        </w:rPr>
        <w:t>1. Cuaderno, lapiceros.</w:t>
      </w:r>
    </w:p>
    <w:p w14:paraId="2E9422A4" w14:textId="77777777" w:rsidR="0003308B" w:rsidRPr="00384552" w:rsidRDefault="0003308B" w:rsidP="0003308B">
      <w:pPr>
        <w:tabs>
          <w:tab w:val="left" w:pos="142"/>
        </w:tabs>
        <w:rPr>
          <w:rFonts w:cs="Arial"/>
          <w:sz w:val="22"/>
          <w:szCs w:val="22"/>
        </w:rPr>
      </w:pPr>
      <w:r w:rsidRPr="00384552">
        <w:rPr>
          <w:rFonts w:cs="Arial"/>
          <w:sz w:val="22"/>
          <w:szCs w:val="22"/>
        </w:rPr>
        <w:t xml:space="preserve">3. Local para realizar los talleres.  </w:t>
      </w:r>
    </w:p>
    <w:p w14:paraId="0401C865" w14:textId="77777777" w:rsidR="0003308B" w:rsidRPr="00384552" w:rsidRDefault="0003308B" w:rsidP="0003308B">
      <w:pPr>
        <w:tabs>
          <w:tab w:val="left" w:pos="142"/>
        </w:tabs>
        <w:rPr>
          <w:rFonts w:cs="Arial"/>
          <w:sz w:val="22"/>
          <w:szCs w:val="22"/>
        </w:rPr>
      </w:pPr>
      <w:r w:rsidRPr="00384552">
        <w:rPr>
          <w:rFonts w:cs="Arial"/>
          <w:sz w:val="22"/>
          <w:szCs w:val="22"/>
        </w:rPr>
        <w:t>2. refrigerios/Almuerzos.</w:t>
      </w:r>
    </w:p>
    <w:p w14:paraId="537183DC" w14:textId="77777777" w:rsidR="0003308B" w:rsidRPr="00384552" w:rsidRDefault="0003308B" w:rsidP="0003308B">
      <w:pPr>
        <w:tabs>
          <w:tab w:val="left" w:pos="142"/>
        </w:tabs>
        <w:rPr>
          <w:rFonts w:cs="Arial"/>
          <w:b/>
          <w:sz w:val="22"/>
          <w:szCs w:val="22"/>
        </w:rPr>
      </w:pPr>
      <w:r w:rsidRPr="00384552">
        <w:rPr>
          <w:rFonts w:cs="Arial"/>
          <w:b/>
          <w:sz w:val="22"/>
          <w:szCs w:val="22"/>
        </w:rPr>
        <w:lastRenderedPageBreak/>
        <w:t>Requerimiento del Fise:</w:t>
      </w:r>
    </w:p>
    <w:p w14:paraId="44DC7F77" w14:textId="77777777" w:rsidR="0003308B" w:rsidRPr="00384552" w:rsidRDefault="0003308B" w:rsidP="0003308B">
      <w:pPr>
        <w:tabs>
          <w:tab w:val="left" w:pos="142"/>
        </w:tabs>
        <w:rPr>
          <w:rFonts w:cs="Arial"/>
          <w:sz w:val="22"/>
          <w:szCs w:val="22"/>
        </w:rPr>
      </w:pPr>
      <w:r w:rsidRPr="00384552">
        <w:rPr>
          <w:rFonts w:cs="Arial"/>
          <w:sz w:val="22"/>
          <w:szCs w:val="22"/>
        </w:rPr>
        <w:t>1.  Guía Metodológica.</w:t>
      </w:r>
    </w:p>
    <w:p w14:paraId="5A12CB53" w14:textId="77777777" w:rsidR="0003308B" w:rsidRPr="00384552" w:rsidRDefault="0003308B" w:rsidP="0003308B">
      <w:pPr>
        <w:tabs>
          <w:tab w:val="left" w:pos="142"/>
        </w:tabs>
        <w:rPr>
          <w:rFonts w:cs="Arial"/>
          <w:sz w:val="22"/>
          <w:szCs w:val="22"/>
        </w:rPr>
      </w:pPr>
      <w:r w:rsidRPr="00384552">
        <w:rPr>
          <w:rFonts w:cs="Arial"/>
          <w:sz w:val="22"/>
          <w:szCs w:val="22"/>
        </w:rPr>
        <w:t xml:space="preserve">2.  Módulo 3 Cartilla 5, 6,  </w:t>
      </w:r>
    </w:p>
    <w:p w14:paraId="1E0F19DA" w14:textId="77777777" w:rsidR="0003308B" w:rsidRPr="00384552" w:rsidRDefault="0003308B" w:rsidP="0003308B">
      <w:pPr>
        <w:tabs>
          <w:tab w:val="left" w:pos="142"/>
        </w:tabs>
        <w:rPr>
          <w:rFonts w:cs="Arial"/>
          <w:sz w:val="22"/>
          <w:szCs w:val="22"/>
        </w:rPr>
      </w:pPr>
    </w:p>
    <w:p w14:paraId="445F8CD9" w14:textId="77777777" w:rsidR="0003308B" w:rsidRPr="00384552" w:rsidRDefault="0003308B" w:rsidP="0003308B">
      <w:pPr>
        <w:tabs>
          <w:tab w:val="left" w:pos="142"/>
        </w:tabs>
        <w:rPr>
          <w:rFonts w:cs="Arial"/>
          <w:b/>
          <w:sz w:val="22"/>
          <w:szCs w:val="22"/>
        </w:rPr>
      </w:pPr>
      <w:r w:rsidRPr="00384552">
        <w:rPr>
          <w:rFonts w:cs="Arial"/>
          <w:b/>
          <w:sz w:val="22"/>
          <w:szCs w:val="22"/>
        </w:rPr>
        <w:t>Duración:</w:t>
      </w:r>
    </w:p>
    <w:p w14:paraId="20AB33B4" w14:textId="77777777" w:rsidR="0003308B" w:rsidRPr="00384552" w:rsidRDefault="0003308B" w:rsidP="0003308B">
      <w:pPr>
        <w:tabs>
          <w:tab w:val="left" w:pos="142"/>
        </w:tabs>
        <w:rPr>
          <w:rFonts w:cs="Arial"/>
          <w:sz w:val="22"/>
          <w:szCs w:val="22"/>
        </w:rPr>
      </w:pPr>
      <w:r w:rsidRPr="00384552">
        <w:rPr>
          <w:rFonts w:cs="Arial"/>
          <w:sz w:val="22"/>
          <w:szCs w:val="22"/>
        </w:rPr>
        <w:t xml:space="preserve"> Carga horaria cuatro (4) horas.</w:t>
      </w:r>
    </w:p>
    <w:p w14:paraId="62EB562F" w14:textId="77777777" w:rsidR="0003308B" w:rsidRPr="00384552" w:rsidRDefault="0003308B" w:rsidP="0003308B">
      <w:pPr>
        <w:tabs>
          <w:tab w:val="left" w:pos="142"/>
        </w:tabs>
        <w:rPr>
          <w:rFonts w:cs="Arial"/>
          <w:sz w:val="22"/>
          <w:szCs w:val="22"/>
        </w:rPr>
      </w:pPr>
    </w:p>
    <w:p w14:paraId="79562216" w14:textId="77777777" w:rsidR="0003308B" w:rsidRPr="00384552" w:rsidRDefault="0003308B" w:rsidP="0003308B">
      <w:pPr>
        <w:tabs>
          <w:tab w:val="left" w:pos="142"/>
        </w:tabs>
        <w:rPr>
          <w:rFonts w:cs="Arial"/>
          <w:b/>
          <w:sz w:val="22"/>
          <w:szCs w:val="22"/>
        </w:rPr>
      </w:pPr>
      <w:r w:rsidRPr="00384552">
        <w:rPr>
          <w:rFonts w:cs="Arial"/>
          <w:b/>
          <w:sz w:val="22"/>
          <w:szCs w:val="22"/>
        </w:rPr>
        <w:t xml:space="preserve"> Producto esperado:</w:t>
      </w:r>
    </w:p>
    <w:p w14:paraId="78669E19" w14:textId="77777777" w:rsidR="0003308B" w:rsidRPr="00384552" w:rsidRDefault="0003308B" w:rsidP="0003308B">
      <w:pPr>
        <w:tabs>
          <w:tab w:val="left" w:pos="142"/>
        </w:tabs>
        <w:rPr>
          <w:rFonts w:cs="Arial"/>
          <w:sz w:val="22"/>
          <w:szCs w:val="22"/>
        </w:rPr>
      </w:pPr>
      <w:r w:rsidRPr="00384552">
        <w:rPr>
          <w:rFonts w:cs="Arial"/>
          <w:sz w:val="22"/>
          <w:szCs w:val="22"/>
        </w:rPr>
        <w:t>2. Ayuda Memoria.</w:t>
      </w:r>
    </w:p>
    <w:p w14:paraId="13CC2BE2" w14:textId="77777777" w:rsidR="0003308B" w:rsidRPr="00384552" w:rsidRDefault="0003308B" w:rsidP="0003308B">
      <w:pPr>
        <w:tabs>
          <w:tab w:val="left" w:pos="142"/>
        </w:tabs>
        <w:rPr>
          <w:rFonts w:cs="Arial"/>
          <w:sz w:val="22"/>
          <w:szCs w:val="22"/>
        </w:rPr>
      </w:pPr>
      <w:r w:rsidRPr="00384552">
        <w:rPr>
          <w:rFonts w:cs="Arial"/>
          <w:sz w:val="22"/>
          <w:szCs w:val="22"/>
        </w:rPr>
        <w:t>3. Lista de participantes.</w:t>
      </w:r>
    </w:p>
    <w:p w14:paraId="1ABC27E3" w14:textId="77777777" w:rsidR="0003308B" w:rsidRPr="00384552" w:rsidRDefault="0003308B" w:rsidP="0003308B">
      <w:pPr>
        <w:tabs>
          <w:tab w:val="left" w:pos="142"/>
        </w:tabs>
        <w:rPr>
          <w:rFonts w:cs="Arial"/>
          <w:sz w:val="22"/>
          <w:szCs w:val="22"/>
        </w:rPr>
      </w:pPr>
      <w:r w:rsidRPr="00384552">
        <w:rPr>
          <w:rFonts w:cs="Arial"/>
          <w:sz w:val="22"/>
          <w:szCs w:val="22"/>
        </w:rPr>
        <w:t>3. Memoria fotográfica.</w:t>
      </w:r>
    </w:p>
    <w:p w14:paraId="3F52FE71" w14:textId="77777777" w:rsidR="0003308B" w:rsidRPr="00384552" w:rsidRDefault="0003308B" w:rsidP="0003308B">
      <w:pPr>
        <w:tabs>
          <w:tab w:val="left" w:pos="142"/>
        </w:tabs>
        <w:rPr>
          <w:rFonts w:cs="Arial"/>
          <w:sz w:val="22"/>
          <w:szCs w:val="22"/>
        </w:rPr>
      </w:pPr>
    </w:p>
    <w:p w14:paraId="6DF7F9C2"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planificación de realización de talleres de capacitación del módulo III (taller No. 5,6,7 y 8) del compendio metodológico</w:t>
      </w:r>
    </w:p>
    <w:p w14:paraId="5D3576F8" w14:textId="77777777" w:rsidR="0003308B" w:rsidRPr="00384552" w:rsidRDefault="0003308B" w:rsidP="0003308B">
      <w:pPr>
        <w:tabs>
          <w:tab w:val="left" w:pos="142"/>
        </w:tabs>
        <w:contextualSpacing/>
        <w:rPr>
          <w:rFonts w:cs="Arial"/>
          <w:b/>
          <w:sz w:val="22"/>
          <w:szCs w:val="22"/>
        </w:rPr>
      </w:pPr>
    </w:p>
    <w:p w14:paraId="6721ECB8" w14:textId="77777777" w:rsidR="0003308B" w:rsidRPr="00384552" w:rsidRDefault="0003308B" w:rsidP="0003308B">
      <w:pPr>
        <w:tabs>
          <w:tab w:val="left" w:pos="142"/>
        </w:tabs>
        <w:contextualSpacing/>
        <w:rPr>
          <w:rFonts w:cs="Arial"/>
          <w:i/>
          <w:sz w:val="22"/>
          <w:szCs w:val="22"/>
        </w:rPr>
      </w:pPr>
      <w:r w:rsidRPr="00384552">
        <w:rPr>
          <w:rFonts w:cs="Arial"/>
          <w:sz w:val="22"/>
          <w:szCs w:val="22"/>
        </w:rPr>
        <w:t>El contratista va elaborar un informe de resultados consolidado de la actividad planificada de realización de talleres de capacitación del módulo III del compendio metodológico.</w:t>
      </w:r>
    </w:p>
    <w:p w14:paraId="1B834CE0" w14:textId="77777777" w:rsidR="0003308B" w:rsidRPr="00384552" w:rsidRDefault="0003308B" w:rsidP="0003308B">
      <w:pPr>
        <w:tabs>
          <w:tab w:val="left" w:pos="142"/>
        </w:tabs>
        <w:contextualSpacing/>
        <w:rPr>
          <w:rFonts w:cs="Arial"/>
          <w:i/>
          <w:sz w:val="22"/>
          <w:szCs w:val="22"/>
        </w:rPr>
      </w:pPr>
    </w:p>
    <w:p w14:paraId="1728F4C9" w14:textId="77777777" w:rsidR="0003308B" w:rsidRPr="00384552" w:rsidRDefault="0003308B" w:rsidP="0003308B">
      <w:pPr>
        <w:tabs>
          <w:tab w:val="left" w:pos="142"/>
        </w:tabs>
        <w:contextualSpacing/>
        <w:rPr>
          <w:rFonts w:cs="Arial"/>
          <w:i/>
          <w:sz w:val="22"/>
          <w:szCs w:val="22"/>
        </w:rPr>
      </w:pPr>
      <w:r w:rsidRPr="00384552">
        <w:rPr>
          <w:rFonts w:cs="Arial"/>
          <w:sz w:val="22"/>
          <w:szCs w:val="22"/>
        </w:rPr>
        <w:t>Requerimiento del contratista:</w:t>
      </w:r>
    </w:p>
    <w:p w14:paraId="19437A78" w14:textId="77777777" w:rsidR="0003308B" w:rsidRPr="00384552" w:rsidRDefault="0003308B" w:rsidP="0003308B">
      <w:pPr>
        <w:tabs>
          <w:tab w:val="left" w:pos="142"/>
        </w:tabs>
        <w:contextualSpacing/>
        <w:rPr>
          <w:rFonts w:cs="Arial"/>
          <w:i/>
          <w:sz w:val="22"/>
          <w:szCs w:val="22"/>
        </w:rPr>
      </w:pPr>
    </w:p>
    <w:p w14:paraId="4CBE10F4" w14:textId="77777777" w:rsidR="0003308B" w:rsidRPr="00384552" w:rsidRDefault="0003308B" w:rsidP="003B68DB">
      <w:pPr>
        <w:numPr>
          <w:ilvl w:val="0"/>
          <w:numId w:val="125"/>
        </w:numPr>
        <w:tabs>
          <w:tab w:val="left" w:pos="142"/>
        </w:tabs>
        <w:contextualSpacing/>
        <w:rPr>
          <w:rFonts w:cs="Arial"/>
          <w:i/>
          <w:sz w:val="22"/>
          <w:szCs w:val="22"/>
        </w:rPr>
      </w:pPr>
      <w:r w:rsidRPr="00384552">
        <w:rPr>
          <w:rFonts w:cs="Arial"/>
          <w:sz w:val="22"/>
          <w:szCs w:val="22"/>
        </w:rPr>
        <w:t>Papel, impresiones a colores, encuadernado</w:t>
      </w:r>
    </w:p>
    <w:p w14:paraId="329D45CC" w14:textId="77777777" w:rsidR="0003308B" w:rsidRPr="00384552" w:rsidRDefault="0003308B" w:rsidP="0003308B">
      <w:pPr>
        <w:tabs>
          <w:tab w:val="left" w:pos="142"/>
        </w:tabs>
        <w:ind w:left="720"/>
        <w:contextualSpacing/>
        <w:rPr>
          <w:rFonts w:cs="Arial"/>
          <w:i/>
          <w:sz w:val="22"/>
          <w:szCs w:val="22"/>
        </w:rPr>
      </w:pPr>
    </w:p>
    <w:p w14:paraId="568B5ED4" w14:textId="77777777" w:rsidR="0003308B" w:rsidRPr="00384552" w:rsidRDefault="0003308B" w:rsidP="0003308B">
      <w:pPr>
        <w:tabs>
          <w:tab w:val="left" w:pos="142"/>
        </w:tabs>
        <w:contextualSpacing/>
        <w:rPr>
          <w:rFonts w:cs="Arial"/>
          <w:i/>
          <w:sz w:val="22"/>
          <w:szCs w:val="22"/>
        </w:rPr>
      </w:pPr>
      <w:r w:rsidRPr="00384552">
        <w:rPr>
          <w:rFonts w:cs="Arial"/>
          <w:sz w:val="22"/>
          <w:szCs w:val="22"/>
        </w:rPr>
        <w:t>Producto esperado:</w:t>
      </w:r>
    </w:p>
    <w:p w14:paraId="3BC1BBF0" w14:textId="77777777" w:rsidR="0003308B" w:rsidRPr="00384552" w:rsidRDefault="0003308B" w:rsidP="0003308B">
      <w:pPr>
        <w:tabs>
          <w:tab w:val="left" w:pos="142"/>
        </w:tabs>
        <w:contextualSpacing/>
        <w:rPr>
          <w:rFonts w:cs="Arial"/>
          <w:i/>
          <w:sz w:val="22"/>
          <w:szCs w:val="22"/>
        </w:rPr>
      </w:pPr>
    </w:p>
    <w:p w14:paraId="1253C6A0"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Informe de talleres consolidado con resultados obtenidos en los talleres</w:t>
      </w:r>
    </w:p>
    <w:p w14:paraId="32F792D6"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Lista de participantes</w:t>
      </w:r>
    </w:p>
    <w:p w14:paraId="5EC8E3BF"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Memoria fotográfica</w:t>
      </w:r>
    </w:p>
    <w:p w14:paraId="5BD60594" w14:textId="77777777" w:rsidR="0003308B" w:rsidRPr="00384552" w:rsidRDefault="0003308B" w:rsidP="0003308B">
      <w:pPr>
        <w:tabs>
          <w:tab w:val="left" w:pos="142"/>
        </w:tabs>
        <w:contextualSpacing/>
        <w:rPr>
          <w:rFonts w:cs="Arial"/>
          <w:i/>
          <w:sz w:val="22"/>
          <w:szCs w:val="22"/>
        </w:rPr>
      </w:pPr>
    </w:p>
    <w:p w14:paraId="3CA0EDE3"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 xml:space="preserve">Planificar y Realizar Taller de capacitación del Módulo IV (Talleres No.9 y 10) Compendio Metodológico. (Incluye local, material didáctico, material de apoyo y refrigerio).  </w:t>
      </w:r>
    </w:p>
    <w:p w14:paraId="04D2DF41" w14:textId="77777777" w:rsidR="0003308B" w:rsidRPr="00384552" w:rsidRDefault="0003308B" w:rsidP="0003308B">
      <w:pPr>
        <w:tabs>
          <w:tab w:val="left" w:pos="142"/>
        </w:tabs>
        <w:ind w:left="720"/>
        <w:contextualSpacing/>
        <w:rPr>
          <w:rFonts w:cs="Arial"/>
          <w:b/>
          <w:sz w:val="22"/>
          <w:szCs w:val="22"/>
        </w:rPr>
      </w:pPr>
    </w:p>
    <w:p w14:paraId="28CB8686" w14:textId="77777777" w:rsidR="0003308B" w:rsidRPr="00384552" w:rsidRDefault="0003308B" w:rsidP="0003308B">
      <w:pPr>
        <w:tabs>
          <w:tab w:val="left" w:pos="142"/>
        </w:tabs>
        <w:rPr>
          <w:rFonts w:cs="Arial"/>
          <w:sz w:val="22"/>
          <w:szCs w:val="22"/>
        </w:rPr>
      </w:pPr>
      <w:r w:rsidRPr="00384552">
        <w:rPr>
          <w:rFonts w:cs="Arial"/>
          <w:sz w:val="22"/>
          <w:szCs w:val="22"/>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22F48837" w14:textId="77777777" w:rsidR="0003308B" w:rsidRPr="00384552" w:rsidRDefault="0003308B" w:rsidP="0003308B">
      <w:pPr>
        <w:tabs>
          <w:tab w:val="left" w:pos="142"/>
        </w:tabs>
        <w:rPr>
          <w:rFonts w:cs="Arial"/>
          <w:sz w:val="22"/>
          <w:szCs w:val="22"/>
        </w:rPr>
      </w:pPr>
    </w:p>
    <w:p w14:paraId="1A1A6F0A"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contratista:</w:t>
      </w:r>
    </w:p>
    <w:p w14:paraId="032289EF" w14:textId="77777777" w:rsidR="0003308B" w:rsidRPr="00384552" w:rsidRDefault="0003308B" w:rsidP="0003308B">
      <w:pPr>
        <w:tabs>
          <w:tab w:val="left" w:pos="142"/>
        </w:tabs>
        <w:rPr>
          <w:rFonts w:cs="Arial"/>
          <w:sz w:val="22"/>
          <w:szCs w:val="22"/>
        </w:rPr>
      </w:pPr>
      <w:r w:rsidRPr="00384552">
        <w:rPr>
          <w:rFonts w:cs="Arial"/>
          <w:sz w:val="22"/>
          <w:szCs w:val="22"/>
        </w:rPr>
        <w:t xml:space="preserve">1. Cuaderno y lapiceros </w:t>
      </w:r>
    </w:p>
    <w:p w14:paraId="5F124B3F" w14:textId="77777777" w:rsidR="0003308B" w:rsidRPr="00384552" w:rsidRDefault="0003308B" w:rsidP="0003308B">
      <w:pPr>
        <w:tabs>
          <w:tab w:val="left" w:pos="142"/>
        </w:tabs>
        <w:rPr>
          <w:rFonts w:cs="Arial"/>
          <w:sz w:val="22"/>
          <w:szCs w:val="22"/>
        </w:rPr>
      </w:pPr>
      <w:r w:rsidRPr="00384552">
        <w:rPr>
          <w:rFonts w:cs="Arial"/>
          <w:sz w:val="22"/>
          <w:szCs w:val="22"/>
        </w:rPr>
        <w:t>2. Refrigerios.</w:t>
      </w:r>
    </w:p>
    <w:p w14:paraId="5BDD9D48" w14:textId="77777777" w:rsidR="0003308B" w:rsidRPr="00384552" w:rsidRDefault="0003308B" w:rsidP="0003308B">
      <w:pPr>
        <w:tabs>
          <w:tab w:val="left" w:pos="142"/>
        </w:tabs>
        <w:rPr>
          <w:rFonts w:cs="Arial"/>
          <w:sz w:val="22"/>
          <w:szCs w:val="22"/>
        </w:rPr>
      </w:pPr>
      <w:r w:rsidRPr="00384552">
        <w:rPr>
          <w:rFonts w:cs="Arial"/>
          <w:sz w:val="22"/>
          <w:szCs w:val="22"/>
        </w:rPr>
        <w:t>3. Local para realizar taller.</w:t>
      </w:r>
    </w:p>
    <w:p w14:paraId="5FE7CB7D" w14:textId="77777777" w:rsidR="0003308B" w:rsidRPr="00384552" w:rsidRDefault="0003308B" w:rsidP="0003308B">
      <w:pPr>
        <w:tabs>
          <w:tab w:val="left" w:pos="142"/>
        </w:tabs>
        <w:rPr>
          <w:rFonts w:cs="Arial"/>
          <w:sz w:val="22"/>
          <w:szCs w:val="22"/>
        </w:rPr>
      </w:pPr>
    </w:p>
    <w:p w14:paraId="5A766FAC"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Fise:</w:t>
      </w:r>
    </w:p>
    <w:p w14:paraId="0CA6FD98" w14:textId="77777777" w:rsidR="0003308B" w:rsidRPr="00384552" w:rsidRDefault="0003308B" w:rsidP="0003308B">
      <w:pPr>
        <w:tabs>
          <w:tab w:val="left" w:pos="142"/>
        </w:tabs>
        <w:rPr>
          <w:rFonts w:cs="Arial"/>
          <w:sz w:val="22"/>
          <w:szCs w:val="22"/>
        </w:rPr>
      </w:pPr>
      <w:r w:rsidRPr="00384552">
        <w:rPr>
          <w:rFonts w:cs="Arial"/>
          <w:sz w:val="22"/>
          <w:szCs w:val="22"/>
        </w:rPr>
        <w:t>1. Guía Metodológica.</w:t>
      </w:r>
    </w:p>
    <w:p w14:paraId="7D5B571A" w14:textId="77777777" w:rsidR="0003308B" w:rsidRPr="00384552" w:rsidRDefault="0003308B" w:rsidP="0003308B">
      <w:pPr>
        <w:tabs>
          <w:tab w:val="left" w:pos="142"/>
        </w:tabs>
        <w:rPr>
          <w:rFonts w:cs="Arial"/>
          <w:sz w:val="22"/>
          <w:szCs w:val="22"/>
        </w:rPr>
      </w:pPr>
      <w:r w:rsidRPr="00384552">
        <w:rPr>
          <w:rFonts w:cs="Arial"/>
          <w:sz w:val="22"/>
          <w:szCs w:val="22"/>
        </w:rPr>
        <w:t>2. Cartilla del módulo IV.</w:t>
      </w:r>
    </w:p>
    <w:p w14:paraId="34298B10" w14:textId="77777777" w:rsidR="0003308B" w:rsidRPr="00384552" w:rsidRDefault="0003308B" w:rsidP="0003308B">
      <w:pPr>
        <w:tabs>
          <w:tab w:val="left" w:pos="142"/>
        </w:tabs>
        <w:rPr>
          <w:rFonts w:cs="Arial"/>
          <w:b/>
          <w:sz w:val="22"/>
          <w:szCs w:val="22"/>
        </w:rPr>
      </w:pPr>
    </w:p>
    <w:p w14:paraId="38C8C027" w14:textId="77777777" w:rsidR="0003308B" w:rsidRPr="00384552" w:rsidRDefault="0003308B" w:rsidP="0003308B">
      <w:pPr>
        <w:tabs>
          <w:tab w:val="left" w:pos="142"/>
        </w:tabs>
        <w:rPr>
          <w:rFonts w:cs="Arial"/>
          <w:b/>
          <w:sz w:val="22"/>
          <w:szCs w:val="22"/>
        </w:rPr>
      </w:pPr>
    </w:p>
    <w:p w14:paraId="08805BC2" w14:textId="77777777" w:rsidR="0003308B" w:rsidRPr="00384552" w:rsidRDefault="0003308B" w:rsidP="0003308B">
      <w:pPr>
        <w:tabs>
          <w:tab w:val="left" w:pos="142"/>
        </w:tabs>
        <w:rPr>
          <w:rFonts w:cs="Arial"/>
          <w:b/>
          <w:sz w:val="22"/>
          <w:szCs w:val="22"/>
        </w:rPr>
      </w:pPr>
      <w:r w:rsidRPr="00384552">
        <w:rPr>
          <w:rFonts w:cs="Arial"/>
          <w:b/>
          <w:sz w:val="22"/>
          <w:szCs w:val="22"/>
        </w:rPr>
        <w:t>Producto esperado:</w:t>
      </w:r>
    </w:p>
    <w:p w14:paraId="3F4CCECF" w14:textId="77777777" w:rsidR="0003308B" w:rsidRPr="00384552" w:rsidRDefault="0003308B" w:rsidP="0003308B">
      <w:pPr>
        <w:tabs>
          <w:tab w:val="left" w:pos="142"/>
        </w:tabs>
        <w:rPr>
          <w:rFonts w:cs="Arial"/>
          <w:sz w:val="22"/>
          <w:szCs w:val="22"/>
        </w:rPr>
      </w:pPr>
      <w:r w:rsidRPr="00384552">
        <w:rPr>
          <w:rFonts w:cs="Arial"/>
          <w:sz w:val="22"/>
          <w:szCs w:val="22"/>
        </w:rPr>
        <w:t>1. Informe de talleres.</w:t>
      </w:r>
    </w:p>
    <w:p w14:paraId="00A6B0EC" w14:textId="77777777" w:rsidR="0003308B" w:rsidRPr="00384552" w:rsidRDefault="0003308B" w:rsidP="0003308B">
      <w:pPr>
        <w:tabs>
          <w:tab w:val="left" w:pos="142"/>
        </w:tabs>
        <w:rPr>
          <w:rFonts w:cs="Arial"/>
          <w:sz w:val="22"/>
          <w:szCs w:val="22"/>
        </w:rPr>
      </w:pPr>
      <w:r w:rsidRPr="00384552">
        <w:rPr>
          <w:rFonts w:cs="Arial"/>
          <w:sz w:val="22"/>
          <w:szCs w:val="22"/>
        </w:rPr>
        <w:t>2. Ayuda Memoria.</w:t>
      </w:r>
    </w:p>
    <w:p w14:paraId="15DDF96C" w14:textId="77777777" w:rsidR="0003308B" w:rsidRPr="00384552" w:rsidRDefault="0003308B" w:rsidP="0003308B">
      <w:pPr>
        <w:tabs>
          <w:tab w:val="left" w:pos="142"/>
        </w:tabs>
        <w:rPr>
          <w:rFonts w:cs="Arial"/>
          <w:sz w:val="22"/>
          <w:szCs w:val="22"/>
        </w:rPr>
      </w:pPr>
      <w:r w:rsidRPr="00384552">
        <w:rPr>
          <w:rFonts w:cs="Arial"/>
          <w:sz w:val="22"/>
          <w:szCs w:val="22"/>
        </w:rPr>
        <w:t>3. Lista de participantes.</w:t>
      </w:r>
    </w:p>
    <w:p w14:paraId="7FB653BD" w14:textId="77777777" w:rsidR="0003308B" w:rsidRPr="00384552" w:rsidRDefault="0003308B" w:rsidP="0003308B">
      <w:pPr>
        <w:tabs>
          <w:tab w:val="left" w:pos="142"/>
        </w:tabs>
        <w:rPr>
          <w:rFonts w:cs="Arial"/>
          <w:sz w:val="22"/>
          <w:szCs w:val="22"/>
        </w:rPr>
      </w:pPr>
      <w:r w:rsidRPr="00384552">
        <w:rPr>
          <w:rFonts w:cs="Arial"/>
          <w:sz w:val="22"/>
          <w:szCs w:val="22"/>
        </w:rPr>
        <w:lastRenderedPageBreak/>
        <w:t>3. Memoria fotográfica.</w:t>
      </w:r>
    </w:p>
    <w:p w14:paraId="10B76526" w14:textId="77777777" w:rsidR="0003308B" w:rsidRPr="00384552" w:rsidRDefault="0003308B" w:rsidP="0003308B">
      <w:pPr>
        <w:tabs>
          <w:tab w:val="left" w:pos="142"/>
        </w:tabs>
        <w:rPr>
          <w:rFonts w:cs="Arial"/>
          <w:sz w:val="22"/>
          <w:szCs w:val="22"/>
        </w:rPr>
      </w:pPr>
    </w:p>
    <w:p w14:paraId="66B018D3" w14:textId="77777777" w:rsidR="0003308B" w:rsidRPr="00384552" w:rsidRDefault="0003308B" w:rsidP="0003308B">
      <w:pPr>
        <w:tabs>
          <w:tab w:val="left" w:pos="142"/>
        </w:tabs>
        <w:rPr>
          <w:rFonts w:cs="Arial"/>
          <w:sz w:val="22"/>
          <w:szCs w:val="22"/>
        </w:rPr>
      </w:pPr>
      <w:r w:rsidRPr="00384552">
        <w:rPr>
          <w:rFonts w:cs="Arial"/>
          <w:sz w:val="22"/>
          <w:szCs w:val="22"/>
        </w:rPr>
        <w:t xml:space="preserve">Duración de cuatro (4) horas. </w:t>
      </w:r>
    </w:p>
    <w:p w14:paraId="0CB5556F" w14:textId="77777777" w:rsidR="0003308B" w:rsidRPr="00384552" w:rsidRDefault="0003308B" w:rsidP="0003308B">
      <w:pPr>
        <w:tabs>
          <w:tab w:val="left" w:pos="142"/>
        </w:tabs>
        <w:rPr>
          <w:rFonts w:cs="Arial"/>
          <w:sz w:val="22"/>
          <w:szCs w:val="22"/>
        </w:rPr>
      </w:pPr>
    </w:p>
    <w:p w14:paraId="239B43B1"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planificación de realización de talleres de capacitación del módulo III (taller No. 9 y 10) del compendio metodológico</w:t>
      </w:r>
    </w:p>
    <w:p w14:paraId="168091E7" w14:textId="77777777" w:rsidR="0003308B" w:rsidRPr="00384552" w:rsidRDefault="0003308B" w:rsidP="0003308B">
      <w:pPr>
        <w:tabs>
          <w:tab w:val="left" w:pos="142"/>
        </w:tabs>
        <w:contextualSpacing/>
        <w:rPr>
          <w:rFonts w:cs="Arial"/>
          <w:b/>
          <w:sz w:val="22"/>
          <w:szCs w:val="22"/>
        </w:rPr>
      </w:pPr>
    </w:p>
    <w:p w14:paraId="5D6A1206" w14:textId="77777777" w:rsidR="0003308B" w:rsidRPr="00384552" w:rsidRDefault="0003308B" w:rsidP="0003308B">
      <w:pPr>
        <w:tabs>
          <w:tab w:val="left" w:pos="142"/>
        </w:tabs>
        <w:contextualSpacing/>
        <w:rPr>
          <w:rFonts w:cs="Arial"/>
          <w:i/>
          <w:sz w:val="22"/>
          <w:szCs w:val="22"/>
        </w:rPr>
      </w:pPr>
      <w:r w:rsidRPr="00384552">
        <w:rPr>
          <w:rFonts w:cs="Arial"/>
          <w:sz w:val="22"/>
          <w:szCs w:val="22"/>
        </w:rPr>
        <w:t>El contratista va elaborar un informe de resultados consolidado de la actividad planificada de realización de talleres de capacitación del módulo III del compendio metodológico.</w:t>
      </w:r>
    </w:p>
    <w:p w14:paraId="4942587B" w14:textId="77777777" w:rsidR="0003308B" w:rsidRPr="00384552" w:rsidRDefault="0003308B" w:rsidP="0003308B">
      <w:pPr>
        <w:tabs>
          <w:tab w:val="left" w:pos="142"/>
        </w:tabs>
        <w:contextualSpacing/>
        <w:rPr>
          <w:rFonts w:cs="Arial"/>
          <w:i/>
          <w:sz w:val="22"/>
          <w:szCs w:val="22"/>
        </w:rPr>
      </w:pPr>
    </w:p>
    <w:p w14:paraId="11493A88" w14:textId="77777777" w:rsidR="0003308B" w:rsidRPr="00384552" w:rsidRDefault="0003308B" w:rsidP="0003308B">
      <w:pPr>
        <w:tabs>
          <w:tab w:val="left" w:pos="142"/>
        </w:tabs>
        <w:contextualSpacing/>
        <w:rPr>
          <w:rFonts w:cs="Arial"/>
          <w:i/>
          <w:sz w:val="22"/>
          <w:szCs w:val="22"/>
        </w:rPr>
      </w:pPr>
      <w:r w:rsidRPr="00384552">
        <w:rPr>
          <w:rFonts w:cs="Arial"/>
          <w:sz w:val="22"/>
          <w:szCs w:val="22"/>
        </w:rPr>
        <w:t>Requerimiento del contratista:</w:t>
      </w:r>
    </w:p>
    <w:p w14:paraId="415730B3" w14:textId="77777777" w:rsidR="0003308B" w:rsidRPr="00384552" w:rsidRDefault="0003308B" w:rsidP="0003308B">
      <w:pPr>
        <w:tabs>
          <w:tab w:val="left" w:pos="142"/>
        </w:tabs>
        <w:contextualSpacing/>
        <w:rPr>
          <w:rFonts w:cs="Arial"/>
          <w:i/>
          <w:sz w:val="22"/>
          <w:szCs w:val="22"/>
        </w:rPr>
      </w:pPr>
    </w:p>
    <w:p w14:paraId="48F40CD5" w14:textId="77777777" w:rsidR="0003308B" w:rsidRPr="00384552" w:rsidRDefault="0003308B" w:rsidP="003B68DB">
      <w:pPr>
        <w:numPr>
          <w:ilvl w:val="0"/>
          <w:numId w:val="125"/>
        </w:numPr>
        <w:tabs>
          <w:tab w:val="left" w:pos="142"/>
        </w:tabs>
        <w:contextualSpacing/>
        <w:rPr>
          <w:rFonts w:cs="Arial"/>
          <w:i/>
          <w:sz w:val="22"/>
          <w:szCs w:val="22"/>
        </w:rPr>
      </w:pPr>
      <w:r w:rsidRPr="00384552">
        <w:rPr>
          <w:rFonts w:cs="Arial"/>
          <w:sz w:val="22"/>
          <w:szCs w:val="22"/>
        </w:rPr>
        <w:t>Papel, impresiones a colores, encuadernado</w:t>
      </w:r>
    </w:p>
    <w:p w14:paraId="559D1DFF" w14:textId="77777777" w:rsidR="0003308B" w:rsidRPr="00384552" w:rsidRDefault="0003308B" w:rsidP="0003308B">
      <w:pPr>
        <w:tabs>
          <w:tab w:val="left" w:pos="142"/>
        </w:tabs>
        <w:ind w:left="720"/>
        <w:contextualSpacing/>
        <w:rPr>
          <w:rFonts w:cs="Arial"/>
          <w:i/>
          <w:sz w:val="22"/>
          <w:szCs w:val="22"/>
        </w:rPr>
      </w:pPr>
    </w:p>
    <w:p w14:paraId="07949895" w14:textId="77777777" w:rsidR="0003308B" w:rsidRPr="00384552" w:rsidRDefault="0003308B" w:rsidP="0003308B">
      <w:pPr>
        <w:tabs>
          <w:tab w:val="left" w:pos="142"/>
        </w:tabs>
        <w:contextualSpacing/>
        <w:rPr>
          <w:rFonts w:cs="Arial"/>
          <w:i/>
          <w:sz w:val="22"/>
          <w:szCs w:val="22"/>
        </w:rPr>
      </w:pPr>
      <w:r w:rsidRPr="00384552">
        <w:rPr>
          <w:rFonts w:cs="Arial"/>
          <w:sz w:val="22"/>
          <w:szCs w:val="22"/>
        </w:rPr>
        <w:t>Producto esperado:</w:t>
      </w:r>
    </w:p>
    <w:p w14:paraId="6AAE308B" w14:textId="77777777" w:rsidR="0003308B" w:rsidRPr="00384552" w:rsidRDefault="0003308B" w:rsidP="0003308B">
      <w:pPr>
        <w:tabs>
          <w:tab w:val="left" w:pos="142"/>
        </w:tabs>
        <w:contextualSpacing/>
        <w:rPr>
          <w:rFonts w:cs="Arial"/>
          <w:i/>
          <w:sz w:val="22"/>
          <w:szCs w:val="22"/>
        </w:rPr>
      </w:pPr>
    </w:p>
    <w:p w14:paraId="378928FA"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Informe de talleres consolidado con resultados obtenidos en los talleres</w:t>
      </w:r>
    </w:p>
    <w:p w14:paraId="23F5C88D"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Lista de participantes</w:t>
      </w:r>
    </w:p>
    <w:p w14:paraId="271B98E0"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Memoria fotográfica</w:t>
      </w:r>
    </w:p>
    <w:p w14:paraId="68C48012" w14:textId="77777777" w:rsidR="0003308B" w:rsidRPr="00384552" w:rsidRDefault="0003308B" w:rsidP="0003308B">
      <w:pPr>
        <w:tabs>
          <w:tab w:val="left" w:pos="142"/>
        </w:tabs>
        <w:contextualSpacing/>
        <w:rPr>
          <w:rFonts w:cs="Arial"/>
          <w:i/>
          <w:sz w:val="22"/>
          <w:szCs w:val="22"/>
        </w:rPr>
      </w:pPr>
    </w:p>
    <w:p w14:paraId="5572234E" w14:textId="77777777" w:rsidR="0003308B" w:rsidRPr="00384552" w:rsidRDefault="0003308B" w:rsidP="0003308B">
      <w:pPr>
        <w:tabs>
          <w:tab w:val="left" w:pos="142"/>
        </w:tabs>
        <w:ind w:left="720"/>
        <w:contextualSpacing/>
        <w:rPr>
          <w:rFonts w:cs="Arial"/>
          <w:b/>
          <w:sz w:val="22"/>
          <w:szCs w:val="22"/>
        </w:rPr>
      </w:pPr>
    </w:p>
    <w:p w14:paraId="16C14F57"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Planificar y Realización de Taller de capacitación dirigido a promotores(as) sociales comunitarios para implementación de metodología FCSA. Elaborar Informe de Planificación y realización de taller FCSA.</w:t>
      </w:r>
    </w:p>
    <w:p w14:paraId="110D7495" w14:textId="77777777" w:rsidR="0003308B" w:rsidRPr="00384552" w:rsidRDefault="0003308B" w:rsidP="0003308B">
      <w:pPr>
        <w:tabs>
          <w:tab w:val="left" w:pos="142"/>
        </w:tabs>
        <w:ind w:left="720"/>
        <w:contextualSpacing/>
        <w:rPr>
          <w:rFonts w:cs="Arial"/>
          <w:b/>
          <w:sz w:val="22"/>
          <w:szCs w:val="22"/>
        </w:rPr>
      </w:pPr>
    </w:p>
    <w:p w14:paraId="4C3E1F8A" w14:textId="77777777" w:rsidR="0003308B" w:rsidRPr="00384552" w:rsidRDefault="0003308B" w:rsidP="0003308B">
      <w:pPr>
        <w:tabs>
          <w:tab w:val="left" w:pos="142"/>
        </w:tabs>
        <w:rPr>
          <w:rFonts w:cs="Arial"/>
          <w:sz w:val="22"/>
          <w:szCs w:val="22"/>
        </w:rPr>
      </w:pPr>
    </w:p>
    <w:p w14:paraId="064CDFCE" w14:textId="77777777" w:rsidR="0003308B" w:rsidRPr="00384552" w:rsidRDefault="0003308B" w:rsidP="0003308B">
      <w:pPr>
        <w:tabs>
          <w:tab w:val="left" w:pos="142"/>
        </w:tabs>
        <w:rPr>
          <w:rFonts w:cs="Arial"/>
          <w:sz w:val="22"/>
          <w:szCs w:val="22"/>
        </w:rPr>
      </w:pPr>
      <w:r w:rsidRPr="00384552">
        <w:rPr>
          <w:rFonts w:cs="Arial"/>
          <w:sz w:val="22"/>
          <w:szCs w:val="22"/>
        </w:rPr>
        <w:t>Utilizando material Didáctico de FISE (guía del promotor comunitario, cuaderno para promotores comunitarios, ficha familiar, gotitas alegres, tarjetas SARAR, gota alegre grande), se planifica y realiza taller para Implementación de Metodología Familia y Comunidad Saludable-FCSA), con participación de un promotor/ra por cada diez (10) viviendas beneficiarias directas con el proyecto.</w:t>
      </w:r>
    </w:p>
    <w:p w14:paraId="4E32A02D" w14:textId="77777777" w:rsidR="0003308B" w:rsidRPr="00384552" w:rsidRDefault="0003308B" w:rsidP="0003308B">
      <w:pPr>
        <w:tabs>
          <w:tab w:val="left" w:pos="142"/>
        </w:tabs>
        <w:rPr>
          <w:rFonts w:cs="Arial"/>
          <w:sz w:val="22"/>
          <w:szCs w:val="22"/>
        </w:rPr>
      </w:pPr>
    </w:p>
    <w:p w14:paraId="0737BCFC" w14:textId="77777777" w:rsidR="0003308B" w:rsidRPr="00384552" w:rsidRDefault="0003308B" w:rsidP="0003308B">
      <w:pPr>
        <w:tabs>
          <w:tab w:val="left" w:pos="142"/>
        </w:tabs>
        <w:rPr>
          <w:rFonts w:cs="Arial"/>
          <w:b/>
          <w:sz w:val="22"/>
          <w:szCs w:val="22"/>
        </w:rPr>
      </w:pPr>
      <w:r w:rsidRPr="00384552">
        <w:rPr>
          <w:rFonts w:cs="Arial"/>
          <w:b/>
          <w:sz w:val="22"/>
          <w:szCs w:val="22"/>
        </w:rPr>
        <w:t xml:space="preserve">Requerimiento del Contratista: (Incluye local, material didáctico, material de apoyo y refrigerio).  </w:t>
      </w:r>
    </w:p>
    <w:p w14:paraId="0059D2D6" w14:textId="77777777" w:rsidR="0003308B" w:rsidRPr="00384552" w:rsidRDefault="0003308B" w:rsidP="0003308B">
      <w:pPr>
        <w:tabs>
          <w:tab w:val="left" w:pos="142"/>
        </w:tabs>
        <w:rPr>
          <w:rFonts w:cs="Arial"/>
          <w:sz w:val="22"/>
          <w:szCs w:val="22"/>
        </w:rPr>
      </w:pPr>
      <w:r w:rsidRPr="00384552">
        <w:rPr>
          <w:rFonts w:cs="Arial"/>
          <w:sz w:val="22"/>
          <w:szCs w:val="22"/>
        </w:rPr>
        <w:t>1. Cuadernos.</w:t>
      </w:r>
    </w:p>
    <w:p w14:paraId="10FA1391" w14:textId="77777777" w:rsidR="0003308B" w:rsidRPr="00384552" w:rsidRDefault="0003308B" w:rsidP="0003308B">
      <w:pPr>
        <w:tabs>
          <w:tab w:val="left" w:pos="142"/>
        </w:tabs>
        <w:rPr>
          <w:rFonts w:cs="Arial"/>
          <w:sz w:val="22"/>
          <w:szCs w:val="22"/>
        </w:rPr>
      </w:pPr>
      <w:r w:rsidRPr="00384552">
        <w:rPr>
          <w:rFonts w:cs="Arial"/>
          <w:sz w:val="22"/>
          <w:szCs w:val="22"/>
        </w:rPr>
        <w:t>2. Lapiceros.</w:t>
      </w:r>
    </w:p>
    <w:p w14:paraId="64CD6184" w14:textId="77777777" w:rsidR="0003308B" w:rsidRPr="00384552" w:rsidRDefault="0003308B" w:rsidP="0003308B">
      <w:pPr>
        <w:tabs>
          <w:tab w:val="left" w:pos="142"/>
        </w:tabs>
        <w:rPr>
          <w:rFonts w:cs="Arial"/>
          <w:sz w:val="22"/>
          <w:szCs w:val="22"/>
        </w:rPr>
      </w:pPr>
      <w:r w:rsidRPr="00384552">
        <w:rPr>
          <w:rFonts w:cs="Arial"/>
          <w:sz w:val="22"/>
          <w:szCs w:val="22"/>
        </w:rPr>
        <w:t>3. Guía del promotor comunitario.</w:t>
      </w:r>
    </w:p>
    <w:p w14:paraId="3622E3DF" w14:textId="77777777" w:rsidR="0003308B" w:rsidRPr="00384552" w:rsidRDefault="0003308B" w:rsidP="0003308B">
      <w:pPr>
        <w:tabs>
          <w:tab w:val="left" w:pos="142"/>
        </w:tabs>
        <w:rPr>
          <w:rFonts w:cs="Arial"/>
          <w:sz w:val="22"/>
          <w:szCs w:val="22"/>
        </w:rPr>
      </w:pPr>
      <w:r w:rsidRPr="00384552">
        <w:rPr>
          <w:rFonts w:cs="Arial"/>
          <w:sz w:val="22"/>
          <w:szCs w:val="22"/>
        </w:rPr>
        <w:t>4. Cuadernos de registro de vistas FCSA.</w:t>
      </w:r>
    </w:p>
    <w:p w14:paraId="738CA2AC" w14:textId="77777777" w:rsidR="0003308B" w:rsidRPr="00384552" w:rsidRDefault="0003308B" w:rsidP="0003308B">
      <w:pPr>
        <w:tabs>
          <w:tab w:val="left" w:pos="142"/>
        </w:tabs>
        <w:rPr>
          <w:rFonts w:cs="Arial"/>
          <w:sz w:val="22"/>
          <w:szCs w:val="22"/>
        </w:rPr>
      </w:pPr>
      <w:r w:rsidRPr="00384552">
        <w:rPr>
          <w:rFonts w:cs="Arial"/>
          <w:sz w:val="22"/>
          <w:szCs w:val="22"/>
        </w:rPr>
        <w:t>5. Refrigerios/ Almuerzos</w:t>
      </w:r>
    </w:p>
    <w:p w14:paraId="75499751" w14:textId="77777777" w:rsidR="0003308B" w:rsidRPr="00384552" w:rsidRDefault="0003308B" w:rsidP="0003308B">
      <w:pPr>
        <w:tabs>
          <w:tab w:val="left" w:pos="142"/>
        </w:tabs>
        <w:rPr>
          <w:rFonts w:cs="Arial"/>
          <w:sz w:val="22"/>
          <w:szCs w:val="22"/>
        </w:rPr>
      </w:pPr>
      <w:r w:rsidRPr="00384552">
        <w:rPr>
          <w:rFonts w:cs="Arial"/>
          <w:sz w:val="22"/>
          <w:szCs w:val="22"/>
        </w:rPr>
        <w:t>6. Local para realizar taller.</w:t>
      </w:r>
    </w:p>
    <w:p w14:paraId="233F01ED" w14:textId="77777777" w:rsidR="0003308B" w:rsidRPr="00384552" w:rsidRDefault="0003308B" w:rsidP="0003308B">
      <w:pPr>
        <w:tabs>
          <w:tab w:val="left" w:pos="142"/>
        </w:tabs>
        <w:rPr>
          <w:rFonts w:cs="Arial"/>
          <w:sz w:val="22"/>
          <w:szCs w:val="22"/>
        </w:rPr>
      </w:pPr>
      <w:r w:rsidRPr="00384552">
        <w:rPr>
          <w:rFonts w:cs="Arial"/>
          <w:sz w:val="22"/>
          <w:szCs w:val="22"/>
        </w:rPr>
        <w:t>7. Listado del número de viviendas a intervenir con FCSA.</w:t>
      </w:r>
    </w:p>
    <w:p w14:paraId="4339B28B" w14:textId="77777777" w:rsidR="0003308B" w:rsidRPr="00384552" w:rsidRDefault="0003308B" w:rsidP="0003308B">
      <w:pPr>
        <w:tabs>
          <w:tab w:val="left" w:pos="142"/>
        </w:tabs>
        <w:rPr>
          <w:rFonts w:cs="Arial"/>
          <w:sz w:val="22"/>
          <w:szCs w:val="22"/>
        </w:rPr>
      </w:pPr>
    </w:p>
    <w:p w14:paraId="17836959" w14:textId="77777777" w:rsidR="0003308B" w:rsidRPr="00384552" w:rsidRDefault="0003308B" w:rsidP="0003308B">
      <w:pPr>
        <w:tabs>
          <w:tab w:val="left" w:pos="142"/>
        </w:tabs>
        <w:rPr>
          <w:rFonts w:cs="Arial"/>
          <w:b/>
          <w:sz w:val="22"/>
          <w:szCs w:val="22"/>
        </w:rPr>
      </w:pPr>
      <w:r w:rsidRPr="00384552">
        <w:rPr>
          <w:rFonts w:cs="Arial"/>
          <w:b/>
          <w:sz w:val="22"/>
          <w:szCs w:val="22"/>
        </w:rPr>
        <w:t>Requerimiento de Fise:</w:t>
      </w:r>
    </w:p>
    <w:p w14:paraId="276D2F8F" w14:textId="77777777" w:rsidR="0003308B" w:rsidRPr="00384552" w:rsidRDefault="0003308B" w:rsidP="0003308B">
      <w:pPr>
        <w:tabs>
          <w:tab w:val="left" w:pos="142"/>
        </w:tabs>
        <w:rPr>
          <w:rFonts w:cs="Arial"/>
          <w:sz w:val="22"/>
          <w:szCs w:val="22"/>
        </w:rPr>
      </w:pPr>
      <w:r w:rsidRPr="00384552">
        <w:rPr>
          <w:rFonts w:cs="Arial"/>
          <w:sz w:val="22"/>
          <w:szCs w:val="22"/>
        </w:rPr>
        <w:t>1. Fichas Familiares.</w:t>
      </w:r>
    </w:p>
    <w:p w14:paraId="22C64B94" w14:textId="77777777" w:rsidR="0003308B" w:rsidRPr="00384552" w:rsidRDefault="0003308B" w:rsidP="0003308B">
      <w:pPr>
        <w:tabs>
          <w:tab w:val="left" w:pos="142"/>
        </w:tabs>
        <w:rPr>
          <w:rFonts w:cs="Arial"/>
          <w:sz w:val="22"/>
          <w:szCs w:val="22"/>
        </w:rPr>
      </w:pPr>
      <w:r w:rsidRPr="00384552">
        <w:rPr>
          <w:rFonts w:cs="Arial"/>
          <w:sz w:val="22"/>
          <w:szCs w:val="22"/>
        </w:rPr>
        <w:t>2. Afiche de Saneamiento.</w:t>
      </w:r>
    </w:p>
    <w:p w14:paraId="2C4E434F" w14:textId="77777777" w:rsidR="0003308B" w:rsidRPr="00384552" w:rsidRDefault="0003308B" w:rsidP="0003308B">
      <w:pPr>
        <w:tabs>
          <w:tab w:val="left" w:pos="142"/>
        </w:tabs>
        <w:rPr>
          <w:rFonts w:cs="Arial"/>
          <w:sz w:val="22"/>
          <w:szCs w:val="22"/>
        </w:rPr>
      </w:pPr>
      <w:r w:rsidRPr="00384552">
        <w:rPr>
          <w:rFonts w:cs="Arial"/>
          <w:sz w:val="22"/>
          <w:szCs w:val="22"/>
        </w:rPr>
        <w:t>3. Afiche de Lavado de mano.</w:t>
      </w:r>
    </w:p>
    <w:p w14:paraId="5178FFAC" w14:textId="77777777" w:rsidR="0003308B" w:rsidRPr="00384552" w:rsidRDefault="0003308B" w:rsidP="0003308B">
      <w:pPr>
        <w:tabs>
          <w:tab w:val="left" w:pos="142"/>
        </w:tabs>
        <w:rPr>
          <w:rFonts w:cs="Arial"/>
          <w:sz w:val="22"/>
          <w:szCs w:val="22"/>
        </w:rPr>
      </w:pPr>
    </w:p>
    <w:p w14:paraId="29F53863" w14:textId="77777777" w:rsidR="0003308B" w:rsidRPr="00384552" w:rsidRDefault="0003308B" w:rsidP="0003308B">
      <w:pPr>
        <w:tabs>
          <w:tab w:val="left" w:pos="142"/>
        </w:tabs>
        <w:rPr>
          <w:rFonts w:cs="Arial"/>
          <w:b/>
          <w:sz w:val="22"/>
          <w:szCs w:val="22"/>
        </w:rPr>
      </w:pPr>
      <w:r w:rsidRPr="00384552">
        <w:rPr>
          <w:rFonts w:cs="Arial"/>
          <w:b/>
          <w:sz w:val="22"/>
          <w:szCs w:val="22"/>
        </w:rPr>
        <w:t>Producto esperado:</w:t>
      </w:r>
    </w:p>
    <w:p w14:paraId="3F80EBB5" w14:textId="77777777" w:rsidR="0003308B" w:rsidRPr="00384552" w:rsidRDefault="0003308B" w:rsidP="0003308B">
      <w:pPr>
        <w:tabs>
          <w:tab w:val="left" w:pos="142"/>
        </w:tabs>
        <w:rPr>
          <w:rFonts w:cs="Arial"/>
          <w:sz w:val="22"/>
          <w:szCs w:val="22"/>
        </w:rPr>
      </w:pPr>
    </w:p>
    <w:p w14:paraId="4FDF4C01" w14:textId="77777777" w:rsidR="0003308B" w:rsidRPr="00384552" w:rsidRDefault="0003308B" w:rsidP="003B68DB">
      <w:pPr>
        <w:numPr>
          <w:ilvl w:val="0"/>
          <w:numId w:val="123"/>
        </w:numPr>
        <w:tabs>
          <w:tab w:val="left" w:pos="142"/>
        </w:tabs>
        <w:rPr>
          <w:rFonts w:cs="Arial"/>
          <w:sz w:val="22"/>
          <w:szCs w:val="22"/>
        </w:rPr>
      </w:pPr>
      <w:r w:rsidRPr="00384552">
        <w:rPr>
          <w:rFonts w:cs="Arial"/>
          <w:sz w:val="22"/>
          <w:szCs w:val="22"/>
        </w:rPr>
        <w:t>Informe de taller a promotores/ as para la implementación de FCSA. (Con su lista de asistencia y ayuda memoria).</w:t>
      </w:r>
    </w:p>
    <w:p w14:paraId="4473A69E" w14:textId="77777777" w:rsidR="0003308B" w:rsidRPr="00384552" w:rsidRDefault="0003308B" w:rsidP="003B68DB">
      <w:pPr>
        <w:numPr>
          <w:ilvl w:val="0"/>
          <w:numId w:val="123"/>
        </w:numPr>
        <w:tabs>
          <w:tab w:val="left" w:pos="142"/>
        </w:tabs>
        <w:rPr>
          <w:rFonts w:cs="Arial"/>
          <w:sz w:val="22"/>
          <w:szCs w:val="22"/>
        </w:rPr>
      </w:pPr>
      <w:r w:rsidRPr="00384552">
        <w:rPr>
          <w:rFonts w:cs="Arial"/>
          <w:sz w:val="22"/>
          <w:szCs w:val="22"/>
        </w:rPr>
        <w:lastRenderedPageBreak/>
        <w:t>Cada promotor/a ha recibido el material FCSA correspondiente para 10 viviendas beneficiadas directas del proyecto.</w:t>
      </w:r>
    </w:p>
    <w:p w14:paraId="23CBD697" w14:textId="77777777" w:rsidR="0003308B" w:rsidRPr="00384552" w:rsidRDefault="0003308B" w:rsidP="0003308B">
      <w:pPr>
        <w:tabs>
          <w:tab w:val="left" w:pos="142"/>
        </w:tabs>
        <w:rPr>
          <w:rFonts w:cs="Arial"/>
          <w:sz w:val="22"/>
          <w:szCs w:val="22"/>
        </w:rPr>
      </w:pPr>
    </w:p>
    <w:p w14:paraId="5DF41481"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la Promoción y aseguramiento del cumplimiento de los aportes comunitarios del fondo social comunitario (FSC) cuota No.3 y No.4.</w:t>
      </w:r>
    </w:p>
    <w:p w14:paraId="77C374CC" w14:textId="77777777" w:rsidR="0003308B" w:rsidRPr="00384552" w:rsidRDefault="0003308B" w:rsidP="0003308B">
      <w:pPr>
        <w:tabs>
          <w:tab w:val="left" w:pos="142"/>
        </w:tabs>
        <w:rPr>
          <w:rFonts w:cs="Arial"/>
          <w:b/>
          <w:sz w:val="22"/>
          <w:szCs w:val="22"/>
        </w:rPr>
      </w:pPr>
    </w:p>
    <w:p w14:paraId="2064B172" w14:textId="77777777" w:rsidR="0003308B" w:rsidRPr="00384552" w:rsidRDefault="0003308B" w:rsidP="0003308B">
      <w:pPr>
        <w:tabs>
          <w:tab w:val="left" w:pos="142"/>
        </w:tabs>
        <w:rPr>
          <w:rFonts w:cs="Arial"/>
          <w:sz w:val="22"/>
          <w:szCs w:val="22"/>
        </w:rPr>
      </w:pPr>
      <w:r w:rsidRPr="00384552">
        <w:rPr>
          <w:rFonts w:cs="Arial"/>
          <w:sz w:val="22"/>
          <w:szCs w:val="22"/>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51F8154A" w14:textId="77777777" w:rsidR="0003308B" w:rsidRPr="00384552" w:rsidRDefault="0003308B" w:rsidP="0003308B">
      <w:pPr>
        <w:tabs>
          <w:tab w:val="left" w:pos="142"/>
        </w:tabs>
        <w:rPr>
          <w:rFonts w:cs="Arial"/>
          <w:sz w:val="22"/>
          <w:szCs w:val="22"/>
        </w:rPr>
      </w:pPr>
    </w:p>
    <w:p w14:paraId="35559E89" w14:textId="77777777" w:rsidR="0003308B" w:rsidRPr="00384552" w:rsidRDefault="0003308B" w:rsidP="0003308B">
      <w:pPr>
        <w:tabs>
          <w:tab w:val="left" w:pos="142"/>
        </w:tabs>
        <w:rPr>
          <w:rFonts w:cs="Arial"/>
          <w:sz w:val="22"/>
          <w:szCs w:val="22"/>
        </w:rPr>
      </w:pPr>
      <w:r w:rsidRPr="00384552">
        <w:rPr>
          <w:rFonts w:cs="Arial"/>
          <w:sz w:val="22"/>
          <w:szCs w:val="22"/>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30AFC1C4" w14:textId="77777777" w:rsidR="0003308B" w:rsidRPr="00384552" w:rsidRDefault="0003308B" w:rsidP="0003308B">
      <w:pPr>
        <w:tabs>
          <w:tab w:val="left" w:pos="142"/>
        </w:tabs>
        <w:rPr>
          <w:rFonts w:cs="Arial"/>
          <w:sz w:val="22"/>
          <w:szCs w:val="22"/>
        </w:rPr>
      </w:pPr>
    </w:p>
    <w:p w14:paraId="61A9476E" w14:textId="77777777" w:rsidR="0003308B" w:rsidRPr="00384552" w:rsidRDefault="0003308B" w:rsidP="0003308B">
      <w:pPr>
        <w:tabs>
          <w:tab w:val="left" w:pos="142"/>
        </w:tabs>
        <w:rPr>
          <w:rFonts w:cs="Arial"/>
          <w:b/>
          <w:sz w:val="22"/>
          <w:szCs w:val="22"/>
        </w:rPr>
      </w:pPr>
      <w:r w:rsidRPr="00384552">
        <w:rPr>
          <w:rFonts w:cs="Arial"/>
          <w:b/>
          <w:sz w:val="22"/>
          <w:szCs w:val="22"/>
        </w:rPr>
        <w:t>Instrumentos:</w:t>
      </w:r>
    </w:p>
    <w:p w14:paraId="36262EE3" w14:textId="77777777" w:rsidR="0003308B" w:rsidRPr="00384552" w:rsidRDefault="0003308B" w:rsidP="0003308B">
      <w:pPr>
        <w:tabs>
          <w:tab w:val="left" w:pos="142"/>
        </w:tabs>
        <w:rPr>
          <w:rFonts w:cs="Arial"/>
          <w:sz w:val="22"/>
          <w:szCs w:val="22"/>
        </w:rPr>
      </w:pPr>
      <w:r w:rsidRPr="00384552">
        <w:rPr>
          <w:rFonts w:cs="Arial"/>
          <w:sz w:val="22"/>
          <w:szCs w:val="22"/>
        </w:rPr>
        <w:t xml:space="preserve">1.  control de pago del FSC establecidos por FISE, los cuales serán presentados en informes requeridos, en los productos del contrato.  </w:t>
      </w:r>
    </w:p>
    <w:p w14:paraId="71E191D4" w14:textId="77777777" w:rsidR="0003308B" w:rsidRPr="00384552" w:rsidRDefault="0003308B" w:rsidP="0003308B">
      <w:pPr>
        <w:tabs>
          <w:tab w:val="left" w:pos="142"/>
        </w:tabs>
        <w:rPr>
          <w:rFonts w:cs="Arial"/>
          <w:b/>
          <w:sz w:val="22"/>
          <w:szCs w:val="22"/>
        </w:rPr>
      </w:pPr>
    </w:p>
    <w:p w14:paraId="75A46A46" w14:textId="77777777" w:rsidR="0003308B" w:rsidRPr="00384552" w:rsidRDefault="0003308B" w:rsidP="0003308B">
      <w:pPr>
        <w:tabs>
          <w:tab w:val="left" w:pos="142"/>
        </w:tabs>
        <w:rPr>
          <w:rFonts w:cs="Arial"/>
          <w:b/>
          <w:sz w:val="22"/>
          <w:szCs w:val="22"/>
        </w:rPr>
      </w:pPr>
      <w:r w:rsidRPr="00384552">
        <w:rPr>
          <w:rFonts w:cs="Arial"/>
          <w:b/>
          <w:sz w:val="22"/>
          <w:szCs w:val="22"/>
        </w:rPr>
        <w:t>Producto esperado:</w:t>
      </w:r>
    </w:p>
    <w:p w14:paraId="3F8DEDCD" w14:textId="77777777" w:rsidR="0003308B" w:rsidRPr="00384552" w:rsidRDefault="0003308B" w:rsidP="0003308B">
      <w:pPr>
        <w:tabs>
          <w:tab w:val="left" w:pos="142"/>
        </w:tabs>
        <w:rPr>
          <w:rFonts w:cs="Arial"/>
          <w:sz w:val="22"/>
          <w:szCs w:val="22"/>
        </w:rPr>
      </w:pPr>
      <w:r w:rsidRPr="00384552">
        <w:rPr>
          <w:rFonts w:cs="Arial"/>
          <w:sz w:val="22"/>
          <w:szCs w:val="22"/>
        </w:rPr>
        <w:t>1. Informe Ejecutivo del cumplimiento del 100% del FSC, correspondiente a esta etapa.</w:t>
      </w:r>
    </w:p>
    <w:p w14:paraId="42E89A61" w14:textId="77777777" w:rsidR="0003308B" w:rsidRPr="00384552" w:rsidRDefault="0003308B" w:rsidP="0003308B">
      <w:pPr>
        <w:tabs>
          <w:tab w:val="left" w:pos="142"/>
        </w:tabs>
        <w:rPr>
          <w:rFonts w:cs="Arial"/>
          <w:sz w:val="22"/>
          <w:szCs w:val="22"/>
        </w:rPr>
      </w:pPr>
    </w:p>
    <w:p w14:paraId="70774AF6"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Promoción y aseguramiento del cumplimiento de los aportes comunitarios del fondo social comunitario (FSC) cuota No.5 y No.6.</w:t>
      </w:r>
    </w:p>
    <w:p w14:paraId="2B83A366" w14:textId="77777777" w:rsidR="0003308B" w:rsidRPr="00384552" w:rsidRDefault="0003308B" w:rsidP="0003308B">
      <w:pPr>
        <w:tabs>
          <w:tab w:val="left" w:pos="142"/>
        </w:tabs>
        <w:rPr>
          <w:rFonts w:cs="Arial"/>
          <w:sz w:val="22"/>
          <w:szCs w:val="22"/>
        </w:rPr>
      </w:pPr>
    </w:p>
    <w:p w14:paraId="74204669" w14:textId="77777777" w:rsidR="0003308B" w:rsidRPr="00384552" w:rsidRDefault="0003308B" w:rsidP="0003308B">
      <w:pPr>
        <w:tabs>
          <w:tab w:val="left" w:pos="142"/>
        </w:tabs>
        <w:rPr>
          <w:rFonts w:cs="Arial"/>
          <w:sz w:val="22"/>
          <w:szCs w:val="22"/>
        </w:rPr>
      </w:pPr>
      <w:r w:rsidRPr="00384552">
        <w:rPr>
          <w:rFonts w:cs="Arial"/>
          <w:sz w:val="22"/>
          <w:szCs w:val="22"/>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153A197E" w14:textId="77777777" w:rsidR="0003308B" w:rsidRPr="00384552" w:rsidRDefault="0003308B" w:rsidP="0003308B">
      <w:pPr>
        <w:tabs>
          <w:tab w:val="left" w:pos="142"/>
        </w:tabs>
        <w:rPr>
          <w:rFonts w:cs="Arial"/>
          <w:sz w:val="22"/>
          <w:szCs w:val="22"/>
        </w:rPr>
      </w:pPr>
    </w:p>
    <w:p w14:paraId="70F0A740" w14:textId="77777777" w:rsidR="0003308B" w:rsidRPr="00384552" w:rsidRDefault="0003308B" w:rsidP="0003308B">
      <w:pPr>
        <w:tabs>
          <w:tab w:val="left" w:pos="142"/>
        </w:tabs>
        <w:rPr>
          <w:rFonts w:cs="Arial"/>
          <w:sz w:val="22"/>
          <w:szCs w:val="22"/>
        </w:rPr>
      </w:pPr>
      <w:r w:rsidRPr="00384552">
        <w:rPr>
          <w:rFonts w:cs="Arial"/>
          <w:sz w:val="22"/>
          <w:szCs w:val="22"/>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5B4D3018" w14:textId="77777777" w:rsidR="0003308B" w:rsidRPr="00384552" w:rsidRDefault="0003308B" w:rsidP="0003308B">
      <w:pPr>
        <w:tabs>
          <w:tab w:val="left" w:pos="142"/>
        </w:tabs>
        <w:rPr>
          <w:rFonts w:cs="Arial"/>
          <w:sz w:val="22"/>
          <w:szCs w:val="22"/>
        </w:rPr>
      </w:pPr>
      <w:r w:rsidRPr="00384552">
        <w:rPr>
          <w:rFonts w:cs="Arial"/>
          <w:sz w:val="22"/>
          <w:szCs w:val="22"/>
        </w:rPr>
        <w:t xml:space="preserve">Hacer uso de instrumentos para control y manejo del FSC, establecidos por FISE, los cuales serán presentados en informes requeridos, en los productos del contrato.  </w:t>
      </w:r>
    </w:p>
    <w:p w14:paraId="3B3AEDA6" w14:textId="77777777" w:rsidR="0003308B" w:rsidRPr="00384552" w:rsidRDefault="0003308B" w:rsidP="0003308B">
      <w:pPr>
        <w:tabs>
          <w:tab w:val="left" w:pos="142"/>
        </w:tabs>
        <w:rPr>
          <w:rFonts w:cs="Arial"/>
          <w:sz w:val="22"/>
          <w:szCs w:val="22"/>
        </w:rPr>
      </w:pPr>
    </w:p>
    <w:p w14:paraId="5EBBC67B" w14:textId="77777777" w:rsidR="0003308B" w:rsidRPr="00384552" w:rsidRDefault="0003308B" w:rsidP="0003308B">
      <w:pPr>
        <w:tabs>
          <w:tab w:val="left" w:pos="142"/>
        </w:tabs>
        <w:rPr>
          <w:rFonts w:cs="Arial"/>
          <w:b/>
          <w:sz w:val="22"/>
          <w:szCs w:val="22"/>
        </w:rPr>
      </w:pPr>
      <w:r w:rsidRPr="00384552">
        <w:rPr>
          <w:rFonts w:cs="Arial"/>
          <w:b/>
          <w:sz w:val="22"/>
          <w:szCs w:val="22"/>
        </w:rPr>
        <w:t>Instrumentos:</w:t>
      </w:r>
    </w:p>
    <w:p w14:paraId="64BA39F8" w14:textId="77777777" w:rsidR="0003308B" w:rsidRPr="00384552" w:rsidRDefault="0003308B" w:rsidP="0003308B">
      <w:pPr>
        <w:tabs>
          <w:tab w:val="left" w:pos="142"/>
        </w:tabs>
        <w:rPr>
          <w:rFonts w:cs="Arial"/>
          <w:sz w:val="22"/>
          <w:szCs w:val="22"/>
        </w:rPr>
      </w:pPr>
      <w:r w:rsidRPr="00384552">
        <w:rPr>
          <w:rFonts w:cs="Arial"/>
          <w:sz w:val="22"/>
          <w:szCs w:val="22"/>
        </w:rPr>
        <w:t xml:space="preserve">1.  Control de pago del FSC establecidos por FISE, los cuales serán presentados en informes requeridos, en los productos del contrato.  </w:t>
      </w:r>
    </w:p>
    <w:p w14:paraId="574EBE67" w14:textId="77777777" w:rsidR="0003308B" w:rsidRPr="00384552" w:rsidRDefault="0003308B" w:rsidP="0003308B">
      <w:pPr>
        <w:tabs>
          <w:tab w:val="left" w:pos="142"/>
        </w:tabs>
        <w:rPr>
          <w:rFonts w:cs="Arial"/>
          <w:sz w:val="22"/>
          <w:szCs w:val="22"/>
        </w:rPr>
      </w:pPr>
    </w:p>
    <w:p w14:paraId="02EB510F" w14:textId="77777777" w:rsidR="0003308B" w:rsidRPr="00384552" w:rsidRDefault="0003308B" w:rsidP="0003308B">
      <w:pPr>
        <w:tabs>
          <w:tab w:val="left" w:pos="142"/>
        </w:tabs>
        <w:rPr>
          <w:rFonts w:cs="Arial"/>
          <w:b/>
          <w:sz w:val="22"/>
          <w:szCs w:val="22"/>
        </w:rPr>
      </w:pPr>
      <w:r w:rsidRPr="00384552">
        <w:rPr>
          <w:rFonts w:cs="Arial"/>
          <w:b/>
          <w:sz w:val="22"/>
          <w:szCs w:val="22"/>
        </w:rPr>
        <w:t>Producto esperado:</w:t>
      </w:r>
    </w:p>
    <w:p w14:paraId="1891658C" w14:textId="77777777" w:rsidR="0003308B" w:rsidRPr="00384552" w:rsidRDefault="0003308B" w:rsidP="0003308B">
      <w:pPr>
        <w:tabs>
          <w:tab w:val="left" w:pos="142"/>
        </w:tabs>
        <w:rPr>
          <w:rFonts w:cs="Arial"/>
          <w:sz w:val="22"/>
          <w:szCs w:val="22"/>
        </w:rPr>
      </w:pPr>
      <w:r w:rsidRPr="00384552">
        <w:rPr>
          <w:rFonts w:cs="Arial"/>
          <w:sz w:val="22"/>
          <w:szCs w:val="22"/>
        </w:rPr>
        <w:t>1. Informe Ejecutivo del cumplimiento del 100% del FSC, correspondiente a esta etapa.</w:t>
      </w:r>
    </w:p>
    <w:p w14:paraId="1CF16F13" w14:textId="77777777" w:rsidR="0003308B" w:rsidRDefault="0003308B" w:rsidP="0003308B">
      <w:pPr>
        <w:tabs>
          <w:tab w:val="left" w:pos="142"/>
        </w:tabs>
        <w:rPr>
          <w:rFonts w:cs="Arial"/>
          <w:sz w:val="22"/>
          <w:szCs w:val="22"/>
        </w:rPr>
      </w:pPr>
    </w:p>
    <w:p w14:paraId="753EF3C1"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Promoción y aseguramiento del cumplimiento de los aportes comunitarios para la compra de medidor.</w:t>
      </w:r>
    </w:p>
    <w:p w14:paraId="0B1A3ABD" w14:textId="77777777" w:rsidR="0003308B" w:rsidRPr="00384552" w:rsidRDefault="0003308B" w:rsidP="0003308B">
      <w:pPr>
        <w:tabs>
          <w:tab w:val="left" w:pos="142"/>
        </w:tabs>
        <w:rPr>
          <w:rFonts w:cs="Arial"/>
          <w:sz w:val="22"/>
          <w:szCs w:val="22"/>
        </w:rPr>
      </w:pPr>
    </w:p>
    <w:p w14:paraId="084C0F73" w14:textId="77777777" w:rsidR="0003308B" w:rsidRPr="00384552" w:rsidRDefault="0003308B" w:rsidP="0003308B">
      <w:pPr>
        <w:tabs>
          <w:tab w:val="left" w:pos="142"/>
        </w:tabs>
        <w:rPr>
          <w:rFonts w:cs="Arial"/>
          <w:sz w:val="22"/>
          <w:szCs w:val="22"/>
        </w:rPr>
      </w:pPr>
      <w:r w:rsidRPr="00384552">
        <w:rPr>
          <w:rFonts w:cs="Arial"/>
          <w:sz w:val="22"/>
          <w:szCs w:val="22"/>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w:t>
      </w:r>
      <w:r w:rsidRPr="00384552">
        <w:rPr>
          <w:rFonts w:cs="Arial"/>
          <w:sz w:val="22"/>
          <w:szCs w:val="22"/>
        </w:rPr>
        <w:lastRenderedPageBreak/>
        <w:t xml:space="preserve">aprobado en primera asamblea comunitaria, realizada al inicio de la formulación del proyecto, en etapa de prefactibilidad.  </w:t>
      </w:r>
    </w:p>
    <w:p w14:paraId="68F95763" w14:textId="77777777" w:rsidR="0003308B" w:rsidRPr="00384552" w:rsidRDefault="0003308B" w:rsidP="0003308B">
      <w:pPr>
        <w:tabs>
          <w:tab w:val="left" w:pos="142"/>
        </w:tabs>
        <w:rPr>
          <w:rFonts w:cs="Arial"/>
          <w:sz w:val="22"/>
          <w:szCs w:val="22"/>
        </w:rPr>
      </w:pPr>
    </w:p>
    <w:p w14:paraId="409A5C0A" w14:textId="77777777" w:rsidR="0003308B" w:rsidRPr="00384552" w:rsidRDefault="0003308B" w:rsidP="0003308B">
      <w:pPr>
        <w:tabs>
          <w:tab w:val="left" w:pos="142"/>
        </w:tabs>
        <w:rPr>
          <w:rFonts w:cs="Arial"/>
          <w:sz w:val="22"/>
          <w:szCs w:val="22"/>
        </w:rPr>
      </w:pPr>
      <w:r w:rsidRPr="00384552">
        <w:rPr>
          <w:rFonts w:cs="Arial"/>
          <w:sz w:val="22"/>
          <w:szCs w:val="22"/>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7CC9B4C2" w14:textId="77777777" w:rsidR="0003308B" w:rsidRPr="00384552" w:rsidRDefault="0003308B" w:rsidP="0003308B">
      <w:pPr>
        <w:tabs>
          <w:tab w:val="left" w:pos="142"/>
        </w:tabs>
        <w:rPr>
          <w:rFonts w:cs="Arial"/>
          <w:sz w:val="22"/>
          <w:szCs w:val="22"/>
        </w:rPr>
      </w:pPr>
    </w:p>
    <w:p w14:paraId="61288178" w14:textId="77777777" w:rsidR="0003308B" w:rsidRPr="00384552" w:rsidRDefault="0003308B" w:rsidP="0003308B">
      <w:pPr>
        <w:tabs>
          <w:tab w:val="left" w:pos="142"/>
        </w:tabs>
        <w:rPr>
          <w:rFonts w:cs="Arial"/>
          <w:sz w:val="22"/>
          <w:szCs w:val="22"/>
        </w:rPr>
      </w:pPr>
      <w:r w:rsidRPr="00384552">
        <w:rPr>
          <w:rFonts w:cs="Arial"/>
          <w:sz w:val="22"/>
          <w:szCs w:val="22"/>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69FBB055" w14:textId="77777777" w:rsidR="0003308B" w:rsidRPr="00384552" w:rsidRDefault="0003308B" w:rsidP="0003308B">
      <w:pPr>
        <w:tabs>
          <w:tab w:val="left" w:pos="142"/>
        </w:tabs>
        <w:rPr>
          <w:rFonts w:cs="Arial"/>
          <w:sz w:val="22"/>
          <w:szCs w:val="22"/>
        </w:rPr>
      </w:pPr>
    </w:p>
    <w:p w14:paraId="77A8A19D" w14:textId="77777777" w:rsidR="0003308B" w:rsidRPr="00384552" w:rsidRDefault="0003308B" w:rsidP="0003308B">
      <w:pPr>
        <w:tabs>
          <w:tab w:val="left" w:pos="142"/>
        </w:tabs>
        <w:rPr>
          <w:rFonts w:cs="Arial"/>
          <w:sz w:val="22"/>
          <w:szCs w:val="22"/>
        </w:rPr>
      </w:pPr>
      <w:r w:rsidRPr="00384552">
        <w:rPr>
          <w:rFonts w:cs="Arial"/>
          <w:sz w:val="22"/>
          <w:szCs w:val="22"/>
        </w:rPr>
        <w:t>En caso que la compra de los medidores esté incluida en el presupuesto de la obra del proyecto, no aplicara la recolecta del pago de medidores, por lo que esta actividad no será pagada.</w:t>
      </w:r>
    </w:p>
    <w:p w14:paraId="1B4D0417" w14:textId="77777777" w:rsidR="0003308B" w:rsidRPr="00384552" w:rsidRDefault="0003308B" w:rsidP="0003308B">
      <w:pPr>
        <w:tabs>
          <w:tab w:val="left" w:pos="142"/>
        </w:tabs>
        <w:rPr>
          <w:rFonts w:cs="Arial"/>
          <w:sz w:val="22"/>
          <w:szCs w:val="22"/>
        </w:rPr>
      </w:pPr>
    </w:p>
    <w:p w14:paraId="74A2AA2A" w14:textId="77777777" w:rsidR="0003308B" w:rsidRPr="00384552" w:rsidRDefault="0003308B" w:rsidP="0003308B">
      <w:pPr>
        <w:tabs>
          <w:tab w:val="left" w:pos="142"/>
        </w:tabs>
        <w:rPr>
          <w:rFonts w:cs="Arial"/>
          <w:b/>
          <w:sz w:val="22"/>
          <w:szCs w:val="22"/>
        </w:rPr>
      </w:pPr>
      <w:r w:rsidRPr="00384552">
        <w:rPr>
          <w:rFonts w:cs="Arial"/>
          <w:b/>
          <w:sz w:val="22"/>
          <w:szCs w:val="22"/>
        </w:rPr>
        <w:t>Producto esperado por el contratista:</w:t>
      </w:r>
    </w:p>
    <w:p w14:paraId="1F66F5DC" w14:textId="77777777" w:rsidR="0003308B" w:rsidRPr="00384552" w:rsidRDefault="0003308B" w:rsidP="0003308B">
      <w:pPr>
        <w:tabs>
          <w:tab w:val="left" w:pos="142"/>
        </w:tabs>
        <w:rPr>
          <w:rFonts w:cs="Arial"/>
          <w:sz w:val="22"/>
          <w:szCs w:val="22"/>
        </w:rPr>
      </w:pPr>
      <w:r w:rsidRPr="00384552">
        <w:rPr>
          <w:rFonts w:cs="Arial"/>
          <w:sz w:val="22"/>
          <w:szCs w:val="22"/>
        </w:rPr>
        <w:t>1. Informe de cumplimiento del 100% del pago del medidor. (Control de pago de medidor firmado por el CAPS, Alcaldía Municipal.)</w:t>
      </w:r>
    </w:p>
    <w:p w14:paraId="4BF2C247" w14:textId="77777777" w:rsidR="0003308B" w:rsidRPr="00384552" w:rsidRDefault="0003308B" w:rsidP="0003308B">
      <w:pPr>
        <w:tabs>
          <w:tab w:val="left" w:pos="142"/>
        </w:tabs>
        <w:rPr>
          <w:rFonts w:cs="Arial"/>
          <w:sz w:val="22"/>
          <w:szCs w:val="22"/>
        </w:rPr>
      </w:pPr>
    </w:p>
    <w:p w14:paraId="3B13F0F7"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-Primera visita casa a casa.</w:t>
      </w:r>
    </w:p>
    <w:p w14:paraId="070FFF0A" w14:textId="77777777" w:rsidR="0003308B" w:rsidRPr="00384552" w:rsidRDefault="0003308B" w:rsidP="0003308B">
      <w:pPr>
        <w:tabs>
          <w:tab w:val="left" w:pos="142"/>
        </w:tabs>
        <w:rPr>
          <w:rFonts w:cs="Arial"/>
          <w:sz w:val="22"/>
          <w:szCs w:val="22"/>
        </w:rPr>
      </w:pPr>
    </w:p>
    <w:p w14:paraId="0BB7C4CE" w14:textId="77777777" w:rsidR="0003308B" w:rsidRPr="00384552" w:rsidRDefault="0003308B" w:rsidP="0003308B">
      <w:pPr>
        <w:tabs>
          <w:tab w:val="left" w:pos="142"/>
        </w:tabs>
        <w:rPr>
          <w:rFonts w:cs="Arial"/>
          <w:sz w:val="22"/>
          <w:szCs w:val="22"/>
        </w:rPr>
      </w:pPr>
      <w:r w:rsidRPr="00384552">
        <w:rPr>
          <w:rFonts w:cs="Arial"/>
          <w:sz w:val="22"/>
          <w:szCs w:val="22"/>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2405BFB8" w14:textId="77777777" w:rsidR="0003308B" w:rsidRPr="00384552" w:rsidRDefault="0003308B" w:rsidP="0003308B">
      <w:pPr>
        <w:tabs>
          <w:tab w:val="left" w:pos="142"/>
        </w:tabs>
        <w:rPr>
          <w:rFonts w:cs="Arial"/>
          <w:sz w:val="22"/>
          <w:szCs w:val="22"/>
        </w:rPr>
      </w:pPr>
      <w:r w:rsidRPr="00384552">
        <w:rPr>
          <w:rFonts w:cs="Arial"/>
          <w:sz w:val="22"/>
          <w:szCs w:val="22"/>
        </w:rPr>
        <w:t xml:space="preserve"> </w:t>
      </w:r>
    </w:p>
    <w:p w14:paraId="0B98C81E" w14:textId="77777777" w:rsidR="0003308B" w:rsidRPr="00384552" w:rsidRDefault="0003308B" w:rsidP="0003308B">
      <w:pPr>
        <w:tabs>
          <w:tab w:val="left" w:pos="142"/>
        </w:tabs>
        <w:rPr>
          <w:rFonts w:cs="Arial"/>
          <w:sz w:val="22"/>
          <w:szCs w:val="22"/>
        </w:rPr>
      </w:pPr>
      <w:r w:rsidRPr="00384552">
        <w:rPr>
          <w:rFonts w:cs="Arial"/>
          <w:sz w:val="22"/>
          <w:szCs w:val="22"/>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7F41EB4E" w14:textId="77777777" w:rsidR="0003308B" w:rsidRPr="00384552" w:rsidRDefault="0003308B" w:rsidP="0003308B">
      <w:pPr>
        <w:tabs>
          <w:tab w:val="left" w:pos="142"/>
        </w:tabs>
        <w:rPr>
          <w:rFonts w:cs="Arial"/>
          <w:sz w:val="22"/>
          <w:szCs w:val="22"/>
        </w:rPr>
      </w:pPr>
    </w:p>
    <w:p w14:paraId="1EED0952" w14:textId="77777777" w:rsidR="0003308B" w:rsidRPr="00384552" w:rsidRDefault="0003308B" w:rsidP="0003308B">
      <w:pPr>
        <w:tabs>
          <w:tab w:val="left" w:pos="142"/>
        </w:tabs>
        <w:rPr>
          <w:rFonts w:cs="Arial"/>
          <w:sz w:val="22"/>
          <w:szCs w:val="22"/>
        </w:rPr>
      </w:pPr>
      <w:r w:rsidRPr="00384552">
        <w:rPr>
          <w:rFonts w:cs="Arial"/>
          <w:sz w:val="22"/>
          <w:szCs w:val="22"/>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068B5D8B" w14:textId="77777777" w:rsidR="0003308B" w:rsidRPr="00384552" w:rsidRDefault="0003308B" w:rsidP="0003308B">
      <w:pPr>
        <w:tabs>
          <w:tab w:val="left" w:pos="142"/>
        </w:tabs>
        <w:rPr>
          <w:rFonts w:cs="Arial"/>
          <w:sz w:val="22"/>
          <w:szCs w:val="22"/>
        </w:rPr>
      </w:pPr>
    </w:p>
    <w:p w14:paraId="2B904D4D" w14:textId="77777777" w:rsidR="0003308B" w:rsidRPr="00384552" w:rsidRDefault="0003308B" w:rsidP="0003308B">
      <w:pPr>
        <w:tabs>
          <w:tab w:val="left" w:pos="142"/>
        </w:tabs>
        <w:rPr>
          <w:rFonts w:cs="Arial"/>
          <w:sz w:val="22"/>
          <w:szCs w:val="22"/>
        </w:rPr>
      </w:pPr>
      <w:r w:rsidRPr="00384552">
        <w:rPr>
          <w:rFonts w:cs="Arial"/>
          <w:sz w:val="22"/>
          <w:szCs w:val="22"/>
        </w:rPr>
        <w:t xml:space="preserve">Contratista, elabora Informe Ejecutivo del diagnóstico higiénico-sanitario, obteniendo una línea de base que refleje el comportamiento de los hábitos de higiene en las familias.  </w:t>
      </w:r>
    </w:p>
    <w:p w14:paraId="59F25877" w14:textId="77777777" w:rsidR="0003308B" w:rsidRPr="00384552" w:rsidRDefault="0003308B" w:rsidP="0003308B">
      <w:pPr>
        <w:tabs>
          <w:tab w:val="left" w:pos="142"/>
        </w:tabs>
        <w:rPr>
          <w:rFonts w:cs="Arial"/>
          <w:sz w:val="22"/>
          <w:szCs w:val="22"/>
        </w:rPr>
      </w:pPr>
    </w:p>
    <w:p w14:paraId="4138B0BC" w14:textId="77777777" w:rsidR="0003308B" w:rsidRPr="00384552" w:rsidRDefault="0003308B" w:rsidP="0003308B">
      <w:pPr>
        <w:tabs>
          <w:tab w:val="left" w:pos="142"/>
        </w:tabs>
        <w:rPr>
          <w:rFonts w:cs="Arial"/>
          <w:b/>
          <w:sz w:val="22"/>
          <w:szCs w:val="22"/>
        </w:rPr>
      </w:pPr>
      <w:r w:rsidRPr="00384552">
        <w:rPr>
          <w:rFonts w:cs="Arial"/>
          <w:b/>
          <w:sz w:val="22"/>
          <w:szCs w:val="22"/>
        </w:rPr>
        <w:t>Requerimiento por el contratista para los promotores:</w:t>
      </w:r>
    </w:p>
    <w:p w14:paraId="36E0FE87" w14:textId="77777777" w:rsidR="0003308B" w:rsidRPr="00384552" w:rsidRDefault="0003308B" w:rsidP="0003308B">
      <w:pPr>
        <w:tabs>
          <w:tab w:val="left" w:pos="142"/>
        </w:tabs>
        <w:rPr>
          <w:rFonts w:cs="Arial"/>
          <w:sz w:val="22"/>
          <w:szCs w:val="22"/>
        </w:rPr>
      </w:pPr>
      <w:r w:rsidRPr="00384552">
        <w:rPr>
          <w:rFonts w:cs="Arial"/>
          <w:sz w:val="22"/>
          <w:szCs w:val="22"/>
        </w:rPr>
        <w:t>1. Cuaderno de control de visita.</w:t>
      </w:r>
    </w:p>
    <w:p w14:paraId="70915FE6" w14:textId="77777777" w:rsidR="0003308B" w:rsidRPr="00384552" w:rsidRDefault="0003308B" w:rsidP="0003308B">
      <w:pPr>
        <w:tabs>
          <w:tab w:val="left" w:pos="142"/>
        </w:tabs>
        <w:rPr>
          <w:rFonts w:cs="Arial"/>
          <w:sz w:val="22"/>
          <w:szCs w:val="22"/>
        </w:rPr>
      </w:pPr>
      <w:r w:rsidRPr="00384552">
        <w:rPr>
          <w:rFonts w:cs="Arial"/>
          <w:sz w:val="22"/>
          <w:szCs w:val="22"/>
        </w:rPr>
        <w:t>2. cuadernos/lapiceros/lápiz/ Tabla clan.</w:t>
      </w:r>
    </w:p>
    <w:p w14:paraId="1418F91D" w14:textId="77777777" w:rsidR="0003308B" w:rsidRPr="00384552" w:rsidRDefault="0003308B" w:rsidP="0003308B">
      <w:pPr>
        <w:tabs>
          <w:tab w:val="left" w:pos="142"/>
        </w:tabs>
        <w:rPr>
          <w:rFonts w:cs="Arial"/>
          <w:sz w:val="22"/>
          <w:szCs w:val="22"/>
        </w:rPr>
      </w:pPr>
    </w:p>
    <w:p w14:paraId="1D197912" w14:textId="77777777" w:rsidR="0003308B" w:rsidRPr="00384552" w:rsidRDefault="0003308B" w:rsidP="0003308B">
      <w:pPr>
        <w:tabs>
          <w:tab w:val="left" w:pos="142"/>
        </w:tabs>
        <w:rPr>
          <w:rFonts w:cs="Arial"/>
          <w:b/>
          <w:sz w:val="22"/>
          <w:szCs w:val="22"/>
        </w:rPr>
      </w:pPr>
      <w:r w:rsidRPr="00384552">
        <w:rPr>
          <w:rFonts w:cs="Arial"/>
          <w:b/>
          <w:sz w:val="22"/>
          <w:szCs w:val="22"/>
        </w:rPr>
        <w:t>Producto esperando:</w:t>
      </w:r>
    </w:p>
    <w:p w14:paraId="75466F78" w14:textId="77777777" w:rsidR="0003308B" w:rsidRPr="00384552" w:rsidRDefault="0003308B" w:rsidP="0003308B">
      <w:pPr>
        <w:tabs>
          <w:tab w:val="left" w:pos="142"/>
        </w:tabs>
        <w:rPr>
          <w:rFonts w:cs="Arial"/>
          <w:sz w:val="22"/>
          <w:szCs w:val="22"/>
        </w:rPr>
      </w:pPr>
      <w:r w:rsidRPr="00384552">
        <w:rPr>
          <w:rFonts w:cs="Arial"/>
          <w:sz w:val="22"/>
          <w:szCs w:val="22"/>
        </w:rPr>
        <w:t>1. Informe de resultado del Diagnostico Higiénico-Sanitario.</w:t>
      </w:r>
    </w:p>
    <w:p w14:paraId="2A2F36D2" w14:textId="77777777" w:rsidR="0003308B" w:rsidRPr="00384552" w:rsidRDefault="0003308B" w:rsidP="0003308B">
      <w:pPr>
        <w:tabs>
          <w:tab w:val="left" w:pos="142"/>
        </w:tabs>
        <w:rPr>
          <w:rFonts w:cs="Arial"/>
          <w:sz w:val="22"/>
          <w:szCs w:val="22"/>
        </w:rPr>
      </w:pPr>
    </w:p>
    <w:p w14:paraId="7056E33D"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-Segunda visita casa a casa.</w:t>
      </w:r>
    </w:p>
    <w:p w14:paraId="505889E7" w14:textId="77777777" w:rsidR="0003308B" w:rsidRPr="00384552" w:rsidRDefault="0003308B" w:rsidP="0003308B">
      <w:pPr>
        <w:tabs>
          <w:tab w:val="left" w:pos="142"/>
        </w:tabs>
        <w:ind w:left="720"/>
        <w:contextualSpacing/>
        <w:rPr>
          <w:rFonts w:cs="Arial"/>
          <w:b/>
          <w:sz w:val="22"/>
          <w:szCs w:val="22"/>
        </w:rPr>
      </w:pPr>
    </w:p>
    <w:p w14:paraId="6FAF4EBD" w14:textId="77777777" w:rsidR="0003308B" w:rsidRPr="00384552" w:rsidRDefault="0003308B" w:rsidP="0003308B">
      <w:pPr>
        <w:tabs>
          <w:tab w:val="left" w:pos="142"/>
        </w:tabs>
        <w:rPr>
          <w:rFonts w:cs="Arial"/>
          <w:sz w:val="22"/>
          <w:szCs w:val="22"/>
        </w:rPr>
      </w:pPr>
      <w:r w:rsidRPr="00384552">
        <w:rPr>
          <w:rFonts w:cs="Arial"/>
          <w:sz w:val="22"/>
          <w:szCs w:val="22"/>
        </w:rPr>
        <w:lastRenderedPageBreak/>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336C911C" w14:textId="77777777" w:rsidR="0003308B" w:rsidRPr="00384552" w:rsidRDefault="0003308B" w:rsidP="0003308B">
      <w:pPr>
        <w:tabs>
          <w:tab w:val="left" w:pos="142"/>
        </w:tabs>
        <w:rPr>
          <w:rFonts w:cs="Arial"/>
          <w:sz w:val="22"/>
          <w:szCs w:val="22"/>
        </w:rPr>
      </w:pPr>
    </w:p>
    <w:p w14:paraId="6707C11A" w14:textId="77777777" w:rsidR="0003308B" w:rsidRPr="00384552" w:rsidRDefault="0003308B" w:rsidP="0003308B">
      <w:pPr>
        <w:tabs>
          <w:tab w:val="left" w:pos="142"/>
        </w:tabs>
        <w:rPr>
          <w:rFonts w:cs="Arial"/>
          <w:sz w:val="22"/>
          <w:szCs w:val="22"/>
        </w:rPr>
      </w:pPr>
      <w:r w:rsidRPr="00384552">
        <w:rPr>
          <w:rFonts w:cs="Arial"/>
          <w:sz w:val="22"/>
          <w:szCs w:val="22"/>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2F87EBCC" w14:textId="77777777" w:rsidR="0003308B" w:rsidRPr="00384552" w:rsidRDefault="0003308B" w:rsidP="0003308B">
      <w:pPr>
        <w:tabs>
          <w:tab w:val="left" w:pos="142"/>
        </w:tabs>
        <w:rPr>
          <w:rFonts w:cs="Arial"/>
          <w:sz w:val="22"/>
          <w:szCs w:val="22"/>
        </w:rPr>
      </w:pPr>
    </w:p>
    <w:p w14:paraId="0C6DB36D" w14:textId="77777777" w:rsidR="0003308B" w:rsidRPr="00384552" w:rsidRDefault="0003308B" w:rsidP="0003308B">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6789068E" w14:textId="77777777" w:rsidR="0003308B" w:rsidRPr="00384552" w:rsidRDefault="0003308B" w:rsidP="0003308B">
      <w:pPr>
        <w:tabs>
          <w:tab w:val="left" w:pos="142"/>
        </w:tabs>
        <w:rPr>
          <w:rFonts w:cs="Arial"/>
          <w:sz w:val="22"/>
          <w:szCs w:val="22"/>
        </w:rPr>
      </w:pPr>
    </w:p>
    <w:p w14:paraId="0ECD6B00" w14:textId="77777777" w:rsidR="0003308B" w:rsidRPr="00384552" w:rsidRDefault="0003308B" w:rsidP="0003308B">
      <w:pPr>
        <w:tabs>
          <w:tab w:val="left" w:pos="142"/>
        </w:tabs>
        <w:rPr>
          <w:rFonts w:cs="Arial"/>
          <w:sz w:val="22"/>
          <w:szCs w:val="22"/>
        </w:rPr>
      </w:pPr>
      <w:r w:rsidRPr="00384552">
        <w:rPr>
          <w:rFonts w:cs="Arial"/>
          <w:sz w:val="22"/>
          <w:szCs w:val="22"/>
        </w:rPr>
        <w:t>Contratista, elabora Informe Ejecutivo de la implementación de FCSA, enfatizando limitantes, logros en los cambios de comportamiento de higiene en las familias.</w:t>
      </w:r>
    </w:p>
    <w:p w14:paraId="798EAAAD" w14:textId="77777777" w:rsidR="0003308B" w:rsidRPr="00384552" w:rsidRDefault="0003308B" w:rsidP="0003308B">
      <w:pPr>
        <w:tabs>
          <w:tab w:val="left" w:pos="142"/>
        </w:tabs>
        <w:rPr>
          <w:rFonts w:cs="Arial"/>
          <w:b/>
          <w:sz w:val="22"/>
          <w:szCs w:val="22"/>
        </w:rPr>
      </w:pPr>
    </w:p>
    <w:p w14:paraId="71369A38" w14:textId="77777777" w:rsidR="0003308B" w:rsidRPr="00384552" w:rsidRDefault="0003308B" w:rsidP="0003308B">
      <w:pPr>
        <w:tabs>
          <w:tab w:val="left" w:pos="142"/>
        </w:tabs>
        <w:rPr>
          <w:rFonts w:cs="Arial"/>
          <w:b/>
          <w:sz w:val="22"/>
          <w:szCs w:val="22"/>
        </w:rPr>
      </w:pPr>
      <w:r w:rsidRPr="00384552">
        <w:rPr>
          <w:rFonts w:cs="Arial"/>
          <w:b/>
          <w:sz w:val="22"/>
          <w:szCs w:val="22"/>
        </w:rPr>
        <w:t>Requerimiento por el contratista para los promotores:</w:t>
      </w:r>
    </w:p>
    <w:p w14:paraId="56C73B6C" w14:textId="77777777" w:rsidR="0003308B" w:rsidRPr="00384552" w:rsidRDefault="0003308B" w:rsidP="0003308B">
      <w:pPr>
        <w:tabs>
          <w:tab w:val="left" w:pos="142"/>
        </w:tabs>
        <w:rPr>
          <w:rFonts w:cs="Arial"/>
          <w:sz w:val="22"/>
          <w:szCs w:val="22"/>
        </w:rPr>
      </w:pPr>
      <w:r w:rsidRPr="00384552">
        <w:rPr>
          <w:rFonts w:cs="Arial"/>
          <w:sz w:val="22"/>
          <w:szCs w:val="22"/>
        </w:rPr>
        <w:t>1. Cuaderno de control de visita.</w:t>
      </w:r>
    </w:p>
    <w:p w14:paraId="343F796C" w14:textId="77777777" w:rsidR="0003308B" w:rsidRPr="00384552" w:rsidRDefault="0003308B" w:rsidP="0003308B">
      <w:pPr>
        <w:tabs>
          <w:tab w:val="left" w:pos="142"/>
        </w:tabs>
        <w:rPr>
          <w:rFonts w:cs="Arial"/>
          <w:sz w:val="22"/>
          <w:szCs w:val="22"/>
        </w:rPr>
      </w:pPr>
      <w:r w:rsidRPr="00384552">
        <w:rPr>
          <w:rFonts w:cs="Arial"/>
          <w:sz w:val="22"/>
          <w:szCs w:val="22"/>
        </w:rPr>
        <w:t>2. cuadernos/lapiceros/lápiz/ Tabla clan.</w:t>
      </w:r>
    </w:p>
    <w:p w14:paraId="02220040" w14:textId="77777777" w:rsidR="0003308B" w:rsidRPr="00384552" w:rsidRDefault="0003308B" w:rsidP="0003308B">
      <w:pPr>
        <w:tabs>
          <w:tab w:val="left" w:pos="142"/>
        </w:tabs>
        <w:rPr>
          <w:rFonts w:cs="Arial"/>
          <w:sz w:val="22"/>
          <w:szCs w:val="22"/>
        </w:rPr>
      </w:pPr>
    </w:p>
    <w:p w14:paraId="6D704CD2" w14:textId="77777777" w:rsidR="0003308B" w:rsidRPr="00384552" w:rsidRDefault="0003308B" w:rsidP="0003308B">
      <w:pPr>
        <w:tabs>
          <w:tab w:val="left" w:pos="142"/>
        </w:tabs>
        <w:rPr>
          <w:rFonts w:cs="Arial"/>
          <w:b/>
          <w:sz w:val="22"/>
          <w:szCs w:val="22"/>
        </w:rPr>
      </w:pPr>
      <w:r w:rsidRPr="00384552">
        <w:rPr>
          <w:rFonts w:cs="Arial"/>
          <w:b/>
          <w:sz w:val="22"/>
          <w:szCs w:val="22"/>
        </w:rPr>
        <w:t>Producto esperando por el contratista:</w:t>
      </w:r>
    </w:p>
    <w:p w14:paraId="08400FA1" w14:textId="77777777" w:rsidR="0003308B" w:rsidRPr="00384552" w:rsidRDefault="0003308B" w:rsidP="0003308B">
      <w:pPr>
        <w:tabs>
          <w:tab w:val="left" w:pos="142"/>
        </w:tabs>
        <w:rPr>
          <w:rFonts w:cs="Arial"/>
          <w:sz w:val="22"/>
          <w:szCs w:val="22"/>
        </w:rPr>
      </w:pPr>
      <w:r w:rsidRPr="00384552">
        <w:rPr>
          <w:rFonts w:cs="Arial"/>
          <w:sz w:val="22"/>
          <w:szCs w:val="22"/>
        </w:rPr>
        <w:t>1.  Informe de la visita Tema 1, consolidado por familias.</w:t>
      </w:r>
    </w:p>
    <w:p w14:paraId="1CA436EF" w14:textId="77777777" w:rsidR="0003308B" w:rsidRPr="00384552" w:rsidRDefault="0003308B" w:rsidP="0003308B">
      <w:pPr>
        <w:tabs>
          <w:tab w:val="left" w:pos="142"/>
        </w:tabs>
        <w:rPr>
          <w:rFonts w:cs="Arial"/>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2DC1F14" w14:textId="77777777" w:rsidR="0003308B" w:rsidRPr="00384552" w:rsidRDefault="0003308B" w:rsidP="0003308B">
      <w:pPr>
        <w:tabs>
          <w:tab w:val="left" w:pos="142"/>
        </w:tabs>
        <w:rPr>
          <w:rFonts w:cs="Arial"/>
          <w:sz w:val="22"/>
          <w:szCs w:val="22"/>
        </w:rPr>
      </w:pPr>
    </w:p>
    <w:p w14:paraId="31A11B35"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-Tercera visita casa a casa.</w:t>
      </w:r>
    </w:p>
    <w:p w14:paraId="0C9D8B09" w14:textId="77777777" w:rsidR="0003308B" w:rsidRPr="00384552" w:rsidRDefault="0003308B" w:rsidP="0003308B">
      <w:pPr>
        <w:tabs>
          <w:tab w:val="left" w:pos="142"/>
        </w:tabs>
        <w:rPr>
          <w:rFonts w:cs="Arial"/>
          <w:b/>
          <w:sz w:val="22"/>
          <w:szCs w:val="22"/>
        </w:rPr>
      </w:pPr>
    </w:p>
    <w:p w14:paraId="12EB9663" w14:textId="77777777" w:rsidR="0003308B" w:rsidRPr="00384552" w:rsidRDefault="0003308B" w:rsidP="0003308B">
      <w:pPr>
        <w:tabs>
          <w:tab w:val="left" w:pos="142"/>
        </w:tabs>
        <w:rPr>
          <w:rFonts w:cs="Arial"/>
          <w:sz w:val="22"/>
          <w:szCs w:val="22"/>
        </w:rPr>
      </w:pPr>
      <w:r w:rsidRPr="00384552">
        <w:rPr>
          <w:rFonts w:cs="Arial"/>
          <w:sz w:val="22"/>
          <w:szCs w:val="22"/>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72F51DB1" w14:textId="77777777" w:rsidR="0003308B" w:rsidRPr="00384552" w:rsidRDefault="0003308B" w:rsidP="0003308B">
      <w:pPr>
        <w:tabs>
          <w:tab w:val="left" w:pos="142"/>
        </w:tabs>
        <w:rPr>
          <w:rFonts w:cs="Arial"/>
          <w:sz w:val="22"/>
          <w:szCs w:val="22"/>
        </w:rPr>
      </w:pPr>
    </w:p>
    <w:p w14:paraId="40810550" w14:textId="77777777" w:rsidR="0003308B" w:rsidRPr="00384552" w:rsidRDefault="0003308B" w:rsidP="0003308B">
      <w:pPr>
        <w:tabs>
          <w:tab w:val="left" w:pos="142"/>
        </w:tabs>
        <w:rPr>
          <w:rFonts w:cs="Arial"/>
          <w:sz w:val="22"/>
          <w:szCs w:val="22"/>
        </w:rPr>
      </w:pPr>
      <w:r w:rsidRPr="00384552">
        <w:rPr>
          <w:rFonts w:cs="Arial"/>
          <w:sz w:val="22"/>
          <w:szCs w:val="22"/>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30B5AB33" w14:textId="77777777" w:rsidR="0003308B" w:rsidRPr="00384552" w:rsidRDefault="0003308B" w:rsidP="0003308B">
      <w:pPr>
        <w:tabs>
          <w:tab w:val="left" w:pos="142"/>
        </w:tabs>
        <w:rPr>
          <w:rFonts w:cs="Arial"/>
          <w:sz w:val="22"/>
          <w:szCs w:val="22"/>
        </w:rPr>
      </w:pPr>
    </w:p>
    <w:p w14:paraId="447594E6" w14:textId="77777777" w:rsidR="0003308B" w:rsidRPr="00384552" w:rsidRDefault="0003308B" w:rsidP="0003308B">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6DDE1F6E" w14:textId="77777777" w:rsidR="0003308B" w:rsidRPr="00384552" w:rsidRDefault="0003308B" w:rsidP="0003308B">
      <w:pPr>
        <w:tabs>
          <w:tab w:val="left" w:pos="142"/>
        </w:tabs>
        <w:rPr>
          <w:rFonts w:cs="Arial"/>
          <w:sz w:val="22"/>
          <w:szCs w:val="22"/>
        </w:rPr>
      </w:pPr>
    </w:p>
    <w:p w14:paraId="7D68C408" w14:textId="77777777" w:rsidR="0003308B" w:rsidRPr="00384552" w:rsidRDefault="0003308B" w:rsidP="0003308B">
      <w:pPr>
        <w:tabs>
          <w:tab w:val="left" w:pos="142"/>
        </w:tabs>
        <w:rPr>
          <w:rFonts w:cs="Arial"/>
          <w:b/>
          <w:sz w:val="22"/>
          <w:szCs w:val="22"/>
        </w:rPr>
      </w:pPr>
      <w:r w:rsidRPr="00384552">
        <w:rPr>
          <w:rFonts w:cs="Arial"/>
          <w:b/>
          <w:sz w:val="22"/>
          <w:szCs w:val="22"/>
        </w:rPr>
        <w:t>Producto esperando:</w:t>
      </w:r>
    </w:p>
    <w:p w14:paraId="37355786" w14:textId="77777777" w:rsidR="0003308B" w:rsidRPr="00384552" w:rsidRDefault="0003308B" w:rsidP="0003308B">
      <w:pPr>
        <w:tabs>
          <w:tab w:val="left" w:pos="142"/>
        </w:tabs>
        <w:rPr>
          <w:rFonts w:cs="Arial"/>
          <w:sz w:val="22"/>
          <w:szCs w:val="22"/>
        </w:rPr>
      </w:pPr>
      <w:r w:rsidRPr="00384552">
        <w:rPr>
          <w:rFonts w:cs="Arial"/>
          <w:sz w:val="22"/>
          <w:szCs w:val="22"/>
        </w:rPr>
        <w:t>1. Informe de la visita Tema 2, consolidado por familias.</w:t>
      </w:r>
    </w:p>
    <w:p w14:paraId="146B89D2" w14:textId="77777777" w:rsidR="0003308B" w:rsidRPr="00384552" w:rsidRDefault="0003308B" w:rsidP="0003308B">
      <w:pPr>
        <w:tabs>
          <w:tab w:val="left" w:pos="142"/>
        </w:tabs>
        <w:rPr>
          <w:rFonts w:cs="Arial"/>
          <w:b/>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7C930478" w14:textId="77777777" w:rsidR="0003308B" w:rsidRPr="00384552" w:rsidRDefault="0003308B" w:rsidP="0003308B">
      <w:pPr>
        <w:tabs>
          <w:tab w:val="left" w:pos="142"/>
        </w:tabs>
        <w:rPr>
          <w:rFonts w:cs="Arial"/>
          <w:b/>
          <w:sz w:val="22"/>
          <w:szCs w:val="22"/>
        </w:rPr>
      </w:pPr>
    </w:p>
    <w:p w14:paraId="2F1F5EDD"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-Cuarta visita casa a casa.</w:t>
      </w:r>
    </w:p>
    <w:p w14:paraId="61871415" w14:textId="77777777" w:rsidR="0003308B" w:rsidRPr="00384552" w:rsidRDefault="0003308B" w:rsidP="0003308B">
      <w:pPr>
        <w:tabs>
          <w:tab w:val="left" w:pos="142"/>
        </w:tabs>
        <w:rPr>
          <w:rFonts w:cs="Arial"/>
          <w:b/>
          <w:sz w:val="22"/>
          <w:szCs w:val="22"/>
        </w:rPr>
      </w:pPr>
    </w:p>
    <w:p w14:paraId="161A54A1" w14:textId="77777777" w:rsidR="0003308B" w:rsidRPr="00384552" w:rsidRDefault="0003308B" w:rsidP="0003308B">
      <w:pPr>
        <w:tabs>
          <w:tab w:val="left" w:pos="142"/>
        </w:tabs>
        <w:rPr>
          <w:rFonts w:cs="Arial"/>
          <w:sz w:val="22"/>
          <w:szCs w:val="22"/>
        </w:rPr>
      </w:pPr>
      <w:r w:rsidRPr="00384552">
        <w:rPr>
          <w:rFonts w:cs="Arial"/>
          <w:sz w:val="22"/>
          <w:szCs w:val="22"/>
        </w:rPr>
        <w:lastRenderedPageBreak/>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0B2D66A7" w14:textId="77777777" w:rsidR="0003308B" w:rsidRPr="00384552" w:rsidRDefault="0003308B" w:rsidP="0003308B">
      <w:pPr>
        <w:tabs>
          <w:tab w:val="left" w:pos="142"/>
        </w:tabs>
        <w:rPr>
          <w:rFonts w:cs="Arial"/>
          <w:sz w:val="22"/>
          <w:szCs w:val="22"/>
        </w:rPr>
      </w:pPr>
    </w:p>
    <w:p w14:paraId="67C7D70D" w14:textId="77777777" w:rsidR="0003308B" w:rsidRPr="00384552" w:rsidRDefault="0003308B" w:rsidP="0003308B">
      <w:pPr>
        <w:tabs>
          <w:tab w:val="left" w:pos="142"/>
        </w:tabs>
        <w:rPr>
          <w:rFonts w:cs="Arial"/>
          <w:sz w:val="22"/>
          <w:szCs w:val="22"/>
        </w:rPr>
      </w:pPr>
      <w:r w:rsidRPr="00384552">
        <w:rPr>
          <w:rFonts w:cs="Arial"/>
          <w:sz w:val="22"/>
          <w:szCs w:val="22"/>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78920B60" w14:textId="77777777" w:rsidR="0003308B" w:rsidRPr="00384552" w:rsidRDefault="0003308B" w:rsidP="0003308B">
      <w:pPr>
        <w:tabs>
          <w:tab w:val="left" w:pos="142"/>
        </w:tabs>
        <w:rPr>
          <w:rFonts w:cs="Arial"/>
          <w:sz w:val="22"/>
          <w:szCs w:val="22"/>
        </w:rPr>
      </w:pPr>
    </w:p>
    <w:p w14:paraId="15CB532B" w14:textId="77777777" w:rsidR="0003308B" w:rsidRPr="00384552" w:rsidRDefault="0003308B" w:rsidP="0003308B">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344264AD" w14:textId="77777777" w:rsidR="0003308B" w:rsidRPr="00384552" w:rsidRDefault="0003308B" w:rsidP="0003308B">
      <w:pPr>
        <w:tabs>
          <w:tab w:val="left" w:pos="142"/>
        </w:tabs>
        <w:rPr>
          <w:rFonts w:cs="Arial"/>
          <w:sz w:val="22"/>
          <w:szCs w:val="22"/>
        </w:rPr>
      </w:pPr>
    </w:p>
    <w:p w14:paraId="721D0255" w14:textId="77777777" w:rsidR="0003308B" w:rsidRPr="00384552" w:rsidRDefault="0003308B" w:rsidP="0003308B">
      <w:pPr>
        <w:tabs>
          <w:tab w:val="left" w:pos="142"/>
        </w:tabs>
        <w:rPr>
          <w:rFonts w:cs="Arial"/>
          <w:b/>
          <w:sz w:val="22"/>
          <w:szCs w:val="22"/>
        </w:rPr>
      </w:pPr>
      <w:r w:rsidRPr="00384552">
        <w:rPr>
          <w:rFonts w:cs="Arial"/>
          <w:b/>
          <w:sz w:val="22"/>
          <w:szCs w:val="22"/>
        </w:rPr>
        <w:t>Producto esperando por el contratista:</w:t>
      </w:r>
    </w:p>
    <w:p w14:paraId="5DEF6DA4" w14:textId="77777777" w:rsidR="0003308B" w:rsidRPr="00384552" w:rsidRDefault="0003308B" w:rsidP="0003308B">
      <w:pPr>
        <w:tabs>
          <w:tab w:val="left" w:pos="142"/>
        </w:tabs>
        <w:rPr>
          <w:rFonts w:cs="Arial"/>
          <w:sz w:val="22"/>
          <w:szCs w:val="22"/>
        </w:rPr>
      </w:pPr>
      <w:r w:rsidRPr="00384552">
        <w:rPr>
          <w:rFonts w:cs="Arial"/>
          <w:sz w:val="22"/>
          <w:szCs w:val="22"/>
        </w:rPr>
        <w:t>1.  Informe de la visita Tema 3, consolidado por familias.</w:t>
      </w:r>
    </w:p>
    <w:p w14:paraId="454E02AC" w14:textId="77777777" w:rsidR="0003308B" w:rsidRPr="00384552" w:rsidRDefault="0003308B" w:rsidP="0003308B">
      <w:pPr>
        <w:tabs>
          <w:tab w:val="left" w:pos="142"/>
        </w:tabs>
        <w:rPr>
          <w:rFonts w:cs="Arial"/>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5CC94F02" w14:textId="77777777" w:rsidR="0003308B" w:rsidRPr="00384552" w:rsidRDefault="0003308B" w:rsidP="0003308B">
      <w:pPr>
        <w:tabs>
          <w:tab w:val="left" w:pos="142"/>
        </w:tabs>
        <w:rPr>
          <w:rFonts w:cs="Arial"/>
          <w:b/>
          <w:sz w:val="22"/>
          <w:szCs w:val="22"/>
        </w:rPr>
      </w:pPr>
    </w:p>
    <w:p w14:paraId="31E8E75B"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Planificar y realizar taller de capacitación dirigido al Comité CAPS sobre la elaboración del reglamento interno del sistema de agua potable (SAP)</w:t>
      </w:r>
    </w:p>
    <w:p w14:paraId="4F00498D" w14:textId="77777777" w:rsidR="0003308B" w:rsidRPr="00384552" w:rsidRDefault="0003308B" w:rsidP="0003308B">
      <w:pPr>
        <w:tabs>
          <w:tab w:val="left" w:pos="142"/>
        </w:tabs>
        <w:contextualSpacing/>
        <w:rPr>
          <w:rFonts w:cs="Arial"/>
          <w:b/>
          <w:sz w:val="22"/>
          <w:szCs w:val="22"/>
        </w:rPr>
      </w:pPr>
    </w:p>
    <w:p w14:paraId="5912889A" w14:textId="77777777" w:rsidR="0003308B" w:rsidRPr="00384552" w:rsidRDefault="0003308B" w:rsidP="0003308B">
      <w:pPr>
        <w:tabs>
          <w:tab w:val="left" w:pos="142"/>
        </w:tabs>
        <w:contextualSpacing/>
        <w:rPr>
          <w:rFonts w:cs="Arial"/>
          <w:i/>
          <w:sz w:val="22"/>
          <w:szCs w:val="22"/>
        </w:rPr>
      </w:pPr>
      <w:r w:rsidRPr="00384552">
        <w:rPr>
          <w:rFonts w:cs="Arial"/>
          <w:sz w:val="22"/>
          <w:szCs w:val="22"/>
        </w:rPr>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370F68BE" w14:textId="77777777" w:rsidR="0003308B" w:rsidRPr="00384552" w:rsidRDefault="0003308B" w:rsidP="0003308B">
      <w:pPr>
        <w:tabs>
          <w:tab w:val="left" w:pos="142"/>
        </w:tabs>
        <w:contextualSpacing/>
        <w:rPr>
          <w:rFonts w:cs="Arial"/>
          <w:i/>
          <w:sz w:val="22"/>
          <w:szCs w:val="22"/>
        </w:rPr>
      </w:pPr>
    </w:p>
    <w:p w14:paraId="653210F8" w14:textId="77777777" w:rsidR="0003308B" w:rsidRPr="00384552" w:rsidRDefault="0003308B" w:rsidP="0003308B">
      <w:pPr>
        <w:tabs>
          <w:tab w:val="left" w:pos="142"/>
        </w:tabs>
        <w:rPr>
          <w:rFonts w:cs="Arial"/>
          <w:i/>
          <w:sz w:val="22"/>
          <w:szCs w:val="22"/>
        </w:rPr>
      </w:pPr>
      <w:r w:rsidRPr="00384552">
        <w:rPr>
          <w:rFonts w:cs="Arial"/>
          <w:sz w:val="22"/>
          <w:szCs w:val="22"/>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4CC1F307" w14:textId="77777777" w:rsidR="0003308B" w:rsidRPr="00384552" w:rsidRDefault="0003308B" w:rsidP="0003308B">
      <w:pPr>
        <w:tabs>
          <w:tab w:val="left" w:pos="142"/>
        </w:tabs>
        <w:rPr>
          <w:rFonts w:cs="Arial"/>
          <w:i/>
          <w:sz w:val="22"/>
          <w:szCs w:val="22"/>
        </w:rPr>
      </w:pPr>
      <w:r w:rsidRPr="00384552">
        <w:rPr>
          <w:rFonts w:cs="Arial"/>
          <w:sz w:val="22"/>
          <w:szCs w:val="22"/>
        </w:rPr>
        <w:t>Para esta actividad deberá tener el apoyo del supervisor y representante de la Alcaldía Municipal.</w:t>
      </w:r>
    </w:p>
    <w:p w14:paraId="479533D3" w14:textId="77777777" w:rsidR="0003308B" w:rsidRPr="00384552" w:rsidRDefault="0003308B" w:rsidP="0003308B">
      <w:pPr>
        <w:tabs>
          <w:tab w:val="left" w:pos="142"/>
        </w:tabs>
        <w:contextualSpacing/>
        <w:rPr>
          <w:rFonts w:cs="Arial"/>
          <w:i/>
          <w:sz w:val="22"/>
          <w:szCs w:val="22"/>
        </w:rPr>
      </w:pPr>
    </w:p>
    <w:p w14:paraId="41F20F27" w14:textId="77777777" w:rsidR="0003308B" w:rsidRPr="00384552" w:rsidRDefault="0003308B" w:rsidP="0003308B">
      <w:pPr>
        <w:tabs>
          <w:tab w:val="left" w:pos="142"/>
        </w:tabs>
        <w:rPr>
          <w:rFonts w:cs="Arial"/>
          <w:b/>
          <w:sz w:val="22"/>
          <w:szCs w:val="22"/>
        </w:rPr>
      </w:pPr>
      <w:r w:rsidRPr="00384552">
        <w:rPr>
          <w:rFonts w:cs="Arial"/>
          <w:b/>
          <w:sz w:val="22"/>
          <w:szCs w:val="22"/>
        </w:rPr>
        <w:t>Carga horaria:</w:t>
      </w:r>
    </w:p>
    <w:p w14:paraId="7E3C1B6A" w14:textId="77777777" w:rsidR="0003308B" w:rsidRPr="00384552" w:rsidRDefault="0003308B" w:rsidP="0003308B">
      <w:pPr>
        <w:tabs>
          <w:tab w:val="left" w:pos="142"/>
        </w:tabs>
        <w:rPr>
          <w:rFonts w:cs="Arial"/>
          <w:sz w:val="22"/>
          <w:szCs w:val="22"/>
        </w:rPr>
      </w:pPr>
      <w:r w:rsidRPr="00384552">
        <w:rPr>
          <w:rFonts w:cs="Arial"/>
          <w:sz w:val="22"/>
          <w:szCs w:val="22"/>
        </w:rPr>
        <w:t xml:space="preserve">El taller tendrá una duración de cuatro (4) horas. </w:t>
      </w:r>
    </w:p>
    <w:p w14:paraId="62F49FF3" w14:textId="77777777" w:rsidR="0003308B" w:rsidRPr="00384552" w:rsidRDefault="0003308B" w:rsidP="0003308B">
      <w:pPr>
        <w:tabs>
          <w:tab w:val="left" w:pos="142"/>
        </w:tabs>
        <w:contextualSpacing/>
        <w:rPr>
          <w:rFonts w:cs="Arial"/>
          <w:i/>
          <w:sz w:val="22"/>
          <w:szCs w:val="22"/>
        </w:rPr>
      </w:pPr>
    </w:p>
    <w:p w14:paraId="5DA92396" w14:textId="77777777" w:rsidR="0003308B" w:rsidRPr="00384552" w:rsidRDefault="0003308B" w:rsidP="0003308B">
      <w:pPr>
        <w:tabs>
          <w:tab w:val="left" w:pos="142"/>
        </w:tabs>
        <w:contextualSpacing/>
        <w:rPr>
          <w:rFonts w:cs="Arial"/>
          <w:i/>
          <w:sz w:val="22"/>
          <w:szCs w:val="22"/>
        </w:rPr>
      </w:pPr>
      <w:r w:rsidRPr="00384552">
        <w:rPr>
          <w:rFonts w:cs="Arial"/>
          <w:sz w:val="22"/>
          <w:szCs w:val="22"/>
        </w:rPr>
        <w:t>Requerimientos del contratista:</w:t>
      </w:r>
    </w:p>
    <w:p w14:paraId="3CC72A6D" w14:textId="77777777" w:rsidR="0003308B" w:rsidRPr="00384552" w:rsidRDefault="0003308B" w:rsidP="0003308B">
      <w:pPr>
        <w:tabs>
          <w:tab w:val="left" w:pos="142"/>
        </w:tabs>
        <w:contextualSpacing/>
        <w:rPr>
          <w:rFonts w:cs="Arial"/>
          <w:i/>
          <w:sz w:val="22"/>
          <w:szCs w:val="22"/>
        </w:rPr>
      </w:pPr>
    </w:p>
    <w:p w14:paraId="3FB377E1"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Lapiceros, marcadores, papelografo, lápices</w:t>
      </w:r>
    </w:p>
    <w:p w14:paraId="630ADC3C"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 xml:space="preserve">Libretas </w:t>
      </w:r>
    </w:p>
    <w:p w14:paraId="32AFE069"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Refrigerios/Almuerzo</w:t>
      </w:r>
    </w:p>
    <w:p w14:paraId="2040E43A" w14:textId="77777777" w:rsidR="0003308B" w:rsidRPr="00384552" w:rsidRDefault="0003308B" w:rsidP="0003308B">
      <w:pPr>
        <w:tabs>
          <w:tab w:val="left" w:pos="142"/>
        </w:tabs>
        <w:contextualSpacing/>
        <w:rPr>
          <w:rFonts w:cs="Arial"/>
          <w:i/>
          <w:sz w:val="22"/>
          <w:szCs w:val="22"/>
        </w:rPr>
      </w:pPr>
    </w:p>
    <w:p w14:paraId="748054DE" w14:textId="77777777" w:rsidR="0003308B" w:rsidRPr="00384552" w:rsidRDefault="0003308B" w:rsidP="0003308B">
      <w:pPr>
        <w:tabs>
          <w:tab w:val="left" w:pos="142"/>
        </w:tabs>
        <w:contextualSpacing/>
        <w:rPr>
          <w:rFonts w:cs="Arial"/>
          <w:i/>
          <w:sz w:val="22"/>
          <w:szCs w:val="22"/>
        </w:rPr>
      </w:pPr>
      <w:r w:rsidRPr="00384552">
        <w:rPr>
          <w:rFonts w:cs="Arial"/>
          <w:sz w:val="22"/>
          <w:szCs w:val="22"/>
        </w:rPr>
        <w:t>Producto esperado:</w:t>
      </w:r>
    </w:p>
    <w:p w14:paraId="7A44B3A5"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Reglamento interno del sistema de agua</w:t>
      </w:r>
    </w:p>
    <w:p w14:paraId="38ACA978"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Ayuda memoria de taller</w:t>
      </w:r>
    </w:p>
    <w:p w14:paraId="52EE230E"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Listado de asistencia</w:t>
      </w:r>
    </w:p>
    <w:p w14:paraId="14C3AE59" w14:textId="77777777" w:rsidR="0003308B" w:rsidRPr="00384552" w:rsidRDefault="0003308B" w:rsidP="003B68DB">
      <w:pPr>
        <w:numPr>
          <w:ilvl w:val="0"/>
          <w:numId w:val="124"/>
        </w:numPr>
        <w:tabs>
          <w:tab w:val="left" w:pos="142"/>
        </w:tabs>
        <w:contextualSpacing/>
        <w:rPr>
          <w:rFonts w:cs="Arial"/>
          <w:i/>
          <w:sz w:val="22"/>
          <w:szCs w:val="22"/>
        </w:rPr>
      </w:pPr>
      <w:r w:rsidRPr="00384552">
        <w:rPr>
          <w:rFonts w:cs="Arial"/>
          <w:sz w:val="22"/>
          <w:szCs w:val="22"/>
        </w:rPr>
        <w:t>Memoria fotográfica</w:t>
      </w:r>
    </w:p>
    <w:p w14:paraId="32045324" w14:textId="77777777" w:rsidR="0003308B" w:rsidRPr="00384552" w:rsidRDefault="0003308B" w:rsidP="0003308B">
      <w:pPr>
        <w:tabs>
          <w:tab w:val="left" w:pos="142"/>
        </w:tabs>
        <w:contextualSpacing/>
        <w:rPr>
          <w:rFonts w:cs="Arial"/>
          <w:i/>
          <w:sz w:val="22"/>
          <w:szCs w:val="22"/>
        </w:rPr>
      </w:pPr>
    </w:p>
    <w:p w14:paraId="6AF65881" w14:textId="77777777" w:rsidR="0003308B" w:rsidRPr="00384552" w:rsidRDefault="0003308B" w:rsidP="0003308B">
      <w:pPr>
        <w:tabs>
          <w:tab w:val="left" w:pos="142"/>
        </w:tabs>
        <w:contextualSpacing/>
        <w:rPr>
          <w:rFonts w:cs="Arial"/>
          <w:i/>
          <w:sz w:val="22"/>
          <w:szCs w:val="22"/>
        </w:rPr>
      </w:pPr>
    </w:p>
    <w:p w14:paraId="07AE3132" w14:textId="77777777" w:rsidR="0003308B" w:rsidRPr="00384552" w:rsidRDefault="0003308B" w:rsidP="003B68DB">
      <w:pPr>
        <w:numPr>
          <w:ilvl w:val="0"/>
          <w:numId w:val="130"/>
        </w:numPr>
        <w:tabs>
          <w:tab w:val="left" w:pos="142"/>
        </w:tabs>
        <w:contextualSpacing/>
        <w:rPr>
          <w:rFonts w:cs="Arial"/>
          <w:b/>
          <w:sz w:val="22"/>
          <w:szCs w:val="22"/>
        </w:rPr>
      </w:pPr>
      <w:r w:rsidRPr="00384552">
        <w:rPr>
          <w:rFonts w:cs="Arial"/>
          <w:b/>
          <w:sz w:val="22"/>
          <w:szCs w:val="22"/>
        </w:rPr>
        <w:lastRenderedPageBreak/>
        <w:t>Planificar y realizar Asamblea general comunitaria para dar a conocer y aprobar el Reglamento Interno del Sistema de Agua Potable-SAP, construido. Elaborar informe de planificación y realización de asamblea general comunitaria.</w:t>
      </w:r>
    </w:p>
    <w:p w14:paraId="40A20708" w14:textId="77777777" w:rsidR="0003308B" w:rsidRPr="00384552" w:rsidRDefault="0003308B" w:rsidP="0003308B">
      <w:pPr>
        <w:tabs>
          <w:tab w:val="left" w:pos="142"/>
        </w:tabs>
        <w:rPr>
          <w:rFonts w:cs="Arial"/>
          <w:sz w:val="22"/>
          <w:szCs w:val="22"/>
        </w:rPr>
      </w:pPr>
    </w:p>
    <w:p w14:paraId="22F49CC4" w14:textId="77777777" w:rsidR="0003308B" w:rsidRPr="00384552" w:rsidRDefault="0003308B" w:rsidP="0003308B">
      <w:pPr>
        <w:tabs>
          <w:tab w:val="left" w:pos="142"/>
        </w:tabs>
        <w:rPr>
          <w:rFonts w:cs="Arial"/>
          <w:i/>
          <w:sz w:val="22"/>
          <w:szCs w:val="22"/>
        </w:rPr>
      </w:pPr>
      <w:r w:rsidRPr="00384552">
        <w:rPr>
          <w:rFonts w:cs="Arial"/>
          <w:sz w:val="22"/>
          <w:szCs w:val="22"/>
        </w:rPr>
        <w:t>El contratista deberá planificar y realizar la asamblea general para dar a conocer el reglamento interno del sistema construido. Deberá garantizar el 70% de participación de los protagonistas.</w:t>
      </w:r>
    </w:p>
    <w:p w14:paraId="1D2EE365" w14:textId="77777777" w:rsidR="0003308B" w:rsidRPr="00384552" w:rsidRDefault="0003308B" w:rsidP="0003308B">
      <w:pPr>
        <w:tabs>
          <w:tab w:val="left" w:pos="142"/>
        </w:tabs>
        <w:rPr>
          <w:rFonts w:cs="Arial"/>
          <w:i/>
          <w:sz w:val="22"/>
          <w:szCs w:val="22"/>
        </w:rPr>
      </w:pPr>
      <w:r w:rsidRPr="00384552">
        <w:rPr>
          <w:rFonts w:cs="Arial"/>
          <w:sz w:val="22"/>
          <w:szCs w:val="22"/>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2AD66B84" w14:textId="77777777" w:rsidR="0003308B" w:rsidRPr="00384552" w:rsidRDefault="0003308B" w:rsidP="0003308B">
      <w:pPr>
        <w:tabs>
          <w:tab w:val="left" w:pos="142"/>
        </w:tabs>
        <w:rPr>
          <w:rFonts w:cs="Arial"/>
          <w:i/>
          <w:sz w:val="22"/>
          <w:szCs w:val="22"/>
        </w:rPr>
      </w:pPr>
    </w:p>
    <w:p w14:paraId="7EE767EA" w14:textId="77777777" w:rsidR="0003308B" w:rsidRPr="00384552" w:rsidRDefault="0003308B" w:rsidP="0003308B">
      <w:pPr>
        <w:tabs>
          <w:tab w:val="left" w:pos="142"/>
        </w:tabs>
        <w:rPr>
          <w:rFonts w:cs="Arial"/>
          <w:i/>
          <w:sz w:val="22"/>
          <w:szCs w:val="22"/>
        </w:rPr>
      </w:pPr>
      <w:r w:rsidRPr="00384552">
        <w:rPr>
          <w:rFonts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0E8A685C" w14:textId="77777777" w:rsidR="0003308B" w:rsidRPr="00384552" w:rsidRDefault="0003308B" w:rsidP="0003308B">
      <w:pPr>
        <w:tabs>
          <w:tab w:val="left" w:pos="142"/>
        </w:tabs>
        <w:rPr>
          <w:rFonts w:cs="Arial"/>
          <w:i/>
          <w:sz w:val="22"/>
          <w:szCs w:val="22"/>
        </w:rPr>
      </w:pPr>
    </w:p>
    <w:p w14:paraId="6ED237B5" w14:textId="77777777" w:rsidR="0003308B" w:rsidRPr="00384552" w:rsidRDefault="0003308B" w:rsidP="0003308B">
      <w:pPr>
        <w:tabs>
          <w:tab w:val="left" w:pos="142"/>
        </w:tabs>
        <w:rPr>
          <w:rFonts w:cs="Arial"/>
          <w:sz w:val="22"/>
          <w:szCs w:val="22"/>
        </w:rPr>
      </w:pPr>
      <w:r w:rsidRPr="00384552">
        <w:rPr>
          <w:rFonts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11B013FE" w14:textId="77777777" w:rsidR="0003308B" w:rsidRPr="00384552" w:rsidRDefault="0003308B" w:rsidP="0003308B">
      <w:pPr>
        <w:tabs>
          <w:tab w:val="left" w:pos="142"/>
        </w:tabs>
        <w:rPr>
          <w:rFonts w:cs="Arial"/>
          <w:sz w:val="22"/>
          <w:szCs w:val="22"/>
        </w:rPr>
      </w:pPr>
    </w:p>
    <w:p w14:paraId="2AFBA6DB" w14:textId="77777777" w:rsidR="0003308B" w:rsidRPr="00384552" w:rsidRDefault="0003308B" w:rsidP="0003308B">
      <w:pPr>
        <w:tabs>
          <w:tab w:val="left" w:pos="142"/>
        </w:tabs>
        <w:rPr>
          <w:rFonts w:cs="Arial"/>
          <w:sz w:val="22"/>
          <w:szCs w:val="22"/>
        </w:rPr>
      </w:pPr>
      <w:r w:rsidRPr="00384552">
        <w:rPr>
          <w:rFonts w:cs="Arial"/>
          <w:sz w:val="22"/>
          <w:szCs w:val="22"/>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133CE026" w14:textId="77777777" w:rsidR="0003308B" w:rsidRPr="00384552" w:rsidRDefault="0003308B" w:rsidP="0003308B">
      <w:pPr>
        <w:tabs>
          <w:tab w:val="left" w:pos="142"/>
        </w:tabs>
        <w:rPr>
          <w:rFonts w:cs="Arial"/>
          <w:b/>
          <w:sz w:val="22"/>
          <w:szCs w:val="22"/>
        </w:rPr>
      </w:pPr>
    </w:p>
    <w:p w14:paraId="216FDB50" w14:textId="77777777" w:rsidR="0003308B" w:rsidRPr="00384552" w:rsidRDefault="0003308B" w:rsidP="0003308B">
      <w:pPr>
        <w:tabs>
          <w:tab w:val="left" w:pos="142"/>
        </w:tabs>
        <w:rPr>
          <w:rFonts w:cs="Arial"/>
          <w:b/>
          <w:sz w:val="22"/>
          <w:szCs w:val="22"/>
        </w:rPr>
      </w:pPr>
      <w:r w:rsidRPr="00384552">
        <w:rPr>
          <w:rFonts w:cs="Arial"/>
          <w:b/>
          <w:sz w:val="22"/>
          <w:szCs w:val="22"/>
        </w:rPr>
        <w:t>Los productos esperados por el contratista:</w:t>
      </w:r>
    </w:p>
    <w:p w14:paraId="5B3D46CE" w14:textId="77777777" w:rsidR="0003308B" w:rsidRPr="00384552" w:rsidRDefault="0003308B" w:rsidP="0003308B">
      <w:pPr>
        <w:tabs>
          <w:tab w:val="left" w:pos="142"/>
        </w:tabs>
        <w:rPr>
          <w:rFonts w:cs="Arial"/>
          <w:sz w:val="22"/>
          <w:szCs w:val="22"/>
        </w:rPr>
      </w:pPr>
    </w:p>
    <w:p w14:paraId="58D23642" w14:textId="77777777" w:rsidR="0003308B" w:rsidRPr="00384552" w:rsidRDefault="0003308B" w:rsidP="0003308B">
      <w:pPr>
        <w:tabs>
          <w:tab w:val="left" w:pos="142"/>
        </w:tabs>
        <w:rPr>
          <w:rFonts w:cs="Arial"/>
          <w:sz w:val="22"/>
          <w:szCs w:val="22"/>
        </w:rPr>
      </w:pPr>
      <w:r w:rsidRPr="00384552">
        <w:rPr>
          <w:rFonts w:cs="Arial"/>
          <w:sz w:val="22"/>
          <w:szCs w:val="22"/>
        </w:rPr>
        <w:t>1. Informe ejecutivo</w:t>
      </w:r>
    </w:p>
    <w:p w14:paraId="1378719F" w14:textId="77777777" w:rsidR="0003308B" w:rsidRPr="00384552" w:rsidRDefault="0003308B" w:rsidP="0003308B">
      <w:pPr>
        <w:tabs>
          <w:tab w:val="left" w:pos="142"/>
        </w:tabs>
        <w:rPr>
          <w:rFonts w:cs="Arial"/>
          <w:sz w:val="22"/>
          <w:szCs w:val="22"/>
        </w:rPr>
      </w:pPr>
      <w:r w:rsidRPr="00384552">
        <w:rPr>
          <w:rFonts w:cs="Arial"/>
          <w:sz w:val="22"/>
          <w:szCs w:val="22"/>
        </w:rPr>
        <w:t>2. Lista de asistencia, debidamente firmada y avalada por técnico UMAS, CAPS, ATT.</w:t>
      </w:r>
    </w:p>
    <w:p w14:paraId="0EABACF8" w14:textId="77777777" w:rsidR="0003308B" w:rsidRPr="00384552" w:rsidRDefault="0003308B" w:rsidP="0003308B">
      <w:pPr>
        <w:tabs>
          <w:tab w:val="left" w:pos="142"/>
        </w:tabs>
        <w:rPr>
          <w:rFonts w:cs="Arial"/>
          <w:sz w:val="22"/>
          <w:szCs w:val="22"/>
        </w:rPr>
      </w:pPr>
      <w:r w:rsidRPr="00384552">
        <w:rPr>
          <w:rFonts w:cs="Arial"/>
          <w:sz w:val="22"/>
          <w:szCs w:val="22"/>
        </w:rPr>
        <w:t>3. Acta de asamblea (modelo típico FISE), con su lista de asistencia.</w:t>
      </w:r>
    </w:p>
    <w:p w14:paraId="6B174F27" w14:textId="77777777" w:rsidR="0003308B" w:rsidRPr="00384552" w:rsidRDefault="0003308B" w:rsidP="0003308B">
      <w:pPr>
        <w:tabs>
          <w:tab w:val="left" w:pos="142"/>
        </w:tabs>
        <w:rPr>
          <w:rFonts w:cs="Arial"/>
          <w:sz w:val="22"/>
          <w:szCs w:val="22"/>
        </w:rPr>
      </w:pPr>
      <w:r w:rsidRPr="00384552">
        <w:rPr>
          <w:rFonts w:cs="Arial"/>
          <w:sz w:val="22"/>
          <w:szCs w:val="22"/>
        </w:rPr>
        <w:t>4. Ayuda memoria.</w:t>
      </w:r>
    </w:p>
    <w:p w14:paraId="784479AF" w14:textId="77777777" w:rsidR="0003308B" w:rsidRPr="00384552" w:rsidRDefault="0003308B" w:rsidP="0003308B">
      <w:pPr>
        <w:tabs>
          <w:tab w:val="left" w:pos="142"/>
        </w:tabs>
        <w:rPr>
          <w:rFonts w:cs="Arial"/>
          <w:sz w:val="22"/>
          <w:szCs w:val="22"/>
        </w:rPr>
      </w:pPr>
      <w:r w:rsidRPr="00384552">
        <w:rPr>
          <w:rFonts w:cs="Arial"/>
          <w:sz w:val="22"/>
          <w:szCs w:val="22"/>
        </w:rPr>
        <w:t>5. Memoria fotográfica.</w:t>
      </w:r>
    </w:p>
    <w:p w14:paraId="75FD2BC7" w14:textId="77777777" w:rsidR="0003308B" w:rsidRPr="00384552" w:rsidRDefault="0003308B" w:rsidP="0003308B">
      <w:pPr>
        <w:tabs>
          <w:tab w:val="left" w:pos="142"/>
        </w:tabs>
        <w:rPr>
          <w:rFonts w:cs="Arial"/>
          <w:sz w:val="22"/>
          <w:szCs w:val="22"/>
        </w:rPr>
      </w:pPr>
      <w:r w:rsidRPr="00384552">
        <w:rPr>
          <w:rFonts w:cs="Arial"/>
          <w:sz w:val="22"/>
          <w:szCs w:val="22"/>
        </w:rPr>
        <w:t>6. Reglamento interno.</w:t>
      </w:r>
    </w:p>
    <w:p w14:paraId="0C855F37" w14:textId="77777777" w:rsidR="0003308B" w:rsidRPr="00384552" w:rsidRDefault="0003308B" w:rsidP="0003308B">
      <w:pPr>
        <w:tabs>
          <w:tab w:val="left" w:pos="142"/>
        </w:tabs>
        <w:rPr>
          <w:rFonts w:cs="Arial"/>
          <w:sz w:val="22"/>
          <w:szCs w:val="22"/>
        </w:rPr>
      </w:pPr>
    </w:p>
    <w:p w14:paraId="73A28670"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t>Planificar, Elaborar Informe y Realización de Asamblea General comunitaria para dar a conocer Plan de Operación y Mantenimiento del Sistema y firma de acta de recepción final.</w:t>
      </w:r>
    </w:p>
    <w:p w14:paraId="3D0C5F23" w14:textId="77777777" w:rsidR="0003308B" w:rsidRPr="00384552" w:rsidRDefault="0003308B" w:rsidP="0003308B">
      <w:pPr>
        <w:tabs>
          <w:tab w:val="left" w:pos="142"/>
        </w:tabs>
        <w:rPr>
          <w:rFonts w:cs="Arial"/>
          <w:sz w:val="22"/>
          <w:szCs w:val="22"/>
        </w:rPr>
      </w:pPr>
    </w:p>
    <w:p w14:paraId="1EAAA3A6" w14:textId="77777777" w:rsidR="0003308B" w:rsidRPr="00384552" w:rsidRDefault="0003308B" w:rsidP="0003308B">
      <w:pPr>
        <w:tabs>
          <w:tab w:val="left" w:pos="142"/>
        </w:tabs>
        <w:rPr>
          <w:rFonts w:cs="Arial"/>
          <w:sz w:val="22"/>
          <w:szCs w:val="22"/>
        </w:rPr>
      </w:pPr>
      <w:r w:rsidRPr="00384552">
        <w:rPr>
          <w:rFonts w:cs="Arial"/>
          <w:sz w:val="22"/>
          <w:szCs w:val="22"/>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1354DA4B" w14:textId="77777777" w:rsidR="0003308B" w:rsidRPr="00384552" w:rsidRDefault="0003308B" w:rsidP="0003308B">
      <w:pPr>
        <w:tabs>
          <w:tab w:val="left" w:pos="142"/>
        </w:tabs>
        <w:rPr>
          <w:rFonts w:cs="Arial"/>
          <w:sz w:val="22"/>
          <w:szCs w:val="22"/>
        </w:rPr>
      </w:pPr>
    </w:p>
    <w:p w14:paraId="3947318F" w14:textId="77777777" w:rsidR="0003308B" w:rsidRPr="00384552" w:rsidRDefault="0003308B" w:rsidP="0003308B">
      <w:pPr>
        <w:tabs>
          <w:tab w:val="left" w:pos="142"/>
        </w:tabs>
        <w:rPr>
          <w:rFonts w:cs="Arial"/>
          <w:sz w:val="22"/>
          <w:szCs w:val="22"/>
        </w:rPr>
      </w:pPr>
      <w:r w:rsidRPr="00384552">
        <w:rPr>
          <w:rFonts w:cs="Arial"/>
          <w:sz w:val="22"/>
          <w:szCs w:val="22"/>
        </w:rPr>
        <w:t xml:space="preserve">Se debe garantizar a cada participante su refrigerio. El taller tendrá una duración de cuatro (4) horas. </w:t>
      </w:r>
    </w:p>
    <w:p w14:paraId="7B450B45" w14:textId="77777777" w:rsidR="0003308B" w:rsidRPr="00384552" w:rsidRDefault="0003308B" w:rsidP="0003308B">
      <w:pPr>
        <w:tabs>
          <w:tab w:val="left" w:pos="142"/>
        </w:tabs>
        <w:rPr>
          <w:rFonts w:cs="Arial"/>
          <w:sz w:val="22"/>
          <w:szCs w:val="22"/>
        </w:rPr>
      </w:pPr>
    </w:p>
    <w:p w14:paraId="22CE4B7B" w14:textId="77777777" w:rsidR="0003308B" w:rsidRPr="00384552" w:rsidRDefault="0003308B" w:rsidP="0003308B">
      <w:pPr>
        <w:tabs>
          <w:tab w:val="left" w:pos="142"/>
        </w:tabs>
        <w:rPr>
          <w:rFonts w:cs="Arial"/>
          <w:sz w:val="22"/>
          <w:szCs w:val="22"/>
        </w:rPr>
      </w:pPr>
      <w:r w:rsidRPr="00384552">
        <w:rPr>
          <w:rFonts w:cs="Arial"/>
          <w:sz w:val="22"/>
          <w:szCs w:val="22"/>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5F32796F" w14:textId="77777777" w:rsidR="0003308B" w:rsidRPr="00384552" w:rsidRDefault="0003308B" w:rsidP="003B68DB">
      <w:pPr>
        <w:numPr>
          <w:ilvl w:val="0"/>
          <w:numId w:val="130"/>
        </w:numPr>
        <w:tabs>
          <w:tab w:val="left" w:pos="142"/>
        </w:tabs>
        <w:ind w:firstLine="0"/>
        <w:contextualSpacing/>
        <w:rPr>
          <w:rFonts w:cs="Arial"/>
          <w:b/>
          <w:sz w:val="22"/>
          <w:szCs w:val="22"/>
        </w:rPr>
      </w:pPr>
      <w:r w:rsidRPr="00384552">
        <w:rPr>
          <w:rFonts w:cs="Arial"/>
          <w:b/>
          <w:sz w:val="22"/>
          <w:szCs w:val="22"/>
        </w:rPr>
        <w:lastRenderedPageBreak/>
        <w:t>Elaborar y realizar el levantamiento de la ficha de finiquito del proyecto</w:t>
      </w:r>
    </w:p>
    <w:p w14:paraId="2E6989AB" w14:textId="77777777" w:rsidR="0003308B" w:rsidRPr="00384552" w:rsidRDefault="0003308B" w:rsidP="0003308B">
      <w:pPr>
        <w:tabs>
          <w:tab w:val="left" w:pos="142"/>
        </w:tabs>
        <w:ind w:left="720"/>
        <w:contextualSpacing/>
        <w:rPr>
          <w:rFonts w:cs="Arial"/>
          <w:b/>
          <w:sz w:val="22"/>
          <w:szCs w:val="22"/>
          <w:highlight w:val="yellow"/>
        </w:rPr>
      </w:pPr>
    </w:p>
    <w:p w14:paraId="21D31FA4" w14:textId="77777777" w:rsidR="0003308B" w:rsidRPr="00384552" w:rsidRDefault="0003308B" w:rsidP="0003308B">
      <w:pPr>
        <w:tabs>
          <w:tab w:val="left" w:pos="142"/>
        </w:tabs>
        <w:rPr>
          <w:rFonts w:cs="Arial"/>
          <w:i/>
          <w:sz w:val="22"/>
          <w:szCs w:val="22"/>
        </w:rPr>
      </w:pPr>
      <w:r w:rsidRPr="00384552">
        <w:rPr>
          <w:rFonts w:cs="Arial"/>
          <w:sz w:val="22"/>
          <w:szCs w:val="22"/>
        </w:rPr>
        <w:t xml:space="preserve">Usando el formato del FISE, en coordinación de la parte de ingeniería de la obra (supervisor, ATT, residente) y parte social se realiza el llenado de la ficha finiquito.  Esta información es responsabilidad compartida de la parte de ingeniería y social garantizar el llenado de información. </w:t>
      </w:r>
    </w:p>
    <w:p w14:paraId="3B71AB19" w14:textId="77777777" w:rsidR="0003308B" w:rsidRPr="00384552" w:rsidRDefault="0003308B" w:rsidP="0003308B">
      <w:pPr>
        <w:tabs>
          <w:tab w:val="left" w:pos="142"/>
        </w:tabs>
        <w:rPr>
          <w:rFonts w:cs="Arial"/>
          <w:i/>
          <w:sz w:val="22"/>
          <w:szCs w:val="22"/>
        </w:rPr>
      </w:pPr>
    </w:p>
    <w:p w14:paraId="12BDB3BA" w14:textId="77777777" w:rsidR="0003308B" w:rsidRPr="00384552" w:rsidRDefault="0003308B" w:rsidP="0003308B">
      <w:pPr>
        <w:tabs>
          <w:tab w:val="left" w:pos="142"/>
        </w:tabs>
        <w:rPr>
          <w:rFonts w:cs="Arial"/>
          <w:b/>
          <w:sz w:val="22"/>
          <w:szCs w:val="22"/>
        </w:rPr>
      </w:pPr>
      <w:r w:rsidRPr="00384552">
        <w:rPr>
          <w:rFonts w:cs="Arial"/>
          <w:b/>
          <w:sz w:val="22"/>
          <w:szCs w:val="22"/>
        </w:rPr>
        <w:t>Producto a entregar por el contratista:</w:t>
      </w:r>
    </w:p>
    <w:p w14:paraId="12A4B1A7" w14:textId="77777777" w:rsidR="0003308B" w:rsidRPr="00384552" w:rsidRDefault="0003308B" w:rsidP="003B68DB">
      <w:pPr>
        <w:numPr>
          <w:ilvl w:val="0"/>
          <w:numId w:val="124"/>
        </w:numPr>
        <w:tabs>
          <w:tab w:val="left" w:pos="142"/>
        </w:tabs>
        <w:rPr>
          <w:rFonts w:cs="Arial"/>
          <w:i/>
          <w:sz w:val="22"/>
          <w:szCs w:val="22"/>
        </w:rPr>
      </w:pPr>
      <w:r w:rsidRPr="00384552">
        <w:rPr>
          <w:rFonts w:cs="Arial"/>
          <w:sz w:val="22"/>
          <w:szCs w:val="22"/>
        </w:rPr>
        <w:t xml:space="preserve">Ficha finiquito del proyecto de agua, saneamiento e higiene </w:t>
      </w:r>
    </w:p>
    <w:p w14:paraId="5340074B" w14:textId="77777777" w:rsidR="0003308B" w:rsidRPr="00384552" w:rsidRDefault="0003308B" w:rsidP="0003308B">
      <w:pPr>
        <w:tabs>
          <w:tab w:val="left" w:pos="142"/>
        </w:tabs>
        <w:rPr>
          <w:rFonts w:cs="Arial"/>
          <w:b/>
          <w:sz w:val="22"/>
          <w:szCs w:val="22"/>
        </w:rPr>
      </w:pPr>
    </w:p>
    <w:p w14:paraId="5A64A7DA" w14:textId="77777777" w:rsidR="0003308B" w:rsidRPr="00384552" w:rsidRDefault="0003308B" w:rsidP="0003308B">
      <w:pPr>
        <w:tabs>
          <w:tab w:val="left" w:pos="142"/>
        </w:tabs>
        <w:rPr>
          <w:rFonts w:cs="Arial"/>
          <w:b/>
          <w:sz w:val="22"/>
          <w:szCs w:val="22"/>
        </w:rPr>
      </w:pPr>
      <w:r w:rsidRPr="00F36F97">
        <w:rPr>
          <w:rFonts w:cs="Arial"/>
          <w:b/>
          <w:sz w:val="22"/>
          <w:szCs w:val="22"/>
        </w:rPr>
        <w:t>ETAPA DE POST- OBRA Y SOSTENIBILIDAD</w:t>
      </w:r>
      <w:r w:rsidRPr="00384552">
        <w:rPr>
          <w:rFonts w:cs="Arial"/>
          <w:b/>
          <w:sz w:val="22"/>
          <w:szCs w:val="22"/>
        </w:rPr>
        <w:t xml:space="preserve"> </w:t>
      </w:r>
    </w:p>
    <w:p w14:paraId="62884DB4" w14:textId="77777777" w:rsidR="0003308B" w:rsidRPr="00384552" w:rsidRDefault="0003308B" w:rsidP="0003308B">
      <w:pPr>
        <w:tabs>
          <w:tab w:val="left" w:pos="142"/>
        </w:tabs>
        <w:rPr>
          <w:rFonts w:cs="Arial"/>
          <w:b/>
          <w:sz w:val="22"/>
          <w:szCs w:val="22"/>
        </w:rPr>
      </w:pPr>
    </w:p>
    <w:p w14:paraId="2219E7BB"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para implementación de metodología FCSA –Quinta visita casa a casa.</w:t>
      </w:r>
    </w:p>
    <w:p w14:paraId="56DBB5A4" w14:textId="77777777" w:rsidR="0003308B" w:rsidRPr="00384552" w:rsidRDefault="0003308B" w:rsidP="0003308B">
      <w:pPr>
        <w:tabs>
          <w:tab w:val="left" w:pos="142"/>
        </w:tabs>
        <w:rPr>
          <w:rFonts w:cs="Arial"/>
          <w:sz w:val="22"/>
          <w:szCs w:val="22"/>
        </w:rPr>
      </w:pPr>
    </w:p>
    <w:p w14:paraId="45D44412" w14:textId="77777777" w:rsidR="0003308B" w:rsidRPr="00384552" w:rsidRDefault="0003308B" w:rsidP="0003308B">
      <w:pPr>
        <w:tabs>
          <w:tab w:val="left" w:pos="142"/>
        </w:tabs>
        <w:rPr>
          <w:rFonts w:cs="Arial"/>
          <w:sz w:val="22"/>
          <w:szCs w:val="22"/>
        </w:rPr>
      </w:pPr>
      <w:r w:rsidRPr="00384552">
        <w:rPr>
          <w:rFonts w:cs="Arial"/>
          <w:sz w:val="22"/>
          <w:szCs w:val="22"/>
        </w:rPr>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7B444B2A" w14:textId="77777777" w:rsidR="0003308B" w:rsidRPr="00384552" w:rsidRDefault="0003308B" w:rsidP="0003308B">
      <w:pPr>
        <w:tabs>
          <w:tab w:val="left" w:pos="142"/>
        </w:tabs>
        <w:rPr>
          <w:rFonts w:cs="Arial"/>
          <w:sz w:val="22"/>
          <w:szCs w:val="22"/>
        </w:rPr>
      </w:pPr>
    </w:p>
    <w:p w14:paraId="0604884B" w14:textId="77777777" w:rsidR="0003308B" w:rsidRPr="00384552" w:rsidRDefault="0003308B" w:rsidP="0003308B">
      <w:pPr>
        <w:tabs>
          <w:tab w:val="left" w:pos="142"/>
        </w:tabs>
        <w:rPr>
          <w:rFonts w:cs="Arial"/>
          <w:sz w:val="22"/>
          <w:szCs w:val="22"/>
        </w:rPr>
      </w:pPr>
      <w:r w:rsidRPr="00384552">
        <w:rPr>
          <w:rFonts w:cs="Arial"/>
          <w:sz w:val="22"/>
          <w:szCs w:val="22"/>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76ED4670" w14:textId="77777777" w:rsidR="0003308B" w:rsidRPr="00384552" w:rsidRDefault="0003308B" w:rsidP="0003308B">
      <w:pPr>
        <w:tabs>
          <w:tab w:val="left" w:pos="142"/>
        </w:tabs>
        <w:rPr>
          <w:rFonts w:cs="Arial"/>
          <w:sz w:val="22"/>
          <w:szCs w:val="22"/>
        </w:rPr>
      </w:pPr>
    </w:p>
    <w:p w14:paraId="07B42270" w14:textId="77777777" w:rsidR="0003308B" w:rsidRPr="00384552" w:rsidRDefault="0003308B" w:rsidP="0003308B">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2499DDF5" w14:textId="77777777" w:rsidR="0003308B" w:rsidRPr="00384552" w:rsidRDefault="0003308B" w:rsidP="0003308B">
      <w:pPr>
        <w:tabs>
          <w:tab w:val="left" w:pos="142"/>
        </w:tabs>
        <w:rPr>
          <w:rFonts w:cs="Arial"/>
          <w:sz w:val="22"/>
          <w:szCs w:val="22"/>
        </w:rPr>
      </w:pPr>
    </w:p>
    <w:p w14:paraId="3DE4CD7B" w14:textId="77777777" w:rsidR="0003308B" w:rsidRPr="00384552" w:rsidRDefault="0003308B" w:rsidP="0003308B">
      <w:pPr>
        <w:tabs>
          <w:tab w:val="left" w:pos="142"/>
        </w:tabs>
        <w:rPr>
          <w:rFonts w:cs="Arial"/>
          <w:b/>
          <w:sz w:val="22"/>
          <w:szCs w:val="22"/>
        </w:rPr>
      </w:pPr>
      <w:r w:rsidRPr="00384552">
        <w:rPr>
          <w:rFonts w:cs="Arial"/>
          <w:b/>
          <w:sz w:val="22"/>
          <w:szCs w:val="22"/>
        </w:rPr>
        <w:t>Producto esperado:</w:t>
      </w:r>
    </w:p>
    <w:p w14:paraId="0DABBA7C" w14:textId="77777777" w:rsidR="0003308B" w:rsidRPr="00384552" w:rsidRDefault="0003308B" w:rsidP="0003308B">
      <w:pPr>
        <w:tabs>
          <w:tab w:val="left" w:pos="142"/>
        </w:tabs>
        <w:rPr>
          <w:rFonts w:cs="Arial"/>
          <w:sz w:val="22"/>
          <w:szCs w:val="22"/>
        </w:rPr>
      </w:pPr>
      <w:r w:rsidRPr="00384552">
        <w:rPr>
          <w:rFonts w:cs="Arial"/>
          <w:sz w:val="22"/>
          <w:szCs w:val="22"/>
        </w:rPr>
        <w:t>1.  Informe de la visita Tema 4, consolidado por familias.</w:t>
      </w:r>
    </w:p>
    <w:p w14:paraId="101DCF83" w14:textId="77777777" w:rsidR="0003308B" w:rsidRPr="00384552" w:rsidRDefault="0003308B" w:rsidP="0003308B">
      <w:pPr>
        <w:tabs>
          <w:tab w:val="left" w:pos="142"/>
        </w:tabs>
        <w:rPr>
          <w:rFonts w:cs="Arial"/>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2AE8B5C" w14:textId="77777777" w:rsidR="0003308B" w:rsidRPr="00384552" w:rsidRDefault="0003308B" w:rsidP="0003308B">
      <w:pPr>
        <w:tabs>
          <w:tab w:val="left" w:pos="142"/>
        </w:tabs>
        <w:rPr>
          <w:rFonts w:cs="Arial"/>
          <w:sz w:val="22"/>
          <w:szCs w:val="22"/>
        </w:rPr>
      </w:pPr>
    </w:p>
    <w:p w14:paraId="5D254028"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para implementación de metodología FCSA –Sexta y última visita casa a casa. (Elaborar Informe Final de resultados de la implementación de FCSA.)</w:t>
      </w:r>
    </w:p>
    <w:p w14:paraId="791B2268" w14:textId="77777777" w:rsidR="0003308B" w:rsidRPr="00384552" w:rsidRDefault="0003308B" w:rsidP="0003308B">
      <w:pPr>
        <w:tabs>
          <w:tab w:val="left" w:pos="142"/>
        </w:tabs>
        <w:rPr>
          <w:rFonts w:cs="Arial"/>
          <w:sz w:val="22"/>
          <w:szCs w:val="22"/>
        </w:rPr>
      </w:pPr>
    </w:p>
    <w:p w14:paraId="2103F4DB" w14:textId="77777777" w:rsidR="0003308B" w:rsidRPr="00384552" w:rsidRDefault="0003308B" w:rsidP="0003308B">
      <w:pPr>
        <w:tabs>
          <w:tab w:val="left" w:pos="142"/>
        </w:tabs>
        <w:rPr>
          <w:rFonts w:cs="Arial"/>
          <w:sz w:val="22"/>
          <w:szCs w:val="22"/>
        </w:rPr>
      </w:pPr>
      <w:r w:rsidRPr="00384552">
        <w:rPr>
          <w:rFonts w:cs="Arial"/>
          <w:sz w:val="22"/>
          <w:szCs w:val="22"/>
        </w:rPr>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2FD53FD0" w14:textId="77777777" w:rsidR="0003308B" w:rsidRPr="00384552" w:rsidRDefault="0003308B" w:rsidP="0003308B">
      <w:pPr>
        <w:tabs>
          <w:tab w:val="left" w:pos="142"/>
        </w:tabs>
        <w:rPr>
          <w:rFonts w:cs="Arial"/>
          <w:sz w:val="22"/>
          <w:szCs w:val="22"/>
        </w:rPr>
      </w:pPr>
      <w:r w:rsidRPr="00384552">
        <w:rPr>
          <w:rFonts w:cs="Arial"/>
          <w:sz w:val="22"/>
          <w:szCs w:val="22"/>
        </w:rPr>
        <w:t xml:space="preserve"> </w:t>
      </w:r>
    </w:p>
    <w:p w14:paraId="22FDE8A1" w14:textId="77777777" w:rsidR="0003308B" w:rsidRPr="00384552" w:rsidRDefault="0003308B" w:rsidP="0003308B">
      <w:pPr>
        <w:tabs>
          <w:tab w:val="left" w:pos="142"/>
        </w:tabs>
        <w:rPr>
          <w:rFonts w:cs="Arial"/>
          <w:sz w:val="22"/>
          <w:szCs w:val="22"/>
        </w:rPr>
      </w:pPr>
      <w:r w:rsidRPr="00384552">
        <w:rPr>
          <w:rFonts w:cs="Arial"/>
          <w:sz w:val="22"/>
          <w:szCs w:val="22"/>
        </w:rPr>
        <w:t>En esta visita, se evalúan los cuatros temas establecidos en Ficha Familiar, en base a los criterios por tema, dados en cada visita, así mismo se debe retomar el diagnóstico Higiénico-Sanitario, para evaluar el antes de las visitas y el después.</w:t>
      </w:r>
    </w:p>
    <w:p w14:paraId="01D228B5" w14:textId="77777777" w:rsidR="0003308B" w:rsidRPr="00384552" w:rsidRDefault="0003308B" w:rsidP="0003308B">
      <w:pPr>
        <w:tabs>
          <w:tab w:val="left" w:pos="142"/>
        </w:tabs>
        <w:rPr>
          <w:rFonts w:cs="Arial"/>
          <w:sz w:val="22"/>
          <w:szCs w:val="22"/>
        </w:rPr>
      </w:pPr>
    </w:p>
    <w:p w14:paraId="76704E6A" w14:textId="77777777" w:rsidR="0003308B" w:rsidRPr="00384552" w:rsidRDefault="0003308B" w:rsidP="0003308B">
      <w:pPr>
        <w:tabs>
          <w:tab w:val="left" w:pos="142"/>
        </w:tabs>
        <w:rPr>
          <w:rFonts w:cs="Arial"/>
          <w:sz w:val="22"/>
          <w:szCs w:val="22"/>
        </w:rPr>
      </w:pPr>
      <w:r w:rsidRPr="00384552">
        <w:rPr>
          <w:rFonts w:cs="Arial"/>
          <w:sz w:val="22"/>
          <w:szCs w:val="22"/>
        </w:rPr>
        <w:t xml:space="preserve">En esta visita se coloca gradúan las familias colocando una gota alegre, poniendo en práctica los procedimientos establecidos, para su aplicación. </w:t>
      </w:r>
    </w:p>
    <w:p w14:paraId="4D7D2E39" w14:textId="77777777" w:rsidR="0003308B" w:rsidRPr="00384552" w:rsidRDefault="0003308B" w:rsidP="0003308B">
      <w:pPr>
        <w:tabs>
          <w:tab w:val="left" w:pos="142"/>
        </w:tabs>
        <w:rPr>
          <w:rFonts w:cs="Arial"/>
          <w:sz w:val="22"/>
          <w:szCs w:val="22"/>
        </w:rPr>
      </w:pPr>
    </w:p>
    <w:p w14:paraId="566318E6" w14:textId="77777777" w:rsidR="0003308B" w:rsidRPr="00384552" w:rsidRDefault="0003308B" w:rsidP="0003308B">
      <w:pPr>
        <w:tabs>
          <w:tab w:val="left" w:pos="142"/>
        </w:tabs>
        <w:rPr>
          <w:rFonts w:cs="Arial"/>
          <w:sz w:val="22"/>
          <w:szCs w:val="22"/>
        </w:rPr>
      </w:pPr>
      <w:r w:rsidRPr="00384552">
        <w:rPr>
          <w:rFonts w:cs="Arial"/>
          <w:sz w:val="22"/>
          <w:szCs w:val="22"/>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32BF0161" w14:textId="77777777" w:rsidR="0003308B" w:rsidRPr="00384552" w:rsidRDefault="0003308B" w:rsidP="0003308B">
      <w:pPr>
        <w:tabs>
          <w:tab w:val="left" w:pos="142"/>
        </w:tabs>
        <w:rPr>
          <w:rFonts w:cs="Arial"/>
          <w:b/>
          <w:sz w:val="22"/>
          <w:szCs w:val="22"/>
        </w:rPr>
      </w:pPr>
    </w:p>
    <w:p w14:paraId="64A4A733" w14:textId="77777777" w:rsidR="0003308B" w:rsidRPr="00384552" w:rsidRDefault="0003308B" w:rsidP="0003308B">
      <w:pPr>
        <w:tabs>
          <w:tab w:val="left" w:pos="142"/>
        </w:tabs>
        <w:rPr>
          <w:rFonts w:cs="Arial"/>
          <w:b/>
          <w:sz w:val="22"/>
          <w:szCs w:val="22"/>
        </w:rPr>
      </w:pPr>
      <w:r w:rsidRPr="00384552">
        <w:rPr>
          <w:rFonts w:cs="Arial"/>
          <w:b/>
          <w:sz w:val="22"/>
          <w:szCs w:val="22"/>
        </w:rPr>
        <w:t>Producto esperado:</w:t>
      </w:r>
    </w:p>
    <w:p w14:paraId="1BAF3BE0" w14:textId="77777777" w:rsidR="0003308B" w:rsidRPr="00384552" w:rsidRDefault="0003308B" w:rsidP="0003308B">
      <w:pPr>
        <w:tabs>
          <w:tab w:val="left" w:pos="142"/>
        </w:tabs>
        <w:rPr>
          <w:rFonts w:cs="Arial"/>
          <w:sz w:val="22"/>
          <w:szCs w:val="22"/>
        </w:rPr>
      </w:pPr>
      <w:r w:rsidRPr="00384552">
        <w:rPr>
          <w:rFonts w:cs="Arial"/>
          <w:sz w:val="22"/>
          <w:szCs w:val="22"/>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2C98CCE1" w14:textId="77777777" w:rsidR="0003308B" w:rsidRPr="00384552" w:rsidRDefault="0003308B" w:rsidP="0003308B">
      <w:pPr>
        <w:tabs>
          <w:tab w:val="left" w:pos="142"/>
        </w:tabs>
        <w:rPr>
          <w:rFonts w:cs="Arial"/>
          <w:sz w:val="22"/>
          <w:szCs w:val="22"/>
        </w:rPr>
      </w:pPr>
    </w:p>
    <w:p w14:paraId="7CF898AB"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t xml:space="preserve">Planificar, Realizar Taller de capacitación dirigido al Comité para reforzamiento sobre la Ley No.722 y el Reglamento (Incluye local, material didáctico, material de apoyo y refrigerio) y elaborar informe de realización de taller.  </w:t>
      </w:r>
    </w:p>
    <w:p w14:paraId="6805DC84" w14:textId="77777777" w:rsidR="0003308B" w:rsidRPr="00384552" w:rsidRDefault="0003308B" w:rsidP="0003308B">
      <w:pPr>
        <w:tabs>
          <w:tab w:val="left" w:pos="142"/>
        </w:tabs>
        <w:rPr>
          <w:rFonts w:cs="Arial"/>
          <w:sz w:val="22"/>
          <w:szCs w:val="22"/>
        </w:rPr>
      </w:pPr>
    </w:p>
    <w:p w14:paraId="43E9B2A8" w14:textId="77777777" w:rsidR="0003308B" w:rsidRPr="00384552" w:rsidRDefault="0003308B" w:rsidP="0003308B">
      <w:pPr>
        <w:tabs>
          <w:tab w:val="left" w:pos="142"/>
        </w:tabs>
        <w:rPr>
          <w:rFonts w:cs="Arial"/>
          <w:sz w:val="22"/>
          <w:szCs w:val="22"/>
        </w:rPr>
      </w:pPr>
      <w:r w:rsidRPr="00384552">
        <w:rPr>
          <w:rFonts w:cs="Arial"/>
          <w:sz w:val="22"/>
          <w:szCs w:val="22"/>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7777B6C9" w14:textId="77777777" w:rsidR="0003308B" w:rsidRPr="00384552" w:rsidRDefault="0003308B" w:rsidP="0003308B">
      <w:pPr>
        <w:tabs>
          <w:tab w:val="left" w:pos="142"/>
        </w:tabs>
        <w:rPr>
          <w:rFonts w:cs="Arial"/>
          <w:sz w:val="22"/>
          <w:szCs w:val="22"/>
        </w:rPr>
      </w:pPr>
    </w:p>
    <w:p w14:paraId="46AC4277"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contratista:</w:t>
      </w:r>
    </w:p>
    <w:p w14:paraId="597EBC66" w14:textId="77777777" w:rsidR="0003308B" w:rsidRPr="00384552" w:rsidRDefault="0003308B" w:rsidP="0003308B">
      <w:pPr>
        <w:tabs>
          <w:tab w:val="left" w:pos="142"/>
        </w:tabs>
        <w:rPr>
          <w:rFonts w:cs="Arial"/>
          <w:sz w:val="22"/>
          <w:szCs w:val="22"/>
        </w:rPr>
      </w:pPr>
      <w:r w:rsidRPr="00384552">
        <w:rPr>
          <w:rFonts w:cs="Arial"/>
          <w:sz w:val="22"/>
          <w:szCs w:val="22"/>
        </w:rPr>
        <w:t>1. Cuaderno/lapicero.</w:t>
      </w:r>
    </w:p>
    <w:p w14:paraId="6E0E87D8" w14:textId="77777777" w:rsidR="0003308B" w:rsidRPr="00384552" w:rsidRDefault="0003308B" w:rsidP="0003308B">
      <w:pPr>
        <w:tabs>
          <w:tab w:val="left" w:pos="142"/>
        </w:tabs>
        <w:rPr>
          <w:rFonts w:cs="Arial"/>
          <w:sz w:val="22"/>
          <w:szCs w:val="22"/>
        </w:rPr>
      </w:pPr>
      <w:r w:rsidRPr="00384552">
        <w:rPr>
          <w:rFonts w:cs="Arial"/>
          <w:sz w:val="22"/>
          <w:szCs w:val="22"/>
        </w:rPr>
        <w:t xml:space="preserve">2. INAA-(Estatutos y Reglamento Interno del CAPS), </w:t>
      </w:r>
    </w:p>
    <w:p w14:paraId="3E7E4DCC" w14:textId="77777777" w:rsidR="0003308B" w:rsidRPr="00384552" w:rsidRDefault="0003308B" w:rsidP="0003308B">
      <w:pPr>
        <w:tabs>
          <w:tab w:val="left" w:pos="142"/>
        </w:tabs>
        <w:rPr>
          <w:rFonts w:cs="Arial"/>
          <w:sz w:val="22"/>
          <w:szCs w:val="22"/>
        </w:rPr>
      </w:pPr>
      <w:r w:rsidRPr="00384552">
        <w:rPr>
          <w:rFonts w:cs="Arial"/>
          <w:sz w:val="22"/>
          <w:szCs w:val="22"/>
        </w:rPr>
        <w:t>3. Refrigerio/Almuerzo.</w:t>
      </w:r>
    </w:p>
    <w:p w14:paraId="0E7B6D58" w14:textId="77777777" w:rsidR="0003308B" w:rsidRPr="00384552" w:rsidRDefault="0003308B" w:rsidP="0003308B">
      <w:pPr>
        <w:tabs>
          <w:tab w:val="left" w:pos="142"/>
        </w:tabs>
        <w:rPr>
          <w:rFonts w:cs="Arial"/>
          <w:sz w:val="22"/>
          <w:szCs w:val="22"/>
        </w:rPr>
      </w:pPr>
      <w:r w:rsidRPr="00384552">
        <w:rPr>
          <w:rFonts w:cs="Arial"/>
          <w:sz w:val="22"/>
          <w:szCs w:val="22"/>
        </w:rPr>
        <w:t>4. local para realizar taller</w:t>
      </w:r>
    </w:p>
    <w:p w14:paraId="301E8177" w14:textId="77777777" w:rsidR="0003308B" w:rsidRPr="00384552" w:rsidRDefault="0003308B" w:rsidP="0003308B">
      <w:pPr>
        <w:tabs>
          <w:tab w:val="left" w:pos="142"/>
        </w:tabs>
        <w:rPr>
          <w:rFonts w:cs="Arial"/>
          <w:sz w:val="22"/>
          <w:szCs w:val="22"/>
        </w:rPr>
      </w:pPr>
    </w:p>
    <w:p w14:paraId="1D598A6C" w14:textId="77777777" w:rsidR="0003308B" w:rsidRPr="00384552" w:rsidRDefault="0003308B" w:rsidP="0003308B">
      <w:pPr>
        <w:tabs>
          <w:tab w:val="left" w:pos="142"/>
        </w:tabs>
        <w:rPr>
          <w:rFonts w:cs="Arial"/>
          <w:b/>
          <w:sz w:val="22"/>
          <w:szCs w:val="22"/>
        </w:rPr>
      </w:pPr>
      <w:r w:rsidRPr="00384552">
        <w:rPr>
          <w:rFonts w:cs="Arial"/>
          <w:b/>
          <w:sz w:val="22"/>
          <w:szCs w:val="22"/>
        </w:rPr>
        <w:t>Productos esperados:</w:t>
      </w:r>
    </w:p>
    <w:p w14:paraId="0F20230F" w14:textId="77777777" w:rsidR="0003308B" w:rsidRPr="00384552" w:rsidRDefault="0003308B" w:rsidP="0003308B">
      <w:pPr>
        <w:tabs>
          <w:tab w:val="left" w:pos="142"/>
        </w:tabs>
        <w:rPr>
          <w:rFonts w:cs="Arial"/>
          <w:sz w:val="22"/>
          <w:szCs w:val="22"/>
        </w:rPr>
      </w:pPr>
      <w:r w:rsidRPr="00384552">
        <w:rPr>
          <w:rFonts w:cs="Arial"/>
          <w:sz w:val="22"/>
          <w:szCs w:val="22"/>
        </w:rPr>
        <w:t xml:space="preserve">1. Informe ejecutivo con su lista de asistencia # de cédulas, cargos y firmas, en caso de no poder firmar, soportar con huella digital, además de Informe Ejecutivo del taller impartido, </w:t>
      </w:r>
    </w:p>
    <w:p w14:paraId="5EEDB769" w14:textId="77777777" w:rsidR="0003308B" w:rsidRPr="00384552" w:rsidRDefault="0003308B" w:rsidP="0003308B">
      <w:pPr>
        <w:tabs>
          <w:tab w:val="left" w:pos="142"/>
        </w:tabs>
        <w:rPr>
          <w:rFonts w:cs="Arial"/>
          <w:sz w:val="22"/>
          <w:szCs w:val="22"/>
        </w:rPr>
      </w:pPr>
      <w:r w:rsidRPr="00384552">
        <w:rPr>
          <w:rFonts w:cs="Arial"/>
          <w:sz w:val="22"/>
          <w:szCs w:val="22"/>
        </w:rPr>
        <w:t>2. Ayuda Memoria.</w:t>
      </w:r>
    </w:p>
    <w:p w14:paraId="60A2237D" w14:textId="77777777" w:rsidR="0003308B" w:rsidRPr="00384552" w:rsidRDefault="0003308B" w:rsidP="0003308B">
      <w:pPr>
        <w:tabs>
          <w:tab w:val="left" w:pos="142"/>
        </w:tabs>
        <w:rPr>
          <w:rFonts w:cs="Arial"/>
          <w:sz w:val="22"/>
          <w:szCs w:val="22"/>
        </w:rPr>
      </w:pPr>
      <w:r w:rsidRPr="00384552">
        <w:rPr>
          <w:rFonts w:cs="Arial"/>
          <w:sz w:val="22"/>
          <w:szCs w:val="22"/>
        </w:rPr>
        <w:t>3.  Memoria fotográfica.</w:t>
      </w:r>
    </w:p>
    <w:p w14:paraId="47386546" w14:textId="77777777" w:rsidR="0003308B" w:rsidRPr="00384552" w:rsidRDefault="0003308B" w:rsidP="0003308B">
      <w:pPr>
        <w:tabs>
          <w:tab w:val="left" w:pos="142"/>
        </w:tabs>
        <w:rPr>
          <w:rFonts w:cs="Arial"/>
          <w:b/>
          <w:sz w:val="22"/>
          <w:szCs w:val="22"/>
        </w:rPr>
      </w:pPr>
    </w:p>
    <w:p w14:paraId="599219BA"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sz w:val="22"/>
          <w:szCs w:val="22"/>
        </w:rPr>
        <w:t xml:space="preserve"> </w:t>
      </w:r>
      <w:r w:rsidRPr="00384552">
        <w:rPr>
          <w:rFonts w:cs="Arial"/>
          <w:b/>
          <w:sz w:val="22"/>
          <w:szCs w:val="22"/>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54F1D29B" w14:textId="77777777" w:rsidR="0003308B" w:rsidRPr="00384552" w:rsidRDefault="0003308B" w:rsidP="0003308B">
      <w:pPr>
        <w:tabs>
          <w:tab w:val="left" w:pos="142"/>
        </w:tabs>
        <w:rPr>
          <w:rFonts w:cs="Arial"/>
          <w:sz w:val="22"/>
          <w:szCs w:val="22"/>
        </w:rPr>
      </w:pPr>
    </w:p>
    <w:p w14:paraId="5C295C93" w14:textId="77777777" w:rsidR="0003308B" w:rsidRPr="00384552" w:rsidRDefault="0003308B" w:rsidP="0003308B">
      <w:pPr>
        <w:tabs>
          <w:tab w:val="left" w:pos="142"/>
        </w:tabs>
        <w:rPr>
          <w:rFonts w:cs="Arial"/>
          <w:sz w:val="22"/>
          <w:szCs w:val="22"/>
        </w:rPr>
      </w:pPr>
      <w:r w:rsidRPr="00384552">
        <w:rPr>
          <w:rFonts w:cs="Arial"/>
          <w:sz w:val="22"/>
          <w:szCs w:val="22"/>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39D14C31" w14:textId="77777777" w:rsidR="0003308B" w:rsidRPr="00384552" w:rsidRDefault="0003308B" w:rsidP="0003308B">
      <w:pPr>
        <w:tabs>
          <w:tab w:val="left" w:pos="142"/>
        </w:tabs>
        <w:rPr>
          <w:rFonts w:cs="Arial"/>
          <w:sz w:val="22"/>
          <w:szCs w:val="22"/>
        </w:rPr>
      </w:pPr>
    </w:p>
    <w:p w14:paraId="2D64D702" w14:textId="77777777" w:rsidR="0003308B" w:rsidRPr="00384552" w:rsidRDefault="0003308B" w:rsidP="0003308B">
      <w:pPr>
        <w:tabs>
          <w:tab w:val="left" w:pos="142"/>
        </w:tabs>
        <w:rPr>
          <w:rFonts w:cs="Arial"/>
          <w:sz w:val="22"/>
          <w:szCs w:val="22"/>
        </w:rPr>
      </w:pPr>
      <w:r w:rsidRPr="00384552">
        <w:rPr>
          <w:rFonts w:cs="Arial"/>
          <w:sz w:val="22"/>
          <w:szCs w:val="22"/>
        </w:rPr>
        <w:t xml:space="preserve">El taller tendrá una duración de cuatro (4) horas. </w:t>
      </w:r>
    </w:p>
    <w:p w14:paraId="10992E16" w14:textId="77777777" w:rsidR="0003308B" w:rsidRPr="00384552" w:rsidRDefault="0003308B" w:rsidP="0003308B">
      <w:pPr>
        <w:tabs>
          <w:tab w:val="left" w:pos="142"/>
        </w:tabs>
        <w:rPr>
          <w:rFonts w:cs="Arial"/>
          <w:sz w:val="22"/>
          <w:szCs w:val="22"/>
        </w:rPr>
      </w:pPr>
      <w:r w:rsidRPr="00384552">
        <w:rPr>
          <w:rFonts w:cs="Arial"/>
          <w:sz w:val="22"/>
          <w:szCs w:val="22"/>
        </w:rPr>
        <w:t>Para esta actividad debe coordinar con Alcaldía Municipal (UMAS) Y Asesor Técnico Territorial Fise (ATT).</w:t>
      </w:r>
    </w:p>
    <w:p w14:paraId="5F89CAF9" w14:textId="77777777" w:rsidR="0003308B" w:rsidRPr="00384552" w:rsidRDefault="0003308B" w:rsidP="0003308B">
      <w:pPr>
        <w:tabs>
          <w:tab w:val="left" w:pos="142"/>
        </w:tabs>
        <w:rPr>
          <w:rFonts w:cs="Arial"/>
          <w:sz w:val="22"/>
          <w:szCs w:val="22"/>
        </w:rPr>
      </w:pPr>
    </w:p>
    <w:p w14:paraId="443C8926" w14:textId="77777777" w:rsidR="0003308B" w:rsidRPr="00384552" w:rsidRDefault="0003308B" w:rsidP="0003308B">
      <w:pPr>
        <w:tabs>
          <w:tab w:val="left" w:pos="142"/>
        </w:tabs>
        <w:rPr>
          <w:rFonts w:cs="Arial"/>
          <w:b/>
          <w:sz w:val="22"/>
          <w:szCs w:val="22"/>
        </w:rPr>
      </w:pPr>
      <w:r w:rsidRPr="00384552">
        <w:rPr>
          <w:rFonts w:cs="Arial"/>
          <w:b/>
          <w:sz w:val="22"/>
          <w:szCs w:val="22"/>
        </w:rPr>
        <w:t xml:space="preserve"> Producto a entregar por el contratista:</w:t>
      </w:r>
    </w:p>
    <w:p w14:paraId="616656B6" w14:textId="77777777" w:rsidR="0003308B" w:rsidRPr="00384552" w:rsidRDefault="0003308B" w:rsidP="0003308B">
      <w:pPr>
        <w:tabs>
          <w:tab w:val="left" w:pos="142"/>
        </w:tabs>
        <w:rPr>
          <w:rFonts w:cs="Arial"/>
          <w:sz w:val="22"/>
          <w:szCs w:val="22"/>
        </w:rPr>
      </w:pPr>
      <w:r w:rsidRPr="00384552">
        <w:rPr>
          <w:rFonts w:cs="Arial"/>
          <w:sz w:val="22"/>
          <w:szCs w:val="22"/>
        </w:rPr>
        <w:t>1. Informe ejecutivo con su lista de asistencia, # de cédulas, cargos y firmas, en caso de no poder firmar, soportar con huella digital.</w:t>
      </w:r>
    </w:p>
    <w:p w14:paraId="2E197124" w14:textId="77777777" w:rsidR="0003308B" w:rsidRPr="00384552" w:rsidRDefault="0003308B" w:rsidP="0003308B">
      <w:pPr>
        <w:tabs>
          <w:tab w:val="left" w:pos="142"/>
        </w:tabs>
        <w:rPr>
          <w:rFonts w:cs="Arial"/>
          <w:sz w:val="22"/>
          <w:szCs w:val="22"/>
        </w:rPr>
      </w:pPr>
      <w:r w:rsidRPr="00384552">
        <w:rPr>
          <w:rFonts w:cs="Arial"/>
          <w:sz w:val="22"/>
          <w:szCs w:val="22"/>
        </w:rPr>
        <w:t>2. ayuda memoria.</w:t>
      </w:r>
    </w:p>
    <w:p w14:paraId="21163092" w14:textId="77777777" w:rsidR="0003308B" w:rsidRPr="00384552" w:rsidRDefault="0003308B" w:rsidP="0003308B">
      <w:pPr>
        <w:tabs>
          <w:tab w:val="left" w:pos="142"/>
        </w:tabs>
        <w:rPr>
          <w:rFonts w:cs="Arial"/>
          <w:sz w:val="22"/>
          <w:szCs w:val="22"/>
        </w:rPr>
      </w:pPr>
      <w:r w:rsidRPr="00384552">
        <w:rPr>
          <w:rFonts w:cs="Arial"/>
          <w:sz w:val="22"/>
          <w:szCs w:val="22"/>
        </w:rPr>
        <w:t>3. Memoria fotográfica.</w:t>
      </w:r>
    </w:p>
    <w:p w14:paraId="6B52173F" w14:textId="77777777" w:rsidR="0003308B" w:rsidRPr="00384552" w:rsidRDefault="0003308B" w:rsidP="0003308B">
      <w:pPr>
        <w:tabs>
          <w:tab w:val="left" w:pos="142"/>
        </w:tabs>
        <w:rPr>
          <w:rFonts w:cs="Arial"/>
          <w:sz w:val="22"/>
          <w:szCs w:val="22"/>
        </w:rPr>
      </w:pPr>
    </w:p>
    <w:p w14:paraId="4752AD4B" w14:textId="77777777" w:rsidR="0003308B" w:rsidRPr="00384552" w:rsidRDefault="0003308B" w:rsidP="0003308B">
      <w:pPr>
        <w:tabs>
          <w:tab w:val="left" w:pos="142"/>
        </w:tabs>
        <w:rPr>
          <w:rFonts w:cs="Arial"/>
          <w:sz w:val="22"/>
          <w:szCs w:val="22"/>
        </w:rPr>
      </w:pPr>
    </w:p>
    <w:p w14:paraId="49CEF52E"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lastRenderedPageBreak/>
        <w:t>Planificar y realizar taller de capacitación para la operación y mantenimiento del sistema de agua, elaborar informe de taller.</w:t>
      </w:r>
    </w:p>
    <w:p w14:paraId="23A0C4DF" w14:textId="77777777" w:rsidR="0003308B" w:rsidRPr="00384552" w:rsidRDefault="0003308B" w:rsidP="0003308B">
      <w:pPr>
        <w:tabs>
          <w:tab w:val="left" w:pos="142"/>
        </w:tabs>
        <w:contextualSpacing/>
        <w:rPr>
          <w:rFonts w:cs="Arial"/>
          <w:b/>
          <w:sz w:val="22"/>
          <w:szCs w:val="22"/>
        </w:rPr>
      </w:pPr>
    </w:p>
    <w:p w14:paraId="69AD6CB6" w14:textId="77777777" w:rsidR="0003308B" w:rsidRPr="00384552" w:rsidRDefault="0003308B" w:rsidP="0003308B">
      <w:pPr>
        <w:tabs>
          <w:tab w:val="left" w:pos="142"/>
        </w:tabs>
        <w:rPr>
          <w:rFonts w:cs="Arial"/>
          <w:i/>
          <w:sz w:val="22"/>
          <w:szCs w:val="22"/>
        </w:rPr>
      </w:pPr>
      <w:r w:rsidRPr="00384552">
        <w:rPr>
          <w:rFonts w:cs="Arial"/>
          <w:sz w:val="22"/>
          <w:szCs w:val="22"/>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3D3069D2" w14:textId="77777777" w:rsidR="0003308B" w:rsidRPr="00384552" w:rsidRDefault="0003308B" w:rsidP="0003308B">
      <w:pPr>
        <w:tabs>
          <w:tab w:val="left" w:pos="142"/>
        </w:tabs>
        <w:rPr>
          <w:rFonts w:cs="Arial"/>
          <w:i/>
          <w:sz w:val="22"/>
          <w:szCs w:val="22"/>
        </w:rPr>
      </w:pPr>
    </w:p>
    <w:p w14:paraId="05585FC1" w14:textId="77777777" w:rsidR="0003308B" w:rsidRPr="00384552" w:rsidRDefault="0003308B" w:rsidP="0003308B">
      <w:pPr>
        <w:tabs>
          <w:tab w:val="left" w:pos="142"/>
        </w:tabs>
        <w:rPr>
          <w:rFonts w:cs="Arial"/>
          <w:i/>
          <w:sz w:val="22"/>
          <w:szCs w:val="22"/>
        </w:rPr>
      </w:pPr>
      <w:r w:rsidRPr="00384552">
        <w:rPr>
          <w:rFonts w:cs="Arial"/>
          <w:sz w:val="22"/>
          <w:szCs w:val="22"/>
        </w:rPr>
        <w:t xml:space="preserve">El taller tendrá una duración de cuatro (4) horas. </w:t>
      </w:r>
    </w:p>
    <w:p w14:paraId="2A5E2703" w14:textId="77777777" w:rsidR="0003308B" w:rsidRPr="00384552" w:rsidRDefault="0003308B" w:rsidP="0003308B">
      <w:pPr>
        <w:tabs>
          <w:tab w:val="left" w:pos="142"/>
        </w:tabs>
        <w:rPr>
          <w:rFonts w:cs="Arial"/>
          <w:i/>
          <w:sz w:val="22"/>
          <w:szCs w:val="22"/>
        </w:rPr>
      </w:pPr>
    </w:p>
    <w:p w14:paraId="790B64E5" w14:textId="77777777" w:rsidR="0003308B" w:rsidRPr="00384552" w:rsidRDefault="0003308B" w:rsidP="0003308B">
      <w:pPr>
        <w:tabs>
          <w:tab w:val="left" w:pos="142"/>
        </w:tabs>
        <w:rPr>
          <w:rFonts w:cs="Arial"/>
          <w:i/>
          <w:sz w:val="22"/>
          <w:szCs w:val="22"/>
        </w:rPr>
      </w:pPr>
      <w:r w:rsidRPr="00384552">
        <w:rPr>
          <w:rFonts w:cs="Arial"/>
          <w:sz w:val="22"/>
          <w:szCs w:val="22"/>
        </w:rPr>
        <w:t>Para esta actividad debe coordinar con Alcaldía Municipal (UMAS) y Asesor Técnico Territorial Fise (ATT).</w:t>
      </w:r>
    </w:p>
    <w:p w14:paraId="452A97FB" w14:textId="77777777" w:rsidR="0003308B" w:rsidRPr="00384552" w:rsidRDefault="0003308B" w:rsidP="0003308B">
      <w:pPr>
        <w:tabs>
          <w:tab w:val="left" w:pos="142"/>
        </w:tabs>
        <w:contextualSpacing/>
        <w:rPr>
          <w:rFonts w:cs="Arial"/>
          <w:i/>
          <w:sz w:val="22"/>
          <w:szCs w:val="22"/>
        </w:rPr>
      </w:pPr>
    </w:p>
    <w:p w14:paraId="0E155C84" w14:textId="77777777" w:rsidR="0003308B" w:rsidRPr="00384552" w:rsidRDefault="0003308B" w:rsidP="0003308B">
      <w:pPr>
        <w:tabs>
          <w:tab w:val="left" w:pos="142"/>
        </w:tabs>
        <w:rPr>
          <w:rFonts w:cs="Arial"/>
          <w:b/>
          <w:sz w:val="22"/>
          <w:szCs w:val="22"/>
        </w:rPr>
      </w:pPr>
      <w:r w:rsidRPr="00384552">
        <w:rPr>
          <w:rFonts w:cs="Arial"/>
          <w:b/>
          <w:sz w:val="22"/>
          <w:szCs w:val="22"/>
        </w:rPr>
        <w:t>Requerimiento del contratista:</w:t>
      </w:r>
    </w:p>
    <w:p w14:paraId="648AEFBE" w14:textId="77777777" w:rsidR="0003308B" w:rsidRPr="00384552" w:rsidRDefault="0003308B" w:rsidP="0003308B">
      <w:pPr>
        <w:tabs>
          <w:tab w:val="left" w:pos="142"/>
        </w:tabs>
        <w:rPr>
          <w:rFonts w:cs="Arial"/>
          <w:sz w:val="22"/>
          <w:szCs w:val="22"/>
        </w:rPr>
      </w:pPr>
      <w:r w:rsidRPr="00384552">
        <w:rPr>
          <w:rFonts w:cs="Arial"/>
          <w:sz w:val="22"/>
          <w:szCs w:val="22"/>
        </w:rPr>
        <w:t>1. Cuaderno/lapicero.</w:t>
      </w:r>
    </w:p>
    <w:p w14:paraId="411C4A47" w14:textId="77777777" w:rsidR="0003308B" w:rsidRPr="00384552" w:rsidRDefault="0003308B" w:rsidP="0003308B">
      <w:pPr>
        <w:tabs>
          <w:tab w:val="left" w:pos="142"/>
        </w:tabs>
        <w:rPr>
          <w:rFonts w:cs="Arial"/>
          <w:sz w:val="22"/>
          <w:szCs w:val="22"/>
        </w:rPr>
      </w:pPr>
      <w:r w:rsidRPr="00384552">
        <w:rPr>
          <w:rFonts w:cs="Arial"/>
          <w:sz w:val="22"/>
          <w:szCs w:val="22"/>
        </w:rPr>
        <w:t>2. Manual de operación y mantenimiento del sistema de agua</w:t>
      </w:r>
    </w:p>
    <w:p w14:paraId="755A621A" w14:textId="77777777" w:rsidR="0003308B" w:rsidRPr="00384552" w:rsidRDefault="0003308B" w:rsidP="0003308B">
      <w:pPr>
        <w:tabs>
          <w:tab w:val="left" w:pos="142"/>
        </w:tabs>
        <w:rPr>
          <w:rFonts w:cs="Arial"/>
          <w:sz w:val="22"/>
          <w:szCs w:val="22"/>
        </w:rPr>
      </w:pPr>
      <w:r w:rsidRPr="00384552">
        <w:rPr>
          <w:rFonts w:cs="Arial"/>
          <w:sz w:val="22"/>
          <w:szCs w:val="22"/>
        </w:rPr>
        <w:t>3. Refrigerio/Almuerzo.</w:t>
      </w:r>
    </w:p>
    <w:p w14:paraId="27727742" w14:textId="77777777" w:rsidR="0003308B" w:rsidRPr="00384552" w:rsidRDefault="0003308B" w:rsidP="0003308B">
      <w:pPr>
        <w:tabs>
          <w:tab w:val="left" w:pos="142"/>
        </w:tabs>
        <w:rPr>
          <w:rFonts w:cs="Arial"/>
          <w:sz w:val="22"/>
          <w:szCs w:val="22"/>
        </w:rPr>
      </w:pPr>
      <w:r w:rsidRPr="00384552">
        <w:rPr>
          <w:rFonts w:cs="Arial"/>
          <w:sz w:val="22"/>
          <w:szCs w:val="22"/>
        </w:rPr>
        <w:t>4. Local para realizar taller</w:t>
      </w:r>
    </w:p>
    <w:p w14:paraId="6D55E389" w14:textId="77777777" w:rsidR="0003308B" w:rsidRPr="00384552" w:rsidRDefault="0003308B" w:rsidP="0003308B">
      <w:pPr>
        <w:tabs>
          <w:tab w:val="left" w:pos="142"/>
        </w:tabs>
        <w:rPr>
          <w:rFonts w:cs="Arial"/>
          <w:sz w:val="22"/>
          <w:szCs w:val="22"/>
        </w:rPr>
      </w:pPr>
    </w:p>
    <w:p w14:paraId="1306E054" w14:textId="77777777" w:rsidR="0003308B" w:rsidRPr="00384552" w:rsidRDefault="0003308B" w:rsidP="0003308B">
      <w:pPr>
        <w:tabs>
          <w:tab w:val="left" w:pos="142"/>
        </w:tabs>
        <w:rPr>
          <w:rFonts w:cs="Arial"/>
          <w:b/>
          <w:sz w:val="22"/>
          <w:szCs w:val="22"/>
        </w:rPr>
      </w:pPr>
      <w:r w:rsidRPr="00384552">
        <w:rPr>
          <w:rFonts w:cs="Arial"/>
          <w:b/>
          <w:sz w:val="22"/>
          <w:szCs w:val="22"/>
        </w:rPr>
        <w:t>Productos esperados:</w:t>
      </w:r>
    </w:p>
    <w:p w14:paraId="09D8BD2D" w14:textId="77777777" w:rsidR="0003308B" w:rsidRPr="00384552" w:rsidRDefault="0003308B" w:rsidP="0003308B">
      <w:pPr>
        <w:tabs>
          <w:tab w:val="left" w:pos="142"/>
        </w:tabs>
        <w:rPr>
          <w:rFonts w:cs="Arial"/>
          <w:sz w:val="22"/>
          <w:szCs w:val="22"/>
        </w:rPr>
      </w:pPr>
      <w:r w:rsidRPr="00384552">
        <w:rPr>
          <w:rFonts w:cs="Arial"/>
          <w:sz w:val="22"/>
          <w:szCs w:val="22"/>
        </w:rPr>
        <w:t xml:space="preserve">1. Informe ejecutivo con su lista de asistencia # de cédulas, cargos y firmas, en caso de no poder firmar, soportar con huella digital, además de Informe Ejecutivo del taller impartido, </w:t>
      </w:r>
    </w:p>
    <w:p w14:paraId="5ADE25D6" w14:textId="77777777" w:rsidR="0003308B" w:rsidRPr="00384552" w:rsidRDefault="0003308B" w:rsidP="0003308B">
      <w:pPr>
        <w:tabs>
          <w:tab w:val="left" w:pos="142"/>
        </w:tabs>
        <w:rPr>
          <w:rFonts w:cs="Arial"/>
          <w:sz w:val="22"/>
          <w:szCs w:val="22"/>
        </w:rPr>
      </w:pPr>
      <w:r w:rsidRPr="00384552">
        <w:rPr>
          <w:rFonts w:cs="Arial"/>
          <w:sz w:val="22"/>
          <w:szCs w:val="22"/>
        </w:rPr>
        <w:t>2. Ayuda Memoria.</w:t>
      </w:r>
    </w:p>
    <w:p w14:paraId="175E6F51" w14:textId="77777777" w:rsidR="0003308B" w:rsidRPr="00384552" w:rsidRDefault="0003308B" w:rsidP="0003308B">
      <w:pPr>
        <w:tabs>
          <w:tab w:val="left" w:pos="142"/>
        </w:tabs>
        <w:rPr>
          <w:rFonts w:cs="Arial"/>
          <w:sz w:val="22"/>
          <w:szCs w:val="22"/>
        </w:rPr>
      </w:pPr>
      <w:r w:rsidRPr="00384552">
        <w:rPr>
          <w:rFonts w:cs="Arial"/>
          <w:sz w:val="22"/>
          <w:szCs w:val="22"/>
        </w:rPr>
        <w:t>3.  Memoria fotográfica.</w:t>
      </w:r>
    </w:p>
    <w:p w14:paraId="1CE13179" w14:textId="77777777" w:rsidR="0003308B" w:rsidRPr="00384552" w:rsidRDefault="0003308B" w:rsidP="0003308B">
      <w:pPr>
        <w:tabs>
          <w:tab w:val="left" w:pos="142"/>
        </w:tabs>
        <w:contextualSpacing/>
        <w:rPr>
          <w:rFonts w:cs="Arial"/>
          <w:i/>
          <w:sz w:val="22"/>
          <w:szCs w:val="22"/>
        </w:rPr>
      </w:pPr>
    </w:p>
    <w:p w14:paraId="0633A788"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t>Planificar y realizar Asamblea general comunitaria para la presentación del informe final del componente social del proyecto.</w:t>
      </w:r>
    </w:p>
    <w:p w14:paraId="06AEC535" w14:textId="77777777" w:rsidR="0003308B" w:rsidRPr="00384552" w:rsidRDefault="0003308B" w:rsidP="0003308B">
      <w:pPr>
        <w:tabs>
          <w:tab w:val="left" w:pos="142"/>
        </w:tabs>
        <w:rPr>
          <w:rFonts w:cs="Arial"/>
          <w:sz w:val="22"/>
          <w:szCs w:val="22"/>
        </w:rPr>
      </w:pPr>
    </w:p>
    <w:p w14:paraId="79D02997" w14:textId="77777777" w:rsidR="0003308B" w:rsidRPr="00384552" w:rsidRDefault="0003308B" w:rsidP="0003308B">
      <w:pPr>
        <w:tabs>
          <w:tab w:val="left" w:pos="142"/>
        </w:tabs>
        <w:rPr>
          <w:rFonts w:cs="Arial"/>
          <w:sz w:val="22"/>
          <w:szCs w:val="22"/>
        </w:rPr>
      </w:pPr>
      <w:r w:rsidRPr="00384552">
        <w:rPr>
          <w:rFonts w:cs="Arial"/>
          <w:sz w:val="22"/>
          <w:szCs w:val="22"/>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41D86D8E" w14:textId="77777777" w:rsidR="0003308B" w:rsidRPr="00384552" w:rsidRDefault="0003308B" w:rsidP="0003308B">
      <w:pPr>
        <w:tabs>
          <w:tab w:val="left" w:pos="142"/>
        </w:tabs>
        <w:rPr>
          <w:rFonts w:cs="Arial"/>
          <w:sz w:val="22"/>
          <w:szCs w:val="22"/>
        </w:rPr>
      </w:pPr>
    </w:p>
    <w:p w14:paraId="26EFC96A" w14:textId="77777777" w:rsidR="0003308B" w:rsidRPr="00384552" w:rsidRDefault="0003308B" w:rsidP="0003308B">
      <w:pPr>
        <w:tabs>
          <w:tab w:val="left" w:pos="142"/>
        </w:tabs>
        <w:rPr>
          <w:rFonts w:cs="Arial"/>
          <w:sz w:val="22"/>
          <w:szCs w:val="22"/>
        </w:rPr>
      </w:pPr>
      <w:r w:rsidRPr="00384552">
        <w:rPr>
          <w:rFonts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580E9F67" w14:textId="77777777" w:rsidR="0003308B" w:rsidRPr="00384552" w:rsidRDefault="0003308B" w:rsidP="0003308B">
      <w:pPr>
        <w:tabs>
          <w:tab w:val="left" w:pos="142"/>
        </w:tabs>
        <w:rPr>
          <w:rFonts w:cs="Arial"/>
          <w:sz w:val="22"/>
          <w:szCs w:val="22"/>
        </w:rPr>
      </w:pPr>
    </w:p>
    <w:p w14:paraId="44061F97" w14:textId="77777777" w:rsidR="0003308B" w:rsidRPr="00384552" w:rsidRDefault="0003308B" w:rsidP="0003308B">
      <w:pPr>
        <w:tabs>
          <w:tab w:val="left" w:pos="142"/>
        </w:tabs>
        <w:rPr>
          <w:rFonts w:cs="Arial"/>
          <w:sz w:val="22"/>
          <w:szCs w:val="22"/>
        </w:rPr>
      </w:pPr>
      <w:r w:rsidRPr="00384552">
        <w:rPr>
          <w:rFonts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39F6B048" w14:textId="77777777" w:rsidR="0003308B" w:rsidRPr="00384552" w:rsidRDefault="0003308B" w:rsidP="0003308B">
      <w:pPr>
        <w:tabs>
          <w:tab w:val="left" w:pos="142"/>
        </w:tabs>
        <w:rPr>
          <w:rFonts w:cs="Arial"/>
          <w:b/>
          <w:sz w:val="22"/>
          <w:szCs w:val="22"/>
        </w:rPr>
      </w:pPr>
    </w:p>
    <w:p w14:paraId="47D59E7C"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final de la consultoría.</w:t>
      </w:r>
    </w:p>
    <w:p w14:paraId="692DDD33" w14:textId="77777777" w:rsidR="0003308B" w:rsidRPr="00384552" w:rsidRDefault="0003308B" w:rsidP="0003308B">
      <w:pPr>
        <w:tabs>
          <w:tab w:val="left" w:pos="142"/>
        </w:tabs>
        <w:rPr>
          <w:rFonts w:cs="Arial"/>
          <w:sz w:val="22"/>
          <w:szCs w:val="22"/>
        </w:rPr>
      </w:pPr>
    </w:p>
    <w:p w14:paraId="1F8BEBC9" w14:textId="77777777" w:rsidR="0003308B" w:rsidRPr="00384552" w:rsidRDefault="0003308B" w:rsidP="0003308B">
      <w:pPr>
        <w:tabs>
          <w:tab w:val="left" w:pos="142"/>
        </w:tabs>
        <w:rPr>
          <w:rFonts w:cs="Arial"/>
          <w:sz w:val="22"/>
          <w:szCs w:val="22"/>
        </w:rPr>
      </w:pPr>
      <w:r w:rsidRPr="00384552">
        <w:rPr>
          <w:rFonts w:cs="Arial"/>
          <w:sz w:val="22"/>
          <w:szCs w:val="22"/>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w:t>
      </w:r>
      <w:r w:rsidRPr="00384552">
        <w:rPr>
          <w:rFonts w:cs="Arial"/>
          <w:sz w:val="22"/>
          <w:szCs w:val="22"/>
        </w:rPr>
        <w:lastRenderedPageBreak/>
        <w:t xml:space="preserve">protagonistas directos, compromisos de protagonistas para garantizar la sostenibilidad del sistema construido por medio del pago de la tarifa mensual del agua, implementación del componente de género. </w:t>
      </w:r>
    </w:p>
    <w:p w14:paraId="55E133F8" w14:textId="77777777" w:rsidR="0003308B" w:rsidRPr="00384552" w:rsidRDefault="0003308B" w:rsidP="0003308B">
      <w:pPr>
        <w:tabs>
          <w:tab w:val="left" w:pos="142"/>
        </w:tabs>
        <w:rPr>
          <w:rFonts w:cs="Arial"/>
          <w:sz w:val="22"/>
          <w:szCs w:val="22"/>
        </w:rPr>
      </w:pPr>
    </w:p>
    <w:p w14:paraId="3B93828B" w14:textId="77777777" w:rsidR="0003308B" w:rsidRPr="00384552" w:rsidRDefault="0003308B" w:rsidP="0003308B">
      <w:pPr>
        <w:tabs>
          <w:tab w:val="left" w:pos="142"/>
        </w:tabs>
        <w:rPr>
          <w:rFonts w:cs="Arial"/>
          <w:sz w:val="22"/>
          <w:szCs w:val="22"/>
        </w:rPr>
      </w:pPr>
      <w:r w:rsidRPr="00384552">
        <w:rPr>
          <w:rFonts w:cs="Arial"/>
          <w:sz w:val="22"/>
          <w:szCs w:val="22"/>
        </w:rPr>
        <w:t xml:space="preserve">Ilustrar informe con gráficos, describiendo los principales logros, la participación de protagonistas por género, cumplimiento de aportes comunitarios en especie y efectivo, memoria fotográfica.  </w:t>
      </w:r>
    </w:p>
    <w:p w14:paraId="2503D2FC" w14:textId="77777777" w:rsidR="0003308B" w:rsidRPr="00384552" w:rsidRDefault="0003308B" w:rsidP="0003308B">
      <w:pPr>
        <w:tabs>
          <w:tab w:val="left" w:pos="142"/>
        </w:tabs>
        <w:rPr>
          <w:rFonts w:cs="Arial"/>
          <w:sz w:val="22"/>
          <w:szCs w:val="22"/>
        </w:rPr>
      </w:pPr>
      <w:r w:rsidRPr="00384552">
        <w:rPr>
          <w:rFonts w:cs="Arial"/>
          <w:sz w:val="22"/>
          <w:szCs w:val="22"/>
        </w:rPr>
        <w:t xml:space="preserve">  </w:t>
      </w:r>
    </w:p>
    <w:p w14:paraId="1EC1C1C6" w14:textId="77777777" w:rsidR="0003308B" w:rsidRPr="00384552" w:rsidRDefault="0003308B"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de Planificación y Realización de Asamblea general comunitaria de cierre y evaluación final del proyecto.</w:t>
      </w:r>
    </w:p>
    <w:p w14:paraId="0A339390" w14:textId="77777777" w:rsidR="0003308B" w:rsidRPr="00384552" w:rsidRDefault="0003308B" w:rsidP="0003308B">
      <w:pPr>
        <w:tabs>
          <w:tab w:val="left" w:pos="142"/>
        </w:tabs>
        <w:rPr>
          <w:rFonts w:cs="Arial"/>
          <w:sz w:val="22"/>
          <w:szCs w:val="22"/>
        </w:rPr>
      </w:pPr>
    </w:p>
    <w:p w14:paraId="77B0AB7D" w14:textId="77777777" w:rsidR="0003308B" w:rsidRPr="00384552" w:rsidRDefault="0003308B" w:rsidP="0003308B">
      <w:pPr>
        <w:tabs>
          <w:tab w:val="left" w:pos="142"/>
        </w:tabs>
        <w:rPr>
          <w:rFonts w:cs="Arial"/>
          <w:sz w:val="22"/>
          <w:szCs w:val="22"/>
        </w:rPr>
      </w:pPr>
      <w:r w:rsidRPr="00384552">
        <w:rPr>
          <w:rFonts w:cs="Arial"/>
          <w:sz w:val="22"/>
          <w:szCs w:val="22"/>
        </w:rPr>
        <w:t xml:space="preserve">Planificar y realizar asamblea general comunitaria, con participación de al menos el 70% de jefes/as de viviendas existentes en la comunidad/es. </w:t>
      </w:r>
    </w:p>
    <w:p w14:paraId="4FAFD2BF" w14:textId="77777777" w:rsidR="0003308B" w:rsidRPr="00384552" w:rsidRDefault="0003308B" w:rsidP="0003308B">
      <w:pPr>
        <w:tabs>
          <w:tab w:val="left" w:pos="142"/>
        </w:tabs>
        <w:rPr>
          <w:rFonts w:cs="Arial"/>
          <w:sz w:val="22"/>
          <w:szCs w:val="22"/>
        </w:rPr>
      </w:pPr>
    </w:p>
    <w:p w14:paraId="2734B870" w14:textId="77777777" w:rsidR="0003308B" w:rsidRPr="00384552" w:rsidRDefault="0003308B" w:rsidP="0003308B">
      <w:pPr>
        <w:tabs>
          <w:tab w:val="left" w:pos="142"/>
        </w:tabs>
        <w:rPr>
          <w:rFonts w:cs="Arial"/>
          <w:sz w:val="22"/>
          <w:szCs w:val="22"/>
        </w:rPr>
      </w:pPr>
      <w:r w:rsidRPr="00384552">
        <w:rPr>
          <w:rFonts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2C946C5E" w14:textId="77777777" w:rsidR="0003308B" w:rsidRPr="00384552" w:rsidRDefault="0003308B" w:rsidP="0003308B">
      <w:pPr>
        <w:tabs>
          <w:tab w:val="left" w:pos="142"/>
        </w:tabs>
        <w:rPr>
          <w:rFonts w:cs="Arial"/>
          <w:sz w:val="22"/>
          <w:szCs w:val="22"/>
        </w:rPr>
      </w:pPr>
    </w:p>
    <w:p w14:paraId="550E1728" w14:textId="77777777" w:rsidR="0003308B" w:rsidRPr="00384552" w:rsidRDefault="0003308B" w:rsidP="0003308B">
      <w:pPr>
        <w:tabs>
          <w:tab w:val="left" w:pos="142"/>
        </w:tabs>
        <w:rPr>
          <w:rFonts w:cs="Arial"/>
          <w:sz w:val="22"/>
          <w:szCs w:val="22"/>
        </w:rPr>
      </w:pPr>
      <w:r w:rsidRPr="00384552">
        <w:rPr>
          <w:rFonts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189B3E8A" w14:textId="77777777" w:rsidR="0003308B" w:rsidRPr="00384552" w:rsidRDefault="0003308B" w:rsidP="0003308B">
      <w:pPr>
        <w:tabs>
          <w:tab w:val="left" w:pos="142"/>
        </w:tabs>
        <w:rPr>
          <w:rFonts w:cs="Arial"/>
          <w:sz w:val="22"/>
          <w:szCs w:val="22"/>
        </w:rPr>
      </w:pPr>
    </w:p>
    <w:p w14:paraId="16BAE1EB" w14:textId="77777777" w:rsidR="0003308B" w:rsidRPr="00384552" w:rsidRDefault="0003308B" w:rsidP="0003308B">
      <w:pPr>
        <w:tabs>
          <w:tab w:val="left" w:pos="142"/>
        </w:tabs>
        <w:rPr>
          <w:rFonts w:cs="Arial"/>
          <w:sz w:val="22"/>
          <w:szCs w:val="22"/>
        </w:rPr>
      </w:pPr>
      <w:r w:rsidRPr="00384552">
        <w:rPr>
          <w:rFonts w:cs="Arial"/>
          <w:sz w:val="22"/>
          <w:szCs w:val="22"/>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1A79A72D" w14:textId="77777777" w:rsidR="0003308B" w:rsidRPr="00384552" w:rsidRDefault="0003308B" w:rsidP="0003308B">
      <w:pPr>
        <w:tabs>
          <w:tab w:val="left" w:pos="142"/>
        </w:tabs>
        <w:rPr>
          <w:rFonts w:cs="Arial"/>
          <w:sz w:val="22"/>
          <w:szCs w:val="22"/>
        </w:rPr>
      </w:pPr>
    </w:p>
    <w:p w14:paraId="480F22AB" w14:textId="77777777" w:rsidR="0003308B" w:rsidRPr="00384552" w:rsidRDefault="0003308B" w:rsidP="0003308B">
      <w:pPr>
        <w:tabs>
          <w:tab w:val="left" w:pos="142"/>
        </w:tabs>
        <w:rPr>
          <w:rFonts w:cs="Arial"/>
          <w:sz w:val="22"/>
          <w:szCs w:val="22"/>
        </w:rPr>
      </w:pPr>
      <w:r w:rsidRPr="00384552">
        <w:rPr>
          <w:rFonts w:cs="Arial"/>
          <w:sz w:val="22"/>
          <w:szCs w:val="22"/>
        </w:rPr>
        <w:t xml:space="preserve">En asamblea se debe contar con participación del responsable de Unidad Municipal de Agua y Saneamiento (UMAS), ATT/FISE y JD del CAPS en pleno. </w:t>
      </w:r>
    </w:p>
    <w:p w14:paraId="07B1D23E" w14:textId="77777777" w:rsidR="0003308B" w:rsidRPr="00384552" w:rsidRDefault="0003308B" w:rsidP="0003308B">
      <w:pPr>
        <w:tabs>
          <w:tab w:val="left" w:pos="142"/>
        </w:tabs>
        <w:rPr>
          <w:rFonts w:cs="Arial"/>
          <w:sz w:val="22"/>
          <w:szCs w:val="22"/>
        </w:rPr>
      </w:pPr>
    </w:p>
    <w:p w14:paraId="4BDB3903" w14:textId="77777777" w:rsidR="0003308B" w:rsidRPr="00384552" w:rsidRDefault="0003308B" w:rsidP="0003308B">
      <w:pPr>
        <w:tabs>
          <w:tab w:val="left" w:pos="142"/>
        </w:tabs>
        <w:rPr>
          <w:rFonts w:cs="Arial"/>
          <w:sz w:val="22"/>
          <w:szCs w:val="22"/>
        </w:rPr>
      </w:pPr>
      <w:r w:rsidRPr="00384552">
        <w:rPr>
          <w:rFonts w:cs="Arial"/>
          <w:sz w:val="22"/>
          <w:szCs w:val="22"/>
        </w:rPr>
        <w:t xml:space="preserve">Los productos de la actividad serán; lista de asistencia, debidamente firmada y avalada por técnico UMAS, acta de asamblea (modelo típico FISE), ayuda memoria, galería fotográfica. Contratista elabora Informe Ejecutivo de asamblea. </w:t>
      </w:r>
    </w:p>
    <w:p w14:paraId="3427138A" w14:textId="77777777" w:rsidR="0003308B" w:rsidRPr="00384552" w:rsidRDefault="0003308B" w:rsidP="0003308B">
      <w:pPr>
        <w:tabs>
          <w:tab w:val="left" w:pos="142"/>
        </w:tabs>
        <w:rPr>
          <w:rFonts w:cs="Arial"/>
          <w:b/>
          <w:sz w:val="22"/>
          <w:szCs w:val="22"/>
        </w:rPr>
      </w:pPr>
    </w:p>
    <w:p w14:paraId="5A255ABD" w14:textId="77777777" w:rsidR="0003308B" w:rsidRPr="00384552" w:rsidRDefault="0003308B" w:rsidP="0003308B">
      <w:pPr>
        <w:tabs>
          <w:tab w:val="left" w:pos="142"/>
        </w:tabs>
        <w:rPr>
          <w:rFonts w:cs="Arial"/>
          <w:sz w:val="22"/>
          <w:szCs w:val="22"/>
        </w:rPr>
      </w:pPr>
      <w:r w:rsidRPr="00384552">
        <w:rPr>
          <w:rFonts w:cs="Arial"/>
          <w:sz w:val="22"/>
          <w:szCs w:val="22"/>
        </w:rPr>
        <w:t>Notas de estricto cumplimiento:</w:t>
      </w:r>
    </w:p>
    <w:p w14:paraId="6616FB0B" w14:textId="77777777" w:rsidR="0003308B" w:rsidRPr="00384552" w:rsidRDefault="0003308B" w:rsidP="0003308B">
      <w:pPr>
        <w:tabs>
          <w:tab w:val="left" w:pos="142"/>
        </w:tabs>
        <w:rPr>
          <w:rFonts w:cs="Arial"/>
          <w:sz w:val="22"/>
          <w:szCs w:val="22"/>
        </w:rPr>
      </w:pPr>
    </w:p>
    <w:p w14:paraId="1AA9D4E7" w14:textId="77777777" w:rsidR="0003308B" w:rsidRPr="00384552" w:rsidRDefault="0003308B" w:rsidP="003B68DB">
      <w:pPr>
        <w:numPr>
          <w:ilvl w:val="0"/>
          <w:numId w:val="122"/>
        </w:numPr>
        <w:tabs>
          <w:tab w:val="left" w:pos="142"/>
        </w:tabs>
        <w:ind w:hanging="578"/>
        <w:contextualSpacing/>
        <w:rPr>
          <w:rFonts w:cs="Arial"/>
          <w:b/>
          <w:sz w:val="22"/>
          <w:szCs w:val="22"/>
        </w:rPr>
      </w:pPr>
      <w:r w:rsidRPr="00384552">
        <w:rPr>
          <w:rFonts w:cs="Arial"/>
          <w:b/>
          <w:sz w:val="22"/>
          <w:szCs w:val="22"/>
        </w:rPr>
        <w:t>En cada actividad el contratista debe garantizar (Refrigerios, almuerzos, cuadernos, lapiceros, cartillas del compendio, material FCSA.)</w:t>
      </w:r>
    </w:p>
    <w:p w14:paraId="005957B8" w14:textId="77777777" w:rsidR="0003308B" w:rsidRPr="00384552" w:rsidRDefault="0003308B" w:rsidP="003B68DB">
      <w:pPr>
        <w:numPr>
          <w:ilvl w:val="0"/>
          <w:numId w:val="122"/>
        </w:numPr>
        <w:tabs>
          <w:tab w:val="left" w:pos="142"/>
        </w:tabs>
        <w:ind w:hanging="578"/>
        <w:contextualSpacing/>
        <w:rPr>
          <w:rFonts w:cs="Arial"/>
          <w:b/>
          <w:sz w:val="22"/>
          <w:szCs w:val="22"/>
        </w:rPr>
      </w:pPr>
      <w:r w:rsidRPr="00384552">
        <w:rPr>
          <w:rFonts w:cs="Arial"/>
          <w:b/>
          <w:sz w:val="22"/>
          <w:szCs w:val="22"/>
        </w:rPr>
        <w:t>Todos los informes de actividades sociales deberán ser revisados y avalados por los Especialistas Sociales</w:t>
      </w:r>
    </w:p>
    <w:p w14:paraId="7E86F15A" w14:textId="77777777" w:rsidR="0003308B" w:rsidRPr="00384552" w:rsidRDefault="0003308B" w:rsidP="003B68DB">
      <w:pPr>
        <w:numPr>
          <w:ilvl w:val="0"/>
          <w:numId w:val="122"/>
        </w:numPr>
        <w:tabs>
          <w:tab w:val="left" w:pos="142"/>
        </w:tabs>
        <w:ind w:hanging="578"/>
        <w:contextualSpacing/>
        <w:rPr>
          <w:rFonts w:cs="Arial"/>
          <w:i/>
          <w:sz w:val="22"/>
          <w:szCs w:val="22"/>
        </w:rPr>
      </w:pPr>
      <w:r w:rsidRPr="00384552">
        <w:rPr>
          <w:rFonts w:cs="Arial"/>
          <w:b/>
          <w:sz w:val="22"/>
          <w:szCs w:val="22"/>
        </w:rPr>
        <w:t>Los Informes de las actividades de la etapa de ejecución, llevaran el Vo.Bo. del Asesor Técnico Territorial.</w:t>
      </w:r>
    </w:p>
    <w:p w14:paraId="19E5FCCA" w14:textId="77777777" w:rsidR="0003308B" w:rsidRDefault="0003308B" w:rsidP="0003308B">
      <w:pPr>
        <w:tabs>
          <w:tab w:val="left" w:pos="142"/>
        </w:tabs>
        <w:autoSpaceDE w:val="0"/>
        <w:autoSpaceDN w:val="0"/>
        <w:adjustRightInd w:val="0"/>
        <w:rPr>
          <w:rFonts w:cs="Arial"/>
          <w:i/>
          <w:sz w:val="22"/>
          <w:szCs w:val="22"/>
          <w:lang w:val="es-NI" w:eastAsia="es-NI"/>
        </w:rPr>
      </w:pPr>
    </w:p>
    <w:p w14:paraId="271F933F" w14:textId="77777777" w:rsidR="00A71156" w:rsidRDefault="00A71156" w:rsidP="0003308B">
      <w:pPr>
        <w:jc w:val="center"/>
        <w:rPr>
          <w:rFonts w:asciiTheme="minorHAnsi" w:hAnsiTheme="minorHAnsi"/>
          <w:b/>
          <w:color w:val="000000" w:themeColor="text1"/>
          <w:sz w:val="28"/>
          <w:szCs w:val="24"/>
          <w:lang w:val="es-MX"/>
        </w:rPr>
      </w:pPr>
    </w:p>
    <w:p w14:paraId="0160A4C4" w14:textId="77777777" w:rsidR="0003308B" w:rsidRDefault="0003308B">
      <w:pPr>
        <w:jc w:val="left"/>
        <w:rPr>
          <w:b/>
          <w:bCs/>
          <w:iCs/>
          <w:highlight w:val="yellow"/>
        </w:rPr>
      </w:pPr>
      <w:r>
        <w:rPr>
          <w:b/>
          <w:bCs/>
          <w:iCs/>
          <w:highlight w:val="yellow"/>
        </w:rPr>
        <w:br w:type="page"/>
      </w:r>
    </w:p>
    <w:p w14:paraId="739DB49D" w14:textId="77777777" w:rsidR="0003308B" w:rsidRPr="0003308B" w:rsidRDefault="0003308B" w:rsidP="0003308B">
      <w:pPr>
        <w:pStyle w:val="Prrafodelista"/>
        <w:keepNext/>
        <w:tabs>
          <w:tab w:val="left" w:pos="142"/>
        </w:tabs>
        <w:ind w:left="426" w:right="-516"/>
        <w:jc w:val="center"/>
        <w:outlineLvl w:val="1"/>
        <w:rPr>
          <w:b/>
          <w:bCs/>
          <w:i/>
          <w:iCs/>
          <w:highlight w:val="yellow"/>
        </w:rPr>
      </w:pPr>
      <w:r w:rsidRPr="0003308B">
        <w:rPr>
          <w:b/>
          <w:bCs/>
          <w:iCs/>
          <w:highlight w:val="yellow"/>
        </w:rPr>
        <w:lastRenderedPageBreak/>
        <w:t>ESPECIFICACIONES TÉCNICAS GENERALES</w:t>
      </w:r>
    </w:p>
    <w:p w14:paraId="0426DAD5" w14:textId="77777777" w:rsidR="0003308B" w:rsidRPr="00B2666E" w:rsidRDefault="0003308B" w:rsidP="0003308B">
      <w:pPr>
        <w:pStyle w:val="Encabezado"/>
        <w:jc w:val="left"/>
        <w:rPr>
          <w:b/>
          <w:i/>
          <w:sz w:val="24"/>
          <w:szCs w:val="24"/>
        </w:rPr>
      </w:pPr>
      <w:r w:rsidRPr="0003308B">
        <w:rPr>
          <w:b/>
          <w:i/>
          <w:sz w:val="24"/>
          <w:szCs w:val="24"/>
          <w:highlight w:val="yellow"/>
        </w:rPr>
        <w:t>Proyecto 19842 Agua y Saneamiento Comunidad Zacatera</w:t>
      </w:r>
      <w:r w:rsidRPr="0003308B">
        <w:rPr>
          <w:b/>
          <w:i/>
          <w:sz w:val="24"/>
          <w:highlight w:val="yellow"/>
        </w:rPr>
        <w:t xml:space="preserve"> </w:t>
      </w:r>
      <w:r w:rsidRPr="0003308B">
        <w:rPr>
          <w:rFonts w:eastAsia="Calibri" w:cs="Arial"/>
          <w:b/>
          <w:sz w:val="22"/>
          <w:szCs w:val="22"/>
          <w:highlight w:val="yellow"/>
        </w:rPr>
        <w:t>(LOTE N°3</w:t>
      </w:r>
      <w:r w:rsidRPr="0003308B">
        <w:rPr>
          <w:rFonts w:ascii="Arial" w:eastAsia="Calibri" w:hAnsi="Arial" w:cs="Arial"/>
          <w:b/>
          <w:sz w:val="22"/>
          <w:szCs w:val="22"/>
          <w:highlight w:val="yellow"/>
        </w:rPr>
        <w:t>)</w:t>
      </w:r>
    </w:p>
    <w:p w14:paraId="61A5DCB1" w14:textId="77777777" w:rsidR="0003308B" w:rsidRPr="000C1321" w:rsidRDefault="0003308B" w:rsidP="0003308B">
      <w:pPr>
        <w:keepNext/>
        <w:tabs>
          <w:tab w:val="left" w:pos="142"/>
        </w:tabs>
        <w:ind w:right="-516"/>
        <w:outlineLvl w:val="1"/>
        <w:rPr>
          <w:b/>
          <w:bCs/>
          <w:i/>
          <w:iCs/>
        </w:rPr>
      </w:pPr>
    </w:p>
    <w:p w14:paraId="33105ECC" w14:textId="77777777" w:rsidR="0003308B" w:rsidRPr="000C1321" w:rsidRDefault="0003308B" w:rsidP="0003308B">
      <w:pPr>
        <w:keepNext/>
        <w:keepLines/>
        <w:spacing w:before="40"/>
        <w:outlineLvl w:val="1"/>
        <w:rPr>
          <w:b/>
          <w:i/>
        </w:rPr>
      </w:pPr>
      <w:r w:rsidRPr="000C1321">
        <w:rPr>
          <w:b/>
        </w:rPr>
        <w:t>Definiciones</w:t>
      </w:r>
    </w:p>
    <w:p w14:paraId="1611928D" w14:textId="77777777" w:rsidR="0003308B" w:rsidRPr="000C1321" w:rsidRDefault="0003308B" w:rsidP="0003308B">
      <w:pPr>
        <w:rPr>
          <w:i/>
        </w:rPr>
      </w:pPr>
    </w:p>
    <w:p w14:paraId="3B2FE7EA" w14:textId="77777777" w:rsidR="0003308B" w:rsidRPr="000C1321" w:rsidRDefault="0003308B" w:rsidP="0003308B">
      <w:pPr>
        <w:rPr>
          <w:i/>
        </w:rPr>
      </w:pPr>
      <w:r w:rsidRPr="000C1321">
        <w:t>En cualquier parte de estos Documentos en los cuales se usen los términos que se describen a continuación, su intención y significado deberán ser interpretadas de la manera siguiente:</w:t>
      </w:r>
    </w:p>
    <w:p w14:paraId="37E0DACB" w14:textId="77777777" w:rsidR="0003308B" w:rsidRPr="000C1321" w:rsidRDefault="0003308B" w:rsidP="0003308B">
      <w:pPr>
        <w:rPr>
          <w:b/>
          <w:i/>
        </w:rPr>
      </w:pPr>
    </w:p>
    <w:p w14:paraId="48366EF8" w14:textId="77777777" w:rsidR="0003308B" w:rsidRPr="000C1321" w:rsidRDefault="0003308B" w:rsidP="0003308B">
      <w:pPr>
        <w:rPr>
          <w:i/>
        </w:rPr>
      </w:pPr>
      <w:r w:rsidRPr="000C1321">
        <w:rPr>
          <w:b/>
        </w:rPr>
        <w:t>Supervisor</w:t>
      </w:r>
      <w:r w:rsidRPr="000C1321">
        <w:t>: El Profesional contratado por el FISE, para la supervisión técnica de la Obra, actuando dentro del marco de las atribuciones que le serán confiadas.</w:t>
      </w:r>
    </w:p>
    <w:p w14:paraId="6B4BF609" w14:textId="77777777" w:rsidR="0003308B" w:rsidRPr="000C1321" w:rsidRDefault="0003308B" w:rsidP="0003308B">
      <w:pPr>
        <w:rPr>
          <w:i/>
        </w:rPr>
      </w:pPr>
    </w:p>
    <w:p w14:paraId="5C2A9E38" w14:textId="77777777" w:rsidR="0003308B" w:rsidRPr="000C1321" w:rsidRDefault="0003308B" w:rsidP="0003308B">
      <w:pPr>
        <w:rPr>
          <w:i/>
        </w:rPr>
      </w:pPr>
      <w:r w:rsidRPr="000C1321">
        <w:rPr>
          <w:b/>
        </w:rPr>
        <w:t>Contratista</w:t>
      </w:r>
      <w:r w:rsidRPr="000C1321">
        <w:t>: El Oferente a quien este Contrato es adjudicado por el FISE.</w:t>
      </w:r>
    </w:p>
    <w:p w14:paraId="6A04BA5C" w14:textId="77777777" w:rsidR="0003308B" w:rsidRPr="000C1321" w:rsidRDefault="0003308B" w:rsidP="0003308B">
      <w:pPr>
        <w:rPr>
          <w:b/>
          <w:i/>
        </w:rPr>
      </w:pPr>
    </w:p>
    <w:p w14:paraId="526E4A77" w14:textId="77777777" w:rsidR="0003308B" w:rsidRPr="000C1321" w:rsidRDefault="0003308B" w:rsidP="0003308B">
      <w:pPr>
        <w:rPr>
          <w:i/>
        </w:rPr>
      </w:pPr>
      <w:r w:rsidRPr="000C1321">
        <w:rPr>
          <w:b/>
        </w:rPr>
        <w:t>Sub-Contratista</w:t>
      </w:r>
      <w:r w:rsidRPr="000C1321">
        <w:t>: Cualquier Empresa Constructora, persona natural o jurídica seleccionada por el Contratista y aprobado por el supervisor designado para efectuar una obra en particular o suplir bienes demandados por el trabajo.</w:t>
      </w:r>
    </w:p>
    <w:p w14:paraId="6C2B9869" w14:textId="77777777" w:rsidR="0003308B" w:rsidRPr="000C1321" w:rsidRDefault="0003308B" w:rsidP="0003308B">
      <w:pPr>
        <w:rPr>
          <w:i/>
        </w:rPr>
      </w:pPr>
    </w:p>
    <w:p w14:paraId="5F82E489" w14:textId="77777777" w:rsidR="0003308B" w:rsidRPr="000C1321" w:rsidRDefault="0003308B" w:rsidP="0003308B">
      <w:pPr>
        <w:rPr>
          <w:i/>
        </w:rPr>
      </w:pPr>
      <w:r w:rsidRPr="000C1321">
        <w:rPr>
          <w:b/>
        </w:rPr>
        <w:t>Fiador</w:t>
      </w:r>
      <w:r w:rsidRPr="000C1321">
        <w:t>: La compañía debida y legalmente autorizada para operar en Nicaragua, la cual adquiere obligación con y por el Contratista por el pago de todas las obligaciones para el desarrollo aceptable del trabajo requerido por este Contrato.</w:t>
      </w:r>
    </w:p>
    <w:p w14:paraId="3B86474B" w14:textId="77777777" w:rsidR="0003308B" w:rsidRPr="000C1321" w:rsidRDefault="0003308B" w:rsidP="0003308B">
      <w:pPr>
        <w:rPr>
          <w:b/>
          <w:i/>
        </w:rPr>
      </w:pPr>
    </w:p>
    <w:p w14:paraId="2969D4D3" w14:textId="77777777" w:rsidR="0003308B" w:rsidRPr="000C1321" w:rsidRDefault="0003308B" w:rsidP="0003308B">
      <w:pPr>
        <w:rPr>
          <w:i/>
        </w:rPr>
      </w:pPr>
      <w:r w:rsidRPr="000C1321">
        <w:rPr>
          <w:b/>
        </w:rPr>
        <w:t>Laboratorio</w:t>
      </w:r>
      <w:r w:rsidRPr="000C1321">
        <w:t>: Cualquier laboratorio aprobado por el Supervisor para efectuar pruebas en los materiales que serán incorporados a la obra.</w:t>
      </w:r>
    </w:p>
    <w:p w14:paraId="5C166E8E" w14:textId="77777777" w:rsidR="0003308B" w:rsidRPr="000C1321" w:rsidRDefault="0003308B" w:rsidP="0003308B">
      <w:pPr>
        <w:rPr>
          <w:b/>
          <w:i/>
        </w:rPr>
      </w:pPr>
    </w:p>
    <w:p w14:paraId="639C177F" w14:textId="77777777" w:rsidR="0003308B" w:rsidRPr="000C1321" w:rsidRDefault="0003308B" w:rsidP="0003308B">
      <w:pPr>
        <w:rPr>
          <w:i/>
        </w:rPr>
      </w:pPr>
      <w:r w:rsidRPr="000C1321">
        <w:rPr>
          <w:b/>
        </w:rPr>
        <w:t>Planos</w:t>
      </w:r>
      <w:r w:rsidRPr="000C1321">
        <w:t>: Los dibujos, planos, perfiles, cortes, esquemas suplementarios o reproducciones exactas de ellos, suplidos por El FISE y/o aprobados por el Supervisor, que muestren la ubicación, carácter, dimensiones y detalles del trabajo que se ha de hacer.</w:t>
      </w:r>
    </w:p>
    <w:p w14:paraId="763E6223" w14:textId="77777777" w:rsidR="0003308B" w:rsidRPr="000C1321" w:rsidRDefault="0003308B" w:rsidP="0003308B">
      <w:pPr>
        <w:rPr>
          <w:b/>
          <w:i/>
        </w:rPr>
      </w:pPr>
    </w:p>
    <w:p w14:paraId="5247D459" w14:textId="77777777" w:rsidR="0003308B" w:rsidRPr="000C1321" w:rsidRDefault="0003308B" w:rsidP="0003308B">
      <w:pPr>
        <w:rPr>
          <w:i/>
        </w:rPr>
      </w:pPr>
      <w:r w:rsidRPr="000C1321">
        <w:rPr>
          <w:b/>
        </w:rPr>
        <w:t>Especificaciones</w:t>
      </w:r>
      <w:r w:rsidRPr="000C1321">
        <w:t>: Las direcciones, disposiciones y estipulaciones comprendidas en los Documentos de Contrato que establecen los métodos constructivos, calidad de insumos, bienes y servicios que serán suministrados por el Contratista.</w:t>
      </w:r>
    </w:p>
    <w:p w14:paraId="28AA2915" w14:textId="77777777" w:rsidR="0003308B" w:rsidRPr="000C1321" w:rsidRDefault="0003308B" w:rsidP="0003308B">
      <w:pPr>
        <w:rPr>
          <w:b/>
          <w:i/>
        </w:rPr>
      </w:pPr>
    </w:p>
    <w:p w14:paraId="22F6E0CC" w14:textId="77777777" w:rsidR="0003308B" w:rsidRPr="000C1321" w:rsidRDefault="0003308B" w:rsidP="0003308B">
      <w:pPr>
        <w:rPr>
          <w:i/>
        </w:rPr>
      </w:pPr>
      <w:r w:rsidRPr="000C1321">
        <w:rPr>
          <w:b/>
        </w:rPr>
        <w:t>Orden de Cambio</w:t>
      </w:r>
      <w:r w:rsidRPr="000C1321">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741AC79A" w14:textId="77777777" w:rsidR="0003308B" w:rsidRPr="000C1321" w:rsidRDefault="0003308B" w:rsidP="0003308B">
      <w:pPr>
        <w:keepNext/>
        <w:tabs>
          <w:tab w:val="left" w:pos="142"/>
        </w:tabs>
        <w:ind w:right="-516"/>
        <w:outlineLvl w:val="1"/>
        <w:rPr>
          <w:b/>
          <w:bCs/>
          <w:i/>
          <w:iCs/>
        </w:rPr>
      </w:pPr>
    </w:p>
    <w:p w14:paraId="42684273" w14:textId="77777777" w:rsidR="0003308B" w:rsidRPr="000C1321" w:rsidRDefault="0003308B" w:rsidP="003B68DB">
      <w:pPr>
        <w:pStyle w:val="Prrafodelista"/>
        <w:numPr>
          <w:ilvl w:val="1"/>
          <w:numId w:val="127"/>
        </w:numPr>
        <w:contextualSpacing/>
        <w:rPr>
          <w:b/>
          <w:i/>
        </w:rPr>
      </w:pPr>
      <w:r w:rsidRPr="000C1321">
        <w:rPr>
          <w:b/>
        </w:rPr>
        <w:t>Generalidades</w:t>
      </w:r>
    </w:p>
    <w:p w14:paraId="34CA1802" w14:textId="77777777" w:rsidR="0003308B" w:rsidRPr="000C1321" w:rsidRDefault="0003308B" w:rsidP="0003308B">
      <w:pPr>
        <w:tabs>
          <w:tab w:val="left" w:pos="142"/>
        </w:tabs>
        <w:rPr>
          <w:i/>
          <w:highlight w:val="yellow"/>
        </w:rPr>
      </w:pPr>
    </w:p>
    <w:p w14:paraId="4807E396" w14:textId="77777777" w:rsidR="0003308B" w:rsidRPr="000C1321" w:rsidRDefault="0003308B" w:rsidP="0003308B">
      <w:pPr>
        <w:tabs>
          <w:tab w:val="left" w:pos="142"/>
        </w:tabs>
        <w:rPr>
          <w:i/>
        </w:rPr>
      </w:pPr>
      <w:r w:rsidRPr="000C1321">
        <w:t>Estas especificaciones técnicas son generales y se refieren a todos los aspectos de la construcción, en el caso que algún tipo de actividad no esté incluida en estas especificaciones, es deber del contratista hacer la obra de manera técnicamente correcta y sin ninguna mala intención, es decir no debe valerse del hecho que no esté incluida en las especificaciones.</w:t>
      </w:r>
    </w:p>
    <w:p w14:paraId="71B2C9AE" w14:textId="77777777" w:rsidR="0003308B" w:rsidRPr="000C1321" w:rsidRDefault="0003308B" w:rsidP="0003308B">
      <w:pPr>
        <w:tabs>
          <w:tab w:val="left" w:pos="142"/>
        </w:tabs>
        <w:rPr>
          <w:i/>
        </w:rPr>
      </w:pPr>
    </w:p>
    <w:p w14:paraId="72F01065" w14:textId="77777777" w:rsidR="0003308B" w:rsidRPr="000C1321" w:rsidRDefault="0003308B" w:rsidP="0003308B">
      <w:pPr>
        <w:tabs>
          <w:tab w:val="left" w:pos="142"/>
        </w:tabs>
        <w:rPr>
          <w:i/>
        </w:rPr>
      </w:pPr>
      <w:r w:rsidRPr="000C1321">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7EB1DA04" w14:textId="77777777" w:rsidR="0003308B" w:rsidRPr="000C1321" w:rsidRDefault="0003308B" w:rsidP="0003308B">
      <w:pPr>
        <w:tabs>
          <w:tab w:val="left" w:pos="142"/>
        </w:tabs>
        <w:rPr>
          <w:i/>
        </w:rPr>
      </w:pPr>
    </w:p>
    <w:p w14:paraId="0805B7E1" w14:textId="77777777" w:rsidR="0003308B" w:rsidRPr="000C1321" w:rsidRDefault="0003308B" w:rsidP="0003308B">
      <w:pPr>
        <w:tabs>
          <w:tab w:val="left" w:pos="142"/>
        </w:tabs>
        <w:rPr>
          <w:i/>
        </w:rPr>
      </w:pPr>
      <w:r w:rsidRPr="000C1321">
        <w:t>Asimismo, se considerarán como especificaciones técnicas generales, las especificaciones ambientales generales.</w:t>
      </w:r>
    </w:p>
    <w:p w14:paraId="5E6BDFEB" w14:textId="77777777" w:rsidR="0003308B" w:rsidRPr="000C1321" w:rsidRDefault="0003308B" w:rsidP="0003308B">
      <w:pPr>
        <w:tabs>
          <w:tab w:val="left" w:pos="142"/>
        </w:tabs>
        <w:rPr>
          <w:i/>
        </w:rPr>
      </w:pPr>
    </w:p>
    <w:p w14:paraId="6B7A2883" w14:textId="77777777" w:rsidR="0003308B" w:rsidRPr="000C1321" w:rsidRDefault="0003308B" w:rsidP="003B68DB">
      <w:pPr>
        <w:pStyle w:val="Prrafodelista"/>
        <w:keepNext/>
        <w:numPr>
          <w:ilvl w:val="1"/>
          <w:numId w:val="127"/>
        </w:numPr>
        <w:tabs>
          <w:tab w:val="left" w:pos="142"/>
        </w:tabs>
        <w:ind w:right="-516"/>
        <w:contextualSpacing/>
        <w:outlineLvl w:val="1"/>
        <w:rPr>
          <w:b/>
          <w:bCs/>
          <w:i/>
          <w:iCs/>
        </w:rPr>
      </w:pPr>
      <w:r w:rsidRPr="000C1321">
        <w:rPr>
          <w:b/>
          <w:bCs/>
          <w:iCs/>
        </w:rPr>
        <w:t>NOTAS GENERALES A LAS ESPECIFICACIONES TECNICAS</w:t>
      </w:r>
    </w:p>
    <w:p w14:paraId="48712A3E" w14:textId="77777777" w:rsidR="0003308B" w:rsidRPr="000C1321" w:rsidRDefault="0003308B" w:rsidP="0003308B">
      <w:pPr>
        <w:pStyle w:val="Prrafodelista"/>
        <w:keepNext/>
        <w:tabs>
          <w:tab w:val="left" w:pos="142"/>
        </w:tabs>
        <w:ind w:right="-516"/>
        <w:outlineLvl w:val="1"/>
        <w:rPr>
          <w:b/>
          <w:bCs/>
          <w:i/>
          <w:iCs/>
        </w:rPr>
      </w:pPr>
    </w:p>
    <w:p w14:paraId="386E61B8" w14:textId="77777777" w:rsidR="0003308B" w:rsidRPr="000C1321" w:rsidRDefault="0003308B" w:rsidP="0003308B">
      <w:pPr>
        <w:tabs>
          <w:tab w:val="left" w:pos="142"/>
        </w:tabs>
        <w:rPr>
          <w:i/>
        </w:rPr>
      </w:pPr>
      <w:r w:rsidRPr="000C1321">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7DA79779" w14:textId="77777777" w:rsidR="0003308B" w:rsidRPr="000C1321" w:rsidRDefault="0003308B" w:rsidP="0003308B">
      <w:pPr>
        <w:tabs>
          <w:tab w:val="left" w:pos="142"/>
        </w:tabs>
        <w:rPr>
          <w:i/>
        </w:rPr>
      </w:pPr>
    </w:p>
    <w:p w14:paraId="216AEFAD" w14:textId="77777777" w:rsidR="0003308B" w:rsidRPr="000C1321" w:rsidRDefault="0003308B" w:rsidP="0003308B">
      <w:pPr>
        <w:tabs>
          <w:tab w:val="left" w:pos="142"/>
        </w:tabs>
        <w:rPr>
          <w:i/>
        </w:rPr>
      </w:pPr>
      <w:r w:rsidRPr="000C1321">
        <w:t>2.- Toda contratista considerara las especificaciones que competan a cada proyecto específico, ya que estas abarcan a la generalidad de los proyectos.</w:t>
      </w:r>
    </w:p>
    <w:p w14:paraId="1E7976EC" w14:textId="77777777" w:rsidR="0003308B" w:rsidRPr="000C1321" w:rsidRDefault="0003308B" w:rsidP="0003308B">
      <w:pPr>
        <w:tabs>
          <w:tab w:val="left" w:pos="142"/>
        </w:tabs>
        <w:rPr>
          <w:i/>
        </w:rPr>
      </w:pPr>
    </w:p>
    <w:p w14:paraId="34D4029E" w14:textId="77777777" w:rsidR="0003308B" w:rsidRPr="000C1321" w:rsidRDefault="0003308B" w:rsidP="0003308B">
      <w:pPr>
        <w:tabs>
          <w:tab w:val="left" w:pos="142"/>
        </w:tabs>
        <w:rPr>
          <w:i/>
        </w:rPr>
      </w:pPr>
      <w:r w:rsidRPr="000C1321">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44753ACB" w14:textId="77777777" w:rsidR="0003308B" w:rsidRPr="000C1321" w:rsidRDefault="0003308B" w:rsidP="0003308B">
      <w:pPr>
        <w:tabs>
          <w:tab w:val="left" w:pos="142"/>
        </w:tabs>
        <w:rPr>
          <w:i/>
        </w:rPr>
      </w:pPr>
    </w:p>
    <w:p w14:paraId="605D5DF4" w14:textId="77777777" w:rsidR="0003308B" w:rsidRPr="000C1321" w:rsidRDefault="0003308B" w:rsidP="0003308B">
      <w:pPr>
        <w:tabs>
          <w:tab w:val="left" w:pos="142"/>
        </w:tabs>
        <w:rPr>
          <w:i/>
        </w:rPr>
      </w:pPr>
      <w:r w:rsidRPr="000C1321">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78EA3C2B" w14:textId="77777777" w:rsidR="0003308B" w:rsidRPr="000C1321" w:rsidRDefault="0003308B" w:rsidP="0003308B">
      <w:pPr>
        <w:tabs>
          <w:tab w:val="left" w:pos="142"/>
        </w:tabs>
        <w:rPr>
          <w:i/>
        </w:rPr>
      </w:pPr>
    </w:p>
    <w:p w14:paraId="4D13385A" w14:textId="77777777" w:rsidR="0003308B" w:rsidRPr="000C1321" w:rsidRDefault="0003308B" w:rsidP="0003308B">
      <w:pPr>
        <w:tabs>
          <w:tab w:val="left" w:pos="142"/>
        </w:tabs>
        <w:rPr>
          <w:i/>
        </w:rPr>
      </w:pPr>
      <w:r w:rsidRPr="000C1321">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7565C2E9" w14:textId="77777777" w:rsidR="0003308B" w:rsidRPr="000C1321" w:rsidRDefault="0003308B" w:rsidP="0003308B">
      <w:pPr>
        <w:tabs>
          <w:tab w:val="left" w:pos="142"/>
        </w:tabs>
        <w:rPr>
          <w:i/>
        </w:rPr>
      </w:pPr>
    </w:p>
    <w:p w14:paraId="5BF36C43" w14:textId="77777777" w:rsidR="0003308B" w:rsidRPr="000C1321" w:rsidRDefault="0003308B" w:rsidP="0003308B">
      <w:pPr>
        <w:tabs>
          <w:tab w:val="left" w:pos="142"/>
        </w:tabs>
        <w:rPr>
          <w:i/>
        </w:rPr>
      </w:pPr>
      <w:r w:rsidRPr="000C1321">
        <w:t>El contratista no tomará ventaja con cualquier contradicción que hubiere en los planos y en las especificaciones, en este caso el supervisor decidirá la manera más técnica de resolver el caso a favor de la buena ejecución de la obra.</w:t>
      </w:r>
    </w:p>
    <w:p w14:paraId="248D3DDA" w14:textId="77777777" w:rsidR="0003308B" w:rsidRPr="000C1321" w:rsidRDefault="0003308B" w:rsidP="0003308B">
      <w:pPr>
        <w:pStyle w:val="Prrafodelista"/>
        <w:keepNext/>
        <w:tabs>
          <w:tab w:val="left" w:pos="142"/>
        </w:tabs>
        <w:ind w:right="-516"/>
        <w:outlineLvl w:val="1"/>
        <w:rPr>
          <w:b/>
          <w:bCs/>
          <w:i/>
          <w:iCs/>
        </w:rPr>
      </w:pPr>
    </w:p>
    <w:p w14:paraId="598AA32B" w14:textId="77777777" w:rsidR="0003308B" w:rsidRPr="000C1321" w:rsidRDefault="0003308B" w:rsidP="003B68DB">
      <w:pPr>
        <w:pStyle w:val="Prrafodelista"/>
        <w:keepNext/>
        <w:numPr>
          <w:ilvl w:val="1"/>
          <w:numId w:val="127"/>
        </w:numPr>
        <w:tabs>
          <w:tab w:val="left" w:pos="142"/>
        </w:tabs>
        <w:ind w:right="-516"/>
        <w:contextualSpacing/>
        <w:outlineLvl w:val="1"/>
        <w:rPr>
          <w:b/>
          <w:bCs/>
          <w:i/>
          <w:iCs/>
        </w:rPr>
      </w:pPr>
      <w:r w:rsidRPr="000C1321">
        <w:rPr>
          <w:b/>
          <w:bCs/>
          <w:iCs/>
        </w:rPr>
        <w:t xml:space="preserve"> INTERPRETACIÓN DE PLANOS</w:t>
      </w:r>
    </w:p>
    <w:p w14:paraId="36A293B2" w14:textId="77777777" w:rsidR="0003308B" w:rsidRPr="000C1321" w:rsidRDefault="0003308B" w:rsidP="0003308B">
      <w:pPr>
        <w:pStyle w:val="Prrafodelista"/>
        <w:keepNext/>
        <w:tabs>
          <w:tab w:val="left" w:pos="142"/>
        </w:tabs>
        <w:ind w:right="-516"/>
        <w:outlineLvl w:val="1"/>
        <w:rPr>
          <w:b/>
          <w:bCs/>
          <w:i/>
          <w:iCs/>
        </w:rPr>
      </w:pPr>
    </w:p>
    <w:p w14:paraId="1608DCCC" w14:textId="77777777" w:rsidR="0003308B" w:rsidRPr="000C1321" w:rsidRDefault="0003308B" w:rsidP="0003308B">
      <w:pPr>
        <w:tabs>
          <w:tab w:val="left" w:pos="142"/>
        </w:tabs>
        <w:rPr>
          <w:i/>
        </w:rPr>
      </w:pPr>
      <w:r w:rsidRPr="000C1321">
        <w:t xml:space="preserve">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w:t>
      </w:r>
      <w:r w:rsidRPr="000C1321">
        <w:lastRenderedPageBreak/>
        <w:t>momento la calidad y el correcto funcionamiento de las obras, incluyendo las actividades implícitas para que estas puedan considerarse completamente terminadas.</w:t>
      </w:r>
    </w:p>
    <w:p w14:paraId="6D0B3C5F" w14:textId="77777777" w:rsidR="0003308B" w:rsidRPr="000C1321" w:rsidRDefault="0003308B" w:rsidP="0003308B">
      <w:pPr>
        <w:tabs>
          <w:tab w:val="left" w:pos="142"/>
        </w:tabs>
        <w:rPr>
          <w:i/>
        </w:rPr>
      </w:pPr>
      <w:r w:rsidRPr="000C1321">
        <w:tab/>
      </w:r>
    </w:p>
    <w:p w14:paraId="6318068A" w14:textId="77777777" w:rsidR="0003308B" w:rsidRPr="000C1321" w:rsidRDefault="0003308B" w:rsidP="0003308B">
      <w:pPr>
        <w:tabs>
          <w:tab w:val="left" w:pos="142"/>
        </w:tabs>
        <w:rPr>
          <w:i/>
        </w:rPr>
      </w:pPr>
      <w:r w:rsidRPr="000C1321">
        <w:t>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haber recibido la autorización de El Supervisor para proceder, correrán por su cuenta, riesgo y responsabilidad</w:t>
      </w:r>
    </w:p>
    <w:p w14:paraId="2BBFCA0E" w14:textId="77777777" w:rsidR="0003308B" w:rsidRPr="000C1321" w:rsidRDefault="0003308B" w:rsidP="0003308B">
      <w:pPr>
        <w:tabs>
          <w:tab w:val="left" w:pos="142"/>
        </w:tabs>
        <w:rPr>
          <w:i/>
        </w:rPr>
      </w:pPr>
    </w:p>
    <w:p w14:paraId="77B74077" w14:textId="77777777" w:rsidR="0003308B" w:rsidRPr="000C1321" w:rsidRDefault="0003308B" w:rsidP="003B68DB">
      <w:pPr>
        <w:pStyle w:val="Prrafodelista"/>
        <w:numPr>
          <w:ilvl w:val="1"/>
          <w:numId w:val="127"/>
        </w:numPr>
        <w:tabs>
          <w:tab w:val="left" w:pos="142"/>
        </w:tabs>
        <w:contextualSpacing/>
        <w:rPr>
          <w:b/>
          <w:i/>
        </w:rPr>
      </w:pPr>
      <w:r w:rsidRPr="000C1321">
        <w:rPr>
          <w:b/>
        </w:rPr>
        <w:t>LIMITACIONES DE TRABAJO</w:t>
      </w:r>
    </w:p>
    <w:p w14:paraId="4C311D13" w14:textId="77777777" w:rsidR="0003308B" w:rsidRPr="000C1321" w:rsidRDefault="0003308B" w:rsidP="0003308B">
      <w:pPr>
        <w:tabs>
          <w:tab w:val="left" w:pos="142"/>
        </w:tabs>
        <w:rPr>
          <w:i/>
        </w:rPr>
      </w:pPr>
    </w:p>
    <w:p w14:paraId="133547E2" w14:textId="77777777" w:rsidR="0003308B" w:rsidRPr="000C1321" w:rsidRDefault="0003308B" w:rsidP="0003308B">
      <w:pPr>
        <w:tabs>
          <w:tab w:val="left" w:pos="142"/>
        </w:tabs>
        <w:rPr>
          <w:i/>
        </w:rPr>
      </w:pPr>
      <w:r w:rsidRPr="000C1321">
        <w:t xml:space="preserve">El Supervisor hará entrega oficial al contratista del sitio donde se efectuará la obra, motivo del contrato, y lo dejará asentado en el libro de Bitácora y a partir de esa fecha empieza a contarse el tiempo calendario de ejecución de la obra.  </w:t>
      </w:r>
    </w:p>
    <w:p w14:paraId="7E1364BE" w14:textId="77777777" w:rsidR="0003308B" w:rsidRPr="000C1321" w:rsidRDefault="0003308B" w:rsidP="0003308B">
      <w:pPr>
        <w:tabs>
          <w:tab w:val="left" w:pos="142"/>
        </w:tabs>
        <w:rPr>
          <w:i/>
        </w:rPr>
      </w:pPr>
    </w:p>
    <w:p w14:paraId="490CBD57" w14:textId="77777777" w:rsidR="0003308B" w:rsidRPr="000C1321" w:rsidRDefault="0003308B" w:rsidP="0003308B">
      <w:pPr>
        <w:tabs>
          <w:tab w:val="left" w:pos="142"/>
        </w:tabs>
        <w:rPr>
          <w:i/>
        </w:rPr>
      </w:pPr>
      <w:r w:rsidRPr="000C1321">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08C8973D" w14:textId="77777777" w:rsidR="0003308B" w:rsidRPr="000C1321" w:rsidRDefault="0003308B" w:rsidP="0003308B">
      <w:pPr>
        <w:tabs>
          <w:tab w:val="left" w:pos="142"/>
        </w:tabs>
        <w:rPr>
          <w:i/>
        </w:rPr>
      </w:pPr>
    </w:p>
    <w:p w14:paraId="125EB077" w14:textId="77777777" w:rsidR="0003308B" w:rsidRPr="000C1321" w:rsidRDefault="0003308B" w:rsidP="003B68DB">
      <w:pPr>
        <w:pStyle w:val="Prrafodelista"/>
        <w:numPr>
          <w:ilvl w:val="1"/>
          <w:numId w:val="127"/>
        </w:numPr>
        <w:tabs>
          <w:tab w:val="left" w:pos="142"/>
        </w:tabs>
        <w:contextualSpacing/>
        <w:rPr>
          <w:b/>
          <w:i/>
        </w:rPr>
      </w:pPr>
      <w:r w:rsidRPr="000C1321">
        <w:rPr>
          <w:b/>
        </w:rPr>
        <w:t>DOCUMENTOS DE CONTRATO</w:t>
      </w:r>
    </w:p>
    <w:p w14:paraId="55A48CA3" w14:textId="77777777" w:rsidR="0003308B" w:rsidRPr="000C1321" w:rsidRDefault="0003308B" w:rsidP="0003308B">
      <w:pPr>
        <w:tabs>
          <w:tab w:val="left" w:pos="142"/>
        </w:tabs>
        <w:rPr>
          <w:i/>
        </w:rPr>
      </w:pPr>
    </w:p>
    <w:p w14:paraId="24B42707" w14:textId="77777777" w:rsidR="0003308B" w:rsidRPr="000C1321" w:rsidRDefault="0003308B" w:rsidP="0003308B">
      <w:pPr>
        <w:tabs>
          <w:tab w:val="left" w:pos="142"/>
        </w:tabs>
        <w:rPr>
          <w:i/>
        </w:rPr>
      </w:pPr>
      <w:r w:rsidRPr="000C1321">
        <w:t xml:space="preserve">Forman parte del contrato los siguientes documentos: Planos (que incluyen detalles, estructurales, arquitectónicos, eléctricos e hidra sanitarios, así como toda adenda que se refiera al sistema constructivo). Especificaciones Técnicas: Estas complementan lo indicado en los planos.        </w:t>
      </w:r>
    </w:p>
    <w:p w14:paraId="2E49FAE8" w14:textId="77777777" w:rsidR="0003308B" w:rsidRPr="000C1321" w:rsidRDefault="0003308B" w:rsidP="0003308B">
      <w:pPr>
        <w:tabs>
          <w:tab w:val="left" w:pos="142"/>
        </w:tabs>
        <w:rPr>
          <w:i/>
        </w:rPr>
      </w:pPr>
    </w:p>
    <w:p w14:paraId="672B5512" w14:textId="77777777" w:rsidR="0003308B" w:rsidRPr="000C1321" w:rsidRDefault="0003308B" w:rsidP="0003308B">
      <w:pPr>
        <w:tabs>
          <w:tab w:val="left" w:pos="142"/>
        </w:tabs>
        <w:rPr>
          <w:i/>
        </w:rPr>
      </w:pPr>
      <w:r w:rsidRPr="000C1321">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046B75A0" w14:textId="77777777" w:rsidR="0003308B" w:rsidRPr="000C1321" w:rsidRDefault="0003308B" w:rsidP="0003308B">
      <w:pPr>
        <w:tabs>
          <w:tab w:val="left" w:pos="142"/>
        </w:tabs>
        <w:rPr>
          <w:i/>
        </w:rPr>
      </w:pPr>
    </w:p>
    <w:p w14:paraId="298C25B0" w14:textId="77777777" w:rsidR="0003308B" w:rsidRPr="000C1321" w:rsidRDefault="0003308B" w:rsidP="003B68DB">
      <w:pPr>
        <w:pStyle w:val="Prrafodelista"/>
        <w:numPr>
          <w:ilvl w:val="1"/>
          <w:numId w:val="127"/>
        </w:numPr>
        <w:tabs>
          <w:tab w:val="left" w:pos="142"/>
        </w:tabs>
        <w:contextualSpacing/>
        <w:rPr>
          <w:b/>
          <w:i/>
        </w:rPr>
      </w:pPr>
      <w:r w:rsidRPr="000C1321">
        <w:rPr>
          <w:b/>
        </w:rPr>
        <w:t>PROTECCIÓN Y REEMPLAZO DE ESTRUCTURAS</w:t>
      </w:r>
    </w:p>
    <w:p w14:paraId="008E8B03" w14:textId="77777777" w:rsidR="0003308B" w:rsidRPr="000C1321" w:rsidRDefault="0003308B" w:rsidP="0003308B">
      <w:pPr>
        <w:tabs>
          <w:tab w:val="left" w:pos="142"/>
        </w:tabs>
        <w:rPr>
          <w:i/>
        </w:rPr>
      </w:pPr>
    </w:p>
    <w:p w14:paraId="77779CCC" w14:textId="77777777" w:rsidR="0003308B" w:rsidRPr="000C1321" w:rsidRDefault="0003308B" w:rsidP="0003308B">
      <w:pPr>
        <w:tabs>
          <w:tab w:val="left" w:pos="142"/>
        </w:tabs>
        <w:rPr>
          <w:i/>
        </w:rPr>
      </w:pPr>
      <w:r w:rsidRPr="000C1321">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42C72C7B" w14:textId="77777777" w:rsidR="0003308B" w:rsidRPr="000C1321" w:rsidRDefault="0003308B" w:rsidP="0003308B">
      <w:pPr>
        <w:tabs>
          <w:tab w:val="left" w:pos="142"/>
        </w:tabs>
        <w:rPr>
          <w:i/>
        </w:rPr>
      </w:pPr>
    </w:p>
    <w:p w14:paraId="6E023F20" w14:textId="77777777" w:rsidR="0003308B" w:rsidRPr="000C1321" w:rsidRDefault="0003308B" w:rsidP="0003308B">
      <w:pPr>
        <w:tabs>
          <w:tab w:val="left" w:pos="142"/>
        </w:tabs>
        <w:rPr>
          <w:i/>
        </w:rPr>
      </w:pPr>
      <w:r w:rsidRPr="000C1321">
        <w:t xml:space="preserve">El contratista será responsable por todos los daños que ocasione a todas las tuberías y cables existentes, pavimentos, aceras y estructuras sobre o bajo tierra, sea que estén o no indicadas en los </w:t>
      </w:r>
      <w:r w:rsidRPr="000C1321">
        <w:lastRenderedPageBreak/>
        <w:t>planos del contrato; además deberá por su cuenta asumir los gastos de protección de las mismas o repararlas y/o reemplazarlas si estas son dañadas.</w:t>
      </w:r>
    </w:p>
    <w:p w14:paraId="673CA3A9" w14:textId="77777777" w:rsidR="0003308B" w:rsidRPr="000C1321" w:rsidRDefault="0003308B" w:rsidP="0003308B">
      <w:pPr>
        <w:tabs>
          <w:tab w:val="left" w:pos="142"/>
        </w:tabs>
        <w:rPr>
          <w:i/>
        </w:rPr>
      </w:pPr>
    </w:p>
    <w:p w14:paraId="1C5F801C" w14:textId="77777777" w:rsidR="0003308B" w:rsidRPr="000C1321" w:rsidRDefault="0003308B" w:rsidP="003B68DB">
      <w:pPr>
        <w:pStyle w:val="Prrafodelista"/>
        <w:numPr>
          <w:ilvl w:val="1"/>
          <w:numId w:val="127"/>
        </w:numPr>
        <w:tabs>
          <w:tab w:val="left" w:pos="142"/>
        </w:tabs>
        <w:contextualSpacing/>
        <w:rPr>
          <w:b/>
          <w:i/>
        </w:rPr>
      </w:pPr>
      <w:r w:rsidRPr="000C1321">
        <w:rPr>
          <w:b/>
        </w:rPr>
        <w:t>PROTECCIÓN DE LA PROPIEDAD PÚBLICA Y PRIVADA</w:t>
      </w:r>
    </w:p>
    <w:p w14:paraId="16C2735D" w14:textId="77777777" w:rsidR="0003308B" w:rsidRPr="000C1321" w:rsidRDefault="0003308B" w:rsidP="0003308B">
      <w:pPr>
        <w:tabs>
          <w:tab w:val="left" w:pos="142"/>
        </w:tabs>
        <w:rPr>
          <w:i/>
        </w:rPr>
      </w:pPr>
    </w:p>
    <w:p w14:paraId="3CD06B4F" w14:textId="77777777" w:rsidR="0003308B" w:rsidRPr="000C1321" w:rsidRDefault="0003308B" w:rsidP="0003308B">
      <w:pPr>
        <w:tabs>
          <w:tab w:val="left" w:pos="142"/>
        </w:tabs>
        <w:rPr>
          <w:i/>
        </w:rPr>
      </w:pPr>
      <w:r w:rsidRPr="000C1321">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22B19C34" w14:textId="77777777" w:rsidR="0003308B" w:rsidRPr="000C1321" w:rsidRDefault="0003308B" w:rsidP="0003308B">
      <w:pPr>
        <w:tabs>
          <w:tab w:val="left" w:pos="142"/>
        </w:tabs>
        <w:rPr>
          <w:i/>
        </w:rPr>
      </w:pPr>
    </w:p>
    <w:p w14:paraId="12C23CF4" w14:textId="77777777" w:rsidR="0003308B" w:rsidRPr="000C1321" w:rsidRDefault="0003308B" w:rsidP="0003308B">
      <w:pPr>
        <w:tabs>
          <w:tab w:val="left" w:pos="142"/>
        </w:tabs>
        <w:rPr>
          <w:i/>
        </w:rPr>
      </w:pPr>
      <w:r w:rsidRPr="000C1321">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40A909BF" w14:textId="77777777" w:rsidR="0003308B" w:rsidRPr="000C1321" w:rsidRDefault="0003308B" w:rsidP="0003308B">
      <w:pPr>
        <w:tabs>
          <w:tab w:val="left" w:pos="142"/>
        </w:tabs>
        <w:rPr>
          <w:i/>
        </w:rPr>
      </w:pPr>
    </w:p>
    <w:p w14:paraId="2FE7CB90" w14:textId="77777777" w:rsidR="0003308B" w:rsidRPr="000C1321" w:rsidRDefault="0003308B" w:rsidP="0003308B">
      <w:pPr>
        <w:tabs>
          <w:tab w:val="left" w:pos="142"/>
        </w:tabs>
        <w:rPr>
          <w:i/>
        </w:rPr>
      </w:pPr>
      <w:r w:rsidRPr="000C1321">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6A7931B8" w14:textId="77777777" w:rsidR="0003308B" w:rsidRPr="000C1321" w:rsidRDefault="0003308B" w:rsidP="0003308B">
      <w:pPr>
        <w:tabs>
          <w:tab w:val="left" w:pos="142"/>
        </w:tabs>
        <w:rPr>
          <w:i/>
        </w:rPr>
      </w:pPr>
    </w:p>
    <w:p w14:paraId="46755AF3" w14:textId="77777777" w:rsidR="0003308B" w:rsidRPr="000C1321" w:rsidRDefault="0003308B" w:rsidP="003B68DB">
      <w:pPr>
        <w:pStyle w:val="Prrafodelista"/>
        <w:numPr>
          <w:ilvl w:val="1"/>
          <w:numId w:val="127"/>
        </w:numPr>
        <w:tabs>
          <w:tab w:val="left" w:pos="142"/>
        </w:tabs>
        <w:contextualSpacing/>
        <w:rPr>
          <w:b/>
          <w:i/>
        </w:rPr>
      </w:pPr>
      <w:r w:rsidRPr="000C1321">
        <w:rPr>
          <w:b/>
        </w:rPr>
        <w:t>FACILIDADES PARA TRÁNSITO DE VEHÍCULOS Y PEATONES</w:t>
      </w:r>
    </w:p>
    <w:p w14:paraId="1F2F06D4" w14:textId="77777777" w:rsidR="0003308B" w:rsidRPr="000C1321" w:rsidRDefault="0003308B" w:rsidP="0003308B">
      <w:pPr>
        <w:tabs>
          <w:tab w:val="left" w:pos="142"/>
        </w:tabs>
        <w:rPr>
          <w:i/>
        </w:rPr>
      </w:pPr>
    </w:p>
    <w:p w14:paraId="6A25B1BA" w14:textId="77777777" w:rsidR="0003308B" w:rsidRPr="000C1321" w:rsidRDefault="0003308B" w:rsidP="0003308B">
      <w:pPr>
        <w:tabs>
          <w:tab w:val="left" w:pos="142"/>
        </w:tabs>
        <w:rPr>
          <w:i/>
        </w:rPr>
      </w:pPr>
      <w:r w:rsidRPr="000C1321">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43202E0C" w14:textId="77777777" w:rsidR="0003308B" w:rsidRPr="000C1321" w:rsidRDefault="0003308B" w:rsidP="0003308B">
      <w:pPr>
        <w:tabs>
          <w:tab w:val="left" w:pos="142"/>
        </w:tabs>
        <w:rPr>
          <w:i/>
        </w:rPr>
      </w:pPr>
    </w:p>
    <w:p w14:paraId="44935767" w14:textId="77777777" w:rsidR="0003308B" w:rsidRPr="000C1321" w:rsidRDefault="0003308B" w:rsidP="0003308B">
      <w:pPr>
        <w:tabs>
          <w:tab w:val="left" w:pos="142"/>
        </w:tabs>
        <w:rPr>
          <w:i/>
        </w:rPr>
      </w:pPr>
      <w:r w:rsidRPr="000C1321">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638CEA79" w14:textId="77777777" w:rsidR="0003308B" w:rsidRPr="000C1321" w:rsidRDefault="0003308B" w:rsidP="0003308B">
      <w:pPr>
        <w:tabs>
          <w:tab w:val="left" w:pos="142"/>
        </w:tabs>
        <w:rPr>
          <w:i/>
        </w:rPr>
      </w:pPr>
    </w:p>
    <w:p w14:paraId="300C1EEA" w14:textId="77777777" w:rsidR="0003308B" w:rsidRPr="000C1321" w:rsidRDefault="0003308B" w:rsidP="0003308B">
      <w:pPr>
        <w:tabs>
          <w:tab w:val="left" w:pos="142"/>
        </w:tabs>
        <w:rPr>
          <w:i/>
        </w:rPr>
      </w:pPr>
      <w:r w:rsidRPr="000C1321">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5C0AD39E" w14:textId="77777777" w:rsidR="0003308B" w:rsidRPr="000C1321" w:rsidRDefault="0003308B" w:rsidP="0003308B">
      <w:pPr>
        <w:tabs>
          <w:tab w:val="left" w:pos="142"/>
        </w:tabs>
        <w:rPr>
          <w:i/>
        </w:rPr>
      </w:pPr>
    </w:p>
    <w:p w14:paraId="266541B8" w14:textId="77777777" w:rsidR="0003308B" w:rsidRPr="000C1321" w:rsidRDefault="0003308B" w:rsidP="0003308B">
      <w:pPr>
        <w:tabs>
          <w:tab w:val="left" w:pos="142"/>
        </w:tabs>
        <w:rPr>
          <w:i/>
        </w:rPr>
      </w:pPr>
      <w:r w:rsidRPr="000C1321">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15970A36" w14:textId="77777777" w:rsidR="0003308B" w:rsidRPr="000C1321" w:rsidRDefault="0003308B" w:rsidP="0003308B">
      <w:pPr>
        <w:tabs>
          <w:tab w:val="left" w:pos="142"/>
        </w:tabs>
        <w:rPr>
          <w:i/>
        </w:rPr>
      </w:pPr>
    </w:p>
    <w:p w14:paraId="5E6F6F57" w14:textId="77777777" w:rsidR="0003308B" w:rsidRPr="000C1321" w:rsidRDefault="0003308B" w:rsidP="0003308B">
      <w:pPr>
        <w:tabs>
          <w:tab w:val="left" w:pos="142"/>
        </w:tabs>
        <w:rPr>
          <w:i/>
        </w:rPr>
      </w:pPr>
      <w:r w:rsidRPr="000C1321">
        <w:rPr>
          <w:b/>
        </w:rPr>
        <w:lastRenderedPageBreak/>
        <w:t>El Contratista</w:t>
      </w:r>
      <w:r w:rsidRPr="000C1321">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740F3F82" w14:textId="77777777" w:rsidR="0003308B" w:rsidRPr="000C1321" w:rsidRDefault="0003308B" w:rsidP="0003308B">
      <w:pPr>
        <w:tabs>
          <w:tab w:val="left" w:pos="142"/>
        </w:tabs>
        <w:rPr>
          <w:i/>
        </w:rPr>
      </w:pPr>
    </w:p>
    <w:p w14:paraId="08045571" w14:textId="77777777" w:rsidR="0003308B" w:rsidRPr="000C1321" w:rsidRDefault="0003308B" w:rsidP="0003308B">
      <w:pPr>
        <w:tabs>
          <w:tab w:val="left" w:pos="142"/>
        </w:tabs>
        <w:rPr>
          <w:i/>
        </w:rPr>
      </w:pPr>
      <w:r w:rsidRPr="000C1321">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294E833B" w14:textId="77777777" w:rsidR="0003308B" w:rsidRPr="000C1321" w:rsidRDefault="0003308B" w:rsidP="0003308B">
      <w:pPr>
        <w:tabs>
          <w:tab w:val="left" w:pos="142"/>
        </w:tabs>
        <w:rPr>
          <w:i/>
        </w:rPr>
      </w:pPr>
    </w:p>
    <w:p w14:paraId="440D243B" w14:textId="77777777" w:rsidR="0003308B" w:rsidRPr="000C1321" w:rsidRDefault="0003308B" w:rsidP="003B68DB">
      <w:pPr>
        <w:pStyle w:val="Prrafodelista"/>
        <w:numPr>
          <w:ilvl w:val="1"/>
          <w:numId w:val="127"/>
        </w:numPr>
        <w:tabs>
          <w:tab w:val="left" w:pos="142"/>
        </w:tabs>
        <w:contextualSpacing/>
        <w:rPr>
          <w:b/>
          <w:i/>
        </w:rPr>
      </w:pPr>
      <w:r w:rsidRPr="000C1321">
        <w:rPr>
          <w:b/>
        </w:rPr>
        <w:t>BARRICADAS, AVISOS PREVENTIVOS Y LUCES</w:t>
      </w:r>
      <w:r w:rsidRPr="000C1321">
        <w:rPr>
          <w:b/>
        </w:rPr>
        <w:cr/>
      </w:r>
    </w:p>
    <w:p w14:paraId="4733D54F" w14:textId="77777777" w:rsidR="0003308B" w:rsidRPr="000C1321" w:rsidRDefault="0003308B" w:rsidP="0003308B">
      <w:pPr>
        <w:tabs>
          <w:tab w:val="left" w:pos="142"/>
        </w:tabs>
        <w:rPr>
          <w:i/>
        </w:rPr>
      </w:pPr>
      <w:r w:rsidRPr="000C1321">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2A8B046D" w14:textId="77777777" w:rsidR="0003308B" w:rsidRPr="000C1321" w:rsidRDefault="0003308B" w:rsidP="0003308B">
      <w:pPr>
        <w:tabs>
          <w:tab w:val="left" w:pos="142"/>
        </w:tabs>
        <w:rPr>
          <w:i/>
        </w:rPr>
      </w:pPr>
    </w:p>
    <w:p w14:paraId="3235A370" w14:textId="77777777" w:rsidR="0003308B" w:rsidRPr="000C1321" w:rsidRDefault="0003308B" w:rsidP="0003308B">
      <w:pPr>
        <w:tabs>
          <w:tab w:val="left" w:pos="142"/>
        </w:tabs>
        <w:rPr>
          <w:i/>
        </w:rPr>
      </w:pPr>
      <w:r w:rsidRPr="000C1321">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4ECBD15C" w14:textId="77777777" w:rsidR="0003308B" w:rsidRPr="000C1321" w:rsidRDefault="0003308B" w:rsidP="0003308B">
      <w:pPr>
        <w:tabs>
          <w:tab w:val="left" w:pos="142"/>
        </w:tabs>
        <w:rPr>
          <w:i/>
        </w:rPr>
      </w:pPr>
    </w:p>
    <w:p w14:paraId="7C2B8FCF" w14:textId="77777777" w:rsidR="0003308B" w:rsidRPr="000C1321" w:rsidRDefault="0003308B" w:rsidP="0003308B">
      <w:pPr>
        <w:tabs>
          <w:tab w:val="left" w:pos="142"/>
        </w:tabs>
        <w:rPr>
          <w:i/>
        </w:rPr>
      </w:pPr>
      <w:r w:rsidRPr="000C1321">
        <w:t>Las luces podrán ser de batería o combustible, resistentes al viento y la lluvia, aprobadas por el Ingeniero. Todas las luces deberán permanecer encendidas desde media hora antes de la puesta del sol, hasta media hora después de la salida del mismo. Los vigilantes deberán efectuar el patrullaje que sea requerido y deberán reemplazar las luces que hagan falta.  Ninguna vía pública podrá ser cerrada sin el consentimiento por escrito de la autoridad competente.</w:t>
      </w:r>
    </w:p>
    <w:p w14:paraId="2E38ECCA" w14:textId="77777777" w:rsidR="0003308B" w:rsidRPr="000C1321" w:rsidRDefault="0003308B" w:rsidP="0003308B">
      <w:pPr>
        <w:tabs>
          <w:tab w:val="left" w:pos="142"/>
        </w:tabs>
        <w:rPr>
          <w:i/>
        </w:rPr>
      </w:pPr>
    </w:p>
    <w:p w14:paraId="58E0CD22" w14:textId="77777777" w:rsidR="0003308B" w:rsidRPr="000C1321" w:rsidRDefault="0003308B" w:rsidP="003B68DB">
      <w:pPr>
        <w:pStyle w:val="Prrafodelista"/>
        <w:numPr>
          <w:ilvl w:val="1"/>
          <w:numId w:val="127"/>
        </w:numPr>
        <w:tabs>
          <w:tab w:val="left" w:pos="142"/>
        </w:tabs>
        <w:contextualSpacing/>
        <w:rPr>
          <w:b/>
          <w:i/>
        </w:rPr>
      </w:pPr>
      <w:r w:rsidRPr="000C1321">
        <w:rPr>
          <w:b/>
        </w:rPr>
        <w:t>MATERIALES EQUIPO Y HERRAMIENTAS A SUMINISTRAR</w:t>
      </w:r>
    </w:p>
    <w:p w14:paraId="432A83B1" w14:textId="77777777" w:rsidR="0003308B" w:rsidRPr="000C1321" w:rsidRDefault="0003308B" w:rsidP="0003308B">
      <w:pPr>
        <w:tabs>
          <w:tab w:val="left" w:pos="142"/>
        </w:tabs>
        <w:rPr>
          <w:b/>
          <w:i/>
        </w:rPr>
      </w:pPr>
    </w:p>
    <w:p w14:paraId="510AFE2F" w14:textId="77777777" w:rsidR="0003308B" w:rsidRPr="000C1321" w:rsidRDefault="0003308B" w:rsidP="0003308B">
      <w:pPr>
        <w:tabs>
          <w:tab w:val="left" w:pos="142"/>
        </w:tabs>
        <w:rPr>
          <w:i/>
        </w:rPr>
      </w:pPr>
      <w:r w:rsidRPr="000C1321">
        <w:t>Todos los materiales y equipos requeridos para los trabajos comprendidos por este contrato serán suministrados por cuenta del contratista.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2DC62598" w14:textId="77777777" w:rsidR="0003308B" w:rsidRPr="000C1321" w:rsidRDefault="0003308B" w:rsidP="0003308B">
      <w:pPr>
        <w:tabs>
          <w:tab w:val="left" w:pos="142"/>
        </w:tabs>
        <w:rPr>
          <w:i/>
        </w:rPr>
      </w:pPr>
    </w:p>
    <w:p w14:paraId="259D0DDD"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PRIORIDAD DEL TRABAJO </w:t>
      </w:r>
    </w:p>
    <w:p w14:paraId="1529A25E" w14:textId="77777777" w:rsidR="0003308B" w:rsidRPr="000C1321" w:rsidRDefault="0003308B" w:rsidP="0003308B">
      <w:pPr>
        <w:tabs>
          <w:tab w:val="left" w:pos="142"/>
        </w:tabs>
        <w:rPr>
          <w:b/>
          <w:i/>
        </w:rPr>
      </w:pPr>
    </w:p>
    <w:p w14:paraId="7946A3C5" w14:textId="77777777" w:rsidR="0003308B" w:rsidRPr="000C1321" w:rsidRDefault="0003308B" w:rsidP="0003308B">
      <w:pPr>
        <w:tabs>
          <w:tab w:val="left" w:pos="142"/>
        </w:tabs>
        <w:rPr>
          <w:i/>
        </w:rPr>
      </w:pPr>
      <w:r w:rsidRPr="000C1321">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2605C28A" w14:textId="77777777" w:rsidR="0003308B" w:rsidRPr="000C1321" w:rsidRDefault="0003308B" w:rsidP="0003308B">
      <w:pPr>
        <w:tabs>
          <w:tab w:val="left" w:pos="142"/>
        </w:tabs>
        <w:rPr>
          <w:i/>
        </w:rPr>
      </w:pPr>
    </w:p>
    <w:p w14:paraId="4604F948" w14:textId="77777777" w:rsidR="0003308B" w:rsidRPr="000C1321" w:rsidRDefault="0003308B" w:rsidP="0003308B">
      <w:pPr>
        <w:tabs>
          <w:tab w:val="left" w:pos="142"/>
        </w:tabs>
        <w:rPr>
          <w:i/>
        </w:rPr>
      </w:pPr>
    </w:p>
    <w:p w14:paraId="47DC0E21" w14:textId="77777777" w:rsidR="0003308B" w:rsidRPr="000C1321" w:rsidRDefault="0003308B" w:rsidP="003B68DB">
      <w:pPr>
        <w:pStyle w:val="Prrafodelista"/>
        <w:numPr>
          <w:ilvl w:val="1"/>
          <w:numId w:val="127"/>
        </w:numPr>
        <w:tabs>
          <w:tab w:val="left" w:pos="142"/>
        </w:tabs>
        <w:contextualSpacing/>
        <w:rPr>
          <w:b/>
          <w:i/>
        </w:rPr>
      </w:pPr>
      <w:r w:rsidRPr="000C1321">
        <w:rPr>
          <w:b/>
        </w:rPr>
        <w:lastRenderedPageBreak/>
        <w:t xml:space="preserve">LIMPIEZA PERIÓDICA </w:t>
      </w:r>
    </w:p>
    <w:p w14:paraId="6016F30F" w14:textId="77777777" w:rsidR="0003308B" w:rsidRPr="000C1321" w:rsidRDefault="0003308B" w:rsidP="0003308B">
      <w:pPr>
        <w:tabs>
          <w:tab w:val="left" w:pos="142"/>
        </w:tabs>
        <w:rPr>
          <w:b/>
          <w:i/>
        </w:rPr>
      </w:pPr>
    </w:p>
    <w:p w14:paraId="6B7775F1" w14:textId="77777777" w:rsidR="0003308B" w:rsidRPr="000C1321" w:rsidRDefault="0003308B" w:rsidP="0003308B">
      <w:pPr>
        <w:tabs>
          <w:tab w:val="left" w:pos="142"/>
        </w:tabs>
        <w:rPr>
          <w:i/>
        </w:rPr>
      </w:pPr>
      <w:r w:rsidRPr="000C1321">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60F4832E" w14:textId="77777777" w:rsidR="0003308B" w:rsidRPr="000C1321" w:rsidRDefault="0003308B" w:rsidP="0003308B">
      <w:pPr>
        <w:tabs>
          <w:tab w:val="left" w:pos="142"/>
        </w:tabs>
        <w:rPr>
          <w:i/>
        </w:rPr>
      </w:pPr>
    </w:p>
    <w:p w14:paraId="1F595374"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RÓTULO</w:t>
      </w:r>
    </w:p>
    <w:p w14:paraId="40E35784" w14:textId="77777777" w:rsidR="0003308B" w:rsidRPr="000C1321" w:rsidRDefault="0003308B" w:rsidP="0003308B">
      <w:pPr>
        <w:tabs>
          <w:tab w:val="left" w:pos="142"/>
        </w:tabs>
        <w:rPr>
          <w:b/>
          <w:i/>
        </w:rPr>
      </w:pPr>
    </w:p>
    <w:p w14:paraId="6CA13CA4" w14:textId="77777777" w:rsidR="0003308B" w:rsidRPr="000C1321" w:rsidRDefault="0003308B" w:rsidP="0003308B">
      <w:pPr>
        <w:rPr>
          <w:i/>
        </w:rPr>
      </w:pPr>
      <w:r w:rsidRPr="000C1321">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00A049AE" w14:textId="77777777" w:rsidR="0003308B" w:rsidRPr="000C1321" w:rsidRDefault="0003308B" w:rsidP="0003308B">
      <w:pPr>
        <w:tabs>
          <w:tab w:val="left" w:pos="142"/>
        </w:tabs>
        <w:rPr>
          <w:i/>
        </w:rPr>
      </w:pPr>
    </w:p>
    <w:p w14:paraId="2037537B" w14:textId="77777777" w:rsidR="0003308B" w:rsidRPr="000C1321" w:rsidRDefault="0003308B" w:rsidP="0003308B">
      <w:pPr>
        <w:tabs>
          <w:tab w:val="left" w:pos="142"/>
        </w:tabs>
        <w:rPr>
          <w:i/>
        </w:rPr>
      </w:pPr>
    </w:p>
    <w:p w14:paraId="058A632A"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CONDICIONES GENERALES</w:t>
      </w:r>
    </w:p>
    <w:p w14:paraId="290AFA32" w14:textId="77777777" w:rsidR="0003308B" w:rsidRPr="000C1321" w:rsidRDefault="0003308B" w:rsidP="0003308B">
      <w:pPr>
        <w:tabs>
          <w:tab w:val="left" w:pos="142"/>
        </w:tabs>
        <w:rPr>
          <w:b/>
          <w:i/>
        </w:rPr>
      </w:pPr>
    </w:p>
    <w:p w14:paraId="252D0747" w14:textId="77777777" w:rsidR="0003308B" w:rsidRPr="000C1321" w:rsidRDefault="0003308B" w:rsidP="003B68DB">
      <w:pPr>
        <w:pStyle w:val="Prrafodelista"/>
        <w:numPr>
          <w:ilvl w:val="0"/>
          <w:numId w:val="128"/>
        </w:numPr>
        <w:tabs>
          <w:tab w:val="left" w:pos="142"/>
        </w:tabs>
        <w:ind w:left="284" w:firstLine="0"/>
        <w:contextualSpacing/>
        <w:rPr>
          <w:i/>
        </w:rPr>
      </w:pPr>
      <w:r w:rsidRPr="000C1321">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4B7CE5FA" w14:textId="77777777" w:rsidR="0003308B" w:rsidRPr="000C1321" w:rsidRDefault="0003308B" w:rsidP="0003308B">
      <w:pPr>
        <w:tabs>
          <w:tab w:val="left" w:pos="142"/>
        </w:tabs>
        <w:rPr>
          <w:i/>
        </w:rPr>
      </w:pPr>
    </w:p>
    <w:p w14:paraId="118F8C57" w14:textId="77777777" w:rsidR="0003308B" w:rsidRPr="000C1321" w:rsidRDefault="0003308B" w:rsidP="0003308B">
      <w:pPr>
        <w:tabs>
          <w:tab w:val="left" w:pos="142"/>
        </w:tabs>
        <w:ind w:left="284"/>
        <w:rPr>
          <w:i/>
        </w:rPr>
      </w:pPr>
      <w:r w:rsidRPr="000C1321">
        <w:t xml:space="preserve">B. Coordinación. Será responsabilidad de esta división la debida coordinación de los trabajos de mampostería con el de las otras artes tal como se expresa en las divisiones de Plomería, Electricidad, Aire Acondicionado, Ventanales, Puertas, Cielos, etc. </w:t>
      </w:r>
    </w:p>
    <w:p w14:paraId="4B079F9A" w14:textId="77777777" w:rsidR="0003308B" w:rsidRPr="000C1321" w:rsidRDefault="0003308B" w:rsidP="0003308B">
      <w:pPr>
        <w:tabs>
          <w:tab w:val="left" w:pos="142"/>
        </w:tabs>
        <w:rPr>
          <w:i/>
        </w:rPr>
      </w:pPr>
      <w:r w:rsidRPr="000C1321">
        <w:t xml:space="preserve">     </w:t>
      </w:r>
    </w:p>
    <w:p w14:paraId="7E82A10C" w14:textId="77777777" w:rsidR="0003308B" w:rsidRPr="000C1321" w:rsidRDefault="0003308B" w:rsidP="0003308B">
      <w:pPr>
        <w:tabs>
          <w:tab w:val="left" w:pos="142"/>
        </w:tabs>
        <w:ind w:left="284"/>
        <w:rPr>
          <w:i/>
        </w:rPr>
      </w:pPr>
      <w:r w:rsidRPr="000C1321">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74693BD9" w14:textId="77777777" w:rsidR="0003308B" w:rsidRPr="000C1321" w:rsidRDefault="0003308B" w:rsidP="0003308B">
      <w:pPr>
        <w:tabs>
          <w:tab w:val="left" w:pos="142"/>
        </w:tabs>
        <w:rPr>
          <w:i/>
        </w:rPr>
      </w:pPr>
    </w:p>
    <w:p w14:paraId="0429E2A8" w14:textId="77777777" w:rsidR="0003308B" w:rsidRPr="000C1321" w:rsidRDefault="0003308B" w:rsidP="0003308B">
      <w:pPr>
        <w:tabs>
          <w:tab w:val="left" w:pos="142"/>
        </w:tabs>
        <w:ind w:left="284"/>
        <w:rPr>
          <w:i/>
        </w:rPr>
      </w:pPr>
      <w:r w:rsidRPr="000C1321">
        <w:t>D.</w:t>
      </w:r>
      <w:r w:rsidRPr="000C1321">
        <w:tab/>
        <w:t xml:space="preserve">Los documentos del contrato, que incluyen planos y Especificaciones, son complementarios los unos con los otros, de modo que lo dicho en uno se entenderá como dicho en todos. </w:t>
      </w:r>
    </w:p>
    <w:p w14:paraId="55E8ED05" w14:textId="77777777" w:rsidR="0003308B" w:rsidRPr="000C1321" w:rsidRDefault="0003308B" w:rsidP="0003308B">
      <w:pPr>
        <w:tabs>
          <w:tab w:val="left" w:pos="142"/>
        </w:tabs>
        <w:ind w:left="284"/>
        <w:rPr>
          <w:i/>
        </w:rPr>
      </w:pPr>
    </w:p>
    <w:p w14:paraId="63D9B62D" w14:textId="77777777" w:rsidR="0003308B" w:rsidRPr="000C1321" w:rsidRDefault="0003308B" w:rsidP="0003308B">
      <w:pPr>
        <w:tabs>
          <w:tab w:val="left" w:pos="142"/>
        </w:tabs>
        <w:ind w:left="284"/>
        <w:rPr>
          <w:i/>
        </w:rPr>
      </w:pPr>
      <w:r w:rsidRPr="000C1321">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322EC2A0" w14:textId="77777777" w:rsidR="0003308B" w:rsidRPr="000C1321" w:rsidRDefault="0003308B" w:rsidP="0003308B">
      <w:pPr>
        <w:tabs>
          <w:tab w:val="left" w:pos="142"/>
        </w:tabs>
        <w:ind w:left="284"/>
        <w:rPr>
          <w:i/>
        </w:rPr>
      </w:pPr>
      <w:r w:rsidRPr="000C1321">
        <w:t xml:space="preserve"> </w:t>
      </w:r>
    </w:p>
    <w:p w14:paraId="46ED4BA4" w14:textId="77777777" w:rsidR="0003308B" w:rsidRPr="000C1321" w:rsidRDefault="0003308B" w:rsidP="0003308B">
      <w:pPr>
        <w:tabs>
          <w:tab w:val="left" w:pos="142"/>
        </w:tabs>
        <w:ind w:left="284"/>
        <w:rPr>
          <w:i/>
        </w:rPr>
      </w:pPr>
      <w:r w:rsidRPr="000C1321">
        <w:t xml:space="preserve">Si la contradicción fuere de orden mayor, deberá ser consultado al diseñador por medio del supervisor para la debida aclaración. Para lo que el  se encargara de solucionar este caso en un plazo no mayor de 10 días. </w:t>
      </w:r>
    </w:p>
    <w:p w14:paraId="187BB26A" w14:textId="77777777" w:rsidR="0003308B" w:rsidRPr="000C1321" w:rsidRDefault="0003308B" w:rsidP="0003308B">
      <w:pPr>
        <w:tabs>
          <w:tab w:val="left" w:pos="142"/>
        </w:tabs>
        <w:rPr>
          <w:i/>
        </w:rPr>
      </w:pPr>
    </w:p>
    <w:p w14:paraId="5C784C32" w14:textId="77777777" w:rsidR="0003308B" w:rsidRPr="000C1321" w:rsidRDefault="0003308B" w:rsidP="0003308B">
      <w:pPr>
        <w:tabs>
          <w:tab w:val="left" w:pos="142"/>
        </w:tabs>
        <w:ind w:left="284"/>
        <w:rPr>
          <w:i/>
        </w:rPr>
      </w:pPr>
      <w:r w:rsidRPr="000C1321">
        <w:t>E.</w:t>
      </w:r>
      <w:r w:rsidRPr="000C1321">
        <w:tab/>
        <w:t xml:space="preserve">Trabajo Requerido: El trabajo consiste en la preparación del sitio, excavación, relleno, terraplén, nivelación, como esta descrito en las especificaciones o indicado en los planos o razonablemente implicado en ellos. </w:t>
      </w:r>
    </w:p>
    <w:p w14:paraId="0E100324" w14:textId="77777777" w:rsidR="0003308B" w:rsidRPr="000C1321" w:rsidRDefault="0003308B" w:rsidP="0003308B">
      <w:pPr>
        <w:tabs>
          <w:tab w:val="left" w:pos="142"/>
        </w:tabs>
        <w:rPr>
          <w:i/>
        </w:rPr>
      </w:pPr>
    </w:p>
    <w:p w14:paraId="175541EA" w14:textId="77777777" w:rsidR="0003308B" w:rsidRPr="000C1321" w:rsidRDefault="0003308B" w:rsidP="0003308B">
      <w:pPr>
        <w:tabs>
          <w:tab w:val="left" w:pos="142"/>
        </w:tabs>
        <w:ind w:left="284"/>
        <w:rPr>
          <w:i/>
        </w:rPr>
      </w:pPr>
      <w:r w:rsidRPr="000C1321">
        <w:t>F.</w:t>
      </w:r>
      <w:r w:rsidRPr="000C1321">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3CCE6C93" w14:textId="77777777" w:rsidR="0003308B" w:rsidRPr="000C1321" w:rsidRDefault="0003308B" w:rsidP="0003308B">
      <w:pPr>
        <w:tabs>
          <w:tab w:val="left" w:pos="142"/>
        </w:tabs>
        <w:ind w:left="284"/>
        <w:rPr>
          <w:i/>
        </w:rPr>
      </w:pPr>
      <w:r w:rsidRPr="000C1321">
        <w:tab/>
      </w:r>
    </w:p>
    <w:p w14:paraId="56281094" w14:textId="77777777" w:rsidR="0003308B" w:rsidRPr="000C1321" w:rsidRDefault="0003308B" w:rsidP="0003308B">
      <w:pPr>
        <w:tabs>
          <w:tab w:val="left" w:pos="142"/>
        </w:tabs>
        <w:ind w:left="284"/>
        <w:rPr>
          <w:i/>
        </w:rPr>
      </w:pPr>
      <w:r w:rsidRPr="000C1321">
        <w:t xml:space="preserve">Árboles y arbustos localizados en el área de construcción deberán ser derribados, se extraerán troncos y raíces y serán rellenados los huecos. Escarbar o raspar a fin de quitar la maleza, raíces, grama suelta, capa vegetal en general. </w:t>
      </w:r>
    </w:p>
    <w:p w14:paraId="5A10DB0D" w14:textId="77777777" w:rsidR="0003308B" w:rsidRPr="000C1321" w:rsidRDefault="0003308B" w:rsidP="0003308B">
      <w:pPr>
        <w:tabs>
          <w:tab w:val="left" w:pos="142"/>
        </w:tabs>
        <w:rPr>
          <w:i/>
        </w:rPr>
      </w:pPr>
    </w:p>
    <w:p w14:paraId="53B06108" w14:textId="77777777" w:rsidR="0003308B" w:rsidRPr="000C1321" w:rsidRDefault="0003308B" w:rsidP="0003308B">
      <w:pPr>
        <w:tabs>
          <w:tab w:val="left" w:pos="142"/>
        </w:tabs>
        <w:ind w:left="284"/>
        <w:rPr>
          <w:i/>
        </w:rPr>
      </w:pPr>
      <w:r w:rsidRPr="000C1321">
        <w:t>G.</w:t>
      </w:r>
      <w:r w:rsidRPr="000C1321">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30874B8B" w14:textId="77777777" w:rsidR="0003308B" w:rsidRPr="000C1321" w:rsidRDefault="0003308B" w:rsidP="0003308B">
      <w:pPr>
        <w:tabs>
          <w:tab w:val="left" w:pos="142"/>
        </w:tabs>
        <w:rPr>
          <w:i/>
        </w:rPr>
      </w:pPr>
    </w:p>
    <w:p w14:paraId="5169F2F4" w14:textId="77777777" w:rsidR="0003308B" w:rsidRPr="000C1321" w:rsidRDefault="0003308B" w:rsidP="0003308B">
      <w:pPr>
        <w:tabs>
          <w:tab w:val="left" w:pos="142"/>
        </w:tabs>
        <w:ind w:left="284"/>
        <w:rPr>
          <w:i/>
        </w:rPr>
      </w:pPr>
      <w:r w:rsidRPr="000C1321">
        <w:t>H.</w:t>
      </w:r>
      <w:r w:rsidRPr="000C1321">
        <w:tab/>
        <w:t xml:space="preserve">Banco de Nivel: El contratista levantara todos los bancos de nivel, puntos de coordinación y estacas, las cuales deben ser preservados y mantenidas por cuenta del contratista; hasta que el supervisor crea conveniente mantenerlos. </w:t>
      </w:r>
    </w:p>
    <w:p w14:paraId="689A6436" w14:textId="77777777" w:rsidR="0003308B" w:rsidRPr="000C1321" w:rsidRDefault="0003308B" w:rsidP="0003308B">
      <w:pPr>
        <w:tabs>
          <w:tab w:val="left" w:pos="142"/>
        </w:tabs>
        <w:rPr>
          <w:i/>
        </w:rPr>
      </w:pPr>
    </w:p>
    <w:p w14:paraId="06036933" w14:textId="77777777" w:rsidR="0003308B" w:rsidRPr="000C1321" w:rsidRDefault="0003308B" w:rsidP="0003308B">
      <w:pPr>
        <w:tabs>
          <w:tab w:val="left" w:pos="142"/>
        </w:tabs>
        <w:ind w:left="284"/>
        <w:rPr>
          <w:i/>
        </w:rPr>
      </w:pPr>
      <w:r w:rsidRPr="000C1321">
        <w:t>I.</w:t>
      </w:r>
      <w:r w:rsidRPr="000C1321">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4BE78D7D" w14:textId="77777777" w:rsidR="0003308B" w:rsidRPr="000C1321" w:rsidRDefault="0003308B" w:rsidP="0003308B">
      <w:pPr>
        <w:tabs>
          <w:tab w:val="left" w:pos="142"/>
        </w:tabs>
        <w:rPr>
          <w:i/>
        </w:rPr>
      </w:pPr>
    </w:p>
    <w:p w14:paraId="0D2BC496" w14:textId="77777777" w:rsidR="0003308B" w:rsidRPr="000C1321" w:rsidRDefault="0003308B" w:rsidP="0003308B">
      <w:pPr>
        <w:tabs>
          <w:tab w:val="left" w:pos="142"/>
        </w:tabs>
        <w:ind w:left="284"/>
        <w:rPr>
          <w:i/>
        </w:rPr>
      </w:pPr>
      <w:r w:rsidRPr="000C1321">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63216F9A" w14:textId="77777777" w:rsidR="0003308B" w:rsidRPr="000C1321" w:rsidRDefault="0003308B" w:rsidP="0003308B">
      <w:pPr>
        <w:tabs>
          <w:tab w:val="left" w:pos="142"/>
        </w:tabs>
        <w:ind w:left="284"/>
        <w:rPr>
          <w:i/>
        </w:rPr>
      </w:pPr>
    </w:p>
    <w:p w14:paraId="14C3613B" w14:textId="77777777" w:rsidR="0003308B" w:rsidRPr="000C1321" w:rsidRDefault="0003308B" w:rsidP="0003308B">
      <w:pPr>
        <w:tabs>
          <w:tab w:val="left" w:pos="142"/>
        </w:tabs>
        <w:ind w:left="284"/>
        <w:rPr>
          <w:i/>
        </w:rPr>
      </w:pPr>
      <w:r w:rsidRPr="000C1321">
        <w:t xml:space="preserve">EL CONTRATISTA será responsable de proteger de daños todas las líneas, niveles y puntos de referencia y si se destruyen deberán ser reparados y repuestos por su cuenta. Se notificará a el supervisor, cuando el trazo este sustancialmente terminado y se procederá a la construcción hasta que haya sido aprobado. </w:t>
      </w:r>
    </w:p>
    <w:p w14:paraId="2675D8B2" w14:textId="77777777" w:rsidR="0003308B" w:rsidRPr="000C1321" w:rsidRDefault="0003308B" w:rsidP="0003308B">
      <w:pPr>
        <w:tabs>
          <w:tab w:val="left" w:pos="142"/>
        </w:tabs>
        <w:rPr>
          <w:i/>
        </w:rPr>
      </w:pPr>
    </w:p>
    <w:p w14:paraId="1206EA5A" w14:textId="77777777" w:rsidR="0003308B" w:rsidRPr="000C1321" w:rsidRDefault="0003308B" w:rsidP="0003308B">
      <w:pPr>
        <w:tabs>
          <w:tab w:val="left" w:pos="142"/>
        </w:tabs>
        <w:ind w:left="284"/>
        <w:rPr>
          <w:i/>
        </w:rPr>
      </w:pPr>
      <w:r w:rsidRPr="000C1321">
        <w:t>K. Nivelación: Toda la edificación se proyecta a un solo nivel interior.  Por tanto, una vez ubicado el proyecto, se asumirá el nivel promedio entre lados opuestos del área de construcción y se procederá a recortar el terreno alto y rellenar el terreno bajo en capas de 20 cms, compactadas hasta superar o igualar el grado 90% proctor.</w:t>
      </w:r>
    </w:p>
    <w:p w14:paraId="2E592F53" w14:textId="77777777" w:rsidR="0003308B" w:rsidRPr="000C1321" w:rsidRDefault="0003308B" w:rsidP="0003308B">
      <w:pPr>
        <w:tabs>
          <w:tab w:val="left" w:pos="142"/>
        </w:tabs>
        <w:rPr>
          <w:i/>
        </w:rPr>
      </w:pPr>
    </w:p>
    <w:p w14:paraId="2E795892" w14:textId="77777777" w:rsidR="0003308B" w:rsidRPr="000C1321" w:rsidRDefault="0003308B" w:rsidP="0003308B">
      <w:pPr>
        <w:tabs>
          <w:tab w:val="left" w:pos="142"/>
        </w:tabs>
        <w:ind w:left="284"/>
        <w:rPr>
          <w:i/>
        </w:rPr>
      </w:pPr>
      <w:r w:rsidRPr="000C1321">
        <w:t>L. La nivelación se extenderá alrededor de la construcción un ancho mínimo de 1 mt. La diferencia entre el nivel de piso interior y el nivel del terreno circundante no podrá ser mayor de 10 cms ó de acuerdo a la orientación del supervisor</w:t>
      </w:r>
    </w:p>
    <w:p w14:paraId="0047B594" w14:textId="77777777" w:rsidR="0003308B" w:rsidRPr="000C1321" w:rsidRDefault="0003308B" w:rsidP="0003308B">
      <w:pPr>
        <w:tabs>
          <w:tab w:val="left" w:pos="142"/>
        </w:tabs>
        <w:ind w:left="284"/>
        <w:rPr>
          <w:i/>
        </w:rPr>
      </w:pPr>
    </w:p>
    <w:p w14:paraId="5A0DAEC1" w14:textId="77777777" w:rsidR="0003308B" w:rsidRPr="000C1321" w:rsidRDefault="0003308B" w:rsidP="0003308B">
      <w:pPr>
        <w:tabs>
          <w:tab w:val="left" w:pos="142"/>
        </w:tabs>
        <w:ind w:left="284"/>
        <w:rPr>
          <w:i/>
        </w:rPr>
      </w:pPr>
      <w:r w:rsidRPr="000C1321">
        <w:lastRenderedPageBreak/>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59F60099" w14:textId="77777777" w:rsidR="0003308B" w:rsidRPr="000C1321" w:rsidRDefault="0003308B" w:rsidP="0003308B">
      <w:pPr>
        <w:tabs>
          <w:tab w:val="left" w:pos="142"/>
        </w:tabs>
        <w:rPr>
          <w:i/>
        </w:rPr>
      </w:pPr>
    </w:p>
    <w:p w14:paraId="4D81D7AE"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CERTIFICADOS</w:t>
      </w:r>
    </w:p>
    <w:p w14:paraId="093C0FD9" w14:textId="77777777" w:rsidR="0003308B" w:rsidRPr="000C1321" w:rsidRDefault="0003308B" w:rsidP="0003308B">
      <w:pPr>
        <w:tabs>
          <w:tab w:val="left" w:pos="142"/>
        </w:tabs>
        <w:rPr>
          <w:b/>
          <w:i/>
        </w:rPr>
      </w:pPr>
    </w:p>
    <w:p w14:paraId="60389EF1" w14:textId="77777777" w:rsidR="0003308B" w:rsidRPr="000C1321" w:rsidRDefault="0003308B" w:rsidP="0003308B">
      <w:pPr>
        <w:tabs>
          <w:tab w:val="left" w:pos="142"/>
        </w:tabs>
        <w:rPr>
          <w:i/>
        </w:rPr>
      </w:pPr>
      <w:r w:rsidRPr="000C1321">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77367CB5" w14:textId="77777777" w:rsidR="0003308B" w:rsidRPr="000C1321" w:rsidRDefault="0003308B" w:rsidP="0003308B">
      <w:pPr>
        <w:tabs>
          <w:tab w:val="left" w:pos="142"/>
        </w:tabs>
        <w:rPr>
          <w:i/>
        </w:rPr>
      </w:pPr>
    </w:p>
    <w:p w14:paraId="005B20F2" w14:textId="77777777" w:rsidR="0003308B" w:rsidRPr="000C1321" w:rsidRDefault="0003308B" w:rsidP="0003308B">
      <w:pPr>
        <w:tabs>
          <w:tab w:val="left" w:pos="142"/>
        </w:tabs>
        <w:rPr>
          <w:i/>
        </w:rPr>
      </w:pPr>
      <w:r w:rsidRPr="000C1321">
        <w:t>1.- Nombre y marca del producto y del manufacturero.</w:t>
      </w:r>
    </w:p>
    <w:p w14:paraId="430B9AB0" w14:textId="77777777" w:rsidR="0003308B" w:rsidRPr="000C1321" w:rsidRDefault="0003308B" w:rsidP="0003308B">
      <w:pPr>
        <w:tabs>
          <w:tab w:val="left" w:pos="142"/>
        </w:tabs>
        <w:rPr>
          <w:i/>
        </w:rPr>
      </w:pPr>
      <w:r w:rsidRPr="000C1321">
        <w:t>2.- Descripción de propiedades químicas y físicas del material y nombre del laboratorio o autoridad donde se obtuvo el dato.</w:t>
      </w:r>
    </w:p>
    <w:p w14:paraId="2F3A2350" w14:textId="77777777" w:rsidR="0003308B" w:rsidRPr="000C1321" w:rsidRDefault="0003308B" w:rsidP="0003308B">
      <w:pPr>
        <w:tabs>
          <w:tab w:val="left" w:pos="142"/>
        </w:tabs>
        <w:rPr>
          <w:i/>
        </w:rPr>
      </w:pPr>
      <w:r w:rsidRPr="000C1321">
        <w:t>3.- Fecha de la prueba. Si la declaración es original del manufacturero, El CONTRATISTA endosará a su nombre todo reclamo y someterá la declaración bajo su propio nombre.</w:t>
      </w:r>
    </w:p>
    <w:p w14:paraId="64697FF7" w14:textId="77777777" w:rsidR="0003308B" w:rsidRPr="000C1321" w:rsidRDefault="0003308B" w:rsidP="0003308B">
      <w:pPr>
        <w:tabs>
          <w:tab w:val="left" w:pos="142"/>
        </w:tabs>
        <w:rPr>
          <w:i/>
        </w:rPr>
      </w:pPr>
    </w:p>
    <w:p w14:paraId="3E5F00A5"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APROBACIÓN DE MATERIALES</w:t>
      </w:r>
    </w:p>
    <w:p w14:paraId="5DA89295" w14:textId="77777777" w:rsidR="0003308B" w:rsidRPr="000C1321" w:rsidRDefault="0003308B" w:rsidP="0003308B">
      <w:pPr>
        <w:tabs>
          <w:tab w:val="left" w:pos="142"/>
        </w:tabs>
        <w:rPr>
          <w:b/>
          <w:i/>
        </w:rPr>
      </w:pPr>
    </w:p>
    <w:p w14:paraId="270C3366" w14:textId="77777777" w:rsidR="0003308B" w:rsidRPr="000C1321" w:rsidRDefault="0003308B" w:rsidP="0003308B">
      <w:pPr>
        <w:tabs>
          <w:tab w:val="left" w:pos="142"/>
        </w:tabs>
        <w:rPr>
          <w:i/>
        </w:rPr>
      </w:pPr>
      <w:r w:rsidRPr="000C1321">
        <w:t xml:space="preserve">Todo material, equipo, métodos y accesorios que fueren parte del trabajo quedarán sujetos a la aprobación o desaprobación del Supervisor, él tiene la opción de requerir pruebas de laboratorio de muestras sometidas para su aprobación o a su discreción, aprobar materiales basándose en el dato y muestras sometidas. </w:t>
      </w:r>
    </w:p>
    <w:p w14:paraId="1A1C9EA8" w14:textId="77777777" w:rsidR="0003308B" w:rsidRPr="000C1321" w:rsidRDefault="0003308B" w:rsidP="0003308B">
      <w:pPr>
        <w:tabs>
          <w:tab w:val="left" w:pos="142"/>
        </w:tabs>
        <w:rPr>
          <w:i/>
        </w:rPr>
      </w:pPr>
    </w:p>
    <w:p w14:paraId="56FF5B43" w14:textId="77777777" w:rsidR="0003308B" w:rsidRPr="000C1321" w:rsidRDefault="0003308B" w:rsidP="0003308B">
      <w:pPr>
        <w:tabs>
          <w:tab w:val="left" w:pos="142"/>
        </w:tabs>
        <w:rPr>
          <w:i/>
        </w:rPr>
      </w:pPr>
      <w:r w:rsidRPr="000C1321">
        <w:t xml:space="preserve">La aprobación de cualquier material o producto no constituirá renuncia del derecho del INSPECTOR para demandar el completo incumplimiento de los requisitos del Contrato.  </w:t>
      </w:r>
    </w:p>
    <w:p w14:paraId="1D5CF714" w14:textId="77777777" w:rsidR="0003308B" w:rsidRPr="000C1321" w:rsidRDefault="0003308B" w:rsidP="0003308B">
      <w:pPr>
        <w:tabs>
          <w:tab w:val="left" w:pos="142"/>
        </w:tabs>
        <w:rPr>
          <w:i/>
        </w:rPr>
      </w:pPr>
    </w:p>
    <w:p w14:paraId="127F76A9" w14:textId="77777777" w:rsidR="0003308B" w:rsidRPr="000C1321" w:rsidRDefault="0003308B" w:rsidP="0003308B">
      <w:pPr>
        <w:tabs>
          <w:tab w:val="left" w:pos="142"/>
        </w:tabs>
        <w:rPr>
          <w:i/>
        </w:rPr>
      </w:pPr>
      <w:r w:rsidRPr="000C1321">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3EF7F44E" w14:textId="77777777" w:rsidR="0003308B" w:rsidRPr="000C1321" w:rsidRDefault="0003308B" w:rsidP="0003308B">
      <w:pPr>
        <w:tabs>
          <w:tab w:val="left" w:pos="142"/>
        </w:tabs>
        <w:rPr>
          <w:i/>
        </w:rPr>
      </w:pPr>
    </w:p>
    <w:p w14:paraId="4964360B"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RECHAZO DE MATERIALES</w:t>
      </w:r>
    </w:p>
    <w:p w14:paraId="247A1871" w14:textId="77777777" w:rsidR="0003308B" w:rsidRPr="000C1321" w:rsidRDefault="0003308B" w:rsidP="0003308B">
      <w:pPr>
        <w:tabs>
          <w:tab w:val="left" w:pos="142"/>
        </w:tabs>
        <w:rPr>
          <w:i/>
        </w:rPr>
      </w:pPr>
    </w:p>
    <w:p w14:paraId="7B0875B9" w14:textId="77777777" w:rsidR="0003308B" w:rsidRPr="000C1321" w:rsidRDefault="0003308B" w:rsidP="0003308B">
      <w:pPr>
        <w:tabs>
          <w:tab w:val="left" w:pos="142"/>
        </w:tabs>
        <w:rPr>
          <w:i/>
        </w:rPr>
      </w:pPr>
      <w:r w:rsidRPr="000C1321">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0E992FC6" w14:textId="77777777" w:rsidR="0003308B" w:rsidRPr="000C1321" w:rsidRDefault="0003308B" w:rsidP="0003308B">
      <w:pPr>
        <w:tabs>
          <w:tab w:val="left" w:pos="142"/>
        </w:tabs>
        <w:rPr>
          <w:i/>
        </w:rPr>
      </w:pPr>
    </w:p>
    <w:p w14:paraId="25CA7242" w14:textId="77777777" w:rsidR="0003308B" w:rsidRPr="000C1321" w:rsidRDefault="0003308B" w:rsidP="0003308B">
      <w:pPr>
        <w:tabs>
          <w:tab w:val="left" w:pos="142"/>
        </w:tabs>
        <w:rPr>
          <w:i/>
        </w:rPr>
      </w:pPr>
      <w:r w:rsidRPr="000C1321">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628E11B6" w14:textId="77777777" w:rsidR="0003308B" w:rsidRPr="000C1321" w:rsidRDefault="0003308B" w:rsidP="0003308B">
      <w:pPr>
        <w:pStyle w:val="Prrafodelista"/>
        <w:tabs>
          <w:tab w:val="left" w:pos="142"/>
        </w:tabs>
        <w:rPr>
          <w:b/>
          <w:i/>
        </w:rPr>
      </w:pPr>
    </w:p>
    <w:p w14:paraId="7F4A54BF" w14:textId="77777777" w:rsidR="0003308B" w:rsidRPr="000C1321" w:rsidRDefault="0003308B" w:rsidP="003B68DB">
      <w:pPr>
        <w:pStyle w:val="Prrafodelista"/>
        <w:numPr>
          <w:ilvl w:val="1"/>
          <w:numId w:val="127"/>
        </w:numPr>
        <w:tabs>
          <w:tab w:val="left" w:pos="142"/>
        </w:tabs>
        <w:contextualSpacing/>
        <w:rPr>
          <w:b/>
          <w:i/>
        </w:rPr>
      </w:pPr>
      <w:r w:rsidRPr="000C1321">
        <w:rPr>
          <w:b/>
        </w:rPr>
        <w:t>FORMA PARA PRESENTAR MUESTRAS</w:t>
      </w:r>
    </w:p>
    <w:p w14:paraId="61A21739" w14:textId="77777777" w:rsidR="0003308B" w:rsidRPr="000C1321" w:rsidRDefault="0003308B" w:rsidP="0003308B">
      <w:pPr>
        <w:pStyle w:val="Prrafodelista"/>
        <w:tabs>
          <w:tab w:val="left" w:pos="142"/>
        </w:tabs>
        <w:rPr>
          <w:b/>
          <w:i/>
        </w:rPr>
      </w:pPr>
    </w:p>
    <w:p w14:paraId="2261DF05" w14:textId="77777777" w:rsidR="0003308B" w:rsidRPr="000C1321" w:rsidRDefault="0003308B" w:rsidP="0003308B">
      <w:pPr>
        <w:pStyle w:val="Prrafodelista"/>
        <w:tabs>
          <w:tab w:val="left" w:pos="142"/>
        </w:tabs>
        <w:ind w:left="0"/>
        <w:rPr>
          <w:i/>
        </w:rPr>
      </w:pPr>
      <w:r w:rsidRPr="000C1321">
        <w:lastRenderedPageBreak/>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1FB57937" w14:textId="77777777" w:rsidR="0003308B" w:rsidRPr="000C1321" w:rsidRDefault="0003308B" w:rsidP="0003308B">
      <w:pPr>
        <w:pStyle w:val="Prrafodelista"/>
        <w:tabs>
          <w:tab w:val="left" w:pos="142"/>
        </w:tabs>
        <w:ind w:left="0"/>
        <w:rPr>
          <w:b/>
          <w:i/>
        </w:rPr>
      </w:pPr>
    </w:p>
    <w:p w14:paraId="0FF807E1"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CAMBIO EN LAS ESPECIFICACIONES</w:t>
      </w:r>
    </w:p>
    <w:p w14:paraId="3952EE7F" w14:textId="77777777" w:rsidR="0003308B" w:rsidRPr="000C1321" w:rsidRDefault="0003308B" w:rsidP="0003308B">
      <w:pPr>
        <w:pStyle w:val="Prrafodelista"/>
        <w:tabs>
          <w:tab w:val="left" w:pos="142"/>
        </w:tabs>
        <w:rPr>
          <w:i/>
        </w:rPr>
      </w:pPr>
    </w:p>
    <w:p w14:paraId="3D945AF9" w14:textId="77777777" w:rsidR="0003308B" w:rsidRPr="000C1321" w:rsidRDefault="0003308B" w:rsidP="0003308B">
      <w:pPr>
        <w:rPr>
          <w:i/>
        </w:rPr>
      </w:pPr>
      <w:r w:rsidRPr="000C1321">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7F72DE51" w14:textId="77777777" w:rsidR="0003308B" w:rsidRPr="000C1321" w:rsidRDefault="0003308B" w:rsidP="0003308B">
      <w:pPr>
        <w:pStyle w:val="Prrafodelista"/>
        <w:tabs>
          <w:tab w:val="left" w:pos="142"/>
        </w:tabs>
        <w:rPr>
          <w:b/>
          <w:i/>
        </w:rPr>
      </w:pPr>
    </w:p>
    <w:p w14:paraId="74C7BDC9" w14:textId="77777777" w:rsidR="0003308B" w:rsidRPr="000C1321" w:rsidRDefault="0003308B" w:rsidP="003B68DB">
      <w:pPr>
        <w:pStyle w:val="Prrafodelista"/>
        <w:numPr>
          <w:ilvl w:val="1"/>
          <w:numId w:val="127"/>
        </w:numPr>
        <w:tabs>
          <w:tab w:val="left" w:pos="142"/>
        </w:tabs>
        <w:contextualSpacing/>
        <w:rPr>
          <w:b/>
          <w:i/>
        </w:rPr>
      </w:pPr>
      <w:r w:rsidRPr="000C1321">
        <w:rPr>
          <w:b/>
        </w:rPr>
        <w:t xml:space="preserve"> MATERIALES NO ESPECIFICADOS POR MARCA O SIMILITUD</w:t>
      </w:r>
    </w:p>
    <w:p w14:paraId="2DC8CBAC" w14:textId="77777777" w:rsidR="0003308B" w:rsidRPr="000C1321" w:rsidRDefault="0003308B" w:rsidP="0003308B">
      <w:pPr>
        <w:pStyle w:val="Prrafodelista"/>
        <w:tabs>
          <w:tab w:val="left" w:pos="142"/>
        </w:tabs>
        <w:rPr>
          <w:i/>
        </w:rPr>
      </w:pPr>
    </w:p>
    <w:p w14:paraId="0B3A3E82" w14:textId="77777777" w:rsidR="0003308B" w:rsidRPr="000C1321" w:rsidRDefault="0003308B" w:rsidP="0003308B">
      <w:pPr>
        <w:rPr>
          <w:i/>
        </w:rPr>
      </w:pPr>
      <w:r w:rsidRPr="000C1321">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547CBD78" w14:textId="77777777" w:rsidR="0003308B" w:rsidRPr="000C1321" w:rsidRDefault="0003308B" w:rsidP="0003308B">
      <w:pPr>
        <w:rPr>
          <w:i/>
        </w:rPr>
      </w:pPr>
    </w:p>
    <w:p w14:paraId="507D7FEE" w14:textId="77777777" w:rsidR="0003308B" w:rsidRPr="000C1321" w:rsidRDefault="0003308B" w:rsidP="003B68DB">
      <w:pPr>
        <w:pStyle w:val="Prrafodelista"/>
        <w:numPr>
          <w:ilvl w:val="1"/>
          <w:numId w:val="127"/>
        </w:numPr>
        <w:contextualSpacing/>
        <w:rPr>
          <w:b/>
          <w:i/>
        </w:rPr>
      </w:pPr>
      <w:r w:rsidRPr="000C1321">
        <w:rPr>
          <w:b/>
        </w:rPr>
        <w:t xml:space="preserve"> MATERIALES ESPECIFICADOS PO MARCA O SIMILITUD</w:t>
      </w:r>
    </w:p>
    <w:p w14:paraId="79A1B768" w14:textId="77777777" w:rsidR="0003308B" w:rsidRPr="000C1321" w:rsidRDefault="0003308B" w:rsidP="0003308B">
      <w:pPr>
        <w:pStyle w:val="Prrafodelista"/>
        <w:tabs>
          <w:tab w:val="left" w:pos="142"/>
        </w:tabs>
        <w:rPr>
          <w:b/>
          <w:i/>
        </w:rPr>
      </w:pPr>
    </w:p>
    <w:p w14:paraId="4C060AD7" w14:textId="77777777" w:rsidR="0003308B" w:rsidRPr="000C1321" w:rsidRDefault="0003308B" w:rsidP="0003308B">
      <w:pPr>
        <w:pStyle w:val="Prrafodelista"/>
        <w:tabs>
          <w:tab w:val="left" w:pos="142"/>
        </w:tabs>
        <w:ind w:left="0"/>
        <w:rPr>
          <w:i/>
        </w:rPr>
      </w:pPr>
      <w:r w:rsidRPr="000C1321">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1EDAAFE7" w14:textId="77777777" w:rsidR="0003308B" w:rsidRPr="000C1321" w:rsidRDefault="0003308B" w:rsidP="0003308B">
      <w:pPr>
        <w:tabs>
          <w:tab w:val="left" w:pos="142"/>
        </w:tabs>
        <w:rPr>
          <w:i/>
        </w:rPr>
      </w:pPr>
    </w:p>
    <w:p w14:paraId="469AE392" w14:textId="77777777" w:rsidR="0003308B" w:rsidRPr="000C1321" w:rsidRDefault="0003308B" w:rsidP="003B68DB">
      <w:pPr>
        <w:pStyle w:val="Prrafodelista"/>
        <w:keepNext/>
        <w:numPr>
          <w:ilvl w:val="0"/>
          <w:numId w:val="127"/>
        </w:numPr>
        <w:tabs>
          <w:tab w:val="left" w:pos="142"/>
        </w:tabs>
        <w:ind w:left="426" w:right="-516" w:firstLine="0"/>
        <w:contextualSpacing/>
        <w:outlineLvl w:val="1"/>
        <w:rPr>
          <w:b/>
          <w:bCs/>
          <w:i/>
          <w:iCs/>
        </w:rPr>
      </w:pPr>
      <w:r w:rsidRPr="000C1321">
        <w:rPr>
          <w:b/>
          <w:bCs/>
          <w:iCs/>
        </w:rPr>
        <w:t xml:space="preserve"> ESPECIFICACIONES TÉCNICAS GENERALES PARA LA CONSTRUCCIÓN DE LETRINAS </w:t>
      </w:r>
    </w:p>
    <w:p w14:paraId="3F1929C9" w14:textId="77777777" w:rsidR="0003308B" w:rsidRPr="000C1321" w:rsidRDefault="0003308B" w:rsidP="0003308B">
      <w:pPr>
        <w:tabs>
          <w:tab w:val="left" w:pos="142"/>
        </w:tabs>
        <w:ind w:left="-567"/>
        <w:rPr>
          <w:b/>
          <w:i/>
        </w:rPr>
      </w:pPr>
    </w:p>
    <w:p w14:paraId="4364E461"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LOCALIZACIÓN DE SITIOS DONDE SE CONSTRUIRÁN LAS LETRINAS</w:t>
      </w:r>
    </w:p>
    <w:p w14:paraId="109A2758" w14:textId="77777777" w:rsidR="0003308B" w:rsidRPr="000C1321" w:rsidRDefault="0003308B" w:rsidP="0003308B">
      <w:pPr>
        <w:tabs>
          <w:tab w:val="left" w:pos="142"/>
        </w:tabs>
        <w:ind w:left="-567"/>
        <w:rPr>
          <w:i/>
          <w:lang w:eastAsia="es-NI"/>
        </w:rPr>
      </w:pPr>
    </w:p>
    <w:p w14:paraId="04E4271A"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Estas obras se realizarán en los predios de cada una de las viviendas que integran el proyecto y para lo cual se deberán tomas los aspectos generales siguientes:</w:t>
      </w:r>
    </w:p>
    <w:p w14:paraId="3FBCB28A" w14:textId="77777777" w:rsidR="0003308B" w:rsidRPr="000C1321" w:rsidRDefault="0003308B" w:rsidP="0003308B">
      <w:pPr>
        <w:tabs>
          <w:tab w:val="left" w:pos="142"/>
        </w:tabs>
        <w:autoSpaceDE w:val="0"/>
        <w:autoSpaceDN w:val="0"/>
        <w:adjustRightInd w:val="0"/>
        <w:rPr>
          <w:i/>
          <w:lang w:val="es-NI" w:eastAsia="es-NI"/>
        </w:rPr>
      </w:pPr>
    </w:p>
    <w:p w14:paraId="451A2469"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t>Localización y ubicación del terreno, el cual debe tener las condiciones de permanecer seco y/o libres de inundaciones.</w:t>
      </w:r>
    </w:p>
    <w:p w14:paraId="16F3A68A"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t>En terrenos con pendientes altas la letrina se localizará en las partes más bajas.</w:t>
      </w:r>
    </w:p>
    <w:p w14:paraId="1C48C02C"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t>La distancia mínima entre la letrina y cualquier fuente de abastecimiento de agua, será de 20.00 m., o fuera del predio donde se construirá.</w:t>
      </w:r>
    </w:p>
    <w:p w14:paraId="2E0108C4"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t>La distancia mínima vertical entre el fondo de la fosa y el nivel freático será de 3.00 m.</w:t>
      </w:r>
    </w:p>
    <w:p w14:paraId="78BA0431"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t>La distancia entre la casa y la letrina será de 5.00 m como mínimo.</w:t>
      </w:r>
    </w:p>
    <w:p w14:paraId="133FC676"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lastRenderedPageBreak/>
        <w:t>Deberá considerarse la dirección del viento al ubicar la letrina a sotavento de la vivienda.</w:t>
      </w:r>
    </w:p>
    <w:p w14:paraId="10AD5DAF" w14:textId="77777777" w:rsidR="0003308B" w:rsidRPr="000C1321" w:rsidRDefault="0003308B" w:rsidP="003B68DB">
      <w:pPr>
        <w:pStyle w:val="Prrafodelista"/>
        <w:numPr>
          <w:ilvl w:val="0"/>
          <w:numId w:val="129"/>
        </w:numPr>
        <w:tabs>
          <w:tab w:val="left" w:pos="142"/>
        </w:tabs>
        <w:autoSpaceDE w:val="0"/>
        <w:autoSpaceDN w:val="0"/>
        <w:adjustRightInd w:val="0"/>
        <w:contextualSpacing/>
        <w:rPr>
          <w:i/>
          <w:lang w:val="es-NI" w:eastAsia="es-NI"/>
        </w:rPr>
      </w:pPr>
      <w:r w:rsidRPr="000C1321">
        <w:rPr>
          <w:lang w:val="es-NI" w:eastAsia="es-NI"/>
        </w:rPr>
        <w:t>En terrenos inestables, para evitar derrumbes durante la excavación, será necesario ademar las paredes de la fosa con material local.</w:t>
      </w:r>
    </w:p>
    <w:p w14:paraId="65EFBA9E" w14:textId="77777777" w:rsidR="0003308B" w:rsidRPr="000C1321" w:rsidRDefault="0003308B" w:rsidP="0003308B">
      <w:pPr>
        <w:tabs>
          <w:tab w:val="left" w:pos="142"/>
        </w:tabs>
        <w:autoSpaceDE w:val="0"/>
        <w:autoSpaceDN w:val="0"/>
        <w:adjustRightInd w:val="0"/>
        <w:ind w:left="-567"/>
        <w:rPr>
          <w:i/>
          <w:lang w:val="es-NI" w:eastAsia="es-NI"/>
        </w:rPr>
      </w:pPr>
    </w:p>
    <w:p w14:paraId="38D73A82"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MATERIALES</w:t>
      </w:r>
    </w:p>
    <w:p w14:paraId="33EC516A" w14:textId="77777777" w:rsidR="0003308B" w:rsidRPr="000C1321" w:rsidRDefault="0003308B" w:rsidP="0003308B">
      <w:pPr>
        <w:pStyle w:val="Prrafodelista"/>
        <w:keepNext/>
        <w:tabs>
          <w:tab w:val="left" w:pos="142"/>
        </w:tabs>
        <w:ind w:left="0" w:right="-516"/>
        <w:outlineLvl w:val="1"/>
        <w:rPr>
          <w:b/>
          <w:bCs/>
          <w:i/>
          <w:iCs/>
        </w:rPr>
      </w:pPr>
    </w:p>
    <w:p w14:paraId="0BFC0E3A" w14:textId="77777777" w:rsidR="0003308B" w:rsidRPr="000C1321" w:rsidRDefault="0003308B" w:rsidP="003B68DB">
      <w:pPr>
        <w:pStyle w:val="Prrafodelista"/>
        <w:keepNext/>
        <w:numPr>
          <w:ilvl w:val="0"/>
          <w:numId w:val="132"/>
        </w:numPr>
        <w:tabs>
          <w:tab w:val="left" w:pos="142"/>
        </w:tabs>
        <w:ind w:right="-516"/>
        <w:contextualSpacing/>
        <w:outlineLvl w:val="1"/>
        <w:rPr>
          <w:b/>
          <w:bCs/>
          <w:i/>
          <w:iCs/>
        </w:rPr>
      </w:pPr>
      <w:r w:rsidRPr="000C1321">
        <w:rPr>
          <w:lang w:val="es-NI" w:eastAsia="es-NI"/>
        </w:rPr>
        <w:t>El forro de las paredes de la opción básica será zinc liso calibre 28 standard, fijado con tornillos golosos de buena calidad, cabeza plana ranurada.</w:t>
      </w:r>
    </w:p>
    <w:p w14:paraId="5FBA7BD1" w14:textId="77777777" w:rsidR="0003308B" w:rsidRPr="000C1321" w:rsidRDefault="0003308B" w:rsidP="0003308B">
      <w:pPr>
        <w:tabs>
          <w:tab w:val="left" w:pos="142"/>
        </w:tabs>
        <w:autoSpaceDE w:val="0"/>
        <w:autoSpaceDN w:val="0"/>
        <w:adjustRightInd w:val="0"/>
        <w:rPr>
          <w:i/>
          <w:lang w:val="es-NI" w:eastAsia="es-NI"/>
        </w:rPr>
      </w:pPr>
    </w:p>
    <w:p w14:paraId="102CFC56" w14:textId="77777777" w:rsidR="0003308B" w:rsidRPr="000C1321" w:rsidRDefault="0003308B" w:rsidP="003B68DB">
      <w:pPr>
        <w:pStyle w:val="Prrafodelista"/>
        <w:numPr>
          <w:ilvl w:val="0"/>
          <w:numId w:val="132"/>
        </w:numPr>
        <w:tabs>
          <w:tab w:val="left" w:pos="142"/>
        </w:tabs>
        <w:autoSpaceDE w:val="0"/>
        <w:autoSpaceDN w:val="0"/>
        <w:adjustRightInd w:val="0"/>
        <w:contextualSpacing/>
        <w:rPr>
          <w:i/>
          <w:lang w:val="es-NI" w:eastAsia="es-NI"/>
        </w:rPr>
      </w:pPr>
      <w:r w:rsidRPr="000C1321">
        <w:rPr>
          <w:lang w:val="es-NI" w:eastAsia="es-NI"/>
        </w:rPr>
        <w:t>Para la cubierta de techo será zinc corrugado calibre 28 standard, fijado con tornillo goloso para zinc con arandela de neopreno.</w:t>
      </w:r>
    </w:p>
    <w:p w14:paraId="28D928F0" w14:textId="77777777" w:rsidR="0003308B" w:rsidRPr="000C1321" w:rsidRDefault="0003308B" w:rsidP="0003308B">
      <w:pPr>
        <w:tabs>
          <w:tab w:val="left" w:pos="142"/>
        </w:tabs>
        <w:autoSpaceDE w:val="0"/>
        <w:autoSpaceDN w:val="0"/>
        <w:adjustRightInd w:val="0"/>
        <w:rPr>
          <w:i/>
          <w:lang w:val="es-NI" w:eastAsia="es-NI"/>
        </w:rPr>
      </w:pPr>
    </w:p>
    <w:p w14:paraId="2E0453C8" w14:textId="77777777" w:rsidR="0003308B" w:rsidRPr="000C1321" w:rsidRDefault="0003308B" w:rsidP="003B68DB">
      <w:pPr>
        <w:pStyle w:val="Prrafodelista"/>
        <w:numPr>
          <w:ilvl w:val="0"/>
          <w:numId w:val="132"/>
        </w:numPr>
        <w:tabs>
          <w:tab w:val="left" w:pos="142"/>
        </w:tabs>
        <w:autoSpaceDE w:val="0"/>
        <w:autoSpaceDN w:val="0"/>
        <w:adjustRightInd w:val="0"/>
        <w:contextualSpacing/>
        <w:rPr>
          <w:i/>
          <w:lang w:val="es-NI" w:eastAsia="es-NI"/>
        </w:rPr>
      </w:pPr>
      <w:r w:rsidRPr="000C1321">
        <w:rPr>
          <w:lang w:val="es-NI" w:eastAsia="es-NI"/>
        </w:rPr>
        <w:t>Las estructuras de las casetas y la estructura del techo serán de acuerdo a dimensiones reflejadas en planos.</w:t>
      </w:r>
    </w:p>
    <w:p w14:paraId="770EFC44" w14:textId="77777777" w:rsidR="0003308B" w:rsidRPr="000C1321" w:rsidRDefault="0003308B" w:rsidP="0003308B">
      <w:pPr>
        <w:tabs>
          <w:tab w:val="left" w:pos="142"/>
        </w:tabs>
        <w:autoSpaceDE w:val="0"/>
        <w:autoSpaceDN w:val="0"/>
        <w:adjustRightInd w:val="0"/>
        <w:rPr>
          <w:i/>
          <w:lang w:val="es-NI" w:eastAsia="es-NI"/>
        </w:rPr>
      </w:pPr>
    </w:p>
    <w:p w14:paraId="14F0AA07" w14:textId="77777777" w:rsidR="0003308B" w:rsidRPr="000C1321" w:rsidRDefault="0003308B" w:rsidP="003B68DB">
      <w:pPr>
        <w:pStyle w:val="Prrafodelista"/>
        <w:numPr>
          <w:ilvl w:val="0"/>
          <w:numId w:val="132"/>
        </w:numPr>
        <w:tabs>
          <w:tab w:val="left" w:pos="142"/>
        </w:tabs>
        <w:autoSpaceDE w:val="0"/>
        <w:autoSpaceDN w:val="0"/>
        <w:adjustRightInd w:val="0"/>
        <w:contextualSpacing/>
        <w:rPr>
          <w:i/>
          <w:lang w:val="es-NI" w:eastAsia="es-NI"/>
        </w:rPr>
      </w:pPr>
      <w:r w:rsidRPr="000C1321">
        <w:rPr>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6FB7829E" w14:textId="77777777" w:rsidR="0003308B" w:rsidRPr="000C1321" w:rsidRDefault="0003308B" w:rsidP="0003308B">
      <w:pPr>
        <w:tabs>
          <w:tab w:val="left" w:pos="142"/>
        </w:tabs>
        <w:autoSpaceDE w:val="0"/>
        <w:autoSpaceDN w:val="0"/>
        <w:adjustRightInd w:val="0"/>
        <w:rPr>
          <w:i/>
          <w:lang w:val="es-NI" w:eastAsia="es-NI"/>
        </w:rPr>
      </w:pPr>
    </w:p>
    <w:p w14:paraId="6E1ACA73" w14:textId="77777777" w:rsidR="0003308B" w:rsidRPr="000C1321" w:rsidRDefault="0003308B" w:rsidP="003B68DB">
      <w:pPr>
        <w:pStyle w:val="Prrafodelista"/>
        <w:numPr>
          <w:ilvl w:val="0"/>
          <w:numId w:val="132"/>
        </w:numPr>
        <w:contextualSpacing/>
        <w:rPr>
          <w:i/>
          <w:lang w:val="es-NI" w:eastAsia="es-NI"/>
        </w:rPr>
      </w:pPr>
      <w:r w:rsidRPr="000C1321">
        <w:rPr>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14D5A314" w14:textId="77777777" w:rsidR="0003308B" w:rsidRPr="000C1321" w:rsidRDefault="0003308B" w:rsidP="0003308B">
      <w:pPr>
        <w:tabs>
          <w:tab w:val="left" w:pos="142"/>
        </w:tabs>
        <w:autoSpaceDE w:val="0"/>
        <w:autoSpaceDN w:val="0"/>
        <w:adjustRightInd w:val="0"/>
        <w:rPr>
          <w:i/>
          <w:lang w:val="es-NI" w:eastAsia="es-NI"/>
        </w:rPr>
      </w:pPr>
    </w:p>
    <w:p w14:paraId="62DDEF22" w14:textId="77777777" w:rsidR="0003308B" w:rsidRPr="000C1321" w:rsidRDefault="0003308B" w:rsidP="003B68DB">
      <w:pPr>
        <w:pStyle w:val="Prrafodelista"/>
        <w:numPr>
          <w:ilvl w:val="0"/>
          <w:numId w:val="132"/>
        </w:numPr>
        <w:tabs>
          <w:tab w:val="left" w:pos="142"/>
        </w:tabs>
        <w:autoSpaceDE w:val="0"/>
        <w:autoSpaceDN w:val="0"/>
        <w:adjustRightInd w:val="0"/>
        <w:contextualSpacing/>
        <w:rPr>
          <w:i/>
          <w:lang w:val="es-NI" w:eastAsia="es-NI"/>
        </w:rPr>
      </w:pPr>
      <w:r w:rsidRPr="000C1321">
        <w:rPr>
          <w:lang w:val="es-NI" w:eastAsia="es-NI"/>
        </w:rPr>
        <w:t>No se permitirán bloques quebrados ni de medidas diferentes excepto previa autorización de El Supervisor.</w:t>
      </w:r>
    </w:p>
    <w:p w14:paraId="772BE661" w14:textId="77777777" w:rsidR="0003308B" w:rsidRPr="000C1321" w:rsidRDefault="0003308B" w:rsidP="0003308B">
      <w:pPr>
        <w:tabs>
          <w:tab w:val="left" w:pos="142"/>
        </w:tabs>
        <w:autoSpaceDE w:val="0"/>
        <w:autoSpaceDN w:val="0"/>
        <w:adjustRightInd w:val="0"/>
        <w:rPr>
          <w:i/>
          <w:lang w:val="es-NI" w:eastAsia="es-NI"/>
        </w:rPr>
      </w:pPr>
    </w:p>
    <w:p w14:paraId="6A32212E" w14:textId="77777777" w:rsidR="0003308B" w:rsidRPr="000C1321" w:rsidRDefault="0003308B" w:rsidP="003B68DB">
      <w:pPr>
        <w:pStyle w:val="Prrafodelista"/>
        <w:numPr>
          <w:ilvl w:val="0"/>
          <w:numId w:val="132"/>
        </w:numPr>
        <w:tabs>
          <w:tab w:val="left" w:pos="142"/>
        </w:tabs>
        <w:autoSpaceDE w:val="0"/>
        <w:autoSpaceDN w:val="0"/>
        <w:adjustRightInd w:val="0"/>
        <w:contextualSpacing/>
        <w:rPr>
          <w:i/>
          <w:lang w:val="es-NI" w:eastAsia="es-NI"/>
        </w:rPr>
      </w:pPr>
      <w:r w:rsidRPr="000C1321">
        <w:rPr>
          <w:lang w:val="es-NI" w:eastAsia="es-NI"/>
        </w:rPr>
        <w:t>Pintura, para los elementos estructurales de acero se pintarán con anticorrosivo de color rojo, aplicada sobre la estructura a dos manos de acuerdo a las recomendaciones del fabricante.</w:t>
      </w:r>
    </w:p>
    <w:p w14:paraId="202FCAFD" w14:textId="77777777" w:rsidR="0003308B" w:rsidRPr="000C1321" w:rsidRDefault="0003308B" w:rsidP="0003308B">
      <w:pPr>
        <w:tabs>
          <w:tab w:val="left" w:pos="142"/>
        </w:tabs>
        <w:autoSpaceDE w:val="0"/>
        <w:autoSpaceDN w:val="0"/>
        <w:adjustRightInd w:val="0"/>
        <w:rPr>
          <w:i/>
          <w:lang w:val="es-NI" w:eastAsia="es-NI"/>
        </w:rPr>
      </w:pPr>
    </w:p>
    <w:p w14:paraId="648B0740" w14:textId="77777777" w:rsidR="0003308B" w:rsidRPr="000C1321" w:rsidRDefault="0003308B" w:rsidP="003B68DB">
      <w:pPr>
        <w:pStyle w:val="Prrafodelista"/>
        <w:numPr>
          <w:ilvl w:val="0"/>
          <w:numId w:val="132"/>
        </w:numPr>
        <w:tabs>
          <w:tab w:val="left" w:pos="142"/>
        </w:tabs>
        <w:autoSpaceDE w:val="0"/>
        <w:autoSpaceDN w:val="0"/>
        <w:adjustRightInd w:val="0"/>
        <w:contextualSpacing/>
        <w:rPr>
          <w:i/>
          <w:lang w:val="es-NI" w:eastAsia="es-NI"/>
        </w:rPr>
      </w:pPr>
      <w:r w:rsidRPr="000C1321">
        <w:rPr>
          <w:lang w:val="es-NI" w:eastAsia="es-NI"/>
        </w:rPr>
        <w:t>Se podrá utilizar arena de río que no esté contaminada, que tenga la granulometría adecuada, debe estar limpia y tamizada, antes de usarla debe estar autorizada por El Supervisor.</w:t>
      </w:r>
    </w:p>
    <w:p w14:paraId="44A21D0F" w14:textId="77777777" w:rsidR="0003308B" w:rsidRPr="000C1321" w:rsidRDefault="0003308B" w:rsidP="0003308B">
      <w:pPr>
        <w:tabs>
          <w:tab w:val="left" w:pos="142"/>
        </w:tabs>
        <w:autoSpaceDE w:val="0"/>
        <w:autoSpaceDN w:val="0"/>
        <w:adjustRightInd w:val="0"/>
        <w:ind w:left="-567"/>
        <w:rPr>
          <w:i/>
          <w:lang w:val="es-NI" w:eastAsia="es-NI"/>
        </w:rPr>
      </w:pPr>
    </w:p>
    <w:p w14:paraId="1A419720"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CONSTRUCCIÓN</w:t>
      </w:r>
    </w:p>
    <w:p w14:paraId="614F75D3" w14:textId="77777777" w:rsidR="0003308B" w:rsidRPr="000C1321" w:rsidRDefault="0003308B" w:rsidP="0003308B">
      <w:pPr>
        <w:tabs>
          <w:tab w:val="left" w:pos="142"/>
        </w:tabs>
        <w:rPr>
          <w:i/>
          <w:lang w:val="es-NI" w:eastAsia="es-NI"/>
        </w:rPr>
      </w:pPr>
    </w:p>
    <w:p w14:paraId="4067F944" w14:textId="77777777" w:rsidR="0003308B" w:rsidRPr="000C1321" w:rsidRDefault="0003308B" w:rsidP="0003308B">
      <w:pPr>
        <w:pStyle w:val="Ttulo2"/>
        <w:tabs>
          <w:tab w:val="left" w:pos="142"/>
        </w:tabs>
        <w:jc w:val="both"/>
        <w:rPr>
          <w:rFonts w:ascii="Times New Roman" w:hAnsi="Times New Roman"/>
          <w:i/>
          <w:sz w:val="24"/>
          <w:szCs w:val="24"/>
          <w:lang w:eastAsia="es-NI"/>
        </w:rPr>
      </w:pPr>
      <w:r w:rsidRPr="000C1321">
        <w:rPr>
          <w:rFonts w:ascii="Times New Roman" w:hAnsi="Times New Roman"/>
          <w:sz w:val="24"/>
          <w:szCs w:val="24"/>
          <w:lang w:eastAsia="es-NI"/>
        </w:rPr>
        <w:t>EXCAVACIÓN</w:t>
      </w:r>
    </w:p>
    <w:p w14:paraId="6FD288D5" w14:textId="77777777" w:rsidR="0003308B" w:rsidRPr="000C1321" w:rsidRDefault="0003308B" w:rsidP="0003308B">
      <w:pPr>
        <w:tabs>
          <w:tab w:val="left" w:pos="142"/>
        </w:tabs>
        <w:rPr>
          <w:lang w:eastAsia="es-NI"/>
        </w:rPr>
      </w:pPr>
    </w:p>
    <w:p w14:paraId="7AD83921"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general, a menos que El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54149A9A" w14:textId="77777777" w:rsidR="0003308B" w:rsidRPr="000C1321" w:rsidRDefault="0003308B" w:rsidP="0003308B">
      <w:pPr>
        <w:tabs>
          <w:tab w:val="left" w:pos="142"/>
        </w:tabs>
        <w:autoSpaceDE w:val="0"/>
        <w:autoSpaceDN w:val="0"/>
        <w:adjustRightInd w:val="0"/>
        <w:rPr>
          <w:i/>
          <w:lang w:val="es-NI" w:eastAsia="es-NI"/>
        </w:rPr>
      </w:pPr>
    </w:p>
    <w:p w14:paraId="357BEA46"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lastRenderedPageBreak/>
        <w:t>El fondo de la fosa deberá quedar perfectamente nivelado, sin la presencia de bolones que se pudiesen encontrar durante la excavación.</w:t>
      </w:r>
    </w:p>
    <w:p w14:paraId="6DD76195" w14:textId="77777777" w:rsidR="0003308B" w:rsidRPr="000C1321" w:rsidRDefault="0003308B" w:rsidP="0003308B">
      <w:pPr>
        <w:tabs>
          <w:tab w:val="left" w:pos="142"/>
        </w:tabs>
        <w:autoSpaceDE w:val="0"/>
        <w:autoSpaceDN w:val="0"/>
        <w:adjustRightInd w:val="0"/>
        <w:rPr>
          <w:i/>
          <w:lang w:val="es-NI" w:eastAsia="es-NI"/>
        </w:rPr>
      </w:pPr>
    </w:p>
    <w:p w14:paraId="7AC78F61"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ningún caso se permitirá al CONTRATISTA excavar menos de la profundidad establecida en los planos, cualquier situación que impida esta disposición deberá ser solicitada por escrito a El Supervisor.</w:t>
      </w:r>
    </w:p>
    <w:p w14:paraId="54D47EFD" w14:textId="77777777" w:rsidR="0003308B" w:rsidRPr="000C1321" w:rsidRDefault="0003308B" w:rsidP="0003308B">
      <w:pPr>
        <w:tabs>
          <w:tab w:val="left" w:pos="142"/>
        </w:tabs>
        <w:autoSpaceDE w:val="0"/>
        <w:autoSpaceDN w:val="0"/>
        <w:adjustRightInd w:val="0"/>
        <w:rPr>
          <w:i/>
          <w:lang w:val="es-NI" w:eastAsia="es-NI"/>
        </w:rPr>
      </w:pPr>
    </w:p>
    <w:p w14:paraId="77188866"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EL CONTRATISTA deberá tomar las precauciones necesarias durante el proceso de excavación para evitar la acumulación de aguas, inundaciones por escorrentías, lluvias o fuentes de agua.</w:t>
      </w:r>
    </w:p>
    <w:p w14:paraId="03359EC1" w14:textId="77777777" w:rsidR="0003308B" w:rsidRPr="000C1321" w:rsidRDefault="0003308B" w:rsidP="0003308B">
      <w:pPr>
        <w:tabs>
          <w:tab w:val="left" w:pos="142"/>
        </w:tabs>
        <w:autoSpaceDE w:val="0"/>
        <w:autoSpaceDN w:val="0"/>
        <w:adjustRightInd w:val="0"/>
        <w:rPr>
          <w:i/>
          <w:lang w:val="es-NI" w:eastAsia="es-NI"/>
        </w:rPr>
      </w:pPr>
    </w:p>
    <w:p w14:paraId="3B180298"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 El Supervisor.</w:t>
      </w:r>
    </w:p>
    <w:p w14:paraId="232848B4" w14:textId="77777777" w:rsidR="0003308B" w:rsidRPr="000C1321" w:rsidRDefault="0003308B" w:rsidP="0003308B">
      <w:pPr>
        <w:tabs>
          <w:tab w:val="left" w:pos="142"/>
        </w:tabs>
        <w:autoSpaceDE w:val="0"/>
        <w:autoSpaceDN w:val="0"/>
        <w:adjustRightInd w:val="0"/>
        <w:rPr>
          <w:i/>
          <w:lang w:val="es-NI" w:eastAsia="es-NI"/>
        </w:rPr>
      </w:pPr>
    </w:p>
    <w:p w14:paraId="5B79F6CF"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70FE3FBC" w14:textId="77777777" w:rsidR="0003308B" w:rsidRPr="000C1321" w:rsidRDefault="0003308B" w:rsidP="0003308B">
      <w:pPr>
        <w:tabs>
          <w:tab w:val="left" w:pos="142"/>
        </w:tabs>
        <w:autoSpaceDE w:val="0"/>
        <w:autoSpaceDN w:val="0"/>
        <w:adjustRightInd w:val="0"/>
        <w:rPr>
          <w:i/>
          <w:lang w:val="es-NI" w:eastAsia="es-NI"/>
        </w:rPr>
      </w:pPr>
    </w:p>
    <w:p w14:paraId="64DFF5A6"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Cuando el foso es revestido, las medidas de la fosa son las indicadas en los planos más 0.15 m, correspondiente al ancho del material a colocar como paredes.</w:t>
      </w:r>
    </w:p>
    <w:p w14:paraId="7EDFBFF0" w14:textId="77777777" w:rsidR="0003308B" w:rsidRPr="000C1321" w:rsidRDefault="0003308B" w:rsidP="0003308B">
      <w:pPr>
        <w:tabs>
          <w:tab w:val="left" w:pos="142"/>
        </w:tabs>
        <w:autoSpaceDE w:val="0"/>
        <w:autoSpaceDN w:val="0"/>
        <w:adjustRightInd w:val="0"/>
        <w:rPr>
          <w:i/>
          <w:lang w:val="es-NI" w:eastAsia="es-NI"/>
        </w:rPr>
      </w:pPr>
    </w:p>
    <w:p w14:paraId="68D343D6"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p>
    <w:p w14:paraId="0BDE4715" w14:textId="77777777" w:rsidR="0003308B" w:rsidRPr="000C1321" w:rsidRDefault="0003308B" w:rsidP="0003308B">
      <w:pPr>
        <w:tabs>
          <w:tab w:val="left" w:pos="142"/>
        </w:tabs>
        <w:autoSpaceDE w:val="0"/>
        <w:autoSpaceDN w:val="0"/>
        <w:adjustRightInd w:val="0"/>
        <w:rPr>
          <w:i/>
          <w:lang w:val="es-NI" w:eastAsia="es-NI"/>
        </w:rPr>
      </w:pPr>
    </w:p>
    <w:p w14:paraId="6959980A"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terrenos flojos que se indique la construcción de letrinas estándar, para evitar derrumbes, habrá necesidad de ademar las paredes de la fosa, utilizando materiales existentes en la región.</w:t>
      </w:r>
    </w:p>
    <w:p w14:paraId="2D2AA64E" w14:textId="77777777" w:rsidR="0003308B" w:rsidRPr="000C1321" w:rsidRDefault="0003308B" w:rsidP="0003308B">
      <w:pPr>
        <w:tabs>
          <w:tab w:val="left" w:pos="142"/>
        </w:tabs>
        <w:autoSpaceDE w:val="0"/>
        <w:autoSpaceDN w:val="0"/>
        <w:adjustRightInd w:val="0"/>
        <w:rPr>
          <w:i/>
          <w:lang w:val="es-NI" w:eastAsia="es-NI"/>
        </w:rPr>
      </w:pPr>
    </w:p>
    <w:p w14:paraId="583ABCAD"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Estos costos deben ser considerados por el OFERENTE en los costos indirectos del pliego de oferta.</w:t>
      </w:r>
    </w:p>
    <w:p w14:paraId="6065177B" w14:textId="77777777" w:rsidR="0003308B" w:rsidRPr="000C1321" w:rsidRDefault="0003308B" w:rsidP="0003308B">
      <w:pPr>
        <w:tabs>
          <w:tab w:val="left" w:pos="142"/>
        </w:tabs>
        <w:autoSpaceDE w:val="0"/>
        <w:autoSpaceDN w:val="0"/>
        <w:adjustRightInd w:val="0"/>
        <w:rPr>
          <w:i/>
          <w:lang w:val="es-NI" w:eastAsia="es-NI"/>
        </w:rPr>
      </w:pPr>
    </w:p>
    <w:p w14:paraId="2142B356"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EL CONTRATISTA deberá someter la metodología y programa de construcción a El Supervisor para cumplir en el tiempo y forma con sus obligaciones contractuales.</w:t>
      </w:r>
    </w:p>
    <w:p w14:paraId="16E6A211" w14:textId="77777777" w:rsidR="0003308B" w:rsidRPr="000C1321" w:rsidRDefault="0003308B" w:rsidP="0003308B">
      <w:pPr>
        <w:tabs>
          <w:tab w:val="left" w:pos="142"/>
        </w:tabs>
        <w:autoSpaceDE w:val="0"/>
        <w:autoSpaceDN w:val="0"/>
        <w:adjustRightInd w:val="0"/>
        <w:rPr>
          <w:i/>
          <w:lang w:val="es-NI" w:eastAsia="es-NI"/>
        </w:rPr>
      </w:pPr>
    </w:p>
    <w:p w14:paraId="28E42604"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RESTRICCIONES Y CALIDAD DEL TRABAJO</w:t>
      </w:r>
    </w:p>
    <w:p w14:paraId="53933800" w14:textId="77777777" w:rsidR="0003308B" w:rsidRPr="000C1321" w:rsidRDefault="0003308B" w:rsidP="0003308B">
      <w:pPr>
        <w:pStyle w:val="Prrafodelista"/>
        <w:keepNext/>
        <w:tabs>
          <w:tab w:val="left" w:pos="142"/>
        </w:tabs>
        <w:ind w:left="0" w:right="-516"/>
        <w:outlineLvl w:val="1"/>
        <w:rPr>
          <w:b/>
          <w:bCs/>
          <w:i/>
          <w:iCs/>
        </w:rPr>
      </w:pPr>
    </w:p>
    <w:p w14:paraId="51D83BF4" w14:textId="77777777" w:rsidR="0003308B" w:rsidRPr="000C1321" w:rsidRDefault="0003308B" w:rsidP="003B68DB">
      <w:pPr>
        <w:pStyle w:val="Prrafodelista"/>
        <w:keepNext/>
        <w:numPr>
          <w:ilvl w:val="0"/>
          <w:numId w:val="133"/>
        </w:numPr>
        <w:tabs>
          <w:tab w:val="left" w:pos="142"/>
        </w:tabs>
        <w:ind w:left="502" w:right="-516"/>
        <w:contextualSpacing/>
        <w:outlineLvl w:val="1"/>
        <w:rPr>
          <w:b/>
          <w:bCs/>
          <w:i/>
          <w:iCs/>
        </w:rPr>
      </w:pPr>
      <w:r w:rsidRPr="000C1321">
        <w:rPr>
          <w:lang w:val="es-NI" w:eastAsia="es-NI"/>
        </w:rPr>
        <w:t>No se permitirán fosas abiertas por períodos mayores de tres (3) días, previo al inicio de las obras de revestimiento de paredes y/o a la colocación de la losa y banco.</w:t>
      </w:r>
    </w:p>
    <w:p w14:paraId="6F80E551" w14:textId="77777777" w:rsidR="0003308B" w:rsidRPr="000C1321" w:rsidRDefault="0003308B" w:rsidP="0003308B">
      <w:pPr>
        <w:tabs>
          <w:tab w:val="left" w:pos="142"/>
        </w:tabs>
        <w:autoSpaceDE w:val="0"/>
        <w:autoSpaceDN w:val="0"/>
        <w:adjustRightInd w:val="0"/>
        <w:rPr>
          <w:i/>
          <w:lang w:eastAsia="es-NI"/>
        </w:rPr>
      </w:pPr>
    </w:p>
    <w:p w14:paraId="3EEA40EC" w14:textId="77777777" w:rsidR="0003308B" w:rsidRPr="000C1321" w:rsidRDefault="0003308B" w:rsidP="003B68DB">
      <w:pPr>
        <w:pStyle w:val="Prrafodelista"/>
        <w:numPr>
          <w:ilvl w:val="0"/>
          <w:numId w:val="133"/>
        </w:numPr>
        <w:tabs>
          <w:tab w:val="left" w:pos="142"/>
        </w:tabs>
        <w:autoSpaceDE w:val="0"/>
        <w:autoSpaceDN w:val="0"/>
        <w:adjustRightInd w:val="0"/>
        <w:ind w:left="502"/>
        <w:contextualSpacing/>
        <w:rPr>
          <w:i/>
          <w:lang w:val="es-NI" w:eastAsia="es-NI"/>
        </w:rPr>
      </w:pPr>
      <w:r w:rsidRPr="000C1321">
        <w:rPr>
          <w:lang w:val="es-NI" w:eastAsia="es-NI"/>
        </w:rPr>
        <w:t>Los materiales de excavación y de construcción de la fosa deberán ser colocados donde no obstaculice el tránsito de los miembros de la familia a beneficiar. Los materiales de excavación deben ser esparcidos convenientemente en el predio previa autorización del beneficiario.</w:t>
      </w:r>
    </w:p>
    <w:p w14:paraId="3BC9782C" w14:textId="77777777" w:rsidR="0003308B" w:rsidRPr="000C1321" w:rsidRDefault="0003308B" w:rsidP="0003308B">
      <w:pPr>
        <w:tabs>
          <w:tab w:val="left" w:pos="142"/>
        </w:tabs>
        <w:autoSpaceDE w:val="0"/>
        <w:autoSpaceDN w:val="0"/>
        <w:adjustRightInd w:val="0"/>
        <w:rPr>
          <w:i/>
          <w:lang w:val="es-NI" w:eastAsia="es-NI"/>
        </w:rPr>
      </w:pPr>
    </w:p>
    <w:p w14:paraId="3B14130A" w14:textId="77777777" w:rsidR="0003308B" w:rsidRPr="000C1321" w:rsidRDefault="0003308B" w:rsidP="003B68DB">
      <w:pPr>
        <w:pStyle w:val="Prrafodelista"/>
        <w:numPr>
          <w:ilvl w:val="0"/>
          <w:numId w:val="133"/>
        </w:numPr>
        <w:tabs>
          <w:tab w:val="left" w:pos="142"/>
        </w:tabs>
        <w:autoSpaceDE w:val="0"/>
        <w:autoSpaceDN w:val="0"/>
        <w:adjustRightInd w:val="0"/>
        <w:ind w:left="502"/>
        <w:contextualSpacing/>
        <w:rPr>
          <w:i/>
          <w:lang w:val="es-NI" w:eastAsia="es-NI"/>
        </w:rPr>
      </w:pPr>
      <w:r w:rsidRPr="000C1321">
        <w:rPr>
          <w:lang w:val="es-NI" w:eastAsia="es-NI"/>
        </w:rPr>
        <w:lastRenderedPageBreak/>
        <w:t>EL CONTRATISTA deberá prever qué durante el período de construcción, las fosas no recolecten agua pluvial o de cualquier otra fuente. El Contratista removerá por su cuenta toda el agua que se colecte en las fosas por accidentes, negligencia o casos fortuitos.</w:t>
      </w:r>
    </w:p>
    <w:p w14:paraId="0C2B456C" w14:textId="77777777" w:rsidR="0003308B" w:rsidRPr="000C1321" w:rsidRDefault="0003308B" w:rsidP="0003308B">
      <w:pPr>
        <w:tabs>
          <w:tab w:val="left" w:pos="142"/>
        </w:tabs>
        <w:autoSpaceDE w:val="0"/>
        <w:autoSpaceDN w:val="0"/>
        <w:adjustRightInd w:val="0"/>
        <w:rPr>
          <w:i/>
          <w:lang w:val="es-NI" w:eastAsia="es-NI"/>
        </w:rPr>
      </w:pPr>
    </w:p>
    <w:p w14:paraId="7312EB17"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CONSTRUCCIÓN DE PAREDES</w:t>
      </w:r>
    </w:p>
    <w:p w14:paraId="37D1CDAA" w14:textId="77777777" w:rsidR="0003308B" w:rsidRPr="000C1321" w:rsidRDefault="0003308B" w:rsidP="0003308B">
      <w:pPr>
        <w:tabs>
          <w:tab w:val="left" w:pos="142"/>
        </w:tabs>
        <w:autoSpaceDE w:val="0"/>
        <w:autoSpaceDN w:val="0"/>
        <w:adjustRightInd w:val="0"/>
        <w:rPr>
          <w:i/>
          <w:lang w:val="es-NI" w:eastAsia="es-NI"/>
        </w:rPr>
      </w:pPr>
    </w:p>
    <w:p w14:paraId="06CBB36D"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De acuerdo a la práctica constructiva que se exige para la construcción de paredes de bloque, ladrillo cuarterón, piedra cantera u otro material indicado, ésta deberá presentar aplomo y escuadra todos sus lados.</w:t>
      </w:r>
    </w:p>
    <w:p w14:paraId="4FAF06B5" w14:textId="77777777" w:rsidR="0003308B" w:rsidRPr="000C1321" w:rsidRDefault="0003308B" w:rsidP="0003308B">
      <w:pPr>
        <w:tabs>
          <w:tab w:val="left" w:pos="142"/>
        </w:tabs>
        <w:autoSpaceDE w:val="0"/>
        <w:autoSpaceDN w:val="0"/>
        <w:adjustRightInd w:val="0"/>
        <w:rPr>
          <w:i/>
          <w:lang w:val="es-NI" w:eastAsia="es-NI"/>
        </w:rPr>
      </w:pPr>
    </w:p>
    <w:p w14:paraId="08A12ABE"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Las paredes deben estar cimentadas según el caso: Para las letrinas semi-elevadas y elevadas deben llevar una losa de concreto simple en toda el área del foso con un espesor de 0.05 m.</w:t>
      </w:r>
    </w:p>
    <w:p w14:paraId="29F17E76" w14:textId="77777777" w:rsidR="0003308B" w:rsidRPr="000C1321" w:rsidRDefault="0003308B" w:rsidP="0003308B">
      <w:pPr>
        <w:tabs>
          <w:tab w:val="left" w:pos="142"/>
        </w:tabs>
        <w:autoSpaceDE w:val="0"/>
        <w:autoSpaceDN w:val="0"/>
        <w:adjustRightInd w:val="0"/>
        <w:rPr>
          <w:i/>
          <w:lang w:val="es-NI" w:eastAsia="es-NI"/>
        </w:rPr>
      </w:pPr>
    </w:p>
    <w:p w14:paraId="308D3AA0"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350EEA16" w14:textId="77777777" w:rsidR="0003308B" w:rsidRPr="000C1321" w:rsidRDefault="0003308B" w:rsidP="0003308B">
      <w:pPr>
        <w:tabs>
          <w:tab w:val="left" w:pos="142"/>
        </w:tabs>
        <w:autoSpaceDE w:val="0"/>
        <w:autoSpaceDN w:val="0"/>
        <w:adjustRightInd w:val="0"/>
        <w:rPr>
          <w:i/>
          <w:lang w:val="es-NI" w:eastAsia="es-NI"/>
        </w:rPr>
      </w:pPr>
    </w:p>
    <w:p w14:paraId="18371F4B"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el caso de letrinas semi-elevadas y elevadas todas las paredes de la fosa serán revestidas con repello arenillado en ambas caras (internas y externas) este costo debe de estar incluido en la propuesta.</w:t>
      </w:r>
    </w:p>
    <w:p w14:paraId="15B836CC" w14:textId="77777777" w:rsidR="0003308B" w:rsidRPr="000C1321" w:rsidRDefault="0003308B" w:rsidP="0003308B">
      <w:pPr>
        <w:tabs>
          <w:tab w:val="left" w:pos="142"/>
        </w:tabs>
        <w:autoSpaceDE w:val="0"/>
        <w:autoSpaceDN w:val="0"/>
        <w:adjustRightInd w:val="0"/>
        <w:rPr>
          <w:i/>
          <w:lang w:val="es-NI" w:eastAsia="es-NI"/>
        </w:rPr>
      </w:pPr>
    </w:p>
    <w:p w14:paraId="571AEC93"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El cajón de las escaleras en las letrinas semi-elevadas y elevadas llevaran refuerzo en sus esquinas, de hierro corrugado con diámetro de 3/8”, según se indica en los planos constructivos (elevaciones isométricas)</w:t>
      </w:r>
    </w:p>
    <w:p w14:paraId="3EF2B3A5" w14:textId="77777777" w:rsidR="0003308B" w:rsidRPr="000C1321" w:rsidRDefault="0003308B" w:rsidP="0003308B">
      <w:pPr>
        <w:tabs>
          <w:tab w:val="left" w:pos="142"/>
        </w:tabs>
        <w:autoSpaceDE w:val="0"/>
        <w:autoSpaceDN w:val="0"/>
        <w:adjustRightInd w:val="0"/>
        <w:rPr>
          <w:i/>
          <w:lang w:val="es-NI" w:eastAsia="es-NI"/>
        </w:rPr>
      </w:pPr>
    </w:p>
    <w:p w14:paraId="7FE29E86"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CONSTRUCCIÓN Y COLOCACIÓN DE PLANCHA Y BANCO</w:t>
      </w:r>
    </w:p>
    <w:p w14:paraId="33E875DD" w14:textId="77777777" w:rsidR="0003308B" w:rsidRPr="000C1321" w:rsidRDefault="0003308B" w:rsidP="0003308B">
      <w:pPr>
        <w:tabs>
          <w:tab w:val="left" w:pos="142"/>
        </w:tabs>
        <w:autoSpaceDE w:val="0"/>
        <w:autoSpaceDN w:val="0"/>
        <w:adjustRightInd w:val="0"/>
        <w:rPr>
          <w:i/>
          <w:lang w:val="es-NI" w:eastAsia="es-NI"/>
        </w:rPr>
      </w:pPr>
    </w:p>
    <w:p w14:paraId="77FE6A6F"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76462BA4" w14:textId="77777777" w:rsidR="0003308B" w:rsidRPr="000C1321" w:rsidRDefault="0003308B" w:rsidP="0003308B">
      <w:pPr>
        <w:tabs>
          <w:tab w:val="left" w:pos="142"/>
        </w:tabs>
        <w:autoSpaceDE w:val="0"/>
        <w:autoSpaceDN w:val="0"/>
        <w:adjustRightInd w:val="0"/>
        <w:rPr>
          <w:i/>
          <w:lang w:val="es-NI" w:eastAsia="es-NI"/>
        </w:rPr>
      </w:pPr>
    </w:p>
    <w:p w14:paraId="7D053493"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CONSTRUCCIÓN Y COLOCACIÓN DE CASETA.</w:t>
      </w:r>
    </w:p>
    <w:p w14:paraId="4BBEF14C" w14:textId="77777777" w:rsidR="0003308B" w:rsidRPr="000C1321" w:rsidRDefault="0003308B" w:rsidP="0003308B">
      <w:pPr>
        <w:tabs>
          <w:tab w:val="left" w:pos="142"/>
        </w:tabs>
        <w:autoSpaceDE w:val="0"/>
        <w:autoSpaceDN w:val="0"/>
        <w:adjustRightInd w:val="0"/>
        <w:rPr>
          <w:i/>
          <w:lang w:val="es-NI" w:eastAsia="es-NI"/>
        </w:rPr>
      </w:pPr>
    </w:p>
    <w:p w14:paraId="773BE139"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La estructura de paredes y techo, así como el forro y cubierta será como se indica en los planos, conservando las medidas estándar y la calidad de los materiales.</w:t>
      </w:r>
    </w:p>
    <w:p w14:paraId="4F3C4822" w14:textId="77777777" w:rsidR="0003308B" w:rsidRPr="000C1321" w:rsidRDefault="0003308B" w:rsidP="0003308B">
      <w:pPr>
        <w:tabs>
          <w:tab w:val="left" w:pos="142"/>
        </w:tabs>
        <w:autoSpaceDE w:val="0"/>
        <w:autoSpaceDN w:val="0"/>
        <w:adjustRightInd w:val="0"/>
        <w:rPr>
          <w:i/>
          <w:lang w:val="es-NI" w:eastAsia="es-NI"/>
        </w:rPr>
      </w:pPr>
    </w:p>
    <w:p w14:paraId="56A82714"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La colocación del forro del zinc no debe presentar bordes salientes, puntas corto punzantes, virutas que puedan ocasionar cortaduras a los usuarios.</w:t>
      </w:r>
    </w:p>
    <w:p w14:paraId="0BF0053B" w14:textId="77777777" w:rsidR="0003308B" w:rsidRPr="000C1321" w:rsidRDefault="0003308B" w:rsidP="0003308B">
      <w:pPr>
        <w:tabs>
          <w:tab w:val="left" w:pos="142"/>
        </w:tabs>
        <w:autoSpaceDE w:val="0"/>
        <w:autoSpaceDN w:val="0"/>
        <w:adjustRightInd w:val="0"/>
        <w:rPr>
          <w:i/>
          <w:lang w:val="es-NI" w:eastAsia="es-NI"/>
        </w:rPr>
      </w:pPr>
    </w:p>
    <w:p w14:paraId="12056F8B"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Al colocar el tubo de ventilación debe quedar sellado entre la cubierta de techo, de igual forma en la unión con el piso y este debe de terminar con una tee.</w:t>
      </w:r>
    </w:p>
    <w:p w14:paraId="7594E96E" w14:textId="77777777" w:rsidR="0003308B" w:rsidRPr="000C1321" w:rsidRDefault="0003308B" w:rsidP="0003308B">
      <w:pPr>
        <w:tabs>
          <w:tab w:val="left" w:pos="142"/>
        </w:tabs>
        <w:autoSpaceDE w:val="0"/>
        <w:autoSpaceDN w:val="0"/>
        <w:adjustRightInd w:val="0"/>
        <w:rPr>
          <w:i/>
          <w:lang w:val="es-NI" w:eastAsia="es-NI"/>
        </w:rPr>
      </w:pPr>
    </w:p>
    <w:p w14:paraId="6CCC1B2B"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el caso de la estructura de madera, se podrá utilizar variedades de reconocido uso en la construcción, que tengan durabilidad mayor de 4 años, entre estas maderas están: Pino, Guanacaste, María, Cedro Macho, Rosita o Manteco, Carolillo, Genízaro, Gavilán entre otras que no estén en veda.</w:t>
      </w:r>
    </w:p>
    <w:p w14:paraId="6D3B2459"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lastRenderedPageBreak/>
        <w:t>Todas las piezas deberán estar secas y tratadas con productos químicos contra comején. El acabado de la madera deberá ser repasada (acepillada y/o eliminar lo rústico y mechudo) en las caras expuestas.</w:t>
      </w:r>
    </w:p>
    <w:p w14:paraId="10EE618C" w14:textId="77777777" w:rsidR="0003308B" w:rsidRPr="000C1321" w:rsidRDefault="0003308B" w:rsidP="0003308B">
      <w:pPr>
        <w:tabs>
          <w:tab w:val="left" w:pos="142"/>
        </w:tabs>
        <w:autoSpaceDE w:val="0"/>
        <w:autoSpaceDN w:val="0"/>
        <w:adjustRightInd w:val="0"/>
        <w:rPr>
          <w:i/>
          <w:lang w:val="es-NI" w:eastAsia="es-NI"/>
        </w:rPr>
      </w:pPr>
    </w:p>
    <w:p w14:paraId="2420EB0A"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1DE5946F" w14:textId="77777777" w:rsidR="0003308B" w:rsidRPr="000C1321" w:rsidRDefault="0003308B" w:rsidP="0003308B">
      <w:pPr>
        <w:tabs>
          <w:tab w:val="left" w:pos="142"/>
        </w:tabs>
        <w:autoSpaceDE w:val="0"/>
        <w:autoSpaceDN w:val="0"/>
        <w:adjustRightInd w:val="0"/>
        <w:rPr>
          <w:i/>
          <w:lang w:val="es-NI" w:eastAsia="es-NI"/>
        </w:rPr>
      </w:pPr>
    </w:p>
    <w:p w14:paraId="0B7C29D7"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En la puerta se pintará un letrero con el nombre y logotipo del , con tamaño de 0.37cm x 0.47 cm, las letras para el Nº de contrato y del código será la indicada en los planos. La pintura debe ser de aceite brillante conforme los colores establecidos en el detalle de planos. La puerta estará fijada conforme sea el caso:</w:t>
      </w:r>
    </w:p>
    <w:p w14:paraId="355DC378" w14:textId="77777777" w:rsidR="0003308B" w:rsidRPr="000C1321" w:rsidRDefault="0003308B" w:rsidP="0003308B">
      <w:pPr>
        <w:tabs>
          <w:tab w:val="left" w:pos="142"/>
        </w:tabs>
        <w:autoSpaceDE w:val="0"/>
        <w:autoSpaceDN w:val="0"/>
        <w:adjustRightInd w:val="0"/>
        <w:rPr>
          <w:i/>
          <w:lang w:val="es-NI" w:eastAsia="es-NI"/>
        </w:rPr>
      </w:pPr>
    </w:p>
    <w:p w14:paraId="6920AC6E" w14:textId="77777777" w:rsidR="0003308B" w:rsidRPr="000C1321" w:rsidRDefault="0003308B" w:rsidP="0003308B">
      <w:pPr>
        <w:tabs>
          <w:tab w:val="left" w:pos="142"/>
        </w:tabs>
        <w:autoSpaceDE w:val="0"/>
        <w:autoSpaceDN w:val="0"/>
        <w:adjustRightInd w:val="0"/>
        <w:rPr>
          <w:i/>
          <w:lang w:val="es-NI" w:eastAsia="es-NI"/>
        </w:rPr>
      </w:pPr>
      <w:r w:rsidRPr="000C1321">
        <w:rPr>
          <w:b/>
          <w:bCs/>
          <w:lang w:val="es-NI" w:eastAsia="es-NI"/>
        </w:rPr>
        <w:t xml:space="preserve">Estructura metálica: </w:t>
      </w:r>
      <w:r w:rsidRPr="000C1321">
        <w:rPr>
          <w:lang w:val="es-NI" w:eastAsia="es-NI"/>
        </w:rPr>
        <w:t>Se fijará con una bisagra artesanal formada por ejes de hierro de ¼” y tubo cuadrado negro soldado a la estructura.</w:t>
      </w:r>
    </w:p>
    <w:p w14:paraId="2583EFFF" w14:textId="77777777" w:rsidR="0003308B" w:rsidRPr="000C1321" w:rsidRDefault="0003308B" w:rsidP="0003308B">
      <w:pPr>
        <w:tabs>
          <w:tab w:val="left" w:pos="142"/>
        </w:tabs>
        <w:autoSpaceDE w:val="0"/>
        <w:autoSpaceDN w:val="0"/>
        <w:adjustRightInd w:val="0"/>
        <w:rPr>
          <w:i/>
          <w:lang w:val="es-NI" w:eastAsia="es-NI"/>
        </w:rPr>
      </w:pPr>
    </w:p>
    <w:p w14:paraId="519AE307"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Estructura de madera: Se fijará con 3 bisagras de 2 ½”* 2 ½” galvanizada, fijadas con tornillos golosos ranurados. Los tornillos deben quedar a tope y planos a la placa de bisagra.</w:t>
      </w:r>
    </w:p>
    <w:p w14:paraId="3E0451C5" w14:textId="77777777" w:rsidR="0003308B" w:rsidRPr="000C1321" w:rsidRDefault="0003308B" w:rsidP="0003308B">
      <w:pPr>
        <w:tabs>
          <w:tab w:val="left" w:pos="142"/>
        </w:tabs>
        <w:autoSpaceDE w:val="0"/>
        <w:autoSpaceDN w:val="0"/>
        <w:adjustRightInd w:val="0"/>
        <w:rPr>
          <w:i/>
          <w:lang w:val="es-NI" w:eastAsia="es-NI"/>
        </w:rPr>
      </w:pPr>
    </w:p>
    <w:p w14:paraId="46C1BE52"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Cuando la estructura de la caseta se indique de madera, la sección será de 2”x2” con una tolerancia máxima de 1-7/8”. La cubierta de techo será de una sola pieza, con la longitud indicada en los planos.</w:t>
      </w:r>
    </w:p>
    <w:p w14:paraId="11AF1BC5" w14:textId="77777777" w:rsidR="0003308B" w:rsidRPr="000C1321" w:rsidRDefault="0003308B" w:rsidP="0003308B">
      <w:pPr>
        <w:tabs>
          <w:tab w:val="left" w:pos="142"/>
        </w:tabs>
        <w:autoSpaceDE w:val="0"/>
        <w:autoSpaceDN w:val="0"/>
        <w:adjustRightInd w:val="0"/>
        <w:rPr>
          <w:i/>
          <w:lang w:val="es-NI" w:eastAsia="es-NI"/>
        </w:rPr>
      </w:pPr>
    </w:p>
    <w:p w14:paraId="05C90F17"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Al concluir la construcción del brocal y la caseta de la letrina, se debe forjar un talud entre el terreno natural con el pie de pared, en los costados y la parte posterior para evitar la penetración de agua pluvial.</w:t>
      </w:r>
    </w:p>
    <w:p w14:paraId="0D549384" w14:textId="77777777" w:rsidR="0003308B" w:rsidRPr="000C1321" w:rsidRDefault="0003308B" w:rsidP="0003308B">
      <w:pPr>
        <w:tabs>
          <w:tab w:val="left" w:pos="142"/>
        </w:tabs>
        <w:autoSpaceDE w:val="0"/>
        <w:autoSpaceDN w:val="0"/>
        <w:adjustRightInd w:val="0"/>
        <w:rPr>
          <w:i/>
          <w:lang w:val="es-NI" w:eastAsia="es-NI"/>
        </w:rPr>
      </w:pPr>
    </w:p>
    <w:p w14:paraId="00ABDE3D" w14:textId="77777777" w:rsidR="0003308B" w:rsidRPr="000C1321" w:rsidRDefault="0003308B" w:rsidP="003B68DB">
      <w:pPr>
        <w:pStyle w:val="Prrafodelista"/>
        <w:numPr>
          <w:ilvl w:val="1"/>
          <w:numId w:val="127"/>
        </w:numPr>
        <w:contextualSpacing/>
        <w:rPr>
          <w:b/>
          <w:bCs/>
          <w:i/>
          <w:iCs/>
        </w:rPr>
      </w:pPr>
      <w:r w:rsidRPr="000C1321">
        <w:rPr>
          <w:b/>
          <w:bCs/>
          <w:iCs/>
        </w:rPr>
        <w:t>ESPECIFICACIÓN TÉCNICA DE LAVADEROS</w:t>
      </w:r>
    </w:p>
    <w:p w14:paraId="5C796EE0" w14:textId="77777777" w:rsidR="0003308B" w:rsidRPr="000C1321" w:rsidRDefault="0003308B" w:rsidP="0003308B">
      <w:pPr>
        <w:pStyle w:val="Prrafodelista"/>
        <w:rPr>
          <w:b/>
          <w:bCs/>
          <w:i/>
          <w:iCs/>
        </w:rPr>
      </w:pPr>
    </w:p>
    <w:p w14:paraId="399F615E"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 xml:space="preserve">Se suministrará un lavadero sencillo de concreto reforzado de 2500 psi formado de 2 partes 1 fondo estriado y una pileta de fabricación nacional este puede ser prefabricado o fabricado y debe cumplir con las dimensiones y especificaciones indicados en planos.  </w:t>
      </w:r>
    </w:p>
    <w:p w14:paraId="326717DC" w14:textId="77777777" w:rsidR="0003308B" w:rsidRPr="000C1321" w:rsidRDefault="0003308B" w:rsidP="0003308B">
      <w:pPr>
        <w:tabs>
          <w:tab w:val="left" w:pos="142"/>
        </w:tabs>
        <w:autoSpaceDE w:val="0"/>
        <w:autoSpaceDN w:val="0"/>
        <w:adjustRightInd w:val="0"/>
        <w:rPr>
          <w:i/>
          <w:lang w:val="es-NI" w:eastAsia="es-NI"/>
        </w:rPr>
      </w:pPr>
    </w:p>
    <w:p w14:paraId="380B1C0D"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 xml:space="preserve">Tendrá dimensiones totales: ancho 0.63 m, largo 1.00 m, alto 0.83 m. </w:t>
      </w:r>
    </w:p>
    <w:p w14:paraId="1D40035B" w14:textId="77777777" w:rsidR="0003308B" w:rsidRPr="000C1321" w:rsidRDefault="0003308B" w:rsidP="0003308B">
      <w:pPr>
        <w:tabs>
          <w:tab w:val="left" w:pos="142"/>
        </w:tabs>
        <w:autoSpaceDE w:val="0"/>
        <w:autoSpaceDN w:val="0"/>
        <w:adjustRightInd w:val="0"/>
        <w:rPr>
          <w:i/>
          <w:lang w:val="es-NI" w:eastAsia="es-NI"/>
        </w:rPr>
      </w:pPr>
    </w:p>
    <w:p w14:paraId="3BCD6B5D"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Dimensiones internas de la pila: 0.41m x 0.59 m x 0.32 m con capacidad máxima de 77.40 lts.</w:t>
      </w:r>
    </w:p>
    <w:p w14:paraId="529C9631" w14:textId="77777777" w:rsidR="0003308B" w:rsidRPr="000C1321" w:rsidRDefault="0003308B" w:rsidP="0003308B">
      <w:pPr>
        <w:tabs>
          <w:tab w:val="left" w:pos="142"/>
        </w:tabs>
        <w:autoSpaceDE w:val="0"/>
        <w:autoSpaceDN w:val="0"/>
        <w:adjustRightInd w:val="0"/>
        <w:rPr>
          <w:i/>
          <w:lang w:val="es-NI" w:eastAsia="es-NI"/>
        </w:rPr>
      </w:pPr>
    </w:p>
    <w:p w14:paraId="5C3AB39C"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Dimensiones internas de la pila estriada: 0.59m x 0.59 m x 0.21m.</w:t>
      </w:r>
    </w:p>
    <w:p w14:paraId="53095165" w14:textId="77777777" w:rsidR="0003308B" w:rsidRPr="000C1321" w:rsidRDefault="0003308B" w:rsidP="0003308B">
      <w:pPr>
        <w:tabs>
          <w:tab w:val="left" w:pos="142"/>
        </w:tabs>
        <w:autoSpaceDE w:val="0"/>
        <w:autoSpaceDN w:val="0"/>
        <w:adjustRightInd w:val="0"/>
        <w:rPr>
          <w:i/>
          <w:lang w:val="es-NI" w:eastAsia="es-NI"/>
        </w:rPr>
      </w:pPr>
    </w:p>
    <w:p w14:paraId="278474D9"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 xml:space="preserve">Tendrá acabado general de fino liso de cemento portland, la estrillas serán formada con largo 0.49m, labrada con ondulación de 3/8”. </w:t>
      </w:r>
    </w:p>
    <w:p w14:paraId="1F83648D" w14:textId="77777777" w:rsidR="0003308B" w:rsidRPr="000C1321" w:rsidRDefault="0003308B" w:rsidP="0003308B">
      <w:pPr>
        <w:tabs>
          <w:tab w:val="left" w:pos="142"/>
        </w:tabs>
        <w:autoSpaceDE w:val="0"/>
        <w:autoSpaceDN w:val="0"/>
        <w:adjustRightInd w:val="0"/>
        <w:rPr>
          <w:i/>
          <w:lang w:val="es-NI" w:eastAsia="es-NI"/>
        </w:rPr>
      </w:pPr>
    </w:p>
    <w:p w14:paraId="0EB54626"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5B50D9DF" w14:textId="77777777" w:rsidR="0003308B" w:rsidRPr="000C1321" w:rsidRDefault="0003308B" w:rsidP="0003308B">
      <w:pPr>
        <w:tabs>
          <w:tab w:val="left" w:pos="142"/>
        </w:tabs>
        <w:autoSpaceDE w:val="0"/>
        <w:autoSpaceDN w:val="0"/>
        <w:adjustRightInd w:val="0"/>
        <w:rPr>
          <w:i/>
          <w:lang w:val="es-NI" w:eastAsia="es-NI"/>
        </w:rPr>
      </w:pPr>
    </w:p>
    <w:p w14:paraId="47C33772"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lastRenderedPageBreak/>
        <w:t>PROTECCIÓN DE PROPIEDADES Y ESTRUCTURAS</w:t>
      </w:r>
    </w:p>
    <w:p w14:paraId="2732FEC9" w14:textId="77777777" w:rsidR="0003308B" w:rsidRPr="000C1321" w:rsidRDefault="0003308B" w:rsidP="0003308B">
      <w:pPr>
        <w:tabs>
          <w:tab w:val="left" w:pos="142"/>
        </w:tabs>
        <w:autoSpaceDE w:val="0"/>
        <w:autoSpaceDN w:val="0"/>
        <w:adjustRightInd w:val="0"/>
        <w:rPr>
          <w:b/>
          <w:bCs/>
          <w:i/>
          <w:lang w:val="es-NI" w:eastAsia="es-NI"/>
        </w:rPr>
      </w:pPr>
    </w:p>
    <w:p w14:paraId="6A652DD9"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469CCCF3" w14:textId="77777777" w:rsidR="0003308B" w:rsidRPr="000C1321" w:rsidRDefault="0003308B" w:rsidP="0003308B">
      <w:pPr>
        <w:tabs>
          <w:tab w:val="left" w:pos="142"/>
        </w:tabs>
        <w:autoSpaceDE w:val="0"/>
        <w:autoSpaceDN w:val="0"/>
        <w:adjustRightInd w:val="0"/>
        <w:rPr>
          <w:i/>
          <w:lang w:val="es-NI" w:eastAsia="es-NI"/>
        </w:rPr>
      </w:pPr>
    </w:p>
    <w:p w14:paraId="086F6E6E"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MEDICIÓN DE LOS TRABAJOS Y FORMA DE PAGO</w:t>
      </w:r>
    </w:p>
    <w:p w14:paraId="35EC37DF" w14:textId="77777777" w:rsidR="0003308B" w:rsidRPr="000C1321" w:rsidRDefault="0003308B" w:rsidP="0003308B">
      <w:pPr>
        <w:tabs>
          <w:tab w:val="left" w:pos="142"/>
        </w:tabs>
        <w:autoSpaceDE w:val="0"/>
        <w:autoSpaceDN w:val="0"/>
        <w:adjustRightInd w:val="0"/>
        <w:rPr>
          <w:b/>
          <w:bCs/>
          <w:i/>
          <w:lang w:val="es-NI" w:eastAsia="es-NI"/>
        </w:rPr>
      </w:pPr>
    </w:p>
    <w:p w14:paraId="42282B8C"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Todos los trabajos a ejecutarse dentro de los alcances estimados de obra, se pagarán conforme las unidades totalmente terminadas.</w:t>
      </w:r>
    </w:p>
    <w:p w14:paraId="1A1B62EB" w14:textId="77777777" w:rsidR="0003308B" w:rsidRPr="000C1321" w:rsidRDefault="0003308B" w:rsidP="0003308B">
      <w:pPr>
        <w:tabs>
          <w:tab w:val="left" w:pos="142"/>
        </w:tabs>
        <w:autoSpaceDE w:val="0"/>
        <w:autoSpaceDN w:val="0"/>
        <w:adjustRightInd w:val="0"/>
        <w:rPr>
          <w:i/>
          <w:lang w:val="es-NI" w:eastAsia="es-NI"/>
        </w:rPr>
      </w:pPr>
    </w:p>
    <w:p w14:paraId="27AE88AC" w14:textId="77777777" w:rsidR="0003308B" w:rsidRPr="000C1321" w:rsidRDefault="0003308B" w:rsidP="003B68DB">
      <w:pPr>
        <w:pStyle w:val="Prrafodelista"/>
        <w:keepNext/>
        <w:numPr>
          <w:ilvl w:val="1"/>
          <w:numId w:val="127"/>
        </w:numPr>
        <w:tabs>
          <w:tab w:val="left" w:pos="142"/>
        </w:tabs>
        <w:ind w:left="0" w:right="-516" w:firstLine="0"/>
        <w:contextualSpacing/>
        <w:outlineLvl w:val="1"/>
        <w:rPr>
          <w:b/>
          <w:bCs/>
          <w:i/>
          <w:iCs/>
        </w:rPr>
      </w:pPr>
      <w:r w:rsidRPr="000C1321">
        <w:rPr>
          <w:b/>
          <w:bCs/>
          <w:iCs/>
        </w:rPr>
        <w:t>LIMPIEZA FINAL</w:t>
      </w:r>
    </w:p>
    <w:p w14:paraId="6DBDE3E8" w14:textId="77777777" w:rsidR="0003308B" w:rsidRPr="000C1321" w:rsidRDefault="0003308B" w:rsidP="0003308B">
      <w:pPr>
        <w:tabs>
          <w:tab w:val="left" w:pos="142"/>
        </w:tabs>
        <w:autoSpaceDE w:val="0"/>
        <w:autoSpaceDN w:val="0"/>
        <w:adjustRightInd w:val="0"/>
        <w:rPr>
          <w:i/>
          <w:lang w:val="es-NI" w:eastAsia="es-NI"/>
        </w:rPr>
      </w:pPr>
    </w:p>
    <w:p w14:paraId="28DD28AE" w14:textId="77777777" w:rsidR="0003308B" w:rsidRPr="000C1321" w:rsidRDefault="0003308B" w:rsidP="0003308B">
      <w:pPr>
        <w:tabs>
          <w:tab w:val="left" w:pos="142"/>
        </w:tabs>
        <w:autoSpaceDE w:val="0"/>
        <w:autoSpaceDN w:val="0"/>
        <w:adjustRightInd w:val="0"/>
        <w:rPr>
          <w:i/>
          <w:lang w:val="es-NI" w:eastAsia="es-NI"/>
        </w:rPr>
      </w:pPr>
      <w:r w:rsidRPr="000C1321">
        <w:rPr>
          <w:lang w:val="es-NI" w:eastAsia="es-NI"/>
        </w:rPr>
        <w:t>EL CONTRATISTA una vez terminado el trabajo, eliminará toda basura material y sobrante de la ejecución de la obra, dejando en condición original y limpia el terreno y la letrina.</w:t>
      </w:r>
    </w:p>
    <w:p w14:paraId="476E562E" w14:textId="77777777" w:rsidR="0003308B" w:rsidRPr="000C1321" w:rsidRDefault="0003308B" w:rsidP="0003308B">
      <w:pPr>
        <w:tabs>
          <w:tab w:val="left" w:pos="142"/>
        </w:tabs>
        <w:autoSpaceDE w:val="0"/>
        <w:autoSpaceDN w:val="0"/>
        <w:adjustRightInd w:val="0"/>
        <w:rPr>
          <w:i/>
          <w:lang w:val="es-NI" w:eastAsia="es-NI"/>
        </w:rPr>
      </w:pPr>
    </w:p>
    <w:p w14:paraId="6EECFAAD" w14:textId="77777777" w:rsidR="0003308B" w:rsidRPr="000C1321" w:rsidRDefault="0003308B" w:rsidP="003B68DB">
      <w:pPr>
        <w:pStyle w:val="Prrafodelista"/>
        <w:keepNext/>
        <w:numPr>
          <w:ilvl w:val="0"/>
          <w:numId w:val="127"/>
        </w:numPr>
        <w:tabs>
          <w:tab w:val="left" w:pos="142"/>
        </w:tabs>
        <w:ind w:left="426" w:right="-516" w:firstLine="0"/>
        <w:contextualSpacing/>
        <w:outlineLvl w:val="1"/>
        <w:rPr>
          <w:b/>
          <w:bCs/>
          <w:i/>
          <w:iCs/>
        </w:rPr>
      </w:pPr>
      <w:r w:rsidRPr="000C1321">
        <w:rPr>
          <w:b/>
          <w:bCs/>
          <w:iCs/>
        </w:rPr>
        <w:t xml:space="preserve">         ESPECIFICACIONES TECNICAS GENERALES AMBIENTALES</w:t>
      </w:r>
    </w:p>
    <w:p w14:paraId="1459A221" w14:textId="77777777" w:rsidR="0003308B" w:rsidRPr="000C1321" w:rsidRDefault="0003308B" w:rsidP="0003308B">
      <w:pPr>
        <w:tabs>
          <w:tab w:val="left" w:pos="142"/>
        </w:tabs>
        <w:autoSpaceDE w:val="0"/>
        <w:autoSpaceDN w:val="0"/>
        <w:adjustRightInd w:val="0"/>
        <w:ind w:left="-567"/>
        <w:rPr>
          <w:i/>
          <w:lang w:val="es-NI" w:eastAsia="es-NI"/>
        </w:rPr>
      </w:pPr>
    </w:p>
    <w:p w14:paraId="4DAD9964" w14:textId="77777777" w:rsidR="0003308B" w:rsidRPr="000C1321" w:rsidRDefault="0003308B" w:rsidP="003B68DB">
      <w:pPr>
        <w:pStyle w:val="Prrafodelista"/>
        <w:keepNext/>
        <w:numPr>
          <w:ilvl w:val="1"/>
          <w:numId w:val="127"/>
        </w:numPr>
        <w:tabs>
          <w:tab w:val="left" w:pos="0"/>
        </w:tabs>
        <w:ind w:left="0" w:right="-516" w:firstLine="0"/>
        <w:contextualSpacing/>
        <w:outlineLvl w:val="1"/>
        <w:rPr>
          <w:b/>
          <w:bCs/>
          <w:i/>
          <w:iCs/>
        </w:rPr>
      </w:pPr>
      <w:r w:rsidRPr="000C1321">
        <w:rPr>
          <w:b/>
          <w:bCs/>
          <w:iCs/>
        </w:rPr>
        <w:t>INTRODUCCIÓN</w:t>
      </w:r>
    </w:p>
    <w:p w14:paraId="17E25D29" w14:textId="77777777" w:rsidR="0003308B" w:rsidRPr="000C1321" w:rsidRDefault="0003308B" w:rsidP="0003308B">
      <w:pPr>
        <w:tabs>
          <w:tab w:val="left" w:pos="142"/>
        </w:tabs>
        <w:rPr>
          <w:i/>
          <w:lang w:val="es-MX"/>
        </w:rPr>
      </w:pPr>
    </w:p>
    <w:p w14:paraId="621C9A7A" w14:textId="77777777" w:rsidR="0003308B" w:rsidRPr="000C1321" w:rsidRDefault="0003308B" w:rsidP="0003308B">
      <w:pPr>
        <w:tabs>
          <w:tab w:val="left" w:pos="142"/>
        </w:tabs>
        <w:rPr>
          <w:i/>
          <w:lang w:val="es-MX"/>
        </w:rPr>
      </w:pPr>
      <w:r w:rsidRPr="000C1321">
        <w:rPr>
          <w:lang w:val="es-MX"/>
        </w:rPr>
        <w:t>El objetivo de estas especificaciones es servir como guía para garantizar que el diseño y la ejecución de las obras de los proyectos de agua y saneamiento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7E5F1714" w14:textId="77777777" w:rsidR="0003308B" w:rsidRPr="000C1321" w:rsidRDefault="0003308B" w:rsidP="0003308B">
      <w:pPr>
        <w:tabs>
          <w:tab w:val="left" w:pos="142"/>
        </w:tabs>
        <w:rPr>
          <w:i/>
          <w:lang w:val="es-MX"/>
        </w:rPr>
      </w:pPr>
    </w:p>
    <w:p w14:paraId="21055586" w14:textId="77777777" w:rsidR="0003308B" w:rsidRPr="000C1321" w:rsidRDefault="0003308B" w:rsidP="0003308B">
      <w:pPr>
        <w:tabs>
          <w:tab w:val="left" w:pos="142"/>
        </w:tabs>
        <w:rPr>
          <w:i/>
          <w:lang w:val="es-MX"/>
        </w:rPr>
      </w:pPr>
      <w:r w:rsidRPr="000C1321">
        <w:rPr>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64AEC7E0" w14:textId="77777777" w:rsidR="0003308B" w:rsidRPr="000C1321" w:rsidRDefault="0003308B" w:rsidP="0003308B">
      <w:pPr>
        <w:pStyle w:val="Prrafodelista"/>
        <w:keepNext/>
        <w:tabs>
          <w:tab w:val="left" w:pos="0"/>
        </w:tabs>
        <w:ind w:left="0" w:right="-516"/>
        <w:outlineLvl w:val="1"/>
        <w:rPr>
          <w:b/>
          <w:bCs/>
          <w:i/>
          <w:iCs/>
        </w:rPr>
      </w:pPr>
    </w:p>
    <w:p w14:paraId="2036C02F" w14:textId="77777777" w:rsidR="0003308B" w:rsidRPr="000C1321" w:rsidRDefault="0003308B" w:rsidP="003B68DB">
      <w:pPr>
        <w:pStyle w:val="Prrafodelista"/>
        <w:keepNext/>
        <w:numPr>
          <w:ilvl w:val="1"/>
          <w:numId w:val="127"/>
        </w:numPr>
        <w:tabs>
          <w:tab w:val="left" w:pos="0"/>
        </w:tabs>
        <w:ind w:left="0" w:right="-516" w:firstLine="0"/>
        <w:contextualSpacing/>
        <w:outlineLvl w:val="1"/>
        <w:rPr>
          <w:b/>
          <w:bCs/>
          <w:i/>
          <w:iCs/>
        </w:rPr>
      </w:pPr>
      <w:r w:rsidRPr="000C1321">
        <w:rPr>
          <w:b/>
          <w:bCs/>
          <w:iCs/>
        </w:rPr>
        <w:t xml:space="preserve">ESPECIFICACIONES TÉCNICAS AMBIENTALES GENERALES PARA LOS PROYECTOS NUEVO </w:t>
      </w:r>
    </w:p>
    <w:p w14:paraId="6F777C73" w14:textId="77777777" w:rsidR="0003308B" w:rsidRPr="000C1321" w:rsidRDefault="0003308B" w:rsidP="0003308B">
      <w:pPr>
        <w:tabs>
          <w:tab w:val="left" w:pos="142"/>
        </w:tabs>
        <w:rPr>
          <w:i/>
          <w:lang w:val="es-MX"/>
        </w:rPr>
      </w:pPr>
    </w:p>
    <w:p w14:paraId="55EE3C84" w14:textId="77777777" w:rsidR="0003308B" w:rsidRPr="000C1321" w:rsidRDefault="0003308B" w:rsidP="0003308B">
      <w:pPr>
        <w:tabs>
          <w:tab w:val="left" w:pos="142"/>
        </w:tabs>
        <w:rPr>
          <w:b/>
          <w:i/>
        </w:rPr>
      </w:pPr>
      <w:r w:rsidRPr="000C1321">
        <w:rPr>
          <w:b/>
        </w:rPr>
        <w:t>Disposición de materiales y residuos</w:t>
      </w:r>
    </w:p>
    <w:p w14:paraId="2F946DCB" w14:textId="77777777" w:rsidR="0003308B" w:rsidRPr="000C1321" w:rsidRDefault="0003308B" w:rsidP="0003308B">
      <w:pPr>
        <w:tabs>
          <w:tab w:val="left" w:pos="142"/>
        </w:tabs>
        <w:rPr>
          <w:b/>
          <w:i/>
        </w:rPr>
      </w:pPr>
    </w:p>
    <w:p w14:paraId="6C44D66A" w14:textId="77777777" w:rsidR="0003308B" w:rsidRPr="000C1321" w:rsidRDefault="0003308B" w:rsidP="003B68DB">
      <w:pPr>
        <w:pStyle w:val="Prrafodelista"/>
        <w:numPr>
          <w:ilvl w:val="0"/>
          <w:numId w:val="134"/>
        </w:numPr>
        <w:tabs>
          <w:tab w:val="left" w:pos="142"/>
        </w:tabs>
        <w:contextualSpacing/>
        <w:rPr>
          <w:i/>
          <w:lang w:val="es-MX"/>
        </w:rPr>
      </w:pPr>
      <w:r w:rsidRPr="000C1321">
        <w:t>Antes de iniciar actividades, se debe delimitar el área a intervenir y señalizar a través de barreras, estacas, cintas reflectoras, entre otras.</w:t>
      </w:r>
    </w:p>
    <w:p w14:paraId="27E2A043" w14:textId="77777777" w:rsidR="0003308B" w:rsidRPr="000C1321" w:rsidRDefault="0003308B" w:rsidP="003B68DB">
      <w:pPr>
        <w:pStyle w:val="Prrafodelista"/>
        <w:numPr>
          <w:ilvl w:val="0"/>
          <w:numId w:val="134"/>
        </w:numPr>
        <w:tabs>
          <w:tab w:val="left" w:pos="142"/>
        </w:tabs>
        <w:contextualSpacing/>
        <w:rPr>
          <w:i/>
          <w:lang w:val="es-MX"/>
        </w:rPr>
      </w:pPr>
      <w:r w:rsidRPr="000C1321">
        <w:t>Una vez generado el material (escombros) de excavación o demolición se debe clasificar, almacenar y resguardar inmediatamente del frente de la obra y una vez finalizada ser retirados a sitios autorizados.</w:t>
      </w:r>
    </w:p>
    <w:p w14:paraId="3C2AF8A4" w14:textId="77777777" w:rsidR="0003308B" w:rsidRPr="000C1321" w:rsidRDefault="0003308B" w:rsidP="003B68DB">
      <w:pPr>
        <w:pStyle w:val="Prrafodelista"/>
        <w:numPr>
          <w:ilvl w:val="0"/>
          <w:numId w:val="134"/>
        </w:numPr>
        <w:tabs>
          <w:tab w:val="left" w:pos="142"/>
        </w:tabs>
        <w:contextualSpacing/>
        <w:rPr>
          <w:i/>
          <w:lang w:val="es-MX"/>
        </w:rPr>
      </w:pPr>
      <w:r w:rsidRPr="000C1321">
        <w:lastRenderedPageBreak/>
        <w:t>Cubrir los materiales acopiados o producto de la excavación con lonas o plástico para evitar el arrastre de sedimentos al cuerpo de agua e impedir la dispersión del material por acción del viento.</w:t>
      </w:r>
    </w:p>
    <w:p w14:paraId="57917E4C" w14:textId="77777777" w:rsidR="0003308B" w:rsidRPr="000C1321" w:rsidRDefault="0003308B" w:rsidP="003B68DB">
      <w:pPr>
        <w:pStyle w:val="Prrafodelista"/>
        <w:numPr>
          <w:ilvl w:val="0"/>
          <w:numId w:val="134"/>
        </w:numPr>
        <w:tabs>
          <w:tab w:val="left" w:pos="142"/>
        </w:tabs>
        <w:contextualSpacing/>
        <w:rPr>
          <w:i/>
          <w:lang w:val="es-MX"/>
        </w:rPr>
      </w:pPr>
      <w:r w:rsidRPr="000C1321">
        <w:t>El contratista no puede directamente o a través de terceras personas, disponer de estos residuos en sitios diferentes que los establecidos para ello y autorizados por el supervisor.</w:t>
      </w:r>
    </w:p>
    <w:p w14:paraId="03A717D5" w14:textId="77777777" w:rsidR="0003308B" w:rsidRPr="000C1321" w:rsidRDefault="0003308B" w:rsidP="003B68DB">
      <w:pPr>
        <w:pStyle w:val="Prrafodelista"/>
        <w:numPr>
          <w:ilvl w:val="0"/>
          <w:numId w:val="134"/>
        </w:numPr>
        <w:tabs>
          <w:tab w:val="left" w:pos="142"/>
        </w:tabs>
        <w:contextualSpacing/>
        <w:rPr>
          <w:i/>
          <w:lang w:val="es-MX"/>
        </w:rPr>
      </w:pPr>
      <w:r w:rsidRPr="000C1321">
        <w:t>No se permitirá botar los residuos en ríos o quebradas, calzadas, canales de aguas pluviales o cauces, cuerpos de agua o cualquier otro sitio donde puedan ser causa de contaminación del ambiente o deterioro del paisaje.</w:t>
      </w:r>
    </w:p>
    <w:p w14:paraId="3C4A0146" w14:textId="77777777" w:rsidR="0003308B" w:rsidRPr="000C1321" w:rsidRDefault="0003308B" w:rsidP="003B68DB">
      <w:pPr>
        <w:pStyle w:val="Prrafodelista"/>
        <w:numPr>
          <w:ilvl w:val="0"/>
          <w:numId w:val="134"/>
        </w:numPr>
        <w:tabs>
          <w:tab w:val="left" w:pos="142"/>
        </w:tabs>
        <w:contextualSpacing/>
        <w:rPr>
          <w:i/>
          <w:lang w:val="es-MX"/>
        </w:rPr>
      </w:pPr>
      <w:r w:rsidRPr="000C1321">
        <w:t>No disponer en cauces o cursos los sobrantes de mezclas de concreto.</w:t>
      </w:r>
    </w:p>
    <w:p w14:paraId="7E1FAB6C" w14:textId="77777777" w:rsidR="0003308B" w:rsidRPr="000C1321" w:rsidRDefault="0003308B" w:rsidP="003B68DB">
      <w:pPr>
        <w:pStyle w:val="Prrafodelista"/>
        <w:numPr>
          <w:ilvl w:val="0"/>
          <w:numId w:val="134"/>
        </w:numPr>
        <w:tabs>
          <w:tab w:val="left" w:pos="142"/>
        </w:tabs>
        <w:contextualSpacing/>
        <w:rPr>
          <w:i/>
          <w:lang w:val="es-MX"/>
        </w:rPr>
      </w:pPr>
      <w:r w:rsidRPr="000C1321">
        <w:t>Se recomienda en separar el papel y la madera que pueda ser utilizados como combustible, la tierra sobrante de excavación que se pueda disponer como relleno, los metales y los plásticos que se puedan reciclar.</w:t>
      </w:r>
    </w:p>
    <w:p w14:paraId="20005C00" w14:textId="77777777" w:rsidR="0003308B" w:rsidRPr="000C1321" w:rsidRDefault="0003308B" w:rsidP="003B68DB">
      <w:pPr>
        <w:pStyle w:val="Prrafodelista"/>
        <w:numPr>
          <w:ilvl w:val="0"/>
          <w:numId w:val="134"/>
        </w:numPr>
        <w:tabs>
          <w:tab w:val="left" w:pos="142"/>
        </w:tabs>
        <w:contextualSpacing/>
        <w:rPr>
          <w:i/>
          <w:lang w:val="es-MX"/>
        </w:rPr>
      </w:pPr>
      <w:r w:rsidRPr="000C1321">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48D638F3" w14:textId="77777777" w:rsidR="0003308B" w:rsidRPr="000C1321" w:rsidRDefault="0003308B" w:rsidP="003B68DB">
      <w:pPr>
        <w:pStyle w:val="Prrafodelista"/>
        <w:numPr>
          <w:ilvl w:val="0"/>
          <w:numId w:val="134"/>
        </w:numPr>
        <w:tabs>
          <w:tab w:val="left" w:pos="142"/>
        </w:tabs>
        <w:contextualSpacing/>
        <w:rPr>
          <w:i/>
          <w:lang w:val="es-MX"/>
        </w:rPr>
      </w:pPr>
      <w:r w:rsidRPr="000C1321">
        <w:t>Al finalizar cada actividad de la obra en el día, los sitios de las obras y sus zonas contiguas deberán estar en óptimas condiciones de limpieza y libre de cualquier tipo de material de desecho.</w:t>
      </w:r>
    </w:p>
    <w:p w14:paraId="5D53B105" w14:textId="77777777" w:rsidR="0003308B" w:rsidRPr="000C1321" w:rsidRDefault="0003308B" w:rsidP="003B68DB">
      <w:pPr>
        <w:pStyle w:val="Prrafodelista"/>
        <w:numPr>
          <w:ilvl w:val="0"/>
          <w:numId w:val="134"/>
        </w:numPr>
        <w:tabs>
          <w:tab w:val="left" w:pos="142"/>
        </w:tabs>
        <w:contextualSpacing/>
        <w:rPr>
          <w:i/>
          <w:lang w:val="es-MX"/>
        </w:rPr>
      </w:pPr>
      <w:r w:rsidRPr="000C1321">
        <w:t>Las zonas de paso, salidas y vías de circulación de los lugares de trabajo deberán permanecer libres de obstáculos, de forma que sea posible utilizarlas sin dificultad.</w:t>
      </w:r>
    </w:p>
    <w:p w14:paraId="6EBAF87C" w14:textId="77777777" w:rsidR="0003308B" w:rsidRPr="000C1321" w:rsidRDefault="0003308B" w:rsidP="003B68DB">
      <w:pPr>
        <w:pStyle w:val="Prrafodelista"/>
        <w:numPr>
          <w:ilvl w:val="0"/>
          <w:numId w:val="134"/>
        </w:numPr>
        <w:tabs>
          <w:tab w:val="left" w:pos="142"/>
        </w:tabs>
        <w:contextualSpacing/>
        <w:rPr>
          <w:i/>
          <w:lang w:val="es-MX"/>
        </w:rPr>
      </w:pPr>
      <w:r w:rsidRPr="000C1321">
        <w:t>Se prohíbe la utilización de las zonas verdes y el espacio público para la disposición temporal de materiales sobrantes, producto de las actividades constructivas de los proyectos.</w:t>
      </w:r>
    </w:p>
    <w:p w14:paraId="15DBADED" w14:textId="77777777" w:rsidR="0003308B" w:rsidRPr="000C1321" w:rsidRDefault="0003308B" w:rsidP="003B68DB">
      <w:pPr>
        <w:pStyle w:val="Prrafodelista"/>
        <w:numPr>
          <w:ilvl w:val="0"/>
          <w:numId w:val="134"/>
        </w:numPr>
        <w:tabs>
          <w:tab w:val="left" w:pos="142"/>
        </w:tabs>
        <w:contextualSpacing/>
        <w:rPr>
          <w:i/>
          <w:lang w:val="es-MX"/>
        </w:rPr>
      </w:pPr>
      <w:r w:rsidRPr="000C1321">
        <w:t xml:space="preserve">El contratista debe contar con materiales aptos para la mezcla de cemento como: lona de plástico, batea, entre otros.   </w:t>
      </w:r>
    </w:p>
    <w:p w14:paraId="27AC20C2" w14:textId="77777777" w:rsidR="0003308B" w:rsidRPr="000C1321" w:rsidRDefault="0003308B" w:rsidP="0003308B">
      <w:pPr>
        <w:tabs>
          <w:tab w:val="left" w:pos="142"/>
        </w:tabs>
        <w:ind w:left="720"/>
        <w:rPr>
          <w:i/>
        </w:rPr>
      </w:pPr>
    </w:p>
    <w:p w14:paraId="11718D25" w14:textId="77777777" w:rsidR="0003308B" w:rsidRPr="000C1321" w:rsidRDefault="0003308B" w:rsidP="0003308B">
      <w:pPr>
        <w:tabs>
          <w:tab w:val="left" w:pos="142"/>
        </w:tabs>
        <w:rPr>
          <w:b/>
          <w:i/>
        </w:rPr>
      </w:pPr>
      <w:r w:rsidRPr="000C1321">
        <w:rPr>
          <w:b/>
        </w:rPr>
        <w:t>Disposiciones de Excretas</w:t>
      </w:r>
    </w:p>
    <w:p w14:paraId="4C406FAD" w14:textId="77777777" w:rsidR="0003308B" w:rsidRPr="000C1321" w:rsidRDefault="0003308B" w:rsidP="0003308B">
      <w:pPr>
        <w:tabs>
          <w:tab w:val="left" w:pos="142"/>
        </w:tabs>
        <w:rPr>
          <w:b/>
          <w:i/>
        </w:rPr>
      </w:pPr>
    </w:p>
    <w:p w14:paraId="5F091244" w14:textId="77777777" w:rsidR="0003308B" w:rsidRPr="000C1321" w:rsidRDefault="0003308B" w:rsidP="003B68DB">
      <w:pPr>
        <w:pStyle w:val="Prrafodelista"/>
        <w:numPr>
          <w:ilvl w:val="0"/>
          <w:numId w:val="135"/>
        </w:numPr>
        <w:tabs>
          <w:tab w:val="left" w:pos="142"/>
        </w:tabs>
        <w:contextualSpacing/>
        <w:rPr>
          <w:i/>
          <w:lang w:val="es-MX"/>
        </w:rPr>
      </w:pPr>
      <w:r w:rsidRPr="000C1321">
        <w:t>Si el sitio de las obras no dispone de sistema sanitario que pueda ser utilizado por los trabajadores del contratista, el contratista deberá construir una letrina para este fin. El tipo de letrina a construir dependerá de la zona donde se ubicará.</w:t>
      </w:r>
    </w:p>
    <w:p w14:paraId="7A0EB369" w14:textId="77777777" w:rsidR="0003308B" w:rsidRPr="000C1321" w:rsidRDefault="0003308B" w:rsidP="0003308B">
      <w:pPr>
        <w:tabs>
          <w:tab w:val="left" w:pos="142"/>
        </w:tabs>
        <w:rPr>
          <w:i/>
        </w:rPr>
      </w:pPr>
    </w:p>
    <w:p w14:paraId="2105B4E3" w14:textId="77777777" w:rsidR="0003308B" w:rsidRPr="000C1321" w:rsidRDefault="0003308B" w:rsidP="0003308B">
      <w:pPr>
        <w:tabs>
          <w:tab w:val="left" w:pos="142"/>
        </w:tabs>
        <w:rPr>
          <w:b/>
          <w:i/>
          <w:iCs/>
        </w:rPr>
      </w:pPr>
      <w:r w:rsidRPr="000C1321">
        <w:rPr>
          <w:b/>
          <w:iCs/>
        </w:rPr>
        <w:t>Residuos Líquidos</w:t>
      </w:r>
    </w:p>
    <w:p w14:paraId="72F9381C" w14:textId="77777777" w:rsidR="0003308B" w:rsidRPr="000C1321" w:rsidRDefault="0003308B" w:rsidP="0003308B">
      <w:pPr>
        <w:tabs>
          <w:tab w:val="left" w:pos="142"/>
        </w:tabs>
        <w:rPr>
          <w:b/>
          <w:i/>
          <w:iCs/>
        </w:rPr>
      </w:pPr>
    </w:p>
    <w:p w14:paraId="5DEA8D98" w14:textId="77777777" w:rsidR="0003308B" w:rsidRPr="000C1321" w:rsidRDefault="0003308B" w:rsidP="003B68DB">
      <w:pPr>
        <w:pStyle w:val="Prrafodelista"/>
        <w:numPr>
          <w:ilvl w:val="0"/>
          <w:numId w:val="135"/>
        </w:numPr>
        <w:tabs>
          <w:tab w:val="left" w:pos="142"/>
        </w:tabs>
        <w:contextualSpacing/>
        <w:rPr>
          <w:i/>
          <w:lang w:val="es-MX"/>
        </w:rPr>
      </w:pPr>
      <w:r w:rsidRPr="000C1321">
        <w:t xml:space="preserve">Los residuos líquidos como grasas, aceites y pintura con base de aceite, se les deberán de almacenar en pequeños envases herméticos y disponerlos en vertederos en la municipalidad.  </w:t>
      </w:r>
    </w:p>
    <w:p w14:paraId="0A46F124" w14:textId="77777777" w:rsidR="0003308B" w:rsidRPr="000C1321" w:rsidRDefault="0003308B" w:rsidP="0003308B">
      <w:pPr>
        <w:tabs>
          <w:tab w:val="left" w:pos="142"/>
        </w:tabs>
        <w:ind w:left="720"/>
        <w:rPr>
          <w:i/>
          <w:lang w:val="es-MX"/>
        </w:rPr>
      </w:pPr>
    </w:p>
    <w:p w14:paraId="5E9D9B4A" w14:textId="77777777" w:rsidR="0003308B" w:rsidRPr="000C1321" w:rsidRDefault="0003308B" w:rsidP="003B68DB">
      <w:pPr>
        <w:pStyle w:val="Prrafodelista"/>
        <w:numPr>
          <w:ilvl w:val="0"/>
          <w:numId w:val="135"/>
        </w:numPr>
        <w:tabs>
          <w:tab w:val="left" w:pos="142"/>
        </w:tabs>
        <w:contextualSpacing/>
        <w:rPr>
          <w:i/>
          <w:lang w:val="es-MX"/>
        </w:rPr>
      </w:pPr>
      <w:r w:rsidRPr="000C1321">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5F5B3BF9" w14:textId="77777777" w:rsidR="0003308B" w:rsidRPr="000C1321" w:rsidRDefault="0003308B" w:rsidP="0003308B">
      <w:pPr>
        <w:pStyle w:val="Prrafodelista"/>
        <w:tabs>
          <w:tab w:val="left" w:pos="142"/>
        </w:tabs>
        <w:rPr>
          <w:i/>
          <w:lang w:val="es-MX"/>
        </w:rPr>
      </w:pPr>
    </w:p>
    <w:p w14:paraId="4A18B458" w14:textId="77777777" w:rsidR="0003308B" w:rsidRPr="000C1321" w:rsidRDefault="0003308B" w:rsidP="0003308B">
      <w:pPr>
        <w:tabs>
          <w:tab w:val="left" w:pos="142"/>
        </w:tabs>
        <w:rPr>
          <w:b/>
          <w:i/>
          <w:iCs/>
        </w:rPr>
      </w:pPr>
      <w:r w:rsidRPr="000C1321">
        <w:rPr>
          <w:b/>
          <w:iCs/>
        </w:rPr>
        <w:t>Residuos de Tierra Sobrante</w:t>
      </w:r>
    </w:p>
    <w:p w14:paraId="30CB7B99" w14:textId="77777777" w:rsidR="0003308B" w:rsidRPr="000C1321" w:rsidRDefault="0003308B" w:rsidP="0003308B">
      <w:pPr>
        <w:tabs>
          <w:tab w:val="left" w:pos="142"/>
        </w:tabs>
        <w:rPr>
          <w:b/>
          <w:i/>
          <w:iCs/>
        </w:rPr>
      </w:pPr>
    </w:p>
    <w:p w14:paraId="09515814" w14:textId="77777777" w:rsidR="0003308B" w:rsidRPr="000C1321" w:rsidRDefault="0003308B" w:rsidP="003B68DB">
      <w:pPr>
        <w:pStyle w:val="Prrafodelista"/>
        <w:numPr>
          <w:ilvl w:val="0"/>
          <w:numId w:val="136"/>
        </w:numPr>
        <w:tabs>
          <w:tab w:val="left" w:pos="142"/>
        </w:tabs>
        <w:contextualSpacing/>
        <w:rPr>
          <w:i/>
          <w:lang w:val="es-MX"/>
        </w:rPr>
      </w:pPr>
      <w:r w:rsidRPr="000C1321">
        <w:t xml:space="preserve">Los residuos de tierra sobrante deben utilizarse, cuando sea posible como relleno, de lo contrario deberá disponerse como material sólido. Por ningún motivo se permitirá botar los residuos en ríos o quebradas, calzadas públicas, canales de aguas pluviales o cauces, </w:t>
      </w:r>
      <w:r w:rsidRPr="000C1321">
        <w:lastRenderedPageBreak/>
        <w:t>cuerpos de agua o cualquier otro sitio donde puedan ser causa de contaminación del ambiente o deterioro del paisaje.</w:t>
      </w:r>
    </w:p>
    <w:p w14:paraId="10ACB349" w14:textId="77777777" w:rsidR="0003308B" w:rsidRPr="000C1321" w:rsidRDefault="0003308B" w:rsidP="0003308B">
      <w:pPr>
        <w:tabs>
          <w:tab w:val="left" w:pos="142"/>
        </w:tabs>
        <w:ind w:left="720"/>
        <w:rPr>
          <w:i/>
          <w:lang w:val="es-MX"/>
        </w:rPr>
      </w:pPr>
    </w:p>
    <w:p w14:paraId="4C66BDF4" w14:textId="77777777" w:rsidR="0003308B" w:rsidRPr="000C1321" w:rsidRDefault="0003308B" w:rsidP="0003308B">
      <w:pPr>
        <w:tabs>
          <w:tab w:val="left" w:pos="142"/>
        </w:tabs>
        <w:rPr>
          <w:b/>
          <w:i/>
          <w:iCs/>
        </w:rPr>
      </w:pPr>
      <w:r w:rsidRPr="000C1321">
        <w:rPr>
          <w:b/>
          <w:iCs/>
        </w:rPr>
        <w:t>Apertura de Zanjas</w:t>
      </w:r>
    </w:p>
    <w:p w14:paraId="1C920997" w14:textId="77777777" w:rsidR="0003308B" w:rsidRPr="000C1321" w:rsidRDefault="0003308B" w:rsidP="0003308B">
      <w:pPr>
        <w:tabs>
          <w:tab w:val="left" w:pos="142"/>
        </w:tabs>
        <w:rPr>
          <w:b/>
          <w:i/>
          <w:iCs/>
        </w:rPr>
      </w:pPr>
    </w:p>
    <w:p w14:paraId="2986B86E" w14:textId="77777777" w:rsidR="0003308B" w:rsidRPr="000C1321" w:rsidRDefault="0003308B" w:rsidP="003B68DB">
      <w:pPr>
        <w:pStyle w:val="Prrafodelista"/>
        <w:numPr>
          <w:ilvl w:val="0"/>
          <w:numId w:val="139"/>
        </w:numPr>
        <w:tabs>
          <w:tab w:val="left" w:pos="142"/>
        </w:tabs>
        <w:contextualSpacing/>
        <w:rPr>
          <w:b/>
          <w:i/>
          <w:iCs/>
        </w:rPr>
      </w:pPr>
      <w:r w:rsidRPr="000C1321">
        <w:t>Las zanjas que se excaven para la instalación de las tuberías de agua potable o servida, tanques sépticos y pozos de absorción, deberán señalizarse con cinta de color naranja internacional, para evitar accidentes.</w:t>
      </w:r>
    </w:p>
    <w:p w14:paraId="305E0DE2" w14:textId="77777777" w:rsidR="0003308B" w:rsidRPr="000C1321" w:rsidRDefault="0003308B" w:rsidP="003B68DB">
      <w:pPr>
        <w:pStyle w:val="Prrafodelista"/>
        <w:numPr>
          <w:ilvl w:val="0"/>
          <w:numId w:val="139"/>
        </w:numPr>
        <w:tabs>
          <w:tab w:val="left" w:pos="142"/>
        </w:tabs>
        <w:contextualSpacing/>
        <w:rPr>
          <w:i/>
          <w:lang w:val="es-MX"/>
        </w:rPr>
      </w:pPr>
      <w:r w:rsidRPr="000C1321">
        <w:t>El material excavado se deberá depositar al lado de la misma y cubrir con plástico durante la época lluviosa, para evitar el arrastre de material por la escorrentía.</w:t>
      </w:r>
    </w:p>
    <w:p w14:paraId="23475A3D" w14:textId="77777777" w:rsidR="0003308B" w:rsidRPr="000C1321" w:rsidRDefault="0003308B" w:rsidP="003B68DB">
      <w:pPr>
        <w:pStyle w:val="Prrafodelista"/>
        <w:numPr>
          <w:ilvl w:val="0"/>
          <w:numId w:val="139"/>
        </w:numPr>
        <w:tabs>
          <w:tab w:val="left" w:pos="142"/>
        </w:tabs>
        <w:contextualSpacing/>
        <w:rPr>
          <w:i/>
          <w:lang w:val="es-MX"/>
        </w:rPr>
      </w:pPr>
      <w:r w:rsidRPr="000C1321">
        <w:t>En época de sequía, se deberá humedecer el material para minimizar la producción de polvo.</w:t>
      </w:r>
    </w:p>
    <w:p w14:paraId="035DA66A" w14:textId="77777777" w:rsidR="0003308B" w:rsidRPr="000C1321" w:rsidRDefault="0003308B" w:rsidP="003B68DB">
      <w:pPr>
        <w:pStyle w:val="Default"/>
        <w:numPr>
          <w:ilvl w:val="0"/>
          <w:numId w:val="139"/>
        </w:numPr>
        <w:tabs>
          <w:tab w:val="left" w:pos="142"/>
        </w:tabs>
        <w:jc w:val="both"/>
        <w:rPr>
          <w:color w:val="auto"/>
        </w:rPr>
      </w:pPr>
      <w:r w:rsidRPr="000C1321">
        <w:rPr>
          <w:color w:val="auto"/>
        </w:rPr>
        <w:t xml:space="preserve">Si el material excavado es inestable, se deberán entibar las zanjas independientemente de la altura. Si el material es estable, se entibará a partir de 2.50 metros. </w:t>
      </w:r>
    </w:p>
    <w:p w14:paraId="3AC5D23A" w14:textId="77777777" w:rsidR="0003308B" w:rsidRPr="000C1321" w:rsidRDefault="0003308B" w:rsidP="0003308B">
      <w:pPr>
        <w:pStyle w:val="Default"/>
        <w:tabs>
          <w:tab w:val="left" w:pos="142"/>
        </w:tabs>
        <w:jc w:val="both"/>
        <w:rPr>
          <w:color w:val="auto"/>
        </w:rPr>
      </w:pPr>
    </w:p>
    <w:p w14:paraId="521ECADE" w14:textId="77777777" w:rsidR="0003308B" w:rsidRPr="000C1321" w:rsidRDefault="0003308B" w:rsidP="0003308B">
      <w:pPr>
        <w:tabs>
          <w:tab w:val="left" w:pos="142"/>
        </w:tabs>
        <w:rPr>
          <w:b/>
          <w:i/>
          <w:iCs/>
        </w:rPr>
      </w:pPr>
      <w:r w:rsidRPr="000C1321">
        <w:rPr>
          <w:b/>
          <w:iCs/>
        </w:rPr>
        <w:t>Tala de árboles y Reemplazo</w:t>
      </w:r>
    </w:p>
    <w:p w14:paraId="025991A6" w14:textId="77777777" w:rsidR="0003308B" w:rsidRPr="000C1321" w:rsidRDefault="0003308B" w:rsidP="0003308B">
      <w:pPr>
        <w:tabs>
          <w:tab w:val="left" w:pos="142"/>
        </w:tabs>
        <w:rPr>
          <w:b/>
          <w:i/>
          <w:iCs/>
        </w:rPr>
      </w:pPr>
    </w:p>
    <w:p w14:paraId="41354F77" w14:textId="77777777" w:rsidR="0003308B" w:rsidRPr="000C1321" w:rsidRDefault="0003308B" w:rsidP="003B68DB">
      <w:pPr>
        <w:pStyle w:val="Prrafodelista"/>
        <w:numPr>
          <w:ilvl w:val="0"/>
          <w:numId w:val="138"/>
        </w:numPr>
        <w:tabs>
          <w:tab w:val="left" w:pos="142"/>
        </w:tabs>
        <w:ind w:left="502"/>
        <w:contextualSpacing/>
        <w:rPr>
          <w:rFonts w:eastAsiaTheme="minorHAnsi"/>
          <w:i/>
          <w:lang w:val="es-NI"/>
        </w:rPr>
      </w:pPr>
      <w:r w:rsidRPr="000C1321">
        <w:rPr>
          <w:rFonts w:eastAsiaTheme="minorHAnsi"/>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353670FC" w14:textId="77777777" w:rsidR="0003308B" w:rsidRPr="000C1321" w:rsidRDefault="0003308B" w:rsidP="003B68DB">
      <w:pPr>
        <w:pStyle w:val="Prrafodelista"/>
        <w:numPr>
          <w:ilvl w:val="0"/>
          <w:numId w:val="138"/>
        </w:numPr>
        <w:tabs>
          <w:tab w:val="left" w:pos="142"/>
        </w:tabs>
        <w:ind w:left="502"/>
        <w:contextualSpacing/>
        <w:rPr>
          <w:rFonts w:eastAsiaTheme="minorHAnsi"/>
          <w:i/>
          <w:lang w:val="es-NI"/>
        </w:rPr>
      </w:pPr>
      <w:r w:rsidRPr="000C1321">
        <w:rPr>
          <w:rFonts w:eastAsiaTheme="minorHAnsi"/>
          <w:lang w:val="es-NI"/>
        </w:rPr>
        <w:t>Si el contratista, en la ejecución del proyecto, requiere talar árboles adicionales a los contemplados en los planos y diseños del proyecto, deberá asumir los costos de dicha acción y cumplir con los requisitos establecidos.</w:t>
      </w:r>
    </w:p>
    <w:p w14:paraId="04993B7B" w14:textId="77777777" w:rsidR="0003308B" w:rsidRPr="000C1321" w:rsidRDefault="0003308B" w:rsidP="003B68DB">
      <w:pPr>
        <w:pStyle w:val="Prrafodelista"/>
        <w:numPr>
          <w:ilvl w:val="0"/>
          <w:numId w:val="138"/>
        </w:numPr>
        <w:tabs>
          <w:tab w:val="left" w:pos="142"/>
        </w:tabs>
        <w:ind w:left="502"/>
        <w:contextualSpacing/>
        <w:rPr>
          <w:i/>
          <w:lang w:val="es-MX"/>
        </w:rPr>
      </w:pPr>
      <w:r w:rsidRPr="000C1321">
        <w:rPr>
          <w:rFonts w:eastAsiaTheme="minorHAnsi"/>
          <w:lang w:val="es-NI"/>
        </w:rPr>
        <w:t>Si las condiciones del terreno, no permiten la siembra del número de árboles requerido el contratista podrá realizar la siembra dentro de la comunidad con previa autorización del</w:t>
      </w:r>
      <w:r w:rsidRPr="000C1321">
        <w:t xml:space="preserve"> supervisor en común acuerdo con la comunidad.  </w:t>
      </w:r>
    </w:p>
    <w:p w14:paraId="058B9F8D" w14:textId="77777777" w:rsidR="0003308B" w:rsidRPr="000C1321" w:rsidRDefault="0003308B" w:rsidP="0003308B">
      <w:pPr>
        <w:pStyle w:val="Prrafodelista"/>
        <w:tabs>
          <w:tab w:val="left" w:pos="142"/>
        </w:tabs>
        <w:ind w:left="360"/>
        <w:rPr>
          <w:i/>
          <w:lang w:val="es-MX"/>
        </w:rPr>
      </w:pPr>
    </w:p>
    <w:p w14:paraId="58748ABC" w14:textId="77777777" w:rsidR="0003308B" w:rsidRPr="000C1321" w:rsidRDefault="0003308B" w:rsidP="0003308B">
      <w:pPr>
        <w:tabs>
          <w:tab w:val="left" w:pos="142"/>
        </w:tabs>
        <w:rPr>
          <w:b/>
          <w:i/>
          <w:iCs/>
        </w:rPr>
      </w:pPr>
      <w:r w:rsidRPr="000C1321">
        <w:rPr>
          <w:b/>
          <w:iCs/>
        </w:rPr>
        <w:t>Sustancias peligrosas</w:t>
      </w:r>
    </w:p>
    <w:p w14:paraId="09FB3614" w14:textId="77777777" w:rsidR="0003308B" w:rsidRPr="000C1321" w:rsidRDefault="0003308B" w:rsidP="0003308B">
      <w:pPr>
        <w:tabs>
          <w:tab w:val="left" w:pos="142"/>
        </w:tabs>
        <w:rPr>
          <w:b/>
          <w:i/>
          <w:iCs/>
        </w:rPr>
      </w:pPr>
    </w:p>
    <w:p w14:paraId="05564056" w14:textId="77777777" w:rsidR="0003308B" w:rsidRPr="000C1321" w:rsidRDefault="0003308B" w:rsidP="003B68DB">
      <w:pPr>
        <w:pStyle w:val="Prrafodelista"/>
        <w:numPr>
          <w:ilvl w:val="0"/>
          <w:numId w:val="137"/>
        </w:numPr>
        <w:tabs>
          <w:tab w:val="left" w:pos="142"/>
        </w:tabs>
        <w:contextualSpacing/>
        <w:rPr>
          <w:i/>
          <w:lang w:val="es-MX"/>
        </w:rPr>
      </w:pPr>
      <w:r w:rsidRPr="000C1321">
        <w:t>No será permitida, bajo ningún motivo, la utilización de productos que contengan plomo en los interiores de las infraestructuras verticales (pintura, etc.)</w:t>
      </w:r>
    </w:p>
    <w:p w14:paraId="58EED704" w14:textId="77777777" w:rsidR="0003308B" w:rsidRPr="000C1321" w:rsidRDefault="0003308B" w:rsidP="003B68DB">
      <w:pPr>
        <w:pStyle w:val="Prrafodelista"/>
        <w:numPr>
          <w:ilvl w:val="0"/>
          <w:numId w:val="137"/>
        </w:numPr>
        <w:tabs>
          <w:tab w:val="left" w:pos="142"/>
        </w:tabs>
        <w:contextualSpacing/>
        <w:rPr>
          <w:i/>
        </w:rPr>
      </w:pPr>
      <w:r w:rsidRPr="000C1321">
        <w:t>No se permitirá que los envases vacíos sean depósitos a orillas de fuentes de agua o áreas de riesgos, para la salud de la población y los animales, sino que deben ser retirados y depositados en el vertedero municipal con condiciones especiales en coordinación con El Supervisor del proyecto y la alcaldía municipal.</w:t>
      </w:r>
    </w:p>
    <w:p w14:paraId="5DBBA1FF" w14:textId="77777777" w:rsidR="0003308B" w:rsidRPr="000C1321" w:rsidRDefault="0003308B" w:rsidP="003B68DB">
      <w:pPr>
        <w:pStyle w:val="Prrafodelista"/>
        <w:numPr>
          <w:ilvl w:val="0"/>
          <w:numId w:val="137"/>
        </w:numPr>
        <w:tabs>
          <w:tab w:val="left" w:pos="142"/>
        </w:tabs>
        <w:contextualSpacing/>
        <w:jc w:val="left"/>
        <w:rPr>
          <w:i/>
          <w:lang w:val="es-MX"/>
        </w:rPr>
      </w:pPr>
      <w:r w:rsidRPr="000C1321">
        <w:rPr>
          <w:color w:val="000000"/>
          <w:lang w:eastAsia="es-NI"/>
        </w:rPr>
        <w:t>El contratista no podrá utilizar materiales de construcción compuesto por sustancias peligrosas tales como:</w:t>
      </w:r>
      <w:r w:rsidRPr="000C1321">
        <w:rPr>
          <w:color w:val="000000"/>
          <w:lang w:eastAsia="es-NI"/>
        </w:rPr>
        <w:br/>
      </w:r>
    </w:p>
    <w:p w14:paraId="0242A2E9" w14:textId="77777777" w:rsidR="0003308B" w:rsidRPr="000C1321" w:rsidRDefault="0003308B" w:rsidP="003B68DB">
      <w:pPr>
        <w:pStyle w:val="Prrafodelista"/>
        <w:numPr>
          <w:ilvl w:val="0"/>
          <w:numId w:val="142"/>
        </w:numPr>
        <w:tabs>
          <w:tab w:val="left" w:pos="142"/>
        </w:tabs>
        <w:contextualSpacing/>
        <w:jc w:val="left"/>
        <w:rPr>
          <w:i/>
          <w:lang w:val="es-MX"/>
        </w:rPr>
      </w:pPr>
      <w:r w:rsidRPr="000C1321">
        <w:rPr>
          <w:color w:val="000000"/>
          <w:lang w:eastAsia="es-NI"/>
        </w:rPr>
        <w:t>Plomo</w:t>
      </w:r>
    </w:p>
    <w:p w14:paraId="51706E01" w14:textId="77777777" w:rsidR="0003308B" w:rsidRPr="000C1321" w:rsidRDefault="0003308B" w:rsidP="003B68DB">
      <w:pPr>
        <w:pStyle w:val="Prrafodelista"/>
        <w:numPr>
          <w:ilvl w:val="0"/>
          <w:numId w:val="142"/>
        </w:numPr>
        <w:tabs>
          <w:tab w:val="left" w:pos="142"/>
        </w:tabs>
        <w:contextualSpacing/>
        <w:jc w:val="left"/>
        <w:rPr>
          <w:i/>
          <w:lang w:val="es-MX"/>
        </w:rPr>
      </w:pPr>
      <w:r w:rsidRPr="000C1321">
        <w:rPr>
          <w:color w:val="000000"/>
          <w:lang w:eastAsia="es-NI"/>
        </w:rPr>
        <w:t>Mercurio</w:t>
      </w:r>
    </w:p>
    <w:p w14:paraId="61390065" w14:textId="77777777" w:rsidR="0003308B" w:rsidRPr="000C1321" w:rsidRDefault="0003308B" w:rsidP="003B68DB">
      <w:pPr>
        <w:pStyle w:val="Prrafodelista"/>
        <w:numPr>
          <w:ilvl w:val="0"/>
          <w:numId w:val="142"/>
        </w:numPr>
        <w:tabs>
          <w:tab w:val="left" w:pos="142"/>
        </w:tabs>
        <w:contextualSpacing/>
        <w:jc w:val="left"/>
        <w:rPr>
          <w:i/>
          <w:lang w:val="es-MX"/>
        </w:rPr>
      </w:pPr>
      <w:r w:rsidRPr="000C1321">
        <w:rPr>
          <w:color w:val="000000"/>
          <w:lang w:eastAsia="es-NI"/>
        </w:rPr>
        <w:t>Asbesto</w:t>
      </w:r>
    </w:p>
    <w:p w14:paraId="62D0FFFA" w14:textId="77777777" w:rsidR="0003308B" w:rsidRPr="000C1321" w:rsidRDefault="0003308B" w:rsidP="003B68DB">
      <w:pPr>
        <w:pStyle w:val="Prrafodelista"/>
        <w:numPr>
          <w:ilvl w:val="0"/>
          <w:numId w:val="142"/>
        </w:numPr>
        <w:tabs>
          <w:tab w:val="left" w:pos="142"/>
        </w:tabs>
        <w:contextualSpacing/>
        <w:jc w:val="left"/>
        <w:rPr>
          <w:i/>
          <w:lang w:val="es-MX"/>
        </w:rPr>
      </w:pPr>
      <w:r w:rsidRPr="000C1321">
        <w:rPr>
          <w:color w:val="000000"/>
          <w:lang w:eastAsia="es-NI"/>
        </w:rPr>
        <w:t>Amianto</w:t>
      </w:r>
    </w:p>
    <w:p w14:paraId="06F8F922" w14:textId="77777777" w:rsidR="0003308B" w:rsidRPr="0066034D" w:rsidRDefault="0003308B" w:rsidP="003B68DB">
      <w:pPr>
        <w:pStyle w:val="Prrafodelista"/>
        <w:numPr>
          <w:ilvl w:val="0"/>
          <w:numId w:val="142"/>
        </w:numPr>
        <w:tabs>
          <w:tab w:val="left" w:pos="142"/>
        </w:tabs>
        <w:contextualSpacing/>
        <w:jc w:val="left"/>
        <w:rPr>
          <w:i/>
          <w:lang w:val="es-MX"/>
        </w:rPr>
      </w:pPr>
      <w:r w:rsidRPr="000C1321">
        <w:rPr>
          <w:color w:val="000000"/>
          <w:lang w:eastAsia="es-NI"/>
        </w:rPr>
        <w:t>Cualquier sustancia susceptible de producir intoxicación o daños por inhalación o contacto</w:t>
      </w:r>
    </w:p>
    <w:p w14:paraId="187A42A1" w14:textId="77777777" w:rsidR="0003308B" w:rsidRPr="000C1321" w:rsidRDefault="0003308B" w:rsidP="0003308B">
      <w:pPr>
        <w:tabs>
          <w:tab w:val="left" w:pos="142"/>
        </w:tabs>
        <w:rPr>
          <w:b/>
          <w:i/>
        </w:rPr>
      </w:pPr>
      <w:r w:rsidRPr="000C1321">
        <w:rPr>
          <w:b/>
        </w:rPr>
        <w:lastRenderedPageBreak/>
        <w:t>Transporte</w:t>
      </w:r>
    </w:p>
    <w:p w14:paraId="255AD396" w14:textId="77777777" w:rsidR="0003308B" w:rsidRPr="000C1321" w:rsidRDefault="0003308B" w:rsidP="0003308B">
      <w:pPr>
        <w:tabs>
          <w:tab w:val="left" w:pos="142"/>
        </w:tabs>
        <w:rPr>
          <w:b/>
          <w:i/>
        </w:rPr>
      </w:pPr>
    </w:p>
    <w:p w14:paraId="2873E4B4" w14:textId="77777777" w:rsidR="0003308B" w:rsidRPr="000C1321" w:rsidRDefault="0003308B" w:rsidP="003B68DB">
      <w:pPr>
        <w:pStyle w:val="Prrafodelista"/>
        <w:numPr>
          <w:ilvl w:val="0"/>
          <w:numId w:val="140"/>
        </w:numPr>
        <w:tabs>
          <w:tab w:val="left" w:pos="142"/>
        </w:tabs>
        <w:ind w:left="502"/>
        <w:contextualSpacing/>
        <w:rPr>
          <w:i/>
          <w:lang w:val="es-MX"/>
        </w:rPr>
      </w:pPr>
      <w:r w:rsidRPr="000C1321">
        <w:t>La maquinaria utilizada deberá mantenerse en las mejores condiciones, considerando motores, minimizando el nivel de ruido.</w:t>
      </w:r>
    </w:p>
    <w:p w14:paraId="0119A49C" w14:textId="77777777" w:rsidR="0003308B" w:rsidRPr="000C1321" w:rsidRDefault="0003308B" w:rsidP="003B68DB">
      <w:pPr>
        <w:pStyle w:val="Prrafodelista"/>
        <w:numPr>
          <w:ilvl w:val="0"/>
          <w:numId w:val="140"/>
        </w:numPr>
        <w:tabs>
          <w:tab w:val="left" w:pos="142"/>
        </w:tabs>
        <w:ind w:left="502"/>
        <w:contextualSpacing/>
        <w:rPr>
          <w:i/>
          <w:lang w:val="es-MX"/>
        </w:rPr>
      </w:pPr>
      <w:r w:rsidRPr="000C1321">
        <w:t>Transporte de escombros y materia de excavación sin superar la capacidad del vehículo de carga.</w:t>
      </w:r>
    </w:p>
    <w:p w14:paraId="4FCCB8A2" w14:textId="77777777" w:rsidR="0003308B" w:rsidRPr="000C1321" w:rsidRDefault="0003308B" w:rsidP="0003308B">
      <w:pPr>
        <w:tabs>
          <w:tab w:val="left" w:pos="142"/>
        </w:tabs>
        <w:ind w:left="-218"/>
        <w:rPr>
          <w:i/>
          <w:lang w:val="es-MX"/>
        </w:rPr>
      </w:pPr>
    </w:p>
    <w:p w14:paraId="7BD3EF06" w14:textId="77777777" w:rsidR="0003308B" w:rsidRPr="000C1321" w:rsidRDefault="0003308B" w:rsidP="003B68DB">
      <w:pPr>
        <w:pStyle w:val="Prrafodelista"/>
        <w:numPr>
          <w:ilvl w:val="0"/>
          <w:numId w:val="140"/>
        </w:numPr>
        <w:tabs>
          <w:tab w:val="left" w:pos="142"/>
        </w:tabs>
        <w:ind w:left="502"/>
        <w:contextualSpacing/>
        <w:rPr>
          <w:i/>
          <w:lang w:val="es-MX"/>
        </w:rPr>
      </w:pPr>
      <w:r w:rsidRPr="000C1321">
        <w:t>Evitar el paso de maquinaria sobre suelo con cobertura vegetal fuera del área de la obra</w:t>
      </w:r>
    </w:p>
    <w:p w14:paraId="0C85AC20" w14:textId="77777777" w:rsidR="0003308B" w:rsidRPr="000C1321" w:rsidRDefault="0003308B" w:rsidP="0003308B">
      <w:pPr>
        <w:pStyle w:val="Prrafodelista"/>
        <w:tabs>
          <w:tab w:val="left" w:pos="142"/>
        </w:tabs>
        <w:ind w:left="0"/>
        <w:rPr>
          <w:i/>
          <w:lang w:val="es-MX"/>
        </w:rPr>
      </w:pPr>
    </w:p>
    <w:p w14:paraId="7F28ED4F" w14:textId="77777777" w:rsidR="0003308B" w:rsidRPr="000C1321" w:rsidRDefault="0003308B" w:rsidP="003B68DB">
      <w:pPr>
        <w:pStyle w:val="Prrafodelista"/>
        <w:numPr>
          <w:ilvl w:val="0"/>
          <w:numId w:val="140"/>
        </w:numPr>
        <w:tabs>
          <w:tab w:val="left" w:pos="142"/>
        </w:tabs>
        <w:ind w:left="502"/>
        <w:contextualSpacing/>
        <w:rPr>
          <w:i/>
          <w:lang w:val="es-MX"/>
        </w:rPr>
      </w:pPr>
      <w:r w:rsidRPr="000C1321">
        <w:t>Recuperar y restaurar el espacio público afectado una vez finalizada cada actividad, retirando todos los materiales y residuos del lugar.</w:t>
      </w:r>
    </w:p>
    <w:p w14:paraId="6024FDE9" w14:textId="77777777" w:rsidR="0003308B" w:rsidRPr="000C1321" w:rsidRDefault="0003308B" w:rsidP="0003308B">
      <w:pPr>
        <w:pStyle w:val="Prrafodelista"/>
        <w:tabs>
          <w:tab w:val="left" w:pos="142"/>
        </w:tabs>
        <w:ind w:left="0"/>
        <w:rPr>
          <w:i/>
          <w:lang w:val="es-MX"/>
        </w:rPr>
      </w:pPr>
    </w:p>
    <w:p w14:paraId="062DCA8F" w14:textId="77777777" w:rsidR="0003308B" w:rsidRPr="000C1321" w:rsidRDefault="0003308B" w:rsidP="003B68DB">
      <w:pPr>
        <w:pStyle w:val="Prrafodelista"/>
        <w:numPr>
          <w:ilvl w:val="0"/>
          <w:numId w:val="140"/>
        </w:numPr>
        <w:tabs>
          <w:tab w:val="left" w:pos="142"/>
        </w:tabs>
        <w:ind w:left="502"/>
        <w:contextualSpacing/>
        <w:rPr>
          <w:i/>
          <w:lang w:val="es-MX"/>
        </w:rPr>
      </w:pPr>
      <w:r w:rsidRPr="000C1321">
        <w:rPr>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25C08D8B" w14:textId="77777777" w:rsidR="0003308B" w:rsidRPr="000C1321" w:rsidRDefault="0003308B" w:rsidP="0003308B">
      <w:pPr>
        <w:tabs>
          <w:tab w:val="left" w:pos="142"/>
        </w:tabs>
        <w:ind w:left="360"/>
        <w:rPr>
          <w:i/>
          <w:lang w:val="es-MX"/>
        </w:rPr>
      </w:pPr>
    </w:p>
    <w:p w14:paraId="6702CCCF" w14:textId="77777777" w:rsidR="0003308B" w:rsidRPr="000C1321" w:rsidRDefault="0003308B" w:rsidP="0003308B">
      <w:pPr>
        <w:tabs>
          <w:tab w:val="left" w:pos="142"/>
        </w:tabs>
        <w:ind w:left="360"/>
        <w:rPr>
          <w:b/>
          <w:i/>
        </w:rPr>
      </w:pPr>
      <w:r w:rsidRPr="000C1321">
        <w:rPr>
          <w:b/>
        </w:rPr>
        <w:t>Protección Personal</w:t>
      </w:r>
    </w:p>
    <w:p w14:paraId="71780DB1" w14:textId="77777777" w:rsidR="0003308B" w:rsidRPr="000C1321" w:rsidRDefault="0003308B" w:rsidP="0003308B">
      <w:pPr>
        <w:tabs>
          <w:tab w:val="left" w:pos="142"/>
        </w:tabs>
        <w:ind w:left="360"/>
        <w:rPr>
          <w:b/>
          <w:i/>
        </w:rPr>
      </w:pPr>
    </w:p>
    <w:p w14:paraId="25B2401B" w14:textId="77777777" w:rsidR="0003308B" w:rsidRPr="000C1321" w:rsidRDefault="0003308B" w:rsidP="003B68DB">
      <w:pPr>
        <w:pStyle w:val="Prrafodelista"/>
        <w:numPr>
          <w:ilvl w:val="0"/>
          <w:numId w:val="141"/>
        </w:numPr>
        <w:tabs>
          <w:tab w:val="left" w:pos="142"/>
        </w:tabs>
        <w:contextualSpacing/>
        <w:rPr>
          <w:i/>
          <w:lang w:val="es-MX"/>
        </w:rPr>
      </w:pPr>
      <w:r w:rsidRPr="000C1321">
        <w:t>Utilización obligatoria de equipo de protección personal básico (casco, zapatos de seguridad, guantes) y específico como protección respiratoria, auditiva y para los ojos, cuando aplique.</w:t>
      </w:r>
    </w:p>
    <w:p w14:paraId="42520893" w14:textId="77777777" w:rsidR="0003308B" w:rsidRPr="000C1321" w:rsidRDefault="0003308B" w:rsidP="003B68DB">
      <w:pPr>
        <w:pStyle w:val="Prrafodelista"/>
        <w:numPr>
          <w:ilvl w:val="0"/>
          <w:numId w:val="141"/>
        </w:numPr>
        <w:tabs>
          <w:tab w:val="left" w:pos="142"/>
        </w:tabs>
        <w:contextualSpacing/>
        <w:rPr>
          <w:i/>
          <w:lang w:val="es-MX"/>
        </w:rPr>
      </w:pPr>
      <w:r w:rsidRPr="000C1321">
        <w:t>Que las instalaciones de servicio o de protección anexas a los lugares de trabajo puedan ser utilizadas sin peligro para la salud y la seguridad de los trabajadores.</w:t>
      </w:r>
    </w:p>
    <w:p w14:paraId="601FD527" w14:textId="77777777" w:rsidR="0003308B" w:rsidRPr="000C1321" w:rsidRDefault="0003308B" w:rsidP="003B68DB">
      <w:pPr>
        <w:pStyle w:val="Prrafodelista"/>
        <w:numPr>
          <w:ilvl w:val="0"/>
          <w:numId w:val="141"/>
        </w:numPr>
        <w:tabs>
          <w:tab w:val="left" w:pos="142"/>
        </w:tabs>
        <w:contextualSpacing/>
        <w:rPr>
          <w:i/>
          <w:lang w:val="es-MX"/>
        </w:rPr>
      </w:pPr>
      <w:r w:rsidRPr="000C1321">
        <w:t>Que dichas instalaciones y dispositivos de protección cumplan con su cometido, dando protección efectiva frente a los riesgos que pretenden evitar.</w:t>
      </w:r>
    </w:p>
    <w:p w14:paraId="40412CA2" w14:textId="77777777" w:rsidR="0003308B" w:rsidRPr="000C1321" w:rsidRDefault="0003308B" w:rsidP="003B68DB">
      <w:pPr>
        <w:pStyle w:val="Prrafodelista"/>
        <w:numPr>
          <w:ilvl w:val="0"/>
          <w:numId w:val="141"/>
        </w:numPr>
        <w:tabs>
          <w:tab w:val="left" w:pos="142"/>
        </w:tabs>
        <w:autoSpaceDE w:val="0"/>
        <w:autoSpaceDN w:val="0"/>
        <w:adjustRightInd w:val="0"/>
        <w:contextualSpacing/>
        <w:rPr>
          <w:i/>
          <w:lang w:val="es-NI" w:eastAsia="es-NI"/>
        </w:rPr>
      </w:pPr>
      <w:r w:rsidRPr="000C1321">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1F5A192C" w14:textId="77777777" w:rsidR="0003308B" w:rsidRPr="000C1321" w:rsidRDefault="0003308B" w:rsidP="0003308B">
      <w:pPr>
        <w:pStyle w:val="Prrafodelista"/>
        <w:tabs>
          <w:tab w:val="left" w:pos="142"/>
        </w:tabs>
        <w:rPr>
          <w:i/>
          <w:lang w:val="es-NI" w:eastAsia="es-NI"/>
        </w:rPr>
      </w:pPr>
    </w:p>
    <w:p w14:paraId="5E846A0D" w14:textId="77777777" w:rsidR="0003308B" w:rsidRPr="000C1321" w:rsidRDefault="0003308B" w:rsidP="003B68DB">
      <w:pPr>
        <w:keepNext/>
        <w:numPr>
          <w:ilvl w:val="0"/>
          <w:numId w:val="127"/>
        </w:numPr>
        <w:tabs>
          <w:tab w:val="left" w:pos="142"/>
        </w:tabs>
        <w:ind w:left="426" w:right="-516" w:firstLine="0"/>
        <w:contextualSpacing/>
        <w:outlineLvl w:val="2"/>
        <w:rPr>
          <w:b/>
          <w:bCs/>
          <w:iCs/>
        </w:rPr>
      </w:pPr>
      <w:r w:rsidRPr="000C1321">
        <w:rPr>
          <w:b/>
          <w:bCs/>
          <w:iCs/>
        </w:rPr>
        <w:t xml:space="preserve"> ESPECIFICACIONES GENERALES SOCIALES</w:t>
      </w:r>
    </w:p>
    <w:p w14:paraId="18E54FFD" w14:textId="77777777" w:rsidR="0003308B" w:rsidRPr="000C1321" w:rsidRDefault="0003308B" w:rsidP="0003308B">
      <w:pPr>
        <w:tabs>
          <w:tab w:val="left" w:pos="142"/>
        </w:tabs>
        <w:jc w:val="center"/>
        <w:rPr>
          <w:b/>
        </w:rPr>
      </w:pPr>
    </w:p>
    <w:p w14:paraId="303A5987" w14:textId="77777777" w:rsidR="0003308B" w:rsidRPr="000C1321" w:rsidRDefault="0003308B" w:rsidP="0003308B">
      <w:pPr>
        <w:tabs>
          <w:tab w:val="left" w:pos="142"/>
        </w:tabs>
        <w:rPr>
          <w:b/>
        </w:rPr>
      </w:pPr>
      <w:r w:rsidRPr="000C1321">
        <w:rPr>
          <w:b/>
        </w:rPr>
        <w:t>ETAPA DE EJECUCIÓN</w:t>
      </w:r>
    </w:p>
    <w:p w14:paraId="498967DC" w14:textId="77777777" w:rsidR="0003308B" w:rsidRPr="000C1321" w:rsidRDefault="0003308B" w:rsidP="0003308B">
      <w:pPr>
        <w:tabs>
          <w:tab w:val="left" w:pos="142"/>
        </w:tabs>
        <w:rPr>
          <w:b/>
        </w:rPr>
      </w:pPr>
    </w:p>
    <w:p w14:paraId="37623844" w14:textId="77777777" w:rsidR="0003308B" w:rsidRPr="000C1321" w:rsidRDefault="0003308B" w:rsidP="0003308B">
      <w:pPr>
        <w:tabs>
          <w:tab w:val="left" w:pos="142"/>
        </w:tabs>
        <w:rPr>
          <w:b/>
        </w:rPr>
      </w:pPr>
      <w:r w:rsidRPr="000C1321">
        <w:rPr>
          <w:b/>
        </w:rPr>
        <w:t>PRE OBRA</w:t>
      </w:r>
    </w:p>
    <w:p w14:paraId="4E155E45" w14:textId="77777777" w:rsidR="0003308B" w:rsidRPr="000C1321" w:rsidRDefault="0003308B" w:rsidP="0003308B">
      <w:pPr>
        <w:tabs>
          <w:tab w:val="left" w:pos="142"/>
        </w:tabs>
        <w:rPr>
          <w:b/>
        </w:rPr>
      </w:pPr>
    </w:p>
    <w:p w14:paraId="24CE678B" w14:textId="77777777" w:rsidR="0003308B" w:rsidRPr="000C1321" w:rsidRDefault="0003308B" w:rsidP="003B68DB">
      <w:pPr>
        <w:numPr>
          <w:ilvl w:val="0"/>
          <w:numId w:val="130"/>
        </w:numPr>
        <w:tabs>
          <w:tab w:val="left" w:pos="142"/>
        </w:tabs>
        <w:ind w:firstLine="0"/>
        <w:contextualSpacing/>
        <w:rPr>
          <w:b/>
        </w:rPr>
      </w:pPr>
      <w:r w:rsidRPr="000C1321">
        <w:rPr>
          <w:b/>
        </w:rPr>
        <w:t>Elaborar Cronograma de trabajo y Plan metodológico para el acompañamiento social en la(s) comunidad(es) y realizar reunión de coordinación con actores claves del proyecto.</w:t>
      </w:r>
    </w:p>
    <w:p w14:paraId="1D66F73F" w14:textId="77777777" w:rsidR="0003308B" w:rsidRPr="000C1321" w:rsidRDefault="0003308B" w:rsidP="0003308B">
      <w:pPr>
        <w:tabs>
          <w:tab w:val="left" w:pos="142"/>
        </w:tabs>
      </w:pPr>
    </w:p>
    <w:p w14:paraId="1227E4C3" w14:textId="77777777" w:rsidR="0003308B" w:rsidRPr="000C1321" w:rsidRDefault="0003308B" w:rsidP="0003308B">
      <w:pPr>
        <w:tabs>
          <w:tab w:val="left" w:pos="142"/>
        </w:tabs>
      </w:pPr>
      <w:r w:rsidRPr="000C1321">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1F7FBB26" w14:textId="77777777" w:rsidR="0003308B" w:rsidRPr="000C1321" w:rsidRDefault="0003308B" w:rsidP="0003308B">
      <w:pPr>
        <w:tabs>
          <w:tab w:val="left" w:pos="142"/>
        </w:tabs>
      </w:pPr>
      <w:r w:rsidRPr="000C1321">
        <w:lastRenderedPageBreak/>
        <w:t>Se debe reflejar cada una de las actividades a realizar, definiéndose fechas para su ejecución, responsable, involucrados, instrumentos o metodología a usar según la etapa del ciclo de proyecto a intervenir.  Este deberá ser avalado por el Especialista Social de cada Región.</w:t>
      </w:r>
    </w:p>
    <w:p w14:paraId="023B5E06" w14:textId="77777777" w:rsidR="0003308B" w:rsidRPr="000C1321" w:rsidRDefault="0003308B" w:rsidP="0003308B">
      <w:pPr>
        <w:tabs>
          <w:tab w:val="left" w:pos="142"/>
        </w:tabs>
      </w:pPr>
    </w:p>
    <w:p w14:paraId="3A92CF04" w14:textId="77777777" w:rsidR="0003308B" w:rsidRPr="000C1321" w:rsidRDefault="0003308B" w:rsidP="0003308B">
      <w:pPr>
        <w:tabs>
          <w:tab w:val="left" w:pos="142"/>
        </w:tabs>
      </w:pPr>
      <w:r w:rsidRPr="000C1321">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2D1CA732" w14:textId="77777777" w:rsidR="0003308B" w:rsidRPr="000C1321" w:rsidRDefault="0003308B" w:rsidP="0003308B">
      <w:pPr>
        <w:tabs>
          <w:tab w:val="left" w:pos="142"/>
        </w:tabs>
      </w:pPr>
    </w:p>
    <w:p w14:paraId="3F46F25F" w14:textId="77777777" w:rsidR="0003308B" w:rsidRPr="000C1321" w:rsidRDefault="0003308B" w:rsidP="0003308B">
      <w:pPr>
        <w:tabs>
          <w:tab w:val="left" w:pos="142"/>
        </w:tabs>
        <w:rPr>
          <w:b/>
        </w:rPr>
      </w:pPr>
      <w:r w:rsidRPr="000C1321">
        <w:rPr>
          <w:b/>
        </w:rPr>
        <w:t>Producto Esperado por parte del contratista:</w:t>
      </w:r>
    </w:p>
    <w:p w14:paraId="1FCCEBBF" w14:textId="77777777" w:rsidR="0003308B" w:rsidRPr="000C1321" w:rsidRDefault="0003308B" w:rsidP="003B68DB">
      <w:pPr>
        <w:numPr>
          <w:ilvl w:val="0"/>
          <w:numId w:val="126"/>
        </w:numPr>
        <w:tabs>
          <w:tab w:val="left" w:pos="142"/>
        </w:tabs>
        <w:rPr>
          <w:i/>
        </w:rPr>
      </w:pPr>
      <w:r w:rsidRPr="000C1321">
        <w:t>Cronograma de trabajo y plan metodológico para la intervención social.</w:t>
      </w:r>
    </w:p>
    <w:p w14:paraId="137CD1EF" w14:textId="77777777" w:rsidR="0003308B" w:rsidRPr="000C1321" w:rsidRDefault="0003308B" w:rsidP="003B68DB">
      <w:pPr>
        <w:numPr>
          <w:ilvl w:val="0"/>
          <w:numId w:val="126"/>
        </w:numPr>
        <w:tabs>
          <w:tab w:val="left" w:pos="142"/>
        </w:tabs>
        <w:rPr>
          <w:i/>
        </w:rPr>
      </w:pPr>
      <w:r w:rsidRPr="000C1321">
        <w:t>Ayuda memoria de reunión</w:t>
      </w:r>
    </w:p>
    <w:p w14:paraId="368E859B" w14:textId="77777777" w:rsidR="0003308B" w:rsidRPr="000C1321" w:rsidRDefault="0003308B" w:rsidP="003B68DB">
      <w:pPr>
        <w:numPr>
          <w:ilvl w:val="0"/>
          <w:numId w:val="126"/>
        </w:numPr>
        <w:tabs>
          <w:tab w:val="left" w:pos="142"/>
        </w:tabs>
        <w:rPr>
          <w:i/>
        </w:rPr>
      </w:pPr>
      <w:r w:rsidRPr="000C1321">
        <w:t>Listado de asistencia</w:t>
      </w:r>
    </w:p>
    <w:p w14:paraId="14A8659A" w14:textId="77777777" w:rsidR="0003308B" w:rsidRPr="000C1321" w:rsidRDefault="0003308B" w:rsidP="0003308B">
      <w:pPr>
        <w:tabs>
          <w:tab w:val="left" w:pos="142"/>
        </w:tabs>
        <w:ind w:left="720"/>
        <w:rPr>
          <w:i/>
        </w:rPr>
      </w:pPr>
    </w:p>
    <w:p w14:paraId="1B4E73B4" w14:textId="77777777" w:rsidR="0003308B" w:rsidRPr="000C1321" w:rsidRDefault="0003308B" w:rsidP="003B68DB">
      <w:pPr>
        <w:numPr>
          <w:ilvl w:val="0"/>
          <w:numId w:val="130"/>
        </w:numPr>
        <w:tabs>
          <w:tab w:val="left" w:pos="142"/>
        </w:tabs>
        <w:ind w:firstLine="0"/>
        <w:contextualSpacing/>
        <w:rPr>
          <w:b/>
        </w:rPr>
      </w:pPr>
      <w:r w:rsidRPr="000C1321">
        <w:rPr>
          <w:b/>
        </w:rPr>
        <w:t>Elaborar Informe de Planificación y Realización de Asamblea general comunitaria para entrega de sitio del proyecto a contratista y dar a conocer Plan.</w:t>
      </w:r>
    </w:p>
    <w:p w14:paraId="2BB9810E" w14:textId="77777777" w:rsidR="0003308B" w:rsidRPr="000C1321" w:rsidRDefault="0003308B" w:rsidP="0003308B">
      <w:pPr>
        <w:tabs>
          <w:tab w:val="left" w:pos="142"/>
        </w:tabs>
      </w:pPr>
    </w:p>
    <w:p w14:paraId="0698C690" w14:textId="77777777" w:rsidR="0003308B" w:rsidRPr="000C1321" w:rsidRDefault="0003308B" w:rsidP="0003308B">
      <w:pPr>
        <w:tabs>
          <w:tab w:val="left" w:pos="142"/>
        </w:tabs>
      </w:pPr>
      <w:r w:rsidRPr="000C1321">
        <w:t xml:space="preserve">Planificar y realizar asamblea general comunitaria para entrega de sitio, elegir y/o ratificar red de promotores.  </w:t>
      </w:r>
    </w:p>
    <w:p w14:paraId="2E0638F0" w14:textId="77777777" w:rsidR="0003308B" w:rsidRPr="000C1321" w:rsidRDefault="0003308B" w:rsidP="0003308B">
      <w:pPr>
        <w:tabs>
          <w:tab w:val="left" w:pos="142"/>
        </w:tabs>
      </w:pPr>
    </w:p>
    <w:p w14:paraId="3FC312A0" w14:textId="77777777" w:rsidR="0003308B" w:rsidRPr="000C1321" w:rsidRDefault="0003308B" w:rsidP="0003308B">
      <w:pPr>
        <w:tabs>
          <w:tab w:val="left" w:pos="142"/>
        </w:tabs>
      </w:pPr>
      <w:r w:rsidRPr="000C1321">
        <w:t>Realizar visita casa a casa para convocar y entregar invitación a tod@s l@s protagonistas del proyecto a la Asamblea, 100% de viviendas visitas.  (JD del CAPS, grupo de apoyo y red de promotores/as sociales comunitarios y líderes).</w:t>
      </w:r>
    </w:p>
    <w:p w14:paraId="39AE49E2" w14:textId="77777777" w:rsidR="0003308B" w:rsidRPr="000C1321" w:rsidRDefault="0003308B" w:rsidP="0003308B">
      <w:pPr>
        <w:tabs>
          <w:tab w:val="left" w:pos="142"/>
        </w:tabs>
      </w:pPr>
      <w:r w:rsidRPr="000C1321">
        <w:t>Se debe levantar listado de participantes y/o representante por vivienda, reflejándose nombres y apellidos, # de cédula, cargo y firmas (en caso de no poder firmar se utiliza huella digital), la lista de asistencia debe garantizar el cumplimiento.</w:t>
      </w:r>
    </w:p>
    <w:p w14:paraId="6E55410F" w14:textId="77777777" w:rsidR="0003308B" w:rsidRPr="000C1321" w:rsidRDefault="0003308B" w:rsidP="0003308B">
      <w:pPr>
        <w:tabs>
          <w:tab w:val="left" w:pos="142"/>
        </w:tabs>
      </w:pPr>
    </w:p>
    <w:p w14:paraId="57ADD41C" w14:textId="77777777" w:rsidR="0003308B" w:rsidRPr="000C1321" w:rsidRDefault="0003308B" w:rsidP="0003308B">
      <w:pPr>
        <w:tabs>
          <w:tab w:val="left" w:pos="142"/>
        </w:tabs>
        <w:rPr>
          <w:b/>
        </w:rPr>
      </w:pPr>
      <w:r w:rsidRPr="000C1321">
        <w:rPr>
          <w:b/>
        </w:rPr>
        <w:t xml:space="preserve">Producto esperado por parte del contratista: </w:t>
      </w:r>
    </w:p>
    <w:p w14:paraId="42AF1328" w14:textId="77777777" w:rsidR="0003308B" w:rsidRPr="000C1321" w:rsidRDefault="0003308B" w:rsidP="0003308B">
      <w:pPr>
        <w:tabs>
          <w:tab w:val="left" w:pos="142"/>
        </w:tabs>
      </w:pPr>
      <w:r w:rsidRPr="000C1321">
        <w:t>1. Ayuda memoria.</w:t>
      </w:r>
    </w:p>
    <w:p w14:paraId="517ECF54" w14:textId="77777777" w:rsidR="0003308B" w:rsidRPr="000C1321" w:rsidRDefault="0003308B" w:rsidP="0003308B">
      <w:pPr>
        <w:tabs>
          <w:tab w:val="left" w:pos="142"/>
        </w:tabs>
      </w:pPr>
      <w:r w:rsidRPr="000C1321">
        <w:t>2. Acta de asamblea comunitaria</w:t>
      </w:r>
    </w:p>
    <w:p w14:paraId="08E4B5A4" w14:textId="77777777" w:rsidR="0003308B" w:rsidRPr="000C1321" w:rsidRDefault="0003308B" w:rsidP="0003308B">
      <w:pPr>
        <w:tabs>
          <w:tab w:val="left" w:pos="142"/>
        </w:tabs>
      </w:pPr>
      <w:r w:rsidRPr="000C1321">
        <w:t>3.  Copia de Bitácora</w:t>
      </w:r>
    </w:p>
    <w:p w14:paraId="49190C2D" w14:textId="77777777" w:rsidR="0003308B" w:rsidRPr="000C1321" w:rsidRDefault="0003308B" w:rsidP="0003308B">
      <w:pPr>
        <w:tabs>
          <w:tab w:val="left" w:pos="142"/>
        </w:tabs>
      </w:pPr>
      <w:r w:rsidRPr="000C1321">
        <w:t>4. Listado de participantes.</w:t>
      </w:r>
    </w:p>
    <w:p w14:paraId="60F4EBA5" w14:textId="77777777" w:rsidR="0003308B" w:rsidRPr="000C1321" w:rsidRDefault="0003308B" w:rsidP="0003308B">
      <w:pPr>
        <w:tabs>
          <w:tab w:val="left" w:pos="142"/>
        </w:tabs>
        <w:rPr>
          <w:i/>
        </w:rPr>
      </w:pPr>
      <w:r w:rsidRPr="000C1321">
        <w:t>5. Listado oficial de beneficiarios.</w:t>
      </w:r>
    </w:p>
    <w:p w14:paraId="2F00F5DB" w14:textId="77777777" w:rsidR="0003308B" w:rsidRPr="000C1321" w:rsidRDefault="0003308B" w:rsidP="0003308B">
      <w:pPr>
        <w:tabs>
          <w:tab w:val="left" w:pos="142"/>
        </w:tabs>
      </w:pPr>
    </w:p>
    <w:p w14:paraId="52E48F06" w14:textId="77777777" w:rsidR="0003308B" w:rsidRPr="000C1321" w:rsidRDefault="0003308B" w:rsidP="0003308B">
      <w:pPr>
        <w:tabs>
          <w:tab w:val="left" w:pos="142"/>
        </w:tabs>
        <w:rPr>
          <w:b/>
        </w:rPr>
      </w:pPr>
      <w:r w:rsidRPr="000C1321">
        <w:rPr>
          <w:b/>
        </w:rPr>
        <w:t>EJECUCIÓN</w:t>
      </w:r>
    </w:p>
    <w:p w14:paraId="254FC96D" w14:textId="77777777" w:rsidR="0003308B" w:rsidRPr="000C1321" w:rsidRDefault="0003308B" w:rsidP="0003308B">
      <w:pPr>
        <w:tabs>
          <w:tab w:val="left" w:pos="142"/>
        </w:tabs>
        <w:rPr>
          <w:b/>
        </w:rPr>
      </w:pPr>
    </w:p>
    <w:p w14:paraId="00EF11D3" w14:textId="77777777" w:rsidR="0003308B" w:rsidRPr="000C1321" w:rsidRDefault="0003308B" w:rsidP="003B68DB">
      <w:pPr>
        <w:numPr>
          <w:ilvl w:val="0"/>
          <w:numId w:val="130"/>
        </w:numPr>
        <w:tabs>
          <w:tab w:val="left" w:pos="142"/>
        </w:tabs>
        <w:ind w:firstLine="0"/>
        <w:contextualSpacing/>
        <w:rPr>
          <w:b/>
        </w:rPr>
      </w:pPr>
      <w:r w:rsidRPr="000C1321">
        <w:rPr>
          <w:b/>
        </w:rPr>
        <w:t>Planifica y Realizar Taller de capacitación del Módulo III (Taller No. 5y 6,) Compendio Metodológico.</w:t>
      </w:r>
    </w:p>
    <w:p w14:paraId="6E8B7A1B" w14:textId="77777777" w:rsidR="0003308B" w:rsidRPr="000C1321" w:rsidRDefault="0003308B" w:rsidP="0003308B">
      <w:pPr>
        <w:tabs>
          <w:tab w:val="left" w:pos="142"/>
        </w:tabs>
      </w:pPr>
    </w:p>
    <w:p w14:paraId="77D84F53" w14:textId="77777777" w:rsidR="0003308B" w:rsidRPr="000C1321" w:rsidRDefault="0003308B" w:rsidP="0003308B">
      <w:pPr>
        <w:tabs>
          <w:tab w:val="left" w:pos="142"/>
        </w:tabs>
      </w:pPr>
      <w:r w:rsidRPr="000C1321">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0C1321">
        <w:rPr>
          <w:b/>
        </w:rPr>
        <w:t>Como administramos nuestros servicios de agua”</w:t>
      </w:r>
      <w:r w:rsidRPr="000C1321">
        <w:t xml:space="preserve"> talleres No 5 y 6  (con participación de un grupo meta de 18 a 25 protagonistas, integrado por personas de la JD del CAPS, grupo de apoyo, red de promotores/as sociales comunitarios, líderes naturales, gremiales, políticos y religiosos.</w:t>
      </w:r>
    </w:p>
    <w:p w14:paraId="40680FB9" w14:textId="77777777" w:rsidR="0003308B" w:rsidRPr="000C1321" w:rsidRDefault="0003308B" w:rsidP="0003308B">
      <w:pPr>
        <w:tabs>
          <w:tab w:val="left" w:pos="142"/>
        </w:tabs>
        <w:rPr>
          <w:b/>
        </w:rPr>
      </w:pPr>
    </w:p>
    <w:p w14:paraId="73300DB0" w14:textId="77777777" w:rsidR="0003308B" w:rsidRPr="000C1321" w:rsidRDefault="0003308B" w:rsidP="0003308B">
      <w:pPr>
        <w:tabs>
          <w:tab w:val="left" w:pos="142"/>
        </w:tabs>
        <w:rPr>
          <w:b/>
        </w:rPr>
      </w:pPr>
      <w:r w:rsidRPr="000C1321">
        <w:rPr>
          <w:b/>
        </w:rPr>
        <w:lastRenderedPageBreak/>
        <w:t>Requerimiento del contratista:</w:t>
      </w:r>
    </w:p>
    <w:p w14:paraId="1589FED8" w14:textId="77777777" w:rsidR="0003308B" w:rsidRPr="000C1321" w:rsidRDefault="0003308B" w:rsidP="0003308B">
      <w:pPr>
        <w:tabs>
          <w:tab w:val="left" w:pos="142"/>
        </w:tabs>
      </w:pPr>
    </w:p>
    <w:p w14:paraId="6A025924" w14:textId="77777777" w:rsidR="0003308B" w:rsidRPr="000C1321" w:rsidRDefault="0003308B" w:rsidP="0003308B">
      <w:pPr>
        <w:tabs>
          <w:tab w:val="left" w:pos="142"/>
        </w:tabs>
      </w:pPr>
      <w:r w:rsidRPr="000C1321">
        <w:t>1. Cuaderno, lapiceros.</w:t>
      </w:r>
    </w:p>
    <w:p w14:paraId="7722AE83" w14:textId="77777777" w:rsidR="0003308B" w:rsidRPr="000C1321" w:rsidRDefault="0003308B" w:rsidP="0003308B">
      <w:pPr>
        <w:tabs>
          <w:tab w:val="left" w:pos="142"/>
        </w:tabs>
      </w:pPr>
      <w:r w:rsidRPr="000C1321">
        <w:t xml:space="preserve">3. Local para realizar los talleres.  </w:t>
      </w:r>
    </w:p>
    <w:p w14:paraId="088DE223" w14:textId="77777777" w:rsidR="0003308B" w:rsidRPr="000C1321" w:rsidRDefault="0003308B" w:rsidP="0003308B">
      <w:pPr>
        <w:tabs>
          <w:tab w:val="left" w:pos="142"/>
        </w:tabs>
      </w:pPr>
      <w:r w:rsidRPr="000C1321">
        <w:t>2. refrigerios/Almuerzos.</w:t>
      </w:r>
    </w:p>
    <w:p w14:paraId="462906A5" w14:textId="77777777" w:rsidR="0003308B" w:rsidRPr="000C1321" w:rsidRDefault="0003308B" w:rsidP="0003308B">
      <w:pPr>
        <w:tabs>
          <w:tab w:val="left" w:pos="142"/>
        </w:tabs>
      </w:pPr>
    </w:p>
    <w:p w14:paraId="2EF0CF0B" w14:textId="77777777" w:rsidR="0003308B" w:rsidRPr="000C1321" w:rsidRDefault="0003308B" w:rsidP="0003308B">
      <w:pPr>
        <w:tabs>
          <w:tab w:val="left" w:pos="142"/>
        </w:tabs>
        <w:rPr>
          <w:b/>
        </w:rPr>
      </w:pPr>
      <w:r w:rsidRPr="000C1321">
        <w:rPr>
          <w:b/>
        </w:rPr>
        <w:t>Requerimiento del Fise:</w:t>
      </w:r>
    </w:p>
    <w:p w14:paraId="6743B06F" w14:textId="77777777" w:rsidR="0003308B" w:rsidRPr="000C1321" w:rsidRDefault="0003308B" w:rsidP="0003308B">
      <w:pPr>
        <w:tabs>
          <w:tab w:val="left" w:pos="142"/>
        </w:tabs>
      </w:pPr>
      <w:r w:rsidRPr="000C1321">
        <w:t>1.  Guía Metodológica.</w:t>
      </w:r>
    </w:p>
    <w:p w14:paraId="2AD4918E" w14:textId="77777777" w:rsidR="0003308B" w:rsidRPr="000C1321" w:rsidRDefault="0003308B" w:rsidP="0003308B">
      <w:pPr>
        <w:tabs>
          <w:tab w:val="left" w:pos="142"/>
        </w:tabs>
      </w:pPr>
      <w:r w:rsidRPr="000C1321">
        <w:t xml:space="preserve">2.  Módulo 3 Cartilla 5, 6,  </w:t>
      </w:r>
    </w:p>
    <w:p w14:paraId="37E0B866" w14:textId="77777777" w:rsidR="0003308B" w:rsidRPr="000C1321" w:rsidRDefault="0003308B" w:rsidP="0003308B">
      <w:pPr>
        <w:tabs>
          <w:tab w:val="left" w:pos="142"/>
        </w:tabs>
      </w:pPr>
    </w:p>
    <w:p w14:paraId="430EE34B" w14:textId="77777777" w:rsidR="0003308B" w:rsidRPr="000C1321" w:rsidRDefault="0003308B" w:rsidP="0003308B">
      <w:pPr>
        <w:tabs>
          <w:tab w:val="left" w:pos="142"/>
        </w:tabs>
        <w:rPr>
          <w:b/>
        </w:rPr>
      </w:pPr>
      <w:r w:rsidRPr="000C1321">
        <w:rPr>
          <w:b/>
        </w:rPr>
        <w:t>Duración:</w:t>
      </w:r>
    </w:p>
    <w:p w14:paraId="2D327D9A" w14:textId="77777777" w:rsidR="0003308B" w:rsidRPr="000C1321" w:rsidRDefault="0003308B" w:rsidP="0003308B">
      <w:pPr>
        <w:tabs>
          <w:tab w:val="left" w:pos="142"/>
        </w:tabs>
      </w:pPr>
      <w:r w:rsidRPr="000C1321">
        <w:t xml:space="preserve"> Carga horaria cuatro (4) horas.</w:t>
      </w:r>
    </w:p>
    <w:p w14:paraId="0509501F" w14:textId="77777777" w:rsidR="0003308B" w:rsidRPr="000C1321" w:rsidRDefault="0003308B" w:rsidP="0003308B">
      <w:pPr>
        <w:tabs>
          <w:tab w:val="left" w:pos="142"/>
        </w:tabs>
      </w:pPr>
    </w:p>
    <w:p w14:paraId="51535A33" w14:textId="77777777" w:rsidR="0003308B" w:rsidRPr="000C1321" w:rsidRDefault="0003308B" w:rsidP="0003308B">
      <w:pPr>
        <w:tabs>
          <w:tab w:val="left" w:pos="142"/>
        </w:tabs>
        <w:rPr>
          <w:b/>
        </w:rPr>
      </w:pPr>
      <w:r w:rsidRPr="000C1321">
        <w:rPr>
          <w:b/>
        </w:rPr>
        <w:t xml:space="preserve"> Producto esperado:</w:t>
      </w:r>
    </w:p>
    <w:p w14:paraId="05B8456D" w14:textId="77777777" w:rsidR="0003308B" w:rsidRPr="000C1321" w:rsidRDefault="0003308B" w:rsidP="0003308B">
      <w:pPr>
        <w:tabs>
          <w:tab w:val="left" w:pos="142"/>
        </w:tabs>
      </w:pPr>
      <w:r w:rsidRPr="000C1321">
        <w:t>2. Ayuda Memoria.</w:t>
      </w:r>
    </w:p>
    <w:p w14:paraId="094C137C" w14:textId="77777777" w:rsidR="0003308B" w:rsidRPr="000C1321" w:rsidRDefault="0003308B" w:rsidP="0003308B">
      <w:pPr>
        <w:tabs>
          <w:tab w:val="left" w:pos="142"/>
        </w:tabs>
      </w:pPr>
      <w:r w:rsidRPr="000C1321">
        <w:t>3. Lista de participantes.</w:t>
      </w:r>
    </w:p>
    <w:p w14:paraId="469427F4" w14:textId="77777777" w:rsidR="0003308B" w:rsidRPr="000C1321" w:rsidRDefault="0003308B" w:rsidP="0003308B">
      <w:pPr>
        <w:tabs>
          <w:tab w:val="left" w:pos="142"/>
        </w:tabs>
      </w:pPr>
      <w:r w:rsidRPr="000C1321">
        <w:t>3. Memoria fotográfica.</w:t>
      </w:r>
    </w:p>
    <w:p w14:paraId="3CCDA66A" w14:textId="77777777" w:rsidR="0003308B" w:rsidRPr="000C1321" w:rsidRDefault="0003308B" w:rsidP="0003308B">
      <w:pPr>
        <w:tabs>
          <w:tab w:val="left" w:pos="142"/>
        </w:tabs>
      </w:pPr>
      <w:r w:rsidRPr="000C1321">
        <w:t xml:space="preserve">   </w:t>
      </w:r>
    </w:p>
    <w:p w14:paraId="38760421" w14:textId="77777777" w:rsidR="0003308B" w:rsidRPr="000C1321" w:rsidRDefault="0003308B" w:rsidP="003B68DB">
      <w:pPr>
        <w:numPr>
          <w:ilvl w:val="0"/>
          <w:numId w:val="130"/>
        </w:numPr>
        <w:tabs>
          <w:tab w:val="left" w:pos="142"/>
        </w:tabs>
        <w:ind w:firstLine="0"/>
        <w:contextualSpacing/>
        <w:rPr>
          <w:b/>
        </w:rPr>
      </w:pPr>
      <w:r w:rsidRPr="000C1321">
        <w:rPr>
          <w:b/>
        </w:rPr>
        <w:t>Planificar y Realizar Taller de capacitación del Módulo III (Taller No. 7 y 8 ,) Compendio Metodológico.</w:t>
      </w:r>
    </w:p>
    <w:p w14:paraId="228934BD" w14:textId="77777777" w:rsidR="0003308B" w:rsidRPr="000C1321" w:rsidRDefault="0003308B" w:rsidP="0003308B">
      <w:pPr>
        <w:tabs>
          <w:tab w:val="left" w:pos="142"/>
        </w:tabs>
      </w:pPr>
    </w:p>
    <w:p w14:paraId="04B90CD5" w14:textId="77777777" w:rsidR="0003308B" w:rsidRPr="000C1321" w:rsidRDefault="0003308B" w:rsidP="0003308B">
      <w:pPr>
        <w:tabs>
          <w:tab w:val="left" w:pos="142"/>
        </w:tabs>
      </w:pPr>
      <w:r w:rsidRPr="000C1321">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0C1321">
        <w:rPr>
          <w:b/>
        </w:rPr>
        <w:t>Como administramos nuestros servicios de agua”</w:t>
      </w:r>
      <w:r w:rsidRPr="000C1321">
        <w:t xml:space="preserve"> talleres No 7 y 8  (con participación de un grupo meta de 18 a 25 protagonistas, integrado por personas de la JD del CAPS, grupo de apoyo, red de promotores/as sociales comunitarios, líderes naturales, gremiales, políticos y religiosos.</w:t>
      </w:r>
    </w:p>
    <w:p w14:paraId="4A2DF682" w14:textId="77777777" w:rsidR="0003308B" w:rsidRPr="000C1321" w:rsidRDefault="0003308B" w:rsidP="0003308B">
      <w:pPr>
        <w:tabs>
          <w:tab w:val="left" w:pos="142"/>
        </w:tabs>
        <w:rPr>
          <w:b/>
        </w:rPr>
      </w:pPr>
    </w:p>
    <w:p w14:paraId="6056BCBB" w14:textId="77777777" w:rsidR="0003308B" w:rsidRPr="000C1321" w:rsidRDefault="0003308B" w:rsidP="0003308B">
      <w:pPr>
        <w:tabs>
          <w:tab w:val="left" w:pos="142"/>
        </w:tabs>
        <w:rPr>
          <w:b/>
        </w:rPr>
      </w:pPr>
      <w:r w:rsidRPr="000C1321">
        <w:rPr>
          <w:b/>
        </w:rPr>
        <w:t>Requerimiento del contratista:</w:t>
      </w:r>
    </w:p>
    <w:p w14:paraId="7A933429" w14:textId="77777777" w:rsidR="0003308B" w:rsidRPr="000C1321" w:rsidRDefault="0003308B" w:rsidP="0003308B">
      <w:pPr>
        <w:tabs>
          <w:tab w:val="left" w:pos="142"/>
        </w:tabs>
      </w:pPr>
    </w:p>
    <w:p w14:paraId="7C450E1D" w14:textId="77777777" w:rsidR="0003308B" w:rsidRPr="000C1321" w:rsidRDefault="0003308B" w:rsidP="0003308B">
      <w:pPr>
        <w:tabs>
          <w:tab w:val="left" w:pos="142"/>
        </w:tabs>
      </w:pPr>
      <w:r w:rsidRPr="000C1321">
        <w:t>1. Cuaderno, lapiceros.</w:t>
      </w:r>
    </w:p>
    <w:p w14:paraId="003B6D3E" w14:textId="77777777" w:rsidR="0003308B" w:rsidRPr="000C1321" w:rsidRDefault="0003308B" w:rsidP="0003308B">
      <w:pPr>
        <w:tabs>
          <w:tab w:val="left" w:pos="142"/>
        </w:tabs>
      </w:pPr>
      <w:r w:rsidRPr="000C1321">
        <w:t xml:space="preserve">3. Local para realizar los talleres.  </w:t>
      </w:r>
    </w:p>
    <w:p w14:paraId="02DA9CFF" w14:textId="77777777" w:rsidR="0003308B" w:rsidRPr="000C1321" w:rsidRDefault="0003308B" w:rsidP="0003308B">
      <w:pPr>
        <w:tabs>
          <w:tab w:val="left" w:pos="142"/>
        </w:tabs>
      </w:pPr>
      <w:r w:rsidRPr="000C1321">
        <w:t>2. refrigerios/Almuerzos.</w:t>
      </w:r>
    </w:p>
    <w:p w14:paraId="17C5A254" w14:textId="77777777" w:rsidR="0003308B" w:rsidRPr="000C1321" w:rsidRDefault="0003308B" w:rsidP="0003308B">
      <w:pPr>
        <w:tabs>
          <w:tab w:val="left" w:pos="142"/>
        </w:tabs>
      </w:pPr>
    </w:p>
    <w:p w14:paraId="13F14181" w14:textId="77777777" w:rsidR="0003308B" w:rsidRPr="000C1321" w:rsidRDefault="0003308B" w:rsidP="0003308B">
      <w:pPr>
        <w:tabs>
          <w:tab w:val="left" w:pos="142"/>
        </w:tabs>
        <w:rPr>
          <w:b/>
        </w:rPr>
      </w:pPr>
      <w:r w:rsidRPr="000C1321">
        <w:rPr>
          <w:b/>
        </w:rPr>
        <w:t>Requerimiento del Fise:</w:t>
      </w:r>
    </w:p>
    <w:p w14:paraId="296AB304" w14:textId="77777777" w:rsidR="0003308B" w:rsidRPr="000C1321" w:rsidRDefault="0003308B" w:rsidP="0003308B">
      <w:pPr>
        <w:tabs>
          <w:tab w:val="left" w:pos="142"/>
        </w:tabs>
      </w:pPr>
      <w:r w:rsidRPr="000C1321">
        <w:t>1.  Guía Metodológica.</w:t>
      </w:r>
    </w:p>
    <w:p w14:paraId="7D6264AC" w14:textId="77777777" w:rsidR="0003308B" w:rsidRPr="000C1321" w:rsidRDefault="0003308B" w:rsidP="0003308B">
      <w:pPr>
        <w:tabs>
          <w:tab w:val="left" w:pos="142"/>
        </w:tabs>
      </w:pPr>
      <w:r w:rsidRPr="000C1321">
        <w:t xml:space="preserve">2.  Módulo 3 Cartilla 5, 6,  </w:t>
      </w:r>
    </w:p>
    <w:p w14:paraId="42BD163B" w14:textId="77777777" w:rsidR="0003308B" w:rsidRPr="000C1321" w:rsidRDefault="0003308B" w:rsidP="0003308B">
      <w:pPr>
        <w:tabs>
          <w:tab w:val="left" w:pos="142"/>
        </w:tabs>
      </w:pPr>
    </w:p>
    <w:p w14:paraId="6B0A9B57" w14:textId="77777777" w:rsidR="0003308B" w:rsidRPr="000C1321" w:rsidRDefault="0003308B" w:rsidP="0003308B">
      <w:pPr>
        <w:tabs>
          <w:tab w:val="left" w:pos="142"/>
        </w:tabs>
        <w:rPr>
          <w:b/>
        </w:rPr>
      </w:pPr>
      <w:r w:rsidRPr="000C1321">
        <w:rPr>
          <w:b/>
        </w:rPr>
        <w:t>Duración:</w:t>
      </w:r>
    </w:p>
    <w:p w14:paraId="10F64481" w14:textId="77777777" w:rsidR="0003308B" w:rsidRPr="000C1321" w:rsidRDefault="0003308B" w:rsidP="0003308B">
      <w:pPr>
        <w:tabs>
          <w:tab w:val="left" w:pos="142"/>
        </w:tabs>
      </w:pPr>
      <w:r w:rsidRPr="000C1321">
        <w:t xml:space="preserve"> Carga horaria cuatro (4) horas.</w:t>
      </w:r>
    </w:p>
    <w:p w14:paraId="52AED1EB" w14:textId="77777777" w:rsidR="0003308B" w:rsidRPr="000C1321" w:rsidRDefault="0003308B" w:rsidP="0003308B">
      <w:pPr>
        <w:tabs>
          <w:tab w:val="left" w:pos="142"/>
        </w:tabs>
      </w:pPr>
    </w:p>
    <w:p w14:paraId="17B80209" w14:textId="77777777" w:rsidR="0003308B" w:rsidRPr="000C1321" w:rsidRDefault="0003308B" w:rsidP="0003308B">
      <w:pPr>
        <w:tabs>
          <w:tab w:val="left" w:pos="142"/>
        </w:tabs>
        <w:rPr>
          <w:b/>
        </w:rPr>
      </w:pPr>
      <w:r w:rsidRPr="000C1321">
        <w:rPr>
          <w:b/>
        </w:rPr>
        <w:t xml:space="preserve"> Producto esperado:</w:t>
      </w:r>
    </w:p>
    <w:p w14:paraId="0932C8B2" w14:textId="77777777" w:rsidR="0003308B" w:rsidRPr="000C1321" w:rsidRDefault="0003308B" w:rsidP="0003308B">
      <w:pPr>
        <w:tabs>
          <w:tab w:val="left" w:pos="142"/>
        </w:tabs>
      </w:pPr>
      <w:r w:rsidRPr="000C1321">
        <w:t>2. Ayuda Memoria.</w:t>
      </w:r>
    </w:p>
    <w:p w14:paraId="7C4A1BB1" w14:textId="77777777" w:rsidR="0003308B" w:rsidRPr="000C1321" w:rsidRDefault="0003308B" w:rsidP="0003308B">
      <w:pPr>
        <w:tabs>
          <w:tab w:val="left" w:pos="142"/>
        </w:tabs>
      </w:pPr>
      <w:r w:rsidRPr="000C1321">
        <w:t>3. Lista de participantes.</w:t>
      </w:r>
    </w:p>
    <w:p w14:paraId="42155CFF" w14:textId="77777777" w:rsidR="0003308B" w:rsidRPr="000C1321" w:rsidRDefault="0003308B" w:rsidP="0003308B">
      <w:pPr>
        <w:tabs>
          <w:tab w:val="left" w:pos="142"/>
        </w:tabs>
      </w:pPr>
      <w:r w:rsidRPr="000C1321">
        <w:t>3. Memoria fotográfica.</w:t>
      </w:r>
    </w:p>
    <w:p w14:paraId="489D7AAD" w14:textId="77777777" w:rsidR="0003308B" w:rsidRPr="000C1321" w:rsidRDefault="0003308B" w:rsidP="0003308B">
      <w:pPr>
        <w:tabs>
          <w:tab w:val="left" w:pos="142"/>
        </w:tabs>
      </w:pPr>
    </w:p>
    <w:p w14:paraId="5C782918" w14:textId="77777777" w:rsidR="0003308B" w:rsidRPr="000C1321" w:rsidRDefault="0003308B" w:rsidP="003B68DB">
      <w:pPr>
        <w:numPr>
          <w:ilvl w:val="0"/>
          <w:numId w:val="130"/>
        </w:numPr>
        <w:tabs>
          <w:tab w:val="left" w:pos="142"/>
        </w:tabs>
        <w:ind w:firstLine="0"/>
        <w:contextualSpacing/>
        <w:rPr>
          <w:b/>
        </w:rPr>
      </w:pPr>
      <w:r w:rsidRPr="000C1321">
        <w:rPr>
          <w:b/>
        </w:rPr>
        <w:lastRenderedPageBreak/>
        <w:t>Elaborar informe de planificación de realización de talleres de capacitación del módulo III (taller No. 5,6,7 y 8) del compendio metodológico</w:t>
      </w:r>
    </w:p>
    <w:p w14:paraId="08CD6D4A" w14:textId="77777777" w:rsidR="0003308B" w:rsidRPr="000C1321" w:rsidRDefault="0003308B" w:rsidP="0003308B">
      <w:pPr>
        <w:tabs>
          <w:tab w:val="left" w:pos="142"/>
        </w:tabs>
        <w:contextualSpacing/>
        <w:rPr>
          <w:b/>
        </w:rPr>
      </w:pPr>
    </w:p>
    <w:p w14:paraId="4BE6751E" w14:textId="77777777" w:rsidR="0003308B" w:rsidRPr="000C1321" w:rsidRDefault="0003308B" w:rsidP="0003308B">
      <w:pPr>
        <w:tabs>
          <w:tab w:val="left" w:pos="142"/>
        </w:tabs>
        <w:contextualSpacing/>
        <w:rPr>
          <w:i/>
        </w:rPr>
      </w:pPr>
      <w:r w:rsidRPr="000C1321">
        <w:t>El contratista va elaborar un informe de resultados consolidado de la actividad planificada de realización de talleres de capacitación del módulo III del compendio metodológico.</w:t>
      </w:r>
    </w:p>
    <w:p w14:paraId="6327D371" w14:textId="77777777" w:rsidR="0003308B" w:rsidRPr="000C1321" w:rsidRDefault="0003308B" w:rsidP="0003308B">
      <w:pPr>
        <w:tabs>
          <w:tab w:val="left" w:pos="142"/>
        </w:tabs>
        <w:contextualSpacing/>
        <w:rPr>
          <w:i/>
        </w:rPr>
      </w:pPr>
    </w:p>
    <w:p w14:paraId="09E78433" w14:textId="77777777" w:rsidR="0003308B" w:rsidRPr="000C1321" w:rsidRDefault="0003308B" w:rsidP="0003308B">
      <w:pPr>
        <w:tabs>
          <w:tab w:val="left" w:pos="142"/>
        </w:tabs>
        <w:contextualSpacing/>
        <w:rPr>
          <w:i/>
        </w:rPr>
      </w:pPr>
      <w:r w:rsidRPr="000C1321">
        <w:t>Requerimiento del contratista:</w:t>
      </w:r>
    </w:p>
    <w:p w14:paraId="11C74C75" w14:textId="77777777" w:rsidR="0003308B" w:rsidRPr="000C1321" w:rsidRDefault="0003308B" w:rsidP="0003308B">
      <w:pPr>
        <w:tabs>
          <w:tab w:val="left" w:pos="142"/>
        </w:tabs>
        <w:contextualSpacing/>
        <w:rPr>
          <w:i/>
        </w:rPr>
      </w:pPr>
    </w:p>
    <w:p w14:paraId="25CCD343" w14:textId="77777777" w:rsidR="0003308B" w:rsidRPr="000C1321" w:rsidRDefault="0003308B" w:rsidP="003B68DB">
      <w:pPr>
        <w:numPr>
          <w:ilvl w:val="0"/>
          <w:numId w:val="125"/>
        </w:numPr>
        <w:tabs>
          <w:tab w:val="left" w:pos="142"/>
        </w:tabs>
        <w:contextualSpacing/>
        <w:rPr>
          <w:i/>
        </w:rPr>
      </w:pPr>
      <w:r w:rsidRPr="000C1321">
        <w:t>Papel, impresiones a colores, encuadernado</w:t>
      </w:r>
    </w:p>
    <w:p w14:paraId="3DD17201" w14:textId="77777777" w:rsidR="0003308B" w:rsidRPr="000C1321" w:rsidRDefault="0003308B" w:rsidP="0003308B">
      <w:pPr>
        <w:tabs>
          <w:tab w:val="left" w:pos="142"/>
        </w:tabs>
        <w:ind w:left="720"/>
        <w:contextualSpacing/>
        <w:rPr>
          <w:i/>
        </w:rPr>
      </w:pPr>
    </w:p>
    <w:p w14:paraId="270F60D7" w14:textId="77777777" w:rsidR="0003308B" w:rsidRPr="000C1321" w:rsidRDefault="0003308B" w:rsidP="0003308B">
      <w:pPr>
        <w:tabs>
          <w:tab w:val="left" w:pos="142"/>
        </w:tabs>
        <w:contextualSpacing/>
        <w:rPr>
          <w:i/>
        </w:rPr>
      </w:pPr>
      <w:r w:rsidRPr="000C1321">
        <w:t>Producto esperado:</w:t>
      </w:r>
    </w:p>
    <w:p w14:paraId="1402CEBB" w14:textId="77777777" w:rsidR="0003308B" w:rsidRPr="000C1321" w:rsidRDefault="0003308B" w:rsidP="0003308B">
      <w:pPr>
        <w:tabs>
          <w:tab w:val="left" w:pos="142"/>
        </w:tabs>
        <w:contextualSpacing/>
        <w:rPr>
          <w:i/>
        </w:rPr>
      </w:pPr>
    </w:p>
    <w:p w14:paraId="4AC19F5E" w14:textId="77777777" w:rsidR="0003308B" w:rsidRPr="000C1321" w:rsidRDefault="0003308B" w:rsidP="003B68DB">
      <w:pPr>
        <w:numPr>
          <w:ilvl w:val="0"/>
          <w:numId w:val="124"/>
        </w:numPr>
        <w:tabs>
          <w:tab w:val="left" w:pos="142"/>
        </w:tabs>
        <w:contextualSpacing/>
        <w:rPr>
          <w:i/>
        </w:rPr>
      </w:pPr>
      <w:r w:rsidRPr="000C1321">
        <w:t>Informe de talleres consolidado con resultados obtenidos en los talleres</w:t>
      </w:r>
    </w:p>
    <w:p w14:paraId="010BC546" w14:textId="77777777" w:rsidR="0003308B" w:rsidRPr="000C1321" w:rsidRDefault="0003308B" w:rsidP="003B68DB">
      <w:pPr>
        <w:numPr>
          <w:ilvl w:val="0"/>
          <w:numId w:val="124"/>
        </w:numPr>
        <w:tabs>
          <w:tab w:val="left" w:pos="142"/>
        </w:tabs>
        <w:contextualSpacing/>
        <w:rPr>
          <w:i/>
        </w:rPr>
      </w:pPr>
      <w:r w:rsidRPr="000C1321">
        <w:t>Lista de participantes</w:t>
      </w:r>
    </w:p>
    <w:p w14:paraId="3B9BC607" w14:textId="77777777" w:rsidR="0003308B" w:rsidRPr="000C1321" w:rsidRDefault="0003308B" w:rsidP="003B68DB">
      <w:pPr>
        <w:numPr>
          <w:ilvl w:val="0"/>
          <w:numId w:val="124"/>
        </w:numPr>
        <w:tabs>
          <w:tab w:val="left" w:pos="142"/>
        </w:tabs>
        <w:contextualSpacing/>
        <w:rPr>
          <w:i/>
        </w:rPr>
      </w:pPr>
      <w:r w:rsidRPr="000C1321">
        <w:t>Memoria fotográfica</w:t>
      </w:r>
    </w:p>
    <w:p w14:paraId="6208CBD7" w14:textId="77777777" w:rsidR="0003308B" w:rsidRPr="000C1321" w:rsidRDefault="0003308B" w:rsidP="0003308B">
      <w:pPr>
        <w:tabs>
          <w:tab w:val="left" w:pos="142"/>
        </w:tabs>
        <w:contextualSpacing/>
        <w:rPr>
          <w:i/>
        </w:rPr>
      </w:pPr>
    </w:p>
    <w:p w14:paraId="0680DF7C" w14:textId="77777777" w:rsidR="0003308B" w:rsidRPr="000C1321" w:rsidRDefault="0003308B" w:rsidP="003B68DB">
      <w:pPr>
        <w:numPr>
          <w:ilvl w:val="0"/>
          <w:numId w:val="130"/>
        </w:numPr>
        <w:tabs>
          <w:tab w:val="left" w:pos="142"/>
        </w:tabs>
        <w:ind w:firstLine="0"/>
        <w:contextualSpacing/>
        <w:rPr>
          <w:b/>
        </w:rPr>
      </w:pPr>
      <w:r w:rsidRPr="000C1321">
        <w:rPr>
          <w:b/>
        </w:rPr>
        <w:t xml:space="preserve">Planificar y Realizar Taller de capacitación del Módulo IV (Talleres No.9 y 10) Compendio Metodológico. (Incluye local, material didáctico, material de apoyo y refrigerio).  </w:t>
      </w:r>
    </w:p>
    <w:p w14:paraId="190A4C80" w14:textId="77777777" w:rsidR="0003308B" w:rsidRPr="000C1321" w:rsidRDefault="0003308B" w:rsidP="0003308B">
      <w:pPr>
        <w:tabs>
          <w:tab w:val="left" w:pos="142"/>
        </w:tabs>
        <w:ind w:left="720"/>
        <w:contextualSpacing/>
        <w:rPr>
          <w:b/>
        </w:rPr>
      </w:pPr>
    </w:p>
    <w:p w14:paraId="3B2583AC" w14:textId="77777777" w:rsidR="0003308B" w:rsidRPr="000C1321" w:rsidRDefault="0003308B" w:rsidP="0003308B">
      <w:pPr>
        <w:tabs>
          <w:tab w:val="left" w:pos="142"/>
        </w:tabs>
      </w:pPr>
      <w:r w:rsidRPr="000C1321">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293927AA" w14:textId="77777777" w:rsidR="0003308B" w:rsidRPr="000C1321" w:rsidRDefault="0003308B" w:rsidP="0003308B">
      <w:pPr>
        <w:tabs>
          <w:tab w:val="left" w:pos="142"/>
        </w:tabs>
      </w:pPr>
    </w:p>
    <w:p w14:paraId="10B377DB" w14:textId="77777777" w:rsidR="0003308B" w:rsidRPr="000C1321" w:rsidRDefault="0003308B" w:rsidP="0003308B">
      <w:pPr>
        <w:tabs>
          <w:tab w:val="left" w:pos="142"/>
        </w:tabs>
        <w:rPr>
          <w:b/>
        </w:rPr>
      </w:pPr>
      <w:r w:rsidRPr="000C1321">
        <w:rPr>
          <w:b/>
        </w:rPr>
        <w:t>Requerimiento del contratista:</w:t>
      </w:r>
    </w:p>
    <w:p w14:paraId="5009D0E4" w14:textId="77777777" w:rsidR="0003308B" w:rsidRPr="000C1321" w:rsidRDefault="0003308B" w:rsidP="0003308B">
      <w:pPr>
        <w:tabs>
          <w:tab w:val="left" w:pos="142"/>
        </w:tabs>
      </w:pPr>
      <w:r w:rsidRPr="000C1321">
        <w:t xml:space="preserve">1. Cuaderno y lapiceros </w:t>
      </w:r>
    </w:p>
    <w:p w14:paraId="239FADD8" w14:textId="77777777" w:rsidR="0003308B" w:rsidRPr="000C1321" w:rsidRDefault="0003308B" w:rsidP="0003308B">
      <w:pPr>
        <w:tabs>
          <w:tab w:val="left" w:pos="142"/>
        </w:tabs>
      </w:pPr>
      <w:r w:rsidRPr="000C1321">
        <w:t>2. Refrigerios.</w:t>
      </w:r>
    </w:p>
    <w:p w14:paraId="3FDD0A57" w14:textId="77777777" w:rsidR="0003308B" w:rsidRPr="000C1321" w:rsidRDefault="0003308B" w:rsidP="0003308B">
      <w:pPr>
        <w:tabs>
          <w:tab w:val="left" w:pos="142"/>
        </w:tabs>
      </w:pPr>
      <w:r w:rsidRPr="000C1321">
        <w:t>3. Local para realizar taller.</w:t>
      </w:r>
    </w:p>
    <w:p w14:paraId="1DE28167" w14:textId="77777777" w:rsidR="0003308B" w:rsidRPr="000C1321" w:rsidRDefault="0003308B" w:rsidP="0003308B">
      <w:pPr>
        <w:tabs>
          <w:tab w:val="left" w:pos="142"/>
        </w:tabs>
      </w:pPr>
    </w:p>
    <w:p w14:paraId="158AFF13" w14:textId="77777777" w:rsidR="0003308B" w:rsidRPr="000C1321" w:rsidRDefault="0003308B" w:rsidP="0003308B">
      <w:pPr>
        <w:tabs>
          <w:tab w:val="left" w:pos="142"/>
        </w:tabs>
        <w:rPr>
          <w:b/>
        </w:rPr>
      </w:pPr>
      <w:r w:rsidRPr="000C1321">
        <w:rPr>
          <w:b/>
        </w:rPr>
        <w:t>Requerimiento del Fise:</w:t>
      </w:r>
    </w:p>
    <w:p w14:paraId="1068274A" w14:textId="77777777" w:rsidR="0003308B" w:rsidRPr="000C1321" w:rsidRDefault="0003308B" w:rsidP="0003308B">
      <w:pPr>
        <w:tabs>
          <w:tab w:val="left" w:pos="142"/>
        </w:tabs>
      </w:pPr>
      <w:r w:rsidRPr="000C1321">
        <w:t>1. Guía Metodológica.</w:t>
      </w:r>
    </w:p>
    <w:p w14:paraId="06B7FBE2" w14:textId="77777777" w:rsidR="0003308B" w:rsidRPr="000C1321" w:rsidRDefault="0003308B" w:rsidP="0003308B">
      <w:pPr>
        <w:tabs>
          <w:tab w:val="left" w:pos="142"/>
        </w:tabs>
      </w:pPr>
      <w:r w:rsidRPr="000C1321">
        <w:t>2. Cartilla del módulo IV.</w:t>
      </w:r>
    </w:p>
    <w:p w14:paraId="5B46B0D7" w14:textId="77777777" w:rsidR="0003308B" w:rsidRPr="000C1321" w:rsidRDefault="0003308B" w:rsidP="0003308B">
      <w:pPr>
        <w:tabs>
          <w:tab w:val="left" w:pos="142"/>
        </w:tabs>
        <w:rPr>
          <w:b/>
        </w:rPr>
      </w:pPr>
    </w:p>
    <w:p w14:paraId="41FB1A99" w14:textId="77777777" w:rsidR="0003308B" w:rsidRPr="000C1321" w:rsidRDefault="0003308B" w:rsidP="0003308B">
      <w:pPr>
        <w:tabs>
          <w:tab w:val="left" w:pos="142"/>
        </w:tabs>
        <w:rPr>
          <w:b/>
        </w:rPr>
      </w:pPr>
      <w:r w:rsidRPr="000C1321">
        <w:rPr>
          <w:b/>
        </w:rPr>
        <w:t>Producto esperado:</w:t>
      </w:r>
    </w:p>
    <w:p w14:paraId="59382809" w14:textId="77777777" w:rsidR="0003308B" w:rsidRPr="000C1321" w:rsidRDefault="0003308B" w:rsidP="0003308B">
      <w:pPr>
        <w:tabs>
          <w:tab w:val="left" w:pos="142"/>
        </w:tabs>
      </w:pPr>
      <w:r w:rsidRPr="000C1321">
        <w:t>1. Informe de talleres.</w:t>
      </w:r>
    </w:p>
    <w:p w14:paraId="5A64D3E9" w14:textId="77777777" w:rsidR="0003308B" w:rsidRPr="000C1321" w:rsidRDefault="0003308B" w:rsidP="0003308B">
      <w:pPr>
        <w:tabs>
          <w:tab w:val="left" w:pos="142"/>
        </w:tabs>
      </w:pPr>
      <w:r w:rsidRPr="000C1321">
        <w:t>2. Ayuda Memoria.</w:t>
      </w:r>
    </w:p>
    <w:p w14:paraId="69226809" w14:textId="77777777" w:rsidR="0003308B" w:rsidRPr="000C1321" w:rsidRDefault="0003308B" w:rsidP="0003308B">
      <w:pPr>
        <w:tabs>
          <w:tab w:val="left" w:pos="142"/>
        </w:tabs>
      </w:pPr>
      <w:r w:rsidRPr="000C1321">
        <w:t>3. Lista de participantes.</w:t>
      </w:r>
    </w:p>
    <w:p w14:paraId="67FE0BAA" w14:textId="77777777" w:rsidR="0003308B" w:rsidRPr="000C1321" w:rsidRDefault="0003308B" w:rsidP="0003308B">
      <w:pPr>
        <w:tabs>
          <w:tab w:val="left" w:pos="142"/>
        </w:tabs>
      </w:pPr>
      <w:r w:rsidRPr="000C1321">
        <w:t>3. Memoria fotográfica.</w:t>
      </w:r>
    </w:p>
    <w:p w14:paraId="18127644" w14:textId="77777777" w:rsidR="0003308B" w:rsidRPr="000C1321" w:rsidRDefault="0003308B" w:rsidP="0003308B">
      <w:pPr>
        <w:tabs>
          <w:tab w:val="left" w:pos="142"/>
        </w:tabs>
      </w:pPr>
    </w:p>
    <w:p w14:paraId="174FCBB3" w14:textId="77777777" w:rsidR="0003308B" w:rsidRPr="000C1321" w:rsidRDefault="0003308B" w:rsidP="0003308B">
      <w:pPr>
        <w:tabs>
          <w:tab w:val="left" w:pos="142"/>
        </w:tabs>
      </w:pPr>
      <w:r w:rsidRPr="000C1321">
        <w:t xml:space="preserve">Duración de cuatro (4) horas. </w:t>
      </w:r>
    </w:p>
    <w:p w14:paraId="6B463FF5" w14:textId="77777777" w:rsidR="0003308B" w:rsidRPr="000C1321" w:rsidRDefault="0003308B" w:rsidP="0003308B">
      <w:pPr>
        <w:tabs>
          <w:tab w:val="left" w:pos="142"/>
        </w:tabs>
      </w:pPr>
    </w:p>
    <w:p w14:paraId="0110811C" w14:textId="77777777" w:rsidR="0003308B" w:rsidRPr="000C1321" w:rsidRDefault="0003308B" w:rsidP="003B68DB">
      <w:pPr>
        <w:numPr>
          <w:ilvl w:val="0"/>
          <w:numId w:val="130"/>
        </w:numPr>
        <w:tabs>
          <w:tab w:val="left" w:pos="142"/>
        </w:tabs>
        <w:ind w:firstLine="0"/>
        <w:contextualSpacing/>
        <w:rPr>
          <w:b/>
        </w:rPr>
      </w:pPr>
      <w:r w:rsidRPr="000C1321">
        <w:rPr>
          <w:b/>
        </w:rPr>
        <w:t>Elaborar informe de planificación de realización de talleres de capacitación del módulo III (taller No. 9 y 10) del compendio metodológico</w:t>
      </w:r>
    </w:p>
    <w:p w14:paraId="7135C03F" w14:textId="77777777" w:rsidR="0003308B" w:rsidRPr="000C1321" w:rsidRDefault="0003308B" w:rsidP="0003308B">
      <w:pPr>
        <w:tabs>
          <w:tab w:val="left" w:pos="142"/>
        </w:tabs>
        <w:contextualSpacing/>
        <w:rPr>
          <w:b/>
        </w:rPr>
      </w:pPr>
    </w:p>
    <w:p w14:paraId="361D301E" w14:textId="77777777" w:rsidR="0003308B" w:rsidRPr="000C1321" w:rsidRDefault="0003308B" w:rsidP="0003308B">
      <w:pPr>
        <w:tabs>
          <w:tab w:val="left" w:pos="142"/>
        </w:tabs>
        <w:contextualSpacing/>
        <w:rPr>
          <w:i/>
        </w:rPr>
      </w:pPr>
      <w:r w:rsidRPr="000C1321">
        <w:lastRenderedPageBreak/>
        <w:t>El contratista va elaborar un informe de resultados consolidado de la actividad planificada de realización de talleres de capacitación del módulo III del compendio metodológico.</w:t>
      </w:r>
    </w:p>
    <w:p w14:paraId="18CBBE40" w14:textId="77777777" w:rsidR="0003308B" w:rsidRPr="000C1321" w:rsidRDefault="0003308B" w:rsidP="0003308B">
      <w:pPr>
        <w:tabs>
          <w:tab w:val="left" w:pos="142"/>
        </w:tabs>
        <w:contextualSpacing/>
        <w:rPr>
          <w:i/>
        </w:rPr>
      </w:pPr>
    </w:p>
    <w:p w14:paraId="5B4E5E70" w14:textId="77777777" w:rsidR="0003308B" w:rsidRPr="000C1321" w:rsidRDefault="0003308B" w:rsidP="0003308B">
      <w:pPr>
        <w:tabs>
          <w:tab w:val="left" w:pos="142"/>
        </w:tabs>
        <w:contextualSpacing/>
        <w:rPr>
          <w:i/>
        </w:rPr>
      </w:pPr>
      <w:r w:rsidRPr="000C1321">
        <w:t>Requerimiento del contratista:</w:t>
      </w:r>
    </w:p>
    <w:p w14:paraId="6889C993" w14:textId="77777777" w:rsidR="0003308B" w:rsidRPr="000C1321" w:rsidRDefault="0003308B" w:rsidP="0003308B">
      <w:pPr>
        <w:tabs>
          <w:tab w:val="left" w:pos="142"/>
        </w:tabs>
        <w:contextualSpacing/>
        <w:rPr>
          <w:i/>
        </w:rPr>
      </w:pPr>
    </w:p>
    <w:p w14:paraId="0906F2E8" w14:textId="77777777" w:rsidR="0003308B" w:rsidRPr="000C1321" w:rsidRDefault="0003308B" w:rsidP="003B68DB">
      <w:pPr>
        <w:numPr>
          <w:ilvl w:val="0"/>
          <w:numId w:val="125"/>
        </w:numPr>
        <w:tabs>
          <w:tab w:val="left" w:pos="142"/>
        </w:tabs>
        <w:contextualSpacing/>
        <w:rPr>
          <w:i/>
        </w:rPr>
      </w:pPr>
      <w:r w:rsidRPr="000C1321">
        <w:t>Papel, impresiones a colores, encuadernado</w:t>
      </w:r>
    </w:p>
    <w:p w14:paraId="6AA17456" w14:textId="77777777" w:rsidR="0003308B" w:rsidRPr="000C1321" w:rsidRDefault="0003308B" w:rsidP="0003308B">
      <w:pPr>
        <w:tabs>
          <w:tab w:val="left" w:pos="142"/>
        </w:tabs>
        <w:ind w:left="720"/>
        <w:contextualSpacing/>
        <w:rPr>
          <w:i/>
        </w:rPr>
      </w:pPr>
    </w:p>
    <w:p w14:paraId="4EF90113" w14:textId="77777777" w:rsidR="0003308B" w:rsidRPr="000C1321" w:rsidRDefault="0003308B" w:rsidP="0003308B">
      <w:pPr>
        <w:tabs>
          <w:tab w:val="left" w:pos="142"/>
        </w:tabs>
        <w:ind w:left="720"/>
        <w:contextualSpacing/>
        <w:rPr>
          <w:i/>
        </w:rPr>
      </w:pPr>
    </w:p>
    <w:p w14:paraId="41AB1D14" w14:textId="77777777" w:rsidR="0003308B" w:rsidRPr="000C1321" w:rsidRDefault="0003308B" w:rsidP="0003308B">
      <w:pPr>
        <w:tabs>
          <w:tab w:val="left" w:pos="142"/>
        </w:tabs>
        <w:contextualSpacing/>
        <w:rPr>
          <w:i/>
        </w:rPr>
      </w:pPr>
      <w:r w:rsidRPr="000C1321">
        <w:t>Producto esperado:</w:t>
      </w:r>
    </w:p>
    <w:p w14:paraId="5C8766AD" w14:textId="77777777" w:rsidR="0003308B" w:rsidRPr="000C1321" w:rsidRDefault="0003308B" w:rsidP="0003308B">
      <w:pPr>
        <w:tabs>
          <w:tab w:val="left" w:pos="142"/>
        </w:tabs>
        <w:contextualSpacing/>
        <w:rPr>
          <w:i/>
        </w:rPr>
      </w:pPr>
    </w:p>
    <w:p w14:paraId="517ACF97" w14:textId="77777777" w:rsidR="0003308B" w:rsidRPr="000C1321" w:rsidRDefault="0003308B" w:rsidP="003B68DB">
      <w:pPr>
        <w:numPr>
          <w:ilvl w:val="0"/>
          <w:numId w:val="124"/>
        </w:numPr>
        <w:tabs>
          <w:tab w:val="left" w:pos="142"/>
        </w:tabs>
        <w:contextualSpacing/>
        <w:rPr>
          <w:i/>
        </w:rPr>
      </w:pPr>
      <w:r w:rsidRPr="000C1321">
        <w:t>Informe de talleres consolidado con resultados obtenidos en los talleres</w:t>
      </w:r>
    </w:p>
    <w:p w14:paraId="6F7ABE67" w14:textId="77777777" w:rsidR="0003308B" w:rsidRPr="000C1321" w:rsidRDefault="0003308B" w:rsidP="003B68DB">
      <w:pPr>
        <w:numPr>
          <w:ilvl w:val="0"/>
          <w:numId w:val="124"/>
        </w:numPr>
        <w:tabs>
          <w:tab w:val="left" w:pos="142"/>
        </w:tabs>
        <w:contextualSpacing/>
        <w:rPr>
          <w:i/>
        </w:rPr>
      </w:pPr>
      <w:r w:rsidRPr="000C1321">
        <w:t>Lista de participantes</w:t>
      </w:r>
    </w:p>
    <w:p w14:paraId="52E75A7F" w14:textId="77777777" w:rsidR="0003308B" w:rsidRPr="000C1321" w:rsidRDefault="0003308B" w:rsidP="003B68DB">
      <w:pPr>
        <w:numPr>
          <w:ilvl w:val="0"/>
          <w:numId w:val="124"/>
        </w:numPr>
        <w:tabs>
          <w:tab w:val="left" w:pos="142"/>
        </w:tabs>
        <w:contextualSpacing/>
        <w:rPr>
          <w:i/>
        </w:rPr>
      </w:pPr>
      <w:r w:rsidRPr="000C1321">
        <w:t>Memoria fotográfica</w:t>
      </w:r>
    </w:p>
    <w:p w14:paraId="10879554" w14:textId="77777777" w:rsidR="0003308B" w:rsidRPr="000C1321" w:rsidRDefault="0003308B" w:rsidP="0003308B">
      <w:pPr>
        <w:tabs>
          <w:tab w:val="left" w:pos="142"/>
        </w:tabs>
        <w:contextualSpacing/>
        <w:rPr>
          <w:i/>
        </w:rPr>
      </w:pPr>
    </w:p>
    <w:p w14:paraId="3C786D2A" w14:textId="77777777" w:rsidR="0003308B" w:rsidRPr="000C1321" w:rsidRDefault="0003308B" w:rsidP="003B68DB">
      <w:pPr>
        <w:numPr>
          <w:ilvl w:val="0"/>
          <w:numId w:val="130"/>
        </w:numPr>
        <w:tabs>
          <w:tab w:val="left" w:pos="142"/>
        </w:tabs>
        <w:ind w:firstLine="0"/>
        <w:contextualSpacing/>
        <w:rPr>
          <w:b/>
        </w:rPr>
      </w:pPr>
      <w:r w:rsidRPr="000C1321">
        <w:rPr>
          <w:b/>
        </w:rPr>
        <w:t>Planificar y Realización de Taller de capacitación dirigido a promotores(as) sociales comunitarios para implementación de metodología FCSA. Elaborar Informe de Planificación y realización de taller FCSA.</w:t>
      </w:r>
    </w:p>
    <w:p w14:paraId="7300C031" w14:textId="77777777" w:rsidR="0003308B" w:rsidRPr="000C1321" w:rsidRDefault="0003308B" w:rsidP="0003308B">
      <w:pPr>
        <w:tabs>
          <w:tab w:val="left" w:pos="142"/>
        </w:tabs>
        <w:ind w:left="720"/>
        <w:contextualSpacing/>
        <w:rPr>
          <w:b/>
        </w:rPr>
      </w:pPr>
    </w:p>
    <w:p w14:paraId="7EDA1321" w14:textId="77777777" w:rsidR="0003308B" w:rsidRPr="000C1321" w:rsidRDefault="0003308B" w:rsidP="0003308B">
      <w:pPr>
        <w:tabs>
          <w:tab w:val="left" w:pos="142"/>
        </w:tabs>
      </w:pPr>
      <w:r w:rsidRPr="000C1321">
        <w:t>Utilizando material Didáctico de FISE (guía del promotor comunitario, cuaderno para promotores comunitarios, ficha familiar, gotitas alegres, tarjetas SARAR, gota alegre grande), se planifica y realiza taller para Implementación de Metodología Familia y Comunidad Saludable-FCSA), con participación de un promotor/ra por cada diez (10) viviendas beneficiarias directas con el proyecto.</w:t>
      </w:r>
    </w:p>
    <w:p w14:paraId="0F1CD898" w14:textId="77777777" w:rsidR="0003308B" w:rsidRPr="000C1321" w:rsidRDefault="0003308B" w:rsidP="0003308B">
      <w:pPr>
        <w:tabs>
          <w:tab w:val="left" w:pos="142"/>
        </w:tabs>
      </w:pPr>
    </w:p>
    <w:p w14:paraId="60ADFF95" w14:textId="77777777" w:rsidR="0003308B" w:rsidRPr="000C1321" w:rsidRDefault="0003308B" w:rsidP="0003308B">
      <w:pPr>
        <w:tabs>
          <w:tab w:val="left" w:pos="142"/>
        </w:tabs>
        <w:rPr>
          <w:b/>
        </w:rPr>
      </w:pPr>
      <w:r w:rsidRPr="000C1321">
        <w:rPr>
          <w:b/>
        </w:rPr>
        <w:t xml:space="preserve">Requerimiento del Contratista: (Incluye local, material didáctico, material de apoyo y refrigerio).  </w:t>
      </w:r>
    </w:p>
    <w:p w14:paraId="0E32D218" w14:textId="77777777" w:rsidR="0003308B" w:rsidRPr="000C1321" w:rsidRDefault="0003308B" w:rsidP="0003308B">
      <w:pPr>
        <w:tabs>
          <w:tab w:val="left" w:pos="142"/>
        </w:tabs>
      </w:pPr>
      <w:r w:rsidRPr="000C1321">
        <w:t>1. Cuadernos.</w:t>
      </w:r>
    </w:p>
    <w:p w14:paraId="4EB2A9D3" w14:textId="77777777" w:rsidR="0003308B" w:rsidRPr="000C1321" w:rsidRDefault="0003308B" w:rsidP="0003308B">
      <w:pPr>
        <w:tabs>
          <w:tab w:val="left" w:pos="142"/>
        </w:tabs>
      </w:pPr>
      <w:r w:rsidRPr="000C1321">
        <w:t>2. Lapiceros.</w:t>
      </w:r>
    </w:p>
    <w:p w14:paraId="3729EBF4" w14:textId="77777777" w:rsidR="0003308B" w:rsidRPr="000C1321" w:rsidRDefault="0003308B" w:rsidP="0003308B">
      <w:pPr>
        <w:tabs>
          <w:tab w:val="left" w:pos="142"/>
        </w:tabs>
      </w:pPr>
      <w:r w:rsidRPr="000C1321">
        <w:t>3. Guía del promotor comunitario.</w:t>
      </w:r>
    </w:p>
    <w:p w14:paraId="5E4DC37C" w14:textId="77777777" w:rsidR="0003308B" w:rsidRPr="000C1321" w:rsidRDefault="0003308B" w:rsidP="0003308B">
      <w:pPr>
        <w:tabs>
          <w:tab w:val="left" w:pos="142"/>
        </w:tabs>
      </w:pPr>
      <w:r w:rsidRPr="000C1321">
        <w:t>4. Cuadernos de registro de vistas FCSA.</w:t>
      </w:r>
    </w:p>
    <w:p w14:paraId="68514FB3" w14:textId="77777777" w:rsidR="0003308B" w:rsidRPr="000C1321" w:rsidRDefault="0003308B" w:rsidP="0003308B">
      <w:pPr>
        <w:tabs>
          <w:tab w:val="left" w:pos="142"/>
        </w:tabs>
      </w:pPr>
      <w:r w:rsidRPr="000C1321">
        <w:t>5. Refrigerios/ Almuerzos</w:t>
      </w:r>
    </w:p>
    <w:p w14:paraId="126B7633" w14:textId="77777777" w:rsidR="0003308B" w:rsidRPr="000C1321" w:rsidRDefault="0003308B" w:rsidP="0003308B">
      <w:pPr>
        <w:tabs>
          <w:tab w:val="left" w:pos="142"/>
        </w:tabs>
      </w:pPr>
      <w:r w:rsidRPr="000C1321">
        <w:t>6. Local para realizar taller.</w:t>
      </w:r>
    </w:p>
    <w:p w14:paraId="3FA232C8" w14:textId="77777777" w:rsidR="0003308B" w:rsidRPr="000C1321" w:rsidRDefault="0003308B" w:rsidP="0003308B">
      <w:pPr>
        <w:tabs>
          <w:tab w:val="left" w:pos="142"/>
        </w:tabs>
      </w:pPr>
      <w:r w:rsidRPr="000C1321">
        <w:t>7. Listado del número de viviendas a intervenir con FCSA.</w:t>
      </w:r>
    </w:p>
    <w:p w14:paraId="4C82FB98" w14:textId="77777777" w:rsidR="0003308B" w:rsidRPr="000C1321" w:rsidRDefault="0003308B" w:rsidP="0003308B">
      <w:pPr>
        <w:tabs>
          <w:tab w:val="left" w:pos="142"/>
        </w:tabs>
      </w:pPr>
    </w:p>
    <w:p w14:paraId="57FAE75C" w14:textId="77777777" w:rsidR="0003308B" w:rsidRPr="000C1321" w:rsidRDefault="0003308B" w:rsidP="0003308B">
      <w:pPr>
        <w:tabs>
          <w:tab w:val="left" w:pos="142"/>
        </w:tabs>
        <w:rPr>
          <w:b/>
        </w:rPr>
      </w:pPr>
      <w:r w:rsidRPr="000C1321">
        <w:rPr>
          <w:b/>
        </w:rPr>
        <w:t>Requerimiento de Fise:</w:t>
      </w:r>
    </w:p>
    <w:p w14:paraId="4F8A98E6" w14:textId="77777777" w:rsidR="0003308B" w:rsidRPr="000C1321" w:rsidRDefault="0003308B" w:rsidP="0003308B">
      <w:pPr>
        <w:tabs>
          <w:tab w:val="left" w:pos="142"/>
        </w:tabs>
      </w:pPr>
      <w:r w:rsidRPr="000C1321">
        <w:t>1. Fichas Familiares.</w:t>
      </w:r>
    </w:p>
    <w:p w14:paraId="13189FA7" w14:textId="77777777" w:rsidR="0003308B" w:rsidRPr="000C1321" w:rsidRDefault="0003308B" w:rsidP="0003308B">
      <w:pPr>
        <w:tabs>
          <w:tab w:val="left" w:pos="142"/>
        </w:tabs>
      </w:pPr>
      <w:r w:rsidRPr="000C1321">
        <w:t>2. Afiche de Saneamiento.</w:t>
      </w:r>
    </w:p>
    <w:p w14:paraId="32B172F4" w14:textId="77777777" w:rsidR="0003308B" w:rsidRPr="000C1321" w:rsidRDefault="0003308B" w:rsidP="0003308B">
      <w:pPr>
        <w:tabs>
          <w:tab w:val="left" w:pos="142"/>
        </w:tabs>
      </w:pPr>
      <w:r w:rsidRPr="000C1321">
        <w:t>3. Afiche de Lavado de mano.</w:t>
      </w:r>
    </w:p>
    <w:p w14:paraId="5C93D7B3" w14:textId="77777777" w:rsidR="0003308B" w:rsidRPr="000C1321" w:rsidRDefault="0003308B" w:rsidP="0003308B">
      <w:pPr>
        <w:tabs>
          <w:tab w:val="left" w:pos="142"/>
        </w:tabs>
      </w:pPr>
    </w:p>
    <w:p w14:paraId="2EC6DECC" w14:textId="77777777" w:rsidR="0003308B" w:rsidRPr="000C1321" w:rsidRDefault="0003308B" w:rsidP="0003308B">
      <w:pPr>
        <w:tabs>
          <w:tab w:val="left" w:pos="142"/>
        </w:tabs>
        <w:rPr>
          <w:b/>
        </w:rPr>
      </w:pPr>
      <w:r w:rsidRPr="000C1321">
        <w:rPr>
          <w:b/>
        </w:rPr>
        <w:t>Producto esperado:</w:t>
      </w:r>
    </w:p>
    <w:p w14:paraId="1E5DF9C0" w14:textId="77777777" w:rsidR="0003308B" w:rsidRPr="000C1321" w:rsidRDefault="0003308B" w:rsidP="0003308B">
      <w:pPr>
        <w:tabs>
          <w:tab w:val="left" w:pos="142"/>
        </w:tabs>
      </w:pPr>
    </w:p>
    <w:p w14:paraId="1642F2B9" w14:textId="77777777" w:rsidR="0003308B" w:rsidRPr="000C1321" w:rsidRDefault="0003308B" w:rsidP="003B68DB">
      <w:pPr>
        <w:numPr>
          <w:ilvl w:val="0"/>
          <w:numId w:val="123"/>
        </w:numPr>
        <w:tabs>
          <w:tab w:val="left" w:pos="142"/>
        </w:tabs>
      </w:pPr>
      <w:r w:rsidRPr="000C1321">
        <w:t>Informe de taller a promotores/ as para la implementación de FCSA. (Con su lista de asistencia y ayuda memoria).</w:t>
      </w:r>
    </w:p>
    <w:p w14:paraId="216670FC" w14:textId="77777777" w:rsidR="0003308B" w:rsidRPr="000C1321" w:rsidRDefault="0003308B" w:rsidP="003B68DB">
      <w:pPr>
        <w:numPr>
          <w:ilvl w:val="0"/>
          <w:numId w:val="123"/>
        </w:numPr>
        <w:tabs>
          <w:tab w:val="left" w:pos="142"/>
        </w:tabs>
      </w:pPr>
      <w:r w:rsidRPr="000C1321">
        <w:t>Cada promotor/a ha recibido el material FCSA correspondiente para 10 viviendas beneficiadas directas del proyecto.</w:t>
      </w:r>
    </w:p>
    <w:p w14:paraId="72093BDA" w14:textId="77777777" w:rsidR="0003308B" w:rsidRPr="000C1321" w:rsidRDefault="0003308B" w:rsidP="0003308B">
      <w:pPr>
        <w:tabs>
          <w:tab w:val="left" w:pos="142"/>
        </w:tabs>
      </w:pPr>
    </w:p>
    <w:p w14:paraId="6749FEE6" w14:textId="77777777" w:rsidR="0003308B" w:rsidRPr="000C1321" w:rsidRDefault="0003308B" w:rsidP="0003308B">
      <w:pPr>
        <w:tabs>
          <w:tab w:val="left" w:pos="142"/>
        </w:tabs>
      </w:pPr>
    </w:p>
    <w:p w14:paraId="1CC49C31" w14:textId="77777777" w:rsidR="0003308B" w:rsidRPr="000C1321" w:rsidRDefault="0003308B" w:rsidP="003B68DB">
      <w:pPr>
        <w:numPr>
          <w:ilvl w:val="0"/>
          <w:numId w:val="130"/>
        </w:numPr>
        <w:tabs>
          <w:tab w:val="left" w:pos="142"/>
        </w:tabs>
        <w:ind w:firstLine="0"/>
        <w:contextualSpacing/>
        <w:rPr>
          <w:b/>
        </w:rPr>
      </w:pPr>
      <w:r w:rsidRPr="000C1321">
        <w:rPr>
          <w:b/>
        </w:rPr>
        <w:lastRenderedPageBreak/>
        <w:t>Elaborar informe de la Promoción y aseguramiento del cumplimiento de los aportes comunitarios del fondo social comunitario (FSC) cuota No.3 y No.4.</w:t>
      </w:r>
    </w:p>
    <w:p w14:paraId="3DA8C716" w14:textId="77777777" w:rsidR="0003308B" w:rsidRPr="000C1321" w:rsidRDefault="0003308B" w:rsidP="0003308B">
      <w:pPr>
        <w:tabs>
          <w:tab w:val="left" w:pos="142"/>
        </w:tabs>
        <w:rPr>
          <w:b/>
        </w:rPr>
      </w:pPr>
    </w:p>
    <w:p w14:paraId="0EEA752E" w14:textId="77777777" w:rsidR="0003308B" w:rsidRPr="000C1321" w:rsidRDefault="0003308B" w:rsidP="0003308B">
      <w:pPr>
        <w:tabs>
          <w:tab w:val="left" w:pos="142"/>
        </w:tabs>
      </w:pPr>
      <w:r w:rsidRPr="000C1321">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539E258D" w14:textId="77777777" w:rsidR="0003308B" w:rsidRPr="000C1321" w:rsidRDefault="0003308B" w:rsidP="0003308B">
      <w:pPr>
        <w:tabs>
          <w:tab w:val="left" w:pos="142"/>
        </w:tabs>
      </w:pPr>
    </w:p>
    <w:p w14:paraId="751362C5" w14:textId="77777777" w:rsidR="0003308B" w:rsidRPr="000C1321" w:rsidRDefault="0003308B" w:rsidP="0003308B">
      <w:pPr>
        <w:tabs>
          <w:tab w:val="left" w:pos="142"/>
        </w:tabs>
      </w:pPr>
      <w:r w:rsidRPr="000C1321">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03C10386" w14:textId="77777777" w:rsidR="0003308B" w:rsidRPr="000C1321" w:rsidRDefault="0003308B" w:rsidP="0003308B">
      <w:pPr>
        <w:tabs>
          <w:tab w:val="left" w:pos="142"/>
        </w:tabs>
      </w:pPr>
    </w:p>
    <w:p w14:paraId="1EB0EB25" w14:textId="77777777" w:rsidR="0003308B" w:rsidRPr="000C1321" w:rsidRDefault="0003308B" w:rsidP="0003308B">
      <w:pPr>
        <w:tabs>
          <w:tab w:val="left" w:pos="142"/>
        </w:tabs>
        <w:rPr>
          <w:b/>
        </w:rPr>
      </w:pPr>
      <w:r w:rsidRPr="000C1321">
        <w:rPr>
          <w:b/>
        </w:rPr>
        <w:t>Instrumentos:</w:t>
      </w:r>
    </w:p>
    <w:p w14:paraId="0439BE84" w14:textId="77777777" w:rsidR="0003308B" w:rsidRPr="000C1321" w:rsidRDefault="0003308B" w:rsidP="0003308B">
      <w:pPr>
        <w:tabs>
          <w:tab w:val="left" w:pos="142"/>
        </w:tabs>
      </w:pPr>
      <w:r w:rsidRPr="000C1321">
        <w:t xml:space="preserve">1.  control de pago del FSC establecidos por FISE, los cuales serán presentados en informes requeridos, en los productos del contrato.  </w:t>
      </w:r>
    </w:p>
    <w:p w14:paraId="364E79C9" w14:textId="77777777" w:rsidR="0003308B" w:rsidRPr="000C1321" w:rsidRDefault="0003308B" w:rsidP="0003308B">
      <w:pPr>
        <w:tabs>
          <w:tab w:val="left" w:pos="142"/>
        </w:tabs>
        <w:rPr>
          <w:b/>
        </w:rPr>
      </w:pPr>
    </w:p>
    <w:p w14:paraId="7BA2F7D2" w14:textId="77777777" w:rsidR="0003308B" w:rsidRPr="000C1321" w:rsidRDefault="0003308B" w:rsidP="0003308B">
      <w:pPr>
        <w:tabs>
          <w:tab w:val="left" w:pos="142"/>
        </w:tabs>
        <w:rPr>
          <w:b/>
        </w:rPr>
      </w:pPr>
      <w:r w:rsidRPr="000C1321">
        <w:rPr>
          <w:b/>
        </w:rPr>
        <w:t>Producto esperado:</w:t>
      </w:r>
    </w:p>
    <w:p w14:paraId="360A3165" w14:textId="77777777" w:rsidR="0003308B" w:rsidRPr="000C1321" w:rsidRDefault="0003308B" w:rsidP="0003308B">
      <w:pPr>
        <w:tabs>
          <w:tab w:val="left" w:pos="142"/>
        </w:tabs>
      </w:pPr>
      <w:r w:rsidRPr="000C1321">
        <w:t>1. Informe Ejecutivo del cumplimiento del 100% del FSC, correspondiente a esta etapa.</w:t>
      </w:r>
    </w:p>
    <w:p w14:paraId="4015BE24" w14:textId="77777777" w:rsidR="0003308B" w:rsidRPr="000C1321" w:rsidRDefault="0003308B" w:rsidP="0003308B">
      <w:pPr>
        <w:tabs>
          <w:tab w:val="left" w:pos="142"/>
        </w:tabs>
      </w:pPr>
    </w:p>
    <w:p w14:paraId="1D2C4BBD" w14:textId="77777777" w:rsidR="0003308B" w:rsidRPr="000C1321" w:rsidRDefault="0003308B" w:rsidP="003B68DB">
      <w:pPr>
        <w:numPr>
          <w:ilvl w:val="0"/>
          <w:numId w:val="130"/>
        </w:numPr>
        <w:tabs>
          <w:tab w:val="left" w:pos="142"/>
        </w:tabs>
        <w:ind w:firstLine="0"/>
        <w:contextualSpacing/>
        <w:rPr>
          <w:b/>
        </w:rPr>
      </w:pPr>
      <w:r w:rsidRPr="000C1321">
        <w:rPr>
          <w:b/>
        </w:rPr>
        <w:t>Elaborar Informe de Promoción y aseguramiento del cumplimiento de los aportes comunitarios del fondo social comunitario (FSC) cuota No.5 y No.6.</w:t>
      </w:r>
    </w:p>
    <w:p w14:paraId="47625146" w14:textId="77777777" w:rsidR="0003308B" w:rsidRPr="000C1321" w:rsidRDefault="0003308B" w:rsidP="0003308B">
      <w:pPr>
        <w:tabs>
          <w:tab w:val="left" w:pos="142"/>
        </w:tabs>
      </w:pPr>
    </w:p>
    <w:p w14:paraId="21D4CC70" w14:textId="77777777" w:rsidR="0003308B" w:rsidRPr="000C1321" w:rsidRDefault="0003308B" w:rsidP="0003308B">
      <w:pPr>
        <w:tabs>
          <w:tab w:val="left" w:pos="142"/>
        </w:tabs>
      </w:pPr>
      <w:r w:rsidRPr="000C1321">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7BB3AEA3" w14:textId="77777777" w:rsidR="0003308B" w:rsidRPr="000C1321" w:rsidRDefault="0003308B" w:rsidP="0003308B">
      <w:pPr>
        <w:tabs>
          <w:tab w:val="left" w:pos="142"/>
        </w:tabs>
      </w:pPr>
    </w:p>
    <w:p w14:paraId="373FAE22" w14:textId="77777777" w:rsidR="0003308B" w:rsidRPr="000C1321" w:rsidRDefault="0003308B" w:rsidP="0003308B">
      <w:pPr>
        <w:tabs>
          <w:tab w:val="left" w:pos="142"/>
        </w:tabs>
      </w:pPr>
      <w:r w:rsidRPr="000C1321">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21081F34" w14:textId="77777777" w:rsidR="0003308B" w:rsidRPr="000C1321" w:rsidRDefault="0003308B" w:rsidP="0003308B">
      <w:pPr>
        <w:tabs>
          <w:tab w:val="left" w:pos="142"/>
        </w:tabs>
      </w:pPr>
      <w:r w:rsidRPr="000C1321">
        <w:t xml:space="preserve">Hacer uso de instrumentos para control y manejo del FSC, establecidos por FISE, los cuales serán presentados en informes requeridos, en los productos del contrato.  </w:t>
      </w:r>
    </w:p>
    <w:p w14:paraId="4FA1C0FE" w14:textId="77777777" w:rsidR="0003308B" w:rsidRPr="000C1321" w:rsidRDefault="0003308B" w:rsidP="0003308B">
      <w:pPr>
        <w:tabs>
          <w:tab w:val="left" w:pos="142"/>
        </w:tabs>
        <w:rPr>
          <w:b/>
        </w:rPr>
      </w:pPr>
    </w:p>
    <w:p w14:paraId="0B75A578" w14:textId="77777777" w:rsidR="0003308B" w:rsidRPr="000C1321" w:rsidRDefault="0003308B" w:rsidP="0003308B">
      <w:pPr>
        <w:tabs>
          <w:tab w:val="left" w:pos="142"/>
        </w:tabs>
        <w:rPr>
          <w:b/>
        </w:rPr>
      </w:pPr>
      <w:r w:rsidRPr="000C1321">
        <w:rPr>
          <w:b/>
        </w:rPr>
        <w:t>Instrumentos:</w:t>
      </w:r>
    </w:p>
    <w:p w14:paraId="3B59B43A" w14:textId="77777777" w:rsidR="0003308B" w:rsidRPr="000C1321" w:rsidRDefault="0003308B" w:rsidP="0003308B">
      <w:pPr>
        <w:tabs>
          <w:tab w:val="left" w:pos="142"/>
        </w:tabs>
      </w:pPr>
      <w:r w:rsidRPr="000C1321">
        <w:t xml:space="preserve">1.  Control de pago del FSC establecidos por FISE, los cuales serán presentados en informes requeridos, en los productos del contrato.  </w:t>
      </w:r>
    </w:p>
    <w:p w14:paraId="7B63E16B" w14:textId="77777777" w:rsidR="0003308B" w:rsidRPr="000C1321" w:rsidRDefault="0003308B" w:rsidP="0003308B">
      <w:pPr>
        <w:tabs>
          <w:tab w:val="left" w:pos="142"/>
        </w:tabs>
      </w:pPr>
    </w:p>
    <w:p w14:paraId="41CBC998" w14:textId="77777777" w:rsidR="0003308B" w:rsidRPr="000C1321" w:rsidRDefault="0003308B" w:rsidP="0003308B">
      <w:pPr>
        <w:tabs>
          <w:tab w:val="left" w:pos="142"/>
        </w:tabs>
        <w:rPr>
          <w:b/>
        </w:rPr>
      </w:pPr>
      <w:r w:rsidRPr="000C1321">
        <w:rPr>
          <w:b/>
        </w:rPr>
        <w:t>Producto esperado:</w:t>
      </w:r>
    </w:p>
    <w:p w14:paraId="4201B2A5" w14:textId="77777777" w:rsidR="0003308B" w:rsidRPr="000C1321" w:rsidRDefault="0003308B" w:rsidP="0003308B">
      <w:pPr>
        <w:tabs>
          <w:tab w:val="left" w:pos="142"/>
        </w:tabs>
      </w:pPr>
      <w:r w:rsidRPr="000C1321">
        <w:t>1. Informe Ejecutivo del cumplimiento del 100% del FSC, correspondiente a esta etapa.</w:t>
      </w:r>
    </w:p>
    <w:p w14:paraId="562F4965" w14:textId="77777777" w:rsidR="0003308B" w:rsidRPr="000C1321" w:rsidRDefault="0003308B" w:rsidP="0003308B">
      <w:pPr>
        <w:tabs>
          <w:tab w:val="left" w:pos="142"/>
        </w:tabs>
      </w:pPr>
    </w:p>
    <w:p w14:paraId="6F1F7F48" w14:textId="77777777" w:rsidR="0003308B" w:rsidRPr="000C1321" w:rsidRDefault="0003308B" w:rsidP="003B68DB">
      <w:pPr>
        <w:numPr>
          <w:ilvl w:val="0"/>
          <w:numId w:val="130"/>
        </w:numPr>
        <w:tabs>
          <w:tab w:val="left" w:pos="142"/>
        </w:tabs>
        <w:ind w:firstLine="0"/>
        <w:contextualSpacing/>
        <w:rPr>
          <w:b/>
        </w:rPr>
      </w:pPr>
      <w:r w:rsidRPr="000C1321">
        <w:rPr>
          <w:b/>
        </w:rPr>
        <w:t>Elaborar Informe de Promoción y aseguramiento del cumplimiento de los aportes comunitarios para la compra de medidor.</w:t>
      </w:r>
    </w:p>
    <w:p w14:paraId="2662D3F6" w14:textId="77777777" w:rsidR="0003308B" w:rsidRPr="000C1321" w:rsidRDefault="0003308B" w:rsidP="0003308B">
      <w:pPr>
        <w:tabs>
          <w:tab w:val="left" w:pos="142"/>
        </w:tabs>
      </w:pPr>
    </w:p>
    <w:p w14:paraId="386A3FF0" w14:textId="77777777" w:rsidR="0003308B" w:rsidRPr="000C1321" w:rsidRDefault="0003308B" w:rsidP="0003308B">
      <w:pPr>
        <w:tabs>
          <w:tab w:val="left" w:pos="142"/>
        </w:tabs>
      </w:pPr>
      <w:r w:rsidRPr="000C1321">
        <w:lastRenderedPageBreak/>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5F239D2C" w14:textId="77777777" w:rsidR="0003308B" w:rsidRPr="000C1321" w:rsidRDefault="0003308B" w:rsidP="0003308B">
      <w:pPr>
        <w:tabs>
          <w:tab w:val="left" w:pos="142"/>
        </w:tabs>
      </w:pPr>
    </w:p>
    <w:p w14:paraId="745189A8" w14:textId="77777777" w:rsidR="0003308B" w:rsidRPr="000C1321" w:rsidRDefault="0003308B" w:rsidP="0003308B">
      <w:pPr>
        <w:tabs>
          <w:tab w:val="left" w:pos="142"/>
        </w:tabs>
      </w:pPr>
      <w:r w:rsidRPr="000C1321">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771AE8B7" w14:textId="77777777" w:rsidR="0003308B" w:rsidRPr="000C1321" w:rsidRDefault="0003308B" w:rsidP="0003308B">
      <w:pPr>
        <w:tabs>
          <w:tab w:val="left" w:pos="142"/>
        </w:tabs>
      </w:pPr>
    </w:p>
    <w:p w14:paraId="5E5EA9E4" w14:textId="77777777" w:rsidR="0003308B" w:rsidRPr="000C1321" w:rsidRDefault="0003308B" w:rsidP="0003308B">
      <w:pPr>
        <w:tabs>
          <w:tab w:val="left" w:pos="142"/>
        </w:tabs>
      </w:pPr>
      <w:r w:rsidRPr="000C1321">
        <w:t xml:space="preserve">Al momento de realizar compra de medidores, el contratista </w:t>
      </w:r>
      <w:r>
        <w:t>gestor</w:t>
      </w:r>
      <w:r w:rsidRPr="000C1321">
        <w:t xml:space="preserve">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70A881F1" w14:textId="77777777" w:rsidR="0003308B" w:rsidRPr="000C1321" w:rsidRDefault="0003308B" w:rsidP="0003308B">
      <w:pPr>
        <w:tabs>
          <w:tab w:val="left" w:pos="142"/>
        </w:tabs>
      </w:pPr>
    </w:p>
    <w:p w14:paraId="0B8DECE5" w14:textId="77777777" w:rsidR="0003308B" w:rsidRPr="000C1321" w:rsidRDefault="0003308B" w:rsidP="0003308B">
      <w:pPr>
        <w:tabs>
          <w:tab w:val="left" w:pos="142"/>
        </w:tabs>
      </w:pPr>
      <w:r w:rsidRPr="000C1321">
        <w:t>En caso que la compra de los medidores esté incluida en el presupuesto de la obra del proyecto, no aplicara la recolecta del pago de medidores, por lo que esta actividad no será pagada.</w:t>
      </w:r>
    </w:p>
    <w:p w14:paraId="5EC5C7DC" w14:textId="77777777" w:rsidR="0003308B" w:rsidRPr="000C1321" w:rsidRDefault="0003308B" w:rsidP="0003308B">
      <w:pPr>
        <w:tabs>
          <w:tab w:val="left" w:pos="142"/>
        </w:tabs>
      </w:pPr>
    </w:p>
    <w:p w14:paraId="64912560" w14:textId="77777777" w:rsidR="0003308B" w:rsidRPr="000C1321" w:rsidRDefault="0003308B" w:rsidP="0003308B">
      <w:pPr>
        <w:tabs>
          <w:tab w:val="left" w:pos="142"/>
        </w:tabs>
        <w:rPr>
          <w:b/>
        </w:rPr>
      </w:pPr>
      <w:r w:rsidRPr="000C1321">
        <w:rPr>
          <w:b/>
        </w:rPr>
        <w:t>Producto esperado por el contratista:</w:t>
      </w:r>
    </w:p>
    <w:p w14:paraId="2F53C7A4" w14:textId="77777777" w:rsidR="0003308B" w:rsidRPr="000C1321" w:rsidRDefault="0003308B" w:rsidP="0003308B">
      <w:pPr>
        <w:tabs>
          <w:tab w:val="left" w:pos="142"/>
        </w:tabs>
      </w:pPr>
      <w:r w:rsidRPr="000C1321">
        <w:t>1. Informe de cumplimiento del 100% del pago del medidor. (Control de pago de medidor firmado por el CAPS, Alcaldía Municipal.)</w:t>
      </w:r>
    </w:p>
    <w:p w14:paraId="3C1EAA68" w14:textId="77777777" w:rsidR="0003308B" w:rsidRPr="000C1321" w:rsidRDefault="0003308B" w:rsidP="0003308B">
      <w:pPr>
        <w:tabs>
          <w:tab w:val="left" w:pos="142"/>
        </w:tabs>
      </w:pPr>
    </w:p>
    <w:p w14:paraId="7F7C2AB9" w14:textId="77777777" w:rsidR="0003308B" w:rsidRPr="000C1321" w:rsidRDefault="0003308B" w:rsidP="003B68DB">
      <w:pPr>
        <w:numPr>
          <w:ilvl w:val="0"/>
          <w:numId w:val="130"/>
        </w:numPr>
        <w:tabs>
          <w:tab w:val="left" w:pos="142"/>
        </w:tabs>
        <w:ind w:firstLine="0"/>
        <w:contextualSpacing/>
        <w:rPr>
          <w:b/>
        </w:rPr>
      </w:pPr>
      <w:r w:rsidRPr="000C1321">
        <w:rPr>
          <w:b/>
        </w:rPr>
        <w:t>Elaborar informe para implementación de metodología FCSA -Primera visita casa a casa.</w:t>
      </w:r>
    </w:p>
    <w:p w14:paraId="597FFE55" w14:textId="77777777" w:rsidR="0003308B" w:rsidRPr="000C1321" w:rsidRDefault="0003308B" w:rsidP="0003308B">
      <w:pPr>
        <w:tabs>
          <w:tab w:val="left" w:pos="142"/>
        </w:tabs>
      </w:pPr>
    </w:p>
    <w:p w14:paraId="1E4CD7ED" w14:textId="77777777" w:rsidR="0003308B" w:rsidRPr="000C1321" w:rsidRDefault="0003308B" w:rsidP="0003308B">
      <w:pPr>
        <w:tabs>
          <w:tab w:val="left" w:pos="142"/>
        </w:tabs>
      </w:pPr>
      <w:r w:rsidRPr="000C1321">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050458CC" w14:textId="77777777" w:rsidR="0003308B" w:rsidRPr="000C1321" w:rsidRDefault="0003308B" w:rsidP="0003308B">
      <w:pPr>
        <w:tabs>
          <w:tab w:val="left" w:pos="142"/>
        </w:tabs>
      </w:pPr>
      <w:r w:rsidRPr="000C1321">
        <w:t xml:space="preserve"> </w:t>
      </w:r>
    </w:p>
    <w:p w14:paraId="12CF3858" w14:textId="77777777" w:rsidR="0003308B" w:rsidRPr="000C1321" w:rsidRDefault="0003308B" w:rsidP="0003308B">
      <w:pPr>
        <w:tabs>
          <w:tab w:val="left" w:pos="142"/>
        </w:tabs>
      </w:pPr>
      <w:r w:rsidRPr="000C1321">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32B13E38" w14:textId="77777777" w:rsidR="0003308B" w:rsidRPr="000C1321" w:rsidRDefault="0003308B" w:rsidP="0003308B">
      <w:pPr>
        <w:tabs>
          <w:tab w:val="left" w:pos="142"/>
        </w:tabs>
      </w:pPr>
    </w:p>
    <w:p w14:paraId="54ACB14D" w14:textId="77777777" w:rsidR="0003308B" w:rsidRPr="000C1321" w:rsidRDefault="0003308B" w:rsidP="0003308B">
      <w:pPr>
        <w:tabs>
          <w:tab w:val="left" w:pos="142"/>
        </w:tabs>
      </w:pPr>
      <w:r w:rsidRPr="000C1321">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001AB157" w14:textId="77777777" w:rsidR="0003308B" w:rsidRPr="000C1321" w:rsidRDefault="0003308B" w:rsidP="0003308B">
      <w:pPr>
        <w:tabs>
          <w:tab w:val="left" w:pos="142"/>
        </w:tabs>
      </w:pPr>
    </w:p>
    <w:p w14:paraId="1B120C55" w14:textId="77777777" w:rsidR="0003308B" w:rsidRPr="000C1321" w:rsidRDefault="0003308B" w:rsidP="0003308B">
      <w:pPr>
        <w:tabs>
          <w:tab w:val="left" w:pos="142"/>
        </w:tabs>
      </w:pPr>
      <w:r w:rsidRPr="000C1321">
        <w:t xml:space="preserve">Contratista, elabora Informe Ejecutivo del diagnóstico higiénico-sanitario, obteniendo una línea de base que refleje el comportamiento de los hábitos de higiene en las familias.  </w:t>
      </w:r>
    </w:p>
    <w:p w14:paraId="1E6FD56D" w14:textId="77777777" w:rsidR="0003308B" w:rsidRPr="000C1321" w:rsidRDefault="0003308B" w:rsidP="0003308B">
      <w:pPr>
        <w:tabs>
          <w:tab w:val="left" w:pos="142"/>
        </w:tabs>
      </w:pPr>
    </w:p>
    <w:p w14:paraId="435B6F78" w14:textId="77777777" w:rsidR="0003308B" w:rsidRPr="000C1321" w:rsidRDefault="0003308B" w:rsidP="0003308B">
      <w:pPr>
        <w:tabs>
          <w:tab w:val="left" w:pos="142"/>
        </w:tabs>
        <w:rPr>
          <w:b/>
        </w:rPr>
      </w:pPr>
      <w:r w:rsidRPr="000C1321">
        <w:rPr>
          <w:b/>
        </w:rPr>
        <w:t>Requerimiento por el contratista para los promotores:</w:t>
      </w:r>
    </w:p>
    <w:p w14:paraId="25D02344" w14:textId="77777777" w:rsidR="0003308B" w:rsidRPr="000C1321" w:rsidRDefault="0003308B" w:rsidP="0003308B">
      <w:pPr>
        <w:tabs>
          <w:tab w:val="left" w:pos="142"/>
        </w:tabs>
      </w:pPr>
      <w:r w:rsidRPr="000C1321">
        <w:t>1. Cuaderno de control de visita.</w:t>
      </w:r>
    </w:p>
    <w:p w14:paraId="3CE5A4EC" w14:textId="77777777" w:rsidR="0003308B" w:rsidRPr="000C1321" w:rsidRDefault="0003308B" w:rsidP="0003308B">
      <w:pPr>
        <w:tabs>
          <w:tab w:val="left" w:pos="142"/>
        </w:tabs>
      </w:pPr>
      <w:r w:rsidRPr="000C1321">
        <w:t>2. cuadernos/lapiceros/lápiz/ Tabla clan.</w:t>
      </w:r>
    </w:p>
    <w:p w14:paraId="50F4B492" w14:textId="77777777" w:rsidR="0003308B" w:rsidRPr="000C1321" w:rsidRDefault="0003308B" w:rsidP="0003308B">
      <w:pPr>
        <w:tabs>
          <w:tab w:val="left" w:pos="142"/>
        </w:tabs>
      </w:pPr>
    </w:p>
    <w:p w14:paraId="56C01FC7" w14:textId="77777777" w:rsidR="0003308B" w:rsidRPr="000C1321" w:rsidRDefault="0003308B" w:rsidP="0003308B">
      <w:pPr>
        <w:tabs>
          <w:tab w:val="left" w:pos="142"/>
        </w:tabs>
        <w:rPr>
          <w:b/>
        </w:rPr>
      </w:pPr>
      <w:r w:rsidRPr="000C1321">
        <w:rPr>
          <w:b/>
        </w:rPr>
        <w:t>Producto esperando:</w:t>
      </w:r>
    </w:p>
    <w:p w14:paraId="238FEDDC" w14:textId="77777777" w:rsidR="0003308B" w:rsidRPr="000C1321" w:rsidRDefault="0003308B" w:rsidP="0003308B">
      <w:pPr>
        <w:tabs>
          <w:tab w:val="left" w:pos="142"/>
        </w:tabs>
      </w:pPr>
      <w:r w:rsidRPr="000C1321">
        <w:t>1. Informe de resultado del Diagnostico Higiénico-Sanitario.</w:t>
      </w:r>
    </w:p>
    <w:p w14:paraId="63A4DF38" w14:textId="77777777" w:rsidR="0003308B" w:rsidRPr="000C1321" w:rsidRDefault="0003308B" w:rsidP="0003308B">
      <w:pPr>
        <w:tabs>
          <w:tab w:val="left" w:pos="142"/>
        </w:tabs>
      </w:pPr>
    </w:p>
    <w:p w14:paraId="4714606E" w14:textId="77777777" w:rsidR="0003308B" w:rsidRPr="000C1321" w:rsidRDefault="0003308B" w:rsidP="003B68DB">
      <w:pPr>
        <w:numPr>
          <w:ilvl w:val="0"/>
          <w:numId w:val="130"/>
        </w:numPr>
        <w:tabs>
          <w:tab w:val="left" w:pos="142"/>
        </w:tabs>
        <w:ind w:firstLine="0"/>
        <w:contextualSpacing/>
        <w:rPr>
          <w:b/>
        </w:rPr>
      </w:pPr>
      <w:r w:rsidRPr="000C1321">
        <w:rPr>
          <w:b/>
        </w:rPr>
        <w:t>Elaborar informe para implementación de metodología FCSA -Segunda visita casa a casa.</w:t>
      </w:r>
    </w:p>
    <w:p w14:paraId="73C423D0" w14:textId="77777777" w:rsidR="0003308B" w:rsidRPr="000C1321" w:rsidRDefault="0003308B" w:rsidP="0003308B">
      <w:pPr>
        <w:tabs>
          <w:tab w:val="left" w:pos="142"/>
        </w:tabs>
        <w:ind w:left="720"/>
        <w:contextualSpacing/>
        <w:rPr>
          <w:b/>
        </w:rPr>
      </w:pPr>
    </w:p>
    <w:p w14:paraId="469EEA2F" w14:textId="77777777" w:rsidR="0003308B" w:rsidRPr="000C1321" w:rsidRDefault="0003308B" w:rsidP="0003308B">
      <w:pPr>
        <w:tabs>
          <w:tab w:val="left" w:pos="142"/>
        </w:tabs>
      </w:pPr>
      <w:r w:rsidRPr="000C1321">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598ADE38" w14:textId="77777777" w:rsidR="0003308B" w:rsidRPr="000C1321" w:rsidRDefault="0003308B" w:rsidP="0003308B">
      <w:pPr>
        <w:tabs>
          <w:tab w:val="left" w:pos="142"/>
        </w:tabs>
      </w:pPr>
    </w:p>
    <w:p w14:paraId="3F7BFFAF" w14:textId="77777777" w:rsidR="0003308B" w:rsidRPr="000C1321" w:rsidRDefault="0003308B" w:rsidP="0003308B">
      <w:pPr>
        <w:tabs>
          <w:tab w:val="left" w:pos="142"/>
        </w:tabs>
      </w:pPr>
      <w:r w:rsidRPr="000C1321">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130CA149" w14:textId="77777777" w:rsidR="0003308B" w:rsidRPr="000C1321" w:rsidRDefault="0003308B" w:rsidP="0003308B">
      <w:pPr>
        <w:tabs>
          <w:tab w:val="left" w:pos="142"/>
        </w:tabs>
      </w:pPr>
    </w:p>
    <w:p w14:paraId="669436A6" w14:textId="77777777" w:rsidR="0003308B" w:rsidRPr="000C1321" w:rsidRDefault="0003308B" w:rsidP="0003308B">
      <w:pPr>
        <w:tabs>
          <w:tab w:val="left" w:pos="142"/>
        </w:tabs>
      </w:pPr>
      <w:r w:rsidRPr="000C1321">
        <w:t xml:space="preserve">Cada promotor/ra, con apoyo y acompañamiento del contratista, debe negociar con propietarios de viviendas, horario y día para realizar la siguiente visita. </w:t>
      </w:r>
    </w:p>
    <w:p w14:paraId="5F0162EF" w14:textId="77777777" w:rsidR="0003308B" w:rsidRPr="000C1321" w:rsidRDefault="0003308B" w:rsidP="0003308B">
      <w:pPr>
        <w:tabs>
          <w:tab w:val="left" w:pos="142"/>
        </w:tabs>
      </w:pPr>
    </w:p>
    <w:p w14:paraId="533D427D" w14:textId="77777777" w:rsidR="0003308B" w:rsidRPr="000C1321" w:rsidRDefault="0003308B" w:rsidP="0003308B">
      <w:pPr>
        <w:tabs>
          <w:tab w:val="left" w:pos="142"/>
        </w:tabs>
      </w:pPr>
      <w:r w:rsidRPr="000C1321">
        <w:t>Contratista, elabora Informe Ejecutivo de la implementación de FCSA, enfatizando limitantes, logros en los cambios de comportamiento de higiene en las familias.</w:t>
      </w:r>
    </w:p>
    <w:p w14:paraId="702CA32D" w14:textId="77777777" w:rsidR="0003308B" w:rsidRPr="000C1321" w:rsidRDefault="0003308B" w:rsidP="0003308B">
      <w:pPr>
        <w:tabs>
          <w:tab w:val="left" w:pos="142"/>
        </w:tabs>
        <w:rPr>
          <w:b/>
        </w:rPr>
      </w:pPr>
    </w:p>
    <w:p w14:paraId="7B7CF985" w14:textId="77777777" w:rsidR="0003308B" w:rsidRPr="000C1321" w:rsidRDefault="0003308B" w:rsidP="0003308B">
      <w:pPr>
        <w:tabs>
          <w:tab w:val="left" w:pos="142"/>
        </w:tabs>
        <w:rPr>
          <w:b/>
        </w:rPr>
      </w:pPr>
      <w:r w:rsidRPr="000C1321">
        <w:rPr>
          <w:b/>
        </w:rPr>
        <w:t>Requerimiento por el contratista para los promotores:</w:t>
      </w:r>
    </w:p>
    <w:p w14:paraId="047D4D0B" w14:textId="77777777" w:rsidR="0003308B" w:rsidRPr="000C1321" w:rsidRDefault="0003308B" w:rsidP="0003308B">
      <w:pPr>
        <w:tabs>
          <w:tab w:val="left" w:pos="142"/>
        </w:tabs>
      </w:pPr>
      <w:r w:rsidRPr="000C1321">
        <w:t>1. Cuaderno de control de visita.</w:t>
      </w:r>
    </w:p>
    <w:p w14:paraId="56015DDC" w14:textId="77777777" w:rsidR="0003308B" w:rsidRPr="000C1321" w:rsidRDefault="0003308B" w:rsidP="0003308B">
      <w:pPr>
        <w:tabs>
          <w:tab w:val="left" w:pos="142"/>
        </w:tabs>
      </w:pPr>
      <w:r w:rsidRPr="000C1321">
        <w:t>2. cuadernos/lapiceros/lápiz/ Tabla clan.</w:t>
      </w:r>
    </w:p>
    <w:p w14:paraId="0D7AA9FA" w14:textId="77777777" w:rsidR="0003308B" w:rsidRPr="000C1321" w:rsidRDefault="0003308B" w:rsidP="0003308B">
      <w:pPr>
        <w:tabs>
          <w:tab w:val="left" w:pos="142"/>
        </w:tabs>
      </w:pPr>
    </w:p>
    <w:p w14:paraId="35D78242" w14:textId="77777777" w:rsidR="0003308B" w:rsidRPr="000C1321" w:rsidRDefault="0003308B" w:rsidP="0003308B">
      <w:pPr>
        <w:tabs>
          <w:tab w:val="left" w:pos="142"/>
        </w:tabs>
        <w:rPr>
          <w:b/>
        </w:rPr>
      </w:pPr>
      <w:r w:rsidRPr="000C1321">
        <w:rPr>
          <w:b/>
        </w:rPr>
        <w:t>Producto esperando por el contratista:</w:t>
      </w:r>
    </w:p>
    <w:p w14:paraId="27ACFEC9" w14:textId="77777777" w:rsidR="0003308B" w:rsidRPr="000C1321" w:rsidRDefault="0003308B" w:rsidP="0003308B">
      <w:pPr>
        <w:tabs>
          <w:tab w:val="left" w:pos="142"/>
        </w:tabs>
      </w:pPr>
      <w:r w:rsidRPr="000C1321">
        <w:t>1.  Informe de la visita Tema 1, consolidado por familias.</w:t>
      </w:r>
    </w:p>
    <w:p w14:paraId="32B73292" w14:textId="77777777" w:rsidR="0003308B" w:rsidRPr="000C1321" w:rsidRDefault="0003308B" w:rsidP="0003308B">
      <w:pPr>
        <w:tabs>
          <w:tab w:val="left" w:pos="142"/>
        </w:tabs>
      </w:pPr>
      <w:r w:rsidRPr="000C1321">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391BE4CE" w14:textId="77777777" w:rsidR="0003308B" w:rsidRPr="000C1321" w:rsidRDefault="0003308B" w:rsidP="0003308B">
      <w:pPr>
        <w:tabs>
          <w:tab w:val="left" w:pos="142"/>
        </w:tabs>
      </w:pPr>
    </w:p>
    <w:p w14:paraId="7E257D89" w14:textId="77777777" w:rsidR="0003308B" w:rsidRPr="000C1321" w:rsidRDefault="0003308B" w:rsidP="003B68DB">
      <w:pPr>
        <w:numPr>
          <w:ilvl w:val="0"/>
          <w:numId w:val="130"/>
        </w:numPr>
        <w:tabs>
          <w:tab w:val="left" w:pos="142"/>
        </w:tabs>
        <w:ind w:firstLine="0"/>
        <w:contextualSpacing/>
        <w:rPr>
          <w:b/>
        </w:rPr>
      </w:pPr>
      <w:r w:rsidRPr="000C1321">
        <w:rPr>
          <w:b/>
        </w:rPr>
        <w:t>Elaborar informe para implementación de metodología FCSA -Tercera visita casa a casa.</w:t>
      </w:r>
    </w:p>
    <w:p w14:paraId="7F4DF4A4" w14:textId="77777777" w:rsidR="0003308B" w:rsidRPr="000C1321" w:rsidRDefault="0003308B" w:rsidP="0003308B">
      <w:pPr>
        <w:tabs>
          <w:tab w:val="left" w:pos="142"/>
        </w:tabs>
        <w:rPr>
          <w:b/>
        </w:rPr>
      </w:pPr>
    </w:p>
    <w:p w14:paraId="6CAF2BCA" w14:textId="77777777" w:rsidR="0003308B" w:rsidRPr="000C1321" w:rsidRDefault="0003308B" w:rsidP="0003308B">
      <w:pPr>
        <w:tabs>
          <w:tab w:val="left" w:pos="142"/>
        </w:tabs>
      </w:pPr>
      <w:r w:rsidRPr="000C1321">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172FDA19" w14:textId="77777777" w:rsidR="0003308B" w:rsidRPr="000C1321" w:rsidRDefault="0003308B" w:rsidP="0003308B">
      <w:pPr>
        <w:tabs>
          <w:tab w:val="left" w:pos="142"/>
        </w:tabs>
      </w:pPr>
    </w:p>
    <w:p w14:paraId="21CEB259" w14:textId="77777777" w:rsidR="0003308B" w:rsidRPr="000C1321" w:rsidRDefault="0003308B" w:rsidP="0003308B">
      <w:pPr>
        <w:tabs>
          <w:tab w:val="left" w:pos="142"/>
        </w:tabs>
      </w:pPr>
      <w:r w:rsidRPr="000C1321">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119CBBD4" w14:textId="77777777" w:rsidR="0003308B" w:rsidRPr="000C1321" w:rsidRDefault="0003308B" w:rsidP="0003308B">
      <w:pPr>
        <w:tabs>
          <w:tab w:val="left" w:pos="142"/>
        </w:tabs>
      </w:pPr>
    </w:p>
    <w:p w14:paraId="44DE7009" w14:textId="77777777" w:rsidR="0003308B" w:rsidRPr="000C1321" w:rsidRDefault="0003308B" w:rsidP="0003308B">
      <w:pPr>
        <w:tabs>
          <w:tab w:val="left" w:pos="142"/>
        </w:tabs>
      </w:pPr>
      <w:r w:rsidRPr="000C1321">
        <w:t xml:space="preserve">Cada promotor/ra, con apoyo y acompañamiento del contratista, debe negociar con propietarios de viviendas, horario y día para realizar la siguiente visita. </w:t>
      </w:r>
    </w:p>
    <w:p w14:paraId="247CCFB4" w14:textId="77777777" w:rsidR="0003308B" w:rsidRPr="000C1321" w:rsidRDefault="0003308B" w:rsidP="0003308B">
      <w:pPr>
        <w:tabs>
          <w:tab w:val="left" w:pos="142"/>
        </w:tabs>
        <w:rPr>
          <w:b/>
        </w:rPr>
      </w:pPr>
      <w:r w:rsidRPr="000C1321">
        <w:rPr>
          <w:b/>
        </w:rPr>
        <w:lastRenderedPageBreak/>
        <w:t>Producto esperando:</w:t>
      </w:r>
    </w:p>
    <w:p w14:paraId="6338FC56" w14:textId="77777777" w:rsidR="0003308B" w:rsidRPr="000C1321" w:rsidRDefault="0003308B" w:rsidP="0003308B">
      <w:pPr>
        <w:tabs>
          <w:tab w:val="left" w:pos="142"/>
        </w:tabs>
      </w:pPr>
      <w:r w:rsidRPr="000C1321">
        <w:t>1. Informe de la visita Tema 2, consolidado por familias.</w:t>
      </w:r>
    </w:p>
    <w:p w14:paraId="1C35682E" w14:textId="77777777" w:rsidR="0003308B" w:rsidRPr="000C1321" w:rsidRDefault="0003308B" w:rsidP="0003308B">
      <w:pPr>
        <w:tabs>
          <w:tab w:val="left" w:pos="142"/>
        </w:tabs>
        <w:rPr>
          <w:b/>
        </w:rPr>
      </w:pPr>
      <w:r w:rsidRPr="000C1321">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47EA66A1" w14:textId="77777777" w:rsidR="0003308B" w:rsidRPr="000C1321" w:rsidRDefault="0003308B" w:rsidP="0003308B">
      <w:pPr>
        <w:tabs>
          <w:tab w:val="left" w:pos="142"/>
        </w:tabs>
        <w:rPr>
          <w:b/>
        </w:rPr>
      </w:pPr>
    </w:p>
    <w:p w14:paraId="067017FE" w14:textId="77777777" w:rsidR="0003308B" w:rsidRPr="000C1321" w:rsidRDefault="0003308B" w:rsidP="003B68DB">
      <w:pPr>
        <w:numPr>
          <w:ilvl w:val="0"/>
          <w:numId w:val="130"/>
        </w:numPr>
        <w:tabs>
          <w:tab w:val="left" w:pos="142"/>
        </w:tabs>
        <w:ind w:firstLine="0"/>
        <w:contextualSpacing/>
        <w:rPr>
          <w:b/>
        </w:rPr>
      </w:pPr>
      <w:r w:rsidRPr="000C1321">
        <w:rPr>
          <w:b/>
        </w:rPr>
        <w:t>Elaborar informe para implementación de metodología FCSA -Cuarta visita casa a casa.</w:t>
      </w:r>
    </w:p>
    <w:p w14:paraId="15551529" w14:textId="77777777" w:rsidR="0003308B" w:rsidRPr="000C1321" w:rsidRDefault="0003308B" w:rsidP="0003308B">
      <w:pPr>
        <w:tabs>
          <w:tab w:val="left" w:pos="142"/>
        </w:tabs>
        <w:rPr>
          <w:b/>
        </w:rPr>
      </w:pPr>
    </w:p>
    <w:p w14:paraId="7C198DF9" w14:textId="77777777" w:rsidR="0003308B" w:rsidRPr="000C1321" w:rsidRDefault="0003308B" w:rsidP="0003308B">
      <w:pPr>
        <w:tabs>
          <w:tab w:val="left" w:pos="142"/>
        </w:tabs>
      </w:pPr>
      <w:r w:rsidRPr="000C1321">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7B687F9E" w14:textId="77777777" w:rsidR="0003308B" w:rsidRPr="000C1321" w:rsidRDefault="0003308B" w:rsidP="0003308B">
      <w:pPr>
        <w:tabs>
          <w:tab w:val="left" w:pos="142"/>
        </w:tabs>
      </w:pPr>
    </w:p>
    <w:p w14:paraId="72F4BB78" w14:textId="77777777" w:rsidR="0003308B" w:rsidRPr="000C1321" w:rsidRDefault="0003308B" w:rsidP="0003308B">
      <w:pPr>
        <w:tabs>
          <w:tab w:val="left" w:pos="142"/>
        </w:tabs>
      </w:pPr>
      <w:r w:rsidRPr="000C1321">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31C8DA2A" w14:textId="77777777" w:rsidR="0003308B" w:rsidRPr="000C1321" w:rsidRDefault="0003308B" w:rsidP="0003308B">
      <w:pPr>
        <w:tabs>
          <w:tab w:val="left" w:pos="142"/>
        </w:tabs>
      </w:pPr>
    </w:p>
    <w:p w14:paraId="01664292" w14:textId="77777777" w:rsidR="0003308B" w:rsidRPr="000C1321" w:rsidRDefault="0003308B" w:rsidP="0003308B">
      <w:pPr>
        <w:tabs>
          <w:tab w:val="left" w:pos="142"/>
        </w:tabs>
      </w:pPr>
      <w:r w:rsidRPr="000C1321">
        <w:t xml:space="preserve">Cada promotor/ra, con apoyo y acompañamiento del contratista, debe negociar con propietarios de viviendas, horario y día para realizar la siguiente visita. </w:t>
      </w:r>
    </w:p>
    <w:p w14:paraId="4B148F30" w14:textId="77777777" w:rsidR="0003308B" w:rsidRPr="000C1321" w:rsidRDefault="0003308B" w:rsidP="0003308B">
      <w:pPr>
        <w:tabs>
          <w:tab w:val="left" w:pos="142"/>
        </w:tabs>
      </w:pPr>
    </w:p>
    <w:p w14:paraId="6EC60E76" w14:textId="77777777" w:rsidR="0003308B" w:rsidRPr="000C1321" w:rsidRDefault="0003308B" w:rsidP="0003308B">
      <w:pPr>
        <w:tabs>
          <w:tab w:val="left" w:pos="142"/>
        </w:tabs>
        <w:rPr>
          <w:b/>
        </w:rPr>
      </w:pPr>
      <w:r w:rsidRPr="000C1321">
        <w:rPr>
          <w:b/>
        </w:rPr>
        <w:t>Producto esperando por el contratista:</w:t>
      </w:r>
    </w:p>
    <w:p w14:paraId="3F25AAFF" w14:textId="77777777" w:rsidR="0003308B" w:rsidRPr="000C1321" w:rsidRDefault="0003308B" w:rsidP="0003308B">
      <w:pPr>
        <w:tabs>
          <w:tab w:val="left" w:pos="142"/>
        </w:tabs>
      </w:pPr>
      <w:r w:rsidRPr="000C1321">
        <w:t>1.  Informe de la visita Tema 3, consolidado por familias.</w:t>
      </w:r>
    </w:p>
    <w:p w14:paraId="231DC24B" w14:textId="77777777" w:rsidR="0003308B" w:rsidRPr="000C1321" w:rsidRDefault="0003308B" w:rsidP="0003308B">
      <w:pPr>
        <w:tabs>
          <w:tab w:val="left" w:pos="142"/>
        </w:tabs>
      </w:pPr>
      <w:r w:rsidRPr="000C1321">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47B37FED" w14:textId="77777777" w:rsidR="0003308B" w:rsidRPr="000C1321" w:rsidRDefault="0003308B" w:rsidP="0003308B">
      <w:pPr>
        <w:tabs>
          <w:tab w:val="left" w:pos="142"/>
        </w:tabs>
        <w:rPr>
          <w:b/>
        </w:rPr>
      </w:pPr>
    </w:p>
    <w:p w14:paraId="4C3F8847" w14:textId="77777777" w:rsidR="0003308B" w:rsidRPr="000C1321" w:rsidRDefault="0003308B" w:rsidP="003B68DB">
      <w:pPr>
        <w:numPr>
          <w:ilvl w:val="0"/>
          <w:numId w:val="130"/>
        </w:numPr>
        <w:tabs>
          <w:tab w:val="left" w:pos="142"/>
        </w:tabs>
        <w:ind w:firstLine="0"/>
        <w:contextualSpacing/>
        <w:rPr>
          <w:b/>
        </w:rPr>
      </w:pPr>
      <w:r w:rsidRPr="000C1321">
        <w:rPr>
          <w:b/>
        </w:rPr>
        <w:t>Planificar y realizar taller de capacitación dirigido al Comité CAPS sobre la elaboración del reglamento interno del sistema de agua potable (SAP)</w:t>
      </w:r>
    </w:p>
    <w:p w14:paraId="3C5BFC30" w14:textId="77777777" w:rsidR="0003308B" w:rsidRPr="000C1321" w:rsidRDefault="0003308B" w:rsidP="0003308B">
      <w:pPr>
        <w:tabs>
          <w:tab w:val="left" w:pos="142"/>
        </w:tabs>
        <w:contextualSpacing/>
        <w:rPr>
          <w:b/>
        </w:rPr>
      </w:pPr>
    </w:p>
    <w:p w14:paraId="2FE68299" w14:textId="77777777" w:rsidR="0003308B" w:rsidRPr="000C1321" w:rsidRDefault="0003308B" w:rsidP="0003308B">
      <w:pPr>
        <w:tabs>
          <w:tab w:val="left" w:pos="142"/>
        </w:tabs>
        <w:contextualSpacing/>
        <w:rPr>
          <w:i/>
        </w:rPr>
      </w:pPr>
      <w:r w:rsidRPr="000C1321">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392CF429" w14:textId="77777777" w:rsidR="0003308B" w:rsidRPr="000C1321" w:rsidRDefault="0003308B" w:rsidP="0003308B">
      <w:pPr>
        <w:tabs>
          <w:tab w:val="left" w:pos="142"/>
        </w:tabs>
        <w:contextualSpacing/>
        <w:rPr>
          <w:i/>
        </w:rPr>
      </w:pPr>
    </w:p>
    <w:p w14:paraId="0C9F94CD" w14:textId="77777777" w:rsidR="0003308B" w:rsidRPr="000C1321" w:rsidRDefault="0003308B" w:rsidP="0003308B">
      <w:pPr>
        <w:tabs>
          <w:tab w:val="left" w:pos="142"/>
        </w:tabs>
        <w:rPr>
          <w:i/>
        </w:rPr>
      </w:pPr>
      <w:r w:rsidRPr="000C1321">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611C3006" w14:textId="77777777" w:rsidR="0003308B" w:rsidRPr="000C1321" w:rsidRDefault="0003308B" w:rsidP="0003308B">
      <w:pPr>
        <w:tabs>
          <w:tab w:val="left" w:pos="142"/>
        </w:tabs>
        <w:rPr>
          <w:i/>
        </w:rPr>
      </w:pPr>
      <w:r w:rsidRPr="000C1321">
        <w:t>Para esta actividad deberá tener el apoyo del supervisor y representante de la Alcaldía Municipal.</w:t>
      </w:r>
    </w:p>
    <w:p w14:paraId="116B2ED3" w14:textId="77777777" w:rsidR="0003308B" w:rsidRPr="000C1321" w:rsidRDefault="0003308B" w:rsidP="0003308B">
      <w:pPr>
        <w:tabs>
          <w:tab w:val="left" w:pos="142"/>
        </w:tabs>
        <w:contextualSpacing/>
        <w:rPr>
          <w:i/>
        </w:rPr>
      </w:pPr>
    </w:p>
    <w:p w14:paraId="57F0038E" w14:textId="77777777" w:rsidR="0003308B" w:rsidRPr="000C1321" w:rsidRDefault="0003308B" w:rsidP="0003308B">
      <w:pPr>
        <w:tabs>
          <w:tab w:val="left" w:pos="142"/>
        </w:tabs>
        <w:rPr>
          <w:b/>
        </w:rPr>
      </w:pPr>
      <w:r w:rsidRPr="000C1321">
        <w:rPr>
          <w:b/>
        </w:rPr>
        <w:t>Carga horaria:</w:t>
      </w:r>
    </w:p>
    <w:p w14:paraId="2DC5538D" w14:textId="77777777" w:rsidR="0003308B" w:rsidRPr="000C1321" w:rsidRDefault="0003308B" w:rsidP="0003308B">
      <w:pPr>
        <w:tabs>
          <w:tab w:val="left" w:pos="142"/>
        </w:tabs>
      </w:pPr>
      <w:r w:rsidRPr="000C1321">
        <w:t xml:space="preserve">El taller tendrá una duración de cuatro (4) horas. </w:t>
      </w:r>
    </w:p>
    <w:p w14:paraId="06231075" w14:textId="77777777" w:rsidR="0003308B" w:rsidRPr="000C1321" w:rsidRDefault="0003308B" w:rsidP="0003308B">
      <w:pPr>
        <w:tabs>
          <w:tab w:val="left" w:pos="142"/>
        </w:tabs>
        <w:contextualSpacing/>
        <w:rPr>
          <w:i/>
        </w:rPr>
      </w:pPr>
      <w:r w:rsidRPr="000C1321">
        <w:lastRenderedPageBreak/>
        <w:t>Requerimientos del contratista:</w:t>
      </w:r>
    </w:p>
    <w:p w14:paraId="0A3B0FE1" w14:textId="77777777" w:rsidR="0003308B" w:rsidRPr="000C1321" w:rsidRDefault="0003308B" w:rsidP="0003308B">
      <w:pPr>
        <w:tabs>
          <w:tab w:val="left" w:pos="142"/>
        </w:tabs>
        <w:contextualSpacing/>
        <w:rPr>
          <w:i/>
        </w:rPr>
      </w:pPr>
    </w:p>
    <w:p w14:paraId="16DCE722" w14:textId="77777777" w:rsidR="0003308B" w:rsidRPr="000C1321" w:rsidRDefault="0003308B" w:rsidP="003B68DB">
      <w:pPr>
        <w:numPr>
          <w:ilvl w:val="0"/>
          <w:numId w:val="124"/>
        </w:numPr>
        <w:tabs>
          <w:tab w:val="left" w:pos="142"/>
        </w:tabs>
        <w:contextualSpacing/>
        <w:rPr>
          <w:i/>
        </w:rPr>
      </w:pPr>
      <w:r w:rsidRPr="000C1321">
        <w:t>Lapiceros, marcadores, papelografo, lápices</w:t>
      </w:r>
    </w:p>
    <w:p w14:paraId="339BC643" w14:textId="77777777" w:rsidR="0003308B" w:rsidRPr="000C1321" w:rsidRDefault="0003308B" w:rsidP="003B68DB">
      <w:pPr>
        <w:numPr>
          <w:ilvl w:val="0"/>
          <w:numId w:val="124"/>
        </w:numPr>
        <w:tabs>
          <w:tab w:val="left" w:pos="142"/>
        </w:tabs>
        <w:contextualSpacing/>
        <w:rPr>
          <w:i/>
        </w:rPr>
      </w:pPr>
      <w:r w:rsidRPr="000C1321">
        <w:t xml:space="preserve">Libretas </w:t>
      </w:r>
    </w:p>
    <w:p w14:paraId="7A11DA0B" w14:textId="77777777" w:rsidR="0003308B" w:rsidRPr="000C1321" w:rsidRDefault="0003308B" w:rsidP="003B68DB">
      <w:pPr>
        <w:numPr>
          <w:ilvl w:val="0"/>
          <w:numId w:val="124"/>
        </w:numPr>
        <w:tabs>
          <w:tab w:val="left" w:pos="142"/>
        </w:tabs>
        <w:contextualSpacing/>
        <w:rPr>
          <w:i/>
        </w:rPr>
      </w:pPr>
      <w:r w:rsidRPr="000C1321">
        <w:t>Refrigerios/Almuerzo</w:t>
      </w:r>
    </w:p>
    <w:p w14:paraId="19E6D2CE" w14:textId="77777777" w:rsidR="0003308B" w:rsidRPr="000C1321" w:rsidRDefault="0003308B" w:rsidP="0003308B">
      <w:pPr>
        <w:tabs>
          <w:tab w:val="left" w:pos="142"/>
        </w:tabs>
        <w:contextualSpacing/>
        <w:rPr>
          <w:i/>
        </w:rPr>
      </w:pPr>
    </w:p>
    <w:p w14:paraId="4731F796" w14:textId="77777777" w:rsidR="0003308B" w:rsidRPr="000C1321" w:rsidRDefault="0003308B" w:rsidP="0003308B">
      <w:pPr>
        <w:tabs>
          <w:tab w:val="left" w:pos="142"/>
        </w:tabs>
        <w:contextualSpacing/>
        <w:rPr>
          <w:i/>
        </w:rPr>
      </w:pPr>
      <w:r w:rsidRPr="000C1321">
        <w:t>Producto esperado:</w:t>
      </w:r>
    </w:p>
    <w:p w14:paraId="62F40BA8" w14:textId="77777777" w:rsidR="0003308B" w:rsidRPr="000C1321" w:rsidRDefault="0003308B" w:rsidP="003B68DB">
      <w:pPr>
        <w:numPr>
          <w:ilvl w:val="0"/>
          <w:numId w:val="124"/>
        </w:numPr>
        <w:tabs>
          <w:tab w:val="left" w:pos="142"/>
        </w:tabs>
        <w:contextualSpacing/>
        <w:rPr>
          <w:i/>
        </w:rPr>
      </w:pPr>
      <w:r w:rsidRPr="000C1321">
        <w:t>Reglamento interno del sistema de agua</w:t>
      </w:r>
    </w:p>
    <w:p w14:paraId="477027E3" w14:textId="77777777" w:rsidR="0003308B" w:rsidRPr="000C1321" w:rsidRDefault="0003308B" w:rsidP="003B68DB">
      <w:pPr>
        <w:numPr>
          <w:ilvl w:val="0"/>
          <w:numId w:val="124"/>
        </w:numPr>
        <w:tabs>
          <w:tab w:val="left" w:pos="142"/>
        </w:tabs>
        <w:contextualSpacing/>
        <w:rPr>
          <w:i/>
        </w:rPr>
      </w:pPr>
      <w:r w:rsidRPr="000C1321">
        <w:t>Ayuda memoria de taller</w:t>
      </w:r>
    </w:p>
    <w:p w14:paraId="34B712F8" w14:textId="77777777" w:rsidR="0003308B" w:rsidRPr="000C1321" w:rsidRDefault="0003308B" w:rsidP="003B68DB">
      <w:pPr>
        <w:numPr>
          <w:ilvl w:val="0"/>
          <w:numId w:val="124"/>
        </w:numPr>
        <w:tabs>
          <w:tab w:val="left" w:pos="142"/>
        </w:tabs>
        <w:contextualSpacing/>
        <w:rPr>
          <w:i/>
        </w:rPr>
      </w:pPr>
      <w:r w:rsidRPr="000C1321">
        <w:t>Listado de asistencia</w:t>
      </w:r>
    </w:p>
    <w:p w14:paraId="6E5F9652" w14:textId="77777777" w:rsidR="0003308B" w:rsidRPr="000C1321" w:rsidRDefault="0003308B" w:rsidP="003B68DB">
      <w:pPr>
        <w:numPr>
          <w:ilvl w:val="0"/>
          <w:numId w:val="124"/>
        </w:numPr>
        <w:tabs>
          <w:tab w:val="left" w:pos="142"/>
        </w:tabs>
        <w:contextualSpacing/>
        <w:rPr>
          <w:i/>
        </w:rPr>
      </w:pPr>
      <w:r w:rsidRPr="000C1321">
        <w:t>Memoria fotográfica</w:t>
      </w:r>
    </w:p>
    <w:p w14:paraId="6416CD02" w14:textId="77777777" w:rsidR="0003308B" w:rsidRPr="000C1321" w:rsidRDefault="0003308B" w:rsidP="0003308B">
      <w:pPr>
        <w:tabs>
          <w:tab w:val="left" w:pos="142"/>
        </w:tabs>
        <w:contextualSpacing/>
        <w:rPr>
          <w:i/>
        </w:rPr>
      </w:pPr>
    </w:p>
    <w:p w14:paraId="59C3C46E" w14:textId="77777777" w:rsidR="0003308B" w:rsidRPr="000C1321" w:rsidRDefault="0003308B" w:rsidP="003B68DB">
      <w:pPr>
        <w:numPr>
          <w:ilvl w:val="0"/>
          <w:numId w:val="130"/>
        </w:numPr>
        <w:tabs>
          <w:tab w:val="left" w:pos="142"/>
        </w:tabs>
        <w:contextualSpacing/>
        <w:rPr>
          <w:b/>
        </w:rPr>
      </w:pPr>
      <w:r w:rsidRPr="000C1321">
        <w:rPr>
          <w:b/>
        </w:rPr>
        <w:t>Planificar y realizar Asamblea general comunitaria para dar a conocer y aprobar el Reglamento Interno del Sistema de Agua Potable-SAP, construido. Elaborar informe de planificación y realización de asamblea general comunitaria.</w:t>
      </w:r>
    </w:p>
    <w:p w14:paraId="46538FB8" w14:textId="77777777" w:rsidR="0003308B" w:rsidRPr="000C1321" w:rsidRDefault="0003308B" w:rsidP="0003308B">
      <w:pPr>
        <w:tabs>
          <w:tab w:val="left" w:pos="142"/>
        </w:tabs>
      </w:pPr>
    </w:p>
    <w:p w14:paraId="0EBD64EE" w14:textId="77777777" w:rsidR="0003308B" w:rsidRPr="000C1321" w:rsidRDefault="0003308B" w:rsidP="0003308B">
      <w:pPr>
        <w:tabs>
          <w:tab w:val="left" w:pos="142"/>
        </w:tabs>
        <w:rPr>
          <w:i/>
        </w:rPr>
      </w:pPr>
      <w:r w:rsidRPr="000C1321">
        <w:t>El contratista deberá planificar y realizar la asamblea general para dar a conocer el reglamento interno del sistema construido. Deberá garantizar el 70% de participación de los protagonistas.</w:t>
      </w:r>
    </w:p>
    <w:p w14:paraId="12D5C532" w14:textId="77777777" w:rsidR="0003308B" w:rsidRPr="000C1321" w:rsidRDefault="0003308B" w:rsidP="0003308B">
      <w:pPr>
        <w:tabs>
          <w:tab w:val="left" w:pos="142"/>
        </w:tabs>
        <w:rPr>
          <w:i/>
        </w:rPr>
      </w:pPr>
      <w:r w:rsidRPr="000C1321">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2DFAD4A0" w14:textId="77777777" w:rsidR="0003308B" w:rsidRPr="000C1321" w:rsidRDefault="0003308B" w:rsidP="0003308B">
      <w:pPr>
        <w:tabs>
          <w:tab w:val="left" w:pos="142"/>
        </w:tabs>
        <w:rPr>
          <w:i/>
        </w:rPr>
      </w:pPr>
    </w:p>
    <w:p w14:paraId="0ABBC037" w14:textId="77777777" w:rsidR="0003308B" w:rsidRPr="000C1321" w:rsidRDefault="0003308B" w:rsidP="0003308B">
      <w:pPr>
        <w:tabs>
          <w:tab w:val="left" w:pos="142"/>
        </w:tabs>
        <w:rPr>
          <w:i/>
        </w:rPr>
      </w:pPr>
      <w:r w:rsidRPr="000C1321">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5FC9B966" w14:textId="77777777" w:rsidR="0003308B" w:rsidRPr="000C1321" w:rsidRDefault="0003308B" w:rsidP="0003308B">
      <w:pPr>
        <w:tabs>
          <w:tab w:val="left" w:pos="142"/>
        </w:tabs>
        <w:rPr>
          <w:i/>
        </w:rPr>
      </w:pPr>
    </w:p>
    <w:p w14:paraId="58DA5977" w14:textId="77777777" w:rsidR="0003308B" w:rsidRPr="000C1321" w:rsidRDefault="0003308B" w:rsidP="0003308B">
      <w:pPr>
        <w:tabs>
          <w:tab w:val="left" w:pos="142"/>
        </w:tabs>
      </w:pPr>
      <w:r w:rsidRPr="000C1321">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4BA71B26" w14:textId="77777777" w:rsidR="0003308B" w:rsidRPr="000C1321" w:rsidRDefault="0003308B" w:rsidP="0003308B">
      <w:pPr>
        <w:tabs>
          <w:tab w:val="left" w:pos="142"/>
        </w:tabs>
      </w:pPr>
    </w:p>
    <w:p w14:paraId="64C95060" w14:textId="77777777" w:rsidR="0003308B" w:rsidRPr="000C1321" w:rsidRDefault="0003308B" w:rsidP="0003308B">
      <w:pPr>
        <w:tabs>
          <w:tab w:val="left" w:pos="142"/>
        </w:tabs>
      </w:pPr>
      <w:r w:rsidRPr="000C1321">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1A1D6F55" w14:textId="77777777" w:rsidR="0003308B" w:rsidRPr="000C1321" w:rsidRDefault="0003308B" w:rsidP="0003308B">
      <w:pPr>
        <w:tabs>
          <w:tab w:val="left" w:pos="142"/>
        </w:tabs>
        <w:rPr>
          <w:b/>
        </w:rPr>
      </w:pPr>
    </w:p>
    <w:p w14:paraId="7644DE67" w14:textId="77777777" w:rsidR="0003308B" w:rsidRPr="000C1321" w:rsidRDefault="0003308B" w:rsidP="0003308B">
      <w:pPr>
        <w:tabs>
          <w:tab w:val="left" w:pos="142"/>
        </w:tabs>
        <w:rPr>
          <w:b/>
        </w:rPr>
      </w:pPr>
      <w:r w:rsidRPr="000C1321">
        <w:rPr>
          <w:b/>
        </w:rPr>
        <w:t>Los productos esperados por el contratista:</w:t>
      </w:r>
    </w:p>
    <w:p w14:paraId="4B14FD0B" w14:textId="77777777" w:rsidR="0003308B" w:rsidRPr="000C1321" w:rsidRDefault="0003308B" w:rsidP="0003308B">
      <w:pPr>
        <w:tabs>
          <w:tab w:val="left" w:pos="142"/>
        </w:tabs>
      </w:pPr>
    </w:p>
    <w:p w14:paraId="7F3C70ED" w14:textId="77777777" w:rsidR="0003308B" w:rsidRPr="000C1321" w:rsidRDefault="0003308B" w:rsidP="0003308B">
      <w:pPr>
        <w:tabs>
          <w:tab w:val="left" w:pos="142"/>
        </w:tabs>
      </w:pPr>
      <w:r w:rsidRPr="000C1321">
        <w:t>1. Informe ejecutivo</w:t>
      </w:r>
    </w:p>
    <w:p w14:paraId="4CC51D72" w14:textId="77777777" w:rsidR="0003308B" w:rsidRPr="000C1321" w:rsidRDefault="0003308B" w:rsidP="0003308B">
      <w:pPr>
        <w:tabs>
          <w:tab w:val="left" w:pos="142"/>
        </w:tabs>
      </w:pPr>
      <w:r w:rsidRPr="000C1321">
        <w:t>2. Lista de asistencia, debidamente firmada y avalada por técnico UMAS, CAPS, ATT.</w:t>
      </w:r>
    </w:p>
    <w:p w14:paraId="4107873D" w14:textId="77777777" w:rsidR="0003308B" w:rsidRPr="000C1321" w:rsidRDefault="0003308B" w:rsidP="0003308B">
      <w:pPr>
        <w:tabs>
          <w:tab w:val="left" w:pos="142"/>
        </w:tabs>
      </w:pPr>
      <w:r w:rsidRPr="000C1321">
        <w:t>3. Acta de asamblea (modelo típico FISE), con su lista de asistencia.</w:t>
      </w:r>
    </w:p>
    <w:p w14:paraId="58DC0D6B" w14:textId="77777777" w:rsidR="0003308B" w:rsidRPr="000C1321" w:rsidRDefault="0003308B" w:rsidP="0003308B">
      <w:pPr>
        <w:tabs>
          <w:tab w:val="left" w:pos="142"/>
        </w:tabs>
      </w:pPr>
      <w:r w:rsidRPr="000C1321">
        <w:t>4. Ayuda memoria.</w:t>
      </w:r>
    </w:p>
    <w:p w14:paraId="0CFBAF0C" w14:textId="77777777" w:rsidR="0003308B" w:rsidRPr="000C1321" w:rsidRDefault="0003308B" w:rsidP="0003308B">
      <w:pPr>
        <w:tabs>
          <w:tab w:val="left" w:pos="142"/>
        </w:tabs>
      </w:pPr>
      <w:r w:rsidRPr="000C1321">
        <w:t>5. Memoria fotográfica.</w:t>
      </w:r>
    </w:p>
    <w:p w14:paraId="2E77056D" w14:textId="77777777" w:rsidR="0003308B" w:rsidRPr="000C1321" w:rsidRDefault="0003308B" w:rsidP="0003308B">
      <w:pPr>
        <w:tabs>
          <w:tab w:val="left" w:pos="142"/>
        </w:tabs>
      </w:pPr>
      <w:r w:rsidRPr="000C1321">
        <w:lastRenderedPageBreak/>
        <w:t>6. Reglamento interno.</w:t>
      </w:r>
    </w:p>
    <w:p w14:paraId="2717E491" w14:textId="77777777" w:rsidR="0003308B" w:rsidRPr="000C1321" w:rsidRDefault="0003308B" w:rsidP="0003308B">
      <w:pPr>
        <w:tabs>
          <w:tab w:val="left" w:pos="142"/>
        </w:tabs>
      </w:pPr>
    </w:p>
    <w:p w14:paraId="5AA84A78" w14:textId="77777777" w:rsidR="0003308B" w:rsidRPr="000C1321" w:rsidRDefault="0003308B" w:rsidP="003B68DB">
      <w:pPr>
        <w:numPr>
          <w:ilvl w:val="0"/>
          <w:numId w:val="130"/>
        </w:numPr>
        <w:tabs>
          <w:tab w:val="left" w:pos="142"/>
        </w:tabs>
        <w:ind w:firstLine="0"/>
        <w:contextualSpacing/>
        <w:rPr>
          <w:b/>
        </w:rPr>
      </w:pPr>
      <w:r w:rsidRPr="000C1321">
        <w:rPr>
          <w:b/>
        </w:rPr>
        <w:t>Planificar, Elaborar Informe y Realización de Asamblea General comunitaria para dar a conocer Plan de Operación y Mantenimiento del Sistema y firma de acta de recepción final.</w:t>
      </w:r>
    </w:p>
    <w:p w14:paraId="053DB57D" w14:textId="77777777" w:rsidR="0003308B" w:rsidRPr="000C1321" w:rsidRDefault="0003308B" w:rsidP="0003308B">
      <w:pPr>
        <w:tabs>
          <w:tab w:val="left" w:pos="142"/>
        </w:tabs>
      </w:pPr>
    </w:p>
    <w:p w14:paraId="2B68325C" w14:textId="77777777" w:rsidR="0003308B" w:rsidRPr="000C1321" w:rsidRDefault="0003308B" w:rsidP="0003308B">
      <w:pPr>
        <w:tabs>
          <w:tab w:val="left" w:pos="142"/>
        </w:tabs>
      </w:pPr>
      <w:r w:rsidRPr="000C1321">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5760C4DE" w14:textId="77777777" w:rsidR="0003308B" w:rsidRPr="000C1321" w:rsidRDefault="0003308B" w:rsidP="0003308B">
      <w:pPr>
        <w:tabs>
          <w:tab w:val="left" w:pos="142"/>
        </w:tabs>
      </w:pPr>
    </w:p>
    <w:p w14:paraId="366D637F" w14:textId="77777777" w:rsidR="0003308B" w:rsidRPr="000C1321" w:rsidRDefault="0003308B" w:rsidP="0003308B">
      <w:pPr>
        <w:tabs>
          <w:tab w:val="left" w:pos="142"/>
        </w:tabs>
      </w:pPr>
      <w:r w:rsidRPr="000C1321">
        <w:t xml:space="preserve">Se debe garantizar a cada participante su refrigerio. El taller tendrá una duración de cuatro (4) horas. </w:t>
      </w:r>
    </w:p>
    <w:p w14:paraId="1D8ED9BA" w14:textId="77777777" w:rsidR="0003308B" w:rsidRPr="000C1321" w:rsidRDefault="0003308B" w:rsidP="0003308B">
      <w:pPr>
        <w:tabs>
          <w:tab w:val="left" w:pos="142"/>
        </w:tabs>
      </w:pPr>
    </w:p>
    <w:p w14:paraId="0C437F34" w14:textId="77777777" w:rsidR="0003308B" w:rsidRPr="000C1321" w:rsidRDefault="0003308B" w:rsidP="0003308B">
      <w:pPr>
        <w:tabs>
          <w:tab w:val="left" w:pos="142"/>
        </w:tabs>
      </w:pPr>
      <w:r w:rsidRPr="000C1321">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14739E13" w14:textId="77777777" w:rsidR="0003308B" w:rsidRPr="000C1321" w:rsidRDefault="0003308B" w:rsidP="0003308B">
      <w:pPr>
        <w:tabs>
          <w:tab w:val="left" w:pos="142"/>
        </w:tabs>
        <w:rPr>
          <w:b/>
        </w:rPr>
      </w:pPr>
    </w:p>
    <w:p w14:paraId="3283EA83" w14:textId="77777777" w:rsidR="0003308B" w:rsidRPr="000C1321" w:rsidRDefault="0003308B" w:rsidP="003B68DB">
      <w:pPr>
        <w:numPr>
          <w:ilvl w:val="0"/>
          <w:numId w:val="130"/>
        </w:numPr>
        <w:tabs>
          <w:tab w:val="left" w:pos="142"/>
        </w:tabs>
        <w:ind w:firstLine="0"/>
        <w:contextualSpacing/>
        <w:rPr>
          <w:b/>
        </w:rPr>
      </w:pPr>
      <w:r w:rsidRPr="000C1321">
        <w:rPr>
          <w:b/>
        </w:rPr>
        <w:t>Elaborar y realizar el levantamiento de la ficha de finiquito del proyecto</w:t>
      </w:r>
    </w:p>
    <w:p w14:paraId="09C8727E" w14:textId="77777777" w:rsidR="0003308B" w:rsidRPr="000C1321" w:rsidRDefault="0003308B" w:rsidP="0003308B">
      <w:pPr>
        <w:tabs>
          <w:tab w:val="left" w:pos="142"/>
        </w:tabs>
        <w:ind w:left="720"/>
        <w:contextualSpacing/>
        <w:rPr>
          <w:b/>
          <w:highlight w:val="yellow"/>
        </w:rPr>
      </w:pPr>
    </w:p>
    <w:p w14:paraId="69DD0983" w14:textId="77777777" w:rsidR="0003308B" w:rsidRPr="000C1321" w:rsidRDefault="0003308B" w:rsidP="0003308B">
      <w:pPr>
        <w:tabs>
          <w:tab w:val="left" w:pos="142"/>
        </w:tabs>
        <w:rPr>
          <w:i/>
        </w:rPr>
      </w:pPr>
      <w:r w:rsidRPr="000C1321">
        <w:t xml:space="preserve">Usando el formato del FISE, en coordinación de la parte de ingeniería de la obra (supervisor, ATT, residente) y parte social se realiza el llenado de la ficha finiquito.  Esta información es responsabilidad compartida de la parte de ingeniería y social garantizar el llenado de información. </w:t>
      </w:r>
    </w:p>
    <w:p w14:paraId="5FC2DA34" w14:textId="77777777" w:rsidR="0003308B" w:rsidRPr="000C1321" w:rsidRDefault="0003308B" w:rsidP="0003308B">
      <w:pPr>
        <w:tabs>
          <w:tab w:val="left" w:pos="142"/>
        </w:tabs>
        <w:rPr>
          <w:i/>
        </w:rPr>
      </w:pPr>
    </w:p>
    <w:p w14:paraId="5139E125" w14:textId="77777777" w:rsidR="0003308B" w:rsidRPr="000C1321" w:rsidRDefault="0003308B" w:rsidP="0003308B">
      <w:pPr>
        <w:tabs>
          <w:tab w:val="left" w:pos="142"/>
        </w:tabs>
        <w:rPr>
          <w:b/>
        </w:rPr>
      </w:pPr>
      <w:r w:rsidRPr="000C1321">
        <w:rPr>
          <w:b/>
        </w:rPr>
        <w:t>Producto a entregar por el contratista:</w:t>
      </w:r>
    </w:p>
    <w:p w14:paraId="347F23A1" w14:textId="77777777" w:rsidR="0003308B" w:rsidRPr="000C1321" w:rsidRDefault="0003308B" w:rsidP="003B68DB">
      <w:pPr>
        <w:numPr>
          <w:ilvl w:val="0"/>
          <w:numId w:val="124"/>
        </w:numPr>
        <w:tabs>
          <w:tab w:val="left" w:pos="142"/>
        </w:tabs>
        <w:rPr>
          <w:i/>
        </w:rPr>
      </w:pPr>
      <w:r w:rsidRPr="000C1321">
        <w:t xml:space="preserve">Ficha finiquito del proyecto de agua, saneamiento e higiene </w:t>
      </w:r>
    </w:p>
    <w:p w14:paraId="0C86B381" w14:textId="77777777" w:rsidR="0003308B" w:rsidRPr="000C1321" w:rsidRDefault="0003308B" w:rsidP="0003308B">
      <w:pPr>
        <w:tabs>
          <w:tab w:val="left" w:pos="142"/>
        </w:tabs>
        <w:rPr>
          <w:b/>
        </w:rPr>
      </w:pPr>
    </w:p>
    <w:p w14:paraId="26A11170" w14:textId="77777777" w:rsidR="0003308B" w:rsidRPr="000C1321" w:rsidRDefault="0003308B" w:rsidP="0003308B">
      <w:pPr>
        <w:tabs>
          <w:tab w:val="left" w:pos="142"/>
        </w:tabs>
        <w:rPr>
          <w:b/>
        </w:rPr>
      </w:pPr>
      <w:r w:rsidRPr="000C1321">
        <w:rPr>
          <w:b/>
        </w:rPr>
        <w:t xml:space="preserve">ETAPA DE POST- OBRA Y SOSTENIBILIDAD </w:t>
      </w:r>
    </w:p>
    <w:p w14:paraId="0C26CAA9" w14:textId="77777777" w:rsidR="0003308B" w:rsidRPr="000C1321" w:rsidRDefault="0003308B" w:rsidP="0003308B">
      <w:pPr>
        <w:tabs>
          <w:tab w:val="left" w:pos="142"/>
        </w:tabs>
        <w:rPr>
          <w:b/>
        </w:rPr>
      </w:pPr>
    </w:p>
    <w:p w14:paraId="4739681F" w14:textId="77777777" w:rsidR="0003308B" w:rsidRPr="000C1321" w:rsidRDefault="0003308B" w:rsidP="003B68DB">
      <w:pPr>
        <w:numPr>
          <w:ilvl w:val="0"/>
          <w:numId w:val="131"/>
        </w:numPr>
        <w:tabs>
          <w:tab w:val="left" w:pos="142"/>
        </w:tabs>
        <w:ind w:firstLine="0"/>
        <w:contextualSpacing/>
        <w:rPr>
          <w:b/>
        </w:rPr>
      </w:pPr>
      <w:r w:rsidRPr="000C1321">
        <w:rPr>
          <w:b/>
        </w:rPr>
        <w:t>Elaborar informe para implementación de metodología FCSA –Quinta visita casa a casa.</w:t>
      </w:r>
    </w:p>
    <w:p w14:paraId="005C45FB" w14:textId="77777777" w:rsidR="0003308B" w:rsidRPr="000C1321" w:rsidRDefault="0003308B" w:rsidP="0003308B">
      <w:pPr>
        <w:tabs>
          <w:tab w:val="left" w:pos="142"/>
        </w:tabs>
      </w:pPr>
    </w:p>
    <w:p w14:paraId="6EF5640E" w14:textId="77777777" w:rsidR="0003308B" w:rsidRPr="000C1321" w:rsidRDefault="0003308B" w:rsidP="0003308B">
      <w:pPr>
        <w:tabs>
          <w:tab w:val="left" w:pos="142"/>
        </w:tabs>
      </w:pPr>
      <w:r w:rsidRPr="000C1321">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570C5DEE" w14:textId="77777777" w:rsidR="0003308B" w:rsidRPr="000C1321" w:rsidRDefault="0003308B" w:rsidP="0003308B">
      <w:pPr>
        <w:tabs>
          <w:tab w:val="left" w:pos="142"/>
        </w:tabs>
      </w:pPr>
    </w:p>
    <w:p w14:paraId="107C4A75" w14:textId="77777777" w:rsidR="0003308B" w:rsidRPr="000C1321" w:rsidRDefault="0003308B" w:rsidP="0003308B">
      <w:pPr>
        <w:tabs>
          <w:tab w:val="left" w:pos="142"/>
        </w:tabs>
      </w:pPr>
      <w:r w:rsidRPr="000C1321">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0B411990" w14:textId="77777777" w:rsidR="0003308B" w:rsidRPr="000C1321" w:rsidRDefault="0003308B" w:rsidP="0003308B">
      <w:pPr>
        <w:tabs>
          <w:tab w:val="left" w:pos="142"/>
        </w:tabs>
      </w:pPr>
    </w:p>
    <w:p w14:paraId="5B7E5F7C" w14:textId="77777777" w:rsidR="0003308B" w:rsidRPr="000C1321" w:rsidRDefault="0003308B" w:rsidP="0003308B">
      <w:pPr>
        <w:tabs>
          <w:tab w:val="left" w:pos="142"/>
        </w:tabs>
      </w:pPr>
      <w:r w:rsidRPr="000C1321">
        <w:t xml:space="preserve">Cada promotor/ra, con apoyo y acompañamiento del contratista, debe negociar con propietarios de viviendas, horario y día para realizar la siguiente visita. </w:t>
      </w:r>
    </w:p>
    <w:p w14:paraId="1A21FE67" w14:textId="77777777" w:rsidR="0003308B" w:rsidRPr="000C1321" w:rsidRDefault="0003308B" w:rsidP="0003308B">
      <w:pPr>
        <w:tabs>
          <w:tab w:val="left" w:pos="142"/>
        </w:tabs>
        <w:rPr>
          <w:b/>
        </w:rPr>
      </w:pPr>
      <w:r w:rsidRPr="000C1321">
        <w:rPr>
          <w:b/>
        </w:rPr>
        <w:lastRenderedPageBreak/>
        <w:t>Producto esperado:</w:t>
      </w:r>
    </w:p>
    <w:p w14:paraId="25296D8B" w14:textId="77777777" w:rsidR="0003308B" w:rsidRPr="000C1321" w:rsidRDefault="0003308B" w:rsidP="0003308B">
      <w:pPr>
        <w:tabs>
          <w:tab w:val="left" w:pos="142"/>
        </w:tabs>
      </w:pPr>
      <w:r w:rsidRPr="000C1321">
        <w:t>1.  Informe de la visita Tema 4, consolidado por familias.</w:t>
      </w:r>
    </w:p>
    <w:p w14:paraId="415C22D8" w14:textId="77777777" w:rsidR="0003308B" w:rsidRPr="000C1321" w:rsidRDefault="0003308B" w:rsidP="0003308B">
      <w:pPr>
        <w:tabs>
          <w:tab w:val="left" w:pos="142"/>
        </w:tabs>
      </w:pPr>
      <w:r w:rsidRPr="000C1321">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06B19EE6" w14:textId="77777777" w:rsidR="0003308B" w:rsidRPr="000C1321" w:rsidRDefault="0003308B" w:rsidP="0003308B">
      <w:pPr>
        <w:tabs>
          <w:tab w:val="left" w:pos="142"/>
        </w:tabs>
      </w:pPr>
    </w:p>
    <w:p w14:paraId="67299CA4" w14:textId="77777777" w:rsidR="0003308B" w:rsidRPr="000C1321" w:rsidRDefault="0003308B" w:rsidP="003B68DB">
      <w:pPr>
        <w:numPr>
          <w:ilvl w:val="0"/>
          <w:numId w:val="131"/>
        </w:numPr>
        <w:tabs>
          <w:tab w:val="left" w:pos="142"/>
        </w:tabs>
        <w:ind w:firstLine="0"/>
        <w:contextualSpacing/>
        <w:rPr>
          <w:b/>
        </w:rPr>
      </w:pPr>
      <w:r w:rsidRPr="000C1321">
        <w:rPr>
          <w:b/>
        </w:rPr>
        <w:t>Elaborar informe para implementación de metodología FCSA –Sexta y última visita casa a casa. (Elaborar Informe Final de resultados de la implementación de FCSA.)</w:t>
      </w:r>
    </w:p>
    <w:p w14:paraId="426B3D88" w14:textId="77777777" w:rsidR="0003308B" w:rsidRPr="000C1321" w:rsidRDefault="0003308B" w:rsidP="0003308B">
      <w:pPr>
        <w:tabs>
          <w:tab w:val="left" w:pos="142"/>
        </w:tabs>
      </w:pPr>
    </w:p>
    <w:p w14:paraId="27247136" w14:textId="77777777" w:rsidR="0003308B" w:rsidRPr="000C1321" w:rsidRDefault="0003308B" w:rsidP="0003308B">
      <w:pPr>
        <w:tabs>
          <w:tab w:val="left" w:pos="142"/>
        </w:tabs>
      </w:pPr>
      <w:r w:rsidRPr="000C1321">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3C17E030" w14:textId="77777777" w:rsidR="0003308B" w:rsidRPr="000C1321" w:rsidRDefault="0003308B" w:rsidP="0003308B">
      <w:pPr>
        <w:tabs>
          <w:tab w:val="left" w:pos="142"/>
        </w:tabs>
      </w:pPr>
      <w:r w:rsidRPr="000C1321">
        <w:t xml:space="preserve"> </w:t>
      </w:r>
    </w:p>
    <w:p w14:paraId="7B00546C" w14:textId="77777777" w:rsidR="0003308B" w:rsidRPr="000C1321" w:rsidRDefault="0003308B" w:rsidP="0003308B">
      <w:pPr>
        <w:tabs>
          <w:tab w:val="left" w:pos="142"/>
        </w:tabs>
      </w:pPr>
      <w:r w:rsidRPr="000C1321">
        <w:t>En esta visita, se evalúan los cuatros temas establecidos en Ficha Familiar, en base a los criterios por tema, dados en cada visita, así mismo se debe retomar el diagnóstico Higiénico-Sanitario, para evaluar el antes de las visitas y el después.</w:t>
      </w:r>
    </w:p>
    <w:p w14:paraId="56B39BE8" w14:textId="77777777" w:rsidR="0003308B" w:rsidRPr="000C1321" w:rsidRDefault="0003308B" w:rsidP="0003308B">
      <w:pPr>
        <w:tabs>
          <w:tab w:val="left" w:pos="142"/>
        </w:tabs>
      </w:pPr>
    </w:p>
    <w:p w14:paraId="43710A0B" w14:textId="77777777" w:rsidR="0003308B" w:rsidRPr="000C1321" w:rsidRDefault="0003308B" w:rsidP="0003308B">
      <w:pPr>
        <w:tabs>
          <w:tab w:val="left" w:pos="142"/>
        </w:tabs>
      </w:pPr>
      <w:r w:rsidRPr="000C1321">
        <w:t xml:space="preserve">En esta visita se coloca gradúan las familias colocando una gota alegre, poniendo en práctica los procedimientos establecidos, para su aplicación. </w:t>
      </w:r>
    </w:p>
    <w:p w14:paraId="629B1E03" w14:textId="77777777" w:rsidR="0003308B" w:rsidRPr="000C1321" w:rsidRDefault="0003308B" w:rsidP="0003308B">
      <w:pPr>
        <w:tabs>
          <w:tab w:val="left" w:pos="142"/>
        </w:tabs>
      </w:pPr>
    </w:p>
    <w:p w14:paraId="73DB4702" w14:textId="77777777" w:rsidR="0003308B" w:rsidRPr="000C1321" w:rsidRDefault="0003308B" w:rsidP="0003308B">
      <w:pPr>
        <w:tabs>
          <w:tab w:val="left" w:pos="142"/>
        </w:tabs>
      </w:pPr>
      <w:r w:rsidRPr="000C1321">
        <w:t xml:space="preserve">Cada promotor/ra, con apoyo y acompañamiento del contratista, deberá reflexionar con los y las protagonistas de la vivienda, sobre la importancia de continuar con las prácticas higiénico-sanitarias establecidas en la metodología FCSA. </w:t>
      </w:r>
    </w:p>
    <w:p w14:paraId="3E400379" w14:textId="77777777" w:rsidR="0003308B" w:rsidRPr="000C1321" w:rsidRDefault="0003308B" w:rsidP="0003308B">
      <w:pPr>
        <w:tabs>
          <w:tab w:val="left" w:pos="142"/>
        </w:tabs>
        <w:rPr>
          <w:b/>
        </w:rPr>
      </w:pPr>
    </w:p>
    <w:p w14:paraId="38D21A97" w14:textId="77777777" w:rsidR="0003308B" w:rsidRPr="000C1321" w:rsidRDefault="0003308B" w:rsidP="0003308B">
      <w:pPr>
        <w:tabs>
          <w:tab w:val="left" w:pos="142"/>
        </w:tabs>
        <w:rPr>
          <w:b/>
        </w:rPr>
      </w:pPr>
      <w:r w:rsidRPr="000C1321">
        <w:rPr>
          <w:b/>
        </w:rPr>
        <w:t>Producto esperado:</w:t>
      </w:r>
    </w:p>
    <w:p w14:paraId="6F52E054" w14:textId="77777777" w:rsidR="0003308B" w:rsidRPr="000C1321" w:rsidRDefault="0003308B" w:rsidP="0003308B">
      <w:pPr>
        <w:tabs>
          <w:tab w:val="left" w:pos="142"/>
        </w:tabs>
      </w:pPr>
      <w:r w:rsidRPr="000C1321">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5974EFAC" w14:textId="77777777" w:rsidR="0003308B" w:rsidRPr="000C1321" w:rsidRDefault="0003308B" w:rsidP="0003308B">
      <w:pPr>
        <w:tabs>
          <w:tab w:val="left" w:pos="142"/>
        </w:tabs>
      </w:pPr>
    </w:p>
    <w:p w14:paraId="761B8EBF" w14:textId="77777777" w:rsidR="0003308B" w:rsidRPr="000C1321" w:rsidRDefault="0003308B" w:rsidP="003B68DB">
      <w:pPr>
        <w:numPr>
          <w:ilvl w:val="0"/>
          <w:numId w:val="131"/>
        </w:numPr>
        <w:tabs>
          <w:tab w:val="left" w:pos="142"/>
        </w:tabs>
        <w:ind w:firstLine="0"/>
        <w:contextualSpacing/>
        <w:rPr>
          <w:b/>
        </w:rPr>
      </w:pPr>
      <w:r w:rsidRPr="000C1321">
        <w:rPr>
          <w:b/>
        </w:rPr>
        <w:t xml:space="preserve">Planificar, Realizar Taller de capacitación dirigido al Comité para reforzamiento sobre la Ley No.722 y el Reglamento (Incluye local, material didáctico, material de apoyo y refrigerio) y elaborar informe de realización de taller.  </w:t>
      </w:r>
    </w:p>
    <w:p w14:paraId="1A40197E" w14:textId="77777777" w:rsidR="0003308B" w:rsidRPr="000C1321" w:rsidRDefault="0003308B" w:rsidP="0003308B">
      <w:pPr>
        <w:tabs>
          <w:tab w:val="left" w:pos="142"/>
        </w:tabs>
      </w:pPr>
    </w:p>
    <w:p w14:paraId="281EC407" w14:textId="77777777" w:rsidR="0003308B" w:rsidRPr="000C1321" w:rsidRDefault="0003308B" w:rsidP="0003308B">
      <w:pPr>
        <w:tabs>
          <w:tab w:val="left" w:pos="142"/>
        </w:tabs>
      </w:pPr>
      <w:r w:rsidRPr="000C1321">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3F52FE6F" w14:textId="77777777" w:rsidR="0003308B" w:rsidRPr="000C1321" w:rsidRDefault="0003308B" w:rsidP="0003308B">
      <w:pPr>
        <w:tabs>
          <w:tab w:val="left" w:pos="142"/>
        </w:tabs>
      </w:pPr>
    </w:p>
    <w:p w14:paraId="6DF7C382" w14:textId="77777777" w:rsidR="0003308B" w:rsidRPr="000C1321" w:rsidRDefault="0003308B" w:rsidP="0003308B">
      <w:pPr>
        <w:tabs>
          <w:tab w:val="left" w:pos="142"/>
        </w:tabs>
        <w:rPr>
          <w:b/>
        </w:rPr>
      </w:pPr>
      <w:r w:rsidRPr="000C1321">
        <w:rPr>
          <w:b/>
        </w:rPr>
        <w:t>Requerimiento del contratista:</w:t>
      </w:r>
    </w:p>
    <w:p w14:paraId="5514549A" w14:textId="77777777" w:rsidR="0003308B" w:rsidRPr="000C1321" w:rsidRDefault="0003308B" w:rsidP="0003308B">
      <w:pPr>
        <w:tabs>
          <w:tab w:val="left" w:pos="142"/>
        </w:tabs>
      </w:pPr>
      <w:r w:rsidRPr="000C1321">
        <w:t>1. Cuaderno/lapicero.</w:t>
      </w:r>
    </w:p>
    <w:p w14:paraId="07FE73E3" w14:textId="77777777" w:rsidR="0003308B" w:rsidRPr="000C1321" w:rsidRDefault="0003308B" w:rsidP="0003308B">
      <w:pPr>
        <w:tabs>
          <w:tab w:val="left" w:pos="142"/>
        </w:tabs>
      </w:pPr>
      <w:r w:rsidRPr="000C1321">
        <w:t xml:space="preserve">2. INAA-(Estatutos y Reglamento Interno del CAPS), </w:t>
      </w:r>
    </w:p>
    <w:p w14:paraId="47B07A12" w14:textId="77777777" w:rsidR="0003308B" w:rsidRPr="000C1321" w:rsidRDefault="0003308B" w:rsidP="0003308B">
      <w:pPr>
        <w:tabs>
          <w:tab w:val="left" w:pos="142"/>
        </w:tabs>
      </w:pPr>
      <w:r w:rsidRPr="000C1321">
        <w:t>3. Refrigerio/Almuerzo.</w:t>
      </w:r>
    </w:p>
    <w:p w14:paraId="5847DDA1" w14:textId="77777777" w:rsidR="0003308B" w:rsidRPr="000C1321" w:rsidRDefault="0003308B" w:rsidP="0003308B">
      <w:pPr>
        <w:tabs>
          <w:tab w:val="left" w:pos="142"/>
        </w:tabs>
      </w:pPr>
      <w:r w:rsidRPr="000C1321">
        <w:lastRenderedPageBreak/>
        <w:t>4. local para realizar taller</w:t>
      </w:r>
    </w:p>
    <w:p w14:paraId="580E4234" w14:textId="77777777" w:rsidR="0003308B" w:rsidRPr="000C1321" w:rsidRDefault="0003308B" w:rsidP="0003308B">
      <w:pPr>
        <w:tabs>
          <w:tab w:val="left" w:pos="142"/>
        </w:tabs>
      </w:pPr>
    </w:p>
    <w:p w14:paraId="360EA121" w14:textId="77777777" w:rsidR="0003308B" w:rsidRPr="000C1321" w:rsidRDefault="0003308B" w:rsidP="0003308B">
      <w:pPr>
        <w:tabs>
          <w:tab w:val="left" w:pos="142"/>
        </w:tabs>
        <w:rPr>
          <w:b/>
        </w:rPr>
      </w:pPr>
      <w:r w:rsidRPr="000C1321">
        <w:rPr>
          <w:b/>
        </w:rPr>
        <w:t>Productos esperados:</w:t>
      </w:r>
    </w:p>
    <w:p w14:paraId="6A483977" w14:textId="77777777" w:rsidR="0003308B" w:rsidRPr="000C1321" w:rsidRDefault="0003308B" w:rsidP="0003308B">
      <w:pPr>
        <w:tabs>
          <w:tab w:val="left" w:pos="142"/>
        </w:tabs>
      </w:pPr>
      <w:r w:rsidRPr="000C1321">
        <w:t xml:space="preserve">1. Informe ejecutivo con su lista de asistencia # de cédulas, cargos y firmas, en caso de no poder firmar, soportar con huella digital, además de Informe Ejecutivo del taller impartido, </w:t>
      </w:r>
    </w:p>
    <w:p w14:paraId="6FD17932" w14:textId="77777777" w:rsidR="0003308B" w:rsidRPr="000C1321" w:rsidRDefault="0003308B" w:rsidP="0003308B">
      <w:pPr>
        <w:tabs>
          <w:tab w:val="left" w:pos="142"/>
        </w:tabs>
      </w:pPr>
      <w:r w:rsidRPr="000C1321">
        <w:t>2. Ayuda Memoria.</w:t>
      </w:r>
    </w:p>
    <w:p w14:paraId="522373BD" w14:textId="77777777" w:rsidR="0003308B" w:rsidRPr="000C1321" w:rsidRDefault="0003308B" w:rsidP="0003308B">
      <w:pPr>
        <w:tabs>
          <w:tab w:val="left" w:pos="142"/>
        </w:tabs>
      </w:pPr>
      <w:r w:rsidRPr="000C1321">
        <w:t>3.  Memoria fotográfica.</w:t>
      </w:r>
    </w:p>
    <w:p w14:paraId="351C0E2D" w14:textId="77777777" w:rsidR="0003308B" w:rsidRPr="000C1321" w:rsidRDefault="0003308B" w:rsidP="0003308B">
      <w:pPr>
        <w:tabs>
          <w:tab w:val="left" w:pos="142"/>
        </w:tabs>
        <w:rPr>
          <w:b/>
        </w:rPr>
      </w:pPr>
    </w:p>
    <w:p w14:paraId="10589923" w14:textId="77777777" w:rsidR="0003308B" w:rsidRPr="000C1321" w:rsidRDefault="0003308B" w:rsidP="003B68DB">
      <w:pPr>
        <w:numPr>
          <w:ilvl w:val="0"/>
          <w:numId w:val="131"/>
        </w:numPr>
        <w:tabs>
          <w:tab w:val="left" w:pos="142"/>
        </w:tabs>
        <w:ind w:firstLine="0"/>
        <w:contextualSpacing/>
        <w:rPr>
          <w:b/>
        </w:rPr>
      </w:pPr>
      <w:r w:rsidRPr="000C1321">
        <w:t xml:space="preserve"> </w:t>
      </w:r>
      <w:r w:rsidRPr="000C1321">
        <w:rPr>
          <w:b/>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31F77D73" w14:textId="77777777" w:rsidR="0003308B" w:rsidRPr="000C1321" w:rsidRDefault="0003308B" w:rsidP="0003308B">
      <w:pPr>
        <w:tabs>
          <w:tab w:val="left" w:pos="142"/>
        </w:tabs>
      </w:pPr>
    </w:p>
    <w:p w14:paraId="7E948548" w14:textId="77777777" w:rsidR="0003308B" w:rsidRPr="000C1321" w:rsidRDefault="0003308B" w:rsidP="0003308B">
      <w:pPr>
        <w:tabs>
          <w:tab w:val="left" w:pos="142"/>
        </w:tabs>
      </w:pPr>
      <w:r w:rsidRPr="000C1321">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22CA1990" w14:textId="77777777" w:rsidR="0003308B" w:rsidRPr="000C1321" w:rsidRDefault="0003308B" w:rsidP="0003308B">
      <w:pPr>
        <w:tabs>
          <w:tab w:val="left" w:pos="142"/>
        </w:tabs>
      </w:pPr>
    </w:p>
    <w:p w14:paraId="3E436D46" w14:textId="77777777" w:rsidR="0003308B" w:rsidRPr="000C1321" w:rsidRDefault="0003308B" w:rsidP="0003308B">
      <w:pPr>
        <w:tabs>
          <w:tab w:val="left" w:pos="142"/>
        </w:tabs>
      </w:pPr>
      <w:r w:rsidRPr="000C1321">
        <w:t xml:space="preserve">El taller tendrá una duración de cuatro (4) horas. </w:t>
      </w:r>
    </w:p>
    <w:p w14:paraId="3BC3E69B" w14:textId="77777777" w:rsidR="0003308B" w:rsidRPr="000C1321" w:rsidRDefault="0003308B" w:rsidP="0003308B">
      <w:pPr>
        <w:tabs>
          <w:tab w:val="left" w:pos="142"/>
        </w:tabs>
      </w:pPr>
      <w:r w:rsidRPr="000C1321">
        <w:t xml:space="preserve">Para esta actividad debe coordinar con Alcaldía Municipal (UMAS) Y </w:t>
      </w:r>
      <w:r>
        <w:t>Gestor</w:t>
      </w:r>
      <w:r w:rsidRPr="000C1321">
        <w:t xml:space="preserve"> Técnico Territorial Fise (ATT).</w:t>
      </w:r>
    </w:p>
    <w:p w14:paraId="6572896B" w14:textId="77777777" w:rsidR="0003308B" w:rsidRPr="000C1321" w:rsidRDefault="0003308B" w:rsidP="0003308B">
      <w:pPr>
        <w:tabs>
          <w:tab w:val="left" w:pos="142"/>
        </w:tabs>
      </w:pPr>
    </w:p>
    <w:p w14:paraId="760EC827" w14:textId="77777777" w:rsidR="0003308B" w:rsidRPr="000C1321" w:rsidRDefault="0003308B" w:rsidP="0003308B">
      <w:pPr>
        <w:tabs>
          <w:tab w:val="left" w:pos="142"/>
        </w:tabs>
        <w:rPr>
          <w:b/>
        </w:rPr>
      </w:pPr>
      <w:r w:rsidRPr="000C1321">
        <w:rPr>
          <w:b/>
        </w:rPr>
        <w:t xml:space="preserve"> Producto a entregar por el contratista:</w:t>
      </w:r>
    </w:p>
    <w:p w14:paraId="30216ACB" w14:textId="77777777" w:rsidR="0003308B" w:rsidRPr="000C1321" w:rsidRDefault="0003308B" w:rsidP="0003308B">
      <w:pPr>
        <w:tabs>
          <w:tab w:val="left" w:pos="142"/>
        </w:tabs>
      </w:pPr>
      <w:r w:rsidRPr="000C1321">
        <w:t>1. Informe ejecutivo con su lista de asistencia, # de cédulas, cargos y firmas, en caso de no poder firmar, soportar con huella digital.</w:t>
      </w:r>
    </w:p>
    <w:p w14:paraId="0D0AB382" w14:textId="77777777" w:rsidR="0003308B" w:rsidRPr="000C1321" w:rsidRDefault="0003308B" w:rsidP="0003308B">
      <w:pPr>
        <w:tabs>
          <w:tab w:val="left" w:pos="142"/>
        </w:tabs>
      </w:pPr>
      <w:r w:rsidRPr="000C1321">
        <w:t>2. ayuda memoria.</w:t>
      </w:r>
    </w:p>
    <w:p w14:paraId="6E9539D2" w14:textId="77777777" w:rsidR="0003308B" w:rsidRPr="000C1321" w:rsidRDefault="0003308B" w:rsidP="0003308B">
      <w:pPr>
        <w:tabs>
          <w:tab w:val="left" w:pos="142"/>
        </w:tabs>
      </w:pPr>
      <w:r w:rsidRPr="000C1321">
        <w:t>3. Memoria fotográfica.</w:t>
      </w:r>
    </w:p>
    <w:p w14:paraId="6DD824F2" w14:textId="77777777" w:rsidR="0003308B" w:rsidRPr="000C1321" w:rsidRDefault="0003308B" w:rsidP="0003308B">
      <w:pPr>
        <w:tabs>
          <w:tab w:val="left" w:pos="142"/>
        </w:tabs>
      </w:pPr>
    </w:p>
    <w:p w14:paraId="180E5B44" w14:textId="77777777" w:rsidR="0003308B" w:rsidRPr="000C1321" w:rsidRDefault="0003308B" w:rsidP="003B68DB">
      <w:pPr>
        <w:numPr>
          <w:ilvl w:val="0"/>
          <w:numId w:val="131"/>
        </w:numPr>
        <w:tabs>
          <w:tab w:val="left" w:pos="142"/>
        </w:tabs>
        <w:ind w:firstLine="0"/>
        <w:contextualSpacing/>
        <w:rPr>
          <w:b/>
        </w:rPr>
      </w:pPr>
      <w:r w:rsidRPr="000C1321">
        <w:rPr>
          <w:b/>
        </w:rPr>
        <w:t>Planificar y realizar taller de capacitación para la operación y mantenimiento del sistema de agua, elaborar informe de taller.</w:t>
      </w:r>
    </w:p>
    <w:p w14:paraId="79D00336" w14:textId="77777777" w:rsidR="0003308B" w:rsidRPr="000C1321" w:rsidRDefault="0003308B" w:rsidP="0003308B">
      <w:pPr>
        <w:tabs>
          <w:tab w:val="left" w:pos="142"/>
        </w:tabs>
        <w:contextualSpacing/>
        <w:rPr>
          <w:b/>
        </w:rPr>
      </w:pPr>
    </w:p>
    <w:p w14:paraId="3C1821B5" w14:textId="77777777" w:rsidR="0003308B" w:rsidRPr="000C1321" w:rsidRDefault="0003308B" w:rsidP="0003308B">
      <w:pPr>
        <w:tabs>
          <w:tab w:val="left" w:pos="142"/>
        </w:tabs>
        <w:rPr>
          <w:i/>
        </w:rPr>
      </w:pPr>
      <w:r w:rsidRPr="000C1321">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04D1F699" w14:textId="77777777" w:rsidR="0003308B" w:rsidRPr="000C1321" w:rsidRDefault="0003308B" w:rsidP="0003308B">
      <w:pPr>
        <w:tabs>
          <w:tab w:val="left" w:pos="142"/>
        </w:tabs>
        <w:rPr>
          <w:i/>
        </w:rPr>
      </w:pPr>
    </w:p>
    <w:p w14:paraId="05EDF6E5" w14:textId="77777777" w:rsidR="0003308B" w:rsidRPr="000C1321" w:rsidRDefault="0003308B" w:rsidP="0003308B">
      <w:pPr>
        <w:tabs>
          <w:tab w:val="left" w:pos="142"/>
        </w:tabs>
        <w:rPr>
          <w:i/>
        </w:rPr>
      </w:pPr>
      <w:r w:rsidRPr="000C1321">
        <w:t xml:space="preserve">El taller tendrá una duración de cuatro (4) horas. </w:t>
      </w:r>
    </w:p>
    <w:p w14:paraId="15256238" w14:textId="77777777" w:rsidR="0003308B" w:rsidRPr="000C1321" w:rsidRDefault="0003308B" w:rsidP="0003308B">
      <w:pPr>
        <w:tabs>
          <w:tab w:val="left" w:pos="142"/>
        </w:tabs>
        <w:rPr>
          <w:i/>
        </w:rPr>
      </w:pPr>
    </w:p>
    <w:p w14:paraId="5635CC91" w14:textId="77777777" w:rsidR="0003308B" w:rsidRPr="000C1321" w:rsidRDefault="0003308B" w:rsidP="0003308B">
      <w:pPr>
        <w:tabs>
          <w:tab w:val="left" w:pos="142"/>
        </w:tabs>
        <w:rPr>
          <w:i/>
        </w:rPr>
      </w:pPr>
      <w:r w:rsidRPr="000C1321">
        <w:t xml:space="preserve">Para esta actividad debe coordinar con Alcaldía Municipal (UMAS) y </w:t>
      </w:r>
      <w:r>
        <w:t>Gestor</w:t>
      </w:r>
      <w:r w:rsidRPr="000C1321">
        <w:t xml:space="preserve"> Técnico Territorial Fise (ATT).</w:t>
      </w:r>
    </w:p>
    <w:p w14:paraId="68F5C8CA" w14:textId="77777777" w:rsidR="0003308B" w:rsidRPr="000C1321" w:rsidRDefault="0003308B" w:rsidP="0003308B">
      <w:pPr>
        <w:tabs>
          <w:tab w:val="left" w:pos="142"/>
        </w:tabs>
        <w:contextualSpacing/>
        <w:rPr>
          <w:i/>
        </w:rPr>
      </w:pPr>
    </w:p>
    <w:p w14:paraId="3824DFB9" w14:textId="77777777" w:rsidR="0003308B" w:rsidRPr="000C1321" w:rsidRDefault="0003308B" w:rsidP="0003308B">
      <w:pPr>
        <w:tabs>
          <w:tab w:val="left" w:pos="142"/>
        </w:tabs>
        <w:rPr>
          <w:b/>
        </w:rPr>
      </w:pPr>
      <w:r w:rsidRPr="000C1321">
        <w:rPr>
          <w:b/>
        </w:rPr>
        <w:t>Requerimiento del contratista:</w:t>
      </w:r>
    </w:p>
    <w:p w14:paraId="79A79D16" w14:textId="77777777" w:rsidR="0003308B" w:rsidRPr="000C1321" w:rsidRDefault="0003308B" w:rsidP="0003308B">
      <w:pPr>
        <w:tabs>
          <w:tab w:val="left" w:pos="142"/>
        </w:tabs>
      </w:pPr>
      <w:r w:rsidRPr="000C1321">
        <w:lastRenderedPageBreak/>
        <w:t>1. Cuaderno/lapicero.</w:t>
      </w:r>
    </w:p>
    <w:p w14:paraId="2E424FE0" w14:textId="77777777" w:rsidR="0003308B" w:rsidRPr="000C1321" w:rsidRDefault="0003308B" w:rsidP="0003308B">
      <w:pPr>
        <w:tabs>
          <w:tab w:val="left" w:pos="142"/>
        </w:tabs>
      </w:pPr>
      <w:r w:rsidRPr="000C1321">
        <w:t>2. Manual de operación y mantenimiento del sistema de agua</w:t>
      </w:r>
    </w:p>
    <w:p w14:paraId="40FF1A05" w14:textId="77777777" w:rsidR="0003308B" w:rsidRPr="000C1321" w:rsidRDefault="0003308B" w:rsidP="0003308B">
      <w:pPr>
        <w:tabs>
          <w:tab w:val="left" w:pos="142"/>
        </w:tabs>
      </w:pPr>
      <w:r w:rsidRPr="000C1321">
        <w:t>3. Refrigerio/Almuerzo.</w:t>
      </w:r>
    </w:p>
    <w:p w14:paraId="1595FCE6" w14:textId="77777777" w:rsidR="0003308B" w:rsidRPr="000C1321" w:rsidRDefault="0003308B" w:rsidP="0003308B">
      <w:pPr>
        <w:tabs>
          <w:tab w:val="left" w:pos="142"/>
        </w:tabs>
      </w:pPr>
      <w:r w:rsidRPr="000C1321">
        <w:t>4. Local para realizar taller</w:t>
      </w:r>
    </w:p>
    <w:p w14:paraId="3613B72E" w14:textId="77777777" w:rsidR="0003308B" w:rsidRPr="000C1321" w:rsidRDefault="0003308B" w:rsidP="0003308B">
      <w:pPr>
        <w:tabs>
          <w:tab w:val="left" w:pos="142"/>
        </w:tabs>
      </w:pPr>
    </w:p>
    <w:p w14:paraId="2D673F52" w14:textId="77777777" w:rsidR="0003308B" w:rsidRPr="000C1321" w:rsidRDefault="0003308B" w:rsidP="0003308B">
      <w:pPr>
        <w:tabs>
          <w:tab w:val="left" w:pos="142"/>
        </w:tabs>
        <w:rPr>
          <w:b/>
        </w:rPr>
      </w:pPr>
      <w:r w:rsidRPr="000C1321">
        <w:rPr>
          <w:b/>
        </w:rPr>
        <w:t>Productos esperados:</w:t>
      </w:r>
    </w:p>
    <w:p w14:paraId="6CF4FDEF" w14:textId="77777777" w:rsidR="0003308B" w:rsidRPr="000C1321" w:rsidRDefault="0003308B" w:rsidP="0003308B">
      <w:pPr>
        <w:tabs>
          <w:tab w:val="left" w:pos="142"/>
        </w:tabs>
      </w:pPr>
      <w:r w:rsidRPr="000C1321">
        <w:t xml:space="preserve">1. Informe ejecutivo con su lista de asistencia # de cédulas, cargos y firmas, en caso de no poder firmar, soportar con huella digital, además de Informe Ejecutivo del taller impartido, </w:t>
      </w:r>
    </w:p>
    <w:p w14:paraId="0DBEAF2A" w14:textId="77777777" w:rsidR="0003308B" w:rsidRPr="000C1321" w:rsidRDefault="0003308B" w:rsidP="0003308B">
      <w:pPr>
        <w:tabs>
          <w:tab w:val="left" w:pos="142"/>
        </w:tabs>
      </w:pPr>
      <w:r w:rsidRPr="000C1321">
        <w:t>2. Ayuda Memoria.</w:t>
      </w:r>
    </w:p>
    <w:p w14:paraId="6752A31D" w14:textId="77777777" w:rsidR="0003308B" w:rsidRPr="000C1321" w:rsidRDefault="0003308B" w:rsidP="0003308B">
      <w:pPr>
        <w:tabs>
          <w:tab w:val="left" w:pos="142"/>
        </w:tabs>
      </w:pPr>
      <w:r w:rsidRPr="000C1321">
        <w:t>3.  Memoria fotográfica.</w:t>
      </w:r>
    </w:p>
    <w:p w14:paraId="68488CF7" w14:textId="77777777" w:rsidR="0003308B" w:rsidRPr="000C1321" w:rsidRDefault="0003308B" w:rsidP="0003308B">
      <w:pPr>
        <w:tabs>
          <w:tab w:val="left" w:pos="142"/>
        </w:tabs>
        <w:contextualSpacing/>
        <w:rPr>
          <w:i/>
        </w:rPr>
      </w:pPr>
    </w:p>
    <w:p w14:paraId="4254BC1E" w14:textId="77777777" w:rsidR="0003308B" w:rsidRPr="000C1321" w:rsidRDefault="0003308B" w:rsidP="003B68DB">
      <w:pPr>
        <w:numPr>
          <w:ilvl w:val="0"/>
          <w:numId w:val="131"/>
        </w:numPr>
        <w:tabs>
          <w:tab w:val="left" w:pos="142"/>
        </w:tabs>
        <w:ind w:firstLine="0"/>
        <w:contextualSpacing/>
        <w:rPr>
          <w:b/>
        </w:rPr>
      </w:pPr>
      <w:r w:rsidRPr="000C1321">
        <w:rPr>
          <w:b/>
        </w:rPr>
        <w:t>Planificar y realizar Asamblea general comunitaria para la presentación del informe final del componente social del proyecto.</w:t>
      </w:r>
    </w:p>
    <w:p w14:paraId="47C1A350" w14:textId="77777777" w:rsidR="0003308B" w:rsidRPr="000C1321" w:rsidRDefault="0003308B" w:rsidP="0003308B">
      <w:pPr>
        <w:tabs>
          <w:tab w:val="left" w:pos="142"/>
        </w:tabs>
      </w:pPr>
    </w:p>
    <w:p w14:paraId="6AA31AC9" w14:textId="77777777" w:rsidR="0003308B" w:rsidRPr="000C1321" w:rsidRDefault="0003308B" w:rsidP="0003308B">
      <w:pPr>
        <w:tabs>
          <w:tab w:val="left" w:pos="142"/>
        </w:tabs>
      </w:pPr>
      <w:r w:rsidRPr="000C1321">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0E479259" w14:textId="77777777" w:rsidR="0003308B" w:rsidRPr="000C1321" w:rsidRDefault="0003308B" w:rsidP="0003308B">
      <w:pPr>
        <w:tabs>
          <w:tab w:val="left" w:pos="142"/>
        </w:tabs>
      </w:pPr>
    </w:p>
    <w:p w14:paraId="6AC62770" w14:textId="77777777" w:rsidR="0003308B" w:rsidRPr="000C1321" w:rsidRDefault="0003308B" w:rsidP="0003308B">
      <w:pPr>
        <w:tabs>
          <w:tab w:val="left" w:pos="142"/>
        </w:tabs>
      </w:pPr>
      <w:r w:rsidRPr="000C1321">
        <w:t>Realizar visita casa a casa para convocar y entregar invitación a tod@s l@s protagonistas del proyecto a la Asamblea, 100% de viviendas visitas.  (JD del CAPS, grupo de apoyo y red de promotores/as sociales comunitarios y líderes).</w:t>
      </w:r>
    </w:p>
    <w:p w14:paraId="4EE3DBFD" w14:textId="77777777" w:rsidR="0003308B" w:rsidRPr="000C1321" w:rsidRDefault="0003308B" w:rsidP="0003308B">
      <w:pPr>
        <w:tabs>
          <w:tab w:val="left" w:pos="142"/>
        </w:tabs>
      </w:pPr>
    </w:p>
    <w:p w14:paraId="167B4CC2" w14:textId="77777777" w:rsidR="0003308B" w:rsidRPr="000C1321" w:rsidRDefault="0003308B" w:rsidP="0003308B">
      <w:pPr>
        <w:tabs>
          <w:tab w:val="left" w:pos="142"/>
        </w:tabs>
      </w:pPr>
      <w:r w:rsidRPr="000C1321">
        <w:t>Se debe levantar listado de participantes y/o representante por vivienda, reflejándose nombres y apellidos, # de cédula, cargo y firmas (en caso de no poder firmar se utiliza huella digital), la lista de asistencia debe garantizar el cumplimiento.</w:t>
      </w:r>
    </w:p>
    <w:p w14:paraId="133C6BC5" w14:textId="77777777" w:rsidR="0003308B" w:rsidRPr="000C1321" w:rsidRDefault="0003308B" w:rsidP="0003308B">
      <w:pPr>
        <w:tabs>
          <w:tab w:val="left" w:pos="142"/>
        </w:tabs>
        <w:rPr>
          <w:b/>
        </w:rPr>
      </w:pPr>
    </w:p>
    <w:p w14:paraId="0FFF2E60" w14:textId="77777777" w:rsidR="0003308B" w:rsidRPr="000C1321" w:rsidRDefault="0003308B" w:rsidP="003B68DB">
      <w:pPr>
        <w:numPr>
          <w:ilvl w:val="0"/>
          <w:numId w:val="131"/>
        </w:numPr>
        <w:tabs>
          <w:tab w:val="left" w:pos="142"/>
        </w:tabs>
        <w:ind w:firstLine="0"/>
        <w:contextualSpacing/>
        <w:rPr>
          <w:b/>
        </w:rPr>
      </w:pPr>
      <w:r w:rsidRPr="000C1321">
        <w:rPr>
          <w:b/>
        </w:rPr>
        <w:t>Elaborar Informe final de la consultoría.</w:t>
      </w:r>
    </w:p>
    <w:p w14:paraId="4BA2C921" w14:textId="77777777" w:rsidR="0003308B" w:rsidRPr="000C1321" w:rsidRDefault="0003308B" w:rsidP="0003308B">
      <w:pPr>
        <w:tabs>
          <w:tab w:val="left" w:pos="142"/>
        </w:tabs>
      </w:pPr>
    </w:p>
    <w:p w14:paraId="3F0ACFEE" w14:textId="77777777" w:rsidR="0003308B" w:rsidRPr="000C1321" w:rsidRDefault="0003308B" w:rsidP="0003308B">
      <w:pPr>
        <w:tabs>
          <w:tab w:val="left" w:pos="142"/>
        </w:tabs>
      </w:pPr>
      <w:r w:rsidRPr="000C1321">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1CD7A83E" w14:textId="77777777" w:rsidR="0003308B" w:rsidRPr="000C1321" w:rsidRDefault="0003308B" w:rsidP="0003308B">
      <w:pPr>
        <w:tabs>
          <w:tab w:val="left" w:pos="142"/>
        </w:tabs>
      </w:pPr>
    </w:p>
    <w:p w14:paraId="185E10A4" w14:textId="77777777" w:rsidR="0003308B" w:rsidRPr="000C1321" w:rsidRDefault="0003308B" w:rsidP="0003308B">
      <w:pPr>
        <w:tabs>
          <w:tab w:val="left" w:pos="142"/>
        </w:tabs>
      </w:pPr>
      <w:r w:rsidRPr="000C1321">
        <w:t xml:space="preserve">Ilustrar informe con gráficos, describiendo los principales logros, la participación de protagonistas por género, cumplimiento de aportes comunitarios en especie y efectivo, memoria fotográfica.  </w:t>
      </w:r>
    </w:p>
    <w:p w14:paraId="6BB12D4E" w14:textId="77777777" w:rsidR="0003308B" w:rsidRPr="000C1321" w:rsidRDefault="0003308B" w:rsidP="0003308B">
      <w:pPr>
        <w:tabs>
          <w:tab w:val="left" w:pos="142"/>
        </w:tabs>
      </w:pPr>
      <w:r w:rsidRPr="000C1321">
        <w:t xml:space="preserve">  </w:t>
      </w:r>
    </w:p>
    <w:p w14:paraId="0723FF5A" w14:textId="77777777" w:rsidR="0003308B" w:rsidRPr="000C1321" w:rsidRDefault="0003308B" w:rsidP="003B68DB">
      <w:pPr>
        <w:numPr>
          <w:ilvl w:val="0"/>
          <w:numId w:val="131"/>
        </w:numPr>
        <w:tabs>
          <w:tab w:val="left" w:pos="142"/>
        </w:tabs>
        <w:ind w:firstLine="0"/>
        <w:contextualSpacing/>
        <w:rPr>
          <w:b/>
        </w:rPr>
      </w:pPr>
      <w:r w:rsidRPr="000C1321">
        <w:rPr>
          <w:b/>
        </w:rPr>
        <w:t>Elaborar Informe de Planificación y Realización de Asamblea general comunitaria de cierre y evaluación final del proyecto.</w:t>
      </w:r>
    </w:p>
    <w:p w14:paraId="0B07D679" w14:textId="77777777" w:rsidR="0003308B" w:rsidRPr="000C1321" w:rsidRDefault="0003308B" w:rsidP="0003308B">
      <w:pPr>
        <w:tabs>
          <w:tab w:val="left" w:pos="142"/>
        </w:tabs>
      </w:pPr>
    </w:p>
    <w:p w14:paraId="46BB8AF7" w14:textId="77777777" w:rsidR="0003308B" w:rsidRPr="000C1321" w:rsidRDefault="0003308B" w:rsidP="0003308B">
      <w:pPr>
        <w:tabs>
          <w:tab w:val="left" w:pos="142"/>
        </w:tabs>
      </w:pPr>
      <w:r w:rsidRPr="000C1321">
        <w:lastRenderedPageBreak/>
        <w:t xml:space="preserve">Planificar y realizar asamblea general comunitaria, con participación de al menos el 70% de jefes/as de viviendas existentes en la comunidad/es. </w:t>
      </w:r>
    </w:p>
    <w:p w14:paraId="23CF099D" w14:textId="77777777" w:rsidR="0003308B" w:rsidRPr="000C1321" w:rsidRDefault="0003308B" w:rsidP="0003308B">
      <w:pPr>
        <w:tabs>
          <w:tab w:val="left" w:pos="142"/>
        </w:tabs>
      </w:pPr>
    </w:p>
    <w:p w14:paraId="58B08461" w14:textId="77777777" w:rsidR="0003308B" w:rsidRPr="000C1321" w:rsidRDefault="0003308B" w:rsidP="0003308B">
      <w:pPr>
        <w:tabs>
          <w:tab w:val="left" w:pos="142"/>
        </w:tabs>
      </w:pPr>
      <w:r w:rsidRPr="000C1321">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06D36DDC" w14:textId="77777777" w:rsidR="0003308B" w:rsidRPr="000C1321" w:rsidRDefault="0003308B" w:rsidP="0003308B">
      <w:pPr>
        <w:tabs>
          <w:tab w:val="left" w:pos="142"/>
        </w:tabs>
      </w:pPr>
    </w:p>
    <w:p w14:paraId="782A449F" w14:textId="77777777" w:rsidR="0003308B" w:rsidRPr="000C1321" w:rsidRDefault="0003308B" w:rsidP="0003308B">
      <w:pPr>
        <w:tabs>
          <w:tab w:val="left" w:pos="142"/>
        </w:tabs>
      </w:pPr>
      <w:r w:rsidRPr="000C1321">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08976E58" w14:textId="77777777" w:rsidR="0003308B" w:rsidRPr="000C1321" w:rsidRDefault="0003308B" w:rsidP="0003308B">
      <w:pPr>
        <w:tabs>
          <w:tab w:val="left" w:pos="142"/>
        </w:tabs>
      </w:pPr>
    </w:p>
    <w:p w14:paraId="3470CCB5" w14:textId="77777777" w:rsidR="0003308B" w:rsidRPr="000C1321" w:rsidRDefault="0003308B" w:rsidP="0003308B">
      <w:pPr>
        <w:tabs>
          <w:tab w:val="left" w:pos="142"/>
        </w:tabs>
      </w:pPr>
      <w:r w:rsidRPr="000C1321">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666A1212" w14:textId="77777777" w:rsidR="0003308B" w:rsidRPr="000C1321" w:rsidRDefault="0003308B" w:rsidP="0003308B">
      <w:pPr>
        <w:tabs>
          <w:tab w:val="left" w:pos="142"/>
        </w:tabs>
      </w:pPr>
    </w:p>
    <w:p w14:paraId="0E441FF9" w14:textId="77777777" w:rsidR="0003308B" w:rsidRPr="000C1321" w:rsidRDefault="0003308B" w:rsidP="0003308B">
      <w:pPr>
        <w:tabs>
          <w:tab w:val="left" w:pos="142"/>
        </w:tabs>
      </w:pPr>
      <w:r w:rsidRPr="000C1321">
        <w:t xml:space="preserve">En asamblea se debe contar con participación del responsable de Unidad Municipal de Agua y Saneamiento (UMAS), ATT/FISE y JD del CAPS en pleno. </w:t>
      </w:r>
    </w:p>
    <w:p w14:paraId="668B485B" w14:textId="77777777" w:rsidR="0003308B" w:rsidRPr="000C1321" w:rsidRDefault="0003308B" w:rsidP="0003308B">
      <w:pPr>
        <w:tabs>
          <w:tab w:val="left" w:pos="142"/>
        </w:tabs>
      </w:pPr>
    </w:p>
    <w:p w14:paraId="0863AE0B" w14:textId="77777777" w:rsidR="0003308B" w:rsidRPr="000C1321" w:rsidRDefault="0003308B" w:rsidP="0003308B">
      <w:pPr>
        <w:tabs>
          <w:tab w:val="left" w:pos="142"/>
        </w:tabs>
      </w:pPr>
      <w:r w:rsidRPr="000C1321">
        <w:t xml:space="preserve">Los productos de la actividad serán; lista de asistencia, debidamente firmada y avalada por técnico UMAS, acta de asamblea (modelo típico FISE), ayuda memoria, galería fotográfica. Contratista elabora Informe Ejecutivo de asamblea. </w:t>
      </w:r>
    </w:p>
    <w:p w14:paraId="73188D72" w14:textId="77777777" w:rsidR="0003308B" w:rsidRPr="000C1321" w:rsidRDefault="0003308B" w:rsidP="0003308B">
      <w:pPr>
        <w:tabs>
          <w:tab w:val="left" w:pos="142"/>
        </w:tabs>
        <w:rPr>
          <w:b/>
        </w:rPr>
      </w:pPr>
    </w:p>
    <w:p w14:paraId="0FF74A20" w14:textId="77777777" w:rsidR="0003308B" w:rsidRPr="000C1321" w:rsidRDefault="0003308B" w:rsidP="0003308B">
      <w:pPr>
        <w:tabs>
          <w:tab w:val="left" w:pos="142"/>
        </w:tabs>
      </w:pPr>
      <w:r w:rsidRPr="000C1321">
        <w:t>Notas de estricto cumplimiento:</w:t>
      </w:r>
    </w:p>
    <w:p w14:paraId="1CE35CE8" w14:textId="77777777" w:rsidR="0003308B" w:rsidRPr="000C1321" w:rsidRDefault="0003308B" w:rsidP="0003308B">
      <w:pPr>
        <w:tabs>
          <w:tab w:val="left" w:pos="142"/>
        </w:tabs>
      </w:pPr>
    </w:p>
    <w:p w14:paraId="596FFB5C" w14:textId="77777777" w:rsidR="0003308B" w:rsidRPr="000C1321" w:rsidRDefault="0003308B" w:rsidP="003B68DB">
      <w:pPr>
        <w:numPr>
          <w:ilvl w:val="0"/>
          <w:numId w:val="122"/>
        </w:numPr>
        <w:tabs>
          <w:tab w:val="left" w:pos="142"/>
        </w:tabs>
        <w:ind w:hanging="578"/>
        <w:contextualSpacing/>
        <w:rPr>
          <w:b/>
        </w:rPr>
      </w:pPr>
      <w:r w:rsidRPr="000C1321">
        <w:rPr>
          <w:b/>
        </w:rPr>
        <w:t>En cada actividad el contratista debe garantizar (Refrigerios, almuerzos, cuadernos, lapiceros, cartillas del compendio, material FCSA.)</w:t>
      </w:r>
    </w:p>
    <w:p w14:paraId="380AD269" w14:textId="77777777" w:rsidR="0003308B" w:rsidRPr="000C1321" w:rsidRDefault="0003308B" w:rsidP="003B68DB">
      <w:pPr>
        <w:numPr>
          <w:ilvl w:val="0"/>
          <w:numId w:val="122"/>
        </w:numPr>
        <w:tabs>
          <w:tab w:val="left" w:pos="142"/>
        </w:tabs>
        <w:ind w:hanging="578"/>
        <w:contextualSpacing/>
        <w:rPr>
          <w:b/>
        </w:rPr>
      </w:pPr>
      <w:r w:rsidRPr="000C1321">
        <w:rPr>
          <w:b/>
        </w:rPr>
        <w:t>Todos los informes de actividades sociales deberán ser revisados y avalados por los Especialistas Sociales</w:t>
      </w:r>
    </w:p>
    <w:p w14:paraId="1236E5C2" w14:textId="77777777" w:rsidR="0003308B" w:rsidRPr="000C1321" w:rsidRDefault="0003308B" w:rsidP="003B68DB">
      <w:pPr>
        <w:numPr>
          <w:ilvl w:val="0"/>
          <w:numId w:val="122"/>
        </w:numPr>
        <w:tabs>
          <w:tab w:val="left" w:pos="142"/>
        </w:tabs>
        <w:ind w:hanging="578"/>
        <w:contextualSpacing/>
        <w:rPr>
          <w:i/>
        </w:rPr>
      </w:pPr>
      <w:r w:rsidRPr="000C1321">
        <w:rPr>
          <w:b/>
        </w:rPr>
        <w:t xml:space="preserve">Los Informes de las actividades de la etapa de ejecución, llevaran el Vo.Bo. del </w:t>
      </w:r>
      <w:r>
        <w:rPr>
          <w:b/>
        </w:rPr>
        <w:t>Gestor</w:t>
      </w:r>
      <w:r w:rsidRPr="000C1321">
        <w:rPr>
          <w:b/>
        </w:rPr>
        <w:t xml:space="preserve"> Técnico Territorial.</w:t>
      </w:r>
    </w:p>
    <w:p w14:paraId="5F18EE42" w14:textId="77777777" w:rsidR="0003308B" w:rsidRPr="000C1321" w:rsidRDefault="0003308B" w:rsidP="0003308B">
      <w:pPr>
        <w:tabs>
          <w:tab w:val="left" w:pos="142"/>
        </w:tabs>
        <w:autoSpaceDE w:val="0"/>
        <w:autoSpaceDN w:val="0"/>
        <w:adjustRightInd w:val="0"/>
        <w:rPr>
          <w:i/>
          <w:lang w:val="es-NI" w:eastAsia="es-NI"/>
        </w:rPr>
      </w:pPr>
    </w:p>
    <w:p w14:paraId="5A794F50" w14:textId="77777777" w:rsidR="00507630" w:rsidRDefault="00507630">
      <w:pPr>
        <w:jc w:val="left"/>
        <w:rPr>
          <w:rFonts w:asciiTheme="minorHAnsi" w:hAnsiTheme="minorHAnsi"/>
          <w:b/>
          <w:color w:val="000000" w:themeColor="text1"/>
          <w:sz w:val="28"/>
          <w:szCs w:val="24"/>
          <w:lang w:val="es-MX"/>
        </w:rPr>
      </w:pPr>
      <w:r>
        <w:rPr>
          <w:rFonts w:asciiTheme="minorHAnsi" w:hAnsiTheme="minorHAnsi"/>
          <w:b/>
          <w:color w:val="000000" w:themeColor="text1"/>
          <w:sz w:val="28"/>
          <w:szCs w:val="24"/>
          <w:lang w:val="es-MX"/>
        </w:rPr>
        <w:br w:type="page"/>
      </w:r>
    </w:p>
    <w:p w14:paraId="7AE49B22" w14:textId="77777777" w:rsidR="00003780" w:rsidRPr="00003780" w:rsidRDefault="00003780" w:rsidP="00003780">
      <w:pPr>
        <w:keepNext/>
        <w:tabs>
          <w:tab w:val="left" w:pos="142"/>
        </w:tabs>
        <w:ind w:right="-516"/>
        <w:outlineLvl w:val="1"/>
        <w:rPr>
          <w:rFonts w:cs="Arial"/>
          <w:b/>
          <w:bCs/>
          <w:i/>
          <w:iCs/>
          <w:sz w:val="22"/>
          <w:szCs w:val="22"/>
          <w:highlight w:val="yellow"/>
        </w:rPr>
      </w:pPr>
      <w:r w:rsidRPr="00003780">
        <w:rPr>
          <w:rFonts w:cs="Arial"/>
          <w:b/>
          <w:bCs/>
          <w:iCs/>
          <w:sz w:val="22"/>
          <w:szCs w:val="22"/>
          <w:highlight w:val="yellow"/>
        </w:rPr>
        <w:lastRenderedPageBreak/>
        <w:t>ESPECIFICACIONES TÉCNICAS GENERALES</w:t>
      </w:r>
    </w:p>
    <w:p w14:paraId="2F2056D9" w14:textId="77777777" w:rsidR="00003780" w:rsidRPr="00533665" w:rsidRDefault="00003780" w:rsidP="00003780">
      <w:pPr>
        <w:keepNext/>
        <w:tabs>
          <w:tab w:val="left" w:pos="142"/>
        </w:tabs>
        <w:ind w:right="-516"/>
        <w:outlineLvl w:val="1"/>
        <w:rPr>
          <w:rFonts w:cs="Arial"/>
          <w:b/>
          <w:bCs/>
          <w:iCs/>
          <w:sz w:val="22"/>
          <w:szCs w:val="22"/>
        </w:rPr>
      </w:pPr>
      <w:r w:rsidRPr="00003780">
        <w:rPr>
          <w:rFonts w:cs="Arial"/>
          <w:b/>
          <w:szCs w:val="24"/>
          <w:highlight w:val="yellow"/>
        </w:rPr>
        <w:t>Proyecto 19892 Agua y Saneamiento comunidad Bálsamo Abajo</w:t>
      </w:r>
      <w:r w:rsidRPr="00003780">
        <w:rPr>
          <w:rFonts w:cs="Arial"/>
          <w:b/>
          <w:i/>
          <w:highlight w:val="yellow"/>
        </w:rPr>
        <w:t xml:space="preserve"> (Lote 4)</w:t>
      </w:r>
    </w:p>
    <w:p w14:paraId="06B0811A" w14:textId="77777777" w:rsidR="00003780" w:rsidRPr="00640CFF" w:rsidRDefault="00003780" w:rsidP="00003780">
      <w:pPr>
        <w:keepNext/>
        <w:tabs>
          <w:tab w:val="left" w:pos="142"/>
        </w:tabs>
        <w:ind w:right="-516"/>
        <w:outlineLvl w:val="1"/>
        <w:rPr>
          <w:rFonts w:cs="Arial"/>
          <w:b/>
          <w:bCs/>
          <w:i/>
          <w:iCs/>
          <w:sz w:val="22"/>
          <w:szCs w:val="22"/>
        </w:rPr>
      </w:pPr>
    </w:p>
    <w:p w14:paraId="3C5573C0" w14:textId="77777777" w:rsidR="00003780" w:rsidRPr="00640CFF" w:rsidRDefault="00003780" w:rsidP="00003780">
      <w:pPr>
        <w:keepNext/>
        <w:keepLines/>
        <w:spacing w:before="40"/>
        <w:outlineLvl w:val="1"/>
        <w:rPr>
          <w:rFonts w:cs="Arial"/>
          <w:b/>
          <w:i/>
        </w:rPr>
      </w:pPr>
      <w:r w:rsidRPr="00640CFF">
        <w:rPr>
          <w:rFonts w:cs="Arial"/>
          <w:b/>
        </w:rPr>
        <w:t>Definiciones</w:t>
      </w:r>
    </w:p>
    <w:p w14:paraId="35465428" w14:textId="77777777" w:rsidR="00003780" w:rsidRPr="00640CFF" w:rsidRDefault="00003780" w:rsidP="00003780">
      <w:pPr>
        <w:rPr>
          <w:rFonts w:cs="Arial"/>
          <w:i/>
        </w:rPr>
      </w:pPr>
    </w:p>
    <w:p w14:paraId="66176057" w14:textId="77777777" w:rsidR="00003780" w:rsidRPr="00640CFF" w:rsidRDefault="00003780" w:rsidP="00003780">
      <w:pPr>
        <w:rPr>
          <w:rFonts w:cs="Arial"/>
          <w:i/>
        </w:rPr>
      </w:pPr>
      <w:r w:rsidRPr="00640CFF">
        <w:rPr>
          <w:rFonts w:cs="Arial"/>
        </w:rPr>
        <w:t>En cualquier parte de estos Documentos en los cuales se usen los términos que se describen a continuación, su intención y significado deberán ser interpretadas de la manera siguiente:</w:t>
      </w:r>
    </w:p>
    <w:p w14:paraId="29D7D355" w14:textId="77777777" w:rsidR="00003780" w:rsidRPr="00640CFF" w:rsidRDefault="00003780" w:rsidP="00003780">
      <w:pPr>
        <w:rPr>
          <w:rFonts w:cs="Arial"/>
          <w:b/>
          <w:i/>
        </w:rPr>
      </w:pPr>
    </w:p>
    <w:p w14:paraId="57D322AB" w14:textId="77777777" w:rsidR="00003780" w:rsidRPr="00640CFF" w:rsidRDefault="00003780" w:rsidP="00003780">
      <w:pPr>
        <w:rPr>
          <w:rFonts w:cs="Arial"/>
          <w:i/>
        </w:rPr>
      </w:pPr>
      <w:r w:rsidRPr="00640CFF">
        <w:rPr>
          <w:rFonts w:cs="Arial"/>
          <w:b/>
        </w:rPr>
        <w:t>Supervisor</w:t>
      </w:r>
      <w:r w:rsidRPr="00640CFF">
        <w:rPr>
          <w:rFonts w:cs="Arial"/>
        </w:rPr>
        <w:t>: El Profesional</w:t>
      </w:r>
      <w:r>
        <w:rPr>
          <w:rFonts w:cs="Arial"/>
        </w:rPr>
        <w:t xml:space="preserve"> contratado por el FISE</w:t>
      </w:r>
      <w:r w:rsidRPr="00640CFF">
        <w:rPr>
          <w:rFonts w:cs="Arial"/>
        </w:rPr>
        <w:t>, para la supervisión técnica de la Obra, actuando dentro del marco de las atribuciones que le serán confiadas.</w:t>
      </w:r>
    </w:p>
    <w:p w14:paraId="59E5DC33" w14:textId="77777777" w:rsidR="00003780" w:rsidRPr="00640CFF" w:rsidRDefault="00003780" w:rsidP="00003780">
      <w:pPr>
        <w:rPr>
          <w:rFonts w:cs="Arial"/>
          <w:i/>
        </w:rPr>
      </w:pPr>
    </w:p>
    <w:p w14:paraId="623D87D0" w14:textId="77777777" w:rsidR="00003780" w:rsidRPr="00640CFF" w:rsidRDefault="00003780" w:rsidP="00003780">
      <w:pPr>
        <w:rPr>
          <w:rFonts w:cs="Arial"/>
          <w:i/>
        </w:rPr>
      </w:pPr>
      <w:r w:rsidRPr="00640CFF">
        <w:rPr>
          <w:rFonts w:cs="Arial"/>
          <w:b/>
        </w:rPr>
        <w:t>Contratista</w:t>
      </w:r>
      <w:r w:rsidRPr="00640CFF">
        <w:rPr>
          <w:rFonts w:cs="Arial"/>
        </w:rPr>
        <w:t>: El Oferente a quien este Contrato es adjudicado</w:t>
      </w:r>
      <w:r>
        <w:rPr>
          <w:rFonts w:cs="Arial"/>
        </w:rPr>
        <w:t xml:space="preserve"> por el FISE.</w:t>
      </w:r>
    </w:p>
    <w:p w14:paraId="6D9016FE" w14:textId="77777777" w:rsidR="00003780" w:rsidRPr="00640CFF" w:rsidRDefault="00003780" w:rsidP="00003780">
      <w:pPr>
        <w:rPr>
          <w:rFonts w:cs="Arial"/>
          <w:b/>
          <w:i/>
        </w:rPr>
      </w:pPr>
    </w:p>
    <w:p w14:paraId="4BCF05B5" w14:textId="77777777" w:rsidR="00003780" w:rsidRDefault="00003780" w:rsidP="00003780">
      <w:pPr>
        <w:rPr>
          <w:rFonts w:cs="Arial"/>
          <w:i/>
        </w:rPr>
      </w:pPr>
      <w:r w:rsidRPr="00640CFF">
        <w:rPr>
          <w:rFonts w:cs="Arial"/>
          <w:b/>
        </w:rPr>
        <w:t>Sub-Contratista</w:t>
      </w:r>
      <w:r w:rsidRPr="00640CFF">
        <w:rPr>
          <w:rFonts w:cs="Arial"/>
        </w:rPr>
        <w:t xml:space="preserve">: Cualquier Empresa Constructora, persona natural o jurídica seleccionada por el Contratista y aprobado por </w:t>
      </w:r>
      <w:r>
        <w:rPr>
          <w:rFonts w:cs="Arial"/>
        </w:rPr>
        <w:t>el supervisor designado</w:t>
      </w:r>
      <w:r w:rsidRPr="00640CFF">
        <w:rPr>
          <w:rFonts w:cs="Arial"/>
        </w:rPr>
        <w:t xml:space="preserve"> para efectuar una obra en particular o suplir bienes demandados por el trabajo</w:t>
      </w:r>
      <w:r>
        <w:rPr>
          <w:rFonts w:cs="Arial"/>
        </w:rPr>
        <w:t>.</w:t>
      </w:r>
    </w:p>
    <w:p w14:paraId="601ADF46" w14:textId="77777777" w:rsidR="00003780" w:rsidRPr="00640CFF" w:rsidRDefault="00003780" w:rsidP="00003780">
      <w:pPr>
        <w:rPr>
          <w:rFonts w:cs="Arial"/>
          <w:i/>
        </w:rPr>
      </w:pPr>
    </w:p>
    <w:p w14:paraId="01F45733" w14:textId="77777777" w:rsidR="00003780" w:rsidRPr="00640CFF" w:rsidRDefault="00003780" w:rsidP="00003780">
      <w:pPr>
        <w:rPr>
          <w:rFonts w:cs="Arial"/>
          <w:i/>
        </w:rPr>
      </w:pPr>
      <w:r w:rsidRPr="00640CFF">
        <w:rPr>
          <w:rFonts w:cs="Arial"/>
          <w:b/>
        </w:rPr>
        <w:t>Fiador</w:t>
      </w:r>
      <w:r w:rsidRPr="00640CFF">
        <w:rPr>
          <w:rFonts w:cs="Arial"/>
        </w:rPr>
        <w:t>: La compañía debida y legalmente autorizada para operar en Nicaragua, la cual adquiere obligación con y por el Contratista por el pago de todas las obligaciones para el desarrollo aceptable del trabajo requerido por este Contrato.</w:t>
      </w:r>
    </w:p>
    <w:p w14:paraId="15C2000B" w14:textId="77777777" w:rsidR="00003780" w:rsidRPr="00640CFF" w:rsidRDefault="00003780" w:rsidP="00003780">
      <w:pPr>
        <w:rPr>
          <w:rFonts w:cs="Arial"/>
          <w:b/>
          <w:i/>
        </w:rPr>
      </w:pPr>
    </w:p>
    <w:p w14:paraId="4E886889" w14:textId="77777777" w:rsidR="00003780" w:rsidRPr="00640CFF" w:rsidRDefault="00003780" w:rsidP="00003780">
      <w:pPr>
        <w:rPr>
          <w:rFonts w:cs="Arial"/>
          <w:i/>
        </w:rPr>
      </w:pPr>
      <w:r w:rsidRPr="00640CFF">
        <w:rPr>
          <w:rFonts w:cs="Arial"/>
          <w:b/>
        </w:rPr>
        <w:t>Laboratorio</w:t>
      </w:r>
      <w:r w:rsidRPr="00640CFF">
        <w:rPr>
          <w:rFonts w:cs="Arial"/>
        </w:rPr>
        <w:t>: Cualquier laboratorio aprobado por el Supervisor para efectuar pruebas en los materiales que serán incorporados a la obra.</w:t>
      </w:r>
    </w:p>
    <w:p w14:paraId="621F25A3" w14:textId="77777777" w:rsidR="00003780" w:rsidRPr="00640CFF" w:rsidRDefault="00003780" w:rsidP="00003780">
      <w:pPr>
        <w:rPr>
          <w:rFonts w:cs="Arial"/>
          <w:b/>
          <w:i/>
        </w:rPr>
      </w:pPr>
    </w:p>
    <w:p w14:paraId="5FF3BE32" w14:textId="77777777" w:rsidR="00003780" w:rsidRPr="00640CFF" w:rsidRDefault="00003780" w:rsidP="00003780">
      <w:pPr>
        <w:rPr>
          <w:rFonts w:cs="Arial"/>
          <w:i/>
        </w:rPr>
      </w:pPr>
      <w:r w:rsidRPr="00640CFF">
        <w:rPr>
          <w:rFonts w:cs="Arial"/>
          <w:b/>
        </w:rPr>
        <w:t>Planos</w:t>
      </w:r>
      <w:r w:rsidRPr="00640CFF">
        <w:rPr>
          <w:rFonts w:cs="Arial"/>
        </w:rPr>
        <w:t xml:space="preserve">: Los dibujos, planos, perfiles, cortes, esquemas suplementarios o reproducciones exactas de ellos, suplidos por </w:t>
      </w:r>
      <w:r>
        <w:rPr>
          <w:rFonts w:cs="Arial"/>
        </w:rPr>
        <w:t>El FISE</w:t>
      </w:r>
      <w:r w:rsidRPr="00640CFF">
        <w:rPr>
          <w:rFonts w:cs="Arial"/>
        </w:rPr>
        <w:t xml:space="preserve"> y/o aprobados por el Supervisor, que muestren la ubicación, carácter, dimensiones y detalles del trabajo que se ha de hacer.</w:t>
      </w:r>
    </w:p>
    <w:p w14:paraId="24D47828" w14:textId="77777777" w:rsidR="00003780" w:rsidRPr="00640CFF" w:rsidRDefault="00003780" w:rsidP="00003780">
      <w:pPr>
        <w:rPr>
          <w:rFonts w:cs="Arial"/>
          <w:b/>
          <w:i/>
        </w:rPr>
      </w:pPr>
    </w:p>
    <w:p w14:paraId="061250E7" w14:textId="77777777" w:rsidR="00003780" w:rsidRPr="00640CFF" w:rsidRDefault="00003780" w:rsidP="00003780">
      <w:pPr>
        <w:rPr>
          <w:rFonts w:cs="Arial"/>
          <w:i/>
        </w:rPr>
      </w:pPr>
      <w:r w:rsidRPr="00640CFF">
        <w:rPr>
          <w:rFonts w:cs="Arial"/>
          <w:b/>
        </w:rPr>
        <w:t>Especificaciones</w:t>
      </w:r>
      <w:r w:rsidRPr="00640CFF">
        <w:rPr>
          <w:rFonts w:cs="Arial"/>
        </w:rPr>
        <w:t>: Las direcciones, disposiciones y estipulaciones comprendidas en los Documentos de Contrato que establecen los métodos constructivos, calidad de insumos, bienes y servicios que serán suministrados por el Contratista.</w:t>
      </w:r>
    </w:p>
    <w:p w14:paraId="07B67481" w14:textId="77777777" w:rsidR="00003780" w:rsidRPr="00640CFF" w:rsidRDefault="00003780" w:rsidP="00003780">
      <w:pPr>
        <w:rPr>
          <w:rFonts w:cs="Arial"/>
          <w:b/>
          <w:i/>
        </w:rPr>
      </w:pPr>
    </w:p>
    <w:p w14:paraId="7DA03062" w14:textId="77777777" w:rsidR="00003780" w:rsidRPr="00640CFF" w:rsidRDefault="00003780" w:rsidP="00003780">
      <w:pPr>
        <w:rPr>
          <w:rFonts w:cs="Arial"/>
          <w:i/>
        </w:rPr>
      </w:pPr>
      <w:r w:rsidRPr="00640CFF">
        <w:rPr>
          <w:rFonts w:cs="Arial"/>
          <w:b/>
        </w:rPr>
        <w:t>Orden de Cambio</w:t>
      </w:r>
      <w:r w:rsidRPr="00640CFF">
        <w:rPr>
          <w:rFonts w:cs="Arial"/>
        </w:rPr>
        <w:t>: Un convenio escrito entre el Contratante y el Contratista, el cual una vez debidamente ejecutado pasa a formar parte del Contrato. Las órdenes de cambio pueden comprender un aumento o disminución de obras, cambios en la ubicación de los elementos del sistema y/o en los pagos que se harán bajo el Contrato. Aprobado, Dirigido, Requerido: En cualquier parte de las especificaciones o planos donde se usen las palabras "Aprobado", "Dirigido", u otras palabras que tengan el mismo significado, deberá ser entendido que se necesita la aprobación, dirección o requerimiento del Supervisor</w:t>
      </w:r>
    </w:p>
    <w:p w14:paraId="056D104C" w14:textId="77777777" w:rsidR="00003780" w:rsidRDefault="00003780" w:rsidP="00003780">
      <w:pPr>
        <w:rPr>
          <w:rFonts w:cs="Arial"/>
          <w:i/>
        </w:rPr>
      </w:pPr>
    </w:p>
    <w:p w14:paraId="4416EE47" w14:textId="77777777" w:rsidR="00003780" w:rsidRPr="00640CFF" w:rsidRDefault="00003780" w:rsidP="003B68DB">
      <w:pPr>
        <w:pStyle w:val="Prrafodelista"/>
        <w:numPr>
          <w:ilvl w:val="1"/>
          <w:numId w:val="127"/>
        </w:numPr>
        <w:contextualSpacing/>
        <w:rPr>
          <w:rFonts w:cs="Arial"/>
          <w:b/>
          <w:i/>
        </w:rPr>
      </w:pPr>
      <w:r w:rsidRPr="00640CFF">
        <w:rPr>
          <w:rFonts w:cs="Arial"/>
          <w:b/>
        </w:rPr>
        <w:t>Generalidades</w:t>
      </w:r>
    </w:p>
    <w:p w14:paraId="3EBFFC40" w14:textId="77777777" w:rsidR="00003780" w:rsidRPr="00640CFF" w:rsidRDefault="00003780" w:rsidP="00003780">
      <w:pPr>
        <w:tabs>
          <w:tab w:val="left" w:pos="142"/>
        </w:tabs>
        <w:rPr>
          <w:rFonts w:cs="Arial"/>
          <w:i/>
          <w:sz w:val="22"/>
          <w:szCs w:val="22"/>
          <w:highlight w:val="yellow"/>
        </w:rPr>
      </w:pPr>
    </w:p>
    <w:p w14:paraId="663CF0A6" w14:textId="77777777" w:rsidR="00003780" w:rsidRPr="00640CFF" w:rsidRDefault="00003780" w:rsidP="00003780">
      <w:pPr>
        <w:tabs>
          <w:tab w:val="left" w:pos="142"/>
        </w:tabs>
        <w:rPr>
          <w:rFonts w:cs="Arial"/>
          <w:i/>
          <w:sz w:val="22"/>
          <w:szCs w:val="22"/>
        </w:rPr>
      </w:pPr>
      <w:r w:rsidRPr="00640CFF">
        <w:rPr>
          <w:rFonts w:cs="Arial"/>
          <w:sz w:val="22"/>
          <w:szCs w:val="22"/>
        </w:rPr>
        <w:t>Estas especificaciones técnicas son generales y se refieren a todos los aspectos de la construcción, en el caso que algún tipo de actividad no esté incluida en estas especificaciones, es deber del contratista hacer la obra de manera técnicamente correcta y sin ninguna mala intención, es decir no debe valerse del hecho que no esté incluida en las especificaciones.</w:t>
      </w:r>
    </w:p>
    <w:p w14:paraId="4AE9027F" w14:textId="77777777" w:rsidR="00003780" w:rsidRPr="00640CFF" w:rsidRDefault="00003780" w:rsidP="00003780">
      <w:pPr>
        <w:tabs>
          <w:tab w:val="left" w:pos="142"/>
        </w:tabs>
        <w:rPr>
          <w:rFonts w:cs="Arial"/>
          <w:i/>
          <w:sz w:val="22"/>
          <w:szCs w:val="22"/>
        </w:rPr>
      </w:pPr>
      <w:r w:rsidRPr="00640CFF">
        <w:rPr>
          <w:rFonts w:cs="Arial"/>
          <w:sz w:val="22"/>
          <w:szCs w:val="22"/>
        </w:rPr>
        <w:lastRenderedPageBreak/>
        <w:t xml:space="preserve">Se recomienda a todos los contratistas, que visiten los proyectos antes de participar en las licitaciones. El contratista debe incluir todos los costos que sean necesarios, sin omitir ninguna actividad, para evitar que sus costos presenten errores y sean los más correctos. </w:t>
      </w:r>
    </w:p>
    <w:p w14:paraId="68119515" w14:textId="77777777" w:rsidR="00003780" w:rsidRPr="00640CFF" w:rsidRDefault="00003780" w:rsidP="00003780">
      <w:pPr>
        <w:tabs>
          <w:tab w:val="left" w:pos="142"/>
        </w:tabs>
        <w:rPr>
          <w:rFonts w:cs="Arial"/>
          <w:i/>
          <w:sz w:val="22"/>
          <w:szCs w:val="22"/>
        </w:rPr>
      </w:pPr>
    </w:p>
    <w:p w14:paraId="05912365" w14:textId="77777777" w:rsidR="00003780" w:rsidRPr="00640CFF" w:rsidRDefault="00003780" w:rsidP="00003780">
      <w:pPr>
        <w:tabs>
          <w:tab w:val="left" w:pos="142"/>
        </w:tabs>
        <w:rPr>
          <w:rFonts w:cs="Arial"/>
          <w:i/>
          <w:sz w:val="22"/>
          <w:szCs w:val="22"/>
        </w:rPr>
      </w:pPr>
      <w:r w:rsidRPr="00640CFF">
        <w:rPr>
          <w:rFonts w:cs="Arial"/>
          <w:sz w:val="22"/>
          <w:szCs w:val="22"/>
        </w:rPr>
        <w:t>Asimismo, se considerarán como especificaciones técnicas generales, las especificaciones ambientales generales.</w:t>
      </w:r>
    </w:p>
    <w:p w14:paraId="2C078839" w14:textId="77777777" w:rsidR="00003780" w:rsidRPr="00640CFF" w:rsidRDefault="00003780" w:rsidP="00003780">
      <w:pPr>
        <w:tabs>
          <w:tab w:val="left" w:pos="142"/>
        </w:tabs>
        <w:rPr>
          <w:rFonts w:cs="Arial"/>
          <w:i/>
          <w:sz w:val="22"/>
          <w:szCs w:val="22"/>
        </w:rPr>
      </w:pPr>
    </w:p>
    <w:p w14:paraId="3801C4D4" w14:textId="77777777" w:rsidR="00003780" w:rsidRPr="00640CFF" w:rsidRDefault="00003780" w:rsidP="003B68DB">
      <w:pPr>
        <w:pStyle w:val="Prrafodelista"/>
        <w:keepNext/>
        <w:numPr>
          <w:ilvl w:val="1"/>
          <w:numId w:val="127"/>
        </w:numPr>
        <w:tabs>
          <w:tab w:val="left" w:pos="142"/>
        </w:tabs>
        <w:ind w:right="-516"/>
        <w:contextualSpacing/>
        <w:outlineLvl w:val="1"/>
        <w:rPr>
          <w:rFonts w:cs="Arial"/>
          <w:b/>
          <w:bCs/>
          <w:i/>
          <w:iCs/>
          <w:sz w:val="22"/>
          <w:szCs w:val="22"/>
        </w:rPr>
      </w:pPr>
      <w:r w:rsidRPr="00640CFF">
        <w:rPr>
          <w:rFonts w:cs="Arial"/>
          <w:b/>
          <w:bCs/>
          <w:iCs/>
          <w:sz w:val="22"/>
          <w:szCs w:val="22"/>
        </w:rPr>
        <w:t>NOTAS GENERALES A LAS ESPECIFICACIONES TECNICAS</w:t>
      </w:r>
    </w:p>
    <w:p w14:paraId="36E8D5DA" w14:textId="77777777" w:rsidR="00003780" w:rsidRPr="00640CFF" w:rsidRDefault="00003780" w:rsidP="00003780">
      <w:pPr>
        <w:pStyle w:val="Prrafodelista"/>
        <w:keepNext/>
        <w:tabs>
          <w:tab w:val="left" w:pos="142"/>
        </w:tabs>
        <w:ind w:right="-516"/>
        <w:outlineLvl w:val="1"/>
        <w:rPr>
          <w:rFonts w:cs="Arial"/>
          <w:b/>
          <w:bCs/>
          <w:i/>
          <w:iCs/>
          <w:sz w:val="22"/>
          <w:szCs w:val="22"/>
        </w:rPr>
      </w:pPr>
    </w:p>
    <w:p w14:paraId="1D60E80F" w14:textId="77777777" w:rsidR="00003780" w:rsidRPr="00640CFF" w:rsidRDefault="00003780" w:rsidP="00003780">
      <w:pPr>
        <w:tabs>
          <w:tab w:val="left" w:pos="142"/>
        </w:tabs>
        <w:rPr>
          <w:rFonts w:cs="Arial"/>
          <w:i/>
          <w:sz w:val="22"/>
          <w:szCs w:val="22"/>
        </w:rPr>
      </w:pPr>
      <w:r w:rsidRPr="00640CFF">
        <w:rPr>
          <w:rFonts w:cs="Arial"/>
          <w:sz w:val="22"/>
          <w:szCs w:val="22"/>
        </w:rPr>
        <w:t>1.- Cada contratista antes de presentar su oferta, tiene la obligación de visitar el sitio y lugar del proyecto, para considerar todos los factores que influyan tanto en los costos, como en la calidad de las obras. Una vez abiertas las ofertas deben estar solventadas todo tipo de dificultades.</w:t>
      </w:r>
    </w:p>
    <w:p w14:paraId="29B35574" w14:textId="77777777" w:rsidR="00003780" w:rsidRPr="00640CFF" w:rsidRDefault="00003780" w:rsidP="00003780">
      <w:pPr>
        <w:tabs>
          <w:tab w:val="left" w:pos="142"/>
        </w:tabs>
        <w:rPr>
          <w:rFonts w:cs="Arial"/>
          <w:i/>
          <w:sz w:val="22"/>
          <w:szCs w:val="22"/>
        </w:rPr>
      </w:pPr>
    </w:p>
    <w:p w14:paraId="5FE1F9FD" w14:textId="77777777" w:rsidR="00003780" w:rsidRPr="00640CFF" w:rsidRDefault="00003780" w:rsidP="00003780">
      <w:pPr>
        <w:tabs>
          <w:tab w:val="left" w:pos="142"/>
        </w:tabs>
        <w:rPr>
          <w:rFonts w:cs="Arial"/>
          <w:i/>
          <w:sz w:val="22"/>
          <w:szCs w:val="22"/>
        </w:rPr>
      </w:pPr>
      <w:r w:rsidRPr="00640CFF">
        <w:rPr>
          <w:rFonts w:cs="Arial"/>
          <w:sz w:val="22"/>
          <w:szCs w:val="22"/>
        </w:rPr>
        <w:t>2.- Toda contratista considerara las especificaciones que competan a cada proyecto específico, ya que estas abarcan a la generalidad de los proyectos.</w:t>
      </w:r>
    </w:p>
    <w:p w14:paraId="7B40373F" w14:textId="77777777" w:rsidR="00003780" w:rsidRPr="00640CFF" w:rsidRDefault="00003780" w:rsidP="00003780">
      <w:pPr>
        <w:tabs>
          <w:tab w:val="left" w:pos="142"/>
        </w:tabs>
        <w:rPr>
          <w:rFonts w:cs="Arial"/>
          <w:i/>
          <w:sz w:val="22"/>
          <w:szCs w:val="22"/>
        </w:rPr>
      </w:pPr>
    </w:p>
    <w:p w14:paraId="69947202" w14:textId="77777777" w:rsidR="00003780" w:rsidRPr="00640CFF" w:rsidRDefault="00003780" w:rsidP="00003780">
      <w:pPr>
        <w:tabs>
          <w:tab w:val="left" w:pos="142"/>
        </w:tabs>
        <w:rPr>
          <w:rFonts w:cs="Arial"/>
          <w:i/>
          <w:sz w:val="22"/>
          <w:szCs w:val="22"/>
        </w:rPr>
      </w:pPr>
      <w:r w:rsidRPr="00640CFF">
        <w:rPr>
          <w:rFonts w:cs="Arial"/>
          <w:sz w:val="22"/>
          <w:szCs w:val="22"/>
        </w:rPr>
        <w:t>3.- En caso de que existan contradicciones en los planos y    especificaciones técnicas, el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7EE695F5" w14:textId="77777777" w:rsidR="00003780" w:rsidRPr="00640CFF" w:rsidRDefault="00003780" w:rsidP="00003780">
      <w:pPr>
        <w:tabs>
          <w:tab w:val="left" w:pos="142"/>
        </w:tabs>
        <w:rPr>
          <w:rFonts w:cs="Arial"/>
          <w:i/>
          <w:sz w:val="22"/>
          <w:szCs w:val="22"/>
        </w:rPr>
      </w:pPr>
    </w:p>
    <w:p w14:paraId="6F13D309" w14:textId="77777777" w:rsidR="00003780" w:rsidRPr="00640CFF" w:rsidRDefault="00003780" w:rsidP="00003780">
      <w:pPr>
        <w:tabs>
          <w:tab w:val="left" w:pos="142"/>
        </w:tabs>
        <w:rPr>
          <w:rFonts w:cs="Arial"/>
          <w:i/>
          <w:sz w:val="22"/>
          <w:szCs w:val="22"/>
        </w:rPr>
      </w:pPr>
      <w:r w:rsidRPr="00640CFF">
        <w:rPr>
          <w:rFonts w:cs="Arial"/>
          <w:sz w:val="22"/>
          <w:szCs w:val="22"/>
        </w:rPr>
        <w:t>4.- En vista que se requiere la generación de empleados; no tratamos    de maltratar las utilidades de los contratistas, por lo que esperamos que estos no maltraten la calidad de las obras, ni los ingresos de los obreros, por lo que tanto: Especificaciones Técnicas, Planos y Bitácora tienen el mismo peso, el punto 3 aclara toda contradicción.</w:t>
      </w:r>
    </w:p>
    <w:p w14:paraId="6693E3FF" w14:textId="77777777" w:rsidR="00003780" w:rsidRPr="00640CFF" w:rsidRDefault="00003780" w:rsidP="00003780">
      <w:pPr>
        <w:tabs>
          <w:tab w:val="left" w:pos="142"/>
        </w:tabs>
        <w:rPr>
          <w:rFonts w:cs="Arial"/>
          <w:i/>
          <w:sz w:val="22"/>
          <w:szCs w:val="22"/>
        </w:rPr>
      </w:pPr>
    </w:p>
    <w:p w14:paraId="529EA4D9" w14:textId="77777777" w:rsidR="00003780" w:rsidRPr="00640CFF" w:rsidRDefault="00003780" w:rsidP="00003780">
      <w:pPr>
        <w:tabs>
          <w:tab w:val="left" w:pos="142"/>
        </w:tabs>
        <w:rPr>
          <w:rFonts w:cs="Arial"/>
          <w:i/>
          <w:sz w:val="22"/>
          <w:szCs w:val="22"/>
        </w:rPr>
      </w:pPr>
      <w:r w:rsidRPr="00640CFF">
        <w:rPr>
          <w:rFonts w:cs="Arial"/>
          <w:sz w:val="22"/>
          <w:szCs w:val="22"/>
        </w:rPr>
        <w:t>5.- Todos los materiales sobrantes (producidos como escombros) capaces de ser reutilizados, en otro tipo de obra, no son propiedad del contratista, los que tienen que disponer de estos, son las entidades dueñas de la obra, o sea las entidades que administren la obra una vez concluida.   Cabe aclarar que este acápite se refiere solo a los materiales que fueron quitados de las estructuras existentes, no a los materiales nuevos que los contratistas adquieren en el comercio para construir y reparar las infraestructuras</w:t>
      </w:r>
    </w:p>
    <w:p w14:paraId="2B26F24C" w14:textId="77777777" w:rsidR="00003780" w:rsidRPr="00640CFF" w:rsidRDefault="00003780" w:rsidP="00003780">
      <w:pPr>
        <w:tabs>
          <w:tab w:val="left" w:pos="142"/>
        </w:tabs>
        <w:rPr>
          <w:rFonts w:cs="Arial"/>
          <w:i/>
          <w:sz w:val="22"/>
          <w:szCs w:val="22"/>
        </w:rPr>
      </w:pPr>
    </w:p>
    <w:p w14:paraId="102A22CE" w14:textId="77777777" w:rsidR="00003780" w:rsidRPr="00640CFF" w:rsidRDefault="00003780" w:rsidP="00003780">
      <w:pPr>
        <w:tabs>
          <w:tab w:val="left" w:pos="142"/>
        </w:tabs>
        <w:rPr>
          <w:rFonts w:cs="Arial"/>
          <w:i/>
          <w:sz w:val="22"/>
          <w:szCs w:val="22"/>
        </w:rPr>
      </w:pPr>
      <w:r w:rsidRPr="00640CFF">
        <w:rPr>
          <w:rFonts w:cs="Arial"/>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3B860078" w14:textId="77777777" w:rsidR="00003780" w:rsidRPr="00640CFF" w:rsidRDefault="00003780" w:rsidP="00003780">
      <w:pPr>
        <w:pStyle w:val="Prrafodelista"/>
        <w:keepNext/>
        <w:tabs>
          <w:tab w:val="left" w:pos="142"/>
        </w:tabs>
        <w:ind w:right="-516"/>
        <w:outlineLvl w:val="1"/>
        <w:rPr>
          <w:rFonts w:cs="Arial"/>
          <w:b/>
          <w:bCs/>
          <w:i/>
          <w:iCs/>
          <w:sz w:val="22"/>
          <w:szCs w:val="22"/>
        </w:rPr>
      </w:pPr>
    </w:p>
    <w:p w14:paraId="1ECCC7F3" w14:textId="77777777" w:rsidR="00003780" w:rsidRPr="00640CFF" w:rsidRDefault="00003780" w:rsidP="003B68DB">
      <w:pPr>
        <w:pStyle w:val="Prrafodelista"/>
        <w:keepNext/>
        <w:numPr>
          <w:ilvl w:val="1"/>
          <w:numId w:val="127"/>
        </w:numPr>
        <w:tabs>
          <w:tab w:val="left" w:pos="142"/>
        </w:tabs>
        <w:ind w:right="-516"/>
        <w:contextualSpacing/>
        <w:outlineLvl w:val="1"/>
        <w:rPr>
          <w:rFonts w:cs="Arial"/>
          <w:b/>
          <w:bCs/>
          <w:i/>
          <w:iCs/>
          <w:sz w:val="22"/>
          <w:szCs w:val="22"/>
        </w:rPr>
      </w:pPr>
      <w:r w:rsidRPr="00640CFF">
        <w:rPr>
          <w:rFonts w:cs="Arial"/>
          <w:b/>
          <w:bCs/>
          <w:iCs/>
          <w:sz w:val="22"/>
          <w:szCs w:val="22"/>
        </w:rPr>
        <w:t xml:space="preserve"> INTERPRETACI</w:t>
      </w:r>
      <w:r>
        <w:rPr>
          <w:rFonts w:cs="Arial"/>
          <w:b/>
          <w:bCs/>
          <w:iCs/>
          <w:sz w:val="22"/>
          <w:szCs w:val="22"/>
        </w:rPr>
        <w:t>Ó</w:t>
      </w:r>
      <w:r w:rsidRPr="00640CFF">
        <w:rPr>
          <w:rFonts w:cs="Arial"/>
          <w:b/>
          <w:bCs/>
          <w:iCs/>
          <w:sz w:val="22"/>
          <w:szCs w:val="22"/>
        </w:rPr>
        <w:t>N DE PLANOS</w:t>
      </w:r>
    </w:p>
    <w:p w14:paraId="311F6C47" w14:textId="77777777" w:rsidR="00003780" w:rsidRPr="00640CFF" w:rsidRDefault="00003780" w:rsidP="00003780">
      <w:pPr>
        <w:pStyle w:val="Prrafodelista"/>
        <w:keepNext/>
        <w:tabs>
          <w:tab w:val="left" w:pos="142"/>
        </w:tabs>
        <w:ind w:right="-516"/>
        <w:outlineLvl w:val="1"/>
        <w:rPr>
          <w:rFonts w:cs="Arial"/>
          <w:b/>
          <w:bCs/>
          <w:i/>
          <w:iCs/>
          <w:sz w:val="22"/>
          <w:szCs w:val="22"/>
        </w:rPr>
      </w:pPr>
    </w:p>
    <w:p w14:paraId="1D899FB6" w14:textId="77777777" w:rsidR="00003780" w:rsidRPr="00640CFF" w:rsidRDefault="00003780" w:rsidP="00003780">
      <w:pPr>
        <w:tabs>
          <w:tab w:val="left" w:pos="142"/>
        </w:tabs>
        <w:rPr>
          <w:rFonts w:cs="Arial"/>
          <w:i/>
          <w:sz w:val="22"/>
          <w:szCs w:val="22"/>
        </w:rPr>
      </w:pPr>
      <w:r w:rsidRPr="00640CFF">
        <w:rPr>
          <w:rFonts w:cs="Arial"/>
          <w:sz w:val="22"/>
          <w:szCs w:val="22"/>
        </w:rPr>
        <w:t>Los trabajos se efectuarán de conformidad con los planos y especificaciones. Si se encuentran discrepancias entre los planos y las especificaciones, deberán someterse a la revisión de la supervisión, debiendo prevalecer el criterio de la sana practica de ingeniería y garantir en todo momento la calidad y el correcto funcionamiento de las obras, incluyendo las actividades implícitas para que estas puedan considerarse completamente terminadas.</w:t>
      </w:r>
    </w:p>
    <w:p w14:paraId="43C0BA45" w14:textId="77777777" w:rsidR="00003780" w:rsidRPr="00640CFF" w:rsidRDefault="00003780" w:rsidP="00003780">
      <w:pPr>
        <w:tabs>
          <w:tab w:val="left" w:pos="142"/>
        </w:tabs>
        <w:rPr>
          <w:rFonts w:cs="Arial"/>
          <w:i/>
          <w:sz w:val="22"/>
          <w:szCs w:val="22"/>
        </w:rPr>
      </w:pPr>
      <w:r w:rsidRPr="00640CFF">
        <w:rPr>
          <w:rFonts w:cs="Arial"/>
          <w:sz w:val="22"/>
          <w:szCs w:val="22"/>
        </w:rPr>
        <w:tab/>
      </w:r>
    </w:p>
    <w:p w14:paraId="53B6C8E6" w14:textId="77777777" w:rsidR="00003780" w:rsidRPr="00640CFF" w:rsidRDefault="00003780" w:rsidP="00003780">
      <w:pPr>
        <w:tabs>
          <w:tab w:val="left" w:pos="142"/>
        </w:tabs>
        <w:rPr>
          <w:rFonts w:cs="Arial"/>
          <w:i/>
          <w:sz w:val="22"/>
          <w:szCs w:val="22"/>
        </w:rPr>
      </w:pPr>
      <w:r w:rsidRPr="00640CFF">
        <w:rPr>
          <w:rFonts w:cs="Arial"/>
          <w:sz w:val="22"/>
          <w:szCs w:val="22"/>
        </w:rPr>
        <w:t xml:space="preserve">Ante la presencia de errores u omisiones en los planos y especificaciones, el Contratista deberá informar al Supervisor, con la mayor brevedad, sobre esta situación. Este hará las correcciones e interpretaciones necesarias para el cumplimiento de El propósito de los documentos y su resolución será final. Si el Contratista hubiese procedido a efectuar trabajos que requieran aclaraciones, consultas y/o cambios, sin </w:t>
      </w:r>
      <w:r w:rsidRPr="00640CFF">
        <w:rPr>
          <w:rFonts w:cs="Arial"/>
          <w:sz w:val="22"/>
          <w:szCs w:val="22"/>
        </w:rPr>
        <w:lastRenderedPageBreak/>
        <w:t>haber recibido la autorización de El Supervisor para proceder, correrán por su cuenta, riesgo y responsabilidad</w:t>
      </w:r>
    </w:p>
    <w:p w14:paraId="2646059C" w14:textId="77777777" w:rsidR="00003780" w:rsidRPr="00640CFF" w:rsidRDefault="00003780" w:rsidP="00003780">
      <w:pPr>
        <w:tabs>
          <w:tab w:val="left" w:pos="142"/>
        </w:tabs>
        <w:rPr>
          <w:rFonts w:cs="Arial"/>
          <w:i/>
          <w:sz w:val="22"/>
          <w:szCs w:val="22"/>
        </w:rPr>
      </w:pPr>
    </w:p>
    <w:p w14:paraId="6751F448"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LIMITACIONES DE TRABAJO</w:t>
      </w:r>
    </w:p>
    <w:p w14:paraId="4E155A5A" w14:textId="77777777" w:rsidR="00003780" w:rsidRPr="00640CFF" w:rsidRDefault="00003780" w:rsidP="00003780">
      <w:pPr>
        <w:tabs>
          <w:tab w:val="left" w:pos="142"/>
        </w:tabs>
        <w:rPr>
          <w:rFonts w:cs="Arial"/>
          <w:i/>
          <w:sz w:val="22"/>
          <w:szCs w:val="22"/>
        </w:rPr>
      </w:pPr>
    </w:p>
    <w:p w14:paraId="243813A0" w14:textId="77777777" w:rsidR="00003780" w:rsidRPr="00640CFF" w:rsidRDefault="00003780" w:rsidP="00003780">
      <w:pPr>
        <w:tabs>
          <w:tab w:val="left" w:pos="142"/>
        </w:tabs>
        <w:rPr>
          <w:rFonts w:cs="Arial"/>
          <w:i/>
          <w:sz w:val="22"/>
          <w:szCs w:val="22"/>
        </w:rPr>
      </w:pPr>
      <w:r w:rsidRPr="00640CFF">
        <w:rPr>
          <w:rFonts w:cs="Arial"/>
          <w:sz w:val="22"/>
          <w:szCs w:val="22"/>
        </w:rPr>
        <w:t xml:space="preserve">El </w:t>
      </w:r>
      <w:r>
        <w:rPr>
          <w:rFonts w:cs="Arial"/>
          <w:sz w:val="22"/>
          <w:szCs w:val="22"/>
        </w:rPr>
        <w:t>S</w:t>
      </w:r>
      <w:r w:rsidRPr="00640CFF">
        <w:rPr>
          <w:rFonts w:cs="Arial"/>
          <w:sz w:val="22"/>
          <w:szCs w:val="22"/>
        </w:rPr>
        <w:t xml:space="preserve">upervisor hará entrega oficial al contratista del sitio donde se efectuará la obra, motivo del contrato, y lo dejará asentado en el libro de Bitácora y a partir de esa fecha empieza a contarse el tiempo calendario de ejecución de la obra.  </w:t>
      </w:r>
    </w:p>
    <w:p w14:paraId="1655AE4E" w14:textId="77777777" w:rsidR="00003780" w:rsidRPr="00640CFF" w:rsidRDefault="00003780" w:rsidP="00003780">
      <w:pPr>
        <w:tabs>
          <w:tab w:val="left" w:pos="142"/>
        </w:tabs>
        <w:rPr>
          <w:rFonts w:cs="Arial"/>
          <w:i/>
          <w:sz w:val="22"/>
          <w:szCs w:val="22"/>
        </w:rPr>
      </w:pPr>
    </w:p>
    <w:p w14:paraId="700C9D41" w14:textId="77777777" w:rsidR="00003780" w:rsidRPr="00640CFF" w:rsidRDefault="00003780" w:rsidP="00003780">
      <w:pPr>
        <w:tabs>
          <w:tab w:val="left" w:pos="142"/>
        </w:tabs>
        <w:rPr>
          <w:rFonts w:cs="Arial"/>
          <w:i/>
          <w:sz w:val="22"/>
          <w:szCs w:val="22"/>
        </w:rPr>
      </w:pPr>
      <w:r w:rsidRPr="00640CFF">
        <w:rPr>
          <w:rFonts w:cs="Arial"/>
          <w:sz w:val="22"/>
          <w:szCs w:val="22"/>
        </w:rPr>
        <w:t>Según sea el proyecto proveerá el derecho de vía o servidumbre necesario para el trabajo especificado, el contratista no entrara ni ocupara con personal, herramientas o materiales ninguna propiedad privada fuera del derecho de vía sin el consentimiento del propietario. Se entiende que el derecho de vía aquí referido significa solamente permiso de usar o pasar a través de cierto local o espacios de calles, carreteras o a través de propiedades públicas o privadas, en las cuales el contratista va a llevar a efecto el trabajo.</w:t>
      </w:r>
    </w:p>
    <w:p w14:paraId="2EF9CC49" w14:textId="77777777" w:rsidR="00003780" w:rsidRPr="00640CFF" w:rsidRDefault="00003780" w:rsidP="00003780">
      <w:pPr>
        <w:tabs>
          <w:tab w:val="left" w:pos="142"/>
        </w:tabs>
        <w:rPr>
          <w:rFonts w:cs="Arial"/>
          <w:i/>
          <w:sz w:val="22"/>
          <w:szCs w:val="22"/>
        </w:rPr>
      </w:pPr>
    </w:p>
    <w:p w14:paraId="401EE828"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DOCUMENTOS DE CONTRATO</w:t>
      </w:r>
    </w:p>
    <w:p w14:paraId="7CBD25FD" w14:textId="77777777" w:rsidR="00003780" w:rsidRPr="00640CFF" w:rsidRDefault="00003780" w:rsidP="00003780">
      <w:pPr>
        <w:tabs>
          <w:tab w:val="left" w:pos="142"/>
        </w:tabs>
        <w:rPr>
          <w:rFonts w:cs="Arial"/>
          <w:i/>
          <w:sz w:val="22"/>
          <w:szCs w:val="22"/>
        </w:rPr>
      </w:pPr>
    </w:p>
    <w:p w14:paraId="7F67447B" w14:textId="77777777" w:rsidR="00003780" w:rsidRPr="00640CFF" w:rsidRDefault="00003780" w:rsidP="00003780">
      <w:pPr>
        <w:tabs>
          <w:tab w:val="left" w:pos="142"/>
        </w:tabs>
        <w:rPr>
          <w:rFonts w:cs="Arial"/>
          <w:i/>
          <w:sz w:val="22"/>
          <w:szCs w:val="22"/>
        </w:rPr>
      </w:pPr>
      <w:r w:rsidRPr="00640CFF">
        <w:rPr>
          <w:rFonts w:cs="Arial"/>
          <w:sz w:val="22"/>
          <w:szCs w:val="22"/>
        </w:rPr>
        <w:t xml:space="preserve">Forman parte del contrato los siguientes documentos: Planos (que incluyen detalles, estructurales, arquitectónicos, eléctricos e hidra sanitarios, así como toda adenda que se refiera al sistema constructivo). Especificaciones Técnicas: Estas complementan lo indicado en los planos.        </w:t>
      </w:r>
    </w:p>
    <w:p w14:paraId="37BB2057" w14:textId="77777777" w:rsidR="00003780" w:rsidRPr="00640CFF" w:rsidRDefault="00003780" w:rsidP="00003780">
      <w:pPr>
        <w:tabs>
          <w:tab w:val="left" w:pos="142"/>
        </w:tabs>
        <w:rPr>
          <w:rFonts w:cs="Arial"/>
          <w:i/>
          <w:sz w:val="22"/>
          <w:szCs w:val="22"/>
        </w:rPr>
      </w:pPr>
    </w:p>
    <w:p w14:paraId="20D4749C" w14:textId="77777777" w:rsidR="00003780" w:rsidRPr="00640CFF" w:rsidRDefault="00003780" w:rsidP="00003780">
      <w:pPr>
        <w:tabs>
          <w:tab w:val="left" w:pos="142"/>
        </w:tabs>
        <w:rPr>
          <w:rFonts w:cs="Arial"/>
          <w:i/>
          <w:sz w:val="22"/>
          <w:szCs w:val="22"/>
        </w:rPr>
      </w:pPr>
      <w:r w:rsidRPr="00640CFF">
        <w:rPr>
          <w:rFonts w:cs="Arial"/>
          <w:sz w:val="22"/>
          <w:szCs w:val="22"/>
        </w:rPr>
        <w:t>El libro de Bitácora: Se indicará el registro pormenorizado de las actividades que se ejecutan en el proyecto, indicándose lo relativo a toda actividad que no esté clara en los planos y especificaciones. Así como el registro de visitas de la supervisión, cambios o aclaraciones solicitados por el contratista.    Las consideraciones generales. Todas las aclaraciones hechas a las preguntas que hacen los contratistas, para presentar su oferta en las licitaciones.</w:t>
      </w:r>
    </w:p>
    <w:p w14:paraId="118A57B2" w14:textId="77777777" w:rsidR="00003780" w:rsidRPr="00640CFF" w:rsidRDefault="00003780" w:rsidP="00003780">
      <w:pPr>
        <w:tabs>
          <w:tab w:val="left" w:pos="142"/>
        </w:tabs>
        <w:rPr>
          <w:rFonts w:cs="Arial"/>
          <w:i/>
          <w:sz w:val="22"/>
          <w:szCs w:val="22"/>
        </w:rPr>
      </w:pPr>
    </w:p>
    <w:p w14:paraId="03530509"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PROTECCI</w:t>
      </w:r>
      <w:r>
        <w:rPr>
          <w:rFonts w:cs="Arial"/>
          <w:b/>
          <w:sz w:val="22"/>
          <w:szCs w:val="22"/>
        </w:rPr>
        <w:t>Ó</w:t>
      </w:r>
      <w:r w:rsidRPr="00640CFF">
        <w:rPr>
          <w:rFonts w:cs="Arial"/>
          <w:b/>
          <w:sz w:val="22"/>
          <w:szCs w:val="22"/>
        </w:rPr>
        <w:t>N Y REEMPLAZO DE</w:t>
      </w:r>
      <w:r>
        <w:rPr>
          <w:rFonts w:cs="Arial"/>
          <w:b/>
          <w:sz w:val="22"/>
          <w:szCs w:val="22"/>
        </w:rPr>
        <w:t xml:space="preserve"> ESTRUCTURAS</w:t>
      </w:r>
    </w:p>
    <w:p w14:paraId="22F4D4AE" w14:textId="77777777" w:rsidR="00003780" w:rsidRPr="00640CFF" w:rsidRDefault="00003780" w:rsidP="00003780">
      <w:pPr>
        <w:tabs>
          <w:tab w:val="left" w:pos="142"/>
        </w:tabs>
        <w:rPr>
          <w:rFonts w:cs="Arial"/>
          <w:i/>
          <w:sz w:val="22"/>
          <w:szCs w:val="22"/>
        </w:rPr>
      </w:pPr>
    </w:p>
    <w:p w14:paraId="258FE9B6" w14:textId="77777777" w:rsidR="00003780" w:rsidRPr="00640CFF" w:rsidRDefault="00003780" w:rsidP="00003780">
      <w:pPr>
        <w:tabs>
          <w:tab w:val="left" w:pos="142"/>
        </w:tabs>
        <w:rPr>
          <w:rFonts w:cs="Arial"/>
          <w:i/>
          <w:sz w:val="22"/>
          <w:szCs w:val="22"/>
        </w:rPr>
      </w:pPr>
      <w:r w:rsidRPr="00640CFF">
        <w:rPr>
          <w:rFonts w:cs="Arial"/>
          <w:sz w:val="22"/>
          <w:szCs w:val="22"/>
        </w:rPr>
        <w:t xml:space="preserve">Los planos muestran ciertas estructuras subterráneas, tuberías y cables que se supone existen en el área de trabajo, la localización de las cuales puede variar algo de lo indicado. Particularmente se informa al Contratista de que pueden existir tubos o estructuras subterráneas y tuberías cruzadas que no figuran en los planos y que la responsabilidad del contratista es proceder con cautela en la ejecución del trabajo a fin de prevenir daños a dichas estructuras o tuberías. </w:t>
      </w:r>
    </w:p>
    <w:p w14:paraId="1D05B513" w14:textId="77777777" w:rsidR="00003780" w:rsidRPr="00640CFF" w:rsidRDefault="00003780" w:rsidP="00003780">
      <w:pPr>
        <w:tabs>
          <w:tab w:val="left" w:pos="142"/>
        </w:tabs>
        <w:rPr>
          <w:rFonts w:cs="Arial"/>
          <w:i/>
          <w:sz w:val="22"/>
          <w:szCs w:val="22"/>
        </w:rPr>
      </w:pPr>
    </w:p>
    <w:p w14:paraId="7F005817" w14:textId="77777777" w:rsidR="00003780" w:rsidRPr="00640CFF" w:rsidRDefault="00003780" w:rsidP="00003780">
      <w:pPr>
        <w:tabs>
          <w:tab w:val="left" w:pos="142"/>
        </w:tabs>
        <w:rPr>
          <w:rFonts w:cs="Arial"/>
          <w:i/>
          <w:sz w:val="22"/>
          <w:szCs w:val="22"/>
        </w:rPr>
      </w:pPr>
      <w:r w:rsidRPr="00640CFF">
        <w:rPr>
          <w:rFonts w:cs="Arial"/>
          <w:sz w:val="22"/>
          <w:szCs w:val="22"/>
        </w:rPr>
        <w:t>El contratista será responsable por todos los daños que ocasione a todas las tuberías y cables existentes, pavimentos, aceras y estructuras sobre o bajo tierra, sea que estén o no indicadas en los planos del contrato; además deberá por su cuenta asumir los gastos de protección de las mismas o repararlas y/o reemplazarlas si estas son dañadas.</w:t>
      </w:r>
    </w:p>
    <w:p w14:paraId="4B40616B" w14:textId="77777777" w:rsidR="00003780" w:rsidRPr="00640CFF" w:rsidRDefault="00003780" w:rsidP="00003780">
      <w:pPr>
        <w:tabs>
          <w:tab w:val="left" w:pos="142"/>
        </w:tabs>
        <w:rPr>
          <w:rFonts w:cs="Arial"/>
          <w:i/>
          <w:sz w:val="22"/>
          <w:szCs w:val="22"/>
        </w:rPr>
      </w:pPr>
    </w:p>
    <w:p w14:paraId="7FE61178"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PROTECCI</w:t>
      </w:r>
      <w:r>
        <w:rPr>
          <w:rFonts w:cs="Arial"/>
          <w:b/>
          <w:sz w:val="22"/>
          <w:szCs w:val="22"/>
        </w:rPr>
        <w:t>Ó</w:t>
      </w:r>
      <w:r w:rsidRPr="00640CFF">
        <w:rPr>
          <w:rFonts w:cs="Arial"/>
          <w:b/>
          <w:sz w:val="22"/>
          <w:szCs w:val="22"/>
        </w:rPr>
        <w:t>N DE LA PROPIEDAD PÚBLICA Y PRIVADA</w:t>
      </w:r>
    </w:p>
    <w:p w14:paraId="3839335D" w14:textId="77777777" w:rsidR="00003780" w:rsidRPr="00640CFF" w:rsidRDefault="00003780" w:rsidP="00003780">
      <w:pPr>
        <w:tabs>
          <w:tab w:val="left" w:pos="142"/>
        </w:tabs>
        <w:rPr>
          <w:rFonts w:cs="Arial"/>
          <w:i/>
          <w:sz w:val="22"/>
          <w:szCs w:val="22"/>
        </w:rPr>
      </w:pPr>
    </w:p>
    <w:p w14:paraId="0574398D" w14:textId="77777777" w:rsidR="00003780" w:rsidRPr="00640CFF" w:rsidRDefault="00003780" w:rsidP="00003780">
      <w:pPr>
        <w:tabs>
          <w:tab w:val="left" w:pos="142"/>
        </w:tabs>
        <w:rPr>
          <w:rFonts w:cs="Arial"/>
          <w:i/>
          <w:sz w:val="22"/>
          <w:szCs w:val="22"/>
        </w:rPr>
      </w:pPr>
      <w:r w:rsidRPr="00640CFF">
        <w:rPr>
          <w:rFonts w:cs="Arial"/>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w:t>
      </w:r>
    </w:p>
    <w:p w14:paraId="56D083A1" w14:textId="77777777" w:rsidR="00003780" w:rsidRPr="00640CFF" w:rsidRDefault="00003780" w:rsidP="00003780">
      <w:pPr>
        <w:tabs>
          <w:tab w:val="left" w:pos="142"/>
        </w:tabs>
        <w:rPr>
          <w:rFonts w:cs="Arial"/>
          <w:i/>
          <w:sz w:val="22"/>
          <w:szCs w:val="22"/>
        </w:rPr>
      </w:pPr>
    </w:p>
    <w:p w14:paraId="1856942D" w14:textId="77777777" w:rsidR="00003780" w:rsidRPr="00640CFF" w:rsidRDefault="00003780" w:rsidP="00003780">
      <w:pPr>
        <w:tabs>
          <w:tab w:val="left" w:pos="142"/>
        </w:tabs>
        <w:rPr>
          <w:rFonts w:cs="Arial"/>
          <w:i/>
          <w:sz w:val="22"/>
          <w:szCs w:val="22"/>
        </w:rPr>
      </w:pPr>
      <w:r w:rsidRPr="00640CFF">
        <w:rPr>
          <w:rFonts w:cs="Arial"/>
          <w:sz w:val="22"/>
          <w:szCs w:val="22"/>
        </w:rPr>
        <w:t xml:space="preserve">Para evitar estos daños, debe prevenirlos con señales adecuadas, en zanjaos con señales luminosas (sean con iluminación mecánica o mechones) estas se encenderán cuando no haya personal trabajando, y cuando no haya visibilidad por oscuridad apangándolas cuando se inicien los trabajos o cuando sea de día.   </w:t>
      </w:r>
    </w:p>
    <w:p w14:paraId="4C7F5046" w14:textId="77777777" w:rsidR="00003780" w:rsidRPr="00640CFF" w:rsidRDefault="00003780" w:rsidP="00003780">
      <w:pPr>
        <w:tabs>
          <w:tab w:val="left" w:pos="142"/>
        </w:tabs>
        <w:rPr>
          <w:rFonts w:cs="Arial"/>
          <w:i/>
          <w:sz w:val="22"/>
          <w:szCs w:val="22"/>
        </w:rPr>
      </w:pPr>
      <w:r w:rsidRPr="00640CFF">
        <w:rPr>
          <w:rFonts w:cs="Arial"/>
          <w:sz w:val="22"/>
          <w:szCs w:val="22"/>
        </w:rPr>
        <w:lastRenderedPageBreak/>
        <w:t>Además, pondrán señales de prevención con rótulos y letreros que indiquen que hay obreros trabajando. En el caso de la construcción sean edificios se protegerán con cercas provisionales los frentes de las aéreas de los predios, para protección de los peatones que transiten por el lugar.  Estas cercas deben de construirse antes de empezar los trabajos y dar seguridad tanto a los obreros como a los peatones.</w:t>
      </w:r>
    </w:p>
    <w:p w14:paraId="4B3763AC" w14:textId="77777777" w:rsidR="00003780" w:rsidRPr="00640CFF" w:rsidRDefault="00003780" w:rsidP="00003780">
      <w:pPr>
        <w:tabs>
          <w:tab w:val="left" w:pos="142"/>
        </w:tabs>
        <w:rPr>
          <w:rFonts w:cs="Arial"/>
          <w:i/>
          <w:sz w:val="22"/>
          <w:szCs w:val="22"/>
        </w:rPr>
      </w:pPr>
    </w:p>
    <w:p w14:paraId="26F799F3"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FACILIDADES PARA TR</w:t>
      </w:r>
      <w:r>
        <w:rPr>
          <w:rFonts w:cs="Arial"/>
          <w:b/>
          <w:sz w:val="22"/>
          <w:szCs w:val="22"/>
        </w:rPr>
        <w:t>Á</w:t>
      </w:r>
      <w:r w:rsidRPr="00640CFF">
        <w:rPr>
          <w:rFonts w:cs="Arial"/>
          <w:b/>
          <w:sz w:val="22"/>
          <w:szCs w:val="22"/>
        </w:rPr>
        <w:t>NSITO DE VEH</w:t>
      </w:r>
      <w:r>
        <w:rPr>
          <w:rFonts w:cs="Arial"/>
          <w:b/>
          <w:sz w:val="22"/>
          <w:szCs w:val="22"/>
        </w:rPr>
        <w:t>Í</w:t>
      </w:r>
      <w:r w:rsidRPr="00640CFF">
        <w:rPr>
          <w:rFonts w:cs="Arial"/>
          <w:b/>
          <w:sz w:val="22"/>
          <w:szCs w:val="22"/>
        </w:rPr>
        <w:t>CULOS Y PEATONES</w:t>
      </w:r>
    </w:p>
    <w:p w14:paraId="03D9B84D" w14:textId="77777777" w:rsidR="00003780" w:rsidRPr="00640CFF" w:rsidRDefault="00003780" w:rsidP="00003780">
      <w:pPr>
        <w:tabs>
          <w:tab w:val="left" w:pos="142"/>
        </w:tabs>
        <w:rPr>
          <w:rFonts w:cs="Arial"/>
          <w:i/>
          <w:sz w:val="22"/>
          <w:szCs w:val="22"/>
        </w:rPr>
      </w:pPr>
    </w:p>
    <w:p w14:paraId="52801E37" w14:textId="77777777" w:rsidR="00003780" w:rsidRPr="00640CFF" w:rsidRDefault="00003780" w:rsidP="00003780">
      <w:pPr>
        <w:tabs>
          <w:tab w:val="left" w:pos="142"/>
        </w:tabs>
        <w:rPr>
          <w:rFonts w:cs="Arial"/>
          <w:i/>
          <w:sz w:val="22"/>
          <w:szCs w:val="22"/>
        </w:rPr>
      </w:pPr>
      <w:r w:rsidRPr="00640CFF">
        <w:rPr>
          <w:rFonts w:cs="Arial"/>
          <w:sz w:val="22"/>
          <w:szCs w:val="22"/>
        </w:rPr>
        <w:t>Los trabajos se realizarán con la menor interrupción posible del tráfico. Antes de empezar los trabajos en las calles el contratista deberá obtener de la Oficina Nacional del Tránsito y del Ministerio del Distrito Nacional el permiso correspondiente para trabajar en las calles y mantener el tráfico abierto a los vehículos.</w:t>
      </w:r>
    </w:p>
    <w:p w14:paraId="1813FF52" w14:textId="77777777" w:rsidR="00003780" w:rsidRPr="00640CFF" w:rsidRDefault="00003780" w:rsidP="00003780">
      <w:pPr>
        <w:tabs>
          <w:tab w:val="left" w:pos="142"/>
        </w:tabs>
        <w:rPr>
          <w:rFonts w:cs="Arial"/>
          <w:i/>
          <w:sz w:val="22"/>
          <w:szCs w:val="22"/>
        </w:rPr>
      </w:pPr>
    </w:p>
    <w:p w14:paraId="5236B060" w14:textId="77777777" w:rsidR="00003780" w:rsidRPr="00640CFF" w:rsidRDefault="00003780" w:rsidP="00003780">
      <w:pPr>
        <w:tabs>
          <w:tab w:val="left" w:pos="142"/>
        </w:tabs>
        <w:rPr>
          <w:rFonts w:cs="Arial"/>
          <w:i/>
          <w:sz w:val="22"/>
          <w:szCs w:val="22"/>
        </w:rPr>
      </w:pPr>
      <w:r w:rsidRPr="00640CFF">
        <w:rPr>
          <w:rFonts w:cs="Arial"/>
          <w:sz w:val="22"/>
          <w:szCs w:val="22"/>
        </w:rPr>
        <w:t xml:space="preserve">Las alcantarillas ubicadas en calles pavimentadas no serán construidas hasta que el Contratista haya presentado y recibido aprobación del Ingeniero supervisor, por escrito, del programa de trabajo que indicará la fecha de comienzo y terminación de la construcción de las alcantarillas. </w:t>
      </w:r>
    </w:p>
    <w:p w14:paraId="17192693" w14:textId="77777777" w:rsidR="00003780" w:rsidRPr="00640CFF" w:rsidRDefault="00003780" w:rsidP="00003780">
      <w:pPr>
        <w:tabs>
          <w:tab w:val="left" w:pos="142"/>
        </w:tabs>
        <w:rPr>
          <w:rFonts w:cs="Arial"/>
          <w:i/>
          <w:sz w:val="22"/>
          <w:szCs w:val="22"/>
        </w:rPr>
      </w:pPr>
    </w:p>
    <w:p w14:paraId="3AE984C2" w14:textId="77777777" w:rsidR="00003780" w:rsidRPr="00640CFF" w:rsidRDefault="00003780" w:rsidP="00003780">
      <w:pPr>
        <w:tabs>
          <w:tab w:val="left" w:pos="142"/>
        </w:tabs>
        <w:rPr>
          <w:rFonts w:cs="Arial"/>
          <w:i/>
          <w:sz w:val="22"/>
          <w:szCs w:val="22"/>
        </w:rPr>
      </w:pPr>
      <w:r w:rsidRPr="00640CFF">
        <w:rPr>
          <w:rFonts w:cs="Arial"/>
          <w:sz w:val="22"/>
          <w:szCs w:val="22"/>
        </w:rPr>
        <w:t xml:space="preserve">Dicho programa incluirá el tiempo estimado para la excavación, preparación del lecho, colocación del tubo principal y accesorios, conexiones domiciliares, pruebas, relleno, compactación y reparación del pavimento. El Ingeniero supervisor dará su aprobación o rechazo (si en su opinión el tiempo asignado es excesivamente largo) del programa de trabajo dentro de un periodo máximo de tres días después de haber recibido los documentos del contratista. </w:t>
      </w:r>
    </w:p>
    <w:p w14:paraId="2B96D886" w14:textId="77777777" w:rsidR="00003780" w:rsidRPr="00640CFF" w:rsidRDefault="00003780" w:rsidP="00003780">
      <w:pPr>
        <w:tabs>
          <w:tab w:val="left" w:pos="142"/>
        </w:tabs>
        <w:rPr>
          <w:rFonts w:cs="Arial"/>
          <w:i/>
          <w:sz w:val="22"/>
          <w:szCs w:val="22"/>
        </w:rPr>
      </w:pPr>
    </w:p>
    <w:p w14:paraId="54FD628C" w14:textId="77777777" w:rsidR="00003780" w:rsidRPr="00640CFF" w:rsidRDefault="00003780" w:rsidP="00003780">
      <w:pPr>
        <w:tabs>
          <w:tab w:val="left" w:pos="142"/>
        </w:tabs>
        <w:rPr>
          <w:rFonts w:cs="Arial"/>
          <w:i/>
          <w:sz w:val="22"/>
          <w:szCs w:val="22"/>
        </w:rPr>
      </w:pPr>
      <w:r w:rsidRPr="00640CFF">
        <w:rPr>
          <w:rFonts w:cs="Arial"/>
          <w:sz w:val="22"/>
          <w:szCs w:val="22"/>
        </w:rPr>
        <w:t xml:space="preserve">Toda la basura esparcida por los camiones del Contratista a su paso sobre los pavimentos existentes o que de cualquier otra manera ha sido depositada sobre los mismos, deberá ser retirada por el Contratista cuando en la opinión del Ingeniero supervisor la acumulación es suficiente para causar la formación de lodo, polvo, interferencia con el tráfico o para convertirse en un peligro para el tráfico. </w:t>
      </w:r>
    </w:p>
    <w:p w14:paraId="17BA74D8" w14:textId="77777777" w:rsidR="00003780" w:rsidRPr="00640CFF" w:rsidRDefault="00003780" w:rsidP="00003780">
      <w:pPr>
        <w:tabs>
          <w:tab w:val="left" w:pos="142"/>
        </w:tabs>
        <w:rPr>
          <w:rFonts w:cs="Arial"/>
          <w:i/>
          <w:sz w:val="22"/>
          <w:szCs w:val="22"/>
        </w:rPr>
      </w:pPr>
    </w:p>
    <w:p w14:paraId="67215018" w14:textId="77777777" w:rsidR="00003780" w:rsidRPr="00640CFF" w:rsidRDefault="00003780" w:rsidP="00003780">
      <w:pPr>
        <w:tabs>
          <w:tab w:val="left" w:pos="142"/>
        </w:tabs>
        <w:rPr>
          <w:rFonts w:cs="Arial"/>
          <w:i/>
          <w:sz w:val="22"/>
          <w:szCs w:val="22"/>
        </w:rPr>
      </w:pPr>
      <w:r w:rsidRPr="00640CFF">
        <w:rPr>
          <w:rFonts w:cs="Arial"/>
          <w:b/>
          <w:sz w:val="22"/>
          <w:szCs w:val="22"/>
        </w:rPr>
        <w:t>El Contratista</w:t>
      </w:r>
      <w:r w:rsidRPr="00640CFF">
        <w:rPr>
          <w:rFonts w:cs="Arial"/>
          <w:sz w:val="22"/>
          <w:szCs w:val="22"/>
        </w:rPr>
        <w:t xml:space="preserve"> deberá construir y mantener, sin costo adicional, puentes adecuados y seguros sobre las excavaciones, en los sitios donde se considere necesario o sea ordenado por el Ingeniero, con el propósito de facilitar el tráfico de peatones o vehículos. </w:t>
      </w:r>
    </w:p>
    <w:p w14:paraId="040A8975" w14:textId="77777777" w:rsidR="00003780" w:rsidRPr="00640CFF" w:rsidRDefault="00003780" w:rsidP="00003780">
      <w:pPr>
        <w:tabs>
          <w:tab w:val="left" w:pos="142"/>
        </w:tabs>
        <w:rPr>
          <w:rFonts w:cs="Arial"/>
          <w:i/>
          <w:sz w:val="22"/>
          <w:szCs w:val="22"/>
        </w:rPr>
      </w:pPr>
    </w:p>
    <w:p w14:paraId="2347EDBA" w14:textId="77777777" w:rsidR="00003780" w:rsidRPr="00640CFF" w:rsidRDefault="00003780" w:rsidP="00003780">
      <w:pPr>
        <w:tabs>
          <w:tab w:val="left" w:pos="142"/>
        </w:tabs>
        <w:rPr>
          <w:rFonts w:cs="Arial"/>
          <w:i/>
          <w:sz w:val="22"/>
          <w:szCs w:val="22"/>
        </w:rPr>
      </w:pPr>
      <w:r w:rsidRPr="00640CFF">
        <w:rPr>
          <w:rFonts w:cs="Arial"/>
          <w:sz w:val="22"/>
          <w:szCs w:val="22"/>
        </w:rPr>
        <w:t>Todas las estructuras temporales construidas con este propósito deberán ser removidas al terminar el trabajo, a menos que el Ingeniero lo especifique de otra manera, y todo daño causado a la propiedad pública o privada deberá ser reparado por el Contratista.</w:t>
      </w:r>
    </w:p>
    <w:p w14:paraId="1977B018" w14:textId="77777777" w:rsidR="00003780" w:rsidRPr="00640CFF" w:rsidRDefault="00003780" w:rsidP="00003780">
      <w:pPr>
        <w:tabs>
          <w:tab w:val="left" w:pos="142"/>
        </w:tabs>
        <w:rPr>
          <w:rFonts w:cs="Arial"/>
          <w:i/>
          <w:sz w:val="22"/>
          <w:szCs w:val="22"/>
        </w:rPr>
      </w:pPr>
    </w:p>
    <w:p w14:paraId="1FAB530D"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BARRICADAS, AVISOS PREVENTIVOS Y</w:t>
      </w:r>
      <w:r>
        <w:rPr>
          <w:rFonts w:cs="Arial"/>
          <w:b/>
          <w:sz w:val="22"/>
          <w:szCs w:val="22"/>
        </w:rPr>
        <w:t xml:space="preserve"> LUCES</w:t>
      </w:r>
      <w:r w:rsidRPr="00640CFF">
        <w:rPr>
          <w:rFonts w:cs="Arial"/>
          <w:b/>
          <w:sz w:val="22"/>
          <w:szCs w:val="22"/>
        </w:rPr>
        <w:cr/>
      </w:r>
    </w:p>
    <w:p w14:paraId="0A9DD465" w14:textId="77777777" w:rsidR="00003780" w:rsidRPr="00640CFF" w:rsidRDefault="00003780" w:rsidP="00003780">
      <w:pPr>
        <w:tabs>
          <w:tab w:val="left" w:pos="142"/>
        </w:tabs>
        <w:rPr>
          <w:rFonts w:cs="Arial"/>
          <w:i/>
          <w:sz w:val="22"/>
          <w:szCs w:val="22"/>
        </w:rPr>
      </w:pPr>
      <w:r w:rsidRPr="00640CFF">
        <w:rPr>
          <w:rFonts w:cs="Arial"/>
          <w:sz w:val="22"/>
          <w:szCs w:val="22"/>
        </w:rPr>
        <w:t xml:space="preserve">El contratista deberá proveer y mantener avisos preventivos luminosos y señales de desvío adecuadas en todos los cierres e intersecciones ya lo largo de todos los desvíos, dirigiendo el tráfico alrededor de los tramos cerrados de carretera, de manera que las rutas temporales de desvío estén claramente señaladas a través de toda su longitud. Todas las barricadas deberán estar provistas de luces espaciadas a distancias no mayores de dos metros no debiendo usarse menos de tres (3) luces. </w:t>
      </w:r>
    </w:p>
    <w:p w14:paraId="63E9E2C8" w14:textId="77777777" w:rsidR="00003780" w:rsidRPr="00640CFF" w:rsidRDefault="00003780" w:rsidP="00003780">
      <w:pPr>
        <w:tabs>
          <w:tab w:val="left" w:pos="142"/>
        </w:tabs>
        <w:rPr>
          <w:rFonts w:cs="Arial"/>
          <w:i/>
          <w:sz w:val="22"/>
          <w:szCs w:val="22"/>
        </w:rPr>
      </w:pPr>
    </w:p>
    <w:p w14:paraId="1EAE066C" w14:textId="77777777" w:rsidR="00003780" w:rsidRPr="00640CFF" w:rsidRDefault="00003780" w:rsidP="00003780">
      <w:pPr>
        <w:tabs>
          <w:tab w:val="left" w:pos="142"/>
        </w:tabs>
        <w:rPr>
          <w:rFonts w:cs="Arial"/>
          <w:i/>
          <w:sz w:val="22"/>
          <w:szCs w:val="22"/>
        </w:rPr>
      </w:pPr>
      <w:r w:rsidRPr="00640CFF">
        <w:rPr>
          <w:rFonts w:cs="Arial"/>
          <w:sz w:val="22"/>
          <w:szCs w:val="22"/>
        </w:rPr>
        <w:t xml:space="preserve">En los sitios donde cambien las líneas de tráfico, las barricadas deberán tener luces adicionales que señalen sus extremos finales. Las obstrucciones tales como materiales almacenados equipo y excavaciones deberán ser señaladas con no menos de dos (2) luces que deberán estar espaciadas a distancias no mayores de 1.5 metros. Las luces deberán ser visibles a no menos de 150 metros en todas las direcciones de tráfico y deberán estar colocadas no menos de 0.60 metros por encima de la carretera adyacente abierta al tráfico. </w:t>
      </w:r>
    </w:p>
    <w:p w14:paraId="15392911" w14:textId="77777777" w:rsidR="00003780" w:rsidRPr="00640CFF" w:rsidRDefault="00003780" w:rsidP="00003780">
      <w:pPr>
        <w:tabs>
          <w:tab w:val="left" w:pos="142"/>
        </w:tabs>
        <w:rPr>
          <w:rFonts w:cs="Arial"/>
          <w:i/>
          <w:sz w:val="22"/>
          <w:szCs w:val="22"/>
        </w:rPr>
      </w:pPr>
    </w:p>
    <w:p w14:paraId="4CE91DC2" w14:textId="77777777" w:rsidR="00003780" w:rsidRPr="00640CFF" w:rsidRDefault="00003780" w:rsidP="00003780">
      <w:pPr>
        <w:tabs>
          <w:tab w:val="left" w:pos="142"/>
        </w:tabs>
        <w:rPr>
          <w:rFonts w:cs="Arial"/>
          <w:i/>
          <w:sz w:val="22"/>
          <w:szCs w:val="22"/>
        </w:rPr>
      </w:pPr>
      <w:r w:rsidRPr="00640CFF">
        <w:rPr>
          <w:rFonts w:cs="Arial"/>
          <w:sz w:val="22"/>
          <w:szCs w:val="22"/>
        </w:rPr>
        <w:t xml:space="preserve">Las luces podrán ser de batería o combustible, resistentes al viento y la lluvia, aprobadas por el Ingeniero. Todas las luces deberán permanecer encendidas desde media hora antes de la puesta del sol, hasta media </w:t>
      </w:r>
      <w:r w:rsidRPr="00640CFF">
        <w:rPr>
          <w:rFonts w:cs="Arial"/>
          <w:sz w:val="22"/>
          <w:szCs w:val="22"/>
        </w:rPr>
        <w:lastRenderedPageBreak/>
        <w:t>hora después de la salida del mismo. Los vigilantes deberán efectuar el patrullaje que sea requerido y deberán reemplazar las luces que hagan falta.  Ninguna vía pública podrá ser cerrada sin el consentimiento por escrito de la autoridad competente.</w:t>
      </w:r>
    </w:p>
    <w:p w14:paraId="2627783D" w14:textId="77777777" w:rsidR="00003780" w:rsidRPr="00640CFF" w:rsidRDefault="00003780" w:rsidP="00003780">
      <w:pPr>
        <w:tabs>
          <w:tab w:val="left" w:pos="142"/>
        </w:tabs>
        <w:rPr>
          <w:rFonts w:cs="Arial"/>
          <w:i/>
          <w:sz w:val="22"/>
          <w:szCs w:val="22"/>
        </w:rPr>
      </w:pPr>
    </w:p>
    <w:p w14:paraId="533C910E"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MATERIALES EQUIPO Y HERRAMIENTAS A SUMINISTRAR</w:t>
      </w:r>
    </w:p>
    <w:p w14:paraId="55959835" w14:textId="77777777" w:rsidR="00003780" w:rsidRPr="00640CFF" w:rsidRDefault="00003780" w:rsidP="00003780">
      <w:pPr>
        <w:tabs>
          <w:tab w:val="left" w:pos="142"/>
        </w:tabs>
        <w:rPr>
          <w:rFonts w:cs="Arial"/>
          <w:b/>
          <w:i/>
          <w:sz w:val="22"/>
          <w:szCs w:val="22"/>
        </w:rPr>
      </w:pPr>
    </w:p>
    <w:p w14:paraId="66FD0617" w14:textId="77777777" w:rsidR="00003780" w:rsidRPr="00640CFF" w:rsidRDefault="00003780" w:rsidP="00003780">
      <w:pPr>
        <w:tabs>
          <w:tab w:val="left" w:pos="142"/>
        </w:tabs>
        <w:rPr>
          <w:rFonts w:cs="Arial"/>
          <w:i/>
          <w:sz w:val="22"/>
          <w:szCs w:val="22"/>
        </w:rPr>
      </w:pPr>
      <w:r w:rsidRPr="00640CFF">
        <w:rPr>
          <w:rFonts w:cs="Arial"/>
          <w:sz w:val="22"/>
          <w:szCs w:val="22"/>
        </w:rPr>
        <w:t>Todos los materiales y equipos requeridos para los trabajos comprendidos por este contrato serán suministrados por cuenta del contratista. Así como los equipos y herramientas que se necesiten para la completa ejecución de la obra. Salvo que se indique que material será suministrado por terceros, los que serán puestos en la obra cuando el contratista lo requiera, avisando con 15 días de anticipación, en caso que el material u otro accesorio atrase la obre se le tiene que dar prorroga de tiempo al contratista.</w:t>
      </w:r>
    </w:p>
    <w:p w14:paraId="13DF7C38" w14:textId="77777777" w:rsidR="00003780" w:rsidRPr="00640CFF" w:rsidRDefault="00003780" w:rsidP="00003780">
      <w:pPr>
        <w:tabs>
          <w:tab w:val="left" w:pos="142"/>
        </w:tabs>
        <w:rPr>
          <w:rFonts w:cs="Arial"/>
          <w:i/>
          <w:sz w:val="22"/>
          <w:szCs w:val="22"/>
        </w:rPr>
      </w:pPr>
    </w:p>
    <w:p w14:paraId="7FAD3E57"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PRIORIDAD DEL TRABAJO </w:t>
      </w:r>
    </w:p>
    <w:p w14:paraId="343D932E" w14:textId="77777777" w:rsidR="00003780" w:rsidRPr="00640CFF" w:rsidRDefault="00003780" w:rsidP="00003780">
      <w:pPr>
        <w:tabs>
          <w:tab w:val="left" w:pos="142"/>
        </w:tabs>
        <w:rPr>
          <w:rFonts w:cs="Arial"/>
          <w:b/>
          <w:i/>
          <w:sz w:val="22"/>
          <w:szCs w:val="22"/>
        </w:rPr>
      </w:pPr>
    </w:p>
    <w:p w14:paraId="3944240D" w14:textId="77777777" w:rsidR="00003780" w:rsidRPr="00640CFF" w:rsidRDefault="00003780" w:rsidP="00003780">
      <w:pPr>
        <w:tabs>
          <w:tab w:val="left" w:pos="142"/>
        </w:tabs>
        <w:rPr>
          <w:rFonts w:cs="Arial"/>
          <w:i/>
          <w:sz w:val="22"/>
          <w:szCs w:val="22"/>
        </w:rPr>
      </w:pPr>
      <w:r w:rsidRPr="00640CFF">
        <w:rPr>
          <w:rFonts w:cs="Arial"/>
          <w:sz w:val="22"/>
          <w:szCs w:val="22"/>
        </w:rPr>
        <w:t>El Duelo se reserva el derecho de establecer la secuencia o prioridad del trabajo de construcción en los diferentes capítulos contemplados en el presente contrato y el contratista deberá dar prioridad a los requerimientos específicos del Dueño, siempre y cuando no atrase la obra ni en tiempo contra actual del contratista.</w:t>
      </w:r>
    </w:p>
    <w:p w14:paraId="0627E67C" w14:textId="77777777" w:rsidR="00003780" w:rsidRDefault="00003780" w:rsidP="00003780">
      <w:pPr>
        <w:tabs>
          <w:tab w:val="left" w:pos="142"/>
        </w:tabs>
        <w:rPr>
          <w:rFonts w:cs="Arial"/>
          <w:i/>
          <w:sz w:val="22"/>
          <w:szCs w:val="22"/>
        </w:rPr>
      </w:pPr>
    </w:p>
    <w:p w14:paraId="43C1DBC5"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Pr>
          <w:rFonts w:cs="Arial"/>
          <w:b/>
          <w:sz w:val="22"/>
          <w:szCs w:val="22"/>
        </w:rPr>
        <w:t xml:space="preserve">LIMPIEZA PERIÓDICA </w:t>
      </w:r>
    </w:p>
    <w:p w14:paraId="7F18DB4C" w14:textId="77777777" w:rsidR="00003780" w:rsidRPr="00640CFF" w:rsidRDefault="00003780" w:rsidP="00003780">
      <w:pPr>
        <w:tabs>
          <w:tab w:val="left" w:pos="142"/>
        </w:tabs>
        <w:rPr>
          <w:rFonts w:cs="Arial"/>
          <w:b/>
          <w:i/>
          <w:sz w:val="22"/>
          <w:szCs w:val="22"/>
        </w:rPr>
      </w:pPr>
    </w:p>
    <w:p w14:paraId="77A1DE6E" w14:textId="77777777" w:rsidR="00003780" w:rsidRPr="00640CFF" w:rsidRDefault="00003780" w:rsidP="00003780">
      <w:pPr>
        <w:tabs>
          <w:tab w:val="left" w:pos="142"/>
        </w:tabs>
        <w:rPr>
          <w:rFonts w:cs="Arial"/>
          <w:i/>
          <w:sz w:val="22"/>
          <w:szCs w:val="22"/>
        </w:rPr>
      </w:pPr>
      <w:r w:rsidRPr="00640CFF">
        <w:rPr>
          <w:rFonts w:cs="Arial"/>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 estos se tienen que botar en los botaderos municipales, siempre y cuando no queden en la orilla de caminos y carreteras, en este caso el lugar lo decidirá el supervisor tomando el consentimiento de la alcaldía municipal.</w:t>
      </w:r>
    </w:p>
    <w:p w14:paraId="17DF0A7D" w14:textId="77777777" w:rsidR="00003780" w:rsidRPr="00640CFF" w:rsidRDefault="00003780" w:rsidP="00003780">
      <w:pPr>
        <w:tabs>
          <w:tab w:val="left" w:pos="142"/>
        </w:tabs>
        <w:rPr>
          <w:rFonts w:cs="Arial"/>
          <w:i/>
          <w:sz w:val="22"/>
          <w:szCs w:val="22"/>
        </w:rPr>
      </w:pPr>
    </w:p>
    <w:p w14:paraId="62A21FDF"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R</w:t>
      </w:r>
      <w:r>
        <w:rPr>
          <w:rFonts w:cs="Arial"/>
          <w:b/>
          <w:sz w:val="22"/>
          <w:szCs w:val="22"/>
        </w:rPr>
        <w:t>ÓTULO</w:t>
      </w:r>
    </w:p>
    <w:p w14:paraId="00AD8C47" w14:textId="77777777" w:rsidR="00003780" w:rsidRPr="00640CFF" w:rsidRDefault="00003780" w:rsidP="00003780">
      <w:pPr>
        <w:tabs>
          <w:tab w:val="left" w:pos="142"/>
        </w:tabs>
        <w:rPr>
          <w:rFonts w:cs="Arial"/>
          <w:b/>
          <w:i/>
          <w:sz w:val="22"/>
          <w:szCs w:val="22"/>
        </w:rPr>
      </w:pPr>
    </w:p>
    <w:p w14:paraId="1CEB203D" w14:textId="77777777" w:rsidR="00003780" w:rsidRPr="00640CFF" w:rsidRDefault="00003780" w:rsidP="00003780">
      <w:pPr>
        <w:rPr>
          <w:rFonts w:cs="Arial"/>
          <w:i/>
          <w:sz w:val="22"/>
          <w:szCs w:val="22"/>
        </w:rPr>
      </w:pPr>
      <w:r w:rsidRPr="00640CFF">
        <w:rPr>
          <w:rFonts w:cs="Arial"/>
          <w:sz w:val="22"/>
          <w:szCs w:val="22"/>
        </w:rPr>
        <w:t>El contratista deberá erigir en los lugares de trabajo un rótulo según detalles constructivos de planos, el mismos será nítidamente construido, pintado, conforme lo estipule los planos constructivos este deberá estar instalado, en el área donde el ingeniero supervisor lo indique en coordinación con la Alcaldía Municipal.</w:t>
      </w:r>
    </w:p>
    <w:p w14:paraId="03409098" w14:textId="77777777" w:rsidR="00003780" w:rsidRPr="00640CFF" w:rsidRDefault="00003780" w:rsidP="00003780">
      <w:pPr>
        <w:tabs>
          <w:tab w:val="left" w:pos="142"/>
        </w:tabs>
        <w:rPr>
          <w:rFonts w:cs="Arial"/>
          <w:i/>
          <w:sz w:val="22"/>
          <w:szCs w:val="22"/>
        </w:rPr>
      </w:pPr>
    </w:p>
    <w:p w14:paraId="5EF7BA52"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CONDICIONES GENERALES</w:t>
      </w:r>
    </w:p>
    <w:p w14:paraId="60B3CC98" w14:textId="77777777" w:rsidR="00003780" w:rsidRPr="00640CFF" w:rsidRDefault="00003780" w:rsidP="00003780">
      <w:pPr>
        <w:tabs>
          <w:tab w:val="left" w:pos="142"/>
        </w:tabs>
        <w:rPr>
          <w:rFonts w:cs="Arial"/>
          <w:b/>
          <w:i/>
          <w:sz w:val="22"/>
          <w:szCs w:val="22"/>
        </w:rPr>
      </w:pPr>
    </w:p>
    <w:p w14:paraId="6CBCD27C" w14:textId="77777777" w:rsidR="00003780" w:rsidRPr="00640CFF" w:rsidRDefault="00003780" w:rsidP="003B68DB">
      <w:pPr>
        <w:pStyle w:val="Prrafodelista"/>
        <w:numPr>
          <w:ilvl w:val="0"/>
          <w:numId w:val="128"/>
        </w:numPr>
        <w:tabs>
          <w:tab w:val="left" w:pos="142"/>
        </w:tabs>
        <w:ind w:left="284" w:firstLine="0"/>
        <w:contextualSpacing/>
        <w:rPr>
          <w:rFonts w:cs="Arial"/>
          <w:i/>
          <w:sz w:val="22"/>
          <w:szCs w:val="22"/>
        </w:rPr>
      </w:pPr>
      <w:r w:rsidRPr="00640CFF">
        <w:rPr>
          <w:rFonts w:cs="Arial"/>
          <w:sz w:val="22"/>
          <w:szCs w:val="22"/>
        </w:rPr>
        <w:t xml:space="preserve">Modo de manejo. El manejo de los materiales y almacenamiento debe efectuarse en tal forma que se les prevenga de toda mancha, daños, deterioros y mezcla con materias extrañas. Los materiales que vengan en sus empaques originales, deben ser guardados en ellos sin abrirlos. Cualquier violación a este respecto podrá causar el rechazo de los materiales. </w:t>
      </w:r>
    </w:p>
    <w:p w14:paraId="22E3D523" w14:textId="77777777" w:rsidR="00003780" w:rsidRPr="00640CFF" w:rsidRDefault="00003780" w:rsidP="00003780">
      <w:pPr>
        <w:tabs>
          <w:tab w:val="left" w:pos="142"/>
        </w:tabs>
        <w:rPr>
          <w:rFonts w:cs="Arial"/>
          <w:i/>
          <w:sz w:val="22"/>
          <w:szCs w:val="22"/>
        </w:rPr>
      </w:pPr>
    </w:p>
    <w:p w14:paraId="19745D62" w14:textId="77777777" w:rsidR="00003780" w:rsidRPr="00640CFF" w:rsidRDefault="00003780" w:rsidP="00003780">
      <w:pPr>
        <w:tabs>
          <w:tab w:val="left" w:pos="142"/>
        </w:tabs>
        <w:ind w:left="284"/>
        <w:rPr>
          <w:rFonts w:cs="Arial"/>
          <w:i/>
          <w:sz w:val="22"/>
          <w:szCs w:val="22"/>
        </w:rPr>
      </w:pPr>
      <w:r w:rsidRPr="00640CFF">
        <w:rPr>
          <w:rFonts w:cs="Arial"/>
          <w:sz w:val="22"/>
          <w:szCs w:val="22"/>
        </w:rPr>
        <w:t>B. Coordinación. Ser</w:t>
      </w:r>
      <w:r>
        <w:rPr>
          <w:rFonts w:cs="Arial"/>
          <w:sz w:val="22"/>
          <w:szCs w:val="22"/>
        </w:rPr>
        <w:t>á</w:t>
      </w:r>
      <w:r w:rsidRPr="00640CFF">
        <w:rPr>
          <w:rFonts w:cs="Arial"/>
          <w:sz w:val="22"/>
          <w:szCs w:val="22"/>
        </w:rPr>
        <w:t xml:space="preserve"> responsabilidad de esta división la debida coordinación de los trabajos de mampostería con el de las otras artes tal como se expresa en las divisiones de Plomería, Electricidad, Aire Acondicionado, Ventanales, Puertas, Cielos, etc. </w:t>
      </w:r>
    </w:p>
    <w:p w14:paraId="202F3EE3" w14:textId="77777777" w:rsidR="00003780" w:rsidRPr="00640CFF" w:rsidRDefault="00003780" w:rsidP="00003780">
      <w:pPr>
        <w:tabs>
          <w:tab w:val="left" w:pos="142"/>
        </w:tabs>
        <w:rPr>
          <w:rFonts w:cs="Arial"/>
          <w:i/>
          <w:sz w:val="22"/>
          <w:szCs w:val="22"/>
        </w:rPr>
      </w:pPr>
      <w:r w:rsidRPr="00640CFF">
        <w:rPr>
          <w:rFonts w:cs="Arial"/>
          <w:sz w:val="22"/>
          <w:szCs w:val="22"/>
        </w:rPr>
        <w:t xml:space="preserve">     </w:t>
      </w:r>
    </w:p>
    <w:p w14:paraId="4F8C4C7A" w14:textId="77777777" w:rsidR="00003780" w:rsidRPr="00640CFF" w:rsidRDefault="00003780" w:rsidP="00003780">
      <w:pPr>
        <w:tabs>
          <w:tab w:val="left" w:pos="142"/>
        </w:tabs>
        <w:ind w:left="284"/>
        <w:rPr>
          <w:rFonts w:cs="Arial"/>
          <w:i/>
          <w:sz w:val="22"/>
          <w:szCs w:val="22"/>
        </w:rPr>
      </w:pPr>
      <w:r w:rsidRPr="00640CFF">
        <w:rPr>
          <w:rFonts w:cs="Arial"/>
          <w:sz w:val="22"/>
          <w:szCs w:val="22"/>
        </w:rPr>
        <w:t xml:space="preserve">C. Toda mención hecha en estas especificaciones o indicada en los planos obliga al contratista a suplir e instalar cada artículo, material o equipo con el proceso o método indicado y de la calidad requerida o sujeta a calificación y suplir toda la mano de obra, equipo y complementarios necesarios para la terminación de la obra. </w:t>
      </w:r>
    </w:p>
    <w:p w14:paraId="545EBF22" w14:textId="77777777" w:rsidR="00003780" w:rsidRPr="00640CFF" w:rsidRDefault="00003780" w:rsidP="00003780">
      <w:pPr>
        <w:tabs>
          <w:tab w:val="left" w:pos="142"/>
        </w:tabs>
        <w:ind w:left="284"/>
        <w:rPr>
          <w:rFonts w:cs="Arial"/>
          <w:i/>
          <w:sz w:val="22"/>
          <w:szCs w:val="22"/>
        </w:rPr>
      </w:pPr>
      <w:r w:rsidRPr="00640CFF">
        <w:rPr>
          <w:rFonts w:cs="Arial"/>
          <w:sz w:val="22"/>
          <w:szCs w:val="22"/>
        </w:rPr>
        <w:lastRenderedPageBreak/>
        <w:t>D.</w:t>
      </w:r>
      <w:r w:rsidRPr="00640CFF">
        <w:rPr>
          <w:rFonts w:cs="Arial"/>
          <w:sz w:val="22"/>
          <w:szCs w:val="22"/>
        </w:rPr>
        <w:tab/>
        <w:t xml:space="preserve">Los documentos del contrato, que incluyen planos y Especificaciones, son complementarios los unos con los otros, de modo que lo dicho en uno se entenderá como dicho en todos. </w:t>
      </w:r>
    </w:p>
    <w:p w14:paraId="51D75AE2" w14:textId="77777777" w:rsidR="00003780" w:rsidRPr="00640CFF" w:rsidRDefault="00003780" w:rsidP="00003780">
      <w:pPr>
        <w:tabs>
          <w:tab w:val="left" w:pos="142"/>
        </w:tabs>
        <w:ind w:left="284"/>
        <w:rPr>
          <w:rFonts w:cs="Arial"/>
          <w:i/>
          <w:sz w:val="22"/>
          <w:szCs w:val="22"/>
        </w:rPr>
      </w:pPr>
    </w:p>
    <w:p w14:paraId="4DC680A5" w14:textId="77777777" w:rsidR="00003780" w:rsidRPr="00640CFF" w:rsidRDefault="00003780" w:rsidP="00003780">
      <w:pPr>
        <w:tabs>
          <w:tab w:val="left" w:pos="142"/>
        </w:tabs>
        <w:ind w:left="284"/>
        <w:rPr>
          <w:rFonts w:cs="Arial"/>
          <w:i/>
          <w:sz w:val="22"/>
          <w:szCs w:val="22"/>
        </w:rPr>
      </w:pPr>
      <w:r w:rsidRPr="00640CFF">
        <w:rPr>
          <w:rFonts w:cs="Arial"/>
          <w:sz w:val="22"/>
          <w:szCs w:val="22"/>
        </w:rPr>
        <w:t>Si se detectan contradicciones en los documentos se tendrá presente que las especificaciones no son excluyentes con los planos sin que prevalezca uno sobre el otro, debe prevalecer la manera técnica de concluir la obra, en estos casos el supervisor indicara en la bitácora, como debe de construirse la obra, los dibujos a escala mayor prevalecen sobre los dibujos a escala menor y las dimensiones en cifras sobre las dimensiones a escala</w:t>
      </w:r>
    </w:p>
    <w:p w14:paraId="53420D09" w14:textId="77777777" w:rsidR="00003780" w:rsidRPr="00640CFF" w:rsidRDefault="00003780" w:rsidP="00003780">
      <w:pPr>
        <w:tabs>
          <w:tab w:val="left" w:pos="142"/>
        </w:tabs>
        <w:ind w:left="284"/>
        <w:rPr>
          <w:rFonts w:cs="Arial"/>
          <w:i/>
          <w:sz w:val="22"/>
          <w:szCs w:val="22"/>
        </w:rPr>
      </w:pPr>
      <w:r w:rsidRPr="00640CFF">
        <w:rPr>
          <w:rFonts w:cs="Arial"/>
          <w:sz w:val="22"/>
          <w:szCs w:val="22"/>
        </w:rPr>
        <w:t xml:space="preserve"> </w:t>
      </w:r>
    </w:p>
    <w:p w14:paraId="27FAFCF8" w14:textId="77777777" w:rsidR="00003780" w:rsidRPr="00640CFF" w:rsidRDefault="00003780" w:rsidP="00003780">
      <w:pPr>
        <w:tabs>
          <w:tab w:val="left" w:pos="142"/>
        </w:tabs>
        <w:ind w:left="284"/>
        <w:rPr>
          <w:rFonts w:cs="Arial"/>
          <w:i/>
          <w:sz w:val="22"/>
          <w:szCs w:val="22"/>
        </w:rPr>
      </w:pPr>
      <w:r w:rsidRPr="00640CFF">
        <w:rPr>
          <w:rFonts w:cs="Arial"/>
          <w:sz w:val="22"/>
          <w:szCs w:val="22"/>
        </w:rPr>
        <w:t xml:space="preserve">Si la contradicción fuere de orden mayor, deberá ser consultado al diseñador por medio del supervisor para la debida aclaración. Para lo que el  se encargara de solucionar este caso en un plazo no mayor de 10 días. </w:t>
      </w:r>
    </w:p>
    <w:p w14:paraId="62C782BE" w14:textId="77777777" w:rsidR="00003780" w:rsidRPr="00640CFF" w:rsidRDefault="00003780" w:rsidP="00003780">
      <w:pPr>
        <w:tabs>
          <w:tab w:val="left" w:pos="142"/>
        </w:tabs>
        <w:rPr>
          <w:rFonts w:cs="Arial"/>
          <w:i/>
          <w:sz w:val="22"/>
          <w:szCs w:val="22"/>
        </w:rPr>
      </w:pPr>
    </w:p>
    <w:p w14:paraId="1AEFAC43" w14:textId="77777777" w:rsidR="00003780" w:rsidRPr="00640CFF" w:rsidRDefault="00003780" w:rsidP="00003780">
      <w:pPr>
        <w:tabs>
          <w:tab w:val="left" w:pos="142"/>
        </w:tabs>
        <w:ind w:left="284"/>
        <w:rPr>
          <w:rFonts w:cs="Arial"/>
          <w:i/>
          <w:sz w:val="22"/>
          <w:szCs w:val="22"/>
        </w:rPr>
      </w:pPr>
      <w:r w:rsidRPr="00640CFF">
        <w:rPr>
          <w:rFonts w:cs="Arial"/>
          <w:sz w:val="22"/>
          <w:szCs w:val="22"/>
        </w:rPr>
        <w:t>E.</w:t>
      </w:r>
      <w:r w:rsidRPr="00640CFF">
        <w:rPr>
          <w:rFonts w:cs="Arial"/>
          <w:sz w:val="22"/>
          <w:szCs w:val="22"/>
        </w:rPr>
        <w:tab/>
        <w:t xml:space="preserve">Trabajo Requerido: El trabajo consiste en la preparación del sitio, excavación, relleno, terraplén, nivelación, como esta descrito en las especificaciones o indicado en los planos o razonablemente implicado en ellos. </w:t>
      </w:r>
    </w:p>
    <w:p w14:paraId="77B035C4" w14:textId="77777777" w:rsidR="00003780" w:rsidRPr="00640CFF" w:rsidRDefault="00003780" w:rsidP="00003780">
      <w:pPr>
        <w:tabs>
          <w:tab w:val="left" w:pos="142"/>
        </w:tabs>
        <w:rPr>
          <w:rFonts w:cs="Arial"/>
          <w:i/>
          <w:sz w:val="22"/>
          <w:szCs w:val="22"/>
        </w:rPr>
      </w:pPr>
    </w:p>
    <w:p w14:paraId="3E0B9F95" w14:textId="77777777" w:rsidR="00003780" w:rsidRPr="00640CFF" w:rsidRDefault="00003780" w:rsidP="00003780">
      <w:pPr>
        <w:tabs>
          <w:tab w:val="left" w:pos="142"/>
        </w:tabs>
        <w:ind w:left="284"/>
        <w:rPr>
          <w:rFonts w:cs="Arial"/>
          <w:i/>
          <w:sz w:val="22"/>
          <w:szCs w:val="22"/>
        </w:rPr>
      </w:pPr>
      <w:r w:rsidRPr="00640CFF">
        <w:rPr>
          <w:rFonts w:cs="Arial"/>
          <w:sz w:val="22"/>
          <w:szCs w:val="22"/>
        </w:rPr>
        <w:t>F.</w:t>
      </w:r>
      <w:r w:rsidRPr="00640CFF">
        <w:rPr>
          <w:rFonts w:cs="Arial"/>
          <w:sz w:val="22"/>
          <w:szCs w:val="22"/>
        </w:rPr>
        <w:tab/>
        <w:t xml:space="preserve">Se removerán también del sitio de la obra todas las piedras y a cualquier obstáculo que pueda resultar para los trabajos de construcción.  El contratista tomara todas las precauciones necesarias para no causar daño a terceros en la remoción de escombros u otros materiales de esta naturaleza del terreno. </w:t>
      </w:r>
    </w:p>
    <w:p w14:paraId="5EF5E8E0" w14:textId="77777777" w:rsidR="00003780" w:rsidRPr="00640CFF" w:rsidRDefault="00003780" w:rsidP="00003780">
      <w:pPr>
        <w:tabs>
          <w:tab w:val="left" w:pos="142"/>
        </w:tabs>
        <w:ind w:left="284"/>
        <w:rPr>
          <w:rFonts w:cs="Arial"/>
          <w:i/>
          <w:sz w:val="22"/>
          <w:szCs w:val="22"/>
        </w:rPr>
      </w:pPr>
      <w:r w:rsidRPr="00640CFF">
        <w:rPr>
          <w:rFonts w:cs="Arial"/>
          <w:sz w:val="22"/>
          <w:szCs w:val="22"/>
        </w:rPr>
        <w:tab/>
      </w:r>
    </w:p>
    <w:p w14:paraId="1AF3B9BC" w14:textId="77777777" w:rsidR="00003780" w:rsidRPr="00640CFF" w:rsidRDefault="00003780" w:rsidP="00003780">
      <w:pPr>
        <w:tabs>
          <w:tab w:val="left" w:pos="142"/>
        </w:tabs>
        <w:ind w:left="284"/>
        <w:rPr>
          <w:rFonts w:cs="Arial"/>
          <w:i/>
          <w:sz w:val="22"/>
          <w:szCs w:val="22"/>
        </w:rPr>
      </w:pPr>
      <w:r w:rsidRPr="00640CFF">
        <w:rPr>
          <w:rFonts w:cs="Arial"/>
          <w:sz w:val="22"/>
          <w:szCs w:val="22"/>
        </w:rPr>
        <w:t xml:space="preserve">Árboles y arbustos localizados en el área de construcción deberán ser derribados, se extraerán troncos y raíces y serán rellenados los huecos. Escarbar o raspar a fin de quitar la maleza, raíces, grama suelta, capa vegetal en general. </w:t>
      </w:r>
    </w:p>
    <w:p w14:paraId="13292B67" w14:textId="77777777" w:rsidR="00003780" w:rsidRPr="00640CFF" w:rsidRDefault="00003780" w:rsidP="00003780">
      <w:pPr>
        <w:tabs>
          <w:tab w:val="left" w:pos="142"/>
        </w:tabs>
        <w:rPr>
          <w:rFonts w:cs="Arial"/>
          <w:i/>
          <w:sz w:val="22"/>
          <w:szCs w:val="22"/>
        </w:rPr>
      </w:pPr>
    </w:p>
    <w:p w14:paraId="2D72DA8C" w14:textId="77777777" w:rsidR="00003780" w:rsidRPr="00640CFF" w:rsidRDefault="00003780" w:rsidP="00003780">
      <w:pPr>
        <w:tabs>
          <w:tab w:val="left" w:pos="142"/>
        </w:tabs>
        <w:ind w:left="284"/>
        <w:rPr>
          <w:rFonts w:cs="Arial"/>
          <w:i/>
          <w:sz w:val="22"/>
          <w:szCs w:val="22"/>
        </w:rPr>
      </w:pPr>
      <w:r w:rsidRPr="00640CFF">
        <w:rPr>
          <w:rFonts w:cs="Arial"/>
          <w:sz w:val="22"/>
          <w:szCs w:val="22"/>
        </w:rPr>
        <w:t>G.</w:t>
      </w:r>
      <w:r w:rsidRPr="00640CFF">
        <w:rPr>
          <w:rFonts w:cs="Arial"/>
          <w:sz w:val="22"/>
          <w:szCs w:val="22"/>
        </w:rPr>
        <w:tab/>
        <w:t xml:space="preserve">Elevaciones. Los planos indican las elevaciones del terreno existente y elevaciones finales requeridas. Cualquier excavación, relleno o nivelación adicional requeridos para la completa terminación del trabajo será efectuado por el contratista sin ningún recargo extra. </w:t>
      </w:r>
    </w:p>
    <w:p w14:paraId="2A36F551" w14:textId="77777777" w:rsidR="00003780" w:rsidRPr="00640CFF" w:rsidRDefault="00003780" w:rsidP="00003780">
      <w:pPr>
        <w:tabs>
          <w:tab w:val="left" w:pos="142"/>
        </w:tabs>
        <w:rPr>
          <w:rFonts w:cs="Arial"/>
          <w:i/>
          <w:sz w:val="22"/>
          <w:szCs w:val="22"/>
        </w:rPr>
      </w:pPr>
    </w:p>
    <w:p w14:paraId="196DF0B5" w14:textId="77777777" w:rsidR="00003780" w:rsidRPr="00640CFF" w:rsidRDefault="00003780" w:rsidP="00003780">
      <w:pPr>
        <w:tabs>
          <w:tab w:val="left" w:pos="142"/>
        </w:tabs>
        <w:ind w:left="284"/>
        <w:rPr>
          <w:rFonts w:cs="Arial"/>
          <w:i/>
          <w:sz w:val="22"/>
          <w:szCs w:val="22"/>
        </w:rPr>
      </w:pPr>
      <w:r w:rsidRPr="00640CFF">
        <w:rPr>
          <w:rFonts w:cs="Arial"/>
          <w:sz w:val="22"/>
          <w:szCs w:val="22"/>
        </w:rPr>
        <w:t>H.</w:t>
      </w:r>
      <w:r w:rsidRPr="00640CFF">
        <w:rPr>
          <w:rFonts w:cs="Arial"/>
          <w:sz w:val="22"/>
          <w:szCs w:val="22"/>
        </w:rPr>
        <w:tab/>
        <w:t xml:space="preserve">Banco de Nivel: El contratista levantara todos los bancos de nivel, puntos de coordinación y estacas, las cuales deben ser preservados y mantenidas por cuenta del contratista; hasta que el supervisor crea conveniente mantenerlos. </w:t>
      </w:r>
    </w:p>
    <w:p w14:paraId="29B7FFC9" w14:textId="77777777" w:rsidR="00003780" w:rsidRPr="00640CFF" w:rsidRDefault="00003780" w:rsidP="00003780">
      <w:pPr>
        <w:tabs>
          <w:tab w:val="left" w:pos="142"/>
        </w:tabs>
        <w:rPr>
          <w:rFonts w:cs="Arial"/>
          <w:i/>
          <w:sz w:val="22"/>
          <w:szCs w:val="22"/>
        </w:rPr>
      </w:pPr>
    </w:p>
    <w:p w14:paraId="12DC860F" w14:textId="77777777" w:rsidR="00003780" w:rsidRPr="00640CFF" w:rsidRDefault="00003780" w:rsidP="00003780">
      <w:pPr>
        <w:tabs>
          <w:tab w:val="left" w:pos="142"/>
        </w:tabs>
        <w:ind w:left="284"/>
        <w:rPr>
          <w:rFonts w:cs="Arial"/>
          <w:i/>
          <w:sz w:val="22"/>
          <w:szCs w:val="22"/>
        </w:rPr>
      </w:pPr>
      <w:r w:rsidRPr="00640CFF">
        <w:rPr>
          <w:rFonts w:cs="Arial"/>
          <w:sz w:val="22"/>
          <w:szCs w:val="22"/>
        </w:rPr>
        <w:t>I.</w:t>
      </w:r>
      <w:r w:rsidRPr="00640CFF">
        <w:rPr>
          <w:rFonts w:cs="Arial"/>
          <w:sz w:val="22"/>
          <w:szCs w:val="22"/>
        </w:rPr>
        <w:tab/>
        <w:t xml:space="preserve">Responsabilidad por el terreno: El contratista tiene la obligación de examinar los planos, estudios geológicos y de suelos, efectuados en el sitio de la obra y asumir completa responsabilidad en el uso y disponibilidad del suelo desde el punto de vista constructivo. </w:t>
      </w:r>
    </w:p>
    <w:p w14:paraId="310F9E3B" w14:textId="77777777" w:rsidR="00003780" w:rsidRPr="00640CFF" w:rsidRDefault="00003780" w:rsidP="00003780">
      <w:pPr>
        <w:tabs>
          <w:tab w:val="left" w:pos="142"/>
        </w:tabs>
        <w:rPr>
          <w:rFonts w:cs="Arial"/>
          <w:i/>
          <w:sz w:val="22"/>
          <w:szCs w:val="22"/>
        </w:rPr>
      </w:pPr>
    </w:p>
    <w:p w14:paraId="3F35FA6D" w14:textId="77777777" w:rsidR="00003780" w:rsidRPr="00640CFF" w:rsidRDefault="00003780" w:rsidP="00003780">
      <w:pPr>
        <w:tabs>
          <w:tab w:val="left" w:pos="142"/>
        </w:tabs>
        <w:ind w:left="284"/>
        <w:rPr>
          <w:rFonts w:cs="Arial"/>
          <w:i/>
          <w:sz w:val="22"/>
          <w:szCs w:val="22"/>
        </w:rPr>
      </w:pPr>
      <w:r w:rsidRPr="00640CFF">
        <w:rPr>
          <w:rFonts w:cs="Arial"/>
          <w:sz w:val="22"/>
          <w:szCs w:val="22"/>
        </w:rPr>
        <w:t>J. Trazado de la obra: El contratista comprobara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14D4FBE5" w14:textId="77777777" w:rsidR="00003780" w:rsidRPr="00640CFF" w:rsidRDefault="00003780" w:rsidP="00003780">
      <w:pPr>
        <w:tabs>
          <w:tab w:val="left" w:pos="142"/>
        </w:tabs>
        <w:ind w:left="284"/>
        <w:rPr>
          <w:rFonts w:cs="Arial"/>
          <w:i/>
          <w:sz w:val="22"/>
          <w:szCs w:val="22"/>
        </w:rPr>
      </w:pPr>
    </w:p>
    <w:p w14:paraId="49D040EE" w14:textId="77777777" w:rsidR="00003780" w:rsidRPr="00640CFF" w:rsidRDefault="00003780" w:rsidP="00003780">
      <w:pPr>
        <w:tabs>
          <w:tab w:val="left" w:pos="142"/>
        </w:tabs>
        <w:ind w:left="284"/>
        <w:rPr>
          <w:rFonts w:cs="Arial"/>
          <w:i/>
          <w:sz w:val="22"/>
          <w:szCs w:val="22"/>
        </w:rPr>
      </w:pPr>
      <w:r w:rsidRPr="00640CFF">
        <w:rPr>
          <w:rFonts w:cs="Arial"/>
          <w:sz w:val="22"/>
          <w:szCs w:val="22"/>
        </w:rPr>
        <w:t xml:space="preserve">EL CONTRATISTA será responsable de proteger de daños todas las líneas, niveles y puntos de referencia y si se destruyen deberán ser reparados y repuestos por su cuenta. Se notificará a el supervisor, cuando el trazo este sustancialmente terminado y se procederá a la construcción hasta que haya sido aprobado. </w:t>
      </w:r>
    </w:p>
    <w:p w14:paraId="5557C1E7" w14:textId="77777777" w:rsidR="00003780" w:rsidRPr="00640CFF" w:rsidRDefault="00003780" w:rsidP="00003780">
      <w:pPr>
        <w:tabs>
          <w:tab w:val="left" w:pos="142"/>
        </w:tabs>
        <w:rPr>
          <w:rFonts w:cs="Arial"/>
          <w:i/>
          <w:sz w:val="22"/>
          <w:szCs w:val="22"/>
        </w:rPr>
      </w:pPr>
    </w:p>
    <w:p w14:paraId="22B693C9" w14:textId="77777777" w:rsidR="00003780" w:rsidRPr="00640CFF" w:rsidRDefault="00003780" w:rsidP="00003780">
      <w:pPr>
        <w:tabs>
          <w:tab w:val="left" w:pos="142"/>
        </w:tabs>
        <w:ind w:left="284"/>
        <w:rPr>
          <w:rFonts w:cs="Arial"/>
          <w:i/>
          <w:sz w:val="22"/>
          <w:szCs w:val="22"/>
        </w:rPr>
      </w:pPr>
      <w:r w:rsidRPr="00640CFF">
        <w:rPr>
          <w:rFonts w:cs="Arial"/>
          <w:sz w:val="22"/>
          <w:szCs w:val="22"/>
        </w:rPr>
        <w:t xml:space="preserve">K. Nivelación: Toda la edificación se proyecta a un solo nivel interior.  Por tanto, una vez ubicado el proyecto, se asumirá el nivel promedio entre lados opuestos del área de construcción y se procederá a </w:t>
      </w:r>
      <w:r w:rsidRPr="00640CFF">
        <w:rPr>
          <w:rFonts w:cs="Arial"/>
          <w:sz w:val="22"/>
          <w:szCs w:val="22"/>
        </w:rPr>
        <w:lastRenderedPageBreak/>
        <w:t>recortar el terreno alto y rellenar el terreno bajo en capas de 20 cms, compactadas hasta superar o igualar el grado 90% proctor.</w:t>
      </w:r>
    </w:p>
    <w:p w14:paraId="515049D4" w14:textId="77777777" w:rsidR="00003780" w:rsidRPr="00640CFF" w:rsidRDefault="00003780" w:rsidP="00003780">
      <w:pPr>
        <w:tabs>
          <w:tab w:val="left" w:pos="142"/>
        </w:tabs>
        <w:rPr>
          <w:rFonts w:cs="Arial"/>
          <w:i/>
          <w:sz w:val="22"/>
          <w:szCs w:val="22"/>
        </w:rPr>
      </w:pPr>
    </w:p>
    <w:p w14:paraId="102D329E" w14:textId="77777777" w:rsidR="00003780" w:rsidRPr="00640CFF" w:rsidRDefault="00003780" w:rsidP="00003780">
      <w:pPr>
        <w:tabs>
          <w:tab w:val="left" w:pos="142"/>
        </w:tabs>
        <w:ind w:left="284"/>
        <w:rPr>
          <w:rFonts w:cs="Arial"/>
          <w:i/>
          <w:sz w:val="22"/>
          <w:szCs w:val="22"/>
        </w:rPr>
      </w:pPr>
      <w:r w:rsidRPr="00640CFF">
        <w:rPr>
          <w:rFonts w:cs="Arial"/>
          <w:sz w:val="22"/>
          <w:szCs w:val="22"/>
        </w:rPr>
        <w:t>L. La nivelación se extenderá alrededor de la construcción un ancho mínimo de 1 mt. La diferencia entre el nivel de piso interior y el nivel del terreno circundante no podrá ser mayor de 10 cms ó de acuerdo a la orientación del supervisor</w:t>
      </w:r>
    </w:p>
    <w:p w14:paraId="30FBA0C1" w14:textId="77777777" w:rsidR="00003780" w:rsidRPr="00640CFF" w:rsidRDefault="00003780" w:rsidP="00003780">
      <w:pPr>
        <w:tabs>
          <w:tab w:val="left" w:pos="142"/>
        </w:tabs>
        <w:ind w:left="284"/>
        <w:rPr>
          <w:rFonts w:cs="Arial"/>
          <w:i/>
          <w:sz w:val="22"/>
          <w:szCs w:val="22"/>
        </w:rPr>
      </w:pPr>
    </w:p>
    <w:p w14:paraId="4052DF49" w14:textId="77777777" w:rsidR="00003780" w:rsidRPr="00640CFF" w:rsidRDefault="00003780" w:rsidP="00003780">
      <w:pPr>
        <w:tabs>
          <w:tab w:val="left" w:pos="142"/>
        </w:tabs>
        <w:ind w:left="284"/>
        <w:rPr>
          <w:rFonts w:cs="Arial"/>
          <w:i/>
          <w:sz w:val="22"/>
          <w:szCs w:val="22"/>
        </w:rPr>
      </w:pPr>
      <w:r w:rsidRPr="00640CFF">
        <w:rPr>
          <w:rFonts w:cs="Arial"/>
          <w:sz w:val="22"/>
          <w:szCs w:val="22"/>
        </w:rPr>
        <w:t>Los taludes formaran con los horizontales ángulos no mayores de 45 grados. El contratista no tomará ventaja de cualquier contradicción que exista en los planos y las especificaciones, en este caso el supervisor dará por escrito en el libro de bitácora la solución más técnica y adecuada para la ejecución de la obra.</w:t>
      </w:r>
    </w:p>
    <w:p w14:paraId="464CBED3" w14:textId="77777777" w:rsidR="00003780" w:rsidRPr="00640CFF" w:rsidRDefault="00003780" w:rsidP="00003780">
      <w:pPr>
        <w:tabs>
          <w:tab w:val="left" w:pos="142"/>
        </w:tabs>
        <w:rPr>
          <w:rFonts w:cs="Arial"/>
          <w:i/>
          <w:sz w:val="22"/>
          <w:szCs w:val="22"/>
        </w:rPr>
      </w:pPr>
    </w:p>
    <w:p w14:paraId="09416D30"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CERTIFICADOS</w:t>
      </w:r>
    </w:p>
    <w:p w14:paraId="2E067752" w14:textId="77777777" w:rsidR="00003780" w:rsidRPr="00640CFF" w:rsidRDefault="00003780" w:rsidP="00003780">
      <w:pPr>
        <w:tabs>
          <w:tab w:val="left" w:pos="142"/>
        </w:tabs>
        <w:rPr>
          <w:rFonts w:cs="Arial"/>
          <w:b/>
          <w:i/>
          <w:sz w:val="22"/>
          <w:szCs w:val="22"/>
        </w:rPr>
      </w:pPr>
    </w:p>
    <w:p w14:paraId="491C570F" w14:textId="77777777" w:rsidR="00003780" w:rsidRPr="00640CFF" w:rsidRDefault="00003780" w:rsidP="00003780">
      <w:pPr>
        <w:tabs>
          <w:tab w:val="left" w:pos="142"/>
        </w:tabs>
        <w:rPr>
          <w:rFonts w:cs="Arial"/>
          <w:i/>
          <w:sz w:val="22"/>
          <w:szCs w:val="22"/>
        </w:rPr>
      </w:pPr>
      <w:r w:rsidRPr="00640CFF">
        <w:rPr>
          <w:rFonts w:cs="Arial"/>
          <w:sz w:val="22"/>
          <w:szCs w:val="22"/>
        </w:rPr>
        <w:t xml:space="preserve">Envío de las muestras.  El CONTRATISTA someterá al supervisor en triplicado un certificado describiendo cada muestra sometida para su aprobación, certificando que el material, equipo o accesorio llena los requisitos del Contrato.  El Certificado deberá incluir la siguiente información: </w:t>
      </w:r>
    </w:p>
    <w:p w14:paraId="5F44C538" w14:textId="77777777" w:rsidR="00003780" w:rsidRPr="00640CFF" w:rsidRDefault="00003780" w:rsidP="00003780">
      <w:pPr>
        <w:tabs>
          <w:tab w:val="left" w:pos="142"/>
        </w:tabs>
        <w:rPr>
          <w:rFonts w:cs="Arial"/>
          <w:i/>
          <w:sz w:val="22"/>
          <w:szCs w:val="22"/>
        </w:rPr>
      </w:pPr>
    </w:p>
    <w:p w14:paraId="6C4EEF53" w14:textId="77777777" w:rsidR="00003780" w:rsidRPr="00640CFF" w:rsidRDefault="00003780" w:rsidP="00003780">
      <w:pPr>
        <w:tabs>
          <w:tab w:val="left" w:pos="142"/>
        </w:tabs>
        <w:rPr>
          <w:rFonts w:cs="Arial"/>
          <w:i/>
          <w:sz w:val="22"/>
          <w:szCs w:val="22"/>
        </w:rPr>
      </w:pPr>
      <w:r w:rsidRPr="00640CFF">
        <w:rPr>
          <w:rFonts w:cs="Arial"/>
          <w:sz w:val="22"/>
          <w:szCs w:val="22"/>
        </w:rPr>
        <w:t>1.- Nombre y marca del producto y del manufacturero.</w:t>
      </w:r>
    </w:p>
    <w:p w14:paraId="2B403844" w14:textId="77777777" w:rsidR="00003780" w:rsidRPr="00640CFF" w:rsidRDefault="00003780" w:rsidP="00003780">
      <w:pPr>
        <w:tabs>
          <w:tab w:val="left" w:pos="142"/>
        </w:tabs>
        <w:rPr>
          <w:rFonts w:cs="Arial"/>
          <w:i/>
          <w:sz w:val="22"/>
          <w:szCs w:val="22"/>
        </w:rPr>
      </w:pPr>
      <w:r w:rsidRPr="00640CFF">
        <w:rPr>
          <w:rFonts w:cs="Arial"/>
          <w:sz w:val="22"/>
          <w:szCs w:val="22"/>
        </w:rPr>
        <w:t>2.- Descripción de propiedades químicas y físicas del material y nombre del laboratorio o autoridad donde se obtuvo el dato.</w:t>
      </w:r>
    </w:p>
    <w:p w14:paraId="59BB5EF2" w14:textId="77777777" w:rsidR="00003780" w:rsidRPr="00640CFF" w:rsidRDefault="00003780" w:rsidP="00003780">
      <w:pPr>
        <w:tabs>
          <w:tab w:val="left" w:pos="142"/>
        </w:tabs>
        <w:rPr>
          <w:rFonts w:cs="Arial"/>
          <w:i/>
          <w:sz w:val="22"/>
          <w:szCs w:val="22"/>
        </w:rPr>
      </w:pPr>
      <w:r w:rsidRPr="00640CFF">
        <w:rPr>
          <w:rFonts w:cs="Arial"/>
          <w:sz w:val="22"/>
          <w:szCs w:val="22"/>
        </w:rPr>
        <w:t>3.- Fecha de la prueba. Si la declaración es original del manufacturero, El CONTRATISTA endosará a su nombre todo reclamo y someterá la declaración bajo su propio nombre.</w:t>
      </w:r>
    </w:p>
    <w:p w14:paraId="04364661" w14:textId="77777777" w:rsidR="00003780" w:rsidRPr="00640CFF" w:rsidRDefault="00003780" w:rsidP="00003780">
      <w:pPr>
        <w:tabs>
          <w:tab w:val="left" w:pos="142"/>
        </w:tabs>
        <w:rPr>
          <w:rFonts w:cs="Arial"/>
          <w:i/>
          <w:sz w:val="22"/>
          <w:szCs w:val="22"/>
        </w:rPr>
      </w:pPr>
    </w:p>
    <w:p w14:paraId="3136B043"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APROBACI</w:t>
      </w:r>
      <w:r>
        <w:rPr>
          <w:rFonts w:cs="Arial"/>
          <w:b/>
          <w:sz w:val="22"/>
          <w:szCs w:val="22"/>
        </w:rPr>
        <w:t>Ó</w:t>
      </w:r>
      <w:r w:rsidRPr="00640CFF">
        <w:rPr>
          <w:rFonts w:cs="Arial"/>
          <w:b/>
          <w:sz w:val="22"/>
          <w:szCs w:val="22"/>
        </w:rPr>
        <w:t>N DE MATERIALES</w:t>
      </w:r>
    </w:p>
    <w:p w14:paraId="1A14B696" w14:textId="77777777" w:rsidR="00003780" w:rsidRPr="00640CFF" w:rsidRDefault="00003780" w:rsidP="00003780">
      <w:pPr>
        <w:tabs>
          <w:tab w:val="left" w:pos="142"/>
        </w:tabs>
        <w:rPr>
          <w:rFonts w:cs="Arial"/>
          <w:b/>
          <w:i/>
          <w:sz w:val="22"/>
          <w:szCs w:val="22"/>
        </w:rPr>
      </w:pPr>
    </w:p>
    <w:p w14:paraId="27AD4D78" w14:textId="77777777" w:rsidR="00003780" w:rsidRPr="00640CFF" w:rsidRDefault="00003780" w:rsidP="00003780">
      <w:pPr>
        <w:tabs>
          <w:tab w:val="left" w:pos="142"/>
        </w:tabs>
        <w:rPr>
          <w:rFonts w:cs="Arial"/>
          <w:i/>
          <w:sz w:val="22"/>
          <w:szCs w:val="22"/>
        </w:rPr>
      </w:pPr>
      <w:r w:rsidRPr="00640CFF">
        <w:rPr>
          <w:rFonts w:cs="Arial"/>
          <w:sz w:val="22"/>
          <w:szCs w:val="22"/>
        </w:rPr>
        <w:t>Todo material, equipo, métodos y accesorios que fueren parte del trabajo quedar</w:t>
      </w:r>
      <w:r>
        <w:rPr>
          <w:rFonts w:cs="Arial"/>
          <w:sz w:val="22"/>
          <w:szCs w:val="22"/>
        </w:rPr>
        <w:t>á</w:t>
      </w:r>
      <w:r w:rsidRPr="00640CFF">
        <w:rPr>
          <w:rFonts w:cs="Arial"/>
          <w:sz w:val="22"/>
          <w:szCs w:val="22"/>
        </w:rPr>
        <w:t xml:space="preserve">n sujetos a la aprobación o desaprobación del Supervisor, él tiene la opción de requerir pruebas de </w:t>
      </w:r>
      <w:r>
        <w:rPr>
          <w:rFonts w:cs="Arial"/>
          <w:sz w:val="22"/>
          <w:szCs w:val="22"/>
        </w:rPr>
        <w:t>l</w:t>
      </w:r>
      <w:r w:rsidRPr="00640CFF">
        <w:rPr>
          <w:rFonts w:cs="Arial"/>
          <w:sz w:val="22"/>
          <w:szCs w:val="22"/>
        </w:rPr>
        <w:t xml:space="preserve">aboratorio de muestras sometidas para su aprobación o a su discreción, aprobar materiales basándose en el dato y muestras sometidas. </w:t>
      </w:r>
    </w:p>
    <w:p w14:paraId="3E81B82E" w14:textId="77777777" w:rsidR="00003780" w:rsidRPr="00640CFF" w:rsidRDefault="00003780" w:rsidP="00003780">
      <w:pPr>
        <w:tabs>
          <w:tab w:val="left" w:pos="142"/>
        </w:tabs>
        <w:rPr>
          <w:rFonts w:cs="Arial"/>
          <w:i/>
          <w:sz w:val="22"/>
          <w:szCs w:val="22"/>
        </w:rPr>
      </w:pPr>
    </w:p>
    <w:p w14:paraId="11839069" w14:textId="77777777" w:rsidR="00003780" w:rsidRPr="00640CFF" w:rsidRDefault="00003780" w:rsidP="00003780">
      <w:pPr>
        <w:tabs>
          <w:tab w:val="left" w:pos="142"/>
        </w:tabs>
        <w:rPr>
          <w:rFonts w:cs="Arial"/>
          <w:i/>
          <w:sz w:val="22"/>
          <w:szCs w:val="22"/>
        </w:rPr>
      </w:pPr>
      <w:r w:rsidRPr="00640CFF">
        <w:rPr>
          <w:rFonts w:cs="Arial"/>
          <w:sz w:val="22"/>
          <w:szCs w:val="22"/>
        </w:rPr>
        <w:t xml:space="preserve">La aprobación de cualquier material o producto no constituirá renuncia del derecho del INSPECTOR para demandar el completo incumplimiento de los requisitos del Contrato.  </w:t>
      </w:r>
    </w:p>
    <w:p w14:paraId="7F47BB7F" w14:textId="77777777" w:rsidR="00003780" w:rsidRPr="00640CFF" w:rsidRDefault="00003780" w:rsidP="00003780">
      <w:pPr>
        <w:tabs>
          <w:tab w:val="left" w:pos="142"/>
        </w:tabs>
        <w:rPr>
          <w:rFonts w:cs="Arial"/>
          <w:i/>
          <w:sz w:val="22"/>
          <w:szCs w:val="22"/>
        </w:rPr>
      </w:pPr>
    </w:p>
    <w:p w14:paraId="7DF0EF8B" w14:textId="77777777" w:rsidR="00003780" w:rsidRPr="00640CFF" w:rsidRDefault="00003780" w:rsidP="00003780">
      <w:pPr>
        <w:tabs>
          <w:tab w:val="left" w:pos="142"/>
        </w:tabs>
        <w:rPr>
          <w:rFonts w:cs="Arial"/>
          <w:i/>
          <w:sz w:val="22"/>
          <w:szCs w:val="22"/>
        </w:rPr>
      </w:pPr>
      <w:r w:rsidRPr="00640CFF">
        <w:rPr>
          <w:rFonts w:cs="Arial"/>
          <w:sz w:val="22"/>
          <w:szCs w:val="22"/>
        </w:rPr>
        <w:t>La aprobación de una muestra se entiende que es solamente su característica y no deberá interpretarse como cambio o modificación a los requisitos del Contrato. No se enviará material alguno al trabajo hasta que las muestras representativas del hayan sido aprobadas por escrito por el SUPERVISOR.</w:t>
      </w:r>
    </w:p>
    <w:p w14:paraId="1F22A3CE" w14:textId="77777777" w:rsidR="00003780" w:rsidRPr="00640CFF" w:rsidRDefault="00003780" w:rsidP="00003780">
      <w:pPr>
        <w:tabs>
          <w:tab w:val="left" w:pos="142"/>
        </w:tabs>
        <w:rPr>
          <w:rFonts w:cs="Arial"/>
          <w:i/>
          <w:sz w:val="22"/>
          <w:szCs w:val="22"/>
        </w:rPr>
      </w:pPr>
    </w:p>
    <w:p w14:paraId="0EF2D681"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RECHAZO DE MATERIALES</w:t>
      </w:r>
    </w:p>
    <w:p w14:paraId="151BBCFA" w14:textId="77777777" w:rsidR="00003780" w:rsidRPr="00640CFF" w:rsidRDefault="00003780" w:rsidP="00003780">
      <w:pPr>
        <w:tabs>
          <w:tab w:val="left" w:pos="142"/>
        </w:tabs>
        <w:rPr>
          <w:rFonts w:cs="Arial"/>
          <w:i/>
          <w:sz w:val="22"/>
          <w:szCs w:val="22"/>
        </w:rPr>
      </w:pPr>
    </w:p>
    <w:p w14:paraId="642D7971" w14:textId="77777777" w:rsidR="00003780" w:rsidRPr="00640CFF" w:rsidRDefault="00003780" w:rsidP="00003780">
      <w:pPr>
        <w:tabs>
          <w:tab w:val="left" w:pos="142"/>
        </w:tabs>
        <w:rPr>
          <w:rFonts w:cs="Arial"/>
          <w:i/>
          <w:sz w:val="22"/>
          <w:szCs w:val="22"/>
        </w:rPr>
      </w:pPr>
      <w:r w:rsidRPr="00640CFF">
        <w:rPr>
          <w:rFonts w:cs="Arial"/>
          <w:sz w:val="22"/>
          <w:szCs w:val="22"/>
        </w:rPr>
        <w:t xml:space="preserve">Falla en las muestras será suficiente causa para que se rehúse considerar cualquier otra muestra del mismo manufacturero cuyos materiales hayan fallado. En caso que los materiales, equipos o accesorios que han sido rechazados por el INSPECTOR se incorporen en la obra, el INSPECTOR tendrá derecho de ordenar que se remuevan y se repongan por otros aprobados o demandar al CONTRATISTA todas las reparaciones que crea conveniente. </w:t>
      </w:r>
    </w:p>
    <w:p w14:paraId="3F98CDDA" w14:textId="77777777" w:rsidR="00003780" w:rsidRPr="00640CFF" w:rsidRDefault="00003780" w:rsidP="00003780">
      <w:pPr>
        <w:tabs>
          <w:tab w:val="left" w:pos="142"/>
        </w:tabs>
        <w:rPr>
          <w:rFonts w:cs="Arial"/>
          <w:i/>
          <w:sz w:val="22"/>
          <w:szCs w:val="22"/>
        </w:rPr>
      </w:pPr>
    </w:p>
    <w:p w14:paraId="641DE9F4" w14:textId="77777777" w:rsidR="00003780" w:rsidRPr="00640CFF" w:rsidRDefault="00003780" w:rsidP="00003780">
      <w:pPr>
        <w:tabs>
          <w:tab w:val="left" w:pos="142"/>
        </w:tabs>
        <w:rPr>
          <w:rFonts w:cs="Arial"/>
          <w:i/>
          <w:sz w:val="22"/>
          <w:szCs w:val="22"/>
        </w:rPr>
      </w:pPr>
      <w:r w:rsidRPr="00640CFF">
        <w:rPr>
          <w:rFonts w:cs="Arial"/>
          <w:sz w:val="22"/>
          <w:szCs w:val="22"/>
        </w:rPr>
        <w:t>Los materiales que no cumplan con las especificaciones en cuanto a la resistencia, esfuerzos y otros como dimensiones y calidad, será desechados de la obra en caso que hayan sido integrados a la obra, esta será demolida asumiendo los nuevos costos el contratista.</w:t>
      </w:r>
    </w:p>
    <w:p w14:paraId="6AA51399" w14:textId="77777777" w:rsidR="00003780" w:rsidRDefault="00003780" w:rsidP="00003780">
      <w:pPr>
        <w:pStyle w:val="Prrafodelista"/>
        <w:tabs>
          <w:tab w:val="left" w:pos="142"/>
        </w:tabs>
        <w:rPr>
          <w:rFonts w:cs="Arial"/>
          <w:b/>
          <w:i/>
          <w:sz w:val="22"/>
          <w:szCs w:val="22"/>
        </w:rPr>
      </w:pPr>
    </w:p>
    <w:p w14:paraId="59EDCC3E" w14:textId="77777777" w:rsidR="00507630" w:rsidRPr="00640CFF" w:rsidRDefault="00507630" w:rsidP="00003780">
      <w:pPr>
        <w:pStyle w:val="Prrafodelista"/>
        <w:tabs>
          <w:tab w:val="left" w:pos="142"/>
        </w:tabs>
        <w:rPr>
          <w:rFonts w:cs="Arial"/>
          <w:b/>
          <w:i/>
          <w:sz w:val="22"/>
          <w:szCs w:val="22"/>
        </w:rPr>
      </w:pPr>
    </w:p>
    <w:p w14:paraId="12C14370"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lastRenderedPageBreak/>
        <w:t>FORMA PARA PRESENTAR MUESTRAS</w:t>
      </w:r>
    </w:p>
    <w:p w14:paraId="1B44DC28" w14:textId="77777777" w:rsidR="00003780" w:rsidRPr="00640CFF" w:rsidRDefault="00003780" w:rsidP="00003780">
      <w:pPr>
        <w:pStyle w:val="Prrafodelista"/>
        <w:tabs>
          <w:tab w:val="left" w:pos="142"/>
        </w:tabs>
        <w:rPr>
          <w:rFonts w:cs="Arial"/>
          <w:b/>
          <w:i/>
        </w:rPr>
      </w:pPr>
    </w:p>
    <w:p w14:paraId="3BBEB469" w14:textId="77777777" w:rsidR="00003780" w:rsidRPr="00640CFF" w:rsidRDefault="00003780" w:rsidP="00003780">
      <w:pPr>
        <w:pStyle w:val="Prrafodelista"/>
        <w:tabs>
          <w:tab w:val="left" w:pos="142"/>
        </w:tabs>
        <w:ind w:left="0"/>
        <w:rPr>
          <w:rFonts w:cs="Arial"/>
          <w:i/>
          <w:sz w:val="22"/>
          <w:szCs w:val="22"/>
        </w:rPr>
      </w:pPr>
      <w:r w:rsidRPr="00640CFF">
        <w:rPr>
          <w:rFonts w:cs="Arial"/>
          <w:sz w:val="22"/>
          <w:szCs w:val="22"/>
        </w:rPr>
        <w:t>EL CONTRATISTA someterá al SUPERVISOR del material solicitado, un Certificado de calidad, proveído por parte del suplidor del fabricante. EL CONTRATISTA en caso de no presentar el certificado del material, pagara todo gasto de transporte de las muestras, las cuales deberán presentarse debidamente marcadas, indicando claramente el nombre de productos, lugar de origen, nombre del manufacturero, nombre del CONTRATISTA y nombre del Proyecto. El material cuyas muestras sean así presentadas, si son satisfactorias, podrá ser incorporado en el trabajo del CONTRATISTA.</w:t>
      </w:r>
    </w:p>
    <w:p w14:paraId="1E1BFDBB" w14:textId="77777777" w:rsidR="00003780" w:rsidRDefault="00003780" w:rsidP="00003780">
      <w:pPr>
        <w:pStyle w:val="Prrafodelista"/>
        <w:tabs>
          <w:tab w:val="left" w:pos="142"/>
        </w:tabs>
        <w:ind w:left="0"/>
        <w:rPr>
          <w:rFonts w:cs="Arial"/>
          <w:b/>
          <w:i/>
          <w:sz w:val="22"/>
          <w:szCs w:val="22"/>
        </w:rPr>
      </w:pPr>
    </w:p>
    <w:p w14:paraId="32E1C3C1"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CAMBIO EN LAS ESPECIFICACIONES</w:t>
      </w:r>
    </w:p>
    <w:p w14:paraId="1A1F8E45" w14:textId="77777777" w:rsidR="00003780" w:rsidRPr="00640CFF" w:rsidRDefault="00003780" w:rsidP="00003780">
      <w:pPr>
        <w:pStyle w:val="Prrafodelista"/>
        <w:tabs>
          <w:tab w:val="left" w:pos="142"/>
        </w:tabs>
        <w:rPr>
          <w:rFonts w:cs="Arial"/>
          <w:i/>
          <w:sz w:val="22"/>
          <w:szCs w:val="22"/>
        </w:rPr>
      </w:pPr>
    </w:p>
    <w:p w14:paraId="47A1A7A9" w14:textId="77777777" w:rsidR="00003780" w:rsidRPr="00640CFF" w:rsidRDefault="00003780" w:rsidP="00003780">
      <w:pPr>
        <w:rPr>
          <w:rFonts w:cs="Arial"/>
          <w:i/>
          <w:sz w:val="22"/>
          <w:szCs w:val="22"/>
        </w:rPr>
      </w:pPr>
      <w:r w:rsidRPr="00640CFF">
        <w:rPr>
          <w:rFonts w:cs="Arial"/>
          <w:sz w:val="22"/>
          <w:szCs w:val="22"/>
        </w:rPr>
        <w:t>Todo lo aquí indicado en las especificaciones técnicas, y los contratistas cambien o por cualquier error involuntario, o mal intención de estos, serán objetos de paralizar las obras por el supervisor, corregir las obras siguiendo las especificaciones, sin costo alguno para el dueño, así como obra adicional que el error del contratista cauce. Todo el costo que incurra correrá por cuenta del contratista.</w:t>
      </w:r>
    </w:p>
    <w:p w14:paraId="1FA9D9E2" w14:textId="77777777" w:rsidR="00003780" w:rsidRPr="00640CFF" w:rsidRDefault="00003780" w:rsidP="00003780">
      <w:pPr>
        <w:pStyle w:val="Prrafodelista"/>
        <w:tabs>
          <w:tab w:val="left" w:pos="142"/>
        </w:tabs>
        <w:rPr>
          <w:rFonts w:cs="Arial"/>
          <w:b/>
          <w:i/>
          <w:sz w:val="22"/>
          <w:szCs w:val="22"/>
        </w:rPr>
      </w:pPr>
    </w:p>
    <w:p w14:paraId="5218849F" w14:textId="77777777" w:rsidR="00003780" w:rsidRPr="00640CFF" w:rsidRDefault="00003780" w:rsidP="003B68DB">
      <w:pPr>
        <w:pStyle w:val="Prrafodelista"/>
        <w:numPr>
          <w:ilvl w:val="1"/>
          <w:numId w:val="127"/>
        </w:numPr>
        <w:tabs>
          <w:tab w:val="left" w:pos="142"/>
        </w:tabs>
        <w:contextualSpacing/>
        <w:rPr>
          <w:rFonts w:cs="Arial"/>
          <w:b/>
          <w:i/>
          <w:sz w:val="22"/>
          <w:szCs w:val="22"/>
        </w:rPr>
      </w:pPr>
      <w:r w:rsidRPr="00640CFF">
        <w:rPr>
          <w:rFonts w:cs="Arial"/>
          <w:b/>
          <w:sz w:val="22"/>
          <w:szCs w:val="22"/>
        </w:rPr>
        <w:t xml:space="preserve"> MATERIALES NO ESPECIFICADOS POR MARCA O SIMILITUD</w:t>
      </w:r>
    </w:p>
    <w:p w14:paraId="11A4B995" w14:textId="77777777" w:rsidR="00003780" w:rsidRPr="00640CFF" w:rsidRDefault="00003780" w:rsidP="00003780">
      <w:pPr>
        <w:pStyle w:val="Prrafodelista"/>
        <w:tabs>
          <w:tab w:val="left" w:pos="142"/>
        </w:tabs>
        <w:rPr>
          <w:rFonts w:cs="Arial"/>
          <w:i/>
          <w:sz w:val="22"/>
          <w:szCs w:val="22"/>
        </w:rPr>
      </w:pPr>
    </w:p>
    <w:p w14:paraId="7770393B" w14:textId="77777777" w:rsidR="00003780" w:rsidRPr="00640CFF" w:rsidRDefault="00003780" w:rsidP="00003780">
      <w:pPr>
        <w:rPr>
          <w:rFonts w:cs="Arial"/>
          <w:i/>
          <w:sz w:val="22"/>
          <w:szCs w:val="22"/>
        </w:rPr>
      </w:pPr>
      <w:r w:rsidRPr="00640CFF">
        <w:rPr>
          <w:rFonts w:cs="Arial"/>
          <w:sz w:val="22"/>
          <w:szCs w:val="22"/>
        </w:rPr>
        <w:t>Deberán ser de primera calidad y deberán ser acompañadas por certificados de laboratorios, recomendaciones escritas de otras empresas o entidades que las hayan usado, y serán acompañadas por garantías escritas en cuanto a su calidad, duración y responsabilidad económica para respaldar daños ulteriores causados por defectos en el material.</w:t>
      </w:r>
    </w:p>
    <w:p w14:paraId="27507DCD" w14:textId="77777777" w:rsidR="00003780" w:rsidRPr="00640CFF" w:rsidRDefault="00003780" w:rsidP="00003780">
      <w:pPr>
        <w:rPr>
          <w:rFonts w:cs="Arial"/>
          <w:i/>
          <w:sz w:val="22"/>
          <w:szCs w:val="22"/>
        </w:rPr>
      </w:pPr>
    </w:p>
    <w:p w14:paraId="55F6F491" w14:textId="77777777" w:rsidR="00003780" w:rsidRPr="00640CFF" w:rsidRDefault="00003780" w:rsidP="003B68DB">
      <w:pPr>
        <w:pStyle w:val="Prrafodelista"/>
        <w:numPr>
          <w:ilvl w:val="1"/>
          <w:numId w:val="127"/>
        </w:numPr>
        <w:contextualSpacing/>
        <w:rPr>
          <w:rFonts w:cs="Arial"/>
          <w:b/>
          <w:i/>
          <w:sz w:val="22"/>
          <w:szCs w:val="22"/>
        </w:rPr>
      </w:pPr>
      <w:r w:rsidRPr="00640CFF">
        <w:rPr>
          <w:rFonts w:cs="Arial"/>
          <w:b/>
          <w:sz w:val="22"/>
          <w:szCs w:val="22"/>
        </w:rPr>
        <w:t xml:space="preserve"> MATERIALES ESPECIFICADOS PO MARCA O SIMILITUD</w:t>
      </w:r>
    </w:p>
    <w:p w14:paraId="7E11495F" w14:textId="77777777" w:rsidR="00003780" w:rsidRPr="00640CFF" w:rsidRDefault="00003780" w:rsidP="00003780">
      <w:pPr>
        <w:pStyle w:val="Prrafodelista"/>
        <w:tabs>
          <w:tab w:val="left" w:pos="142"/>
        </w:tabs>
        <w:rPr>
          <w:rFonts w:cs="Arial"/>
          <w:b/>
          <w:i/>
          <w:sz w:val="22"/>
          <w:szCs w:val="22"/>
        </w:rPr>
      </w:pPr>
    </w:p>
    <w:p w14:paraId="7838B486" w14:textId="77777777" w:rsidR="00003780" w:rsidRPr="00640CFF" w:rsidRDefault="00003780" w:rsidP="00003780">
      <w:pPr>
        <w:pStyle w:val="Prrafodelista"/>
        <w:tabs>
          <w:tab w:val="left" w:pos="142"/>
        </w:tabs>
        <w:ind w:left="0"/>
        <w:rPr>
          <w:rFonts w:cs="Arial"/>
          <w:i/>
          <w:sz w:val="22"/>
          <w:szCs w:val="22"/>
        </w:rPr>
      </w:pPr>
      <w:r w:rsidRPr="00640CFF">
        <w:rPr>
          <w:rFonts w:cs="Arial"/>
          <w:sz w:val="22"/>
          <w:szCs w:val="22"/>
        </w:rPr>
        <w:t>Se especificará por marca o similitud aprobada, se requiere que la similitud se dé mediante certificados, folletos y garantías que demuestren igualdad en cuanto a durabilidad y acabado de materiales, dimensiones, rendimientos mecánicos, eficiencia y actuación, operaciones y controles.</w:t>
      </w:r>
    </w:p>
    <w:p w14:paraId="327271FD" w14:textId="77777777" w:rsidR="00003780" w:rsidRDefault="00003780" w:rsidP="00003780">
      <w:pPr>
        <w:tabs>
          <w:tab w:val="left" w:pos="142"/>
        </w:tabs>
        <w:rPr>
          <w:rFonts w:cs="Arial"/>
          <w:i/>
          <w:sz w:val="22"/>
          <w:szCs w:val="22"/>
        </w:rPr>
      </w:pPr>
    </w:p>
    <w:p w14:paraId="6B8BD3BE" w14:textId="77777777" w:rsidR="00003780" w:rsidRPr="00095129" w:rsidRDefault="00003780" w:rsidP="003B68DB">
      <w:pPr>
        <w:pStyle w:val="Prrafodelista"/>
        <w:keepNext/>
        <w:numPr>
          <w:ilvl w:val="0"/>
          <w:numId w:val="127"/>
        </w:numPr>
        <w:tabs>
          <w:tab w:val="left" w:pos="142"/>
        </w:tabs>
        <w:ind w:left="426" w:right="-516" w:firstLine="0"/>
        <w:contextualSpacing/>
        <w:outlineLvl w:val="1"/>
        <w:rPr>
          <w:rFonts w:cs="Arial"/>
          <w:b/>
          <w:bCs/>
          <w:i/>
          <w:iCs/>
          <w:sz w:val="22"/>
          <w:szCs w:val="22"/>
        </w:rPr>
      </w:pPr>
      <w:r w:rsidRPr="00095129">
        <w:rPr>
          <w:rFonts w:cs="Arial"/>
          <w:b/>
          <w:bCs/>
          <w:iCs/>
          <w:sz w:val="22"/>
          <w:szCs w:val="22"/>
        </w:rPr>
        <w:t xml:space="preserve"> ESPECIFICACIONES TÉCNICAS GENERALES PARA LA CONSTRUCCIÓN DE LETRINAS </w:t>
      </w:r>
    </w:p>
    <w:p w14:paraId="6E47223F" w14:textId="77777777" w:rsidR="00003780" w:rsidRPr="00640CFF" w:rsidRDefault="00003780" w:rsidP="00003780">
      <w:pPr>
        <w:tabs>
          <w:tab w:val="left" w:pos="142"/>
        </w:tabs>
        <w:ind w:left="-567"/>
        <w:rPr>
          <w:rFonts w:cs="Arial"/>
          <w:b/>
          <w:i/>
          <w:sz w:val="22"/>
          <w:szCs w:val="22"/>
        </w:rPr>
      </w:pPr>
    </w:p>
    <w:p w14:paraId="39F9BF67"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LOCALIZACIÓN DE SITIOS DO</w:t>
      </w:r>
      <w:r>
        <w:rPr>
          <w:rFonts w:cs="Arial"/>
          <w:b/>
          <w:bCs/>
          <w:iCs/>
          <w:sz w:val="22"/>
          <w:szCs w:val="22"/>
        </w:rPr>
        <w:t>NDE SE CONSTRUIRÁN LAS LETRINAS</w:t>
      </w:r>
    </w:p>
    <w:p w14:paraId="3D309747" w14:textId="77777777" w:rsidR="00003780" w:rsidRPr="00640CFF" w:rsidRDefault="00003780" w:rsidP="00003780">
      <w:pPr>
        <w:tabs>
          <w:tab w:val="left" w:pos="142"/>
        </w:tabs>
        <w:ind w:left="-567"/>
        <w:rPr>
          <w:rFonts w:cs="Arial"/>
          <w:i/>
          <w:sz w:val="22"/>
          <w:szCs w:val="22"/>
          <w:lang w:eastAsia="es-NI"/>
        </w:rPr>
      </w:pPr>
    </w:p>
    <w:p w14:paraId="0C2855DD"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Estas obras se realizarán en los predios de cada una de las viviendas que integran el proyecto y para lo cual se deberán tomas los aspectos generales siguientes:</w:t>
      </w:r>
    </w:p>
    <w:p w14:paraId="0272B550"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05A2701E"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Localización y ubicación del terreno, el cual debe tener las condiciones de permanecer seco y/o libres de inundaciones.</w:t>
      </w:r>
    </w:p>
    <w:p w14:paraId="43B3EF44"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En terrenos con pendientes altas la letrina se localizará en las partes más bajas.</w:t>
      </w:r>
    </w:p>
    <w:p w14:paraId="68EECF4B"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La distancia mínima entre la letrina y cualquier fuente de abastecimiento de agua, será de 20.0</w:t>
      </w:r>
      <w:r>
        <w:rPr>
          <w:rFonts w:cs="Arial"/>
          <w:sz w:val="22"/>
          <w:szCs w:val="22"/>
          <w:lang w:val="es-NI" w:eastAsia="es-NI"/>
        </w:rPr>
        <w:t xml:space="preserve">0 m., o fuera del predio donde </w:t>
      </w:r>
      <w:r w:rsidRPr="00F65A3E">
        <w:rPr>
          <w:rFonts w:cs="Arial"/>
          <w:sz w:val="22"/>
          <w:szCs w:val="22"/>
          <w:lang w:val="es-NI" w:eastAsia="es-NI"/>
        </w:rPr>
        <w:t>se construirá.</w:t>
      </w:r>
    </w:p>
    <w:p w14:paraId="2C936BBB"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La distancia mínima vertical entre el fondo de la fosa y el nivel freático será de 3.00 m.</w:t>
      </w:r>
    </w:p>
    <w:p w14:paraId="2E98A599"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La distancia entre la casa y la letrina será de 5.00 m como mínimo.</w:t>
      </w:r>
    </w:p>
    <w:p w14:paraId="3115AF0E"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Deberá considerarse la dirección del viento al ubicar la letrina a sotavento de la vivienda.</w:t>
      </w:r>
    </w:p>
    <w:p w14:paraId="27E98913" w14:textId="77777777" w:rsidR="00003780" w:rsidRPr="00F65A3E" w:rsidRDefault="00003780" w:rsidP="003B68DB">
      <w:pPr>
        <w:pStyle w:val="Prrafodelista"/>
        <w:numPr>
          <w:ilvl w:val="0"/>
          <w:numId w:val="129"/>
        </w:numPr>
        <w:tabs>
          <w:tab w:val="left" w:pos="142"/>
        </w:tabs>
        <w:autoSpaceDE w:val="0"/>
        <w:autoSpaceDN w:val="0"/>
        <w:adjustRightInd w:val="0"/>
        <w:contextualSpacing/>
        <w:rPr>
          <w:rFonts w:cs="Arial"/>
          <w:i/>
          <w:sz w:val="22"/>
          <w:szCs w:val="22"/>
          <w:lang w:val="es-NI" w:eastAsia="es-NI"/>
        </w:rPr>
      </w:pPr>
      <w:r w:rsidRPr="00F65A3E">
        <w:rPr>
          <w:rFonts w:cs="Arial"/>
          <w:sz w:val="22"/>
          <w:szCs w:val="22"/>
          <w:lang w:val="es-NI" w:eastAsia="es-NI"/>
        </w:rPr>
        <w:t>En terrenos inestables, para evitar derrumbes durante la excavación, será necesario ademar las paredes de la fosa con material local.</w:t>
      </w:r>
    </w:p>
    <w:p w14:paraId="453C6156" w14:textId="77777777" w:rsidR="00003780" w:rsidRPr="00640CFF" w:rsidRDefault="00003780" w:rsidP="00003780">
      <w:pPr>
        <w:tabs>
          <w:tab w:val="left" w:pos="142"/>
        </w:tabs>
        <w:autoSpaceDE w:val="0"/>
        <w:autoSpaceDN w:val="0"/>
        <w:adjustRightInd w:val="0"/>
        <w:ind w:left="-567"/>
        <w:rPr>
          <w:rFonts w:cs="Arial"/>
          <w:i/>
          <w:sz w:val="22"/>
          <w:szCs w:val="22"/>
          <w:lang w:val="es-NI" w:eastAsia="es-NI"/>
        </w:rPr>
      </w:pPr>
    </w:p>
    <w:p w14:paraId="386F0C5D"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lastRenderedPageBreak/>
        <w:t>MATERIALES</w:t>
      </w:r>
    </w:p>
    <w:p w14:paraId="173A29C0" w14:textId="77777777" w:rsidR="00003780" w:rsidRPr="00640CFF" w:rsidRDefault="00003780" w:rsidP="00003780">
      <w:pPr>
        <w:pStyle w:val="Prrafodelista"/>
        <w:keepNext/>
        <w:tabs>
          <w:tab w:val="left" w:pos="142"/>
        </w:tabs>
        <w:ind w:left="0" w:right="-516"/>
        <w:outlineLvl w:val="1"/>
        <w:rPr>
          <w:rFonts w:cs="Arial"/>
          <w:b/>
          <w:bCs/>
          <w:i/>
          <w:iCs/>
          <w:sz w:val="22"/>
          <w:szCs w:val="22"/>
        </w:rPr>
      </w:pPr>
    </w:p>
    <w:p w14:paraId="2D6055AF" w14:textId="77777777" w:rsidR="00003780" w:rsidRPr="00F65A3E" w:rsidRDefault="00003780" w:rsidP="003B68DB">
      <w:pPr>
        <w:pStyle w:val="Prrafodelista"/>
        <w:keepNext/>
        <w:numPr>
          <w:ilvl w:val="0"/>
          <w:numId w:val="132"/>
        </w:numPr>
        <w:tabs>
          <w:tab w:val="left" w:pos="142"/>
        </w:tabs>
        <w:ind w:right="-516"/>
        <w:contextualSpacing/>
        <w:outlineLvl w:val="1"/>
        <w:rPr>
          <w:rFonts w:cs="Arial"/>
          <w:b/>
          <w:bCs/>
          <w:i/>
          <w:iCs/>
          <w:sz w:val="22"/>
          <w:szCs w:val="22"/>
        </w:rPr>
      </w:pPr>
      <w:r w:rsidRPr="00640CFF">
        <w:rPr>
          <w:rFonts w:cs="Arial"/>
          <w:sz w:val="22"/>
          <w:szCs w:val="22"/>
          <w:lang w:val="es-NI" w:eastAsia="es-NI"/>
        </w:rPr>
        <w:t xml:space="preserve">El forro de las paredes de la opción básica será zinc liso calibre 28 </w:t>
      </w:r>
      <w:r>
        <w:rPr>
          <w:rFonts w:cs="Arial"/>
          <w:sz w:val="22"/>
          <w:szCs w:val="22"/>
          <w:lang w:val="es-NI" w:eastAsia="es-NI"/>
        </w:rPr>
        <w:t>s</w:t>
      </w:r>
      <w:r w:rsidRPr="00640CFF">
        <w:rPr>
          <w:rFonts w:cs="Arial"/>
          <w:sz w:val="22"/>
          <w:szCs w:val="22"/>
          <w:lang w:val="es-NI" w:eastAsia="es-NI"/>
        </w:rPr>
        <w:t xml:space="preserve">tandard, fijado con tornillos golosos de buena calidad, </w:t>
      </w:r>
      <w:r w:rsidRPr="00F65A3E">
        <w:rPr>
          <w:rFonts w:cs="Arial"/>
          <w:sz w:val="22"/>
          <w:szCs w:val="22"/>
          <w:lang w:val="es-NI" w:eastAsia="es-NI"/>
        </w:rPr>
        <w:t>cabeza plana ranurada.</w:t>
      </w:r>
    </w:p>
    <w:p w14:paraId="63C3F77C"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6FFA32E0" w14:textId="77777777" w:rsidR="00003780" w:rsidRPr="00F65A3E" w:rsidRDefault="00003780"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 xml:space="preserve">Para la cubierta de techo será zinc corrugado calibre 28 </w:t>
      </w:r>
      <w:r>
        <w:rPr>
          <w:rFonts w:cs="Arial"/>
          <w:sz w:val="22"/>
          <w:szCs w:val="22"/>
          <w:lang w:val="es-NI" w:eastAsia="es-NI"/>
        </w:rPr>
        <w:t>s</w:t>
      </w:r>
      <w:r w:rsidRPr="00640CFF">
        <w:rPr>
          <w:rFonts w:cs="Arial"/>
          <w:sz w:val="22"/>
          <w:szCs w:val="22"/>
          <w:lang w:val="es-NI" w:eastAsia="es-NI"/>
        </w:rPr>
        <w:t xml:space="preserve">tandard, fijado con tornillo goloso para zinc con arandela de </w:t>
      </w:r>
      <w:r w:rsidRPr="00F65A3E">
        <w:rPr>
          <w:rFonts w:cs="Arial"/>
          <w:sz w:val="22"/>
          <w:szCs w:val="22"/>
          <w:lang w:val="es-NI" w:eastAsia="es-NI"/>
        </w:rPr>
        <w:t>neopreno.</w:t>
      </w:r>
    </w:p>
    <w:p w14:paraId="6C7EAB9D"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528AAA22" w14:textId="77777777" w:rsidR="00003780" w:rsidRPr="00640CFF" w:rsidRDefault="00003780"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Las estructuras de las casetas y la estructura del techo serán de acuerdo a dimensiones reflejadas en planos.</w:t>
      </w:r>
    </w:p>
    <w:p w14:paraId="2CADBD2F"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203F7DF5" w14:textId="77777777" w:rsidR="00003780" w:rsidRPr="00640CFF" w:rsidRDefault="00003780"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En los casos que el proyecto indique losa, asiento y tapa prefabricados a base de resinas de poliéster reforzadas o fibra de vidrio, de alta densidad y/o de concreto reforzado; las medidas son estándar, como se refleja en los planos constructivos. Cada una debe llevar agujero para la colocación del tubo de ventilación.</w:t>
      </w:r>
    </w:p>
    <w:p w14:paraId="3ECFD73A"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680A0E4" w14:textId="77777777" w:rsidR="00003780" w:rsidRPr="00640CFF" w:rsidRDefault="00003780" w:rsidP="003B68DB">
      <w:pPr>
        <w:pStyle w:val="Prrafodelista"/>
        <w:numPr>
          <w:ilvl w:val="0"/>
          <w:numId w:val="132"/>
        </w:numPr>
        <w:contextualSpacing/>
        <w:rPr>
          <w:rFonts w:cs="Arial"/>
          <w:i/>
          <w:sz w:val="22"/>
          <w:szCs w:val="22"/>
          <w:lang w:val="es-NI" w:eastAsia="es-NI"/>
        </w:rPr>
      </w:pPr>
      <w:r w:rsidRPr="00640CFF">
        <w:rPr>
          <w:rFonts w:cs="Arial"/>
          <w:sz w:val="22"/>
          <w:szCs w:val="22"/>
          <w:lang w:val="es-NI" w:eastAsia="es-NI"/>
        </w:rPr>
        <w:t>El bloque de mortero clase A, se deberá utilizar para la construcción de paredes con las medidas de 15cm x 20cm x 40cm. Se colocarán presionándolos firmemente sobre una camada de mortero 1:4 que cubra la superficie de la hilera inferior y deben tener una resistencia mínima de 80% a la norma Standard del código de la construcción.</w:t>
      </w:r>
    </w:p>
    <w:p w14:paraId="4FA915FB"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24BD1F25" w14:textId="77777777" w:rsidR="00003780" w:rsidRPr="00640CFF" w:rsidRDefault="00003780"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No se permitirán bloques quebrados ni de medidas diferentes</w:t>
      </w:r>
      <w:r>
        <w:rPr>
          <w:rFonts w:cs="Arial"/>
          <w:sz w:val="22"/>
          <w:szCs w:val="22"/>
          <w:lang w:val="es-NI" w:eastAsia="es-NI"/>
        </w:rPr>
        <w:t xml:space="preserve"> excepto previa autorización de El</w:t>
      </w:r>
      <w:r w:rsidRPr="00640CFF">
        <w:rPr>
          <w:rFonts w:cs="Arial"/>
          <w:sz w:val="22"/>
          <w:szCs w:val="22"/>
          <w:lang w:val="es-NI" w:eastAsia="es-NI"/>
        </w:rPr>
        <w:t xml:space="preserve"> Supervisor.</w:t>
      </w:r>
    </w:p>
    <w:p w14:paraId="06608392"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FA42333" w14:textId="77777777" w:rsidR="00003780" w:rsidRPr="00640CFF" w:rsidRDefault="00003780"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Pintura, para los elementos estructurales de acero se pintarán con anticorrosivo de color rojo, aplicada sobre la estructura a dos manos de acuerdo a las recomendaciones del fabricante.</w:t>
      </w:r>
    </w:p>
    <w:p w14:paraId="16E726FC"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CCF41A7" w14:textId="77777777" w:rsidR="00003780" w:rsidRPr="00640CFF" w:rsidRDefault="00003780" w:rsidP="003B68DB">
      <w:pPr>
        <w:pStyle w:val="Prrafodelista"/>
        <w:numPr>
          <w:ilvl w:val="0"/>
          <w:numId w:val="132"/>
        </w:numPr>
        <w:tabs>
          <w:tab w:val="left" w:pos="142"/>
        </w:tabs>
        <w:autoSpaceDE w:val="0"/>
        <w:autoSpaceDN w:val="0"/>
        <w:adjustRightInd w:val="0"/>
        <w:contextualSpacing/>
        <w:rPr>
          <w:rFonts w:cs="Arial"/>
          <w:i/>
          <w:sz w:val="22"/>
          <w:szCs w:val="22"/>
          <w:lang w:val="es-NI" w:eastAsia="es-NI"/>
        </w:rPr>
      </w:pPr>
      <w:r w:rsidRPr="00640CFF">
        <w:rPr>
          <w:rFonts w:cs="Arial"/>
          <w:sz w:val="22"/>
          <w:szCs w:val="22"/>
          <w:lang w:val="es-NI" w:eastAsia="es-NI"/>
        </w:rPr>
        <w:t xml:space="preserve">Se podrá utilizar arena de río que no esté contaminada, que tenga la granulometría adecuada, debe estar limpia y tamizada, antes de usarla debe estar autorizada por </w:t>
      </w:r>
      <w:r>
        <w:rPr>
          <w:rFonts w:cs="Arial"/>
          <w:sz w:val="22"/>
          <w:szCs w:val="22"/>
          <w:lang w:val="es-NI" w:eastAsia="es-NI"/>
        </w:rPr>
        <w:t>E</w:t>
      </w:r>
      <w:r w:rsidRPr="00640CFF">
        <w:rPr>
          <w:rFonts w:cs="Arial"/>
          <w:sz w:val="22"/>
          <w:szCs w:val="22"/>
          <w:lang w:val="es-NI" w:eastAsia="es-NI"/>
        </w:rPr>
        <w:t>l Supervisor.</w:t>
      </w:r>
    </w:p>
    <w:p w14:paraId="76166EAB" w14:textId="77777777" w:rsidR="00003780" w:rsidRPr="00640CFF" w:rsidRDefault="00003780" w:rsidP="00003780">
      <w:pPr>
        <w:tabs>
          <w:tab w:val="left" w:pos="142"/>
        </w:tabs>
        <w:autoSpaceDE w:val="0"/>
        <w:autoSpaceDN w:val="0"/>
        <w:adjustRightInd w:val="0"/>
        <w:ind w:left="-567"/>
        <w:rPr>
          <w:rFonts w:cs="Arial"/>
          <w:i/>
          <w:sz w:val="22"/>
          <w:szCs w:val="22"/>
          <w:lang w:val="es-NI" w:eastAsia="es-NI"/>
        </w:rPr>
      </w:pPr>
    </w:p>
    <w:p w14:paraId="55A08F81"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w:t>
      </w:r>
    </w:p>
    <w:p w14:paraId="0BAE2B99" w14:textId="77777777" w:rsidR="00003780" w:rsidRPr="00640CFF" w:rsidRDefault="00003780" w:rsidP="00003780">
      <w:pPr>
        <w:tabs>
          <w:tab w:val="left" w:pos="142"/>
        </w:tabs>
        <w:rPr>
          <w:rFonts w:cs="Arial"/>
          <w:i/>
          <w:sz w:val="22"/>
          <w:szCs w:val="22"/>
          <w:lang w:val="es-NI" w:eastAsia="es-NI"/>
        </w:rPr>
      </w:pPr>
    </w:p>
    <w:p w14:paraId="33CB36FE" w14:textId="77777777" w:rsidR="00003780" w:rsidRPr="00640CFF" w:rsidRDefault="00003780" w:rsidP="00003780">
      <w:pPr>
        <w:pStyle w:val="Ttulo2"/>
        <w:tabs>
          <w:tab w:val="left" w:pos="142"/>
        </w:tabs>
        <w:jc w:val="both"/>
        <w:rPr>
          <w:rFonts w:cs="Arial"/>
          <w:i/>
          <w:sz w:val="22"/>
          <w:szCs w:val="22"/>
          <w:lang w:eastAsia="es-NI"/>
        </w:rPr>
      </w:pPr>
      <w:r>
        <w:rPr>
          <w:rFonts w:cs="Arial"/>
          <w:sz w:val="22"/>
          <w:szCs w:val="22"/>
          <w:lang w:eastAsia="es-NI"/>
        </w:rPr>
        <w:t>EXCAVACIÓN</w:t>
      </w:r>
    </w:p>
    <w:p w14:paraId="160980C6" w14:textId="77777777" w:rsidR="00003780" w:rsidRPr="00640CFF" w:rsidRDefault="00003780" w:rsidP="00003780">
      <w:pPr>
        <w:tabs>
          <w:tab w:val="left" w:pos="142"/>
        </w:tabs>
        <w:rPr>
          <w:rFonts w:cs="Arial"/>
          <w:sz w:val="22"/>
          <w:szCs w:val="22"/>
          <w:lang w:eastAsia="es-NI"/>
        </w:rPr>
      </w:pPr>
    </w:p>
    <w:p w14:paraId="059DDEE3"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En general, a menos que </w:t>
      </w:r>
      <w:r>
        <w:rPr>
          <w:rFonts w:cs="Arial"/>
          <w:sz w:val="22"/>
          <w:szCs w:val="22"/>
          <w:lang w:val="es-NI" w:eastAsia="es-NI"/>
        </w:rPr>
        <w:t>E</w:t>
      </w:r>
      <w:r w:rsidRPr="00640CFF">
        <w:rPr>
          <w:rFonts w:cs="Arial"/>
          <w:sz w:val="22"/>
          <w:szCs w:val="22"/>
          <w:lang w:val="es-NI" w:eastAsia="es-NI"/>
        </w:rPr>
        <w:t>l Supervisor indique lo contrario, la profundidad del foso será conforme indican los planos, tomando como nivel el terreno natural, cuando el suelo es inestable debe ser totalmente revestido con ladrillo cuarterón, bloque, piedra cantera o el material que se indique en los planos.</w:t>
      </w:r>
    </w:p>
    <w:p w14:paraId="147C4B5D"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F63D84B"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fondo de la fosa deberá quedar perfectamente nivelado, sin la presencia de bolones que se pudiesen encontrar durante la excavación.</w:t>
      </w:r>
    </w:p>
    <w:p w14:paraId="346DA737"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6DB4A718"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ningún caso se permitirá al CONTRATISTA excavar menos de la profundidad establecida en los planos, cualquier situación que impida esta disposición deberá ser solicitada por escrito a</w:t>
      </w:r>
      <w:r>
        <w:rPr>
          <w:rFonts w:cs="Arial"/>
          <w:sz w:val="22"/>
          <w:szCs w:val="22"/>
          <w:lang w:val="es-NI" w:eastAsia="es-NI"/>
        </w:rPr>
        <w:t xml:space="preserve"> E</w:t>
      </w:r>
      <w:r w:rsidRPr="00640CFF">
        <w:rPr>
          <w:rFonts w:cs="Arial"/>
          <w:sz w:val="22"/>
          <w:szCs w:val="22"/>
          <w:lang w:val="es-NI" w:eastAsia="es-NI"/>
        </w:rPr>
        <w:t>l Supervisor.</w:t>
      </w:r>
    </w:p>
    <w:p w14:paraId="467B33D0"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F7F8235"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deberá tomar las precauciones necesarias durante el proceso de excavación para evitar la acumulación de aguas, inundaciones por escorrentías, lluvias o fuentes de agua.</w:t>
      </w:r>
    </w:p>
    <w:p w14:paraId="59B32EAD"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A1293C4"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que la excavación de la fosa sea aporte de los protagonistas, será responsabilidad del CONTRATISTA garantizar la profundidad establecida en los planos, según el tipo de letrina, cualquier situación que impida esta disposición deberá ser solicitada por escrito a</w:t>
      </w:r>
      <w:r>
        <w:rPr>
          <w:rFonts w:cs="Arial"/>
          <w:sz w:val="22"/>
          <w:szCs w:val="22"/>
          <w:lang w:val="es-NI" w:eastAsia="es-NI"/>
        </w:rPr>
        <w:t xml:space="preserve"> E</w:t>
      </w:r>
      <w:r w:rsidRPr="00640CFF">
        <w:rPr>
          <w:rFonts w:cs="Arial"/>
          <w:sz w:val="22"/>
          <w:szCs w:val="22"/>
          <w:lang w:val="es-NI" w:eastAsia="es-NI"/>
        </w:rPr>
        <w:t xml:space="preserve">l </w:t>
      </w:r>
      <w:r>
        <w:rPr>
          <w:rFonts w:cs="Arial"/>
          <w:sz w:val="22"/>
          <w:szCs w:val="22"/>
          <w:lang w:val="es-NI" w:eastAsia="es-NI"/>
        </w:rPr>
        <w:t>S</w:t>
      </w:r>
      <w:r w:rsidRPr="00640CFF">
        <w:rPr>
          <w:rFonts w:cs="Arial"/>
          <w:sz w:val="22"/>
          <w:szCs w:val="22"/>
          <w:lang w:val="es-NI" w:eastAsia="es-NI"/>
        </w:rPr>
        <w:t>upervisor</w:t>
      </w:r>
      <w:r>
        <w:rPr>
          <w:rFonts w:cs="Arial"/>
          <w:sz w:val="22"/>
          <w:szCs w:val="22"/>
          <w:lang w:val="es-NI" w:eastAsia="es-NI"/>
        </w:rPr>
        <w:t>.</w:t>
      </w:r>
    </w:p>
    <w:p w14:paraId="45BB95C7"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lastRenderedPageBreak/>
        <w:t>Las dimensiones de las fosas están indicadas en los planos, las medidas son estándar para todos los casos, cuando la letrina no es revestida, las dimensiones de la fosa se conservan de adentro, tanto el largo como el ancho, para hacer la excavación adicional en el área correspondiente al brocal.</w:t>
      </w:r>
    </w:p>
    <w:p w14:paraId="486DC963"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6D3A97E"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Cuando el foso es revestido, las medidas de la fosa son las indicadas en los planos más 0.15 m, correspondiente al ancho del material a colocar como paredes.</w:t>
      </w:r>
    </w:p>
    <w:p w14:paraId="711A0809"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0EB32321"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que la excavación de la fosa sea responsabilidad del protagonista, una vez que este sea recibido y entregado al contratista, a partir de este momento es responsabilidad de este último, el tomar las precauciones necesarias para evitar la acumulación de aguas, inundaciones por escorrentías, lluvias o fuentes de agua o derrumbes</w:t>
      </w:r>
      <w:r>
        <w:rPr>
          <w:rFonts w:cs="Arial"/>
          <w:sz w:val="22"/>
          <w:szCs w:val="22"/>
          <w:lang w:val="es-NI" w:eastAsia="es-NI"/>
        </w:rPr>
        <w:t>.</w:t>
      </w:r>
    </w:p>
    <w:p w14:paraId="09576529"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8D083E6"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terrenos flojos que se indique la construcción de letrinas estándar, para evitar derrumbes, habrá necesidad de ademar las paredes de la fosa, utilizando materiales existentes en la región.</w:t>
      </w:r>
    </w:p>
    <w:p w14:paraId="7260FC9F"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0DC85986"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Estos costos debe</w:t>
      </w:r>
      <w:r>
        <w:rPr>
          <w:rFonts w:cs="Arial"/>
          <w:sz w:val="22"/>
          <w:szCs w:val="22"/>
          <w:lang w:val="es-NI" w:eastAsia="es-NI"/>
        </w:rPr>
        <w:t>n ser considerados por</w:t>
      </w:r>
      <w:r w:rsidRPr="00640CFF">
        <w:rPr>
          <w:rFonts w:cs="Arial"/>
          <w:sz w:val="22"/>
          <w:szCs w:val="22"/>
          <w:lang w:val="es-NI" w:eastAsia="es-NI"/>
        </w:rPr>
        <w:t xml:space="preserve"> el OFERENTE en los costos indirectos del pliego de oferta.</w:t>
      </w:r>
    </w:p>
    <w:p w14:paraId="5A1F2399"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7A58E14"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deberá someter la metodolog</w:t>
      </w:r>
      <w:r>
        <w:rPr>
          <w:rFonts w:cs="Arial"/>
          <w:sz w:val="22"/>
          <w:szCs w:val="22"/>
          <w:lang w:val="es-NI" w:eastAsia="es-NI"/>
        </w:rPr>
        <w:t>ía y programa de construcción a El</w:t>
      </w:r>
      <w:r w:rsidRPr="00640CFF">
        <w:rPr>
          <w:rFonts w:cs="Arial"/>
          <w:sz w:val="22"/>
          <w:szCs w:val="22"/>
          <w:lang w:val="es-NI" w:eastAsia="es-NI"/>
        </w:rPr>
        <w:t xml:space="preserve"> Supervisor para cumplir en el tiempo y forma con sus obligaciones contractuales.</w:t>
      </w:r>
    </w:p>
    <w:p w14:paraId="25488BE1"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6B2AFEE4"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RESTRICCIONES Y CALIDAD DEL TRABAJO</w:t>
      </w:r>
    </w:p>
    <w:p w14:paraId="6B816DF5" w14:textId="77777777" w:rsidR="00003780" w:rsidRPr="00640CFF" w:rsidRDefault="00003780" w:rsidP="00003780">
      <w:pPr>
        <w:pStyle w:val="Prrafodelista"/>
        <w:keepNext/>
        <w:tabs>
          <w:tab w:val="left" w:pos="142"/>
        </w:tabs>
        <w:ind w:left="0" w:right="-516"/>
        <w:outlineLvl w:val="1"/>
        <w:rPr>
          <w:rFonts w:cs="Arial"/>
          <w:b/>
          <w:bCs/>
          <w:i/>
          <w:iCs/>
          <w:sz w:val="22"/>
          <w:szCs w:val="22"/>
        </w:rPr>
      </w:pPr>
    </w:p>
    <w:p w14:paraId="5F643707" w14:textId="77777777" w:rsidR="00003780" w:rsidRPr="00640CFF" w:rsidRDefault="00003780" w:rsidP="003B68DB">
      <w:pPr>
        <w:pStyle w:val="Prrafodelista"/>
        <w:keepNext/>
        <w:numPr>
          <w:ilvl w:val="0"/>
          <w:numId w:val="133"/>
        </w:numPr>
        <w:tabs>
          <w:tab w:val="left" w:pos="142"/>
        </w:tabs>
        <w:ind w:left="502" w:right="-516"/>
        <w:contextualSpacing/>
        <w:outlineLvl w:val="1"/>
        <w:rPr>
          <w:rFonts w:cs="Arial"/>
          <w:b/>
          <w:bCs/>
          <w:i/>
          <w:iCs/>
          <w:sz w:val="22"/>
          <w:szCs w:val="22"/>
        </w:rPr>
      </w:pPr>
      <w:r w:rsidRPr="00640CFF">
        <w:rPr>
          <w:rFonts w:cs="Arial"/>
          <w:sz w:val="22"/>
          <w:szCs w:val="22"/>
          <w:lang w:val="es-NI" w:eastAsia="es-NI"/>
        </w:rPr>
        <w:t>No se permitirán fosas abiertas por períodos mayores de tres (3) días, previo al inicio de las obras de revestimiento de paredes y/o a la colocación de la losa y banco.</w:t>
      </w:r>
    </w:p>
    <w:p w14:paraId="229FFE75" w14:textId="77777777" w:rsidR="00003780" w:rsidRPr="00640CFF" w:rsidRDefault="00003780" w:rsidP="00003780">
      <w:pPr>
        <w:tabs>
          <w:tab w:val="left" w:pos="142"/>
        </w:tabs>
        <w:autoSpaceDE w:val="0"/>
        <w:autoSpaceDN w:val="0"/>
        <w:adjustRightInd w:val="0"/>
        <w:rPr>
          <w:rFonts w:cs="Arial"/>
          <w:i/>
          <w:sz w:val="22"/>
          <w:szCs w:val="22"/>
          <w:lang w:eastAsia="es-NI"/>
        </w:rPr>
      </w:pPr>
    </w:p>
    <w:p w14:paraId="6EF18C18" w14:textId="77777777" w:rsidR="00003780" w:rsidRPr="00640CFF" w:rsidRDefault="00003780" w:rsidP="003B68DB">
      <w:pPr>
        <w:pStyle w:val="Prrafodelista"/>
        <w:numPr>
          <w:ilvl w:val="0"/>
          <w:numId w:val="133"/>
        </w:numPr>
        <w:tabs>
          <w:tab w:val="left" w:pos="142"/>
        </w:tabs>
        <w:autoSpaceDE w:val="0"/>
        <w:autoSpaceDN w:val="0"/>
        <w:adjustRightInd w:val="0"/>
        <w:ind w:left="502"/>
        <w:contextualSpacing/>
        <w:rPr>
          <w:rFonts w:cs="Arial"/>
          <w:i/>
          <w:sz w:val="22"/>
          <w:szCs w:val="22"/>
          <w:lang w:val="es-NI" w:eastAsia="es-NI"/>
        </w:rPr>
      </w:pPr>
      <w:r w:rsidRPr="00640CFF">
        <w:rPr>
          <w:rFonts w:cs="Arial"/>
          <w:sz w:val="22"/>
          <w:szCs w:val="22"/>
          <w:lang w:val="es-NI" w:eastAsia="es-NI"/>
        </w:rPr>
        <w:t xml:space="preserve">Los materiales de excavación y de construcción de la fosa deberán ser colocados donde no </w:t>
      </w:r>
      <w:r>
        <w:rPr>
          <w:rFonts w:cs="Arial"/>
          <w:sz w:val="22"/>
          <w:szCs w:val="22"/>
          <w:lang w:val="es-NI" w:eastAsia="es-NI"/>
        </w:rPr>
        <w:t>obstaculice el tránsito de los m</w:t>
      </w:r>
      <w:r w:rsidRPr="00640CFF">
        <w:rPr>
          <w:rFonts w:cs="Arial"/>
          <w:sz w:val="22"/>
          <w:szCs w:val="22"/>
          <w:lang w:val="es-NI" w:eastAsia="es-NI"/>
        </w:rPr>
        <w:t>iembros de la familia a beneficiar. Los materiales de excavación deben ser esparcidos convenientemente en el predio previa autorización del beneficiario.</w:t>
      </w:r>
    </w:p>
    <w:p w14:paraId="43985A66"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6D0C143" w14:textId="77777777" w:rsidR="00003780" w:rsidRPr="00640CFF" w:rsidRDefault="00003780" w:rsidP="003B68DB">
      <w:pPr>
        <w:pStyle w:val="Prrafodelista"/>
        <w:numPr>
          <w:ilvl w:val="0"/>
          <w:numId w:val="133"/>
        </w:numPr>
        <w:tabs>
          <w:tab w:val="left" w:pos="142"/>
        </w:tabs>
        <w:autoSpaceDE w:val="0"/>
        <w:autoSpaceDN w:val="0"/>
        <w:adjustRightInd w:val="0"/>
        <w:ind w:left="502"/>
        <w:contextualSpacing/>
        <w:rPr>
          <w:rFonts w:cs="Arial"/>
          <w:i/>
          <w:sz w:val="22"/>
          <w:szCs w:val="22"/>
          <w:lang w:val="es-NI" w:eastAsia="es-NI"/>
        </w:rPr>
      </w:pPr>
      <w:r w:rsidRPr="00640CFF">
        <w:rPr>
          <w:rFonts w:cs="Arial"/>
          <w:sz w:val="22"/>
          <w:szCs w:val="22"/>
          <w:lang w:val="es-NI" w:eastAsia="es-NI"/>
        </w:rPr>
        <w:t>EL CONTRATISTA deberá prever qu</w:t>
      </w:r>
      <w:r>
        <w:rPr>
          <w:rFonts w:cs="Arial"/>
          <w:sz w:val="22"/>
          <w:szCs w:val="22"/>
          <w:lang w:val="es-NI" w:eastAsia="es-NI"/>
        </w:rPr>
        <w:t>é</w:t>
      </w:r>
      <w:r w:rsidRPr="00640CFF">
        <w:rPr>
          <w:rFonts w:cs="Arial"/>
          <w:sz w:val="22"/>
          <w:szCs w:val="22"/>
          <w:lang w:val="es-NI" w:eastAsia="es-NI"/>
        </w:rPr>
        <w:t xml:space="preserve"> durante el período de construcción, las fosas no recolecten agua pluvial </w:t>
      </w:r>
      <w:r>
        <w:rPr>
          <w:rFonts w:cs="Arial"/>
          <w:sz w:val="22"/>
          <w:szCs w:val="22"/>
          <w:lang w:val="es-NI" w:eastAsia="es-NI"/>
        </w:rPr>
        <w:t>o de cualquier otra fuente. El C</w:t>
      </w:r>
      <w:r w:rsidRPr="00640CFF">
        <w:rPr>
          <w:rFonts w:cs="Arial"/>
          <w:sz w:val="22"/>
          <w:szCs w:val="22"/>
          <w:lang w:val="es-NI" w:eastAsia="es-NI"/>
        </w:rPr>
        <w:t>ontratista removerá por su cuenta toda el agua que se colecte en las fosas por accidentes, negligencia o casos fortuitos.</w:t>
      </w:r>
    </w:p>
    <w:p w14:paraId="519308BF" w14:textId="77777777" w:rsidR="00003780" w:rsidRDefault="00003780" w:rsidP="00003780">
      <w:pPr>
        <w:tabs>
          <w:tab w:val="left" w:pos="142"/>
        </w:tabs>
        <w:autoSpaceDE w:val="0"/>
        <w:autoSpaceDN w:val="0"/>
        <w:adjustRightInd w:val="0"/>
        <w:rPr>
          <w:rFonts w:cs="Arial"/>
          <w:i/>
          <w:sz w:val="22"/>
          <w:szCs w:val="22"/>
          <w:lang w:val="es-NI" w:eastAsia="es-NI"/>
        </w:rPr>
      </w:pPr>
    </w:p>
    <w:p w14:paraId="10C36653"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 DE PAREDES</w:t>
      </w:r>
    </w:p>
    <w:p w14:paraId="333936F3"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4FDD5FB"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De acuerdo a la práctica constructiva que se exige para la construcción de paredes de bloque, ladrillo cuarterón, piedra cantera u otro material indicado, ésta deberá presentar aplomo y escuadra todos sus lados.</w:t>
      </w:r>
    </w:p>
    <w:p w14:paraId="0906BF86"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62EE3A24"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Las paredes deben estar cimentadas según el caso: Para las letrinas semi</w:t>
      </w:r>
      <w:r>
        <w:rPr>
          <w:rFonts w:cs="Arial"/>
          <w:sz w:val="22"/>
          <w:szCs w:val="22"/>
          <w:lang w:val="es-NI" w:eastAsia="es-NI"/>
        </w:rPr>
        <w:t>-</w:t>
      </w:r>
      <w:r w:rsidRPr="00640CFF">
        <w:rPr>
          <w:rFonts w:cs="Arial"/>
          <w:sz w:val="22"/>
          <w:szCs w:val="22"/>
          <w:lang w:val="es-NI" w:eastAsia="es-NI"/>
        </w:rPr>
        <w:t>elevadas y elevadas deben llevar una losa de concreto simple en toda el área del foso con un espesor de 0.05 m.</w:t>
      </w:r>
    </w:p>
    <w:p w14:paraId="68395556"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A8BB169"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de las letrinas estándar, las paredes de revestimiento deben montarse sobre un cordón perimetral de mortero 1:4 de 0.05 m de espesor por el ancho correspondiente al ladrillo de revestimiento. Todas las paredes deberán tener un espesor mínimo de 0.15 m.</w:t>
      </w:r>
    </w:p>
    <w:p w14:paraId="5C21FBEF"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1ECAE428"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el caso de letrinas semi-elevadas y elevadas todas las paredes de la fosa serán revestidas con repello arenillado en ambas caras (internas y externas) este costo debe de estar incluido en la propuesta.</w:t>
      </w:r>
    </w:p>
    <w:p w14:paraId="689F8E52"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C23DE0B"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cajón de las escaleras en las letrinas semi-elevadas y elevadas llevaran refuerzo en sus esquinas, de hierro corrugado con diámetro de 3/8”, según se indica en los planos constructivos (elevaciones isométricas)</w:t>
      </w:r>
    </w:p>
    <w:p w14:paraId="170A2850"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lastRenderedPageBreak/>
        <w:t>CONSTRUCCIÓN Y COLOCACIÓN DE PLANCHA Y BANCO</w:t>
      </w:r>
    </w:p>
    <w:p w14:paraId="7BB93025"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0A78E64B"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 plancha y banco de la letrina será construida e instalada según se indique en los planos y colocadas a nivel de escuadra en función del brocal. Debe observarse que las aristas superiores de los bancos deben ser biselados, sin escorias o puntas.</w:t>
      </w:r>
    </w:p>
    <w:p w14:paraId="5B277F9F"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1557CF54"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CONSTRUCCIÓN Y COLOCACIÓN DE CASETA.</w:t>
      </w:r>
    </w:p>
    <w:p w14:paraId="64B997D0"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F01FFA6"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 estructura de paredes y techo, así como el forro y cubierta será como se indica en los planos, conservando las medidas est</w:t>
      </w:r>
      <w:r>
        <w:rPr>
          <w:rFonts w:cs="Arial"/>
          <w:sz w:val="22"/>
          <w:szCs w:val="22"/>
          <w:lang w:val="es-NI" w:eastAsia="es-NI"/>
        </w:rPr>
        <w:t>á</w:t>
      </w:r>
      <w:r w:rsidRPr="00640CFF">
        <w:rPr>
          <w:rFonts w:cs="Arial"/>
          <w:sz w:val="22"/>
          <w:szCs w:val="22"/>
          <w:lang w:val="es-NI" w:eastAsia="es-NI"/>
        </w:rPr>
        <w:t>ndar y la calidad de los materiales.</w:t>
      </w:r>
    </w:p>
    <w:p w14:paraId="4AB94B29"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1854527"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La colocación del forro del zinc no debe presentar bordes salientes, puntas corto punzantes, virutas que puedan ocasionar cortaduras a los usuarios.</w:t>
      </w:r>
    </w:p>
    <w:p w14:paraId="30BABA2B"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0684C4AA" w14:textId="77777777" w:rsidR="00003780" w:rsidRPr="00640CFF" w:rsidRDefault="00003780" w:rsidP="00003780">
      <w:pPr>
        <w:tabs>
          <w:tab w:val="left" w:pos="142"/>
        </w:tabs>
        <w:autoSpaceDE w:val="0"/>
        <w:autoSpaceDN w:val="0"/>
        <w:adjustRightInd w:val="0"/>
        <w:rPr>
          <w:rFonts w:cs="Arial"/>
          <w:i/>
          <w:lang w:val="es-NI" w:eastAsia="es-NI"/>
        </w:rPr>
      </w:pPr>
      <w:r w:rsidRPr="00640CFF">
        <w:rPr>
          <w:rFonts w:cs="Arial"/>
          <w:sz w:val="22"/>
          <w:szCs w:val="22"/>
          <w:lang w:val="es-NI" w:eastAsia="es-NI"/>
        </w:rPr>
        <w:t>Al colocar el tubo de ventilación debe quedar sellado entre la cubierta de techo, de igual forma en la unión con el piso</w:t>
      </w:r>
      <w:r w:rsidRPr="00640CFF">
        <w:rPr>
          <w:rFonts w:cs="Arial"/>
          <w:lang w:val="es-NI" w:eastAsia="es-NI"/>
        </w:rPr>
        <w:t xml:space="preserve"> </w:t>
      </w:r>
      <w:r w:rsidRPr="00640CFF">
        <w:rPr>
          <w:rFonts w:cs="Arial"/>
          <w:sz w:val="22"/>
          <w:szCs w:val="22"/>
          <w:lang w:val="es-NI" w:eastAsia="es-NI"/>
        </w:rPr>
        <w:t>y este debe de terminar con una tee.</w:t>
      </w:r>
    </w:p>
    <w:p w14:paraId="2E795459"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FA5A2B6"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En el caso de la estructura de madera, se podrá utilizar variedades de reconocido uso en la construcción, que tengan durabilidad mayor de 4 años, entre estas maderas están: Pino, Guanacaste, María, Cedro </w:t>
      </w:r>
      <w:r>
        <w:rPr>
          <w:rFonts w:cs="Arial"/>
          <w:sz w:val="22"/>
          <w:szCs w:val="22"/>
          <w:lang w:val="es-NI" w:eastAsia="es-NI"/>
        </w:rPr>
        <w:t>M</w:t>
      </w:r>
      <w:r w:rsidRPr="00640CFF">
        <w:rPr>
          <w:rFonts w:cs="Arial"/>
          <w:sz w:val="22"/>
          <w:szCs w:val="22"/>
          <w:lang w:val="es-NI" w:eastAsia="es-NI"/>
        </w:rPr>
        <w:t xml:space="preserve">acho, Rosita o Manteco, Carolillo, </w:t>
      </w:r>
      <w:r>
        <w:rPr>
          <w:rFonts w:cs="Arial"/>
          <w:sz w:val="22"/>
          <w:szCs w:val="22"/>
          <w:lang w:val="es-NI" w:eastAsia="es-NI"/>
        </w:rPr>
        <w:t>G</w:t>
      </w:r>
      <w:r w:rsidRPr="00640CFF">
        <w:rPr>
          <w:rFonts w:cs="Arial"/>
          <w:sz w:val="22"/>
          <w:szCs w:val="22"/>
          <w:lang w:val="es-NI" w:eastAsia="es-NI"/>
        </w:rPr>
        <w:t xml:space="preserve">enízaro, </w:t>
      </w:r>
      <w:r>
        <w:rPr>
          <w:rFonts w:cs="Arial"/>
          <w:sz w:val="22"/>
          <w:szCs w:val="22"/>
          <w:lang w:val="es-NI" w:eastAsia="es-NI"/>
        </w:rPr>
        <w:t>G</w:t>
      </w:r>
      <w:r w:rsidRPr="00640CFF">
        <w:rPr>
          <w:rFonts w:cs="Arial"/>
          <w:sz w:val="22"/>
          <w:szCs w:val="22"/>
          <w:lang w:val="es-NI" w:eastAsia="es-NI"/>
        </w:rPr>
        <w:t>avilán entre otras que no estén en veda.</w:t>
      </w:r>
    </w:p>
    <w:p w14:paraId="10600BCB"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FB11EF8"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Todas las piezas deberán estar secas y tratadas con productos químicos contra comején. El acabado de la madera deberá ser repasada (acepillada y/o eliminar lo rústico y mechudo) en las caras expuestas.</w:t>
      </w:r>
    </w:p>
    <w:p w14:paraId="58FE0116"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237C7F89"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Entre las maderas que se consideran no se deben utilizar por la falta de durabilidad o por su condición física al exponerse a la intemperie son: palo de agua, panamá, sebo, helequeme, javillo, manga larga, alcanfor, sangregrado, talalate, ceiba, espavel, acetuno, entre otras.</w:t>
      </w:r>
    </w:p>
    <w:p w14:paraId="7A357CBD"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0FF53EC"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En la puerta se pintará un letre</w:t>
      </w:r>
      <w:r>
        <w:rPr>
          <w:rFonts w:cs="Arial"/>
          <w:sz w:val="22"/>
          <w:szCs w:val="22"/>
          <w:lang w:val="es-NI" w:eastAsia="es-NI"/>
        </w:rPr>
        <w:t>ro con el nombre y logotipo del</w:t>
      </w:r>
      <w:r w:rsidRPr="00640CFF">
        <w:rPr>
          <w:rFonts w:cs="Arial"/>
          <w:sz w:val="22"/>
          <w:szCs w:val="22"/>
          <w:lang w:val="es-NI" w:eastAsia="es-NI"/>
        </w:rPr>
        <w:t>, con tamaño de 0.37cm x 0.47</w:t>
      </w:r>
      <w:r>
        <w:rPr>
          <w:rFonts w:cs="Arial"/>
          <w:sz w:val="22"/>
          <w:szCs w:val="22"/>
          <w:lang w:val="es-NI" w:eastAsia="es-NI"/>
        </w:rPr>
        <w:t xml:space="preserve"> </w:t>
      </w:r>
      <w:r w:rsidRPr="00640CFF">
        <w:rPr>
          <w:rFonts w:cs="Arial"/>
          <w:sz w:val="22"/>
          <w:szCs w:val="22"/>
          <w:lang w:val="es-NI" w:eastAsia="es-NI"/>
        </w:rPr>
        <w:t>cm, las letras para el N</w:t>
      </w:r>
      <w:r>
        <w:rPr>
          <w:rFonts w:cs="Arial"/>
          <w:sz w:val="22"/>
          <w:szCs w:val="22"/>
          <w:lang w:val="es-NI" w:eastAsia="es-NI"/>
        </w:rPr>
        <w:t>º</w:t>
      </w:r>
      <w:r w:rsidRPr="00640CFF">
        <w:rPr>
          <w:rFonts w:cs="Arial"/>
          <w:sz w:val="22"/>
          <w:szCs w:val="22"/>
          <w:lang w:val="es-NI" w:eastAsia="es-NI"/>
        </w:rPr>
        <w:t xml:space="preserve"> </w:t>
      </w:r>
      <w:r>
        <w:rPr>
          <w:rFonts w:cs="Arial"/>
          <w:sz w:val="22"/>
          <w:szCs w:val="22"/>
          <w:lang w:val="es-NI" w:eastAsia="es-NI"/>
        </w:rPr>
        <w:t>d</w:t>
      </w:r>
      <w:r w:rsidRPr="00640CFF">
        <w:rPr>
          <w:rFonts w:cs="Arial"/>
          <w:sz w:val="22"/>
          <w:szCs w:val="22"/>
          <w:lang w:val="es-NI" w:eastAsia="es-NI"/>
        </w:rPr>
        <w:t xml:space="preserve">e </w:t>
      </w:r>
      <w:r>
        <w:rPr>
          <w:rFonts w:cs="Arial"/>
          <w:sz w:val="22"/>
          <w:szCs w:val="22"/>
          <w:lang w:val="es-NI" w:eastAsia="es-NI"/>
        </w:rPr>
        <w:t>c</w:t>
      </w:r>
      <w:r w:rsidRPr="00640CFF">
        <w:rPr>
          <w:rFonts w:cs="Arial"/>
          <w:sz w:val="22"/>
          <w:szCs w:val="22"/>
          <w:lang w:val="es-NI" w:eastAsia="es-NI"/>
        </w:rPr>
        <w:t>ontrato y del código será la indicada en los planos. La pintura debe ser de aceite brillante conforme los colores establecidos en el detalle de planos. La puerta estará fijada conforme sea el caso:</w:t>
      </w:r>
    </w:p>
    <w:p w14:paraId="0E4368EB"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B1CAD4D"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b/>
          <w:bCs/>
          <w:sz w:val="22"/>
          <w:szCs w:val="22"/>
          <w:lang w:val="es-NI" w:eastAsia="es-NI"/>
        </w:rPr>
        <w:t xml:space="preserve">Estructura metálica: </w:t>
      </w:r>
      <w:r w:rsidRPr="00640CFF">
        <w:rPr>
          <w:rFonts w:cs="Arial"/>
          <w:sz w:val="22"/>
          <w:szCs w:val="22"/>
          <w:lang w:val="es-NI" w:eastAsia="es-NI"/>
        </w:rPr>
        <w:t>Se fijará con una bisagra artesanal formada por ejes de hierro de ¼” y tubo cuadrado negro soldado a la estructura.</w:t>
      </w:r>
    </w:p>
    <w:p w14:paraId="26314A13"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BF39258"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Estructura de madera: Se fijará con 3 bisagras de 2 ½”* 2 ½” galvanizada, fijadas con tornillos golosos ranurados. Los tornillos deben quedar a tope y planos a la placa de bisagra.</w:t>
      </w:r>
    </w:p>
    <w:p w14:paraId="5A4212D5"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3D95F8E"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Cuando la estructura de la caseta se indique de madera, la sección será de 2”x2” con una tolerancia máxima de 1-7/8”. La cubierta de techo será de una sola pieza, con la longitud indicada en los planos.</w:t>
      </w:r>
    </w:p>
    <w:p w14:paraId="35338CD3"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15AE4403"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Al concluir la construcción del brocal y la caseta de la letrina, se debe forjar un talud entre el terreno natural con el pie de pared, en los costados y la parte posterior para evitar la penetración de agua pluvial.</w:t>
      </w:r>
    </w:p>
    <w:p w14:paraId="5973D3E5"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B94E9DB" w14:textId="77777777" w:rsidR="00003780" w:rsidRPr="00640CFF" w:rsidRDefault="00003780" w:rsidP="003B68DB">
      <w:pPr>
        <w:pStyle w:val="Prrafodelista"/>
        <w:numPr>
          <w:ilvl w:val="1"/>
          <w:numId w:val="127"/>
        </w:numPr>
        <w:contextualSpacing/>
        <w:rPr>
          <w:rFonts w:cs="Arial"/>
          <w:b/>
          <w:bCs/>
          <w:i/>
          <w:iCs/>
          <w:sz w:val="22"/>
          <w:szCs w:val="22"/>
        </w:rPr>
      </w:pPr>
      <w:r w:rsidRPr="00640CFF">
        <w:rPr>
          <w:rFonts w:cs="Arial"/>
          <w:b/>
          <w:bCs/>
          <w:iCs/>
          <w:sz w:val="22"/>
          <w:szCs w:val="22"/>
        </w:rPr>
        <w:t>ESPECIFICACI</w:t>
      </w:r>
      <w:r>
        <w:rPr>
          <w:rFonts w:cs="Arial"/>
          <w:b/>
          <w:bCs/>
          <w:iCs/>
          <w:sz w:val="22"/>
          <w:szCs w:val="22"/>
        </w:rPr>
        <w:t>Ó</w:t>
      </w:r>
      <w:r w:rsidRPr="00640CFF">
        <w:rPr>
          <w:rFonts w:cs="Arial"/>
          <w:b/>
          <w:bCs/>
          <w:iCs/>
          <w:sz w:val="22"/>
          <w:szCs w:val="22"/>
        </w:rPr>
        <w:t>N T</w:t>
      </w:r>
      <w:r>
        <w:rPr>
          <w:rFonts w:cs="Arial"/>
          <w:b/>
          <w:bCs/>
          <w:iCs/>
          <w:sz w:val="22"/>
          <w:szCs w:val="22"/>
        </w:rPr>
        <w:t>É</w:t>
      </w:r>
      <w:r w:rsidRPr="00640CFF">
        <w:rPr>
          <w:rFonts w:cs="Arial"/>
          <w:b/>
          <w:bCs/>
          <w:iCs/>
          <w:sz w:val="22"/>
          <w:szCs w:val="22"/>
        </w:rPr>
        <w:t>CNICA DE LAVADEROS</w:t>
      </w:r>
    </w:p>
    <w:p w14:paraId="2ADC6574" w14:textId="77777777" w:rsidR="00003780" w:rsidRPr="00640CFF" w:rsidRDefault="00003780" w:rsidP="00003780">
      <w:pPr>
        <w:pStyle w:val="Prrafodelista"/>
        <w:rPr>
          <w:rFonts w:cs="Arial"/>
          <w:b/>
          <w:bCs/>
          <w:i/>
          <w:iCs/>
          <w:sz w:val="22"/>
          <w:szCs w:val="22"/>
        </w:rPr>
      </w:pPr>
    </w:p>
    <w:p w14:paraId="642CE662"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Se suministrará un lavadero sencillo de concreto reforzado de 2500</w:t>
      </w:r>
      <w:r>
        <w:rPr>
          <w:rFonts w:cs="Arial"/>
          <w:sz w:val="22"/>
          <w:szCs w:val="22"/>
          <w:lang w:val="es-NI" w:eastAsia="es-NI"/>
        </w:rPr>
        <w:t xml:space="preserve"> </w:t>
      </w:r>
      <w:r w:rsidRPr="00640CFF">
        <w:rPr>
          <w:rFonts w:cs="Arial"/>
          <w:sz w:val="22"/>
          <w:szCs w:val="22"/>
          <w:lang w:val="es-NI" w:eastAsia="es-NI"/>
        </w:rPr>
        <w:t xml:space="preserve">psi formado de 2 partes 1 fondo estriado y una pileta de fabricación nacional este puede ser prefabricado o fabricado y debe cumplir con las dimensiones y especificaciones indicados en planos.  </w:t>
      </w:r>
    </w:p>
    <w:p w14:paraId="298F363D"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6208691"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lastRenderedPageBreak/>
        <w:t xml:space="preserve">Tendrá dimensiones totales: ancho 0.63 m, largo 1.00 m, alto 0.83 m. </w:t>
      </w:r>
    </w:p>
    <w:p w14:paraId="58D762A8"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59F0BC25"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Dimensiones internas de la pila: 0.41m</w:t>
      </w:r>
      <w:r>
        <w:rPr>
          <w:rFonts w:cs="Arial"/>
          <w:sz w:val="22"/>
          <w:szCs w:val="22"/>
          <w:lang w:val="es-NI" w:eastAsia="es-NI"/>
        </w:rPr>
        <w:t xml:space="preserve"> </w:t>
      </w:r>
      <w:r w:rsidRPr="00640CFF">
        <w:rPr>
          <w:rFonts w:cs="Arial"/>
          <w:sz w:val="22"/>
          <w:szCs w:val="22"/>
          <w:lang w:val="es-NI" w:eastAsia="es-NI"/>
        </w:rPr>
        <w:t>x</w:t>
      </w:r>
      <w:r>
        <w:rPr>
          <w:rFonts w:cs="Arial"/>
          <w:sz w:val="22"/>
          <w:szCs w:val="22"/>
          <w:lang w:val="es-NI" w:eastAsia="es-NI"/>
        </w:rPr>
        <w:t xml:space="preserve"> </w:t>
      </w:r>
      <w:r w:rsidRPr="00640CFF">
        <w:rPr>
          <w:rFonts w:cs="Arial"/>
          <w:sz w:val="22"/>
          <w:szCs w:val="22"/>
          <w:lang w:val="es-NI" w:eastAsia="es-NI"/>
        </w:rPr>
        <w:t>0.59</w:t>
      </w:r>
      <w:r>
        <w:rPr>
          <w:rFonts w:cs="Arial"/>
          <w:sz w:val="22"/>
          <w:szCs w:val="22"/>
          <w:lang w:val="es-NI" w:eastAsia="es-NI"/>
        </w:rPr>
        <w:t xml:space="preserve"> </w:t>
      </w:r>
      <w:r w:rsidRPr="00640CFF">
        <w:rPr>
          <w:rFonts w:cs="Arial"/>
          <w:sz w:val="22"/>
          <w:szCs w:val="22"/>
          <w:lang w:val="es-NI" w:eastAsia="es-NI"/>
        </w:rPr>
        <w:t>m</w:t>
      </w:r>
      <w:r>
        <w:rPr>
          <w:rFonts w:cs="Arial"/>
          <w:sz w:val="22"/>
          <w:szCs w:val="22"/>
          <w:lang w:val="es-NI" w:eastAsia="es-NI"/>
        </w:rPr>
        <w:t xml:space="preserve"> </w:t>
      </w:r>
      <w:r w:rsidRPr="00640CFF">
        <w:rPr>
          <w:rFonts w:cs="Arial"/>
          <w:sz w:val="22"/>
          <w:szCs w:val="22"/>
          <w:lang w:val="es-NI" w:eastAsia="es-NI"/>
        </w:rPr>
        <w:t>x</w:t>
      </w:r>
      <w:r>
        <w:rPr>
          <w:rFonts w:cs="Arial"/>
          <w:sz w:val="22"/>
          <w:szCs w:val="22"/>
          <w:lang w:val="es-NI" w:eastAsia="es-NI"/>
        </w:rPr>
        <w:t xml:space="preserve"> </w:t>
      </w:r>
      <w:r w:rsidRPr="00640CFF">
        <w:rPr>
          <w:rFonts w:cs="Arial"/>
          <w:sz w:val="22"/>
          <w:szCs w:val="22"/>
          <w:lang w:val="es-NI" w:eastAsia="es-NI"/>
        </w:rPr>
        <w:t>0.32 m con capacidad máxima de 77.40</w:t>
      </w:r>
      <w:r>
        <w:rPr>
          <w:rFonts w:cs="Arial"/>
          <w:sz w:val="22"/>
          <w:szCs w:val="22"/>
          <w:lang w:val="es-NI" w:eastAsia="es-NI"/>
        </w:rPr>
        <w:t xml:space="preserve"> </w:t>
      </w:r>
      <w:r w:rsidRPr="00640CFF">
        <w:rPr>
          <w:rFonts w:cs="Arial"/>
          <w:sz w:val="22"/>
          <w:szCs w:val="22"/>
          <w:lang w:val="es-NI" w:eastAsia="es-NI"/>
        </w:rPr>
        <w:t>lts.</w:t>
      </w:r>
    </w:p>
    <w:p w14:paraId="036EAD9D"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8070F2A"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Dimensiones internas de la pila estriada: 0.59m</w:t>
      </w:r>
      <w:r>
        <w:rPr>
          <w:rFonts w:cs="Arial"/>
          <w:sz w:val="22"/>
          <w:szCs w:val="22"/>
          <w:lang w:val="es-NI" w:eastAsia="es-NI"/>
        </w:rPr>
        <w:t xml:space="preserve"> </w:t>
      </w:r>
      <w:r w:rsidRPr="00640CFF">
        <w:rPr>
          <w:rFonts w:cs="Arial"/>
          <w:sz w:val="22"/>
          <w:szCs w:val="22"/>
          <w:lang w:val="es-NI" w:eastAsia="es-NI"/>
        </w:rPr>
        <w:t>x</w:t>
      </w:r>
      <w:r>
        <w:rPr>
          <w:rFonts w:cs="Arial"/>
          <w:sz w:val="22"/>
          <w:szCs w:val="22"/>
          <w:lang w:val="es-NI" w:eastAsia="es-NI"/>
        </w:rPr>
        <w:t xml:space="preserve"> </w:t>
      </w:r>
      <w:r w:rsidRPr="00640CFF">
        <w:rPr>
          <w:rFonts w:cs="Arial"/>
          <w:sz w:val="22"/>
          <w:szCs w:val="22"/>
          <w:lang w:val="es-NI" w:eastAsia="es-NI"/>
        </w:rPr>
        <w:t>0.59 m x 0.21m.</w:t>
      </w:r>
    </w:p>
    <w:p w14:paraId="51DDA1C3"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E939812"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 xml:space="preserve">Tendrá acabado general de fino liso de cemento portland, la estrillas serán formada con largo 0.49m, labrada con ondulación de 3/8”. </w:t>
      </w:r>
    </w:p>
    <w:p w14:paraId="3F3DC966"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4064263F"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Deberá incluir orificio de drenaje de lavadero diámetro de 2” y orificio para limpieza de la pila de diámetro 1” conectado con una tee PVC reductora al tubo de desagüe principal del mismo material de diámetro 2” el cual se conectará a pozo de absorción. Este no incluye llave de chorro.</w:t>
      </w:r>
    </w:p>
    <w:p w14:paraId="5D1C10B5"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18B9D715"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PROTECCIÓN DE PROPIEDADES Y ESTRUCTURAS</w:t>
      </w:r>
    </w:p>
    <w:p w14:paraId="2C7D069D" w14:textId="77777777" w:rsidR="00003780" w:rsidRPr="00640CFF" w:rsidRDefault="00003780" w:rsidP="00003780">
      <w:pPr>
        <w:tabs>
          <w:tab w:val="left" w:pos="142"/>
        </w:tabs>
        <w:autoSpaceDE w:val="0"/>
        <w:autoSpaceDN w:val="0"/>
        <w:adjustRightInd w:val="0"/>
        <w:rPr>
          <w:rFonts w:cs="Arial"/>
          <w:b/>
          <w:bCs/>
          <w:i/>
          <w:sz w:val="22"/>
          <w:szCs w:val="22"/>
          <w:lang w:val="es-NI" w:eastAsia="es-NI"/>
        </w:rPr>
      </w:pPr>
    </w:p>
    <w:p w14:paraId="53738189"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deberá asumir todos los riesgos inherentes a la presencia o proximidad de paredes, viviendas, cercos, estructuras, servicios públicos y propiedades situadas en la vecindad de su trabajo. Será responsable por todos los daños y deberá asumir los gastos por perjuicios directos indirectos. De acuerdo a lo requerido por la persona propietaria de la estructura o de la que está a cargo de la misma, ya sea que dichas estructuras estén o no mostradas en los planos.</w:t>
      </w:r>
    </w:p>
    <w:p w14:paraId="113D5012"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78357A35"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MEDICIÓN DE LOS TRABAJOS Y FORMA DE PAGO</w:t>
      </w:r>
    </w:p>
    <w:p w14:paraId="369E41E2" w14:textId="77777777" w:rsidR="00003780" w:rsidRPr="00640CFF" w:rsidRDefault="00003780" w:rsidP="00003780">
      <w:pPr>
        <w:tabs>
          <w:tab w:val="left" w:pos="142"/>
        </w:tabs>
        <w:autoSpaceDE w:val="0"/>
        <w:autoSpaceDN w:val="0"/>
        <w:adjustRightInd w:val="0"/>
        <w:rPr>
          <w:rFonts w:cs="Arial"/>
          <w:b/>
          <w:bCs/>
          <w:i/>
          <w:sz w:val="22"/>
          <w:szCs w:val="22"/>
          <w:lang w:val="es-NI" w:eastAsia="es-NI"/>
        </w:rPr>
      </w:pPr>
    </w:p>
    <w:p w14:paraId="7052540A"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Todos los trabajos a ejecutarse dentro de los alcances estimados de obra, se pagarán conforme las unidades totalmente terminadas.</w:t>
      </w:r>
    </w:p>
    <w:p w14:paraId="216EF4C7" w14:textId="77777777" w:rsidR="00003780" w:rsidRPr="00640CFF" w:rsidRDefault="00003780" w:rsidP="00003780">
      <w:pPr>
        <w:tabs>
          <w:tab w:val="left" w:pos="142"/>
        </w:tabs>
        <w:autoSpaceDE w:val="0"/>
        <w:autoSpaceDN w:val="0"/>
        <w:adjustRightInd w:val="0"/>
        <w:rPr>
          <w:rFonts w:cs="Arial"/>
          <w:i/>
          <w:sz w:val="22"/>
          <w:szCs w:val="22"/>
          <w:lang w:val="es-NI" w:eastAsia="es-NI"/>
        </w:rPr>
      </w:pPr>
    </w:p>
    <w:p w14:paraId="38B1348F" w14:textId="77777777" w:rsidR="00003780" w:rsidRPr="00640CFF" w:rsidRDefault="00003780" w:rsidP="003B68DB">
      <w:pPr>
        <w:pStyle w:val="Prrafodelista"/>
        <w:keepNext/>
        <w:numPr>
          <w:ilvl w:val="1"/>
          <w:numId w:val="127"/>
        </w:numPr>
        <w:tabs>
          <w:tab w:val="left" w:pos="142"/>
        </w:tabs>
        <w:ind w:left="0" w:right="-516" w:firstLine="0"/>
        <w:contextualSpacing/>
        <w:outlineLvl w:val="1"/>
        <w:rPr>
          <w:rFonts w:cs="Arial"/>
          <w:b/>
          <w:bCs/>
          <w:i/>
          <w:iCs/>
          <w:sz w:val="22"/>
          <w:szCs w:val="22"/>
        </w:rPr>
      </w:pPr>
      <w:r w:rsidRPr="00640CFF">
        <w:rPr>
          <w:rFonts w:cs="Arial"/>
          <w:b/>
          <w:bCs/>
          <w:iCs/>
          <w:sz w:val="22"/>
          <w:szCs w:val="22"/>
        </w:rPr>
        <w:t>LIMPIEZA FINAL</w:t>
      </w:r>
    </w:p>
    <w:p w14:paraId="013A299F" w14:textId="77777777" w:rsidR="00003780" w:rsidRDefault="00003780" w:rsidP="00003780">
      <w:pPr>
        <w:tabs>
          <w:tab w:val="left" w:pos="142"/>
        </w:tabs>
        <w:autoSpaceDE w:val="0"/>
        <w:autoSpaceDN w:val="0"/>
        <w:adjustRightInd w:val="0"/>
        <w:rPr>
          <w:rFonts w:cs="Arial"/>
          <w:i/>
          <w:sz w:val="22"/>
          <w:szCs w:val="22"/>
          <w:lang w:val="es-NI" w:eastAsia="es-NI"/>
        </w:rPr>
      </w:pPr>
    </w:p>
    <w:p w14:paraId="2F5B59CE" w14:textId="77777777" w:rsidR="00003780" w:rsidRPr="00640CFF" w:rsidRDefault="00003780" w:rsidP="00003780">
      <w:pPr>
        <w:tabs>
          <w:tab w:val="left" w:pos="142"/>
        </w:tabs>
        <w:autoSpaceDE w:val="0"/>
        <w:autoSpaceDN w:val="0"/>
        <w:adjustRightInd w:val="0"/>
        <w:rPr>
          <w:rFonts w:cs="Arial"/>
          <w:i/>
          <w:sz w:val="22"/>
          <w:szCs w:val="22"/>
          <w:lang w:val="es-NI" w:eastAsia="es-NI"/>
        </w:rPr>
      </w:pPr>
      <w:r w:rsidRPr="00640CFF">
        <w:rPr>
          <w:rFonts w:cs="Arial"/>
          <w:sz w:val="22"/>
          <w:szCs w:val="22"/>
          <w:lang w:val="es-NI" w:eastAsia="es-NI"/>
        </w:rPr>
        <w:t>EL CONTRATISTA una vez terminado el trabajo, eliminará toda basura material y sobrante de la ejecución de la obra, dejando en condición original y limpia el terreno y la letrina.</w:t>
      </w:r>
    </w:p>
    <w:p w14:paraId="5E9111A5" w14:textId="77777777" w:rsidR="00003780" w:rsidRDefault="00003780" w:rsidP="00003780">
      <w:pPr>
        <w:tabs>
          <w:tab w:val="left" w:pos="142"/>
        </w:tabs>
        <w:autoSpaceDE w:val="0"/>
        <w:autoSpaceDN w:val="0"/>
        <w:adjustRightInd w:val="0"/>
        <w:rPr>
          <w:rFonts w:cs="Arial"/>
          <w:i/>
          <w:sz w:val="22"/>
          <w:szCs w:val="22"/>
          <w:lang w:val="es-NI" w:eastAsia="es-NI"/>
        </w:rPr>
      </w:pPr>
    </w:p>
    <w:p w14:paraId="7E5EDC2A" w14:textId="77777777" w:rsidR="00003780" w:rsidRPr="00640CFF" w:rsidRDefault="00003780" w:rsidP="003B68DB">
      <w:pPr>
        <w:pStyle w:val="Prrafodelista"/>
        <w:keepNext/>
        <w:numPr>
          <w:ilvl w:val="0"/>
          <w:numId w:val="127"/>
        </w:numPr>
        <w:tabs>
          <w:tab w:val="left" w:pos="142"/>
        </w:tabs>
        <w:ind w:left="426" w:right="-516" w:firstLine="0"/>
        <w:contextualSpacing/>
        <w:outlineLvl w:val="1"/>
        <w:rPr>
          <w:rFonts w:cs="Arial"/>
          <w:b/>
          <w:bCs/>
          <w:i/>
          <w:iCs/>
          <w:sz w:val="22"/>
          <w:szCs w:val="22"/>
        </w:rPr>
      </w:pPr>
      <w:r w:rsidRPr="00640CFF">
        <w:rPr>
          <w:rFonts w:cs="Arial"/>
          <w:b/>
          <w:bCs/>
          <w:iCs/>
          <w:sz w:val="22"/>
          <w:szCs w:val="22"/>
        </w:rPr>
        <w:t xml:space="preserve">         ESPECIFICACIONES TECNICAS GENERALES AMBIENTALES</w:t>
      </w:r>
    </w:p>
    <w:p w14:paraId="18312B1A" w14:textId="77777777" w:rsidR="00003780" w:rsidRPr="00640CFF" w:rsidRDefault="00003780" w:rsidP="00003780">
      <w:pPr>
        <w:tabs>
          <w:tab w:val="left" w:pos="142"/>
        </w:tabs>
        <w:autoSpaceDE w:val="0"/>
        <w:autoSpaceDN w:val="0"/>
        <w:adjustRightInd w:val="0"/>
        <w:ind w:left="-567"/>
        <w:rPr>
          <w:rFonts w:cs="Arial"/>
          <w:i/>
          <w:sz w:val="22"/>
          <w:szCs w:val="22"/>
          <w:lang w:val="es-NI" w:eastAsia="es-NI"/>
        </w:rPr>
      </w:pPr>
    </w:p>
    <w:p w14:paraId="314F3107" w14:textId="77777777" w:rsidR="00003780" w:rsidRPr="00640CFF" w:rsidRDefault="00003780" w:rsidP="003B68DB">
      <w:pPr>
        <w:pStyle w:val="Prrafodelista"/>
        <w:keepNext/>
        <w:numPr>
          <w:ilvl w:val="1"/>
          <w:numId w:val="127"/>
        </w:numPr>
        <w:tabs>
          <w:tab w:val="left" w:pos="0"/>
        </w:tabs>
        <w:ind w:left="0" w:right="-516" w:firstLine="0"/>
        <w:contextualSpacing/>
        <w:outlineLvl w:val="1"/>
        <w:rPr>
          <w:rFonts w:cs="Arial"/>
          <w:b/>
          <w:bCs/>
          <w:i/>
          <w:iCs/>
          <w:sz w:val="22"/>
          <w:szCs w:val="22"/>
        </w:rPr>
      </w:pPr>
      <w:r w:rsidRPr="00640CFF">
        <w:rPr>
          <w:rFonts w:cs="Arial"/>
          <w:b/>
          <w:bCs/>
          <w:iCs/>
          <w:sz w:val="22"/>
          <w:szCs w:val="22"/>
        </w:rPr>
        <w:t>INTRODUCCI</w:t>
      </w:r>
      <w:r>
        <w:rPr>
          <w:rFonts w:cs="Arial"/>
          <w:b/>
          <w:bCs/>
          <w:iCs/>
          <w:sz w:val="22"/>
          <w:szCs w:val="22"/>
        </w:rPr>
        <w:t>Ó</w:t>
      </w:r>
      <w:r w:rsidRPr="00640CFF">
        <w:rPr>
          <w:rFonts w:cs="Arial"/>
          <w:b/>
          <w:bCs/>
          <w:iCs/>
          <w:sz w:val="22"/>
          <w:szCs w:val="22"/>
        </w:rPr>
        <w:t>N</w:t>
      </w:r>
    </w:p>
    <w:p w14:paraId="4618B64E" w14:textId="77777777" w:rsidR="00003780" w:rsidRPr="00640CFF" w:rsidRDefault="00003780" w:rsidP="00003780">
      <w:pPr>
        <w:tabs>
          <w:tab w:val="left" w:pos="142"/>
        </w:tabs>
        <w:rPr>
          <w:rFonts w:cs="Arial"/>
          <w:i/>
          <w:sz w:val="22"/>
          <w:szCs w:val="22"/>
          <w:lang w:val="es-MX"/>
        </w:rPr>
      </w:pPr>
    </w:p>
    <w:p w14:paraId="3D16A33B" w14:textId="77777777" w:rsidR="00003780" w:rsidRPr="00640CFF" w:rsidRDefault="00003780" w:rsidP="00003780">
      <w:pPr>
        <w:tabs>
          <w:tab w:val="left" w:pos="142"/>
        </w:tabs>
        <w:rPr>
          <w:rFonts w:cs="Arial"/>
          <w:i/>
          <w:sz w:val="22"/>
          <w:szCs w:val="22"/>
          <w:lang w:val="es-MX"/>
        </w:rPr>
      </w:pPr>
      <w:r w:rsidRPr="00640CFF">
        <w:rPr>
          <w:rFonts w:cs="Arial"/>
          <w:sz w:val="22"/>
          <w:szCs w:val="22"/>
          <w:lang w:val="es-MX"/>
        </w:rPr>
        <w:t xml:space="preserve">El objetivo de estas especificaciones es servir como guía para garantizar que el diseño y la ejecución de las obras de los </w:t>
      </w:r>
      <w:r>
        <w:rPr>
          <w:rFonts w:cs="Arial"/>
          <w:sz w:val="22"/>
          <w:szCs w:val="22"/>
          <w:lang w:val="es-MX"/>
        </w:rPr>
        <w:t>p</w:t>
      </w:r>
      <w:r w:rsidRPr="00640CFF">
        <w:rPr>
          <w:rFonts w:cs="Arial"/>
          <w:sz w:val="22"/>
          <w:szCs w:val="22"/>
          <w:lang w:val="es-MX"/>
        </w:rPr>
        <w:t xml:space="preserve">royectos de </w:t>
      </w:r>
      <w:r>
        <w:rPr>
          <w:rFonts w:cs="Arial"/>
          <w:sz w:val="22"/>
          <w:szCs w:val="22"/>
          <w:lang w:val="es-MX"/>
        </w:rPr>
        <w:t>a</w:t>
      </w:r>
      <w:r w:rsidRPr="00640CFF">
        <w:rPr>
          <w:rFonts w:cs="Arial"/>
          <w:sz w:val="22"/>
          <w:szCs w:val="22"/>
          <w:lang w:val="es-MX"/>
        </w:rPr>
        <w:t xml:space="preserve">gua y </w:t>
      </w:r>
      <w:r>
        <w:rPr>
          <w:rFonts w:cs="Arial"/>
          <w:sz w:val="22"/>
          <w:szCs w:val="22"/>
          <w:lang w:val="es-MX"/>
        </w:rPr>
        <w:t>s</w:t>
      </w:r>
      <w:r w:rsidRPr="00640CFF">
        <w:rPr>
          <w:rFonts w:cs="Arial"/>
          <w:sz w:val="22"/>
          <w:szCs w:val="22"/>
          <w:lang w:val="es-MX"/>
        </w:rPr>
        <w:t>aneamiento incluyan las medidas y acciones necesarias para producir el mínimo impacto negativo posible sobre el ambiente y las personas, mediante la prevención y/o mitigación de los riesgos ambientales y sociales que pudieran generarse con los diferentes tipos de obras de infraestructura para la provisión de agua potable y de saneamiento.</w:t>
      </w:r>
    </w:p>
    <w:p w14:paraId="2880E08F" w14:textId="77777777" w:rsidR="00003780" w:rsidRPr="00640CFF" w:rsidRDefault="00003780" w:rsidP="00003780">
      <w:pPr>
        <w:tabs>
          <w:tab w:val="left" w:pos="142"/>
        </w:tabs>
        <w:rPr>
          <w:rFonts w:cs="Arial"/>
          <w:i/>
          <w:sz w:val="22"/>
          <w:szCs w:val="22"/>
          <w:lang w:val="es-MX"/>
        </w:rPr>
      </w:pPr>
    </w:p>
    <w:p w14:paraId="7333846B" w14:textId="77777777" w:rsidR="00003780" w:rsidRPr="00640CFF" w:rsidRDefault="00003780" w:rsidP="00003780">
      <w:pPr>
        <w:tabs>
          <w:tab w:val="left" w:pos="142"/>
        </w:tabs>
        <w:rPr>
          <w:rFonts w:cs="Arial"/>
          <w:i/>
          <w:sz w:val="22"/>
          <w:szCs w:val="22"/>
          <w:lang w:val="es-MX"/>
        </w:rPr>
      </w:pPr>
      <w:r w:rsidRPr="00640CFF">
        <w:rPr>
          <w:rFonts w:cs="Arial"/>
          <w:sz w:val="22"/>
          <w:szCs w:val="22"/>
          <w:lang w:val="es-MX"/>
        </w:rPr>
        <w:t>Las directrices aquí establecidas son generales y serán utilizadas sin perjuicio de las recomendaciones y disposiciones específicas generadas por las autoridades reguladoras en materia socio-ambiental y de calidad de los servicios de agua y saneamiento, o las Especificaciones Técnicas Ambientales y Sociales Particulares que se establezcan para cada proyecto según sus características y/o las políticas operacionales ambientales y sociales de los organismos cooperantes.</w:t>
      </w:r>
    </w:p>
    <w:p w14:paraId="1A6BFF19" w14:textId="77777777" w:rsidR="00003780" w:rsidRPr="00640CFF" w:rsidRDefault="00003780" w:rsidP="00003780">
      <w:pPr>
        <w:pStyle w:val="Prrafodelista"/>
        <w:keepNext/>
        <w:tabs>
          <w:tab w:val="left" w:pos="0"/>
        </w:tabs>
        <w:ind w:left="0" w:right="-516"/>
        <w:outlineLvl w:val="1"/>
        <w:rPr>
          <w:rFonts w:cs="Arial"/>
          <w:b/>
          <w:bCs/>
          <w:i/>
          <w:iCs/>
          <w:sz w:val="22"/>
          <w:szCs w:val="22"/>
        </w:rPr>
      </w:pPr>
    </w:p>
    <w:p w14:paraId="3C26303C" w14:textId="77777777" w:rsidR="00003780" w:rsidRPr="00640CFF" w:rsidRDefault="00003780" w:rsidP="003B68DB">
      <w:pPr>
        <w:pStyle w:val="Prrafodelista"/>
        <w:keepNext/>
        <w:numPr>
          <w:ilvl w:val="1"/>
          <w:numId w:val="127"/>
        </w:numPr>
        <w:tabs>
          <w:tab w:val="left" w:pos="0"/>
        </w:tabs>
        <w:ind w:left="0" w:right="-516" w:firstLine="0"/>
        <w:contextualSpacing/>
        <w:outlineLvl w:val="1"/>
        <w:rPr>
          <w:rFonts w:cs="Arial"/>
          <w:b/>
          <w:bCs/>
          <w:i/>
          <w:iCs/>
          <w:sz w:val="22"/>
          <w:szCs w:val="22"/>
        </w:rPr>
      </w:pPr>
      <w:r w:rsidRPr="00640CFF">
        <w:rPr>
          <w:rFonts w:cs="Arial"/>
          <w:b/>
          <w:bCs/>
          <w:iCs/>
          <w:sz w:val="22"/>
          <w:szCs w:val="22"/>
        </w:rPr>
        <w:t>ESPECIFICACIONES TÉCNICAS AMBIENTALES GENERALES PARA LOS PROYECTOS</w:t>
      </w:r>
      <w:r>
        <w:rPr>
          <w:rFonts w:cs="Arial"/>
          <w:b/>
          <w:bCs/>
          <w:iCs/>
          <w:sz w:val="22"/>
          <w:szCs w:val="22"/>
        </w:rPr>
        <w:t xml:space="preserve"> NUEVO </w:t>
      </w:r>
    </w:p>
    <w:p w14:paraId="20153295" w14:textId="77777777" w:rsidR="00003780" w:rsidRPr="00640CFF" w:rsidRDefault="00003780" w:rsidP="00003780">
      <w:pPr>
        <w:tabs>
          <w:tab w:val="left" w:pos="142"/>
        </w:tabs>
        <w:rPr>
          <w:rFonts w:cs="Arial"/>
          <w:i/>
          <w:sz w:val="22"/>
          <w:szCs w:val="22"/>
          <w:lang w:val="es-MX"/>
        </w:rPr>
      </w:pPr>
    </w:p>
    <w:p w14:paraId="68424E3A" w14:textId="77777777" w:rsidR="00003780" w:rsidRPr="00640CFF" w:rsidRDefault="00003780" w:rsidP="00003780">
      <w:pPr>
        <w:tabs>
          <w:tab w:val="left" w:pos="142"/>
        </w:tabs>
        <w:rPr>
          <w:rFonts w:cs="Arial"/>
          <w:b/>
          <w:i/>
          <w:sz w:val="22"/>
          <w:szCs w:val="22"/>
        </w:rPr>
      </w:pPr>
      <w:r w:rsidRPr="00640CFF">
        <w:rPr>
          <w:rFonts w:cs="Arial"/>
          <w:b/>
          <w:sz w:val="22"/>
          <w:szCs w:val="22"/>
        </w:rPr>
        <w:lastRenderedPageBreak/>
        <w:t>Disposición de materiales y residuos</w:t>
      </w:r>
    </w:p>
    <w:p w14:paraId="52BFE794" w14:textId="77777777" w:rsidR="00003780" w:rsidRPr="00640CFF" w:rsidRDefault="00003780" w:rsidP="00003780">
      <w:pPr>
        <w:tabs>
          <w:tab w:val="left" w:pos="142"/>
        </w:tabs>
        <w:rPr>
          <w:rFonts w:cs="Arial"/>
          <w:b/>
          <w:i/>
          <w:sz w:val="22"/>
          <w:szCs w:val="22"/>
        </w:rPr>
      </w:pPr>
    </w:p>
    <w:p w14:paraId="2723F0CF"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Antes de iniciar actividades, se debe delimitar el área a intervenir y señalizar a través de barreras, estacas, cintas reflectoras, entre otras.</w:t>
      </w:r>
    </w:p>
    <w:p w14:paraId="28D9F916"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Una vez generado el material (escombros) de excavación o demolición se debe clasificar, almacenar y resguardar inmediatamente del frente de la obra y una vez finalizada ser retirados a sitios autorizados.</w:t>
      </w:r>
    </w:p>
    <w:p w14:paraId="4D358A32"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Cubrir los materiales acopiados o producto de la excavación con lonas o plástico para evitar el arrastre de sedimentos al cuerpo de agua e impedir la dispersión del material por acción del viento.</w:t>
      </w:r>
    </w:p>
    <w:p w14:paraId="1A038BC4"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El contratista no puede directamente o a través de terceras personas, disponer de estos residuos en sitios diferentes que los establecidos para ello y autorizados por el supervisor.</w:t>
      </w:r>
    </w:p>
    <w:p w14:paraId="15158B63"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No se permitirá botar los residuos en ríos o quebradas, calzadas, canales de aguas pluviales o cauces, cuerpos de agua o cualquier otro sitio donde puedan ser causa de contaminación del ambiente o deterioro del paisaje.</w:t>
      </w:r>
    </w:p>
    <w:p w14:paraId="76911CBE"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No disponer en cauces o cursos los sobrantes de mezclas de concreto.</w:t>
      </w:r>
    </w:p>
    <w:p w14:paraId="3808A5AD"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Se recomienda en separar el papel y la madera que pueda ser utilizados como combustible, la tierra sobrante de excavación que se pueda disponer como relleno, los metales y los plásticos que se puedan reciclar.</w:t>
      </w:r>
    </w:p>
    <w:p w14:paraId="3EC8B30B"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Los materiales y escombros no reciclables deben ser enviados a botaderos municipales, donde existan. De no existir botadero autorizado, los desechos sólidos deben ser enterrados en sitios aprobados por el ingeniero supervisor o quemados con autorización previa del supervisor.</w:t>
      </w:r>
    </w:p>
    <w:p w14:paraId="348974A1"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Al finalizar cada actividad de la obra en el día, los sitios de las obras y sus zonas contiguas deberán estar en óptimas condiciones de limpieza y libre de cualquier tipo de material de desecho.</w:t>
      </w:r>
    </w:p>
    <w:p w14:paraId="184C10D8"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Las zonas de paso, salidas y vías de circulación de los lugares de trabajo deberán permanecer libres de obstáculos, de forma que sea posible utilizarlas sin dificultad.</w:t>
      </w:r>
    </w:p>
    <w:p w14:paraId="392EE578"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Se prohíbe la utilización de las zonas verdes y el espacio público para la disposición temporal de materiales sobrantes, producto de las actividades constructivas de los proyectos.</w:t>
      </w:r>
    </w:p>
    <w:p w14:paraId="5725EC82" w14:textId="77777777" w:rsidR="00003780" w:rsidRPr="00640CFF" w:rsidRDefault="00003780" w:rsidP="003B68DB">
      <w:pPr>
        <w:pStyle w:val="Prrafodelista"/>
        <w:numPr>
          <w:ilvl w:val="0"/>
          <w:numId w:val="134"/>
        </w:numPr>
        <w:tabs>
          <w:tab w:val="left" w:pos="142"/>
        </w:tabs>
        <w:contextualSpacing/>
        <w:rPr>
          <w:rFonts w:cs="Arial"/>
          <w:i/>
          <w:sz w:val="22"/>
          <w:szCs w:val="22"/>
          <w:lang w:val="es-MX"/>
        </w:rPr>
      </w:pPr>
      <w:r w:rsidRPr="00640CFF">
        <w:rPr>
          <w:rFonts w:cs="Arial"/>
          <w:sz w:val="22"/>
          <w:szCs w:val="22"/>
        </w:rPr>
        <w:t xml:space="preserve">El contratista debe contar con materiales aptos para la mezcla de cemento como: lona de plástico, batea, entre otros.   </w:t>
      </w:r>
    </w:p>
    <w:p w14:paraId="64EF0EBE" w14:textId="77777777" w:rsidR="00003780" w:rsidRPr="00640CFF" w:rsidRDefault="00003780" w:rsidP="00003780">
      <w:pPr>
        <w:tabs>
          <w:tab w:val="left" w:pos="142"/>
        </w:tabs>
        <w:ind w:left="720"/>
        <w:rPr>
          <w:rFonts w:cs="Arial"/>
          <w:i/>
          <w:sz w:val="22"/>
          <w:szCs w:val="22"/>
        </w:rPr>
      </w:pPr>
    </w:p>
    <w:p w14:paraId="42156EDB" w14:textId="77777777" w:rsidR="00003780" w:rsidRPr="00640CFF" w:rsidRDefault="00003780" w:rsidP="00003780">
      <w:pPr>
        <w:tabs>
          <w:tab w:val="left" w:pos="142"/>
        </w:tabs>
        <w:rPr>
          <w:rFonts w:cs="Arial"/>
          <w:b/>
          <w:i/>
          <w:sz w:val="22"/>
          <w:szCs w:val="22"/>
        </w:rPr>
      </w:pPr>
      <w:r w:rsidRPr="00640CFF">
        <w:rPr>
          <w:rFonts w:cs="Arial"/>
          <w:b/>
          <w:sz w:val="22"/>
          <w:szCs w:val="22"/>
        </w:rPr>
        <w:t>Disposiciones de Excretas</w:t>
      </w:r>
    </w:p>
    <w:p w14:paraId="4B4AAD9C" w14:textId="77777777" w:rsidR="00003780" w:rsidRPr="00640CFF" w:rsidRDefault="00003780" w:rsidP="00003780">
      <w:pPr>
        <w:tabs>
          <w:tab w:val="left" w:pos="142"/>
        </w:tabs>
        <w:rPr>
          <w:rFonts w:cs="Arial"/>
          <w:b/>
          <w:i/>
          <w:sz w:val="22"/>
          <w:szCs w:val="22"/>
        </w:rPr>
      </w:pPr>
    </w:p>
    <w:p w14:paraId="0AF322A6" w14:textId="77777777" w:rsidR="00003780" w:rsidRPr="00640CFF" w:rsidRDefault="00003780" w:rsidP="003B68DB">
      <w:pPr>
        <w:pStyle w:val="Prrafodelista"/>
        <w:numPr>
          <w:ilvl w:val="0"/>
          <w:numId w:val="135"/>
        </w:numPr>
        <w:tabs>
          <w:tab w:val="left" w:pos="142"/>
        </w:tabs>
        <w:contextualSpacing/>
        <w:rPr>
          <w:rFonts w:cs="Arial"/>
          <w:i/>
          <w:sz w:val="22"/>
          <w:szCs w:val="22"/>
          <w:lang w:val="es-MX"/>
        </w:rPr>
      </w:pPr>
      <w:r w:rsidRPr="00640CFF">
        <w:rPr>
          <w:rFonts w:cs="Arial"/>
          <w:sz w:val="22"/>
          <w:szCs w:val="22"/>
        </w:rPr>
        <w:t>Si el sitio de las obras no dispone de sistema sanitario que pueda ser utilizado por los trabajadores del contratista, el contratista deberá construir una letrina para este fin. El tipo de letrina a construir dependerá de la zona donde se ubicará.</w:t>
      </w:r>
    </w:p>
    <w:p w14:paraId="2C850024" w14:textId="77777777" w:rsidR="00003780" w:rsidRPr="00640CFF" w:rsidRDefault="00003780" w:rsidP="00003780">
      <w:pPr>
        <w:tabs>
          <w:tab w:val="left" w:pos="142"/>
        </w:tabs>
        <w:rPr>
          <w:rFonts w:cs="Arial"/>
          <w:i/>
          <w:sz w:val="22"/>
          <w:szCs w:val="22"/>
        </w:rPr>
      </w:pPr>
    </w:p>
    <w:p w14:paraId="056323A6" w14:textId="77777777" w:rsidR="00003780" w:rsidRPr="00640CFF" w:rsidRDefault="00003780" w:rsidP="00003780">
      <w:pPr>
        <w:tabs>
          <w:tab w:val="left" w:pos="142"/>
        </w:tabs>
        <w:rPr>
          <w:rFonts w:cs="Arial"/>
          <w:b/>
          <w:i/>
          <w:iCs/>
          <w:sz w:val="22"/>
          <w:szCs w:val="22"/>
        </w:rPr>
      </w:pPr>
      <w:r w:rsidRPr="00640CFF">
        <w:rPr>
          <w:rFonts w:cs="Arial"/>
          <w:b/>
          <w:iCs/>
          <w:sz w:val="22"/>
          <w:szCs w:val="22"/>
        </w:rPr>
        <w:t>Residuos Líquidos</w:t>
      </w:r>
    </w:p>
    <w:p w14:paraId="475B3E1E" w14:textId="77777777" w:rsidR="00003780" w:rsidRPr="00640CFF" w:rsidRDefault="00003780" w:rsidP="00003780">
      <w:pPr>
        <w:tabs>
          <w:tab w:val="left" w:pos="142"/>
        </w:tabs>
        <w:rPr>
          <w:rFonts w:cs="Arial"/>
          <w:b/>
          <w:i/>
          <w:iCs/>
          <w:sz w:val="22"/>
          <w:szCs w:val="22"/>
        </w:rPr>
      </w:pPr>
    </w:p>
    <w:p w14:paraId="126AE230" w14:textId="77777777" w:rsidR="00003780" w:rsidRPr="00640CFF" w:rsidRDefault="00003780" w:rsidP="003B68DB">
      <w:pPr>
        <w:pStyle w:val="Prrafodelista"/>
        <w:numPr>
          <w:ilvl w:val="0"/>
          <w:numId w:val="135"/>
        </w:numPr>
        <w:tabs>
          <w:tab w:val="left" w:pos="142"/>
        </w:tabs>
        <w:contextualSpacing/>
        <w:rPr>
          <w:rFonts w:cs="Arial"/>
          <w:i/>
          <w:sz w:val="22"/>
          <w:szCs w:val="22"/>
          <w:lang w:val="es-MX"/>
        </w:rPr>
      </w:pPr>
      <w:r w:rsidRPr="00640CFF">
        <w:rPr>
          <w:rFonts w:cs="Arial"/>
          <w:sz w:val="22"/>
          <w:szCs w:val="22"/>
        </w:rPr>
        <w:t xml:space="preserve">Los residuos líquidos como grasas, aceites y pintura con base de aceite, se les deberán de almacenar en pequeños envases herméticos y disponerlos en vertederos en la municipalidad.  </w:t>
      </w:r>
    </w:p>
    <w:p w14:paraId="29740462" w14:textId="77777777" w:rsidR="00003780" w:rsidRPr="00640CFF" w:rsidRDefault="00003780" w:rsidP="00003780">
      <w:pPr>
        <w:tabs>
          <w:tab w:val="left" w:pos="142"/>
        </w:tabs>
        <w:ind w:left="720"/>
        <w:rPr>
          <w:rFonts w:cs="Arial"/>
          <w:i/>
          <w:sz w:val="22"/>
          <w:szCs w:val="22"/>
          <w:lang w:val="es-MX"/>
        </w:rPr>
      </w:pPr>
    </w:p>
    <w:p w14:paraId="62D8FF3D" w14:textId="77777777" w:rsidR="00003780" w:rsidRPr="00640CFF" w:rsidRDefault="00003780" w:rsidP="003B68DB">
      <w:pPr>
        <w:pStyle w:val="Prrafodelista"/>
        <w:numPr>
          <w:ilvl w:val="0"/>
          <w:numId w:val="135"/>
        </w:numPr>
        <w:tabs>
          <w:tab w:val="left" w:pos="142"/>
        </w:tabs>
        <w:contextualSpacing/>
        <w:rPr>
          <w:rFonts w:cs="Arial"/>
          <w:i/>
          <w:sz w:val="22"/>
          <w:szCs w:val="22"/>
          <w:lang w:val="es-MX"/>
        </w:rPr>
      </w:pPr>
      <w:r w:rsidRPr="00640CFF">
        <w:rPr>
          <w:rFonts w:cs="Arial"/>
          <w:sz w:val="22"/>
          <w:szCs w:val="22"/>
        </w:rPr>
        <w:t>Las pinturas con base de agua se pueden botar sobre los escombros y dejar evaporar el agua. Por ningún motivo se permitirá verter los residuos líquidos en ríos o quebradas, calzadas públicas, canales de aguas pluviales, cauces, cuerpos de agua o cualquier otro sitio donde puedan ser causa de contaminación del ambiente o deterioro del paisaje.</w:t>
      </w:r>
    </w:p>
    <w:p w14:paraId="39C4A69F" w14:textId="77777777" w:rsidR="00003780" w:rsidRPr="00640CFF" w:rsidRDefault="00003780" w:rsidP="00003780">
      <w:pPr>
        <w:pStyle w:val="Prrafodelista"/>
        <w:tabs>
          <w:tab w:val="left" w:pos="142"/>
        </w:tabs>
        <w:rPr>
          <w:rFonts w:cs="Arial"/>
          <w:i/>
          <w:sz w:val="22"/>
          <w:szCs w:val="22"/>
          <w:lang w:val="es-MX"/>
        </w:rPr>
      </w:pPr>
    </w:p>
    <w:p w14:paraId="4838E4F9" w14:textId="77777777" w:rsidR="00003780" w:rsidRPr="00640CFF" w:rsidRDefault="00003780" w:rsidP="00003780">
      <w:pPr>
        <w:tabs>
          <w:tab w:val="left" w:pos="142"/>
        </w:tabs>
        <w:rPr>
          <w:rFonts w:cs="Arial"/>
          <w:b/>
          <w:i/>
          <w:iCs/>
          <w:sz w:val="22"/>
          <w:szCs w:val="22"/>
        </w:rPr>
      </w:pPr>
      <w:r w:rsidRPr="00640CFF">
        <w:rPr>
          <w:rFonts w:cs="Arial"/>
          <w:b/>
          <w:iCs/>
          <w:sz w:val="22"/>
          <w:szCs w:val="22"/>
        </w:rPr>
        <w:t>Residuos de Tierra Sobrante</w:t>
      </w:r>
    </w:p>
    <w:p w14:paraId="49B4FBAC" w14:textId="77777777" w:rsidR="00003780" w:rsidRPr="00640CFF" w:rsidRDefault="00003780" w:rsidP="00003780">
      <w:pPr>
        <w:tabs>
          <w:tab w:val="left" w:pos="142"/>
        </w:tabs>
        <w:rPr>
          <w:rFonts w:cs="Arial"/>
          <w:b/>
          <w:i/>
          <w:iCs/>
          <w:sz w:val="22"/>
          <w:szCs w:val="22"/>
        </w:rPr>
      </w:pPr>
    </w:p>
    <w:p w14:paraId="3F27DFCF" w14:textId="77777777" w:rsidR="00003780" w:rsidRPr="00640CFF" w:rsidRDefault="00003780" w:rsidP="003B68DB">
      <w:pPr>
        <w:pStyle w:val="Prrafodelista"/>
        <w:numPr>
          <w:ilvl w:val="0"/>
          <w:numId w:val="136"/>
        </w:numPr>
        <w:tabs>
          <w:tab w:val="left" w:pos="142"/>
        </w:tabs>
        <w:contextualSpacing/>
        <w:rPr>
          <w:rFonts w:cs="Arial"/>
          <w:i/>
          <w:sz w:val="22"/>
          <w:szCs w:val="22"/>
          <w:lang w:val="es-MX"/>
        </w:rPr>
      </w:pPr>
      <w:r w:rsidRPr="00640CFF">
        <w:rPr>
          <w:rFonts w:cs="Arial"/>
          <w:sz w:val="22"/>
          <w:szCs w:val="22"/>
        </w:rPr>
        <w:t xml:space="preserve">Los residuos de tierra sobrante deben utilizarse, cuando sea posible como relleno, de lo contrario deberá disponerse como material sólido. Por ningún motivo se permitirá botar los residuos en ríos </w:t>
      </w:r>
      <w:r w:rsidRPr="00640CFF">
        <w:rPr>
          <w:rFonts w:cs="Arial"/>
          <w:sz w:val="22"/>
          <w:szCs w:val="22"/>
        </w:rPr>
        <w:lastRenderedPageBreak/>
        <w:t>o quebradas, calzadas públicas, canales de aguas pluviales o cauces, cuerpos de agua o cualquier otro sitio donde puedan ser causa de contaminación del ambiente o deterioro del paisaje.</w:t>
      </w:r>
    </w:p>
    <w:p w14:paraId="77C1D85F" w14:textId="77777777" w:rsidR="00003780" w:rsidRPr="00640CFF" w:rsidRDefault="00003780" w:rsidP="00003780">
      <w:pPr>
        <w:tabs>
          <w:tab w:val="left" w:pos="142"/>
        </w:tabs>
        <w:ind w:left="720"/>
        <w:rPr>
          <w:rFonts w:cs="Arial"/>
          <w:i/>
          <w:sz w:val="22"/>
          <w:szCs w:val="22"/>
          <w:lang w:val="es-MX"/>
        </w:rPr>
      </w:pPr>
    </w:p>
    <w:p w14:paraId="62969BFC" w14:textId="77777777" w:rsidR="00003780" w:rsidRPr="00640CFF" w:rsidRDefault="00003780" w:rsidP="00003780">
      <w:pPr>
        <w:tabs>
          <w:tab w:val="left" w:pos="142"/>
        </w:tabs>
        <w:rPr>
          <w:rFonts w:cs="Arial"/>
          <w:b/>
          <w:i/>
          <w:iCs/>
          <w:sz w:val="22"/>
          <w:szCs w:val="22"/>
        </w:rPr>
      </w:pPr>
      <w:r w:rsidRPr="00640CFF">
        <w:rPr>
          <w:rFonts w:cs="Arial"/>
          <w:b/>
          <w:iCs/>
          <w:sz w:val="22"/>
          <w:szCs w:val="22"/>
        </w:rPr>
        <w:t>Apertura de Zanjas</w:t>
      </w:r>
    </w:p>
    <w:p w14:paraId="46EB0CE8" w14:textId="77777777" w:rsidR="00003780" w:rsidRPr="00640CFF" w:rsidRDefault="00003780" w:rsidP="00003780">
      <w:pPr>
        <w:tabs>
          <w:tab w:val="left" w:pos="142"/>
        </w:tabs>
        <w:rPr>
          <w:rFonts w:cs="Arial"/>
          <w:b/>
          <w:i/>
          <w:iCs/>
          <w:sz w:val="22"/>
          <w:szCs w:val="22"/>
        </w:rPr>
      </w:pPr>
    </w:p>
    <w:p w14:paraId="425AEB82" w14:textId="77777777" w:rsidR="00003780" w:rsidRPr="00640CFF" w:rsidRDefault="00003780" w:rsidP="003B68DB">
      <w:pPr>
        <w:pStyle w:val="Prrafodelista"/>
        <w:numPr>
          <w:ilvl w:val="0"/>
          <w:numId w:val="139"/>
        </w:numPr>
        <w:tabs>
          <w:tab w:val="left" w:pos="142"/>
        </w:tabs>
        <w:contextualSpacing/>
        <w:rPr>
          <w:rFonts w:cs="Arial"/>
          <w:b/>
          <w:i/>
          <w:iCs/>
          <w:sz w:val="22"/>
          <w:szCs w:val="22"/>
        </w:rPr>
      </w:pPr>
      <w:r w:rsidRPr="00640CFF">
        <w:rPr>
          <w:rFonts w:cs="Arial"/>
          <w:sz w:val="22"/>
          <w:szCs w:val="22"/>
        </w:rPr>
        <w:t>Las zanjas que se excaven para la instalación de las tuberías de agua potable o servida, tanques sépticos y pozos de absorción, deberán señalizarse con cinta de color naranja internacional, para evitar accidentes.</w:t>
      </w:r>
    </w:p>
    <w:p w14:paraId="3509C227" w14:textId="77777777" w:rsidR="00003780" w:rsidRPr="00640CFF" w:rsidRDefault="00003780" w:rsidP="003B68DB">
      <w:pPr>
        <w:pStyle w:val="Prrafodelista"/>
        <w:numPr>
          <w:ilvl w:val="0"/>
          <w:numId w:val="139"/>
        </w:numPr>
        <w:tabs>
          <w:tab w:val="left" w:pos="142"/>
        </w:tabs>
        <w:contextualSpacing/>
        <w:rPr>
          <w:rFonts w:cs="Arial"/>
          <w:i/>
          <w:sz w:val="22"/>
          <w:szCs w:val="22"/>
          <w:lang w:val="es-MX"/>
        </w:rPr>
      </w:pPr>
      <w:r w:rsidRPr="00640CFF">
        <w:rPr>
          <w:rFonts w:cs="Arial"/>
          <w:sz w:val="22"/>
          <w:szCs w:val="22"/>
        </w:rPr>
        <w:t>El material excavado se deberá depositar al lado de la misma y cubrir con plástico durante la época lluviosa, para evitar el arrastre de material por la escorrentía.</w:t>
      </w:r>
    </w:p>
    <w:p w14:paraId="526A2989" w14:textId="77777777" w:rsidR="00003780" w:rsidRPr="00640CFF" w:rsidRDefault="00003780" w:rsidP="003B68DB">
      <w:pPr>
        <w:pStyle w:val="Prrafodelista"/>
        <w:numPr>
          <w:ilvl w:val="0"/>
          <w:numId w:val="139"/>
        </w:numPr>
        <w:tabs>
          <w:tab w:val="left" w:pos="142"/>
        </w:tabs>
        <w:contextualSpacing/>
        <w:rPr>
          <w:rFonts w:cs="Arial"/>
          <w:i/>
          <w:sz w:val="22"/>
          <w:szCs w:val="22"/>
          <w:lang w:val="es-MX"/>
        </w:rPr>
      </w:pPr>
      <w:r w:rsidRPr="00640CFF">
        <w:rPr>
          <w:rFonts w:cs="Arial"/>
          <w:sz w:val="22"/>
          <w:szCs w:val="22"/>
        </w:rPr>
        <w:t>En época de sequía, se deberá humedecer el material para minimizar la producción de polvo.</w:t>
      </w:r>
    </w:p>
    <w:p w14:paraId="4DC83EAA" w14:textId="77777777" w:rsidR="00003780" w:rsidRPr="00640CFF" w:rsidRDefault="00003780" w:rsidP="003B68DB">
      <w:pPr>
        <w:pStyle w:val="Default"/>
        <w:numPr>
          <w:ilvl w:val="0"/>
          <w:numId w:val="139"/>
        </w:numPr>
        <w:tabs>
          <w:tab w:val="left" w:pos="142"/>
        </w:tabs>
        <w:jc w:val="both"/>
        <w:rPr>
          <w:rFonts w:ascii="Arial" w:hAnsi="Arial" w:cs="Arial"/>
          <w:color w:val="auto"/>
          <w:sz w:val="22"/>
          <w:szCs w:val="22"/>
        </w:rPr>
      </w:pPr>
      <w:r w:rsidRPr="00640CFF">
        <w:rPr>
          <w:rFonts w:ascii="Arial" w:hAnsi="Arial" w:cs="Arial"/>
          <w:color w:val="auto"/>
          <w:sz w:val="22"/>
          <w:szCs w:val="22"/>
        </w:rPr>
        <w:t xml:space="preserve">Si el material excavado es inestable, se deberán entibar las zanjas independientemente de la altura. Si el material es estable, se entibará a partir de 2.50 metros. </w:t>
      </w:r>
    </w:p>
    <w:p w14:paraId="1618EE0E" w14:textId="77777777" w:rsidR="00003780" w:rsidRPr="00640CFF" w:rsidRDefault="00003780" w:rsidP="00003780">
      <w:pPr>
        <w:tabs>
          <w:tab w:val="left" w:pos="142"/>
        </w:tabs>
        <w:rPr>
          <w:rFonts w:cs="Arial"/>
          <w:i/>
          <w:sz w:val="22"/>
          <w:szCs w:val="22"/>
          <w:lang w:val="es-MX"/>
        </w:rPr>
      </w:pPr>
    </w:p>
    <w:p w14:paraId="557150F2" w14:textId="77777777" w:rsidR="00003780" w:rsidRPr="00640CFF" w:rsidRDefault="00003780" w:rsidP="00003780">
      <w:pPr>
        <w:tabs>
          <w:tab w:val="left" w:pos="142"/>
        </w:tabs>
        <w:rPr>
          <w:rFonts w:cs="Arial"/>
          <w:b/>
          <w:i/>
          <w:iCs/>
          <w:sz w:val="22"/>
          <w:szCs w:val="22"/>
        </w:rPr>
      </w:pPr>
      <w:r w:rsidRPr="00640CFF">
        <w:rPr>
          <w:rFonts w:cs="Arial"/>
          <w:b/>
          <w:iCs/>
          <w:sz w:val="22"/>
          <w:szCs w:val="22"/>
        </w:rPr>
        <w:t>Tala de árboles y Reemplazo</w:t>
      </w:r>
    </w:p>
    <w:p w14:paraId="773B4727" w14:textId="77777777" w:rsidR="00003780" w:rsidRPr="00640CFF" w:rsidRDefault="00003780" w:rsidP="00003780">
      <w:pPr>
        <w:tabs>
          <w:tab w:val="left" w:pos="142"/>
        </w:tabs>
        <w:rPr>
          <w:rFonts w:cs="Arial"/>
          <w:b/>
          <w:i/>
          <w:iCs/>
          <w:sz w:val="22"/>
          <w:szCs w:val="22"/>
        </w:rPr>
      </w:pPr>
    </w:p>
    <w:p w14:paraId="38258AF2" w14:textId="77777777" w:rsidR="00003780" w:rsidRPr="00640CFF" w:rsidRDefault="00003780" w:rsidP="003B68DB">
      <w:pPr>
        <w:pStyle w:val="Prrafodelista"/>
        <w:numPr>
          <w:ilvl w:val="0"/>
          <w:numId w:val="138"/>
        </w:numPr>
        <w:tabs>
          <w:tab w:val="left" w:pos="142"/>
        </w:tabs>
        <w:ind w:left="502"/>
        <w:contextualSpacing/>
        <w:rPr>
          <w:rFonts w:eastAsiaTheme="minorHAnsi" w:cs="Arial"/>
          <w:i/>
          <w:sz w:val="22"/>
          <w:szCs w:val="22"/>
          <w:lang w:val="es-NI"/>
        </w:rPr>
      </w:pPr>
      <w:r w:rsidRPr="00640CFF">
        <w:rPr>
          <w:rFonts w:eastAsiaTheme="minorHAnsi" w:cs="Arial"/>
          <w:sz w:val="22"/>
          <w:szCs w:val="22"/>
          <w:lang w:val="es-NI"/>
        </w:rPr>
        <w:t>Si las talas de árboles son requeridas para la construcción del proyecto, el contratista deberá contar con el aval vigente de INAFOR o autorización de MARENA en caso que se encuentre dentro de un Área Protegida. Para cada árbol derribado, se extraerá el tronco y la raíz. Se rellenará el hueco provocado por la eliminación del árbol.</w:t>
      </w:r>
    </w:p>
    <w:p w14:paraId="13502F6C" w14:textId="77777777" w:rsidR="00003780" w:rsidRPr="00640CFF" w:rsidRDefault="00003780" w:rsidP="003B68DB">
      <w:pPr>
        <w:pStyle w:val="Prrafodelista"/>
        <w:numPr>
          <w:ilvl w:val="0"/>
          <w:numId w:val="138"/>
        </w:numPr>
        <w:tabs>
          <w:tab w:val="left" w:pos="142"/>
        </w:tabs>
        <w:ind w:left="502"/>
        <w:contextualSpacing/>
        <w:rPr>
          <w:rFonts w:eastAsiaTheme="minorHAnsi" w:cs="Arial"/>
          <w:i/>
          <w:sz w:val="22"/>
          <w:szCs w:val="22"/>
          <w:lang w:val="es-NI"/>
        </w:rPr>
      </w:pPr>
      <w:r w:rsidRPr="00640CFF">
        <w:rPr>
          <w:rFonts w:eastAsiaTheme="minorHAnsi" w:cs="Arial"/>
          <w:sz w:val="22"/>
          <w:szCs w:val="22"/>
          <w:lang w:val="es-NI"/>
        </w:rPr>
        <w:t>Si el contratista, en la ejecución del proyecto, requiere talar árboles adicionales a los contemplados en los planos y diseños del proyecto, deberá asumir los costos de dicha acción y cumplir con los requisitos establecidos.</w:t>
      </w:r>
    </w:p>
    <w:p w14:paraId="0637FCFB" w14:textId="77777777" w:rsidR="00003780" w:rsidRPr="00640CFF" w:rsidRDefault="00003780" w:rsidP="003B68DB">
      <w:pPr>
        <w:pStyle w:val="Prrafodelista"/>
        <w:numPr>
          <w:ilvl w:val="0"/>
          <w:numId w:val="138"/>
        </w:numPr>
        <w:tabs>
          <w:tab w:val="left" w:pos="142"/>
        </w:tabs>
        <w:ind w:left="502"/>
        <w:contextualSpacing/>
        <w:rPr>
          <w:rFonts w:cs="Arial"/>
          <w:i/>
          <w:sz w:val="22"/>
          <w:szCs w:val="22"/>
          <w:lang w:val="es-MX"/>
        </w:rPr>
      </w:pPr>
      <w:r w:rsidRPr="00640CFF">
        <w:rPr>
          <w:rFonts w:eastAsiaTheme="minorHAnsi" w:cs="Arial"/>
          <w:sz w:val="22"/>
          <w:szCs w:val="22"/>
          <w:lang w:val="es-NI"/>
        </w:rPr>
        <w:t>Si las condiciones del terreno, no permiten la siembra del número de árboles requerido el contratista podrá realizar la siembra dentro de la comunidad con previa autorización del</w:t>
      </w:r>
      <w:r w:rsidRPr="00640CFF">
        <w:rPr>
          <w:rFonts w:cs="Arial"/>
          <w:sz w:val="22"/>
          <w:szCs w:val="22"/>
        </w:rPr>
        <w:t xml:space="preserve"> supervisor en común acuerdo con la comunidad.  </w:t>
      </w:r>
    </w:p>
    <w:p w14:paraId="2CF0EC3F" w14:textId="77777777" w:rsidR="00003780" w:rsidRPr="00640CFF" w:rsidRDefault="00003780" w:rsidP="00003780">
      <w:pPr>
        <w:pStyle w:val="Prrafodelista"/>
        <w:tabs>
          <w:tab w:val="left" w:pos="142"/>
        </w:tabs>
        <w:ind w:left="360"/>
        <w:rPr>
          <w:rFonts w:cs="Arial"/>
          <w:i/>
          <w:sz w:val="22"/>
          <w:szCs w:val="22"/>
          <w:lang w:val="es-MX"/>
        </w:rPr>
      </w:pPr>
    </w:p>
    <w:p w14:paraId="31A3F62B" w14:textId="77777777" w:rsidR="00003780" w:rsidRPr="00640CFF" w:rsidRDefault="00003780" w:rsidP="00003780">
      <w:pPr>
        <w:tabs>
          <w:tab w:val="left" w:pos="142"/>
        </w:tabs>
        <w:rPr>
          <w:rFonts w:cs="Arial"/>
          <w:b/>
          <w:i/>
          <w:iCs/>
          <w:sz w:val="22"/>
          <w:szCs w:val="22"/>
        </w:rPr>
      </w:pPr>
      <w:r w:rsidRPr="00640CFF">
        <w:rPr>
          <w:rFonts w:cs="Arial"/>
          <w:b/>
          <w:iCs/>
          <w:sz w:val="22"/>
          <w:szCs w:val="22"/>
        </w:rPr>
        <w:t>Sustancias peligrosas</w:t>
      </w:r>
    </w:p>
    <w:p w14:paraId="7A279BD2" w14:textId="77777777" w:rsidR="00003780" w:rsidRPr="00640CFF" w:rsidRDefault="00003780" w:rsidP="00003780">
      <w:pPr>
        <w:tabs>
          <w:tab w:val="left" w:pos="142"/>
        </w:tabs>
        <w:rPr>
          <w:rFonts w:cs="Arial"/>
          <w:b/>
          <w:i/>
          <w:iCs/>
          <w:sz w:val="22"/>
          <w:szCs w:val="22"/>
        </w:rPr>
      </w:pPr>
    </w:p>
    <w:p w14:paraId="5C91BD13" w14:textId="77777777" w:rsidR="00003780" w:rsidRPr="00640CFF" w:rsidRDefault="00003780" w:rsidP="003B68DB">
      <w:pPr>
        <w:pStyle w:val="Prrafodelista"/>
        <w:numPr>
          <w:ilvl w:val="0"/>
          <w:numId w:val="137"/>
        </w:numPr>
        <w:tabs>
          <w:tab w:val="left" w:pos="142"/>
        </w:tabs>
        <w:contextualSpacing/>
        <w:rPr>
          <w:rFonts w:cs="Arial"/>
          <w:i/>
          <w:sz w:val="22"/>
          <w:szCs w:val="22"/>
          <w:lang w:val="es-MX"/>
        </w:rPr>
      </w:pPr>
      <w:r w:rsidRPr="00640CFF">
        <w:rPr>
          <w:rFonts w:cs="Arial"/>
          <w:sz w:val="22"/>
          <w:szCs w:val="22"/>
        </w:rPr>
        <w:t>No será permitida, bajo ningún motivo, la utilización de productos que contengan plomo en los interiores de las infraestructuras verticales (pintura, etc.)</w:t>
      </w:r>
    </w:p>
    <w:p w14:paraId="5E0F706C" w14:textId="77777777" w:rsidR="00003780" w:rsidRPr="00640CFF" w:rsidRDefault="00003780" w:rsidP="003B68DB">
      <w:pPr>
        <w:pStyle w:val="Prrafodelista"/>
        <w:numPr>
          <w:ilvl w:val="0"/>
          <w:numId w:val="137"/>
        </w:numPr>
        <w:tabs>
          <w:tab w:val="left" w:pos="142"/>
        </w:tabs>
        <w:contextualSpacing/>
        <w:rPr>
          <w:rFonts w:cs="Arial"/>
          <w:i/>
          <w:sz w:val="22"/>
          <w:szCs w:val="22"/>
        </w:rPr>
      </w:pPr>
      <w:r w:rsidRPr="00640CFF">
        <w:rPr>
          <w:rFonts w:cs="Arial"/>
          <w:sz w:val="22"/>
          <w:szCs w:val="22"/>
        </w:rPr>
        <w:t xml:space="preserve">No se permitirá que los envases vacíos sean depósitos a orillas de fuentes de agua o áreas de riesgos, para la salud de la población y los animales, sino que deben ser retirados y depositados en el vertedero municipal con condiciones especiales en coordinación con </w:t>
      </w:r>
      <w:r>
        <w:rPr>
          <w:rFonts w:cs="Arial"/>
          <w:sz w:val="22"/>
          <w:szCs w:val="22"/>
        </w:rPr>
        <w:t>E</w:t>
      </w:r>
      <w:r w:rsidRPr="00640CFF">
        <w:rPr>
          <w:rFonts w:cs="Arial"/>
          <w:sz w:val="22"/>
          <w:szCs w:val="22"/>
        </w:rPr>
        <w:t xml:space="preserve">l </w:t>
      </w:r>
      <w:r>
        <w:rPr>
          <w:rFonts w:cs="Arial"/>
          <w:sz w:val="22"/>
          <w:szCs w:val="22"/>
        </w:rPr>
        <w:t>S</w:t>
      </w:r>
      <w:r w:rsidRPr="00640CFF">
        <w:rPr>
          <w:rFonts w:cs="Arial"/>
          <w:sz w:val="22"/>
          <w:szCs w:val="22"/>
        </w:rPr>
        <w:t>upervisor del proyecto y la alcaldía municipal.</w:t>
      </w:r>
    </w:p>
    <w:p w14:paraId="1158B601" w14:textId="77777777" w:rsidR="00003780" w:rsidRPr="007B233F" w:rsidRDefault="00003780" w:rsidP="003B68DB">
      <w:pPr>
        <w:pStyle w:val="Prrafodelista"/>
        <w:numPr>
          <w:ilvl w:val="0"/>
          <w:numId w:val="137"/>
        </w:numPr>
        <w:tabs>
          <w:tab w:val="left" w:pos="142"/>
        </w:tabs>
        <w:contextualSpacing/>
        <w:jc w:val="left"/>
        <w:rPr>
          <w:rFonts w:cs="Arial"/>
          <w:i/>
          <w:sz w:val="22"/>
          <w:szCs w:val="22"/>
          <w:lang w:val="es-MX"/>
        </w:rPr>
      </w:pPr>
      <w:r w:rsidRPr="00640CFF">
        <w:rPr>
          <w:rFonts w:cs="Arial"/>
          <w:color w:val="000000"/>
          <w:sz w:val="22"/>
          <w:szCs w:val="22"/>
          <w:lang w:eastAsia="es-NI"/>
        </w:rPr>
        <w:t>El contratista no podrá utilizar materiales de construcción compuesto por sustancias peligrosas</w:t>
      </w:r>
      <w:r>
        <w:rPr>
          <w:rFonts w:cs="Arial"/>
          <w:color w:val="000000"/>
          <w:sz w:val="22"/>
          <w:szCs w:val="22"/>
          <w:lang w:eastAsia="es-NI"/>
        </w:rPr>
        <w:t xml:space="preserve"> tales como</w:t>
      </w:r>
      <w:r w:rsidRPr="00640CFF">
        <w:rPr>
          <w:rFonts w:cs="Arial"/>
          <w:color w:val="000000"/>
          <w:sz w:val="22"/>
          <w:szCs w:val="22"/>
          <w:lang w:eastAsia="es-NI"/>
        </w:rPr>
        <w:t>:</w:t>
      </w:r>
      <w:r>
        <w:rPr>
          <w:rFonts w:cs="Arial"/>
          <w:color w:val="000000"/>
          <w:sz w:val="22"/>
          <w:szCs w:val="22"/>
          <w:lang w:eastAsia="es-NI"/>
        </w:rPr>
        <w:br/>
      </w:r>
    </w:p>
    <w:p w14:paraId="134B04E1" w14:textId="77777777" w:rsidR="00003780" w:rsidRPr="007B233F" w:rsidRDefault="00003780" w:rsidP="003B68DB">
      <w:pPr>
        <w:pStyle w:val="Prrafodelista"/>
        <w:numPr>
          <w:ilvl w:val="0"/>
          <w:numId w:val="142"/>
        </w:numPr>
        <w:tabs>
          <w:tab w:val="left" w:pos="142"/>
        </w:tabs>
        <w:contextualSpacing/>
        <w:jc w:val="left"/>
        <w:rPr>
          <w:rFonts w:cs="Arial"/>
          <w:i/>
          <w:sz w:val="22"/>
          <w:szCs w:val="22"/>
          <w:lang w:val="es-MX"/>
        </w:rPr>
      </w:pPr>
      <w:r>
        <w:rPr>
          <w:rFonts w:cs="Arial"/>
          <w:color w:val="000000"/>
          <w:sz w:val="22"/>
          <w:szCs w:val="22"/>
          <w:lang w:eastAsia="es-NI"/>
        </w:rPr>
        <w:t>Plomo</w:t>
      </w:r>
    </w:p>
    <w:p w14:paraId="4006EE46" w14:textId="77777777" w:rsidR="00003780" w:rsidRPr="007B233F" w:rsidRDefault="00003780" w:rsidP="003B68DB">
      <w:pPr>
        <w:pStyle w:val="Prrafodelista"/>
        <w:numPr>
          <w:ilvl w:val="0"/>
          <w:numId w:val="142"/>
        </w:numPr>
        <w:tabs>
          <w:tab w:val="left" w:pos="142"/>
        </w:tabs>
        <w:contextualSpacing/>
        <w:jc w:val="left"/>
        <w:rPr>
          <w:rFonts w:cs="Arial"/>
          <w:i/>
          <w:sz w:val="22"/>
          <w:szCs w:val="22"/>
          <w:lang w:val="es-MX"/>
        </w:rPr>
      </w:pPr>
      <w:r>
        <w:rPr>
          <w:rFonts w:cs="Arial"/>
          <w:color w:val="000000"/>
          <w:sz w:val="22"/>
          <w:szCs w:val="22"/>
          <w:lang w:eastAsia="es-NI"/>
        </w:rPr>
        <w:t>Mercurio</w:t>
      </w:r>
    </w:p>
    <w:p w14:paraId="64EFD8A8" w14:textId="77777777" w:rsidR="00003780" w:rsidRPr="007B233F" w:rsidRDefault="00003780" w:rsidP="003B68DB">
      <w:pPr>
        <w:pStyle w:val="Prrafodelista"/>
        <w:numPr>
          <w:ilvl w:val="0"/>
          <w:numId w:val="142"/>
        </w:numPr>
        <w:tabs>
          <w:tab w:val="left" w:pos="142"/>
        </w:tabs>
        <w:contextualSpacing/>
        <w:jc w:val="left"/>
        <w:rPr>
          <w:rFonts w:cs="Arial"/>
          <w:i/>
          <w:sz w:val="22"/>
          <w:szCs w:val="22"/>
          <w:lang w:val="es-MX"/>
        </w:rPr>
      </w:pPr>
      <w:r w:rsidRPr="00640CFF">
        <w:rPr>
          <w:rFonts w:cs="Arial"/>
          <w:color w:val="000000"/>
          <w:sz w:val="22"/>
          <w:szCs w:val="22"/>
          <w:lang w:eastAsia="es-NI"/>
        </w:rPr>
        <w:t>Asbesto</w:t>
      </w:r>
    </w:p>
    <w:p w14:paraId="60578E14" w14:textId="77777777" w:rsidR="00003780" w:rsidRPr="007B233F" w:rsidRDefault="00003780" w:rsidP="003B68DB">
      <w:pPr>
        <w:pStyle w:val="Prrafodelista"/>
        <w:numPr>
          <w:ilvl w:val="0"/>
          <w:numId w:val="142"/>
        </w:numPr>
        <w:tabs>
          <w:tab w:val="left" w:pos="142"/>
        </w:tabs>
        <w:contextualSpacing/>
        <w:jc w:val="left"/>
        <w:rPr>
          <w:rFonts w:cs="Arial"/>
          <w:i/>
          <w:sz w:val="22"/>
          <w:szCs w:val="22"/>
          <w:lang w:val="es-MX"/>
        </w:rPr>
      </w:pPr>
      <w:r>
        <w:rPr>
          <w:rFonts w:cs="Arial"/>
          <w:color w:val="000000"/>
          <w:sz w:val="22"/>
          <w:szCs w:val="22"/>
          <w:lang w:eastAsia="es-NI"/>
        </w:rPr>
        <w:t>Amianto</w:t>
      </w:r>
    </w:p>
    <w:p w14:paraId="19F2886F" w14:textId="77777777" w:rsidR="00003780" w:rsidRPr="00640CFF" w:rsidRDefault="00003780" w:rsidP="003B68DB">
      <w:pPr>
        <w:pStyle w:val="Prrafodelista"/>
        <w:numPr>
          <w:ilvl w:val="0"/>
          <w:numId w:val="142"/>
        </w:numPr>
        <w:tabs>
          <w:tab w:val="left" w:pos="142"/>
        </w:tabs>
        <w:contextualSpacing/>
        <w:jc w:val="left"/>
        <w:rPr>
          <w:rFonts w:cs="Arial"/>
          <w:i/>
          <w:sz w:val="22"/>
          <w:szCs w:val="22"/>
          <w:lang w:val="es-MX"/>
        </w:rPr>
      </w:pPr>
      <w:r w:rsidRPr="00640CFF">
        <w:rPr>
          <w:rFonts w:cs="Arial"/>
          <w:color w:val="000000"/>
          <w:sz w:val="22"/>
          <w:szCs w:val="22"/>
          <w:lang w:eastAsia="es-NI"/>
        </w:rPr>
        <w:t>Cualquier sustancia susceptible de producir intoxicación o daños por inhalación o contacto</w:t>
      </w:r>
    </w:p>
    <w:p w14:paraId="0868C4C6" w14:textId="77777777" w:rsidR="00003780" w:rsidRPr="00640CFF" w:rsidRDefault="00003780" w:rsidP="00003780">
      <w:pPr>
        <w:tabs>
          <w:tab w:val="left" w:pos="142"/>
        </w:tabs>
        <w:rPr>
          <w:rFonts w:cs="Arial"/>
          <w:b/>
          <w:i/>
          <w:sz w:val="22"/>
          <w:szCs w:val="22"/>
        </w:rPr>
      </w:pPr>
      <w:r w:rsidRPr="00640CFF">
        <w:rPr>
          <w:rFonts w:cs="Arial"/>
          <w:b/>
          <w:sz w:val="22"/>
          <w:szCs w:val="22"/>
        </w:rPr>
        <w:t>Transporte</w:t>
      </w:r>
    </w:p>
    <w:p w14:paraId="3651871E" w14:textId="77777777" w:rsidR="00003780" w:rsidRPr="00640CFF" w:rsidRDefault="00003780" w:rsidP="00003780">
      <w:pPr>
        <w:tabs>
          <w:tab w:val="left" w:pos="142"/>
        </w:tabs>
        <w:rPr>
          <w:rFonts w:cs="Arial"/>
          <w:b/>
          <w:i/>
          <w:sz w:val="22"/>
          <w:szCs w:val="22"/>
        </w:rPr>
      </w:pPr>
    </w:p>
    <w:p w14:paraId="70B963A9" w14:textId="77777777" w:rsidR="00003780" w:rsidRPr="00640CFF" w:rsidRDefault="00003780"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La maquinaria utilizada deberá mantenerse en las mejores condiciones, considerando motores, minimizando el nivel de ruido.</w:t>
      </w:r>
    </w:p>
    <w:p w14:paraId="13313B77" w14:textId="77777777" w:rsidR="00003780" w:rsidRPr="00640CFF" w:rsidRDefault="00003780"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Transporte de escombros y materia de excavación sin superar la capacidad del vehículo de carga.</w:t>
      </w:r>
    </w:p>
    <w:p w14:paraId="62C2FB73" w14:textId="77777777" w:rsidR="00003780" w:rsidRPr="00640CFF" w:rsidRDefault="00003780"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lastRenderedPageBreak/>
        <w:t>Evitar el paso de maquinaria sobre suelo con cobertura vegetal fuera del área de la obra</w:t>
      </w:r>
    </w:p>
    <w:p w14:paraId="6D3565F5" w14:textId="77777777" w:rsidR="00003780" w:rsidRPr="00640CFF" w:rsidRDefault="00003780" w:rsidP="00003780">
      <w:pPr>
        <w:pStyle w:val="Prrafodelista"/>
        <w:tabs>
          <w:tab w:val="left" w:pos="142"/>
        </w:tabs>
        <w:ind w:left="0"/>
        <w:rPr>
          <w:rFonts w:cs="Arial"/>
          <w:i/>
          <w:sz w:val="22"/>
          <w:szCs w:val="22"/>
          <w:lang w:val="es-MX"/>
        </w:rPr>
      </w:pPr>
    </w:p>
    <w:p w14:paraId="34955985" w14:textId="77777777" w:rsidR="00003780" w:rsidRPr="00640CFF" w:rsidRDefault="00003780"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rPr>
        <w:t>Recuperar y restaurar el espacio público afectado una vez finalizada cada actividad, retirando todos los materiales y residuos del lugar.</w:t>
      </w:r>
    </w:p>
    <w:p w14:paraId="60982459" w14:textId="77777777" w:rsidR="00003780" w:rsidRPr="00640CFF" w:rsidRDefault="00003780" w:rsidP="00003780">
      <w:pPr>
        <w:pStyle w:val="Prrafodelista"/>
        <w:tabs>
          <w:tab w:val="left" w:pos="142"/>
        </w:tabs>
        <w:ind w:left="0"/>
        <w:rPr>
          <w:rFonts w:cs="Arial"/>
          <w:i/>
          <w:sz w:val="22"/>
          <w:szCs w:val="22"/>
          <w:lang w:val="es-MX"/>
        </w:rPr>
      </w:pPr>
    </w:p>
    <w:p w14:paraId="47B74CCA" w14:textId="77777777" w:rsidR="00003780" w:rsidRPr="00640CFF" w:rsidRDefault="00003780" w:rsidP="003B68DB">
      <w:pPr>
        <w:pStyle w:val="Prrafodelista"/>
        <w:numPr>
          <w:ilvl w:val="0"/>
          <w:numId w:val="140"/>
        </w:numPr>
        <w:tabs>
          <w:tab w:val="left" w:pos="142"/>
        </w:tabs>
        <w:ind w:left="502"/>
        <w:contextualSpacing/>
        <w:rPr>
          <w:rFonts w:cs="Arial"/>
          <w:i/>
          <w:sz w:val="22"/>
          <w:szCs w:val="22"/>
          <w:lang w:val="es-MX"/>
        </w:rPr>
      </w:pPr>
      <w:r w:rsidRPr="00640CFF">
        <w:rPr>
          <w:rFonts w:cs="Arial"/>
          <w:sz w:val="22"/>
          <w:szCs w:val="22"/>
          <w:lang w:eastAsia="es-ES_tradnl"/>
        </w:rPr>
        <w:t>El lavado, reparación y mantenimiento correctivo de vehículos, equipos y maquinarias, debe realizarse fuera del área de campamento, obra o zonas verdes. Esta actividad debe efectuarse en centros autorizados por el supervisor para tal fin; en algunos casos podría realizarse el mantenimiento sobre un polietileno (plástico) que cubra el área de trabajo.</w:t>
      </w:r>
    </w:p>
    <w:p w14:paraId="5E09AEC8" w14:textId="77777777" w:rsidR="00003780" w:rsidRPr="00640CFF" w:rsidRDefault="00003780" w:rsidP="00003780">
      <w:pPr>
        <w:tabs>
          <w:tab w:val="left" w:pos="142"/>
        </w:tabs>
        <w:ind w:left="360"/>
        <w:rPr>
          <w:rFonts w:cs="Arial"/>
          <w:i/>
          <w:sz w:val="22"/>
          <w:szCs w:val="22"/>
          <w:lang w:val="es-MX"/>
        </w:rPr>
      </w:pPr>
    </w:p>
    <w:p w14:paraId="348320D9" w14:textId="77777777" w:rsidR="00003780" w:rsidRPr="00640CFF" w:rsidRDefault="00003780" w:rsidP="00003780">
      <w:pPr>
        <w:tabs>
          <w:tab w:val="left" w:pos="142"/>
        </w:tabs>
        <w:ind w:left="360"/>
        <w:rPr>
          <w:rFonts w:cs="Arial"/>
          <w:b/>
          <w:i/>
          <w:sz w:val="22"/>
          <w:szCs w:val="22"/>
        </w:rPr>
      </w:pPr>
      <w:r w:rsidRPr="00640CFF">
        <w:rPr>
          <w:rFonts w:cs="Arial"/>
          <w:b/>
          <w:sz w:val="22"/>
          <w:szCs w:val="22"/>
        </w:rPr>
        <w:t>Protección Personal</w:t>
      </w:r>
    </w:p>
    <w:p w14:paraId="258FF7C8" w14:textId="77777777" w:rsidR="00003780" w:rsidRPr="00640CFF" w:rsidRDefault="00003780" w:rsidP="00003780">
      <w:pPr>
        <w:tabs>
          <w:tab w:val="left" w:pos="142"/>
        </w:tabs>
        <w:ind w:left="360"/>
        <w:rPr>
          <w:rFonts w:cs="Arial"/>
          <w:b/>
          <w:i/>
          <w:sz w:val="22"/>
          <w:szCs w:val="22"/>
        </w:rPr>
      </w:pPr>
    </w:p>
    <w:p w14:paraId="1F216A0E" w14:textId="77777777" w:rsidR="00003780" w:rsidRPr="00640CFF" w:rsidRDefault="00003780" w:rsidP="003B68DB">
      <w:pPr>
        <w:pStyle w:val="Prrafodelista"/>
        <w:numPr>
          <w:ilvl w:val="0"/>
          <w:numId w:val="141"/>
        </w:numPr>
        <w:tabs>
          <w:tab w:val="left" w:pos="142"/>
        </w:tabs>
        <w:contextualSpacing/>
        <w:rPr>
          <w:rFonts w:cs="Arial"/>
          <w:i/>
          <w:sz w:val="22"/>
          <w:szCs w:val="22"/>
          <w:lang w:val="es-MX"/>
        </w:rPr>
      </w:pPr>
      <w:r w:rsidRPr="00640CFF">
        <w:rPr>
          <w:rFonts w:cs="Arial"/>
          <w:sz w:val="22"/>
          <w:szCs w:val="22"/>
        </w:rPr>
        <w:t>Utilización obligatoria de equipo de protección personal básico (casco, zapatos de seguridad, guantes) y específico como protección respiratoria, auditiva y para los ojos, cuando aplique.</w:t>
      </w:r>
    </w:p>
    <w:p w14:paraId="5FEE6FFA" w14:textId="77777777" w:rsidR="00003780" w:rsidRPr="00640CFF" w:rsidRDefault="00003780" w:rsidP="003B68DB">
      <w:pPr>
        <w:pStyle w:val="Prrafodelista"/>
        <w:numPr>
          <w:ilvl w:val="0"/>
          <w:numId w:val="141"/>
        </w:numPr>
        <w:tabs>
          <w:tab w:val="left" w:pos="142"/>
        </w:tabs>
        <w:contextualSpacing/>
        <w:rPr>
          <w:rFonts w:cs="Arial"/>
          <w:i/>
          <w:sz w:val="22"/>
          <w:szCs w:val="22"/>
          <w:lang w:val="es-MX"/>
        </w:rPr>
      </w:pPr>
      <w:r w:rsidRPr="00640CFF">
        <w:rPr>
          <w:rFonts w:cs="Arial"/>
          <w:sz w:val="22"/>
          <w:szCs w:val="22"/>
        </w:rPr>
        <w:t>Que las instalaciones de servicio o de protección anexas a los lugares de trabajo puedan ser utilizadas sin peligro para la salud y la seguridad de los trabajadores.</w:t>
      </w:r>
    </w:p>
    <w:p w14:paraId="594AC24E" w14:textId="77777777" w:rsidR="00003780" w:rsidRPr="00640CFF" w:rsidRDefault="00003780" w:rsidP="003B68DB">
      <w:pPr>
        <w:pStyle w:val="Prrafodelista"/>
        <w:numPr>
          <w:ilvl w:val="0"/>
          <w:numId w:val="141"/>
        </w:numPr>
        <w:tabs>
          <w:tab w:val="left" w:pos="142"/>
        </w:tabs>
        <w:contextualSpacing/>
        <w:rPr>
          <w:rFonts w:cs="Arial"/>
          <w:i/>
          <w:sz w:val="22"/>
          <w:szCs w:val="22"/>
          <w:lang w:val="es-MX"/>
        </w:rPr>
      </w:pPr>
      <w:r w:rsidRPr="00640CFF">
        <w:rPr>
          <w:rFonts w:cs="Arial"/>
          <w:sz w:val="22"/>
          <w:szCs w:val="22"/>
        </w:rPr>
        <w:t>Que dichas instalaciones y dispositivos de protección cumplan con su cometido, dando protección efectiva frente a los riesgos que pretenden evitar.</w:t>
      </w:r>
    </w:p>
    <w:p w14:paraId="240D072D" w14:textId="77777777" w:rsidR="00003780" w:rsidRPr="00640CFF" w:rsidRDefault="00003780" w:rsidP="003B68DB">
      <w:pPr>
        <w:pStyle w:val="Prrafodelista"/>
        <w:numPr>
          <w:ilvl w:val="0"/>
          <w:numId w:val="141"/>
        </w:numPr>
        <w:tabs>
          <w:tab w:val="left" w:pos="142"/>
        </w:tabs>
        <w:autoSpaceDE w:val="0"/>
        <w:autoSpaceDN w:val="0"/>
        <w:adjustRightInd w:val="0"/>
        <w:contextualSpacing/>
        <w:rPr>
          <w:rFonts w:cs="Arial"/>
          <w:i/>
          <w:sz w:val="22"/>
          <w:szCs w:val="22"/>
          <w:lang w:val="es-NI" w:eastAsia="es-NI"/>
        </w:rPr>
      </w:pPr>
      <w:r w:rsidRPr="00640CFF">
        <w:rPr>
          <w:rFonts w:cs="Arial"/>
          <w:sz w:val="22"/>
          <w:szCs w:val="22"/>
        </w:rPr>
        <w:t>La iluminación de los lugares de trabajo deberá permitir que los trabajadores dispongan de unas condiciones de visibilidad adecuados para poder circular y desarrollar sus actividades sin riesgo para su seguridad y la de terceros, con un confort visual aceptable</w:t>
      </w:r>
    </w:p>
    <w:p w14:paraId="22D8FED9" w14:textId="77777777" w:rsidR="00003780" w:rsidRPr="00640CFF" w:rsidRDefault="00003780" w:rsidP="00003780">
      <w:pPr>
        <w:pStyle w:val="Prrafodelista"/>
        <w:tabs>
          <w:tab w:val="left" w:pos="142"/>
        </w:tabs>
        <w:rPr>
          <w:rFonts w:cs="Arial"/>
          <w:i/>
          <w:sz w:val="22"/>
          <w:szCs w:val="22"/>
          <w:lang w:val="es-NI" w:eastAsia="es-NI"/>
        </w:rPr>
      </w:pPr>
    </w:p>
    <w:p w14:paraId="79B598D4" w14:textId="77777777" w:rsidR="00003780" w:rsidRPr="00095129" w:rsidRDefault="00003780" w:rsidP="003B68DB">
      <w:pPr>
        <w:keepNext/>
        <w:numPr>
          <w:ilvl w:val="0"/>
          <w:numId w:val="127"/>
        </w:numPr>
        <w:tabs>
          <w:tab w:val="left" w:pos="142"/>
        </w:tabs>
        <w:ind w:left="426" w:right="-516" w:firstLine="0"/>
        <w:contextualSpacing/>
        <w:outlineLvl w:val="2"/>
        <w:rPr>
          <w:rFonts w:cs="Arial"/>
          <w:b/>
          <w:bCs/>
          <w:iCs/>
          <w:sz w:val="22"/>
          <w:szCs w:val="22"/>
        </w:rPr>
      </w:pPr>
      <w:r>
        <w:rPr>
          <w:rFonts w:cs="Arial"/>
          <w:b/>
          <w:bCs/>
          <w:iCs/>
          <w:sz w:val="22"/>
          <w:szCs w:val="22"/>
        </w:rPr>
        <w:t xml:space="preserve"> </w:t>
      </w:r>
      <w:r w:rsidRPr="00095129">
        <w:rPr>
          <w:rFonts w:cs="Arial"/>
          <w:b/>
          <w:bCs/>
          <w:iCs/>
          <w:sz w:val="22"/>
          <w:szCs w:val="22"/>
        </w:rPr>
        <w:t>ESPECIFICACIONES GENERALES SOCIALES</w:t>
      </w:r>
    </w:p>
    <w:p w14:paraId="46B50097" w14:textId="77777777" w:rsidR="00003780" w:rsidRPr="00384552" w:rsidRDefault="00003780" w:rsidP="00003780">
      <w:pPr>
        <w:tabs>
          <w:tab w:val="left" w:pos="142"/>
        </w:tabs>
        <w:jc w:val="center"/>
        <w:rPr>
          <w:rFonts w:cs="Arial"/>
          <w:b/>
          <w:sz w:val="22"/>
          <w:szCs w:val="22"/>
        </w:rPr>
      </w:pPr>
    </w:p>
    <w:p w14:paraId="28E47933" w14:textId="77777777" w:rsidR="00003780" w:rsidRPr="00384552" w:rsidRDefault="00003780" w:rsidP="00003780">
      <w:pPr>
        <w:tabs>
          <w:tab w:val="left" w:pos="142"/>
        </w:tabs>
        <w:rPr>
          <w:rFonts w:cs="Arial"/>
          <w:b/>
          <w:sz w:val="22"/>
          <w:szCs w:val="22"/>
        </w:rPr>
      </w:pPr>
      <w:r w:rsidRPr="00384552">
        <w:rPr>
          <w:rFonts w:cs="Arial"/>
          <w:b/>
          <w:sz w:val="22"/>
          <w:szCs w:val="22"/>
        </w:rPr>
        <w:t>ETAPA DE EJECUCIÓN</w:t>
      </w:r>
    </w:p>
    <w:p w14:paraId="600A52EC" w14:textId="77777777" w:rsidR="00003780" w:rsidRPr="00384552" w:rsidRDefault="00003780" w:rsidP="00003780">
      <w:pPr>
        <w:tabs>
          <w:tab w:val="left" w:pos="142"/>
        </w:tabs>
        <w:rPr>
          <w:rFonts w:cs="Arial"/>
          <w:b/>
          <w:sz w:val="22"/>
          <w:szCs w:val="22"/>
        </w:rPr>
      </w:pPr>
    </w:p>
    <w:p w14:paraId="071C06D2" w14:textId="77777777" w:rsidR="00003780" w:rsidRPr="00384552" w:rsidRDefault="00003780" w:rsidP="00003780">
      <w:pPr>
        <w:tabs>
          <w:tab w:val="left" w:pos="142"/>
        </w:tabs>
        <w:rPr>
          <w:rFonts w:cs="Arial"/>
          <w:b/>
          <w:sz w:val="22"/>
          <w:szCs w:val="22"/>
        </w:rPr>
      </w:pPr>
      <w:r w:rsidRPr="00384552">
        <w:rPr>
          <w:rFonts w:cs="Arial"/>
          <w:b/>
          <w:sz w:val="22"/>
          <w:szCs w:val="22"/>
        </w:rPr>
        <w:t>PRE OBRA</w:t>
      </w:r>
    </w:p>
    <w:p w14:paraId="593E6D05" w14:textId="77777777" w:rsidR="00003780" w:rsidRPr="00384552" w:rsidRDefault="00003780" w:rsidP="00003780">
      <w:pPr>
        <w:tabs>
          <w:tab w:val="left" w:pos="142"/>
        </w:tabs>
        <w:rPr>
          <w:rFonts w:cs="Arial"/>
          <w:b/>
          <w:sz w:val="22"/>
          <w:szCs w:val="22"/>
        </w:rPr>
      </w:pPr>
    </w:p>
    <w:p w14:paraId="4AE944A3"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Cronograma de trabajo y Plan metodológico para el acompañamiento social en la(s) comunidad(es) y realizar reunión de coordinación con actores claves del proyecto.</w:t>
      </w:r>
    </w:p>
    <w:p w14:paraId="71FB09AA" w14:textId="77777777" w:rsidR="00003780" w:rsidRPr="00384552" w:rsidRDefault="00003780" w:rsidP="00003780">
      <w:pPr>
        <w:tabs>
          <w:tab w:val="left" w:pos="142"/>
        </w:tabs>
        <w:rPr>
          <w:rFonts w:cs="Arial"/>
          <w:sz w:val="22"/>
          <w:szCs w:val="22"/>
        </w:rPr>
      </w:pPr>
    </w:p>
    <w:p w14:paraId="46AEA08A" w14:textId="77777777" w:rsidR="00003780" w:rsidRPr="00384552" w:rsidRDefault="00003780" w:rsidP="00003780">
      <w:pPr>
        <w:tabs>
          <w:tab w:val="left" w:pos="142"/>
        </w:tabs>
        <w:rPr>
          <w:rFonts w:cs="Arial"/>
          <w:sz w:val="22"/>
          <w:szCs w:val="22"/>
        </w:rPr>
      </w:pPr>
      <w:r w:rsidRPr="00384552">
        <w:rPr>
          <w:rFonts w:cs="Arial"/>
          <w:sz w:val="22"/>
          <w:szCs w:val="22"/>
        </w:rPr>
        <w:t>El contratista debe elaborar plan de trabajo y cronograma de actividades del acompañamiento social para la etapa de ejecución y post-obra. Igualmente va desarrollar los aspectos metodológicos que llevará a cabo en cada intervención desde el acompañamiento social.</w:t>
      </w:r>
    </w:p>
    <w:p w14:paraId="3451A99F" w14:textId="77777777" w:rsidR="00003780" w:rsidRPr="00384552" w:rsidRDefault="00003780" w:rsidP="00003780">
      <w:pPr>
        <w:tabs>
          <w:tab w:val="left" w:pos="142"/>
        </w:tabs>
        <w:rPr>
          <w:rFonts w:cs="Arial"/>
          <w:sz w:val="22"/>
          <w:szCs w:val="22"/>
        </w:rPr>
      </w:pPr>
      <w:r w:rsidRPr="00384552">
        <w:rPr>
          <w:rFonts w:cs="Arial"/>
          <w:sz w:val="22"/>
          <w:szCs w:val="22"/>
        </w:rPr>
        <w:t>Se debe reflejar cada una de las actividades a realizar, definiéndose fechas para su ejecución, responsable, involucrados, instrumentos o metodología a usar según la etapa del ciclo de proyecto a intervenir.  Este deberá ser avalado por el Especialista Social de cada Región.</w:t>
      </w:r>
    </w:p>
    <w:p w14:paraId="3BE50A49" w14:textId="77777777" w:rsidR="00003780" w:rsidRPr="00384552" w:rsidRDefault="00003780" w:rsidP="00003780">
      <w:pPr>
        <w:tabs>
          <w:tab w:val="left" w:pos="142"/>
        </w:tabs>
        <w:rPr>
          <w:rFonts w:cs="Arial"/>
          <w:sz w:val="22"/>
          <w:szCs w:val="22"/>
        </w:rPr>
      </w:pPr>
    </w:p>
    <w:p w14:paraId="5CC85DF9" w14:textId="77777777" w:rsidR="00003780" w:rsidRPr="00384552" w:rsidRDefault="00003780" w:rsidP="00003780">
      <w:pPr>
        <w:tabs>
          <w:tab w:val="left" w:pos="142"/>
        </w:tabs>
        <w:rPr>
          <w:rFonts w:cs="Arial"/>
          <w:sz w:val="22"/>
          <w:szCs w:val="22"/>
        </w:rPr>
      </w:pPr>
      <w:r w:rsidRPr="00384552">
        <w:rPr>
          <w:rFonts w:cs="Arial"/>
          <w:sz w:val="22"/>
          <w:szCs w:val="22"/>
        </w:rPr>
        <w:t>En la reunión de coordinación debe considerar a los actores claves con quienes va interactuar en las etapas de ejecución y post obra, tales como gobierno municipal, gobierno regional, gobierno territorial indígena, FISE, junta directiva CAPS, grupo de apoyo, personal clave de la firma consultora.</w:t>
      </w:r>
    </w:p>
    <w:p w14:paraId="0DC9EFED" w14:textId="77777777" w:rsidR="00003780" w:rsidRPr="00384552" w:rsidRDefault="00003780" w:rsidP="00003780">
      <w:pPr>
        <w:tabs>
          <w:tab w:val="left" w:pos="142"/>
        </w:tabs>
        <w:rPr>
          <w:rFonts w:cs="Arial"/>
          <w:sz w:val="22"/>
          <w:szCs w:val="22"/>
        </w:rPr>
      </w:pPr>
    </w:p>
    <w:p w14:paraId="1706221B" w14:textId="77777777" w:rsidR="00003780" w:rsidRPr="00384552" w:rsidRDefault="00003780" w:rsidP="00003780">
      <w:pPr>
        <w:tabs>
          <w:tab w:val="left" w:pos="142"/>
        </w:tabs>
        <w:rPr>
          <w:rFonts w:cs="Arial"/>
          <w:b/>
          <w:sz w:val="22"/>
          <w:szCs w:val="22"/>
        </w:rPr>
      </w:pPr>
      <w:r w:rsidRPr="00384552">
        <w:rPr>
          <w:rFonts w:cs="Arial"/>
          <w:b/>
          <w:sz w:val="22"/>
          <w:szCs w:val="22"/>
        </w:rPr>
        <w:t>Producto Esperado por parte del contratista:</w:t>
      </w:r>
    </w:p>
    <w:p w14:paraId="61571277" w14:textId="77777777" w:rsidR="00003780" w:rsidRPr="00384552" w:rsidRDefault="00003780" w:rsidP="003B68DB">
      <w:pPr>
        <w:numPr>
          <w:ilvl w:val="0"/>
          <w:numId w:val="126"/>
        </w:numPr>
        <w:tabs>
          <w:tab w:val="left" w:pos="142"/>
        </w:tabs>
        <w:rPr>
          <w:rFonts w:cs="Arial"/>
          <w:i/>
          <w:sz w:val="22"/>
          <w:szCs w:val="22"/>
        </w:rPr>
      </w:pPr>
      <w:r w:rsidRPr="00384552">
        <w:rPr>
          <w:rFonts w:cs="Arial"/>
          <w:sz w:val="22"/>
          <w:szCs w:val="22"/>
        </w:rPr>
        <w:t>Cronograma de trabajo y plan metodológico para la intervención social.</w:t>
      </w:r>
    </w:p>
    <w:p w14:paraId="646C42F5" w14:textId="77777777" w:rsidR="00003780" w:rsidRPr="00384552" w:rsidRDefault="00003780" w:rsidP="003B68DB">
      <w:pPr>
        <w:numPr>
          <w:ilvl w:val="0"/>
          <w:numId w:val="126"/>
        </w:numPr>
        <w:tabs>
          <w:tab w:val="left" w:pos="142"/>
        </w:tabs>
        <w:rPr>
          <w:rFonts w:cs="Arial"/>
          <w:i/>
          <w:sz w:val="22"/>
          <w:szCs w:val="22"/>
        </w:rPr>
      </w:pPr>
      <w:r w:rsidRPr="00384552">
        <w:rPr>
          <w:rFonts w:cs="Arial"/>
          <w:sz w:val="22"/>
          <w:szCs w:val="22"/>
        </w:rPr>
        <w:t>Ayuda memoria de reunión</w:t>
      </w:r>
    </w:p>
    <w:p w14:paraId="2851A824" w14:textId="77777777" w:rsidR="00003780" w:rsidRPr="00384552" w:rsidRDefault="00003780" w:rsidP="003B68DB">
      <w:pPr>
        <w:numPr>
          <w:ilvl w:val="0"/>
          <w:numId w:val="126"/>
        </w:numPr>
        <w:tabs>
          <w:tab w:val="left" w:pos="142"/>
        </w:tabs>
        <w:rPr>
          <w:rFonts w:cs="Arial"/>
          <w:i/>
          <w:sz w:val="22"/>
          <w:szCs w:val="22"/>
        </w:rPr>
      </w:pPr>
      <w:r w:rsidRPr="00384552">
        <w:rPr>
          <w:rFonts w:cs="Arial"/>
          <w:sz w:val="22"/>
          <w:szCs w:val="22"/>
        </w:rPr>
        <w:t>Listado de asistencia</w:t>
      </w:r>
    </w:p>
    <w:p w14:paraId="5FAC3F93" w14:textId="77777777" w:rsidR="00003780" w:rsidRPr="00384552" w:rsidRDefault="00003780" w:rsidP="00003780">
      <w:pPr>
        <w:tabs>
          <w:tab w:val="left" w:pos="142"/>
        </w:tabs>
        <w:ind w:left="720"/>
        <w:rPr>
          <w:rFonts w:cs="Arial"/>
          <w:i/>
          <w:sz w:val="22"/>
          <w:szCs w:val="22"/>
        </w:rPr>
      </w:pPr>
    </w:p>
    <w:p w14:paraId="6E0FC3B7"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Planificación y Realización de Asamblea general comunitaria para entrega de sitio del proyecto a contratista y dar a conocer Plan.</w:t>
      </w:r>
    </w:p>
    <w:p w14:paraId="6DD43119" w14:textId="77777777" w:rsidR="00003780" w:rsidRPr="00384552" w:rsidRDefault="00003780" w:rsidP="00003780">
      <w:pPr>
        <w:tabs>
          <w:tab w:val="left" w:pos="142"/>
        </w:tabs>
        <w:rPr>
          <w:rFonts w:cs="Arial"/>
          <w:sz w:val="22"/>
          <w:szCs w:val="22"/>
        </w:rPr>
      </w:pPr>
    </w:p>
    <w:p w14:paraId="006C8266" w14:textId="77777777" w:rsidR="00003780" w:rsidRPr="00384552" w:rsidRDefault="00003780" w:rsidP="00003780">
      <w:pPr>
        <w:tabs>
          <w:tab w:val="left" w:pos="142"/>
        </w:tabs>
        <w:rPr>
          <w:rFonts w:cs="Arial"/>
          <w:sz w:val="22"/>
          <w:szCs w:val="22"/>
        </w:rPr>
      </w:pPr>
      <w:r w:rsidRPr="00384552">
        <w:rPr>
          <w:rFonts w:cs="Arial"/>
          <w:sz w:val="22"/>
          <w:szCs w:val="22"/>
        </w:rPr>
        <w:lastRenderedPageBreak/>
        <w:t xml:space="preserve">Planificar y realizar asamblea general comunitaria para entrega de sitio, elegir y/o ratificar red de promotores.  </w:t>
      </w:r>
    </w:p>
    <w:p w14:paraId="5DD32F56" w14:textId="77777777" w:rsidR="00003780" w:rsidRPr="00384552" w:rsidRDefault="00003780" w:rsidP="00003780">
      <w:pPr>
        <w:tabs>
          <w:tab w:val="left" w:pos="142"/>
        </w:tabs>
        <w:rPr>
          <w:rFonts w:cs="Arial"/>
          <w:sz w:val="22"/>
          <w:szCs w:val="22"/>
        </w:rPr>
      </w:pPr>
    </w:p>
    <w:p w14:paraId="09CBDD80" w14:textId="77777777" w:rsidR="00003780" w:rsidRPr="00384552" w:rsidRDefault="00003780" w:rsidP="00003780">
      <w:pPr>
        <w:tabs>
          <w:tab w:val="left" w:pos="142"/>
        </w:tabs>
        <w:rPr>
          <w:rFonts w:cs="Arial"/>
          <w:sz w:val="22"/>
          <w:szCs w:val="22"/>
        </w:rPr>
      </w:pPr>
      <w:r w:rsidRPr="00384552">
        <w:rPr>
          <w:rFonts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6CFD1B9D" w14:textId="77777777" w:rsidR="00003780" w:rsidRPr="00384552" w:rsidRDefault="00003780" w:rsidP="00003780">
      <w:pPr>
        <w:tabs>
          <w:tab w:val="left" w:pos="142"/>
        </w:tabs>
        <w:rPr>
          <w:rFonts w:cs="Arial"/>
          <w:sz w:val="22"/>
          <w:szCs w:val="22"/>
        </w:rPr>
      </w:pPr>
      <w:r w:rsidRPr="00384552">
        <w:rPr>
          <w:rFonts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45194501" w14:textId="77777777" w:rsidR="00003780" w:rsidRPr="00384552" w:rsidRDefault="00003780" w:rsidP="00003780">
      <w:pPr>
        <w:tabs>
          <w:tab w:val="left" w:pos="142"/>
        </w:tabs>
        <w:rPr>
          <w:rFonts w:cs="Arial"/>
          <w:sz w:val="22"/>
          <w:szCs w:val="22"/>
        </w:rPr>
      </w:pPr>
    </w:p>
    <w:p w14:paraId="757911A6" w14:textId="77777777" w:rsidR="00003780" w:rsidRPr="00384552" w:rsidRDefault="00003780" w:rsidP="00003780">
      <w:pPr>
        <w:tabs>
          <w:tab w:val="left" w:pos="142"/>
        </w:tabs>
        <w:rPr>
          <w:rFonts w:cs="Arial"/>
          <w:b/>
          <w:sz w:val="22"/>
          <w:szCs w:val="22"/>
        </w:rPr>
      </w:pPr>
      <w:r w:rsidRPr="00384552">
        <w:rPr>
          <w:rFonts w:cs="Arial"/>
          <w:b/>
          <w:sz w:val="22"/>
          <w:szCs w:val="22"/>
        </w:rPr>
        <w:t xml:space="preserve">Producto esperado por parte del contratista: </w:t>
      </w:r>
    </w:p>
    <w:p w14:paraId="40A708C9" w14:textId="77777777" w:rsidR="00003780" w:rsidRPr="00384552" w:rsidRDefault="00003780" w:rsidP="00003780">
      <w:pPr>
        <w:tabs>
          <w:tab w:val="left" w:pos="142"/>
        </w:tabs>
        <w:rPr>
          <w:rFonts w:cs="Arial"/>
          <w:sz w:val="22"/>
          <w:szCs w:val="22"/>
        </w:rPr>
      </w:pPr>
      <w:r w:rsidRPr="00384552">
        <w:rPr>
          <w:rFonts w:cs="Arial"/>
          <w:sz w:val="22"/>
          <w:szCs w:val="22"/>
        </w:rPr>
        <w:t>1. Ayuda memoria.</w:t>
      </w:r>
    </w:p>
    <w:p w14:paraId="6308EE0B" w14:textId="77777777" w:rsidR="00003780" w:rsidRPr="00384552" w:rsidRDefault="00003780" w:rsidP="00003780">
      <w:pPr>
        <w:tabs>
          <w:tab w:val="left" w:pos="142"/>
        </w:tabs>
        <w:rPr>
          <w:rFonts w:cs="Arial"/>
          <w:sz w:val="22"/>
          <w:szCs w:val="22"/>
        </w:rPr>
      </w:pPr>
      <w:r w:rsidRPr="00384552">
        <w:rPr>
          <w:rFonts w:cs="Arial"/>
          <w:sz w:val="22"/>
          <w:szCs w:val="22"/>
        </w:rPr>
        <w:t>2. Acta de asamblea comunitaria</w:t>
      </w:r>
    </w:p>
    <w:p w14:paraId="68A112D5" w14:textId="77777777" w:rsidR="00003780" w:rsidRPr="00384552" w:rsidRDefault="00003780" w:rsidP="00003780">
      <w:pPr>
        <w:tabs>
          <w:tab w:val="left" w:pos="142"/>
        </w:tabs>
        <w:rPr>
          <w:rFonts w:cs="Arial"/>
          <w:sz w:val="22"/>
          <w:szCs w:val="22"/>
        </w:rPr>
      </w:pPr>
      <w:r w:rsidRPr="00384552">
        <w:rPr>
          <w:rFonts w:cs="Arial"/>
          <w:sz w:val="22"/>
          <w:szCs w:val="22"/>
        </w:rPr>
        <w:t>3.  Copia de Bitácora</w:t>
      </w:r>
    </w:p>
    <w:p w14:paraId="065C525E" w14:textId="77777777" w:rsidR="00003780" w:rsidRPr="00384552" w:rsidRDefault="00003780" w:rsidP="00003780">
      <w:pPr>
        <w:tabs>
          <w:tab w:val="left" w:pos="142"/>
        </w:tabs>
        <w:rPr>
          <w:rFonts w:cs="Arial"/>
          <w:sz w:val="22"/>
          <w:szCs w:val="22"/>
        </w:rPr>
      </w:pPr>
      <w:r w:rsidRPr="00384552">
        <w:rPr>
          <w:rFonts w:cs="Arial"/>
          <w:sz w:val="22"/>
          <w:szCs w:val="22"/>
        </w:rPr>
        <w:t>4. Listado de participantes.</w:t>
      </w:r>
    </w:p>
    <w:p w14:paraId="1ED0A396" w14:textId="77777777" w:rsidR="00003780" w:rsidRPr="009D1938" w:rsidRDefault="00003780" w:rsidP="00003780">
      <w:pPr>
        <w:tabs>
          <w:tab w:val="left" w:pos="142"/>
        </w:tabs>
        <w:rPr>
          <w:rFonts w:cs="Arial"/>
          <w:i/>
          <w:sz w:val="22"/>
          <w:szCs w:val="22"/>
        </w:rPr>
      </w:pPr>
      <w:r w:rsidRPr="009D1938">
        <w:rPr>
          <w:rFonts w:cs="Arial"/>
          <w:sz w:val="22"/>
          <w:szCs w:val="22"/>
        </w:rPr>
        <w:t>5. Listado oficial de beneficiarios.</w:t>
      </w:r>
    </w:p>
    <w:p w14:paraId="45207740" w14:textId="77777777" w:rsidR="00003780" w:rsidRPr="00384552" w:rsidRDefault="00003780" w:rsidP="00003780">
      <w:pPr>
        <w:tabs>
          <w:tab w:val="left" w:pos="142"/>
        </w:tabs>
        <w:rPr>
          <w:rFonts w:cs="Arial"/>
          <w:sz w:val="22"/>
          <w:szCs w:val="22"/>
          <w:highlight w:val="yellow"/>
        </w:rPr>
      </w:pPr>
    </w:p>
    <w:p w14:paraId="098BB037" w14:textId="77777777" w:rsidR="00003780" w:rsidRPr="00384552" w:rsidRDefault="00003780" w:rsidP="00003780">
      <w:pPr>
        <w:tabs>
          <w:tab w:val="left" w:pos="142"/>
        </w:tabs>
        <w:rPr>
          <w:rFonts w:cs="Arial"/>
          <w:b/>
          <w:sz w:val="22"/>
          <w:szCs w:val="22"/>
        </w:rPr>
      </w:pPr>
      <w:r w:rsidRPr="009D1938">
        <w:rPr>
          <w:rFonts w:cs="Arial"/>
          <w:b/>
          <w:sz w:val="22"/>
          <w:szCs w:val="22"/>
        </w:rPr>
        <w:t>EJECUCIÓN</w:t>
      </w:r>
    </w:p>
    <w:p w14:paraId="4EF3D8EA" w14:textId="77777777" w:rsidR="00003780" w:rsidRPr="00384552" w:rsidRDefault="00003780" w:rsidP="00003780">
      <w:pPr>
        <w:tabs>
          <w:tab w:val="left" w:pos="142"/>
        </w:tabs>
        <w:rPr>
          <w:rFonts w:cs="Arial"/>
          <w:b/>
          <w:sz w:val="22"/>
          <w:szCs w:val="22"/>
        </w:rPr>
      </w:pPr>
    </w:p>
    <w:p w14:paraId="7BD565EA"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Planifica y Realizar Taller de capacitación del Módulo III (Taller No. 5y 6,) Compendio Metodológico.</w:t>
      </w:r>
    </w:p>
    <w:p w14:paraId="44B3CB34" w14:textId="77777777" w:rsidR="00003780" w:rsidRPr="00384552" w:rsidRDefault="00003780" w:rsidP="00003780">
      <w:pPr>
        <w:tabs>
          <w:tab w:val="left" w:pos="142"/>
        </w:tabs>
        <w:rPr>
          <w:rFonts w:cs="Arial"/>
          <w:sz w:val="22"/>
          <w:szCs w:val="22"/>
        </w:rPr>
      </w:pPr>
    </w:p>
    <w:p w14:paraId="408753D8" w14:textId="77777777" w:rsidR="00003780" w:rsidRPr="00384552" w:rsidRDefault="00003780" w:rsidP="00003780">
      <w:pPr>
        <w:tabs>
          <w:tab w:val="left" w:pos="142"/>
        </w:tabs>
        <w:rPr>
          <w:rFonts w:cs="Arial"/>
          <w:sz w:val="22"/>
          <w:szCs w:val="22"/>
        </w:rPr>
      </w:pPr>
      <w:r w:rsidRPr="00384552">
        <w:rPr>
          <w:rFonts w:cs="Arial"/>
          <w:sz w:val="22"/>
          <w:szCs w:val="22"/>
        </w:rPr>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384552">
        <w:rPr>
          <w:rFonts w:cs="Arial"/>
          <w:b/>
          <w:sz w:val="22"/>
          <w:szCs w:val="22"/>
        </w:rPr>
        <w:t>Como administramos nuestros servicios de agua”</w:t>
      </w:r>
      <w:r w:rsidRPr="00384552">
        <w:rPr>
          <w:rFonts w:cs="Arial"/>
          <w:sz w:val="22"/>
          <w:szCs w:val="22"/>
        </w:rPr>
        <w:t xml:space="preserve"> talleres No 5 y 6  (con participación de un grupo meta de 18 a 25 protagonistas, integrado por personas de la JD del CAPS, grupo de apoyo, red de promotores/as sociales comunitarios, líderes naturales, gremiales, políticos y religiosos.</w:t>
      </w:r>
    </w:p>
    <w:p w14:paraId="22A86A06" w14:textId="77777777" w:rsidR="00003780" w:rsidRDefault="00003780" w:rsidP="00003780">
      <w:pPr>
        <w:tabs>
          <w:tab w:val="left" w:pos="142"/>
        </w:tabs>
        <w:rPr>
          <w:rFonts w:cs="Arial"/>
          <w:b/>
          <w:sz w:val="22"/>
          <w:szCs w:val="22"/>
        </w:rPr>
      </w:pPr>
    </w:p>
    <w:p w14:paraId="31F838E1"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contratista:</w:t>
      </w:r>
    </w:p>
    <w:p w14:paraId="1AAADB45" w14:textId="77777777" w:rsidR="00003780" w:rsidRPr="00384552" w:rsidRDefault="00003780" w:rsidP="00003780">
      <w:pPr>
        <w:tabs>
          <w:tab w:val="left" w:pos="142"/>
        </w:tabs>
        <w:rPr>
          <w:rFonts w:cs="Arial"/>
          <w:sz w:val="22"/>
          <w:szCs w:val="22"/>
        </w:rPr>
      </w:pPr>
    </w:p>
    <w:p w14:paraId="27AA9D24" w14:textId="77777777" w:rsidR="00003780" w:rsidRPr="00384552" w:rsidRDefault="00003780" w:rsidP="00003780">
      <w:pPr>
        <w:tabs>
          <w:tab w:val="left" w:pos="142"/>
        </w:tabs>
        <w:rPr>
          <w:rFonts w:cs="Arial"/>
          <w:sz w:val="22"/>
          <w:szCs w:val="22"/>
        </w:rPr>
      </w:pPr>
      <w:r w:rsidRPr="00384552">
        <w:rPr>
          <w:rFonts w:cs="Arial"/>
          <w:sz w:val="22"/>
          <w:szCs w:val="22"/>
        </w:rPr>
        <w:t>1. Cuaderno, lapiceros.</w:t>
      </w:r>
    </w:p>
    <w:p w14:paraId="575B34F6" w14:textId="77777777" w:rsidR="00003780" w:rsidRPr="00384552" w:rsidRDefault="00003780" w:rsidP="00003780">
      <w:pPr>
        <w:tabs>
          <w:tab w:val="left" w:pos="142"/>
        </w:tabs>
        <w:rPr>
          <w:rFonts w:cs="Arial"/>
          <w:sz w:val="22"/>
          <w:szCs w:val="22"/>
        </w:rPr>
      </w:pPr>
      <w:r w:rsidRPr="00384552">
        <w:rPr>
          <w:rFonts w:cs="Arial"/>
          <w:sz w:val="22"/>
          <w:szCs w:val="22"/>
        </w:rPr>
        <w:t xml:space="preserve">3. Local para realizar los talleres.  </w:t>
      </w:r>
    </w:p>
    <w:p w14:paraId="610B94C3" w14:textId="77777777" w:rsidR="00003780" w:rsidRPr="00384552" w:rsidRDefault="00003780" w:rsidP="00003780">
      <w:pPr>
        <w:tabs>
          <w:tab w:val="left" w:pos="142"/>
        </w:tabs>
        <w:rPr>
          <w:rFonts w:cs="Arial"/>
          <w:sz w:val="22"/>
          <w:szCs w:val="22"/>
        </w:rPr>
      </w:pPr>
      <w:r w:rsidRPr="00384552">
        <w:rPr>
          <w:rFonts w:cs="Arial"/>
          <w:sz w:val="22"/>
          <w:szCs w:val="22"/>
        </w:rPr>
        <w:t>2. refrigerios/Almuerzos.</w:t>
      </w:r>
    </w:p>
    <w:p w14:paraId="1456DD0D" w14:textId="77777777" w:rsidR="00003780" w:rsidRPr="00384552" w:rsidRDefault="00003780" w:rsidP="00003780">
      <w:pPr>
        <w:tabs>
          <w:tab w:val="left" w:pos="142"/>
        </w:tabs>
        <w:rPr>
          <w:rFonts w:cs="Arial"/>
          <w:b/>
          <w:sz w:val="22"/>
          <w:szCs w:val="22"/>
        </w:rPr>
      </w:pPr>
    </w:p>
    <w:p w14:paraId="636AF7E3"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Fise:</w:t>
      </w:r>
    </w:p>
    <w:p w14:paraId="19B4BA33" w14:textId="77777777" w:rsidR="00003780" w:rsidRPr="00384552" w:rsidRDefault="00003780" w:rsidP="00003780">
      <w:pPr>
        <w:tabs>
          <w:tab w:val="left" w:pos="142"/>
        </w:tabs>
        <w:rPr>
          <w:rFonts w:cs="Arial"/>
          <w:sz w:val="22"/>
          <w:szCs w:val="22"/>
        </w:rPr>
      </w:pPr>
      <w:r w:rsidRPr="00384552">
        <w:rPr>
          <w:rFonts w:cs="Arial"/>
          <w:sz w:val="22"/>
          <w:szCs w:val="22"/>
        </w:rPr>
        <w:t>1.  Guía Metodológica.</w:t>
      </w:r>
    </w:p>
    <w:p w14:paraId="4557FE3C" w14:textId="77777777" w:rsidR="00003780" w:rsidRPr="00384552" w:rsidRDefault="00003780" w:rsidP="00003780">
      <w:pPr>
        <w:tabs>
          <w:tab w:val="left" w:pos="142"/>
        </w:tabs>
        <w:rPr>
          <w:rFonts w:cs="Arial"/>
          <w:sz w:val="22"/>
          <w:szCs w:val="22"/>
        </w:rPr>
      </w:pPr>
      <w:r w:rsidRPr="00384552">
        <w:rPr>
          <w:rFonts w:cs="Arial"/>
          <w:sz w:val="22"/>
          <w:szCs w:val="22"/>
        </w:rPr>
        <w:t xml:space="preserve">2.  Módulo 3 Cartilla 5, 6,  </w:t>
      </w:r>
    </w:p>
    <w:p w14:paraId="5BC1171E" w14:textId="77777777" w:rsidR="00003780" w:rsidRPr="00384552" w:rsidRDefault="00003780" w:rsidP="00003780">
      <w:pPr>
        <w:tabs>
          <w:tab w:val="left" w:pos="142"/>
        </w:tabs>
        <w:rPr>
          <w:rFonts w:cs="Arial"/>
          <w:sz w:val="22"/>
          <w:szCs w:val="22"/>
        </w:rPr>
      </w:pPr>
    </w:p>
    <w:p w14:paraId="19A0B324" w14:textId="77777777" w:rsidR="00003780" w:rsidRPr="00384552" w:rsidRDefault="00003780" w:rsidP="00003780">
      <w:pPr>
        <w:tabs>
          <w:tab w:val="left" w:pos="142"/>
        </w:tabs>
        <w:rPr>
          <w:rFonts w:cs="Arial"/>
          <w:b/>
          <w:sz w:val="22"/>
          <w:szCs w:val="22"/>
        </w:rPr>
      </w:pPr>
      <w:r w:rsidRPr="00384552">
        <w:rPr>
          <w:rFonts w:cs="Arial"/>
          <w:b/>
          <w:sz w:val="22"/>
          <w:szCs w:val="22"/>
        </w:rPr>
        <w:t>Duración:</w:t>
      </w:r>
    </w:p>
    <w:p w14:paraId="45052C5E" w14:textId="77777777" w:rsidR="00003780" w:rsidRPr="00384552" w:rsidRDefault="00003780" w:rsidP="00003780">
      <w:pPr>
        <w:tabs>
          <w:tab w:val="left" w:pos="142"/>
        </w:tabs>
        <w:rPr>
          <w:rFonts w:cs="Arial"/>
          <w:sz w:val="22"/>
          <w:szCs w:val="22"/>
        </w:rPr>
      </w:pPr>
      <w:r w:rsidRPr="00384552">
        <w:rPr>
          <w:rFonts w:cs="Arial"/>
          <w:sz w:val="22"/>
          <w:szCs w:val="22"/>
        </w:rPr>
        <w:t xml:space="preserve"> Carga horaria cuatro (4) horas.</w:t>
      </w:r>
    </w:p>
    <w:p w14:paraId="7283E624" w14:textId="77777777" w:rsidR="00003780" w:rsidRPr="00384552" w:rsidRDefault="00003780" w:rsidP="00003780">
      <w:pPr>
        <w:tabs>
          <w:tab w:val="left" w:pos="142"/>
        </w:tabs>
        <w:rPr>
          <w:rFonts w:cs="Arial"/>
          <w:sz w:val="22"/>
          <w:szCs w:val="22"/>
        </w:rPr>
      </w:pPr>
    </w:p>
    <w:p w14:paraId="4920E4AB" w14:textId="77777777" w:rsidR="00003780" w:rsidRPr="00384552" w:rsidRDefault="00003780" w:rsidP="00003780">
      <w:pPr>
        <w:tabs>
          <w:tab w:val="left" w:pos="142"/>
        </w:tabs>
        <w:rPr>
          <w:rFonts w:cs="Arial"/>
          <w:b/>
          <w:sz w:val="22"/>
          <w:szCs w:val="22"/>
        </w:rPr>
      </w:pPr>
      <w:r w:rsidRPr="00384552">
        <w:rPr>
          <w:rFonts w:cs="Arial"/>
          <w:b/>
          <w:sz w:val="22"/>
          <w:szCs w:val="22"/>
        </w:rPr>
        <w:t xml:space="preserve"> Producto esperado:</w:t>
      </w:r>
    </w:p>
    <w:p w14:paraId="0DF15C0D" w14:textId="77777777" w:rsidR="00003780" w:rsidRPr="00384552" w:rsidRDefault="00003780" w:rsidP="00003780">
      <w:pPr>
        <w:tabs>
          <w:tab w:val="left" w:pos="142"/>
        </w:tabs>
        <w:rPr>
          <w:rFonts w:cs="Arial"/>
          <w:sz w:val="22"/>
          <w:szCs w:val="22"/>
        </w:rPr>
      </w:pPr>
      <w:r w:rsidRPr="00384552">
        <w:rPr>
          <w:rFonts w:cs="Arial"/>
          <w:sz w:val="22"/>
          <w:szCs w:val="22"/>
        </w:rPr>
        <w:t>2. Ayuda Memoria.</w:t>
      </w:r>
    </w:p>
    <w:p w14:paraId="7F650FB9" w14:textId="77777777" w:rsidR="00003780" w:rsidRPr="00384552" w:rsidRDefault="00003780" w:rsidP="00003780">
      <w:pPr>
        <w:tabs>
          <w:tab w:val="left" w:pos="142"/>
        </w:tabs>
        <w:rPr>
          <w:rFonts w:cs="Arial"/>
          <w:sz w:val="22"/>
          <w:szCs w:val="22"/>
        </w:rPr>
      </w:pPr>
      <w:r w:rsidRPr="00384552">
        <w:rPr>
          <w:rFonts w:cs="Arial"/>
          <w:sz w:val="22"/>
          <w:szCs w:val="22"/>
        </w:rPr>
        <w:t>3. Lista de participantes.</w:t>
      </w:r>
    </w:p>
    <w:p w14:paraId="63192477" w14:textId="77777777" w:rsidR="00003780" w:rsidRPr="00384552" w:rsidRDefault="00003780" w:rsidP="00003780">
      <w:pPr>
        <w:tabs>
          <w:tab w:val="left" w:pos="142"/>
        </w:tabs>
        <w:rPr>
          <w:rFonts w:cs="Arial"/>
          <w:sz w:val="22"/>
          <w:szCs w:val="22"/>
        </w:rPr>
      </w:pPr>
      <w:r w:rsidRPr="00384552">
        <w:rPr>
          <w:rFonts w:cs="Arial"/>
          <w:sz w:val="22"/>
          <w:szCs w:val="22"/>
        </w:rPr>
        <w:t>3. Memoria fotográfica.</w:t>
      </w:r>
    </w:p>
    <w:p w14:paraId="5698D799" w14:textId="77777777" w:rsidR="00003780" w:rsidRPr="00384552" w:rsidRDefault="00003780" w:rsidP="00003780">
      <w:pPr>
        <w:tabs>
          <w:tab w:val="left" w:pos="142"/>
        </w:tabs>
        <w:rPr>
          <w:rFonts w:cs="Arial"/>
          <w:sz w:val="22"/>
          <w:szCs w:val="22"/>
        </w:rPr>
      </w:pPr>
      <w:r w:rsidRPr="00384552">
        <w:rPr>
          <w:rFonts w:cs="Arial"/>
          <w:sz w:val="22"/>
          <w:szCs w:val="22"/>
        </w:rPr>
        <w:t xml:space="preserve">   </w:t>
      </w:r>
    </w:p>
    <w:p w14:paraId="4093F7C7"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Planificar y Realizar Taller de capacitación del Módulo III (Taller No. 7 y 8 ,) Compendio Metodológico.</w:t>
      </w:r>
    </w:p>
    <w:p w14:paraId="0795560D" w14:textId="77777777" w:rsidR="00003780" w:rsidRPr="00384552" w:rsidRDefault="00003780" w:rsidP="00003780">
      <w:pPr>
        <w:tabs>
          <w:tab w:val="left" w:pos="142"/>
        </w:tabs>
        <w:rPr>
          <w:rFonts w:cs="Arial"/>
          <w:sz w:val="22"/>
          <w:szCs w:val="22"/>
        </w:rPr>
      </w:pPr>
    </w:p>
    <w:p w14:paraId="0712F283" w14:textId="77777777" w:rsidR="00003780" w:rsidRPr="00384552" w:rsidRDefault="00003780" w:rsidP="00003780">
      <w:pPr>
        <w:tabs>
          <w:tab w:val="left" w:pos="142"/>
        </w:tabs>
        <w:rPr>
          <w:rFonts w:cs="Arial"/>
          <w:sz w:val="22"/>
          <w:szCs w:val="22"/>
        </w:rPr>
      </w:pPr>
      <w:r w:rsidRPr="00384552">
        <w:rPr>
          <w:rFonts w:cs="Arial"/>
          <w:sz w:val="22"/>
          <w:szCs w:val="22"/>
        </w:rPr>
        <w:lastRenderedPageBreak/>
        <w:t>Utilizando material Didáctico de FISE (cartillas y guías metodológicas), se planifica y realizan dos talleres del Módulo III del Compendio Metodológico Como Participan las comunidades en la ejecución de un proyecto de agua, saneamiento e higiene, cartilla 4 “</w:t>
      </w:r>
      <w:r w:rsidRPr="00384552">
        <w:rPr>
          <w:rFonts w:cs="Arial"/>
          <w:b/>
          <w:sz w:val="22"/>
          <w:szCs w:val="22"/>
        </w:rPr>
        <w:t>Como administramos nuestros servicios de agua”</w:t>
      </w:r>
      <w:r w:rsidRPr="00384552">
        <w:rPr>
          <w:rFonts w:cs="Arial"/>
          <w:sz w:val="22"/>
          <w:szCs w:val="22"/>
        </w:rPr>
        <w:t xml:space="preserve"> talleres No 7 y 8  (con participación de un grupo meta de 18 a 25 protagonistas, integrado por personas de la JD del CAPS, grupo de apoyo, red de promotores/as sociales comunitarios, líderes naturales, gremiales, políticos y religiosos.</w:t>
      </w:r>
    </w:p>
    <w:p w14:paraId="7CEE517F" w14:textId="77777777" w:rsidR="00003780" w:rsidRPr="00384552" w:rsidRDefault="00003780" w:rsidP="00003780">
      <w:pPr>
        <w:tabs>
          <w:tab w:val="left" w:pos="142"/>
        </w:tabs>
        <w:rPr>
          <w:rFonts w:cs="Arial"/>
          <w:b/>
          <w:sz w:val="22"/>
          <w:szCs w:val="22"/>
        </w:rPr>
      </w:pPr>
    </w:p>
    <w:p w14:paraId="5DB96108"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contratista:</w:t>
      </w:r>
    </w:p>
    <w:p w14:paraId="2BCC5F54" w14:textId="77777777" w:rsidR="00003780" w:rsidRPr="00384552" w:rsidRDefault="00003780" w:rsidP="00003780">
      <w:pPr>
        <w:tabs>
          <w:tab w:val="left" w:pos="142"/>
        </w:tabs>
        <w:rPr>
          <w:rFonts w:cs="Arial"/>
          <w:sz w:val="22"/>
          <w:szCs w:val="22"/>
        </w:rPr>
      </w:pPr>
    </w:p>
    <w:p w14:paraId="5A71D0D0" w14:textId="77777777" w:rsidR="00003780" w:rsidRPr="00384552" w:rsidRDefault="00003780" w:rsidP="00003780">
      <w:pPr>
        <w:tabs>
          <w:tab w:val="left" w:pos="142"/>
        </w:tabs>
        <w:rPr>
          <w:rFonts w:cs="Arial"/>
          <w:sz w:val="22"/>
          <w:szCs w:val="22"/>
        </w:rPr>
      </w:pPr>
      <w:r w:rsidRPr="00384552">
        <w:rPr>
          <w:rFonts w:cs="Arial"/>
          <w:sz w:val="22"/>
          <w:szCs w:val="22"/>
        </w:rPr>
        <w:t>1. Cuaderno, lapiceros.</w:t>
      </w:r>
    </w:p>
    <w:p w14:paraId="5B649759" w14:textId="77777777" w:rsidR="00003780" w:rsidRPr="00384552" w:rsidRDefault="00003780" w:rsidP="00003780">
      <w:pPr>
        <w:tabs>
          <w:tab w:val="left" w:pos="142"/>
        </w:tabs>
        <w:rPr>
          <w:rFonts w:cs="Arial"/>
          <w:sz w:val="22"/>
          <w:szCs w:val="22"/>
        </w:rPr>
      </w:pPr>
      <w:r w:rsidRPr="00384552">
        <w:rPr>
          <w:rFonts w:cs="Arial"/>
          <w:sz w:val="22"/>
          <w:szCs w:val="22"/>
        </w:rPr>
        <w:t xml:space="preserve">3. Local para realizar los talleres.  </w:t>
      </w:r>
    </w:p>
    <w:p w14:paraId="3D0F1EBA" w14:textId="77777777" w:rsidR="00003780" w:rsidRPr="00384552" w:rsidRDefault="00003780" w:rsidP="00003780">
      <w:pPr>
        <w:tabs>
          <w:tab w:val="left" w:pos="142"/>
        </w:tabs>
        <w:rPr>
          <w:rFonts w:cs="Arial"/>
          <w:sz w:val="22"/>
          <w:szCs w:val="22"/>
        </w:rPr>
      </w:pPr>
      <w:r w:rsidRPr="00384552">
        <w:rPr>
          <w:rFonts w:cs="Arial"/>
          <w:sz w:val="22"/>
          <w:szCs w:val="22"/>
        </w:rPr>
        <w:t>2. refrigerios/Almuerzos.</w:t>
      </w:r>
    </w:p>
    <w:p w14:paraId="081AA6E8" w14:textId="77777777" w:rsidR="00003780" w:rsidRPr="00384552" w:rsidRDefault="00003780" w:rsidP="00003780">
      <w:pPr>
        <w:tabs>
          <w:tab w:val="left" w:pos="142"/>
        </w:tabs>
        <w:rPr>
          <w:rFonts w:cs="Arial"/>
          <w:sz w:val="22"/>
          <w:szCs w:val="22"/>
        </w:rPr>
      </w:pPr>
    </w:p>
    <w:p w14:paraId="0181C3E3"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Fise:</w:t>
      </w:r>
    </w:p>
    <w:p w14:paraId="6A449861" w14:textId="77777777" w:rsidR="00003780" w:rsidRPr="00384552" w:rsidRDefault="00003780" w:rsidP="00003780">
      <w:pPr>
        <w:tabs>
          <w:tab w:val="left" w:pos="142"/>
        </w:tabs>
        <w:rPr>
          <w:rFonts w:cs="Arial"/>
          <w:sz w:val="22"/>
          <w:szCs w:val="22"/>
        </w:rPr>
      </w:pPr>
      <w:r w:rsidRPr="00384552">
        <w:rPr>
          <w:rFonts w:cs="Arial"/>
          <w:sz w:val="22"/>
          <w:szCs w:val="22"/>
        </w:rPr>
        <w:t>1.  Guía Metodológica.</w:t>
      </w:r>
    </w:p>
    <w:p w14:paraId="6496B4ED" w14:textId="77777777" w:rsidR="00003780" w:rsidRPr="00384552" w:rsidRDefault="00003780" w:rsidP="00003780">
      <w:pPr>
        <w:tabs>
          <w:tab w:val="left" w:pos="142"/>
        </w:tabs>
        <w:rPr>
          <w:rFonts w:cs="Arial"/>
          <w:sz w:val="22"/>
          <w:szCs w:val="22"/>
        </w:rPr>
      </w:pPr>
      <w:r w:rsidRPr="00384552">
        <w:rPr>
          <w:rFonts w:cs="Arial"/>
          <w:sz w:val="22"/>
          <w:szCs w:val="22"/>
        </w:rPr>
        <w:t xml:space="preserve">2.  Módulo 3 Cartilla 5, 6,  </w:t>
      </w:r>
    </w:p>
    <w:p w14:paraId="04A7DECA" w14:textId="77777777" w:rsidR="00003780" w:rsidRPr="00384552" w:rsidRDefault="00003780" w:rsidP="00003780">
      <w:pPr>
        <w:tabs>
          <w:tab w:val="left" w:pos="142"/>
        </w:tabs>
        <w:rPr>
          <w:rFonts w:cs="Arial"/>
          <w:sz w:val="22"/>
          <w:szCs w:val="22"/>
        </w:rPr>
      </w:pPr>
    </w:p>
    <w:p w14:paraId="371A9412" w14:textId="77777777" w:rsidR="00003780" w:rsidRPr="00384552" w:rsidRDefault="00003780" w:rsidP="00003780">
      <w:pPr>
        <w:tabs>
          <w:tab w:val="left" w:pos="142"/>
        </w:tabs>
        <w:rPr>
          <w:rFonts w:cs="Arial"/>
          <w:b/>
          <w:sz w:val="22"/>
          <w:szCs w:val="22"/>
        </w:rPr>
      </w:pPr>
      <w:r w:rsidRPr="00384552">
        <w:rPr>
          <w:rFonts w:cs="Arial"/>
          <w:b/>
          <w:sz w:val="22"/>
          <w:szCs w:val="22"/>
        </w:rPr>
        <w:t>Duración:</w:t>
      </w:r>
    </w:p>
    <w:p w14:paraId="11AF4238" w14:textId="77777777" w:rsidR="00003780" w:rsidRPr="00384552" w:rsidRDefault="00003780" w:rsidP="00003780">
      <w:pPr>
        <w:tabs>
          <w:tab w:val="left" w:pos="142"/>
        </w:tabs>
        <w:rPr>
          <w:rFonts w:cs="Arial"/>
          <w:sz w:val="22"/>
          <w:szCs w:val="22"/>
        </w:rPr>
      </w:pPr>
      <w:r w:rsidRPr="00384552">
        <w:rPr>
          <w:rFonts w:cs="Arial"/>
          <w:sz w:val="22"/>
          <w:szCs w:val="22"/>
        </w:rPr>
        <w:t xml:space="preserve"> Carga horaria cuatro (4) horas.</w:t>
      </w:r>
    </w:p>
    <w:p w14:paraId="0B8C235B" w14:textId="77777777" w:rsidR="00003780" w:rsidRPr="00384552" w:rsidRDefault="00003780" w:rsidP="00003780">
      <w:pPr>
        <w:tabs>
          <w:tab w:val="left" w:pos="142"/>
        </w:tabs>
        <w:rPr>
          <w:rFonts w:cs="Arial"/>
          <w:sz w:val="22"/>
          <w:szCs w:val="22"/>
        </w:rPr>
      </w:pPr>
    </w:p>
    <w:p w14:paraId="1A3518B4" w14:textId="77777777" w:rsidR="00003780" w:rsidRPr="00384552" w:rsidRDefault="00003780" w:rsidP="00003780">
      <w:pPr>
        <w:tabs>
          <w:tab w:val="left" w:pos="142"/>
        </w:tabs>
        <w:rPr>
          <w:rFonts w:cs="Arial"/>
          <w:b/>
          <w:sz w:val="22"/>
          <w:szCs w:val="22"/>
        </w:rPr>
      </w:pPr>
      <w:r w:rsidRPr="00384552">
        <w:rPr>
          <w:rFonts w:cs="Arial"/>
          <w:b/>
          <w:sz w:val="22"/>
          <w:szCs w:val="22"/>
        </w:rPr>
        <w:t xml:space="preserve"> Producto esperado:</w:t>
      </w:r>
    </w:p>
    <w:p w14:paraId="02015F2D" w14:textId="77777777" w:rsidR="00003780" w:rsidRPr="00384552" w:rsidRDefault="00003780" w:rsidP="00003780">
      <w:pPr>
        <w:tabs>
          <w:tab w:val="left" w:pos="142"/>
        </w:tabs>
        <w:rPr>
          <w:rFonts w:cs="Arial"/>
          <w:sz w:val="22"/>
          <w:szCs w:val="22"/>
        </w:rPr>
      </w:pPr>
      <w:r w:rsidRPr="00384552">
        <w:rPr>
          <w:rFonts w:cs="Arial"/>
          <w:sz w:val="22"/>
          <w:szCs w:val="22"/>
        </w:rPr>
        <w:t>2. Ayuda Memoria.</w:t>
      </w:r>
    </w:p>
    <w:p w14:paraId="09ACF427" w14:textId="77777777" w:rsidR="00003780" w:rsidRPr="00384552" w:rsidRDefault="00003780" w:rsidP="00003780">
      <w:pPr>
        <w:tabs>
          <w:tab w:val="left" w:pos="142"/>
        </w:tabs>
        <w:rPr>
          <w:rFonts w:cs="Arial"/>
          <w:sz w:val="22"/>
          <w:szCs w:val="22"/>
        </w:rPr>
      </w:pPr>
      <w:r w:rsidRPr="00384552">
        <w:rPr>
          <w:rFonts w:cs="Arial"/>
          <w:sz w:val="22"/>
          <w:szCs w:val="22"/>
        </w:rPr>
        <w:t>3. Lista de participantes.</w:t>
      </w:r>
    </w:p>
    <w:p w14:paraId="4B1F357D" w14:textId="77777777" w:rsidR="00003780" w:rsidRPr="00384552" w:rsidRDefault="00003780" w:rsidP="00003780">
      <w:pPr>
        <w:tabs>
          <w:tab w:val="left" w:pos="142"/>
        </w:tabs>
        <w:rPr>
          <w:rFonts w:cs="Arial"/>
          <w:sz w:val="22"/>
          <w:szCs w:val="22"/>
        </w:rPr>
      </w:pPr>
      <w:r w:rsidRPr="00384552">
        <w:rPr>
          <w:rFonts w:cs="Arial"/>
          <w:sz w:val="22"/>
          <w:szCs w:val="22"/>
        </w:rPr>
        <w:t>3. Memoria fotográfica.</w:t>
      </w:r>
    </w:p>
    <w:p w14:paraId="0753EB86" w14:textId="77777777" w:rsidR="00003780" w:rsidRPr="00384552" w:rsidRDefault="00003780" w:rsidP="00003780">
      <w:pPr>
        <w:tabs>
          <w:tab w:val="left" w:pos="142"/>
        </w:tabs>
        <w:rPr>
          <w:rFonts w:cs="Arial"/>
          <w:sz w:val="22"/>
          <w:szCs w:val="22"/>
        </w:rPr>
      </w:pPr>
    </w:p>
    <w:p w14:paraId="397F262F"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planificación de realización de talleres de capacitación del módulo III (taller No. 5,6,7 y 8) del compendio metodológico</w:t>
      </w:r>
    </w:p>
    <w:p w14:paraId="5DE89CE2" w14:textId="77777777" w:rsidR="00003780" w:rsidRPr="00384552" w:rsidRDefault="00003780" w:rsidP="00003780">
      <w:pPr>
        <w:tabs>
          <w:tab w:val="left" w:pos="142"/>
        </w:tabs>
        <w:contextualSpacing/>
        <w:rPr>
          <w:rFonts w:cs="Arial"/>
          <w:b/>
          <w:sz w:val="22"/>
          <w:szCs w:val="22"/>
        </w:rPr>
      </w:pPr>
    </w:p>
    <w:p w14:paraId="3FD772B4" w14:textId="77777777" w:rsidR="00003780" w:rsidRPr="00384552" w:rsidRDefault="00003780" w:rsidP="00003780">
      <w:pPr>
        <w:tabs>
          <w:tab w:val="left" w:pos="142"/>
        </w:tabs>
        <w:contextualSpacing/>
        <w:rPr>
          <w:rFonts w:cs="Arial"/>
          <w:i/>
          <w:sz w:val="22"/>
          <w:szCs w:val="22"/>
        </w:rPr>
      </w:pPr>
      <w:r w:rsidRPr="00384552">
        <w:rPr>
          <w:rFonts w:cs="Arial"/>
          <w:sz w:val="22"/>
          <w:szCs w:val="22"/>
        </w:rPr>
        <w:t>El contratista va elaborar un informe de resultados consolidado de la actividad planificada de realización de talleres de capacitación del módulo III del compendio metodológico.</w:t>
      </w:r>
    </w:p>
    <w:p w14:paraId="47582CBF" w14:textId="77777777" w:rsidR="00003780" w:rsidRPr="00384552" w:rsidRDefault="00003780" w:rsidP="00003780">
      <w:pPr>
        <w:tabs>
          <w:tab w:val="left" w:pos="142"/>
        </w:tabs>
        <w:contextualSpacing/>
        <w:rPr>
          <w:rFonts w:cs="Arial"/>
          <w:i/>
          <w:sz w:val="22"/>
          <w:szCs w:val="22"/>
        </w:rPr>
      </w:pPr>
    </w:p>
    <w:p w14:paraId="1CB96E8F" w14:textId="77777777" w:rsidR="00003780" w:rsidRPr="00384552" w:rsidRDefault="00003780" w:rsidP="00003780">
      <w:pPr>
        <w:tabs>
          <w:tab w:val="left" w:pos="142"/>
        </w:tabs>
        <w:contextualSpacing/>
        <w:rPr>
          <w:rFonts w:cs="Arial"/>
          <w:i/>
          <w:sz w:val="22"/>
          <w:szCs w:val="22"/>
        </w:rPr>
      </w:pPr>
      <w:r w:rsidRPr="00384552">
        <w:rPr>
          <w:rFonts w:cs="Arial"/>
          <w:sz w:val="22"/>
          <w:szCs w:val="22"/>
        </w:rPr>
        <w:t>Requerimiento del contratista:</w:t>
      </w:r>
    </w:p>
    <w:p w14:paraId="10D32F41" w14:textId="77777777" w:rsidR="00003780" w:rsidRPr="00384552" w:rsidRDefault="00003780" w:rsidP="00003780">
      <w:pPr>
        <w:tabs>
          <w:tab w:val="left" w:pos="142"/>
        </w:tabs>
        <w:contextualSpacing/>
        <w:rPr>
          <w:rFonts w:cs="Arial"/>
          <w:i/>
          <w:sz w:val="22"/>
          <w:szCs w:val="22"/>
        </w:rPr>
      </w:pPr>
    </w:p>
    <w:p w14:paraId="10C89926" w14:textId="77777777" w:rsidR="00003780" w:rsidRPr="00384552" w:rsidRDefault="00003780" w:rsidP="003B68DB">
      <w:pPr>
        <w:numPr>
          <w:ilvl w:val="0"/>
          <w:numId w:val="125"/>
        </w:numPr>
        <w:tabs>
          <w:tab w:val="left" w:pos="142"/>
        </w:tabs>
        <w:contextualSpacing/>
        <w:rPr>
          <w:rFonts w:cs="Arial"/>
          <w:i/>
          <w:sz w:val="22"/>
          <w:szCs w:val="22"/>
        </w:rPr>
      </w:pPr>
      <w:r w:rsidRPr="00384552">
        <w:rPr>
          <w:rFonts w:cs="Arial"/>
          <w:sz w:val="22"/>
          <w:szCs w:val="22"/>
        </w:rPr>
        <w:t>Papel, impresiones a colores, encuadernado</w:t>
      </w:r>
    </w:p>
    <w:p w14:paraId="7AA7F3AF" w14:textId="77777777" w:rsidR="00003780" w:rsidRPr="00384552" w:rsidRDefault="00003780" w:rsidP="00003780">
      <w:pPr>
        <w:tabs>
          <w:tab w:val="left" w:pos="142"/>
        </w:tabs>
        <w:ind w:left="720"/>
        <w:contextualSpacing/>
        <w:rPr>
          <w:rFonts w:cs="Arial"/>
          <w:i/>
          <w:sz w:val="22"/>
          <w:szCs w:val="22"/>
        </w:rPr>
      </w:pPr>
    </w:p>
    <w:p w14:paraId="183C7936" w14:textId="77777777" w:rsidR="00003780" w:rsidRPr="00384552" w:rsidRDefault="00003780" w:rsidP="00003780">
      <w:pPr>
        <w:tabs>
          <w:tab w:val="left" w:pos="142"/>
        </w:tabs>
        <w:contextualSpacing/>
        <w:rPr>
          <w:rFonts w:cs="Arial"/>
          <w:i/>
          <w:sz w:val="22"/>
          <w:szCs w:val="22"/>
        </w:rPr>
      </w:pPr>
      <w:r w:rsidRPr="00384552">
        <w:rPr>
          <w:rFonts w:cs="Arial"/>
          <w:sz w:val="22"/>
          <w:szCs w:val="22"/>
        </w:rPr>
        <w:t>Producto esperado:</w:t>
      </w:r>
    </w:p>
    <w:p w14:paraId="6302D12D" w14:textId="77777777" w:rsidR="00003780" w:rsidRPr="00384552" w:rsidRDefault="00003780" w:rsidP="00003780">
      <w:pPr>
        <w:tabs>
          <w:tab w:val="left" w:pos="142"/>
        </w:tabs>
        <w:contextualSpacing/>
        <w:rPr>
          <w:rFonts w:cs="Arial"/>
          <w:i/>
          <w:sz w:val="22"/>
          <w:szCs w:val="22"/>
        </w:rPr>
      </w:pPr>
    </w:p>
    <w:p w14:paraId="7E1F8CE7"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Informe de talleres consolidado con resultados obtenidos en los talleres</w:t>
      </w:r>
    </w:p>
    <w:p w14:paraId="1B6D66CB"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Lista de participantes</w:t>
      </w:r>
    </w:p>
    <w:p w14:paraId="4F0D2A60"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Memoria fotográfica</w:t>
      </w:r>
    </w:p>
    <w:p w14:paraId="471F7A4B" w14:textId="77777777" w:rsidR="00003780" w:rsidRPr="00384552" w:rsidRDefault="00003780" w:rsidP="00003780">
      <w:pPr>
        <w:tabs>
          <w:tab w:val="left" w:pos="142"/>
        </w:tabs>
        <w:contextualSpacing/>
        <w:rPr>
          <w:rFonts w:cs="Arial"/>
          <w:i/>
          <w:sz w:val="22"/>
          <w:szCs w:val="22"/>
        </w:rPr>
      </w:pPr>
    </w:p>
    <w:p w14:paraId="1DA36BC9"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 xml:space="preserve">Planificar y Realizar Taller de capacitación del Módulo IV (Talleres No.9 y 10) Compendio Metodológico. (Incluye local, material didáctico, material de apoyo y refrigerio).  </w:t>
      </w:r>
    </w:p>
    <w:p w14:paraId="216ABE03" w14:textId="77777777" w:rsidR="00003780" w:rsidRPr="00384552" w:rsidRDefault="00003780" w:rsidP="00003780">
      <w:pPr>
        <w:tabs>
          <w:tab w:val="left" w:pos="142"/>
        </w:tabs>
        <w:ind w:left="720"/>
        <w:contextualSpacing/>
        <w:rPr>
          <w:rFonts w:cs="Arial"/>
          <w:b/>
          <w:sz w:val="22"/>
          <w:szCs w:val="22"/>
        </w:rPr>
      </w:pPr>
    </w:p>
    <w:p w14:paraId="17083137" w14:textId="77777777" w:rsidR="00003780" w:rsidRPr="00384552" w:rsidRDefault="00003780" w:rsidP="00003780">
      <w:pPr>
        <w:tabs>
          <w:tab w:val="left" w:pos="142"/>
        </w:tabs>
        <w:rPr>
          <w:rFonts w:cs="Arial"/>
          <w:sz w:val="22"/>
          <w:szCs w:val="22"/>
        </w:rPr>
      </w:pPr>
      <w:r w:rsidRPr="00384552">
        <w:rPr>
          <w:rFonts w:cs="Arial"/>
          <w:sz w:val="22"/>
          <w:szCs w:val="22"/>
        </w:rPr>
        <w:t xml:space="preserve">Utilizando material Didáctico de FISE (cartillas y guías metodológicas), se planifica y realizan dos talleres del Módulo IV Operación Mantenimiento de los sistemas de Agua, Saneamiento e Higiene del Compendio Metodológico, con participación de un grupo meta de 18 a 25 protagonistas, integrado por personas de la JD del CAPS, grupo de apoyo, red de promotores/as sociales comunitarios, líderes comunitarios. </w:t>
      </w:r>
    </w:p>
    <w:p w14:paraId="3054C055" w14:textId="77777777" w:rsidR="00003780" w:rsidRPr="00384552" w:rsidRDefault="00003780" w:rsidP="00003780">
      <w:pPr>
        <w:tabs>
          <w:tab w:val="left" w:pos="142"/>
        </w:tabs>
        <w:rPr>
          <w:rFonts w:cs="Arial"/>
          <w:sz w:val="22"/>
          <w:szCs w:val="22"/>
        </w:rPr>
      </w:pPr>
    </w:p>
    <w:p w14:paraId="3E633CF1"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contratista:</w:t>
      </w:r>
    </w:p>
    <w:p w14:paraId="0025CF02" w14:textId="77777777" w:rsidR="00003780" w:rsidRPr="00384552" w:rsidRDefault="00003780" w:rsidP="00003780">
      <w:pPr>
        <w:tabs>
          <w:tab w:val="left" w:pos="142"/>
        </w:tabs>
        <w:rPr>
          <w:rFonts w:cs="Arial"/>
          <w:sz w:val="22"/>
          <w:szCs w:val="22"/>
        </w:rPr>
      </w:pPr>
      <w:r w:rsidRPr="00384552">
        <w:rPr>
          <w:rFonts w:cs="Arial"/>
          <w:sz w:val="22"/>
          <w:szCs w:val="22"/>
        </w:rPr>
        <w:lastRenderedPageBreak/>
        <w:t xml:space="preserve">1. Cuaderno y lapiceros </w:t>
      </w:r>
    </w:p>
    <w:p w14:paraId="458330F4" w14:textId="77777777" w:rsidR="00003780" w:rsidRPr="00384552" w:rsidRDefault="00003780" w:rsidP="00003780">
      <w:pPr>
        <w:tabs>
          <w:tab w:val="left" w:pos="142"/>
        </w:tabs>
        <w:rPr>
          <w:rFonts w:cs="Arial"/>
          <w:sz w:val="22"/>
          <w:szCs w:val="22"/>
        </w:rPr>
      </w:pPr>
      <w:r w:rsidRPr="00384552">
        <w:rPr>
          <w:rFonts w:cs="Arial"/>
          <w:sz w:val="22"/>
          <w:szCs w:val="22"/>
        </w:rPr>
        <w:t>2. Refrigerios.</w:t>
      </w:r>
    </w:p>
    <w:p w14:paraId="54F9E771" w14:textId="77777777" w:rsidR="00003780" w:rsidRPr="00384552" w:rsidRDefault="00003780" w:rsidP="00003780">
      <w:pPr>
        <w:tabs>
          <w:tab w:val="left" w:pos="142"/>
        </w:tabs>
        <w:rPr>
          <w:rFonts w:cs="Arial"/>
          <w:sz w:val="22"/>
          <w:szCs w:val="22"/>
        </w:rPr>
      </w:pPr>
      <w:r w:rsidRPr="00384552">
        <w:rPr>
          <w:rFonts w:cs="Arial"/>
          <w:sz w:val="22"/>
          <w:szCs w:val="22"/>
        </w:rPr>
        <w:t>3. Local para realizar taller.</w:t>
      </w:r>
    </w:p>
    <w:p w14:paraId="1230CA5F" w14:textId="77777777" w:rsidR="00003780" w:rsidRPr="00384552" w:rsidRDefault="00003780" w:rsidP="00003780">
      <w:pPr>
        <w:tabs>
          <w:tab w:val="left" w:pos="142"/>
        </w:tabs>
        <w:rPr>
          <w:rFonts w:cs="Arial"/>
          <w:sz w:val="22"/>
          <w:szCs w:val="22"/>
        </w:rPr>
      </w:pPr>
    </w:p>
    <w:p w14:paraId="74D05CB3"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Fise:</w:t>
      </w:r>
    </w:p>
    <w:p w14:paraId="78813616" w14:textId="77777777" w:rsidR="00003780" w:rsidRPr="00384552" w:rsidRDefault="00003780" w:rsidP="00003780">
      <w:pPr>
        <w:tabs>
          <w:tab w:val="left" w:pos="142"/>
        </w:tabs>
        <w:rPr>
          <w:rFonts w:cs="Arial"/>
          <w:sz w:val="22"/>
          <w:szCs w:val="22"/>
        </w:rPr>
      </w:pPr>
      <w:r w:rsidRPr="00384552">
        <w:rPr>
          <w:rFonts w:cs="Arial"/>
          <w:sz w:val="22"/>
          <w:szCs w:val="22"/>
        </w:rPr>
        <w:t>1. Guía Metodológica.</w:t>
      </w:r>
    </w:p>
    <w:p w14:paraId="1004DBF6" w14:textId="77777777" w:rsidR="00003780" w:rsidRPr="00384552" w:rsidRDefault="00003780" w:rsidP="00003780">
      <w:pPr>
        <w:tabs>
          <w:tab w:val="left" w:pos="142"/>
        </w:tabs>
        <w:rPr>
          <w:rFonts w:cs="Arial"/>
          <w:sz w:val="22"/>
          <w:szCs w:val="22"/>
        </w:rPr>
      </w:pPr>
      <w:r w:rsidRPr="00384552">
        <w:rPr>
          <w:rFonts w:cs="Arial"/>
          <w:sz w:val="22"/>
          <w:szCs w:val="22"/>
        </w:rPr>
        <w:t>2. Cartilla del módulo IV.</w:t>
      </w:r>
    </w:p>
    <w:p w14:paraId="25772A7C" w14:textId="77777777" w:rsidR="00003780" w:rsidRPr="00384552" w:rsidRDefault="00003780" w:rsidP="00003780">
      <w:pPr>
        <w:tabs>
          <w:tab w:val="left" w:pos="142"/>
        </w:tabs>
        <w:rPr>
          <w:rFonts w:cs="Arial"/>
          <w:b/>
          <w:sz w:val="22"/>
          <w:szCs w:val="22"/>
        </w:rPr>
      </w:pPr>
    </w:p>
    <w:p w14:paraId="67A5A0C6"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5815C1F1" w14:textId="77777777" w:rsidR="00003780" w:rsidRPr="00384552" w:rsidRDefault="00003780" w:rsidP="00003780">
      <w:pPr>
        <w:tabs>
          <w:tab w:val="left" w:pos="142"/>
        </w:tabs>
        <w:rPr>
          <w:rFonts w:cs="Arial"/>
          <w:sz w:val="22"/>
          <w:szCs w:val="22"/>
        </w:rPr>
      </w:pPr>
      <w:r w:rsidRPr="00384552">
        <w:rPr>
          <w:rFonts w:cs="Arial"/>
          <w:sz w:val="22"/>
          <w:szCs w:val="22"/>
        </w:rPr>
        <w:t>1. Informe de talleres.</w:t>
      </w:r>
    </w:p>
    <w:p w14:paraId="55BE179C" w14:textId="77777777" w:rsidR="00003780" w:rsidRPr="00384552" w:rsidRDefault="00003780" w:rsidP="00003780">
      <w:pPr>
        <w:tabs>
          <w:tab w:val="left" w:pos="142"/>
        </w:tabs>
        <w:rPr>
          <w:rFonts w:cs="Arial"/>
          <w:sz w:val="22"/>
          <w:szCs w:val="22"/>
        </w:rPr>
      </w:pPr>
      <w:r w:rsidRPr="00384552">
        <w:rPr>
          <w:rFonts w:cs="Arial"/>
          <w:sz w:val="22"/>
          <w:szCs w:val="22"/>
        </w:rPr>
        <w:t>2. Ayuda Memoria.</w:t>
      </w:r>
    </w:p>
    <w:p w14:paraId="789CAC70" w14:textId="77777777" w:rsidR="00003780" w:rsidRPr="00384552" w:rsidRDefault="00003780" w:rsidP="00003780">
      <w:pPr>
        <w:tabs>
          <w:tab w:val="left" w:pos="142"/>
        </w:tabs>
        <w:rPr>
          <w:rFonts w:cs="Arial"/>
          <w:sz w:val="22"/>
          <w:szCs w:val="22"/>
        </w:rPr>
      </w:pPr>
      <w:r w:rsidRPr="00384552">
        <w:rPr>
          <w:rFonts w:cs="Arial"/>
          <w:sz w:val="22"/>
          <w:szCs w:val="22"/>
        </w:rPr>
        <w:t>3. Lista de participantes.</w:t>
      </w:r>
    </w:p>
    <w:p w14:paraId="2D902CB0" w14:textId="77777777" w:rsidR="00003780" w:rsidRPr="00384552" w:rsidRDefault="00003780" w:rsidP="00003780">
      <w:pPr>
        <w:tabs>
          <w:tab w:val="left" w:pos="142"/>
        </w:tabs>
        <w:rPr>
          <w:rFonts w:cs="Arial"/>
          <w:sz w:val="22"/>
          <w:szCs w:val="22"/>
        </w:rPr>
      </w:pPr>
      <w:r w:rsidRPr="00384552">
        <w:rPr>
          <w:rFonts w:cs="Arial"/>
          <w:sz w:val="22"/>
          <w:szCs w:val="22"/>
        </w:rPr>
        <w:t>3. Memoria fotográfica.</w:t>
      </w:r>
    </w:p>
    <w:p w14:paraId="0F0F3A47" w14:textId="77777777" w:rsidR="00003780" w:rsidRPr="00384552" w:rsidRDefault="00003780" w:rsidP="00003780">
      <w:pPr>
        <w:tabs>
          <w:tab w:val="left" w:pos="142"/>
        </w:tabs>
        <w:rPr>
          <w:rFonts w:cs="Arial"/>
          <w:sz w:val="22"/>
          <w:szCs w:val="22"/>
        </w:rPr>
      </w:pPr>
    </w:p>
    <w:p w14:paraId="563B5D34" w14:textId="77777777" w:rsidR="00003780" w:rsidRPr="00384552" w:rsidRDefault="00003780" w:rsidP="00003780">
      <w:pPr>
        <w:tabs>
          <w:tab w:val="left" w:pos="142"/>
        </w:tabs>
        <w:rPr>
          <w:rFonts w:cs="Arial"/>
          <w:sz w:val="22"/>
          <w:szCs w:val="22"/>
        </w:rPr>
      </w:pPr>
      <w:r w:rsidRPr="00384552">
        <w:rPr>
          <w:rFonts w:cs="Arial"/>
          <w:sz w:val="22"/>
          <w:szCs w:val="22"/>
        </w:rPr>
        <w:t xml:space="preserve">Duración de cuatro (4) horas. </w:t>
      </w:r>
    </w:p>
    <w:p w14:paraId="3E73828F" w14:textId="77777777" w:rsidR="00003780" w:rsidRPr="00384552" w:rsidRDefault="00003780" w:rsidP="00003780">
      <w:pPr>
        <w:tabs>
          <w:tab w:val="left" w:pos="142"/>
        </w:tabs>
        <w:rPr>
          <w:rFonts w:cs="Arial"/>
          <w:sz w:val="22"/>
          <w:szCs w:val="22"/>
        </w:rPr>
      </w:pPr>
    </w:p>
    <w:p w14:paraId="70648CA6"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planificación de realización de talleres de capacitación del módulo III (taller No. 9 y 10) del compendio metodológico</w:t>
      </w:r>
    </w:p>
    <w:p w14:paraId="5C74C14D" w14:textId="77777777" w:rsidR="00003780" w:rsidRPr="00384552" w:rsidRDefault="00003780" w:rsidP="00003780">
      <w:pPr>
        <w:tabs>
          <w:tab w:val="left" w:pos="142"/>
        </w:tabs>
        <w:contextualSpacing/>
        <w:rPr>
          <w:rFonts w:cs="Arial"/>
          <w:b/>
          <w:sz w:val="22"/>
          <w:szCs w:val="22"/>
        </w:rPr>
      </w:pPr>
    </w:p>
    <w:p w14:paraId="062890B3" w14:textId="77777777" w:rsidR="00003780" w:rsidRPr="00384552" w:rsidRDefault="00003780" w:rsidP="00003780">
      <w:pPr>
        <w:tabs>
          <w:tab w:val="left" w:pos="142"/>
        </w:tabs>
        <w:contextualSpacing/>
        <w:rPr>
          <w:rFonts w:cs="Arial"/>
          <w:i/>
          <w:sz w:val="22"/>
          <w:szCs w:val="22"/>
        </w:rPr>
      </w:pPr>
      <w:r w:rsidRPr="00384552">
        <w:rPr>
          <w:rFonts w:cs="Arial"/>
          <w:sz w:val="22"/>
          <w:szCs w:val="22"/>
        </w:rPr>
        <w:t>El contratista va elaborar un informe de resultados consolidado de la actividad planificada de realización de talleres de capacitación del módulo III del compendio metodológico.</w:t>
      </w:r>
    </w:p>
    <w:p w14:paraId="5D43E1D1" w14:textId="77777777" w:rsidR="00003780" w:rsidRPr="00384552" w:rsidRDefault="00003780" w:rsidP="00003780">
      <w:pPr>
        <w:tabs>
          <w:tab w:val="left" w:pos="142"/>
        </w:tabs>
        <w:contextualSpacing/>
        <w:rPr>
          <w:rFonts w:cs="Arial"/>
          <w:i/>
          <w:sz w:val="22"/>
          <w:szCs w:val="22"/>
        </w:rPr>
      </w:pPr>
    </w:p>
    <w:p w14:paraId="103AF103" w14:textId="77777777" w:rsidR="00003780" w:rsidRPr="00384552" w:rsidRDefault="00003780" w:rsidP="00003780">
      <w:pPr>
        <w:tabs>
          <w:tab w:val="left" w:pos="142"/>
        </w:tabs>
        <w:contextualSpacing/>
        <w:rPr>
          <w:rFonts w:cs="Arial"/>
          <w:i/>
          <w:sz w:val="22"/>
          <w:szCs w:val="22"/>
        </w:rPr>
      </w:pPr>
      <w:r w:rsidRPr="00384552">
        <w:rPr>
          <w:rFonts w:cs="Arial"/>
          <w:sz w:val="22"/>
          <w:szCs w:val="22"/>
        </w:rPr>
        <w:t>Requerimiento del contratista:</w:t>
      </w:r>
    </w:p>
    <w:p w14:paraId="403CAAA6" w14:textId="77777777" w:rsidR="00003780" w:rsidRPr="00384552" w:rsidRDefault="00003780" w:rsidP="00003780">
      <w:pPr>
        <w:tabs>
          <w:tab w:val="left" w:pos="142"/>
        </w:tabs>
        <w:contextualSpacing/>
        <w:rPr>
          <w:rFonts w:cs="Arial"/>
          <w:i/>
          <w:sz w:val="22"/>
          <w:szCs w:val="22"/>
        </w:rPr>
      </w:pPr>
    </w:p>
    <w:p w14:paraId="726B82BC" w14:textId="77777777" w:rsidR="00003780" w:rsidRPr="00384552" w:rsidRDefault="00003780" w:rsidP="003B68DB">
      <w:pPr>
        <w:numPr>
          <w:ilvl w:val="0"/>
          <w:numId w:val="125"/>
        </w:numPr>
        <w:tabs>
          <w:tab w:val="left" w:pos="142"/>
        </w:tabs>
        <w:contextualSpacing/>
        <w:rPr>
          <w:rFonts w:cs="Arial"/>
          <w:i/>
          <w:sz w:val="22"/>
          <w:szCs w:val="22"/>
        </w:rPr>
      </w:pPr>
      <w:r w:rsidRPr="00384552">
        <w:rPr>
          <w:rFonts w:cs="Arial"/>
          <w:sz w:val="22"/>
          <w:szCs w:val="22"/>
        </w:rPr>
        <w:t>Papel, impresiones a colores, encuadernado</w:t>
      </w:r>
    </w:p>
    <w:p w14:paraId="21835DBC" w14:textId="77777777" w:rsidR="00003780" w:rsidRPr="00384552" w:rsidRDefault="00003780" w:rsidP="00003780">
      <w:pPr>
        <w:tabs>
          <w:tab w:val="left" w:pos="142"/>
        </w:tabs>
        <w:ind w:left="720"/>
        <w:contextualSpacing/>
        <w:rPr>
          <w:rFonts w:cs="Arial"/>
          <w:i/>
          <w:sz w:val="22"/>
          <w:szCs w:val="22"/>
        </w:rPr>
      </w:pPr>
    </w:p>
    <w:p w14:paraId="47AFBD74" w14:textId="77777777" w:rsidR="00003780" w:rsidRPr="00384552" w:rsidRDefault="00003780" w:rsidP="00003780">
      <w:pPr>
        <w:tabs>
          <w:tab w:val="left" w:pos="142"/>
        </w:tabs>
        <w:contextualSpacing/>
        <w:rPr>
          <w:rFonts w:cs="Arial"/>
          <w:i/>
          <w:sz w:val="22"/>
          <w:szCs w:val="22"/>
        </w:rPr>
      </w:pPr>
      <w:r w:rsidRPr="00384552">
        <w:rPr>
          <w:rFonts w:cs="Arial"/>
          <w:sz w:val="22"/>
          <w:szCs w:val="22"/>
        </w:rPr>
        <w:t>Producto esperado:</w:t>
      </w:r>
    </w:p>
    <w:p w14:paraId="3C03E1E8" w14:textId="77777777" w:rsidR="00003780" w:rsidRPr="00384552" w:rsidRDefault="00003780" w:rsidP="00003780">
      <w:pPr>
        <w:tabs>
          <w:tab w:val="left" w:pos="142"/>
        </w:tabs>
        <w:contextualSpacing/>
        <w:rPr>
          <w:rFonts w:cs="Arial"/>
          <w:i/>
          <w:sz w:val="22"/>
          <w:szCs w:val="22"/>
        </w:rPr>
      </w:pPr>
    </w:p>
    <w:p w14:paraId="7BFE6828"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Informe de talleres consolidado con resultados obtenidos en los talleres</w:t>
      </w:r>
    </w:p>
    <w:p w14:paraId="69EEAF6E"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Lista de participantes</w:t>
      </w:r>
    </w:p>
    <w:p w14:paraId="04CCF431"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Memoria fotográfica</w:t>
      </w:r>
    </w:p>
    <w:p w14:paraId="45C0BE7D" w14:textId="77777777" w:rsidR="00003780" w:rsidRPr="00384552" w:rsidRDefault="00003780" w:rsidP="00003780">
      <w:pPr>
        <w:tabs>
          <w:tab w:val="left" w:pos="142"/>
        </w:tabs>
        <w:contextualSpacing/>
        <w:rPr>
          <w:rFonts w:cs="Arial"/>
          <w:i/>
          <w:sz w:val="22"/>
          <w:szCs w:val="22"/>
        </w:rPr>
      </w:pPr>
    </w:p>
    <w:p w14:paraId="0E588E37"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Planificar y Realización de Taller de capacitación dirigido a promotores(as) sociales comunitarios para implementación de metodología FCSA. Elaborar Informe de Planificación y realización de taller FCSA.</w:t>
      </w:r>
    </w:p>
    <w:p w14:paraId="76548E6C" w14:textId="77777777" w:rsidR="00003780" w:rsidRPr="00384552" w:rsidRDefault="00003780" w:rsidP="00003780">
      <w:pPr>
        <w:tabs>
          <w:tab w:val="left" w:pos="142"/>
        </w:tabs>
        <w:ind w:left="720"/>
        <w:contextualSpacing/>
        <w:rPr>
          <w:rFonts w:cs="Arial"/>
          <w:b/>
          <w:sz w:val="22"/>
          <w:szCs w:val="22"/>
        </w:rPr>
      </w:pPr>
    </w:p>
    <w:p w14:paraId="24E8B927" w14:textId="77777777" w:rsidR="00003780" w:rsidRPr="00384552" w:rsidRDefault="00003780" w:rsidP="00003780">
      <w:pPr>
        <w:tabs>
          <w:tab w:val="left" w:pos="142"/>
        </w:tabs>
        <w:rPr>
          <w:rFonts w:cs="Arial"/>
          <w:sz w:val="22"/>
          <w:szCs w:val="22"/>
        </w:rPr>
      </w:pPr>
      <w:r w:rsidRPr="00384552">
        <w:rPr>
          <w:rFonts w:cs="Arial"/>
          <w:sz w:val="22"/>
          <w:szCs w:val="22"/>
        </w:rPr>
        <w:t>Utilizando material Didáctico de FISE (guía del promotor comunitario, cuaderno para promotores comunitarios, ficha familiar, gotitas alegres, tarjetas SARAR, gota alegre grande), se planifica y realiza taller para Implementación de Metodología Familia y Comunidad Saludable-FCSA), con participación de un promotor/ra por cada diez (10) viviendas beneficiarias directas con el proyecto.</w:t>
      </w:r>
    </w:p>
    <w:p w14:paraId="0F13C0A6" w14:textId="77777777" w:rsidR="00003780" w:rsidRPr="00384552" w:rsidRDefault="00003780" w:rsidP="00003780">
      <w:pPr>
        <w:tabs>
          <w:tab w:val="left" w:pos="142"/>
        </w:tabs>
        <w:rPr>
          <w:rFonts w:cs="Arial"/>
          <w:sz w:val="22"/>
          <w:szCs w:val="22"/>
        </w:rPr>
      </w:pPr>
    </w:p>
    <w:p w14:paraId="03D24B9E" w14:textId="77777777" w:rsidR="00003780" w:rsidRPr="00384552" w:rsidRDefault="00003780" w:rsidP="00003780">
      <w:pPr>
        <w:tabs>
          <w:tab w:val="left" w:pos="142"/>
        </w:tabs>
        <w:rPr>
          <w:rFonts w:cs="Arial"/>
          <w:b/>
          <w:sz w:val="22"/>
          <w:szCs w:val="22"/>
        </w:rPr>
      </w:pPr>
      <w:r w:rsidRPr="00384552">
        <w:rPr>
          <w:rFonts w:cs="Arial"/>
          <w:b/>
          <w:sz w:val="22"/>
          <w:szCs w:val="22"/>
        </w:rPr>
        <w:t xml:space="preserve">Requerimiento del Contratista: (Incluye local, material didáctico, material de apoyo y refrigerio).  </w:t>
      </w:r>
    </w:p>
    <w:p w14:paraId="35AB9F6D" w14:textId="77777777" w:rsidR="00003780" w:rsidRPr="00384552" w:rsidRDefault="00003780" w:rsidP="00003780">
      <w:pPr>
        <w:tabs>
          <w:tab w:val="left" w:pos="142"/>
        </w:tabs>
        <w:rPr>
          <w:rFonts w:cs="Arial"/>
          <w:sz w:val="22"/>
          <w:szCs w:val="22"/>
        </w:rPr>
      </w:pPr>
      <w:r w:rsidRPr="00384552">
        <w:rPr>
          <w:rFonts w:cs="Arial"/>
          <w:sz w:val="22"/>
          <w:szCs w:val="22"/>
        </w:rPr>
        <w:t>1. Cuadernos.</w:t>
      </w:r>
    </w:p>
    <w:p w14:paraId="140FE6D3" w14:textId="77777777" w:rsidR="00003780" w:rsidRPr="00384552" w:rsidRDefault="00003780" w:rsidP="00003780">
      <w:pPr>
        <w:tabs>
          <w:tab w:val="left" w:pos="142"/>
        </w:tabs>
        <w:rPr>
          <w:rFonts w:cs="Arial"/>
          <w:sz w:val="22"/>
          <w:szCs w:val="22"/>
        </w:rPr>
      </w:pPr>
      <w:r w:rsidRPr="00384552">
        <w:rPr>
          <w:rFonts w:cs="Arial"/>
          <w:sz w:val="22"/>
          <w:szCs w:val="22"/>
        </w:rPr>
        <w:t>2. Lapiceros.</w:t>
      </w:r>
    </w:p>
    <w:p w14:paraId="4116F868" w14:textId="77777777" w:rsidR="00003780" w:rsidRPr="00384552" w:rsidRDefault="00003780" w:rsidP="00003780">
      <w:pPr>
        <w:tabs>
          <w:tab w:val="left" w:pos="142"/>
        </w:tabs>
        <w:rPr>
          <w:rFonts w:cs="Arial"/>
          <w:sz w:val="22"/>
          <w:szCs w:val="22"/>
        </w:rPr>
      </w:pPr>
      <w:r w:rsidRPr="00384552">
        <w:rPr>
          <w:rFonts w:cs="Arial"/>
          <w:sz w:val="22"/>
          <w:szCs w:val="22"/>
        </w:rPr>
        <w:t>3. Guía del promotor comunitario.</w:t>
      </w:r>
    </w:p>
    <w:p w14:paraId="294479C3" w14:textId="77777777" w:rsidR="00003780" w:rsidRPr="00384552" w:rsidRDefault="00003780" w:rsidP="00003780">
      <w:pPr>
        <w:tabs>
          <w:tab w:val="left" w:pos="142"/>
        </w:tabs>
        <w:rPr>
          <w:rFonts w:cs="Arial"/>
          <w:sz w:val="22"/>
          <w:szCs w:val="22"/>
        </w:rPr>
      </w:pPr>
      <w:r w:rsidRPr="00384552">
        <w:rPr>
          <w:rFonts w:cs="Arial"/>
          <w:sz w:val="22"/>
          <w:szCs w:val="22"/>
        </w:rPr>
        <w:t>4. Cuadernos de registro de vistas FCSA.</w:t>
      </w:r>
    </w:p>
    <w:p w14:paraId="42FFE85C" w14:textId="77777777" w:rsidR="00003780" w:rsidRPr="00384552" w:rsidRDefault="00003780" w:rsidP="00003780">
      <w:pPr>
        <w:tabs>
          <w:tab w:val="left" w:pos="142"/>
        </w:tabs>
        <w:rPr>
          <w:rFonts w:cs="Arial"/>
          <w:sz w:val="22"/>
          <w:szCs w:val="22"/>
        </w:rPr>
      </w:pPr>
      <w:r w:rsidRPr="00384552">
        <w:rPr>
          <w:rFonts w:cs="Arial"/>
          <w:sz w:val="22"/>
          <w:szCs w:val="22"/>
        </w:rPr>
        <w:t>5. Refrigerios/ Almuerzos</w:t>
      </w:r>
    </w:p>
    <w:p w14:paraId="6E81E5F0" w14:textId="77777777" w:rsidR="00003780" w:rsidRPr="00384552" w:rsidRDefault="00003780" w:rsidP="00003780">
      <w:pPr>
        <w:tabs>
          <w:tab w:val="left" w:pos="142"/>
        </w:tabs>
        <w:rPr>
          <w:rFonts w:cs="Arial"/>
          <w:sz w:val="22"/>
          <w:szCs w:val="22"/>
        </w:rPr>
      </w:pPr>
      <w:r w:rsidRPr="00384552">
        <w:rPr>
          <w:rFonts w:cs="Arial"/>
          <w:sz w:val="22"/>
          <w:szCs w:val="22"/>
        </w:rPr>
        <w:t>6. Local para realizar taller.</w:t>
      </w:r>
    </w:p>
    <w:p w14:paraId="085F2433" w14:textId="77777777" w:rsidR="00003780" w:rsidRPr="00384552" w:rsidRDefault="00003780" w:rsidP="00003780">
      <w:pPr>
        <w:tabs>
          <w:tab w:val="left" w:pos="142"/>
        </w:tabs>
        <w:rPr>
          <w:rFonts w:cs="Arial"/>
          <w:sz w:val="22"/>
          <w:szCs w:val="22"/>
        </w:rPr>
      </w:pPr>
      <w:r w:rsidRPr="00384552">
        <w:rPr>
          <w:rFonts w:cs="Arial"/>
          <w:sz w:val="22"/>
          <w:szCs w:val="22"/>
        </w:rPr>
        <w:t>7. Listado del número de viviendas a intervenir con FCSA.</w:t>
      </w:r>
    </w:p>
    <w:p w14:paraId="44FC5D51" w14:textId="77777777" w:rsidR="00003780" w:rsidRPr="00384552" w:rsidRDefault="00003780" w:rsidP="00003780">
      <w:pPr>
        <w:tabs>
          <w:tab w:val="left" w:pos="142"/>
        </w:tabs>
        <w:rPr>
          <w:rFonts w:cs="Arial"/>
          <w:sz w:val="22"/>
          <w:szCs w:val="22"/>
        </w:rPr>
      </w:pPr>
    </w:p>
    <w:p w14:paraId="2094CD63" w14:textId="77777777" w:rsidR="00003780" w:rsidRPr="00384552" w:rsidRDefault="00003780" w:rsidP="00003780">
      <w:pPr>
        <w:tabs>
          <w:tab w:val="left" w:pos="142"/>
        </w:tabs>
        <w:rPr>
          <w:rFonts w:cs="Arial"/>
          <w:b/>
          <w:sz w:val="22"/>
          <w:szCs w:val="22"/>
        </w:rPr>
      </w:pPr>
      <w:r w:rsidRPr="00384552">
        <w:rPr>
          <w:rFonts w:cs="Arial"/>
          <w:b/>
          <w:sz w:val="22"/>
          <w:szCs w:val="22"/>
        </w:rPr>
        <w:lastRenderedPageBreak/>
        <w:t>Requerimiento de Fise:</w:t>
      </w:r>
    </w:p>
    <w:p w14:paraId="07980418" w14:textId="77777777" w:rsidR="00003780" w:rsidRPr="00384552" w:rsidRDefault="00003780" w:rsidP="00003780">
      <w:pPr>
        <w:tabs>
          <w:tab w:val="left" w:pos="142"/>
        </w:tabs>
        <w:rPr>
          <w:rFonts w:cs="Arial"/>
          <w:sz w:val="22"/>
          <w:szCs w:val="22"/>
        </w:rPr>
      </w:pPr>
      <w:r w:rsidRPr="00384552">
        <w:rPr>
          <w:rFonts w:cs="Arial"/>
          <w:sz w:val="22"/>
          <w:szCs w:val="22"/>
        </w:rPr>
        <w:t>1. Fichas Familiares.</w:t>
      </w:r>
    </w:p>
    <w:p w14:paraId="6DE1B7E0" w14:textId="77777777" w:rsidR="00003780" w:rsidRPr="00384552" w:rsidRDefault="00003780" w:rsidP="00003780">
      <w:pPr>
        <w:tabs>
          <w:tab w:val="left" w:pos="142"/>
        </w:tabs>
        <w:rPr>
          <w:rFonts w:cs="Arial"/>
          <w:sz w:val="22"/>
          <w:szCs w:val="22"/>
        </w:rPr>
      </w:pPr>
      <w:r w:rsidRPr="00384552">
        <w:rPr>
          <w:rFonts w:cs="Arial"/>
          <w:sz w:val="22"/>
          <w:szCs w:val="22"/>
        </w:rPr>
        <w:t>2. Afiche de Saneamiento.</w:t>
      </w:r>
    </w:p>
    <w:p w14:paraId="0757FE32" w14:textId="77777777" w:rsidR="00003780" w:rsidRPr="00384552" w:rsidRDefault="00003780" w:rsidP="00003780">
      <w:pPr>
        <w:tabs>
          <w:tab w:val="left" w:pos="142"/>
        </w:tabs>
        <w:rPr>
          <w:rFonts w:cs="Arial"/>
          <w:sz w:val="22"/>
          <w:szCs w:val="22"/>
        </w:rPr>
      </w:pPr>
      <w:r w:rsidRPr="00384552">
        <w:rPr>
          <w:rFonts w:cs="Arial"/>
          <w:sz w:val="22"/>
          <w:szCs w:val="22"/>
        </w:rPr>
        <w:t>3. Afiche de Lavado de mano.</w:t>
      </w:r>
    </w:p>
    <w:p w14:paraId="55BF7458" w14:textId="77777777" w:rsidR="00003780" w:rsidRPr="00384552" w:rsidRDefault="00003780" w:rsidP="00003780">
      <w:pPr>
        <w:tabs>
          <w:tab w:val="left" w:pos="142"/>
        </w:tabs>
        <w:rPr>
          <w:rFonts w:cs="Arial"/>
          <w:sz w:val="22"/>
          <w:szCs w:val="22"/>
        </w:rPr>
      </w:pPr>
    </w:p>
    <w:p w14:paraId="2CDF25F1"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07BF5D74" w14:textId="77777777" w:rsidR="00003780" w:rsidRPr="00384552" w:rsidRDefault="00003780" w:rsidP="00003780">
      <w:pPr>
        <w:tabs>
          <w:tab w:val="left" w:pos="142"/>
        </w:tabs>
        <w:rPr>
          <w:rFonts w:cs="Arial"/>
          <w:sz w:val="22"/>
          <w:szCs w:val="22"/>
        </w:rPr>
      </w:pPr>
    </w:p>
    <w:p w14:paraId="5370E8E1" w14:textId="77777777" w:rsidR="00003780" w:rsidRPr="00384552" w:rsidRDefault="00003780" w:rsidP="003B68DB">
      <w:pPr>
        <w:numPr>
          <w:ilvl w:val="0"/>
          <w:numId w:val="123"/>
        </w:numPr>
        <w:tabs>
          <w:tab w:val="left" w:pos="142"/>
        </w:tabs>
        <w:rPr>
          <w:rFonts w:cs="Arial"/>
          <w:sz w:val="22"/>
          <w:szCs w:val="22"/>
        </w:rPr>
      </w:pPr>
      <w:r w:rsidRPr="00384552">
        <w:rPr>
          <w:rFonts w:cs="Arial"/>
          <w:sz w:val="22"/>
          <w:szCs w:val="22"/>
        </w:rPr>
        <w:t>Informe de taller a promotores/ as para la implementación de FCSA. (Con su lista de asistencia y ayuda memoria).</w:t>
      </w:r>
    </w:p>
    <w:p w14:paraId="2DA2F35B" w14:textId="77777777" w:rsidR="00003780" w:rsidRPr="00384552" w:rsidRDefault="00003780" w:rsidP="003B68DB">
      <w:pPr>
        <w:numPr>
          <w:ilvl w:val="0"/>
          <w:numId w:val="123"/>
        </w:numPr>
        <w:tabs>
          <w:tab w:val="left" w:pos="142"/>
        </w:tabs>
        <w:rPr>
          <w:rFonts w:cs="Arial"/>
          <w:sz w:val="22"/>
          <w:szCs w:val="22"/>
        </w:rPr>
      </w:pPr>
      <w:r w:rsidRPr="00384552">
        <w:rPr>
          <w:rFonts w:cs="Arial"/>
          <w:sz w:val="22"/>
          <w:szCs w:val="22"/>
        </w:rPr>
        <w:t>Cada promotor/a ha recibido el material FCSA correspondiente para 10 viviendas beneficiadas directas del proyecto.</w:t>
      </w:r>
    </w:p>
    <w:p w14:paraId="5F5EA7F3" w14:textId="77777777" w:rsidR="00003780" w:rsidRPr="00384552" w:rsidRDefault="00003780" w:rsidP="00003780">
      <w:pPr>
        <w:tabs>
          <w:tab w:val="left" w:pos="142"/>
        </w:tabs>
        <w:rPr>
          <w:rFonts w:cs="Arial"/>
          <w:sz w:val="22"/>
          <w:szCs w:val="22"/>
        </w:rPr>
      </w:pPr>
    </w:p>
    <w:p w14:paraId="4D5DF077"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la Promoción y aseguramiento del cumplimiento de los aportes comunitarios del fondo social comunitario (FSC) cuota No.3 y No.4.</w:t>
      </w:r>
    </w:p>
    <w:p w14:paraId="27DEE13F" w14:textId="77777777" w:rsidR="00003780" w:rsidRPr="00384552" w:rsidRDefault="00003780" w:rsidP="00003780">
      <w:pPr>
        <w:tabs>
          <w:tab w:val="left" w:pos="142"/>
        </w:tabs>
        <w:rPr>
          <w:rFonts w:cs="Arial"/>
          <w:b/>
          <w:sz w:val="22"/>
          <w:szCs w:val="22"/>
        </w:rPr>
      </w:pPr>
    </w:p>
    <w:p w14:paraId="2C73E376" w14:textId="77777777" w:rsidR="00003780" w:rsidRPr="00384552" w:rsidRDefault="00003780" w:rsidP="00003780">
      <w:pPr>
        <w:tabs>
          <w:tab w:val="left" w:pos="142"/>
        </w:tabs>
        <w:rPr>
          <w:rFonts w:cs="Arial"/>
          <w:sz w:val="22"/>
          <w:szCs w:val="22"/>
        </w:rPr>
      </w:pPr>
      <w:r w:rsidRPr="00384552">
        <w:rPr>
          <w:rFonts w:cs="Arial"/>
          <w:sz w:val="22"/>
          <w:szCs w:val="22"/>
        </w:rPr>
        <w:t xml:space="preserve">Es responsabilidad del contratista, la recolecta del fondo social comunitario y de garantizar el cumplimiento de los protagonistas del 100% de las cuotas en efectivo del Fondo Social Comunitario (FSC), en base al costo de la tarifa mensual del agua establecida y aprobada en asamblea final de concertación del proyecto formulado. </w:t>
      </w:r>
    </w:p>
    <w:p w14:paraId="74E9FAD5" w14:textId="77777777" w:rsidR="00003780" w:rsidRPr="00384552" w:rsidRDefault="00003780" w:rsidP="00003780">
      <w:pPr>
        <w:tabs>
          <w:tab w:val="left" w:pos="142"/>
        </w:tabs>
        <w:rPr>
          <w:rFonts w:cs="Arial"/>
          <w:sz w:val="22"/>
          <w:szCs w:val="22"/>
        </w:rPr>
      </w:pPr>
    </w:p>
    <w:p w14:paraId="4F48BCD5" w14:textId="77777777" w:rsidR="00003780" w:rsidRPr="00384552" w:rsidRDefault="00003780" w:rsidP="00003780">
      <w:pPr>
        <w:tabs>
          <w:tab w:val="left" w:pos="142"/>
        </w:tabs>
        <w:rPr>
          <w:rFonts w:cs="Arial"/>
          <w:sz w:val="22"/>
          <w:szCs w:val="22"/>
        </w:rPr>
      </w:pPr>
      <w:r w:rsidRPr="00384552">
        <w:rPr>
          <w:rFonts w:cs="Arial"/>
          <w:sz w:val="22"/>
          <w:szCs w:val="22"/>
        </w:rPr>
        <w:t xml:space="preserve">Para el cumplimiento de esta actividad, el contratista coordinará con personas de la JD del CAPS, grupo de apoyo, red de promotores sociales comunitarios, Alcaldía Municipal / GTI, las visitas domiciliares y/o estrategia acordada para garantizar su cumplimiento. La persona tesorero/ra de la JD del CAPS, será la responsable de resguardar el dinero recolectado para su posterior depósito en cuanta bancaria del CAPS. </w:t>
      </w:r>
    </w:p>
    <w:p w14:paraId="3481102C" w14:textId="77777777" w:rsidR="00003780" w:rsidRPr="00384552" w:rsidRDefault="00003780" w:rsidP="00003780">
      <w:pPr>
        <w:tabs>
          <w:tab w:val="left" w:pos="142"/>
        </w:tabs>
        <w:rPr>
          <w:rFonts w:cs="Arial"/>
          <w:sz w:val="22"/>
          <w:szCs w:val="22"/>
        </w:rPr>
      </w:pPr>
    </w:p>
    <w:p w14:paraId="565624D3" w14:textId="77777777" w:rsidR="00003780" w:rsidRPr="00384552" w:rsidRDefault="00003780" w:rsidP="00003780">
      <w:pPr>
        <w:tabs>
          <w:tab w:val="left" w:pos="142"/>
        </w:tabs>
        <w:rPr>
          <w:rFonts w:cs="Arial"/>
          <w:b/>
          <w:sz w:val="22"/>
          <w:szCs w:val="22"/>
        </w:rPr>
      </w:pPr>
      <w:r w:rsidRPr="00384552">
        <w:rPr>
          <w:rFonts w:cs="Arial"/>
          <w:b/>
          <w:sz w:val="22"/>
          <w:szCs w:val="22"/>
        </w:rPr>
        <w:t>Instrumentos:</w:t>
      </w:r>
    </w:p>
    <w:p w14:paraId="41CF9F60" w14:textId="77777777" w:rsidR="00003780" w:rsidRPr="00384552" w:rsidRDefault="00003780" w:rsidP="00003780">
      <w:pPr>
        <w:tabs>
          <w:tab w:val="left" w:pos="142"/>
        </w:tabs>
        <w:rPr>
          <w:rFonts w:cs="Arial"/>
          <w:sz w:val="22"/>
          <w:szCs w:val="22"/>
        </w:rPr>
      </w:pPr>
      <w:r w:rsidRPr="00384552">
        <w:rPr>
          <w:rFonts w:cs="Arial"/>
          <w:sz w:val="22"/>
          <w:szCs w:val="22"/>
        </w:rPr>
        <w:t xml:space="preserve">1.  control de pago del FSC establecidos por FISE, los cuales serán presentados en informes requeridos, en los productos del contrato.  </w:t>
      </w:r>
    </w:p>
    <w:p w14:paraId="5521EEDB" w14:textId="77777777" w:rsidR="00003780" w:rsidRPr="00384552" w:rsidRDefault="00003780" w:rsidP="00003780">
      <w:pPr>
        <w:tabs>
          <w:tab w:val="left" w:pos="142"/>
        </w:tabs>
        <w:rPr>
          <w:rFonts w:cs="Arial"/>
          <w:b/>
          <w:sz w:val="22"/>
          <w:szCs w:val="22"/>
        </w:rPr>
      </w:pPr>
    </w:p>
    <w:p w14:paraId="11D51E41"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37F65D29" w14:textId="77777777" w:rsidR="00003780" w:rsidRPr="00384552" w:rsidRDefault="00003780" w:rsidP="00003780">
      <w:pPr>
        <w:tabs>
          <w:tab w:val="left" w:pos="142"/>
        </w:tabs>
        <w:rPr>
          <w:rFonts w:cs="Arial"/>
          <w:sz w:val="22"/>
          <w:szCs w:val="22"/>
        </w:rPr>
      </w:pPr>
      <w:r w:rsidRPr="00384552">
        <w:rPr>
          <w:rFonts w:cs="Arial"/>
          <w:sz w:val="22"/>
          <w:szCs w:val="22"/>
        </w:rPr>
        <w:t>1. Informe Ejecutivo del cumplimiento del 100% del FSC, correspondiente a esta etapa.</w:t>
      </w:r>
    </w:p>
    <w:p w14:paraId="0160B48E" w14:textId="77777777" w:rsidR="00003780" w:rsidRPr="00384552" w:rsidRDefault="00003780" w:rsidP="00003780">
      <w:pPr>
        <w:tabs>
          <w:tab w:val="left" w:pos="142"/>
        </w:tabs>
        <w:rPr>
          <w:rFonts w:cs="Arial"/>
          <w:sz w:val="22"/>
          <w:szCs w:val="22"/>
        </w:rPr>
      </w:pPr>
    </w:p>
    <w:p w14:paraId="75FB6A13"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Promoción y aseguramiento del cumplimiento de los aportes comunitarios del fondo social comunitario (FSC) cuota No.5 y No.6.</w:t>
      </w:r>
    </w:p>
    <w:p w14:paraId="49214779" w14:textId="77777777" w:rsidR="00003780" w:rsidRPr="00384552" w:rsidRDefault="00003780" w:rsidP="00003780">
      <w:pPr>
        <w:tabs>
          <w:tab w:val="left" w:pos="142"/>
        </w:tabs>
        <w:rPr>
          <w:rFonts w:cs="Arial"/>
          <w:sz w:val="22"/>
          <w:szCs w:val="22"/>
        </w:rPr>
      </w:pPr>
    </w:p>
    <w:p w14:paraId="1CBFD9FB" w14:textId="77777777" w:rsidR="00003780" w:rsidRPr="00384552" w:rsidRDefault="00003780" w:rsidP="00003780">
      <w:pPr>
        <w:tabs>
          <w:tab w:val="left" w:pos="142"/>
        </w:tabs>
        <w:rPr>
          <w:rFonts w:cs="Arial"/>
          <w:sz w:val="22"/>
          <w:szCs w:val="22"/>
        </w:rPr>
      </w:pPr>
      <w:r w:rsidRPr="00384552">
        <w:rPr>
          <w:rFonts w:cs="Arial"/>
          <w:sz w:val="22"/>
          <w:szCs w:val="22"/>
        </w:rPr>
        <w:t xml:space="preserve">Es responsabilidad del contratista, garantizar el cumplimiento de las cuotas en efectivo del Fondo Social Comunitario (FSC), en base al costo de la tarifa mensual del agua establecida y aprobada en asamblea final de concertación del proyecto formulado. </w:t>
      </w:r>
    </w:p>
    <w:p w14:paraId="071A30AD" w14:textId="77777777" w:rsidR="00003780" w:rsidRPr="00384552" w:rsidRDefault="00003780" w:rsidP="00003780">
      <w:pPr>
        <w:tabs>
          <w:tab w:val="left" w:pos="142"/>
        </w:tabs>
        <w:rPr>
          <w:rFonts w:cs="Arial"/>
          <w:sz w:val="22"/>
          <w:szCs w:val="22"/>
        </w:rPr>
      </w:pPr>
    </w:p>
    <w:p w14:paraId="12CA230F" w14:textId="77777777" w:rsidR="00003780" w:rsidRPr="00384552" w:rsidRDefault="00003780" w:rsidP="00003780">
      <w:pPr>
        <w:tabs>
          <w:tab w:val="left" w:pos="142"/>
        </w:tabs>
        <w:rPr>
          <w:rFonts w:cs="Arial"/>
          <w:sz w:val="22"/>
          <w:szCs w:val="22"/>
        </w:rPr>
      </w:pPr>
      <w:r w:rsidRPr="00384552">
        <w:rPr>
          <w:rFonts w:cs="Arial"/>
          <w:sz w:val="22"/>
          <w:szCs w:val="22"/>
        </w:rPr>
        <w:t xml:space="preserve">Para el cumplimiento de esta actividad, el contratista coordinará con personas de la JD del CAPS, grupo de apoyo y red de promotores sociales comunitarios, las visitas domiciliares y/o estrategia acordada para garantizar su cumplimiento. La persona tesorero/ra de la JD del CAPS, será la responsable de resguardar el dinero recolectado para su posterior depósito en cuanta bancaria del CAPS. </w:t>
      </w:r>
    </w:p>
    <w:p w14:paraId="6FAFB17D" w14:textId="77777777" w:rsidR="00003780" w:rsidRPr="00384552" w:rsidRDefault="00003780" w:rsidP="00003780">
      <w:pPr>
        <w:tabs>
          <w:tab w:val="left" w:pos="142"/>
        </w:tabs>
        <w:rPr>
          <w:rFonts w:cs="Arial"/>
          <w:sz w:val="22"/>
          <w:szCs w:val="22"/>
        </w:rPr>
      </w:pPr>
      <w:r w:rsidRPr="00384552">
        <w:rPr>
          <w:rFonts w:cs="Arial"/>
          <w:sz w:val="22"/>
          <w:szCs w:val="22"/>
        </w:rPr>
        <w:t xml:space="preserve">Hacer uso de instrumentos para control y manejo del FSC, establecidos por FISE, los cuales serán presentados en informes requeridos, en los productos del contrato.  </w:t>
      </w:r>
    </w:p>
    <w:p w14:paraId="42390DB5" w14:textId="77777777" w:rsidR="00003780" w:rsidRPr="00384552" w:rsidRDefault="00003780" w:rsidP="00003780">
      <w:pPr>
        <w:tabs>
          <w:tab w:val="left" w:pos="142"/>
        </w:tabs>
        <w:rPr>
          <w:rFonts w:cs="Arial"/>
          <w:sz w:val="22"/>
          <w:szCs w:val="22"/>
        </w:rPr>
      </w:pPr>
    </w:p>
    <w:p w14:paraId="21CFB7FD" w14:textId="77777777" w:rsidR="00003780" w:rsidRPr="00384552" w:rsidRDefault="00003780" w:rsidP="00003780">
      <w:pPr>
        <w:tabs>
          <w:tab w:val="left" w:pos="142"/>
        </w:tabs>
        <w:rPr>
          <w:rFonts w:cs="Arial"/>
          <w:b/>
          <w:sz w:val="22"/>
          <w:szCs w:val="22"/>
        </w:rPr>
      </w:pPr>
      <w:r w:rsidRPr="00384552">
        <w:rPr>
          <w:rFonts w:cs="Arial"/>
          <w:b/>
          <w:sz w:val="22"/>
          <w:szCs w:val="22"/>
        </w:rPr>
        <w:t>Instrumentos:</w:t>
      </w:r>
    </w:p>
    <w:p w14:paraId="38D23994" w14:textId="77777777" w:rsidR="00003780" w:rsidRPr="00384552" w:rsidRDefault="00003780" w:rsidP="00003780">
      <w:pPr>
        <w:tabs>
          <w:tab w:val="left" w:pos="142"/>
        </w:tabs>
        <w:rPr>
          <w:rFonts w:cs="Arial"/>
          <w:sz w:val="22"/>
          <w:szCs w:val="22"/>
        </w:rPr>
      </w:pPr>
      <w:r w:rsidRPr="00384552">
        <w:rPr>
          <w:rFonts w:cs="Arial"/>
          <w:sz w:val="22"/>
          <w:szCs w:val="22"/>
        </w:rPr>
        <w:t xml:space="preserve">1.  Control de pago del FSC establecidos por FISE, los cuales serán presentados en informes requeridos, en los productos del contrato.  </w:t>
      </w:r>
    </w:p>
    <w:p w14:paraId="73F7C658" w14:textId="77777777" w:rsidR="00003780" w:rsidRPr="00384552" w:rsidRDefault="00003780" w:rsidP="00003780">
      <w:pPr>
        <w:tabs>
          <w:tab w:val="left" w:pos="142"/>
        </w:tabs>
        <w:rPr>
          <w:rFonts w:cs="Arial"/>
          <w:sz w:val="22"/>
          <w:szCs w:val="22"/>
        </w:rPr>
      </w:pPr>
    </w:p>
    <w:p w14:paraId="0381072C" w14:textId="77777777" w:rsidR="00003780" w:rsidRPr="00384552" w:rsidRDefault="00003780" w:rsidP="00003780">
      <w:pPr>
        <w:tabs>
          <w:tab w:val="left" w:pos="142"/>
        </w:tabs>
        <w:rPr>
          <w:rFonts w:cs="Arial"/>
          <w:b/>
          <w:sz w:val="22"/>
          <w:szCs w:val="22"/>
        </w:rPr>
      </w:pPr>
      <w:r w:rsidRPr="00384552">
        <w:rPr>
          <w:rFonts w:cs="Arial"/>
          <w:b/>
          <w:sz w:val="22"/>
          <w:szCs w:val="22"/>
        </w:rPr>
        <w:lastRenderedPageBreak/>
        <w:t>Producto esperado:</w:t>
      </w:r>
    </w:p>
    <w:p w14:paraId="07FCD75D" w14:textId="77777777" w:rsidR="00003780" w:rsidRPr="00384552" w:rsidRDefault="00003780" w:rsidP="00003780">
      <w:pPr>
        <w:tabs>
          <w:tab w:val="left" w:pos="142"/>
        </w:tabs>
        <w:rPr>
          <w:rFonts w:cs="Arial"/>
          <w:sz w:val="22"/>
          <w:szCs w:val="22"/>
        </w:rPr>
      </w:pPr>
      <w:r w:rsidRPr="00384552">
        <w:rPr>
          <w:rFonts w:cs="Arial"/>
          <w:sz w:val="22"/>
          <w:szCs w:val="22"/>
        </w:rPr>
        <w:t>1. Informe Ejecutivo del cumplimiento del 100% del FSC, correspondiente a esta etapa.</w:t>
      </w:r>
    </w:p>
    <w:p w14:paraId="09DEBCFE" w14:textId="77777777" w:rsidR="00003780" w:rsidRDefault="00003780" w:rsidP="00003780">
      <w:pPr>
        <w:tabs>
          <w:tab w:val="left" w:pos="142"/>
        </w:tabs>
        <w:rPr>
          <w:rFonts w:cs="Arial"/>
          <w:sz w:val="22"/>
          <w:szCs w:val="22"/>
        </w:rPr>
      </w:pPr>
    </w:p>
    <w:p w14:paraId="41050436"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de Promoción y aseguramiento del cumplimiento de los aportes comunitarios para la compra de medidor.</w:t>
      </w:r>
    </w:p>
    <w:p w14:paraId="787F5E56" w14:textId="77777777" w:rsidR="00003780" w:rsidRPr="00384552" w:rsidRDefault="00003780" w:rsidP="00003780">
      <w:pPr>
        <w:tabs>
          <w:tab w:val="left" w:pos="142"/>
        </w:tabs>
        <w:rPr>
          <w:rFonts w:cs="Arial"/>
          <w:sz w:val="22"/>
          <w:szCs w:val="22"/>
        </w:rPr>
      </w:pPr>
    </w:p>
    <w:p w14:paraId="4952F776" w14:textId="77777777" w:rsidR="00003780" w:rsidRPr="00384552" w:rsidRDefault="00003780" w:rsidP="00003780">
      <w:pPr>
        <w:tabs>
          <w:tab w:val="left" w:pos="142"/>
        </w:tabs>
        <w:rPr>
          <w:rFonts w:cs="Arial"/>
          <w:sz w:val="22"/>
          <w:szCs w:val="22"/>
        </w:rPr>
      </w:pPr>
      <w:r w:rsidRPr="00384552">
        <w:rPr>
          <w:rFonts w:cs="Arial"/>
          <w:sz w:val="22"/>
          <w:szCs w:val="22"/>
        </w:rPr>
        <w:t xml:space="preserve">Es responsabilidad del contratista, garantizar el cumplimiento del pago para la compra de medidores por cada vivienda protagonista directa del proyecto de agua potable, para lo cual se deberá promover las visitas casa a casa las veces que sean necesarias hasta cumplir la meta de los aportes. Acuerdo establecido y aprobado en primera asamblea comunitaria, realizada al inicio de la formulación del proyecto, en etapa de prefactibilidad.  </w:t>
      </w:r>
    </w:p>
    <w:p w14:paraId="0EEC4B34" w14:textId="77777777" w:rsidR="00003780" w:rsidRPr="00384552" w:rsidRDefault="00003780" w:rsidP="00003780">
      <w:pPr>
        <w:tabs>
          <w:tab w:val="left" w:pos="142"/>
        </w:tabs>
        <w:rPr>
          <w:rFonts w:cs="Arial"/>
          <w:sz w:val="22"/>
          <w:szCs w:val="22"/>
        </w:rPr>
      </w:pPr>
    </w:p>
    <w:p w14:paraId="1A0DBB7F" w14:textId="77777777" w:rsidR="00003780" w:rsidRPr="00384552" w:rsidRDefault="00003780" w:rsidP="00003780">
      <w:pPr>
        <w:tabs>
          <w:tab w:val="left" w:pos="142"/>
        </w:tabs>
        <w:rPr>
          <w:rFonts w:cs="Arial"/>
          <w:sz w:val="22"/>
          <w:szCs w:val="22"/>
        </w:rPr>
      </w:pPr>
      <w:r w:rsidRPr="00384552">
        <w:rPr>
          <w:rFonts w:cs="Arial"/>
          <w:sz w:val="22"/>
          <w:szCs w:val="22"/>
        </w:rPr>
        <w:t xml:space="preserve">Para el cumplimiento de esta actividad, el contratista coordinará con personas de la JD del CAPS, grupo de apoyo y red de promotores sociales comunitarios, Alcaldía Municipal, las visitas domiciliares y/o estrategia acordada para garantizar su cumplimiento. La persona tesorero/ra de la JD del CAPS, será la responsable de resguardar el dinero recolectado para su posterior depósito en cuanta bancaria del CAPS. </w:t>
      </w:r>
    </w:p>
    <w:p w14:paraId="1BDEB40E" w14:textId="77777777" w:rsidR="00003780" w:rsidRPr="00384552" w:rsidRDefault="00003780" w:rsidP="00003780">
      <w:pPr>
        <w:tabs>
          <w:tab w:val="left" w:pos="142"/>
        </w:tabs>
        <w:rPr>
          <w:rFonts w:cs="Arial"/>
          <w:sz w:val="22"/>
          <w:szCs w:val="22"/>
        </w:rPr>
      </w:pPr>
    </w:p>
    <w:p w14:paraId="49AE4A69" w14:textId="77777777" w:rsidR="00003780" w:rsidRPr="00384552" w:rsidRDefault="00003780" w:rsidP="00003780">
      <w:pPr>
        <w:tabs>
          <w:tab w:val="left" w:pos="142"/>
        </w:tabs>
        <w:rPr>
          <w:rFonts w:cs="Arial"/>
          <w:sz w:val="22"/>
          <w:szCs w:val="22"/>
        </w:rPr>
      </w:pPr>
      <w:r w:rsidRPr="00384552">
        <w:rPr>
          <w:rFonts w:cs="Arial"/>
          <w:sz w:val="22"/>
          <w:szCs w:val="22"/>
        </w:rPr>
        <w:t xml:space="preserve">Al momento de realizar compra de medidores, el contratista asesora al CAPS en conjunto con la supervisión y Alcaldía Municipal, para su compra, en base a especificaciones técnicas establecidas en formulación del proyecto y cotizaciones de precios realizadas en la cabecera departamental o municipio de incidencia de la comunidad.  </w:t>
      </w:r>
    </w:p>
    <w:p w14:paraId="3E69895E" w14:textId="77777777" w:rsidR="00003780" w:rsidRPr="00384552" w:rsidRDefault="00003780" w:rsidP="00003780">
      <w:pPr>
        <w:tabs>
          <w:tab w:val="left" w:pos="142"/>
        </w:tabs>
        <w:rPr>
          <w:rFonts w:cs="Arial"/>
          <w:sz w:val="22"/>
          <w:szCs w:val="22"/>
        </w:rPr>
      </w:pPr>
    </w:p>
    <w:p w14:paraId="71C7B236" w14:textId="77777777" w:rsidR="00003780" w:rsidRPr="00384552" w:rsidRDefault="00003780" w:rsidP="00003780">
      <w:pPr>
        <w:tabs>
          <w:tab w:val="left" w:pos="142"/>
        </w:tabs>
        <w:rPr>
          <w:rFonts w:cs="Arial"/>
          <w:sz w:val="22"/>
          <w:szCs w:val="22"/>
        </w:rPr>
      </w:pPr>
      <w:r w:rsidRPr="00384552">
        <w:rPr>
          <w:rFonts w:cs="Arial"/>
          <w:sz w:val="22"/>
          <w:szCs w:val="22"/>
        </w:rPr>
        <w:t>En caso que la compra de los medidores esté incluida en el presupuesto de la obra del proyecto, no aplicara la recolecta del pago de medidores, por lo que esta actividad no será pagada.</w:t>
      </w:r>
    </w:p>
    <w:p w14:paraId="150CC45F" w14:textId="77777777" w:rsidR="00003780" w:rsidRPr="00384552" w:rsidRDefault="00003780" w:rsidP="00003780">
      <w:pPr>
        <w:tabs>
          <w:tab w:val="left" w:pos="142"/>
        </w:tabs>
        <w:rPr>
          <w:rFonts w:cs="Arial"/>
          <w:sz w:val="22"/>
          <w:szCs w:val="22"/>
        </w:rPr>
      </w:pPr>
    </w:p>
    <w:p w14:paraId="25D622A4" w14:textId="77777777" w:rsidR="00003780" w:rsidRPr="00384552" w:rsidRDefault="00003780" w:rsidP="00003780">
      <w:pPr>
        <w:tabs>
          <w:tab w:val="left" w:pos="142"/>
        </w:tabs>
        <w:rPr>
          <w:rFonts w:cs="Arial"/>
          <w:b/>
          <w:sz w:val="22"/>
          <w:szCs w:val="22"/>
        </w:rPr>
      </w:pPr>
      <w:r w:rsidRPr="00384552">
        <w:rPr>
          <w:rFonts w:cs="Arial"/>
          <w:b/>
          <w:sz w:val="22"/>
          <w:szCs w:val="22"/>
        </w:rPr>
        <w:t>Producto esperado por el contratista:</w:t>
      </w:r>
    </w:p>
    <w:p w14:paraId="22FBB4E9" w14:textId="77777777" w:rsidR="00003780" w:rsidRPr="00384552" w:rsidRDefault="00003780" w:rsidP="00003780">
      <w:pPr>
        <w:tabs>
          <w:tab w:val="left" w:pos="142"/>
        </w:tabs>
        <w:rPr>
          <w:rFonts w:cs="Arial"/>
          <w:sz w:val="22"/>
          <w:szCs w:val="22"/>
        </w:rPr>
      </w:pPr>
      <w:r w:rsidRPr="00384552">
        <w:rPr>
          <w:rFonts w:cs="Arial"/>
          <w:sz w:val="22"/>
          <w:szCs w:val="22"/>
        </w:rPr>
        <w:t>1. Informe de cumplimiento del 100% del pago del medidor. (Control de pago de medidor firmado por el CAPS, Alcaldía Municipal.)</w:t>
      </w:r>
    </w:p>
    <w:p w14:paraId="2D58257D" w14:textId="77777777" w:rsidR="00003780" w:rsidRPr="00384552" w:rsidRDefault="00003780" w:rsidP="00003780">
      <w:pPr>
        <w:tabs>
          <w:tab w:val="left" w:pos="142"/>
        </w:tabs>
        <w:rPr>
          <w:rFonts w:cs="Arial"/>
          <w:sz w:val="22"/>
          <w:szCs w:val="22"/>
        </w:rPr>
      </w:pPr>
    </w:p>
    <w:p w14:paraId="29A2F3E5"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-Primera visita casa a casa.</w:t>
      </w:r>
    </w:p>
    <w:p w14:paraId="6B73569B" w14:textId="77777777" w:rsidR="00003780" w:rsidRPr="00384552" w:rsidRDefault="00003780" w:rsidP="00003780">
      <w:pPr>
        <w:tabs>
          <w:tab w:val="left" w:pos="142"/>
        </w:tabs>
        <w:rPr>
          <w:rFonts w:cs="Arial"/>
          <w:sz w:val="22"/>
          <w:szCs w:val="22"/>
        </w:rPr>
      </w:pPr>
    </w:p>
    <w:p w14:paraId="42CE5DE9" w14:textId="77777777" w:rsidR="00003780" w:rsidRPr="00384552" w:rsidRDefault="00003780" w:rsidP="00003780">
      <w:pPr>
        <w:tabs>
          <w:tab w:val="left" w:pos="142"/>
        </w:tabs>
        <w:rPr>
          <w:rFonts w:cs="Arial"/>
          <w:sz w:val="22"/>
          <w:szCs w:val="22"/>
        </w:rPr>
      </w:pPr>
      <w:r w:rsidRPr="00384552">
        <w:rPr>
          <w:rFonts w:cs="Arial"/>
          <w:sz w:val="22"/>
          <w:szCs w:val="22"/>
        </w:rPr>
        <w:t xml:space="preserve">Previo a la primera visita de FCSA, el contratista deberá realizar reunión con promotores/as sociales comunitarios, que fueron capacitados para su implementación, distribuyendo 10 viviendas por cada promotor/ra, además de la distribución de todo el material requerido para su realización. </w:t>
      </w:r>
    </w:p>
    <w:p w14:paraId="01F5992D" w14:textId="77777777" w:rsidR="00003780" w:rsidRPr="00384552" w:rsidRDefault="00003780" w:rsidP="00003780">
      <w:pPr>
        <w:tabs>
          <w:tab w:val="left" w:pos="142"/>
        </w:tabs>
        <w:rPr>
          <w:rFonts w:cs="Arial"/>
          <w:sz w:val="22"/>
          <w:szCs w:val="22"/>
        </w:rPr>
      </w:pPr>
      <w:r w:rsidRPr="00384552">
        <w:rPr>
          <w:rFonts w:cs="Arial"/>
          <w:sz w:val="22"/>
          <w:szCs w:val="22"/>
        </w:rPr>
        <w:t xml:space="preserve"> </w:t>
      </w:r>
    </w:p>
    <w:p w14:paraId="46020B8B" w14:textId="77777777" w:rsidR="00003780" w:rsidRPr="00384552" w:rsidRDefault="00003780" w:rsidP="00003780">
      <w:pPr>
        <w:tabs>
          <w:tab w:val="left" w:pos="142"/>
        </w:tabs>
        <w:rPr>
          <w:rFonts w:cs="Arial"/>
          <w:sz w:val="22"/>
          <w:szCs w:val="22"/>
        </w:rPr>
      </w:pPr>
      <w:r w:rsidRPr="00384552">
        <w:rPr>
          <w:rFonts w:cs="Arial"/>
          <w:sz w:val="22"/>
          <w:szCs w:val="22"/>
        </w:rPr>
        <w:t xml:space="preserve">En primera visita de FCSA, se realiza Diagnóstico Higiénico Sanitario (Inicial), en el 100 % de las viviendas protagonistas directos del proyecto, evaluándose los cuatros temas establecidos en Ficha Familiar, en base a los criterios por tema, en esta visita se coloca la ficha familiar y cuatro gotas alegres, poniendo en práctica los procedimientos establecidos, para su aplicación. </w:t>
      </w:r>
    </w:p>
    <w:p w14:paraId="5781B62E" w14:textId="77777777" w:rsidR="00003780" w:rsidRPr="00384552" w:rsidRDefault="00003780" w:rsidP="00003780">
      <w:pPr>
        <w:tabs>
          <w:tab w:val="left" w:pos="142"/>
        </w:tabs>
        <w:rPr>
          <w:rFonts w:cs="Arial"/>
          <w:sz w:val="22"/>
          <w:szCs w:val="22"/>
        </w:rPr>
      </w:pPr>
    </w:p>
    <w:p w14:paraId="2636D5A9" w14:textId="77777777" w:rsidR="00003780" w:rsidRPr="00384552" w:rsidRDefault="00003780" w:rsidP="00003780">
      <w:pPr>
        <w:tabs>
          <w:tab w:val="left" w:pos="142"/>
        </w:tabs>
        <w:rPr>
          <w:rFonts w:cs="Arial"/>
          <w:sz w:val="22"/>
          <w:szCs w:val="22"/>
        </w:rPr>
      </w:pPr>
      <w:r w:rsidRPr="00384552">
        <w:rPr>
          <w:rFonts w:cs="Arial"/>
          <w:sz w:val="22"/>
          <w:szCs w:val="22"/>
        </w:rPr>
        <w:t xml:space="preserve">Cada promotor/ra, con apoyo y acompañamiento del contratista, deberá explicar la implementación de FCSA, enfatizando en las visitas pendientes a realizar, por consiguiente, se debe negociar con propietarios de viviendas, horarios y días para realizar las posteriores visitas. </w:t>
      </w:r>
    </w:p>
    <w:p w14:paraId="20AF6ACB" w14:textId="77777777" w:rsidR="00003780" w:rsidRPr="00384552" w:rsidRDefault="00003780" w:rsidP="00003780">
      <w:pPr>
        <w:tabs>
          <w:tab w:val="left" w:pos="142"/>
        </w:tabs>
        <w:rPr>
          <w:rFonts w:cs="Arial"/>
          <w:sz w:val="22"/>
          <w:szCs w:val="22"/>
        </w:rPr>
      </w:pPr>
    </w:p>
    <w:p w14:paraId="04A0C2A5" w14:textId="77777777" w:rsidR="00003780" w:rsidRPr="00384552" w:rsidRDefault="00003780" w:rsidP="00003780">
      <w:pPr>
        <w:tabs>
          <w:tab w:val="left" w:pos="142"/>
        </w:tabs>
        <w:rPr>
          <w:rFonts w:cs="Arial"/>
          <w:sz w:val="22"/>
          <w:szCs w:val="22"/>
        </w:rPr>
      </w:pPr>
      <w:r w:rsidRPr="00384552">
        <w:rPr>
          <w:rFonts w:cs="Arial"/>
          <w:sz w:val="22"/>
          <w:szCs w:val="22"/>
        </w:rPr>
        <w:t xml:space="preserve">Contratista, elabora Informe Ejecutivo del diagnóstico higiénico-sanitario, obteniendo una línea de base que refleje el comportamiento de los hábitos de higiene en las familias.  </w:t>
      </w:r>
    </w:p>
    <w:p w14:paraId="2657DFB4" w14:textId="77777777" w:rsidR="00003780" w:rsidRPr="00384552" w:rsidRDefault="00003780" w:rsidP="00003780">
      <w:pPr>
        <w:tabs>
          <w:tab w:val="left" w:pos="142"/>
        </w:tabs>
        <w:rPr>
          <w:rFonts w:cs="Arial"/>
          <w:sz w:val="22"/>
          <w:szCs w:val="22"/>
        </w:rPr>
      </w:pPr>
    </w:p>
    <w:p w14:paraId="142DB2DE" w14:textId="77777777" w:rsidR="00003780" w:rsidRPr="00384552" w:rsidRDefault="00003780" w:rsidP="00003780">
      <w:pPr>
        <w:tabs>
          <w:tab w:val="left" w:pos="142"/>
        </w:tabs>
        <w:rPr>
          <w:rFonts w:cs="Arial"/>
          <w:b/>
          <w:sz w:val="22"/>
          <w:szCs w:val="22"/>
        </w:rPr>
      </w:pPr>
      <w:r w:rsidRPr="00384552">
        <w:rPr>
          <w:rFonts w:cs="Arial"/>
          <w:b/>
          <w:sz w:val="22"/>
          <w:szCs w:val="22"/>
        </w:rPr>
        <w:t>Requerimiento por el contratista para los promotores:</w:t>
      </w:r>
    </w:p>
    <w:p w14:paraId="3833A426" w14:textId="77777777" w:rsidR="00003780" w:rsidRPr="00384552" w:rsidRDefault="00003780" w:rsidP="00003780">
      <w:pPr>
        <w:tabs>
          <w:tab w:val="left" w:pos="142"/>
        </w:tabs>
        <w:rPr>
          <w:rFonts w:cs="Arial"/>
          <w:sz w:val="22"/>
          <w:szCs w:val="22"/>
        </w:rPr>
      </w:pPr>
      <w:r w:rsidRPr="00384552">
        <w:rPr>
          <w:rFonts w:cs="Arial"/>
          <w:sz w:val="22"/>
          <w:szCs w:val="22"/>
        </w:rPr>
        <w:t>1. Cuaderno de control de visita.</w:t>
      </w:r>
    </w:p>
    <w:p w14:paraId="302D13CE" w14:textId="77777777" w:rsidR="00003780" w:rsidRPr="00384552" w:rsidRDefault="00003780" w:rsidP="00003780">
      <w:pPr>
        <w:tabs>
          <w:tab w:val="left" w:pos="142"/>
        </w:tabs>
        <w:rPr>
          <w:rFonts w:cs="Arial"/>
          <w:sz w:val="22"/>
          <w:szCs w:val="22"/>
        </w:rPr>
      </w:pPr>
      <w:r w:rsidRPr="00384552">
        <w:rPr>
          <w:rFonts w:cs="Arial"/>
          <w:sz w:val="22"/>
          <w:szCs w:val="22"/>
        </w:rPr>
        <w:lastRenderedPageBreak/>
        <w:t>2. cuadernos/lapiceros/lápiz/ Tabla clan.</w:t>
      </w:r>
    </w:p>
    <w:p w14:paraId="4C5DA30C" w14:textId="77777777" w:rsidR="00003780" w:rsidRPr="00384552" w:rsidRDefault="00003780" w:rsidP="00003780">
      <w:pPr>
        <w:tabs>
          <w:tab w:val="left" w:pos="142"/>
        </w:tabs>
        <w:rPr>
          <w:rFonts w:cs="Arial"/>
          <w:sz w:val="22"/>
          <w:szCs w:val="22"/>
        </w:rPr>
      </w:pPr>
    </w:p>
    <w:p w14:paraId="3F44DBB3"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4FAD41C9" w14:textId="77777777" w:rsidR="00003780" w:rsidRPr="00384552" w:rsidRDefault="00003780" w:rsidP="00003780">
      <w:pPr>
        <w:tabs>
          <w:tab w:val="left" w:pos="142"/>
        </w:tabs>
        <w:rPr>
          <w:rFonts w:cs="Arial"/>
          <w:sz w:val="22"/>
          <w:szCs w:val="22"/>
        </w:rPr>
      </w:pPr>
      <w:r w:rsidRPr="00384552">
        <w:rPr>
          <w:rFonts w:cs="Arial"/>
          <w:sz w:val="22"/>
          <w:szCs w:val="22"/>
        </w:rPr>
        <w:t>1. Informe de resultado del Diagnostico Higiénico-Sanitario.</w:t>
      </w:r>
    </w:p>
    <w:p w14:paraId="44C19B1B" w14:textId="77777777" w:rsidR="00003780" w:rsidRPr="00384552" w:rsidRDefault="00003780" w:rsidP="00003780">
      <w:pPr>
        <w:tabs>
          <w:tab w:val="left" w:pos="142"/>
        </w:tabs>
        <w:rPr>
          <w:rFonts w:cs="Arial"/>
          <w:sz w:val="22"/>
          <w:szCs w:val="22"/>
        </w:rPr>
      </w:pPr>
    </w:p>
    <w:p w14:paraId="5268218A"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-Segunda visita casa a casa.</w:t>
      </w:r>
    </w:p>
    <w:p w14:paraId="7FDB96F3" w14:textId="77777777" w:rsidR="00003780" w:rsidRPr="00384552" w:rsidRDefault="00003780" w:rsidP="00003780">
      <w:pPr>
        <w:tabs>
          <w:tab w:val="left" w:pos="142"/>
        </w:tabs>
        <w:ind w:left="720"/>
        <w:contextualSpacing/>
        <w:rPr>
          <w:rFonts w:cs="Arial"/>
          <w:b/>
          <w:sz w:val="22"/>
          <w:szCs w:val="22"/>
        </w:rPr>
      </w:pPr>
    </w:p>
    <w:p w14:paraId="263AF718" w14:textId="77777777" w:rsidR="00003780" w:rsidRPr="00384552" w:rsidRDefault="00003780" w:rsidP="00003780">
      <w:pPr>
        <w:tabs>
          <w:tab w:val="left" w:pos="142"/>
        </w:tabs>
        <w:rPr>
          <w:rFonts w:cs="Arial"/>
          <w:sz w:val="22"/>
          <w:szCs w:val="22"/>
        </w:rPr>
      </w:pPr>
      <w:r w:rsidRPr="00384552">
        <w:rPr>
          <w:rFonts w:cs="Arial"/>
          <w:sz w:val="22"/>
          <w:szCs w:val="22"/>
        </w:rPr>
        <w:t xml:space="preserve">Antes de realizar la segunda visita de FCSA, el contratista deberá realizar reunión con promotores/as sociales comunitarios, para evaluar resultaos de la primera visita, definiendo estrategias para superar limitantes y mejorar procesos para su realización. </w:t>
      </w:r>
    </w:p>
    <w:p w14:paraId="3F260F4A" w14:textId="77777777" w:rsidR="00003780" w:rsidRPr="00384552" w:rsidRDefault="00003780" w:rsidP="00003780">
      <w:pPr>
        <w:tabs>
          <w:tab w:val="left" w:pos="142"/>
        </w:tabs>
        <w:rPr>
          <w:rFonts w:cs="Arial"/>
          <w:sz w:val="22"/>
          <w:szCs w:val="22"/>
        </w:rPr>
      </w:pPr>
    </w:p>
    <w:p w14:paraId="32254CDF" w14:textId="77777777" w:rsidR="00003780" w:rsidRPr="00384552" w:rsidRDefault="00003780" w:rsidP="00003780">
      <w:pPr>
        <w:tabs>
          <w:tab w:val="left" w:pos="142"/>
        </w:tabs>
        <w:rPr>
          <w:rFonts w:cs="Arial"/>
          <w:sz w:val="22"/>
          <w:szCs w:val="22"/>
        </w:rPr>
      </w:pPr>
      <w:r w:rsidRPr="00384552">
        <w:rPr>
          <w:rFonts w:cs="Arial"/>
          <w:sz w:val="22"/>
          <w:szCs w:val="22"/>
        </w:rPr>
        <w:t xml:space="preserve">En segunda visita de FCSA, se evalúa, en base a criterios del tema a tratar según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5C02C952" w14:textId="77777777" w:rsidR="00003780" w:rsidRPr="00384552" w:rsidRDefault="00003780" w:rsidP="00003780">
      <w:pPr>
        <w:tabs>
          <w:tab w:val="left" w:pos="142"/>
        </w:tabs>
        <w:rPr>
          <w:rFonts w:cs="Arial"/>
          <w:sz w:val="22"/>
          <w:szCs w:val="22"/>
        </w:rPr>
      </w:pPr>
    </w:p>
    <w:p w14:paraId="71F24579" w14:textId="77777777" w:rsidR="00003780" w:rsidRPr="00384552" w:rsidRDefault="00003780" w:rsidP="00003780">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7660285E" w14:textId="77777777" w:rsidR="00003780" w:rsidRPr="00384552" w:rsidRDefault="00003780" w:rsidP="00003780">
      <w:pPr>
        <w:tabs>
          <w:tab w:val="left" w:pos="142"/>
        </w:tabs>
        <w:rPr>
          <w:rFonts w:cs="Arial"/>
          <w:sz w:val="22"/>
          <w:szCs w:val="22"/>
        </w:rPr>
      </w:pPr>
    </w:p>
    <w:p w14:paraId="61F99043" w14:textId="77777777" w:rsidR="00003780" w:rsidRPr="00384552" w:rsidRDefault="00003780" w:rsidP="00003780">
      <w:pPr>
        <w:tabs>
          <w:tab w:val="left" w:pos="142"/>
        </w:tabs>
        <w:rPr>
          <w:rFonts w:cs="Arial"/>
          <w:sz w:val="22"/>
          <w:szCs w:val="22"/>
        </w:rPr>
      </w:pPr>
      <w:r w:rsidRPr="00384552">
        <w:rPr>
          <w:rFonts w:cs="Arial"/>
          <w:sz w:val="22"/>
          <w:szCs w:val="22"/>
        </w:rPr>
        <w:t>Contratista, elabora Informe Ejecutivo de la implementación de FCSA, enfatizando limitantes, logros en los cambios de comportamiento de higiene en las familias.</w:t>
      </w:r>
    </w:p>
    <w:p w14:paraId="3E204CC1" w14:textId="77777777" w:rsidR="00003780" w:rsidRPr="00384552" w:rsidRDefault="00003780" w:rsidP="00003780">
      <w:pPr>
        <w:tabs>
          <w:tab w:val="left" w:pos="142"/>
        </w:tabs>
        <w:rPr>
          <w:rFonts w:cs="Arial"/>
          <w:b/>
          <w:sz w:val="22"/>
          <w:szCs w:val="22"/>
        </w:rPr>
      </w:pPr>
    </w:p>
    <w:p w14:paraId="782D6FF6" w14:textId="77777777" w:rsidR="00003780" w:rsidRPr="00384552" w:rsidRDefault="00003780" w:rsidP="00003780">
      <w:pPr>
        <w:tabs>
          <w:tab w:val="left" w:pos="142"/>
        </w:tabs>
        <w:rPr>
          <w:rFonts w:cs="Arial"/>
          <w:b/>
          <w:sz w:val="22"/>
          <w:szCs w:val="22"/>
        </w:rPr>
      </w:pPr>
      <w:r w:rsidRPr="00384552">
        <w:rPr>
          <w:rFonts w:cs="Arial"/>
          <w:b/>
          <w:sz w:val="22"/>
          <w:szCs w:val="22"/>
        </w:rPr>
        <w:t>Requerimiento por el contratista para los promotores:</w:t>
      </w:r>
    </w:p>
    <w:p w14:paraId="022D2722" w14:textId="77777777" w:rsidR="00003780" w:rsidRPr="00384552" w:rsidRDefault="00003780" w:rsidP="00003780">
      <w:pPr>
        <w:tabs>
          <w:tab w:val="left" w:pos="142"/>
        </w:tabs>
        <w:rPr>
          <w:rFonts w:cs="Arial"/>
          <w:sz w:val="22"/>
          <w:szCs w:val="22"/>
        </w:rPr>
      </w:pPr>
      <w:r w:rsidRPr="00384552">
        <w:rPr>
          <w:rFonts w:cs="Arial"/>
          <w:sz w:val="22"/>
          <w:szCs w:val="22"/>
        </w:rPr>
        <w:t>1. Cuaderno de control de visita.</w:t>
      </w:r>
    </w:p>
    <w:p w14:paraId="1942F315" w14:textId="77777777" w:rsidR="00003780" w:rsidRPr="00384552" w:rsidRDefault="00003780" w:rsidP="00003780">
      <w:pPr>
        <w:tabs>
          <w:tab w:val="left" w:pos="142"/>
        </w:tabs>
        <w:rPr>
          <w:rFonts w:cs="Arial"/>
          <w:sz w:val="22"/>
          <w:szCs w:val="22"/>
        </w:rPr>
      </w:pPr>
      <w:r w:rsidRPr="00384552">
        <w:rPr>
          <w:rFonts w:cs="Arial"/>
          <w:sz w:val="22"/>
          <w:szCs w:val="22"/>
        </w:rPr>
        <w:t>2. cuadernos/lapiceros/lápiz/ Tabla clan.</w:t>
      </w:r>
    </w:p>
    <w:p w14:paraId="38743B28" w14:textId="77777777" w:rsidR="00003780" w:rsidRPr="00384552" w:rsidRDefault="00003780" w:rsidP="00003780">
      <w:pPr>
        <w:tabs>
          <w:tab w:val="left" w:pos="142"/>
        </w:tabs>
        <w:rPr>
          <w:rFonts w:cs="Arial"/>
          <w:sz w:val="22"/>
          <w:szCs w:val="22"/>
        </w:rPr>
      </w:pPr>
    </w:p>
    <w:p w14:paraId="5E0E45CC" w14:textId="77777777" w:rsidR="00003780" w:rsidRPr="00384552" w:rsidRDefault="00003780" w:rsidP="00003780">
      <w:pPr>
        <w:tabs>
          <w:tab w:val="left" w:pos="142"/>
        </w:tabs>
        <w:rPr>
          <w:rFonts w:cs="Arial"/>
          <w:b/>
          <w:sz w:val="22"/>
          <w:szCs w:val="22"/>
        </w:rPr>
      </w:pPr>
      <w:r w:rsidRPr="00384552">
        <w:rPr>
          <w:rFonts w:cs="Arial"/>
          <w:b/>
          <w:sz w:val="22"/>
          <w:szCs w:val="22"/>
        </w:rPr>
        <w:t>Producto esperado por el contratista:</w:t>
      </w:r>
    </w:p>
    <w:p w14:paraId="64987BE6" w14:textId="77777777" w:rsidR="00003780" w:rsidRPr="00384552" w:rsidRDefault="00003780" w:rsidP="00003780">
      <w:pPr>
        <w:tabs>
          <w:tab w:val="left" w:pos="142"/>
        </w:tabs>
        <w:rPr>
          <w:rFonts w:cs="Arial"/>
          <w:sz w:val="22"/>
          <w:szCs w:val="22"/>
        </w:rPr>
      </w:pPr>
      <w:r w:rsidRPr="00384552">
        <w:rPr>
          <w:rFonts w:cs="Arial"/>
          <w:sz w:val="22"/>
          <w:szCs w:val="22"/>
        </w:rPr>
        <w:t>1.  Informe de la visita Tema 1, consolidado por familias.</w:t>
      </w:r>
    </w:p>
    <w:p w14:paraId="48D609C2" w14:textId="77777777" w:rsidR="00003780" w:rsidRPr="00384552" w:rsidRDefault="00003780" w:rsidP="00003780">
      <w:pPr>
        <w:tabs>
          <w:tab w:val="left" w:pos="142"/>
        </w:tabs>
        <w:rPr>
          <w:rFonts w:cs="Arial"/>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56414432" w14:textId="77777777" w:rsidR="00003780" w:rsidRPr="00384552" w:rsidRDefault="00003780" w:rsidP="00003780">
      <w:pPr>
        <w:tabs>
          <w:tab w:val="left" w:pos="142"/>
        </w:tabs>
        <w:rPr>
          <w:rFonts w:cs="Arial"/>
          <w:sz w:val="22"/>
          <w:szCs w:val="22"/>
        </w:rPr>
      </w:pPr>
    </w:p>
    <w:p w14:paraId="20E22182"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-Tercera visita casa a casa.</w:t>
      </w:r>
    </w:p>
    <w:p w14:paraId="1E2C4EEC" w14:textId="77777777" w:rsidR="00003780" w:rsidRPr="00384552" w:rsidRDefault="00003780" w:rsidP="00003780">
      <w:pPr>
        <w:tabs>
          <w:tab w:val="left" w:pos="142"/>
        </w:tabs>
        <w:rPr>
          <w:rFonts w:cs="Arial"/>
          <w:b/>
          <w:sz w:val="22"/>
          <w:szCs w:val="22"/>
        </w:rPr>
      </w:pPr>
    </w:p>
    <w:p w14:paraId="24DC6D48" w14:textId="77777777" w:rsidR="00003780" w:rsidRPr="00384552" w:rsidRDefault="00003780" w:rsidP="00003780">
      <w:pPr>
        <w:tabs>
          <w:tab w:val="left" w:pos="142"/>
        </w:tabs>
        <w:rPr>
          <w:rFonts w:cs="Arial"/>
          <w:sz w:val="22"/>
          <w:szCs w:val="22"/>
        </w:rPr>
      </w:pPr>
      <w:r w:rsidRPr="00384552">
        <w:rPr>
          <w:rFonts w:cs="Arial"/>
          <w:sz w:val="22"/>
          <w:szCs w:val="22"/>
        </w:rPr>
        <w:t xml:space="preserve">Antes de realizar la tercera visita de FCSA, el contratista deberá realizar reunión con promotores/as sociales comunitarios, para evaluar resultados de la segunda visita, definiendo estrategias para superar limitantes y mejorar procesos para su realización. </w:t>
      </w:r>
    </w:p>
    <w:p w14:paraId="375929D1" w14:textId="77777777" w:rsidR="00003780" w:rsidRPr="00384552" w:rsidRDefault="00003780" w:rsidP="00003780">
      <w:pPr>
        <w:tabs>
          <w:tab w:val="left" w:pos="142"/>
        </w:tabs>
        <w:rPr>
          <w:rFonts w:cs="Arial"/>
          <w:sz w:val="22"/>
          <w:szCs w:val="22"/>
        </w:rPr>
      </w:pPr>
    </w:p>
    <w:p w14:paraId="72A5F56A" w14:textId="77777777" w:rsidR="00003780" w:rsidRPr="00384552" w:rsidRDefault="00003780" w:rsidP="00003780">
      <w:pPr>
        <w:tabs>
          <w:tab w:val="left" w:pos="142"/>
        </w:tabs>
        <w:rPr>
          <w:rFonts w:cs="Arial"/>
          <w:sz w:val="22"/>
          <w:szCs w:val="22"/>
        </w:rPr>
      </w:pPr>
      <w:r w:rsidRPr="00384552">
        <w:rPr>
          <w:rFonts w:cs="Arial"/>
          <w:sz w:val="22"/>
          <w:szCs w:val="22"/>
        </w:rPr>
        <w:t xml:space="preserve">En tercera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63C4D014" w14:textId="77777777" w:rsidR="00003780" w:rsidRPr="00384552" w:rsidRDefault="00003780" w:rsidP="00003780">
      <w:pPr>
        <w:tabs>
          <w:tab w:val="left" w:pos="142"/>
        </w:tabs>
        <w:rPr>
          <w:rFonts w:cs="Arial"/>
          <w:sz w:val="22"/>
          <w:szCs w:val="22"/>
        </w:rPr>
      </w:pPr>
    </w:p>
    <w:p w14:paraId="106F70C0" w14:textId="77777777" w:rsidR="00003780" w:rsidRPr="00384552" w:rsidRDefault="00003780" w:rsidP="00003780">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1E45354B" w14:textId="77777777" w:rsidR="00003780" w:rsidRPr="00384552" w:rsidRDefault="00003780" w:rsidP="00003780">
      <w:pPr>
        <w:tabs>
          <w:tab w:val="left" w:pos="142"/>
        </w:tabs>
        <w:rPr>
          <w:rFonts w:cs="Arial"/>
          <w:sz w:val="22"/>
          <w:szCs w:val="22"/>
        </w:rPr>
      </w:pPr>
    </w:p>
    <w:p w14:paraId="601A32EB"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682055CF" w14:textId="77777777" w:rsidR="00003780" w:rsidRPr="00384552" w:rsidRDefault="00003780" w:rsidP="00003780">
      <w:pPr>
        <w:tabs>
          <w:tab w:val="left" w:pos="142"/>
        </w:tabs>
        <w:rPr>
          <w:rFonts w:cs="Arial"/>
          <w:sz w:val="22"/>
          <w:szCs w:val="22"/>
        </w:rPr>
      </w:pPr>
      <w:r w:rsidRPr="00384552">
        <w:rPr>
          <w:rFonts w:cs="Arial"/>
          <w:sz w:val="22"/>
          <w:szCs w:val="22"/>
        </w:rPr>
        <w:t>1. Informe de la visita Tema 2, consolidado por familias.</w:t>
      </w:r>
    </w:p>
    <w:p w14:paraId="3B88CA61" w14:textId="77777777" w:rsidR="00003780" w:rsidRPr="00384552" w:rsidRDefault="00003780" w:rsidP="00003780">
      <w:pPr>
        <w:tabs>
          <w:tab w:val="left" w:pos="142"/>
        </w:tabs>
        <w:rPr>
          <w:rFonts w:cs="Arial"/>
          <w:b/>
          <w:sz w:val="22"/>
          <w:szCs w:val="22"/>
        </w:rPr>
      </w:pPr>
      <w:r w:rsidRPr="00384552">
        <w:rPr>
          <w:rFonts w:cs="Arial"/>
          <w:sz w:val="22"/>
          <w:szCs w:val="22"/>
        </w:rPr>
        <w:lastRenderedPageBreak/>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09C8BF76" w14:textId="77777777" w:rsidR="00003780" w:rsidRPr="00384552" w:rsidRDefault="00003780" w:rsidP="00003780">
      <w:pPr>
        <w:tabs>
          <w:tab w:val="left" w:pos="142"/>
        </w:tabs>
        <w:rPr>
          <w:rFonts w:cs="Arial"/>
          <w:b/>
          <w:sz w:val="22"/>
          <w:szCs w:val="22"/>
        </w:rPr>
      </w:pPr>
    </w:p>
    <w:p w14:paraId="7565CBA2"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informe para implementación de metodología FCSA -Cuarta visita casa a casa.</w:t>
      </w:r>
    </w:p>
    <w:p w14:paraId="5D4207C7" w14:textId="77777777" w:rsidR="00003780" w:rsidRPr="00384552" w:rsidRDefault="00003780" w:rsidP="00003780">
      <w:pPr>
        <w:tabs>
          <w:tab w:val="left" w:pos="142"/>
        </w:tabs>
        <w:rPr>
          <w:rFonts w:cs="Arial"/>
          <w:b/>
          <w:sz w:val="22"/>
          <w:szCs w:val="22"/>
        </w:rPr>
      </w:pPr>
    </w:p>
    <w:p w14:paraId="493135EF" w14:textId="77777777" w:rsidR="00003780" w:rsidRPr="00384552" w:rsidRDefault="00003780" w:rsidP="00003780">
      <w:pPr>
        <w:tabs>
          <w:tab w:val="left" w:pos="142"/>
        </w:tabs>
        <w:rPr>
          <w:rFonts w:cs="Arial"/>
          <w:sz w:val="22"/>
          <w:szCs w:val="22"/>
        </w:rPr>
      </w:pPr>
      <w:r w:rsidRPr="00384552">
        <w:rPr>
          <w:rFonts w:cs="Arial"/>
          <w:sz w:val="22"/>
          <w:szCs w:val="22"/>
        </w:rPr>
        <w:t xml:space="preserve">Antes de realizar la cuarta visita de FCSA, el contratista deberá realizar reunión con promotores/as sociales comunitarios, para evaluar resultados de la tercera visita, definiendo estrategias para superar limitantes y mejorar procesos para su realización. </w:t>
      </w:r>
    </w:p>
    <w:p w14:paraId="7FEEE717" w14:textId="77777777" w:rsidR="00003780" w:rsidRPr="00384552" w:rsidRDefault="00003780" w:rsidP="00003780">
      <w:pPr>
        <w:tabs>
          <w:tab w:val="left" w:pos="142"/>
        </w:tabs>
        <w:rPr>
          <w:rFonts w:cs="Arial"/>
          <w:sz w:val="22"/>
          <w:szCs w:val="22"/>
        </w:rPr>
      </w:pPr>
    </w:p>
    <w:p w14:paraId="0B245252" w14:textId="77777777" w:rsidR="00003780" w:rsidRPr="00384552" w:rsidRDefault="00003780" w:rsidP="00003780">
      <w:pPr>
        <w:tabs>
          <w:tab w:val="left" w:pos="142"/>
        </w:tabs>
        <w:rPr>
          <w:rFonts w:cs="Arial"/>
          <w:sz w:val="22"/>
          <w:szCs w:val="22"/>
        </w:rPr>
      </w:pPr>
      <w:r w:rsidRPr="00384552">
        <w:rPr>
          <w:rFonts w:cs="Arial"/>
          <w:sz w:val="22"/>
          <w:szCs w:val="22"/>
        </w:rPr>
        <w:t xml:space="preserve">En la cuarta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0B76DC19" w14:textId="77777777" w:rsidR="00003780" w:rsidRPr="00384552" w:rsidRDefault="00003780" w:rsidP="00003780">
      <w:pPr>
        <w:tabs>
          <w:tab w:val="left" w:pos="142"/>
        </w:tabs>
        <w:rPr>
          <w:rFonts w:cs="Arial"/>
          <w:sz w:val="22"/>
          <w:szCs w:val="22"/>
        </w:rPr>
      </w:pPr>
    </w:p>
    <w:p w14:paraId="69E6696C" w14:textId="77777777" w:rsidR="00003780" w:rsidRPr="00384552" w:rsidRDefault="00003780" w:rsidP="00003780">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476732DE" w14:textId="77777777" w:rsidR="00003780" w:rsidRPr="00384552" w:rsidRDefault="00003780" w:rsidP="00003780">
      <w:pPr>
        <w:tabs>
          <w:tab w:val="left" w:pos="142"/>
        </w:tabs>
        <w:rPr>
          <w:rFonts w:cs="Arial"/>
          <w:sz w:val="22"/>
          <w:szCs w:val="22"/>
        </w:rPr>
      </w:pPr>
    </w:p>
    <w:p w14:paraId="5D17584C" w14:textId="77777777" w:rsidR="00003780" w:rsidRPr="00384552" w:rsidRDefault="00003780" w:rsidP="00003780">
      <w:pPr>
        <w:tabs>
          <w:tab w:val="left" w:pos="142"/>
        </w:tabs>
        <w:rPr>
          <w:rFonts w:cs="Arial"/>
          <w:b/>
          <w:sz w:val="22"/>
          <w:szCs w:val="22"/>
        </w:rPr>
      </w:pPr>
      <w:r w:rsidRPr="00384552">
        <w:rPr>
          <w:rFonts w:cs="Arial"/>
          <w:b/>
          <w:sz w:val="22"/>
          <w:szCs w:val="22"/>
        </w:rPr>
        <w:t>Producto esperado por el contratista:</w:t>
      </w:r>
    </w:p>
    <w:p w14:paraId="63A339CB" w14:textId="77777777" w:rsidR="00003780" w:rsidRPr="00384552" w:rsidRDefault="00003780" w:rsidP="00003780">
      <w:pPr>
        <w:tabs>
          <w:tab w:val="left" w:pos="142"/>
        </w:tabs>
        <w:rPr>
          <w:rFonts w:cs="Arial"/>
          <w:sz w:val="22"/>
          <w:szCs w:val="22"/>
        </w:rPr>
      </w:pPr>
      <w:r w:rsidRPr="00384552">
        <w:rPr>
          <w:rFonts w:cs="Arial"/>
          <w:sz w:val="22"/>
          <w:szCs w:val="22"/>
        </w:rPr>
        <w:t>1.  Informe de la visita Tema 3, consolidado por familias.</w:t>
      </w:r>
    </w:p>
    <w:p w14:paraId="07ED06F4" w14:textId="77777777" w:rsidR="00003780" w:rsidRPr="00384552" w:rsidRDefault="00003780" w:rsidP="00003780">
      <w:pPr>
        <w:tabs>
          <w:tab w:val="left" w:pos="142"/>
        </w:tabs>
        <w:rPr>
          <w:rFonts w:cs="Arial"/>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2B3068D4" w14:textId="77777777" w:rsidR="00003780" w:rsidRPr="00384552" w:rsidRDefault="00003780" w:rsidP="00003780">
      <w:pPr>
        <w:tabs>
          <w:tab w:val="left" w:pos="142"/>
        </w:tabs>
        <w:rPr>
          <w:rFonts w:cs="Arial"/>
          <w:b/>
          <w:sz w:val="22"/>
          <w:szCs w:val="22"/>
        </w:rPr>
      </w:pPr>
    </w:p>
    <w:p w14:paraId="7B324A9A"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Planificar y realizar taller de capacitación dirigido al Comité CAPS sobre la elaboración del reglamento interno del sistema de agua potable (SAP)</w:t>
      </w:r>
    </w:p>
    <w:p w14:paraId="536501FC" w14:textId="77777777" w:rsidR="00003780" w:rsidRPr="00384552" w:rsidRDefault="00003780" w:rsidP="00003780">
      <w:pPr>
        <w:tabs>
          <w:tab w:val="left" w:pos="142"/>
        </w:tabs>
        <w:contextualSpacing/>
        <w:rPr>
          <w:rFonts w:cs="Arial"/>
          <w:b/>
          <w:sz w:val="22"/>
          <w:szCs w:val="22"/>
        </w:rPr>
      </w:pPr>
    </w:p>
    <w:p w14:paraId="650A0D1E" w14:textId="77777777" w:rsidR="00003780" w:rsidRPr="00384552" w:rsidRDefault="00003780" w:rsidP="00003780">
      <w:pPr>
        <w:tabs>
          <w:tab w:val="left" w:pos="142"/>
        </w:tabs>
        <w:contextualSpacing/>
        <w:rPr>
          <w:rFonts w:cs="Arial"/>
          <w:i/>
          <w:sz w:val="22"/>
          <w:szCs w:val="22"/>
        </w:rPr>
      </w:pPr>
      <w:r w:rsidRPr="00384552">
        <w:rPr>
          <w:rFonts w:cs="Arial"/>
          <w:sz w:val="22"/>
          <w:szCs w:val="22"/>
        </w:rPr>
        <w:t>Es responsabilidad del contratista coordinar y planificar el taller para elaborar el Reglamento Interno del Sistema de Agua construido. Utilizando material Didáctico de FISE (Modelo de Reglamento Interno), los miembros del CAPS deben estar apropiados de su papel en la operación y funcionamiento del SAP para hacerlo operativo en la etapa de post obra, se debe promover la iniciativa de los participantes, la discusión en beneficio de lograr consenso en las mejores propuestas.  Al finalizar el taller se debe obtener como producto el documento del reglamento interno.</w:t>
      </w:r>
    </w:p>
    <w:p w14:paraId="4DA6194E" w14:textId="77777777" w:rsidR="00003780" w:rsidRPr="00384552" w:rsidRDefault="00003780" w:rsidP="00003780">
      <w:pPr>
        <w:tabs>
          <w:tab w:val="left" w:pos="142"/>
        </w:tabs>
        <w:contextualSpacing/>
        <w:rPr>
          <w:rFonts w:cs="Arial"/>
          <w:i/>
          <w:sz w:val="22"/>
          <w:szCs w:val="22"/>
        </w:rPr>
      </w:pPr>
    </w:p>
    <w:p w14:paraId="7825A444" w14:textId="77777777" w:rsidR="00003780" w:rsidRPr="00384552" w:rsidRDefault="00003780" w:rsidP="00003780">
      <w:pPr>
        <w:tabs>
          <w:tab w:val="left" w:pos="142"/>
        </w:tabs>
        <w:rPr>
          <w:rFonts w:cs="Arial"/>
          <w:i/>
          <w:sz w:val="22"/>
          <w:szCs w:val="22"/>
        </w:rPr>
      </w:pPr>
      <w:r w:rsidRPr="00384552">
        <w:rPr>
          <w:rFonts w:cs="Arial"/>
          <w:sz w:val="22"/>
          <w:szCs w:val="22"/>
        </w:rPr>
        <w:t xml:space="preserve">En este taller van a participar los miembros de la Junta directiva CAPS, grupo de apoyo, promotores comunitarios, un grupo de al menos 15-20 personas, integrado por personas de la JD del CAPS, grupo de apoyo, red de promotores/as sociales comunitarios, líderes comunitarios, Alcaldía Municipal y persona candidata a ocupar el cargo de Fontanero. </w:t>
      </w:r>
    </w:p>
    <w:p w14:paraId="571BCA39" w14:textId="77777777" w:rsidR="00003780" w:rsidRPr="00384552" w:rsidRDefault="00003780" w:rsidP="00003780">
      <w:pPr>
        <w:tabs>
          <w:tab w:val="left" w:pos="142"/>
        </w:tabs>
        <w:rPr>
          <w:rFonts w:cs="Arial"/>
          <w:i/>
          <w:sz w:val="22"/>
          <w:szCs w:val="22"/>
        </w:rPr>
      </w:pPr>
      <w:r w:rsidRPr="00384552">
        <w:rPr>
          <w:rFonts w:cs="Arial"/>
          <w:sz w:val="22"/>
          <w:szCs w:val="22"/>
        </w:rPr>
        <w:t>Para esta actividad deberá tener el apoyo del supervisor y representante de la Alcaldía Municipal.</w:t>
      </w:r>
    </w:p>
    <w:p w14:paraId="6029E0EB" w14:textId="77777777" w:rsidR="00003780" w:rsidRPr="00384552" w:rsidRDefault="00003780" w:rsidP="00003780">
      <w:pPr>
        <w:tabs>
          <w:tab w:val="left" w:pos="142"/>
        </w:tabs>
        <w:contextualSpacing/>
        <w:rPr>
          <w:rFonts w:cs="Arial"/>
          <w:i/>
          <w:sz w:val="22"/>
          <w:szCs w:val="22"/>
        </w:rPr>
      </w:pPr>
    </w:p>
    <w:p w14:paraId="41A68D02" w14:textId="77777777" w:rsidR="00003780" w:rsidRPr="00384552" w:rsidRDefault="00003780" w:rsidP="00003780">
      <w:pPr>
        <w:tabs>
          <w:tab w:val="left" w:pos="142"/>
        </w:tabs>
        <w:rPr>
          <w:rFonts w:cs="Arial"/>
          <w:b/>
          <w:sz w:val="22"/>
          <w:szCs w:val="22"/>
        </w:rPr>
      </w:pPr>
      <w:r w:rsidRPr="00384552">
        <w:rPr>
          <w:rFonts w:cs="Arial"/>
          <w:b/>
          <w:sz w:val="22"/>
          <w:szCs w:val="22"/>
        </w:rPr>
        <w:t>Carga horaria:</w:t>
      </w:r>
    </w:p>
    <w:p w14:paraId="2D7C6650" w14:textId="77777777" w:rsidR="00003780" w:rsidRPr="00384552" w:rsidRDefault="00003780" w:rsidP="00003780">
      <w:pPr>
        <w:tabs>
          <w:tab w:val="left" w:pos="142"/>
        </w:tabs>
        <w:rPr>
          <w:rFonts w:cs="Arial"/>
          <w:sz w:val="22"/>
          <w:szCs w:val="22"/>
        </w:rPr>
      </w:pPr>
      <w:r w:rsidRPr="00384552">
        <w:rPr>
          <w:rFonts w:cs="Arial"/>
          <w:sz w:val="22"/>
          <w:szCs w:val="22"/>
        </w:rPr>
        <w:t xml:space="preserve">El taller tendrá una duración de cuatro (4) horas. </w:t>
      </w:r>
    </w:p>
    <w:p w14:paraId="186DC3B6" w14:textId="77777777" w:rsidR="00003780" w:rsidRPr="00384552" w:rsidRDefault="00003780" w:rsidP="00003780">
      <w:pPr>
        <w:tabs>
          <w:tab w:val="left" w:pos="142"/>
        </w:tabs>
        <w:rPr>
          <w:rFonts w:cs="Arial"/>
          <w:sz w:val="22"/>
          <w:szCs w:val="22"/>
        </w:rPr>
      </w:pPr>
    </w:p>
    <w:p w14:paraId="45F9DCE2" w14:textId="77777777" w:rsidR="00003780" w:rsidRPr="00384552" w:rsidRDefault="00003780" w:rsidP="00003780">
      <w:pPr>
        <w:tabs>
          <w:tab w:val="left" w:pos="142"/>
        </w:tabs>
        <w:contextualSpacing/>
        <w:rPr>
          <w:rFonts w:cs="Arial"/>
          <w:i/>
          <w:sz w:val="22"/>
          <w:szCs w:val="22"/>
        </w:rPr>
      </w:pPr>
      <w:r w:rsidRPr="00384552">
        <w:rPr>
          <w:rFonts w:cs="Arial"/>
          <w:sz w:val="22"/>
          <w:szCs w:val="22"/>
        </w:rPr>
        <w:t>Requerimientos del contratista:</w:t>
      </w:r>
    </w:p>
    <w:p w14:paraId="1D9B93AF" w14:textId="77777777" w:rsidR="00003780" w:rsidRPr="00384552" w:rsidRDefault="00003780" w:rsidP="00003780">
      <w:pPr>
        <w:tabs>
          <w:tab w:val="left" w:pos="142"/>
        </w:tabs>
        <w:contextualSpacing/>
        <w:rPr>
          <w:rFonts w:cs="Arial"/>
          <w:i/>
          <w:sz w:val="22"/>
          <w:szCs w:val="22"/>
        </w:rPr>
      </w:pPr>
    </w:p>
    <w:p w14:paraId="747D6249"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Lapiceros, marcadores, papelografo, lápices</w:t>
      </w:r>
    </w:p>
    <w:p w14:paraId="09306FD4"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 xml:space="preserve">Libretas </w:t>
      </w:r>
    </w:p>
    <w:p w14:paraId="223EBB4F"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Refrigerios/Almuerzo</w:t>
      </w:r>
    </w:p>
    <w:p w14:paraId="5BA48E61" w14:textId="77777777" w:rsidR="00003780" w:rsidRPr="00384552" w:rsidRDefault="00003780" w:rsidP="00003780">
      <w:pPr>
        <w:tabs>
          <w:tab w:val="left" w:pos="142"/>
        </w:tabs>
        <w:contextualSpacing/>
        <w:rPr>
          <w:rFonts w:cs="Arial"/>
          <w:i/>
          <w:sz w:val="22"/>
          <w:szCs w:val="22"/>
        </w:rPr>
      </w:pPr>
    </w:p>
    <w:p w14:paraId="52F7006B" w14:textId="77777777" w:rsidR="00003780" w:rsidRPr="00384552" w:rsidRDefault="00003780" w:rsidP="00003780">
      <w:pPr>
        <w:tabs>
          <w:tab w:val="left" w:pos="142"/>
        </w:tabs>
        <w:contextualSpacing/>
        <w:rPr>
          <w:rFonts w:cs="Arial"/>
          <w:i/>
          <w:sz w:val="22"/>
          <w:szCs w:val="22"/>
        </w:rPr>
      </w:pPr>
      <w:r w:rsidRPr="00384552">
        <w:rPr>
          <w:rFonts w:cs="Arial"/>
          <w:sz w:val="22"/>
          <w:szCs w:val="22"/>
        </w:rPr>
        <w:lastRenderedPageBreak/>
        <w:t>Producto esperado:</w:t>
      </w:r>
    </w:p>
    <w:p w14:paraId="68D7F943"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Reglamento interno del sistema de agua</w:t>
      </w:r>
    </w:p>
    <w:p w14:paraId="40826ADD"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Ayuda memoria de taller</w:t>
      </w:r>
    </w:p>
    <w:p w14:paraId="664A6CDC"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Listado de asistencia</w:t>
      </w:r>
    </w:p>
    <w:p w14:paraId="503F2630" w14:textId="77777777" w:rsidR="00003780" w:rsidRPr="00384552" w:rsidRDefault="00003780" w:rsidP="003B68DB">
      <w:pPr>
        <w:numPr>
          <w:ilvl w:val="0"/>
          <w:numId w:val="124"/>
        </w:numPr>
        <w:tabs>
          <w:tab w:val="left" w:pos="142"/>
        </w:tabs>
        <w:contextualSpacing/>
        <w:rPr>
          <w:rFonts w:cs="Arial"/>
          <w:i/>
          <w:sz w:val="22"/>
          <w:szCs w:val="22"/>
        </w:rPr>
      </w:pPr>
      <w:r w:rsidRPr="00384552">
        <w:rPr>
          <w:rFonts w:cs="Arial"/>
          <w:sz w:val="22"/>
          <w:szCs w:val="22"/>
        </w:rPr>
        <w:t>Memoria fotográfica</w:t>
      </w:r>
    </w:p>
    <w:p w14:paraId="21A8D95B" w14:textId="77777777" w:rsidR="00003780" w:rsidRPr="00384552" w:rsidRDefault="00003780" w:rsidP="00003780">
      <w:pPr>
        <w:tabs>
          <w:tab w:val="left" w:pos="142"/>
        </w:tabs>
        <w:contextualSpacing/>
        <w:rPr>
          <w:rFonts w:cs="Arial"/>
          <w:i/>
          <w:sz w:val="22"/>
          <w:szCs w:val="22"/>
        </w:rPr>
      </w:pPr>
    </w:p>
    <w:p w14:paraId="65A72A55" w14:textId="77777777" w:rsidR="00003780" w:rsidRPr="00384552" w:rsidRDefault="00003780" w:rsidP="003B68DB">
      <w:pPr>
        <w:numPr>
          <w:ilvl w:val="0"/>
          <w:numId w:val="130"/>
        </w:numPr>
        <w:tabs>
          <w:tab w:val="left" w:pos="142"/>
        </w:tabs>
        <w:contextualSpacing/>
        <w:rPr>
          <w:rFonts w:cs="Arial"/>
          <w:b/>
          <w:sz w:val="22"/>
          <w:szCs w:val="22"/>
        </w:rPr>
      </w:pPr>
      <w:r w:rsidRPr="00384552">
        <w:rPr>
          <w:rFonts w:cs="Arial"/>
          <w:b/>
          <w:sz w:val="22"/>
          <w:szCs w:val="22"/>
        </w:rPr>
        <w:t>Planificar y realizar Asamblea general comunitaria para dar a conocer y aprobar el Reglamento Interno del Sistema de Agua Potable-SAP, construido. Elaborar informe de planificación y realización de asamblea general comunitaria.</w:t>
      </w:r>
    </w:p>
    <w:p w14:paraId="590FFA82" w14:textId="77777777" w:rsidR="00003780" w:rsidRPr="00384552" w:rsidRDefault="00003780" w:rsidP="00003780">
      <w:pPr>
        <w:tabs>
          <w:tab w:val="left" w:pos="142"/>
        </w:tabs>
        <w:rPr>
          <w:rFonts w:cs="Arial"/>
          <w:sz w:val="22"/>
          <w:szCs w:val="22"/>
        </w:rPr>
      </w:pPr>
    </w:p>
    <w:p w14:paraId="550A4230" w14:textId="77777777" w:rsidR="00003780" w:rsidRPr="00384552" w:rsidRDefault="00003780" w:rsidP="00003780">
      <w:pPr>
        <w:tabs>
          <w:tab w:val="left" w:pos="142"/>
        </w:tabs>
        <w:rPr>
          <w:rFonts w:cs="Arial"/>
          <w:i/>
          <w:sz w:val="22"/>
          <w:szCs w:val="22"/>
        </w:rPr>
      </w:pPr>
      <w:r w:rsidRPr="00384552">
        <w:rPr>
          <w:rFonts w:cs="Arial"/>
          <w:sz w:val="22"/>
          <w:szCs w:val="22"/>
        </w:rPr>
        <w:t>El contratista deberá planificar y realizar la asamblea general para dar a conocer el reglamento interno del sistema construido. Deberá garantizar el 70% de participación de los protagonistas.</w:t>
      </w:r>
    </w:p>
    <w:p w14:paraId="059A1A09" w14:textId="77777777" w:rsidR="00003780" w:rsidRPr="00384552" w:rsidRDefault="00003780" w:rsidP="00003780">
      <w:pPr>
        <w:tabs>
          <w:tab w:val="left" w:pos="142"/>
        </w:tabs>
        <w:rPr>
          <w:rFonts w:cs="Arial"/>
          <w:i/>
          <w:sz w:val="22"/>
          <w:szCs w:val="22"/>
        </w:rPr>
      </w:pPr>
      <w:r w:rsidRPr="00384552">
        <w:rPr>
          <w:rFonts w:cs="Arial"/>
          <w:sz w:val="22"/>
          <w:szCs w:val="22"/>
        </w:rPr>
        <w:t xml:space="preserve">Planificar y realizar asamblea general comunitaria, con participación de al menos el 70% de jefes/as de viviendas existentes en la comunidad/es.  El contratista debe realizar visita casa a casa para convocar y entregar invitación a tod@s l@s protagonistas del proyecto a la Asamblea, 100% de viviendas visitas. </w:t>
      </w:r>
    </w:p>
    <w:p w14:paraId="03E582A5" w14:textId="77777777" w:rsidR="00003780" w:rsidRPr="00384552" w:rsidRDefault="00003780" w:rsidP="00003780">
      <w:pPr>
        <w:tabs>
          <w:tab w:val="left" w:pos="142"/>
        </w:tabs>
        <w:rPr>
          <w:rFonts w:cs="Arial"/>
          <w:i/>
          <w:sz w:val="22"/>
          <w:szCs w:val="22"/>
        </w:rPr>
      </w:pPr>
    </w:p>
    <w:p w14:paraId="16D1B056" w14:textId="77777777" w:rsidR="00003780" w:rsidRPr="00384552" w:rsidRDefault="00003780" w:rsidP="00003780">
      <w:pPr>
        <w:tabs>
          <w:tab w:val="left" w:pos="142"/>
        </w:tabs>
        <w:rPr>
          <w:rFonts w:cs="Arial"/>
          <w:i/>
          <w:sz w:val="22"/>
          <w:szCs w:val="22"/>
        </w:rPr>
      </w:pPr>
      <w:r w:rsidRPr="00384552">
        <w:rPr>
          <w:rFonts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05669628" w14:textId="77777777" w:rsidR="00003780" w:rsidRPr="00384552" w:rsidRDefault="00003780" w:rsidP="00003780">
      <w:pPr>
        <w:tabs>
          <w:tab w:val="left" w:pos="142"/>
        </w:tabs>
        <w:rPr>
          <w:rFonts w:cs="Arial"/>
          <w:i/>
          <w:sz w:val="22"/>
          <w:szCs w:val="22"/>
        </w:rPr>
      </w:pPr>
    </w:p>
    <w:p w14:paraId="4B9B37E0" w14:textId="77777777" w:rsidR="00003780" w:rsidRPr="00384552" w:rsidRDefault="00003780" w:rsidP="00003780">
      <w:pPr>
        <w:tabs>
          <w:tab w:val="left" w:pos="142"/>
        </w:tabs>
        <w:rPr>
          <w:rFonts w:cs="Arial"/>
          <w:sz w:val="22"/>
          <w:szCs w:val="22"/>
        </w:rPr>
      </w:pPr>
      <w:r w:rsidRPr="00384552">
        <w:rPr>
          <w:rFonts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1CBB60D2" w14:textId="77777777" w:rsidR="00003780" w:rsidRPr="00384552" w:rsidRDefault="00003780" w:rsidP="00003780">
      <w:pPr>
        <w:tabs>
          <w:tab w:val="left" w:pos="142"/>
        </w:tabs>
        <w:rPr>
          <w:rFonts w:cs="Arial"/>
          <w:sz w:val="22"/>
          <w:szCs w:val="22"/>
        </w:rPr>
      </w:pPr>
    </w:p>
    <w:p w14:paraId="5B7E26F6" w14:textId="77777777" w:rsidR="00003780" w:rsidRPr="00384552" w:rsidRDefault="00003780" w:rsidP="00003780">
      <w:pPr>
        <w:tabs>
          <w:tab w:val="left" w:pos="142"/>
        </w:tabs>
        <w:rPr>
          <w:rFonts w:cs="Arial"/>
          <w:sz w:val="22"/>
          <w:szCs w:val="22"/>
        </w:rPr>
      </w:pPr>
      <w:r w:rsidRPr="00384552">
        <w:rPr>
          <w:rFonts w:cs="Arial"/>
          <w:sz w:val="22"/>
          <w:szCs w:val="22"/>
        </w:rPr>
        <w:t xml:space="preserve">El contratista deberá hacer presentar ya sea en papelones, Data show el contenido del Reglamento Interno, haciendo referencia a los alcances del mismo. Importante reflejar la aceptación y aprobación del Reglamento Interno (RI). En asamblea se debe contar con participación del responsable de Unidad Municipal de Agua y Saneamiento (UMAS). Dejar documento original del Reglamento Interno en comunidad, debidamente validado y firmado por UMAS y JD del CAPS. </w:t>
      </w:r>
    </w:p>
    <w:p w14:paraId="11A9A0EF" w14:textId="77777777" w:rsidR="00003780" w:rsidRPr="00384552" w:rsidRDefault="00003780" w:rsidP="00003780">
      <w:pPr>
        <w:tabs>
          <w:tab w:val="left" w:pos="142"/>
        </w:tabs>
        <w:rPr>
          <w:rFonts w:cs="Arial"/>
          <w:b/>
          <w:sz w:val="22"/>
          <w:szCs w:val="22"/>
        </w:rPr>
      </w:pPr>
    </w:p>
    <w:p w14:paraId="338FA414" w14:textId="77777777" w:rsidR="00003780" w:rsidRPr="00384552" w:rsidRDefault="00003780" w:rsidP="00003780">
      <w:pPr>
        <w:tabs>
          <w:tab w:val="left" w:pos="142"/>
        </w:tabs>
        <w:rPr>
          <w:rFonts w:cs="Arial"/>
          <w:b/>
          <w:sz w:val="22"/>
          <w:szCs w:val="22"/>
        </w:rPr>
      </w:pPr>
      <w:r w:rsidRPr="00384552">
        <w:rPr>
          <w:rFonts w:cs="Arial"/>
          <w:b/>
          <w:sz w:val="22"/>
          <w:szCs w:val="22"/>
        </w:rPr>
        <w:t>Los productos esperados por el contratista:</w:t>
      </w:r>
    </w:p>
    <w:p w14:paraId="28965009" w14:textId="77777777" w:rsidR="00003780" w:rsidRPr="00384552" w:rsidRDefault="00003780" w:rsidP="00003780">
      <w:pPr>
        <w:tabs>
          <w:tab w:val="left" w:pos="142"/>
        </w:tabs>
        <w:rPr>
          <w:rFonts w:cs="Arial"/>
          <w:sz w:val="22"/>
          <w:szCs w:val="22"/>
        </w:rPr>
      </w:pPr>
    </w:p>
    <w:p w14:paraId="298928A9" w14:textId="77777777" w:rsidR="00003780" w:rsidRPr="00384552" w:rsidRDefault="00003780" w:rsidP="00003780">
      <w:pPr>
        <w:tabs>
          <w:tab w:val="left" w:pos="142"/>
        </w:tabs>
        <w:rPr>
          <w:rFonts w:cs="Arial"/>
          <w:sz w:val="22"/>
          <w:szCs w:val="22"/>
        </w:rPr>
      </w:pPr>
      <w:r w:rsidRPr="00384552">
        <w:rPr>
          <w:rFonts w:cs="Arial"/>
          <w:sz w:val="22"/>
          <w:szCs w:val="22"/>
        </w:rPr>
        <w:t>1. Informe ejecutivo</w:t>
      </w:r>
    </w:p>
    <w:p w14:paraId="0DE9A880" w14:textId="77777777" w:rsidR="00003780" w:rsidRPr="00384552" w:rsidRDefault="00003780" w:rsidP="00003780">
      <w:pPr>
        <w:tabs>
          <w:tab w:val="left" w:pos="142"/>
        </w:tabs>
        <w:rPr>
          <w:rFonts w:cs="Arial"/>
          <w:sz w:val="22"/>
          <w:szCs w:val="22"/>
        </w:rPr>
      </w:pPr>
      <w:r w:rsidRPr="00384552">
        <w:rPr>
          <w:rFonts w:cs="Arial"/>
          <w:sz w:val="22"/>
          <w:szCs w:val="22"/>
        </w:rPr>
        <w:t>2. Lista de asistencia, debidamente firmada y avalada por técnico UMAS, CAPS, ATT.</w:t>
      </w:r>
    </w:p>
    <w:p w14:paraId="57F1E674" w14:textId="77777777" w:rsidR="00003780" w:rsidRPr="00384552" w:rsidRDefault="00003780" w:rsidP="00003780">
      <w:pPr>
        <w:tabs>
          <w:tab w:val="left" w:pos="142"/>
        </w:tabs>
        <w:rPr>
          <w:rFonts w:cs="Arial"/>
          <w:sz w:val="22"/>
          <w:szCs w:val="22"/>
        </w:rPr>
      </w:pPr>
      <w:r w:rsidRPr="00384552">
        <w:rPr>
          <w:rFonts w:cs="Arial"/>
          <w:sz w:val="22"/>
          <w:szCs w:val="22"/>
        </w:rPr>
        <w:t>3. Acta de asamblea (modelo típico FISE), con su lista de asistencia.</w:t>
      </w:r>
    </w:p>
    <w:p w14:paraId="7622D391" w14:textId="77777777" w:rsidR="00003780" w:rsidRPr="00384552" w:rsidRDefault="00003780" w:rsidP="00003780">
      <w:pPr>
        <w:tabs>
          <w:tab w:val="left" w:pos="142"/>
        </w:tabs>
        <w:rPr>
          <w:rFonts w:cs="Arial"/>
          <w:sz w:val="22"/>
          <w:szCs w:val="22"/>
        </w:rPr>
      </w:pPr>
      <w:r w:rsidRPr="00384552">
        <w:rPr>
          <w:rFonts w:cs="Arial"/>
          <w:sz w:val="22"/>
          <w:szCs w:val="22"/>
        </w:rPr>
        <w:t>4. Ayuda memoria.</w:t>
      </w:r>
    </w:p>
    <w:p w14:paraId="311B634E" w14:textId="77777777" w:rsidR="00003780" w:rsidRPr="00384552" w:rsidRDefault="00003780" w:rsidP="00003780">
      <w:pPr>
        <w:tabs>
          <w:tab w:val="left" w:pos="142"/>
        </w:tabs>
        <w:rPr>
          <w:rFonts w:cs="Arial"/>
          <w:sz w:val="22"/>
          <w:szCs w:val="22"/>
        </w:rPr>
      </w:pPr>
      <w:r w:rsidRPr="00384552">
        <w:rPr>
          <w:rFonts w:cs="Arial"/>
          <w:sz w:val="22"/>
          <w:szCs w:val="22"/>
        </w:rPr>
        <w:t>5. Memoria fotográfica.</w:t>
      </w:r>
    </w:p>
    <w:p w14:paraId="02BD641B" w14:textId="77777777" w:rsidR="00003780" w:rsidRPr="00384552" w:rsidRDefault="00003780" w:rsidP="00003780">
      <w:pPr>
        <w:tabs>
          <w:tab w:val="left" w:pos="142"/>
        </w:tabs>
        <w:rPr>
          <w:rFonts w:cs="Arial"/>
          <w:sz w:val="22"/>
          <w:szCs w:val="22"/>
        </w:rPr>
      </w:pPr>
      <w:r w:rsidRPr="00384552">
        <w:rPr>
          <w:rFonts w:cs="Arial"/>
          <w:sz w:val="22"/>
          <w:szCs w:val="22"/>
        </w:rPr>
        <w:t>6. Reglamento interno.</w:t>
      </w:r>
    </w:p>
    <w:p w14:paraId="36B61F33" w14:textId="77777777" w:rsidR="00003780" w:rsidRPr="00384552" w:rsidRDefault="00003780" w:rsidP="00003780">
      <w:pPr>
        <w:tabs>
          <w:tab w:val="left" w:pos="142"/>
        </w:tabs>
        <w:rPr>
          <w:rFonts w:cs="Arial"/>
          <w:sz w:val="22"/>
          <w:szCs w:val="22"/>
        </w:rPr>
      </w:pPr>
    </w:p>
    <w:p w14:paraId="03D7B4A3"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Planificar, Elaborar Informe y Realización de Asamblea General comunitaria para dar a conocer Plan de Operación y Mantenimiento del Sistema y firma de acta de recepción final.</w:t>
      </w:r>
    </w:p>
    <w:p w14:paraId="053971D0" w14:textId="77777777" w:rsidR="00003780" w:rsidRPr="00384552" w:rsidRDefault="00003780" w:rsidP="00003780">
      <w:pPr>
        <w:tabs>
          <w:tab w:val="left" w:pos="142"/>
        </w:tabs>
        <w:rPr>
          <w:rFonts w:cs="Arial"/>
          <w:sz w:val="22"/>
          <w:szCs w:val="22"/>
        </w:rPr>
      </w:pPr>
    </w:p>
    <w:p w14:paraId="07CFEC91" w14:textId="77777777" w:rsidR="00003780" w:rsidRPr="00384552" w:rsidRDefault="00003780" w:rsidP="00003780">
      <w:pPr>
        <w:tabs>
          <w:tab w:val="left" w:pos="142"/>
        </w:tabs>
        <w:rPr>
          <w:rFonts w:cs="Arial"/>
          <w:sz w:val="22"/>
          <w:szCs w:val="22"/>
        </w:rPr>
      </w:pPr>
      <w:r w:rsidRPr="00384552">
        <w:rPr>
          <w:rFonts w:cs="Arial"/>
          <w:sz w:val="22"/>
          <w:szCs w:val="22"/>
        </w:rPr>
        <w:t xml:space="preserve">Utilizando información técnica, establecida en documento de formulación del proyecto, se planifica y realiza taller consultivo para revisión del plan de Operación y mantenimiento del Sistema de Agua construido., En taller participa un grupo meta de 18 a 25 protagonistas, integrado por personas de la JD del CAPS, grupo de apoyo, red de promotores/as sociales comunitarios, líderes naturales, gremiales, políticos, religiosos y persona candidata a ocupar el cargo de Fontanero. </w:t>
      </w:r>
    </w:p>
    <w:p w14:paraId="4EB32C66" w14:textId="77777777" w:rsidR="00003780" w:rsidRPr="00384552" w:rsidRDefault="00003780" w:rsidP="00003780">
      <w:pPr>
        <w:tabs>
          <w:tab w:val="left" w:pos="142"/>
        </w:tabs>
        <w:rPr>
          <w:rFonts w:cs="Arial"/>
          <w:sz w:val="22"/>
          <w:szCs w:val="22"/>
        </w:rPr>
      </w:pPr>
    </w:p>
    <w:p w14:paraId="4ABB27F6" w14:textId="77777777" w:rsidR="00003780" w:rsidRPr="00384552" w:rsidRDefault="00003780" w:rsidP="00003780">
      <w:pPr>
        <w:tabs>
          <w:tab w:val="left" w:pos="142"/>
        </w:tabs>
        <w:rPr>
          <w:rFonts w:cs="Arial"/>
          <w:sz w:val="22"/>
          <w:szCs w:val="22"/>
        </w:rPr>
      </w:pPr>
      <w:r w:rsidRPr="00384552">
        <w:rPr>
          <w:rFonts w:cs="Arial"/>
          <w:sz w:val="22"/>
          <w:szCs w:val="22"/>
        </w:rPr>
        <w:t xml:space="preserve">Se debe garantizar a cada participante su refrigerio. El taller tendrá una duración de cuatro (4) horas. </w:t>
      </w:r>
    </w:p>
    <w:p w14:paraId="08F8D938" w14:textId="77777777" w:rsidR="00003780" w:rsidRPr="00384552" w:rsidRDefault="00003780" w:rsidP="00003780">
      <w:pPr>
        <w:tabs>
          <w:tab w:val="left" w:pos="142"/>
        </w:tabs>
        <w:rPr>
          <w:rFonts w:cs="Arial"/>
          <w:sz w:val="22"/>
          <w:szCs w:val="22"/>
        </w:rPr>
      </w:pPr>
    </w:p>
    <w:p w14:paraId="4DB1EC72" w14:textId="77777777" w:rsidR="00003780" w:rsidRPr="00384552" w:rsidRDefault="00003780" w:rsidP="00003780">
      <w:pPr>
        <w:tabs>
          <w:tab w:val="left" w:pos="142"/>
        </w:tabs>
        <w:rPr>
          <w:rFonts w:cs="Arial"/>
          <w:sz w:val="22"/>
          <w:szCs w:val="22"/>
        </w:rPr>
      </w:pPr>
      <w:r w:rsidRPr="00384552">
        <w:rPr>
          <w:rFonts w:cs="Arial"/>
          <w:sz w:val="22"/>
          <w:szCs w:val="22"/>
        </w:rPr>
        <w:t xml:space="preserve">Los productos a entregar serán; Lista de asistencia con nombres y apellidos de participantes, # de cédulas, cargos y firmas, en caso de no poder firmar, soportar con huella digital. El contratista entregará Informe Ejecutivo del taller, así como copia del plan de operación y mantenimiento del sistema construido. </w:t>
      </w:r>
    </w:p>
    <w:p w14:paraId="3DC8A69C" w14:textId="77777777" w:rsidR="00003780" w:rsidRPr="00384552" w:rsidRDefault="00003780" w:rsidP="00003780">
      <w:pPr>
        <w:tabs>
          <w:tab w:val="left" w:pos="142"/>
        </w:tabs>
        <w:rPr>
          <w:rFonts w:cs="Arial"/>
          <w:b/>
          <w:sz w:val="22"/>
          <w:szCs w:val="22"/>
        </w:rPr>
      </w:pPr>
    </w:p>
    <w:p w14:paraId="55AC764D" w14:textId="77777777" w:rsidR="00003780" w:rsidRPr="00384552" w:rsidRDefault="00003780" w:rsidP="003B68DB">
      <w:pPr>
        <w:numPr>
          <w:ilvl w:val="0"/>
          <w:numId w:val="130"/>
        </w:numPr>
        <w:tabs>
          <w:tab w:val="left" w:pos="142"/>
        </w:tabs>
        <w:ind w:firstLine="0"/>
        <w:contextualSpacing/>
        <w:rPr>
          <w:rFonts w:cs="Arial"/>
          <w:b/>
          <w:sz w:val="22"/>
          <w:szCs w:val="22"/>
        </w:rPr>
      </w:pPr>
      <w:r w:rsidRPr="00384552">
        <w:rPr>
          <w:rFonts w:cs="Arial"/>
          <w:b/>
          <w:sz w:val="22"/>
          <w:szCs w:val="22"/>
        </w:rPr>
        <w:t>Elaborar y realizar el levantamiento de la ficha de finiquito del proyecto</w:t>
      </w:r>
    </w:p>
    <w:p w14:paraId="54435AB0" w14:textId="77777777" w:rsidR="00003780" w:rsidRPr="00384552" w:rsidRDefault="00003780" w:rsidP="00003780">
      <w:pPr>
        <w:tabs>
          <w:tab w:val="left" w:pos="142"/>
        </w:tabs>
        <w:ind w:left="720"/>
        <w:contextualSpacing/>
        <w:rPr>
          <w:rFonts w:cs="Arial"/>
          <w:b/>
          <w:sz w:val="22"/>
          <w:szCs w:val="22"/>
          <w:highlight w:val="yellow"/>
        </w:rPr>
      </w:pPr>
    </w:p>
    <w:p w14:paraId="36FAEF4D" w14:textId="77777777" w:rsidR="00003780" w:rsidRPr="00384552" w:rsidRDefault="00003780" w:rsidP="00003780">
      <w:pPr>
        <w:tabs>
          <w:tab w:val="left" w:pos="142"/>
        </w:tabs>
        <w:rPr>
          <w:rFonts w:cs="Arial"/>
          <w:i/>
          <w:sz w:val="22"/>
          <w:szCs w:val="22"/>
        </w:rPr>
      </w:pPr>
      <w:r w:rsidRPr="00384552">
        <w:rPr>
          <w:rFonts w:cs="Arial"/>
          <w:sz w:val="22"/>
          <w:szCs w:val="22"/>
        </w:rPr>
        <w:t xml:space="preserve">Usando el formato del FISE, en coordinación de la parte de ingeniería de la obra (supervisor, ATT, residente) y parte social se realiza el llenado de la ficha finiquito.  Esta información es responsabilidad compartida de la parte de ingeniería y social garantizar el llenado de información. </w:t>
      </w:r>
    </w:p>
    <w:p w14:paraId="53BB1CE3" w14:textId="77777777" w:rsidR="00003780" w:rsidRPr="00384552" w:rsidRDefault="00003780" w:rsidP="00003780">
      <w:pPr>
        <w:tabs>
          <w:tab w:val="left" w:pos="142"/>
        </w:tabs>
        <w:rPr>
          <w:rFonts w:cs="Arial"/>
          <w:i/>
          <w:sz w:val="22"/>
          <w:szCs w:val="22"/>
        </w:rPr>
      </w:pPr>
    </w:p>
    <w:p w14:paraId="4C5007FB" w14:textId="77777777" w:rsidR="00003780" w:rsidRPr="00384552" w:rsidRDefault="00003780" w:rsidP="00003780">
      <w:pPr>
        <w:tabs>
          <w:tab w:val="left" w:pos="142"/>
        </w:tabs>
        <w:rPr>
          <w:rFonts w:cs="Arial"/>
          <w:b/>
          <w:sz w:val="22"/>
          <w:szCs w:val="22"/>
        </w:rPr>
      </w:pPr>
      <w:r w:rsidRPr="00384552">
        <w:rPr>
          <w:rFonts w:cs="Arial"/>
          <w:b/>
          <w:sz w:val="22"/>
          <w:szCs w:val="22"/>
        </w:rPr>
        <w:t>Producto a entregar por el contratista:</w:t>
      </w:r>
    </w:p>
    <w:p w14:paraId="354F0805" w14:textId="77777777" w:rsidR="00003780" w:rsidRPr="00384552" w:rsidRDefault="00003780" w:rsidP="003B68DB">
      <w:pPr>
        <w:numPr>
          <w:ilvl w:val="0"/>
          <w:numId w:val="124"/>
        </w:numPr>
        <w:tabs>
          <w:tab w:val="left" w:pos="142"/>
        </w:tabs>
        <w:rPr>
          <w:rFonts w:cs="Arial"/>
          <w:i/>
          <w:sz w:val="22"/>
          <w:szCs w:val="22"/>
        </w:rPr>
      </w:pPr>
      <w:r w:rsidRPr="00384552">
        <w:rPr>
          <w:rFonts w:cs="Arial"/>
          <w:sz w:val="22"/>
          <w:szCs w:val="22"/>
        </w:rPr>
        <w:t xml:space="preserve">Ficha finiquito del proyecto de agua, saneamiento e higiene </w:t>
      </w:r>
    </w:p>
    <w:p w14:paraId="33F36782" w14:textId="77777777" w:rsidR="00003780" w:rsidRDefault="00003780" w:rsidP="00003780">
      <w:pPr>
        <w:tabs>
          <w:tab w:val="left" w:pos="142"/>
        </w:tabs>
        <w:rPr>
          <w:rFonts w:cs="Arial"/>
          <w:b/>
          <w:sz w:val="22"/>
          <w:szCs w:val="22"/>
        </w:rPr>
      </w:pPr>
    </w:p>
    <w:p w14:paraId="1BD6A8D7" w14:textId="77777777" w:rsidR="00003780" w:rsidRPr="00384552" w:rsidRDefault="00003780" w:rsidP="00003780">
      <w:pPr>
        <w:tabs>
          <w:tab w:val="left" w:pos="142"/>
        </w:tabs>
        <w:rPr>
          <w:rFonts w:cs="Arial"/>
          <w:b/>
          <w:sz w:val="22"/>
          <w:szCs w:val="22"/>
        </w:rPr>
      </w:pPr>
      <w:r w:rsidRPr="00D76628">
        <w:rPr>
          <w:rFonts w:cs="Arial"/>
          <w:b/>
          <w:sz w:val="22"/>
          <w:szCs w:val="22"/>
        </w:rPr>
        <w:t>ETAPA DE POST- OBRA Y SOSTENIBILIDAD</w:t>
      </w:r>
      <w:r w:rsidRPr="00384552">
        <w:rPr>
          <w:rFonts w:cs="Arial"/>
          <w:b/>
          <w:sz w:val="22"/>
          <w:szCs w:val="22"/>
        </w:rPr>
        <w:t xml:space="preserve"> </w:t>
      </w:r>
    </w:p>
    <w:p w14:paraId="151805F1" w14:textId="77777777" w:rsidR="00003780" w:rsidRPr="00384552" w:rsidRDefault="00003780" w:rsidP="00003780">
      <w:pPr>
        <w:tabs>
          <w:tab w:val="left" w:pos="142"/>
        </w:tabs>
        <w:rPr>
          <w:rFonts w:cs="Arial"/>
          <w:b/>
          <w:sz w:val="22"/>
          <w:szCs w:val="22"/>
        </w:rPr>
      </w:pPr>
    </w:p>
    <w:p w14:paraId="55A8AD1D"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para implementación de metodología FCSA –Quinta visita casa a casa.</w:t>
      </w:r>
    </w:p>
    <w:p w14:paraId="43062513" w14:textId="77777777" w:rsidR="00003780" w:rsidRPr="00384552" w:rsidRDefault="00003780" w:rsidP="00003780">
      <w:pPr>
        <w:tabs>
          <w:tab w:val="left" w:pos="142"/>
        </w:tabs>
        <w:rPr>
          <w:rFonts w:cs="Arial"/>
          <w:sz w:val="22"/>
          <w:szCs w:val="22"/>
        </w:rPr>
      </w:pPr>
    </w:p>
    <w:p w14:paraId="5DC92730" w14:textId="77777777" w:rsidR="00003780" w:rsidRPr="00384552" w:rsidRDefault="00003780" w:rsidP="00003780">
      <w:pPr>
        <w:tabs>
          <w:tab w:val="left" w:pos="142"/>
        </w:tabs>
        <w:rPr>
          <w:rFonts w:cs="Arial"/>
          <w:sz w:val="22"/>
          <w:szCs w:val="22"/>
        </w:rPr>
      </w:pPr>
      <w:r w:rsidRPr="00384552">
        <w:rPr>
          <w:rFonts w:cs="Arial"/>
          <w:sz w:val="22"/>
          <w:szCs w:val="22"/>
        </w:rPr>
        <w:t xml:space="preserve">Antes de realizar la quinta visita de FCSA, el contratista deberá realizar reunión con promotores/as sociales comunitarios, para evaluar resultados de la tercera visita, definiendo estrategias para superar limitantes y mejorar procesos para su realización. </w:t>
      </w:r>
    </w:p>
    <w:p w14:paraId="08F13BC0" w14:textId="77777777" w:rsidR="00003780" w:rsidRPr="00384552" w:rsidRDefault="00003780" w:rsidP="00003780">
      <w:pPr>
        <w:tabs>
          <w:tab w:val="left" w:pos="142"/>
        </w:tabs>
        <w:rPr>
          <w:rFonts w:cs="Arial"/>
          <w:sz w:val="22"/>
          <w:szCs w:val="22"/>
        </w:rPr>
      </w:pPr>
    </w:p>
    <w:p w14:paraId="298DEA07" w14:textId="77777777" w:rsidR="00003780" w:rsidRPr="00384552" w:rsidRDefault="00003780" w:rsidP="00003780">
      <w:pPr>
        <w:tabs>
          <w:tab w:val="left" w:pos="142"/>
        </w:tabs>
        <w:rPr>
          <w:rFonts w:cs="Arial"/>
          <w:sz w:val="22"/>
          <w:szCs w:val="22"/>
        </w:rPr>
      </w:pPr>
      <w:r w:rsidRPr="00384552">
        <w:rPr>
          <w:rFonts w:cs="Arial"/>
          <w:sz w:val="22"/>
          <w:szCs w:val="22"/>
        </w:rPr>
        <w:t xml:space="preserve">En la quinta visita de FCSA, se evalúa, en base a criterios del tema establecido en la FICHA Familiar, visitándose el 100 % de las viviendas protagonistas directos del proyecto, evaluándose el tema, en base a los criterios establecidos en Ficha, en la visita se coloca una gotita alegre en la ficha familiar, poniendo en práctica los procedimientos establecidos, para su aplicación. </w:t>
      </w:r>
    </w:p>
    <w:p w14:paraId="4457C7A3" w14:textId="77777777" w:rsidR="00003780" w:rsidRPr="00384552" w:rsidRDefault="00003780" w:rsidP="00003780">
      <w:pPr>
        <w:tabs>
          <w:tab w:val="left" w:pos="142"/>
        </w:tabs>
        <w:rPr>
          <w:rFonts w:cs="Arial"/>
          <w:sz w:val="22"/>
          <w:szCs w:val="22"/>
        </w:rPr>
      </w:pPr>
    </w:p>
    <w:p w14:paraId="7692A1C9" w14:textId="77777777" w:rsidR="00003780" w:rsidRPr="00384552" w:rsidRDefault="00003780" w:rsidP="00003780">
      <w:pPr>
        <w:tabs>
          <w:tab w:val="left" w:pos="142"/>
        </w:tabs>
        <w:rPr>
          <w:rFonts w:cs="Arial"/>
          <w:sz w:val="22"/>
          <w:szCs w:val="22"/>
        </w:rPr>
      </w:pPr>
      <w:r w:rsidRPr="00384552">
        <w:rPr>
          <w:rFonts w:cs="Arial"/>
          <w:sz w:val="22"/>
          <w:szCs w:val="22"/>
        </w:rPr>
        <w:t xml:space="preserve">Cada promotor/ra, con apoyo y acompañamiento del contratista, debe negociar con propietarios de viviendas, horario y día para realizar la siguiente visita. </w:t>
      </w:r>
    </w:p>
    <w:p w14:paraId="72559999" w14:textId="77777777" w:rsidR="00003780" w:rsidRPr="00384552" w:rsidRDefault="00003780" w:rsidP="00003780">
      <w:pPr>
        <w:tabs>
          <w:tab w:val="left" w:pos="142"/>
        </w:tabs>
        <w:rPr>
          <w:rFonts w:cs="Arial"/>
          <w:sz w:val="22"/>
          <w:szCs w:val="22"/>
        </w:rPr>
      </w:pPr>
    </w:p>
    <w:p w14:paraId="58F26CE7"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6748D087" w14:textId="77777777" w:rsidR="00003780" w:rsidRPr="00384552" w:rsidRDefault="00003780" w:rsidP="00003780">
      <w:pPr>
        <w:tabs>
          <w:tab w:val="left" w:pos="142"/>
        </w:tabs>
        <w:rPr>
          <w:rFonts w:cs="Arial"/>
          <w:sz w:val="22"/>
          <w:szCs w:val="22"/>
        </w:rPr>
      </w:pPr>
      <w:r w:rsidRPr="00384552">
        <w:rPr>
          <w:rFonts w:cs="Arial"/>
          <w:sz w:val="22"/>
          <w:szCs w:val="22"/>
        </w:rPr>
        <w:t>1.  Informe de la visita Tema 4, consolidado por familias.</w:t>
      </w:r>
    </w:p>
    <w:p w14:paraId="6F74B97C" w14:textId="77777777" w:rsidR="00003780" w:rsidRPr="00384552" w:rsidRDefault="00003780" w:rsidP="00003780">
      <w:pPr>
        <w:tabs>
          <w:tab w:val="left" w:pos="142"/>
        </w:tabs>
        <w:rPr>
          <w:rFonts w:cs="Arial"/>
          <w:sz w:val="22"/>
          <w:szCs w:val="22"/>
        </w:rPr>
      </w:pPr>
      <w:r w:rsidRPr="00384552">
        <w:rPr>
          <w:rFonts w:cs="Arial"/>
          <w:sz w:val="22"/>
          <w:szCs w:val="22"/>
        </w:rPr>
        <w:t>Contratista, elabora informe del avance en reflejando los cambios de comportamientos de higiene que se ha logrado con la implementación de FCSA, visita casa a casa según el tema, enfatizando limitantes, logros, así como propuestas para superar limitantes y recomendaciones.</w:t>
      </w:r>
    </w:p>
    <w:p w14:paraId="6BFCC035" w14:textId="77777777" w:rsidR="00003780" w:rsidRPr="00384552" w:rsidRDefault="00003780" w:rsidP="00003780">
      <w:pPr>
        <w:tabs>
          <w:tab w:val="left" w:pos="142"/>
        </w:tabs>
        <w:rPr>
          <w:rFonts w:cs="Arial"/>
          <w:sz w:val="22"/>
          <w:szCs w:val="22"/>
        </w:rPr>
      </w:pPr>
    </w:p>
    <w:p w14:paraId="5A669C53"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para implementación de metodología FCSA –Sexta y última visita casa a casa. (Elaborar Informe Final de resultados de la implementación de FCSA.)</w:t>
      </w:r>
    </w:p>
    <w:p w14:paraId="2D880BB9" w14:textId="77777777" w:rsidR="00003780" w:rsidRPr="00384552" w:rsidRDefault="00003780" w:rsidP="00003780">
      <w:pPr>
        <w:tabs>
          <w:tab w:val="left" w:pos="142"/>
        </w:tabs>
        <w:rPr>
          <w:rFonts w:cs="Arial"/>
          <w:sz w:val="22"/>
          <w:szCs w:val="22"/>
        </w:rPr>
      </w:pPr>
    </w:p>
    <w:p w14:paraId="57367D71" w14:textId="77777777" w:rsidR="00003780" w:rsidRPr="00384552" w:rsidRDefault="00003780" w:rsidP="00003780">
      <w:pPr>
        <w:tabs>
          <w:tab w:val="left" w:pos="142"/>
        </w:tabs>
        <w:rPr>
          <w:rFonts w:cs="Arial"/>
          <w:sz w:val="22"/>
          <w:szCs w:val="22"/>
        </w:rPr>
      </w:pPr>
      <w:r w:rsidRPr="00384552">
        <w:rPr>
          <w:rFonts w:cs="Arial"/>
          <w:sz w:val="22"/>
          <w:szCs w:val="22"/>
        </w:rPr>
        <w:t xml:space="preserve">Previo a la sexta visita de FCSA, el contratista deberá realizar reunión con promotores/as sociales comunitarios, para explicar objetivos de la visita, la cual consiste en evaluar resultados de la implementación de FCSA, considerando los cambios de hábitos de higiene personal y ambiental de los/as protagonistas directos del proyecto. </w:t>
      </w:r>
    </w:p>
    <w:p w14:paraId="60772B98" w14:textId="77777777" w:rsidR="00003780" w:rsidRPr="00384552" w:rsidRDefault="00003780" w:rsidP="00003780">
      <w:pPr>
        <w:tabs>
          <w:tab w:val="left" w:pos="142"/>
        </w:tabs>
        <w:rPr>
          <w:rFonts w:cs="Arial"/>
          <w:sz w:val="22"/>
          <w:szCs w:val="22"/>
        </w:rPr>
      </w:pPr>
      <w:r w:rsidRPr="00384552">
        <w:rPr>
          <w:rFonts w:cs="Arial"/>
          <w:sz w:val="22"/>
          <w:szCs w:val="22"/>
        </w:rPr>
        <w:t xml:space="preserve"> </w:t>
      </w:r>
    </w:p>
    <w:p w14:paraId="56D0545D" w14:textId="77777777" w:rsidR="00003780" w:rsidRPr="00384552" w:rsidRDefault="00003780" w:rsidP="00003780">
      <w:pPr>
        <w:tabs>
          <w:tab w:val="left" w:pos="142"/>
        </w:tabs>
        <w:rPr>
          <w:rFonts w:cs="Arial"/>
          <w:sz w:val="22"/>
          <w:szCs w:val="22"/>
        </w:rPr>
      </w:pPr>
      <w:r w:rsidRPr="00384552">
        <w:rPr>
          <w:rFonts w:cs="Arial"/>
          <w:sz w:val="22"/>
          <w:szCs w:val="22"/>
        </w:rPr>
        <w:t>En esta visita, se evalúan los cuatros temas establecidos en Ficha Familiar, en base a los criterios por tema, dados en cada visita, así mismo se debe retomar el diagnóstico Higiénico-Sanitario, para evaluar el antes de las visitas y el después.</w:t>
      </w:r>
    </w:p>
    <w:p w14:paraId="11414E14" w14:textId="77777777" w:rsidR="00003780" w:rsidRPr="00384552" w:rsidRDefault="00003780" w:rsidP="00003780">
      <w:pPr>
        <w:tabs>
          <w:tab w:val="left" w:pos="142"/>
        </w:tabs>
        <w:rPr>
          <w:rFonts w:cs="Arial"/>
          <w:sz w:val="22"/>
          <w:szCs w:val="22"/>
        </w:rPr>
      </w:pPr>
    </w:p>
    <w:p w14:paraId="115D0406" w14:textId="77777777" w:rsidR="00003780" w:rsidRPr="00384552" w:rsidRDefault="00003780" w:rsidP="00003780">
      <w:pPr>
        <w:tabs>
          <w:tab w:val="left" w:pos="142"/>
        </w:tabs>
        <w:rPr>
          <w:rFonts w:cs="Arial"/>
          <w:sz w:val="22"/>
          <w:szCs w:val="22"/>
        </w:rPr>
      </w:pPr>
      <w:r w:rsidRPr="00384552">
        <w:rPr>
          <w:rFonts w:cs="Arial"/>
          <w:sz w:val="22"/>
          <w:szCs w:val="22"/>
        </w:rPr>
        <w:t xml:space="preserve">En esta visita se coloca gradúan las familias colocando una gota alegre, poniendo en práctica los procedimientos establecidos, para su aplicación. </w:t>
      </w:r>
    </w:p>
    <w:p w14:paraId="38701AD8" w14:textId="77777777" w:rsidR="00003780" w:rsidRPr="00384552" w:rsidRDefault="00003780" w:rsidP="00003780">
      <w:pPr>
        <w:tabs>
          <w:tab w:val="left" w:pos="142"/>
        </w:tabs>
        <w:rPr>
          <w:rFonts w:cs="Arial"/>
          <w:sz w:val="22"/>
          <w:szCs w:val="22"/>
        </w:rPr>
      </w:pPr>
    </w:p>
    <w:p w14:paraId="3FC2A0F1" w14:textId="77777777" w:rsidR="00003780" w:rsidRPr="00384552" w:rsidRDefault="00003780" w:rsidP="00003780">
      <w:pPr>
        <w:tabs>
          <w:tab w:val="left" w:pos="142"/>
        </w:tabs>
        <w:rPr>
          <w:rFonts w:cs="Arial"/>
          <w:sz w:val="22"/>
          <w:szCs w:val="22"/>
        </w:rPr>
      </w:pPr>
      <w:r w:rsidRPr="00384552">
        <w:rPr>
          <w:rFonts w:cs="Arial"/>
          <w:sz w:val="22"/>
          <w:szCs w:val="22"/>
        </w:rPr>
        <w:t xml:space="preserve">Cada promotor/ra, con apoyo y acompañamiento del contratista, deberá reflexionar con los y las protagonistas de la vivienda, sobre la importancia de continuar con las prácticas higiénico-sanitarias establecidas en la metodología FCSA. </w:t>
      </w:r>
    </w:p>
    <w:p w14:paraId="28A51A8A" w14:textId="77777777" w:rsidR="00003780" w:rsidRPr="00384552" w:rsidRDefault="00003780" w:rsidP="00003780">
      <w:pPr>
        <w:tabs>
          <w:tab w:val="left" w:pos="142"/>
        </w:tabs>
        <w:rPr>
          <w:rFonts w:cs="Arial"/>
          <w:b/>
          <w:sz w:val="22"/>
          <w:szCs w:val="22"/>
        </w:rPr>
      </w:pPr>
    </w:p>
    <w:p w14:paraId="60F7E391" w14:textId="77777777" w:rsidR="00003780" w:rsidRPr="00384552" w:rsidRDefault="00003780" w:rsidP="00003780">
      <w:pPr>
        <w:tabs>
          <w:tab w:val="left" w:pos="142"/>
        </w:tabs>
        <w:rPr>
          <w:rFonts w:cs="Arial"/>
          <w:b/>
          <w:sz w:val="22"/>
          <w:szCs w:val="22"/>
        </w:rPr>
      </w:pPr>
      <w:r w:rsidRPr="00384552">
        <w:rPr>
          <w:rFonts w:cs="Arial"/>
          <w:b/>
          <w:sz w:val="22"/>
          <w:szCs w:val="22"/>
        </w:rPr>
        <w:t>Producto esperado:</w:t>
      </w:r>
    </w:p>
    <w:p w14:paraId="20E21DCD" w14:textId="77777777" w:rsidR="00003780" w:rsidRPr="00384552" w:rsidRDefault="00003780" w:rsidP="00003780">
      <w:pPr>
        <w:tabs>
          <w:tab w:val="left" w:pos="142"/>
        </w:tabs>
        <w:rPr>
          <w:rFonts w:cs="Arial"/>
          <w:sz w:val="22"/>
          <w:szCs w:val="22"/>
        </w:rPr>
      </w:pPr>
      <w:r w:rsidRPr="00384552">
        <w:rPr>
          <w:rFonts w:cs="Arial"/>
          <w:sz w:val="22"/>
          <w:szCs w:val="22"/>
        </w:rPr>
        <w:t>Contratista, elabora Informe de evaluación final de la implementación de la metodología FCSA, enfatizando en logros, alcances, cobertura, cambios de comportamiento de higiene, así como propuestas para superar limitantes.  El contratista elabora Informe Final de resultados en la implementación de FCSA.</w:t>
      </w:r>
    </w:p>
    <w:p w14:paraId="1D9DF912" w14:textId="77777777" w:rsidR="00003780" w:rsidRPr="00384552" w:rsidRDefault="00003780" w:rsidP="00003780">
      <w:pPr>
        <w:tabs>
          <w:tab w:val="left" w:pos="142"/>
        </w:tabs>
        <w:rPr>
          <w:rFonts w:cs="Arial"/>
          <w:sz w:val="22"/>
          <w:szCs w:val="22"/>
        </w:rPr>
      </w:pPr>
    </w:p>
    <w:p w14:paraId="5068F8D6"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t xml:space="preserve">Planificar, Realizar Taller de capacitación dirigido al Comité para reforzamiento sobre la Ley No.722 y el Reglamento (Incluye local, material didáctico, material de apoyo y refrigerio) y elaborar informe de realización de taller.  </w:t>
      </w:r>
    </w:p>
    <w:p w14:paraId="661F06A7" w14:textId="77777777" w:rsidR="00003780" w:rsidRPr="00384552" w:rsidRDefault="00003780" w:rsidP="00003780">
      <w:pPr>
        <w:tabs>
          <w:tab w:val="left" w:pos="142"/>
        </w:tabs>
        <w:rPr>
          <w:rFonts w:cs="Arial"/>
          <w:sz w:val="22"/>
          <w:szCs w:val="22"/>
        </w:rPr>
      </w:pPr>
    </w:p>
    <w:p w14:paraId="4F4F177F" w14:textId="77777777" w:rsidR="00003780" w:rsidRPr="00384552" w:rsidRDefault="00003780" w:rsidP="00003780">
      <w:pPr>
        <w:tabs>
          <w:tab w:val="left" w:pos="142"/>
        </w:tabs>
        <w:rPr>
          <w:rFonts w:cs="Arial"/>
          <w:sz w:val="22"/>
          <w:szCs w:val="22"/>
        </w:rPr>
      </w:pPr>
      <w:r w:rsidRPr="00384552">
        <w:rPr>
          <w:rFonts w:cs="Arial"/>
          <w:sz w:val="22"/>
          <w:szCs w:val="22"/>
        </w:rPr>
        <w:t xml:space="preserve">Utilizando material Didáctico de INAA-(Estatutos y Reglamento Interno del CAPS), se planifica y realiza taller de Reforzamiento sobre Ley 722, con participación de un grupo meta de 25 protagonistas, integrado por personas de la JD del CAPS, grupo de apoyo, red de promotores/as sociales comunitarios, líderes comunitarios. Se debe garantizar a cada participante su refrigerio. El taller tendrá una duración de cuatro (4) horas. </w:t>
      </w:r>
    </w:p>
    <w:p w14:paraId="28455362" w14:textId="77777777" w:rsidR="00003780" w:rsidRPr="00384552" w:rsidRDefault="00003780" w:rsidP="00003780">
      <w:pPr>
        <w:tabs>
          <w:tab w:val="left" w:pos="142"/>
        </w:tabs>
        <w:rPr>
          <w:rFonts w:cs="Arial"/>
          <w:sz w:val="22"/>
          <w:szCs w:val="22"/>
        </w:rPr>
      </w:pPr>
    </w:p>
    <w:p w14:paraId="069C8DD4"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contratista:</w:t>
      </w:r>
    </w:p>
    <w:p w14:paraId="3EF9AC79" w14:textId="77777777" w:rsidR="00003780" w:rsidRPr="00384552" w:rsidRDefault="00003780" w:rsidP="00003780">
      <w:pPr>
        <w:tabs>
          <w:tab w:val="left" w:pos="142"/>
        </w:tabs>
        <w:rPr>
          <w:rFonts w:cs="Arial"/>
          <w:sz w:val="22"/>
          <w:szCs w:val="22"/>
        </w:rPr>
      </w:pPr>
      <w:r w:rsidRPr="00384552">
        <w:rPr>
          <w:rFonts w:cs="Arial"/>
          <w:sz w:val="22"/>
          <w:szCs w:val="22"/>
        </w:rPr>
        <w:t>1. Cuaderno/lapicero.</w:t>
      </w:r>
    </w:p>
    <w:p w14:paraId="0B5A691D" w14:textId="77777777" w:rsidR="00003780" w:rsidRPr="00384552" w:rsidRDefault="00003780" w:rsidP="00003780">
      <w:pPr>
        <w:tabs>
          <w:tab w:val="left" w:pos="142"/>
        </w:tabs>
        <w:rPr>
          <w:rFonts w:cs="Arial"/>
          <w:sz w:val="22"/>
          <w:szCs w:val="22"/>
        </w:rPr>
      </w:pPr>
      <w:r w:rsidRPr="00384552">
        <w:rPr>
          <w:rFonts w:cs="Arial"/>
          <w:sz w:val="22"/>
          <w:szCs w:val="22"/>
        </w:rPr>
        <w:t xml:space="preserve">2. INAA-(Estatutos y Reglamento Interno del CAPS), </w:t>
      </w:r>
    </w:p>
    <w:p w14:paraId="267F3822" w14:textId="77777777" w:rsidR="00003780" w:rsidRPr="00384552" w:rsidRDefault="00003780" w:rsidP="00003780">
      <w:pPr>
        <w:tabs>
          <w:tab w:val="left" w:pos="142"/>
        </w:tabs>
        <w:rPr>
          <w:rFonts w:cs="Arial"/>
          <w:sz w:val="22"/>
          <w:szCs w:val="22"/>
        </w:rPr>
      </w:pPr>
      <w:r w:rsidRPr="00384552">
        <w:rPr>
          <w:rFonts w:cs="Arial"/>
          <w:sz w:val="22"/>
          <w:szCs w:val="22"/>
        </w:rPr>
        <w:t>3. Refrigerio/Almuerzo.</w:t>
      </w:r>
    </w:p>
    <w:p w14:paraId="79992579" w14:textId="77777777" w:rsidR="00003780" w:rsidRPr="00384552" w:rsidRDefault="00003780" w:rsidP="00003780">
      <w:pPr>
        <w:tabs>
          <w:tab w:val="left" w:pos="142"/>
        </w:tabs>
        <w:rPr>
          <w:rFonts w:cs="Arial"/>
          <w:sz w:val="22"/>
          <w:szCs w:val="22"/>
        </w:rPr>
      </w:pPr>
      <w:r w:rsidRPr="00384552">
        <w:rPr>
          <w:rFonts w:cs="Arial"/>
          <w:sz w:val="22"/>
          <w:szCs w:val="22"/>
        </w:rPr>
        <w:t>4. local para realizar taller</w:t>
      </w:r>
    </w:p>
    <w:p w14:paraId="033F8AD9" w14:textId="77777777" w:rsidR="00003780" w:rsidRPr="00384552" w:rsidRDefault="00003780" w:rsidP="00003780">
      <w:pPr>
        <w:tabs>
          <w:tab w:val="left" w:pos="142"/>
        </w:tabs>
        <w:rPr>
          <w:rFonts w:cs="Arial"/>
          <w:sz w:val="22"/>
          <w:szCs w:val="22"/>
        </w:rPr>
      </w:pPr>
    </w:p>
    <w:p w14:paraId="37BE4BEC" w14:textId="77777777" w:rsidR="00003780" w:rsidRPr="00384552" w:rsidRDefault="00003780" w:rsidP="00003780">
      <w:pPr>
        <w:tabs>
          <w:tab w:val="left" w:pos="142"/>
        </w:tabs>
        <w:rPr>
          <w:rFonts w:cs="Arial"/>
          <w:b/>
          <w:sz w:val="22"/>
          <w:szCs w:val="22"/>
        </w:rPr>
      </w:pPr>
      <w:r w:rsidRPr="00384552">
        <w:rPr>
          <w:rFonts w:cs="Arial"/>
          <w:b/>
          <w:sz w:val="22"/>
          <w:szCs w:val="22"/>
        </w:rPr>
        <w:t>Productos esperados:</w:t>
      </w:r>
    </w:p>
    <w:p w14:paraId="1A737335" w14:textId="77777777" w:rsidR="00003780" w:rsidRPr="00384552" w:rsidRDefault="00003780" w:rsidP="00003780">
      <w:pPr>
        <w:tabs>
          <w:tab w:val="left" w:pos="142"/>
        </w:tabs>
        <w:rPr>
          <w:rFonts w:cs="Arial"/>
          <w:sz w:val="22"/>
          <w:szCs w:val="22"/>
        </w:rPr>
      </w:pPr>
      <w:r w:rsidRPr="00384552">
        <w:rPr>
          <w:rFonts w:cs="Arial"/>
          <w:sz w:val="22"/>
          <w:szCs w:val="22"/>
        </w:rPr>
        <w:t xml:space="preserve">1. Informe ejecutivo con su lista de asistencia # de cédulas, cargos y firmas, en caso de no poder firmar, soportar con huella digital, además de Informe Ejecutivo del taller impartido, </w:t>
      </w:r>
    </w:p>
    <w:p w14:paraId="5A1773E5" w14:textId="77777777" w:rsidR="00003780" w:rsidRPr="00384552" w:rsidRDefault="00003780" w:rsidP="00003780">
      <w:pPr>
        <w:tabs>
          <w:tab w:val="left" w:pos="142"/>
        </w:tabs>
        <w:rPr>
          <w:rFonts w:cs="Arial"/>
          <w:sz w:val="22"/>
          <w:szCs w:val="22"/>
        </w:rPr>
      </w:pPr>
      <w:r w:rsidRPr="00384552">
        <w:rPr>
          <w:rFonts w:cs="Arial"/>
          <w:sz w:val="22"/>
          <w:szCs w:val="22"/>
        </w:rPr>
        <w:t>2. Ayuda Memoria.</w:t>
      </w:r>
    </w:p>
    <w:p w14:paraId="50C60882" w14:textId="77777777" w:rsidR="00003780" w:rsidRPr="00384552" w:rsidRDefault="00003780" w:rsidP="00003780">
      <w:pPr>
        <w:tabs>
          <w:tab w:val="left" w:pos="142"/>
        </w:tabs>
        <w:rPr>
          <w:rFonts w:cs="Arial"/>
          <w:sz w:val="22"/>
          <w:szCs w:val="22"/>
        </w:rPr>
      </w:pPr>
      <w:r w:rsidRPr="00384552">
        <w:rPr>
          <w:rFonts w:cs="Arial"/>
          <w:sz w:val="22"/>
          <w:szCs w:val="22"/>
        </w:rPr>
        <w:t>3.  Memoria fotográfica.</w:t>
      </w:r>
    </w:p>
    <w:p w14:paraId="584147C7" w14:textId="77777777" w:rsidR="00003780" w:rsidRPr="00384552" w:rsidRDefault="00003780" w:rsidP="00003780">
      <w:pPr>
        <w:tabs>
          <w:tab w:val="left" w:pos="142"/>
        </w:tabs>
        <w:contextualSpacing/>
        <w:rPr>
          <w:rFonts w:cs="Arial"/>
          <w:b/>
          <w:sz w:val="22"/>
          <w:szCs w:val="22"/>
        </w:rPr>
      </w:pPr>
    </w:p>
    <w:p w14:paraId="5B6B945A"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sz w:val="22"/>
          <w:szCs w:val="22"/>
        </w:rPr>
        <w:t xml:space="preserve"> </w:t>
      </w:r>
      <w:r w:rsidRPr="00384552">
        <w:rPr>
          <w:rFonts w:cs="Arial"/>
          <w:b/>
          <w:sz w:val="22"/>
          <w:szCs w:val="22"/>
        </w:rPr>
        <w:t xml:space="preserve">Planificar y realizar Taller de capacitación dirigido al Comité para calculo / ajuste de tarifa para pago mensual del agua (Incluye Tema de lectura de medidor). (Incluye local, material didáctico, material de apoyo y refrigerio), elaborar informe de planificación y de realización de taller.  </w:t>
      </w:r>
    </w:p>
    <w:p w14:paraId="49273296" w14:textId="77777777" w:rsidR="00003780" w:rsidRPr="00384552" w:rsidRDefault="00003780" w:rsidP="00003780">
      <w:pPr>
        <w:tabs>
          <w:tab w:val="left" w:pos="142"/>
        </w:tabs>
        <w:rPr>
          <w:rFonts w:cs="Arial"/>
          <w:sz w:val="22"/>
          <w:szCs w:val="22"/>
        </w:rPr>
      </w:pPr>
    </w:p>
    <w:p w14:paraId="7FCC81ED" w14:textId="77777777" w:rsidR="00003780" w:rsidRPr="00384552" w:rsidRDefault="00003780" w:rsidP="00003780">
      <w:pPr>
        <w:tabs>
          <w:tab w:val="left" w:pos="142"/>
        </w:tabs>
        <w:rPr>
          <w:rFonts w:cs="Arial"/>
          <w:sz w:val="22"/>
          <w:szCs w:val="22"/>
        </w:rPr>
      </w:pPr>
      <w:r w:rsidRPr="00384552">
        <w:rPr>
          <w:rFonts w:cs="Arial"/>
          <w:sz w:val="22"/>
          <w:szCs w:val="22"/>
        </w:rPr>
        <w:t xml:space="preserve">Utilizando material Didáctico de INAA-(Cartilla para cálculo de Tarifa Mensual del Agua), se planifica y realiza taller para revisar y realizar ajustes a costo de tarifa mensual del agua, contando con participación de un grupo meta de 18 a 25 protagonistas, integrado por personas de la JD del CAPS, grupo de apoyo, red de promotores/as sociales comunitarios, líderes naturales, gremiales, políticos, religiosos y lector colector del proyecto. Se debe garantizar a cada participante su refrigerio. </w:t>
      </w:r>
    </w:p>
    <w:p w14:paraId="63A14E57" w14:textId="77777777" w:rsidR="00003780" w:rsidRPr="00384552" w:rsidRDefault="00003780" w:rsidP="00003780">
      <w:pPr>
        <w:tabs>
          <w:tab w:val="left" w:pos="142"/>
        </w:tabs>
        <w:rPr>
          <w:rFonts w:cs="Arial"/>
          <w:sz w:val="22"/>
          <w:szCs w:val="22"/>
        </w:rPr>
      </w:pPr>
    </w:p>
    <w:p w14:paraId="3E475984" w14:textId="77777777" w:rsidR="00003780" w:rsidRPr="00384552" w:rsidRDefault="00003780" w:rsidP="00003780">
      <w:pPr>
        <w:tabs>
          <w:tab w:val="left" w:pos="142"/>
        </w:tabs>
        <w:rPr>
          <w:rFonts w:cs="Arial"/>
          <w:sz w:val="22"/>
          <w:szCs w:val="22"/>
        </w:rPr>
      </w:pPr>
      <w:r w:rsidRPr="00384552">
        <w:rPr>
          <w:rFonts w:cs="Arial"/>
          <w:sz w:val="22"/>
          <w:szCs w:val="22"/>
        </w:rPr>
        <w:t xml:space="preserve">El taller tendrá una duración de cuatro (4) horas. </w:t>
      </w:r>
    </w:p>
    <w:p w14:paraId="5241E4BC" w14:textId="77777777" w:rsidR="00003780" w:rsidRPr="00384552" w:rsidRDefault="00003780" w:rsidP="00003780">
      <w:pPr>
        <w:tabs>
          <w:tab w:val="left" w:pos="142"/>
        </w:tabs>
        <w:rPr>
          <w:rFonts w:cs="Arial"/>
          <w:sz w:val="22"/>
          <w:szCs w:val="22"/>
        </w:rPr>
      </w:pPr>
      <w:r w:rsidRPr="00384552">
        <w:rPr>
          <w:rFonts w:cs="Arial"/>
          <w:sz w:val="22"/>
          <w:szCs w:val="22"/>
        </w:rPr>
        <w:t>Para esta actividad debe coordinar con Alcaldía Municipal (UMAS) Y Asesor Técnico Territorial Fise (ATT).</w:t>
      </w:r>
    </w:p>
    <w:p w14:paraId="44F0DA96" w14:textId="77777777" w:rsidR="00003780" w:rsidRPr="00384552" w:rsidRDefault="00003780" w:rsidP="00003780">
      <w:pPr>
        <w:tabs>
          <w:tab w:val="left" w:pos="142"/>
        </w:tabs>
        <w:rPr>
          <w:rFonts w:cs="Arial"/>
          <w:sz w:val="22"/>
          <w:szCs w:val="22"/>
        </w:rPr>
      </w:pPr>
    </w:p>
    <w:p w14:paraId="66FE819C" w14:textId="77777777" w:rsidR="00003780" w:rsidRPr="00384552" w:rsidRDefault="00003780" w:rsidP="00003780">
      <w:pPr>
        <w:tabs>
          <w:tab w:val="left" w:pos="142"/>
        </w:tabs>
        <w:rPr>
          <w:rFonts w:cs="Arial"/>
          <w:b/>
          <w:sz w:val="22"/>
          <w:szCs w:val="22"/>
        </w:rPr>
      </w:pPr>
      <w:r w:rsidRPr="00384552">
        <w:rPr>
          <w:rFonts w:cs="Arial"/>
          <w:b/>
          <w:sz w:val="22"/>
          <w:szCs w:val="22"/>
        </w:rPr>
        <w:lastRenderedPageBreak/>
        <w:t xml:space="preserve"> Producto a entregar por el contratista:</w:t>
      </w:r>
    </w:p>
    <w:p w14:paraId="4CBF24B3" w14:textId="77777777" w:rsidR="00003780" w:rsidRPr="00384552" w:rsidRDefault="00003780" w:rsidP="00003780">
      <w:pPr>
        <w:tabs>
          <w:tab w:val="left" w:pos="142"/>
        </w:tabs>
        <w:rPr>
          <w:rFonts w:cs="Arial"/>
          <w:sz w:val="22"/>
          <w:szCs w:val="22"/>
        </w:rPr>
      </w:pPr>
      <w:r w:rsidRPr="00384552">
        <w:rPr>
          <w:rFonts w:cs="Arial"/>
          <w:sz w:val="22"/>
          <w:szCs w:val="22"/>
        </w:rPr>
        <w:t>1. Informe ejecutivo con su lista de asistencia, # de cédulas, cargos y firmas, en caso de no poder firmar, soportar con huella digital.</w:t>
      </w:r>
    </w:p>
    <w:p w14:paraId="5BEFB780" w14:textId="77777777" w:rsidR="00003780" w:rsidRPr="00384552" w:rsidRDefault="00003780" w:rsidP="00003780">
      <w:pPr>
        <w:tabs>
          <w:tab w:val="left" w:pos="142"/>
        </w:tabs>
        <w:rPr>
          <w:rFonts w:cs="Arial"/>
          <w:sz w:val="22"/>
          <w:szCs w:val="22"/>
        </w:rPr>
      </w:pPr>
      <w:r w:rsidRPr="00384552">
        <w:rPr>
          <w:rFonts w:cs="Arial"/>
          <w:sz w:val="22"/>
          <w:szCs w:val="22"/>
        </w:rPr>
        <w:t>2. ayuda memoria.</w:t>
      </w:r>
    </w:p>
    <w:p w14:paraId="165F867D" w14:textId="77777777" w:rsidR="00003780" w:rsidRPr="00384552" w:rsidRDefault="00003780" w:rsidP="00003780">
      <w:pPr>
        <w:tabs>
          <w:tab w:val="left" w:pos="142"/>
        </w:tabs>
        <w:rPr>
          <w:rFonts w:cs="Arial"/>
          <w:sz w:val="22"/>
          <w:szCs w:val="22"/>
        </w:rPr>
      </w:pPr>
      <w:r w:rsidRPr="00384552">
        <w:rPr>
          <w:rFonts w:cs="Arial"/>
          <w:sz w:val="22"/>
          <w:szCs w:val="22"/>
        </w:rPr>
        <w:t>3. Memoria fotográfica.</w:t>
      </w:r>
    </w:p>
    <w:p w14:paraId="69B72CD8" w14:textId="77777777" w:rsidR="00003780" w:rsidRPr="00384552" w:rsidRDefault="00003780" w:rsidP="00003780">
      <w:pPr>
        <w:tabs>
          <w:tab w:val="left" w:pos="142"/>
        </w:tabs>
        <w:rPr>
          <w:rFonts w:cs="Arial"/>
          <w:sz w:val="22"/>
          <w:szCs w:val="22"/>
        </w:rPr>
      </w:pPr>
    </w:p>
    <w:p w14:paraId="33404697"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t>Planificar y realizar taller de capacitación para la operación y mantenimiento del sistema de agua, elaborar informe de taller.</w:t>
      </w:r>
    </w:p>
    <w:p w14:paraId="43E0ECD1" w14:textId="77777777" w:rsidR="00003780" w:rsidRPr="00384552" w:rsidRDefault="00003780" w:rsidP="00003780">
      <w:pPr>
        <w:tabs>
          <w:tab w:val="left" w:pos="142"/>
        </w:tabs>
        <w:contextualSpacing/>
        <w:rPr>
          <w:rFonts w:cs="Arial"/>
          <w:b/>
          <w:sz w:val="22"/>
          <w:szCs w:val="22"/>
        </w:rPr>
      </w:pPr>
    </w:p>
    <w:p w14:paraId="26E9DF3A" w14:textId="77777777" w:rsidR="00003780" w:rsidRPr="00384552" w:rsidRDefault="00003780" w:rsidP="00003780">
      <w:pPr>
        <w:tabs>
          <w:tab w:val="left" w:pos="142"/>
        </w:tabs>
        <w:rPr>
          <w:rFonts w:cs="Arial"/>
          <w:i/>
          <w:sz w:val="22"/>
          <w:szCs w:val="22"/>
        </w:rPr>
      </w:pPr>
      <w:r w:rsidRPr="00384552">
        <w:rPr>
          <w:rFonts w:cs="Arial"/>
          <w:sz w:val="22"/>
          <w:szCs w:val="22"/>
        </w:rPr>
        <w:t xml:space="preserve">Utilizando el material que se haya elaborado desde la etapa de factibilidad para la operación y mantenimiento del sistema de agua, así como también incorporados los ajustes que se hayan realizado durante la ejecución de la obra, con la participación de un grupo meta de 18 a 25 protagonistas, integrado por personas de la JD del CAPS, grupo de apoyo, red de promotores/as sociales comunitarios, y lector colector del proyecto. Se debe garantizar a cada participante su refrigerio. </w:t>
      </w:r>
    </w:p>
    <w:p w14:paraId="75256A9D" w14:textId="77777777" w:rsidR="00003780" w:rsidRPr="00384552" w:rsidRDefault="00003780" w:rsidP="00003780">
      <w:pPr>
        <w:tabs>
          <w:tab w:val="left" w:pos="142"/>
        </w:tabs>
        <w:rPr>
          <w:rFonts w:cs="Arial"/>
          <w:i/>
          <w:sz w:val="22"/>
          <w:szCs w:val="22"/>
        </w:rPr>
      </w:pPr>
    </w:p>
    <w:p w14:paraId="3778123B" w14:textId="77777777" w:rsidR="00003780" w:rsidRPr="00384552" w:rsidRDefault="00003780" w:rsidP="00003780">
      <w:pPr>
        <w:tabs>
          <w:tab w:val="left" w:pos="142"/>
        </w:tabs>
        <w:rPr>
          <w:rFonts w:cs="Arial"/>
          <w:i/>
          <w:sz w:val="22"/>
          <w:szCs w:val="22"/>
        </w:rPr>
      </w:pPr>
      <w:r w:rsidRPr="00384552">
        <w:rPr>
          <w:rFonts w:cs="Arial"/>
          <w:sz w:val="22"/>
          <w:szCs w:val="22"/>
        </w:rPr>
        <w:t xml:space="preserve">El taller tendrá una duración de cuatro (4) horas. </w:t>
      </w:r>
    </w:p>
    <w:p w14:paraId="14602B64" w14:textId="77777777" w:rsidR="00003780" w:rsidRPr="00384552" w:rsidRDefault="00003780" w:rsidP="00003780">
      <w:pPr>
        <w:tabs>
          <w:tab w:val="left" w:pos="142"/>
        </w:tabs>
        <w:rPr>
          <w:rFonts w:cs="Arial"/>
          <w:i/>
          <w:sz w:val="22"/>
          <w:szCs w:val="22"/>
        </w:rPr>
      </w:pPr>
    </w:p>
    <w:p w14:paraId="486D5985" w14:textId="77777777" w:rsidR="00003780" w:rsidRPr="00384552" w:rsidRDefault="00003780" w:rsidP="00003780">
      <w:pPr>
        <w:tabs>
          <w:tab w:val="left" w:pos="142"/>
        </w:tabs>
        <w:rPr>
          <w:rFonts w:cs="Arial"/>
          <w:i/>
          <w:sz w:val="22"/>
          <w:szCs w:val="22"/>
        </w:rPr>
      </w:pPr>
      <w:r w:rsidRPr="00384552">
        <w:rPr>
          <w:rFonts w:cs="Arial"/>
          <w:sz w:val="22"/>
          <w:szCs w:val="22"/>
        </w:rPr>
        <w:t>Para esta actividad debe coordinar con Alcaldía Municipal (UMAS) y Asesor Técnico Territorial Fise (ATT).</w:t>
      </w:r>
    </w:p>
    <w:p w14:paraId="26101404" w14:textId="77777777" w:rsidR="00003780" w:rsidRPr="00384552" w:rsidRDefault="00003780" w:rsidP="00003780">
      <w:pPr>
        <w:tabs>
          <w:tab w:val="left" w:pos="142"/>
        </w:tabs>
        <w:contextualSpacing/>
        <w:rPr>
          <w:rFonts w:cs="Arial"/>
          <w:i/>
          <w:sz w:val="22"/>
          <w:szCs w:val="22"/>
        </w:rPr>
      </w:pPr>
    </w:p>
    <w:p w14:paraId="51DCA8FB" w14:textId="77777777" w:rsidR="00003780" w:rsidRPr="00384552" w:rsidRDefault="00003780" w:rsidP="00003780">
      <w:pPr>
        <w:tabs>
          <w:tab w:val="left" w:pos="142"/>
        </w:tabs>
        <w:rPr>
          <w:rFonts w:cs="Arial"/>
          <w:b/>
          <w:sz w:val="22"/>
          <w:szCs w:val="22"/>
        </w:rPr>
      </w:pPr>
      <w:r w:rsidRPr="00384552">
        <w:rPr>
          <w:rFonts w:cs="Arial"/>
          <w:b/>
          <w:sz w:val="22"/>
          <w:szCs w:val="22"/>
        </w:rPr>
        <w:t>Requerimiento del contratista:</w:t>
      </w:r>
    </w:p>
    <w:p w14:paraId="194B829F" w14:textId="77777777" w:rsidR="00003780" w:rsidRPr="00384552" w:rsidRDefault="00003780" w:rsidP="00003780">
      <w:pPr>
        <w:tabs>
          <w:tab w:val="left" w:pos="142"/>
        </w:tabs>
        <w:rPr>
          <w:rFonts w:cs="Arial"/>
          <w:sz w:val="22"/>
          <w:szCs w:val="22"/>
        </w:rPr>
      </w:pPr>
      <w:r w:rsidRPr="00384552">
        <w:rPr>
          <w:rFonts w:cs="Arial"/>
          <w:sz w:val="22"/>
          <w:szCs w:val="22"/>
        </w:rPr>
        <w:t>1. Cuaderno/lapicero.</w:t>
      </w:r>
    </w:p>
    <w:p w14:paraId="00DED4A6" w14:textId="77777777" w:rsidR="00003780" w:rsidRPr="00384552" w:rsidRDefault="00003780" w:rsidP="00003780">
      <w:pPr>
        <w:tabs>
          <w:tab w:val="left" w:pos="142"/>
        </w:tabs>
        <w:rPr>
          <w:rFonts w:cs="Arial"/>
          <w:sz w:val="22"/>
          <w:szCs w:val="22"/>
        </w:rPr>
      </w:pPr>
      <w:r w:rsidRPr="00384552">
        <w:rPr>
          <w:rFonts w:cs="Arial"/>
          <w:sz w:val="22"/>
          <w:szCs w:val="22"/>
        </w:rPr>
        <w:t>2. Manual de operación y mantenimiento del sistema de agua</w:t>
      </w:r>
    </w:p>
    <w:p w14:paraId="7F909155" w14:textId="77777777" w:rsidR="00003780" w:rsidRPr="00384552" w:rsidRDefault="00003780" w:rsidP="00003780">
      <w:pPr>
        <w:tabs>
          <w:tab w:val="left" w:pos="142"/>
        </w:tabs>
        <w:rPr>
          <w:rFonts w:cs="Arial"/>
          <w:sz w:val="22"/>
          <w:szCs w:val="22"/>
        </w:rPr>
      </w:pPr>
      <w:r w:rsidRPr="00384552">
        <w:rPr>
          <w:rFonts w:cs="Arial"/>
          <w:sz w:val="22"/>
          <w:szCs w:val="22"/>
        </w:rPr>
        <w:t>3. Refrigerio/Almuerzo.</w:t>
      </w:r>
    </w:p>
    <w:p w14:paraId="68247073" w14:textId="77777777" w:rsidR="00003780" w:rsidRPr="00384552" w:rsidRDefault="00003780" w:rsidP="00003780">
      <w:pPr>
        <w:tabs>
          <w:tab w:val="left" w:pos="142"/>
        </w:tabs>
        <w:rPr>
          <w:rFonts w:cs="Arial"/>
          <w:sz w:val="22"/>
          <w:szCs w:val="22"/>
        </w:rPr>
      </w:pPr>
      <w:r w:rsidRPr="00384552">
        <w:rPr>
          <w:rFonts w:cs="Arial"/>
          <w:sz w:val="22"/>
          <w:szCs w:val="22"/>
        </w:rPr>
        <w:t>4. Local para realizar taller</w:t>
      </w:r>
    </w:p>
    <w:p w14:paraId="58FAD9D9" w14:textId="77777777" w:rsidR="00003780" w:rsidRPr="00384552" w:rsidRDefault="00003780" w:rsidP="00003780">
      <w:pPr>
        <w:tabs>
          <w:tab w:val="left" w:pos="142"/>
        </w:tabs>
        <w:rPr>
          <w:rFonts w:cs="Arial"/>
          <w:sz w:val="22"/>
          <w:szCs w:val="22"/>
        </w:rPr>
      </w:pPr>
    </w:p>
    <w:p w14:paraId="2A842D27" w14:textId="77777777" w:rsidR="00003780" w:rsidRPr="00384552" w:rsidRDefault="00003780" w:rsidP="00003780">
      <w:pPr>
        <w:tabs>
          <w:tab w:val="left" w:pos="142"/>
        </w:tabs>
        <w:rPr>
          <w:rFonts w:cs="Arial"/>
          <w:b/>
          <w:sz w:val="22"/>
          <w:szCs w:val="22"/>
        </w:rPr>
      </w:pPr>
      <w:r w:rsidRPr="00384552">
        <w:rPr>
          <w:rFonts w:cs="Arial"/>
          <w:b/>
          <w:sz w:val="22"/>
          <w:szCs w:val="22"/>
        </w:rPr>
        <w:t>Productos esperados:</w:t>
      </w:r>
    </w:p>
    <w:p w14:paraId="2BC50A69" w14:textId="77777777" w:rsidR="00003780" w:rsidRPr="00384552" w:rsidRDefault="00003780" w:rsidP="00003780">
      <w:pPr>
        <w:tabs>
          <w:tab w:val="left" w:pos="142"/>
        </w:tabs>
        <w:rPr>
          <w:rFonts w:cs="Arial"/>
          <w:sz w:val="22"/>
          <w:szCs w:val="22"/>
        </w:rPr>
      </w:pPr>
      <w:r w:rsidRPr="00384552">
        <w:rPr>
          <w:rFonts w:cs="Arial"/>
          <w:sz w:val="22"/>
          <w:szCs w:val="22"/>
        </w:rPr>
        <w:t xml:space="preserve">1. Informe ejecutivo con su lista de asistencia # de cédulas, cargos y firmas, en caso de no poder firmar, soportar con huella digital, además de Informe Ejecutivo del taller impartido, </w:t>
      </w:r>
    </w:p>
    <w:p w14:paraId="412D1E6F" w14:textId="77777777" w:rsidR="00003780" w:rsidRPr="00384552" w:rsidRDefault="00003780" w:rsidP="00003780">
      <w:pPr>
        <w:tabs>
          <w:tab w:val="left" w:pos="142"/>
        </w:tabs>
        <w:rPr>
          <w:rFonts w:cs="Arial"/>
          <w:sz w:val="22"/>
          <w:szCs w:val="22"/>
        </w:rPr>
      </w:pPr>
      <w:r w:rsidRPr="00384552">
        <w:rPr>
          <w:rFonts w:cs="Arial"/>
          <w:sz w:val="22"/>
          <w:szCs w:val="22"/>
        </w:rPr>
        <w:t>2. Ayuda Memoria.</w:t>
      </w:r>
    </w:p>
    <w:p w14:paraId="7AF55C51" w14:textId="77777777" w:rsidR="00003780" w:rsidRPr="00384552" w:rsidRDefault="00003780" w:rsidP="00003780">
      <w:pPr>
        <w:tabs>
          <w:tab w:val="left" w:pos="142"/>
        </w:tabs>
        <w:rPr>
          <w:rFonts w:cs="Arial"/>
          <w:sz w:val="22"/>
          <w:szCs w:val="22"/>
        </w:rPr>
      </w:pPr>
      <w:r w:rsidRPr="00384552">
        <w:rPr>
          <w:rFonts w:cs="Arial"/>
          <w:sz w:val="22"/>
          <w:szCs w:val="22"/>
        </w:rPr>
        <w:t>3.  Memoria fotográfica.</w:t>
      </w:r>
    </w:p>
    <w:p w14:paraId="31E38105" w14:textId="77777777" w:rsidR="00003780" w:rsidRPr="00384552" w:rsidRDefault="00003780" w:rsidP="00003780">
      <w:pPr>
        <w:tabs>
          <w:tab w:val="left" w:pos="142"/>
        </w:tabs>
        <w:contextualSpacing/>
        <w:rPr>
          <w:rFonts w:cs="Arial"/>
          <w:i/>
          <w:sz w:val="22"/>
          <w:szCs w:val="22"/>
        </w:rPr>
      </w:pPr>
    </w:p>
    <w:p w14:paraId="7FD95E60"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t>Planificar y realizar Asamblea general comunitaria para la presentación del informe final del componente social del proyecto.</w:t>
      </w:r>
    </w:p>
    <w:p w14:paraId="5106869B" w14:textId="77777777" w:rsidR="00003780" w:rsidRPr="00384552" w:rsidRDefault="00003780" w:rsidP="00003780">
      <w:pPr>
        <w:tabs>
          <w:tab w:val="left" w:pos="142"/>
        </w:tabs>
        <w:rPr>
          <w:rFonts w:cs="Arial"/>
          <w:sz w:val="22"/>
          <w:szCs w:val="22"/>
        </w:rPr>
      </w:pPr>
    </w:p>
    <w:p w14:paraId="0266BA5C" w14:textId="77777777" w:rsidR="00003780" w:rsidRPr="00384552" w:rsidRDefault="00003780" w:rsidP="00003780">
      <w:pPr>
        <w:tabs>
          <w:tab w:val="left" w:pos="142"/>
        </w:tabs>
        <w:rPr>
          <w:rFonts w:cs="Arial"/>
          <w:sz w:val="22"/>
          <w:szCs w:val="22"/>
        </w:rPr>
      </w:pPr>
      <w:r w:rsidRPr="00384552">
        <w:rPr>
          <w:rFonts w:cs="Arial"/>
          <w:sz w:val="22"/>
          <w:szCs w:val="22"/>
        </w:rPr>
        <w:t>El contratista Planificara y realizara asamblea general comunitaria para presentar a los protagonistas el informe final del acompañamiento social. Presenta informe final de FCSA, Plan de operación y mantenimiento del proyecto, reglamento interno, cumplimiento del aporte comunitario y ratificación de la tarifa (dejando un tiempo prudencial de 2 meses de haber iniciado la operación del sistema de agua).</w:t>
      </w:r>
    </w:p>
    <w:p w14:paraId="3A080AED" w14:textId="77777777" w:rsidR="00003780" w:rsidRPr="00384552" w:rsidRDefault="00003780" w:rsidP="00003780">
      <w:pPr>
        <w:tabs>
          <w:tab w:val="left" w:pos="142"/>
        </w:tabs>
        <w:rPr>
          <w:rFonts w:cs="Arial"/>
          <w:sz w:val="22"/>
          <w:szCs w:val="22"/>
        </w:rPr>
      </w:pPr>
    </w:p>
    <w:p w14:paraId="61980615" w14:textId="77777777" w:rsidR="00003780" w:rsidRPr="00384552" w:rsidRDefault="00003780" w:rsidP="00003780">
      <w:pPr>
        <w:tabs>
          <w:tab w:val="left" w:pos="142"/>
        </w:tabs>
        <w:rPr>
          <w:rFonts w:cs="Arial"/>
          <w:sz w:val="22"/>
          <w:szCs w:val="22"/>
        </w:rPr>
      </w:pPr>
      <w:r w:rsidRPr="00384552">
        <w:rPr>
          <w:rFonts w:cs="Arial"/>
          <w:sz w:val="22"/>
          <w:szCs w:val="22"/>
        </w:rPr>
        <w:t>Realizar visita casa a casa para convocar y entregar invitación a tod@s l@s protagonistas del proyecto a la Asamblea, 100% de viviendas visitas.  (JD del CAPS, grupo de apoyo y red de promotores/as sociales comunitarios y líderes).</w:t>
      </w:r>
    </w:p>
    <w:p w14:paraId="202E3843" w14:textId="77777777" w:rsidR="00003780" w:rsidRPr="00384552" w:rsidRDefault="00003780" w:rsidP="00003780">
      <w:pPr>
        <w:tabs>
          <w:tab w:val="left" w:pos="142"/>
        </w:tabs>
        <w:rPr>
          <w:rFonts w:cs="Arial"/>
          <w:sz w:val="22"/>
          <w:szCs w:val="22"/>
        </w:rPr>
      </w:pPr>
    </w:p>
    <w:p w14:paraId="283113A5" w14:textId="77777777" w:rsidR="00003780" w:rsidRPr="00384552" w:rsidRDefault="00003780" w:rsidP="00003780">
      <w:pPr>
        <w:tabs>
          <w:tab w:val="left" w:pos="142"/>
        </w:tabs>
        <w:rPr>
          <w:rFonts w:cs="Arial"/>
          <w:sz w:val="22"/>
          <w:szCs w:val="22"/>
        </w:rPr>
      </w:pPr>
      <w:r w:rsidRPr="00384552">
        <w:rPr>
          <w:rFonts w:cs="Arial"/>
          <w:sz w:val="22"/>
          <w:szCs w:val="22"/>
        </w:rPr>
        <w:t>Se debe levantar listado de participantes y/o representante por vivienda, reflejándose nombres y apellidos, # de cédula, cargo y firmas (en caso de no poder firmar se utiliza huella digital), la lista de asistencia debe garantizar el cumplimiento.</w:t>
      </w:r>
    </w:p>
    <w:p w14:paraId="7DCB6858" w14:textId="77777777" w:rsidR="00003780" w:rsidRDefault="00003780" w:rsidP="00003780">
      <w:pPr>
        <w:tabs>
          <w:tab w:val="left" w:pos="142"/>
        </w:tabs>
        <w:rPr>
          <w:rFonts w:cs="Arial"/>
          <w:b/>
          <w:sz w:val="22"/>
          <w:szCs w:val="22"/>
        </w:rPr>
      </w:pPr>
    </w:p>
    <w:p w14:paraId="7F6EFC24" w14:textId="77777777" w:rsidR="00507630" w:rsidRDefault="00507630" w:rsidP="00003780">
      <w:pPr>
        <w:tabs>
          <w:tab w:val="left" w:pos="142"/>
        </w:tabs>
        <w:rPr>
          <w:rFonts w:cs="Arial"/>
          <w:b/>
          <w:sz w:val="22"/>
          <w:szCs w:val="22"/>
        </w:rPr>
      </w:pPr>
    </w:p>
    <w:p w14:paraId="5FCBDACD" w14:textId="77777777" w:rsidR="00507630" w:rsidRPr="00384552" w:rsidRDefault="00507630" w:rsidP="00003780">
      <w:pPr>
        <w:tabs>
          <w:tab w:val="left" w:pos="142"/>
        </w:tabs>
        <w:rPr>
          <w:rFonts w:cs="Arial"/>
          <w:b/>
          <w:sz w:val="22"/>
          <w:szCs w:val="22"/>
        </w:rPr>
      </w:pPr>
    </w:p>
    <w:p w14:paraId="2A95CFB4"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lastRenderedPageBreak/>
        <w:t>Elaborar Informe final de la consultoría.</w:t>
      </w:r>
    </w:p>
    <w:p w14:paraId="504DEF13" w14:textId="77777777" w:rsidR="00003780" w:rsidRPr="00384552" w:rsidRDefault="00003780" w:rsidP="00003780">
      <w:pPr>
        <w:tabs>
          <w:tab w:val="left" w:pos="142"/>
        </w:tabs>
        <w:rPr>
          <w:rFonts w:cs="Arial"/>
          <w:sz w:val="22"/>
          <w:szCs w:val="22"/>
        </w:rPr>
      </w:pPr>
    </w:p>
    <w:p w14:paraId="58D99F11" w14:textId="77777777" w:rsidR="00003780" w:rsidRPr="00384552" w:rsidRDefault="00003780" w:rsidP="00003780">
      <w:pPr>
        <w:tabs>
          <w:tab w:val="left" w:pos="142"/>
        </w:tabs>
        <w:rPr>
          <w:rFonts w:cs="Arial"/>
          <w:sz w:val="22"/>
          <w:szCs w:val="22"/>
        </w:rPr>
      </w:pPr>
      <w:r w:rsidRPr="00384552">
        <w:rPr>
          <w:rFonts w:cs="Arial"/>
          <w:sz w:val="22"/>
          <w:szCs w:val="22"/>
        </w:rPr>
        <w:t xml:space="preserve">En base a resultados técnicos-sociales del proyecto y alcances del acompañamiento social, el contratista elabora informe final de consultoría, haciendo referencia a cumplimiento de los Indicadores Sociales del proyecto, cumplimiento de aportes comunitarios, debidamente cuantificados, nivel de organización y participación comunitaria durante la ejecución del proyecto, resultados de la implementación de metodología FCSA, nivel de conocimientos adquiridos por personas de la junta directiva del CAPS para garantizar la correcta administración y operación del sistema, nivel de aceptación del proyecto por protagonistas directos, compromisos de protagonistas para garantizar la sostenibilidad del sistema construido por medio del pago de la tarifa mensual del agua, implementación del componente de género. </w:t>
      </w:r>
    </w:p>
    <w:p w14:paraId="2FB82FFC" w14:textId="77777777" w:rsidR="00003780" w:rsidRPr="00384552" w:rsidRDefault="00003780" w:rsidP="00003780">
      <w:pPr>
        <w:tabs>
          <w:tab w:val="left" w:pos="142"/>
        </w:tabs>
        <w:rPr>
          <w:rFonts w:cs="Arial"/>
          <w:sz w:val="22"/>
          <w:szCs w:val="22"/>
        </w:rPr>
      </w:pPr>
    </w:p>
    <w:p w14:paraId="4815A419" w14:textId="77777777" w:rsidR="00003780" w:rsidRPr="00384552" w:rsidRDefault="00003780" w:rsidP="00003780">
      <w:pPr>
        <w:tabs>
          <w:tab w:val="left" w:pos="142"/>
        </w:tabs>
        <w:rPr>
          <w:rFonts w:cs="Arial"/>
          <w:sz w:val="22"/>
          <w:szCs w:val="22"/>
        </w:rPr>
      </w:pPr>
      <w:r w:rsidRPr="00384552">
        <w:rPr>
          <w:rFonts w:cs="Arial"/>
          <w:sz w:val="22"/>
          <w:szCs w:val="22"/>
        </w:rPr>
        <w:t xml:space="preserve">Ilustrar informe con gráficos, describiendo los principales logros, la participación de protagonistas por género, cumplimiento de aportes comunitarios en especie y efectivo, memoria fotográfica.  </w:t>
      </w:r>
    </w:p>
    <w:p w14:paraId="01452CDA" w14:textId="77777777" w:rsidR="00003780" w:rsidRPr="00384552" w:rsidRDefault="00003780" w:rsidP="00003780">
      <w:pPr>
        <w:tabs>
          <w:tab w:val="left" w:pos="142"/>
        </w:tabs>
        <w:rPr>
          <w:rFonts w:cs="Arial"/>
          <w:sz w:val="22"/>
          <w:szCs w:val="22"/>
        </w:rPr>
      </w:pPr>
      <w:r w:rsidRPr="00384552">
        <w:rPr>
          <w:rFonts w:cs="Arial"/>
          <w:sz w:val="22"/>
          <w:szCs w:val="22"/>
        </w:rPr>
        <w:t xml:space="preserve">  </w:t>
      </w:r>
    </w:p>
    <w:p w14:paraId="55D64B89" w14:textId="77777777" w:rsidR="00003780" w:rsidRPr="00384552" w:rsidRDefault="00003780" w:rsidP="003B68DB">
      <w:pPr>
        <w:numPr>
          <w:ilvl w:val="0"/>
          <w:numId w:val="131"/>
        </w:numPr>
        <w:tabs>
          <w:tab w:val="left" w:pos="142"/>
        </w:tabs>
        <w:ind w:firstLine="0"/>
        <w:contextualSpacing/>
        <w:rPr>
          <w:rFonts w:cs="Arial"/>
          <w:b/>
          <w:sz w:val="22"/>
          <w:szCs w:val="22"/>
        </w:rPr>
      </w:pPr>
      <w:r w:rsidRPr="00384552">
        <w:rPr>
          <w:rFonts w:cs="Arial"/>
          <w:b/>
          <w:sz w:val="22"/>
          <w:szCs w:val="22"/>
        </w:rPr>
        <w:t>Elaborar Informe de Planificación y Realización de Asamblea general comunitaria de cierre y evaluación final del proyecto.</w:t>
      </w:r>
    </w:p>
    <w:p w14:paraId="191CA449" w14:textId="77777777" w:rsidR="00003780" w:rsidRPr="00384552" w:rsidRDefault="00003780" w:rsidP="00003780">
      <w:pPr>
        <w:tabs>
          <w:tab w:val="left" w:pos="142"/>
        </w:tabs>
        <w:rPr>
          <w:rFonts w:cs="Arial"/>
          <w:sz w:val="22"/>
          <w:szCs w:val="22"/>
        </w:rPr>
      </w:pPr>
    </w:p>
    <w:p w14:paraId="7AD73778" w14:textId="77777777" w:rsidR="00003780" w:rsidRPr="00384552" w:rsidRDefault="00003780" w:rsidP="00003780">
      <w:pPr>
        <w:tabs>
          <w:tab w:val="left" w:pos="142"/>
        </w:tabs>
        <w:rPr>
          <w:rFonts w:cs="Arial"/>
          <w:sz w:val="22"/>
          <w:szCs w:val="22"/>
        </w:rPr>
      </w:pPr>
      <w:r w:rsidRPr="00384552">
        <w:rPr>
          <w:rFonts w:cs="Arial"/>
          <w:sz w:val="22"/>
          <w:szCs w:val="22"/>
        </w:rPr>
        <w:t xml:space="preserve">Planificar y realizar asamblea general comunitaria, con participación de al menos el 70% de jefes/as de viviendas existentes en la comunidad/es. </w:t>
      </w:r>
    </w:p>
    <w:p w14:paraId="2D77E437" w14:textId="77777777" w:rsidR="00003780" w:rsidRPr="00384552" w:rsidRDefault="00003780" w:rsidP="00003780">
      <w:pPr>
        <w:tabs>
          <w:tab w:val="left" w:pos="142"/>
        </w:tabs>
        <w:rPr>
          <w:rFonts w:cs="Arial"/>
          <w:sz w:val="22"/>
          <w:szCs w:val="22"/>
        </w:rPr>
      </w:pPr>
    </w:p>
    <w:p w14:paraId="6B7AE1ED" w14:textId="77777777" w:rsidR="00003780" w:rsidRPr="00384552" w:rsidRDefault="00003780" w:rsidP="00003780">
      <w:pPr>
        <w:tabs>
          <w:tab w:val="left" w:pos="142"/>
        </w:tabs>
        <w:rPr>
          <w:rFonts w:cs="Arial"/>
          <w:sz w:val="22"/>
          <w:szCs w:val="22"/>
        </w:rPr>
      </w:pPr>
      <w:r w:rsidRPr="00384552">
        <w:rPr>
          <w:rFonts w:cs="Arial"/>
          <w:sz w:val="22"/>
          <w:szCs w:val="22"/>
        </w:rPr>
        <w:t xml:space="preserve">Para garantizar convocatoria, el contratista deberá establecer coordinación con personas de la instancia organizativa comunitaria (JD del CAPS, grupo de apoyo y red de promotores/as sociales comunitarios), realizando visitas domiciliares, donde las personas contactadas, reciban y firmen invitación de convocatoria. </w:t>
      </w:r>
    </w:p>
    <w:p w14:paraId="643A3A08" w14:textId="77777777" w:rsidR="00003780" w:rsidRPr="00384552" w:rsidRDefault="00003780" w:rsidP="00003780">
      <w:pPr>
        <w:tabs>
          <w:tab w:val="left" w:pos="142"/>
        </w:tabs>
        <w:rPr>
          <w:rFonts w:cs="Arial"/>
          <w:sz w:val="22"/>
          <w:szCs w:val="22"/>
        </w:rPr>
      </w:pPr>
    </w:p>
    <w:p w14:paraId="28D12557" w14:textId="77777777" w:rsidR="00003780" w:rsidRPr="00384552" w:rsidRDefault="00003780" w:rsidP="00003780">
      <w:pPr>
        <w:tabs>
          <w:tab w:val="left" w:pos="142"/>
        </w:tabs>
        <w:rPr>
          <w:rFonts w:cs="Arial"/>
          <w:sz w:val="22"/>
          <w:szCs w:val="22"/>
        </w:rPr>
      </w:pPr>
      <w:r w:rsidRPr="00384552">
        <w:rPr>
          <w:rFonts w:cs="Arial"/>
          <w:sz w:val="22"/>
          <w:szCs w:val="22"/>
        </w:rPr>
        <w:t xml:space="preserve">Se debe levantar listado de participantes y/o representante por vivienda, reflejándose nombres y apellidos, # de cédula, cargo y firmas (en caso de no poder firmar se utiliza huella digital), la lista de asistencia debe garantizar el cumplimiento de la meta del 70% de asistencia. De no cumplir con la meta, se reprograma asamblea y se realiza nueva convocatoria. Utilizar instrumentos FISE. </w:t>
      </w:r>
    </w:p>
    <w:p w14:paraId="7A924BAD" w14:textId="77777777" w:rsidR="00003780" w:rsidRPr="00384552" w:rsidRDefault="00003780" w:rsidP="00003780">
      <w:pPr>
        <w:tabs>
          <w:tab w:val="left" w:pos="142"/>
        </w:tabs>
        <w:rPr>
          <w:rFonts w:cs="Arial"/>
          <w:sz w:val="22"/>
          <w:szCs w:val="22"/>
        </w:rPr>
      </w:pPr>
    </w:p>
    <w:p w14:paraId="596E1A37" w14:textId="77777777" w:rsidR="00003780" w:rsidRPr="00384552" w:rsidRDefault="00003780" w:rsidP="00003780">
      <w:pPr>
        <w:tabs>
          <w:tab w:val="left" w:pos="142"/>
        </w:tabs>
        <w:rPr>
          <w:rFonts w:cs="Arial"/>
          <w:sz w:val="22"/>
          <w:szCs w:val="22"/>
        </w:rPr>
      </w:pPr>
      <w:r w:rsidRPr="00384552">
        <w:rPr>
          <w:rFonts w:cs="Arial"/>
          <w:sz w:val="22"/>
          <w:szCs w:val="22"/>
        </w:rPr>
        <w:t xml:space="preserve">El contratista deberá presentar en papelones, los principales logros en la implementación del componente social, haciendo referencia a los alcances del mismo. Importante reflejar cambios de hábitos higiénico-sanitarios con la implementación de metodología FCSA, la aceptación y aprobación del Plan de Operación y Mantenimiento para garantizar su sostenibilidad y vida útil, según diseño. </w:t>
      </w:r>
    </w:p>
    <w:p w14:paraId="6FF09F3F" w14:textId="77777777" w:rsidR="00003780" w:rsidRPr="00384552" w:rsidRDefault="00003780" w:rsidP="00003780">
      <w:pPr>
        <w:tabs>
          <w:tab w:val="left" w:pos="142"/>
        </w:tabs>
        <w:rPr>
          <w:rFonts w:cs="Arial"/>
          <w:sz w:val="22"/>
          <w:szCs w:val="22"/>
        </w:rPr>
      </w:pPr>
    </w:p>
    <w:p w14:paraId="7D1A29F8" w14:textId="77777777" w:rsidR="00003780" w:rsidRPr="00384552" w:rsidRDefault="00003780" w:rsidP="00003780">
      <w:pPr>
        <w:tabs>
          <w:tab w:val="left" w:pos="142"/>
        </w:tabs>
        <w:rPr>
          <w:rFonts w:cs="Arial"/>
          <w:sz w:val="22"/>
          <w:szCs w:val="22"/>
        </w:rPr>
      </w:pPr>
      <w:r w:rsidRPr="00384552">
        <w:rPr>
          <w:rFonts w:cs="Arial"/>
          <w:sz w:val="22"/>
          <w:szCs w:val="22"/>
        </w:rPr>
        <w:t xml:space="preserve">En asamblea se debe contar con participación del responsable de Unidad Municipal de Agua y Saneamiento (UMAS), ATT/FISE y JD del CAPS en pleno. </w:t>
      </w:r>
    </w:p>
    <w:p w14:paraId="6FC9197C" w14:textId="77777777" w:rsidR="00003780" w:rsidRPr="00384552" w:rsidRDefault="00003780" w:rsidP="00003780">
      <w:pPr>
        <w:tabs>
          <w:tab w:val="left" w:pos="142"/>
        </w:tabs>
        <w:rPr>
          <w:rFonts w:cs="Arial"/>
          <w:sz w:val="22"/>
          <w:szCs w:val="22"/>
        </w:rPr>
      </w:pPr>
    </w:p>
    <w:p w14:paraId="10E396C5" w14:textId="77777777" w:rsidR="00003780" w:rsidRPr="00384552" w:rsidRDefault="00003780" w:rsidP="00003780">
      <w:pPr>
        <w:tabs>
          <w:tab w:val="left" w:pos="142"/>
        </w:tabs>
        <w:rPr>
          <w:rFonts w:cs="Arial"/>
          <w:sz w:val="22"/>
          <w:szCs w:val="22"/>
        </w:rPr>
      </w:pPr>
      <w:r w:rsidRPr="00384552">
        <w:rPr>
          <w:rFonts w:cs="Arial"/>
          <w:sz w:val="22"/>
          <w:szCs w:val="22"/>
        </w:rPr>
        <w:t xml:space="preserve">Los productos de la actividad serán; lista de asistencia, debidamente firmada y avalada por técnico UMAS, acta de asamblea (modelo típico FISE), ayuda memoria, galería fotográfica. Contratista elabora Informe Ejecutivo de asamblea. </w:t>
      </w:r>
    </w:p>
    <w:p w14:paraId="061BCCA0" w14:textId="77777777" w:rsidR="00003780" w:rsidRPr="00384552" w:rsidRDefault="00003780" w:rsidP="00003780">
      <w:pPr>
        <w:tabs>
          <w:tab w:val="left" w:pos="142"/>
        </w:tabs>
        <w:rPr>
          <w:rFonts w:cs="Arial"/>
          <w:b/>
          <w:sz w:val="22"/>
          <w:szCs w:val="22"/>
        </w:rPr>
      </w:pPr>
    </w:p>
    <w:p w14:paraId="7385CD6B" w14:textId="77777777" w:rsidR="00003780" w:rsidRPr="00384552" w:rsidRDefault="00003780" w:rsidP="00003780">
      <w:pPr>
        <w:tabs>
          <w:tab w:val="left" w:pos="142"/>
        </w:tabs>
        <w:rPr>
          <w:rFonts w:cs="Arial"/>
          <w:sz w:val="22"/>
          <w:szCs w:val="22"/>
        </w:rPr>
      </w:pPr>
      <w:r w:rsidRPr="00384552">
        <w:rPr>
          <w:rFonts w:cs="Arial"/>
          <w:sz w:val="22"/>
          <w:szCs w:val="22"/>
        </w:rPr>
        <w:t>Notas de estricto cumplimiento:</w:t>
      </w:r>
    </w:p>
    <w:p w14:paraId="6F268405" w14:textId="77777777" w:rsidR="00003780" w:rsidRPr="00384552" w:rsidRDefault="00003780" w:rsidP="00003780">
      <w:pPr>
        <w:tabs>
          <w:tab w:val="left" w:pos="142"/>
        </w:tabs>
        <w:rPr>
          <w:rFonts w:cs="Arial"/>
          <w:sz w:val="22"/>
          <w:szCs w:val="22"/>
        </w:rPr>
      </w:pPr>
    </w:p>
    <w:p w14:paraId="33A3A14A" w14:textId="77777777" w:rsidR="00003780" w:rsidRPr="00384552" w:rsidRDefault="00003780" w:rsidP="003B68DB">
      <w:pPr>
        <w:numPr>
          <w:ilvl w:val="0"/>
          <w:numId w:val="122"/>
        </w:numPr>
        <w:tabs>
          <w:tab w:val="left" w:pos="142"/>
        </w:tabs>
        <w:ind w:hanging="578"/>
        <w:contextualSpacing/>
        <w:rPr>
          <w:rFonts w:cs="Arial"/>
          <w:b/>
          <w:sz w:val="22"/>
          <w:szCs w:val="22"/>
        </w:rPr>
      </w:pPr>
      <w:r w:rsidRPr="00384552">
        <w:rPr>
          <w:rFonts w:cs="Arial"/>
          <w:b/>
          <w:sz w:val="22"/>
          <w:szCs w:val="22"/>
        </w:rPr>
        <w:t>En cada actividad el contratista debe garantizar (Refrigerios, almuerzos, cuadernos, lapiceros, cartillas del compendio, material FCSA.)</w:t>
      </w:r>
    </w:p>
    <w:p w14:paraId="276F55E5" w14:textId="77777777" w:rsidR="00003780" w:rsidRPr="00384552" w:rsidRDefault="00003780" w:rsidP="003B68DB">
      <w:pPr>
        <w:numPr>
          <w:ilvl w:val="0"/>
          <w:numId w:val="122"/>
        </w:numPr>
        <w:tabs>
          <w:tab w:val="left" w:pos="142"/>
        </w:tabs>
        <w:ind w:hanging="578"/>
        <w:contextualSpacing/>
        <w:rPr>
          <w:rFonts w:cs="Arial"/>
          <w:b/>
          <w:sz w:val="22"/>
          <w:szCs w:val="22"/>
        </w:rPr>
      </w:pPr>
      <w:r w:rsidRPr="00384552">
        <w:rPr>
          <w:rFonts w:cs="Arial"/>
          <w:b/>
          <w:sz w:val="22"/>
          <w:szCs w:val="22"/>
        </w:rPr>
        <w:t>Todos los informes de actividades sociales deberán ser revisados y avalados por los Especialistas Sociales</w:t>
      </w:r>
    </w:p>
    <w:p w14:paraId="753F0D00" w14:textId="77777777" w:rsidR="00003780" w:rsidRPr="00507630" w:rsidRDefault="00003780" w:rsidP="00507630">
      <w:pPr>
        <w:numPr>
          <w:ilvl w:val="0"/>
          <w:numId w:val="122"/>
        </w:numPr>
        <w:tabs>
          <w:tab w:val="left" w:pos="142"/>
        </w:tabs>
        <w:autoSpaceDE w:val="0"/>
        <w:autoSpaceDN w:val="0"/>
        <w:adjustRightInd w:val="0"/>
        <w:ind w:hanging="578"/>
        <w:contextualSpacing/>
        <w:rPr>
          <w:rFonts w:cs="Arial"/>
          <w:i/>
          <w:sz w:val="22"/>
          <w:szCs w:val="22"/>
          <w:lang w:val="es-NI" w:eastAsia="es-NI"/>
        </w:rPr>
      </w:pPr>
      <w:r w:rsidRPr="002902F5">
        <w:rPr>
          <w:rFonts w:cs="Arial"/>
          <w:b/>
          <w:sz w:val="22"/>
          <w:szCs w:val="22"/>
        </w:rPr>
        <w:t>Los Informes de las actividades de la etapa de ejecución, llevaran el Vo.Bo. del Asesor Técnico Territorial.</w:t>
      </w:r>
      <w:r w:rsidRPr="00507630">
        <w:rPr>
          <w:rFonts w:asciiTheme="minorHAnsi" w:hAnsiTheme="minorHAnsi"/>
          <w:b/>
          <w:color w:val="000000" w:themeColor="text1"/>
          <w:sz w:val="28"/>
          <w:szCs w:val="24"/>
          <w:lang w:val="es-MX"/>
        </w:rPr>
        <w:br w:type="page"/>
      </w:r>
    </w:p>
    <w:p w14:paraId="0EE2BEE6" w14:textId="77777777" w:rsidR="001A4860" w:rsidRPr="001A4860" w:rsidRDefault="001A4860" w:rsidP="001A4860">
      <w:pPr>
        <w:rPr>
          <w:b/>
          <w:sz w:val="22"/>
          <w:szCs w:val="22"/>
          <w:lang w:val="es-ES" w:eastAsia="es-ES"/>
        </w:rPr>
      </w:pPr>
    </w:p>
    <w:p w14:paraId="2BC247CF" w14:textId="77777777" w:rsidR="001A4860" w:rsidRPr="001A4860" w:rsidRDefault="001A4860" w:rsidP="001A4860">
      <w:pPr>
        <w:rPr>
          <w:b/>
          <w:sz w:val="22"/>
          <w:szCs w:val="22"/>
          <w:lang w:val="es-ES" w:eastAsia="es-ES"/>
        </w:rPr>
      </w:pPr>
      <w:r w:rsidRPr="001A4860">
        <w:rPr>
          <w:b/>
          <w:sz w:val="22"/>
          <w:szCs w:val="22"/>
          <w:lang w:val="es-ES" w:eastAsia="es-ES"/>
        </w:rPr>
        <w:t>ESPECIFICACIONES TÉCNICAS PARTICULARES.</w:t>
      </w:r>
    </w:p>
    <w:p w14:paraId="5749AA43" w14:textId="77777777" w:rsidR="001A4860" w:rsidRPr="001A4860" w:rsidRDefault="001A4860" w:rsidP="001A4860">
      <w:pPr>
        <w:tabs>
          <w:tab w:val="center" w:pos="4252"/>
          <w:tab w:val="right" w:pos="8504"/>
        </w:tabs>
        <w:rPr>
          <w:rFonts w:eastAsia="Arial Narrow"/>
          <w:b/>
          <w:bCs/>
          <w:iCs/>
          <w:sz w:val="22"/>
          <w:szCs w:val="22"/>
          <w:lang w:val="es-NI"/>
        </w:rPr>
      </w:pPr>
      <w:r w:rsidRPr="001A4860">
        <w:rPr>
          <w:rFonts w:eastAsia="Arial Narrow"/>
          <w:b/>
          <w:bCs/>
          <w:iCs/>
          <w:sz w:val="22"/>
          <w:szCs w:val="22"/>
          <w:highlight w:val="yellow"/>
          <w:lang w:val="es-NI"/>
        </w:rPr>
        <w:t>Proyecto 19886 Agua y Saneamiento Comunidad La Concepcion</w:t>
      </w:r>
      <w:r>
        <w:rPr>
          <w:rFonts w:eastAsia="Arial Narrow"/>
          <w:b/>
          <w:bCs/>
          <w:iCs/>
          <w:sz w:val="22"/>
          <w:szCs w:val="22"/>
          <w:lang w:val="es-NI"/>
        </w:rPr>
        <w:t xml:space="preserve"> (LOTE 1)</w:t>
      </w:r>
    </w:p>
    <w:p w14:paraId="4015B2EB" w14:textId="77777777" w:rsidR="001A4860" w:rsidRPr="001A4860" w:rsidRDefault="001A4860" w:rsidP="001A4860">
      <w:pPr>
        <w:rPr>
          <w:b/>
          <w:sz w:val="22"/>
          <w:szCs w:val="22"/>
          <w:lang w:val="es-ES" w:eastAsia="es-ES"/>
        </w:rPr>
      </w:pPr>
    </w:p>
    <w:p w14:paraId="1B7DAE66" w14:textId="77777777" w:rsidR="001A4860" w:rsidRPr="001A4860" w:rsidRDefault="001A4860" w:rsidP="001A4860">
      <w:pPr>
        <w:keepNext/>
        <w:keepLines/>
        <w:outlineLvl w:val="0"/>
        <w:rPr>
          <w:b/>
          <w:sz w:val="22"/>
          <w:szCs w:val="22"/>
          <w:lang w:val="es-ES" w:eastAsia="es-ES"/>
        </w:rPr>
      </w:pPr>
      <w:bookmarkStart w:id="426" w:name="_Toc23249308"/>
      <w:r w:rsidRPr="001A4860">
        <w:rPr>
          <w:rFonts w:eastAsia="Arial"/>
          <w:b/>
          <w:sz w:val="22"/>
          <w:szCs w:val="22"/>
          <w:lang w:val="es-ES" w:eastAsia="es-ES"/>
        </w:rPr>
        <w:t>CONTEXTO</w:t>
      </w:r>
      <w:r w:rsidRPr="001A4860">
        <w:rPr>
          <w:rFonts w:eastAsia="Arial"/>
          <w:b/>
          <w:spacing w:val="23"/>
          <w:sz w:val="22"/>
          <w:szCs w:val="22"/>
          <w:lang w:val="es-ES" w:eastAsia="es-ES"/>
        </w:rPr>
        <w:t xml:space="preserve"> </w:t>
      </w:r>
      <w:r w:rsidRPr="001A4860">
        <w:rPr>
          <w:rFonts w:eastAsia="Arial"/>
          <w:b/>
          <w:spacing w:val="1"/>
          <w:sz w:val="22"/>
          <w:szCs w:val="22"/>
          <w:lang w:val="es-ES" w:eastAsia="es-ES"/>
        </w:rPr>
        <w:t>D</w:t>
      </w:r>
      <w:r w:rsidRPr="001A4860">
        <w:rPr>
          <w:rFonts w:eastAsia="Arial"/>
          <w:b/>
          <w:sz w:val="22"/>
          <w:szCs w:val="22"/>
          <w:lang w:val="es-ES" w:eastAsia="es-ES"/>
        </w:rPr>
        <w:t>EL</w:t>
      </w:r>
      <w:r w:rsidRPr="001A4860">
        <w:rPr>
          <w:rFonts w:eastAsia="Arial"/>
          <w:b/>
          <w:spacing w:val="8"/>
          <w:sz w:val="22"/>
          <w:szCs w:val="22"/>
          <w:lang w:val="es-ES" w:eastAsia="es-ES"/>
        </w:rPr>
        <w:t xml:space="preserve"> </w:t>
      </w:r>
      <w:r w:rsidRPr="001A4860">
        <w:rPr>
          <w:rFonts w:eastAsia="Arial"/>
          <w:b/>
          <w:sz w:val="22"/>
          <w:szCs w:val="22"/>
          <w:lang w:val="es-ES" w:eastAsia="es-ES"/>
        </w:rPr>
        <w:t>PR</w:t>
      </w:r>
      <w:r w:rsidRPr="001A4860">
        <w:rPr>
          <w:rFonts w:eastAsia="Arial"/>
          <w:b/>
          <w:spacing w:val="1"/>
          <w:sz w:val="22"/>
          <w:szCs w:val="22"/>
          <w:lang w:val="es-ES" w:eastAsia="es-ES"/>
        </w:rPr>
        <w:t>O</w:t>
      </w:r>
      <w:r w:rsidRPr="001A4860">
        <w:rPr>
          <w:rFonts w:eastAsia="Arial"/>
          <w:b/>
          <w:spacing w:val="-2"/>
          <w:sz w:val="22"/>
          <w:szCs w:val="22"/>
          <w:lang w:val="es-ES" w:eastAsia="es-ES"/>
        </w:rPr>
        <w:t>Y</w:t>
      </w:r>
      <w:r w:rsidRPr="001A4860">
        <w:rPr>
          <w:rFonts w:eastAsia="Arial"/>
          <w:b/>
          <w:sz w:val="22"/>
          <w:szCs w:val="22"/>
          <w:lang w:val="es-ES" w:eastAsia="es-ES"/>
        </w:rPr>
        <w:t>E</w:t>
      </w:r>
      <w:r w:rsidRPr="001A4860">
        <w:rPr>
          <w:rFonts w:eastAsia="Arial"/>
          <w:b/>
          <w:spacing w:val="1"/>
          <w:sz w:val="22"/>
          <w:szCs w:val="22"/>
          <w:lang w:val="es-ES" w:eastAsia="es-ES"/>
        </w:rPr>
        <w:t>C</w:t>
      </w:r>
      <w:r w:rsidRPr="001A4860">
        <w:rPr>
          <w:rFonts w:eastAsia="Arial"/>
          <w:b/>
          <w:sz w:val="22"/>
          <w:szCs w:val="22"/>
          <w:lang w:val="es-ES" w:eastAsia="es-ES"/>
        </w:rPr>
        <w:t>TO Y</w:t>
      </w:r>
      <w:r w:rsidRPr="001A4860">
        <w:rPr>
          <w:rFonts w:eastAsia="Arial"/>
          <w:b/>
          <w:spacing w:val="4"/>
          <w:sz w:val="22"/>
          <w:szCs w:val="22"/>
          <w:lang w:val="es-ES" w:eastAsia="es-ES"/>
        </w:rPr>
        <w:t xml:space="preserve"> </w:t>
      </w:r>
      <w:r w:rsidRPr="001A4860">
        <w:rPr>
          <w:rFonts w:eastAsia="Arial"/>
          <w:b/>
          <w:sz w:val="22"/>
          <w:szCs w:val="22"/>
          <w:lang w:val="es-ES" w:eastAsia="es-ES"/>
        </w:rPr>
        <w:t>D</w:t>
      </w:r>
      <w:r w:rsidRPr="001A4860">
        <w:rPr>
          <w:rFonts w:eastAsia="Arial"/>
          <w:b/>
          <w:spacing w:val="-2"/>
          <w:sz w:val="22"/>
          <w:szCs w:val="22"/>
          <w:lang w:val="es-ES" w:eastAsia="es-ES"/>
        </w:rPr>
        <w:t>E</w:t>
      </w:r>
      <w:r w:rsidRPr="001A4860">
        <w:rPr>
          <w:rFonts w:eastAsia="Arial"/>
          <w:b/>
          <w:spacing w:val="1"/>
          <w:sz w:val="22"/>
          <w:szCs w:val="22"/>
          <w:lang w:val="es-ES" w:eastAsia="es-ES"/>
        </w:rPr>
        <w:t>SC</w:t>
      </w:r>
      <w:r w:rsidRPr="001A4860">
        <w:rPr>
          <w:rFonts w:eastAsia="Arial"/>
          <w:b/>
          <w:sz w:val="22"/>
          <w:szCs w:val="22"/>
          <w:lang w:val="es-ES" w:eastAsia="es-ES"/>
        </w:rPr>
        <w:t>RI</w:t>
      </w:r>
      <w:r w:rsidRPr="001A4860">
        <w:rPr>
          <w:rFonts w:eastAsia="Arial"/>
          <w:b/>
          <w:spacing w:val="-2"/>
          <w:sz w:val="22"/>
          <w:szCs w:val="22"/>
          <w:lang w:val="es-ES" w:eastAsia="es-ES"/>
        </w:rPr>
        <w:t>P</w:t>
      </w:r>
      <w:r w:rsidRPr="001A4860">
        <w:rPr>
          <w:rFonts w:eastAsia="Arial"/>
          <w:b/>
          <w:sz w:val="22"/>
          <w:szCs w:val="22"/>
          <w:lang w:val="es-ES" w:eastAsia="es-ES"/>
        </w:rPr>
        <w:t>CIÓN</w:t>
      </w:r>
      <w:r w:rsidRPr="001A4860">
        <w:rPr>
          <w:rFonts w:eastAsia="Arial"/>
          <w:b/>
          <w:spacing w:val="28"/>
          <w:sz w:val="22"/>
          <w:szCs w:val="22"/>
          <w:lang w:val="es-ES" w:eastAsia="es-ES"/>
        </w:rPr>
        <w:t xml:space="preserve"> </w:t>
      </w:r>
      <w:r w:rsidRPr="001A4860">
        <w:rPr>
          <w:rFonts w:eastAsia="Arial"/>
          <w:b/>
          <w:sz w:val="22"/>
          <w:szCs w:val="22"/>
          <w:lang w:val="es-ES" w:eastAsia="es-ES"/>
        </w:rPr>
        <w:t>SU</w:t>
      </w:r>
      <w:r w:rsidRPr="001A4860">
        <w:rPr>
          <w:rFonts w:eastAsia="Arial"/>
          <w:b/>
          <w:spacing w:val="1"/>
          <w:sz w:val="22"/>
          <w:szCs w:val="22"/>
          <w:lang w:val="es-ES" w:eastAsia="es-ES"/>
        </w:rPr>
        <w:t>M</w:t>
      </w:r>
      <w:r w:rsidRPr="001A4860">
        <w:rPr>
          <w:rFonts w:eastAsia="Arial"/>
          <w:b/>
          <w:spacing w:val="-2"/>
          <w:sz w:val="22"/>
          <w:szCs w:val="22"/>
          <w:lang w:val="es-ES" w:eastAsia="es-ES"/>
        </w:rPr>
        <w:t>A</w:t>
      </w:r>
      <w:r w:rsidRPr="001A4860">
        <w:rPr>
          <w:rFonts w:eastAsia="Arial"/>
          <w:b/>
          <w:sz w:val="22"/>
          <w:szCs w:val="22"/>
          <w:lang w:val="es-ES" w:eastAsia="es-ES"/>
        </w:rPr>
        <w:t>RIA</w:t>
      </w:r>
      <w:r w:rsidRPr="001A4860">
        <w:rPr>
          <w:rFonts w:eastAsia="Arial"/>
          <w:b/>
          <w:spacing w:val="19"/>
          <w:sz w:val="22"/>
          <w:szCs w:val="22"/>
          <w:lang w:val="es-ES" w:eastAsia="es-ES"/>
        </w:rPr>
        <w:t xml:space="preserve"> </w:t>
      </w:r>
      <w:r w:rsidRPr="001A4860">
        <w:rPr>
          <w:rFonts w:eastAsia="Arial"/>
          <w:b/>
          <w:sz w:val="22"/>
          <w:szCs w:val="22"/>
          <w:lang w:val="es-ES" w:eastAsia="es-ES"/>
        </w:rPr>
        <w:t>DE</w:t>
      </w:r>
      <w:r w:rsidRPr="001A4860">
        <w:rPr>
          <w:rFonts w:eastAsia="Arial"/>
          <w:b/>
          <w:spacing w:val="5"/>
          <w:sz w:val="22"/>
          <w:szCs w:val="22"/>
          <w:lang w:val="es-ES" w:eastAsia="es-ES"/>
        </w:rPr>
        <w:t xml:space="preserve"> </w:t>
      </w:r>
      <w:r w:rsidRPr="001A4860">
        <w:rPr>
          <w:rFonts w:eastAsia="Arial"/>
          <w:b/>
          <w:spacing w:val="2"/>
          <w:sz w:val="22"/>
          <w:szCs w:val="22"/>
          <w:lang w:val="es-ES" w:eastAsia="es-ES"/>
        </w:rPr>
        <w:t>L</w:t>
      </w:r>
      <w:r w:rsidRPr="001A4860">
        <w:rPr>
          <w:rFonts w:eastAsia="Arial"/>
          <w:b/>
          <w:spacing w:val="-2"/>
          <w:sz w:val="22"/>
          <w:szCs w:val="22"/>
          <w:lang w:val="es-ES" w:eastAsia="es-ES"/>
        </w:rPr>
        <w:t>A</w:t>
      </w:r>
      <w:r w:rsidRPr="001A4860">
        <w:rPr>
          <w:rFonts w:eastAsia="Arial"/>
          <w:b/>
          <w:sz w:val="22"/>
          <w:szCs w:val="22"/>
          <w:lang w:val="es-ES" w:eastAsia="es-ES"/>
        </w:rPr>
        <w:t>S</w:t>
      </w:r>
      <w:r w:rsidRPr="001A4860">
        <w:rPr>
          <w:rFonts w:eastAsia="Arial"/>
          <w:b/>
          <w:spacing w:val="9"/>
          <w:sz w:val="22"/>
          <w:szCs w:val="22"/>
          <w:lang w:val="es-ES" w:eastAsia="es-ES"/>
        </w:rPr>
        <w:t xml:space="preserve"> </w:t>
      </w:r>
      <w:r w:rsidRPr="001A4860">
        <w:rPr>
          <w:rFonts w:eastAsia="Arial"/>
          <w:b/>
          <w:w w:val="102"/>
          <w:sz w:val="22"/>
          <w:szCs w:val="22"/>
          <w:lang w:val="es-ES" w:eastAsia="es-ES"/>
        </w:rPr>
        <w:t>OB</w:t>
      </w:r>
      <w:r w:rsidRPr="001A4860">
        <w:rPr>
          <w:rFonts w:eastAsia="Arial"/>
          <w:b/>
          <w:spacing w:val="1"/>
          <w:w w:val="102"/>
          <w:sz w:val="22"/>
          <w:szCs w:val="22"/>
          <w:lang w:val="es-ES" w:eastAsia="es-ES"/>
        </w:rPr>
        <w:t>R</w:t>
      </w:r>
      <w:r w:rsidRPr="001A4860">
        <w:rPr>
          <w:rFonts w:eastAsia="Arial"/>
          <w:b/>
          <w:w w:val="102"/>
          <w:sz w:val="22"/>
          <w:szCs w:val="22"/>
          <w:lang w:val="es-ES" w:eastAsia="es-ES"/>
        </w:rPr>
        <w:t>AS</w:t>
      </w:r>
      <w:bookmarkEnd w:id="426"/>
    </w:p>
    <w:p w14:paraId="3F984E67" w14:textId="77777777" w:rsidR="001A4860" w:rsidRPr="001A4860" w:rsidRDefault="001A4860" w:rsidP="001A4860">
      <w:pPr>
        <w:rPr>
          <w:b/>
          <w:bCs/>
          <w:sz w:val="22"/>
          <w:szCs w:val="22"/>
          <w:lang w:val="es-ES" w:eastAsia="es-ES"/>
        </w:rPr>
      </w:pPr>
    </w:p>
    <w:p w14:paraId="5104ACF8" w14:textId="77777777" w:rsidR="001A4860" w:rsidRPr="001A4860" w:rsidRDefault="001A4860" w:rsidP="001A4860">
      <w:pPr>
        <w:keepNext/>
        <w:outlineLvl w:val="1"/>
        <w:rPr>
          <w:rFonts w:eastAsia="Arial Narrow"/>
          <w:b/>
          <w:bCs/>
          <w:iCs/>
          <w:sz w:val="22"/>
          <w:szCs w:val="22"/>
          <w:lang w:val="es-NI"/>
        </w:rPr>
      </w:pPr>
      <w:bookmarkStart w:id="427" w:name="_Toc23249309"/>
      <w:r w:rsidRPr="001A4860">
        <w:rPr>
          <w:rFonts w:eastAsia="Arial Narrow"/>
          <w:b/>
          <w:bCs/>
          <w:iCs/>
          <w:sz w:val="22"/>
          <w:szCs w:val="22"/>
          <w:lang w:val="es-NI"/>
        </w:rPr>
        <w:t>Contexto</w:t>
      </w:r>
      <w:r w:rsidRPr="001A4860">
        <w:rPr>
          <w:rFonts w:eastAsia="Arial Narrow"/>
          <w:b/>
          <w:bCs/>
          <w:iCs/>
          <w:spacing w:val="23"/>
          <w:sz w:val="22"/>
          <w:szCs w:val="22"/>
          <w:lang w:val="es-NI"/>
        </w:rPr>
        <w:t xml:space="preserve"> </w:t>
      </w:r>
      <w:r w:rsidRPr="001A4860">
        <w:rPr>
          <w:rFonts w:eastAsia="Arial Narrow"/>
          <w:b/>
          <w:bCs/>
          <w:iCs/>
          <w:spacing w:val="1"/>
          <w:sz w:val="22"/>
          <w:szCs w:val="22"/>
          <w:lang w:val="es-NI"/>
        </w:rPr>
        <w:t>d</w:t>
      </w:r>
      <w:r w:rsidRPr="001A4860">
        <w:rPr>
          <w:rFonts w:eastAsia="Arial Narrow"/>
          <w:b/>
          <w:bCs/>
          <w:iCs/>
          <w:sz w:val="22"/>
          <w:szCs w:val="22"/>
          <w:lang w:val="es-NI"/>
        </w:rPr>
        <w:t>el</w:t>
      </w:r>
      <w:r w:rsidRPr="001A4860">
        <w:rPr>
          <w:rFonts w:eastAsia="Arial Narrow"/>
          <w:b/>
          <w:bCs/>
          <w:iCs/>
          <w:spacing w:val="8"/>
          <w:sz w:val="22"/>
          <w:szCs w:val="22"/>
          <w:lang w:val="es-NI"/>
        </w:rPr>
        <w:t xml:space="preserve"> </w:t>
      </w:r>
      <w:r w:rsidRPr="001A4860">
        <w:rPr>
          <w:rFonts w:eastAsia="Arial Narrow"/>
          <w:b/>
          <w:bCs/>
          <w:iCs/>
          <w:sz w:val="22"/>
          <w:szCs w:val="22"/>
          <w:lang w:val="es-NI"/>
        </w:rPr>
        <w:t>pr</w:t>
      </w:r>
      <w:r w:rsidRPr="001A4860">
        <w:rPr>
          <w:rFonts w:eastAsia="Arial Narrow"/>
          <w:b/>
          <w:bCs/>
          <w:iCs/>
          <w:spacing w:val="1"/>
          <w:sz w:val="22"/>
          <w:szCs w:val="22"/>
          <w:lang w:val="es-NI"/>
        </w:rPr>
        <w:t>o</w:t>
      </w:r>
      <w:r w:rsidRPr="001A4860">
        <w:rPr>
          <w:rFonts w:eastAsia="Arial Narrow"/>
          <w:b/>
          <w:bCs/>
          <w:iCs/>
          <w:spacing w:val="-2"/>
          <w:sz w:val="22"/>
          <w:szCs w:val="22"/>
          <w:lang w:val="es-NI"/>
        </w:rPr>
        <w:t>y</w:t>
      </w:r>
      <w:r w:rsidRPr="001A4860">
        <w:rPr>
          <w:rFonts w:eastAsia="Arial Narrow"/>
          <w:b/>
          <w:bCs/>
          <w:iCs/>
          <w:sz w:val="22"/>
          <w:szCs w:val="22"/>
          <w:lang w:val="es-NI"/>
        </w:rPr>
        <w:t>e</w:t>
      </w:r>
      <w:r w:rsidRPr="001A4860">
        <w:rPr>
          <w:rFonts w:eastAsia="Arial Narrow"/>
          <w:b/>
          <w:bCs/>
          <w:iCs/>
          <w:spacing w:val="1"/>
          <w:sz w:val="22"/>
          <w:szCs w:val="22"/>
          <w:lang w:val="es-NI"/>
        </w:rPr>
        <w:t>c</w:t>
      </w:r>
      <w:r w:rsidRPr="001A4860">
        <w:rPr>
          <w:rFonts w:eastAsia="Arial Narrow"/>
          <w:b/>
          <w:bCs/>
          <w:iCs/>
          <w:sz w:val="22"/>
          <w:szCs w:val="22"/>
          <w:lang w:val="es-NI"/>
        </w:rPr>
        <w:t>to</w:t>
      </w:r>
      <w:bookmarkEnd w:id="427"/>
    </w:p>
    <w:p w14:paraId="3B6C80FB" w14:textId="77777777" w:rsidR="001A4860" w:rsidRPr="001A4860" w:rsidRDefault="001A4860" w:rsidP="001A4860">
      <w:pPr>
        <w:rPr>
          <w:sz w:val="22"/>
          <w:szCs w:val="22"/>
          <w:lang w:val="es-NI"/>
        </w:rPr>
      </w:pPr>
    </w:p>
    <w:p w14:paraId="4C9D03AF" w14:textId="77777777" w:rsidR="001A4860" w:rsidRPr="001A4860" w:rsidRDefault="001A4860" w:rsidP="001A4860">
      <w:pPr>
        <w:rPr>
          <w:sz w:val="22"/>
          <w:szCs w:val="22"/>
          <w:lang w:val="es-ES" w:eastAsia="es-ES"/>
        </w:rPr>
      </w:pPr>
      <w:r w:rsidRPr="001A4860">
        <w:rPr>
          <w:sz w:val="22"/>
          <w:szCs w:val="22"/>
          <w:lang w:val="es-ES" w:eastAsia="es-ES"/>
        </w:rPr>
        <w:t>En este acápite, se describe brevemente las actividades mas relevantes requeridas para la construcción del proyecto. Obviamente debe interpretarse que las actividades no mensionadas tienen igual importancia para la ejecución del proyecto.</w:t>
      </w:r>
    </w:p>
    <w:p w14:paraId="3EA33CFF" w14:textId="77777777" w:rsidR="001A4860" w:rsidRPr="001A4860" w:rsidRDefault="001A4860" w:rsidP="001A4860">
      <w:pPr>
        <w:rPr>
          <w:sz w:val="22"/>
          <w:szCs w:val="22"/>
          <w:lang w:val="es-ES" w:eastAsia="es-ES"/>
        </w:rPr>
      </w:pPr>
    </w:p>
    <w:p w14:paraId="1767D61C" w14:textId="77777777" w:rsidR="001A4860" w:rsidRPr="001A4860" w:rsidRDefault="001A4860" w:rsidP="001A4860">
      <w:pPr>
        <w:rPr>
          <w:bCs/>
          <w:sz w:val="22"/>
          <w:szCs w:val="22"/>
          <w:lang w:val="es-ES" w:eastAsia="es-ES"/>
        </w:rPr>
      </w:pPr>
      <w:r w:rsidRPr="001A4860">
        <w:rPr>
          <w:bCs/>
          <w:sz w:val="22"/>
          <w:szCs w:val="22"/>
          <w:lang w:val="es-ES" w:eastAsia="es-ES"/>
        </w:rPr>
        <w:t>El proyecto se desarrolla apegado a la integralidad de tres componentes:</w:t>
      </w:r>
    </w:p>
    <w:p w14:paraId="058DB0FD" w14:textId="77777777" w:rsidR="001A4860" w:rsidRPr="001A4860" w:rsidRDefault="001A4860" w:rsidP="001A4860">
      <w:pPr>
        <w:rPr>
          <w:bCs/>
          <w:sz w:val="22"/>
          <w:szCs w:val="22"/>
          <w:lang w:val="es-ES" w:eastAsia="es-ES"/>
        </w:rPr>
      </w:pPr>
    </w:p>
    <w:p w14:paraId="27CB91F5" w14:textId="77777777" w:rsidR="001A4860" w:rsidRPr="001A4860" w:rsidRDefault="001A4860" w:rsidP="001A4860">
      <w:pPr>
        <w:rPr>
          <w:bCs/>
          <w:sz w:val="22"/>
          <w:szCs w:val="22"/>
          <w:lang w:val="es-ES" w:eastAsia="es-ES"/>
        </w:rPr>
      </w:pPr>
      <w:r w:rsidRPr="001A4860">
        <w:rPr>
          <w:b/>
          <w:bCs/>
          <w:sz w:val="22"/>
          <w:szCs w:val="22"/>
          <w:lang w:val="es-ES" w:eastAsia="es-ES"/>
        </w:rPr>
        <w:t>Componente I</w:t>
      </w:r>
      <w:r w:rsidRPr="001A4860">
        <w:rPr>
          <w:b/>
          <w:bCs/>
          <w:sz w:val="22"/>
          <w:szCs w:val="22"/>
          <w:lang w:val="es-ES" w:eastAsia="es-ES"/>
        </w:rPr>
        <w:tab/>
        <w:t>Suministro de agua potable</w:t>
      </w:r>
    </w:p>
    <w:p w14:paraId="47AB38BF" w14:textId="77777777" w:rsidR="001A4860" w:rsidRPr="001A4860" w:rsidRDefault="001A4860" w:rsidP="001A4860">
      <w:pPr>
        <w:rPr>
          <w:bCs/>
          <w:sz w:val="22"/>
          <w:szCs w:val="22"/>
          <w:lang w:val="es-ES" w:eastAsia="es-ES"/>
        </w:rPr>
      </w:pPr>
    </w:p>
    <w:p w14:paraId="0EACE1F0" w14:textId="77777777" w:rsidR="001A4860" w:rsidRPr="001A4860" w:rsidRDefault="001A4860" w:rsidP="001A4860">
      <w:pPr>
        <w:rPr>
          <w:bCs/>
          <w:sz w:val="22"/>
          <w:szCs w:val="22"/>
          <w:lang w:val="es-ES" w:eastAsia="es-ES"/>
        </w:rPr>
      </w:pPr>
      <w:r w:rsidRPr="001A4860">
        <w:rPr>
          <w:bCs/>
          <w:sz w:val="22"/>
          <w:szCs w:val="22"/>
          <w:lang w:val="es-ES" w:eastAsia="es-ES"/>
        </w:rPr>
        <w:t>Suministro de agua para uso y consumo doméstico. La solución consiste en aprovechar la infraestructura existente en la localidad, construir las obras complementarias para operar y mantener funcionando el sistema de suministro del Mini Acueducto por Bombeo Eléctrico (MABE)</w:t>
      </w:r>
    </w:p>
    <w:p w14:paraId="196472E8" w14:textId="77777777" w:rsidR="001A4860" w:rsidRPr="001A4860" w:rsidRDefault="001A4860" w:rsidP="001A4860">
      <w:pPr>
        <w:rPr>
          <w:bCs/>
          <w:sz w:val="22"/>
          <w:szCs w:val="22"/>
          <w:lang w:val="es-ES" w:eastAsia="es-ES"/>
        </w:rPr>
      </w:pPr>
    </w:p>
    <w:p w14:paraId="3D98E308" w14:textId="77777777" w:rsidR="001A4860" w:rsidRPr="001A4860" w:rsidRDefault="001A4860" w:rsidP="001A4860">
      <w:pPr>
        <w:rPr>
          <w:bCs/>
          <w:sz w:val="22"/>
          <w:szCs w:val="22"/>
          <w:lang w:val="es-ES" w:eastAsia="es-ES"/>
        </w:rPr>
      </w:pPr>
      <w:r w:rsidRPr="001A4860">
        <w:rPr>
          <w:b/>
          <w:bCs/>
          <w:sz w:val="22"/>
          <w:szCs w:val="22"/>
          <w:lang w:val="es-ES" w:eastAsia="es-ES"/>
        </w:rPr>
        <w:t>Componente II</w:t>
      </w:r>
      <w:r w:rsidRPr="001A4860">
        <w:rPr>
          <w:b/>
          <w:bCs/>
          <w:sz w:val="22"/>
          <w:szCs w:val="22"/>
          <w:lang w:val="es-ES" w:eastAsia="es-ES"/>
        </w:rPr>
        <w:tab/>
        <w:t>Saneamiento integral y promoción de la higiene</w:t>
      </w:r>
    </w:p>
    <w:p w14:paraId="2D4A7EF4" w14:textId="77777777" w:rsidR="001A4860" w:rsidRPr="001A4860" w:rsidRDefault="001A4860" w:rsidP="001A4860">
      <w:pPr>
        <w:rPr>
          <w:bCs/>
          <w:sz w:val="22"/>
          <w:szCs w:val="22"/>
          <w:lang w:val="es-ES" w:eastAsia="es-ES"/>
        </w:rPr>
      </w:pPr>
    </w:p>
    <w:p w14:paraId="1DF51056" w14:textId="77777777" w:rsidR="001A4860" w:rsidRPr="001A4860" w:rsidRDefault="001A4860" w:rsidP="001A4860">
      <w:pPr>
        <w:rPr>
          <w:b/>
          <w:bCs/>
          <w:sz w:val="22"/>
          <w:szCs w:val="22"/>
          <w:lang w:val="es-ES" w:eastAsia="es-ES"/>
        </w:rPr>
      </w:pPr>
      <w:r w:rsidRPr="001A4860">
        <w:rPr>
          <w:b/>
          <w:bCs/>
          <w:sz w:val="22"/>
          <w:szCs w:val="22"/>
          <w:lang w:val="es-ES" w:eastAsia="es-ES"/>
        </w:rPr>
        <w:t>2.1</w:t>
      </w:r>
      <w:r w:rsidRPr="001A4860">
        <w:rPr>
          <w:b/>
          <w:bCs/>
          <w:sz w:val="22"/>
          <w:szCs w:val="22"/>
          <w:lang w:val="es-ES" w:eastAsia="es-ES"/>
        </w:rPr>
        <w:tab/>
        <w:t>Saneamiento integral</w:t>
      </w:r>
    </w:p>
    <w:p w14:paraId="5D8087D6" w14:textId="77777777" w:rsidR="001A4860" w:rsidRPr="001A4860" w:rsidRDefault="001A4860" w:rsidP="001A4860">
      <w:pPr>
        <w:rPr>
          <w:bCs/>
          <w:sz w:val="22"/>
          <w:szCs w:val="22"/>
          <w:lang w:val="es-ES" w:eastAsia="es-ES"/>
        </w:rPr>
      </w:pPr>
    </w:p>
    <w:p w14:paraId="26E7F95B" w14:textId="77777777" w:rsidR="001A4860" w:rsidRPr="001A4860" w:rsidRDefault="001A4860" w:rsidP="001A4860">
      <w:pPr>
        <w:rPr>
          <w:bCs/>
          <w:sz w:val="22"/>
          <w:szCs w:val="22"/>
          <w:lang w:val="es-ES" w:eastAsia="es-ES"/>
        </w:rPr>
      </w:pPr>
      <w:r w:rsidRPr="001A4860">
        <w:rPr>
          <w:bCs/>
          <w:sz w:val="22"/>
          <w:szCs w:val="22"/>
          <w:lang w:val="es-ES" w:eastAsia="es-ES"/>
        </w:rPr>
        <w:t xml:space="preserve">Eliminación inocua de excretas humanas. La solución consiste en construir </w:t>
      </w:r>
      <w:r w:rsidRPr="001A4860">
        <w:rPr>
          <w:bCs/>
          <w:i/>
          <w:sz w:val="22"/>
          <w:szCs w:val="22"/>
          <w:lang w:val="es-ES" w:eastAsia="es-ES"/>
        </w:rPr>
        <w:t>Letrina sencilla estándar unifamiliar, con foso revestido ventilado y semielevado</w:t>
      </w:r>
      <w:r w:rsidRPr="001A4860">
        <w:rPr>
          <w:bCs/>
          <w:sz w:val="22"/>
          <w:szCs w:val="22"/>
          <w:lang w:val="es-ES" w:eastAsia="es-ES"/>
        </w:rPr>
        <w:t xml:space="preserve"> con sistema de separación de orina.</w:t>
      </w:r>
    </w:p>
    <w:p w14:paraId="2C55DF04" w14:textId="77777777" w:rsidR="001A4860" w:rsidRPr="001A4860" w:rsidRDefault="001A4860" w:rsidP="001A4860">
      <w:pPr>
        <w:rPr>
          <w:bCs/>
          <w:sz w:val="22"/>
          <w:szCs w:val="22"/>
          <w:lang w:val="es-ES" w:eastAsia="es-ES"/>
        </w:rPr>
      </w:pPr>
    </w:p>
    <w:p w14:paraId="755976D0" w14:textId="77777777" w:rsidR="001A4860" w:rsidRPr="001A4860" w:rsidRDefault="001A4860" w:rsidP="001A4860">
      <w:pPr>
        <w:rPr>
          <w:b/>
          <w:bCs/>
          <w:sz w:val="22"/>
          <w:szCs w:val="22"/>
          <w:lang w:val="es-ES" w:eastAsia="es-ES"/>
        </w:rPr>
      </w:pPr>
      <w:r w:rsidRPr="001A4860">
        <w:rPr>
          <w:b/>
          <w:bCs/>
          <w:sz w:val="22"/>
          <w:szCs w:val="22"/>
          <w:lang w:val="es-ES" w:eastAsia="es-ES"/>
        </w:rPr>
        <w:t>2.2</w:t>
      </w:r>
      <w:r w:rsidRPr="001A4860">
        <w:rPr>
          <w:b/>
          <w:bCs/>
          <w:sz w:val="22"/>
          <w:szCs w:val="22"/>
          <w:lang w:val="es-ES" w:eastAsia="es-ES"/>
        </w:rPr>
        <w:tab/>
        <w:t>Promoción de la higiene</w:t>
      </w:r>
    </w:p>
    <w:p w14:paraId="04300C04" w14:textId="77777777" w:rsidR="001A4860" w:rsidRPr="001A4860" w:rsidRDefault="001A4860" w:rsidP="001A4860">
      <w:pPr>
        <w:rPr>
          <w:bCs/>
          <w:sz w:val="22"/>
          <w:szCs w:val="22"/>
          <w:lang w:val="es-ES" w:eastAsia="es-ES"/>
        </w:rPr>
      </w:pPr>
    </w:p>
    <w:p w14:paraId="4249B212" w14:textId="77777777" w:rsidR="001A4860" w:rsidRPr="001A4860" w:rsidRDefault="001A4860" w:rsidP="001A4860">
      <w:pPr>
        <w:rPr>
          <w:bCs/>
          <w:sz w:val="22"/>
          <w:szCs w:val="22"/>
          <w:lang w:val="es-ES" w:eastAsia="es-ES"/>
        </w:rPr>
      </w:pPr>
      <w:r w:rsidRPr="001A4860">
        <w:rPr>
          <w:bCs/>
          <w:i/>
          <w:sz w:val="22"/>
          <w:szCs w:val="22"/>
          <w:lang w:val="es-ES" w:eastAsia="es-ES"/>
        </w:rPr>
        <w:t>Lavadero</w:t>
      </w:r>
      <w:r w:rsidRPr="001A4860">
        <w:rPr>
          <w:bCs/>
          <w:sz w:val="22"/>
          <w:szCs w:val="22"/>
          <w:lang w:val="es-ES" w:eastAsia="es-ES"/>
        </w:rPr>
        <w:t xml:space="preserve">. La solución consiste en suministrar e instalar artefactos de </w:t>
      </w:r>
      <w:r w:rsidRPr="001A4860">
        <w:rPr>
          <w:bCs/>
          <w:i/>
          <w:sz w:val="22"/>
          <w:szCs w:val="22"/>
          <w:lang w:val="es-ES" w:eastAsia="es-ES"/>
        </w:rPr>
        <w:t>lavadero</w:t>
      </w:r>
      <w:r w:rsidRPr="001A4860">
        <w:rPr>
          <w:bCs/>
          <w:sz w:val="22"/>
          <w:szCs w:val="22"/>
          <w:lang w:val="es-ES" w:eastAsia="es-ES"/>
        </w:rPr>
        <w:t xml:space="preserve"> con sistema de eliminación inocua de aguas grises en cada vivienda </w:t>
      </w:r>
    </w:p>
    <w:p w14:paraId="2041345B" w14:textId="77777777" w:rsidR="001A4860" w:rsidRPr="001A4860" w:rsidRDefault="001A4860" w:rsidP="001A4860">
      <w:pPr>
        <w:rPr>
          <w:bCs/>
          <w:sz w:val="22"/>
          <w:szCs w:val="22"/>
          <w:lang w:val="es-ES" w:eastAsia="es-ES"/>
        </w:rPr>
      </w:pPr>
    </w:p>
    <w:p w14:paraId="00825C68" w14:textId="77777777" w:rsidR="001A4860" w:rsidRPr="001A4860" w:rsidRDefault="001A4860" w:rsidP="001A4860">
      <w:pPr>
        <w:rPr>
          <w:b/>
          <w:bCs/>
          <w:sz w:val="22"/>
          <w:szCs w:val="22"/>
          <w:lang w:val="es-ES" w:eastAsia="es-ES"/>
        </w:rPr>
      </w:pPr>
      <w:r w:rsidRPr="001A4860">
        <w:rPr>
          <w:b/>
          <w:bCs/>
          <w:sz w:val="22"/>
          <w:szCs w:val="22"/>
          <w:lang w:val="es-ES" w:eastAsia="es-ES"/>
        </w:rPr>
        <w:t>Componente III</w:t>
      </w:r>
      <w:r w:rsidRPr="001A4860">
        <w:rPr>
          <w:b/>
          <w:bCs/>
          <w:sz w:val="22"/>
          <w:szCs w:val="22"/>
          <w:lang w:val="es-ES" w:eastAsia="es-ES"/>
        </w:rPr>
        <w:tab/>
        <w:t>Acompañamiento de los procesos sociales del proyecto</w:t>
      </w:r>
    </w:p>
    <w:p w14:paraId="241FB0FD" w14:textId="77777777" w:rsidR="001A4860" w:rsidRPr="001A4860" w:rsidRDefault="001A4860" w:rsidP="001A4860">
      <w:pPr>
        <w:rPr>
          <w:bCs/>
          <w:sz w:val="22"/>
          <w:szCs w:val="22"/>
          <w:lang w:val="es-ES" w:eastAsia="es-ES"/>
        </w:rPr>
      </w:pPr>
    </w:p>
    <w:p w14:paraId="6ED59E05" w14:textId="77777777" w:rsidR="001A4860" w:rsidRPr="001A4860" w:rsidRDefault="001A4860" w:rsidP="001A4860">
      <w:pPr>
        <w:rPr>
          <w:bCs/>
          <w:sz w:val="22"/>
          <w:szCs w:val="22"/>
          <w:lang w:val="es-ES" w:eastAsia="es-ES"/>
        </w:rPr>
      </w:pPr>
      <w:r w:rsidRPr="001A4860">
        <w:rPr>
          <w:bCs/>
          <w:sz w:val="22"/>
          <w:szCs w:val="22"/>
          <w:lang w:val="es-ES" w:eastAsia="es-ES"/>
        </w:rPr>
        <w:t>Consiste en promoción de la higiene en las fases de ejecución y postobras del proyecto con la participación social a nivel comunitario, con el objetivo de informar a los hogares sobre la importancia del saneamiento y la higiene, desplegando una campaña de comunicación para crear conciencia y demanda de soluciones de saneamiento y sobre la importancia de mejorar la higiene. El objetivo de desarorollo es fortalecer la sostenibilidad comunitaria como acción esencial para el manejo eficiente de los sistemas de agua, saneamiento e higiene rural, a partir del acompañamiento, la capacitación, asistencia técnica y social a la comunidad y a los Comités de Agua Potable y Saneamiento (CAPS) que son parte del ciclo de proyecto.</w:t>
      </w:r>
    </w:p>
    <w:p w14:paraId="141C0F6E" w14:textId="77777777" w:rsidR="001A4860" w:rsidRPr="001A4860" w:rsidRDefault="001A4860" w:rsidP="001A4860">
      <w:pPr>
        <w:jc w:val="left"/>
        <w:rPr>
          <w:b/>
          <w:bCs/>
          <w:sz w:val="22"/>
          <w:szCs w:val="22"/>
          <w:lang w:val="es-ES" w:eastAsia="es-ES"/>
        </w:rPr>
      </w:pPr>
      <w:r w:rsidRPr="001A4860">
        <w:rPr>
          <w:b/>
          <w:bCs/>
          <w:sz w:val="22"/>
          <w:szCs w:val="22"/>
          <w:lang w:val="es-ES" w:eastAsia="es-ES"/>
        </w:rPr>
        <w:br w:type="page"/>
      </w:r>
    </w:p>
    <w:p w14:paraId="1388B685" w14:textId="77777777" w:rsidR="001A4860" w:rsidRPr="001A4860" w:rsidRDefault="001A4860" w:rsidP="001A4860">
      <w:pPr>
        <w:keepNext/>
        <w:outlineLvl w:val="1"/>
        <w:rPr>
          <w:rFonts w:eastAsia="Arial Narrow"/>
          <w:b/>
          <w:bCs/>
          <w:iCs/>
          <w:w w:val="102"/>
          <w:sz w:val="22"/>
          <w:szCs w:val="22"/>
          <w:lang w:val="es-NI"/>
        </w:rPr>
      </w:pPr>
      <w:bookmarkStart w:id="428" w:name="_Toc23249310"/>
      <w:r w:rsidRPr="001A4860">
        <w:rPr>
          <w:rFonts w:eastAsia="Arial Narrow"/>
          <w:b/>
          <w:bCs/>
          <w:iCs/>
          <w:sz w:val="22"/>
          <w:szCs w:val="22"/>
          <w:lang w:val="es-NI"/>
        </w:rPr>
        <w:lastRenderedPageBreak/>
        <w:t>D</w:t>
      </w:r>
      <w:r w:rsidRPr="001A4860">
        <w:rPr>
          <w:rFonts w:eastAsia="Arial Narrow"/>
          <w:b/>
          <w:bCs/>
          <w:iCs/>
          <w:spacing w:val="-2"/>
          <w:sz w:val="22"/>
          <w:szCs w:val="22"/>
          <w:lang w:val="es-NI"/>
        </w:rPr>
        <w:t>e</w:t>
      </w:r>
      <w:r w:rsidRPr="001A4860">
        <w:rPr>
          <w:rFonts w:eastAsia="Arial Narrow"/>
          <w:b/>
          <w:bCs/>
          <w:iCs/>
          <w:spacing w:val="1"/>
          <w:sz w:val="22"/>
          <w:szCs w:val="22"/>
          <w:lang w:val="es-NI"/>
        </w:rPr>
        <w:t>sc</w:t>
      </w:r>
      <w:r w:rsidRPr="001A4860">
        <w:rPr>
          <w:rFonts w:eastAsia="Arial Narrow"/>
          <w:b/>
          <w:bCs/>
          <w:iCs/>
          <w:sz w:val="22"/>
          <w:szCs w:val="22"/>
          <w:lang w:val="es-NI"/>
        </w:rPr>
        <w:t>ri</w:t>
      </w:r>
      <w:r w:rsidRPr="001A4860">
        <w:rPr>
          <w:rFonts w:eastAsia="Arial Narrow"/>
          <w:b/>
          <w:bCs/>
          <w:iCs/>
          <w:spacing w:val="-2"/>
          <w:sz w:val="22"/>
          <w:szCs w:val="22"/>
          <w:lang w:val="es-NI"/>
        </w:rPr>
        <w:t>p</w:t>
      </w:r>
      <w:r w:rsidRPr="001A4860">
        <w:rPr>
          <w:rFonts w:eastAsia="Arial Narrow"/>
          <w:b/>
          <w:bCs/>
          <w:iCs/>
          <w:sz w:val="22"/>
          <w:szCs w:val="22"/>
          <w:lang w:val="es-NI"/>
        </w:rPr>
        <w:t>cion</w:t>
      </w:r>
      <w:r w:rsidRPr="001A4860">
        <w:rPr>
          <w:rFonts w:eastAsia="Arial Narrow"/>
          <w:b/>
          <w:bCs/>
          <w:iCs/>
          <w:spacing w:val="28"/>
          <w:sz w:val="22"/>
          <w:szCs w:val="22"/>
          <w:lang w:val="es-NI"/>
        </w:rPr>
        <w:t xml:space="preserve"> </w:t>
      </w:r>
      <w:r w:rsidRPr="001A4860">
        <w:rPr>
          <w:rFonts w:eastAsia="Arial Narrow"/>
          <w:b/>
          <w:bCs/>
          <w:iCs/>
          <w:sz w:val="22"/>
          <w:szCs w:val="22"/>
          <w:lang w:val="es-NI"/>
        </w:rPr>
        <w:t>su</w:t>
      </w:r>
      <w:r w:rsidRPr="001A4860">
        <w:rPr>
          <w:rFonts w:eastAsia="Arial Narrow"/>
          <w:b/>
          <w:bCs/>
          <w:iCs/>
          <w:spacing w:val="1"/>
          <w:sz w:val="22"/>
          <w:szCs w:val="22"/>
          <w:lang w:val="es-NI"/>
        </w:rPr>
        <w:t>m</w:t>
      </w:r>
      <w:r w:rsidRPr="001A4860">
        <w:rPr>
          <w:rFonts w:eastAsia="Arial Narrow"/>
          <w:b/>
          <w:bCs/>
          <w:iCs/>
          <w:spacing w:val="-2"/>
          <w:sz w:val="22"/>
          <w:szCs w:val="22"/>
          <w:lang w:val="es-NI"/>
        </w:rPr>
        <w:t>a</w:t>
      </w:r>
      <w:r w:rsidRPr="001A4860">
        <w:rPr>
          <w:rFonts w:eastAsia="Arial Narrow"/>
          <w:b/>
          <w:bCs/>
          <w:iCs/>
          <w:sz w:val="22"/>
          <w:szCs w:val="22"/>
          <w:lang w:val="es-NI"/>
        </w:rPr>
        <w:t>ria</w:t>
      </w:r>
      <w:r w:rsidRPr="001A4860">
        <w:rPr>
          <w:rFonts w:eastAsia="Arial Narrow"/>
          <w:b/>
          <w:bCs/>
          <w:iCs/>
          <w:spacing w:val="19"/>
          <w:sz w:val="22"/>
          <w:szCs w:val="22"/>
          <w:lang w:val="es-NI"/>
        </w:rPr>
        <w:t xml:space="preserve"> </w:t>
      </w:r>
      <w:r w:rsidRPr="001A4860">
        <w:rPr>
          <w:rFonts w:eastAsia="Arial Narrow"/>
          <w:b/>
          <w:bCs/>
          <w:iCs/>
          <w:sz w:val="22"/>
          <w:szCs w:val="22"/>
          <w:lang w:val="es-NI"/>
        </w:rPr>
        <w:t>de</w:t>
      </w:r>
      <w:r w:rsidRPr="001A4860">
        <w:rPr>
          <w:rFonts w:eastAsia="Arial Narrow"/>
          <w:b/>
          <w:bCs/>
          <w:iCs/>
          <w:spacing w:val="5"/>
          <w:sz w:val="22"/>
          <w:szCs w:val="22"/>
          <w:lang w:val="es-NI"/>
        </w:rPr>
        <w:t xml:space="preserve"> </w:t>
      </w:r>
      <w:r w:rsidRPr="001A4860">
        <w:rPr>
          <w:rFonts w:eastAsia="Arial Narrow"/>
          <w:b/>
          <w:bCs/>
          <w:iCs/>
          <w:spacing w:val="2"/>
          <w:sz w:val="22"/>
          <w:szCs w:val="22"/>
          <w:lang w:val="es-NI"/>
        </w:rPr>
        <w:t>l</w:t>
      </w:r>
      <w:r w:rsidRPr="001A4860">
        <w:rPr>
          <w:rFonts w:eastAsia="Arial Narrow"/>
          <w:b/>
          <w:bCs/>
          <w:iCs/>
          <w:spacing w:val="-2"/>
          <w:sz w:val="22"/>
          <w:szCs w:val="22"/>
          <w:lang w:val="es-NI"/>
        </w:rPr>
        <w:t>a</w:t>
      </w:r>
      <w:r w:rsidRPr="001A4860">
        <w:rPr>
          <w:rFonts w:eastAsia="Arial Narrow"/>
          <w:b/>
          <w:bCs/>
          <w:iCs/>
          <w:sz w:val="22"/>
          <w:szCs w:val="22"/>
          <w:lang w:val="es-NI"/>
        </w:rPr>
        <w:t>s</w:t>
      </w:r>
      <w:r w:rsidRPr="001A4860">
        <w:rPr>
          <w:rFonts w:eastAsia="Arial Narrow"/>
          <w:b/>
          <w:bCs/>
          <w:iCs/>
          <w:spacing w:val="9"/>
          <w:sz w:val="22"/>
          <w:szCs w:val="22"/>
          <w:lang w:val="es-NI"/>
        </w:rPr>
        <w:t xml:space="preserve"> </w:t>
      </w:r>
      <w:r w:rsidRPr="001A4860">
        <w:rPr>
          <w:rFonts w:eastAsia="Arial Narrow"/>
          <w:b/>
          <w:bCs/>
          <w:iCs/>
          <w:w w:val="102"/>
          <w:sz w:val="22"/>
          <w:szCs w:val="22"/>
          <w:lang w:val="es-NI"/>
        </w:rPr>
        <w:t>ob</w:t>
      </w:r>
      <w:r w:rsidRPr="001A4860">
        <w:rPr>
          <w:rFonts w:eastAsia="Arial Narrow"/>
          <w:b/>
          <w:bCs/>
          <w:iCs/>
          <w:spacing w:val="1"/>
          <w:w w:val="102"/>
          <w:sz w:val="22"/>
          <w:szCs w:val="22"/>
          <w:lang w:val="es-NI"/>
        </w:rPr>
        <w:t>r</w:t>
      </w:r>
      <w:r w:rsidRPr="001A4860">
        <w:rPr>
          <w:rFonts w:eastAsia="Arial Narrow"/>
          <w:b/>
          <w:bCs/>
          <w:iCs/>
          <w:w w:val="102"/>
          <w:sz w:val="22"/>
          <w:szCs w:val="22"/>
          <w:lang w:val="es-NI"/>
        </w:rPr>
        <w:t>as</w:t>
      </w:r>
      <w:bookmarkEnd w:id="428"/>
    </w:p>
    <w:p w14:paraId="7ECED1B2" w14:textId="77777777" w:rsidR="001A4860" w:rsidRPr="001A4860" w:rsidRDefault="001A4860" w:rsidP="001A4860">
      <w:pPr>
        <w:rPr>
          <w:sz w:val="22"/>
          <w:szCs w:val="22"/>
          <w:lang w:val="es-ES" w:eastAsia="es-ES"/>
        </w:rPr>
      </w:pPr>
    </w:p>
    <w:p w14:paraId="5F4FA182" w14:textId="77777777" w:rsidR="001A4860" w:rsidRPr="001A4860" w:rsidRDefault="001A4860" w:rsidP="001A4860">
      <w:pPr>
        <w:keepNext/>
        <w:ind w:left="720" w:hanging="720"/>
        <w:outlineLvl w:val="2"/>
        <w:rPr>
          <w:rFonts w:eastAsia="Arial Narrow"/>
          <w:b/>
          <w:bCs/>
          <w:iCs/>
          <w:sz w:val="22"/>
          <w:szCs w:val="22"/>
          <w:lang w:val="es-ES" w:bidi="en-US"/>
        </w:rPr>
      </w:pPr>
      <w:bookmarkStart w:id="429" w:name="_Toc23249311"/>
      <w:r w:rsidRPr="001A4860">
        <w:rPr>
          <w:rFonts w:eastAsia="Arial Narrow"/>
          <w:b/>
          <w:bCs/>
          <w:iCs/>
          <w:sz w:val="22"/>
          <w:szCs w:val="22"/>
          <w:lang w:val="es-ES" w:bidi="en-US"/>
        </w:rPr>
        <w:t>Componente I</w:t>
      </w:r>
      <w:r w:rsidRPr="001A4860">
        <w:rPr>
          <w:rFonts w:eastAsia="Arial Narrow"/>
          <w:b/>
          <w:bCs/>
          <w:iCs/>
          <w:sz w:val="22"/>
          <w:szCs w:val="22"/>
          <w:lang w:val="es-ES" w:bidi="en-US"/>
        </w:rPr>
        <w:tab/>
        <w:t>Suministro de agua potable</w:t>
      </w:r>
      <w:bookmarkEnd w:id="429"/>
    </w:p>
    <w:p w14:paraId="0CF3DE35" w14:textId="77777777" w:rsidR="001A4860" w:rsidRPr="001A4860" w:rsidRDefault="001A4860" w:rsidP="001A4860">
      <w:pPr>
        <w:rPr>
          <w:sz w:val="22"/>
          <w:szCs w:val="22"/>
          <w:lang w:val="es-ES" w:eastAsia="es-ES"/>
        </w:rPr>
      </w:pPr>
    </w:p>
    <w:p w14:paraId="02A052E7" w14:textId="77777777" w:rsidR="001A4860" w:rsidRPr="001A4860" w:rsidRDefault="001A4860" w:rsidP="001A4860">
      <w:pPr>
        <w:tabs>
          <w:tab w:val="left" w:pos="5745"/>
        </w:tabs>
        <w:ind w:right="15"/>
        <w:jc w:val="left"/>
        <w:rPr>
          <w:b/>
          <w:sz w:val="22"/>
          <w:szCs w:val="22"/>
          <w:lang w:val="es-ES" w:eastAsia="es-ES"/>
        </w:rPr>
      </w:pPr>
      <w:r w:rsidRPr="001A4860">
        <w:rPr>
          <w:b/>
          <w:sz w:val="22"/>
          <w:szCs w:val="22"/>
          <w:lang w:val="es-ES" w:eastAsia="es-ES"/>
        </w:rPr>
        <w:t xml:space="preserve">Tabla1. Resumen de los componentes del sistema de suministro del MABE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3662"/>
        <w:gridCol w:w="3571"/>
      </w:tblGrid>
      <w:tr w:rsidR="001A4860" w:rsidRPr="001A4860" w14:paraId="5610B9E2" w14:textId="77777777" w:rsidTr="001A4860">
        <w:trPr>
          <w:jc w:val="center"/>
        </w:trPr>
        <w:tc>
          <w:tcPr>
            <w:tcW w:w="1165" w:type="pct"/>
            <w:shd w:val="clear" w:color="auto" w:fill="AEAAAA"/>
          </w:tcPr>
          <w:p w14:paraId="5B990B82" w14:textId="77777777" w:rsidR="001A4860" w:rsidRPr="001A4860" w:rsidRDefault="001A4860" w:rsidP="001A4860">
            <w:pPr>
              <w:ind w:left="284" w:right="15"/>
              <w:rPr>
                <w:b/>
                <w:sz w:val="22"/>
                <w:szCs w:val="22"/>
                <w:lang w:val="es-ES" w:eastAsia="es-ES"/>
              </w:rPr>
            </w:pPr>
            <w:r w:rsidRPr="001A4860">
              <w:rPr>
                <w:b/>
                <w:sz w:val="22"/>
                <w:szCs w:val="22"/>
                <w:lang w:val="es-ES" w:eastAsia="es-ES"/>
              </w:rPr>
              <w:t>COMPONENTE</w:t>
            </w:r>
          </w:p>
        </w:tc>
        <w:tc>
          <w:tcPr>
            <w:tcW w:w="2029" w:type="pct"/>
            <w:shd w:val="clear" w:color="auto" w:fill="AEAAAA"/>
          </w:tcPr>
          <w:p w14:paraId="195B5EC9" w14:textId="77777777" w:rsidR="001A4860" w:rsidRPr="001A4860" w:rsidRDefault="001A4860" w:rsidP="001A4860">
            <w:pPr>
              <w:ind w:left="284" w:right="15"/>
              <w:rPr>
                <w:b/>
                <w:sz w:val="22"/>
                <w:szCs w:val="22"/>
                <w:lang w:val="es-ES" w:eastAsia="es-ES"/>
              </w:rPr>
            </w:pPr>
            <w:r w:rsidRPr="001A4860">
              <w:rPr>
                <w:b/>
                <w:sz w:val="22"/>
                <w:szCs w:val="22"/>
                <w:lang w:val="es-ES" w:eastAsia="es-ES"/>
              </w:rPr>
              <w:t>CARACTERÍSTICAS</w:t>
            </w:r>
          </w:p>
        </w:tc>
        <w:tc>
          <w:tcPr>
            <w:tcW w:w="1806" w:type="pct"/>
            <w:shd w:val="clear" w:color="auto" w:fill="AEAAAA"/>
          </w:tcPr>
          <w:p w14:paraId="6150065B" w14:textId="77777777" w:rsidR="001A4860" w:rsidRPr="001A4860" w:rsidRDefault="001A4860" w:rsidP="001A4860">
            <w:pPr>
              <w:ind w:left="284" w:right="15"/>
              <w:rPr>
                <w:b/>
                <w:sz w:val="22"/>
                <w:szCs w:val="22"/>
                <w:lang w:val="es-ES" w:eastAsia="es-ES"/>
              </w:rPr>
            </w:pPr>
            <w:r w:rsidRPr="001A4860">
              <w:rPr>
                <w:b/>
                <w:sz w:val="22"/>
                <w:szCs w:val="22"/>
                <w:lang w:val="es-ES" w:eastAsia="es-ES"/>
              </w:rPr>
              <w:t xml:space="preserve">A CONSTRUIR </w:t>
            </w:r>
          </w:p>
        </w:tc>
      </w:tr>
      <w:tr w:rsidR="001A4860" w:rsidRPr="001A4860" w14:paraId="3C202CC9" w14:textId="77777777" w:rsidTr="001A4860">
        <w:trPr>
          <w:jc w:val="center"/>
        </w:trPr>
        <w:tc>
          <w:tcPr>
            <w:tcW w:w="1165" w:type="pct"/>
          </w:tcPr>
          <w:p w14:paraId="5AB7F15C" w14:textId="77777777" w:rsidR="001A4860" w:rsidRPr="001A4860" w:rsidRDefault="001A4860" w:rsidP="001A4860">
            <w:pPr>
              <w:rPr>
                <w:sz w:val="22"/>
                <w:szCs w:val="22"/>
                <w:lang w:val="es-ES" w:eastAsia="es-ES"/>
              </w:rPr>
            </w:pPr>
            <w:r w:rsidRPr="001A4860">
              <w:rPr>
                <w:sz w:val="22"/>
                <w:szCs w:val="22"/>
                <w:lang w:val="es-ES" w:eastAsia="es-ES"/>
              </w:rPr>
              <w:t xml:space="preserve">Fuente de agua </w:t>
            </w:r>
          </w:p>
        </w:tc>
        <w:tc>
          <w:tcPr>
            <w:tcW w:w="2029" w:type="pct"/>
          </w:tcPr>
          <w:p w14:paraId="5DB34397" w14:textId="77777777" w:rsidR="001A4860" w:rsidRPr="001A4860" w:rsidRDefault="001A4860" w:rsidP="001A4860">
            <w:pPr>
              <w:rPr>
                <w:sz w:val="22"/>
                <w:szCs w:val="22"/>
                <w:lang w:val="es-ES" w:eastAsia="es-ES"/>
              </w:rPr>
            </w:pPr>
            <w:r w:rsidRPr="001A4860">
              <w:rPr>
                <w:sz w:val="22"/>
                <w:szCs w:val="22"/>
                <w:lang w:val="es-ES" w:eastAsia="es-ES"/>
              </w:rPr>
              <w:t>Uso del agua subterránea del acuífero local. Hidrogeologicamente la zona se encuentra representada por yacimientos acuitardos de la Zona Norte.</w:t>
            </w:r>
          </w:p>
          <w:p w14:paraId="4134EAA5" w14:textId="77777777" w:rsidR="001A4860" w:rsidRPr="001A4860" w:rsidRDefault="001A4860" w:rsidP="001A4860">
            <w:pPr>
              <w:rPr>
                <w:sz w:val="22"/>
                <w:szCs w:val="22"/>
                <w:lang w:val="es-ES" w:eastAsia="es-ES"/>
              </w:rPr>
            </w:pPr>
          </w:p>
          <w:p w14:paraId="261AA046" w14:textId="77777777" w:rsidR="001A4860" w:rsidRPr="001A4860" w:rsidRDefault="001A4860" w:rsidP="001A4860">
            <w:pPr>
              <w:rPr>
                <w:sz w:val="22"/>
                <w:szCs w:val="22"/>
                <w:lang w:val="es-ES" w:eastAsia="es-ES"/>
              </w:rPr>
            </w:pPr>
            <w:r w:rsidRPr="001A4860">
              <w:rPr>
                <w:sz w:val="22"/>
                <w:szCs w:val="22"/>
                <w:lang w:val="es-ES" w:eastAsia="es-ES"/>
              </w:rPr>
              <w:t>Calidad del agua</w:t>
            </w:r>
          </w:p>
          <w:p w14:paraId="66835938" w14:textId="77777777" w:rsidR="001A4860" w:rsidRPr="001A4860" w:rsidRDefault="001A4860" w:rsidP="001A4860">
            <w:pPr>
              <w:rPr>
                <w:sz w:val="22"/>
                <w:szCs w:val="22"/>
                <w:lang w:val="es-ES" w:eastAsia="es-ES"/>
              </w:rPr>
            </w:pPr>
            <w:r w:rsidRPr="001A4860">
              <w:rPr>
                <w:sz w:val="22"/>
                <w:szCs w:val="22"/>
                <w:lang w:val="es-ES" w:eastAsia="es-ES"/>
              </w:rPr>
              <w:t>Basado en los resultados del análisis de la muestra analizada, se ubica en la categoría 1A de la Norma para la Clasificación de los Recursos Hidrícos (NTON 05-007-98), son aguas que solamente requieren adición de desinfectantes para el uso y consumo humano.</w:t>
            </w:r>
          </w:p>
        </w:tc>
        <w:tc>
          <w:tcPr>
            <w:tcW w:w="1806" w:type="pct"/>
          </w:tcPr>
          <w:p w14:paraId="5802B799" w14:textId="77777777" w:rsidR="001A4860" w:rsidRPr="001A4860" w:rsidRDefault="001A4860" w:rsidP="001A4860">
            <w:pPr>
              <w:rPr>
                <w:sz w:val="22"/>
                <w:szCs w:val="22"/>
                <w:lang w:val="es-ES" w:eastAsia="es-ES"/>
              </w:rPr>
            </w:pPr>
            <w:r w:rsidRPr="001A4860">
              <w:rPr>
                <w:sz w:val="22"/>
                <w:szCs w:val="22"/>
                <w:lang w:val="es-ES" w:eastAsia="es-ES"/>
              </w:rPr>
              <w:t>Actividades requeridas</w:t>
            </w:r>
          </w:p>
          <w:p w14:paraId="7B4A44E4" w14:textId="77777777" w:rsidR="001A4860" w:rsidRPr="001A4860" w:rsidRDefault="001A4860" w:rsidP="001A4860">
            <w:pPr>
              <w:rPr>
                <w:sz w:val="22"/>
                <w:szCs w:val="22"/>
                <w:lang w:val="es-ES" w:eastAsia="es-ES"/>
              </w:rPr>
            </w:pPr>
            <w:r w:rsidRPr="001A4860">
              <w:rPr>
                <w:sz w:val="22"/>
                <w:szCs w:val="22"/>
                <w:lang w:val="es-ES" w:eastAsia="es-ES"/>
              </w:rPr>
              <w:t>1.- Limpieza de predio (Area = 900.00 m2)</w:t>
            </w:r>
          </w:p>
          <w:p w14:paraId="6B41D6A3" w14:textId="77777777" w:rsidR="001A4860" w:rsidRPr="001A4860" w:rsidRDefault="001A4860" w:rsidP="001A4860">
            <w:pPr>
              <w:rPr>
                <w:sz w:val="22"/>
                <w:szCs w:val="22"/>
                <w:lang w:val="es-ES" w:eastAsia="es-ES"/>
              </w:rPr>
            </w:pPr>
          </w:p>
          <w:p w14:paraId="57D41623" w14:textId="77777777" w:rsidR="001A4860" w:rsidRPr="001A4860" w:rsidRDefault="001A4860" w:rsidP="001A4860">
            <w:pPr>
              <w:rPr>
                <w:sz w:val="22"/>
                <w:szCs w:val="22"/>
                <w:lang w:val="es-ES" w:eastAsia="es-ES"/>
              </w:rPr>
            </w:pPr>
          </w:p>
          <w:p w14:paraId="7E621E58" w14:textId="77777777" w:rsidR="001A4860" w:rsidRPr="001A4860" w:rsidRDefault="001A4860" w:rsidP="001A4860">
            <w:pPr>
              <w:rPr>
                <w:sz w:val="22"/>
                <w:szCs w:val="22"/>
                <w:lang w:val="es-ES" w:eastAsia="es-ES"/>
              </w:rPr>
            </w:pPr>
          </w:p>
          <w:p w14:paraId="153309D0" w14:textId="77777777" w:rsidR="001A4860" w:rsidRPr="001A4860" w:rsidRDefault="001A4860" w:rsidP="001A4860">
            <w:pPr>
              <w:rPr>
                <w:sz w:val="22"/>
                <w:szCs w:val="22"/>
                <w:lang w:val="es-ES" w:eastAsia="es-ES"/>
              </w:rPr>
            </w:pPr>
            <w:r w:rsidRPr="001A4860">
              <w:rPr>
                <w:sz w:val="22"/>
                <w:szCs w:val="22"/>
                <w:lang w:val="es-ES" w:eastAsia="es-ES"/>
              </w:rPr>
              <w:t>2.- Tomas de muestras de agua subterránea (3 muestras)</w:t>
            </w:r>
          </w:p>
          <w:p w14:paraId="620C1D25" w14:textId="77777777" w:rsidR="001A4860" w:rsidRPr="001A4860" w:rsidRDefault="001A4860" w:rsidP="001A4860">
            <w:pPr>
              <w:rPr>
                <w:sz w:val="22"/>
                <w:szCs w:val="22"/>
                <w:lang w:val="es-ES" w:eastAsia="es-ES"/>
              </w:rPr>
            </w:pPr>
            <w:r w:rsidRPr="001A4860">
              <w:rPr>
                <w:sz w:val="22"/>
                <w:szCs w:val="22"/>
                <w:lang w:val="es-ES" w:eastAsia="es-ES"/>
              </w:rPr>
              <w:t>3.- Verificar calidad del agua Fisico-Química (1 análisis), bacteriológica (1 análisis) y Sustancias no deseadas para la salud (1 análisis). Total = 3 análisis</w:t>
            </w:r>
          </w:p>
          <w:p w14:paraId="05C6F135" w14:textId="77777777" w:rsidR="001A4860" w:rsidRPr="001A4860" w:rsidRDefault="001A4860" w:rsidP="001A4860">
            <w:pPr>
              <w:rPr>
                <w:sz w:val="22"/>
                <w:szCs w:val="22"/>
                <w:lang w:val="es-ES" w:eastAsia="es-ES"/>
              </w:rPr>
            </w:pPr>
            <w:r w:rsidRPr="001A4860">
              <w:rPr>
                <w:sz w:val="22"/>
                <w:szCs w:val="22"/>
                <w:lang w:val="es-ES" w:eastAsia="es-ES"/>
              </w:rPr>
              <w:t>4.- Interpretación de resultados con conclusiones y recomendaciones</w:t>
            </w:r>
          </w:p>
        </w:tc>
      </w:tr>
      <w:tr w:rsidR="001A4860" w:rsidRPr="001A4860" w14:paraId="6EF21671" w14:textId="77777777" w:rsidTr="001A4860">
        <w:trPr>
          <w:jc w:val="center"/>
        </w:trPr>
        <w:tc>
          <w:tcPr>
            <w:tcW w:w="1165" w:type="pct"/>
          </w:tcPr>
          <w:p w14:paraId="3962ED24" w14:textId="77777777" w:rsidR="001A4860" w:rsidRPr="001A4860" w:rsidRDefault="001A4860" w:rsidP="001A4860">
            <w:pPr>
              <w:rPr>
                <w:sz w:val="22"/>
                <w:szCs w:val="22"/>
                <w:lang w:val="es-ES" w:eastAsia="es-ES"/>
              </w:rPr>
            </w:pPr>
            <w:r w:rsidRPr="001A4860">
              <w:rPr>
                <w:sz w:val="22"/>
                <w:szCs w:val="22"/>
                <w:lang w:val="es-ES" w:eastAsia="es-ES"/>
              </w:rPr>
              <w:t>Obra de Toma</w:t>
            </w:r>
          </w:p>
          <w:p w14:paraId="23305AEB" w14:textId="77777777" w:rsidR="001A4860" w:rsidRPr="001A4860" w:rsidRDefault="001A4860" w:rsidP="001A4860">
            <w:pPr>
              <w:rPr>
                <w:sz w:val="22"/>
                <w:szCs w:val="22"/>
                <w:lang w:val="es-ES" w:eastAsia="es-ES"/>
              </w:rPr>
            </w:pPr>
            <w:r w:rsidRPr="001A4860">
              <w:rPr>
                <w:sz w:val="22"/>
                <w:szCs w:val="22"/>
                <w:lang w:val="es-ES" w:eastAsia="es-ES"/>
              </w:rPr>
              <w:t>Pozo Perforado.</w:t>
            </w:r>
          </w:p>
        </w:tc>
        <w:tc>
          <w:tcPr>
            <w:tcW w:w="2029" w:type="pct"/>
          </w:tcPr>
          <w:p w14:paraId="111C9EE0" w14:textId="77777777" w:rsidR="001A4860" w:rsidRPr="001A4860" w:rsidRDefault="001A4860" w:rsidP="001A4860">
            <w:pPr>
              <w:rPr>
                <w:sz w:val="22"/>
                <w:szCs w:val="22"/>
                <w:lang w:val="es-ES" w:eastAsia="es-ES"/>
              </w:rPr>
            </w:pPr>
            <w:r w:rsidRPr="001A4860">
              <w:rPr>
                <w:sz w:val="22"/>
                <w:szCs w:val="22"/>
                <w:lang w:val="es-ES" w:eastAsia="es-ES"/>
              </w:rPr>
              <w:t>Profundidad total del Pozo: 60.00 m (196.85 pies).</w:t>
            </w:r>
          </w:p>
          <w:p w14:paraId="12079F04" w14:textId="77777777" w:rsidR="001A4860" w:rsidRPr="001A4860" w:rsidRDefault="001A4860" w:rsidP="001A4860">
            <w:pPr>
              <w:rPr>
                <w:sz w:val="22"/>
                <w:szCs w:val="22"/>
                <w:lang w:val="es-ES" w:eastAsia="es-ES"/>
              </w:rPr>
            </w:pPr>
            <w:r w:rsidRPr="001A4860">
              <w:rPr>
                <w:sz w:val="22"/>
                <w:szCs w:val="22"/>
                <w:lang w:val="es-ES" w:eastAsia="es-ES"/>
              </w:rPr>
              <w:t>Diámetro de perforación: 350 mm (14”)</w:t>
            </w:r>
          </w:p>
          <w:p w14:paraId="496C134D" w14:textId="77777777" w:rsidR="001A4860" w:rsidRPr="001A4860" w:rsidRDefault="001A4860" w:rsidP="001A4860">
            <w:pPr>
              <w:rPr>
                <w:sz w:val="22"/>
                <w:szCs w:val="22"/>
                <w:lang w:val="es-ES" w:eastAsia="es-ES"/>
              </w:rPr>
            </w:pPr>
            <w:r w:rsidRPr="001A4860">
              <w:rPr>
                <w:sz w:val="22"/>
                <w:szCs w:val="22"/>
                <w:lang w:val="es-ES" w:eastAsia="es-ES"/>
              </w:rPr>
              <w:t xml:space="preserve">Diámetro de ademe: 0.20m (8”) </w:t>
            </w:r>
          </w:p>
          <w:p w14:paraId="522D4950" w14:textId="77777777" w:rsidR="001A4860" w:rsidRPr="001A4860" w:rsidRDefault="001A4860" w:rsidP="001A4860">
            <w:pPr>
              <w:rPr>
                <w:sz w:val="22"/>
                <w:szCs w:val="22"/>
                <w:lang w:val="es-ES" w:eastAsia="es-ES"/>
              </w:rPr>
            </w:pPr>
            <w:r w:rsidRPr="001A4860">
              <w:rPr>
                <w:sz w:val="22"/>
                <w:szCs w:val="22"/>
                <w:lang w:val="es-ES" w:eastAsia="es-ES"/>
              </w:rPr>
              <w:t>Diámetro del piezómetro: 38 mm (1½ pulg)</w:t>
            </w:r>
          </w:p>
          <w:p w14:paraId="2E6261D2" w14:textId="77777777" w:rsidR="001A4860" w:rsidRPr="001A4860" w:rsidRDefault="001A4860" w:rsidP="001A4860">
            <w:pPr>
              <w:rPr>
                <w:sz w:val="22"/>
                <w:szCs w:val="22"/>
                <w:lang w:val="es-ES" w:eastAsia="es-ES"/>
              </w:rPr>
            </w:pPr>
            <w:r w:rsidRPr="001A4860">
              <w:rPr>
                <w:sz w:val="22"/>
                <w:szCs w:val="22"/>
                <w:lang w:val="es-ES" w:eastAsia="es-ES"/>
              </w:rPr>
              <w:t>Diámetro del engrave: 50 mm (2 pulg)</w:t>
            </w:r>
          </w:p>
          <w:p w14:paraId="0F4F9460" w14:textId="77777777" w:rsidR="001A4860" w:rsidRPr="001A4860" w:rsidRDefault="001A4860" w:rsidP="001A4860">
            <w:pPr>
              <w:rPr>
                <w:sz w:val="22"/>
                <w:szCs w:val="22"/>
                <w:lang w:val="es-ES" w:eastAsia="es-ES"/>
              </w:rPr>
            </w:pPr>
            <w:r w:rsidRPr="001A4860">
              <w:rPr>
                <w:sz w:val="22"/>
                <w:szCs w:val="22"/>
                <w:lang w:val="es-ES" w:eastAsia="es-ES"/>
              </w:rPr>
              <w:t>NEA: 10.2 m (33.46 pies)</w:t>
            </w:r>
          </w:p>
          <w:p w14:paraId="7AFBED9B" w14:textId="77777777" w:rsidR="001A4860" w:rsidRPr="001A4860" w:rsidRDefault="001A4860" w:rsidP="001A4860">
            <w:pPr>
              <w:rPr>
                <w:sz w:val="22"/>
                <w:szCs w:val="22"/>
                <w:lang w:val="es-ES" w:eastAsia="es-ES"/>
              </w:rPr>
            </w:pPr>
            <w:r w:rsidRPr="001A4860">
              <w:rPr>
                <w:sz w:val="22"/>
                <w:szCs w:val="22"/>
                <w:lang w:val="es-ES" w:eastAsia="es-ES"/>
              </w:rPr>
              <w:t>NDA: 42.57 m (139.67 pies)</w:t>
            </w:r>
          </w:p>
          <w:p w14:paraId="2DD73F22" w14:textId="77777777" w:rsidR="001A4860" w:rsidRPr="001A4860" w:rsidRDefault="001A4860" w:rsidP="001A4860">
            <w:pPr>
              <w:rPr>
                <w:sz w:val="22"/>
                <w:szCs w:val="22"/>
                <w:lang w:val="es-ES" w:eastAsia="es-ES"/>
              </w:rPr>
            </w:pPr>
            <w:r w:rsidRPr="001A4860">
              <w:rPr>
                <w:sz w:val="22"/>
                <w:szCs w:val="22"/>
                <w:lang w:val="es-ES" w:eastAsia="es-ES"/>
              </w:rPr>
              <w:t xml:space="preserve">Caudal estimado de explotación: 4.16 lps (66 GPM) según Estudio Hidrogeológico </w:t>
            </w:r>
          </w:p>
          <w:p w14:paraId="359DBD84" w14:textId="77777777" w:rsidR="001A4860" w:rsidRPr="001A4860" w:rsidRDefault="001A4860" w:rsidP="001A4860">
            <w:pPr>
              <w:rPr>
                <w:sz w:val="22"/>
                <w:szCs w:val="22"/>
                <w:lang w:val="es-ES" w:eastAsia="es-ES"/>
              </w:rPr>
            </w:pPr>
          </w:p>
          <w:p w14:paraId="7F7C3356" w14:textId="77777777" w:rsidR="001A4860" w:rsidRPr="001A4860" w:rsidRDefault="001A4860" w:rsidP="001A4860">
            <w:pPr>
              <w:rPr>
                <w:sz w:val="22"/>
                <w:szCs w:val="22"/>
                <w:lang w:val="es-ES" w:eastAsia="es-ES"/>
              </w:rPr>
            </w:pPr>
            <w:r w:rsidRPr="001A4860">
              <w:rPr>
                <w:sz w:val="22"/>
                <w:szCs w:val="22"/>
                <w:lang w:val="es-ES" w:eastAsia="es-ES"/>
              </w:rPr>
              <w:t>Ubicación: Coordenadas UTM 16P X: 565963.04 m E, Y: 1489747.83 m N.</w:t>
            </w:r>
          </w:p>
          <w:p w14:paraId="5ACA67E5" w14:textId="77777777" w:rsidR="001A4860" w:rsidRPr="001A4860" w:rsidRDefault="001A4860" w:rsidP="001A4860">
            <w:pPr>
              <w:rPr>
                <w:sz w:val="22"/>
                <w:szCs w:val="22"/>
                <w:lang w:val="es-ES" w:eastAsia="es-ES"/>
              </w:rPr>
            </w:pPr>
            <w:r w:rsidRPr="001A4860">
              <w:rPr>
                <w:sz w:val="22"/>
                <w:szCs w:val="22"/>
                <w:lang w:val="es-ES" w:eastAsia="es-ES"/>
              </w:rPr>
              <w:t>Elevación: 558.70 msnm</w:t>
            </w:r>
          </w:p>
        </w:tc>
        <w:tc>
          <w:tcPr>
            <w:tcW w:w="1806" w:type="pct"/>
          </w:tcPr>
          <w:p w14:paraId="2200AD8F" w14:textId="77777777" w:rsidR="001A4860" w:rsidRPr="001A4860" w:rsidRDefault="001A4860" w:rsidP="001A4860">
            <w:pPr>
              <w:rPr>
                <w:sz w:val="22"/>
                <w:szCs w:val="22"/>
                <w:lang w:val="es-ES" w:eastAsia="es-ES"/>
              </w:rPr>
            </w:pPr>
            <w:r w:rsidRPr="001A4860">
              <w:rPr>
                <w:sz w:val="22"/>
                <w:szCs w:val="22"/>
                <w:lang w:val="es-ES" w:eastAsia="es-ES"/>
              </w:rPr>
              <w:t>Actividades requeridas:</w:t>
            </w:r>
          </w:p>
          <w:p w14:paraId="0F0F19F9" w14:textId="77777777" w:rsidR="001A4860" w:rsidRPr="001A4860" w:rsidRDefault="001A4860" w:rsidP="001A4860">
            <w:pPr>
              <w:rPr>
                <w:sz w:val="22"/>
                <w:szCs w:val="22"/>
                <w:lang w:val="es-ES" w:eastAsia="es-ES"/>
              </w:rPr>
            </w:pPr>
            <w:r w:rsidRPr="001A4860">
              <w:rPr>
                <w:sz w:val="22"/>
                <w:szCs w:val="22"/>
                <w:lang w:val="es-ES" w:eastAsia="es-ES"/>
              </w:rPr>
              <w:t>1.- Movilizar de modulo de perforación</w:t>
            </w:r>
          </w:p>
          <w:p w14:paraId="516422D3" w14:textId="77777777" w:rsidR="001A4860" w:rsidRPr="001A4860" w:rsidRDefault="001A4860" w:rsidP="001A4860">
            <w:pPr>
              <w:rPr>
                <w:sz w:val="22"/>
                <w:szCs w:val="22"/>
                <w:lang w:val="es-ES" w:eastAsia="es-ES"/>
              </w:rPr>
            </w:pPr>
            <w:r w:rsidRPr="001A4860">
              <w:rPr>
                <w:sz w:val="22"/>
                <w:szCs w:val="22"/>
                <w:lang w:val="es-ES" w:eastAsia="es-ES"/>
              </w:rPr>
              <w:t>2.- Preparar acceso al sitio de perforación</w:t>
            </w:r>
          </w:p>
          <w:p w14:paraId="0998C96E" w14:textId="77777777" w:rsidR="001A4860" w:rsidRPr="001A4860" w:rsidRDefault="001A4860" w:rsidP="001A4860">
            <w:pPr>
              <w:rPr>
                <w:sz w:val="22"/>
                <w:szCs w:val="22"/>
                <w:lang w:val="es-ES" w:eastAsia="es-ES"/>
              </w:rPr>
            </w:pPr>
            <w:r w:rsidRPr="001A4860">
              <w:rPr>
                <w:sz w:val="22"/>
                <w:szCs w:val="22"/>
                <w:lang w:val="es-ES" w:eastAsia="es-ES"/>
              </w:rPr>
              <w:t>3.- Perforar pozo profundo 60.0 m (196.85 pies)</w:t>
            </w:r>
          </w:p>
          <w:p w14:paraId="45742D18" w14:textId="77777777" w:rsidR="001A4860" w:rsidRPr="001A4860" w:rsidRDefault="001A4860" w:rsidP="001A4860">
            <w:pPr>
              <w:rPr>
                <w:sz w:val="22"/>
                <w:szCs w:val="22"/>
                <w:lang w:val="es-ES" w:eastAsia="es-ES"/>
              </w:rPr>
            </w:pPr>
            <w:r w:rsidRPr="001A4860">
              <w:rPr>
                <w:sz w:val="22"/>
                <w:szCs w:val="22"/>
                <w:lang w:val="es-ES" w:eastAsia="es-ES"/>
              </w:rPr>
              <w:t>4.- Revestiir pozo con tubería ciega 48.0 m (157.48 pies) y tubería ranurada 12.0 m (39.37 pies) e instalar tubería para piezómetro 61.10 m (200.45 pies) y engrave 10.0 m (32.80 pies).</w:t>
            </w:r>
          </w:p>
          <w:p w14:paraId="14F2CB09" w14:textId="77777777" w:rsidR="001A4860" w:rsidRPr="001A4860" w:rsidRDefault="001A4860" w:rsidP="001A4860">
            <w:pPr>
              <w:rPr>
                <w:sz w:val="22"/>
                <w:szCs w:val="22"/>
                <w:lang w:val="es-ES" w:eastAsia="es-ES"/>
              </w:rPr>
            </w:pPr>
            <w:r w:rsidRPr="001A4860">
              <w:rPr>
                <w:sz w:val="22"/>
                <w:szCs w:val="22"/>
                <w:lang w:val="es-ES" w:eastAsia="es-ES"/>
              </w:rPr>
              <w:t>5.- Realizar prueba de verticalidad y alineamiento del pozo.</w:t>
            </w:r>
          </w:p>
          <w:p w14:paraId="4163DF87" w14:textId="77777777" w:rsidR="001A4860" w:rsidRPr="001A4860" w:rsidRDefault="001A4860" w:rsidP="001A4860">
            <w:pPr>
              <w:rPr>
                <w:sz w:val="22"/>
                <w:szCs w:val="22"/>
                <w:lang w:val="es-ES" w:eastAsia="es-ES"/>
              </w:rPr>
            </w:pPr>
            <w:r w:rsidRPr="001A4860">
              <w:rPr>
                <w:sz w:val="22"/>
                <w:szCs w:val="22"/>
                <w:lang w:val="es-ES" w:eastAsia="es-ES"/>
              </w:rPr>
              <w:t>6.- Colocar filtro artificial 3.41 m3</w:t>
            </w:r>
          </w:p>
          <w:p w14:paraId="2F830DEB" w14:textId="77777777" w:rsidR="001A4860" w:rsidRPr="001A4860" w:rsidRDefault="001A4860" w:rsidP="001A4860">
            <w:pPr>
              <w:rPr>
                <w:sz w:val="22"/>
                <w:szCs w:val="22"/>
                <w:lang w:val="es-ES" w:eastAsia="es-ES"/>
              </w:rPr>
            </w:pPr>
            <w:r w:rsidRPr="001A4860">
              <w:rPr>
                <w:sz w:val="22"/>
                <w:szCs w:val="22"/>
                <w:lang w:val="es-ES" w:eastAsia="es-ES"/>
              </w:rPr>
              <w:t>7.- Limpiar y desarrollar el pozo (4 hrs)</w:t>
            </w:r>
          </w:p>
          <w:p w14:paraId="51B9BBF9" w14:textId="77777777" w:rsidR="001A4860" w:rsidRPr="001A4860" w:rsidRDefault="001A4860" w:rsidP="001A4860">
            <w:pPr>
              <w:rPr>
                <w:sz w:val="22"/>
                <w:szCs w:val="22"/>
                <w:lang w:val="es-ES" w:eastAsia="es-ES"/>
              </w:rPr>
            </w:pPr>
            <w:r w:rsidRPr="001A4860">
              <w:rPr>
                <w:sz w:val="22"/>
                <w:szCs w:val="22"/>
                <w:lang w:val="es-ES" w:eastAsia="es-ES"/>
              </w:rPr>
              <w:t>8.- Realizar purebas de bombeo</w:t>
            </w:r>
          </w:p>
          <w:p w14:paraId="5D6D23DC" w14:textId="77777777" w:rsidR="001A4860" w:rsidRPr="001A4860" w:rsidRDefault="001A4860" w:rsidP="001A4860">
            <w:pPr>
              <w:rPr>
                <w:sz w:val="22"/>
                <w:szCs w:val="22"/>
                <w:lang w:val="es-ES" w:eastAsia="es-ES"/>
              </w:rPr>
            </w:pPr>
            <w:r w:rsidRPr="001A4860">
              <w:rPr>
                <w:sz w:val="22"/>
                <w:szCs w:val="22"/>
                <w:lang w:val="es-ES" w:eastAsia="es-ES"/>
              </w:rPr>
              <w:t xml:space="preserve">     Primera prueba a caudal variable (8 hrs)</w:t>
            </w:r>
          </w:p>
          <w:p w14:paraId="3F05980C" w14:textId="77777777" w:rsidR="001A4860" w:rsidRPr="001A4860" w:rsidRDefault="001A4860" w:rsidP="001A4860">
            <w:pPr>
              <w:rPr>
                <w:sz w:val="22"/>
                <w:szCs w:val="22"/>
                <w:lang w:val="es-ES" w:eastAsia="es-ES"/>
              </w:rPr>
            </w:pPr>
            <w:r w:rsidRPr="001A4860">
              <w:rPr>
                <w:sz w:val="22"/>
                <w:szCs w:val="22"/>
                <w:lang w:val="es-ES" w:eastAsia="es-ES"/>
              </w:rPr>
              <w:t xml:space="preserve">     Segunda prueba a caudal constante (24 hrs)</w:t>
            </w:r>
          </w:p>
          <w:p w14:paraId="54A6D821" w14:textId="77777777" w:rsidR="001A4860" w:rsidRPr="001A4860" w:rsidRDefault="001A4860" w:rsidP="001A4860">
            <w:pPr>
              <w:rPr>
                <w:sz w:val="22"/>
                <w:szCs w:val="22"/>
                <w:lang w:val="es-ES" w:eastAsia="es-ES"/>
              </w:rPr>
            </w:pPr>
            <w:r w:rsidRPr="001A4860">
              <w:rPr>
                <w:sz w:val="22"/>
                <w:szCs w:val="22"/>
                <w:lang w:val="es-ES" w:eastAsia="es-ES"/>
              </w:rPr>
              <w:t>9.- Impermeabilizar con sello sanitario el pozo 9.14 m (30.0 pies)</w:t>
            </w:r>
          </w:p>
          <w:p w14:paraId="1FBE46AD" w14:textId="77777777" w:rsidR="001A4860" w:rsidRPr="001A4860" w:rsidRDefault="001A4860" w:rsidP="001A4860">
            <w:pPr>
              <w:rPr>
                <w:sz w:val="22"/>
                <w:szCs w:val="22"/>
                <w:lang w:val="es-ES" w:eastAsia="es-ES"/>
              </w:rPr>
            </w:pPr>
            <w:r w:rsidRPr="001A4860">
              <w:rPr>
                <w:sz w:val="22"/>
                <w:szCs w:val="22"/>
                <w:lang w:val="es-ES" w:eastAsia="es-ES"/>
              </w:rPr>
              <w:t xml:space="preserve">10.- Construir cabezal de protección del pozo. </w:t>
            </w:r>
          </w:p>
          <w:p w14:paraId="61AA28C5" w14:textId="77777777" w:rsidR="001A4860" w:rsidRPr="001A4860" w:rsidRDefault="001A4860" w:rsidP="001A4860">
            <w:pPr>
              <w:rPr>
                <w:sz w:val="22"/>
                <w:szCs w:val="22"/>
                <w:lang w:val="es-ES" w:eastAsia="es-ES"/>
              </w:rPr>
            </w:pPr>
            <w:r w:rsidRPr="001A4860">
              <w:rPr>
                <w:sz w:val="22"/>
                <w:szCs w:val="22"/>
                <w:lang w:val="es-ES" w:eastAsia="es-ES"/>
              </w:rPr>
              <w:t>11.- Desinfectar paredes del pozo (Glb)</w:t>
            </w:r>
          </w:p>
          <w:p w14:paraId="57EB0A2C" w14:textId="77777777" w:rsidR="001A4860" w:rsidRPr="001A4860" w:rsidRDefault="001A4860" w:rsidP="001A4860">
            <w:pPr>
              <w:rPr>
                <w:sz w:val="22"/>
                <w:szCs w:val="22"/>
                <w:lang w:val="es-ES" w:eastAsia="es-ES"/>
              </w:rPr>
            </w:pPr>
          </w:p>
        </w:tc>
      </w:tr>
      <w:tr w:rsidR="001A4860" w:rsidRPr="001A4860" w14:paraId="4C947DCD" w14:textId="77777777" w:rsidTr="001A4860">
        <w:trPr>
          <w:jc w:val="center"/>
        </w:trPr>
        <w:tc>
          <w:tcPr>
            <w:tcW w:w="1165" w:type="pct"/>
          </w:tcPr>
          <w:p w14:paraId="5853F2CC" w14:textId="77777777" w:rsidR="001A4860" w:rsidRPr="001A4860" w:rsidRDefault="001A4860" w:rsidP="001A4860">
            <w:pPr>
              <w:ind w:left="-113" w:right="15"/>
              <w:rPr>
                <w:sz w:val="22"/>
                <w:szCs w:val="22"/>
                <w:lang w:val="es-ES" w:eastAsia="es-ES"/>
              </w:rPr>
            </w:pPr>
            <w:r w:rsidRPr="001A4860">
              <w:rPr>
                <w:sz w:val="22"/>
                <w:szCs w:val="22"/>
                <w:lang w:val="es-ES" w:eastAsia="es-ES"/>
              </w:rPr>
              <w:lastRenderedPageBreak/>
              <w:t xml:space="preserve">Equipo de Bombeo </w:t>
            </w:r>
          </w:p>
        </w:tc>
        <w:tc>
          <w:tcPr>
            <w:tcW w:w="2029" w:type="pct"/>
          </w:tcPr>
          <w:p w14:paraId="27965ECB" w14:textId="77777777" w:rsidR="001A4860" w:rsidRPr="001A4860" w:rsidRDefault="001A4860" w:rsidP="001A4860">
            <w:pPr>
              <w:rPr>
                <w:sz w:val="22"/>
                <w:szCs w:val="22"/>
                <w:lang w:val="es-ES" w:eastAsia="es-ES"/>
              </w:rPr>
            </w:pPr>
            <w:r w:rsidRPr="001A4860">
              <w:rPr>
                <w:sz w:val="22"/>
                <w:szCs w:val="22"/>
                <w:lang w:val="es-ES" w:eastAsia="es-ES"/>
              </w:rPr>
              <w:t>Bomba sumergible</w:t>
            </w:r>
          </w:p>
          <w:p w14:paraId="4EBF4DB0" w14:textId="77777777" w:rsidR="001A4860" w:rsidRPr="001A4860" w:rsidRDefault="001A4860" w:rsidP="001A4860">
            <w:pPr>
              <w:rPr>
                <w:sz w:val="22"/>
                <w:szCs w:val="22"/>
                <w:lang w:val="es-ES" w:eastAsia="es-ES"/>
              </w:rPr>
            </w:pPr>
            <w:r w:rsidRPr="001A4860">
              <w:rPr>
                <w:sz w:val="22"/>
                <w:szCs w:val="22"/>
                <w:lang w:val="es-ES" w:eastAsia="es-ES"/>
              </w:rPr>
              <w:t>Potencia de la bomba: 20 HP</w:t>
            </w:r>
          </w:p>
          <w:p w14:paraId="1C143EC4" w14:textId="77777777" w:rsidR="001A4860" w:rsidRPr="001A4860" w:rsidRDefault="001A4860" w:rsidP="001A4860">
            <w:pPr>
              <w:rPr>
                <w:sz w:val="22"/>
                <w:szCs w:val="22"/>
                <w:lang w:val="es-ES" w:eastAsia="es-ES"/>
              </w:rPr>
            </w:pPr>
            <w:r w:rsidRPr="001A4860">
              <w:rPr>
                <w:sz w:val="22"/>
                <w:szCs w:val="22"/>
                <w:lang w:val="es-ES" w:eastAsia="es-ES"/>
              </w:rPr>
              <w:t>Caudal de Diseño: 2.18 lps (34.51 gpm),</w:t>
            </w:r>
          </w:p>
          <w:p w14:paraId="4FB8B946" w14:textId="77777777" w:rsidR="001A4860" w:rsidRPr="001A4860" w:rsidRDefault="001A4860" w:rsidP="001A4860">
            <w:pPr>
              <w:rPr>
                <w:sz w:val="22"/>
                <w:szCs w:val="22"/>
                <w:lang w:val="es-ES" w:eastAsia="es-ES"/>
              </w:rPr>
            </w:pPr>
            <w:r w:rsidRPr="001A4860">
              <w:rPr>
                <w:sz w:val="22"/>
                <w:szCs w:val="22"/>
                <w:lang w:val="es-ES" w:eastAsia="es-ES"/>
              </w:rPr>
              <w:t>CTD=391.99 m (1,286.05 pies)</w:t>
            </w:r>
          </w:p>
          <w:p w14:paraId="7CA8849F" w14:textId="77777777" w:rsidR="001A4860" w:rsidRPr="001A4860" w:rsidRDefault="001A4860" w:rsidP="001A4860">
            <w:pPr>
              <w:rPr>
                <w:sz w:val="22"/>
                <w:szCs w:val="22"/>
                <w:lang w:val="es-ES" w:eastAsia="es-ES"/>
              </w:rPr>
            </w:pPr>
            <w:r w:rsidRPr="001A4860">
              <w:rPr>
                <w:sz w:val="22"/>
                <w:szCs w:val="22"/>
                <w:lang w:val="es-ES" w:eastAsia="es-ES"/>
              </w:rPr>
              <w:t xml:space="preserve">Fases: 3/60/460 V </w:t>
            </w:r>
          </w:p>
          <w:p w14:paraId="67F4D1ED" w14:textId="77777777" w:rsidR="001A4860" w:rsidRPr="001A4860" w:rsidRDefault="001A4860" w:rsidP="001A4860">
            <w:pPr>
              <w:rPr>
                <w:sz w:val="22"/>
                <w:szCs w:val="22"/>
                <w:lang w:val="es-ES" w:eastAsia="es-ES"/>
              </w:rPr>
            </w:pPr>
            <w:r w:rsidRPr="001A4860">
              <w:rPr>
                <w:sz w:val="22"/>
                <w:szCs w:val="22"/>
                <w:lang w:val="es-ES" w:eastAsia="es-ES"/>
              </w:rPr>
              <w:t>Eficiencia de la bomba:56%</w:t>
            </w:r>
          </w:p>
        </w:tc>
        <w:tc>
          <w:tcPr>
            <w:tcW w:w="1806" w:type="pct"/>
          </w:tcPr>
          <w:p w14:paraId="36266F34" w14:textId="77777777" w:rsidR="001A4860" w:rsidRPr="001A4860" w:rsidRDefault="001A4860" w:rsidP="001A4860">
            <w:pPr>
              <w:ind w:right="15"/>
              <w:rPr>
                <w:sz w:val="22"/>
                <w:szCs w:val="22"/>
                <w:lang w:val="es-ES" w:eastAsia="es-ES"/>
              </w:rPr>
            </w:pPr>
            <w:r w:rsidRPr="001A4860">
              <w:rPr>
                <w:sz w:val="22"/>
                <w:szCs w:val="22"/>
                <w:lang w:val="es-ES" w:eastAsia="es-ES"/>
              </w:rPr>
              <w:t>Actividades requeridas</w:t>
            </w:r>
          </w:p>
          <w:p w14:paraId="7B84EC43" w14:textId="77777777" w:rsidR="001A4860" w:rsidRPr="001A4860" w:rsidRDefault="001A4860" w:rsidP="001A4860">
            <w:pPr>
              <w:ind w:right="15"/>
              <w:rPr>
                <w:sz w:val="22"/>
                <w:szCs w:val="22"/>
                <w:lang w:val="es-ES" w:eastAsia="es-ES"/>
              </w:rPr>
            </w:pPr>
            <w:r w:rsidRPr="001A4860">
              <w:rPr>
                <w:sz w:val="22"/>
                <w:szCs w:val="22"/>
                <w:lang w:val="es-ES" w:eastAsia="es-ES"/>
              </w:rPr>
              <w:t xml:space="preserve">Instalar equipo de bombeo con </w:t>
            </w:r>
          </w:p>
          <w:p w14:paraId="3568C665" w14:textId="77777777" w:rsidR="001A4860" w:rsidRPr="001A4860" w:rsidRDefault="001A4860" w:rsidP="001A4860">
            <w:pPr>
              <w:ind w:right="15"/>
              <w:rPr>
                <w:sz w:val="22"/>
                <w:szCs w:val="22"/>
                <w:lang w:val="es-ES" w:eastAsia="es-ES"/>
              </w:rPr>
            </w:pPr>
            <w:r w:rsidRPr="001A4860">
              <w:rPr>
                <w:sz w:val="22"/>
                <w:szCs w:val="22"/>
                <w:lang w:val="es-ES" w:eastAsia="es-ES"/>
              </w:rPr>
              <w:t>columna de descarga de HG diámetro nominal 75 mm (3 pulg), L= 48.57 m (159.35 pies)</w:t>
            </w:r>
          </w:p>
          <w:p w14:paraId="0F8FD481" w14:textId="77777777" w:rsidR="001A4860" w:rsidRPr="001A4860" w:rsidRDefault="001A4860" w:rsidP="001A4860">
            <w:pPr>
              <w:ind w:right="15"/>
              <w:rPr>
                <w:sz w:val="22"/>
                <w:szCs w:val="22"/>
                <w:lang w:val="es-ES" w:eastAsia="es-ES"/>
              </w:rPr>
            </w:pPr>
            <w:r w:rsidRPr="001A4860">
              <w:rPr>
                <w:sz w:val="22"/>
                <w:szCs w:val="22"/>
                <w:lang w:val="es-ES" w:eastAsia="es-ES"/>
              </w:rPr>
              <w:t>Realizar conexiones eléctricas con todas sus protecciones</w:t>
            </w:r>
          </w:p>
          <w:p w14:paraId="1BD81B1A" w14:textId="77777777" w:rsidR="001A4860" w:rsidRPr="001A4860" w:rsidRDefault="001A4860" w:rsidP="001A4860">
            <w:pPr>
              <w:ind w:left="65" w:right="15"/>
              <w:rPr>
                <w:sz w:val="22"/>
                <w:szCs w:val="22"/>
                <w:lang w:val="es-ES" w:eastAsia="es-ES"/>
              </w:rPr>
            </w:pPr>
            <w:r w:rsidRPr="001A4860">
              <w:rPr>
                <w:sz w:val="22"/>
                <w:szCs w:val="22"/>
                <w:lang w:val="es-ES" w:eastAsia="es-ES"/>
              </w:rPr>
              <w:t>Realizar pruebas de funcionamiento</w:t>
            </w:r>
          </w:p>
        </w:tc>
      </w:tr>
      <w:tr w:rsidR="001A4860" w:rsidRPr="001A4860" w14:paraId="0E3D35F2" w14:textId="77777777" w:rsidTr="001A4860">
        <w:trPr>
          <w:jc w:val="center"/>
        </w:trPr>
        <w:tc>
          <w:tcPr>
            <w:tcW w:w="1165" w:type="pct"/>
          </w:tcPr>
          <w:p w14:paraId="77AAF4A4" w14:textId="77777777" w:rsidR="001A4860" w:rsidRPr="001A4860" w:rsidRDefault="001A4860" w:rsidP="001A4860">
            <w:pPr>
              <w:ind w:left="-113" w:right="15"/>
              <w:rPr>
                <w:sz w:val="22"/>
                <w:szCs w:val="22"/>
                <w:lang w:val="es-ES" w:eastAsia="es-ES"/>
              </w:rPr>
            </w:pPr>
            <w:r w:rsidRPr="001A4860">
              <w:rPr>
                <w:sz w:val="22"/>
                <w:szCs w:val="22"/>
                <w:lang w:val="es-ES" w:eastAsia="es-ES"/>
              </w:rPr>
              <w:t>Sarta de Bombeo</w:t>
            </w:r>
          </w:p>
        </w:tc>
        <w:tc>
          <w:tcPr>
            <w:tcW w:w="2029" w:type="pct"/>
          </w:tcPr>
          <w:p w14:paraId="7478293E" w14:textId="77777777" w:rsidR="001A4860" w:rsidRPr="001A4860" w:rsidRDefault="001A4860" w:rsidP="001A4860">
            <w:pPr>
              <w:rPr>
                <w:sz w:val="22"/>
                <w:szCs w:val="22"/>
                <w:lang w:val="es-ES" w:eastAsia="es-ES"/>
              </w:rPr>
            </w:pPr>
            <w:r w:rsidRPr="001A4860">
              <w:rPr>
                <w:sz w:val="22"/>
                <w:szCs w:val="22"/>
                <w:lang w:val="es-ES" w:eastAsia="es-ES"/>
              </w:rPr>
              <w:t xml:space="preserve">Diámetro nominal de descarga: 3” </w:t>
            </w:r>
          </w:p>
          <w:p w14:paraId="40D31E7E" w14:textId="77777777" w:rsidR="001A4860" w:rsidRPr="001A4860" w:rsidRDefault="001A4860" w:rsidP="001A4860">
            <w:pPr>
              <w:rPr>
                <w:sz w:val="22"/>
                <w:szCs w:val="22"/>
                <w:lang w:val="es-ES" w:eastAsia="es-ES"/>
              </w:rPr>
            </w:pPr>
            <w:r w:rsidRPr="001A4860">
              <w:rPr>
                <w:sz w:val="22"/>
                <w:szCs w:val="22"/>
                <w:lang w:val="es-ES" w:eastAsia="es-ES"/>
              </w:rPr>
              <w:t xml:space="preserve">Diámetro nominal de medidor: 3” </w:t>
            </w:r>
          </w:p>
          <w:p w14:paraId="7E45A20F" w14:textId="77777777" w:rsidR="001A4860" w:rsidRPr="001A4860" w:rsidRDefault="001A4860" w:rsidP="001A4860">
            <w:pPr>
              <w:rPr>
                <w:sz w:val="22"/>
                <w:szCs w:val="22"/>
                <w:lang w:val="es-ES" w:eastAsia="es-ES"/>
              </w:rPr>
            </w:pPr>
            <w:r w:rsidRPr="001A4860">
              <w:rPr>
                <w:sz w:val="22"/>
                <w:szCs w:val="22"/>
                <w:lang w:val="es-ES" w:eastAsia="es-ES"/>
              </w:rPr>
              <w:t>-1 Válvula de aire con boca de entrada de 2”</w:t>
            </w:r>
          </w:p>
          <w:p w14:paraId="506714EE" w14:textId="77777777" w:rsidR="001A4860" w:rsidRPr="001A4860" w:rsidRDefault="001A4860" w:rsidP="001A4860">
            <w:pPr>
              <w:rPr>
                <w:sz w:val="22"/>
                <w:szCs w:val="22"/>
                <w:lang w:val="es-ES" w:eastAsia="es-ES"/>
              </w:rPr>
            </w:pPr>
            <w:r w:rsidRPr="001A4860">
              <w:rPr>
                <w:sz w:val="22"/>
                <w:szCs w:val="22"/>
                <w:lang w:val="es-ES" w:eastAsia="es-ES"/>
              </w:rPr>
              <w:t>-1 Medidor de 3“.</w:t>
            </w:r>
          </w:p>
          <w:p w14:paraId="1D9AD57D" w14:textId="77777777" w:rsidR="001A4860" w:rsidRPr="001A4860" w:rsidRDefault="001A4860" w:rsidP="001A4860">
            <w:pPr>
              <w:rPr>
                <w:sz w:val="22"/>
                <w:szCs w:val="22"/>
                <w:lang w:val="es-ES" w:eastAsia="es-ES"/>
              </w:rPr>
            </w:pPr>
            <w:r w:rsidRPr="001A4860">
              <w:rPr>
                <w:sz w:val="22"/>
                <w:szCs w:val="22"/>
                <w:lang w:val="es-ES" w:eastAsia="es-ES"/>
              </w:rPr>
              <w:t>-1 Válvula Check de 3“.</w:t>
            </w:r>
          </w:p>
          <w:p w14:paraId="57FCECE2" w14:textId="77777777" w:rsidR="001A4860" w:rsidRPr="001A4860" w:rsidRDefault="001A4860" w:rsidP="001A4860">
            <w:pPr>
              <w:rPr>
                <w:sz w:val="22"/>
                <w:szCs w:val="22"/>
                <w:lang w:val="es-ES" w:eastAsia="es-ES"/>
              </w:rPr>
            </w:pPr>
            <w:r w:rsidRPr="001A4860">
              <w:rPr>
                <w:sz w:val="22"/>
                <w:szCs w:val="22"/>
                <w:lang w:val="es-ES" w:eastAsia="es-ES"/>
              </w:rPr>
              <w:t>-1 Manómetro de presión 500 psi</w:t>
            </w:r>
          </w:p>
          <w:p w14:paraId="1D187717" w14:textId="77777777" w:rsidR="001A4860" w:rsidRPr="001A4860" w:rsidRDefault="001A4860" w:rsidP="001A4860">
            <w:pPr>
              <w:rPr>
                <w:sz w:val="22"/>
                <w:szCs w:val="22"/>
                <w:lang w:val="es-ES" w:eastAsia="es-ES"/>
              </w:rPr>
            </w:pPr>
            <w:r w:rsidRPr="001A4860">
              <w:rPr>
                <w:sz w:val="22"/>
                <w:szCs w:val="22"/>
                <w:lang w:val="es-ES" w:eastAsia="es-ES"/>
              </w:rPr>
              <w:t>-1 Cruz HG de 3“.</w:t>
            </w:r>
          </w:p>
          <w:p w14:paraId="4E9D70CA" w14:textId="77777777" w:rsidR="001A4860" w:rsidRPr="001A4860" w:rsidRDefault="001A4860" w:rsidP="001A4860">
            <w:pPr>
              <w:rPr>
                <w:sz w:val="22"/>
                <w:szCs w:val="22"/>
                <w:lang w:val="es-ES" w:eastAsia="es-ES"/>
              </w:rPr>
            </w:pPr>
            <w:r w:rsidRPr="001A4860">
              <w:rPr>
                <w:sz w:val="22"/>
                <w:szCs w:val="22"/>
                <w:lang w:val="es-ES" w:eastAsia="es-ES"/>
              </w:rPr>
              <w:t>-1 Válvula de alivio de 2”.</w:t>
            </w:r>
          </w:p>
          <w:p w14:paraId="08FCE182" w14:textId="77777777" w:rsidR="001A4860" w:rsidRPr="001A4860" w:rsidRDefault="001A4860" w:rsidP="001A4860">
            <w:pPr>
              <w:rPr>
                <w:sz w:val="22"/>
                <w:szCs w:val="22"/>
                <w:lang w:val="es-ES" w:eastAsia="es-ES"/>
              </w:rPr>
            </w:pPr>
            <w:r w:rsidRPr="001A4860">
              <w:rPr>
                <w:sz w:val="22"/>
                <w:szCs w:val="22"/>
                <w:lang w:val="es-ES" w:eastAsia="es-ES"/>
              </w:rPr>
              <w:t>-2 Válvula de pase HF 3“</w:t>
            </w:r>
          </w:p>
          <w:p w14:paraId="6863EFD2" w14:textId="77777777" w:rsidR="001A4860" w:rsidRPr="001A4860" w:rsidRDefault="001A4860" w:rsidP="001A4860">
            <w:pPr>
              <w:rPr>
                <w:sz w:val="22"/>
                <w:szCs w:val="22"/>
                <w:lang w:val="es-ES" w:eastAsia="es-ES"/>
              </w:rPr>
            </w:pPr>
            <w:r w:rsidRPr="001A4860">
              <w:rPr>
                <w:sz w:val="22"/>
                <w:szCs w:val="22"/>
                <w:lang w:val="es-ES" w:eastAsia="es-ES"/>
              </w:rPr>
              <w:t xml:space="preserve">-2 Unión Dresser HF 3” </w:t>
            </w:r>
          </w:p>
          <w:p w14:paraId="5CF442F3" w14:textId="77777777" w:rsidR="001A4860" w:rsidRPr="001A4860" w:rsidRDefault="001A4860" w:rsidP="001A4860">
            <w:pPr>
              <w:rPr>
                <w:sz w:val="22"/>
                <w:szCs w:val="22"/>
                <w:lang w:val="es-ES" w:eastAsia="es-ES"/>
              </w:rPr>
            </w:pPr>
          </w:p>
        </w:tc>
        <w:tc>
          <w:tcPr>
            <w:tcW w:w="1806" w:type="pct"/>
          </w:tcPr>
          <w:p w14:paraId="21B94131" w14:textId="77777777" w:rsidR="001A4860" w:rsidRPr="001A4860" w:rsidRDefault="001A4860" w:rsidP="001A4860">
            <w:pPr>
              <w:rPr>
                <w:sz w:val="22"/>
                <w:szCs w:val="22"/>
                <w:lang w:val="es-ES" w:eastAsia="es-ES"/>
              </w:rPr>
            </w:pPr>
            <w:r w:rsidRPr="001A4860">
              <w:rPr>
                <w:sz w:val="22"/>
                <w:szCs w:val="22"/>
                <w:lang w:val="es-ES" w:eastAsia="es-ES"/>
              </w:rPr>
              <w:t>Actividades requeridas:</w:t>
            </w:r>
          </w:p>
          <w:p w14:paraId="5B06B144" w14:textId="77777777" w:rsidR="001A4860" w:rsidRPr="001A4860" w:rsidRDefault="001A4860" w:rsidP="001A4860">
            <w:pPr>
              <w:rPr>
                <w:sz w:val="22"/>
                <w:szCs w:val="22"/>
                <w:lang w:val="es-ES" w:eastAsia="es-ES"/>
              </w:rPr>
            </w:pPr>
            <w:r w:rsidRPr="001A4860">
              <w:rPr>
                <w:sz w:val="22"/>
                <w:szCs w:val="22"/>
                <w:lang w:val="es-ES" w:eastAsia="es-ES"/>
              </w:rPr>
              <w:t xml:space="preserve">Instalar sarta completa de tubo de HF, díam. nominal 75 mm (3 pulgadas). Pintura anticorrosiva de sarta: 2.0 m2. Piso para sarta de losa de concreto ciclópeo 20% concreto de 1,500 psi+80% piedra bolón. Ancho= 1.5m, espesor=0.15m, largo=6.5m </w:t>
            </w:r>
          </w:p>
          <w:p w14:paraId="2ACB6DF3" w14:textId="77777777" w:rsidR="001A4860" w:rsidRPr="001A4860" w:rsidRDefault="001A4860" w:rsidP="001A4860">
            <w:pPr>
              <w:rPr>
                <w:sz w:val="22"/>
                <w:szCs w:val="22"/>
                <w:lang w:val="es-ES" w:eastAsia="es-ES"/>
              </w:rPr>
            </w:pPr>
            <w:r w:rsidRPr="001A4860">
              <w:rPr>
                <w:sz w:val="22"/>
                <w:szCs w:val="22"/>
                <w:lang w:val="es-ES" w:eastAsia="es-ES"/>
              </w:rPr>
              <w:t xml:space="preserve">Construir una pila de concreto de 3,000 psi reforzada para descarga de valvula de alivio.  Ancho=0.60m, largo=1.00m, alto =0.50m. </w:t>
            </w:r>
          </w:p>
          <w:p w14:paraId="5945BA80" w14:textId="77777777" w:rsidR="001A4860" w:rsidRPr="001A4860" w:rsidRDefault="001A4860" w:rsidP="001A4860">
            <w:pPr>
              <w:rPr>
                <w:sz w:val="22"/>
                <w:szCs w:val="22"/>
                <w:lang w:val="es-ES" w:eastAsia="es-ES"/>
              </w:rPr>
            </w:pPr>
            <w:r w:rsidRPr="001A4860">
              <w:rPr>
                <w:sz w:val="22"/>
                <w:szCs w:val="22"/>
                <w:lang w:val="es-ES" w:eastAsia="es-ES"/>
              </w:rPr>
              <w:t>Instalar 1 válvulas de pase de gaveta de bronce diam= 2'' para limpieza de pilas.</w:t>
            </w:r>
          </w:p>
          <w:p w14:paraId="63109551" w14:textId="77777777" w:rsidR="001A4860" w:rsidRPr="001A4860" w:rsidRDefault="001A4860" w:rsidP="001A4860">
            <w:pPr>
              <w:ind w:right="15"/>
              <w:rPr>
                <w:sz w:val="22"/>
                <w:szCs w:val="22"/>
                <w:lang w:val="es-ES" w:eastAsia="es-ES"/>
              </w:rPr>
            </w:pPr>
            <w:r w:rsidRPr="001A4860">
              <w:rPr>
                <w:sz w:val="22"/>
                <w:szCs w:val="22"/>
                <w:lang w:val="es-ES" w:eastAsia="es-ES"/>
              </w:rPr>
              <w:t>Construir anden de concreto de 3,000 psi ancho=1.00m y canal ancho=0.30m, ref.#3 en a/d esp. de anden y canal = 0.10m, bordillo de bloque de mortero: 15.40 m</w:t>
            </w:r>
          </w:p>
        </w:tc>
      </w:tr>
      <w:tr w:rsidR="001A4860" w:rsidRPr="001A4860" w14:paraId="4853D54E" w14:textId="77777777" w:rsidTr="001A4860">
        <w:trPr>
          <w:jc w:val="center"/>
        </w:trPr>
        <w:tc>
          <w:tcPr>
            <w:tcW w:w="1165" w:type="pct"/>
          </w:tcPr>
          <w:p w14:paraId="5D4B3F82" w14:textId="77777777" w:rsidR="001A4860" w:rsidRPr="001A4860" w:rsidRDefault="001A4860" w:rsidP="001A4860">
            <w:pPr>
              <w:ind w:left="-113" w:right="15"/>
              <w:rPr>
                <w:sz w:val="22"/>
                <w:szCs w:val="22"/>
                <w:lang w:val="es-ES" w:eastAsia="es-ES"/>
              </w:rPr>
            </w:pPr>
            <w:r w:rsidRPr="001A4860">
              <w:rPr>
                <w:sz w:val="22"/>
                <w:szCs w:val="22"/>
                <w:lang w:val="es-ES" w:eastAsia="es-ES"/>
              </w:rPr>
              <w:t>Dosificador de cloro</w:t>
            </w:r>
          </w:p>
        </w:tc>
        <w:tc>
          <w:tcPr>
            <w:tcW w:w="2029" w:type="pct"/>
          </w:tcPr>
          <w:p w14:paraId="2AD039B7" w14:textId="77777777" w:rsidR="001A4860" w:rsidRPr="001A4860" w:rsidRDefault="001A4860" w:rsidP="001A4860">
            <w:pPr>
              <w:rPr>
                <w:sz w:val="22"/>
                <w:szCs w:val="22"/>
                <w:lang w:val="es-ES" w:eastAsia="es-ES"/>
              </w:rPr>
            </w:pPr>
            <w:r w:rsidRPr="001A4860">
              <w:rPr>
                <w:sz w:val="22"/>
                <w:szCs w:val="22"/>
                <w:lang w:val="es-ES" w:eastAsia="es-ES"/>
              </w:rPr>
              <w:t>Cloro activo 65%, Dosis promedio: 2 mg/L.</w:t>
            </w:r>
          </w:p>
          <w:p w14:paraId="1142F301" w14:textId="77777777" w:rsidR="001A4860" w:rsidRPr="001A4860" w:rsidRDefault="001A4860" w:rsidP="001A4860">
            <w:pPr>
              <w:rPr>
                <w:sz w:val="22"/>
                <w:szCs w:val="22"/>
                <w:lang w:val="es-ES" w:eastAsia="es-ES"/>
              </w:rPr>
            </w:pPr>
            <w:r w:rsidRPr="001A4860">
              <w:rPr>
                <w:sz w:val="22"/>
                <w:szCs w:val="22"/>
                <w:lang w:val="es-ES" w:eastAsia="es-ES"/>
              </w:rPr>
              <w:t>Concentración de la solución: 1 mg/L.</w:t>
            </w:r>
          </w:p>
          <w:p w14:paraId="507138D1" w14:textId="77777777" w:rsidR="001A4860" w:rsidRPr="001A4860" w:rsidRDefault="001A4860" w:rsidP="001A4860">
            <w:pPr>
              <w:ind w:left="65"/>
              <w:rPr>
                <w:sz w:val="22"/>
                <w:szCs w:val="22"/>
                <w:lang w:val="es-ES" w:eastAsia="es-ES"/>
              </w:rPr>
            </w:pPr>
          </w:p>
        </w:tc>
        <w:tc>
          <w:tcPr>
            <w:tcW w:w="1806" w:type="pct"/>
          </w:tcPr>
          <w:p w14:paraId="229D8065" w14:textId="77777777" w:rsidR="001A4860" w:rsidRPr="001A4860" w:rsidRDefault="001A4860" w:rsidP="001A4860">
            <w:pPr>
              <w:ind w:right="15"/>
              <w:rPr>
                <w:sz w:val="22"/>
                <w:szCs w:val="22"/>
                <w:lang w:val="es-ES" w:eastAsia="es-ES"/>
              </w:rPr>
            </w:pPr>
            <w:r w:rsidRPr="001A4860">
              <w:rPr>
                <w:sz w:val="22"/>
                <w:szCs w:val="22"/>
                <w:lang w:val="es-ES" w:eastAsia="es-ES"/>
              </w:rPr>
              <w:t>Actividades requeridas</w:t>
            </w:r>
          </w:p>
          <w:p w14:paraId="0F536DB3" w14:textId="77777777" w:rsidR="001A4860" w:rsidRPr="001A4860" w:rsidRDefault="001A4860" w:rsidP="001A4860">
            <w:pPr>
              <w:ind w:right="15"/>
              <w:rPr>
                <w:sz w:val="22"/>
                <w:szCs w:val="22"/>
                <w:lang w:val="es-ES" w:eastAsia="es-ES"/>
              </w:rPr>
            </w:pPr>
            <w:r w:rsidRPr="001A4860">
              <w:rPr>
                <w:sz w:val="22"/>
                <w:szCs w:val="22"/>
                <w:lang w:val="es-ES" w:eastAsia="es-ES"/>
              </w:rPr>
              <w:t>Instalar hipoclorador de carga constante de 125.0 litros (33 galones, sobre losa tapa de tanque de almacenamiento de agua clara.</w:t>
            </w:r>
          </w:p>
          <w:p w14:paraId="0EA418B0" w14:textId="77777777" w:rsidR="001A4860" w:rsidRPr="001A4860" w:rsidRDefault="001A4860" w:rsidP="001A4860">
            <w:pPr>
              <w:ind w:right="15"/>
              <w:rPr>
                <w:sz w:val="22"/>
                <w:szCs w:val="22"/>
                <w:lang w:val="es-ES" w:eastAsia="es-ES"/>
              </w:rPr>
            </w:pPr>
            <w:r w:rsidRPr="001A4860">
              <w:rPr>
                <w:sz w:val="22"/>
                <w:szCs w:val="22"/>
                <w:lang w:val="es-ES" w:eastAsia="es-ES"/>
              </w:rPr>
              <w:t>Pruebas de funcionamiento</w:t>
            </w:r>
          </w:p>
        </w:tc>
      </w:tr>
      <w:tr w:rsidR="001A4860" w:rsidRPr="001A4860" w14:paraId="3C1F9F67" w14:textId="77777777" w:rsidTr="001A4860">
        <w:trPr>
          <w:jc w:val="center"/>
        </w:trPr>
        <w:tc>
          <w:tcPr>
            <w:tcW w:w="1165" w:type="pct"/>
          </w:tcPr>
          <w:p w14:paraId="532AE21C" w14:textId="77777777" w:rsidR="001A4860" w:rsidRPr="001A4860" w:rsidRDefault="001A4860" w:rsidP="001A4860">
            <w:pPr>
              <w:ind w:right="15"/>
              <w:rPr>
                <w:sz w:val="22"/>
                <w:szCs w:val="22"/>
                <w:lang w:val="es-ES" w:eastAsia="es-ES"/>
              </w:rPr>
            </w:pPr>
            <w:r w:rsidRPr="001A4860">
              <w:rPr>
                <w:sz w:val="22"/>
                <w:szCs w:val="22"/>
                <w:lang w:val="es-ES" w:eastAsia="es-ES"/>
              </w:rPr>
              <w:t>Caseta de controles eléctricos y vigilancia</w:t>
            </w:r>
          </w:p>
        </w:tc>
        <w:tc>
          <w:tcPr>
            <w:tcW w:w="2029" w:type="pct"/>
          </w:tcPr>
          <w:p w14:paraId="2F311EAB" w14:textId="77777777" w:rsidR="001A4860" w:rsidRPr="001A4860" w:rsidRDefault="001A4860" w:rsidP="001A4860">
            <w:pPr>
              <w:rPr>
                <w:sz w:val="22"/>
                <w:szCs w:val="22"/>
                <w:lang w:val="es-ES" w:eastAsia="es-ES"/>
              </w:rPr>
            </w:pPr>
            <w:r w:rsidRPr="001A4860">
              <w:rPr>
                <w:sz w:val="22"/>
                <w:szCs w:val="22"/>
                <w:lang w:val="es-ES" w:eastAsia="es-ES"/>
              </w:rPr>
              <w:t>Caseta: 2.85m ancho x 3.95m largo x 2.45 m alto frontal y 2.90 m de alto la parte trasera.</w:t>
            </w:r>
          </w:p>
          <w:p w14:paraId="0A725F70" w14:textId="77777777" w:rsidR="001A4860" w:rsidRPr="001A4860" w:rsidRDefault="001A4860" w:rsidP="001A4860">
            <w:pPr>
              <w:rPr>
                <w:sz w:val="22"/>
                <w:szCs w:val="22"/>
                <w:lang w:val="es-ES" w:eastAsia="es-ES"/>
              </w:rPr>
            </w:pPr>
            <w:r w:rsidRPr="001A4860">
              <w:rPr>
                <w:sz w:val="22"/>
                <w:szCs w:val="22"/>
                <w:lang w:val="es-ES" w:eastAsia="es-ES"/>
              </w:rPr>
              <w:t>-Paredes de bloques de mortero.</w:t>
            </w:r>
          </w:p>
          <w:p w14:paraId="60C412F1" w14:textId="77777777" w:rsidR="001A4860" w:rsidRPr="001A4860" w:rsidRDefault="001A4860" w:rsidP="001A4860">
            <w:pPr>
              <w:rPr>
                <w:sz w:val="22"/>
                <w:szCs w:val="22"/>
                <w:lang w:val="es-ES" w:eastAsia="es-ES"/>
              </w:rPr>
            </w:pPr>
            <w:r w:rsidRPr="001A4860">
              <w:rPr>
                <w:sz w:val="22"/>
                <w:szCs w:val="22"/>
                <w:lang w:val="es-ES" w:eastAsia="es-ES"/>
              </w:rPr>
              <w:t>-Cubierta de zinc corrugado cal. 26</w:t>
            </w:r>
          </w:p>
          <w:p w14:paraId="5D179DC9" w14:textId="77777777" w:rsidR="001A4860" w:rsidRPr="001A4860" w:rsidRDefault="001A4860" w:rsidP="001A4860">
            <w:pPr>
              <w:rPr>
                <w:sz w:val="22"/>
                <w:szCs w:val="22"/>
                <w:lang w:val="es-ES" w:eastAsia="es-ES"/>
              </w:rPr>
            </w:pPr>
            <w:r w:rsidRPr="001A4860">
              <w:rPr>
                <w:sz w:val="22"/>
                <w:szCs w:val="22"/>
                <w:lang w:val="es-ES" w:eastAsia="es-ES"/>
              </w:rPr>
              <w:t>-Anden frontal de 0.075 m de espesor x 1 m de ancho</w:t>
            </w:r>
          </w:p>
        </w:tc>
        <w:tc>
          <w:tcPr>
            <w:tcW w:w="1806" w:type="pct"/>
          </w:tcPr>
          <w:p w14:paraId="6E0D19FC" w14:textId="77777777" w:rsidR="001A4860" w:rsidRPr="001A4860" w:rsidRDefault="001A4860" w:rsidP="001A4860">
            <w:pPr>
              <w:ind w:right="15"/>
              <w:rPr>
                <w:sz w:val="22"/>
                <w:szCs w:val="22"/>
                <w:lang w:val="es-ES" w:eastAsia="es-ES"/>
              </w:rPr>
            </w:pPr>
            <w:r w:rsidRPr="001A4860">
              <w:rPr>
                <w:sz w:val="22"/>
                <w:szCs w:val="22"/>
                <w:lang w:val="es-ES" w:eastAsia="es-ES"/>
              </w:rPr>
              <w:t>Actividades requeridas indicadas en estas especificaciones</w:t>
            </w:r>
          </w:p>
          <w:p w14:paraId="07AABCF4" w14:textId="77777777" w:rsidR="001A4860" w:rsidRPr="001A4860" w:rsidRDefault="001A4860" w:rsidP="001A4860">
            <w:pPr>
              <w:ind w:right="15"/>
              <w:rPr>
                <w:sz w:val="22"/>
                <w:szCs w:val="22"/>
                <w:lang w:val="es-ES" w:eastAsia="es-ES"/>
              </w:rPr>
            </w:pPr>
          </w:p>
        </w:tc>
      </w:tr>
      <w:tr w:rsidR="001A4860" w:rsidRPr="001A4860" w14:paraId="2E9BE7C7" w14:textId="77777777" w:rsidTr="001A4860">
        <w:trPr>
          <w:jc w:val="center"/>
        </w:trPr>
        <w:tc>
          <w:tcPr>
            <w:tcW w:w="1165" w:type="pct"/>
          </w:tcPr>
          <w:p w14:paraId="24330631" w14:textId="77777777" w:rsidR="001A4860" w:rsidRPr="001A4860" w:rsidRDefault="001A4860" w:rsidP="001A4860">
            <w:pPr>
              <w:ind w:left="-113" w:right="15"/>
              <w:rPr>
                <w:sz w:val="22"/>
                <w:szCs w:val="22"/>
                <w:lang w:val="es-ES" w:eastAsia="es-ES"/>
              </w:rPr>
            </w:pPr>
            <w:r w:rsidRPr="001A4860">
              <w:rPr>
                <w:sz w:val="22"/>
                <w:szCs w:val="22"/>
                <w:lang w:val="es-ES" w:eastAsia="es-ES"/>
              </w:rPr>
              <w:t>Cercas perimetrales de protección y portones de acceso</w:t>
            </w:r>
          </w:p>
        </w:tc>
        <w:tc>
          <w:tcPr>
            <w:tcW w:w="2029" w:type="pct"/>
          </w:tcPr>
          <w:p w14:paraId="54813C1F" w14:textId="77777777" w:rsidR="001A4860" w:rsidRPr="001A4860" w:rsidRDefault="001A4860" w:rsidP="001A4860">
            <w:pPr>
              <w:rPr>
                <w:sz w:val="22"/>
                <w:szCs w:val="22"/>
                <w:lang w:val="es-ES" w:eastAsia="es-ES"/>
              </w:rPr>
            </w:pPr>
            <w:r w:rsidRPr="001A4860">
              <w:rPr>
                <w:sz w:val="22"/>
                <w:szCs w:val="22"/>
                <w:lang w:val="es-ES" w:eastAsia="es-ES"/>
              </w:rPr>
              <w:t>-Predio de la Obra de toma.</w:t>
            </w:r>
          </w:p>
          <w:p w14:paraId="7CEC658C" w14:textId="77777777" w:rsidR="001A4860" w:rsidRPr="001A4860" w:rsidRDefault="001A4860" w:rsidP="001A4860">
            <w:pPr>
              <w:rPr>
                <w:sz w:val="22"/>
                <w:szCs w:val="22"/>
                <w:lang w:val="es-ES" w:eastAsia="es-ES"/>
              </w:rPr>
            </w:pPr>
            <w:r w:rsidRPr="001A4860">
              <w:rPr>
                <w:sz w:val="22"/>
                <w:szCs w:val="22"/>
                <w:lang w:val="es-ES" w:eastAsia="es-ES"/>
              </w:rPr>
              <w:t>Perímetro del cerco: 79.16 m</w:t>
            </w:r>
          </w:p>
          <w:p w14:paraId="1400A878" w14:textId="77777777" w:rsidR="001A4860" w:rsidRPr="001A4860" w:rsidRDefault="001A4860" w:rsidP="001A4860">
            <w:pPr>
              <w:rPr>
                <w:sz w:val="22"/>
                <w:szCs w:val="22"/>
                <w:lang w:val="es-ES" w:eastAsia="es-ES"/>
              </w:rPr>
            </w:pPr>
            <w:r w:rsidRPr="001A4860">
              <w:rPr>
                <w:sz w:val="22"/>
                <w:szCs w:val="22"/>
                <w:lang w:val="es-ES" w:eastAsia="es-ES"/>
              </w:rPr>
              <w:t>Portón: 1 unidad</w:t>
            </w:r>
          </w:p>
          <w:p w14:paraId="784BB9C4" w14:textId="77777777" w:rsidR="001A4860" w:rsidRPr="001A4860" w:rsidRDefault="001A4860" w:rsidP="001A4860">
            <w:pPr>
              <w:rPr>
                <w:sz w:val="22"/>
                <w:szCs w:val="22"/>
                <w:lang w:val="es-ES" w:eastAsia="es-ES"/>
              </w:rPr>
            </w:pPr>
          </w:p>
          <w:p w14:paraId="0C227A8F" w14:textId="77777777" w:rsidR="001A4860" w:rsidRPr="001A4860" w:rsidRDefault="001A4860" w:rsidP="001A4860">
            <w:pPr>
              <w:rPr>
                <w:sz w:val="22"/>
                <w:szCs w:val="22"/>
                <w:lang w:val="es-ES" w:eastAsia="es-ES"/>
              </w:rPr>
            </w:pPr>
            <w:r w:rsidRPr="001A4860">
              <w:rPr>
                <w:sz w:val="22"/>
                <w:szCs w:val="22"/>
                <w:lang w:val="es-ES" w:eastAsia="es-ES"/>
              </w:rPr>
              <w:t>-Predio del Tanque.</w:t>
            </w:r>
          </w:p>
          <w:p w14:paraId="21C47839" w14:textId="77777777" w:rsidR="001A4860" w:rsidRPr="001A4860" w:rsidRDefault="001A4860" w:rsidP="001A4860">
            <w:pPr>
              <w:rPr>
                <w:sz w:val="22"/>
                <w:szCs w:val="22"/>
                <w:lang w:val="es-ES" w:eastAsia="es-ES"/>
              </w:rPr>
            </w:pPr>
            <w:r w:rsidRPr="001A4860">
              <w:rPr>
                <w:sz w:val="22"/>
                <w:szCs w:val="22"/>
                <w:lang w:val="es-ES" w:eastAsia="es-ES"/>
              </w:rPr>
              <w:t>Perímetro del cerco: 59.80 m</w:t>
            </w:r>
          </w:p>
          <w:p w14:paraId="0944E5FF" w14:textId="77777777" w:rsidR="001A4860" w:rsidRPr="001A4860" w:rsidRDefault="001A4860" w:rsidP="001A4860">
            <w:pPr>
              <w:rPr>
                <w:sz w:val="22"/>
                <w:szCs w:val="22"/>
                <w:lang w:val="es-ES" w:eastAsia="es-ES"/>
              </w:rPr>
            </w:pPr>
            <w:r w:rsidRPr="001A4860">
              <w:rPr>
                <w:sz w:val="22"/>
                <w:szCs w:val="22"/>
                <w:lang w:val="es-ES" w:eastAsia="es-ES"/>
              </w:rPr>
              <w:t>Portón: 1 unidad</w:t>
            </w:r>
          </w:p>
          <w:p w14:paraId="33381F76" w14:textId="77777777" w:rsidR="001A4860" w:rsidRPr="001A4860" w:rsidRDefault="001A4860" w:rsidP="001A4860">
            <w:pPr>
              <w:rPr>
                <w:sz w:val="22"/>
                <w:szCs w:val="22"/>
                <w:lang w:val="es-ES" w:eastAsia="es-ES"/>
              </w:rPr>
            </w:pPr>
          </w:p>
        </w:tc>
        <w:tc>
          <w:tcPr>
            <w:tcW w:w="1806" w:type="pct"/>
          </w:tcPr>
          <w:p w14:paraId="0B1BB1B6" w14:textId="77777777" w:rsidR="001A4860" w:rsidRPr="001A4860" w:rsidRDefault="001A4860" w:rsidP="001A4860">
            <w:pPr>
              <w:ind w:left="284" w:right="15" w:hanging="225"/>
              <w:rPr>
                <w:sz w:val="22"/>
                <w:szCs w:val="22"/>
                <w:lang w:val="es-ES" w:eastAsia="es-ES"/>
              </w:rPr>
            </w:pPr>
            <w:r w:rsidRPr="001A4860">
              <w:rPr>
                <w:sz w:val="22"/>
                <w:szCs w:val="22"/>
                <w:lang w:val="es-ES" w:eastAsia="es-ES"/>
              </w:rPr>
              <w:t>Actividades requeridas</w:t>
            </w:r>
          </w:p>
          <w:p w14:paraId="407D3D4D" w14:textId="77777777" w:rsidR="001A4860" w:rsidRPr="001A4860" w:rsidRDefault="001A4860" w:rsidP="001A4860">
            <w:pPr>
              <w:ind w:left="284" w:right="15" w:hanging="225"/>
              <w:rPr>
                <w:sz w:val="22"/>
                <w:szCs w:val="22"/>
                <w:lang w:val="es-ES" w:eastAsia="es-ES"/>
              </w:rPr>
            </w:pPr>
            <w:r w:rsidRPr="001A4860">
              <w:rPr>
                <w:sz w:val="22"/>
                <w:szCs w:val="22"/>
                <w:lang w:val="es-ES" w:eastAsia="es-ES"/>
              </w:rPr>
              <w:t>- Construir cerco (a) de postes de concreto pretensada altura 2.55 m @2.50m con 9 hiladas de alambre de púas cal.#13½ (incl. bases de concreto de 2500 psi y exc.)</w:t>
            </w:r>
          </w:p>
          <w:p w14:paraId="1FA596EE" w14:textId="77777777" w:rsidR="001A4860" w:rsidRPr="001A4860" w:rsidRDefault="001A4860" w:rsidP="001A4860">
            <w:pPr>
              <w:ind w:left="284" w:right="15" w:hanging="225"/>
              <w:rPr>
                <w:sz w:val="22"/>
                <w:szCs w:val="22"/>
                <w:lang w:val="es-ES" w:eastAsia="es-ES"/>
              </w:rPr>
            </w:pPr>
            <w:r w:rsidRPr="001A4860">
              <w:rPr>
                <w:sz w:val="22"/>
                <w:szCs w:val="22"/>
                <w:lang w:val="es-ES" w:eastAsia="es-ES"/>
              </w:rPr>
              <w:t xml:space="preserve">- Construir portón de postes de madera de pino </w:t>
            </w:r>
            <w:r w:rsidRPr="001A4860">
              <w:rPr>
                <w:sz w:val="22"/>
                <w:szCs w:val="22"/>
                <w:lang w:val="es-ES" w:eastAsia="es-ES"/>
              </w:rPr>
              <w:lastRenderedPageBreak/>
              <w:t>diám.=0.25m(10")alt.=2.00m y postes de madera pino diám.=0.125m(5") con forro de alambre de púas l=4.25m,alt.=1.40m</w:t>
            </w:r>
          </w:p>
        </w:tc>
      </w:tr>
      <w:tr w:rsidR="001A4860" w:rsidRPr="001A4860" w14:paraId="555F2159" w14:textId="77777777" w:rsidTr="001A4860">
        <w:trPr>
          <w:jc w:val="center"/>
        </w:trPr>
        <w:tc>
          <w:tcPr>
            <w:tcW w:w="1165" w:type="pct"/>
            <w:shd w:val="clear" w:color="auto" w:fill="auto"/>
          </w:tcPr>
          <w:p w14:paraId="2E17836D" w14:textId="77777777" w:rsidR="001A4860" w:rsidRPr="001A4860" w:rsidRDefault="001A4860" w:rsidP="001A4860">
            <w:pPr>
              <w:ind w:right="15"/>
              <w:rPr>
                <w:sz w:val="22"/>
                <w:szCs w:val="22"/>
                <w:lang w:val="es-ES" w:eastAsia="es-ES"/>
              </w:rPr>
            </w:pPr>
            <w:r w:rsidRPr="001A4860">
              <w:rPr>
                <w:sz w:val="22"/>
                <w:szCs w:val="22"/>
                <w:lang w:val="es-ES" w:eastAsia="es-ES"/>
              </w:rPr>
              <w:lastRenderedPageBreak/>
              <w:t>Energía Eléctrica.</w:t>
            </w:r>
          </w:p>
          <w:p w14:paraId="5719C709" w14:textId="77777777" w:rsidR="001A4860" w:rsidRPr="001A4860" w:rsidRDefault="001A4860" w:rsidP="001A4860">
            <w:pPr>
              <w:ind w:right="15"/>
              <w:rPr>
                <w:sz w:val="22"/>
                <w:szCs w:val="22"/>
                <w:lang w:val="es-ES" w:eastAsia="es-ES"/>
              </w:rPr>
            </w:pPr>
            <w:r w:rsidRPr="001A4860">
              <w:rPr>
                <w:sz w:val="22"/>
                <w:szCs w:val="22"/>
                <w:lang w:val="es-ES" w:eastAsia="es-ES"/>
              </w:rPr>
              <w:t>Sistema de suministro de energía eléctrica de media y baja tensión</w:t>
            </w:r>
          </w:p>
        </w:tc>
        <w:tc>
          <w:tcPr>
            <w:tcW w:w="2029" w:type="pct"/>
            <w:shd w:val="clear" w:color="auto" w:fill="auto"/>
          </w:tcPr>
          <w:p w14:paraId="12F58754" w14:textId="77777777" w:rsidR="001A4860" w:rsidRPr="001A4860" w:rsidRDefault="001A4860" w:rsidP="001A4860">
            <w:pPr>
              <w:rPr>
                <w:sz w:val="22"/>
                <w:szCs w:val="22"/>
                <w:lang w:val="es-ES" w:eastAsia="es-ES"/>
              </w:rPr>
            </w:pPr>
            <w:r w:rsidRPr="001A4860">
              <w:rPr>
                <w:sz w:val="22"/>
                <w:szCs w:val="22"/>
                <w:lang w:val="es-ES" w:eastAsia="es-ES"/>
              </w:rPr>
              <w:t>Red Primaria; 0.9 km</w:t>
            </w:r>
          </w:p>
          <w:p w14:paraId="705559EF" w14:textId="77777777" w:rsidR="001A4860" w:rsidRPr="001A4860" w:rsidRDefault="001A4860" w:rsidP="001A4860">
            <w:pPr>
              <w:rPr>
                <w:sz w:val="22"/>
                <w:szCs w:val="22"/>
                <w:lang w:val="es-ES" w:eastAsia="es-ES"/>
              </w:rPr>
            </w:pPr>
            <w:r w:rsidRPr="001A4860">
              <w:rPr>
                <w:sz w:val="22"/>
                <w:szCs w:val="22"/>
                <w:lang w:val="es-ES" w:eastAsia="es-ES"/>
              </w:rPr>
              <w:t xml:space="preserve">Calibre: # 1/0- # 1/0 ACSR desnudo </w:t>
            </w:r>
          </w:p>
          <w:p w14:paraId="15681D6A" w14:textId="77777777" w:rsidR="001A4860" w:rsidRPr="001A4860" w:rsidRDefault="001A4860" w:rsidP="001A4860">
            <w:pPr>
              <w:rPr>
                <w:sz w:val="22"/>
                <w:szCs w:val="22"/>
                <w:lang w:val="es-ES" w:eastAsia="es-ES"/>
              </w:rPr>
            </w:pPr>
          </w:p>
          <w:p w14:paraId="563D1B16" w14:textId="77777777" w:rsidR="001A4860" w:rsidRPr="001A4860" w:rsidRDefault="001A4860" w:rsidP="001A4860">
            <w:pPr>
              <w:rPr>
                <w:sz w:val="22"/>
                <w:szCs w:val="22"/>
                <w:lang w:val="es-ES" w:eastAsia="es-ES"/>
              </w:rPr>
            </w:pPr>
            <w:r w:rsidRPr="001A4860">
              <w:rPr>
                <w:sz w:val="22"/>
                <w:szCs w:val="22"/>
                <w:lang w:val="es-ES" w:eastAsia="es-ES"/>
              </w:rPr>
              <w:t>Red Secundaria: 0.04 km</w:t>
            </w:r>
          </w:p>
          <w:p w14:paraId="014501F3" w14:textId="77777777" w:rsidR="001A4860" w:rsidRPr="001A4860" w:rsidRDefault="001A4860" w:rsidP="001A4860">
            <w:pPr>
              <w:rPr>
                <w:sz w:val="22"/>
                <w:szCs w:val="22"/>
                <w:lang w:val="es-ES" w:eastAsia="es-ES"/>
              </w:rPr>
            </w:pPr>
            <w:r w:rsidRPr="001A4860">
              <w:rPr>
                <w:sz w:val="22"/>
                <w:szCs w:val="22"/>
                <w:lang w:val="es-ES" w:eastAsia="es-ES"/>
              </w:rPr>
              <w:t xml:space="preserve">Calibre: Cuadruplex # 2 ACSR </w:t>
            </w:r>
          </w:p>
          <w:p w14:paraId="4F686A6B" w14:textId="77777777" w:rsidR="001A4860" w:rsidRPr="001A4860" w:rsidRDefault="001A4860" w:rsidP="001A4860">
            <w:pPr>
              <w:rPr>
                <w:sz w:val="22"/>
                <w:szCs w:val="22"/>
                <w:lang w:val="es-ES" w:eastAsia="es-ES"/>
              </w:rPr>
            </w:pPr>
            <w:r w:rsidRPr="001A4860">
              <w:rPr>
                <w:sz w:val="22"/>
                <w:szCs w:val="22"/>
                <w:lang w:val="es-ES" w:eastAsia="es-ES"/>
              </w:rPr>
              <w:t>Carga máxima del Proyecto:</w:t>
            </w:r>
          </w:p>
          <w:p w14:paraId="73C76BFA" w14:textId="77777777" w:rsidR="001A4860" w:rsidRPr="001A4860" w:rsidRDefault="001A4860" w:rsidP="001A4860">
            <w:pPr>
              <w:rPr>
                <w:sz w:val="22"/>
                <w:szCs w:val="22"/>
                <w:lang w:val="es-ES" w:eastAsia="es-ES"/>
              </w:rPr>
            </w:pPr>
            <w:r w:rsidRPr="001A4860">
              <w:rPr>
                <w:sz w:val="22"/>
                <w:szCs w:val="22"/>
                <w:lang w:val="es-ES" w:eastAsia="es-ES"/>
              </w:rPr>
              <w:t>Carga Monofásica 0.68 KW</w:t>
            </w:r>
          </w:p>
          <w:p w14:paraId="44864AB5" w14:textId="77777777" w:rsidR="001A4860" w:rsidRPr="001A4860" w:rsidRDefault="001A4860" w:rsidP="001A4860">
            <w:pPr>
              <w:rPr>
                <w:sz w:val="22"/>
                <w:szCs w:val="22"/>
                <w:lang w:val="es-ES" w:eastAsia="es-ES"/>
              </w:rPr>
            </w:pPr>
            <w:r w:rsidRPr="001A4860">
              <w:rPr>
                <w:sz w:val="22"/>
                <w:szCs w:val="22"/>
                <w:lang w:val="es-ES" w:eastAsia="es-ES"/>
              </w:rPr>
              <w:t>Carga Trifásica 14.91 KW</w:t>
            </w:r>
          </w:p>
          <w:p w14:paraId="6EECE961" w14:textId="77777777" w:rsidR="001A4860" w:rsidRPr="001A4860" w:rsidRDefault="001A4860" w:rsidP="001A4860">
            <w:pPr>
              <w:rPr>
                <w:sz w:val="22"/>
                <w:szCs w:val="22"/>
                <w:lang w:val="es-ES" w:eastAsia="es-ES"/>
              </w:rPr>
            </w:pPr>
            <w:r w:rsidRPr="001A4860">
              <w:rPr>
                <w:sz w:val="22"/>
                <w:szCs w:val="22"/>
                <w:lang w:val="es-ES" w:eastAsia="es-ES"/>
              </w:rPr>
              <w:t>Transformador: Trifásico 3 x10 KVA.</w:t>
            </w:r>
          </w:p>
          <w:p w14:paraId="11C21019" w14:textId="77777777" w:rsidR="001A4860" w:rsidRPr="001A4860" w:rsidRDefault="001A4860" w:rsidP="001A4860">
            <w:pPr>
              <w:rPr>
                <w:sz w:val="22"/>
                <w:szCs w:val="22"/>
                <w:lang w:val="es-ES" w:eastAsia="es-ES"/>
              </w:rPr>
            </w:pPr>
          </w:p>
          <w:p w14:paraId="5CF04B3F" w14:textId="77777777" w:rsidR="001A4860" w:rsidRPr="001A4860" w:rsidRDefault="001A4860" w:rsidP="001A4860">
            <w:pPr>
              <w:rPr>
                <w:sz w:val="22"/>
                <w:szCs w:val="22"/>
                <w:lang w:val="es-ES" w:eastAsia="es-ES"/>
              </w:rPr>
            </w:pPr>
            <w:r w:rsidRPr="001A4860">
              <w:rPr>
                <w:sz w:val="22"/>
                <w:szCs w:val="22"/>
                <w:lang w:val="es-ES" w:eastAsia="es-ES"/>
              </w:rPr>
              <w:t>1 Poste de concreto de 30 pies</w:t>
            </w:r>
          </w:p>
          <w:p w14:paraId="0983AA9F" w14:textId="77777777" w:rsidR="001A4860" w:rsidRPr="001A4860" w:rsidRDefault="001A4860" w:rsidP="001A4860">
            <w:pPr>
              <w:rPr>
                <w:sz w:val="22"/>
                <w:szCs w:val="22"/>
                <w:lang w:val="es-ES" w:eastAsia="es-ES"/>
              </w:rPr>
            </w:pPr>
            <w:r w:rsidRPr="001A4860">
              <w:rPr>
                <w:sz w:val="22"/>
                <w:szCs w:val="22"/>
                <w:lang w:val="es-ES" w:eastAsia="es-ES"/>
              </w:rPr>
              <w:t>2 Poste de concreto de 40 pies</w:t>
            </w:r>
          </w:p>
          <w:p w14:paraId="1B355D78" w14:textId="77777777" w:rsidR="001A4860" w:rsidRPr="001A4860" w:rsidRDefault="001A4860" w:rsidP="001A4860">
            <w:pPr>
              <w:rPr>
                <w:sz w:val="22"/>
                <w:szCs w:val="22"/>
                <w:lang w:val="es-ES" w:eastAsia="es-ES"/>
              </w:rPr>
            </w:pPr>
            <w:r w:rsidRPr="001A4860">
              <w:rPr>
                <w:sz w:val="22"/>
                <w:szCs w:val="22"/>
                <w:lang w:val="es-ES" w:eastAsia="es-ES"/>
              </w:rPr>
              <w:t>1 Banco de Transformador es de 3x10 kva trifásico.</w:t>
            </w:r>
          </w:p>
          <w:p w14:paraId="694F97E9" w14:textId="77777777" w:rsidR="001A4860" w:rsidRPr="001A4860" w:rsidRDefault="001A4860" w:rsidP="001A4860">
            <w:pPr>
              <w:rPr>
                <w:sz w:val="22"/>
                <w:szCs w:val="22"/>
                <w:lang w:val="es-ES" w:eastAsia="es-ES"/>
              </w:rPr>
            </w:pPr>
            <w:r w:rsidRPr="001A4860">
              <w:rPr>
                <w:sz w:val="22"/>
                <w:szCs w:val="22"/>
                <w:lang w:val="es-ES" w:eastAsia="es-ES"/>
              </w:rPr>
              <w:t>3 Bombillo Fluorescente de 32 watts.</w:t>
            </w:r>
          </w:p>
          <w:p w14:paraId="2D83C540" w14:textId="77777777" w:rsidR="001A4860" w:rsidRPr="001A4860" w:rsidRDefault="001A4860" w:rsidP="001A4860">
            <w:pPr>
              <w:rPr>
                <w:sz w:val="22"/>
                <w:szCs w:val="22"/>
                <w:lang w:val="es-ES" w:eastAsia="es-ES"/>
              </w:rPr>
            </w:pPr>
            <w:r w:rsidRPr="001A4860">
              <w:rPr>
                <w:sz w:val="22"/>
                <w:szCs w:val="22"/>
                <w:lang w:val="es-ES" w:eastAsia="es-ES"/>
              </w:rPr>
              <w:t>2 Lámparas de Flúor 1X20 W (0.52 Amps)</w:t>
            </w:r>
          </w:p>
          <w:p w14:paraId="3332E88A" w14:textId="77777777" w:rsidR="001A4860" w:rsidRPr="001A4860" w:rsidRDefault="001A4860" w:rsidP="001A4860">
            <w:pPr>
              <w:rPr>
                <w:sz w:val="22"/>
                <w:szCs w:val="22"/>
                <w:lang w:val="es-ES" w:eastAsia="es-ES"/>
              </w:rPr>
            </w:pPr>
            <w:r w:rsidRPr="001A4860">
              <w:rPr>
                <w:sz w:val="22"/>
                <w:szCs w:val="22"/>
                <w:lang w:val="es-ES" w:eastAsia="es-ES"/>
              </w:rPr>
              <w:t>1 Panel Trifásico 240/480 V. de 12 espacios Barra de 125 Amperios con main breaker de 2x60 amp</w:t>
            </w:r>
          </w:p>
          <w:p w14:paraId="430FCA21" w14:textId="77777777" w:rsidR="001A4860" w:rsidRPr="001A4860" w:rsidRDefault="001A4860" w:rsidP="001A4860">
            <w:pPr>
              <w:rPr>
                <w:sz w:val="22"/>
                <w:szCs w:val="22"/>
                <w:lang w:val="es-ES" w:eastAsia="es-ES"/>
              </w:rPr>
            </w:pPr>
            <w:r w:rsidRPr="001A4860">
              <w:rPr>
                <w:sz w:val="22"/>
                <w:szCs w:val="22"/>
                <w:lang w:val="es-ES" w:eastAsia="es-ES"/>
              </w:rPr>
              <w:t>1 panel (o tablero) monofásico 12 espacios, 120/208 voltios, barra de 125 amperios con main breaker de 2x60 amp.</w:t>
            </w:r>
          </w:p>
        </w:tc>
        <w:tc>
          <w:tcPr>
            <w:tcW w:w="1806" w:type="pct"/>
            <w:shd w:val="clear" w:color="auto" w:fill="auto"/>
          </w:tcPr>
          <w:p w14:paraId="4FCA1F37" w14:textId="77777777" w:rsidR="001A4860" w:rsidRPr="001A4860" w:rsidRDefault="001A4860" w:rsidP="001A4860">
            <w:pPr>
              <w:ind w:left="225" w:right="15" w:hanging="225"/>
              <w:jc w:val="left"/>
              <w:rPr>
                <w:sz w:val="22"/>
                <w:szCs w:val="22"/>
                <w:lang w:val="es-ES" w:eastAsia="es-ES"/>
              </w:rPr>
            </w:pPr>
            <w:r w:rsidRPr="001A4860">
              <w:rPr>
                <w:sz w:val="22"/>
                <w:szCs w:val="22"/>
                <w:lang w:val="es-ES" w:eastAsia="es-ES"/>
              </w:rPr>
              <w:t>Actividades requeridas</w:t>
            </w:r>
          </w:p>
          <w:p w14:paraId="181C68E9" w14:textId="77777777" w:rsidR="001A4860" w:rsidRPr="001A4860" w:rsidRDefault="001A4860" w:rsidP="001A4860">
            <w:pPr>
              <w:jc w:val="left"/>
              <w:rPr>
                <w:sz w:val="22"/>
                <w:szCs w:val="22"/>
                <w:lang w:val="es-ES" w:eastAsia="es-ES"/>
              </w:rPr>
            </w:pPr>
            <w:r w:rsidRPr="001A4860">
              <w:rPr>
                <w:sz w:val="22"/>
                <w:szCs w:val="22"/>
                <w:lang w:val="es-ES" w:eastAsia="es-ES"/>
              </w:rPr>
              <w:t>Instalar transformador de distribución trifásico 3 x10 KVA</w:t>
            </w:r>
          </w:p>
          <w:p w14:paraId="14F163A7" w14:textId="77777777" w:rsidR="001A4860" w:rsidRPr="001A4860" w:rsidRDefault="001A4860" w:rsidP="001A4860">
            <w:pPr>
              <w:jc w:val="left"/>
              <w:rPr>
                <w:sz w:val="22"/>
                <w:szCs w:val="22"/>
                <w:lang w:val="es-ES" w:eastAsia="es-ES"/>
              </w:rPr>
            </w:pPr>
            <w:r w:rsidRPr="001A4860">
              <w:rPr>
                <w:sz w:val="22"/>
                <w:szCs w:val="22"/>
                <w:lang w:val="es-ES" w:eastAsia="es-ES"/>
              </w:rPr>
              <w:t>Medidor de consumo de energía</w:t>
            </w:r>
          </w:p>
          <w:p w14:paraId="0B88A934" w14:textId="77777777" w:rsidR="001A4860" w:rsidRPr="001A4860" w:rsidRDefault="001A4860" w:rsidP="001A4860">
            <w:pPr>
              <w:jc w:val="left"/>
              <w:rPr>
                <w:sz w:val="22"/>
                <w:szCs w:val="22"/>
                <w:lang w:val="es-ES" w:eastAsia="es-ES"/>
              </w:rPr>
            </w:pPr>
            <w:r w:rsidRPr="001A4860">
              <w:rPr>
                <w:sz w:val="22"/>
                <w:szCs w:val="22"/>
                <w:lang w:val="es-ES" w:eastAsia="es-ES"/>
              </w:rPr>
              <w:t>Acometida de alimentación al panel centro de cargas eléctricas</w:t>
            </w:r>
          </w:p>
          <w:p w14:paraId="14CFF7D3" w14:textId="77777777" w:rsidR="001A4860" w:rsidRPr="001A4860" w:rsidRDefault="001A4860" w:rsidP="001A4860">
            <w:pPr>
              <w:jc w:val="left"/>
              <w:rPr>
                <w:sz w:val="22"/>
                <w:szCs w:val="22"/>
                <w:lang w:val="es-ES" w:eastAsia="es-ES"/>
              </w:rPr>
            </w:pPr>
            <w:r w:rsidRPr="001A4860">
              <w:rPr>
                <w:sz w:val="22"/>
                <w:szCs w:val="22"/>
                <w:lang w:val="es-ES" w:eastAsia="es-ES"/>
              </w:rPr>
              <w:t>Poste de concreto de 9 m y luminaria de sodio de 150 w</w:t>
            </w:r>
          </w:p>
          <w:p w14:paraId="09631B85" w14:textId="77777777" w:rsidR="001A4860" w:rsidRPr="001A4860" w:rsidRDefault="001A4860" w:rsidP="001A4860">
            <w:pPr>
              <w:jc w:val="left"/>
              <w:rPr>
                <w:sz w:val="22"/>
                <w:szCs w:val="22"/>
                <w:lang w:val="es-ES" w:eastAsia="es-ES"/>
              </w:rPr>
            </w:pPr>
            <w:r w:rsidRPr="001A4860">
              <w:rPr>
                <w:sz w:val="22"/>
                <w:szCs w:val="22"/>
                <w:lang w:val="es-ES" w:eastAsia="es-ES"/>
              </w:rPr>
              <w:t>Conexión de entrada acometida y mufa al panel</w:t>
            </w:r>
          </w:p>
          <w:p w14:paraId="3A2363D5" w14:textId="77777777" w:rsidR="001A4860" w:rsidRPr="001A4860" w:rsidRDefault="001A4860" w:rsidP="001A4860">
            <w:pPr>
              <w:jc w:val="left"/>
              <w:rPr>
                <w:sz w:val="22"/>
                <w:szCs w:val="22"/>
                <w:lang w:val="es-ES" w:eastAsia="es-ES"/>
              </w:rPr>
            </w:pPr>
            <w:r w:rsidRPr="001A4860">
              <w:rPr>
                <w:sz w:val="22"/>
                <w:szCs w:val="22"/>
                <w:lang w:val="es-ES" w:eastAsia="es-ES"/>
              </w:rPr>
              <w:t>Panel centro de carga, protecciones (breakers termo-magnéticos), polarización de tierra.</w:t>
            </w:r>
          </w:p>
          <w:p w14:paraId="7AB9A3CA" w14:textId="77777777" w:rsidR="001A4860" w:rsidRPr="001A4860" w:rsidRDefault="001A4860" w:rsidP="001A4860">
            <w:pPr>
              <w:jc w:val="left"/>
              <w:rPr>
                <w:sz w:val="22"/>
                <w:szCs w:val="22"/>
                <w:lang w:val="es-ES" w:eastAsia="es-ES"/>
              </w:rPr>
            </w:pPr>
            <w:r w:rsidRPr="001A4860">
              <w:rPr>
                <w:sz w:val="22"/>
                <w:szCs w:val="22"/>
                <w:lang w:val="es-ES" w:eastAsia="es-ES"/>
              </w:rPr>
              <w:t>Circuitos de iluminación interna y tomacorrientes</w:t>
            </w:r>
          </w:p>
          <w:p w14:paraId="3ECD6C2D" w14:textId="77777777" w:rsidR="001A4860" w:rsidRPr="001A4860" w:rsidRDefault="001A4860" w:rsidP="001A4860">
            <w:pPr>
              <w:ind w:right="15"/>
              <w:jc w:val="left"/>
              <w:rPr>
                <w:sz w:val="22"/>
                <w:szCs w:val="22"/>
                <w:lang w:val="es-ES" w:eastAsia="es-ES"/>
              </w:rPr>
            </w:pPr>
            <w:r w:rsidRPr="001A4860">
              <w:rPr>
                <w:sz w:val="22"/>
                <w:szCs w:val="22"/>
                <w:lang w:val="es-ES" w:eastAsia="es-ES"/>
              </w:rPr>
              <w:t>Panel de control de arranque de la Bombay caja de capacitores de arranque.</w:t>
            </w:r>
          </w:p>
          <w:p w14:paraId="69BBD47C" w14:textId="77777777" w:rsidR="001A4860" w:rsidRPr="001A4860" w:rsidRDefault="001A4860" w:rsidP="001A4860">
            <w:pPr>
              <w:ind w:right="15"/>
              <w:jc w:val="left"/>
              <w:rPr>
                <w:sz w:val="22"/>
                <w:szCs w:val="22"/>
                <w:lang w:val="es-ES" w:eastAsia="es-ES"/>
              </w:rPr>
            </w:pPr>
            <w:r w:rsidRPr="001A4860">
              <w:rPr>
                <w:sz w:val="22"/>
                <w:szCs w:val="22"/>
                <w:lang w:val="es-ES" w:eastAsia="es-ES"/>
              </w:rPr>
              <w:t>Instalaciones eléctricas con todas sus protecciones.</w:t>
            </w:r>
          </w:p>
          <w:p w14:paraId="65D38697" w14:textId="77777777" w:rsidR="001A4860" w:rsidRPr="001A4860" w:rsidRDefault="001A4860" w:rsidP="001A4860">
            <w:pPr>
              <w:ind w:right="15"/>
              <w:jc w:val="left"/>
              <w:rPr>
                <w:sz w:val="22"/>
                <w:szCs w:val="22"/>
                <w:lang w:val="es-ES" w:eastAsia="es-ES"/>
              </w:rPr>
            </w:pPr>
            <w:r w:rsidRPr="001A4860">
              <w:rPr>
                <w:sz w:val="22"/>
                <w:szCs w:val="22"/>
                <w:lang w:val="es-ES" w:eastAsia="es-ES"/>
              </w:rPr>
              <w:t>Balance de cargas</w:t>
            </w:r>
          </w:p>
          <w:p w14:paraId="7EDF3E1F" w14:textId="77777777" w:rsidR="001A4860" w:rsidRPr="001A4860" w:rsidRDefault="001A4860" w:rsidP="001A4860">
            <w:pPr>
              <w:ind w:right="15"/>
              <w:jc w:val="left"/>
              <w:rPr>
                <w:sz w:val="22"/>
                <w:szCs w:val="22"/>
                <w:lang w:val="es-ES" w:eastAsia="es-ES"/>
              </w:rPr>
            </w:pPr>
            <w:r w:rsidRPr="001A4860">
              <w:rPr>
                <w:sz w:val="22"/>
                <w:szCs w:val="22"/>
                <w:lang w:val="es-ES" w:eastAsia="es-ES"/>
              </w:rPr>
              <w:t>Pruebas de funcionamiento</w:t>
            </w:r>
          </w:p>
        </w:tc>
      </w:tr>
      <w:tr w:rsidR="001A4860" w:rsidRPr="001A4860" w14:paraId="700B7112" w14:textId="77777777" w:rsidTr="001A4860">
        <w:trPr>
          <w:jc w:val="center"/>
        </w:trPr>
        <w:tc>
          <w:tcPr>
            <w:tcW w:w="1165" w:type="pct"/>
          </w:tcPr>
          <w:p w14:paraId="3D8F375D" w14:textId="77777777" w:rsidR="001A4860" w:rsidRPr="001A4860" w:rsidRDefault="001A4860" w:rsidP="001A4860">
            <w:pPr>
              <w:rPr>
                <w:sz w:val="22"/>
                <w:szCs w:val="22"/>
                <w:lang w:val="es-ES" w:eastAsia="es-ES"/>
              </w:rPr>
            </w:pPr>
            <w:r w:rsidRPr="001A4860">
              <w:rPr>
                <w:sz w:val="22"/>
                <w:szCs w:val="22"/>
                <w:lang w:val="es-ES" w:eastAsia="es-ES"/>
              </w:rPr>
              <w:t xml:space="preserve">Tubería para conducción por bombeo </w:t>
            </w:r>
          </w:p>
        </w:tc>
        <w:tc>
          <w:tcPr>
            <w:tcW w:w="2029" w:type="pct"/>
          </w:tcPr>
          <w:p w14:paraId="3A4BB112" w14:textId="77777777" w:rsidR="001A4860" w:rsidRPr="001A4860" w:rsidRDefault="001A4860" w:rsidP="001A4860">
            <w:pPr>
              <w:rPr>
                <w:sz w:val="22"/>
                <w:szCs w:val="22"/>
                <w:lang w:val="en-US" w:eastAsia="es-ES"/>
              </w:rPr>
            </w:pPr>
            <w:r w:rsidRPr="001A4860">
              <w:rPr>
                <w:sz w:val="22"/>
                <w:szCs w:val="22"/>
                <w:lang w:val="en-US" w:eastAsia="es-ES"/>
              </w:rPr>
              <w:t>CMD: 2.18 l/s (34.51 gpm)</w:t>
            </w:r>
          </w:p>
          <w:p w14:paraId="04D4C18E" w14:textId="77777777" w:rsidR="001A4860" w:rsidRPr="001A4860" w:rsidRDefault="001A4860" w:rsidP="001A4860">
            <w:pPr>
              <w:rPr>
                <w:sz w:val="22"/>
                <w:szCs w:val="22"/>
                <w:lang w:val="en-US" w:eastAsia="es-ES"/>
              </w:rPr>
            </w:pPr>
            <w:r w:rsidRPr="001A4860">
              <w:rPr>
                <w:sz w:val="22"/>
                <w:szCs w:val="22"/>
                <w:lang w:val="en-US" w:eastAsia="es-ES"/>
              </w:rPr>
              <w:t xml:space="preserve">Longitud total: 5,008 m. </w:t>
            </w:r>
          </w:p>
          <w:p w14:paraId="71121908" w14:textId="77777777" w:rsidR="001A4860" w:rsidRPr="001A4860" w:rsidRDefault="001A4860" w:rsidP="001A4860">
            <w:pPr>
              <w:rPr>
                <w:sz w:val="22"/>
                <w:szCs w:val="22"/>
                <w:lang w:val="es-ES" w:eastAsia="es-ES"/>
              </w:rPr>
            </w:pPr>
            <w:r w:rsidRPr="001A4860">
              <w:rPr>
                <w:sz w:val="22"/>
                <w:szCs w:val="22"/>
                <w:lang w:val="es-ES" w:eastAsia="es-ES"/>
              </w:rPr>
              <w:t>Tubería HFD: 1,417.00 m, diám. nominal: 75 mm (3”)</w:t>
            </w:r>
          </w:p>
          <w:p w14:paraId="5E574DCD" w14:textId="77777777" w:rsidR="001A4860" w:rsidRPr="001A4860" w:rsidRDefault="001A4860" w:rsidP="001A4860">
            <w:pPr>
              <w:rPr>
                <w:sz w:val="22"/>
                <w:szCs w:val="22"/>
                <w:lang w:val="es-ES" w:eastAsia="es-ES"/>
              </w:rPr>
            </w:pPr>
            <w:r w:rsidRPr="001A4860">
              <w:rPr>
                <w:sz w:val="22"/>
                <w:szCs w:val="22"/>
                <w:lang w:val="es-ES" w:eastAsia="es-ES"/>
              </w:rPr>
              <w:t>Tubería HG: 3,591 m, diám. nominal: 75 mm (3”)</w:t>
            </w:r>
          </w:p>
          <w:p w14:paraId="5650A217" w14:textId="77777777" w:rsidR="001A4860" w:rsidRPr="001A4860" w:rsidRDefault="001A4860" w:rsidP="001A4860">
            <w:pPr>
              <w:rPr>
                <w:sz w:val="22"/>
                <w:szCs w:val="22"/>
                <w:lang w:val="es-ES" w:eastAsia="es-ES"/>
              </w:rPr>
            </w:pPr>
            <w:r w:rsidRPr="001A4860">
              <w:rPr>
                <w:sz w:val="22"/>
                <w:szCs w:val="22"/>
                <w:lang w:val="es-ES" w:eastAsia="es-ES"/>
              </w:rPr>
              <w:t>Válvulas de aire vacío de HF: 11 unidades</w:t>
            </w:r>
          </w:p>
          <w:p w14:paraId="6E67266B" w14:textId="77777777" w:rsidR="001A4860" w:rsidRPr="001A4860" w:rsidRDefault="001A4860" w:rsidP="001A4860">
            <w:pPr>
              <w:rPr>
                <w:sz w:val="22"/>
                <w:szCs w:val="22"/>
                <w:lang w:val="es-ES" w:eastAsia="es-ES"/>
              </w:rPr>
            </w:pPr>
            <w:r w:rsidRPr="001A4860">
              <w:rPr>
                <w:sz w:val="22"/>
                <w:szCs w:val="22"/>
                <w:lang w:val="es-ES" w:eastAsia="es-ES"/>
              </w:rPr>
              <w:t>Válvulas check de HF, diám. nominal 75 mm (3"): 2 unidades</w:t>
            </w:r>
          </w:p>
          <w:p w14:paraId="0639BD74" w14:textId="77777777" w:rsidR="001A4860" w:rsidRPr="001A4860" w:rsidRDefault="001A4860" w:rsidP="001A4860">
            <w:pPr>
              <w:rPr>
                <w:sz w:val="22"/>
                <w:szCs w:val="22"/>
                <w:lang w:val="es-ES" w:eastAsia="es-ES"/>
              </w:rPr>
            </w:pPr>
          </w:p>
        </w:tc>
        <w:tc>
          <w:tcPr>
            <w:tcW w:w="1806" w:type="pct"/>
          </w:tcPr>
          <w:p w14:paraId="7025B1E0" w14:textId="77777777" w:rsidR="001A4860" w:rsidRPr="001A4860" w:rsidRDefault="001A4860" w:rsidP="001A4860">
            <w:pPr>
              <w:rPr>
                <w:sz w:val="22"/>
                <w:szCs w:val="22"/>
                <w:lang w:val="es-ES" w:eastAsia="es-ES"/>
              </w:rPr>
            </w:pPr>
            <w:r w:rsidRPr="001A4860">
              <w:rPr>
                <w:sz w:val="22"/>
                <w:szCs w:val="22"/>
                <w:lang w:val="es-ES" w:eastAsia="es-ES"/>
              </w:rPr>
              <w:t>Actividades requeridas:</w:t>
            </w:r>
          </w:p>
          <w:p w14:paraId="7125DB0E" w14:textId="77777777" w:rsidR="001A4860" w:rsidRPr="001A4860" w:rsidRDefault="001A4860" w:rsidP="001A4860">
            <w:pPr>
              <w:rPr>
                <w:sz w:val="22"/>
                <w:szCs w:val="22"/>
                <w:lang w:val="es-ES" w:eastAsia="es-ES"/>
              </w:rPr>
            </w:pPr>
            <w:r w:rsidRPr="001A4860">
              <w:rPr>
                <w:sz w:val="22"/>
                <w:szCs w:val="22"/>
                <w:lang w:val="es-ES" w:eastAsia="es-ES"/>
              </w:rPr>
              <w:t xml:space="preserve">Instalar tubería de conducción. con sus respectivos accesorios para, acoples, adaptadores, transición de diámetros, cambios de dirección, incluye materiales de construcción y agregados para bloques de reacción y anclajes, según la pertinencia del caso. </w:t>
            </w:r>
          </w:p>
          <w:p w14:paraId="54518B84" w14:textId="77777777" w:rsidR="001A4860" w:rsidRPr="001A4860" w:rsidRDefault="001A4860" w:rsidP="001A4860">
            <w:pPr>
              <w:rPr>
                <w:sz w:val="22"/>
                <w:szCs w:val="22"/>
                <w:lang w:val="es-ES" w:eastAsia="es-ES"/>
              </w:rPr>
            </w:pPr>
            <w:r w:rsidRPr="001A4860">
              <w:rPr>
                <w:sz w:val="22"/>
                <w:szCs w:val="22"/>
                <w:lang w:val="es-ES" w:eastAsia="es-ES"/>
              </w:rPr>
              <w:t>Construir 5 cajas rompe presión con sus válvulas, accesorios y elementos de protección.</w:t>
            </w:r>
          </w:p>
          <w:p w14:paraId="5762224A" w14:textId="77777777" w:rsidR="001A4860" w:rsidRPr="001A4860" w:rsidRDefault="001A4860" w:rsidP="001A4860">
            <w:pPr>
              <w:rPr>
                <w:sz w:val="22"/>
                <w:szCs w:val="22"/>
                <w:lang w:val="es-ES" w:eastAsia="es-ES"/>
              </w:rPr>
            </w:pPr>
            <w:r w:rsidRPr="001A4860">
              <w:rPr>
                <w:sz w:val="22"/>
                <w:szCs w:val="22"/>
                <w:lang w:val="es-ES" w:eastAsia="es-ES"/>
              </w:rPr>
              <w:t xml:space="preserve">Realizar 16 pruebas hidrostáticas. </w:t>
            </w:r>
          </w:p>
          <w:p w14:paraId="6ACA5AD4" w14:textId="77777777" w:rsidR="001A4860" w:rsidRPr="001A4860" w:rsidRDefault="001A4860" w:rsidP="001A4860">
            <w:pPr>
              <w:rPr>
                <w:sz w:val="22"/>
                <w:szCs w:val="22"/>
                <w:lang w:val="es-ES" w:eastAsia="es-ES"/>
              </w:rPr>
            </w:pPr>
            <w:r w:rsidRPr="001A4860">
              <w:rPr>
                <w:sz w:val="22"/>
                <w:szCs w:val="22"/>
                <w:lang w:val="es-ES" w:eastAsia="es-ES"/>
              </w:rPr>
              <w:t>Rellenar y compactar manualmente zanjas para tubería (5,094.72 m3), incluye 16 pruebas de compactación.</w:t>
            </w:r>
          </w:p>
        </w:tc>
      </w:tr>
      <w:tr w:rsidR="001A4860" w:rsidRPr="001A4860" w14:paraId="5F8EE12D" w14:textId="77777777" w:rsidTr="001A4860">
        <w:trPr>
          <w:jc w:val="center"/>
        </w:trPr>
        <w:tc>
          <w:tcPr>
            <w:tcW w:w="1165" w:type="pct"/>
          </w:tcPr>
          <w:p w14:paraId="01FDBBB3" w14:textId="77777777" w:rsidR="001A4860" w:rsidRPr="001A4860" w:rsidRDefault="001A4860" w:rsidP="001A4860">
            <w:pPr>
              <w:ind w:left="-113" w:right="15"/>
              <w:rPr>
                <w:sz w:val="22"/>
                <w:szCs w:val="22"/>
                <w:lang w:val="es-ES" w:eastAsia="es-ES"/>
              </w:rPr>
            </w:pPr>
            <w:r w:rsidRPr="001A4860">
              <w:rPr>
                <w:sz w:val="22"/>
                <w:szCs w:val="22"/>
                <w:lang w:val="es-ES" w:eastAsia="es-ES"/>
              </w:rPr>
              <w:t>Tanque para almacenamiento de agua clara</w:t>
            </w:r>
          </w:p>
        </w:tc>
        <w:tc>
          <w:tcPr>
            <w:tcW w:w="2029" w:type="pct"/>
          </w:tcPr>
          <w:p w14:paraId="7E1674C0" w14:textId="77777777" w:rsidR="001A4860" w:rsidRPr="001A4860" w:rsidRDefault="001A4860" w:rsidP="001A4860">
            <w:pPr>
              <w:rPr>
                <w:sz w:val="22"/>
                <w:szCs w:val="22"/>
                <w:lang w:val="es-ES" w:eastAsia="es-ES"/>
              </w:rPr>
            </w:pPr>
            <w:r w:rsidRPr="001A4860">
              <w:rPr>
                <w:sz w:val="22"/>
                <w:szCs w:val="22"/>
                <w:lang w:val="es-ES" w:eastAsia="es-ES"/>
              </w:rPr>
              <w:t>Tanque Cisterna de concreto reforzado de 4000 PSI</w:t>
            </w:r>
          </w:p>
          <w:p w14:paraId="3E89E8D5" w14:textId="77777777" w:rsidR="001A4860" w:rsidRPr="001A4860" w:rsidRDefault="001A4860" w:rsidP="001A4860">
            <w:pPr>
              <w:rPr>
                <w:sz w:val="22"/>
                <w:szCs w:val="22"/>
                <w:lang w:val="es-ES" w:eastAsia="es-ES"/>
              </w:rPr>
            </w:pPr>
            <w:r w:rsidRPr="001A4860">
              <w:rPr>
                <w:sz w:val="22"/>
                <w:szCs w:val="22"/>
                <w:lang w:val="es-ES" w:eastAsia="es-ES"/>
              </w:rPr>
              <w:t>-Capacidad: 11,623 Gal / 44.00 m3</w:t>
            </w:r>
          </w:p>
          <w:p w14:paraId="4BB60054" w14:textId="77777777" w:rsidR="001A4860" w:rsidRPr="001A4860" w:rsidRDefault="001A4860" w:rsidP="001A4860">
            <w:pPr>
              <w:rPr>
                <w:sz w:val="22"/>
                <w:szCs w:val="22"/>
                <w:lang w:val="es-ES" w:eastAsia="es-ES"/>
              </w:rPr>
            </w:pPr>
            <w:r w:rsidRPr="001A4860">
              <w:rPr>
                <w:sz w:val="22"/>
                <w:szCs w:val="22"/>
                <w:lang w:val="es-ES" w:eastAsia="es-ES"/>
              </w:rPr>
              <w:t>Dimensiones</w:t>
            </w:r>
          </w:p>
          <w:p w14:paraId="20378543" w14:textId="77777777" w:rsidR="001A4860" w:rsidRPr="001A4860" w:rsidRDefault="001A4860" w:rsidP="001A4860">
            <w:pPr>
              <w:rPr>
                <w:sz w:val="22"/>
                <w:szCs w:val="22"/>
                <w:lang w:val="es-ES" w:eastAsia="es-ES"/>
              </w:rPr>
            </w:pPr>
            <w:r w:rsidRPr="001A4860">
              <w:rPr>
                <w:sz w:val="22"/>
                <w:szCs w:val="22"/>
                <w:lang w:val="es-ES" w:eastAsia="es-ES"/>
              </w:rPr>
              <w:t xml:space="preserve">- Ancho: = 6.75m </w:t>
            </w:r>
          </w:p>
          <w:p w14:paraId="0D0020A7" w14:textId="77777777" w:rsidR="001A4860" w:rsidRPr="001A4860" w:rsidRDefault="001A4860" w:rsidP="001A4860">
            <w:pPr>
              <w:rPr>
                <w:sz w:val="22"/>
                <w:szCs w:val="22"/>
                <w:lang w:val="es-ES" w:eastAsia="es-ES"/>
              </w:rPr>
            </w:pPr>
            <w:r w:rsidRPr="001A4860">
              <w:rPr>
                <w:sz w:val="22"/>
                <w:szCs w:val="22"/>
                <w:lang w:val="es-ES" w:eastAsia="es-ES"/>
              </w:rPr>
              <w:t>- Largo: = 2.75m</w:t>
            </w:r>
          </w:p>
          <w:p w14:paraId="58F15AD1" w14:textId="77777777" w:rsidR="001A4860" w:rsidRPr="001A4860" w:rsidRDefault="001A4860" w:rsidP="001A4860">
            <w:pPr>
              <w:rPr>
                <w:sz w:val="22"/>
                <w:szCs w:val="22"/>
                <w:lang w:val="es-ES" w:eastAsia="es-ES"/>
              </w:rPr>
            </w:pPr>
            <w:r w:rsidRPr="001A4860">
              <w:rPr>
                <w:sz w:val="22"/>
                <w:szCs w:val="22"/>
                <w:lang w:val="es-ES" w:eastAsia="es-ES"/>
              </w:rPr>
              <w:lastRenderedPageBreak/>
              <w:t>-Alto: =3.00</w:t>
            </w:r>
          </w:p>
          <w:p w14:paraId="3E35EDF3" w14:textId="77777777" w:rsidR="001A4860" w:rsidRPr="001A4860" w:rsidRDefault="001A4860" w:rsidP="001A4860">
            <w:pPr>
              <w:rPr>
                <w:sz w:val="22"/>
                <w:szCs w:val="22"/>
                <w:lang w:val="es-ES" w:eastAsia="es-ES"/>
              </w:rPr>
            </w:pPr>
          </w:p>
          <w:p w14:paraId="35F65DF1" w14:textId="77777777" w:rsidR="001A4860" w:rsidRPr="001A4860" w:rsidRDefault="001A4860" w:rsidP="001A4860">
            <w:pPr>
              <w:rPr>
                <w:sz w:val="22"/>
                <w:szCs w:val="22"/>
                <w:lang w:val="es-ES" w:eastAsia="es-ES"/>
              </w:rPr>
            </w:pPr>
            <w:r w:rsidRPr="001A4860">
              <w:rPr>
                <w:sz w:val="22"/>
                <w:szCs w:val="22"/>
                <w:lang w:val="es-ES" w:eastAsia="es-ES"/>
              </w:rPr>
              <w:t>Ubicación: Coordenadas UTM 16P X: 568904.00 m E, Y: 1492589.00 m N.</w:t>
            </w:r>
          </w:p>
          <w:p w14:paraId="477EB826" w14:textId="77777777" w:rsidR="001A4860" w:rsidRPr="001A4860" w:rsidRDefault="001A4860" w:rsidP="001A4860">
            <w:pPr>
              <w:rPr>
                <w:sz w:val="22"/>
                <w:szCs w:val="22"/>
                <w:lang w:val="es-ES" w:eastAsia="es-ES"/>
              </w:rPr>
            </w:pPr>
            <w:r w:rsidRPr="001A4860">
              <w:rPr>
                <w:sz w:val="22"/>
                <w:szCs w:val="22"/>
                <w:lang w:val="es-ES" w:eastAsia="es-ES"/>
              </w:rPr>
              <w:t>Elevación: 869.75 msnm.</w:t>
            </w:r>
          </w:p>
          <w:p w14:paraId="636B5C39" w14:textId="77777777" w:rsidR="001A4860" w:rsidRPr="001A4860" w:rsidRDefault="001A4860" w:rsidP="001A4860">
            <w:pPr>
              <w:rPr>
                <w:sz w:val="22"/>
                <w:szCs w:val="22"/>
                <w:lang w:val="es-ES" w:eastAsia="es-ES"/>
              </w:rPr>
            </w:pPr>
          </w:p>
          <w:p w14:paraId="28BDEF6B" w14:textId="77777777" w:rsidR="001A4860" w:rsidRPr="001A4860" w:rsidRDefault="001A4860" w:rsidP="001A4860">
            <w:pPr>
              <w:rPr>
                <w:sz w:val="22"/>
                <w:szCs w:val="22"/>
                <w:lang w:val="es-ES" w:eastAsia="es-ES"/>
              </w:rPr>
            </w:pPr>
            <w:r w:rsidRPr="001A4860">
              <w:rPr>
                <w:sz w:val="22"/>
                <w:szCs w:val="22"/>
                <w:lang w:val="es-ES" w:eastAsia="es-ES"/>
              </w:rPr>
              <w:t>Nota: El almacenamiento esta ubicado después del equipo de bombeo, en la zona alta, cercano a la comunidad.</w:t>
            </w:r>
          </w:p>
        </w:tc>
        <w:tc>
          <w:tcPr>
            <w:tcW w:w="1806" w:type="pct"/>
            <w:shd w:val="clear" w:color="auto" w:fill="auto"/>
          </w:tcPr>
          <w:p w14:paraId="1996A740" w14:textId="77777777" w:rsidR="001A4860" w:rsidRPr="001A4860" w:rsidRDefault="001A4860" w:rsidP="001A4860">
            <w:pPr>
              <w:rPr>
                <w:sz w:val="22"/>
                <w:szCs w:val="22"/>
                <w:lang w:val="es-ES" w:eastAsia="es-ES"/>
              </w:rPr>
            </w:pPr>
            <w:r w:rsidRPr="001A4860">
              <w:rPr>
                <w:sz w:val="22"/>
                <w:szCs w:val="22"/>
                <w:lang w:val="es-ES" w:eastAsia="es-ES"/>
              </w:rPr>
              <w:lastRenderedPageBreak/>
              <w:t>Actividades requeridas;</w:t>
            </w:r>
          </w:p>
          <w:p w14:paraId="439B11C0" w14:textId="77777777" w:rsidR="001A4860" w:rsidRPr="001A4860" w:rsidRDefault="001A4860" w:rsidP="001A4860">
            <w:pPr>
              <w:rPr>
                <w:sz w:val="22"/>
                <w:szCs w:val="22"/>
                <w:lang w:val="es-ES" w:eastAsia="es-ES"/>
              </w:rPr>
            </w:pPr>
            <w:r w:rsidRPr="001A4860">
              <w:rPr>
                <w:sz w:val="22"/>
                <w:szCs w:val="22"/>
                <w:lang w:val="es-ES" w:eastAsia="es-ES"/>
              </w:rPr>
              <w:t>Limpiar predio: 416.41 m2</w:t>
            </w:r>
          </w:p>
          <w:p w14:paraId="2F04C1E0" w14:textId="77777777" w:rsidR="001A4860" w:rsidRPr="001A4860" w:rsidRDefault="001A4860" w:rsidP="001A4860">
            <w:pPr>
              <w:rPr>
                <w:sz w:val="22"/>
                <w:szCs w:val="22"/>
                <w:lang w:val="es-ES" w:eastAsia="es-ES"/>
              </w:rPr>
            </w:pPr>
            <w:r w:rsidRPr="001A4860">
              <w:rPr>
                <w:sz w:val="22"/>
                <w:szCs w:val="22"/>
                <w:lang w:val="es-ES" w:eastAsia="es-ES"/>
              </w:rPr>
              <w:t>Trazar y nivelar: 79.15 m.</w:t>
            </w:r>
          </w:p>
          <w:p w14:paraId="648E8105" w14:textId="77777777" w:rsidR="001A4860" w:rsidRPr="001A4860" w:rsidRDefault="001A4860" w:rsidP="001A4860">
            <w:pPr>
              <w:rPr>
                <w:sz w:val="22"/>
                <w:szCs w:val="22"/>
                <w:lang w:val="es-ES" w:eastAsia="es-ES"/>
              </w:rPr>
            </w:pPr>
            <w:r w:rsidRPr="001A4860">
              <w:rPr>
                <w:sz w:val="22"/>
                <w:szCs w:val="22"/>
                <w:lang w:val="es-ES" w:eastAsia="es-ES"/>
              </w:rPr>
              <w:t>Movimiento de tierra: 168.00 m3</w:t>
            </w:r>
          </w:p>
          <w:p w14:paraId="49F88411" w14:textId="77777777" w:rsidR="001A4860" w:rsidRPr="001A4860" w:rsidRDefault="001A4860" w:rsidP="001A4860">
            <w:pPr>
              <w:rPr>
                <w:sz w:val="22"/>
                <w:szCs w:val="22"/>
                <w:lang w:val="es-ES" w:eastAsia="es-ES"/>
              </w:rPr>
            </w:pPr>
            <w:r w:rsidRPr="001A4860">
              <w:rPr>
                <w:sz w:val="22"/>
                <w:szCs w:val="22"/>
                <w:lang w:val="es-ES" w:eastAsia="es-ES"/>
              </w:rPr>
              <w:t xml:space="preserve">Construir 1 tanque de concreto con capacidad nominal de 11,623 Gal / </w:t>
            </w:r>
            <w:r w:rsidRPr="001A4860">
              <w:rPr>
                <w:sz w:val="22"/>
                <w:szCs w:val="22"/>
                <w:lang w:val="es-ES" w:eastAsia="es-ES"/>
              </w:rPr>
              <w:lastRenderedPageBreak/>
              <w:t>44.00 m3, con todas sus conexiones, cajas de válvulas y acabados, Prueba de estanqueidad. Construir cobertizo sin forro de paredes sobre losa tapa del tanque para proteger dosificador de cloro. Estructura de cobertizo de tubo de HG, diám. nominal 50 mm (2 pulg) y platina de 4"x4"x1/4" para fijación en la base, con estructura de techo metálica perlin de 1"x3" con 2 manos de pintura y cubierta de 1.44 m2 de lámina de zinc ondulado cal. 26. Pintura de superficies: 79.40 m2.</w:t>
            </w:r>
          </w:p>
          <w:p w14:paraId="5DEF658D" w14:textId="77777777" w:rsidR="001A4860" w:rsidRPr="001A4860" w:rsidRDefault="001A4860" w:rsidP="001A4860">
            <w:pPr>
              <w:rPr>
                <w:sz w:val="22"/>
                <w:szCs w:val="22"/>
                <w:lang w:val="es-ES" w:eastAsia="es-ES"/>
              </w:rPr>
            </w:pPr>
            <w:r w:rsidRPr="001A4860">
              <w:rPr>
                <w:sz w:val="22"/>
                <w:szCs w:val="22"/>
                <w:lang w:val="es-ES" w:eastAsia="es-ES"/>
              </w:rPr>
              <w:t>Construir canal de drenaje pluvial rect. de concreto de 2,500 psi ref.#3@0.12m a/d, ancho=0.15m,alt.=0.20m,esp.=0.15m, largo: 8.80.0m</w:t>
            </w:r>
          </w:p>
          <w:p w14:paraId="4417C935" w14:textId="77777777" w:rsidR="001A4860" w:rsidRPr="001A4860" w:rsidRDefault="001A4860" w:rsidP="001A4860">
            <w:pPr>
              <w:rPr>
                <w:sz w:val="22"/>
                <w:szCs w:val="22"/>
                <w:lang w:val="es-ES" w:eastAsia="es-ES"/>
              </w:rPr>
            </w:pPr>
            <w:r w:rsidRPr="001A4860">
              <w:rPr>
                <w:sz w:val="22"/>
                <w:szCs w:val="22"/>
                <w:lang w:val="es-ES" w:eastAsia="es-ES"/>
              </w:rPr>
              <w:t>Construir anden perimetral de concreto (con mezcladora) espesor= 0.10m ref. #3 a cada 0.25 m en ambas direcciones al pie del tanque.</w:t>
            </w:r>
          </w:p>
        </w:tc>
      </w:tr>
      <w:tr w:rsidR="001A4860" w:rsidRPr="001A4860" w14:paraId="027A878B" w14:textId="77777777" w:rsidTr="001A4860">
        <w:trPr>
          <w:jc w:val="center"/>
        </w:trPr>
        <w:tc>
          <w:tcPr>
            <w:tcW w:w="1165" w:type="pct"/>
          </w:tcPr>
          <w:p w14:paraId="07615CE8" w14:textId="77777777" w:rsidR="001A4860" w:rsidRPr="001A4860" w:rsidRDefault="001A4860" w:rsidP="001A4860">
            <w:pPr>
              <w:ind w:right="15"/>
              <w:rPr>
                <w:sz w:val="22"/>
                <w:szCs w:val="22"/>
                <w:lang w:val="es-ES" w:eastAsia="es-ES"/>
              </w:rPr>
            </w:pPr>
            <w:r w:rsidRPr="001A4860">
              <w:rPr>
                <w:sz w:val="22"/>
                <w:szCs w:val="22"/>
                <w:lang w:val="es-ES" w:eastAsia="es-ES"/>
              </w:rPr>
              <w:lastRenderedPageBreak/>
              <w:t>Red de tuberías para distribución.</w:t>
            </w:r>
          </w:p>
        </w:tc>
        <w:tc>
          <w:tcPr>
            <w:tcW w:w="2029" w:type="pct"/>
          </w:tcPr>
          <w:p w14:paraId="3D35F6CA" w14:textId="77777777" w:rsidR="001A4860" w:rsidRPr="001A4860" w:rsidRDefault="001A4860" w:rsidP="001A4860">
            <w:pPr>
              <w:tabs>
                <w:tab w:val="left" w:pos="780"/>
              </w:tabs>
              <w:ind w:right="15"/>
              <w:rPr>
                <w:sz w:val="22"/>
                <w:szCs w:val="22"/>
                <w:lang w:val="en-US" w:eastAsia="es-ES"/>
              </w:rPr>
            </w:pPr>
            <w:r w:rsidRPr="001A4860">
              <w:rPr>
                <w:sz w:val="22"/>
                <w:szCs w:val="22"/>
                <w:lang w:val="en-US" w:eastAsia="es-ES"/>
              </w:rPr>
              <w:t>CMH: 3.63 lps (57.54 gpm)</w:t>
            </w:r>
          </w:p>
          <w:p w14:paraId="5A497A4C" w14:textId="77777777" w:rsidR="001A4860" w:rsidRPr="001A4860" w:rsidRDefault="001A4860" w:rsidP="001A4860">
            <w:pPr>
              <w:tabs>
                <w:tab w:val="left" w:pos="780"/>
              </w:tabs>
              <w:ind w:right="15"/>
              <w:rPr>
                <w:sz w:val="22"/>
                <w:szCs w:val="22"/>
                <w:lang w:val="en-US" w:eastAsia="es-ES"/>
              </w:rPr>
            </w:pPr>
            <w:r w:rsidRPr="001A4860">
              <w:rPr>
                <w:sz w:val="22"/>
                <w:szCs w:val="22"/>
                <w:lang w:val="en-US" w:eastAsia="es-ES"/>
              </w:rPr>
              <w:t xml:space="preserve">Longitud total: </w:t>
            </w:r>
            <w:r w:rsidRPr="001A4860">
              <w:rPr>
                <w:sz w:val="22"/>
                <w:szCs w:val="22"/>
                <w:lang w:val="es-ES" w:eastAsia="es-ES"/>
              </w:rPr>
              <w:fldChar w:fldCharType="begin"/>
            </w:r>
            <w:r w:rsidRPr="001A4860">
              <w:rPr>
                <w:sz w:val="22"/>
                <w:szCs w:val="22"/>
                <w:lang w:val="en-US" w:eastAsia="es-ES"/>
              </w:rPr>
              <w:instrText xml:space="preserve"> =6481.39+481.17 \# "#,##0.00" </w:instrText>
            </w:r>
            <w:r w:rsidRPr="001A4860">
              <w:rPr>
                <w:sz w:val="22"/>
                <w:szCs w:val="22"/>
                <w:lang w:val="es-ES" w:eastAsia="es-ES"/>
              </w:rPr>
              <w:fldChar w:fldCharType="separate"/>
            </w:r>
            <w:r w:rsidRPr="001A4860">
              <w:rPr>
                <w:noProof/>
                <w:sz w:val="22"/>
                <w:szCs w:val="22"/>
                <w:lang w:val="en-US" w:eastAsia="es-ES"/>
              </w:rPr>
              <w:t>6,96</w:t>
            </w:r>
            <w:r w:rsidRPr="001A4860">
              <w:rPr>
                <w:sz w:val="22"/>
                <w:szCs w:val="22"/>
                <w:lang w:val="es-ES" w:eastAsia="es-ES"/>
              </w:rPr>
              <w:fldChar w:fldCharType="end"/>
            </w:r>
            <w:r w:rsidRPr="00181F97">
              <w:rPr>
                <w:sz w:val="22"/>
                <w:szCs w:val="22"/>
                <w:lang w:val="en-US" w:eastAsia="es-ES"/>
              </w:rPr>
              <w:t>4</w:t>
            </w:r>
            <w:r w:rsidRPr="001A4860">
              <w:rPr>
                <w:sz w:val="22"/>
                <w:szCs w:val="22"/>
                <w:lang w:val="en-US" w:eastAsia="es-ES"/>
              </w:rPr>
              <w:t xml:space="preserve"> m. PVC 1120 –SDR-26</w:t>
            </w:r>
          </w:p>
          <w:p w14:paraId="4FE5AA6C"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Diám. nominal: 50mm (2”) = 482 m</w:t>
            </w:r>
          </w:p>
          <w:p w14:paraId="38C7D1E5"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 xml:space="preserve">Diám. nominal: 38 mm (1 1/2”) = 6,482 m </w:t>
            </w:r>
          </w:p>
          <w:p w14:paraId="64CBFDCE"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-1 Válvula de pase de 2”.</w:t>
            </w:r>
          </w:p>
          <w:p w14:paraId="00D4A9D9" w14:textId="77777777" w:rsidR="001A4860" w:rsidRPr="001A4860" w:rsidRDefault="001A4860" w:rsidP="001A4860">
            <w:pPr>
              <w:ind w:left="-82" w:right="15"/>
              <w:rPr>
                <w:sz w:val="22"/>
                <w:szCs w:val="22"/>
                <w:lang w:val="es-ES" w:eastAsia="es-ES"/>
              </w:rPr>
            </w:pPr>
            <w:r w:rsidRPr="001A4860">
              <w:rPr>
                <w:sz w:val="22"/>
                <w:szCs w:val="22"/>
                <w:lang w:val="es-ES" w:eastAsia="es-ES"/>
              </w:rPr>
              <w:t>-2 Válvulas de pase 1 ½”</w:t>
            </w:r>
          </w:p>
          <w:p w14:paraId="79848D6B" w14:textId="77777777" w:rsidR="001A4860" w:rsidRPr="001A4860" w:rsidRDefault="001A4860" w:rsidP="001A4860">
            <w:pPr>
              <w:ind w:left="-82" w:right="15"/>
              <w:rPr>
                <w:sz w:val="22"/>
                <w:szCs w:val="22"/>
                <w:lang w:val="es-ES" w:eastAsia="es-ES"/>
              </w:rPr>
            </w:pPr>
            <w:r w:rsidRPr="001A4860">
              <w:rPr>
                <w:sz w:val="22"/>
                <w:szCs w:val="22"/>
                <w:lang w:val="es-ES" w:eastAsia="es-ES"/>
              </w:rPr>
              <w:t>-6 Válvulas de compuerta 2”</w:t>
            </w:r>
          </w:p>
          <w:p w14:paraId="6D324CC9" w14:textId="77777777" w:rsidR="001A4860" w:rsidRPr="001A4860" w:rsidRDefault="001A4860" w:rsidP="001A4860">
            <w:pPr>
              <w:ind w:left="-82" w:right="15"/>
              <w:rPr>
                <w:sz w:val="22"/>
                <w:szCs w:val="22"/>
                <w:lang w:val="es-ES" w:eastAsia="es-ES"/>
              </w:rPr>
            </w:pPr>
            <w:r w:rsidRPr="001A4860">
              <w:rPr>
                <w:sz w:val="22"/>
                <w:szCs w:val="22"/>
                <w:lang w:val="es-ES" w:eastAsia="es-ES"/>
              </w:rPr>
              <w:t xml:space="preserve">- 5 Válvulas de limpieza 1 ½” </w:t>
            </w:r>
          </w:p>
          <w:p w14:paraId="3DB8BD9F" w14:textId="77777777" w:rsidR="001A4860" w:rsidRPr="001A4860" w:rsidRDefault="001A4860" w:rsidP="001A4860">
            <w:pPr>
              <w:ind w:left="-82" w:right="15"/>
              <w:rPr>
                <w:sz w:val="22"/>
                <w:szCs w:val="22"/>
                <w:lang w:val="es-ES" w:eastAsia="es-ES"/>
              </w:rPr>
            </w:pPr>
            <w:r w:rsidRPr="001A4860">
              <w:rPr>
                <w:sz w:val="22"/>
                <w:szCs w:val="22"/>
                <w:lang w:val="es-ES" w:eastAsia="es-ES"/>
              </w:rPr>
              <w:t>-2 Válvula reguladora de presión 2”.</w:t>
            </w:r>
          </w:p>
          <w:p w14:paraId="734F4750"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-3 Válvula reguladora de presión 1 ½”.</w:t>
            </w:r>
          </w:p>
        </w:tc>
        <w:tc>
          <w:tcPr>
            <w:tcW w:w="1806" w:type="pct"/>
          </w:tcPr>
          <w:p w14:paraId="436FBE00"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Actividades requeridas:</w:t>
            </w:r>
          </w:p>
          <w:p w14:paraId="30D8DC3E"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Instalar tubería de distribución con sus respectivos accesorios para, acoples, adaptadores, transición de diámetros, cambios de dirección, incluye materiales de construcción y agregados para bloques de reacción y anclajes, según la pertinencia del caso.</w:t>
            </w:r>
          </w:p>
          <w:p w14:paraId="0A8612FD"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Realizar 24 pruebas hidrostáticas.</w:t>
            </w:r>
          </w:p>
          <w:p w14:paraId="54932CEE"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Rellenar y compactar manualmente zanjas para tubería (430.44 m3), incluye 3 pruebas de compactación.</w:t>
            </w:r>
          </w:p>
          <w:p w14:paraId="2D2F8911"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Instalar:</w:t>
            </w:r>
          </w:p>
          <w:p w14:paraId="13AA2C84" w14:textId="77777777" w:rsidR="001A4860" w:rsidRPr="001A4860" w:rsidRDefault="001A4860" w:rsidP="001A4860">
            <w:pPr>
              <w:ind w:left="-82" w:right="15"/>
              <w:rPr>
                <w:sz w:val="22"/>
                <w:szCs w:val="22"/>
                <w:lang w:val="es-ES" w:eastAsia="es-ES"/>
              </w:rPr>
            </w:pPr>
          </w:p>
        </w:tc>
      </w:tr>
      <w:tr w:rsidR="001A4860" w:rsidRPr="001A4860" w14:paraId="71EC8163" w14:textId="77777777" w:rsidTr="001A4860">
        <w:trPr>
          <w:trHeight w:val="652"/>
          <w:jc w:val="center"/>
        </w:trPr>
        <w:tc>
          <w:tcPr>
            <w:tcW w:w="1165" w:type="pct"/>
          </w:tcPr>
          <w:p w14:paraId="31AE8CD4"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Conexiones.</w:t>
            </w:r>
          </w:p>
        </w:tc>
        <w:tc>
          <w:tcPr>
            <w:tcW w:w="2029" w:type="pct"/>
          </w:tcPr>
          <w:p w14:paraId="105D76BD"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Tipo de conexión: Domiciliar o de patio.</w:t>
            </w:r>
          </w:p>
        </w:tc>
        <w:tc>
          <w:tcPr>
            <w:tcW w:w="1806" w:type="pct"/>
          </w:tcPr>
          <w:p w14:paraId="6CA0F358"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Actividades requeridas:</w:t>
            </w:r>
          </w:p>
          <w:p w14:paraId="75A46A21"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 Instalar 217 conexiones de patio.</w:t>
            </w:r>
          </w:p>
          <w:p w14:paraId="3F887B3C" w14:textId="77777777" w:rsidR="001A4860" w:rsidRPr="001A4860" w:rsidRDefault="001A4860" w:rsidP="001A4860">
            <w:pPr>
              <w:tabs>
                <w:tab w:val="left" w:pos="780"/>
              </w:tabs>
              <w:ind w:right="15"/>
              <w:rPr>
                <w:sz w:val="22"/>
                <w:szCs w:val="22"/>
                <w:lang w:val="es-ES" w:eastAsia="es-ES"/>
              </w:rPr>
            </w:pPr>
            <w:r w:rsidRPr="001A4860">
              <w:rPr>
                <w:sz w:val="22"/>
                <w:szCs w:val="22"/>
                <w:lang w:val="es-ES" w:eastAsia="es-ES"/>
              </w:rPr>
              <w:t>-217 medidores (Aporte Comunitario)</w:t>
            </w:r>
          </w:p>
        </w:tc>
      </w:tr>
    </w:tbl>
    <w:p w14:paraId="192CB5F1" w14:textId="77777777" w:rsidR="001A4860" w:rsidRPr="001A4860" w:rsidRDefault="001A4860" w:rsidP="001A4860">
      <w:pPr>
        <w:tabs>
          <w:tab w:val="left" w:pos="780"/>
        </w:tabs>
        <w:ind w:right="15"/>
        <w:rPr>
          <w:sz w:val="22"/>
          <w:szCs w:val="22"/>
          <w:lang w:val="es-ES" w:eastAsia="es-ES"/>
        </w:rPr>
      </w:pPr>
    </w:p>
    <w:p w14:paraId="634CA582" w14:textId="77777777" w:rsidR="001A4860" w:rsidRPr="001A4860" w:rsidRDefault="001A4860" w:rsidP="001A4860">
      <w:pPr>
        <w:keepNext/>
        <w:ind w:left="720" w:hanging="720"/>
        <w:outlineLvl w:val="2"/>
        <w:rPr>
          <w:rFonts w:eastAsia="Arial Narrow"/>
          <w:b/>
          <w:bCs/>
          <w:iCs/>
          <w:sz w:val="22"/>
          <w:szCs w:val="22"/>
          <w:lang w:val="es-ES" w:bidi="en-US"/>
        </w:rPr>
      </w:pPr>
      <w:bookmarkStart w:id="430" w:name="_Toc23249312"/>
      <w:r w:rsidRPr="001A4860">
        <w:rPr>
          <w:rFonts w:eastAsia="Arial Narrow"/>
          <w:b/>
          <w:bCs/>
          <w:iCs/>
          <w:sz w:val="22"/>
          <w:szCs w:val="22"/>
          <w:lang w:val="es-ES" w:bidi="en-US"/>
        </w:rPr>
        <w:t>Componente II</w:t>
      </w:r>
      <w:r w:rsidRPr="001A4860">
        <w:rPr>
          <w:rFonts w:eastAsia="Arial Narrow"/>
          <w:b/>
          <w:bCs/>
          <w:iCs/>
          <w:sz w:val="22"/>
          <w:szCs w:val="22"/>
          <w:lang w:val="es-ES" w:bidi="en-US"/>
        </w:rPr>
        <w:tab/>
        <w:t>Saneamiento integral y promoción de la higiene</w:t>
      </w:r>
      <w:bookmarkEnd w:id="430"/>
    </w:p>
    <w:p w14:paraId="0E764698" w14:textId="77777777" w:rsidR="001A4860" w:rsidRPr="001A4860" w:rsidRDefault="001A4860" w:rsidP="001A4860">
      <w:pPr>
        <w:ind w:left="284" w:right="15"/>
        <w:rPr>
          <w:bCs/>
          <w:sz w:val="22"/>
          <w:szCs w:val="22"/>
          <w:lang w:val="es-ES" w:eastAsia="es-ES"/>
        </w:rPr>
      </w:pPr>
    </w:p>
    <w:p w14:paraId="6A7EEAF1" w14:textId="77777777" w:rsidR="001A4860" w:rsidRPr="001A4860" w:rsidRDefault="001A4860" w:rsidP="001A4860">
      <w:pPr>
        <w:ind w:right="15"/>
        <w:rPr>
          <w:b/>
          <w:sz w:val="22"/>
          <w:szCs w:val="22"/>
          <w:lang w:val="es-ES" w:eastAsia="es-ES"/>
        </w:rPr>
      </w:pPr>
      <w:r w:rsidRPr="001A4860">
        <w:rPr>
          <w:b/>
          <w:sz w:val="22"/>
          <w:szCs w:val="22"/>
          <w:lang w:val="es-ES" w:eastAsia="es-ES"/>
        </w:rPr>
        <w:t>2.1</w:t>
      </w:r>
      <w:r w:rsidRPr="001A4860">
        <w:rPr>
          <w:b/>
          <w:sz w:val="22"/>
          <w:szCs w:val="22"/>
          <w:lang w:val="es-ES" w:eastAsia="es-ES"/>
        </w:rPr>
        <w:tab/>
        <w:t>Saneamiento integral</w:t>
      </w:r>
    </w:p>
    <w:p w14:paraId="22080275" w14:textId="77777777" w:rsidR="001A4860" w:rsidRPr="001A4860" w:rsidRDefault="001A4860" w:rsidP="001A4860">
      <w:pPr>
        <w:ind w:right="15"/>
        <w:rPr>
          <w:b/>
          <w:bCs/>
          <w:sz w:val="22"/>
          <w:szCs w:val="22"/>
          <w:lang w:val="es-ES" w:eastAsia="es-ES"/>
        </w:rPr>
      </w:pPr>
    </w:p>
    <w:p w14:paraId="2853135A" w14:textId="77777777" w:rsidR="001A4860" w:rsidRPr="001A4860" w:rsidRDefault="001A4860" w:rsidP="001A4860">
      <w:pPr>
        <w:ind w:right="15"/>
        <w:rPr>
          <w:b/>
          <w:bCs/>
          <w:noProof/>
          <w:sz w:val="22"/>
          <w:szCs w:val="22"/>
          <w:lang w:val="es-ES" w:eastAsia="es-ES"/>
        </w:rPr>
      </w:pPr>
      <w:r w:rsidRPr="001A4860">
        <w:rPr>
          <w:b/>
          <w:sz w:val="22"/>
          <w:szCs w:val="22"/>
          <w:lang w:val="es-ES" w:eastAsia="es-ES"/>
        </w:rPr>
        <w:t>Tabla 2. Resumen de los componentes del sistema de saneamiento.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12"/>
        <w:gridCol w:w="3028"/>
      </w:tblGrid>
      <w:tr w:rsidR="001A4860" w:rsidRPr="001A4860" w14:paraId="5830E643" w14:textId="77777777" w:rsidTr="001A4860">
        <w:tc>
          <w:tcPr>
            <w:tcW w:w="3010" w:type="dxa"/>
          </w:tcPr>
          <w:p w14:paraId="161A3D2A" w14:textId="77777777" w:rsidR="001A4860" w:rsidRPr="001A4860" w:rsidRDefault="001A4860" w:rsidP="001A4860">
            <w:pPr>
              <w:ind w:left="284" w:right="15"/>
              <w:rPr>
                <w:b/>
                <w:sz w:val="22"/>
                <w:szCs w:val="22"/>
                <w:lang w:val="es-ES" w:eastAsia="es-ES"/>
              </w:rPr>
            </w:pPr>
            <w:r w:rsidRPr="001A4860">
              <w:rPr>
                <w:b/>
                <w:sz w:val="22"/>
                <w:szCs w:val="22"/>
                <w:lang w:val="es-ES" w:eastAsia="es-ES"/>
              </w:rPr>
              <w:t xml:space="preserve">Componente </w:t>
            </w:r>
          </w:p>
        </w:tc>
        <w:tc>
          <w:tcPr>
            <w:tcW w:w="3012" w:type="dxa"/>
          </w:tcPr>
          <w:p w14:paraId="07A92317" w14:textId="77777777" w:rsidR="001A4860" w:rsidRPr="001A4860" w:rsidRDefault="001A4860" w:rsidP="001A4860">
            <w:pPr>
              <w:ind w:left="284" w:right="15"/>
              <w:rPr>
                <w:b/>
                <w:sz w:val="22"/>
                <w:szCs w:val="22"/>
                <w:lang w:val="es-ES" w:eastAsia="es-ES"/>
              </w:rPr>
            </w:pPr>
            <w:r w:rsidRPr="001A4860">
              <w:rPr>
                <w:b/>
                <w:sz w:val="22"/>
                <w:szCs w:val="22"/>
                <w:lang w:val="es-ES" w:eastAsia="es-ES"/>
              </w:rPr>
              <w:t>Materiales y Dimensiones</w:t>
            </w:r>
          </w:p>
        </w:tc>
        <w:tc>
          <w:tcPr>
            <w:tcW w:w="3028" w:type="dxa"/>
          </w:tcPr>
          <w:p w14:paraId="7EB3F0FC" w14:textId="77777777" w:rsidR="001A4860" w:rsidRPr="001A4860" w:rsidRDefault="001A4860" w:rsidP="001A4860">
            <w:pPr>
              <w:ind w:left="284" w:right="15"/>
              <w:rPr>
                <w:b/>
                <w:sz w:val="22"/>
                <w:szCs w:val="22"/>
                <w:lang w:val="es-ES" w:eastAsia="es-ES"/>
              </w:rPr>
            </w:pPr>
            <w:r w:rsidRPr="001A4860">
              <w:rPr>
                <w:b/>
                <w:sz w:val="22"/>
                <w:szCs w:val="22"/>
                <w:lang w:val="es-ES" w:eastAsia="es-ES"/>
              </w:rPr>
              <w:t>Consideraciones</w:t>
            </w:r>
          </w:p>
        </w:tc>
      </w:tr>
      <w:tr w:rsidR="001A4860" w:rsidRPr="001A4860" w14:paraId="73FCB452" w14:textId="77777777" w:rsidTr="001A4860">
        <w:tc>
          <w:tcPr>
            <w:tcW w:w="3010" w:type="dxa"/>
          </w:tcPr>
          <w:p w14:paraId="66FE75C6" w14:textId="77777777" w:rsidR="001A4860" w:rsidRPr="001A4860" w:rsidRDefault="001A4860" w:rsidP="001A4860">
            <w:pPr>
              <w:ind w:right="15"/>
              <w:rPr>
                <w:sz w:val="22"/>
                <w:szCs w:val="22"/>
                <w:lang w:val="es-ES" w:eastAsia="es-ES"/>
              </w:rPr>
            </w:pPr>
            <w:r w:rsidRPr="001A4860">
              <w:rPr>
                <w:sz w:val="22"/>
                <w:szCs w:val="22"/>
                <w:lang w:val="es-ES" w:eastAsia="es-ES"/>
              </w:rPr>
              <w:t>Letrinas sencillas unifamiliares tamaño estándar, con foso revestido semielevado y ventilado (191 letrinas)</w:t>
            </w:r>
          </w:p>
          <w:p w14:paraId="4AF91A2D" w14:textId="77777777" w:rsidR="001A4860" w:rsidRPr="001A4860" w:rsidRDefault="001A4860" w:rsidP="001A4860">
            <w:pPr>
              <w:ind w:left="284" w:right="15"/>
              <w:rPr>
                <w:sz w:val="22"/>
                <w:szCs w:val="22"/>
                <w:lang w:val="es-ES" w:eastAsia="es-ES"/>
              </w:rPr>
            </w:pPr>
          </w:p>
          <w:p w14:paraId="516E03BE" w14:textId="77777777" w:rsidR="001A4860" w:rsidRPr="001A4860" w:rsidRDefault="001A4860" w:rsidP="001A4860">
            <w:pPr>
              <w:ind w:left="284" w:right="15"/>
              <w:rPr>
                <w:sz w:val="22"/>
                <w:szCs w:val="22"/>
                <w:lang w:val="es-ES" w:eastAsia="es-ES"/>
              </w:rPr>
            </w:pPr>
          </w:p>
          <w:p w14:paraId="0492703C" w14:textId="77777777" w:rsidR="001A4860" w:rsidRPr="001A4860" w:rsidRDefault="001A4860" w:rsidP="001A4860">
            <w:pPr>
              <w:ind w:left="284" w:right="15"/>
              <w:rPr>
                <w:sz w:val="22"/>
                <w:szCs w:val="22"/>
                <w:lang w:val="es-ES" w:eastAsia="es-ES"/>
              </w:rPr>
            </w:pPr>
          </w:p>
          <w:p w14:paraId="00E869F8" w14:textId="77777777" w:rsidR="001A4860" w:rsidRPr="001A4860" w:rsidRDefault="001A4860" w:rsidP="001A4860">
            <w:pPr>
              <w:ind w:left="284" w:right="15"/>
              <w:rPr>
                <w:sz w:val="22"/>
                <w:szCs w:val="22"/>
                <w:lang w:val="es-ES" w:eastAsia="es-ES"/>
              </w:rPr>
            </w:pPr>
          </w:p>
          <w:p w14:paraId="6F35FD19" w14:textId="77777777" w:rsidR="001A4860" w:rsidRPr="001A4860" w:rsidRDefault="001A4860" w:rsidP="001A4860">
            <w:pPr>
              <w:ind w:left="284" w:right="15"/>
              <w:rPr>
                <w:sz w:val="22"/>
                <w:szCs w:val="22"/>
                <w:lang w:val="es-ES" w:eastAsia="es-ES"/>
              </w:rPr>
            </w:pPr>
          </w:p>
          <w:p w14:paraId="053B9628" w14:textId="77777777" w:rsidR="001A4860" w:rsidRPr="001A4860" w:rsidRDefault="001A4860" w:rsidP="001A4860">
            <w:pPr>
              <w:ind w:left="284" w:right="15"/>
              <w:rPr>
                <w:sz w:val="22"/>
                <w:szCs w:val="22"/>
                <w:lang w:val="es-ES" w:eastAsia="es-ES"/>
              </w:rPr>
            </w:pPr>
          </w:p>
          <w:p w14:paraId="59FC351A" w14:textId="77777777" w:rsidR="001A4860" w:rsidRPr="001A4860" w:rsidRDefault="001A4860" w:rsidP="001A4860">
            <w:pPr>
              <w:ind w:left="284" w:right="15"/>
              <w:rPr>
                <w:sz w:val="22"/>
                <w:szCs w:val="22"/>
                <w:lang w:val="es-ES" w:eastAsia="es-ES"/>
              </w:rPr>
            </w:pPr>
          </w:p>
          <w:p w14:paraId="3B8E059B" w14:textId="77777777" w:rsidR="001A4860" w:rsidRPr="001A4860" w:rsidRDefault="001A4860" w:rsidP="001A4860">
            <w:pPr>
              <w:ind w:left="284" w:right="15"/>
              <w:rPr>
                <w:sz w:val="22"/>
                <w:szCs w:val="22"/>
                <w:lang w:val="es-ES" w:eastAsia="es-ES"/>
              </w:rPr>
            </w:pPr>
          </w:p>
        </w:tc>
        <w:tc>
          <w:tcPr>
            <w:tcW w:w="3012" w:type="dxa"/>
          </w:tcPr>
          <w:p w14:paraId="5279D902" w14:textId="77777777" w:rsidR="001A4860" w:rsidRPr="001A4860" w:rsidRDefault="001A4860" w:rsidP="001A4860">
            <w:pPr>
              <w:ind w:right="15"/>
              <w:rPr>
                <w:sz w:val="22"/>
                <w:szCs w:val="22"/>
                <w:lang w:val="es-ES" w:eastAsia="es-ES"/>
              </w:rPr>
            </w:pPr>
            <w:r w:rsidRPr="001A4860">
              <w:rPr>
                <w:sz w:val="22"/>
                <w:szCs w:val="22"/>
                <w:lang w:val="es-ES" w:eastAsia="es-ES"/>
              </w:rPr>
              <w:lastRenderedPageBreak/>
              <w:t xml:space="preserve">Caseta: alto: 1.84-1.91 m, ancho: 0.82m largo: 1.01 m., con estructura de pared y puerta metálica, forrada con lámina de </w:t>
            </w:r>
            <w:r w:rsidRPr="001A4860">
              <w:rPr>
                <w:sz w:val="22"/>
                <w:szCs w:val="22"/>
                <w:lang w:val="es-ES" w:eastAsia="es-ES"/>
              </w:rPr>
              <w:lastRenderedPageBreak/>
              <w:t xml:space="preserve">zinc liso, Cubierta de techo metálica y forro de lámina de zinc ondulado: calzada con bloque de mortero. </w:t>
            </w:r>
          </w:p>
          <w:p w14:paraId="2787096E" w14:textId="77777777" w:rsidR="001A4860" w:rsidRPr="001A4860" w:rsidRDefault="001A4860" w:rsidP="001A4860">
            <w:pPr>
              <w:ind w:right="15"/>
              <w:rPr>
                <w:sz w:val="22"/>
                <w:szCs w:val="22"/>
                <w:lang w:val="es-ES" w:eastAsia="es-ES"/>
              </w:rPr>
            </w:pPr>
            <w:r w:rsidRPr="001A4860">
              <w:rPr>
                <w:sz w:val="22"/>
                <w:szCs w:val="22"/>
                <w:lang w:val="es-ES" w:eastAsia="es-ES"/>
              </w:rPr>
              <w:t>Dimensión del Foso: 1.00 m X 1.20 m y enterrado 1.0 m.</w:t>
            </w:r>
          </w:p>
          <w:p w14:paraId="0281836D" w14:textId="77777777" w:rsidR="001A4860" w:rsidRPr="001A4860" w:rsidRDefault="001A4860" w:rsidP="001A4860">
            <w:pPr>
              <w:ind w:right="15"/>
              <w:rPr>
                <w:sz w:val="22"/>
                <w:szCs w:val="22"/>
                <w:lang w:val="es-ES" w:eastAsia="es-ES"/>
              </w:rPr>
            </w:pPr>
            <w:r w:rsidRPr="001A4860">
              <w:rPr>
                <w:sz w:val="22"/>
                <w:szCs w:val="22"/>
                <w:lang w:val="es-ES" w:eastAsia="es-ES"/>
              </w:rPr>
              <w:t>Brocal con 1 m. que sobresale el nivel del piso con 4 gradas de acceso frontal. Tubo de ventilación de pvc 1 ½ pulg.  fijado con tapagotera</w:t>
            </w:r>
          </w:p>
          <w:p w14:paraId="3D9BA47F" w14:textId="77777777" w:rsidR="001A4860" w:rsidRPr="001A4860" w:rsidRDefault="001A4860" w:rsidP="001A4860">
            <w:pPr>
              <w:ind w:right="15"/>
              <w:rPr>
                <w:sz w:val="22"/>
                <w:szCs w:val="22"/>
                <w:lang w:val="es-ES" w:eastAsia="es-ES"/>
              </w:rPr>
            </w:pPr>
            <w:r w:rsidRPr="001A4860">
              <w:rPr>
                <w:sz w:val="22"/>
                <w:szCs w:val="22"/>
                <w:lang w:val="es-ES" w:eastAsia="es-ES"/>
              </w:rPr>
              <w:t>Losa, estructura que sirve de piso y soporte del banco prefabricado de fibra de vidrio, ancho: 0.90 m, largo: 1.10 m y espesor 0.05 m, con fijación a estructura metálica Pozo recolector de orina de 0.30 m x 0.30 m, profundidad 0.50 m</w:t>
            </w:r>
          </w:p>
          <w:p w14:paraId="170262F3" w14:textId="77777777" w:rsidR="001A4860" w:rsidRPr="001A4860" w:rsidRDefault="001A4860" w:rsidP="001A4860">
            <w:pPr>
              <w:ind w:right="15"/>
              <w:rPr>
                <w:sz w:val="22"/>
                <w:szCs w:val="22"/>
                <w:lang w:val="es-ES" w:eastAsia="es-ES"/>
              </w:rPr>
            </w:pPr>
            <w:r w:rsidRPr="001A4860">
              <w:rPr>
                <w:sz w:val="22"/>
                <w:szCs w:val="22"/>
                <w:lang w:val="es-ES" w:eastAsia="es-ES"/>
              </w:rPr>
              <w:t>Banco prefabricado de fibra de vidrio para asiento de letrina sencilla estándar Separador de orina de fibra de vidrio, que se conecta al pozo colector de orina con una manguera de plástico diámetro niminal ½ pulg para conducir la orina hacia él</w:t>
            </w:r>
          </w:p>
          <w:p w14:paraId="519AC158" w14:textId="77777777" w:rsidR="001A4860" w:rsidRPr="001A4860" w:rsidRDefault="001A4860" w:rsidP="001A4860">
            <w:pPr>
              <w:ind w:right="15"/>
              <w:rPr>
                <w:sz w:val="22"/>
                <w:szCs w:val="22"/>
                <w:lang w:val="es-ES" w:eastAsia="es-ES"/>
              </w:rPr>
            </w:pPr>
            <w:r w:rsidRPr="001A4860">
              <w:rPr>
                <w:sz w:val="22"/>
                <w:szCs w:val="22"/>
                <w:lang w:val="es-ES" w:eastAsia="es-ES"/>
              </w:rPr>
              <w:t>Pintura, para los elementos estructurales</w:t>
            </w:r>
          </w:p>
          <w:p w14:paraId="38F8283B" w14:textId="77777777" w:rsidR="001A4860" w:rsidRPr="001A4860" w:rsidRDefault="001A4860" w:rsidP="001A4860">
            <w:pPr>
              <w:ind w:right="15"/>
              <w:rPr>
                <w:sz w:val="22"/>
                <w:szCs w:val="22"/>
                <w:lang w:val="es-ES" w:eastAsia="es-ES"/>
              </w:rPr>
            </w:pPr>
            <w:r w:rsidRPr="001A4860">
              <w:rPr>
                <w:sz w:val="22"/>
                <w:szCs w:val="22"/>
                <w:lang w:val="es-ES" w:eastAsia="es-ES"/>
              </w:rPr>
              <w:t>Letrero con el nombre y logotipo del FISE</w:t>
            </w:r>
          </w:p>
        </w:tc>
        <w:tc>
          <w:tcPr>
            <w:tcW w:w="3028" w:type="dxa"/>
          </w:tcPr>
          <w:p w14:paraId="232C426A" w14:textId="77777777" w:rsidR="001A4860" w:rsidRPr="001A4860" w:rsidRDefault="001A4860" w:rsidP="001A4860">
            <w:pPr>
              <w:ind w:right="15"/>
              <w:rPr>
                <w:sz w:val="22"/>
                <w:szCs w:val="22"/>
                <w:lang w:val="es-ES" w:eastAsia="es-ES"/>
              </w:rPr>
            </w:pPr>
            <w:r w:rsidRPr="001A4860">
              <w:rPr>
                <w:sz w:val="22"/>
                <w:szCs w:val="22"/>
                <w:lang w:val="es-ES" w:eastAsia="es-ES"/>
              </w:rPr>
              <w:lastRenderedPageBreak/>
              <w:t xml:space="preserve">El contratista debe suministrar, instalar y dejar funcionando satisfactoriamente cada letrina </w:t>
            </w:r>
            <w:r w:rsidRPr="001A4860">
              <w:rPr>
                <w:sz w:val="22"/>
                <w:szCs w:val="22"/>
                <w:lang w:val="es-ES" w:eastAsia="es-ES"/>
              </w:rPr>
              <w:lastRenderedPageBreak/>
              <w:t xml:space="preserve">sencilla estándar de uso individual unifamiliar </w:t>
            </w:r>
          </w:p>
        </w:tc>
      </w:tr>
    </w:tbl>
    <w:p w14:paraId="409EA97F" w14:textId="77777777" w:rsidR="001A4860" w:rsidRPr="001A4860" w:rsidRDefault="001A4860" w:rsidP="001A4860">
      <w:pPr>
        <w:autoSpaceDE w:val="0"/>
        <w:autoSpaceDN w:val="0"/>
        <w:adjustRightInd w:val="0"/>
        <w:ind w:left="284" w:right="15"/>
        <w:rPr>
          <w:sz w:val="22"/>
          <w:szCs w:val="22"/>
          <w:lang w:val="es-ES" w:eastAsia="es-ES"/>
        </w:rPr>
      </w:pPr>
    </w:p>
    <w:p w14:paraId="21D942C8" w14:textId="77777777" w:rsidR="001A4860" w:rsidRPr="001A4860" w:rsidRDefault="001A4860" w:rsidP="001A4860">
      <w:pPr>
        <w:autoSpaceDE w:val="0"/>
        <w:autoSpaceDN w:val="0"/>
        <w:adjustRightInd w:val="0"/>
        <w:ind w:left="284" w:right="15"/>
        <w:rPr>
          <w:sz w:val="22"/>
          <w:szCs w:val="22"/>
          <w:lang w:val="es-ES" w:eastAsia="es-ES"/>
        </w:rPr>
      </w:pPr>
    </w:p>
    <w:p w14:paraId="26E3BDBC" w14:textId="77777777" w:rsidR="001A4860" w:rsidRPr="001A4860" w:rsidRDefault="001A4860" w:rsidP="001A4860">
      <w:pPr>
        <w:ind w:right="15"/>
        <w:rPr>
          <w:b/>
          <w:bCs/>
          <w:sz w:val="22"/>
          <w:szCs w:val="22"/>
          <w:lang w:val="es-ES" w:eastAsia="es-ES"/>
        </w:rPr>
      </w:pPr>
      <w:r w:rsidRPr="001A4860">
        <w:rPr>
          <w:b/>
          <w:bCs/>
          <w:sz w:val="22"/>
          <w:szCs w:val="22"/>
          <w:lang w:val="es-ES" w:eastAsia="es-ES"/>
        </w:rPr>
        <w:t>2.2</w:t>
      </w:r>
      <w:r w:rsidRPr="001A4860">
        <w:rPr>
          <w:b/>
          <w:bCs/>
          <w:sz w:val="22"/>
          <w:szCs w:val="22"/>
          <w:lang w:val="es-ES" w:eastAsia="es-ES"/>
        </w:rPr>
        <w:tab/>
        <w:t>Promoción de higiene</w:t>
      </w:r>
    </w:p>
    <w:p w14:paraId="09F2AF4A" w14:textId="77777777" w:rsidR="001A4860" w:rsidRPr="001A4860" w:rsidRDefault="001A4860" w:rsidP="001A4860">
      <w:pPr>
        <w:ind w:left="284" w:right="15"/>
        <w:rPr>
          <w:b/>
          <w:sz w:val="22"/>
          <w:szCs w:val="22"/>
          <w:lang w:val="es-ES" w:eastAsia="es-ES"/>
        </w:rPr>
      </w:pPr>
    </w:p>
    <w:p w14:paraId="3E3B6321" w14:textId="77777777" w:rsidR="001A4860" w:rsidRPr="001A4860" w:rsidRDefault="001A4860" w:rsidP="001A4860">
      <w:pPr>
        <w:ind w:left="284" w:right="15"/>
        <w:rPr>
          <w:b/>
          <w:sz w:val="22"/>
          <w:szCs w:val="22"/>
          <w:lang w:val="es-ES" w:eastAsia="es-ES"/>
        </w:rPr>
      </w:pPr>
      <w:r w:rsidRPr="001A4860">
        <w:rPr>
          <w:b/>
          <w:sz w:val="22"/>
          <w:szCs w:val="22"/>
          <w:lang w:val="es-ES" w:eastAsia="es-ES"/>
        </w:rPr>
        <w:t xml:space="preserve">Tabla 3. Resumen de los componentes del sistema de </w:t>
      </w:r>
      <w:r w:rsidRPr="001A4860">
        <w:rPr>
          <w:b/>
          <w:i/>
          <w:sz w:val="22"/>
          <w:szCs w:val="22"/>
          <w:lang w:val="es-ES" w:eastAsia="es-ES"/>
        </w:rPr>
        <w:t>lavamanos</w:t>
      </w:r>
      <w:r w:rsidRPr="001A4860">
        <w:rPr>
          <w:b/>
          <w:sz w:val="22"/>
          <w:szCs w:val="22"/>
          <w:lang w:val="es-ES"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12"/>
        <w:gridCol w:w="3028"/>
      </w:tblGrid>
      <w:tr w:rsidR="001A4860" w:rsidRPr="001A4860" w14:paraId="493C5238" w14:textId="77777777" w:rsidTr="001A4860">
        <w:trPr>
          <w:tblHeader/>
        </w:trPr>
        <w:tc>
          <w:tcPr>
            <w:tcW w:w="3010" w:type="dxa"/>
          </w:tcPr>
          <w:p w14:paraId="0756BA24" w14:textId="77777777" w:rsidR="001A4860" w:rsidRPr="001A4860" w:rsidRDefault="001A4860" w:rsidP="001A4860">
            <w:pPr>
              <w:ind w:left="284" w:right="15"/>
              <w:rPr>
                <w:b/>
                <w:sz w:val="22"/>
                <w:szCs w:val="22"/>
                <w:lang w:val="es-ES" w:eastAsia="es-ES"/>
              </w:rPr>
            </w:pPr>
            <w:r w:rsidRPr="001A4860">
              <w:rPr>
                <w:b/>
                <w:sz w:val="22"/>
                <w:szCs w:val="22"/>
                <w:lang w:val="es-ES" w:eastAsia="es-ES"/>
              </w:rPr>
              <w:t xml:space="preserve">Componente </w:t>
            </w:r>
          </w:p>
        </w:tc>
        <w:tc>
          <w:tcPr>
            <w:tcW w:w="3012" w:type="dxa"/>
          </w:tcPr>
          <w:p w14:paraId="252F9FB1" w14:textId="77777777" w:rsidR="001A4860" w:rsidRPr="001A4860" w:rsidRDefault="001A4860" w:rsidP="001A4860">
            <w:pPr>
              <w:ind w:left="284" w:right="15"/>
              <w:rPr>
                <w:b/>
                <w:sz w:val="22"/>
                <w:szCs w:val="22"/>
                <w:lang w:val="es-ES" w:eastAsia="es-ES"/>
              </w:rPr>
            </w:pPr>
            <w:r w:rsidRPr="001A4860">
              <w:rPr>
                <w:b/>
                <w:sz w:val="22"/>
                <w:szCs w:val="22"/>
                <w:lang w:val="es-ES" w:eastAsia="es-ES"/>
              </w:rPr>
              <w:t>Materiales y Dimensiones</w:t>
            </w:r>
          </w:p>
        </w:tc>
        <w:tc>
          <w:tcPr>
            <w:tcW w:w="3028" w:type="dxa"/>
          </w:tcPr>
          <w:p w14:paraId="2F0E0E03" w14:textId="77777777" w:rsidR="001A4860" w:rsidRPr="001A4860" w:rsidRDefault="001A4860" w:rsidP="001A4860">
            <w:pPr>
              <w:ind w:left="284" w:right="15"/>
              <w:rPr>
                <w:b/>
                <w:sz w:val="22"/>
                <w:szCs w:val="22"/>
                <w:lang w:val="es-ES" w:eastAsia="es-ES"/>
              </w:rPr>
            </w:pPr>
            <w:r w:rsidRPr="001A4860">
              <w:rPr>
                <w:b/>
                <w:sz w:val="22"/>
                <w:szCs w:val="22"/>
                <w:lang w:val="es-ES" w:eastAsia="es-ES"/>
              </w:rPr>
              <w:t>Consideraciones</w:t>
            </w:r>
          </w:p>
        </w:tc>
      </w:tr>
      <w:tr w:rsidR="001A4860" w:rsidRPr="001A4860" w14:paraId="30C41B14" w14:textId="77777777" w:rsidTr="001A4860">
        <w:tc>
          <w:tcPr>
            <w:tcW w:w="3010" w:type="dxa"/>
          </w:tcPr>
          <w:p w14:paraId="2A2B12F9" w14:textId="77777777" w:rsidR="001A4860" w:rsidRPr="001A4860" w:rsidRDefault="001A4860" w:rsidP="001A4860">
            <w:pPr>
              <w:contextualSpacing/>
              <w:rPr>
                <w:sz w:val="22"/>
                <w:szCs w:val="22"/>
                <w:lang w:val="es-ES" w:eastAsia="es-ES"/>
              </w:rPr>
            </w:pPr>
            <w:r w:rsidRPr="001A4860">
              <w:rPr>
                <w:sz w:val="22"/>
                <w:szCs w:val="22"/>
                <w:lang w:val="es-ES" w:eastAsia="es-ES"/>
              </w:rPr>
              <w:t>Lavadero (191 unidades)</w:t>
            </w:r>
          </w:p>
        </w:tc>
        <w:tc>
          <w:tcPr>
            <w:tcW w:w="3012" w:type="dxa"/>
          </w:tcPr>
          <w:p w14:paraId="5183B21F" w14:textId="77777777" w:rsidR="001A4860" w:rsidRPr="001A4860" w:rsidRDefault="001A4860" w:rsidP="001A4860">
            <w:pPr>
              <w:contextualSpacing/>
              <w:rPr>
                <w:sz w:val="22"/>
                <w:szCs w:val="22"/>
                <w:lang w:val="es-ES" w:eastAsia="es-ES"/>
              </w:rPr>
            </w:pPr>
            <w:r w:rsidRPr="001A4860">
              <w:rPr>
                <w:sz w:val="22"/>
                <w:szCs w:val="22"/>
                <w:lang w:val="es-ES" w:eastAsia="es-ES"/>
              </w:rPr>
              <w:t>Lavadero de concreto de fabricación nacional.</w:t>
            </w:r>
          </w:p>
          <w:p w14:paraId="44553D08" w14:textId="77777777" w:rsidR="001A4860" w:rsidRPr="001A4860" w:rsidRDefault="001A4860" w:rsidP="001A4860">
            <w:pPr>
              <w:contextualSpacing/>
              <w:rPr>
                <w:sz w:val="22"/>
                <w:szCs w:val="22"/>
                <w:lang w:val="es-ES" w:eastAsia="es-ES"/>
              </w:rPr>
            </w:pPr>
            <w:r w:rsidRPr="001A4860">
              <w:rPr>
                <w:sz w:val="22"/>
                <w:szCs w:val="22"/>
                <w:lang w:val="es-ES" w:eastAsia="es-ES"/>
              </w:rPr>
              <w:t>Conexión del lavadero a la tubería de descarga de PVC (SDR-41), diámetro nominal 2”, junta cementada y acople de un codo liso sanitario diámetro nominal de 2” x 90° (SDR-41)</w:t>
            </w:r>
          </w:p>
          <w:p w14:paraId="151339B8" w14:textId="77777777" w:rsidR="001A4860" w:rsidRPr="001A4860" w:rsidRDefault="001A4860" w:rsidP="001A4860">
            <w:pPr>
              <w:contextualSpacing/>
              <w:rPr>
                <w:sz w:val="22"/>
                <w:szCs w:val="22"/>
                <w:lang w:val="es-ES" w:eastAsia="es-ES"/>
              </w:rPr>
            </w:pPr>
            <w:r w:rsidRPr="001A4860">
              <w:rPr>
                <w:sz w:val="22"/>
                <w:szCs w:val="22"/>
                <w:lang w:val="es-ES" w:eastAsia="es-ES"/>
              </w:rPr>
              <w:t xml:space="preserve">Pozo de infiltración de forma cuadrada de 1.0 m, sin revestir, relleno con gravilla de río canto rodado de tamaño 0.05m. Al </w:t>
            </w:r>
            <w:r w:rsidRPr="001A4860">
              <w:rPr>
                <w:sz w:val="22"/>
                <w:szCs w:val="22"/>
                <w:lang w:val="es-ES" w:eastAsia="es-ES"/>
              </w:rPr>
              <w:lastRenderedPageBreak/>
              <w:t>final de la tubería de descarga, en la entrada al pozo de infiltración, tiene acoplado un codo liso sanitario diámetro nominal de 2” x 90° (SDR-41)</w:t>
            </w:r>
          </w:p>
          <w:p w14:paraId="1D9A0B35" w14:textId="77777777" w:rsidR="001A4860" w:rsidRPr="001A4860" w:rsidRDefault="001A4860" w:rsidP="001A4860">
            <w:pPr>
              <w:contextualSpacing/>
              <w:rPr>
                <w:sz w:val="22"/>
                <w:szCs w:val="22"/>
                <w:lang w:val="es-ES" w:eastAsia="es-ES"/>
              </w:rPr>
            </w:pPr>
            <w:r w:rsidRPr="001A4860">
              <w:rPr>
                <w:sz w:val="22"/>
                <w:szCs w:val="22"/>
                <w:lang w:val="es-ES" w:eastAsia="es-ES"/>
              </w:rPr>
              <w:t>Andén de concreto 2,500 psi, sin refuerzo</w:t>
            </w:r>
          </w:p>
        </w:tc>
        <w:tc>
          <w:tcPr>
            <w:tcW w:w="3028" w:type="dxa"/>
          </w:tcPr>
          <w:p w14:paraId="39ACAF0B" w14:textId="77777777" w:rsidR="001A4860" w:rsidRPr="001A4860" w:rsidRDefault="001A4860" w:rsidP="001A4860">
            <w:pPr>
              <w:contextualSpacing/>
              <w:rPr>
                <w:sz w:val="22"/>
                <w:szCs w:val="22"/>
                <w:lang w:val="es-ES" w:eastAsia="es-ES"/>
              </w:rPr>
            </w:pPr>
            <w:r w:rsidRPr="001A4860">
              <w:rPr>
                <w:sz w:val="22"/>
                <w:szCs w:val="22"/>
                <w:lang w:val="es-ES" w:eastAsia="es-ES"/>
              </w:rPr>
              <w:lastRenderedPageBreak/>
              <w:t>El Contratista debe suministrar, instalar y dejar operando satisfactoriamente cada lavamanos con sistema para la eliminación inocua de aguas grises. Cada unidad de saneamiento integral debe tener lavamanos, incluye soporte para adherirse a la pared, llave de chorro y sifón (trampa)</w:t>
            </w:r>
          </w:p>
        </w:tc>
      </w:tr>
    </w:tbl>
    <w:p w14:paraId="6E4F9F30" w14:textId="77777777" w:rsidR="001A4860" w:rsidRPr="001A4860" w:rsidRDefault="001A4860" w:rsidP="001A4860">
      <w:pPr>
        <w:autoSpaceDE w:val="0"/>
        <w:autoSpaceDN w:val="0"/>
        <w:adjustRightInd w:val="0"/>
        <w:ind w:left="284" w:right="15"/>
        <w:rPr>
          <w:sz w:val="22"/>
          <w:szCs w:val="22"/>
          <w:lang w:val="es-ES" w:eastAsia="es-ES"/>
        </w:rPr>
      </w:pPr>
    </w:p>
    <w:p w14:paraId="7F9AD4DE" w14:textId="77777777" w:rsidR="001A4860" w:rsidRPr="001A4860" w:rsidRDefault="001A4860" w:rsidP="001A4860">
      <w:pPr>
        <w:autoSpaceDE w:val="0"/>
        <w:autoSpaceDN w:val="0"/>
        <w:adjustRightInd w:val="0"/>
        <w:ind w:left="284" w:right="15"/>
        <w:rPr>
          <w:sz w:val="22"/>
          <w:szCs w:val="22"/>
          <w:lang w:val="es-ES" w:eastAsia="es-ES"/>
        </w:rPr>
      </w:pPr>
    </w:p>
    <w:p w14:paraId="71E54028" w14:textId="77777777" w:rsidR="001A4860" w:rsidRPr="001A4860" w:rsidRDefault="001A4860" w:rsidP="001A4860">
      <w:pPr>
        <w:keepNext/>
        <w:ind w:left="720" w:hanging="720"/>
        <w:outlineLvl w:val="2"/>
        <w:rPr>
          <w:rFonts w:eastAsia="Arial Narrow"/>
          <w:b/>
          <w:bCs/>
          <w:iCs/>
          <w:sz w:val="22"/>
          <w:szCs w:val="22"/>
          <w:lang w:val="es-ES" w:bidi="en-US"/>
        </w:rPr>
      </w:pPr>
      <w:bookmarkStart w:id="431" w:name="_Toc23249313"/>
      <w:r w:rsidRPr="001A4860">
        <w:rPr>
          <w:rFonts w:eastAsia="Arial Narrow"/>
          <w:b/>
          <w:bCs/>
          <w:iCs/>
          <w:sz w:val="22"/>
          <w:szCs w:val="22"/>
          <w:lang w:val="es-ES" w:bidi="en-US"/>
        </w:rPr>
        <w:t>Componente III</w:t>
      </w:r>
      <w:r w:rsidRPr="001A4860">
        <w:rPr>
          <w:rFonts w:eastAsia="Arial Narrow"/>
          <w:b/>
          <w:bCs/>
          <w:iCs/>
          <w:sz w:val="22"/>
          <w:szCs w:val="22"/>
          <w:lang w:val="es-ES" w:bidi="en-US"/>
        </w:rPr>
        <w:tab/>
        <w:t>Acompañamiento de los procesos sociales del proyecto</w:t>
      </w:r>
      <w:bookmarkEnd w:id="431"/>
    </w:p>
    <w:p w14:paraId="02DB33F3" w14:textId="77777777" w:rsidR="001A4860" w:rsidRPr="001A4860" w:rsidRDefault="001A4860" w:rsidP="001A4860">
      <w:pPr>
        <w:autoSpaceDE w:val="0"/>
        <w:autoSpaceDN w:val="0"/>
        <w:adjustRightInd w:val="0"/>
        <w:ind w:left="284" w:right="15"/>
        <w:rPr>
          <w:b/>
          <w:bCs/>
          <w:sz w:val="22"/>
          <w:szCs w:val="22"/>
          <w:lang w:val="es-ES" w:eastAsia="es-ES"/>
        </w:rPr>
      </w:pPr>
    </w:p>
    <w:p w14:paraId="2E6496AB" w14:textId="77777777" w:rsidR="001A4860" w:rsidRPr="001A4860" w:rsidRDefault="001A4860" w:rsidP="001A4860">
      <w:pPr>
        <w:autoSpaceDE w:val="0"/>
        <w:autoSpaceDN w:val="0"/>
        <w:adjustRightInd w:val="0"/>
        <w:ind w:left="284" w:right="15"/>
        <w:rPr>
          <w:b/>
          <w:bCs/>
          <w:sz w:val="22"/>
          <w:szCs w:val="22"/>
          <w:lang w:val="es-ES" w:eastAsia="es-ES"/>
        </w:rPr>
      </w:pPr>
      <w:r w:rsidRPr="001A4860">
        <w:rPr>
          <w:b/>
          <w:bCs/>
          <w:sz w:val="22"/>
          <w:szCs w:val="22"/>
          <w:lang w:val="es-ES" w:eastAsia="es-ES"/>
        </w:rPr>
        <w:t>Leer ESPECIFICACIONES TECNICAS GENERALES, Componente III.-ESPECIFICACIONES SOCIALES GENERALES.</w:t>
      </w:r>
    </w:p>
    <w:p w14:paraId="63F4EA19" w14:textId="77777777" w:rsidR="001A4860" w:rsidRPr="001A4860" w:rsidRDefault="001A4860" w:rsidP="001A4860">
      <w:pPr>
        <w:jc w:val="left"/>
        <w:rPr>
          <w:sz w:val="22"/>
          <w:szCs w:val="22"/>
          <w:lang w:val="es-ES" w:eastAsia="es-ES"/>
        </w:rPr>
      </w:pPr>
    </w:p>
    <w:p w14:paraId="45C5B8F8" w14:textId="77777777" w:rsidR="001A4860" w:rsidRPr="001A4860" w:rsidRDefault="001A4860" w:rsidP="001A4860">
      <w:pPr>
        <w:jc w:val="left"/>
        <w:rPr>
          <w:b/>
          <w:sz w:val="22"/>
          <w:szCs w:val="22"/>
          <w:lang w:val="es-ES" w:eastAsia="es-ES"/>
        </w:rPr>
      </w:pPr>
      <w:r w:rsidRPr="001A4860">
        <w:rPr>
          <w:b/>
          <w:sz w:val="22"/>
          <w:szCs w:val="22"/>
          <w:lang w:val="es-ES" w:eastAsia="es-ES"/>
        </w:rPr>
        <w:t>Tabla 4. Aporte comunitario para la ejecución del proyecto (detalle de cantidades)</w:t>
      </w:r>
    </w:p>
    <w:p w14:paraId="4D55CD8C" w14:textId="77777777" w:rsidR="001A4860" w:rsidRPr="001A4860" w:rsidRDefault="001A4860" w:rsidP="001A4860">
      <w:pPr>
        <w:rPr>
          <w:sz w:val="22"/>
          <w:szCs w:val="22"/>
          <w:lang w:val="es-ES" w:eastAsia="es-ES"/>
        </w:rPr>
      </w:pPr>
    </w:p>
    <w:p w14:paraId="6FBB4A53"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r w:rsidRPr="001A4860">
        <w:rPr>
          <w:sz w:val="22"/>
          <w:szCs w:val="22"/>
          <w:lang w:val="es-ES" w:eastAsia="es-ES"/>
        </w:rPr>
        <w:t xml:space="preserve">      Código \ Descripción</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U.M</w:t>
      </w:r>
      <w:r w:rsidRPr="001A4860">
        <w:rPr>
          <w:sz w:val="22"/>
          <w:szCs w:val="22"/>
          <w:lang w:val="es-ES" w:eastAsia="es-ES"/>
        </w:rPr>
        <w:tab/>
        <w:t>Cantidad</w:t>
      </w:r>
    </w:p>
    <w:p w14:paraId="7F1F4384"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r w:rsidRPr="001A4860">
        <w:rPr>
          <w:sz w:val="22"/>
          <w:szCs w:val="22"/>
          <w:lang w:val="es-ES" w:eastAsia="es-ES"/>
        </w:rPr>
        <w:t>PROYECTOS DE AGUA Y SANEAMIENTO -MABE</w:t>
      </w:r>
      <w:r w:rsidRPr="001A4860">
        <w:rPr>
          <w:sz w:val="22"/>
          <w:szCs w:val="22"/>
          <w:lang w:val="es-ES" w:eastAsia="es-ES"/>
        </w:rPr>
        <w:tab/>
      </w:r>
      <w:r w:rsidRPr="001A4860">
        <w:rPr>
          <w:sz w:val="22"/>
          <w:szCs w:val="22"/>
          <w:lang w:val="es-ES" w:eastAsia="es-ES"/>
        </w:rPr>
        <w:tab/>
      </w:r>
    </w:p>
    <w:p w14:paraId="6D6E1869"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310</w:t>
      </w:r>
      <w:r w:rsidRPr="001A4860">
        <w:rPr>
          <w:b/>
          <w:sz w:val="22"/>
          <w:szCs w:val="22"/>
          <w:lang w:val="es-ES" w:eastAsia="es-ES"/>
        </w:rPr>
        <w:tab/>
        <w:t xml:space="preserve">Preliminares                                                </w:t>
      </w:r>
      <w:r w:rsidRPr="001A4860">
        <w:rPr>
          <w:b/>
          <w:sz w:val="22"/>
          <w:szCs w:val="22"/>
          <w:lang w:val="es-ES" w:eastAsia="es-ES"/>
        </w:rPr>
        <w:tab/>
      </w:r>
      <w:r w:rsidRPr="001A4860">
        <w:rPr>
          <w:b/>
          <w:sz w:val="22"/>
          <w:szCs w:val="22"/>
          <w:lang w:val="es-ES" w:eastAsia="es-ES"/>
        </w:rPr>
        <w:tab/>
      </w:r>
    </w:p>
    <w:p w14:paraId="33AB5EEB"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31001</w:t>
      </w:r>
      <w:r w:rsidRPr="001A4860">
        <w:rPr>
          <w:b/>
          <w:sz w:val="22"/>
          <w:szCs w:val="22"/>
          <w:lang w:val="es-ES" w:eastAsia="es-ES"/>
        </w:rPr>
        <w:tab/>
        <w:t xml:space="preserve">Limpieza inicial                                            </w:t>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t>m2</w:t>
      </w:r>
      <w:r w:rsidRPr="001A4860">
        <w:rPr>
          <w:b/>
          <w:sz w:val="22"/>
          <w:szCs w:val="22"/>
          <w:lang w:val="es-ES" w:eastAsia="es-ES"/>
        </w:rPr>
        <w:tab/>
        <w:t>225.00</w:t>
      </w:r>
    </w:p>
    <w:p w14:paraId="50653111"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92224</w:t>
      </w:r>
      <w:r w:rsidRPr="001A4860">
        <w:rPr>
          <w:sz w:val="22"/>
          <w:szCs w:val="22"/>
          <w:lang w:val="es-ES" w:eastAsia="es-ES"/>
        </w:rPr>
        <w:tab/>
        <w:t>Limpieza manual inicial</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m2</w:t>
      </w:r>
      <w:r w:rsidRPr="001A4860">
        <w:rPr>
          <w:sz w:val="22"/>
          <w:szCs w:val="22"/>
          <w:lang w:val="es-ES" w:eastAsia="es-ES"/>
        </w:rPr>
        <w:tab/>
        <w:t>225.00</w:t>
      </w:r>
    </w:p>
    <w:p w14:paraId="55182EE5"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03412</w:t>
      </w:r>
      <w:r w:rsidRPr="001A4860">
        <w:rPr>
          <w:sz w:val="22"/>
          <w:szCs w:val="22"/>
          <w:lang w:val="es-ES" w:eastAsia="es-ES"/>
        </w:rPr>
        <w:tab/>
        <w:t>tala manual de arboles (incl. un viaje</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c/u</w:t>
      </w:r>
      <w:r w:rsidRPr="001A4860">
        <w:rPr>
          <w:sz w:val="22"/>
          <w:szCs w:val="22"/>
          <w:lang w:val="es-ES" w:eastAsia="es-ES"/>
        </w:rPr>
        <w:tab/>
        <w:t>2</w:t>
      </w:r>
    </w:p>
    <w:p w14:paraId="1BCBD93E"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de botar escombros a 1 km con</w:t>
      </w:r>
      <w:r w:rsidRPr="001A4860">
        <w:rPr>
          <w:sz w:val="22"/>
          <w:szCs w:val="22"/>
          <w:lang w:val="es-NI" w:eastAsia="es-NI"/>
        </w:rPr>
        <w:t xml:space="preserve"> </w:t>
      </w:r>
      <w:r w:rsidRPr="001A4860">
        <w:rPr>
          <w:sz w:val="22"/>
          <w:szCs w:val="22"/>
          <w:lang w:val="es-ES" w:eastAsia="es-ES"/>
        </w:rPr>
        <w:t>camion plataforma de 8 m3)</w:t>
      </w:r>
    </w:p>
    <w:p w14:paraId="7659CF06"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92107</w:t>
      </w:r>
      <w:r w:rsidRPr="001A4860">
        <w:rPr>
          <w:sz w:val="22"/>
          <w:szCs w:val="22"/>
          <w:lang w:val="es-ES" w:eastAsia="es-ES"/>
        </w:rPr>
        <w:tab/>
        <w:t xml:space="preserve">Trocha (ancho=3.00m ) elaborada con </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Km</w:t>
      </w:r>
      <w:r w:rsidRPr="001A4860">
        <w:rPr>
          <w:sz w:val="22"/>
          <w:szCs w:val="22"/>
          <w:lang w:val="es-ES" w:eastAsia="es-ES"/>
        </w:rPr>
        <w:tab/>
        <w:t>2.361</w:t>
      </w:r>
    </w:p>
    <w:p w14:paraId="6E681F86"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machete y rastrillo</w:t>
      </w:r>
    </w:p>
    <w:p w14:paraId="2B8E4BBF"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320</w:t>
      </w:r>
      <w:r w:rsidRPr="001A4860">
        <w:rPr>
          <w:b/>
          <w:sz w:val="22"/>
          <w:szCs w:val="22"/>
          <w:lang w:val="es-ES" w:eastAsia="es-ES"/>
        </w:rPr>
        <w:tab/>
        <w:t xml:space="preserve">Linea de conduccion                                         </w:t>
      </w:r>
      <w:r w:rsidRPr="001A4860">
        <w:rPr>
          <w:b/>
          <w:sz w:val="22"/>
          <w:szCs w:val="22"/>
          <w:lang w:val="es-ES" w:eastAsia="es-ES"/>
        </w:rPr>
        <w:tab/>
      </w:r>
      <w:r w:rsidRPr="001A4860">
        <w:rPr>
          <w:b/>
          <w:sz w:val="22"/>
          <w:szCs w:val="22"/>
          <w:lang w:val="es-ES" w:eastAsia="es-ES"/>
        </w:rPr>
        <w:tab/>
      </w:r>
    </w:p>
    <w:p w14:paraId="0CFC9FCD"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32001</w:t>
      </w:r>
      <w:r w:rsidRPr="001A4860">
        <w:rPr>
          <w:b/>
          <w:sz w:val="22"/>
          <w:szCs w:val="22"/>
          <w:lang w:val="es-ES" w:eastAsia="es-ES"/>
        </w:rPr>
        <w:tab/>
        <w:t>Excavacion para tuberia</w:t>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t>m3</w:t>
      </w:r>
      <w:r w:rsidRPr="001A4860">
        <w:rPr>
          <w:b/>
          <w:sz w:val="22"/>
          <w:szCs w:val="22"/>
          <w:lang w:val="es-ES" w:eastAsia="es-ES"/>
        </w:rPr>
        <w:tab/>
        <w:t>5,100.00</w:t>
      </w:r>
    </w:p>
    <w:p w14:paraId="528B44E7"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93285</w:t>
      </w:r>
      <w:r w:rsidRPr="001A4860">
        <w:rPr>
          <w:sz w:val="22"/>
          <w:szCs w:val="22"/>
          <w:lang w:val="es-ES" w:eastAsia="es-ES"/>
        </w:rPr>
        <w:tab/>
        <w:t>Excavacion manual en terreno material mixto</w:t>
      </w:r>
      <w:r w:rsidRPr="001A4860">
        <w:rPr>
          <w:sz w:val="22"/>
          <w:szCs w:val="22"/>
          <w:lang w:val="es-ES" w:eastAsia="es-ES"/>
        </w:rPr>
        <w:tab/>
      </w:r>
      <w:r w:rsidRPr="001A4860">
        <w:rPr>
          <w:sz w:val="22"/>
          <w:szCs w:val="22"/>
          <w:lang w:val="es-ES" w:eastAsia="es-ES"/>
        </w:rPr>
        <w:tab/>
      </w:r>
      <w:r w:rsidRPr="001A4860">
        <w:rPr>
          <w:sz w:val="22"/>
          <w:szCs w:val="22"/>
          <w:lang w:val="es-ES" w:eastAsia="es-ES"/>
        </w:rPr>
        <w:tab/>
        <w:t>m3</w:t>
      </w:r>
      <w:r w:rsidRPr="001A4860">
        <w:rPr>
          <w:sz w:val="22"/>
          <w:szCs w:val="22"/>
          <w:lang w:val="es-ES" w:eastAsia="es-ES"/>
        </w:rPr>
        <w:tab/>
        <w:t>5,100.00</w:t>
      </w:r>
    </w:p>
    <w:p w14:paraId="43DF2C0F"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r w:rsidRPr="001A4860">
        <w:rPr>
          <w:sz w:val="22"/>
          <w:szCs w:val="22"/>
          <w:lang w:val="es-ES" w:eastAsia="es-ES"/>
        </w:rPr>
        <w:tab/>
        <w:t>(arcillas, limos y bolones)</w:t>
      </w:r>
    </w:p>
    <w:p w14:paraId="63AA02A1"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330</w:t>
      </w:r>
      <w:r w:rsidRPr="001A4860">
        <w:rPr>
          <w:b/>
          <w:sz w:val="22"/>
          <w:szCs w:val="22"/>
          <w:lang w:val="es-ES" w:eastAsia="es-ES"/>
        </w:rPr>
        <w:tab/>
        <w:t xml:space="preserve">Linea de distribucion                                       </w:t>
      </w:r>
      <w:r w:rsidRPr="001A4860">
        <w:rPr>
          <w:b/>
          <w:sz w:val="22"/>
          <w:szCs w:val="22"/>
          <w:lang w:val="es-ES" w:eastAsia="es-ES"/>
        </w:rPr>
        <w:tab/>
      </w:r>
      <w:r w:rsidRPr="001A4860">
        <w:rPr>
          <w:b/>
          <w:sz w:val="22"/>
          <w:szCs w:val="22"/>
          <w:lang w:val="es-ES" w:eastAsia="es-ES"/>
        </w:rPr>
        <w:tab/>
      </w:r>
    </w:p>
    <w:p w14:paraId="0C33C9C3"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33001</w:t>
      </w:r>
      <w:r w:rsidRPr="001A4860">
        <w:rPr>
          <w:b/>
          <w:sz w:val="22"/>
          <w:szCs w:val="22"/>
          <w:lang w:val="es-ES" w:eastAsia="es-ES"/>
        </w:rPr>
        <w:tab/>
        <w:t>Excavacion para tuberia</w:t>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t>m3</w:t>
      </w:r>
      <w:r w:rsidRPr="001A4860">
        <w:rPr>
          <w:b/>
          <w:sz w:val="22"/>
          <w:szCs w:val="22"/>
          <w:lang w:val="es-ES" w:eastAsia="es-ES"/>
        </w:rPr>
        <w:tab/>
        <w:t>6,770.00</w:t>
      </w:r>
    </w:p>
    <w:p w14:paraId="39CFE733"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93285</w:t>
      </w:r>
      <w:r w:rsidRPr="001A4860">
        <w:rPr>
          <w:sz w:val="22"/>
          <w:szCs w:val="22"/>
          <w:lang w:val="es-ES" w:eastAsia="es-ES"/>
        </w:rPr>
        <w:tab/>
        <w:t>Excavacion manual en terreno material mixto</w:t>
      </w:r>
      <w:r w:rsidRPr="001A4860">
        <w:rPr>
          <w:sz w:val="22"/>
          <w:szCs w:val="22"/>
          <w:lang w:val="es-ES" w:eastAsia="es-ES"/>
        </w:rPr>
        <w:tab/>
      </w:r>
      <w:r w:rsidRPr="001A4860">
        <w:rPr>
          <w:sz w:val="22"/>
          <w:szCs w:val="22"/>
          <w:lang w:val="es-ES" w:eastAsia="es-ES"/>
        </w:rPr>
        <w:tab/>
      </w:r>
      <w:r w:rsidRPr="001A4860">
        <w:rPr>
          <w:sz w:val="22"/>
          <w:szCs w:val="22"/>
          <w:lang w:val="es-ES" w:eastAsia="es-ES"/>
        </w:rPr>
        <w:tab/>
        <w:t>m3</w:t>
      </w:r>
      <w:r w:rsidRPr="001A4860">
        <w:rPr>
          <w:sz w:val="22"/>
          <w:szCs w:val="22"/>
          <w:lang w:val="es-ES" w:eastAsia="es-ES"/>
        </w:rPr>
        <w:tab/>
        <w:t>6,770.00</w:t>
      </w:r>
    </w:p>
    <w:p w14:paraId="77E5738E"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r w:rsidRPr="001A4860">
        <w:rPr>
          <w:sz w:val="22"/>
          <w:szCs w:val="22"/>
          <w:lang w:val="es-ES" w:eastAsia="es-ES"/>
        </w:rPr>
        <w:tab/>
      </w:r>
      <w:r w:rsidRPr="001A4860">
        <w:rPr>
          <w:sz w:val="22"/>
          <w:szCs w:val="22"/>
          <w:lang w:val="es-ES" w:eastAsia="es-ES"/>
        </w:rPr>
        <w:tab/>
        <w:t>(arcillas, limos y bolones)</w:t>
      </w:r>
      <w:r w:rsidRPr="001A4860">
        <w:rPr>
          <w:sz w:val="22"/>
          <w:szCs w:val="22"/>
          <w:lang w:val="es-ES" w:eastAsia="es-ES"/>
        </w:rPr>
        <w:tab/>
      </w:r>
      <w:r w:rsidRPr="001A4860">
        <w:rPr>
          <w:sz w:val="22"/>
          <w:szCs w:val="22"/>
          <w:lang w:val="es-ES" w:eastAsia="es-ES"/>
        </w:rPr>
        <w:tab/>
      </w:r>
    </w:p>
    <w:p w14:paraId="388EFB3C"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350</w:t>
      </w:r>
      <w:r w:rsidRPr="001A4860">
        <w:rPr>
          <w:b/>
          <w:sz w:val="22"/>
          <w:szCs w:val="22"/>
          <w:lang w:val="es-ES" w:eastAsia="es-ES"/>
        </w:rPr>
        <w:tab/>
        <w:t xml:space="preserve">Conexiones                                                  </w:t>
      </w:r>
      <w:r w:rsidRPr="001A4860">
        <w:rPr>
          <w:b/>
          <w:sz w:val="22"/>
          <w:szCs w:val="22"/>
          <w:lang w:val="es-ES" w:eastAsia="es-ES"/>
        </w:rPr>
        <w:tab/>
      </w:r>
      <w:r w:rsidRPr="001A4860">
        <w:rPr>
          <w:b/>
          <w:sz w:val="22"/>
          <w:szCs w:val="22"/>
          <w:lang w:val="es-ES" w:eastAsia="es-ES"/>
        </w:rPr>
        <w:tab/>
      </w:r>
    </w:p>
    <w:p w14:paraId="6048EEF5"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35001</w:t>
      </w:r>
      <w:r w:rsidRPr="001A4860">
        <w:rPr>
          <w:b/>
          <w:sz w:val="22"/>
          <w:szCs w:val="22"/>
          <w:lang w:val="es-ES" w:eastAsia="es-ES"/>
        </w:rPr>
        <w:tab/>
        <w:t xml:space="preserve">Conexiones domiciliares                                </w:t>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t>c/u</w:t>
      </w:r>
      <w:r w:rsidRPr="001A4860">
        <w:rPr>
          <w:b/>
          <w:sz w:val="22"/>
          <w:szCs w:val="22"/>
          <w:lang w:val="es-ES" w:eastAsia="es-ES"/>
        </w:rPr>
        <w:tab/>
        <w:t>217.00</w:t>
      </w:r>
    </w:p>
    <w:p w14:paraId="690415C0"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92728</w:t>
      </w:r>
      <w:r w:rsidRPr="001A4860">
        <w:rPr>
          <w:sz w:val="22"/>
          <w:szCs w:val="22"/>
          <w:lang w:val="es-ES" w:eastAsia="es-ES"/>
        </w:rPr>
        <w:tab/>
        <w:t>Medidor de bronce para agua potable diám.=½"</w:t>
      </w:r>
      <w:r w:rsidRPr="001A4860">
        <w:rPr>
          <w:sz w:val="22"/>
          <w:szCs w:val="22"/>
          <w:lang w:val="es-ES" w:eastAsia="es-ES"/>
        </w:rPr>
        <w:tab/>
      </w:r>
      <w:r w:rsidRPr="001A4860">
        <w:rPr>
          <w:sz w:val="22"/>
          <w:szCs w:val="22"/>
          <w:lang w:val="es-ES" w:eastAsia="es-ES"/>
        </w:rPr>
        <w:tab/>
      </w:r>
      <w:r w:rsidRPr="001A4860">
        <w:rPr>
          <w:sz w:val="22"/>
          <w:szCs w:val="22"/>
          <w:lang w:val="es-ES" w:eastAsia="es-ES"/>
        </w:rPr>
        <w:tab/>
        <w:t>c/u</w:t>
      </w:r>
      <w:r w:rsidRPr="001A4860">
        <w:rPr>
          <w:sz w:val="22"/>
          <w:szCs w:val="22"/>
          <w:lang w:val="es-ES" w:eastAsia="es-ES"/>
        </w:rPr>
        <w:tab/>
        <w:t>217.00</w:t>
      </w:r>
    </w:p>
    <w:p w14:paraId="5CC36467"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r w:rsidRPr="001A4860">
        <w:rPr>
          <w:sz w:val="22"/>
          <w:szCs w:val="22"/>
          <w:lang w:val="es-ES" w:eastAsia="es-ES"/>
        </w:rPr>
        <w:tab/>
      </w:r>
      <w:r w:rsidRPr="001A4860">
        <w:rPr>
          <w:sz w:val="22"/>
          <w:szCs w:val="22"/>
          <w:lang w:val="es-ES" w:eastAsia="es-ES"/>
        </w:rPr>
        <w:tab/>
        <w:t>(tipo volumétrico,clase c, con 2 adaptadores de pvc</w:t>
      </w:r>
      <w:r w:rsidRPr="001A4860">
        <w:rPr>
          <w:sz w:val="22"/>
          <w:szCs w:val="22"/>
          <w:lang w:val="es-ES" w:eastAsia="es-ES"/>
        </w:rPr>
        <w:tab/>
      </w:r>
      <w:r w:rsidRPr="001A4860">
        <w:rPr>
          <w:sz w:val="22"/>
          <w:szCs w:val="22"/>
          <w:lang w:val="es-ES" w:eastAsia="es-ES"/>
        </w:rPr>
        <w:tab/>
      </w:r>
    </w:p>
    <w:p w14:paraId="4EEFB4B5"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r w:rsidRPr="001A4860">
        <w:rPr>
          <w:sz w:val="22"/>
          <w:szCs w:val="22"/>
          <w:lang w:val="es-ES" w:eastAsia="es-ES"/>
        </w:rPr>
        <w:tab/>
      </w:r>
      <w:r w:rsidRPr="001A4860">
        <w:rPr>
          <w:sz w:val="22"/>
          <w:szCs w:val="22"/>
          <w:lang w:val="es-ES" w:eastAsia="es-ES"/>
        </w:rPr>
        <w:tab/>
        <w:t>diám.=½") (no incl. Caja) para uso domiciliar</w:t>
      </w:r>
      <w:r w:rsidRPr="001A4860">
        <w:rPr>
          <w:sz w:val="22"/>
          <w:szCs w:val="22"/>
          <w:lang w:val="es-ES" w:eastAsia="es-ES"/>
        </w:rPr>
        <w:tab/>
      </w:r>
      <w:r w:rsidRPr="001A4860">
        <w:rPr>
          <w:sz w:val="22"/>
          <w:szCs w:val="22"/>
          <w:lang w:val="es-ES" w:eastAsia="es-ES"/>
        </w:rPr>
        <w:tab/>
      </w:r>
    </w:p>
    <w:p w14:paraId="5CF4762B"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370</w:t>
      </w:r>
      <w:r w:rsidRPr="001A4860">
        <w:rPr>
          <w:b/>
          <w:sz w:val="22"/>
          <w:szCs w:val="22"/>
          <w:lang w:val="es-ES" w:eastAsia="es-ES"/>
        </w:rPr>
        <w:tab/>
        <w:t xml:space="preserve">Limpieza final y entrega                                    </w:t>
      </w:r>
      <w:r w:rsidRPr="001A4860">
        <w:rPr>
          <w:b/>
          <w:sz w:val="22"/>
          <w:szCs w:val="22"/>
          <w:lang w:val="es-ES" w:eastAsia="es-ES"/>
        </w:rPr>
        <w:tab/>
      </w:r>
      <w:r w:rsidRPr="001A4860">
        <w:rPr>
          <w:b/>
          <w:sz w:val="22"/>
          <w:szCs w:val="22"/>
          <w:lang w:val="es-ES" w:eastAsia="es-ES"/>
        </w:rPr>
        <w:tab/>
      </w:r>
    </w:p>
    <w:p w14:paraId="29663779" w14:textId="77777777" w:rsidR="001A4860" w:rsidRPr="001A4860" w:rsidRDefault="001A4860" w:rsidP="001A4860">
      <w:pPr>
        <w:pBdr>
          <w:top w:val="single" w:sz="4" w:space="1" w:color="auto"/>
          <w:left w:val="single" w:sz="4" w:space="4" w:color="auto"/>
          <w:bottom w:val="single" w:sz="4" w:space="1" w:color="auto"/>
          <w:right w:val="single" w:sz="4" w:space="4" w:color="auto"/>
        </w:pBdr>
        <w:rPr>
          <w:b/>
          <w:sz w:val="22"/>
          <w:szCs w:val="22"/>
          <w:lang w:val="es-ES" w:eastAsia="es-ES"/>
        </w:rPr>
      </w:pPr>
      <w:r w:rsidRPr="001A4860">
        <w:rPr>
          <w:b/>
          <w:sz w:val="22"/>
          <w:szCs w:val="22"/>
          <w:lang w:val="es-ES" w:eastAsia="es-ES"/>
        </w:rPr>
        <w:t>37001</w:t>
      </w:r>
      <w:r w:rsidRPr="001A4860">
        <w:rPr>
          <w:b/>
          <w:sz w:val="22"/>
          <w:szCs w:val="22"/>
          <w:lang w:val="es-ES" w:eastAsia="es-ES"/>
        </w:rPr>
        <w:tab/>
        <w:t xml:space="preserve">Limpieza final                                              </w:t>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r>
      <w:r w:rsidRPr="001A4860">
        <w:rPr>
          <w:b/>
          <w:sz w:val="22"/>
          <w:szCs w:val="22"/>
          <w:lang w:val="es-ES" w:eastAsia="es-ES"/>
        </w:rPr>
        <w:tab/>
        <w:t>glb</w:t>
      </w:r>
      <w:r w:rsidRPr="001A4860">
        <w:rPr>
          <w:b/>
          <w:sz w:val="22"/>
          <w:szCs w:val="22"/>
          <w:lang w:val="es-ES" w:eastAsia="es-ES"/>
        </w:rPr>
        <w:tab/>
        <w:t>1.00</w:t>
      </w:r>
    </w:p>
    <w:p w14:paraId="516AED5B" w14:textId="77777777" w:rsidR="001A4860" w:rsidRPr="001A4860" w:rsidRDefault="001A4860" w:rsidP="001A4860">
      <w:pPr>
        <w:pBdr>
          <w:top w:val="single" w:sz="4" w:space="1" w:color="auto"/>
          <w:left w:val="single" w:sz="4" w:space="4" w:color="auto"/>
          <w:bottom w:val="single" w:sz="4" w:space="1" w:color="auto"/>
          <w:right w:val="single" w:sz="4" w:space="4" w:color="auto"/>
        </w:pBdr>
        <w:ind w:firstLine="708"/>
        <w:rPr>
          <w:sz w:val="22"/>
          <w:szCs w:val="22"/>
          <w:lang w:val="es-ES" w:eastAsia="es-ES"/>
        </w:rPr>
      </w:pPr>
      <w:r w:rsidRPr="001A4860">
        <w:rPr>
          <w:sz w:val="22"/>
          <w:szCs w:val="22"/>
          <w:lang w:val="es-ES" w:eastAsia="es-ES"/>
        </w:rPr>
        <w:t>92225</w:t>
      </w:r>
      <w:r w:rsidRPr="001A4860">
        <w:rPr>
          <w:sz w:val="22"/>
          <w:szCs w:val="22"/>
          <w:lang w:val="es-ES" w:eastAsia="es-ES"/>
        </w:rPr>
        <w:tab/>
        <w:t>Limpieza manual final</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m2</w:t>
      </w:r>
      <w:r w:rsidRPr="001A4860">
        <w:rPr>
          <w:sz w:val="22"/>
          <w:szCs w:val="22"/>
          <w:lang w:val="es-ES" w:eastAsia="es-ES"/>
        </w:rPr>
        <w:tab/>
        <w:t>225.00</w:t>
      </w:r>
    </w:p>
    <w:p w14:paraId="0E209214" w14:textId="77777777" w:rsidR="001A4860" w:rsidRPr="001A4860" w:rsidRDefault="001A4860" w:rsidP="001A4860">
      <w:pPr>
        <w:pBdr>
          <w:top w:val="single" w:sz="4" w:space="1" w:color="auto"/>
          <w:left w:val="single" w:sz="4" w:space="4" w:color="auto"/>
          <w:bottom w:val="single" w:sz="4" w:space="1" w:color="auto"/>
          <w:right w:val="single" w:sz="4" w:space="4" w:color="auto"/>
        </w:pBdr>
        <w:rPr>
          <w:sz w:val="22"/>
          <w:szCs w:val="22"/>
          <w:lang w:val="es-ES" w:eastAsia="es-ES"/>
        </w:rPr>
      </w:pPr>
    </w:p>
    <w:p w14:paraId="1290D0D3" w14:textId="77777777" w:rsidR="001A4860" w:rsidRPr="001A4860" w:rsidRDefault="001A4860" w:rsidP="001A4860">
      <w:pPr>
        <w:rPr>
          <w:b/>
          <w:bCs/>
          <w:sz w:val="22"/>
          <w:szCs w:val="22"/>
          <w:lang w:val="es-ES" w:eastAsia="es-ES"/>
        </w:rPr>
      </w:pPr>
    </w:p>
    <w:p w14:paraId="58A7F409" w14:textId="77777777" w:rsidR="001A4860" w:rsidRPr="001A4860" w:rsidRDefault="001A4860" w:rsidP="001A4860">
      <w:pPr>
        <w:rPr>
          <w:sz w:val="22"/>
          <w:szCs w:val="22"/>
          <w:lang w:val="es-ES" w:eastAsia="es-ES"/>
        </w:rPr>
      </w:pPr>
      <w:bookmarkStart w:id="432" w:name="_Toc340760106"/>
      <w:bookmarkStart w:id="433" w:name="_Toc351657043"/>
      <w:bookmarkStart w:id="434" w:name="_Toc458608846"/>
      <w:bookmarkStart w:id="435" w:name="_Toc471820940"/>
      <w:r w:rsidRPr="001A4860">
        <w:rPr>
          <w:sz w:val="22"/>
          <w:szCs w:val="22"/>
          <w:lang w:val="es-ES" w:eastAsia="es-ES"/>
        </w:rPr>
        <w:br w:type="page"/>
      </w:r>
    </w:p>
    <w:p w14:paraId="3E49DEC0" w14:textId="77777777" w:rsidR="001A4860" w:rsidRPr="001A4860" w:rsidRDefault="001A4860" w:rsidP="001A4860">
      <w:pPr>
        <w:keepNext/>
        <w:keepLines/>
        <w:outlineLvl w:val="0"/>
        <w:rPr>
          <w:b/>
          <w:sz w:val="22"/>
          <w:szCs w:val="22"/>
          <w:lang w:val="es-ES" w:eastAsia="es-ES"/>
        </w:rPr>
      </w:pPr>
      <w:bookmarkStart w:id="436" w:name="_Toc23249314"/>
      <w:r w:rsidRPr="001A4860">
        <w:rPr>
          <w:b/>
          <w:sz w:val="22"/>
          <w:szCs w:val="22"/>
          <w:lang w:val="es-ES" w:eastAsia="es-ES"/>
        </w:rPr>
        <w:lastRenderedPageBreak/>
        <w:t>ESPECIFICACIONES TÉCNICAS PARTICULARES</w:t>
      </w:r>
      <w:bookmarkEnd w:id="436"/>
    </w:p>
    <w:p w14:paraId="32F351A7" w14:textId="77777777" w:rsidR="001A4860" w:rsidRPr="001A4860" w:rsidRDefault="001A4860" w:rsidP="001A4860">
      <w:pPr>
        <w:rPr>
          <w:sz w:val="22"/>
          <w:szCs w:val="22"/>
          <w:lang w:val="es-ES" w:eastAsia="es-ES"/>
        </w:rPr>
      </w:pPr>
    </w:p>
    <w:p w14:paraId="3B904EB5" w14:textId="77777777" w:rsidR="001A4860" w:rsidRPr="001A4860" w:rsidRDefault="001A4860" w:rsidP="001A4860">
      <w:pPr>
        <w:keepNext/>
        <w:keepLines/>
        <w:outlineLvl w:val="0"/>
        <w:rPr>
          <w:b/>
          <w:sz w:val="22"/>
          <w:szCs w:val="22"/>
          <w:lang w:val="es-ES" w:eastAsia="es-ES"/>
        </w:rPr>
      </w:pPr>
      <w:bookmarkStart w:id="437" w:name="_Toc23249315"/>
      <w:r w:rsidRPr="001A4860">
        <w:rPr>
          <w:b/>
          <w:sz w:val="22"/>
          <w:szCs w:val="22"/>
          <w:lang w:val="es-ES" w:eastAsia="es-ES"/>
        </w:rPr>
        <w:t>Introducción.</w:t>
      </w:r>
      <w:bookmarkEnd w:id="437"/>
    </w:p>
    <w:p w14:paraId="2A2843D5" w14:textId="77777777" w:rsidR="001A4860" w:rsidRPr="001A4860" w:rsidRDefault="001A4860" w:rsidP="001A4860">
      <w:pPr>
        <w:rPr>
          <w:sz w:val="22"/>
          <w:szCs w:val="22"/>
          <w:lang w:val="es-ES" w:eastAsia="es-ES"/>
        </w:rPr>
      </w:pPr>
    </w:p>
    <w:p w14:paraId="65BF0031" w14:textId="77777777" w:rsidR="001A4860" w:rsidRPr="001A4860" w:rsidRDefault="001A4860" w:rsidP="001A4860">
      <w:pPr>
        <w:rPr>
          <w:sz w:val="22"/>
          <w:szCs w:val="22"/>
          <w:lang w:val="es-ES" w:eastAsia="es-ES"/>
        </w:rPr>
      </w:pPr>
      <w:r w:rsidRPr="001A4860">
        <w:rPr>
          <w:sz w:val="22"/>
          <w:szCs w:val="22"/>
          <w:lang w:val="es-ES" w:eastAsia="es-ES"/>
        </w:rPr>
        <w:t>Estas especificaciones son particulares y se refieren a todos los aspectos de la construcción, en el caso que algún tipo de actividad no esté incluida en estas especificaciones, es responsabilidad del contratista hacer la obra de manera técnicamente correcta y sin ninguna mala intención, es decir no debe valerse del hecho que no esté incluida en las especificaciones.</w:t>
      </w:r>
    </w:p>
    <w:p w14:paraId="6B775262" w14:textId="77777777" w:rsidR="001A4860" w:rsidRPr="001A4860" w:rsidRDefault="001A4860" w:rsidP="001A4860">
      <w:pPr>
        <w:rPr>
          <w:sz w:val="22"/>
          <w:szCs w:val="22"/>
          <w:lang w:val="es-ES" w:eastAsia="es-ES"/>
        </w:rPr>
      </w:pPr>
    </w:p>
    <w:p w14:paraId="5BA059BC" w14:textId="77777777" w:rsidR="001A4860" w:rsidRPr="001A4860" w:rsidRDefault="001A4860" w:rsidP="001A4860">
      <w:pPr>
        <w:rPr>
          <w:sz w:val="22"/>
          <w:szCs w:val="22"/>
          <w:lang w:val="es-ES" w:eastAsia="es-ES"/>
        </w:rPr>
      </w:pPr>
      <w:r w:rsidRPr="001A4860">
        <w:rPr>
          <w:sz w:val="22"/>
          <w:szCs w:val="22"/>
          <w:lang w:val="es-ES" w:eastAsia="es-ES"/>
        </w:rPr>
        <w:t>El contratista debe incluir todos los costos que sean necesarios, sin omitir ninguna actividad, para evitar que sus costos presenten errores y sean los más correctos.</w:t>
      </w:r>
    </w:p>
    <w:p w14:paraId="319F5CEF" w14:textId="77777777" w:rsidR="001A4860" w:rsidRPr="001A4860" w:rsidRDefault="001A4860" w:rsidP="001A4860">
      <w:pPr>
        <w:rPr>
          <w:sz w:val="22"/>
          <w:szCs w:val="22"/>
          <w:lang w:val="es-ES" w:eastAsia="es-ES"/>
        </w:rPr>
      </w:pPr>
    </w:p>
    <w:p w14:paraId="49BD1C48" w14:textId="77777777" w:rsidR="001A4860" w:rsidRPr="001A4860" w:rsidRDefault="001A4860" w:rsidP="001A4860">
      <w:pPr>
        <w:rPr>
          <w:sz w:val="22"/>
          <w:szCs w:val="22"/>
          <w:lang w:val="es-ES" w:eastAsia="es-ES"/>
        </w:rPr>
      </w:pPr>
      <w:r w:rsidRPr="001A4860">
        <w:rPr>
          <w:sz w:val="22"/>
          <w:szCs w:val="22"/>
          <w:lang w:val="es-ES" w:eastAsia="es-ES"/>
        </w:rPr>
        <w:t>Estas especificaciones presentan breve descripción de las operaciones a ser ejecutadas por el Contratista y brindan los datos de las características técnicas mínimas que deben cumplir las obras, instalaciones, equipos, bienes y servicios a ser suministrados por El Contratista. Los cambios que resulten en los diseños, memorias descriptivas y de cálculos, planos, especificaciones e incrementos en las cantidades de obras y presupuesto, deben ser justificados, autorizados y asumidos por la Alcaldía.</w:t>
      </w:r>
    </w:p>
    <w:p w14:paraId="76F2DFBA" w14:textId="77777777" w:rsidR="001A4860" w:rsidRPr="001A4860" w:rsidRDefault="001A4860" w:rsidP="001A4860">
      <w:pPr>
        <w:rPr>
          <w:sz w:val="22"/>
          <w:szCs w:val="22"/>
          <w:lang w:val="es-ES" w:eastAsia="es-ES"/>
        </w:rPr>
      </w:pPr>
    </w:p>
    <w:p w14:paraId="5E7DE026" w14:textId="77777777" w:rsidR="001A4860" w:rsidRPr="001A4860" w:rsidRDefault="001A4860" w:rsidP="001A4860">
      <w:pPr>
        <w:keepNext/>
        <w:keepLines/>
        <w:outlineLvl w:val="0"/>
        <w:rPr>
          <w:b/>
          <w:sz w:val="22"/>
          <w:szCs w:val="22"/>
          <w:lang w:val="es-ES" w:eastAsia="es-ES"/>
        </w:rPr>
      </w:pPr>
      <w:bookmarkStart w:id="438" w:name="_Toc23249316"/>
      <w:bookmarkStart w:id="439" w:name="_Toc195479220"/>
      <w:bookmarkStart w:id="440" w:name="_Toc234745618"/>
      <w:bookmarkStart w:id="441" w:name="_Toc287828373"/>
      <w:bookmarkStart w:id="442" w:name="_Toc475371301"/>
      <w:bookmarkStart w:id="443" w:name="_Toc481596299"/>
      <w:bookmarkStart w:id="444" w:name="_Toc492981616"/>
      <w:r w:rsidRPr="001A4860">
        <w:rPr>
          <w:b/>
          <w:sz w:val="22"/>
          <w:szCs w:val="22"/>
          <w:lang w:val="es-ES" w:eastAsia="es-ES"/>
        </w:rPr>
        <w:t>TRABAJOS PRELIMINARES</w:t>
      </w:r>
      <w:bookmarkEnd w:id="438"/>
    </w:p>
    <w:p w14:paraId="1E0CFC21" w14:textId="77777777" w:rsidR="001A4860" w:rsidRPr="001A4860" w:rsidRDefault="001A4860" w:rsidP="001A4860">
      <w:pPr>
        <w:rPr>
          <w:sz w:val="22"/>
          <w:szCs w:val="22"/>
          <w:lang w:val="es-ES" w:eastAsia="es-ES"/>
        </w:rPr>
      </w:pPr>
    </w:p>
    <w:p w14:paraId="73314E29"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 herramientas, mano de obra, transporte y materiales necesarios para llevar a cabo los </w:t>
      </w:r>
      <w:r w:rsidRPr="001A4860">
        <w:rPr>
          <w:i/>
          <w:sz w:val="22"/>
          <w:szCs w:val="22"/>
          <w:lang w:val="es-ES" w:eastAsia="es-ES"/>
        </w:rPr>
        <w:t>trabajos preliminares</w:t>
      </w:r>
      <w:r w:rsidRPr="001A4860">
        <w:rPr>
          <w:sz w:val="22"/>
          <w:szCs w:val="22"/>
          <w:lang w:val="es-ES" w:eastAsia="es-ES"/>
        </w:rPr>
        <w:t>, en los sitios y dimensiones indicadas en los planos y de acuerdo con lo estipulado en estas especificaciones. Los costos de esta operación son asumidos por El Contratista.</w:t>
      </w:r>
    </w:p>
    <w:p w14:paraId="4590625F" w14:textId="77777777" w:rsidR="001A4860" w:rsidRPr="001A4860" w:rsidRDefault="001A4860" w:rsidP="001A4860">
      <w:pPr>
        <w:rPr>
          <w:sz w:val="22"/>
          <w:szCs w:val="22"/>
          <w:lang w:val="es-ES" w:eastAsia="es-ES"/>
        </w:rPr>
      </w:pPr>
    </w:p>
    <w:p w14:paraId="4F1AAA81" w14:textId="77777777" w:rsidR="001A4860" w:rsidRPr="001A4860" w:rsidRDefault="001A4860" w:rsidP="001A4860">
      <w:pPr>
        <w:rPr>
          <w:sz w:val="22"/>
          <w:szCs w:val="22"/>
          <w:lang w:val="es-ES" w:eastAsia="es-ES"/>
        </w:rPr>
      </w:pPr>
      <w:r w:rsidRPr="001A4860">
        <w:rPr>
          <w:sz w:val="22"/>
          <w:szCs w:val="22"/>
          <w:lang w:val="es-ES" w:eastAsia="es-ES"/>
        </w:rPr>
        <w:t>Transcurrida la entrega del sitio del proyecto por el Supervisor encargado del seguimiento al Contratista, éste es el encargado de la limpieza inicial, trazo y nivelación, construcciones temporales (si las requiere), demoliciones (si las requiere), fabricación de obras de madera (para la ejecución de la obra), instalación de servicios temporales (si se requirieran) y otros trabajos preliminares.</w:t>
      </w:r>
    </w:p>
    <w:p w14:paraId="4D0C0874" w14:textId="77777777" w:rsidR="001A4860" w:rsidRPr="001A4860" w:rsidRDefault="001A4860" w:rsidP="001A4860">
      <w:pPr>
        <w:rPr>
          <w:sz w:val="22"/>
          <w:szCs w:val="22"/>
          <w:lang w:val="es-ES" w:eastAsia="es-ES"/>
        </w:rPr>
      </w:pPr>
    </w:p>
    <w:p w14:paraId="61AD3210" w14:textId="77777777" w:rsidR="001A4860" w:rsidRPr="001A4860" w:rsidRDefault="001A4860" w:rsidP="001A4860">
      <w:pPr>
        <w:rPr>
          <w:sz w:val="22"/>
          <w:szCs w:val="22"/>
          <w:lang w:val="es-ES" w:eastAsia="es-ES"/>
        </w:rPr>
      </w:pPr>
      <w:r w:rsidRPr="001A4860">
        <w:rPr>
          <w:sz w:val="22"/>
          <w:szCs w:val="22"/>
          <w:lang w:val="es-ES" w:eastAsia="es-ES"/>
        </w:rPr>
        <w:t>Esta etapa de la construcción es la que da inicio al proyecto, una vez recibido el sitio, dando además apertura al libro de bitácora. El contratista, antes de iniciar la obra, debe examinar cuidadosamente todos los trabajos adyacentes, de los cuales depende esta obra, de acuerdo a las intenciones de estas especificaciones informando por escrito al Supervisor de la obra cualquier condición que evite al Contratista realizar un trabajo de primera calidad. No se exime al Contratista de ninguna responsabilidad por trabajos adyacentes incompletos o defectuosos, a menos que tales hayan sido notificados al Supervisor por escrito y este los haya aceptado antes de que el contratista inicie cualquier parte de la obra.</w:t>
      </w:r>
    </w:p>
    <w:p w14:paraId="4C668D8B" w14:textId="77777777" w:rsidR="001A4860" w:rsidRPr="001A4860" w:rsidRDefault="001A4860" w:rsidP="001A4860">
      <w:pPr>
        <w:rPr>
          <w:sz w:val="22"/>
          <w:szCs w:val="22"/>
          <w:lang w:val="es-ES" w:eastAsia="es-ES"/>
        </w:rPr>
      </w:pPr>
    </w:p>
    <w:p w14:paraId="1550DF65" w14:textId="77777777" w:rsidR="001A4860" w:rsidRPr="001A4860" w:rsidRDefault="001A4860" w:rsidP="001A4860">
      <w:pPr>
        <w:keepNext/>
        <w:outlineLvl w:val="1"/>
        <w:rPr>
          <w:rFonts w:eastAsia="Arial Narrow"/>
          <w:b/>
          <w:bCs/>
          <w:iCs/>
          <w:sz w:val="22"/>
          <w:szCs w:val="22"/>
          <w:lang w:val="es-NI"/>
        </w:rPr>
      </w:pPr>
      <w:bookmarkStart w:id="445" w:name="_Toc23249317"/>
      <w:r w:rsidRPr="001A4860">
        <w:rPr>
          <w:rFonts w:eastAsia="Arial Narrow"/>
          <w:b/>
          <w:bCs/>
          <w:iCs/>
          <w:sz w:val="22"/>
          <w:szCs w:val="22"/>
          <w:lang w:val="es-NI"/>
        </w:rPr>
        <w:t>Trazado y nivelación</w:t>
      </w:r>
      <w:bookmarkEnd w:id="445"/>
    </w:p>
    <w:p w14:paraId="5A96ED9F" w14:textId="77777777" w:rsidR="001A4860" w:rsidRPr="001A4860" w:rsidRDefault="001A4860" w:rsidP="001A4860">
      <w:pPr>
        <w:rPr>
          <w:sz w:val="22"/>
          <w:szCs w:val="22"/>
          <w:lang w:val="es-ES" w:eastAsia="es-ES"/>
        </w:rPr>
      </w:pPr>
    </w:p>
    <w:p w14:paraId="6B26D4FC"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equipos, incluye equipo topográfico, herramientas, mano de obra, transporte y materiales necesarios para llevar a cabo el </w:t>
      </w:r>
      <w:r w:rsidRPr="001A4860">
        <w:rPr>
          <w:i/>
          <w:sz w:val="22"/>
          <w:szCs w:val="22"/>
          <w:lang w:val="es-ES" w:eastAsia="es-ES"/>
        </w:rPr>
        <w:t>trazo y nivelación</w:t>
      </w:r>
      <w:r w:rsidRPr="001A4860">
        <w:rPr>
          <w:sz w:val="22"/>
          <w:szCs w:val="22"/>
          <w:lang w:val="es-ES" w:eastAsia="es-ES"/>
        </w:rPr>
        <w:t>, en los sitios y dimensiones indicadas en los planos y de acuerdo con lo estipulado en estas especificaciones. Los costos de esta operación son asumidos por El Contratista.</w:t>
      </w:r>
    </w:p>
    <w:p w14:paraId="4BC5BAC9" w14:textId="77777777" w:rsidR="001A4860" w:rsidRPr="001A4860" w:rsidRDefault="001A4860" w:rsidP="001A4860">
      <w:pPr>
        <w:rPr>
          <w:sz w:val="22"/>
          <w:szCs w:val="22"/>
          <w:lang w:val="es-ES" w:eastAsia="es-ES"/>
        </w:rPr>
      </w:pPr>
    </w:p>
    <w:p w14:paraId="7B9B98F1" w14:textId="77777777" w:rsidR="001A4860" w:rsidRPr="001A4860" w:rsidRDefault="001A4860" w:rsidP="001A4860">
      <w:pPr>
        <w:rPr>
          <w:sz w:val="22"/>
          <w:szCs w:val="22"/>
          <w:lang w:val="es-ES" w:eastAsia="es-ES"/>
        </w:rPr>
      </w:pPr>
      <w:r w:rsidRPr="001A4860">
        <w:rPr>
          <w:sz w:val="22"/>
          <w:szCs w:val="22"/>
          <w:lang w:val="es-ES" w:eastAsia="es-ES"/>
        </w:rPr>
        <w:t>Las líneas bases, puntos topográficos de referencia, o de los que el contratista coloque en el caso de infraestructuras pequeñas (cuando no haya estudio topográfico) y los elementos de control necesarios para determinar la indicación y elevación del trabajo en el terreno, están mostrados en los planos o son suministrados por el Supervisor.</w:t>
      </w:r>
    </w:p>
    <w:p w14:paraId="1B475348" w14:textId="77777777" w:rsidR="001A4860" w:rsidRPr="001A4860" w:rsidRDefault="001A4860" w:rsidP="001A4860">
      <w:pPr>
        <w:rPr>
          <w:sz w:val="22"/>
          <w:szCs w:val="22"/>
          <w:lang w:val="es-ES" w:eastAsia="es-ES"/>
        </w:rPr>
      </w:pPr>
    </w:p>
    <w:p w14:paraId="1A52C335" w14:textId="77777777" w:rsidR="001A4860" w:rsidRPr="001A4860" w:rsidRDefault="001A4860" w:rsidP="001A4860">
      <w:pPr>
        <w:rPr>
          <w:sz w:val="22"/>
          <w:szCs w:val="22"/>
          <w:lang w:val="es-ES" w:eastAsia="es-ES"/>
        </w:rPr>
      </w:pPr>
      <w:r w:rsidRPr="001A4860">
        <w:rPr>
          <w:sz w:val="22"/>
          <w:szCs w:val="22"/>
          <w:lang w:val="es-ES" w:eastAsia="es-ES"/>
        </w:rPr>
        <w:lastRenderedPageBreak/>
        <w:t>El contratista traza su trabajo partiendo de las líneas bases y bancos de nivel o puntos topográficos de referencia establecidos en el terreno y de las elevaciones indicadas en los planos, siendo responsable por todas las medidas que así tome. El Contratista es responsable por la ejecución del trabajo en conformidad con las líneas y cotas de elevación indicadas en los planos o establecidas por el Supervisor. El Contratista es responsable de mantener y preservar todas las estacas y otras marcas hasta cuando el Supervisor lo autorice para removerlas. En caso de negligencia del Contratista o de sus empleados que resultare en la destrucción de dichas estacas, antes de su remoción autorizada, el contratista las reemplazara si así lo exigiere el Supervisor.</w:t>
      </w:r>
    </w:p>
    <w:p w14:paraId="741777C1" w14:textId="77777777" w:rsidR="001A4860" w:rsidRPr="001A4860" w:rsidRDefault="001A4860" w:rsidP="001A4860">
      <w:pPr>
        <w:rPr>
          <w:sz w:val="22"/>
          <w:szCs w:val="22"/>
          <w:lang w:val="es-ES" w:eastAsia="es-ES"/>
        </w:rPr>
      </w:pPr>
    </w:p>
    <w:p w14:paraId="435A2D76" w14:textId="77777777" w:rsidR="001A4860" w:rsidRPr="001A4860" w:rsidRDefault="001A4860" w:rsidP="001A4860">
      <w:pPr>
        <w:rPr>
          <w:sz w:val="22"/>
          <w:szCs w:val="22"/>
          <w:lang w:val="es-ES" w:eastAsia="es-ES"/>
        </w:rPr>
      </w:pPr>
      <w:r w:rsidRPr="001A4860">
        <w:rPr>
          <w:sz w:val="22"/>
          <w:szCs w:val="22"/>
          <w:lang w:val="es-ES" w:eastAsia="es-ES"/>
        </w:rPr>
        <w:t xml:space="preserve">Los bancos de nivel y las niveletas deben ser cuidadosamente conservados por el Contratista hasta la aceptación final del trabajo, y si son destruidos o aterrados, su relocalización o construcción es hecha por cuenta del contratista. Cualquier trazado erróneo es corregido por el contratista por su cuenta, en caso que haya obras construidas, erróneamente es perdida para el Contratista. </w:t>
      </w:r>
    </w:p>
    <w:p w14:paraId="758ED591" w14:textId="77777777" w:rsidR="001A4860" w:rsidRPr="001A4860" w:rsidRDefault="001A4860" w:rsidP="001A4860">
      <w:pPr>
        <w:rPr>
          <w:sz w:val="22"/>
          <w:szCs w:val="22"/>
          <w:lang w:val="es-ES" w:eastAsia="es-ES"/>
        </w:rPr>
      </w:pPr>
    </w:p>
    <w:p w14:paraId="03A40361" w14:textId="77777777" w:rsidR="001A4860" w:rsidRPr="001A4860" w:rsidRDefault="001A4860" w:rsidP="001A4860">
      <w:pPr>
        <w:rPr>
          <w:sz w:val="22"/>
          <w:szCs w:val="22"/>
          <w:lang w:val="es-ES" w:eastAsia="es-ES"/>
        </w:rPr>
      </w:pPr>
      <w:r w:rsidRPr="001A4860">
        <w:rPr>
          <w:sz w:val="22"/>
          <w:szCs w:val="22"/>
          <w:lang w:val="es-ES" w:eastAsia="es-ES"/>
        </w:rPr>
        <w:t>Para evitar errores en el trazado de las obras el contratista coloca las suficientes niveletas sencillas, así como dobles en los lugares donde se formen vértices en la construcción, indicando los niveles tomando como referencia los puntos indicados en el plano o indicados por el Supervisor. En caso que el contratista, encontrare errores en el nivel del punto de referencia, lo indica por escrito en el libro de bitácora, antes de comenzar cualquier obra; el Supervisor contesta de la misma manera indicando el nivel correcto; en caso que el Contratista haya incurrido en avances de obras con niveles incorrecto de las terrazas corre por cuenta de él la corrección de la obra.</w:t>
      </w:r>
    </w:p>
    <w:p w14:paraId="462262B3" w14:textId="77777777" w:rsidR="001A4860" w:rsidRPr="001A4860" w:rsidRDefault="001A4860" w:rsidP="001A4860">
      <w:pPr>
        <w:rPr>
          <w:sz w:val="22"/>
          <w:szCs w:val="22"/>
          <w:lang w:val="es-ES" w:eastAsia="es-ES"/>
        </w:rPr>
      </w:pPr>
    </w:p>
    <w:p w14:paraId="30314B4A" w14:textId="77777777" w:rsidR="001A4860" w:rsidRPr="001A4860" w:rsidRDefault="001A4860" w:rsidP="001A4860">
      <w:pPr>
        <w:rPr>
          <w:sz w:val="22"/>
          <w:szCs w:val="22"/>
          <w:lang w:val="es-ES" w:eastAsia="es-ES"/>
        </w:rPr>
      </w:pPr>
      <w:r w:rsidRPr="001A4860">
        <w:rPr>
          <w:sz w:val="22"/>
          <w:szCs w:val="22"/>
          <w:lang w:val="es-ES" w:eastAsia="es-ES"/>
        </w:rPr>
        <w:t>Para el trazado de las obras el contratista usa niveletas de madera o metálicas, de cuartones de 2"x2" y 0.50 metros de alto con reglas de1"x3" debidamente acepillada el canto superior donde se refiere el nivel. Las niveletas sencillas llevan dos cuartones de apoyo de la regla del nivel espaciados a 1.10 metros, para niveletas dobles es tres cuartones espaciados a 1.10 metros, pero formando ángulo recto, la madera puede ser de pino o madera blanca. La terraza donde se hace el trazado de la obra debe quedar debidamente nivelada y compactada a más de 85 % Proctor donde se empieza la excavación para las fundaciones.</w:t>
      </w:r>
    </w:p>
    <w:p w14:paraId="6E221CB0" w14:textId="77777777" w:rsidR="001A4860" w:rsidRPr="001A4860" w:rsidRDefault="001A4860" w:rsidP="001A4860">
      <w:pPr>
        <w:rPr>
          <w:sz w:val="22"/>
          <w:szCs w:val="22"/>
          <w:lang w:val="es-ES" w:eastAsia="es-ES"/>
        </w:rPr>
      </w:pPr>
    </w:p>
    <w:p w14:paraId="2DB37EBB" w14:textId="77777777" w:rsidR="001A4860" w:rsidRPr="001A4860" w:rsidRDefault="001A4860" w:rsidP="001A4860">
      <w:pPr>
        <w:rPr>
          <w:sz w:val="22"/>
          <w:szCs w:val="22"/>
          <w:lang w:val="es-ES" w:eastAsia="es-ES"/>
        </w:rPr>
      </w:pPr>
      <w:r w:rsidRPr="001A4860">
        <w:rPr>
          <w:sz w:val="22"/>
          <w:szCs w:val="22"/>
          <w:lang w:val="es-ES" w:eastAsia="es-ES"/>
        </w:rPr>
        <w:t xml:space="preserve">El contratista comprueba las medidas en los planos, localizando la construcción con precisión en el sitio, de acuerdo con los documentos del contrato. Niveletas estacas de nivelación permanecen en su posición hasta que todas las esquinas y alturas de la obra hayan sido establecidas permanentemente.  El contratista es responsable de proteger de daños todas las líneas, niveles y puntos de referencia y si se destruyen deberán ser reparadas y repuestos por su cuenta, notificando al Supervisor, cuando el trazo esté sustancialmente terminado se solicita si puede eliminarlos. El contratista para hacer el trazo y nivelación, antes tiene que ver las condiciones del terreno, en este caso tiene que cumplir con las condiciones siguientes, si fuera el caso. </w:t>
      </w:r>
    </w:p>
    <w:p w14:paraId="5A1189E6" w14:textId="77777777" w:rsidR="001A4860" w:rsidRPr="001A4860" w:rsidRDefault="001A4860" w:rsidP="001A4860">
      <w:pPr>
        <w:rPr>
          <w:sz w:val="22"/>
          <w:szCs w:val="22"/>
          <w:lang w:val="es-ES" w:eastAsia="es-ES"/>
        </w:rPr>
      </w:pPr>
    </w:p>
    <w:p w14:paraId="6DE41EB5" w14:textId="77777777" w:rsidR="001A4860" w:rsidRPr="001A4860" w:rsidRDefault="001A4860" w:rsidP="001A4860">
      <w:pPr>
        <w:rPr>
          <w:sz w:val="22"/>
          <w:szCs w:val="22"/>
          <w:lang w:val="es-ES" w:eastAsia="es-ES"/>
        </w:rPr>
      </w:pPr>
      <w:r w:rsidRPr="001A4860">
        <w:rPr>
          <w:sz w:val="22"/>
          <w:szCs w:val="22"/>
          <w:lang w:val="es-ES" w:eastAsia="es-ES"/>
        </w:rPr>
        <w:t>A.      El terreno es recibido por el contratista en sus condiciones actuales y considera las recomendaciones suministradas por el Supervisor, sobre estudios geológicos y de suelos, los cuales son entregados al Contratista como parte de los documentos contractuales.</w:t>
      </w:r>
    </w:p>
    <w:p w14:paraId="637B0402" w14:textId="77777777" w:rsidR="001A4860" w:rsidRPr="001A4860" w:rsidRDefault="001A4860" w:rsidP="001A4860">
      <w:pPr>
        <w:rPr>
          <w:sz w:val="22"/>
          <w:szCs w:val="22"/>
          <w:lang w:val="es-ES" w:eastAsia="es-ES"/>
        </w:rPr>
      </w:pPr>
      <w:r w:rsidRPr="001A4860">
        <w:rPr>
          <w:sz w:val="22"/>
          <w:szCs w:val="22"/>
          <w:lang w:val="es-ES" w:eastAsia="es-ES"/>
        </w:rPr>
        <w:t>B.      El Contratista es responsable por el cumplimiento de tales recomendaciones y por las pruebas de verificación que contrata por su cuenta con un Laboratorio de Suelos aprobado por el Supervisor.</w:t>
      </w:r>
    </w:p>
    <w:p w14:paraId="01559D1E" w14:textId="77777777" w:rsidR="001A4860" w:rsidRPr="001A4860" w:rsidRDefault="001A4860" w:rsidP="001A4860">
      <w:pPr>
        <w:rPr>
          <w:sz w:val="22"/>
          <w:szCs w:val="22"/>
          <w:lang w:val="es-ES" w:eastAsia="es-ES"/>
        </w:rPr>
      </w:pPr>
    </w:p>
    <w:p w14:paraId="4C7939F3" w14:textId="77777777" w:rsidR="001A4860" w:rsidRPr="001A4860" w:rsidRDefault="001A4860" w:rsidP="001A4860">
      <w:pPr>
        <w:rPr>
          <w:sz w:val="22"/>
          <w:szCs w:val="22"/>
          <w:lang w:val="es-ES" w:eastAsia="es-ES"/>
        </w:rPr>
      </w:pPr>
      <w:r w:rsidRPr="001A4860">
        <w:rPr>
          <w:sz w:val="22"/>
          <w:szCs w:val="22"/>
          <w:lang w:val="es-ES" w:eastAsia="es-ES"/>
        </w:rPr>
        <w:t>Es igualmente obligación del Contratista notificar al Contratante a través del Supervisor, sobre las condiciones inesperadas o sospechosas que se detecten en el terreno durante el proceso de la construcción, en el caso que esto se presente el Contratista puede contratar los servicios de ingeniería de suelos para realizar un estudio complementario al presentado por el Contratante, y es opción del Contratante contratar los servicios de este u otro Laboratorio de Suelos para realizar el estudio complementario.</w:t>
      </w:r>
    </w:p>
    <w:p w14:paraId="61B10601" w14:textId="77777777" w:rsidR="001A4860" w:rsidRPr="001A4860" w:rsidRDefault="001A4860" w:rsidP="001A4860">
      <w:pPr>
        <w:rPr>
          <w:sz w:val="22"/>
          <w:szCs w:val="22"/>
          <w:lang w:val="es-ES" w:eastAsia="es-ES"/>
        </w:rPr>
      </w:pPr>
    </w:p>
    <w:p w14:paraId="5F403ACA" w14:textId="77777777" w:rsidR="001A4860" w:rsidRPr="001A4860" w:rsidRDefault="001A4860" w:rsidP="001A4860">
      <w:pPr>
        <w:rPr>
          <w:sz w:val="22"/>
          <w:szCs w:val="22"/>
          <w:lang w:val="es-ES" w:eastAsia="es-ES"/>
        </w:rPr>
      </w:pPr>
      <w:r w:rsidRPr="001A4860">
        <w:rPr>
          <w:sz w:val="22"/>
          <w:szCs w:val="22"/>
          <w:lang w:val="es-ES" w:eastAsia="es-ES"/>
        </w:rPr>
        <w:lastRenderedPageBreak/>
        <w:t>El Contratista controla la nivelación alrededor de la obra, de manera que en cualquier sitio el terreno se aleje de las paredes de la obra siguiendo una pendiente del 2%, excepto donde se indique lo contrario. Así mismo, el Contratista desvía y canaliza correctamente cualquier corriente o inclinación del terreno que pueda resultar en perjuicio de la obra tanto superficialmente como subterránea.  Los costos de esta actividad son asumidos por el Contratista.</w:t>
      </w:r>
    </w:p>
    <w:p w14:paraId="3E1C3CD6" w14:textId="77777777" w:rsidR="001A4860" w:rsidRPr="001A4860" w:rsidRDefault="001A4860" w:rsidP="001A4860">
      <w:pPr>
        <w:rPr>
          <w:b/>
          <w:sz w:val="22"/>
          <w:szCs w:val="22"/>
          <w:lang w:val="es-ES" w:eastAsia="es-ES"/>
        </w:rPr>
      </w:pPr>
    </w:p>
    <w:p w14:paraId="5C56B555" w14:textId="77777777" w:rsidR="001A4860" w:rsidRPr="001A4860" w:rsidRDefault="001A4860" w:rsidP="001A4860">
      <w:pPr>
        <w:keepNext/>
        <w:outlineLvl w:val="1"/>
        <w:rPr>
          <w:rFonts w:eastAsia="Arial Narrow"/>
          <w:b/>
          <w:bCs/>
          <w:iCs/>
          <w:sz w:val="22"/>
          <w:szCs w:val="22"/>
          <w:lang w:val="es-NI"/>
        </w:rPr>
      </w:pPr>
      <w:bookmarkStart w:id="446" w:name="_Toc23249318"/>
      <w:r w:rsidRPr="001A4860">
        <w:rPr>
          <w:rFonts w:eastAsia="Arial Narrow"/>
          <w:b/>
          <w:bCs/>
          <w:iCs/>
          <w:sz w:val="22"/>
          <w:szCs w:val="22"/>
          <w:lang w:val="es-NI"/>
        </w:rPr>
        <w:t>Rótulo</w:t>
      </w:r>
      <w:bookmarkEnd w:id="446"/>
    </w:p>
    <w:p w14:paraId="057764AF" w14:textId="77777777" w:rsidR="001A4860" w:rsidRPr="001A4860" w:rsidRDefault="001A4860" w:rsidP="001A4860">
      <w:pPr>
        <w:rPr>
          <w:sz w:val="22"/>
          <w:szCs w:val="22"/>
          <w:lang w:val="es-ES" w:eastAsia="es-ES"/>
        </w:rPr>
      </w:pPr>
    </w:p>
    <w:p w14:paraId="505E4924"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 herramientas, mano de obra, transporte y materiales necesarios para llevar a cabo los trabajos de </w:t>
      </w:r>
      <w:r w:rsidRPr="001A4860">
        <w:rPr>
          <w:i/>
          <w:sz w:val="22"/>
          <w:szCs w:val="22"/>
          <w:lang w:val="es-ES" w:eastAsia="es-ES"/>
        </w:rPr>
        <w:t>preparación e instalación de rótulo</w:t>
      </w:r>
      <w:r w:rsidRPr="001A4860">
        <w:rPr>
          <w:sz w:val="22"/>
          <w:szCs w:val="22"/>
          <w:lang w:val="es-ES" w:eastAsia="es-ES"/>
        </w:rPr>
        <w:t>, de confromidad con dimensiones indicadas, colores, tamaño y tipo de letras, contenido de leyendas y logos establecidos en los planos. El rótulo debe ser instalado en lugar visible al público y de acuerdo con lo estipulado en estas especificaciones. Los costos de esta operación son asumidos por El Contratista.</w:t>
      </w:r>
    </w:p>
    <w:p w14:paraId="4C28D36D" w14:textId="77777777" w:rsidR="001A4860" w:rsidRPr="001A4860" w:rsidRDefault="001A4860" w:rsidP="001A4860">
      <w:pPr>
        <w:rPr>
          <w:sz w:val="22"/>
          <w:szCs w:val="22"/>
          <w:lang w:val="es-ES" w:eastAsia="es-ES"/>
        </w:rPr>
      </w:pPr>
    </w:p>
    <w:p w14:paraId="5543E546" w14:textId="77777777" w:rsidR="001A4860" w:rsidRPr="001A4860" w:rsidRDefault="001A4860" w:rsidP="001A4860">
      <w:pPr>
        <w:rPr>
          <w:sz w:val="22"/>
          <w:szCs w:val="22"/>
          <w:lang w:val="es-ES" w:eastAsia="es-ES"/>
        </w:rPr>
      </w:pPr>
      <w:r w:rsidRPr="001A4860">
        <w:rPr>
          <w:sz w:val="22"/>
          <w:szCs w:val="22"/>
          <w:lang w:val="es-ES" w:eastAsia="es-ES"/>
        </w:rPr>
        <w:t>Todo proyecto de agua, saneamiento e higiene cofinanciado por el FISE, lleva un rótulo. El rótulo es de estructura de acero con bases de concreto reforzado y resistencia a la compresión indicada en los planos, incluye pintura anticorrosiva y forro de lámina de zinc liso aprobada por el Supervisor. Tiene dimensiones indicadas en los planos. En ningún caso el contratista debe usar el rótulo para indicar quien es el Constructor, debe ceñirse a poner las leyendas que se indican en los planos. En caso de hacer caso omiso de esta última advertencia, el Supervisor, tiene la obligación de detener la obra, hasta que el Contratista quite la leyenda que propagandea su empresa.</w:t>
      </w:r>
    </w:p>
    <w:p w14:paraId="28BF7EC1" w14:textId="77777777" w:rsidR="001A4860" w:rsidRPr="001A4860" w:rsidRDefault="001A4860" w:rsidP="001A4860">
      <w:pPr>
        <w:rPr>
          <w:sz w:val="22"/>
          <w:szCs w:val="22"/>
          <w:lang w:val="es-ES" w:eastAsia="es-ES"/>
        </w:rPr>
      </w:pPr>
    </w:p>
    <w:p w14:paraId="556E8129" w14:textId="77777777" w:rsidR="001A4860" w:rsidRPr="001A4860" w:rsidRDefault="001A4860" w:rsidP="001A4860">
      <w:pPr>
        <w:keepNext/>
        <w:keepLines/>
        <w:outlineLvl w:val="0"/>
        <w:rPr>
          <w:b/>
          <w:sz w:val="22"/>
          <w:szCs w:val="22"/>
          <w:lang w:val="es-ES" w:eastAsia="es-ES"/>
        </w:rPr>
      </w:pPr>
      <w:bookmarkStart w:id="447" w:name="_Toc23249319"/>
      <w:r w:rsidRPr="001A4860">
        <w:rPr>
          <w:b/>
          <w:sz w:val="22"/>
          <w:szCs w:val="22"/>
          <w:lang w:val="es-ES" w:eastAsia="es-ES"/>
        </w:rPr>
        <w:t>ESPECIFICACIONES TÉCNICAS PARA TUBERÍA DE CONDUCCION Y RED DE DISTRIBUCION</w:t>
      </w:r>
      <w:bookmarkEnd w:id="447"/>
    </w:p>
    <w:p w14:paraId="0B5DF3F0" w14:textId="77777777" w:rsidR="001A4860" w:rsidRPr="001A4860" w:rsidRDefault="001A4860" w:rsidP="001A4860">
      <w:pPr>
        <w:rPr>
          <w:b/>
          <w:sz w:val="22"/>
          <w:szCs w:val="22"/>
          <w:lang w:val="es-ES" w:eastAsia="es-ES"/>
        </w:rPr>
      </w:pPr>
    </w:p>
    <w:p w14:paraId="2E640333" w14:textId="77777777" w:rsidR="001A4860" w:rsidRPr="001A4860" w:rsidRDefault="001A4860" w:rsidP="001A4860">
      <w:pPr>
        <w:keepNext/>
        <w:outlineLvl w:val="1"/>
        <w:rPr>
          <w:rFonts w:eastAsia="Arial Narrow"/>
          <w:b/>
          <w:bCs/>
          <w:iCs/>
          <w:sz w:val="22"/>
          <w:szCs w:val="22"/>
          <w:lang w:val="es-NI"/>
        </w:rPr>
      </w:pPr>
      <w:bookmarkStart w:id="448" w:name="_Toc195479221"/>
      <w:bookmarkStart w:id="449" w:name="_Toc234745619"/>
      <w:bookmarkStart w:id="450" w:name="_Toc295977186"/>
      <w:bookmarkStart w:id="451" w:name="_Toc475371302"/>
      <w:bookmarkStart w:id="452" w:name="_Toc481596300"/>
      <w:bookmarkStart w:id="453" w:name="_Toc492981617"/>
      <w:bookmarkStart w:id="454" w:name="_Toc23249320"/>
      <w:r w:rsidRPr="001A4860">
        <w:rPr>
          <w:rFonts w:eastAsia="Arial Narrow"/>
          <w:b/>
          <w:bCs/>
          <w:iCs/>
          <w:sz w:val="22"/>
          <w:szCs w:val="22"/>
          <w:lang w:val="es-NI"/>
        </w:rPr>
        <w:t>Especificaciones Técnicas de Materiales.</w:t>
      </w:r>
      <w:bookmarkEnd w:id="448"/>
      <w:bookmarkEnd w:id="449"/>
      <w:bookmarkEnd w:id="450"/>
      <w:bookmarkEnd w:id="451"/>
      <w:bookmarkEnd w:id="452"/>
      <w:bookmarkEnd w:id="453"/>
      <w:bookmarkEnd w:id="454"/>
    </w:p>
    <w:p w14:paraId="4DDB7A2B" w14:textId="77777777" w:rsidR="001A4860" w:rsidRPr="001A4860" w:rsidRDefault="001A4860" w:rsidP="001A4860">
      <w:pPr>
        <w:rPr>
          <w:sz w:val="22"/>
          <w:szCs w:val="22"/>
          <w:lang w:val="es-ES" w:eastAsia="es-ES"/>
        </w:rPr>
      </w:pPr>
    </w:p>
    <w:p w14:paraId="77EA97C3" w14:textId="77777777" w:rsidR="001A4860" w:rsidRPr="001A4860" w:rsidRDefault="001A4860" w:rsidP="001A4860">
      <w:pPr>
        <w:rPr>
          <w:sz w:val="22"/>
          <w:szCs w:val="22"/>
          <w:lang w:val="es-ES" w:eastAsia="es-ES"/>
        </w:rPr>
      </w:pPr>
      <w:r w:rsidRPr="001A4860">
        <w:rPr>
          <w:sz w:val="22"/>
          <w:szCs w:val="22"/>
          <w:lang w:val="es-ES" w:eastAsia="es-ES"/>
        </w:rPr>
        <w:t>Este acápite incluye el suministro de todo material, señalados en los planos y descritos en estas especificaciones o indicadas por El Supervisor</w:t>
      </w:r>
      <w:bookmarkStart w:id="455" w:name="_Toc195479222"/>
      <w:bookmarkStart w:id="456" w:name="_Toc234745620"/>
      <w:bookmarkStart w:id="457" w:name="_Toc295977187"/>
    </w:p>
    <w:p w14:paraId="7DCD135D" w14:textId="77777777" w:rsidR="001A4860" w:rsidRPr="001A4860" w:rsidRDefault="001A4860" w:rsidP="001A4860">
      <w:pPr>
        <w:rPr>
          <w:sz w:val="22"/>
          <w:szCs w:val="22"/>
          <w:lang w:val="es-ES" w:eastAsia="es-ES"/>
        </w:rPr>
      </w:pPr>
    </w:p>
    <w:p w14:paraId="3F6CDCFB" w14:textId="77777777" w:rsidR="001A4860" w:rsidRPr="001A4860" w:rsidRDefault="001A4860" w:rsidP="001A4860">
      <w:pPr>
        <w:keepNext/>
        <w:ind w:left="720" w:hanging="720"/>
        <w:outlineLvl w:val="2"/>
        <w:rPr>
          <w:rFonts w:eastAsia="Arial Narrow"/>
          <w:b/>
          <w:bCs/>
          <w:iCs/>
          <w:sz w:val="22"/>
          <w:szCs w:val="22"/>
          <w:lang w:val="es-ES" w:bidi="en-US"/>
        </w:rPr>
      </w:pPr>
      <w:bookmarkStart w:id="458" w:name="_Toc475371303"/>
      <w:bookmarkStart w:id="459" w:name="_Toc481596301"/>
      <w:bookmarkStart w:id="460" w:name="_Toc492981618"/>
      <w:bookmarkStart w:id="461" w:name="_Toc23249321"/>
      <w:r w:rsidRPr="001A4860">
        <w:rPr>
          <w:rFonts w:eastAsia="Arial Narrow"/>
          <w:b/>
          <w:bCs/>
          <w:iCs/>
          <w:sz w:val="22"/>
          <w:szCs w:val="22"/>
          <w:lang w:val="es-ES" w:bidi="en-US"/>
        </w:rPr>
        <w:t>Tuberías y accesorios de PVC (Cloruro de Polivinilo)</w:t>
      </w:r>
      <w:bookmarkStart w:id="462" w:name="_Toc176567890"/>
      <w:bookmarkStart w:id="463" w:name="_Toc193462791"/>
      <w:bookmarkStart w:id="464" w:name="_Toc534800093"/>
      <w:bookmarkStart w:id="465" w:name="_Toc182405187"/>
      <w:bookmarkStart w:id="466" w:name="_Toc188197840"/>
      <w:bookmarkStart w:id="467" w:name="_Toc188252756"/>
      <w:bookmarkEnd w:id="455"/>
      <w:bookmarkEnd w:id="456"/>
      <w:bookmarkEnd w:id="457"/>
      <w:bookmarkEnd w:id="458"/>
      <w:bookmarkEnd w:id="459"/>
      <w:bookmarkEnd w:id="460"/>
      <w:bookmarkEnd w:id="461"/>
    </w:p>
    <w:p w14:paraId="4E666F4F" w14:textId="77777777" w:rsidR="001A4860" w:rsidRPr="001A4860" w:rsidRDefault="001A4860" w:rsidP="001A4860">
      <w:pPr>
        <w:rPr>
          <w:sz w:val="22"/>
          <w:szCs w:val="22"/>
          <w:lang w:val="es-ES" w:eastAsia="es-ES"/>
        </w:rPr>
      </w:pPr>
    </w:p>
    <w:p w14:paraId="4AC919A4" w14:textId="77777777" w:rsidR="001A4860" w:rsidRPr="001A4860" w:rsidRDefault="001A4860" w:rsidP="001A4860">
      <w:pPr>
        <w:keepNext/>
        <w:jc w:val="left"/>
        <w:outlineLvl w:val="3"/>
        <w:rPr>
          <w:b/>
          <w:bCs/>
          <w:sz w:val="22"/>
          <w:szCs w:val="22"/>
          <w:lang w:val="es-ES" w:eastAsia="es-ES"/>
        </w:rPr>
      </w:pPr>
      <w:bookmarkStart w:id="468" w:name="_Toc234745621"/>
      <w:bookmarkStart w:id="469" w:name="_Toc492981619"/>
      <w:bookmarkStart w:id="470" w:name="_Toc23249322"/>
      <w:bookmarkEnd w:id="462"/>
      <w:bookmarkEnd w:id="463"/>
      <w:r w:rsidRPr="001A4860">
        <w:rPr>
          <w:b/>
          <w:bCs/>
          <w:sz w:val="22"/>
          <w:szCs w:val="22"/>
          <w:lang w:val="es-ES" w:eastAsia="es-ES"/>
        </w:rPr>
        <w:t>Tubería</w:t>
      </w:r>
      <w:bookmarkEnd w:id="468"/>
      <w:r w:rsidRPr="001A4860">
        <w:rPr>
          <w:b/>
          <w:bCs/>
          <w:sz w:val="22"/>
          <w:szCs w:val="22"/>
          <w:lang w:val="es-ES" w:eastAsia="es-ES"/>
        </w:rPr>
        <w:t xml:space="preserve"> PVC</w:t>
      </w:r>
      <w:bookmarkEnd w:id="469"/>
      <w:bookmarkEnd w:id="470"/>
    </w:p>
    <w:bookmarkEnd w:id="464"/>
    <w:bookmarkEnd w:id="465"/>
    <w:bookmarkEnd w:id="466"/>
    <w:bookmarkEnd w:id="467"/>
    <w:p w14:paraId="1FE990A8" w14:textId="77777777" w:rsidR="001A4860" w:rsidRPr="001A4860" w:rsidRDefault="001A4860" w:rsidP="001A4860">
      <w:pPr>
        <w:rPr>
          <w:sz w:val="22"/>
          <w:szCs w:val="22"/>
          <w:lang w:val="es-ES" w:eastAsia="es-ES"/>
        </w:rPr>
      </w:pPr>
    </w:p>
    <w:p w14:paraId="5E5F3BF8" w14:textId="77777777" w:rsidR="001A4860" w:rsidRPr="001A4860" w:rsidRDefault="001A4860" w:rsidP="001A4860">
      <w:pPr>
        <w:rPr>
          <w:sz w:val="22"/>
          <w:szCs w:val="22"/>
          <w:lang w:val="es-ES" w:eastAsia="es-ES"/>
        </w:rPr>
      </w:pPr>
      <w:r w:rsidRPr="001A4860">
        <w:rPr>
          <w:sz w:val="22"/>
          <w:szCs w:val="22"/>
          <w:lang w:val="es-ES" w:eastAsia="es-ES"/>
        </w:rPr>
        <w:t xml:space="preserve">Se deben ofertar tuberías de Cloruro de Polivinilo (PVC), correspondientes a la tubería designada por SDR-26 y SDR-17, según la Especificación Estándar ASTM D 1785 para agua potable. </w:t>
      </w:r>
    </w:p>
    <w:p w14:paraId="068C891E" w14:textId="77777777" w:rsidR="001A4860" w:rsidRPr="001A4860" w:rsidRDefault="001A4860" w:rsidP="001A4860">
      <w:pPr>
        <w:rPr>
          <w:sz w:val="22"/>
          <w:szCs w:val="22"/>
          <w:lang w:val="es-ES" w:eastAsia="es-ES"/>
        </w:rPr>
      </w:pPr>
    </w:p>
    <w:p w14:paraId="5874E637" w14:textId="77777777" w:rsidR="001A4860" w:rsidRPr="001A4860" w:rsidRDefault="001A4860" w:rsidP="001A4860">
      <w:pPr>
        <w:rPr>
          <w:sz w:val="22"/>
          <w:szCs w:val="22"/>
          <w:lang w:val="es-ES" w:eastAsia="es-ES"/>
        </w:rPr>
      </w:pPr>
      <w:r w:rsidRPr="001A4860">
        <w:rPr>
          <w:i/>
          <w:sz w:val="22"/>
          <w:szCs w:val="22"/>
          <w:lang w:val="es-ES" w:eastAsia="es-ES"/>
        </w:rPr>
        <w:t>Los tubos con diámetros nominal menor o igual que 38 mm (1½”), tienen extremos del tipo espiga y campana para ser unidos entre sí mediante el empleo de juntas cementadas.</w:t>
      </w:r>
      <w:r w:rsidRPr="001A4860">
        <w:rPr>
          <w:sz w:val="22"/>
          <w:szCs w:val="22"/>
          <w:lang w:val="es-ES" w:eastAsia="es-ES"/>
        </w:rPr>
        <w:t xml:space="preserve"> Para su unión, se debe usar cemento solvente, consiste en una solución de PVC clase 1254-B, el cual debe cumplir con la norma ASTM-D-2564 y </w:t>
      </w:r>
      <w:r w:rsidRPr="001A4860">
        <w:rPr>
          <w:i/>
          <w:sz w:val="22"/>
          <w:szCs w:val="22"/>
          <w:lang w:val="es-ES" w:eastAsia="es-ES"/>
        </w:rPr>
        <w:t>la tubería mayor o igual que 2 pulgadas de diámetro, es Clase SDR-26 del tipo de unión flexible, tipo PUSH-ON ó TYTON ó JUNTA RAPIDA</w:t>
      </w:r>
      <w:r w:rsidRPr="001A4860">
        <w:rPr>
          <w:sz w:val="22"/>
          <w:szCs w:val="22"/>
          <w:lang w:val="es-ES" w:eastAsia="es-ES"/>
        </w:rPr>
        <w:t xml:space="preserve">, es decir, que en el interior de uno de sus extremos trae incorporado un empaque de caucho o neopreno que se inserta en el extremo libre del otro tubo, haciendo un sello perfecto. </w:t>
      </w:r>
    </w:p>
    <w:p w14:paraId="17B0AD2A" w14:textId="77777777" w:rsidR="001A4860" w:rsidRPr="001A4860" w:rsidRDefault="001A4860" w:rsidP="001A4860">
      <w:pPr>
        <w:rPr>
          <w:sz w:val="22"/>
          <w:szCs w:val="22"/>
          <w:lang w:val="es-ES" w:eastAsia="es-ES"/>
        </w:rPr>
      </w:pPr>
    </w:p>
    <w:p w14:paraId="6FEFEE49" w14:textId="77777777" w:rsidR="001A4860" w:rsidRPr="001A4860" w:rsidRDefault="001A4860" w:rsidP="001A4860">
      <w:pPr>
        <w:rPr>
          <w:sz w:val="22"/>
          <w:szCs w:val="22"/>
          <w:lang w:val="es-ES" w:eastAsia="es-ES"/>
        </w:rPr>
      </w:pPr>
      <w:r w:rsidRPr="001A4860">
        <w:rPr>
          <w:sz w:val="22"/>
          <w:szCs w:val="22"/>
          <w:lang w:val="es-ES" w:eastAsia="es-ES"/>
        </w:rPr>
        <w:t>Las propiedades físicas de las tuberías son probadas de conformidad a la última versión de las Normas ASTM D2241, D1598 y D1599, para la presión sostenida, presión de estallido, integridad hidrostática, aplastamiento y calidad de la extrusión.</w:t>
      </w:r>
    </w:p>
    <w:p w14:paraId="6295520A" w14:textId="77777777" w:rsidR="001A4860" w:rsidRPr="001A4860" w:rsidRDefault="001A4860" w:rsidP="001A4860">
      <w:pPr>
        <w:rPr>
          <w:sz w:val="22"/>
          <w:szCs w:val="22"/>
          <w:lang w:val="es-ES" w:eastAsia="es-ES"/>
        </w:rPr>
      </w:pPr>
    </w:p>
    <w:p w14:paraId="15793CA7" w14:textId="77777777" w:rsidR="001A4860" w:rsidRPr="001A4860" w:rsidRDefault="001A4860" w:rsidP="001A4860">
      <w:pPr>
        <w:rPr>
          <w:sz w:val="22"/>
          <w:szCs w:val="22"/>
          <w:lang w:val="es-ES" w:eastAsia="es-ES"/>
        </w:rPr>
      </w:pPr>
      <w:r w:rsidRPr="001A4860">
        <w:rPr>
          <w:sz w:val="22"/>
          <w:szCs w:val="22"/>
          <w:lang w:val="es-ES" w:eastAsia="es-ES"/>
        </w:rPr>
        <w:lastRenderedPageBreak/>
        <w:t>La tubería de PVC es fabricada de compuestos vírgenes de clase igual o superior a las clases 12454-B, 12454-C, 14333-D, según lo define la Especificación ASTM D 1784. Los compuestos usados en la fabricación de las tuberías y accesorios no deben contener ingredientes solubles en agua en una cantidad tal que su migración en determinadas cantidades en el agua sea tóxica y no permitida, según las normas de calidad OPS/OMS para el agua potable.</w:t>
      </w:r>
    </w:p>
    <w:p w14:paraId="67187F2C" w14:textId="77777777" w:rsidR="001A4860" w:rsidRPr="001A4860" w:rsidRDefault="001A4860" w:rsidP="001A4860">
      <w:pPr>
        <w:rPr>
          <w:sz w:val="22"/>
          <w:szCs w:val="22"/>
          <w:lang w:val="es-ES" w:eastAsia="es-ES"/>
        </w:rPr>
      </w:pPr>
    </w:p>
    <w:p w14:paraId="31D3B724" w14:textId="77777777" w:rsidR="001A4860" w:rsidRPr="001A4860" w:rsidRDefault="001A4860" w:rsidP="001A4860">
      <w:pPr>
        <w:rPr>
          <w:sz w:val="22"/>
          <w:szCs w:val="22"/>
          <w:lang w:val="es-ES" w:eastAsia="es-ES"/>
        </w:rPr>
      </w:pPr>
      <w:r w:rsidRPr="001A4860">
        <w:rPr>
          <w:sz w:val="22"/>
          <w:szCs w:val="22"/>
          <w:lang w:val="es-ES" w:eastAsia="es-ES"/>
        </w:rPr>
        <w:t>Es de hacer notar que no se aceptan materiales que contengan plomo y sus derivados, o materiales solubles en agua u otros que perjudiquen la calidad específica de la tubería.</w:t>
      </w:r>
    </w:p>
    <w:p w14:paraId="2225B918" w14:textId="77777777" w:rsidR="001A4860" w:rsidRPr="001A4860" w:rsidRDefault="001A4860" w:rsidP="001A4860">
      <w:pPr>
        <w:rPr>
          <w:sz w:val="22"/>
          <w:szCs w:val="22"/>
          <w:lang w:val="es-ES" w:eastAsia="es-ES"/>
        </w:rPr>
      </w:pPr>
    </w:p>
    <w:p w14:paraId="1C3A9F78" w14:textId="77777777" w:rsidR="001A4860" w:rsidRPr="001A4860" w:rsidRDefault="001A4860" w:rsidP="001A4860">
      <w:pPr>
        <w:rPr>
          <w:sz w:val="22"/>
          <w:szCs w:val="22"/>
          <w:lang w:val="es-ES" w:eastAsia="es-ES"/>
        </w:rPr>
      </w:pPr>
      <w:r w:rsidRPr="001A4860">
        <w:rPr>
          <w:i/>
          <w:sz w:val="22"/>
          <w:szCs w:val="22"/>
          <w:lang w:val="es-ES" w:eastAsia="es-ES"/>
        </w:rPr>
        <w:t>Dimensiones:</w:t>
      </w:r>
      <w:r w:rsidRPr="001A4860">
        <w:rPr>
          <w:sz w:val="22"/>
          <w:szCs w:val="22"/>
          <w:lang w:val="es-ES" w:eastAsia="es-ES"/>
        </w:rPr>
        <w:t xml:space="preserve"> Los diámetros, espesores de paredes y longitudes de la tubería son determinados conforme a lo establecido por el Método de Prueba Estándar ASTM D2122.</w:t>
      </w:r>
    </w:p>
    <w:p w14:paraId="10047897" w14:textId="77777777" w:rsidR="001A4860" w:rsidRPr="001A4860" w:rsidRDefault="001A4860" w:rsidP="001A4860">
      <w:pPr>
        <w:rPr>
          <w:sz w:val="22"/>
          <w:szCs w:val="22"/>
          <w:lang w:val="es-ES" w:eastAsia="es-ES"/>
        </w:rPr>
      </w:pPr>
    </w:p>
    <w:p w14:paraId="169302F6" w14:textId="77777777" w:rsidR="001A4860" w:rsidRPr="001A4860" w:rsidRDefault="001A4860" w:rsidP="001A4860">
      <w:pPr>
        <w:rPr>
          <w:sz w:val="22"/>
          <w:szCs w:val="22"/>
          <w:lang w:val="es-ES" w:eastAsia="es-ES"/>
        </w:rPr>
      </w:pPr>
      <w:r w:rsidRPr="001A4860">
        <w:rPr>
          <w:i/>
          <w:sz w:val="22"/>
          <w:szCs w:val="22"/>
          <w:lang w:val="es-ES" w:eastAsia="es-ES"/>
        </w:rPr>
        <w:t>Longitudes estándares:</w:t>
      </w:r>
      <w:r w:rsidRPr="001A4860">
        <w:rPr>
          <w:sz w:val="22"/>
          <w:szCs w:val="22"/>
          <w:lang w:val="es-ES" w:eastAsia="es-ES"/>
        </w:rPr>
        <w:t xml:space="preserve"> La tubería debe suministrarse en longitudes estándares de 20 pies ± 1 pulgada (6.1 m ± 25 mm). Un máximo del 5% de la longitud de cada diámetro puede suministrarse en longitudes variables que no sean menores a los 10 pies (3 m.)</w:t>
      </w:r>
    </w:p>
    <w:p w14:paraId="20E5637F" w14:textId="77777777" w:rsidR="001A4860" w:rsidRPr="001A4860" w:rsidRDefault="001A4860" w:rsidP="001A4860">
      <w:pPr>
        <w:rPr>
          <w:sz w:val="22"/>
          <w:szCs w:val="22"/>
          <w:lang w:val="es-ES" w:eastAsia="es-ES"/>
        </w:rPr>
      </w:pPr>
    </w:p>
    <w:p w14:paraId="1B26C798" w14:textId="77777777" w:rsidR="001A4860" w:rsidRPr="001A4860" w:rsidRDefault="001A4860" w:rsidP="001A4860">
      <w:pPr>
        <w:rPr>
          <w:sz w:val="22"/>
          <w:szCs w:val="22"/>
          <w:lang w:val="es-ES" w:eastAsia="es-ES"/>
        </w:rPr>
      </w:pPr>
      <w:r w:rsidRPr="001A4860">
        <w:rPr>
          <w:i/>
          <w:sz w:val="22"/>
          <w:szCs w:val="22"/>
          <w:lang w:val="es-ES" w:eastAsia="es-ES"/>
        </w:rPr>
        <w:t>Empaques de caucho y lubricantes:</w:t>
      </w:r>
      <w:r w:rsidRPr="001A4860">
        <w:rPr>
          <w:sz w:val="22"/>
          <w:szCs w:val="22"/>
          <w:lang w:val="es-ES" w:eastAsia="es-ES"/>
        </w:rPr>
        <w:t xml:space="preserve"> Los empaques y lubricantes proyectados para usarse con la tubería de P.V.C., deben ser fabricados de material que sean compatibles el uno al otro con el material de plástico, cuando son usados juntos. El material no debe soportar el crecimiento de bacterias ni adversamente afectar la calidad potable del agua que está siendo transportada.</w:t>
      </w:r>
    </w:p>
    <w:p w14:paraId="39C3DE7F" w14:textId="77777777" w:rsidR="001A4860" w:rsidRPr="001A4860" w:rsidRDefault="001A4860" w:rsidP="001A4860">
      <w:pPr>
        <w:rPr>
          <w:sz w:val="22"/>
          <w:szCs w:val="22"/>
          <w:lang w:val="es-ES" w:eastAsia="es-ES"/>
        </w:rPr>
      </w:pPr>
    </w:p>
    <w:p w14:paraId="2A3B8488" w14:textId="77777777" w:rsidR="001A4860" w:rsidRPr="001A4860" w:rsidRDefault="001A4860" w:rsidP="001A4860">
      <w:pPr>
        <w:rPr>
          <w:sz w:val="22"/>
          <w:szCs w:val="22"/>
          <w:lang w:val="es-ES" w:eastAsia="es-ES"/>
        </w:rPr>
      </w:pPr>
      <w:r w:rsidRPr="001A4860">
        <w:rPr>
          <w:sz w:val="22"/>
          <w:szCs w:val="22"/>
          <w:lang w:val="es-ES" w:eastAsia="es-ES"/>
        </w:rPr>
        <w:t>Debe suministrarse el lubricante recomendado, para lograr la unión de las tuberías, en un 30% en exceso de la cantidad estimada requerida. Los empaques de caucho de las tuberías PVC son moldeados en una sola pieza y son conforme con los requerimientos de ASTM F477 para aplicación de alta carga hidráulica.</w:t>
      </w:r>
    </w:p>
    <w:p w14:paraId="48581971" w14:textId="77777777" w:rsidR="001A4860" w:rsidRPr="001A4860" w:rsidRDefault="001A4860" w:rsidP="001A4860">
      <w:pPr>
        <w:rPr>
          <w:sz w:val="22"/>
          <w:szCs w:val="22"/>
          <w:lang w:val="es-ES" w:eastAsia="es-ES"/>
        </w:rPr>
      </w:pPr>
    </w:p>
    <w:p w14:paraId="76D4DB30" w14:textId="77777777" w:rsidR="001A4860" w:rsidRPr="001A4860" w:rsidRDefault="001A4860" w:rsidP="001A4860">
      <w:pPr>
        <w:rPr>
          <w:b/>
          <w:sz w:val="22"/>
          <w:szCs w:val="22"/>
          <w:lang w:val="es-ES" w:eastAsia="es-ES"/>
        </w:rPr>
      </w:pPr>
      <w:r w:rsidRPr="001A4860">
        <w:rPr>
          <w:b/>
          <w:sz w:val="22"/>
          <w:szCs w:val="22"/>
          <w:lang w:val="es-ES" w:eastAsia="es-ES"/>
        </w:rPr>
        <w:t>Su forma de pago es por metro de tubería instalada, conforme a los precios unitarios que se estipulan en la Oferta. Se procede a pagar la tubería instalada hasta que se hayan realizado las respectivas pruebas hidrostáticas y pruebas de compactación aprobadas por el Supervisor.</w:t>
      </w:r>
    </w:p>
    <w:p w14:paraId="5EE9CA27" w14:textId="77777777" w:rsidR="001A4860" w:rsidRPr="001A4860" w:rsidRDefault="001A4860" w:rsidP="001A4860">
      <w:pPr>
        <w:rPr>
          <w:sz w:val="22"/>
          <w:szCs w:val="22"/>
          <w:lang w:val="es-ES" w:eastAsia="es-ES"/>
        </w:rPr>
      </w:pPr>
    </w:p>
    <w:p w14:paraId="49FD34FA" w14:textId="77777777" w:rsidR="001A4860" w:rsidRPr="001A4860" w:rsidRDefault="001A4860" w:rsidP="001A4860">
      <w:pPr>
        <w:keepNext/>
        <w:jc w:val="left"/>
        <w:outlineLvl w:val="3"/>
        <w:rPr>
          <w:b/>
          <w:bCs/>
          <w:sz w:val="22"/>
          <w:szCs w:val="22"/>
          <w:lang w:val="es-ES" w:eastAsia="es-ES"/>
        </w:rPr>
      </w:pPr>
      <w:bookmarkStart w:id="471" w:name="_Toc234745622"/>
      <w:bookmarkStart w:id="472" w:name="_Toc492981620"/>
      <w:bookmarkStart w:id="473" w:name="_Toc23249323"/>
      <w:r w:rsidRPr="001A4860">
        <w:rPr>
          <w:b/>
          <w:bCs/>
          <w:sz w:val="22"/>
          <w:szCs w:val="22"/>
          <w:lang w:val="es-ES" w:eastAsia="es-ES"/>
        </w:rPr>
        <w:t>Accesorios PVC.</w:t>
      </w:r>
      <w:bookmarkEnd w:id="471"/>
      <w:bookmarkEnd w:id="472"/>
      <w:bookmarkEnd w:id="473"/>
    </w:p>
    <w:p w14:paraId="11E62980" w14:textId="77777777" w:rsidR="001A4860" w:rsidRPr="001A4860" w:rsidRDefault="001A4860" w:rsidP="001A4860">
      <w:pPr>
        <w:rPr>
          <w:sz w:val="22"/>
          <w:szCs w:val="22"/>
          <w:lang w:val="es-ES" w:eastAsia="es-ES"/>
        </w:rPr>
      </w:pPr>
    </w:p>
    <w:p w14:paraId="45D2BC56" w14:textId="77777777" w:rsidR="001A4860" w:rsidRPr="001A4860" w:rsidRDefault="001A4860" w:rsidP="001A4860">
      <w:pPr>
        <w:rPr>
          <w:sz w:val="22"/>
          <w:szCs w:val="22"/>
          <w:lang w:val="es-ES" w:eastAsia="es-ES"/>
        </w:rPr>
      </w:pPr>
      <w:r w:rsidRPr="001A4860">
        <w:rPr>
          <w:sz w:val="22"/>
          <w:szCs w:val="22"/>
          <w:lang w:val="es-ES" w:eastAsia="es-ES"/>
        </w:rPr>
        <w:t>Los accesorios de PVC son cédula 40 y deben cumplir con las normas ASTM-D-2466. Los accesorios de empaque de goma deben cumplir la especificación ASTM D-3212 y estar capacitados para acoplarse con las tuberías, de acuerdo al sistema de unión seleccionado.</w:t>
      </w:r>
    </w:p>
    <w:p w14:paraId="409008DB" w14:textId="77777777" w:rsidR="001A4860" w:rsidRPr="001A4860" w:rsidRDefault="001A4860" w:rsidP="001A4860">
      <w:pPr>
        <w:rPr>
          <w:sz w:val="22"/>
          <w:szCs w:val="22"/>
          <w:lang w:val="es-ES" w:eastAsia="es-ES"/>
        </w:rPr>
      </w:pPr>
    </w:p>
    <w:p w14:paraId="70B09CB0" w14:textId="77777777" w:rsidR="001A4860" w:rsidRPr="001A4860" w:rsidRDefault="001A4860" w:rsidP="001A4860">
      <w:pPr>
        <w:keepNext/>
        <w:ind w:left="720" w:hanging="720"/>
        <w:outlineLvl w:val="2"/>
        <w:rPr>
          <w:rFonts w:eastAsia="Arial Narrow"/>
          <w:b/>
          <w:bCs/>
          <w:iCs/>
          <w:sz w:val="22"/>
          <w:szCs w:val="22"/>
          <w:lang w:val="es-ES" w:bidi="en-US"/>
        </w:rPr>
      </w:pPr>
      <w:bookmarkStart w:id="474" w:name="_Toc195479223"/>
      <w:bookmarkStart w:id="475" w:name="_Toc234745623"/>
      <w:bookmarkStart w:id="476" w:name="_Toc295977188"/>
      <w:bookmarkStart w:id="477" w:name="_Toc475371304"/>
      <w:bookmarkStart w:id="478" w:name="_Toc481596302"/>
      <w:bookmarkStart w:id="479" w:name="_Toc492981621"/>
      <w:bookmarkStart w:id="480" w:name="_Toc23249324"/>
      <w:r w:rsidRPr="001A4860">
        <w:rPr>
          <w:rFonts w:eastAsia="Arial Narrow"/>
          <w:b/>
          <w:bCs/>
          <w:iCs/>
          <w:sz w:val="22"/>
          <w:szCs w:val="22"/>
          <w:lang w:val="es-ES" w:bidi="en-US"/>
        </w:rPr>
        <w:t>Tuberías y accesorios de hierro galvanizado (HG.)</w:t>
      </w:r>
      <w:bookmarkEnd w:id="474"/>
      <w:bookmarkEnd w:id="475"/>
      <w:bookmarkEnd w:id="476"/>
      <w:bookmarkEnd w:id="477"/>
      <w:bookmarkEnd w:id="478"/>
      <w:bookmarkEnd w:id="479"/>
      <w:bookmarkEnd w:id="480"/>
    </w:p>
    <w:p w14:paraId="4277F1B1" w14:textId="77777777" w:rsidR="001A4860" w:rsidRPr="001A4860" w:rsidRDefault="001A4860" w:rsidP="001A4860">
      <w:pPr>
        <w:rPr>
          <w:sz w:val="22"/>
          <w:szCs w:val="22"/>
          <w:lang w:val="es-ES" w:eastAsia="es-ES"/>
        </w:rPr>
      </w:pPr>
    </w:p>
    <w:p w14:paraId="0E7FE08E" w14:textId="77777777" w:rsidR="001A4860" w:rsidRPr="001A4860" w:rsidRDefault="001A4860" w:rsidP="001A4860">
      <w:pPr>
        <w:keepNext/>
        <w:jc w:val="left"/>
        <w:outlineLvl w:val="3"/>
        <w:rPr>
          <w:b/>
          <w:bCs/>
          <w:sz w:val="22"/>
          <w:szCs w:val="22"/>
          <w:lang w:val="es-ES" w:eastAsia="es-ES"/>
        </w:rPr>
      </w:pPr>
      <w:bookmarkStart w:id="481" w:name="_Toc234745624"/>
      <w:bookmarkStart w:id="482" w:name="_Toc492981622"/>
      <w:bookmarkStart w:id="483" w:name="_Toc23249325"/>
      <w:r w:rsidRPr="001A4860">
        <w:rPr>
          <w:b/>
          <w:bCs/>
          <w:sz w:val="22"/>
          <w:szCs w:val="22"/>
          <w:lang w:val="es-ES" w:eastAsia="es-ES"/>
        </w:rPr>
        <w:t>Tuberías</w:t>
      </w:r>
      <w:bookmarkEnd w:id="481"/>
      <w:r w:rsidRPr="001A4860">
        <w:rPr>
          <w:b/>
          <w:bCs/>
          <w:sz w:val="22"/>
          <w:szCs w:val="22"/>
          <w:lang w:val="es-ES" w:eastAsia="es-ES"/>
        </w:rPr>
        <w:t xml:space="preserve"> HG</w:t>
      </w:r>
      <w:bookmarkEnd w:id="482"/>
      <w:bookmarkEnd w:id="483"/>
    </w:p>
    <w:p w14:paraId="5AD6657A" w14:textId="77777777" w:rsidR="001A4860" w:rsidRPr="001A4860" w:rsidRDefault="001A4860" w:rsidP="001A4860">
      <w:pPr>
        <w:rPr>
          <w:sz w:val="22"/>
          <w:szCs w:val="22"/>
          <w:lang w:val="es-ES" w:eastAsia="es-ES"/>
        </w:rPr>
      </w:pPr>
    </w:p>
    <w:p w14:paraId="6DFFD481" w14:textId="77777777" w:rsidR="001A4860" w:rsidRPr="001A4860" w:rsidRDefault="001A4860" w:rsidP="001A4860">
      <w:pPr>
        <w:rPr>
          <w:sz w:val="22"/>
          <w:szCs w:val="22"/>
          <w:lang w:val="es-ES" w:eastAsia="es-ES"/>
        </w:rPr>
      </w:pPr>
      <w:r w:rsidRPr="001A4860">
        <w:rPr>
          <w:sz w:val="22"/>
          <w:szCs w:val="22"/>
          <w:lang w:val="es-ES" w:eastAsia="es-ES"/>
        </w:rPr>
        <w:t>Las tuberías de HG son del tipo Standard (cédula 40) y deben ajustarse a las especificaciones siguientes:</w:t>
      </w:r>
    </w:p>
    <w:p w14:paraId="0A885B3E" w14:textId="77777777" w:rsidR="001A4860" w:rsidRPr="001A4860" w:rsidRDefault="001A4860" w:rsidP="001A4860">
      <w:pPr>
        <w:rPr>
          <w:sz w:val="22"/>
          <w:szCs w:val="22"/>
          <w:lang w:val="es-ES" w:eastAsia="es-ES"/>
        </w:rPr>
      </w:pPr>
    </w:p>
    <w:p w14:paraId="2C210F19" w14:textId="77777777" w:rsidR="001A4860" w:rsidRPr="001A4860" w:rsidRDefault="001A4860" w:rsidP="003B68DB">
      <w:pPr>
        <w:numPr>
          <w:ilvl w:val="0"/>
          <w:numId w:val="156"/>
        </w:numPr>
        <w:ind w:left="0" w:firstLine="0"/>
        <w:contextualSpacing/>
        <w:rPr>
          <w:sz w:val="22"/>
          <w:szCs w:val="22"/>
          <w:lang w:val="es-ES" w:eastAsia="es-ES"/>
        </w:rPr>
      </w:pPr>
      <w:r w:rsidRPr="001A4860">
        <w:rPr>
          <w:sz w:val="22"/>
          <w:szCs w:val="22"/>
          <w:lang w:val="es-ES" w:eastAsia="es-ES"/>
        </w:rPr>
        <w:t>Que se ajuste en todos los aspectos con la especificación ASTM-120-65 y que cumpla con el proceso de Galvanización de acuerdo a la especificación ASTM A-90-39.</w:t>
      </w:r>
    </w:p>
    <w:p w14:paraId="0B4D070E" w14:textId="77777777" w:rsidR="001A4860" w:rsidRPr="001A4860" w:rsidRDefault="001A4860" w:rsidP="001A4860">
      <w:pPr>
        <w:rPr>
          <w:sz w:val="22"/>
          <w:szCs w:val="22"/>
          <w:lang w:val="es-ES" w:eastAsia="es-ES"/>
        </w:rPr>
      </w:pPr>
    </w:p>
    <w:p w14:paraId="251456D0" w14:textId="77777777" w:rsidR="001A4860" w:rsidRPr="001A4860" w:rsidRDefault="001A4860" w:rsidP="003B68DB">
      <w:pPr>
        <w:numPr>
          <w:ilvl w:val="0"/>
          <w:numId w:val="156"/>
        </w:numPr>
        <w:ind w:left="0" w:firstLine="0"/>
        <w:contextualSpacing/>
        <w:rPr>
          <w:sz w:val="22"/>
          <w:szCs w:val="22"/>
          <w:lang w:val="es-ES" w:eastAsia="es-ES"/>
        </w:rPr>
      </w:pPr>
      <w:r w:rsidRPr="001A4860">
        <w:rPr>
          <w:sz w:val="22"/>
          <w:szCs w:val="22"/>
          <w:lang w:val="es-ES" w:eastAsia="es-ES"/>
        </w:rPr>
        <w:t>La tubería de HG. Debe ser suministrada en longitudes de 20 pies ± 1 pulgada (6.1 m ± 25 mm) con rosca Standard en cada extremo.</w:t>
      </w:r>
    </w:p>
    <w:p w14:paraId="18534248" w14:textId="77777777" w:rsidR="001A4860" w:rsidRPr="001A4860" w:rsidRDefault="001A4860" w:rsidP="001A4860">
      <w:pPr>
        <w:rPr>
          <w:sz w:val="22"/>
          <w:szCs w:val="22"/>
          <w:lang w:val="es-ES" w:eastAsia="es-ES"/>
        </w:rPr>
      </w:pPr>
    </w:p>
    <w:p w14:paraId="4D227A07" w14:textId="77777777" w:rsidR="001A4860" w:rsidRPr="001A4860" w:rsidRDefault="001A4860" w:rsidP="003B68DB">
      <w:pPr>
        <w:numPr>
          <w:ilvl w:val="0"/>
          <w:numId w:val="156"/>
        </w:numPr>
        <w:ind w:left="0" w:firstLine="0"/>
        <w:contextualSpacing/>
        <w:rPr>
          <w:sz w:val="22"/>
          <w:szCs w:val="22"/>
          <w:lang w:val="es-ES" w:eastAsia="es-ES"/>
        </w:rPr>
      </w:pPr>
      <w:r w:rsidRPr="001A4860">
        <w:rPr>
          <w:sz w:val="22"/>
          <w:szCs w:val="22"/>
          <w:lang w:val="es-ES" w:eastAsia="es-ES"/>
        </w:rPr>
        <w:t>Un acoplamiento debe ser suministrado con cada longitud Standard. El acoplamiento consistva en una camisa de Hierro Galvanizado con Rosca Standard para roscarse en el extremo del tubo.</w:t>
      </w:r>
    </w:p>
    <w:p w14:paraId="3EB04F63" w14:textId="77777777" w:rsidR="001A4860" w:rsidRPr="001A4860" w:rsidRDefault="001A4860" w:rsidP="001A4860">
      <w:pPr>
        <w:rPr>
          <w:sz w:val="22"/>
          <w:szCs w:val="22"/>
          <w:lang w:val="es-ES" w:eastAsia="es-ES"/>
        </w:rPr>
      </w:pPr>
    </w:p>
    <w:p w14:paraId="0CE25193" w14:textId="77777777" w:rsidR="001A4860" w:rsidRPr="001A4860" w:rsidRDefault="001A4860" w:rsidP="001A4860">
      <w:pPr>
        <w:keepNext/>
        <w:jc w:val="left"/>
        <w:outlineLvl w:val="3"/>
        <w:rPr>
          <w:b/>
          <w:bCs/>
          <w:sz w:val="22"/>
          <w:szCs w:val="22"/>
          <w:lang w:val="es-ES" w:eastAsia="es-ES"/>
        </w:rPr>
      </w:pPr>
      <w:bookmarkStart w:id="484" w:name="_Toc234745625"/>
      <w:bookmarkStart w:id="485" w:name="_Toc492981623"/>
      <w:bookmarkStart w:id="486" w:name="_Toc23249326"/>
      <w:r w:rsidRPr="001A4860">
        <w:rPr>
          <w:b/>
          <w:bCs/>
          <w:sz w:val="22"/>
          <w:szCs w:val="22"/>
          <w:lang w:val="es-ES" w:eastAsia="es-ES"/>
        </w:rPr>
        <w:lastRenderedPageBreak/>
        <w:t>Accesorio</w:t>
      </w:r>
      <w:bookmarkEnd w:id="484"/>
      <w:r w:rsidRPr="001A4860">
        <w:rPr>
          <w:b/>
          <w:bCs/>
          <w:sz w:val="22"/>
          <w:szCs w:val="22"/>
          <w:lang w:val="es-ES" w:eastAsia="es-ES"/>
        </w:rPr>
        <w:t>s</w:t>
      </w:r>
      <w:bookmarkEnd w:id="485"/>
      <w:bookmarkEnd w:id="486"/>
    </w:p>
    <w:p w14:paraId="61602840" w14:textId="77777777" w:rsidR="001A4860" w:rsidRPr="001A4860" w:rsidRDefault="001A4860" w:rsidP="001A4860">
      <w:pPr>
        <w:rPr>
          <w:sz w:val="22"/>
          <w:szCs w:val="22"/>
          <w:lang w:val="es-ES" w:eastAsia="es-ES"/>
        </w:rPr>
      </w:pPr>
    </w:p>
    <w:p w14:paraId="40F513C4" w14:textId="77777777" w:rsidR="001A4860" w:rsidRPr="001A4860" w:rsidRDefault="001A4860" w:rsidP="001A4860">
      <w:pPr>
        <w:rPr>
          <w:sz w:val="22"/>
          <w:szCs w:val="22"/>
          <w:lang w:val="es-ES" w:eastAsia="es-ES"/>
        </w:rPr>
      </w:pPr>
      <w:r w:rsidRPr="001A4860">
        <w:rPr>
          <w:sz w:val="22"/>
          <w:szCs w:val="22"/>
          <w:lang w:val="es-ES" w:eastAsia="es-ES"/>
        </w:rPr>
        <w:t xml:space="preserve">Los accesorios de material de hierro galvanizado deben ajustarse a las especificaciones ASTM, tienen rosca hembra del tipo Iron Pipe (I.P) y deben ser diseñados para acoplarse a la tubería de HFD y PVC a ser suministrada. Las tuberías y los accesorios, deben de cumplir con El Certificado de Calidad ISO-9001. </w:t>
      </w:r>
    </w:p>
    <w:p w14:paraId="15040AFE" w14:textId="77777777" w:rsidR="001A4860" w:rsidRPr="001A4860" w:rsidRDefault="001A4860" w:rsidP="001A4860">
      <w:pPr>
        <w:rPr>
          <w:sz w:val="22"/>
          <w:szCs w:val="22"/>
          <w:lang w:val="es-ES" w:eastAsia="es-ES"/>
        </w:rPr>
      </w:pPr>
    </w:p>
    <w:p w14:paraId="57265C02" w14:textId="77777777" w:rsidR="001A4860" w:rsidRPr="001A4860" w:rsidRDefault="001A4860" w:rsidP="001A4860">
      <w:pPr>
        <w:keepNext/>
        <w:ind w:left="720" w:hanging="720"/>
        <w:outlineLvl w:val="2"/>
        <w:rPr>
          <w:rFonts w:eastAsia="Arial Narrow"/>
          <w:b/>
          <w:bCs/>
          <w:iCs/>
          <w:sz w:val="22"/>
          <w:szCs w:val="22"/>
          <w:lang w:val="es-ES" w:bidi="en-US"/>
        </w:rPr>
      </w:pPr>
      <w:bookmarkStart w:id="487" w:name="_Toc195479224"/>
      <w:bookmarkStart w:id="488" w:name="_Toc234745626"/>
      <w:bookmarkStart w:id="489" w:name="_Toc295977189"/>
      <w:bookmarkStart w:id="490" w:name="_Toc475371305"/>
      <w:bookmarkStart w:id="491" w:name="_Toc481596303"/>
      <w:bookmarkStart w:id="492" w:name="_Toc492981624"/>
      <w:bookmarkStart w:id="493" w:name="_Toc23249327"/>
      <w:r w:rsidRPr="001A4860">
        <w:rPr>
          <w:rFonts w:eastAsia="Arial Narrow"/>
          <w:b/>
          <w:bCs/>
          <w:iCs/>
          <w:sz w:val="22"/>
          <w:szCs w:val="22"/>
          <w:lang w:val="es-ES" w:bidi="en-US"/>
        </w:rPr>
        <w:t>Accesorios y Piezas Especiales de Hierro Fundido (H.F.)</w:t>
      </w:r>
      <w:bookmarkEnd w:id="487"/>
      <w:bookmarkEnd w:id="488"/>
      <w:bookmarkEnd w:id="489"/>
      <w:bookmarkEnd w:id="490"/>
      <w:bookmarkEnd w:id="491"/>
      <w:bookmarkEnd w:id="492"/>
      <w:bookmarkEnd w:id="493"/>
    </w:p>
    <w:p w14:paraId="75A4993B" w14:textId="77777777" w:rsidR="001A4860" w:rsidRPr="001A4860" w:rsidRDefault="001A4860" w:rsidP="001A4860">
      <w:pPr>
        <w:rPr>
          <w:sz w:val="22"/>
          <w:szCs w:val="22"/>
          <w:lang w:val="es-ES" w:eastAsia="es-ES"/>
        </w:rPr>
      </w:pPr>
    </w:p>
    <w:p w14:paraId="46976AD6" w14:textId="77777777" w:rsidR="001A4860" w:rsidRPr="001A4860" w:rsidRDefault="001A4860" w:rsidP="001A4860">
      <w:pPr>
        <w:rPr>
          <w:sz w:val="22"/>
          <w:szCs w:val="22"/>
          <w:lang w:val="es-ES" w:eastAsia="es-ES"/>
        </w:rPr>
      </w:pPr>
      <w:r w:rsidRPr="001A4860">
        <w:rPr>
          <w:sz w:val="22"/>
          <w:szCs w:val="22"/>
          <w:lang w:val="es-ES" w:eastAsia="es-ES"/>
        </w:rPr>
        <w:t xml:space="preserve">Todos los accesorios solicitados en este grupo, deben estar de acuerdo al American Standard for Cast Iron Fitings, 3 in Through 48 In, for Water and Other liquids designation ANSI-A 21.10 - 87 ó AWWA C 110/A21.10-87 y la International Organization for Standardization Standard Nº 2531, para presión de servicio de ASA 125 y uniones de brida según ANSI B-16.1-1960. Deben traer sus respectivos compañeros de bridas de HF CON SUS EMPAQUES DE CAUCHO, PERNOS Y TUERCAS DE ACERO INOXIDABLE y DEBEN DE CUMPLIR CON EL CERTIFICADO DE CALIDAD ISO-9001. </w:t>
      </w:r>
    </w:p>
    <w:p w14:paraId="39EA7E11" w14:textId="77777777" w:rsidR="001A4860" w:rsidRPr="001A4860" w:rsidRDefault="001A4860" w:rsidP="001A4860">
      <w:pPr>
        <w:rPr>
          <w:sz w:val="22"/>
          <w:szCs w:val="22"/>
          <w:lang w:val="es-ES" w:eastAsia="es-ES"/>
        </w:rPr>
      </w:pPr>
    </w:p>
    <w:p w14:paraId="73F32259" w14:textId="77777777" w:rsidR="001A4860" w:rsidRPr="001A4860" w:rsidRDefault="001A4860" w:rsidP="001A4860">
      <w:pPr>
        <w:keepNext/>
        <w:ind w:left="720" w:hanging="720"/>
        <w:outlineLvl w:val="2"/>
        <w:rPr>
          <w:rFonts w:eastAsia="Arial Narrow"/>
          <w:b/>
          <w:bCs/>
          <w:iCs/>
          <w:sz w:val="22"/>
          <w:szCs w:val="22"/>
          <w:lang w:val="es-ES" w:bidi="en-US"/>
        </w:rPr>
      </w:pPr>
      <w:bookmarkStart w:id="494" w:name="_Toc195479225"/>
      <w:bookmarkStart w:id="495" w:name="_Toc234745627"/>
      <w:bookmarkStart w:id="496" w:name="_Toc295977190"/>
      <w:bookmarkStart w:id="497" w:name="_Toc475371306"/>
      <w:bookmarkStart w:id="498" w:name="_Toc481596304"/>
      <w:bookmarkStart w:id="499" w:name="_Toc492981625"/>
      <w:bookmarkStart w:id="500" w:name="_Toc23249328"/>
      <w:r w:rsidRPr="001A4860">
        <w:rPr>
          <w:rFonts w:eastAsia="Arial Narrow"/>
          <w:b/>
          <w:bCs/>
          <w:iCs/>
          <w:sz w:val="22"/>
          <w:szCs w:val="22"/>
          <w:lang w:val="es-ES" w:bidi="en-US"/>
        </w:rPr>
        <w:t>Uniones Mecánicas de Transición.</w:t>
      </w:r>
      <w:bookmarkEnd w:id="494"/>
      <w:bookmarkEnd w:id="495"/>
      <w:bookmarkEnd w:id="496"/>
      <w:bookmarkEnd w:id="497"/>
      <w:bookmarkEnd w:id="498"/>
      <w:bookmarkEnd w:id="499"/>
      <w:bookmarkEnd w:id="500"/>
    </w:p>
    <w:p w14:paraId="517997CF" w14:textId="77777777" w:rsidR="001A4860" w:rsidRPr="001A4860" w:rsidRDefault="001A4860" w:rsidP="001A4860">
      <w:pPr>
        <w:rPr>
          <w:sz w:val="22"/>
          <w:szCs w:val="22"/>
          <w:lang w:val="es-ES" w:eastAsia="es-ES"/>
        </w:rPr>
      </w:pPr>
    </w:p>
    <w:p w14:paraId="40C1B432" w14:textId="77777777" w:rsidR="001A4860" w:rsidRPr="001A4860" w:rsidRDefault="001A4860" w:rsidP="001A4860">
      <w:pPr>
        <w:rPr>
          <w:sz w:val="22"/>
          <w:szCs w:val="22"/>
          <w:lang w:val="es-ES" w:eastAsia="es-ES"/>
        </w:rPr>
      </w:pPr>
      <w:r w:rsidRPr="001A4860">
        <w:rPr>
          <w:sz w:val="22"/>
          <w:szCs w:val="22"/>
          <w:lang w:val="es-ES" w:eastAsia="es-ES"/>
        </w:rPr>
        <w:t>Son de Hierro Fundido Dúctil y servirán de acople directo entre los Accesorios de Hierro Fundido y Hierro Dúctil de extremos lisos y los extremos maquinados de las tuberías de PVC SDR-26 y Hierro Galvanizado de igual diámetro nominal y diferentes diámetros exteriores. Se requieren La Unión de Brida Universal sea de la Serie 2.200-A/L “Liberty” o similar.</w:t>
      </w:r>
    </w:p>
    <w:p w14:paraId="622AAD64" w14:textId="77777777" w:rsidR="001A4860" w:rsidRPr="001A4860" w:rsidRDefault="001A4860" w:rsidP="001A4860">
      <w:pPr>
        <w:rPr>
          <w:sz w:val="22"/>
          <w:szCs w:val="22"/>
          <w:lang w:val="es-ES" w:eastAsia="es-ES"/>
        </w:rPr>
      </w:pPr>
    </w:p>
    <w:p w14:paraId="1A4ABD42" w14:textId="77777777" w:rsidR="001A4860" w:rsidRPr="001A4860" w:rsidRDefault="001A4860" w:rsidP="001A4860">
      <w:pPr>
        <w:keepNext/>
        <w:ind w:left="720" w:hanging="720"/>
        <w:outlineLvl w:val="2"/>
        <w:rPr>
          <w:rFonts w:eastAsia="Arial Narrow"/>
          <w:b/>
          <w:bCs/>
          <w:iCs/>
          <w:sz w:val="22"/>
          <w:szCs w:val="22"/>
          <w:lang w:val="es-ES" w:bidi="en-US"/>
        </w:rPr>
      </w:pPr>
      <w:bookmarkStart w:id="501" w:name="_Toc195479226"/>
      <w:bookmarkStart w:id="502" w:name="_Toc234745628"/>
      <w:bookmarkStart w:id="503" w:name="_Toc295977191"/>
      <w:bookmarkStart w:id="504" w:name="_Toc475371307"/>
      <w:bookmarkStart w:id="505" w:name="_Toc481596305"/>
      <w:bookmarkStart w:id="506" w:name="_Toc492981626"/>
      <w:bookmarkStart w:id="507" w:name="_Toc23249329"/>
      <w:r w:rsidRPr="001A4860">
        <w:rPr>
          <w:rFonts w:eastAsia="Arial Narrow"/>
          <w:b/>
          <w:bCs/>
          <w:iCs/>
          <w:sz w:val="22"/>
          <w:szCs w:val="22"/>
          <w:lang w:val="es-ES" w:bidi="en-US"/>
        </w:rPr>
        <w:t>Válvulas de Compuerta de Cierre Elástico.</w:t>
      </w:r>
      <w:bookmarkEnd w:id="501"/>
      <w:bookmarkEnd w:id="502"/>
      <w:bookmarkEnd w:id="503"/>
      <w:bookmarkEnd w:id="504"/>
      <w:bookmarkEnd w:id="505"/>
      <w:bookmarkEnd w:id="506"/>
      <w:bookmarkEnd w:id="507"/>
    </w:p>
    <w:p w14:paraId="404B3DFB" w14:textId="77777777" w:rsidR="001A4860" w:rsidRPr="001A4860" w:rsidRDefault="001A4860" w:rsidP="001A4860">
      <w:pPr>
        <w:rPr>
          <w:sz w:val="22"/>
          <w:szCs w:val="22"/>
          <w:lang w:val="es-ES" w:eastAsia="es-ES"/>
        </w:rPr>
      </w:pPr>
    </w:p>
    <w:p w14:paraId="21959815" w14:textId="77777777" w:rsidR="001A4860" w:rsidRPr="001A4860" w:rsidRDefault="001A4860" w:rsidP="001A4860">
      <w:pPr>
        <w:rPr>
          <w:sz w:val="22"/>
          <w:szCs w:val="22"/>
          <w:lang w:val="es-ES" w:eastAsia="es-ES"/>
        </w:rPr>
      </w:pPr>
      <w:r w:rsidRPr="001A4860">
        <w:rPr>
          <w:sz w:val="22"/>
          <w:szCs w:val="22"/>
          <w:lang w:val="es-ES" w:eastAsia="es-ES"/>
        </w:rPr>
        <w:t>A menos que se indique lo contrario, el diseño, materiales, construcción, manufactura y prueba de las válvulas, deben sujetarse a lo dispuesto en la Norma ANSI/AWWA C-509 o cualquier otra Norma Internacional que iguale o supere estas especificaciones.</w:t>
      </w:r>
      <w:bookmarkStart w:id="508" w:name="_Toc234745629"/>
    </w:p>
    <w:p w14:paraId="02F82590" w14:textId="77777777" w:rsidR="001A4860" w:rsidRPr="001A4860" w:rsidRDefault="001A4860" w:rsidP="001A4860">
      <w:pPr>
        <w:rPr>
          <w:sz w:val="22"/>
          <w:szCs w:val="22"/>
          <w:lang w:val="es-ES" w:eastAsia="es-ES"/>
        </w:rPr>
      </w:pPr>
    </w:p>
    <w:p w14:paraId="04C5C72E" w14:textId="77777777" w:rsidR="001A4860" w:rsidRPr="001A4860" w:rsidRDefault="001A4860" w:rsidP="001A4860">
      <w:pPr>
        <w:keepNext/>
        <w:jc w:val="left"/>
        <w:outlineLvl w:val="3"/>
        <w:rPr>
          <w:b/>
          <w:bCs/>
          <w:sz w:val="22"/>
          <w:szCs w:val="22"/>
          <w:lang w:val="es-ES" w:eastAsia="es-ES"/>
        </w:rPr>
      </w:pPr>
      <w:bookmarkStart w:id="509" w:name="_Toc492981627"/>
      <w:bookmarkStart w:id="510" w:name="_Toc23249330"/>
      <w:r w:rsidRPr="001A4860">
        <w:rPr>
          <w:b/>
          <w:bCs/>
          <w:sz w:val="22"/>
          <w:szCs w:val="22"/>
          <w:lang w:val="es-ES" w:eastAsia="es-ES"/>
        </w:rPr>
        <w:t>Válvulas de Compuerta HF con Extremos Campana.</w:t>
      </w:r>
      <w:bookmarkEnd w:id="508"/>
      <w:bookmarkEnd w:id="509"/>
      <w:bookmarkEnd w:id="510"/>
    </w:p>
    <w:p w14:paraId="3276D63A" w14:textId="77777777" w:rsidR="001A4860" w:rsidRPr="001A4860" w:rsidRDefault="001A4860" w:rsidP="001A4860">
      <w:pPr>
        <w:rPr>
          <w:sz w:val="22"/>
          <w:szCs w:val="22"/>
          <w:lang w:val="es-ES" w:eastAsia="es-ES"/>
        </w:rPr>
      </w:pPr>
    </w:p>
    <w:p w14:paraId="1405477B" w14:textId="77777777" w:rsidR="001A4860" w:rsidRPr="001A4860" w:rsidRDefault="001A4860" w:rsidP="001A4860">
      <w:pPr>
        <w:rPr>
          <w:sz w:val="22"/>
          <w:szCs w:val="22"/>
          <w:lang w:val="es-ES" w:eastAsia="es-ES"/>
        </w:rPr>
      </w:pPr>
      <w:r w:rsidRPr="001A4860">
        <w:rPr>
          <w:sz w:val="22"/>
          <w:szCs w:val="22"/>
          <w:lang w:val="es-ES" w:eastAsia="es-ES"/>
        </w:rPr>
        <w:t>Son fabricadas conforme a las normas AWWA C-509, con hierro modular (HN) que cumpla la norma ASTM A-536, el disco de la compuerta es de fundición dúctil recubierta con Elastómero y totalmente vulcanizada con NBR/EPDM, asientos paralelos de bronce, vástago de acero inoxidable. Las válvulas de extremos acampanados o YTON ó JUNTA RAPIDA, son para utilizarse con tuberías PVC Clase SDR 26 o SRD-17 y se ajustan a los requerimientos de ANSI-/AWWA C111 A21.11</w:t>
      </w:r>
    </w:p>
    <w:p w14:paraId="2993EACD" w14:textId="77777777" w:rsidR="001A4860" w:rsidRPr="001A4860" w:rsidRDefault="001A4860" w:rsidP="001A4860">
      <w:pPr>
        <w:rPr>
          <w:sz w:val="22"/>
          <w:szCs w:val="22"/>
          <w:lang w:val="es-ES" w:eastAsia="es-ES"/>
        </w:rPr>
      </w:pPr>
    </w:p>
    <w:p w14:paraId="2AA383A4" w14:textId="77777777" w:rsidR="001A4860" w:rsidRPr="001A4860" w:rsidRDefault="001A4860" w:rsidP="001A4860">
      <w:pPr>
        <w:rPr>
          <w:sz w:val="22"/>
          <w:szCs w:val="22"/>
          <w:lang w:val="es-ES" w:eastAsia="es-ES"/>
        </w:rPr>
      </w:pPr>
      <w:r w:rsidRPr="001A4860">
        <w:rPr>
          <w:sz w:val="22"/>
          <w:szCs w:val="22"/>
          <w:lang w:val="es-ES" w:eastAsia="es-ES"/>
        </w:rPr>
        <w:t>Los anillos de asientos del cuerpo deben ser de bronce.  Los vástagos de las válvulas deben ser de bronce fundido de acuerdo a ASTM B132 Aleación A; ASTM B132 Aleación B; ó ASTM B148.  La cabeza o dado de operación es cuadrado de 1-15/16" en su parte superior, 2" x 2" en la base y 1 ¾" de altura. La válvula se abra con rotación inversa a las agujas del reloj.</w:t>
      </w:r>
    </w:p>
    <w:p w14:paraId="5DFDFF82" w14:textId="77777777" w:rsidR="001A4860" w:rsidRPr="001A4860" w:rsidRDefault="001A4860" w:rsidP="001A4860">
      <w:pPr>
        <w:rPr>
          <w:sz w:val="22"/>
          <w:szCs w:val="22"/>
          <w:lang w:val="es-ES" w:eastAsia="es-ES"/>
        </w:rPr>
      </w:pPr>
    </w:p>
    <w:p w14:paraId="74400703" w14:textId="77777777" w:rsidR="001A4860" w:rsidRPr="001A4860" w:rsidRDefault="001A4860" w:rsidP="001A4860">
      <w:pPr>
        <w:rPr>
          <w:sz w:val="22"/>
          <w:szCs w:val="22"/>
          <w:lang w:val="es-ES" w:eastAsia="es-ES"/>
        </w:rPr>
      </w:pPr>
      <w:r w:rsidRPr="001A4860">
        <w:rPr>
          <w:sz w:val="22"/>
          <w:szCs w:val="22"/>
          <w:lang w:val="es-ES" w:eastAsia="es-ES"/>
        </w:rPr>
        <w:t>La caja prensa estopa es de hierro fundido y debe tener empaque tipo asbesto rajado en V. El borde de asiento metálico debe ser de acero inoxidable 316 ACME ó MODIFICADO. Todas las partes ferrosas, interiores y exteriores de las válvulas, con excepción de las superficies acabadas o de soportes, deben recibir en fábrica dos manos de un barniz asfáltico aprobado.  Las superficies a ser pintadas, deben estar limpias, secas, y libres de polvo y grasa.</w:t>
      </w:r>
    </w:p>
    <w:p w14:paraId="5759EC15" w14:textId="77777777" w:rsidR="001A4860" w:rsidRPr="001A4860" w:rsidRDefault="001A4860" w:rsidP="001A4860">
      <w:pPr>
        <w:rPr>
          <w:sz w:val="22"/>
          <w:szCs w:val="22"/>
          <w:lang w:val="es-ES" w:eastAsia="es-ES"/>
        </w:rPr>
      </w:pPr>
    </w:p>
    <w:p w14:paraId="2FC2D458" w14:textId="77777777" w:rsidR="001A4860" w:rsidRPr="001A4860" w:rsidRDefault="001A4860" w:rsidP="001A4860">
      <w:pPr>
        <w:rPr>
          <w:sz w:val="22"/>
          <w:szCs w:val="22"/>
          <w:lang w:val="es-ES" w:eastAsia="es-ES"/>
        </w:rPr>
      </w:pPr>
      <w:r w:rsidRPr="001A4860">
        <w:rPr>
          <w:sz w:val="22"/>
          <w:szCs w:val="22"/>
          <w:lang w:val="es-ES" w:eastAsia="es-ES"/>
        </w:rPr>
        <w:t>Las válvulas vendrán provistas de rueda con cierre en el sentido de las agujas del reloj para operarlas; llevarán interior y exteriormente un revestimiento protector. Las Válvula de compuerta Tipo de Cierre Elástico de Campana o PUSH-ON, es similar a la Marca Belgicast Modelo BV-05-47 o similar.</w:t>
      </w:r>
    </w:p>
    <w:p w14:paraId="60591154" w14:textId="77777777" w:rsidR="001A4860" w:rsidRPr="001A4860" w:rsidRDefault="001A4860" w:rsidP="001A4860">
      <w:pPr>
        <w:keepNext/>
        <w:jc w:val="left"/>
        <w:outlineLvl w:val="3"/>
        <w:rPr>
          <w:b/>
          <w:bCs/>
          <w:sz w:val="22"/>
          <w:szCs w:val="22"/>
          <w:lang w:val="es-ES" w:eastAsia="es-ES"/>
        </w:rPr>
      </w:pPr>
      <w:bookmarkStart w:id="511" w:name="_Toc234745630"/>
      <w:bookmarkStart w:id="512" w:name="_Toc492981628"/>
      <w:bookmarkStart w:id="513" w:name="_Toc23249331"/>
      <w:r w:rsidRPr="001A4860">
        <w:rPr>
          <w:b/>
          <w:bCs/>
          <w:sz w:val="22"/>
          <w:szCs w:val="22"/>
          <w:lang w:val="es-ES" w:eastAsia="es-ES"/>
        </w:rPr>
        <w:lastRenderedPageBreak/>
        <w:t xml:space="preserve">Válvulas de Aire </w:t>
      </w:r>
      <w:bookmarkEnd w:id="511"/>
      <w:r w:rsidRPr="001A4860">
        <w:rPr>
          <w:b/>
          <w:bCs/>
          <w:sz w:val="22"/>
          <w:szCs w:val="22"/>
          <w:lang w:val="es-ES" w:eastAsia="es-ES"/>
        </w:rPr>
        <w:t>y Vacío</w:t>
      </w:r>
      <w:bookmarkEnd w:id="512"/>
      <w:bookmarkEnd w:id="513"/>
    </w:p>
    <w:p w14:paraId="53FAA9CB" w14:textId="77777777" w:rsidR="001A4860" w:rsidRPr="001A4860" w:rsidRDefault="001A4860" w:rsidP="001A4860">
      <w:pPr>
        <w:rPr>
          <w:sz w:val="22"/>
          <w:szCs w:val="22"/>
          <w:lang w:val="es-ES" w:eastAsia="es-ES"/>
        </w:rPr>
      </w:pPr>
    </w:p>
    <w:p w14:paraId="5250A843" w14:textId="77777777" w:rsidR="001A4860" w:rsidRPr="001A4860" w:rsidRDefault="001A4860" w:rsidP="001A4860">
      <w:pPr>
        <w:rPr>
          <w:sz w:val="22"/>
          <w:szCs w:val="22"/>
          <w:lang w:val="es-ES" w:eastAsia="es-ES"/>
        </w:rPr>
      </w:pPr>
      <w:r w:rsidRPr="001A4860">
        <w:rPr>
          <w:sz w:val="22"/>
          <w:szCs w:val="22"/>
          <w:lang w:val="es-ES" w:eastAsia="es-ES"/>
        </w:rPr>
        <w:t>Las válvulas de aire deben ser del tipo de flotador, de una cámara única, con rosca macho I.P. de acuerdo con A.S.A. B.2.1 para las bocas de entrada mínimo de 1”, y ser diseñadas para una presión de trabajo de 200 psi. Todos los materiales del cuerpo y tapa deben cumplir con las especificaciones de la ASTM A126 CLASE B y ser de la mejor calidad.</w:t>
      </w:r>
    </w:p>
    <w:p w14:paraId="7B53F22B" w14:textId="77777777" w:rsidR="001A4860" w:rsidRPr="001A4860" w:rsidRDefault="001A4860" w:rsidP="001A4860">
      <w:pPr>
        <w:rPr>
          <w:sz w:val="22"/>
          <w:szCs w:val="22"/>
          <w:lang w:val="es-ES" w:eastAsia="es-ES"/>
        </w:rPr>
      </w:pPr>
    </w:p>
    <w:p w14:paraId="5E7E6809" w14:textId="77777777" w:rsidR="001A4860" w:rsidRPr="001A4860" w:rsidRDefault="001A4860" w:rsidP="001A4860">
      <w:pPr>
        <w:rPr>
          <w:sz w:val="22"/>
          <w:szCs w:val="22"/>
          <w:lang w:val="es-ES" w:eastAsia="es-ES"/>
        </w:rPr>
      </w:pPr>
      <w:r w:rsidRPr="001A4860">
        <w:rPr>
          <w:sz w:val="22"/>
          <w:szCs w:val="22"/>
          <w:lang w:val="es-ES" w:eastAsia="es-ES"/>
        </w:rPr>
        <w:t>La boya de cierre es de acero inoxidable 302 ASTM A240. El cuerpo debe ser de Hierro Fundido contramarco de bronce.  En general, todas las partes metálicas internas deben ser de acero inoxidable.  Todas las válvulas deben estar internamente protegidas con una capa de material anticorrosivo.</w:t>
      </w:r>
    </w:p>
    <w:p w14:paraId="326A0A65" w14:textId="77777777" w:rsidR="001A4860" w:rsidRPr="001A4860" w:rsidRDefault="001A4860" w:rsidP="001A4860">
      <w:pPr>
        <w:rPr>
          <w:sz w:val="22"/>
          <w:szCs w:val="22"/>
          <w:lang w:val="es-ES" w:eastAsia="es-ES"/>
        </w:rPr>
      </w:pPr>
    </w:p>
    <w:p w14:paraId="291D9877" w14:textId="77777777" w:rsidR="001A4860" w:rsidRPr="001A4860" w:rsidRDefault="001A4860" w:rsidP="001A4860">
      <w:pPr>
        <w:rPr>
          <w:sz w:val="22"/>
          <w:szCs w:val="22"/>
          <w:lang w:val="es-ES" w:eastAsia="es-ES"/>
        </w:rPr>
      </w:pPr>
      <w:r w:rsidRPr="001A4860">
        <w:rPr>
          <w:sz w:val="22"/>
          <w:szCs w:val="22"/>
          <w:lang w:val="es-ES" w:eastAsia="es-ES"/>
        </w:rPr>
        <w:t xml:space="preserve">Toda Válvula debe venir acompañada de su respectivo protector de Válvula tipo telescópico, extensible, de hierro fundido, que permita operar la Válvula instalada a profundidades de 1.2 a 1.5 m, desde la superficie, similar al Modelo D-40 Válvula Ventosa “BARAK” A.R.I. Toda Válvula debe venir acompañada de su respectivo protector de Válvula tipo telescópico, extensible, de hierro fundido, que permita operar la Válvula instalada a profundidades de 1.2 a 1.5 m, desde la superficie. </w:t>
      </w:r>
    </w:p>
    <w:p w14:paraId="6F6EC38D" w14:textId="77777777" w:rsidR="001A4860" w:rsidRPr="001A4860" w:rsidRDefault="001A4860" w:rsidP="001A4860">
      <w:pPr>
        <w:rPr>
          <w:sz w:val="22"/>
          <w:szCs w:val="22"/>
          <w:lang w:val="es-ES" w:eastAsia="es-ES"/>
        </w:rPr>
      </w:pPr>
    </w:p>
    <w:p w14:paraId="0750EC84" w14:textId="77777777" w:rsidR="001A4860" w:rsidRPr="001A4860" w:rsidRDefault="001A4860" w:rsidP="001A4860">
      <w:pPr>
        <w:keepNext/>
        <w:jc w:val="left"/>
        <w:outlineLvl w:val="3"/>
        <w:rPr>
          <w:b/>
          <w:bCs/>
          <w:sz w:val="22"/>
          <w:szCs w:val="22"/>
          <w:lang w:val="es-ES" w:eastAsia="es-ES"/>
        </w:rPr>
      </w:pPr>
      <w:bookmarkStart w:id="514" w:name="_Toc234745632"/>
      <w:bookmarkStart w:id="515" w:name="_Toc492981629"/>
      <w:bookmarkStart w:id="516" w:name="_Toc23249332"/>
      <w:r w:rsidRPr="001A4860">
        <w:rPr>
          <w:b/>
          <w:bCs/>
          <w:sz w:val="22"/>
          <w:szCs w:val="22"/>
          <w:lang w:val="es-ES" w:eastAsia="es-ES"/>
        </w:rPr>
        <w:t>Válvulas de Bronce.</w:t>
      </w:r>
      <w:bookmarkEnd w:id="514"/>
      <w:bookmarkEnd w:id="515"/>
      <w:bookmarkEnd w:id="516"/>
    </w:p>
    <w:p w14:paraId="468E33D5" w14:textId="77777777" w:rsidR="001A4860" w:rsidRPr="001A4860" w:rsidRDefault="001A4860" w:rsidP="001A4860">
      <w:pPr>
        <w:rPr>
          <w:sz w:val="22"/>
          <w:szCs w:val="22"/>
          <w:lang w:val="es-ES" w:eastAsia="es-ES"/>
        </w:rPr>
      </w:pPr>
    </w:p>
    <w:p w14:paraId="58674ED7" w14:textId="77777777" w:rsidR="001A4860" w:rsidRPr="001A4860" w:rsidRDefault="001A4860" w:rsidP="003B68DB">
      <w:pPr>
        <w:numPr>
          <w:ilvl w:val="0"/>
          <w:numId w:val="158"/>
        </w:numPr>
        <w:contextualSpacing/>
        <w:rPr>
          <w:sz w:val="22"/>
          <w:szCs w:val="22"/>
          <w:lang w:val="es-ES" w:eastAsia="es-ES"/>
        </w:rPr>
      </w:pPr>
      <w:r w:rsidRPr="001A4860">
        <w:rPr>
          <w:b/>
          <w:sz w:val="22"/>
          <w:szCs w:val="22"/>
          <w:lang w:val="es-ES" w:eastAsia="es-ES"/>
        </w:rPr>
        <w:t>Válvulas de Compuerta.</w:t>
      </w:r>
    </w:p>
    <w:p w14:paraId="0E486D7E" w14:textId="77777777" w:rsidR="001A4860" w:rsidRPr="001A4860" w:rsidRDefault="001A4860" w:rsidP="001A4860">
      <w:pPr>
        <w:rPr>
          <w:sz w:val="22"/>
          <w:szCs w:val="22"/>
          <w:lang w:val="es-ES" w:eastAsia="es-ES"/>
        </w:rPr>
      </w:pPr>
    </w:p>
    <w:p w14:paraId="0B9D3705" w14:textId="77777777" w:rsidR="001A4860" w:rsidRPr="001A4860" w:rsidRDefault="001A4860" w:rsidP="001A4860">
      <w:pPr>
        <w:rPr>
          <w:sz w:val="22"/>
          <w:szCs w:val="22"/>
          <w:lang w:val="es-ES" w:eastAsia="es-ES"/>
        </w:rPr>
      </w:pPr>
      <w:r w:rsidRPr="001A4860">
        <w:rPr>
          <w:sz w:val="22"/>
          <w:szCs w:val="22"/>
          <w:lang w:val="es-ES" w:eastAsia="es-ES"/>
        </w:rPr>
        <w:t>Las válvulas de DIÁMETRO NOMINAL 1/2” a DIÁMETRO NOMINAL 1½" de diámetro o menores son de bronce, tienen extremos de rosca hembra Standard que se unvan mediante adaptadores machos a las tuberías de PVC. Las válvulas aquí especificadas son del tipo “Mineápolis Combined Cap and Tee” con cierre de ¼ de vuelta, similares al modelo H-10207 del catálogo MUELLER No. W-103 de 1961.</w:t>
      </w:r>
    </w:p>
    <w:p w14:paraId="29546FCB" w14:textId="77777777" w:rsidR="001A4860" w:rsidRPr="001A4860" w:rsidRDefault="001A4860" w:rsidP="001A4860">
      <w:pPr>
        <w:rPr>
          <w:sz w:val="22"/>
          <w:szCs w:val="22"/>
          <w:lang w:val="es-ES" w:eastAsia="es-ES"/>
        </w:rPr>
      </w:pPr>
    </w:p>
    <w:p w14:paraId="27518255" w14:textId="77777777" w:rsidR="001A4860" w:rsidRPr="001A4860" w:rsidRDefault="001A4860" w:rsidP="001A4860">
      <w:pPr>
        <w:rPr>
          <w:sz w:val="22"/>
          <w:szCs w:val="22"/>
          <w:lang w:val="es-ES" w:eastAsia="es-ES"/>
        </w:rPr>
      </w:pPr>
      <w:r w:rsidRPr="001A4860">
        <w:rPr>
          <w:sz w:val="22"/>
          <w:szCs w:val="22"/>
          <w:lang w:val="es-ES" w:eastAsia="es-ES"/>
        </w:rPr>
        <w:t>No están provistas de manija solidaria con el mecanismo interno y son por el contrario, operadas mediante una manija acoplable pentagonal de hierro fundido similar al modelo Mueller H-10323 para los diámetros de DIÁMETRO NOMINAL 1/2, DIÁMETRO NOMINAL 3/4 y DIÁMETRO NOMINAL 1”.  Las válvulas de DIÁMETRO NOMINAL 1½” y DIÁMETRO NOMINAL 2” son operadas mediante una manija similar al modelo Mueller H-10321 de 3.1/2 pies de largo.</w:t>
      </w:r>
    </w:p>
    <w:p w14:paraId="7D01CA92" w14:textId="77777777" w:rsidR="001A4860" w:rsidRPr="001A4860" w:rsidRDefault="001A4860" w:rsidP="001A4860">
      <w:pPr>
        <w:rPr>
          <w:sz w:val="22"/>
          <w:szCs w:val="22"/>
          <w:lang w:val="es-ES" w:eastAsia="es-ES"/>
        </w:rPr>
      </w:pPr>
    </w:p>
    <w:p w14:paraId="48C53F1F" w14:textId="77777777" w:rsidR="001A4860" w:rsidRPr="001A4860" w:rsidRDefault="001A4860" w:rsidP="001A4860">
      <w:pPr>
        <w:rPr>
          <w:sz w:val="22"/>
          <w:szCs w:val="22"/>
          <w:lang w:val="es-ES" w:eastAsia="es-ES"/>
        </w:rPr>
      </w:pPr>
      <w:r w:rsidRPr="001A4860">
        <w:rPr>
          <w:sz w:val="22"/>
          <w:szCs w:val="22"/>
          <w:lang w:val="es-ES" w:eastAsia="es-ES"/>
        </w:rPr>
        <w:t xml:space="preserve">El material de fabricación de las válvulas es de una aleación de bronce, que contenga un 85% de cobre y un 5% de estaño, plomo y zinc, de acuerdo a los requerimientos mecánicos y químicos de ASTM B62 O ASTM B584.  Son diseñadas, fabricadas y probadas según la Norma ANSI/AWWA C800, última revisión y Deben de Cumplir con el Certificado de Calidad ISO-9001. </w:t>
      </w:r>
    </w:p>
    <w:p w14:paraId="52135A4F" w14:textId="77777777" w:rsidR="001A4860" w:rsidRPr="001A4860" w:rsidRDefault="001A4860" w:rsidP="001A4860">
      <w:pPr>
        <w:rPr>
          <w:sz w:val="22"/>
          <w:szCs w:val="22"/>
          <w:lang w:val="es-ES" w:eastAsia="es-ES"/>
        </w:rPr>
      </w:pPr>
    </w:p>
    <w:p w14:paraId="4B7C5E91" w14:textId="77777777" w:rsidR="001A4860" w:rsidRPr="001A4860" w:rsidRDefault="001A4860" w:rsidP="003B68DB">
      <w:pPr>
        <w:numPr>
          <w:ilvl w:val="0"/>
          <w:numId w:val="158"/>
        </w:numPr>
        <w:contextualSpacing/>
        <w:rPr>
          <w:b/>
          <w:sz w:val="22"/>
          <w:szCs w:val="22"/>
          <w:lang w:val="pt-BR" w:eastAsia="es-ES"/>
        </w:rPr>
      </w:pPr>
      <w:r w:rsidRPr="001A4860">
        <w:rPr>
          <w:b/>
          <w:sz w:val="22"/>
          <w:szCs w:val="22"/>
          <w:lang w:val="pt-BR" w:eastAsia="es-ES"/>
        </w:rPr>
        <w:t>Válvulas de Chorro (Hose Bibbs).</w:t>
      </w:r>
    </w:p>
    <w:p w14:paraId="7D44C0A8" w14:textId="77777777" w:rsidR="001A4860" w:rsidRPr="001A4860" w:rsidRDefault="001A4860" w:rsidP="001A4860">
      <w:pPr>
        <w:rPr>
          <w:sz w:val="22"/>
          <w:szCs w:val="22"/>
          <w:lang w:val="pt-BR" w:eastAsia="es-ES"/>
        </w:rPr>
      </w:pPr>
    </w:p>
    <w:p w14:paraId="519FE105" w14:textId="77777777" w:rsidR="001A4860" w:rsidRPr="001A4860" w:rsidRDefault="001A4860" w:rsidP="001A4860">
      <w:pPr>
        <w:rPr>
          <w:sz w:val="22"/>
          <w:szCs w:val="22"/>
          <w:lang w:val="es-ES" w:eastAsia="es-ES"/>
        </w:rPr>
      </w:pPr>
      <w:r w:rsidRPr="001A4860">
        <w:rPr>
          <w:sz w:val="22"/>
          <w:szCs w:val="22"/>
          <w:lang w:val="es-ES" w:eastAsia="es-ES"/>
        </w:rPr>
        <w:t>Son iguales o similares a la mostrada en el catálogo NIBCO 5-100-D de Indiana U.S.A página 11 y tienen Rosca Macho Standard, en ambos extremos.</w:t>
      </w:r>
    </w:p>
    <w:p w14:paraId="7D885D8C" w14:textId="77777777" w:rsidR="001A4860" w:rsidRPr="001A4860" w:rsidRDefault="001A4860" w:rsidP="001A4860">
      <w:pPr>
        <w:rPr>
          <w:sz w:val="22"/>
          <w:szCs w:val="22"/>
          <w:lang w:val="es-ES" w:eastAsia="es-ES"/>
        </w:rPr>
      </w:pPr>
    </w:p>
    <w:p w14:paraId="7379B0CD" w14:textId="77777777" w:rsidR="001A4860" w:rsidRPr="001A4860" w:rsidRDefault="001A4860" w:rsidP="001A4860">
      <w:pPr>
        <w:keepNext/>
        <w:ind w:left="720" w:hanging="720"/>
        <w:outlineLvl w:val="2"/>
        <w:rPr>
          <w:rFonts w:eastAsia="Arial Narrow"/>
          <w:b/>
          <w:bCs/>
          <w:iCs/>
          <w:sz w:val="22"/>
          <w:szCs w:val="22"/>
          <w:lang w:val="es-ES" w:bidi="en-US"/>
        </w:rPr>
      </w:pPr>
      <w:bookmarkStart w:id="517" w:name="_Toc475371308"/>
      <w:bookmarkStart w:id="518" w:name="_Toc481596306"/>
      <w:bookmarkStart w:id="519" w:name="_Toc195479227"/>
      <w:bookmarkStart w:id="520" w:name="_Toc234745633"/>
      <w:bookmarkStart w:id="521" w:name="_Toc295977192"/>
      <w:bookmarkStart w:id="522" w:name="_Toc492981630"/>
      <w:bookmarkStart w:id="523" w:name="_Toc23249333"/>
      <w:r w:rsidRPr="001A4860">
        <w:rPr>
          <w:rFonts w:eastAsia="Arial Narrow"/>
          <w:b/>
          <w:iCs/>
          <w:sz w:val="22"/>
          <w:szCs w:val="22"/>
          <w:lang w:val="es-ES" w:bidi="en-US"/>
        </w:rPr>
        <w:t>Cajas de Válvulas</w:t>
      </w:r>
      <w:bookmarkEnd w:id="517"/>
      <w:bookmarkEnd w:id="518"/>
      <w:r w:rsidRPr="001A4860">
        <w:rPr>
          <w:rFonts w:eastAsia="Arial Narrow"/>
          <w:b/>
          <w:bCs/>
          <w:iCs/>
          <w:sz w:val="22"/>
          <w:szCs w:val="22"/>
          <w:lang w:val="es-ES" w:bidi="en-US"/>
        </w:rPr>
        <w:t>.</w:t>
      </w:r>
      <w:bookmarkEnd w:id="519"/>
      <w:bookmarkEnd w:id="520"/>
      <w:bookmarkEnd w:id="521"/>
      <w:bookmarkEnd w:id="522"/>
      <w:bookmarkEnd w:id="523"/>
    </w:p>
    <w:p w14:paraId="1E80ACE0" w14:textId="77777777" w:rsidR="001A4860" w:rsidRPr="001A4860" w:rsidRDefault="001A4860" w:rsidP="001A4860">
      <w:pPr>
        <w:rPr>
          <w:sz w:val="22"/>
          <w:szCs w:val="22"/>
          <w:lang w:val="es-ES" w:eastAsia="es-ES"/>
        </w:rPr>
      </w:pPr>
    </w:p>
    <w:p w14:paraId="4974BF5A" w14:textId="77777777" w:rsidR="001A4860" w:rsidRPr="001A4860" w:rsidRDefault="001A4860" w:rsidP="001A4860">
      <w:pPr>
        <w:rPr>
          <w:sz w:val="22"/>
          <w:szCs w:val="22"/>
          <w:lang w:val="es-ES" w:eastAsia="es-ES"/>
        </w:rPr>
      </w:pPr>
      <w:r w:rsidRPr="001A4860">
        <w:rPr>
          <w:sz w:val="22"/>
          <w:szCs w:val="22"/>
          <w:lang w:val="es-ES" w:eastAsia="es-ES"/>
        </w:rPr>
        <w:t>Las Cajas de Válvula es de tubo de concreto cilíndrico con tapón de concreto E/ASA. Las bases de las Cajas de Válvulas deben ser diseñadas para alojar la tuerca de maniobra de la Válvula de acuerdo con su tamaño y para ser soportada por el relleno de suelo, sin apoyarse en la Válvula o la tuerca. Las Cajas de Válvulas deben ser adecuadas para ser usadas con Válvulas que tengan una cobertura de relleno de 1.20 metros.</w:t>
      </w:r>
    </w:p>
    <w:p w14:paraId="1EDDBF75" w14:textId="77777777" w:rsidR="001A4860" w:rsidRPr="001A4860" w:rsidRDefault="001A4860" w:rsidP="001A4860">
      <w:pPr>
        <w:rPr>
          <w:sz w:val="22"/>
          <w:szCs w:val="22"/>
          <w:lang w:val="es-ES" w:eastAsia="es-ES"/>
        </w:rPr>
      </w:pPr>
    </w:p>
    <w:p w14:paraId="3C06A43A" w14:textId="77777777" w:rsidR="001A4860" w:rsidRPr="001A4860" w:rsidRDefault="001A4860" w:rsidP="001A4860">
      <w:pPr>
        <w:rPr>
          <w:sz w:val="22"/>
          <w:szCs w:val="22"/>
          <w:lang w:val="es-ES" w:eastAsia="es-ES"/>
        </w:rPr>
      </w:pPr>
      <w:r w:rsidRPr="001A4860">
        <w:rPr>
          <w:sz w:val="22"/>
          <w:szCs w:val="22"/>
          <w:lang w:val="es-ES" w:eastAsia="es-ES"/>
        </w:rPr>
        <w:lastRenderedPageBreak/>
        <w:t xml:space="preserve">Deben tener suficiente rugosidad y resistencia para soportar las cargas de impacto y choque resultantes del tráfico de vehículo. La tapadera de la caja está diseñada de tal manera que permanezca firmemente asentada cuando esté sujeta al paso de los vehículos. </w:t>
      </w:r>
    </w:p>
    <w:p w14:paraId="65D70BCD" w14:textId="77777777" w:rsidR="001A4860" w:rsidRPr="001A4860" w:rsidRDefault="001A4860" w:rsidP="001A4860">
      <w:pPr>
        <w:rPr>
          <w:sz w:val="22"/>
          <w:szCs w:val="22"/>
          <w:lang w:val="es-ES" w:eastAsia="es-ES"/>
        </w:rPr>
      </w:pPr>
    </w:p>
    <w:p w14:paraId="05ECA34C" w14:textId="77777777" w:rsidR="001A4860" w:rsidRPr="001A4860" w:rsidRDefault="001A4860" w:rsidP="001A4860">
      <w:pPr>
        <w:keepNext/>
        <w:keepLines/>
        <w:outlineLvl w:val="0"/>
        <w:rPr>
          <w:b/>
          <w:sz w:val="22"/>
          <w:szCs w:val="22"/>
          <w:lang w:val="es-ES" w:eastAsia="es-ES"/>
        </w:rPr>
      </w:pPr>
      <w:bookmarkStart w:id="524" w:name="_Toc195479228"/>
      <w:bookmarkStart w:id="525" w:name="_Toc234745634"/>
      <w:bookmarkStart w:id="526" w:name="_Toc295977193"/>
      <w:bookmarkStart w:id="527" w:name="_Toc475371309"/>
      <w:bookmarkStart w:id="528" w:name="_Toc481596307"/>
      <w:bookmarkStart w:id="529" w:name="_Toc492981631"/>
      <w:bookmarkStart w:id="530" w:name="_Toc23249334"/>
      <w:r w:rsidRPr="001A4860">
        <w:rPr>
          <w:b/>
          <w:sz w:val="22"/>
          <w:szCs w:val="22"/>
          <w:lang w:val="es-ES" w:eastAsia="es-ES"/>
        </w:rPr>
        <w:t>ESPECIFICACIONES TÉCNICAS PARA INSTALACIÓN DE TUBERÍAS.</w:t>
      </w:r>
      <w:bookmarkEnd w:id="524"/>
      <w:bookmarkEnd w:id="525"/>
      <w:bookmarkEnd w:id="526"/>
      <w:bookmarkEnd w:id="527"/>
      <w:bookmarkEnd w:id="528"/>
      <w:bookmarkEnd w:id="529"/>
      <w:bookmarkEnd w:id="530"/>
    </w:p>
    <w:p w14:paraId="62415CB2" w14:textId="77777777" w:rsidR="001A4860" w:rsidRPr="001A4860" w:rsidRDefault="001A4860" w:rsidP="001A4860">
      <w:pPr>
        <w:rPr>
          <w:sz w:val="22"/>
          <w:szCs w:val="22"/>
          <w:lang w:val="es-ES" w:eastAsia="es-ES"/>
        </w:rPr>
      </w:pPr>
    </w:p>
    <w:p w14:paraId="008DFA73" w14:textId="77777777" w:rsidR="001A4860" w:rsidRPr="001A4860" w:rsidRDefault="001A4860" w:rsidP="001A4860">
      <w:pPr>
        <w:rPr>
          <w:sz w:val="22"/>
          <w:szCs w:val="22"/>
          <w:lang w:val="es-ES" w:eastAsia="es-ES"/>
        </w:rPr>
      </w:pPr>
      <w:r w:rsidRPr="001A4860">
        <w:rPr>
          <w:sz w:val="22"/>
          <w:szCs w:val="22"/>
          <w:lang w:val="es-ES" w:eastAsia="es-ES"/>
        </w:rPr>
        <w:t xml:space="preserve">Bajo el concepto de </w:t>
      </w:r>
      <w:r w:rsidRPr="001A4860">
        <w:rPr>
          <w:i/>
          <w:sz w:val="22"/>
          <w:szCs w:val="22"/>
          <w:lang w:val="es-ES" w:eastAsia="es-ES"/>
        </w:rPr>
        <w:t>las Etapas 320 y 330 del Formulario de Oferta</w:t>
      </w:r>
      <w:r w:rsidRPr="001A4860">
        <w:rPr>
          <w:sz w:val="22"/>
          <w:szCs w:val="22"/>
          <w:lang w:val="es-ES" w:eastAsia="es-ES"/>
        </w:rPr>
        <w:t>: Instalación de Tuberías, se comprenden las sub-etapas constructivas de excavación, instalación, prueba y desinfección de tubería y de válvulas; bloques de reacción y anclajes; relleno y compactación y disposición del material sobrante, de la siguiente manera:</w:t>
      </w:r>
    </w:p>
    <w:p w14:paraId="61CDC2D3" w14:textId="77777777" w:rsidR="001A4860" w:rsidRPr="001A4860" w:rsidRDefault="001A4860" w:rsidP="001A4860">
      <w:pPr>
        <w:rPr>
          <w:b/>
          <w:sz w:val="22"/>
          <w:szCs w:val="22"/>
          <w:lang w:val="es-ES" w:eastAsia="es-ES"/>
        </w:rPr>
      </w:pPr>
    </w:p>
    <w:p w14:paraId="2DB80992" w14:textId="77777777" w:rsidR="001A4860" w:rsidRPr="001A4860" w:rsidRDefault="001A4860" w:rsidP="001A4860">
      <w:pPr>
        <w:keepNext/>
        <w:outlineLvl w:val="1"/>
        <w:rPr>
          <w:rFonts w:eastAsia="Arial Narrow"/>
          <w:b/>
          <w:bCs/>
          <w:iCs/>
          <w:sz w:val="22"/>
          <w:szCs w:val="22"/>
          <w:lang w:val="es-NI"/>
        </w:rPr>
      </w:pPr>
      <w:bookmarkStart w:id="531" w:name="_Toc195479229"/>
      <w:bookmarkStart w:id="532" w:name="_Toc234745635"/>
      <w:bookmarkStart w:id="533" w:name="_Toc295977194"/>
      <w:bookmarkStart w:id="534" w:name="_Toc475371310"/>
      <w:bookmarkStart w:id="535" w:name="_Toc481596308"/>
      <w:bookmarkStart w:id="536" w:name="_Toc492981632"/>
      <w:bookmarkStart w:id="537" w:name="_Toc23249335"/>
      <w:r w:rsidRPr="001A4860">
        <w:rPr>
          <w:rFonts w:eastAsia="Arial Narrow"/>
          <w:b/>
          <w:bCs/>
          <w:iCs/>
          <w:sz w:val="22"/>
          <w:szCs w:val="22"/>
          <w:lang w:val="es-NI"/>
        </w:rPr>
        <w:t>Trazo y Nivelación.</w:t>
      </w:r>
      <w:bookmarkEnd w:id="531"/>
      <w:bookmarkEnd w:id="532"/>
      <w:bookmarkEnd w:id="533"/>
      <w:bookmarkEnd w:id="534"/>
      <w:bookmarkEnd w:id="535"/>
      <w:bookmarkEnd w:id="536"/>
      <w:bookmarkEnd w:id="537"/>
    </w:p>
    <w:p w14:paraId="08540115" w14:textId="77777777" w:rsidR="001A4860" w:rsidRPr="001A4860" w:rsidRDefault="001A4860" w:rsidP="001A4860">
      <w:pPr>
        <w:rPr>
          <w:sz w:val="22"/>
          <w:szCs w:val="22"/>
          <w:lang w:val="es-ES" w:eastAsia="es-ES"/>
        </w:rPr>
      </w:pPr>
    </w:p>
    <w:p w14:paraId="19BA2A58" w14:textId="77777777" w:rsidR="001A4860" w:rsidRPr="001A4860" w:rsidRDefault="001A4860" w:rsidP="001A4860">
      <w:pPr>
        <w:keepNext/>
        <w:ind w:left="720" w:hanging="720"/>
        <w:outlineLvl w:val="2"/>
        <w:rPr>
          <w:rFonts w:eastAsia="Arial Narrow"/>
          <w:b/>
          <w:bCs/>
          <w:iCs/>
          <w:sz w:val="22"/>
          <w:szCs w:val="22"/>
          <w:lang w:val="es-ES" w:bidi="en-US"/>
        </w:rPr>
      </w:pPr>
      <w:bookmarkStart w:id="538" w:name="_Toc234745636"/>
      <w:bookmarkStart w:id="539" w:name="_Toc475371311"/>
      <w:bookmarkStart w:id="540" w:name="_Toc481596309"/>
      <w:bookmarkStart w:id="541" w:name="_Toc492981633"/>
      <w:bookmarkStart w:id="542" w:name="_Toc23249336"/>
      <w:r w:rsidRPr="001A4860">
        <w:rPr>
          <w:rFonts w:eastAsia="Arial Narrow"/>
          <w:b/>
          <w:bCs/>
          <w:iCs/>
          <w:sz w:val="22"/>
          <w:szCs w:val="22"/>
          <w:lang w:val="es-ES" w:bidi="en-US"/>
        </w:rPr>
        <w:t>Preparación y Limpieza del Sitio.</w:t>
      </w:r>
      <w:bookmarkEnd w:id="538"/>
      <w:bookmarkEnd w:id="539"/>
      <w:bookmarkEnd w:id="540"/>
      <w:bookmarkEnd w:id="541"/>
      <w:bookmarkEnd w:id="542"/>
    </w:p>
    <w:p w14:paraId="15F72FCA" w14:textId="77777777" w:rsidR="001A4860" w:rsidRPr="001A4860" w:rsidRDefault="001A4860" w:rsidP="001A4860">
      <w:pPr>
        <w:rPr>
          <w:sz w:val="22"/>
          <w:szCs w:val="22"/>
          <w:lang w:val="es-ES" w:eastAsia="es-ES"/>
        </w:rPr>
      </w:pPr>
    </w:p>
    <w:p w14:paraId="46F1063D"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equipos, incluye equipo topográfico, herramientas, mano de obra, transporte y materiales necesarios para llevar a cabo el </w:t>
      </w:r>
      <w:r w:rsidRPr="001A4860">
        <w:rPr>
          <w:i/>
          <w:sz w:val="22"/>
          <w:szCs w:val="22"/>
          <w:lang w:val="es-ES" w:eastAsia="es-ES"/>
        </w:rPr>
        <w:t>trazo y nivelación</w:t>
      </w:r>
      <w:r w:rsidRPr="001A4860">
        <w:rPr>
          <w:sz w:val="22"/>
          <w:szCs w:val="22"/>
          <w:lang w:val="es-ES" w:eastAsia="es-ES"/>
        </w:rPr>
        <w:t>, en los sitios y dimensiones indicadas en los planos y de acuerdo con lo estipulado en estas especificaciones. Los costos de esta operación son asumidos por El Contratista.</w:t>
      </w:r>
    </w:p>
    <w:p w14:paraId="2789324C" w14:textId="77777777" w:rsidR="001A4860" w:rsidRPr="001A4860" w:rsidRDefault="001A4860" w:rsidP="001A4860">
      <w:pPr>
        <w:rPr>
          <w:sz w:val="22"/>
          <w:szCs w:val="22"/>
          <w:lang w:val="es-ES" w:eastAsia="es-ES"/>
        </w:rPr>
      </w:pPr>
    </w:p>
    <w:p w14:paraId="555B42CF" w14:textId="77777777" w:rsidR="001A4860" w:rsidRPr="001A4860" w:rsidRDefault="001A4860" w:rsidP="001A4860">
      <w:pPr>
        <w:rPr>
          <w:sz w:val="22"/>
          <w:szCs w:val="22"/>
          <w:lang w:val="es-ES" w:eastAsia="es-ES"/>
        </w:rPr>
      </w:pPr>
      <w:r w:rsidRPr="001A4860">
        <w:rPr>
          <w:sz w:val="22"/>
          <w:szCs w:val="22"/>
          <w:lang w:val="es-ES" w:eastAsia="es-ES"/>
        </w:rPr>
        <w:t>Previo a los trabajos de excavación, los comunitarios deben realizar la limpieza manual inicial sobre el eje de las tuberías. El ancho de la limpieza es de 1.0 m. medido 0.50 m a ambos lados del eje de la alineación de las tuberías tanto de conducción como de las tuberías de la red de distribución.</w:t>
      </w:r>
    </w:p>
    <w:p w14:paraId="291ED7B1" w14:textId="77777777" w:rsidR="001A4860" w:rsidRPr="001A4860" w:rsidRDefault="001A4860" w:rsidP="001A4860">
      <w:pPr>
        <w:rPr>
          <w:sz w:val="22"/>
          <w:szCs w:val="22"/>
          <w:lang w:val="es-ES" w:eastAsia="es-ES"/>
        </w:rPr>
      </w:pPr>
    </w:p>
    <w:p w14:paraId="1F4568A3" w14:textId="77777777" w:rsidR="001A4860" w:rsidRPr="001A4860" w:rsidRDefault="001A4860" w:rsidP="001A4860">
      <w:pPr>
        <w:rPr>
          <w:sz w:val="22"/>
          <w:szCs w:val="22"/>
          <w:lang w:val="es-ES" w:eastAsia="es-ES"/>
        </w:rPr>
      </w:pPr>
      <w:r w:rsidRPr="001A4860">
        <w:rPr>
          <w:sz w:val="22"/>
          <w:szCs w:val="22"/>
          <w:lang w:val="es-ES" w:eastAsia="es-ES"/>
        </w:rPr>
        <w:t>Árboles y arbusto localizados en el área de construcción deben ser derribados, se extrae troncos, raíces y son rellenados los huecos. Escarbar o raspar con el objetivode quitar la maleza, raíces, gramas sueltas, capa vegetal en general.</w:t>
      </w:r>
    </w:p>
    <w:p w14:paraId="44CBE5B2" w14:textId="77777777" w:rsidR="001A4860" w:rsidRPr="001A4860" w:rsidRDefault="001A4860" w:rsidP="001A4860">
      <w:pPr>
        <w:keepNext/>
        <w:ind w:left="720" w:hanging="720"/>
        <w:outlineLvl w:val="2"/>
        <w:rPr>
          <w:rFonts w:eastAsia="Arial Narrow"/>
          <w:b/>
          <w:bCs/>
          <w:iCs/>
          <w:sz w:val="22"/>
          <w:szCs w:val="22"/>
          <w:lang w:val="es-ES" w:bidi="en-US"/>
        </w:rPr>
      </w:pPr>
      <w:bookmarkStart w:id="543" w:name="_Toc234745637"/>
      <w:bookmarkStart w:id="544" w:name="_Toc475371312"/>
      <w:bookmarkStart w:id="545" w:name="_Toc481596310"/>
      <w:bookmarkStart w:id="546" w:name="_Toc492981634"/>
      <w:bookmarkStart w:id="547" w:name="_Toc23249337"/>
      <w:r w:rsidRPr="001A4860">
        <w:rPr>
          <w:rFonts w:eastAsia="Arial Narrow"/>
          <w:b/>
          <w:bCs/>
          <w:iCs/>
          <w:sz w:val="22"/>
          <w:szCs w:val="22"/>
          <w:lang w:val="es-ES" w:bidi="en-US"/>
        </w:rPr>
        <w:t>Trazado y Nivelación.</w:t>
      </w:r>
      <w:bookmarkEnd w:id="543"/>
      <w:bookmarkEnd w:id="544"/>
      <w:bookmarkEnd w:id="545"/>
      <w:bookmarkEnd w:id="546"/>
      <w:bookmarkEnd w:id="547"/>
    </w:p>
    <w:p w14:paraId="5D37A525" w14:textId="77777777" w:rsidR="001A4860" w:rsidRPr="001A4860" w:rsidRDefault="001A4860" w:rsidP="001A4860">
      <w:pPr>
        <w:rPr>
          <w:sz w:val="22"/>
          <w:szCs w:val="22"/>
          <w:lang w:val="es-ES" w:eastAsia="es-ES"/>
        </w:rPr>
      </w:pPr>
    </w:p>
    <w:p w14:paraId="3AC76138" w14:textId="77777777" w:rsidR="001A4860" w:rsidRPr="001A4860" w:rsidRDefault="001A4860" w:rsidP="001A4860">
      <w:pPr>
        <w:rPr>
          <w:sz w:val="22"/>
          <w:szCs w:val="22"/>
          <w:lang w:val="es-ES" w:eastAsia="es-ES"/>
        </w:rPr>
      </w:pPr>
      <w:r w:rsidRPr="001A4860">
        <w:rPr>
          <w:sz w:val="22"/>
          <w:szCs w:val="22"/>
          <w:lang w:val="es-ES" w:eastAsia="es-ES"/>
        </w:rPr>
        <w:t>El Contratista comprueba las medidas indicadas en los planos, localizando la construcción con precisión en el sitio, de acuerdo con los documentos del Contrato. Nivélelas y estacas de nivelación permanecen en su posición hasta que todas las esquinas y alturas de la edificación han sido establecidas permanentemente.</w:t>
      </w:r>
    </w:p>
    <w:p w14:paraId="0DE986F3" w14:textId="77777777" w:rsidR="001A4860" w:rsidRPr="001A4860" w:rsidRDefault="001A4860" w:rsidP="001A4860">
      <w:pPr>
        <w:rPr>
          <w:sz w:val="22"/>
          <w:szCs w:val="22"/>
          <w:lang w:val="es-ES" w:eastAsia="es-ES"/>
        </w:rPr>
      </w:pPr>
    </w:p>
    <w:p w14:paraId="52EAD771" w14:textId="77777777" w:rsidR="001A4860" w:rsidRPr="001A4860" w:rsidRDefault="001A4860" w:rsidP="001A4860">
      <w:pPr>
        <w:rPr>
          <w:sz w:val="22"/>
          <w:szCs w:val="22"/>
          <w:lang w:val="es-ES" w:eastAsia="es-ES"/>
        </w:rPr>
      </w:pPr>
      <w:r w:rsidRPr="001A4860">
        <w:rPr>
          <w:sz w:val="22"/>
          <w:szCs w:val="22"/>
          <w:lang w:val="es-ES" w:eastAsia="es-ES"/>
        </w:rPr>
        <w:t>El Contratista es responsable de proteger de daños todas las tuberías, niveles y puntos de referencias y si se destruyen deben ser reparados y repuestos por su cuenta. Se notifica al Supervisor cuando el trazo esté substancialmente terminado y se procede a la construcción hasta que haya sido aprobado.</w:t>
      </w:r>
    </w:p>
    <w:p w14:paraId="1657E89D" w14:textId="77777777" w:rsidR="001A4860" w:rsidRPr="001A4860" w:rsidRDefault="001A4860" w:rsidP="001A4860">
      <w:pPr>
        <w:rPr>
          <w:sz w:val="22"/>
          <w:szCs w:val="22"/>
          <w:lang w:val="es-ES" w:eastAsia="es-ES"/>
        </w:rPr>
      </w:pPr>
    </w:p>
    <w:p w14:paraId="45838B5A" w14:textId="77777777" w:rsidR="001A4860" w:rsidRPr="001A4860" w:rsidRDefault="001A4860" w:rsidP="001A4860">
      <w:pPr>
        <w:keepNext/>
        <w:outlineLvl w:val="1"/>
        <w:rPr>
          <w:rFonts w:eastAsia="Arial Narrow"/>
          <w:b/>
          <w:bCs/>
          <w:iCs/>
          <w:sz w:val="22"/>
          <w:szCs w:val="22"/>
          <w:lang w:val="es-NI"/>
        </w:rPr>
      </w:pPr>
      <w:bookmarkStart w:id="548" w:name="_Toc234745638"/>
      <w:bookmarkStart w:id="549" w:name="_Toc475371313"/>
      <w:bookmarkStart w:id="550" w:name="_Toc481596311"/>
      <w:bookmarkStart w:id="551" w:name="_Toc492981635"/>
      <w:bookmarkStart w:id="552" w:name="_Toc23249338"/>
      <w:r w:rsidRPr="001A4860">
        <w:rPr>
          <w:rFonts w:eastAsia="Arial Narrow"/>
          <w:b/>
          <w:bCs/>
          <w:iCs/>
          <w:sz w:val="22"/>
          <w:szCs w:val="22"/>
          <w:lang w:val="es-NI"/>
        </w:rPr>
        <w:t>Remoción de Estructuras.</w:t>
      </w:r>
      <w:bookmarkEnd w:id="548"/>
      <w:bookmarkEnd w:id="549"/>
      <w:bookmarkEnd w:id="550"/>
      <w:bookmarkEnd w:id="551"/>
      <w:bookmarkEnd w:id="552"/>
    </w:p>
    <w:p w14:paraId="6285DE00" w14:textId="77777777" w:rsidR="001A4860" w:rsidRPr="001A4860" w:rsidRDefault="001A4860" w:rsidP="001A4860">
      <w:pPr>
        <w:rPr>
          <w:sz w:val="22"/>
          <w:szCs w:val="22"/>
          <w:lang w:val="es-ES" w:eastAsia="es-ES"/>
        </w:rPr>
      </w:pPr>
    </w:p>
    <w:p w14:paraId="44A28BD4" w14:textId="77777777" w:rsidR="001A4860" w:rsidRPr="001A4860" w:rsidRDefault="001A4860" w:rsidP="001A4860">
      <w:pPr>
        <w:rPr>
          <w:sz w:val="22"/>
          <w:szCs w:val="22"/>
          <w:lang w:val="es-ES" w:eastAsia="es-ES"/>
        </w:rPr>
      </w:pPr>
      <w:r w:rsidRPr="001A4860">
        <w:rPr>
          <w:sz w:val="22"/>
          <w:szCs w:val="22"/>
          <w:lang w:val="es-ES" w:eastAsia="es-ES"/>
        </w:rPr>
        <w:t>Si la posición de cualquier tubo, conducto, poste o cualquier otra estructura, que esté dentro de los límites de la excavación de la zanja, exceptuando aquellas estructuras o tuberías cuya remoción está indicada específicamente en los planos, es tal que, en la opinión del Supervisor se hace necesaria su remoción, realineación o cambio, el trabajo es hecho por el Contratista. El Contratista debe descubrir y proveer soporte adecuado para tales estructuras por cuenta propia, antes de efectuar tal remoción, realineamiento o cambio, como parte de éste Contrato, y el Contratista no tiene derecho a ningún reclamo por daños, ni ninguna compensación extra a cuenta de cualquier retraso en la remoción o recolocación de tales estructuras o tuberías.</w:t>
      </w:r>
    </w:p>
    <w:p w14:paraId="2ADB1816" w14:textId="77777777" w:rsidR="001A4860" w:rsidRPr="001A4860" w:rsidRDefault="001A4860" w:rsidP="001A4860">
      <w:pPr>
        <w:rPr>
          <w:sz w:val="22"/>
          <w:szCs w:val="22"/>
          <w:lang w:val="es-ES" w:eastAsia="es-ES"/>
        </w:rPr>
      </w:pPr>
      <w:bookmarkStart w:id="553" w:name="_Toc195479230"/>
      <w:bookmarkStart w:id="554" w:name="_Toc234745639"/>
      <w:bookmarkStart w:id="555" w:name="_Toc295977195"/>
    </w:p>
    <w:p w14:paraId="3237D631" w14:textId="77777777" w:rsidR="001A4860" w:rsidRPr="001A4860" w:rsidRDefault="001A4860" w:rsidP="001A4860">
      <w:pPr>
        <w:keepNext/>
        <w:outlineLvl w:val="1"/>
        <w:rPr>
          <w:rFonts w:eastAsia="Arial Narrow"/>
          <w:b/>
          <w:bCs/>
          <w:iCs/>
          <w:sz w:val="22"/>
          <w:szCs w:val="22"/>
          <w:lang w:val="es-NI"/>
        </w:rPr>
      </w:pPr>
      <w:bookmarkStart w:id="556" w:name="_Toc475371314"/>
      <w:bookmarkStart w:id="557" w:name="_Toc481596312"/>
      <w:bookmarkStart w:id="558" w:name="_Toc492981636"/>
      <w:bookmarkStart w:id="559" w:name="_Toc23249339"/>
      <w:bookmarkStart w:id="560" w:name="_Toc234745640"/>
      <w:bookmarkEnd w:id="553"/>
      <w:bookmarkEnd w:id="554"/>
      <w:bookmarkEnd w:id="555"/>
      <w:r w:rsidRPr="001A4860">
        <w:rPr>
          <w:rFonts w:eastAsia="Arial Narrow"/>
          <w:b/>
          <w:bCs/>
          <w:iCs/>
          <w:sz w:val="22"/>
          <w:szCs w:val="22"/>
          <w:lang w:val="es-NI"/>
        </w:rPr>
        <w:t>Excavación.</w:t>
      </w:r>
      <w:bookmarkEnd w:id="556"/>
      <w:bookmarkEnd w:id="557"/>
      <w:bookmarkEnd w:id="558"/>
      <w:bookmarkEnd w:id="559"/>
    </w:p>
    <w:p w14:paraId="2320D33E" w14:textId="77777777" w:rsidR="001A4860" w:rsidRPr="001A4860" w:rsidRDefault="001A4860" w:rsidP="001A4860">
      <w:pPr>
        <w:rPr>
          <w:b/>
          <w:sz w:val="22"/>
          <w:szCs w:val="22"/>
          <w:lang w:val="es-ES" w:eastAsia="es-ES"/>
        </w:rPr>
      </w:pPr>
    </w:p>
    <w:p w14:paraId="3D54C944" w14:textId="77777777" w:rsidR="001A4860" w:rsidRPr="001A4860" w:rsidRDefault="001A4860" w:rsidP="001A4860">
      <w:pPr>
        <w:keepNext/>
        <w:ind w:left="720" w:hanging="720"/>
        <w:outlineLvl w:val="2"/>
        <w:rPr>
          <w:rFonts w:eastAsia="Arial Narrow"/>
          <w:b/>
          <w:bCs/>
          <w:iCs/>
          <w:sz w:val="22"/>
          <w:szCs w:val="22"/>
          <w:lang w:val="es-ES" w:bidi="en-US"/>
        </w:rPr>
      </w:pPr>
      <w:bookmarkStart w:id="561" w:name="_Toc475371315"/>
      <w:bookmarkStart w:id="562" w:name="_Toc481596313"/>
      <w:bookmarkStart w:id="563" w:name="_Toc492981637"/>
      <w:bookmarkStart w:id="564" w:name="_Toc23249340"/>
      <w:r w:rsidRPr="001A4860">
        <w:rPr>
          <w:rFonts w:eastAsia="Arial Narrow"/>
          <w:b/>
          <w:bCs/>
          <w:iCs/>
          <w:sz w:val="22"/>
          <w:szCs w:val="22"/>
          <w:lang w:val="es-ES" w:bidi="en-US"/>
        </w:rPr>
        <w:lastRenderedPageBreak/>
        <w:t>Recursos y procedimientos</w:t>
      </w:r>
      <w:bookmarkEnd w:id="561"/>
      <w:bookmarkEnd w:id="562"/>
      <w:bookmarkEnd w:id="563"/>
      <w:bookmarkEnd w:id="564"/>
    </w:p>
    <w:bookmarkEnd w:id="560"/>
    <w:p w14:paraId="78BA0413" w14:textId="77777777" w:rsidR="001A4860" w:rsidRPr="001A4860" w:rsidRDefault="001A4860" w:rsidP="001A4860">
      <w:pPr>
        <w:rPr>
          <w:sz w:val="22"/>
          <w:szCs w:val="22"/>
          <w:lang w:val="es-ES" w:eastAsia="es-ES"/>
        </w:rPr>
      </w:pPr>
    </w:p>
    <w:p w14:paraId="133B4CF5" w14:textId="77777777" w:rsidR="001A4860" w:rsidRPr="001A4860" w:rsidRDefault="001A4860" w:rsidP="001A4860">
      <w:pPr>
        <w:rPr>
          <w:sz w:val="22"/>
          <w:szCs w:val="22"/>
          <w:lang w:val="es-ES" w:eastAsia="es-ES"/>
        </w:rPr>
      </w:pPr>
      <w:r w:rsidRPr="001A4860">
        <w:rPr>
          <w:sz w:val="22"/>
          <w:szCs w:val="22"/>
          <w:lang w:val="es-ES" w:eastAsia="es-ES"/>
        </w:rPr>
        <w:t>En la excavación de zanjas, pozos de sondeo etc., se pueden encontrar eventualmente, materiales de diferentes grados de dureza, esta actividad constructiva requiere diferentes maneras de ejecución y/o de uso de herramientas y/o equipos que deben ser proporcionadas por el contratista. Los costos de esta operación son asumidos por El Contratista.</w:t>
      </w:r>
    </w:p>
    <w:p w14:paraId="650416D0" w14:textId="77777777" w:rsidR="001A4860" w:rsidRPr="001A4860" w:rsidRDefault="001A4860" w:rsidP="001A4860">
      <w:pPr>
        <w:rPr>
          <w:sz w:val="22"/>
          <w:szCs w:val="22"/>
          <w:lang w:val="es-ES" w:eastAsia="es-ES"/>
        </w:rPr>
      </w:pPr>
    </w:p>
    <w:p w14:paraId="68EC1229" w14:textId="77777777" w:rsidR="001A4860" w:rsidRPr="001A4860" w:rsidRDefault="001A4860" w:rsidP="001A4860">
      <w:pPr>
        <w:rPr>
          <w:spacing w:val="-3"/>
          <w:sz w:val="22"/>
          <w:szCs w:val="22"/>
          <w:lang w:val="es-419" w:eastAsia="es-ES"/>
        </w:rPr>
      </w:pPr>
      <w:r w:rsidRPr="001A4860">
        <w:rPr>
          <w:b/>
          <w:color w:val="000000"/>
          <w:spacing w:val="-3"/>
          <w:sz w:val="22"/>
          <w:szCs w:val="22"/>
          <w:lang w:val="es-ES" w:eastAsia="es-ES"/>
        </w:rPr>
        <w:t xml:space="preserve">La actividad de excavación en zanjas para instalación de tuberías será realizada por los beneficiarios (comunitarios). </w:t>
      </w:r>
      <w:r w:rsidRPr="001A4860">
        <w:rPr>
          <w:b/>
          <w:spacing w:val="-3"/>
          <w:sz w:val="22"/>
          <w:szCs w:val="22"/>
          <w:lang w:val="es-419" w:eastAsia="es-ES"/>
        </w:rPr>
        <w:t xml:space="preserve">El Contratista suministra a los comunitarios las herramientas y equipos necesarios para realizar efectivamente la excavación y conformación manual de las zanjas para la istalar las tuberías. Los costos de las herramientas y equipos, el Contratista debe incluirlos en los costos indirectos de operación. </w:t>
      </w:r>
      <w:r w:rsidRPr="001A4860">
        <w:rPr>
          <w:spacing w:val="-3"/>
          <w:sz w:val="22"/>
          <w:szCs w:val="22"/>
          <w:lang w:val="es-419" w:eastAsia="es-ES"/>
        </w:rPr>
        <w:t>El Contratista debe asegurar que, las excavaciones cumplan con la horizontalidad, verticalidad y profundidad de acuerdo a planos y especificaciones, así mismo el Contratista, a través del componente social debe asegurar la organización de la comunidad para garantizar los trabajos de excavación en los plazos establecidos dentro del cronograma de ejecución, todo lo anterior debe quedar registrado y evidenciado en los instrumentos correspondientes.</w:t>
      </w:r>
    </w:p>
    <w:p w14:paraId="43819E9D" w14:textId="77777777" w:rsidR="001A4860" w:rsidRPr="001A4860" w:rsidRDefault="001A4860" w:rsidP="001A4860">
      <w:pPr>
        <w:rPr>
          <w:sz w:val="22"/>
          <w:szCs w:val="22"/>
          <w:lang w:val="es-ES" w:eastAsia="es-ES"/>
        </w:rPr>
      </w:pPr>
    </w:p>
    <w:p w14:paraId="5EAEC034" w14:textId="77777777" w:rsidR="001A4860" w:rsidRPr="001A4860" w:rsidRDefault="001A4860" w:rsidP="001A4860">
      <w:pPr>
        <w:rPr>
          <w:sz w:val="22"/>
          <w:szCs w:val="22"/>
          <w:lang w:val="es-ES" w:eastAsia="es-ES"/>
        </w:rPr>
      </w:pPr>
      <w:r w:rsidRPr="001A4860">
        <w:rPr>
          <w:sz w:val="22"/>
          <w:szCs w:val="22"/>
          <w:lang w:val="es-ES" w:eastAsia="es-ES"/>
        </w:rPr>
        <w:t>Las excavaciones de otros materiales más duros que "tierra normal" y/o a profundidades adicionales ordenadas por El Supervisor, se consideran conceptos de obras complementarios, cuyas definiciones y aplicaciones se determinan en el capítulo - EXCAVACION, RELLENO Y COMPACTACION ESPECIAL Y/O ADICIONAL.</w:t>
      </w:r>
    </w:p>
    <w:p w14:paraId="71107C8E" w14:textId="77777777" w:rsidR="001A4860" w:rsidRPr="001A4860" w:rsidRDefault="001A4860" w:rsidP="001A4860">
      <w:pPr>
        <w:rPr>
          <w:sz w:val="22"/>
          <w:szCs w:val="22"/>
          <w:lang w:val="es-ES" w:eastAsia="es-ES"/>
        </w:rPr>
      </w:pPr>
      <w:bookmarkStart w:id="565" w:name="_Toc234745643"/>
      <w:bookmarkStart w:id="566" w:name="_Toc475371318"/>
      <w:bookmarkStart w:id="567" w:name="_Toc481596315"/>
      <w:bookmarkStart w:id="568" w:name="_Toc492981639"/>
    </w:p>
    <w:p w14:paraId="2087427B" w14:textId="77777777" w:rsidR="001A4860" w:rsidRPr="001A4860" w:rsidRDefault="001A4860" w:rsidP="001A4860">
      <w:pPr>
        <w:keepNext/>
        <w:ind w:left="720" w:hanging="720"/>
        <w:outlineLvl w:val="2"/>
        <w:rPr>
          <w:rFonts w:eastAsia="Arial Narrow"/>
          <w:b/>
          <w:bCs/>
          <w:iCs/>
          <w:sz w:val="22"/>
          <w:szCs w:val="22"/>
          <w:lang w:val="es-ES" w:bidi="en-US"/>
        </w:rPr>
      </w:pPr>
      <w:bookmarkStart w:id="569" w:name="_Toc23249341"/>
      <w:r w:rsidRPr="001A4860">
        <w:rPr>
          <w:rFonts w:eastAsia="Arial Narrow"/>
          <w:b/>
          <w:bCs/>
          <w:iCs/>
          <w:sz w:val="22"/>
          <w:szCs w:val="22"/>
          <w:lang w:val="es-ES" w:bidi="en-US"/>
        </w:rPr>
        <w:t>Sección transversal de zanja para tubería de agua potable.</w:t>
      </w:r>
      <w:bookmarkEnd w:id="569"/>
    </w:p>
    <w:p w14:paraId="000E3BEF" w14:textId="77777777" w:rsidR="001A4860" w:rsidRPr="001A4860" w:rsidRDefault="001A4860" w:rsidP="001A4860">
      <w:pPr>
        <w:rPr>
          <w:sz w:val="22"/>
          <w:szCs w:val="22"/>
          <w:lang w:val="es-ES" w:eastAsia="es-ES"/>
        </w:rPr>
      </w:pPr>
    </w:p>
    <w:p w14:paraId="3D1DEBBC" w14:textId="77777777" w:rsidR="001A4860" w:rsidRPr="001A4860" w:rsidRDefault="001A4860" w:rsidP="001A4860">
      <w:pPr>
        <w:rPr>
          <w:sz w:val="22"/>
          <w:szCs w:val="22"/>
          <w:lang w:val="es-ES" w:eastAsia="es-ES"/>
        </w:rPr>
      </w:pPr>
      <w:r w:rsidRPr="001A4860">
        <w:rPr>
          <w:noProof/>
          <w:sz w:val="22"/>
          <w:szCs w:val="22"/>
          <w:lang w:val="es-MX" w:eastAsia="es-MX"/>
        </w:rPr>
        <w:drawing>
          <wp:inline distT="0" distB="0" distL="0" distR="0" wp14:anchorId="455ED9A8" wp14:editId="62D0E635">
            <wp:extent cx="4812030" cy="2143125"/>
            <wp:effectExtent l="0" t="0" r="7620" b="9525"/>
            <wp:docPr id="12" name="Picture 1" descr="Sección tra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 name="Picture 1" descr="Sección trans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203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FE94FB5" w14:textId="77777777" w:rsidR="001A4860" w:rsidRPr="001A4860" w:rsidRDefault="001A4860" w:rsidP="001A4860">
      <w:pPr>
        <w:rPr>
          <w:sz w:val="22"/>
          <w:szCs w:val="22"/>
          <w:lang w:val="es-ES" w:eastAsia="es-ES"/>
        </w:rPr>
      </w:pPr>
    </w:p>
    <w:p w14:paraId="74A3B402" w14:textId="77777777" w:rsidR="001A4860" w:rsidRPr="001A4860" w:rsidRDefault="001A4860" w:rsidP="001A4860">
      <w:pPr>
        <w:keepNext/>
        <w:ind w:left="720" w:hanging="720"/>
        <w:outlineLvl w:val="2"/>
        <w:rPr>
          <w:rFonts w:eastAsia="Arial Narrow"/>
          <w:b/>
          <w:bCs/>
          <w:iCs/>
          <w:sz w:val="22"/>
          <w:szCs w:val="22"/>
          <w:lang w:val="es-ES" w:bidi="en-US"/>
        </w:rPr>
      </w:pPr>
      <w:bookmarkStart w:id="570" w:name="_Toc23249342"/>
      <w:r w:rsidRPr="001A4860">
        <w:rPr>
          <w:rFonts w:eastAsia="Arial Narrow"/>
          <w:b/>
          <w:bCs/>
          <w:iCs/>
          <w:sz w:val="22"/>
          <w:szCs w:val="22"/>
          <w:lang w:val="es-ES" w:bidi="en-US"/>
        </w:rPr>
        <w:t>Dimensiones de zanja conforme diámetro de tubería</w:t>
      </w:r>
      <w:bookmarkEnd w:id="570"/>
    </w:p>
    <w:p w14:paraId="473DA816" w14:textId="77777777" w:rsidR="001A4860" w:rsidRPr="001A4860" w:rsidRDefault="001A4860" w:rsidP="001A4860">
      <w:pPr>
        <w:rPr>
          <w:sz w:val="22"/>
          <w:szCs w:val="22"/>
          <w:lang w:val="es-ES" w:eastAsia="es-ES"/>
        </w:rPr>
      </w:pPr>
    </w:p>
    <w:tbl>
      <w:tblPr>
        <w:tblStyle w:val="Tablaconcuadrcula1"/>
        <w:tblW w:w="9776" w:type="dxa"/>
        <w:jc w:val="center"/>
        <w:tblInd w:w="0" w:type="dxa"/>
        <w:tblLayout w:type="fixed"/>
        <w:tblLook w:val="04A0" w:firstRow="1" w:lastRow="0" w:firstColumn="1" w:lastColumn="0" w:noHBand="0" w:noVBand="1"/>
      </w:tblPr>
      <w:tblGrid>
        <w:gridCol w:w="1838"/>
        <w:gridCol w:w="1276"/>
        <w:gridCol w:w="992"/>
        <w:gridCol w:w="1276"/>
        <w:gridCol w:w="1276"/>
        <w:gridCol w:w="1417"/>
        <w:gridCol w:w="1701"/>
      </w:tblGrid>
      <w:tr w:rsidR="001A4860" w:rsidRPr="001A4860" w14:paraId="76A989BF" w14:textId="77777777" w:rsidTr="001A4860">
        <w:trPr>
          <w:jc w:val="center"/>
        </w:trPr>
        <w:tc>
          <w:tcPr>
            <w:tcW w:w="3114" w:type="dxa"/>
            <w:gridSpan w:val="2"/>
            <w:shd w:val="clear" w:color="auto" w:fill="D9D9D9"/>
            <w:vAlign w:val="center"/>
          </w:tcPr>
          <w:p w14:paraId="23663B78" w14:textId="77777777" w:rsidR="001A4860" w:rsidRPr="001A4860" w:rsidRDefault="001A4860" w:rsidP="001A4860">
            <w:pPr>
              <w:jc w:val="center"/>
              <w:rPr>
                <w:sz w:val="22"/>
                <w:szCs w:val="22"/>
                <w:lang w:val="es-ES" w:eastAsia="es-ES"/>
              </w:rPr>
            </w:pPr>
            <w:r w:rsidRPr="001A4860">
              <w:rPr>
                <w:sz w:val="22"/>
                <w:szCs w:val="22"/>
                <w:lang w:val="es-ES" w:eastAsia="es-ES"/>
              </w:rPr>
              <w:t>Diámetro de tubería</w:t>
            </w:r>
          </w:p>
        </w:tc>
        <w:tc>
          <w:tcPr>
            <w:tcW w:w="2268" w:type="dxa"/>
            <w:gridSpan w:val="2"/>
            <w:shd w:val="clear" w:color="auto" w:fill="D9D9D9"/>
            <w:vAlign w:val="center"/>
          </w:tcPr>
          <w:p w14:paraId="24043E84" w14:textId="77777777" w:rsidR="001A4860" w:rsidRPr="001A4860" w:rsidRDefault="001A4860" w:rsidP="001A4860">
            <w:pPr>
              <w:jc w:val="center"/>
              <w:rPr>
                <w:sz w:val="22"/>
                <w:szCs w:val="22"/>
                <w:lang w:val="es-ES" w:eastAsia="es-ES"/>
              </w:rPr>
            </w:pPr>
            <w:r w:rsidRPr="001A4860">
              <w:rPr>
                <w:sz w:val="22"/>
                <w:szCs w:val="22"/>
                <w:lang w:val="es-ES" w:eastAsia="es-ES"/>
              </w:rPr>
              <w:t>Profundiad (m)*</w:t>
            </w:r>
          </w:p>
        </w:tc>
        <w:tc>
          <w:tcPr>
            <w:tcW w:w="1276" w:type="dxa"/>
            <w:vMerge w:val="restart"/>
            <w:shd w:val="clear" w:color="auto" w:fill="D9D9D9"/>
            <w:vAlign w:val="center"/>
          </w:tcPr>
          <w:p w14:paraId="51DF1236" w14:textId="77777777" w:rsidR="001A4860" w:rsidRPr="001A4860" w:rsidRDefault="001A4860" w:rsidP="001A4860">
            <w:pPr>
              <w:jc w:val="center"/>
              <w:rPr>
                <w:sz w:val="22"/>
                <w:szCs w:val="22"/>
                <w:lang w:val="es-ES" w:eastAsia="es-ES"/>
              </w:rPr>
            </w:pPr>
            <w:r w:rsidRPr="001A4860">
              <w:rPr>
                <w:sz w:val="22"/>
                <w:szCs w:val="22"/>
                <w:lang w:val="es-ES" w:eastAsia="es-ES"/>
              </w:rPr>
              <w:t>Ancho de excavación (m)</w:t>
            </w:r>
          </w:p>
        </w:tc>
        <w:tc>
          <w:tcPr>
            <w:tcW w:w="3118" w:type="dxa"/>
            <w:gridSpan w:val="2"/>
            <w:shd w:val="clear" w:color="auto" w:fill="D9D9D9"/>
          </w:tcPr>
          <w:p w14:paraId="75CA8DA9" w14:textId="77777777" w:rsidR="001A4860" w:rsidRPr="001A4860" w:rsidRDefault="001A4860" w:rsidP="001A4860">
            <w:pPr>
              <w:jc w:val="center"/>
              <w:rPr>
                <w:sz w:val="22"/>
                <w:szCs w:val="22"/>
                <w:lang w:val="es-ES" w:eastAsia="es-ES"/>
              </w:rPr>
            </w:pPr>
            <w:r w:rsidRPr="001A4860">
              <w:rPr>
                <w:sz w:val="22"/>
                <w:szCs w:val="22"/>
                <w:lang w:val="es-ES" w:eastAsia="es-ES"/>
              </w:rPr>
              <w:t>Area calculada en (m2)**</w:t>
            </w:r>
          </w:p>
        </w:tc>
      </w:tr>
      <w:tr w:rsidR="001A4860" w:rsidRPr="001A4860" w14:paraId="57C875ED" w14:textId="77777777" w:rsidTr="001A4860">
        <w:trPr>
          <w:trHeight w:val="562"/>
          <w:jc w:val="center"/>
        </w:trPr>
        <w:tc>
          <w:tcPr>
            <w:tcW w:w="1838" w:type="dxa"/>
            <w:tcBorders>
              <w:bottom w:val="double" w:sz="4" w:space="0" w:color="auto"/>
            </w:tcBorders>
            <w:shd w:val="clear" w:color="auto" w:fill="D9D9D9"/>
            <w:vAlign w:val="center"/>
          </w:tcPr>
          <w:p w14:paraId="6116603E" w14:textId="77777777" w:rsidR="001A4860" w:rsidRPr="001A4860" w:rsidRDefault="001A4860" w:rsidP="001A4860">
            <w:pPr>
              <w:jc w:val="center"/>
              <w:rPr>
                <w:sz w:val="22"/>
                <w:szCs w:val="22"/>
                <w:lang w:val="es-ES" w:eastAsia="es-ES"/>
              </w:rPr>
            </w:pPr>
            <w:r w:rsidRPr="001A4860">
              <w:rPr>
                <w:sz w:val="22"/>
                <w:szCs w:val="22"/>
                <w:lang w:val="es-ES" w:eastAsia="es-ES"/>
              </w:rPr>
              <w:t>ADiámetro nominal</w:t>
            </w:r>
          </w:p>
          <w:p w14:paraId="32770E1B" w14:textId="77777777" w:rsidR="001A4860" w:rsidRPr="001A4860" w:rsidRDefault="001A4860" w:rsidP="001A4860">
            <w:pPr>
              <w:jc w:val="center"/>
              <w:rPr>
                <w:sz w:val="22"/>
                <w:szCs w:val="22"/>
                <w:lang w:val="es-ES" w:eastAsia="es-ES"/>
              </w:rPr>
            </w:pPr>
            <w:r w:rsidRPr="001A4860">
              <w:rPr>
                <w:sz w:val="22"/>
                <w:szCs w:val="22"/>
                <w:lang w:val="es-ES" w:eastAsia="es-ES"/>
              </w:rPr>
              <w:t>(mm) / pulg</w:t>
            </w:r>
          </w:p>
        </w:tc>
        <w:tc>
          <w:tcPr>
            <w:tcW w:w="1276" w:type="dxa"/>
            <w:tcBorders>
              <w:bottom w:val="double" w:sz="4" w:space="0" w:color="auto"/>
            </w:tcBorders>
            <w:shd w:val="clear" w:color="auto" w:fill="D9D9D9"/>
            <w:vAlign w:val="center"/>
          </w:tcPr>
          <w:p w14:paraId="1C64E4A6" w14:textId="77777777" w:rsidR="001A4860" w:rsidRPr="001A4860" w:rsidRDefault="001A4860" w:rsidP="001A4860">
            <w:pPr>
              <w:jc w:val="center"/>
              <w:rPr>
                <w:sz w:val="22"/>
                <w:szCs w:val="22"/>
                <w:lang w:val="es-ES" w:eastAsia="es-ES"/>
              </w:rPr>
            </w:pPr>
            <w:r w:rsidRPr="001A4860">
              <w:rPr>
                <w:sz w:val="22"/>
                <w:szCs w:val="22"/>
                <w:lang w:val="es-ES" w:eastAsia="es-ES"/>
              </w:rPr>
              <w:t>Diámetro exterior (m)</w:t>
            </w:r>
          </w:p>
        </w:tc>
        <w:tc>
          <w:tcPr>
            <w:tcW w:w="992" w:type="dxa"/>
            <w:tcBorders>
              <w:bottom w:val="double" w:sz="4" w:space="0" w:color="auto"/>
            </w:tcBorders>
            <w:shd w:val="clear" w:color="auto" w:fill="D9D9D9"/>
            <w:vAlign w:val="center"/>
          </w:tcPr>
          <w:p w14:paraId="65A468AD" w14:textId="77777777" w:rsidR="001A4860" w:rsidRPr="001A4860" w:rsidRDefault="001A4860" w:rsidP="001A4860">
            <w:pPr>
              <w:jc w:val="center"/>
              <w:rPr>
                <w:sz w:val="22"/>
                <w:szCs w:val="22"/>
                <w:lang w:val="es-ES" w:eastAsia="es-ES"/>
              </w:rPr>
            </w:pPr>
            <w:r w:rsidRPr="001A4860">
              <w:rPr>
                <w:sz w:val="22"/>
                <w:szCs w:val="22"/>
                <w:lang w:val="es-ES" w:eastAsia="es-ES"/>
              </w:rPr>
              <w:t>Corona del tubo (m)</w:t>
            </w:r>
          </w:p>
        </w:tc>
        <w:tc>
          <w:tcPr>
            <w:tcW w:w="1276" w:type="dxa"/>
            <w:tcBorders>
              <w:bottom w:val="double" w:sz="4" w:space="0" w:color="auto"/>
            </w:tcBorders>
            <w:shd w:val="clear" w:color="auto" w:fill="D9D9D9"/>
            <w:vAlign w:val="center"/>
          </w:tcPr>
          <w:p w14:paraId="6F50B3C6" w14:textId="77777777" w:rsidR="001A4860" w:rsidRPr="001A4860" w:rsidRDefault="001A4860" w:rsidP="001A4860">
            <w:pPr>
              <w:jc w:val="center"/>
              <w:rPr>
                <w:sz w:val="22"/>
                <w:szCs w:val="22"/>
                <w:lang w:val="es-ES" w:eastAsia="es-ES"/>
              </w:rPr>
            </w:pPr>
            <w:r w:rsidRPr="001A4860">
              <w:rPr>
                <w:sz w:val="22"/>
                <w:szCs w:val="22"/>
                <w:lang w:val="es-ES" w:eastAsia="es-ES"/>
              </w:rPr>
              <w:t>Excavación de zanja (m)</w:t>
            </w:r>
          </w:p>
        </w:tc>
        <w:tc>
          <w:tcPr>
            <w:tcW w:w="1276" w:type="dxa"/>
            <w:vMerge/>
            <w:tcBorders>
              <w:bottom w:val="double" w:sz="4" w:space="0" w:color="auto"/>
            </w:tcBorders>
            <w:shd w:val="clear" w:color="auto" w:fill="D9D9D9"/>
            <w:vAlign w:val="center"/>
          </w:tcPr>
          <w:p w14:paraId="060DA799" w14:textId="77777777" w:rsidR="001A4860" w:rsidRPr="001A4860" w:rsidRDefault="001A4860" w:rsidP="001A4860">
            <w:pPr>
              <w:jc w:val="center"/>
              <w:rPr>
                <w:sz w:val="22"/>
                <w:szCs w:val="22"/>
                <w:lang w:val="es-ES" w:eastAsia="es-ES"/>
              </w:rPr>
            </w:pPr>
          </w:p>
        </w:tc>
        <w:tc>
          <w:tcPr>
            <w:tcW w:w="1417" w:type="dxa"/>
            <w:tcBorders>
              <w:bottom w:val="double" w:sz="4" w:space="0" w:color="auto"/>
            </w:tcBorders>
            <w:shd w:val="clear" w:color="auto" w:fill="D9D9D9"/>
            <w:vAlign w:val="center"/>
          </w:tcPr>
          <w:p w14:paraId="54E34503" w14:textId="77777777" w:rsidR="001A4860" w:rsidRPr="001A4860" w:rsidRDefault="001A4860" w:rsidP="001A4860">
            <w:pPr>
              <w:jc w:val="center"/>
              <w:rPr>
                <w:sz w:val="22"/>
                <w:szCs w:val="22"/>
                <w:lang w:val="es-ES" w:eastAsia="es-ES"/>
              </w:rPr>
            </w:pPr>
            <w:r w:rsidRPr="001A4860">
              <w:rPr>
                <w:sz w:val="22"/>
                <w:szCs w:val="22"/>
                <w:lang w:val="es-ES" w:eastAsia="es-ES"/>
              </w:rPr>
              <w:t>Excavación</w:t>
            </w:r>
          </w:p>
        </w:tc>
        <w:tc>
          <w:tcPr>
            <w:tcW w:w="1701" w:type="dxa"/>
            <w:tcBorders>
              <w:bottom w:val="double" w:sz="4" w:space="0" w:color="auto"/>
            </w:tcBorders>
            <w:shd w:val="clear" w:color="auto" w:fill="D9D9D9"/>
            <w:vAlign w:val="center"/>
          </w:tcPr>
          <w:p w14:paraId="2DDB7947" w14:textId="77777777" w:rsidR="001A4860" w:rsidRPr="001A4860" w:rsidRDefault="001A4860" w:rsidP="001A4860">
            <w:pPr>
              <w:jc w:val="center"/>
              <w:rPr>
                <w:sz w:val="22"/>
                <w:szCs w:val="22"/>
                <w:lang w:val="es-ES" w:eastAsia="es-ES"/>
              </w:rPr>
            </w:pPr>
            <w:r w:rsidRPr="001A4860">
              <w:rPr>
                <w:sz w:val="22"/>
                <w:szCs w:val="22"/>
                <w:lang w:val="es-ES" w:eastAsia="es-ES"/>
              </w:rPr>
              <w:t>Relleno y compactación</w:t>
            </w:r>
          </w:p>
        </w:tc>
      </w:tr>
      <w:tr w:rsidR="001A4860" w:rsidRPr="001A4860" w14:paraId="6C1D0B69" w14:textId="77777777" w:rsidTr="001A4860">
        <w:trPr>
          <w:jc w:val="center"/>
        </w:trPr>
        <w:tc>
          <w:tcPr>
            <w:tcW w:w="1838" w:type="dxa"/>
            <w:tcBorders>
              <w:top w:val="double" w:sz="4" w:space="0" w:color="auto"/>
            </w:tcBorders>
            <w:vAlign w:val="center"/>
          </w:tcPr>
          <w:p w14:paraId="4060FCD5" w14:textId="77777777" w:rsidR="001A4860" w:rsidRPr="001A4860" w:rsidRDefault="001A4860" w:rsidP="001A4860">
            <w:pPr>
              <w:jc w:val="center"/>
              <w:rPr>
                <w:sz w:val="22"/>
                <w:szCs w:val="22"/>
                <w:lang w:val="es-ES" w:eastAsia="es-ES"/>
              </w:rPr>
            </w:pPr>
            <w:r w:rsidRPr="001A4860">
              <w:rPr>
                <w:sz w:val="22"/>
                <w:szCs w:val="22"/>
                <w:lang w:val="es-ES" w:eastAsia="es-ES"/>
              </w:rPr>
              <w:t>50 mm (2 pulg)</w:t>
            </w:r>
          </w:p>
        </w:tc>
        <w:tc>
          <w:tcPr>
            <w:tcW w:w="1276" w:type="dxa"/>
            <w:tcBorders>
              <w:top w:val="double" w:sz="4" w:space="0" w:color="auto"/>
            </w:tcBorders>
            <w:vAlign w:val="center"/>
          </w:tcPr>
          <w:p w14:paraId="63D05B42" w14:textId="77777777" w:rsidR="001A4860" w:rsidRPr="001A4860" w:rsidRDefault="001A4860" w:rsidP="001A4860">
            <w:pPr>
              <w:jc w:val="center"/>
              <w:rPr>
                <w:sz w:val="22"/>
                <w:szCs w:val="22"/>
                <w:lang w:val="es-ES" w:eastAsia="es-ES"/>
              </w:rPr>
            </w:pPr>
            <w:r w:rsidRPr="001A4860">
              <w:rPr>
                <w:sz w:val="22"/>
                <w:szCs w:val="22"/>
                <w:lang w:val="es-ES" w:eastAsia="es-ES"/>
              </w:rPr>
              <w:t>0.06</w:t>
            </w:r>
          </w:p>
        </w:tc>
        <w:tc>
          <w:tcPr>
            <w:tcW w:w="992" w:type="dxa"/>
            <w:tcBorders>
              <w:top w:val="double" w:sz="4" w:space="0" w:color="auto"/>
            </w:tcBorders>
            <w:vAlign w:val="center"/>
          </w:tcPr>
          <w:p w14:paraId="4B49D1B0" w14:textId="77777777" w:rsidR="001A4860" w:rsidRPr="001A4860" w:rsidRDefault="001A4860" w:rsidP="001A4860">
            <w:pPr>
              <w:jc w:val="center"/>
              <w:rPr>
                <w:sz w:val="22"/>
                <w:szCs w:val="22"/>
                <w:lang w:val="es-ES" w:eastAsia="es-ES"/>
              </w:rPr>
            </w:pPr>
            <w:r w:rsidRPr="001A4860">
              <w:rPr>
                <w:sz w:val="22"/>
                <w:szCs w:val="22"/>
                <w:lang w:val="es-ES" w:eastAsia="es-ES"/>
              </w:rPr>
              <w:t>1.20</w:t>
            </w:r>
          </w:p>
        </w:tc>
        <w:tc>
          <w:tcPr>
            <w:tcW w:w="1276" w:type="dxa"/>
            <w:tcBorders>
              <w:top w:val="double" w:sz="4" w:space="0" w:color="auto"/>
            </w:tcBorders>
            <w:vAlign w:val="center"/>
          </w:tcPr>
          <w:p w14:paraId="69FE1730" w14:textId="77777777" w:rsidR="001A4860" w:rsidRPr="001A4860" w:rsidRDefault="001A4860" w:rsidP="001A4860">
            <w:pPr>
              <w:jc w:val="center"/>
              <w:rPr>
                <w:sz w:val="22"/>
                <w:szCs w:val="22"/>
                <w:lang w:val="es-ES" w:eastAsia="es-ES"/>
              </w:rPr>
            </w:pPr>
            <w:r w:rsidRPr="001A4860">
              <w:rPr>
                <w:sz w:val="22"/>
                <w:szCs w:val="22"/>
                <w:lang w:val="es-ES" w:eastAsia="es-ES"/>
              </w:rPr>
              <w:t>1.26</w:t>
            </w:r>
          </w:p>
        </w:tc>
        <w:tc>
          <w:tcPr>
            <w:tcW w:w="1276" w:type="dxa"/>
            <w:tcBorders>
              <w:top w:val="double" w:sz="4" w:space="0" w:color="auto"/>
            </w:tcBorders>
            <w:vAlign w:val="center"/>
          </w:tcPr>
          <w:p w14:paraId="53CC8CDD" w14:textId="77777777" w:rsidR="001A4860" w:rsidRPr="001A4860" w:rsidRDefault="001A4860" w:rsidP="001A4860">
            <w:pPr>
              <w:jc w:val="center"/>
              <w:rPr>
                <w:sz w:val="22"/>
                <w:szCs w:val="22"/>
                <w:lang w:val="es-ES" w:eastAsia="es-ES"/>
              </w:rPr>
            </w:pPr>
            <w:r w:rsidRPr="001A4860">
              <w:rPr>
                <w:sz w:val="22"/>
                <w:szCs w:val="22"/>
                <w:lang w:val="es-ES" w:eastAsia="es-ES"/>
              </w:rPr>
              <w:t>0.56</w:t>
            </w:r>
          </w:p>
        </w:tc>
        <w:tc>
          <w:tcPr>
            <w:tcW w:w="1417" w:type="dxa"/>
            <w:tcBorders>
              <w:top w:val="double" w:sz="4" w:space="0" w:color="auto"/>
            </w:tcBorders>
            <w:vAlign w:val="center"/>
          </w:tcPr>
          <w:p w14:paraId="6944E0DC" w14:textId="77777777" w:rsidR="001A4860" w:rsidRPr="001A4860" w:rsidRDefault="001A4860" w:rsidP="001A4860">
            <w:pPr>
              <w:jc w:val="center"/>
              <w:rPr>
                <w:sz w:val="22"/>
                <w:szCs w:val="22"/>
                <w:lang w:val="es-ES" w:eastAsia="es-ES"/>
              </w:rPr>
            </w:pPr>
            <w:r w:rsidRPr="001A4860">
              <w:rPr>
                <w:sz w:val="22"/>
                <w:szCs w:val="22"/>
                <w:lang w:val="es-ES" w:eastAsia="es-ES"/>
              </w:rPr>
              <w:t>0.7056</w:t>
            </w:r>
          </w:p>
        </w:tc>
        <w:tc>
          <w:tcPr>
            <w:tcW w:w="1701" w:type="dxa"/>
            <w:tcBorders>
              <w:top w:val="double" w:sz="4" w:space="0" w:color="auto"/>
            </w:tcBorders>
            <w:vAlign w:val="center"/>
          </w:tcPr>
          <w:p w14:paraId="12734B51" w14:textId="77777777" w:rsidR="001A4860" w:rsidRPr="001A4860" w:rsidRDefault="001A4860" w:rsidP="001A4860">
            <w:pPr>
              <w:jc w:val="center"/>
              <w:rPr>
                <w:sz w:val="22"/>
                <w:szCs w:val="22"/>
                <w:lang w:val="es-ES" w:eastAsia="es-ES"/>
              </w:rPr>
            </w:pPr>
            <w:r w:rsidRPr="001A4860">
              <w:rPr>
                <w:sz w:val="22"/>
                <w:szCs w:val="22"/>
                <w:lang w:val="es-ES" w:eastAsia="es-ES"/>
              </w:rPr>
              <w:t>0.7027</w:t>
            </w:r>
          </w:p>
        </w:tc>
      </w:tr>
      <w:tr w:rsidR="001A4860" w:rsidRPr="001A4860" w14:paraId="307B4751" w14:textId="77777777" w:rsidTr="001A4860">
        <w:trPr>
          <w:jc w:val="center"/>
        </w:trPr>
        <w:tc>
          <w:tcPr>
            <w:tcW w:w="1838" w:type="dxa"/>
            <w:vAlign w:val="center"/>
          </w:tcPr>
          <w:p w14:paraId="314BA2B2" w14:textId="77777777" w:rsidR="001A4860" w:rsidRPr="001A4860" w:rsidRDefault="001A4860" w:rsidP="001A4860">
            <w:pPr>
              <w:jc w:val="center"/>
              <w:rPr>
                <w:sz w:val="22"/>
                <w:szCs w:val="22"/>
                <w:lang w:val="es-ES" w:eastAsia="es-ES"/>
              </w:rPr>
            </w:pPr>
            <w:r w:rsidRPr="001A4860">
              <w:rPr>
                <w:sz w:val="22"/>
                <w:szCs w:val="22"/>
                <w:lang w:val="es-ES" w:eastAsia="es-ES"/>
              </w:rPr>
              <w:t>75 mm (3 pulg)</w:t>
            </w:r>
          </w:p>
        </w:tc>
        <w:tc>
          <w:tcPr>
            <w:tcW w:w="1276" w:type="dxa"/>
            <w:vAlign w:val="center"/>
          </w:tcPr>
          <w:p w14:paraId="3DAD61B4" w14:textId="77777777" w:rsidR="001A4860" w:rsidRPr="001A4860" w:rsidRDefault="001A4860" w:rsidP="001A4860">
            <w:pPr>
              <w:jc w:val="center"/>
              <w:rPr>
                <w:sz w:val="22"/>
                <w:szCs w:val="22"/>
                <w:lang w:val="es-ES" w:eastAsia="es-ES"/>
              </w:rPr>
            </w:pPr>
            <w:r w:rsidRPr="001A4860">
              <w:rPr>
                <w:sz w:val="22"/>
                <w:szCs w:val="22"/>
                <w:lang w:val="es-ES" w:eastAsia="es-ES"/>
              </w:rPr>
              <w:t>0.09</w:t>
            </w:r>
          </w:p>
        </w:tc>
        <w:tc>
          <w:tcPr>
            <w:tcW w:w="992" w:type="dxa"/>
            <w:vAlign w:val="center"/>
          </w:tcPr>
          <w:p w14:paraId="3F8A0477" w14:textId="77777777" w:rsidR="001A4860" w:rsidRPr="001A4860" w:rsidRDefault="001A4860" w:rsidP="001A4860">
            <w:pPr>
              <w:jc w:val="center"/>
              <w:rPr>
                <w:sz w:val="22"/>
                <w:szCs w:val="22"/>
                <w:lang w:val="es-ES" w:eastAsia="es-ES"/>
              </w:rPr>
            </w:pPr>
            <w:r w:rsidRPr="001A4860">
              <w:rPr>
                <w:sz w:val="22"/>
                <w:szCs w:val="22"/>
                <w:lang w:val="es-ES" w:eastAsia="es-ES"/>
              </w:rPr>
              <w:t>1.20</w:t>
            </w:r>
          </w:p>
        </w:tc>
        <w:tc>
          <w:tcPr>
            <w:tcW w:w="1276" w:type="dxa"/>
            <w:vAlign w:val="center"/>
          </w:tcPr>
          <w:p w14:paraId="2CDA2D69" w14:textId="77777777" w:rsidR="001A4860" w:rsidRPr="001A4860" w:rsidRDefault="001A4860" w:rsidP="001A4860">
            <w:pPr>
              <w:jc w:val="center"/>
              <w:rPr>
                <w:sz w:val="22"/>
                <w:szCs w:val="22"/>
                <w:lang w:val="es-ES" w:eastAsia="es-ES"/>
              </w:rPr>
            </w:pPr>
            <w:r w:rsidRPr="001A4860">
              <w:rPr>
                <w:sz w:val="22"/>
                <w:szCs w:val="22"/>
                <w:lang w:val="es-ES" w:eastAsia="es-ES"/>
              </w:rPr>
              <w:t>1.29</w:t>
            </w:r>
          </w:p>
        </w:tc>
        <w:tc>
          <w:tcPr>
            <w:tcW w:w="1276" w:type="dxa"/>
            <w:vAlign w:val="center"/>
          </w:tcPr>
          <w:p w14:paraId="490CE95D" w14:textId="77777777" w:rsidR="001A4860" w:rsidRPr="001A4860" w:rsidRDefault="001A4860" w:rsidP="001A4860">
            <w:pPr>
              <w:jc w:val="center"/>
              <w:rPr>
                <w:sz w:val="22"/>
                <w:szCs w:val="22"/>
                <w:lang w:val="es-ES" w:eastAsia="es-ES"/>
              </w:rPr>
            </w:pPr>
            <w:r w:rsidRPr="001A4860">
              <w:rPr>
                <w:sz w:val="22"/>
                <w:szCs w:val="22"/>
                <w:lang w:val="es-ES" w:eastAsia="es-ES"/>
              </w:rPr>
              <w:t>0.59</w:t>
            </w:r>
          </w:p>
        </w:tc>
        <w:tc>
          <w:tcPr>
            <w:tcW w:w="1417" w:type="dxa"/>
            <w:vAlign w:val="center"/>
          </w:tcPr>
          <w:p w14:paraId="0F6174EC" w14:textId="77777777" w:rsidR="001A4860" w:rsidRPr="001A4860" w:rsidRDefault="001A4860" w:rsidP="001A4860">
            <w:pPr>
              <w:jc w:val="center"/>
              <w:rPr>
                <w:sz w:val="22"/>
                <w:szCs w:val="22"/>
                <w:lang w:val="es-ES" w:eastAsia="es-ES"/>
              </w:rPr>
            </w:pPr>
            <w:r w:rsidRPr="001A4860">
              <w:rPr>
                <w:sz w:val="22"/>
                <w:szCs w:val="22"/>
                <w:lang w:val="es-ES" w:eastAsia="es-ES"/>
              </w:rPr>
              <w:t>0.7611</w:t>
            </w:r>
          </w:p>
        </w:tc>
        <w:tc>
          <w:tcPr>
            <w:tcW w:w="1701" w:type="dxa"/>
            <w:vAlign w:val="center"/>
          </w:tcPr>
          <w:p w14:paraId="28CF36EF" w14:textId="77777777" w:rsidR="001A4860" w:rsidRPr="001A4860" w:rsidRDefault="001A4860" w:rsidP="001A4860">
            <w:pPr>
              <w:jc w:val="center"/>
              <w:rPr>
                <w:sz w:val="22"/>
                <w:szCs w:val="22"/>
                <w:lang w:val="es-ES" w:eastAsia="es-ES"/>
              </w:rPr>
            </w:pPr>
            <w:r w:rsidRPr="001A4860">
              <w:rPr>
                <w:sz w:val="22"/>
                <w:szCs w:val="22"/>
                <w:lang w:val="es-ES" w:eastAsia="es-ES"/>
              </w:rPr>
              <w:t>0.7549</w:t>
            </w:r>
          </w:p>
        </w:tc>
      </w:tr>
      <w:tr w:rsidR="001A4860" w:rsidRPr="001A4860" w14:paraId="1374BEFB" w14:textId="77777777" w:rsidTr="001A4860">
        <w:trPr>
          <w:jc w:val="center"/>
        </w:trPr>
        <w:tc>
          <w:tcPr>
            <w:tcW w:w="1838" w:type="dxa"/>
            <w:vAlign w:val="center"/>
          </w:tcPr>
          <w:p w14:paraId="046BB5C3" w14:textId="77777777" w:rsidR="001A4860" w:rsidRPr="001A4860" w:rsidRDefault="001A4860" w:rsidP="001A4860">
            <w:pPr>
              <w:jc w:val="center"/>
              <w:rPr>
                <w:sz w:val="22"/>
                <w:szCs w:val="22"/>
                <w:lang w:val="es-ES" w:eastAsia="es-ES"/>
              </w:rPr>
            </w:pPr>
            <w:r w:rsidRPr="001A4860">
              <w:rPr>
                <w:sz w:val="22"/>
                <w:szCs w:val="22"/>
                <w:lang w:val="es-ES" w:eastAsia="es-ES"/>
              </w:rPr>
              <w:t>100 mm(4 pulg)</w:t>
            </w:r>
          </w:p>
        </w:tc>
        <w:tc>
          <w:tcPr>
            <w:tcW w:w="1276" w:type="dxa"/>
            <w:vAlign w:val="center"/>
          </w:tcPr>
          <w:p w14:paraId="3328AA52" w14:textId="77777777" w:rsidR="001A4860" w:rsidRPr="001A4860" w:rsidRDefault="001A4860" w:rsidP="001A4860">
            <w:pPr>
              <w:jc w:val="center"/>
              <w:rPr>
                <w:sz w:val="22"/>
                <w:szCs w:val="22"/>
                <w:lang w:val="es-ES" w:eastAsia="es-ES"/>
              </w:rPr>
            </w:pPr>
            <w:r w:rsidRPr="001A4860">
              <w:rPr>
                <w:sz w:val="22"/>
                <w:szCs w:val="22"/>
                <w:lang w:val="es-ES" w:eastAsia="es-ES"/>
              </w:rPr>
              <w:t>0.11</w:t>
            </w:r>
          </w:p>
        </w:tc>
        <w:tc>
          <w:tcPr>
            <w:tcW w:w="992" w:type="dxa"/>
            <w:vAlign w:val="center"/>
          </w:tcPr>
          <w:p w14:paraId="3A1AD345" w14:textId="77777777" w:rsidR="001A4860" w:rsidRPr="001A4860" w:rsidRDefault="001A4860" w:rsidP="001A4860">
            <w:pPr>
              <w:jc w:val="center"/>
              <w:rPr>
                <w:sz w:val="22"/>
                <w:szCs w:val="22"/>
                <w:lang w:val="es-ES" w:eastAsia="es-ES"/>
              </w:rPr>
            </w:pPr>
            <w:r w:rsidRPr="001A4860">
              <w:rPr>
                <w:sz w:val="22"/>
                <w:szCs w:val="22"/>
                <w:lang w:val="es-ES" w:eastAsia="es-ES"/>
              </w:rPr>
              <w:t>1.20</w:t>
            </w:r>
          </w:p>
        </w:tc>
        <w:tc>
          <w:tcPr>
            <w:tcW w:w="1276" w:type="dxa"/>
            <w:vAlign w:val="center"/>
          </w:tcPr>
          <w:p w14:paraId="3227E2D9" w14:textId="77777777" w:rsidR="001A4860" w:rsidRPr="001A4860" w:rsidRDefault="001A4860" w:rsidP="001A4860">
            <w:pPr>
              <w:jc w:val="center"/>
              <w:rPr>
                <w:sz w:val="22"/>
                <w:szCs w:val="22"/>
                <w:lang w:val="es-ES" w:eastAsia="es-ES"/>
              </w:rPr>
            </w:pPr>
            <w:r w:rsidRPr="001A4860">
              <w:rPr>
                <w:sz w:val="22"/>
                <w:szCs w:val="22"/>
                <w:lang w:val="es-ES" w:eastAsia="es-ES"/>
              </w:rPr>
              <w:t>1.31</w:t>
            </w:r>
          </w:p>
        </w:tc>
        <w:tc>
          <w:tcPr>
            <w:tcW w:w="1276" w:type="dxa"/>
            <w:vAlign w:val="center"/>
          </w:tcPr>
          <w:p w14:paraId="3F365E12" w14:textId="77777777" w:rsidR="001A4860" w:rsidRPr="001A4860" w:rsidRDefault="001A4860" w:rsidP="001A4860">
            <w:pPr>
              <w:jc w:val="center"/>
              <w:rPr>
                <w:sz w:val="22"/>
                <w:szCs w:val="22"/>
                <w:lang w:val="es-ES" w:eastAsia="es-ES"/>
              </w:rPr>
            </w:pPr>
            <w:r w:rsidRPr="001A4860">
              <w:rPr>
                <w:sz w:val="22"/>
                <w:szCs w:val="22"/>
                <w:lang w:val="es-ES" w:eastAsia="es-ES"/>
              </w:rPr>
              <w:t>0.61</w:t>
            </w:r>
          </w:p>
        </w:tc>
        <w:tc>
          <w:tcPr>
            <w:tcW w:w="1417" w:type="dxa"/>
            <w:vAlign w:val="center"/>
          </w:tcPr>
          <w:p w14:paraId="23C3BE12" w14:textId="77777777" w:rsidR="001A4860" w:rsidRPr="001A4860" w:rsidRDefault="001A4860" w:rsidP="001A4860">
            <w:pPr>
              <w:jc w:val="center"/>
              <w:rPr>
                <w:sz w:val="22"/>
                <w:szCs w:val="22"/>
                <w:lang w:val="es-ES" w:eastAsia="es-ES"/>
              </w:rPr>
            </w:pPr>
            <w:r w:rsidRPr="001A4860">
              <w:rPr>
                <w:sz w:val="22"/>
                <w:szCs w:val="22"/>
                <w:lang w:val="es-ES" w:eastAsia="es-ES"/>
              </w:rPr>
              <w:t>0.7991</w:t>
            </w:r>
          </w:p>
        </w:tc>
        <w:tc>
          <w:tcPr>
            <w:tcW w:w="1701" w:type="dxa"/>
            <w:vAlign w:val="center"/>
          </w:tcPr>
          <w:p w14:paraId="275F70BD" w14:textId="77777777" w:rsidR="001A4860" w:rsidRPr="001A4860" w:rsidRDefault="001A4860" w:rsidP="001A4860">
            <w:pPr>
              <w:jc w:val="center"/>
              <w:rPr>
                <w:sz w:val="22"/>
                <w:szCs w:val="22"/>
                <w:lang w:val="es-ES" w:eastAsia="es-ES"/>
              </w:rPr>
            </w:pPr>
            <w:r w:rsidRPr="001A4860">
              <w:rPr>
                <w:sz w:val="22"/>
                <w:szCs w:val="22"/>
                <w:lang w:val="es-ES" w:eastAsia="es-ES"/>
              </w:rPr>
              <w:t>0.7888</w:t>
            </w:r>
          </w:p>
        </w:tc>
      </w:tr>
      <w:tr w:rsidR="001A4860" w:rsidRPr="001A4860" w14:paraId="678CE7AE" w14:textId="77777777" w:rsidTr="001A4860">
        <w:trPr>
          <w:jc w:val="center"/>
        </w:trPr>
        <w:tc>
          <w:tcPr>
            <w:tcW w:w="1838" w:type="dxa"/>
            <w:vAlign w:val="center"/>
          </w:tcPr>
          <w:p w14:paraId="00CF5F21" w14:textId="77777777" w:rsidR="001A4860" w:rsidRPr="001A4860" w:rsidRDefault="001A4860" w:rsidP="001A4860">
            <w:pPr>
              <w:jc w:val="center"/>
              <w:rPr>
                <w:sz w:val="22"/>
                <w:szCs w:val="22"/>
                <w:lang w:val="es-ES" w:eastAsia="es-ES"/>
              </w:rPr>
            </w:pPr>
            <w:r w:rsidRPr="001A4860">
              <w:rPr>
                <w:sz w:val="22"/>
                <w:szCs w:val="22"/>
                <w:lang w:val="es-ES" w:eastAsia="es-ES"/>
              </w:rPr>
              <w:t>150 mm (6 pulg)</w:t>
            </w:r>
          </w:p>
        </w:tc>
        <w:tc>
          <w:tcPr>
            <w:tcW w:w="1276" w:type="dxa"/>
            <w:vAlign w:val="center"/>
          </w:tcPr>
          <w:p w14:paraId="2E813474" w14:textId="77777777" w:rsidR="001A4860" w:rsidRPr="001A4860" w:rsidRDefault="001A4860" w:rsidP="001A4860">
            <w:pPr>
              <w:jc w:val="center"/>
              <w:rPr>
                <w:sz w:val="22"/>
                <w:szCs w:val="22"/>
                <w:lang w:val="es-ES" w:eastAsia="es-ES"/>
              </w:rPr>
            </w:pPr>
            <w:r w:rsidRPr="001A4860">
              <w:rPr>
                <w:sz w:val="22"/>
                <w:szCs w:val="22"/>
                <w:lang w:val="es-ES" w:eastAsia="es-ES"/>
              </w:rPr>
              <w:t>0.17</w:t>
            </w:r>
          </w:p>
        </w:tc>
        <w:tc>
          <w:tcPr>
            <w:tcW w:w="992" w:type="dxa"/>
            <w:vAlign w:val="center"/>
          </w:tcPr>
          <w:p w14:paraId="2DC61A36" w14:textId="77777777" w:rsidR="001A4860" w:rsidRPr="001A4860" w:rsidRDefault="001A4860" w:rsidP="001A4860">
            <w:pPr>
              <w:jc w:val="center"/>
              <w:rPr>
                <w:sz w:val="22"/>
                <w:szCs w:val="22"/>
                <w:lang w:val="es-ES" w:eastAsia="es-ES"/>
              </w:rPr>
            </w:pPr>
            <w:r w:rsidRPr="001A4860">
              <w:rPr>
                <w:sz w:val="22"/>
                <w:szCs w:val="22"/>
                <w:lang w:val="es-ES" w:eastAsia="es-ES"/>
              </w:rPr>
              <w:t>1.20</w:t>
            </w:r>
          </w:p>
        </w:tc>
        <w:tc>
          <w:tcPr>
            <w:tcW w:w="1276" w:type="dxa"/>
            <w:vAlign w:val="center"/>
          </w:tcPr>
          <w:p w14:paraId="23E86751" w14:textId="77777777" w:rsidR="001A4860" w:rsidRPr="001A4860" w:rsidRDefault="001A4860" w:rsidP="001A4860">
            <w:pPr>
              <w:jc w:val="center"/>
              <w:rPr>
                <w:sz w:val="22"/>
                <w:szCs w:val="22"/>
                <w:lang w:val="es-ES" w:eastAsia="es-ES"/>
              </w:rPr>
            </w:pPr>
            <w:r w:rsidRPr="001A4860">
              <w:rPr>
                <w:sz w:val="22"/>
                <w:szCs w:val="22"/>
                <w:lang w:val="es-ES" w:eastAsia="es-ES"/>
              </w:rPr>
              <w:t>1.37</w:t>
            </w:r>
          </w:p>
        </w:tc>
        <w:tc>
          <w:tcPr>
            <w:tcW w:w="1276" w:type="dxa"/>
            <w:vAlign w:val="center"/>
          </w:tcPr>
          <w:p w14:paraId="25D05A84" w14:textId="77777777" w:rsidR="001A4860" w:rsidRPr="001A4860" w:rsidRDefault="001A4860" w:rsidP="001A4860">
            <w:pPr>
              <w:jc w:val="center"/>
              <w:rPr>
                <w:sz w:val="22"/>
                <w:szCs w:val="22"/>
                <w:lang w:val="es-ES" w:eastAsia="es-ES"/>
              </w:rPr>
            </w:pPr>
            <w:r w:rsidRPr="001A4860">
              <w:rPr>
                <w:sz w:val="22"/>
                <w:szCs w:val="22"/>
                <w:lang w:val="es-ES" w:eastAsia="es-ES"/>
              </w:rPr>
              <w:t>0.67</w:t>
            </w:r>
          </w:p>
        </w:tc>
        <w:tc>
          <w:tcPr>
            <w:tcW w:w="1417" w:type="dxa"/>
            <w:vAlign w:val="center"/>
          </w:tcPr>
          <w:p w14:paraId="452D521B" w14:textId="77777777" w:rsidR="001A4860" w:rsidRPr="001A4860" w:rsidRDefault="001A4860" w:rsidP="001A4860">
            <w:pPr>
              <w:jc w:val="center"/>
              <w:rPr>
                <w:sz w:val="22"/>
                <w:szCs w:val="22"/>
                <w:lang w:val="es-ES" w:eastAsia="es-ES"/>
              </w:rPr>
            </w:pPr>
            <w:r w:rsidRPr="001A4860">
              <w:rPr>
                <w:sz w:val="22"/>
                <w:szCs w:val="22"/>
                <w:lang w:val="es-ES" w:eastAsia="es-ES"/>
              </w:rPr>
              <w:t>0.9179</w:t>
            </w:r>
          </w:p>
        </w:tc>
        <w:tc>
          <w:tcPr>
            <w:tcW w:w="1701" w:type="dxa"/>
            <w:vAlign w:val="center"/>
          </w:tcPr>
          <w:p w14:paraId="76B3B753" w14:textId="77777777" w:rsidR="001A4860" w:rsidRPr="001A4860" w:rsidRDefault="001A4860" w:rsidP="001A4860">
            <w:pPr>
              <w:jc w:val="center"/>
              <w:rPr>
                <w:sz w:val="22"/>
                <w:szCs w:val="22"/>
                <w:lang w:val="es-ES" w:eastAsia="es-ES"/>
              </w:rPr>
            </w:pPr>
            <w:r w:rsidRPr="001A4860">
              <w:rPr>
                <w:sz w:val="22"/>
                <w:szCs w:val="22"/>
                <w:lang w:val="es-ES" w:eastAsia="es-ES"/>
              </w:rPr>
              <w:t>0.8957</w:t>
            </w:r>
          </w:p>
        </w:tc>
      </w:tr>
    </w:tbl>
    <w:p w14:paraId="23A0FA38" w14:textId="77777777" w:rsidR="001A4860" w:rsidRPr="001A4860" w:rsidRDefault="001A4860" w:rsidP="001A4860">
      <w:pPr>
        <w:ind w:left="284" w:hanging="284"/>
        <w:rPr>
          <w:sz w:val="22"/>
          <w:szCs w:val="22"/>
          <w:lang w:val="es-ES" w:eastAsia="es-ES"/>
        </w:rPr>
      </w:pPr>
      <w:r w:rsidRPr="001A4860">
        <w:rPr>
          <w:sz w:val="22"/>
          <w:szCs w:val="22"/>
          <w:lang w:val="es-ES" w:eastAsia="es-ES"/>
        </w:rPr>
        <w:lastRenderedPageBreak/>
        <w:t>*    En casos especiales la profundidad de la corona del tubo es variable por la dureza o estabilidad de la geología de los estratos excavados.</w:t>
      </w:r>
    </w:p>
    <w:p w14:paraId="71AC016B" w14:textId="77777777" w:rsidR="001A4860" w:rsidRPr="001A4860" w:rsidRDefault="001A4860" w:rsidP="001A4860">
      <w:pPr>
        <w:rPr>
          <w:sz w:val="22"/>
          <w:szCs w:val="22"/>
          <w:lang w:val="es-ES" w:eastAsia="es-ES"/>
        </w:rPr>
      </w:pPr>
      <w:r w:rsidRPr="001A4860">
        <w:rPr>
          <w:sz w:val="22"/>
          <w:szCs w:val="22"/>
          <w:lang w:val="es-ES" w:eastAsia="es-ES"/>
        </w:rPr>
        <w:t xml:space="preserve">** Para obtener volumen en (m3), multiplicar el área calculada por la longitud en (m) del diámetro de tubería correspondiente proyectado. </w:t>
      </w:r>
    </w:p>
    <w:p w14:paraId="6EBF6639" w14:textId="77777777" w:rsidR="001A4860" w:rsidRPr="001A4860" w:rsidRDefault="001A4860" w:rsidP="001A4860">
      <w:pPr>
        <w:rPr>
          <w:sz w:val="22"/>
          <w:szCs w:val="22"/>
          <w:lang w:val="es-ES" w:eastAsia="es-ES"/>
        </w:rPr>
      </w:pPr>
    </w:p>
    <w:p w14:paraId="3FC17864" w14:textId="77777777" w:rsidR="001A4860" w:rsidRPr="001A4860" w:rsidRDefault="001A4860" w:rsidP="001A4860">
      <w:pPr>
        <w:rPr>
          <w:sz w:val="22"/>
          <w:szCs w:val="22"/>
          <w:lang w:val="es-ES" w:eastAsia="es-ES"/>
        </w:rPr>
      </w:pPr>
      <w:r w:rsidRPr="001A4860">
        <w:rPr>
          <w:sz w:val="22"/>
          <w:szCs w:val="22"/>
          <w:lang w:val="es-ES" w:eastAsia="es-ES"/>
        </w:rPr>
        <w:t>El ancho de zanja es igual al diámetro externo de tubería más un máximo de 0.50 m, colocando la tubería al centro de la zanja, manteniendo la verticalidad de zanja en toda su extensión. No se reconoce al Contratista en la forma de pago, la ampliación de las zanjas hechas sin autorización del Supervisor.</w:t>
      </w:r>
    </w:p>
    <w:p w14:paraId="7C346C84" w14:textId="77777777" w:rsidR="001A4860" w:rsidRPr="001A4860" w:rsidRDefault="001A4860" w:rsidP="001A4860">
      <w:pPr>
        <w:rPr>
          <w:sz w:val="22"/>
          <w:szCs w:val="22"/>
          <w:lang w:val="es-ES" w:eastAsia="es-ES"/>
        </w:rPr>
      </w:pPr>
    </w:p>
    <w:p w14:paraId="0233FC24" w14:textId="77777777" w:rsidR="001A4860" w:rsidRPr="001A4860" w:rsidRDefault="001A4860" w:rsidP="001A4860">
      <w:pPr>
        <w:rPr>
          <w:sz w:val="22"/>
          <w:szCs w:val="22"/>
          <w:lang w:val="es-ES" w:eastAsia="es-ES"/>
        </w:rPr>
      </w:pPr>
      <w:r w:rsidRPr="001A4860">
        <w:rPr>
          <w:sz w:val="22"/>
          <w:szCs w:val="22"/>
          <w:lang w:val="es-ES" w:eastAsia="es-ES"/>
        </w:rPr>
        <w:t>En general, a menos que los planos indiquen lo contrario, la profundidad total de la zanja es igual al diámetro externo del tubo mas un máximo de 1.20 m que equivale a la profundidad de la corona del tubo medido desde la superficie del terreno natural. Cuando por necesidad constructiva se requieran profundidades menores, la tubería debe protegerse con concreto tal como se muestra en planos constructivos y con la aprobación de El Supervisor.</w:t>
      </w:r>
    </w:p>
    <w:p w14:paraId="1F5CB20B" w14:textId="77777777" w:rsidR="001A4860" w:rsidRPr="001A4860" w:rsidRDefault="001A4860" w:rsidP="001A4860">
      <w:pPr>
        <w:rPr>
          <w:sz w:val="22"/>
          <w:szCs w:val="22"/>
          <w:lang w:val="es-ES" w:eastAsia="es-ES"/>
        </w:rPr>
      </w:pPr>
      <w:r w:rsidRPr="001A4860">
        <w:rPr>
          <w:sz w:val="22"/>
          <w:szCs w:val="22"/>
          <w:lang w:val="es-ES" w:eastAsia="es-ES"/>
        </w:rPr>
        <w:t>El fondo de la zanja debe quedar perfectamente nivelado, sin protuberancias que afecten a la tubería a instalarse, de manera que el tubo descanse sobre el terreno en toda su longitud y uniformemente.</w:t>
      </w:r>
    </w:p>
    <w:p w14:paraId="422715FB" w14:textId="77777777" w:rsidR="001A4860" w:rsidRPr="001A4860" w:rsidRDefault="001A4860" w:rsidP="001A4860">
      <w:pPr>
        <w:rPr>
          <w:sz w:val="22"/>
          <w:szCs w:val="22"/>
          <w:lang w:val="es-ES" w:eastAsia="es-ES"/>
        </w:rPr>
      </w:pPr>
    </w:p>
    <w:p w14:paraId="708321B0" w14:textId="77777777" w:rsidR="001A4860" w:rsidRPr="001A4860" w:rsidRDefault="001A4860" w:rsidP="001A4860">
      <w:pPr>
        <w:rPr>
          <w:sz w:val="22"/>
          <w:szCs w:val="22"/>
          <w:lang w:val="es-ES" w:eastAsia="es-ES"/>
        </w:rPr>
      </w:pPr>
      <w:r w:rsidRPr="001A4860">
        <w:rPr>
          <w:sz w:val="22"/>
          <w:szCs w:val="22"/>
          <w:lang w:val="es-ES" w:eastAsia="es-ES"/>
        </w:rPr>
        <w:t>En caso de que en la excavación se presentaran terrenos de poca consistencia (muy húmedo, suelos orgánicos, etc.) como el sonsocuite, la zanja debe profundizarse como lo indique El Supervisor, pero no menos de 0.30 m. abajo del fondo proyectado, y el material excavado debe reponerse con material aceptado por El Supervisor, dentro de las especificaciones señaladas en la Sección de Relleno Especial.</w:t>
      </w:r>
    </w:p>
    <w:p w14:paraId="71B03F2A" w14:textId="77777777" w:rsidR="001A4860" w:rsidRPr="001A4860" w:rsidRDefault="001A4860" w:rsidP="001A4860">
      <w:pPr>
        <w:rPr>
          <w:sz w:val="22"/>
          <w:szCs w:val="22"/>
          <w:lang w:val="es-ES" w:eastAsia="es-ES"/>
        </w:rPr>
      </w:pPr>
    </w:p>
    <w:p w14:paraId="1174338F" w14:textId="77777777" w:rsidR="001A4860" w:rsidRPr="001A4860" w:rsidRDefault="001A4860" w:rsidP="001A4860">
      <w:pPr>
        <w:rPr>
          <w:sz w:val="22"/>
          <w:szCs w:val="22"/>
          <w:lang w:val="es-ES" w:eastAsia="es-ES"/>
        </w:rPr>
      </w:pPr>
      <w:r w:rsidRPr="001A4860">
        <w:rPr>
          <w:sz w:val="22"/>
          <w:szCs w:val="22"/>
          <w:lang w:val="es-ES" w:eastAsia="es-ES"/>
        </w:rPr>
        <w:t>Cuando la excavación sea en roca o piedra cantera, se remueve ésta a una profundidad de 15 centímetros bajo la rasante de la línea inferior del tubo.  Esta excavación comúnmente conocida como excavación adicional, se rellena después con material aprobado por El Supervisor de la manera descrita en la Sección de Relleno Especial, o como lo indique El Supervisor.</w:t>
      </w:r>
    </w:p>
    <w:p w14:paraId="31EAADD2" w14:textId="77777777" w:rsidR="001A4860" w:rsidRPr="001A4860" w:rsidRDefault="001A4860" w:rsidP="001A4860">
      <w:pPr>
        <w:rPr>
          <w:sz w:val="22"/>
          <w:szCs w:val="22"/>
          <w:lang w:val="es-ES" w:eastAsia="es-ES"/>
        </w:rPr>
      </w:pPr>
    </w:p>
    <w:p w14:paraId="131B25F6" w14:textId="77777777" w:rsidR="001A4860" w:rsidRPr="001A4860" w:rsidRDefault="001A4860" w:rsidP="001A4860">
      <w:pPr>
        <w:rPr>
          <w:sz w:val="22"/>
          <w:szCs w:val="22"/>
          <w:lang w:val="es-ES" w:eastAsia="es-ES"/>
        </w:rPr>
      </w:pPr>
      <w:r w:rsidRPr="001A4860">
        <w:rPr>
          <w:sz w:val="22"/>
          <w:szCs w:val="22"/>
          <w:lang w:val="es-ES" w:eastAsia="es-ES"/>
        </w:rPr>
        <w:t>En caso de curvas horizontales con pequeños ángulos de deflexión, debe dársele a la excavación un sobre ancho, el cual está determinado por las deflexiones permisibles en las uniones de las tuberías.</w:t>
      </w:r>
    </w:p>
    <w:p w14:paraId="138C0B96" w14:textId="77777777" w:rsidR="001A4860" w:rsidRPr="001A4860" w:rsidRDefault="001A4860" w:rsidP="001A4860">
      <w:pPr>
        <w:rPr>
          <w:sz w:val="22"/>
          <w:szCs w:val="22"/>
          <w:lang w:val="es-ES" w:eastAsia="es-ES"/>
        </w:rPr>
      </w:pPr>
    </w:p>
    <w:p w14:paraId="7EA53C53" w14:textId="77777777" w:rsidR="001A4860" w:rsidRPr="001A4860" w:rsidRDefault="001A4860" w:rsidP="001A4860">
      <w:pPr>
        <w:rPr>
          <w:sz w:val="22"/>
          <w:szCs w:val="22"/>
          <w:lang w:val="es-ES" w:eastAsia="es-ES"/>
        </w:rPr>
      </w:pPr>
      <w:r w:rsidRPr="001A4860">
        <w:rPr>
          <w:sz w:val="22"/>
          <w:szCs w:val="22"/>
          <w:lang w:val="es-ES" w:eastAsia="es-ES"/>
        </w:rPr>
        <w:t xml:space="preserve">Cuando la tubería se instalase sobre superficie rocosa, esta se excava 2/3 de diámetro del lecho y de ancho tiene el ancho del tubo más 40 cm, si el tubo a instalarse es de HG, ésta va anclada a las paredes de las laderas o fondo del lecho del río a cada tres metros, con una faja de acero inoxidable de 2” de ancho y ¼” de espesor, con dos pernos de ¾” de diámetro y 6” de longitud a su vez va protegida por un bloque de concreto ciclópeo simple de 2000 PSI de resistencia a los 28 días como se indica en los detalles del plano. </w:t>
      </w:r>
    </w:p>
    <w:p w14:paraId="24083D41" w14:textId="77777777" w:rsidR="001A4860" w:rsidRPr="001A4860" w:rsidRDefault="001A4860" w:rsidP="001A4860">
      <w:pPr>
        <w:rPr>
          <w:sz w:val="22"/>
          <w:szCs w:val="22"/>
          <w:lang w:val="es-ES" w:eastAsia="es-ES"/>
        </w:rPr>
      </w:pPr>
    </w:p>
    <w:p w14:paraId="6B22BF40" w14:textId="77777777" w:rsidR="001A4860" w:rsidRPr="001A4860" w:rsidRDefault="001A4860" w:rsidP="001A4860">
      <w:pPr>
        <w:keepNext/>
        <w:ind w:left="720" w:hanging="720"/>
        <w:outlineLvl w:val="2"/>
        <w:rPr>
          <w:rFonts w:eastAsia="Arial Narrow"/>
          <w:b/>
          <w:bCs/>
          <w:iCs/>
          <w:sz w:val="22"/>
          <w:szCs w:val="22"/>
          <w:lang w:val="es-ES" w:bidi="en-US"/>
        </w:rPr>
      </w:pPr>
      <w:bookmarkStart w:id="571" w:name="_Toc23249343"/>
      <w:r w:rsidRPr="001A4860">
        <w:rPr>
          <w:rFonts w:eastAsia="Arial Narrow"/>
          <w:b/>
          <w:bCs/>
          <w:iCs/>
          <w:sz w:val="22"/>
          <w:szCs w:val="22"/>
          <w:lang w:val="es-ES" w:bidi="en-US"/>
        </w:rPr>
        <w:t>Tipos de excavación</w:t>
      </w:r>
      <w:bookmarkEnd w:id="565"/>
      <w:bookmarkEnd w:id="566"/>
      <w:bookmarkEnd w:id="567"/>
      <w:bookmarkEnd w:id="568"/>
      <w:bookmarkEnd w:id="571"/>
    </w:p>
    <w:p w14:paraId="2F0FF5E2" w14:textId="77777777" w:rsidR="001A4860" w:rsidRPr="001A4860" w:rsidRDefault="001A4860" w:rsidP="001A4860">
      <w:pPr>
        <w:rPr>
          <w:sz w:val="22"/>
          <w:szCs w:val="22"/>
          <w:lang w:val="es-ES" w:eastAsia="es-ES"/>
        </w:rPr>
      </w:pPr>
    </w:p>
    <w:p w14:paraId="1258ADDB" w14:textId="77777777" w:rsidR="001A4860" w:rsidRPr="001A4860" w:rsidRDefault="001A4860" w:rsidP="001A4860">
      <w:pPr>
        <w:rPr>
          <w:sz w:val="22"/>
          <w:szCs w:val="22"/>
          <w:lang w:val="es-ES" w:eastAsia="es-ES"/>
        </w:rPr>
      </w:pPr>
      <w:r w:rsidRPr="001A4860">
        <w:rPr>
          <w:sz w:val="22"/>
          <w:szCs w:val="22"/>
          <w:lang w:val="es-ES" w:eastAsia="es-ES"/>
        </w:rPr>
        <w:t>Los tipos de excavación de una zanja o de un pozo de exploración pueden catalogarse por su rango de profundidad o por el grado de compactación o dureza (tipo de material), es decir por la dificultad de la excavación.</w:t>
      </w:r>
    </w:p>
    <w:p w14:paraId="6F125A5C" w14:textId="77777777" w:rsidR="001A4860" w:rsidRPr="001A4860" w:rsidRDefault="001A4860" w:rsidP="001A4860">
      <w:pPr>
        <w:rPr>
          <w:sz w:val="22"/>
          <w:szCs w:val="22"/>
          <w:lang w:val="es-ES" w:eastAsia="es-ES"/>
        </w:rPr>
      </w:pPr>
    </w:p>
    <w:p w14:paraId="2E217748" w14:textId="77777777" w:rsidR="001A4860" w:rsidRPr="001A4860" w:rsidRDefault="001A4860" w:rsidP="001A4860">
      <w:pPr>
        <w:rPr>
          <w:sz w:val="22"/>
          <w:szCs w:val="22"/>
          <w:lang w:val="es-ES" w:eastAsia="es-ES"/>
        </w:rPr>
      </w:pPr>
      <w:r w:rsidRPr="001A4860">
        <w:rPr>
          <w:b/>
          <w:sz w:val="22"/>
          <w:szCs w:val="22"/>
          <w:lang w:val="es-ES" w:eastAsia="es-ES"/>
        </w:rPr>
        <w:t>a.)</w:t>
      </w:r>
      <w:r w:rsidRPr="001A4860">
        <w:rPr>
          <w:sz w:val="22"/>
          <w:szCs w:val="22"/>
          <w:lang w:val="es-ES" w:eastAsia="es-ES"/>
        </w:rPr>
        <w:tab/>
      </w:r>
      <w:r w:rsidRPr="001A4860">
        <w:rPr>
          <w:b/>
          <w:sz w:val="22"/>
          <w:szCs w:val="22"/>
          <w:lang w:val="es-ES" w:eastAsia="es-ES"/>
        </w:rPr>
        <w:t>Excavación en tierra normal.</w:t>
      </w:r>
    </w:p>
    <w:p w14:paraId="54E9C25F" w14:textId="77777777" w:rsidR="001A4860" w:rsidRPr="001A4860" w:rsidRDefault="001A4860" w:rsidP="001A4860">
      <w:pPr>
        <w:rPr>
          <w:sz w:val="22"/>
          <w:szCs w:val="22"/>
          <w:lang w:val="es-ES" w:eastAsia="es-ES"/>
        </w:rPr>
      </w:pPr>
    </w:p>
    <w:p w14:paraId="26D29FB7" w14:textId="77777777" w:rsidR="001A4860" w:rsidRPr="001A4860" w:rsidRDefault="001A4860" w:rsidP="001A4860">
      <w:pPr>
        <w:rPr>
          <w:sz w:val="22"/>
          <w:szCs w:val="22"/>
          <w:lang w:val="es-ES" w:eastAsia="es-ES"/>
        </w:rPr>
      </w:pPr>
      <w:r w:rsidRPr="001A4860">
        <w:rPr>
          <w:sz w:val="22"/>
          <w:szCs w:val="22"/>
          <w:lang w:val="es-ES" w:eastAsia="es-ES"/>
        </w:rPr>
        <w:t>Se considera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tapuja o combinaciones entre ellas son consideradas como "tierra normal" ante el hecho de que éstas sean posibles excavarlas con pico y pala, sin requerir el uso de barra.</w:t>
      </w:r>
    </w:p>
    <w:p w14:paraId="7945E3DA" w14:textId="77777777" w:rsidR="001A4860" w:rsidRPr="001A4860" w:rsidRDefault="001A4860" w:rsidP="001A4860">
      <w:pPr>
        <w:rPr>
          <w:sz w:val="22"/>
          <w:szCs w:val="22"/>
          <w:lang w:val="es-ES" w:eastAsia="es-ES"/>
        </w:rPr>
      </w:pPr>
    </w:p>
    <w:p w14:paraId="09432121" w14:textId="77777777" w:rsidR="001A4860" w:rsidRPr="001A4860" w:rsidRDefault="001A4860" w:rsidP="001A4860">
      <w:pPr>
        <w:keepNext/>
        <w:outlineLvl w:val="1"/>
        <w:rPr>
          <w:rFonts w:eastAsia="Arial Narrow"/>
          <w:b/>
          <w:bCs/>
          <w:iCs/>
          <w:sz w:val="22"/>
          <w:szCs w:val="22"/>
          <w:lang w:val="es-NI"/>
        </w:rPr>
      </w:pPr>
      <w:bookmarkStart w:id="572" w:name="_Toc475371319"/>
      <w:bookmarkStart w:id="573" w:name="_Toc481596316"/>
      <w:bookmarkStart w:id="574" w:name="_Toc492981640"/>
      <w:bookmarkStart w:id="575" w:name="_Toc23249344"/>
      <w:r w:rsidRPr="001A4860">
        <w:rPr>
          <w:rFonts w:eastAsia="Arial Narrow"/>
          <w:b/>
          <w:bCs/>
          <w:iCs/>
          <w:sz w:val="22"/>
          <w:szCs w:val="22"/>
          <w:lang w:val="es-NI"/>
        </w:rPr>
        <w:lastRenderedPageBreak/>
        <w:t>Excavación, Relleno y Compactación Adicional.</w:t>
      </w:r>
      <w:bookmarkEnd w:id="572"/>
      <w:bookmarkEnd w:id="573"/>
      <w:bookmarkEnd w:id="574"/>
      <w:bookmarkEnd w:id="575"/>
    </w:p>
    <w:p w14:paraId="6F5A9713" w14:textId="77777777" w:rsidR="001A4860" w:rsidRPr="001A4860" w:rsidRDefault="001A4860" w:rsidP="001A4860">
      <w:pPr>
        <w:rPr>
          <w:sz w:val="22"/>
          <w:szCs w:val="22"/>
          <w:lang w:val="es-ES" w:eastAsia="es-ES"/>
        </w:rPr>
      </w:pPr>
    </w:p>
    <w:p w14:paraId="01629490" w14:textId="77777777" w:rsidR="001A4860" w:rsidRPr="001A4860" w:rsidRDefault="001A4860" w:rsidP="001A4860">
      <w:pPr>
        <w:rPr>
          <w:sz w:val="22"/>
          <w:szCs w:val="22"/>
          <w:lang w:val="es-ES" w:eastAsia="es-ES"/>
        </w:rPr>
      </w:pPr>
      <w:r w:rsidRPr="001A4860">
        <w:rPr>
          <w:sz w:val="22"/>
          <w:szCs w:val="22"/>
          <w:lang w:val="es-ES" w:eastAsia="es-ES"/>
        </w:rPr>
        <w:t>Las excavaciones de otros materiales más duros que "tierra normal" y/o a profundidades adicionales ordenadas por El Supervisor, se consideran conceptos de obras complementarios, cuyas definiciones y aplicaciones se determinan como- EXCAVACION, RELLENO Y COMPACTACION ESPECIAL Y/O ADICIONAL.</w:t>
      </w:r>
    </w:p>
    <w:p w14:paraId="3DEA1814" w14:textId="77777777" w:rsidR="001A4860" w:rsidRPr="001A4860" w:rsidRDefault="001A4860" w:rsidP="001A4860">
      <w:pPr>
        <w:rPr>
          <w:sz w:val="22"/>
          <w:szCs w:val="22"/>
          <w:lang w:val="es-ES" w:eastAsia="es-ES"/>
        </w:rPr>
      </w:pPr>
    </w:p>
    <w:p w14:paraId="58AA80D8" w14:textId="77777777" w:rsidR="001A4860" w:rsidRPr="001A4860" w:rsidRDefault="001A4860" w:rsidP="001A4860">
      <w:pPr>
        <w:keepNext/>
        <w:ind w:left="720" w:hanging="720"/>
        <w:outlineLvl w:val="2"/>
        <w:rPr>
          <w:rFonts w:eastAsia="Arial Narrow"/>
          <w:b/>
          <w:bCs/>
          <w:iCs/>
          <w:sz w:val="22"/>
          <w:szCs w:val="22"/>
          <w:lang w:val="es-ES" w:bidi="en-US"/>
        </w:rPr>
      </w:pPr>
      <w:bookmarkStart w:id="576" w:name="_Toc234745642"/>
      <w:bookmarkStart w:id="577" w:name="_Toc475371317"/>
      <w:bookmarkStart w:id="578" w:name="_Toc481596317"/>
      <w:bookmarkStart w:id="579" w:name="_Toc492981641"/>
      <w:bookmarkStart w:id="580" w:name="_Toc23249345"/>
      <w:r w:rsidRPr="001A4860">
        <w:rPr>
          <w:rFonts w:eastAsia="Arial Narrow"/>
          <w:b/>
          <w:bCs/>
          <w:iCs/>
          <w:sz w:val="22"/>
          <w:szCs w:val="22"/>
          <w:lang w:val="es-ES" w:bidi="en-US"/>
        </w:rPr>
        <w:t>Restricciones y calidad del trabajo</w:t>
      </w:r>
      <w:bookmarkEnd w:id="576"/>
      <w:bookmarkEnd w:id="577"/>
      <w:bookmarkEnd w:id="578"/>
      <w:bookmarkEnd w:id="579"/>
      <w:bookmarkEnd w:id="580"/>
    </w:p>
    <w:p w14:paraId="201DD203" w14:textId="77777777" w:rsidR="001A4860" w:rsidRPr="001A4860" w:rsidRDefault="001A4860" w:rsidP="001A4860">
      <w:pPr>
        <w:rPr>
          <w:sz w:val="22"/>
          <w:szCs w:val="22"/>
          <w:lang w:val="es-ES" w:eastAsia="es-ES"/>
        </w:rPr>
      </w:pPr>
    </w:p>
    <w:p w14:paraId="330E7403" w14:textId="77777777" w:rsidR="001A4860" w:rsidRPr="001A4860" w:rsidRDefault="001A4860" w:rsidP="001A4860">
      <w:pPr>
        <w:rPr>
          <w:sz w:val="22"/>
          <w:szCs w:val="22"/>
          <w:lang w:val="es-ES" w:eastAsia="es-ES"/>
        </w:rPr>
      </w:pPr>
      <w:r w:rsidRPr="001A4860">
        <w:rPr>
          <w:sz w:val="22"/>
          <w:szCs w:val="22"/>
          <w:lang w:val="es-ES" w:eastAsia="es-ES"/>
        </w:rPr>
        <w:t>Los materiales de excavación de la zanja deben ser colocados al lado donde no se obstaculice.</w:t>
      </w:r>
    </w:p>
    <w:p w14:paraId="4C857666" w14:textId="77777777" w:rsidR="001A4860" w:rsidRPr="001A4860" w:rsidRDefault="001A4860" w:rsidP="001A4860">
      <w:pPr>
        <w:rPr>
          <w:sz w:val="22"/>
          <w:szCs w:val="22"/>
          <w:lang w:val="es-ES" w:eastAsia="es-ES"/>
        </w:rPr>
      </w:pPr>
    </w:p>
    <w:p w14:paraId="371C02B1" w14:textId="77777777" w:rsidR="001A4860" w:rsidRPr="001A4860" w:rsidRDefault="001A4860" w:rsidP="001A4860">
      <w:pPr>
        <w:rPr>
          <w:sz w:val="22"/>
          <w:szCs w:val="22"/>
          <w:lang w:val="es-ES" w:eastAsia="es-ES"/>
        </w:rPr>
      </w:pPr>
      <w:r w:rsidRPr="001A4860">
        <w:rPr>
          <w:sz w:val="22"/>
          <w:szCs w:val="22"/>
          <w:lang w:val="es-ES" w:eastAsia="es-ES"/>
        </w:rPr>
        <w:t>Se reserva una orilla despejada de 50 cm. de ancho mínimo, entre el borde de la zanja y el pie del talud de las tierras extraídas. Esa orilla está destinada a la circulación cómoda del personal instalador de la tubería.</w:t>
      </w:r>
    </w:p>
    <w:p w14:paraId="48A01FC2" w14:textId="77777777" w:rsidR="001A4860" w:rsidRPr="001A4860" w:rsidRDefault="001A4860" w:rsidP="001A4860">
      <w:pPr>
        <w:rPr>
          <w:sz w:val="22"/>
          <w:szCs w:val="22"/>
          <w:lang w:val="es-ES" w:eastAsia="es-ES"/>
        </w:rPr>
      </w:pPr>
    </w:p>
    <w:p w14:paraId="41EF3F0D" w14:textId="77777777" w:rsidR="001A4860" w:rsidRPr="001A4860" w:rsidRDefault="001A4860" w:rsidP="001A4860">
      <w:pPr>
        <w:rPr>
          <w:sz w:val="22"/>
          <w:szCs w:val="22"/>
          <w:lang w:val="es-ES" w:eastAsia="es-ES"/>
        </w:rPr>
      </w:pPr>
      <w:r w:rsidRPr="001A4860">
        <w:rPr>
          <w:sz w:val="22"/>
          <w:szCs w:val="22"/>
          <w:lang w:val="es-ES" w:eastAsia="es-ES"/>
        </w:rPr>
        <w:t>Los materiales excavados que no sean satisfactorios para relleno, o que estén en exceso al requerido, son dispuestos fuera del Sitio de la Obra de una manera aprobada por El Supervisor. Los costos de esta operación son asumidos por El Contratista.</w:t>
      </w:r>
    </w:p>
    <w:p w14:paraId="1252ACF1" w14:textId="77777777" w:rsidR="001A4860" w:rsidRPr="001A4860" w:rsidRDefault="001A4860" w:rsidP="001A4860">
      <w:pPr>
        <w:rPr>
          <w:sz w:val="22"/>
          <w:szCs w:val="22"/>
          <w:lang w:val="es-ES" w:eastAsia="es-ES"/>
        </w:rPr>
      </w:pPr>
    </w:p>
    <w:p w14:paraId="08C15D84" w14:textId="77777777" w:rsidR="001A4860" w:rsidRPr="001A4860" w:rsidRDefault="001A4860" w:rsidP="001A4860">
      <w:pPr>
        <w:rPr>
          <w:sz w:val="22"/>
          <w:szCs w:val="22"/>
          <w:lang w:val="es-ES" w:eastAsia="es-ES"/>
        </w:rPr>
      </w:pPr>
      <w:r w:rsidRPr="001A4860">
        <w:rPr>
          <w:sz w:val="22"/>
          <w:szCs w:val="22"/>
          <w:lang w:val="es-ES" w:eastAsia="es-ES"/>
        </w:rPr>
        <w:t>Aún, suponiendo que el relleno de la tubería instalada, se efectuó correctamente, se elimina de la tierra extraída, toda piedra gruesa y todo material que, utilizado como relleno de la zanja, puede ocasionar daños en la tubería.</w:t>
      </w:r>
    </w:p>
    <w:p w14:paraId="7D2D3AC2" w14:textId="77777777" w:rsidR="001A4860" w:rsidRPr="001A4860" w:rsidRDefault="001A4860" w:rsidP="001A4860">
      <w:pPr>
        <w:rPr>
          <w:sz w:val="22"/>
          <w:szCs w:val="22"/>
          <w:lang w:val="es-ES" w:eastAsia="es-ES"/>
        </w:rPr>
      </w:pPr>
    </w:p>
    <w:p w14:paraId="4B343251" w14:textId="77777777" w:rsidR="001A4860" w:rsidRPr="001A4860" w:rsidRDefault="001A4860" w:rsidP="001A4860">
      <w:pPr>
        <w:rPr>
          <w:sz w:val="22"/>
          <w:szCs w:val="22"/>
          <w:lang w:val="es-ES" w:eastAsia="es-ES"/>
        </w:rPr>
      </w:pPr>
      <w:r w:rsidRPr="001A4860">
        <w:rPr>
          <w:sz w:val="22"/>
          <w:szCs w:val="22"/>
          <w:lang w:val="es-ES" w:eastAsia="es-ES"/>
        </w:rPr>
        <w:t>Si el fondo de la zanja se convierte en una fundación inestable para los tubos, debido al descuido de El Contratista de ademar o desaguar la zanja, o si la excavación se ha hecho más profunda de lo necesario, se requiere de El Contratista y a su cuenta, remover el material inestable y rellenar la zanja de la manera descrita.</w:t>
      </w:r>
    </w:p>
    <w:p w14:paraId="2C7B216C" w14:textId="77777777" w:rsidR="001A4860" w:rsidRPr="001A4860" w:rsidRDefault="001A4860" w:rsidP="001A4860">
      <w:pPr>
        <w:rPr>
          <w:sz w:val="22"/>
          <w:szCs w:val="22"/>
          <w:lang w:val="es-ES" w:eastAsia="es-ES"/>
        </w:rPr>
      </w:pPr>
    </w:p>
    <w:p w14:paraId="0ABDF777" w14:textId="77777777" w:rsidR="001A4860" w:rsidRPr="001A4860" w:rsidRDefault="001A4860" w:rsidP="001A4860">
      <w:pPr>
        <w:rPr>
          <w:sz w:val="22"/>
          <w:szCs w:val="22"/>
          <w:lang w:val="es-ES" w:eastAsia="es-ES"/>
        </w:rPr>
      </w:pPr>
      <w:r w:rsidRPr="001A4860">
        <w:rPr>
          <w:sz w:val="22"/>
          <w:szCs w:val="22"/>
          <w:lang w:val="es-ES" w:eastAsia="es-ES"/>
        </w:rPr>
        <w:t>El Contratista remueve toda agua que se colecte en las zanjas antes y después de que los tubos estén instalados. En ningún caso se permite que el agua escurra sobre la fundación, o por la tubería, sin permiso del Supervisor. El agua encontrada es eliminada por El Contratista de una manera satisfactoria para El Supervisor. Los costos de esta operación son asumidos por El Contratista.</w:t>
      </w:r>
    </w:p>
    <w:p w14:paraId="34CB51CB" w14:textId="77777777" w:rsidR="001A4860" w:rsidRPr="001A4860" w:rsidRDefault="001A4860" w:rsidP="001A4860">
      <w:pPr>
        <w:rPr>
          <w:sz w:val="22"/>
          <w:szCs w:val="22"/>
          <w:lang w:val="es-ES" w:eastAsia="es-ES"/>
        </w:rPr>
      </w:pPr>
    </w:p>
    <w:p w14:paraId="770DB01C" w14:textId="77777777" w:rsidR="001A4860" w:rsidRPr="001A4860" w:rsidRDefault="001A4860" w:rsidP="001A4860">
      <w:pPr>
        <w:rPr>
          <w:sz w:val="22"/>
          <w:szCs w:val="22"/>
          <w:lang w:val="es-ES" w:eastAsia="es-ES"/>
        </w:rPr>
      </w:pPr>
      <w:r w:rsidRPr="001A4860">
        <w:rPr>
          <w:sz w:val="22"/>
          <w:szCs w:val="22"/>
          <w:lang w:val="es-ES" w:eastAsia="es-ES"/>
        </w:rPr>
        <w:t>También se debe evitar dañar los árboles que deban permanecer en su lugar. Si se requiere la excavación a través de las raíces, hay que excavar manualmente y cortar las raíces apropiadamente. Si fuese necesario podarlos, se debe hacer cortes limpios, refinados y sesgados y aplicar tres capas de protector sobre todas las ramas cortadas.</w:t>
      </w:r>
    </w:p>
    <w:p w14:paraId="632A1A6E" w14:textId="77777777" w:rsidR="001A4860" w:rsidRPr="001A4860" w:rsidRDefault="001A4860" w:rsidP="001A4860">
      <w:pPr>
        <w:rPr>
          <w:sz w:val="22"/>
          <w:szCs w:val="22"/>
          <w:lang w:val="es-ES" w:eastAsia="es-ES"/>
        </w:rPr>
      </w:pPr>
    </w:p>
    <w:p w14:paraId="6144DC54" w14:textId="77777777" w:rsidR="001A4860" w:rsidRPr="001A4860" w:rsidRDefault="001A4860" w:rsidP="001A4860">
      <w:pPr>
        <w:keepNext/>
        <w:outlineLvl w:val="1"/>
        <w:rPr>
          <w:rFonts w:eastAsia="Arial Narrow"/>
          <w:b/>
          <w:bCs/>
          <w:iCs/>
          <w:sz w:val="22"/>
          <w:szCs w:val="22"/>
          <w:lang w:val="es-NI"/>
        </w:rPr>
      </w:pPr>
      <w:bookmarkStart w:id="581" w:name="_Toc195479231"/>
      <w:bookmarkStart w:id="582" w:name="_Toc234745644"/>
      <w:bookmarkStart w:id="583" w:name="_Toc295977196"/>
      <w:bookmarkStart w:id="584" w:name="_Toc475371320"/>
      <w:bookmarkStart w:id="585" w:name="_Toc481596318"/>
      <w:bookmarkStart w:id="586" w:name="_Toc492981642"/>
      <w:bookmarkStart w:id="587" w:name="_Toc23249346"/>
      <w:r w:rsidRPr="001A4860">
        <w:rPr>
          <w:rFonts w:eastAsia="Arial Narrow"/>
          <w:b/>
          <w:bCs/>
          <w:iCs/>
          <w:sz w:val="22"/>
          <w:szCs w:val="22"/>
          <w:lang w:val="es-NI"/>
        </w:rPr>
        <w:t>Instalación de Tuberías</w:t>
      </w:r>
      <w:bookmarkEnd w:id="581"/>
      <w:bookmarkEnd w:id="582"/>
      <w:bookmarkEnd w:id="583"/>
      <w:bookmarkEnd w:id="584"/>
      <w:bookmarkEnd w:id="585"/>
      <w:bookmarkEnd w:id="586"/>
      <w:bookmarkEnd w:id="587"/>
    </w:p>
    <w:p w14:paraId="29C571B6" w14:textId="77777777" w:rsidR="001A4860" w:rsidRPr="001A4860" w:rsidRDefault="001A4860" w:rsidP="001A4860">
      <w:pPr>
        <w:rPr>
          <w:sz w:val="22"/>
          <w:szCs w:val="22"/>
          <w:lang w:val="es-ES" w:eastAsia="es-ES"/>
        </w:rPr>
      </w:pPr>
      <w:bookmarkStart w:id="588" w:name="_Toc234745645"/>
    </w:p>
    <w:p w14:paraId="16A81BE0" w14:textId="77777777" w:rsidR="001A4860" w:rsidRPr="001A4860" w:rsidRDefault="001A4860" w:rsidP="001A4860">
      <w:pPr>
        <w:keepNext/>
        <w:ind w:left="720" w:hanging="720"/>
        <w:outlineLvl w:val="2"/>
        <w:rPr>
          <w:rFonts w:eastAsia="Arial Narrow"/>
          <w:b/>
          <w:bCs/>
          <w:iCs/>
          <w:sz w:val="22"/>
          <w:szCs w:val="22"/>
          <w:lang w:val="es-ES" w:bidi="en-US"/>
        </w:rPr>
      </w:pPr>
      <w:bookmarkStart w:id="589" w:name="_Toc475371321"/>
      <w:bookmarkStart w:id="590" w:name="_Toc481596319"/>
      <w:bookmarkStart w:id="591" w:name="_Toc492981643"/>
      <w:bookmarkStart w:id="592" w:name="_Toc23249347"/>
      <w:r w:rsidRPr="001A4860">
        <w:rPr>
          <w:rFonts w:eastAsia="Arial Narrow"/>
          <w:b/>
          <w:bCs/>
          <w:iCs/>
          <w:sz w:val="22"/>
          <w:szCs w:val="22"/>
          <w:lang w:val="es-ES" w:bidi="en-US"/>
        </w:rPr>
        <w:t>Recursos y procedimientos</w:t>
      </w:r>
      <w:bookmarkEnd w:id="588"/>
      <w:bookmarkEnd w:id="589"/>
      <w:bookmarkEnd w:id="590"/>
      <w:bookmarkEnd w:id="591"/>
      <w:bookmarkEnd w:id="592"/>
    </w:p>
    <w:p w14:paraId="4A422229" w14:textId="77777777" w:rsidR="001A4860" w:rsidRPr="001A4860" w:rsidRDefault="001A4860" w:rsidP="001A4860">
      <w:pPr>
        <w:rPr>
          <w:sz w:val="22"/>
          <w:szCs w:val="22"/>
          <w:lang w:val="es-ES" w:eastAsia="es-ES"/>
        </w:rPr>
      </w:pPr>
    </w:p>
    <w:p w14:paraId="66256B2A" w14:textId="77777777" w:rsidR="001A4860" w:rsidRPr="001A4860" w:rsidRDefault="001A4860" w:rsidP="001A4860">
      <w:pPr>
        <w:rPr>
          <w:sz w:val="22"/>
          <w:szCs w:val="22"/>
          <w:lang w:val="es-ES" w:eastAsia="es-ES"/>
        </w:rPr>
      </w:pPr>
      <w:r w:rsidRPr="001A4860">
        <w:rPr>
          <w:sz w:val="22"/>
          <w:szCs w:val="22"/>
          <w:lang w:val="es-ES" w:eastAsia="es-ES"/>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 Los costos de esta operación son asumidos por El Contratista.</w:t>
      </w:r>
    </w:p>
    <w:p w14:paraId="448D1628" w14:textId="77777777" w:rsidR="001A4860" w:rsidRPr="001A4860" w:rsidRDefault="001A4860" w:rsidP="001A4860">
      <w:pPr>
        <w:rPr>
          <w:sz w:val="22"/>
          <w:szCs w:val="22"/>
          <w:lang w:val="es-ES" w:eastAsia="es-ES"/>
        </w:rPr>
      </w:pPr>
    </w:p>
    <w:p w14:paraId="7397C595" w14:textId="77777777" w:rsidR="001A4860" w:rsidRPr="001A4860" w:rsidRDefault="001A4860" w:rsidP="001A4860">
      <w:pPr>
        <w:keepNext/>
        <w:ind w:left="720" w:hanging="720"/>
        <w:outlineLvl w:val="2"/>
        <w:rPr>
          <w:rFonts w:eastAsia="Arial Narrow"/>
          <w:b/>
          <w:bCs/>
          <w:iCs/>
          <w:sz w:val="22"/>
          <w:szCs w:val="22"/>
          <w:lang w:val="es-ES" w:bidi="en-US"/>
        </w:rPr>
      </w:pPr>
      <w:bookmarkStart w:id="593" w:name="_Toc234745646"/>
      <w:bookmarkStart w:id="594" w:name="_Toc475371322"/>
      <w:bookmarkStart w:id="595" w:name="_Toc481596320"/>
      <w:bookmarkStart w:id="596" w:name="_Toc492981644"/>
      <w:bookmarkStart w:id="597" w:name="_Toc23249348"/>
      <w:r w:rsidRPr="001A4860">
        <w:rPr>
          <w:rFonts w:eastAsia="Arial Narrow"/>
          <w:b/>
          <w:bCs/>
          <w:iCs/>
          <w:sz w:val="22"/>
          <w:szCs w:val="22"/>
          <w:lang w:val="es-ES" w:bidi="en-US"/>
        </w:rPr>
        <w:lastRenderedPageBreak/>
        <w:t>Cortes y rectificaciones en tubería</w:t>
      </w:r>
      <w:bookmarkEnd w:id="593"/>
      <w:bookmarkEnd w:id="594"/>
      <w:bookmarkEnd w:id="595"/>
      <w:bookmarkEnd w:id="596"/>
      <w:bookmarkEnd w:id="597"/>
    </w:p>
    <w:p w14:paraId="2083E928" w14:textId="77777777" w:rsidR="001A4860" w:rsidRPr="001A4860" w:rsidRDefault="001A4860" w:rsidP="001A4860">
      <w:pPr>
        <w:rPr>
          <w:b/>
          <w:sz w:val="22"/>
          <w:szCs w:val="22"/>
          <w:lang w:val="es-ES" w:eastAsia="es-ES"/>
        </w:rPr>
      </w:pPr>
    </w:p>
    <w:p w14:paraId="7F94591A" w14:textId="77777777" w:rsidR="001A4860" w:rsidRPr="001A4860" w:rsidRDefault="001A4860" w:rsidP="001A4860">
      <w:pPr>
        <w:rPr>
          <w:sz w:val="22"/>
          <w:szCs w:val="22"/>
          <w:lang w:val="es-ES" w:eastAsia="es-ES"/>
        </w:rPr>
      </w:pPr>
      <w:r w:rsidRPr="001A4860">
        <w:rPr>
          <w:sz w:val="22"/>
          <w:szCs w:val="22"/>
          <w:lang w:val="es-ES" w:eastAsia="es-ES"/>
        </w:rPr>
        <w:t>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previamente fijado, o para efectuar curvas en el alineamiento, haciendo uso de las desviaciones permitidas para las juntas; en tales casos, es preciso cortar la parte dañada o reducir un tubo normal a la longitud requerida, y rectificar luego los extremos del corte para proceder a efectuar las uniones.</w:t>
      </w:r>
    </w:p>
    <w:p w14:paraId="792B35C6" w14:textId="77777777" w:rsidR="001A4860" w:rsidRPr="001A4860" w:rsidRDefault="001A4860" w:rsidP="001A4860">
      <w:pPr>
        <w:rPr>
          <w:sz w:val="22"/>
          <w:szCs w:val="22"/>
          <w:lang w:val="es-ES" w:eastAsia="es-ES"/>
        </w:rPr>
      </w:pPr>
    </w:p>
    <w:p w14:paraId="09BAEC89" w14:textId="77777777" w:rsidR="001A4860" w:rsidRPr="001A4860" w:rsidRDefault="001A4860" w:rsidP="001A4860">
      <w:pPr>
        <w:keepNext/>
        <w:ind w:left="720" w:hanging="720"/>
        <w:outlineLvl w:val="2"/>
        <w:rPr>
          <w:rFonts w:eastAsia="Arial Narrow"/>
          <w:b/>
          <w:bCs/>
          <w:iCs/>
          <w:sz w:val="22"/>
          <w:szCs w:val="22"/>
          <w:lang w:val="es-ES" w:bidi="en-US"/>
        </w:rPr>
      </w:pPr>
      <w:bookmarkStart w:id="598" w:name="_Toc234745647"/>
      <w:bookmarkStart w:id="599" w:name="_Toc475371323"/>
      <w:bookmarkStart w:id="600" w:name="_Toc481596321"/>
      <w:bookmarkStart w:id="601" w:name="_Toc492981645"/>
      <w:bookmarkStart w:id="602" w:name="_Toc23249349"/>
      <w:r w:rsidRPr="001A4860">
        <w:rPr>
          <w:rFonts w:eastAsia="Arial Narrow"/>
          <w:b/>
          <w:bCs/>
          <w:iCs/>
          <w:sz w:val="22"/>
          <w:szCs w:val="22"/>
          <w:lang w:val="es-ES" w:bidi="en-US"/>
        </w:rPr>
        <w:t>Cortes</w:t>
      </w:r>
      <w:bookmarkEnd w:id="598"/>
      <w:bookmarkEnd w:id="599"/>
      <w:bookmarkEnd w:id="600"/>
      <w:bookmarkEnd w:id="601"/>
      <w:bookmarkEnd w:id="602"/>
    </w:p>
    <w:p w14:paraId="63110422" w14:textId="77777777" w:rsidR="001A4860" w:rsidRPr="001A4860" w:rsidRDefault="001A4860" w:rsidP="001A4860">
      <w:pPr>
        <w:rPr>
          <w:b/>
          <w:sz w:val="22"/>
          <w:szCs w:val="22"/>
          <w:lang w:val="es-ES" w:eastAsia="es-ES"/>
        </w:rPr>
      </w:pPr>
    </w:p>
    <w:p w14:paraId="1ED86751" w14:textId="77777777" w:rsidR="001A4860" w:rsidRPr="001A4860" w:rsidRDefault="001A4860" w:rsidP="001A4860">
      <w:pPr>
        <w:rPr>
          <w:sz w:val="22"/>
          <w:szCs w:val="22"/>
          <w:lang w:val="es-ES" w:eastAsia="es-ES"/>
        </w:rPr>
      </w:pPr>
      <w:r w:rsidRPr="001A4860">
        <w:rPr>
          <w:sz w:val="22"/>
          <w:szCs w:val="22"/>
          <w:lang w:val="es-ES" w:eastAsia="es-ES"/>
        </w:rPr>
        <w:t>Los tubos pueden cortarse haciendo uso de sierras de mano o con máquinas especiales "corta tubos". Las máquinas corta tubos pueden ser de discos, accionados con motores de gasolina, a presión o de cuchillas.</w:t>
      </w:r>
    </w:p>
    <w:p w14:paraId="6F005588" w14:textId="77777777" w:rsidR="001A4860" w:rsidRPr="001A4860" w:rsidRDefault="001A4860" w:rsidP="001A4860">
      <w:pPr>
        <w:rPr>
          <w:sz w:val="22"/>
          <w:szCs w:val="22"/>
          <w:lang w:val="es-ES" w:eastAsia="es-ES"/>
        </w:rPr>
      </w:pPr>
    </w:p>
    <w:p w14:paraId="7ADE2AB4" w14:textId="77777777" w:rsidR="001A4860" w:rsidRPr="001A4860" w:rsidRDefault="001A4860" w:rsidP="001A4860">
      <w:pPr>
        <w:rPr>
          <w:sz w:val="22"/>
          <w:szCs w:val="22"/>
          <w:lang w:val="es-ES" w:eastAsia="es-ES"/>
        </w:rPr>
      </w:pPr>
      <w:r w:rsidRPr="001A4860">
        <w:rPr>
          <w:sz w:val="22"/>
          <w:szCs w:val="22"/>
          <w:lang w:val="es-ES" w:eastAsia="es-ES"/>
        </w:rPr>
        <w:t>Los tubos se deben cortar en ángulo recto, con relación a su eje, utilizando una sierra de mano de dientes finos y una caja de ingletes, o una sierra mecanizada de dientes finos con una guía apropiada. Se debe remover totalmente la rebaba por medio de un cuchillo, lima, escariador o papel abrasivo.</w:t>
      </w:r>
    </w:p>
    <w:p w14:paraId="38193599" w14:textId="77777777" w:rsidR="001A4860" w:rsidRPr="001A4860" w:rsidRDefault="001A4860" w:rsidP="001A4860">
      <w:pPr>
        <w:rPr>
          <w:sz w:val="22"/>
          <w:szCs w:val="22"/>
          <w:lang w:val="es-ES" w:eastAsia="es-ES"/>
        </w:rPr>
      </w:pPr>
    </w:p>
    <w:p w14:paraId="3A2A1250" w14:textId="77777777" w:rsidR="001A4860" w:rsidRPr="001A4860" w:rsidRDefault="001A4860" w:rsidP="001A4860">
      <w:pPr>
        <w:rPr>
          <w:sz w:val="22"/>
          <w:szCs w:val="22"/>
          <w:lang w:val="es-ES" w:eastAsia="es-ES"/>
        </w:rPr>
      </w:pPr>
      <w:r w:rsidRPr="001A4860">
        <w:rPr>
          <w:sz w:val="22"/>
          <w:szCs w:val="22"/>
          <w:lang w:val="es-ES" w:eastAsia="es-ES"/>
        </w:rPr>
        <w:t>Cualquiera que sea la máquina usada, al efectuar el corte es necesario tener presente las siguientes recomendaciones:</w:t>
      </w:r>
    </w:p>
    <w:p w14:paraId="7B0D57D5" w14:textId="77777777" w:rsidR="001A4860" w:rsidRPr="001A4860" w:rsidRDefault="001A4860" w:rsidP="001A4860">
      <w:pPr>
        <w:rPr>
          <w:sz w:val="22"/>
          <w:szCs w:val="22"/>
          <w:lang w:val="es-ES" w:eastAsia="es-ES"/>
        </w:rPr>
      </w:pPr>
    </w:p>
    <w:p w14:paraId="49EF7F3D" w14:textId="77777777" w:rsidR="001A4860" w:rsidRPr="001A4860" w:rsidRDefault="001A4860" w:rsidP="001A4860">
      <w:pPr>
        <w:rPr>
          <w:sz w:val="22"/>
          <w:szCs w:val="22"/>
          <w:lang w:val="es-ES" w:eastAsia="es-ES"/>
        </w:rPr>
      </w:pPr>
      <w:r w:rsidRPr="001A4860">
        <w:rPr>
          <w:sz w:val="22"/>
          <w:szCs w:val="22"/>
          <w:lang w:val="es-ES" w:eastAsia="es-ES"/>
        </w:rPr>
        <w:t>Marcar con tiza, o con lápiz grueso, una línea que señale el corte que se va hacer. Ese corte debe ser exactamente perpendicular al eje del tubo. El tubo debe encontrarse firmemente sujeto para evitar que se mueva durante el corte. En caso de cortes fuera de la excavación, se debe hacer girar el tubo a medida que se va cortando, de modo que la parte que debe cortarse, esté siempre del lado superior.</w:t>
      </w:r>
    </w:p>
    <w:p w14:paraId="03F1208E" w14:textId="77777777" w:rsidR="001A4860" w:rsidRPr="001A4860" w:rsidRDefault="001A4860" w:rsidP="001A4860">
      <w:pPr>
        <w:rPr>
          <w:sz w:val="22"/>
          <w:szCs w:val="22"/>
          <w:lang w:val="es-ES" w:eastAsia="es-ES"/>
        </w:rPr>
      </w:pPr>
    </w:p>
    <w:p w14:paraId="547A8F72" w14:textId="77777777" w:rsidR="001A4860" w:rsidRPr="001A4860" w:rsidRDefault="001A4860" w:rsidP="001A4860">
      <w:pPr>
        <w:rPr>
          <w:sz w:val="22"/>
          <w:szCs w:val="22"/>
          <w:lang w:val="es-ES" w:eastAsia="es-ES"/>
        </w:rPr>
      </w:pPr>
      <w:r w:rsidRPr="001A4860">
        <w:rPr>
          <w:sz w:val="22"/>
          <w:szCs w:val="22"/>
          <w:lang w:val="es-ES" w:eastAsia="es-ES"/>
        </w:rPr>
        <w:t>No debe dejarse la extremidad del tubo sin apoyo, pues es posible que ese extremo se quiebre por su propio peso antes de completar el corte.</w:t>
      </w:r>
    </w:p>
    <w:p w14:paraId="7CDDFA87" w14:textId="77777777" w:rsidR="001A4860" w:rsidRPr="001A4860" w:rsidRDefault="001A4860" w:rsidP="001A4860">
      <w:pPr>
        <w:rPr>
          <w:sz w:val="22"/>
          <w:szCs w:val="22"/>
          <w:lang w:val="es-ES" w:eastAsia="es-ES"/>
        </w:rPr>
      </w:pPr>
    </w:p>
    <w:p w14:paraId="6AE0FF62" w14:textId="77777777" w:rsidR="001A4860" w:rsidRPr="001A4860" w:rsidRDefault="001A4860" w:rsidP="001A4860">
      <w:pPr>
        <w:keepNext/>
        <w:ind w:left="720" w:hanging="720"/>
        <w:outlineLvl w:val="2"/>
        <w:rPr>
          <w:rFonts w:eastAsia="Arial Narrow"/>
          <w:b/>
          <w:bCs/>
          <w:iCs/>
          <w:sz w:val="22"/>
          <w:szCs w:val="22"/>
          <w:lang w:val="es-ES" w:bidi="en-US"/>
        </w:rPr>
      </w:pPr>
      <w:bookmarkStart w:id="603" w:name="_Toc234745648"/>
      <w:bookmarkStart w:id="604" w:name="_Toc475371324"/>
      <w:bookmarkStart w:id="605" w:name="_Toc481596322"/>
      <w:bookmarkStart w:id="606" w:name="_Toc492981646"/>
      <w:bookmarkStart w:id="607" w:name="_Toc23249350"/>
      <w:r w:rsidRPr="001A4860">
        <w:rPr>
          <w:rFonts w:eastAsia="Arial Narrow"/>
          <w:b/>
          <w:bCs/>
          <w:iCs/>
          <w:sz w:val="22"/>
          <w:szCs w:val="22"/>
          <w:lang w:val="es-ES" w:bidi="en-US"/>
        </w:rPr>
        <w:t>Rectificación o biselado de los extremos</w:t>
      </w:r>
      <w:bookmarkEnd w:id="603"/>
      <w:bookmarkEnd w:id="604"/>
      <w:bookmarkEnd w:id="605"/>
      <w:bookmarkEnd w:id="606"/>
      <w:bookmarkEnd w:id="607"/>
    </w:p>
    <w:p w14:paraId="54B233A2" w14:textId="77777777" w:rsidR="001A4860" w:rsidRPr="001A4860" w:rsidRDefault="001A4860" w:rsidP="001A4860">
      <w:pPr>
        <w:rPr>
          <w:sz w:val="22"/>
          <w:szCs w:val="22"/>
          <w:lang w:val="es-ES" w:eastAsia="es-ES"/>
        </w:rPr>
      </w:pPr>
    </w:p>
    <w:p w14:paraId="5373B062" w14:textId="77777777" w:rsidR="001A4860" w:rsidRPr="001A4860" w:rsidRDefault="001A4860" w:rsidP="001A4860">
      <w:pPr>
        <w:rPr>
          <w:sz w:val="22"/>
          <w:szCs w:val="22"/>
          <w:lang w:val="es-ES" w:eastAsia="es-ES"/>
        </w:rPr>
      </w:pPr>
      <w:r w:rsidRPr="001A4860">
        <w:rPr>
          <w:sz w:val="22"/>
          <w:szCs w:val="22"/>
          <w:lang w:val="es-ES" w:eastAsia="es-ES"/>
        </w:rPr>
        <w:t>El corte deja una sección o borde vivo, que debe ser preparada para recibir la junta o unión de las tuberías. La rectificación o biselado de los tubos puede hacerse a mano, o con máquinas biseladoras especiales.</w:t>
      </w:r>
    </w:p>
    <w:p w14:paraId="184273F9" w14:textId="77777777" w:rsidR="001A4860" w:rsidRPr="001A4860" w:rsidRDefault="001A4860" w:rsidP="001A4860">
      <w:pPr>
        <w:rPr>
          <w:sz w:val="22"/>
          <w:szCs w:val="22"/>
          <w:lang w:val="es-ES" w:eastAsia="es-ES"/>
        </w:rPr>
      </w:pPr>
      <w:r w:rsidRPr="001A4860">
        <w:rPr>
          <w:sz w:val="22"/>
          <w:szCs w:val="22"/>
          <w:lang w:val="es-ES" w:eastAsia="es-ES"/>
        </w:rPr>
        <w:t>Cuando se trate de tuberías de hierro galvanizado, la rectificación del borde dejado por el corte, puede ser hecha con un esmeril. Las ralladuras longitudinales o circunferenciales pueden comprometer la estanqueidad de la junta.</w:t>
      </w:r>
    </w:p>
    <w:p w14:paraId="4867DF2A" w14:textId="77777777" w:rsidR="001A4860" w:rsidRPr="001A4860" w:rsidRDefault="001A4860" w:rsidP="001A4860">
      <w:pPr>
        <w:rPr>
          <w:sz w:val="22"/>
          <w:szCs w:val="22"/>
          <w:lang w:val="es-ES" w:eastAsia="es-ES"/>
        </w:rPr>
      </w:pPr>
    </w:p>
    <w:p w14:paraId="53E92194" w14:textId="77777777" w:rsidR="001A4860" w:rsidRPr="001A4860" w:rsidRDefault="001A4860" w:rsidP="001A4860">
      <w:pPr>
        <w:keepNext/>
        <w:ind w:left="720" w:hanging="720"/>
        <w:outlineLvl w:val="2"/>
        <w:rPr>
          <w:rFonts w:eastAsia="Arial Narrow"/>
          <w:b/>
          <w:bCs/>
          <w:iCs/>
          <w:sz w:val="22"/>
          <w:szCs w:val="22"/>
          <w:lang w:val="es-ES" w:bidi="en-US"/>
        </w:rPr>
      </w:pPr>
      <w:bookmarkStart w:id="608" w:name="_Toc234745649"/>
      <w:bookmarkStart w:id="609" w:name="_Toc475371325"/>
      <w:bookmarkStart w:id="610" w:name="_Toc481596323"/>
      <w:bookmarkStart w:id="611" w:name="_Toc492981647"/>
      <w:bookmarkStart w:id="612" w:name="_Toc23249351"/>
      <w:r w:rsidRPr="001A4860">
        <w:rPr>
          <w:rFonts w:eastAsia="Arial Narrow"/>
          <w:b/>
          <w:bCs/>
          <w:iCs/>
          <w:sz w:val="22"/>
          <w:szCs w:val="22"/>
          <w:lang w:val="es-ES" w:bidi="en-US"/>
        </w:rPr>
        <w:t>Baldeo y remoción de las aguas</w:t>
      </w:r>
      <w:bookmarkEnd w:id="608"/>
      <w:bookmarkEnd w:id="609"/>
      <w:bookmarkEnd w:id="610"/>
      <w:bookmarkEnd w:id="611"/>
      <w:bookmarkEnd w:id="612"/>
    </w:p>
    <w:p w14:paraId="31BA0402" w14:textId="77777777" w:rsidR="001A4860" w:rsidRPr="001A4860" w:rsidRDefault="001A4860" w:rsidP="001A4860">
      <w:pPr>
        <w:rPr>
          <w:sz w:val="22"/>
          <w:szCs w:val="22"/>
          <w:lang w:val="es-ES" w:eastAsia="es-ES"/>
        </w:rPr>
      </w:pPr>
    </w:p>
    <w:p w14:paraId="48388104" w14:textId="77777777" w:rsidR="001A4860" w:rsidRPr="001A4860" w:rsidRDefault="001A4860" w:rsidP="001A4860">
      <w:pPr>
        <w:rPr>
          <w:sz w:val="22"/>
          <w:szCs w:val="22"/>
          <w:lang w:val="es-ES" w:eastAsia="es-ES"/>
        </w:rPr>
      </w:pPr>
      <w:r w:rsidRPr="001A4860">
        <w:rPr>
          <w:sz w:val="22"/>
          <w:szCs w:val="22"/>
          <w:lang w:val="es-ES" w:eastAsia="es-ES"/>
        </w:rPr>
        <w:t>El término "Baldeo de las Aguas", se utiliza para identificar la acción de evacuar las aguas que recibe la excavación, al efectuar cortes en las tuberías en servicio.</w:t>
      </w:r>
    </w:p>
    <w:p w14:paraId="3ABA4A73" w14:textId="77777777" w:rsidR="001A4860" w:rsidRPr="001A4860" w:rsidRDefault="001A4860" w:rsidP="001A4860">
      <w:pPr>
        <w:rPr>
          <w:sz w:val="22"/>
          <w:szCs w:val="22"/>
          <w:lang w:val="es-ES" w:eastAsia="es-ES"/>
        </w:rPr>
      </w:pPr>
    </w:p>
    <w:p w14:paraId="17C6E902" w14:textId="77777777" w:rsidR="001A4860" w:rsidRPr="001A4860" w:rsidRDefault="001A4860" w:rsidP="001A4860">
      <w:pPr>
        <w:rPr>
          <w:sz w:val="22"/>
          <w:szCs w:val="22"/>
          <w:lang w:val="es-ES" w:eastAsia="es-ES"/>
        </w:rPr>
      </w:pPr>
      <w:r w:rsidRPr="001A4860">
        <w:rPr>
          <w:sz w:val="22"/>
          <w:szCs w:val="22"/>
          <w:lang w:val="es-ES" w:eastAsia="es-ES"/>
        </w:rPr>
        <w:t>No se permite que estas aguas aneguen las zanjas, al efectuar cambio de accesorios o tramos de tuberías, con el objeto de evitar contaminaciones que puedan originar las aguas descargadas por los tubos seccionados. Se debe planear la extracción del agua de las tuberías en estos cortes, tomando en cuenta las siguientes indicaciones:</w:t>
      </w:r>
    </w:p>
    <w:p w14:paraId="44E5B34A" w14:textId="77777777" w:rsidR="001A4860" w:rsidRPr="001A4860" w:rsidRDefault="001A4860" w:rsidP="001A4860">
      <w:pPr>
        <w:rPr>
          <w:sz w:val="22"/>
          <w:szCs w:val="22"/>
          <w:lang w:val="es-ES" w:eastAsia="es-ES"/>
        </w:rPr>
      </w:pPr>
    </w:p>
    <w:p w14:paraId="3B1BF540" w14:textId="77777777" w:rsidR="001A4860" w:rsidRPr="001A4860" w:rsidRDefault="001A4860" w:rsidP="001A4860">
      <w:pPr>
        <w:rPr>
          <w:sz w:val="22"/>
          <w:szCs w:val="22"/>
          <w:lang w:val="es-ES" w:eastAsia="es-ES"/>
        </w:rPr>
      </w:pPr>
      <w:r w:rsidRPr="001A4860">
        <w:rPr>
          <w:sz w:val="22"/>
          <w:szCs w:val="22"/>
          <w:lang w:val="es-ES" w:eastAsia="es-ES"/>
        </w:rPr>
        <w:lastRenderedPageBreak/>
        <w:t>Haciendo más amplio y hondo el fondo de la zanja en el lugar del corte con el objetivo de baldear o utilizar una motobomba achicadora, que pueda extraer el agua e impedir que su nivel llegue al fondo de la tubería existente, o a utilizarse para hacer la unión o reparación que se requiera.</w:t>
      </w:r>
    </w:p>
    <w:p w14:paraId="3A9C6A26" w14:textId="77777777" w:rsidR="001A4860" w:rsidRPr="001A4860" w:rsidRDefault="001A4860" w:rsidP="001A4860">
      <w:pPr>
        <w:rPr>
          <w:sz w:val="22"/>
          <w:szCs w:val="22"/>
          <w:lang w:val="es-ES" w:eastAsia="es-ES"/>
        </w:rPr>
      </w:pPr>
      <w:r w:rsidRPr="001A4860">
        <w:rPr>
          <w:sz w:val="22"/>
          <w:szCs w:val="22"/>
          <w:lang w:val="es-ES" w:eastAsia="es-ES"/>
        </w:rPr>
        <w:t>Dependiendo del lugar y nivel del terreno, usar válvulas de limpieza. Otros, a juicio del Supervisor.</w:t>
      </w:r>
    </w:p>
    <w:p w14:paraId="1DA0FBBD" w14:textId="77777777" w:rsidR="001A4860" w:rsidRPr="001A4860" w:rsidRDefault="001A4860" w:rsidP="001A4860">
      <w:pPr>
        <w:rPr>
          <w:sz w:val="22"/>
          <w:szCs w:val="22"/>
          <w:lang w:val="es-ES" w:eastAsia="es-ES"/>
        </w:rPr>
      </w:pPr>
    </w:p>
    <w:p w14:paraId="43E64386" w14:textId="77777777" w:rsidR="001A4860" w:rsidRPr="001A4860" w:rsidRDefault="001A4860" w:rsidP="001A4860">
      <w:pPr>
        <w:keepNext/>
        <w:ind w:left="720" w:hanging="720"/>
        <w:outlineLvl w:val="2"/>
        <w:rPr>
          <w:rFonts w:eastAsia="Arial Narrow"/>
          <w:b/>
          <w:bCs/>
          <w:iCs/>
          <w:sz w:val="22"/>
          <w:szCs w:val="22"/>
          <w:lang w:val="es-ES" w:bidi="en-US"/>
        </w:rPr>
      </w:pPr>
      <w:bookmarkStart w:id="613" w:name="_Toc234745650"/>
      <w:bookmarkStart w:id="614" w:name="_Toc475371326"/>
      <w:bookmarkStart w:id="615" w:name="_Toc481596324"/>
      <w:bookmarkStart w:id="616" w:name="_Toc492981648"/>
      <w:bookmarkStart w:id="617" w:name="_Toc23249352"/>
      <w:r w:rsidRPr="001A4860">
        <w:rPr>
          <w:rFonts w:eastAsia="Arial Narrow"/>
          <w:b/>
          <w:bCs/>
          <w:iCs/>
          <w:sz w:val="22"/>
          <w:szCs w:val="22"/>
          <w:lang w:val="es-ES" w:bidi="en-US"/>
        </w:rPr>
        <w:t>Instalación de las tuberías</w:t>
      </w:r>
      <w:bookmarkEnd w:id="613"/>
      <w:bookmarkEnd w:id="614"/>
      <w:bookmarkEnd w:id="615"/>
      <w:bookmarkEnd w:id="616"/>
      <w:bookmarkEnd w:id="617"/>
    </w:p>
    <w:p w14:paraId="73B9388E" w14:textId="77777777" w:rsidR="001A4860" w:rsidRPr="001A4860" w:rsidRDefault="001A4860" w:rsidP="001A4860">
      <w:pPr>
        <w:keepNext/>
        <w:jc w:val="left"/>
        <w:outlineLvl w:val="3"/>
        <w:rPr>
          <w:b/>
          <w:bCs/>
          <w:sz w:val="22"/>
          <w:szCs w:val="22"/>
          <w:lang w:val="es-ES" w:eastAsia="es-ES"/>
        </w:rPr>
      </w:pPr>
      <w:bookmarkStart w:id="618" w:name="_Toc23249353"/>
      <w:r w:rsidRPr="001A4860">
        <w:rPr>
          <w:b/>
          <w:bCs/>
          <w:sz w:val="22"/>
          <w:szCs w:val="22"/>
          <w:lang w:val="es-ES" w:eastAsia="es-ES"/>
        </w:rPr>
        <w:t>Tubería de conducción</w:t>
      </w:r>
      <w:bookmarkEnd w:id="618"/>
    </w:p>
    <w:p w14:paraId="23BB875D" w14:textId="77777777" w:rsidR="001A4860" w:rsidRPr="001A4860" w:rsidRDefault="001A4860" w:rsidP="001A4860">
      <w:pPr>
        <w:rPr>
          <w:b/>
          <w:sz w:val="22"/>
          <w:szCs w:val="22"/>
          <w:lang w:val="es-ES" w:eastAsia="es-ES"/>
        </w:rPr>
      </w:pPr>
    </w:p>
    <w:p w14:paraId="6C44C44A" w14:textId="77777777" w:rsidR="001A4860" w:rsidRPr="001A4860" w:rsidRDefault="001A4860" w:rsidP="001A4860">
      <w:pPr>
        <w:rPr>
          <w:sz w:val="22"/>
          <w:szCs w:val="22"/>
          <w:lang w:val="es-ES" w:eastAsia="es-ES"/>
        </w:rPr>
      </w:pPr>
      <w:r w:rsidRPr="001A4860">
        <w:rPr>
          <w:sz w:val="22"/>
          <w:szCs w:val="22"/>
          <w:lang w:val="es-ES" w:eastAsia="es-ES"/>
        </w:rPr>
        <w:t>La tubería de conducción se extiende 5,007.92 m entre la sarta de bombeo (ubicada en el predio del pozo) hasta el tanque de almacenamiento de agua clara. El contratista debe trazar y nivelar 5,007.92 m de eje para tubería de conducción</w:t>
      </w:r>
    </w:p>
    <w:p w14:paraId="252B2BFE" w14:textId="77777777" w:rsidR="001A4860" w:rsidRPr="001A4860" w:rsidRDefault="001A4860" w:rsidP="001A4860">
      <w:pPr>
        <w:rPr>
          <w:sz w:val="22"/>
          <w:szCs w:val="22"/>
          <w:lang w:val="es-ES" w:eastAsia="es-ES"/>
        </w:rPr>
      </w:pPr>
    </w:p>
    <w:p w14:paraId="04437257"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Distribución la tubería de conducción por bombeo</w:t>
      </w:r>
    </w:p>
    <w:p w14:paraId="2A861686"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751ADEE1"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Diámetro</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Material</w:t>
      </w:r>
      <w:r w:rsidRPr="001A4860">
        <w:rPr>
          <w:sz w:val="22"/>
          <w:szCs w:val="22"/>
          <w:lang w:val="es-ES" w:eastAsia="es-ES"/>
        </w:rPr>
        <w:tab/>
      </w:r>
      <w:r w:rsidRPr="001A4860">
        <w:rPr>
          <w:sz w:val="22"/>
          <w:szCs w:val="22"/>
          <w:lang w:val="es-ES" w:eastAsia="es-ES"/>
        </w:rPr>
        <w:tab/>
        <w:t>Cédula</w:t>
      </w:r>
      <w:r w:rsidRPr="001A4860">
        <w:rPr>
          <w:sz w:val="22"/>
          <w:szCs w:val="22"/>
          <w:lang w:val="es-ES" w:eastAsia="es-ES"/>
        </w:rPr>
        <w:tab/>
      </w:r>
      <w:r w:rsidRPr="001A4860">
        <w:rPr>
          <w:sz w:val="22"/>
          <w:szCs w:val="22"/>
          <w:lang w:val="es-ES" w:eastAsia="es-ES"/>
        </w:rPr>
        <w:tab/>
      </w:r>
      <w:r w:rsidRPr="001A4860">
        <w:rPr>
          <w:sz w:val="22"/>
          <w:szCs w:val="22"/>
          <w:lang w:val="es-ES" w:eastAsia="es-ES"/>
        </w:rPr>
        <w:tab/>
        <w:t>Longitud</w:t>
      </w:r>
    </w:p>
    <w:p w14:paraId="22E55387"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Nominal</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tubería</w:t>
      </w:r>
      <w:r w:rsidRPr="001A4860">
        <w:rPr>
          <w:sz w:val="22"/>
          <w:szCs w:val="22"/>
          <w:lang w:val="es-ES" w:eastAsia="es-ES"/>
        </w:rPr>
        <w:tab/>
      </w:r>
      <w:r w:rsidRPr="001A4860">
        <w:rPr>
          <w:sz w:val="22"/>
          <w:szCs w:val="22"/>
          <w:lang w:val="es-ES" w:eastAsia="es-ES"/>
        </w:rPr>
        <w:tab/>
      </w:r>
      <w:r w:rsidRPr="001A4860">
        <w:rPr>
          <w:sz w:val="22"/>
          <w:szCs w:val="22"/>
          <w:lang w:val="es-ES" w:eastAsia="es-ES"/>
        </w:rPr>
        <w:tab/>
        <w:t>SDR</w:t>
      </w:r>
      <w:r w:rsidRPr="001A4860">
        <w:rPr>
          <w:sz w:val="22"/>
          <w:szCs w:val="22"/>
          <w:lang w:val="es-ES" w:eastAsia="es-ES"/>
        </w:rPr>
        <w:tab/>
      </w:r>
      <w:r w:rsidRPr="001A4860">
        <w:rPr>
          <w:sz w:val="22"/>
          <w:szCs w:val="22"/>
          <w:lang w:val="es-ES" w:eastAsia="es-ES"/>
        </w:rPr>
        <w:tab/>
      </w:r>
      <w:r w:rsidRPr="001A4860">
        <w:rPr>
          <w:sz w:val="22"/>
          <w:szCs w:val="22"/>
          <w:lang w:val="es-ES" w:eastAsia="es-ES"/>
        </w:rPr>
        <w:tab/>
        <w:t xml:space="preserve">     (m)</w:t>
      </w:r>
    </w:p>
    <w:p w14:paraId="52C22A33"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mm (pulgadas)</w:t>
      </w:r>
    </w:p>
    <w:p w14:paraId="7DD9BD4A"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253FCD20"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75 mm (3 pulg)</w:t>
      </w:r>
      <w:r w:rsidRPr="001A4860">
        <w:rPr>
          <w:sz w:val="22"/>
          <w:szCs w:val="22"/>
          <w:lang w:val="es-ES" w:eastAsia="es-ES"/>
        </w:rPr>
        <w:tab/>
      </w:r>
      <w:r w:rsidRPr="001A4860">
        <w:rPr>
          <w:sz w:val="22"/>
          <w:szCs w:val="22"/>
          <w:lang w:val="es-ES" w:eastAsia="es-ES"/>
        </w:rPr>
        <w:tab/>
      </w:r>
      <w:r w:rsidRPr="001A4860">
        <w:rPr>
          <w:sz w:val="22"/>
          <w:szCs w:val="22"/>
          <w:lang w:val="es-ES" w:eastAsia="es-ES"/>
        </w:rPr>
        <w:tab/>
        <w:t>HG</w:t>
      </w:r>
      <w:r w:rsidRPr="001A4860">
        <w:rPr>
          <w:sz w:val="22"/>
          <w:szCs w:val="22"/>
          <w:lang w:val="es-ES" w:eastAsia="es-ES"/>
        </w:rPr>
        <w:tab/>
      </w:r>
      <w:r w:rsidRPr="001A4860">
        <w:rPr>
          <w:sz w:val="22"/>
          <w:szCs w:val="22"/>
          <w:lang w:val="es-ES" w:eastAsia="es-ES"/>
        </w:rPr>
        <w:tab/>
      </w:r>
      <w:r w:rsidRPr="001A4860">
        <w:rPr>
          <w:sz w:val="22"/>
          <w:szCs w:val="22"/>
          <w:lang w:val="es-ES" w:eastAsia="es-ES"/>
        </w:rPr>
        <w:tab/>
        <w:t>Cédula 40</w:t>
      </w:r>
      <w:r w:rsidRPr="001A4860">
        <w:rPr>
          <w:sz w:val="22"/>
          <w:szCs w:val="22"/>
          <w:lang w:val="es-ES" w:eastAsia="es-ES"/>
        </w:rPr>
        <w:tab/>
      </w:r>
      <w:r w:rsidRPr="001A4860">
        <w:rPr>
          <w:sz w:val="22"/>
          <w:szCs w:val="22"/>
          <w:lang w:val="es-ES" w:eastAsia="es-ES"/>
        </w:rPr>
        <w:tab/>
        <w:t>3,591.00 m</w:t>
      </w:r>
    </w:p>
    <w:p w14:paraId="1BAD073D"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75 mm (3 pulg)</w:t>
      </w:r>
      <w:r w:rsidRPr="001A4860">
        <w:rPr>
          <w:sz w:val="22"/>
          <w:szCs w:val="22"/>
          <w:lang w:val="es-ES" w:eastAsia="es-ES"/>
        </w:rPr>
        <w:tab/>
      </w:r>
      <w:r w:rsidRPr="001A4860">
        <w:rPr>
          <w:sz w:val="22"/>
          <w:szCs w:val="22"/>
          <w:lang w:val="es-ES" w:eastAsia="es-ES"/>
        </w:rPr>
        <w:tab/>
      </w:r>
      <w:r w:rsidRPr="001A4860">
        <w:rPr>
          <w:sz w:val="22"/>
          <w:szCs w:val="22"/>
          <w:lang w:val="es-ES" w:eastAsia="es-ES"/>
        </w:rPr>
        <w:tab/>
        <w:t>HF</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1,417.00 m</w:t>
      </w:r>
    </w:p>
    <w:p w14:paraId="57FB74FE"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p>
    <w:p w14:paraId="64C41933"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5207AD11"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 xml:space="preserve">Total tubería de conducción </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5,008.00 m</w:t>
      </w:r>
    </w:p>
    <w:p w14:paraId="0B874277"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5F0D882D" w14:textId="77777777" w:rsidR="001A4860" w:rsidRPr="001A4860" w:rsidRDefault="001A4860" w:rsidP="001A4860">
      <w:pPr>
        <w:rPr>
          <w:sz w:val="22"/>
          <w:szCs w:val="22"/>
          <w:lang w:val="es-ES" w:eastAsia="es-ES"/>
        </w:rPr>
      </w:pPr>
    </w:p>
    <w:p w14:paraId="252E01FD" w14:textId="77777777" w:rsidR="001A4860" w:rsidRPr="001A4860" w:rsidRDefault="001A4860" w:rsidP="001A4860">
      <w:pPr>
        <w:keepNext/>
        <w:jc w:val="left"/>
        <w:outlineLvl w:val="3"/>
        <w:rPr>
          <w:b/>
          <w:bCs/>
          <w:sz w:val="22"/>
          <w:szCs w:val="22"/>
          <w:lang w:val="es-ES" w:eastAsia="es-ES"/>
        </w:rPr>
      </w:pPr>
      <w:bookmarkStart w:id="619" w:name="_Toc23249354"/>
      <w:r w:rsidRPr="001A4860">
        <w:rPr>
          <w:b/>
          <w:bCs/>
          <w:sz w:val="22"/>
          <w:szCs w:val="22"/>
          <w:lang w:val="es-ES" w:eastAsia="es-ES"/>
        </w:rPr>
        <w:t>Tubería de distribución</w:t>
      </w:r>
      <w:bookmarkEnd w:id="619"/>
    </w:p>
    <w:p w14:paraId="710F0001" w14:textId="77777777" w:rsidR="001A4860" w:rsidRPr="001A4860" w:rsidRDefault="001A4860" w:rsidP="001A4860">
      <w:pPr>
        <w:rPr>
          <w:sz w:val="22"/>
          <w:szCs w:val="22"/>
          <w:lang w:val="es-ES" w:eastAsia="es-ES"/>
        </w:rPr>
      </w:pPr>
    </w:p>
    <w:p w14:paraId="67800FEF" w14:textId="77777777" w:rsidR="001A4860" w:rsidRPr="001A4860" w:rsidRDefault="001A4860" w:rsidP="001A4860">
      <w:pPr>
        <w:rPr>
          <w:sz w:val="22"/>
          <w:szCs w:val="22"/>
          <w:lang w:val="es-ES" w:eastAsia="es-ES"/>
        </w:rPr>
      </w:pPr>
      <w:r w:rsidRPr="001A4860">
        <w:rPr>
          <w:sz w:val="22"/>
          <w:szCs w:val="22"/>
          <w:lang w:val="es-ES" w:eastAsia="es-ES"/>
        </w:rPr>
        <w:t>La tubería de la red de distribución se extiende 6,962.56 m desde la salida de los tanques de almacenamiento de polietileno, que yacen sobre cobertizo de losa de concreto, hacia la comunidad. El agua es distribuida por gravedad a las viviendas, a través de un sistema de tubería con ramales abiertos. El contratista debe trazar y nivelar 6,962.56 m de eje para tubería de distribución.</w:t>
      </w:r>
    </w:p>
    <w:p w14:paraId="36F0417B" w14:textId="77777777" w:rsidR="001A4860" w:rsidRPr="001A4860" w:rsidRDefault="001A4860" w:rsidP="001A4860">
      <w:pPr>
        <w:rPr>
          <w:sz w:val="22"/>
          <w:szCs w:val="22"/>
          <w:lang w:val="es-ES" w:eastAsia="es-ES"/>
        </w:rPr>
      </w:pPr>
    </w:p>
    <w:p w14:paraId="3A0CD69D"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Distribución de tubería de ramales de la red del MABE</w:t>
      </w:r>
    </w:p>
    <w:p w14:paraId="19921117"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13A660D9"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Diámetro</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Material</w:t>
      </w:r>
      <w:r w:rsidRPr="001A4860">
        <w:rPr>
          <w:sz w:val="22"/>
          <w:szCs w:val="22"/>
          <w:lang w:val="es-ES" w:eastAsia="es-ES"/>
        </w:rPr>
        <w:tab/>
      </w:r>
      <w:r w:rsidRPr="001A4860">
        <w:rPr>
          <w:sz w:val="22"/>
          <w:szCs w:val="22"/>
          <w:lang w:val="es-ES" w:eastAsia="es-ES"/>
        </w:rPr>
        <w:tab/>
        <w:t>Cédula</w:t>
      </w:r>
      <w:r w:rsidRPr="001A4860">
        <w:rPr>
          <w:sz w:val="22"/>
          <w:szCs w:val="22"/>
          <w:lang w:val="es-ES" w:eastAsia="es-ES"/>
        </w:rPr>
        <w:tab/>
      </w:r>
      <w:r w:rsidRPr="001A4860">
        <w:rPr>
          <w:sz w:val="22"/>
          <w:szCs w:val="22"/>
          <w:lang w:val="es-ES" w:eastAsia="es-ES"/>
        </w:rPr>
        <w:tab/>
      </w:r>
      <w:r w:rsidRPr="001A4860">
        <w:rPr>
          <w:sz w:val="22"/>
          <w:szCs w:val="22"/>
          <w:lang w:val="es-ES" w:eastAsia="es-ES"/>
        </w:rPr>
        <w:tab/>
        <w:t>Longitud</w:t>
      </w:r>
    </w:p>
    <w:p w14:paraId="70DE0EDD"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Nominal</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tubería</w:t>
      </w:r>
      <w:r w:rsidRPr="001A4860">
        <w:rPr>
          <w:sz w:val="22"/>
          <w:szCs w:val="22"/>
          <w:lang w:val="es-ES" w:eastAsia="es-ES"/>
        </w:rPr>
        <w:tab/>
      </w:r>
      <w:r w:rsidRPr="001A4860">
        <w:rPr>
          <w:sz w:val="22"/>
          <w:szCs w:val="22"/>
          <w:lang w:val="es-ES" w:eastAsia="es-ES"/>
        </w:rPr>
        <w:tab/>
      </w:r>
      <w:r w:rsidRPr="001A4860">
        <w:rPr>
          <w:sz w:val="22"/>
          <w:szCs w:val="22"/>
          <w:lang w:val="es-ES" w:eastAsia="es-ES"/>
        </w:rPr>
        <w:tab/>
        <w:t>SDR</w:t>
      </w:r>
      <w:r w:rsidRPr="001A4860">
        <w:rPr>
          <w:sz w:val="22"/>
          <w:szCs w:val="22"/>
          <w:lang w:val="es-ES" w:eastAsia="es-ES"/>
        </w:rPr>
        <w:tab/>
      </w:r>
      <w:r w:rsidRPr="001A4860">
        <w:rPr>
          <w:sz w:val="22"/>
          <w:szCs w:val="22"/>
          <w:lang w:val="es-ES" w:eastAsia="es-ES"/>
        </w:rPr>
        <w:tab/>
      </w:r>
      <w:r w:rsidRPr="001A4860">
        <w:rPr>
          <w:sz w:val="22"/>
          <w:szCs w:val="22"/>
          <w:lang w:val="es-ES" w:eastAsia="es-ES"/>
        </w:rPr>
        <w:tab/>
        <w:t xml:space="preserve">     (m)</w:t>
      </w:r>
    </w:p>
    <w:p w14:paraId="11ED30AB"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(pulgadas)</w:t>
      </w:r>
    </w:p>
    <w:p w14:paraId="5370D7AD"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2B0EF399"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38 mm (1 1/2 pulg)</w:t>
      </w:r>
      <w:r w:rsidRPr="001A4860">
        <w:rPr>
          <w:sz w:val="22"/>
          <w:szCs w:val="22"/>
          <w:lang w:val="es-ES" w:eastAsia="es-ES"/>
        </w:rPr>
        <w:tab/>
      </w:r>
      <w:r w:rsidRPr="001A4860">
        <w:rPr>
          <w:sz w:val="22"/>
          <w:szCs w:val="22"/>
          <w:lang w:val="es-ES" w:eastAsia="es-ES"/>
        </w:rPr>
        <w:tab/>
      </w:r>
      <w:r w:rsidRPr="001A4860">
        <w:rPr>
          <w:sz w:val="22"/>
          <w:szCs w:val="22"/>
          <w:lang w:val="es-ES" w:eastAsia="es-ES"/>
        </w:rPr>
        <w:tab/>
        <w:t>PVC 1120</w:t>
      </w:r>
      <w:r w:rsidRPr="001A4860">
        <w:rPr>
          <w:sz w:val="22"/>
          <w:szCs w:val="22"/>
          <w:lang w:val="es-ES" w:eastAsia="es-ES"/>
        </w:rPr>
        <w:tab/>
      </w:r>
      <w:r w:rsidRPr="001A4860">
        <w:rPr>
          <w:sz w:val="22"/>
          <w:szCs w:val="22"/>
          <w:lang w:val="es-ES" w:eastAsia="es-ES"/>
        </w:rPr>
        <w:tab/>
        <w:t>SDR 26</w:t>
      </w:r>
      <w:r w:rsidRPr="001A4860">
        <w:rPr>
          <w:sz w:val="22"/>
          <w:szCs w:val="22"/>
          <w:lang w:val="es-ES" w:eastAsia="es-ES"/>
        </w:rPr>
        <w:tab/>
      </w:r>
      <w:r w:rsidRPr="001A4860">
        <w:rPr>
          <w:sz w:val="22"/>
          <w:szCs w:val="22"/>
          <w:lang w:val="es-ES" w:eastAsia="es-ES"/>
        </w:rPr>
        <w:tab/>
        <w:t>6,482.00 m</w:t>
      </w:r>
    </w:p>
    <w:p w14:paraId="77A3EFB3"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n-US" w:eastAsia="es-ES"/>
        </w:rPr>
      </w:pPr>
      <w:r w:rsidRPr="001A4860">
        <w:rPr>
          <w:sz w:val="22"/>
          <w:szCs w:val="22"/>
          <w:lang w:val="en-US" w:eastAsia="es-ES"/>
        </w:rPr>
        <w:t>50 mm (2 pulg)</w:t>
      </w:r>
      <w:r w:rsidRPr="001A4860">
        <w:rPr>
          <w:sz w:val="22"/>
          <w:szCs w:val="22"/>
          <w:lang w:val="en-US" w:eastAsia="es-ES"/>
        </w:rPr>
        <w:tab/>
      </w:r>
      <w:r w:rsidRPr="001A4860">
        <w:rPr>
          <w:sz w:val="22"/>
          <w:szCs w:val="22"/>
          <w:lang w:val="en-US" w:eastAsia="es-ES"/>
        </w:rPr>
        <w:tab/>
      </w:r>
      <w:r w:rsidRPr="001A4860">
        <w:rPr>
          <w:sz w:val="22"/>
          <w:szCs w:val="22"/>
          <w:lang w:val="en-US" w:eastAsia="es-ES"/>
        </w:rPr>
        <w:tab/>
        <w:t>PVC 1120</w:t>
      </w:r>
      <w:r w:rsidRPr="001A4860">
        <w:rPr>
          <w:sz w:val="22"/>
          <w:szCs w:val="22"/>
          <w:lang w:val="en-US" w:eastAsia="es-ES"/>
        </w:rPr>
        <w:tab/>
      </w:r>
      <w:r w:rsidRPr="001A4860">
        <w:rPr>
          <w:sz w:val="22"/>
          <w:szCs w:val="22"/>
          <w:lang w:val="en-US" w:eastAsia="es-ES"/>
        </w:rPr>
        <w:tab/>
        <w:t>SDR 26</w:t>
      </w:r>
      <w:r w:rsidRPr="001A4860">
        <w:rPr>
          <w:sz w:val="22"/>
          <w:szCs w:val="22"/>
          <w:lang w:val="en-US" w:eastAsia="es-ES"/>
        </w:rPr>
        <w:tab/>
      </w:r>
      <w:r w:rsidRPr="001A4860">
        <w:rPr>
          <w:sz w:val="22"/>
          <w:szCs w:val="22"/>
          <w:lang w:val="en-US" w:eastAsia="es-ES"/>
        </w:rPr>
        <w:tab/>
        <w:t xml:space="preserve">   482.00 m</w:t>
      </w:r>
    </w:p>
    <w:p w14:paraId="672F8BEE"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n-US" w:eastAsia="es-ES"/>
        </w:rPr>
      </w:pPr>
      <w:r w:rsidRPr="001A4860">
        <w:rPr>
          <w:sz w:val="22"/>
          <w:szCs w:val="22"/>
          <w:lang w:val="en-US" w:eastAsia="es-ES"/>
        </w:rPr>
        <w:t>---------------------------------------------------------------------------------------------------------------------------</w:t>
      </w:r>
    </w:p>
    <w:p w14:paraId="26180480"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Total tubería de la red</w:t>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r>
      <w:r w:rsidRPr="001A4860">
        <w:rPr>
          <w:sz w:val="22"/>
          <w:szCs w:val="22"/>
          <w:lang w:val="es-ES" w:eastAsia="es-ES"/>
        </w:rPr>
        <w:tab/>
        <w:t>6,964.00 m</w:t>
      </w:r>
    </w:p>
    <w:p w14:paraId="02717094" w14:textId="77777777" w:rsidR="001A4860" w:rsidRPr="001A4860" w:rsidRDefault="001A4860" w:rsidP="001A4860">
      <w:pPr>
        <w:pBdr>
          <w:top w:val="single" w:sz="4" w:space="1" w:color="auto"/>
          <w:left w:val="single" w:sz="4" w:space="0" w:color="auto"/>
          <w:bottom w:val="single" w:sz="4" w:space="0" w:color="auto"/>
          <w:right w:val="single" w:sz="4" w:space="4" w:color="auto"/>
        </w:pBdr>
        <w:rPr>
          <w:sz w:val="22"/>
          <w:szCs w:val="22"/>
          <w:lang w:val="es-ES" w:eastAsia="es-ES"/>
        </w:rPr>
      </w:pPr>
      <w:r w:rsidRPr="001A4860">
        <w:rPr>
          <w:sz w:val="22"/>
          <w:szCs w:val="22"/>
          <w:lang w:val="es-ES" w:eastAsia="es-ES"/>
        </w:rPr>
        <w:t>---------------------------------------------------------------------------------------------------------------------------</w:t>
      </w:r>
    </w:p>
    <w:p w14:paraId="54F89B95" w14:textId="77777777" w:rsidR="001A4860" w:rsidRPr="001A4860" w:rsidRDefault="001A4860" w:rsidP="001A4860">
      <w:pPr>
        <w:rPr>
          <w:sz w:val="22"/>
          <w:szCs w:val="22"/>
          <w:lang w:val="es-ES" w:eastAsia="es-ES"/>
        </w:rPr>
      </w:pPr>
    </w:p>
    <w:p w14:paraId="60757759" w14:textId="77777777" w:rsidR="001A4860" w:rsidRPr="001A4860" w:rsidRDefault="001A4860" w:rsidP="001A4860">
      <w:pPr>
        <w:rPr>
          <w:sz w:val="22"/>
          <w:szCs w:val="22"/>
          <w:lang w:val="es-ES" w:eastAsia="es-ES"/>
        </w:rPr>
      </w:pPr>
      <w:r w:rsidRPr="001A4860">
        <w:rPr>
          <w:sz w:val="22"/>
          <w:szCs w:val="22"/>
          <w:lang w:val="es-ES" w:eastAsia="es-ES"/>
        </w:rPr>
        <w:t>Antes de instalarse, los tubos son alineados a un lado y a lo largo de la zanja y, si no hay inconvenientes, del lado opuesto al material de excavación, protegiéndose del tráfico y de la maquinaria pesada asignada a la Obra.</w:t>
      </w:r>
    </w:p>
    <w:p w14:paraId="15708879" w14:textId="77777777" w:rsidR="001A4860" w:rsidRPr="001A4860" w:rsidRDefault="001A4860" w:rsidP="001A4860">
      <w:pPr>
        <w:rPr>
          <w:sz w:val="22"/>
          <w:szCs w:val="22"/>
          <w:lang w:val="es-ES" w:eastAsia="es-ES"/>
        </w:rPr>
      </w:pPr>
    </w:p>
    <w:p w14:paraId="19303618" w14:textId="77777777" w:rsidR="001A4860" w:rsidRPr="001A4860" w:rsidRDefault="001A4860" w:rsidP="001A4860">
      <w:pPr>
        <w:rPr>
          <w:sz w:val="22"/>
          <w:szCs w:val="22"/>
          <w:lang w:val="es-ES" w:eastAsia="es-ES"/>
        </w:rPr>
      </w:pPr>
      <w:r w:rsidRPr="001A4860">
        <w:rPr>
          <w:sz w:val="22"/>
          <w:szCs w:val="22"/>
          <w:lang w:val="es-ES" w:eastAsia="es-ES"/>
        </w:rPr>
        <w:lastRenderedPageBreak/>
        <w:t>Se deben usar herramientas y equipos apropiados para manejar e instalar los tubos y accesorios, en una forma segura y satisfactoria. Siguiendo en general las recomendaciones del fabricante, en el manejo debe evitarse el uso de métodos bruscos, tal como dejar caer los tubos.</w:t>
      </w:r>
    </w:p>
    <w:p w14:paraId="6997E9AB" w14:textId="77777777" w:rsidR="001A4860" w:rsidRPr="001A4860" w:rsidRDefault="001A4860" w:rsidP="001A4860">
      <w:pPr>
        <w:rPr>
          <w:sz w:val="22"/>
          <w:szCs w:val="22"/>
          <w:lang w:val="es-ES" w:eastAsia="es-ES"/>
        </w:rPr>
      </w:pPr>
    </w:p>
    <w:p w14:paraId="03EC32BF" w14:textId="77777777" w:rsidR="001A4860" w:rsidRPr="001A4860" w:rsidRDefault="001A4860" w:rsidP="001A4860">
      <w:pPr>
        <w:rPr>
          <w:sz w:val="22"/>
          <w:szCs w:val="22"/>
          <w:lang w:val="es-ES" w:eastAsia="es-ES"/>
        </w:rPr>
      </w:pPr>
      <w:r w:rsidRPr="001A4860">
        <w:rPr>
          <w:sz w:val="22"/>
          <w:szCs w:val="22"/>
          <w:lang w:val="es-ES" w:eastAsia="es-ES"/>
        </w:rPr>
        <w:t>El almacenamiento de la tubería debe ser hecho sobre suelo llano, exento de piedras, y de preferencia bajo cubierta y a la sombra.</w:t>
      </w:r>
    </w:p>
    <w:p w14:paraId="176372E6" w14:textId="77777777" w:rsidR="001A4860" w:rsidRPr="001A4860" w:rsidRDefault="001A4860" w:rsidP="001A4860">
      <w:pPr>
        <w:rPr>
          <w:sz w:val="22"/>
          <w:szCs w:val="22"/>
          <w:lang w:val="es-ES" w:eastAsia="es-ES"/>
        </w:rPr>
      </w:pPr>
    </w:p>
    <w:p w14:paraId="5D3BAD28" w14:textId="77777777" w:rsidR="001A4860" w:rsidRPr="001A4860" w:rsidRDefault="001A4860" w:rsidP="001A4860">
      <w:pPr>
        <w:rPr>
          <w:sz w:val="22"/>
          <w:szCs w:val="22"/>
          <w:lang w:val="es-ES" w:eastAsia="es-ES"/>
        </w:rPr>
      </w:pPr>
      <w:r w:rsidRPr="001A4860">
        <w:rPr>
          <w:sz w:val="22"/>
          <w:szCs w:val="22"/>
          <w:lang w:val="es-ES" w:eastAsia="es-ES"/>
        </w:rPr>
        <w:t>Los tubos se descargan a mano dentro de la zanja, no dejarlos caer sino depositarlos, no dejarlos rodar sobre el suelo y teniendo cuidado especial de que no se dañen.</w:t>
      </w:r>
    </w:p>
    <w:p w14:paraId="556EBBEF" w14:textId="77777777" w:rsidR="001A4860" w:rsidRPr="001A4860" w:rsidRDefault="001A4860" w:rsidP="001A4860">
      <w:pPr>
        <w:rPr>
          <w:sz w:val="22"/>
          <w:szCs w:val="22"/>
          <w:lang w:val="es-ES" w:eastAsia="es-ES"/>
        </w:rPr>
      </w:pPr>
    </w:p>
    <w:p w14:paraId="142CA8F4" w14:textId="77777777" w:rsidR="001A4860" w:rsidRPr="001A4860" w:rsidRDefault="001A4860" w:rsidP="001A4860">
      <w:pPr>
        <w:rPr>
          <w:sz w:val="22"/>
          <w:szCs w:val="22"/>
          <w:lang w:val="es-ES" w:eastAsia="es-ES"/>
        </w:rPr>
      </w:pPr>
      <w:r w:rsidRPr="001A4860">
        <w:rPr>
          <w:sz w:val="22"/>
          <w:szCs w:val="22"/>
          <w:lang w:val="es-ES" w:eastAsia="es-ES"/>
        </w:rPr>
        <w:t xml:space="preserve">Revisar el interior de los tubos a instalarse, con el objeto de verificar su limpieza. Los accesorios a usarse en la tubería, son igualmente revisados y sometidos a una limpieza general. </w:t>
      </w:r>
    </w:p>
    <w:p w14:paraId="105A460D" w14:textId="77777777" w:rsidR="001A4860" w:rsidRPr="001A4860" w:rsidRDefault="001A4860" w:rsidP="001A4860">
      <w:pPr>
        <w:rPr>
          <w:sz w:val="22"/>
          <w:szCs w:val="22"/>
          <w:lang w:val="es-ES" w:eastAsia="es-ES"/>
        </w:rPr>
      </w:pPr>
    </w:p>
    <w:p w14:paraId="723E170B" w14:textId="77777777" w:rsidR="001A4860" w:rsidRPr="001A4860" w:rsidRDefault="001A4860" w:rsidP="001A4860">
      <w:pPr>
        <w:rPr>
          <w:sz w:val="22"/>
          <w:szCs w:val="22"/>
          <w:lang w:val="es-ES" w:eastAsia="es-ES"/>
        </w:rPr>
      </w:pPr>
      <w:r w:rsidRPr="001A4860">
        <w:rPr>
          <w:sz w:val="22"/>
          <w:szCs w:val="22"/>
          <w:lang w:val="es-ES" w:eastAsia="es-ES"/>
        </w:rPr>
        <w:t>La rasante de los tubos y accesorios, debe ser terminada cuidadosamente y se forma en ella una especie de media caña con el objetivo de que una cuarta parte de la circunferencia de cada tubo y en toda su longitud quede en contacto con terreno firme y además se provee de una excavación especial para alojar las campanas.</w:t>
      </w:r>
    </w:p>
    <w:p w14:paraId="5306F549" w14:textId="77777777" w:rsidR="001A4860" w:rsidRPr="001A4860" w:rsidRDefault="001A4860" w:rsidP="001A4860">
      <w:pPr>
        <w:rPr>
          <w:sz w:val="22"/>
          <w:szCs w:val="22"/>
          <w:lang w:val="es-ES" w:eastAsia="es-ES"/>
        </w:rPr>
      </w:pPr>
    </w:p>
    <w:p w14:paraId="4CFCC7C3" w14:textId="77777777" w:rsidR="001A4860" w:rsidRPr="001A4860" w:rsidRDefault="001A4860" w:rsidP="001A4860">
      <w:pPr>
        <w:rPr>
          <w:sz w:val="22"/>
          <w:szCs w:val="22"/>
          <w:lang w:val="es-ES" w:eastAsia="es-ES"/>
        </w:rPr>
      </w:pPr>
      <w:r w:rsidRPr="001A4860">
        <w:rPr>
          <w:sz w:val="22"/>
          <w:szCs w:val="22"/>
          <w:lang w:val="es-ES" w:eastAsia="es-ES"/>
        </w:rPr>
        <w:t>Los extremos de los tubos que ya han sido instalados, son protegidos con tapones de material aprobado por El Supervisor, para evitar que tierra y otras suciedades penetren en los tubos.</w:t>
      </w:r>
    </w:p>
    <w:p w14:paraId="1888604E" w14:textId="77777777" w:rsidR="001A4860" w:rsidRPr="001A4860" w:rsidRDefault="001A4860" w:rsidP="001A4860">
      <w:pPr>
        <w:rPr>
          <w:sz w:val="22"/>
          <w:szCs w:val="22"/>
          <w:lang w:val="es-ES" w:eastAsia="es-ES"/>
        </w:rPr>
      </w:pPr>
    </w:p>
    <w:p w14:paraId="42E3495B" w14:textId="77777777" w:rsidR="001A4860" w:rsidRPr="001A4860" w:rsidRDefault="001A4860" w:rsidP="001A4860">
      <w:pPr>
        <w:rPr>
          <w:sz w:val="22"/>
          <w:szCs w:val="22"/>
          <w:lang w:val="es-ES" w:eastAsia="es-ES"/>
        </w:rPr>
      </w:pPr>
      <w:r w:rsidRPr="001A4860">
        <w:rPr>
          <w:sz w:val="22"/>
          <w:szCs w:val="22"/>
          <w:lang w:val="es-ES" w:eastAsia="es-ES"/>
        </w:rPr>
        <w:t>Cuando el eje de la excavación, tiene forma de curva horizontal, con ángulos de deflexiones menores e igual a 3° y radios de curvas muy grandes, la instalación puede hacerse sin el uso de codos, aprovechando las desviaciones angulares permisibles que cada junta puede alcanzar, la cual es la especificada por el fabricante de la tubería. Conviene recordar que el montaje se realiza a partir de tubos perfectamente alineados.</w:t>
      </w:r>
    </w:p>
    <w:p w14:paraId="24820AAB" w14:textId="77777777" w:rsidR="001A4860" w:rsidRPr="001A4860" w:rsidRDefault="001A4860" w:rsidP="001A4860">
      <w:pPr>
        <w:rPr>
          <w:sz w:val="22"/>
          <w:szCs w:val="22"/>
          <w:lang w:val="es-ES" w:eastAsia="es-ES"/>
        </w:rPr>
      </w:pPr>
    </w:p>
    <w:p w14:paraId="2BDFF719" w14:textId="77777777" w:rsidR="001A4860" w:rsidRPr="001A4860" w:rsidRDefault="001A4860" w:rsidP="001A4860">
      <w:pPr>
        <w:rPr>
          <w:sz w:val="22"/>
          <w:szCs w:val="22"/>
          <w:lang w:val="es-ES" w:eastAsia="es-ES"/>
        </w:rPr>
      </w:pPr>
      <w:r w:rsidRPr="001A4860">
        <w:rPr>
          <w:sz w:val="22"/>
          <w:szCs w:val="22"/>
          <w:lang w:val="es-ES" w:eastAsia="es-ES"/>
        </w:rPr>
        <w:t>La desviación sólo debe realizarse, después que el montaje de la junta se encuentre totalmente terminado.</w:t>
      </w:r>
    </w:p>
    <w:p w14:paraId="4A173DAB" w14:textId="77777777" w:rsidR="001A4860" w:rsidRPr="001A4860" w:rsidRDefault="001A4860" w:rsidP="001A4860">
      <w:pPr>
        <w:rPr>
          <w:sz w:val="22"/>
          <w:szCs w:val="22"/>
          <w:lang w:val="es-ES" w:eastAsia="es-ES"/>
        </w:rPr>
      </w:pPr>
    </w:p>
    <w:p w14:paraId="78A59CD0" w14:textId="77777777" w:rsidR="001A4860" w:rsidRPr="001A4860" w:rsidRDefault="001A4860" w:rsidP="001A4860">
      <w:pPr>
        <w:rPr>
          <w:sz w:val="22"/>
          <w:szCs w:val="22"/>
          <w:lang w:val="es-ES" w:eastAsia="es-ES"/>
        </w:rPr>
      </w:pPr>
      <w:r w:rsidRPr="001A4860">
        <w:rPr>
          <w:sz w:val="22"/>
          <w:szCs w:val="22"/>
          <w:lang w:val="es-ES" w:eastAsia="es-ES"/>
        </w:rPr>
        <w:t>En las zanjas con fuertes declives, es necesario anclar o asegurar los tubos que se van instalando, previendo que por su propio peso puedan deslizarse u originar defectos en sus uniones.</w:t>
      </w:r>
    </w:p>
    <w:p w14:paraId="047DD3A6" w14:textId="77777777" w:rsidR="001A4860" w:rsidRPr="001A4860" w:rsidRDefault="001A4860" w:rsidP="001A4860">
      <w:pPr>
        <w:rPr>
          <w:sz w:val="22"/>
          <w:szCs w:val="22"/>
          <w:lang w:val="es-ES" w:eastAsia="es-ES"/>
        </w:rPr>
      </w:pPr>
      <w:r w:rsidRPr="001A4860">
        <w:rPr>
          <w:sz w:val="22"/>
          <w:szCs w:val="22"/>
          <w:lang w:val="es-ES" w:eastAsia="es-ES"/>
        </w:rPr>
        <w:t>Colocar capa (colchón) de tierra suelta -libre de piedras- en el fondo de la zanja, antes de instalar las tuberías.</w:t>
      </w:r>
    </w:p>
    <w:p w14:paraId="6A2D32FC" w14:textId="77777777" w:rsidR="001A4860" w:rsidRPr="001A4860" w:rsidRDefault="001A4860" w:rsidP="001A4860">
      <w:pPr>
        <w:rPr>
          <w:sz w:val="22"/>
          <w:szCs w:val="22"/>
          <w:lang w:val="es-ES" w:eastAsia="es-ES"/>
        </w:rPr>
      </w:pPr>
    </w:p>
    <w:p w14:paraId="6309E9C7" w14:textId="77777777" w:rsidR="001A4860" w:rsidRPr="001A4860" w:rsidRDefault="001A4860" w:rsidP="001A4860">
      <w:pPr>
        <w:rPr>
          <w:sz w:val="22"/>
          <w:szCs w:val="22"/>
          <w:lang w:val="es-ES" w:eastAsia="es-ES"/>
        </w:rPr>
      </w:pPr>
      <w:r w:rsidRPr="001A4860">
        <w:rPr>
          <w:sz w:val="22"/>
          <w:szCs w:val="22"/>
          <w:lang w:val="es-ES" w:eastAsia="es-ES"/>
        </w:rPr>
        <w:t xml:space="preserve">Instalar la tubería con sus respectivos accesorios para, acoples, adaptadores, transición de diámetros, cambios de dirección, bloques de reacción, anclajes y cruces especiales (cruce de alcantarilla y cruce de puente), según la pertinencia del caso. La cobertura de la tubería, es de 1.20 m sobre la corona del tubo y 0.80 en áreas verdes y pases peatonales. Ancho máximo (Dext + 0,50 m). Tanto las tuberías de circuito principal y secundaria han sido alineadas en sitios donde se facilite su instalación y posibilidades de ampliación, sustitución, reparaciones y mantenimiento. </w:t>
      </w:r>
    </w:p>
    <w:p w14:paraId="0E5A5748" w14:textId="77777777" w:rsidR="001A4860" w:rsidRPr="001A4860" w:rsidRDefault="001A4860" w:rsidP="001A4860">
      <w:pPr>
        <w:rPr>
          <w:sz w:val="22"/>
          <w:szCs w:val="22"/>
          <w:lang w:val="es-ES" w:eastAsia="es-ES"/>
        </w:rPr>
      </w:pPr>
    </w:p>
    <w:p w14:paraId="3AD30C6B" w14:textId="77777777" w:rsidR="001A4860" w:rsidRPr="001A4860" w:rsidRDefault="001A4860" w:rsidP="001A4860">
      <w:pPr>
        <w:rPr>
          <w:sz w:val="22"/>
          <w:szCs w:val="22"/>
          <w:lang w:val="es-ES" w:eastAsia="es-ES"/>
        </w:rPr>
      </w:pPr>
      <w:r w:rsidRPr="001A4860">
        <w:rPr>
          <w:sz w:val="22"/>
          <w:szCs w:val="22"/>
          <w:lang w:val="es-ES" w:eastAsia="es-ES"/>
        </w:rPr>
        <w:t>Instalar cruces especiales de tubería, según las exigencias de la topografía y estratos del terreno. Los cruces especiales deben disponer de sus respectivas entrada y salida según el caso.</w:t>
      </w:r>
    </w:p>
    <w:p w14:paraId="4D90459A" w14:textId="77777777" w:rsidR="001A4860" w:rsidRPr="001A4860" w:rsidRDefault="001A4860" w:rsidP="001A4860">
      <w:pPr>
        <w:rPr>
          <w:sz w:val="22"/>
          <w:szCs w:val="22"/>
          <w:lang w:val="es-ES" w:eastAsia="es-ES"/>
        </w:rPr>
      </w:pPr>
    </w:p>
    <w:p w14:paraId="32CB11E4" w14:textId="77777777" w:rsidR="001A4860" w:rsidRPr="001A4860" w:rsidRDefault="001A4860" w:rsidP="001A4860">
      <w:pPr>
        <w:keepNext/>
        <w:ind w:left="720" w:hanging="720"/>
        <w:outlineLvl w:val="2"/>
        <w:rPr>
          <w:rFonts w:eastAsia="Arial Narrow"/>
          <w:b/>
          <w:bCs/>
          <w:iCs/>
          <w:sz w:val="22"/>
          <w:szCs w:val="22"/>
          <w:lang w:val="es-ES" w:bidi="en-US"/>
        </w:rPr>
      </w:pPr>
      <w:bookmarkStart w:id="620" w:name="_Toc234745651"/>
      <w:bookmarkStart w:id="621" w:name="_Toc475371327"/>
      <w:bookmarkStart w:id="622" w:name="_Toc481596325"/>
      <w:bookmarkStart w:id="623" w:name="_Toc492981649"/>
      <w:bookmarkStart w:id="624" w:name="_Toc23249355"/>
      <w:r w:rsidRPr="001A4860">
        <w:rPr>
          <w:rFonts w:eastAsia="Arial Narrow"/>
          <w:b/>
          <w:bCs/>
          <w:iCs/>
          <w:sz w:val="22"/>
          <w:szCs w:val="22"/>
          <w:lang w:val="es-ES" w:bidi="en-US"/>
        </w:rPr>
        <w:t>Instalación de válvulas y accesorios</w:t>
      </w:r>
      <w:bookmarkEnd w:id="620"/>
      <w:bookmarkEnd w:id="621"/>
      <w:bookmarkEnd w:id="622"/>
      <w:bookmarkEnd w:id="623"/>
      <w:bookmarkEnd w:id="624"/>
    </w:p>
    <w:p w14:paraId="337A35B7" w14:textId="77777777" w:rsidR="001A4860" w:rsidRPr="001A4860" w:rsidRDefault="001A4860" w:rsidP="001A4860">
      <w:pPr>
        <w:rPr>
          <w:sz w:val="22"/>
          <w:szCs w:val="22"/>
          <w:lang w:val="es-ES" w:eastAsia="es-ES"/>
        </w:rPr>
      </w:pPr>
    </w:p>
    <w:p w14:paraId="726B77CE" w14:textId="77777777" w:rsidR="001A4860" w:rsidRPr="001A4860" w:rsidRDefault="001A4860" w:rsidP="001A4860">
      <w:pPr>
        <w:rPr>
          <w:sz w:val="22"/>
          <w:szCs w:val="22"/>
          <w:lang w:val="es-ES" w:eastAsia="es-ES"/>
        </w:rPr>
      </w:pPr>
      <w:r w:rsidRPr="001A4860">
        <w:rPr>
          <w:sz w:val="22"/>
          <w:szCs w:val="22"/>
          <w:lang w:val="es-ES" w:eastAsia="es-ES"/>
        </w:rPr>
        <w:t>Para instalaciones de válvulas, en lo que corresponde a excavación, cortes en la tubería y baldeo de aguas deben seguirse los pasos explicados para estos conceptos en los artículos precedentes. Antes de proceder con la instalación de las válvulas y cualquier otro accesorio, El Contratista los examina cuidadosamente.  El accesorio encontrado defectuoso es separado para su correcta reparación o para su abandono.</w:t>
      </w:r>
    </w:p>
    <w:p w14:paraId="1FE0213C" w14:textId="77777777" w:rsidR="001A4860" w:rsidRPr="001A4860" w:rsidRDefault="001A4860" w:rsidP="001A4860">
      <w:pPr>
        <w:rPr>
          <w:sz w:val="22"/>
          <w:szCs w:val="22"/>
          <w:lang w:val="es-ES" w:eastAsia="es-ES"/>
        </w:rPr>
      </w:pPr>
    </w:p>
    <w:p w14:paraId="7467B6F6" w14:textId="77777777" w:rsidR="001A4860" w:rsidRPr="001A4860" w:rsidRDefault="001A4860" w:rsidP="001A4860">
      <w:pPr>
        <w:rPr>
          <w:sz w:val="22"/>
          <w:szCs w:val="22"/>
          <w:lang w:val="es-ES" w:eastAsia="es-ES"/>
        </w:rPr>
      </w:pPr>
      <w:r w:rsidRPr="001A4860">
        <w:rPr>
          <w:sz w:val="22"/>
          <w:szCs w:val="22"/>
          <w:lang w:val="es-ES" w:eastAsia="es-ES"/>
        </w:rPr>
        <w:t>Las válvulas son inspeccionadas para comprobar la dirección de apertura, libertad de operación, la fijeza de los pernos, la limpieza de las puertas de la válvula y especialmente el asiento, daños por el manejo y grietas. Las válvulas deben ser instaladas en los lugares fijados por los planos o en los sitios indicados por EL supervisor. Toda válvula debe ser instalada de modo que su eje quede completamente vertical. Su instalación completa debe comprender caja protectora, bloque de reacción y anclaje.</w:t>
      </w:r>
    </w:p>
    <w:p w14:paraId="49E2F619" w14:textId="77777777" w:rsidR="001A4860" w:rsidRPr="001A4860" w:rsidRDefault="001A4860" w:rsidP="001A4860">
      <w:pPr>
        <w:rPr>
          <w:sz w:val="22"/>
          <w:szCs w:val="22"/>
          <w:lang w:val="es-ES" w:eastAsia="es-ES"/>
        </w:rPr>
      </w:pPr>
    </w:p>
    <w:p w14:paraId="23080B4E" w14:textId="77777777" w:rsidR="001A4860" w:rsidRPr="001A4860" w:rsidRDefault="001A4860" w:rsidP="001A4860">
      <w:pPr>
        <w:rPr>
          <w:sz w:val="22"/>
          <w:szCs w:val="22"/>
          <w:lang w:val="es-ES" w:eastAsia="es-ES"/>
        </w:rPr>
      </w:pPr>
      <w:r w:rsidRPr="001A4860">
        <w:rPr>
          <w:sz w:val="22"/>
          <w:szCs w:val="22"/>
          <w:lang w:val="es-ES" w:eastAsia="es-ES"/>
        </w:rPr>
        <w:t>Cuando se trate de accesorios y válvulas con extremos de brida, deben usarse longitudes cortas de tubería en cada uno de los extremos.  El objeto de esto es dar Flexibilidad a la instalación. Cuando se tengan uniones flexibles no es necesario el uso de estas piezas cortas.</w:t>
      </w:r>
    </w:p>
    <w:p w14:paraId="06A66A3C" w14:textId="77777777" w:rsidR="001A4860" w:rsidRPr="001A4860" w:rsidRDefault="001A4860" w:rsidP="001A4860">
      <w:pPr>
        <w:rPr>
          <w:sz w:val="22"/>
          <w:szCs w:val="22"/>
          <w:lang w:val="es-ES" w:eastAsia="es-ES"/>
        </w:rPr>
      </w:pPr>
    </w:p>
    <w:p w14:paraId="39462A6F" w14:textId="77777777" w:rsidR="001A4860" w:rsidRPr="001A4860" w:rsidRDefault="001A4860" w:rsidP="001A4860">
      <w:pPr>
        <w:rPr>
          <w:sz w:val="22"/>
          <w:szCs w:val="22"/>
          <w:lang w:val="es-ES" w:eastAsia="es-ES"/>
        </w:rPr>
      </w:pPr>
      <w:r w:rsidRPr="001A4860">
        <w:rPr>
          <w:sz w:val="22"/>
          <w:szCs w:val="22"/>
          <w:lang w:val="es-ES" w:eastAsia="es-ES"/>
        </w:rPr>
        <w:t>Se instala una caja de válvulas por cada válvula a ser instalada, sea ésta de compuerta o de mariposa, válvula de aire-vacío y válvula automática reguladora de presión. Todas las cajas de válvulas deben ser colocadas de manera que no transmitan impactos o esfuerzos a la válvula, y deben ser centradas y colocadas a plomo sobre la tuerca de operación de las válvulas. El terreno de la zanja sobre el cual hayan de descansar las cajas de válvulas, debe estar perfectamente compactado para evitar asentamientos. Las cajas deben armarse en forma segura, y deben ser colocadas en forma tal, que la tapa quede a ras con la superficie del terreno natural o de la carpeta de rodamiento.</w:t>
      </w:r>
    </w:p>
    <w:p w14:paraId="53D6A55C" w14:textId="77777777" w:rsidR="001A4860" w:rsidRPr="001A4860" w:rsidRDefault="001A4860" w:rsidP="001A4860">
      <w:pPr>
        <w:rPr>
          <w:sz w:val="22"/>
          <w:szCs w:val="22"/>
          <w:lang w:val="es-ES" w:eastAsia="es-ES"/>
        </w:rPr>
      </w:pPr>
    </w:p>
    <w:p w14:paraId="6C92ADBC" w14:textId="77777777" w:rsidR="001A4860" w:rsidRPr="001A4860" w:rsidRDefault="001A4860" w:rsidP="001A4860">
      <w:pPr>
        <w:rPr>
          <w:sz w:val="22"/>
          <w:szCs w:val="22"/>
          <w:lang w:val="es-ES" w:eastAsia="es-ES"/>
        </w:rPr>
      </w:pPr>
      <w:r w:rsidRPr="001A4860">
        <w:rPr>
          <w:sz w:val="22"/>
          <w:szCs w:val="22"/>
          <w:lang w:val="es-ES" w:eastAsia="es-ES"/>
        </w:rPr>
        <w:t>Ubicación de las válvulas, en los siguientes lugares como mínimo:</w:t>
      </w:r>
    </w:p>
    <w:p w14:paraId="521FF40A" w14:textId="77777777" w:rsidR="001A4860" w:rsidRPr="001A4860" w:rsidRDefault="001A4860" w:rsidP="001A4860">
      <w:pPr>
        <w:rPr>
          <w:sz w:val="22"/>
          <w:szCs w:val="22"/>
          <w:lang w:val="es-ES" w:eastAsia="es-ES"/>
        </w:rPr>
      </w:pPr>
      <w:r w:rsidRPr="001A4860">
        <w:rPr>
          <w:sz w:val="22"/>
          <w:szCs w:val="22"/>
          <w:lang w:val="es-ES" w:eastAsia="es-ES"/>
        </w:rPr>
        <w:t>1.</w:t>
      </w:r>
      <w:r w:rsidRPr="001A4860">
        <w:rPr>
          <w:sz w:val="22"/>
          <w:szCs w:val="22"/>
          <w:lang w:val="es-ES" w:eastAsia="es-ES"/>
        </w:rPr>
        <w:tab/>
        <w:t>En las esquinas de los circuitos principales; su colocación debe permitir el aislamiento total de circuitos mayores para ejecutar reparaciones.</w:t>
      </w:r>
    </w:p>
    <w:p w14:paraId="2EE20F75" w14:textId="77777777" w:rsidR="001A4860" w:rsidRPr="001A4860" w:rsidRDefault="001A4860" w:rsidP="001A4860">
      <w:pPr>
        <w:rPr>
          <w:sz w:val="22"/>
          <w:szCs w:val="22"/>
          <w:lang w:val="es-ES" w:eastAsia="es-ES"/>
        </w:rPr>
      </w:pPr>
      <w:r w:rsidRPr="001A4860">
        <w:rPr>
          <w:sz w:val="22"/>
          <w:szCs w:val="22"/>
          <w:lang w:val="es-ES" w:eastAsia="es-ES"/>
        </w:rPr>
        <w:t>2.</w:t>
      </w:r>
      <w:r w:rsidRPr="001A4860">
        <w:rPr>
          <w:sz w:val="22"/>
          <w:szCs w:val="22"/>
          <w:lang w:val="es-ES" w:eastAsia="es-ES"/>
        </w:rPr>
        <w:tab/>
        <w:t>En el nodo que forman la línea de distribución principal y la red de tuberías de distribución.</w:t>
      </w:r>
    </w:p>
    <w:p w14:paraId="3177BD98" w14:textId="77777777" w:rsidR="001A4860" w:rsidRPr="001A4860" w:rsidRDefault="001A4860" w:rsidP="001A4860">
      <w:pPr>
        <w:rPr>
          <w:sz w:val="22"/>
          <w:szCs w:val="22"/>
          <w:lang w:val="es-ES" w:eastAsia="es-ES"/>
        </w:rPr>
      </w:pPr>
      <w:r w:rsidRPr="001A4860">
        <w:rPr>
          <w:sz w:val="22"/>
          <w:szCs w:val="22"/>
          <w:lang w:val="es-ES" w:eastAsia="es-ES"/>
        </w:rPr>
        <w:t>3.</w:t>
      </w:r>
      <w:r w:rsidRPr="001A4860">
        <w:rPr>
          <w:sz w:val="22"/>
          <w:szCs w:val="22"/>
          <w:lang w:val="es-ES" w:eastAsia="es-ES"/>
        </w:rPr>
        <w:tab/>
        <w:t>Cada una de las válvulas debe, ser protegida con su respectiva caja de válvula</w:t>
      </w:r>
    </w:p>
    <w:p w14:paraId="59B12BA3" w14:textId="77777777" w:rsidR="001A4860" w:rsidRPr="001A4860" w:rsidRDefault="001A4860" w:rsidP="001A4860">
      <w:pPr>
        <w:rPr>
          <w:sz w:val="22"/>
          <w:szCs w:val="22"/>
          <w:lang w:val="es-ES" w:eastAsia="es-ES"/>
        </w:rPr>
      </w:pPr>
    </w:p>
    <w:p w14:paraId="7CE3E7A0" w14:textId="77777777" w:rsidR="001A4860" w:rsidRPr="001A4860" w:rsidRDefault="001A4860" w:rsidP="001A4860">
      <w:pPr>
        <w:rPr>
          <w:sz w:val="22"/>
          <w:szCs w:val="22"/>
          <w:lang w:val="es-ES" w:eastAsia="es-ES"/>
        </w:rPr>
      </w:pPr>
      <w:r w:rsidRPr="001A4860">
        <w:rPr>
          <w:sz w:val="22"/>
          <w:szCs w:val="22"/>
          <w:lang w:val="es-ES" w:eastAsia="es-ES"/>
        </w:rPr>
        <w:t>Instalar válvula de pase al pie del tanque de almacenamiento, que permita el aislamiento total de entrada al mismo, para ejecutar reparaciones.</w:t>
      </w:r>
    </w:p>
    <w:p w14:paraId="4E39D60B" w14:textId="77777777" w:rsidR="001A4860" w:rsidRPr="001A4860" w:rsidRDefault="001A4860" w:rsidP="001A4860">
      <w:pPr>
        <w:rPr>
          <w:sz w:val="22"/>
          <w:szCs w:val="22"/>
          <w:lang w:val="es-ES" w:eastAsia="es-ES"/>
        </w:rPr>
      </w:pPr>
    </w:p>
    <w:p w14:paraId="1BD533A6" w14:textId="77777777" w:rsidR="001A4860" w:rsidRPr="001A4860" w:rsidRDefault="001A4860" w:rsidP="001A4860">
      <w:pPr>
        <w:rPr>
          <w:sz w:val="22"/>
          <w:szCs w:val="22"/>
          <w:lang w:val="es-ES" w:eastAsia="es-ES"/>
        </w:rPr>
      </w:pPr>
      <w:r w:rsidRPr="001A4860">
        <w:rPr>
          <w:sz w:val="22"/>
          <w:szCs w:val="22"/>
          <w:lang w:val="es-ES" w:eastAsia="es-ES"/>
        </w:rPr>
        <w:t>Suministrar e instalar válvulas y accesorios, acoples, adaptadores, transición de diámetros, cambios de dirección con todas sus protecciones, distribuidas a lo largo de la tubería de conducción y de la red de distribución, incluye materiales de construcción y agregados para bloques de reacción y anclajes. Las válvulas deben ser interconectadas con sus respectivos dispositivos de acople a la tubería de conducción y a la red de distribución según el diámetro que corresponda y con sus respectivas cajas protectoras para válvulas.</w:t>
      </w:r>
    </w:p>
    <w:p w14:paraId="5D2B1E00" w14:textId="77777777" w:rsidR="001A4860" w:rsidRPr="001A4860" w:rsidRDefault="001A4860" w:rsidP="001A4860">
      <w:pPr>
        <w:rPr>
          <w:sz w:val="22"/>
          <w:szCs w:val="22"/>
          <w:lang w:val="es-ES" w:eastAsia="es-ES"/>
        </w:rPr>
      </w:pPr>
    </w:p>
    <w:p w14:paraId="5A2AD6C4" w14:textId="77777777" w:rsidR="001A4860" w:rsidRPr="001A4860" w:rsidRDefault="001A4860" w:rsidP="001A4860">
      <w:pPr>
        <w:keepNext/>
        <w:ind w:left="720" w:hanging="720"/>
        <w:outlineLvl w:val="2"/>
        <w:rPr>
          <w:rFonts w:eastAsia="Arial Narrow"/>
          <w:b/>
          <w:bCs/>
          <w:iCs/>
          <w:sz w:val="22"/>
          <w:szCs w:val="22"/>
          <w:lang w:val="es-ES" w:bidi="en-US"/>
        </w:rPr>
      </w:pPr>
      <w:bookmarkStart w:id="625" w:name="_Toc234745652"/>
      <w:bookmarkStart w:id="626" w:name="_Toc475371328"/>
      <w:bookmarkStart w:id="627" w:name="_Toc481596326"/>
      <w:bookmarkStart w:id="628" w:name="_Toc492981650"/>
      <w:bookmarkStart w:id="629" w:name="_Toc23249356"/>
      <w:r w:rsidRPr="001A4860">
        <w:rPr>
          <w:rFonts w:eastAsia="Arial Narrow"/>
          <w:b/>
          <w:bCs/>
          <w:iCs/>
          <w:sz w:val="22"/>
          <w:szCs w:val="22"/>
          <w:lang w:val="es-ES" w:bidi="en-US"/>
        </w:rPr>
        <w:t>Anclajes y bloques de reacción</w:t>
      </w:r>
      <w:bookmarkEnd w:id="625"/>
      <w:bookmarkEnd w:id="626"/>
      <w:bookmarkEnd w:id="627"/>
      <w:bookmarkEnd w:id="628"/>
      <w:bookmarkEnd w:id="629"/>
    </w:p>
    <w:p w14:paraId="387E0534" w14:textId="77777777" w:rsidR="001A4860" w:rsidRPr="001A4860" w:rsidRDefault="001A4860" w:rsidP="001A4860">
      <w:pPr>
        <w:rPr>
          <w:sz w:val="22"/>
          <w:szCs w:val="22"/>
          <w:lang w:val="es-ES" w:eastAsia="es-ES"/>
        </w:rPr>
      </w:pPr>
    </w:p>
    <w:p w14:paraId="559A7A39" w14:textId="77777777" w:rsidR="001A4860" w:rsidRPr="001A4860" w:rsidRDefault="001A4860" w:rsidP="001A4860">
      <w:pPr>
        <w:rPr>
          <w:sz w:val="22"/>
          <w:szCs w:val="22"/>
          <w:lang w:val="es-ES" w:eastAsia="es-ES"/>
        </w:rPr>
      </w:pPr>
      <w:r w:rsidRPr="001A4860">
        <w:rPr>
          <w:sz w:val="22"/>
          <w:szCs w:val="22"/>
          <w:lang w:val="es-ES" w:eastAsia="es-ES"/>
        </w:rPr>
        <w:t>Accesorios en general como Tee’s, Reductores, Codos, Tapones, Válvulas, etc., son afianzados por medio de anclajes y bloques de reacción, con el objetivo de impedir su desplazamiento bajo la presión del agua.  Estos bloques son de concreto y deben extenderse hasta el suelo virgen de la pared de la zanja y opuesto a la dirección de empuje.  La forma de los bloques depende del tipo de accesorios que se trata de afianzar. En los planos de detalles se muestran la forma y dimensiones de los bloques para cada accesorio en particular. Estas dimensiones suponen un asiento sobre terreno firme. En terreno poco consistente estas dimensiones deben aumentarse. Es conveniente y necesario que el bloque no cubra las campanas o las uniones de los accesorios.</w:t>
      </w:r>
    </w:p>
    <w:p w14:paraId="224FD0D9" w14:textId="77777777" w:rsidR="001A4860" w:rsidRPr="001A4860" w:rsidRDefault="001A4860" w:rsidP="001A4860">
      <w:pPr>
        <w:rPr>
          <w:sz w:val="22"/>
          <w:szCs w:val="22"/>
          <w:lang w:val="es-ES" w:eastAsia="es-ES"/>
        </w:rPr>
      </w:pPr>
    </w:p>
    <w:p w14:paraId="6B0BDD23" w14:textId="77777777" w:rsidR="001A4860" w:rsidRPr="001A4860" w:rsidRDefault="001A4860" w:rsidP="001A4860">
      <w:pPr>
        <w:rPr>
          <w:sz w:val="22"/>
          <w:szCs w:val="22"/>
          <w:lang w:val="es-ES" w:eastAsia="es-ES"/>
        </w:rPr>
      </w:pPr>
      <w:r w:rsidRPr="001A4860">
        <w:rPr>
          <w:sz w:val="22"/>
          <w:szCs w:val="22"/>
          <w:lang w:val="es-ES" w:eastAsia="es-ES"/>
        </w:rPr>
        <w:t xml:space="preserve">Cuando una unión se deflacte para formar una curva vertical, se presenta un empuje hacia arriba o hacia abajo, según la deflexión sea en uno u otro sentido. Si el empuje es hacia arriba, el peso del relleno debe ser capaz de resistirlo; en caso contrario, es necesario usar como parte del relleno un material más pesado (balastro o concreto.). Si la deflexión se ha hecho en una curva horizontal, el empuje se presenta hacia </w:t>
      </w:r>
      <w:r w:rsidRPr="001A4860">
        <w:rPr>
          <w:sz w:val="22"/>
          <w:szCs w:val="22"/>
          <w:lang w:val="es-ES" w:eastAsia="es-ES"/>
        </w:rPr>
        <w:lastRenderedPageBreak/>
        <w:t>afuera, y generalmente puede ser resistido apisonando muy bien el material de relleno, entre el tubo y la pared de la zanja. Sin embargo, cuando la calidad del terreno es mala y las presiones altas, puede ser necesario construir bloques de anclajes. Estos han de construirse entre el tubo y la pared de la zanja, nunca en la unión.</w:t>
      </w:r>
    </w:p>
    <w:p w14:paraId="412F6C6B" w14:textId="77777777" w:rsidR="001A4860" w:rsidRPr="001A4860" w:rsidRDefault="001A4860" w:rsidP="001A4860">
      <w:pPr>
        <w:rPr>
          <w:sz w:val="22"/>
          <w:szCs w:val="22"/>
          <w:lang w:val="es-ES" w:eastAsia="es-ES"/>
        </w:rPr>
      </w:pPr>
    </w:p>
    <w:p w14:paraId="535F2381" w14:textId="77777777" w:rsidR="001A4860" w:rsidRPr="001A4860" w:rsidRDefault="001A4860" w:rsidP="001A4860">
      <w:pPr>
        <w:rPr>
          <w:sz w:val="22"/>
          <w:szCs w:val="22"/>
          <w:lang w:val="es-ES" w:eastAsia="es-ES"/>
        </w:rPr>
      </w:pPr>
      <w:r w:rsidRPr="001A4860">
        <w:rPr>
          <w:sz w:val="22"/>
          <w:szCs w:val="22"/>
          <w:lang w:val="es-ES" w:eastAsia="es-ES"/>
        </w:rPr>
        <w:t>En las pendientes fuertes hay tendencia del relleno al deslizamiento, y puede arrastrar consigo la tubería. En la mayoría de los casos, basta apisonar muy bien en capas de 10 cm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03E1F584" w14:textId="77777777" w:rsidR="001A4860" w:rsidRPr="001A4860" w:rsidRDefault="001A4860" w:rsidP="001A4860">
      <w:pPr>
        <w:rPr>
          <w:sz w:val="22"/>
          <w:szCs w:val="22"/>
          <w:lang w:val="es-ES" w:eastAsia="es-ES"/>
        </w:rPr>
      </w:pPr>
    </w:p>
    <w:p w14:paraId="0E9480C7" w14:textId="77777777" w:rsidR="001A4860" w:rsidRPr="001A4860" w:rsidRDefault="001A4860" w:rsidP="001A4860">
      <w:pPr>
        <w:rPr>
          <w:sz w:val="22"/>
          <w:szCs w:val="22"/>
          <w:lang w:val="es-ES" w:eastAsia="es-ES"/>
        </w:rPr>
      </w:pPr>
      <w:r w:rsidRPr="001A4860">
        <w:rPr>
          <w:sz w:val="22"/>
          <w:szCs w:val="22"/>
          <w:lang w:val="es-ES" w:eastAsia="es-ES"/>
        </w:rPr>
        <w:t>Confeccionar bloques de reacción en el sitio, según la pertinencia del caso a como se indica en planos y especificaciones.</w:t>
      </w:r>
    </w:p>
    <w:p w14:paraId="721D1221" w14:textId="77777777" w:rsidR="001A4860" w:rsidRPr="001A4860" w:rsidRDefault="001A4860" w:rsidP="001A4860">
      <w:pPr>
        <w:rPr>
          <w:sz w:val="22"/>
          <w:szCs w:val="22"/>
          <w:lang w:val="es-ES" w:eastAsia="es-ES"/>
        </w:rPr>
      </w:pPr>
    </w:p>
    <w:p w14:paraId="604D72E6" w14:textId="77777777" w:rsidR="001A4860" w:rsidRPr="001A4860" w:rsidRDefault="001A4860" w:rsidP="001A4860">
      <w:pPr>
        <w:keepNext/>
        <w:ind w:left="720" w:hanging="720"/>
        <w:outlineLvl w:val="2"/>
        <w:rPr>
          <w:rFonts w:eastAsia="Arial Narrow"/>
          <w:b/>
          <w:bCs/>
          <w:iCs/>
          <w:sz w:val="22"/>
          <w:szCs w:val="22"/>
          <w:lang w:val="es-ES" w:bidi="en-US"/>
        </w:rPr>
      </w:pPr>
      <w:bookmarkStart w:id="630" w:name="_Toc234745653"/>
      <w:bookmarkStart w:id="631" w:name="_Toc475371329"/>
      <w:bookmarkStart w:id="632" w:name="_Toc481596327"/>
      <w:bookmarkStart w:id="633" w:name="_Toc492981651"/>
      <w:bookmarkStart w:id="634" w:name="_Toc23249357"/>
      <w:r w:rsidRPr="001A4860">
        <w:rPr>
          <w:rFonts w:eastAsia="Arial Narrow"/>
          <w:b/>
          <w:bCs/>
          <w:iCs/>
          <w:sz w:val="22"/>
          <w:szCs w:val="22"/>
          <w:lang w:val="es-ES" w:bidi="en-US"/>
        </w:rPr>
        <w:t>Prueba hidrostatica y desinfeccion</w:t>
      </w:r>
      <w:bookmarkEnd w:id="630"/>
      <w:bookmarkEnd w:id="631"/>
      <w:bookmarkEnd w:id="632"/>
      <w:bookmarkEnd w:id="633"/>
      <w:bookmarkEnd w:id="634"/>
    </w:p>
    <w:p w14:paraId="163DC596" w14:textId="77777777" w:rsidR="001A4860" w:rsidRPr="001A4860" w:rsidRDefault="001A4860" w:rsidP="001A4860">
      <w:pPr>
        <w:rPr>
          <w:sz w:val="22"/>
          <w:szCs w:val="22"/>
          <w:lang w:val="es-ES" w:eastAsia="es-ES"/>
        </w:rPr>
      </w:pPr>
    </w:p>
    <w:p w14:paraId="5AD1D1C6" w14:textId="77777777" w:rsidR="001A4860" w:rsidRPr="001A4860" w:rsidRDefault="001A4860" w:rsidP="001A4860">
      <w:pPr>
        <w:rPr>
          <w:sz w:val="22"/>
          <w:szCs w:val="22"/>
          <w:lang w:val="es-ES" w:eastAsia="es-ES"/>
        </w:rPr>
      </w:pPr>
      <w:r w:rsidRPr="001A4860">
        <w:rPr>
          <w:sz w:val="22"/>
          <w:szCs w:val="22"/>
          <w:lang w:val="es-ES" w:eastAsia="es-ES"/>
        </w:rPr>
        <w:t xml:space="preserve">Después de instalar el tubo y antes de rellenar la zanja el Contratista somete a prueba secciones de tubería que no excedan 300 metros, salvo que el Supervisor permita probar secciones más largas. El Contratista instala los bloques de empuje temporales, tapones, y todo dispositivo necesario para el ensayo. Se requiere que todo aire sea expulsado del tubo antes de elevar la presion de prueba a lo aquí estipulado y con este fin se instalan llaves maestras donde el Supervisor lo considere necesario. </w:t>
      </w:r>
    </w:p>
    <w:p w14:paraId="3E69814E" w14:textId="77777777" w:rsidR="001A4860" w:rsidRPr="001A4860" w:rsidRDefault="001A4860" w:rsidP="001A4860">
      <w:pPr>
        <w:rPr>
          <w:sz w:val="22"/>
          <w:szCs w:val="22"/>
          <w:lang w:val="es-ES" w:eastAsia="es-ES"/>
        </w:rPr>
      </w:pPr>
    </w:p>
    <w:p w14:paraId="70926825" w14:textId="77777777" w:rsidR="001A4860" w:rsidRPr="001A4860" w:rsidRDefault="001A4860" w:rsidP="001A4860">
      <w:pPr>
        <w:rPr>
          <w:sz w:val="22"/>
          <w:szCs w:val="22"/>
          <w:lang w:val="es-ES" w:eastAsia="es-ES"/>
        </w:rPr>
      </w:pPr>
      <w:r w:rsidRPr="001A4860">
        <w:rPr>
          <w:spacing w:val="-2"/>
          <w:sz w:val="22"/>
          <w:szCs w:val="22"/>
          <w:lang w:val="es-ES" w:eastAsia="es-ES"/>
        </w:rPr>
        <w:t xml:space="preserve">La realización de esta prueba requiere que, todas las conexiones y accesorios del segmento de tubería a ensayar esten instalados </w:t>
      </w:r>
      <w:r w:rsidRPr="001A4860">
        <w:rPr>
          <w:sz w:val="22"/>
          <w:szCs w:val="22"/>
          <w:lang w:val="es-ES" w:eastAsia="es-ES"/>
        </w:rPr>
        <w:t>para control de calidad de las instalaciones.</w:t>
      </w:r>
    </w:p>
    <w:p w14:paraId="3BB25957" w14:textId="77777777" w:rsidR="001A4860" w:rsidRPr="001A4860" w:rsidRDefault="001A4860" w:rsidP="001A4860">
      <w:pPr>
        <w:rPr>
          <w:sz w:val="22"/>
          <w:szCs w:val="22"/>
          <w:lang w:val="es-ES" w:eastAsia="es-ES"/>
        </w:rPr>
      </w:pPr>
    </w:p>
    <w:p w14:paraId="441A28DC" w14:textId="77777777" w:rsidR="001A4860" w:rsidRPr="001A4860" w:rsidRDefault="001A4860" w:rsidP="001A4860">
      <w:pPr>
        <w:rPr>
          <w:sz w:val="22"/>
          <w:szCs w:val="22"/>
          <w:lang w:val="es-ES" w:eastAsia="es-ES"/>
        </w:rPr>
      </w:pPr>
      <w:r w:rsidRPr="001A4860">
        <w:rPr>
          <w:sz w:val="22"/>
          <w:szCs w:val="22"/>
          <w:lang w:val="es-ES" w:eastAsia="es-ES"/>
        </w:rPr>
        <w:t>El el objetivo de la prueba es verificar la resistencia de la tubería a la presión de trabajo a que está sometida y hermeticidad, procurando ejercer las presiones correspondientes y verificando que se cumpla con las normas de diseño. Las pruebas hidrostáticas se deben realizar al finalizar las labores de instalación de tuberías y antes de entrar en operación continua de servicio, apegado a lo establecido en estas especificaciones técnicas.</w:t>
      </w:r>
    </w:p>
    <w:p w14:paraId="3A9E59FD" w14:textId="77777777" w:rsidR="001A4860" w:rsidRPr="001A4860" w:rsidRDefault="001A4860" w:rsidP="001A4860">
      <w:pPr>
        <w:rPr>
          <w:sz w:val="22"/>
          <w:szCs w:val="22"/>
          <w:lang w:val="es-ES" w:eastAsia="es-ES"/>
        </w:rPr>
      </w:pPr>
    </w:p>
    <w:p w14:paraId="67EEFF1F" w14:textId="77777777" w:rsidR="001A4860" w:rsidRPr="001A4860" w:rsidRDefault="001A4860" w:rsidP="001A4860">
      <w:pPr>
        <w:rPr>
          <w:sz w:val="22"/>
          <w:szCs w:val="22"/>
          <w:lang w:val="es-ES" w:eastAsia="es-ES"/>
        </w:rPr>
      </w:pPr>
      <w:r w:rsidRPr="001A4860">
        <w:rPr>
          <w:sz w:val="22"/>
          <w:szCs w:val="22"/>
          <w:lang w:val="es-ES" w:eastAsia="es-ES"/>
        </w:rPr>
        <w:t xml:space="preserve">La tubería debe llenarse con agua durante un período no menor de 24 horas; y la presión de prueba se mantiene durante 2 horas. La presión de prueba es de 112.5 mca (160 PSI), para tubería PVC. Toda junta entre tubos y accesorios es revisada cuidadosamente durante la prueba a presión y donde se vea fuga o derrame, el Contratista repera las juntas hasta que todas estas queden impermeables. El material dañado es removido y reemplazado por el contratista. Es responsabilidad del Contratista proveer todo material, equipo y mano de obra necesarios para remover los tubos defectuosos e instalar los materiales de reemplazo. Los costos de esta operación son asumidos por El Contratista. </w:t>
      </w:r>
    </w:p>
    <w:p w14:paraId="56BE3BA6" w14:textId="77777777" w:rsidR="001A4860" w:rsidRPr="001A4860" w:rsidRDefault="001A4860" w:rsidP="001A4860">
      <w:pPr>
        <w:rPr>
          <w:sz w:val="22"/>
          <w:szCs w:val="22"/>
          <w:lang w:val="es-ES" w:eastAsia="es-ES"/>
        </w:rPr>
      </w:pPr>
    </w:p>
    <w:p w14:paraId="5B034504" w14:textId="77777777" w:rsidR="001A4860" w:rsidRPr="001A4860" w:rsidRDefault="001A4860" w:rsidP="001A4860">
      <w:pPr>
        <w:rPr>
          <w:sz w:val="22"/>
          <w:szCs w:val="22"/>
          <w:lang w:val="es-ES" w:eastAsia="es-ES"/>
        </w:rPr>
      </w:pPr>
      <w:r w:rsidRPr="001A4860">
        <w:rPr>
          <w:sz w:val="22"/>
          <w:szCs w:val="22"/>
          <w:lang w:val="es-ES" w:eastAsia="es-ES"/>
        </w:rPr>
        <w:t>La pérdida de agua de los tubos durante la prueba a la presión indicada no debe exceder de los valores siguientes, en galones por hora y por tramos de tubería:</w:t>
      </w:r>
    </w:p>
    <w:p w14:paraId="277B9201" w14:textId="77777777" w:rsidR="001A4860" w:rsidRPr="001A4860" w:rsidRDefault="001A4860" w:rsidP="001A4860">
      <w:pPr>
        <w:rPr>
          <w:sz w:val="22"/>
          <w:szCs w:val="22"/>
          <w:lang w:val="es-ES" w:eastAsia="es-ES"/>
        </w:rPr>
      </w:pPr>
    </w:p>
    <w:p w14:paraId="4A9D0B40" w14:textId="77777777" w:rsidR="001A4860" w:rsidRPr="001A4860" w:rsidRDefault="001A4860" w:rsidP="001A4860">
      <w:pPr>
        <w:jc w:val="center"/>
        <w:rPr>
          <w:b/>
          <w:sz w:val="22"/>
          <w:szCs w:val="22"/>
          <w:lang w:val="es-ES" w:eastAsia="es-ES"/>
        </w:rPr>
      </w:pPr>
      <w:r w:rsidRPr="001A4860">
        <w:rPr>
          <w:b/>
          <w:sz w:val="22"/>
          <w:szCs w:val="22"/>
          <w:lang w:val="es-ES" w:eastAsia="es-ES"/>
        </w:rPr>
        <w:t>Máximas Fugas Permisibles en Tubería PVC en Tramos de 300 m</w:t>
      </w:r>
    </w:p>
    <w:tbl>
      <w:tblPr>
        <w:tblW w:w="0" w:type="auto"/>
        <w:jc w:val="center"/>
        <w:tblLayout w:type="fixed"/>
        <w:tblCellMar>
          <w:left w:w="30" w:type="dxa"/>
          <w:right w:w="30" w:type="dxa"/>
        </w:tblCellMar>
        <w:tblLook w:val="0000" w:firstRow="0" w:lastRow="0" w:firstColumn="0" w:lastColumn="0" w:noHBand="0" w:noVBand="0"/>
      </w:tblPr>
      <w:tblGrid>
        <w:gridCol w:w="758"/>
        <w:gridCol w:w="696"/>
        <w:gridCol w:w="850"/>
        <w:gridCol w:w="707"/>
        <w:gridCol w:w="706"/>
        <w:gridCol w:w="847"/>
        <w:gridCol w:w="812"/>
        <w:gridCol w:w="706"/>
        <w:gridCol w:w="849"/>
        <w:gridCol w:w="804"/>
        <w:gridCol w:w="6"/>
      </w:tblGrid>
      <w:tr w:rsidR="001A4860" w:rsidRPr="001A4860" w14:paraId="56F05651" w14:textId="77777777" w:rsidTr="001A4860">
        <w:trPr>
          <w:cantSplit/>
          <w:trHeight w:val="342"/>
          <w:jc w:val="center"/>
        </w:trPr>
        <w:tc>
          <w:tcPr>
            <w:tcW w:w="1454" w:type="dxa"/>
            <w:gridSpan w:val="2"/>
            <w:vMerge w:val="restart"/>
            <w:tcBorders>
              <w:top w:val="single" w:sz="4" w:space="0" w:color="auto"/>
              <w:left w:val="single" w:sz="4" w:space="0" w:color="auto"/>
              <w:bottom w:val="single" w:sz="4" w:space="0" w:color="auto"/>
              <w:right w:val="single" w:sz="4" w:space="0" w:color="auto"/>
            </w:tcBorders>
            <w:shd w:val="clear" w:color="auto" w:fill="EDEDED"/>
            <w:vAlign w:val="center"/>
          </w:tcPr>
          <w:p w14:paraId="05C57CC1"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Diámetro</w:t>
            </w:r>
          </w:p>
        </w:tc>
        <w:tc>
          <w:tcPr>
            <w:tcW w:w="6284" w:type="dxa"/>
            <w:gridSpan w:val="9"/>
            <w:tcBorders>
              <w:top w:val="single" w:sz="4" w:space="0" w:color="auto"/>
              <w:left w:val="single" w:sz="4" w:space="0" w:color="auto"/>
              <w:bottom w:val="single" w:sz="4" w:space="0" w:color="auto"/>
              <w:right w:val="single" w:sz="4" w:space="0" w:color="auto"/>
            </w:tcBorders>
            <w:shd w:val="clear" w:color="auto" w:fill="EDEDED"/>
          </w:tcPr>
          <w:p w14:paraId="044FBE2D"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 xml:space="preserve">Presión promedio de prueba </w:t>
            </w:r>
          </w:p>
          <w:p w14:paraId="023F7175"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(psi)</w:t>
            </w:r>
          </w:p>
        </w:tc>
      </w:tr>
      <w:tr w:rsidR="001A4860" w:rsidRPr="001A4860" w14:paraId="47039CBB" w14:textId="77777777" w:rsidTr="001A4860">
        <w:trPr>
          <w:cantSplit/>
          <w:trHeight w:val="342"/>
          <w:jc w:val="center"/>
        </w:trPr>
        <w:tc>
          <w:tcPr>
            <w:tcW w:w="1454" w:type="dxa"/>
            <w:gridSpan w:val="2"/>
            <w:vMerge/>
            <w:tcBorders>
              <w:left w:val="single" w:sz="4" w:space="0" w:color="auto"/>
              <w:bottom w:val="single" w:sz="4" w:space="0" w:color="auto"/>
              <w:right w:val="single" w:sz="4" w:space="0" w:color="auto"/>
            </w:tcBorders>
            <w:shd w:val="clear" w:color="auto" w:fill="EDEDED"/>
          </w:tcPr>
          <w:p w14:paraId="5D2C3FD6" w14:textId="77777777" w:rsidR="001A4860" w:rsidRPr="001A4860" w:rsidRDefault="001A4860" w:rsidP="001A4860">
            <w:pPr>
              <w:tabs>
                <w:tab w:val="left" w:pos="0"/>
                <w:tab w:val="left" w:pos="567"/>
                <w:tab w:val="left" w:pos="1440"/>
              </w:tabs>
              <w:rPr>
                <w:b/>
                <w:snapToGrid w:val="0"/>
                <w:sz w:val="22"/>
                <w:szCs w:val="22"/>
              </w:rPr>
            </w:pPr>
          </w:p>
        </w:tc>
        <w:tc>
          <w:tcPr>
            <w:tcW w:w="3110" w:type="dxa"/>
            <w:gridSpan w:val="4"/>
            <w:tcBorders>
              <w:top w:val="single" w:sz="4" w:space="0" w:color="auto"/>
              <w:left w:val="single" w:sz="4" w:space="0" w:color="auto"/>
              <w:bottom w:val="single" w:sz="6" w:space="0" w:color="auto"/>
            </w:tcBorders>
            <w:shd w:val="clear" w:color="auto" w:fill="EDEDED"/>
          </w:tcPr>
          <w:p w14:paraId="0599E07E"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Pérdidas en gph</w:t>
            </w:r>
          </w:p>
        </w:tc>
        <w:tc>
          <w:tcPr>
            <w:tcW w:w="3173" w:type="dxa"/>
            <w:gridSpan w:val="5"/>
            <w:tcBorders>
              <w:top w:val="single" w:sz="4" w:space="0" w:color="auto"/>
              <w:left w:val="single" w:sz="4" w:space="0" w:color="auto"/>
              <w:bottom w:val="single" w:sz="4" w:space="0" w:color="auto"/>
              <w:right w:val="single" w:sz="4" w:space="0" w:color="auto"/>
            </w:tcBorders>
            <w:shd w:val="clear" w:color="auto" w:fill="EDEDED"/>
          </w:tcPr>
          <w:p w14:paraId="7B45FCE3"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Pérdidas en l/h</w:t>
            </w:r>
          </w:p>
        </w:tc>
      </w:tr>
      <w:tr w:rsidR="001A4860" w:rsidRPr="001A4860" w14:paraId="1EABCC9D" w14:textId="77777777" w:rsidTr="001A4860">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shd w:val="clear" w:color="auto" w:fill="EDEDED"/>
          </w:tcPr>
          <w:p w14:paraId="70A08CF8"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m</w:t>
            </w:r>
          </w:p>
        </w:tc>
        <w:tc>
          <w:tcPr>
            <w:tcW w:w="695" w:type="dxa"/>
            <w:tcBorders>
              <w:top w:val="single" w:sz="4" w:space="0" w:color="auto"/>
              <w:left w:val="single" w:sz="4" w:space="0" w:color="auto"/>
              <w:bottom w:val="single" w:sz="4" w:space="0" w:color="auto"/>
              <w:right w:val="single" w:sz="4" w:space="0" w:color="auto"/>
            </w:tcBorders>
            <w:shd w:val="clear" w:color="auto" w:fill="EDEDED"/>
          </w:tcPr>
          <w:p w14:paraId="5A4CFA88" w14:textId="77777777" w:rsidR="001A4860" w:rsidRPr="001A4860" w:rsidRDefault="001A4860" w:rsidP="001A4860">
            <w:pPr>
              <w:tabs>
                <w:tab w:val="left" w:pos="0"/>
                <w:tab w:val="left" w:pos="567"/>
                <w:tab w:val="left" w:pos="1440"/>
              </w:tabs>
              <w:jc w:val="center"/>
              <w:rPr>
                <w:b/>
                <w:snapToGrid w:val="0"/>
                <w:sz w:val="22"/>
                <w:szCs w:val="22"/>
              </w:rPr>
            </w:pPr>
            <w:r w:rsidRPr="001A4860">
              <w:rPr>
                <w:b/>
                <w:snapToGrid w:val="0"/>
                <w:sz w:val="22"/>
                <w:szCs w:val="22"/>
              </w:rPr>
              <w:t>Pulg</w:t>
            </w:r>
          </w:p>
        </w:tc>
        <w:tc>
          <w:tcPr>
            <w:tcW w:w="850" w:type="dxa"/>
            <w:tcBorders>
              <w:top w:val="single" w:sz="6" w:space="0" w:color="auto"/>
              <w:left w:val="single" w:sz="4" w:space="0" w:color="auto"/>
              <w:bottom w:val="single" w:sz="6" w:space="0" w:color="auto"/>
              <w:right w:val="single" w:sz="6" w:space="0" w:color="auto"/>
            </w:tcBorders>
            <w:shd w:val="clear" w:color="auto" w:fill="EDEDED"/>
          </w:tcPr>
          <w:p w14:paraId="563417BC"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150</w:t>
            </w:r>
          </w:p>
        </w:tc>
        <w:tc>
          <w:tcPr>
            <w:tcW w:w="707" w:type="dxa"/>
            <w:tcBorders>
              <w:top w:val="single" w:sz="6" w:space="0" w:color="auto"/>
              <w:left w:val="single" w:sz="6" w:space="0" w:color="auto"/>
              <w:bottom w:val="single" w:sz="6" w:space="0" w:color="auto"/>
              <w:right w:val="single" w:sz="6" w:space="0" w:color="auto"/>
            </w:tcBorders>
            <w:shd w:val="clear" w:color="auto" w:fill="EDEDED"/>
          </w:tcPr>
          <w:p w14:paraId="277F6974"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190</w:t>
            </w:r>
          </w:p>
        </w:tc>
        <w:tc>
          <w:tcPr>
            <w:tcW w:w="706" w:type="dxa"/>
            <w:tcBorders>
              <w:top w:val="single" w:sz="6" w:space="0" w:color="auto"/>
              <w:left w:val="single" w:sz="6" w:space="0" w:color="auto"/>
              <w:bottom w:val="single" w:sz="6" w:space="0" w:color="auto"/>
              <w:right w:val="single" w:sz="6" w:space="0" w:color="auto"/>
            </w:tcBorders>
            <w:shd w:val="clear" w:color="auto" w:fill="EDEDED"/>
          </w:tcPr>
          <w:p w14:paraId="5DFD5F08"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230</w:t>
            </w:r>
          </w:p>
        </w:tc>
        <w:tc>
          <w:tcPr>
            <w:tcW w:w="845" w:type="dxa"/>
            <w:tcBorders>
              <w:top w:val="single" w:sz="6" w:space="0" w:color="auto"/>
              <w:left w:val="single" w:sz="6" w:space="0" w:color="auto"/>
              <w:bottom w:val="single" w:sz="6" w:space="0" w:color="auto"/>
            </w:tcBorders>
            <w:shd w:val="clear" w:color="auto" w:fill="EDEDED"/>
          </w:tcPr>
          <w:p w14:paraId="5C339237"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270</w:t>
            </w:r>
          </w:p>
        </w:tc>
        <w:tc>
          <w:tcPr>
            <w:tcW w:w="812" w:type="dxa"/>
            <w:tcBorders>
              <w:top w:val="single" w:sz="4" w:space="0" w:color="auto"/>
              <w:left w:val="single" w:sz="4" w:space="0" w:color="auto"/>
              <w:bottom w:val="single" w:sz="4" w:space="0" w:color="auto"/>
              <w:right w:val="single" w:sz="4" w:space="0" w:color="auto"/>
            </w:tcBorders>
            <w:shd w:val="clear" w:color="auto" w:fill="EDEDED"/>
          </w:tcPr>
          <w:p w14:paraId="417D3FCB"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150</w:t>
            </w:r>
          </w:p>
        </w:tc>
        <w:tc>
          <w:tcPr>
            <w:tcW w:w="706" w:type="dxa"/>
            <w:tcBorders>
              <w:top w:val="single" w:sz="4" w:space="0" w:color="auto"/>
              <w:left w:val="single" w:sz="4" w:space="0" w:color="auto"/>
              <w:bottom w:val="single" w:sz="4" w:space="0" w:color="auto"/>
              <w:right w:val="single" w:sz="4" w:space="0" w:color="auto"/>
            </w:tcBorders>
            <w:shd w:val="clear" w:color="auto" w:fill="EDEDED"/>
          </w:tcPr>
          <w:p w14:paraId="7D05133A"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190</w:t>
            </w:r>
          </w:p>
        </w:tc>
        <w:tc>
          <w:tcPr>
            <w:tcW w:w="849" w:type="dxa"/>
            <w:tcBorders>
              <w:top w:val="single" w:sz="4" w:space="0" w:color="auto"/>
              <w:left w:val="single" w:sz="4" w:space="0" w:color="auto"/>
              <w:bottom w:val="single" w:sz="4" w:space="0" w:color="auto"/>
              <w:right w:val="single" w:sz="4" w:space="0" w:color="auto"/>
            </w:tcBorders>
            <w:shd w:val="clear" w:color="auto" w:fill="EDEDED"/>
          </w:tcPr>
          <w:p w14:paraId="46BF9906"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230</w:t>
            </w:r>
          </w:p>
        </w:tc>
        <w:tc>
          <w:tcPr>
            <w:tcW w:w="804" w:type="dxa"/>
            <w:tcBorders>
              <w:top w:val="single" w:sz="4" w:space="0" w:color="auto"/>
              <w:left w:val="single" w:sz="4" w:space="0" w:color="auto"/>
              <w:bottom w:val="single" w:sz="4" w:space="0" w:color="auto"/>
              <w:right w:val="single" w:sz="4" w:space="0" w:color="auto"/>
            </w:tcBorders>
            <w:shd w:val="clear" w:color="auto" w:fill="EDEDED"/>
          </w:tcPr>
          <w:p w14:paraId="3F5E45E2" w14:textId="77777777" w:rsidR="001A4860" w:rsidRPr="001A4860" w:rsidRDefault="001A4860" w:rsidP="001A4860">
            <w:pPr>
              <w:tabs>
                <w:tab w:val="left" w:pos="0"/>
                <w:tab w:val="left" w:pos="567"/>
                <w:tab w:val="left" w:pos="1440"/>
              </w:tabs>
              <w:jc w:val="center"/>
              <w:rPr>
                <w:b/>
                <w:sz w:val="22"/>
                <w:szCs w:val="22"/>
              </w:rPr>
            </w:pPr>
            <w:r w:rsidRPr="001A4860">
              <w:rPr>
                <w:b/>
                <w:sz w:val="22"/>
                <w:szCs w:val="22"/>
              </w:rPr>
              <w:t>270</w:t>
            </w:r>
          </w:p>
        </w:tc>
      </w:tr>
      <w:tr w:rsidR="001A4860" w:rsidRPr="001A4860" w14:paraId="40B42EA7" w14:textId="77777777" w:rsidTr="001A4860">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3FD570E3"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50</w:t>
            </w:r>
          </w:p>
        </w:tc>
        <w:tc>
          <w:tcPr>
            <w:tcW w:w="695" w:type="dxa"/>
            <w:tcBorders>
              <w:top w:val="single" w:sz="4" w:space="0" w:color="auto"/>
              <w:left w:val="single" w:sz="4" w:space="0" w:color="auto"/>
              <w:bottom w:val="single" w:sz="4" w:space="0" w:color="auto"/>
              <w:right w:val="single" w:sz="4" w:space="0" w:color="auto"/>
            </w:tcBorders>
          </w:tcPr>
          <w:p w14:paraId="7A5883BC"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2</w:t>
            </w:r>
          </w:p>
        </w:tc>
        <w:tc>
          <w:tcPr>
            <w:tcW w:w="850" w:type="dxa"/>
            <w:tcBorders>
              <w:top w:val="single" w:sz="6" w:space="0" w:color="auto"/>
              <w:left w:val="single" w:sz="4" w:space="0" w:color="auto"/>
              <w:bottom w:val="single" w:sz="6" w:space="0" w:color="auto"/>
              <w:right w:val="single" w:sz="6" w:space="0" w:color="auto"/>
            </w:tcBorders>
          </w:tcPr>
          <w:p w14:paraId="30C2CA3E"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0.17</w:t>
            </w:r>
          </w:p>
        </w:tc>
        <w:tc>
          <w:tcPr>
            <w:tcW w:w="707" w:type="dxa"/>
            <w:tcBorders>
              <w:top w:val="single" w:sz="6" w:space="0" w:color="auto"/>
              <w:left w:val="single" w:sz="6" w:space="0" w:color="auto"/>
              <w:bottom w:val="single" w:sz="6" w:space="0" w:color="auto"/>
              <w:right w:val="single" w:sz="6" w:space="0" w:color="auto"/>
            </w:tcBorders>
          </w:tcPr>
          <w:p w14:paraId="3BD58B9C"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0.19</w:t>
            </w:r>
          </w:p>
        </w:tc>
        <w:tc>
          <w:tcPr>
            <w:tcW w:w="706" w:type="dxa"/>
            <w:tcBorders>
              <w:top w:val="single" w:sz="6" w:space="0" w:color="auto"/>
              <w:left w:val="single" w:sz="6" w:space="0" w:color="auto"/>
              <w:bottom w:val="single" w:sz="6" w:space="0" w:color="auto"/>
              <w:right w:val="single" w:sz="6" w:space="0" w:color="auto"/>
            </w:tcBorders>
          </w:tcPr>
          <w:p w14:paraId="0A59A668"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0.20</w:t>
            </w:r>
          </w:p>
        </w:tc>
        <w:tc>
          <w:tcPr>
            <w:tcW w:w="845" w:type="dxa"/>
            <w:tcBorders>
              <w:top w:val="single" w:sz="6" w:space="0" w:color="auto"/>
              <w:left w:val="single" w:sz="6" w:space="0" w:color="auto"/>
              <w:bottom w:val="single" w:sz="6" w:space="0" w:color="auto"/>
            </w:tcBorders>
          </w:tcPr>
          <w:p w14:paraId="2C51A93E"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0.21</w:t>
            </w:r>
          </w:p>
        </w:tc>
        <w:tc>
          <w:tcPr>
            <w:tcW w:w="812" w:type="dxa"/>
            <w:tcBorders>
              <w:top w:val="single" w:sz="4" w:space="0" w:color="auto"/>
              <w:left w:val="single" w:sz="4" w:space="0" w:color="auto"/>
              <w:bottom w:val="single" w:sz="4" w:space="0" w:color="auto"/>
              <w:right w:val="single" w:sz="4" w:space="0" w:color="auto"/>
            </w:tcBorders>
          </w:tcPr>
          <w:p w14:paraId="53D6719C"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0.63</w:t>
            </w:r>
          </w:p>
        </w:tc>
        <w:tc>
          <w:tcPr>
            <w:tcW w:w="706" w:type="dxa"/>
            <w:tcBorders>
              <w:top w:val="single" w:sz="4" w:space="0" w:color="auto"/>
              <w:left w:val="single" w:sz="4" w:space="0" w:color="auto"/>
              <w:bottom w:val="single" w:sz="4" w:space="0" w:color="auto"/>
              <w:right w:val="single" w:sz="4" w:space="0" w:color="auto"/>
            </w:tcBorders>
          </w:tcPr>
          <w:p w14:paraId="64D14F74"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0.71</w:t>
            </w:r>
          </w:p>
        </w:tc>
        <w:tc>
          <w:tcPr>
            <w:tcW w:w="849" w:type="dxa"/>
            <w:tcBorders>
              <w:top w:val="single" w:sz="4" w:space="0" w:color="auto"/>
              <w:left w:val="single" w:sz="4" w:space="0" w:color="auto"/>
              <w:bottom w:val="single" w:sz="4" w:space="0" w:color="auto"/>
              <w:right w:val="single" w:sz="4" w:space="0" w:color="auto"/>
            </w:tcBorders>
          </w:tcPr>
          <w:p w14:paraId="4CE1F08D"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0.77</w:t>
            </w:r>
          </w:p>
        </w:tc>
        <w:tc>
          <w:tcPr>
            <w:tcW w:w="804" w:type="dxa"/>
            <w:tcBorders>
              <w:top w:val="single" w:sz="4" w:space="0" w:color="auto"/>
              <w:left w:val="single" w:sz="4" w:space="0" w:color="auto"/>
              <w:bottom w:val="single" w:sz="4" w:space="0" w:color="auto"/>
              <w:right w:val="single" w:sz="4" w:space="0" w:color="auto"/>
            </w:tcBorders>
          </w:tcPr>
          <w:p w14:paraId="12D64225"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0.81</w:t>
            </w:r>
          </w:p>
        </w:tc>
      </w:tr>
      <w:tr w:rsidR="001A4860" w:rsidRPr="001A4860" w14:paraId="790509D9" w14:textId="77777777" w:rsidTr="001A4860">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5B6E92C2"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lastRenderedPageBreak/>
              <w:t>75</w:t>
            </w:r>
          </w:p>
        </w:tc>
        <w:tc>
          <w:tcPr>
            <w:tcW w:w="695" w:type="dxa"/>
            <w:tcBorders>
              <w:top w:val="single" w:sz="4" w:space="0" w:color="auto"/>
              <w:left w:val="single" w:sz="4" w:space="0" w:color="auto"/>
              <w:bottom w:val="single" w:sz="4" w:space="0" w:color="auto"/>
              <w:right w:val="single" w:sz="4" w:space="0" w:color="auto"/>
            </w:tcBorders>
          </w:tcPr>
          <w:p w14:paraId="3C01115E"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3</w:t>
            </w:r>
          </w:p>
        </w:tc>
        <w:tc>
          <w:tcPr>
            <w:tcW w:w="850" w:type="dxa"/>
            <w:tcBorders>
              <w:top w:val="single" w:sz="6" w:space="0" w:color="auto"/>
              <w:left w:val="single" w:sz="4" w:space="0" w:color="auto"/>
              <w:bottom w:val="single" w:sz="6" w:space="0" w:color="auto"/>
              <w:right w:val="single" w:sz="6" w:space="0" w:color="auto"/>
            </w:tcBorders>
          </w:tcPr>
          <w:p w14:paraId="1004046A"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0.25</w:t>
            </w:r>
          </w:p>
        </w:tc>
        <w:tc>
          <w:tcPr>
            <w:tcW w:w="707" w:type="dxa"/>
            <w:tcBorders>
              <w:top w:val="single" w:sz="6" w:space="0" w:color="auto"/>
              <w:left w:val="single" w:sz="6" w:space="0" w:color="auto"/>
              <w:bottom w:val="single" w:sz="6" w:space="0" w:color="auto"/>
              <w:right w:val="single" w:sz="6" w:space="0" w:color="auto"/>
            </w:tcBorders>
          </w:tcPr>
          <w:p w14:paraId="052A1201"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0.28</w:t>
            </w:r>
          </w:p>
        </w:tc>
        <w:tc>
          <w:tcPr>
            <w:tcW w:w="706" w:type="dxa"/>
            <w:tcBorders>
              <w:top w:val="single" w:sz="6" w:space="0" w:color="auto"/>
              <w:left w:val="single" w:sz="6" w:space="0" w:color="auto"/>
              <w:bottom w:val="single" w:sz="6" w:space="0" w:color="auto"/>
              <w:right w:val="single" w:sz="6" w:space="0" w:color="auto"/>
            </w:tcBorders>
          </w:tcPr>
          <w:p w14:paraId="3A016C62"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0.31</w:t>
            </w:r>
          </w:p>
        </w:tc>
        <w:tc>
          <w:tcPr>
            <w:tcW w:w="845" w:type="dxa"/>
            <w:tcBorders>
              <w:top w:val="single" w:sz="6" w:space="0" w:color="auto"/>
              <w:left w:val="single" w:sz="6" w:space="0" w:color="auto"/>
              <w:bottom w:val="single" w:sz="6" w:space="0" w:color="auto"/>
            </w:tcBorders>
          </w:tcPr>
          <w:p w14:paraId="63A7B208"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0.33</w:t>
            </w:r>
          </w:p>
        </w:tc>
        <w:tc>
          <w:tcPr>
            <w:tcW w:w="812" w:type="dxa"/>
            <w:tcBorders>
              <w:top w:val="single" w:sz="4" w:space="0" w:color="auto"/>
              <w:left w:val="single" w:sz="4" w:space="0" w:color="auto"/>
              <w:bottom w:val="single" w:sz="4" w:space="0" w:color="auto"/>
              <w:right w:val="single" w:sz="4" w:space="0" w:color="auto"/>
            </w:tcBorders>
          </w:tcPr>
          <w:p w14:paraId="3365D338"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0.95</w:t>
            </w:r>
          </w:p>
        </w:tc>
        <w:tc>
          <w:tcPr>
            <w:tcW w:w="706" w:type="dxa"/>
            <w:tcBorders>
              <w:top w:val="single" w:sz="4" w:space="0" w:color="auto"/>
              <w:left w:val="single" w:sz="4" w:space="0" w:color="auto"/>
              <w:bottom w:val="single" w:sz="4" w:space="0" w:color="auto"/>
              <w:right w:val="single" w:sz="4" w:space="0" w:color="auto"/>
            </w:tcBorders>
          </w:tcPr>
          <w:p w14:paraId="6464DDEA"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1.07</w:t>
            </w:r>
          </w:p>
        </w:tc>
        <w:tc>
          <w:tcPr>
            <w:tcW w:w="849" w:type="dxa"/>
            <w:tcBorders>
              <w:top w:val="single" w:sz="4" w:space="0" w:color="auto"/>
              <w:left w:val="single" w:sz="4" w:space="0" w:color="auto"/>
              <w:bottom w:val="single" w:sz="4" w:space="0" w:color="auto"/>
              <w:right w:val="single" w:sz="4" w:space="0" w:color="auto"/>
            </w:tcBorders>
          </w:tcPr>
          <w:p w14:paraId="0CA23A4B"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1.17</w:t>
            </w:r>
          </w:p>
        </w:tc>
        <w:tc>
          <w:tcPr>
            <w:tcW w:w="804" w:type="dxa"/>
            <w:tcBorders>
              <w:top w:val="single" w:sz="4" w:space="0" w:color="auto"/>
              <w:left w:val="single" w:sz="4" w:space="0" w:color="auto"/>
              <w:bottom w:val="single" w:sz="4" w:space="0" w:color="auto"/>
              <w:right w:val="single" w:sz="4" w:space="0" w:color="auto"/>
            </w:tcBorders>
          </w:tcPr>
          <w:p w14:paraId="46A31262"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1.24</w:t>
            </w:r>
          </w:p>
        </w:tc>
      </w:tr>
      <w:tr w:rsidR="001A4860" w:rsidRPr="001A4860" w14:paraId="6FF1E605" w14:textId="77777777" w:rsidTr="001A4860">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5157B847"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100</w:t>
            </w:r>
          </w:p>
        </w:tc>
        <w:tc>
          <w:tcPr>
            <w:tcW w:w="695" w:type="dxa"/>
            <w:tcBorders>
              <w:top w:val="single" w:sz="4" w:space="0" w:color="auto"/>
              <w:left w:val="single" w:sz="4" w:space="0" w:color="auto"/>
              <w:bottom w:val="single" w:sz="4" w:space="0" w:color="auto"/>
              <w:right w:val="single" w:sz="4" w:space="0" w:color="auto"/>
            </w:tcBorders>
          </w:tcPr>
          <w:p w14:paraId="2D454BBE"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4</w:t>
            </w:r>
          </w:p>
        </w:tc>
        <w:tc>
          <w:tcPr>
            <w:tcW w:w="850" w:type="dxa"/>
            <w:tcBorders>
              <w:top w:val="single" w:sz="6" w:space="0" w:color="auto"/>
              <w:left w:val="single" w:sz="4" w:space="0" w:color="auto"/>
              <w:bottom w:val="single" w:sz="6" w:space="0" w:color="auto"/>
              <w:right w:val="single" w:sz="6" w:space="0" w:color="auto"/>
            </w:tcBorders>
          </w:tcPr>
          <w:p w14:paraId="56778A98"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0.33</w:t>
            </w:r>
          </w:p>
        </w:tc>
        <w:tc>
          <w:tcPr>
            <w:tcW w:w="707" w:type="dxa"/>
            <w:tcBorders>
              <w:top w:val="single" w:sz="6" w:space="0" w:color="auto"/>
              <w:left w:val="single" w:sz="6" w:space="0" w:color="auto"/>
              <w:bottom w:val="single" w:sz="6" w:space="0" w:color="auto"/>
              <w:right w:val="single" w:sz="6" w:space="0" w:color="auto"/>
            </w:tcBorders>
          </w:tcPr>
          <w:p w14:paraId="430CC980"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0.37</w:t>
            </w:r>
          </w:p>
        </w:tc>
        <w:tc>
          <w:tcPr>
            <w:tcW w:w="706" w:type="dxa"/>
            <w:tcBorders>
              <w:top w:val="single" w:sz="6" w:space="0" w:color="auto"/>
              <w:left w:val="single" w:sz="6" w:space="0" w:color="auto"/>
              <w:bottom w:val="single" w:sz="6" w:space="0" w:color="auto"/>
              <w:right w:val="single" w:sz="6" w:space="0" w:color="auto"/>
            </w:tcBorders>
          </w:tcPr>
          <w:p w14:paraId="5C9B1CFF"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0.41</w:t>
            </w:r>
          </w:p>
        </w:tc>
        <w:tc>
          <w:tcPr>
            <w:tcW w:w="845" w:type="dxa"/>
            <w:tcBorders>
              <w:top w:val="single" w:sz="6" w:space="0" w:color="auto"/>
              <w:left w:val="single" w:sz="6" w:space="0" w:color="auto"/>
              <w:bottom w:val="single" w:sz="6" w:space="0" w:color="auto"/>
            </w:tcBorders>
          </w:tcPr>
          <w:p w14:paraId="45B45940"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0.44</w:t>
            </w:r>
          </w:p>
        </w:tc>
        <w:tc>
          <w:tcPr>
            <w:tcW w:w="812" w:type="dxa"/>
            <w:tcBorders>
              <w:top w:val="single" w:sz="4" w:space="0" w:color="auto"/>
              <w:left w:val="single" w:sz="4" w:space="0" w:color="auto"/>
              <w:bottom w:val="single" w:sz="4" w:space="0" w:color="auto"/>
              <w:right w:val="single" w:sz="4" w:space="0" w:color="auto"/>
            </w:tcBorders>
          </w:tcPr>
          <w:p w14:paraId="32D0B455"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1.25</w:t>
            </w:r>
          </w:p>
        </w:tc>
        <w:tc>
          <w:tcPr>
            <w:tcW w:w="706" w:type="dxa"/>
            <w:tcBorders>
              <w:top w:val="single" w:sz="4" w:space="0" w:color="auto"/>
              <w:left w:val="single" w:sz="4" w:space="0" w:color="auto"/>
              <w:bottom w:val="single" w:sz="4" w:space="0" w:color="auto"/>
              <w:right w:val="single" w:sz="4" w:space="0" w:color="auto"/>
            </w:tcBorders>
          </w:tcPr>
          <w:p w14:paraId="0BA2F0AE"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1.41</w:t>
            </w:r>
          </w:p>
        </w:tc>
        <w:tc>
          <w:tcPr>
            <w:tcW w:w="849" w:type="dxa"/>
            <w:tcBorders>
              <w:top w:val="single" w:sz="4" w:space="0" w:color="auto"/>
              <w:left w:val="single" w:sz="4" w:space="0" w:color="auto"/>
              <w:bottom w:val="single" w:sz="4" w:space="0" w:color="auto"/>
              <w:right w:val="single" w:sz="4" w:space="0" w:color="auto"/>
            </w:tcBorders>
          </w:tcPr>
          <w:p w14:paraId="04F807D9"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1.56</w:t>
            </w:r>
          </w:p>
        </w:tc>
        <w:tc>
          <w:tcPr>
            <w:tcW w:w="804" w:type="dxa"/>
            <w:tcBorders>
              <w:top w:val="single" w:sz="4" w:space="0" w:color="auto"/>
              <w:left w:val="single" w:sz="4" w:space="0" w:color="auto"/>
              <w:bottom w:val="single" w:sz="4" w:space="0" w:color="auto"/>
              <w:right w:val="single" w:sz="4" w:space="0" w:color="auto"/>
            </w:tcBorders>
          </w:tcPr>
          <w:p w14:paraId="3A51D1FF"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1.67</w:t>
            </w:r>
          </w:p>
        </w:tc>
      </w:tr>
      <w:tr w:rsidR="001A4860" w:rsidRPr="001A4860" w14:paraId="7DD6DB85" w14:textId="77777777" w:rsidTr="001A4860">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2E124B79"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150</w:t>
            </w:r>
          </w:p>
        </w:tc>
        <w:tc>
          <w:tcPr>
            <w:tcW w:w="695" w:type="dxa"/>
            <w:tcBorders>
              <w:top w:val="single" w:sz="4" w:space="0" w:color="auto"/>
              <w:left w:val="single" w:sz="4" w:space="0" w:color="auto"/>
              <w:bottom w:val="single" w:sz="4" w:space="0" w:color="auto"/>
              <w:right w:val="single" w:sz="4" w:space="0" w:color="auto"/>
            </w:tcBorders>
          </w:tcPr>
          <w:p w14:paraId="0EE62BF7"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6</w:t>
            </w:r>
          </w:p>
        </w:tc>
        <w:tc>
          <w:tcPr>
            <w:tcW w:w="850" w:type="dxa"/>
            <w:tcBorders>
              <w:top w:val="single" w:sz="6" w:space="0" w:color="auto"/>
              <w:left w:val="single" w:sz="4" w:space="0" w:color="auto"/>
              <w:bottom w:val="single" w:sz="6" w:space="0" w:color="auto"/>
              <w:right w:val="single" w:sz="6" w:space="0" w:color="auto"/>
            </w:tcBorders>
          </w:tcPr>
          <w:p w14:paraId="2F314F64"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0.50</w:t>
            </w:r>
          </w:p>
        </w:tc>
        <w:tc>
          <w:tcPr>
            <w:tcW w:w="707" w:type="dxa"/>
            <w:tcBorders>
              <w:top w:val="single" w:sz="6" w:space="0" w:color="auto"/>
              <w:left w:val="single" w:sz="6" w:space="0" w:color="auto"/>
              <w:bottom w:val="single" w:sz="6" w:space="0" w:color="auto"/>
              <w:right w:val="single" w:sz="6" w:space="0" w:color="auto"/>
            </w:tcBorders>
          </w:tcPr>
          <w:p w14:paraId="11BF6CB3"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0.56</w:t>
            </w:r>
          </w:p>
        </w:tc>
        <w:tc>
          <w:tcPr>
            <w:tcW w:w="706" w:type="dxa"/>
            <w:tcBorders>
              <w:top w:val="single" w:sz="6" w:space="0" w:color="auto"/>
              <w:left w:val="single" w:sz="6" w:space="0" w:color="auto"/>
              <w:bottom w:val="single" w:sz="6" w:space="0" w:color="auto"/>
              <w:right w:val="single" w:sz="6" w:space="0" w:color="auto"/>
            </w:tcBorders>
          </w:tcPr>
          <w:p w14:paraId="77B9B96F"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0.61</w:t>
            </w:r>
          </w:p>
        </w:tc>
        <w:tc>
          <w:tcPr>
            <w:tcW w:w="845" w:type="dxa"/>
            <w:tcBorders>
              <w:top w:val="single" w:sz="6" w:space="0" w:color="auto"/>
              <w:left w:val="single" w:sz="6" w:space="0" w:color="auto"/>
              <w:bottom w:val="single" w:sz="6" w:space="0" w:color="auto"/>
            </w:tcBorders>
          </w:tcPr>
          <w:p w14:paraId="2B0BD02F"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0.66</w:t>
            </w:r>
          </w:p>
        </w:tc>
        <w:tc>
          <w:tcPr>
            <w:tcW w:w="812" w:type="dxa"/>
            <w:tcBorders>
              <w:top w:val="single" w:sz="4" w:space="0" w:color="auto"/>
              <w:left w:val="single" w:sz="4" w:space="0" w:color="auto"/>
              <w:bottom w:val="single" w:sz="4" w:space="0" w:color="auto"/>
              <w:right w:val="single" w:sz="4" w:space="0" w:color="auto"/>
            </w:tcBorders>
          </w:tcPr>
          <w:p w14:paraId="7F3E7476"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1.89</w:t>
            </w:r>
          </w:p>
        </w:tc>
        <w:tc>
          <w:tcPr>
            <w:tcW w:w="706" w:type="dxa"/>
            <w:tcBorders>
              <w:top w:val="single" w:sz="4" w:space="0" w:color="auto"/>
              <w:left w:val="single" w:sz="4" w:space="0" w:color="auto"/>
              <w:bottom w:val="single" w:sz="4" w:space="0" w:color="auto"/>
              <w:right w:val="single" w:sz="4" w:space="0" w:color="auto"/>
            </w:tcBorders>
          </w:tcPr>
          <w:p w14:paraId="1A06C775"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2.13</w:t>
            </w:r>
          </w:p>
        </w:tc>
        <w:tc>
          <w:tcPr>
            <w:tcW w:w="849" w:type="dxa"/>
            <w:tcBorders>
              <w:top w:val="single" w:sz="4" w:space="0" w:color="auto"/>
              <w:left w:val="single" w:sz="4" w:space="0" w:color="auto"/>
              <w:bottom w:val="single" w:sz="4" w:space="0" w:color="auto"/>
              <w:right w:val="single" w:sz="4" w:space="0" w:color="auto"/>
            </w:tcBorders>
          </w:tcPr>
          <w:p w14:paraId="111E9F42"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2.32</w:t>
            </w:r>
          </w:p>
        </w:tc>
        <w:tc>
          <w:tcPr>
            <w:tcW w:w="804" w:type="dxa"/>
            <w:tcBorders>
              <w:top w:val="single" w:sz="4" w:space="0" w:color="auto"/>
              <w:left w:val="single" w:sz="4" w:space="0" w:color="auto"/>
              <w:bottom w:val="single" w:sz="4" w:space="0" w:color="auto"/>
              <w:right w:val="single" w:sz="4" w:space="0" w:color="auto"/>
            </w:tcBorders>
          </w:tcPr>
          <w:p w14:paraId="5ED072F4"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2.48</w:t>
            </w:r>
          </w:p>
        </w:tc>
      </w:tr>
      <w:tr w:rsidR="001A4860" w:rsidRPr="001A4860" w14:paraId="7B2CBFD7" w14:textId="77777777" w:rsidTr="001A4860">
        <w:trPr>
          <w:gridAfter w:val="1"/>
          <w:wAfter w:w="6" w:type="dxa"/>
          <w:trHeight w:val="363"/>
          <w:jc w:val="center"/>
        </w:trPr>
        <w:tc>
          <w:tcPr>
            <w:tcW w:w="758" w:type="dxa"/>
            <w:tcBorders>
              <w:top w:val="single" w:sz="4" w:space="0" w:color="auto"/>
              <w:left w:val="single" w:sz="4" w:space="0" w:color="auto"/>
              <w:bottom w:val="single" w:sz="4" w:space="0" w:color="auto"/>
              <w:right w:val="single" w:sz="4" w:space="0" w:color="auto"/>
            </w:tcBorders>
          </w:tcPr>
          <w:p w14:paraId="36B07833"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200</w:t>
            </w:r>
          </w:p>
        </w:tc>
        <w:tc>
          <w:tcPr>
            <w:tcW w:w="695" w:type="dxa"/>
            <w:tcBorders>
              <w:top w:val="single" w:sz="4" w:space="0" w:color="auto"/>
              <w:left w:val="single" w:sz="4" w:space="0" w:color="auto"/>
              <w:bottom w:val="single" w:sz="4" w:space="0" w:color="auto"/>
              <w:right w:val="single" w:sz="4" w:space="0" w:color="auto"/>
            </w:tcBorders>
          </w:tcPr>
          <w:p w14:paraId="2B00122C" w14:textId="77777777" w:rsidR="001A4860" w:rsidRPr="001A4860" w:rsidRDefault="001A4860" w:rsidP="001A4860">
            <w:pPr>
              <w:tabs>
                <w:tab w:val="left" w:pos="0"/>
                <w:tab w:val="left" w:pos="567"/>
                <w:tab w:val="left" w:pos="1440"/>
              </w:tabs>
              <w:jc w:val="center"/>
              <w:rPr>
                <w:snapToGrid w:val="0"/>
                <w:sz w:val="22"/>
                <w:szCs w:val="22"/>
              </w:rPr>
            </w:pPr>
            <w:r w:rsidRPr="001A4860">
              <w:rPr>
                <w:snapToGrid w:val="0"/>
                <w:sz w:val="22"/>
                <w:szCs w:val="22"/>
              </w:rPr>
              <w:t>8</w:t>
            </w:r>
          </w:p>
        </w:tc>
        <w:tc>
          <w:tcPr>
            <w:tcW w:w="850" w:type="dxa"/>
            <w:tcBorders>
              <w:top w:val="single" w:sz="6" w:space="0" w:color="auto"/>
              <w:left w:val="single" w:sz="4" w:space="0" w:color="auto"/>
              <w:bottom w:val="single" w:sz="4" w:space="0" w:color="auto"/>
              <w:right w:val="single" w:sz="6" w:space="0" w:color="auto"/>
            </w:tcBorders>
          </w:tcPr>
          <w:p w14:paraId="3CC5ED10"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0.66</w:t>
            </w:r>
          </w:p>
        </w:tc>
        <w:tc>
          <w:tcPr>
            <w:tcW w:w="707" w:type="dxa"/>
            <w:tcBorders>
              <w:top w:val="single" w:sz="6" w:space="0" w:color="auto"/>
              <w:left w:val="single" w:sz="6" w:space="0" w:color="auto"/>
              <w:bottom w:val="single" w:sz="4" w:space="0" w:color="auto"/>
              <w:right w:val="single" w:sz="6" w:space="0" w:color="auto"/>
            </w:tcBorders>
          </w:tcPr>
          <w:p w14:paraId="102458CE"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0.75</w:t>
            </w:r>
          </w:p>
        </w:tc>
        <w:tc>
          <w:tcPr>
            <w:tcW w:w="706" w:type="dxa"/>
            <w:tcBorders>
              <w:top w:val="single" w:sz="6" w:space="0" w:color="auto"/>
              <w:left w:val="single" w:sz="6" w:space="0" w:color="auto"/>
              <w:bottom w:val="single" w:sz="4" w:space="0" w:color="auto"/>
              <w:right w:val="single" w:sz="6" w:space="0" w:color="auto"/>
            </w:tcBorders>
          </w:tcPr>
          <w:p w14:paraId="5D6F9014"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0.82</w:t>
            </w:r>
          </w:p>
        </w:tc>
        <w:tc>
          <w:tcPr>
            <w:tcW w:w="845" w:type="dxa"/>
            <w:tcBorders>
              <w:top w:val="single" w:sz="6" w:space="0" w:color="auto"/>
              <w:left w:val="single" w:sz="6" w:space="0" w:color="auto"/>
              <w:bottom w:val="single" w:sz="4" w:space="0" w:color="auto"/>
            </w:tcBorders>
          </w:tcPr>
          <w:p w14:paraId="1BF746C7"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0.87</w:t>
            </w:r>
          </w:p>
        </w:tc>
        <w:tc>
          <w:tcPr>
            <w:tcW w:w="812" w:type="dxa"/>
            <w:tcBorders>
              <w:top w:val="single" w:sz="4" w:space="0" w:color="auto"/>
              <w:left w:val="single" w:sz="4" w:space="0" w:color="auto"/>
              <w:bottom w:val="single" w:sz="4" w:space="0" w:color="auto"/>
              <w:right w:val="single" w:sz="4" w:space="0" w:color="auto"/>
            </w:tcBorders>
          </w:tcPr>
          <w:p w14:paraId="78630F44"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2.50</w:t>
            </w:r>
          </w:p>
        </w:tc>
        <w:tc>
          <w:tcPr>
            <w:tcW w:w="706" w:type="dxa"/>
            <w:tcBorders>
              <w:top w:val="single" w:sz="4" w:space="0" w:color="auto"/>
              <w:left w:val="single" w:sz="4" w:space="0" w:color="auto"/>
              <w:bottom w:val="single" w:sz="4" w:space="0" w:color="auto"/>
              <w:right w:val="single" w:sz="4" w:space="0" w:color="auto"/>
            </w:tcBorders>
          </w:tcPr>
          <w:p w14:paraId="0B4D8EC7"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2.82</w:t>
            </w:r>
          </w:p>
        </w:tc>
        <w:tc>
          <w:tcPr>
            <w:tcW w:w="849" w:type="dxa"/>
            <w:tcBorders>
              <w:top w:val="single" w:sz="4" w:space="0" w:color="auto"/>
              <w:left w:val="single" w:sz="4" w:space="0" w:color="auto"/>
              <w:bottom w:val="single" w:sz="4" w:space="0" w:color="auto"/>
              <w:right w:val="single" w:sz="4" w:space="0" w:color="auto"/>
            </w:tcBorders>
          </w:tcPr>
          <w:p w14:paraId="396B3180"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3.09</w:t>
            </w:r>
          </w:p>
        </w:tc>
        <w:tc>
          <w:tcPr>
            <w:tcW w:w="804" w:type="dxa"/>
            <w:tcBorders>
              <w:top w:val="single" w:sz="4" w:space="0" w:color="auto"/>
              <w:left w:val="single" w:sz="4" w:space="0" w:color="auto"/>
              <w:bottom w:val="single" w:sz="4" w:space="0" w:color="auto"/>
              <w:right w:val="single" w:sz="4" w:space="0" w:color="auto"/>
            </w:tcBorders>
          </w:tcPr>
          <w:p w14:paraId="6056C0BB" w14:textId="77777777" w:rsidR="001A4860" w:rsidRPr="001A4860" w:rsidRDefault="001A4860" w:rsidP="001A4860">
            <w:pPr>
              <w:tabs>
                <w:tab w:val="left" w:pos="0"/>
                <w:tab w:val="left" w:pos="567"/>
                <w:tab w:val="left" w:pos="1440"/>
              </w:tabs>
              <w:jc w:val="center"/>
              <w:rPr>
                <w:snapToGrid w:val="0"/>
                <w:sz w:val="22"/>
                <w:szCs w:val="22"/>
                <w:lang w:eastAsia="es-ES"/>
              </w:rPr>
            </w:pPr>
            <w:r w:rsidRPr="001A4860">
              <w:rPr>
                <w:snapToGrid w:val="0"/>
                <w:sz w:val="22"/>
                <w:szCs w:val="22"/>
                <w:lang w:eastAsia="es-ES"/>
              </w:rPr>
              <w:t>3.30</w:t>
            </w:r>
          </w:p>
        </w:tc>
      </w:tr>
    </w:tbl>
    <w:p w14:paraId="7EC8893F" w14:textId="77777777" w:rsidR="001A4860" w:rsidRPr="001A4860" w:rsidRDefault="001A4860" w:rsidP="001A4860">
      <w:pPr>
        <w:rPr>
          <w:sz w:val="22"/>
          <w:szCs w:val="22"/>
          <w:lang w:val="es-ES" w:eastAsia="es-ES"/>
        </w:rPr>
      </w:pPr>
    </w:p>
    <w:p w14:paraId="6E4636B0" w14:textId="77777777" w:rsidR="001A4860" w:rsidRPr="001A4860" w:rsidRDefault="001A4860" w:rsidP="001A4860">
      <w:pPr>
        <w:rPr>
          <w:sz w:val="22"/>
          <w:szCs w:val="22"/>
          <w:lang w:val="es-ES" w:eastAsia="es-ES"/>
        </w:rPr>
      </w:pPr>
      <w:r w:rsidRPr="001A4860">
        <w:rPr>
          <w:sz w:val="22"/>
          <w:szCs w:val="22"/>
          <w:lang w:val="es-ES" w:eastAsia="es-ES"/>
        </w:rPr>
        <w:t xml:space="preserve">Se formaliza un acta de cada prueba hidráulica en la cual se deja constancia del procedimiento de la prueba, de sus resultados y de su aceptación o rechazo. Dicha acta es elaborada por el Contratista y aprobada por el Supervisor y suscrita entre el Propietario, el Contratista y el Supervisor. Las pruebas son pagadas en la forma establecida en el Formulario de Oferta. </w:t>
      </w:r>
    </w:p>
    <w:p w14:paraId="16ACE112" w14:textId="77777777" w:rsidR="001A4860" w:rsidRPr="001A4860" w:rsidRDefault="001A4860" w:rsidP="001A4860">
      <w:pPr>
        <w:rPr>
          <w:sz w:val="22"/>
          <w:szCs w:val="22"/>
          <w:lang w:val="es-ES" w:eastAsia="es-ES"/>
        </w:rPr>
      </w:pPr>
    </w:p>
    <w:p w14:paraId="01432F02" w14:textId="77777777" w:rsidR="001A4860" w:rsidRPr="001A4860" w:rsidRDefault="001A4860" w:rsidP="001A4860">
      <w:pPr>
        <w:keepNext/>
        <w:ind w:left="720" w:hanging="720"/>
        <w:outlineLvl w:val="2"/>
        <w:rPr>
          <w:rFonts w:eastAsia="Arial Narrow"/>
          <w:b/>
          <w:bCs/>
          <w:iCs/>
          <w:sz w:val="22"/>
          <w:szCs w:val="22"/>
          <w:lang w:val="es-ES" w:bidi="en-US"/>
        </w:rPr>
      </w:pPr>
      <w:bookmarkStart w:id="635" w:name="_Toc234745654"/>
      <w:bookmarkStart w:id="636" w:name="_Toc475371330"/>
      <w:bookmarkStart w:id="637" w:name="_Toc481596328"/>
      <w:bookmarkStart w:id="638" w:name="_Toc492981652"/>
      <w:bookmarkStart w:id="639" w:name="_Toc23249358"/>
      <w:r w:rsidRPr="001A4860">
        <w:rPr>
          <w:rFonts w:eastAsia="Arial Narrow"/>
          <w:b/>
          <w:bCs/>
          <w:iCs/>
          <w:sz w:val="22"/>
          <w:szCs w:val="22"/>
          <w:lang w:val="es-ES" w:bidi="en-US"/>
        </w:rPr>
        <w:t>Baldeo y Desinfección</w:t>
      </w:r>
      <w:bookmarkEnd w:id="635"/>
      <w:bookmarkEnd w:id="636"/>
      <w:bookmarkEnd w:id="637"/>
      <w:bookmarkEnd w:id="638"/>
      <w:bookmarkEnd w:id="639"/>
    </w:p>
    <w:p w14:paraId="096F0D70" w14:textId="77777777" w:rsidR="001A4860" w:rsidRPr="001A4860" w:rsidRDefault="001A4860" w:rsidP="001A4860">
      <w:pPr>
        <w:rPr>
          <w:sz w:val="22"/>
          <w:szCs w:val="22"/>
          <w:lang w:val="es-ES" w:eastAsia="es-ES"/>
        </w:rPr>
      </w:pPr>
    </w:p>
    <w:p w14:paraId="04632D87" w14:textId="77777777" w:rsidR="001A4860" w:rsidRPr="001A4860" w:rsidRDefault="001A4860" w:rsidP="001A4860">
      <w:pPr>
        <w:rPr>
          <w:sz w:val="22"/>
          <w:szCs w:val="22"/>
          <w:lang w:val="es-ES" w:eastAsia="es-ES"/>
        </w:rPr>
      </w:pPr>
      <w:r w:rsidRPr="001A4860">
        <w:rPr>
          <w:sz w:val="22"/>
          <w:szCs w:val="22"/>
          <w:lang w:val="es-ES" w:eastAsia="es-ES"/>
        </w:rPr>
        <w:t>Las redes de distribución de Agua potable deben estar desinfectadas antes de entrar en servicio. La desinfección debe realizarse con compuestos clorados, con una concentración mínima de 50 ppm (50 mg/l). de cloro en el agua y una duración mínima de 24 horas de contacto, al final del cual se debe proceder al drenaje total del agua de lavado. Si el cloro residual libre del agua de lavado al final de las 24 horas es inferior a 10 ppm (10 mg/l), debe repetirse el proceso de desinfección. El proceso de desinfección debe realizarse por parte del contratista y aprobado por el Supervisor.</w:t>
      </w:r>
    </w:p>
    <w:p w14:paraId="6BD6369F" w14:textId="77777777" w:rsidR="001A4860" w:rsidRPr="001A4860" w:rsidRDefault="001A4860" w:rsidP="001A4860">
      <w:pPr>
        <w:rPr>
          <w:sz w:val="22"/>
          <w:szCs w:val="22"/>
          <w:lang w:val="es-ES" w:eastAsia="es-ES"/>
        </w:rPr>
      </w:pPr>
    </w:p>
    <w:p w14:paraId="13FA5827" w14:textId="77777777" w:rsidR="001A4860" w:rsidRPr="001A4860" w:rsidRDefault="001A4860" w:rsidP="001A4860">
      <w:pPr>
        <w:rPr>
          <w:sz w:val="22"/>
          <w:szCs w:val="22"/>
          <w:lang w:val="es-ES" w:eastAsia="es-ES"/>
        </w:rPr>
      </w:pPr>
      <w:r w:rsidRPr="001A4860">
        <w:rPr>
          <w:sz w:val="22"/>
          <w:szCs w:val="22"/>
          <w:lang w:val="es-ES" w:eastAsia="es-ES"/>
        </w:rPr>
        <w:t>Para la desinfección de la red de distribución se deben considerar los siguientes procedimientos:</w:t>
      </w:r>
    </w:p>
    <w:p w14:paraId="06149F12" w14:textId="77777777" w:rsidR="001A4860" w:rsidRPr="001A4860" w:rsidRDefault="001A4860" w:rsidP="001A4860">
      <w:pPr>
        <w:rPr>
          <w:sz w:val="22"/>
          <w:szCs w:val="22"/>
          <w:lang w:val="es-ES" w:eastAsia="es-ES"/>
        </w:rPr>
      </w:pPr>
    </w:p>
    <w:p w14:paraId="60273347"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Antes de aplicar el desinfectante, la tubería debe lavarse haciendo circular agua a través de ella, y descargarla por las válvulas de purga, con el objetivo de remover materias extrañas.</w:t>
      </w:r>
    </w:p>
    <w:p w14:paraId="5AE71E68" w14:textId="77777777" w:rsidR="001A4860" w:rsidRPr="001A4860" w:rsidRDefault="001A4860" w:rsidP="001A4860">
      <w:pPr>
        <w:ind w:left="360"/>
        <w:rPr>
          <w:sz w:val="22"/>
          <w:szCs w:val="22"/>
          <w:lang w:val="es-ES" w:eastAsia="es-ES"/>
        </w:rPr>
      </w:pPr>
    </w:p>
    <w:p w14:paraId="6F866008"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El desinfectante debe aplicarse donde se inicia la ampliación de la red de distribución, para el caso de ampliaciones, o en el inicio de la red de distribución, cuando ésta es una red de distribución nueva. Para secciones de la red de distribución localizada entre válvulas, el desinfectante debe aplicarse por medio de una llave de incorporación.</w:t>
      </w:r>
    </w:p>
    <w:p w14:paraId="111F1476" w14:textId="77777777" w:rsidR="001A4860" w:rsidRPr="001A4860" w:rsidRDefault="001A4860" w:rsidP="001A4860">
      <w:pPr>
        <w:ind w:left="708"/>
        <w:rPr>
          <w:sz w:val="22"/>
          <w:szCs w:val="22"/>
          <w:lang w:val="es-ES" w:eastAsia="es-ES"/>
        </w:rPr>
      </w:pPr>
    </w:p>
    <w:p w14:paraId="7060A897"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Debe utilizarse hipoclorito de sodio (cloro líquido) como desinfectante. La tasa de entrada a la tubería de la mezcla de agua con cloro debe ser proporcional a la tasa de agua que entra al tubo.</w:t>
      </w:r>
    </w:p>
    <w:p w14:paraId="47308BC3" w14:textId="77777777" w:rsidR="001A4860" w:rsidRPr="001A4860" w:rsidRDefault="001A4860" w:rsidP="001A4860">
      <w:pPr>
        <w:ind w:left="708"/>
        <w:rPr>
          <w:sz w:val="22"/>
          <w:szCs w:val="22"/>
          <w:lang w:val="es-ES" w:eastAsia="es-ES"/>
        </w:rPr>
      </w:pPr>
    </w:p>
    <w:p w14:paraId="2C6E88B0"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La cantidad de cloro al iniciar la desinfección debe ser tal que produzca una concentración mínima de 50 ppm (50 mg/l).</w:t>
      </w:r>
    </w:p>
    <w:p w14:paraId="277EA167" w14:textId="77777777" w:rsidR="001A4860" w:rsidRPr="001A4860" w:rsidRDefault="001A4860" w:rsidP="001A4860">
      <w:pPr>
        <w:ind w:left="708"/>
        <w:rPr>
          <w:sz w:val="22"/>
          <w:szCs w:val="22"/>
          <w:lang w:val="es-ES" w:eastAsia="es-ES"/>
        </w:rPr>
      </w:pPr>
    </w:p>
    <w:p w14:paraId="4002C19D"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El período de retención del agua desinfectada dentro de la red de distribución de agua potable no debe ser menor que 24 horas. Después de este período de retención, el contenido de cloro residual en los extremos del tubo y en los demás puntos representativos debe ser de por lo menos 10 ppm (10 mg/l).</w:t>
      </w:r>
    </w:p>
    <w:p w14:paraId="44CA6BAB" w14:textId="77777777" w:rsidR="001A4860" w:rsidRPr="001A4860" w:rsidRDefault="001A4860" w:rsidP="001A4860">
      <w:pPr>
        <w:ind w:left="708"/>
        <w:rPr>
          <w:sz w:val="22"/>
          <w:szCs w:val="22"/>
          <w:lang w:val="es-ES" w:eastAsia="es-ES"/>
        </w:rPr>
      </w:pPr>
    </w:p>
    <w:p w14:paraId="24914B7A"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Una vez que se haya hecho la cloración y se haya dejado pasar el período mínimo, debe descargarse completamente la tubería. Cuando se hagan cortes en alguna de las tuberías que conforman la red de distribución con el fin de hacer reparaciones, la tubería cortada debe someterse a cloración a lado y lado del punto de corte.</w:t>
      </w:r>
    </w:p>
    <w:p w14:paraId="75093E51" w14:textId="77777777" w:rsidR="001A4860" w:rsidRPr="001A4860" w:rsidRDefault="001A4860" w:rsidP="003B68DB">
      <w:pPr>
        <w:numPr>
          <w:ilvl w:val="0"/>
          <w:numId w:val="161"/>
        </w:numPr>
        <w:contextualSpacing/>
        <w:rPr>
          <w:sz w:val="22"/>
          <w:szCs w:val="22"/>
          <w:lang w:val="es-ES" w:eastAsia="es-ES"/>
        </w:rPr>
      </w:pPr>
      <w:r w:rsidRPr="001A4860">
        <w:rPr>
          <w:sz w:val="22"/>
          <w:szCs w:val="22"/>
          <w:lang w:val="es-ES" w:eastAsia="es-ES"/>
        </w:rPr>
        <w:t>El proceso de desinfección debe hacerse según la norma AWWA C 651</w:t>
      </w:r>
    </w:p>
    <w:p w14:paraId="7EA88FB3" w14:textId="77777777" w:rsidR="001A4860" w:rsidRPr="001A4860" w:rsidRDefault="001A4860" w:rsidP="001A4860">
      <w:pPr>
        <w:rPr>
          <w:sz w:val="22"/>
          <w:szCs w:val="22"/>
          <w:lang w:val="es-ES" w:eastAsia="es-ES"/>
        </w:rPr>
      </w:pPr>
      <w:r w:rsidRPr="001A4860">
        <w:rPr>
          <w:sz w:val="22"/>
          <w:szCs w:val="22"/>
          <w:lang w:val="es-ES" w:eastAsia="es-ES"/>
        </w:rPr>
        <w:tab/>
      </w:r>
    </w:p>
    <w:p w14:paraId="239DC3FC" w14:textId="77777777" w:rsidR="001A4860" w:rsidRPr="001A4860" w:rsidRDefault="001A4860" w:rsidP="001A4860">
      <w:pPr>
        <w:keepNext/>
        <w:ind w:left="720" w:hanging="720"/>
        <w:outlineLvl w:val="2"/>
        <w:rPr>
          <w:rFonts w:eastAsia="Arial Narrow"/>
          <w:b/>
          <w:bCs/>
          <w:iCs/>
          <w:sz w:val="22"/>
          <w:szCs w:val="22"/>
          <w:lang w:bidi="en-US"/>
        </w:rPr>
      </w:pPr>
      <w:bookmarkStart w:id="640" w:name="_Toc287828399"/>
      <w:bookmarkStart w:id="641" w:name="_Toc475371331"/>
      <w:bookmarkStart w:id="642" w:name="_Toc481596329"/>
      <w:bookmarkStart w:id="643" w:name="_Toc492981653"/>
      <w:bookmarkStart w:id="644" w:name="_Toc23249359"/>
      <w:r w:rsidRPr="001A4860">
        <w:rPr>
          <w:rFonts w:eastAsia="Arial Narrow"/>
          <w:b/>
          <w:bCs/>
          <w:iCs/>
          <w:sz w:val="22"/>
          <w:szCs w:val="22"/>
          <w:lang w:bidi="en-US"/>
        </w:rPr>
        <w:t>Protección de obras no terminadas</w:t>
      </w:r>
      <w:bookmarkEnd w:id="640"/>
      <w:bookmarkEnd w:id="641"/>
      <w:bookmarkEnd w:id="642"/>
      <w:bookmarkEnd w:id="643"/>
      <w:bookmarkEnd w:id="644"/>
    </w:p>
    <w:p w14:paraId="76745B0F" w14:textId="77777777" w:rsidR="001A4860" w:rsidRPr="001A4860" w:rsidRDefault="001A4860" w:rsidP="001A4860">
      <w:pPr>
        <w:widowControl w:val="0"/>
        <w:autoSpaceDE w:val="0"/>
        <w:autoSpaceDN w:val="0"/>
        <w:adjustRightInd w:val="0"/>
        <w:rPr>
          <w:sz w:val="22"/>
          <w:szCs w:val="22"/>
          <w:lang w:val="es-ES" w:eastAsia="es-ES"/>
        </w:rPr>
      </w:pPr>
    </w:p>
    <w:p w14:paraId="68D63759" w14:textId="77777777" w:rsidR="001A4860" w:rsidRPr="001A4860" w:rsidRDefault="001A4860" w:rsidP="001A4860">
      <w:pPr>
        <w:rPr>
          <w:sz w:val="22"/>
          <w:szCs w:val="22"/>
          <w:lang w:val="es-ES" w:eastAsia="es-ES"/>
        </w:rPr>
      </w:pPr>
      <w:r w:rsidRPr="001A4860">
        <w:rPr>
          <w:sz w:val="22"/>
          <w:szCs w:val="22"/>
          <w:lang w:val="es-ES" w:eastAsia="es-ES"/>
        </w:rPr>
        <w:lastRenderedPageBreak/>
        <w:t>Antes de dejar el trabajo al final del día, o por paros debido a lluvias u otras circunstancias, se tiene cuidado de proteger y cerrar con barricadas y/o señales de peligro, las aberturas y terminales de los tubos que no han sido tapados, y cualquier material extraño que se encuentre debe ser removido por El Contratista. Los costos de esta operación son asumidos por El Contratista.</w:t>
      </w:r>
    </w:p>
    <w:p w14:paraId="7D16368F" w14:textId="77777777" w:rsidR="001A4860" w:rsidRPr="001A4860" w:rsidRDefault="001A4860" w:rsidP="001A4860">
      <w:pPr>
        <w:rPr>
          <w:sz w:val="22"/>
          <w:szCs w:val="22"/>
          <w:lang w:val="es-ES" w:eastAsia="es-ES"/>
        </w:rPr>
      </w:pPr>
    </w:p>
    <w:p w14:paraId="5837F4FF" w14:textId="77777777" w:rsidR="001A4860" w:rsidRPr="001A4860" w:rsidRDefault="001A4860" w:rsidP="001A4860">
      <w:pPr>
        <w:keepNext/>
        <w:outlineLvl w:val="1"/>
        <w:rPr>
          <w:rFonts w:eastAsia="Arial Narrow"/>
          <w:b/>
          <w:bCs/>
          <w:iCs/>
          <w:sz w:val="22"/>
          <w:szCs w:val="22"/>
          <w:lang w:val="es-NI"/>
        </w:rPr>
      </w:pPr>
      <w:bookmarkStart w:id="645" w:name="_Toc195479232"/>
      <w:bookmarkStart w:id="646" w:name="_Toc234745656"/>
      <w:bookmarkStart w:id="647" w:name="_Toc295977197"/>
      <w:bookmarkStart w:id="648" w:name="_Toc475371332"/>
      <w:bookmarkStart w:id="649" w:name="_Toc481596330"/>
      <w:bookmarkStart w:id="650" w:name="_Toc492981654"/>
      <w:bookmarkStart w:id="651" w:name="_Toc23249360"/>
      <w:r w:rsidRPr="001A4860">
        <w:rPr>
          <w:rFonts w:eastAsia="Arial Narrow"/>
          <w:b/>
          <w:bCs/>
          <w:iCs/>
          <w:sz w:val="22"/>
          <w:szCs w:val="22"/>
          <w:lang w:val="es-NI"/>
        </w:rPr>
        <w:t>Relleno y Compactación</w:t>
      </w:r>
      <w:bookmarkEnd w:id="645"/>
      <w:bookmarkEnd w:id="646"/>
      <w:bookmarkEnd w:id="647"/>
      <w:bookmarkEnd w:id="648"/>
      <w:bookmarkEnd w:id="649"/>
      <w:bookmarkEnd w:id="650"/>
      <w:bookmarkEnd w:id="651"/>
    </w:p>
    <w:p w14:paraId="75BECDF3" w14:textId="77777777" w:rsidR="001A4860" w:rsidRPr="001A4860" w:rsidRDefault="001A4860" w:rsidP="001A4860">
      <w:pPr>
        <w:rPr>
          <w:b/>
          <w:sz w:val="22"/>
          <w:szCs w:val="22"/>
          <w:lang w:val="es-ES" w:eastAsia="es-ES"/>
        </w:rPr>
      </w:pPr>
    </w:p>
    <w:p w14:paraId="33EFD206" w14:textId="77777777" w:rsidR="001A4860" w:rsidRPr="001A4860" w:rsidRDefault="001A4860" w:rsidP="001A4860">
      <w:pPr>
        <w:keepNext/>
        <w:ind w:left="720" w:hanging="720"/>
        <w:outlineLvl w:val="2"/>
        <w:rPr>
          <w:rFonts w:eastAsia="Arial Narrow"/>
          <w:b/>
          <w:bCs/>
          <w:iCs/>
          <w:sz w:val="22"/>
          <w:szCs w:val="22"/>
          <w:lang w:val="es-ES" w:bidi="en-US"/>
        </w:rPr>
      </w:pPr>
      <w:bookmarkStart w:id="652" w:name="_Toc234745657"/>
      <w:bookmarkStart w:id="653" w:name="_Toc475371333"/>
      <w:bookmarkStart w:id="654" w:name="_Toc481596331"/>
      <w:bookmarkStart w:id="655" w:name="_Toc492981655"/>
      <w:bookmarkStart w:id="656" w:name="_Toc23249361"/>
      <w:r w:rsidRPr="001A4860">
        <w:rPr>
          <w:rFonts w:eastAsia="Arial Narrow"/>
          <w:b/>
          <w:bCs/>
          <w:iCs/>
          <w:sz w:val="22"/>
          <w:szCs w:val="22"/>
          <w:lang w:val="es-ES" w:bidi="en-US"/>
        </w:rPr>
        <w:t>Recursos y Procedimientos</w:t>
      </w:r>
      <w:bookmarkEnd w:id="652"/>
      <w:bookmarkEnd w:id="653"/>
      <w:bookmarkEnd w:id="654"/>
      <w:bookmarkEnd w:id="655"/>
      <w:bookmarkEnd w:id="656"/>
    </w:p>
    <w:p w14:paraId="1258F5A4" w14:textId="77777777" w:rsidR="001A4860" w:rsidRPr="001A4860" w:rsidRDefault="001A4860" w:rsidP="001A4860">
      <w:pPr>
        <w:rPr>
          <w:sz w:val="22"/>
          <w:szCs w:val="22"/>
          <w:lang w:val="es-ES" w:eastAsia="es-ES"/>
        </w:rPr>
      </w:pPr>
    </w:p>
    <w:p w14:paraId="79D456A9" w14:textId="77777777" w:rsidR="001A4860" w:rsidRPr="001A4860" w:rsidRDefault="001A4860" w:rsidP="001A4860">
      <w:pPr>
        <w:rPr>
          <w:sz w:val="22"/>
          <w:szCs w:val="22"/>
          <w:lang w:val="es-ES" w:eastAsia="es-ES"/>
        </w:rPr>
      </w:pPr>
      <w:r w:rsidRPr="001A4860">
        <w:rPr>
          <w:sz w:val="22"/>
          <w:szCs w:val="22"/>
          <w:lang w:val="es-ES" w:eastAsia="es-ES"/>
        </w:rPr>
        <w:t>Rellenar y compactar las zanjas de las tuberías con material del sitio, libre de piedras, según se indica en los planos y especificaciones.</w:t>
      </w:r>
    </w:p>
    <w:p w14:paraId="620D998A" w14:textId="77777777" w:rsidR="001A4860" w:rsidRPr="001A4860" w:rsidRDefault="001A4860" w:rsidP="001A4860">
      <w:pPr>
        <w:rPr>
          <w:sz w:val="22"/>
          <w:szCs w:val="22"/>
          <w:lang w:val="es-ES" w:eastAsia="es-ES"/>
        </w:rPr>
      </w:pPr>
    </w:p>
    <w:p w14:paraId="3EC81E9F" w14:textId="77777777" w:rsidR="001A4860" w:rsidRPr="001A4860" w:rsidRDefault="001A4860" w:rsidP="001A4860">
      <w:pPr>
        <w:rPr>
          <w:sz w:val="22"/>
          <w:szCs w:val="22"/>
          <w:lang w:val="es-ES" w:eastAsia="es-ES"/>
        </w:rPr>
      </w:pPr>
      <w:r w:rsidRPr="001A4860">
        <w:rPr>
          <w:sz w:val="22"/>
          <w:szCs w:val="22"/>
          <w:lang w:val="es-ES" w:eastAsia="es-ES"/>
        </w:rPr>
        <w:t xml:space="preserve">Para toda zanja o pozos de exploración abiertos para la instalación de tuberías o para otras actividades complementarias del proyecto, </w:t>
      </w:r>
      <w:r w:rsidRPr="001A4860">
        <w:rPr>
          <w:i/>
          <w:sz w:val="22"/>
          <w:szCs w:val="22"/>
          <w:lang w:val="es-ES" w:eastAsia="es-ES"/>
        </w:rPr>
        <w:t>se requiere que El Contratista suministre los recursos necesarios (herramientas, equipos, pisones) en calidad de préstamo a los beneficiarios, para efectuar adecuadamente el relleno y compactación manual de los mismos. Los costos de los recursos necesarios para esta operación son asumidos por El Contratista.</w:t>
      </w:r>
      <w:r w:rsidRPr="001A4860">
        <w:rPr>
          <w:sz w:val="22"/>
          <w:szCs w:val="22"/>
          <w:lang w:val="es-ES" w:eastAsia="es-ES"/>
        </w:rPr>
        <w:t xml:space="preserve"> El Contratista con el apoyo del Supervisor y el CAPS, entregan las herramientas y pisones a los beneficiarios. Finalizados los trabajos de compactación de zanjas, las herramientas y pisones son devueltos al Contratista.</w:t>
      </w:r>
    </w:p>
    <w:p w14:paraId="1E4B8B49" w14:textId="77777777" w:rsidR="001A4860" w:rsidRPr="001A4860" w:rsidRDefault="001A4860" w:rsidP="001A4860">
      <w:pPr>
        <w:rPr>
          <w:sz w:val="22"/>
          <w:szCs w:val="22"/>
          <w:lang w:val="es-ES" w:eastAsia="es-ES"/>
        </w:rPr>
      </w:pPr>
    </w:p>
    <w:p w14:paraId="532B3AF9" w14:textId="77777777" w:rsidR="001A4860" w:rsidRPr="001A4860" w:rsidRDefault="001A4860" w:rsidP="001A4860">
      <w:pPr>
        <w:rPr>
          <w:sz w:val="22"/>
          <w:szCs w:val="22"/>
          <w:lang w:val="es-ES" w:eastAsia="es-ES"/>
        </w:rPr>
      </w:pPr>
      <w:r w:rsidRPr="001A4860">
        <w:rPr>
          <w:sz w:val="22"/>
          <w:szCs w:val="22"/>
          <w:lang w:val="es-ES" w:eastAsia="es-ES"/>
        </w:rPr>
        <w:t>El relleno y la compactación deben ser realizados adecuadamente para cerrar las zanjas, pozos exploratorios etc. En general, esta actividad utiliza como material, el mismo que fue extraído de la zanja y que libre de elementos inadecuados, recibe el nombre de "Relleno común".</w:t>
      </w:r>
    </w:p>
    <w:p w14:paraId="3C8238ED" w14:textId="77777777" w:rsidR="001A4860" w:rsidRPr="001A4860" w:rsidRDefault="001A4860" w:rsidP="001A4860">
      <w:pPr>
        <w:rPr>
          <w:sz w:val="22"/>
          <w:szCs w:val="22"/>
          <w:lang w:val="es-ES" w:eastAsia="es-ES"/>
        </w:rPr>
      </w:pPr>
    </w:p>
    <w:p w14:paraId="6ACEA719" w14:textId="77777777" w:rsidR="001A4860" w:rsidRPr="001A4860" w:rsidRDefault="001A4860" w:rsidP="001A4860">
      <w:pPr>
        <w:rPr>
          <w:sz w:val="22"/>
          <w:szCs w:val="22"/>
          <w:lang w:val="es-ES" w:eastAsia="es-ES"/>
        </w:rPr>
      </w:pPr>
      <w:r w:rsidRPr="001A4860">
        <w:rPr>
          <w:sz w:val="22"/>
          <w:szCs w:val="22"/>
          <w:lang w:val="es-ES" w:eastAsia="es-ES"/>
        </w:rPr>
        <w:t>En el caso de requerirse otro tipo de material de relleno, debido a situaciones específicas encontradas durante las excavaciones como sería la sustitución de material inadecuado (inestable, piedras, roca, deshechos, etc.) o reposición en sub-excavaciones ordenadas por El Supervisor por haber lechos de piedra cantera o rocosos, debe importarse material selecto de banco y/o otros tipos de rellenos especiales, que son conceptos de obra contempladas en el capítulo - EXCAVACION, RELLENO Y COMPACTACION ESPECIAL Y/O ADICIONAL.</w:t>
      </w:r>
    </w:p>
    <w:p w14:paraId="14ED6378" w14:textId="77777777" w:rsidR="001A4860" w:rsidRPr="001A4860" w:rsidRDefault="001A4860" w:rsidP="001A4860">
      <w:pPr>
        <w:rPr>
          <w:sz w:val="22"/>
          <w:szCs w:val="22"/>
          <w:lang w:val="es-ES" w:eastAsia="es-ES"/>
        </w:rPr>
      </w:pPr>
    </w:p>
    <w:p w14:paraId="720DAFF5" w14:textId="77777777" w:rsidR="001A4860" w:rsidRPr="001A4860" w:rsidRDefault="001A4860" w:rsidP="001A4860">
      <w:pPr>
        <w:keepNext/>
        <w:ind w:left="720" w:hanging="720"/>
        <w:outlineLvl w:val="2"/>
        <w:rPr>
          <w:rFonts w:eastAsia="Arial Narrow"/>
          <w:b/>
          <w:bCs/>
          <w:iCs/>
          <w:sz w:val="22"/>
          <w:szCs w:val="22"/>
          <w:lang w:val="es-ES" w:bidi="en-US"/>
        </w:rPr>
      </w:pPr>
      <w:bookmarkStart w:id="657" w:name="_Toc234745658"/>
      <w:bookmarkStart w:id="658" w:name="_Toc475371334"/>
      <w:bookmarkStart w:id="659" w:name="_Toc481596332"/>
      <w:bookmarkStart w:id="660" w:name="_Toc492981656"/>
      <w:bookmarkStart w:id="661" w:name="_Toc23249362"/>
      <w:r w:rsidRPr="001A4860">
        <w:rPr>
          <w:rFonts w:eastAsia="Arial Narrow"/>
          <w:b/>
          <w:bCs/>
          <w:iCs/>
          <w:sz w:val="22"/>
          <w:szCs w:val="22"/>
          <w:lang w:val="es-ES" w:bidi="en-US"/>
        </w:rPr>
        <w:t>Requerimientos Generales</w:t>
      </w:r>
      <w:bookmarkEnd w:id="657"/>
      <w:bookmarkEnd w:id="658"/>
      <w:bookmarkEnd w:id="659"/>
      <w:bookmarkEnd w:id="660"/>
      <w:bookmarkEnd w:id="661"/>
    </w:p>
    <w:p w14:paraId="12244125" w14:textId="77777777" w:rsidR="001A4860" w:rsidRPr="001A4860" w:rsidRDefault="001A4860" w:rsidP="001A4860">
      <w:pPr>
        <w:rPr>
          <w:b/>
          <w:sz w:val="22"/>
          <w:szCs w:val="22"/>
          <w:lang w:val="es-ES" w:eastAsia="es-ES"/>
        </w:rPr>
      </w:pPr>
    </w:p>
    <w:p w14:paraId="13E3D4BA" w14:textId="77777777" w:rsidR="001A4860" w:rsidRPr="001A4860" w:rsidRDefault="001A4860" w:rsidP="001A4860">
      <w:pPr>
        <w:rPr>
          <w:sz w:val="22"/>
          <w:szCs w:val="22"/>
          <w:lang w:val="es-ES" w:eastAsia="es-ES"/>
        </w:rPr>
      </w:pPr>
      <w:r w:rsidRPr="001A4860">
        <w:rPr>
          <w:sz w:val="22"/>
          <w:szCs w:val="22"/>
          <w:lang w:val="es-ES" w:eastAsia="es-ES"/>
        </w:rPr>
        <w:t>A menos que se indique lo contrario o que circunstancias especiales así lo exijan, no se rellenan las zanjas hasta que la tubería haya sido probada, desinfectada y lavada satisfactoriamente. Durante el relleno de las zanjas (ver sección típica de zanja y rellenos en planos de detalles generales de tubería) es necesario ajustarse a los siguientes requerimientos:</w:t>
      </w:r>
    </w:p>
    <w:p w14:paraId="2664A476" w14:textId="77777777" w:rsidR="001A4860" w:rsidRPr="001A4860" w:rsidRDefault="001A4860" w:rsidP="001A4860">
      <w:pPr>
        <w:rPr>
          <w:sz w:val="22"/>
          <w:szCs w:val="22"/>
          <w:lang w:val="es-ES" w:eastAsia="es-ES"/>
        </w:rPr>
      </w:pPr>
    </w:p>
    <w:p w14:paraId="7E0601E1" w14:textId="77777777" w:rsidR="001A4860" w:rsidRPr="001A4860" w:rsidRDefault="001A4860" w:rsidP="001A4860">
      <w:pPr>
        <w:rPr>
          <w:sz w:val="22"/>
          <w:szCs w:val="22"/>
          <w:lang w:val="es-ES" w:eastAsia="es-ES"/>
        </w:rPr>
      </w:pPr>
      <w:r w:rsidRPr="001A4860">
        <w:rPr>
          <w:sz w:val="22"/>
          <w:szCs w:val="22"/>
          <w:lang w:val="es-ES" w:eastAsia="es-ES"/>
        </w:rPr>
        <w:t>Se inicia el relleno con capas de 10 centímetros de espesor y material seleccionado aceptado por El Supervisor, cuidadosamente apisonadas una sobre otra y muy particularmente, debajo del tubo y sus costados, hasta un nivel que corresponda a 1/4 del área del tubo.  Al terminar el apisonado del fondo de la zanja, se debe usar un azadón de forma curva para proveer un apoyo uniforme y continuo para el cuadrante inferior de los tubos.</w:t>
      </w:r>
    </w:p>
    <w:p w14:paraId="47830BB9" w14:textId="77777777" w:rsidR="001A4860" w:rsidRPr="001A4860" w:rsidRDefault="001A4860" w:rsidP="001A4860">
      <w:pPr>
        <w:rPr>
          <w:sz w:val="22"/>
          <w:szCs w:val="22"/>
          <w:lang w:val="es-ES" w:eastAsia="es-ES"/>
        </w:rPr>
      </w:pPr>
    </w:p>
    <w:p w14:paraId="0965A322" w14:textId="77777777" w:rsidR="001A4860" w:rsidRPr="001A4860" w:rsidRDefault="001A4860" w:rsidP="001A4860">
      <w:pPr>
        <w:rPr>
          <w:sz w:val="22"/>
          <w:szCs w:val="22"/>
          <w:lang w:val="es-ES" w:eastAsia="es-ES"/>
        </w:rPr>
      </w:pPr>
      <w:r w:rsidRPr="001A4860">
        <w:rPr>
          <w:sz w:val="22"/>
          <w:szCs w:val="22"/>
          <w:lang w:val="es-ES" w:eastAsia="es-ES"/>
        </w:rPr>
        <w:t>Se continúa compactando el relleno en capas no mayores de 10 centímetros, hasta alcanzar un espesor de 30 centímetros arriba de la parte superior de la tubería.</w:t>
      </w:r>
    </w:p>
    <w:p w14:paraId="1B300A8C" w14:textId="77777777" w:rsidR="001A4860" w:rsidRPr="001A4860" w:rsidRDefault="001A4860" w:rsidP="001A4860">
      <w:pPr>
        <w:rPr>
          <w:sz w:val="22"/>
          <w:szCs w:val="22"/>
          <w:lang w:val="es-ES" w:eastAsia="es-ES"/>
        </w:rPr>
      </w:pPr>
    </w:p>
    <w:p w14:paraId="1D11635F" w14:textId="77777777" w:rsidR="001A4860" w:rsidRPr="001A4860" w:rsidRDefault="001A4860" w:rsidP="001A4860">
      <w:pPr>
        <w:rPr>
          <w:sz w:val="22"/>
          <w:szCs w:val="22"/>
          <w:lang w:val="es-ES" w:eastAsia="es-ES"/>
        </w:rPr>
      </w:pPr>
      <w:r w:rsidRPr="001A4860">
        <w:rPr>
          <w:sz w:val="22"/>
          <w:szCs w:val="22"/>
          <w:lang w:val="es-ES" w:eastAsia="es-ES"/>
        </w:rPr>
        <w:t xml:space="preserve">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w:t>
      </w:r>
      <w:r w:rsidRPr="001A4860">
        <w:rPr>
          <w:sz w:val="22"/>
          <w:szCs w:val="22"/>
          <w:lang w:val="es-ES" w:eastAsia="es-ES"/>
        </w:rPr>
        <w:lastRenderedPageBreak/>
        <w:t>Supervisor. La compactación mínima aceptable para estas capas de relleno es del 95% PROCTOR Standard.</w:t>
      </w:r>
    </w:p>
    <w:p w14:paraId="3F1DE411" w14:textId="77777777" w:rsidR="001A4860" w:rsidRPr="001A4860" w:rsidRDefault="001A4860" w:rsidP="001A4860">
      <w:pPr>
        <w:rPr>
          <w:sz w:val="22"/>
          <w:szCs w:val="22"/>
          <w:lang w:val="es-ES" w:eastAsia="es-ES"/>
        </w:rPr>
      </w:pPr>
    </w:p>
    <w:p w14:paraId="78C32E9F" w14:textId="77777777" w:rsidR="001A4860" w:rsidRPr="001A4860" w:rsidRDefault="001A4860" w:rsidP="001A4860">
      <w:pPr>
        <w:rPr>
          <w:sz w:val="22"/>
          <w:szCs w:val="22"/>
          <w:lang w:val="es-ES" w:eastAsia="es-ES"/>
        </w:rPr>
      </w:pPr>
      <w:r w:rsidRPr="001A4860">
        <w:rPr>
          <w:sz w:val="22"/>
          <w:szCs w:val="22"/>
          <w:lang w:val="es-ES" w:eastAsia="es-ES"/>
        </w:rPr>
        <w:t>Cada capa de material de relleno con una humedad aceptable, que no sea ni muy baja (falta de agua) ni excesivamente saturada (exceso de agua) es compactada adecuadamente con apisonadoras de madera o metálicas hasta lograr una apariencia de compactación sólida y densidad uniforme. La última capa para alcanzar la rasante de la calle, cruces de caminos, está compuesta por material selecto aceptado por El Supervisor y con un contenido de humedad óptimo y homogéneo, es compactado con un equipo motorizado y vibratorio de tal manera que, el porcentaje de compactación sea del 95% PROCTOR Standard. (Relación entre el peso volumétrico seco de material selecto respecto al peso volumétrico seco máximo de laboratorio, fijado por la AASHTO T-99, método C).</w:t>
      </w:r>
    </w:p>
    <w:p w14:paraId="72E090C8" w14:textId="77777777" w:rsidR="001A4860" w:rsidRPr="001A4860" w:rsidRDefault="001A4860" w:rsidP="001A4860">
      <w:pPr>
        <w:rPr>
          <w:sz w:val="22"/>
          <w:szCs w:val="22"/>
          <w:lang w:val="es-ES" w:eastAsia="es-ES"/>
        </w:rPr>
      </w:pPr>
    </w:p>
    <w:p w14:paraId="2C1F2EC9" w14:textId="77777777" w:rsidR="001A4860" w:rsidRPr="001A4860" w:rsidRDefault="001A4860" w:rsidP="001A4860">
      <w:pPr>
        <w:rPr>
          <w:sz w:val="22"/>
          <w:szCs w:val="22"/>
          <w:lang w:val="es-ES" w:eastAsia="es-ES"/>
        </w:rPr>
      </w:pPr>
      <w:r w:rsidRPr="001A4860">
        <w:rPr>
          <w:sz w:val="22"/>
          <w:szCs w:val="22"/>
          <w:lang w:val="es-ES" w:eastAsia="es-ES"/>
        </w:rPr>
        <w:t>En terrenos erosionables, o donde puedan encauzarse corrientes superficiales que puedan arrastrar el material de relleno, es necesario proveer retenciones de concreto simple a todo lo ancho de la zanja y a intervalos convenientes, de manera que eviten el deslave del material. La forma, dimensiones e intervalo de construcción son dispuestos por El Supervisor.</w:t>
      </w:r>
    </w:p>
    <w:p w14:paraId="43529EAD" w14:textId="77777777" w:rsidR="001A4860" w:rsidRPr="001A4860" w:rsidRDefault="001A4860" w:rsidP="001A4860">
      <w:pPr>
        <w:rPr>
          <w:sz w:val="22"/>
          <w:szCs w:val="22"/>
          <w:lang w:val="es-ES" w:eastAsia="es-ES"/>
        </w:rPr>
      </w:pPr>
    </w:p>
    <w:p w14:paraId="539E1B87" w14:textId="77777777" w:rsidR="001A4860" w:rsidRPr="001A4860" w:rsidRDefault="001A4860" w:rsidP="001A4860">
      <w:pPr>
        <w:tabs>
          <w:tab w:val="left" w:pos="993"/>
        </w:tabs>
        <w:rPr>
          <w:b/>
          <w:color w:val="000000"/>
          <w:spacing w:val="-3"/>
          <w:sz w:val="22"/>
          <w:szCs w:val="22"/>
          <w:lang w:val="es-ES" w:eastAsia="es-ES"/>
        </w:rPr>
      </w:pPr>
      <w:r w:rsidRPr="001A4860">
        <w:rPr>
          <w:b/>
          <w:color w:val="000000"/>
          <w:spacing w:val="-3"/>
          <w:sz w:val="22"/>
          <w:szCs w:val="22"/>
          <w:lang w:val="es-ES" w:eastAsia="es-ES"/>
        </w:rPr>
        <w:t>El Contratista realizará la actividad de relleno y compactación de zanjas para la instalación de las líneas de tuberías en su totalidad, cuyo costo debe de ser incluidos a la actividad de tubería de diámetro correspondiente.</w:t>
      </w:r>
      <w:r w:rsidRPr="001A4860">
        <w:rPr>
          <w:color w:val="000000"/>
          <w:spacing w:val="-3"/>
          <w:sz w:val="22"/>
          <w:szCs w:val="22"/>
          <w:lang w:val="es-ES" w:eastAsia="es-ES"/>
        </w:rPr>
        <w:t xml:space="preserve"> </w:t>
      </w:r>
      <w:r w:rsidRPr="001A4860">
        <w:rPr>
          <w:b/>
          <w:color w:val="000000"/>
          <w:spacing w:val="-3"/>
          <w:sz w:val="22"/>
          <w:szCs w:val="22"/>
          <w:lang w:val="es-ES" w:eastAsia="es-ES"/>
        </w:rPr>
        <w:t>Para garantizar la calidad del relleno y compactación el Contratista deberá considerar los equipos y controles de calidad necesarios (Prueba de compactación, Ensayo de densidad), las cuales se realizarán a cada 300 metros de tubería instalada</w:t>
      </w:r>
      <w:r w:rsidRPr="001A4860">
        <w:rPr>
          <w:color w:val="000000"/>
          <w:spacing w:val="-3"/>
          <w:sz w:val="22"/>
          <w:szCs w:val="22"/>
          <w:lang w:val="es-ES" w:eastAsia="es-ES"/>
        </w:rPr>
        <w:t xml:space="preserve">. </w:t>
      </w:r>
      <w:r w:rsidRPr="001A4860">
        <w:rPr>
          <w:b/>
          <w:color w:val="000000"/>
          <w:spacing w:val="-3"/>
          <w:sz w:val="22"/>
          <w:szCs w:val="22"/>
          <w:lang w:val="es-ES" w:eastAsia="es-ES"/>
        </w:rPr>
        <w:t xml:space="preserve">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 </w:t>
      </w:r>
    </w:p>
    <w:p w14:paraId="7392EB39" w14:textId="77777777" w:rsidR="001A4860" w:rsidRPr="001A4860" w:rsidRDefault="001A4860" w:rsidP="001A4860">
      <w:pPr>
        <w:rPr>
          <w:sz w:val="22"/>
          <w:szCs w:val="22"/>
          <w:lang w:val="es-ES" w:eastAsia="es-ES"/>
        </w:rPr>
      </w:pPr>
    </w:p>
    <w:p w14:paraId="6656DA19" w14:textId="77777777" w:rsidR="001A4860" w:rsidRPr="001A4860" w:rsidRDefault="001A4860" w:rsidP="001A4860">
      <w:pPr>
        <w:keepNext/>
        <w:ind w:left="720" w:hanging="720"/>
        <w:outlineLvl w:val="2"/>
        <w:rPr>
          <w:rFonts w:eastAsia="Arial Narrow"/>
          <w:b/>
          <w:bCs/>
          <w:iCs/>
          <w:sz w:val="22"/>
          <w:szCs w:val="22"/>
          <w:lang w:val="es-ES" w:bidi="en-US"/>
        </w:rPr>
      </w:pPr>
      <w:bookmarkStart w:id="662" w:name="_Toc234745659"/>
      <w:bookmarkStart w:id="663" w:name="_Toc475371335"/>
      <w:bookmarkStart w:id="664" w:name="_Toc481596333"/>
      <w:bookmarkStart w:id="665" w:name="_Toc492981657"/>
      <w:bookmarkStart w:id="666" w:name="_Toc23249363"/>
      <w:r w:rsidRPr="001A4860">
        <w:rPr>
          <w:rFonts w:eastAsia="Arial Narrow"/>
          <w:b/>
          <w:bCs/>
          <w:iCs/>
          <w:sz w:val="22"/>
          <w:szCs w:val="22"/>
          <w:lang w:val="es-ES" w:bidi="en-US"/>
        </w:rPr>
        <w:t>Tipos de relleno</w:t>
      </w:r>
      <w:bookmarkEnd w:id="662"/>
      <w:bookmarkEnd w:id="663"/>
      <w:bookmarkEnd w:id="664"/>
      <w:bookmarkEnd w:id="665"/>
      <w:bookmarkEnd w:id="666"/>
    </w:p>
    <w:p w14:paraId="2CF9DC9B" w14:textId="77777777" w:rsidR="001A4860" w:rsidRPr="001A4860" w:rsidRDefault="001A4860" w:rsidP="001A4860">
      <w:pPr>
        <w:rPr>
          <w:sz w:val="22"/>
          <w:szCs w:val="22"/>
          <w:lang w:val="es-ES" w:eastAsia="es-ES"/>
        </w:rPr>
      </w:pPr>
    </w:p>
    <w:p w14:paraId="0890F2E4" w14:textId="77777777" w:rsidR="001A4860" w:rsidRPr="001A4860" w:rsidRDefault="001A4860" w:rsidP="003B68DB">
      <w:pPr>
        <w:numPr>
          <w:ilvl w:val="0"/>
          <w:numId w:val="159"/>
        </w:numPr>
        <w:contextualSpacing/>
        <w:rPr>
          <w:sz w:val="22"/>
          <w:szCs w:val="22"/>
          <w:lang w:val="es-ES" w:eastAsia="es-ES"/>
        </w:rPr>
      </w:pPr>
      <w:r w:rsidRPr="001A4860">
        <w:rPr>
          <w:b/>
          <w:sz w:val="22"/>
          <w:szCs w:val="22"/>
          <w:lang w:val="es-ES" w:eastAsia="es-ES"/>
        </w:rPr>
        <w:t>Relleno común.</w:t>
      </w:r>
    </w:p>
    <w:p w14:paraId="3BC2BA5E" w14:textId="77777777" w:rsidR="001A4860" w:rsidRPr="001A4860" w:rsidRDefault="001A4860" w:rsidP="001A4860">
      <w:pPr>
        <w:rPr>
          <w:sz w:val="22"/>
          <w:szCs w:val="22"/>
          <w:lang w:val="es-ES" w:eastAsia="es-ES"/>
        </w:rPr>
      </w:pPr>
    </w:p>
    <w:p w14:paraId="38748210" w14:textId="77777777" w:rsidR="001A4860" w:rsidRPr="001A4860" w:rsidRDefault="001A4860" w:rsidP="001A4860">
      <w:pPr>
        <w:rPr>
          <w:sz w:val="22"/>
          <w:szCs w:val="22"/>
          <w:lang w:val="es-ES" w:eastAsia="es-ES"/>
        </w:rPr>
      </w:pPr>
      <w:r w:rsidRPr="001A4860">
        <w:rPr>
          <w:sz w:val="22"/>
          <w:szCs w:val="22"/>
          <w:lang w:val="es-ES" w:eastAsia="es-ES"/>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68AE7873" w14:textId="77777777" w:rsidR="001A4860" w:rsidRPr="001A4860" w:rsidRDefault="001A4860" w:rsidP="001A4860">
      <w:pPr>
        <w:rPr>
          <w:sz w:val="22"/>
          <w:szCs w:val="22"/>
          <w:lang w:val="es-ES" w:eastAsia="es-ES"/>
        </w:rPr>
      </w:pPr>
    </w:p>
    <w:p w14:paraId="084FCF6A" w14:textId="77777777" w:rsidR="001A4860" w:rsidRPr="001A4860" w:rsidRDefault="001A4860" w:rsidP="003B68DB">
      <w:pPr>
        <w:numPr>
          <w:ilvl w:val="0"/>
          <w:numId w:val="159"/>
        </w:numPr>
        <w:contextualSpacing/>
        <w:rPr>
          <w:sz w:val="22"/>
          <w:szCs w:val="22"/>
          <w:lang w:val="es-ES" w:eastAsia="es-ES"/>
        </w:rPr>
      </w:pPr>
      <w:r w:rsidRPr="001A4860">
        <w:rPr>
          <w:b/>
          <w:sz w:val="22"/>
          <w:szCs w:val="22"/>
          <w:lang w:val="es-ES" w:eastAsia="es-ES"/>
        </w:rPr>
        <w:t>Relleno especial.</w:t>
      </w:r>
    </w:p>
    <w:p w14:paraId="78D4BDBE" w14:textId="77777777" w:rsidR="001A4860" w:rsidRPr="001A4860" w:rsidRDefault="001A4860" w:rsidP="001A4860">
      <w:pPr>
        <w:rPr>
          <w:sz w:val="22"/>
          <w:szCs w:val="22"/>
          <w:lang w:val="es-ES" w:eastAsia="es-ES"/>
        </w:rPr>
      </w:pPr>
    </w:p>
    <w:p w14:paraId="1480109F" w14:textId="77777777" w:rsidR="001A4860" w:rsidRPr="001A4860" w:rsidRDefault="001A4860" w:rsidP="001A4860">
      <w:pPr>
        <w:rPr>
          <w:sz w:val="22"/>
          <w:szCs w:val="22"/>
          <w:lang w:val="es-ES" w:eastAsia="es-ES"/>
        </w:rPr>
      </w:pPr>
      <w:r w:rsidRPr="001A4860">
        <w:rPr>
          <w:sz w:val="22"/>
          <w:szCs w:val="22"/>
          <w:lang w:val="es-ES" w:eastAsia="es-ES"/>
        </w:rPr>
        <w:t>Las normas establecidas requieren para rellenos de zanjas para tuberías, cierto grado de calidad de material dependiendo de las condiciones específicas encontradas en el subsuelo, algunas veces se obliga el mejoramiento y/o la sustitución del material existente en la excavación, por otro catalogado como relleno especial; Ver el capítulo - EXCAVACION, RELLENO Y COMPACTACION ADICIONAL. Tales rellenos pueden ser: a) de material selecto para sustituir o para mezclar; b) material especial granular; c) material especial arenoso.</w:t>
      </w:r>
    </w:p>
    <w:p w14:paraId="100A5B23" w14:textId="77777777" w:rsidR="001A4860" w:rsidRPr="001A4860" w:rsidRDefault="001A4860" w:rsidP="001A4860">
      <w:pPr>
        <w:rPr>
          <w:sz w:val="22"/>
          <w:szCs w:val="22"/>
          <w:lang w:val="es-ES" w:eastAsia="es-ES"/>
        </w:rPr>
      </w:pPr>
    </w:p>
    <w:p w14:paraId="78570A1B" w14:textId="77777777" w:rsidR="001A4860" w:rsidRPr="001A4860" w:rsidRDefault="001A4860" w:rsidP="001A4860">
      <w:pPr>
        <w:keepNext/>
        <w:ind w:left="720" w:hanging="720"/>
        <w:outlineLvl w:val="2"/>
        <w:rPr>
          <w:rFonts w:eastAsia="Arial Narrow"/>
          <w:b/>
          <w:bCs/>
          <w:iCs/>
          <w:sz w:val="22"/>
          <w:szCs w:val="22"/>
          <w:lang w:val="es-ES" w:bidi="en-US"/>
        </w:rPr>
      </w:pPr>
      <w:bookmarkStart w:id="667" w:name="_Toc23249364"/>
      <w:r w:rsidRPr="001A4860">
        <w:rPr>
          <w:rFonts w:eastAsia="Arial Narrow"/>
          <w:b/>
          <w:bCs/>
          <w:iCs/>
          <w:sz w:val="22"/>
          <w:szCs w:val="22"/>
          <w:lang w:val="es-ES" w:bidi="en-US"/>
        </w:rPr>
        <w:t>Medición y pago</w:t>
      </w:r>
      <w:bookmarkEnd w:id="667"/>
    </w:p>
    <w:p w14:paraId="3E2B9715" w14:textId="77777777" w:rsidR="001A4860" w:rsidRPr="001A4860" w:rsidRDefault="001A4860" w:rsidP="001A4860">
      <w:pPr>
        <w:rPr>
          <w:sz w:val="22"/>
          <w:szCs w:val="22"/>
          <w:lang w:val="es-ES" w:eastAsia="es-ES"/>
        </w:rPr>
      </w:pPr>
    </w:p>
    <w:p w14:paraId="294FE269" w14:textId="77777777" w:rsidR="001A4860" w:rsidRPr="001A4860" w:rsidRDefault="001A4860" w:rsidP="001A4860">
      <w:pPr>
        <w:rPr>
          <w:i/>
          <w:spacing w:val="-3"/>
          <w:sz w:val="22"/>
          <w:szCs w:val="22"/>
          <w:lang w:val="es-ES" w:eastAsia="es-ES"/>
        </w:rPr>
      </w:pPr>
      <w:r w:rsidRPr="001A4860">
        <w:rPr>
          <w:i/>
          <w:spacing w:val="-3"/>
          <w:sz w:val="22"/>
          <w:szCs w:val="22"/>
          <w:lang w:val="es-ES" w:eastAsia="es-ES"/>
        </w:rPr>
        <w:t>El Contratista realiza la actividad de relleno y compactación de zanjas para la instalación de las tuberías en su totalidad, cuyo costo debe de ser incluido a la actividad de tubería de diámetro correspondiente, en el formato de oferta.</w:t>
      </w:r>
    </w:p>
    <w:p w14:paraId="78ADB18E" w14:textId="77777777" w:rsidR="001A4860" w:rsidRPr="001A4860" w:rsidRDefault="001A4860" w:rsidP="001A4860">
      <w:pPr>
        <w:rPr>
          <w:spacing w:val="-3"/>
          <w:sz w:val="22"/>
          <w:szCs w:val="22"/>
          <w:lang w:val="es-ES" w:eastAsia="es-ES"/>
        </w:rPr>
      </w:pPr>
    </w:p>
    <w:p w14:paraId="3A818581" w14:textId="77777777" w:rsidR="001A4860" w:rsidRPr="001A4860" w:rsidRDefault="001A4860" w:rsidP="001A4860">
      <w:pPr>
        <w:rPr>
          <w:spacing w:val="-3"/>
          <w:sz w:val="22"/>
          <w:szCs w:val="22"/>
          <w:lang w:val="es-ES" w:eastAsia="es-ES"/>
        </w:rPr>
      </w:pPr>
      <w:r w:rsidRPr="001A4860">
        <w:rPr>
          <w:spacing w:val="-3"/>
          <w:sz w:val="22"/>
          <w:szCs w:val="22"/>
          <w:lang w:val="es-ES" w:eastAsia="es-ES"/>
        </w:rPr>
        <w:t xml:space="preserve">El volumen de relleno y compactación de las zanjas para tuberías, se mide en m3. </w:t>
      </w:r>
    </w:p>
    <w:p w14:paraId="15EB7584" w14:textId="77777777" w:rsidR="001A4860" w:rsidRPr="001A4860" w:rsidRDefault="001A4860" w:rsidP="001A4860">
      <w:pPr>
        <w:rPr>
          <w:spacing w:val="-3"/>
          <w:sz w:val="22"/>
          <w:szCs w:val="22"/>
          <w:lang w:val="es-ES" w:eastAsia="es-ES"/>
        </w:rPr>
      </w:pPr>
    </w:p>
    <w:p w14:paraId="0507FFA8" w14:textId="77777777" w:rsidR="001A4860" w:rsidRPr="001A4860" w:rsidRDefault="001A4860" w:rsidP="001A4860">
      <w:pPr>
        <w:rPr>
          <w:b/>
          <w:spacing w:val="-3"/>
          <w:sz w:val="22"/>
          <w:szCs w:val="22"/>
          <w:lang w:val="es-ES" w:eastAsia="es-ES"/>
        </w:rPr>
      </w:pPr>
      <w:r w:rsidRPr="001A4860">
        <w:rPr>
          <w:b/>
          <w:spacing w:val="-3"/>
          <w:sz w:val="22"/>
          <w:szCs w:val="22"/>
          <w:lang w:val="es-ES" w:eastAsia="es-ES"/>
        </w:rPr>
        <w:t>Medición</w:t>
      </w:r>
    </w:p>
    <w:p w14:paraId="1EE77413" w14:textId="77777777" w:rsidR="001A4860" w:rsidRPr="001A4860" w:rsidRDefault="001A4860" w:rsidP="001A4860">
      <w:pPr>
        <w:rPr>
          <w:spacing w:val="-3"/>
          <w:sz w:val="22"/>
          <w:szCs w:val="22"/>
          <w:lang w:val="es-ES" w:eastAsia="es-ES"/>
        </w:rPr>
      </w:pPr>
    </w:p>
    <w:p w14:paraId="305CBE8A" w14:textId="77777777" w:rsidR="001A4860" w:rsidRPr="001A4860" w:rsidRDefault="001A4860" w:rsidP="001A4860">
      <w:pPr>
        <w:rPr>
          <w:spacing w:val="-3"/>
          <w:sz w:val="22"/>
          <w:szCs w:val="22"/>
          <w:lang w:val="es-ES" w:eastAsia="es-ES"/>
        </w:rPr>
      </w:pPr>
      <w:r w:rsidRPr="001A4860">
        <w:rPr>
          <w:spacing w:val="-3"/>
          <w:sz w:val="22"/>
          <w:szCs w:val="22"/>
          <w:lang w:val="es-ES" w:eastAsia="es-ES"/>
        </w:rPr>
        <w:t xml:space="preserve">Se calcula el área de la sección transversal de la zanja (en m2) que resulta de multiplicar el </w:t>
      </w:r>
      <w:r w:rsidRPr="001A4860">
        <w:rPr>
          <w:i/>
          <w:spacing w:val="-3"/>
          <w:sz w:val="22"/>
          <w:szCs w:val="22"/>
          <w:lang w:val="es-ES" w:eastAsia="es-ES"/>
        </w:rPr>
        <w:t>ancho de zanja</w:t>
      </w:r>
      <w:r w:rsidRPr="001A4860">
        <w:rPr>
          <w:spacing w:val="-3"/>
          <w:sz w:val="22"/>
          <w:szCs w:val="22"/>
          <w:lang w:val="es-ES" w:eastAsia="es-ES"/>
        </w:rPr>
        <w:t xml:space="preserve"> (m) por la </w:t>
      </w:r>
      <w:r w:rsidRPr="001A4860">
        <w:rPr>
          <w:i/>
          <w:spacing w:val="-3"/>
          <w:sz w:val="22"/>
          <w:szCs w:val="22"/>
          <w:lang w:val="es-ES" w:eastAsia="es-ES"/>
        </w:rPr>
        <w:t xml:space="preserve">profundidad total de excavación (m). Al área de la </w:t>
      </w:r>
      <w:r w:rsidRPr="001A4860">
        <w:rPr>
          <w:spacing w:val="-3"/>
          <w:sz w:val="22"/>
          <w:szCs w:val="22"/>
          <w:lang w:val="es-ES" w:eastAsia="es-ES"/>
        </w:rPr>
        <w:t>sección transversal de la zanja, s</w:t>
      </w:r>
      <w:r w:rsidRPr="001A4860">
        <w:rPr>
          <w:i/>
          <w:spacing w:val="-3"/>
          <w:sz w:val="22"/>
          <w:szCs w:val="22"/>
          <w:lang w:val="es-ES" w:eastAsia="es-ES"/>
        </w:rPr>
        <w:t>e le resta el área ocupada de la tubería según su diámetro externo. El producto es el área de relleno.</w:t>
      </w:r>
      <w:r w:rsidRPr="001A4860">
        <w:rPr>
          <w:spacing w:val="-3"/>
          <w:sz w:val="22"/>
          <w:szCs w:val="22"/>
          <w:lang w:val="es-ES" w:eastAsia="es-ES"/>
        </w:rPr>
        <w:t xml:space="preserve"> El área de relleno obtenida se multiplica por la longitud de tubería (m) del diámetro correspondiente.</w:t>
      </w:r>
    </w:p>
    <w:p w14:paraId="71069277" w14:textId="77777777" w:rsidR="001A4860" w:rsidRPr="001A4860" w:rsidRDefault="001A4860" w:rsidP="001A4860">
      <w:pPr>
        <w:rPr>
          <w:sz w:val="22"/>
          <w:szCs w:val="22"/>
          <w:lang w:val="es-ES" w:eastAsia="es-ES"/>
        </w:rPr>
      </w:pPr>
    </w:p>
    <w:p w14:paraId="242DD35F" w14:textId="77777777" w:rsidR="001A4860" w:rsidRPr="001A4860" w:rsidRDefault="001A4860" w:rsidP="001A4860">
      <w:pPr>
        <w:rPr>
          <w:b/>
          <w:sz w:val="22"/>
          <w:szCs w:val="22"/>
          <w:lang w:val="es-ES" w:eastAsia="es-ES"/>
        </w:rPr>
      </w:pPr>
      <w:r w:rsidRPr="001A4860">
        <w:rPr>
          <w:b/>
          <w:sz w:val="22"/>
          <w:szCs w:val="22"/>
          <w:lang w:val="es-ES" w:eastAsia="es-ES"/>
        </w:rPr>
        <w:t>Pago</w:t>
      </w:r>
    </w:p>
    <w:p w14:paraId="0D12ABF9" w14:textId="77777777" w:rsidR="001A4860" w:rsidRPr="001A4860" w:rsidRDefault="001A4860" w:rsidP="001A4860">
      <w:pPr>
        <w:rPr>
          <w:sz w:val="22"/>
          <w:szCs w:val="22"/>
          <w:lang w:val="es-ES" w:eastAsia="es-ES"/>
        </w:rPr>
      </w:pPr>
    </w:p>
    <w:p w14:paraId="205C155F" w14:textId="77777777" w:rsidR="001A4860" w:rsidRPr="001A4860" w:rsidRDefault="001A4860" w:rsidP="001A4860">
      <w:pPr>
        <w:rPr>
          <w:sz w:val="22"/>
          <w:szCs w:val="22"/>
          <w:lang w:val="es-ES" w:eastAsia="es-ES"/>
        </w:rPr>
      </w:pPr>
      <w:r w:rsidRPr="001A4860">
        <w:rPr>
          <w:sz w:val="22"/>
          <w:szCs w:val="22"/>
          <w:lang w:val="es-ES" w:eastAsia="es-ES"/>
        </w:rPr>
        <w:t xml:space="preserve">Los pagos por </w:t>
      </w:r>
      <w:r w:rsidRPr="001A4860">
        <w:rPr>
          <w:i/>
          <w:sz w:val="22"/>
          <w:szCs w:val="22"/>
          <w:lang w:val="es-ES" w:eastAsia="es-ES"/>
        </w:rPr>
        <w:t>relleno y compactación de zanjas para tuberías</w:t>
      </w:r>
      <w:r w:rsidRPr="001A4860">
        <w:rPr>
          <w:sz w:val="22"/>
          <w:szCs w:val="22"/>
          <w:lang w:val="es-ES" w:eastAsia="es-ES"/>
        </w:rPr>
        <w:t xml:space="preserve">, hacer por metro lineal de tubería instalada del diámetro correspondiente, conforme a los precios unitarios que se estipulan en la Oferta. </w:t>
      </w:r>
      <w:r w:rsidRPr="001A4860">
        <w:rPr>
          <w:i/>
          <w:sz w:val="22"/>
          <w:szCs w:val="22"/>
          <w:lang w:val="es-ES" w:eastAsia="es-ES"/>
        </w:rPr>
        <w:t>Para los efectos de pago, la longitud de la tubería es medida sobre el eje central de la corona de la tubería, una vez que haya sido colocada y esté de acuerdo con el relleno y compactación a las profundidades, alineación y pendiente mostrada en los planos, señaladas en estas especificaciones y/o las indicaciones del Supervisor.</w:t>
      </w:r>
    </w:p>
    <w:p w14:paraId="07ACB3E8" w14:textId="77777777" w:rsidR="001A4860" w:rsidRPr="001A4860" w:rsidRDefault="001A4860" w:rsidP="001A4860">
      <w:pPr>
        <w:rPr>
          <w:sz w:val="22"/>
          <w:szCs w:val="22"/>
          <w:lang w:val="es-ES" w:eastAsia="es-ES"/>
        </w:rPr>
      </w:pPr>
    </w:p>
    <w:p w14:paraId="077E8F52" w14:textId="77777777" w:rsidR="001A4860" w:rsidRPr="001A4860" w:rsidRDefault="001A4860" w:rsidP="001A4860">
      <w:pPr>
        <w:rPr>
          <w:sz w:val="22"/>
          <w:szCs w:val="22"/>
          <w:lang w:val="es-ES" w:eastAsia="es-ES"/>
        </w:rPr>
      </w:pPr>
    </w:p>
    <w:p w14:paraId="1D4CED92" w14:textId="77777777" w:rsidR="001A4860" w:rsidRPr="001A4860" w:rsidRDefault="001A4860" w:rsidP="001A4860">
      <w:pPr>
        <w:rPr>
          <w:sz w:val="22"/>
          <w:szCs w:val="22"/>
          <w:lang w:val="es-ES" w:eastAsia="es-ES"/>
        </w:rPr>
      </w:pPr>
    </w:p>
    <w:p w14:paraId="2B42B708" w14:textId="77777777" w:rsidR="001A4860" w:rsidRPr="001A4860" w:rsidRDefault="001A4860" w:rsidP="001A4860">
      <w:pPr>
        <w:keepNext/>
        <w:ind w:left="720" w:hanging="720"/>
        <w:outlineLvl w:val="2"/>
        <w:rPr>
          <w:rFonts w:eastAsia="Arial Narrow"/>
          <w:b/>
          <w:bCs/>
          <w:iCs/>
          <w:sz w:val="22"/>
          <w:szCs w:val="22"/>
          <w:lang w:val="es-ES" w:bidi="en-US"/>
        </w:rPr>
      </w:pPr>
      <w:bookmarkStart w:id="668" w:name="_Toc23249365"/>
      <w:r w:rsidRPr="001A4860">
        <w:rPr>
          <w:rFonts w:eastAsia="Arial Narrow"/>
          <w:b/>
          <w:bCs/>
          <w:iCs/>
          <w:sz w:val="22"/>
          <w:szCs w:val="22"/>
          <w:lang w:val="es-ES" w:bidi="en-US"/>
        </w:rPr>
        <w:t>Estudios de suelos para control de calidad de relleno y compactación</w:t>
      </w:r>
      <w:bookmarkEnd w:id="668"/>
    </w:p>
    <w:p w14:paraId="39748234" w14:textId="77777777" w:rsidR="001A4860" w:rsidRPr="001A4860" w:rsidRDefault="001A4860" w:rsidP="001A4860">
      <w:pPr>
        <w:rPr>
          <w:sz w:val="22"/>
          <w:szCs w:val="22"/>
          <w:lang w:val="es-ES" w:eastAsia="es-ES"/>
        </w:rPr>
      </w:pPr>
    </w:p>
    <w:p w14:paraId="45B3C5A1" w14:textId="77777777" w:rsidR="001A4860" w:rsidRPr="001A4860" w:rsidRDefault="001A4860" w:rsidP="001A4860">
      <w:pPr>
        <w:rPr>
          <w:sz w:val="22"/>
          <w:szCs w:val="22"/>
          <w:lang w:val="es-ES" w:eastAsia="es-ES"/>
        </w:rPr>
      </w:pPr>
      <w:r w:rsidRPr="001A4860">
        <w:rPr>
          <w:sz w:val="22"/>
          <w:szCs w:val="22"/>
          <w:lang w:val="es-ES" w:eastAsia="es-ES"/>
        </w:rPr>
        <w:t xml:space="preserve">Sin perjuicio de lo dispuesto en estas especificaciones, el Contratista pone a disposición del Supervisor el personal y los equipos necesarios para efectuar cualquier estudio de suelo que el Supervisor considere razonablemente necesario en los siguientes casos: </w:t>
      </w:r>
    </w:p>
    <w:p w14:paraId="1CB188EF" w14:textId="77777777" w:rsidR="001A4860" w:rsidRPr="001A4860" w:rsidRDefault="001A4860" w:rsidP="001A4860">
      <w:pPr>
        <w:rPr>
          <w:sz w:val="22"/>
          <w:szCs w:val="22"/>
          <w:lang w:val="es-ES" w:eastAsia="es-ES"/>
        </w:rPr>
      </w:pPr>
    </w:p>
    <w:p w14:paraId="61DEEB53" w14:textId="77777777" w:rsidR="001A4860" w:rsidRPr="001A4860" w:rsidRDefault="001A4860" w:rsidP="001A4860">
      <w:pPr>
        <w:keepNext/>
        <w:jc w:val="left"/>
        <w:outlineLvl w:val="3"/>
        <w:rPr>
          <w:b/>
          <w:bCs/>
          <w:sz w:val="22"/>
          <w:szCs w:val="22"/>
          <w:lang w:val="es-ES" w:eastAsia="es-ES"/>
        </w:rPr>
      </w:pPr>
      <w:bookmarkStart w:id="669" w:name="_Toc23249366"/>
      <w:r w:rsidRPr="001A4860">
        <w:rPr>
          <w:b/>
          <w:bCs/>
          <w:sz w:val="22"/>
          <w:szCs w:val="22"/>
          <w:lang w:val="es-ES" w:eastAsia="es-ES"/>
        </w:rPr>
        <w:t>En zanjas de tuberías</w:t>
      </w:r>
      <w:bookmarkEnd w:id="669"/>
    </w:p>
    <w:p w14:paraId="3FF6B953" w14:textId="77777777" w:rsidR="001A4860" w:rsidRPr="001A4860" w:rsidRDefault="001A4860" w:rsidP="001A4860">
      <w:pPr>
        <w:rPr>
          <w:spacing w:val="-3"/>
          <w:sz w:val="22"/>
          <w:szCs w:val="22"/>
          <w:lang w:val="es-ES" w:eastAsia="es-ES"/>
        </w:rPr>
      </w:pPr>
    </w:p>
    <w:p w14:paraId="77308DC0" w14:textId="77777777" w:rsidR="001A4860" w:rsidRPr="001A4860" w:rsidRDefault="001A4860" w:rsidP="001A4860">
      <w:pPr>
        <w:rPr>
          <w:b/>
          <w:spacing w:val="-3"/>
          <w:sz w:val="22"/>
          <w:szCs w:val="22"/>
          <w:lang w:val="es-ES" w:eastAsia="es-ES"/>
        </w:rPr>
      </w:pPr>
      <w:r w:rsidRPr="001A4860">
        <w:rPr>
          <w:b/>
          <w:spacing w:val="-3"/>
          <w:sz w:val="22"/>
          <w:szCs w:val="22"/>
          <w:lang w:val="es-ES" w:eastAsia="es-ES"/>
        </w:rPr>
        <w:t>Para garantizar la calidad del relleno y compactación de zanjas para tuberías, el Contratista debe considerar los equipos y controles de calidad necesarios (Prueba de compactación, Ensayo de densidad), las cuales se realizan a cada 300 metros de tubería instalada. En el caso que la tubería pase por áreas de tráfico vehicular se realizan dichas pruebas a cada 100 metros a ser definidas por el Supervisor. Los costos de controles de calidad necesarios deben ser incluidos en la actividad de tubería de diámetro correspondiente, en el formato de oferta.</w:t>
      </w:r>
    </w:p>
    <w:p w14:paraId="1CBAEE78" w14:textId="77777777" w:rsidR="001A4860" w:rsidRPr="001A4860" w:rsidRDefault="001A4860" w:rsidP="001A4860">
      <w:pPr>
        <w:rPr>
          <w:spacing w:val="-3"/>
          <w:sz w:val="22"/>
          <w:szCs w:val="22"/>
          <w:lang w:val="es-ES" w:eastAsia="es-ES"/>
        </w:rPr>
      </w:pPr>
    </w:p>
    <w:p w14:paraId="4A5B44D7" w14:textId="77777777" w:rsidR="001A4860" w:rsidRPr="001A4860" w:rsidRDefault="001A4860" w:rsidP="001A4860">
      <w:pPr>
        <w:keepNext/>
        <w:jc w:val="left"/>
        <w:outlineLvl w:val="3"/>
        <w:rPr>
          <w:b/>
          <w:bCs/>
          <w:sz w:val="22"/>
          <w:szCs w:val="22"/>
          <w:lang w:val="es-ES" w:eastAsia="es-ES"/>
        </w:rPr>
      </w:pPr>
      <w:bookmarkStart w:id="670" w:name="_Toc23249367"/>
      <w:r w:rsidRPr="001A4860">
        <w:rPr>
          <w:b/>
          <w:bCs/>
          <w:sz w:val="22"/>
          <w:szCs w:val="22"/>
          <w:lang w:val="es-ES" w:eastAsia="es-ES"/>
        </w:rPr>
        <w:t>En fundaciones de tanque de almacenamiento</w:t>
      </w:r>
      <w:bookmarkEnd w:id="670"/>
    </w:p>
    <w:p w14:paraId="2A6CBE61" w14:textId="77777777" w:rsidR="001A4860" w:rsidRPr="001A4860" w:rsidRDefault="001A4860" w:rsidP="001A4860">
      <w:pPr>
        <w:rPr>
          <w:sz w:val="22"/>
          <w:szCs w:val="22"/>
          <w:lang w:val="es-ES" w:eastAsia="es-ES"/>
        </w:rPr>
      </w:pPr>
    </w:p>
    <w:p w14:paraId="28D053A6" w14:textId="77777777" w:rsidR="001A4860" w:rsidRPr="001A4860" w:rsidRDefault="001A4860" w:rsidP="001A4860">
      <w:pPr>
        <w:rPr>
          <w:sz w:val="22"/>
          <w:szCs w:val="22"/>
          <w:lang w:val="es-ES" w:eastAsia="es-ES"/>
        </w:rPr>
      </w:pPr>
      <w:r w:rsidRPr="001A4860">
        <w:rPr>
          <w:sz w:val="22"/>
          <w:szCs w:val="22"/>
          <w:lang w:val="es-ES" w:eastAsia="es-ES"/>
        </w:rPr>
        <w:t>Con el objetivo de comprobar el cumplimiento de las especificaciones, del grado de compactación requerido del relleno realizado para el mejoramiento de suelo en el sitio de emplazamiento del tanque de almacenamiento, se realizan dos pruebas de compactación, cuyas ubicaciones son indicadas por El Supervisor. El costo incurrido por todas las pruebas de compactación es asumido por El Contratista.</w:t>
      </w:r>
    </w:p>
    <w:p w14:paraId="5B25DAEC" w14:textId="77777777" w:rsidR="001A4860" w:rsidRPr="001A4860" w:rsidRDefault="001A4860" w:rsidP="001A4860">
      <w:pPr>
        <w:rPr>
          <w:sz w:val="22"/>
          <w:szCs w:val="22"/>
          <w:lang w:val="es-ES" w:eastAsia="es-ES"/>
        </w:rPr>
      </w:pPr>
    </w:p>
    <w:p w14:paraId="564C84D9" w14:textId="77777777" w:rsidR="001A4860" w:rsidRPr="001A4860" w:rsidRDefault="001A4860" w:rsidP="001A4860">
      <w:pPr>
        <w:rPr>
          <w:sz w:val="22"/>
          <w:szCs w:val="22"/>
          <w:lang w:val="es-ES" w:eastAsia="es-ES"/>
        </w:rPr>
      </w:pPr>
      <w:r w:rsidRPr="001A4860">
        <w:rPr>
          <w:sz w:val="22"/>
          <w:szCs w:val="22"/>
          <w:lang w:val="es-ES" w:eastAsia="es-ES"/>
        </w:rPr>
        <w:t>El Contratista somete a aprobación, el laboratorio de materiales que hace las pruebas de compactación y éste es escogido de una terna sometida al Supervisor.</w:t>
      </w:r>
    </w:p>
    <w:p w14:paraId="50914F00" w14:textId="77777777" w:rsidR="001A4860" w:rsidRPr="001A4860" w:rsidRDefault="001A4860" w:rsidP="001A4860">
      <w:pPr>
        <w:rPr>
          <w:sz w:val="22"/>
          <w:szCs w:val="22"/>
          <w:lang w:val="es-ES" w:eastAsia="es-ES"/>
        </w:rPr>
      </w:pPr>
    </w:p>
    <w:p w14:paraId="7190887E" w14:textId="77777777" w:rsidR="001A4860" w:rsidRPr="001A4860" w:rsidRDefault="001A4860" w:rsidP="001A4860">
      <w:pPr>
        <w:keepNext/>
        <w:ind w:left="720" w:hanging="720"/>
        <w:outlineLvl w:val="2"/>
        <w:rPr>
          <w:rFonts w:eastAsia="Arial Narrow"/>
          <w:b/>
          <w:bCs/>
          <w:iCs/>
          <w:sz w:val="22"/>
          <w:szCs w:val="22"/>
          <w:lang w:val="es-ES" w:bidi="en-US"/>
        </w:rPr>
      </w:pPr>
      <w:bookmarkStart w:id="671" w:name="_Toc195479233"/>
      <w:bookmarkStart w:id="672" w:name="_Toc234745661"/>
      <w:bookmarkStart w:id="673" w:name="_Toc295977198"/>
      <w:bookmarkStart w:id="674" w:name="_Toc475371337"/>
      <w:bookmarkStart w:id="675" w:name="_Toc481596335"/>
      <w:bookmarkStart w:id="676" w:name="_Toc492981659"/>
      <w:bookmarkStart w:id="677" w:name="_Toc23249368"/>
      <w:r w:rsidRPr="001A4860">
        <w:rPr>
          <w:rFonts w:eastAsia="Arial Narrow"/>
          <w:b/>
          <w:bCs/>
          <w:iCs/>
          <w:sz w:val="22"/>
          <w:szCs w:val="22"/>
          <w:lang w:val="es-ES" w:bidi="en-US"/>
        </w:rPr>
        <w:t>Disposición de Material Sobrante</w:t>
      </w:r>
      <w:bookmarkEnd w:id="671"/>
      <w:bookmarkEnd w:id="672"/>
      <w:bookmarkEnd w:id="673"/>
      <w:bookmarkEnd w:id="674"/>
      <w:bookmarkEnd w:id="675"/>
      <w:bookmarkEnd w:id="676"/>
      <w:bookmarkEnd w:id="677"/>
    </w:p>
    <w:p w14:paraId="50D12D47" w14:textId="77777777" w:rsidR="001A4860" w:rsidRPr="001A4860" w:rsidRDefault="001A4860" w:rsidP="001A4860">
      <w:pPr>
        <w:rPr>
          <w:b/>
          <w:sz w:val="22"/>
          <w:szCs w:val="22"/>
          <w:lang w:val="es-ES" w:eastAsia="es-ES"/>
        </w:rPr>
      </w:pPr>
    </w:p>
    <w:p w14:paraId="03C2DF07" w14:textId="77777777" w:rsidR="001A4860" w:rsidRPr="001A4860" w:rsidRDefault="001A4860" w:rsidP="001A4860">
      <w:pPr>
        <w:keepNext/>
        <w:jc w:val="left"/>
        <w:outlineLvl w:val="3"/>
        <w:rPr>
          <w:b/>
          <w:bCs/>
          <w:sz w:val="22"/>
          <w:szCs w:val="22"/>
          <w:lang w:val="es-ES" w:eastAsia="es-ES"/>
        </w:rPr>
      </w:pPr>
      <w:bookmarkStart w:id="678" w:name="_Toc234745662"/>
      <w:bookmarkStart w:id="679" w:name="_Toc492981660"/>
      <w:bookmarkStart w:id="680" w:name="_Toc23249369"/>
      <w:r w:rsidRPr="001A4860">
        <w:rPr>
          <w:b/>
          <w:bCs/>
          <w:sz w:val="22"/>
          <w:szCs w:val="22"/>
          <w:lang w:val="es-ES" w:eastAsia="es-ES"/>
        </w:rPr>
        <w:t>Recursos y procedimientos</w:t>
      </w:r>
      <w:bookmarkEnd w:id="678"/>
      <w:bookmarkEnd w:id="679"/>
      <w:bookmarkEnd w:id="680"/>
    </w:p>
    <w:p w14:paraId="65F2C809" w14:textId="77777777" w:rsidR="001A4860" w:rsidRPr="001A4860" w:rsidRDefault="001A4860" w:rsidP="001A4860">
      <w:pPr>
        <w:rPr>
          <w:sz w:val="22"/>
          <w:szCs w:val="22"/>
          <w:lang w:val="es-ES" w:eastAsia="es-ES"/>
        </w:rPr>
      </w:pPr>
    </w:p>
    <w:p w14:paraId="2DF0FFD3" w14:textId="77777777" w:rsidR="001A4860" w:rsidRPr="001A4860" w:rsidRDefault="001A4860" w:rsidP="001A4860">
      <w:pPr>
        <w:rPr>
          <w:sz w:val="22"/>
          <w:szCs w:val="22"/>
          <w:lang w:val="es-ES" w:eastAsia="es-ES"/>
        </w:rPr>
      </w:pPr>
      <w:r w:rsidRPr="001A4860">
        <w:rPr>
          <w:sz w:val="22"/>
          <w:szCs w:val="22"/>
          <w:lang w:val="es-ES" w:eastAsia="es-ES"/>
        </w:rPr>
        <w:t xml:space="preserve">Si por cualquier razón, después del relleno y compactación de zanjas o pozos queda material sobrante, debe ser dispuesto por la comunidad con el apoyo del Contratista. El material sobrante extraído y sustituido por contener elementos inadecuados y/o por excedente después de la instalación de las tuberías y accesorios, </w:t>
      </w:r>
      <w:r w:rsidRPr="001A4860">
        <w:rPr>
          <w:sz w:val="22"/>
          <w:szCs w:val="22"/>
          <w:lang w:val="es-ES" w:eastAsia="es-ES"/>
        </w:rPr>
        <w:lastRenderedPageBreak/>
        <w:t>debe ser dispuesto por la comunidad con el apoyo del Contratista. El Contratista, a su cuenta, debe suministrar todos los recursos necesarios para retirarlos del sitio de las obras y depositarlos adecuadamente conforme las exigencias de la Alcaldía.</w:t>
      </w:r>
    </w:p>
    <w:p w14:paraId="1193137A" w14:textId="77777777" w:rsidR="001A4860" w:rsidRPr="001A4860" w:rsidRDefault="001A4860" w:rsidP="001A4860">
      <w:pPr>
        <w:rPr>
          <w:sz w:val="22"/>
          <w:szCs w:val="22"/>
          <w:lang w:val="es-ES" w:eastAsia="es-ES"/>
        </w:rPr>
      </w:pPr>
    </w:p>
    <w:p w14:paraId="525EF048" w14:textId="77777777" w:rsidR="001A4860" w:rsidRPr="001A4860" w:rsidRDefault="001A4860" w:rsidP="001A4860">
      <w:pPr>
        <w:rPr>
          <w:sz w:val="22"/>
          <w:szCs w:val="22"/>
          <w:lang w:val="es-ES" w:eastAsia="es-ES"/>
        </w:rPr>
      </w:pPr>
      <w:r w:rsidRPr="001A4860">
        <w:rPr>
          <w:sz w:val="22"/>
          <w:szCs w:val="22"/>
          <w:lang w:val="es-ES" w:eastAsia="es-ES"/>
        </w:rPr>
        <w:t>En el caso que el material sobrante sea debido a la importación de material adicional de relleno, ya sea para sustituir material indeseable en el sitio de la excavación o para combinar y mejorar el relleno para zanja y/o pozo excavados, la disposición es efectuada siempre a cuenta de el Contratista, pero está incluido en el concepto de obra de la etapa - EXCAVACION, RELLENO Y COMPACTACION ADICIONAL.</w:t>
      </w:r>
    </w:p>
    <w:p w14:paraId="1F34E681" w14:textId="77777777" w:rsidR="001A4860" w:rsidRPr="001A4860" w:rsidRDefault="001A4860" w:rsidP="001A4860">
      <w:pPr>
        <w:rPr>
          <w:sz w:val="22"/>
          <w:szCs w:val="22"/>
          <w:lang w:val="es-ES" w:eastAsia="es-ES"/>
        </w:rPr>
      </w:pPr>
    </w:p>
    <w:p w14:paraId="4B7BAF5D" w14:textId="77777777" w:rsidR="001A4860" w:rsidRPr="001A4860" w:rsidRDefault="001A4860" w:rsidP="001A4860">
      <w:pPr>
        <w:rPr>
          <w:sz w:val="22"/>
          <w:szCs w:val="22"/>
          <w:lang w:val="es-ES" w:eastAsia="es-ES"/>
        </w:rPr>
      </w:pPr>
      <w:r w:rsidRPr="001A4860">
        <w:rPr>
          <w:sz w:val="22"/>
          <w:szCs w:val="22"/>
          <w:lang w:val="es-ES" w:eastAsia="es-ES"/>
        </w:rPr>
        <w:t>Si es el caso, la disposición del material sobrante de la rotura de base y carpeta de rodamiento debe incluirse en el concepto de obra de la etapa - ROTURA Y REPOSICION DE BASE Y CARPETA DE RODAMIENTO.</w:t>
      </w:r>
    </w:p>
    <w:p w14:paraId="63036E15" w14:textId="77777777" w:rsidR="001A4860" w:rsidRPr="001A4860" w:rsidRDefault="001A4860" w:rsidP="001A4860">
      <w:pPr>
        <w:rPr>
          <w:sz w:val="22"/>
          <w:szCs w:val="22"/>
          <w:lang w:val="es-ES" w:eastAsia="es-ES"/>
        </w:rPr>
      </w:pPr>
      <w:bookmarkStart w:id="681" w:name="_Toc234745663"/>
      <w:bookmarkStart w:id="682" w:name="_Toc295977199"/>
    </w:p>
    <w:p w14:paraId="15A2F9AB" w14:textId="77777777" w:rsidR="001A4860" w:rsidRPr="001A4860" w:rsidRDefault="001A4860" w:rsidP="001A4860">
      <w:pPr>
        <w:keepNext/>
        <w:outlineLvl w:val="1"/>
        <w:rPr>
          <w:rFonts w:eastAsia="Arial Narrow"/>
          <w:b/>
          <w:bCs/>
          <w:iCs/>
          <w:sz w:val="22"/>
          <w:szCs w:val="22"/>
          <w:lang w:val="es-NI"/>
        </w:rPr>
      </w:pPr>
      <w:bookmarkStart w:id="683" w:name="_Toc475371338"/>
      <w:bookmarkStart w:id="684" w:name="_Toc481596336"/>
      <w:bookmarkStart w:id="685" w:name="_Toc492981661"/>
      <w:bookmarkStart w:id="686" w:name="_Toc23249370"/>
      <w:r w:rsidRPr="001A4860">
        <w:rPr>
          <w:rFonts w:eastAsia="Arial Narrow"/>
          <w:b/>
          <w:bCs/>
          <w:iCs/>
          <w:sz w:val="22"/>
          <w:szCs w:val="22"/>
          <w:lang w:val="es-NI"/>
        </w:rPr>
        <w:t>Medición y Pago por Instalación de Tubería</w:t>
      </w:r>
      <w:bookmarkEnd w:id="681"/>
      <w:bookmarkEnd w:id="682"/>
      <w:bookmarkEnd w:id="683"/>
      <w:bookmarkEnd w:id="684"/>
      <w:bookmarkEnd w:id="685"/>
      <w:bookmarkEnd w:id="686"/>
    </w:p>
    <w:p w14:paraId="2850C706" w14:textId="77777777" w:rsidR="001A4860" w:rsidRPr="001A4860" w:rsidRDefault="001A4860" w:rsidP="001A4860">
      <w:pPr>
        <w:rPr>
          <w:b/>
          <w:sz w:val="22"/>
          <w:szCs w:val="22"/>
          <w:lang w:val="es-ES" w:eastAsia="es-ES"/>
        </w:rPr>
      </w:pPr>
    </w:p>
    <w:p w14:paraId="3DF009F8" w14:textId="77777777" w:rsidR="001A4860" w:rsidRPr="001A4860" w:rsidRDefault="001A4860" w:rsidP="001A4860">
      <w:pPr>
        <w:rPr>
          <w:sz w:val="22"/>
          <w:szCs w:val="22"/>
          <w:lang w:val="es-ES" w:eastAsia="es-ES"/>
        </w:rPr>
      </w:pPr>
      <w:r w:rsidRPr="001A4860">
        <w:rPr>
          <w:sz w:val="22"/>
          <w:szCs w:val="22"/>
          <w:lang w:val="es-ES" w:eastAsia="es-ES"/>
        </w:rPr>
        <w:t>Los pagos por instalación de tuberías hacer por metro lineal de tubería instalada, conforme a los precios unitarios que se estipulan en la Oferta.Para los efectos de pago, la longitud de la tubería es medida sobre el eje central de la corona de la tubería, una vez que haya sido colocada y esté de acuerdo con las profundidades, alineación y pendiente mostrada en los planos, señaladas en estas especificaciones y/o las indicaciones de El Supervisor.</w:t>
      </w:r>
    </w:p>
    <w:p w14:paraId="3CBB524D" w14:textId="77777777" w:rsidR="001A4860" w:rsidRPr="001A4860" w:rsidRDefault="001A4860" w:rsidP="001A4860">
      <w:pPr>
        <w:rPr>
          <w:b/>
          <w:sz w:val="22"/>
          <w:szCs w:val="22"/>
          <w:lang w:val="es-ES" w:eastAsia="es-ES"/>
        </w:rPr>
      </w:pPr>
    </w:p>
    <w:p w14:paraId="79511A54" w14:textId="77777777" w:rsidR="001A4860" w:rsidRPr="001A4860" w:rsidRDefault="001A4860" w:rsidP="001A4860">
      <w:pPr>
        <w:rPr>
          <w:sz w:val="22"/>
          <w:szCs w:val="22"/>
          <w:lang w:val="es-ES" w:eastAsia="es-ES"/>
        </w:rPr>
      </w:pPr>
      <w:r w:rsidRPr="001A4860">
        <w:rPr>
          <w:b/>
          <w:sz w:val="22"/>
          <w:szCs w:val="22"/>
          <w:lang w:val="es-ES" w:eastAsia="es-ES"/>
        </w:rPr>
        <w:t>a) En relación con las excavaciones adicionales</w:t>
      </w:r>
      <w:r w:rsidRPr="001A4860">
        <w:rPr>
          <w:sz w:val="22"/>
          <w:szCs w:val="22"/>
          <w:lang w:val="es-ES" w:eastAsia="es-ES"/>
        </w:rPr>
        <w:t>.</w:t>
      </w:r>
    </w:p>
    <w:p w14:paraId="376BF7DC" w14:textId="77777777" w:rsidR="001A4860" w:rsidRPr="001A4860" w:rsidRDefault="001A4860" w:rsidP="001A4860">
      <w:pPr>
        <w:rPr>
          <w:sz w:val="22"/>
          <w:szCs w:val="22"/>
          <w:lang w:val="es-ES" w:eastAsia="es-ES"/>
        </w:rPr>
      </w:pPr>
    </w:p>
    <w:p w14:paraId="441089C4" w14:textId="77777777" w:rsidR="001A4860" w:rsidRPr="001A4860" w:rsidRDefault="001A4860" w:rsidP="001A4860">
      <w:pPr>
        <w:rPr>
          <w:sz w:val="22"/>
          <w:szCs w:val="22"/>
          <w:lang w:val="es-ES" w:eastAsia="es-ES"/>
        </w:rPr>
      </w:pPr>
      <w:r w:rsidRPr="001A4860">
        <w:rPr>
          <w:sz w:val="22"/>
          <w:szCs w:val="22"/>
          <w:lang w:val="es-ES" w:eastAsia="es-ES"/>
        </w:rPr>
        <w:t>No se pagarán excavaciones de sobre-ancho y/o sub-excavaciones que estén fuera de los límites establecidos en los planos y/o especificaciones, a menos que en casos muy especiales sean aprobadas por El Supervisor.</w:t>
      </w:r>
    </w:p>
    <w:p w14:paraId="4981EBAF" w14:textId="77777777" w:rsidR="001A4860" w:rsidRPr="001A4860" w:rsidRDefault="001A4860" w:rsidP="001A4860">
      <w:pPr>
        <w:rPr>
          <w:sz w:val="22"/>
          <w:szCs w:val="22"/>
          <w:lang w:val="es-ES" w:eastAsia="es-ES"/>
        </w:rPr>
      </w:pPr>
    </w:p>
    <w:p w14:paraId="183B7D5B" w14:textId="77777777" w:rsidR="001A4860" w:rsidRPr="001A4860" w:rsidRDefault="001A4860" w:rsidP="001A4860">
      <w:pPr>
        <w:rPr>
          <w:sz w:val="22"/>
          <w:szCs w:val="22"/>
          <w:lang w:val="es-ES" w:eastAsia="es-ES"/>
        </w:rPr>
      </w:pPr>
      <w:r w:rsidRPr="001A4860">
        <w:rPr>
          <w:sz w:val="22"/>
          <w:szCs w:val="22"/>
          <w:lang w:val="es-ES" w:eastAsia="es-ES"/>
        </w:rPr>
        <w:t>La excavación adicional por sobre dimensionamiento ordenado por El Supervisor, o por encontrar material diferente y de mayor dureza que la tierra normal es concepto de pago complementario aparte y conforme se establece en el capítulo - EXCAVACION, RELLENO Y COMPACTACION ESPECIAL Y/O ADICIONAL.</w:t>
      </w:r>
    </w:p>
    <w:p w14:paraId="3D44CB4C" w14:textId="77777777" w:rsidR="001A4860" w:rsidRPr="001A4860" w:rsidRDefault="001A4860" w:rsidP="001A4860">
      <w:pPr>
        <w:rPr>
          <w:sz w:val="22"/>
          <w:szCs w:val="22"/>
          <w:lang w:val="es-ES" w:eastAsia="es-ES"/>
        </w:rPr>
      </w:pPr>
    </w:p>
    <w:p w14:paraId="13380824" w14:textId="77777777" w:rsidR="001A4860" w:rsidRPr="001A4860" w:rsidRDefault="001A4860" w:rsidP="001A4860">
      <w:pPr>
        <w:rPr>
          <w:sz w:val="22"/>
          <w:szCs w:val="22"/>
          <w:lang w:val="es-ES" w:eastAsia="es-ES"/>
        </w:rPr>
      </w:pPr>
      <w:r w:rsidRPr="001A4860">
        <w:rPr>
          <w:sz w:val="22"/>
          <w:szCs w:val="22"/>
          <w:lang w:val="es-ES" w:eastAsia="es-ES"/>
        </w:rPr>
        <w:t>Si este caso ocurre en los rangos de profundidad indicados por diámetros de tuberías; 0.00 - 1.50 para DIÁMETRO NOMINAL 12” y 0.00 - 2.00 para DIÁMETRO NOMINAL  12”, al costo de excavación adicional de la oferta., se le debe sustraer el costo de excavación en tierra normal incluido en el costo unitario de la etapa - INSTALACION DE TUBERIA.  Esta deducción eventual se realiza sobre la base de los costos unitarios señalados en la Oferta.</w:t>
      </w:r>
    </w:p>
    <w:p w14:paraId="679D0546" w14:textId="77777777" w:rsidR="001A4860" w:rsidRPr="001A4860" w:rsidRDefault="001A4860" w:rsidP="001A4860">
      <w:pPr>
        <w:rPr>
          <w:sz w:val="22"/>
          <w:szCs w:val="22"/>
          <w:lang w:val="es-ES" w:eastAsia="es-ES"/>
        </w:rPr>
      </w:pPr>
    </w:p>
    <w:p w14:paraId="0DE0311D" w14:textId="77777777" w:rsidR="001A4860" w:rsidRPr="001A4860" w:rsidRDefault="001A4860" w:rsidP="001A4860">
      <w:pPr>
        <w:rPr>
          <w:sz w:val="22"/>
          <w:szCs w:val="22"/>
          <w:lang w:val="es-ES" w:eastAsia="es-ES"/>
        </w:rPr>
      </w:pPr>
      <w:r w:rsidRPr="001A4860">
        <w:rPr>
          <w:b/>
          <w:sz w:val="22"/>
          <w:szCs w:val="22"/>
          <w:lang w:val="es-ES" w:eastAsia="es-ES"/>
        </w:rPr>
        <w:t>b) En relación con la instalación de la tubería propiamente dicha</w:t>
      </w:r>
      <w:r w:rsidRPr="001A4860">
        <w:rPr>
          <w:sz w:val="22"/>
          <w:szCs w:val="22"/>
          <w:lang w:val="es-ES" w:eastAsia="es-ES"/>
        </w:rPr>
        <w:t>.</w:t>
      </w:r>
    </w:p>
    <w:p w14:paraId="6CC8E17A" w14:textId="77777777" w:rsidR="001A4860" w:rsidRPr="001A4860" w:rsidRDefault="001A4860" w:rsidP="001A4860">
      <w:pPr>
        <w:rPr>
          <w:sz w:val="22"/>
          <w:szCs w:val="22"/>
          <w:lang w:val="es-ES" w:eastAsia="es-ES"/>
        </w:rPr>
      </w:pPr>
    </w:p>
    <w:p w14:paraId="717EEB25" w14:textId="77777777" w:rsidR="001A4860" w:rsidRPr="001A4860" w:rsidRDefault="001A4860" w:rsidP="001A4860">
      <w:pPr>
        <w:rPr>
          <w:sz w:val="22"/>
          <w:szCs w:val="22"/>
          <w:lang w:val="es-ES" w:eastAsia="es-ES"/>
        </w:rPr>
      </w:pPr>
      <w:r w:rsidRPr="001A4860">
        <w:rPr>
          <w:sz w:val="22"/>
          <w:szCs w:val="22"/>
          <w:lang w:val="es-ES" w:eastAsia="es-ES"/>
        </w:rPr>
        <w:t>Se incluyen todos los costos por suministros de recursos para los trabajos de corte, rectificación y colocado de tubos, instalación de uniones y accesorios, válvulas, anclajes y bloques de reacción, prueba de presión hidrostática y estanqueidad, etc., y otros trabajos conexos, sin ser limitativo tales como: Topografía, señales de protección de obras no terminadas, manejo y transporte de suministros de su cuenta y/o manejo y transporte de los artículos o materiales a ser entregados por Medico Sin Fronteras, encofrados, arrostramientos, remoción y baldeo de las aguas, suministro de materiales locales tales como madera, piedra, concreto, arena, agua, etc., requeridos conforme las especificaciones y en general todo trabajo y suministros para la instalación de tuberías a menos que específicamente sea incluido bajo otro artículo.</w:t>
      </w:r>
    </w:p>
    <w:p w14:paraId="2D0FE4F3" w14:textId="77777777" w:rsidR="001A4860" w:rsidRPr="001A4860" w:rsidRDefault="001A4860" w:rsidP="001A4860">
      <w:pPr>
        <w:rPr>
          <w:sz w:val="22"/>
          <w:szCs w:val="22"/>
          <w:lang w:val="es-ES" w:eastAsia="es-ES"/>
        </w:rPr>
      </w:pPr>
    </w:p>
    <w:p w14:paraId="55CF1784" w14:textId="77777777" w:rsidR="001A4860" w:rsidRPr="001A4860" w:rsidRDefault="001A4860" w:rsidP="001A4860">
      <w:pPr>
        <w:rPr>
          <w:b/>
          <w:sz w:val="22"/>
          <w:szCs w:val="22"/>
          <w:lang w:val="es-ES" w:eastAsia="es-ES"/>
        </w:rPr>
      </w:pPr>
      <w:r w:rsidRPr="001A4860">
        <w:rPr>
          <w:b/>
          <w:sz w:val="22"/>
          <w:szCs w:val="22"/>
          <w:lang w:val="es-ES" w:eastAsia="es-ES"/>
        </w:rPr>
        <w:t>c) En relación con el relleno y compactación adicionales.</w:t>
      </w:r>
    </w:p>
    <w:p w14:paraId="04C6099C" w14:textId="77777777" w:rsidR="001A4860" w:rsidRPr="001A4860" w:rsidRDefault="001A4860" w:rsidP="001A4860">
      <w:pPr>
        <w:rPr>
          <w:sz w:val="22"/>
          <w:szCs w:val="22"/>
          <w:lang w:val="es-ES" w:eastAsia="es-ES"/>
        </w:rPr>
      </w:pPr>
    </w:p>
    <w:p w14:paraId="3C6B534E" w14:textId="77777777" w:rsidR="001A4860" w:rsidRPr="001A4860" w:rsidRDefault="001A4860" w:rsidP="001A4860">
      <w:pPr>
        <w:rPr>
          <w:sz w:val="22"/>
          <w:szCs w:val="22"/>
          <w:lang w:val="es-ES" w:eastAsia="es-ES"/>
        </w:rPr>
      </w:pPr>
      <w:r w:rsidRPr="001A4860">
        <w:rPr>
          <w:sz w:val="22"/>
          <w:szCs w:val="22"/>
          <w:lang w:val="es-ES" w:eastAsia="es-ES"/>
        </w:rPr>
        <w:t xml:space="preserve">El relleno y compactación adicional ordenado ó autorizado por El Supervisor es concepto de pago aparte. </w:t>
      </w:r>
    </w:p>
    <w:p w14:paraId="7C67A290" w14:textId="77777777" w:rsidR="001A4860" w:rsidRPr="001A4860" w:rsidRDefault="001A4860" w:rsidP="001A4860">
      <w:pPr>
        <w:rPr>
          <w:sz w:val="22"/>
          <w:szCs w:val="22"/>
          <w:lang w:val="es-ES" w:eastAsia="es-ES"/>
        </w:rPr>
      </w:pPr>
    </w:p>
    <w:p w14:paraId="2ED4563D" w14:textId="77777777" w:rsidR="001A4860" w:rsidRPr="001A4860" w:rsidRDefault="001A4860" w:rsidP="001A4860">
      <w:pPr>
        <w:rPr>
          <w:sz w:val="22"/>
          <w:szCs w:val="22"/>
          <w:lang w:val="es-ES" w:eastAsia="es-ES"/>
        </w:rPr>
      </w:pPr>
      <w:r w:rsidRPr="001A4860">
        <w:rPr>
          <w:sz w:val="22"/>
          <w:szCs w:val="22"/>
          <w:lang w:val="es-ES" w:eastAsia="es-ES"/>
        </w:rPr>
        <w:t>En relación con la disposición de material sobrante. La disposición del material sobrante por razón de haber usado relleno adicional debe considerarse en el concepto de obra - EXCAVACION, RELLENO Y COMPACTACION ESPECIAL Y/O ADICIONAL.</w:t>
      </w:r>
    </w:p>
    <w:p w14:paraId="22FD399B" w14:textId="77777777" w:rsidR="001A4860" w:rsidRPr="001A4860" w:rsidRDefault="001A4860" w:rsidP="001A4860">
      <w:pPr>
        <w:rPr>
          <w:sz w:val="22"/>
          <w:szCs w:val="22"/>
          <w:lang w:val="es-ES" w:eastAsia="es-ES"/>
        </w:rPr>
      </w:pPr>
    </w:p>
    <w:p w14:paraId="6797A1CF" w14:textId="77777777" w:rsidR="001A4860" w:rsidRPr="001A4860" w:rsidRDefault="001A4860" w:rsidP="001A4860">
      <w:pPr>
        <w:keepNext/>
        <w:keepLines/>
        <w:outlineLvl w:val="0"/>
        <w:rPr>
          <w:b/>
          <w:sz w:val="22"/>
          <w:szCs w:val="22"/>
          <w:lang w:val="es-ES" w:eastAsia="es-ES"/>
        </w:rPr>
      </w:pPr>
      <w:bookmarkStart w:id="687" w:name="_Toc412447180"/>
      <w:bookmarkStart w:id="688" w:name="_Toc481596395"/>
      <w:bookmarkStart w:id="689" w:name="_Toc492981734"/>
      <w:bookmarkStart w:id="690" w:name="_Toc23249371"/>
      <w:r w:rsidRPr="001A4860">
        <w:rPr>
          <w:b/>
          <w:sz w:val="22"/>
          <w:szCs w:val="22"/>
          <w:lang w:val="es-ES" w:eastAsia="es-ES"/>
        </w:rPr>
        <w:t>ESPECIFICACIONES TÉCNICAS PARA TANQUE DE ALMACENAMIENTO DE AGUA</w:t>
      </w:r>
      <w:bookmarkEnd w:id="687"/>
      <w:bookmarkEnd w:id="688"/>
      <w:bookmarkEnd w:id="689"/>
      <w:bookmarkEnd w:id="690"/>
    </w:p>
    <w:p w14:paraId="3F276C5F" w14:textId="77777777" w:rsidR="001A4860" w:rsidRPr="001A4860" w:rsidRDefault="001A4860" w:rsidP="001A4860">
      <w:pPr>
        <w:rPr>
          <w:sz w:val="22"/>
          <w:szCs w:val="22"/>
          <w:lang w:val="es-ES" w:eastAsia="es-ES"/>
        </w:rPr>
      </w:pPr>
    </w:p>
    <w:p w14:paraId="6675611C" w14:textId="77777777" w:rsidR="001A4860" w:rsidRPr="001A4860" w:rsidRDefault="001A4860" w:rsidP="001A4860">
      <w:pPr>
        <w:keepNext/>
        <w:outlineLvl w:val="1"/>
        <w:rPr>
          <w:rFonts w:eastAsia="Arial Narrow"/>
          <w:b/>
          <w:bCs/>
          <w:iCs/>
          <w:sz w:val="22"/>
          <w:szCs w:val="22"/>
          <w:lang w:val="es-NI"/>
        </w:rPr>
      </w:pPr>
      <w:bookmarkStart w:id="691" w:name="_Toc412447181"/>
      <w:bookmarkStart w:id="692" w:name="_Toc481596396"/>
      <w:bookmarkStart w:id="693" w:name="_Toc492981735"/>
      <w:bookmarkStart w:id="694" w:name="_Toc23249372"/>
      <w:r w:rsidRPr="001A4860">
        <w:rPr>
          <w:rFonts w:eastAsia="Arial Narrow"/>
          <w:b/>
          <w:bCs/>
          <w:iCs/>
          <w:sz w:val="22"/>
          <w:szCs w:val="22"/>
          <w:lang w:val="es-NI"/>
        </w:rPr>
        <w:t>Trabajo Comprendido</w:t>
      </w:r>
      <w:bookmarkEnd w:id="691"/>
      <w:bookmarkEnd w:id="692"/>
      <w:bookmarkEnd w:id="693"/>
      <w:bookmarkEnd w:id="694"/>
    </w:p>
    <w:p w14:paraId="401B5EE4" w14:textId="77777777" w:rsidR="001A4860" w:rsidRPr="001A4860" w:rsidRDefault="001A4860" w:rsidP="001A4860">
      <w:pPr>
        <w:rPr>
          <w:snapToGrid w:val="0"/>
          <w:sz w:val="22"/>
          <w:szCs w:val="22"/>
          <w:lang w:val="es-ES" w:eastAsia="es-ES"/>
        </w:rPr>
      </w:pPr>
    </w:p>
    <w:p w14:paraId="751423FF" w14:textId="77777777" w:rsidR="001A4860" w:rsidRPr="001A4860" w:rsidRDefault="001A4860" w:rsidP="001A4860">
      <w:pPr>
        <w:rPr>
          <w:snapToGrid w:val="0"/>
          <w:sz w:val="22"/>
          <w:szCs w:val="22"/>
          <w:lang w:val="es-ES" w:eastAsia="es-ES"/>
        </w:rPr>
      </w:pPr>
      <w:r w:rsidRPr="001A4860">
        <w:rPr>
          <w:snapToGrid w:val="0"/>
          <w:sz w:val="22"/>
          <w:szCs w:val="22"/>
          <w:lang w:val="es-ES" w:eastAsia="es-ES"/>
        </w:rPr>
        <w:t xml:space="preserve">Toda la mención hecha en estas </w:t>
      </w:r>
      <w:r w:rsidRPr="001A4860">
        <w:rPr>
          <w:b/>
          <w:snapToGrid w:val="0"/>
          <w:sz w:val="22"/>
          <w:szCs w:val="22"/>
          <w:lang w:val="es-ES" w:eastAsia="es-ES"/>
        </w:rPr>
        <w:t>Especificaciones y/o indicadas en los Planos</w:t>
      </w:r>
      <w:r w:rsidRPr="001A4860">
        <w:rPr>
          <w:snapToGrid w:val="0"/>
          <w:sz w:val="22"/>
          <w:szCs w:val="22"/>
          <w:lang w:val="es-ES" w:eastAsia="es-ES"/>
        </w:rPr>
        <w:t xml:space="preserve"> </w:t>
      </w:r>
      <w:r w:rsidRPr="001A4860">
        <w:rPr>
          <w:b/>
          <w:snapToGrid w:val="0"/>
          <w:sz w:val="22"/>
          <w:szCs w:val="22"/>
          <w:lang w:val="es-ES" w:eastAsia="es-ES"/>
        </w:rPr>
        <w:t xml:space="preserve">Constructivos </w:t>
      </w:r>
      <w:r w:rsidRPr="001A4860">
        <w:rPr>
          <w:snapToGrid w:val="0"/>
          <w:sz w:val="22"/>
          <w:szCs w:val="22"/>
          <w:lang w:val="es-ES" w:eastAsia="es-ES"/>
        </w:rPr>
        <w:t xml:space="preserve">obligan a </w:t>
      </w:r>
      <w:r w:rsidRPr="001A4860">
        <w:rPr>
          <w:b/>
          <w:snapToGrid w:val="0"/>
          <w:sz w:val="22"/>
          <w:szCs w:val="22"/>
          <w:lang w:val="es-ES" w:eastAsia="es-ES"/>
        </w:rPr>
        <w:t>El Contratista</w:t>
      </w:r>
      <w:r w:rsidRPr="001A4860">
        <w:rPr>
          <w:snapToGrid w:val="0"/>
          <w:sz w:val="22"/>
          <w:szCs w:val="22"/>
          <w:lang w:val="es-ES" w:eastAsia="es-ES"/>
        </w:rPr>
        <w:t xml:space="preserve"> a suplir, fabricar e instalar cada artículo, material o equipo debe ser con el proceso o método indicado y de la calidad requerida o sujeta a calificación y proporcionar toda la mano de obra, equipo, materiales y herramientas necesarias para la construcción de la fundación. Durante la realización de estos trabajos el contratista toma todas las medidas para no dañar las estructuras aledañas. </w:t>
      </w:r>
    </w:p>
    <w:p w14:paraId="20B5DF4E" w14:textId="77777777" w:rsidR="001A4860" w:rsidRPr="001A4860" w:rsidRDefault="001A4860" w:rsidP="001A4860">
      <w:pPr>
        <w:rPr>
          <w:snapToGrid w:val="0"/>
          <w:sz w:val="22"/>
          <w:szCs w:val="22"/>
          <w:lang w:val="es-ES" w:eastAsia="es-ES"/>
        </w:rPr>
      </w:pPr>
    </w:p>
    <w:p w14:paraId="7C447BF0" w14:textId="77777777" w:rsidR="001A4860" w:rsidRPr="001A4860" w:rsidRDefault="001A4860" w:rsidP="001A4860">
      <w:pPr>
        <w:rPr>
          <w:snapToGrid w:val="0"/>
          <w:sz w:val="22"/>
          <w:szCs w:val="22"/>
          <w:lang w:val="es-ES" w:eastAsia="es-ES"/>
        </w:rPr>
      </w:pPr>
      <w:r w:rsidRPr="001A4860">
        <w:rPr>
          <w:snapToGrid w:val="0"/>
          <w:sz w:val="22"/>
          <w:szCs w:val="22"/>
          <w:lang w:val="es-ES" w:eastAsia="es-ES"/>
        </w:rPr>
        <w:t>Todo el trabajo de acero estructural debe de incluir todos los elementos necesarios, anclajes y su instalación es coordinada con el resto de las artes que intervienen.</w:t>
      </w:r>
    </w:p>
    <w:p w14:paraId="6A53A6C3" w14:textId="77777777" w:rsidR="001A4860" w:rsidRPr="001A4860" w:rsidRDefault="001A4860" w:rsidP="001A4860">
      <w:pPr>
        <w:rPr>
          <w:snapToGrid w:val="0"/>
          <w:sz w:val="22"/>
          <w:szCs w:val="22"/>
          <w:lang w:val="es-ES" w:eastAsia="es-ES"/>
        </w:rPr>
      </w:pPr>
    </w:p>
    <w:p w14:paraId="26317B5B" w14:textId="77777777" w:rsidR="001A4860" w:rsidRPr="001A4860" w:rsidRDefault="001A4860" w:rsidP="001A4860">
      <w:pPr>
        <w:rPr>
          <w:snapToGrid w:val="0"/>
          <w:sz w:val="22"/>
          <w:szCs w:val="22"/>
          <w:lang w:val="es-ES" w:eastAsia="es-ES"/>
        </w:rPr>
      </w:pPr>
      <w:r w:rsidRPr="001A4860">
        <w:rPr>
          <w:snapToGrid w:val="0"/>
          <w:sz w:val="22"/>
          <w:szCs w:val="22"/>
          <w:lang w:val="es-ES" w:eastAsia="es-ES"/>
        </w:rPr>
        <w:t>El contratista es el único responsable de errores de fabricación, instalación o cualquier otro detalle que no esté de acuerdo a la intención de los planos y especificaciones en relación.</w:t>
      </w:r>
    </w:p>
    <w:p w14:paraId="535616D8" w14:textId="77777777" w:rsidR="001A4860" w:rsidRPr="001A4860" w:rsidRDefault="001A4860" w:rsidP="001A4860">
      <w:pPr>
        <w:rPr>
          <w:snapToGrid w:val="0"/>
          <w:sz w:val="22"/>
          <w:szCs w:val="22"/>
          <w:lang w:val="es-ES" w:eastAsia="es-ES"/>
        </w:rPr>
      </w:pPr>
    </w:p>
    <w:p w14:paraId="28B72C92" w14:textId="77777777" w:rsidR="001A4860" w:rsidRPr="001A4860" w:rsidRDefault="001A4860" w:rsidP="001A4860">
      <w:pPr>
        <w:keepNext/>
        <w:ind w:left="720" w:hanging="720"/>
        <w:outlineLvl w:val="2"/>
        <w:rPr>
          <w:rFonts w:eastAsia="Arial Narrow"/>
          <w:b/>
          <w:bCs/>
          <w:iCs/>
          <w:sz w:val="22"/>
          <w:szCs w:val="22"/>
          <w:lang w:val="es-ES" w:bidi="en-US"/>
        </w:rPr>
      </w:pPr>
      <w:bookmarkStart w:id="695" w:name="_Toc475371386"/>
      <w:bookmarkStart w:id="696" w:name="_Toc481596405"/>
      <w:bookmarkStart w:id="697" w:name="_Toc492981744"/>
      <w:bookmarkStart w:id="698" w:name="_Toc23249373"/>
      <w:r w:rsidRPr="001A4860">
        <w:rPr>
          <w:rFonts w:eastAsia="Arial Narrow"/>
          <w:b/>
          <w:bCs/>
          <w:iCs/>
          <w:sz w:val="22"/>
          <w:szCs w:val="22"/>
          <w:lang w:val="es-ES" w:bidi="en-US"/>
        </w:rPr>
        <w:t>Materiales del Concreto:</w:t>
      </w:r>
      <w:bookmarkEnd w:id="695"/>
      <w:bookmarkEnd w:id="696"/>
      <w:bookmarkEnd w:id="697"/>
      <w:bookmarkEnd w:id="698"/>
    </w:p>
    <w:p w14:paraId="16359730" w14:textId="77777777" w:rsidR="001A4860" w:rsidRPr="001A4860" w:rsidRDefault="001A4860" w:rsidP="001A4860">
      <w:pPr>
        <w:rPr>
          <w:sz w:val="22"/>
          <w:szCs w:val="22"/>
          <w:lang w:val="es-ES" w:eastAsia="es-ES"/>
        </w:rPr>
      </w:pPr>
    </w:p>
    <w:p w14:paraId="20F5BE1E" w14:textId="77777777" w:rsidR="001A4860" w:rsidRPr="001A4860" w:rsidRDefault="001A4860" w:rsidP="001A4860">
      <w:pPr>
        <w:rPr>
          <w:sz w:val="22"/>
          <w:szCs w:val="22"/>
          <w:lang w:val="es-ES" w:eastAsia="es-ES"/>
        </w:rPr>
      </w:pPr>
      <w:r w:rsidRPr="001A4860">
        <w:rPr>
          <w:b/>
          <w:sz w:val="22"/>
          <w:szCs w:val="22"/>
          <w:lang w:val="es-ES" w:eastAsia="es-ES"/>
        </w:rPr>
        <w:t>a-) El Cemento:</w:t>
      </w:r>
    </w:p>
    <w:p w14:paraId="0E8B48C9" w14:textId="77777777" w:rsidR="001A4860" w:rsidRPr="001A4860" w:rsidRDefault="001A4860" w:rsidP="001A4860">
      <w:pPr>
        <w:rPr>
          <w:sz w:val="22"/>
          <w:szCs w:val="22"/>
          <w:lang w:val="es-ES" w:eastAsia="es-ES"/>
        </w:rPr>
      </w:pPr>
    </w:p>
    <w:p w14:paraId="1074103A" w14:textId="77777777" w:rsidR="001A4860" w:rsidRPr="001A4860" w:rsidRDefault="001A4860" w:rsidP="001A4860">
      <w:pPr>
        <w:rPr>
          <w:sz w:val="22"/>
          <w:szCs w:val="22"/>
          <w:lang w:val="es-ES" w:eastAsia="es-ES"/>
        </w:rPr>
      </w:pPr>
      <w:r w:rsidRPr="001A4860">
        <w:rPr>
          <w:sz w:val="22"/>
          <w:szCs w:val="22"/>
          <w:lang w:val="es-ES" w:eastAsia="es-ES"/>
        </w:rPr>
        <w:t>El cemento usado en las mezclas de concreto debe cumplir con las Normas ASTM C-150, aprobado por El Supervisor. Debe llegar al sitio de la construcción en sus envases originales y enteros, debe ser completamente fresco y no debe mostrar evidencias de endurecimiento. Debe almacenarse en bodega seca sobre tarimas de madera en estibas de no más de diez (10) sacos.</w:t>
      </w:r>
    </w:p>
    <w:p w14:paraId="4F9F464E" w14:textId="77777777" w:rsidR="001A4860" w:rsidRPr="001A4860" w:rsidRDefault="001A4860" w:rsidP="001A4860">
      <w:pPr>
        <w:rPr>
          <w:sz w:val="22"/>
          <w:szCs w:val="22"/>
          <w:lang w:val="es-ES" w:eastAsia="es-ES"/>
        </w:rPr>
      </w:pPr>
    </w:p>
    <w:p w14:paraId="2C58F1E2" w14:textId="77777777" w:rsidR="001A4860" w:rsidRPr="001A4860" w:rsidRDefault="001A4860" w:rsidP="001A4860">
      <w:pPr>
        <w:rPr>
          <w:b/>
          <w:sz w:val="22"/>
          <w:szCs w:val="22"/>
          <w:lang w:val="es-ES" w:eastAsia="es-ES"/>
        </w:rPr>
      </w:pPr>
      <w:r w:rsidRPr="001A4860">
        <w:rPr>
          <w:b/>
          <w:sz w:val="22"/>
          <w:szCs w:val="22"/>
          <w:lang w:val="es-ES" w:eastAsia="es-ES"/>
        </w:rPr>
        <w:t xml:space="preserve">b-) Agregado Fino </w:t>
      </w:r>
    </w:p>
    <w:p w14:paraId="6B4432E1" w14:textId="77777777" w:rsidR="001A4860" w:rsidRPr="001A4860" w:rsidRDefault="001A4860" w:rsidP="001A4860">
      <w:pPr>
        <w:rPr>
          <w:sz w:val="22"/>
          <w:szCs w:val="22"/>
          <w:lang w:val="es-ES" w:eastAsia="es-ES"/>
        </w:rPr>
      </w:pPr>
    </w:p>
    <w:p w14:paraId="3260E264" w14:textId="77777777" w:rsidR="001A4860" w:rsidRPr="001A4860" w:rsidRDefault="001A4860" w:rsidP="001A4860">
      <w:pPr>
        <w:rPr>
          <w:sz w:val="22"/>
          <w:szCs w:val="22"/>
          <w:lang w:val="es-ES" w:eastAsia="es-ES"/>
        </w:rPr>
      </w:pPr>
      <w:r w:rsidRPr="001A4860">
        <w:rPr>
          <w:sz w:val="22"/>
          <w:szCs w:val="22"/>
          <w:lang w:val="es-ES" w:eastAsia="es-ES"/>
        </w:rPr>
        <w:t>El agregado fino es Arena natural o manufacturada, dura, limpia y libre de todo material vegetal, mica o detrito de conchas marinas. La calidad y granulometría de la arena debe ser tal que deben cumplir con las Especificaciones ASTM-C-33-59 y permita obtener un concreto denso sin exceso de cemento, así como de la resistencia requerida.</w:t>
      </w:r>
    </w:p>
    <w:p w14:paraId="49D9EB85" w14:textId="77777777" w:rsidR="001A4860" w:rsidRPr="001A4860" w:rsidRDefault="001A4860" w:rsidP="001A4860">
      <w:pPr>
        <w:rPr>
          <w:sz w:val="22"/>
          <w:szCs w:val="22"/>
          <w:lang w:val="es-ES" w:eastAsia="es-ES"/>
        </w:rPr>
      </w:pPr>
    </w:p>
    <w:p w14:paraId="482D3B50" w14:textId="77777777" w:rsidR="001A4860" w:rsidRPr="001A4860" w:rsidRDefault="001A4860" w:rsidP="001A4860">
      <w:pPr>
        <w:rPr>
          <w:sz w:val="22"/>
          <w:szCs w:val="22"/>
          <w:lang w:val="es-ES" w:eastAsia="es-ES"/>
        </w:rPr>
      </w:pPr>
      <w:r w:rsidRPr="001A4860">
        <w:rPr>
          <w:sz w:val="22"/>
          <w:szCs w:val="22"/>
          <w:lang w:val="es-ES" w:eastAsia="es-ES"/>
        </w:rPr>
        <w:t xml:space="preserve">Los agregados empleados en la mezcla de concreto deben ser clasificados según su tamaño y deben ser almacenados en forma ordenada para evitar que se revuelvan, se ensucien o se mezclen con materias extrañas. </w:t>
      </w:r>
    </w:p>
    <w:p w14:paraId="0A49386B" w14:textId="77777777" w:rsidR="001A4860" w:rsidRPr="001A4860" w:rsidRDefault="001A4860" w:rsidP="001A4860">
      <w:pPr>
        <w:rPr>
          <w:sz w:val="22"/>
          <w:szCs w:val="22"/>
          <w:lang w:val="es-ES" w:eastAsia="es-ES"/>
        </w:rPr>
      </w:pPr>
    </w:p>
    <w:p w14:paraId="360617DF" w14:textId="77777777" w:rsidR="001A4860" w:rsidRPr="001A4860" w:rsidRDefault="001A4860" w:rsidP="001A4860">
      <w:pPr>
        <w:rPr>
          <w:b/>
          <w:sz w:val="22"/>
          <w:szCs w:val="22"/>
          <w:lang w:val="es-ES" w:eastAsia="es-ES"/>
        </w:rPr>
      </w:pPr>
      <w:r w:rsidRPr="001A4860">
        <w:rPr>
          <w:b/>
          <w:sz w:val="22"/>
          <w:szCs w:val="22"/>
          <w:lang w:val="es-ES" w:eastAsia="es-ES"/>
        </w:rPr>
        <w:t xml:space="preserve">c-) Agregado Grueso </w:t>
      </w:r>
      <w:r w:rsidRPr="001A4860">
        <w:rPr>
          <w:sz w:val="22"/>
          <w:szCs w:val="22"/>
          <w:lang w:val="es-ES" w:eastAsia="es-ES"/>
        </w:rPr>
        <w:t>El Agregado Grueso es Piedra o grava limpia, dura, durable y libre de todo recubrimiento, sujeta a Especificaciones ASTM-CC-33-6IT. El tamaño más grande permitido del agregado es un quinto (1/5) de la dimensión mínima de la formaleta de los elementos de concreto, o de tres cuarto (3/4) del espaciamiento libre mínimo entre varillas de refuerzo según lo recomendado por la Norma 6I3-54 del ACI, excepto donde específicamente se indique lo contrario, previamente aprobada por El Supervisor.</w:t>
      </w:r>
    </w:p>
    <w:p w14:paraId="22CE85ED" w14:textId="77777777" w:rsidR="001A4860" w:rsidRPr="001A4860" w:rsidRDefault="001A4860" w:rsidP="001A4860">
      <w:pPr>
        <w:rPr>
          <w:sz w:val="22"/>
          <w:szCs w:val="22"/>
          <w:lang w:val="es-ES" w:eastAsia="es-ES"/>
        </w:rPr>
      </w:pPr>
    </w:p>
    <w:p w14:paraId="67F4AC9D" w14:textId="77777777" w:rsidR="001A4860" w:rsidRPr="001A4860" w:rsidRDefault="001A4860" w:rsidP="001A4860">
      <w:pPr>
        <w:rPr>
          <w:sz w:val="22"/>
          <w:szCs w:val="22"/>
          <w:lang w:val="es-ES" w:eastAsia="es-ES"/>
        </w:rPr>
      </w:pPr>
      <w:r w:rsidRPr="001A4860">
        <w:rPr>
          <w:b/>
          <w:sz w:val="22"/>
          <w:szCs w:val="22"/>
          <w:lang w:val="es-ES" w:eastAsia="es-ES"/>
        </w:rPr>
        <w:lastRenderedPageBreak/>
        <w:t xml:space="preserve">d-) El Agua: </w:t>
      </w:r>
      <w:r w:rsidRPr="001A4860">
        <w:rPr>
          <w:sz w:val="22"/>
          <w:szCs w:val="22"/>
          <w:lang w:val="es-ES" w:eastAsia="es-ES"/>
        </w:rPr>
        <w:t>El agua que se emplee en todas las mezclas debe ser potable, limpia y libre de grasas o aceites, de materias orgánicas, álcalis, sales, ácidos o impurezas que puedan afectar la resistencia y propiedades físicas del concreto o del refuerzo. Debe ser previamente aprobada por El Supervisor.</w:t>
      </w:r>
    </w:p>
    <w:p w14:paraId="308EE2DF" w14:textId="77777777" w:rsidR="001A4860" w:rsidRPr="001A4860" w:rsidRDefault="001A4860" w:rsidP="001A4860">
      <w:pPr>
        <w:rPr>
          <w:sz w:val="22"/>
          <w:szCs w:val="22"/>
          <w:lang w:val="es-ES" w:eastAsia="es-ES"/>
        </w:rPr>
      </w:pPr>
    </w:p>
    <w:p w14:paraId="74A244B3" w14:textId="77777777" w:rsidR="001A4860" w:rsidRPr="001A4860" w:rsidRDefault="001A4860" w:rsidP="001A4860">
      <w:pPr>
        <w:rPr>
          <w:sz w:val="22"/>
          <w:szCs w:val="22"/>
          <w:lang w:val="es-ES" w:eastAsia="es-ES"/>
        </w:rPr>
      </w:pPr>
      <w:r w:rsidRPr="001A4860">
        <w:rPr>
          <w:b/>
          <w:sz w:val="22"/>
          <w:szCs w:val="22"/>
          <w:lang w:val="es-ES" w:eastAsia="es-ES"/>
        </w:rPr>
        <w:t>e-) El Acero:</w:t>
      </w:r>
      <w:r w:rsidRPr="001A4860">
        <w:rPr>
          <w:sz w:val="22"/>
          <w:szCs w:val="22"/>
          <w:lang w:val="es-ES" w:eastAsia="es-ES"/>
        </w:rPr>
        <w:t xml:space="preserve"> de refuerzo debe cumplir la especificación ASTM A-305 con límite de fluencia de 40,000(PSI) libras por pulgada cuadrada, de acuerdo a las especificaciones ASTM-A-615-68, Grado 40. Todas las varillas deben estar limpias y libres de escamas, trazas de oxidación avanzada, grasas y otras impurezas e imperfecciones que afecten sus propiedades físicas, resistencia o su adherencia al concreto.</w:t>
      </w:r>
    </w:p>
    <w:p w14:paraId="10327001" w14:textId="77777777" w:rsidR="001A4860" w:rsidRPr="001A4860" w:rsidRDefault="001A4860" w:rsidP="001A4860">
      <w:pPr>
        <w:keepNext/>
        <w:ind w:left="720" w:hanging="720"/>
        <w:outlineLvl w:val="2"/>
        <w:rPr>
          <w:rFonts w:eastAsia="Arial Narrow"/>
          <w:b/>
          <w:bCs/>
          <w:iCs/>
          <w:sz w:val="22"/>
          <w:szCs w:val="22"/>
          <w:lang w:val="es-ES" w:bidi="en-US"/>
        </w:rPr>
      </w:pPr>
      <w:bookmarkStart w:id="699" w:name="_Toc475371387"/>
      <w:bookmarkStart w:id="700" w:name="_Toc481596406"/>
      <w:bookmarkStart w:id="701" w:name="_Toc492981745"/>
      <w:bookmarkStart w:id="702" w:name="_Toc23249374"/>
      <w:r w:rsidRPr="001A4860">
        <w:rPr>
          <w:rFonts w:eastAsia="Arial Narrow"/>
          <w:b/>
          <w:bCs/>
          <w:iCs/>
          <w:sz w:val="22"/>
          <w:szCs w:val="22"/>
          <w:lang w:val="es-ES" w:bidi="en-US"/>
        </w:rPr>
        <w:t>Almacenaje de Materiales:</w:t>
      </w:r>
      <w:bookmarkEnd w:id="699"/>
      <w:bookmarkEnd w:id="700"/>
      <w:bookmarkEnd w:id="701"/>
      <w:bookmarkEnd w:id="702"/>
    </w:p>
    <w:p w14:paraId="79FF9C45" w14:textId="77777777" w:rsidR="001A4860" w:rsidRPr="001A4860" w:rsidRDefault="001A4860" w:rsidP="001A4860">
      <w:pPr>
        <w:rPr>
          <w:sz w:val="22"/>
          <w:szCs w:val="22"/>
          <w:lang w:val="es-ES" w:eastAsia="es-ES"/>
        </w:rPr>
      </w:pPr>
    </w:p>
    <w:p w14:paraId="5E1AEEF6" w14:textId="77777777" w:rsidR="001A4860" w:rsidRPr="001A4860" w:rsidRDefault="001A4860" w:rsidP="001A4860">
      <w:pPr>
        <w:rPr>
          <w:sz w:val="22"/>
          <w:szCs w:val="22"/>
          <w:lang w:val="es-ES" w:eastAsia="es-ES"/>
        </w:rPr>
      </w:pPr>
      <w:r w:rsidRPr="001A4860">
        <w:rPr>
          <w:sz w:val="22"/>
          <w:szCs w:val="22"/>
          <w:lang w:val="es-ES" w:eastAsia="es-ES"/>
        </w:rPr>
        <w:t>El cemento se almacena en bodegas secas sobre tarimas de madera en estibas de no más de 10 sacos. El cemento debe llegar al sitio de la construcción en sus envases originales y enteros. No se utilizará cemento dañado ó ya endurecido. Los áridos finos y gruesos se manejan y almacenan separadamente de manera tal que se evite la mezcla con materias extraías. Todas las varillas de acero de refuerzo se deben proteger hasta el momento de usarse.</w:t>
      </w:r>
    </w:p>
    <w:p w14:paraId="4A4E42C9" w14:textId="77777777" w:rsidR="001A4860" w:rsidRPr="001A4860" w:rsidRDefault="001A4860" w:rsidP="001A4860">
      <w:pPr>
        <w:rPr>
          <w:sz w:val="22"/>
          <w:szCs w:val="22"/>
          <w:lang w:val="es-ES" w:eastAsia="es-ES"/>
        </w:rPr>
      </w:pPr>
    </w:p>
    <w:p w14:paraId="3764F6AE" w14:textId="77777777" w:rsidR="001A4860" w:rsidRPr="001A4860" w:rsidRDefault="001A4860" w:rsidP="001A4860">
      <w:pPr>
        <w:keepNext/>
        <w:ind w:left="720" w:hanging="720"/>
        <w:outlineLvl w:val="2"/>
        <w:rPr>
          <w:rFonts w:eastAsia="Arial Narrow"/>
          <w:b/>
          <w:bCs/>
          <w:iCs/>
          <w:sz w:val="22"/>
          <w:szCs w:val="22"/>
          <w:lang w:val="es-ES" w:bidi="en-US"/>
        </w:rPr>
      </w:pPr>
      <w:bookmarkStart w:id="703" w:name="_Toc475371388"/>
      <w:bookmarkStart w:id="704" w:name="_Toc481596407"/>
      <w:bookmarkStart w:id="705" w:name="_Toc492981746"/>
      <w:bookmarkStart w:id="706" w:name="_Toc23249375"/>
      <w:r w:rsidRPr="001A4860">
        <w:rPr>
          <w:rFonts w:eastAsia="Arial Narrow"/>
          <w:b/>
          <w:bCs/>
          <w:iCs/>
          <w:sz w:val="22"/>
          <w:szCs w:val="22"/>
          <w:lang w:val="es-ES" w:bidi="en-US"/>
        </w:rPr>
        <w:t>Dosificación y Mezcla:</w:t>
      </w:r>
      <w:bookmarkEnd w:id="703"/>
      <w:bookmarkEnd w:id="704"/>
      <w:bookmarkEnd w:id="705"/>
      <w:bookmarkEnd w:id="706"/>
    </w:p>
    <w:p w14:paraId="37584D00" w14:textId="77777777" w:rsidR="001A4860" w:rsidRPr="001A4860" w:rsidRDefault="001A4860" w:rsidP="001A4860">
      <w:pPr>
        <w:rPr>
          <w:sz w:val="22"/>
          <w:szCs w:val="22"/>
          <w:lang w:val="es-ES" w:eastAsia="es-ES"/>
        </w:rPr>
      </w:pPr>
    </w:p>
    <w:p w14:paraId="518EC008" w14:textId="77777777" w:rsidR="001A4860" w:rsidRPr="001A4860" w:rsidRDefault="001A4860" w:rsidP="001A4860">
      <w:pPr>
        <w:rPr>
          <w:sz w:val="22"/>
          <w:szCs w:val="22"/>
          <w:lang w:val="es-ES" w:eastAsia="es-ES"/>
        </w:rPr>
      </w:pPr>
      <w:r w:rsidRPr="001A4860">
        <w:rPr>
          <w:sz w:val="22"/>
          <w:szCs w:val="22"/>
          <w:lang w:val="es-ES" w:eastAsia="es-ES"/>
        </w:rPr>
        <w:t>Las dosificaciones de cemento, agregados y agua utilizados deben ser aprobadas por el Supervisor. Hacer en base a pruebas desclasificación y contenido de humedad de los materiales, asentamiento de la mezcla de concreto y resistencia del concreto, comprobada por pruebas de resistencia a la compresión ejecutadas en cilindros de este material. Estas pruebas deben ser realizadas por un laboratorio de pruebas de reconocida competencia y pagadas por el Contratista. Informes certificados de las pruebas deben ser presentados al Supervisor, antes de proceder al vaciado de concreto.</w:t>
      </w:r>
    </w:p>
    <w:p w14:paraId="6C69D43C" w14:textId="77777777" w:rsidR="001A4860" w:rsidRPr="001A4860" w:rsidRDefault="001A4860" w:rsidP="001A4860">
      <w:pPr>
        <w:rPr>
          <w:sz w:val="22"/>
          <w:szCs w:val="22"/>
          <w:lang w:val="es-ES" w:eastAsia="es-ES"/>
        </w:rPr>
      </w:pPr>
    </w:p>
    <w:p w14:paraId="33000021" w14:textId="77777777" w:rsidR="001A4860" w:rsidRPr="001A4860" w:rsidRDefault="001A4860" w:rsidP="001A4860">
      <w:pPr>
        <w:rPr>
          <w:sz w:val="22"/>
          <w:szCs w:val="22"/>
          <w:lang w:val="es-ES" w:eastAsia="es-ES"/>
        </w:rPr>
      </w:pPr>
      <w:r w:rsidRPr="001A4860">
        <w:rPr>
          <w:sz w:val="22"/>
          <w:szCs w:val="22"/>
          <w:lang w:val="es-ES" w:eastAsia="es-ES"/>
        </w:rPr>
        <w:t>El Contratista no puede cambiar abastecedores de materiales durante el curso del trabajo sin autorización del Supervisor y presentación de nuevas pruebas certificadas de laboratorio. Excepto cuando se especifique lo contrario, el concreto es mezclado en sitio. La mezcla del concreto se ajusta a los requerimientos de las Normas 6I3-54 y 6I4-59 del ACI. El método para determinar la cantidad correcta de agua y agregado para cada mezcla, debe ser de un tipo que permita controlar con exactitud la proporción de agua y cemento y verificarla fácilmente en cualquier momento.</w:t>
      </w:r>
    </w:p>
    <w:p w14:paraId="2211AF0F" w14:textId="77777777" w:rsidR="001A4860" w:rsidRPr="001A4860" w:rsidRDefault="001A4860" w:rsidP="001A4860">
      <w:pPr>
        <w:rPr>
          <w:sz w:val="22"/>
          <w:szCs w:val="22"/>
          <w:lang w:val="es-ES" w:eastAsia="es-ES"/>
        </w:rPr>
      </w:pPr>
    </w:p>
    <w:p w14:paraId="1B75875A" w14:textId="77777777" w:rsidR="001A4860" w:rsidRPr="001A4860" w:rsidRDefault="001A4860" w:rsidP="001A4860">
      <w:pPr>
        <w:keepNext/>
        <w:ind w:left="720" w:hanging="720"/>
        <w:outlineLvl w:val="2"/>
        <w:rPr>
          <w:rFonts w:eastAsia="Arial Narrow"/>
          <w:b/>
          <w:bCs/>
          <w:iCs/>
          <w:sz w:val="22"/>
          <w:szCs w:val="22"/>
          <w:lang w:val="es-ES" w:bidi="en-US"/>
        </w:rPr>
      </w:pPr>
      <w:bookmarkStart w:id="707" w:name="_Toc195413426"/>
      <w:bookmarkStart w:id="708" w:name="_Toc234745701"/>
      <w:bookmarkStart w:id="709" w:name="_Toc287828438"/>
      <w:bookmarkStart w:id="710" w:name="_Toc475371389"/>
      <w:bookmarkStart w:id="711" w:name="_Toc481596408"/>
      <w:bookmarkStart w:id="712" w:name="_Toc492981747"/>
      <w:bookmarkStart w:id="713" w:name="_Toc23249376"/>
      <w:r w:rsidRPr="001A4860">
        <w:rPr>
          <w:rFonts w:eastAsia="Arial Narrow"/>
          <w:b/>
          <w:bCs/>
          <w:iCs/>
          <w:sz w:val="22"/>
          <w:szCs w:val="22"/>
          <w:lang w:val="es-ES" w:bidi="en-US"/>
        </w:rPr>
        <w:t>Resistencia del concreto.</w:t>
      </w:r>
      <w:bookmarkEnd w:id="707"/>
      <w:bookmarkEnd w:id="708"/>
      <w:bookmarkEnd w:id="709"/>
      <w:bookmarkEnd w:id="710"/>
      <w:bookmarkEnd w:id="711"/>
      <w:bookmarkEnd w:id="712"/>
      <w:bookmarkEnd w:id="713"/>
    </w:p>
    <w:p w14:paraId="06D64451" w14:textId="77777777" w:rsidR="001A4860" w:rsidRPr="001A4860" w:rsidRDefault="001A4860" w:rsidP="001A4860">
      <w:pPr>
        <w:rPr>
          <w:sz w:val="22"/>
          <w:szCs w:val="22"/>
          <w:lang w:val="es-ES" w:eastAsia="es-ES"/>
        </w:rPr>
      </w:pPr>
    </w:p>
    <w:p w14:paraId="650788E0" w14:textId="77777777" w:rsidR="001A4860" w:rsidRPr="001A4860" w:rsidRDefault="001A4860" w:rsidP="001A4860">
      <w:pPr>
        <w:rPr>
          <w:b/>
          <w:sz w:val="22"/>
          <w:szCs w:val="22"/>
          <w:lang w:val="es-ES" w:eastAsia="es-ES"/>
        </w:rPr>
      </w:pPr>
      <w:r w:rsidRPr="001A4860">
        <w:rPr>
          <w:b/>
          <w:sz w:val="22"/>
          <w:szCs w:val="22"/>
          <w:lang w:val="es-ES" w:eastAsia="es-ES"/>
        </w:rPr>
        <w:t xml:space="preserve">La resistencia a la compresión especificada se mide en cilindros de 15 x 30 cm. a los veintiocho 28 días de edad, de acuerdo con las Normas de la A.S.T.M. C 39-66. El Contratista toma cilindros de la mezcla de hormigón según lo ordene El Supervisor, para determinar su resistencia por medio de ensayos de laboratorio, los cuales son pagados por El Contratista. Se toman dos (2) cilindros por llena por frente de trabajo por día. </w:t>
      </w:r>
    </w:p>
    <w:p w14:paraId="6D1AF514" w14:textId="77777777" w:rsidR="001A4860" w:rsidRPr="001A4860" w:rsidRDefault="001A4860" w:rsidP="001A4860">
      <w:pPr>
        <w:rPr>
          <w:b/>
          <w:sz w:val="22"/>
          <w:szCs w:val="22"/>
          <w:lang w:val="es-ES" w:eastAsia="es-ES"/>
        </w:rPr>
      </w:pPr>
    </w:p>
    <w:p w14:paraId="3E38FC33" w14:textId="77777777" w:rsidR="001A4860" w:rsidRPr="001A4860" w:rsidRDefault="001A4860" w:rsidP="001A4860">
      <w:pPr>
        <w:rPr>
          <w:b/>
          <w:sz w:val="22"/>
          <w:szCs w:val="22"/>
          <w:lang w:val="es-ES" w:eastAsia="es-ES"/>
        </w:rPr>
      </w:pPr>
      <w:r w:rsidRPr="001A4860">
        <w:rPr>
          <w:b/>
          <w:sz w:val="22"/>
          <w:szCs w:val="22"/>
          <w:lang w:val="es-ES" w:eastAsia="es-ES"/>
        </w:rPr>
        <w:t xml:space="preserve">En caso de sospecha de alguna llena de concreto, El Supervisor puede ordenar toma de cilindros adicionales. La mezcla de concreto empleado en todas las estructuras debe ser de una consistencia conveniente, sin exceso de agua, plástica y trabajable, con el objetivo de llenar los encofrados completamente, sin dejar cavidades interiores o superficiales. </w:t>
      </w:r>
    </w:p>
    <w:p w14:paraId="2B2FF4CA" w14:textId="77777777" w:rsidR="001A4860" w:rsidRPr="001A4860" w:rsidRDefault="001A4860" w:rsidP="001A4860">
      <w:pPr>
        <w:rPr>
          <w:b/>
          <w:sz w:val="22"/>
          <w:szCs w:val="22"/>
          <w:lang w:val="es-ES" w:eastAsia="es-ES"/>
        </w:rPr>
      </w:pPr>
    </w:p>
    <w:p w14:paraId="69CEAF10" w14:textId="77777777" w:rsidR="001A4860" w:rsidRPr="001A4860" w:rsidRDefault="001A4860" w:rsidP="001A4860">
      <w:pPr>
        <w:rPr>
          <w:b/>
          <w:sz w:val="22"/>
          <w:szCs w:val="22"/>
          <w:lang w:val="es-ES" w:eastAsia="es-ES"/>
        </w:rPr>
      </w:pPr>
      <w:r w:rsidRPr="001A4860">
        <w:rPr>
          <w:b/>
          <w:sz w:val="22"/>
          <w:szCs w:val="22"/>
          <w:lang w:val="es-ES" w:eastAsia="es-ES"/>
        </w:rPr>
        <w:t xml:space="preserve">Todo el concreto empleado tiene un revenimiento no mayor de cuatro (4") pulgadas y/o conforme el diseño del concreto sometido por El Contratista y aprobado por El Supervisor.  </w:t>
      </w:r>
    </w:p>
    <w:p w14:paraId="391EF62B" w14:textId="77777777" w:rsidR="001A4860" w:rsidRPr="001A4860" w:rsidRDefault="001A4860" w:rsidP="001A4860">
      <w:pPr>
        <w:rPr>
          <w:b/>
          <w:sz w:val="22"/>
          <w:szCs w:val="22"/>
          <w:lang w:val="es-ES" w:eastAsia="es-ES"/>
        </w:rPr>
      </w:pPr>
    </w:p>
    <w:p w14:paraId="73D6A509" w14:textId="77777777" w:rsidR="001A4860" w:rsidRPr="001A4860" w:rsidRDefault="001A4860" w:rsidP="001A4860">
      <w:pPr>
        <w:rPr>
          <w:b/>
          <w:sz w:val="22"/>
          <w:szCs w:val="22"/>
          <w:lang w:val="es-ES" w:eastAsia="es-ES"/>
        </w:rPr>
      </w:pPr>
      <w:r w:rsidRPr="001A4860">
        <w:rPr>
          <w:b/>
          <w:sz w:val="22"/>
          <w:szCs w:val="22"/>
          <w:lang w:val="es-ES" w:eastAsia="es-ES"/>
        </w:rPr>
        <w:t>El concreto empleado en la construcción, ya sea concreto armado o concreto ciclópeo, excepto donde se indique claramente lo contrario, tiene una resistencia a la compresión de 210 Kg/cm</w:t>
      </w:r>
      <w:r w:rsidRPr="001A4860">
        <w:rPr>
          <w:b/>
          <w:sz w:val="22"/>
          <w:szCs w:val="22"/>
          <w:vertAlign w:val="superscript"/>
          <w:lang w:val="es-ES" w:eastAsia="es-ES"/>
        </w:rPr>
        <w:t>2</w:t>
      </w:r>
      <w:r w:rsidRPr="001A4860">
        <w:rPr>
          <w:b/>
          <w:sz w:val="22"/>
          <w:szCs w:val="22"/>
          <w:lang w:val="es-ES" w:eastAsia="es-ES"/>
        </w:rPr>
        <w:t xml:space="preserve"> (3,000 lbs. </w:t>
      </w:r>
      <w:r w:rsidRPr="001A4860">
        <w:rPr>
          <w:b/>
          <w:sz w:val="22"/>
          <w:szCs w:val="22"/>
          <w:lang w:val="es-ES" w:eastAsia="es-ES"/>
        </w:rPr>
        <w:lastRenderedPageBreak/>
        <w:t>/pulg</w:t>
      </w:r>
      <w:r w:rsidRPr="001A4860">
        <w:rPr>
          <w:b/>
          <w:sz w:val="22"/>
          <w:szCs w:val="22"/>
          <w:vertAlign w:val="superscript"/>
          <w:lang w:val="es-ES" w:eastAsia="es-ES"/>
        </w:rPr>
        <w:t>2</w:t>
      </w:r>
      <w:r w:rsidRPr="001A4860">
        <w:rPr>
          <w:b/>
          <w:sz w:val="22"/>
          <w:szCs w:val="22"/>
          <w:lang w:val="es-ES" w:eastAsia="es-ES"/>
        </w:rPr>
        <w:t>). El concreto simple para bloque de reacción tiene una resistencia a la compresión de 245 Kg/cm</w:t>
      </w:r>
      <w:r w:rsidRPr="001A4860">
        <w:rPr>
          <w:b/>
          <w:sz w:val="22"/>
          <w:szCs w:val="22"/>
          <w:vertAlign w:val="superscript"/>
          <w:lang w:val="es-ES" w:eastAsia="es-ES"/>
        </w:rPr>
        <w:t xml:space="preserve">2 </w:t>
      </w:r>
      <w:r w:rsidRPr="001A4860">
        <w:rPr>
          <w:b/>
          <w:sz w:val="22"/>
          <w:szCs w:val="22"/>
          <w:lang w:val="es-ES" w:eastAsia="es-ES"/>
        </w:rPr>
        <w:t>(3,500 lbs. /pulg</w:t>
      </w:r>
      <w:r w:rsidRPr="001A4860">
        <w:rPr>
          <w:b/>
          <w:sz w:val="22"/>
          <w:szCs w:val="22"/>
          <w:vertAlign w:val="superscript"/>
          <w:lang w:val="es-ES" w:eastAsia="es-ES"/>
        </w:rPr>
        <w:t>2</w:t>
      </w:r>
      <w:r w:rsidRPr="001A4860">
        <w:rPr>
          <w:b/>
          <w:sz w:val="22"/>
          <w:szCs w:val="22"/>
          <w:lang w:val="es-ES" w:eastAsia="es-ES"/>
        </w:rPr>
        <w:t>).</w:t>
      </w:r>
    </w:p>
    <w:p w14:paraId="0C864D2C" w14:textId="77777777" w:rsidR="001A4860" w:rsidRPr="001A4860" w:rsidRDefault="001A4860" w:rsidP="001A4860">
      <w:pPr>
        <w:rPr>
          <w:b/>
          <w:sz w:val="22"/>
          <w:szCs w:val="22"/>
          <w:lang w:val="es-ES" w:eastAsia="es-ES"/>
        </w:rPr>
      </w:pPr>
    </w:p>
    <w:p w14:paraId="174B510D" w14:textId="77777777" w:rsidR="001A4860" w:rsidRPr="001A4860" w:rsidRDefault="001A4860" w:rsidP="001A4860">
      <w:pPr>
        <w:keepNext/>
        <w:ind w:left="720" w:hanging="720"/>
        <w:outlineLvl w:val="2"/>
        <w:rPr>
          <w:rFonts w:eastAsia="Arial Narrow"/>
          <w:b/>
          <w:bCs/>
          <w:iCs/>
          <w:sz w:val="22"/>
          <w:szCs w:val="22"/>
          <w:lang w:val="es-ES" w:bidi="en-US"/>
        </w:rPr>
      </w:pPr>
      <w:bookmarkStart w:id="714" w:name="_Toc287828442"/>
      <w:bookmarkStart w:id="715" w:name="_Toc475371390"/>
      <w:bookmarkStart w:id="716" w:name="_Toc481596409"/>
      <w:bookmarkStart w:id="717" w:name="_Toc492981748"/>
      <w:bookmarkStart w:id="718" w:name="_Toc23249377"/>
      <w:r w:rsidRPr="001A4860">
        <w:rPr>
          <w:rFonts w:eastAsia="Arial Narrow"/>
          <w:b/>
          <w:bCs/>
          <w:iCs/>
          <w:sz w:val="22"/>
          <w:szCs w:val="22"/>
          <w:lang w:val="es-ES" w:bidi="en-US"/>
        </w:rPr>
        <w:t>Transporte y colocación del concreto.</w:t>
      </w:r>
      <w:bookmarkEnd w:id="714"/>
      <w:bookmarkEnd w:id="715"/>
      <w:bookmarkEnd w:id="716"/>
      <w:bookmarkEnd w:id="717"/>
      <w:bookmarkEnd w:id="718"/>
    </w:p>
    <w:p w14:paraId="3F711ED0" w14:textId="77777777" w:rsidR="001A4860" w:rsidRPr="001A4860" w:rsidRDefault="001A4860" w:rsidP="001A4860">
      <w:pPr>
        <w:rPr>
          <w:sz w:val="22"/>
          <w:szCs w:val="22"/>
          <w:lang w:val="es-ES" w:eastAsia="es-ES"/>
        </w:rPr>
      </w:pPr>
    </w:p>
    <w:p w14:paraId="71B7E927" w14:textId="77777777" w:rsidR="001A4860" w:rsidRPr="001A4860" w:rsidRDefault="001A4860" w:rsidP="001A4860">
      <w:pPr>
        <w:rPr>
          <w:sz w:val="22"/>
          <w:szCs w:val="22"/>
          <w:lang w:val="es-ES" w:eastAsia="es-ES"/>
        </w:rPr>
      </w:pPr>
      <w:r w:rsidRPr="001A4860">
        <w:rPr>
          <w:sz w:val="22"/>
          <w:szCs w:val="22"/>
          <w:lang w:val="es-ES" w:eastAsia="es-ES"/>
        </w:rPr>
        <w:t>Antes de proceder a la colocación del concreto, El Supervisor debe aprobar los encofrados y moldes y todos los detalles relacionados.  Para tal efecto El Contratista debe notificar al Supervisor con dos (2) días de anticipación la fecha y hora aproximada en que se proyecte iniciar el colado de concreto y el tiempo aproximado de duración dicha operación. En todo caso El Contratista no procede a la colocación del concreto sin la autorización expresa del Supervisor y sin la presencia de éste o su Representante.</w:t>
      </w:r>
    </w:p>
    <w:p w14:paraId="377863F8" w14:textId="77777777" w:rsidR="001A4860" w:rsidRPr="001A4860" w:rsidRDefault="001A4860" w:rsidP="001A4860">
      <w:pPr>
        <w:rPr>
          <w:sz w:val="22"/>
          <w:szCs w:val="22"/>
          <w:lang w:val="es-ES" w:eastAsia="es-ES"/>
        </w:rPr>
      </w:pPr>
    </w:p>
    <w:p w14:paraId="20A00307" w14:textId="77777777" w:rsidR="001A4860" w:rsidRPr="001A4860" w:rsidRDefault="001A4860" w:rsidP="001A4860">
      <w:pPr>
        <w:rPr>
          <w:sz w:val="22"/>
          <w:szCs w:val="22"/>
          <w:lang w:val="es-ES" w:eastAsia="es-ES"/>
        </w:rPr>
      </w:pPr>
      <w:r w:rsidRPr="001A4860">
        <w:rPr>
          <w:sz w:val="22"/>
          <w:szCs w:val="22"/>
          <w:lang w:val="es-ES" w:eastAsia="es-ES"/>
        </w:rPr>
        <w:t>El equipo de transporte debe ser capaz de llevar el suministro del concreto al sitio de colocación sin segregación y sin interrupciones que permitan la pérdida de plasticidad entre colados sucesivos.</w:t>
      </w:r>
    </w:p>
    <w:p w14:paraId="35A0E688" w14:textId="77777777" w:rsidR="001A4860" w:rsidRPr="001A4860" w:rsidRDefault="001A4860" w:rsidP="001A4860">
      <w:pPr>
        <w:rPr>
          <w:sz w:val="22"/>
          <w:szCs w:val="22"/>
          <w:lang w:val="es-ES" w:eastAsia="es-ES"/>
        </w:rPr>
      </w:pPr>
    </w:p>
    <w:p w14:paraId="78B8B1B7" w14:textId="77777777" w:rsidR="001A4860" w:rsidRPr="001A4860" w:rsidRDefault="001A4860" w:rsidP="001A4860">
      <w:pPr>
        <w:rPr>
          <w:sz w:val="22"/>
          <w:szCs w:val="22"/>
          <w:lang w:val="es-ES" w:eastAsia="es-ES"/>
        </w:rPr>
      </w:pPr>
      <w:r w:rsidRPr="001A4860">
        <w:rPr>
          <w:sz w:val="22"/>
          <w:szCs w:val="22"/>
          <w:lang w:val="es-ES" w:eastAsia="es-ES"/>
        </w:rPr>
        <w:t>Antes de proceder al colocado del concreto en una superficie de concreto existente esta debe limpiarse bien para eliminar materiales extraños sobre las superficies y una vez bien limpia, se procede antes del vaciado del concreto vaciar una lechada de cemento sobre la superficie de la misma. También antes de proceder al colado del concreto, todos los encofrados o moldes deben limpiarse, eliminando de ellos toda basura o materia extraña; también los encofrados deben humedecerse antes del vaciado para evitar que absorban agua de la mezcla de concreto. El colado debe efectuarse a tal velocidad, que el concreto conserve su estado plástico en todo momento y fluya fácilmente dentro de los espacios entre las varillas.</w:t>
      </w:r>
    </w:p>
    <w:p w14:paraId="6086B02A" w14:textId="77777777" w:rsidR="001A4860" w:rsidRPr="001A4860" w:rsidRDefault="001A4860" w:rsidP="001A4860">
      <w:pPr>
        <w:rPr>
          <w:sz w:val="22"/>
          <w:szCs w:val="22"/>
          <w:lang w:val="es-ES" w:eastAsia="es-ES"/>
        </w:rPr>
      </w:pPr>
    </w:p>
    <w:p w14:paraId="2A2130AC" w14:textId="77777777" w:rsidR="001A4860" w:rsidRPr="001A4860" w:rsidRDefault="001A4860" w:rsidP="001A4860">
      <w:pPr>
        <w:rPr>
          <w:sz w:val="22"/>
          <w:szCs w:val="22"/>
          <w:lang w:val="es-ES" w:eastAsia="es-ES"/>
        </w:rPr>
      </w:pPr>
      <w:r w:rsidRPr="001A4860">
        <w:rPr>
          <w:sz w:val="22"/>
          <w:szCs w:val="22"/>
          <w:lang w:val="es-ES" w:eastAsia="es-ES"/>
        </w:rPr>
        <w:t>Durante la colocación, todo concreto en estado blando debe compactarse con vibrador para que pueda acomodarse enteramente alrededor del refuerzo. El colado del concreto debe interrumpirse en caso de lluvia, tomando las medidas apropiadas para proteger de ella los elementos recién colados.</w:t>
      </w:r>
    </w:p>
    <w:p w14:paraId="56550229" w14:textId="77777777" w:rsidR="001A4860" w:rsidRPr="001A4860" w:rsidRDefault="001A4860" w:rsidP="001A4860">
      <w:pPr>
        <w:rPr>
          <w:sz w:val="22"/>
          <w:szCs w:val="22"/>
          <w:lang w:val="es-ES" w:eastAsia="es-ES"/>
        </w:rPr>
      </w:pPr>
    </w:p>
    <w:p w14:paraId="1640CA45" w14:textId="77777777" w:rsidR="001A4860" w:rsidRPr="001A4860" w:rsidRDefault="001A4860" w:rsidP="001A4860">
      <w:pPr>
        <w:keepNext/>
        <w:ind w:left="720" w:hanging="720"/>
        <w:outlineLvl w:val="2"/>
        <w:rPr>
          <w:rFonts w:eastAsia="Arial Narrow"/>
          <w:b/>
          <w:bCs/>
          <w:iCs/>
          <w:sz w:val="22"/>
          <w:szCs w:val="22"/>
          <w:lang w:val="es-ES" w:bidi="en-US"/>
        </w:rPr>
      </w:pPr>
      <w:bookmarkStart w:id="719" w:name="_Toc195413429"/>
      <w:bookmarkStart w:id="720" w:name="_Toc234745706"/>
      <w:bookmarkStart w:id="721" w:name="_Toc287828443"/>
      <w:bookmarkStart w:id="722" w:name="_Toc475371391"/>
      <w:bookmarkStart w:id="723" w:name="_Toc481596410"/>
      <w:bookmarkStart w:id="724" w:name="_Toc492981749"/>
      <w:bookmarkStart w:id="725" w:name="_Toc23249378"/>
      <w:r w:rsidRPr="001A4860">
        <w:rPr>
          <w:rFonts w:eastAsia="Arial Narrow"/>
          <w:b/>
          <w:bCs/>
          <w:iCs/>
          <w:sz w:val="22"/>
          <w:szCs w:val="22"/>
          <w:lang w:val="es-ES" w:bidi="en-US"/>
        </w:rPr>
        <w:t>Apisonado</w:t>
      </w:r>
      <w:bookmarkEnd w:id="719"/>
      <w:bookmarkEnd w:id="720"/>
      <w:bookmarkEnd w:id="721"/>
      <w:bookmarkEnd w:id="722"/>
      <w:bookmarkEnd w:id="723"/>
      <w:bookmarkEnd w:id="724"/>
      <w:bookmarkEnd w:id="725"/>
    </w:p>
    <w:p w14:paraId="4E9C77B5" w14:textId="77777777" w:rsidR="001A4860" w:rsidRPr="001A4860" w:rsidRDefault="001A4860" w:rsidP="001A4860">
      <w:pPr>
        <w:rPr>
          <w:sz w:val="22"/>
          <w:szCs w:val="22"/>
          <w:lang w:val="es-ES" w:eastAsia="es-ES"/>
        </w:rPr>
      </w:pPr>
    </w:p>
    <w:p w14:paraId="63A92EE6" w14:textId="77777777" w:rsidR="001A4860" w:rsidRPr="001A4860" w:rsidRDefault="001A4860" w:rsidP="001A4860">
      <w:pPr>
        <w:rPr>
          <w:sz w:val="22"/>
          <w:szCs w:val="22"/>
          <w:lang w:val="es-ES" w:eastAsia="es-ES"/>
        </w:rPr>
      </w:pPr>
      <w:r w:rsidRPr="001A4860">
        <w:rPr>
          <w:sz w:val="22"/>
          <w:szCs w:val="22"/>
          <w:lang w:val="es-ES" w:eastAsia="es-ES"/>
        </w:rPr>
        <w:t>En todos los fundidos se aplica el apisonado por vibración, prodigándose los puntos de vibrado necesario para que su efecto se extienda a toda la masa, sin iniciar disgregaciones locales. El Contratista debe usar vibradores y cabezal de vibradores apropiados para cada tipo de trabajo.</w:t>
      </w:r>
    </w:p>
    <w:p w14:paraId="6C7906B8" w14:textId="77777777" w:rsidR="001A4860" w:rsidRPr="001A4860" w:rsidRDefault="001A4860" w:rsidP="001A4860">
      <w:pPr>
        <w:rPr>
          <w:sz w:val="22"/>
          <w:szCs w:val="22"/>
          <w:lang w:val="es-ES" w:eastAsia="es-ES"/>
        </w:rPr>
      </w:pPr>
    </w:p>
    <w:p w14:paraId="7A03A086" w14:textId="77777777" w:rsidR="001A4860" w:rsidRPr="001A4860" w:rsidRDefault="001A4860" w:rsidP="001A4860">
      <w:pPr>
        <w:rPr>
          <w:sz w:val="22"/>
          <w:szCs w:val="22"/>
          <w:lang w:val="es-ES" w:eastAsia="es-ES"/>
        </w:rPr>
      </w:pPr>
      <w:r w:rsidRPr="001A4860">
        <w:rPr>
          <w:sz w:val="22"/>
          <w:szCs w:val="22"/>
          <w:lang w:val="es-ES" w:eastAsia="es-ES"/>
        </w:rPr>
        <w:t xml:space="preserve">Se respetan las juntas señaladas en los planos, si las hubiera. En las interrupciones de la llena se cuida de dejar la junta lo más normalmente posible a la dirección de la máxima compresión, y donde su efecto sea menos perjudicial, siguiendo en todo caso la instrucción del Supervisor. </w:t>
      </w:r>
    </w:p>
    <w:p w14:paraId="7832333B" w14:textId="77777777" w:rsidR="001A4860" w:rsidRPr="001A4860" w:rsidRDefault="001A4860" w:rsidP="001A4860">
      <w:pPr>
        <w:rPr>
          <w:sz w:val="22"/>
          <w:szCs w:val="22"/>
          <w:lang w:val="es-ES" w:eastAsia="es-ES"/>
        </w:rPr>
      </w:pPr>
    </w:p>
    <w:p w14:paraId="38E456B2" w14:textId="77777777" w:rsidR="001A4860" w:rsidRPr="001A4860" w:rsidRDefault="001A4860" w:rsidP="001A4860">
      <w:pPr>
        <w:rPr>
          <w:sz w:val="22"/>
          <w:szCs w:val="22"/>
          <w:lang w:val="es-ES" w:eastAsia="es-ES"/>
        </w:rPr>
      </w:pPr>
      <w:r w:rsidRPr="001A4860">
        <w:rPr>
          <w:sz w:val="22"/>
          <w:szCs w:val="22"/>
          <w:lang w:val="es-ES" w:eastAsia="es-ES"/>
        </w:rPr>
        <w:t>Cuando haya de reanudarse el hormigoneado, después de varios días de interrupción, se limpia la superficie del concreto endurecido que haya de quedar en contacto con el nuevo, mediante cepillo de alambre con agua, y se recubre momentos antes de verter el nuevo concreto con una capa delgada de mortero, igual al que toma parte de éste. Las vigas son vaciadas monolíticamente.</w:t>
      </w:r>
    </w:p>
    <w:p w14:paraId="2ADEB2AC" w14:textId="77777777" w:rsidR="001A4860" w:rsidRPr="001A4860" w:rsidRDefault="001A4860" w:rsidP="001A4860">
      <w:pPr>
        <w:rPr>
          <w:sz w:val="22"/>
          <w:szCs w:val="22"/>
          <w:lang w:val="es-ES" w:eastAsia="es-ES"/>
        </w:rPr>
      </w:pPr>
    </w:p>
    <w:p w14:paraId="3C793951" w14:textId="77777777" w:rsidR="001A4860" w:rsidRPr="001A4860" w:rsidRDefault="001A4860" w:rsidP="001A4860">
      <w:pPr>
        <w:keepNext/>
        <w:ind w:left="720" w:hanging="720"/>
        <w:outlineLvl w:val="2"/>
        <w:rPr>
          <w:rFonts w:eastAsia="Arial Narrow"/>
          <w:b/>
          <w:bCs/>
          <w:iCs/>
          <w:sz w:val="22"/>
          <w:szCs w:val="22"/>
          <w:lang w:val="es-ES" w:bidi="en-US"/>
        </w:rPr>
      </w:pPr>
      <w:bookmarkStart w:id="726" w:name="_Toc195413430"/>
      <w:bookmarkStart w:id="727" w:name="_Toc234745707"/>
      <w:bookmarkStart w:id="728" w:name="_Toc287828444"/>
      <w:bookmarkStart w:id="729" w:name="_Toc475371392"/>
      <w:bookmarkStart w:id="730" w:name="_Toc481596411"/>
      <w:bookmarkStart w:id="731" w:name="_Toc492981750"/>
      <w:bookmarkStart w:id="732" w:name="_Toc23249379"/>
      <w:r w:rsidRPr="001A4860">
        <w:rPr>
          <w:rFonts w:eastAsia="Arial Narrow"/>
          <w:b/>
          <w:bCs/>
          <w:iCs/>
          <w:sz w:val="22"/>
          <w:szCs w:val="22"/>
          <w:lang w:val="es-ES" w:bidi="en-US"/>
        </w:rPr>
        <w:t>Encofrados.</w:t>
      </w:r>
      <w:bookmarkEnd w:id="726"/>
      <w:bookmarkEnd w:id="727"/>
      <w:bookmarkEnd w:id="728"/>
      <w:bookmarkEnd w:id="729"/>
      <w:bookmarkEnd w:id="730"/>
      <w:bookmarkEnd w:id="731"/>
      <w:bookmarkEnd w:id="732"/>
    </w:p>
    <w:p w14:paraId="1198A12F" w14:textId="77777777" w:rsidR="001A4860" w:rsidRPr="001A4860" w:rsidRDefault="001A4860" w:rsidP="001A4860">
      <w:pPr>
        <w:rPr>
          <w:sz w:val="22"/>
          <w:szCs w:val="22"/>
          <w:lang w:val="es-ES" w:eastAsia="es-ES"/>
        </w:rPr>
      </w:pPr>
    </w:p>
    <w:p w14:paraId="276C49DD" w14:textId="77777777" w:rsidR="001A4860" w:rsidRPr="001A4860" w:rsidRDefault="001A4860" w:rsidP="001A4860">
      <w:pPr>
        <w:rPr>
          <w:sz w:val="22"/>
          <w:szCs w:val="22"/>
          <w:lang w:val="es-ES" w:eastAsia="es-ES"/>
        </w:rPr>
      </w:pPr>
      <w:r w:rsidRPr="001A4860">
        <w:rPr>
          <w:sz w:val="22"/>
          <w:szCs w:val="22"/>
          <w:lang w:val="es-ES" w:eastAsia="es-ES"/>
        </w:rPr>
        <w:t>Las formaletas con sus soportes tienen la resistencia y rigidez necesaria para soportar el concreto y su vibrado, sin movimientos locales superiores a las tolerancias usuales de luz. Los apoyos están dispuestos de modo que en ningún momento se produzcan sobre la parte de la obra ejecutada, esfuerzos superiores al tercio (l/3) de su resistencia.</w:t>
      </w:r>
    </w:p>
    <w:p w14:paraId="005A6933" w14:textId="77777777" w:rsidR="001A4860" w:rsidRPr="001A4860" w:rsidRDefault="001A4860" w:rsidP="001A4860">
      <w:pPr>
        <w:rPr>
          <w:sz w:val="22"/>
          <w:szCs w:val="22"/>
          <w:lang w:val="es-ES" w:eastAsia="es-ES"/>
        </w:rPr>
      </w:pPr>
    </w:p>
    <w:p w14:paraId="278268B3" w14:textId="77777777" w:rsidR="001A4860" w:rsidRPr="001A4860" w:rsidRDefault="001A4860" w:rsidP="001A4860">
      <w:pPr>
        <w:rPr>
          <w:sz w:val="22"/>
          <w:szCs w:val="22"/>
          <w:lang w:val="es-ES" w:eastAsia="es-ES"/>
        </w:rPr>
      </w:pPr>
      <w:r w:rsidRPr="001A4860">
        <w:rPr>
          <w:sz w:val="22"/>
          <w:szCs w:val="22"/>
          <w:lang w:val="es-ES" w:eastAsia="es-ES"/>
        </w:rPr>
        <w:lastRenderedPageBreak/>
        <w:t>Las juntas de las resistencias no dejan rendijas de más de tres (3) milímetros, para evitar la pérdida de lechada, pero deben dejar el juego necesario para evitar que por el efecto de la humedad durante la llena, al dilatarse se compriman y deformen los tablones.</w:t>
      </w:r>
    </w:p>
    <w:p w14:paraId="50F76415" w14:textId="77777777" w:rsidR="001A4860" w:rsidRPr="001A4860" w:rsidRDefault="001A4860" w:rsidP="001A4860">
      <w:pPr>
        <w:rPr>
          <w:sz w:val="22"/>
          <w:szCs w:val="22"/>
          <w:lang w:val="es-ES" w:eastAsia="es-ES"/>
        </w:rPr>
      </w:pPr>
      <w:r w:rsidRPr="001A4860">
        <w:rPr>
          <w:sz w:val="22"/>
          <w:szCs w:val="22"/>
          <w:lang w:val="es-ES" w:eastAsia="es-ES"/>
        </w:rPr>
        <w:tab/>
      </w:r>
    </w:p>
    <w:p w14:paraId="3DC765AD" w14:textId="77777777" w:rsidR="001A4860" w:rsidRPr="001A4860" w:rsidRDefault="001A4860" w:rsidP="001A4860">
      <w:pPr>
        <w:rPr>
          <w:sz w:val="22"/>
          <w:szCs w:val="22"/>
          <w:lang w:val="es-ES" w:eastAsia="es-ES"/>
        </w:rPr>
      </w:pPr>
      <w:r w:rsidRPr="001A4860">
        <w:rPr>
          <w:sz w:val="22"/>
          <w:szCs w:val="22"/>
          <w:lang w:val="es-ES" w:eastAsia="es-ES"/>
        </w:rPr>
        <w:t>Las superficies interiores quedan sin desigualdades o resaltos mayores de tres (3) milímetros. Antes de la llena se mojan las superficies interiores y se limpian especialmente los fondos, dejándose aberturas provisionales para facilitar esta limpieza en los elementos que lo requieran.</w:t>
      </w:r>
    </w:p>
    <w:p w14:paraId="259474D7" w14:textId="77777777" w:rsidR="001A4860" w:rsidRPr="001A4860" w:rsidRDefault="001A4860" w:rsidP="001A4860">
      <w:pPr>
        <w:rPr>
          <w:sz w:val="22"/>
          <w:szCs w:val="22"/>
          <w:lang w:val="es-ES" w:eastAsia="es-ES"/>
        </w:rPr>
      </w:pPr>
    </w:p>
    <w:p w14:paraId="4B533186" w14:textId="77777777" w:rsidR="001A4860" w:rsidRPr="001A4860" w:rsidRDefault="001A4860" w:rsidP="001A4860">
      <w:pPr>
        <w:keepNext/>
        <w:ind w:left="720" w:hanging="720"/>
        <w:outlineLvl w:val="2"/>
        <w:rPr>
          <w:rFonts w:eastAsia="Arial Narrow"/>
          <w:b/>
          <w:bCs/>
          <w:iCs/>
          <w:sz w:val="22"/>
          <w:szCs w:val="22"/>
          <w:lang w:val="es-ES" w:bidi="en-US"/>
        </w:rPr>
      </w:pPr>
      <w:bookmarkStart w:id="733" w:name="_Toc195413431"/>
      <w:bookmarkStart w:id="734" w:name="_Toc234745708"/>
      <w:bookmarkStart w:id="735" w:name="_Toc287828445"/>
      <w:bookmarkStart w:id="736" w:name="_Toc475371393"/>
      <w:bookmarkStart w:id="737" w:name="_Toc481596412"/>
      <w:bookmarkStart w:id="738" w:name="_Toc492981751"/>
      <w:bookmarkStart w:id="739" w:name="_Toc23249380"/>
      <w:r w:rsidRPr="001A4860">
        <w:rPr>
          <w:rFonts w:eastAsia="Arial Narrow"/>
          <w:b/>
          <w:bCs/>
          <w:iCs/>
          <w:sz w:val="22"/>
          <w:szCs w:val="22"/>
          <w:lang w:val="es-ES" w:bidi="en-US"/>
        </w:rPr>
        <w:t>Desencofrado.</w:t>
      </w:r>
      <w:bookmarkEnd w:id="733"/>
      <w:bookmarkEnd w:id="734"/>
      <w:bookmarkEnd w:id="735"/>
      <w:bookmarkEnd w:id="736"/>
      <w:bookmarkEnd w:id="737"/>
      <w:bookmarkEnd w:id="738"/>
      <w:bookmarkEnd w:id="739"/>
    </w:p>
    <w:p w14:paraId="519FBE37" w14:textId="77777777" w:rsidR="001A4860" w:rsidRPr="001A4860" w:rsidRDefault="001A4860" w:rsidP="001A4860">
      <w:pPr>
        <w:rPr>
          <w:sz w:val="22"/>
          <w:szCs w:val="22"/>
          <w:lang w:val="es-ES" w:eastAsia="es-ES"/>
        </w:rPr>
      </w:pPr>
    </w:p>
    <w:p w14:paraId="78512A54" w14:textId="77777777" w:rsidR="001A4860" w:rsidRPr="001A4860" w:rsidRDefault="001A4860" w:rsidP="001A4860">
      <w:pPr>
        <w:rPr>
          <w:sz w:val="22"/>
          <w:szCs w:val="22"/>
          <w:lang w:val="es-ES" w:eastAsia="es-ES"/>
        </w:rPr>
      </w:pPr>
      <w:r w:rsidRPr="001A4860">
        <w:rPr>
          <w:sz w:val="22"/>
          <w:szCs w:val="22"/>
          <w:lang w:val="es-ES" w:eastAsia="es-ES"/>
        </w:rPr>
        <w:t>Ninguna carga de construcción debe apoyarse sobre alguna parte de la estructura en construcción, ni se debe retirar algún puntal de dicha parte, excepto cuando la estructura, junto con el sistema restante de cimbra y de puntales tenga suficiente resistencia como para soportar con seguridad su propio peso y las cargas soportadas sobre ella:</w:t>
      </w:r>
    </w:p>
    <w:p w14:paraId="5CD1DD5D" w14:textId="77777777" w:rsidR="001A4860" w:rsidRPr="001A4860" w:rsidRDefault="001A4860" w:rsidP="001A4860">
      <w:pPr>
        <w:widowControl w:val="0"/>
        <w:autoSpaceDE w:val="0"/>
        <w:autoSpaceDN w:val="0"/>
        <w:adjustRightInd w:val="0"/>
        <w:rPr>
          <w:sz w:val="22"/>
          <w:szCs w:val="22"/>
          <w:lang w:val="es-ES" w:eastAsia="es-ES"/>
        </w:rPr>
      </w:pPr>
    </w:p>
    <w:p w14:paraId="7A261492" w14:textId="77777777" w:rsidR="001A4860" w:rsidRPr="001A4860" w:rsidRDefault="001A4860" w:rsidP="003B68DB">
      <w:pPr>
        <w:widowControl w:val="0"/>
        <w:numPr>
          <w:ilvl w:val="0"/>
          <w:numId w:val="157"/>
        </w:numPr>
        <w:autoSpaceDE w:val="0"/>
        <w:autoSpaceDN w:val="0"/>
        <w:adjustRightInd w:val="0"/>
        <w:ind w:left="0" w:firstLine="0"/>
        <w:rPr>
          <w:sz w:val="22"/>
          <w:szCs w:val="22"/>
          <w:lang w:val="es-ES" w:eastAsia="es-ES"/>
        </w:rPr>
      </w:pPr>
      <w:r w:rsidRPr="001A4860">
        <w:rPr>
          <w:sz w:val="22"/>
          <w:szCs w:val="22"/>
          <w:lang w:val="es-ES" w:eastAsia="es-ES"/>
        </w:rPr>
        <w:t xml:space="preserve">El descimbrado debe hacerse de tal forma que no perjudique la completa seguridad y durabilidad de la estructura. </w:t>
      </w:r>
    </w:p>
    <w:p w14:paraId="21F01270" w14:textId="77777777" w:rsidR="001A4860" w:rsidRPr="001A4860" w:rsidRDefault="001A4860" w:rsidP="001A4860">
      <w:pPr>
        <w:widowControl w:val="0"/>
        <w:autoSpaceDE w:val="0"/>
        <w:autoSpaceDN w:val="0"/>
        <w:adjustRightInd w:val="0"/>
        <w:rPr>
          <w:sz w:val="22"/>
          <w:szCs w:val="22"/>
          <w:lang w:val="es-ES" w:eastAsia="es-ES"/>
        </w:rPr>
      </w:pPr>
    </w:p>
    <w:p w14:paraId="12000DA9" w14:textId="77777777" w:rsidR="001A4860" w:rsidRPr="001A4860" w:rsidRDefault="001A4860" w:rsidP="003B68DB">
      <w:pPr>
        <w:widowControl w:val="0"/>
        <w:numPr>
          <w:ilvl w:val="0"/>
          <w:numId w:val="157"/>
        </w:numPr>
        <w:autoSpaceDE w:val="0"/>
        <w:autoSpaceDN w:val="0"/>
        <w:adjustRightInd w:val="0"/>
        <w:ind w:left="0" w:firstLine="0"/>
        <w:rPr>
          <w:sz w:val="22"/>
          <w:szCs w:val="22"/>
          <w:lang w:val="es-ES" w:eastAsia="es-ES"/>
        </w:rPr>
      </w:pPr>
      <w:r w:rsidRPr="001A4860">
        <w:rPr>
          <w:sz w:val="22"/>
          <w:szCs w:val="22"/>
          <w:lang w:val="es-ES" w:eastAsia="es-ES"/>
        </w:rPr>
        <w:t>El concreto que se descimbre debe ser suficientemente resistente para no sufrir daños posteriores.</w:t>
      </w:r>
    </w:p>
    <w:p w14:paraId="2718BE00" w14:textId="77777777" w:rsidR="001A4860" w:rsidRPr="001A4860" w:rsidRDefault="001A4860" w:rsidP="001A4860">
      <w:pPr>
        <w:widowControl w:val="0"/>
        <w:autoSpaceDE w:val="0"/>
        <w:autoSpaceDN w:val="0"/>
        <w:adjustRightInd w:val="0"/>
        <w:rPr>
          <w:sz w:val="22"/>
          <w:szCs w:val="22"/>
          <w:lang w:val="es-ES" w:eastAsia="es-ES"/>
        </w:rPr>
      </w:pPr>
    </w:p>
    <w:p w14:paraId="7B3DC2EA" w14:textId="77777777" w:rsidR="001A4860" w:rsidRPr="001A4860" w:rsidRDefault="001A4860" w:rsidP="003B68DB">
      <w:pPr>
        <w:widowControl w:val="0"/>
        <w:numPr>
          <w:ilvl w:val="0"/>
          <w:numId w:val="157"/>
        </w:numPr>
        <w:autoSpaceDE w:val="0"/>
        <w:autoSpaceDN w:val="0"/>
        <w:adjustRightInd w:val="0"/>
        <w:ind w:left="0" w:firstLine="0"/>
        <w:rPr>
          <w:sz w:val="22"/>
          <w:szCs w:val="22"/>
          <w:lang w:val="es-ES" w:eastAsia="es-ES"/>
        </w:rPr>
      </w:pPr>
      <w:r w:rsidRPr="001A4860">
        <w:rPr>
          <w:sz w:val="22"/>
          <w:szCs w:val="22"/>
          <w:lang w:val="es-ES" w:eastAsia="es-ES"/>
        </w:rPr>
        <w:t>Durante la actividad de descimbrar se cuida de no dar golpes ni hacer esfuerzos que puedan perjudicar al concreto.</w:t>
      </w:r>
    </w:p>
    <w:p w14:paraId="0B6B7EB3" w14:textId="77777777" w:rsidR="001A4860" w:rsidRPr="001A4860" w:rsidRDefault="001A4860" w:rsidP="001A4860">
      <w:pPr>
        <w:ind w:left="708"/>
        <w:rPr>
          <w:sz w:val="22"/>
          <w:szCs w:val="22"/>
          <w:lang w:val="es-ES" w:eastAsia="es-ES"/>
        </w:rPr>
      </w:pPr>
    </w:p>
    <w:p w14:paraId="35E85DE3" w14:textId="77777777" w:rsidR="001A4860" w:rsidRPr="001A4860" w:rsidRDefault="001A4860" w:rsidP="001A4860">
      <w:pPr>
        <w:keepNext/>
        <w:ind w:left="720" w:hanging="720"/>
        <w:outlineLvl w:val="2"/>
        <w:rPr>
          <w:rFonts w:eastAsia="Arial Narrow"/>
          <w:b/>
          <w:bCs/>
          <w:iCs/>
          <w:sz w:val="22"/>
          <w:szCs w:val="22"/>
          <w:lang w:val="es-ES" w:bidi="en-US"/>
        </w:rPr>
      </w:pPr>
      <w:bookmarkStart w:id="740" w:name="_Toc195413432"/>
      <w:bookmarkStart w:id="741" w:name="_Toc234745709"/>
      <w:bookmarkStart w:id="742" w:name="_Toc287828446"/>
      <w:bookmarkStart w:id="743" w:name="_Toc475371394"/>
      <w:bookmarkStart w:id="744" w:name="_Toc481596413"/>
      <w:bookmarkStart w:id="745" w:name="_Toc492981752"/>
      <w:bookmarkStart w:id="746" w:name="_Toc23249381"/>
      <w:r w:rsidRPr="001A4860">
        <w:rPr>
          <w:rFonts w:eastAsia="Arial Narrow"/>
          <w:b/>
          <w:bCs/>
          <w:iCs/>
          <w:sz w:val="22"/>
          <w:szCs w:val="22"/>
          <w:lang w:val="es-ES" w:bidi="en-US"/>
        </w:rPr>
        <w:t>Tiempo mínimo para retirar formaletas.</w:t>
      </w:r>
      <w:bookmarkEnd w:id="740"/>
      <w:bookmarkEnd w:id="741"/>
      <w:bookmarkEnd w:id="742"/>
      <w:bookmarkEnd w:id="743"/>
      <w:bookmarkEnd w:id="744"/>
      <w:bookmarkEnd w:id="745"/>
      <w:bookmarkEnd w:id="746"/>
    </w:p>
    <w:p w14:paraId="2E66A488" w14:textId="77777777" w:rsidR="001A4860" w:rsidRPr="001A4860" w:rsidRDefault="001A4860" w:rsidP="001A4860">
      <w:pPr>
        <w:rPr>
          <w:sz w:val="22"/>
          <w:szCs w:val="22"/>
          <w:lang w:val="es-ES" w:eastAsia="es-ES"/>
        </w:rPr>
      </w:pPr>
    </w:p>
    <w:p w14:paraId="32C2D1CB" w14:textId="77777777" w:rsidR="001A4860" w:rsidRPr="001A4860" w:rsidRDefault="001A4860" w:rsidP="001A4860">
      <w:pPr>
        <w:rPr>
          <w:sz w:val="22"/>
          <w:szCs w:val="22"/>
          <w:lang w:val="es-ES" w:eastAsia="es-ES"/>
        </w:rPr>
      </w:pPr>
      <w:r w:rsidRPr="001A4860">
        <w:rPr>
          <w:sz w:val="22"/>
          <w:szCs w:val="22"/>
          <w:lang w:val="es-ES" w:eastAsia="es-ES"/>
        </w:rPr>
        <w:t>Si las operaciones de campo no están controladas por pruebas de laboratorio, los valores de la siguiente Tabla pueden ser empleados como guía para el tiempo mínimo requerido antes de la remoción de formaletas y soportes.</w:t>
      </w:r>
    </w:p>
    <w:p w14:paraId="76F73129" w14:textId="77777777" w:rsidR="001A4860" w:rsidRPr="001A4860" w:rsidRDefault="001A4860" w:rsidP="001A4860">
      <w:pPr>
        <w:rPr>
          <w:sz w:val="22"/>
          <w:szCs w:val="22"/>
          <w:lang w:val="es-ES" w:eastAsia="es-ES"/>
        </w:rPr>
      </w:pPr>
    </w:p>
    <w:tbl>
      <w:tblPr>
        <w:tblW w:w="9368" w:type="dxa"/>
        <w:jc w:val="center"/>
        <w:tblCellMar>
          <w:left w:w="70" w:type="dxa"/>
          <w:right w:w="70" w:type="dxa"/>
        </w:tblCellMar>
        <w:tblLook w:val="04A0" w:firstRow="1" w:lastRow="0" w:firstColumn="1" w:lastColumn="0" w:noHBand="0" w:noVBand="1"/>
      </w:tblPr>
      <w:tblGrid>
        <w:gridCol w:w="5244"/>
        <w:gridCol w:w="4124"/>
      </w:tblGrid>
      <w:tr w:rsidR="001A4860" w:rsidRPr="001A4860" w14:paraId="4381548C" w14:textId="77777777" w:rsidTr="001A4860">
        <w:trPr>
          <w:trHeight w:val="318"/>
          <w:jc w:val="center"/>
        </w:trPr>
        <w:tc>
          <w:tcPr>
            <w:tcW w:w="5244" w:type="dxa"/>
            <w:tcBorders>
              <w:top w:val="double" w:sz="6" w:space="0" w:color="auto"/>
              <w:left w:val="double" w:sz="6" w:space="0" w:color="auto"/>
              <w:bottom w:val="single" w:sz="4" w:space="0" w:color="auto"/>
              <w:right w:val="single" w:sz="4" w:space="0" w:color="auto"/>
            </w:tcBorders>
            <w:shd w:val="clear" w:color="auto" w:fill="DEEAF6"/>
            <w:noWrap/>
            <w:vAlign w:val="center"/>
            <w:hideMark/>
          </w:tcPr>
          <w:p w14:paraId="0425D8A0" w14:textId="77777777" w:rsidR="001A4860" w:rsidRPr="001A4860" w:rsidRDefault="001A4860" w:rsidP="001A4860">
            <w:pPr>
              <w:jc w:val="center"/>
              <w:rPr>
                <w:b/>
                <w:bCs/>
                <w:sz w:val="22"/>
                <w:szCs w:val="22"/>
                <w:lang w:val="es-ES" w:eastAsia="es-NI"/>
              </w:rPr>
            </w:pPr>
            <w:r w:rsidRPr="001A4860">
              <w:rPr>
                <w:b/>
                <w:bCs/>
                <w:sz w:val="22"/>
                <w:szCs w:val="22"/>
                <w:lang w:val="es-ES" w:eastAsia="es-NI"/>
              </w:rPr>
              <w:t>Tipo de Obra</w:t>
            </w:r>
          </w:p>
        </w:tc>
        <w:tc>
          <w:tcPr>
            <w:tcW w:w="4124" w:type="dxa"/>
            <w:tcBorders>
              <w:top w:val="double" w:sz="6" w:space="0" w:color="auto"/>
              <w:left w:val="nil"/>
              <w:bottom w:val="single" w:sz="4" w:space="0" w:color="auto"/>
              <w:right w:val="double" w:sz="6" w:space="0" w:color="auto"/>
            </w:tcBorders>
            <w:shd w:val="clear" w:color="auto" w:fill="DEEAF6"/>
            <w:noWrap/>
            <w:vAlign w:val="center"/>
            <w:hideMark/>
          </w:tcPr>
          <w:p w14:paraId="3AF426CD" w14:textId="77777777" w:rsidR="001A4860" w:rsidRPr="001A4860" w:rsidRDefault="001A4860" w:rsidP="001A4860">
            <w:pPr>
              <w:jc w:val="center"/>
              <w:rPr>
                <w:b/>
                <w:bCs/>
                <w:sz w:val="22"/>
                <w:szCs w:val="22"/>
                <w:lang w:val="es-ES" w:eastAsia="es-NI"/>
              </w:rPr>
            </w:pPr>
            <w:r w:rsidRPr="001A4860">
              <w:rPr>
                <w:b/>
                <w:bCs/>
                <w:sz w:val="22"/>
                <w:szCs w:val="22"/>
                <w:lang w:val="es-ES" w:eastAsia="es-NI"/>
              </w:rPr>
              <w:t>Tiempo mínimo para remoción de formaletas y soportes</w:t>
            </w:r>
          </w:p>
        </w:tc>
      </w:tr>
      <w:tr w:rsidR="001A4860" w:rsidRPr="001A4860" w14:paraId="57156D54"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5395630A" w14:textId="77777777" w:rsidR="001A4860" w:rsidRPr="001A4860" w:rsidRDefault="001A4860" w:rsidP="001A4860">
            <w:pPr>
              <w:rPr>
                <w:sz w:val="22"/>
                <w:szCs w:val="22"/>
                <w:lang w:val="es-ES" w:eastAsia="es-NI"/>
              </w:rPr>
            </w:pPr>
            <w:r w:rsidRPr="001A4860">
              <w:rPr>
                <w:sz w:val="22"/>
                <w:szCs w:val="22"/>
                <w:lang w:val="es-ES" w:eastAsia="es-NI"/>
              </w:rPr>
              <w:t>Estructuras para Arcos</w:t>
            </w:r>
          </w:p>
        </w:tc>
        <w:tc>
          <w:tcPr>
            <w:tcW w:w="4124" w:type="dxa"/>
            <w:tcBorders>
              <w:top w:val="nil"/>
              <w:left w:val="nil"/>
              <w:bottom w:val="single" w:sz="4" w:space="0" w:color="auto"/>
              <w:right w:val="double" w:sz="6" w:space="0" w:color="auto"/>
            </w:tcBorders>
            <w:shd w:val="clear" w:color="auto" w:fill="auto"/>
            <w:noWrap/>
            <w:vAlign w:val="center"/>
            <w:hideMark/>
          </w:tcPr>
          <w:p w14:paraId="25054ADB" w14:textId="77777777" w:rsidR="001A4860" w:rsidRPr="001A4860" w:rsidRDefault="001A4860" w:rsidP="001A4860">
            <w:pPr>
              <w:jc w:val="center"/>
              <w:rPr>
                <w:sz w:val="22"/>
                <w:szCs w:val="22"/>
                <w:lang w:val="es-ES" w:eastAsia="es-NI"/>
              </w:rPr>
            </w:pPr>
            <w:r w:rsidRPr="001A4860">
              <w:rPr>
                <w:sz w:val="22"/>
                <w:szCs w:val="22"/>
                <w:lang w:val="es-ES" w:eastAsia="es-NI"/>
              </w:rPr>
              <w:t>14 días</w:t>
            </w:r>
          </w:p>
        </w:tc>
      </w:tr>
      <w:tr w:rsidR="001A4860" w:rsidRPr="001A4860" w14:paraId="2F8C97E2"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6C100B13" w14:textId="77777777" w:rsidR="001A4860" w:rsidRPr="001A4860" w:rsidRDefault="001A4860" w:rsidP="001A4860">
            <w:pPr>
              <w:rPr>
                <w:sz w:val="22"/>
                <w:szCs w:val="22"/>
                <w:lang w:val="es-ES" w:eastAsia="es-NI"/>
              </w:rPr>
            </w:pPr>
            <w:r w:rsidRPr="001A4860">
              <w:rPr>
                <w:sz w:val="22"/>
                <w:szCs w:val="22"/>
                <w:lang w:val="es-ES" w:eastAsia="es-NI"/>
              </w:rPr>
              <w:t>Estructuras bajo Vigas</w:t>
            </w:r>
          </w:p>
        </w:tc>
        <w:tc>
          <w:tcPr>
            <w:tcW w:w="4124" w:type="dxa"/>
            <w:tcBorders>
              <w:top w:val="nil"/>
              <w:left w:val="nil"/>
              <w:bottom w:val="single" w:sz="4" w:space="0" w:color="auto"/>
              <w:right w:val="double" w:sz="6" w:space="0" w:color="auto"/>
            </w:tcBorders>
            <w:shd w:val="clear" w:color="auto" w:fill="auto"/>
            <w:noWrap/>
            <w:vAlign w:val="center"/>
            <w:hideMark/>
          </w:tcPr>
          <w:p w14:paraId="3E85D6C2" w14:textId="77777777" w:rsidR="001A4860" w:rsidRPr="001A4860" w:rsidRDefault="001A4860" w:rsidP="001A4860">
            <w:pPr>
              <w:jc w:val="center"/>
              <w:rPr>
                <w:sz w:val="22"/>
                <w:szCs w:val="22"/>
                <w:lang w:val="es-ES" w:eastAsia="es-NI"/>
              </w:rPr>
            </w:pPr>
            <w:r w:rsidRPr="001A4860">
              <w:rPr>
                <w:sz w:val="22"/>
                <w:szCs w:val="22"/>
                <w:lang w:val="es-ES" w:eastAsia="es-NI"/>
              </w:rPr>
              <w:t>14 días</w:t>
            </w:r>
          </w:p>
        </w:tc>
      </w:tr>
      <w:tr w:rsidR="001A4860" w:rsidRPr="001A4860" w14:paraId="2A69C54E"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3FAB96EA" w14:textId="77777777" w:rsidR="001A4860" w:rsidRPr="001A4860" w:rsidRDefault="001A4860" w:rsidP="001A4860">
            <w:pPr>
              <w:rPr>
                <w:sz w:val="22"/>
                <w:szCs w:val="22"/>
                <w:lang w:val="es-ES" w:eastAsia="es-NI"/>
              </w:rPr>
            </w:pPr>
            <w:r w:rsidRPr="001A4860">
              <w:rPr>
                <w:sz w:val="22"/>
                <w:szCs w:val="22"/>
                <w:lang w:val="es-ES" w:eastAsia="es-NI"/>
              </w:rPr>
              <w:t>Soportes bajo losas planas</w:t>
            </w:r>
          </w:p>
        </w:tc>
        <w:tc>
          <w:tcPr>
            <w:tcW w:w="4124" w:type="dxa"/>
            <w:tcBorders>
              <w:top w:val="nil"/>
              <w:left w:val="nil"/>
              <w:bottom w:val="single" w:sz="4" w:space="0" w:color="auto"/>
              <w:right w:val="double" w:sz="6" w:space="0" w:color="auto"/>
            </w:tcBorders>
            <w:shd w:val="clear" w:color="auto" w:fill="auto"/>
            <w:noWrap/>
            <w:vAlign w:val="center"/>
            <w:hideMark/>
          </w:tcPr>
          <w:p w14:paraId="34C9525F" w14:textId="77777777" w:rsidR="001A4860" w:rsidRPr="001A4860" w:rsidRDefault="001A4860" w:rsidP="001A4860">
            <w:pPr>
              <w:jc w:val="center"/>
              <w:rPr>
                <w:sz w:val="22"/>
                <w:szCs w:val="22"/>
                <w:lang w:val="es-ES" w:eastAsia="es-NI"/>
              </w:rPr>
            </w:pPr>
            <w:r w:rsidRPr="001A4860">
              <w:rPr>
                <w:sz w:val="22"/>
                <w:szCs w:val="22"/>
                <w:lang w:val="es-ES" w:eastAsia="es-NI"/>
              </w:rPr>
              <w:t>14 días</w:t>
            </w:r>
          </w:p>
        </w:tc>
      </w:tr>
      <w:tr w:rsidR="001A4860" w:rsidRPr="001A4860" w14:paraId="5D15D428"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36C2FD0E" w14:textId="77777777" w:rsidR="001A4860" w:rsidRPr="001A4860" w:rsidRDefault="001A4860" w:rsidP="001A4860">
            <w:pPr>
              <w:rPr>
                <w:sz w:val="22"/>
                <w:szCs w:val="22"/>
                <w:lang w:val="es-ES" w:eastAsia="es-NI"/>
              </w:rPr>
            </w:pPr>
            <w:r w:rsidRPr="001A4860">
              <w:rPr>
                <w:sz w:val="22"/>
                <w:szCs w:val="22"/>
                <w:lang w:val="es-ES" w:eastAsia="es-NI"/>
              </w:rPr>
              <w:t>Losas de piso</w:t>
            </w:r>
          </w:p>
        </w:tc>
        <w:tc>
          <w:tcPr>
            <w:tcW w:w="4124" w:type="dxa"/>
            <w:tcBorders>
              <w:top w:val="nil"/>
              <w:left w:val="nil"/>
              <w:bottom w:val="single" w:sz="4" w:space="0" w:color="auto"/>
              <w:right w:val="double" w:sz="6" w:space="0" w:color="auto"/>
            </w:tcBorders>
            <w:shd w:val="clear" w:color="auto" w:fill="auto"/>
            <w:noWrap/>
            <w:vAlign w:val="center"/>
            <w:hideMark/>
          </w:tcPr>
          <w:p w14:paraId="7172D301" w14:textId="77777777" w:rsidR="001A4860" w:rsidRPr="001A4860" w:rsidRDefault="001A4860" w:rsidP="001A4860">
            <w:pPr>
              <w:jc w:val="center"/>
              <w:rPr>
                <w:sz w:val="22"/>
                <w:szCs w:val="22"/>
                <w:lang w:val="es-ES" w:eastAsia="es-NI"/>
              </w:rPr>
            </w:pPr>
            <w:r w:rsidRPr="001A4860">
              <w:rPr>
                <w:sz w:val="22"/>
                <w:szCs w:val="22"/>
                <w:lang w:val="es-ES" w:eastAsia="es-NI"/>
              </w:rPr>
              <w:t>14 días</w:t>
            </w:r>
          </w:p>
        </w:tc>
      </w:tr>
      <w:tr w:rsidR="001A4860" w:rsidRPr="001A4860" w14:paraId="7B38832A"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2978FA0B" w14:textId="77777777" w:rsidR="001A4860" w:rsidRPr="001A4860" w:rsidRDefault="001A4860" w:rsidP="001A4860">
            <w:pPr>
              <w:rPr>
                <w:sz w:val="22"/>
                <w:szCs w:val="22"/>
                <w:lang w:val="es-ES" w:eastAsia="es-NI"/>
              </w:rPr>
            </w:pPr>
            <w:r w:rsidRPr="001A4860">
              <w:rPr>
                <w:sz w:val="22"/>
                <w:szCs w:val="22"/>
                <w:lang w:val="es-ES" w:eastAsia="es-NI"/>
              </w:rPr>
              <w:t>Placa superior en alcantarillas de cajón</w:t>
            </w:r>
          </w:p>
        </w:tc>
        <w:tc>
          <w:tcPr>
            <w:tcW w:w="4124" w:type="dxa"/>
            <w:tcBorders>
              <w:top w:val="nil"/>
              <w:left w:val="nil"/>
              <w:bottom w:val="single" w:sz="4" w:space="0" w:color="auto"/>
              <w:right w:val="double" w:sz="6" w:space="0" w:color="auto"/>
            </w:tcBorders>
            <w:shd w:val="clear" w:color="auto" w:fill="auto"/>
            <w:noWrap/>
            <w:vAlign w:val="center"/>
            <w:hideMark/>
          </w:tcPr>
          <w:p w14:paraId="211D46F9" w14:textId="77777777" w:rsidR="001A4860" w:rsidRPr="001A4860" w:rsidRDefault="001A4860" w:rsidP="001A4860">
            <w:pPr>
              <w:jc w:val="center"/>
              <w:rPr>
                <w:sz w:val="22"/>
                <w:szCs w:val="22"/>
                <w:lang w:val="es-ES" w:eastAsia="es-NI"/>
              </w:rPr>
            </w:pPr>
            <w:r w:rsidRPr="001A4860">
              <w:rPr>
                <w:sz w:val="22"/>
                <w:szCs w:val="22"/>
                <w:lang w:val="es-ES" w:eastAsia="es-NI"/>
              </w:rPr>
              <w:t>14 días</w:t>
            </w:r>
          </w:p>
        </w:tc>
      </w:tr>
      <w:tr w:rsidR="001A4860" w:rsidRPr="001A4860" w14:paraId="69D73BE7"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420CD1C0" w14:textId="77777777" w:rsidR="001A4860" w:rsidRPr="001A4860" w:rsidRDefault="001A4860" w:rsidP="001A4860">
            <w:pPr>
              <w:rPr>
                <w:sz w:val="22"/>
                <w:szCs w:val="22"/>
                <w:lang w:val="es-ES" w:eastAsia="es-NI"/>
              </w:rPr>
            </w:pPr>
            <w:r w:rsidRPr="001A4860">
              <w:rPr>
                <w:sz w:val="22"/>
                <w:szCs w:val="22"/>
                <w:lang w:val="es-ES" w:eastAsia="es-NI"/>
              </w:rPr>
              <w:t>Superficies de muros verticales</w:t>
            </w:r>
          </w:p>
        </w:tc>
        <w:tc>
          <w:tcPr>
            <w:tcW w:w="4124" w:type="dxa"/>
            <w:tcBorders>
              <w:top w:val="nil"/>
              <w:left w:val="nil"/>
              <w:bottom w:val="single" w:sz="4" w:space="0" w:color="auto"/>
              <w:right w:val="double" w:sz="6" w:space="0" w:color="auto"/>
            </w:tcBorders>
            <w:shd w:val="clear" w:color="auto" w:fill="auto"/>
            <w:noWrap/>
            <w:vAlign w:val="center"/>
            <w:hideMark/>
          </w:tcPr>
          <w:p w14:paraId="00D79762" w14:textId="77777777" w:rsidR="001A4860" w:rsidRPr="001A4860" w:rsidRDefault="001A4860" w:rsidP="001A4860">
            <w:pPr>
              <w:jc w:val="center"/>
              <w:rPr>
                <w:sz w:val="22"/>
                <w:szCs w:val="22"/>
                <w:lang w:val="es-ES" w:eastAsia="es-NI"/>
              </w:rPr>
            </w:pPr>
            <w:r w:rsidRPr="001A4860">
              <w:rPr>
                <w:sz w:val="22"/>
                <w:szCs w:val="22"/>
                <w:lang w:val="es-ES" w:eastAsia="es-NI"/>
              </w:rPr>
              <w:t>48 horas</w:t>
            </w:r>
          </w:p>
        </w:tc>
      </w:tr>
      <w:tr w:rsidR="001A4860" w:rsidRPr="001A4860" w14:paraId="4C6FC853" w14:textId="77777777" w:rsidTr="001A4860">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0121FAB1" w14:textId="77777777" w:rsidR="001A4860" w:rsidRPr="001A4860" w:rsidRDefault="001A4860" w:rsidP="001A4860">
            <w:pPr>
              <w:rPr>
                <w:sz w:val="22"/>
                <w:szCs w:val="22"/>
                <w:lang w:val="es-ES" w:eastAsia="es-NI"/>
              </w:rPr>
            </w:pPr>
            <w:r w:rsidRPr="001A4860">
              <w:rPr>
                <w:sz w:val="22"/>
                <w:szCs w:val="22"/>
                <w:lang w:val="es-ES" w:eastAsia="es-NI"/>
              </w:rPr>
              <w:t>Columnas</w:t>
            </w:r>
          </w:p>
        </w:tc>
        <w:tc>
          <w:tcPr>
            <w:tcW w:w="4124" w:type="dxa"/>
            <w:tcBorders>
              <w:top w:val="nil"/>
              <w:left w:val="nil"/>
              <w:bottom w:val="single" w:sz="4" w:space="0" w:color="auto"/>
              <w:right w:val="double" w:sz="6" w:space="0" w:color="auto"/>
            </w:tcBorders>
            <w:shd w:val="clear" w:color="auto" w:fill="auto"/>
            <w:noWrap/>
            <w:vAlign w:val="center"/>
            <w:hideMark/>
          </w:tcPr>
          <w:p w14:paraId="0F9B1B37" w14:textId="77777777" w:rsidR="001A4860" w:rsidRPr="001A4860" w:rsidRDefault="001A4860" w:rsidP="001A4860">
            <w:pPr>
              <w:jc w:val="center"/>
              <w:rPr>
                <w:sz w:val="22"/>
                <w:szCs w:val="22"/>
                <w:lang w:val="es-ES" w:eastAsia="es-NI"/>
              </w:rPr>
            </w:pPr>
            <w:r w:rsidRPr="001A4860">
              <w:rPr>
                <w:sz w:val="22"/>
                <w:szCs w:val="22"/>
                <w:lang w:val="es-ES" w:eastAsia="es-NI"/>
              </w:rPr>
              <w:t>48 horas</w:t>
            </w:r>
          </w:p>
        </w:tc>
      </w:tr>
      <w:tr w:rsidR="001A4860" w:rsidRPr="001A4860" w14:paraId="38AD397B" w14:textId="77777777" w:rsidTr="001A4860">
        <w:trPr>
          <w:trHeight w:val="318"/>
          <w:jc w:val="center"/>
        </w:trPr>
        <w:tc>
          <w:tcPr>
            <w:tcW w:w="5244" w:type="dxa"/>
            <w:tcBorders>
              <w:top w:val="nil"/>
              <w:left w:val="double" w:sz="6" w:space="0" w:color="auto"/>
              <w:bottom w:val="double" w:sz="6" w:space="0" w:color="auto"/>
              <w:right w:val="single" w:sz="4" w:space="0" w:color="auto"/>
            </w:tcBorders>
            <w:shd w:val="clear" w:color="auto" w:fill="auto"/>
            <w:noWrap/>
            <w:vAlign w:val="center"/>
            <w:hideMark/>
          </w:tcPr>
          <w:p w14:paraId="7764F818" w14:textId="77777777" w:rsidR="001A4860" w:rsidRPr="001A4860" w:rsidRDefault="001A4860" w:rsidP="001A4860">
            <w:pPr>
              <w:rPr>
                <w:sz w:val="22"/>
                <w:szCs w:val="22"/>
                <w:lang w:val="es-ES" w:eastAsia="es-NI"/>
              </w:rPr>
            </w:pPr>
            <w:r w:rsidRPr="001A4860">
              <w:rPr>
                <w:sz w:val="22"/>
                <w:szCs w:val="22"/>
                <w:lang w:val="es-ES" w:eastAsia="es-NI"/>
              </w:rPr>
              <w:t>Lados, vigas y todas las demás partes</w:t>
            </w:r>
          </w:p>
        </w:tc>
        <w:tc>
          <w:tcPr>
            <w:tcW w:w="4124" w:type="dxa"/>
            <w:tcBorders>
              <w:top w:val="nil"/>
              <w:left w:val="nil"/>
              <w:bottom w:val="double" w:sz="6" w:space="0" w:color="auto"/>
              <w:right w:val="double" w:sz="6" w:space="0" w:color="auto"/>
            </w:tcBorders>
            <w:shd w:val="clear" w:color="auto" w:fill="auto"/>
            <w:noWrap/>
            <w:vAlign w:val="center"/>
            <w:hideMark/>
          </w:tcPr>
          <w:p w14:paraId="778EB471" w14:textId="77777777" w:rsidR="001A4860" w:rsidRPr="001A4860" w:rsidRDefault="001A4860" w:rsidP="001A4860">
            <w:pPr>
              <w:jc w:val="center"/>
              <w:rPr>
                <w:sz w:val="22"/>
                <w:szCs w:val="22"/>
                <w:lang w:val="es-ES" w:eastAsia="es-NI"/>
              </w:rPr>
            </w:pPr>
            <w:r w:rsidRPr="001A4860">
              <w:rPr>
                <w:sz w:val="22"/>
                <w:szCs w:val="22"/>
                <w:lang w:val="es-ES" w:eastAsia="es-NI"/>
              </w:rPr>
              <w:t>24 horas</w:t>
            </w:r>
          </w:p>
        </w:tc>
      </w:tr>
    </w:tbl>
    <w:p w14:paraId="6882E2D9" w14:textId="77777777" w:rsidR="001A4860" w:rsidRPr="001A4860" w:rsidRDefault="001A4860" w:rsidP="001A4860">
      <w:pPr>
        <w:widowControl w:val="0"/>
        <w:autoSpaceDE w:val="0"/>
        <w:autoSpaceDN w:val="0"/>
        <w:adjustRightInd w:val="0"/>
        <w:jc w:val="center"/>
        <w:rPr>
          <w:sz w:val="22"/>
          <w:szCs w:val="22"/>
          <w:lang w:val="es-ES" w:eastAsia="es-ES"/>
        </w:rPr>
      </w:pPr>
    </w:p>
    <w:p w14:paraId="00457D65" w14:textId="77777777" w:rsidR="001A4860" w:rsidRPr="001A4860" w:rsidRDefault="001A4860" w:rsidP="001A4860">
      <w:pPr>
        <w:rPr>
          <w:sz w:val="22"/>
          <w:szCs w:val="22"/>
          <w:lang w:val="es-ES" w:eastAsia="es-ES"/>
        </w:rPr>
      </w:pPr>
      <w:r w:rsidRPr="001A4860">
        <w:rPr>
          <w:sz w:val="22"/>
          <w:szCs w:val="22"/>
          <w:lang w:val="es-ES" w:eastAsia="es-ES"/>
        </w:rPr>
        <w:t>En caso que a continuación del retiro de la formaleta en lados o costados de vigas, se proceda al relleno y compactación del hueco de excavación, se permite 8 horas, caso contrario se requerva un mínimo de 24 horas. Se debe usar una película de aceite quemado en la cara de la formaleta en contacto con el concreto para evitar descascaramientos de la superficie del concreto colado.</w:t>
      </w:r>
    </w:p>
    <w:p w14:paraId="04E84803" w14:textId="77777777" w:rsidR="001A4860" w:rsidRPr="001A4860" w:rsidRDefault="001A4860" w:rsidP="001A4860">
      <w:pPr>
        <w:rPr>
          <w:sz w:val="22"/>
          <w:szCs w:val="22"/>
          <w:lang w:val="es-ES" w:eastAsia="es-ES"/>
        </w:rPr>
      </w:pPr>
    </w:p>
    <w:p w14:paraId="5E1F5708" w14:textId="77777777" w:rsidR="001A4860" w:rsidRPr="001A4860" w:rsidRDefault="001A4860" w:rsidP="001A4860">
      <w:pPr>
        <w:rPr>
          <w:sz w:val="22"/>
          <w:szCs w:val="22"/>
          <w:lang w:val="es-ES" w:eastAsia="es-ES"/>
        </w:rPr>
      </w:pPr>
      <w:r w:rsidRPr="001A4860">
        <w:rPr>
          <w:sz w:val="22"/>
          <w:szCs w:val="22"/>
          <w:lang w:val="es-ES" w:eastAsia="es-ES"/>
        </w:rPr>
        <w:t>En ningún momento se permite cargar la estructura, con almacenamiento de materiales, equipos de construcción o cualquier otro tipo de sobrecarga extraordinaria durante el tiempo que dure el concreto en alcanzar su resistencia de diseño.</w:t>
      </w:r>
    </w:p>
    <w:p w14:paraId="735AC21A" w14:textId="77777777" w:rsidR="001A4860" w:rsidRPr="001A4860" w:rsidRDefault="001A4860" w:rsidP="001A4860">
      <w:pPr>
        <w:widowControl w:val="0"/>
        <w:autoSpaceDE w:val="0"/>
        <w:autoSpaceDN w:val="0"/>
        <w:adjustRightInd w:val="0"/>
        <w:rPr>
          <w:sz w:val="22"/>
          <w:szCs w:val="22"/>
          <w:lang w:val="es-ES" w:eastAsia="es-ES"/>
        </w:rPr>
      </w:pPr>
    </w:p>
    <w:p w14:paraId="7BD56497" w14:textId="77777777" w:rsidR="001A4860" w:rsidRPr="001A4860" w:rsidRDefault="001A4860" w:rsidP="001A4860">
      <w:pPr>
        <w:keepNext/>
        <w:ind w:left="720" w:hanging="720"/>
        <w:outlineLvl w:val="2"/>
        <w:rPr>
          <w:rFonts w:eastAsia="Arial Narrow"/>
          <w:b/>
          <w:bCs/>
          <w:iCs/>
          <w:sz w:val="22"/>
          <w:szCs w:val="22"/>
          <w:lang w:val="es-ES" w:bidi="en-US"/>
        </w:rPr>
      </w:pPr>
      <w:bookmarkStart w:id="747" w:name="_Toc195413433"/>
      <w:bookmarkStart w:id="748" w:name="_Toc234745710"/>
      <w:bookmarkStart w:id="749" w:name="_Toc287828447"/>
      <w:bookmarkStart w:id="750" w:name="_Toc475371395"/>
      <w:bookmarkStart w:id="751" w:name="_Toc481596414"/>
      <w:bookmarkStart w:id="752" w:name="_Toc492981753"/>
      <w:bookmarkStart w:id="753" w:name="_Toc23249382"/>
      <w:r w:rsidRPr="001A4860">
        <w:rPr>
          <w:rFonts w:eastAsia="Arial Narrow"/>
          <w:b/>
          <w:bCs/>
          <w:iCs/>
          <w:sz w:val="22"/>
          <w:szCs w:val="22"/>
          <w:lang w:val="es-ES" w:bidi="en-US"/>
        </w:rPr>
        <w:t>Curado del concreto.</w:t>
      </w:r>
      <w:bookmarkEnd w:id="747"/>
      <w:bookmarkEnd w:id="748"/>
      <w:bookmarkEnd w:id="749"/>
      <w:bookmarkEnd w:id="750"/>
      <w:bookmarkEnd w:id="751"/>
      <w:bookmarkEnd w:id="752"/>
      <w:bookmarkEnd w:id="753"/>
    </w:p>
    <w:p w14:paraId="4480EC84" w14:textId="77777777" w:rsidR="001A4860" w:rsidRPr="001A4860" w:rsidRDefault="001A4860" w:rsidP="001A4860">
      <w:pPr>
        <w:rPr>
          <w:sz w:val="22"/>
          <w:szCs w:val="22"/>
          <w:lang w:val="es-ES" w:eastAsia="es-ES"/>
        </w:rPr>
      </w:pPr>
    </w:p>
    <w:p w14:paraId="20FE60F1" w14:textId="77777777" w:rsidR="001A4860" w:rsidRPr="001A4860" w:rsidRDefault="001A4860" w:rsidP="001A4860">
      <w:pPr>
        <w:rPr>
          <w:sz w:val="22"/>
          <w:szCs w:val="22"/>
          <w:lang w:val="es-ES" w:eastAsia="es-ES"/>
        </w:rPr>
      </w:pPr>
      <w:r w:rsidRPr="001A4860">
        <w:rPr>
          <w:sz w:val="22"/>
          <w:szCs w:val="22"/>
          <w:lang w:val="es-ES" w:eastAsia="es-ES"/>
        </w:rPr>
        <w:t>Después de la colocación del concreto deben protegerse todas las superficies expuestas de los efectos de la intemperie, sobre todo del sol y de la lluvia. El curado se inicia tan pronto el concreto haya endurecido suficientemente a juicio de El Supervisor. Se cuida de mantener continuamente húmeda durante los primeros siete (7) días la superficie del concreto.</w:t>
      </w:r>
    </w:p>
    <w:p w14:paraId="59D9C0FC" w14:textId="77777777" w:rsidR="001A4860" w:rsidRPr="001A4860" w:rsidRDefault="001A4860" w:rsidP="001A4860">
      <w:pPr>
        <w:rPr>
          <w:sz w:val="22"/>
          <w:szCs w:val="22"/>
          <w:lang w:val="es-ES" w:eastAsia="es-ES"/>
        </w:rPr>
      </w:pPr>
    </w:p>
    <w:p w14:paraId="11CD6FAC" w14:textId="77777777" w:rsidR="001A4860" w:rsidRPr="001A4860" w:rsidRDefault="001A4860" w:rsidP="001A4860">
      <w:pPr>
        <w:rPr>
          <w:sz w:val="22"/>
          <w:szCs w:val="22"/>
          <w:lang w:val="es-ES" w:eastAsia="es-ES"/>
        </w:rPr>
      </w:pPr>
      <w:r w:rsidRPr="001A4860">
        <w:rPr>
          <w:sz w:val="22"/>
          <w:szCs w:val="22"/>
          <w:lang w:val="es-ES" w:eastAsia="es-ES"/>
        </w:rPr>
        <w:t>Evitar causas externas, (sobrecargas, vibraciones, etc.) que puedan provocar fisuras en el concreto sin fraguar o sin la resistencia adecuada.  El Contratista debe acatar todas las indicaciones que le haga El Supervisor al respecto.  Todos los repellos y acabados de paredes deben curarse en igual forma.</w:t>
      </w:r>
    </w:p>
    <w:p w14:paraId="1141D116" w14:textId="77777777" w:rsidR="001A4860" w:rsidRPr="001A4860" w:rsidRDefault="001A4860" w:rsidP="001A4860">
      <w:pPr>
        <w:rPr>
          <w:sz w:val="22"/>
          <w:szCs w:val="22"/>
          <w:lang w:val="es-ES" w:eastAsia="es-ES"/>
        </w:rPr>
      </w:pPr>
    </w:p>
    <w:p w14:paraId="24FEE3EE" w14:textId="77777777" w:rsidR="001A4860" w:rsidRPr="001A4860" w:rsidRDefault="001A4860" w:rsidP="001A4860">
      <w:pPr>
        <w:keepNext/>
        <w:ind w:left="720" w:hanging="720"/>
        <w:outlineLvl w:val="2"/>
        <w:rPr>
          <w:rFonts w:eastAsia="Arial Narrow"/>
          <w:b/>
          <w:bCs/>
          <w:iCs/>
          <w:sz w:val="22"/>
          <w:szCs w:val="22"/>
          <w:lang w:val="es-ES" w:bidi="en-US"/>
        </w:rPr>
      </w:pPr>
      <w:bookmarkStart w:id="754" w:name="_Toc195413434"/>
      <w:bookmarkStart w:id="755" w:name="_Toc234745711"/>
      <w:bookmarkStart w:id="756" w:name="_Toc287828448"/>
      <w:bookmarkStart w:id="757" w:name="_Toc475371396"/>
      <w:bookmarkStart w:id="758" w:name="_Toc481596415"/>
      <w:bookmarkStart w:id="759" w:name="_Toc492981754"/>
      <w:bookmarkStart w:id="760" w:name="_Toc23249383"/>
      <w:r w:rsidRPr="001A4860">
        <w:rPr>
          <w:rFonts w:eastAsia="Arial Narrow"/>
          <w:b/>
          <w:bCs/>
          <w:iCs/>
          <w:sz w:val="22"/>
          <w:szCs w:val="22"/>
          <w:lang w:val="es-ES" w:bidi="en-US"/>
        </w:rPr>
        <w:t>Reparación de defectos en el concreto.</w:t>
      </w:r>
      <w:bookmarkEnd w:id="754"/>
      <w:bookmarkEnd w:id="755"/>
      <w:bookmarkEnd w:id="756"/>
      <w:bookmarkEnd w:id="757"/>
      <w:bookmarkEnd w:id="758"/>
      <w:bookmarkEnd w:id="759"/>
      <w:bookmarkEnd w:id="760"/>
    </w:p>
    <w:p w14:paraId="617AD802" w14:textId="77777777" w:rsidR="001A4860" w:rsidRPr="001A4860" w:rsidRDefault="001A4860" w:rsidP="001A4860">
      <w:pPr>
        <w:rPr>
          <w:sz w:val="22"/>
          <w:szCs w:val="22"/>
          <w:lang w:val="es-ES" w:eastAsia="es-ES"/>
        </w:rPr>
      </w:pPr>
    </w:p>
    <w:p w14:paraId="40BDA78F" w14:textId="77777777" w:rsidR="001A4860" w:rsidRPr="001A4860" w:rsidRDefault="001A4860" w:rsidP="001A4860">
      <w:pPr>
        <w:rPr>
          <w:sz w:val="22"/>
          <w:szCs w:val="22"/>
          <w:lang w:val="es-ES" w:eastAsia="es-ES"/>
        </w:rPr>
      </w:pPr>
      <w:r w:rsidRPr="001A4860">
        <w:rPr>
          <w:sz w:val="22"/>
          <w:szCs w:val="22"/>
          <w:lang w:val="es-ES" w:eastAsia="es-ES"/>
        </w:rPr>
        <w:t>Todos los defectos en el concreto, segregaciones superficiales (ratoneras), deben repararse picando bien la sección defectuosa, eliminando todo el material suelto. Las zonas o secciones defectuosas deben rellenarse con concreto o mortero siguiendo las instrucciones de El Supervisor.</w:t>
      </w:r>
    </w:p>
    <w:p w14:paraId="46D1E2D4" w14:textId="77777777" w:rsidR="001A4860" w:rsidRPr="001A4860" w:rsidRDefault="001A4860" w:rsidP="001A4860">
      <w:pPr>
        <w:widowControl w:val="0"/>
        <w:autoSpaceDE w:val="0"/>
        <w:autoSpaceDN w:val="0"/>
        <w:adjustRightInd w:val="0"/>
        <w:rPr>
          <w:sz w:val="22"/>
          <w:szCs w:val="22"/>
          <w:lang w:val="es-ES" w:eastAsia="es-ES"/>
        </w:rPr>
      </w:pPr>
    </w:p>
    <w:p w14:paraId="7CF7BC99" w14:textId="77777777" w:rsidR="001A4860" w:rsidRPr="001A4860" w:rsidRDefault="001A4860" w:rsidP="001A4860">
      <w:pPr>
        <w:keepNext/>
        <w:ind w:left="720" w:hanging="720"/>
        <w:outlineLvl w:val="2"/>
        <w:rPr>
          <w:rFonts w:eastAsia="Arial Narrow"/>
          <w:b/>
          <w:bCs/>
          <w:iCs/>
          <w:sz w:val="22"/>
          <w:szCs w:val="22"/>
          <w:lang w:val="es-ES" w:bidi="en-US"/>
        </w:rPr>
      </w:pPr>
      <w:bookmarkStart w:id="761" w:name="_Toc195413435"/>
      <w:bookmarkStart w:id="762" w:name="_Toc234745712"/>
      <w:bookmarkStart w:id="763" w:name="_Toc287828449"/>
      <w:bookmarkStart w:id="764" w:name="_Toc475371397"/>
      <w:bookmarkStart w:id="765" w:name="_Toc481596416"/>
      <w:bookmarkStart w:id="766" w:name="_Toc492981755"/>
      <w:bookmarkStart w:id="767" w:name="_Toc23249384"/>
      <w:r w:rsidRPr="001A4860">
        <w:rPr>
          <w:rFonts w:eastAsia="Arial Narrow"/>
          <w:b/>
          <w:bCs/>
          <w:iCs/>
          <w:sz w:val="22"/>
          <w:szCs w:val="22"/>
          <w:lang w:val="es-ES" w:bidi="en-US"/>
        </w:rPr>
        <w:t>Acero de refuerzo.</w:t>
      </w:r>
      <w:bookmarkEnd w:id="761"/>
      <w:bookmarkEnd w:id="762"/>
      <w:bookmarkEnd w:id="763"/>
      <w:bookmarkEnd w:id="764"/>
      <w:bookmarkEnd w:id="765"/>
      <w:bookmarkEnd w:id="766"/>
      <w:bookmarkEnd w:id="767"/>
    </w:p>
    <w:p w14:paraId="470B34C4" w14:textId="77777777" w:rsidR="001A4860" w:rsidRPr="001A4860" w:rsidRDefault="001A4860" w:rsidP="001A4860">
      <w:pPr>
        <w:rPr>
          <w:sz w:val="22"/>
          <w:szCs w:val="22"/>
          <w:lang w:val="es-ES" w:eastAsia="es-ES"/>
        </w:rPr>
      </w:pPr>
    </w:p>
    <w:p w14:paraId="13F40E5C" w14:textId="77777777" w:rsidR="001A4860" w:rsidRPr="001A4860" w:rsidRDefault="001A4860" w:rsidP="001A4860">
      <w:pPr>
        <w:rPr>
          <w:b/>
          <w:sz w:val="22"/>
          <w:szCs w:val="22"/>
          <w:lang w:val="es-ES" w:eastAsia="es-ES"/>
        </w:rPr>
      </w:pPr>
      <w:bookmarkStart w:id="768" w:name="_Toc234745713"/>
      <w:bookmarkStart w:id="769" w:name="_Toc287828450"/>
      <w:r w:rsidRPr="001A4860">
        <w:rPr>
          <w:b/>
          <w:sz w:val="22"/>
          <w:szCs w:val="22"/>
          <w:lang w:val="es-ES" w:eastAsia="es-ES"/>
        </w:rPr>
        <w:t>a-) Dibujos de trabajos</w:t>
      </w:r>
      <w:bookmarkEnd w:id="768"/>
      <w:bookmarkEnd w:id="769"/>
      <w:r w:rsidRPr="001A4860">
        <w:rPr>
          <w:b/>
          <w:sz w:val="22"/>
          <w:szCs w:val="22"/>
          <w:lang w:val="es-ES" w:eastAsia="es-ES"/>
        </w:rPr>
        <w:t xml:space="preserve">: </w:t>
      </w:r>
    </w:p>
    <w:p w14:paraId="14D79A05" w14:textId="77777777" w:rsidR="001A4860" w:rsidRPr="001A4860" w:rsidRDefault="001A4860" w:rsidP="001A4860">
      <w:pPr>
        <w:rPr>
          <w:b/>
          <w:sz w:val="22"/>
          <w:szCs w:val="22"/>
          <w:lang w:val="es-ES" w:eastAsia="es-ES"/>
        </w:rPr>
      </w:pPr>
    </w:p>
    <w:p w14:paraId="2E3C66F1" w14:textId="77777777" w:rsidR="001A4860" w:rsidRPr="001A4860" w:rsidRDefault="001A4860" w:rsidP="001A4860">
      <w:pPr>
        <w:rPr>
          <w:sz w:val="22"/>
          <w:szCs w:val="22"/>
          <w:lang w:val="es-ES" w:eastAsia="es-ES"/>
        </w:rPr>
      </w:pPr>
      <w:r w:rsidRPr="001A4860">
        <w:rPr>
          <w:sz w:val="22"/>
          <w:szCs w:val="22"/>
          <w:lang w:val="es-ES" w:eastAsia="es-ES"/>
        </w:rPr>
        <w:t>Se deben suministrar en cuadruplicados detalles de colocación y dibujos de taller para el corte y doblado de todo el acero de refuerzo. Estos dibujos deben ser hechos a una escala tal que muestren claramente la localización de las juntas de construcción, las aberturas para el vaciado de rellenos, el arreglo, espaciamiento y empalme de las varillas. Ningún material puede ser cortado o doblado, hasta que dichos dibujos han sido aprobados por el Supervisor.</w:t>
      </w:r>
    </w:p>
    <w:p w14:paraId="5E45FD12" w14:textId="77777777" w:rsidR="001A4860" w:rsidRPr="001A4860" w:rsidRDefault="001A4860" w:rsidP="001A4860">
      <w:pPr>
        <w:rPr>
          <w:sz w:val="22"/>
          <w:szCs w:val="22"/>
          <w:lang w:val="es-ES" w:eastAsia="es-ES"/>
        </w:rPr>
      </w:pPr>
    </w:p>
    <w:p w14:paraId="3E0A8D5B" w14:textId="77777777" w:rsidR="001A4860" w:rsidRPr="001A4860" w:rsidRDefault="001A4860" w:rsidP="001A4860">
      <w:pPr>
        <w:rPr>
          <w:b/>
          <w:sz w:val="22"/>
          <w:szCs w:val="22"/>
          <w:lang w:val="es-ES" w:eastAsia="es-ES"/>
        </w:rPr>
      </w:pPr>
      <w:r w:rsidRPr="001A4860">
        <w:rPr>
          <w:b/>
          <w:sz w:val="22"/>
          <w:szCs w:val="22"/>
          <w:lang w:val="es-ES" w:eastAsia="es-ES"/>
        </w:rPr>
        <w:t xml:space="preserve">b-) Cortado, doblado y almacenaje: </w:t>
      </w:r>
    </w:p>
    <w:p w14:paraId="35DDB287" w14:textId="77777777" w:rsidR="001A4860" w:rsidRPr="001A4860" w:rsidRDefault="001A4860" w:rsidP="001A4860">
      <w:pPr>
        <w:rPr>
          <w:b/>
          <w:sz w:val="22"/>
          <w:szCs w:val="22"/>
          <w:lang w:val="es-ES" w:eastAsia="es-ES"/>
        </w:rPr>
      </w:pPr>
    </w:p>
    <w:p w14:paraId="1516B00D" w14:textId="77777777" w:rsidR="001A4860" w:rsidRPr="001A4860" w:rsidRDefault="001A4860" w:rsidP="001A4860">
      <w:pPr>
        <w:rPr>
          <w:sz w:val="22"/>
          <w:szCs w:val="22"/>
          <w:lang w:val="es-ES" w:eastAsia="es-ES"/>
        </w:rPr>
      </w:pPr>
      <w:r w:rsidRPr="001A4860">
        <w:rPr>
          <w:sz w:val="22"/>
          <w:szCs w:val="22"/>
          <w:lang w:val="es-ES" w:eastAsia="es-ES"/>
        </w:rPr>
        <w:t xml:space="preserve">Todo el acero de refuerzo, debe ser cortado y doblado en frío, ajustándolas a los planos y especificaciones del proyecto, sin errores, mayores de un centímetro (l cm). Los dobleces de las armaduras, salvo indicación especial en los planos, hacer con radios superiores a siete y media (7-½) veces el diámetro. Los dobleces deben hacerse de acuerdo al Manual de Práctica Normales del Instituto de Acero para Refuerzo de Concreto. </w:t>
      </w:r>
    </w:p>
    <w:p w14:paraId="226C8F62" w14:textId="77777777" w:rsidR="001A4860" w:rsidRPr="001A4860" w:rsidRDefault="001A4860" w:rsidP="001A4860">
      <w:pPr>
        <w:rPr>
          <w:sz w:val="22"/>
          <w:szCs w:val="22"/>
          <w:lang w:val="es-ES" w:eastAsia="es-ES"/>
        </w:rPr>
      </w:pPr>
    </w:p>
    <w:p w14:paraId="39C55FF8" w14:textId="77777777" w:rsidR="001A4860" w:rsidRPr="001A4860" w:rsidRDefault="001A4860" w:rsidP="001A4860">
      <w:pPr>
        <w:rPr>
          <w:sz w:val="22"/>
          <w:szCs w:val="22"/>
          <w:lang w:val="es-ES" w:eastAsia="es-ES"/>
        </w:rPr>
      </w:pPr>
      <w:r w:rsidRPr="001A4860">
        <w:rPr>
          <w:sz w:val="22"/>
          <w:szCs w:val="22"/>
          <w:lang w:val="es-ES" w:eastAsia="es-ES"/>
        </w:rPr>
        <w:t>En los casos de remesas en las cuales el acero de refuerzo venga ya cortado y doblado al sitio de trabajo, el mismo debe ser cuidadosamente atado y rotulado, de manera que pueda ser manejado sin peligro y fácilmente identificado con los diagramas de colocación aprobados.</w:t>
      </w:r>
    </w:p>
    <w:p w14:paraId="63FF7DDD" w14:textId="77777777" w:rsidR="001A4860" w:rsidRPr="001A4860" w:rsidRDefault="001A4860" w:rsidP="001A4860">
      <w:pPr>
        <w:rPr>
          <w:sz w:val="22"/>
          <w:szCs w:val="22"/>
          <w:lang w:val="es-ES" w:eastAsia="es-ES"/>
        </w:rPr>
      </w:pPr>
    </w:p>
    <w:p w14:paraId="5B8C8025" w14:textId="77777777" w:rsidR="001A4860" w:rsidRPr="001A4860" w:rsidRDefault="001A4860" w:rsidP="001A4860">
      <w:pPr>
        <w:rPr>
          <w:sz w:val="22"/>
          <w:szCs w:val="22"/>
          <w:lang w:val="es-ES" w:eastAsia="es-ES"/>
        </w:rPr>
      </w:pPr>
      <w:r w:rsidRPr="001A4860">
        <w:rPr>
          <w:sz w:val="22"/>
          <w:szCs w:val="22"/>
          <w:lang w:val="es-ES" w:eastAsia="es-ES"/>
        </w:rPr>
        <w:t>El acero de refuerzo debe ser almacenado por encima de la superficie del suelo, sobre plataformas u otros soportes deben estar todo el tiempo protegido de la intemperie por medio de una cubierta adecuada. El refuerzo debe almacenarse en una forma ordenada y debe ser claramente marcado para facilitar su identificación.</w:t>
      </w:r>
    </w:p>
    <w:p w14:paraId="381CE4C2" w14:textId="77777777" w:rsidR="001A4860" w:rsidRPr="001A4860" w:rsidRDefault="001A4860" w:rsidP="001A4860">
      <w:pPr>
        <w:rPr>
          <w:sz w:val="22"/>
          <w:szCs w:val="22"/>
          <w:lang w:val="es-ES" w:eastAsia="es-ES"/>
        </w:rPr>
      </w:pPr>
    </w:p>
    <w:p w14:paraId="4780ADBC" w14:textId="77777777" w:rsidR="001A4860" w:rsidRPr="001A4860" w:rsidRDefault="001A4860" w:rsidP="001A4860">
      <w:pPr>
        <w:rPr>
          <w:b/>
          <w:sz w:val="22"/>
          <w:szCs w:val="22"/>
          <w:lang w:val="es-ES" w:eastAsia="es-ES"/>
        </w:rPr>
      </w:pPr>
      <w:r w:rsidRPr="001A4860">
        <w:rPr>
          <w:b/>
          <w:sz w:val="22"/>
          <w:szCs w:val="22"/>
          <w:lang w:val="es-ES" w:eastAsia="es-ES"/>
        </w:rPr>
        <w:t xml:space="preserve">c-) Empalme de barras: </w:t>
      </w:r>
    </w:p>
    <w:p w14:paraId="2E95D52C" w14:textId="77777777" w:rsidR="001A4860" w:rsidRPr="001A4860" w:rsidRDefault="001A4860" w:rsidP="001A4860">
      <w:pPr>
        <w:rPr>
          <w:sz w:val="22"/>
          <w:szCs w:val="22"/>
          <w:lang w:val="es-ES" w:eastAsia="es-ES"/>
        </w:rPr>
      </w:pPr>
    </w:p>
    <w:p w14:paraId="451FC496" w14:textId="77777777" w:rsidR="001A4860" w:rsidRPr="001A4860" w:rsidRDefault="001A4860" w:rsidP="001A4860">
      <w:pPr>
        <w:rPr>
          <w:sz w:val="22"/>
          <w:szCs w:val="22"/>
          <w:lang w:val="es-ES" w:eastAsia="es-ES"/>
        </w:rPr>
      </w:pPr>
      <w:r w:rsidRPr="001A4860">
        <w:rPr>
          <w:sz w:val="22"/>
          <w:szCs w:val="22"/>
          <w:lang w:val="es-ES" w:eastAsia="es-ES"/>
        </w:rPr>
        <w:t>No hacer empalmes de barras no señalados en los planos sin autorización del Supervisor. En caso necesario, se dispone donde la armadura trabaje menos de los dos tercios (2/3) de su tensión admisible, pudiendo ser por solape o soldadura. En ningún caso se debe exceder la fuerza cortante y adherencias.</w:t>
      </w:r>
    </w:p>
    <w:p w14:paraId="6EC592E5" w14:textId="77777777" w:rsidR="001A4860" w:rsidRPr="001A4860" w:rsidRDefault="001A4860" w:rsidP="001A4860">
      <w:pPr>
        <w:rPr>
          <w:sz w:val="22"/>
          <w:szCs w:val="22"/>
          <w:lang w:val="es-ES" w:eastAsia="es-ES"/>
        </w:rPr>
      </w:pPr>
    </w:p>
    <w:p w14:paraId="2CA14451" w14:textId="77777777" w:rsidR="001A4860" w:rsidRPr="001A4860" w:rsidRDefault="001A4860" w:rsidP="001A4860">
      <w:pPr>
        <w:rPr>
          <w:sz w:val="22"/>
          <w:szCs w:val="22"/>
          <w:lang w:val="es-ES" w:eastAsia="es-ES"/>
        </w:rPr>
      </w:pPr>
      <w:r w:rsidRPr="001A4860">
        <w:rPr>
          <w:sz w:val="22"/>
          <w:szCs w:val="22"/>
          <w:lang w:val="es-ES" w:eastAsia="es-ES"/>
        </w:rPr>
        <w:lastRenderedPageBreak/>
        <w:t>Cuando el empalme sé efectuarse por solape, las barras deben traslaparse por lo menos 30" de largo y terminarán en ganchos. En ningún caso él traslape es menor de 24" de barra.  El espesor del hormigón alrededor de la solapa no es menor de dos (2) diámetros. Los empalmes se distancian unos de otros de modo que sus centros queden a más de treinta pulgadas (30") a lo largo del elemento. Cuando se use soldadura, ésta debe desarrollarse totalmente para el transferir el esfuerzo completo.</w:t>
      </w:r>
    </w:p>
    <w:p w14:paraId="41C6AB45" w14:textId="77777777" w:rsidR="001A4860" w:rsidRPr="001A4860" w:rsidRDefault="001A4860" w:rsidP="001A4860">
      <w:pPr>
        <w:rPr>
          <w:sz w:val="22"/>
          <w:szCs w:val="22"/>
          <w:lang w:val="es-ES" w:eastAsia="es-ES"/>
        </w:rPr>
      </w:pPr>
    </w:p>
    <w:p w14:paraId="7DA559B8" w14:textId="77777777" w:rsidR="001A4860" w:rsidRPr="001A4860" w:rsidRDefault="001A4860" w:rsidP="001A4860">
      <w:pPr>
        <w:rPr>
          <w:b/>
          <w:sz w:val="22"/>
          <w:szCs w:val="22"/>
          <w:lang w:val="es-ES" w:eastAsia="es-ES"/>
        </w:rPr>
      </w:pPr>
      <w:r w:rsidRPr="001A4860">
        <w:rPr>
          <w:b/>
          <w:sz w:val="22"/>
          <w:szCs w:val="22"/>
          <w:lang w:val="es-ES" w:eastAsia="es-ES"/>
        </w:rPr>
        <w:t>d-) Limpieza y colocación del acero de refuerzo:</w:t>
      </w:r>
    </w:p>
    <w:p w14:paraId="4B6FD803" w14:textId="77777777" w:rsidR="001A4860" w:rsidRPr="001A4860" w:rsidRDefault="001A4860" w:rsidP="001A4860">
      <w:pPr>
        <w:rPr>
          <w:sz w:val="22"/>
          <w:szCs w:val="22"/>
          <w:lang w:val="es-ES" w:eastAsia="es-ES"/>
        </w:rPr>
      </w:pPr>
    </w:p>
    <w:p w14:paraId="1CBEC1C9" w14:textId="77777777" w:rsidR="001A4860" w:rsidRPr="001A4860" w:rsidRDefault="001A4860" w:rsidP="001A4860">
      <w:pPr>
        <w:rPr>
          <w:sz w:val="22"/>
          <w:szCs w:val="22"/>
          <w:lang w:val="es-ES" w:eastAsia="es-ES"/>
        </w:rPr>
      </w:pPr>
      <w:r w:rsidRPr="001A4860">
        <w:rPr>
          <w:sz w:val="22"/>
          <w:szCs w:val="22"/>
          <w:lang w:val="es-ES" w:eastAsia="es-ES"/>
        </w:rPr>
        <w:t>La limpieza, doblado, colocación y empalme de refuerzo hacer de acuerdo con las normas y recomendaciones 318-71 y 315-65 del ACI, y a las especificaciones del CRSI. El acero de refuerzo se limpia de toda suciedad y óxido no adherente.</w:t>
      </w:r>
    </w:p>
    <w:p w14:paraId="5D1CF590" w14:textId="77777777" w:rsidR="001A4860" w:rsidRPr="001A4860" w:rsidRDefault="001A4860" w:rsidP="001A4860">
      <w:pPr>
        <w:rPr>
          <w:sz w:val="22"/>
          <w:szCs w:val="22"/>
          <w:lang w:val="es-ES" w:eastAsia="es-ES"/>
        </w:rPr>
      </w:pPr>
    </w:p>
    <w:p w14:paraId="3B058255" w14:textId="77777777" w:rsidR="001A4860" w:rsidRPr="001A4860" w:rsidRDefault="001A4860" w:rsidP="001A4860">
      <w:pPr>
        <w:rPr>
          <w:sz w:val="22"/>
          <w:szCs w:val="22"/>
          <w:lang w:val="es-ES" w:eastAsia="es-ES"/>
        </w:rPr>
      </w:pPr>
      <w:r w:rsidRPr="001A4860">
        <w:rPr>
          <w:sz w:val="22"/>
          <w:szCs w:val="22"/>
          <w:lang w:val="es-ES" w:eastAsia="es-ES"/>
        </w:rPr>
        <w:t xml:space="preserve">Las barras se doblan en frío, ajustándolas a los planos y especificaciones del Proyecto, sin errores mayores de un centímetro. Los dobleces de las armaduras, salvo indicación especial en los planos, hacer con radios superiores a siete y medio (7.50) veces su diámetro. </w:t>
      </w:r>
    </w:p>
    <w:p w14:paraId="5D65DBBB" w14:textId="77777777" w:rsidR="001A4860" w:rsidRPr="001A4860" w:rsidRDefault="001A4860" w:rsidP="001A4860">
      <w:pPr>
        <w:rPr>
          <w:sz w:val="22"/>
          <w:szCs w:val="22"/>
          <w:lang w:val="es-ES" w:eastAsia="es-ES"/>
        </w:rPr>
      </w:pPr>
    </w:p>
    <w:p w14:paraId="27AB8182" w14:textId="77777777" w:rsidR="001A4860" w:rsidRPr="001A4860" w:rsidRDefault="001A4860" w:rsidP="001A4860">
      <w:pPr>
        <w:rPr>
          <w:sz w:val="22"/>
          <w:szCs w:val="22"/>
          <w:lang w:val="es-ES" w:eastAsia="es-ES"/>
        </w:rPr>
      </w:pPr>
      <w:r w:rsidRPr="001A4860">
        <w:rPr>
          <w:sz w:val="22"/>
          <w:szCs w:val="22"/>
          <w:lang w:val="es-ES" w:eastAsia="es-ES"/>
        </w:rPr>
        <w:t>Las barras se sujetan a la formaleta con alambre o tacos de concreto o piedra, y entre sí con ataduras de alambre de hierro dulce No.16, de modo que no puedan desplazarse durante la llena y que este pueda envolverlos completamente.</w:t>
      </w:r>
    </w:p>
    <w:p w14:paraId="79941344" w14:textId="77777777" w:rsidR="001A4860" w:rsidRPr="001A4860" w:rsidRDefault="001A4860" w:rsidP="001A4860">
      <w:pPr>
        <w:rPr>
          <w:sz w:val="22"/>
          <w:szCs w:val="22"/>
          <w:lang w:val="es-ES" w:eastAsia="es-ES"/>
        </w:rPr>
      </w:pPr>
    </w:p>
    <w:p w14:paraId="40B41D00" w14:textId="77777777" w:rsidR="001A4860" w:rsidRPr="001A4860" w:rsidRDefault="001A4860" w:rsidP="001A4860">
      <w:pPr>
        <w:rPr>
          <w:b/>
          <w:sz w:val="22"/>
          <w:szCs w:val="22"/>
          <w:lang w:val="es-ES" w:eastAsia="es-ES"/>
        </w:rPr>
      </w:pPr>
      <w:r w:rsidRPr="001A4860">
        <w:rPr>
          <w:b/>
          <w:sz w:val="22"/>
          <w:szCs w:val="22"/>
          <w:lang w:val="es-ES" w:eastAsia="es-ES"/>
        </w:rPr>
        <w:t xml:space="preserve">e-) Recubrimientos del acero de refuerzo </w:t>
      </w:r>
    </w:p>
    <w:p w14:paraId="58C9683C" w14:textId="77777777" w:rsidR="001A4860" w:rsidRPr="001A4860" w:rsidRDefault="001A4860" w:rsidP="001A4860">
      <w:pPr>
        <w:rPr>
          <w:sz w:val="22"/>
          <w:szCs w:val="22"/>
          <w:lang w:val="es-ES" w:eastAsia="es-ES"/>
        </w:rPr>
      </w:pPr>
    </w:p>
    <w:p w14:paraId="41B09A77" w14:textId="77777777" w:rsidR="001A4860" w:rsidRPr="001A4860" w:rsidRDefault="001A4860" w:rsidP="001A4860">
      <w:pPr>
        <w:rPr>
          <w:sz w:val="22"/>
          <w:szCs w:val="22"/>
          <w:lang w:val="es-ES" w:eastAsia="es-ES"/>
        </w:rPr>
      </w:pPr>
      <w:r w:rsidRPr="001A4860">
        <w:rPr>
          <w:sz w:val="22"/>
          <w:szCs w:val="22"/>
          <w:lang w:val="es-ES" w:eastAsia="es-ES"/>
        </w:rPr>
        <w:t xml:space="preserve">Los recubrimientos exigidos, a menos que en los planos se indiquen otros, son los siguientes: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6"/>
        <w:gridCol w:w="1769"/>
        <w:gridCol w:w="1965"/>
      </w:tblGrid>
      <w:tr w:rsidR="001A4860" w:rsidRPr="001A4860" w14:paraId="16472B50" w14:textId="77777777" w:rsidTr="001A4860">
        <w:trPr>
          <w:trHeight w:val="283"/>
          <w:jc w:val="center"/>
        </w:trPr>
        <w:tc>
          <w:tcPr>
            <w:tcW w:w="3003" w:type="pct"/>
            <w:vAlign w:val="center"/>
          </w:tcPr>
          <w:p w14:paraId="2F22AAD0" w14:textId="77777777" w:rsidR="001A4860" w:rsidRPr="001A4860" w:rsidRDefault="001A4860" w:rsidP="001A4860">
            <w:pPr>
              <w:tabs>
                <w:tab w:val="left" w:pos="-720"/>
              </w:tabs>
              <w:suppressAutoHyphens/>
              <w:ind w:left="720" w:hanging="378"/>
              <w:rPr>
                <w:spacing w:val="-2"/>
                <w:sz w:val="22"/>
                <w:szCs w:val="22"/>
                <w:lang w:val="es-GT"/>
              </w:rPr>
            </w:pPr>
            <w:r w:rsidRPr="001A4860">
              <w:rPr>
                <w:spacing w:val="-2"/>
                <w:sz w:val="22"/>
                <w:szCs w:val="22"/>
                <w:lang w:val="es-GT"/>
              </w:rPr>
              <w:t>Zapatas</w:t>
            </w:r>
          </w:p>
        </w:tc>
        <w:tc>
          <w:tcPr>
            <w:tcW w:w="946" w:type="pct"/>
            <w:tcBorders>
              <w:right w:val="single" w:sz="4" w:space="0" w:color="auto"/>
            </w:tcBorders>
            <w:vAlign w:val="center"/>
          </w:tcPr>
          <w:p w14:paraId="5FFFB066" w14:textId="77777777" w:rsidR="001A4860" w:rsidRPr="001A4860" w:rsidRDefault="001A4860" w:rsidP="001A4860">
            <w:pPr>
              <w:tabs>
                <w:tab w:val="left" w:pos="-720"/>
              </w:tabs>
              <w:suppressAutoHyphens/>
              <w:ind w:left="461" w:hanging="425"/>
              <w:jc w:val="center"/>
              <w:rPr>
                <w:spacing w:val="-2"/>
                <w:sz w:val="22"/>
                <w:szCs w:val="22"/>
                <w:lang w:val="es-GT" w:eastAsia="de-DE"/>
              </w:rPr>
            </w:pPr>
            <w:r w:rsidRPr="001A4860">
              <w:rPr>
                <w:spacing w:val="-2"/>
                <w:sz w:val="22"/>
                <w:szCs w:val="22"/>
                <w:lang w:val="es-GT" w:eastAsia="de-DE"/>
              </w:rPr>
              <w:t>7</w:t>
            </w:r>
          </w:p>
        </w:tc>
        <w:tc>
          <w:tcPr>
            <w:tcW w:w="1051" w:type="pct"/>
            <w:tcBorders>
              <w:left w:val="single" w:sz="4" w:space="0" w:color="auto"/>
            </w:tcBorders>
            <w:vAlign w:val="center"/>
          </w:tcPr>
          <w:p w14:paraId="6F1F13CA" w14:textId="77777777" w:rsidR="001A4860" w:rsidRPr="001A4860" w:rsidRDefault="001A4860" w:rsidP="001A4860">
            <w:pPr>
              <w:tabs>
                <w:tab w:val="left" w:pos="-720"/>
              </w:tabs>
              <w:suppressAutoHyphens/>
              <w:ind w:left="319" w:hanging="283"/>
              <w:jc w:val="center"/>
              <w:rPr>
                <w:spacing w:val="-2"/>
                <w:sz w:val="22"/>
                <w:szCs w:val="22"/>
                <w:lang w:val="es-GT" w:eastAsia="de-DE"/>
              </w:rPr>
            </w:pPr>
            <w:r w:rsidRPr="001A4860">
              <w:rPr>
                <w:spacing w:val="-2"/>
                <w:sz w:val="22"/>
                <w:szCs w:val="22"/>
                <w:lang w:val="es-GT" w:eastAsia="de-DE"/>
              </w:rPr>
              <w:t>cm</w:t>
            </w:r>
          </w:p>
        </w:tc>
      </w:tr>
      <w:tr w:rsidR="001A4860" w:rsidRPr="001A4860" w14:paraId="770A624A" w14:textId="77777777" w:rsidTr="001A4860">
        <w:trPr>
          <w:trHeight w:val="283"/>
          <w:jc w:val="center"/>
        </w:trPr>
        <w:tc>
          <w:tcPr>
            <w:tcW w:w="3003" w:type="pct"/>
            <w:vAlign w:val="center"/>
          </w:tcPr>
          <w:p w14:paraId="43556A83" w14:textId="77777777" w:rsidR="001A4860" w:rsidRPr="001A4860" w:rsidRDefault="001A4860" w:rsidP="001A4860">
            <w:pPr>
              <w:tabs>
                <w:tab w:val="left" w:pos="-720"/>
              </w:tabs>
              <w:suppressAutoHyphens/>
              <w:ind w:left="720" w:hanging="378"/>
              <w:rPr>
                <w:spacing w:val="-2"/>
                <w:sz w:val="22"/>
                <w:szCs w:val="22"/>
                <w:lang w:val="es-GT" w:eastAsia="de-DE"/>
              </w:rPr>
            </w:pPr>
            <w:r w:rsidRPr="001A4860">
              <w:rPr>
                <w:spacing w:val="-2"/>
                <w:sz w:val="22"/>
                <w:szCs w:val="22"/>
                <w:lang w:val="es-GT" w:eastAsia="de-DE"/>
              </w:rPr>
              <w:t>Pedestales</w:t>
            </w:r>
          </w:p>
        </w:tc>
        <w:tc>
          <w:tcPr>
            <w:tcW w:w="946" w:type="pct"/>
            <w:tcBorders>
              <w:right w:val="single" w:sz="4" w:space="0" w:color="auto"/>
            </w:tcBorders>
            <w:vAlign w:val="center"/>
          </w:tcPr>
          <w:p w14:paraId="3EE4043F" w14:textId="77777777" w:rsidR="001A4860" w:rsidRPr="001A4860" w:rsidRDefault="001A4860" w:rsidP="001A4860">
            <w:pPr>
              <w:tabs>
                <w:tab w:val="left" w:pos="-720"/>
              </w:tabs>
              <w:suppressAutoHyphens/>
              <w:ind w:left="461" w:hanging="425"/>
              <w:jc w:val="center"/>
              <w:rPr>
                <w:spacing w:val="-2"/>
                <w:sz w:val="22"/>
                <w:szCs w:val="22"/>
                <w:lang w:val="es-GT" w:eastAsia="de-DE"/>
              </w:rPr>
            </w:pPr>
            <w:r w:rsidRPr="001A4860">
              <w:rPr>
                <w:spacing w:val="-2"/>
                <w:sz w:val="22"/>
                <w:szCs w:val="22"/>
                <w:lang w:val="es-GT" w:eastAsia="de-DE"/>
              </w:rPr>
              <w:t>7</w:t>
            </w:r>
          </w:p>
        </w:tc>
        <w:tc>
          <w:tcPr>
            <w:tcW w:w="1051" w:type="pct"/>
            <w:tcBorders>
              <w:left w:val="single" w:sz="4" w:space="0" w:color="auto"/>
            </w:tcBorders>
            <w:vAlign w:val="center"/>
          </w:tcPr>
          <w:p w14:paraId="4C83CADD" w14:textId="77777777" w:rsidR="001A4860" w:rsidRPr="001A4860" w:rsidRDefault="001A4860" w:rsidP="001A4860">
            <w:pPr>
              <w:tabs>
                <w:tab w:val="left" w:pos="-720"/>
              </w:tabs>
              <w:suppressAutoHyphens/>
              <w:ind w:left="319" w:hanging="283"/>
              <w:jc w:val="center"/>
              <w:rPr>
                <w:spacing w:val="-2"/>
                <w:sz w:val="22"/>
                <w:szCs w:val="22"/>
                <w:lang w:val="es-GT" w:eastAsia="de-DE"/>
              </w:rPr>
            </w:pPr>
            <w:r w:rsidRPr="001A4860">
              <w:rPr>
                <w:spacing w:val="-2"/>
                <w:sz w:val="22"/>
                <w:szCs w:val="22"/>
                <w:lang w:val="es-GT" w:eastAsia="de-DE"/>
              </w:rPr>
              <w:t>cm</w:t>
            </w:r>
          </w:p>
        </w:tc>
      </w:tr>
      <w:tr w:rsidR="001A4860" w:rsidRPr="001A4860" w14:paraId="0ECCDFF0" w14:textId="77777777" w:rsidTr="001A4860">
        <w:trPr>
          <w:trHeight w:val="283"/>
          <w:jc w:val="center"/>
        </w:trPr>
        <w:tc>
          <w:tcPr>
            <w:tcW w:w="3003" w:type="pct"/>
            <w:vAlign w:val="center"/>
          </w:tcPr>
          <w:p w14:paraId="6469A133" w14:textId="77777777" w:rsidR="001A4860" w:rsidRPr="001A4860" w:rsidRDefault="001A4860" w:rsidP="001A4860">
            <w:pPr>
              <w:tabs>
                <w:tab w:val="left" w:pos="-720"/>
              </w:tabs>
              <w:suppressAutoHyphens/>
              <w:ind w:left="720" w:hanging="378"/>
              <w:rPr>
                <w:spacing w:val="-2"/>
                <w:sz w:val="22"/>
                <w:szCs w:val="22"/>
                <w:lang w:val="es-GT" w:eastAsia="de-DE"/>
              </w:rPr>
            </w:pPr>
            <w:r w:rsidRPr="001A4860">
              <w:rPr>
                <w:spacing w:val="-2"/>
                <w:sz w:val="22"/>
                <w:szCs w:val="22"/>
                <w:lang w:val="es-GT" w:eastAsia="de-DE"/>
              </w:rPr>
              <w:t>Soleras</w:t>
            </w:r>
          </w:p>
        </w:tc>
        <w:tc>
          <w:tcPr>
            <w:tcW w:w="946" w:type="pct"/>
            <w:tcBorders>
              <w:right w:val="single" w:sz="4" w:space="0" w:color="auto"/>
            </w:tcBorders>
            <w:vAlign w:val="center"/>
          </w:tcPr>
          <w:p w14:paraId="435A0628" w14:textId="77777777" w:rsidR="001A4860" w:rsidRPr="001A4860" w:rsidRDefault="001A4860" w:rsidP="001A4860">
            <w:pPr>
              <w:tabs>
                <w:tab w:val="left" w:pos="-720"/>
              </w:tabs>
              <w:suppressAutoHyphens/>
              <w:ind w:left="461" w:hanging="425"/>
              <w:jc w:val="center"/>
              <w:rPr>
                <w:spacing w:val="-2"/>
                <w:sz w:val="22"/>
                <w:szCs w:val="22"/>
                <w:lang w:val="es-GT" w:eastAsia="de-DE"/>
              </w:rPr>
            </w:pPr>
            <w:r w:rsidRPr="001A4860">
              <w:rPr>
                <w:spacing w:val="-2"/>
                <w:sz w:val="22"/>
                <w:szCs w:val="22"/>
                <w:lang w:val="es-GT" w:eastAsia="de-DE"/>
              </w:rPr>
              <w:t>5</w:t>
            </w:r>
          </w:p>
        </w:tc>
        <w:tc>
          <w:tcPr>
            <w:tcW w:w="1051" w:type="pct"/>
            <w:tcBorders>
              <w:left w:val="single" w:sz="4" w:space="0" w:color="auto"/>
            </w:tcBorders>
            <w:vAlign w:val="center"/>
          </w:tcPr>
          <w:p w14:paraId="6FAB0432" w14:textId="77777777" w:rsidR="001A4860" w:rsidRPr="001A4860" w:rsidRDefault="001A4860" w:rsidP="001A4860">
            <w:pPr>
              <w:tabs>
                <w:tab w:val="left" w:pos="-720"/>
              </w:tabs>
              <w:suppressAutoHyphens/>
              <w:ind w:left="319" w:hanging="283"/>
              <w:jc w:val="center"/>
              <w:rPr>
                <w:spacing w:val="-2"/>
                <w:sz w:val="22"/>
                <w:szCs w:val="22"/>
                <w:lang w:val="es-GT" w:eastAsia="de-DE"/>
              </w:rPr>
            </w:pPr>
            <w:r w:rsidRPr="001A4860">
              <w:rPr>
                <w:spacing w:val="-2"/>
                <w:sz w:val="22"/>
                <w:szCs w:val="22"/>
                <w:lang w:val="es-GT" w:eastAsia="de-DE"/>
              </w:rPr>
              <w:t>cm</w:t>
            </w:r>
          </w:p>
        </w:tc>
      </w:tr>
      <w:tr w:rsidR="001A4860" w:rsidRPr="001A4860" w14:paraId="1AA75AF3" w14:textId="77777777" w:rsidTr="001A4860">
        <w:trPr>
          <w:trHeight w:val="283"/>
          <w:jc w:val="center"/>
        </w:trPr>
        <w:tc>
          <w:tcPr>
            <w:tcW w:w="3003" w:type="pct"/>
            <w:vAlign w:val="center"/>
          </w:tcPr>
          <w:p w14:paraId="64B7B1B5" w14:textId="77777777" w:rsidR="001A4860" w:rsidRPr="001A4860" w:rsidRDefault="001A4860" w:rsidP="001A4860">
            <w:pPr>
              <w:tabs>
                <w:tab w:val="left" w:pos="-720"/>
              </w:tabs>
              <w:suppressAutoHyphens/>
              <w:ind w:left="720" w:hanging="378"/>
              <w:rPr>
                <w:spacing w:val="-2"/>
                <w:sz w:val="22"/>
                <w:szCs w:val="22"/>
                <w:lang w:val="es-GT" w:eastAsia="de-DE"/>
              </w:rPr>
            </w:pPr>
            <w:r w:rsidRPr="001A4860">
              <w:rPr>
                <w:spacing w:val="-2"/>
                <w:sz w:val="22"/>
                <w:szCs w:val="22"/>
                <w:lang w:val="es-GT" w:eastAsia="de-DE"/>
              </w:rPr>
              <w:t>Vigas y columnas</w:t>
            </w:r>
          </w:p>
        </w:tc>
        <w:tc>
          <w:tcPr>
            <w:tcW w:w="946" w:type="pct"/>
            <w:tcBorders>
              <w:right w:val="single" w:sz="4" w:space="0" w:color="auto"/>
            </w:tcBorders>
            <w:vAlign w:val="center"/>
          </w:tcPr>
          <w:p w14:paraId="76295D71" w14:textId="77777777" w:rsidR="001A4860" w:rsidRPr="001A4860" w:rsidRDefault="001A4860" w:rsidP="001A4860">
            <w:pPr>
              <w:tabs>
                <w:tab w:val="left" w:pos="-720"/>
              </w:tabs>
              <w:suppressAutoHyphens/>
              <w:ind w:left="461" w:hanging="425"/>
              <w:jc w:val="center"/>
              <w:rPr>
                <w:spacing w:val="-2"/>
                <w:sz w:val="22"/>
                <w:szCs w:val="22"/>
                <w:lang w:val="es-GT" w:eastAsia="de-DE"/>
              </w:rPr>
            </w:pPr>
            <w:r w:rsidRPr="001A4860">
              <w:rPr>
                <w:spacing w:val="-2"/>
                <w:sz w:val="22"/>
                <w:szCs w:val="22"/>
                <w:lang w:val="es-GT" w:eastAsia="de-DE"/>
              </w:rPr>
              <w:t>4</w:t>
            </w:r>
          </w:p>
        </w:tc>
        <w:tc>
          <w:tcPr>
            <w:tcW w:w="1051" w:type="pct"/>
            <w:tcBorders>
              <w:left w:val="single" w:sz="4" w:space="0" w:color="auto"/>
            </w:tcBorders>
            <w:vAlign w:val="center"/>
          </w:tcPr>
          <w:p w14:paraId="2BF2BF73" w14:textId="77777777" w:rsidR="001A4860" w:rsidRPr="001A4860" w:rsidRDefault="001A4860" w:rsidP="001A4860">
            <w:pPr>
              <w:tabs>
                <w:tab w:val="left" w:pos="-720"/>
              </w:tabs>
              <w:suppressAutoHyphens/>
              <w:ind w:left="319" w:hanging="283"/>
              <w:jc w:val="center"/>
              <w:rPr>
                <w:spacing w:val="-2"/>
                <w:sz w:val="22"/>
                <w:szCs w:val="22"/>
                <w:lang w:val="es-GT" w:eastAsia="de-DE"/>
              </w:rPr>
            </w:pPr>
            <w:r w:rsidRPr="001A4860">
              <w:rPr>
                <w:spacing w:val="-2"/>
                <w:sz w:val="22"/>
                <w:szCs w:val="22"/>
                <w:lang w:val="es-GT" w:eastAsia="de-DE"/>
              </w:rPr>
              <w:t>cm</w:t>
            </w:r>
          </w:p>
        </w:tc>
      </w:tr>
      <w:tr w:rsidR="001A4860" w:rsidRPr="001A4860" w14:paraId="36883392" w14:textId="77777777" w:rsidTr="001A4860">
        <w:trPr>
          <w:trHeight w:val="283"/>
          <w:jc w:val="center"/>
        </w:trPr>
        <w:tc>
          <w:tcPr>
            <w:tcW w:w="3003" w:type="pct"/>
            <w:vAlign w:val="center"/>
          </w:tcPr>
          <w:p w14:paraId="2158CA49" w14:textId="77777777" w:rsidR="001A4860" w:rsidRPr="001A4860" w:rsidRDefault="001A4860" w:rsidP="001A4860">
            <w:pPr>
              <w:tabs>
                <w:tab w:val="left" w:pos="-720"/>
              </w:tabs>
              <w:suppressAutoHyphens/>
              <w:ind w:left="720" w:hanging="378"/>
              <w:rPr>
                <w:spacing w:val="-2"/>
                <w:sz w:val="22"/>
                <w:szCs w:val="22"/>
                <w:lang w:val="es-GT" w:eastAsia="de-DE"/>
              </w:rPr>
            </w:pPr>
            <w:r w:rsidRPr="001A4860">
              <w:rPr>
                <w:spacing w:val="-2"/>
                <w:sz w:val="22"/>
                <w:szCs w:val="22"/>
                <w:lang w:val="es-GT" w:eastAsia="de-DE"/>
              </w:rPr>
              <w:t>Losas de piso sobre el terreno</w:t>
            </w:r>
          </w:p>
        </w:tc>
        <w:tc>
          <w:tcPr>
            <w:tcW w:w="946" w:type="pct"/>
            <w:tcBorders>
              <w:right w:val="single" w:sz="4" w:space="0" w:color="auto"/>
            </w:tcBorders>
            <w:vAlign w:val="center"/>
          </w:tcPr>
          <w:p w14:paraId="66551A39" w14:textId="77777777" w:rsidR="001A4860" w:rsidRPr="001A4860" w:rsidRDefault="001A4860" w:rsidP="001A4860">
            <w:pPr>
              <w:tabs>
                <w:tab w:val="left" w:pos="-720"/>
              </w:tabs>
              <w:suppressAutoHyphens/>
              <w:ind w:left="461" w:hanging="425"/>
              <w:jc w:val="center"/>
              <w:rPr>
                <w:spacing w:val="-2"/>
                <w:sz w:val="22"/>
                <w:szCs w:val="22"/>
                <w:lang w:val="es-GT" w:eastAsia="de-DE"/>
              </w:rPr>
            </w:pPr>
            <w:r w:rsidRPr="001A4860">
              <w:rPr>
                <w:spacing w:val="-2"/>
                <w:sz w:val="22"/>
                <w:szCs w:val="22"/>
                <w:lang w:val="es-GT" w:eastAsia="de-DE"/>
              </w:rPr>
              <w:t>7</w:t>
            </w:r>
          </w:p>
        </w:tc>
        <w:tc>
          <w:tcPr>
            <w:tcW w:w="1051" w:type="pct"/>
            <w:tcBorders>
              <w:left w:val="single" w:sz="4" w:space="0" w:color="auto"/>
            </w:tcBorders>
            <w:vAlign w:val="center"/>
          </w:tcPr>
          <w:p w14:paraId="69DBF663" w14:textId="77777777" w:rsidR="001A4860" w:rsidRPr="001A4860" w:rsidRDefault="001A4860" w:rsidP="001A4860">
            <w:pPr>
              <w:tabs>
                <w:tab w:val="left" w:pos="-720"/>
              </w:tabs>
              <w:suppressAutoHyphens/>
              <w:ind w:left="319" w:hanging="283"/>
              <w:jc w:val="center"/>
              <w:rPr>
                <w:spacing w:val="-2"/>
                <w:sz w:val="22"/>
                <w:szCs w:val="22"/>
                <w:lang w:val="es-GT" w:eastAsia="de-DE"/>
              </w:rPr>
            </w:pPr>
            <w:r w:rsidRPr="001A4860">
              <w:rPr>
                <w:spacing w:val="-2"/>
                <w:sz w:val="22"/>
                <w:szCs w:val="22"/>
                <w:lang w:val="es-GT" w:eastAsia="de-DE"/>
              </w:rPr>
              <w:t>cm</w:t>
            </w:r>
          </w:p>
        </w:tc>
      </w:tr>
      <w:tr w:rsidR="001A4860" w:rsidRPr="001A4860" w14:paraId="605D77DA" w14:textId="77777777" w:rsidTr="001A4860">
        <w:trPr>
          <w:trHeight w:val="283"/>
          <w:jc w:val="center"/>
        </w:trPr>
        <w:tc>
          <w:tcPr>
            <w:tcW w:w="3003" w:type="pct"/>
            <w:vAlign w:val="center"/>
          </w:tcPr>
          <w:p w14:paraId="222F2854" w14:textId="77777777" w:rsidR="001A4860" w:rsidRPr="001A4860" w:rsidRDefault="001A4860" w:rsidP="001A4860">
            <w:pPr>
              <w:tabs>
                <w:tab w:val="left" w:pos="-720"/>
              </w:tabs>
              <w:suppressAutoHyphens/>
              <w:ind w:left="720" w:hanging="378"/>
              <w:rPr>
                <w:spacing w:val="-2"/>
                <w:sz w:val="22"/>
                <w:szCs w:val="22"/>
                <w:lang w:val="es-GT" w:eastAsia="de-DE"/>
              </w:rPr>
            </w:pPr>
            <w:r w:rsidRPr="001A4860">
              <w:rPr>
                <w:spacing w:val="-2"/>
                <w:sz w:val="22"/>
                <w:szCs w:val="22"/>
                <w:lang w:val="es-GT" w:eastAsia="de-DE"/>
              </w:rPr>
              <w:t>Losa de intemperie</w:t>
            </w:r>
          </w:p>
        </w:tc>
        <w:tc>
          <w:tcPr>
            <w:tcW w:w="946" w:type="pct"/>
            <w:tcBorders>
              <w:right w:val="single" w:sz="4" w:space="0" w:color="auto"/>
            </w:tcBorders>
            <w:vAlign w:val="center"/>
          </w:tcPr>
          <w:p w14:paraId="062AF284" w14:textId="77777777" w:rsidR="001A4860" w:rsidRPr="001A4860" w:rsidRDefault="001A4860" w:rsidP="001A4860">
            <w:pPr>
              <w:tabs>
                <w:tab w:val="left" w:pos="-720"/>
              </w:tabs>
              <w:suppressAutoHyphens/>
              <w:ind w:left="461" w:hanging="425"/>
              <w:jc w:val="center"/>
              <w:rPr>
                <w:spacing w:val="-2"/>
                <w:sz w:val="22"/>
                <w:szCs w:val="22"/>
                <w:lang w:val="es-GT" w:eastAsia="de-DE"/>
              </w:rPr>
            </w:pPr>
            <w:r w:rsidRPr="001A4860">
              <w:rPr>
                <w:spacing w:val="-2"/>
                <w:sz w:val="22"/>
                <w:szCs w:val="22"/>
                <w:lang w:val="es-GT" w:eastAsia="de-DE"/>
              </w:rPr>
              <w:t>3</w:t>
            </w:r>
          </w:p>
        </w:tc>
        <w:tc>
          <w:tcPr>
            <w:tcW w:w="1051" w:type="pct"/>
            <w:tcBorders>
              <w:left w:val="single" w:sz="4" w:space="0" w:color="auto"/>
            </w:tcBorders>
            <w:vAlign w:val="center"/>
          </w:tcPr>
          <w:p w14:paraId="38A656D2" w14:textId="77777777" w:rsidR="001A4860" w:rsidRPr="001A4860" w:rsidRDefault="001A4860" w:rsidP="001A4860">
            <w:pPr>
              <w:tabs>
                <w:tab w:val="left" w:pos="-720"/>
              </w:tabs>
              <w:suppressAutoHyphens/>
              <w:ind w:left="319" w:hanging="283"/>
              <w:jc w:val="center"/>
              <w:rPr>
                <w:spacing w:val="-2"/>
                <w:sz w:val="22"/>
                <w:szCs w:val="22"/>
                <w:lang w:val="es-GT" w:eastAsia="de-DE"/>
              </w:rPr>
            </w:pPr>
            <w:r w:rsidRPr="001A4860">
              <w:rPr>
                <w:spacing w:val="-2"/>
                <w:sz w:val="22"/>
                <w:szCs w:val="22"/>
                <w:lang w:val="es-GT" w:eastAsia="de-DE"/>
              </w:rPr>
              <w:t>cm</w:t>
            </w:r>
          </w:p>
        </w:tc>
      </w:tr>
    </w:tbl>
    <w:p w14:paraId="7CCBBD8F" w14:textId="77777777" w:rsidR="001A4860" w:rsidRPr="001A4860" w:rsidRDefault="001A4860" w:rsidP="001A4860">
      <w:pPr>
        <w:rPr>
          <w:sz w:val="22"/>
          <w:szCs w:val="22"/>
          <w:lang w:val="es-ES" w:eastAsia="es-ES"/>
        </w:rPr>
      </w:pPr>
    </w:p>
    <w:p w14:paraId="2F340F36" w14:textId="77777777" w:rsidR="001A4860" w:rsidRPr="001A4860" w:rsidRDefault="001A4860" w:rsidP="001A4860">
      <w:pPr>
        <w:keepNext/>
        <w:outlineLvl w:val="1"/>
        <w:rPr>
          <w:rFonts w:eastAsia="Arial Narrow"/>
          <w:b/>
          <w:bCs/>
          <w:iCs/>
          <w:sz w:val="22"/>
          <w:szCs w:val="22"/>
          <w:lang w:val="en-US"/>
        </w:rPr>
      </w:pPr>
      <w:bookmarkStart w:id="770" w:name="_Toc23249385"/>
      <w:r w:rsidRPr="001A4860">
        <w:rPr>
          <w:rFonts w:eastAsia="Arial Narrow"/>
          <w:b/>
          <w:bCs/>
          <w:iCs/>
          <w:sz w:val="22"/>
          <w:szCs w:val="22"/>
          <w:lang w:val="en-US"/>
        </w:rPr>
        <w:t>Medida y Forma de Pago</w:t>
      </w:r>
      <w:bookmarkEnd w:id="770"/>
    </w:p>
    <w:p w14:paraId="7B38529F" w14:textId="77777777" w:rsidR="001A4860" w:rsidRPr="001A4860" w:rsidRDefault="001A4860" w:rsidP="001A4860">
      <w:pPr>
        <w:rPr>
          <w:sz w:val="22"/>
          <w:szCs w:val="22"/>
          <w:lang w:val="es-ES" w:eastAsia="es-ES"/>
        </w:rPr>
      </w:pPr>
    </w:p>
    <w:p w14:paraId="3AC68CF5" w14:textId="77777777" w:rsidR="001A4860" w:rsidRPr="001A4860" w:rsidRDefault="001A4860" w:rsidP="001A4860">
      <w:pPr>
        <w:rPr>
          <w:sz w:val="22"/>
          <w:szCs w:val="22"/>
          <w:lang w:val="es-ES" w:eastAsia="es-ES"/>
        </w:rPr>
      </w:pPr>
      <w:r w:rsidRPr="001A4860">
        <w:rPr>
          <w:sz w:val="22"/>
          <w:szCs w:val="22"/>
          <w:lang w:val="es-ES" w:eastAsia="es-ES"/>
        </w:rPr>
        <w:t>El suministro y colocación de concreto ciclópeo, y concreto reforzado, se mide y paga por metro cúbico (m³) ejecutado y aprobado por el Supervisor. El pago se efectúa según el rubro correspondiente al precio unitario fijado en el Formulario de Oferta. Este precio comprende todos los costos directos e indirectos por concepto de materiales, mano de obra, equipos y herramientas, para realizar el trabajo antes descrito, incluyendo todo elemento que implícitamente sea necesario para realizar el rubro conforme a los alcances, los detalles y especificaciones tanto de los documentos de esta licitación como los planos de taller avalados por el Supervisor.</w:t>
      </w:r>
    </w:p>
    <w:p w14:paraId="6E1A5BC2" w14:textId="77777777" w:rsidR="001A4860" w:rsidRPr="001A4860" w:rsidRDefault="001A4860" w:rsidP="001A4860">
      <w:pPr>
        <w:rPr>
          <w:sz w:val="22"/>
          <w:szCs w:val="22"/>
          <w:lang w:val="es-ES" w:eastAsia="es-ES"/>
        </w:rPr>
      </w:pPr>
    </w:p>
    <w:p w14:paraId="043F09A2" w14:textId="77777777" w:rsidR="001A4860" w:rsidRPr="001A4860" w:rsidRDefault="001A4860" w:rsidP="001A4860">
      <w:pPr>
        <w:keepNext/>
        <w:outlineLvl w:val="1"/>
        <w:rPr>
          <w:rFonts w:eastAsia="Arial Narrow"/>
          <w:b/>
          <w:bCs/>
          <w:iCs/>
          <w:sz w:val="22"/>
          <w:szCs w:val="22"/>
          <w:lang w:val="es-NI"/>
        </w:rPr>
      </w:pPr>
      <w:bookmarkStart w:id="771" w:name="_Toc23249386"/>
      <w:r w:rsidRPr="001A4860">
        <w:rPr>
          <w:rFonts w:eastAsia="Arial Narrow"/>
          <w:b/>
          <w:bCs/>
          <w:iCs/>
          <w:sz w:val="22"/>
          <w:szCs w:val="22"/>
          <w:lang w:val="es-NI"/>
        </w:rPr>
        <w:t>Movimiento de tierra para tanque de almacenamiento</w:t>
      </w:r>
      <w:bookmarkEnd w:id="771"/>
    </w:p>
    <w:p w14:paraId="01612B8D" w14:textId="77777777" w:rsidR="001A4860" w:rsidRPr="001A4860" w:rsidRDefault="001A4860" w:rsidP="001A4860">
      <w:pPr>
        <w:rPr>
          <w:sz w:val="22"/>
          <w:szCs w:val="22"/>
          <w:lang w:val="es-ES" w:eastAsia="es-ES"/>
        </w:rPr>
      </w:pPr>
    </w:p>
    <w:p w14:paraId="07D06D55" w14:textId="77777777" w:rsidR="001A4860" w:rsidRPr="001A4860" w:rsidRDefault="001A4860" w:rsidP="001A4860">
      <w:pPr>
        <w:rPr>
          <w:sz w:val="22"/>
          <w:szCs w:val="22"/>
          <w:lang w:val="es-ES" w:eastAsia="es-ES"/>
        </w:rPr>
      </w:pPr>
      <w:r w:rsidRPr="001A4860">
        <w:rPr>
          <w:sz w:val="22"/>
          <w:szCs w:val="22"/>
          <w:lang w:val="es-ES" w:eastAsia="es-ES"/>
        </w:rPr>
        <w:t>El Contratista debe verificar la ubicación del tanque de almacenamiento. La ubicación debe ser lo más cercano posible del núcleo poblacional, considerando la topografía del sitio, el mantenimiento y los costos de la tubería de conducción. La ubicación debe garantizar la presión mínima (carga residual) del aparato crítico de la vivienda más alejada del tanque, esta no debe ser menor que 5.00 mca (7.11 psi)</w:t>
      </w:r>
    </w:p>
    <w:p w14:paraId="61FF16B1" w14:textId="77777777" w:rsidR="001A4860" w:rsidRPr="001A4860" w:rsidRDefault="001A4860" w:rsidP="001A4860">
      <w:pPr>
        <w:rPr>
          <w:sz w:val="22"/>
          <w:szCs w:val="22"/>
          <w:lang w:val="es-ES" w:eastAsia="es-ES"/>
        </w:rPr>
      </w:pPr>
    </w:p>
    <w:p w14:paraId="12166E37" w14:textId="77777777" w:rsidR="001A4860" w:rsidRPr="001A4860" w:rsidRDefault="001A4860" w:rsidP="001A4860">
      <w:pPr>
        <w:rPr>
          <w:sz w:val="22"/>
          <w:szCs w:val="22"/>
          <w:lang w:val="es-ES" w:eastAsia="es-ES"/>
        </w:rPr>
      </w:pPr>
      <w:r w:rsidRPr="001A4860">
        <w:rPr>
          <w:sz w:val="22"/>
          <w:szCs w:val="22"/>
          <w:lang w:val="es-ES" w:eastAsia="es-ES"/>
        </w:rPr>
        <w:lastRenderedPageBreak/>
        <w:t>El Contratista debe realizar replanteo topográfico y nivelación para realizar cortes, rellenos, actividades de acarreo y mejoramiento de fundaciones, apegado a lo indicado en las recomendaciones del estudio de suelos que se indican a continuación:</w:t>
      </w:r>
    </w:p>
    <w:p w14:paraId="018EF0FA" w14:textId="77777777" w:rsidR="001A4860" w:rsidRPr="001A4860" w:rsidRDefault="001A4860" w:rsidP="001A4860">
      <w:pPr>
        <w:rPr>
          <w:sz w:val="22"/>
          <w:szCs w:val="22"/>
          <w:lang w:val="es-ES" w:eastAsia="es-ES"/>
        </w:rPr>
      </w:pPr>
    </w:p>
    <w:p w14:paraId="63BF54C0" w14:textId="77777777" w:rsidR="001A4860" w:rsidRPr="001A4860" w:rsidRDefault="001A4860" w:rsidP="001A4860">
      <w:pPr>
        <w:rPr>
          <w:sz w:val="22"/>
          <w:szCs w:val="22"/>
          <w:lang w:val="es-ES" w:eastAsia="es-ES"/>
        </w:rPr>
      </w:pPr>
      <w:r w:rsidRPr="001A4860">
        <w:rPr>
          <w:sz w:val="22"/>
          <w:szCs w:val="22"/>
          <w:lang w:val="es-ES" w:eastAsia="es-ES"/>
        </w:rPr>
        <w:t>El Contratista debe, antes de empezar a construir, descapotar un mínimo de 0.20 m la capa de suelo vegetal con restos de raíces, en toda el área de construcción. Las raíces de árboles deben ser removidas por lo menos 1.0 m. de la superficie existente, cualquiera que tenga el nivel más bajo, todo material orgánico, ripios, etc., encontrado durante las operaciones de movimiento de tierra, también deben ser eliminados.</w:t>
      </w:r>
    </w:p>
    <w:p w14:paraId="3E2330DA" w14:textId="77777777" w:rsidR="001A4860" w:rsidRPr="001A4860" w:rsidRDefault="001A4860" w:rsidP="001A4860">
      <w:pPr>
        <w:rPr>
          <w:sz w:val="22"/>
          <w:szCs w:val="22"/>
          <w:lang w:val="es-ES" w:eastAsia="es-ES"/>
        </w:rPr>
      </w:pPr>
      <w:r w:rsidRPr="001A4860">
        <w:rPr>
          <w:sz w:val="22"/>
          <w:szCs w:val="22"/>
          <w:lang w:val="es-ES" w:eastAsia="es-ES"/>
        </w:rPr>
        <w:t>a)</w:t>
      </w:r>
      <w:r w:rsidRPr="001A4860">
        <w:rPr>
          <w:sz w:val="22"/>
          <w:szCs w:val="22"/>
          <w:lang w:val="es-ES" w:eastAsia="es-ES"/>
        </w:rPr>
        <w:tab/>
        <w:t>Las estructuras para el tanque de almacenamiento de agua clara, están diseñadas con apoyo directo en el suelo, en tal caso, el contratista debe realizar labores de mejoramiento de suelo:</w:t>
      </w:r>
    </w:p>
    <w:p w14:paraId="6715FE19" w14:textId="77777777" w:rsidR="001A4860" w:rsidRPr="001A4860" w:rsidRDefault="001A4860" w:rsidP="001A4860">
      <w:pPr>
        <w:rPr>
          <w:sz w:val="22"/>
          <w:szCs w:val="22"/>
          <w:lang w:val="es-ES" w:eastAsia="es-ES"/>
        </w:rPr>
      </w:pPr>
      <w:r w:rsidRPr="001A4860">
        <w:rPr>
          <w:sz w:val="22"/>
          <w:szCs w:val="22"/>
          <w:lang w:val="es-ES" w:eastAsia="es-ES"/>
        </w:rPr>
        <w:t>b)</w:t>
      </w:r>
      <w:r w:rsidRPr="001A4860">
        <w:rPr>
          <w:sz w:val="22"/>
          <w:szCs w:val="22"/>
          <w:lang w:val="es-ES" w:eastAsia="es-ES"/>
        </w:rPr>
        <w:tab/>
        <w:t xml:space="preserve">El Contratista debe realizar labores de mejoramiento de suelo con material selecto, debido a las características plásticas de la mayoría de los materiales. </w:t>
      </w:r>
    </w:p>
    <w:p w14:paraId="51C1FC4B" w14:textId="77777777" w:rsidR="001A4860" w:rsidRPr="001A4860" w:rsidRDefault="001A4860" w:rsidP="001A4860">
      <w:pPr>
        <w:rPr>
          <w:sz w:val="22"/>
          <w:szCs w:val="22"/>
          <w:lang w:val="es-ES" w:eastAsia="es-ES"/>
        </w:rPr>
      </w:pPr>
      <w:r w:rsidRPr="001A4860">
        <w:rPr>
          <w:sz w:val="22"/>
          <w:szCs w:val="22"/>
          <w:lang w:val="es-ES" w:eastAsia="es-ES"/>
        </w:rPr>
        <w:t>c)</w:t>
      </w:r>
      <w:r w:rsidRPr="001A4860">
        <w:rPr>
          <w:sz w:val="22"/>
          <w:szCs w:val="22"/>
          <w:lang w:val="es-ES" w:eastAsia="es-ES"/>
        </w:rPr>
        <w:tab/>
        <w:t>El Contratista debe usar material selecto, con capacidad de carga mayor a 2.5 kg/cm2 (35 psi), en todos los casos, para mejorar las características mecánicas, las que deben ser determinadas basadas en su peso.</w:t>
      </w:r>
    </w:p>
    <w:p w14:paraId="19F8A2B7" w14:textId="77777777" w:rsidR="001A4860" w:rsidRPr="001A4860" w:rsidRDefault="001A4860" w:rsidP="001A4860">
      <w:pPr>
        <w:rPr>
          <w:sz w:val="22"/>
          <w:szCs w:val="22"/>
          <w:lang w:val="es-ES" w:eastAsia="es-ES"/>
        </w:rPr>
      </w:pPr>
      <w:r w:rsidRPr="001A4860">
        <w:rPr>
          <w:sz w:val="22"/>
          <w:szCs w:val="22"/>
          <w:lang w:val="es-ES" w:eastAsia="es-ES"/>
        </w:rPr>
        <w:t>d)</w:t>
      </w:r>
      <w:r w:rsidRPr="001A4860">
        <w:rPr>
          <w:sz w:val="22"/>
          <w:szCs w:val="22"/>
          <w:lang w:val="es-ES" w:eastAsia="es-ES"/>
        </w:rPr>
        <w:tab/>
        <w:t>El Contratista debe cumplir con los requerimientos de resistencia del material selecto, establecido por las condiciones estructurales requeridas para las fundaciones proyectadas.</w:t>
      </w:r>
    </w:p>
    <w:p w14:paraId="7286F54F" w14:textId="77777777" w:rsidR="001A4860" w:rsidRPr="001A4860" w:rsidRDefault="001A4860" w:rsidP="001A4860">
      <w:pPr>
        <w:rPr>
          <w:sz w:val="22"/>
          <w:szCs w:val="22"/>
          <w:lang w:val="es-ES" w:eastAsia="es-ES"/>
        </w:rPr>
      </w:pPr>
      <w:r w:rsidRPr="001A4860">
        <w:rPr>
          <w:sz w:val="22"/>
          <w:szCs w:val="22"/>
          <w:lang w:val="es-ES" w:eastAsia="es-ES"/>
        </w:rPr>
        <w:t>e)</w:t>
      </w:r>
      <w:r w:rsidRPr="001A4860">
        <w:rPr>
          <w:sz w:val="22"/>
          <w:szCs w:val="22"/>
          <w:lang w:val="es-ES" w:eastAsia="es-ES"/>
        </w:rPr>
        <w:tab/>
        <w:t>El Contratista debe garantizar la cimentación del tanque de almacenamiento, sobre el suelo estabilizado y compactado por medio de una platea de cimentación flexible confinada por (un anillo) una viga perimetral de concreto reforzado, que transmitan una presión uniforme que no exceda 2.0 kg/cm2. Esto garantiza la estabilidad de la estructura tanto por capacidad de carga del terreno como por asentamiento. La profundidad del desplante debe ser de 1.00 m.</w:t>
      </w:r>
    </w:p>
    <w:p w14:paraId="3E7DC5B2" w14:textId="77777777" w:rsidR="001A4860" w:rsidRPr="001A4860" w:rsidRDefault="001A4860" w:rsidP="001A4860">
      <w:pPr>
        <w:rPr>
          <w:sz w:val="22"/>
          <w:szCs w:val="22"/>
          <w:lang w:val="es-ES" w:eastAsia="es-ES"/>
        </w:rPr>
      </w:pPr>
      <w:r w:rsidRPr="001A4860">
        <w:rPr>
          <w:sz w:val="22"/>
          <w:szCs w:val="22"/>
          <w:lang w:val="es-ES" w:eastAsia="es-ES"/>
        </w:rPr>
        <w:t>f)</w:t>
      </w:r>
      <w:r w:rsidRPr="001A4860">
        <w:rPr>
          <w:sz w:val="22"/>
          <w:szCs w:val="22"/>
          <w:lang w:val="es-ES" w:eastAsia="es-ES"/>
        </w:rPr>
        <w:tab/>
        <w:t>El Contratista debe mejorar el sub suelo evitando que la fundación se apoye directamente sobre estratos arcillosos con IP&gt;7 con lo que garantiza, cimientos apoyados sobre un material resistente y firme.</w:t>
      </w:r>
    </w:p>
    <w:p w14:paraId="7A160A03" w14:textId="77777777" w:rsidR="001A4860" w:rsidRPr="001A4860" w:rsidRDefault="001A4860" w:rsidP="001A4860">
      <w:pPr>
        <w:rPr>
          <w:sz w:val="22"/>
          <w:szCs w:val="22"/>
          <w:lang w:val="es-ES" w:eastAsia="es-ES"/>
        </w:rPr>
      </w:pPr>
      <w:r w:rsidRPr="001A4860">
        <w:rPr>
          <w:sz w:val="22"/>
          <w:szCs w:val="22"/>
          <w:lang w:val="es-ES" w:eastAsia="es-ES"/>
        </w:rPr>
        <w:t>g)</w:t>
      </w:r>
      <w:r w:rsidRPr="001A4860">
        <w:rPr>
          <w:sz w:val="22"/>
          <w:szCs w:val="22"/>
          <w:lang w:val="es-ES" w:eastAsia="es-ES"/>
        </w:rPr>
        <w:tab/>
        <w:t>El Contratista debe colocar el material de relleno en capas cuyo espesor suelto no exceda de 20 centímetros y cada capa debe compactarse hasta alcanzar el 95% mínimo de su densidad máxima. El relleno colocado capa por capa debe elevarse hasta alcanzar la superficie del terreno</w:t>
      </w:r>
    </w:p>
    <w:p w14:paraId="3A8B18D0" w14:textId="77777777" w:rsidR="001A4860" w:rsidRPr="001A4860" w:rsidRDefault="001A4860" w:rsidP="001A4860">
      <w:pPr>
        <w:rPr>
          <w:sz w:val="22"/>
          <w:szCs w:val="22"/>
          <w:lang w:val="es-ES" w:eastAsia="es-ES"/>
        </w:rPr>
      </w:pPr>
      <w:r w:rsidRPr="001A4860">
        <w:rPr>
          <w:sz w:val="22"/>
          <w:szCs w:val="22"/>
          <w:lang w:val="es-ES" w:eastAsia="es-ES"/>
        </w:rPr>
        <w:t>h)</w:t>
      </w:r>
      <w:r w:rsidRPr="001A4860">
        <w:rPr>
          <w:sz w:val="22"/>
          <w:szCs w:val="22"/>
          <w:lang w:val="es-ES" w:eastAsia="es-ES"/>
        </w:rPr>
        <w:tab/>
        <w:t>El Contratista debe reemplazar el suelo existente debajo de donde es proyectada la fundación, y sustituirlo por material selecto.</w:t>
      </w:r>
    </w:p>
    <w:p w14:paraId="0543C9FE" w14:textId="77777777" w:rsidR="001A4860" w:rsidRPr="001A4860" w:rsidRDefault="001A4860" w:rsidP="001A4860">
      <w:pPr>
        <w:rPr>
          <w:sz w:val="22"/>
          <w:szCs w:val="22"/>
          <w:lang w:val="es-ES" w:eastAsia="es-ES"/>
        </w:rPr>
      </w:pPr>
      <w:r w:rsidRPr="001A4860">
        <w:rPr>
          <w:sz w:val="22"/>
          <w:szCs w:val="22"/>
          <w:lang w:val="es-ES" w:eastAsia="es-ES"/>
        </w:rPr>
        <w:t>i)</w:t>
      </w:r>
      <w:r w:rsidRPr="001A4860">
        <w:rPr>
          <w:sz w:val="22"/>
          <w:szCs w:val="22"/>
          <w:lang w:val="es-ES" w:eastAsia="es-ES"/>
        </w:rPr>
        <w:tab/>
        <w:t>El Contratista debe llenar el tanque con agua clara para:</w:t>
      </w:r>
    </w:p>
    <w:p w14:paraId="14A8D45E" w14:textId="77777777" w:rsidR="001A4860" w:rsidRPr="001A4860" w:rsidRDefault="001A4860" w:rsidP="001A4860">
      <w:pPr>
        <w:rPr>
          <w:sz w:val="22"/>
          <w:szCs w:val="22"/>
          <w:lang w:val="es-ES" w:eastAsia="es-ES"/>
        </w:rPr>
      </w:pPr>
      <w:r w:rsidRPr="001A4860">
        <w:rPr>
          <w:sz w:val="22"/>
          <w:szCs w:val="22"/>
          <w:lang w:val="es-ES" w:eastAsia="es-ES"/>
        </w:rPr>
        <w:t>i)</w:t>
      </w:r>
      <w:r w:rsidRPr="001A4860">
        <w:rPr>
          <w:sz w:val="22"/>
          <w:szCs w:val="22"/>
          <w:lang w:val="es-ES" w:eastAsia="es-ES"/>
        </w:rPr>
        <w:tab/>
        <w:t>Realizar prueba de estanqueidad que permita garantizar la impermeabilidad de las paredes y conexiones.</w:t>
      </w:r>
    </w:p>
    <w:p w14:paraId="2BE7CB61" w14:textId="77777777" w:rsidR="001A4860" w:rsidRPr="001A4860" w:rsidRDefault="001A4860" w:rsidP="001A4860">
      <w:pPr>
        <w:rPr>
          <w:sz w:val="22"/>
          <w:szCs w:val="22"/>
          <w:lang w:val="es-ES" w:eastAsia="es-ES"/>
        </w:rPr>
      </w:pPr>
      <w:r w:rsidRPr="001A4860">
        <w:rPr>
          <w:sz w:val="22"/>
          <w:szCs w:val="22"/>
          <w:lang w:val="es-ES" w:eastAsia="es-ES"/>
        </w:rPr>
        <w:t>ii)</w:t>
      </w:r>
      <w:r w:rsidRPr="001A4860">
        <w:rPr>
          <w:sz w:val="22"/>
          <w:szCs w:val="22"/>
          <w:lang w:val="es-ES" w:eastAsia="es-ES"/>
        </w:rPr>
        <w:tab/>
        <w:t>Mantenerlo lleno, durante 7 días. En este período permitir se produzcan asentamientos menores y la estabilización definitiva del suelo. Después de transcurridos los 7 días, proceder a realizar las conexiones definitivas de tuberías, válvulas y accesorios.</w:t>
      </w:r>
    </w:p>
    <w:p w14:paraId="767208AC" w14:textId="77777777" w:rsidR="001A4860" w:rsidRPr="001A4860" w:rsidRDefault="001A4860" w:rsidP="001A4860">
      <w:pPr>
        <w:rPr>
          <w:sz w:val="22"/>
          <w:szCs w:val="22"/>
          <w:lang w:val="es-ES" w:eastAsia="es-ES"/>
        </w:rPr>
      </w:pPr>
      <w:r w:rsidRPr="001A4860">
        <w:rPr>
          <w:sz w:val="22"/>
          <w:szCs w:val="22"/>
          <w:lang w:val="es-ES" w:eastAsia="es-ES"/>
        </w:rPr>
        <w:t>j)</w:t>
      </w:r>
      <w:r w:rsidRPr="001A4860">
        <w:rPr>
          <w:sz w:val="22"/>
          <w:szCs w:val="22"/>
          <w:lang w:val="es-ES" w:eastAsia="es-ES"/>
        </w:rPr>
        <w:tab/>
        <w:t>El Contratista debe utilizar para rellenos sobre las fundaciones, hasta el nivel de terreno natural, material de préstamo con Límite Líquido máximo de 35%, Índice de Plasticidad máximo de 6%, y sus partículas deben pasar 100% el tamiz de 2", de 35 a 65% el tamiz N°4 y de 5 a 15% el tamiz N°200. El material debe ser compactado en capas con espesor mínimo de 20 centímetros a un mínimo de 95% Próctor Estándar (ASTM D698).</w:t>
      </w:r>
    </w:p>
    <w:p w14:paraId="0FC3B6C8" w14:textId="77777777" w:rsidR="001A4860" w:rsidRPr="001A4860" w:rsidRDefault="001A4860" w:rsidP="001A4860">
      <w:pPr>
        <w:rPr>
          <w:sz w:val="22"/>
          <w:szCs w:val="22"/>
          <w:lang w:val="es-ES" w:eastAsia="es-ES"/>
        </w:rPr>
      </w:pPr>
      <w:r w:rsidRPr="001A4860">
        <w:rPr>
          <w:sz w:val="22"/>
          <w:szCs w:val="22"/>
          <w:lang w:val="es-ES" w:eastAsia="es-ES"/>
        </w:rPr>
        <w:t>k)</w:t>
      </w:r>
      <w:r w:rsidRPr="001A4860">
        <w:rPr>
          <w:sz w:val="22"/>
          <w:szCs w:val="22"/>
          <w:lang w:val="es-ES" w:eastAsia="es-ES"/>
        </w:rPr>
        <w:tab/>
        <w:t>El Contratista debe compactar a un mínimo de 95% Próctor Estándar, los fondos de las excavaciones antes de colocar la fundación, para garantizar superficies uniformes y firmes.</w:t>
      </w:r>
    </w:p>
    <w:p w14:paraId="6247D9B7" w14:textId="77777777" w:rsidR="001A4860" w:rsidRPr="001A4860" w:rsidRDefault="001A4860" w:rsidP="001A4860">
      <w:pPr>
        <w:rPr>
          <w:sz w:val="22"/>
          <w:szCs w:val="22"/>
          <w:lang w:val="es-ES" w:eastAsia="es-ES"/>
        </w:rPr>
      </w:pPr>
      <w:r w:rsidRPr="001A4860">
        <w:rPr>
          <w:sz w:val="22"/>
          <w:szCs w:val="22"/>
          <w:lang w:val="es-ES" w:eastAsia="es-ES"/>
        </w:rPr>
        <w:t>l)</w:t>
      </w:r>
      <w:r w:rsidRPr="001A4860">
        <w:rPr>
          <w:sz w:val="22"/>
          <w:szCs w:val="22"/>
          <w:lang w:val="es-ES" w:eastAsia="es-ES"/>
        </w:rPr>
        <w:tab/>
        <w:t>El Contratista debe verificar que el área excavada esté libre de materia orgánica u algún otro material indeseable que llegue a causar inestabilidad en la estructura.</w:t>
      </w:r>
    </w:p>
    <w:p w14:paraId="7978311F" w14:textId="77777777" w:rsidR="001A4860" w:rsidRPr="001A4860" w:rsidRDefault="001A4860" w:rsidP="001A4860">
      <w:pPr>
        <w:rPr>
          <w:sz w:val="22"/>
          <w:szCs w:val="22"/>
          <w:lang w:val="es-ES" w:eastAsia="es-ES"/>
        </w:rPr>
      </w:pPr>
      <w:r w:rsidRPr="001A4860">
        <w:rPr>
          <w:sz w:val="22"/>
          <w:szCs w:val="22"/>
          <w:lang w:val="es-ES" w:eastAsia="es-ES"/>
        </w:rPr>
        <w:t>m)</w:t>
      </w:r>
      <w:r w:rsidRPr="001A4860">
        <w:rPr>
          <w:sz w:val="22"/>
          <w:szCs w:val="22"/>
          <w:lang w:val="es-ES" w:eastAsia="es-ES"/>
        </w:rPr>
        <w:tab/>
        <w:t>El Contratista no debe mezclar material contaminado. Este debe ser retirado y depositado fuera del área de trabajo, durante las operaciones preliminares de limpieza.</w:t>
      </w:r>
    </w:p>
    <w:p w14:paraId="130164D5" w14:textId="77777777" w:rsidR="001A4860" w:rsidRPr="001A4860" w:rsidRDefault="001A4860" w:rsidP="001A4860">
      <w:pPr>
        <w:rPr>
          <w:sz w:val="22"/>
          <w:szCs w:val="22"/>
          <w:lang w:val="es-ES" w:eastAsia="es-ES"/>
        </w:rPr>
      </w:pPr>
      <w:r w:rsidRPr="001A4860">
        <w:rPr>
          <w:sz w:val="22"/>
          <w:szCs w:val="22"/>
          <w:lang w:val="es-ES" w:eastAsia="es-ES"/>
        </w:rPr>
        <w:t>n)</w:t>
      </w:r>
      <w:r w:rsidRPr="001A4860">
        <w:rPr>
          <w:sz w:val="22"/>
          <w:szCs w:val="22"/>
          <w:lang w:val="es-ES" w:eastAsia="es-ES"/>
        </w:rPr>
        <w:tab/>
        <w:t>El Contratista debe prevenir exposición de las excavaciones por más de 7 días. Estas no deben permanecer abiertas, sin avance en la obra, para minimizar posibles problemas por intemperismo y reacción elástica del suelo.</w:t>
      </w:r>
    </w:p>
    <w:p w14:paraId="3785E884" w14:textId="77777777" w:rsidR="001A4860" w:rsidRPr="001A4860" w:rsidRDefault="001A4860" w:rsidP="001A4860">
      <w:pPr>
        <w:rPr>
          <w:sz w:val="22"/>
          <w:szCs w:val="22"/>
          <w:lang w:val="es-ES" w:eastAsia="es-ES"/>
        </w:rPr>
      </w:pPr>
      <w:r w:rsidRPr="001A4860">
        <w:rPr>
          <w:sz w:val="22"/>
          <w:szCs w:val="22"/>
          <w:lang w:val="es-ES" w:eastAsia="es-ES"/>
        </w:rPr>
        <w:lastRenderedPageBreak/>
        <w:t>o)</w:t>
      </w:r>
      <w:r w:rsidRPr="001A4860">
        <w:rPr>
          <w:sz w:val="22"/>
          <w:szCs w:val="22"/>
          <w:lang w:val="es-ES" w:eastAsia="es-ES"/>
        </w:rPr>
        <w:tab/>
        <w:t>El Contratista debe someter a la inspección del Supervisor de la Obra, el espesor del suelo de desplante, quién debe autorizar o modificar la profundidad de apoyo de la zapata, considerando que, en ningún caso se debe permitir el desplante en suelos arcillosos, deleznables o en estado suelto.</w:t>
      </w:r>
    </w:p>
    <w:p w14:paraId="2735DF14" w14:textId="77777777" w:rsidR="001A4860" w:rsidRPr="001A4860" w:rsidRDefault="001A4860" w:rsidP="001A4860">
      <w:pPr>
        <w:rPr>
          <w:sz w:val="22"/>
          <w:szCs w:val="22"/>
          <w:lang w:val="es-ES" w:eastAsia="es-ES"/>
        </w:rPr>
      </w:pPr>
    </w:p>
    <w:p w14:paraId="58BBD4E9" w14:textId="77777777" w:rsidR="001A4860" w:rsidRPr="001A4860" w:rsidRDefault="001A4860" w:rsidP="001A4860">
      <w:pPr>
        <w:keepNext/>
        <w:outlineLvl w:val="1"/>
        <w:rPr>
          <w:rFonts w:eastAsia="Arial Narrow"/>
          <w:b/>
          <w:bCs/>
          <w:iCs/>
          <w:sz w:val="22"/>
          <w:szCs w:val="22"/>
          <w:lang w:val="es-NI"/>
        </w:rPr>
      </w:pPr>
      <w:bookmarkStart w:id="772" w:name="_Toc23249387"/>
      <w:r w:rsidRPr="001A4860">
        <w:rPr>
          <w:rFonts w:eastAsia="Arial Narrow"/>
          <w:b/>
          <w:bCs/>
          <w:iCs/>
          <w:sz w:val="22"/>
          <w:szCs w:val="22"/>
          <w:lang w:val="es-NI"/>
        </w:rPr>
        <w:t>Otro tipo de obras</w:t>
      </w:r>
      <w:bookmarkEnd w:id="772"/>
    </w:p>
    <w:p w14:paraId="38E3D5E5" w14:textId="77777777" w:rsidR="001A4860" w:rsidRPr="001A4860" w:rsidRDefault="001A4860" w:rsidP="001A4860">
      <w:pPr>
        <w:rPr>
          <w:sz w:val="22"/>
          <w:szCs w:val="22"/>
          <w:lang w:val="es-ES" w:eastAsia="es-ES"/>
        </w:rPr>
      </w:pPr>
    </w:p>
    <w:p w14:paraId="17919792" w14:textId="77777777" w:rsidR="001A4860" w:rsidRPr="001A4860" w:rsidRDefault="001A4860" w:rsidP="001A4860">
      <w:pPr>
        <w:keepNext/>
        <w:ind w:left="720" w:hanging="720"/>
        <w:outlineLvl w:val="2"/>
        <w:rPr>
          <w:rFonts w:eastAsia="Arial Narrow"/>
          <w:b/>
          <w:bCs/>
          <w:iCs/>
          <w:sz w:val="22"/>
          <w:szCs w:val="22"/>
          <w:lang w:val="es-ES" w:bidi="en-US"/>
        </w:rPr>
      </w:pPr>
      <w:bookmarkStart w:id="773" w:name="_Toc23249388"/>
      <w:r w:rsidRPr="001A4860">
        <w:rPr>
          <w:rFonts w:eastAsia="Arial Narrow"/>
          <w:b/>
          <w:bCs/>
          <w:iCs/>
          <w:sz w:val="22"/>
          <w:szCs w:val="22"/>
          <w:lang w:val="es-ES" w:bidi="en-US"/>
        </w:rPr>
        <w:t>Canales de drenaje, anden perimetral, caja protectora de válvulas y cobertizo</w:t>
      </w:r>
      <w:bookmarkEnd w:id="773"/>
    </w:p>
    <w:p w14:paraId="47708CA9" w14:textId="77777777" w:rsidR="001A4860" w:rsidRPr="001A4860" w:rsidRDefault="001A4860" w:rsidP="001A4860">
      <w:pPr>
        <w:rPr>
          <w:sz w:val="22"/>
          <w:szCs w:val="22"/>
          <w:lang w:val="es-ES" w:eastAsia="es-ES"/>
        </w:rPr>
      </w:pPr>
    </w:p>
    <w:p w14:paraId="43D11A51"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equipos, herramientas, mano de obra, transporte y materiales de construcción y agregados necesarios para llevar a cabo </w:t>
      </w:r>
      <w:r w:rsidRPr="001A4860">
        <w:rPr>
          <w:i/>
          <w:sz w:val="22"/>
          <w:szCs w:val="22"/>
          <w:lang w:val="es-ES" w:eastAsia="es-ES"/>
        </w:rPr>
        <w:t>las obras</w:t>
      </w:r>
      <w:r w:rsidRPr="001A4860">
        <w:rPr>
          <w:sz w:val="22"/>
          <w:szCs w:val="22"/>
          <w:lang w:val="es-ES" w:eastAsia="es-ES"/>
        </w:rPr>
        <w:t xml:space="preserve"> en el sitio y dimensiones indicadas en los planos y de acuerdo con lo estipulado en estas especificaciones. Los costos de esta operación son asumidos por El Contratista.</w:t>
      </w:r>
    </w:p>
    <w:p w14:paraId="47EB76FB" w14:textId="77777777" w:rsidR="001A4860" w:rsidRPr="001A4860" w:rsidRDefault="001A4860" w:rsidP="001A4860">
      <w:pPr>
        <w:rPr>
          <w:sz w:val="22"/>
          <w:szCs w:val="22"/>
          <w:lang w:val="es-ES" w:eastAsia="es-ES"/>
        </w:rPr>
      </w:pPr>
    </w:p>
    <w:p w14:paraId="2F40680E" w14:textId="77777777" w:rsidR="001A4860" w:rsidRPr="001A4860" w:rsidRDefault="001A4860" w:rsidP="001A4860">
      <w:pPr>
        <w:rPr>
          <w:i/>
          <w:sz w:val="22"/>
          <w:szCs w:val="22"/>
          <w:lang w:val="es-ES" w:eastAsia="es-ES"/>
        </w:rPr>
      </w:pPr>
      <w:r w:rsidRPr="001A4860">
        <w:rPr>
          <w:sz w:val="22"/>
          <w:szCs w:val="22"/>
          <w:lang w:val="es-ES" w:eastAsia="es-ES"/>
        </w:rPr>
        <w:t xml:space="preserve">El contratista debe </w:t>
      </w:r>
      <w:r w:rsidRPr="001A4860">
        <w:rPr>
          <w:i/>
          <w:sz w:val="22"/>
          <w:szCs w:val="22"/>
          <w:lang w:val="es-ES" w:eastAsia="es-ES"/>
        </w:rPr>
        <w:t>Construir cobertizo sin forro de paredes sobre losa tapa del tanque para proteger dosificador de cloro. Estructura de cobertizo es metálica de tubo de HG, diám. nominal 50 mm (2 pulg) y platina de 4"x4"x1/4" para fijación en la base.</w:t>
      </w:r>
    </w:p>
    <w:p w14:paraId="54E4B800" w14:textId="77777777" w:rsidR="001A4860" w:rsidRPr="001A4860" w:rsidRDefault="001A4860" w:rsidP="001A4860">
      <w:pPr>
        <w:rPr>
          <w:sz w:val="22"/>
          <w:szCs w:val="22"/>
          <w:lang w:val="es-ES" w:eastAsia="es-ES"/>
        </w:rPr>
      </w:pPr>
    </w:p>
    <w:p w14:paraId="6573CCD0" w14:textId="77777777" w:rsidR="001A4860" w:rsidRPr="001A4860" w:rsidRDefault="001A4860" w:rsidP="001A4860">
      <w:pPr>
        <w:rPr>
          <w:i/>
          <w:sz w:val="22"/>
          <w:szCs w:val="22"/>
          <w:lang w:val="es-ES" w:eastAsia="es-ES"/>
        </w:rPr>
      </w:pPr>
      <w:r w:rsidRPr="001A4860">
        <w:rPr>
          <w:i/>
          <w:sz w:val="22"/>
          <w:szCs w:val="22"/>
          <w:lang w:val="es-ES" w:eastAsia="es-ES"/>
        </w:rPr>
        <w:t xml:space="preserve">La estructura metálica del cobertizo posee 4 columnas de Acero A-36 sobre pedestal de concreto de 210 kg/cm2 (3000 psi) c/u, de 0.25 m x 0.25 m, refuerzo 4 de varilla # 4, estribos de varilla # 2. </w:t>
      </w:r>
    </w:p>
    <w:p w14:paraId="26852839" w14:textId="77777777" w:rsidR="001A4860" w:rsidRPr="001A4860" w:rsidRDefault="001A4860" w:rsidP="001A4860">
      <w:pPr>
        <w:rPr>
          <w:i/>
          <w:sz w:val="22"/>
          <w:szCs w:val="22"/>
          <w:lang w:val="es-ES" w:eastAsia="es-ES"/>
        </w:rPr>
      </w:pPr>
      <w:r w:rsidRPr="001A4860">
        <w:rPr>
          <w:i/>
          <w:sz w:val="22"/>
          <w:szCs w:val="22"/>
          <w:lang w:val="es-ES" w:eastAsia="es-ES"/>
        </w:rPr>
        <w:t>La estructura del techo es metálica con perlin de 1"x3" con 2 manos de pintura y cubierta de 1.44 m2 de lámina de zinc ondulado cal. 26.</w:t>
      </w:r>
    </w:p>
    <w:p w14:paraId="5D64D252" w14:textId="77777777" w:rsidR="001A4860" w:rsidRPr="001A4860" w:rsidRDefault="001A4860" w:rsidP="001A4860">
      <w:pPr>
        <w:rPr>
          <w:i/>
          <w:sz w:val="22"/>
          <w:szCs w:val="22"/>
          <w:lang w:val="es-ES" w:eastAsia="es-ES"/>
        </w:rPr>
      </w:pPr>
    </w:p>
    <w:p w14:paraId="7FE575CB" w14:textId="77777777" w:rsidR="001A4860" w:rsidRPr="001A4860" w:rsidRDefault="001A4860" w:rsidP="001A4860">
      <w:pPr>
        <w:rPr>
          <w:sz w:val="22"/>
          <w:szCs w:val="22"/>
          <w:lang w:val="es-ES" w:eastAsia="es-ES"/>
        </w:rPr>
      </w:pPr>
      <w:r w:rsidRPr="001A4860">
        <w:rPr>
          <w:sz w:val="22"/>
          <w:szCs w:val="22"/>
          <w:lang w:val="es-ES" w:eastAsia="es-ES"/>
        </w:rPr>
        <w:t>El contratista debe pintar con pintura anticorrosiva las superficies metálicas, incluye dos manos.</w:t>
      </w:r>
    </w:p>
    <w:p w14:paraId="20E4DD11" w14:textId="77777777" w:rsidR="001A4860" w:rsidRPr="001A4860" w:rsidRDefault="001A4860" w:rsidP="001A4860">
      <w:pPr>
        <w:rPr>
          <w:sz w:val="22"/>
          <w:szCs w:val="22"/>
          <w:lang w:val="es-ES" w:eastAsia="es-ES"/>
        </w:rPr>
      </w:pPr>
    </w:p>
    <w:p w14:paraId="07019372" w14:textId="77777777" w:rsidR="001A4860" w:rsidRPr="001A4860" w:rsidRDefault="001A4860" w:rsidP="001A4860">
      <w:pPr>
        <w:rPr>
          <w:sz w:val="22"/>
          <w:szCs w:val="22"/>
          <w:lang w:val="es-ES" w:eastAsia="es-ES"/>
        </w:rPr>
      </w:pPr>
      <w:r w:rsidRPr="001A4860">
        <w:rPr>
          <w:sz w:val="22"/>
          <w:szCs w:val="22"/>
          <w:lang w:val="es-ES" w:eastAsia="es-ES"/>
        </w:rPr>
        <w:t>El contratista debe construir canal de drenaje pluvial de forma rectangular de concreto de 2,500 psi, refuerzo # 3 @ 0.12 m en ambas direcciones, ancho = 0.15 m, alto = 0.20 m,espesor = 0.15 m (incluye excavación) Sin acabados. L = 8.80 m</w:t>
      </w:r>
    </w:p>
    <w:p w14:paraId="62822DB7" w14:textId="77777777" w:rsidR="001A4860" w:rsidRPr="001A4860" w:rsidRDefault="001A4860" w:rsidP="001A4860">
      <w:pPr>
        <w:rPr>
          <w:sz w:val="22"/>
          <w:szCs w:val="22"/>
          <w:lang w:val="es-ES" w:eastAsia="es-ES"/>
        </w:rPr>
      </w:pPr>
    </w:p>
    <w:p w14:paraId="3720B340" w14:textId="77777777" w:rsidR="001A4860" w:rsidRPr="001A4860" w:rsidRDefault="001A4860" w:rsidP="001A4860">
      <w:pPr>
        <w:rPr>
          <w:sz w:val="22"/>
          <w:szCs w:val="22"/>
          <w:lang w:val="es-ES" w:eastAsia="es-ES"/>
        </w:rPr>
      </w:pPr>
      <w:r w:rsidRPr="001A4860">
        <w:rPr>
          <w:sz w:val="22"/>
          <w:szCs w:val="22"/>
          <w:lang w:val="es-ES" w:eastAsia="es-ES"/>
        </w:rPr>
        <w:t>Construir anden perimetral de concreto (con mezcladora) espesor= 0.10m ref. #3 a cada 0.25 m en ambas direcciones al pie del tanque.</w:t>
      </w:r>
    </w:p>
    <w:p w14:paraId="7C897C0F" w14:textId="77777777" w:rsidR="001A4860" w:rsidRPr="001A4860" w:rsidRDefault="001A4860" w:rsidP="001A4860">
      <w:pPr>
        <w:rPr>
          <w:sz w:val="22"/>
          <w:szCs w:val="22"/>
          <w:lang w:val="es-ES" w:eastAsia="es-ES"/>
        </w:rPr>
      </w:pPr>
    </w:p>
    <w:p w14:paraId="4169352C" w14:textId="77777777" w:rsidR="001A4860" w:rsidRPr="001A4860" w:rsidRDefault="001A4860" w:rsidP="001A4860">
      <w:pPr>
        <w:rPr>
          <w:sz w:val="22"/>
          <w:szCs w:val="22"/>
          <w:lang w:val="es-ES" w:eastAsia="es-ES"/>
        </w:rPr>
      </w:pPr>
      <w:r w:rsidRPr="001A4860">
        <w:rPr>
          <w:sz w:val="22"/>
          <w:szCs w:val="22"/>
          <w:lang w:val="es-ES" w:eastAsia="es-ES"/>
        </w:rPr>
        <w:t>El contratista debe construir anden para acceso de concreto de 2,500 psi sin refuerzo. Espesor=0.075m. Ancho: 3.0m, largo: 10.0 m</w:t>
      </w:r>
    </w:p>
    <w:p w14:paraId="7C29BE36" w14:textId="77777777" w:rsidR="001A4860" w:rsidRPr="001A4860" w:rsidRDefault="001A4860" w:rsidP="001A4860">
      <w:pPr>
        <w:rPr>
          <w:sz w:val="22"/>
          <w:szCs w:val="22"/>
          <w:lang w:val="es-ES" w:eastAsia="es-ES"/>
        </w:rPr>
      </w:pPr>
    </w:p>
    <w:p w14:paraId="687306AA" w14:textId="77777777" w:rsidR="001A4860" w:rsidRPr="001A4860" w:rsidRDefault="001A4860" w:rsidP="001A4860">
      <w:pPr>
        <w:keepNext/>
        <w:ind w:left="720" w:hanging="720"/>
        <w:outlineLvl w:val="2"/>
        <w:rPr>
          <w:rFonts w:eastAsia="Arial Narrow"/>
          <w:b/>
          <w:bCs/>
          <w:iCs/>
          <w:sz w:val="22"/>
          <w:szCs w:val="22"/>
          <w:lang w:val="es-ES" w:bidi="en-US"/>
        </w:rPr>
      </w:pPr>
      <w:bookmarkStart w:id="774" w:name="_Toc195413453"/>
      <w:bookmarkStart w:id="775" w:name="_Toc234745718"/>
      <w:bookmarkStart w:id="776" w:name="_Toc295977222"/>
      <w:bookmarkStart w:id="777" w:name="_Toc475371398"/>
      <w:bookmarkStart w:id="778" w:name="_Toc481596417"/>
      <w:bookmarkStart w:id="779" w:name="_Toc492981756"/>
      <w:bookmarkStart w:id="780" w:name="_Toc23249389"/>
      <w:r w:rsidRPr="001A4860">
        <w:rPr>
          <w:rFonts w:eastAsia="Arial Narrow"/>
          <w:b/>
          <w:bCs/>
          <w:iCs/>
          <w:sz w:val="22"/>
          <w:szCs w:val="22"/>
          <w:lang w:val="es-ES" w:bidi="en-US"/>
        </w:rPr>
        <w:t>Conexiones de tuberías y accesorios del tanque de almacenamiento</w:t>
      </w:r>
      <w:bookmarkEnd w:id="774"/>
      <w:bookmarkEnd w:id="775"/>
      <w:bookmarkEnd w:id="776"/>
      <w:bookmarkEnd w:id="777"/>
      <w:bookmarkEnd w:id="778"/>
      <w:bookmarkEnd w:id="779"/>
      <w:bookmarkEnd w:id="780"/>
    </w:p>
    <w:p w14:paraId="1FD39B13" w14:textId="77777777" w:rsidR="001A4860" w:rsidRPr="001A4860" w:rsidRDefault="001A4860" w:rsidP="001A4860">
      <w:pPr>
        <w:rPr>
          <w:b/>
          <w:sz w:val="22"/>
          <w:szCs w:val="22"/>
          <w:lang w:val="es-ES" w:eastAsia="es-ES"/>
        </w:rPr>
      </w:pPr>
    </w:p>
    <w:p w14:paraId="13F0F049" w14:textId="77777777" w:rsidR="001A4860" w:rsidRPr="001A4860" w:rsidRDefault="001A4860" w:rsidP="003B68DB">
      <w:pPr>
        <w:numPr>
          <w:ilvl w:val="0"/>
          <w:numId w:val="163"/>
        </w:numPr>
        <w:contextualSpacing/>
        <w:rPr>
          <w:b/>
          <w:sz w:val="22"/>
          <w:szCs w:val="22"/>
          <w:lang w:val="es-ES" w:eastAsia="es-ES"/>
        </w:rPr>
      </w:pPr>
      <w:bookmarkStart w:id="781" w:name="_Toc234745720"/>
      <w:r w:rsidRPr="001A4860">
        <w:rPr>
          <w:b/>
          <w:sz w:val="22"/>
          <w:szCs w:val="22"/>
          <w:lang w:val="es-ES" w:eastAsia="es-ES"/>
        </w:rPr>
        <w:t>Tuberías.</w:t>
      </w:r>
      <w:bookmarkEnd w:id="781"/>
      <w:r w:rsidRPr="001A4860">
        <w:rPr>
          <w:b/>
          <w:sz w:val="22"/>
          <w:szCs w:val="22"/>
          <w:lang w:val="es-ES" w:eastAsia="es-ES"/>
        </w:rPr>
        <w:t xml:space="preserve"> </w:t>
      </w:r>
    </w:p>
    <w:p w14:paraId="1D3EE5D5" w14:textId="77777777" w:rsidR="001A4860" w:rsidRPr="001A4860" w:rsidRDefault="001A4860" w:rsidP="001A4860">
      <w:pPr>
        <w:ind w:left="1065"/>
        <w:rPr>
          <w:sz w:val="22"/>
          <w:szCs w:val="22"/>
          <w:lang w:val="es-ES" w:eastAsia="es-ES"/>
        </w:rPr>
      </w:pPr>
    </w:p>
    <w:p w14:paraId="1103D088" w14:textId="77777777" w:rsidR="001A4860" w:rsidRPr="001A4860" w:rsidRDefault="001A4860" w:rsidP="001A4860">
      <w:pPr>
        <w:rPr>
          <w:sz w:val="22"/>
          <w:szCs w:val="22"/>
          <w:lang w:val="es-ES" w:eastAsia="es-ES"/>
        </w:rPr>
      </w:pPr>
      <w:r w:rsidRPr="001A4860">
        <w:rPr>
          <w:sz w:val="22"/>
          <w:szCs w:val="22"/>
          <w:lang w:val="es-ES" w:eastAsia="es-ES"/>
        </w:rPr>
        <w:t xml:space="preserve">Las tuberías de HG son del tipo Standard (cédula 40) y deben ajustarse a las especificaciones ASTM-120-65 y que cumpla con el proceso de Galvanización de acuerdo a la especificación ASTM A-90-39. </w:t>
      </w:r>
    </w:p>
    <w:p w14:paraId="5A63B511" w14:textId="77777777" w:rsidR="001A4860" w:rsidRPr="001A4860" w:rsidRDefault="001A4860" w:rsidP="001A4860">
      <w:pPr>
        <w:rPr>
          <w:sz w:val="22"/>
          <w:szCs w:val="22"/>
          <w:lang w:val="es-ES" w:eastAsia="es-ES"/>
        </w:rPr>
      </w:pPr>
    </w:p>
    <w:p w14:paraId="3E2627D7" w14:textId="77777777" w:rsidR="001A4860" w:rsidRPr="001A4860" w:rsidRDefault="001A4860" w:rsidP="003B68DB">
      <w:pPr>
        <w:numPr>
          <w:ilvl w:val="0"/>
          <w:numId w:val="163"/>
        </w:numPr>
        <w:contextualSpacing/>
        <w:rPr>
          <w:b/>
          <w:sz w:val="22"/>
          <w:szCs w:val="22"/>
          <w:lang w:val="es-ES" w:eastAsia="es-ES"/>
        </w:rPr>
      </w:pPr>
      <w:bookmarkStart w:id="782" w:name="_Toc234745721"/>
      <w:r w:rsidRPr="001A4860">
        <w:rPr>
          <w:b/>
          <w:sz w:val="22"/>
          <w:szCs w:val="22"/>
          <w:lang w:val="es-ES" w:eastAsia="es-ES"/>
        </w:rPr>
        <w:t>Accesorios.</w:t>
      </w:r>
      <w:bookmarkEnd w:id="782"/>
      <w:r w:rsidRPr="001A4860">
        <w:rPr>
          <w:b/>
          <w:sz w:val="22"/>
          <w:szCs w:val="22"/>
          <w:lang w:val="es-ES" w:eastAsia="es-ES"/>
        </w:rPr>
        <w:t xml:space="preserve"> </w:t>
      </w:r>
    </w:p>
    <w:p w14:paraId="58D334B4" w14:textId="77777777" w:rsidR="001A4860" w:rsidRPr="001A4860" w:rsidRDefault="001A4860" w:rsidP="001A4860">
      <w:pPr>
        <w:ind w:left="360"/>
        <w:rPr>
          <w:sz w:val="22"/>
          <w:szCs w:val="22"/>
          <w:lang w:val="es-ES" w:eastAsia="es-ES"/>
        </w:rPr>
      </w:pPr>
    </w:p>
    <w:p w14:paraId="3999AFD0" w14:textId="77777777" w:rsidR="001A4860" w:rsidRPr="001A4860" w:rsidRDefault="001A4860" w:rsidP="001A4860">
      <w:pPr>
        <w:rPr>
          <w:sz w:val="22"/>
          <w:szCs w:val="22"/>
          <w:lang w:val="es-ES" w:eastAsia="es-ES"/>
        </w:rPr>
      </w:pPr>
      <w:r w:rsidRPr="001A4860">
        <w:rPr>
          <w:sz w:val="22"/>
          <w:szCs w:val="22"/>
          <w:lang w:val="es-ES" w:eastAsia="es-ES"/>
        </w:rPr>
        <w:t xml:space="preserve">Los accesorios de hierro galvanizado deben ajustarse a las especificaciones ASTM, tienen rosca hembra del tipo Iron Pipe (I.P) y deben ser diseñados para acoplarse a la tubería de HF y PVC a ser suministrada. Las tuberías y los accesorios, deben de cumplir con El Certificado de Calidad ISO-9001. </w:t>
      </w:r>
    </w:p>
    <w:p w14:paraId="57FA90E8" w14:textId="77777777" w:rsidR="001A4860" w:rsidRPr="001A4860" w:rsidRDefault="001A4860" w:rsidP="001A4860">
      <w:pPr>
        <w:rPr>
          <w:sz w:val="22"/>
          <w:szCs w:val="22"/>
          <w:lang w:val="es-ES" w:eastAsia="es-ES"/>
        </w:rPr>
      </w:pPr>
    </w:p>
    <w:p w14:paraId="42960606" w14:textId="77777777" w:rsidR="001A4860" w:rsidRPr="001A4860" w:rsidRDefault="001A4860" w:rsidP="001A4860">
      <w:pPr>
        <w:keepNext/>
        <w:ind w:left="720" w:hanging="720"/>
        <w:outlineLvl w:val="2"/>
        <w:rPr>
          <w:rFonts w:eastAsia="Arial Narrow"/>
          <w:b/>
          <w:bCs/>
          <w:iCs/>
          <w:sz w:val="22"/>
          <w:szCs w:val="22"/>
          <w:lang w:val="es-ES" w:bidi="en-US"/>
        </w:rPr>
      </w:pPr>
      <w:bookmarkStart w:id="783" w:name="_Toc475371399"/>
      <w:bookmarkStart w:id="784" w:name="_Toc481596418"/>
      <w:bookmarkStart w:id="785" w:name="_Toc492981757"/>
      <w:bookmarkStart w:id="786" w:name="_Toc23249390"/>
      <w:r w:rsidRPr="001A4860">
        <w:rPr>
          <w:rFonts w:eastAsia="Arial Narrow"/>
          <w:b/>
          <w:bCs/>
          <w:iCs/>
          <w:sz w:val="22"/>
          <w:szCs w:val="22"/>
          <w:lang w:val="es-ES" w:bidi="en-US"/>
        </w:rPr>
        <w:t xml:space="preserve">Pruebas hidráulicas en </w:t>
      </w:r>
      <w:bookmarkEnd w:id="783"/>
      <w:bookmarkEnd w:id="784"/>
      <w:bookmarkEnd w:id="785"/>
      <w:r w:rsidRPr="001A4860">
        <w:rPr>
          <w:rFonts w:eastAsia="Arial Narrow"/>
          <w:b/>
          <w:bCs/>
          <w:iCs/>
          <w:sz w:val="22"/>
          <w:szCs w:val="22"/>
          <w:lang w:val="es-ES" w:bidi="en-US"/>
        </w:rPr>
        <w:t>tanque de almacenamiento</w:t>
      </w:r>
      <w:bookmarkEnd w:id="786"/>
    </w:p>
    <w:p w14:paraId="1071E3AF" w14:textId="77777777" w:rsidR="001A4860" w:rsidRPr="001A4860" w:rsidRDefault="001A4860" w:rsidP="001A4860">
      <w:pPr>
        <w:rPr>
          <w:sz w:val="22"/>
          <w:szCs w:val="22"/>
          <w:lang w:val="es-ES" w:eastAsia="es-ES"/>
        </w:rPr>
      </w:pPr>
    </w:p>
    <w:p w14:paraId="7C385955" w14:textId="77777777" w:rsidR="001A4860" w:rsidRPr="001A4860" w:rsidRDefault="001A4860" w:rsidP="001A4860">
      <w:pPr>
        <w:rPr>
          <w:sz w:val="22"/>
          <w:szCs w:val="22"/>
          <w:lang w:val="es-ES" w:eastAsia="es-ES"/>
        </w:rPr>
      </w:pPr>
      <w:r w:rsidRPr="001A4860">
        <w:rPr>
          <w:sz w:val="22"/>
          <w:szCs w:val="22"/>
          <w:lang w:val="es-ES" w:eastAsia="es-ES"/>
        </w:rPr>
        <w:lastRenderedPageBreak/>
        <w:t xml:space="preserve">La estructura que se construya debe ser impermeable, independientemente de su condición de enterrado, semienterrado o superficial, para ello se debe realizar pruebas de estanqueidad a las estructuras, para lo cual se recomienda el siguiente procedimiento: </w:t>
      </w:r>
    </w:p>
    <w:p w14:paraId="18C80AE4" w14:textId="77777777" w:rsidR="001A4860" w:rsidRPr="001A4860" w:rsidRDefault="001A4860" w:rsidP="001A4860">
      <w:pPr>
        <w:rPr>
          <w:sz w:val="22"/>
          <w:szCs w:val="22"/>
          <w:lang w:val="es-ES" w:eastAsia="es-ES"/>
        </w:rPr>
      </w:pPr>
    </w:p>
    <w:p w14:paraId="4D568DCA" w14:textId="77777777" w:rsidR="001A4860" w:rsidRPr="001A4860" w:rsidRDefault="001A4860" w:rsidP="001A4860">
      <w:pPr>
        <w:rPr>
          <w:sz w:val="22"/>
          <w:szCs w:val="22"/>
          <w:lang w:val="es-ES" w:eastAsia="es-ES"/>
        </w:rPr>
      </w:pPr>
      <w:r w:rsidRPr="001A4860">
        <w:rPr>
          <w:rFonts w:eastAsia="Calibri"/>
          <w:sz w:val="22"/>
          <w:szCs w:val="22"/>
          <w:lang w:val="es-ES"/>
        </w:rPr>
        <w:t>Antes de proceder al enlucido interior, la estructura es sometida a la prueba hidráulica para constatar su impermeabilidad, para ello es llenada con agua hasta su nivel máximo y m</w:t>
      </w:r>
      <w:r w:rsidRPr="001A4860">
        <w:rPr>
          <w:sz w:val="22"/>
          <w:szCs w:val="22"/>
          <w:lang w:val="es-ES" w:eastAsia="es-ES"/>
        </w:rPr>
        <w:t xml:space="preserve">antenerlo lleno durante 7 días. En este período permitir se produzcan asentamientos menores y la estabilización definitiva del suelo. </w:t>
      </w:r>
    </w:p>
    <w:p w14:paraId="0C8A6ABC" w14:textId="77777777" w:rsidR="001A4860" w:rsidRPr="001A4860" w:rsidRDefault="001A4860" w:rsidP="001A4860">
      <w:pPr>
        <w:rPr>
          <w:sz w:val="22"/>
          <w:szCs w:val="22"/>
          <w:lang w:val="es-ES" w:eastAsia="es-ES"/>
        </w:rPr>
      </w:pPr>
    </w:p>
    <w:p w14:paraId="352D5470" w14:textId="77777777" w:rsidR="001A4860" w:rsidRPr="001A4860" w:rsidRDefault="001A4860" w:rsidP="001A4860">
      <w:pPr>
        <w:rPr>
          <w:sz w:val="22"/>
          <w:szCs w:val="22"/>
          <w:lang w:val="es-ES" w:eastAsia="es-ES"/>
        </w:rPr>
      </w:pPr>
      <w:r w:rsidRPr="001A4860">
        <w:rPr>
          <w:sz w:val="22"/>
          <w:szCs w:val="22"/>
          <w:lang w:val="es-ES" w:eastAsia="es-ES"/>
        </w:rPr>
        <w:t xml:space="preserve">Después de transcurridos los 7 días, </w:t>
      </w:r>
      <w:r w:rsidRPr="001A4860">
        <w:rPr>
          <w:rFonts w:eastAsia="Calibri"/>
          <w:sz w:val="22"/>
          <w:szCs w:val="22"/>
          <w:lang w:val="es-ES"/>
        </w:rPr>
        <w:t>en caso que no se presenten filtraciones se ordena descargarlo y enlucirlo. El enlucido no aplica a los tanques de polietileno.</w:t>
      </w:r>
      <w:r w:rsidRPr="001A4860">
        <w:rPr>
          <w:sz w:val="22"/>
          <w:szCs w:val="22"/>
          <w:lang w:val="es-ES" w:eastAsia="es-ES"/>
        </w:rPr>
        <w:t xml:space="preserve"> Finalmente proceder a realizar las conexiones definitivas de tuberías, válvulas y accesorios.</w:t>
      </w:r>
    </w:p>
    <w:p w14:paraId="270D11A0" w14:textId="77777777" w:rsidR="001A4860" w:rsidRPr="001A4860" w:rsidRDefault="001A4860" w:rsidP="001A4860">
      <w:pPr>
        <w:rPr>
          <w:sz w:val="22"/>
          <w:szCs w:val="22"/>
          <w:lang w:val="es-ES" w:eastAsia="es-ES"/>
        </w:rPr>
      </w:pPr>
    </w:p>
    <w:p w14:paraId="3B69DECC" w14:textId="77777777" w:rsidR="001A4860" w:rsidRPr="001A4860" w:rsidRDefault="001A4860" w:rsidP="001A4860">
      <w:pPr>
        <w:contextualSpacing/>
        <w:rPr>
          <w:rFonts w:eastAsia="Calibri"/>
          <w:sz w:val="22"/>
          <w:szCs w:val="22"/>
          <w:lang w:val="es-ES"/>
        </w:rPr>
      </w:pPr>
      <w:r w:rsidRPr="001A4860">
        <w:rPr>
          <w:rFonts w:eastAsia="Calibri"/>
          <w:sz w:val="22"/>
          <w:szCs w:val="22"/>
          <w:lang w:val="es-ES"/>
        </w:rPr>
        <w:t>En caso que la prueba no sea satisfactoria, se repite después de haber efectuado los resanes tantas veces como sea necesario para conseguir la impermeabilidad total.</w:t>
      </w:r>
    </w:p>
    <w:p w14:paraId="6795105F" w14:textId="77777777" w:rsidR="001A4860" w:rsidRPr="001A4860" w:rsidRDefault="001A4860" w:rsidP="001A4860">
      <w:pPr>
        <w:ind w:left="708"/>
        <w:rPr>
          <w:rFonts w:eastAsia="Calibri"/>
          <w:sz w:val="22"/>
          <w:szCs w:val="22"/>
          <w:lang w:val="es-ES"/>
        </w:rPr>
      </w:pPr>
    </w:p>
    <w:p w14:paraId="5CA20BAA" w14:textId="77777777" w:rsidR="001A4860" w:rsidRPr="001A4860" w:rsidRDefault="001A4860" w:rsidP="001A4860">
      <w:pPr>
        <w:contextualSpacing/>
        <w:rPr>
          <w:rFonts w:eastAsia="Calibri"/>
          <w:sz w:val="22"/>
          <w:szCs w:val="22"/>
          <w:lang w:val="es-ES"/>
        </w:rPr>
      </w:pPr>
      <w:r w:rsidRPr="001A4860">
        <w:rPr>
          <w:rFonts w:eastAsia="Calibri"/>
          <w:sz w:val="22"/>
          <w:szCs w:val="22"/>
          <w:lang w:val="es-ES"/>
        </w:rPr>
        <w:t>El llenado del tanque es responsabilidad del Contratista incluye los costos incurridos en esta actividad.</w:t>
      </w:r>
    </w:p>
    <w:p w14:paraId="4FA65BF6" w14:textId="77777777" w:rsidR="001A4860" w:rsidRPr="001A4860" w:rsidRDefault="001A4860" w:rsidP="001A4860">
      <w:pPr>
        <w:rPr>
          <w:sz w:val="22"/>
          <w:szCs w:val="22"/>
          <w:lang w:val="es-ES" w:eastAsia="es-ES"/>
        </w:rPr>
      </w:pPr>
    </w:p>
    <w:p w14:paraId="3C22D917" w14:textId="77777777" w:rsidR="001A4860" w:rsidRPr="001A4860" w:rsidRDefault="001A4860" w:rsidP="001A4860">
      <w:pPr>
        <w:rPr>
          <w:sz w:val="22"/>
          <w:szCs w:val="22"/>
          <w:lang w:val="es-ES" w:eastAsia="es-ES"/>
        </w:rPr>
      </w:pPr>
      <w:r w:rsidRPr="001A4860">
        <w:rPr>
          <w:sz w:val="22"/>
          <w:szCs w:val="22"/>
          <w:lang w:val="es-ES" w:eastAsia="es-ES"/>
        </w:rPr>
        <w:t>Los resanes se realizan picando la estructura, sin descubrir la armadura, para que pueda adherirse el concreto preparado con el aditivo aprobado por el supervisor.</w:t>
      </w:r>
    </w:p>
    <w:p w14:paraId="1FEF1057" w14:textId="77777777" w:rsidR="001A4860" w:rsidRPr="001A4860" w:rsidRDefault="001A4860" w:rsidP="001A4860">
      <w:pPr>
        <w:rPr>
          <w:sz w:val="22"/>
          <w:szCs w:val="22"/>
          <w:lang w:val="es-ES" w:eastAsia="es-ES"/>
        </w:rPr>
      </w:pPr>
    </w:p>
    <w:p w14:paraId="315289EF" w14:textId="77777777" w:rsidR="001A4860" w:rsidRPr="001A4860" w:rsidRDefault="001A4860" w:rsidP="001A4860">
      <w:pPr>
        <w:keepNext/>
        <w:ind w:left="720" w:hanging="720"/>
        <w:outlineLvl w:val="2"/>
        <w:rPr>
          <w:rFonts w:eastAsia="Arial Narrow"/>
          <w:b/>
          <w:bCs/>
          <w:iCs/>
          <w:sz w:val="22"/>
          <w:szCs w:val="22"/>
          <w:lang w:val="es-ES" w:bidi="en-US"/>
        </w:rPr>
      </w:pPr>
      <w:bookmarkStart w:id="787" w:name="_Toc475371401"/>
      <w:bookmarkStart w:id="788" w:name="_Toc481596419"/>
      <w:bookmarkStart w:id="789" w:name="_Toc492981758"/>
      <w:bookmarkStart w:id="790" w:name="_Toc23249391"/>
      <w:r w:rsidRPr="001A4860">
        <w:rPr>
          <w:rFonts w:eastAsia="Arial Narrow"/>
          <w:b/>
          <w:bCs/>
          <w:iCs/>
          <w:sz w:val="22"/>
          <w:szCs w:val="22"/>
          <w:lang w:val="es-ES" w:bidi="en-US"/>
        </w:rPr>
        <w:t>Medida y Forma de Pago</w:t>
      </w:r>
      <w:bookmarkEnd w:id="787"/>
      <w:bookmarkEnd w:id="788"/>
      <w:bookmarkEnd w:id="789"/>
      <w:bookmarkEnd w:id="790"/>
    </w:p>
    <w:p w14:paraId="468275BB" w14:textId="77777777" w:rsidR="001A4860" w:rsidRPr="001A4860" w:rsidRDefault="001A4860" w:rsidP="001A4860">
      <w:pPr>
        <w:rPr>
          <w:sz w:val="22"/>
          <w:szCs w:val="22"/>
          <w:lang w:val="es-ES" w:eastAsia="es-ES"/>
        </w:rPr>
      </w:pPr>
    </w:p>
    <w:p w14:paraId="15EB73F5" w14:textId="77777777" w:rsidR="001A4860" w:rsidRPr="001A4860" w:rsidRDefault="001A4860" w:rsidP="001A4860">
      <w:pPr>
        <w:rPr>
          <w:sz w:val="22"/>
          <w:szCs w:val="22"/>
          <w:lang w:val="es-ES" w:eastAsia="es-ES"/>
        </w:rPr>
      </w:pPr>
      <w:r w:rsidRPr="001A4860">
        <w:rPr>
          <w:sz w:val="22"/>
          <w:szCs w:val="22"/>
          <w:lang w:val="es-ES" w:eastAsia="es-ES"/>
        </w:rPr>
        <w:t>El pago se efectúa según el rubro correspondiente al precio unitario fijado en el Formulario de Oferta. Este precio comprende todos los costos directos e indirectos por concepto de materiales, mano de obra, equipos y herramientas, para realizar el trabajo antes descrito, incluyendo todo elemento que implícitamente sea necesario para realizar el rubro conforme a los alcances, los detalles y especificaciones tanto de los documentos de esta licitación como los planos de taller avalados por el Supervisor.</w:t>
      </w:r>
    </w:p>
    <w:p w14:paraId="04CC3C7F" w14:textId="77777777" w:rsidR="001A4860" w:rsidRPr="001A4860" w:rsidRDefault="001A4860" w:rsidP="001A4860">
      <w:pPr>
        <w:rPr>
          <w:sz w:val="22"/>
          <w:szCs w:val="22"/>
          <w:lang w:val="es-ES" w:eastAsia="es-ES"/>
        </w:rPr>
      </w:pPr>
    </w:p>
    <w:p w14:paraId="2A399A59" w14:textId="77777777" w:rsidR="001A4860" w:rsidRPr="001A4860" w:rsidRDefault="001A4860" w:rsidP="001A4860">
      <w:pPr>
        <w:keepNext/>
        <w:outlineLvl w:val="1"/>
        <w:rPr>
          <w:rFonts w:eastAsia="Arial Narrow"/>
          <w:b/>
          <w:bCs/>
          <w:iCs/>
          <w:sz w:val="22"/>
          <w:szCs w:val="22"/>
          <w:lang w:val="es-NI"/>
        </w:rPr>
      </w:pPr>
      <w:bookmarkStart w:id="791" w:name="_Toc23249392"/>
      <w:r w:rsidRPr="001A4860">
        <w:rPr>
          <w:rFonts w:eastAsia="Arial Narrow"/>
          <w:b/>
          <w:bCs/>
          <w:iCs/>
          <w:sz w:val="22"/>
          <w:szCs w:val="22"/>
          <w:lang w:val="es-NI"/>
        </w:rPr>
        <w:t>Cercas perimetrales y portones</w:t>
      </w:r>
      <w:bookmarkEnd w:id="791"/>
    </w:p>
    <w:p w14:paraId="7EE3035F" w14:textId="77777777" w:rsidR="001A4860" w:rsidRPr="001A4860" w:rsidRDefault="001A4860" w:rsidP="001A4860">
      <w:pPr>
        <w:rPr>
          <w:sz w:val="22"/>
          <w:szCs w:val="22"/>
          <w:lang w:val="es-ES" w:eastAsia="es-ES"/>
        </w:rPr>
      </w:pPr>
    </w:p>
    <w:p w14:paraId="660558CF" w14:textId="77777777" w:rsidR="001A4860" w:rsidRPr="001A4860" w:rsidRDefault="001A4860" w:rsidP="001A4860">
      <w:pPr>
        <w:rPr>
          <w:sz w:val="22"/>
          <w:szCs w:val="22"/>
          <w:lang w:val="es-ES" w:eastAsia="es-ES"/>
        </w:rPr>
      </w:pPr>
      <w:r w:rsidRPr="001A4860">
        <w:rPr>
          <w:sz w:val="22"/>
          <w:szCs w:val="22"/>
          <w:lang w:val="es-ES" w:eastAsia="es-ES"/>
        </w:rPr>
        <w:t>El trabajo a ejecutarse bajo este rubro comprende el suministro de equipo, herramientas, mano de obra, transporte y materiales necesarios para llevar a cabo la construcción e instalación de cercas perimetrales y portones, en los sitios y dimensiones indicadas en los planos y de acuerdo con lo estipulado en estas especificaciones.</w:t>
      </w:r>
    </w:p>
    <w:p w14:paraId="762CDC6E" w14:textId="77777777" w:rsidR="001A4860" w:rsidRPr="001A4860" w:rsidRDefault="001A4860" w:rsidP="001A4860">
      <w:pPr>
        <w:rPr>
          <w:sz w:val="22"/>
          <w:szCs w:val="22"/>
          <w:lang w:val="es-ES" w:eastAsia="es-ES"/>
        </w:rPr>
      </w:pPr>
    </w:p>
    <w:p w14:paraId="321162FF" w14:textId="77777777" w:rsidR="001A4860" w:rsidRPr="001A4860" w:rsidRDefault="001A4860" w:rsidP="001A4860">
      <w:pPr>
        <w:rPr>
          <w:sz w:val="22"/>
          <w:szCs w:val="22"/>
          <w:lang w:val="es-ES" w:eastAsia="es-ES"/>
        </w:rPr>
      </w:pPr>
      <w:r w:rsidRPr="001A4860">
        <w:rPr>
          <w:i/>
          <w:sz w:val="22"/>
          <w:szCs w:val="22"/>
          <w:lang w:val="es-ES" w:eastAsia="es-ES"/>
        </w:rPr>
        <w:t xml:space="preserve">Cerco de alambre de púas con poste de concreto pretensado, altura 2.55 m. </w:t>
      </w:r>
      <w:r w:rsidRPr="001A4860">
        <w:rPr>
          <w:sz w:val="22"/>
          <w:szCs w:val="22"/>
          <w:lang w:val="es-ES" w:eastAsia="es-ES"/>
        </w:rPr>
        <w:t>Los postes que sirven de apoyo al cerco de alambres de púas, deben estar separados no más de tres metros. Para dar estabilidad al poste se empotra en el suelo natural en base de concreto de 175 kg/cm2 (2500 psi) de 25 cm x 25 cm x 60 cm de profundidad, indicada en los planos. La longitud que el poste debe llevar fuera del suelo debe ser de 1.95 m</w:t>
      </w:r>
    </w:p>
    <w:p w14:paraId="600F8E00" w14:textId="77777777" w:rsidR="001A4860" w:rsidRPr="001A4860" w:rsidRDefault="001A4860" w:rsidP="001A4860">
      <w:pPr>
        <w:rPr>
          <w:sz w:val="22"/>
          <w:szCs w:val="22"/>
          <w:lang w:val="es-ES" w:eastAsia="es-ES"/>
        </w:rPr>
      </w:pPr>
    </w:p>
    <w:p w14:paraId="4FC78D23" w14:textId="77777777" w:rsidR="001A4860" w:rsidRPr="001A4860" w:rsidRDefault="001A4860" w:rsidP="001A4860">
      <w:pPr>
        <w:rPr>
          <w:sz w:val="22"/>
          <w:szCs w:val="22"/>
          <w:lang w:val="es-ES" w:eastAsia="es-ES"/>
        </w:rPr>
      </w:pPr>
      <w:r w:rsidRPr="001A4860">
        <w:rPr>
          <w:sz w:val="22"/>
          <w:szCs w:val="22"/>
          <w:lang w:val="es-ES" w:eastAsia="es-ES"/>
        </w:rPr>
        <w:t>Los postes estan separados 2.50 m y cada 25.00 m deben llevar postes de arriostre. El alambre de púas es calibre 13 1/2 y tiene 9 hiladas separadas cada una 20 centimetros, en cada intercepcion de poste con el alambre debe llevar una amarra de alambre galvanizado.</w:t>
      </w:r>
    </w:p>
    <w:p w14:paraId="357E4A36" w14:textId="77777777" w:rsidR="001A4860" w:rsidRPr="001A4860" w:rsidRDefault="001A4860" w:rsidP="001A4860">
      <w:pPr>
        <w:rPr>
          <w:sz w:val="22"/>
          <w:szCs w:val="22"/>
          <w:lang w:val="es-ES" w:eastAsia="es-ES"/>
        </w:rPr>
      </w:pPr>
      <w:r w:rsidRPr="001A4860">
        <w:rPr>
          <w:sz w:val="22"/>
          <w:szCs w:val="22"/>
          <w:lang w:val="es-ES" w:eastAsia="es-ES"/>
        </w:rPr>
        <w:t>Malla ciclón. Para esta actividad deben utilizarse las herramientas de corte comunes de oxicorte o cortadora de disco y el respectivo equipo de soldadura.</w:t>
      </w:r>
    </w:p>
    <w:p w14:paraId="48F1D2EE" w14:textId="77777777" w:rsidR="001A4860" w:rsidRPr="001A4860" w:rsidRDefault="001A4860" w:rsidP="001A4860">
      <w:pPr>
        <w:rPr>
          <w:sz w:val="22"/>
          <w:szCs w:val="22"/>
          <w:lang w:val="es-ES" w:eastAsia="es-ES"/>
        </w:rPr>
      </w:pPr>
    </w:p>
    <w:p w14:paraId="0035E216" w14:textId="77777777" w:rsidR="001A4860" w:rsidRPr="001A4860" w:rsidRDefault="001A4860" w:rsidP="001A4860">
      <w:pPr>
        <w:rPr>
          <w:sz w:val="22"/>
          <w:szCs w:val="22"/>
          <w:lang w:val="es-ES" w:eastAsia="es-ES"/>
        </w:rPr>
      </w:pPr>
      <w:r w:rsidRPr="001A4860">
        <w:rPr>
          <w:sz w:val="22"/>
          <w:szCs w:val="22"/>
          <w:lang w:val="es-ES" w:eastAsia="es-ES"/>
        </w:rPr>
        <w:t xml:space="preserve">La cerca esta conformada según alineación y dimensiones mostradas en los planos. El cerco de malla ciclon tiene una hilada de piedra cantera, en todo el perímetro de la cerca y portones, para apoyo de acuerdo a </w:t>
      </w:r>
      <w:r w:rsidRPr="001A4860">
        <w:rPr>
          <w:sz w:val="22"/>
          <w:szCs w:val="22"/>
          <w:lang w:val="es-ES" w:eastAsia="es-ES"/>
        </w:rPr>
        <w:lastRenderedPageBreak/>
        <w:t>detalle mostrado en los planos. En algunos casos se requiere la colocación de hiladas adicionales de piedra cantera para nivelar el cerco, por lo que el contratista debe considerar en su oferta esta posibilidad.</w:t>
      </w:r>
    </w:p>
    <w:p w14:paraId="2E2F0F81" w14:textId="77777777" w:rsidR="001A4860" w:rsidRPr="001A4860" w:rsidRDefault="001A4860" w:rsidP="001A4860">
      <w:pPr>
        <w:rPr>
          <w:sz w:val="22"/>
          <w:szCs w:val="22"/>
          <w:lang w:val="es-ES" w:eastAsia="es-ES"/>
        </w:rPr>
      </w:pPr>
    </w:p>
    <w:p w14:paraId="5E729377" w14:textId="77777777" w:rsidR="001A4860" w:rsidRPr="001A4860" w:rsidRDefault="001A4860" w:rsidP="001A4860">
      <w:pPr>
        <w:rPr>
          <w:sz w:val="22"/>
          <w:szCs w:val="22"/>
          <w:lang w:val="es-ES" w:eastAsia="es-ES"/>
        </w:rPr>
      </w:pPr>
      <w:r w:rsidRPr="001A4860">
        <w:rPr>
          <w:sz w:val="22"/>
          <w:szCs w:val="22"/>
          <w:lang w:val="es-ES" w:eastAsia="es-ES"/>
        </w:rPr>
        <w:t>Las columnas deben quedar perfectamente verticales y la malla bien tensa. Para evitar continuidad eléctrica, la malla es instalada en unidades independientes de 50 m de longitud. Cuando la longitud de la cerca sea menor que 50 metros su construcción debe ser continua.</w:t>
      </w:r>
    </w:p>
    <w:p w14:paraId="6C902F05" w14:textId="77777777" w:rsidR="001A4860" w:rsidRPr="001A4860" w:rsidRDefault="001A4860" w:rsidP="001A4860">
      <w:pPr>
        <w:rPr>
          <w:sz w:val="22"/>
          <w:szCs w:val="22"/>
          <w:lang w:val="es-ES" w:eastAsia="es-ES"/>
        </w:rPr>
      </w:pPr>
    </w:p>
    <w:p w14:paraId="7268B725" w14:textId="77777777" w:rsidR="001A4860" w:rsidRPr="001A4860" w:rsidRDefault="001A4860" w:rsidP="001A4860">
      <w:pPr>
        <w:rPr>
          <w:sz w:val="22"/>
          <w:szCs w:val="22"/>
          <w:lang w:val="es-ES" w:eastAsia="es-ES"/>
        </w:rPr>
      </w:pPr>
      <w:r w:rsidRPr="001A4860">
        <w:rPr>
          <w:sz w:val="22"/>
          <w:szCs w:val="22"/>
          <w:lang w:val="es-ES" w:eastAsia="es-ES"/>
        </w:rPr>
        <w:t>Las columnas son tubos verticales de HG. Los tubos verticales y horizontales son del diametro nominal indicado en los planos.  Los tubos horizontales se unen a los verticales haciendo uso de cabezales. En las esquinas llevan arriostres de tubo del mismo diámetro nominal indicado en los planos, y cada 25.00 metros de enmallado seconstruyen arriostres del mismo tipo de tubos que forman el marco del enmallado, los tubos estan empotrados en pedestales deconcreto con las dimensione.</w:t>
      </w:r>
    </w:p>
    <w:p w14:paraId="3646E8AC" w14:textId="77777777" w:rsidR="001A4860" w:rsidRPr="001A4860" w:rsidRDefault="001A4860" w:rsidP="001A4860">
      <w:pPr>
        <w:rPr>
          <w:sz w:val="22"/>
          <w:szCs w:val="22"/>
          <w:lang w:val="es-ES" w:eastAsia="es-ES"/>
        </w:rPr>
      </w:pPr>
    </w:p>
    <w:p w14:paraId="5958ED6B" w14:textId="77777777" w:rsidR="001A4860" w:rsidRPr="001A4860" w:rsidRDefault="001A4860" w:rsidP="001A4860">
      <w:pPr>
        <w:rPr>
          <w:sz w:val="22"/>
          <w:szCs w:val="22"/>
          <w:lang w:val="es-ES" w:eastAsia="es-ES"/>
        </w:rPr>
      </w:pPr>
      <w:r w:rsidRPr="001A4860">
        <w:rPr>
          <w:sz w:val="22"/>
          <w:szCs w:val="22"/>
          <w:lang w:val="es-ES" w:eastAsia="es-ES"/>
        </w:rPr>
        <w:t>La separación entre dos columnas extremas de dos unidades adyacentes no debe ser menor que 25 mm ni mayor que 50 mm. Tanto las columnas extremas, como las esquineras, deben ser apuntaladas en toda su altura.</w:t>
      </w:r>
    </w:p>
    <w:p w14:paraId="43990108" w14:textId="77777777" w:rsidR="001A4860" w:rsidRPr="001A4860" w:rsidRDefault="001A4860" w:rsidP="001A4860">
      <w:pPr>
        <w:rPr>
          <w:sz w:val="22"/>
          <w:szCs w:val="22"/>
          <w:lang w:val="es-ES" w:eastAsia="es-ES"/>
        </w:rPr>
      </w:pPr>
    </w:p>
    <w:p w14:paraId="5FC95D9B" w14:textId="77777777" w:rsidR="001A4860" w:rsidRPr="001A4860" w:rsidRDefault="001A4860" w:rsidP="001A4860">
      <w:pPr>
        <w:rPr>
          <w:sz w:val="22"/>
          <w:szCs w:val="22"/>
          <w:lang w:val="es-ES" w:eastAsia="es-ES"/>
        </w:rPr>
      </w:pPr>
      <w:r w:rsidRPr="001A4860">
        <w:rPr>
          <w:sz w:val="22"/>
          <w:szCs w:val="22"/>
          <w:lang w:val="es-ES" w:eastAsia="es-ES"/>
        </w:rPr>
        <w:t>Todas las columnas estan separadas no más de tres metros y empotradas en el suelo en bases de concreto de 175 kg/cm2 (2500 psi) de 25 cm x 25 cm x 60 cm de profundidad, indicadas en los planos.</w:t>
      </w:r>
    </w:p>
    <w:p w14:paraId="4B18EB02" w14:textId="77777777" w:rsidR="001A4860" w:rsidRPr="001A4860" w:rsidRDefault="001A4860" w:rsidP="001A4860">
      <w:pPr>
        <w:rPr>
          <w:sz w:val="22"/>
          <w:szCs w:val="22"/>
          <w:lang w:val="es-ES" w:eastAsia="es-ES"/>
        </w:rPr>
      </w:pPr>
    </w:p>
    <w:p w14:paraId="15FC948E" w14:textId="77777777" w:rsidR="001A4860" w:rsidRPr="001A4860" w:rsidRDefault="001A4860" w:rsidP="001A4860">
      <w:pPr>
        <w:rPr>
          <w:sz w:val="22"/>
          <w:szCs w:val="22"/>
          <w:lang w:val="es-ES" w:eastAsia="es-ES"/>
        </w:rPr>
      </w:pPr>
      <w:r w:rsidRPr="001A4860">
        <w:rPr>
          <w:sz w:val="22"/>
          <w:szCs w:val="22"/>
          <w:lang w:val="es-ES" w:eastAsia="es-ES"/>
        </w:rPr>
        <w:t>Todo el perímetro de la cerca esta rematado con arbotantes fijados en las columnas, con una longitud de 0.60 m inclinadas a 45° hacia el interior y con cinco (5) hileras de alambre de púas N°13 separadas cada 0.12 m. Cada arbotante tiene un tapón hembra P.V.C para evitar la introducción de agua.</w:t>
      </w:r>
    </w:p>
    <w:p w14:paraId="15DBC37C" w14:textId="77777777" w:rsidR="001A4860" w:rsidRPr="001A4860" w:rsidRDefault="001A4860" w:rsidP="001A4860">
      <w:pPr>
        <w:rPr>
          <w:sz w:val="22"/>
          <w:szCs w:val="22"/>
          <w:lang w:val="es-ES" w:eastAsia="es-ES"/>
        </w:rPr>
      </w:pPr>
    </w:p>
    <w:p w14:paraId="2AE732DB" w14:textId="77777777" w:rsidR="001A4860" w:rsidRPr="001A4860" w:rsidRDefault="001A4860" w:rsidP="001A4860">
      <w:pPr>
        <w:rPr>
          <w:i/>
          <w:sz w:val="22"/>
          <w:szCs w:val="22"/>
          <w:lang w:val="es-ES" w:eastAsia="es-ES"/>
        </w:rPr>
      </w:pPr>
      <w:r w:rsidRPr="001A4860">
        <w:rPr>
          <w:sz w:val="22"/>
          <w:szCs w:val="22"/>
          <w:lang w:val="es-ES" w:eastAsia="es-ES"/>
        </w:rPr>
        <w:t xml:space="preserve">En la construcción de cercas se incluye la construcción del portón de acceso con las dimensiones indicadas en los planos, y el tipo de marco indicado en los planos, arriostres, terminales y demás accesorios todos de acuerdo a las especificaciones del fabricante. </w:t>
      </w:r>
      <w:r w:rsidRPr="001A4860">
        <w:rPr>
          <w:i/>
          <w:sz w:val="22"/>
          <w:szCs w:val="22"/>
          <w:lang w:val="es-ES" w:eastAsia="es-ES"/>
        </w:rPr>
        <w:t>Portón de acceso de postes de madera de pino diám.=0.25m(10")alt.=2.00m y postes de madera pino diám.=0.125m(5") con forro de alambre de púas l=4.25m,alt.=1.40m. Incluye herrajes, según se indica en planos y especificaciones.</w:t>
      </w:r>
    </w:p>
    <w:p w14:paraId="0296C7FD" w14:textId="77777777" w:rsidR="001A4860" w:rsidRPr="001A4860" w:rsidRDefault="001A4860" w:rsidP="001A4860">
      <w:pPr>
        <w:rPr>
          <w:sz w:val="22"/>
          <w:szCs w:val="22"/>
          <w:lang w:val="es-ES" w:eastAsia="es-ES"/>
        </w:rPr>
      </w:pPr>
    </w:p>
    <w:p w14:paraId="6D82F2E0" w14:textId="77777777" w:rsidR="001A4860" w:rsidRPr="001A4860" w:rsidRDefault="001A4860" w:rsidP="001A4860">
      <w:pPr>
        <w:keepNext/>
        <w:outlineLvl w:val="1"/>
        <w:rPr>
          <w:rFonts w:eastAsia="Arial Narrow"/>
          <w:b/>
          <w:bCs/>
          <w:iCs/>
          <w:sz w:val="22"/>
          <w:szCs w:val="22"/>
          <w:lang w:val="es-NI"/>
        </w:rPr>
      </w:pPr>
      <w:bookmarkStart w:id="792" w:name="_Toc23249393"/>
      <w:r w:rsidRPr="001A4860">
        <w:rPr>
          <w:rFonts w:eastAsia="Arial Narrow"/>
          <w:b/>
          <w:bCs/>
          <w:iCs/>
          <w:sz w:val="22"/>
          <w:szCs w:val="22"/>
          <w:lang w:val="es-NI"/>
        </w:rPr>
        <w:t>Medición y pago.</w:t>
      </w:r>
      <w:bookmarkEnd w:id="792"/>
    </w:p>
    <w:p w14:paraId="53AC5D88" w14:textId="77777777" w:rsidR="001A4860" w:rsidRPr="001A4860" w:rsidRDefault="001A4860" w:rsidP="001A4860">
      <w:pPr>
        <w:rPr>
          <w:sz w:val="22"/>
          <w:szCs w:val="22"/>
          <w:lang w:val="es-ES" w:eastAsia="es-ES"/>
        </w:rPr>
      </w:pPr>
      <w:r w:rsidRPr="001A4860">
        <w:rPr>
          <w:sz w:val="22"/>
          <w:szCs w:val="22"/>
          <w:lang w:val="es-ES" w:eastAsia="es-ES"/>
        </w:rPr>
        <w:t>Los costos por construcción de cercas ya sea de malla ciclón o alambre de púas incluyen el suministro de materiales, mano de obra y equipos, se paga por metro lineal de cerca construida. La construcción de portón de acceso según plano de detalles constructivos se paga por metro cuadrado.</w:t>
      </w:r>
    </w:p>
    <w:p w14:paraId="168D1961" w14:textId="77777777" w:rsidR="001A4860" w:rsidRPr="001A4860" w:rsidRDefault="001A4860" w:rsidP="001A4860">
      <w:pPr>
        <w:rPr>
          <w:sz w:val="22"/>
          <w:szCs w:val="22"/>
          <w:lang w:val="es-ES" w:eastAsia="es-ES"/>
        </w:rPr>
      </w:pPr>
    </w:p>
    <w:p w14:paraId="3E135217" w14:textId="77777777" w:rsidR="001A4860" w:rsidRPr="001A4860" w:rsidRDefault="001A4860" w:rsidP="001A4860">
      <w:pPr>
        <w:keepNext/>
        <w:outlineLvl w:val="1"/>
        <w:rPr>
          <w:rFonts w:eastAsia="Arial Narrow"/>
          <w:b/>
          <w:bCs/>
          <w:iCs/>
          <w:sz w:val="22"/>
          <w:szCs w:val="22"/>
          <w:lang w:val="es-NI"/>
        </w:rPr>
      </w:pPr>
      <w:bookmarkStart w:id="793" w:name="_Toc23249394"/>
      <w:r w:rsidRPr="001A4860">
        <w:rPr>
          <w:rFonts w:eastAsia="Arial Narrow"/>
          <w:b/>
          <w:bCs/>
          <w:iCs/>
          <w:sz w:val="22"/>
          <w:szCs w:val="22"/>
          <w:lang w:val="es-NI"/>
        </w:rPr>
        <w:t>Pintura de cercas de malla ciclón</w:t>
      </w:r>
      <w:bookmarkEnd w:id="793"/>
    </w:p>
    <w:p w14:paraId="06410A82" w14:textId="77777777" w:rsidR="001A4860" w:rsidRPr="001A4860" w:rsidRDefault="001A4860" w:rsidP="001A4860">
      <w:pPr>
        <w:rPr>
          <w:sz w:val="22"/>
          <w:szCs w:val="22"/>
          <w:lang w:val="es-ES" w:eastAsia="es-ES"/>
        </w:rPr>
      </w:pPr>
      <w:r w:rsidRPr="001A4860">
        <w:rPr>
          <w:sz w:val="22"/>
          <w:szCs w:val="22"/>
          <w:lang w:val="es-ES" w:eastAsia="es-ES"/>
        </w:rPr>
        <w:t>El trabajo a ejecutarse bajo este rubro comprende el suministro de equipo, herramientas, mano de obra, transporte y materiales necesarios para llevar a cabo la pintura de cercas de malla ciclón. Todas las superficies incluyen la aplicación deuna capa de pintura plateada o galvanizada.</w:t>
      </w:r>
    </w:p>
    <w:p w14:paraId="083CE204" w14:textId="77777777" w:rsidR="001A4860" w:rsidRPr="001A4860" w:rsidRDefault="001A4860" w:rsidP="001A4860">
      <w:pPr>
        <w:rPr>
          <w:sz w:val="22"/>
          <w:szCs w:val="22"/>
          <w:lang w:val="es-ES" w:eastAsia="es-ES"/>
        </w:rPr>
      </w:pPr>
    </w:p>
    <w:p w14:paraId="22B75D31" w14:textId="77777777" w:rsidR="001A4860" w:rsidRPr="001A4860" w:rsidRDefault="001A4860" w:rsidP="001A4860">
      <w:pPr>
        <w:keepNext/>
        <w:outlineLvl w:val="1"/>
        <w:rPr>
          <w:rFonts w:eastAsia="Arial Narrow"/>
          <w:b/>
          <w:bCs/>
          <w:iCs/>
          <w:sz w:val="22"/>
          <w:szCs w:val="22"/>
          <w:lang w:val="es-NI"/>
        </w:rPr>
      </w:pPr>
      <w:bookmarkStart w:id="794" w:name="_Toc23249395"/>
      <w:r w:rsidRPr="001A4860">
        <w:rPr>
          <w:rFonts w:eastAsia="Arial Narrow"/>
          <w:b/>
          <w:bCs/>
          <w:iCs/>
          <w:sz w:val="22"/>
          <w:szCs w:val="22"/>
          <w:lang w:val="es-NI"/>
        </w:rPr>
        <w:t>Medición y pago</w:t>
      </w:r>
      <w:bookmarkEnd w:id="794"/>
    </w:p>
    <w:p w14:paraId="6F7EDAF1" w14:textId="77777777" w:rsidR="001A4860" w:rsidRPr="001A4860" w:rsidRDefault="001A4860" w:rsidP="001A4860">
      <w:pPr>
        <w:rPr>
          <w:sz w:val="22"/>
          <w:szCs w:val="22"/>
          <w:lang w:val="es-ES" w:eastAsia="es-ES"/>
        </w:rPr>
      </w:pPr>
      <w:r w:rsidRPr="001A4860">
        <w:rPr>
          <w:sz w:val="22"/>
          <w:szCs w:val="22"/>
          <w:lang w:val="es-ES" w:eastAsia="es-ES"/>
        </w:rPr>
        <w:t>El costo de este concepto debe incluirse en el costo por metro lineal de cerco construido.</w:t>
      </w:r>
    </w:p>
    <w:p w14:paraId="70A24DF4" w14:textId="77777777" w:rsidR="001A4860" w:rsidRPr="001A4860" w:rsidRDefault="001A4860" w:rsidP="001A4860">
      <w:pPr>
        <w:rPr>
          <w:sz w:val="22"/>
          <w:szCs w:val="22"/>
          <w:lang w:val="es-ES" w:eastAsia="es-ES"/>
        </w:rPr>
      </w:pPr>
    </w:p>
    <w:p w14:paraId="1D9573F7" w14:textId="77777777" w:rsidR="001A4860" w:rsidRPr="001A4860" w:rsidRDefault="001A4860" w:rsidP="001A4860">
      <w:pPr>
        <w:keepNext/>
        <w:outlineLvl w:val="1"/>
        <w:rPr>
          <w:rFonts w:eastAsia="Arial Narrow"/>
          <w:b/>
          <w:bCs/>
          <w:iCs/>
          <w:sz w:val="22"/>
          <w:szCs w:val="22"/>
          <w:lang w:val="es-NI"/>
        </w:rPr>
      </w:pPr>
      <w:bookmarkStart w:id="795" w:name="_Toc23249396"/>
      <w:r w:rsidRPr="001A4860">
        <w:rPr>
          <w:rFonts w:eastAsia="Arial Narrow"/>
          <w:b/>
          <w:bCs/>
          <w:iCs/>
          <w:sz w:val="22"/>
          <w:szCs w:val="22"/>
          <w:lang w:val="es-NI"/>
        </w:rPr>
        <w:t>Tanque de almacenamiento</w:t>
      </w:r>
      <w:bookmarkEnd w:id="795"/>
    </w:p>
    <w:p w14:paraId="098E9AFB" w14:textId="77777777" w:rsidR="001A4860" w:rsidRPr="001A4860" w:rsidRDefault="001A4860" w:rsidP="001A4860">
      <w:pPr>
        <w:rPr>
          <w:sz w:val="22"/>
          <w:szCs w:val="22"/>
          <w:lang w:val="es-ES" w:eastAsia="es-ES"/>
        </w:rPr>
      </w:pPr>
    </w:p>
    <w:p w14:paraId="3EDC5744" w14:textId="77777777" w:rsidR="001A4860" w:rsidRPr="001A4860" w:rsidRDefault="001A4860" w:rsidP="001A4860">
      <w:pPr>
        <w:rPr>
          <w:sz w:val="22"/>
          <w:szCs w:val="22"/>
          <w:lang w:val="es-ES" w:eastAsia="es-ES"/>
        </w:rPr>
      </w:pPr>
      <w:r w:rsidRPr="001A4860">
        <w:rPr>
          <w:sz w:val="22"/>
          <w:szCs w:val="22"/>
          <w:lang w:val="es-ES" w:eastAsia="es-ES"/>
        </w:rPr>
        <w:t>El trabajo a ejecutarse bajo este rubro comprende el suministro de equipo, herramientas, mano de obra, transporte y materiales necesarios para llevar a cabo la instalación de dos tanques plástico de polietileno de alta densidad para almacenamiento de agua clara, en el sitio y dimensiones indicadas en los planos y de acuerdo con lo estipulado en estas especificaciones.</w:t>
      </w:r>
    </w:p>
    <w:p w14:paraId="260C9B81" w14:textId="77777777" w:rsidR="001A4860" w:rsidRPr="001A4860" w:rsidRDefault="001A4860" w:rsidP="001A4860">
      <w:pPr>
        <w:rPr>
          <w:sz w:val="22"/>
          <w:szCs w:val="22"/>
          <w:lang w:val="es-ES" w:eastAsia="es-ES"/>
        </w:rPr>
      </w:pPr>
    </w:p>
    <w:p w14:paraId="4CB6687F" w14:textId="77777777" w:rsidR="001A4860" w:rsidRPr="001A4860" w:rsidRDefault="001A4860" w:rsidP="001A4860">
      <w:pPr>
        <w:rPr>
          <w:sz w:val="22"/>
          <w:szCs w:val="22"/>
          <w:lang w:val="es-ES" w:eastAsia="es-ES"/>
        </w:rPr>
      </w:pPr>
      <w:r w:rsidRPr="001A4860">
        <w:rPr>
          <w:sz w:val="22"/>
          <w:szCs w:val="22"/>
          <w:lang w:val="es-ES" w:eastAsia="es-ES"/>
        </w:rPr>
        <w:lastRenderedPageBreak/>
        <w:t>El tanque cumple con las especificaciones siguientes:</w:t>
      </w:r>
    </w:p>
    <w:p w14:paraId="0CD3B8AA" w14:textId="77777777" w:rsidR="001A4860" w:rsidRPr="001A4860" w:rsidRDefault="001A4860" w:rsidP="001A4860">
      <w:pPr>
        <w:rPr>
          <w:sz w:val="22"/>
          <w:szCs w:val="22"/>
          <w:lang w:val="es-ES" w:eastAsia="es-ES"/>
        </w:rPr>
      </w:pPr>
      <w:r w:rsidRPr="001A4860">
        <w:rPr>
          <w:sz w:val="22"/>
          <w:szCs w:val="22"/>
          <w:lang w:val="es-ES" w:eastAsia="es-ES"/>
        </w:rPr>
        <w:t>i)</w:t>
      </w:r>
      <w:r w:rsidRPr="001A4860">
        <w:rPr>
          <w:sz w:val="22"/>
          <w:szCs w:val="22"/>
          <w:lang w:val="es-ES" w:eastAsia="es-ES"/>
        </w:rPr>
        <w:tab/>
        <w:t>Impermeable para evitar la pérdida de agua por goteo o transpiración</w:t>
      </w:r>
    </w:p>
    <w:p w14:paraId="31601425" w14:textId="77777777" w:rsidR="001A4860" w:rsidRPr="001A4860" w:rsidRDefault="001A4860" w:rsidP="001A4860">
      <w:pPr>
        <w:rPr>
          <w:sz w:val="22"/>
          <w:szCs w:val="22"/>
          <w:lang w:val="es-ES" w:eastAsia="es-ES"/>
        </w:rPr>
      </w:pPr>
      <w:r w:rsidRPr="001A4860">
        <w:rPr>
          <w:sz w:val="22"/>
          <w:szCs w:val="22"/>
          <w:lang w:val="es-ES" w:eastAsia="es-ES"/>
        </w:rPr>
        <w:t>ii)</w:t>
      </w:r>
      <w:r w:rsidRPr="001A4860">
        <w:rPr>
          <w:sz w:val="22"/>
          <w:szCs w:val="22"/>
          <w:lang w:val="es-ES" w:eastAsia="es-ES"/>
        </w:rPr>
        <w:tab/>
        <w:t>No mayor de 3.0 m de altura para minimizar las sobre-presiones</w:t>
      </w:r>
    </w:p>
    <w:p w14:paraId="4DF1A6BB" w14:textId="77777777" w:rsidR="001A4860" w:rsidRPr="001A4860" w:rsidRDefault="001A4860" w:rsidP="001A4860">
      <w:pPr>
        <w:rPr>
          <w:sz w:val="22"/>
          <w:szCs w:val="22"/>
          <w:lang w:val="es-ES" w:eastAsia="es-ES"/>
        </w:rPr>
      </w:pPr>
      <w:r w:rsidRPr="001A4860">
        <w:rPr>
          <w:sz w:val="22"/>
          <w:szCs w:val="22"/>
          <w:lang w:val="es-ES" w:eastAsia="es-ES"/>
        </w:rPr>
        <w:t>iii)</w:t>
      </w:r>
      <w:r w:rsidRPr="001A4860">
        <w:rPr>
          <w:sz w:val="22"/>
          <w:szCs w:val="22"/>
          <w:lang w:val="es-ES" w:eastAsia="es-ES"/>
        </w:rPr>
        <w:tab/>
        <w:t>Con tapa para impedir el ingreso de polvo, vectores y luz solar</w:t>
      </w:r>
    </w:p>
    <w:p w14:paraId="4A96453A" w14:textId="77777777" w:rsidR="001A4860" w:rsidRPr="001A4860" w:rsidRDefault="001A4860" w:rsidP="001A4860">
      <w:pPr>
        <w:rPr>
          <w:sz w:val="22"/>
          <w:szCs w:val="22"/>
          <w:lang w:val="es-ES" w:eastAsia="es-ES"/>
        </w:rPr>
      </w:pPr>
      <w:r w:rsidRPr="001A4860">
        <w:rPr>
          <w:sz w:val="22"/>
          <w:szCs w:val="22"/>
          <w:lang w:val="es-ES" w:eastAsia="es-ES"/>
        </w:rPr>
        <w:t>iv)</w:t>
      </w:r>
      <w:r w:rsidRPr="001A4860">
        <w:rPr>
          <w:sz w:val="22"/>
          <w:szCs w:val="22"/>
          <w:lang w:val="es-ES" w:eastAsia="es-ES"/>
        </w:rPr>
        <w:tab/>
        <w:t>Dispone de una escotilla con tapa, en el techo, lo suficientemente grande que permita el ingreso de una persona para limpieza y reparaciones necesarias.</w:t>
      </w:r>
    </w:p>
    <w:p w14:paraId="01EA8E20" w14:textId="77777777" w:rsidR="001A4860" w:rsidRPr="001A4860" w:rsidRDefault="001A4860" w:rsidP="001A4860">
      <w:pPr>
        <w:rPr>
          <w:sz w:val="22"/>
          <w:szCs w:val="22"/>
          <w:lang w:val="es-ES" w:eastAsia="es-ES"/>
        </w:rPr>
      </w:pPr>
      <w:r w:rsidRPr="001A4860">
        <w:rPr>
          <w:sz w:val="22"/>
          <w:szCs w:val="22"/>
          <w:lang w:val="es-ES" w:eastAsia="es-ES"/>
        </w:rPr>
        <w:t>v)</w:t>
      </w:r>
      <w:r w:rsidRPr="001A4860">
        <w:rPr>
          <w:sz w:val="22"/>
          <w:szCs w:val="22"/>
          <w:lang w:val="es-ES" w:eastAsia="es-ES"/>
        </w:rPr>
        <w:tab/>
        <w:t xml:space="preserve">Posee escalera interna y externa para el acceso. </w:t>
      </w:r>
    </w:p>
    <w:p w14:paraId="1E5B231D" w14:textId="77777777" w:rsidR="001A4860" w:rsidRPr="001A4860" w:rsidRDefault="001A4860" w:rsidP="001A4860">
      <w:pPr>
        <w:rPr>
          <w:sz w:val="22"/>
          <w:szCs w:val="22"/>
          <w:lang w:val="es-ES" w:eastAsia="es-ES"/>
        </w:rPr>
      </w:pPr>
      <w:r w:rsidRPr="001A4860">
        <w:rPr>
          <w:sz w:val="22"/>
          <w:szCs w:val="22"/>
          <w:lang w:val="es-ES" w:eastAsia="es-ES"/>
        </w:rPr>
        <w:t>vi)</w:t>
      </w:r>
      <w:r w:rsidRPr="001A4860">
        <w:rPr>
          <w:sz w:val="22"/>
          <w:szCs w:val="22"/>
          <w:lang w:val="es-ES" w:eastAsia="es-ES"/>
        </w:rPr>
        <w:tab/>
        <w:t>La entrada y el rebose están cubiertos de mallas para evitar el ingreso de vectores y otros animales.</w:t>
      </w:r>
    </w:p>
    <w:p w14:paraId="295EDFF0" w14:textId="77777777" w:rsidR="001A4860" w:rsidRPr="001A4860" w:rsidRDefault="001A4860" w:rsidP="001A4860">
      <w:pPr>
        <w:rPr>
          <w:sz w:val="22"/>
          <w:szCs w:val="22"/>
          <w:lang w:val="es-ES" w:eastAsia="es-ES"/>
        </w:rPr>
      </w:pPr>
      <w:r w:rsidRPr="001A4860">
        <w:rPr>
          <w:sz w:val="22"/>
          <w:szCs w:val="22"/>
          <w:lang w:val="es-ES" w:eastAsia="es-ES"/>
        </w:rPr>
        <w:t>vii)</w:t>
      </w:r>
      <w:r w:rsidRPr="001A4860">
        <w:rPr>
          <w:sz w:val="22"/>
          <w:szCs w:val="22"/>
          <w:lang w:val="es-ES" w:eastAsia="es-ES"/>
        </w:rPr>
        <w:tab/>
        <w:t>Respiradero en el techo</w:t>
      </w:r>
    </w:p>
    <w:p w14:paraId="37C1C0D9" w14:textId="77777777" w:rsidR="001A4860" w:rsidRPr="001A4860" w:rsidRDefault="001A4860" w:rsidP="001A4860">
      <w:pPr>
        <w:rPr>
          <w:sz w:val="22"/>
          <w:szCs w:val="22"/>
          <w:lang w:val="es-ES" w:eastAsia="es-ES"/>
        </w:rPr>
      </w:pPr>
      <w:r w:rsidRPr="001A4860">
        <w:rPr>
          <w:sz w:val="22"/>
          <w:szCs w:val="22"/>
          <w:lang w:val="es-ES" w:eastAsia="es-ES"/>
        </w:rPr>
        <w:t>viii)</w:t>
      </w:r>
      <w:r w:rsidRPr="001A4860">
        <w:rPr>
          <w:sz w:val="22"/>
          <w:szCs w:val="22"/>
          <w:lang w:val="es-ES" w:eastAsia="es-ES"/>
        </w:rPr>
        <w:tab/>
        <w:t>Tubo de entrada</w:t>
      </w:r>
    </w:p>
    <w:p w14:paraId="1F100353" w14:textId="77777777" w:rsidR="001A4860" w:rsidRPr="001A4860" w:rsidRDefault="001A4860" w:rsidP="001A4860">
      <w:pPr>
        <w:rPr>
          <w:sz w:val="22"/>
          <w:szCs w:val="22"/>
          <w:lang w:val="es-ES" w:eastAsia="es-ES"/>
        </w:rPr>
      </w:pPr>
      <w:r w:rsidRPr="001A4860">
        <w:rPr>
          <w:sz w:val="22"/>
          <w:szCs w:val="22"/>
          <w:lang w:val="es-ES" w:eastAsia="es-ES"/>
        </w:rPr>
        <w:t>ix)</w:t>
      </w:r>
      <w:r w:rsidRPr="001A4860">
        <w:rPr>
          <w:sz w:val="22"/>
          <w:szCs w:val="22"/>
          <w:lang w:val="es-ES" w:eastAsia="es-ES"/>
        </w:rPr>
        <w:tab/>
        <w:t>Tubo de salida</w:t>
      </w:r>
    </w:p>
    <w:p w14:paraId="445C4D5C" w14:textId="77777777" w:rsidR="001A4860" w:rsidRPr="001A4860" w:rsidRDefault="001A4860" w:rsidP="001A4860">
      <w:pPr>
        <w:rPr>
          <w:sz w:val="22"/>
          <w:szCs w:val="22"/>
          <w:lang w:val="es-ES" w:eastAsia="es-ES"/>
        </w:rPr>
      </w:pPr>
      <w:r w:rsidRPr="001A4860">
        <w:rPr>
          <w:sz w:val="22"/>
          <w:szCs w:val="22"/>
          <w:lang w:val="es-ES" w:eastAsia="es-ES"/>
        </w:rPr>
        <w:t>x)</w:t>
      </w:r>
      <w:r w:rsidRPr="001A4860">
        <w:rPr>
          <w:sz w:val="22"/>
          <w:szCs w:val="22"/>
          <w:lang w:val="es-ES" w:eastAsia="es-ES"/>
        </w:rPr>
        <w:tab/>
        <w:t>Tubo de limpieza</w:t>
      </w:r>
    </w:p>
    <w:p w14:paraId="2410A3D5" w14:textId="77777777" w:rsidR="001A4860" w:rsidRPr="001A4860" w:rsidRDefault="001A4860" w:rsidP="001A4860">
      <w:pPr>
        <w:rPr>
          <w:sz w:val="22"/>
          <w:szCs w:val="22"/>
          <w:lang w:val="es-ES" w:eastAsia="es-ES"/>
        </w:rPr>
      </w:pPr>
      <w:r w:rsidRPr="001A4860">
        <w:rPr>
          <w:sz w:val="22"/>
          <w:szCs w:val="22"/>
          <w:lang w:val="es-ES" w:eastAsia="es-ES"/>
        </w:rPr>
        <w:t>xi)</w:t>
      </w:r>
      <w:r w:rsidRPr="001A4860">
        <w:rPr>
          <w:sz w:val="22"/>
          <w:szCs w:val="22"/>
          <w:lang w:val="es-ES" w:eastAsia="es-ES"/>
        </w:rPr>
        <w:tab/>
        <w:t>Indicador de nivel</w:t>
      </w:r>
    </w:p>
    <w:p w14:paraId="2D69DAF4" w14:textId="77777777" w:rsidR="001A4860" w:rsidRPr="001A4860" w:rsidRDefault="001A4860" w:rsidP="001A4860">
      <w:pPr>
        <w:rPr>
          <w:sz w:val="22"/>
          <w:szCs w:val="22"/>
          <w:lang w:val="es-ES" w:eastAsia="es-ES"/>
        </w:rPr>
      </w:pPr>
      <w:r w:rsidRPr="001A4860">
        <w:rPr>
          <w:sz w:val="22"/>
          <w:szCs w:val="22"/>
          <w:lang w:val="es-ES" w:eastAsia="es-ES"/>
        </w:rPr>
        <w:t>xii)</w:t>
      </w:r>
      <w:r w:rsidRPr="001A4860">
        <w:rPr>
          <w:sz w:val="22"/>
          <w:szCs w:val="22"/>
          <w:lang w:val="es-ES" w:eastAsia="es-ES"/>
        </w:rPr>
        <w:tab/>
        <w:t>Drenaje predial.</w:t>
      </w:r>
    </w:p>
    <w:p w14:paraId="51017B70" w14:textId="77777777" w:rsidR="001A4860" w:rsidRPr="001A4860" w:rsidRDefault="001A4860" w:rsidP="001A4860">
      <w:pPr>
        <w:rPr>
          <w:sz w:val="22"/>
          <w:szCs w:val="22"/>
          <w:lang w:val="es-ES" w:eastAsia="es-ES"/>
        </w:rPr>
      </w:pPr>
      <w:r w:rsidRPr="001A4860">
        <w:rPr>
          <w:sz w:val="22"/>
          <w:szCs w:val="22"/>
          <w:lang w:val="es-ES" w:eastAsia="es-ES"/>
        </w:rPr>
        <w:t>xiii)</w:t>
      </w:r>
      <w:r w:rsidRPr="001A4860">
        <w:rPr>
          <w:sz w:val="22"/>
          <w:szCs w:val="22"/>
          <w:lang w:val="es-ES" w:eastAsia="es-ES"/>
        </w:rPr>
        <w:tab/>
        <w:t>By pass.</w:t>
      </w:r>
    </w:p>
    <w:p w14:paraId="40E94563" w14:textId="77777777" w:rsidR="001A4860" w:rsidRPr="001A4860" w:rsidRDefault="001A4860" w:rsidP="001A4860">
      <w:pPr>
        <w:rPr>
          <w:sz w:val="22"/>
          <w:szCs w:val="22"/>
          <w:lang w:val="es-ES" w:eastAsia="es-ES"/>
        </w:rPr>
      </w:pPr>
    </w:p>
    <w:p w14:paraId="5017CEAA" w14:textId="77777777" w:rsidR="001A4860" w:rsidRPr="001A4860" w:rsidRDefault="001A4860" w:rsidP="001A4860">
      <w:pPr>
        <w:keepNext/>
        <w:outlineLvl w:val="1"/>
        <w:rPr>
          <w:rFonts w:eastAsia="Arial Narrow"/>
          <w:b/>
          <w:bCs/>
          <w:iCs/>
          <w:sz w:val="22"/>
          <w:szCs w:val="22"/>
          <w:lang w:val="es-NI"/>
        </w:rPr>
      </w:pPr>
      <w:bookmarkStart w:id="796" w:name="_Toc23249397"/>
      <w:r w:rsidRPr="001A4860">
        <w:rPr>
          <w:rFonts w:eastAsia="Arial Narrow"/>
          <w:b/>
          <w:bCs/>
          <w:iCs/>
          <w:sz w:val="22"/>
          <w:szCs w:val="22"/>
          <w:lang w:val="es-NI"/>
        </w:rPr>
        <w:t>Válvula de control de nivel para tanques de almacenamiento</w:t>
      </w:r>
      <w:bookmarkEnd w:id="796"/>
    </w:p>
    <w:p w14:paraId="3C603895" w14:textId="77777777" w:rsidR="001A4860" w:rsidRPr="001A4860" w:rsidRDefault="001A4860" w:rsidP="001A4860">
      <w:pPr>
        <w:rPr>
          <w:sz w:val="22"/>
          <w:szCs w:val="22"/>
          <w:lang w:val="es-ES" w:eastAsia="es-ES"/>
        </w:rPr>
      </w:pPr>
    </w:p>
    <w:p w14:paraId="52678A63" w14:textId="77777777" w:rsidR="001A4860" w:rsidRPr="001A4860" w:rsidRDefault="001A4860" w:rsidP="001A4860">
      <w:pPr>
        <w:spacing w:before="84"/>
        <w:ind w:right="49"/>
        <w:rPr>
          <w:sz w:val="22"/>
          <w:szCs w:val="22"/>
          <w:lang w:val="es-ES" w:eastAsia="es-ES"/>
        </w:rPr>
      </w:pPr>
      <w:r w:rsidRPr="001A4860">
        <w:rPr>
          <w:sz w:val="22"/>
          <w:szCs w:val="22"/>
          <w:lang w:val="es-ES" w:eastAsia="es-ES"/>
        </w:rPr>
        <w:t>Las características de las válvulas permiten controlar el llenado de los tanques e interrumpirlo cuando el mismo alcance su nivel máximo evitando el desborde del agua a través del rebosadero.</w:t>
      </w:r>
    </w:p>
    <w:p w14:paraId="6934E522" w14:textId="77777777" w:rsidR="001A4860" w:rsidRPr="001A4860" w:rsidRDefault="001A4860" w:rsidP="001A4860">
      <w:pPr>
        <w:spacing w:before="2"/>
        <w:ind w:right="53"/>
        <w:rPr>
          <w:sz w:val="22"/>
          <w:szCs w:val="22"/>
          <w:lang w:val="es-ES" w:eastAsia="es-ES"/>
        </w:rPr>
      </w:pPr>
      <w:r w:rsidRPr="001A4860">
        <w:rPr>
          <w:sz w:val="22"/>
          <w:szCs w:val="22"/>
          <w:lang w:val="es-ES" w:eastAsia="es-ES"/>
        </w:rPr>
        <w:t>Los componentes de la válvula son el cuerpo de hierro fundido según norma 2531, con extremo bridado ISO PN 16, protegida exterior e interiormente con un revestimiento epóxico.</w:t>
      </w:r>
    </w:p>
    <w:p w14:paraId="2D473C25" w14:textId="77777777" w:rsidR="001A4860" w:rsidRPr="001A4860" w:rsidRDefault="001A4860" w:rsidP="001A4860">
      <w:pPr>
        <w:spacing w:before="34" w:line="278" w:lineRule="auto"/>
        <w:ind w:right="50"/>
        <w:rPr>
          <w:sz w:val="22"/>
          <w:szCs w:val="22"/>
          <w:lang w:val="es-ES" w:eastAsia="es-ES"/>
        </w:rPr>
      </w:pPr>
      <w:r w:rsidRPr="001A4860">
        <w:rPr>
          <w:sz w:val="22"/>
          <w:szCs w:val="22"/>
          <w:lang w:val="es-ES" w:eastAsia="es-ES"/>
        </w:rPr>
        <w:t>La válvula es del tipo Y de flujo de dos vías, con accionador doble cámara compuesto por disco de cierre, eje de válvula y rodamiento, además debe estar provisto de indicador de posición y una válvula de aguja para regular su velocidad de cierre.</w:t>
      </w:r>
    </w:p>
    <w:p w14:paraId="20DB1569" w14:textId="77777777" w:rsidR="001A4860" w:rsidRPr="001A4860" w:rsidRDefault="001A4860" w:rsidP="001A4860">
      <w:pPr>
        <w:rPr>
          <w:sz w:val="22"/>
          <w:szCs w:val="22"/>
          <w:lang w:val="es-ES" w:eastAsia="es-ES"/>
        </w:rPr>
      </w:pPr>
      <w:r w:rsidRPr="001A4860">
        <w:rPr>
          <w:sz w:val="22"/>
          <w:szCs w:val="22"/>
          <w:lang w:val="es-ES" w:eastAsia="es-ES"/>
        </w:rPr>
        <w:t>Esta válvula debe ser suministrada por el Contratista con todos los elementos necesarios para su correcta instalación y funcionamiento.</w:t>
      </w:r>
    </w:p>
    <w:p w14:paraId="0FD118F1" w14:textId="77777777" w:rsidR="001A4860" w:rsidRPr="001A4860" w:rsidRDefault="001A4860" w:rsidP="001A4860">
      <w:pPr>
        <w:rPr>
          <w:sz w:val="22"/>
          <w:szCs w:val="22"/>
          <w:lang w:val="es-ES" w:eastAsia="es-ES"/>
        </w:rPr>
      </w:pPr>
    </w:p>
    <w:p w14:paraId="63B68714" w14:textId="77777777" w:rsidR="001A4860" w:rsidRPr="001A4860" w:rsidRDefault="001A4860" w:rsidP="001A4860">
      <w:pPr>
        <w:keepNext/>
        <w:outlineLvl w:val="1"/>
        <w:rPr>
          <w:rFonts w:eastAsia="Arial Narrow"/>
          <w:b/>
          <w:bCs/>
          <w:iCs/>
          <w:sz w:val="22"/>
          <w:szCs w:val="22"/>
          <w:lang w:val="es-NI"/>
        </w:rPr>
      </w:pPr>
      <w:bookmarkStart w:id="797" w:name="_Toc23249398"/>
      <w:r w:rsidRPr="001A4860">
        <w:rPr>
          <w:rFonts w:eastAsia="Arial Narrow"/>
          <w:b/>
          <w:bCs/>
          <w:iCs/>
          <w:sz w:val="22"/>
          <w:szCs w:val="22"/>
          <w:lang w:val="es-NI"/>
        </w:rPr>
        <w:t>Pintura Tanques de concreto</w:t>
      </w:r>
      <w:bookmarkEnd w:id="797"/>
    </w:p>
    <w:p w14:paraId="6C68E693" w14:textId="77777777" w:rsidR="001A4860" w:rsidRPr="001A4860" w:rsidRDefault="001A4860" w:rsidP="001A4860">
      <w:pPr>
        <w:rPr>
          <w:sz w:val="22"/>
          <w:szCs w:val="22"/>
          <w:lang w:val="es-ES" w:eastAsia="es-ES"/>
        </w:rPr>
      </w:pPr>
    </w:p>
    <w:p w14:paraId="0F628D37" w14:textId="77777777" w:rsidR="001A4860" w:rsidRPr="001A4860" w:rsidRDefault="001A4860" w:rsidP="001A4860">
      <w:pPr>
        <w:rPr>
          <w:sz w:val="22"/>
          <w:szCs w:val="22"/>
          <w:lang w:val="es-ES" w:eastAsia="es-ES"/>
        </w:rPr>
      </w:pPr>
      <w:r w:rsidRPr="001A4860">
        <w:rPr>
          <w:sz w:val="22"/>
          <w:szCs w:val="22"/>
          <w:lang w:val="es-ES" w:eastAsia="es-ES"/>
        </w:rPr>
        <w:t>El trabajo a ejecutarse bajo este rubro comprende el suministro de equipo, herramientas, mano de obra, transporte y materiales necesarios para llevar a cabo la pintura de los sitios indicados en los planos, de acuerdo con lo estipulado en estas especificaciones.</w:t>
      </w:r>
    </w:p>
    <w:p w14:paraId="52D03B8A" w14:textId="77777777" w:rsidR="001A4860" w:rsidRPr="001A4860" w:rsidRDefault="001A4860" w:rsidP="001A4860">
      <w:pPr>
        <w:rPr>
          <w:sz w:val="22"/>
          <w:szCs w:val="22"/>
          <w:lang w:val="es-ES" w:eastAsia="es-ES"/>
        </w:rPr>
      </w:pPr>
    </w:p>
    <w:p w14:paraId="1988FEB1" w14:textId="77777777" w:rsidR="001A4860" w:rsidRPr="001A4860" w:rsidRDefault="001A4860" w:rsidP="001A4860">
      <w:pPr>
        <w:rPr>
          <w:sz w:val="22"/>
          <w:szCs w:val="22"/>
          <w:lang w:val="es-ES" w:eastAsia="es-ES"/>
        </w:rPr>
      </w:pPr>
      <w:r w:rsidRPr="001A4860">
        <w:rPr>
          <w:sz w:val="22"/>
          <w:szCs w:val="22"/>
          <w:lang w:val="es-ES" w:eastAsia="es-ES"/>
        </w:rPr>
        <w:t>Los sitios a pintarse bajo estas especificaciones incluyen lo siguiente:</w:t>
      </w:r>
    </w:p>
    <w:p w14:paraId="379F92CF" w14:textId="77777777" w:rsidR="001A4860" w:rsidRPr="001A4860" w:rsidRDefault="001A4860" w:rsidP="001A4860">
      <w:pPr>
        <w:rPr>
          <w:sz w:val="22"/>
          <w:szCs w:val="22"/>
          <w:lang w:val="es-ES" w:eastAsia="es-ES"/>
        </w:rPr>
      </w:pPr>
      <w:r w:rsidRPr="001A4860">
        <w:rPr>
          <w:sz w:val="22"/>
          <w:szCs w:val="22"/>
          <w:lang w:val="es-ES" w:eastAsia="es-ES"/>
        </w:rPr>
        <w:t>-    Paredes Interiores</w:t>
      </w:r>
    </w:p>
    <w:p w14:paraId="7FCFE61D" w14:textId="77777777" w:rsidR="001A4860" w:rsidRPr="001A4860" w:rsidRDefault="001A4860" w:rsidP="001A4860">
      <w:pPr>
        <w:rPr>
          <w:sz w:val="22"/>
          <w:szCs w:val="22"/>
          <w:lang w:val="es-ES" w:eastAsia="es-ES"/>
        </w:rPr>
      </w:pPr>
      <w:r w:rsidRPr="001A4860">
        <w:rPr>
          <w:sz w:val="22"/>
          <w:szCs w:val="22"/>
          <w:lang w:val="es-ES" w:eastAsia="es-ES"/>
        </w:rPr>
        <w:t>-    Paredes exteriores</w:t>
      </w:r>
    </w:p>
    <w:p w14:paraId="65BBDB59" w14:textId="77777777" w:rsidR="001A4860" w:rsidRPr="001A4860" w:rsidRDefault="001A4860" w:rsidP="001A4860">
      <w:pPr>
        <w:rPr>
          <w:sz w:val="22"/>
          <w:szCs w:val="22"/>
          <w:lang w:val="es-ES" w:eastAsia="es-ES"/>
        </w:rPr>
      </w:pPr>
      <w:r w:rsidRPr="001A4860">
        <w:rPr>
          <w:sz w:val="22"/>
          <w:szCs w:val="22"/>
          <w:lang w:val="es-ES" w:eastAsia="es-ES"/>
        </w:rPr>
        <w:t>-    Escaleras, sartas de válvulas y tuberías metálicas de conexión de tanque</w:t>
      </w:r>
    </w:p>
    <w:p w14:paraId="72DAC610" w14:textId="77777777" w:rsidR="001A4860" w:rsidRPr="001A4860" w:rsidRDefault="001A4860" w:rsidP="001A4860">
      <w:pPr>
        <w:rPr>
          <w:sz w:val="22"/>
          <w:szCs w:val="22"/>
          <w:lang w:val="es-ES" w:eastAsia="es-ES"/>
        </w:rPr>
      </w:pPr>
    </w:p>
    <w:p w14:paraId="4DED40C2" w14:textId="77777777" w:rsidR="001A4860" w:rsidRPr="001A4860" w:rsidRDefault="001A4860" w:rsidP="001A4860">
      <w:pPr>
        <w:keepNext/>
        <w:ind w:left="720" w:hanging="720"/>
        <w:outlineLvl w:val="2"/>
        <w:rPr>
          <w:rFonts w:eastAsia="Arial Narrow"/>
          <w:b/>
          <w:bCs/>
          <w:iCs/>
          <w:sz w:val="22"/>
          <w:szCs w:val="22"/>
          <w:lang w:val="es-ES" w:bidi="en-US"/>
        </w:rPr>
      </w:pPr>
      <w:bookmarkStart w:id="798" w:name="_Toc23249399"/>
      <w:r w:rsidRPr="001A4860">
        <w:rPr>
          <w:rFonts w:eastAsia="Arial Narrow"/>
          <w:b/>
          <w:bCs/>
          <w:iCs/>
          <w:sz w:val="22"/>
          <w:szCs w:val="22"/>
          <w:lang w:val="es-ES" w:bidi="en-US"/>
        </w:rPr>
        <w:t>Inspección de superficies</w:t>
      </w:r>
      <w:bookmarkEnd w:id="798"/>
    </w:p>
    <w:p w14:paraId="21DA3084" w14:textId="77777777" w:rsidR="001A4860" w:rsidRPr="001A4860" w:rsidRDefault="001A4860" w:rsidP="001A4860">
      <w:pPr>
        <w:rPr>
          <w:sz w:val="22"/>
          <w:szCs w:val="22"/>
          <w:lang w:val="es-ES" w:eastAsia="es-ES"/>
        </w:rPr>
      </w:pPr>
    </w:p>
    <w:p w14:paraId="4A83E9DB" w14:textId="77777777" w:rsidR="001A4860" w:rsidRPr="001A4860" w:rsidRDefault="001A4860" w:rsidP="001A4860">
      <w:pPr>
        <w:rPr>
          <w:sz w:val="22"/>
          <w:szCs w:val="22"/>
          <w:lang w:val="es-ES" w:eastAsia="es-ES"/>
        </w:rPr>
      </w:pPr>
      <w:r w:rsidRPr="001A4860">
        <w:rPr>
          <w:sz w:val="22"/>
          <w:szCs w:val="22"/>
          <w:lang w:val="es-ES" w:eastAsia="es-ES"/>
        </w:rPr>
        <w:t>Antes de iniciar el trabajo de pintura, el Contratista debe inspeccionar cuidadosamente todas las superficies que deben ser pintadas y no procede con el mismo si existen condiciones que pudieran afectar su calidad. No se</w:t>
      </w:r>
    </w:p>
    <w:p w14:paraId="41AF4F59" w14:textId="77777777" w:rsidR="001A4860" w:rsidRPr="001A4860" w:rsidRDefault="001A4860" w:rsidP="001A4860">
      <w:pPr>
        <w:rPr>
          <w:sz w:val="22"/>
          <w:szCs w:val="22"/>
          <w:lang w:val="es-ES" w:eastAsia="es-ES"/>
        </w:rPr>
      </w:pPr>
    </w:p>
    <w:p w14:paraId="7D83EC89" w14:textId="77777777" w:rsidR="001A4860" w:rsidRPr="001A4860" w:rsidRDefault="001A4860" w:rsidP="001A4860">
      <w:pPr>
        <w:rPr>
          <w:sz w:val="22"/>
          <w:szCs w:val="22"/>
          <w:lang w:val="es-ES" w:eastAsia="es-ES"/>
        </w:rPr>
      </w:pPr>
      <w:r w:rsidRPr="001A4860">
        <w:rPr>
          <w:sz w:val="22"/>
          <w:szCs w:val="22"/>
          <w:lang w:val="es-ES" w:eastAsia="es-ES"/>
        </w:rPr>
        <w:t>debe proceder a pintar o acabar superficies que muestren rugosidades, ondulaciones, rizamientos, manchas, descoloraciones y otras imperfecciones</w:t>
      </w:r>
    </w:p>
    <w:p w14:paraId="4916307E" w14:textId="77777777" w:rsidR="001A4860" w:rsidRPr="001A4860" w:rsidRDefault="001A4860" w:rsidP="001A4860">
      <w:pPr>
        <w:rPr>
          <w:sz w:val="22"/>
          <w:szCs w:val="22"/>
          <w:lang w:val="es-ES" w:eastAsia="es-ES"/>
        </w:rPr>
      </w:pPr>
    </w:p>
    <w:p w14:paraId="734F1AD3" w14:textId="77777777" w:rsidR="001A4860" w:rsidRPr="001A4860" w:rsidRDefault="001A4860" w:rsidP="001A4860">
      <w:pPr>
        <w:rPr>
          <w:sz w:val="22"/>
          <w:szCs w:val="22"/>
          <w:lang w:val="es-ES" w:eastAsia="es-ES"/>
        </w:rPr>
      </w:pPr>
      <w:r w:rsidRPr="001A4860">
        <w:rPr>
          <w:sz w:val="22"/>
          <w:szCs w:val="22"/>
          <w:lang w:val="es-ES" w:eastAsia="es-ES"/>
        </w:rPr>
        <w:lastRenderedPageBreak/>
        <w:t>Todo el trabajo debe ser ejecutado por personal especializado en este tipo de trabajo y de acuerdo con las instrucciones y especificaciones del fabricante. Todo el material debe aplicarse de manera uniforme, sin derrames del mismo sobre las superficies ya pintadas y sin manchas, parches u otros defectos. Todas las manos de aplicación deben tener una consistencia adecuada, sin dejar marcas de brocha o de rodillo. Todas las brochas o rodillos a emplearse deben ser de la mejor calidad y estar en buenas condiciones. Todos los acabados deben ser uniformes en lustre, color y textura.</w:t>
      </w:r>
    </w:p>
    <w:p w14:paraId="3CC514AD" w14:textId="77777777" w:rsidR="001A4860" w:rsidRPr="001A4860" w:rsidRDefault="001A4860" w:rsidP="001A4860">
      <w:pPr>
        <w:rPr>
          <w:sz w:val="22"/>
          <w:szCs w:val="22"/>
          <w:lang w:val="es-ES" w:eastAsia="es-ES"/>
        </w:rPr>
      </w:pPr>
    </w:p>
    <w:p w14:paraId="6FB70CC8" w14:textId="77777777" w:rsidR="001A4860" w:rsidRPr="001A4860" w:rsidRDefault="001A4860" w:rsidP="001A4860">
      <w:pPr>
        <w:keepNext/>
        <w:ind w:left="720" w:hanging="720"/>
        <w:outlineLvl w:val="2"/>
        <w:rPr>
          <w:rFonts w:eastAsia="Arial Narrow"/>
          <w:b/>
          <w:bCs/>
          <w:iCs/>
          <w:sz w:val="22"/>
          <w:szCs w:val="22"/>
          <w:lang w:val="es-ES" w:bidi="en-US"/>
        </w:rPr>
      </w:pPr>
      <w:bookmarkStart w:id="799" w:name="_Toc23249400"/>
      <w:r w:rsidRPr="001A4860">
        <w:rPr>
          <w:rFonts w:eastAsia="Arial Narrow"/>
          <w:b/>
          <w:bCs/>
          <w:iCs/>
          <w:sz w:val="22"/>
          <w:szCs w:val="22"/>
          <w:lang w:val="es-ES" w:bidi="en-US"/>
        </w:rPr>
        <w:t>Preparación de la superficie:</w:t>
      </w:r>
      <w:bookmarkEnd w:id="799"/>
    </w:p>
    <w:p w14:paraId="5C724FFD" w14:textId="77777777" w:rsidR="001A4860" w:rsidRPr="001A4860" w:rsidRDefault="001A4860" w:rsidP="001A4860">
      <w:pPr>
        <w:rPr>
          <w:sz w:val="22"/>
          <w:szCs w:val="22"/>
          <w:lang w:val="es-ES" w:eastAsia="es-ES"/>
        </w:rPr>
      </w:pPr>
      <w:r w:rsidRPr="001A4860">
        <w:rPr>
          <w:sz w:val="22"/>
          <w:szCs w:val="22"/>
          <w:lang w:val="es-ES" w:eastAsia="es-ES"/>
        </w:rPr>
        <w:t>Todas las superficies en las cuales se aplica pintura, deben estar secas y limpias antes de la aplicación. Cada mano de pintura debe secarse por lo menos veinticuatro (24) horas antes de aplicar la siguiente mano.</w:t>
      </w:r>
    </w:p>
    <w:p w14:paraId="28737627" w14:textId="77777777" w:rsidR="001A4860" w:rsidRPr="001A4860" w:rsidRDefault="001A4860" w:rsidP="001A4860">
      <w:pPr>
        <w:rPr>
          <w:sz w:val="22"/>
          <w:szCs w:val="22"/>
          <w:lang w:val="es-ES" w:eastAsia="es-ES"/>
        </w:rPr>
      </w:pPr>
    </w:p>
    <w:p w14:paraId="70887674" w14:textId="77777777" w:rsidR="001A4860" w:rsidRPr="001A4860" w:rsidRDefault="001A4860" w:rsidP="001A4860">
      <w:pPr>
        <w:rPr>
          <w:sz w:val="22"/>
          <w:szCs w:val="22"/>
          <w:lang w:val="es-ES" w:eastAsia="es-ES"/>
        </w:rPr>
      </w:pPr>
      <w:r w:rsidRPr="001A4860">
        <w:rPr>
          <w:sz w:val="22"/>
          <w:szCs w:val="22"/>
          <w:lang w:val="es-ES" w:eastAsia="es-ES"/>
        </w:rPr>
        <w:t>Toda superficie que se vaya a pintar, debe ser barrida con escoba previamente, y se debe retirar de la misma todo el polvo, suciedad, asperezas, grasas y otras materias o sustancias que puedan afectar la calidad del trabajo. Además de las precauciones anteriores, se deben seguir las recomendaciones del fabricante respecto a la preparación de las superficies.</w:t>
      </w:r>
    </w:p>
    <w:p w14:paraId="3E353A80" w14:textId="77777777" w:rsidR="001A4860" w:rsidRPr="001A4860" w:rsidRDefault="001A4860" w:rsidP="001A4860">
      <w:pPr>
        <w:rPr>
          <w:sz w:val="22"/>
          <w:szCs w:val="22"/>
          <w:lang w:val="es-ES" w:eastAsia="es-ES"/>
        </w:rPr>
      </w:pPr>
    </w:p>
    <w:p w14:paraId="1B120BCE" w14:textId="77777777" w:rsidR="001A4860" w:rsidRPr="001A4860" w:rsidRDefault="001A4860" w:rsidP="001A4860">
      <w:pPr>
        <w:rPr>
          <w:sz w:val="22"/>
          <w:szCs w:val="22"/>
          <w:lang w:val="es-ES" w:eastAsia="es-ES"/>
        </w:rPr>
      </w:pPr>
      <w:r w:rsidRPr="001A4860">
        <w:rPr>
          <w:sz w:val="22"/>
          <w:szCs w:val="22"/>
          <w:lang w:val="es-ES" w:eastAsia="es-ES"/>
        </w:rPr>
        <w:t>No se permitirá ejecutar trabajo de pintura, bajo condiciones ambientales de humedad extrema.</w:t>
      </w:r>
    </w:p>
    <w:p w14:paraId="1E5BA65E" w14:textId="77777777" w:rsidR="001A4860" w:rsidRPr="001A4860" w:rsidRDefault="001A4860" w:rsidP="001A4860">
      <w:pPr>
        <w:rPr>
          <w:sz w:val="22"/>
          <w:szCs w:val="22"/>
          <w:lang w:val="es-ES" w:eastAsia="es-ES"/>
        </w:rPr>
      </w:pPr>
    </w:p>
    <w:p w14:paraId="3D0A3765" w14:textId="77777777" w:rsidR="001A4860" w:rsidRPr="001A4860" w:rsidRDefault="001A4860" w:rsidP="001A4860">
      <w:pPr>
        <w:rPr>
          <w:sz w:val="22"/>
          <w:szCs w:val="22"/>
          <w:lang w:val="es-ES" w:eastAsia="es-ES"/>
        </w:rPr>
      </w:pPr>
      <w:r w:rsidRPr="001A4860">
        <w:rPr>
          <w:sz w:val="22"/>
          <w:szCs w:val="22"/>
          <w:lang w:val="es-ES" w:eastAsia="es-ES"/>
        </w:rPr>
        <w:t>En las superficies de metal a pintarse, el Contratista debe retirar previamente toda la tierra y grasa con aguarrás o con gasolina. Igualmente raspará toda traza de material oxidado o de pintura anterior, hasta dejar expuesto el metal, usando para ello papel de lija o cepillo de alambre. Si fuese necesario, el Contratista retocará todos estos defectos con el imprimador respectivo y luego los limpiará antes de pintarlos.</w:t>
      </w:r>
    </w:p>
    <w:p w14:paraId="4BFBEFF6" w14:textId="77777777" w:rsidR="001A4860" w:rsidRPr="001A4860" w:rsidRDefault="001A4860" w:rsidP="001A4860">
      <w:pPr>
        <w:rPr>
          <w:sz w:val="22"/>
          <w:szCs w:val="22"/>
          <w:lang w:val="es-ES" w:eastAsia="es-ES"/>
        </w:rPr>
      </w:pPr>
    </w:p>
    <w:p w14:paraId="1B319B24" w14:textId="77777777" w:rsidR="001A4860" w:rsidRPr="001A4860" w:rsidRDefault="001A4860" w:rsidP="001A4860">
      <w:pPr>
        <w:keepNext/>
        <w:ind w:left="720" w:hanging="720"/>
        <w:outlineLvl w:val="2"/>
        <w:rPr>
          <w:rFonts w:eastAsia="Arial Narrow"/>
          <w:b/>
          <w:bCs/>
          <w:iCs/>
          <w:sz w:val="22"/>
          <w:szCs w:val="22"/>
          <w:lang w:val="es-ES" w:bidi="en-US"/>
        </w:rPr>
      </w:pPr>
      <w:bookmarkStart w:id="800" w:name="_Toc23249401"/>
      <w:r w:rsidRPr="001A4860">
        <w:rPr>
          <w:rFonts w:eastAsia="Arial Narrow"/>
          <w:b/>
          <w:bCs/>
          <w:iCs/>
          <w:sz w:val="22"/>
          <w:szCs w:val="22"/>
          <w:lang w:val="es-ES" w:bidi="en-US"/>
        </w:rPr>
        <w:t>Protección</w:t>
      </w:r>
      <w:bookmarkEnd w:id="800"/>
    </w:p>
    <w:p w14:paraId="591987B2" w14:textId="77777777" w:rsidR="001A4860" w:rsidRPr="001A4860" w:rsidRDefault="001A4860" w:rsidP="001A4860">
      <w:pPr>
        <w:rPr>
          <w:sz w:val="22"/>
          <w:szCs w:val="22"/>
          <w:lang w:val="es-ES" w:eastAsia="es-ES"/>
        </w:rPr>
      </w:pPr>
      <w:r w:rsidRPr="001A4860">
        <w:rPr>
          <w:sz w:val="22"/>
          <w:szCs w:val="22"/>
          <w:lang w:val="es-ES" w:eastAsia="es-ES"/>
        </w:rPr>
        <w:t>El Contratista debe suministrar y colocar coberturas en todas las áreas en donde se esté haciendo trabajo de pintura, con el objeto de proteger de daños los pisos y otros ambientes. El Contratista es responsable de limpiar toda pintura que se haya derramado o salpicado, y de reparar las superficies dañadas, incluyendo artefactos, muebles, etc. de forma satisfactoria para el Supervisor.</w:t>
      </w:r>
    </w:p>
    <w:p w14:paraId="4377ACC7" w14:textId="77777777" w:rsidR="001A4860" w:rsidRPr="001A4860" w:rsidRDefault="001A4860" w:rsidP="001A4860">
      <w:pPr>
        <w:rPr>
          <w:sz w:val="22"/>
          <w:szCs w:val="22"/>
          <w:lang w:val="es-ES" w:eastAsia="es-ES"/>
        </w:rPr>
      </w:pPr>
    </w:p>
    <w:p w14:paraId="612C2475" w14:textId="77777777" w:rsidR="001A4860" w:rsidRPr="001A4860" w:rsidRDefault="001A4860" w:rsidP="001A4860">
      <w:pPr>
        <w:keepNext/>
        <w:ind w:left="720" w:hanging="720"/>
        <w:outlineLvl w:val="2"/>
        <w:rPr>
          <w:rFonts w:eastAsia="Arial Narrow"/>
          <w:b/>
          <w:bCs/>
          <w:iCs/>
          <w:sz w:val="22"/>
          <w:szCs w:val="22"/>
          <w:lang w:val="es-ES" w:bidi="en-US"/>
        </w:rPr>
      </w:pPr>
      <w:bookmarkStart w:id="801" w:name="_Toc23249402"/>
      <w:r w:rsidRPr="001A4860">
        <w:rPr>
          <w:rFonts w:eastAsia="Arial Narrow"/>
          <w:b/>
          <w:bCs/>
          <w:iCs/>
          <w:sz w:val="22"/>
          <w:szCs w:val="22"/>
          <w:lang w:val="es-ES" w:bidi="en-US"/>
        </w:rPr>
        <w:t>Aplicación</w:t>
      </w:r>
      <w:bookmarkEnd w:id="801"/>
    </w:p>
    <w:p w14:paraId="757F985C" w14:textId="77777777" w:rsidR="001A4860" w:rsidRPr="001A4860" w:rsidRDefault="001A4860" w:rsidP="001A4860">
      <w:pPr>
        <w:rPr>
          <w:sz w:val="22"/>
          <w:szCs w:val="22"/>
          <w:lang w:val="es-ES" w:eastAsia="es-ES"/>
        </w:rPr>
      </w:pPr>
      <w:r w:rsidRPr="001A4860">
        <w:rPr>
          <w:sz w:val="22"/>
          <w:szCs w:val="22"/>
          <w:lang w:val="es-ES" w:eastAsia="es-ES"/>
        </w:rPr>
        <w:t>30 días posteriores al acabado final se procede a aplicar la pintura a las superficies internas, exteriores y partes metálica de los tanques.</w:t>
      </w:r>
    </w:p>
    <w:p w14:paraId="3B04E4ED" w14:textId="77777777" w:rsidR="001A4860" w:rsidRPr="001A4860" w:rsidRDefault="001A4860" w:rsidP="001A4860">
      <w:pPr>
        <w:rPr>
          <w:sz w:val="22"/>
          <w:szCs w:val="22"/>
          <w:lang w:val="es-ES" w:eastAsia="es-ES"/>
        </w:rPr>
      </w:pPr>
    </w:p>
    <w:p w14:paraId="45CF3A54" w14:textId="77777777" w:rsidR="001A4860" w:rsidRPr="001A4860" w:rsidRDefault="001A4860" w:rsidP="001A4860">
      <w:pPr>
        <w:rPr>
          <w:sz w:val="22"/>
          <w:szCs w:val="22"/>
          <w:lang w:val="es-ES" w:eastAsia="es-ES"/>
        </w:rPr>
      </w:pPr>
      <w:r w:rsidRPr="001A4860">
        <w:rPr>
          <w:sz w:val="22"/>
          <w:szCs w:val="22"/>
          <w:lang w:val="es-ES" w:eastAsia="es-ES"/>
        </w:rPr>
        <w:t>En superficies internas se aplican:</w:t>
      </w:r>
    </w:p>
    <w:p w14:paraId="39FD8760" w14:textId="77777777" w:rsidR="001A4860" w:rsidRPr="001A4860" w:rsidRDefault="001A4860" w:rsidP="001A4860">
      <w:pPr>
        <w:rPr>
          <w:sz w:val="22"/>
          <w:szCs w:val="22"/>
          <w:lang w:val="es-ES" w:eastAsia="es-ES"/>
        </w:rPr>
      </w:pPr>
      <w:r w:rsidRPr="001A4860">
        <w:rPr>
          <w:sz w:val="22"/>
          <w:szCs w:val="22"/>
          <w:lang w:val="es-ES" w:eastAsia="es-ES"/>
        </w:rPr>
        <w:t>Una mano de sellador compatible con la pintura epóxica y tres (3) manos de pintura epóxica de diferente color cada mano, de calidad aprobada para contacto con agua potable y que garantice la hermeticidad (impermeabilización) del tanque, sobre este particular se señala que es responsabilidad total del contratista entregar un tanque totalmente hermético libre de fugas por lo que debe tener muy en cuenta la calidad del producto a aplicar en las paredes internas de los tanques.</w:t>
      </w:r>
    </w:p>
    <w:p w14:paraId="4E3F4611" w14:textId="77777777" w:rsidR="001A4860" w:rsidRPr="001A4860" w:rsidRDefault="001A4860" w:rsidP="001A4860">
      <w:pPr>
        <w:rPr>
          <w:sz w:val="22"/>
          <w:szCs w:val="22"/>
          <w:lang w:val="es-ES" w:eastAsia="es-ES"/>
        </w:rPr>
      </w:pPr>
    </w:p>
    <w:p w14:paraId="6C6FCBFF" w14:textId="77777777" w:rsidR="001A4860" w:rsidRPr="001A4860" w:rsidRDefault="001A4860" w:rsidP="001A4860">
      <w:pPr>
        <w:rPr>
          <w:sz w:val="22"/>
          <w:szCs w:val="22"/>
          <w:lang w:val="es-ES" w:eastAsia="es-ES"/>
        </w:rPr>
      </w:pPr>
      <w:r w:rsidRPr="001A4860">
        <w:rPr>
          <w:sz w:val="22"/>
          <w:szCs w:val="22"/>
          <w:lang w:val="es-ES" w:eastAsia="es-ES"/>
        </w:rPr>
        <w:t>En superficies externas se aplican:</w:t>
      </w:r>
    </w:p>
    <w:p w14:paraId="17F1DCF7" w14:textId="77777777" w:rsidR="001A4860" w:rsidRPr="001A4860" w:rsidRDefault="001A4860" w:rsidP="001A4860">
      <w:pPr>
        <w:rPr>
          <w:sz w:val="22"/>
          <w:szCs w:val="22"/>
          <w:lang w:val="es-ES" w:eastAsia="es-ES"/>
        </w:rPr>
      </w:pPr>
      <w:r w:rsidRPr="001A4860">
        <w:rPr>
          <w:sz w:val="22"/>
          <w:szCs w:val="22"/>
          <w:lang w:val="es-ES" w:eastAsia="es-ES"/>
        </w:rPr>
        <w:t>Una mano de sellador, dos manos de pintura acrílica y una mano de esmalte color azul celeste. La losa de techo se impermeabiliza y sella con material que es sometido a aprobación al Supervisor por parte del contratista, este puede ser impermeabilizante integral de penetración capilar en el concreto.</w:t>
      </w:r>
    </w:p>
    <w:p w14:paraId="34B6B5CA" w14:textId="77777777" w:rsidR="001A4860" w:rsidRPr="001A4860" w:rsidRDefault="001A4860" w:rsidP="001A4860">
      <w:pPr>
        <w:rPr>
          <w:sz w:val="22"/>
          <w:szCs w:val="22"/>
          <w:lang w:val="es-ES" w:eastAsia="es-ES"/>
        </w:rPr>
      </w:pPr>
    </w:p>
    <w:p w14:paraId="6068D9DA" w14:textId="77777777" w:rsidR="001A4860" w:rsidRPr="001A4860" w:rsidRDefault="001A4860" w:rsidP="001A4860">
      <w:pPr>
        <w:rPr>
          <w:sz w:val="22"/>
          <w:szCs w:val="22"/>
          <w:lang w:val="es-ES" w:eastAsia="es-ES"/>
        </w:rPr>
      </w:pPr>
      <w:r w:rsidRPr="001A4860">
        <w:rPr>
          <w:sz w:val="22"/>
          <w:szCs w:val="22"/>
          <w:lang w:val="es-ES" w:eastAsia="es-ES"/>
        </w:rPr>
        <w:t>En superficies metálicas se aplican:</w:t>
      </w:r>
    </w:p>
    <w:p w14:paraId="317A675F" w14:textId="77777777" w:rsidR="001A4860" w:rsidRPr="001A4860" w:rsidRDefault="001A4860" w:rsidP="001A4860">
      <w:pPr>
        <w:rPr>
          <w:sz w:val="22"/>
          <w:szCs w:val="22"/>
          <w:lang w:val="es-ES" w:eastAsia="es-ES"/>
        </w:rPr>
      </w:pPr>
    </w:p>
    <w:p w14:paraId="3FDC85EC" w14:textId="77777777" w:rsidR="001A4860" w:rsidRPr="001A4860" w:rsidRDefault="001A4860" w:rsidP="001A4860">
      <w:pPr>
        <w:rPr>
          <w:sz w:val="22"/>
          <w:szCs w:val="22"/>
          <w:lang w:val="es-ES" w:eastAsia="es-ES"/>
        </w:rPr>
      </w:pPr>
      <w:r w:rsidRPr="001A4860">
        <w:rPr>
          <w:sz w:val="22"/>
          <w:szCs w:val="22"/>
          <w:lang w:val="es-ES" w:eastAsia="es-ES"/>
        </w:rPr>
        <w:t>Una mano de imprimador de cromato de zinc, dos manos de pintura anticorrosivo o minio rojo y una mano de pintura epóxica</w:t>
      </w:r>
    </w:p>
    <w:p w14:paraId="0A0A837B" w14:textId="77777777" w:rsidR="001A4860" w:rsidRPr="001A4860" w:rsidRDefault="001A4860" w:rsidP="001A4860">
      <w:pPr>
        <w:rPr>
          <w:sz w:val="22"/>
          <w:szCs w:val="22"/>
          <w:lang w:val="es-ES" w:eastAsia="es-ES"/>
        </w:rPr>
      </w:pPr>
    </w:p>
    <w:p w14:paraId="5062C9DE" w14:textId="77777777" w:rsidR="001A4860" w:rsidRPr="001A4860" w:rsidRDefault="001A4860" w:rsidP="001A4860">
      <w:pPr>
        <w:keepNext/>
        <w:ind w:left="720" w:hanging="720"/>
        <w:outlineLvl w:val="2"/>
        <w:rPr>
          <w:rFonts w:eastAsia="Arial Narrow"/>
          <w:b/>
          <w:bCs/>
          <w:iCs/>
          <w:sz w:val="22"/>
          <w:szCs w:val="22"/>
          <w:lang w:val="es-ES" w:bidi="en-US"/>
        </w:rPr>
      </w:pPr>
      <w:bookmarkStart w:id="802" w:name="_Toc23249403"/>
      <w:r w:rsidRPr="001A4860">
        <w:rPr>
          <w:rFonts w:eastAsia="Arial Narrow"/>
          <w:b/>
          <w:bCs/>
          <w:iCs/>
          <w:sz w:val="22"/>
          <w:szCs w:val="22"/>
          <w:lang w:val="es-ES" w:bidi="en-US"/>
        </w:rPr>
        <w:lastRenderedPageBreak/>
        <w:t>Marcas y Rótulo</w:t>
      </w:r>
      <w:bookmarkEnd w:id="802"/>
    </w:p>
    <w:p w14:paraId="78E72EB9" w14:textId="77777777" w:rsidR="001A4860" w:rsidRPr="001A4860" w:rsidRDefault="001A4860" w:rsidP="001A4860">
      <w:pPr>
        <w:rPr>
          <w:sz w:val="22"/>
          <w:szCs w:val="22"/>
          <w:lang w:val="es-ES" w:eastAsia="es-ES"/>
        </w:rPr>
      </w:pPr>
      <w:r w:rsidRPr="001A4860">
        <w:rPr>
          <w:sz w:val="22"/>
          <w:szCs w:val="22"/>
          <w:lang w:val="es-ES" w:eastAsia="es-ES"/>
        </w:rPr>
        <w:t>Cada tanque tiene pintado en un sitio visible del cuerpo, indicado por el Supervisor, un rótulo en varios colores.  El diseño del rótulo incluyendo texto y logotipos tanto del organismo donante como de la autoridad contratante, así mismo se debe rotular indicador de Nivel con escala graduada. el diseño del rótulo es comunicado en tiempo útil al Contratista por parte del Supervisor. Las dimensiones del rótulo deben ser proporcionales a las dimensiones del tanque.</w:t>
      </w:r>
    </w:p>
    <w:p w14:paraId="57F870AF" w14:textId="77777777" w:rsidR="001A4860" w:rsidRPr="001A4860" w:rsidRDefault="001A4860" w:rsidP="001A4860">
      <w:pPr>
        <w:rPr>
          <w:sz w:val="22"/>
          <w:szCs w:val="22"/>
          <w:lang w:val="es-ES" w:eastAsia="es-ES"/>
        </w:rPr>
      </w:pPr>
    </w:p>
    <w:p w14:paraId="7107BE9D" w14:textId="77777777" w:rsidR="001A4860" w:rsidRPr="001A4860" w:rsidRDefault="001A4860" w:rsidP="001A4860">
      <w:pPr>
        <w:rPr>
          <w:sz w:val="22"/>
          <w:szCs w:val="22"/>
          <w:lang w:val="es-ES" w:eastAsia="es-ES"/>
        </w:rPr>
      </w:pPr>
      <w:r w:rsidRPr="001A4860">
        <w:rPr>
          <w:sz w:val="22"/>
          <w:szCs w:val="22"/>
          <w:lang w:val="es-ES" w:eastAsia="es-ES"/>
        </w:rPr>
        <w:t>Los costos correspondientes a los trabajos de rotulación de logos, textos y marcas de nivel, estan incluidos en el precio ofertado por m2 de pintura exterior de los tanques.</w:t>
      </w:r>
    </w:p>
    <w:p w14:paraId="51289375" w14:textId="77777777" w:rsidR="001A4860" w:rsidRPr="001A4860" w:rsidRDefault="001A4860" w:rsidP="001A4860">
      <w:pPr>
        <w:rPr>
          <w:sz w:val="22"/>
          <w:szCs w:val="22"/>
          <w:lang w:val="es-ES" w:eastAsia="es-ES"/>
        </w:rPr>
      </w:pPr>
    </w:p>
    <w:p w14:paraId="1CADC440" w14:textId="77777777" w:rsidR="001A4860" w:rsidRPr="001A4860" w:rsidRDefault="001A4860" w:rsidP="001A4860">
      <w:pPr>
        <w:keepNext/>
        <w:keepLines/>
        <w:outlineLvl w:val="0"/>
        <w:rPr>
          <w:b/>
          <w:sz w:val="22"/>
          <w:szCs w:val="22"/>
          <w:lang w:val="es-ES" w:eastAsia="es-ES"/>
        </w:rPr>
      </w:pPr>
      <w:bookmarkStart w:id="803" w:name="_Toc23249404"/>
      <w:r w:rsidRPr="001A4860">
        <w:rPr>
          <w:b/>
          <w:sz w:val="22"/>
          <w:szCs w:val="22"/>
          <w:lang w:val="es-ES" w:eastAsia="es-ES"/>
        </w:rPr>
        <w:t>ESPECIFICACIONES TÉCNICAS PARA FUENTE Y OBRA DE TOMA</w:t>
      </w:r>
      <w:bookmarkEnd w:id="803"/>
    </w:p>
    <w:p w14:paraId="514E8F6F" w14:textId="77777777" w:rsidR="001A4860" w:rsidRPr="001A4860" w:rsidRDefault="001A4860" w:rsidP="001A4860">
      <w:pPr>
        <w:rPr>
          <w:sz w:val="22"/>
          <w:szCs w:val="22"/>
          <w:lang w:val="es-ES" w:eastAsia="es-ES"/>
        </w:rPr>
      </w:pPr>
    </w:p>
    <w:p w14:paraId="4DE17A67" w14:textId="77777777" w:rsidR="001A4860" w:rsidRPr="001A4860" w:rsidRDefault="001A4860" w:rsidP="001A4860">
      <w:pPr>
        <w:keepNext/>
        <w:outlineLvl w:val="1"/>
        <w:rPr>
          <w:rFonts w:eastAsia="Arial Narrow"/>
          <w:b/>
          <w:bCs/>
          <w:iCs/>
          <w:sz w:val="22"/>
          <w:szCs w:val="22"/>
          <w:lang w:val="es-NI"/>
        </w:rPr>
      </w:pPr>
      <w:bookmarkStart w:id="804" w:name="_Toc23249405"/>
      <w:r w:rsidRPr="001A4860">
        <w:rPr>
          <w:rFonts w:eastAsia="Arial Narrow"/>
          <w:b/>
          <w:bCs/>
          <w:iCs/>
          <w:sz w:val="22"/>
          <w:szCs w:val="22"/>
          <w:lang w:val="es-NI"/>
        </w:rPr>
        <w:t>Limpieza de predio</w:t>
      </w:r>
      <w:bookmarkEnd w:id="804"/>
    </w:p>
    <w:p w14:paraId="5E219C87" w14:textId="77777777" w:rsidR="001A4860" w:rsidRPr="001A4860" w:rsidRDefault="001A4860" w:rsidP="001A4860">
      <w:pPr>
        <w:rPr>
          <w:sz w:val="22"/>
          <w:szCs w:val="22"/>
          <w:lang w:val="es-ES" w:eastAsia="es-ES"/>
        </w:rPr>
      </w:pPr>
    </w:p>
    <w:p w14:paraId="4A7EE273" w14:textId="77777777" w:rsidR="001A4860" w:rsidRPr="001A4860" w:rsidRDefault="001A4860" w:rsidP="001A4860">
      <w:pPr>
        <w:rPr>
          <w:sz w:val="22"/>
          <w:szCs w:val="22"/>
          <w:lang w:val="es-ES" w:eastAsia="es-ES"/>
        </w:rPr>
      </w:pPr>
      <w:r w:rsidRPr="001A4860">
        <w:rPr>
          <w:sz w:val="22"/>
          <w:szCs w:val="22"/>
          <w:lang w:val="es-ES" w:eastAsia="es-ES"/>
        </w:rPr>
        <w:t>Limpiar el predio del pozo perforado profundo existente y sus vecindades.</w:t>
      </w:r>
    </w:p>
    <w:p w14:paraId="00C235D7" w14:textId="77777777" w:rsidR="001A4860" w:rsidRPr="001A4860" w:rsidRDefault="001A4860" w:rsidP="001A4860">
      <w:pPr>
        <w:rPr>
          <w:sz w:val="22"/>
          <w:szCs w:val="22"/>
          <w:lang w:val="es-ES" w:eastAsia="es-ES"/>
        </w:rPr>
      </w:pPr>
    </w:p>
    <w:p w14:paraId="35982756" w14:textId="77777777" w:rsidR="001A4860" w:rsidRPr="001A4860" w:rsidRDefault="001A4860" w:rsidP="001A4860">
      <w:pPr>
        <w:keepNext/>
        <w:outlineLvl w:val="1"/>
        <w:rPr>
          <w:rFonts w:eastAsia="Arial Narrow"/>
          <w:b/>
          <w:bCs/>
          <w:iCs/>
          <w:sz w:val="22"/>
          <w:szCs w:val="22"/>
          <w:lang w:val="es-NI"/>
        </w:rPr>
      </w:pPr>
      <w:bookmarkStart w:id="805" w:name="_Toc23249406"/>
      <w:r w:rsidRPr="001A4860">
        <w:rPr>
          <w:rFonts w:eastAsia="Arial Narrow"/>
          <w:b/>
          <w:bCs/>
          <w:iCs/>
          <w:sz w:val="22"/>
          <w:szCs w:val="22"/>
          <w:lang w:val="es-NI"/>
        </w:rPr>
        <w:t>Especificaciones técnicas para perforación de pozo profundo.</w:t>
      </w:r>
      <w:bookmarkEnd w:id="805"/>
    </w:p>
    <w:p w14:paraId="2929EADB" w14:textId="77777777" w:rsidR="001A4860" w:rsidRPr="001A4860" w:rsidRDefault="001A4860" w:rsidP="001A4860">
      <w:pPr>
        <w:rPr>
          <w:sz w:val="22"/>
          <w:szCs w:val="22"/>
          <w:lang w:val="es-ES" w:eastAsia="es-ES"/>
        </w:rPr>
      </w:pPr>
    </w:p>
    <w:p w14:paraId="4823A5FB"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 herramientas, mano de obra, transporte y materiales necesarios para llevar a cabo los </w:t>
      </w:r>
      <w:r w:rsidRPr="001A4860">
        <w:rPr>
          <w:i/>
          <w:sz w:val="22"/>
          <w:szCs w:val="22"/>
          <w:lang w:val="es-ES" w:eastAsia="es-ES"/>
        </w:rPr>
        <w:t>trabajos de perforación de pozo profundo para extraer agua subterránea para uso y consumo humano</w:t>
      </w:r>
      <w:r w:rsidRPr="001A4860">
        <w:rPr>
          <w:sz w:val="22"/>
          <w:szCs w:val="22"/>
          <w:lang w:val="es-ES" w:eastAsia="es-ES"/>
        </w:rPr>
        <w:t>, de acuerdo con lo estipulado en estas especificaciones. Los costos de esta operación son asumidos por El Contratista.</w:t>
      </w:r>
    </w:p>
    <w:p w14:paraId="1AA36088" w14:textId="77777777" w:rsidR="001A4860" w:rsidRPr="001A4860" w:rsidRDefault="001A4860" w:rsidP="001A4860">
      <w:pPr>
        <w:rPr>
          <w:sz w:val="22"/>
          <w:szCs w:val="22"/>
          <w:lang w:val="es-ES" w:eastAsia="es-ES"/>
        </w:rPr>
      </w:pPr>
    </w:p>
    <w:p w14:paraId="08BB0CCA" w14:textId="77777777" w:rsidR="001A4860" w:rsidRPr="001A4860" w:rsidRDefault="001A4860" w:rsidP="001A4860">
      <w:pPr>
        <w:keepNext/>
        <w:ind w:left="720" w:hanging="720"/>
        <w:outlineLvl w:val="2"/>
        <w:rPr>
          <w:rFonts w:eastAsia="Arial Narrow"/>
          <w:b/>
          <w:bCs/>
          <w:iCs/>
          <w:sz w:val="22"/>
          <w:szCs w:val="22"/>
          <w:lang w:val="es-ES" w:bidi="en-US"/>
        </w:rPr>
      </w:pPr>
      <w:bookmarkStart w:id="806" w:name="_Toc23249407"/>
      <w:r w:rsidRPr="001A4860">
        <w:rPr>
          <w:rFonts w:eastAsia="Arial Narrow"/>
          <w:b/>
          <w:bCs/>
          <w:iCs/>
          <w:sz w:val="22"/>
          <w:szCs w:val="22"/>
          <w:lang w:val="es-ES" w:bidi="en-US"/>
        </w:rPr>
        <w:t>Introducción</w:t>
      </w:r>
      <w:bookmarkEnd w:id="806"/>
    </w:p>
    <w:p w14:paraId="0AE64A86" w14:textId="77777777" w:rsidR="001A4860" w:rsidRPr="001A4860" w:rsidRDefault="001A4860" w:rsidP="001A4860">
      <w:pPr>
        <w:rPr>
          <w:b/>
          <w:bCs/>
          <w:sz w:val="22"/>
          <w:szCs w:val="22"/>
          <w:lang w:val="es-ES" w:bidi="en-US"/>
        </w:rPr>
      </w:pPr>
    </w:p>
    <w:p w14:paraId="3FC59F71" w14:textId="77777777" w:rsidR="001A4860" w:rsidRPr="001A4860" w:rsidRDefault="001A4860" w:rsidP="001A4860">
      <w:pPr>
        <w:rPr>
          <w:sz w:val="22"/>
          <w:szCs w:val="22"/>
          <w:lang w:val="es-ES" w:bidi="en-US"/>
        </w:rPr>
      </w:pPr>
      <w:r w:rsidRPr="001A4860">
        <w:rPr>
          <w:sz w:val="22"/>
          <w:szCs w:val="22"/>
          <w:lang w:val="es-ES" w:bidi="en-US"/>
        </w:rPr>
        <w:t>Sobre la base de los antecedentes hidrogeológicos expuestos y considerando los antecedentes constructivos de los pozos perforados existentes en el territorio, se requiere perforar inicialmente un pozo exploratorio, para en caso de resultar factible, convertirlo en pozo de producción. Es técnicamente realizable y razonablemente neutral en términos de impacto. El contratista debe analizar toda la información disponible y pertinente de la obra a realizar incluida en el Estudio Hidrogeológico.</w:t>
      </w:r>
    </w:p>
    <w:p w14:paraId="1B8284B3" w14:textId="77777777" w:rsidR="001A4860" w:rsidRPr="001A4860" w:rsidRDefault="001A4860" w:rsidP="001A4860">
      <w:pPr>
        <w:rPr>
          <w:sz w:val="22"/>
          <w:szCs w:val="22"/>
          <w:lang w:val="es-ES" w:bidi="en-US"/>
        </w:rPr>
      </w:pPr>
    </w:p>
    <w:p w14:paraId="792987E9" w14:textId="77777777" w:rsidR="001A4860" w:rsidRPr="001A4860" w:rsidRDefault="001A4860" w:rsidP="001A4860">
      <w:pPr>
        <w:rPr>
          <w:sz w:val="22"/>
          <w:szCs w:val="22"/>
          <w:lang w:val="es-ES" w:bidi="en-US"/>
        </w:rPr>
      </w:pPr>
      <w:r w:rsidRPr="001A4860">
        <w:rPr>
          <w:sz w:val="22"/>
          <w:szCs w:val="22"/>
          <w:lang w:val="es-ES" w:bidi="en-US"/>
        </w:rPr>
        <w:t>Pozo exploratorio, se entiende, la etapa de perforación del pozo, considerando:</w:t>
      </w:r>
    </w:p>
    <w:p w14:paraId="49500163" w14:textId="77777777" w:rsidR="001A4860" w:rsidRPr="001A4860" w:rsidRDefault="001A4860" w:rsidP="003B68DB">
      <w:pPr>
        <w:numPr>
          <w:ilvl w:val="0"/>
          <w:numId w:val="171"/>
        </w:numPr>
        <w:jc w:val="left"/>
        <w:rPr>
          <w:sz w:val="22"/>
          <w:szCs w:val="22"/>
          <w:lang w:val="es-ES" w:bidi="en-US"/>
        </w:rPr>
      </w:pPr>
      <w:r w:rsidRPr="001A4860">
        <w:rPr>
          <w:sz w:val="22"/>
          <w:szCs w:val="22"/>
          <w:lang w:val="es-ES" w:bidi="en-US"/>
        </w:rPr>
        <w:t>La profundidad y diámetro descritos en la recomendación del estudio hidrogeológico,</w:t>
      </w:r>
    </w:p>
    <w:p w14:paraId="1D5203AA" w14:textId="77777777" w:rsidR="001A4860" w:rsidRPr="001A4860" w:rsidRDefault="001A4860" w:rsidP="003B68DB">
      <w:pPr>
        <w:numPr>
          <w:ilvl w:val="0"/>
          <w:numId w:val="171"/>
        </w:numPr>
        <w:jc w:val="left"/>
        <w:rPr>
          <w:sz w:val="22"/>
          <w:szCs w:val="22"/>
          <w:lang w:val="es-ES" w:bidi="en-US"/>
        </w:rPr>
      </w:pPr>
      <w:r w:rsidRPr="001A4860">
        <w:rPr>
          <w:sz w:val="22"/>
          <w:szCs w:val="22"/>
          <w:lang w:val="es-ES" w:bidi="en-US"/>
        </w:rPr>
        <w:t xml:space="preserve">Lo descrito en el apartado </w:t>
      </w:r>
      <w:r w:rsidRPr="001A4860">
        <w:rPr>
          <w:b/>
          <w:i/>
          <w:sz w:val="22"/>
          <w:szCs w:val="22"/>
          <w:lang w:val="es-ES" w:bidi="en-US"/>
        </w:rPr>
        <w:t>Perforación de pozo exploratorio de prueba.</w:t>
      </w:r>
    </w:p>
    <w:p w14:paraId="6E635C48" w14:textId="77777777" w:rsidR="001A4860" w:rsidRPr="001A4860" w:rsidRDefault="001A4860" w:rsidP="001A4860">
      <w:pPr>
        <w:rPr>
          <w:sz w:val="22"/>
          <w:szCs w:val="22"/>
          <w:lang w:val="es-ES" w:bidi="en-US"/>
        </w:rPr>
      </w:pPr>
    </w:p>
    <w:p w14:paraId="74D839F4" w14:textId="77777777" w:rsidR="001A4860" w:rsidRPr="001A4860" w:rsidRDefault="001A4860" w:rsidP="001A4860">
      <w:pPr>
        <w:rPr>
          <w:sz w:val="22"/>
          <w:szCs w:val="22"/>
          <w:lang w:val="es-ES" w:bidi="en-US"/>
        </w:rPr>
      </w:pPr>
      <w:r w:rsidRPr="001A4860">
        <w:rPr>
          <w:sz w:val="22"/>
          <w:szCs w:val="22"/>
          <w:lang w:val="es-ES" w:bidi="en-US"/>
        </w:rPr>
        <w:t>Pozo de producción, se entiende, la fase de construcción, revestimiento del pozo según diseño preliminar, filtro artificial, sello sanitario, cabezal de pozo, limpieza, desarrollo y desinfección del pozo y aforo.</w:t>
      </w:r>
    </w:p>
    <w:p w14:paraId="263432F7" w14:textId="77777777" w:rsidR="001A4860" w:rsidRPr="001A4860" w:rsidRDefault="001A4860" w:rsidP="001A4860">
      <w:pPr>
        <w:rPr>
          <w:sz w:val="22"/>
          <w:szCs w:val="22"/>
          <w:lang w:val="es-ES" w:bidi="en-US"/>
        </w:rPr>
      </w:pPr>
      <w:r w:rsidRPr="001A4860">
        <w:rPr>
          <w:sz w:val="22"/>
          <w:szCs w:val="22"/>
          <w:lang w:val="es-ES" w:bidi="en-US"/>
        </w:rPr>
        <w:t>El contratista debe cumplir con la normativa de las diferentes entidades reguladoras y normativas del MINSA, MITRAB, MTI, ANA, MARENA, INAA, entre otras entidades reguladoras, con presencia en el territorio.</w:t>
      </w:r>
    </w:p>
    <w:p w14:paraId="3B93E1CE" w14:textId="77777777" w:rsidR="001A4860" w:rsidRPr="001A4860" w:rsidRDefault="001A4860" w:rsidP="001A4860">
      <w:pPr>
        <w:rPr>
          <w:sz w:val="22"/>
          <w:szCs w:val="22"/>
          <w:lang w:val="es-ES" w:bidi="en-US"/>
        </w:rPr>
      </w:pPr>
    </w:p>
    <w:p w14:paraId="334A7EE4" w14:textId="77777777" w:rsidR="001A4860" w:rsidRPr="001A4860" w:rsidRDefault="001A4860" w:rsidP="001A4860">
      <w:pPr>
        <w:keepNext/>
        <w:ind w:left="720" w:hanging="720"/>
        <w:outlineLvl w:val="2"/>
        <w:rPr>
          <w:rFonts w:eastAsia="Arial Narrow"/>
          <w:b/>
          <w:bCs/>
          <w:iCs/>
          <w:sz w:val="22"/>
          <w:szCs w:val="22"/>
          <w:lang w:val="es-ES" w:bidi="en-US"/>
        </w:rPr>
      </w:pPr>
      <w:bookmarkStart w:id="807" w:name="_Toc23249408"/>
      <w:r w:rsidRPr="001A4860">
        <w:rPr>
          <w:rFonts w:eastAsia="Arial Narrow"/>
          <w:b/>
          <w:bCs/>
          <w:iCs/>
          <w:sz w:val="22"/>
          <w:szCs w:val="22"/>
          <w:lang w:val="es-ES" w:bidi="en-US"/>
        </w:rPr>
        <w:t>Actividades preliminares.</w:t>
      </w:r>
      <w:bookmarkEnd w:id="807"/>
      <w:r w:rsidRPr="001A4860">
        <w:rPr>
          <w:rFonts w:eastAsia="Arial Narrow"/>
          <w:b/>
          <w:bCs/>
          <w:iCs/>
          <w:sz w:val="22"/>
          <w:szCs w:val="22"/>
          <w:lang w:val="es-ES" w:bidi="en-US"/>
        </w:rPr>
        <w:t xml:space="preserve"> </w:t>
      </w:r>
    </w:p>
    <w:p w14:paraId="4BF2CF9D" w14:textId="77777777" w:rsidR="001A4860" w:rsidRPr="001A4860" w:rsidRDefault="001A4860" w:rsidP="001A4860">
      <w:pPr>
        <w:rPr>
          <w:sz w:val="22"/>
          <w:szCs w:val="22"/>
          <w:lang w:val="es-ES" w:bidi="en-US"/>
        </w:rPr>
      </w:pPr>
    </w:p>
    <w:p w14:paraId="3D138B42" w14:textId="77777777" w:rsidR="001A4860" w:rsidRPr="001A4860" w:rsidRDefault="001A4860" w:rsidP="001A4860">
      <w:pPr>
        <w:rPr>
          <w:sz w:val="22"/>
          <w:szCs w:val="22"/>
          <w:lang w:val="es-ES" w:bidi="en-US"/>
        </w:rPr>
      </w:pPr>
      <w:r w:rsidRPr="001A4860">
        <w:rPr>
          <w:sz w:val="22"/>
          <w:szCs w:val="22"/>
          <w:lang w:val="es-ES" w:bidi="en-US"/>
        </w:rPr>
        <w:t>El contratista debe verificar y realizar las gestiones, con la finalidad que la Municipalidad trámite la viabilidad legal de los terrenos, requisito indispensable para desarrollar las obras requeridas, tales como:</w:t>
      </w:r>
    </w:p>
    <w:p w14:paraId="31D238EC" w14:textId="77777777" w:rsidR="001A4860" w:rsidRPr="001A4860" w:rsidRDefault="001A4860" w:rsidP="003B68DB">
      <w:pPr>
        <w:numPr>
          <w:ilvl w:val="0"/>
          <w:numId w:val="170"/>
        </w:numPr>
        <w:jc w:val="left"/>
        <w:rPr>
          <w:sz w:val="22"/>
          <w:szCs w:val="22"/>
          <w:lang w:val="es-ES" w:bidi="en-US"/>
        </w:rPr>
      </w:pPr>
      <w:r w:rsidRPr="001A4860">
        <w:rPr>
          <w:sz w:val="22"/>
          <w:szCs w:val="22"/>
          <w:lang w:val="es-ES" w:bidi="en-US"/>
        </w:rPr>
        <w:t>Terreno donde se ubica el sitio seleccionado para la perforación del pozo de producción, el que debe cumplir con los requisitos mínimos de acceso y medidas entre linderos, que sean necesarias para realizar la perforación y el adecuado mantenimiento de éste, durante la etapa de funcionamiento.</w:t>
      </w:r>
    </w:p>
    <w:p w14:paraId="68DE7652" w14:textId="77777777" w:rsidR="001A4860" w:rsidRPr="001A4860" w:rsidRDefault="001A4860" w:rsidP="003B68DB">
      <w:pPr>
        <w:numPr>
          <w:ilvl w:val="0"/>
          <w:numId w:val="170"/>
        </w:numPr>
        <w:jc w:val="left"/>
        <w:rPr>
          <w:sz w:val="22"/>
          <w:szCs w:val="22"/>
          <w:lang w:val="es-ES" w:bidi="en-US"/>
        </w:rPr>
      </w:pPr>
      <w:r w:rsidRPr="001A4860">
        <w:rPr>
          <w:sz w:val="22"/>
          <w:szCs w:val="22"/>
          <w:lang w:val="es-ES" w:bidi="en-US"/>
        </w:rPr>
        <w:lastRenderedPageBreak/>
        <w:t>Permisos, debidamente notariados, de acceso ante los propietarios de terrenos colindantes, para la introducción del equipo de perforación, actividad desarrollada entre municipalidad y contratista.</w:t>
      </w:r>
    </w:p>
    <w:p w14:paraId="396E17A8" w14:textId="77777777" w:rsidR="001A4860" w:rsidRPr="001A4860" w:rsidRDefault="001A4860" w:rsidP="001A4860">
      <w:pPr>
        <w:rPr>
          <w:sz w:val="22"/>
          <w:szCs w:val="22"/>
          <w:lang w:val="es-ES" w:bidi="en-US"/>
        </w:rPr>
      </w:pPr>
    </w:p>
    <w:p w14:paraId="4F8E6923" w14:textId="77777777" w:rsidR="001A4860" w:rsidRPr="001A4860" w:rsidRDefault="001A4860" w:rsidP="001A4860">
      <w:pPr>
        <w:rPr>
          <w:sz w:val="22"/>
          <w:szCs w:val="22"/>
          <w:lang w:val="es-ES" w:bidi="en-US"/>
        </w:rPr>
      </w:pPr>
      <w:r w:rsidRPr="001A4860">
        <w:rPr>
          <w:sz w:val="22"/>
          <w:szCs w:val="22"/>
          <w:lang w:val="es-ES" w:bidi="en-US"/>
        </w:rPr>
        <w:t>Cabe destacar que, en la etapa de prefactibilidad se puede iniciar con cartas compromiso debidamente notariadas, o compromisos de venta; no obstante, antes de la construcción del pozo se debe tener todos los aspectos legales cubiertos.</w:t>
      </w:r>
    </w:p>
    <w:p w14:paraId="25644D24" w14:textId="77777777" w:rsidR="001A4860" w:rsidRPr="001A4860" w:rsidRDefault="001A4860" w:rsidP="001A4860">
      <w:pPr>
        <w:rPr>
          <w:sz w:val="22"/>
          <w:szCs w:val="22"/>
          <w:lang w:val="es-ES" w:bidi="en-US"/>
        </w:rPr>
      </w:pPr>
    </w:p>
    <w:p w14:paraId="13F0275C" w14:textId="77777777" w:rsidR="001A4860" w:rsidRPr="001A4860" w:rsidRDefault="001A4860" w:rsidP="001A4860">
      <w:pPr>
        <w:keepNext/>
        <w:ind w:left="720" w:hanging="720"/>
        <w:outlineLvl w:val="2"/>
        <w:rPr>
          <w:rFonts w:eastAsia="Arial Narrow"/>
          <w:b/>
          <w:bCs/>
          <w:iCs/>
          <w:sz w:val="22"/>
          <w:szCs w:val="22"/>
          <w:lang w:val="es-ES" w:bidi="en-US"/>
        </w:rPr>
      </w:pPr>
      <w:bookmarkStart w:id="808" w:name="_Toc23249409"/>
      <w:r w:rsidRPr="001A4860">
        <w:rPr>
          <w:rFonts w:eastAsia="Arial Narrow"/>
          <w:b/>
          <w:bCs/>
          <w:iCs/>
          <w:sz w:val="22"/>
          <w:szCs w:val="22"/>
          <w:lang w:val="es-ES" w:bidi="en-US"/>
        </w:rPr>
        <w:t>Perforación de pozo exploratorio de prueba.</w:t>
      </w:r>
      <w:bookmarkEnd w:id="808"/>
    </w:p>
    <w:p w14:paraId="7F22C09F" w14:textId="77777777" w:rsidR="001A4860" w:rsidRPr="001A4860" w:rsidRDefault="001A4860" w:rsidP="001A4860">
      <w:pPr>
        <w:rPr>
          <w:sz w:val="22"/>
          <w:szCs w:val="22"/>
          <w:lang w:val="es-ES" w:bidi="en-US"/>
        </w:rPr>
      </w:pPr>
    </w:p>
    <w:p w14:paraId="7344898C" w14:textId="77777777" w:rsidR="001A4860" w:rsidRPr="001A4860" w:rsidRDefault="001A4860" w:rsidP="001A4860">
      <w:pPr>
        <w:rPr>
          <w:sz w:val="22"/>
          <w:szCs w:val="22"/>
          <w:lang w:val="es-ES" w:bidi="en-US"/>
        </w:rPr>
      </w:pPr>
      <w:r w:rsidRPr="001A4860">
        <w:rPr>
          <w:sz w:val="22"/>
          <w:szCs w:val="22"/>
          <w:lang w:val="es-ES" w:bidi="en-US"/>
        </w:rPr>
        <w:t>El Contratista debe verificar la ubicación el sitio seleccionado para la perforación del pozo profundo, identificado en el estudio hidrogeológico.</w:t>
      </w:r>
    </w:p>
    <w:p w14:paraId="275DAE61" w14:textId="77777777" w:rsidR="001A4860" w:rsidRPr="001A4860" w:rsidRDefault="001A4860" w:rsidP="001A4860">
      <w:pPr>
        <w:rPr>
          <w:sz w:val="22"/>
          <w:szCs w:val="22"/>
          <w:lang w:val="es-ES" w:bidi="en-US"/>
        </w:rPr>
      </w:pPr>
      <w:r w:rsidRPr="001A4860">
        <w:rPr>
          <w:sz w:val="22"/>
          <w:szCs w:val="22"/>
          <w:lang w:val="es-ES" w:bidi="en-US"/>
        </w:rPr>
        <w:t>Antes de dar inicio a la perforación del pozo exploratorio de prueba, se debe realizar el sondeo geoeléctrico para elaborar el diseño del pozo, éste último debe mostrar el registro del perfil litológico de los estratos a ser perforados.</w:t>
      </w:r>
    </w:p>
    <w:p w14:paraId="4FF79614" w14:textId="77777777" w:rsidR="001A4860" w:rsidRPr="001A4860" w:rsidRDefault="001A4860" w:rsidP="001A4860">
      <w:pPr>
        <w:rPr>
          <w:sz w:val="22"/>
          <w:szCs w:val="22"/>
          <w:lang w:val="es-ES" w:bidi="en-US"/>
        </w:rPr>
      </w:pPr>
      <w:r w:rsidRPr="001A4860">
        <w:rPr>
          <w:sz w:val="22"/>
          <w:szCs w:val="22"/>
          <w:lang w:val="es-ES" w:bidi="en-US"/>
        </w:rPr>
        <w:t xml:space="preserve">El agujero se perfora, según se indica en el apartado </w:t>
      </w:r>
      <w:r w:rsidRPr="001A4860">
        <w:rPr>
          <w:b/>
          <w:sz w:val="22"/>
          <w:szCs w:val="22"/>
          <w:lang w:val="es-ES" w:bidi="en-US"/>
        </w:rPr>
        <w:t>3.2 Especificaciones técnicas del pozo exploratorio de prueba.</w:t>
      </w:r>
      <w:r w:rsidRPr="001A4860">
        <w:rPr>
          <w:sz w:val="22"/>
          <w:szCs w:val="22"/>
          <w:lang w:val="es-ES" w:bidi="en-US"/>
        </w:rPr>
        <w:t xml:space="preserve"> Al alcanzar la profundidad arriba indicada, se extrae una muestra de agua para analizar la calidad de la misma. El agua de la muestra debe estar libre de contaminación de lodos bentónicos (si este fuese el caso, que se hubiera utilizado durante la perforación) y libre de salinidad marina (si el caso fuese que, el sitio de la perforación se encuentre próximo o sea parte de zonas costeras del océano). Además, se realiza una prueba preliminar de bombeo que permita inferir la capacidad específica (rendimiento) del acuífero. Si la perforación se realiza con compresión de aire, se puede utilizar este mismo método para realizar el ensayo del acuífero (prueba de bombeo), siempre y cuando ésta actividad la realice personal competente y experiencia comprobada). Si se obtiene el rendimiento esperado igual o mayor que el requerido por el proyecto, se finaliza la etapa de perforación del pozo exploratorio y se inicia la etapa de perforación del Pozo de Producción.</w:t>
      </w:r>
    </w:p>
    <w:p w14:paraId="68456B1C" w14:textId="77777777" w:rsidR="001A4860" w:rsidRPr="001A4860" w:rsidRDefault="001A4860" w:rsidP="001A4860">
      <w:pPr>
        <w:rPr>
          <w:sz w:val="22"/>
          <w:szCs w:val="22"/>
          <w:lang w:val="es-ES" w:bidi="en-US"/>
        </w:rPr>
      </w:pPr>
    </w:p>
    <w:p w14:paraId="4A2AF5F3" w14:textId="77777777" w:rsidR="001A4860" w:rsidRPr="001A4860" w:rsidRDefault="001A4860" w:rsidP="001A4860">
      <w:pPr>
        <w:keepNext/>
        <w:ind w:left="720" w:hanging="720"/>
        <w:outlineLvl w:val="2"/>
        <w:rPr>
          <w:rFonts w:eastAsia="Arial Narrow"/>
          <w:b/>
          <w:bCs/>
          <w:iCs/>
          <w:sz w:val="22"/>
          <w:szCs w:val="22"/>
          <w:lang w:val="es-ES" w:bidi="en-US"/>
        </w:rPr>
      </w:pPr>
      <w:bookmarkStart w:id="809" w:name="_Toc23249410"/>
      <w:r w:rsidRPr="001A4860">
        <w:rPr>
          <w:rFonts w:eastAsia="Arial Narrow"/>
          <w:b/>
          <w:bCs/>
          <w:iCs/>
          <w:sz w:val="22"/>
          <w:szCs w:val="22"/>
          <w:lang w:val="es-ES" w:bidi="en-US"/>
        </w:rPr>
        <w:t>Informe de perforación del pozo exploratorio de prueba</w:t>
      </w:r>
      <w:bookmarkEnd w:id="809"/>
    </w:p>
    <w:p w14:paraId="6D2A50E1" w14:textId="77777777" w:rsidR="001A4860" w:rsidRPr="001A4860" w:rsidRDefault="001A4860" w:rsidP="001A4860">
      <w:pPr>
        <w:rPr>
          <w:sz w:val="22"/>
          <w:szCs w:val="22"/>
          <w:lang w:val="es-ES" w:bidi="en-US"/>
        </w:rPr>
      </w:pPr>
    </w:p>
    <w:p w14:paraId="0B6DAD45" w14:textId="77777777" w:rsidR="001A4860" w:rsidRPr="001A4860" w:rsidRDefault="001A4860" w:rsidP="001A4860">
      <w:pPr>
        <w:rPr>
          <w:sz w:val="22"/>
          <w:szCs w:val="22"/>
          <w:lang w:val="es-ES" w:bidi="en-US"/>
        </w:rPr>
      </w:pPr>
      <w:r w:rsidRPr="001A4860">
        <w:rPr>
          <w:sz w:val="22"/>
          <w:szCs w:val="22"/>
          <w:lang w:val="es-ES" w:bidi="en-US"/>
        </w:rPr>
        <w:t>El informe de perforación del pozo exploratorio de prueba, contiene como mínimo los siguientes apartados:</w:t>
      </w:r>
    </w:p>
    <w:p w14:paraId="099CE857" w14:textId="77777777" w:rsidR="001A4860" w:rsidRPr="001A4860" w:rsidRDefault="001A4860" w:rsidP="001A4860">
      <w:pPr>
        <w:rPr>
          <w:sz w:val="22"/>
          <w:szCs w:val="22"/>
          <w:lang w:val="es-ES" w:bidi="en-US"/>
        </w:rPr>
      </w:pPr>
      <w:r w:rsidRPr="001A4860">
        <w:rPr>
          <w:sz w:val="22"/>
          <w:szCs w:val="22"/>
          <w:lang w:val="es-ES" w:bidi="en-US"/>
        </w:rPr>
        <w:t>a) Índice</w:t>
      </w:r>
    </w:p>
    <w:p w14:paraId="638A14E4" w14:textId="77777777" w:rsidR="001A4860" w:rsidRPr="001A4860" w:rsidRDefault="001A4860" w:rsidP="001A4860">
      <w:pPr>
        <w:rPr>
          <w:sz w:val="22"/>
          <w:szCs w:val="22"/>
          <w:lang w:val="es-ES" w:bidi="en-US"/>
        </w:rPr>
      </w:pPr>
      <w:r w:rsidRPr="001A4860">
        <w:rPr>
          <w:sz w:val="22"/>
          <w:szCs w:val="22"/>
          <w:lang w:val="es-ES" w:bidi="en-US"/>
        </w:rPr>
        <w:t>b) Introducción</w:t>
      </w:r>
    </w:p>
    <w:p w14:paraId="43504D03" w14:textId="77777777" w:rsidR="001A4860" w:rsidRPr="001A4860" w:rsidRDefault="001A4860" w:rsidP="001A4860">
      <w:pPr>
        <w:rPr>
          <w:sz w:val="22"/>
          <w:szCs w:val="22"/>
          <w:lang w:val="es-ES" w:bidi="en-US"/>
        </w:rPr>
      </w:pPr>
      <w:r w:rsidRPr="001A4860">
        <w:rPr>
          <w:sz w:val="22"/>
          <w:szCs w:val="22"/>
          <w:lang w:val="es-ES" w:bidi="en-US"/>
        </w:rPr>
        <w:t>c) Ubicación</w:t>
      </w:r>
    </w:p>
    <w:p w14:paraId="7AA7524A" w14:textId="77777777" w:rsidR="001A4860" w:rsidRPr="001A4860" w:rsidRDefault="001A4860" w:rsidP="001A4860">
      <w:pPr>
        <w:rPr>
          <w:sz w:val="22"/>
          <w:szCs w:val="22"/>
          <w:lang w:val="es-ES" w:bidi="en-US"/>
        </w:rPr>
      </w:pPr>
      <w:r w:rsidRPr="001A4860">
        <w:rPr>
          <w:sz w:val="22"/>
          <w:szCs w:val="22"/>
          <w:lang w:val="es-ES" w:bidi="en-US"/>
        </w:rPr>
        <w:t>d) Alcances del trabajo</w:t>
      </w:r>
    </w:p>
    <w:p w14:paraId="000CD7CC" w14:textId="77777777" w:rsidR="001A4860" w:rsidRPr="001A4860" w:rsidRDefault="001A4860" w:rsidP="001A4860">
      <w:pPr>
        <w:rPr>
          <w:sz w:val="22"/>
          <w:szCs w:val="22"/>
          <w:lang w:val="es-ES" w:bidi="en-US"/>
        </w:rPr>
      </w:pPr>
      <w:r w:rsidRPr="001A4860">
        <w:rPr>
          <w:sz w:val="22"/>
          <w:szCs w:val="22"/>
          <w:lang w:val="es-ES" w:bidi="en-US"/>
        </w:rPr>
        <w:t>e) Aspectos Geológicos</w:t>
      </w:r>
    </w:p>
    <w:p w14:paraId="07BF6AC7" w14:textId="77777777" w:rsidR="001A4860" w:rsidRPr="001A4860" w:rsidRDefault="001A4860" w:rsidP="001A4860">
      <w:pPr>
        <w:rPr>
          <w:sz w:val="22"/>
          <w:szCs w:val="22"/>
          <w:lang w:val="es-ES" w:bidi="en-US"/>
        </w:rPr>
      </w:pPr>
      <w:r w:rsidRPr="001A4860">
        <w:rPr>
          <w:sz w:val="22"/>
          <w:szCs w:val="22"/>
          <w:lang w:val="es-ES" w:bidi="en-US"/>
        </w:rPr>
        <w:t>f) Descripción de los trabajos</w:t>
      </w:r>
    </w:p>
    <w:p w14:paraId="55701A93" w14:textId="77777777" w:rsidR="001A4860" w:rsidRPr="001A4860" w:rsidRDefault="001A4860" w:rsidP="001A4860">
      <w:pPr>
        <w:rPr>
          <w:sz w:val="22"/>
          <w:szCs w:val="22"/>
          <w:lang w:val="es-ES" w:bidi="en-US"/>
        </w:rPr>
      </w:pPr>
      <w:r w:rsidRPr="001A4860">
        <w:rPr>
          <w:sz w:val="22"/>
          <w:szCs w:val="22"/>
          <w:lang w:val="es-ES" w:bidi="en-US"/>
        </w:rPr>
        <w:t>g) Equipo utilizado</w:t>
      </w:r>
    </w:p>
    <w:p w14:paraId="48B86F6F" w14:textId="77777777" w:rsidR="001A4860" w:rsidRPr="001A4860" w:rsidRDefault="001A4860" w:rsidP="001A4860">
      <w:pPr>
        <w:rPr>
          <w:sz w:val="22"/>
          <w:szCs w:val="22"/>
          <w:lang w:val="es-ES" w:bidi="en-US"/>
        </w:rPr>
      </w:pPr>
      <w:r w:rsidRPr="001A4860">
        <w:rPr>
          <w:sz w:val="22"/>
          <w:szCs w:val="22"/>
          <w:lang w:val="es-ES" w:bidi="en-US"/>
        </w:rPr>
        <w:t>h) Descripción del personal</w:t>
      </w:r>
    </w:p>
    <w:p w14:paraId="6697CA84" w14:textId="77777777" w:rsidR="001A4860" w:rsidRPr="001A4860" w:rsidRDefault="001A4860" w:rsidP="001A4860">
      <w:pPr>
        <w:rPr>
          <w:sz w:val="22"/>
          <w:szCs w:val="22"/>
          <w:lang w:val="es-ES" w:bidi="en-US"/>
        </w:rPr>
      </w:pPr>
      <w:r w:rsidRPr="001A4860">
        <w:rPr>
          <w:sz w:val="22"/>
          <w:szCs w:val="22"/>
          <w:lang w:val="es-ES" w:bidi="en-US"/>
        </w:rPr>
        <w:t>i) Métodos de Perforación</w:t>
      </w:r>
    </w:p>
    <w:p w14:paraId="684117F2" w14:textId="77777777" w:rsidR="001A4860" w:rsidRPr="001A4860" w:rsidRDefault="001A4860" w:rsidP="001A4860">
      <w:pPr>
        <w:rPr>
          <w:sz w:val="22"/>
          <w:szCs w:val="22"/>
          <w:lang w:val="es-ES" w:bidi="en-US"/>
        </w:rPr>
      </w:pPr>
      <w:r w:rsidRPr="001A4860">
        <w:rPr>
          <w:sz w:val="22"/>
          <w:szCs w:val="22"/>
          <w:lang w:val="es-ES" w:bidi="en-US"/>
        </w:rPr>
        <w:t>j) Profundidad y diámetro de la perforación</w:t>
      </w:r>
    </w:p>
    <w:p w14:paraId="244091A2" w14:textId="77777777" w:rsidR="001A4860" w:rsidRPr="001A4860" w:rsidRDefault="001A4860" w:rsidP="001A4860">
      <w:pPr>
        <w:rPr>
          <w:sz w:val="22"/>
          <w:szCs w:val="22"/>
          <w:lang w:val="es-ES" w:bidi="en-US"/>
        </w:rPr>
      </w:pPr>
      <w:r w:rsidRPr="001A4860">
        <w:rPr>
          <w:sz w:val="22"/>
          <w:szCs w:val="22"/>
          <w:lang w:val="es-ES" w:bidi="en-US"/>
        </w:rPr>
        <w:t>k) Trabajos de perforación con revestimiento temporal (si se diera el caso)</w:t>
      </w:r>
    </w:p>
    <w:p w14:paraId="5C1FAAD9" w14:textId="77777777" w:rsidR="001A4860" w:rsidRPr="001A4860" w:rsidRDefault="001A4860" w:rsidP="001A4860">
      <w:pPr>
        <w:rPr>
          <w:sz w:val="22"/>
          <w:szCs w:val="22"/>
          <w:lang w:val="es-ES" w:bidi="en-US"/>
        </w:rPr>
      </w:pPr>
      <w:r w:rsidRPr="001A4860">
        <w:rPr>
          <w:sz w:val="22"/>
          <w:szCs w:val="22"/>
          <w:lang w:val="es-ES" w:bidi="en-US"/>
        </w:rPr>
        <w:t>l) Fluidos de la Perforación</w:t>
      </w:r>
    </w:p>
    <w:p w14:paraId="45EA2D1C" w14:textId="77777777" w:rsidR="001A4860" w:rsidRPr="001A4860" w:rsidRDefault="001A4860" w:rsidP="001A4860">
      <w:pPr>
        <w:rPr>
          <w:sz w:val="22"/>
          <w:szCs w:val="22"/>
          <w:lang w:val="es-ES" w:bidi="en-US"/>
        </w:rPr>
      </w:pPr>
      <w:r w:rsidRPr="001A4860">
        <w:rPr>
          <w:sz w:val="22"/>
          <w:szCs w:val="22"/>
          <w:lang w:val="es-ES" w:bidi="en-US"/>
        </w:rPr>
        <w:t>m) Análisis de calidad de agua (físico químico, bacteriológico, plaguicidas)</w:t>
      </w:r>
    </w:p>
    <w:p w14:paraId="43D162B0" w14:textId="77777777" w:rsidR="001A4860" w:rsidRPr="001A4860" w:rsidRDefault="001A4860" w:rsidP="001A4860">
      <w:pPr>
        <w:rPr>
          <w:sz w:val="22"/>
          <w:szCs w:val="22"/>
          <w:lang w:val="es-ES" w:bidi="en-US"/>
        </w:rPr>
      </w:pPr>
      <w:r w:rsidRPr="001A4860">
        <w:rPr>
          <w:sz w:val="22"/>
          <w:szCs w:val="22"/>
          <w:lang w:val="es-ES" w:bidi="en-US"/>
        </w:rPr>
        <w:t>n) Clasificación de muestras de material excavado (espesor y tipos de suelo)</w:t>
      </w:r>
    </w:p>
    <w:p w14:paraId="52C3D9C5" w14:textId="77777777" w:rsidR="001A4860" w:rsidRPr="001A4860" w:rsidRDefault="001A4860" w:rsidP="001A4860">
      <w:pPr>
        <w:rPr>
          <w:sz w:val="22"/>
          <w:szCs w:val="22"/>
          <w:lang w:val="es-ES" w:bidi="en-US"/>
        </w:rPr>
      </w:pPr>
      <w:r w:rsidRPr="001A4860">
        <w:rPr>
          <w:sz w:val="22"/>
          <w:szCs w:val="22"/>
          <w:lang w:val="es-ES" w:bidi="en-US"/>
        </w:rPr>
        <w:t>o) Registro eléctrico</w:t>
      </w:r>
    </w:p>
    <w:p w14:paraId="3E86409F" w14:textId="77777777" w:rsidR="001A4860" w:rsidRPr="001A4860" w:rsidRDefault="001A4860" w:rsidP="001A4860">
      <w:pPr>
        <w:rPr>
          <w:sz w:val="22"/>
          <w:szCs w:val="22"/>
          <w:lang w:val="es-ES" w:bidi="en-US"/>
        </w:rPr>
      </w:pPr>
      <w:r w:rsidRPr="001A4860">
        <w:rPr>
          <w:sz w:val="22"/>
          <w:szCs w:val="22"/>
          <w:lang w:val="es-ES" w:bidi="en-US"/>
        </w:rPr>
        <w:t>p) Velocidad de Penetración</w:t>
      </w:r>
    </w:p>
    <w:p w14:paraId="3F69D660" w14:textId="77777777" w:rsidR="001A4860" w:rsidRPr="001A4860" w:rsidRDefault="001A4860" w:rsidP="001A4860">
      <w:pPr>
        <w:rPr>
          <w:sz w:val="22"/>
          <w:szCs w:val="22"/>
          <w:lang w:val="es-ES" w:bidi="en-US"/>
        </w:rPr>
      </w:pPr>
      <w:r w:rsidRPr="001A4860">
        <w:rPr>
          <w:sz w:val="22"/>
          <w:szCs w:val="22"/>
          <w:lang w:val="es-ES" w:bidi="en-US"/>
        </w:rPr>
        <w:t>q) Conclusiones y recomendaciones.</w:t>
      </w:r>
    </w:p>
    <w:p w14:paraId="5A51E6B5" w14:textId="77777777" w:rsidR="001A4860" w:rsidRPr="001A4860" w:rsidRDefault="001A4860" w:rsidP="001A4860">
      <w:pPr>
        <w:rPr>
          <w:sz w:val="22"/>
          <w:szCs w:val="22"/>
          <w:lang w:val="es-ES" w:bidi="en-US"/>
        </w:rPr>
      </w:pPr>
    </w:p>
    <w:p w14:paraId="130C92AF" w14:textId="77777777" w:rsidR="001A4860" w:rsidRPr="001A4860" w:rsidRDefault="001A4860" w:rsidP="001A4860">
      <w:pPr>
        <w:rPr>
          <w:sz w:val="22"/>
          <w:szCs w:val="22"/>
          <w:lang w:val="es-ES" w:bidi="en-US"/>
        </w:rPr>
      </w:pPr>
      <w:r w:rsidRPr="001A4860">
        <w:rPr>
          <w:sz w:val="22"/>
          <w:szCs w:val="22"/>
          <w:lang w:val="es-ES" w:bidi="en-US"/>
        </w:rPr>
        <w:t>(Si el caso fuese que se recomiende pasar a la segunda etapa, el informe final del pozo exploratorio debe contener el diseño del mismo, material y las normas que debe cumplir la tubería de revestimiento, indicando que el diámetro del revestimiento nunca debe ser menor que 150 mm (6 pulgadas).</w:t>
      </w:r>
    </w:p>
    <w:p w14:paraId="646410C0" w14:textId="77777777" w:rsidR="001A4860" w:rsidRPr="001A4860" w:rsidRDefault="001A4860" w:rsidP="001A4860">
      <w:pPr>
        <w:rPr>
          <w:sz w:val="22"/>
          <w:szCs w:val="22"/>
          <w:lang w:val="es-ES" w:bidi="en-US"/>
        </w:rPr>
      </w:pPr>
    </w:p>
    <w:p w14:paraId="6DE37309" w14:textId="77777777" w:rsidR="001A4860" w:rsidRPr="001A4860" w:rsidRDefault="001A4860" w:rsidP="001A4860">
      <w:pPr>
        <w:rPr>
          <w:sz w:val="22"/>
          <w:szCs w:val="22"/>
          <w:lang w:val="es-ES" w:bidi="en-US"/>
        </w:rPr>
      </w:pPr>
      <w:r w:rsidRPr="001A4860">
        <w:rPr>
          <w:sz w:val="22"/>
          <w:szCs w:val="22"/>
          <w:lang w:val="es-ES" w:bidi="en-US"/>
        </w:rPr>
        <w:t xml:space="preserve">Basado en los resultados de los elementos determinados en el pozo de exploración (Registro eléctrico, perfil litológico, velocidad de penetración, rendimiento probable) y condición sine qua nom la </w:t>
      </w:r>
      <w:r w:rsidRPr="001A4860">
        <w:rPr>
          <w:i/>
          <w:sz w:val="22"/>
          <w:szCs w:val="22"/>
          <w:u w:val="single"/>
          <w:lang w:val="es-ES" w:bidi="en-US"/>
        </w:rPr>
        <w:t>factibilidad técnica es favorable</w:t>
      </w:r>
      <w:r w:rsidRPr="001A4860">
        <w:rPr>
          <w:sz w:val="22"/>
          <w:szCs w:val="22"/>
          <w:u w:val="single"/>
          <w:lang w:val="es-ES" w:bidi="en-US"/>
        </w:rPr>
        <w:t xml:space="preserve"> </w:t>
      </w:r>
      <w:r w:rsidRPr="001A4860">
        <w:rPr>
          <w:i/>
          <w:sz w:val="22"/>
          <w:szCs w:val="22"/>
          <w:u w:val="single"/>
          <w:lang w:val="es-ES" w:bidi="en-US"/>
        </w:rPr>
        <w:t>y aprobada por el Ingeniero Supervisor</w:t>
      </w:r>
      <w:r w:rsidRPr="001A4860">
        <w:rPr>
          <w:sz w:val="22"/>
          <w:szCs w:val="22"/>
          <w:lang w:val="es-ES" w:bidi="en-US"/>
        </w:rPr>
        <w:t xml:space="preserve">, se puede continuar con la siguiente etapa: Construcción del pozo de producción, </w:t>
      </w:r>
      <w:r w:rsidRPr="001A4860">
        <w:rPr>
          <w:i/>
          <w:sz w:val="22"/>
          <w:szCs w:val="22"/>
          <w:u w:val="single"/>
          <w:lang w:val="es-ES" w:bidi="en-US"/>
        </w:rPr>
        <w:t>entendiéndose como favorable</w:t>
      </w:r>
      <w:r w:rsidRPr="001A4860">
        <w:rPr>
          <w:sz w:val="22"/>
          <w:szCs w:val="22"/>
          <w:lang w:val="es-ES" w:bidi="en-US"/>
        </w:rPr>
        <w:t>, cuando los resultados demuestren que se cumplen los siguientes aspectos:</w:t>
      </w:r>
    </w:p>
    <w:p w14:paraId="49C0FF94" w14:textId="77777777" w:rsidR="001A4860" w:rsidRPr="001A4860" w:rsidRDefault="001A4860" w:rsidP="001A4860">
      <w:pPr>
        <w:rPr>
          <w:sz w:val="22"/>
          <w:szCs w:val="22"/>
          <w:lang w:val="es-ES" w:bidi="en-US"/>
        </w:rPr>
      </w:pPr>
      <w:r w:rsidRPr="001A4860">
        <w:rPr>
          <w:sz w:val="22"/>
          <w:szCs w:val="22"/>
          <w:lang w:val="es-ES" w:bidi="en-US"/>
        </w:rPr>
        <w:t>a) La producción del pozo es estimada con la demanda mínima necesaria para el período de diseño requerido;</w:t>
      </w:r>
    </w:p>
    <w:p w14:paraId="0C19AC68" w14:textId="77777777" w:rsidR="001A4860" w:rsidRPr="001A4860" w:rsidRDefault="001A4860" w:rsidP="001A4860">
      <w:pPr>
        <w:rPr>
          <w:sz w:val="22"/>
          <w:szCs w:val="22"/>
          <w:lang w:val="es-ES" w:bidi="en-US"/>
        </w:rPr>
      </w:pPr>
      <w:r w:rsidRPr="001A4860">
        <w:rPr>
          <w:sz w:val="22"/>
          <w:szCs w:val="22"/>
          <w:lang w:val="es-ES" w:bidi="en-US"/>
        </w:rPr>
        <w:t>b) La calidad del agua cumple con los parámetros Físico – Químicos y bacteriológicos mínimos definidos en estos términos, requeridos por las Normas vigentes de clasificación recursos hídricos (NTON 05-007-98)</w:t>
      </w:r>
    </w:p>
    <w:p w14:paraId="4FF7CAE0" w14:textId="77777777" w:rsidR="001A4860" w:rsidRPr="001A4860" w:rsidRDefault="001A4860" w:rsidP="001A4860">
      <w:pPr>
        <w:rPr>
          <w:sz w:val="22"/>
          <w:szCs w:val="22"/>
          <w:lang w:val="es-ES" w:bidi="en-US"/>
        </w:rPr>
      </w:pPr>
      <w:r w:rsidRPr="001A4860">
        <w:rPr>
          <w:sz w:val="22"/>
          <w:szCs w:val="22"/>
          <w:lang w:val="es-ES" w:bidi="en-US"/>
        </w:rPr>
        <w:t>Si se identifica algún parámetro de los definidos en la norma como “No deseables para la salud humana”, con valores mayores a los permisibles, el contratante está obligado a evaluar condiciones y emitir dictamen de dar por finalizado el contrato sin responsabilidad de las partes, cancelando únicamente la primera etapa.</w:t>
      </w:r>
    </w:p>
    <w:p w14:paraId="702EDCF2" w14:textId="77777777" w:rsidR="001A4860" w:rsidRPr="001A4860" w:rsidRDefault="001A4860" w:rsidP="001A4860">
      <w:pPr>
        <w:rPr>
          <w:sz w:val="22"/>
          <w:szCs w:val="22"/>
          <w:lang w:val="es-ES" w:bidi="en-US"/>
        </w:rPr>
      </w:pPr>
      <w:r w:rsidRPr="001A4860">
        <w:rPr>
          <w:sz w:val="22"/>
          <w:szCs w:val="22"/>
          <w:lang w:val="es-ES" w:bidi="en-US"/>
        </w:rPr>
        <w:t>En caso que, existen parámetros de calidad que presenten resultados mayores a los estándares de las normas, pero que, a juicio del Supervisor del Proyecto, puede aplicarse un tratamiento para cumplir la calidad requerida, se continúa con la segunda etapa del contrato, para ello el contratista debe incluir las recomendaciones sobre el tipo de tratamiento seleccionado, como parte integral del informe de perforación</w:t>
      </w:r>
      <w:r w:rsidRPr="001A4860">
        <w:rPr>
          <w:sz w:val="22"/>
          <w:szCs w:val="22"/>
          <w:lang w:val="es-NI" w:bidi="en-US"/>
        </w:rPr>
        <w:t xml:space="preserve"> </w:t>
      </w:r>
      <w:r w:rsidRPr="001A4860">
        <w:rPr>
          <w:sz w:val="22"/>
          <w:szCs w:val="22"/>
          <w:lang w:val="es-ES" w:bidi="en-US"/>
        </w:rPr>
        <w:t>del pozo exploratorio de prueba.</w:t>
      </w:r>
    </w:p>
    <w:p w14:paraId="50DF2D7E" w14:textId="77777777" w:rsidR="001A4860" w:rsidRPr="001A4860" w:rsidRDefault="001A4860" w:rsidP="001A4860">
      <w:pPr>
        <w:rPr>
          <w:sz w:val="22"/>
          <w:szCs w:val="22"/>
          <w:lang w:val="es-ES" w:bidi="en-US"/>
        </w:rPr>
      </w:pPr>
    </w:p>
    <w:p w14:paraId="1CE12519" w14:textId="77777777" w:rsidR="001A4860" w:rsidRPr="001A4860" w:rsidRDefault="001A4860" w:rsidP="001A4860">
      <w:pPr>
        <w:keepNext/>
        <w:ind w:left="720" w:hanging="720"/>
        <w:outlineLvl w:val="2"/>
        <w:rPr>
          <w:rFonts w:eastAsia="Arial Narrow"/>
          <w:b/>
          <w:bCs/>
          <w:iCs/>
          <w:sz w:val="22"/>
          <w:szCs w:val="22"/>
          <w:lang w:val="es-ES" w:bidi="en-US"/>
        </w:rPr>
      </w:pPr>
      <w:bookmarkStart w:id="810" w:name="_Toc23249411"/>
      <w:r w:rsidRPr="001A4860">
        <w:rPr>
          <w:rFonts w:eastAsia="Arial Narrow"/>
          <w:b/>
          <w:bCs/>
          <w:iCs/>
          <w:sz w:val="22"/>
          <w:szCs w:val="22"/>
          <w:lang w:val="es-ES" w:bidi="en-US"/>
        </w:rPr>
        <w:t>Perforación del pozo de producción.</w:t>
      </w:r>
      <w:bookmarkEnd w:id="810"/>
    </w:p>
    <w:p w14:paraId="04590042" w14:textId="77777777" w:rsidR="001A4860" w:rsidRPr="001A4860" w:rsidRDefault="001A4860" w:rsidP="001A4860">
      <w:pPr>
        <w:rPr>
          <w:b/>
          <w:i/>
          <w:sz w:val="22"/>
          <w:szCs w:val="22"/>
          <w:u w:val="single"/>
          <w:lang w:val="es-ES" w:bidi="en-US"/>
        </w:rPr>
      </w:pPr>
    </w:p>
    <w:p w14:paraId="656BA516" w14:textId="77777777" w:rsidR="001A4860" w:rsidRPr="001A4860" w:rsidRDefault="001A4860" w:rsidP="001A4860">
      <w:pPr>
        <w:rPr>
          <w:sz w:val="22"/>
          <w:szCs w:val="22"/>
          <w:lang w:val="es-ES" w:bidi="en-US"/>
        </w:rPr>
      </w:pPr>
      <w:r w:rsidRPr="001A4860">
        <w:rPr>
          <w:b/>
          <w:i/>
          <w:sz w:val="22"/>
          <w:szCs w:val="22"/>
          <w:u w:val="single"/>
          <w:lang w:val="es-ES" w:bidi="en-US"/>
        </w:rPr>
        <w:t>Inicio de la etapa de perforación del pozo de producción.</w:t>
      </w:r>
      <w:r w:rsidRPr="001A4860">
        <w:rPr>
          <w:sz w:val="22"/>
          <w:szCs w:val="22"/>
          <w:lang w:val="es-ES" w:bidi="en-US"/>
        </w:rPr>
        <w:t xml:space="preserve"> La profundidad total del pozo de producción no debe superar la profundidad recomendada en el </w:t>
      </w:r>
      <w:r w:rsidRPr="001A4860">
        <w:rPr>
          <w:i/>
          <w:sz w:val="22"/>
          <w:szCs w:val="22"/>
          <w:lang w:val="es-ES" w:bidi="en-US"/>
        </w:rPr>
        <w:t>Informe Hidrogeológico</w:t>
      </w:r>
      <w:r w:rsidRPr="001A4860">
        <w:rPr>
          <w:sz w:val="22"/>
          <w:szCs w:val="22"/>
          <w:lang w:val="es-ES" w:bidi="en-US"/>
        </w:rPr>
        <w:t xml:space="preserve">. Se continua la perforación del agujero del pozo exploratorio de prueba, desde el inicio de la superficie, con diámetro mayor de perforación. El Ingeniero Supervisor, debe garantizar el cumplimiento de lo establecido en estos términos de referencia, debe garantizar el seguimiento y control de la ejecución de las actividades de perforación, y sus obras comunes y conexas, garantizar vigilancia constante y permanente por parte de él y de su equipo de apoyo en la obra, </w:t>
      </w:r>
      <w:r w:rsidRPr="001A4860">
        <w:rPr>
          <w:b/>
          <w:i/>
          <w:sz w:val="22"/>
          <w:szCs w:val="22"/>
          <w:u w:val="single"/>
          <w:lang w:val="es-ES" w:bidi="en-US"/>
        </w:rPr>
        <w:t>para prevenir incidencias adversas a los trabajos y repercutan en retraso de los tiempos de las actividades actuales y futuras del proyecto y/o afecten la calidad del agua.</w:t>
      </w:r>
      <w:r w:rsidRPr="001A4860">
        <w:rPr>
          <w:sz w:val="22"/>
          <w:szCs w:val="22"/>
          <w:lang w:val="es-ES" w:bidi="en-US"/>
        </w:rPr>
        <w:t xml:space="preserve"> La profundidad total recomendada del pozo de producción la establece en Supervisor y no debe ser menor que el 65% de la profundidad total.</w:t>
      </w:r>
    </w:p>
    <w:p w14:paraId="6DA93746" w14:textId="77777777" w:rsidR="001A4860" w:rsidRPr="001A4860" w:rsidRDefault="001A4860" w:rsidP="001A4860">
      <w:pPr>
        <w:rPr>
          <w:sz w:val="22"/>
          <w:szCs w:val="22"/>
          <w:lang w:val="es-ES" w:bidi="en-US"/>
        </w:rPr>
      </w:pPr>
    </w:p>
    <w:p w14:paraId="0FBA630E" w14:textId="77777777" w:rsidR="001A4860" w:rsidRPr="001A4860" w:rsidRDefault="001A4860" w:rsidP="001A4860">
      <w:pPr>
        <w:rPr>
          <w:sz w:val="22"/>
          <w:szCs w:val="22"/>
          <w:lang w:val="es-ES" w:bidi="en-US"/>
        </w:rPr>
      </w:pPr>
      <w:r w:rsidRPr="001A4860">
        <w:rPr>
          <w:sz w:val="22"/>
          <w:szCs w:val="22"/>
          <w:lang w:val="es-ES" w:bidi="en-US"/>
        </w:rPr>
        <w:t xml:space="preserve">Ejecución de las actividades de desarrollo del pozo exploratorio perforado, complementando la etapa constructiva correspondiente: </w:t>
      </w:r>
    </w:p>
    <w:p w14:paraId="7C76D5D7"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Ampliar el diámetro nominal de perforación del agujero.</w:t>
      </w:r>
    </w:p>
    <w:p w14:paraId="75F69D6D"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Revestimiento de pozo.</w:t>
      </w:r>
    </w:p>
    <w:p w14:paraId="11025669"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Prueba de verticalidad y alineamiento del pozo.</w:t>
      </w:r>
    </w:p>
    <w:p w14:paraId="21B9BEB5"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Colocación de filtro artificial.</w:t>
      </w:r>
    </w:p>
    <w:p w14:paraId="6DD5E0F2"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 xml:space="preserve">Limpieza y desarrollo del pozo </w:t>
      </w:r>
    </w:p>
    <w:p w14:paraId="412390C9"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Aforo del pozo: Ensayos (pruebas) de bombeo del acuífero. Este se debe hacer en dos momentos</w:t>
      </w:r>
    </w:p>
    <w:p w14:paraId="0C764604" w14:textId="77777777" w:rsidR="001A4860" w:rsidRPr="001A4860" w:rsidRDefault="001A4860" w:rsidP="001A4860">
      <w:pPr>
        <w:rPr>
          <w:sz w:val="22"/>
          <w:szCs w:val="22"/>
          <w:lang w:val="es-ES" w:bidi="en-US"/>
        </w:rPr>
      </w:pPr>
      <w:r w:rsidRPr="001A4860">
        <w:rPr>
          <w:sz w:val="22"/>
          <w:szCs w:val="22"/>
          <w:lang w:val="es-ES" w:bidi="en-US"/>
        </w:rPr>
        <w:t>Primer momento: Prueba con caudal variable (prueba escalonada).</w:t>
      </w:r>
    </w:p>
    <w:p w14:paraId="3068B682" w14:textId="77777777" w:rsidR="001A4860" w:rsidRPr="001A4860" w:rsidRDefault="001A4860" w:rsidP="001A4860">
      <w:pPr>
        <w:rPr>
          <w:sz w:val="22"/>
          <w:szCs w:val="22"/>
          <w:lang w:val="es-ES" w:bidi="en-US"/>
        </w:rPr>
      </w:pPr>
      <w:r w:rsidRPr="001A4860">
        <w:rPr>
          <w:sz w:val="22"/>
          <w:szCs w:val="22"/>
          <w:lang w:val="es-ES" w:bidi="en-US"/>
        </w:rPr>
        <w:t>Segundo momento: Prueba a caudal constante (prueba definitiva) con el caudal de bombeo solicitado.</w:t>
      </w:r>
    </w:p>
    <w:p w14:paraId="3C2E75C3"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 xml:space="preserve">Impermeabilización y sello sanitario del pozo </w:t>
      </w:r>
    </w:p>
    <w:p w14:paraId="5D68A031"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 xml:space="preserve">Construcción de cabezal de protección del pozo. </w:t>
      </w:r>
    </w:p>
    <w:p w14:paraId="11D6564A"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 xml:space="preserve">Tubería para medición de agua. Etc. </w:t>
      </w:r>
    </w:p>
    <w:p w14:paraId="66B90A3B" w14:textId="77777777" w:rsidR="001A4860" w:rsidRPr="001A4860" w:rsidRDefault="001A4860" w:rsidP="003B68DB">
      <w:pPr>
        <w:numPr>
          <w:ilvl w:val="0"/>
          <w:numId w:val="169"/>
        </w:numPr>
        <w:jc w:val="left"/>
        <w:rPr>
          <w:sz w:val="22"/>
          <w:szCs w:val="22"/>
          <w:lang w:val="es-ES" w:bidi="en-US"/>
        </w:rPr>
      </w:pPr>
      <w:r w:rsidRPr="001A4860">
        <w:rPr>
          <w:sz w:val="22"/>
          <w:szCs w:val="22"/>
          <w:lang w:val="es-ES" w:bidi="en-US"/>
        </w:rPr>
        <w:t>Análisis físico, químico y bacteriológico de la muestra de agua proveniente del pozo.</w:t>
      </w:r>
    </w:p>
    <w:p w14:paraId="63CA5FDC" w14:textId="77777777" w:rsidR="001A4860" w:rsidRPr="001A4860" w:rsidRDefault="001A4860" w:rsidP="001A4860">
      <w:pPr>
        <w:rPr>
          <w:sz w:val="22"/>
          <w:szCs w:val="22"/>
          <w:lang w:val="es-NI" w:bidi="en-US"/>
        </w:rPr>
      </w:pPr>
    </w:p>
    <w:p w14:paraId="65CC605F" w14:textId="77777777" w:rsidR="001A4860" w:rsidRPr="001A4860" w:rsidRDefault="001A4860" w:rsidP="001A4860">
      <w:pPr>
        <w:rPr>
          <w:sz w:val="22"/>
          <w:szCs w:val="22"/>
          <w:lang w:val="es-ES" w:bidi="en-US"/>
        </w:rPr>
      </w:pPr>
      <w:r w:rsidRPr="001A4860">
        <w:rPr>
          <w:sz w:val="22"/>
          <w:szCs w:val="22"/>
          <w:lang w:val="es-NI" w:bidi="en-US"/>
        </w:rPr>
        <w:t xml:space="preserve">Perforar </w:t>
      </w:r>
      <w:r w:rsidRPr="001A4860">
        <w:rPr>
          <w:sz w:val="22"/>
          <w:szCs w:val="22"/>
          <w:lang w:val="es-ES" w:bidi="en-US"/>
        </w:rPr>
        <w:t xml:space="preserve">el pozo preferiblemente con el sistema rotativo; al utilizar el sistema de rotación, emplear lodos de perforación biodegradables para evitar sellar las formaciones acuíferas; y evitar el uso de lodos de arcilla o </w:t>
      </w:r>
      <w:r w:rsidRPr="001A4860">
        <w:rPr>
          <w:sz w:val="22"/>
          <w:szCs w:val="22"/>
          <w:lang w:val="es-ES" w:bidi="en-US"/>
        </w:rPr>
        <w:lastRenderedPageBreak/>
        <w:t>de bentonita en la zona acuífera, por debajo del nivel freático crítico (nivel freático de la época de seca o período de estío).</w:t>
      </w:r>
    </w:p>
    <w:p w14:paraId="6C9A1A77" w14:textId="77777777" w:rsidR="001A4860" w:rsidRPr="001A4860" w:rsidRDefault="001A4860" w:rsidP="001A4860">
      <w:pPr>
        <w:rPr>
          <w:sz w:val="22"/>
          <w:szCs w:val="22"/>
          <w:lang w:val="es-ES" w:bidi="en-US"/>
        </w:rPr>
      </w:pPr>
    </w:p>
    <w:p w14:paraId="6EF62E08" w14:textId="77777777" w:rsidR="001A4860" w:rsidRPr="001A4860" w:rsidRDefault="001A4860" w:rsidP="001A4860">
      <w:pPr>
        <w:rPr>
          <w:sz w:val="22"/>
          <w:szCs w:val="22"/>
          <w:lang w:val="es-ES" w:bidi="en-US"/>
        </w:rPr>
      </w:pPr>
      <w:r w:rsidRPr="001A4860">
        <w:rPr>
          <w:sz w:val="22"/>
          <w:szCs w:val="22"/>
          <w:lang w:val="es-ES" w:bidi="en-US"/>
        </w:rPr>
        <w:t>El Ingeniero Supervisor del Proyecto, garantiza el control y seguimiento constante de las actividades de: a) perforación, b) de tomas de muestras para análisis de calidad del agua subterránea, c) de ensayos de bombeo del acuífero, d) de revestimiento del pozo, e) entre otras actividades. El Ingeniero Supervisor, advierte en todo momento al Responsable del Equipo de perforación, el monitoreo de la calidad organoléptica del agua, para prevenir y/o tomar las precauciones necesarias según la pertinencia del caso.</w:t>
      </w:r>
    </w:p>
    <w:p w14:paraId="7550CAD6" w14:textId="77777777" w:rsidR="001A4860" w:rsidRPr="001A4860" w:rsidRDefault="001A4860" w:rsidP="001A4860">
      <w:pPr>
        <w:rPr>
          <w:sz w:val="22"/>
          <w:szCs w:val="22"/>
          <w:lang w:val="es-ES" w:bidi="en-US"/>
        </w:rPr>
      </w:pPr>
    </w:p>
    <w:p w14:paraId="37825D2B" w14:textId="77777777" w:rsidR="001A4860" w:rsidRPr="001A4860" w:rsidRDefault="001A4860" w:rsidP="001A4860">
      <w:pPr>
        <w:keepNext/>
        <w:ind w:left="720" w:hanging="720"/>
        <w:outlineLvl w:val="2"/>
        <w:rPr>
          <w:rFonts w:eastAsia="Arial Narrow"/>
          <w:b/>
          <w:bCs/>
          <w:iCs/>
          <w:sz w:val="22"/>
          <w:szCs w:val="22"/>
          <w:lang w:val="es-ES" w:bidi="en-US"/>
        </w:rPr>
      </w:pPr>
      <w:bookmarkStart w:id="811" w:name="_Toc23249412"/>
      <w:r w:rsidRPr="001A4860">
        <w:rPr>
          <w:rFonts w:eastAsia="Arial Narrow"/>
          <w:b/>
          <w:bCs/>
          <w:iCs/>
          <w:sz w:val="22"/>
          <w:szCs w:val="22"/>
          <w:lang w:val="es-ES" w:bidi="en-US"/>
        </w:rPr>
        <w:t>Informe final de perforación del pozo de producción</w:t>
      </w:r>
      <w:bookmarkEnd w:id="811"/>
    </w:p>
    <w:p w14:paraId="1F3D03FA" w14:textId="77777777" w:rsidR="001A4860" w:rsidRPr="001A4860" w:rsidRDefault="001A4860" w:rsidP="001A4860">
      <w:pPr>
        <w:rPr>
          <w:bCs/>
          <w:sz w:val="22"/>
          <w:szCs w:val="22"/>
          <w:lang w:val="es-NI" w:bidi="en-US"/>
        </w:rPr>
      </w:pPr>
    </w:p>
    <w:p w14:paraId="02CE60FF" w14:textId="77777777" w:rsidR="001A4860" w:rsidRPr="001A4860" w:rsidRDefault="001A4860" w:rsidP="001A4860">
      <w:pPr>
        <w:rPr>
          <w:bCs/>
          <w:sz w:val="22"/>
          <w:szCs w:val="22"/>
          <w:lang w:val="es-NI" w:bidi="en-US"/>
        </w:rPr>
      </w:pPr>
      <w:r w:rsidRPr="001A4860">
        <w:rPr>
          <w:bCs/>
          <w:sz w:val="22"/>
          <w:szCs w:val="22"/>
          <w:lang w:val="es-NI" w:bidi="en-US"/>
        </w:rPr>
        <w:t>El Informe final de la construcción del pozo de producción debe contener:</w:t>
      </w:r>
    </w:p>
    <w:p w14:paraId="426BBB94"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Localización exacta con coordenadas geodésicas y elevación referidos a mojones y a una distancia.</w:t>
      </w:r>
    </w:p>
    <w:p w14:paraId="3A07E54D"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Descripción del pozo</w:t>
      </w:r>
    </w:p>
    <w:p w14:paraId="5BF47EDB"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Fotos del pozo</w:t>
      </w:r>
    </w:p>
    <w:p w14:paraId="4DB38720"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Fecha de referencia</w:t>
      </w:r>
    </w:p>
    <w:p w14:paraId="7B53C238"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Avance de perforación del pozo.</w:t>
      </w:r>
    </w:p>
    <w:p w14:paraId="574ED840"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Planos (corte transversal)</w:t>
      </w:r>
    </w:p>
    <w:p w14:paraId="06CAFD79"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Diario de perforación</w:t>
      </w:r>
    </w:p>
    <w:p w14:paraId="346AC5DA"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Registros litológicos</w:t>
      </w:r>
    </w:p>
    <w:p w14:paraId="7F350D30"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Registro eléctrico</w:t>
      </w:r>
    </w:p>
    <w:p w14:paraId="3147F834"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Informes sobre el desarrollo</w:t>
      </w:r>
    </w:p>
    <w:p w14:paraId="3109AFD8"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Resultados de las pruebas de bombeo, a caudal variable y constante, según norma.</w:t>
      </w:r>
    </w:p>
    <w:p w14:paraId="5BABB9D9"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Todos los análisis realizados (cálculos y graficas)</w:t>
      </w:r>
    </w:p>
    <w:p w14:paraId="6605A581"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Resultados de calidad de agua.</w:t>
      </w:r>
    </w:p>
    <w:p w14:paraId="01AB2061"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Pruebas de verticalidad y lineamiento</w:t>
      </w:r>
    </w:p>
    <w:p w14:paraId="1D05ECE7"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Planos de Obra Ejecutada.</w:t>
      </w:r>
    </w:p>
    <w:p w14:paraId="075E0E39"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Recomendaciones de explotación del pozo (debidamente respaldados con los cálculos respectivos)</w:t>
      </w:r>
    </w:p>
    <w:p w14:paraId="3E5462F2" w14:textId="77777777" w:rsidR="001A4860" w:rsidRPr="001A4860" w:rsidRDefault="001A4860" w:rsidP="003B68DB">
      <w:pPr>
        <w:numPr>
          <w:ilvl w:val="0"/>
          <w:numId w:val="172"/>
        </w:numPr>
        <w:jc w:val="left"/>
        <w:rPr>
          <w:bCs/>
          <w:sz w:val="22"/>
          <w:szCs w:val="22"/>
          <w:lang w:val="es-NI" w:bidi="en-US"/>
        </w:rPr>
      </w:pPr>
      <w:r w:rsidRPr="001A4860">
        <w:rPr>
          <w:bCs/>
          <w:sz w:val="22"/>
          <w:szCs w:val="22"/>
          <w:lang w:val="es-NI" w:bidi="en-US"/>
        </w:rPr>
        <w:t>Conclusiones y recomendaciones</w:t>
      </w:r>
    </w:p>
    <w:p w14:paraId="4664A745" w14:textId="77777777" w:rsidR="001A4860" w:rsidRPr="001A4860" w:rsidRDefault="001A4860" w:rsidP="001A4860">
      <w:pPr>
        <w:rPr>
          <w:sz w:val="22"/>
          <w:szCs w:val="22"/>
          <w:lang w:val="es-ES" w:bidi="en-US"/>
        </w:rPr>
      </w:pPr>
    </w:p>
    <w:p w14:paraId="1E71D53D" w14:textId="77777777" w:rsidR="001A4860" w:rsidRPr="001A4860" w:rsidRDefault="001A4860" w:rsidP="001A4860">
      <w:pPr>
        <w:keepNext/>
        <w:outlineLvl w:val="1"/>
        <w:rPr>
          <w:rFonts w:eastAsia="Arial Narrow"/>
          <w:b/>
          <w:bCs/>
          <w:iCs/>
          <w:sz w:val="22"/>
          <w:szCs w:val="22"/>
          <w:lang w:val="es-NI" w:bidi="en-US"/>
        </w:rPr>
      </w:pPr>
      <w:bookmarkStart w:id="812" w:name="_Toc23249413"/>
      <w:r w:rsidRPr="001A4860">
        <w:rPr>
          <w:rFonts w:eastAsia="Arial Narrow"/>
          <w:b/>
          <w:bCs/>
          <w:iCs/>
          <w:sz w:val="22"/>
          <w:szCs w:val="22"/>
          <w:lang w:val="es-NI" w:bidi="en-US"/>
        </w:rPr>
        <w:t>Especificaciones técnicas particulares para la perforación del pozo</w:t>
      </w:r>
      <w:bookmarkEnd w:id="812"/>
    </w:p>
    <w:p w14:paraId="100E5077" w14:textId="77777777" w:rsidR="001A4860" w:rsidRPr="001A4860" w:rsidRDefault="001A4860" w:rsidP="001A4860">
      <w:pPr>
        <w:rPr>
          <w:sz w:val="22"/>
          <w:szCs w:val="22"/>
          <w:lang w:val="es-ES" w:bidi="en-US"/>
        </w:rPr>
      </w:pPr>
    </w:p>
    <w:p w14:paraId="1031ADC4" w14:textId="77777777" w:rsidR="001A4860" w:rsidRPr="001A4860" w:rsidRDefault="001A4860" w:rsidP="001A4860">
      <w:pPr>
        <w:rPr>
          <w:sz w:val="22"/>
          <w:szCs w:val="22"/>
          <w:lang w:val="es-ES" w:bidi="en-US"/>
        </w:rPr>
      </w:pPr>
      <w:r w:rsidRPr="001A4860">
        <w:rPr>
          <w:sz w:val="22"/>
          <w:szCs w:val="22"/>
          <w:lang w:val="es-ES" w:bidi="en-US"/>
        </w:rPr>
        <w:t xml:space="preserve">La perforación del pozo profundo con fines de abastecimiento de agua potable, el Contratista debe apegarse al diseño constructivo preliminar que se muestra en el juego de planos y en la descripción de del proyecto </w:t>
      </w:r>
    </w:p>
    <w:p w14:paraId="5CE3E515" w14:textId="77777777" w:rsidR="001A4860" w:rsidRPr="001A4860" w:rsidRDefault="001A4860" w:rsidP="001A4860">
      <w:pPr>
        <w:rPr>
          <w:sz w:val="22"/>
          <w:szCs w:val="22"/>
          <w:lang w:val="es-ES" w:bidi="en-US"/>
        </w:rPr>
      </w:pPr>
    </w:p>
    <w:p w14:paraId="2DD84F44" w14:textId="77777777" w:rsidR="001A4860" w:rsidRPr="001A4860" w:rsidRDefault="001A4860" w:rsidP="001A4860">
      <w:pPr>
        <w:keepNext/>
        <w:ind w:left="720" w:hanging="720"/>
        <w:outlineLvl w:val="2"/>
        <w:rPr>
          <w:rFonts w:eastAsia="Arial Narrow"/>
          <w:b/>
          <w:bCs/>
          <w:iCs/>
          <w:sz w:val="22"/>
          <w:szCs w:val="22"/>
          <w:lang w:val="es-ES" w:bidi="en-US"/>
        </w:rPr>
      </w:pPr>
      <w:bookmarkStart w:id="813" w:name="_Toc23249414"/>
      <w:r w:rsidRPr="001A4860">
        <w:rPr>
          <w:rFonts w:eastAsia="Arial Narrow"/>
          <w:b/>
          <w:bCs/>
          <w:iCs/>
          <w:sz w:val="22"/>
          <w:szCs w:val="22"/>
          <w:lang w:val="es-ES" w:bidi="en-US"/>
        </w:rPr>
        <w:t>Especificaciones técnicas del pozo exploratorio de prueba</w:t>
      </w:r>
      <w:bookmarkEnd w:id="813"/>
    </w:p>
    <w:p w14:paraId="5E65A81C" w14:textId="77777777" w:rsidR="001A4860" w:rsidRPr="001A4860" w:rsidRDefault="001A4860" w:rsidP="001A4860">
      <w:pPr>
        <w:rPr>
          <w:sz w:val="22"/>
          <w:szCs w:val="22"/>
          <w:lang w:val="es-ES" w:bidi="en-US"/>
        </w:rPr>
      </w:pPr>
    </w:p>
    <w:p w14:paraId="7CEF3427" w14:textId="77777777" w:rsidR="001A4860" w:rsidRPr="001A4860" w:rsidRDefault="001A4860" w:rsidP="001A4860">
      <w:pPr>
        <w:keepNext/>
        <w:jc w:val="left"/>
        <w:outlineLvl w:val="3"/>
        <w:rPr>
          <w:b/>
          <w:bCs/>
          <w:sz w:val="22"/>
          <w:szCs w:val="22"/>
          <w:lang w:val="es-ES" w:bidi="en-US"/>
        </w:rPr>
      </w:pPr>
      <w:bookmarkStart w:id="814" w:name="_Toc23249415"/>
      <w:r w:rsidRPr="001A4860">
        <w:rPr>
          <w:b/>
          <w:bCs/>
          <w:sz w:val="22"/>
          <w:szCs w:val="22"/>
          <w:lang w:val="es-ES" w:bidi="en-US"/>
        </w:rPr>
        <w:t>Ubicación del sitio seleccionado.</w:t>
      </w:r>
      <w:bookmarkEnd w:id="814"/>
    </w:p>
    <w:p w14:paraId="7FB0B147" w14:textId="77777777" w:rsidR="001A4860" w:rsidRPr="001A4860" w:rsidRDefault="001A4860" w:rsidP="001A4860">
      <w:pPr>
        <w:rPr>
          <w:sz w:val="22"/>
          <w:szCs w:val="22"/>
          <w:lang w:val="es-ES" w:bidi="en-US"/>
        </w:rPr>
      </w:pPr>
    </w:p>
    <w:p w14:paraId="388DED66" w14:textId="77777777" w:rsidR="001A4860" w:rsidRPr="001A4860" w:rsidRDefault="001A4860" w:rsidP="001A4860">
      <w:pPr>
        <w:rPr>
          <w:sz w:val="22"/>
          <w:szCs w:val="22"/>
          <w:lang w:val="es-ES" w:bidi="en-US"/>
        </w:rPr>
      </w:pPr>
      <w:r w:rsidRPr="001A4860">
        <w:rPr>
          <w:sz w:val="22"/>
          <w:szCs w:val="22"/>
          <w:lang w:val="es-ES" w:bidi="en-US"/>
        </w:rPr>
        <w:t xml:space="preserve">El sitio seleccionado en el </w:t>
      </w:r>
      <w:r w:rsidRPr="001A4860">
        <w:rPr>
          <w:b/>
          <w:i/>
          <w:sz w:val="22"/>
          <w:szCs w:val="22"/>
          <w:lang w:val="es-ES" w:bidi="en-US"/>
        </w:rPr>
        <w:t>Informe Hidrogeológico</w:t>
      </w:r>
      <w:r w:rsidRPr="001A4860">
        <w:rPr>
          <w:sz w:val="22"/>
          <w:szCs w:val="22"/>
          <w:lang w:val="es-ES" w:bidi="en-US"/>
        </w:rPr>
        <w:t xml:space="preserve">, para perforar el pozo profundo, está ubicado en las </w:t>
      </w:r>
      <w:r w:rsidRPr="001A4860">
        <w:rPr>
          <w:sz w:val="22"/>
          <w:szCs w:val="22"/>
          <w:lang w:val="es-ES" w:eastAsia="es-ES"/>
        </w:rPr>
        <w:t>Coordenadas UTM 16P X: 565963.04 m E, Y: 1489747.83 m N. Elevación: 558.70 msnm</w:t>
      </w:r>
      <w:r w:rsidRPr="001A4860">
        <w:rPr>
          <w:sz w:val="22"/>
          <w:szCs w:val="22"/>
          <w:lang w:val="es-ES" w:bidi="en-US"/>
        </w:rPr>
        <w:t>.</w:t>
      </w:r>
    </w:p>
    <w:p w14:paraId="37D93E98" w14:textId="77777777" w:rsidR="001A4860" w:rsidRPr="001A4860" w:rsidRDefault="001A4860" w:rsidP="001A4860">
      <w:pPr>
        <w:rPr>
          <w:b/>
          <w:sz w:val="22"/>
          <w:szCs w:val="22"/>
          <w:lang w:val="es-ES" w:bidi="en-US"/>
        </w:rPr>
      </w:pPr>
    </w:p>
    <w:p w14:paraId="24430D36" w14:textId="77777777" w:rsidR="001A4860" w:rsidRPr="001A4860" w:rsidRDefault="001A4860" w:rsidP="001A4860">
      <w:pPr>
        <w:keepNext/>
        <w:jc w:val="left"/>
        <w:outlineLvl w:val="3"/>
        <w:rPr>
          <w:b/>
          <w:bCs/>
          <w:sz w:val="22"/>
          <w:szCs w:val="22"/>
          <w:lang w:val="es-ES" w:bidi="en-US"/>
        </w:rPr>
      </w:pPr>
      <w:bookmarkStart w:id="815" w:name="_Toc23249416"/>
      <w:r w:rsidRPr="001A4860">
        <w:rPr>
          <w:b/>
          <w:bCs/>
          <w:sz w:val="22"/>
          <w:szCs w:val="22"/>
          <w:lang w:val="es-ES" w:bidi="en-US"/>
        </w:rPr>
        <w:t>Registro geoeléctrico</w:t>
      </w:r>
      <w:bookmarkEnd w:id="815"/>
    </w:p>
    <w:p w14:paraId="3B5E88BD" w14:textId="77777777" w:rsidR="001A4860" w:rsidRPr="001A4860" w:rsidRDefault="001A4860" w:rsidP="001A4860">
      <w:pPr>
        <w:rPr>
          <w:sz w:val="22"/>
          <w:szCs w:val="22"/>
          <w:lang w:val="es-ES" w:bidi="en-US"/>
        </w:rPr>
      </w:pPr>
    </w:p>
    <w:p w14:paraId="34B09660" w14:textId="77777777" w:rsidR="001A4860" w:rsidRPr="001A4860" w:rsidRDefault="001A4860" w:rsidP="001A4860">
      <w:pPr>
        <w:rPr>
          <w:sz w:val="22"/>
          <w:szCs w:val="22"/>
          <w:lang w:val="es-ES" w:bidi="en-US"/>
        </w:rPr>
      </w:pPr>
      <w:r w:rsidRPr="001A4860">
        <w:rPr>
          <w:sz w:val="22"/>
          <w:szCs w:val="22"/>
          <w:lang w:val="es-ES" w:bidi="en-US"/>
        </w:rPr>
        <w:t>Realizar sondeo geoeléctrico y elaborar diseño de pozo que muestre el registro del perfil litológico de los estratos a perforar.</w:t>
      </w:r>
    </w:p>
    <w:p w14:paraId="7585A0F0" w14:textId="77777777" w:rsidR="001A4860" w:rsidRPr="001A4860" w:rsidRDefault="001A4860" w:rsidP="001A4860">
      <w:pPr>
        <w:rPr>
          <w:sz w:val="22"/>
          <w:szCs w:val="22"/>
          <w:lang w:val="es-ES" w:bidi="en-US"/>
        </w:rPr>
      </w:pPr>
    </w:p>
    <w:p w14:paraId="227BFCA4" w14:textId="77777777" w:rsidR="001A4860" w:rsidRPr="001A4860" w:rsidRDefault="001A4860" w:rsidP="001A4860">
      <w:pPr>
        <w:keepNext/>
        <w:jc w:val="left"/>
        <w:outlineLvl w:val="3"/>
        <w:rPr>
          <w:b/>
          <w:bCs/>
          <w:sz w:val="22"/>
          <w:szCs w:val="22"/>
          <w:lang w:val="es-ES" w:bidi="en-US"/>
        </w:rPr>
      </w:pPr>
      <w:bookmarkStart w:id="816" w:name="_Toc23249417"/>
      <w:r w:rsidRPr="001A4860">
        <w:rPr>
          <w:b/>
          <w:bCs/>
          <w:sz w:val="22"/>
          <w:szCs w:val="22"/>
          <w:lang w:val="es-ES" w:bidi="en-US"/>
        </w:rPr>
        <w:lastRenderedPageBreak/>
        <w:t>Perforación de pozo exploratorio de prueba.</w:t>
      </w:r>
      <w:bookmarkEnd w:id="816"/>
    </w:p>
    <w:p w14:paraId="0997F753" w14:textId="77777777" w:rsidR="001A4860" w:rsidRPr="001A4860" w:rsidRDefault="001A4860" w:rsidP="001A4860">
      <w:pPr>
        <w:rPr>
          <w:sz w:val="22"/>
          <w:szCs w:val="22"/>
          <w:lang w:val="es-ES" w:bidi="en-US"/>
        </w:rPr>
      </w:pPr>
    </w:p>
    <w:p w14:paraId="25F7D32A" w14:textId="77777777" w:rsidR="001A4860" w:rsidRPr="001A4860" w:rsidRDefault="001A4860" w:rsidP="001A4860">
      <w:pPr>
        <w:rPr>
          <w:sz w:val="22"/>
          <w:szCs w:val="22"/>
          <w:lang w:val="es-ES" w:bidi="en-US"/>
        </w:rPr>
      </w:pPr>
      <w:r w:rsidRPr="001A4860">
        <w:rPr>
          <w:sz w:val="22"/>
          <w:szCs w:val="22"/>
          <w:lang w:val="es-ES" w:bidi="en-US"/>
        </w:rPr>
        <w:t xml:space="preserve">La profundidad total del </w:t>
      </w:r>
      <w:r w:rsidRPr="001A4860">
        <w:rPr>
          <w:b/>
          <w:sz w:val="22"/>
          <w:szCs w:val="22"/>
          <w:lang w:val="es-ES" w:bidi="en-US"/>
        </w:rPr>
        <w:t>pozo perforado profundo</w:t>
      </w:r>
      <w:r w:rsidRPr="001A4860">
        <w:rPr>
          <w:sz w:val="22"/>
          <w:szCs w:val="22"/>
          <w:lang w:val="es-ES" w:bidi="en-US"/>
        </w:rPr>
        <w:t xml:space="preserve"> indicada en el Informe Hidrogeológico, medido desde la superficie del terreno natural hasta el fondo del pozo es de </w:t>
      </w:r>
      <w:r w:rsidRPr="001A4860">
        <w:rPr>
          <w:sz w:val="22"/>
          <w:szCs w:val="22"/>
          <w:lang w:val="es-ES" w:eastAsia="es-ES"/>
        </w:rPr>
        <w:t>Profundidad total del Pozo: 60.00 m (196.85 pies)</w:t>
      </w:r>
      <w:r w:rsidRPr="001A4860">
        <w:rPr>
          <w:sz w:val="22"/>
          <w:szCs w:val="22"/>
          <w:lang w:val="es-ES" w:bidi="en-US"/>
        </w:rPr>
        <w:t xml:space="preserve">. Diámetro nominal del agujero de perforación </w:t>
      </w:r>
      <w:r w:rsidRPr="001A4860">
        <w:rPr>
          <w:sz w:val="22"/>
          <w:szCs w:val="22"/>
          <w:lang w:val="es-ES" w:eastAsia="es-ES"/>
        </w:rPr>
        <w:t>350 mm (14</w:t>
      </w:r>
      <w:r w:rsidRPr="001A4860">
        <w:rPr>
          <w:sz w:val="22"/>
          <w:szCs w:val="22"/>
          <w:lang w:val="es-ES" w:bidi="en-US"/>
        </w:rPr>
        <w:t xml:space="preserve"> pulg).</w:t>
      </w:r>
    </w:p>
    <w:p w14:paraId="2F6CCBF3" w14:textId="77777777" w:rsidR="001A4860" w:rsidRPr="001A4860" w:rsidRDefault="001A4860" w:rsidP="001A4860">
      <w:pPr>
        <w:rPr>
          <w:sz w:val="22"/>
          <w:szCs w:val="22"/>
          <w:lang w:val="es-ES" w:bidi="en-US"/>
        </w:rPr>
      </w:pPr>
    </w:p>
    <w:p w14:paraId="7BD8ED02" w14:textId="77777777" w:rsidR="001A4860" w:rsidRPr="001A4860" w:rsidRDefault="001A4860" w:rsidP="001A4860">
      <w:pPr>
        <w:rPr>
          <w:sz w:val="22"/>
          <w:szCs w:val="22"/>
          <w:lang w:val="es-ES" w:bidi="en-US"/>
        </w:rPr>
      </w:pPr>
      <w:r w:rsidRPr="001A4860">
        <w:rPr>
          <w:sz w:val="22"/>
          <w:szCs w:val="22"/>
          <w:lang w:val="es-ES" w:bidi="en-US"/>
        </w:rPr>
        <w:t xml:space="preserve">Iniciar el proceso constructivo del pozo perforado profundo, con la perforación del </w:t>
      </w:r>
      <w:r w:rsidRPr="001A4860">
        <w:rPr>
          <w:b/>
          <w:sz w:val="22"/>
          <w:szCs w:val="22"/>
          <w:lang w:val="es-ES" w:bidi="en-US"/>
        </w:rPr>
        <w:t>pozo exploratorio de prueba</w:t>
      </w:r>
      <w:r w:rsidRPr="001A4860">
        <w:rPr>
          <w:sz w:val="22"/>
          <w:szCs w:val="22"/>
          <w:lang w:val="es-ES" w:bidi="en-US"/>
        </w:rPr>
        <w:t xml:space="preserve">, para en caso de resultar factible, convertirlo en </w:t>
      </w:r>
      <w:r w:rsidRPr="001A4860">
        <w:rPr>
          <w:b/>
          <w:sz w:val="22"/>
          <w:szCs w:val="22"/>
          <w:lang w:val="es-ES" w:bidi="en-US"/>
        </w:rPr>
        <w:t>pozo de producción</w:t>
      </w:r>
      <w:r w:rsidRPr="001A4860">
        <w:rPr>
          <w:sz w:val="22"/>
          <w:szCs w:val="22"/>
          <w:lang w:val="es-ES" w:bidi="en-US"/>
        </w:rPr>
        <w:t xml:space="preserve">, por efectos de economía de escala. El </w:t>
      </w:r>
      <w:r w:rsidRPr="001A4860">
        <w:rPr>
          <w:b/>
          <w:sz w:val="22"/>
          <w:szCs w:val="22"/>
          <w:lang w:val="es-ES" w:bidi="en-US"/>
        </w:rPr>
        <w:t>pozo exploratorio de prueba</w:t>
      </w:r>
      <w:r w:rsidRPr="001A4860">
        <w:rPr>
          <w:sz w:val="22"/>
          <w:szCs w:val="22"/>
          <w:lang w:val="es-ES" w:bidi="en-US"/>
        </w:rPr>
        <w:t>, se perfora a la profundiad indicada por el Supervisor, con diámetro nominal del agujero de 150 mm (6 pulgadas). Los primeros 3 metros por debajo de la superficie, el agujero es perforado con diámetro nominal de 450 mm (18 pulg) y revestido con tubería de HF de 375 mm (15 pulg) de diámetro exterior, para evitar socavación en la superficie del agujero y permitir facilitar las actividades sucesivas del proceso de perforación.</w:t>
      </w:r>
    </w:p>
    <w:p w14:paraId="4C096DB9" w14:textId="77777777" w:rsidR="001A4860" w:rsidRPr="001A4860" w:rsidRDefault="001A4860" w:rsidP="001A4860">
      <w:pPr>
        <w:rPr>
          <w:sz w:val="22"/>
          <w:szCs w:val="22"/>
          <w:lang w:val="es-ES" w:bidi="en-US"/>
        </w:rPr>
      </w:pPr>
    </w:p>
    <w:p w14:paraId="20C31FC3" w14:textId="77777777" w:rsidR="001A4860" w:rsidRPr="001A4860" w:rsidRDefault="001A4860" w:rsidP="001A4860">
      <w:pPr>
        <w:keepNext/>
        <w:jc w:val="left"/>
        <w:outlineLvl w:val="3"/>
        <w:rPr>
          <w:b/>
          <w:bCs/>
          <w:sz w:val="22"/>
          <w:szCs w:val="22"/>
          <w:lang w:val="es-ES" w:bidi="en-US"/>
        </w:rPr>
      </w:pPr>
      <w:bookmarkStart w:id="817" w:name="_Toc23249418"/>
      <w:r w:rsidRPr="001A4860">
        <w:rPr>
          <w:b/>
          <w:bCs/>
          <w:sz w:val="22"/>
          <w:szCs w:val="22"/>
          <w:lang w:val="es-ES" w:bidi="en-US"/>
        </w:rPr>
        <w:t>Toma de muestras de los estratos perforados para registro litológico.</w:t>
      </w:r>
      <w:bookmarkEnd w:id="817"/>
    </w:p>
    <w:p w14:paraId="78A62F3D" w14:textId="77777777" w:rsidR="001A4860" w:rsidRPr="001A4860" w:rsidRDefault="001A4860" w:rsidP="001A4860">
      <w:pPr>
        <w:rPr>
          <w:sz w:val="22"/>
          <w:szCs w:val="22"/>
          <w:lang w:val="es-ES" w:bidi="en-US"/>
        </w:rPr>
      </w:pPr>
    </w:p>
    <w:p w14:paraId="1A6F283B" w14:textId="77777777" w:rsidR="001A4860" w:rsidRPr="001A4860" w:rsidRDefault="001A4860" w:rsidP="001A4860">
      <w:pPr>
        <w:rPr>
          <w:sz w:val="22"/>
          <w:szCs w:val="22"/>
          <w:lang w:val="es-ES" w:bidi="en-US"/>
        </w:rPr>
      </w:pPr>
      <w:r w:rsidRPr="001A4860">
        <w:rPr>
          <w:sz w:val="22"/>
          <w:szCs w:val="22"/>
          <w:lang w:val="es-ES" w:bidi="en-US"/>
        </w:rPr>
        <w:t xml:space="preserve">Durante avanza la perforación, se realiza el registro litológico de los estratos perforados para presentar el diseño definitivo del pozo. La toma de muestras de los estratos perforados se realiza cada 1.52 m (5 pies) de avance en la profundidad de perforación. </w:t>
      </w:r>
    </w:p>
    <w:p w14:paraId="356716A8" w14:textId="77777777" w:rsidR="001A4860" w:rsidRPr="001A4860" w:rsidRDefault="001A4860" w:rsidP="001A4860">
      <w:pPr>
        <w:rPr>
          <w:sz w:val="22"/>
          <w:szCs w:val="22"/>
          <w:lang w:val="es-ES" w:bidi="en-US"/>
        </w:rPr>
      </w:pPr>
    </w:p>
    <w:p w14:paraId="4EDCFFD9" w14:textId="77777777" w:rsidR="001A4860" w:rsidRPr="001A4860" w:rsidRDefault="001A4860" w:rsidP="001A4860">
      <w:pPr>
        <w:rPr>
          <w:b/>
          <w:sz w:val="22"/>
          <w:szCs w:val="22"/>
          <w:lang w:val="es-ES" w:bidi="en-US"/>
        </w:rPr>
      </w:pPr>
      <w:r w:rsidRPr="001A4860">
        <w:rPr>
          <w:b/>
          <w:sz w:val="22"/>
          <w:szCs w:val="22"/>
          <w:lang w:val="es-ES" w:bidi="en-US"/>
        </w:rPr>
        <w:t>Toma de muestra para análisis de calidad del agua subterránea.</w:t>
      </w:r>
    </w:p>
    <w:p w14:paraId="0F50195A" w14:textId="77777777" w:rsidR="001A4860" w:rsidRPr="001A4860" w:rsidRDefault="001A4860" w:rsidP="001A4860">
      <w:pPr>
        <w:rPr>
          <w:sz w:val="22"/>
          <w:szCs w:val="22"/>
          <w:lang w:val="es-ES" w:bidi="en-US"/>
        </w:rPr>
      </w:pPr>
    </w:p>
    <w:p w14:paraId="0EE94C4B" w14:textId="77777777" w:rsidR="001A4860" w:rsidRPr="001A4860" w:rsidRDefault="001A4860" w:rsidP="001A4860">
      <w:pPr>
        <w:rPr>
          <w:sz w:val="22"/>
          <w:szCs w:val="22"/>
          <w:lang w:val="es-ES" w:bidi="en-US"/>
        </w:rPr>
      </w:pPr>
      <w:r w:rsidRPr="001A4860">
        <w:rPr>
          <w:sz w:val="22"/>
          <w:szCs w:val="22"/>
          <w:lang w:val="es-ES" w:bidi="en-US"/>
        </w:rPr>
        <w:t>Perforado el agujero a la profundidad arriba indicada, se extrae una muestra de agua para analizar su calidad. La muestra en estado natural, debe estar libre de contaminación de lodos bentónicos.</w:t>
      </w:r>
    </w:p>
    <w:p w14:paraId="27208E5F" w14:textId="77777777" w:rsidR="001A4860" w:rsidRPr="001A4860" w:rsidRDefault="001A4860" w:rsidP="001A4860">
      <w:pPr>
        <w:rPr>
          <w:sz w:val="22"/>
          <w:szCs w:val="22"/>
          <w:lang w:val="es-ES" w:bidi="en-US"/>
        </w:rPr>
      </w:pPr>
    </w:p>
    <w:p w14:paraId="2702A409" w14:textId="77777777" w:rsidR="001A4860" w:rsidRPr="001A4860" w:rsidRDefault="001A4860" w:rsidP="001A4860">
      <w:pPr>
        <w:keepNext/>
        <w:jc w:val="left"/>
        <w:outlineLvl w:val="3"/>
        <w:rPr>
          <w:b/>
          <w:bCs/>
          <w:sz w:val="22"/>
          <w:szCs w:val="22"/>
          <w:lang w:val="es-ES" w:bidi="en-US"/>
        </w:rPr>
      </w:pPr>
      <w:bookmarkStart w:id="818" w:name="_Toc23249419"/>
      <w:r w:rsidRPr="001A4860">
        <w:rPr>
          <w:b/>
          <w:bCs/>
          <w:sz w:val="22"/>
          <w:szCs w:val="22"/>
          <w:lang w:val="es-ES" w:bidi="en-US"/>
        </w:rPr>
        <w:t>Prueba preliminar de bombeo.</w:t>
      </w:r>
      <w:bookmarkEnd w:id="818"/>
    </w:p>
    <w:p w14:paraId="2B5BB8B9" w14:textId="77777777" w:rsidR="001A4860" w:rsidRPr="001A4860" w:rsidRDefault="001A4860" w:rsidP="001A4860">
      <w:pPr>
        <w:rPr>
          <w:sz w:val="22"/>
          <w:szCs w:val="22"/>
          <w:lang w:val="es-ES" w:bidi="en-US"/>
        </w:rPr>
      </w:pPr>
    </w:p>
    <w:p w14:paraId="78CA67AC" w14:textId="77777777" w:rsidR="001A4860" w:rsidRPr="001A4860" w:rsidRDefault="001A4860" w:rsidP="001A4860">
      <w:pPr>
        <w:rPr>
          <w:sz w:val="22"/>
          <w:szCs w:val="22"/>
          <w:lang w:val="es-ES" w:bidi="en-US"/>
        </w:rPr>
      </w:pPr>
      <w:r w:rsidRPr="001A4860">
        <w:rPr>
          <w:sz w:val="22"/>
          <w:szCs w:val="22"/>
          <w:lang w:val="es-ES" w:bidi="en-US"/>
        </w:rPr>
        <w:t>Perforado el agujero a la profundidad arriba indicada del pozo exploratorio, se realiza una prueba preliminar de bombeo que permita inferir la capacidad probable del rendimiento del acuífero (si la perforación es con aire se utiliza este mismo método para dicha prueba). Si el rendimiento obtenido es igual o mayor que el solicitado por el proyecto, se finaliza la etapa de perforación del pozo exploratorio y se inicia la etapa de perforación del Pozo de Producción. Caso contrario, continuar incrementando la profundidad de perforación del pozo exploratorio de prueba, si es necesario hasta alcanzar la profundidad recomendada en el Informe Hidrogeológico.</w:t>
      </w:r>
    </w:p>
    <w:p w14:paraId="07F822DB" w14:textId="77777777" w:rsidR="001A4860" w:rsidRPr="001A4860" w:rsidRDefault="001A4860" w:rsidP="001A4860">
      <w:pPr>
        <w:rPr>
          <w:sz w:val="22"/>
          <w:szCs w:val="22"/>
          <w:lang w:val="es-ES" w:bidi="en-US"/>
        </w:rPr>
      </w:pPr>
    </w:p>
    <w:p w14:paraId="555DD84A" w14:textId="77777777" w:rsidR="001A4860" w:rsidRPr="001A4860" w:rsidRDefault="001A4860" w:rsidP="001A4860">
      <w:pPr>
        <w:keepNext/>
        <w:ind w:left="720" w:hanging="720"/>
        <w:outlineLvl w:val="2"/>
        <w:rPr>
          <w:rFonts w:eastAsia="Arial Narrow"/>
          <w:b/>
          <w:bCs/>
          <w:iCs/>
          <w:sz w:val="22"/>
          <w:szCs w:val="22"/>
          <w:lang w:val="es-ES" w:bidi="en-US"/>
        </w:rPr>
      </w:pPr>
      <w:bookmarkStart w:id="819" w:name="_Toc23249420"/>
      <w:r w:rsidRPr="001A4860">
        <w:rPr>
          <w:rFonts w:eastAsia="Arial Narrow"/>
          <w:b/>
          <w:bCs/>
          <w:iCs/>
          <w:sz w:val="22"/>
          <w:szCs w:val="22"/>
          <w:lang w:val="es-ES" w:bidi="en-US"/>
        </w:rPr>
        <w:t>Especificaciones técnicas del Pozo de Producción</w:t>
      </w:r>
      <w:bookmarkEnd w:id="819"/>
    </w:p>
    <w:p w14:paraId="0C3F7996" w14:textId="77777777" w:rsidR="001A4860" w:rsidRPr="001A4860" w:rsidRDefault="001A4860" w:rsidP="001A4860">
      <w:pPr>
        <w:rPr>
          <w:sz w:val="22"/>
          <w:szCs w:val="22"/>
          <w:lang w:val="es-ES" w:bidi="en-US"/>
        </w:rPr>
      </w:pPr>
    </w:p>
    <w:p w14:paraId="7A2815C7" w14:textId="77777777" w:rsidR="001A4860" w:rsidRPr="001A4860" w:rsidRDefault="001A4860" w:rsidP="001A4860">
      <w:pPr>
        <w:rPr>
          <w:sz w:val="22"/>
          <w:szCs w:val="22"/>
          <w:lang w:val="es-ES" w:bidi="en-US"/>
        </w:rPr>
      </w:pPr>
      <w:r w:rsidRPr="001A4860">
        <w:rPr>
          <w:sz w:val="22"/>
          <w:szCs w:val="22"/>
          <w:lang w:val="es-ES" w:bidi="en-US"/>
        </w:rPr>
        <w:t xml:space="preserve">El pozo de producción consiste en la conclusión del pozo exploratorio perforado, complementando la etapa constructiva correspondiente: </w:t>
      </w:r>
    </w:p>
    <w:p w14:paraId="6ED86C86"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Ampliar el diámetro nominal de perforación del agujero de 150 mm a 350 mm (6 pulgadas a 14 pulgadas) de diámetro exterior.</w:t>
      </w:r>
    </w:p>
    <w:p w14:paraId="7FC84CFB"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Revestir el pozo según perfil geológico, registro eléctrico y diseño constructivo, obtenido del informe del pozo exploratorio. Tipo de revestimiento: tubería ciega y tubería ranurada según especificaciones, de acuerdo a los resultados y al estudio hidrogeológico.</w:t>
      </w:r>
    </w:p>
    <w:p w14:paraId="423E4693"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Probar verticalidad y alineamiento de las paredes del agujero.</w:t>
      </w:r>
    </w:p>
    <w:p w14:paraId="6A2645F3"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Colocar filtro artificial.</w:t>
      </w:r>
    </w:p>
    <w:p w14:paraId="59565F3B"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Limpiar y desarrollar las paredes del agujero considerando el siguiente aspecto:</w:t>
      </w:r>
    </w:p>
    <w:p w14:paraId="6190401C"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La limpieza y desarrollo tiene un tiempo mínimo de 6 horas, caso contrario que en un tiempo menor se compruebe que el agua sale cristalina (limpia y sin material coloidal).</w:t>
      </w:r>
    </w:p>
    <w:p w14:paraId="75F85EAA" w14:textId="77777777" w:rsidR="001A4860" w:rsidRPr="001A4860" w:rsidRDefault="001A4860" w:rsidP="003B68DB">
      <w:pPr>
        <w:numPr>
          <w:ilvl w:val="0"/>
          <w:numId w:val="173"/>
        </w:numPr>
        <w:jc w:val="left"/>
        <w:rPr>
          <w:sz w:val="22"/>
          <w:szCs w:val="22"/>
          <w:lang w:val="es-ES" w:bidi="en-US"/>
        </w:rPr>
      </w:pPr>
      <w:r w:rsidRPr="001A4860">
        <w:rPr>
          <w:sz w:val="22"/>
          <w:szCs w:val="22"/>
          <w:lang w:val="es-ES" w:bidi="en-US"/>
        </w:rPr>
        <w:t>Aforar el yacimiento acuífero: Ensayos (pruebas) de bombeo del acuífero.</w:t>
      </w:r>
    </w:p>
    <w:p w14:paraId="5454A08F" w14:textId="77777777" w:rsidR="001A4860" w:rsidRPr="001A4860" w:rsidRDefault="001A4860" w:rsidP="001A4860">
      <w:pPr>
        <w:rPr>
          <w:sz w:val="22"/>
          <w:szCs w:val="22"/>
          <w:lang w:val="es-ES" w:bidi="en-US"/>
        </w:rPr>
      </w:pPr>
    </w:p>
    <w:p w14:paraId="4DA07114" w14:textId="77777777" w:rsidR="001A4860" w:rsidRPr="001A4860" w:rsidRDefault="001A4860" w:rsidP="001A4860">
      <w:pPr>
        <w:keepNext/>
        <w:jc w:val="left"/>
        <w:outlineLvl w:val="3"/>
        <w:rPr>
          <w:b/>
          <w:bCs/>
          <w:sz w:val="22"/>
          <w:szCs w:val="22"/>
          <w:lang w:val="es-ES" w:bidi="en-US"/>
        </w:rPr>
      </w:pPr>
      <w:bookmarkStart w:id="820" w:name="_Toc23249421"/>
      <w:r w:rsidRPr="001A4860">
        <w:rPr>
          <w:b/>
          <w:bCs/>
          <w:sz w:val="22"/>
          <w:szCs w:val="22"/>
          <w:lang w:val="es-ES" w:bidi="en-US"/>
        </w:rPr>
        <w:t>Método de perforación y sugerencias para su utilización óptima</w:t>
      </w:r>
      <w:bookmarkEnd w:id="820"/>
    </w:p>
    <w:p w14:paraId="1F1EF205" w14:textId="77777777" w:rsidR="001A4860" w:rsidRPr="001A4860" w:rsidRDefault="001A4860" w:rsidP="001A4860">
      <w:pPr>
        <w:rPr>
          <w:b/>
          <w:bCs/>
          <w:sz w:val="22"/>
          <w:szCs w:val="22"/>
          <w:lang w:val="es-ES" w:bidi="en-US"/>
        </w:rPr>
      </w:pPr>
    </w:p>
    <w:p w14:paraId="013776EC" w14:textId="77777777" w:rsidR="001A4860" w:rsidRPr="001A4860" w:rsidRDefault="001A4860" w:rsidP="001A4860">
      <w:pPr>
        <w:rPr>
          <w:sz w:val="22"/>
          <w:szCs w:val="22"/>
          <w:lang w:val="es-ES" w:bidi="en-US"/>
        </w:rPr>
      </w:pPr>
      <w:r w:rsidRPr="001A4860">
        <w:rPr>
          <w:sz w:val="22"/>
          <w:szCs w:val="22"/>
          <w:lang w:val="es-ES" w:bidi="en-US"/>
        </w:rPr>
        <w:t>El método rotativo, es el utilizado para perforar el agujero exploratorio y el pozo de producción. La capacidad del módulo de perforación asignado al trabajo es la adecuada para garantizar la obtención de resultados óptimos. Tiene capacidad de levante y sostén de carga y suficiencia para alcanzar la profundidad de perforación requerida para el pozo. El operador del módulo de perforación y personal de apoyo, con habilidades y experiencia comprobada en uso y manejo del módulo en procesos de perforación de pozos similares.</w:t>
      </w:r>
    </w:p>
    <w:p w14:paraId="47D9EBB0" w14:textId="77777777" w:rsidR="001A4860" w:rsidRPr="001A4860" w:rsidRDefault="001A4860" w:rsidP="001A4860">
      <w:pPr>
        <w:rPr>
          <w:sz w:val="22"/>
          <w:szCs w:val="22"/>
          <w:lang w:val="es-ES" w:bidi="en-US"/>
        </w:rPr>
      </w:pPr>
    </w:p>
    <w:p w14:paraId="0E33A25F" w14:textId="77777777" w:rsidR="001A4860" w:rsidRPr="001A4860" w:rsidRDefault="001A4860" w:rsidP="001A4860">
      <w:pPr>
        <w:rPr>
          <w:sz w:val="22"/>
          <w:szCs w:val="22"/>
          <w:lang w:val="es-ES" w:bidi="en-US"/>
        </w:rPr>
      </w:pPr>
      <w:r w:rsidRPr="001A4860">
        <w:rPr>
          <w:sz w:val="22"/>
          <w:szCs w:val="22"/>
          <w:lang w:val="es-ES" w:bidi="en-US"/>
        </w:rPr>
        <w:t xml:space="preserve">En caso de encontrar estratos de arcillas secas totalmente inestables que provoquen derrumbes en el interior del pozo (durante la perforación), ponga en peligro la integridad del agujero y no permita el avance de la perforación, se adema el pozo con tubería de acero adecuada, para detener los derrumbes y continuar avanzando en la perforación del pozo hasta concluir la profundidad total. Obviamente, esta medida, conlleva una disminución en la velocidad de avance. Esta actividad es asumida por el contratista. </w:t>
      </w:r>
    </w:p>
    <w:p w14:paraId="6DE8D6DF" w14:textId="77777777" w:rsidR="001A4860" w:rsidRPr="001A4860" w:rsidRDefault="001A4860" w:rsidP="001A4860">
      <w:pPr>
        <w:rPr>
          <w:sz w:val="22"/>
          <w:szCs w:val="22"/>
          <w:lang w:val="es-ES" w:bidi="en-US"/>
        </w:rPr>
      </w:pPr>
    </w:p>
    <w:p w14:paraId="18882A57" w14:textId="77777777" w:rsidR="001A4860" w:rsidRPr="001A4860" w:rsidRDefault="001A4860" w:rsidP="001A4860">
      <w:pPr>
        <w:rPr>
          <w:sz w:val="22"/>
          <w:szCs w:val="22"/>
          <w:lang w:val="es-ES" w:bidi="en-US"/>
        </w:rPr>
      </w:pPr>
      <w:r w:rsidRPr="001A4860">
        <w:rPr>
          <w:sz w:val="22"/>
          <w:szCs w:val="22"/>
          <w:lang w:val="es-ES" w:bidi="en-US"/>
        </w:rPr>
        <w:t>Al perforar con método rotativo se usa lodo de perforación. El contratista es responsable de llevar un riguroso y estricto control de la viscosidad, densidad, pH, contenido de arena y temperatura del lodo y, trabajar en turnos corridos si es necesario.</w:t>
      </w:r>
    </w:p>
    <w:p w14:paraId="3ACD12DD" w14:textId="77777777" w:rsidR="001A4860" w:rsidRPr="001A4860" w:rsidRDefault="001A4860" w:rsidP="001A4860">
      <w:pPr>
        <w:rPr>
          <w:sz w:val="22"/>
          <w:szCs w:val="22"/>
          <w:lang w:val="es-ES" w:bidi="en-US"/>
        </w:rPr>
      </w:pPr>
    </w:p>
    <w:p w14:paraId="68597828" w14:textId="77777777" w:rsidR="001A4860" w:rsidRPr="001A4860" w:rsidRDefault="001A4860" w:rsidP="001A4860">
      <w:pPr>
        <w:keepNext/>
        <w:jc w:val="left"/>
        <w:outlineLvl w:val="3"/>
        <w:rPr>
          <w:b/>
          <w:bCs/>
          <w:sz w:val="22"/>
          <w:szCs w:val="22"/>
          <w:lang w:val="es-ES" w:bidi="en-US"/>
        </w:rPr>
      </w:pPr>
      <w:bookmarkStart w:id="821" w:name="_Toc23249422"/>
      <w:r w:rsidRPr="001A4860">
        <w:rPr>
          <w:b/>
          <w:bCs/>
          <w:sz w:val="22"/>
          <w:szCs w:val="22"/>
          <w:lang w:val="es-ES" w:bidi="en-US"/>
        </w:rPr>
        <w:t>Toma de muestras de las formaciones atravesadas para registro litológico</w:t>
      </w:r>
      <w:bookmarkEnd w:id="821"/>
    </w:p>
    <w:p w14:paraId="4B63887F" w14:textId="77777777" w:rsidR="001A4860" w:rsidRPr="001A4860" w:rsidRDefault="001A4860" w:rsidP="001A4860">
      <w:pPr>
        <w:rPr>
          <w:sz w:val="22"/>
          <w:szCs w:val="22"/>
          <w:lang w:val="es-ES" w:bidi="en-US"/>
        </w:rPr>
      </w:pPr>
    </w:p>
    <w:p w14:paraId="4478548A" w14:textId="77777777" w:rsidR="001A4860" w:rsidRPr="001A4860" w:rsidRDefault="001A4860" w:rsidP="001A4860">
      <w:pPr>
        <w:rPr>
          <w:b/>
          <w:sz w:val="22"/>
          <w:szCs w:val="22"/>
          <w:lang w:val="es-NI" w:bidi="en-US"/>
        </w:rPr>
      </w:pPr>
      <w:r w:rsidRPr="001A4860">
        <w:rPr>
          <w:sz w:val="22"/>
          <w:szCs w:val="22"/>
          <w:lang w:val="es-ES" w:bidi="en-US"/>
        </w:rPr>
        <w:t>Durante avanza la perforación, se realiza el registro litológico de los estratos perforados para presentar el diseño definitivo del pozo.</w:t>
      </w:r>
    </w:p>
    <w:p w14:paraId="57501B42" w14:textId="77777777" w:rsidR="001A4860" w:rsidRPr="001A4860" w:rsidRDefault="001A4860" w:rsidP="001A4860">
      <w:pPr>
        <w:rPr>
          <w:bCs/>
          <w:sz w:val="22"/>
          <w:szCs w:val="22"/>
          <w:lang w:val="es-ES" w:bidi="en-US"/>
        </w:rPr>
      </w:pPr>
      <w:r w:rsidRPr="001A4860">
        <w:rPr>
          <w:bCs/>
          <w:sz w:val="22"/>
          <w:szCs w:val="22"/>
          <w:lang w:val="es-ES" w:bidi="en-US"/>
        </w:rPr>
        <w:t>Lugar y Frecuencia del Muestreo y Tipo y Cantidad de Muestra.</w:t>
      </w:r>
    </w:p>
    <w:p w14:paraId="373286BF" w14:textId="77777777" w:rsidR="001A4860" w:rsidRPr="001A4860" w:rsidRDefault="001A4860" w:rsidP="001A4860">
      <w:pPr>
        <w:rPr>
          <w:sz w:val="22"/>
          <w:szCs w:val="22"/>
          <w:lang w:val="es-ES" w:bidi="en-US"/>
        </w:rPr>
      </w:pPr>
      <w:r w:rsidRPr="001A4860">
        <w:rPr>
          <w:sz w:val="22"/>
          <w:szCs w:val="22"/>
          <w:lang w:val="es-ES" w:bidi="en-US"/>
        </w:rPr>
        <w:t>Las muestras se toman en el mismo lugar donde se realiza la descarga del lodo. La toma de muestra del material de perforación (estratos del suelo), se hace inmediatamente después del intervalo de perforación correspondiente.  El lugar de descarga, debe permanecer limpio de cortes (detritus) todo el tiempo.</w:t>
      </w:r>
    </w:p>
    <w:p w14:paraId="28682A13" w14:textId="77777777" w:rsidR="001A4860" w:rsidRPr="001A4860" w:rsidRDefault="001A4860" w:rsidP="001A4860">
      <w:pPr>
        <w:rPr>
          <w:sz w:val="22"/>
          <w:szCs w:val="22"/>
          <w:lang w:val="es-ES" w:bidi="en-US"/>
        </w:rPr>
      </w:pPr>
    </w:p>
    <w:p w14:paraId="3F22E8D4" w14:textId="77777777" w:rsidR="001A4860" w:rsidRPr="001A4860" w:rsidRDefault="001A4860" w:rsidP="001A4860">
      <w:pPr>
        <w:rPr>
          <w:sz w:val="22"/>
          <w:szCs w:val="22"/>
          <w:lang w:val="es-ES" w:bidi="en-US"/>
        </w:rPr>
      </w:pPr>
      <w:r w:rsidRPr="001A4860">
        <w:rPr>
          <w:sz w:val="22"/>
          <w:szCs w:val="22"/>
          <w:lang w:val="es-ES" w:bidi="en-US"/>
        </w:rPr>
        <w:t>Durante la perforación se toman dos (2) muestras de las formaciones perforadas, por cada cinco 5 pies de avance, (1.50 metro), o cuando ocurra un cambio de formación geológica. Una muestra es lavada y la otra, conservar en estado natural al salir del agujero.</w:t>
      </w:r>
    </w:p>
    <w:p w14:paraId="394AE342" w14:textId="77777777" w:rsidR="001A4860" w:rsidRPr="001A4860" w:rsidRDefault="001A4860" w:rsidP="001A4860">
      <w:pPr>
        <w:rPr>
          <w:sz w:val="22"/>
          <w:szCs w:val="22"/>
          <w:lang w:val="es-ES" w:bidi="en-US"/>
        </w:rPr>
      </w:pPr>
    </w:p>
    <w:p w14:paraId="08FD3771" w14:textId="77777777" w:rsidR="001A4860" w:rsidRPr="001A4860" w:rsidRDefault="001A4860" w:rsidP="001A4860">
      <w:pPr>
        <w:rPr>
          <w:sz w:val="22"/>
          <w:szCs w:val="22"/>
          <w:lang w:val="es-ES" w:bidi="en-US"/>
        </w:rPr>
      </w:pPr>
      <w:r w:rsidRPr="001A4860">
        <w:rPr>
          <w:sz w:val="22"/>
          <w:szCs w:val="22"/>
          <w:lang w:val="es-ES" w:bidi="en-US"/>
        </w:rPr>
        <w:t>Cada muestra lavada comprende 1,000 cm</w:t>
      </w:r>
      <w:r w:rsidRPr="001A4860">
        <w:rPr>
          <w:sz w:val="22"/>
          <w:szCs w:val="22"/>
          <w:vertAlign w:val="superscript"/>
          <w:lang w:val="es-ES" w:bidi="en-US"/>
        </w:rPr>
        <w:t>3</w:t>
      </w:r>
      <w:r w:rsidRPr="001A4860">
        <w:rPr>
          <w:sz w:val="22"/>
          <w:szCs w:val="22"/>
          <w:lang w:val="es-ES" w:bidi="en-US"/>
        </w:rPr>
        <w:t xml:space="preserve">. El total de muestras lavadas se coloca en cajas de madera de 50 cm de ancho, </w:t>
      </w:r>
      <w:smartTag w:uri="urn:schemas-microsoft-com:office:smarttags" w:element="metricconverter">
        <w:smartTagPr>
          <w:attr w:name="ProductID" w:val="1.0 m"/>
        </w:smartTagPr>
        <w:r w:rsidRPr="001A4860">
          <w:rPr>
            <w:sz w:val="22"/>
            <w:szCs w:val="22"/>
            <w:lang w:val="es-ES" w:bidi="en-US"/>
          </w:rPr>
          <w:t>1.0 m</w:t>
        </w:r>
      </w:smartTag>
      <w:r w:rsidRPr="001A4860">
        <w:rPr>
          <w:sz w:val="22"/>
          <w:szCs w:val="22"/>
          <w:lang w:val="es-ES" w:bidi="en-US"/>
        </w:rPr>
        <w:t xml:space="preserve"> de largo y 15 cm de alto. Cada caja está dividida en compartimientos cuadrados de 10cm, por lado, con capacidad para almacenar cincuenta (50) muestras. Las muestras no lavadas, con un volumen de 500 cm</w:t>
      </w:r>
      <w:r w:rsidRPr="001A4860">
        <w:rPr>
          <w:sz w:val="22"/>
          <w:szCs w:val="22"/>
          <w:vertAlign w:val="superscript"/>
          <w:lang w:val="es-ES" w:bidi="en-US"/>
        </w:rPr>
        <w:t>3</w:t>
      </w:r>
      <w:r w:rsidRPr="001A4860">
        <w:rPr>
          <w:sz w:val="22"/>
          <w:szCs w:val="22"/>
          <w:lang w:val="es-ES" w:bidi="en-US"/>
        </w:rPr>
        <w:t xml:space="preserve"> se colocan en bolsas plásticas.</w:t>
      </w:r>
    </w:p>
    <w:p w14:paraId="7544A311" w14:textId="77777777" w:rsidR="001A4860" w:rsidRPr="001A4860" w:rsidRDefault="001A4860" w:rsidP="001A4860">
      <w:pPr>
        <w:rPr>
          <w:sz w:val="22"/>
          <w:szCs w:val="22"/>
          <w:lang w:val="es-ES" w:bidi="en-US"/>
        </w:rPr>
      </w:pPr>
    </w:p>
    <w:p w14:paraId="6530CC25" w14:textId="77777777" w:rsidR="001A4860" w:rsidRPr="001A4860" w:rsidRDefault="001A4860" w:rsidP="001A4860">
      <w:pPr>
        <w:rPr>
          <w:sz w:val="22"/>
          <w:szCs w:val="22"/>
          <w:lang w:val="es-ES" w:bidi="en-US"/>
        </w:rPr>
      </w:pPr>
      <w:r w:rsidRPr="001A4860">
        <w:rPr>
          <w:sz w:val="22"/>
          <w:szCs w:val="22"/>
          <w:lang w:val="es-ES" w:bidi="en-US"/>
        </w:rPr>
        <w:t>Las cajas y las bolsas, conteniendo las muestras, se identifican claramente indicando el nombre del pozo y la profundidad que corresponden. Las mismas, se guardadan bajo techo y en el orden correcto para evitar se mezclen o se pierdan.</w:t>
      </w:r>
    </w:p>
    <w:p w14:paraId="1C1482C8" w14:textId="77777777" w:rsidR="001A4860" w:rsidRPr="001A4860" w:rsidRDefault="001A4860" w:rsidP="001A4860">
      <w:pPr>
        <w:rPr>
          <w:sz w:val="22"/>
          <w:szCs w:val="22"/>
          <w:lang w:val="es-ES" w:bidi="en-US"/>
        </w:rPr>
      </w:pPr>
    </w:p>
    <w:p w14:paraId="59E9F63E" w14:textId="77777777" w:rsidR="001A4860" w:rsidRPr="001A4860" w:rsidRDefault="001A4860" w:rsidP="001A4860">
      <w:pPr>
        <w:rPr>
          <w:sz w:val="22"/>
          <w:szCs w:val="22"/>
          <w:lang w:val="es-ES" w:bidi="en-US"/>
        </w:rPr>
      </w:pPr>
      <w:r w:rsidRPr="001A4860">
        <w:rPr>
          <w:sz w:val="22"/>
          <w:szCs w:val="22"/>
          <w:lang w:val="es-ES" w:bidi="en-US"/>
        </w:rPr>
        <w:t>El Contratista es el único responsable de la buena conservación de todas las muestras, cuidar que todos los rótulos e identificaciones de las bolsas se mantengan claramente legibles hasta la entrega al Supervisor (Alcaldía) y Residente, y la aceptación de las muestras por parte de estos. La toma y conservación de las muestras están sujetas a las instrucciones del Supervisor designado por FISE y Alcaldía.</w:t>
      </w:r>
    </w:p>
    <w:p w14:paraId="7F987C37" w14:textId="77777777" w:rsidR="001A4860" w:rsidRPr="001A4860" w:rsidRDefault="001A4860" w:rsidP="001A4860">
      <w:pPr>
        <w:rPr>
          <w:bCs/>
          <w:sz w:val="22"/>
          <w:szCs w:val="22"/>
          <w:lang w:val="es-ES" w:bidi="en-US"/>
        </w:rPr>
      </w:pPr>
    </w:p>
    <w:p w14:paraId="17E24611" w14:textId="77777777" w:rsidR="001A4860" w:rsidRPr="001A4860" w:rsidRDefault="001A4860" w:rsidP="001A4860">
      <w:pPr>
        <w:rPr>
          <w:sz w:val="22"/>
          <w:szCs w:val="22"/>
          <w:lang w:val="es-ES" w:bidi="en-US"/>
        </w:rPr>
      </w:pPr>
      <w:r w:rsidRPr="001A4860">
        <w:rPr>
          <w:sz w:val="22"/>
          <w:szCs w:val="22"/>
          <w:lang w:val="es-ES" w:bidi="en-US"/>
        </w:rPr>
        <w:t xml:space="preserve">El registro eléctrico (registro de testificación eléctrica) brinda información del potencial espontáneo, resistividad, rayos gamma, temperatura, calidad del agua y calibración de los estratos del suelo. Se realiza para precisar la estratigrafía, detectar la roca dura, detectar la situación de las capas acuíferas, lograr que </w:t>
      </w:r>
      <w:r w:rsidRPr="001A4860">
        <w:rPr>
          <w:sz w:val="22"/>
          <w:szCs w:val="22"/>
          <w:lang w:val="es-ES" w:bidi="en-US"/>
        </w:rPr>
        <w:lastRenderedPageBreak/>
        <w:t xml:space="preserve">las ranuras queden colocadas exactamente frente a las mejores zonas acuíferas; para obtener una primera evaluación de la calidad del agua subterránea, de la porosidad y permeabilidad de las formaciones acuíferas. </w:t>
      </w:r>
    </w:p>
    <w:p w14:paraId="5EA6A5DC" w14:textId="77777777" w:rsidR="001A4860" w:rsidRPr="001A4860" w:rsidRDefault="001A4860" w:rsidP="001A4860">
      <w:pPr>
        <w:rPr>
          <w:sz w:val="22"/>
          <w:szCs w:val="22"/>
          <w:lang w:val="es-ES" w:bidi="en-US"/>
        </w:rPr>
      </w:pPr>
    </w:p>
    <w:p w14:paraId="3A35BECA" w14:textId="77777777" w:rsidR="001A4860" w:rsidRPr="001A4860" w:rsidRDefault="001A4860" w:rsidP="001A4860">
      <w:pPr>
        <w:rPr>
          <w:sz w:val="22"/>
          <w:szCs w:val="22"/>
          <w:lang w:val="es-ES" w:bidi="en-US"/>
        </w:rPr>
      </w:pPr>
      <w:r w:rsidRPr="001A4860">
        <w:rPr>
          <w:sz w:val="22"/>
          <w:szCs w:val="22"/>
          <w:lang w:val="es-ES" w:bidi="en-US"/>
        </w:rPr>
        <w:t>El encargado o responsable del módulo de perforación, lleva los registros de velocidad de perforación, columna geológica y anotaciones del perforador (operador del módulo), El responsable de la perforación elabora el diseño definitivo del pozo y procede a revestir el agujero del pozo a la profundidad indicada, previa autorización del Supervisor.</w:t>
      </w:r>
    </w:p>
    <w:p w14:paraId="3AE52B5E" w14:textId="77777777" w:rsidR="001A4860" w:rsidRPr="001A4860" w:rsidRDefault="001A4860" w:rsidP="001A4860">
      <w:pPr>
        <w:rPr>
          <w:sz w:val="22"/>
          <w:szCs w:val="22"/>
          <w:lang w:val="es-ES" w:bidi="en-US"/>
        </w:rPr>
      </w:pPr>
    </w:p>
    <w:p w14:paraId="04BD82C7" w14:textId="77777777" w:rsidR="001A4860" w:rsidRPr="001A4860" w:rsidRDefault="001A4860" w:rsidP="001A4860">
      <w:pPr>
        <w:keepNext/>
        <w:jc w:val="left"/>
        <w:outlineLvl w:val="3"/>
        <w:rPr>
          <w:b/>
          <w:bCs/>
          <w:sz w:val="22"/>
          <w:szCs w:val="22"/>
          <w:lang w:val="es-ES" w:bidi="en-US"/>
        </w:rPr>
      </w:pPr>
      <w:bookmarkStart w:id="822" w:name="_Toc23249423"/>
      <w:r w:rsidRPr="001A4860">
        <w:rPr>
          <w:b/>
          <w:bCs/>
          <w:sz w:val="22"/>
          <w:szCs w:val="22"/>
          <w:lang w:val="es-ES" w:bidi="en-US"/>
        </w:rPr>
        <w:t>Revestimiento del pozo</w:t>
      </w:r>
      <w:bookmarkEnd w:id="822"/>
    </w:p>
    <w:p w14:paraId="754EC6A9" w14:textId="77777777" w:rsidR="001A4860" w:rsidRPr="001A4860" w:rsidRDefault="001A4860" w:rsidP="001A4860">
      <w:pPr>
        <w:rPr>
          <w:b/>
          <w:sz w:val="22"/>
          <w:szCs w:val="22"/>
          <w:lang w:val="es-ES" w:bidi="en-US"/>
        </w:rPr>
      </w:pPr>
    </w:p>
    <w:p w14:paraId="6A282E57" w14:textId="77777777" w:rsidR="001A4860" w:rsidRPr="001A4860" w:rsidRDefault="001A4860" w:rsidP="001A4860">
      <w:pPr>
        <w:rPr>
          <w:sz w:val="22"/>
          <w:szCs w:val="22"/>
          <w:lang w:val="es-ES" w:bidi="en-US"/>
        </w:rPr>
      </w:pPr>
      <w:r w:rsidRPr="001A4860">
        <w:rPr>
          <w:sz w:val="22"/>
          <w:szCs w:val="22"/>
          <w:lang w:val="es-ES" w:bidi="en-US"/>
        </w:rPr>
        <w:t>El pozo es revestido con tuberías lisas nuevas de material plástico PVC, y tener diámetro nominal de 200 mm (8 pulgadas) para pozo, conforme a las normas ASTM F480, SDR-21 y siguiendo el diseño definitivo del pozo.</w:t>
      </w:r>
    </w:p>
    <w:p w14:paraId="22869DA5" w14:textId="77777777" w:rsidR="001A4860" w:rsidRPr="001A4860" w:rsidRDefault="001A4860" w:rsidP="001A4860">
      <w:pPr>
        <w:rPr>
          <w:sz w:val="22"/>
          <w:szCs w:val="22"/>
          <w:lang w:val="es-ES" w:bidi="en-US"/>
        </w:rPr>
      </w:pPr>
    </w:p>
    <w:p w14:paraId="215A74D9" w14:textId="77777777" w:rsidR="001A4860" w:rsidRPr="001A4860" w:rsidRDefault="001A4860" w:rsidP="001A4860">
      <w:pPr>
        <w:rPr>
          <w:sz w:val="22"/>
          <w:szCs w:val="22"/>
          <w:lang w:val="es-ES" w:bidi="en-US"/>
        </w:rPr>
      </w:pPr>
      <w:r w:rsidRPr="001A4860">
        <w:rPr>
          <w:sz w:val="22"/>
          <w:szCs w:val="22"/>
          <w:lang w:val="es-ES" w:bidi="en-US"/>
        </w:rPr>
        <w:t>Tanto los tubos lisos (ciegos/sin ranuras) como los ranurados (con ranuras/aberturas), fabricados con material de cloruro de polivinilo (PVC). son livianos, con resistencia mecánica alta (compresión), tensión (longitudinal y transversal) y aplastamiento. Además, rectos, de larga duración y resistentes a la corrosión e incrustación.</w:t>
      </w:r>
    </w:p>
    <w:p w14:paraId="26415B43" w14:textId="77777777" w:rsidR="001A4860" w:rsidRPr="001A4860" w:rsidRDefault="001A4860" w:rsidP="001A4860">
      <w:pPr>
        <w:rPr>
          <w:sz w:val="22"/>
          <w:szCs w:val="22"/>
          <w:lang w:val="es-ES" w:bidi="en-US"/>
        </w:rPr>
      </w:pPr>
      <w:r w:rsidRPr="001A4860">
        <w:rPr>
          <w:sz w:val="22"/>
          <w:szCs w:val="22"/>
          <w:lang w:val="es-ES" w:bidi="en-US"/>
        </w:rPr>
        <w:t>La superficie en los tubos no presenta agujeros, desgarraduras, picaduras, perforaciones o cualquier defecto de pared perjudicial, que pueda afectar su resistencia.</w:t>
      </w:r>
    </w:p>
    <w:p w14:paraId="3456D62F" w14:textId="77777777" w:rsidR="001A4860" w:rsidRPr="001A4860" w:rsidRDefault="001A4860" w:rsidP="001A4860">
      <w:pPr>
        <w:rPr>
          <w:sz w:val="22"/>
          <w:szCs w:val="22"/>
          <w:lang w:val="es-ES" w:bidi="en-US"/>
        </w:rPr>
      </w:pPr>
      <w:r w:rsidRPr="001A4860">
        <w:rPr>
          <w:sz w:val="22"/>
          <w:szCs w:val="22"/>
          <w:lang w:val="es-ES" w:bidi="en-US"/>
        </w:rPr>
        <w:t>Las longitudes exactas del tipo y diámetros nominales de los tubos lisos y ranurados requeridos y las aberturas de las ranuras de los tubos ranurados, aparecen especificados en la tubería ranurada.</w:t>
      </w:r>
    </w:p>
    <w:p w14:paraId="02638F70" w14:textId="77777777" w:rsidR="001A4860" w:rsidRPr="001A4860" w:rsidRDefault="001A4860" w:rsidP="001A4860">
      <w:pPr>
        <w:rPr>
          <w:sz w:val="22"/>
          <w:szCs w:val="22"/>
          <w:lang w:val="es-ES" w:bidi="en-US"/>
        </w:rPr>
      </w:pPr>
      <w:r w:rsidRPr="001A4860">
        <w:rPr>
          <w:sz w:val="22"/>
          <w:szCs w:val="22"/>
          <w:lang w:val="es-ES" w:bidi="en-US"/>
        </w:rPr>
        <w:t xml:space="preserve">El porcentaje de área abierta (área de captación); por unidad lineal o superficie lateral de los tubos ranurados, varia entre 10% y 16%. </w:t>
      </w:r>
    </w:p>
    <w:p w14:paraId="40825E4E" w14:textId="77777777" w:rsidR="001A4860" w:rsidRPr="001A4860" w:rsidRDefault="001A4860" w:rsidP="001A4860">
      <w:pPr>
        <w:rPr>
          <w:sz w:val="22"/>
          <w:szCs w:val="22"/>
          <w:lang w:val="es-ES" w:bidi="en-US"/>
        </w:rPr>
      </w:pPr>
      <w:r w:rsidRPr="001A4860">
        <w:rPr>
          <w:sz w:val="22"/>
          <w:szCs w:val="22"/>
          <w:lang w:val="es-ES" w:bidi="en-US"/>
        </w:rPr>
        <w:t xml:space="preserve">La distribución de las longitudes de tubería ciega y ranurada, es establecidas después de analizar la columna litológica, de revisar informes de perforación y de interpretar la prueba preliminar de bombeo. </w:t>
      </w:r>
    </w:p>
    <w:p w14:paraId="6468AD07" w14:textId="77777777" w:rsidR="001A4860" w:rsidRPr="001A4860" w:rsidRDefault="001A4860" w:rsidP="001A4860">
      <w:pPr>
        <w:rPr>
          <w:sz w:val="22"/>
          <w:szCs w:val="22"/>
          <w:lang w:val="es-ES" w:bidi="en-US"/>
        </w:rPr>
      </w:pPr>
    </w:p>
    <w:p w14:paraId="1EC2DC75" w14:textId="77777777" w:rsidR="001A4860" w:rsidRPr="001A4860" w:rsidRDefault="001A4860" w:rsidP="001A4860">
      <w:pPr>
        <w:rPr>
          <w:sz w:val="22"/>
          <w:szCs w:val="22"/>
          <w:lang w:val="es-ES" w:bidi="en-US"/>
        </w:rPr>
      </w:pPr>
      <w:r w:rsidRPr="001A4860">
        <w:rPr>
          <w:sz w:val="22"/>
          <w:szCs w:val="22"/>
          <w:lang w:val="es-ES" w:bidi="en-US"/>
        </w:rPr>
        <w:t>Especificaciones generales a considerarse, para instalar los tubos ciegos y los tubos ranurados para ademe del pozo:</w:t>
      </w:r>
    </w:p>
    <w:p w14:paraId="34903219" w14:textId="77777777" w:rsidR="001A4860" w:rsidRPr="001A4860" w:rsidRDefault="001A4860" w:rsidP="001A4860">
      <w:pPr>
        <w:rPr>
          <w:sz w:val="22"/>
          <w:szCs w:val="22"/>
          <w:lang w:val="es-ES" w:bidi="en-US"/>
        </w:rPr>
      </w:pPr>
      <w:r w:rsidRPr="001A4860">
        <w:rPr>
          <w:sz w:val="22"/>
          <w:szCs w:val="22"/>
          <w:lang w:val="es-ES" w:bidi="en-US"/>
        </w:rPr>
        <w:t>a)</w:t>
      </w:r>
      <w:r w:rsidRPr="001A4860">
        <w:rPr>
          <w:sz w:val="22"/>
          <w:szCs w:val="22"/>
          <w:lang w:val="es-ES" w:bidi="en-US"/>
        </w:rPr>
        <w:tab/>
        <w:t>Instalar tubería ciega, en la profundidad comprendida desde el nivel del terreno natural hasta el nivel freático crítico de estío (descenso máximo de variación regional estacional), y frente a las formaciones prácticamente impermeables (limo, arcilla, polvo volcánico, roca masiva no fracturada y frente al cuerpo de la bomba)</w:t>
      </w:r>
    </w:p>
    <w:p w14:paraId="1ADEA866" w14:textId="77777777" w:rsidR="001A4860" w:rsidRPr="001A4860" w:rsidRDefault="001A4860" w:rsidP="001A4860">
      <w:pPr>
        <w:rPr>
          <w:sz w:val="22"/>
          <w:szCs w:val="22"/>
          <w:lang w:val="es-ES" w:bidi="en-US"/>
        </w:rPr>
      </w:pPr>
      <w:r w:rsidRPr="001A4860">
        <w:rPr>
          <w:sz w:val="22"/>
          <w:szCs w:val="22"/>
          <w:lang w:val="es-ES" w:bidi="en-US"/>
        </w:rPr>
        <w:t>b)</w:t>
      </w:r>
      <w:r w:rsidRPr="001A4860">
        <w:rPr>
          <w:sz w:val="22"/>
          <w:szCs w:val="22"/>
          <w:lang w:val="es-ES" w:bidi="en-US"/>
        </w:rPr>
        <w:tab/>
        <w:t>Instalar tubería ranurada frente a las mejores formaciones acuíferas, seleccionadas después de interpretar registros litológicos practicados y la información hidrogeológica del pozo.</w:t>
      </w:r>
    </w:p>
    <w:p w14:paraId="6AEF172F" w14:textId="77777777" w:rsidR="001A4860" w:rsidRPr="001A4860" w:rsidRDefault="001A4860" w:rsidP="001A4860">
      <w:pPr>
        <w:rPr>
          <w:sz w:val="22"/>
          <w:szCs w:val="22"/>
          <w:lang w:val="es-ES" w:bidi="en-US"/>
        </w:rPr>
      </w:pPr>
    </w:p>
    <w:p w14:paraId="715966E0" w14:textId="77777777" w:rsidR="001A4860" w:rsidRPr="001A4860" w:rsidRDefault="001A4860" w:rsidP="001A4860">
      <w:pPr>
        <w:rPr>
          <w:sz w:val="22"/>
          <w:szCs w:val="22"/>
          <w:lang w:val="es-ES" w:bidi="en-US"/>
        </w:rPr>
      </w:pPr>
      <w:r w:rsidRPr="001A4860">
        <w:rPr>
          <w:sz w:val="22"/>
          <w:szCs w:val="22"/>
          <w:lang w:val="es-ES" w:bidi="en-US"/>
        </w:rPr>
        <w:t>Instalar ademe (revestimiento) del pozo. La longitud total de tubería para ademe del pozo es de 61.0 m (200.13 pies), medidos desde el fondo del pozo hasta la parte superior del cabezal de descarga. El material de tubería para ademe es plástico de PVC ASTM F480, SDR-21, diámetro nominal de 200 mm (8 pulgadas), con junta cementada. El ademe se clasifica en dos tipos de tuberías. 1) Tubería ciega (lisa sin ranuras) y 2) Tubería ranurada (con aberturas), complementada con centralizadores y tapón de fondo. Las tuberías de revestimiento se colocan debidamente centradas y perfectamente alineadas.</w:t>
      </w:r>
    </w:p>
    <w:p w14:paraId="0DCC8282" w14:textId="77777777" w:rsidR="001A4860" w:rsidRPr="001A4860" w:rsidRDefault="001A4860" w:rsidP="001A4860">
      <w:pPr>
        <w:rPr>
          <w:b/>
          <w:sz w:val="22"/>
          <w:szCs w:val="22"/>
          <w:lang w:val="es-ES" w:bidi="en-US"/>
        </w:rPr>
      </w:pPr>
    </w:p>
    <w:p w14:paraId="79B774B0" w14:textId="77777777" w:rsidR="001A4860" w:rsidRPr="001A4860" w:rsidRDefault="001A4860" w:rsidP="001A4860">
      <w:pPr>
        <w:rPr>
          <w:sz w:val="22"/>
          <w:szCs w:val="22"/>
          <w:lang w:val="es-ES" w:bidi="en-US"/>
        </w:rPr>
      </w:pPr>
      <w:r w:rsidRPr="001A4860">
        <w:rPr>
          <w:sz w:val="22"/>
          <w:szCs w:val="22"/>
          <w:lang w:val="es-ES" w:bidi="en-US"/>
        </w:rPr>
        <w:t xml:space="preserve">Tubería ciega (lisa sin ranuras) para ademe, se ubica en el interior del agujero del pozo, procurando emplazarla en los estratos no productivos, poco permeables o impermeables. Para efectos del diseño preliminar se considera la longitud de tubería ciega de </w:t>
      </w:r>
      <w:r w:rsidRPr="001A4860">
        <w:rPr>
          <w:sz w:val="22"/>
          <w:szCs w:val="22"/>
          <w:lang w:val="es-ES" w:eastAsia="es-ES"/>
        </w:rPr>
        <w:t>48.0 m (157.48 pies)</w:t>
      </w:r>
    </w:p>
    <w:p w14:paraId="0E047E60" w14:textId="77777777" w:rsidR="001A4860" w:rsidRPr="001A4860" w:rsidRDefault="001A4860" w:rsidP="001A4860">
      <w:pPr>
        <w:rPr>
          <w:b/>
          <w:sz w:val="22"/>
          <w:szCs w:val="22"/>
          <w:lang w:val="es-ES" w:bidi="en-US"/>
        </w:rPr>
      </w:pPr>
    </w:p>
    <w:p w14:paraId="5D70D4DB" w14:textId="77777777" w:rsidR="001A4860" w:rsidRPr="001A4860" w:rsidRDefault="001A4860" w:rsidP="001A4860">
      <w:pPr>
        <w:rPr>
          <w:sz w:val="22"/>
          <w:szCs w:val="22"/>
          <w:lang w:val="es-ES" w:bidi="en-US"/>
        </w:rPr>
      </w:pPr>
      <w:r w:rsidRPr="001A4860">
        <w:rPr>
          <w:sz w:val="22"/>
          <w:szCs w:val="22"/>
          <w:lang w:val="es-ES" w:bidi="en-US"/>
        </w:rPr>
        <w:t xml:space="preserve">Tubería ranurada (con aberturas) para ademe, se ubica en el interior del pozo, procurando emplazarla en los estratos productivos o permeables. Para efectos del diseño preliminar se considera la longitud de tubería ranurada de </w:t>
      </w:r>
      <w:r w:rsidRPr="001A4860">
        <w:rPr>
          <w:sz w:val="22"/>
          <w:szCs w:val="22"/>
          <w:lang w:val="es-ES" w:eastAsia="es-ES"/>
        </w:rPr>
        <w:t>12.0 m (39.37 pies)</w:t>
      </w:r>
      <w:r w:rsidRPr="001A4860">
        <w:rPr>
          <w:sz w:val="22"/>
          <w:szCs w:val="22"/>
          <w:lang w:val="es-ES" w:bidi="en-US"/>
        </w:rPr>
        <w:t xml:space="preserve">. Dimensiones de las aberturas de las ranuras, elaboradas in situ: Largo 128 </w:t>
      </w:r>
      <w:r w:rsidRPr="001A4860">
        <w:rPr>
          <w:sz w:val="22"/>
          <w:szCs w:val="22"/>
          <w:lang w:val="es-ES" w:bidi="en-US"/>
        </w:rPr>
        <w:lastRenderedPageBreak/>
        <w:t>mm, ancho 1.5 mm, separación del eje entre ranuras 50 mm. La disposición de las ranuras es alterna, respecto al eje de las mismas, sobre la superficie del tubo. La tubería ranurada presenta una zona sin ranuras de 2 metros de longitud (6.56 pies), medidos desde la cota de fondo. En esta zona se sumerge el equipo de bombeo, para brindar protección tanto al equipo como al resto de elementos del pozo y estratos subyacentes. La longitud de la rejilla ha sido calculada considerando mayor área de ingreso del agua a través de las ranuras, y considerando un descenso máximo probable del 65% del espesor saturado y 6.0 metros adicionales de sumergencia de la bomba, por seguridad de la misma y motor sumergible.</w:t>
      </w:r>
    </w:p>
    <w:p w14:paraId="4CA2C74D" w14:textId="77777777" w:rsidR="001A4860" w:rsidRPr="001A4860" w:rsidRDefault="001A4860" w:rsidP="001A4860">
      <w:pPr>
        <w:rPr>
          <w:sz w:val="22"/>
          <w:szCs w:val="22"/>
          <w:lang w:val="es-ES" w:bidi="en-US"/>
        </w:rPr>
      </w:pPr>
    </w:p>
    <w:p w14:paraId="1BC4A479" w14:textId="77777777" w:rsidR="001A4860" w:rsidRPr="001A4860" w:rsidRDefault="001A4860" w:rsidP="001A4860">
      <w:pPr>
        <w:rPr>
          <w:sz w:val="22"/>
          <w:szCs w:val="22"/>
          <w:lang w:val="es-ES" w:bidi="en-US"/>
        </w:rPr>
      </w:pPr>
      <w:r w:rsidRPr="001A4860">
        <w:rPr>
          <w:sz w:val="22"/>
          <w:szCs w:val="22"/>
          <w:lang w:val="es-ES" w:bidi="en-US"/>
        </w:rPr>
        <w:t xml:space="preserve">Cierre del ademe del pozo en la superficie, por medio de tapón hembra liso, PVC 1120, SCH 40, junta cementada, diámetro nominal de 200 mm (8 pulgadas), para prevenir que cuerpos extraños entren en el interior del pozo, durante el tiempo de espera de la instalación del equipo de bombeo y demás obras comunes y conexas. </w:t>
      </w:r>
    </w:p>
    <w:p w14:paraId="61E68514" w14:textId="77777777" w:rsidR="001A4860" w:rsidRPr="001A4860" w:rsidRDefault="001A4860" w:rsidP="001A4860">
      <w:pPr>
        <w:rPr>
          <w:sz w:val="22"/>
          <w:szCs w:val="22"/>
          <w:lang w:val="es-ES" w:bidi="en-US"/>
        </w:rPr>
      </w:pPr>
    </w:p>
    <w:p w14:paraId="638C4946" w14:textId="77777777" w:rsidR="001A4860" w:rsidRPr="001A4860" w:rsidRDefault="001A4860" w:rsidP="001A4860">
      <w:pPr>
        <w:keepNext/>
        <w:jc w:val="left"/>
        <w:outlineLvl w:val="3"/>
        <w:rPr>
          <w:b/>
          <w:bCs/>
          <w:sz w:val="22"/>
          <w:szCs w:val="22"/>
          <w:lang w:val="es-ES" w:bidi="en-US"/>
        </w:rPr>
      </w:pPr>
      <w:bookmarkStart w:id="823" w:name="_Toc23249424"/>
      <w:r w:rsidRPr="001A4860">
        <w:rPr>
          <w:b/>
          <w:bCs/>
          <w:sz w:val="22"/>
          <w:szCs w:val="22"/>
          <w:lang w:val="es-ES" w:bidi="en-US"/>
        </w:rPr>
        <w:t>Prueba de verticalidad y alineamiento</w:t>
      </w:r>
      <w:bookmarkEnd w:id="823"/>
    </w:p>
    <w:p w14:paraId="17E3E9AF" w14:textId="77777777" w:rsidR="001A4860" w:rsidRPr="001A4860" w:rsidRDefault="001A4860" w:rsidP="001A4860">
      <w:pPr>
        <w:rPr>
          <w:sz w:val="22"/>
          <w:szCs w:val="22"/>
          <w:lang w:val="es-NI" w:bidi="en-US"/>
        </w:rPr>
      </w:pPr>
    </w:p>
    <w:p w14:paraId="1D889D97" w14:textId="77777777" w:rsidR="001A4860" w:rsidRPr="001A4860" w:rsidRDefault="001A4860" w:rsidP="001A4860">
      <w:pPr>
        <w:rPr>
          <w:sz w:val="22"/>
          <w:szCs w:val="22"/>
          <w:lang w:val="es-NI" w:bidi="en-US"/>
        </w:rPr>
      </w:pPr>
      <w:r w:rsidRPr="001A4860">
        <w:rPr>
          <w:sz w:val="22"/>
          <w:szCs w:val="22"/>
          <w:lang w:val="es-NI" w:bidi="en-US"/>
        </w:rPr>
        <w:t>El proceso de prueba de verticalidad y alineamiento, descrito a continuación, se debe hacer inmediatamente después de finalizada la instalación del revestimiento y antes de comenzar la colocación del engravado. Tiene la finalidad de lograr instalación satisfactoria del equipo de bombeo. Todo el revestimiento (tuberías ciegas y ranuradas) son colocados en perfecta verticalidad y alineamiento.</w:t>
      </w:r>
    </w:p>
    <w:p w14:paraId="1D127A7B" w14:textId="77777777" w:rsidR="001A4860" w:rsidRPr="001A4860" w:rsidRDefault="001A4860" w:rsidP="001A4860">
      <w:pPr>
        <w:rPr>
          <w:sz w:val="22"/>
          <w:szCs w:val="22"/>
          <w:lang w:val="es-ES" w:bidi="en-US"/>
        </w:rPr>
      </w:pPr>
      <w:r w:rsidRPr="001A4860">
        <w:rPr>
          <w:sz w:val="22"/>
          <w:szCs w:val="22"/>
          <w:lang w:val="es-ES" w:bidi="en-US"/>
        </w:rPr>
        <w:t xml:space="preserve">La verticalidad y el alineamiento del orificio del pozo, es probado introduciendo en él, un fragmento de tubo o un émbolo, de por lo menos </w:t>
      </w:r>
      <w:smartTag w:uri="urn:schemas-microsoft-com:office:smarttags" w:element="metricconverter">
        <w:smartTagPr>
          <w:attr w:name="ProductID" w:val="20 pies"/>
        </w:smartTagPr>
        <w:r w:rsidRPr="001A4860">
          <w:rPr>
            <w:sz w:val="22"/>
            <w:szCs w:val="22"/>
            <w:lang w:val="es-ES" w:bidi="en-US"/>
          </w:rPr>
          <w:t>20 pies</w:t>
        </w:r>
      </w:smartTag>
      <w:r w:rsidRPr="001A4860">
        <w:rPr>
          <w:sz w:val="22"/>
          <w:szCs w:val="22"/>
          <w:lang w:val="es-ES" w:bidi="en-US"/>
        </w:rPr>
        <w:t xml:space="preserve"> de longitud, cuyo diámetro exterior es ½ pulgada más pequeño respecto al diámetro de revestimiento del pozo. El embolo se mueve libremente a lo largo de la profundidad.</w:t>
      </w:r>
    </w:p>
    <w:p w14:paraId="68F1853E" w14:textId="77777777" w:rsidR="001A4860" w:rsidRPr="001A4860" w:rsidRDefault="001A4860" w:rsidP="001A4860">
      <w:pPr>
        <w:rPr>
          <w:sz w:val="22"/>
          <w:szCs w:val="22"/>
          <w:lang w:val="es-ES" w:bidi="en-US"/>
        </w:rPr>
      </w:pPr>
      <w:r w:rsidRPr="001A4860">
        <w:rPr>
          <w:sz w:val="22"/>
          <w:szCs w:val="22"/>
          <w:lang w:val="es-ES" w:bidi="en-US"/>
        </w:rPr>
        <w:t xml:space="preserve">La separación del eje de la perforación con respecto a la verticalidad, no excede los 2/3 del diámetro interior del ademe del pozo, por cada </w:t>
      </w:r>
      <w:smartTag w:uri="urn:schemas-microsoft-com:office:smarttags" w:element="metricconverter">
        <w:smartTagPr>
          <w:attr w:name="ProductID" w:val="10 pies"/>
        </w:smartTagPr>
        <w:r w:rsidRPr="001A4860">
          <w:rPr>
            <w:sz w:val="22"/>
            <w:szCs w:val="22"/>
            <w:lang w:val="es-ES" w:bidi="en-US"/>
          </w:rPr>
          <w:t>10 pies</w:t>
        </w:r>
      </w:smartTag>
      <w:r w:rsidRPr="001A4860">
        <w:rPr>
          <w:sz w:val="22"/>
          <w:szCs w:val="22"/>
          <w:lang w:val="es-ES" w:bidi="en-US"/>
        </w:rPr>
        <w:t xml:space="preserve"> de profundidad. </w:t>
      </w:r>
    </w:p>
    <w:p w14:paraId="14917D15" w14:textId="77777777" w:rsidR="001A4860" w:rsidRPr="001A4860" w:rsidRDefault="001A4860" w:rsidP="001A4860">
      <w:pPr>
        <w:rPr>
          <w:sz w:val="22"/>
          <w:szCs w:val="22"/>
          <w:lang w:val="es-ES" w:bidi="en-US"/>
        </w:rPr>
      </w:pPr>
      <w:r w:rsidRPr="001A4860">
        <w:rPr>
          <w:sz w:val="22"/>
          <w:szCs w:val="22"/>
          <w:lang w:val="es-ES" w:bidi="en-US"/>
        </w:rPr>
        <w:t>En caso que la perforación no cumple el requisito anterior se rechaza la perforación, hasta que y la verticalidad y/o el alineamiento son corregidos por el contratista por su propia cuenta, las pruebas de verticalidad y alineamiento se realizan después de completar totalmente la construcción del pozo, sin embargo, el supervisor puede pedir al contratista ejecutar dichas pruebas cuando lo estime necesario durante el curso de la perforación.</w:t>
      </w:r>
    </w:p>
    <w:p w14:paraId="2C785523" w14:textId="77777777" w:rsidR="001A4860" w:rsidRPr="001A4860" w:rsidRDefault="001A4860" w:rsidP="001A4860">
      <w:pPr>
        <w:rPr>
          <w:sz w:val="22"/>
          <w:szCs w:val="22"/>
          <w:lang w:val="es-ES" w:bidi="en-US"/>
        </w:rPr>
      </w:pPr>
    </w:p>
    <w:p w14:paraId="1F66F6A2" w14:textId="77777777" w:rsidR="001A4860" w:rsidRPr="001A4860" w:rsidRDefault="001A4860" w:rsidP="001A4860">
      <w:pPr>
        <w:keepNext/>
        <w:jc w:val="left"/>
        <w:outlineLvl w:val="3"/>
        <w:rPr>
          <w:b/>
          <w:bCs/>
          <w:sz w:val="22"/>
          <w:szCs w:val="22"/>
          <w:lang w:val="es-ES" w:bidi="en-US"/>
        </w:rPr>
      </w:pPr>
      <w:bookmarkStart w:id="824" w:name="_Toc23249425"/>
      <w:r w:rsidRPr="001A4860">
        <w:rPr>
          <w:b/>
          <w:bCs/>
          <w:sz w:val="22"/>
          <w:szCs w:val="22"/>
          <w:lang w:val="es-ES" w:bidi="en-US"/>
        </w:rPr>
        <w:t>Instalar tubería piezómetro</w:t>
      </w:r>
      <w:bookmarkEnd w:id="824"/>
    </w:p>
    <w:p w14:paraId="4C10734D" w14:textId="77777777" w:rsidR="001A4860" w:rsidRPr="001A4860" w:rsidRDefault="001A4860" w:rsidP="001A4860">
      <w:pPr>
        <w:rPr>
          <w:sz w:val="22"/>
          <w:szCs w:val="22"/>
          <w:lang w:val="es-ES" w:bidi="en-US"/>
        </w:rPr>
      </w:pPr>
    </w:p>
    <w:p w14:paraId="2E2431A2" w14:textId="77777777" w:rsidR="001A4860" w:rsidRPr="001A4860" w:rsidRDefault="001A4860" w:rsidP="001A4860">
      <w:pPr>
        <w:rPr>
          <w:sz w:val="22"/>
          <w:szCs w:val="22"/>
          <w:lang w:val="es-ES" w:bidi="en-US"/>
        </w:rPr>
      </w:pPr>
      <w:r w:rsidRPr="001A4860">
        <w:rPr>
          <w:sz w:val="22"/>
          <w:szCs w:val="22"/>
          <w:lang w:val="es-ES" w:bidi="en-US"/>
        </w:rPr>
        <w:t>La tubería piezométrica tiene altura de 61.00 m (200.13 pies), diámetro nominal de 38 mm (1½ pulg), se ubica en el interior del espacio anular entre la tubería de ademe y las paredes del pozo. Se extiende desde el fondo del pozo hasta la superficie del cabezal de descarga. La tubería es perforada con taladro, en su extremo final, (6 m), para facilitar el ingreso del agua al piezómetro y facilitar la medición de los niveles de agua dentro del pozo. Cierre del tubo piezómetro en la superficie, por medio de tapón hembra liso, PVC 1120, SCH 40, junta cementada, diámetro nominal de 38 mm (1½ pulgada), para prevenir que cuerpos extraños entren en interior del pozo, durante el tiempo de espera de la instalación del equipo de bombeo y demás obras comunes y conexas. El tapón de fondo debe ser de material plástico PVC 1120, SCH 40, tapón hembra liso, diámetro nominal 38 mm (1½ pulgadas), junta cementada.</w:t>
      </w:r>
    </w:p>
    <w:p w14:paraId="3D90D377" w14:textId="77777777" w:rsidR="001A4860" w:rsidRPr="001A4860" w:rsidRDefault="001A4860" w:rsidP="001A4860">
      <w:pPr>
        <w:rPr>
          <w:sz w:val="22"/>
          <w:szCs w:val="22"/>
          <w:lang w:val="es-ES" w:bidi="en-US"/>
        </w:rPr>
      </w:pPr>
    </w:p>
    <w:p w14:paraId="780D5E3C" w14:textId="77777777" w:rsidR="001A4860" w:rsidRPr="001A4860" w:rsidRDefault="001A4860" w:rsidP="001A4860">
      <w:pPr>
        <w:keepNext/>
        <w:jc w:val="left"/>
        <w:outlineLvl w:val="3"/>
        <w:rPr>
          <w:b/>
          <w:bCs/>
          <w:sz w:val="22"/>
          <w:szCs w:val="22"/>
          <w:lang w:val="es-ES" w:bidi="en-US"/>
        </w:rPr>
      </w:pPr>
      <w:bookmarkStart w:id="825" w:name="_Toc23249426"/>
      <w:r w:rsidRPr="001A4860">
        <w:rPr>
          <w:b/>
          <w:bCs/>
          <w:sz w:val="22"/>
          <w:szCs w:val="22"/>
          <w:lang w:val="es-ES" w:bidi="en-US"/>
        </w:rPr>
        <w:t>Instalar tubería para engrave.</w:t>
      </w:r>
      <w:bookmarkEnd w:id="825"/>
    </w:p>
    <w:p w14:paraId="33E5141E" w14:textId="77777777" w:rsidR="001A4860" w:rsidRPr="001A4860" w:rsidRDefault="001A4860" w:rsidP="001A4860">
      <w:pPr>
        <w:rPr>
          <w:sz w:val="22"/>
          <w:szCs w:val="22"/>
          <w:lang w:val="es-ES" w:bidi="en-US"/>
        </w:rPr>
      </w:pPr>
    </w:p>
    <w:p w14:paraId="76418129" w14:textId="77777777" w:rsidR="001A4860" w:rsidRPr="001A4860" w:rsidRDefault="001A4860" w:rsidP="001A4860">
      <w:pPr>
        <w:rPr>
          <w:sz w:val="22"/>
          <w:szCs w:val="22"/>
          <w:lang w:val="es-ES" w:bidi="en-US"/>
        </w:rPr>
      </w:pPr>
      <w:r w:rsidRPr="001A4860">
        <w:rPr>
          <w:sz w:val="22"/>
          <w:szCs w:val="22"/>
          <w:lang w:val="es-ES" w:bidi="en-US"/>
        </w:rPr>
        <w:t xml:space="preserve">La tubería para engrave tiene 10.0 m de longitud (32.80 pies), diámetro nominal de 50 mm (2 pulg), se ubica en el interior del espacio anular entre la tubería ciega y las paredes del pozo. Se extiende desde donde finaliza el filtro artificial de gravilla de río hasta la superficie del cabezal de descarga. La tubería de engrave permite facilitar el suministro del material granular de reposición, en el interior del pozo, al descender el nivel del mismo durante el desarrollo del pozo y otras causas en el tiempo al acomodarse el material granular del empaque de gravilla de río. Cierre del tubo para engrave en la superficie, por medio de tapón hembra </w:t>
      </w:r>
      <w:r w:rsidRPr="001A4860">
        <w:rPr>
          <w:sz w:val="22"/>
          <w:szCs w:val="22"/>
          <w:lang w:val="es-ES" w:bidi="en-US"/>
        </w:rPr>
        <w:lastRenderedPageBreak/>
        <w:t>liso, PVC 1120, SCH 40, junta cementada, diámetro nominal de 50 mm (2 pulgada), para prevenir que cuerpos extraños entren en interior del pozo, durante el tiempo de espera de la instalación del equipo de bombeo y demás obras comunes y conexas. Este tubo no lleva tapón de fondo.</w:t>
      </w:r>
    </w:p>
    <w:p w14:paraId="4A04FFEC" w14:textId="77777777" w:rsidR="001A4860" w:rsidRPr="001A4860" w:rsidRDefault="001A4860" w:rsidP="001A4860">
      <w:pPr>
        <w:rPr>
          <w:sz w:val="22"/>
          <w:szCs w:val="22"/>
          <w:lang w:val="es-ES" w:bidi="en-US"/>
        </w:rPr>
      </w:pPr>
    </w:p>
    <w:p w14:paraId="3CDAEEA8" w14:textId="77777777" w:rsidR="001A4860" w:rsidRPr="001A4860" w:rsidRDefault="001A4860" w:rsidP="001A4860">
      <w:pPr>
        <w:keepNext/>
        <w:jc w:val="left"/>
        <w:outlineLvl w:val="3"/>
        <w:rPr>
          <w:b/>
          <w:bCs/>
          <w:sz w:val="22"/>
          <w:szCs w:val="22"/>
          <w:lang w:val="es-ES" w:bidi="en-US"/>
        </w:rPr>
      </w:pPr>
      <w:bookmarkStart w:id="826" w:name="_Toc23249427"/>
      <w:r w:rsidRPr="001A4860">
        <w:rPr>
          <w:b/>
          <w:bCs/>
          <w:sz w:val="22"/>
          <w:szCs w:val="22"/>
          <w:lang w:val="es-ES" w:bidi="en-US"/>
        </w:rPr>
        <w:t>Colocar filtro artificial de gravilla de río, canto rodado (empaque de grava).</w:t>
      </w:r>
      <w:bookmarkEnd w:id="826"/>
    </w:p>
    <w:p w14:paraId="3602686A" w14:textId="77777777" w:rsidR="001A4860" w:rsidRPr="001A4860" w:rsidRDefault="001A4860" w:rsidP="001A4860">
      <w:pPr>
        <w:rPr>
          <w:sz w:val="22"/>
          <w:szCs w:val="22"/>
          <w:lang w:val="es-ES" w:bidi="en-US"/>
        </w:rPr>
      </w:pPr>
    </w:p>
    <w:p w14:paraId="156C8BFE" w14:textId="77777777" w:rsidR="001A4860" w:rsidRPr="001A4860" w:rsidRDefault="001A4860" w:rsidP="001A4860">
      <w:pPr>
        <w:rPr>
          <w:sz w:val="22"/>
          <w:szCs w:val="22"/>
          <w:lang w:val="es-ES" w:bidi="en-US"/>
        </w:rPr>
      </w:pPr>
      <w:r w:rsidRPr="001A4860">
        <w:rPr>
          <w:sz w:val="22"/>
          <w:szCs w:val="22"/>
          <w:lang w:val="es-ES" w:bidi="en-US"/>
        </w:rPr>
        <w:t>El espacio anular comprendido entre las paredes del pozo y el tubo de revestimiento de PVC ASTM F480, SDR 21, con junta cementada, se rellena con gravilla de río canto rodado con tres propósitos: 1) Estabiliza las paredes del agujero del pozo, evita derrumbes de las mismas, 2) Evita la intrusión de partículas de materiales extraños de los estratos del suelo hacia el interior del pozo y 3) Garantiza la verticalidad y firmeza de la tubería de ademe del pozo. La gravilla debe ser silícea, de forma redondeada, limpia de arcilla o limo y no debe contener más de 5% de material calcáreo; se debe desinfectar antes de verterla al pozo, con una concentración de cloro menor de 60 ppm.</w:t>
      </w:r>
    </w:p>
    <w:p w14:paraId="00434ED1" w14:textId="77777777" w:rsidR="001A4860" w:rsidRPr="001A4860" w:rsidRDefault="001A4860" w:rsidP="001A4860">
      <w:pPr>
        <w:rPr>
          <w:sz w:val="22"/>
          <w:szCs w:val="22"/>
          <w:lang w:val="es-ES" w:bidi="en-US"/>
        </w:rPr>
      </w:pPr>
    </w:p>
    <w:p w14:paraId="31335C9A" w14:textId="77777777" w:rsidR="001A4860" w:rsidRPr="001A4860" w:rsidRDefault="001A4860" w:rsidP="001A4860">
      <w:pPr>
        <w:rPr>
          <w:sz w:val="22"/>
          <w:szCs w:val="22"/>
          <w:lang w:val="es-ES" w:bidi="en-US"/>
        </w:rPr>
      </w:pPr>
      <w:r w:rsidRPr="001A4860">
        <w:rPr>
          <w:sz w:val="22"/>
          <w:szCs w:val="22"/>
          <w:lang w:val="es-ES" w:bidi="en-US"/>
        </w:rPr>
        <w:t>El filtro artificial de gravilla de río se extiende 54.0 m (177.16 pies) desde el fondo del pozo, hacia arriba. El nivel superior finaliza 6.00 m (19.68 pies) antes de llegar a la superficie del terreno natural. La granulometría del filtro artificial es determinada en función de la granulometría del material constituyente del acuífero y de las aberturas de las rejillas, para efectos del diseño, se establece la granulometría de 5 a 8 mm, pero, puede modificarse hasta 20 mm, de acuerdo con los resultados de los análisis granulométricos de las formaciones acuíferas arenosas que se encuentran durante la perforación; por lo que las muestras de los estratos obtenidas se someten a análisis granulométricos a partir de los cuales se determina la granulometría, el tamaño efectivo y el coeficiente de uniformidad de la grava a utilizar. Se lleva un registro cuidadoso de la cantidad de grava utilizada para rellenar el espacio anular. El volumen total del filtro artificial es de 3.41 m³.</w:t>
      </w:r>
    </w:p>
    <w:p w14:paraId="1A744E06" w14:textId="77777777" w:rsidR="001A4860" w:rsidRPr="001A4860" w:rsidRDefault="001A4860" w:rsidP="001A4860">
      <w:pPr>
        <w:rPr>
          <w:sz w:val="22"/>
          <w:szCs w:val="22"/>
          <w:lang w:val="es-ES" w:bidi="en-US"/>
        </w:rPr>
      </w:pPr>
      <w:r w:rsidRPr="001A4860">
        <w:rPr>
          <w:sz w:val="22"/>
          <w:szCs w:val="22"/>
          <w:lang w:val="es-ES" w:bidi="en-US"/>
        </w:rPr>
        <w:t>Si el nivel de filtro artificial desciende durante el desarrollo del pozo o durante las pruebas de bombeo, debido al acomodamiento de la grava, se suministra (agrega), a través del tubo de engrave, el volumen adicional de gravilla de río, hasta recuperar el nivel requerido.</w:t>
      </w:r>
    </w:p>
    <w:p w14:paraId="7AE20861" w14:textId="77777777" w:rsidR="001A4860" w:rsidRPr="001A4860" w:rsidRDefault="001A4860" w:rsidP="001A4860">
      <w:pPr>
        <w:rPr>
          <w:sz w:val="22"/>
          <w:szCs w:val="22"/>
          <w:lang w:val="es-ES" w:bidi="en-US"/>
        </w:rPr>
      </w:pPr>
    </w:p>
    <w:p w14:paraId="4C686706" w14:textId="77777777" w:rsidR="001A4860" w:rsidRPr="001A4860" w:rsidRDefault="001A4860" w:rsidP="001A4860">
      <w:pPr>
        <w:keepNext/>
        <w:jc w:val="left"/>
        <w:outlineLvl w:val="3"/>
        <w:rPr>
          <w:b/>
          <w:bCs/>
          <w:sz w:val="22"/>
          <w:szCs w:val="22"/>
          <w:lang w:val="es-ES" w:bidi="en-US"/>
        </w:rPr>
      </w:pPr>
      <w:bookmarkStart w:id="827" w:name="_Toc23249428"/>
      <w:r w:rsidRPr="001A4860">
        <w:rPr>
          <w:b/>
          <w:bCs/>
          <w:sz w:val="22"/>
          <w:szCs w:val="22"/>
          <w:lang w:val="es-ES" w:bidi="en-US"/>
        </w:rPr>
        <w:t>Construcción de sello sanitario impermeable.</w:t>
      </w:r>
      <w:bookmarkEnd w:id="827"/>
    </w:p>
    <w:p w14:paraId="5C453FB3" w14:textId="77777777" w:rsidR="001A4860" w:rsidRPr="001A4860" w:rsidRDefault="001A4860" w:rsidP="001A4860">
      <w:pPr>
        <w:rPr>
          <w:sz w:val="22"/>
          <w:szCs w:val="22"/>
          <w:lang w:val="es-ES" w:bidi="en-US"/>
        </w:rPr>
      </w:pPr>
    </w:p>
    <w:p w14:paraId="67A98CCB" w14:textId="77777777" w:rsidR="001A4860" w:rsidRPr="001A4860" w:rsidRDefault="001A4860" w:rsidP="001A4860">
      <w:pPr>
        <w:rPr>
          <w:sz w:val="22"/>
          <w:szCs w:val="22"/>
          <w:lang w:val="es-ES" w:bidi="en-US"/>
        </w:rPr>
      </w:pPr>
      <w:r w:rsidRPr="001A4860">
        <w:rPr>
          <w:sz w:val="22"/>
          <w:szCs w:val="22"/>
          <w:lang w:val="es-ES" w:bidi="en-US"/>
        </w:rPr>
        <w:t>Es sello sanitario impermeable debe ser erigido sobre el filtro artificial de gravilla de río. El sello sanitario se extiende en el espacio anular entre la tubería ciega del ademe y las paredes naturales del agujero del pozo. La longitud total del sello sanitario es de 6.00 m, medidos hasta la superficie del terreno natural. El sello sanitario es una mezcla de material mortero (cemento + agua + arena) + gravilla de río canto rodado con granulometría de 31 mm a 38 mm (¼pulgada a ½ pulgada), proporción 1:1. Volumen de sello sanitario, 0.27 m³</w:t>
      </w:r>
    </w:p>
    <w:p w14:paraId="6E8B2E9F" w14:textId="77777777" w:rsidR="001A4860" w:rsidRPr="001A4860" w:rsidRDefault="001A4860" w:rsidP="001A4860">
      <w:pPr>
        <w:rPr>
          <w:sz w:val="22"/>
          <w:szCs w:val="22"/>
          <w:lang w:val="es-ES" w:bidi="en-US"/>
        </w:rPr>
      </w:pPr>
    </w:p>
    <w:p w14:paraId="6C8872A9" w14:textId="77777777" w:rsidR="001A4860" w:rsidRPr="001A4860" w:rsidRDefault="001A4860" w:rsidP="001A4860">
      <w:pPr>
        <w:keepNext/>
        <w:jc w:val="left"/>
        <w:outlineLvl w:val="3"/>
        <w:rPr>
          <w:b/>
          <w:bCs/>
          <w:sz w:val="22"/>
          <w:szCs w:val="22"/>
          <w:lang w:val="es-ES" w:bidi="en-US"/>
        </w:rPr>
      </w:pPr>
      <w:bookmarkStart w:id="828" w:name="_Toc23249429"/>
      <w:r w:rsidRPr="001A4860">
        <w:rPr>
          <w:b/>
          <w:bCs/>
          <w:sz w:val="22"/>
          <w:szCs w:val="22"/>
          <w:lang w:val="es-ES" w:bidi="en-US"/>
        </w:rPr>
        <w:t>Base de concreto.</w:t>
      </w:r>
      <w:bookmarkEnd w:id="828"/>
    </w:p>
    <w:p w14:paraId="49A3A29F" w14:textId="77777777" w:rsidR="001A4860" w:rsidRPr="001A4860" w:rsidRDefault="001A4860" w:rsidP="001A4860">
      <w:pPr>
        <w:autoSpaceDE w:val="0"/>
        <w:autoSpaceDN w:val="0"/>
        <w:adjustRightInd w:val="0"/>
        <w:ind w:right="15"/>
        <w:rPr>
          <w:sz w:val="22"/>
          <w:szCs w:val="22"/>
          <w:lang w:val="es-ES" w:bidi="en-US"/>
        </w:rPr>
      </w:pPr>
    </w:p>
    <w:p w14:paraId="25A296E3" w14:textId="77777777" w:rsidR="001A4860" w:rsidRPr="001A4860" w:rsidRDefault="001A4860" w:rsidP="001A4860">
      <w:pPr>
        <w:autoSpaceDE w:val="0"/>
        <w:autoSpaceDN w:val="0"/>
        <w:adjustRightInd w:val="0"/>
        <w:ind w:right="15"/>
        <w:rPr>
          <w:sz w:val="22"/>
          <w:szCs w:val="22"/>
          <w:lang w:val="es-ES" w:bidi="en-US"/>
        </w:rPr>
      </w:pPr>
      <w:r w:rsidRPr="001A4860">
        <w:rPr>
          <w:sz w:val="22"/>
          <w:szCs w:val="22"/>
          <w:lang w:val="es-ES" w:bidi="en-US"/>
        </w:rPr>
        <w:t xml:space="preserve">Sobre la superficie del terreno natural, se erige una base de concreto (cabezal de descarga) de 3,000 psi, por medio de cimentación del espacio anular entre la tubería ciega y las paredes del pozo. La altura total del cabezal de descarga es de 0.90 m medidos desde la superficie del terreno natural, incluye los 0.20 m del espesor de la losa de piso, por 0.60 m x 0.60 m, con una resistencia de 3000 psi. </w:t>
      </w:r>
    </w:p>
    <w:p w14:paraId="6983563C" w14:textId="77777777" w:rsidR="001A4860" w:rsidRPr="001A4860" w:rsidRDefault="001A4860" w:rsidP="001A4860">
      <w:pPr>
        <w:rPr>
          <w:sz w:val="22"/>
          <w:szCs w:val="22"/>
          <w:lang w:val="es-ES" w:bidi="en-US"/>
        </w:rPr>
      </w:pPr>
    </w:p>
    <w:p w14:paraId="6E90187B" w14:textId="77777777" w:rsidR="001A4860" w:rsidRPr="001A4860" w:rsidRDefault="001A4860" w:rsidP="001A4860">
      <w:pPr>
        <w:keepNext/>
        <w:jc w:val="left"/>
        <w:outlineLvl w:val="3"/>
        <w:rPr>
          <w:b/>
          <w:bCs/>
          <w:sz w:val="22"/>
          <w:szCs w:val="22"/>
          <w:lang w:val="es-ES" w:bidi="en-US"/>
        </w:rPr>
      </w:pPr>
      <w:bookmarkStart w:id="829" w:name="_Toc23249430"/>
      <w:r w:rsidRPr="001A4860">
        <w:rPr>
          <w:b/>
          <w:bCs/>
          <w:sz w:val="22"/>
          <w:szCs w:val="22"/>
          <w:lang w:val="es-ES" w:bidi="en-US"/>
        </w:rPr>
        <w:t>Limpieza y Desarrollo del pozo</w:t>
      </w:r>
      <w:bookmarkEnd w:id="829"/>
    </w:p>
    <w:p w14:paraId="29081AF9" w14:textId="77777777" w:rsidR="001A4860" w:rsidRPr="001A4860" w:rsidRDefault="001A4860" w:rsidP="001A4860">
      <w:pPr>
        <w:rPr>
          <w:sz w:val="22"/>
          <w:szCs w:val="22"/>
          <w:lang w:val="es-ES" w:bidi="en-US"/>
        </w:rPr>
      </w:pPr>
    </w:p>
    <w:p w14:paraId="36FF98B3" w14:textId="77777777" w:rsidR="001A4860" w:rsidRPr="001A4860" w:rsidRDefault="001A4860" w:rsidP="001A4860">
      <w:pPr>
        <w:rPr>
          <w:sz w:val="22"/>
          <w:szCs w:val="22"/>
          <w:lang w:val="es-ES" w:bidi="en-US"/>
        </w:rPr>
      </w:pPr>
      <w:r w:rsidRPr="001A4860">
        <w:rPr>
          <w:sz w:val="22"/>
          <w:szCs w:val="22"/>
          <w:lang w:val="es-ES" w:bidi="en-US"/>
        </w:rPr>
        <w:t xml:space="preserve">Todos los métodos de perforación obstruyen los poros y las fracturas de la formación en las inmediaciones del agujero, en mayor o menor grado. Tal obstrucción se observa fácilmente en el método convencional de rotación en el que el lodo que se utiliza en el procedimiento efectivamente sella la pared del agujero. Otros </w:t>
      </w:r>
      <w:r w:rsidRPr="001A4860">
        <w:rPr>
          <w:sz w:val="22"/>
          <w:szCs w:val="22"/>
          <w:lang w:val="es-ES" w:bidi="en-US"/>
        </w:rPr>
        <w:lastRenderedPageBreak/>
        <w:t>métodos de perforación afectan en forma adversa y de una manera u otra la porosidad y la permeabilidad de la formación.</w:t>
      </w:r>
    </w:p>
    <w:p w14:paraId="0691E77E" w14:textId="77777777" w:rsidR="001A4860" w:rsidRPr="001A4860" w:rsidRDefault="001A4860" w:rsidP="001A4860">
      <w:pPr>
        <w:rPr>
          <w:sz w:val="22"/>
          <w:szCs w:val="22"/>
          <w:lang w:val="es-ES" w:bidi="en-US"/>
        </w:rPr>
      </w:pPr>
      <w:r w:rsidRPr="001A4860">
        <w:rPr>
          <w:sz w:val="22"/>
          <w:szCs w:val="22"/>
          <w:lang w:val="es-ES" w:bidi="en-US"/>
        </w:rPr>
        <w:t>La perforación causa también cierta obstrucción de las aberturas en las rocas duras. Cualquier material que haya sido obligado a penetrar dentro de las ranuras y fisuras de un acuífero constituido por roca dura debe ser luego retirado mediante el desarrollo.</w:t>
      </w:r>
    </w:p>
    <w:p w14:paraId="266A85CC" w14:textId="77777777" w:rsidR="001A4860" w:rsidRPr="001A4860" w:rsidRDefault="001A4860" w:rsidP="001A4860">
      <w:pPr>
        <w:rPr>
          <w:sz w:val="22"/>
          <w:szCs w:val="22"/>
          <w:lang w:val="es-ES" w:bidi="en-US"/>
        </w:rPr>
      </w:pPr>
      <w:r w:rsidRPr="001A4860">
        <w:rPr>
          <w:sz w:val="22"/>
          <w:szCs w:val="22"/>
          <w:lang w:val="es-ES" w:bidi="en-US"/>
        </w:rPr>
        <w:t xml:space="preserve">La actividad de desarrollo, se realiza con el objetivo de remover y extraer de las formaciones rocosas que rodean al pozo, el material fino (arena fina, limo y arcilla) o remover el material fino que pudo haberse introducido a las mismas formaciones como consecuencia derivada de los efectos de perforación. Esta actividad, busca aumentar la porosidad y la permeabilidad en las inmediaciones del pozo. El proceso de desarrollo consiste en la agitación interna y gradual de la sección de los acuíferos utilizando métodos usuales (pistoneo por medio de émbolo, chorro de agua de alta velocidad o inyección de aire comprimido. </w:t>
      </w:r>
    </w:p>
    <w:p w14:paraId="5F9B9F5A" w14:textId="77777777" w:rsidR="001A4860" w:rsidRPr="001A4860" w:rsidRDefault="001A4860" w:rsidP="001A4860">
      <w:pPr>
        <w:rPr>
          <w:sz w:val="22"/>
          <w:szCs w:val="22"/>
          <w:lang w:val="es-ES" w:bidi="en-US"/>
        </w:rPr>
      </w:pPr>
    </w:p>
    <w:p w14:paraId="703D1B08" w14:textId="77777777" w:rsidR="001A4860" w:rsidRPr="001A4860" w:rsidRDefault="001A4860" w:rsidP="001A4860">
      <w:pPr>
        <w:rPr>
          <w:sz w:val="22"/>
          <w:szCs w:val="22"/>
          <w:lang w:val="es-ES" w:bidi="en-US"/>
        </w:rPr>
      </w:pPr>
      <w:r w:rsidRPr="001A4860">
        <w:rPr>
          <w:sz w:val="22"/>
          <w:szCs w:val="22"/>
          <w:lang w:val="es-ES" w:bidi="en-US"/>
        </w:rPr>
        <w:t>En este caso, estos procesos se realizan por medio de aire comprimido de doble pistón. Este método de desarrollo, es el conocido como agitación con aire (air lift) y packer; el es considerado el método más efectivo para lograr un buen desarrollo.</w:t>
      </w:r>
    </w:p>
    <w:p w14:paraId="7342EBDA" w14:textId="77777777" w:rsidR="001A4860" w:rsidRPr="001A4860" w:rsidRDefault="001A4860" w:rsidP="001A4860">
      <w:pPr>
        <w:rPr>
          <w:sz w:val="22"/>
          <w:szCs w:val="22"/>
          <w:lang w:val="es-ES" w:bidi="en-US"/>
        </w:rPr>
      </w:pPr>
      <w:r w:rsidRPr="001A4860">
        <w:rPr>
          <w:sz w:val="22"/>
          <w:szCs w:val="22"/>
          <w:lang w:val="es-ES" w:bidi="en-US"/>
        </w:rPr>
        <w:t>El packer, en sí, es un dispositivo succionador, pero, cuando se le opera con desplazamiento rítmico de ascenso y descenso; debajo de él, se produce una agitación mecánica, muy similar a la agitación que produce un émbolo o bloque de pistoneo.</w:t>
      </w:r>
    </w:p>
    <w:p w14:paraId="695F0467" w14:textId="77777777" w:rsidR="001A4860" w:rsidRPr="001A4860" w:rsidRDefault="001A4860" w:rsidP="001A4860">
      <w:pPr>
        <w:rPr>
          <w:sz w:val="22"/>
          <w:szCs w:val="22"/>
          <w:lang w:val="es-ES" w:bidi="en-US"/>
        </w:rPr>
      </w:pPr>
    </w:p>
    <w:p w14:paraId="7D38C725" w14:textId="77777777" w:rsidR="001A4860" w:rsidRPr="001A4860" w:rsidRDefault="001A4860" w:rsidP="001A4860">
      <w:pPr>
        <w:rPr>
          <w:sz w:val="22"/>
          <w:szCs w:val="22"/>
          <w:lang w:val="es-ES" w:bidi="en-US"/>
        </w:rPr>
      </w:pPr>
      <w:r w:rsidRPr="001A4860">
        <w:rPr>
          <w:sz w:val="22"/>
          <w:szCs w:val="22"/>
          <w:lang w:val="es-ES" w:bidi="en-US"/>
        </w:rPr>
        <w:t>Equipo y los accesorios utilizados:</w:t>
      </w:r>
    </w:p>
    <w:p w14:paraId="063CCD95" w14:textId="77777777" w:rsidR="001A4860" w:rsidRPr="001A4860" w:rsidRDefault="001A4860" w:rsidP="003B68DB">
      <w:pPr>
        <w:numPr>
          <w:ilvl w:val="0"/>
          <w:numId w:val="164"/>
        </w:numPr>
        <w:jc w:val="left"/>
        <w:rPr>
          <w:sz w:val="22"/>
          <w:szCs w:val="22"/>
          <w:lang w:val="es-ES" w:bidi="en-US"/>
        </w:rPr>
      </w:pPr>
      <w:r w:rsidRPr="001A4860">
        <w:rPr>
          <w:sz w:val="22"/>
          <w:szCs w:val="22"/>
          <w:lang w:val="es-ES" w:bidi="en-US"/>
        </w:rPr>
        <w:t>Compresor del módulo de perforación.</w:t>
      </w:r>
    </w:p>
    <w:p w14:paraId="65A77969" w14:textId="77777777" w:rsidR="001A4860" w:rsidRPr="001A4860" w:rsidRDefault="001A4860" w:rsidP="003B68DB">
      <w:pPr>
        <w:numPr>
          <w:ilvl w:val="0"/>
          <w:numId w:val="164"/>
        </w:numPr>
        <w:jc w:val="left"/>
        <w:rPr>
          <w:sz w:val="22"/>
          <w:szCs w:val="22"/>
          <w:lang w:val="es-ES" w:bidi="en-US"/>
        </w:rPr>
      </w:pPr>
      <w:r w:rsidRPr="001A4860">
        <w:rPr>
          <w:sz w:val="22"/>
          <w:szCs w:val="22"/>
          <w:lang w:val="es-ES" w:bidi="en-US"/>
        </w:rPr>
        <w:t>Un packer, de un metro de longitud, con émbolos en sus extremos, cuyos diámetros son casi iguales al diámetro interior del revestimiento.</w:t>
      </w:r>
    </w:p>
    <w:p w14:paraId="64E99865" w14:textId="77777777" w:rsidR="001A4860" w:rsidRPr="001A4860" w:rsidRDefault="001A4860" w:rsidP="003B68DB">
      <w:pPr>
        <w:numPr>
          <w:ilvl w:val="0"/>
          <w:numId w:val="164"/>
        </w:numPr>
        <w:jc w:val="left"/>
        <w:rPr>
          <w:sz w:val="22"/>
          <w:szCs w:val="22"/>
          <w:lang w:val="es-ES" w:bidi="en-US"/>
        </w:rPr>
      </w:pPr>
      <w:r w:rsidRPr="001A4860">
        <w:rPr>
          <w:sz w:val="22"/>
          <w:szCs w:val="22"/>
          <w:lang w:val="es-ES" w:bidi="en-US"/>
        </w:rPr>
        <w:t>Separador de aire-agua, que facilita la medición de los volúmenes de agua desplazados por el aire.</w:t>
      </w:r>
    </w:p>
    <w:p w14:paraId="70884011" w14:textId="77777777" w:rsidR="001A4860" w:rsidRPr="001A4860" w:rsidRDefault="001A4860" w:rsidP="003B68DB">
      <w:pPr>
        <w:numPr>
          <w:ilvl w:val="0"/>
          <w:numId w:val="164"/>
        </w:numPr>
        <w:jc w:val="left"/>
        <w:rPr>
          <w:sz w:val="22"/>
          <w:szCs w:val="22"/>
          <w:lang w:val="es-ES" w:bidi="en-US"/>
        </w:rPr>
      </w:pPr>
      <w:r w:rsidRPr="001A4860">
        <w:rPr>
          <w:sz w:val="22"/>
          <w:szCs w:val="22"/>
          <w:lang w:val="es-ES" w:bidi="en-US"/>
        </w:rPr>
        <w:t xml:space="preserve">Tubería de hierro galvanizado de </w:t>
      </w:r>
      <w:smartTag w:uri="urn:schemas-microsoft-com:office:smarttags" w:element="metricconverter">
        <w:smartTagPr>
          <w:attr w:name="ProductID" w:val="4”"/>
        </w:smartTagPr>
        <w:r w:rsidRPr="001A4860">
          <w:rPr>
            <w:sz w:val="22"/>
            <w:szCs w:val="22"/>
            <w:lang w:val="es-ES" w:bidi="en-US"/>
          </w:rPr>
          <w:t>4”</w:t>
        </w:r>
      </w:smartTag>
      <w:r w:rsidRPr="001A4860">
        <w:rPr>
          <w:sz w:val="22"/>
          <w:szCs w:val="22"/>
          <w:lang w:val="es-ES" w:bidi="en-US"/>
        </w:rPr>
        <w:t>, a través de la cual sale el agua desplazada por el aire.</w:t>
      </w:r>
    </w:p>
    <w:p w14:paraId="360EC32A" w14:textId="77777777" w:rsidR="001A4860" w:rsidRPr="001A4860" w:rsidRDefault="001A4860" w:rsidP="003B68DB">
      <w:pPr>
        <w:numPr>
          <w:ilvl w:val="0"/>
          <w:numId w:val="164"/>
        </w:numPr>
        <w:jc w:val="left"/>
        <w:rPr>
          <w:sz w:val="22"/>
          <w:szCs w:val="22"/>
          <w:lang w:val="es-ES" w:bidi="en-US"/>
        </w:rPr>
      </w:pPr>
      <w:r w:rsidRPr="001A4860">
        <w:rPr>
          <w:sz w:val="22"/>
          <w:szCs w:val="22"/>
          <w:lang w:val="es-ES" w:bidi="en-US"/>
        </w:rPr>
        <w:t xml:space="preserve">Tubería de hierro galvanizado de </w:t>
      </w:r>
      <w:smartTag w:uri="urn:schemas-microsoft-com:office:smarttags" w:element="metricconverter">
        <w:smartTagPr>
          <w:attr w:name="ProductID" w:val="4”"/>
        </w:smartTagPr>
        <w:r w:rsidRPr="001A4860">
          <w:rPr>
            <w:sz w:val="22"/>
            <w:szCs w:val="22"/>
            <w:lang w:val="es-ES" w:bidi="en-US"/>
          </w:rPr>
          <w:t>4”</w:t>
        </w:r>
      </w:smartTag>
      <w:r w:rsidRPr="001A4860">
        <w:rPr>
          <w:sz w:val="22"/>
          <w:szCs w:val="22"/>
          <w:lang w:val="es-ES" w:bidi="en-US"/>
        </w:rPr>
        <w:t>, a través de la cual se inyecta el aire.</w:t>
      </w:r>
    </w:p>
    <w:p w14:paraId="6F61E6D1" w14:textId="77777777" w:rsidR="001A4860" w:rsidRPr="001A4860" w:rsidRDefault="001A4860" w:rsidP="003B68DB">
      <w:pPr>
        <w:numPr>
          <w:ilvl w:val="0"/>
          <w:numId w:val="164"/>
        </w:numPr>
        <w:jc w:val="left"/>
        <w:rPr>
          <w:sz w:val="22"/>
          <w:szCs w:val="22"/>
          <w:lang w:val="es-ES" w:bidi="en-US"/>
        </w:rPr>
      </w:pPr>
      <w:r w:rsidRPr="001A4860">
        <w:rPr>
          <w:sz w:val="22"/>
          <w:szCs w:val="22"/>
          <w:lang w:val="es-ES" w:bidi="en-US"/>
        </w:rPr>
        <w:t xml:space="preserve">Manguera de Ø </w:t>
      </w:r>
      <w:smartTag w:uri="urn:schemas-microsoft-com:office:smarttags" w:element="metricconverter">
        <w:smartTagPr>
          <w:attr w:name="ProductID" w:val="4”"/>
        </w:smartTagPr>
        <w:r w:rsidRPr="001A4860">
          <w:rPr>
            <w:sz w:val="22"/>
            <w:szCs w:val="22"/>
            <w:lang w:val="es-ES" w:bidi="en-US"/>
          </w:rPr>
          <w:t>4”</w:t>
        </w:r>
      </w:smartTag>
      <w:r w:rsidRPr="001A4860">
        <w:rPr>
          <w:sz w:val="22"/>
          <w:szCs w:val="22"/>
          <w:lang w:val="es-ES" w:bidi="en-US"/>
        </w:rPr>
        <w:t xml:space="preserve"> que conecta el cabezal de descarga con el separador aire-agua.</w:t>
      </w:r>
    </w:p>
    <w:p w14:paraId="19E0C17C" w14:textId="77777777" w:rsidR="001A4860" w:rsidRPr="001A4860" w:rsidRDefault="001A4860" w:rsidP="001A4860">
      <w:pPr>
        <w:rPr>
          <w:sz w:val="22"/>
          <w:szCs w:val="22"/>
          <w:lang w:val="es-ES" w:bidi="en-US"/>
        </w:rPr>
      </w:pPr>
    </w:p>
    <w:p w14:paraId="5E6B78B4" w14:textId="77777777" w:rsidR="001A4860" w:rsidRPr="001A4860" w:rsidRDefault="001A4860" w:rsidP="001A4860">
      <w:pPr>
        <w:rPr>
          <w:sz w:val="22"/>
          <w:szCs w:val="22"/>
          <w:lang w:val="es-ES" w:bidi="en-US"/>
        </w:rPr>
      </w:pPr>
      <w:r w:rsidRPr="001A4860">
        <w:rPr>
          <w:sz w:val="22"/>
          <w:szCs w:val="22"/>
          <w:lang w:val="es-ES" w:bidi="en-US"/>
        </w:rPr>
        <w:t>Estos procesos tardan una hora (mínimo). Se suspende esta actividad hasta que el agua extraída del pozo sale cristalina y el pozo muestra estar lo suficientemente limpio para albergar sin problemas al equipo de bombeo. La duración total se determina por el supervisor nombrado por El FISE. Para efectos de presupuesto se consideran 6 horas máxima de duración.</w:t>
      </w:r>
    </w:p>
    <w:p w14:paraId="5C02763E" w14:textId="77777777" w:rsidR="001A4860" w:rsidRPr="001A4860" w:rsidRDefault="001A4860" w:rsidP="001A4860">
      <w:pPr>
        <w:rPr>
          <w:sz w:val="22"/>
          <w:szCs w:val="22"/>
          <w:lang w:val="es-ES" w:bidi="en-US"/>
        </w:rPr>
      </w:pPr>
    </w:p>
    <w:p w14:paraId="657F1518" w14:textId="77777777" w:rsidR="001A4860" w:rsidRPr="001A4860" w:rsidRDefault="001A4860" w:rsidP="001A4860">
      <w:pPr>
        <w:keepNext/>
        <w:ind w:left="720" w:hanging="720"/>
        <w:outlineLvl w:val="2"/>
        <w:rPr>
          <w:rFonts w:eastAsia="Arial Narrow"/>
          <w:b/>
          <w:bCs/>
          <w:iCs/>
          <w:sz w:val="22"/>
          <w:szCs w:val="22"/>
          <w:lang w:val="es-ES" w:bidi="en-US"/>
        </w:rPr>
      </w:pPr>
      <w:bookmarkStart w:id="830" w:name="_Toc23249431"/>
      <w:r w:rsidRPr="001A4860">
        <w:rPr>
          <w:rFonts w:eastAsia="Arial Narrow"/>
          <w:b/>
          <w:bCs/>
          <w:iCs/>
          <w:sz w:val="22"/>
          <w:szCs w:val="22"/>
          <w:lang w:val="es-ES" w:bidi="en-US"/>
        </w:rPr>
        <w:t>Ejecución de pruebas de bombeo:</w:t>
      </w:r>
      <w:bookmarkEnd w:id="830"/>
    </w:p>
    <w:p w14:paraId="57591B20" w14:textId="77777777" w:rsidR="001A4860" w:rsidRPr="001A4860" w:rsidRDefault="001A4860" w:rsidP="001A4860">
      <w:pPr>
        <w:tabs>
          <w:tab w:val="left" w:pos="4253"/>
        </w:tabs>
        <w:rPr>
          <w:sz w:val="22"/>
          <w:szCs w:val="22"/>
          <w:lang w:val="es-ES" w:bidi="en-US"/>
        </w:rPr>
      </w:pPr>
    </w:p>
    <w:p w14:paraId="10727990" w14:textId="77777777" w:rsidR="001A4860" w:rsidRPr="001A4860" w:rsidRDefault="001A4860" w:rsidP="001A4860">
      <w:pPr>
        <w:tabs>
          <w:tab w:val="left" w:pos="4253"/>
        </w:tabs>
        <w:rPr>
          <w:sz w:val="22"/>
          <w:szCs w:val="22"/>
          <w:lang w:val="es-ES" w:bidi="en-US"/>
        </w:rPr>
      </w:pPr>
      <w:r w:rsidRPr="001A4860">
        <w:rPr>
          <w:sz w:val="22"/>
          <w:szCs w:val="22"/>
          <w:lang w:val="es-ES" w:bidi="en-US"/>
        </w:rPr>
        <w:t xml:space="preserve">La prueba de bombeo se efectúa inmediatamente después de finalizado el proceso de limpieza y desarrollo del pozo. El contratista es el responsable de realizarlas, empleando para ello su propio equipo de bombeo, con la potencia (HP) necesaria y con capacidad de bombear los caudales indicados en el apartado Ensayo Escalonado y/o igual o superior que 200%*Qbombeo </w:t>
      </w:r>
    </w:p>
    <w:p w14:paraId="12AE421C" w14:textId="77777777" w:rsidR="001A4860" w:rsidRPr="001A4860" w:rsidRDefault="001A4860" w:rsidP="001A4860">
      <w:pPr>
        <w:tabs>
          <w:tab w:val="left" w:pos="4253"/>
        </w:tabs>
        <w:rPr>
          <w:sz w:val="22"/>
          <w:szCs w:val="22"/>
          <w:lang w:val="es-ES" w:bidi="en-US"/>
        </w:rPr>
      </w:pPr>
    </w:p>
    <w:p w14:paraId="422AF9DF" w14:textId="77777777" w:rsidR="001A4860" w:rsidRPr="001A4860" w:rsidRDefault="001A4860" w:rsidP="001A4860">
      <w:pPr>
        <w:tabs>
          <w:tab w:val="left" w:pos="4253"/>
        </w:tabs>
        <w:rPr>
          <w:sz w:val="22"/>
          <w:szCs w:val="22"/>
          <w:lang w:val="es-ES" w:bidi="en-US"/>
        </w:rPr>
      </w:pPr>
      <w:r w:rsidRPr="001A4860">
        <w:rPr>
          <w:sz w:val="22"/>
          <w:szCs w:val="22"/>
          <w:lang w:val="es-ES" w:bidi="en-US"/>
        </w:rPr>
        <w:t>Las Pruebas (ensayos) de Bombeo de los acuíferos, comprenden los siguientes conceptos:</w:t>
      </w:r>
    </w:p>
    <w:p w14:paraId="05C0C7B7" w14:textId="77777777" w:rsidR="001A4860" w:rsidRPr="001A4860" w:rsidRDefault="001A4860" w:rsidP="001A4860">
      <w:pPr>
        <w:keepNext/>
        <w:jc w:val="left"/>
        <w:outlineLvl w:val="3"/>
        <w:rPr>
          <w:b/>
          <w:bCs/>
          <w:sz w:val="22"/>
          <w:szCs w:val="22"/>
          <w:lang w:val="es-ES" w:bidi="en-US"/>
        </w:rPr>
      </w:pPr>
      <w:bookmarkStart w:id="831" w:name="_Toc23249432"/>
      <w:r w:rsidRPr="001A4860">
        <w:rPr>
          <w:b/>
          <w:bCs/>
          <w:sz w:val="22"/>
          <w:szCs w:val="22"/>
          <w:lang w:val="es-ES" w:bidi="en-US"/>
        </w:rPr>
        <w:t>Ensayo Escalonado (con caudal variable o etapas sucesivas)</w:t>
      </w:r>
      <w:bookmarkEnd w:id="831"/>
    </w:p>
    <w:p w14:paraId="4FBA79F1" w14:textId="77777777" w:rsidR="001A4860" w:rsidRPr="001A4860" w:rsidRDefault="001A4860" w:rsidP="001A4860">
      <w:pPr>
        <w:tabs>
          <w:tab w:val="left" w:pos="4253"/>
        </w:tabs>
        <w:rPr>
          <w:sz w:val="22"/>
          <w:szCs w:val="22"/>
          <w:lang w:val="es-ES" w:bidi="en-US"/>
        </w:rPr>
      </w:pPr>
    </w:p>
    <w:p w14:paraId="3FE4F0D0" w14:textId="77777777" w:rsidR="001A4860" w:rsidRPr="001A4860" w:rsidRDefault="001A4860" w:rsidP="001A4860">
      <w:pPr>
        <w:tabs>
          <w:tab w:val="left" w:pos="4253"/>
        </w:tabs>
        <w:rPr>
          <w:sz w:val="22"/>
          <w:szCs w:val="22"/>
          <w:lang w:val="es-ES" w:bidi="en-US"/>
        </w:rPr>
      </w:pPr>
      <w:r w:rsidRPr="001A4860">
        <w:rPr>
          <w:sz w:val="22"/>
          <w:szCs w:val="22"/>
          <w:lang w:val="es-ES" w:bidi="en-US"/>
        </w:rPr>
        <w:t xml:space="preserve">La prueba escalonada, ensaya cuatro (4) caudales diferentes en orden ascendente. Los caudales a probarse corresponden a 50%, 100%, 150% y 200% del caudal de diseño. El caudal de diseño considerado para el bombeo es igual al caudal de máxima demanda diaria de la población al final del horizonte del proyecto de 20 años. </w:t>
      </w:r>
    </w:p>
    <w:p w14:paraId="4CF7225F" w14:textId="77777777" w:rsidR="001A4860" w:rsidRPr="001A4860" w:rsidRDefault="001A4860" w:rsidP="001A4860">
      <w:pPr>
        <w:tabs>
          <w:tab w:val="left" w:pos="4253"/>
        </w:tabs>
        <w:rPr>
          <w:sz w:val="22"/>
          <w:szCs w:val="22"/>
          <w:lang w:val="es-ES" w:bidi="en-US"/>
        </w:rPr>
      </w:pPr>
      <w:r w:rsidRPr="001A4860">
        <w:rPr>
          <w:sz w:val="22"/>
          <w:szCs w:val="22"/>
          <w:lang w:val="es-ES" w:bidi="en-US"/>
        </w:rPr>
        <w:t>Para pasar de litros por segundo a galones por minuto multiplicar por 15.85</w:t>
      </w:r>
    </w:p>
    <w:p w14:paraId="3FEE62F0" w14:textId="77777777" w:rsidR="001A4860" w:rsidRPr="001A4860" w:rsidRDefault="001A4860" w:rsidP="001A4860">
      <w:pPr>
        <w:tabs>
          <w:tab w:val="left" w:pos="4253"/>
        </w:tabs>
        <w:rPr>
          <w:sz w:val="22"/>
          <w:szCs w:val="22"/>
          <w:lang w:val="es-ES" w:bidi="en-US"/>
        </w:rPr>
      </w:pPr>
      <w:r w:rsidRPr="001A4860">
        <w:rPr>
          <w:sz w:val="22"/>
          <w:szCs w:val="22"/>
          <w:lang w:val="es-ES" w:bidi="en-US"/>
        </w:rPr>
        <w:t>Caudales variables durante las etapas sucesivas del ensayo de bombeo:</w:t>
      </w:r>
    </w:p>
    <w:p w14:paraId="37567584" w14:textId="77777777" w:rsidR="001A4860" w:rsidRPr="001A4860" w:rsidRDefault="001A4860" w:rsidP="003B68DB">
      <w:pPr>
        <w:numPr>
          <w:ilvl w:val="0"/>
          <w:numId w:val="166"/>
        </w:numPr>
        <w:ind w:left="714" w:hanging="357"/>
        <w:jc w:val="left"/>
        <w:rPr>
          <w:sz w:val="22"/>
          <w:szCs w:val="22"/>
          <w:lang w:val="es-ES" w:bidi="en-US"/>
        </w:rPr>
      </w:pPr>
      <w:r w:rsidRPr="001A4860">
        <w:rPr>
          <w:sz w:val="22"/>
          <w:szCs w:val="22"/>
          <w:lang w:val="es-ES" w:bidi="en-US"/>
        </w:rPr>
        <w:t>Caudal de inicio del ensayo: 50%*Qbomb</w:t>
      </w:r>
    </w:p>
    <w:p w14:paraId="0AE72B1D" w14:textId="77777777" w:rsidR="001A4860" w:rsidRPr="001A4860" w:rsidRDefault="001A4860" w:rsidP="003B68DB">
      <w:pPr>
        <w:numPr>
          <w:ilvl w:val="0"/>
          <w:numId w:val="166"/>
        </w:numPr>
        <w:ind w:left="714" w:hanging="357"/>
        <w:jc w:val="left"/>
        <w:rPr>
          <w:sz w:val="22"/>
          <w:szCs w:val="22"/>
          <w:lang w:val="es-ES" w:bidi="en-US"/>
        </w:rPr>
      </w:pPr>
      <w:r w:rsidRPr="001A4860">
        <w:rPr>
          <w:sz w:val="22"/>
          <w:szCs w:val="22"/>
          <w:lang w:val="es-ES" w:bidi="en-US"/>
        </w:rPr>
        <w:lastRenderedPageBreak/>
        <w:t>Caudal del 1er escalón: 100%*Qbomb</w:t>
      </w:r>
    </w:p>
    <w:p w14:paraId="616DA910" w14:textId="77777777" w:rsidR="001A4860" w:rsidRPr="001A4860" w:rsidRDefault="001A4860" w:rsidP="003B68DB">
      <w:pPr>
        <w:numPr>
          <w:ilvl w:val="0"/>
          <w:numId w:val="166"/>
        </w:numPr>
        <w:ind w:left="714" w:hanging="357"/>
        <w:jc w:val="left"/>
        <w:rPr>
          <w:sz w:val="22"/>
          <w:szCs w:val="22"/>
          <w:lang w:val="es-ES" w:bidi="en-US"/>
        </w:rPr>
      </w:pPr>
      <w:r w:rsidRPr="001A4860">
        <w:rPr>
          <w:sz w:val="22"/>
          <w:szCs w:val="22"/>
          <w:lang w:val="es-ES" w:bidi="en-US"/>
        </w:rPr>
        <w:t>Caudal del 2do escalón 150%*Qbomb</w:t>
      </w:r>
    </w:p>
    <w:p w14:paraId="46FBA720" w14:textId="77777777" w:rsidR="001A4860" w:rsidRPr="001A4860" w:rsidRDefault="001A4860" w:rsidP="003B68DB">
      <w:pPr>
        <w:numPr>
          <w:ilvl w:val="0"/>
          <w:numId w:val="166"/>
        </w:numPr>
        <w:ind w:left="714" w:hanging="357"/>
        <w:jc w:val="left"/>
        <w:rPr>
          <w:sz w:val="22"/>
          <w:szCs w:val="22"/>
          <w:lang w:val="es-ES" w:bidi="en-US"/>
        </w:rPr>
      </w:pPr>
      <w:r w:rsidRPr="001A4860">
        <w:rPr>
          <w:sz w:val="22"/>
          <w:szCs w:val="22"/>
          <w:lang w:val="es-ES" w:bidi="en-US"/>
        </w:rPr>
        <w:t>Caudal del 3er escalón: 200%*Qbomb</w:t>
      </w:r>
    </w:p>
    <w:p w14:paraId="3F474813" w14:textId="77777777" w:rsidR="001A4860" w:rsidRPr="001A4860" w:rsidRDefault="001A4860" w:rsidP="001A4860">
      <w:pPr>
        <w:tabs>
          <w:tab w:val="left" w:pos="4253"/>
        </w:tabs>
        <w:rPr>
          <w:b/>
          <w:sz w:val="22"/>
          <w:szCs w:val="22"/>
          <w:lang w:val="es-ES" w:bidi="en-US"/>
        </w:rPr>
      </w:pPr>
    </w:p>
    <w:p w14:paraId="2CA4C563" w14:textId="77777777" w:rsidR="001A4860" w:rsidRPr="001A4860" w:rsidRDefault="001A4860" w:rsidP="001A4860">
      <w:pPr>
        <w:tabs>
          <w:tab w:val="left" w:pos="4253"/>
        </w:tabs>
        <w:rPr>
          <w:b/>
          <w:sz w:val="22"/>
          <w:szCs w:val="22"/>
          <w:lang w:val="es-ES" w:bidi="en-US"/>
        </w:rPr>
      </w:pPr>
      <w:r w:rsidRPr="001A4860">
        <w:rPr>
          <w:sz w:val="22"/>
          <w:szCs w:val="22"/>
          <w:lang w:val="es-ES" w:bidi="en-US"/>
        </w:rPr>
        <w:t>Cada caudal se mantiene constante hasta observar signos de estabilización, con el objetivo de asegurar la situación señalada de bombeo ininterrumpido. Seguidamente se continúa con el ensayo de bombeo a caudal constante.</w:t>
      </w:r>
    </w:p>
    <w:p w14:paraId="4835418E" w14:textId="77777777" w:rsidR="001A4860" w:rsidRPr="001A4860" w:rsidRDefault="001A4860" w:rsidP="001A4860">
      <w:pPr>
        <w:tabs>
          <w:tab w:val="left" w:pos="4253"/>
        </w:tabs>
        <w:rPr>
          <w:b/>
          <w:sz w:val="22"/>
          <w:szCs w:val="22"/>
          <w:lang w:val="es-ES" w:bidi="en-US"/>
        </w:rPr>
      </w:pPr>
    </w:p>
    <w:p w14:paraId="3E20AF37" w14:textId="77777777" w:rsidR="001A4860" w:rsidRPr="001A4860" w:rsidRDefault="001A4860" w:rsidP="001A4860">
      <w:pPr>
        <w:keepNext/>
        <w:jc w:val="left"/>
        <w:outlineLvl w:val="3"/>
        <w:rPr>
          <w:b/>
          <w:bCs/>
          <w:sz w:val="22"/>
          <w:szCs w:val="22"/>
          <w:lang w:val="es-ES" w:bidi="en-US"/>
        </w:rPr>
      </w:pPr>
      <w:bookmarkStart w:id="832" w:name="_Toc23249433"/>
      <w:r w:rsidRPr="001A4860">
        <w:rPr>
          <w:b/>
          <w:bCs/>
          <w:sz w:val="22"/>
          <w:szCs w:val="22"/>
          <w:lang w:val="es-ES" w:bidi="en-US"/>
        </w:rPr>
        <w:t>Ensayo de bombeo con Caudal Constante (bombeo definitivo).</w:t>
      </w:r>
      <w:bookmarkEnd w:id="832"/>
    </w:p>
    <w:p w14:paraId="06EEA787" w14:textId="77777777" w:rsidR="001A4860" w:rsidRPr="001A4860" w:rsidRDefault="001A4860" w:rsidP="001A4860">
      <w:pPr>
        <w:tabs>
          <w:tab w:val="left" w:pos="4253"/>
        </w:tabs>
        <w:rPr>
          <w:sz w:val="22"/>
          <w:szCs w:val="22"/>
          <w:lang w:val="es-ES" w:bidi="en-US"/>
        </w:rPr>
      </w:pPr>
    </w:p>
    <w:p w14:paraId="0C9D91A8" w14:textId="77777777" w:rsidR="001A4860" w:rsidRPr="001A4860" w:rsidRDefault="001A4860" w:rsidP="001A4860">
      <w:pPr>
        <w:tabs>
          <w:tab w:val="left" w:pos="4253"/>
        </w:tabs>
        <w:rPr>
          <w:sz w:val="22"/>
          <w:szCs w:val="22"/>
          <w:lang w:val="es-ES" w:bidi="en-US"/>
        </w:rPr>
      </w:pPr>
      <w:r w:rsidRPr="001A4860">
        <w:rPr>
          <w:sz w:val="22"/>
          <w:szCs w:val="22"/>
          <w:lang w:val="es-ES" w:bidi="en-US"/>
        </w:rPr>
        <w:t>Se realiza con el caudal de bombeo solicitado por el proyecto. Los resultados de estas pruebas y sus correspondientes análisis, son categóricos en la definición de la capacidad del rendimiento del acuífero, y debe ser igual o mayor que el caudal de bombeo</w:t>
      </w:r>
    </w:p>
    <w:p w14:paraId="13E98292" w14:textId="77777777" w:rsidR="001A4860" w:rsidRPr="001A4860" w:rsidRDefault="001A4860" w:rsidP="001A4860">
      <w:pPr>
        <w:tabs>
          <w:tab w:val="left" w:pos="4253"/>
        </w:tabs>
        <w:rPr>
          <w:b/>
          <w:sz w:val="22"/>
          <w:szCs w:val="22"/>
          <w:lang w:val="es-ES" w:bidi="en-US"/>
        </w:rPr>
      </w:pPr>
    </w:p>
    <w:p w14:paraId="0042D8C9" w14:textId="77777777" w:rsidR="001A4860" w:rsidRPr="001A4860" w:rsidRDefault="001A4860" w:rsidP="001A4860">
      <w:pPr>
        <w:keepNext/>
        <w:jc w:val="left"/>
        <w:outlineLvl w:val="3"/>
        <w:rPr>
          <w:b/>
          <w:bCs/>
          <w:sz w:val="22"/>
          <w:szCs w:val="22"/>
          <w:lang w:val="es-ES" w:bidi="en-US"/>
        </w:rPr>
      </w:pPr>
      <w:bookmarkStart w:id="833" w:name="_Toc23249434"/>
      <w:r w:rsidRPr="001A4860">
        <w:rPr>
          <w:b/>
          <w:bCs/>
          <w:sz w:val="22"/>
          <w:szCs w:val="22"/>
          <w:lang w:val="es-ES" w:bidi="en-US"/>
        </w:rPr>
        <w:t>Duración de las pruebas.</w:t>
      </w:r>
      <w:bookmarkEnd w:id="833"/>
    </w:p>
    <w:p w14:paraId="1F833DE9" w14:textId="77777777" w:rsidR="001A4860" w:rsidRPr="001A4860" w:rsidRDefault="001A4860" w:rsidP="001A4860">
      <w:pPr>
        <w:rPr>
          <w:sz w:val="22"/>
          <w:szCs w:val="22"/>
          <w:lang w:val="es-ES" w:bidi="en-US"/>
        </w:rPr>
      </w:pPr>
    </w:p>
    <w:p w14:paraId="08EAD18A" w14:textId="77777777" w:rsidR="001A4860" w:rsidRPr="001A4860" w:rsidRDefault="001A4860" w:rsidP="001A4860">
      <w:pPr>
        <w:rPr>
          <w:sz w:val="22"/>
          <w:szCs w:val="22"/>
          <w:lang w:val="es-ES" w:bidi="en-US"/>
        </w:rPr>
      </w:pPr>
      <w:r w:rsidRPr="001A4860">
        <w:rPr>
          <w:sz w:val="22"/>
          <w:szCs w:val="22"/>
          <w:lang w:val="es-ES" w:bidi="en-US"/>
        </w:rPr>
        <w:t>La duración depende del tiempo en que se estabilice el abatimiento (descenso) del nivel de la superficie del agua en el pozo, con bomba trabajando conforme a los caudales arriba indicados. El tiempo de duración es de 6 horas mínimo, para el ensayo con caudal variable y de 6 horas mínimo para el ensayo con caudal constante. Durante la prueba de bombeo, se registran los datos pertinentes e inherentes a los ensayos de los acuíferos. (Caudales de bombeo, intervalos de tiempo considerados, descenso del nivel del agua en el pozo durante el intervalo de tiempo transcurrido).</w:t>
      </w:r>
    </w:p>
    <w:p w14:paraId="33755E58" w14:textId="77777777" w:rsidR="001A4860" w:rsidRPr="001A4860" w:rsidRDefault="001A4860" w:rsidP="001A4860">
      <w:pPr>
        <w:rPr>
          <w:sz w:val="22"/>
          <w:szCs w:val="22"/>
          <w:lang w:val="es-ES" w:bidi="en-US"/>
        </w:rPr>
      </w:pPr>
    </w:p>
    <w:p w14:paraId="38B12D30" w14:textId="77777777" w:rsidR="001A4860" w:rsidRPr="001A4860" w:rsidRDefault="001A4860" w:rsidP="001A4860">
      <w:pPr>
        <w:rPr>
          <w:sz w:val="22"/>
          <w:szCs w:val="22"/>
          <w:lang w:val="es-ES" w:bidi="en-US"/>
        </w:rPr>
      </w:pPr>
      <w:r w:rsidRPr="001A4860">
        <w:rPr>
          <w:sz w:val="22"/>
          <w:szCs w:val="22"/>
          <w:lang w:val="es-ES" w:bidi="en-US"/>
        </w:rPr>
        <w:t>Finalizado el tiempo de bombeo de cada prueba (con caudal variable y con caudal constante), se inicia de inmediato la prueba de recuperación, que consiste en registrar los datos del ascenso del nivel del agua en el pozo durante el intervalo de tiempo transcurrido, hasta que se registre un ascenso del 70% del nivel freático hasta alcanzar el nivel freático inicial, o cuando se alcance un tiempo máximo de 6 horas.</w:t>
      </w:r>
    </w:p>
    <w:p w14:paraId="001F4E67" w14:textId="77777777" w:rsidR="001A4860" w:rsidRPr="001A4860" w:rsidRDefault="001A4860" w:rsidP="001A4860">
      <w:pPr>
        <w:rPr>
          <w:sz w:val="22"/>
          <w:szCs w:val="22"/>
          <w:lang w:val="es-ES" w:bidi="en-US"/>
        </w:rPr>
      </w:pPr>
    </w:p>
    <w:p w14:paraId="4C0F6F3A" w14:textId="77777777" w:rsidR="001A4860" w:rsidRPr="001A4860" w:rsidRDefault="001A4860" w:rsidP="001A4860">
      <w:pPr>
        <w:rPr>
          <w:sz w:val="22"/>
          <w:szCs w:val="22"/>
          <w:lang w:val="es-ES" w:bidi="en-US"/>
        </w:rPr>
      </w:pPr>
      <w:r w:rsidRPr="001A4860">
        <w:rPr>
          <w:sz w:val="22"/>
          <w:szCs w:val="22"/>
          <w:lang w:val="es-ES" w:bidi="en-US"/>
        </w:rPr>
        <w:t>En los ensayos (pruebas) de bombeo, el caudal es establecido mediante el método de aforo vertedero de orificio circular y es comprobado con el método de aforo volumétrico. Se lleva un registro de los niveles de agua durante el tiempo que dura la prueba.</w:t>
      </w:r>
    </w:p>
    <w:p w14:paraId="072AEB8D" w14:textId="77777777" w:rsidR="001A4860" w:rsidRPr="001A4860" w:rsidRDefault="001A4860" w:rsidP="001A4860">
      <w:pPr>
        <w:rPr>
          <w:sz w:val="22"/>
          <w:szCs w:val="22"/>
          <w:lang w:val="es-ES" w:bidi="en-US"/>
        </w:rPr>
      </w:pPr>
    </w:p>
    <w:p w14:paraId="149B3C2B" w14:textId="77777777" w:rsidR="001A4860" w:rsidRPr="001A4860" w:rsidRDefault="001A4860" w:rsidP="001A4860">
      <w:pPr>
        <w:rPr>
          <w:sz w:val="22"/>
          <w:szCs w:val="22"/>
          <w:lang w:val="es-ES" w:bidi="en-US"/>
        </w:rPr>
      </w:pPr>
      <w:r w:rsidRPr="001A4860">
        <w:rPr>
          <w:sz w:val="22"/>
          <w:szCs w:val="22"/>
          <w:lang w:val="es-ES" w:bidi="en-US"/>
        </w:rPr>
        <w:t>Con el objetivo de evitar la recirculación del agua extraída, esta se conduce hasta drenajes naturales existentes, por medio de tuberías, canales artificiales u otras condiciones de drenaje.</w:t>
      </w:r>
    </w:p>
    <w:p w14:paraId="225FFD16" w14:textId="77777777" w:rsidR="001A4860" w:rsidRPr="001A4860" w:rsidRDefault="001A4860" w:rsidP="001A4860">
      <w:pPr>
        <w:rPr>
          <w:sz w:val="22"/>
          <w:szCs w:val="22"/>
          <w:lang w:val="es-ES" w:bidi="en-US"/>
        </w:rPr>
      </w:pPr>
      <w:r w:rsidRPr="001A4860">
        <w:rPr>
          <w:sz w:val="22"/>
          <w:szCs w:val="22"/>
          <w:lang w:val="es-ES" w:bidi="en-US"/>
        </w:rPr>
        <w:t>Los ensayos de bombeo, desde el inicio hasta la conclusión de los mismos, se registran los datos del descenso del nivel del agua.  Igual registro, se lleva después de la suspensión del bombeo, en la etapa de recuperación. Si la prueba de bombeo, es interrumpida debido a fallas en el equipo, ella se da por terminada y después de un período de recuperación igual al tiempo de duración de la prueba suspendida, ésta se inicia nuevamente.</w:t>
      </w:r>
    </w:p>
    <w:p w14:paraId="577D0910" w14:textId="77777777" w:rsidR="001A4860" w:rsidRPr="001A4860" w:rsidRDefault="001A4860" w:rsidP="001A4860">
      <w:pPr>
        <w:rPr>
          <w:sz w:val="22"/>
          <w:szCs w:val="22"/>
          <w:lang w:val="es-ES" w:bidi="en-US"/>
        </w:rPr>
      </w:pPr>
    </w:p>
    <w:p w14:paraId="72D17D02" w14:textId="77777777" w:rsidR="001A4860" w:rsidRPr="001A4860" w:rsidRDefault="001A4860" w:rsidP="001A4860">
      <w:pPr>
        <w:rPr>
          <w:sz w:val="22"/>
          <w:szCs w:val="22"/>
          <w:lang w:val="es-ES" w:bidi="en-US"/>
        </w:rPr>
      </w:pPr>
      <w:r w:rsidRPr="001A4860">
        <w:rPr>
          <w:sz w:val="22"/>
          <w:szCs w:val="22"/>
          <w:lang w:val="es-ES" w:bidi="en-US"/>
        </w:rPr>
        <w:t>Las actividades de las pruebas de bombeo incluyen lo siguiente:</w:t>
      </w:r>
    </w:p>
    <w:p w14:paraId="69B59987" w14:textId="77777777" w:rsidR="001A4860" w:rsidRPr="001A4860" w:rsidRDefault="001A4860" w:rsidP="001A4860">
      <w:pPr>
        <w:rPr>
          <w:sz w:val="22"/>
          <w:szCs w:val="22"/>
          <w:lang w:val="es-ES" w:bidi="en-US"/>
        </w:rPr>
      </w:pPr>
    </w:p>
    <w:p w14:paraId="76CFCE25"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Instalación y desinstalación del equipo de bombeo, (motor, bomba y accesorios)</w:t>
      </w:r>
    </w:p>
    <w:p w14:paraId="1D24562F"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Suministro de lubricantes y combustible</w:t>
      </w:r>
    </w:p>
    <w:p w14:paraId="160AFC8E"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Personal necesario para operar, mantener y reparar el equipo y medir los niveles de agua.</w:t>
      </w:r>
    </w:p>
    <w:p w14:paraId="3E877EE5"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Facilidades para medir el nivel de agua en el pozo.</w:t>
      </w:r>
    </w:p>
    <w:p w14:paraId="6F1BF094"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Usar electro sondas apropiadas.</w:t>
      </w:r>
    </w:p>
    <w:p w14:paraId="1DE9525B"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Instalación de medidor con vertedero circular y drenaje para agua extraída.</w:t>
      </w:r>
    </w:p>
    <w:p w14:paraId="1B0938D0"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Formulario para el registro de datos, lápiz de grafito, borrador, calculadora, regla graduada de 30 cm</w:t>
      </w:r>
    </w:p>
    <w:p w14:paraId="4BD54F8A"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Cronometro.</w:t>
      </w:r>
    </w:p>
    <w:p w14:paraId="51594204"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lastRenderedPageBreak/>
        <w:t>Linterna</w:t>
      </w:r>
    </w:p>
    <w:p w14:paraId="684667F8" w14:textId="77777777" w:rsidR="001A4860" w:rsidRPr="001A4860" w:rsidRDefault="001A4860" w:rsidP="003B68DB">
      <w:pPr>
        <w:numPr>
          <w:ilvl w:val="0"/>
          <w:numId w:val="165"/>
        </w:numPr>
        <w:jc w:val="left"/>
        <w:rPr>
          <w:sz w:val="22"/>
          <w:szCs w:val="22"/>
          <w:lang w:val="es-ES" w:bidi="en-US"/>
        </w:rPr>
      </w:pPr>
      <w:r w:rsidRPr="001A4860">
        <w:rPr>
          <w:sz w:val="22"/>
          <w:szCs w:val="22"/>
          <w:lang w:val="es-ES" w:bidi="en-US"/>
        </w:rPr>
        <w:t>Recipiente para determinar el caudal de prueba correspondiente a cada escalon (barril de 55 galones)</w:t>
      </w:r>
    </w:p>
    <w:p w14:paraId="700F9119" w14:textId="77777777" w:rsidR="001A4860" w:rsidRPr="001A4860" w:rsidRDefault="001A4860" w:rsidP="001A4860">
      <w:pPr>
        <w:rPr>
          <w:sz w:val="22"/>
          <w:szCs w:val="22"/>
          <w:lang w:val="es-ES" w:bidi="en-US"/>
        </w:rPr>
      </w:pPr>
    </w:p>
    <w:p w14:paraId="203E5D87" w14:textId="77777777" w:rsidR="001A4860" w:rsidRPr="001A4860" w:rsidRDefault="001A4860" w:rsidP="001A4860">
      <w:pPr>
        <w:keepNext/>
        <w:ind w:left="720" w:hanging="720"/>
        <w:outlineLvl w:val="2"/>
        <w:rPr>
          <w:rFonts w:eastAsia="Arial Narrow"/>
          <w:b/>
          <w:bCs/>
          <w:iCs/>
          <w:sz w:val="22"/>
          <w:szCs w:val="22"/>
          <w:lang w:val="es-ES" w:bidi="en-US"/>
        </w:rPr>
      </w:pPr>
      <w:bookmarkStart w:id="834" w:name="_Toc23249435"/>
      <w:r w:rsidRPr="001A4860">
        <w:rPr>
          <w:rFonts w:eastAsia="Arial Narrow"/>
          <w:b/>
          <w:bCs/>
          <w:iCs/>
          <w:sz w:val="22"/>
          <w:szCs w:val="22"/>
          <w:lang w:val="es-ES" w:bidi="en-US"/>
        </w:rPr>
        <w:t>Protección del pozo</w:t>
      </w:r>
      <w:bookmarkEnd w:id="834"/>
    </w:p>
    <w:p w14:paraId="1396B7D2" w14:textId="77777777" w:rsidR="001A4860" w:rsidRPr="001A4860" w:rsidRDefault="001A4860" w:rsidP="001A4860">
      <w:pPr>
        <w:rPr>
          <w:sz w:val="22"/>
          <w:szCs w:val="22"/>
          <w:lang w:val="es-ES" w:bidi="en-US"/>
        </w:rPr>
      </w:pPr>
    </w:p>
    <w:p w14:paraId="1816BA79" w14:textId="77777777" w:rsidR="001A4860" w:rsidRPr="001A4860" w:rsidRDefault="001A4860" w:rsidP="001A4860">
      <w:pPr>
        <w:rPr>
          <w:sz w:val="22"/>
          <w:szCs w:val="22"/>
          <w:lang w:val="es-ES" w:bidi="en-US"/>
        </w:rPr>
      </w:pPr>
      <w:r w:rsidRPr="001A4860">
        <w:rPr>
          <w:sz w:val="22"/>
          <w:szCs w:val="22"/>
          <w:lang w:val="es-ES" w:bidi="en-US"/>
        </w:rPr>
        <w:t xml:space="preserve">Tan pronto concluye la prueba de bombeo, el ademe del pozo debe protegerse. En el presente caso, la obra de protección, consiste en un tapón hembra liso, de material plástico PVC 1120, SDR- 26, del mismo diámetro de cada tubo (Tubo de revestimiento para ademe, tubo piezométrico y tubo de engrave). Cada tapón debe ser sellado con pegamento de PVC adecuadamente instalado en el extremo superior de cada tubo. </w:t>
      </w:r>
    </w:p>
    <w:p w14:paraId="3AFC7CDD" w14:textId="77777777" w:rsidR="001A4860" w:rsidRPr="001A4860" w:rsidRDefault="001A4860" w:rsidP="001A4860">
      <w:pPr>
        <w:rPr>
          <w:sz w:val="22"/>
          <w:szCs w:val="22"/>
          <w:lang w:val="es-MX" w:bidi="en-US"/>
        </w:rPr>
      </w:pPr>
    </w:p>
    <w:p w14:paraId="034EFA03" w14:textId="77777777" w:rsidR="001A4860" w:rsidRPr="001A4860" w:rsidRDefault="001A4860" w:rsidP="001A4860">
      <w:pPr>
        <w:keepNext/>
        <w:ind w:left="720" w:hanging="720"/>
        <w:outlineLvl w:val="2"/>
        <w:rPr>
          <w:rFonts w:eastAsia="Arial Narrow"/>
          <w:b/>
          <w:bCs/>
          <w:iCs/>
          <w:sz w:val="22"/>
          <w:szCs w:val="22"/>
          <w:lang w:val="es-ES" w:bidi="en-US"/>
        </w:rPr>
      </w:pPr>
      <w:bookmarkStart w:id="835" w:name="_Toc23249436"/>
      <w:r w:rsidRPr="001A4860">
        <w:rPr>
          <w:rFonts w:eastAsia="Arial Narrow"/>
          <w:b/>
          <w:bCs/>
          <w:iCs/>
          <w:sz w:val="22"/>
          <w:szCs w:val="22"/>
          <w:lang w:val="es-ES" w:bidi="en-US"/>
        </w:rPr>
        <w:t>Análisis de los resultados de las pruebas de bombeo</w:t>
      </w:r>
      <w:bookmarkEnd w:id="835"/>
    </w:p>
    <w:p w14:paraId="07DA02C2" w14:textId="77777777" w:rsidR="001A4860" w:rsidRPr="001A4860" w:rsidRDefault="001A4860" w:rsidP="001A4860">
      <w:pPr>
        <w:tabs>
          <w:tab w:val="left" w:pos="4253"/>
        </w:tabs>
        <w:rPr>
          <w:sz w:val="22"/>
          <w:szCs w:val="22"/>
          <w:lang w:val="es-ES" w:bidi="en-US"/>
        </w:rPr>
      </w:pPr>
    </w:p>
    <w:p w14:paraId="51A892C3" w14:textId="77777777" w:rsidR="001A4860" w:rsidRPr="001A4860" w:rsidRDefault="001A4860" w:rsidP="001A4860">
      <w:pPr>
        <w:tabs>
          <w:tab w:val="left" w:pos="4253"/>
        </w:tabs>
        <w:rPr>
          <w:sz w:val="22"/>
          <w:szCs w:val="22"/>
          <w:lang w:val="es-ES" w:bidi="en-US"/>
        </w:rPr>
      </w:pPr>
      <w:r w:rsidRPr="001A4860">
        <w:rPr>
          <w:sz w:val="22"/>
          <w:szCs w:val="22"/>
          <w:lang w:val="es-ES" w:bidi="en-US"/>
        </w:rPr>
        <w:t>Finalizadas las pruebas de bombeo, el contratista es el responsable de los análisis de los registros de campo e interpretación de los resultados, incluye conclusiones y recomendaciones del especialista.</w:t>
      </w:r>
    </w:p>
    <w:p w14:paraId="4B131BD8" w14:textId="77777777" w:rsidR="001A4860" w:rsidRPr="001A4860" w:rsidRDefault="001A4860" w:rsidP="001A4860">
      <w:pPr>
        <w:tabs>
          <w:tab w:val="left" w:pos="4253"/>
        </w:tabs>
        <w:rPr>
          <w:sz w:val="22"/>
          <w:szCs w:val="22"/>
          <w:lang w:val="es-ES" w:bidi="en-US"/>
        </w:rPr>
      </w:pPr>
      <w:r w:rsidRPr="001A4860">
        <w:rPr>
          <w:sz w:val="22"/>
          <w:szCs w:val="22"/>
          <w:lang w:val="es-ES" w:bidi="en-US"/>
        </w:rPr>
        <w:t>Los registros de datos, obtenidos durante los ensayos de bombeo de los acuíferos, son revisados y analizados por un especialista en la materia. Profesional titulado en Ingeniería Civil, con conocimientos y experiencia en el campo de la hidrogeología o Ingeniero Hidrogeólogo o Hidrólogo. Tener experiencia específica comprobada en este tipo de análisis para suministro de agua potable. El profesional titulado, amparado en los resultados obtenidos de los análisis de las pruebas de bombeo, interpreta los mismos y emite dictamen con conclusiones y recomendaciones. Estas últimas son bien definidas y categóricas en términos de probabilidades, para la solución del suministro de agua potable de la demanda solicitada por el proyecto, haciendo uso de las aguas subterráneas de los acuíferos locales.</w:t>
      </w:r>
    </w:p>
    <w:p w14:paraId="3720164B" w14:textId="77777777" w:rsidR="001A4860" w:rsidRPr="001A4860" w:rsidRDefault="001A4860" w:rsidP="001A4860">
      <w:pPr>
        <w:autoSpaceDE w:val="0"/>
        <w:autoSpaceDN w:val="0"/>
        <w:adjustRightInd w:val="0"/>
        <w:ind w:right="15"/>
        <w:rPr>
          <w:b/>
          <w:sz w:val="22"/>
          <w:szCs w:val="22"/>
          <w:lang w:val="es-ES" w:bidi="en-US"/>
        </w:rPr>
      </w:pPr>
    </w:p>
    <w:p w14:paraId="65041981" w14:textId="77777777" w:rsidR="001A4860" w:rsidRPr="001A4860" w:rsidRDefault="001A4860" w:rsidP="001A4860">
      <w:pPr>
        <w:rPr>
          <w:b/>
          <w:sz w:val="22"/>
          <w:szCs w:val="22"/>
          <w:lang w:val="es-ES" w:bidi="en-US"/>
        </w:rPr>
      </w:pPr>
      <w:bookmarkStart w:id="836" w:name="_Toc263849253"/>
    </w:p>
    <w:p w14:paraId="69535708" w14:textId="77777777" w:rsidR="001A4860" w:rsidRPr="001A4860" w:rsidRDefault="001A4860" w:rsidP="001A4860">
      <w:pPr>
        <w:keepNext/>
        <w:ind w:left="720" w:hanging="720"/>
        <w:outlineLvl w:val="2"/>
        <w:rPr>
          <w:rFonts w:eastAsia="Arial Narrow"/>
          <w:b/>
          <w:bCs/>
          <w:iCs/>
          <w:sz w:val="22"/>
          <w:szCs w:val="22"/>
          <w:lang w:val="es-ES" w:bidi="en-US"/>
        </w:rPr>
      </w:pPr>
      <w:bookmarkStart w:id="837" w:name="_Toc23249437"/>
      <w:r w:rsidRPr="001A4860">
        <w:rPr>
          <w:rFonts w:eastAsia="Arial Narrow"/>
          <w:b/>
          <w:bCs/>
          <w:iCs/>
          <w:sz w:val="22"/>
          <w:szCs w:val="22"/>
          <w:lang w:val="es-ES" w:bidi="en-US"/>
        </w:rPr>
        <w:t>Toma de muestras de agua para someterlas a Análisis Físico-Químicos</w:t>
      </w:r>
      <w:bookmarkEnd w:id="836"/>
      <w:r w:rsidRPr="001A4860">
        <w:rPr>
          <w:rFonts w:eastAsia="Arial Narrow"/>
          <w:b/>
          <w:bCs/>
          <w:iCs/>
          <w:sz w:val="22"/>
          <w:szCs w:val="22"/>
          <w:lang w:val="es-ES" w:bidi="en-US"/>
        </w:rPr>
        <w:t>, Análisis bacteriológico, Análisis de Arsénico y otros según alcances de obras.</w:t>
      </w:r>
      <w:bookmarkEnd w:id="837"/>
    </w:p>
    <w:p w14:paraId="3D3EC0B2" w14:textId="77777777" w:rsidR="001A4860" w:rsidRPr="001A4860" w:rsidRDefault="001A4860" w:rsidP="001A4860">
      <w:pPr>
        <w:rPr>
          <w:sz w:val="22"/>
          <w:szCs w:val="22"/>
          <w:lang w:val="es-ES" w:bidi="en-US"/>
        </w:rPr>
      </w:pPr>
    </w:p>
    <w:p w14:paraId="2B7350FF" w14:textId="77777777" w:rsidR="001A4860" w:rsidRPr="001A4860" w:rsidRDefault="001A4860" w:rsidP="001A4860">
      <w:pPr>
        <w:rPr>
          <w:sz w:val="22"/>
          <w:szCs w:val="22"/>
          <w:lang w:val="es-ES" w:bidi="en-US"/>
        </w:rPr>
      </w:pPr>
      <w:r w:rsidRPr="001A4860">
        <w:rPr>
          <w:sz w:val="22"/>
          <w:szCs w:val="22"/>
          <w:lang w:val="es-ES" w:bidi="en-US"/>
        </w:rPr>
        <w:t>Minutos antes de finalizar la prueba de bombeo, se realiza muestreo (tomas de muestras) del agua del acuífero local. La muestra de agua en estado natural, se envía a un laboratorio especializado sobre análisis de calidad del agua para uso y consumo humano. El laboratorio tiene que estar certificado por la Autoridad Competente.</w:t>
      </w:r>
    </w:p>
    <w:p w14:paraId="01F7026F" w14:textId="77777777" w:rsidR="001A4860" w:rsidRPr="001A4860" w:rsidRDefault="001A4860" w:rsidP="001A4860">
      <w:pPr>
        <w:rPr>
          <w:sz w:val="22"/>
          <w:szCs w:val="22"/>
          <w:lang w:val="es-ES" w:bidi="en-US"/>
        </w:rPr>
      </w:pPr>
    </w:p>
    <w:p w14:paraId="7C250DD9" w14:textId="77777777" w:rsidR="001A4860" w:rsidRPr="001A4860" w:rsidRDefault="001A4860" w:rsidP="001A4860">
      <w:pPr>
        <w:rPr>
          <w:sz w:val="22"/>
          <w:szCs w:val="22"/>
          <w:lang w:val="es-ES" w:bidi="en-US"/>
        </w:rPr>
      </w:pPr>
      <w:r w:rsidRPr="001A4860">
        <w:rPr>
          <w:sz w:val="22"/>
          <w:szCs w:val="22"/>
          <w:lang w:val="es-ES" w:bidi="en-US"/>
        </w:rPr>
        <w:t>La muestra se guarda cuidadosamente en recipiente de vidrio o polietileno de 3.785 lps (1 galón) de capacidad. El recipiente es marcado o etiquetado mostrando la localización, tiempo y fecha de recolección.</w:t>
      </w:r>
    </w:p>
    <w:p w14:paraId="34914083" w14:textId="77777777" w:rsidR="001A4860" w:rsidRPr="001A4860" w:rsidRDefault="001A4860" w:rsidP="001A4860">
      <w:pPr>
        <w:rPr>
          <w:sz w:val="22"/>
          <w:szCs w:val="22"/>
          <w:lang w:val="es-ES" w:bidi="en-US"/>
        </w:rPr>
      </w:pPr>
    </w:p>
    <w:p w14:paraId="4364A3C0" w14:textId="77777777" w:rsidR="001A4860" w:rsidRPr="001A4860" w:rsidRDefault="001A4860" w:rsidP="001A4860">
      <w:pPr>
        <w:keepNext/>
        <w:ind w:left="720" w:hanging="720"/>
        <w:outlineLvl w:val="2"/>
        <w:rPr>
          <w:rFonts w:eastAsia="Arial Narrow"/>
          <w:b/>
          <w:bCs/>
          <w:iCs/>
          <w:sz w:val="22"/>
          <w:szCs w:val="22"/>
          <w:lang w:val="es-ES" w:bidi="en-US"/>
        </w:rPr>
      </w:pPr>
      <w:bookmarkStart w:id="838" w:name="_Toc23249438"/>
      <w:r w:rsidRPr="001A4860">
        <w:rPr>
          <w:rFonts w:eastAsia="Arial Narrow"/>
          <w:b/>
          <w:bCs/>
          <w:iCs/>
          <w:sz w:val="22"/>
          <w:szCs w:val="22"/>
          <w:lang w:val="es-ES" w:bidi="en-US"/>
        </w:rPr>
        <w:t>Análisis de calidad del agua</w:t>
      </w:r>
      <w:bookmarkEnd w:id="838"/>
    </w:p>
    <w:p w14:paraId="06EAE581" w14:textId="77777777" w:rsidR="001A4860" w:rsidRPr="001A4860" w:rsidRDefault="001A4860" w:rsidP="001A4860">
      <w:pPr>
        <w:rPr>
          <w:sz w:val="22"/>
          <w:szCs w:val="22"/>
          <w:lang w:val="es-ES" w:bidi="en-US"/>
        </w:rPr>
      </w:pPr>
    </w:p>
    <w:p w14:paraId="7C7336CA" w14:textId="77777777" w:rsidR="001A4860" w:rsidRPr="001A4860" w:rsidRDefault="001A4860" w:rsidP="001A4860">
      <w:pPr>
        <w:rPr>
          <w:sz w:val="22"/>
          <w:szCs w:val="22"/>
          <w:lang w:val="es-ES" w:bidi="en-US"/>
        </w:rPr>
      </w:pPr>
      <w:r w:rsidRPr="001A4860">
        <w:rPr>
          <w:sz w:val="22"/>
          <w:szCs w:val="22"/>
          <w:lang w:val="es-ES" w:bidi="en-US"/>
        </w:rPr>
        <w:t xml:space="preserve">El análisis de calidad del agua esta amparado en la </w:t>
      </w:r>
      <w:r w:rsidRPr="001A4860">
        <w:rPr>
          <w:i/>
          <w:iCs/>
          <w:sz w:val="22"/>
          <w:szCs w:val="22"/>
          <w:lang w:val="es-NI" w:eastAsia="es-NI"/>
        </w:rPr>
        <w:t xml:space="preserve">Norma para la Clasificacion de los Recursos Hídricos NTON 05-007-98. </w:t>
      </w:r>
      <w:r w:rsidRPr="001A4860">
        <w:rPr>
          <w:sz w:val="22"/>
          <w:szCs w:val="22"/>
          <w:lang w:val="es-ES" w:bidi="en-US"/>
        </w:rPr>
        <w:t>Esta norma establece los parámetros para determinar los niveles de calidad exigibles de los cuerpos de agua (lagos, lagunas, lagos artificiales, manantiales, ríos, aguas subterráneas, estuarios y mares), de acuerdo con los usos a los cuales se destinen.</w:t>
      </w:r>
    </w:p>
    <w:p w14:paraId="6B09D4AC" w14:textId="77777777" w:rsidR="001A4860" w:rsidRPr="001A4860" w:rsidRDefault="001A4860" w:rsidP="001A4860">
      <w:pPr>
        <w:rPr>
          <w:sz w:val="22"/>
          <w:szCs w:val="22"/>
          <w:lang w:val="es-ES" w:bidi="en-US"/>
        </w:rPr>
      </w:pPr>
    </w:p>
    <w:p w14:paraId="7330BCE6" w14:textId="77777777" w:rsidR="001A4860" w:rsidRPr="001A4860" w:rsidRDefault="001A4860" w:rsidP="001A4860">
      <w:pPr>
        <w:keepNext/>
        <w:ind w:left="720" w:hanging="720"/>
        <w:outlineLvl w:val="2"/>
        <w:rPr>
          <w:rFonts w:eastAsia="Arial Narrow"/>
          <w:b/>
          <w:bCs/>
          <w:iCs/>
          <w:sz w:val="22"/>
          <w:szCs w:val="22"/>
          <w:lang w:val="es-ES" w:bidi="en-US"/>
        </w:rPr>
      </w:pPr>
      <w:bookmarkStart w:id="839" w:name="_Toc23249439"/>
      <w:r w:rsidRPr="001A4860">
        <w:rPr>
          <w:rFonts w:eastAsia="Arial Narrow"/>
          <w:b/>
          <w:bCs/>
          <w:iCs/>
          <w:sz w:val="22"/>
          <w:szCs w:val="22"/>
          <w:lang w:val="es-ES" w:bidi="en-US"/>
        </w:rPr>
        <w:t>Clasificacion de los recursos hídricos de acuerdo a sus usos</w:t>
      </w:r>
      <w:bookmarkEnd w:id="839"/>
    </w:p>
    <w:p w14:paraId="2FCBAB7B" w14:textId="77777777" w:rsidR="001A4860" w:rsidRPr="001A4860" w:rsidRDefault="001A4860" w:rsidP="001A4860">
      <w:pPr>
        <w:rPr>
          <w:sz w:val="22"/>
          <w:szCs w:val="22"/>
          <w:lang w:val="es-ES" w:bidi="en-US"/>
        </w:rPr>
      </w:pPr>
    </w:p>
    <w:p w14:paraId="337E6520" w14:textId="77777777" w:rsidR="001A4860" w:rsidRPr="001A4860" w:rsidRDefault="001A4860" w:rsidP="001A4860">
      <w:pPr>
        <w:rPr>
          <w:sz w:val="22"/>
          <w:szCs w:val="22"/>
          <w:lang w:val="es-ES" w:bidi="en-US"/>
        </w:rPr>
      </w:pPr>
      <w:r w:rsidRPr="001A4860">
        <w:rPr>
          <w:sz w:val="22"/>
          <w:szCs w:val="22"/>
          <w:lang w:val="es-ES" w:bidi="en-US"/>
        </w:rPr>
        <w:t>Con el objeto de determinar la capacidad y condiciones del aprovechamiento de los recursos hidráulicos y los niveles y calidad de vertimientos tolerables para cada cuerpo de agua, se establece para las aguas destinadas al consumo doméstico dos tipos de cuerpos de agua:</w:t>
      </w:r>
    </w:p>
    <w:p w14:paraId="12FA557E" w14:textId="77777777" w:rsidR="001A4860" w:rsidRPr="001A4860" w:rsidRDefault="001A4860" w:rsidP="001A4860">
      <w:pPr>
        <w:rPr>
          <w:sz w:val="22"/>
          <w:szCs w:val="22"/>
          <w:lang w:val="es-ES" w:bidi="en-US"/>
        </w:rPr>
      </w:pPr>
      <w:r w:rsidRPr="001A4860">
        <w:rPr>
          <w:b/>
          <w:sz w:val="22"/>
          <w:szCs w:val="22"/>
          <w:lang w:val="es-ES" w:bidi="en-US"/>
        </w:rPr>
        <w:lastRenderedPageBreak/>
        <w:t>a.- Tipo 1.</w:t>
      </w:r>
      <w:r w:rsidRPr="001A4860">
        <w:rPr>
          <w:sz w:val="22"/>
          <w:szCs w:val="22"/>
          <w:lang w:val="es-ES" w:bidi="en-US"/>
        </w:rPr>
        <w:t xml:space="preserve"> Aguas destinadas al uso doméstico y al uso industrial que requiera de agua potable, siempre que ésta forme parte de un producto o sub-producto destinado al consumo humano o que entre en contacto con él. Las aguas de este Tipo se desagregan en dos categorías:</w:t>
      </w:r>
    </w:p>
    <w:p w14:paraId="28AE8696" w14:textId="77777777" w:rsidR="001A4860" w:rsidRPr="001A4860" w:rsidRDefault="001A4860" w:rsidP="001A4860">
      <w:pPr>
        <w:rPr>
          <w:sz w:val="22"/>
          <w:szCs w:val="22"/>
          <w:lang w:val="es-ES" w:bidi="en-US"/>
        </w:rPr>
      </w:pPr>
      <w:r w:rsidRPr="001A4860">
        <w:rPr>
          <w:b/>
          <w:sz w:val="22"/>
          <w:szCs w:val="22"/>
          <w:lang w:val="es-ES" w:bidi="en-US"/>
        </w:rPr>
        <w:t>· Categoría 1-A</w:t>
      </w:r>
      <w:r w:rsidRPr="001A4860">
        <w:rPr>
          <w:sz w:val="22"/>
          <w:szCs w:val="22"/>
          <w:lang w:val="es-ES" w:bidi="en-US"/>
        </w:rPr>
        <w:t xml:space="preserve"> Aguas que desde el punto de vista sanitario pueden ser acondicionadas con la sola adición de desinfectantes; y </w:t>
      </w:r>
    </w:p>
    <w:p w14:paraId="4A6DEABA" w14:textId="77777777" w:rsidR="001A4860" w:rsidRPr="001A4860" w:rsidRDefault="001A4860" w:rsidP="001A4860">
      <w:pPr>
        <w:rPr>
          <w:sz w:val="22"/>
          <w:szCs w:val="22"/>
          <w:lang w:val="es-ES" w:bidi="en-US"/>
        </w:rPr>
      </w:pPr>
      <w:r w:rsidRPr="001A4860">
        <w:rPr>
          <w:b/>
          <w:sz w:val="22"/>
          <w:szCs w:val="22"/>
          <w:lang w:val="es-ES" w:bidi="en-US"/>
        </w:rPr>
        <w:t>· Categoría 1-B</w:t>
      </w:r>
      <w:r w:rsidRPr="001A4860">
        <w:rPr>
          <w:sz w:val="22"/>
          <w:szCs w:val="22"/>
          <w:lang w:val="es-ES" w:bidi="en-US"/>
        </w:rPr>
        <w:t xml:space="preserve"> Aguas que pueden ser acondicionadas por medio de tratamientos convencionales de coagulación, floculación, sedimentación, filtración y/o cloración.</w:t>
      </w:r>
    </w:p>
    <w:p w14:paraId="75D2D149" w14:textId="77777777" w:rsidR="001A4860" w:rsidRPr="001A4860" w:rsidRDefault="001A4860" w:rsidP="001A4860">
      <w:pPr>
        <w:rPr>
          <w:sz w:val="22"/>
          <w:szCs w:val="22"/>
          <w:lang w:val="es-ES" w:bidi="en-US"/>
        </w:rPr>
      </w:pPr>
    </w:p>
    <w:p w14:paraId="33B3D70E" w14:textId="77777777" w:rsidR="001A4860" w:rsidRPr="001A4860" w:rsidRDefault="001A4860" w:rsidP="001A4860">
      <w:pPr>
        <w:autoSpaceDE w:val="0"/>
        <w:autoSpaceDN w:val="0"/>
        <w:adjustRightInd w:val="0"/>
        <w:jc w:val="left"/>
        <w:rPr>
          <w:b/>
          <w:sz w:val="22"/>
          <w:szCs w:val="22"/>
          <w:lang w:val="es-ES" w:bidi="en-US"/>
        </w:rPr>
      </w:pPr>
      <w:r w:rsidRPr="001A4860">
        <w:rPr>
          <w:b/>
          <w:sz w:val="22"/>
          <w:szCs w:val="22"/>
          <w:lang w:val="es-ES" w:bidi="en-US"/>
        </w:rPr>
        <w:t>Para efectos de la clasificación determinada en el ítem anterior</w:t>
      </w:r>
    </w:p>
    <w:p w14:paraId="154DFF8B"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se establecen los siguientes niveles mínimos de calidad exigibles de acuerdo a la categoría de uso a que se destinen:</w:t>
      </w:r>
    </w:p>
    <w:p w14:paraId="6C512799" w14:textId="77777777" w:rsidR="001A4860" w:rsidRPr="001A4860" w:rsidRDefault="001A4860" w:rsidP="001A4860">
      <w:pPr>
        <w:autoSpaceDE w:val="0"/>
        <w:autoSpaceDN w:val="0"/>
        <w:adjustRightInd w:val="0"/>
        <w:jc w:val="left"/>
        <w:rPr>
          <w:sz w:val="22"/>
          <w:szCs w:val="22"/>
          <w:lang w:val="es-ES" w:bidi="en-US"/>
        </w:rPr>
      </w:pPr>
    </w:p>
    <w:p w14:paraId="006909F4" w14:textId="77777777" w:rsidR="001A4860" w:rsidRPr="001A4860" w:rsidRDefault="001A4860" w:rsidP="001A4860">
      <w:pPr>
        <w:autoSpaceDE w:val="0"/>
        <w:autoSpaceDN w:val="0"/>
        <w:adjustRightInd w:val="0"/>
        <w:jc w:val="left"/>
        <w:rPr>
          <w:b/>
          <w:sz w:val="22"/>
          <w:szCs w:val="22"/>
          <w:lang w:val="es-ES" w:bidi="en-US"/>
        </w:rPr>
      </w:pPr>
      <w:r w:rsidRPr="001A4860">
        <w:rPr>
          <w:b/>
          <w:sz w:val="22"/>
          <w:szCs w:val="22"/>
          <w:lang w:val="es-ES" w:bidi="en-US"/>
        </w:rPr>
        <w:t>Aguas Tipo 1</w:t>
      </w:r>
    </w:p>
    <w:p w14:paraId="58AF825F"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Parámetro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Límite o rango máximo</w:t>
      </w:r>
    </w:p>
    <w:p w14:paraId="60296136" w14:textId="77777777" w:rsidR="001A4860" w:rsidRPr="001A4860" w:rsidRDefault="001A4860" w:rsidP="001A4860">
      <w:pPr>
        <w:autoSpaceDE w:val="0"/>
        <w:autoSpaceDN w:val="0"/>
        <w:adjustRightInd w:val="0"/>
        <w:ind w:left="4248" w:firstLine="708"/>
        <w:jc w:val="left"/>
        <w:rPr>
          <w:b/>
          <w:sz w:val="22"/>
          <w:szCs w:val="22"/>
          <w:lang w:val="es-ES" w:bidi="en-US"/>
        </w:rPr>
      </w:pPr>
      <w:r w:rsidRPr="001A4860">
        <w:rPr>
          <w:b/>
          <w:sz w:val="22"/>
          <w:szCs w:val="22"/>
          <w:lang w:val="es-ES" w:bidi="en-US"/>
        </w:rPr>
        <w:t xml:space="preserve">Categoría 1 A </w:t>
      </w:r>
      <w:r w:rsidRPr="001A4860">
        <w:rPr>
          <w:b/>
          <w:sz w:val="22"/>
          <w:szCs w:val="22"/>
          <w:lang w:val="es-ES" w:bidi="en-US"/>
        </w:rPr>
        <w:tab/>
      </w:r>
      <w:r w:rsidRPr="001A4860">
        <w:rPr>
          <w:b/>
          <w:sz w:val="22"/>
          <w:szCs w:val="22"/>
          <w:lang w:val="es-ES" w:bidi="en-US"/>
        </w:rPr>
        <w:tab/>
        <w:t>Categoría 1 B</w:t>
      </w:r>
    </w:p>
    <w:p w14:paraId="2E832FA8"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Oxígeno disuelto (OD)</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 &gt; 4.0 mg/l (*) </w:t>
      </w:r>
      <w:r w:rsidRPr="001A4860">
        <w:rPr>
          <w:sz w:val="22"/>
          <w:szCs w:val="22"/>
          <w:lang w:val="es-ES" w:bidi="en-US"/>
        </w:rPr>
        <w:tab/>
      </w:r>
      <w:r w:rsidRPr="001A4860">
        <w:rPr>
          <w:sz w:val="22"/>
          <w:szCs w:val="22"/>
          <w:lang w:val="es-ES" w:bidi="en-US"/>
        </w:rPr>
        <w:tab/>
        <w:t>&gt; 4.0 mg/l (*)</w:t>
      </w:r>
    </w:p>
    <w:p w14:paraId="79C80E1A"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Demanda bioquímica de</w:t>
      </w:r>
    </w:p>
    <w:p w14:paraId="0AD205FE"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oxígeno (DBO5, 20)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2.0 mg/l </w:t>
      </w:r>
      <w:r w:rsidRPr="001A4860">
        <w:rPr>
          <w:sz w:val="22"/>
          <w:szCs w:val="22"/>
          <w:lang w:val="es-ES" w:bidi="en-US"/>
        </w:rPr>
        <w:tab/>
        <w:t>5.0 mg/l</w:t>
      </w:r>
    </w:p>
    <w:p w14:paraId="363C8F35"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pH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mín. 6.0 y máx. 8.5 </w:t>
      </w:r>
      <w:r w:rsidRPr="001A4860">
        <w:rPr>
          <w:sz w:val="22"/>
          <w:szCs w:val="22"/>
          <w:lang w:val="es-ES" w:bidi="en-US"/>
        </w:rPr>
        <w:tab/>
        <w:t>mín. 6.0 y máx. 8.5</w:t>
      </w:r>
    </w:p>
    <w:p w14:paraId="4C4EA4FE" w14:textId="77777777" w:rsidR="001A4860" w:rsidRPr="001A4860" w:rsidRDefault="001A4860" w:rsidP="001A4860">
      <w:pPr>
        <w:autoSpaceDE w:val="0"/>
        <w:autoSpaceDN w:val="0"/>
        <w:adjustRightInd w:val="0"/>
        <w:jc w:val="left"/>
        <w:rPr>
          <w:sz w:val="22"/>
          <w:szCs w:val="22"/>
          <w:lang w:val="en-US" w:bidi="en-US"/>
        </w:rPr>
      </w:pPr>
      <w:r w:rsidRPr="001A4860">
        <w:rPr>
          <w:sz w:val="22"/>
          <w:szCs w:val="22"/>
          <w:lang w:val="en-US" w:bidi="en-US"/>
        </w:rPr>
        <w:t xml:space="preserve">Color real </w:t>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t xml:space="preserve">&lt; 15 U Pt-Co </w:t>
      </w:r>
      <w:r w:rsidRPr="001A4860">
        <w:rPr>
          <w:sz w:val="22"/>
          <w:szCs w:val="22"/>
          <w:lang w:val="en-US" w:bidi="en-US"/>
        </w:rPr>
        <w:tab/>
        <w:t>&lt; 150 U Pt-Co</w:t>
      </w:r>
    </w:p>
    <w:p w14:paraId="001C7BB8" w14:textId="77777777" w:rsidR="001A4860" w:rsidRPr="001A4860" w:rsidRDefault="001A4860" w:rsidP="001A4860">
      <w:pPr>
        <w:autoSpaceDE w:val="0"/>
        <w:autoSpaceDN w:val="0"/>
        <w:adjustRightInd w:val="0"/>
        <w:jc w:val="left"/>
        <w:rPr>
          <w:sz w:val="22"/>
          <w:szCs w:val="22"/>
          <w:lang w:val="en-US" w:bidi="en-US"/>
        </w:rPr>
      </w:pPr>
      <w:r w:rsidRPr="001A4860">
        <w:rPr>
          <w:sz w:val="22"/>
          <w:szCs w:val="22"/>
          <w:lang w:val="en-US" w:bidi="en-US"/>
        </w:rPr>
        <w:t xml:space="preserve">Turbiedad </w:t>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r>
      <w:r w:rsidRPr="001A4860">
        <w:rPr>
          <w:sz w:val="22"/>
          <w:szCs w:val="22"/>
          <w:lang w:val="en-US" w:bidi="en-US"/>
        </w:rPr>
        <w:tab/>
        <w:t xml:space="preserve">&lt; 5 UNT </w:t>
      </w:r>
      <w:r w:rsidRPr="001A4860">
        <w:rPr>
          <w:sz w:val="22"/>
          <w:szCs w:val="22"/>
          <w:lang w:val="en-US" w:bidi="en-US"/>
        </w:rPr>
        <w:tab/>
        <w:t>&lt; 250 UNT</w:t>
      </w:r>
    </w:p>
    <w:p w14:paraId="5FC2F458"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Fluoruros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mín 0.7 y máx. 1.5 </w:t>
      </w:r>
      <w:r w:rsidRPr="001A4860">
        <w:rPr>
          <w:sz w:val="22"/>
          <w:szCs w:val="22"/>
          <w:lang w:val="es-ES" w:bidi="en-US"/>
        </w:rPr>
        <w:tab/>
        <w:t>&lt; 1.7 mg/l</w:t>
      </w:r>
    </w:p>
    <w:p w14:paraId="5524BE25"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Hierro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0.3 mg/l </w:t>
      </w:r>
      <w:r w:rsidRPr="001A4860">
        <w:rPr>
          <w:sz w:val="22"/>
          <w:szCs w:val="22"/>
          <w:lang w:val="es-ES" w:bidi="en-US"/>
        </w:rPr>
        <w:tab/>
        <w:t>3 mg/l</w:t>
      </w:r>
    </w:p>
    <w:p w14:paraId="7D9F6210"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Mercurio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0.001 mg/l </w:t>
      </w:r>
      <w:r w:rsidRPr="001A4860">
        <w:rPr>
          <w:sz w:val="22"/>
          <w:szCs w:val="22"/>
          <w:lang w:val="es-ES" w:bidi="en-US"/>
        </w:rPr>
        <w:tab/>
        <w:t>0.01 mg/l</w:t>
      </w:r>
    </w:p>
    <w:p w14:paraId="6681EABC"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Plomo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0.01 mg/l </w:t>
      </w:r>
      <w:r w:rsidRPr="001A4860">
        <w:rPr>
          <w:sz w:val="22"/>
          <w:szCs w:val="22"/>
          <w:lang w:val="es-ES" w:bidi="en-US"/>
        </w:rPr>
        <w:tab/>
        <w:t>0.05 mg/l</w:t>
      </w:r>
    </w:p>
    <w:p w14:paraId="21170FEE"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Sólidos Totales disueltos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1000 mg/l </w:t>
      </w:r>
      <w:r w:rsidRPr="001A4860">
        <w:rPr>
          <w:sz w:val="22"/>
          <w:szCs w:val="22"/>
          <w:lang w:val="es-ES" w:bidi="en-US"/>
        </w:rPr>
        <w:tab/>
        <w:t>1500 mg/l</w:t>
      </w:r>
    </w:p>
    <w:p w14:paraId="0CCAEAF1"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Sulfatos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250 mg/l </w:t>
      </w:r>
      <w:r w:rsidRPr="001A4860">
        <w:rPr>
          <w:sz w:val="22"/>
          <w:szCs w:val="22"/>
          <w:lang w:val="es-ES" w:bidi="en-US"/>
        </w:rPr>
        <w:tab/>
        <w:t>400 mg/l</w:t>
      </w:r>
    </w:p>
    <w:p w14:paraId="5FA3CBFB"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Zinc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3 mg/l </w:t>
      </w:r>
      <w:r w:rsidRPr="001A4860">
        <w:rPr>
          <w:sz w:val="22"/>
          <w:szCs w:val="22"/>
          <w:lang w:val="es-ES" w:bidi="en-US"/>
        </w:rPr>
        <w:tab/>
      </w:r>
      <w:r w:rsidRPr="001A4860">
        <w:rPr>
          <w:sz w:val="22"/>
          <w:szCs w:val="22"/>
          <w:lang w:val="es-ES" w:bidi="en-US"/>
        </w:rPr>
        <w:tab/>
        <w:t>5 mg/l</w:t>
      </w:r>
    </w:p>
    <w:p w14:paraId="29D55160"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Cloruros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250 mg/l </w:t>
      </w:r>
      <w:r w:rsidRPr="001A4860">
        <w:rPr>
          <w:sz w:val="22"/>
          <w:szCs w:val="22"/>
          <w:lang w:val="es-ES" w:bidi="en-US"/>
        </w:rPr>
        <w:tab/>
        <w:t>600 mg/l</w:t>
      </w:r>
    </w:p>
    <w:p w14:paraId="779F86A5"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Organismos Colif. Totales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 xml:space="preserve">(**) </w:t>
      </w:r>
      <w:r w:rsidRPr="001A4860">
        <w:rPr>
          <w:sz w:val="22"/>
          <w:szCs w:val="22"/>
          <w:lang w:val="es-ES" w:bidi="en-US"/>
        </w:rPr>
        <w:tab/>
      </w:r>
      <w:r w:rsidRPr="001A4860">
        <w:rPr>
          <w:sz w:val="22"/>
          <w:szCs w:val="22"/>
          <w:lang w:val="es-ES" w:bidi="en-US"/>
        </w:rPr>
        <w:tab/>
        <w:t>(***)</w:t>
      </w:r>
    </w:p>
    <w:p w14:paraId="3DFD5FAD" w14:textId="77777777" w:rsidR="001A4860" w:rsidRPr="001A4860" w:rsidRDefault="001A4860" w:rsidP="001A4860">
      <w:pPr>
        <w:autoSpaceDE w:val="0"/>
        <w:autoSpaceDN w:val="0"/>
        <w:adjustRightInd w:val="0"/>
        <w:jc w:val="left"/>
        <w:rPr>
          <w:sz w:val="22"/>
          <w:szCs w:val="22"/>
          <w:lang w:val="es-NI" w:eastAsia="es-NI"/>
        </w:rPr>
      </w:pPr>
    </w:p>
    <w:p w14:paraId="3C4C53E1" w14:textId="77777777" w:rsidR="001A4860" w:rsidRPr="001A4860" w:rsidRDefault="001A4860" w:rsidP="001A4860">
      <w:pPr>
        <w:autoSpaceDE w:val="0"/>
        <w:autoSpaceDN w:val="0"/>
        <w:adjustRightInd w:val="0"/>
        <w:jc w:val="left"/>
        <w:rPr>
          <w:sz w:val="22"/>
          <w:szCs w:val="22"/>
          <w:lang w:val="es-NI" w:eastAsia="es-NI"/>
        </w:rPr>
      </w:pPr>
      <w:r w:rsidRPr="001A4860">
        <w:rPr>
          <w:sz w:val="22"/>
          <w:szCs w:val="22"/>
          <w:lang w:val="es-NI" w:eastAsia="es-NI"/>
        </w:rPr>
        <w:t>* (*)También puede ser expresado como porcentaje de saturación y debe ser mayor de 50%.</w:t>
      </w:r>
    </w:p>
    <w:p w14:paraId="573AA505" w14:textId="77777777" w:rsidR="001A4860" w:rsidRPr="001A4860" w:rsidRDefault="001A4860" w:rsidP="001A4860">
      <w:pPr>
        <w:autoSpaceDE w:val="0"/>
        <w:autoSpaceDN w:val="0"/>
        <w:adjustRightInd w:val="0"/>
        <w:jc w:val="left"/>
        <w:rPr>
          <w:sz w:val="22"/>
          <w:szCs w:val="22"/>
          <w:lang w:val="es-NI" w:eastAsia="es-NI"/>
        </w:rPr>
      </w:pPr>
      <w:r w:rsidRPr="001A4860">
        <w:rPr>
          <w:sz w:val="22"/>
          <w:szCs w:val="22"/>
          <w:lang w:val="es-NI" w:eastAsia="es-NI"/>
        </w:rPr>
        <w:t>(**) Promedio mensual menor de 2000 NMP por cada 100 ml.</w:t>
      </w:r>
    </w:p>
    <w:p w14:paraId="7FD99930" w14:textId="77777777" w:rsidR="001A4860" w:rsidRPr="001A4860" w:rsidRDefault="001A4860" w:rsidP="001A4860">
      <w:pPr>
        <w:autoSpaceDE w:val="0"/>
        <w:autoSpaceDN w:val="0"/>
        <w:adjustRightInd w:val="0"/>
        <w:jc w:val="left"/>
        <w:rPr>
          <w:sz w:val="22"/>
          <w:szCs w:val="22"/>
          <w:lang w:val="es-NI" w:eastAsia="es-NI"/>
        </w:rPr>
      </w:pPr>
      <w:r w:rsidRPr="001A4860">
        <w:rPr>
          <w:sz w:val="22"/>
          <w:szCs w:val="22"/>
          <w:lang w:val="es-NI" w:eastAsia="es-NI"/>
        </w:rPr>
        <w:t>(***) Promedio mensual menor de 10000 NMP por cada 100 ml.</w:t>
      </w:r>
    </w:p>
    <w:p w14:paraId="59D6C79D" w14:textId="77777777" w:rsidR="001A4860" w:rsidRPr="001A4860" w:rsidRDefault="001A4860" w:rsidP="001A4860">
      <w:pPr>
        <w:autoSpaceDE w:val="0"/>
        <w:autoSpaceDN w:val="0"/>
        <w:adjustRightInd w:val="0"/>
        <w:jc w:val="left"/>
        <w:rPr>
          <w:i/>
          <w:iCs/>
          <w:sz w:val="22"/>
          <w:szCs w:val="22"/>
          <w:lang w:val="es-NI" w:eastAsia="es-NI"/>
        </w:rPr>
      </w:pPr>
    </w:p>
    <w:p w14:paraId="1FB4B192" w14:textId="77777777" w:rsidR="001A4860" w:rsidRPr="001A4860" w:rsidRDefault="001A4860" w:rsidP="001A4860">
      <w:pPr>
        <w:autoSpaceDE w:val="0"/>
        <w:autoSpaceDN w:val="0"/>
        <w:adjustRightInd w:val="0"/>
        <w:jc w:val="left"/>
        <w:rPr>
          <w:b/>
          <w:sz w:val="22"/>
          <w:szCs w:val="22"/>
          <w:lang w:val="es-ES" w:bidi="en-US"/>
        </w:rPr>
      </w:pPr>
      <w:r w:rsidRPr="001A4860">
        <w:rPr>
          <w:b/>
          <w:sz w:val="22"/>
          <w:szCs w:val="22"/>
          <w:lang w:val="es-ES" w:bidi="en-US"/>
        </w:rPr>
        <w:t>Categorías 1A y 1B (Continuación)</w:t>
      </w:r>
    </w:p>
    <w:p w14:paraId="720CF837"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Parámetro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Límite o rango máximo</w:t>
      </w:r>
    </w:p>
    <w:p w14:paraId="769B4F70"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Cianuro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0.1 mg/l</w:t>
      </w:r>
    </w:p>
    <w:p w14:paraId="3F436676"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Cobre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2.0 mg/l</w:t>
      </w:r>
    </w:p>
    <w:p w14:paraId="17BE9091"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Cromo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0.05 mg/l</w:t>
      </w:r>
    </w:p>
    <w:p w14:paraId="04BCBA09"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Detergentes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1.0 mg/l</w:t>
      </w:r>
    </w:p>
    <w:p w14:paraId="573996F4"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Dispersantes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1.0 mg/l</w:t>
      </w:r>
    </w:p>
    <w:p w14:paraId="5760E482"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Dureza como CaCO3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400 mg/l</w:t>
      </w:r>
    </w:p>
    <w:p w14:paraId="3B2B2F36"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Extracto de carbono al cloroformo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0.15 mg/l</w:t>
      </w:r>
    </w:p>
    <w:p w14:paraId="02BEF83F"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Fenoles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0.002 mg/l</w:t>
      </w:r>
    </w:p>
    <w:p w14:paraId="73464341"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Manganeso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0.5 mg/l</w:t>
      </w:r>
    </w:p>
    <w:p w14:paraId="698F018F"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Nitritos + Nitratos (N)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10.0 mg/l</w:t>
      </w:r>
    </w:p>
    <w:p w14:paraId="2E3BBFEA"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Plata total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0.05 mg/l</w:t>
      </w:r>
    </w:p>
    <w:p w14:paraId="453E3C3D"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Selenio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0.01 mg/l</w:t>
      </w:r>
    </w:p>
    <w:p w14:paraId="7F99CDE4"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Sodio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200 mg/l</w:t>
      </w:r>
    </w:p>
    <w:p w14:paraId="4A7CACF2"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lastRenderedPageBreak/>
        <w:t xml:space="preserve">Organofosforados y Carbamatos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0.1 mg/l</w:t>
      </w:r>
    </w:p>
    <w:p w14:paraId="2C03A957"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Organoclorados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0.2 mg/l</w:t>
      </w:r>
    </w:p>
    <w:p w14:paraId="238437E3" w14:textId="77777777" w:rsidR="001A4860" w:rsidRPr="001A4860" w:rsidRDefault="001A4860" w:rsidP="001A4860">
      <w:pPr>
        <w:autoSpaceDE w:val="0"/>
        <w:autoSpaceDN w:val="0"/>
        <w:adjustRightInd w:val="0"/>
        <w:jc w:val="left"/>
        <w:rPr>
          <w:sz w:val="22"/>
          <w:szCs w:val="22"/>
          <w:lang w:val="es-ES" w:bidi="en-US"/>
        </w:rPr>
      </w:pPr>
      <w:r w:rsidRPr="001A4860">
        <w:rPr>
          <w:sz w:val="22"/>
          <w:szCs w:val="22"/>
          <w:lang w:val="es-ES" w:bidi="en-US"/>
        </w:rPr>
        <w:t xml:space="preserve">Actividad a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max. 0.1 becquerelio por litro (Bq/l)</w:t>
      </w:r>
    </w:p>
    <w:p w14:paraId="2260CBAB" w14:textId="77777777" w:rsidR="001A4860" w:rsidRPr="001A4860" w:rsidRDefault="001A4860" w:rsidP="001A4860">
      <w:pPr>
        <w:rPr>
          <w:sz w:val="22"/>
          <w:szCs w:val="22"/>
          <w:lang w:val="es-ES" w:bidi="en-US"/>
        </w:rPr>
      </w:pPr>
      <w:r w:rsidRPr="001A4860">
        <w:rPr>
          <w:sz w:val="22"/>
          <w:szCs w:val="22"/>
          <w:lang w:val="es-ES" w:bidi="en-US"/>
        </w:rPr>
        <w:t xml:space="preserve">Actividad b </w:t>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r>
      <w:r w:rsidRPr="001A4860">
        <w:rPr>
          <w:sz w:val="22"/>
          <w:szCs w:val="22"/>
          <w:lang w:val="es-ES" w:bidi="en-US"/>
        </w:rPr>
        <w:tab/>
        <w:t>max. 1.0 becquerelio por litro (Bq/l)</w:t>
      </w:r>
    </w:p>
    <w:p w14:paraId="76722E8B" w14:textId="77777777" w:rsidR="001A4860" w:rsidRPr="001A4860" w:rsidRDefault="001A4860" w:rsidP="001A4860">
      <w:pPr>
        <w:rPr>
          <w:b/>
          <w:sz w:val="22"/>
          <w:szCs w:val="22"/>
          <w:lang w:val="es-ES" w:bidi="en-US"/>
        </w:rPr>
      </w:pPr>
      <w:bookmarkStart w:id="840" w:name="_Toc263849257"/>
    </w:p>
    <w:p w14:paraId="15707905" w14:textId="77777777" w:rsidR="001A4860" w:rsidRPr="001A4860" w:rsidRDefault="001A4860" w:rsidP="001A4860">
      <w:pPr>
        <w:keepNext/>
        <w:ind w:left="720" w:hanging="720"/>
        <w:outlineLvl w:val="2"/>
        <w:rPr>
          <w:rFonts w:eastAsia="Arial Narrow"/>
          <w:b/>
          <w:bCs/>
          <w:iCs/>
          <w:sz w:val="22"/>
          <w:szCs w:val="22"/>
          <w:lang w:val="es-ES" w:bidi="en-US"/>
        </w:rPr>
      </w:pPr>
      <w:bookmarkStart w:id="841" w:name="_Toc23249440"/>
      <w:bookmarkEnd w:id="840"/>
      <w:r w:rsidRPr="001A4860">
        <w:rPr>
          <w:rFonts w:eastAsia="Arial Narrow"/>
          <w:b/>
          <w:bCs/>
          <w:iCs/>
          <w:sz w:val="22"/>
          <w:szCs w:val="22"/>
          <w:lang w:val="es-ES" w:bidi="en-US"/>
        </w:rPr>
        <w:t>Limpieza</w:t>
      </w:r>
      <w:bookmarkEnd w:id="841"/>
    </w:p>
    <w:p w14:paraId="16DF654C" w14:textId="77777777" w:rsidR="001A4860" w:rsidRPr="001A4860" w:rsidRDefault="001A4860" w:rsidP="001A4860">
      <w:pPr>
        <w:rPr>
          <w:sz w:val="22"/>
          <w:szCs w:val="22"/>
          <w:lang w:val="es-MX" w:bidi="en-US"/>
        </w:rPr>
      </w:pPr>
    </w:p>
    <w:p w14:paraId="133DDC18" w14:textId="77777777" w:rsidR="001A4860" w:rsidRPr="001A4860" w:rsidRDefault="001A4860" w:rsidP="001A4860">
      <w:pPr>
        <w:rPr>
          <w:sz w:val="22"/>
          <w:szCs w:val="22"/>
          <w:lang w:val="es-MX" w:bidi="en-US"/>
        </w:rPr>
      </w:pPr>
      <w:r w:rsidRPr="001A4860">
        <w:rPr>
          <w:sz w:val="22"/>
          <w:szCs w:val="22"/>
          <w:lang w:val="es-MX" w:bidi="en-US"/>
        </w:rPr>
        <w:t>EL CONTRATISTA una vez terminado el trabajo, elimina toda basura, material sobrante de la ejecución de la obra, dejando el terreno en condiciones originales y limpias.</w:t>
      </w:r>
    </w:p>
    <w:p w14:paraId="47314322" w14:textId="77777777" w:rsidR="001A4860" w:rsidRPr="001A4860" w:rsidRDefault="001A4860" w:rsidP="001A4860">
      <w:pPr>
        <w:rPr>
          <w:sz w:val="22"/>
          <w:szCs w:val="22"/>
          <w:lang w:val="es-MX" w:bidi="en-US"/>
        </w:rPr>
      </w:pPr>
    </w:p>
    <w:p w14:paraId="47E954F4" w14:textId="77777777" w:rsidR="001A4860" w:rsidRPr="001A4860" w:rsidRDefault="001A4860" w:rsidP="001A4860">
      <w:pPr>
        <w:keepNext/>
        <w:ind w:left="720" w:hanging="720"/>
        <w:outlineLvl w:val="2"/>
        <w:rPr>
          <w:rFonts w:eastAsia="Arial Narrow"/>
          <w:b/>
          <w:bCs/>
          <w:iCs/>
          <w:sz w:val="22"/>
          <w:szCs w:val="22"/>
          <w:lang w:val="es-NI" w:bidi="en-US"/>
        </w:rPr>
      </w:pPr>
      <w:bookmarkStart w:id="842" w:name="_Toc23249441"/>
      <w:bookmarkStart w:id="843" w:name="_Toc263849258"/>
      <w:r w:rsidRPr="001A4860">
        <w:rPr>
          <w:rFonts w:eastAsia="Arial Narrow"/>
          <w:b/>
          <w:bCs/>
          <w:iCs/>
          <w:sz w:val="22"/>
          <w:szCs w:val="22"/>
          <w:lang w:val="es-NI" w:bidi="en-US"/>
        </w:rPr>
        <w:t>Forma de pago</w:t>
      </w:r>
      <w:bookmarkEnd w:id="842"/>
    </w:p>
    <w:p w14:paraId="5D6CFA2B" w14:textId="77777777" w:rsidR="001A4860" w:rsidRPr="001A4860" w:rsidRDefault="001A4860" w:rsidP="001A4860">
      <w:pPr>
        <w:rPr>
          <w:b/>
          <w:sz w:val="22"/>
          <w:szCs w:val="22"/>
          <w:lang w:val="es-ES" w:bidi="en-US"/>
        </w:rPr>
      </w:pPr>
    </w:p>
    <w:p w14:paraId="38C6222E" w14:textId="77777777" w:rsidR="001A4860" w:rsidRPr="001A4860" w:rsidRDefault="001A4860" w:rsidP="001A4860">
      <w:pPr>
        <w:rPr>
          <w:sz w:val="22"/>
          <w:szCs w:val="22"/>
          <w:lang w:val="es-ES" w:bidi="en-US"/>
        </w:rPr>
      </w:pPr>
      <w:r w:rsidRPr="001A4860">
        <w:rPr>
          <w:sz w:val="22"/>
          <w:szCs w:val="22"/>
          <w:lang w:val="es-ES" w:bidi="en-US"/>
        </w:rPr>
        <w:t>La forma de pago o cancelación de las obras es a través de avances de obras (avalúos) en la base del costo unitario presentado para cada actividad según oferta</w:t>
      </w:r>
      <w:r w:rsidRPr="001A4860">
        <w:rPr>
          <w:b/>
          <w:sz w:val="22"/>
          <w:szCs w:val="22"/>
          <w:lang w:val="es-ES" w:bidi="en-US"/>
        </w:rPr>
        <w:t xml:space="preserve">. </w:t>
      </w:r>
      <w:r w:rsidRPr="001A4860">
        <w:rPr>
          <w:sz w:val="22"/>
          <w:szCs w:val="22"/>
          <w:lang w:val="es-ES" w:bidi="en-US"/>
        </w:rPr>
        <w:t>Para esto el contratista debe solicitar vía bitácora la medición de las obras ejecutadas, el Residente y Supervisor del proyecto proceden a cuantificar dichas obras y tramitar su respectiva cancelación.</w:t>
      </w:r>
    </w:p>
    <w:p w14:paraId="241A2165" w14:textId="77777777" w:rsidR="001A4860" w:rsidRPr="001A4860" w:rsidRDefault="001A4860" w:rsidP="001A4860">
      <w:pPr>
        <w:rPr>
          <w:sz w:val="22"/>
          <w:szCs w:val="22"/>
          <w:lang w:val="es-ES" w:bidi="en-US"/>
        </w:rPr>
      </w:pPr>
    </w:p>
    <w:p w14:paraId="197FDBA3" w14:textId="77777777" w:rsidR="001A4860" w:rsidRPr="001A4860" w:rsidRDefault="001A4860" w:rsidP="001A4860">
      <w:pPr>
        <w:keepNext/>
        <w:ind w:left="720" w:hanging="720"/>
        <w:outlineLvl w:val="2"/>
        <w:rPr>
          <w:rFonts w:eastAsia="Arial Narrow"/>
          <w:b/>
          <w:bCs/>
          <w:iCs/>
          <w:sz w:val="22"/>
          <w:szCs w:val="22"/>
          <w:lang w:val="es-ES" w:bidi="en-US"/>
        </w:rPr>
      </w:pPr>
      <w:bookmarkStart w:id="844" w:name="_Toc23249442"/>
      <w:r w:rsidRPr="001A4860">
        <w:rPr>
          <w:rFonts w:eastAsia="Arial Narrow"/>
          <w:b/>
          <w:bCs/>
          <w:iCs/>
          <w:sz w:val="22"/>
          <w:szCs w:val="22"/>
          <w:lang w:val="es-ES" w:bidi="en-US"/>
        </w:rPr>
        <w:t>Controles e informes</w:t>
      </w:r>
      <w:bookmarkEnd w:id="843"/>
      <w:bookmarkEnd w:id="844"/>
    </w:p>
    <w:p w14:paraId="5919BBAE" w14:textId="77777777" w:rsidR="001A4860" w:rsidRPr="001A4860" w:rsidRDefault="001A4860" w:rsidP="001A4860">
      <w:pPr>
        <w:rPr>
          <w:b/>
          <w:sz w:val="22"/>
          <w:szCs w:val="22"/>
          <w:lang w:val="es-ES" w:bidi="en-US"/>
        </w:rPr>
      </w:pPr>
    </w:p>
    <w:p w14:paraId="4B41D648" w14:textId="77777777" w:rsidR="001A4860" w:rsidRPr="001A4860" w:rsidRDefault="001A4860" w:rsidP="001A4860">
      <w:pPr>
        <w:rPr>
          <w:sz w:val="22"/>
          <w:szCs w:val="22"/>
          <w:lang w:val="es-ES" w:bidi="en-US"/>
        </w:rPr>
      </w:pPr>
      <w:r w:rsidRPr="001A4860">
        <w:rPr>
          <w:sz w:val="22"/>
          <w:szCs w:val="22"/>
          <w:lang w:val="es-ES" w:bidi="en-US"/>
        </w:rPr>
        <w:t>El Responsable de la perforación del pozo, está obligado a llevar para uso del Supervisor y Residente, un registro diario de todas las actividades de perforación realizadas, copias claras de los registros que se entregan al finalizar la perforación del pozo o antes de concluirlo, según sea requerido por el Supervisor y/o Residente</w:t>
      </w:r>
    </w:p>
    <w:p w14:paraId="37C65A5A" w14:textId="77777777" w:rsidR="001A4860" w:rsidRPr="001A4860" w:rsidRDefault="001A4860" w:rsidP="001A4860">
      <w:pPr>
        <w:rPr>
          <w:sz w:val="22"/>
          <w:szCs w:val="22"/>
          <w:lang w:val="es-ES" w:bidi="en-US"/>
        </w:rPr>
      </w:pPr>
    </w:p>
    <w:p w14:paraId="4F851280" w14:textId="77777777" w:rsidR="001A4860" w:rsidRPr="001A4860" w:rsidRDefault="001A4860" w:rsidP="001A4860">
      <w:pPr>
        <w:rPr>
          <w:sz w:val="22"/>
          <w:szCs w:val="22"/>
          <w:lang w:val="es-ES" w:bidi="en-US"/>
        </w:rPr>
      </w:pPr>
      <w:r w:rsidRPr="001A4860">
        <w:rPr>
          <w:sz w:val="22"/>
          <w:szCs w:val="22"/>
          <w:lang w:val="es-ES" w:bidi="en-US"/>
        </w:rPr>
        <w:t>El “Registro Diario” o BITÁCORA de la perforación, indica clara y exactamente la profundidad a la que se encuentran los extremos superior e inferior de cada un metro de avance, así como registra la profundidad de cada cambio de formación geológica. Se precisa la clasificación de los materiales rocosos encontrados, de acuerdo a los términos usuales en perforación de pozos. Se precisa información sobre la dureza relativa de las diferentes formaciones geológicas atravesadas por la perforación; así como, informa sobre la aparición de las diferentes zonas acuíferas interceptadas y variación de niveles de agua.</w:t>
      </w:r>
    </w:p>
    <w:p w14:paraId="3F23903E" w14:textId="77777777" w:rsidR="001A4860" w:rsidRPr="001A4860" w:rsidRDefault="001A4860" w:rsidP="001A4860">
      <w:pPr>
        <w:rPr>
          <w:sz w:val="22"/>
          <w:szCs w:val="22"/>
          <w:lang w:val="es-ES" w:bidi="en-US"/>
        </w:rPr>
      </w:pPr>
    </w:p>
    <w:p w14:paraId="526168E6" w14:textId="77777777" w:rsidR="001A4860" w:rsidRPr="001A4860" w:rsidRDefault="001A4860" w:rsidP="001A4860">
      <w:pPr>
        <w:rPr>
          <w:sz w:val="22"/>
          <w:szCs w:val="22"/>
          <w:lang w:val="es-ES" w:bidi="en-US"/>
        </w:rPr>
      </w:pPr>
      <w:r w:rsidRPr="001A4860">
        <w:rPr>
          <w:sz w:val="22"/>
          <w:szCs w:val="22"/>
          <w:lang w:val="es-ES" w:bidi="en-US"/>
        </w:rPr>
        <w:t>Para lograr lo arriba indicado, tanto El Contratista como el Residente y el Supervisor, llevan un control del tiempo ocupado para perforar cada un (1) metro de avance, tomar medidas del nivel de agua subterránea por la mañana, antes de iniciar los trabajos de perforación y por la tarde, unos minutos antes de suspender los mismos.</w:t>
      </w:r>
    </w:p>
    <w:p w14:paraId="7E02193E" w14:textId="77777777" w:rsidR="001A4860" w:rsidRPr="001A4860" w:rsidRDefault="001A4860" w:rsidP="001A4860">
      <w:pPr>
        <w:rPr>
          <w:sz w:val="22"/>
          <w:szCs w:val="22"/>
          <w:lang w:val="es-ES" w:bidi="en-US"/>
        </w:rPr>
      </w:pPr>
    </w:p>
    <w:p w14:paraId="318F49A0" w14:textId="77777777" w:rsidR="001A4860" w:rsidRPr="001A4860" w:rsidRDefault="001A4860" w:rsidP="001A4860">
      <w:pPr>
        <w:rPr>
          <w:sz w:val="22"/>
          <w:szCs w:val="22"/>
          <w:lang w:val="es-ES" w:bidi="en-US"/>
        </w:rPr>
      </w:pPr>
      <w:r w:rsidRPr="001A4860">
        <w:rPr>
          <w:sz w:val="22"/>
          <w:szCs w:val="22"/>
          <w:lang w:val="es-ES" w:bidi="en-US"/>
        </w:rPr>
        <w:t>Además, el control diario de perforación contiene información relacionada con operaciones de limpieza, reparación de brocas, maniobras de pesca y otros datos, y los tiempos utilizados para estas actividades.</w:t>
      </w:r>
    </w:p>
    <w:p w14:paraId="61083A64" w14:textId="77777777" w:rsidR="001A4860" w:rsidRPr="001A4860" w:rsidRDefault="001A4860" w:rsidP="001A4860">
      <w:pPr>
        <w:rPr>
          <w:sz w:val="22"/>
          <w:szCs w:val="22"/>
          <w:lang w:val="es-ES" w:bidi="en-US"/>
        </w:rPr>
      </w:pPr>
    </w:p>
    <w:p w14:paraId="13B5022C" w14:textId="77777777" w:rsidR="001A4860" w:rsidRPr="001A4860" w:rsidRDefault="001A4860" w:rsidP="001A4860">
      <w:pPr>
        <w:rPr>
          <w:sz w:val="22"/>
          <w:szCs w:val="22"/>
          <w:lang w:val="es-ES" w:bidi="en-US"/>
        </w:rPr>
      </w:pPr>
      <w:r w:rsidRPr="001A4860">
        <w:rPr>
          <w:sz w:val="22"/>
          <w:szCs w:val="22"/>
          <w:lang w:val="es-ES" w:bidi="en-US"/>
        </w:rPr>
        <w:t>En los formularios, además se registra información relacionada con:</w:t>
      </w:r>
    </w:p>
    <w:p w14:paraId="2220FE6B" w14:textId="77777777" w:rsidR="001A4860" w:rsidRPr="001A4860" w:rsidRDefault="001A4860" w:rsidP="001A4860">
      <w:pPr>
        <w:rPr>
          <w:sz w:val="22"/>
          <w:szCs w:val="22"/>
          <w:lang w:val="es-ES" w:bidi="en-US"/>
        </w:rPr>
      </w:pPr>
    </w:p>
    <w:p w14:paraId="66CD1DB2" w14:textId="77777777" w:rsidR="001A4860" w:rsidRPr="001A4860" w:rsidRDefault="001A4860" w:rsidP="003B68DB">
      <w:pPr>
        <w:numPr>
          <w:ilvl w:val="0"/>
          <w:numId w:val="167"/>
        </w:numPr>
        <w:jc w:val="left"/>
        <w:rPr>
          <w:sz w:val="22"/>
          <w:szCs w:val="22"/>
          <w:lang w:val="es-ES" w:bidi="en-US"/>
        </w:rPr>
      </w:pPr>
      <w:r w:rsidRPr="001A4860">
        <w:rPr>
          <w:sz w:val="22"/>
          <w:szCs w:val="22"/>
          <w:lang w:val="es-ES" w:bidi="en-US"/>
        </w:rPr>
        <w:t>Ubicación del pozo.</w:t>
      </w:r>
    </w:p>
    <w:p w14:paraId="65F912CC" w14:textId="77777777" w:rsidR="001A4860" w:rsidRPr="001A4860" w:rsidRDefault="001A4860" w:rsidP="003B68DB">
      <w:pPr>
        <w:numPr>
          <w:ilvl w:val="0"/>
          <w:numId w:val="167"/>
        </w:numPr>
        <w:jc w:val="left"/>
        <w:rPr>
          <w:sz w:val="22"/>
          <w:szCs w:val="22"/>
          <w:lang w:val="es-ES" w:bidi="en-US"/>
        </w:rPr>
      </w:pPr>
      <w:r w:rsidRPr="001A4860">
        <w:rPr>
          <w:sz w:val="22"/>
          <w:szCs w:val="22"/>
          <w:lang w:val="es-ES" w:bidi="en-US"/>
        </w:rPr>
        <w:t>Fecha de inicio y fin de la perforación del pozo.</w:t>
      </w:r>
    </w:p>
    <w:p w14:paraId="1F5313D9" w14:textId="77777777" w:rsidR="001A4860" w:rsidRPr="001A4860" w:rsidRDefault="001A4860" w:rsidP="003B68DB">
      <w:pPr>
        <w:numPr>
          <w:ilvl w:val="0"/>
          <w:numId w:val="167"/>
        </w:numPr>
        <w:jc w:val="left"/>
        <w:rPr>
          <w:sz w:val="22"/>
          <w:szCs w:val="22"/>
          <w:lang w:val="es-ES" w:bidi="en-US"/>
        </w:rPr>
      </w:pPr>
      <w:r w:rsidRPr="001A4860">
        <w:rPr>
          <w:sz w:val="22"/>
          <w:szCs w:val="22"/>
          <w:lang w:val="es-ES" w:bidi="en-US"/>
        </w:rPr>
        <w:t>Profundidad de los estratos en los cuales se encontraron problemas de derrumbes, indicando la magnitud del problema.</w:t>
      </w:r>
    </w:p>
    <w:p w14:paraId="512D2959" w14:textId="77777777" w:rsidR="001A4860" w:rsidRPr="001A4860" w:rsidRDefault="001A4860" w:rsidP="003B68DB">
      <w:pPr>
        <w:numPr>
          <w:ilvl w:val="0"/>
          <w:numId w:val="167"/>
        </w:numPr>
        <w:jc w:val="left"/>
        <w:rPr>
          <w:sz w:val="22"/>
          <w:szCs w:val="22"/>
          <w:lang w:val="es-ES" w:bidi="en-US"/>
        </w:rPr>
      </w:pPr>
      <w:r w:rsidRPr="001A4860">
        <w:rPr>
          <w:sz w:val="22"/>
          <w:szCs w:val="22"/>
          <w:lang w:val="es-ES" w:bidi="en-US"/>
        </w:rPr>
        <w:t>Color de la pasta (lodos bentónicos).</w:t>
      </w:r>
    </w:p>
    <w:p w14:paraId="4C981A0A" w14:textId="77777777" w:rsidR="001A4860" w:rsidRPr="001A4860" w:rsidRDefault="001A4860" w:rsidP="001A4860">
      <w:pPr>
        <w:rPr>
          <w:sz w:val="22"/>
          <w:szCs w:val="22"/>
          <w:lang w:val="es-ES" w:bidi="en-US"/>
        </w:rPr>
      </w:pPr>
    </w:p>
    <w:p w14:paraId="022BE241" w14:textId="77777777" w:rsidR="001A4860" w:rsidRPr="001A4860" w:rsidRDefault="001A4860" w:rsidP="001A4860">
      <w:pPr>
        <w:rPr>
          <w:sz w:val="22"/>
          <w:szCs w:val="22"/>
          <w:lang w:val="es-ES" w:bidi="en-US"/>
        </w:rPr>
      </w:pPr>
      <w:r w:rsidRPr="001A4860">
        <w:rPr>
          <w:sz w:val="22"/>
          <w:szCs w:val="22"/>
          <w:lang w:val="es-ES" w:bidi="en-US"/>
        </w:rPr>
        <w:t>Al final de la perforación del pozo, se entrega el informe completo del pozo construido, describiendo todos los trabajos efectuados, e indicando los resultados logrados, Además se entregan las recomendaciones para lograr el aprovechamiento adecuado del pozo y del acuífero.</w:t>
      </w:r>
    </w:p>
    <w:p w14:paraId="68938B50" w14:textId="77777777" w:rsidR="001A4860" w:rsidRPr="001A4860" w:rsidRDefault="001A4860" w:rsidP="001A4860">
      <w:pPr>
        <w:rPr>
          <w:sz w:val="22"/>
          <w:szCs w:val="22"/>
          <w:lang w:val="es-ES" w:bidi="en-US"/>
        </w:rPr>
      </w:pPr>
    </w:p>
    <w:p w14:paraId="7F5462A3" w14:textId="77777777" w:rsidR="001A4860" w:rsidRPr="001A4860" w:rsidRDefault="001A4860" w:rsidP="001A4860">
      <w:pPr>
        <w:rPr>
          <w:sz w:val="22"/>
          <w:szCs w:val="22"/>
          <w:lang w:val="es-ES" w:bidi="en-US"/>
        </w:rPr>
      </w:pPr>
      <w:r w:rsidRPr="001A4860">
        <w:rPr>
          <w:sz w:val="22"/>
          <w:szCs w:val="22"/>
          <w:lang w:val="es-ES" w:bidi="en-US"/>
        </w:rPr>
        <w:t>En el informe se incluye:</w:t>
      </w:r>
    </w:p>
    <w:p w14:paraId="6359119B" w14:textId="77777777" w:rsidR="001A4860" w:rsidRPr="001A4860" w:rsidRDefault="001A4860" w:rsidP="001A4860">
      <w:pPr>
        <w:rPr>
          <w:sz w:val="22"/>
          <w:szCs w:val="22"/>
          <w:lang w:val="es-ES" w:bidi="en-US"/>
        </w:rPr>
      </w:pPr>
    </w:p>
    <w:p w14:paraId="6B055407" w14:textId="77777777" w:rsidR="001A4860" w:rsidRPr="001A4860" w:rsidRDefault="001A4860" w:rsidP="003B68DB">
      <w:pPr>
        <w:numPr>
          <w:ilvl w:val="0"/>
          <w:numId w:val="168"/>
        </w:numPr>
        <w:jc w:val="left"/>
        <w:rPr>
          <w:sz w:val="22"/>
          <w:szCs w:val="22"/>
          <w:lang w:val="es-ES" w:bidi="en-US"/>
        </w:rPr>
      </w:pPr>
      <w:r w:rsidRPr="001A4860">
        <w:rPr>
          <w:sz w:val="22"/>
          <w:szCs w:val="22"/>
          <w:lang w:val="es-ES" w:bidi="en-US"/>
        </w:rPr>
        <w:t>Formularios del control diario de perforación</w:t>
      </w:r>
    </w:p>
    <w:p w14:paraId="46757FE3" w14:textId="77777777" w:rsidR="001A4860" w:rsidRPr="001A4860" w:rsidRDefault="001A4860" w:rsidP="003B68DB">
      <w:pPr>
        <w:numPr>
          <w:ilvl w:val="0"/>
          <w:numId w:val="168"/>
        </w:numPr>
        <w:jc w:val="left"/>
        <w:rPr>
          <w:sz w:val="22"/>
          <w:szCs w:val="22"/>
          <w:lang w:val="es-ES" w:bidi="en-US"/>
        </w:rPr>
      </w:pPr>
      <w:r w:rsidRPr="001A4860">
        <w:rPr>
          <w:sz w:val="22"/>
          <w:szCs w:val="22"/>
          <w:lang w:val="es-ES" w:bidi="en-US"/>
        </w:rPr>
        <w:t>Registros estratigráficos</w:t>
      </w:r>
    </w:p>
    <w:p w14:paraId="24B7FE4F" w14:textId="77777777" w:rsidR="001A4860" w:rsidRPr="001A4860" w:rsidRDefault="001A4860" w:rsidP="003B68DB">
      <w:pPr>
        <w:numPr>
          <w:ilvl w:val="0"/>
          <w:numId w:val="168"/>
        </w:numPr>
        <w:jc w:val="left"/>
        <w:rPr>
          <w:sz w:val="22"/>
          <w:szCs w:val="22"/>
          <w:lang w:val="es-ES" w:bidi="en-US"/>
        </w:rPr>
      </w:pPr>
      <w:r w:rsidRPr="001A4860">
        <w:rPr>
          <w:sz w:val="22"/>
          <w:szCs w:val="22"/>
          <w:lang w:val="es-ES" w:bidi="en-US"/>
        </w:rPr>
        <w:t>Registros de pruebas de bombeo y recuperación, analisis de los datos del registro de campo, interpretación de resultados, conclusiones y recomendaciones del especialista responsable de los ensayos de bombeo.</w:t>
      </w:r>
    </w:p>
    <w:p w14:paraId="41A3E42E" w14:textId="77777777" w:rsidR="001A4860" w:rsidRPr="001A4860" w:rsidRDefault="001A4860" w:rsidP="003B68DB">
      <w:pPr>
        <w:numPr>
          <w:ilvl w:val="0"/>
          <w:numId w:val="168"/>
        </w:numPr>
        <w:jc w:val="left"/>
        <w:rPr>
          <w:sz w:val="22"/>
          <w:szCs w:val="22"/>
          <w:lang w:val="es-ES" w:bidi="en-US"/>
        </w:rPr>
      </w:pPr>
      <w:r w:rsidRPr="001A4860">
        <w:rPr>
          <w:sz w:val="22"/>
          <w:szCs w:val="22"/>
          <w:lang w:val="es-ES" w:bidi="en-US"/>
        </w:rPr>
        <w:t>Diseño y datos de construcción del pozo.</w:t>
      </w:r>
    </w:p>
    <w:p w14:paraId="47759D7D" w14:textId="77777777" w:rsidR="001A4860" w:rsidRPr="001A4860" w:rsidRDefault="001A4860" w:rsidP="003B68DB">
      <w:pPr>
        <w:numPr>
          <w:ilvl w:val="0"/>
          <w:numId w:val="168"/>
        </w:numPr>
        <w:jc w:val="left"/>
        <w:rPr>
          <w:sz w:val="22"/>
          <w:szCs w:val="22"/>
          <w:lang w:val="es-ES" w:bidi="en-US"/>
        </w:rPr>
      </w:pPr>
      <w:r w:rsidRPr="001A4860">
        <w:rPr>
          <w:sz w:val="22"/>
          <w:szCs w:val="22"/>
          <w:lang w:val="es-ES" w:bidi="en-US"/>
        </w:rPr>
        <w:t>Análisis granulométrico de la grava instalada</w:t>
      </w:r>
    </w:p>
    <w:p w14:paraId="0627AA04" w14:textId="77777777" w:rsidR="001A4860" w:rsidRPr="001A4860" w:rsidRDefault="001A4860" w:rsidP="001A4860">
      <w:pPr>
        <w:rPr>
          <w:sz w:val="22"/>
          <w:szCs w:val="22"/>
          <w:lang w:val="es-MX" w:bidi="en-US"/>
        </w:rPr>
      </w:pPr>
    </w:p>
    <w:p w14:paraId="3AB21A9E" w14:textId="77777777" w:rsidR="001A4860" w:rsidRPr="001A4860" w:rsidRDefault="001A4860" w:rsidP="001A4860">
      <w:pPr>
        <w:keepNext/>
        <w:ind w:left="720" w:hanging="720"/>
        <w:outlineLvl w:val="2"/>
        <w:rPr>
          <w:rFonts w:eastAsia="Arial Narrow"/>
          <w:b/>
          <w:bCs/>
          <w:iCs/>
          <w:sz w:val="22"/>
          <w:szCs w:val="22"/>
          <w:lang w:val="es-ES" w:bidi="en-US"/>
        </w:rPr>
      </w:pPr>
      <w:bookmarkStart w:id="845" w:name="_Toc23249443"/>
      <w:r w:rsidRPr="001A4860">
        <w:rPr>
          <w:rFonts w:eastAsia="Arial Narrow"/>
          <w:b/>
          <w:bCs/>
          <w:iCs/>
          <w:sz w:val="22"/>
          <w:szCs w:val="22"/>
          <w:lang w:val="es-ES" w:bidi="en-US"/>
        </w:rPr>
        <w:t>Informe final</w:t>
      </w:r>
      <w:bookmarkEnd w:id="845"/>
    </w:p>
    <w:p w14:paraId="5DB3FDF5" w14:textId="77777777" w:rsidR="001A4860" w:rsidRPr="001A4860" w:rsidRDefault="001A4860" w:rsidP="001A4860">
      <w:pPr>
        <w:rPr>
          <w:sz w:val="22"/>
          <w:szCs w:val="22"/>
          <w:lang w:val="es-MX" w:bidi="en-US"/>
        </w:rPr>
      </w:pPr>
    </w:p>
    <w:p w14:paraId="5D2282AF" w14:textId="77777777" w:rsidR="001A4860" w:rsidRPr="001A4860" w:rsidRDefault="001A4860" w:rsidP="001A4860">
      <w:pPr>
        <w:rPr>
          <w:sz w:val="22"/>
          <w:szCs w:val="22"/>
          <w:lang w:val="es-MX" w:bidi="en-US"/>
        </w:rPr>
      </w:pPr>
      <w:r w:rsidRPr="001A4860">
        <w:rPr>
          <w:sz w:val="22"/>
          <w:szCs w:val="22"/>
          <w:lang w:val="es-MX" w:bidi="en-US"/>
        </w:rPr>
        <w:t>Finalizada la construcción del pozo, el contratista emite un informe que contiene todos los aspectos relativos a la perforación del pozo, esto es, (a) datos generales de pozo, (b) el perfil estratigráfico de las formaciones perforadas, (c) el diseño definitivo del pozo detallando la construcción de la base de concreto, la instalación del ademe (tubería ciega para ademe y tubería ranurada para ademe), la colocación del filtro artificial de gravilla de río (conocido como empaque de grava), el proceso de desarrollo y limpieza del pozo, etc., y (d) comentarios, problemas de perforación en el sitio, recomendaciones y conclusiones.</w:t>
      </w:r>
    </w:p>
    <w:p w14:paraId="0FFC55E2" w14:textId="77777777" w:rsidR="001A4860" w:rsidRPr="001A4860" w:rsidRDefault="001A4860" w:rsidP="001A4860">
      <w:pPr>
        <w:rPr>
          <w:sz w:val="22"/>
          <w:szCs w:val="22"/>
          <w:lang w:val="es-MX" w:bidi="en-US"/>
        </w:rPr>
      </w:pPr>
    </w:p>
    <w:p w14:paraId="5E777E90" w14:textId="77777777" w:rsidR="001A4860" w:rsidRPr="001A4860" w:rsidRDefault="001A4860" w:rsidP="001A4860">
      <w:pPr>
        <w:keepNext/>
        <w:outlineLvl w:val="1"/>
        <w:rPr>
          <w:rFonts w:eastAsia="Arial Narrow"/>
          <w:b/>
          <w:bCs/>
          <w:iCs/>
          <w:sz w:val="22"/>
          <w:szCs w:val="22"/>
          <w:lang w:val="es-NI"/>
        </w:rPr>
      </w:pPr>
      <w:bookmarkStart w:id="846" w:name="_Toc23249444"/>
      <w:r w:rsidRPr="001A4860">
        <w:rPr>
          <w:rFonts w:eastAsia="Arial Narrow"/>
          <w:b/>
          <w:bCs/>
          <w:iCs/>
          <w:sz w:val="22"/>
          <w:szCs w:val="22"/>
          <w:lang w:val="es-NI"/>
        </w:rPr>
        <w:t>Condiciones generales</w:t>
      </w:r>
      <w:bookmarkEnd w:id="846"/>
    </w:p>
    <w:p w14:paraId="293F54BF" w14:textId="77777777" w:rsidR="001A4860" w:rsidRPr="001A4860" w:rsidRDefault="001A4860" w:rsidP="001A4860">
      <w:pPr>
        <w:rPr>
          <w:sz w:val="22"/>
          <w:szCs w:val="22"/>
          <w:lang w:val="es-MX" w:bidi="en-US"/>
        </w:rPr>
      </w:pPr>
    </w:p>
    <w:p w14:paraId="7DA2F594" w14:textId="77777777" w:rsidR="001A4860" w:rsidRPr="001A4860" w:rsidRDefault="001A4860" w:rsidP="001A4860">
      <w:pPr>
        <w:rPr>
          <w:sz w:val="22"/>
          <w:szCs w:val="22"/>
          <w:lang w:val="es-MX" w:bidi="en-US"/>
        </w:rPr>
      </w:pPr>
      <w:r w:rsidRPr="001A4860">
        <w:rPr>
          <w:sz w:val="22"/>
          <w:szCs w:val="22"/>
          <w:lang w:val="es-MX" w:bidi="en-US"/>
        </w:rPr>
        <w:t>Las presentes especificaciones generales se elaboran con el propósito de adquirir los bienes y servicios requeridos para construcción de Obras y Saneamiento a ejecutarse en las comunidades. El contratista a quien se le asigne la construcción de las obras objeto de este Proyecto, es el único responsable del cumplimiento total de las especificaciones, y ser sumamente cuidadoso en la selección de sus proveedores de materiales y servicios.</w:t>
      </w:r>
    </w:p>
    <w:p w14:paraId="6FB438EE" w14:textId="77777777" w:rsidR="001A4860" w:rsidRPr="001A4860" w:rsidRDefault="001A4860" w:rsidP="001A4860">
      <w:pPr>
        <w:rPr>
          <w:sz w:val="22"/>
          <w:szCs w:val="22"/>
          <w:lang w:val="es-MX" w:bidi="en-US"/>
        </w:rPr>
      </w:pPr>
    </w:p>
    <w:p w14:paraId="6FF90090" w14:textId="77777777" w:rsidR="001A4860" w:rsidRPr="001A4860" w:rsidRDefault="001A4860" w:rsidP="001A4860">
      <w:pPr>
        <w:keepNext/>
        <w:ind w:left="720" w:hanging="720"/>
        <w:outlineLvl w:val="2"/>
        <w:rPr>
          <w:rFonts w:eastAsia="Arial Narrow"/>
          <w:b/>
          <w:bCs/>
          <w:iCs/>
          <w:sz w:val="22"/>
          <w:szCs w:val="22"/>
          <w:lang w:val="es-ES" w:bidi="en-US"/>
        </w:rPr>
      </w:pPr>
      <w:bookmarkStart w:id="847" w:name="_Toc23249445"/>
      <w:r w:rsidRPr="001A4860">
        <w:rPr>
          <w:rFonts w:eastAsia="Arial Narrow"/>
          <w:b/>
          <w:bCs/>
          <w:iCs/>
          <w:sz w:val="22"/>
          <w:szCs w:val="22"/>
          <w:lang w:val="es-ES" w:bidi="en-US"/>
        </w:rPr>
        <w:t>Interpretación de documentos (Planos y Especificaciones)</w:t>
      </w:r>
      <w:bookmarkEnd w:id="847"/>
    </w:p>
    <w:p w14:paraId="3E978920" w14:textId="77777777" w:rsidR="001A4860" w:rsidRPr="001A4860" w:rsidRDefault="001A4860" w:rsidP="001A4860">
      <w:pPr>
        <w:rPr>
          <w:sz w:val="22"/>
          <w:szCs w:val="22"/>
          <w:lang w:val="es-MX" w:bidi="en-US"/>
        </w:rPr>
      </w:pPr>
    </w:p>
    <w:p w14:paraId="5674715B" w14:textId="77777777" w:rsidR="001A4860" w:rsidRPr="001A4860" w:rsidRDefault="001A4860" w:rsidP="001A4860">
      <w:pPr>
        <w:rPr>
          <w:sz w:val="22"/>
          <w:szCs w:val="22"/>
          <w:lang w:val="es-MX" w:bidi="en-US"/>
        </w:rPr>
      </w:pPr>
      <w:r w:rsidRPr="001A4860">
        <w:rPr>
          <w:sz w:val="22"/>
          <w:szCs w:val="22"/>
          <w:lang w:val="es-MX" w:bidi="en-US"/>
        </w:rPr>
        <w:t>El propósito de estos documentos es orientar al contratista de manera que pueda realizar el trabajo de conformidad con los planos y especificaciones. Los documentos de contrato son complementarios y lo consignado en uno se debe considerar como en el otro. Si se encuentran discrepancias entre los planos y las especificaciones, El Contratista no debe aprovecharse de errores u omisiones en los planos y especificaciones suministrados y debe informar al ingeniero con la mayor brevedad, de tales errores u omisiones y discrepancias que pudiere encontrar. El Ingeniero residente y/o Supervisor del proyecto hace las correcciones e interpretaciones necesarias para el cumplimiento del propósito de los documentos.</w:t>
      </w:r>
    </w:p>
    <w:p w14:paraId="4C2D9D01" w14:textId="77777777" w:rsidR="001A4860" w:rsidRPr="001A4860" w:rsidRDefault="001A4860" w:rsidP="001A4860">
      <w:pPr>
        <w:rPr>
          <w:sz w:val="22"/>
          <w:szCs w:val="22"/>
          <w:lang w:val="es-MX" w:bidi="en-US"/>
        </w:rPr>
      </w:pPr>
    </w:p>
    <w:p w14:paraId="0CED0D40" w14:textId="77777777" w:rsidR="001A4860" w:rsidRPr="001A4860" w:rsidRDefault="001A4860" w:rsidP="001A4860">
      <w:pPr>
        <w:rPr>
          <w:sz w:val="22"/>
          <w:szCs w:val="22"/>
          <w:lang w:val="es-MX" w:bidi="en-US"/>
        </w:rPr>
      </w:pPr>
      <w:r w:rsidRPr="001A4860">
        <w:rPr>
          <w:sz w:val="22"/>
          <w:szCs w:val="22"/>
          <w:lang w:val="es-MX" w:bidi="en-US"/>
        </w:rPr>
        <w:t>Si el contratista efectúa trabajos que requieren aclaraciones, consultas y/o cambios; sin haber recibido la autorización del Supervisor para proceder, el contratista asume el riesgo, responsabilidad y los costos que se generen.</w:t>
      </w:r>
    </w:p>
    <w:p w14:paraId="7D221A93" w14:textId="77777777" w:rsidR="001A4860" w:rsidRPr="001A4860" w:rsidRDefault="001A4860" w:rsidP="001A4860">
      <w:pPr>
        <w:rPr>
          <w:sz w:val="22"/>
          <w:szCs w:val="22"/>
          <w:lang w:val="es-MX" w:bidi="en-US"/>
        </w:rPr>
      </w:pPr>
    </w:p>
    <w:p w14:paraId="206280CD" w14:textId="77777777" w:rsidR="001A4860" w:rsidRPr="001A4860" w:rsidRDefault="001A4860" w:rsidP="001A4860">
      <w:pPr>
        <w:rPr>
          <w:sz w:val="22"/>
          <w:szCs w:val="22"/>
          <w:lang w:val="es-MX" w:bidi="en-US"/>
        </w:rPr>
      </w:pPr>
      <w:r w:rsidRPr="001A4860">
        <w:rPr>
          <w:sz w:val="22"/>
          <w:szCs w:val="22"/>
          <w:lang w:val="es-MX" w:bidi="en-US"/>
        </w:rPr>
        <w:t>Todos los materiales suministrados son nuevos de diseño corriente, hechura y calidad de primera clase.  Los trabajos de montaje y construcción son de primera clase.</w:t>
      </w:r>
    </w:p>
    <w:p w14:paraId="7DF3F4A3" w14:textId="77777777" w:rsidR="001A4860" w:rsidRPr="001A4860" w:rsidRDefault="001A4860" w:rsidP="001A4860">
      <w:pPr>
        <w:rPr>
          <w:sz w:val="22"/>
          <w:szCs w:val="22"/>
          <w:lang w:val="es-MX" w:bidi="en-US"/>
        </w:rPr>
      </w:pPr>
    </w:p>
    <w:p w14:paraId="12FD0BF3" w14:textId="77777777" w:rsidR="001A4860" w:rsidRPr="001A4860" w:rsidRDefault="001A4860" w:rsidP="001A4860">
      <w:pPr>
        <w:rPr>
          <w:sz w:val="22"/>
          <w:szCs w:val="22"/>
          <w:lang w:val="es-MX" w:bidi="en-US"/>
        </w:rPr>
      </w:pPr>
      <w:r w:rsidRPr="001A4860">
        <w:rPr>
          <w:sz w:val="22"/>
          <w:szCs w:val="22"/>
          <w:lang w:val="es-MX" w:bidi="en-US"/>
        </w:rPr>
        <w:t>Cuando de manera específica los planos indiquen materiales, artículos o normas se debe considerar la posibilidad de usar materiales, artículos o normas substitutas, siempre que sean de igual naturaleza y función. Si fuese el caso de efectuar tales cambios, los datos técnicos concernientes a dichos substitutos son sometidos a la aprobación del Ingeniero Supervisor.</w:t>
      </w:r>
    </w:p>
    <w:p w14:paraId="10C03123" w14:textId="77777777" w:rsidR="001A4860" w:rsidRPr="001A4860" w:rsidRDefault="001A4860" w:rsidP="001A4860">
      <w:pPr>
        <w:rPr>
          <w:sz w:val="22"/>
          <w:szCs w:val="22"/>
          <w:lang w:val="es-MX" w:bidi="en-US"/>
        </w:rPr>
      </w:pPr>
    </w:p>
    <w:p w14:paraId="3829C69C" w14:textId="77777777" w:rsidR="001A4860" w:rsidRPr="001A4860" w:rsidRDefault="001A4860" w:rsidP="001A4860">
      <w:pPr>
        <w:rPr>
          <w:sz w:val="22"/>
          <w:szCs w:val="22"/>
          <w:lang w:val="es-MX" w:bidi="en-US"/>
        </w:rPr>
      </w:pPr>
      <w:r w:rsidRPr="001A4860">
        <w:rPr>
          <w:sz w:val="22"/>
          <w:szCs w:val="22"/>
          <w:lang w:val="es-MX" w:bidi="en-US"/>
        </w:rPr>
        <w:lastRenderedPageBreak/>
        <w:t>Cualquier aclaración al contratista de parte del Ingeniero Residente y/o Supervisor es mediante comunicación escrita a través de bitácora.</w:t>
      </w:r>
    </w:p>
    <w:p w14:paraId="35B51FAC" w14:textId="77777777" w:rsidR="001A4860" w:rsidRPr="001A4860" w:rsidRDefault="001A4860" w:rsidP="001A4860">
      <w:pPr>
        <w:rPr>
          <w:sz w:val="22"/>
          <w:szCs w:val="22"/>
          <w:lang w:val="es-MX" w:bidi="en-US"/>
        </w:rPr>
      </w:pPr>
    </w:p>
    <w:p w14:paraId="008CCA87" w14:textId="77777777" w:rsidR="001A4860" w:rsidRPr="001A4860" w:rsidRDefault="001A4860" w:rsidP="001A4860">
      <w:pPr>
        <w:keepNext/>
        <w:ind w:left="720" w:hanging="720"/>
        <w:outlineLvl w:val="2"/>
        <w:rPr>
          <w:rFonts w:eastAsia="Arial Narrow"/>
          <w:b/>
          <w:bCs/>
          <w:iCs/>
          <w:sz w:val="22"/>
          <w:szCs w:val="22"/>
          <w:lang w:val="es-ES" w:bidi="en-US"/>
        </w:rPr>
      </w:pPr>
      <w:bookmarkStart w:id="848" w:name="_Toc23249446"/>
      <w:r w:rsidRPr="001A4860">
        <w:rPr>
          <w:rFonts w:eastAsia="Arial Narrow"/>
          <w:b/>
          <w:bCs/>
          <w:iCs/>
          <w:sz w:val="22"/>
          <w:szCs w:val="22"/>
          <w:lang w:val="es-ES" w:bidi="en-US"/>
        </w:rPr>
        <w:t>Inspección</w:t>
      </w:r>
      <w:bookmarkEnd w:id="848"/>
      <w:r w:rsidRPr="001A4860">
        <w:rPr>
          <w:rFonts w:eastAsia="Arial Narrow"/>
          <w:b/>
          <w:bCs/>
          <w:iCs/>
          <w:sz w:val="22"/>
          <w:szCs w:val="22"/>
          <w:lang w:val="es-ES" w:bidi="en-US"/>
        </w:rPr>
        <w:t xml:space="preserve"> </w:t>
      </w:r>
    </w:p>
    <w:p w14:paraId="344243A2" w14:textId="77777777" w:rsidR="001A4860" w:rsidRPr="001A4860" w:rsidRDefault="001A4860" w:rsidP="001A4860">
      <w:pPr>
        <w:rPr>
          <w:sz w:val="22"/>
          <w:szCs w:val="22"/>
          <w:lang w:val="es-MX" w:bidi="en-US"/>
        </w:rPr>
      </w:pPr>
    </w:p>
    <w:p w14:paraId="6D29663B" w14:textId="77777777" w:rsidR="001A4860" w:rsidRPr="001A4860" w:rsidRDefault="001A4860" w:rsidP="001A4860">
      <w:pPr>
        <w:rPr>
          <w:b/>
          <w:sz w:val="22"/>
          <w:szCs w:val="22"/>
          <w:lang w:val="es-MX" w:bidi="en-US"/>
        </w:rPr>
      </w:pPr>
      <w:r w:rsidRPr="001A4860">
        <w:rPr>
          <w:sz w:val="22"/>
          <w:szCs w:val="22"/>
          <w:lang w:val="es-MX" w:bidi="en-US"/>
        </w:rPr>
        <w:t>El Ingeniero Residente es el Representante del Contratista en las obras: Está autorizado para inspeccionar todo trabajo efectuado y la calidad de los materiales suministrados.</w:t>
      </w:r>
    </w:p>
    <w:p w14:paraId="6843DC9B" w14:textId="77777777" w:rsidR="001A4860" w:rsidRPr="001A4860" w:rsidRDefault="001A4860" w:rsidP="001A4860">
      <w:pPr>
        <w:rPr>
          <w:sz w:val="22"/>
          <w:szCs w:val="22"/>
          <w:lang w:val="es-MX" w:bidi="en-US"/>
        </w:rPr>
      </w:pPr>
    </w:p>
    <w:p w14:paraId="0E730F96" w14:textId="77777777" w:rsidR="001A4860" w:rsidRPr="001A4860" w:rsidRDefault="001A4860" w:rsidP="001A4860">
      <w:pPr>
        <w:rPr>
          <w:sz w:val="22"/>
          <w:szCs w:val="22"/>
          <w:lang w:val="es-MX" w:bidi="en-US"/>
        </w:rPr>
      </w:pPr>
      <w:r w:rsidRPr="001A4860">
        <w:rPr>
          <w:sz w:val="22"/>
          <w:szCs w:val="22"/>
          <w:lang w:val="es-MX" w:bidi="en-US"/>
        </w:rPr>
        <w:t>Tal inspección se extiende a todo o cualquier parte del trabajo. El Ingeniero y/o Supervisor está obligado a visitar asiduamente las obras para informar del progreso de las mismas y de la manera que éstas se estén ejecutando. Puede rechazar materiales y/u obras defectuosas y suspender el trabajo si éstos no cumplen los requisitos del contrato y las especificaciones. Puede llamar la atención del Contratista por cualquier otra violación por escrito en la bitácora.</w:t>
      </w:r>
    </w:p>
    <w:p w14:paraId="6F29A8D5" w14:textId="77777777" w:rsidR="001A4860" w:rsidRPr="001A4860" w:rsidRDefault="001A4860" w:rsidP="001A4860">
      <w:pPr>
        <w:rPr>
          <w:sz w:val="22"/>
          <w:szCs w:val="22"/>
          <w:lang w:val="es-MX" w:bidi="en-US"/>
        </w:rPr>
      </w:pPr>
      <w:r w:rsidRPr="001A4860">
        <w:rPr>
          <w:sz w:val="22"/>
          <w:szCs w:val="22"/>
          <w:lang w:val="es-MX" w:bidi="en-US"/>
        </w:rPr>
        <w:t>Al Ingeniero Supervisor, se le debe prestar todas las facilidades necesarias para determinar si los trabajos efectuados y los materiales usados están de acuerdo con los requerimientos y propósitos de los planos y especificaciones.</w:t>
      </w:r>
    </w:p>
    <w:p w14:paraId="2C3EEE30" w14:textId="77777777" w:rsidR="001A4860" w:rsidRPr="001A4860" w:rsidRDefault="001A4860" w:rsidP="001A4860">
      <w:pPr>
        <w:rPr>
          <w:sz w:val="22"/>
          <w:szCs w:val="22"/>
          <w:lang w:val="es-MX" w:bidi="en-US"/>
        </w:rPr>
      </w:pPr>
    </w:p>
    <w:p w14:paraId="05447631" w14:textId="77777777" w:rsidR="001A4860" w:rsidRPr="001A4860" w:rsidRDefault="001A4860" w:rsidP="001A4860">
      <w:pPr>
        <w:keepNext/>
        <w:ind w:left="720" w:hanging="720"/>
        <w:outlineLvl w:val="2"/>
        <w:rPr>
          <w:rFonts w:eastAsia="Arial Narrow"/>
          <w:b/>
          <w:bCs/>
          <w:iCs/>
          <w:sz w:val="22"/>
          <w:szCs w:val="22"/>
          <w:lang w:val="es-ES" w:bidi="en-US"/>
        </w:rPr>
      </w:pPr>
      <w:bookmarkStart w:id="849" w:name="_Toc23249447"/>
      <w:r w:rsidRPr="001A4860">
        <w:rPr>
          <w:rFonts w:eastAsia="Arial Narrow"/>
          <w:b/>
          <w:bCs/>
          <w:iCs/>
          <w:sz w:val="22"/>
          <w:szCs w:val="22"/>
          <w:lang w:val="es-ES" w:bidi="en-US"/>
        </w:rPr>
        <w:t>Trabajo defectuoso</w:t>
      </w:r>
      <w:bookmarkEnd w:id="849"/>
    </w:p>
    <w:p w14:paraId="2E76E59B" w14:textId="77777777" w:rsidR="001A4860" w:rsidRPr="001A4860" w:rsidRDefault="001A4860" w:rsidP="001A4860">
      <w:pPr>
        <w:rPr>
          <w:sz w:val="22"/>
          <w:szCs w:val="22"/>
          <w:lang w:val="es-MX" w:bidi="en-US"/>
        </w:rPr>
      </w:pPr>
    </w:p>
    <w:p w14:paraId="225340CE" w14:textId="77777777" w:rsidR="001A4860" w:rsidRPr="001A4860" w:rsidRDefault="001A4860" w:rsidP="001A4860">
      <w:pPr>
        <w:rPr>
          <w:sz w:val="22"/>
          <w:szCs w:val="22"/>
          <w:lang w:val="es-MX" w:bidi="en-US"/>
        </w:rPr>
      </w:pPr>
      <w:r w:rsidRPr="001A4860">
        <w:rPr>
          <w:sz w:val="22"/>
          <w:szCs w:val="22"/>
          <w:lang w:val="es-MX" w:bidi="en-US"/>
        </w:rPr>
        <w:t>Todo trabajo que ha sido rechazado es remediado satisfactoriamente por el Contratista de modo aceptable y sin ninguna compensación adicional.</w:t>
      </w:r>
    </w:p>
    <w:p w14:paraId="6EE9DBFA" w14:textId="77777777" w:rsidR="001A4860" w:rsidRPr="001A4860" w:rsidRDefault="001A4860" w:rsidP="001A4860">
      <w:pPr>
        <w:rPr>
          <w:b/>
          <w:sz w:val="22"/>
          <w:szCs w:val="22"/>
          <w:lang w:val="es-MX" w:bidi="en-US"/>
        </w:rPr>
      </w:pPr>
    </w:p>
    <w:p w14:paraId="1CA8E80E" w14:textId="77777777" w:rsidR="001A4860" w:rsidRPr="001A4860" w:rsidRDefault="001A4860" w:rsidP="001A4860">
      <w:pPr>
        <w:keepNext/>
        <w:ind w:left="720" w:hanging="720"/>
        <w:outlineLvl w:val="2"/>
        <w:rPr>
          <w:rFonts w:eastAsia="Arial Narrow"/>
          <w:b/>
          <w:bCs/>
          <w:iCs/>
          <w:sz w:val="22"/>
          <w:szCs w:val="22"/>
          <w:lang w:val="es-ES" w:bidi="en-US"/>
        </w:rPr>
      </w:pPr>
      <w:bookmarkStart w:id="850" w:name="_Toc23249448"/>
      <w:r w:rsidRPr="001A4860">
        <w:rPr>
          <w:rFonts w:eastAsia="Arial Narrow"/>
          <w:b/>
          <w:bCs/>
          <w:iCs/>
          <w:sz w:val="22"/>
          <w:szCs w:val="22"/>
          <w:lang w:val="es-ES" w:bidi="en-US"/>
        </w:rPr>
        <w:t>Aceptación de la obra</w:t>
      </w:r>
      <w:bookmarkEnd w:id="850"/>
    </w:p>
    <w:p w14:paraId="16DB19A9" w14:textId="77777777" w:rsidR="001A4860" w:rsidRPr="001A4860" w:rsidRDefault="001A4860" w:rsidP="001A4860">
      <w:pPr>
        <w:rPr>
          <w:sz w:val="22"/>
          <w:szCs w:val="22"/>
          <w:lang w:val="es-MX" w:bidi="en-US"/>
        </w:rPr>
      </w:pPr>
    </w:p>
    <w:p w14:paraId="6E742130" w14:textId="77777777" w:rsidR="001A4860" w:rsidRPr="001A4860" w:rsidRDefault="001A4860" w:rsidP="001A4860">
      <w:pPr>
        <w:rPr>
          <w:sz w:val="22"/>
          <w:szCs w:val="22"/>
          <w:lang w:val="es-MX" w:bidi="en-US"/>
        </w:rPr>
      </w:pPr>
      <w:r w:rsidRPr="001A4860">
        <w:rPr>
          <w:sz w:val="22"/>
          <w:szCs w:val="22"/>
          <w:lang w:val="es-MX" w:bidi="en-US"/>
        </w:rPr>
        <w:t>Cuando se terminen todos los trabajos comprendidos en la perforación del pozo, el Contratista solicita por escrito al ingeniero residente y/o supervisor del proyecto, una aceptación provisional de la obra. Ellos hacen una inspección y notifican al Contratista, por escrito, en bitácora todos los casos en que el trabajo presenta defectos o no se ajusta las especificaciones. En este caso el contratista suministra cualquier material adicional, mano de obra o equipos necesarios para reparar y completar el trabajo. Cuando en opinión del Residente y/o Supervisor del proyecto, el o los trabajos han sido terminado(s) satisfactoriamente, ellos notifican, por escrito, en bitácora y posteriormente emiten una certificación de aceptación definitiva.</w:t>
      </w:r>
    </w:p>
    <w:p w14:paraId="782A2280" w14:textId="77777777" w:rsidR="001A4860" w:rsidRPr="001A4860" w:rsidRDefault="001A4860" w:rsidP="001A4860">
      <w:pPr>
        <w:rPr>
          <w:sz w:val="22"/>
          <w:szCs w:val="22"/>
          <w:lang w:val="es-MX" w:bidi="en-US"/>
        </w:rPr>
      </w:pPr>
    </w:p>
    <w:p w14:paraId="037A7048" w14:textId="77777777" w:rsidR="001A4860" w:rsidRPr="001A4860" w:rsidRDefault="001A4860" w:rsidP="001A4860">
      <w:pPr>
        <w:keepNext/>
        <w:ind w:left="720" w:hanging="720"/>
        <w:outlineLvl w:val="2"/>
        <w:rPr>
          <w:rFonts w:eastAsia="Arial Narrow"/>
          <w:b/>
          <w:bCs/>
          <w:iCs/>
          <w:sz w:val="22"/>
          <w:szCs w:val="22"/>
          <w:lang w:val="es-ES" w:bidi="en-US"/>
        </w:rPr>
      </w:pPr>
      <w:bookmarkStart w:id="851" w:name="_Toc23249449"/>
      <w:r w:rsidRPr="001A4860">
        <w:rPr>
          <w:rFonts w:eastAsia="Arial Narrow"/>
          <w:b/>
          <w:bCs/>
          <w:iCs/>
          <w:sz w:val="22"/>
          <w:szCs w:val="22"/>
          <w:lang w:val="es-ES" w:bidi="en-US"/>
        </w:rPr>
        <w:t>Protección y mantenimiento de la obra</w:t>
      </w:r>
      <w:bookmarkEnd w:id="851"/>
    </w:p>
    <w:p w14:paraId="0B321D4D" w14:textId="77777777" w:rsidR="001A4860" w:rsidRPr="001A4860" w:rsidRDefault="001A4860" w:rsidP="001A4860">
      <w:pPr>
        <w:rPr>
          <w:sz w:val="22"/>
          <w:szCs w:val="22"/>
          <w:lang w:val="es-MX" w:bidi="en-US"/>
        </w:rPr>
      </w:pPr>
    </w:p>
    <w:p w14:paraId="1C9ACDB8" w14:textId="77777777" w:rsidR="001A4860" w:rsidRPr="001A4860" w:rsidRDefault="001A4860" w:rsidP="001A4860">
      <w:pPr>
        <w:rPr>
          <w:sz w:val="22"/>
          <w:szCs w:val="22"/>
          <w:lang w:val="es-MX" w:bidi="en-US"/>
        </w:rPr>
      </w:pPr>
      <w:r w:rsidRPr="001A4860">
        <w:rPr>
          <w:sz w:val="22"/>
          <w:szCs w:val="22"/>
          <w:lang w:val="es-MX" w:bidi="en-US"/>
        </w:rPr>
        <w:t>El contratista es responsable por la protección y mantenimiento de su trabajo hasta que se emita el certificado de aceptación final y repara y corrige cualquier daño causado a la obra por negligencia de él o sus empleados.</w:t>
      </w:r>
    </w:p>
    <w:p w14:paraId="79D2CEE7" w14:textId="77777777" w:rsidR="001A4860" w:rsidRPr="001A4860" w:rsidRDefault="001A4860" w:rsidP="001A4860">
      <w:pPr>
        <w:rPr>
          <w:sz w:val="22"/>
          <w:szCs w:val="22"/>
          <w:lang w:val="es-MX" w:bidi="en-US"/>
        </w:rPr>
      </w:pPr>
    </w:p>
    <w:p w14:paraId="27586390" w14:textId="77777777" w:rsidR="001A4860" w:rsidRPr="001A4860" w:rsidRDefault="001A4860" w:rsidP="001A4860">
      <w:pPr>
        <w:keepNext/>
        <w:ind w:left="720" w:hanging="720"/>
        <w:outlineLvl w:val="2"/>
        <w:rPr>
          <w:rFonts w:eastAsia="Arial Narrow"/>
          <w:b/>
          <w:bCs/>
          <w:iCs/>
          <w:sz w:val="22"/>
          <w:szCs w:val="22"/>
          <w:lang w:val="es-ES" w:bidi="en-US"/>
        </w:rPr>
      </w:pPr>
      <w:bookmarkStart w:id="852" w:name="_Toc23249450"/>
      <w:r w:rsidRPr="001A4860">
        <w:rPr>
          <w:rFonts w:eastAsia="Arial Narrow"/>
          <w:b/>
          <w:bCs/>
          <w:iCs/>
          <w:sz w:val="22"/>
          <w:szCs w:val="22"/>
          <w:lang w:val="es-ES" w:bidi="en-US"/>
        </w:rPr>
        <w:t>Suministro de agua</w:t>
      </w:r>
      <w:bookmarkEnd w:id="852"/>
    </w:p>
    <w:p w14:paraId="04F057AB" w14:textId="77777777" w:rsidR="001A4860" w:rsidRPr="001A4860" w:rsidRDefault="001A4860" w:rsidP="001A4860">
      <w:pPr>
        <w:rPr>
          <w:sz w:val="22"/>
          <w:szCs w:val="22"/>
          <w:lang w:val="es-MX" w:bidi="en-US"/>
        </w:rPr>
      </w:pPr>
    </w:p>
    <w:p w14:paraId="135FF21F" w14:textId="77777777" w:rsidR="001A4860" w:rsidRPr="001A4860" w:rsidRDefault="001A4860" w:rsidP="001A4860">
      <w:pPr>
        <w:rPr>
          <w:sz w:val="22"/>
          <w:szCs w:val="22"/>
          <w:lang w:val="es-MX" w:bidi="en-US"/>
        </w:rPr>
      </w:pPr>
      <w:r w:rsidRPr="001A4860">
        <w:rPr>
          <w:sz w:val="22"/>
          <w:szCs w:val="22"/>
          <w:lang w:val="es-MX" w:bidi="en-US"/>
        </w:rPr>
        <w:t>Toda el agua utilizada en la construcción de las obras, así como los medios de transporte de la misma, son suministrados por el equipo de perforación. El agua utilizada en la fabricación de las mezclas tiene que ser limpia de aceites, ácidos, materia orgánica y libre de otras sustancias.</w:t>
      </w:r>
    </w:p>
    <w:p w14:paraId="62D84F2C" w14:textId="77777777" w:rsidR="001A4860" w:rsidRPr="001A4860" w:rsidRDefault="001A4860" w:rsidP="001A4860">
      <w:pPr>
        <w:rPr>
          <w:sz w:val="22"/>
          <w:szCs w:val="22"/>
          <w:lang w:val="es-MX" w:bidi="en-US"/>
        </w:rPr>
      </w:pPr>
    </w:p>
    <w:p w14:paraId="1F6248DE" w14:textId="77777777" w:rsidR="001A4860" w:rsidRPr="001A4860" w:rsidRDefault="001A4860" w:rsidP="001A4860">
      <w:pPr>
        <w:keepNext/>
        <w:ind w:left="720" w:hanging="720"/>
        <w:outlineLvl w:val="2"/>
        <w:rPr>
          <w:rFonts w:eastAsia="Arial Narrow"/>
          <w:b/>
          <w:bCs/>
          <w:iCs/>
          <w:sz w:val="22"/>
          <w:szCs w:val="22"/>
          <w:lang w:val="es-ES" w:bidi="en-US"/>
        </w:rPr>
      </w:pPr>
      <w:bookmarkStart w:id="853" w:name="_Toc23249451"/>
      <w:r w:rsidRPr="001A4860">
        <w:rPr>
          <w:rFonts w:eastAsia="Arial Narrow"/>
          <w:b/>
          <w:bCs/>
          <w:iCs/>
          <w:sz w:val="22"/>
          <w:szCs w:val="22"/>
          <w:lang w:val="es-ES" w:bidi="en-US"/>
        </w:rPr>
        <w:t>Limpieza final y entrega</w:t>
      </w:r>
      <w:bookmarkEnd w:id="853"/>
    </w:p>
    <w:p w14:paraId="1892261F" w14:textId="77777777" w:rsidR="001A4860" w:rsidRPr="001A4860" w:rsidRDefault="001A4860" w:rsidP="001A4860">
      <w:pPr>
        <w:rPr>
          <w:sz w:val="22"/>
          <w:szCs w:val="22"/>
          <w:lang w:val="es-NI" w:bidi="en-US"/>
        </w:rPr>
      </w:pPr>
    </w:p>
    <w:p w14:paraId="39CD32F4" w14:textId="77777777" w:rsidR="001A4860" w:rsidRPr="001A4860" w:rsidRDefault="001A4860" w:rsidP="001A4860">
      <w:pPr>
        <w:rPr>
          <w:sz w:val="22"/>
          <w:szCs w:val="22"/>
          <w:lang w:val="es-NI" w:bidi="en-US"/>
        </w:rPr>
      </w:pPr>
      <w:r w:rsidRPr="001A4860">
        <w:rPr>
          <w:sz w:val="22"/>
          <w:szCs w:val="22"/>
          <w:lang w:val="es-NI" w:bidi="en-US"/>
        </w:rPr>
        <w:t>Finalizados todos las actividades y las obras, se procede a formular el acta de entrega y recepción final, en donde se anotan las características de la estructura del pozo, número de contrato, tiempo de ejecución dentro del programa de obra y presupuesto ejercido. Limpieza final y entrega.</w:t>
      </w:r>
    </w:p>
    <w:p w14:paraId="10287D41" w14:textId="77777777" w:rsidR="001A4860" w:rsidRPr="001A4860" w:rsidRDefault="001A4860" w:rsidP="001A4860">
      <w:pPr>
        <w:rPr>
          <w:sz w:val="22"/>
          <w:szCs w:val="22"/>
          <w:lang w:val="es-ES" w:eastAsia="es-ES"/>
        </w:rPr>
      </w:pPr>
    </w:p>
    <w:p w14:paraId="7C59EC71" w14:textId="77777777" w:rsidR="001A4860" w:rsidRPr="001A4860" w:rsidRDefault="001A4860" w:rsidP="001A4860">
      <w:pPr>
        <w:keepNext/>
        <w:keepLines/>
        <w:outlineLvl w:val="0"/>
        <w:rPr>
          <w:b/>
          <w:sz w:val="22"/>
          <w:szCs w:val="22"/>
          <w:lang w:val="es-ES" w:eastAsia="es-ES"/>
        </w:rPr>
      </w:pPr>
      <w:bookmarkStart w:id="854" w:name="_Toc23249452"/>
      <w:r w:rsidRPr="001A4860">
        <w:rPr>
          <w:b/>
          <w:sz w:val="22"/>
          <w:szCs w:val="22"/>
          <w:lang w:val="es-ES" w:eastAsia="es-ES"/>
        </w:rPr>
        <w:lastRenderedPageBreak/>
        <w:t>ESPECIFICACIONES TÉCNICAS PARA ESTACIÓN DE BOMBEO DE AGUA POTABLE</w:t>
      </w:r>
      <w:bookmarkEnd w:id="854"/>
    </w:p>
    <w:p w14:paraId="20D0B658" w14:textId="77777777" w:rsidR="001A4860" w:rsidRPr="001A4860" w:rsidRDefault="001A4860" w:rsidP="001A4860">
      <w:pPr>
        <w:rPr>
          <w:sz w:val="22"/>
          <w:szCs w:val="22"/>
          <w:lang w:val="es-ES" w:eastAsia="es-ES"/>
        </w:rPr>
      </w:pPr>
    </w:p>
    <w:p w14:paraId="01F01B39" w14:textId="77777777" w:rsidR="001A4860" w:rsidRPr="001A4860" w:rsidRDefault="001A4860" w:rsidP="001A4860">
      <w:pPr>
        <w:keepNext/>
        <w:outlineLvl w:val="1"/>
        <w:rPr>
          <w:rFonts w:eastAsia="Arial Narrow"/>
          <w:b/>
          <w:bCs/>
          <w:iCs/>
          <w:sz w:val="22"/>
          <w:szCs w:val="22"/>
          <w:lang w:val="es-NI"/>
        </w:rPr>
      </w:pPr>
      <w:bookmarkStart w:id="855" w:name="_Toc23249453"/>
      <w:r w:rsidRPr="001A4860">
        <w:rPr>
          <w:rFonts w:eastAsia="Arial Narrow"/>
          <w:b/>
          <w:bCs/>
          <w:iCs/>
          <w:sz w:val="22"/>
          <w:szCs w:val="22"/>
          <w:lang w:val="es-NI"/>
        </w:rPr>
        <w:t>Caseta de control</w:t>
      </w:r>
      <w:bookmarkEnd w:id="855"/>
    </w:p>
    <w:p w14:paraId="73511798" w14:textId="77777777" w:rsidR="001A4860" w:rsidRPr="001A4860" w:rsidRDefault="001A4860" w:rsidP="001A4860">
      <w:pPr>
        <w:rPr>
          <w:sz w:val="22"/>
          <w:szCs w:val="22"/>
          <w:lang w:val="es-ES" w:eastAsia="es-ES"/>
        </w:rPr>
      </w:pPr>
    </w:p>
    <w:p w14:paraId="090323C7" w14:textId="77777777" w:rsidR="001A4860" w:rsidRPr="001A4860" w:rsidRDefault="001A4860" w:rsidP="001A4860">
      <w:pPr>
        <w:keepNext/>
        <w:ind w:left="720" w:hanging="720"/>
        <w:outlineLvl w:val="2"/>
        <w:rPr>
          <w:rFonts w:eastAsia="Arial Narrow"/>
          <w:b/>
          <w:bCs/>
          <w:iCs/>
          <w:sz w:val="22"/>
          <w:szCs w:val="22"/>
          <w:lang w:val="es-ES" w:bidi="en-US"/>
        </w:rPr>
      </w:pPr>
      <w:bookmarkStart w:id="856" w:name="_Toc23249454"/>
      <w:r w:rsidRPr="001A4860">
        <w:rPr>
          <w:rFonts w:eastAsia="Arial Narrow"/>
          <w:b/>
          <w:bCs/>
          <w:iCs/>
          <w:sz w:val="22"/>
          <w:szCs w:val="22"/>
          <w:lang w:val="es-ES" w:bidi="en-US"/>
        </w:rPr>
        <w:t>Fundaciones</w:t>
      </w:r>
      <w:bookmarkEnd w:id="856"/>
    </w:p>
    <w:p w14:paraId="58802F95" w14:textId="77777777" w:rsidR="001A4860" w:rsidRPr="001A4860" w:rsidRDefault="001A4860" w:rsidP="001A4860">
      <w:pPr>
        <w:rPr>
          <w:sz w:val="22"/>
          <w:szCs w:val="22"/>
          <w:lang w:val="es-ES" w:eastAsia="es-ES"/>
        </w:rPr>
      </w:pPr>
    </w:p>
    <w:p w14:paraId="48AE3A00" w14:textId="77777777" w:rsidR="001A4860" w:rsidRPr="001A4860" w:rsidRDefault="001A4860" w:rsidP="001A4860">
      <w:pPr>
        <w:rPr>
          <w:sz w:val="22"/>
          <w:szCs w:val="22"/>
          <w:lang w:val="es-ES" w:eastAsia="es-ES"/>
        </w:rPr>
      </w:pPr>
      <w:r w:rsidRPr="001A4860">
        <w:rPr>
          <w:sz w:val="22"/>
          <w:szCs w:val="22"/>
          <w:lang w:val="es-ES" w:eastAsia="es-ES"/>
        </w:rPr>
        <w:t>En esta etapa van contempladas todas las sub-etapas concernientes a lo primero que se hace en las construcciones, una vez concluidas las terrazas donde se contemplan los niveles requeridos en los planos constructivos, es decir donde se inicia la construcción, se considera como fundaciones toda obra que queda subterránea o soterrada sirviéndole apoyo a las paredes y estructuras que componen la edificación.</w:t>
      </w:r>
    </w:p>
    <w:p w14:paraId="5EF3E7CB" w14:textId="77777777" w:rsidR="001A4860" w:rsidRPr="001A4860" w:rsidRDefault="001A4860" w:rsidP="001A4860">
      <w:pPr>
        <w:rPr>
          <w:sz w:val="22"/>
          <w:szCs w:val="22"/>
          <w:lang w:val="es-ES" w:eastAsia="es-ES"/>
        </w:rPr>
      </w:pPr>
    </w:p>
    <w:p w14:paraId="4E102FC3" w14:textId="77777777" w:rsidR="001A4860" w:rsidRPr="001A4860" w:rsidRDefault="001A4860" w:rsidP="001A4860">
      <w:pPr>
        <w:keepNext/>
        <w:ind w:left="720" w:hanging="720"/>
        <w:outlineLvl w:val="2"/>
        <w:rPr>
          <w:rFonts w:eastAsia="Arial Narrow"/>
          <w:b/>
          <w:bCs/>
          <w:iCs/>
          <w:sz w:val="22"/>
          <w:szCs w:val="22"/>
          <w:lang w:val="es-ES" w:bidi="en-US"/>
        </w:rPr>
      </w:pPr>
      <w:bookmarkStart w:id="857" w:name="_Toc23249455"/>
      <w:r w:rsidRPr="001A4860">
        <w:rPr>
          <w:rFonts w:eastAsia="Arial Narrow"/>
          <w:b/>
          <w:bCs/>
          <w:iCs/>
          <w:sz w:val="22"/>
          <w:szCs w:val="22"/>
          <w:lang w:val="es-ES" w:bidi="en-US"/>
        </w:rPr>
        <w:t>Excavacion estructural</w:t>
      </w:r>
      <w:bookmarkEnd w:id="857"/>
    </w:p>
    <w:p w14:paraId="5E051D96" w14:textId="77777777" w:rsidR="001A4860" w:rsidRPr="001A4860" w:rsidRDefault="001A4860" w:rsidP="001A4860">
      <w:pPr>
        <w:rPr>
          <w:sz w:val="22"/>
          <w:szCs w:val="22"/>
          <w:lang w:val="es-ES" w:eastAsia="es-ES"/>
        </w:rPr>
      </w:pPr>
    </w:p>
    <w:p w14:paraId="054CE3DB" w14:textId="77777777" w:rsidR="001A4860" w:rsidRPr="001A4860" w:rsidRDefault="001A4860" w:rsidP="001A4860">
      <w:pPr>
        <w:rPr>
          <w:sz w:val="22"/>
          <w:szCs w:val="22"/>
          <w:lang w:val="es-ES" w:eastAsia="es-ES"/>
        </w:rPr>
      </w:pPr>
      <w:r w:rsidRPr="001A4860">
        <w:rPr>
          <w:sz w:val="22"/>
          <w:szCs w:val="22"/>
          <w:lang w:val="es-ES" w:eastAsia="es-ES"/>
        </w:rPr>
        <w:t xml:space="preserve">Una vez efectuada la nivelación y el trazado de la obra, se inicia la excavación estructural, que comprende los trabajos de zanjeo donde se colara la viga asísmicas así como las zapatas y pedestales, el zanjeo para las vigas asísmicas que tengan un desplante menor a 0.50 metros el ancho de estas es de 0.20 metros mayor al ancho de la viga, para que se pueda colocar la formaleta, toda viga asísmicas debe llevar formaleta, no se permitirá al contratista eliminar la formaleta. </w:t>
      </w:r>
    </w:p>
    <w:p w14:paraId="71CDEC4C" w14:textId="77777777" w:rsidR="001A4860" w:rsidRPr="001A4860" w:rsidRDefault="001A4860" w:rsidP="001A4860">
      <w:pPr>
        <w:rPr>
          <w:sz w:val="22"/>
          <w:szCs w:val="22"/>
          <w:lang w:val="es-ES" w:eastAsia="es-ES"/>
        </w:rPr>
      </w:pPr>
    </w:p>
    <w:p w14:paraId="03EF121B" w14:textId="77777777" w:rsidR="001A4860" w:rsidRPr="001A4860" w:rsidRDefault="001A4860" w:rsidP="001A4860">
      <w:pPr>
        <w:rPr>
          <w:sz w:val="22"/>
          <w:szCs w:val="22"/>
          <w:lang w:val="es-ES" w:eastAsia="es-ES"/>
        </w:rPr>
      </w:pPr>
      <w:r w:rsidRPr="001A4860">
        <w:rPr>
          <w:sz w:val="22"/>
          <w:szCs w:val="22"/>
          <w:lang w:val="es-ES" w:eastAsia="es-ES"/>
        </w:rPr>
        <w:t>Para los casos que el desplante de la viga asísmicas sea mayor a los 0.50 metros el ancho de la zanja es de 0.30 metros mayor que el ancho de la viga asísmicas. Para la excavación de las zapatas el contratista las realiza de la dimensión apropiada, para poder colocar la formaleta respectiva.</w:t>
      </w:r>
    </w:p>
    <w:p w14:paraId="059637E8" w14:textId="77777777" w:rsidR="001A4860" w:rsidRPr="001A4860" w:rsidRDefault="001A4860" w:rsidP="001A4860">
      <w:pPr>
        <w:rPr>
          <w:sz w:val="22"/>
          <w:szCs w:val="22"/>
          <w:lang w:val="es-ES" w:eastAsia="es-ES"/>
        </w:rPr>
      </w:pPr>
    </w:p>
    <w:p w14:paraId="6EEB6531" w14:textId="77777777" w:rsidR="001A4860" w:rsidRPr="001A4860" w:rsidRDefault="001A4860" w:rsidP="001A4860">
      <w:pPr>
        <w:rPr>
          <w:sz w:val="22"/>
          <w:szCs w:val="22"/>
          <w:lang w:val="es-ES" w:eastAsia="es-ES"/>
        </w:rPr>
      </w:pPr>
      <w:r w:rsidRPr="001A4860">
        <w:rPr>
          <w:sz w:val="22"/>
          <w:szCs w:val="22"/>
          <w:lang w:val="es-ES" w:eastAsia="es-ES"/>
        </w:rPr>
        <w:t>La profundidad de las excavaciones debe de ser de la profundidad indicada en los planos en caso que el contratista, no de los desplantes indicados en los planos, el supervisor tiene que obligar al contratista a corregir el error el que correrá por cuenta del contratista.</w:t>
      </w:r>
    </w:p>
    <w:p w14:paraId="5796058E" w14:textId="77777777" w:rsidR="001A4860" w:rsidRPr="001A4860" w:rsidRDefault="001A4860" w:rsidP="001A4860">
      <w:pPr>
        <w:rPr>
          <w:sz w:val="22"/>
          <w:szCs w:val="22"/>
          <w:lang w:val="es-ES" w:eastAsia="es-ES"/>
        </w:rPr>
      </w:pPr>
    </w:p>
    <w:p w14:paraId="3160030F" w14:textId="77777777" w:rsidR="001A4860" w:rsidRPr="001A4860" w:rsidRDefault="001A4860" w:rsidP="001A4860">
      <w:pPr>
        <w:keepNext/>
        <w:ind w:left="720" w:hanging="720"/>
        <w:outlineLvl w:val="2"/>
        <w:rPr>
          <w:rFonts w:eastAsia="Arial Narrow"/>
          <w:b/>
          <w:bCs/>
          <w:iCs/>
          <w:sz w:val="22"/>
          <w:szCs w:val="22"/>
          <w:lang w:val="es-ES" w:bidi="en-US"/>
        </w:rPr>
      </w:pPr>
      <w:bookmarkStart w:id="858" w:name="_Toc23249456"/>
      <w:r w:rsidRPr="001A4860">
        <w:rPr>
          <w:rFonts w:eastAsia="Arial Narrow"/>
          <w:b/>
          <w:bCs/>
          <w:iCs/>
          <w:sz w:val="22"/>
          <w:szCs w:val="22"/>
          <w:lang w:val="es-ES" w:bidi="en-US"/>
        </w:rPr>
        <w:t>Relleno y compactacion</w:t>
      </w:r>
      <w:bookmarkEnd w:id="858"/>
    </w:p>
    <w:p w14:paraId="4B62348F" w14:textId="77777777" w:rsidR="001A4860" w:rsidRPr="001A4860" w:rsidRDefault="001A4860" w:rsidP="001A4860">
      <w:pPr>
        <w:rPr>
          <w:sz w:val="22"/>
          <w:szCs w:val="22"/>
          <w:lang w:val="es-ES" w:eastAsia="es-ES"/>
        </w:rPr>
      </w:pPr>
    </w:p>
    <w:p w14:paraId="11873130" w14:textId="77777777" w:rsidR="001A4860" w:rsidRPr="001A4860" w:rsidRDefault="001A4860" w:rsidP="001A4860">
      <w:pPr>
        <w:rPr>
          <w:sz w:val="22"/>
          <w:szCs w:val="22"/>
          <w:lang w:val="es-ES" w:eastAsia="es-ES"/>
        </w:rPr>
      </w:pPr>
      <w:r w:rsidRPr="001A4860">
        <w:rPr>
          <w:sz w:val="22"/>
          <w:szCs w:val="22"/>
          <w:lang w:val="es-ES" w:eastAsia="es-ES"/>
        </w:rPr>
        <w:t>Antes de colocar las formaletas el contratista debe de hacer una conformación del terreno, la que se obtiene emparejando el fondo del terreno ya sea cortando o rellenando hasta cinco centímetros de espesor.</w:t>
      </w:r>
    </w:p>
    <w:p w14:paraId="0A76ACBF" w14:textId="77777777" w:rsidR="001A4860" w:rsidRPr="001A4860" w:rsidRDefault="001A4860" w:rsidP="001A4860">
      <w:pPr>
        <w:rPr>
          <w:sz w:val="22"/>
          <w:szCs w:val="22"/>
          <w:lang w:val="es-ES" w:eastAsia="es-ES"/>
        </w:rPr>
      </w:pPr>
    </w:p>
    <w:p w14:paraId="05CDD89B" w14:textId="77777777" w:rsidR="001A4860" w:rsidRPr="001A4860" w:rsidRDefault="001A4860" w:rsidP="001A4860">
      <w:pPr>
        <w:rPr>
          <w:sz w:val="22"/>
          <w:szCs w:val="22"/>
          <w:lang w:val="es-ES" w:eastAsia="es-ES"/>
        </w:rPr>
      </w:pPr>
      <w:r w:rsidRPr="001A4860">
        <w:rPr>
          <w:sz w:val="22"/>
          <w:szCs w:val="22"/>
          <w:lang w:val="es-ES" w:eastAsia="es-ES"/>
        </w:rPr>
        <w:t xml:space="preserve">Una vez colado los elementos vigas asísmicas y zapatas de ejecutada las paredes por lo menos, las hiladas necesarias para obtener un nivel superior al nivel de suelo natural, el contratista procede al relleno de las zanjas o de las excavaciones y compactando todo material que haya rellenado. </w:t>
      </w:r>
    </w:p>
    <w:p w14:paraId="44FB7525" w14:textId="77777777" w:rsidR="001A4860" w:rsidRPr="001A4860" w:rsidRDefault="001A4860" w:rsidP="001A4860">
      <w:pPr>
        <w:rPr>
          <w:sz w:val="22"/>
          <w:szCs w:val="22"/>
          <w:lang w:val="es-ES" w:eastAsia="es-ES"/>
        </w:rPr>
      </w:pPr>
    </w:p>
    <w:p w14:paraId="7DC9E72D" w14:textId="77777777" w:rsidR="001A4860" w:rsidRPr="001A4860" w:rsidRDefault="001A4860" w:rsidP="001A4860">
      <w:pPr>
        <w:rPr>
          <w:sz w:val="22"/>
          <w:szCs w:val="22"/>
          <w:lang w:val="es-ES" w:eastAsia="es-ES"/>
        </w:rPr>
      </w:pPr>
      <w:r w:rsidRPr="001A4860">
        <w:rPr>
          <w:sz w:val="22"/>
          <w:szCs w:val="22"/>
          <w:lang w:val="es-ES" w:eastAsia="es-ES"/>
        </w:rPr>
        <w:t>El material de relleno debe ser depositado en capas de no más de 15 centímetros de espesor y ser compactado hasta un mínimo de 90 % proctor, cada capa debe procesarse controlando su contenido de humedad. Para el relleno se puede usar el mismo material producto de la excavación siempre y cuando no contenga arcilla, ni sustancias orgánicas, ni pétreas, en caso que este material contenga arcilla se debe usar material selecto para proceder al relleno.</w:t>
      </w:r>
    </w:p>
    <w:p w14:paraId="45B6A847" w14:textId="77777777" w:rsidR="001A4860" w:rsidRPr="001A4860" w:rsidRDefault="001A4860" w:rsidP="001A4860">
      <w:pPr>
        <w:rPr>
          <w:sz w:val="22"/>
          <w:szCs w:val="22"/>
          <w:lang w:val="es-ES" w:eastAsia="es-ES"/>
        </w:rPr>
      </w:pPr>
    </w:p>
    <w:p w14:paraId="0B627A3F" w14:textId="77777777" w:rsidR="001A4860" w:rsidRPr="001A4860" w:rsidRDefault="001A4860" w:rsidP="001A4860">
      <w:pPr>
        <w:rPr>
          <w:sz w:val="22"/>
          <w:szCs w:val="22"/>
          <w:lang w:val="es-ES" w:eastAsia="es-ES"/>
        </w:rPr>
      </w:pPr>
      <w:r w:rsidRPr="001A4860">
        <w:rPr>
          <w:sz w:val="22"/>
          <w:szCs w:val="22"/>
          <w:lang w:val="es-ES" w:eastAsia="es-ES"/>
        </w:rPr>
        <w:t xml:space="preserve">Cuando el relleno este formado por material selecto, este material se extraerá del banco más cercano y accesible. Para proceder a la colocación del material de relleno se deberá retirar, hasta no menos de 3.00 metros de perímetro del área a construir todo material no adecuado para fundación como material arcilloso tierra vegetal, basura etc. procediendo a escarificar y compactar. </w:t>
      </w:r>
    </w:p>
    <w:p w14:paraId="5BF87D2E" w14:textId="77777777" w:rsidR="001A4860" w:rsidRPr="001A4860" w:rsidRDefault="001A4860" w:rsidP="001A4860">
      <w:pPr>
        <w:rPr>
          <w:sz w:val="22"/>
          <w:szCs w:val="22"/>
          <w:lang w:val="es-ES" w:eastAsia="es-ES"/>
        </w:rPr>
      </w:pPr>
    </w:p>
    <w:p w14:paraId="66E733B0" w14:textId="77777777" w:rsidR="001A4860" w:rsidRPr="001A4860" w:rsidRDefault="001A4860" w:rsidP="001A4860">
      <w:pPr>
        <w:rPr>
          <w:sz w:val="22"/>
          <w:szCs w:val="22"/>
          <w:lang w:val="es-ES" w:eastAsia="es-ES"/>
        </w:rPr>
      </w:pPr>
      <w:r w:rsidRPr="001A4860">
        <w:rPr>
          <w:sz w:val="22"/>
          <w:szCs w:val="22"/>
          <w:lang w:val="es-ES" w:eastAsia="es-ES"/>
        </w:rPr>
        <w:t xml:space="preserve">Este relleno deberá compactarse en capas uniformes de 15 centímetros de espesor, hasta alcanzar una densidad del 90 % proctor de su densidad máxima como mínimo, en esta actividad no debe hacerse uso de equipo mecánico, al material a compactar se debe dar la humedad necesaria. </w:t>
      </w:r>
    </w:p>
    <w:p w14:paraId="4EB6C8F1" w14:textId="77777777" w:rsidR="001A4860" w:rsidRPr="001A4860" w:rsidRDefault="001A4860" w:rsidP="001A4860">
      <w:pPr>
        <w:rPr>
          <w:sz w:val="22"/>
          <w:szCs w:val="22"/>
          <w:lang w:val="es-ES" w:eastAsia="es-ES"/>
        </w:rPr>
      </w:pPr>
      <w:r w:rsidRPr="001A4860">
        <w:rPr>
          <w:sz w:val="22"/>
          <w:szCs w:val="22"/>
          <w:lang w:val="es-ES" w:eastAsia="es-ES"/>
        </w:rPr>
        <w:lastRenderedPageBreak/>
        <w:t>Es responsabilidad del contratista todo relleno defectuoso y reparara por su propia cuenta a cualquier porción fallada o que haya sido dañada por la lluvia, descuido o negligencia de su parte.</w:t>
      </w:r>
    </w:p>
    <w:p w14:paraId="5547B5DE" w14:textId="77777777" w:rsidR="001A4860" w:rsidRPr="001A4860" w:rsidRDefault="001A4860" w:rsidP="001A4860">
      <w:pPr>
        <w:rPr>
          <w:sz w:val="22"/>
          <w:szCs w:val="22"/>
          <w:lang w:val="es-ES" w:eastAsia="es-ES"/>
        </w:rPr>
      </w:pPr>
    </w:p>
    <w:p w14:paraId="3B18EA34" w14:textId="77777777" w:rsidR="001A4860" w:rsidRPr="001A4860" w:rsidRDefault="001A4860" w:rsidP="001A4860">
      <w:pPr>
        <w:keepNext/>
        <w:ind w:left="720" w:hanging="720"/>
        <w:outlineLvl w:val="2"/>
        <w:rPr>
          <w:rFonts w:eastAsia="Arial Narrow"/>
          <w:b/>
          <w:bCs/>
          <w:iCs/>
          <w:sz w:val="22"/>
          <w:szCs w:val="22"/>
          <w:lang w:val="es-ES" w:bidi="en-US"/>
        </w:rPr>
      </w:pPr>
      <w:bookmarkStart w:id="859" w:name="_Toc23249457"/>
      <w:r w:rsidRPr="001A4860">
        <w:rPr>
          <w:rFonts w:eastAsia="Arial Narrow"/>
          <w:b/>
          <w:bCs/>
          <w:iCs/>
          <w:sz w:val="22"/>
          <w:szCs w:val="22"/>
          <w:lang w:val="es-ES" w:bidi="en-US"/>
        </w:rPr>
        <w:t>Acero de refuerzo para fundaciones y estructuras de concreto</w:t>
      </w:r>
      <w:bookmarkEnd w:id="859"/>
    </w:p>
    <w:p w14:paraId="45DD9D97" w14:textId="77777777" w:rsidR="001A4860" w:rsidRPr="001A4860" w:rsidRDefault="001A4860" w:rsidP="001A4860">
      <w:pPr>
        <w:rPr>
          <w:sz w:val="22"/>
          <w:szCs w:val="22"/>
          <w:lang w:val="es-ES" w:eastAsia="es-ES"/>
        </w:rPr>
      </w:pPr>
    </w:p>
    <w:p w14:paraId="61F37562" w14:textId="77777777" w:rsidR="001A4860" w:rsidRPr="001A4860" w:rsidRDefault="001A4860" w:rsidP="001A4860">
      <w:pPr>
        <w:rPr>
          <w:sz w:val="22"/>
          <w:szCs w:val="22"/>
          <w:lang w:val="es-ES" w:eastAsia="es-ES"/>
        </w:rPr>
      </w:pPr>
      <w:r w:rsidRPr="001A4860">
        <w:rPr>
          <w:sz w:val="22"/>
          <w:szCs w:val="22"/>
          <w:lang w:val="es-ES" w:eastAsia="es-ES"/>
        </w:rPr>
        <w:t xml:space="preserve">a) El acero de refuerzo deberá cumplir con las especificaciones de la ASTM-A-615 Grado 40. con un límite de fluencia f'y =40,000 psi.a) El acero de refuerzo se limpiara de toda suciedad u oxido no adherente en estado avanzado.  Las barras se doblarán en frio, ajustándose a los planos y especificaciones del proyecto, sin errores mayores de (1) centímetro. </w:t>
      </w:r>
    </w:p>
    <w:p w14:paraId="53EB0E09" w14:textId="77777777" w:rsidR="001A4860" w:rsidRPr="001A4860" w:rsidRDefault="001A4860" w:rsidP="001A4860">
      <w:pPr>
        <w:rPr>
          <w:sz w:val="22"/>
          <w:szCs w:val="22"/>
          <w:lang w:val="es-ES" w:eastAsia="es-ES"/>
        </w:rPr>
      </w:pPr>
    </w:p>
    <w:p w14:paraId="7B865C83" w14:textId="77777777" w:rsidR="001A4860" w:rsidRPr="001A4860" w:rsidRDefault="001A4860" w:rsidP="001A4860">
      <w:pPr>
        <w:rPr>
          <w:sz w:val="22"/>
          <w:szCs w:val="22"/>
          <w:lang w:val="es-ES" w:eastAsia="es-ES"/>
        </w:rPr>
      </w:pPr>
      <w:r w:rsidRPr="001A4860">
        <w:rPr>
          <w:sz w:val="22"/>
          <w:szCs w:val="22"/>
          <w:lang w:val="es-ES" w:eastAsia="es-ES"/>
        </w:rPr>
        <w:t>b) Las barras se sujetarán a la formaleta con alambre recocido calibre18 o tacos de hormigón o piedra entre sí con ataduras de alambre de hierro dulce No. 18, de modo que no puedan desplazarse durante el chorreado del concreto y que esta pueda envolverlas completamente.</w:t>
      </w:r>
    </w:p>
    <w:p w14:paraId="6C980759" w14:textId="77777777" w:rsidR="001A4860" w:rsidRPr="001A4860" w:rsidRDefault="001A4860" w:rsidP="001A4860">
      <w:pPr>
        <w:rPr>
          <w:sz w:val="22"/>
          <w:szCs w:val="22"/>
          <w:lang w:val="es-ES" w:eastAsia="es-ES"/>
        </w:rPr>
      </w:pPr>
    </w:p>
    <w:p w14:paraId="1F5EC19E" w14:textId="77777777" w:rsidR="001A4860" w:rsidRPr="001A4860" w:rsidRDefault="001A4860" w:rsidP="001A4860">
      <w:pPr>
        <w:rPr>
          <w:sz w:val="22"/>
          <w:szCs w:val="22"/>
          <w:lang w:val="es-ES" w:eastAsia="es-ES"/>
        </w:rPr>
      </w:pPr>
      <w:r w:rsidRPr="001A4860">
        <w:rPr>
          <w:sz w:val="22"/>
          <w:szCs w:val="22"/>
          <w:lang w:val="es-ES" w:eastAsia="es-ES"/>
        </w:rPr>
        <w:t>c) Salvo indicación especial en los planos, las barras quedaran separadas de la superficie del hormigón por lo menos 5.0 centímetros en vigas asísmicas y pedestales 7.5 centímetros del nivel de desplante del suelo natural. La separación entre barras paralelas es como mínimo igual al diámetro o 1 y 1/3 del diámetro del mayor agregado grueso usado en dicho elemento.</w:t>
      </w:r>
    </w:p>
    <w:p w14:paraId="11368D9D" w14:textId="77777777" w:rsidR="001A4860" w:rsidRPr="001A4860" w:rsidRDefault="001A4860" w:rsidP="001A4860">
      <w:pPr>
        <w:rPr>
          <w:sz w:val="22"/>
          <w:szCs w:val="22"/>
          <w:lang w:val="es-ES" w:eastAsia="es-ES"/>
        </w:rPr>
      </w:pPr>
    </w:p>
    <w:p w14:paraId="74E370E3" w14:textId="77777777" w:rsidR="001A4860" w:rsidRPr="001A4860" w:rsidRDefault="001A4860" w:rsidP="001A4860">
      <w:pPr>
        <w:rPr>
          <w:sz w:val="22"/>
          <w:szCs w:val="22"/>
          <w:lang w:val="es-ES" w:eastAsia="es-ES"/>
        </w:rPr>
      </w:pPr>
      <w:r w:rsidRPr="001A4860">
        <w:rPr>
          <w:sz w:val="22"/>
          <w:szCs w:val="22"/>
          <w:lang w:val="es-ES" w:eastAsia="es-ES"/>
        </w:rPr>
        <w:t xml:space="preserve">d) La posición de las barras se ajustara a lo indicado en los planos de proyectos y las instrucciones del Ingeniero supervisor. Se revisara la correcta disposición del acero de refuerzo antes de proceder al chorreado del concreto y se anotara en la bitácora el registro de la obra, que al efecto llevara el constructor, todas las modificaciones de barras que se introduzcan, las cuales deberán ser supervisadas por la supervisor. </w:t>
      </w:r>
    </w:p>
    <w:p w14:paraId="546E9ECA" w14:textId="77777777" w:rsidR="001A4860" w:rsidRPr="001A4860" w:rsidRDefault="001A4860" w:rsidP="001A4860">
      <w:pPr>
        <w:rPr>
          <w:sz w:val="22"/>
          <w:szCs w:val="22"/>
          <w:lang w:val="es-ES" w:eastAsia="es-ES"/>
        </w:rPr>
      </w:pPr>
    </w:p>
    <w:p w14:paraId="32CE7BA2" w14:textId="77777777" w:rsidR="001A4860" w:rsidRPr="001A4860" w:rsidRDefault="001A4860" w:rsidP="001A4860">
      <w:pPr>
        <w:rPr>
          <w:sz w:val="22"/>
          <w:szCs w:val="22"/>
          <w:lang w:val="es-ES" w:eastAsia="es-ES"/>
        </w:rPr>
      </w:pPr>
      <w:r w:rsidRPr="001A4860">
        <w:rPr>
          <w:sz w:val="22"/>
          <w:szCs w:val="22"/>
          <w:lang w:val="es-ES" w:eastAsia="es-ES"/>
        </w:rPr>
        <w:t>e) Todas las barras se doblaran en frío. Ninguna barra parcialmente ahogada en concreto, se doblaran en el campo. Las barras en paquete están atadas fuertemente entre si formando una unidad. El contratista tiene la obligación de poner como varilla de refuerzo el diámetro indicado en los planos, en caso que el contratista ponga una varilla de refuerzo de menor diámetro tiene que demoler los elementos donde haya habido esta falla por cuenta y riesgo de el mismo. La obra debe quedar terminada como está indicado en los planos y en estas especificaciones.</w:t>
      </w:r>
    </w:p>
    <w:p w14:paraId="3669BDEF" w14:textId="77777777" w:rsidR="001A4860" w:rsidRPr="001A4860" w:rsidRDefault="001A4860" w:rsidP="001A4860">
      <w:pPr>
        <w:rPr>
          <w:sz w:val="22"/>
          <w:szCs w:val="22"/>
          <w:lang w:val="es-ES" w:eastAsia="es-ES"/>
        </w:rPr>
      </w:pPr>
    </w:p>
    <w:p w14:paraId="11A849A0" w14:textId="77777777" w:rsidR="001A4860" w:rsidRPr="001A4860" w:rsidRDefault="001A4860" w:rsidP="001A4860">
      <w:pPr>
        <w:rPr>
          <w:sz w:val="22"/>
          <w:szCs w:val="22"/>
          <w:lang w:val="es-ES" w:eastAsia="es-ES"/>
        </w:rPr>
      </w:pPr>
      <w:r w:rsidRPr="001A4860">
        <w:rPr>
          <w:sz w:val="22"/>
          <w:szCs w:val="22"/>
          <w:lang w:val="es-ES" w:eastAsia="es-ES"/>
        </w:rPr>
        <w:t>f) No se dispondrá, sin necesidad, de empalmes de barras no señaladas en los planos sin autorización del Ingeniero supervisor. En caso necesario, dispondrá donde la armadura trabaje a menos de dos tercios (2/3) de su tensión admisible, pudiendo ser por traslape siendo recomendado el traslape de bayoneta.</w:t>
      </w:r>
    </w:p>
    <w:p w14:paraId="001D43C3" w14:textId="77777777" w:rsidR="001A4860" w:rsidRPr="001A4860" w:rsidRDefault="001A4860" w:rsidP="001A4860">
      <w:pPr>
        <w:rPr>
          <w:sz w:val="22"/>
          <w:szCs w:val="22"/>
          <w:lang w:val="es-ES" w:eastAsia="es-ES"/>
        </w:rPr>
      </w:pPr>
    </w:p>
    <w:p w14:paraId="7DBD5200" w14:textId="77777777" w:rsidR="001A4860" w:rsidRPr="001A4860" w:rsidRDefault="001A4860" w:rsidP="001A4860">
      <w:pPr>
        <w:rPr>
          <w:sz w:val="22"/>
          <w:szCs w:val="22"/>
          <w:lang w:val="es-ES" w:eastAsia="es-ES"/>
        </w:rPr>
      </w:pPr>
      <w:r w:rsidRPr="001A4860">
        <w:rPr>
          <w:sz w:val="22"/>
          <w:szCs w:val="22"/>
          <w:lang w:val="es-ES" w:eastAsia="es-ES"/>
        </w:rPr>
        <w:t>g) Las juntas se distanciarán unas de otras, de manera que sus centros queden a más de cuarenta diámetros a lo largo de la pieza o según indicaciones en los planos.</w:t>
      </w:r>
    </w:p>
    <w:p w14:paraId="62FFB2C0" w14:textId="77777777" w:rsidR="001A4860" w:rsidRPr="001A4860" w:rsidRDefault="001A4860" w:rsidP="001A4860">
      <w:pPr>
        <w:rPr>
          <w:sz w:val="22"/>
          <w:szCs w:val="22"/>
          <w:lang w:val="es-ES" w:eastAsia="es-ES"/>
        </w:rPr>
      </w:pPr>
    </w:p>
    <w:p w14:paraId="0679556E" w14:textId="77777777" w:rsidR="001A4860" w:rsidRPr="001A4860" w:rsidRDefault="001A4860" w:rsidP="001A4860">
      <w:pPr>
        <w:rPr>
          <w:sz w:val="22"/>
          <w:szCs w:val="22"/>
          <w:lang w:val="es-ES" w:eastAsia="es-ES"/>
        </w:rPr>
      </w:pPr>
      <w:r w:rsidRPr="001A4860">
        <w:rPr>
          <w:sz w:val="22"/>
          <w:szCs w:val="22"/>
          <w:lang w:val="es-ES" w:eastAsia="es-ES"/>
        </w:rPr>
        <w:t>h) Cuando el Ingeniero supervisor permita el uso de espera, el diámetro de estas no deberá ser bajo ningún caso, menor que el diámetro del refuerzo principal.</w:t>
      </w:r>
    </w:p>
    <w:p w14:paraId="77CF2317" w14:textId="77777777" w:rsidR="001A4860" w:rsidRPr="001A4860" w:rsidRDefault="001A4860" w:rsidP="001A4860">
      <w:pPr>
        <w:rPr>
          <w:sz w:val="22"/>
          <w:szCs w:val="22"/>
          <w:lang w:val="es-ES" w:eastAsia="es-ES"/>
        </w:rPr>
      </w:pPr>
    </w:p>
    <w:p w14:paraId="60822A28" w14:textId="77777777" w:rsidR="001A4860" w:rsidRPr="001A4860" w:rsidRDefault="001A4860" w:rsidP="001A4860">
      <w:pPr>
        <w:keepNext/>
        <w:ind w:left="720" w:hanging="720"/>
        <w:outlineLvl w:val="2"/>
        <w:rPr>
          <w:rFonts w:eastAsia="Arial Narrow"/>
          <w:b/>
          <w:bCs/>
          <w:iCs/>
          <w:sz w:val="22"/>
          <w:szCs w:val="22"/>
          <w:lang w:val="es-ES" w:bidi="en-US"/>
        </w:rPr>
      </w:pPr>
      <w:bookmarkStart w:id="860" w:name="_Toc23249458"/>
      <w:r w:rsidRPr="001A4860">
        <w:rPr>
          <w:rFonts w:eastAsia="Arial Narrow"/>
          <w:b/>
          <w:bCs/>
          <w:iCs/>
          <w:sz w:val="22"/>
          <w:szCs w:val="22"/>
          <w:lang w:val="es-ES" w:bidi="en-US"/>
        </w:rPr>
        <w:t>Formaletas para fundaciones, de columnas y vigas</w:t>
      </w:r>
      <w:bookmarkEnd w:id="860"/>
    </w:p>
    <w:p w14:paraId="7C9823A8" w14:textId="77777777" w:rsidR="001A4860" w:rsidRPr="001A4860" w:rsidRDefault="001A4860" w:rsidP="001A4860">
      <w:pPr>
        <w:rPr>
          <w:sz w:val="22"/>
          <w:szCs w:val="22"/>
          <w:lang w:val="es-ES" w:eastAsia="es-ES"/>
        </w:rPr>
      </w:pPr>
    </w:p>
    <w:p w14:paraId="739CF025" w14:textId="77777777" w:rsidR="001A4860" w:rsidRPr="001A4860" w:rsidRDefault="001A4860" w:rsidP="001A4860">
      <w:pPr>
        <w:rPr>
          <w:sz w:val="22"/>
          <w:szCs w:val="22"/>
          <w:lang w:val="es-ES" w:eastAsia="es-ES"/>
        </w:rPr>
      </w:pPr>
      <w:r w:rsidRPr="001A4860">
        <w:rPr>
          <w:sz w:val="22"/>
          <w:szCs w:val="22"/>
          <w:lang w:val="es-ES" w:eastAsia="es-ES"/>
        </w:rPr>
        <w:t xml:space="preserve">a) Las formaletas con sus soportes tendrán la resistencia y rigidez necesarias para soportar el concreto, sin movimientos locales superiores a la milésima (0.001) de luz. Los apoyos estarán dispuestos de modo que en ningún momento se produzcan sobre la parte de la obra ya ejecutada, esfuerzos superiores al tercio (1/3) de los esfuerzos de diseño. </w:t>
      </w:r>
    </w:p>
    <w:p w14:paraId="66B5AF0E" w14:textId="77777777" w:rsidR="001A4860" w:rsidRPr="001A4860" w:rsidRDefault="001A4860" w:rsidP="001A4860">
      <w:pPr>
        <w:rPr>
          <w:sz w:val="22"/>
          <w:szCs w:val="22"/>
          <w:lang w:val="es-ES" w:eastAsia="es-ES"/>
        </w:rPr>
      </w:pPr>
    </w:p>
    <w:p w14:paraId="6309906A" w14:textId="77777777" w:rsidR="001A4860" w:rsidRPr="001A4860" w:rsidRDefault="001A4860" w:rsidP="001A4860">
      <w:pPr>
        <w:rPr>
          <w:sz w:val="22"/>
          <w:szCs w:val="22"/>
          <w:lang w:val="es-ES" w:eastAsia="es-ES"/>
        </w:rPr>
      </w:pPr>
      <w:r w:rsidRPr="001A4860">
        <w:rPr>
          <w:sz w:val="22"/>
          <w:szCs w:val="22"/>
          <w:lang w:val="es-ES" w:eastAsia="es-ES"/>
        </w:rPr>
        <w:t xml:space="preserve">Las juntas de las formaletas no dejaran rendijas de más de tres (3) milímetros, para evitar pérdidas de la lechada, pero deberán dejar el huelgo necesarios para evitar que por efecto   humedad durante el </w:t>
      </w:r>
      <w:r w:rsidRPr="001A4860">
        <w:rPr>
          <w:sz w:val="22"/>
          <w:szCs w:val="22"/>
          <w:lang w:val="es-ES" w:eastAsia="es-ES"/>
        </w:rPr>
        <w:lastRenderedPageBreak/>
        <w:t>hormigonado se comprima y deforme la formaleta. El contratista tiene la libertad de usar cualquier tipo de formaleta para las fundaciones, teniendo cuidado de cumplir con los requisitos de lo establecido en estas especificaciones.</w:t>
      </w:r>
    </w:p>
    <w:p w14:paraId="00F614AB" w14:textId="77777777" w:rsidR="001A4860" w:rsidRPr="001A4860" w:rsidRDefault="001A4860" w:rsidP="001A4860">
      <w:pPr>
        <w:rPr>
          <w:sz w:val="22"/>
          <w:szCs w:val="22"/>
          <w:lang w:val="es-ES" w:eastAsia="es-ES"/>
        </w:rPr>
      </w:pPr>
    </w:p>
    <w:p w14:paraId="7B8395A5" w14:textId="77777777" w:rsidR="001A4860" w:rsidRPr="001A4860" w:rsidRDefault="001A4860" w:rsidP="001A4860">
      <w:pPr>
        <w:rPr>
          <w:sz w:val="22"/>
          <w:szCs w:val="22"/>
          <w:lang w:val="es-ES" w:eastAsia="es-ES"/>
        </w:rPr>
      </w:pPr>
      <w:r w:rsidRPr="001A4860">
        <w:rPr>
          <w:sz w:val="22"/>
          <w:szCs w:val="22"/>
          <w:lang w:val="es-ES" w:eastAsia="es-ES"/>
        </w:rPr>
        <w:t>b) El descimbrado o desencofrado deberá hacerse de tal forma que no perjudique la completa seguridad y la durabilidad de la estructura.</w:t>
      </w:r>
    </w:p>
    <w:p w14:paraId="0210DD9F" w14:textId="77777777" w:rsidR="001A4860" w:rsidRPr="001A4860" w:rsidRDefault="001A4860" w:rsidP="001A4860">
      <w:pPr>
        <w:rPr>
          <w:sz w:val="22"/>
          <w:szCs w:val="22"/>
          <w:lang w:val="es-ES" w:eastAsia="es-ES"/>
        </w:rPr>
      </w:pPr>
    </w:p>
    <w:p w14:paraId="5C12D362" w14:textId="77777777" w:rsidR="001A4860" w:rsidRPr="001A4860" w:rsidRDefault="001A4860" w:rsidP="001A4860">
      <w:pPr>
        <w:rPr>
          <w:sz w:val="22"/>
          <w:szCs w:val="22"/>
          <w:lang w:val="es-ES" w:eastAsia="es-ES"/>
        </w:rPr>
      </w:pPr>
      <w:r w:rsidRPr="001A4860">
        <w:rPr>
          <w:sz w:val="22"/>
          <w:szCs w:val="22"/>
          <w:lang w:val="es-ES" w:eastAsia="es-ES"/>
        </w:rPr>
        <w:t>c) Durante la actividad de descimbrado o desencofre se cuidara de no dar golpes ni hacer esfuerzos que puedan perjudicar al concreto.</w:t>
      </w:r>
    </w:p>
    <w:p w14:paraId="59444067" w14:textId="77777777" w:rsidR="001A4860" w:rsidRPr="001A4860" w:rsidRDefault="001A4860" w:rsidP="001A4860">
      <w:pPr>
        <w:rPr>
          <w:sz w:val="22"/>
          <w:szCs w:val="22"/>
          <w:lang w:val="es-ES" w:eastAsia="es-ES"/>
        </w:rPr>
      </w:pPr>
    </w:p>
    <w:p w14:paraId="2A678C2E" w14:textId="77777777" w:rsidR="001A4860" w:rsidRPr="001A4860" w:rsidRDefault="001A4860" w:rsidP="001A4860">
      <w:pPr>
        <w:rPr>
          <w:sz w:val="22"/>
          <w:szCs w:val="22"/>
          <w:lang w:val="es-ES" w:eastAsia="es-ES"/>
        </w:rPr>
      </w:pPr>
      <w:r w:rsidRPr="001A4860">
        <w:rPr>
          <w:sz w:val="22"/>
          <w:szCs w:val="22"/>
          <w:lang w:val="es-ES" w:eastAsia="es-ES"/>
        </w:rPr>
        <w:t>e) El tiempo de descimbrado o desencofre es de 72 horas, para vigas asísmicas, zapatas, pedestales y fundaciones en general.</w:t>
      </w:r>
    </w:p>
    <w:p w14:paraId="6179959A" w14:textId="77777777" w:rsidR="001A4860" w:rsidRPr="001A4860" w:rsidRDefault="001A4860" w:rsidP="001A4860">
      <w:pPr>
        <w:rPr>
          <w:sz w:val="22"/>
          <w:szCs w:val="22"/>
          <w:lang w:val="es-ES" w:eastAsia="es-ES"/>
        </w:rPr>
      </w:pPr>
    </w:p>
    <w:p w14:paraId="106D2D6F" w14:textId="77777777" w:rsidR="001A4860" w:rsidRPr="001A4860" w:rsidRDefault="001A4860" w:rsidP="001A4860">
      <w:pPr>
        <w:rPr>
          <w:sz w:val="22"/>
          <w:szCs w:val="22"/>
          <w:lang w:val="es-ES" w:eastAsia="es-ES"/>
        </w:rPr>
      </w:pPr>
      <w:r w:rsidRPr="001A4860">
        <w:rPr>
          <w:sz w:val="22"/>
          <w:szCs w:val="22"/>
          <w:lang w:val="es-ES" w:eastAsia="es-ES"/>
        </w:rPr>
        <w:t>f) Para mejor trabajabilidad de las formaletas se usara en estas una película de aceite quemado en el encofrado para evitar descascaramientos de la superficie de concreto colado. A todas las fundaciones se les realiza formaleta, no se permitirá que las zapatas, vigas asísmicas y todos los elementos que forman las fundaciones, se cuelen sin formaleta, es decir no se permitirá colar solo con el zanjeo.</w:t>
      </w:r>
    </w:p>
    <w:p w14:paraId="4774B1CC" w14:textId="77777777" w:rsidR="001A4860" w:rsidRPr="001A4860" w:rsidRDefault="001A4860" w:rsidP="001A4860">
      <w:pPr>
        <w:rPr>
          <w:sz w:val="22"/>
          <w:szCs w:val="22"/>
          <w:lang w:val="es-ES" w:eastAsia="es-ES"/>
        </w:rPr>
      </w:pPr>
    </w:p>
    <w:p w14:paraId="62D5BAF8" w14:textId="77777777" w:rsidR="001A4860" w:rsidRPr="001A4860" w:rsidRDefault="001A4860" w:rsidP="001A4860">
      <w:pPr>
        <w:rPr>
          <w:sz w:val="22"/>
          <w:szCs w:val="22"/>
          <w:lang w:val="es-ES" w:eastAsia="es-ES"/>
        </w:rPr>
      </w:pPr>
      <w:r w:rsidRPr="001A4860">
        <w:rPr>
          <w:sz w:val="22"/>
          <w:szCs w:val="22"/>
          <w:lang w:val="es-ES" w:eastAsia="es-ES"/>
        </w:rPr>
        <w:t>h)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3C72B075" w14:textId="77777777" w:rsidR="001A4860" w:rsidRPr="001A4860" w:rsidRDefault="001A4860" w:rsidP="001A4860">
      <w:pPr>
        <w:rPr>
          <w:sz w:val="22"/>
          <w:szCs w:val="22"/>
          <w:lang w:val="es-ES" w:eastAsia="es-ES"/>
        </w:rPr>
      </w:pPr>
    </w:p>
    <w:p w14:paraId="16E855B8" w14:textId="77777777" w:rsidR="001A4860" w:rsidRPr="001A4860" w:rsidRDefault="001A4860" w:rsidP="001A4860">
      <w:pPr>
        <w:rPr>
          <w:sz w:val="22"/>
          <w:szCs w:val="22"/>
          <w:lang w:val="es-ES" w:eastAsia="es-ES"/>
        </w:rPr>
      </w:pPr>
      <w:r w:rsidRPr="001A4860">
        <w:rPr>
          <w:sz w:val="22"/>
          <w:szCs w:val="22"/>
          <w:lang w:val="es-ES" w:eastAsia="es-ES"/>
        </w:rPr>
        <w:t>i) Tiempo mínimo para retirar formaleta: 1) 72 horas para pedestales, vigas de fundación o asísmicas y zapatas de columnas y muros.</w:t>
      </w:r>
    </w:p>
    <w:p w14:paraId="6A2D25D2" w14:textId="77777777" w:rsidR="001A4860" w:rsidRPr="001A4860" w:rsidRDefault="001A4860" w:rsidP="001A4860">
      <w:pPr>
        <w:rPr>
          <w:sz w:val="22"/>
          <w:szCs w:val="22"/>
          <w:lang w:val="es-ES" w:eastAsia="es-ES"/>
        </w:rPr>
      </w:pPr>
    </w:p>
    <w:p w14:paraId="6110C90C" w14:textId="77777777" w:rsidR="001A4860" w:rsidRPr="001A4860" w:rsidRDefault="001A4860" w:rsidP="001A4860">
      <w:pPr>
        <w:rPr>
          <w:sz w:val="22"/>
          <w:szCs w:val="22"/>
          <w:lang w:val="es-ES" w:eastAsia="es-ES"/>
        </w:rPr>
      </w:pPr>
      <w:r w:rsidRPr="001A4860">
        <w:rPr>
          <w:sz w:val="22"/>
          <w:szCs w:val="22"/>
          <w:lang w:val="es-ES" w:eastAsia="es-ES"/>
        </w:rPr>
        <w:t>j) Se usará una película de aceite quemado o desmoldante, a criterio del Ingeniero supervisor, en el encofrado para evitar descascaramientos de la superficie de concreto colado. Cualquier tipo de material usado para formaleta, el área en contacto con el concreto tiene que ser lisa sin protuberancias, en caso de ser madera debe ser sin rajaduras que pongan en peligro de desperdiciar concreto a la hora de la colada.</w:t>
      </w:r>
    </w:p>
    <w:p w14:paraId="5BFDB071" w14:textId="77777777" w:rsidR="001A4860" w:rsidRPr="001A4860" w:rsidRDefault="001A4860" w:rsidP="001A4860">
      <w:pPr>
        <w:rPr>
          <w:sz w:val="22"/>
          <w:szCs w:val="22"/>
          <w:lang w:val="es-ES" w:eastAsia="es-ES"/>
        </w:rPr>
      </w:pPr>
    </w:p>
    <w:p w14:paraId="2E66CC26" w14:textId="77777777" w:rsidR="001A4860" w:rsidRPr="001A4860" w:rsidRDefault="001A4860" w:rsidP="001A4860">
      <w:pPr>
        <w:keepNext/>
        <w:ind w:left="720" w:hanging="720"/>
        <w:outlineLvl w:val="2"/>
        <w:rPr>
          <w:rFonts w:eastAsia="Arial Narrow"/>
          <w:b/>
          <w:bCs/>
          <w:iCs/>
          <w:sz w:val="22"/>
          <w:szCs w:val="22"/>
          <w:lang w:val="es-ES" w:bidi="en-US"/>
        </w:rPr>
      </w:pPr>
      <w:bookmarkStart w:id="861" w:name="_Toc23249459"/>
      <w:r w:rsidRPr="001A4860">
        <w:rPr>
          <w:rFonts w:eastAsia="Arial Narrow"/>
          <w:b/>
          <w:bCs/>
          <w:iCs/>
          <w:sz w:val="22"/>
          <w:szCs w:val="22"/>
          <w:lang w:val="es-ES" w:bidi="en-US"/>
        </w:rPr>
        <w:t>Concreto para fundaciones y estructura</w:t>
      </w:r>
      <w:bookmarkEnd w:id="861"/>
    </w:p>
    <w:p w14:paraId="38B29344" w14:textId="77777777" w:rsidR="001A4860" w:rsidRPr="001A4860" w:rsidRDefault="001A4860" w:rsidP="001A4860">
      <w:pPr>
        <w:rPr>
          <w:sz w:val="22"/>
          <w:szCs w:val="22"/>
          <w:lang w:val="es-ES" w:eastAsia="es-ES"/>
        </w:rPr>
      </w:pPr>
    </w:p>
    <w:p w14:paraId="35C859CA" w14:textId="77777777" w:rsidR="001A4860" w:rsidRPr="001A4860" w:rsidRDefault="001A4860" w:rsidP="001A4860">
      <w:pPr>
        <w:rPr>
          <w:sz w:val="22"/>
          <w:szCs w:val="22"/>
          <w:lang w:val="es-ES" w:eastAsia="es-ES"/>
        </w:rPr>
      </w:pPr>
      <w:r w:rsidRPr="001A4860">
        <w:rPr>
          <w:sz w:val="22"/>
          <w:szCs w:val="22"/>
          <w:lang w:val="es-ES" w:eastAsia="es-ES"/>
        </w:rPr>
        <w:t>a) La estructura ha sido diseñada para un hormigón que tenga una fatiga de ruptura mínima de 3,000 PSI de compresión a los 28 días decolado en la obra.</w:t>
      </w:r>
    </w:p>
    <w:p w14:paraId="62297C2A" w14:textId="77777777" w:rsidR="001A4860" w:rsidRPr="001A4860" w:rsidRDefault="001A4860" w:rsidP="001A4860">
      <w:pPr>
        <w:rPr>
          <w:sz w:val="22"/>
          <w:szCs w:val="22"/>
          <w:lang w:val="es-ES" w:eastAsia="es-ES"/>
        </w:rPr>
      </w:pPr>
    </w:p>
    <w:p w14:paraId="6C8D32AB" w14:textId="77777777" w:rsidR="001A4860" w:rsidRPr="001A4860" w:rsidRDefault="001A4860" w:rsidP="001A4860">
      <w:pPr>
        <w:rPr>
          <w:sz w:val="22"/>
          <w:szCs w:val="22"/>
          <w:lang w:val="es-ES" w:eastAsia="es-ES"/>
        </w:rPr>
      </w:pPr>
      <w:r w:rsidRPr="001A4860">
        <w:rPr>
          <w:sz w:val="22"/>
          <w:szCs w:val="22"/>
          <w:lang w:val="es-ES" w:eastAsia="es-ES"/>
        </w:rPr>
        <w:t>b) El proporcionamiento de los materiales para los diferentes tipos de concreto, deberán llevar el visto bueno del laboratorio de materiales autorizado, o con el visto bueno del Ingeniero supervisor. La mezcla deberá ser satisfactoriamente plástica y laborable con la resistencia requerida.</w:t>
      </w:r>
    </w:p>
    <w:p w14:paraId="7FDDBB09" w14:textId="77777777" w:rsidR="001A4860" w:rsidRPr="001A4860" w:rsidRDefault="001A4860" w:rsidP="001A4860">
      <w:pPr>
        <w:rPr>
          <w:sz w:val="22"/>
          <w:szCs w:val="22"/>
          <w:lang w:val="es-ES" w:eastAsia="es-ES"/>
        </w:rPr>
      </w:pPr>
    </w:p>
    <w:p w14:paraId="785D3E47" w14:textId="77777777" w:rsidR="001A4860" w:rsidRPr="001A4860" w:rsidRDefault="001A4860" w:rsidP="001A4860">
      <w:pPr>
        <w:rPr>
          <w:sz w:val="22"/>
          <w:szCs w:val="22"/>
          <w:lang w:val="es-ES" w:eastAsia="es-ES"/>
        </w:rPr>
      </w:pPr>
      <w:r w:rsidRPr="001A4860">
        <w:rPr>
          <w:sz w:val="22"/>
          <w:szCs w:val="22"/>
          <w:lang w:val="es-ES" w:eastAsia="es-ES"/>
        </w:rPr>
        <w:t>c) La mezcla deberá hacerse en una mezcladora mecánica con no menos de 11/2 minutos de revolución continua, una vez que todos los ingredientes hayan sido introducidos dentro de la mezcladora. Se completará la descarga de la mezcladora dentro de un periodo de 30 minutos después de la introducción del agua para la mezcla de cemento con los áridos.</w:t>
      </w:r>
    </w:p>
    <w:p w14:paraId="2C2B2D4B" w14:textId="77777777" w:rsidR="001A4860" w:rsidRPr="001A4860" w:rsidRDefault="001A4860" w:rsidP="001A4860">
      <w:pPr>
        <w:rPr>
          <w:sz w:val="22"/>
          <w:szCs w:val="22"/>
          <w:lang w:val="es-ES" w:eastAsia="es-ES"/>
        </w:rPr>
      </w:pPr>
    </w:p>
    <w:p w14:paraId="0F7567B2" w14:textId="77777777" w:rsidR="001A4860" w:rsidRPr="001A4860" w:rsidRDefault="001A4860" w:rsidP="001A4860">
      <w:pPr>
        <w:rPr>
          <w:sz w:val="22"/>
          <w:szCs w:val="22"/>
          <w:lang w:val="es-ES" w:eastAsia="es-ES"/>
        </w:rPr>
      </w:pPr>
      <w:r w:rsidRPr="001A4860">
        <w:rPr>
          <w:sz w:val="22"/>
          <w:szCs w:val="22"/>
          <w:lang w:val="es-ES" w:eastAsia="es-ES"/>
        </w:rPr>
        <w:t xml:space="preserve">d) El supervisor podrá autorizar la mezcla a mano de las partes de la obra cuando la cantidad de concreto a colar sea pequeña, debiendo hacerse entonces sobre una superficie impermeable (batea) primero logrando una mezcla de aspecto uniforme y agregando después el agua en pequeñas cantidades hasta obtener un producto homogéneo. Se tendrá especial cuidado durante la operación de no mezclar con tierra e impurezas. Se podrá usar este concreto para ser usado en elementos estructurales y fundaciones, siempre que el </w:t>
      </w:r>
      <w:r w:rsidRPr="001A4860">
        <w:rPr>
          <w:sz w:val="22"/>
          <w:szCs w:val="22"/>
          <w:lang w:val="es-ES" w:eastAsia="es-ES"/>
        </w:rPr>
        <w:lastRenderedPageBreak/>
        <w:t>contratista garantice su calidad con un testigo o cilindro de prueba para ser fracturado en un laboratorio de materiales.</w:t>
      </w:r>
    </w:p>
    <w:p w14:paraId="2617DC27" w14:textId="77777777" w:rsidR="001A4860" w:rsidRPr="001A4860" w:rsidRDefault="001A4860" w:rsidP="001A4860">
      <w:pPr>
        <w:rPr>
          <w:sz w:val="22"/>
          <w:szCs w:val="22"/>
          <w:lang w:val="es-ES" w:eastAsia="es-ES"/>
        </w:rPr>
      </w:pPr>
    </w:p>
    <w:p w14:paraId="7C657864" w14:textId="77777777" w:rsidR="001A4860" w:rsidRPr="001A4860" w:rsidRDefault="001A4860" w:rsidP="001A4860">
      <w:pPr>
        <w:rPr>
          <w:sz w:val="22"/>
          <w:szCs w:val="22"/>
          <w:lang w:val="es-ES" w:eastAsia="es-ES"/>
        </w:rPr>
      </w:pPr>
      <w:r w:rsidRPr="001A4860">
        <w:rPr>
          <w:sz w:val="22"/>
          <w:szCs w:val="22"/>
          <w:lang w:val="es-ES" w:eastAsia="es-ES"/>
        </w:rPr>
        <w:t>e) Si lo dispone el Ingeniero supervisor, de cada fundida el contratista realiza hasta dos cilindros de hormigón tomados de la mezcla que el supervisor aprueba y determinará su resistencia a los veintiocho (28) días por medio de ensayos efectuados en el laboratorio de Materiales autorizado.</w:t>
      </w:r>
    </w:p>
    <w:p w14:paraId="5BC88552" w14:textId="77777777" w:rsidR="001A4860" w:rsidRPr="001A4860" w:rsidRDefault="001A4860" w:rsidP="001A4860">
      <w:pPr>
        <w:rPr>
          <w:sz w:val="22"/>
          <w:szCs w:val="22"/>
          <w:lang w:val="es-ES" w:eastAsia="es-ES"/>
        </w:rPr>
      </w:pPr>
    </w:p>
    <w:p w14:paraId="36AF7155" w14:textId="77777777" w:rsidR="001A4860" w:rsidRPr="001A4860" w:rsidRDefault="001A4860" w:rsidP="001A4860">
      <w:pPr>
        <w:rPr>
          <w:sz w:val="22"/>
          <w:szCs w:val="22"/>
          <w:lang w:val="es-ES" w:eastAsia="es-ES"/>
        </w:rPr>
      </w:pPr>
      <w:r w:rsidRPr="001A4860">
        <w:rPr>
          <w:sz w:val="22"/>
          <w:szCs w:val="22"/>
          <w:lang w:val="es-ES" w:eastAsia="es-ES"/>
        </w:rPr>
        <w:t>f) Si los resultados de la ruptura de cilindros a los veintiocho (28) días fueren defectuosos en más de un 25% El Ingeniero supervisor rechazara la parte de la obra correspondiente.</w:t>
      </w:r>
    </w:p>
    <w:p w14:paraId="039B9BDB" w14:textId="77777777" w:rsidR="001A4860" w:rsidRPr="001A4860" w:rsidRDefault="001A4860" w:rsidP="001A4860">
      <w:pPr>
        <w:rPr>
          <w:sz w:val="22"/>
          <w:szCs w:val="22"/>
          <w:lang w:val="es-ES" w:eastAsia="es-ES"/>
        </w:rPr>
      </w:pPr>
    </w:p>
    <w:p w14:paraId="03B6C919" w14:textId="77777777" w:rsidR="001A4860" w:rsidRPr="001A4860" w:rsidRDefault="001A4860" w:rsidP="001A4860">
      <w:pPr>
        <w:rPr>
          <w:sz w:val="22"/>
          <w:szCs w:val="22"/>
          <w:lang w:val="es-ES" w:eastAsia="es-ES"/>
        </w:rPr>
      </w:pPr>
      <w:r w:rsidRPr="001A4860">
        <w:rPr>
          <w:sz w:val="22"/>
          <w:szCs w:val="22"/>
          <w:lang w:val="es-ES" w:eastAsia="es-ES"/>
        </w:rPr>
        <w:t>g) El concreto debe transportarse de la mezcladora al sitio final de colocación, empleando métodos que prevengan la segregación o pérdida de materiales.</w:t>
      </w:r>
    </w:p>
    <w:p w14:paraId="164D81D3" w14:textId="77777777" w:rsidR="001A4860" w:rsidRPr="001A4860" w:rsidRDefault="001A4860" w:rsidP="001A4860">
      <w:pPr>
        <w:rPr>
          <w:sz w:val="22"/>
          <w:szCs w:val="22"/>
          <w:lang w:val="es-ES" w:eastAsia="es-ES"/>
        </w:rPr>
      </w:pPr>
    </w:p>
    <w:p w14:paraId="367A48E8" w14:textId="77777777" w:rsidR="001A4860" w:rsidRPr="001A4860" w:rsidRDefault="001A4860" w:rsidP="001A4860">
      <w:pPr>
        <w:rPr>
          <w:sz w:val="22"/>
          <w:szCs w:val="22"/>
          <w:lang w:val="es-ES" w:eastAsia="es-ES"/>
        </w:rPr>
      </w:pPr>
      <w:r w:rsidRPr="001A4860">
        <w:rPr>
          <w:sz w:val="22"/>
          <w:szCs w:val="22"/>
          <w:lang w:val="es-ES" w:eastAsia="es-ES"/>
        </w:rPr>
        <w:t>h) El equipo de transporte debe ser capaz de llevar el suministro del concreto al sitio de colocación sin segregación y sin interrupciones que permitan la perdida de plasticidad entre colocados sucesivos.</w:t>
      </w:r>
    </w:p>
    <w:p w14:paraId="0C4BAA2D" w14:textId="77777777" w:rsidR="001A4860" w:rsidRPr="001A4860" w:rsidRDefault="001A4860" w:rsidP="001A4860">
      <w:pPr>
        <w:rPr>
          <w:sz w:val="22"/>
          <w:szCs w:val="22"/>
          <w:lang w:val="es-ES" w:eastAsia="es-ES"/>
        </w:rPr>
      </w:pPr>
    </w:p>
    <w:p w14:paraId="4DCC352C" w14:textId="77777777" w:rsidR="001A4860" w:rsidRPr="001A4860" w:rsidRDefault="001A4860" w:rsidP="001A4860">
      <w:pPr>
        <w:rPr>
          <w:sz w:val="22"/>
          <w:szCs w:val="22"/>
          <w:lang w:val="es-ES" w:eastAsia="es-ES"/>
        </w:rPr>
      </w:pPr>
      <w:r w:rsidRPr="001A4860">
        <w:rPr>
          <w:sz w:val="22"/>
          <w:szCs w:val="22"/>
          <w:lang w:val="es-ES" w:eastAsia="es-ES"/>
        </w:rPr>
        <w:t>i) El colado debe efectuarse a tal velocidad, que el concreto conserve su estado plástico en todo momento y fluya fácilmente dentro de los espacios entre las varillas.</w:t>
      </w:r>
    </w:p>
    <w:p w14:paraId="2E20B4FF" w14:textId="77777777" w:rsidR="001A4860" w:rsidRPr="001A4860" w:rsidRDefault="001A4860" w:rsidP="001A4860">
      <w:pPr>
        <w:rPr>
          <w:sz w:val="22"/>
          <w:szCs w:val="22"/>
          <w:lang w:val="es-ES" w:eastAsia="es-ES"/>
        </w:rPr>
      </w:pPr>
    </w:p>
    <w:p w14:paraId="37CC7693" w14:textId="77777777" w:rsidR="001A4860" w:rsidRPr="001A4860" w:rsidRDefault="001A4860" w:rsidP="001A4860">
      <w:pPr>
        <w:rPr>
          <w:sz w:val="22"/>
          <w:szCs w:val="22"/>
          <w:lang w:val="es-ES" w:eastAsia="es-ES"/>
        </w:rPr>
      </w:pPr>
      <w:r w:rsidRPr="001A4860">
        <w:rPr>
          <w:sz w:val="22"/>
          <w:szCs w:val="22"/>
          <w:lang w:val="es-ES" w:eastAsia="es-ES"/>
        </w:rPr>
        <w:t>j) Una vez iniciado el colado, este deberá efectuarse en una operación continua, hasta que termine el colado del tablero o la sección.</w:t>
      </w:r>
    </w:p>
    <w:p w14:paraId="39EDBA5F" w14:textId="77777777" w:rsidR="001A4860" w:rsidRPr="001A4860" w:rsidRDefault="001A4860" w:rsidP="001A4860">
      <w:pPr>
        <w:rPr>
          <w:sz w:val="22"/>
          <w:szCs w:val="22"/>
          <w:lang w:val="es-ES" w:eastAsia="es-ES"/>
        </w:rPr>
      </w:pPr>
    </w:p>
    <w:p w14:paraId="7013A799" w14:textId="77777777" w:rsidR="001A4860" w:rsidRPr="001A4860" w:rsidRDefault="001A4860" w:rsidP="001A4860">
      <w:pPr>
        <w:rPr>
          <w:sz w:val="22"/>
          <w:szCs w:val="22"/>
          <w:lang w:val="es-ES" w:eastAsia="es-ES"/>
        </w:rPr>
      </w:pPr>
      <w:r w:rsidRPr="001A4860">
        <w:rPr>
          <w:sz w:val="22"/>
          <w:szCs w:val="22"/>
          <w:lang w:val="es-ES" w:eastAsia="es-ES"/>
        </w:rPr>
        <w:t>k) El concreto que se haya endurecido parcialmente, o que se haya contaminado con materiales extraños, no debe colocarse en la estructura.</w:t>
      </w:r>
    </w:p>
    <w:p w14:paraId="3D1197A9" w14:textId="77777777" w:rsidR="001A4860" w:rsidRPr="001A4860" w:rsidRDefault="001A4860" w:rsidP="001A4860">
      <w:pPr>
        <w:rPr>
          <w:sz w:val="22"/>
          <w:szCs w:val="22"/>
          <w:lang w:val="es-ES" w:eastAsia="es-ES"/>
        </w:rPr>
      </w:pPr>
    </w:p>
    <w:p w14:paraId="66F40AA1" w14:textId="77777777" w:rsidR="001A4860" w:rsidRPr="001A4860" w:rsidRDefault="001A4860" w:rsidP="001A4860">
      <w:pPr>
        <w:rPr>
          <w:sz w:val="22"/>
          <w:szCs w:val="22"/>
          <w:lang w:val="es-ES" w:eastAsia="es-ES"/>
        </w:rPr>
      </w:pPr>
      <w:r w:rsidRPr="001A4860">
        <w:rPr>
          <w:sz w:val="22"/>
          <w:szCs w:val="22"/>
          <w:lang w:val="es-ES" w:eastAsia="es-ES"/>
        </w:rPr>
        <w:t xml:space="preserve">l) 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cuidará de mantener continuamente húmeda y arriba de los diez grados centígrados, la superficie del concreto. </w:t>
      </w:r>
    </w:p>
    <w:p w14:paraId="3B48B355" w14:textId="77777777" w:rsidR="001A4860" w:rsidRPr="001A4860" w:rsidRDefault="001A4860" w:rsidP="001A4860">
      <w:pPr>
        <w:rPr>
          <w:sz w:val="22"/>
          <w:szCs w:val="22"/>
          <w:lang w:val="es-ES" w:eastAsia="es-ES"/>
        </w:rPr>
      </w:pPr>
    </w:p>
    <w:p w14:paraId="6F148C7B" w14:textId="77777777" w:rsidR="001A4860" w:rsidRPr="001A4860" w:rsidRDefault="001A4860" w:rsidP="001A4860">
      <w:pPr>
        <w:rPr>
          <w:sz w:val="22"/>
          <w:szCs w:val="22"/>
          <w:lang w:val="es-ES" w:eastAsia="es-ES"/>
        </w:rPr>
      </w:pPr>
      <w:r w:rsidRPr="001A4860">
        <w:rPr>
          <w:sz w:val="22"/>
          <w:szCs w:val="22"/>
          <w:lang w:val="es-ES" w:eastAsia="es-ES"/>
        </w:rPr>
        <w:t xml:space="preserve">m)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w:t>
      </w:r>
    </w:p>
    <w:p w14:paraId="025E4B44" w14:textId="77777777" w:rsidR="001A4860" w:rsidRPr="001A4860" w:rsidRDefault="001A4860" w:rsidP="001A4860">
      <w:pPr>
        <w:rPr>
          <w:sz w:val="22"/>
          <w:szCs w:val="22"/>
          <w:lang w:val="es-ES" w:eastAsia="es-ES"/>
        </w:rPr>
      </w:pPr>
    </w:p>
    <w:p w14:paraId="767A177D" w14:textId="77777777" w:rsidR="001A4860" w:rsidRPr="001A4860" w:rsidRDefault="001A4860" w:rsidP="001A4860">
      <w:pPr>
        <w:rPr>
          <w:sz w:val="22"/>
          <w:szCs w:val="22"/>
          <w:lang w:val="es-ES" w:eastAsia="es-ES"/>
        </w:rPr>
      </w:pPr>
      <w:r w:rsidRPr="001A4860">
        <w:rPr>
          <w:sz w:val="22"/>
          <w:szCs w:val="22"/>
          <w:lang w:val="es-ES" w:eastAsia="es-ES"/>
        </w:rPr>
        <w:t>El descimbrado deberá hacerse de tal forma que no perjudique la completa seguridad y la durabilidad de la estructura.</w:t>
      </w:r>
    </w:p>
    <w:p w14:paraId="44E4018F" w14:textId="77777777" w:rsidR="001A4860" w:rsidRPr="001A4860" w:rsidRDefault="001A4860" w:rsidP="001A4860">
      <w:pPr>
        <w:rPr>
          <w:sz w:val="22"/>
          <w:szCs w:val="22"/>
          <w:lang w:val="es-ES" w:eastAsia="es-ES"/>
        </w:rPr>
      </w:pPr>
    </w:p>
    <w:p w14:paraId="7A1CB21F" w14:textId="77777777" w:rsidR="001A4860" w:rsidRPr="001A4860" w:rsidRDefault="001A4860" w:rsidP="001A4860">
      <w:pPr>
        <w:rPr>
          <w:sz w:val="22"/>
          <w:szCs w:val="22"/>
          <w:lang w:val="es-ES" w:eastAsia="es-ES"/>
        </w:rPr>
      </w:pPr>
      <w:r w:rsidRPr="001A4860">
        <w:rPr>
          <w:sz w:val="22"/>
          <w:szCs w:val="22"/>
          <w:lang w:val="es-ES" w:eastAsia="es-ES"/>
        </w:rPr>
        <w:t>El concreto que se descimbre debe ser suficientemente resistente para no sufrir daños posteriores. Durante la actividad de descimbrar se cuidara de no dar golpes ni hacer esfuerzos que puedan perjudicar al concreto.</w:t>
      </w:r>
    </w:p>
    <w:p w14:paraId="39EA5409" w14:textId="77777777" w:rsidR="001A4860" w:rsidRPr="001A4860" w:rsidRDefault="001A4860" w:rsidP="001A4860">
      <w:pPr>
        <w:rPr>
          <w:sz w:val="22"/>
          <w:szCs w:val="22"/>
          <w:lang w:val="es-ES" w:eastAsia="es-ES"/>
        </w:rPr>
      </w:pPr>
    </w:p>
    <w:p w14:paraId="6DA6B203" w14:textId="77777777" w:rsidR="001A4860" w:rsidRPr="001A4860" w:rsidRDefault="001A4860" w:rsidP="001A4860">
      <w:pPr>
        <w:rPr>
          <w:sz w:val="22"/>
          <w:szCs w:val="22"/>
          <w:lang w:val="es-ES" w:eastAsia="es-ES"/>
        </w:rPr>
      </w:pPr>
      <w:r w:rsidRPr="001A4860">
        <w:rPr>
          <w:sz w:val="22"/>
          <w:szCs w:val="22"/>
          <w:lang w:val="es-ES" w:eastAsia="es-ES"/>
        </w:rPr>
        <w:t xml:space="preserve">En ningún momento se permitirá cargar la estructura, con almacenamiento de materiales, equipos de construcción o cualquier otro tipo de sobrecarga extraordinaria. Cuando se haga una junta, la superficie de concreto debe limpiarse completamente y removerse toda la nata y el agua estancada. </w:t>
      </w:r>
    </w:p>
    <w:p w14:paraId="2F0807A4" w14:textId="77777777" w:rsidR="001A4860" w:rsidRPr="001A4860" w:rsidRDefault="001A4860" w:rsidP="001A4860">
      <w:pPr>
        <w:rPr>
          <w:sz w:val="22"/>
          <w:szCs w:val="22"/>
          <w:lang w:val="es-ES" w:eastAsia="es-ES"/>
        </w:rPr>
      </w:pPr>
    </w:p>
    <w:p w14:paraId="6219DD71" w14:textId="77777777" w:rsidR="001A4860" w:rsidRPr="001A4860" w:rsidRDefault="001A4860" w:rsidP="001A4860">
      <w:pPr>
        <w:rPr>
          <w:sz w:val="22"/>
          <w:szCs w:val="22"/>
          <w:lang w:val="es-ES" w:eastAsia="es-ES"/>
        </w:rPr>
      </w:pPr>
      <w:r w:rsidRPr="001A4860">
        <w:rPr>
          <w:sz w:val="22"/>
          <w:szCs w:val="22"/>
          <w:lang w:val="es-ES" w:eastAsia="es-ES"/>
        </w:rPr>
        <w:t xml:space="preserve">Las juntas de colado vertical también deberán humedecerse completamente y cubrirse con una lechada de cemento limpio, inmediatamente antes de colocarse el concreto nuevo. Las juntas de colado no indicadas en los planos de diseño deberán hacerse y localizarse de tal forma que no afecten significativamente la </w:t>
      </w:r>
      <w:r w:rsidRPr="001A4860">
        <w:rPr>
          <w:sz w:val="22"/>
          <w:szCs w:val="22"/>
          <w:lang w:val="es-ES" w:eastAsia="es-ES"/>
        </w:rPr>
        <w:lastRenderedPageBreak/>
        <w:t>resistencia de la estructura. Al realizar la junta, se toman las debidas precauciones para que esta sea capaz de trasmitir el cortante y otras fuerzas.</w:t>
      </w:r>
    </w:p>
    <w:p w14:paraId="1551211A" w14:textId="77777777" w:rsidR="001A4860" w:rsidRPr="001A4860" w:rsidRDefault="001A4860" w:rsidP="001A4860">
      <w:pPr>
        <w:rPr>
          <w:sz w:val="22"/>
          <w:szCs w:val="22"/>
          <w:lang w:val="es-ES" w:eastAsia="es-ES"/>
        </w:rPr>
      </w:pPr>
    </w:p>
    <w:p w14:paraId="646FAF3F" w14:textId="77777777" w:rsidR="001A4860" w:rsidRPr="001A4860" w:rsidRDefault="001A4860" w:rsidP="001A4860">
      <w:pPr>
        <w:rPr>
          <w:sz w:val="22"/>
          <w:szCs w:val="22"/>
          <w:lang w:val="es-ES" w:eastAsia="es-ES"/>
        </w:rPr>
      </w:pPr>
      <w:r w:rsidRPr="001A4860">
        <w:rPr>
          <w:sz w:val="22"/>
          <w:szCs w:val="22"/>
          <w:lang w:val="es-ES" w:eastAsia="es-ES"/>
        </w:rPr>
        <w:t xml:space="preserve">En caso que el Ingeniero supervisor encuentre partes de la estructura con defectos o que no den la resistencia que se requiere, el contratista demolerá, la obra y la construirá de nuevo por su cuenta. Si el nivel de desplante fuere arcilloso, zonzocuitoso, o de pómez, el contratista antes de colar la estructura debe poner un filtro de piedra bolón con junta de mortero con relación 1:3 y con el espesor indicado en los planos.  </w:t>
      </w:r>
    </w:p>
    <w:p w14:paraId="2BA2E4B2" w14:textId="77777777" w:rsidR="001A4860" w:rsidRPr="001A4860" w:rsidRDefault="001A4860" w:rsidP="001A4860">
      <w:pPr>
        <w:rPr>
          <w:sz w:val="22"/>
          <w:szCs w:val="22"/>
          <w:lang w:val="es-ES" w:eastAsia="es-ES"/>
        </w:rPr>
      </w:pPr>
    </w:p>
    <w:p w14:paraId="232C4E38" w14:textId="77777777" w:rsidR="001A4860" w:rsidRPr="001A4860" w:rsidRDefault="001A4860" w:rsidP="001A4860">
      <w:pPr>
        <w:rPr>
          <w:sz w:val="22"/>
          <w:szCs w:val="22"/>
          <w:lang w:val="es-ES" w:eastAsia="es-ES"/>
        </w:rPr>
      </w:pPr>
      <w:r w:rsidRPr="001A4860">
        <w:rPr>
          <w:sz w:val="22"/>
          <w:szCs w:val="22"/>
          <w:lang w:val="es-ES" w:eastAsia="es-ES"/>
        </w:rPr>
        <w:t>n) Las juntas de colado no indicadas en los planos de diseño deberán hacerse y localizarse de tal forma que no afecten significativamente la resistencia de la estructura. Al realizar la junta, se tomaran las debidas precauciones para que esta sea capaz de trasmitir el cortante y otras fuerzas.</w:t>
      </w:r>
    </w:p>
    <w:p w14:paraId="75C16DBE" w14:textId="77777777" w:rsidR="001A4860" w:rsidRPr="001A4860" w:rsidRDefault="001A4860" w:rsidP="001A4860">
      <w:pPr>
        <w:rPr>
          <w:sz w:val="22"/>
          <w:szCs w:val="22"/>
          <w:lang w:val="es-ES" w:eastAsia="es-ES"/>
        </w:rPr>
      </w:pPr>
    </w:p>
    <w:p w14:paraId="189C0318" w14:textId="77777777" w:rsidR="001A4860" w:rsidRPr="001A4860" w:rsidRDefault="001A4860" w:rsidP="001A4860">
      <w:pPr>
        <w:rPr>
          <w:sz w:val="22"/>
          <w:szCs w:val="22"/>
          <w:lang w:val="es-ES" w:eastAsia="es-ES"/>
        </w:rPr>
      </w:pPr>
      <w:r w:rsidRPr="001A4860">
        <w:rPr>
          <w:sz w:val="22"/>
          <w:szCs w:val="22"/>
          <w:lang w:val="es-ES" w:eastAsia="es-ES"/>
        </w:rPr>
        <w:t>ñ) El concreto que se haya endurecido parcialmente, o que se haya contaminado con materiales extraños, no debe colocarse en la estructura.</w:t>
      </w:r>
    </w:p>
    <w:p w14:paraId="342F66F1" w14:textId="77777777" w:rsidR="001A4860" w:rsidRPr="001A4860" w:rsidRDefault="001A4860" w:rsidP="001A4860">
      <w:pPr>
        <w:rPr>
          <w:sz w:val="22"/>
          <w:szCs w:val="22"/>
          <w:lang w:val="es-ES" w:eastAsia="es-ES"/>
        </w:rPr>
      </w:pPr>
    </w:p>
    <w:p w14:paraId="198D005F" w14:textId="77777777" w:rsidR="001A4860" w:rsidRPr="001A4860" w:rsidRDefault="001A4860" w:rsidP="001A4860">
      <w:pPr>
        <w:rPr>
          <w:sz w:val="22"/>
          <w:szCs w:val="22"/>
          <w:lang w:val="es-ES" w:eastAsia="es-ES"/>
        </w:rPr>
      </w:pPr>
      <w:r w:rsidRPr="001A4860">
        <w:rPr>
          <w:sz w:val="22"/>
          <w:szCs w:val="22"/>
          <w:lang w:val="es-ES" w:eastAsia="es-ES"/>
        </w:rPr>
        <w:t>o) Durante la colocación, todo concreto en estado blando deberá compactarse preferentemente con vibrador para que pueda acomodarse enteramente alrededor del refuerzo y de las instalaciones ahogadas. Se permite realizar el apisonado con barras en forma de espátulas, insistiendo en cada punto lo necesario para que el concreto macice todos los huecos. Se cuidara de mantener continuamente húmedo y arriba de los 10 grados centígrados la superficie de concreto, mojándola durante 15 días cuatro veces por día.</w:t>
      </w:r>
    </w:p>
    <w:p w14:paraId="515407AA" w14:textId="77777777" w:rsidR="001A4860" w:rsidRPr="001A4860" w:rsidRDefault="001A4860" w:rsidP="001A4860">
      <w:pPr>
        <w:rPr>
          <w:sz w:val="22"/>
          <w:szCs w:val="22"/>
          <w:lang w:val="es-ES" w:eastAsia="es-ES"/>
        </w:rPr>
      </w:pPr>
    </w:p>
    <w:p w14:paraId="1FB6E5B8" w14:textId="77777777" w:rsidR="001A4860" w:rsidRPr="001A4860" w:rsidRDefault="001A4860" w:rsidP="001A4860">
      <w:pPr>
        <w:keepNext/>
        <w:ind w:left="720" w:hanging="720"/>
        <w:outlineLvl w:val="2"/>
        <w:rPr>
          <w:rFonts w:eastAsia="Arial Narrow"/>
          <w:b/>
          <w:bCs/>
          <w:iCs/>
          <w:sz w:val="22"/>
          <w:szCs w:val="22"/>
          <w:lang w:val="es-ES" w:bidi="en-US"/>
        </w:rPr>
      </w:pPr>
      <w:bookmarkStart w:id="862" w:name="_Toc23249460"/>
      <w:r w:rsidRPr="001A4860">
        <w:rPr>
          <w:rFonts w:eastAsia="Arial Narrow"/>
          <w:b/>
          <w:bCs/>
          <w:iCs/>
          <w:sz w:val="22"/>
          <w:szCs w:val="22"/>
          <w:lang w:val="es-ES" w:bidi="en-US"/>
        </w:rPr>
        <w:t>Mamposteria de bloque</w:t>
      </w:r>
      <w:bookmarkEnd w:id="862"/>
    </w:p>
    <w:p w14:paraId="469778F8" w14:textId="77777777" w:rsidR="001A4860" w:rsidRPr="001A4860" w:rsidRDefault="001A4860" w:rsidP="001A4860">
      <w:pPr>
        <w:rPr>
          <w:sz w:val="22"/>
          <w:szCs w:val="22"/>
          <w:lang w:val="es-ES" w:eastAsia="es-ES"/>
        </w:rPr>
      </w:pPr>
    </w:p>
    <w:p w14:paraId="3C08939E" w14:textId="77777777" w:rsidR="001A4860" w:rsidRPr="001A4860" w:rsidRDefault="001A4860" w:rsidP="001A4860">
      <w:pPr>
        <w:rPr>
          <w:sz w:val="22"/>
          <w:szCs w:val="22"/>
          <w:lang w:val="es-ES" w:eastAsia="es-ES"/>
        </w:rPr>
      </w:pPr>
      <w:r w:rsidRPr="001A4860">
        <w:rPr>
          <w:sz w:val="22"/>
          <w:szCs w:val="22"/>
          <w:lang w:val="es-ES" w:eastAsia="es-ES"/>
        </w:rPr>
        <w:t xml:space="preserve">Deben ser del tamaño, color y textura uniforme. La resistencia del bloque deberá cumplir con los requisitos de la sección de control y supervisión de materiales del Ministerio de Vivienda y Asentamientos Humanos y tener una resistencia a la tensión de 9 kg/cm2. </w:t>
      </w:r>
    </w:p>
    <w:p w14:paraId="3013DFDA" w14:textId="77777777" w:rsidR="001A4860" w:rsidRPr="001A4860" w:rsidRDefault="001A4860" w:rsidP="001A4860">
      <w:pPr>
        <w:rPr>
          <w:sz w:val="22"/>
          <w:szCs w:val="22"/>
          <w:lang w:val="es-ES" w:eastAsia="es-ES"/>
        </w:rPr>
      </w:pPr>
    </w:p>
    <w:p w14:paraId="057F84AB" w14:textId="77777777" w:rsidR="001A4860" w:rsidRPr="001A4860" w:rsidRDefault="001A4860" w:rsidP="001A4860">
      <w:pPr>
        <w:rPr>
          <w:sz w:val="22"/>
          <w:szCs w:val="22"/>
          <w:lang w:val="es-ES" w:eastAsia="es-ES"/>
        </w:rPr>
      </w:pPr>
      <w:r w:rsidRPr="001A4860">
        <w:rPr>
          <w:sz w:val="22"/>
          <w:szCs w:val="22"/>
          <w:lang w:val="es-ES" w:eastAsia="es-ES"/>
        </w:rPr>
        <w:t>El bloque deberá ser curado totalmente antes de salir de la fábrica y en el transporte se toman precauciones para evitar descascaramiento y fracturas. El bloque deberá presentar superficies y cantos nítidos y duros, sus dimensiones deben ser: según se indique en los planos. Fabricados de arena cemento de acuerdo con las especificaciones-J29-64T, DE LA ASTM. Su resistencia a la compresión es de 40Kg/cm ý (568.93psi). Ancho: 15 centímetros (6"). Alto: 20 centímetros (8"). Largo: 40 centímetros (16").</w:t>
      </w:r>
    </w:p>
    <w:p w14:paraId="081138C4" w14:textId="77777777" w:rsidR="001A4860" w:rsidRPr="001A4860" w:rsidRDefault="001A4860" w:rsidP="001A4860">
      <w:pPr>
        <w:rPr>
          <w:sz w:val="22"/>
          <w:szCs w:val="22"/>
          <w:lang w:val="es-ES" w:eastAsia="es-ES"/>
        </w:rPr>
      </w:pPr>
    </w:p>
    <w:p w14:paraId="17BB63DD" w14:textId="77777777" w:rsidR="001A4860" w:rsidRPr="001A4860" w:rsidRDefault="001A4860" w:rsidP="001A4860">
      <w:pPr>
        <w:rPr>
          <w:sz w:val="22"/>
          <w:szCs w:val="22"/>
          <w:lang w:val="es-ES" w:eastAsia="es-ES"/>
        </w:rPr>
      </w:pPr>
      <w:r w:rsidRPr="001A4860">
        <w:rPr>
          <w:sz w:val="22"/>
          <w:szCs w:val="22"/>
          <w:lang w:val="es-ES" w:eastAsia="es-ES"/>
        </w:rPr>
        <w:t>En ningún caso se aceptan bloques de 10 cm. (4") de ancho. Las paredes irán aplomadas, primero se coloran los refuerzos de las columnas, luego los bloques que formaran las paredes teniendo cuidado de que las columnas y vigas tengan las dimensiones y recubrimiento indicados en los planos, las vigas y columnas se colaran posteriormente al colocado del bloque y no menos de tres días después, el constructor tendrá especial cuidado de que la apariencia y colocación de los bloques refleje un trabajo esmerado. Todos los bloques deben tener un ancho uniforme y no se permitirán unidades quebradas.</w:t>
      </w:r>
    </w:p>
    <w:p w14:paraId="0AF2D2A8" w14:textId="77777777" w:rsidR="001A4860" w:rsidRPr="001A4860" w:rsidRDefault="001A4860" w:rsidP="001A4860">
      <w:pPr>
        <w:rPr>
          <w:sz w:val="22"/>
          <w:szCs w:val="22"/>
          <w:lang w:val="es-ES" w:eastAsia="es-ES"/>
        </w:rPr>
      </w:pPr>
    </w:p>
    <w:p w14:paraId="20882171" w14:textId="77777777" w:rsidR="001A4860" w:rsidRPr="001A4860" w:rsidRDefault="001A4860" w:rsidP="001A4860">
      <w:pPr>
        <w:rPr>
          <w:sz w:val="22"/>
          <w:szCs w:val="22"/>
          <w:lang w:val="es-ES" w:eastAsia="es-ES"/>
        </w:rPr>
      </w:pPr>
      <w:r w:rsidRPr="001A4860">
        <w:rPr>
          <w:sz w:val="22"/>
          <w:szCs w:val="22"/>
          <w:lang w:val="es-ES" w:eastAsia="es-ES"/>
        </w:rPr>
        <w:t>Las ventanas deben ser de bloques decorativos, según se indique en planos constructivos. En el caso de bloques deberán cumplir con las características de calidad e instalación indicadas en la Sección Mampostería.</w:t>
      </w:r>
    </w:p>
    <w:p w14:paraId="2177BE8D" w14:textId="77777777" w:rsidR="001A4860" w:rsidRPr="001A4860" w:rsidRDefault="001A4860" w:rsidP="001A4860">
      <w:pPr>
        <w:rPr>
          <w:sz w:val="22"/>
          <w:szCs w:val="22"/>
          <w:lang w:val="es-ES" w:eastAsia="es-ES"/>
        </w:rPr>
      </w:pPr>
    </w:p>
    <w:p w14:paraId="09D5DA2D" w14:textId="77777777" w:rsidR="001A4860" w:rsidRPr="001A4860" w:rsidRDefault="001A4860" w:rsidP="001A4860">
      <w:pPr>
        <w:keepNext/>
        <w:ind w:left="720" w:hanging="720"/>
        <w:outlineLvl w:val="2"/>
        <w:rPr>
          <w:rFonts w:eastAsia="Arial Narrow"/>
          <w:b/>
          <w:bCs/>
          <w:iCs/>
          <w:sz w:val="22"/>
          <w:szCs w:val="22"/>
          <w:lang w:val="es-ES" w:bidi="en-US"/>
        </w:rPr>
      </w:pPr>
      <w:bookmarkStart w:id="863" w:name="_Toc23249461"/>
      <w:r w:rsidRPr="001A4860">
        <w:rPr>
          <w:rFonts w:eastAsia="Arial Narrow"/>
          <w:b/>
          <w:bCs/>
          <w:iCs/>
          <w:sz w:val="22"/>
          <w:szCs w:val="22"/>
          <w:lang w:val="es-ES" w:bidi="en-US"/>
        </w:rPr>
        <w:t>Estructuras de madera</w:t>
      </w:r>
      <w:bookmarkEnd w:id="863"/>
      <w:r w:rsidRPr="001A4860">
        <w:rPr>
          <w:rFonts w:eastAsia="Arial Narrow"/>
          <w:b/>
          <w:bCs/>
          <w:iCs/>
          <w:sz w:val="22"/>
          <w:szCs w:val="22"/>
          <w:lang w:val="es-ES" w:bidi="en-US"/>
        </w:rPr>
        <w:t xml:space="preserve"> </w:t>
      </w:r>
    </w:p>
    <w:p w14:paraId="6C1FB79A" w14:textId="77777777" w:rsidR="001A4860" w:rsidRPr="001A4860" w:rsidRDefault="001A4860" w:rsidP="001A4860">
      <w:pPr>
        <w:rPr>
          <w:sz w:val="22"/>
          <w:szCs w:val="22"/>
          <w:lang w:val="es-ES" w:eastAsia="es-ES"/>
        </w:rPr>
      </w:pPr>
    </w:p>
    <w:p w14:paraId="17D3852F" w14:textId="77777777" w:rsidR="001A4860" w:rsidRPr="001A4860" w:rsidRDefault="001A4860" w:rsidP="001A4860">
      <w:pPr>
        <w:rPr>
          <w:sz w:val="22"/>
          <w:szCs w:val="22"/>
          <w:lang w:val="es-ES" w:eastAsia="es-ES"/>
        </w:rPr>
      </w:pPr>
      <w:r w:rsidRPr="001A4860">
        <w:rPr>
          <w:sz w:val="22"/>
          <w:szCs w:val="22"/>
          <w:lang w:val="es-ES" w:eastAsia="es-ES"/>
        </w:rPr>
        <w:t>La estructura de techo debe ser de madera roja (cedro real, pochote, etc. aprobado por la supervisión). El contratista debe garantizar madera seca, sin nudos ni defectos y Las vigas son piezas de 2” x 4” y los clavadores son de 2” x 2”, según se indica en los planos</w:t>
      </w:r>
    </w:p>
    <w:p w14:paraId="28A927D4" w14:textId="77777777" w:rsidR="001A4860" w:rsidRPr="001A4860" w:rsidRDefault="001A4860" w:rsidP="001A4860">
      <w:pPr>
        <w:rPr>
          <w:sz w:val="22"/>
          <w:szCs w:val="22"/>
          <w:lang w:val="es-ES" w:eastAsia="es-ES"/>
        </w:rPr>
      </w:pPr>
    </w:p>
    <w:p w14:paraId="7C69BBFD" w14:textId="77777777" w:rsidR="001A4860" w:rsidRPr="001A4860" w:rsidRDefault="001A4860" w:rsidP="001A4860">
      <w:pPr>
        <w:keepNext/>
        <w:ind w:left="720" w:hanging="720"/>
        <w:outlineLvl w:val="2"/>
        <w:rPr>
          <w:rFonts w:eastAsia="Arial Narrow"/>
          <w:b/>
          <w:bCs/>
          <w:iCs/>
          <w:sz w:val="22"/>
          <w:szCs w:val="22"/>
          <w:lang w:val="es-ES" w:bidi="en-US"/>
        </w:rPr>
      </w:pPr>
      <w:bookmarkStart w:id="864" w:name="_Toc23249462"/>
      <w:r w:rsidRPr="001A4860">
        <w:rPr>
          <w:rFonts w:eastAsia="Arial Narrow"/>
          <w:b/>
          <w:bCs/>
          <w:iCs/>
          <w:sz w:val="22"/>
          <w:szCs w:val="22"/>
          <w:lang w:val="es-ES" w:bidi="en-US"/>
        </w:rPr>
        <w:lastRenderedPageBreak/>
        <w:t>Cubiertas de lámina de zinc</w:t>
      </w:r>
      <w:bookmarkEnd w:id="864"/>
    </w:p>
    <w:p w14:paraId="7F5DE027" w14:textId="77777777" w:rsidR="001A4860" w:rsidRPr="001A4860" w:rsidRDefault="001A4860" w:rsidP="001A4860">
      <w:pPr>
        <w:rPr>
          <w:sz w:val="22"/>
          <w:szCs w:val="22"/>
          <w:lang w:val="es-ES" w:eastAsia="es-ES"/>
        </w:rPr>
      </w:pPr>
    </w:p>
    <w:p w14:paraId="4F6D3320" w14:textId="77777777" w:rsidR="001A4860" w:rsidRPr="001A4860" w:rsidRDefault="001A4860" w:rsidP="001A4860">
      <w:pPr>
        <w:rPr>
          <w:sz w:val="22"/>
          <w:szCs w:val="22"/>
          <w:lang w:val="es-ES" w:eastAsia="es-ES"/>
        </w:rPr>
      </w:pPr>
      <w:r w:rsidRPr="001A4860">
        <w:rPr>
          <w:sz w:val="22"/>
          <w:szCs w:val="22"/>
          <w:lang w:val="es-ES" w:eastAsia="es-ES"/>
        </w:rPr>
        <w:t>Todos los techos deberán ser instalados por personal especializado, según el material y técnica a utilizar. El objetivo es garantizar la absoluta hermeticidad y durabilidad de todos los techos.</w:t>
      </w:r>
    </w:p>
    <w:p w14:paraId="2B4F2F50" w14:textId="77777777" w:rsidR="001A4860" w:rsidRPr="001A4860" w:rsidRDefault="001A4860" w:rsidP="001A4860">
      <w:pPr>
        <w:rPr>
          <w:sz w:val="22"/>
          <w:szCs w:val="22"/>
          <w:lang w:val="es-ES" w:eastAsia="es-ES"/>
        </w:rPr>
      </w:pPr>
    </w:p>
    <w:p w14:paraId="17D6DDFE" w14:textId="77777777" w:rsidR="001A4860" w:rsidRPr="001A4860" w:rsidRDefault="001A4860" w:rsidP="001A4860">
      <w:pPr>
        <w:rPr>
          <w:sz w:val="22"/>
          <w:szCs w:val="22"/>
          <w:lang w:val="es-ES" w:eastAsia="es-ES"/>
        </w:rPr>
      </w:pPr>
      <w:r w:rsidRPr="001A4860">
        <w:rPr>
          <w:sz w:val="22"/>
          <w:szCs w:val="22"/>
          <w:lang w:val="es-ES" w:eastAsia="es-ES"/>
        </w:rPr>
        <w:t>1.- Materiales: Suministrar e instalar láminas de acero galvanizada con zinc corrugada calibre 26 cubiertas, si el apoyo es estructura de madera se usarán clavos entorchados estándar, si el apoyo es estructura metálica se usarán tornillos golosos para metal de 1 1/2" de largo estándar para apoyo de cubiertas de zinc. Llevará además para el caso de estructuras metálicas arandelas tipo toiturac que garantice la impermeabilización. Si el apoyo es estructura de madera cada cabeza de clavo entorchado se sellará con tapa gotera, usando previamente para impermeabilizarlo manta cruda impregnada con tapa gotera, antes de clavarlo.</w:t>
      </w:r>
    </w:p>
    <w:p w14:paraId="290F0928" w14:textId="77777777" w:rsidR="001A4860" w:rsidRPr="001A4860" w:rsidRDefault="001A4860" w:rsidP="001A4860">
      <w:pPr>
        <w:rPr>
          <w:sz w:val="22"/>
          <w:szCs w:val="22"/>
          <w:lang w:val="es-ES" w:eastAsia="es-ES"/>
        </w:rPr>
      </w:pPr>
    </w:p>
    <w:p w14:paraId="40DEF9A1" w14:textId="77777777" w:rsidR="001A4860" w:rsidRPr="001A4860" w:rsidRDefault="001A4860" w:rsidP="001A4860">
      <w:pPr>
        <w:rPr>
          <w:sz w:val="22"/>
          <w:szCs w:val="22"/>
          <w:lang w:val="es-ES" w:eastAsia="es-ES"/>
        </w:rPr>
      </w:pPr>
      <w:r w:rsidRPr="001A4860">
        <w:rPr>
          <w:sz w:val="22"/>
          <w:szCs w:val="22"/>
          <w:lang w:val="es-ES" w:eastAsia="es-ES"/>
        </w:rPr>
        <w:t xml:space="preserve">2.- Traslapes: En todos los casos los traslapes transversales deben ser de 2 1/2ondas, en el caso de estructuras de madera previa a la fijación de las láminas cada clavo galvanizado deberá ser provisto de un pequeño taco de madera. El traslape longitudinal es de 0.2 m. cuando las pendientes del techo sean mayores al 15 % en caso de que estas sean menores el traslape es de 0.3 m. </w:t>
      </w:r>
    </w:p>
    <w:p w14:paraId="451B74DF" w14:textId="77777777" w:rsidR="001A4860" w:rsidRPr="001A4860" w:rsidRDefault="001A4860" w:rsidP="001A4860">
      <w:pPr>
        <w:rPr>
          <w:sz w:val="22"/>
          <w:szCs w:val="22"/>
          <w:lang w:val="es-ES" w:eastAsia="es-ES"/>
        </w:rPr>
      </w:pPr>
    </w:p>
    <w:p w14:paraId="495F719E" w14:textId="77777777" w:rsidR="001A4860" w:rsidRPr="001A4860" w:rsidRDefault="001A4860" w:rsidP="001A4860">
      <w:pPr>
        <w:rPr>
          <w:sz w:val="22"/>
          <w:szCs w:val="22"/>
          <w:lang w:val="es-ES" w:eastAsia="es-ES"/>
        </w:rPr>
      </w:pPr>
      <w:r w:rsidRPr="001A4860">
        <w:rPr>
          <w:sz w:val="22"/>
          <w:szCs w:val="22"/>
          <w:lang w:val="es-ES" w:eastAsia="es-ES"/>
        </w:rPr>
        <w:t>3.-La lámina de cubierta es pintada con pintura anticorrosiva, color verde con dos manos de pintura, pero solo si se indica en los alcances de obra. El contratista suplirá los materiales y mano de obra y accesorios para la instalación, en caso de la lámina esta fallada, o los obreros hayan abierto hoyos en sitios inadecuados, estas deben ser cambiadas por cuentas de él. No se permitirán láminas oxidadas ni con calibres inferiores al 26.</w:t>
      </w:r>
    </w:p>
    <w:p w14:paraId="6D9695BC" w14:textId="77777777" w:rsidR="001A4860" w:rsidRPr="001A4860" w:rsidRDefault="001A4860" w:rsidP="001A4860">
      <w:pPr>
        <w:rPr>
          <w:sz w:val="22"/>
          <w:szCs w:val="22"/>
          <w:lang w:val="es-ES" w:eastAsia="es-ES"/>
        </w:rPr>
      </w:pPr>
    </w:p>
    <w:p w14:paraId="44FB373F" w14:textId="77777777" w:rsidR="001A4860" w:rsidRPr="001A4860" w:rsidRDefault="001A4860" w:rsidP="001A4860">
      <w:pPr>
        <w:keepNext/>
        <w:ind w:left="720" w:hanging="720"/>
        <w:outlineLvl w:val="2"/>
        <w:rPr>
          <w:rFonts w:eastAsia="Arial Narrow"/>
          <w:b/>
          <w:bCs/>
          <w:iCs/>
          <w:sz w:val="22"/>
          <w:szCs w:val="22"/>
          <w:lang w:val="es-ES" w:bidi="en-US"/>
        </w:rPr>
      </w:pPr>
      <w:bookmarkStart w:id="865" w:name="_Toc23249463"/>
      <w:r w:rsidRPr="001A4860">
        <w:rPr>
          <w:rFonts w:eastAsia="Arial Narrow"/>
          <w:b/>
          <w:bCs/>
          <w:iCs/>
          <w:sz w:val="22"/>
          <w:szCs w:val="22"/>
          <w:lang w:val="es-ES" w:bidi="en-US"/>
        </w:rPr>
        <w:t>Hojalateria (flashing, canales y bajantes)</w:t>
      </w:r>
      <w:bookmarkEnd w:id="865"/>
    </w:p>
    <w:p w14:paraId="74833FBB" w14:textId="77777777" w:rsidR="001A4860" w:rsidRPr="001A4860" w:rsidRDefault="001A4860" w:rsidP="001A4860">
      <w:pPr>
        <w:rPr>
          <w:sz w:val="22"/>
          <w:szCs w:val="22"/>
          <w:lang w:val="es-ES" w:eastAsia="es-ES"/>
        </w:rPr>
      </w:pPr>
    </w:p>
    <w:p w14:paraId="6A30CC96" w14:textId="77777777" w:rsidR="001A4860" w:rsidRPr="001A4860" w:rsidRDefault="001A4860" w:rsidP="001A4860">
      <w:pPr>
        <w:rPr>
          <w:sz w:val="22"/>
          <w:szCs w:val="22"/>
          <w:lang w:val="es-ES" w:eastAsia="es-ES"/>
        </w:rPr>
      </w:pPr>
      <w:r w:rsidRPr="001A4860">
        <w:rPr>
          <w:sz w:val="22"/>
          <w:szCs w:val="22"/>
          <w:lang w:val="es-ES" w:eastAsia="es-ES"/>
        </w:rPr>
        <w:t xml:space="preserve">Los flashing, canales y bajantes deben ser de lámina galvanizada cal. 26, la lámina a usarse estará en perfectas condiciones, lisa y sin defectos. La formación del canal es nítida y cuidadosa, el traslape de las juntas en dirección de la pendiente y de 1" mínimo e imprimiendo a los bordes el dobles necesario para que permita el ensamble. </w:t>
      </w:r>
    </w:p>
    <w:p w14:paraId="6D2586CF" w14:textId="77777777" w:rsidR="001A4860" w:rsidRPr="001A4860" w:rsidRDefault="001A4860" w:rsidP="001A4860">
      <w:pPr>
        <w:rPr>
          <w:sz w:val="22"/>
          <w:szCs w:val="22"/>
          <w:lang w:val="es-ES" w:eastAsia="es-ES"/>
        </w:rPr>
      </w:pPr>
    </w:p>
    <w:p w14:paraId="53B197C1" w14:textId="77777777" w:rsidR="001A4860" w:rsidRPr="001A4860" w:rsidRDefault="001A4860" w:rsidP="001A4860">
      <w:pPr>
        <w:rPr>
          <w:sz w:val="22"/>
          <w:szCs w:val="22"/>
          <w:lang w:val="es-ES" w:eastAsia="es-ES"/>
        </w:rPr>
      </w:pPr>
      <w:r w:rsidRPr="001A4860">
        <w:rPr>
          <w:sz w:val="22"/>
          <w:szCs w:val="22"/>
          <w:lang w:val="es-ES" w:eastAsia="es-ES"/>
        </w:rPr>
        <w:t xml:space="preserve">La soldadura se realiza con estaño corrido, limpiando completamente e impregnando con ácido las superficies del zinc y en ambos extremos del traslape. Una vez instalado el canal, se protegerán las juntas con masilla flexible especial para metales. </w:t>
      </w:r>
    </w:p>
    <w:p w14:paraId="5F1797F6" w14:textId="77777777" w:rsidR="001A4860" w:rsidRPr="001A4860" w:rsidRDefault="001A4860" w:rsidP="001A4860">
      <w:pPr>
        <w:rPr>
          <w:sz w:val="22"/>
          <w:szCs w:val="22"/>
          <w:lang w:val="es-ES" w:eastAsia="es-ES"/>
        </w:rPr>
      </w:pPr>
    </w:p>
    <w:p w14:paraId="272D91D5" w14:textId="77777777" w:rsidR="001A4860" w:rsidRPr="001A4860" w:rsidRDefault="001A4860" w:rsidP="001A4860">
      <w:pPr>
        <w:rPr>
          <w:sz w:val="22"/>
          <w:szCs w:val="22"/>
          <w:lang w:val="es-ES" w:eastAsia="es-ES"/>
        </w:rPr>
      </w:pPr>
      <w:r w:rsidRPr="001A4860">
        <w:rPr>
          <w:sz w:val="22"/>
          <w:szCs w:val="22"/>
          <w:lang w:val="es-ES" w:eastAsia="es-ES"/>
        </w:rPr>
        <w:t>La unión del bajante con el canal, se efectuará deprimiendo primero el fondo del canal mediante una prensa de madera que, al perforar la lámina, los bordes de esta sobresalgan unas pulgadas hacia abajo y puedan penetrar dentro del bajante.</w:t>
      </w:r>
    </w:p>
    <w:p w14:paraId="1A406D93" w14:textId="77777777" w:rsidR="001A4860" w:rsidRPr="001A4860" w:rsidRDefault="001A4860" w:rsidP="001A4860">
      <w:pPr>
        <w:rPr>
          <w:sz w:val="22"/>
          <w:szCs w:val="22"/>
          <w:lang w:val="es-ES" w:eastAsia="es-ES"/>
        </w:rPr>
      </w:pPr>
    </w:p>
    <w:p w14:paraId="34B86809" w14:textId="77777777" w:rsidR="001A4860" w:rsidRPr="001A4860" w:rsidRDefault="001A4860" w:rsidP="001A4860">
      <w:pPr>
        <w:rPr>
          <w:sz w:val="22"/>
          <w:szCs w:val="22"/>
          <w:lang w:val="es-ES" w:eastAsia="es-ES"/>
        </w:rPr>
      </w:pPr>
      <w:r w:rsidRPr="001A4860">
        <w:rPr>
          <w:sz w:val="22"/>
          <w:szCs w:val="22"/>
          <w:lang w:val="es-ES" w:eastAsia="es-ES"/>
        </w:rPr>
        <w:t>Los flashing, canales y bajantes se fabricarán del material que se mencione en los planos, pero esta sección o sub-etapa se refiere a los elementos de hojalata que es zinc liso calibre 26. No se permitirán elementos de hojalatería que no sean 26.</w:t>
      </w:r>
    </w:p>
    <w:p w14:paraId="217BEDA0" w14:textId="77777777" w:rsidR="001A4860" w:rsidRPr="001A4860" w:rsidRDefault="001A4860" w:rsidP="001A4860">
      <w:pPr>
        <w:rPr>
          <w:sz w:val="22"/>
          <w:szCs w:val="22"/>
          <w:lang w:val="es-ES" w:eastAsia="es-ES"/>
        </w:rPr>
      </w:pPr>
    </w:p>
    <w:p w14:paraId="2A57CA20" w14:textId="77777777" w:rsidR="001A4860" w:rsidRPr="001A4860" w:rsidRDefault="001A4860" w:rsidP="001A4860">
      <w:pPr>
        <w:keepNext/>
        <w:ind w:left="720" w:hanging="720"/>
        <w:outlineLvl w:val="2"/>
        <w:rPr>
          <w:rFonts w:eastAsia="Arial Narrow"/>
          <w:b/>
          <w:bCs/>
          <w:iCs/>
          <w:sz w:val="22"/>
          <w:szCs w:val="22"/>
          <w:lang w:val="es-ES" w:bidi="en-US"/>
        </w:rPr>
      </w:pPr>
      <w:bookmarkStart w:id="866" w:name="_Toc23249464"/>
      <w:r w:rsidRPr="001A4860">
        <w:rPr>
          <w:rFonts w:eastAsia="Arial Narrow"/>
          <w:b/>
          <w:bCs/>
          <w:iCs/>
          <w:sz w:val="22"/>
          <w:szCs w:val="22"/>
          <w:lang w:val="es-ES" w:bidi="en-US"/>
        </w:rPr>
        <w:t>Repello corriente</w:t>
      </w:r>
      <w:bookmarkEnd w:id="866"/>
    </w:p>
    <w:p w14:paraId="04F1ED8B" w14:textId="77777777" w:rsidR="001A4860" w:rsidRPr="001A4860" w:rsidRDefault="001A4860" w:rsidP="001A4860">
      <w:pPr>
        <w:rPr>
          <w:sz w:val="22"/>
          <w:szCs w:val="22"/>
          <w:lang w:val="es-ES" w:eastAsia="es-ES"/>
        </w:rPr>
      </w:pPr>
    </w:p>
    <w:p w14:paraId="50329EA6" w14:textId="77777777" w:rsidR="001A4860" w:rsidRPr="001A4860" w:rsidRDefault="001A4860" w:rsidP="001A4860">
      <w:pPr>
        <w:rPr>
          <w:sz w:val="22"/>
          <w:szCs w:val="22"/>
          <w:lang w:val="es-ES" w:eastAsia="es-ES"/>
        </w:rPr>
      </w:pPr>
      <w:r w:rsidRPr="001A4860">
        <w:rPr>
          <w:sz w:val="22"/>
          <w:szCs w:val="22"/>
          <w:lang w:val="es-ES" w:eastAsia="es-ES"/>
        </w:rPr>
        <w:t xml:space="preserve">Se usará cemento, arena y agua, la aplicación se realiza a mano.  La proporción es la siguiente: una parte por volumen de cemento Pórtland tipo I y cuatro partes de arena, bien cribada en la malla número 200, el espesor mínimo del repello es de un centímetro, </w:t>
      </w:r>
    </w:p>
    <w:p w14:paraId="40FD2623" w14:textId="77777777" w:rsidR="001A4860" w:rsidRPr="001A4860" w:rsidRDefault="001A4860" w:rsidP="001A4860">
      <w:pPr>
        <w:rPr>
          <w:sz w:val="22"/>
          <w:szCs w:val="22"/>
          <w:lang w:val="es-ES" w:eastAsia="es-ES"/>
        </w:rPr>
      </w:pPr>
    </w:p>
    <w:p w14:paraId="4AACF2C4" w14:textId="77777777" w:rsidR="001A4860" w:rsidRPr="001A4860" w:rsidRDefault="001A4860" w:rsidP="001A4860">
      <w:pPr>
        <w:rPr>
          <w:sz w:val="22"/>
          <w:szCs w:val="22"/>
          <w:lang w:val="es-ES" w:eastAsia="es-ES"/>
        </w:rPr>
      </w:pPr>
      <w:r w:rsidRPr="001A4860">
        <w:rPr>
          <w:sz w:val="22"/>
          <w:szCs w:val="22"/>
          <w:lang w:val="es-ES" w:eastAsia="es-ES"/>
        </w:rPr>
        <w:t xml:space="preserve">El repello deberá protegerse bien contra secamientos repentinos y contra efectos del sol y viento. Se recomienda que, para aplicar el repello, hay que tener puesta la cubierta de techo. El repello de todas las </w:t>
      </w:r>
      <w:r w:rsidRPr="001A4860">
        <w:rPr>
          <w:sz w:val="22"/>
          <w:szCs w:val="22"/>
          <w:lang w:val="es-ES" w:eastAsia="es-ES"/>
        </w:rPr>
        <w:lastRenderedPageBreak/>
        <w:t xml:space="preserve">superficies externas e internas de las paredes se ejecutarán con mortero correspondiente tirado con fuerza con la paleta, extendiéndose después con la llana cuidando de colocar previamente el número de guías verticales bien aplomadas y en línea necesarias para que resulte una superficie plana y que los cantos vivos y aristas queden completamente rectos.  </w:t>
      </w:r>
    </w:p>
    <w:p w14:paraId="67EA322D" w14:textId="77777777" w:rsidR="001A4860" w:rsidRPr="001A4860" w:rsidRDefault="001A4860" w:rsidP="001A4860">
      <w:pPr>
        <w:rPr>
          <w:sz w:val="22"/>
          <w:szCs w:val="22"/>
          <w:lang w:val="es-ES" w:eastAsia="es-ES"/>
        </w:rPr>
      </w:pPr>
    </w:p>
    <w:p w14:paraId="1E93D48C" w14:textId="77777777" w:rsidR="001A4860" w:rsidRPr="001A4860" w:rsidRDefault="001A4860" w:rsidP="001A4860">
      <w:pPr>
        <w:rPr>
          <w:sz w:val="22"/>
          <w:szCs w:val="22"/>
          <w:lang w:val="es-ES" w:eastAsia="es-ES"/>
        </w:rPr>
      </w:pPr>
      <w:r w:rsidRPr="001A4860">
        <w:rPr>
          <w:sz w:val="22"/>
          <w:szCs w:val="22"/>
          <w:lang w:val="es-ES" w:eastAsia="es-ES"/>
        </w:rPr>
        <w:t>Las superficies de hormigón que deben repellarse deben ser piqueteadas para asegurar la adhesión del mortero. En lugar de piqueteo de las áreas de concreto se podrá usar productos químicos aprobados que garanticen la adherencia, los costos correrán por cuenta del contratista.</w:t>
      </w:r>
    </w:p>
    <w:p w14:paraId="284DBD6D" w14:textId="77777777" w:rsidR="001A4860" w:rsidRPr="001A4860" w:rsidRDefault="001A4860" w:rsidP="001A4860">
      <w:pPr>
        <w:rPr>
          <w:sz w:val="22"/>
          <w:szCs w:val="22"/>
          <w:lang w:val="es-ES" w:eastAsia="es-ES"/>
        </w:rPr>
      </w:pPr>
    </w:p>
    <w:p w14:paraId="4968CBC6" w14:textId="77777777" w:rsidR="001A4860" w:rsidRPr="001A4860" w:rsidRDefault="001A4860" w:rsidP="001A4860">
      <w:pPr>
        <w:rPr>
          <w:sz w:val="22"/>
          <w:szCs w:val="22"/>
          <w:lang w:val="es-ES" w:eastAsia="es-ES"/>
        </w:rPr>
      </w:pPr>
      <w:r w:rsidRPr="001A4860">
        <w:rPr>
          <w:sz w:val="22"/>
          <w:szCs w:val="22"/>
          <w:lang w:val="es-ES" w:eastAsia="es-ES"/>
        </w:rPr>
        <w:t xml:space="preserve">La cantidad de mezcla estará regulada de manera que se usara dentro de dos horas después de la mezclarla bien. </w:t>
      </w:r>
    </w:p>
    <w:p w14:paraId="545E4837" w14:textId="77777777" w:rsidR="001A4860" w:rsidRPr="001A4860" w:rsidRDefault="001A4860" w:rsidP="001A4860">
      <w:pPr>
        <w:rPr>
          <w:sz w:val="22"/>
          <w:szCs w:val="22"/>
          <w:lang w:val="es-ES" w:eastAsia="es-ES"/>
        </w:rPr>
      </w:pPr>
    </w:p>
    <w:p w14:paraId="4005454A" w14:textId="77777777" w:rsidR="001A4860" w:rsidRPr="001A4860" w:rsidRDefault="001A4860" w:rsidP="001A4860">
      <w:pPr>
        <w:rPr>
          <w:sz w:val="22"/>
          <w:szCs w:val="22"/>
          <w:lang w:val="es-ES" w:eastAsia="es-ES"/>
        </w:rPr>
      </w:pPr>
      <w:r w:rsidRPr="001A4860">
        <w:rPr>
          <w:sz w:val="22"/>
          <w:szCs w:val="22"/>
          <w:lang w:val="es-ES" w:eastAsia="es-ES"/>
        </w:rPr>
        <w:t xml:space="preserve">No se permitirá ablandar una mezcla ya parcialmente endurecida. El repello deberá protegerse bien contra secamientos muy repentinos y contra los efectos del sol y viento hasta que haya fraguado lo suficiente para permitir rociarlo con agua, durante siete días. </w:t>
      </w:r>
    </w:p>
    <w:p w14:paraId="25400386" w14:textId="77777777" w:rsidR="001A4860" w:rsidRPr="001A4860" w:rsidRDefault="001A4860" w:rsidP="001A4860">
      <w:pPr>
        <w:rPr>
          <w:sz w:val="22"/>
          <w:szCs w:val="22"/>
          <w:lang w:val="es-ES" w:eastAsia="es-ES"/>
        </w:rPr>
      </w:pPr>
    </w:p>
    <w:p w14:paraId="23D3E4C7" w14:textId="77777777" w:rsidR="001A4860" w:rsidRPr="001A4860" w:rsidRDefault="001A4860" w:rsidP="001A4860">
      <w:pPr>
        <w:rPr>
          <w:sz w:val="22"/>
          <w:szCs w:val="22"/>
          <w:lang w:val="es-ES" w:eastAsia="es-ES"/>
        </w:rPr>
      </w:pPr>
      <w:r w:rsidRPr="001A4860">
        <w:rPr>
          <w:sz w:val="22"/>
          <w:szCs w:val="22"/>
          <w:lang w:val="es-ES" w:eastAsia="es-ES"/>
        </w:rPr>
        <w:t>Los cajones usados para mezclar el mortero y la arena se mantendrán limpios de materiales endurecidos. La cantidad de mezcla estará regulada de manera que se usará toda dentro de dos horas después de mezclada.</w:t>
      </w:r>
    </w:p>
    <w:p w14:paraId="12FC6982" w14:textId="77777777" w:rsidR="001A4860" w:rsidRPr="001A4860" w:rsidRDefault="001A4860" w:rsidP="001A4860">
      <w:pPr>
        <w:rPr>
          <w:sz w:val="22"/>
          <w:szCs w:val="22"/>
          <w:lang w:val="es-ES" w:eastAsia="es-ES"/>
        </w:rPr>
      </w:pPr>
    </w:p>
    <w:p w14:paraId="78685114" w14:textId="77777777" w:rsidR="001A4860" w:rsidRPr="001A4860" w:rsidRDefault="001A4860" w:rsidP="001A4860">
      <w:pPr>
        <w:rPr>
          <w:sz w:val="22"/>
          <w:szCs w:val="22"/>
          <w:lang w:val="es-ES" w:eastAsia="es-ES"/>
        </w:rPr>
      </w:pPr>
      <w:r w:rsidRPr="001A4860">
        <w:rPr>
          <w:sz w:val="22"/>
          <w:szCs w:val="22"/>
          <w:lang w:val="es-ES" w:eastAsia="es-ES"/>
        </w:rPr>
        <w:t>No se permitirá ablandar una mezcla ya parcialmente endurecida. En las intercepciones de áreas donde haya esquinas (como ventanas, puertas, columnas y vigas) deben hacerse, forjas con el mortero con ayuda de guías maestras de madera. La mezcla del mortero a usarse para el repello es la siguiente: En proporción de 1:4 un volumen de cemento y cuatro volúmenes de arena.</w:t>
      </w:r>
    </w:p>
    <w:p w14:paraId="54FB5697" w14:textId="77777777" w:rsidR="001A4860" w:rsidRPr="001A4860" w:rsidRDefault="001A4860" w:rsidP="001A4860">
      <w:pPr>
        <w:rPr>
          <w:sz w:val="22"/>
          <w:szCs w:val="22"/>
          <w:lang w:val="es-ES" w:eastAsia="es-ES"/>
        </w:rPr>
      </w:pPr>
    </w:p>
    <w:p w14:paraId="4935AF1A" w14:textId="77777777" w:rsidR="001A4860" w:rsidRPr="001A4860" w:rsidRDefault="001A4860" w:rsidP="001A4860">
      <w:pPr>
        <w:rPr>
          <w:sz w:val="22"/>
          <w:szCs w:val="22"/>
          <w:lang w:val="es-ES" w:eastAsia="es-ES"/>
        </w:rPr>
      </w:pPr>
      <w:r w:rsidRPr="001A4860">
        <w:rPr>
          <w:sz w:val="22"/>
          <w:szCs w:val="22"/>
          <w:lang w:val="es-ES" w:eastAsia="es-ES"/>
        </w:rPr>
        <w:t>El mortero se mezclará en mezcladora mecánica o bien en bateas especiales para que se obtenga una mezcla homogénea libre de impurezas. No se permitirá el uso de mortero en el cual el cemento haya comenzado su periodo de fraguado. El cemento es Pórtland tipo I de la especificación ASTMC-150. La arena es natural, limpia y libre de cantidades dañinas de sustancias salinas, alcalinas y orgánicas. El agua es de calidad potable, libre de toda sustancia aceitosa, salina, alcalina o materiales orgánicos.</w:t>
      </w:r>
    </w:p>
    <w:p w14:paraId="2B8B66E4" w14:textId="77777777" w:rsidR="001A4860" w:rsidRPr="001A4860" w:rsidRDefault="001A4860" w:rsidP="001A4860">
      <w:pPr>
        <w:rPr>
          <w:sz w:val="22"/>
          <w:szCs w:val="22"/>
          <w:lang w:val="es-ES" w:eastAsia="es-ES"/>
        </w:rPr>
      </w:pPr>
    </w:p>
    <w:p w14:paraId="1DF708A1" w14:textId="77777777" w:rsidR="001A4860" w:rsidRPr="001A4860" w:rsidRDefault="001A4860" w:rsidP="001A4860">
      <w:pPr>
        <w:keepNext/>
        <w:ind w:left="720" w:hanging="720"/>
        <w:outlineLvl w:val="2"/>
        <w:rPr>
          <w:rFonts w:eastAsia="Arial Narrow"/>
          <w:b/>
          <w:bCs/>
          <w:iCs/>
          <w:sz w:val="22"/>
          <w:szCs w:val="22"/>
          <w:lang w:val="es-ES" w:bidi="en-US"/>
        </w:rPr>
      </w:pPr>
      <w:bookmarkStart w:id="867" w:name="_Toc23249465"/>
      <w:r w:rsidRPr="001A4860">
        <w:rPr>
          <w:rFonts w:eastAsia="Arial Narrow"/>
          <w:b/>
          <w:bCs/>
          <w:iCs/>
          <w:sz w:val="22"/>
          <w:szCs w:val="22"/>
          <w:lang w:val="es-ES" w:bidi="en-US"/>
        </w:rPr>
        <w:t>Fino corriente</w:t>
      </w:r>
      <w:bookmarkEnd w:id="867"/>
    </w:p>
    <w:p w14:paraId="2912CD20" w14:textId="77777777" w:rsidR="001A4860" w:rsidRPr="001A4860" w:rsidRDefault="001A4860" w:rsidP="001A4860">
      <w:pPr>
        <w:rPr>
          <w:sz w:val="22"/>
          <w:szCs w:val="22"/>
          <w:lang w:val="es-ES" w:eastAsia="es-ES"/>
        </w:rPr>
      </w:pPr>
    </w:p>
    <w:p w14:paraId="515406C9" w14:textId="77777777" w:rsidR="001A4860" w:rsidRPr="001A4860" w:rsidRDefault="001A4860" w:rsidP="001A4860">
      <w:pPr>
        <w:rPr>
          <w:sz w:val="22"/>
          <w:szCs w:val="22"/>
          <w:lang w:val="es-ES" w:eastAsia="es-ES"/>
        </w:rPr>
      </w:pPr>
      <w:r w:rsidRPr="001A4860">
        <w:rPr>
          <w:sz w:val="22"/>
          <w:szCs w:val="22"/>
          <w:lang w:val="es-ES" w:eastAsia="es-ES"/>
        </w:rPr>
        <w:t>Se usará una proporción para la mezcla de una parte (1) de cemento Pórtland tipo I, y tres (3) partes de arenilla fina, la que debe ser cribada en la criba más fina con arena limpia de impurezas orgánicas e inorgánicas y libre de sulfatos, se podrá usar arenilla del lago. Para aplicar el fino corriente se requiere que las áreas donde se aplique estén debidamente repelladas o revocadas, se aplicara a golpeo untado en las áreas y después distribuido o regado con llana metálica. (La aplicación se realiza a mano, no se permitirán medios mecánicos).</w:t>
      </w:r>
    </w:p>
    <w:p w14:paraId="1F9535C6" w14:textId="77777777" w:rsidR="001A4860" w:rsidRPr="001A4860" w:rsidRDefault="001A4860" w:rsidP="001A4860">
      <w:pPr>
        <w:rPr>
          <w:sz w:val="22"/>
          <w:szCs w:val="22"/>
          <w:lang w:val="es-ES" w:eastAsia="es-ES"/>
        </w:rPr>
      </w:pPr>
    </w:p>
    <w:p w14:paraId="3A3C9DDC" w14:textId="77777777" w:rsidR="001A4860" w:rsidRPr="001A4860" w:rsidRDefault="001A4860" w:rsidP="001A4860">
      <w:pPr>
        <w:rPr>
          <w:sz w:val="22"/>
          <w:szCs w:val="22"/>
          <w:lang w:val="es-ES" w:eastAsia="es-ES"/>
        </w:rPr>
      </w:pPr>
      <w:r w:rsidRPr="001A4860">
        <w:rPr>
          <w:sz w:val="22"/>
          <w:szCs w:val="22"/>
          <w:lang w:val="es-ES" w:eastAsia="es-ES"/>
        </w:rPr>
        <w:t xml:space="preserve">En el caso que el repello este aplicado en paredes de ladrillo cuarterón, a la mezcla de mortero para el fino se le agregara cal, siendo la proporción de la mezcla a usar la siguiente: Una (1) parte de cemento Pórtland, dos (2) partes de cal y tres (3) partes de arenilla fina, o la que el Ingeniero supervisor determine necesaria. . </w:t>
      </w:r>
    </w:p>
    <w:p w14:paraId="4280CBDA" w14:textId="77777777" w:rsidR="001A4860" w:rsidRPr="001A4860" w:rsidRDefault="001A4860" w:rsidP="001A4860">
      <w:pPr>
        <w:rPr>
          <w:sz w:val="22"/>
          <w:szCs w:val="22"/>
          <w:lang w:val="es-ES" w:eastAsia="es-ES"/>
        </w:rPr>
      </w:pPr>
    </w:p>
    <w:p w14:paraId="6219363F" w14:textId="77777777" w:rsidR="001A4860" w:rsidRPr="001A4860" w:rsidRDefault="001A4860" w:rsidP="001A4860">
      <w:pPr>
        <w:rPr>
          <w:sz w:val="22"/>
          <w:szCs w:val="22"/>
          <w:lang w:val="es-ES" w:eastAsia="es-ES"/>
        </w:rPr>
      </w:pPr>
      <w:r w:rsidRPr="001A4860">
        <w:rPr>
          <w:sz w:val="22"/>
          <w:szCs w:val="22"/>
          <w:lang w:val="es-ES" w:eastAsia="es-ES"/>
        </w:rPr>
        <w:t xml:space="preserve">El espesor de los finos es de dos a tres milímetros. La cal a usarse se tiene que poner a podrir no menos de quince días en cajones de madera agregando agua a la cal, la cal en remojo no se podrá usar antes de quince días. </w:t>
      </w:r>
    </w:p>
    <w:p w14:paraId="7C42F6BC" w14:textId="77777777" w:rsidR="001A4860" w:rsidRPr="001A4860" w:rsidRDefault="001A4860" w:rsidP="001A4860">
      <w:pPr>
        <w:rPr>
          <w:sz w:val="22"/>
          <w:szCs w:val="22"/>
          <w:lang w:val="es-ES" w:eastAsia="es-ES"/>
        </w:rPr>
      </w:pPr>
    </w:p>
    <w:p w14:paraId="3000810F" w14:textId="77777777" w:rsidR="001A4860" w:rsidRPr="001A4860" w:rsidRDefault="001A4860" w:rsidP="001A4860">
      <w:pPr>
        <w:rPr>
          <w:sz w:val="22"/>
          <w:szCs w:val="22"/>
          <w:lang w:val="es-ES" w:eastAsia="es-ES"/>
        </w:rPr>
      </w:pPr>
      <w:r w:rsidRPr="001A4860">
        <w:rPr>
          <w:sz w:val="22"/>
          <w:szCs w:val="22"/>
          <w:lang w:val="es-ES" w:eastAsia="es-ES"/>
        </w:rPr>
        <w:lastRenderedPageBreak/>
        <w:t xml:space="preserve">En ambos casos de mezcla a usar se debe aplicar después de cinco días de aplicado el repello, humedeciéndose el área donde se aplicara el acabado final del fino. La aplicación deberá hacerse a mano. El contratista tiene que entregar la superficie en buen estado y sin defectos o daños, en caso contrario corre por cuenta del raparlos. </w:t>
      </w:r>
    </w:p>
    <w:p w14:paraId="1E63F28B" w14:textId="77777777" w:rsidR="001A4860" w:rsidRPr="001A4860" w:rsidRDefault="001A4860" w:rsidP="001A4860">
      <w:pPr>
        <w:rPr>
          <w:sz w:val="22"/>
          <w:szCs w:val="22"/>
          <w:lang w:val="es-ES" w:eastAsia="es-ES"/>
        </w:rPr>
      </w:pPr>
    </w:p>
    <w:p w14:paraId="7B5C8D05" w14:textId="77777777" w:rsidR="001A4860" w:rsidRPr="001A4860" w:rsidRDefault="001A4860" w:rsidP="001A4860">
      <w:pPr>
        <w:rPr>
          <w:sz w:val="22"/>
          <w:szCs w:val="22"/>
          <w:lang w:val="es-ES" w:eastAsia="es-ES"/>
        </w:rPr>
      </w:pPr>
      <w:r w:rsidRPr="001A4860">
        <w:rPr>
          <w:sz w:val="22"/>
          <w:szCs w:val="22"/>
          <w:lang w:val="es-ES" w:eastAsia="es-ES"/>
        </w:rPr>
        <w:t>El fino deberá protegerse bien contra secamientos muy repentinos y contra los efectos del sol y viento hasta que haya fraguado lo suficiente para permitir rociarlo con agua durante siete días.</w:t>
      </w:r>
    </w:p>
    <w:p w14:paraId="289AE072" w14:textId="77777777" w:rsidR="001A4860" w:rsidRPr="001A4860" w:rsidRDefault="001A4860" w:rsidP="001A4860">
      <w:pPr>
        <w:rPr>
          <w:sz w:val="22"/>
          <w:szCs w:val="22"/>
          <w:lang w:val="es-ES" w:eastAsia="es-ES"/>
        </w:rPr>
      </w:pPr>
    </w:p>
    <w:p w14:paraId="58A130FB" w14:textId="77777777" w:rsidR="001A4860" w:rsidRPr="001A4860" w:rsidRDefault="001A4860" w:rsidP="001A4860">
      <w:pPr>
        <w:rPr>
          <w:sz w:val="22"/>
          <w:szCs w:val="22"/>
          <w:lang w:val="es-ES" w:eastAsia="es-ES"/>
        </w:rPr>
      </w:pPr>
      <w:r w:rsidRPr="001A4860">
        <w:rPr>
          <w:sz w:val="22"/>
          <w:szCs w:val="22"/>
          <w:lang w:val="es-ES" w:eastAsia="es-ES"/>
        </w:rPr>
        <w:t>Los cajones usados para mezclar el mortero, la arena y la cal debidamente podrida se mantendrán limpios de materiales endurecidos.</w:t>
      </w:r>
    </w:p>
    <w:p w14:paraId="3AE0F689" w14:textId="77777777" w:rsidR="001A4860" w:rsidRPr="001A4860" w:rsidRDefault="001A4860" w:rsidP="001A4860">
      <w:pPr>
        <w:rPr>
          <w:sz w:val="22"/>
          <w:szCs w:val="22"/>
          <w:lang w:val="es-ES" w:eastAsia="es-ES"/>
        </w:rPr>
      </w:pPr>
    </w:p>
    <w:p w14:paraId="635EA814" w14:textId="77777777" w:rsidR="001A4860" w:rsidRPr="001A4860" w:rsidRDefault="001A4860" w:rsidP="001A4860">
      <w:pPr>
        <w:rPr>
          <w:sz w:val="22"/>
          <w:szCs w:val="22"/>
          <w:lang w:val="es-ES" w:eastAsia="es-ES"/>
        </w:rPr>
      </w:pPr>
      <w:r w:rsidRPr="001A4860">
        <w:rPr>
          <w:sz w:val="22"/>
          <w:szCs w:val="22"/>
          <w:lang w:val="es-ES" w:eastAsia="es-ES"/>
        </w:rPr>
        <w:t>La cantidad de mezcla estará regulada de manera que se usara toda dentro de dos horas después de mezclada. No se permitirá ablandar una mezcla ya parcialmente endurecida.</w:t>
      </w:r>
    </w:p>
    <w:p w14:paraId="4162FDF4" w14:textId="77777777" w:rsidR="001A4860" w:rsidRPr="001A4860" w:rsidRDefault="001A4860" w:rsidP="001A4860">
      <w:pPr>
        <w:rPr>
          <w:sz w:val="22"/>
          <w:szCs w:val="22"/>
          <w:lang w:val="es-ES" w:eastAsia="es-ES"/>
        </w:rPr>
      </w:pPr>
    </w:p>
    <w:p w14:paraId="0DB548B2" w14:textId="77777777" w:rsidR="001A4860" w:rsidRPr="001A4860" w:rsidRDefault="001A4860" w:rsidP="001A4860">
      <w:pPr>
        <w:keepNext/>
        <w:ind w:left="720" w:hanging="720"/>
        <w:outlineLvl w:val="2"/>
        <w:rPr>
          <w:rFonts w:eastAsia="Arial Narrow"/>
          <w:b/>
          <w:bCs/>
          <w:iCs/>
          <w:sz w:val="22"/>
          <w:szCs w:val="22"/>
          <w:lang w:val="es-ES" w:bidi="en-US"/>
        </w:rPr>
      </w:pPr>
      <w:bookmarkStart w:id="868" w:name="_Toc23249466"/>
      <w:r w:rsidRPr="001A4860">
        <w:rPr>
          <w:rFonts w:eastAsia="Arial Narrow"/>
          <w:b/>
          <w:bCs/>
          <w:iCs/>
          <w:sz w:val="22"/>
          <w:szCs w:val="22"/>
          <w:lang w:val="es-ES" w:bidi="en-US"/>
        </w:rPr>
        <w:t>Conformacion y compactacion</w:t>
      </w:r>
      <w:bookmarkEnd w:id="868"/>
    </w:p>
    <w:p w14:paraId="7EB279FA" w14:textId="77777777" w:rsidR="001A4860" w:rsidRPr="001A4860" w:rsidRDefault="001A4860" w:rsidP="001A4860">
      <w:pPr>
        <w:rPr>
          <w:sz w:val="22"/>
          <w:szCs w:val="22"/>
          <w:lang w:val="es-ES" w:eastAsia="es-ES"/>
        </w:rPr>
      </w:pPr>
    </w:p>
    <w:p w14:paraId="1FFE5732" w14:textId="77777777" w:rsidR="001A4860" w:rsidRPr="001A4860" w:rsidRDefault="001A4860" w:rsidP="001A4860">
      <w:pPr>
        <w:rPr>
          <w:sz w:val="22"/>
          <w:szCs w:val="22"/>
          <w:lang w:val="es-ES" w:eastAsia="es-ES"/>
        </w:rPr>
      </w:pPr>
      <w:r w:rsidRPr="001A4860">
        <w:rPr>
          <w:sz w:val="22"/>
          <w:szCs w:val="22"/>
          <w:lang w:val="es-ES" w:eastAsia="es-ES"/>
        </w:rPr>
        <w:t>Este articulo o sub-etapa comprende la preparación del terreno para que quede listo para la construcción del piso, la conformación se realiza dejando el terreno llano, cortando toda protuberancia, y compactando hasta dejar el suelo listo para construir el piso, la compactación consistirá en aplicar mecánicamente golpes con una masa de concreto de aproximadamente 30 libras de peso, dándoles golpes desde una altura de 0.5 metros de alto, humedeciendo el suelo a compactar, en caso de compactar con equipo mecánico hay que dar los golpes a como lo indican las especificaciones del fabricante; hay que  dejar el suelo a 85 %PROCTOR.</w:t>
      </w:r>
    </w:p>
    <w:p w14:paraId="7B63D7E0" w14:textId="77777777" w:rsidR="001A4860" w:rsidRPr="001A4860" w:rsidRDefault="001A4860" w:rsidP="001A4860">
      <w:pPr>
        <w:rPr>
          <w:sz w:val="22"/>
          <w:szCs w:val="22"/>
          <w:lang w:val="es-ES" w:eastAsia="es-ES"/>
        </w:rPr>
      </w:pPr>
    </w:p>
    <w:p w14:paraId="405DADDA" w14:textId="77777777" w:rsidR="001A4860" w:rsidRPr="001A4860" w:rsidRDefault="001A4860" w:rsidP="001A4860">
      <w:pPr>
        <w:keepNext/>
        <w:ind w:left="720" w:hanging="720"/>
        <w:outlineLvl w:val="2"/>
        <w:rPr>
          <w:rFonts w:eastAsia="Arial Narrow"/>
          <w:b/>
          <w:bCs/>
          <w:iCs/>
          <w:sz w:val="22"/>
          <w:szCs w:val="22"/>
          <w:lang w:val="es-ES" w:bidi="en-US"/>
        </w:rPr>
      </w:pPr>
      <w:bookmarkStart w:id="869" w:name="_Toc23249467"/>
      <w:r w:rsidRPr="001A4860">
        <w:rPr>
          <w:rFonts w:eastAsia="Arial Narrow"/>
          <w:b/>
          <w:bCs/>
          <w:iCs/>
          <w:sz w:val="22"/>
          <w:szCs w:val="22"/>
          <w:lang w:val="es-ES" w:bidi="en-US"/>
        </w:rPr>
        <w:t>Piso</w:t>
      </w:r>
      <w:bookmarkEnd w:id="869"/>
      <w:r w:rsidRPr="001A4860">
        <w:rPr>
          <w:rFonts w:eastAsia="Arial Narrow"/>
          <w:b/>
          <w:bCs/>
          <w:iCs/>
          <w:sz w:val="22"/>
          <w:szCs w:val="22"/>
          <w:lang w:val="es-ES" w:bidi="en-US"/>
        </w:rPr>
        <w:t xml:space="preserve"> </w:t>
      </w:r>
    </w:p>
    <w:p w14:paraId="64E3593D" w14:textId="77777777" w:rsidR="001A4860" w:rsidRPr="001A4860" w:rsidRDefault="001A4860" w:rsidP="001A4860">
      <w:pPr>
        <w:rPr>
          <w:sz w:val="22"/>
          <w:szCs w:val="22"/>
          <w:lang w:val="es-ES" w:eastAsia="es-ES"/>
        </w:rPr>
      </w:pPr>
      <w:r w:rsidRPr="001A4860">
        <w:rPr>
          <w:sz w:val="22"/>
          <w:szCs w:val="22"/>
          <w:lang w:val="es-ES" w:eastAsia="es-ES"/>
        </w:rPr>
        <w:t xml:space="preserve"> </w:t>
      </w:r>
    </w:p>
    <w:p w14:paraId="00E35939" w14:textId="77777777" w:rsidR="001A4860" w:rsidRPr="001A4860" w:rsidRDefault="001A4860" w:rsidP="001A4860">
      <w:pPr>
        <w:rPr>
          <w:sz w:val="22"/>
          <w:szCs w:val="22"/>
          <w:lang w:val="es-ES" w:eastAsia="es-ES"/>
        </w:rPr>
      </w:pPr>
      <w:r w:rsidRPr="001A4860">
        <w:rPr>
          <w:sz w:val="22"/>
          <w:szCs w:val="22"/>
          <w:lang w:val="es-ES" w:eastAsia="es-ES"/>
        </w:rPr>
        <w:t>El piso es de concreto de 2500 psi, con espesor de 0.10 m y con acabado fino pizarra.</w:t>
      </w:r>
    </w:p>
    <w:p w14:paraId="2CE28DF0" w14:textId="77777777" w:rsidR="001A4860" w:rsidRPr="001A4860" w:rsidRDefault="001A4860" w:rsidP="001A4860">
      <w:pPr>
        <w:rPr>
          <w:sz w:val="22"/>
          <w:szCs w:val="22"/>
          <w:lang w:val="es-ES" w:eastAsia="es-ES"/>
        </w:rPr>
      </w:pPr>
      <w:r w:rsidRPr="001A4860">
        <w:rPr>
          <w:sz w:val="22"/>
          <w:szCs w:val="22"/>
          <w:lang w:val="es-ES" w:eastAsia="es-ES"/>
        </w:rPr>
        <w:t>Previo al fundido de la base donde se colocará el piso, se deberá preparar el terreno adecuadamente conformando y compactando hasta alcanzar una compactación de 85 % PROCTOR</w:t>
      </w:r>
    </w:p>
    <w:p w14:paraId="0A6C0CCE" w14:textId="77777777" w:rsidR="001A4860" w:rsidRPr="001A4860" w:rsidRDefault="001A4860" w:rsidP="001A4860">
      <w:pPr>
        <w:rPr>
          <w:sz w:val="22"/>
          <w:szCs w:val="22"/>
          <w:lang w:val="es-ES" w:eastAsia="es-ES"/>
        </w:rPr>
      </w:pPr>
    </w:p>
    <w:p w14:paraId="6E33E6EE" w14:textId="77777777" w:rsidR="001A4860" w:rsidRPr="001A4860" w:rsidRDefault="001A4860" w:rsidP="001A4860">
      <w:pPr>
        <w:rPr>
          <w:sz w:val="22"/>
          <w:szCs w:val="22"/>
          <w:lang w:val="es-ES" w:eastAsia="es-ES"/>
        </w:rPr>
      </w:pPr>
      <w:r w:rsidRPr="001A4860">
        <w:rPr>
          <w:sz w:val="22"/>
          <w:szCs w:val="22"/>
          <w:lang w:val="es-ES" w:eastAsia="es-ES"/>
        </w:rPr>
        <w:t xml:space="preserve">Una vez compactado el terreno, el contratista debe garantizar las guías antes del colado, para evitar agrietamientos por efectos de temperatura. </w:t>
      </w:r>
    </w:p>
    <w:p w14:paraId="582F2179" w14:textId="77777777" w:rsidR="001A4860" w:rsidRPr="001A4860" w:rsidRDefault="001A4860" w:rsidP="001A4860">
      <w:pPr>
        <w:rPr>
          <w:sz w:val="22"/>
          <w:szCs w:val="22"/>
          <w:lang w:val="es-ES" w:eastAsia="es-ES"/>
        </w:rPr>
      </w:pPr>
    </w:p>
    <w:p w14:paraId="2323FB7F" w14:textId="77777777" w:rsidR="001A4860" w:rsidRPr="001A4860" w:rsidRDefault="001A4860" w:rsidP="001A4860">
      <w:pPr>
        <w:rPr>
          <w:sz w:val="22"/>
          <w:szCs w:val="22"/>
          <w:lang w:val="es-ES" w:eastAsia="es-ES"/>
        </w:rPr>
      </w:pPr>
      <w:r w:rsidRPr="001A4860">
        <w:rPr>
          <w:sz w:val="22"/>
          <w:szCs w:val="22"/>
          <w:lang w:val="es-ES" w:eastAsia="es-ES"/>
        </w:rPr>
        <w:t>La preparación del concreto se realiza a través de medios mecánicos o manuales. La mezcla deberá ser satisfactoriamente plástica y laborable durante el proceso de colado. El concreto es curado durante un periodo de siete (7) días, antes decolorar las baldosas o ladrillos.</w:t>
      </w:r>
    </w:p>
    <w:p w14:paraId="3673F720" w14:textId="77777777" w:rsidR="001A4860" w:rsidRPr="001A4860" w:rsidRDefault="001A4860" w:rsidP="001A4860">
      <w:pPr>
        <w:rPr>
          <w:sz w:val="22"/>
          <w:szCs w:val="22"/>
          <w:lang w:val="es-ES" w:eastAsia="es-ES"/>
        </w:rPr>
      </w:pPr>
    </w:p>
    <w:p w14:paraId="19DC651D" w14:textId="77777777" w:rsidR="001A4860" w:rsidRPr="001A4860" w:rsidRDefault="001A4860" w:rsidP="001A4860">
      <w:pPr>
        <w:keepNext/>
        <w:ind w:left="720" w:hanging="720"/>
        <w:outlineLvl w:val="2"/>
        <w:rPr>
          <w:rFonts w:eastAsia="Arial Narrow"/>
          <w:b/>
          <w:bCs/>
          <w:iCs/>
          <w:sz w:val="22"/>
          <w:szCs w:val="22"/>
          <w:lang w:val="es-ES" w:bidi="en-US"/>
        </w:rPr>
      </w:pPr>
      <w:bookmarkStart w:id="870" w:name="_Toc23249468"/>
      <w:r w:rsidRPr="001A4860">
        <w:rPr>
          <w:rFonts w:eastAsia="Arial Narrow"/>
          <w:b/>
          <w:bCs/>
          <w:iCs/>
          <w:sz w:val="22"/>
          <w:szCs w:val="22"/>
          <w:lang w:val="es-ES" w:bidi="en-US"/>
        </w:rPr>
        <w:t>Puertas tipo verjas</w:t>
      </w:r>
      <w:bookmarkEnd w:id="870"/>
    </w:p>
    <w:p w14:paraId="371FBEE3" w14:textId="77777777" w:rsidR="001A4860" w:rsidRPr="001A4860" w:rsidRDefault="001A4860" w:rsidP="001A4860">
      <w:pPr>
        <w:rPr>
          <w:sz w:val="22"/>
          <w:szCs w:val="22"/>
          <w:lang w:val="es-ES" w:eastAsia="es-ES"/>
        </w:rPr>
      </w:pPr>
    </w:p>
    <w:p w14:paraId="57EACA87" w14:textId="77777777" w:rsidR="001A4860" w:rsidRPr="001A4860" w:rsidRDefault="001A4860" w:rsidP="001A4860">
      <w:pPr>
        <w:rPr>
          <w:sz w:val="22"/>
          <w:szCs w:val="22"/>
          <w:lang w:val="es-ES" w:eastAsia="es-ES"/>
        </w:rPr>
      </w:pPr>
      <w:r w:rsidRPr="001A4860">
        <w:rPr>
          <w:sz w:val="22"/>
          <w:szCs w:val="22"/>
          <w:lang w:val="es-ES" w:eastAsia="es-ES"/>
        </w:rPr>
        <w:t>Se realizan según se indica en los planos, empotradas en las columnas de concreto.</w:t>
      </w:r>
    </w:p>
    <w:p w14:paraId="6568827E" w14:textId="77777777" w:rsidR="001A4860" w:rsidRPr="001A4860" w:rsidRDefault="001A4860" w:rsidP="001A4860">
      <w:pPr>
        <w:rPr>
          <w:sz w:val="22"/>
          <w:szCs w:val="22"/>
          <w:lang w:val="es-ES" w:eastAsia="es-ES"/>
        </w:rPr>
      </w:pPr>
    </w:p>
    <w:p w14:paraId="756319BA" w14:textId="77777777" w:rsidR="001A4860" w:rsidRPr="001A4860" w:rsidRDefault="001A4860" w:rsidP="001A4860">
      <w:pPr>
        <w:rPr>
          <w:sz w:val="22"/>
          <w:szCs w:val="22"/>
          <w:lang w:val="es-ES" w:eastAsia="es-ES"/>
        </w:rPr>
      </w:pPr>
      <w:r w:rsidRPr="001A4860">
        <w:rPr>
          <w:sz w:val="22"/>
          <w:szCs w:val="22"/>
          <w:lang w:val="es-ES" w:eastAsia="es-ES"/>
        </w:rPr>
        <w:t xml:space="preserve">Toda la estructura llegara pintada a la obra con pintura anticorrosiva prueba de óxido. Se removerá la pintura de las superficies que deberán ser soldadas, en una distancia máxima en que por efecto de calentamiento se haya deteriorado. </w:t>
      </w:r>
    </w:p>
    <w:p w14:paraId="75DEDB5E" w14:textId="77777777" w:rsidR="001A4860" w:rsidRPr="001A4860" w:rsidRDefault="001A4860" w:rsidP="001A4860">
      <w:pPr>
        <w:rPr>
          <w:sz w:val="22"/>
          <w:szCs w:val="22"/>
          <w:lang w:val="es-ES" w:eastAsia="es-ES"/>
        </w:rPr>
      </w:pPr>
    </w:p>
    <w:p w14:paraId="0192AD72" w14:textId="77777777" w:rsidR="001A4860" w:rsidRPr="001A4860" w:rsidRDefault="001A4860" w:rsidP="001A4860">
      <w:pPr>
        <w:rPr>
          <w:sz w:val="22"/>
          <w:szCs w:val="22"/>
          <w:lang w:val="es-ES" w:eastAsia="es-ES"/>
        </w:rPr>
      </w:pPr>
      <w:r w:rsidRPr="001A4860">
        <w:rPr>
          <w:sz w:val="22"/>
          <w:szCs w:val="22"/>
          <w:lang w:val="es-ES" w:eastAsia="es-ES"/>
        </w:rPr>
        <w:t>Después de la erección se deberán pintar con el mismo tipo de pintura y las conexiones hechas en el sitio y las secciones golpeadas y reyadas. Las superficies deberán estar secas cuando se aplique la pintura anticorrosiva según especificaciones del fabricante.</w:t>
      </w:r>
    </w:p>
    <w:p w14:paraId="7314B179" w14:textId="77777777" w:rsidR="001A4860" w:rsidRPr="001A4860" w:rsidRDefault="001A4860" w:rsidP="001A4860">
      <w:pPr>
        <w:rPr>
          <w:sz w:val="22"/>
          <w:szCs w:val="22"/>
          <w:lang w:val="es-ES" w:eastAsia="es-ES"/>
        </w:rPr>
      </w:pPr>
    </w:p>
    <w:p w14:paraId="7BE95E99" w14:textId="77777777" w:rsidR="001A4860" w:rsidRPr="001A4860" w:rsidRDefault="001A4860" w:rsidP="001A4860">
      <w:pPr>
        <w:rPr>
          <w:sz w:val="22"/>
          <w:szCs w:val="22"/>
          <w:lang w:val="es-ES" w:eastAsia="es-ES"/>
        </w:rPr>
      </w:pPr>
      <w:r w:rsidRPr="001A4860">
        <w:rPr>
          <w:sz w:val="22"/>
          <w:szCs w:val="22"/>
          <w:lang w:val="es-ES" w:eastAsia="es-ES"/>
        </w:rPr>
        <w:lastRenderedPageBreak/>
        <w:t xml:space="preserve">Toda la soldadura incluyendo precauciones de seguridad; diseño de conexiones soldadas, electrodos, filler metal, mano de obra, inspección y examen de operador es de acuerdo con las normas aplicadas determinadas por el Ingeniero supervisor y al tenor de la última edición del A.W.S. y del A.I.S.C. El electrodo a usarse es de clase E 613 para obras de acero estructural y clase E 70x A.W.S. para barras con refuerzo de fluencia de 40,000.00 PSI. </w:t>
      </w:r>
    </w:p>
    <w:p w14:paraId="42DF11B0" w14:textId="77777777" w:rsidR="001A4860" w:rsidRPr="001A4860" w:rsidRDefault="001A4860" w:rsidP="001A4860">
      <w:pPr>
        <w:rPr>
          <w:sz w:val="22"/>
          <w:szCs w:val="22"/>
          <w:lang w:val="es-ES" w:eastAsia="es-ES"/>
        </w:rPr>
      </w:pPr>
    </w:p>
    <w:p w14:paraId="02B65B64" w14:textId="77777777" w:rsidR="001A4860" w:rsidRPr="001A4860" w:rsidRDefault="001A4860" w:rsidP="001A4860">
      <w:pPr>
        <w:rPr>
          <w:sz w:val="22"/>
          <w:szCs w:val="22"/>
          <w:lang w:val="es-ES" w:eastAsia="es-ES"/>
        </w:rPr>
      </w:pPr>
      <w:r w:rsidRPr="001A4860">
        <w:rPr>
          <w:sz w:val="22"/>
          <w:szCs w:val="22"/>
          <w:lang w:val="es-ES" w:eastAsia="es-ES"/>
        </w:rPr>
        <w:t xml:space="preserve">Todos los métodos y electrodos de soldar a usarse deberán ser aprobados por el Ingeniero supervisor. </w:t>
      </w:r>
    </w:p>
    <w:p w14:paraId="28DCC5A0" w14:textId="77777777" w:rsidR="001A4860" w:rsidRPr="001A4860" w:rsidRDefault="001A4860" w:rsidP="001A4860">
      <w:pPr>
        <w:rPr>
          <w:sz w:val="22"/>
          <w:szCs w:val="22"/>
          <w:lang w:val="es-ES" w:eastAsia="es-ES"/>
        </w:rPr>
      </w:pPr>
    </w:p>
    <w:p w14:paraId="38964ABE" w14:textId="77777777" w:rsidR="001A4860" w:rsidRPr="001A4860" w:rsidRDefault="001A4860" w:rsidP="001A4860">
      <w:pPr>
        <w:rPr>
          <w:sz w:val="22"/>
          <w:szCs w:val="22"/>
          <w:lang w:val="es-ES" w:eastAsia="es-ES"/>
        </w:rPr>
      </w:pPr>
      <w:r w:rsidRPr="001A4860">
        <w:rPr>
          <w:sz w:val="22"/>
          <w:szCs w:val="22"/>
          <w:lang w:val="es-ES" w:eastAsia="es-ES"/>
        </w:rPr>
        <w:t xml:space="preserve">Las soldaduras defectuosas deben ser cortadas o parcialmente de acuerdo a lo indicado por el Ingeniero supervisor y deben ser resoldadas. Si se suscita duda sobre la eficiencia de la soldadura hecha, el Ingeniero supervisor podrá ordenar pruebas de trepanación de soldadura y si demuestran deficiencia se chequearán todas las soldaduras. </w:t>
      </w:r>
    </w:p>
    <w:p w14:paraId="78BE2DAB" w14:textId="77777777" w:rsidR="001A4860" w:rsidRPr="001A4860" w:rsidRDefault="001A4860" w:rsidP="001A4860">
      <w:pPr>
        <w:rPr>
          <w:sz w:val="22"/>
          <w:szCs w:val="22"/>
          <w:lang w:val="es-ES" w:eastAsia="es-ES"/>
        </w:rPr>
      </w:pPr>
    </w:p>
    <w:p w14:paraId="32EAE060" w14:textId="77777777" w:rsidR="001A4860" w:rsidRPr="001A4860" w:rsidRDefault="001A4860" w:rsidP="001A4860">
      <w:pPr>
        <w:rPr>
          <w:sz w:val="22"/>
          <w:szCs w:val="22"/>
          <w:lang w:val="es-ES" w:eastAsia="es-ES"/>
        </w:rPr>
      </w:pPr>
      <w:r w:rsidRPr="001A4860">
        <w:rPr>
          <w:sz w:val="22"/>
          <w:szCs w:val="22"/>
          <w:lang w:val="es-ES" w:eastAsia="es-ES"/>
        </w:rPr>
        <w:t xml:space="preserve">Todos los marcos y puertas se colocaran a plomo, a escuadra, a nivel ya su línea asegurándose a la pared.. </w:t>
      </w:r>
    </w:p>
    <w:p w14:paraId="77AE8209" w14:textId="77777777" w:rsidR="001A4860" w:rsidRPr="001A4860" w:rsidRDefault="001A4860" w:rsidP="001A4860">
      <w:pPr>
        <w:rPr>
          <w:sz w:val="22"/>
          <w:szCs w:val="22"/>
          <w:lang w:val="es-ES" w:eastAsia="es-ES"/>
        </w:rPr>
      </w:pPr>
    </w:p>
    <w:p w14:paraId="7CBF9830" w14:textId="77777777" w:rsidR="001A4860" w:rsidRPr="001A4860" w:rsidRDefault="001A4860" w:rsidP="001A4860">
      <w:pPr>
        <w:rPr>
          <w:sz w:val="22"/>
          <w:szCs w:val="22"/>
          <w:lang w:val="es-ES" w:eastAsia="es-ES"/>
        </w:rPr>
      </w:pPr>
      <w:r w:rsidRPr="001A4860">
        <w:rPr>
          <w:sz w:val="22"/>
          <w:szCs w:val="22"/>
          <w:lang w:val="es-ES" w:eastAsia="es-ES"/>
        </w:rPr>
        <w:t>Las bisagras deben ser escopleadas al marco. EL contratista instalara las puertas y sus herrajes correspondientes en la cantidad que se indica en los planos y entregara las puertas y herrajes funcionando suave y correctamente.</w:t>
      </w:r>
    </w:p>
    <w:p w14:paraId="5D3E72A1" w14:textId="77777777" w:rsidR="001A4860" w:rsidRPr="001A4860" w:rsidRDefault="001A4860" w:rsidP="001A4860">
      <w:pPr>
        <w:rPr>
          <w:sz w:val="22"/>
          <w:szCs w:val="22"/>
          <w:lang w:val="es-ES" w:eastAsia="es-ES"/>
        </w:rPr>
      </w:pPr>
    </w:p>
    <w:p w14:paraId="3FC07ACE" w14:textId="77777777" w:rsidR="001A4860" w:rsidRPr="001A4860" w:rsidRDefault="001A4860" w:rsidP="001A4860">
      <w:pPr>
        <w:keepNext/>
        <w:ind w:left="720" w:hanging="720"/>
        <w:outlineLvl w:val="2"/>
        <w:rPr>
          <w:rFonts w:eastAsia="Arial Narrow"/>
          <w:b/>
          <w:bCs/>
          <w:iCs/>
          <w:sz w:val="22"/>
          <w:szCs w:val="22"/>
          <w:lang w:val="es-ES" w:bidi="en-US"/>
        </w:rPr>
      </w:pPr>
      <w:bookmarkStart w:id="871" w:name="_Toc23249469"/>
      <w:r w:rsidRPr="001A4860">
        <w:rPr>
          <w:rFonts w:eastAsia="Arial Narrow"/>
          <w:b/>
          <w:bCs/>
          <w:iCs/>
          <w:sz w:val="22"/>
          <w:szCs w:val="22"/>
          <w:lang w:val="es-ES" w:bidi="en-US"/>
        </w:rPr>
        <w:t>Pintura corriente</w:t>
      </w:r>
      <w:bookmarkEnd w:id="871"/>
    </w:p>
    <w:p w14:paraId="56341564" w14:textId="77777777" w:rsidR="001A4860" w:rsidRPr="001A4860" w:rsidRDefault="001A4860" w:rsidP="001A4860">
      <w:pPr>
        <w:rPr>
          <w:sz w:val="22"/>
          <w:szCs w:val="22"/>
          <w:lang w:val="es-ES" w:eastAsia="es-ES"/>
        </w:rPr>
      </w:pPr>
    </w:p>
    <w:p w14:paraId="27256E07" w14:textId="77777777" w:rsidR="001A4860" w:rsidRPr="001A4860" w:rsidRDefault="001A4860" w:rsidP="001A4860">
      <w:pPr>
        <w:rPr>
          <w:sz w:val="22"/>
          <w:szCs w:val="22"/>
          <w:lang w:val="es-ES" w:eastAsia="es-ES"/>
        </w:rPr>
      </w:pPr>
      <w:r w:rsidRPr="001A4860">
        <w:rPr>
          <w:sz w:val="22"/>
          <w:szCs w:val="22"/>
          <w:lang w:val="es-ES" w:eastAsia="es-ES"/>
        </w:rPr>
        <w:t>1) Toda la pintura a usarse en el proyecto es de la más alta calidad. Se recomienda que los fabricantes sean industrias nacionales establecidas de marca reconocida y de calidad comprobada de sus productos. Los materiales y marcas de pinturas a usarse en la obra, deben ser sometidos a la aprobación del supervisor.</w:t>
      </w:r>
    </w:p>
    <w:p w14:paraId="61FACE12" w14:textId="77777777" w:rsidR="001A4860" w:rsidRPr="001A4860" w:rsidRDefault="001A4860" w:rsidP="001A4860">
      <w:pPr>
        <w:rPr>
          <w:sz w:val="22"/>
          <w:szCs w:val="22"/>
          <w:lang w:val="es-ES" w:eastAsia="es-ES"/>
        </w:rPr>
      </w:pPr>
    </w:p>
    <w:p w14:paraId="6DC065F9" w14:textId="77777777" w:rsidR="001A4860" w:rsidRPr="001A4860" w:rsidRDefault="001A4860" w:rsidP="001A4860">
      <w:pPr>
        <w:rPr>
          <w:sz w:val="22"/>
          <w:szCs w:val="22"/>
          <w:lang w:val="es-ES" w:eastAsia="es-ES"/>
        </w:rPr>
      </w:pPr>
      <w:r w:rsidRPr="001A4860">
        <w:rPr>
          <w:sz w:val="22"/>
          <w:szCs w:val="22"/>
          <w:lang w:val="es-ES" w:eastAsia="es-ES"/>
        </w:rPr>
        <w:t>2) Colores y tipos de pinturas: el proceso constructivo, antes de iniciar la etapa de pintura, la definición de los colores es por parte del dueño de la obra. Los tipo de pinturas a usarse, están definidas en los planos y en todo caso el supervisor, podrá hacer las modificaciones cuando considere conveniente en beneficio del proyecto, toda definición de colores y cambios en los tipos de pinturas deben ser ratificadas por el supervisor en el libro de bitácora.</w:t>
      </w:r>
    </w:p>
    <w:p w14:paraId="0914EEB5" w14:textId="77777777" w:rsidR="001A4860" w:rsidRPr="001A4860" w:rsidRDefault="001A4860" w:rsidP="001A4860">
      <w:pPr>
        <w:rPr>
          <w:sz w:val="22"/>
          <w:szCs w:val="22"/>
          <w:lang w:val="es-ES" w:eastAsia="es-ES"/>
        </w:rPr>
      </w:pPr>
    </w:p>
    <w:p w14:paraId="031642F1" w14:textId="77777777" w:rsidR="001A4860" w:rsidRPr="001A4860" w:rsidRDefault="001A4860" w:rsidP="001A4860">
      <w:pPr>
        <w:rPr>
          <w:sz w:val="22"/>
          <w:szCs w:val="22"/>
          <w:lang w:val="es-ES" w:eastAsia="es-ES"/>
        </w:rPr>
      </w:pPr>
      <w:r w:rsidRPr="001A4860">
        <w:rPr>
          <w:sz w:val="22"/>
          <w:szCs w:val="22"/>
          <w:lang w:val="es-ES" w:eastAsia="es-ES"/>
        </w:rPr>
        <w:t>3) Toda la pintura como material es entregado en la obra en sus envases originales, con la etiqueta intacta y sin abrir. El contratista deberá entregar certificado de calidad del producto a aplicarse en la obra. Con la excepción de materiales ya mezclados, toda mezcla se realiza en la obra.  El lugar de almacenaje estará protegido contra daños.  Las pinturas se mantendrán tapadas y se tomaran precauciones para evitar fuego.</w:t>
      </w:r>
    </w:p>
    <w:p w14:paraId="0812B8F9" w14:textId="77777777" w:rsidR="001A4860" w:rsidRPr="001A4860" w:rsidRDefault="001A4860" w:rsidP="001A4860">
      <w:pPr>
        <w:rPr>
          <w:sz w:val="22"/>
          <w:szCs w:val="22"/>
          <w:lang w:val="es-ES" w:eastAsia="es-ES"/>
        </w:rPr>
      </w:pPr>
    </w:p>
    <w:p w14:paraId="514EDC62" w14:textId="77777777" w:rsidR="001A4860" w:rsidRPr="001A4860" w:rsidRDefault="001A4860" w:rsidP="001A4860">
      <w:pPr>
        <w:rPr>
          <w:sz w:val="22"/>
          <w:szCs w:val="22"/>
          <w:lang w:val="es-ES" w:eastAsia="es-ES"/>
        </w:rPr>
      </w:pPr>
      <w:r w:rsidRPr="001A4860">
        <w:rPr>
          <w:sz w:val="22"/>
          <w:szCs w:val="22"/>
          <w:lang w:val="es-ES" w:eastAsia="es-ES"/>
        </w:rPr>
        <w:t>4) Sin excepción, se debe eliminar todo el polvo o sustancias extrañas. Los aditivos para el curado del concreto deben eliminarse con chorro de arena o dejar expuestas la superficie a la intemperie por varios meses. Antes de pintar una superficie de cemento debe dejarse transcurrir por lo menos 30 días para que el concreto este totalmente fraguado. De lo contrario la humedad y sustancias alcalinas seguirán saliendo y podrían dañar la pintura.</w:t>
      </w:r>
    </w:p>
    <w:p w14:paraId="596987B6" w14:textId="77777777" w:rsidR="001A4860" w:rsidRPr="001A4860" w:rsidRDefault="001A4860" w:rsidP="001A4860">
      <w:pPr>
        <w:rPr>
          <w:sz w:val="22"/>
          <w:szCs w:val="22"/>
          <w:lang w:val="es-ES" w:eastAsia="es-ES"/>
        </w:rPr>
      </w:pPr>
    </w:p>
    <w:p w14:paraId="40884628" w14:textId="77777777" w:rsidR="001A4860" w:rsidRPr="001A4860" w:rsidRDefault="001A4860" w:rsidP="001A4860">
      <w:pPr>
        <w:rPr>
          <w:sz w:val="22"/>
          <w:szCs w:val="22"/>
          <w:lang w:val="es-ES" w:eastAsia="es-ES"/>
        </w:rPr>
      </w:pPr>
      <w:r w:rsidRPr="001A4860">
        <w:rPr>
          <w:sz w:val="22"/>
          <w:szCs w:val="22"/>
          <w:lang w:val="es-ES" w:eastAsia="es-ES"/>
        </w:rPr>
        <w:t>5) El trabajo de pintura no se realiza durante tiempo nebuloso o de extrema humedad o lluvia. La aplicación de toda la pintura se recomienda sea con brochas, rodillos o pistola, el tiempo promedio entre cada mano de pintura es de 24 horas. Toda el material de pintura deberá aplicarse parejo, libre de chorreaduras, manchas, parches y otros defectos. Todas las manos deben ser de la consistencia debida y sin marcas de brocha o rodillo.  Se recomiendan usar diluyente en la proporción indicada por el fabricante de las pinturas. No se deberá usar gasolina para adelgazar las pinturas anticorrosivas, aceites y barnices.</w:t>
      </w:r>
    </w:p>
    <w:p w14:paraId="46F83BBB" w14:textId="77777777" w:rsidR="001A4860" w:rsidRPr="001A4860" w:rsidRDefault="001A4860" w:rsidP="001A4860">
      <w:pPr>
        <w:rPr>
          <w:sz w:val="22"/>
          <w:szCs w:val="22"/>
          <w:lang w:val="es-ES" w:eastAsia="es-ES"/>
        </w:rPr>
      </w:pPr>
      <w:r w:rsidRPr="001A4860">
        <w:rPr>
          <w:sz w:val="22"/>
          <w:szCs w:val="22"/>
          <w:lang w:val="es-ES" w:eastAsia="es-ES"/>
        </w:rPr>
        <w:t>Todos los trabajos de pintura deberán ser ejecutados por personal con vasta experiencia en esta especialidad.</w:t>
      </w:r>
    </w:p>
    <w:p w14:paraId="3C184E8C" w14:textId="77777777" w:rsidR="001A4860" w:rsidRPr="001A4860" w:rsidRDefault="001A4860" w:rsidP="001A4860">
      <w:pPr>
        <w:rPr>
          <w:sz w:val="22"/>
          <w:szCs w:val="22"/>
          <w:lang w:val="es-ES" w:eastAsia="es-ES"/>
        </w:rPr>
      </w:pPr>
    </w:p>
    <w:p w14:paraId="0B8A33FE" w14:textId="77777777" w:rsidR="001A4860" w:rsidRPr="001A4860" w:rsidRDefault="001A4860" w:rsidP="001A4860">
      <w:pPr>
        <w:rPr>
          <w:sz w:val="22"/>
          <w:szCs w:val="22"/>
          <w:lang w:val="es-ES" w:eastAsia="es-ES"/>
        </w:rPr>
      </w:pPr>
      <w:r w:rsidRPr="001A4860">
        <w:rPr>
          <w:sz w:val="22"/>
          <w:szCs w:val="22"/>
          <w:lang w:val="es-ES" w:eastAsia="es-ES"/>
        </w:rPr>
        <w:lastRenderedPageBreak/>
        <w:t>6) Todo el lugar donde se realizarán actividades de pinturas, deberá ser barrido previo a iniciar los trabajos. El contratista deberá suministrar y colocar cobertores de tela gruesa en todas las áreas donde este pintado, para proteger los pisos y otros trabajos totalmente de cualquier daño.</w:t>
      </w:r>
    </w:p>
    <w:p w14:paraId="4FF956AA" w14:textId="77777777" w:rsidR="001A4860" w:rsidRPr="001A4860" w:rsidRDefault="001A4860" w:rsidP="001A4860">
      <w:pPr>
        <w:rPr>
          <w:sz w:val="22"/>
          <w:szCs w:val="22"/>
          <w:lang w:val="es-ES" w:eastAsia="es-ES"/>
        </w:rPr>
      </w:pPr>
    </w:p>
    <w:p w14:paraId="2B7E84DC" w14:textId="77777777" w:rsidR="001A4860" w:rsidRPr="001A4860" w:rsidRDefault="001A4860" w:rsidP="001A4860">
      <w:pPr>
        <w:rPr>
          <w:sz w:val="22"/>
          <w:szCs w:val="22"/>
          <w:lang w:val="es-ES" w:eastAsia="es-ES"/>
        </w:rPr>
      </w:pPr>
      <w:r w:rsidRPr="001A4860">
        <w:rPr>
          <w:sz w:val="22"/>
          <w:szCs w:val="22"/>
          <w:lang w:val="es-ES" w:eastAsia="es-ES"/>
        </w:rPr>
        <w:t>El contratista es responsable y deberá remover toda pintura donde se haya derramado o salpicado y reparar las superficies dañadas incluyendo artefactos, vidrios, muebles, herrajes etc. de una manera satisfactoria para el Ingeniero supervisor.</w:t>
      </w:r>
    </w:p>
    <w:p w14:paraId="2FBBC23E" w14:textId="77777777" w:rsidR="001A4860" w:rsidRPr="001A4860" w:rsidRDefault="001A4860" w:rsidP="001A4860">
      <w:pPr>
        <w:rPr>
          <w:sz w:val="22"/>
          <w:szCs w:val="22"/>
          <w:lang w:val="es-ES" w:eastAsia="es-ES"/>
        </w:rPr>
      </w:pPr>
    </w:p>
    <w:p w14:paraId="51178197" w14:textId="77777777" w:rsidR="001A4860" w:rsidRPr="001A4860" w:rsidRDefault="001A4860" w:rsidP="001A4860">
      <w:pPr>
        <w:rPr>
          <w:sz w:val="22"/>
          <w:szCs w:val="22"/>
          <w:lang w:val="es-ES" w:eastAsia="es-ES"/>
        </w:rPr>
      </w:pPr>
      <w:r w:rsidRPr="001A4860">
        <w:rPr>
          <w:sz w:val="22"/>
          <w:szCs w:val="22"/>
          <w:lang w:val="es-ES" w:eastAsia="es-ES"/>
        </w:rPr>
        <w:t xml:space="preserve">10) El supervisor realiza que se corrijan todos los defectos. El contratista suplirá lija, masilla, diluyentes, pinturas, herramientas, etc. para efectuar todas aquellas reparaciones que demande el supervisor. Los costos que se incurran en concepto reparaciones de trabajos de pinturas por mala aplicación de los materiales, materiales o marcas no autorizadas, materiales defectuosos, mano de obra no calificada o por no seguir las instrucciones del fabricante para aplicar sus productos, deben ser por cuenta del contratista, no teniendo derecho a ningún reembolso por gastos adicionales. </w:t>
      </w:r>
    </w:p>
    <w:p w14:paraId="0DD3591F" w14:textId="77777777" w:rsidR="001A4860" w:rsidRPr="001A4860" w:rsidRDefault="001A4860" w:rsidP="001A4860">
      <w:pPr>
        <w:rPr>
          <w:sz w:val="22"/>
          <w:szCs w:val="22"/>
          <w:lang w:val="es-ES" w:eastAsia="es-ES"/>
        </w:rPr>
      </w:pPr>
    </w:p>
    <w:p w14:paraId="000EB6E2" w14:textId="77777777" w:rsidR="001A4860" w:rsidRPr="001A4860" w:rsidRDefault="001A4860" w:rsidP="001A4860">
      <w:pPr>
        <w:keepNext/>
        <w:ind w:left="720" w:hanging="720"/>
        <w:outlineLvl w:val="2"/>
        <w:rPr>
          <w:rFonts w:eastAsia="Arial Narrow"/>
          <w:b/>
          <w:bCs/>
          <w:iCs/>
          <w:sz w:val="22"/>
          <w:szCs w:val="22"/>
          <w:lang w:val="es-ES" w:bidi="en-US"/>
        </w:rPr>
      </w:pPr>
      <w:bookmarkStart w:id="872" w:name="_Toc23249470"/>
      <w:r w:rsidRPr="001A4860">
        <w:rPr>
          <w:rFonts w:eastAsia="Arial Narrow"/>
          <w:b/>
          <w:bCs/>
          <w:iCs/>
          <w:sz w:val="22"/>
          <w:szCs w:val="22"/>
          <w:lang w:val="es-ES" w:bidi="en-US"/>
        </w:rPr>
        <w:t>Cielo rasos</w:t>
      </w:r>
      <w:bookmarkEnd w:id="872"/>
    </w:p>
    <w:p w14:paraId="4F8AAD8E" w14:textId="77777777" w:rsidR="001A4860" w:rsidRPr="001A4860" w:rsidRDefault="001A4860" w:rsidP="001A4860">
      <w:pPr>
        <w:rPr>
          <w:sz w:val="22"/>
          <w:szCs w:val="22"/>
          <w:lang w:val="es-ES" w:eastAsia="es-ES"/>
        </w:rPr>
      </w:pPr>
    </w:p>
    <w:p w14:paraId="1630F5EF" w14:textId="77777777" w:rsidR="001A4860" w:rsidRPr="001A4860" w:rsidRDefault="001A4860" w:rsidP="001A4860">
      <w:pPr>
        <w:rPr>
          <w:sz w:val="22"/>
          <w:szCs w:val="22"/>
          <w:lang w:val="es-ES" w:eastAsia="es-ES"/>
        </w:rPr>
      </w:pPr>
      <w:r w:rsidRPr="001A4860">
        <w:rPr>
          <w:sz w:val="22"/>
          <w:szCs w:val="22"/>
          <w:lang w:val="es-ES" w:eastAsia="es-ES"/>
        </w:rPr>
        <w:t xml:space="preserve">Se refiere esta sección o etapa a todos los cielos rasos, tipo de esqueleto donde se apoya el forro del cielo, y al tipo de forro que llevará o formará el cielo raso terminado. 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complementos necesarios, para la terminación de la obra. </w:t>
      </w:r>
    </w:p>
    <w:p w14:paraId="6F578EAA" w14:textId="77777777" w:rsidR="001A4860" w:rsidRPr="001A4860" w:rsidRDefault="001A4860" w:rsidP="001A4860">
      <w:pPr>
        <w:rPr>
          <w:sz w:val="22"/>
          <w:szCs w:val="22"/>
          <w:lang w:val="es-ES" w:eastAsia="es-ES"/>
        </w:rPr>
      </w:pPr>
      <w:r w:rsidRPr="001A4860">
        <w:rPr>
          <w:sz w:val="22"/>
          <w:szCs w:val="22"/>
          <w:lang w:val="es-ES" w:eastAsia="es-ES"/>
        </w:rPr>
        <w:t xml:space="preserve">El contratista garantizará su rigidez y resistencia a flexiones y hundimientos deberá coordinarse con las instalaciones y lámparas. Una vez terminado el trabajo, toda basura o material sobrante resultado de esta operación, deben ser removidos del sitio de la obra, dejándose los edificios y terrenos adyacentes en una condición aceptable, limpia y nítida. El material de escombros es botado en el botadero municipal, el material flamables es quemado. </w:t>
      </w:r>
    </w:p>
    <w:p w14:paraId="0D08FC7B" w14:textId="77777777" w:rsidR="001A4860" w:rsidRPr="001A4860" w:rsidRDefault="001A4860" w:rsidP="001A4860">
      <w:pPr>
        <w:rPr>
          <w:sz w:val="22"/>
          <w:szCs w:val="22"/>
          <w:lang w:val="es-ES" w:eastAsia="es-ES"/>
        </w:rPr>
      </w:pPr>
    </w:p>
    <w:p w14:paraId="2CCAC3BD" w14:textId="77777777" w:rsidR="001A4860" w:rsidRPr="001A4860" w:rsidRDefault="001A4860" w:rsidP="001A4860">
      <w:pPr>
        <w:keepNext/>
        <w:ind w:left="720" w:hanging="720"/>
        <w:outlineLvl w:val="2"/>
        <w:rPr>
          <w:rFonts w:eastAsia="Arial Narrow"/>
          <w:b/>
          <w:bCs/>
          <w:iCs/>
          <w:sz w:val="22"/>
          <w:szCs w:val="22"/>
          <w:lang w:val="es-ES" w:bidi="en-US"/>
        </w:rPr>
      </w:pPr>
      <w:bookmarkStart w:id="873" w:name="_Toc23249471"/>
      <w:r w:rsidRPr="001A4860">
        <w:rPr>
          <w:rFonts w:eastAsia="Arial Narrow"/>
          <w:b/>
          <w:bCs/>
          <w:iCs/>
          <w:sz w:val="22"/>
          <w:szCs w:val="22"/>
          <w:lang w:val="es-ES" w:bidi="en-US"/>
        </w:rPr>
        <w:t>Cielo raso plycem texturizado de 2'x2'x 6 mm con estructurametalica:</w:t>
      </w:r>
      <w:bookmarkEnd w:id="873"/>
    </w:p>
    <w:p w14:paraId="79C40751" w14:textId="77777777" w:rsidR="001A4860" w:rsidRPr="001A4860" w:rsidRDefault="001A4860" w:rsidP="001A4860">
      <w:pPr>
        <w:rPr>
          <w:sz w:val="22"/>
          <w:szCs w:val="22"/>
          <w:lang w:val="es-ES" w:eastAsia="es-ES"/>
        </w:rPr>
      </w:pPr>
    </w:p>
    <w:p w14:paraId="7059B093" w14:textId="77777777" w:rsidR="001A4860" w:rsidRPr="001A4860" w:rsidRDefault="001A4860" w:rsidP="001A4860">
      <w:pPr>
        <w:rPr>
          <w:sz w:val="22"/>
          <w:szCs w:val="22"/>
          <w:lang w:val="es-ES" w:eastAsia="es-ES"/>
        </w:rPr>
      </w:pPr>
      <w:r w:rsidRPr="001A4860">
        <w:rPr>
          <w:sz w:val="22"/>
          <w:szCs w:val="22"/>
          <w:lang w:val="es-ES" w:eastAsia="es-ES"/>
        </w:rPr>
        <w:t>Se refiere esta sub-etapa al forro en cielos rasos con material plycem de 6 milímetros de espesor, los que deben ser cortados en cuadros de 0.60x0.6 metros (2'X2) el espesor es de 6 milímetros estos deben ser texturizados en fabrica con pintura del color y calidad que el Ingeniero supervisor indique y con betas pringadas con pintura de color y calidad que el Ingeniero supervisor indique, estos no tendrán fallas de ninguna clase, ni sucios irán colocados en una estructura de aluminio para cielo raso, esta estructura es de perfiles de aluminio los que según el caso irán colocados en cross tee, main tee y wall tee, estos deben ser sin fallas, una vez colocada la estructura y los forros se colocara o prensara con alambre galvanizado calibre 16. En caso que los materiales estén con defectos estos deben ser quitados y colocados en buen estado por cuenta del contratista</w:t>
      </w:r>
    </w:p>
    <w:p w14:paraId="3BD7E4E0" w14:textId="77777777" w:rsidR="001A4860" w:rsidRPr="001A4860" w:rsidRDefault="001A4860" w:rsidP="001A4860">
      <w:pPr>
        <w:rPr>
          <w:sz w:val="22"/>
          <w:szCs w:val="22"/>
          <w:lang w:val="es-ES" w:eastAsia="es-ES"/>
        </w:rPr>
      </w:pPr>
    </w:p>
    <w:p w14:paraId="64742763" w14:textId="77777777" w:rsidR="001A4860" w:rsidRPr="001A4860" w:rsidRDefault="001A4860" w:rsidP="001A4860">
      <w:pPr>
        <w:keepNext/>
        <w:outlineLvl w:val="1"/>
        <w:rPr>
          <w:rFonts w:eastAsia="Arial Narrow"/>
          <w:b/>
          <w:bCs/>
          <w:iCs/>
          <w:sz w:val="22"/>
          <w:szCs w:val="22"/>
          <w:lang w:val="es-NI"/>
        </w:rPr>
      </w:pPr>
      <w:bookmarkStart w:id="874" w:name="_Toc23249472"/>
      <w:r w:rsidRPr="001A4860">
        <w:rPr>
          <w:rFonts w:eastAsia="Arial Narrow"/>
          <w:b/>
          <w:bCs/>
          <w:iCs/>
          <w:sz w:val="22"/>
          <w:szCs w:val="22"/>
          <w:lang w:val="es-NI"/>
        </w:rPr>
        <w:t>Equipos, tuberías y accesorios</w:t>
      </w:r>
      <w:bookmarkEnd w:id="874"/>
    </w:p>
    <w:p w14:paraId="5717DBC7" w14:textId="77777777" w:rsidR="001A4860" w:rsidRPr="001A4860" w:rsidRDefault="001A4860" w:rsidP="001A4860">
      <w:pPr>
        <w:rPr>
          <w:sz w:val="22"/>
          <w:szCs w:val="22"/>
          <w:lang w:val="es-ES" w:eastAsia="es-ES"/>
        </w:rPr>
      </w:pPr>
    </w:p>
    <w:p w14:paraId="495740D4" w14:textId="77777777" w:rsidR="001A4860" w:rsidRPr="001A4860" w:rsidRDefault="001A4860" w:rsidP="001A4860">
      <w:pPr>
        <w:keepNext/>
        <w:outlineLvl w:val="1"/>
        <w:rPr>
          <w:rFonts w:eastAsia="Arial Narrow"/>
          <w:b/>
          <w:bCs/>
          <w:iCs/>
          <w:sz w:val="22"/>
          <w:szCs w:val="22"/>
          <w:lang w:val="es-NI"/>
        </w:rPr>
      </w:pPr>
      <w:bookmarkStart w:id="875" w:name="_Toc23249473"/>
      <w:r w:rsidRPr="001A4860">
        <w:rPr>
          <w:rFonts w:eastAsia="Arial Narrow"/>
          <w:b/>
          <w:bCs/>
          <w:iCs/>
          <w:sz w:val="22"/>
          <w:szCs w:val="22"/>
          <w:lang w:val="es-NI"/>
        </w:rPr>
        <w:t>Especificaciones para Equipos de Bombeo</w:t>
      </w:r>
      <w:bookmarkEnd w:id="875"/>
    </w:p>
    <w:p w14:paraId="335ECF32" w14:textId="77777777" w:rsidR="001A4860" w:rsidRPr="001A4860" w:rsidRDefault="001A4860" w:rsidP="001A4860">
      <w:pPr>
        <w:rPr>
          <w:sz w:val="22"/>
          <w:szCs w:val="22"/>
          <w:lang w:val="es-ES" w:eastAsia="es-ES"/>
        </w:rPr>
      </w:pPr>
    </w:p>
    <w:p w14:paraId="573F8442" w14:textId="77777777" w:rsidR="001A4860" w:rsidRPr="001A4860" w:rsidRDefault="001A4860" w:rsidP="001A4860">
      <w:pPr>
        <w:keepNext/>
        <w:ind w:left="720" w:hanging="720"/>
        <w:outlineLvl w:val="2"/>
        <w:rPr>
          <w:rFonts w:eastAsia="Arial Narrow"/>
          <w:b/>
          <w:bCs/>
          <w:iCs/>
          <w:sz w:val="22"/>
          <w:szCs w:val="22"/>
          <w:lang w:val="es-ES" w:bidi="en-US"/>
        </w:rPr>
      </w:pPr>
      <w:bookmarkStart w:id="876" w:name="_Toc23249474"/>
      <w:r w:rsidRPr="001A4860">
        <w:rPr>
          <w:rFonts w:eastAsia="Arial Narrow"/>
          <w:b/>
          <w:bCs/>
          <w:iCs/>
          <w:sz w:val="22"/>
          <w:szCs w:val="22"/>
          <w:lang w:val="es-ES" w:bidi="en-US"/>
        </w:rPr>
        <w:t>Generalidades</w:t>
      </w:r>
      <w:bookmarkEnd w:id="876"/>
    </w:p>
    <w:p w14:paraId="3AC1C2AD" w14:textId="77777777" w:rsidR="001A4860" w:rsidRPr="001A4860" w:rsidRDefault="001A4860" w:rsidP="001A4860">
      <w:pPr>
        <w:rPr>
          <w:sz w:val="22"/>
          <w:szCs w:val="22"/>
          <w:lang w:val="es-ES" w:eastAsia="es-ES"/>
        </w:rPr>
      </w:pPr>
    </w:p>
    <w:p w14:paraId="36563380" w14:textId="77777777" w:rsidR="001A4860" w:rsidRPr="001A4860" w:rsidRDefault="001A4860" w:rsidP="001A4860">
      <w:pPr>
        <w:rPr>
          <w:sz w:val="22"/>
          <w:szCs w:val="22"/>
          <w:lang w:val="es-ES" w:eastAsia="es-ES"/>
        </w:rPr>
      </w:pPr>
      <w:r w:rsidRPr="001A4860">
        <w:rPr>
          <w:sz w:val="22"/>
          <w:szCs w:val="22"/>
          <w:lang w:val="es-ES" w:eastAsia="es-ES"/>
        </w:rPr>
        <w:t>a) Estas especificaciones cubren los aspectos relevantes para el suministro, instalación y funcionamiento de equipos de bombeo turbinas sumergibles y de eje vertical, accesorios y materiales necesarios para el equipamiento de los pozos de la licitación.</w:t>
      </w:r>
    </w:p>
    <w:p w14:paraId="2402885F" w14:textId="77777777" w:rsidR="001A4860" w:rsidRPr="001A4860" w:rsidRDefault="001A4860" w:rsidP="001A4860">
      <w:pPr>
        <w:rPr>
          <w:sz w:val="22"/>
          <w:szCs w:val="22"/>
          <w:lang w:val="es-ES" w:eastAsia="es-ES"/>
        </w:rPr>
      </w:pPr>
    </w:p>
    <w:p w14:paraId="10367A4F" w14:textId="77777777" w:rsidR="001A4860" w:rsidRPr="001A4860" w:rsidRDefault="001A4860" w:rsidP="001A4860">
      <w:pPr>
        <w:rPr>
          <w:sz w:val="22"/>
          <w:szCs w:val="22"/>
          <w:lang w:val="es-ES" w:eastAsia="es-ES"/>
        </w:rPr>
      </w:pPr>
      <w:r w:rsidRPr="001A4860">
        <w:rPr>
          <w:sz w:val="22"/>
          <w:szCs w:val="22"/>
          <w:lang w:val="es-ES" w:eastAsia="es-ES"/>
        </w:rPr>
        <w:lastRenderedPageBreak/>
        <w:t>b)  Las especificaciones presentan una breve descripción de los bienes y los datos de las características técnicas mínimas que deben cumplir los equipos y accesorios para su correcta instalación y funcionamiento. Aunque estas especificaciones representan un nivel normal de información, es deber del Oferente proceder de conformidad con lo especificado en las normas, para complementar las especificaciones particulares aquí establecidas.</w:t>
      </w:r>
    </w:p>
    <w:p w14:paraId="14FEDB5B" w14:textId="77777777" w:rsidR="001A4860" w:rsidRPr="001A4860" w:rsidRDefault="001A4860" w:rsidP="001A4860">
      <w:pPr>
        <w:rPr>
          <w:sz w:val="22"/>
          <w:szCs w:val="22"/>
          <w:lang w:val="es-ES" w:eastAsia="es-ES"/>
        </w:rPr>
      </w:pPr>
    </w:p>
    <w:p w14:paraId="1031DD72" w14:textId="77777777" w:rsidR="001A4860" w:rsidRPr="001A4860" w:rsidRDefault="001A4860" w:rsidP="001A4860">
      <w:pPr>
        <w:rPr>
          <w:sz w:val="22"/>
          <w:szCs w:val="22"/>
          <w:lang w:val="es-ES" w:eastAsia="es-ES"/>
        </w:rPr>
      </w:pPr>
      <w:r w:rsidRPr="001A4860">
        <w:rPr>
          <w:sz w:val="22"/>
          <w:szCs w:val="22"/>
          <w:lang w:val="es-ES" w:eastAsia="es-ES"/>
        </w:rPr>
        <w:t>En la oferta se debe especificar claramente los materiales de construcción de cada una de las partes componentes de la bomba. La misma deberá venir acompañada con la curva de operación, la cual es ploteada a las mismas revoluciones con que gira el motor eléctrico al que irá acoplada.</w:t>
      </w:r>
    </w:p>
    <w:p w14:paraId="64091868" w14:textId="77777777" w:rsidR="001A4860" w:rsidRPr="001A4860" w:rsidRDefault="001A4860" w:rsidP="001A4860">
      <w:pPr>
        <w:rPr>
          <w:sz w:val="22"/>
          <w:szCs w:val="22"/>
          <w:lang w:val="es-ES" w:eastAsia="es-ES"/>
        </w:rPr>
      </w:pPr>
    </w:p>
    <w:p w14:paraId="4BFA3E40" w14:textId="77777777" w:rsidR="001A4860" w:rsidRPr="001A4860" w:rsidRDefault="001A4860" w:rsidP="001A4860">
      <w:pPr>
        <w:keepNext/>
        <w:ind w:left="720" w:hanging="720"/>
        <w:outlineLvl w:val="2"/>
        <w:rPr>
          <w:rFonts w:eastAsia="Arial Narrow"/>
          <w:b/>
          <w:bCs/>
          <w:iCs/>
          <w:sz w:val="22"/>
          <w:szCs w:val="22"/>
          <w:lang w:val="es-ES" w:bidi="en-US"/>
        </w:rPr>
      </w:pPr>
      <w:bookmarkStart w:id="877" w:name="_Toc23249475"/>
      <w:r w:rsidRPr="001A4860">
        <w:rPr>
          <w:rFonts w:eastAsia="Arial Narrow"/>
          <w:b/>
          <w:bCs/>
          <w:iCs/>
          <w:sz w:val="22"/>
          <w:szCs w:val="22"/>
          <w:lang w:val="es-ES" w:bidi="en-US"/>
        </w:rPr>
        <w:t>Bombas Y Motores Sumergibles</w:t>
      </w:r>
      <w:bookmarkEnd w:id="877"/>
    </w:p>
    <w:p w14:paraId="5A32E960" w14:textId="77777777" w:rsidR="001A4860" w:rsidRPr="001A4860" w:rsidRDefault="001A4860" w:rsidP="001A4860">
      <w:pPr>
        <w:rPr>
          <w:sz w:val="22"/>
          <w:szCs w:val="22"/>
          <w:lang w:val="es-ES" w:eastAsia="es-ES"/>
        </w:rPr>
      </w:pPr>
    </w:p>
    <w:p w14:paraId="6E2FF6B1" w14:textId="77777777" w:rsidR="001A4860" w:rsidRPr="001A4860" w:rsidRDefault="001A4860" w:rsidP="001A4860">
      <w:pPr>
        <w:keepNext/>
        <w:jc w:val="left"/>
        <w:outlineLvl w:val="3"/>
        <w:rPr>
          <w:b/>
          <w:bCs/>
          <w:sz w:val="22"/>
          <w:szCs w:val="22"/>
          <w:lang w:val="es-ES" w:eastAsia="es-ES"/>
        </w:rPr>
      </w:pPr>
      <w:bookmarkStart w:id="878" w:name="_Toc23249476"/>
      <w:r w:rsidRPr="001A4860">
        <w:rPr>
          <w:b/>
          <w:bCs/>
          <w:sz w:val="22"/>
          <w:szCs w:val="22"/>
          <w:lang w:val="es-ES" w:eastAsia="es-ES"/>
        </w:rPr>
        <w:t>Especificaciones Generales</w:t>
      </w:r>
      <w:bookmarkEnd w:id="878"/>
    </w:p>
    <w:p w14:paraId="4117D6F1" w14:textId="77777777" w:rsidR="001A4860" w:rsidRPr="001A4860" w:rsidRDefault="001A4860" w:rsidP="001A4860">
      <w:pPr>
        <w:rPr>
          <w:sz w:val="22"/>
          <w:szCs w:val="22"/>
          <w:lang w:val="es-ES" w:eastAsia="es-ES"/>
        </w:rPr>
      </w:pPr>
    </w:p>
    <w:p w14:paraId="4A9DB218" w14:textId="77777777" w:rsidR="001A4860" w:rsidRPr="001A4860" w:rsidRDefault="001A4860" w:rsidP="001A4860">
      <w:pPr>
        <w:rPr>
          <w:sz w:val="22"/>
          <w:szCs w:val="22"/>
          <w:lang w:val="es-ES" w:eastAsia="es-ES"/>
        </w:rPr>
      </w:pPr>
      <w:r w:rsidRPr="001A4860">
        <w:rPr>
          <w:sz w:val="22"/>
          <w:szCs w:val="22"/>
          <w:lang w:val="es-ES" w:eastAsia="es-ES"/>
        </w:rPr>
        <w:t>a)   Los equipos de bombeo solicitados deben ser utilizados en pozos profundos para la extracción de agua potable para consumo humano. Las bombas deberán cumplir con las normas ANSI/ AWWA E101.88; DINW-NR-14301 y o cualquier otra norma que las iguale o supere.</w:t>
      </w:r>
    </w:p>
    <w:p w14:paraId="1EC614B1" w14:textId="77777777" w:rsidR="001A4860" w:rsidRPr="001A4860" w:rsidRDefault="001A4860" w:rsidP="001A4860">
      <w:pPr>
        <w:rPr>
          <w:sz w:val="22"/>
          <w:szCs w:val="22"/>
          <w:lang w:val="es-ES" w:eastAsia="es-ES"/>
        </w:rPr>
      </w:pPr>
    </w:p>
    <w:p w14:paraId="30149934" w14:textId="77777777" w:rsidR="001A4860" w:rsidRPr="001A4860" w:rsidRDefault="001A4860" w:rsidP="001A4860">
      <w:pPr>
        <w:rPr>
          <w:sz w:val="22"/>
          <w:szCs w:val="22"/>
          <w:lang w:val="es-ES" w:eastAsia="es-ES"/>
        </w:rPr>
      </w:pPr>
      <w:r w:rsidRPr="001A4860">
        <w:rPr>
          <w:sz w:val="22"/>
          <w:szCs w:val="22"/>
          <w:lang w:val="es-ES" w:eastAsia="es-ES"/>
        </w:rPr>
        <w:t>b)  Los equipos de bombeo sumergibles estarán constituidos por el cuerpo de bomba, el motor acoplado a la bomba, la columna y el codo de descarga, el arrancador, la unidad de sub-monitor, el panel centro de carga, la caja bornera y el juego de electrodos para la protección del equipo por la baja del nivel del agua.</w:t>
      </w:r>
    </w:p>
    <w:p w14:paraId="21461DA2" w14:textId="77777777" w:rsidR="001A4860" w:rsidRPr="001A4860" w:rsidRDefault="001A4860" w:rsidP="001A4860">
      <w:pPr>
        <w:rPr>
          <w:sz w:val="22"/>
          <w:szCs w:val="22"/>
          <w:lang w:val="es-ES" w:eastAsia="es-ES"/>
        </w:rPr>
      </w:pPr>
    </w:p>
    <w:p w14:paraId="19EB9D1B" w14:textId="77777777" w:rsidR="001A4860" w:rsidRPr="001A4860" w:rsidRDefault="001A4860" w:rsidP="001A4860">
      <w:pPr>
        <w:keepNext/>
        <w:jc w:val="left"/>
        <w:outlineLvl w:val="3"/>
        <w:rPr>
          <w:b/>
          <w:bCs/>
          <w:sz w:val="22"/>
          <w:szCs w:val="22"/>
          <w:lang w:val="es-ES" w:eastAsia="es-ES"/>
        </w:rPr>
      </w:pPr>
      <w:bookmarkStart w:id="879" w:name="_Toc23249477"/>
      <w:r w:rsidRPr="001A4860">
        <w:rPr>
          <w:b/>
          <w:bCs/>
          <w:sz w:val="22"/>
          <w:szCs w:val="22"/>
          <w:lang w:val="es-ES" w:eastAsia="es-ES"/>
        </w:rPr>
        <w:t>Bombas Sumergibles</w:t>
      </w:r>
      <w:bookmarkEnd w:id="879"/>
    </w:p>
    <w:p w14:paraId="7EF6D2B2" w14:textId="77777777" w:rsidR="001A4860" w:rsidRPr="001A4860" w:rsidRDefault="001A4860" w:rsidP="001A4860">
      <w:pPr>
        <w:rPr>
          <w:sz w:val="22"/>
          <w:szCs w:val="22"/>
          <w:lang w:val="es-ES" w:eastAsia="es-ES"/>
        </w:rPr>
      </w:pPr>
    </w:p>
    <w:p w14:paraId="5DFDF837" w14:textId="77777777" w:rsidR="001A4860" w:rsidRPr="001A4860" w:rsidRDefault="001A4860" w:rsidP="001A4860">
      <w:pPr>
        <w:rPr>
          <w:sz w:val="22"/>
          <w:szCs w:val="22"/>
          <w:lang w:val="es-ES" w:eastAsia="es-ES"/>
        </w:rPr>
      </w:pPr>
      <w:r w:rsidRPr="001A4860">
        <w:rPr>
          <w:sz w:val="22"/>
          <w:szCs w:val="22"/>
          <w:lang w:val="es-ES" w:eastAsia="es-ES"/>
        </w:rPr>
        <w:t>a)   Los tazones de succión, descarga e intermedios de las bombas, deben ser de hierro fundido de grano fino, acero inoxidable o hierro dúctil y deberán cumplir con las normas ASTM A48 clase 30 para hierro fundido, AISI 316 SS o AISI 304 para acero inoxidable. Los mismos tendrán una resistencia mínima a la tensión de 30,000 libras por pulgadas cuadradas y estarán libres de ampollas, picaduras y cualquier otro defecto de fabricación. Deberán ser maquinados con precisión y ajustados  a  dimensiones  exactas.  Para  los  tazones  de  hierro  fundido  los  pasajes  de  agua deberán estar recubiertos de esmalte de porcelana para reducir al mínimo las pérdidas por fricción. La unión entre tazones de las bombas mayores de seis (6¨) pulgadas deben ser por medio de pernos de acero inoxidable.</w:t>
      </w:r>
    </w:p>
    <w:p w14:paraId="73283211" w14:textId="77777777" w:rsidR="001A4860" w:rsidRPr="001A4860" w:rsidRDefault="001A4860" w:rsidP="001A4860">
      <w:pPr>
        <w:rPr>
          <w:sz w:val="22"/>
          <w:szCs w:val="22"/>
          <w:lang w:val="es-ES" w:eastAsia="es-ES"/>
        </w:rPr>
      </w:pPr>
    </w:p>
    <w:p w14:paraId="68159914" w14:textId="77777777" w:rsidR="001A4860" w:rsidRPr="001A4860" w:rsidRDefault="001A4860" w:rsidP="001A4860">
      <w:pPr>
        <w:rPr>
          <w:sz w:val="22"/>
          <w:szCs w:val="22"/>
          <w:lang w:val="es-ES" w:eastAsia="es-ES"/>
        </w:rPr>
      </w:pPr>
      <w:r w:rsidRPr="001A4860">
        <w:rPr>
          <w:sz w:val="22"/>
          <w:szCs w:val="22"/>
          <w:lang w:val="es-ES" w:eastAsia="es-ES"/>
        </w:rPr>
        <w:t>b)   Los impulsores deben ser del tipo cerrado, de bronce ASTM B584 aleación C83800 o SAE 40, con alto grado de calidad, o acero inoxidable AISI 316 SS, los mismos deberán estar balanceados estática y dinámicamente y deberán estar asegurados al eje de la bomba mediante bujes cónicos de acero inoxidable clase 416 SS.</w:t>
      </w:r>
    </w:p>
    <w:p w14:paraId="1F9E8B7B" w14:textId="77777777" w:rsidR="001A4860" w:rsidRPr="001A4860" w:rsidRDefault="001A4860" w:rsidP="001A4860">
      <w:pPr>
        <w:rPr>
          <w:sz w:val="22"/>
          <w:szCs w:val="22"/>
          <w:lang w:val="es-ES" w:eastAsia="es-ES"/>
        </w:rPr>
      </w:pPr>
    </w:p>
    <w:p w14:paraId="2059A0C9" w14:textId="77777777" w:rsidR="001A4860" w:rsidRPr="001A4860" w:rsidRDefault="001A4860" w:rsidP="001A4860">
      <w:pPr>
        <w:rPr>
          <w:sz w:val="22"/>
          <w:szCs w:val="22"/>
          <w:lang w:val="es-ES" w:eastAsia="es-ES"/>
        </w:rPr>
      </w:pPr>
      <w:r w:rsidRPr="001A4860">
        <w:rPr>
          <w:sz w:val="22"/>
          <w:szCs w:val="22"/>
          <w:lang w:val="es-ES" w:eastAsia="es-ES"/>
        </w:rPr>
        <w:t>c)    Los tazones que correspondan a las bombas para  profundidades mayores de 500 pies, deberán ser de hierro dúctil, o de acero inoxidable y los tazones de las bombas deberán ser reforzados con pernos de acero inoxidables.</w:t>
      </w:r>
    </w:p>
    <w:p w14:paraId="297A1437" w14:textId="77777777" w:rsidR="001A4860" w:rsidRPr="001A4860" w:rsidRDefault="001A4860" w:rsidP="001A4860">
      <w:pPr>
        <w:rPr>
          <w:sz w:val="22"/>
          <w:szCs w:val="22"/>
          <w:lang w:val="es-ES" w:eastAsia="es-ES"/>
        </w:rPr>
      </w:pPr>
      <w:r w:rsidRPr="001A4860">
        <w:rPr>
          <w:sz w:val="22"/>
          <w:szCs w:val="22"/>
          <w:lang w:val="es-ES" w:eastAsia="es-ES"/>
        </w:rPr>
        <w:t>d)   El eje de la bomba es de acero inoxidable A582, clase 416, torneado y pulido y deberá ser</w:t>
      </w:r>
    </w:p>
    <w:p w14:paraId="4B66499D" w14:textId="77777777" w:rsidR="001A4860" w:rsidRPr="001A4860" w:rsidRDefault="001A4860" w:rsidP="001A4860">
      <w:pPr>
        <w:rPr>
          <w:sz w:val="22"/>
          <w:szCs w:val="22"/>
          <w:lang w:val="es-ES" w:eastAsia="es-ES"/>
        </w:rPr>
      </w:pPr>
      <w:r w:rsidRPr="001A4860">
        <w:rPr>
          <w:sz w:val="22"/>
          <w:szCs w:val="22"/>
          <w:lang w:val="es-ES" w:eastAsia="es-ES"/>
        </w:rPr>
        <w:t>rectificado previo al armado de la unidad impulsora.</w:t>
      </w:r>
    </w:p>
    <w:p w14:paraId="2E22D863" w14:textId="77777777" w:rsidR="001A4860" w:rsidRPr="001A4860" w:rsidRDefault="001A4860" w:rsidP="001A4860">
      <w:pPr>
        <w:rPr>
          <w:sz w:val="22"/>
          <w:szCs w:val="22"/>
          <w:lang w:val="es-ES" w:eastAsia="es-ES"/>
        </w:rPr>
      </w:pPr>
    </w:p>
    <w:p w14:paraId="09D42B54" w14:textId="77777777" w:rsidR="001A4860" w:rsidRPr="001A4860" w:rsidRDefault="001A4860" w:rsidP="001A4860">
      <w:pPr>
        <w:rPr>
          <w:sz w:val="22"/>
          <w:szCs w:val="22"/>
          <w:lang w:val="es-ES" w:eastAsia="es-ES"/>
        </w:rPr>
      </w:pPr>
      <w:r w:rsidRPr="001A4860">
        <w:rPr>
          <w:sz w:val="22"/>
          <w:szCs w:val="22"/>
          <w:lang w:val="es-ES" w:eastAsia="es-ES"/>
        </w:rPr>
        <w:t>e)   La unión del motor y la bomba deberá ser de un material anticorrosivo capaz de transmitir y soportar el momento de torsión y el empuje de la unidad en ambas direcciones sin sufrir deformación alguna. Esta unión es del tipo NEMA y deberá traer el acoplamiento que une al eje de la bomba con el rotor del motor el cual debe ser del tipo estriado.  En la unión de la bomba-motor deberá venir un tamiz o colador metálico de acero inoxidable que evite la entrada</w:t>
      </w:r>
    </w:p>
    <w:p w14:paraId="2B8EF56E" w14:textId="77777777" w:rsidR="001A4860" w:rsidRPr="001A4860" w:rsidRDefault="001A4860" w:rsidP="001A4860">
      <w:pPr>
        <w:rPr>
          <w:sz w:val="22"/>
          <w:szCs w:val="22"/>
          <w:lang w:val="es-ES" w:eastAsia="es-ES"/>
        </w:rPr>
      </w:pPr>
    </w:p>
    <w:p w14:paraId="266A547B" w14:textId="77777777" w:rsidR="001A4860" w:rsidRPr="001A4860" w:rsidRDefault="001A4860" w:rsidP="001A4860">
      <w:pPr>
        <w:rPr>
          <w:sz w:val="22"/>
          <w:szCs w:val="22"/>
          <w:lang w:val="es-ES" w:eastAsia="es-ES"/>
        </w:rPr>
      </w:pPr>
      <w:r w:rsidRPr="001A4860">
        <w:rPr>
          <w:sz w:val="22"/>
          <w:szCs w:val="22"/>
          <w:lang w:val="es-ES" w:eastAsia="es-ES"/>
        </w:rPr>
        <w:lastRenderedPageBreak/>
        <w:t>de materiales sólidos que pudieran afectar la eficiencia o el funcionamiento correcto de la unidad impulsora.</w:t>
      </w:r>
    </w:p>
    <w:p w14:paraId="5837AC27" w14:textId="77777777" w:rsidR="001A4860" w:rsidRPr="001A4860" w:rsidRDefault="001A4860" w:rsidP="001A4860">
      <w:pPr>
        <w:rPr>
          <w:sz w:val="22"/>
          <w:szCs w:val="22"/>
          <w:lang w:val="es-ES" w:eastAsia="es-ES"/>
        </w:rPr>
      </w:pPr>
    </w:p>
    <w:p w14:paraId="6AD43A38" w14:textId="77777777" w:rsidR="001A4860" w:rsidRPr="001A4860" w:rsidRDefault="001A4860" w:rsidP="001A4860">
      <w:pPr>
        <w:rPr>
          <w:sz w:val="22"/>
          <w:szCs w:val="22"/>
          <w:lang w:val="es-ES" w:eastAsia="es-ES"/>
        </w:rPr>
      </w:pPr>
      <w:r w:rsidRPr="001A4860">
        <w:rPr>
          <w:sz w:val="22"/>
          <w:szCs w:val="22"/>
          <w:lang w:val="es-ES" w:eastAsia="es-ES"/>
        </w:rPr>
        <w:t>f)</w:t>
      </w:r>
      <w:r w:rsidRPr="001A4860">
        <w:rPr>
          <w:sz w:val="22"/>
          <w:szCs w:val="22"/>
          <w:lang w:val="es-ES" w:eastAsia="es-ES"/>
        </w:rPr>
        <w:tab/>
        <w:t>Se deberá grabar en todos los tazones e impulsores, el modelo de los mismos, y el equipo de bombeo  ya  ensamblado  deberá  traer  asegurada  firmemente  una  placa  metálica  con  la grabación del caudal, la carga total dinámica, la marca, el modelo y el número de serie de la bomba.</w:t>
      </w:r>
    </w:p>
    <w:p w14:paraId="6ACA5F51" w14:textId="77777777" w:rsidR="001A4860" w:rsidRPr="001A4860" w:rsidRDefault="001A4860" w:rsidP="001A4860">
      <w:pPr>
        <w:rPr>
          <w:sz w:val="22"/>
          <w:szCs w:val="22"/>
          <w:lang w:val="es-ES" w:eastAsia="es-ES"/>
        </w:rPr>
      </w:pPr>
    </w:p>
    <w:p w14:paraId="70B792B2" w14:textId="77777777" w:rsidR="001A4860" w:rsidRPr="001A4860" w:rsidRDefault="001A4860" w:rsidP="001A4860">
      <w:pPr>
        <w:rPr>
          <w:sz w:val="22"/>
          <w:szCs w:val="22"/>
          <w:lang w:val="es-ES" w:eastAsia="es-ES"/>
        </w:rPr>
      </w:pPr>
      <w:r w:rsidRPr="001A4860">
        <w:rPr>
          <w:sz w:val="22"/>
          <w:szCs w:val="22"/>
          <w:lang w:val="es-ES" w:eastAsia="es-ES"/>
        </w:rPr>
        <w:t>g)   Las  ofertas  deberán  traer  las  curvas  características  de  funcionamiento  de  las  bombas certificadas por el fabricante para cada una de los modelos a suministrar, mostrando caudal- carga total, eficiencia, potencia requerida, correspondientes a la velocidad real de rotación del motor. También se deberá especificar la potencia máxima demandada, el caudal y la carga relacionada, así como el diámetro exacto de los impulsores. En las curvas características de la bomba seleccionada deberá estar marcado el punto de operación para los parámetros de carga y caudal especificados en la licitación, que muestre claramente la eficiencia correspondiente de la bomba.</w:t>
      </w:r>
    </w:p>
    <w:p w14:paraId="4D83A2A3" w14:textId="77777777" w:rsidR="001A4860" w:rsidRPr="001A4860" w:rsidRDefault="001A4860" w:rsidP="001A4860">
      <w:pPr>
        <w:rPr>
          <w:sz w:val="22"/>
          <w:szCs w:val="22"/>
          <w:lang w:val="es-ES" w:eastAsia="es-ES"/>
        </w:rPr>
      </w:pPr>
    </w:p>
    <w:p w14:paraId="4E031750" w14:textId="77777777" w:rsidR="001A4860" w:rsidRPr="001A4860" w:rsidRDefault="001A4860" w:rsidP="001A4860">
      <w:pPr>
        <w:rPr>
          <w:sz w:val="22"/>
          <w:szCs w:val="22"/>
          <w:lang w:val="es-ES" w:eastAsia="es-ES"/>
        </w:rPr>
      </w:pPr>
      <w:r w:rsidRPr="001A4860">
        <w:rPr>
          <w:sz w:val="22"/>
          <w:szCs w:val="22"/>
          <w:lang w:val="es-ES" w:eastAsia="es-ES"/>
        </w:rPr>
        <w:t>h)  Las bombas deben ser seleccionadas para satisfacer los requerimientos de caudal y carga especificados para cada  pozo, en un punto a la derecha del “punto de mejor eficiencia” (BEP) de la bomba, lo cual es necesario para una mejor operación del equipo de bombeo.- El punto de máxima carga (shut-off) deberá ser mayor que la carga total dinámica solicitada</w:t>
      </w:r>
    </w:p>
    <w:p w14:paraId="67A23891" w14:textId="77777777" w:rsidR="001A4860" w:rsidRPr="001A4860" w:rsidRDefault="001A4860" w:rsidP="001A4860">
      <w:pPr>
        <w:rPr>
          <w:sz w:val="22"/>
          <w:szCs w:val="22"/>
          <w:lang w:val="es-ES" w:eastAsia="es-ES"/>
        </w:rPr>
      </w:pPr>
    </w:p>
    <w:p w14:paraId="55611114" w14:textId="77777777" w:rsidR="001A4860" w:rsidRPr="001A4860" w:rsidRDefault="001A4860" w:rsidP="001A4860">
      <w:pPr>
        <w:rPr>
          <w:sz w:val="22"/>
          <w:szCs w:val="22"/>
          <w:lang w:val="es-ES" w:eastAsia="es-ES"/>
        </w:rPr>
      </w:pPr>
      <w:r w:rsidRPr="001A4860">
        <w:rPr>
          <w:sz w:val="22"/>
          <w:szCs w:val="22"/>
          <w:lang w:val="es-ES" w:eastAsia="es-ES"/>
        </w:rPr>
        <w:t>i)    Los requerimientos de potencia de la bomba en el punto de menor carga total dinámica no deben sobrepasar la potencia del motor especificado, sin hacer uso del factor de servicio del mismo.</w:t>
      </w:r>
    </w:p>
    <w:p w14:paraId="07D91685" w14:textId="77777777" w:rsidR="001A4860" w:rsidRPr="001A4860" w:rsidRDefault="001A4860" w:rsidP="001A4860">
      <w:pPr>
        <w:rPr>
          <w:sz w:val="22"/>
          <w:szCs w:val="22"/>
          <w:lang w:val="es-ES" w:eastAsia="es-ES"/>
        </w:rPr>
      </w:pPr>
    </w:p>
    <w:p w14:paraId="2E418F29" w14:textId="77777777" w:rsidR="001A4860" w:rsidRPr="001A4860" w:rsidRDefault="001A4860" w:rsidP="001A4860">
      <w:pPr>
        <w:rPr>
          <w:sz w:val="22"/>
          <w:szCs w:val="22"/>
          <w:lang w:val="es-ES" w:eastAsia="es-ES"/>
        </w:rPr>
      </w:pPr>
      <w:r w:rsidRPr="001A4860">
        <w:rPr>
          <w:sz w:val="22"/>
          <w:szCs w:val="22"/>
          <w:lang w:val="es-ES" w:eastAsia="es-ES"/>
        </w:rPr>
        <w:t>j)</w:t>
      </w:r>
      <w:r w:rsidRPr="001A4860">
        <w:rPr>
          <w:sz w:val="22"/>
          <w:szCs w:val="22"/>
          <w:lang w:val="es-ES" w:eastAsia="es-ES"/>
        </w:rPr>
        <w:tab/>
        <w:t>La eficiencia de la bomba no es menor del 75% en su punto de operación.</w:t>
      </w:r>
    </w:p>
    <w:p w14:paraId="241DDD21" w14:textId="77777777" w:rsidR="001A4860" w:rsidRPr="001A4860" w:rsidRDefault="001A4860" w:rsidP="001A4860">
      <w:pPr>
        <w:rPr>
          <w:sz w:val="22"/>
          <w:szCs w:val="22"/>
          <w:lang w:val="es-ES" w:eastAsia="es-ES"/>
        </w:rPr>
      </w:pPr>
    </w:p>
    <w:p w14:paraId="28B90E89" w14:textId="77777777" w:rsidR="001A4860" w:rsidRPr="001A4860" w:rsidRDefault="001A4860" w:rsidP="001A4860">
      <w:pPr>
        <w:rPr>
          <w:sz w:val="22"/>
          <w:szCs w:val="22"/>
          <w:lang w:val="es-ES" w:eastAsia="es-ES"/>
        </w:rPr>
      </w:pPr>
      <w:r w:rsidRPr="001A4860">
        <w:rPr>
          <w:sz w:val="22"/>
          <w:szCs w:val="22"/>
          <w:lang w:val="es-ES" w:eastAsia="es-ES"/>
        </w:rPr>
        <w:t>k)   Los cojinetes de todos los tazones deben ser de bronce o acero inoxidable de alta resistencia a la fricción y maquinados con precisión para evitar desalineamiento del equipo ya ensamblado o de neopreno de calidad industrial especialmente diseñados para este tipo de bombas</w:t>
      </w:r>
    </w:p>
    <w:p w14:paraId="5E6F658D" w14:textId="77777777" w:rsidR="001A4860" w:rsidRPr="001A4860" w:rsidRDefault="001A4860" w:rsidP="001A4860">
      <w:pPr>
        <w:rPr>
          <w:sz w:val="22"/>
          <w:szCs w:val="22"/>
          <w:lang w:val="es-ES" w:eastAsia="es-ES"/>
        </w:rPr>
      </w:pPr>
    </w:p>
    <w:p w14:paraId="7297AC82" w14:textId="77777777" w:rsidR="001A4860" w:rsidRPr="001A4860" w:rsidRDefault="001A4860" w:rsidP="001A4860">
      <w:pPr>
        <w:rPr>
          <w:sz w:val="22"/>
          <w:szCs w:val="22"/>
          <w:lang w:val="es-ES" w:eastAsia="es-ES"/>
        </w:rPr>
      </w:pPr>
      <w:r w:rsidRPr="001A4860">
        <w:rPr>
          <w:sz w:val="22"/>
          <w:szCs w:val="22"/>
          <w:lang w:val="es-ES" w:eastAsia="es-ES"/>
        </w:rPr>
        <w:t>l)    Las bombas sumergibles tendrán en la succión y en la descarga, retenedores de arena, los cuales deben ser fabricados de bronce de alta resistencia a la fricción (sandcollars).</w:t>
      </w:r>
    </w:p>
    <w:p w14:paraId="3FC1F2B5" w14:textId="77777777" w:rsidR="001A4860" w:rsidRPr="001A4860" w:rsidRDefault="001A4860" w:rsidP="001A4860">
      <w:pPr>
        <w:rPr>
          <w:sz w:val="22"/>
          <w:szCs w:val="22"/>
          <w:lang w:val="es-ES" w:eastAsia="es-ES"/>
        </w:rPr>
      </w:pPr>
    </w:p>
    <w:p w14:paraId="0E88F0C9" w14:textId="77777777" w:rsidR="001A4860" w:rsidRPr="001A4860" w:rsidRDefault="001A4860" w:rsidP="001A4860">
      <w:pPr>
        <w:keepNext/>
        <w:jc w:val="left"/>
        <w:outlineLvl w:val="3"/>
        <w:rPr>
          <w:b/>
          <w:bCs/>
          <w:sz w:val="22"/>
          <w:szCs w:val="22"/>
          <w:lang w:val="es-ES" w:eastAsia="es-ES"/>
        </w:rPr>
      </w:pPr>
      <w:bookmarkStart w:id="880" w:name="_Toc23249478"/>
      <w:r w:rsidRPr="001A4860">
        <w:rPr>
          <w:b/>
          <w:bCs/>
          <w:sz w:val="22"/>
          <w:szCs w:val="22"/>
          <w:lang w:val="es-ES" w:eastAsia="es-ES"/>
        </w:rPr>
        <w:t>Motores Sumergibles</w:t>
      </w:r>
      <w:bookmarkEnd w:id="880"/>
    </w:p>
    <w:p w14:paraId="3689F921" w14:textId="77777777" w:rsidR="001A4860" w:rsidRPr="001A4860" w:rsidRDefault="001A4860" w:rsidP="001A4860">
      <w:pPr>
        <w:rPr>
          <w:sz w:val="22"/>
          <w:szCs w:val="22"/>
          <w:lang w:val="es-ES" w:eastAsia="es-ES"/>
        </w:rPr>
      </w:pPr>
    </w:p>
    <w:p w14:paraId="662743F9" w14:textId="77777777" w:rsidR="001A4860" w:rsidRPr="001A4860" w:rsidRDefault="001A4860" w:rsidP="001A4860">
      <w:pPr>
        <w:rPr>
          <w:sz w:val="22"/>
          <w:szCs w:val="22"/>
          <w:lang w:val="es-ES" w:eastAsia="es-ES"/>
        </w:rPr>
      </w:pPr>
      <w:r w:rsidRPr="001A4860">
        <w:rPr>
          <w:sz w:val="22"/>
          <w:szCs w:val="22"/>
          <w:lang w:val="es-ES" w:eastAsia="es-ES"/>
        </w:rPr>
        <w:t>a)   Los motores sumergibles deben ser del tipo encapsulado, de alta eficiencia (no menor de 93%), de dos polos para rotación de 3,450 RPM, trifásicos, frecuencia de 60 ciclos por segundo y voltaje</w:t>
      </w:r>
    </w:p>
    <w:p w14:paraId="0B679142" w14:textId="77777777" w:rsidR="001A4860" w:rsidRPr="001A4860" w:rsidRDefault="001A4860" w:rsidP="001A4860">
      <w:pPr>
        <w:rPr>
          <w:sz w:val="22"/>
          <w:szCs w:val="22"/>
          <w:lang w:val="es-ES" w:eastAsia="es-ES"/>
        </w:rPr>
      </w:pPr>
      <w:r w:rsidRPr="001A4860">
        <w:rPr>
          <w:sz w:val="22"/>
          <w:szCs w:val="22"/>
          <w:lang w:val="es-ES" w:eastAsia="es-ES"/>
        </w:rPr>
        <w:t>460.</w:t>
      </w:r>
    </w:p>
    <w:p w14:paraId="1F3C56BD" w14:textId="77777777" w:rsidR="001A4860" w:rsidRPr="001A4860" w:rsidRDefault="001A4860" w:rsidP="001A4860">
      <w:pPr>
        <w:rPr>
          <w:sz w:val="22"/>
          <w:szCs w:val="22"/>
          <w:lang w:val="es-ES" w:eastAsia="es-ES"/>
        </w:rPr>
      </w:pPr>
    </w:p>
    <w:p w14:paraId="68D84841" w14:textId="77777777" w:rsidR="001A4860" w:rsidRPr="001A4860" w:rsidRDefault="001A4860" w:rsidP="001A4860">
      <w:pPr>
        <w:rPr>
          <w:sz w:val="22"/>
          <w:szCs w:val="22"/>
          <w:lang w:val="es-ES" w:eastAsia="es-ES"/>
        </w:rPr>
      </w:pPr>
      <w:r w:rsidRPr="001A4860">
        <w:rPr>
          <w:sz w:val="22"/>
          <w:szCs w:val="22"/>
          <w:lang w:val="es-ES" w:eastAsia="es-ES"/>
        </w:rPr>
        <w:t>b)   Los  cojinetes  de  empuje  axial  de  los  motores  sumergibles  deben ser  tipo  Kingsbury,  con  una capacidad no menor de 3,500 libras y deberá soportar el peso de todas las partes rotativas más el empuje hidráulico a máxima carga de operación.</w:t>
      </w:r>
    </w:p>
    <w:p w14:paraId="4C58DD46" w14:textId="77777777" w:rsidR="001A4860" w:rsidRPr="001A4860" w:rsidRDefault="001A4860" w:rsidP="001A4860">
      <w:pPr>
        <w:rPr>
          <w:sz w:val="22"/>
          <w:szCs w:val="22"/>
          <w:lang w:val="es-ES" w:eastAsia="es-ES"/>
        </w:rPr>
      </w:pPr>
    </w:p>
    <w:p w14:paraId="082DA358" w14:textId="77777777" w:rsidR="001A4860" w:rsidRPr="001A4860" w:rsidRDefault="001A4860" w:rsidP="001A4860">
      <w:pPr>
        <w:rPr>
          <w:sz w:val="22"/>
          <w:szCs w:val="22"/>
          <w:lang w:val="es-ES" w:eastAsia="es-ES"/>
        </w:rPr>
      </w:pPr>
      <w:r w:rsidRPr="001A4860">
        <w:rPr>
          <w:sz w:val="22"/>
          <w:szCs w:val="22"/>
          <w:lang w:val="es-ES" w:eastAsia="es-ES"/>
        </w:rPr>
        <w:t>c)    La longitud del cable de salida del motor deberá ser de al menos dos veces la longitud del cuerpo de bomba.</w:t>
      </w:r>
    </w:p>
    <w:p w14:paraId="59E0236F" w14:textId="77777777" w:rsidR="001A4860" w:rsidRPr="001A4860" w:rsidRDefault="001A4860" w:rsidP="001A4860">
      <w:pPr>
        <w:rPr>
          <w:sz w:val="22"/>
          <w:szCs w:val="22"/>
          <w:lang w:val="es-ES" w:eastAsia="es-ES"/>
        </w:rPr>
      </w:pPr>
    </w:p>
    <w:p w14:paraId="06BC4992" w14:textId="77777777" w:rsidR="001A4860" w:rsidRPr="001A4860" w:rsidRDefault="001A4860" w:rsidP="001A4860">
      <w:pPr>
        <w:rPr>
          <w:sz w:val="22"/>
          <w:szCs w:val="22"/>
          <w:lang w:val="es-ES" w:eastAsia="es-ES"/>
        </w:rPr>
      </w:pPr>
      <w:r w:rsidRPr="001A4860">
        <w:rPr>
          <w:sz w:val="22"/>
          <w:szCs w:val="22"/>
          <w:lang w:val="es-ES" w:eastAsia="es-ES"/>
        </w:rPr>
        <w:t>d)   Todos los motores sumergibles deberán tener un collar de acero o bronce instalado en la parte superior del eje del rotor para evitar la entrada de arena al interior del motor. Asimismo, deberá tener sello mecánico de carburo de silicio, para evitar la entrada de agua al interior del motor.</w:t>
      </w:r>
    </w:p>
    <w:p w14:paraId="005F1D44" w14:textId="77777777" w:rsidR="001A4860" w:rsidRPr="001A4860" w:rsidRDefault="001A4860" w:rsidP="001A4860">
      <w:pPr>
        <w:rPr>
          <w:sz w:val="22"/>
          <w:szCs w:val="22"/>
          <w:lang w:val="es-ES" w:eastAsia="es-ES"/>
        </w:rPr>
      </w:pPr>
    </w:p>
    <w:p w14:paraId="5BF26828" w14:textId="77777777" w:rsidR="001A4860" w:rsidRPr="001A4860" w:rsidRDefault="001A4860" w:rsidP="001A4860">
      <w:pPr>
        <w:rPr>
          <w:sz w:val="22"/>
          <w:szCs w:val="22"/>
          <w:lang w:val="es-ES" w:eastAsia="es-ES"/>
        </w:rPr>
      </w:pPr>
      <w:r w:rsidRPr="001A4860">
        <w:rPr>
          <w:sz w:val="22"/>
          <w:szCs w:val="22"/>
          <w:lang w:val="es-ES" w:eastAsia="es-ES"/>
        </w:rPr>
        <w:lastRenderedPageBreak/>
        <w:t>e)   Todos los motores deben ser de inducción de jaula de ardilla, disponibles para arrancarse a voltaje pleno o con arrancador suave (SoftStarter), dependiendo de la potencia del mismo. Por tanto, tendrán tres cables eléctricos en la salida para su conexión más el de polarización.</w:t>
      </w:r>
    </w:p>
    <w:p w14:paraId="7D92B80C" w14:textId="77777777" w:rsidR="001A4860" w:rsidRPr="001A4860" w:rsidRDefault="001A4860" w:rsidP="001A4860">
      <w:pPr>
        <w:rPr>
          <w:sz w:val="22"/>
          <w:szCs w:val="22"/>
          <w:lang w:val="es-ES" w:eastAsia="es-ES"/>
        </w:rPr>
      </w:pPr>
    </w:p>
    <w:p w14:paraId="00AB93B5" w14:textId="77777777" w:rsidR="001A4860" w:rsidRPr="001A4860" w:rsidRDefault="001A4860" w:rsidP="001A4860">
      <w:pPr>
        <w:rPr>
          <w:sz w:val="22"/>
          <w:szCs w:val="22"/>
          <w:lang w:val="es-ES" w:eastAsia="es-ES"/>
        </w:rPr>
      </w:pPr>
      <w:r w:rsidRPr="001A4860">
        <w:rPr>
          <w:sz w:val="22"/>
          <w:szCs w:val="22"/>
          <w:lang w:val="es-ES" w:eastAsia="es-ES"/>
        </w:rPr>
        <w:t>f)</w:t>
      </w:r>
      <w:r w:rsidRPr="001A4860">
        <w:rPr>
          <w:sz w:val="22"/>
          <w:szCs w:val="22"/>
          <w:lang w:val="es-ES" w:eastAsia="es-ES"/>
        </w:rPr>
        <w:tab/>
        <w:t>El factor de servicio de los motores eléctricos tipo sumergible deberá ser de 1.15.   Todos los materiales  utilizados  para  la  fabricación  de  los  motores  deben ser  nuevos,  de  alta  calidad  y resistente a la corrosión.</w:t>
      </w:r>
    </w:p>
    <w:p w14:paraId="514E373B" w14:textId="77777777" w:rsidR="001A4860" w:rsidRPr="001A4860" w:rsidRDefault="001A4860" w:rsidP="001A4860">
      <w:pPr>
        <w:rPr>
          <w:sz w:val="22"/>
          <w:szCs w:val="22"/>
          <w:lang w:val="es-ES" w:eastAsia="es-ES"/>
        </w:rPr>
      </w:pPr>
    </w:p>
    <w:p w14:paraId="40A9C048" w14:textId="77777777" w:rsidR="001A4860" w:rsidRPr="001A4860" w:rsidRDefault="001A4860" w:rsidP="001A4860">
      <w:pPr>
        <w:rPr>
          <w:sz w:val="22"/>
          <w:szCs w:val="22"/>
          <w:lang w:val="es-ES" w:eastAsia="es-ES"/>
        </w:rPr>
      </w:pPr>
      <w:r w:rsidRPr="001A4860">
        <w:rPr>
          <w:sz w:val="22"/>
          <w:szCs w:val="22"/>
          <w:lang w:val="es-ES" w:eastAsia="es-ES"/>
        </w:rPr>
        <w:t>g)   El Factor de Potencia de operación del motor a plena carga no debe ser menor de 95%; en caso contrario, se debe suministrar el banco de capacitores apropiado para compensar dicho déficit y su costo quedará incluido en el valor del motor de la oferta.</w:t>
      </w:r>
    </w:p>
    <w:p w14:paraId="4B425409" w14:textId="77777777" w:rsidR="001A4860" w:rsidRPr="001A4860" w:rsidRDefault="001A4860" w:rsidP="001A4860">
      <w:pPr>
        <w:rPr>
          <w:sz w:val="22"/>
          <w:szCs w:val="22"/>
          <w:lang w:val="es-ES" w:eastAsia="es-ES"/>
        </w:rPr>
      </w:pPr>
    </w:p>
    <w:p w14:paraId="4A9EBADB" w14:textId="77777777" w:rsidR="001A4860" w:rsidRPr="001A4860" w:rsidRDefault="001A4860" w:rsidP="001A4860">
      <w:pPr>
        <w:rPr>
          <w:sz w:val="22"/>
          <w:szCs w:val="22"/>
          <w:lang w:val="es-ES" w:eastAsia="es-ES"/>
        </w:rPr>
      </w:pPr>
      <w:r w:rsidRPr="001A4860">
        <w:rPr>
          <w:sz w:val="22"/>
          <w:szCs w:val="22"/>
          <w:lang w:val="es-ES" w:eastAsia="es-ES"/>
        </w:rPr>
        <w:t>h)   La flecha o eje del rotor es estriado de acero inoxidable para un máximo contacto entre el eje y el acople.</w:t>
      </w:r>
    </w:p>
    <w:p w14:paraId="46733861" w14:textId="77777777" w:rsidR="001A4860" w:rsidRPr="001A4860" w:rsidRDefault="001A4860" w:rsidP="001A4860">
      <w:pPr>
        <w:rPr>
          <w:sz w:val="22"/>
          <w:szCs w:val="22"/>
          <w:lang w:val="es-ES" w:eastAsia="es-ES"/>
        </w:rPr>
      </w:pPr>
    </w:p>
    <w:p w14:paraId="4D46AC64" w14:textId="77777777" w:rsidR="001A4860" w:rsidRPr="001A4860" w:rsidRDefault="001A4860" w:rsidP="001A4860">
      <w:pPr>
        <w:rPr>
          <w:sz w:val="22"/>
          <w:szCs w:val="22"/>
          <w:lang w:val="es-ES" w:eastAsia="es-ES"/>
        </w:rPr>
      </w:pPr>
      <w:r w:rsidRPr="001A4860">
        <w:rPr>
          <w:sz w:val="22"/>
          <w:szCs w:val="22"/>
          <w:lang w:val="es-ES" w:eastAsia="es-ES"/>
        </w:rPr>
        <w:t>i)    Los motores sumergibles deberán tener diafragmas de compensación para los cambios en la presión interna.</w:t>
      </w:r>
    </w:p>
    <w:p w14:paraId="2B505949" w14:textId="77777777" w:rsidR="001A4860" w:rsidRPr="001A4860" w:rsidRDefault="001A4860" w:rsidP="001A4860">
      <w:pPr>
        <w:rPr>
          <w:sz w:val="22"/>
          <w:szCs w:val="22"/>
          <w:lang w:val="es-ES" w:eastAsia="es-ES"/>
        </w:rPr>
      </w:pPr>
    </w:p>
    <w:p w14:paraId="447E2102" w14:textId="77777777" w:rsidR="001A4860" w:rsidRPr="001A4860" w:rsidRDefault="001A4860" w:rsidP="001A4860">
      <w:pPr>
        <w:rPr>
          <w:sz w:val="22"/>
          <w:szCs w:val="22"/>
          <w:lang w:val="es-ES" w:eastAsia="es-ES"/>
        </w:rPr>
      </w:pPr>
      <w:r w:rsidRPr="001A4860">
        <w:rPr>
          <w:sz w:val="22"/>
          <w:szCs w:val="22"/>
          <w:lang w:val="es-ES" w:eastAsia="es-ES"/>
        </w:rPr>
        <w:t>j)</w:t>
      </w:r>
      <w:r w:rsidRPr="001A4860">
        <w:rPr>
          <w:sz w:val="22"/>
          <w:szCs w:val="22"/>
          <w:lang w:val="es-ES" w:eastAsia="es-ES"/>
        </w:rPr>
        <w:tab/>
        <w:t>Todos  los  motores  sumergibles  deberán  ser  encapsulados  y  deberán  traer  el  sensor  de temperatura integrado para su monitoreo desde el exterior.</w:t>
      </w:r>
    </w:p>
    <w:p w14:paraId="35C51B40" w14:textId="77777777" w:rsidR="001A4860" w:rsidRPr="001A4860" w:rsidRDefault="001A4860" w:rsidP="001A4860">
      <w:pPr>
        <w:rPr>
          <w:sz w:val="22"/>
          <w:szCs w:val="22"/>
          <w:lang w:val="es-ES" w:eastAsia="es-ES"/>
        </w:rPr>
      </w:pPr>
    </w:p>
    <w:p w14:paraId="65B331B3" w14:textId="77777777" w:rsidR="001A4860" w:rsidRPr="001A4860" w:rsidRDefault="001A4860" w:rsidP="001A4860">
      <w:pPr>
        <w:keepNext/>
        <w:jc w:val="left"/>
        <w:outlineLvl w:val="3"/>
        <w:rPr>
          <w:b/>
          <w:bCs/>
          <w:sz w:val="22"/>
          <w:szCs w:val="22"/>
          <w:lang w:val="es-ES" w:eastAsia="es-ES"/>
        </w:rPr>
      </w:pPr>
      <w:bookmarkStart w:id="881" w:name="_Toc23249479"/>
      <w:r w:rsidRPr="001A4860">
        <w:rPr>
          <w:b/>
          <w:bCs/>
          <w:sz w:val="22"/>
          <w:szCs w:val="22"/>
          <w:lang w:val="es-ES" w:eastAsia="es-ES"/>
        </w:rPr>
        <w:t>Cabezales o Plato de Descarga</w:t>
      </w:r>
      <w:bookmarkEnd w:id="881"/>
    </w:p>
    <w:p w14:paraId="26869CDC" w14:textId="77777777" w:rsidR="001A4860" w:rsidRPr="001A4860" w:rsidRDefault="001A4860" w:rsidP="001A4860">
      <w:pPr>
        <w:rPr>
          <w:sz w:val="22"/>
          <w:szCs w:val="22"/>
          <w:lang w:val="es-ES" w:eastAsia="es-ES"/>
        </w:rPr>
      </w:pPr>
    </w:p>
    <w:p w14:paraId="153C6EEE" w14:textId="77777777" w:rsidR="001A4860" w:rsidRPr="001A4860" w:rsidRDefault="001A4860" w:rsidP="001A4860">
      <w:pPr>
        <w:rPr>
          <w:sz w:val="22"/>
          <w:szCs w:val="22"/>
          <w:lang w:val="es-ES" w:eastAsia="es-ES"/>
        </w:rPr>
      </w:pPr>
      <w:r w:rsidRPr="001A4860">
        <w:rPr>
          <w:sz w:val="22"/>
          <w:szCs w:val="22"/>
          <w:lang w:val="es-ES" w:eastAsia="es-ES"/>
        </w:rPr>
        <w:t>a)   Consistirá  de  un  plato  de  soporte  de  dieciocho  (18”)  pulgadas  como  mínimo  de  diámetro exterior y espesor no menor de una pulgada, también puede ser cuadrado de 18” de lado como mínimo, unido a un codo  de radio largo de 90 grados con el extremo de salida con brida roscada, que en conjunto deberán tener la capacidad de soportar la carga estática y dinámica del equipo de bombeo. A ambos lados de dicho codo tendrá una perforación con tubo soldado</w:t>
      </w:r>
    </w:p>
    <w:p w14:paraId="4A784D1E" w14:textId="77777777" w:rsidR="001A4860" w:rsidRPr="001A4860" w:rsidRDefault="001A4860" w:rsidP="001A4860">
      <w:pPr>
        <w:rPr>
          <w:sz w:val="22"/>
          <w:szCs w:val="22"/>
          <w:lang w:val="es-ES" w:eastAsia="es-ES"/>
        </w:rPr>
      </w:pPr>
      <w:r w:rsidRPr="001A4860">
        <w:rPr>
          <w:sz w:val="22"/>
          <w:szCs w:val="22"/>
          <w:lang w:val="es-ES" w:eastAsia="es-ES"/>
        </w:rPr>
        <w:t>5/8" de 1 1/2" de largo con rosca hembra  y en la parte superior una perforación de 1/2" para la colocación de una válvula de expulsión de aire.</w:t>
      </w:r>
    </w:p>
    <w:p w14:paraId="04335BA2" w14:textId="77777777" w:rsidR="001A4860" w:rsidRPr="001A4860" w:rsidRDefault="001A4860" w:rsidP="001A4860">
      <w:pPr>
        <w:rPr>
          <w:sz w:val="22"/>
          <w:szCs w:val="22"/>
          <w:lang w:val="es-ES" w:eastAsia="es-ES"/>
        </w:rPr>
      </w:pPr>
    </w:p>
    <w:p w14:paraId="414F0043" w14:textId="77777777" w:rsidR="001A4860" w:rsidRPr="001A4860" w:rsidRDefault="001A4860" w:rsidP="001A4860">
      <w:pPr>
        <w:rPr>
          <w:sz w:val="22"/>
          <w:szCs w:val="22"/>
          <w:lang w:val="es-ES" w:eastAsia="es-ES"/>
        </w:rPr>
      </w:pPr>
      <w:r w:rsidRPr="001A4860">
        <w:rPr>
          <w:sz w:val="22"/>
          <w:szCs w:val="22"/>
          <w:lang w:val="es-ES" w:eastAsia="es-ES"/>
        </w:rPr>
        <w:t>b)   Deberán ser de hierro fundido que cumpla con la Norma ASTM A48 Clase 30 y cumplir con las recomendaciones de ANSI/AWWA E-101-97 y sus recientes correcciones, provisto de una boca de descarga bridada, según ASA 125.</w:t>
      </w:r>
    </w:p>
    <w:p w14:paraId="0EC9DCD7" w14:textId="77777777" w:rsidR="001A4860" w:rsidRPr="001A4860" w:rsidRDefault="001A4860" w:rsidP="001A4860">
      <w:pPr>
        <w:rPr>
          <w:sz w:val="22"/>
          <w:szCs w:val="22"/>
          <w:lang w:val="es-ES" w:eastAsia="es-ES"/>
        </w:rPr>
      </w:pPr>
    </w:p>
    <w:p w14:paraId="7129D70E" w14:textId="77777777" w:rsidR="001A4860" w:rsidRPr="001A4860" w:rsidRDefault="001A4860" w:rsidP="001A4860">
      <w:pPr>
        <w:rPr>
          <w:sz w:val="22"/>
          <w:szCs w:val="22"/>
          <w:lang w:val="es-ES" w:eastAsia="es-ES"/>
        </w:rPr>
      </w:pPr>
      <w:r w:rsidRPr="001A4860">
        <w:rPr>
          <w:sz w:val="22"/>
          <w:szCs w:val="22"/>
          <w:lang w:val="es-ES" w:eastAsia="es-ES"/>
        </w:rPr>
        <w:t>c)    Los platos de soporte tendrán agujeros que permitan la introducción de una tubería de PVC de una (1) pulgada, la cual es utilizada como tubo piezométrico. Además, estará provisto de asas fundidas integralmente con el cuerpo para el izado de la bomba.</w:t>
      </w:r>
    </w:p>
    <w:p w14:paraId="6D2C21B4" w14:textId="77777777" w:rsidR="001A4860" w:rsidRPr="001A4860" w:rsidRDefault="001A4860" w:rsidP="001A4860">
      <w:pPr>
        <w:rPr>
          <w:sz w:val="22"/>
          <w:szCs w:val="22"/>
          <w:lang w:val="es-ES" w:eastAsia="es-ES"/>
        </w:rPr>
      </w:pPr>
    </w:p>
    <w:p w14:paraId="5115ECB4" w14:textId="77777777" w:rsidR="001A4860" w:rsidRPr="001A4860" w:rsidRDefault="001A4860" w:rsidP="001A4860">
      <w:pPr>
        <w:rPr>
          <w:sz w:val="22"/>
          <w:szCs w:val="22"/>
          <w:lang w:val="es-ES" w:eastAsia="es-ES"/>
        </w:rPr>
      </w:pPr>
      <w:r w:rsidRPr="001A4860">
        <w:rPr>
          <w:sz w:val="22"/>
          <w:szCs w:val="22"/>
          <w:lang w:val="es-ES" w:eastAsia="es-ES"/>
        </w:rPr>
        <w:t>d)   La base de soporte del cabezal de descarga es lo suficientemente resistente para izar todo el equipo de bombeo incluyendo la tubería de  columna llena de agua. Es provista de cuatro perforaciones para los pernos de anclaje de la fundación, así como de una perforación roscada que permita la instalación de la tubería de drenaje.</w:t>
      </w:r>
    </w:p>
    <w:p w14:paraId="51268809" w14:textId="77777777" w:rsidR="001A4860" w:rsidRPr="001A4860" w:rsidRDefault="001A4860" w:rsidP="001A4860">
      <w:pPr>
        <w:rPr>
          <w:sz w:val="22"/>
          <w:szCs w:val="22"/>
          <w:lang w:val="es-ES" w:eastAsia="es-ES"/>
        </w:rPr>
      </w:pPr>
    </w:p>
    <w:p w14:paraId="4E3DA885" w14:textId="77777777" w:rsidR="001A4860" w:rsidRPr="001A4860" w:rsidRDefault="001A4860" w:rsidP="001A4860">
      <w:pPr>
        <w:keepNext/>
        <w:jc w:val="left"/>
        <w:outlineLvl w:val="3"/>
        <w:rPr>
          <w:b/>
          <w:bCs/>
          <w:sz w:val="22"/>
          <w:szCs w:val="22"/>
          <w:lang w:val="es-ES" w:eastAsia="es-ES"/>
        </w:rPr>
      </w:pPr>
      <w:bookmarkStart w:id="882" w:name="_Toc23249480"/>
      <w:r w:rsidRPr="001A4860">
        <w:rPr>
          <w:b/>
          <w:bCs/>
          <w:sz w:val="22"/>
          <w:szCs w:val="22"/>
          <w:lang w:val="es-ES" w:eastAsia="es-ES"/>
        </w:rPr>
        <w:t>Banco de Capacitores</w:t>
      </w:r>
      <w:bookmarkEnd w:id="882"/>
    </w:p>
    <w:p w14:paraId="2E76DBB2" w14:textId="77777777" w:rsidR="001A4860" w:rsidRPr="001A4860" w:rsidRDefault="001A4860" w:rsidP="001A4860">
      <w:pPr>
        <w:rPr>
          <w:sz w:val="22"/>
          <w:szCs w:val="22"/>
          <w:lang w:val="es-ES" w:eastAsia="es-ES"/>
        </w:rPr>
      </w:pPr>
    </w:p>
    <w:p w14:paraId="20D70C4A" w14:textId="77777777" w:rsidR="001A4860" w:rsidRPr="001A4860" w:rsidRDefault="001A4860" w:rsidP="001A4860">
      <w:pPr>
        <w:rPr>
          <w:sz w:val="22"/>
          <w:szCs w:val="22"/>
          <w:lang w:val="es-ES" w:eastAsia="es-ES"/>
        </w:rPr>
      </w:pPr>
      <w:r w:rsidRPr="001A4860">
        <w:rPr>
          <w:sz w:val="22"/>
          <w:szCs w:val="22"/>
          <w:lang w:val="es-ES" w:eastAsia="es-ES"/>
        </w:rPr>
        <w:t>a)   El Banco de Capacitores debe ser el adecuado para compensar el factor de potencia requerido para el motor y debe venir conectado al sistema de arranque o, en caso contrario, venir listo para su conexión en una determinada bornera en el panel de control eléctrico con su cable eléctrico y conforme a la capacidad del Banco en KVAR.</w:t>
      </w:r>
    </w:p>
    <w:p w14:paraId="74FF3770" w14:textId="77777777" w:rsidR="001A4860" w:rsidRPr="001A4860" w:rsidRDefault="001A4860" w:rsidP="001A4860">
      <w:pPr>
        <w:rPr>
          <w:sz w:val="22"/>
          <w:szCs w:val="22"/>
          <w:lang w:val="es-ES" w:eastAsia="es-ES"/>
        </w:rPr>
      </w:pPr>
    </w:p>
    <w:p w14:paraId="7DFECB9B" w14:textId="77777777" w:rsidR="001A4860" w:rsidRPr="001A4860" w:rsidRDefault="001A4860" w:rsidP="001A4860">
      <w:pPr>
        <w:rPr>
          <w:sz w:val="22"/>
          <w:szCs w:val="22"/>
          <w:lang w:val="es-ES" w:eastAsia="es-ES"/>
        </w:rPr>
      </w:pPr>
      <w:r w:rsidRPr="001A4860">
        <w:rPr>
          <w:sz w:val="22"/>
          <w:szCs w:val="22"/>
          <w:lang w:val="es-ES" w:eastAsia="es-ES"/>
        </w:rPr>
        <w:lastRenderedPageBreak/>
        <w:t>b)  El Banco de Capacitores debe tener su Interruptor Seccionador Principal trifásico y mandos incorporados. Debe tener señales luminosas de operación color verde y poseer un relé de protección contra sobre voltaje mayores de 10% del valor nominal de voltaje del capacitor que controle al cortador de accionamiento del capacitor, para evitar explosiones por sobre voltajes.</w:t>
      </w:r>
    </w:p>
    <w:p w14:paraId="32D5E655" w14:textId="77777777" w:rsidR="001A4860" w:rsidRPr="001A4860" w:rsidRDefault="001A4860" w:rsidP="001A4860">
      <w:pPr>
        <w:rPr>
          <w:sz w:val="22"/>
          <w:szCs w:val="22"/>
          <w:lang w:val="es-ES" w:eastAsia="es-ES"/>
        </w:rPr>
      </w:pPr>
    </w:p>
    <w:p w14:paraId="52F20971" w14:textId="77777777" w:rsidR="001A4860" w:rsidRPr="001A4860" w:rsidRDefault="001A4860" w:rsidP="001A4860">
      <w:pPr>
        <w:rPr>
          <w:sz w:val="22"/>
          <w:szCs w:val="22"/>
          <w:lang w:val="es-ES" w:eastAsia="es-ES"/>
        </w:rPr>
      </w:pPr>
      <w:r w:rsidRPr="001A4860">
        <w:rPr>
          <w:sz w:val="22"/>
          <w:szCs w:val="22"/>
          <w:lang w:val="es-ES" w:eastAsia="es-ES"/>
        </w:rPr>
        <w:t>c)   Debe de ser instalado en un gabinete independiente y ser conectado al arrancador, entre el interruptor termomagnético y el contactor de línea y deberá traer sus fusibles de protección con su seccionador trifásico (fusible es la mejor protección para condensadores). Se instalarán bobinas si el fabricante del Módulo Programable lo recomienda.</w:t>
      </w:r>
    </w:p>
    <w:p w14:paraId="2A612798" w14:textId="77777777" w:rsidR="001A4860" w:rsidRPr="001A4860" w:rsidRDefault="001A4860" w:rsidP="001A4860">
      <w:pPr>
        <w:rPr>
          <w:sz w:val="22"/>
          <w:szCs w:val="22"/>
          <w:lang w:val="es-ES" w:eastAsia="es-ES"/>
        </w:rPr>
      </w:pPr>
    </w:p>
    <w:p w14:paraId="6C38A924" w14:textId="77777777" w:rsidR="001A4860" w:rsidRPr="001A4860" w:rsidRDefault="001A4860" w:rsidP="001A4860">
      <w:pPr>
        <w:rPr>
          <w:sz w:val="22"/>
          <w:szCs w:val="22"/>
          <w:lang w:val="es-ES" w:eastAsia="es-ES"/>
        </w:rPr>
      </w:pPr>
      <w:r w:rsidRPr="001A4860">
        <w:rPr>
          <w:sz w:val="22"/>
          <w:szCs w:val="22"/>
          <w:lang w:val="es-ES" w:eastAsia="es-ES"/>
        </w:rPr>
        <w:t>d)   El banco de capacitores podrá venir integrado en el mismo gabinete de los arrancadores.</w:t>
      </w:r>
    </w:p>
    <w:p w14:paraId="54BDA963" w14:textId="77777777" w:rsidR="001A4860" w:rsidRPr="001A4860" w:rsidRDefault="001A4860" w:rsidP="001A4860">
      <w:pPr>
        <w:rPr>
          <w:sz w:val="22"/>
          <w:szCs w:val="22"/>
          <w:lang w:val="es-ES" w:eastAsia="es-ES"/>
        </w:rPr>
      </w:pPr>
    </w:p>
    <w:p w14:paraId="0B18169B" w14:textId="77777777" w:rsidR="001A4860" w:rsidRPr="001A4860" w:rsidRDefault="001A4860" w:rsidP="001A4860">
      <w:pPr>
        <w:rPr>
          <w:sz w:val="22"/>
          <w:szCs w:val="22"/>
          <w:lang w:val="es-ES" w:eastAsia="es-ES"/>
        </w:rPr>
      </w:pPr>
      <w:r w:rsidRPr="001A4860">
        <w:rPr>
          <w:sz w:val="22"/>
          <w:szCs w:val="22"/>
          <w:lang w:val="es-ES" w:eastAsia="es-ES"/>
        </w:rPr>
        <w:t>e)  Los Contactores del banco deben tener intertrabamiento con los Contactores de línea del arrancador, de tal forma que ambos juegos de Contactores sean conectados y desconectados al mismo tiempo (no conectar el motor y los condensadores directamente).</w:t>
      </w:r>
    </w:p>
    <w:p w14:paraId="3627F168" w14:textId="77777777" w:rsidR="001A4860" w:rsidRPr="001A4860" w:rsidRDefault="001A4860" w:rsidP="001A4860">
      <w:pPr>
        <w:rPr>
          <w:sz w:val="22"/>
          <w:szCs w:val="22"/>
          <w:lang w:val="es-ES" w:eastAsia="es-ES"/>
        </w:rPr>
      </w:pPr>
    </w:p>
    <w:p w14:paraId="3564E5FE" w14:textId="77777777" w:rsidR="001A4860" w:rsidRPr="001A4860" w:rsidRDefault="001A4860" w:rsidP="001A4860">
      <w:pPr>
        <w:rPr>
          <w:sz w:val="22"/>
          <w:szCs w:val="22"/>
          <w:lang w:val="es-ES" w:eastAsia="es-ES"/>
        </w:rPr>
      </w:pPr>
      <w:r w:rsidRPr="001A4860">
        <w:rPr>
          <w:sz w:val="22"/>
          <w:szCs w:val="22"/>
          <w:lang w:val="es-ES" w:eastAsia="es-ES"/>
        </w:rPr>
        <w:t>f)</w:t>
      </w:r>
      <w:r w:rsidRPr="001A4860">
        <w:rPr>
          <w:sz w:val="22"/>
          <w:szCs w:val="22"/>
          <w:lang w:val="es-ES" w:eastAsia="es-ES"/>
        </w:rPr>
        <w:tab/>
        <w:t>El banco de compensación (capacitores para mejorar el factor de potencia) debe de energizarse cuando el motor ya ha arrancado y el arrancador está desconectado por el contactor de bypass y el banco de compensación debe desconectarse cuando se pulse el botón de paro, de forma tal que  primero  se  desconecta  el  banco  de  compensación  y  luego  se  conecta  el  arrancador abriendo sus contactos de bypass. El banco de compensación no debe de estar conectado cuando el arrancador esté trabajando (en el arranque y en el paro).</w:t>
      </w:r>
    </w:p>
    <w:p w14:paraId="7AD8187D" w14:textId="77777777" w:rsidR="001A4860" w:rsidRPr="001A4860" w:rsidRDefault="001A4860" w:rsidP="001A4860">
      <w:pPr>
        <w:rPr>
          <w:sz w:val="22"/>
          <w:szCs w:val="22"/>
          <w:lang w:val="es-ES" w:eastAsia="es-ES"/>
        </w:rPr>
      </w:pPr>
    </w:p>
    <w:p w14:paraId="4F305DBC" w14:textId="77777777" w:rsidR="001A4860" w:rsidRPr="001A4860" w:rsidRDefault="001A4860" w:rsidP="001A4860">
      <w:pPr>
        <w:keepNext/>
        <w:jc w:val="left"/>
        <w:outlineLvl w:val="3"/>
        <w:rPr>
          <w:b/>
          <w:bCs/>
          <w:sz w:val="22"/>
          <w:szCs w:val="22"/>
          <w:lang w:val="es-ES" w:eastAsia="es-ES"/>
        </w:rPr>
      </w:pPr>
      <w:bookmarkStart w:id="883" w:name="_Toc23249481"/>
      <w:r w:rsidRPr="001A4860">
        <w:rPr>
          <w:b/>
          <w:bCs/>
          <w:sz w:val="22"/>
          <w:szCs w:val="22"/>
          <w:lang w:val="es-ES" w:eastAsia="es-ES"/>
        </w:rPr>
        <w:t>Cables Sumergibles</w:t>
      </w:r>
      <w:bookmarkEnd w:id="883"/>
    </w:p>
    <w:p w14:paraId="0D88C58C" w14:textId="77777777" w:rsidR="001A4860" w:rsidRPr="001A4860" w:rsidRDefault="001A4860" w:rsidP="001A4860">
      <w:pPr>
        <w:rPr>
          <w:sz w:val="22"/>
          <w:szCs w:val="22"/>
          <w:lang w:val="es-ES" w:eastAsia="es-ES"/>
        </w:rPr>
      </w:pPr>
    </w:p>
    <w:p w14:paraId="530F53F1" w14:textId="77777777" w:rsidR="001A4860" w:rsidRPr="001A4860" w:rsidRDefault="001A4860" w:rsidP="001A4860">
      <w:pPr>
        <w:rPr>
          <w:sz w:val="22"/>
          <w:szCs w:val="22"/>
          <w:lang w:val="es-ES" w:eastAsia="es-ES"/>
        </w:rPr>
      </w:pPr>
      <w:r w:rsidRPr="001A4860">
        <w:rPr>
          <w:sz w:val="22"/>
          <w:szCs w:val="22"/>
          <w:lang w:val="es-ES" w:eastAsia="es-ES"/>
        </w:rPr>
        <w:t>Los cables de alimentación de los motores deben ser del tipo plano (flat jacketed), propio para instalaciones en contacto permanente con el agua. Los cables de alimentación del motor deberán ser de tres guías para condiciones de servicio de 600 voltios con aislamiento para 60º C, resistente a la humedad. La longitud y el tamaño o número del cable deben ser los indicados en La Lista de Cantidades y Actividades. Cada conductor del cable deberá estar forrado con un aislamiento de hule o neopreno y el conjunto de los tres conductores estará recubierto de un forro de PVC de alta densidad y alta resistencia mecánica y de gran aislamiento eléctrico para la temperatura establecida.</w:t>
      </w:r>
    </w:p>
    <w:p w14:paraId="0E14145A" w14:textId="77777777" w:rsidR="001A4860" w:rsidRPr="001A4860" w:rsidRDefault="001A4860" w:rsidP="001A4860">
      <w:pPr>
        <w:rPr>
          <w:sz w:val="22"/>
          <w:szCs w:val="22"/>
          <w:lang w:val="es-ES" w:eastAsia="es-ES"/>
        </w:rPr>
      </w:pPr>
    </w:p>
    <w:p w14:paraId="335D8555" w14:textId="77777777" w:rsidR="001A4860" w:rsidRPr="001A4860" w:rsidRDefault="001A4860" w:rsidP="001A4860">
      <w:pPr>
        <w:keepNext/>
        <w:jc w:val="left"/>
        <w:outlineLvl w:val="3"/>
        <w:rPr>
          <w:b/>
          <w:bCs/>
          <w:sz w:val="22"/>
          <w:szCs w:val="22"/>
          <w:lang w:val="es-ES" w:eastAsia="es-ES"/>
        </w:rPr>
      </w:pPr>
      <w:bookmarkStart w:id="884" w:name="_Toc23249482"/>
      <w:r w:rsidRPr="001A4860">
        <w:rPr>
          <w:b/>
          <w:bCs/>
          <w:sz w:val="22"/>
          <w:szCs w:val="22"/>
          <w:lang w:val="es-ES" w:eastAsia="es-ES"/>
        </w:rPr>
        <w:t>Tubería de Columna de Descarga</w:t>
      </w:r>
      <w:bookmarkEnd w:id="884"/>
    </w:p>
    <w:p w14:paraId="25D0D00B" w14:textId="77777777" w:rsidR="001A4860" w:rsidRPr="001A4860" w:rsidRDefault="001A4860" w:rsidP="001A4860">
      <w:pPr>
        <w:rPr>
          <w:sz w:val="22"/>
          <w:szCs w:val="22"/>
          <w:lang w:val="es-ES" w:eastAsia="es-ES"/>
        </w:rPr>
      </w:pPr>
    </w:p>
    <w:p w14:paraId="56C9F862" w14:textId="77777777" w:rsidR="001A4860" w:rsidRPr="001A4860" w:rsidRDefault="001A4860" w:rsidP="001A4860">
      <w:pPr>
        <w:rPr>
          <w:sz w:val="22"/>
          <w:szCs w:val="22"/>
          <w:lang w:val="es-ES" w:eastAsia="es-ES"/>
        </w:rPr>
      </w:pPr>
      <w:r w:rsidRPr="001A4860">
        <w:rPr>
          <w:sz w:val="22"/>
          <w:szCs w:val="22"/>
          <w:lang w:val="es-ES" w:eastAsia="es-ES"/>
        </w:rPr>
        <w:t>La tubería de columna es de  acero Cédula 40, soldada, con soldadura tipo ERW y deberá cumplir con la norma ASTM A53 Grado B; La tubería es suministrada en secciones intercambiables de 20 pies (6.095 metros), con roscas en ambos extremos (ocho hilos por pulgadas) y con sus camisas de unión. Los extremos de cada sección de la tubería deberán ser paralelos y las roscas maquinadas para que los extremos sean perfectamente ensamblados a tope sin crear tensiones en su estructura.</w:t>
      </w:r>
    </w:p>
    <w:p w14:paraId="1D4A9EE5" w14:textId="77777777" w:rsidR="001A4860" w:rsidRPr="001A4860" w:rsidRDefault="001A4860" w:rsidP="001A4860">
      <w:pPr>
        <w:rPr>
          <w:sz w:val="22"/>
          <w:szCs w:val="22"/>
          <w:lang w:val="es-ES" w:eastAsia="es-ES"/>
        </w:rPr>
      </w:pPr>
    </w:p>
    <w:p w14:paraId="52BE821E" w14:textId="77777777" w:rsidR="001A4860" w:rsidRPr="001A4860" w:rsidRDefault="001A4860" w:rsidP="001A4860">
      <w:pPr>
        <w:keepNext/>
        <w:jc w:val="left"/>
        <w:outlineLvl w:val="3"/>
        <w:rPr>
          <w:b/>
          <w:bCs/>
          <w:sz w:val="22"/>
          <w:szCs w:val="22"/>
          <w:lang w:val="es-ES" w:eastAsia="es-ES"/>
        </w:rPr>
      </w:pPr>
      <w:bookmarkStart w:id="885" w:name="_Toc23249483"/>
      <w:r w:rsidRPr="001A4860">
        <w:rPr>
          <w:b/>
          <w:bCs/>
          <w:sz w:val="22"/>
          <w:szCs w:val="22"/>
          <w:lang w:val="es-ES" w:eastAsia="es-ES"/>
        </w:rPr>
        <w:t>Monitor de Temperatura del Motor</w:t>
      </w:r>
      <w:bookmarkEnd w:id="885"/>
    </w:p>
    <w:p w14:paraId="7192AB50" w14:textId="77777777" w:rsidR="001A4860" w:rsidRPr="001A4860" w:rsidRDefault="001A4860" w:rsidP="001A4860">
      <w:pPr>
        <w:rPr>
          <w:sz w:val="22"/>
          <w:szCs w:val="22"/>
          <w:lang w:val="es-ES" w:eastAsia="es-ES"/>
        </w:rPr>
      </w:pPr>
    </w:p>
    <w:p w14:paraId="22C303EA" w14:textId="77777777" w:rsidR="001A4860" w:rsidRPr="001A4860" w:rsidRDefault="001A4860" w:rsidP="001A4860">
      <w:pPr>
        <w:rPr>
          <w:sz w:val="22"/>
          <w:szCs w:val="22"/>
          <w:lang w:val="es-ES" w:eastAsia="es-ES"/>
        </w:rPr>
      </w:pPr>
      <w:r w:rsidRPr="001A4860">
        <w:rPr>
          <w:sz w:val="22"/>
          <w:szCs w:val="22"/>
          <w:lang w:val="es-ES" w:eastAsia="es-ES"/>
        </w:rPr>
        <w:t>Los motores eléctricos sumergibles deben ser protegidos con un sistema computarizado tipo SubMonitor y compatible con el tipo de motor ofertado para detectar desde el exterior el sobrecalentamiento directamente en el embobinado del motor, el cual es suministrado como parte de cada uno de los equipos de bombeo sumergibles.</w:t>
      </w:r>
    </w:p>
    <w:p w14:paraId="2E79F88F" w14:textId="77777777" w:rsidR="001A4860" w:rsidRPr="001A4860" w:rsidRDefault="001A4860" w:rsidP="001A4860">
      <w:pPr>
        <w:rPr>
          <w:sz w:val="22"/>
          <w:szCs w:val="22"/>
          <w:lang w:val="es-ES" w:eastAsia="es-ES"/>
        </w:rPr>
      </w:pPr>
    </w:p>
    <w:p w14:paraId="1841438B" w14:textId="77777777" w:rsidR="001A4860" w:rsidRPr="001A4860" w:rsidRDefault="001A4860" w:rsidP="001A4860">
      <w:pPr>
        <w:keepNext/>
        <w:ind w:left="720" w:hanging="720"/>
        <w:outlineLvl w:val="2"/>
        <w:rPr>
          <w:rFonts w:eastAsia="Arial Narrow"/>
          <w:b/>
          <w:bCs/>
          <w:iCs/>
          <w:sz w:val="22"/>
          <w:szCs w:val="22"/>
          <w:lang w:val="es-ES" w:bidi="en-US"/>
        </w:rPr>
      </w:pPr>
      <w:bookmarkStart w:id="886" w:name="_Toc23249484"/>
      <w:r w:rsidRPr="001A4860">
        <w:rPr>
          <w:rFonts w:eastAsia="Arial Narrow"/>
          <w:b/>
          <w:bCs/>
          <w:iCs/>
          <w:sz w:val="22"/>
          <w:szCs w:val="22"/>
          <w:lang w:val="es-ES" w:bidi="en-US"/>
        </w:rPr>
        <w:t>Sartas de pozos</w:t>
      </w:r>
      <w:bookmarkEnd w:id="886"/>
    </w:p>
    <w:p w14:paraId="1AC8EAD0" w14:textId="77777777" w:rsidR="001A4860" w:rsidRPr="001A4860" w:rsidRDefault="001A4860" w:rsidP="001A4860">
      <w:pPr>
        <w:rPr>
          <w:sz w:val="22"/>
          <w:szCs w:val="22"/>
          <w:lang w:val="es-ES" w:eastAsia="es-ES"/>
        </w:rPr>
      </w:pPr>
    </w:p>
    <w:p w14:paraId="28E4F3B2" w14:textId="77777777" w:rsidR="001A4860" w:rsidRPr="001A4860" w:rsidRDefault="001A4860" w:rsidP="001A4860">
      <w:pPr>
        <w:rPr>
          <w:sz w:val="22"/>
          <w:szCs w:val="22"/>
          <w:lang w:val="es-ES" w:eastAsia="es-ES"/>
        </w:rPr>
      </w:pPr>
      <w:r w:rsidRPr="001A4860">
        <w:rPr>
          <w:sz w:val="22"/>
          <w:szCs w:val="22"/>
          <w:lang w:val="es-ES" w:eastAsia="es-ES"/>
        </w:rPr>
        <w:lastRenderedPageBreak/>
        <w:t>Todos los accesorios rígidos sin accionamiento o maniobra tales como, Tees, cruz y codos, deberán de ser en HFD (Hierro Fundido Dúctil), bridados con sus piezas de montaje, todo en PN 16, recubiertos (como mínimo con 250 micras) en su superficie exterior e interior con epóxicos certificados para uso en Sistemas de Agua Potable.</w:t>
      </w:r>
    </w:p>
    <w:p w14:paraId="7265CE1A" w14:textId="77777777" w:rsidR="001A4860" w:rsidRPr="001A4860" w:rsidRDefault="001A4860" w:rsidP="001A4860">
      <w:pPr>
        <w:rPr>
          <w:sz w:val="22"/>
          <w:szCs w:val="22"/>
          <w:lang w:val="es-ES" w:eastAsia="es-ES"/>
        </w:rPr>
      </w:pPr>
    </w:p>
    <w:p w14:paraId="46A09E80" w14:textId="77777777" w:rsidR="001A4860" w:rsidRPr="001A4860" w:rsidRDefault="001A4860" w:rsidP="001A4860">
      <w:pPr>
        <w:rPr>
          <w:sz w:val="22"/>
          <w:szCs w:val="22"/>
          <w:lang w:val="es-ES" w:eastAsia="es-ES"/>
        </w:rPr>
      </w:pPr>
      <w:r w:rsidRPr="001A4860">
        <w:rPr>
          <w:sz w:val="22"/>
          <w:szCs w:val="22"/>
          <w:lang w:val="es-ES" w:eastAsia="es-ES"/>
        </w:rPr>
        <w:t>Para el caso de los manguitos ya sean brida espiga o doble brida, podrán ser suministrados en hierro fundido dúctil, recubiertos (como mínimo con 250 micras) en su superficie exterior e interior con epóxicos certificados para uso en Sistemas de Agua Potable</w:t>
      </w:r>
    </w:p>
    <w:p w14:paraId="1AED7370" w14:textId="77777777" w:rsidR="001A4860" w:rsidRPr="001A4860" w:rsidRDefault="001A4860" w:rsidP="001A4860">
      <w:pPr>
        <w:rPr>
          <w:sz w:val="22"/>
          <w:szCs w:val="22"/>
          <w:lang w:val="es-ES" w:eastAsia="es-ES"/>
        </w:rPr>
      </w:pPr>
    </w:p>
    <w:p w14:paraId="2272487C" w14:textId="77777777" w:rsidR="001A4860" w:rsidRPr="001A4860" w:rsidRDefault="001A4860" w:rsidP="001A4860">
      <w:pPr>
        <w:rPr>
          <w:sz w:val="22"/>
          <w:szCs w:val="22"/>
          <w:lang w:val="es-ES" w:eastAsia="es-ES"/>
        </w:rPr>
      </w:pPr>
      <w:r w:rsidRPr="001A4860">
        <w:rPr>
          <w:sz w:val="22"/>
          <w:szCs w:val="22"/>
          <w:lang w:val="es-ES" w:eastAsia="es-ES"/>
        </w:rPr>
        <w:t>Junta de desmontaje acerrojada axialmente, bridas NBR 7675 (ISO 2531) PN 16. Cuerpo, pistón y contrabrida en hierro fundido dúctil NBR 6916 clase 42012, anillo de cierre en goma, espárragos, tuercas en acero al carbono galvanizado.</w:t>
      </w:r>
    </w:p>
    <w:p w14:paraId="15538AC0" w14:textId="77777777" w:rsidR="001A4860" w:rsidRPr="001A4860" w:rsidRDefault="001A4860" w:rsidP="001A4860">
      <w:pPr>
        <w:rPr>
          <w:sz w:val="22"/>
          <w:szCs w:val="22"/>
          <w:lang w:val="es-ES" w:eastAsia="es-ES"/>
        </w:rPr>
      </w:pPr>
    </w:p>
    <w:p w14:paraId="40FEA916" w14:textId="77777777" w:rsidR="001A4860" w:rsidRPr="001A4860" w:rsidRDefault="001A4860" w:rsidP="001A4860">
      <w:pPr>
        <w:keepNext/>
        <w:jc w:val="left"/>
        <w:outlineLvl w:val="3"/>
        <w:rPr>
          <w:b/>
          <w:bCs/>
          <w:sz w:val="22"/>
          <w:szCs w:val="22"/>
          <w:lang w:val="es-ES" w:eastAsia="es-ES"/>
        </w:rPr>
      </w:pPr>
      <w:bookmarkStart w:id="887" w:name="_Toc23249485"/>
      <w:r w:rsidRPr="001A4860">
        <w:rPr>
          <w:b/>
          <w:bCs/>
          <w:sz w:val="22"/>
          <w:szCs w:val="22"/>
          <w:lang w:val="es-ES" w:eastAsia="es-ES"/>
        </w:rPr>
        <w:t>Válvulas de Paso</w:t>
      </w:r>
      <w:bookmarkEnd w:id="887"/>
    </w:p>
    <w:p w14:paraId="04A999D2" w14:textId="77777777" w:rsidR="001A4860" w:rsidRPr="001A4860" w:rsidRDefault="001A4860" w:rsidP="001A4860">
      <w:pPr>
        <w:rPr>
          <w:sz w:val="22"/>
          <w:szCs w:val="22"/>
          <w:lang w:val="es-ES" w:eastAsia="es-ES"/>
        </w:rPr>
      </w:pPr>
    </w:p>
    <w:p w14:paraId="797EC52F" w14:textId="77777777" w:rsidR="001A4860" w:rsidRPr="001A4860" w:rsidRDefault="001A4860" w:rsidP="001A4860">
      <w:pPr>
        <w:rPr>
          <w:sz w:val="22"/>
          <w:szCs w:val="22"/>
          <w:lang w:val="es-ES" w:eastAsia="es-ES"/>
        </w:rPr>
      </w:pPr>
      <w:r w:rsidRPr="001A4860">
        <w:rPr>
          <w:sz w:val="22"/>
          <w:szCs w:val="22"/>
          <w:lang w:val="es-ES" w:eastAsia="es-ES"/>
        </w:rPr>
        <w:t>Se solicitan  válvulas  de compuerta  de cierre  clásico,  cuerpo  de HFD,  revestimiento  exterior  e interior  epóxico, conexión con bridas ISO 2531 PN 16 con sus piezas de montaje.  La compuerta es de HFD con revestimiento elastómero especial vulcanizado, caras planas, con eje de maniobra (no ascendiendo) de acero inoxidable, tuerca de latón y empaquetadura de elastómero EPDM.</w:t>
      </w:r>
    </w:p>
    <w:p w14:paraId="0F5F893F" w14:textId="77777777" w:rsidR="001A4860" w:rsidRPr="001A4860" w:rsidRDefault="001A4860" w:rsidP="001A4860">
      <w:pPr>
        <w:rPr>
          <w:sz w:val="22"/>
          <w:szCs w:val="22"/>
          <w:lang w:val="es-ES" w:eastAsia="es-ES"/>
        </w:rPr>
      </w:pPr>
    </w:p>
    <w:p w14:paraId="5F210263" w14:textId="77777777" w:rsidR="001A4860" w:rsidRPr="001A4860" w:rsidRDefault="001A4860" w:rsidP="001A4860">
      <w:pPr>
        <w:keepNext/>
        <w:jc w:val="left"/>
        <w:outlineLvl w:val="3"/>
        <w:rPr>
          <w:b/>
          <w:bCs/>
          <w:sz w:val="22"/>
          <w:szCs w:val="22"/>
          <w:lang w:val="es-ES" w:eastAsia="es-ES"/>
        </w:rPr>
      </w:pPr>
      <w:bookmarkStart w:id="888" w:name="_Toc23249486"/>
      <w:r w:rsidRPr="001A4860">
        <w:rPr>
          <w:b/>
          <w:bCs/>
          <w:sz w:val="22"/>
          <w:szCs w:val="22"/>
          <w:lang w:val="es-ES" w:eastAsia="es-ES"/>
        </w:rPr>
        <w:t>Válvula de aire y vacío</w:t>
      </w:r>
      <w:bookmarkEnd w:id="888"/>
    </w:p>
    <w:p w14:paraId="10657B44" w14:textId="77777777" w:rsidR="001A4860" w:rsidRPr="001A4860" w:rsidRDefault="001A4860" w:rsidP="001A4860">
      <w:pPr>
        <w:rPr>
          <w:sz w:val="22"/>
          <w:szCs w:val="22"/>
          <w:lang w:val="es-ES" w:eastAsia="es-ES"/>
        </w:rPr>
      </w:pPr>
    </w:p>
    <w:p w14:paraId="20369761" w14:textId="77777777" w:rsidR="001A4860" w:rsidRPr="001A4860" w:rsidRDefault="001A4860" w:rsidP="001A4860">
      <w:pPr>
        <w:rPr>
          <w:sz w:val="22"/>
          <w:szCs w:val="22"/>
          <w:lang w:val="es-ES" w:eastAsia="es-ES"/>
        </w:rPr>
      </w:pPr>
      <w:r w:rsidRPr="001A4860">
        <w:rPr>
          <w:sz w:val="22"/>
          <w:szCs w:val="22"/>
          <w:lang w:val="es-ES" w:eastAsia="es-ES"/>
        </w:rPr>
        <w:t>Las válvulas de aire deben ser del tipo de flotador, de una cámara única, con rosca macho I.P. de acuerdo con A.S.A. B.2.1 para las bocas de entrada de 2 pulgadas, y ser diseñadas para una presión de trabajo de 200 psi. Todos los materiales del cuerpo y tapa deben cumplir con las especificaciones de la ASTM A126 CLASE B y ser de la mejor calidad.</w:t>
      </w:r>
    </w:p>
    <w:p w14:paraId="695A1623" w14:textId="77777777" w:rsidR="001A4860" w:rsidRPr="001A4860" w:rsidRDefault="001A4860" w:rsidP="001A4860">
      <w:pPr>
        <w:rPr>
          <w:sz w:val="22"/>
          <w:szCs w:val="22"/>
          <w:lang w:val="es-ES" w:eastAsia="es-ES"/>
        </w:rPr>
      </w:pPr>
    </w:p>
    <w:p w14:paraId="40103BDE" w14:textId="77777777" w:rsidR="001A4860" w:rsidRPr="001A4860" w:rsidRDefault="001A4860" w:rsidP="001A4860">
      <w:pPr>
        <w:rPr>
          <w:sz w:val="22"/>
          <w:szCs w:val="22"/>
          <w:lang w:val="es-ES" w:eastAsia="es-ES"/>
        </w:rPr>
      </w:pPr>
      <w:r w:rsidRPr="001A4860">
        <w:rPr>
          <w:sz w:val="22"/>
          <w:szCs w:val="22"/>
          <w:lang w:val="es-ES" w:eastAsia="es-ES"/>
        </w:rPr>
        <w:t>La boya de cierre es de acero inoxidable 302 ASTM A240. El cuerpo debe ser de Hierro Fundido contramarco de bronce. En general, todas las partes metálicas internas deben ser de acero inoxidable.  Todas las válvulas deben estar internamente protegidas con una capa de material anticorrosivo.</w:t>
      </w:r>
    </w:p>
    <w:p w14:paraId="49D596DA" w14:textId="77777777" w:rsidR="001A4860" w:rsidRPr="001A4860" w:rsidRDefault="001A4860" w:rsidP="001A4860">
      <w:pPr>
        <w:rPr>
          <w:sz w:val="22"/>
          <w:szCs w:val="22"/>
          <w:lang w:val="es-ES" w:eastAsia="es-ES"/>
        </w:rPr>
      </w:pPr>
    </w:p>
    <w:p w14:paraId="220915EB" w14:textId="77777777" w:rsidR="001A4860" w:rsidRPr="001A4860" w:rsidRDefault="001A4860" w:rsidP="001A4860">
      <w:pPr>
        <w:keepNext/>
        <w:jc w:val="left"/>
        <w:outlineLvl w:val="3"/>
        <w:rPr>
          <w:b/>
          <w:bCs/>
          <w:sz w:val="22"/>
          <w:szCs w:val="22"/>
          <w:lang w:val="es-ES" w:eastAsia="es-ES"/>
        </w:rPr>
      </w:pPr>
      <w:bookmarkStart w:id="889" w:name="_Toc23249487"/>
      <w:r w:rsidRPr="001A4860">
        <w:rPr>
          <w:b/>
          <w:bCs/>
          <w:sz w:val="22"/>
          <w:szCs w:val="22"/>
          <w:lang w:val="es-ES" w:eastAsia="es-ES"/>
        </w:rPr>
        <w:t>Válvula anti-retorno</w:t>
      </w:r>
      <w:bookmarkEnd w:id="889"/>
    </w:p>
    <w:p w14:paraId="519AA15A" w14:textId="77777777" w:rsidR="001A4860" w:rsidRPr="001A4860" w:rsidRDefault="001A4860" w:rsidP="001A4860">
      <w:pPr>
        <w:rPr>
          <w:sz w:val="22"/>
          <w:szCs w:val="22"/>
          <w:lang w:val="es-ES" w:eastAsia="es-ES"/>
        </w:rPr>
      </w:pPr>
      <w:r w:rsidRPr="001A4860">
        <w:rPr>
          <w:sz w:val="22"/>
          <w:szCs w:val="22"/>
          <w:lang w:val="es-ES" w:eastAsia="es-ES"/>
        </w:rPr>
        <w:t>Las válvulas anti-retorno o “check” solicitadas para instalación en las sartas deben ser construidas con un cuerpo en HFD ISO 2531 PN 16, y deberán cumplir los siguientes requerimientos:</w:t>
      </w:r>
    </w:p>
    <w:p w14:paraId="342CD063" w14:textId="77777777" w:rsidR="001A4860" w:rsidRPr="001A4860" w:rsidRDefault="001A4860" w:rsidP="001A4860">
      <w:pPr>
        <w:rPr>
          <w:sz w:val="22"/>
          <w:szCs w:val="22"/>
          <w:lang w:val="es-ES" w:eastAsia="es-ES"/>
        </w:rPr>
      </w:pPr>
    </w:p>
    <w:p w14:paraId="364345E0"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Juntas bridadas</w:t>
      </w:r>
    </w:p>
    <w:p w14:paraId="4DDC6908"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Para instalación tipo intemperie</w:t>
      </w:r>
    </w:p>
    <w:p w14:paraId="1BB63CC3"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Funcionamiento automático controlado por presión hidráulica</w:t>
      </w:r>
    </w:p>
    <w:p w14:paraId="3945CB0C"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Cuerpo ensanchado en forma de “Y” con actuador hidráulico de doble cámara.</w:t>
      </w:r>
    </w:p>
    <w:p w14:paraId="458B6CC4"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Pérdida de carga mínima y alta resistencia a la cavitación</w:t>
      </w:r>
    </w:p>
    <w:p w14:paraId="10D87A24"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Asiento desmontable de la válvula en acero inoxidable y bronce</w:t>
      </w:r>
    </w:p>
    <w:p w14:paraId="5BD26FDF"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Filtro de control de fácil desmontaje para facilitar la limpieza</w:t>
      </w:r>
    </w:p>
    <w:p w14:paraId="331AB214"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Indicador de posición para permitir la información visual del cierre o apertura de la válvula.</w:t>
      </w:r>
    </w:p>
    <w:p w14:paraId="222E6A9B"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Sistema de ajuste para regular la velocidad de apertura y cierre de la válvula</w:t>
      </w:r>
    </w:p>
    <w:p w14:paraId="69BC7EC5" w14:textId="77777777" w:rsidR="001A4860" w:rsidRPr="001A4860" w:rsidRDefault="001A4860" w:rsidP="001A4860">
      <w:pPr>
        <w:rPr>
          <w:sz w:val="22"/>
          <w:szCs w:val="22"/>
          <w:lang w:val="es-ES" w:eastAsia="es-ES"/>
        </w:rPr>
      </w:pPr>
    </w:p>
    <w:p w14:paraId="7F5829D3" w14:textId="77777777" w:rsidR="001A4860" w:rsidRPr="001A4860" w:rsidRDefault="001A4860" w:rsidP="001A4860">
      <w:pPr>
        <w:keepNext/>
        <w:jc w:val="left"/>
        <w:outlineLvl w:val="3"/>
        <w:rPr>
          <w:b/>
          <w:bCs/>
          <w:sz w:val="22"/>
          <w:szCs w:val="22"/>
          <w:lang w:val="es-ES" w:eastAsia="es-ES"/>
        </w:rPr>
      </w:pPr>
      <w:bookmarkStart w:id="890" w:name="_Toc23249488"/>
      <w:r w:rsidRPr="001A4860">
        <w:rPr>
          <w:b/>
          <w:bCs/>
          <w:sz w:val="22"/>
          <w:szCs w:val="22"/>
          <w:lang w:val="es-ES" w:eastAsia="es-ES"/>
        </w:rPr>
        <w:t>Válvula aliviadora de presión</w:t>
      </w:r>
      <w:bookmarkEnd w:id="890"/>
    </w:p>
    <w:p w14:paraId="744970D2" w14:textId="77777777" w:rsidR="001A4860" w:rsidRPr="001A4860" w:rsidRDefault="001A4860" w:rsidP="001A4860">
      <w:pPr>
        <w:rPr>
          <w:sz w:val="22"/>
          <w:szCs w:val="22"/>
          <w:lang w:val="es-ES" w:eastAsia="es-ES"/>
        </w:rPr>
      </w:pPr>
      <w:r w:rsidRPr="001A4860">
        <w:rPr>
          <w:sz w:val="22"/>
          <w:szCs w:val="22"/>
          <w:lang w:val="es-ES" w:eastAsia="es-ES"/>
        </w:rPr>
        <w:t>Las válvulas automáticas aliviadoras de presión solicitadas para instalación en las Sartas deben ser construidas con un cuerpo en HFD ISO 2531 PN 16, y deberán cumplir los siguientes requerimientos:</w:t>
      </w:r>
    </w:p>
    <w:p w14:paraId="407A1B28" w14:textId="77777777" w:rsidR="001A4860" w:rsidRPr="001A4860" w:rsidRDefault="001A4860" w:rsidP="001A4860">
      <w:pPr>
        <w:rPr>
          <w:sz w:val="22"/>
          <w:szCs w:val="22"/>
          <w:lang w:val="es-ES" w:eastAsia="es-ES"/>
        </w:rPr>
      </w:pPr>
    </w:p>
    <w:p w14:paraId="2770928B"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Juntas bridadas y de tipo de montaje en “Y” (No angular)</w:t>
      </w:r>
    </w:p>
    <w:p w14:paraId="24B29D23" w14:textId="77777777" w:rsidR="001A4860" w:rsidRPr="001A4860" w:rsidRDefault="001A4860" w:rsidP="001A4860">
      <w:pPr>
        <w:rPr>
          <w:sz w:val="22"/>
          <w:szCs w:val="22"/>
          <w:lang w:val="es-ES" w:eastAsia="es-ES"/>
        </w:rPr>
      </w:pPr>
      <w:r w:rsidRPr="001A4860">
        <w:rPr>
          <w:sz w:val="22"/>
          <w:szCs w:val="22"/>
          <w:lang w:val="es-ES" w:eastAsia="es-ES"/>
        </w:rPr>
        <w:lastRenderedPageBreak/>
        <w:t xml:space="preserve">- </w:t>
      </w:r>
      <w:r w:rsidRPr="001A4860">
        <w:rPr>
          <w:sz w:val="22"/>
          <w:szCs w:val="22"/>
          <w:lang w:val="es-ES" w:eastAsia="es-ES"/>
        </w:rPr>
        <w:tab/>
        <w:t>Para instalación tipo intemperie</w:t>
      </w:r>
    </w:p>
    <w:p w14:paraId="73431BDB"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Funcionamiento Automático controlado por presión hidráulica</w:t>
      </w:r>
    </w:p>
    <w:p w14:paraId="7090A015"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Alta capacidad de alivio</w:t>
      </w:r>
    </w:p>
    <w:p w14:paraId="775A4BD3"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Cierre hermético y suave para evitar golpes de ariete</w:t>
      </w:r>
    </w:p>
    <w:p w14:paraId="5E1BC3C7"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Fuerza de apertura estable, independientemente de la posición del eje de la válvula.</w:t>
      </w:r>
    </w:p>
    <w:p w14:paraId="6A32994F"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Fácil ajuste de presión por medio de piloto hidráulico integrado</w:t>
      </w:r>
    </w:p>
    <w:p w14:paraId="32305ABE"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Rango de ajuste de presión 7 a 225 psi</w:t>
      </w:r>
    </w:p>
    <w:p w14:paraId="04160C36"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Cuerpo interior en bronce y acero inoxidable</w:t>
      </w:r>
    </w:p>
    <w:p w14:paraId="5CDF1748" w14:textId="77777777" w:rsidR="001A4860" w:rsidRPr="001A4860" w:rsidRDefault="001A4860" w:rsidP="001A4860">
      <w:pPr>
        <w:rPr>
          <w:sz w:val="22"/>
          <w:szCs w:val="22"/>
          <w:lang w:val="es-ES" w:eastAsia="es-ES"/>
        </w:rPr>
      </w:pPr>
      <w:r w:rsidRPr="001A4860">
        <w:rPr>
          <w:sz w:val="22"/>
          <w:szCs w:val="22"/>
          <w:lang w:val="es-ES" w:eastAsia="es-ES"/>
        </w:rPr>
        <w:t xml:space="preserve">- </w:t>
      </w:r>
      <w:r w:rsidRPr="001A4860">
        <w:rPr>
          <w:sz w:val="22"/>
          <w:szCs w:val="22"/>
          <w:lang w:val="es-ES" w:eastAsia="es-ES"/>
        </w:rPr>
        <w:tab/>
        <w:t>Diafragma de neopreno reforzado con nylon</w:t>
      </w:r>
    </w:p>
    <w:p w14:paraId="758D10AD" w14:textId="77777777" w:rsidR="001A4860" w:rsidRPr="001A4860" w:rsidRDefault="001A4860" w:rsidP="001A4860">
      <w:pPr>
        <w:rPr>
          <w:sz w:val="22"/>
          <w:szCs w:val="22"/>
          <w:lang w:val="es-ES" w:eastAsia="es-ES"/>
        </w:rPr>
      </w:pPr>
    </w:p>
    <w:p w14:paraId="3FC5AFCA" w14:textId="77777777" w:rsidR="001A4860" w:rsidRPr="001A4860" w:rsidRDefault="001A4860" w:rsidP="001A4860">
      <w:pPr>
        <w:keepNext/>
        <w:jc w:val="left"/>
        <w:outlineLvl w:val="3"/>
        <w:rPr>
          <w:b/>
          <w:bCs/>
          <w:sz w:val="22"/>
          <w:szCs w:val="22"/>
          <w:lang w:val="es-ES" w:eastAsia="es-ES"/>
        </w:rPr>
      </w:pPr>
      <w:bookmarkStart w:id="891" w:name="_Toc23249489"/>
      <w:r w:rsidRPr="001A4860">
        <w:rPr>
          <w:b/>
          <w:bCs/>
          <w:sz w:val="22"/>
          <w:szCs w:val="22"/>
          <w:lang w:val="es-ES" w:eastAsia="es-ES"/>
        </w:rPr>
        <w:t>Instalación</w:t>
      </w:r>
      <w:bookmarkEnd w:id="891"/>
    </w:p>
    <w:p w14:paraId="1DF5A470" w14:textId="77777777" w:rsidR="001A4860" w:rsidRPr="001A4860" w:rsidRDefault="001A4860" w:rsidP="001A4860">
      <w:pPr>
        <w:rPr>
          <w:sz w:val="22"/>
          <w:szCs w:val="22"/>
          <w:lang w:val="es-ES" w:eastAsia="es-ES"/>
        </w:rPr>
      </w:pPr>
    </w:p>
    <w:p w14:paraId="73B21E2C" w14:textId="77777777" w:rsidR="001A4860" w:rsidRPr="001A4860" w:rsidRDefault="001A4860" w:rsidP="001A4860">
      <w:pPr>
        <w:rPr>
          <w:sz w:val="22"/>
          <w:szCs w:val="22"/>
          <w:lang w:val="es-ES" w:eastAsia="es-ES"/>
        </w:rPr>
      </w:pPr>
      <w:r w:rsidRPr="001A4860">
        <w:rPr>
          <w:sz w:val="22"/>
          <w:szCs w:val="22"/>
          <w:lang w:val="es-ES" w:eastAsia="es-ES"/>
        </w:rPr>
        <w:t>El trabajo a ejecutarse bajo este rubro comprende el suministro de equipos, herramientas, mano de obra, transporte,  materiales y agregados necesarios para llevar a cabo la instalación de la sarta de bombeo con todos sus accesorios y obras complementarias, en el sitio y dimensiones indicadas en los planos y de acuerdo con lo estipulado en estas especificaciones. Los costos de esta operación son asumidos por El Contratista.</w:t>
      </w:r>
    </w:p>
    <w:p w14:paraId="133C74C0" w14:textId="77777777" w:rsidR="001A4860" w:rsidRPr="001A4860" w:rsidRDefault="001A4860" w:rsidP="001A4860">
      <w:pPr>
        <w:rPr>
          <w:sz w:val="22"/>
          <w:szCs w:val="22"/>
          <w:lang w:val="es-ES" w:eastAsia="es-ES"/>
        </w:rPr>
      </w:pPr>
    </w:p>
    <w:p w14:paraId="1157997C" w14:textId="77777777" w:rsidR="001A4860" w:rsidRPr="001A4860" w:rsidRDefault="001A4860" w:rsidP="001A4860">
      <w:pPr>
        <w:rPr>
          <w:sz w:val="22"/>
          <w:szCs w:val="22"/>
          <w:lang w:val="es-ES" w:eastAsia="es-ES"/>
        </w:rPr>
      </w:pPr>
      <w:r w:rsidRPr="001A4860">
        <w:rPr>
          <w:sz w:val="22"/>
          <w:szCs w:val="22"/>
          <w:lang w:val="es-ES" w:eastAsia="es-ES"/>
        </w:rPr>
        <w:t>El proyecto requiere suministrar, instalar y poner en operación sarta de bombeo en la salida de la columna de descarga de la bomba.</w:t>
      </w:r>
    </w:p>
    <w:p w14:paraId="68A7D235" w14:textId="77777777" w:rsidR="001A4860" w:rsidRPr="001A4860" w:rsidRDefault="001A4860" w:rsidP="001A4860">
      <w:pPr>
        <w:rPr>
          <w:sz w:val="22"/>
          <w:szCs w:val="22"/>
          <w:lang w:val="es-ES" w:eastAsia="es-ES"/>
        </w:rPr>
      </w:pPr>
    </w:p>
    <w:p w14:paraId="093822E2" w14:textId="77777777" w:rsidR="001A4860" w:rsidRPr="001A4860" w:rsidRDefault="001A4860" w:rsidP="001A4860">
      <w:pPr>
        <w:rPr>
          <w:sz w:val="22"/>
          <w:szCs w:val="22"/>
          <w:lang w:val="es-ES" w:eastAsia="es-ES"/>
        </w:rPr>
      </w:pPr>
      <w:r w:rsidRPr="001A4860">
        <w:rPr>
          <w:sz w:val="22"/>
          <w:szCs w:val="22"/>
          <w:lang w:val="es-ES" w:eastAsia="es-ES"/>
        </w:rPr>
        <w:t xml:space="preserve">El tubo de sarta es de material HG, diámetro nominal de 50 mm (2 pulg.), longitud 7.00 m y elevado con anclajes a 0.75 m sobre losa de piso de concreto ciclópeo (20% de concreto de 1500 psi + 80% piedra bolón), con NPT 324.10 msnm, </w:t>
      </w:r>
    </w:p>
    <w:p w14:paraId="499EF398" w14:textId="77777777" w:rsidR="001A4860" w:rsidRPr="001A4860" w:rsidRDefault="001A4860" w:rsidP="001A4860">
      <w:pPr>
        <w:rPr>
          <w:sz w:val="22"/>
          <w:szCs w:val="22"/>
          <w:lang w:val="es-ES" w:eastAsia="es-ES"/>
        </w:rPr>
      </w:pPr>
    </w:p>
    <w:p w14:paraId="71F3F099" w14:textId="77777777" w:rsidR="001A4860" w:rsidRPr="001A4860" w:rsidRDefault="001A4860" w:rsidP="001A4860">
      <w:pPr>
        <w:rPr>
          <w:sz w:val="22"/>
          <w:szCs w:val="22"/>
          <w:lang w:val="es-ES" w:eastAsia="es-ES"/>
        </w:rPr>
      </w:pPr>
      <w:r w:rsidRPr="001A4860">
        <w:rPr>
          <w:sz w:val="22"/>
          <w:szCs w:val="22"/>
          <w:lang w:val="es-ES" w:eastAsia="es-ES"/>
        </w:rPr>
        <w:t>La sarta debe ser instalada con unión dresser, para montaje y desmontaje durante labores de reparación y/o mantenimiento, debe tener medidor maestro de flujo, medidor de carga (manómetro), válvula de control de caudal, válvula de alivio rápido, válvula check, juntas y accesorios para acople y transición de diámetros. La instalación debe realizarse de conformidad con planos y especificaciones.</w:t>
      </w:r>
    </w:p>
    <w:p w14:paraId="36620A61" w14:textId="77777777" w:rsidR="001A4860" w:rsidRPr="001A4860" w:rsidRDefault="001A4860" w:rsidP="001A4860">
      <w:pPr>
        <w:rPr>
          <w:sz w:val="22"/>
          <w:szCs w:val="22"/>
          <w:lang w:val="es-ES" w:eastAsia="es-ES"/>
        </w:rPr>
      </w:pPr>
    </w:p>
    <w:p w14:paraId="6A34FB2F" w14:textId="77777777" w:rsidR="001A4860" w:rsidRPr="001A4860" w:rsidRDefault="001A4860" w:rsidP="001A4860">
      <w:pPr>
        <w:rPr>
          <w:sz w:val="22"/>
          <w:szCs w:val="22"/>
          <w:lang w:val="es-ES" w:eastAsia="es-ES"/>
        </w:rPr>
      </w:pPr>
      <w:r w:rsidRPr="001A4860">
        <w:rPr>
          <w:sz w:val="22"/>
          <w:szCs w:val="22"/>
          <w:lang w:val="es-ES" w:eastAsia="es-ES"/>
        </w:rPr>
        <w:t>La sarta de bombeo en los planos de las estaciones de bombeo se presenta en esquemas generales típicos. El Contratista tiene la libertad de ejecutar el método de instalación de los accesorios. Sin embargo, los procedimientos deben corresponder a reglas técnicas reconocidas para la colocación de tuberías o de acuerdo con las instrucciones del fabricante.</w:t>
      </w:r>
    </w:p>
    <w:p w14:paraId="0D953303" w14:textId="77777777" w:rsidR="001A4860" w:rsidRPr="001A4860" w:rsidRDefault="001A4860" w:rsidP="001A4860">
      <w:pPr>
        <w:rPr>
          <w:sz w:val="22"/>
          <w:szCs w:val="22"/>
          <w:lang w:val="es-ES" w:eastAsia="es-ES"/>
        </w:rPr>
      </w:pPr>
      <w:r w:rsidRPr="001A4860">
        <w:rPr>
          <w:sz w:val="22"/>
          <w:szCs w:val="22"/>
          <w:lang w:val="es-ES" w:eastAsia="es-ES"/>
        </w:rPr>
        <w:t>Está prohibido el uso de cadenas, o cuerdas metálicas para el manejo de los accesorios. Las correas acolchonadas o cintas de soporte que se utilicen para este fin deben tener el ancho suficiente para no causar daños al revestimiento interior de dichos accesorios.</w:t>
      </w:r>
    </w:p>
    <w:p w14:paraId="2FD2B403" w14:textId="77777777" w:rsidR="001A4860" w:rsidRPr="001A4860" w:rsidRDefault="001A4860" w:rsidP="001A4860">
      <w:pPr>
        <w:rPr>
          <w:sz w:val="22"/>
          <w:szCs w:val="22"/>
          <w:lang w:val="es-ES" w:eastAsia="es-ES"/>
        </w:rPr>
      </w:pPr>
    </w:p>
    <w:p w14:paraId="41509A3A" w14:textId="77777777" w:rsidR="001A4860" w:rsidRPr="001A4860" w:rsidRDefault="001A4860" w:rsidP="001A4860">
      <w:pPr>
        <w:rPr>
          <w:sz w:val="22"/>
          <w:szCs w:val="22"/>
          <w:lang w:val="es-ES" w:eastAsia="es-ES"/>
        </w:rPr>
      </w:pPr>
      <w:r w:rsidRPr="001A4860">
        <w:rPr>
          <w:sz w:val="22"/>
          <w:szCs w:val="22"/>
          <w:lang w:val="es-ES" w:eastAsia="es-ES"/>
        </w:rPr>
        <w:t>Construir bloques de reacción de concreto reforzados con resistencia mínima a la compresión a los 28 días de 180 Kg/cm², según se indica en los planos constructivos de detalles.</w:t>
      </w:r>
    </w:p>
    <w:p w14:paraId="4C397351" w14:textId="77777777" w:rsidR="001A4860" w:rsidRPr="001A4860" w:rsidRDefault="001A4860" w:rsidP="001A4860">
      <w:pPr>
        <w:rPr>
          <w:sz w:val="22"/>
          <w:szCs w:val="22"/>
          <w:lang w:val="es-ES" w:eastAsia="es-ES"/>
        </w:rPr>
      </w:pPr>
    </w:p>
    <w:p w14:paraId="5309D8DF" w14:textId="77777777" w:rsidR="001A4860" w:rsidRPr="001A4860" w:rsidRDefault="001A4860" w:rsidP="001A4860">
      <w:pPr>
        <w:rPr>
          <w:sz w:val="22"/>
          <w:szCs w:val="22"/>
          <w:lang w:val="es-ES" w:eastAsia="es-ES"/>
        </w:rPr>
      </w:pPr>
      <w:r w:rsidRPr="001A4860">
        <w:rPr>
          <w:sz w:val="22"/>
          <w:szCs w:val="22"/>
          <w:lang w:val="es-ES" w:eastAsia="es-ES"/>
        </w:rPr>
        <w:t>Para la fijación de la tubería con los bloques de reacción se dispone de bridas de platinas de hierro de 1/8” x 1” y estas deben ser pintadas con tres capas de pintura (anticorrosiva y de aceite)</w:t>
      </w:r>
    </w:p>
    <w:p w14:paraId="3BD1B2D0" w14:textId="77777777" w:rsidR="001A4860" w:rsidRPr="001A4860" w:rsidRDefault="001A4860" w:rsidP="001A4860">
      <w:pPr>
        <w:rPr>
          <w:sz w:val="22"/>
          <w:szCs w:val="22"/>
          <w:lang w:val="es-ES" w:eastAsia="es-ES"/>
        </w:rPr>
      </w:pPr>
    </w:p>
    <w:p w14:paraId="76C59A32" w14:textId="77777777" w:rsidR="001A4860" w:rsidRPr="001A4860" w:rsidRDefault="001A4860" w:rsidP="001A4860">
      <w:pPr>
        <w:rPr>
          <w:sz w:val="22"/>
          <w:szCs w:val="22"/>
          <w:lang w:val="es-ES" w:eastAsia="es-ES"/>
        </w:rPr>
      </w:pPr>
      <w:r w:rsidRPr="001A4860">
        <w:rPr>
          <w:sz w:val="22"/>
          <w:szCs w:val="22"/>
          <w:lang w:val="es-ES" w:eastAsia="es-ES"/>
        </w:rPr>
        <w:t>El acabado de los bloques de reacción es fino directo arenillado, es decir una mezcla de arenilla de playa o arenilla graduada con cemento.</w:t>
      </w:r>
    </w:p>
    <w:p w14:paraId="15B958B1" w14:textId="77777777" w:rsidR="001A4860" w:rsidRPr="001A4860" w:rsidRDefault="001A4860" w:rsidP="001A4860">
      <w:pPr>
        <w:rPr>
          <w:sz w:val="22"/>
          <w:szCs w:val="22"/>
          <w:lang w:val="es-ES" w:eastAsia="es-ES"/>
        </w:rPr>
      </w:pPr>
    </w:p>
    <w:p w14:paraId="028C40C4" w14:textId="77777777" w:rsidR="001A4860" w:rsidRPr="001A4860" w:rsidRDefault="001A4860" w:rsidP="001A4860">
      <w:pPr>
        <w:rPr>
          <w:sz w:val="22"/>
          <w:szCs w:val="22"/>
          <w:lang w:val="es-ES" w:eastAsia="es-ES"/>
        </w:rPr>
      </w:pPr>
      <w:r w:rsidRPr="001A4860">
        <w:rPr>
          <w:sz w:val="22"/>
          <w:szCs w:val="22"/>
          <w:lang w:val="es-ES" w:eastAsia="es-ES"/>
        </w:rPr>
        <w:t>La varilla de anclaje para fijar la tubería al bloque de reacción es lisa de ½”</w:t>
      </w:r>
    </w:p>
    <w:p w14:paraId="599D5719" w14:textId="77777777" w:rsidR="001A4860" w:rsidRPr="001A4860" w:rsidRDefault="001A4860" w:rsidP="001A4860">
      <w:pPr>
        <w:rPr>
          <w:sz w:val="22"/>
          <w:szCs w:val="22"/>
          <w:lang w:val="es-ES" w:eastAsia="es-ES"/>
        </w:rPr>
      </w:pPr>
    </w:p>
    <w:p w14:paraId="04234742" w14:textId="77777777" w:rsidR="001A4860" w:rsidRPr="001A4860" w:rsidRDefault="001A4860" w:rsidP="001A4860">
      <w:pPr>
        <w:keepNext/>
        <w:jc w:val="left"/>
        <w:outlineLvl w:val="3"/>
        <w:rPr>
          <w:b/>
          <w:bCs/>
          <w:sz w:val="22"/>
          <w:szCs w:val="22"/>
          <w:lang w:val="es-ES" w:eastAsia="es-ES"/>
        </w:rPr>
      </w:pPr>
      <w:bookmarkStart w:id="892" w:name="_Toc23249490"/>
      <w:r w:rsidRPr="001A4860">
        <w:rPr>
          <w:b/>
          <w:bCs/>
          <w:sz w:val="22"/>
          <w:szCs w:val="22"/>
          <w:lang w:val="es-ES" w:eastAsia="es-ES"/>
        </w:rPr>
        <w:t>Medición y pago</w:t>
      </w:r>
      <w:bookmarkEnd w:id="892"/>
    </w:p>
    <w:p w14:paraId="58716C0B" w14:textId="77777777" w:rsidR="001A4860" w:rsidRPr="001A4860" w:rsidRDefault="001A4860" w:rsidP="001A4860">
      <w:pPr>
        <w:rPr>
          <w:sz w:val="22"/>
          <w:szCs w:val="22"/>
          <w:lang w:val="es-ES" w:eastAsia="es-ES"/>
        </w:rPr>
      </w:pPr>
    </w:p>
    <w:p w14:paraId="124ABD43" w14:textId="77777777" w:rsidR="001A4860" w:rsidRPr="001A4860" w:rsidRDefault="001A4860" w:rsidP="001A4860">
      <w:pPr>
        <w:rPr>
          <w:sz w:val="22"/>
          <w:szCs w:val="22"/>
          <w:lang w:val="es-ES" w:eastAsia="es-ES"/>
        </w:rPr>
      </w:pPr>
      <w:r w:rsidRPr="001A4860">
        <w:rPr>
          <w:sz w:val="22"/>
          <w:szCs w:val="22"/>
          <w:lang w:val="es-ES" w:eastAsia="es-ES"/>
        </w:rPr>
        <w:lastRenderedPageBreak/>
        <w:t>Los precios unitarios correspondientes a este concepto deben incluir todos los costos implícitos en el suministro e instalación de cada uno de los componentes, conforme lo establecido en estas especificaciones técnicas y resto de documentos contractuales.</w:t>
      </w:r>
    </w:p>
    <w:p w14:paraId="584B6FF5" w14:textId="77777777" w:rsidR="001A4860" w:rsidRPr="001A4860" w:rsidRDefault="001A4860" w:rsidP="001A4860">
      <w:pPr>
        <w:rPr>
          <w:sz w:val="22"/>
          <w:szCs w:val="22"/>
          <w:lang w:val="es-ES" w:eastAsia="es-ES"/>
        </w:rPr>
      </w:pPr>
    </w:p>
    <w:p w14:paraId="6112E1D1" w14:textId="77777777" w:rsidR="001A4860" w:rsidRPr="001A4860" w:rsidRDefault="001A4860" w:rsidP="001A4860">
      <w:pPr>
        <w:rPr>
          <w:sz w:val="22"/>
          <w:szCs w:val="22"/>
          <w:lang w:val="es-ES" w:eastAsia="es-ES"/>
        </w:rPr>
      </w:pPr>
      <w:r w:rsidRPr="001A4860">
        <w:rPr>
          <w:sz w:val="22"/>
          <w:szCs w:val="22"/>
          <w:lang w:val="es-ES" w:eastAsia="es-ES"/>
        </w:rPr>
        <w:t>Los precios unitarios ofertados por el proveedor en la lista de precios, deben incluir, sin que esta enumeración sea limitativa: excavación, relleno y compactación, el suministro e instalación de accesorios que garanticen la instalación completa y el acople a la red de conducción, los  bloques de reacción, las prueba y trabajos complementarios no detallados en la lista de precios a menos que específicamente sean incluidas bajo otro renglon.</w:t>
      </w:r>
    </w:p>
    <w:p w14:paraId="2C6E0AA2" w14:textId="77777777" w:rsidR="001A4860" w:rsidRPr="001A4860" w:rsidRDefault="001A4860" w:rsidP="001A4860">
      <w:pPr>
        <w:rPr>
          <w:sz w:val="22"/>
          <w:szCs w:val="22"/>
          <w:lang w:val="es-ES" w:eastAsia="es-ES"/>
        </w:rPr>
      </w:pPr>
    </w:p>
    <w:p w14:paraId="149ABE6C" w14:textId="77777777" w:rsidR="001A4860" w:rsidRPr="001A4860" w:rsidRDefault="001A4860" w:rsidP="001A4860">
      <w:pPr>
        <w:rPr>
          <w:sz w:val="22"/>
          <w:szCs w:val="22"/>
          <w:lang w:val="es-ES" w:eastAsia="es-ES"/>
        </w:rPr>
      </w:pPr>
      <w:r w:rsidRPr="001A4860">
        <w:rPr>
          <w:sz w:val="22"/>
          <w:szCs w:val="22"/>
          <w:lang w:val="es-ES" w:eastAsia="es-ES"/>
        </w:rPr>
        <w:t>En caso que la sarta de bombeo a suministrar sea para sustituir una ya existente, en su oferta el contratista debe considerar la desinstalación de la la sarta existente.</w:t>
      </w:r>
    </w:p>
    <w:p w14:paraId="0F87F959" w14:textId="77777777" w:rsidR="001A4860" w:rsidRPr="001A4860" w:rsidRDefault="001A4860" w:rsidP="001A4860">
      <w:pPr>
        <w:rPr>
          <w:sz w:val="22"/>
          <w:szCs w:val="22"/>
          <w:lang w:val="es-ES" w:eastAsia="es-ES"/>
        </w:rPr>
      </w:pPr>
    </w:p>
    <w:p w14:paraId="6E758314" w14:textId="77777777" w:rsidR="001A4860" w:rsidRPr="001A4860" w:rsidRDefault="001A4860" w:rsidP="001A4860">
      <w:pPr>
        <w:keepNext/>
        <w:outlineLvl w:val="1"/>
        <w:rPr>
          <w:rFonts w:eastAsia="Arial Narrow"/>
          <w:b/>
          <w:bCs/>
          <w:iCs/>
          <w:sz w:val="22"/>
          <w:szCs w:val="22"/>
          <w:lang w:val="es-NI"/>
        </w:rPr>
      </w:pPr>
      <w:bookmarkStart w:id="893" w:name="_Toc23249491"/>
      <w:r w:rsidRPr="001A4860">
        <w:rPr>
          <w:rFonts w:eastAsia="Arial Narrow"/>
          <w:b/>
          <w:bCs/>
          <w:iCs/>
          <w:sz w:val="22"/>
          <w:szCs w:val="22"/>
          <w:lang w:val="es-NI"/>
        </w:rPr>
        <w:t>Obras varias (complementarias)</w:t>
      </w:r>
      <w:bookmarkEnd w:id="893"/>
    </w:p>
    <w:p w14:paraId="2D327580" w14:textId="77777777" w:rsidR="001A4860" w:rsidRPr="001A4860" w:rsidRDefault="001A4860" w:rsidP="001A4860">
      <w:pPr>
        <w:rPr>
          <w:sz w:val="22"/>
          <w:szCs w:val="22"/>
          <w:lang w:val="es-ES" w:eastAsia="es-ES"/>
        </w:rPr>
      </w:pPr>
    </w:p>
    <w:p w14:paraId="03D2843F" w14:textId="77777777" w:rsidR="001A4860" w:rsidRPr="001A4860" w:rsidRDefault="001A4860" w:rsidP="001A4860">
      <w:pPr>
        <w:rPr>
          <w:sz w:val="22"/>
          <w:szCs w:val="22"/>
          <w:lang w:val="es-ES" w:eastAsia="es-ES"/>
        </w:rPr>
      </w:pPr>
      <w:r w:rsidRPr="001A4860">
        <w:rPr>
          <w:sz w:val="22"/>
          <w:szCs w:val="22"/>
          <w:lang w:val="es-ES" w:eastAsia="es-ES"/>
        </w:rPr>
        <w:t xml:space="preserve">Pintura anticorrosiva de la sarta: 2.0 m2. </w:t>
      </w:r>
    </w:p>
    <w:p w14:paraId="3E282912" w14:textId="77777777" w:rsidR="001A4860" w:rsidRPr="001A4860" w:rsidRDefault="001A4860" w:rsidP="001A4860">
      <w:pPr>
        <w:rPr>
          <w:sz w:val="22"/>
          <w:szCs w:val="22"/>
          <w:lang w:val="es-ES" w:eastAsia="es-ES"/>
        </w:rPr>
      </w:pPr>
      <w:r w:rsidRPr="001A4860">
        <w:rPr>
          <w:sz w:val="22"/>
          <w:szCs w:val="22"/>
          <w:lang w:val="es-ES" w:eastAsia="es-ES"/>
        </w:rPr>
        <w:t xml:space="preserve">Piso para sarta de losa de concreto ciclópeo 20% concreto de 1,500 psi+80% piedra bolón. Ancho= 1.5m, espesor=0.15m, largo=6.5m </w:t>
      </w:r>
    </w:p>
    <w:p w14:paraId="25BC7C9F" w14:textId="77777777" w:rsidR="001A4860" w:rsidRPr="001A4860" w:rsidRDefault="001A4860" w:rsidP="001A4860">
      <w:pPr>
        <w:rPr>
          <w:sz w:val="22"/>
          <w:szCs w:val="22"/>
          <w:lang w:val="es-ES" w:eastAsia="es-ES"/>
        </w:rPr>
      </w:pPr>
      <w:r w:rsidRPr="001A4860">
        <w:rPr>
          <w:sz w:val="22"/>
          <w:szCs w:val="22"/>
          <w:lang w:val="es-ES" w:eastAsia="es-ES"/>
        </w:rPr>
        <w:t xml:space="preserve">Construir una pila de concreto de 3,000 psi reforzada para descarga de valvula de alivio.  Ancho=0.60m, largo=1.00m, alto =0.50m. </w:t>
      </w:r>
    </w:p>
    <w:p w14:paraId="4B059483" w14:textId="77777777" w:rsidR="001A4860" w:rsidRPr="001A4860" w:rsidRDefault="001A4860" w:rsidP="001A4860">
      <w:pPr>
        <w:rPr>
          <w:sz w:val="22"/>
          <w:szCs w:val="22"/>
          <w:lang w:val="es-ES" w:eastAsia="es-ES"/>
        </w:rPr>
      </w:pPr>
      <w:r w:rsidRPr="001A4860">
        <w:rPr>
          <w:sz w:val="22"/>
          <w:szCs w:val="22"/>
          <w:lang w:val="es-ES" w:eastAsia="es-ES"/>
        </w:rPr>
        <w:t>Instalar 2 válvulas de pase de gaveta de bronce diam= 2'' para limpieza de pilas.</w:t>
      </w:r>
    </w:p>
    <w:p w14:paraId="301F3AA2" w14:textId="77777777" w:rsidR="001A4860" w:rsidRPr="001A4860" w:rsidRDefault="001A4860" w:rsidP="001A4860">
      <w:pPr>
        <w:rPr>
          <w:sz w:val="22"/>
          <w:szCs w:val="22"/>
          <w:lang w:val="es-ES" w:eastAsia="es-ES"/>
        </w:rPr>
      </w:pPr>
      <w:r w:rsidRPr="001A4860">
        <w:rPr>
          <w:sz w:val="22"/>
          <w:szCs w:val="22"/>
          <w:lang w:val="es-ES" w:eastAsia="es-ES"/>
        </w:rPr>
        <w:t>Construir anden de concreto de 3,000 psi ancho=1.00m y canal ancho=0.30m, ref.#3 en a/d esp. de anden y canal = 0.10m, bordillo de bloque de mortero: 15.40 m</w:t>
      </w:r>
    </w:p>
    <w:p w14:paraId="391938E9" w14:textId="77777777" w:rsidR="001A4860" w:rsidRPr="001A4860" w:rsidRDefault="001A4860" w:rsidP="001A4860">
      <w:pPr>
        <w:rPr>
          <w:sz w:val="22"/>
          <w:szCs w:val="22"/>
          <w:lang w:val="es-ES" w:eastAsia="es-ES"/>
        </w:rPr>
      </w:pPr>
    </w:p>
    <w:p w14:paraId="17A9173E" w14:textId="77777777" w:rsidR="001A4860" w:rsidRPr="001A4860" w:rsidRDefault="001A4860" w:rsidP="001A4860">
      <w:pPr>
        <w:keepNext/>
        <w:keepLines/>
        <w:outlineLvl w:val="0"/>
        <w:rPr>
          <w:b/>
          <w:sz w:val="22"/>
          <w:szCs w:val="22"/>
          <w:lang w:val="es-ES" w:eastAsia="es-ES"/>
        </w:rPr>
      </w:pPr>
      <w:bookmarkStart w:id="894" w:name="_Toc23249492"/>
      <w:r w:rsidRPr="001A4860">
        <w:rPr>
          <w:b/>
          <w:sz w:val="22"/>
          <w:szCs w:val="22"/>
          <w:lang w:val="es-ES" w:eastAsia="es-ES"/>
        </w:rPr>
        <w:t>ESPECIFICACIONES TÉCNICAS PARA INSTALACIONES ELECTRICAS</w:t>
      </w:r>
      <w:bookmarkEnd w:id="894"/>
    </w:p>
    <w:p w14:paraId="4CED5BC5" w14:textId="77777777" w:rsidR="001A4860" w:rsidRPr="001A4860" w:rsidRDefault="001A4860" w:rsidP="001A4860">
      <w:pPr>
        <w:rPr>
          <w:sz w:val="22"/>
          <w:szCs w:val="22"/>
          <w:lang w:val="es-ES" w:eastAsia="es-ES"/>
        </w:rPr>
      </w:pPr>
    </w:p>
    <w:p w14:paraId="48E681E3" w14:textId="77777777" w:rsidR="001A4860" w:rsidRPr="001A4860" w:rsidRDefault="001A4860" w:rsidP="001A4860">
      <w:pPr>
        <w:rPr>
          <w:sz w:val="22"/>
          <w:szCs w:val="22"/>
          <w:lang w:val="es-ES" w:eastAsia="es-ES"/>
        </w:rPr>
      </w:pPr>
      <w:r w:rsidRPr="001A4860">
        <w:rPr>
          <w:sz w:val="22"/>
          <w:szCs w:val="22"/>
          <w:lang w:val="es-ES" w:eastAsia="es-ES"/>
        </w:rPr>
        <w:t>El trabajo a ejecutarse bajo este rubro comprende el suministro de materiales, mano de obra, equipos, herramientas, transporte y accesorios necesarios para llevar a cabo la instalación y el buen funcionamiento de las instalaciones para suministro de energía eléctrica en media tensión y baja tensión, iluminación y carga en los sitios indicados en los planos, conforme las mejores prácticas y lo estipulado en estas especificaciones.</w:t>
      </w:r>
    </w:p>
    <w:p w14:paraId="4E11BBD4" w14:textId="77777777" w:rsidR="001A4860" w:rsidRPr="001A4860" w:rsidRDefault="001A4860" w:rsidP="001A4860">
      <w:pPr>
        <w:rPr>
          <w:sz w:val="22"/>
          <w:szCs w:val="22"/>
          <w:lang w:val="es-ES" w:eastAsia="es-ES"/>
        </w:rPr>
      </w:pPr>
    </w:p>
    <w:p w14:paraId="195F901B" w14:textId="77777777" w:rsidR="001A4860" w:rsidRPr="001A4860" w:rsidRDefault="001A4860" w:rsidP="001A4860">
      <w:pPr>
        <w:rPr>
          <w:sz w:val="22"/>
          <w:szCs w:val="22"/>
          <w:lang w:val="es-ES" w:eastAsia="es-ES"/>
        </w:rPr>
      </w:pPr>
      <w:r w:rsidRPr="001A4860">
        <w:rPr>
          <w:sz w:val="22"/>
          <w:szCs w:val="22"/>
          <w:lang w:val="es-ES" w:eastAsia="es-ES"/>
        </w:rPr>
        <w:t xml:space="preserve">Es responsabilidad del Contratista todos los trabajos relativos a cortes de energía, excavaciones de zanjas, rellenos, instalación de canalización, conductores, rotulaciones e instrucciones pruebas etc., que directamente requieran los trabajos de electricidad. El Contratista debe examinar de forma cuidadosa los sitios donde se realizan las instalaciones y debe verificar todas las medidas. </w:t>
      </w:r>
    </w:p>
    <w:p w14:paraId="0228185B" w14:textId="77777777" w:rsidR="001A4860" w:rsidRPr="001A4860" w:rsidRDefault="001A4860" w:rsidP="001A4860">
      <w:pPr>
        <w:rPr>
          <w:sz w:val="22"/>
          <w:szCs w:val="22"/>
          <w:lang w:val="es-ES" w:eastAsia="es-ES"/>
        </w:rPr>
      </w:pPr>
    </w:p>
    <w:p w14:paraId="573B058B" w14:textId="77777777" w:rsidR="001A4860" w:rsidRPr="001A4860" w:rsidRDefault="001A4860" w:rsidP="001A4860">
      <w:pPr>
        <w:rPr>
          <w:sz w:val="22"/>
          <w:szCs w:val="22"/>
          <w:lang w:val="es-ES" w:eastAsia="es-ES"/>
        </w:rPr>
      </w:pPr>
      <w:r w:rsidRPr="001A4860">
        <w:rPr>
          <w:sz w:val="22"/>
          <w:szCs w:val="22"/>
          <w:lang w:val="es-ES" w:eastAsia="es-ES"/>
        </w:rPr>
        <w:t>El Contratista debe de revisar los detalles de equipos o maquinaria, para determinar posibles variantes que incidan directamente en el desarrollo de su trabajo.</w:t>
      </w:r>
    </w:p>
    <w:p w14:paraId="0E507EF7" w14:textId="77777777" w:rsidR="001A4860" w:rsidRPr="001A4860" w:rsidRDefault="001A4860" w:rsidP="001A4860">
      <w:pPr>
        <w:rPr>
          <w:sz w:val="22"/>
          <w:szCs w:val="22"/>
          <w:lang w:val="es-ES" w:eastAsia="es-ES"/>
        </w:rPr>
      </w:pPr>
    </w:p>
    <w:p w14:paraId="41238F90" w14:textId="77777777" w:rsidR="001A4860" w:rsidRPr="001A4860" w:rsidRDefault="001A4860" w:rsidP="001A4860">
      <w:pPr>
        <w:rPr>
          <w:sz w:val="22"/>
          <w:szCs w:val="22"/>
          <w:lang w:val="es-ES" w:eastAsia="es-ES"/>
        </w:rPr>
      </w:pPr>
      <w:r w:rsidRPr="001A4860">
        <w:rPr>
          <w:sz w:val="22"/>
          <w:szCs w:val="22"/>
          <w:lang w:val="es-ES" w:eastAsia="es-ES"/>
        </w:rPr>
        <w:t>Las instalaciones eléctricas deben cumplir todas las normativas de la Ley Eléctrica y las regulaciones de la empresa distribuidora de energía eléctrica. Ellas deben comprender el suministro e instalación de todos los elementos indicados en los planos; incluyendo, sin ser exhaustivos, cables, postes, estructuras, etc. y según lo aquí especificado. El Contratista debe someter a TDK Disnorte - Dissur la aprobación de los planos correspondientes a los diseños eléctricos suministrados, corriendo a cuenta del Contratista los costos de aprobación de diseño, despeje, conexión y supervisión de parte de la empresa distribuidora</w:t>
      </w:r>
    </w:p>
    <w:p w14:paraId="0C476C3F" w14:textId="77777777" w:rsidR="001A4860" w:rsidRPr="001A4860" w:rsidRDefault="001A4860" w:rsidP="001A4860">
      <w:pPr>
        <w:rPr>
          <w:sz w:val="22"/>
          <w:szCs w:val="22"/>
          <w:lang w:val="es-ES" w:eastAsia="es-ES"/>
        </w:rPr>
      </w:pPr>
    </w:p>
    <w:p w14:paraId="2B1053B4" w14:textId="77777777" w:rsidR="001A4860" w:rsidRPr="001A4860" w:rsidRDefault="001A4860" w:rsidP="001A4860">
      <w:pPr>
        <w:rPr>
          <w:sz w:val="22"/>
          <w:szCs w:val="22"/>
          <w:lang w:val="es-ES" w:eastAsia="es-ES"/>
        </w:rPr>
      </w:pPr>
      <w:r w:rsidRPr="001A4860">
        <w:rPr>
          <w:sz w:val="22"/>
          <w:szCs w:val="22"/>
          <w:lang w:val="es-ES" w:eastAsia="es-ES"/>
        </w:rPr>
        <w:t>Todo el sistema de instalaciones eléctricas en baja tensión debe cumplir con las normas establecidas por el Sistema Nacional de Bomberos de Nicaragua y el Código Eléctrico Nacional Vigente (CIEN) Edición 1996.</w:t>
      </w:r>
    </w:p>
    <w:p w14:paraId="2C67D751" w14:textId="77777777" w:rsidR="001A4860" w:rsidRPr="001A4860" w:rsidRDefault="001A4860" w:rsidP="001A4860">
      <w:pPr>
        <w:rPr>
          <w:sz w:val="22"/>
          <w:szCs w:val="22"/>
          <w:lang w:val="es-ES" w:eastAsia="es-ES"/>
        </w:rPr>
      </w:pPr>
    </w:p>
    <w:p w14:paraId="26BBF760" w14:textId="77777777" w:rsidR="001A4860" w:rsidRPr="001A4860" w:rsidRDefault="001A4860" w:rsidP="001A4860">
      <w:pPr>
        <w:rPr>
          <w:sz w:val="22"/>
          <w:szCs w:val="22"/>
          <w:lang w:val="es-ES" w:eastAsia="es-ES"/>
        </w:rPr>
      </w:pPr>
      <w:r w:rsidRPr="001A4860">
        <w:rPr>
          <w:sz w:val="22"/>
          <w:szCs w:val="22"/>
          <w:lang w:val="es-ES" w:eastAsia="es-ES"/>
        </w:rPr>
        <w:lastRenderedPageBreak/>
        <w:t xml:space="preserve">Todas las obras de instalaciones eléctricas deben ser dirigidas por un Ingeniero Electricista graduado o incorporado en cualquiera de las universidades autorizadas en el país, con suficiente experiencia en este tipo de trabajo. </w:t>
      </w:r>
    </w:p>
    <w:p w14:paraId="140DD327" w14:textId="77777777" w:rsidR="001A4860" w:rsidRPr="001A4860" w:rsidRDefault="001A4860" w:rsidP="001A4860">
      <w:pPr>
        <w:rPr>
          <w:sz w:val="22"/>
          <w:szCs w:val="22"/>
          <w:lang w:val="es-ES" w:eastAsia="es-ES"/>
        </w:rPr>
      </w:pPr>
    </w:p>
    <w:p w14:paraId="716A3843" w14:textId="77777777" w:rsidR="001A4860" w:rsidRPr="001A4860" w:rsidRDefault="001A4860" w:rsidP="001A4860">
      <w:pPr>
        <w:rPr>
          <w:sz w:val="22"/>
          <w:szCs w:val="22"/>
          <w:lang w:val="es-ES" w:eastAsia="es-ES"/>
        </w:rPr>
      </w:pPr>
      <w:r w:rsidRPr="001A4860">
        <w:rPr>
          <w:sz w:val="22"/>
          <w:szCs w:val="22"/>
          <w:lang w:val="es-ES" w:eastAsia="es-ES"/>
        </w:rPr>
        <w:t>Este es responsable de la obra durante todo el proceso hasta la recepción final por parte de la Supervisión y el Propietario.</w:t>
      </w:r>
    </w:p>
    <w:p w14:paraId="12FD4BEB" w14:textId="77777777" w:rsidR="001A4860" w:rsidRPr="001A4860" w:rsidRDefault="001A4860" w:rsidP="001A4860">
      <w:pPr>
        <w:rPr>
          <w:sz w:val="22"/>
          <w:szCs w:val="22"/>
          <w:lang w:val="es-ES" w:eastAsia="es-ES"/>
        </w:rPr>
      </w:pPr>
    </w:p>
    <w:p w14:paraId="1A56274D" w14:textId="77777777" w:rsidR="001A4860" w:rsidRPr="001A4860" w:rsidRDefault="001A4860" w:rsidP="001A4860">
      <w:pPr>
        <w:rPr>
          <w:sz w:val="22"/>
          <w:szCs w:val="22"/>
          <w:lang w:val="es-ES" w:eastAsia="es-ES"/>
        </w:rPr>
      </w:pPr>
      <w:r w:rsidRPr="001A4860">
        <w:rPr>
          <w:sz w:val="22"/>
          <w:szCs w:val="22"/>
          <w:lang w:val="es-ES" w:eastAsia="es-ES"/>
        </w:rPr>
        <w:t>En ausencia del Supervisor y durante las horas laborales se apoya por técnicos electricistas con amplio conocimiento y habilidad en esta área.</w:t>
      </w:r>
    </w:p>
    <w:p w14:paraId="762E7FE6" w14:textId="77777777" w:rsidR="001A4860" w:rsidRPr="001A4860" w:rsidRDefault="001A4860" w:rsidP="001A4860">
      <w:pPr>
        <w:rPr>
          <w:sz w:val="22"/>
          <w:szCs w:val="22"/>
          <w:lang w:val="es-ES" w:eastAsia="es-ES"/>
        </w:rPr>
      </w:pPr>
    </w:p>
    <w:p w14:paraId="70ED8CF8" w14:textId="77777777" w:rsidR="001A4860" w:rsidRPr="001A4860" w:rsidRDefault="001A4860" w:rsidP="001A4860">
      <w:pPr>
        <w:keepNext/>
        <w:outlineLvl w:val="1"/>
        <w:rPr>
          <w:rFonts w:eastAsia="Arial Narrow"/>
          <w:b/>
          <w:bCs/>
          <w:iCs/>
          <w:sz w:val="22"/>
          <w:szCs w:val="22"/>
          <w:lang w:val="es-NI"/>
        </w:rPr>
      </w:pPr>
      <w:bookmarkStart w:id="895" w:name="_Toc23249493"/>
      <w:r w:rsidRPr="001A4860">
        <w:rPr>
          <w:rFonts w:eastAsia="Arial Narrow"/>
          <w:b/>
          <w:bCs/>
          <w:iCs/>
          <w:sz w:val="22"/>
          <w:szCs w:val="22"/>
          <w:lang w:val="es-NI"/>
        </w:rPr>
        <w:t>Suministro de energía en media tensión</w:t>
      </w:r>
      <w:bookmarkEnd w:id="895"/>
    </w:p>
    <w:p w14:paraId="6445EE04" w14:textId="77777777" w:rsidR="001A4860" w:rsidRPr="001A4860" w:rsidRDefault="001A4860" w:rsidP="001A4860">
      <w:pPr>
        <w:rPr>
          <w:sz w:val="22"/>
          <w:szCs w:val="22"/>
          <w:lang w:val="es-ES" w:eastAsia="es-ES"/>
        </w:rPr>
      </w:pPr>
    </w:p>
    <w:p w14:paraId="69C90D41" w14:textId="77777777" w:rsidR="001A4860" w:rsidRPr="001A4860" w:rsidRDefault="001A4860" w:rsidP="001A4860">
      <w:pPr>
        <w:rPr>
          <w:sz w:val="22"/>
          <w:szCs w:val="22"/>
          <w:lang w:val="es-ES" w:eastAsia="es-ES"/>
        </w:rPr>
      </w:pPr>
      <w:r w:rsidRPr="001A4860">
        <w:rPr>
          <w:sz w:val="22"/>
          <w:szCs w:val="22"/>
          <w:lang w:val="es-ES" w:eastAsia="es-ES"/>
        </w:rPr>
        <w:t>Para el suministro eléctrico en media tensión 14.4./24.9 Kv trifásica a la estación de bombeo proyectada, se procede a prolongar la red primaria existente, conforme a lo indicado en planos, empleando conductores No. 1/0 ACSR para el neutro y las 3 fases.</w:t>
      </w:r>
    </w:p>
    <w:p w14:paraId="610E75D7" w14:textId="77777777" w:rsidR="001A4860" w:rsidRPr="001A4860" w:rsidRDefault="001A4860" w:rsidP="001A4860">
      <w:pPr>
        <w:rPr>
          <w:sz w:val="22"/>
          <w:szCs w:val="22"/>
          <w:lang w:val="es-ES" w:eastAsia="es-ES"/>
        </w:rPr>
      </w:pPr>
    </w:p>
    <w:p w14:paraId="02CBA348" w14:textId="77777777" w:rsidR="001A4860" w:rsidRPr="001A4860" w:rsidRDefault="001A4860" w:rsidP="001A4860">
      <w:pPr>
        <w:rPr>
          <w:sz w:val="22"/>
          <w:szCs w:val="22"/>
          <w:lang w:val="es-ES" w:eastAsia="es-ES"/>
        </w:rPr>
      </w:pPr>
      <w:r w:rsidRPr="001A4860">
        <w:rPr>
          <w:sz w:val="22"/>
          <w:szCs w:val="22"/>
          <w:lang w:val="es-ES" w:eastAsia="es-ES"/>
        </w:rPr>
        <w:t>Todas las estructuras a emplear en la construcción de la línea trifásica, es para uso en poste de concreto.</w:t>
      </w:r>
    </w:p>
    <w:p w14:paraId="5943C364" w14:textId="77777777" w:rsidR="001A4860" w:rsidRPr="001A4860" w:rsidRDefault="001A4860" w:rsidP="001A4860">
      <w:pPr>
        <w:rPr>
          <w:sz w:val="22"/>
          <w:szCs w:val="22"/>
          <w:lang w:val="es-ES" w:eastAsia="es-ES"/>
        </w:rPr>
      </w:pPr>
    </w:p>
    <w:p w14:paraId="17ABC30D" w14:textId="77777777" w:rsidR="001A4860" w:rsidRPr="001A4860" w:rsidRDefault="001A4860" w:rsidP="001A4860">
      <w:pPr>
        <w:rPr>
          <w:sz w:val="22"/>
          <w:szCs w:val="22"/>
          <w:lang w:val="es-ES" w:eastAsia="es-ES"/>
        </w:rPr>
      </w:pPr>
      <w:r w:rsidRPr="001A4860">
        <w:rPr>
          <w:sz w:val="22"/>
          <w:szCs w:val="22"/>
          <w:lang w:val="es-ES" w:eastAsia="es-ES"/>
        </w:rPr>
        <w:t>Todos los materiales, equipos y accesorios a emplear en la construcción en la red de distribución proyectada, deben ajustarse estrictamente a los requerimientos técnicos exigidos en las normas de construcción de líneas aéreas de distribución, 14.4/24.9KV, para uso en postes de concreto en vigencia.</w:t>
      </w:r>
    </w:p>
    <w:p w14:paraId="33668D89" w14:textId="77777777" w:rsidR="001A4860" w:rsidRPr="001A4860" w:rsidRDefault="001A4860" w:rsidP="001A4860">
      <w:pPr>
        <w:rPr>
          <w:sz w:val="22"/>
          <w:szCs w:val="22"/>
          <w:lang w:val="es-ES" w:eastAsia="es-ES"/>
        </w:rPr>
      </w:pPr>
    </w:p>
    <w:p w14:paraId="00508303" w14:textId="77777777" w:rsidR="001A4860" w:rsidRPr="001A4860" w:rsidRDefault="001A4860" w:rsidP="001A4860">
      <w:pPr>
        <w:rPr>
          <w:sz w:val="22"/>
          <w:szCs w:val="22"/>
          <w:lang w:val="es-ES" w:eastAsia="es-ES"/>
        </w:rPr>
      </w:pPr>
      <w:r w:rsidRPr="001A4860">
        <w:rPr>
          <w:sz w:val="22"/>
          <w:szCs w:val="22"/>
          <w:lang w:val="es-ES" w:eastAsia="es-ES"/>
        </w:rPr>
        <w:t>La construcción de las diferentes estructuras a emplear, debe ajustarse a los detalles de construcción que se indican en las normas del caso.</w:t>
      </w:r>
    </w:p>
    <w:p w14:paraId="2BBEAD15" w14:textId="77777777" w:rsidR="001A4860" w:rsidRPr="001A4860" w:rsidRDefault="001A4860" w:rsidP="001A4860">
      <w:pPr>
        <w:rPr>
          <w:sz w:val="22"/>
          <w:szCs w:val="22"/>
          <w:lang w:val="es-ES" w:eastAsia="es-ES"/>
        </w:rPr>
      </w:pPr>
    </w:p>
    <w:p w14:paraId="4D02D1CD" w14:textId="77777777" w:rsidR="001A4860" w:rsidRPr="001A4860" w:rsidRDefault="001A4860" w:rsidP="001A4860">
      <w:pPr>
        <w:rPr>
          <w:sz w:val="22"/>
          <w:szCs w:val="22"/>
          <w:lang w:val="es-ES" w:eastAsia="es-ES"/>
        </w:rPr>
      </w:pPr>
      <w:r w:rsidRPr="001A4860">
        <w:rPr>
          <w:sz w:val="22"/>
          <w:szCs w:val="22"/>
          <w:lang w:val="es-ES" w:eastAsia="es-ES"/>
        </w:rPr>
        <w:t>Los procedimientos constructivos a emplear deben ajustarse rigurosamente a los lineamientos técnicos indicados en las normas constructivas.</w:t>
      </w:r>
    </w:p>
    <w:p w14:paraId="00377F2B" w14:textId="77777777" w:rsidR="001A4860" w:rsidRPr="001A4860" w:rsidRDefault="001A4860" w:rsidP="001A4860">
      <w:pPr>
        <w:rPr>
          <w:sz w:val="22"/>
          <w:szCs w:val="22"/>
          <w:lang w:val="es-ES" w:eastAsia="es-ES"/>
        </w:rPr>
      </w:pPr>
    </w:p>
    <w:p w14:paraId="6C1631FE" w14:textId="77777777" w:rsidR="001A4860" w:rsidRPr="001A4860" w:rsidRDefault="001A4860" w:rsidP="001A4860">
      <w:pPr>
        <w:rPr>
          <w:sz w:val="22"/>
          <w:szCs w:val="22"/>
          <w:lang w:val="es-ES" w:eastAsia="es-ES"/>
        </w:rPr>
      </w:pPr>
      <w:r w:rsidRPr="001A4860">
        <w:rPr>
          <w:sz w:val="22"/>
          <w:szCs w:val="22"/>
          <w:lang w:val="es-ES" w:eastAsia="es-ES"/>
        </w:rPr>
        <w:t>Todos los materiales, equipos y accesorios a emplear, deben ser completamente nuevos y de primera calidad. El Contratista suminstra los postes, cables y demás aditamentos necesarios para energizar las 10 estaciones de bombeo, todo conforme planos eléctricos y especificaciones técnicas.</w:t>
      </w:r>
    </w:p>
    <w:p w14:paraId="2A88BEE8" w14:textId="77777777" w:rsidR="001A4860" w:rsidRPr="001A4860" w:rsidRDefault="001A4860" w:rsidP="001A4860">
      <w:pPr>
        <w:rPr>
          <w:sz w:val="22"/>
          <w:szCs w:val="22"/>
          <w:lang w:val="es-ES" w:eastAsia="es-ES"/>
        </w:rPr>
      </w:pPr>
    </w:p>
    <w:p w14:paraId="5B10A638" w14:textId="77777777" w:rsidR="001A4860" w:rsidRPr="001A4860" w:rsidRDefault="001A4860" w:rsidP="001A4860">
      <w:pPr>
        <w:keepNext/>
        <w:ind w:left="720" w:hanging="720"/>
        <w:outlineLvl w:val="2"/>
        <w:rPr>
          <w:rFonts w:eastAsia="Arial Narrow"/>
          <w:b/>
          <w:bCs/>
          <w:iCs/>
          <w:sz w:val="22"/>
          <w:szCs w:val="22"/>
          <w:lang w:val="es-ES" w:bidi="en-US"/>
        </w:rPr>
      </w:pPr>
      <w:bookmarkStart w:id="896" w:name="_Toc23249494"/>
      <w:r w:rsidRPr="001A4860">
        <w:rPr>
          <w:rFonts w:eastAsia="Arial Narrow"/>
          <w:b/>
          <w:bCs/>
          <w:iCs/>
          <w:sz w:val="22"/>
          <w:szCs w:val="22"/>
          <w:lang w:val="es-ES" w:bidi="en-US"/>
        </w:rPr>
        <w:t>Métodos de trabajo</w:t>
      </w:r>
      <w:bookmarkEnd w:id="896"/>
    </w:p>
    <w:p w14:paraId="28C58750" w14:textId="77777777" w:rsidR="001A4860" w:rsidRPr="001A4860" w:rsidRDefault="001A4860" w:rsidP="001A4860">
      <w:pPr>
        <w:rPr>
          <w:sz w:val="22"/>
          <w:szCs w:val="22"/>
          <w:lang w:val="es-ES" w:eastAsia="es-ES"/>
        </w:rPr>
      </w:pPr>
    </w:p>
    <w:p w14:paraId="3CE4E127" w14:textId="77777777" w:rsidR="001A4860" w:rsidRPr="001A4860" w:rsidRDefault="001A4860" w:rsidP="001A4860">
      <w:pPr>
        <w:rPr>
          <w:sz w:val="22"/>
          <w:szCs w:val="22"/>
          <w:lang w:val="es-ES" w:eastAsia="es-ES"/>
        </w:rPr>
      </w:pPr>
      <w:r w:rsidRPr="001A4860">
        <w:rPr>
          <w:sz w:val="22"/>
          <w:szCs w:val="22"/>
          <w:lang w:val="es-ES" w:eastAsia="es-ES"/>
        </w:rPr>
        <w:t>De forma general, El Contratista debe dar estricto cumplimiento a Las Normas de Construcción de Redes Media 14.4/24.9Kv y Baja Tensión en Poste de Concreto de la Empresa Nicaragüense de Electricidad, División de Distribución en vigencia, así como disposiciones técnicas de funcionarios de la misma. En caso de dudas técnicas sobre este aspecto, prevalecerán los criterios que indiquen los Inspectores de esta Institución.  Toda reparación orientada por estos Inspectores, es realizada sin costos adicionales para el dueño.</w:t>
      </w:r>
    </w:p>
    <w:p w14:paraId="339E6DE2" w14:textId="77777777" w:rsidR="001A4860" w:rsidRPr="001A4860" w:rsidRDefault="001A4860" w:rsidP="001A4860">
      <w:pPr>
        <w:rPr>
          <w:sz w:val="22"/>
          <w:szCs w:val="22"/>
          <w:lang w:val="es-ES" w:eastAsia="es-ES"/>
        </w:rPr>
      </w:pPr>
    </w:p>
    <w:p w14:paraId="5FEA5356" w14:textId="77777777" w:rsidR="001A4860" w:rsidRPr="001A4860" w:rsidRDefault="001A4860" w:rsidP="001A4860">
      <w:pPr>
        <w:rPr>
          <w:sz w:val="22"/>
          <w:szCs w:val="22"/>
          <w:lang w:val="es-ES" w:eastAsia="es-ES"/>
        </w:rPr>
      </w:pPr>
      <w:r w:rsidRPr="001A4860">
        <w:rPr>
          <w:sz w:val="22"/>
          <w:szCs w:val="22"/>
          <w:lang w:val="es-ES" w:eastAsia="es-ES"/>
        </w:rPr>
        <w:t xml:space="preserve">La utilización en el sitio de construcción de la obra proyectada de los postes, anclajes y todas las estructuras a emplear que se indican en los planos constructivos, es referenciada normalmente en la correspondiente hoja de estaqueo, esta hoja de estaqueo, se representa en el terreno por medio de estacas, mismas que son confeccionadas en madera de pino con dimensiones de 50mm x 50mm x 300mm, estas son hincadas en el terreno, de tal forma que sobre salga del mismo no más de 50mm, esta parte expuesta, debe pintarse de color llamativo (rojo   o   amarillo) mismas que en primera instancia deben de ser instaladas en total correspondencia con la ruta indicada en los planos, verificándose exhaustivamente los ángulos que se presentan. En casos que la ruta que indique el plano no sea correspondiente con la realidad topográfica, en </w:t>
      </w:r>
      <w:r w:rsidRPr="001A4860">
        <w:rPr>
          <w:sz w:val="22"/>
          <w:szCs w:val="22"/>
          <w:lang w:val="es-ES" w:eastAsia="es-ES"/>
        </w:rPr>
        <w:lastRenderedPageBreak/>
        <w:t>este estado, El Contratista debe indicarlo al Supervisor, a fin de determinar alternativas.  Las estacas deben ser instaladas en los puntos de centro, tanto de postes como los diferentes anclajes a emplear.</w:t>
      </w:r>
    </w:p>
    <w:p w14:paraId="3B8BFB16" w14:textId="77777777" w:rsidR="001A4860" w:rsidRPr="001A4860" w:rsidRDefault="001A4860" w:rsidP="001A4860">
      <w:pPr>
        <w:rPr>
          <w:sz w:val="22"/>
          <w:szCs w:val="22"/>
          <w:lang w:val="es-ES" w:eastAsia="es-ES"/>
        </w:rPr>
      </w:pPr>
    </w:p>
    <w:p w14:paraId="042C439A" w14:textId="77777777" w:rsidR="001A4860" w:rsidRPr="001A4860" w:rsidRDefault="001A4860" w:rsidP="001A4860">
      <w:pPr>
        <w:keepNext/>
        <w:ind w:left="720" w:hanging="720"/>
        <w:outlineLvl w:val="2"/>
        <w:rPr>
          <w:rFonts w:eastAsia="Arial Narrow"/>
          <w:b/>
          <w:bCs/>
          <w:iCs/>
          <w:sz w:val="22"/>
          <w:szCs w:val="22"/>
          <w:lang w:val="es-ES" w:bidi="en-US"/>
        </w:rPr>
      </w:pPr>
      <w:bookmarkStart w:id="897" w:name="_Toc23249495"/>
      <w:r w:rsidRPr="001A4860">
        <w:rPr>
          <w:rFonts w:eastAsia="Arial Narrow"/>
          <w:b/>
          <w:bCs/>
          <w:iCs/>
          <w:sz w:val="22"/>
          <w:szCs w:val="22"/>
          <w:lang w:val="es-ES" w:bidi="en-US"/>
        </w:rPr>
        <w:t>Apertura de huecos y erección de postes</w:t>
      </w:r>
      <w:bookmarkEnd w:id="897"/>
    </w:p>
    <w:p w14:paraId="312A1ECC" w14:textId="77777777" w:rsidR="001A4860" w:rsidRPr="001A4860" w:rsidRDefault="001A4860" w:rsidP="001A4860">
      <w:pPr>
        <w:rPr>
          <w:sz w:val="22"/>
          <w:szCs w:val="22"/>
          <w:lang w:val="es-ES" w:eastAsia="es-ES"/>
        </w:rPr>
      </w:pPr>
    </w:p>
    <w:p w14:paraId="37EC4643" w14:textId="77777777" w:rsidR="001A4860" w:rsidRPr="001A4860" w:rsidRDefault="001A4860" w:rsidP="001A4860">
      <w:pPr>
        <w:rPr>
          <w:sz w:val="22"/>
          <w:szCs w:val="22"/>
          <w:lang w:val="es-ES" w:eastAsia="es-ES"/>
        </w:rPr>
      </w:pPr>
      <w:r w:rsidRPr="001A4860">
        <w:rPr>
          <w:sz w:val="22"/>
          <w:szCs w:val="22"/>
          <w:lang w:val="es-ES" w:eastAsia="es-ES"/>
        </w:rPr>
        <w:t>El Contratista debe planificar el trabajo de apertura de huecos, de tal forma que, concluida la jornada laboral, ninguno de éstos quede abierto, para evitar accidentes a terceros. En aquellos casos que necesariamente tengan que quedar huecos expuestos, deben hacer uso de barricadas especialmente orientadas a la prevención de accidentes. Los huecos deben ser suficientemente amplios para permitir el uso de apisonadores y en la profundidad completa del hueco. En terrenos inclinados (laderas), la profundidad del hueco siempre es medida desde el lado más bajo del mismo. En el caso de entierre de postes, deben cumplir con lo indicado en Las Normas de Construcción de Redes Media Tensión 14.4/24.9 Kv vigentes.</w:t>
      </w:r>
    </w:p>
    <w:p w14:paraId="7E503D1F" w14:textId="77777777" w:rsidR="001A4860" w:rsidRPr="001A4860" w:rsidRDefault="001A4860" w:rsidP="001A4860">
      <w:pPr>
        <w:rPr>
          <w:sz w:val="22"/>
          <w:szCs w:val="22"/>
          <w:lang w:val="es-ES" w:eastAsia="es-ES"/>
        </w:rPr>
      </w:pPr>
    </w:p>
    <w:p w14:paraId="6745C4B9" w14:textId="77777777" w:rsidR="001A4860" w:rsidRPr="001A4860" w:rsidRDefault="001A4860" w:rsidP="001A4860">
      <w:pPr>
        <w:rPr>
          <w:sz w:val="22"/>
          <w:szCs w:val="22"/>
          <w:lang w:val="es-ES" w:eastAsia="es-ES"/>
        </w:rPr>
      </w:pPr>
      <w:r w:rsidRPr="001A4860">
        <w:rPr>
          <w:sz w:val="22"/>
          <w:szCs w:val="22"/>
          <w:lang w:val="es-ES" w:eastAsia="es-ES"/>
        </w:rPr>
        <w:t>Los postes deben quedar perfectamente alineados con los huecos para los pernos en la posición correcta, de acuerdo al montaje que corresponda. Cada poste debe quedar y mantenerse a plomo después de terminada la construcción.</w:t>
      </w:r>
    </w:p>
    <w:p w14:paraId="7A98CDC9" w14:textId="77777777" w:rsidR="001A4860" w:rsidRPr="001A4860" w:rsidRDefault="001A4860" w:rsidP="001A4860">
      <w:pPr>
        <w:rPr>
          <w:sz w:val="22"/>
          <w:szCs w:val="22"/>
          <w:lang w:val="es-ES" w:eastAsia="es-ES"/>
        </w:rPr>
      </w:pPr>
    </w:p>
    <w:p w14:paraId="531B9D64" w14:textId="77777777" w:rsidR="001A4860" w:rsidRPr="001A4860" w:rsidRDefault="001A4860" w:rsidP="001A4860">
      <w:pPr>
        <w:rPr>
          <w:sz w:val="22"/>
          <w:szCs w:val="22"/>
          <w:lang w:val="es-ES" w:eastAsia="es-ES"/>
        </w:rPr>
      </w:pPr>
      <w:r w:rsidRPr="001A4860">
        <w:rPr>
          <w:sz w:val="22"/>
          <w:szCs w:val="22"/>
          <w:lang w:val="es-ES" w:eastAsia="es-ES"/>
        </w:rPr>
        <w:t>Todos los postes de la altura y la clase que se indica y del tipo específico para este uso, deben pre seleccionarse de acuerdo a la función que cada uno va a desempeñar (soporte, remate, ángulo, abertura, etc.), para lo cual, el poste más parejo o de mayor contextura debe seleccionarse para el punto que esté sometido a cargas mayores.</w:t>
      </w:r>
    </w:p>
    <w:p w14:paraId="6571EB74" w14:textId="77777777" w:rsidR="001A4860" w:rsidRPr="001A4860" w:rsidRDefault="001A4860" w:rsidP="001A4860">
      <w:pPr>
        <w:rPr>
          <w:sz w:val="22"/>
          <w:szCs w:val="22"/>
          <w:lang w:val="es-ES" w:eastAsia="es-ES"/>
        </w:rPr>
      </w:pPr>
    </w:p>
    <w:p w14:paraId="5E62B115" w14:textId="77777777" w:rsidR="001A4860" w:rsidRPr="001A4860" w:rsidRDefault="001A4860" w:rsidP="001A4860">
      <w:pPr>
        <w:rPr>
          <w:sz w:val="22"/>
          <w:szCs w:val="22"/>
          <w:lang w:val="es-ES" w:eastAsia="es-ES"/>
        </w:rPr>
      </w:pPr>
      <w:r w:rsidRPr="001A4860">
        <w:rPr>
          <w:sz w:val="22"/>
          <w:szCs w:val="22"/>
          <w:lang w:val="es-ES" w:eastAsia="es-ES"/>
        </w:rPr>
        <w:t>Después de colocados y alineados debidamente los postes, los huecos se rellenan con material adecuado y es bien apisonados en capas de no más de 150mm de espesor.</w:t>
      </w:r>
    </w:p>
    <w:p w14:paraId="0B305AB5" w14:textId="77777777" w:rsidR="001A4860" w:rsidRPr="001A4860" w:rsidRDefault="001A4860" w:rsidP="001A4860">
      <w:pPr>
        <w:rPr>
          <w:sz w:val="22"/>
          <w:szCs w:val="22"/>
          <w:lang w:val="es-ES" w:eastAsia="es-ES"/>
        </w:rPr>
      </w:pPr>
    </w:p>
    <w:p w14:paraId="591490B1" w14:textId="77777777" w:rsidR="001A4860" w:rsidRPr="001A4860" w:rsidRDefault="001A4860" w:rsidP="001A4860">
      <w:pPr>
        <w:rPr>
          <w:sz w:val="22"/>
          <w:szCs w:val="22"/>
          <w:lang w:val="es-ES" w:eastAsia="es-ES"/>
        </w:rPr>
      </w:pPr>
      <w:r w:rsidRPr="001A4860">
        <w:rPr>
          <w:sz w:val="22"/>
          <w:szCs w:val="22"/>
          <w:lang w:val="es-ES" w:eastAsia="es-ES"/>
        </w:rPr>
        <w:t>En caso de que huecos se aneguen de agua, ésta debe ser totalmente extraída, los excesos del material excavado deben ser nivelados uniformemente.</w:t>
      </w:r>
    </w:p>
    <w:p w14:paraId="04FFC653" w14:textId="77777777" w:rsidR="001A4860" w:rsidRPr="001A4860" w:rsidRDefault="001A4860" w:rsidP="001A4860">
      <w:pPr>
        <w:rPr>
          <w:sz w:val="22"/>
          <w:szCs w:val="22"/>
          <w:lang w:val="es-ES" w:eastAsia="es-ES"/>
        </w:rPr>
      </w:pPr>
    </w:p>
    <w:p w14:paraId="63680078" w14:textId="77777777" w:rsidR="001A4860" w:rsidRPr="001A4860" w:rsidRDefault="001A4860" w:rsidP="001A4860">
      <w:pPr>
        <w:rPr>
          <w:sz w:val="22"/>
          <w:szCs w:val="22"/>
          <w:lang w:val="es-ES" w:eastAsia="es-ES"/>
        </w:rPr>
      </w:pPr>
      <w:r w:rsidRPr="001A4860">
        <w:rPr>
          <w:sz w:val="22"/>
          <w:szCs w:val="22"/>
          <w:lang w:val="es-ES" w:eastAsia="es-ES"/>
        </w:rPr>
        <w:t>En aquellos casos en que se requiera más de un poste para una misma estructura, éstos deben quedar con sus cúspides a la misma altura.</w:t>
      </w:r>
    </w:p>
    <w:p w14:paraId="27E6DCC7" w14:textId="77777777" w:rsidR="001A4860" w:rsidRPr="001A4860" w:rsidRDefault="001A4860" w:rsidP="001A4860">
      <w:pPr>
        <w:rPr>
          <w:sz w:val="22"/>
          <w:szCs w:val="22"/>
          <w:lang w:val="es-ES" w:eastAsia="es-ES"/>
        </w:rPr>
      </w:pPr>
    </w:p>
    <w:p w14:paraId="5EB08852" w14:textId="77777777" w:rsidR="001A4860" w:rsidRPr="001A4860" w:rsidRDefault="001A4860" w:rsidP="001A4860">
      <w:pPr>
        <w:keepNext/>
        <w:ind w:left="720" w:hanging="720"/>
        <w:outlineLvl w:val="2"/>
        <w:rPr>
          <w:rFonts w:eastAsia="Arial Narrow"/>
          <w:b/>
          <w:bCs/>
          <w:iCs/>
          <w:sz w:val="22"/>
          <w:szCs w:val="22"/>
          <w:lang w:val="es-ES" w:bidi="en-US"/>
        </w:rPr>
      </w:pPr>
      <w:bookmarkStart w:id="898" w:name="_Toc23249496"/>
      <w:r w:rsidRPr="001A4860">
        <w:rPr>
          <w:rFonts w:eastAsia="Arial Narrow"/>
          <w:b/>
          <w:bCs/>
          <w:iCs/>
          <w:sz w:val="22"/>
          <w:szCs w:val="22"/>
          <w:lang w:val="es-ES" w:bidi="en-US"/>
        </w:rPr>
        <w:t>Varillas para puesta a tierra</w:t>
      </w:r>
      <w:bookmarkEnd w:id="898"/>
    </w:p>
    <w:p w14:paraId="356A9D50" w14:textId="77777777" w:rsidR="001A4860" w:rsidRPr="001A4860" w:rsidRDefault="001A4860" w:rsidP="001A4860">
      <w:pPr>
        <w:rPr>
          <w:sz w:val="22"/>
          <w:szCs w:val="22"/>
          <w:lang w:val="es-ES" w:eastAsia="es-ES"/>
        </w:rPr>
      </w:pPr>
    </w:p>
    <w:p w14:paraId="5621D2A3" w14:textId="77777777" w:rsidR="001A4860" w:rsidRPr="001A4860" w:rsidRDefault="001A4860" w:rsidP="001A4860">
      <w:pPr>
        <w:rPr>
          <w:sz w:val="22"/>
          <w:szCs w:val="22"/>
          <w:lang w:val="es-ES" w:eastAsia="es-ES"/>
        </w:rPr>
      </w:pPr>
      <w:r w:rsidRPr="001A4860">
        <w:rPr>
          <w:sz w:val="22"/>
          <w:szCs w:val="22"/>
          <w:lang w:val="es-ES" w:eastAsia="es-ES"/>
        </w:rPr>
        <w:t>Se instalan tierras en aquellos postes que se indiquen, tanto en los planos constructivos como en las hojas de estaqueo, en total apego a las Normas de Construcción</w:t>
      </w:r>
    </w:p>
    <w:p w14:paraId="6A9AA97A" w14:textId="77777777" w:rsidR="001A4860" w:rsidRPr="001A4860" w:rsidRDefault="001A4860" w:rsidP="001A4860">
      <w:pPr>
        <w:rPr>
          <w:sz w:val="22"/>
          <w:szCs w:val="22"/>
          <w:lang w:val="es-ES" w:eastAsia="es-ES"/>
        </w:rPr>
      </w:pPr>
    </w:p>
    <w:p w14:paraId="4A64AD99" w14:textId="77777777" w:rsidR="001A4860" w:rsidRPr="001A4860" w:rsidRDefault="001A4860" w:rsidP="001A4860">
      <w:pPr>
        <w:rPr>
          <w:sz w:val="22"/>
          <w:szCs w:val="22"/>
          <w:lang w:val="es-ES" w:eastAsia="es-ES"/>
        </w:rPr>
      </w:pPr>
      <w:r w:rsidRPr="001A4860">
        <w:rPr>
          <w:sz w:val="22"/>
          <w:szCs w:val="22"/>
          <w:lang w:val="es-ES" w:eastAsia="es-ES"/>
        </w:rPr>
        <w:t>Para líneas aéreas de distribución vigentes y disposiciones técnicas del Organismo Rector. El punto de conexión cable – varilla, debe realizarse de forma rígida, asegurando una conexión sólida y eléctricamente eficiente.</w:t>
      </w:r>
    </w:p>
    <w:p w14:paraId="13649F3A" w14:textId="77777777" w:rsidR="001A4860" w:rsidRPr="001A4860" w:rsidRDefault="001A4860" w:rsidP="001A4860">
      <w:pPr>
        <w:rPr>
          <w:sz w:val="22"/>
          <w:szCs w:val="22"/>
          <w:lang w:val="es-ES" w:eastAsia="es-ES"/>
        </w:rPr>
      </w:pPr>
    </w:p>
    <w:p w14:paraId="163D22FA" w14:textId="77777777" w:rsidR="001A4860" w:rsidRPr="001A4860" w:rsidRDefault="001A4860" w:rsidP="001A4860">
      <w:pPr>
        <w:keepNext/>
        <w:ind w:left="720" w:hanging="720"/>
        <w:outlineLvl w:val="2"/>
        <w:rPr>
          <w:rFonts w:eastAsia="Arial Narrow"/>
          <w:b/>
          <w:bCs/>
          <w:iCs/>
          <w:sz w:val="22"/>
          <w:szCs w:val="22"/>
          <w:lang w:val="es-ES" w:bidi="en-US"/>
        </w:rPr>
      </w:pPr>
      <w:bookmarkStart w:id="899" w:name="_Toc23249497"/>
      <w:r w:rsidRPr="001A4860">
        <w:rPr>
          <w:rFonts w:eastAsia="Arial Narrow"/>
          <w:b/>
          <w:bCs/>
          <w:iCs/>
          <w:sz w:val="22"/>
          <w:szCs w:val="22"/>
          <w:lang w:val="es-ES" w:bidi="en-US"/>
        </w:rPr>
        <w:t>Anclajes</w:t>
      </w:r>
      <w:bookmarkEnd w:id="899"/>
    </w:p>
    <w:p w14:paraId="42739F6C" w14:textId="77777777" w:rsidR="001A4860" w:rsidRPr="001A4860" w:rsidRDefault="001A4860" w:rsidP="001A4860">
      <w:pPr>
        <w:rPr>
          <w:sz w:val="22"/>
          <w:szCs w:val="22"/>
          <w:lang w:val="es-ES" w:eastAsia="es-ES"/>
        </w:rPr>
      </w:pPr>
    </w:p>
    <w:p w14:paraId="68B7BA77" w14:textId="77777777" w:rsidR="001A4860" w:rsidRPr="001A4860" w:rsidRDefault="001A4860" w:rsidP="001A4860">
      <w:pPr>
        <w:rPr>
          <w:sz w:val="22"/>
          <w:szCs w:val="22"/>
          <w:lang w:val="es-ES" w:eastAsia="es-ES"/>
        </w:rPr>
      </w:pPr>
      <w:r w:rsidRPr="001A4860">
        <w:rPr>
          <w:sz w:val="22"/>
          <w:szCs w:val="22"/>
          <w:lang w:val="es-ES" w:eastAsia="es-ES"/>
        </w:rPr>
        <w:t>El Contratista debe velar porque los anclajes desarrollen efectivamente la resistencia necesaria, en total correspondencia con lo establecido en las normas del caso. Luego que el ancla ha sido colocada en el hueco, debe taparse con piedras y compresiones con capas de 150mm del material extraído.</w:t>
      </w:r>
    </w:p>
    <w:p w14:paraId="6B7944F7" w14:textId="77777777" w:rsidR="001A4860" w:rsidRPr="001A4860" w:rsidRDefault="001A4860" w:rsidP="001A4860">
      <w:pPr>
        <w:rPr>
          <w:sz w:val="22"/>
          <w:szCs w:val="22"/>
          <w:lang w:val="es-ES" w:eastAsia="es-ES"/>
        </w:rPr>
      </w:pPr>
    </w:p>
    <w:p w14:paraId="26579A7D" w14:textId="77777777" w:rsidR="001A4860" w:rsidRPr="001A4860" w:rsidRDefault="001A4860" w:rsidP="001A4860">
      <w:pPr>
        <w:rPr>
          <w:sz w:val="22"/>
          <w:szCs w:val="22"/>
          <w:lang w:val="es-ES" w:eastAsia="es-ES"/>
        </w:rPr>
      </w:pPr>
      <w:r w:rsidRPr="001A4860">
        <w:rPr>
          <w:sz w:val="22"/>
          <w:szCs w:val="22"/>
          <w:lang w:val="es-ES" w:eastAsia="es-ES"/>
        </w:rPr>
        <w:t>La varilla del anclaje debe quedar colocada de tal manera que el guardacabo no sobresalga más de 150 mm ni menos de 100 mm del nivel del terreno circundante. Los anclajes son instalados conforme lo indican los detalles de montaje señalados en las normas constructivas.</w:t>
      </w:r>
    </w:p>
    <w:p w14:paraId="09CE707A" w14:textId="77777777" w:rsidR="001A4860" w:rsidRPr="001A4860" w:rsidRDefault="001A4860" w:rsidP="001A4860">
      <w:pPr>
        <w:rPr>
          <w:sz w:val="22"/>
          <w:szCs w:val="22"/>
          <w:lang w:val="es-ES" w:eastAsia="es-ES"/>
        </w:rPr>
      </w:pPr>
    </w:p>
    <w:p w14:paraId="4FBD9B3C" w14:textId="77777777" w:rsidR="001A4860" w:rsidRPr="001A4860" w:rsidRDefault="001A4860" w:rsidP="001A4860">
      <w:pPr>
        <w:keepNext/>
        <w:ind w:left="720" w:hanging="720"/>
        <w:outlineLvl w:val="2"/>
        <w:rPr>
          <w:rFonts w:eastAsia="Arial Narrow"/>
          <w:b/>
          <w:bCs/>
          <w:iCs/>
          <w:sz w:val="22"/>
          <w:szCs w:val="22"/>
          <w:lang w:val="es-ES" w:bidi="en-US"/>
        </w:rPr>
      </w:pPr>
      <w:bookmarkStart w:id="900" w:name="_Toc23249498"/>
      <w:r w:rsidRPr="001A4860">
        <w:rPr>
          <w:rFonts w:eastAsia="Arial Narrow"/>
          <w:b/>
          <w:bCs/>
          <w:iCs/>
          <w:sz w:val="22"/>
          <w:szCs w:val="22"/>
          <w:lang w:val="es-ES" w:bidi="en-US"/>
        </w:rPr>
        <w:lastRenderedPageBreak/>
        <w:t>Armado (vestido) de estructuras</w:t>
      </w:r>
      <w:bookmarkEnd w:id="900"/>
    </w:p>
    <w:p w14:paraId="37F93F5D" w14:textId="77777777" w:rsidR="001A4860" w:rsidRPr="001A4860" w:rsidRDefault="001A4860" w:rsidP="001A4860">
      <w:pPr>
        <w:rPr>
          <w:sz w:val="22"/>
          <w:szCs w:val="22"/>
          <w:lang w:val="es-ES" w:eastAsia="es-ES"/>
        </w:rPr>
      </w:pPr>
    </w:p>
    <w:p w14:paraId="7000A235" w14:textId="77777777" w:rsidR="001A4860" w:rsidRPr="001A4860" w:rsidRDefault="001A4860" w:rsidP="001A4860">
      <w:pPr>
        <w:rPr>
          <w:sz w:val="22"/>
          <w:szCs w:val="22"/>
          <w:lang w:val="es-ES" w:eastAsia="es-ES"/>
        </w:rPr>
      </w:pPr>
      <w:r w:rsidRPr="001A4860">
        <w:rPr>
          <w:sz w:val="22"/>
          <w:szCs w:val="22"/>
          <w:lang w:val="es-ES" w:eastAsia="es-ES"/>
        </w:rPr>
        <w:t>El diseño de los diferentes tipos de estructuras se muestra en las normas constructivas. Todas las estructuras deben quedar bien acabadas y en estricto apego a los detalles de montaje.</w:t>
      </w:r>
    </w:p>
    <w:p w14:paraId="635BB9C5" w14:textId="77777777" w:rsidR="001A4860" w:rsidRPr="001A4860" w:rsidRDefault="001A4860" w:rsidP="001A4860">
      <w:pPr>
        <w:rPr>
          <w:sz w:val="22"/>
          <w:szCs w:val="22"/>
          <w:lang w:val="es-ES" w:eastAsia="es-ES"/>
        </w:rPr>
      </w:pPr>
    </w:p>
    <w:p w14:paraId="50F2B7C5" w14:textId="77777777" w:rsidR="001A4860" w:rsidRPr="001A4860" w:rsidRDefault="001A4860" w:rsidP="001A4860">
      <w:pPr>
        <w:rPr>
          <w:sz w:val="22"/>
          <w:szCs w:val="22"/>
          <w:lang w:val="es-ES" w:eastAsia="es-ES"/>
        </w:rPr>
      </w:pPr>
      <w:r w:rsidRPr="001A4860">
        <w:rPr>
          <w:sz w:val="22"/>
          <w:szCs w:val="22"/>
          <w:lang w:val="es-ES" w:eastAsia="es-ES"/>
        </w:rPr>
        <w:t>Algunos de los detalles de montaje normalizados, son típicos de las estructuras que deben construirse. En el caso de modificaciones menores, el Contratista no variara su precio.</w:t>
      </w:r>
    </w:p>
    <w:p w14:paraId="0A80EE6A" w14:textId="77777777" w:rsidR="001A4860" w:rsidRPr="001A4860" w:rsidRDefault="001A4860" w:rsidP="001A4860">
      <w:pPr>
        <w:rPr>
          <w:sz w:val="22"/>
          <w:szCs w:val="22"/>
          <w:lang w:val="es-ES" w:eastAsia="es-ES"/>
        </w:rPr>
      </w:pPr>
    </w:p>
    <w:p w14:paraId="0F4716ED" w14:textId="77777777" w:rsidR="001A4860" w:rsidRPr="001A4860" w:rsidRDefault="001A4860" w:rsidP="001A4860">
      <w:pPr>
        <w:rPr>
          <w:sz w:val="22"/>
          <w:szCs w:val="22"/>
          <w:lang w:val="es-ES" w:eastAsia="es-ES"/>
        </w:rPr>
      </w:pPr>
      <w:r w:rsidRPr="001A4860">
        <w:rPr>
          <w:sz w:val="22"/>
          <w:szCs w:val="22"/>
          <w:lang w:val="es-ES" w:eastAsia="es-ES"/>
        </w:rPr>
        <w:t>El Contratista debe velar el armado de las estructuras, cuidando de que se usen los diferentes agujeros correctos del poste para cada caso en particular.</w:t>
      </w:r>
    </w:p>
    <w:p w14:paraId="35474157" w14:textId="77777777" w:rsidR="001A4860" w:rsidRPr="001A4860" w:rsidRDefault="001A4860" w:rsidP="001A4860">
      <w:pPr>
        <w:rPr>
          <w:sz w:val="22"/>
          <w:szCs w:val="22"/>
          <w:lang w:val="es-ES" w:eastAsia="es-ES"/>
        </w:rPr>
      </w:pPr>
    </w:p>
    <w:p w14:paraId="09A265C6" w14:textId="77777777" w:rsidR="001A4860" w:rsidRPr="001A4860" w:rsidRDefault="001A4860" w:rsidP="001A4860">
      <w:pPr>
        <w:rPr>
          <w:sz w:val="22"/>
          <w:szCs w:val="22"/>
          <w:lang w:val="es-ES" w:eastAsia="es-ES"/>
        </w:rPr>
      </w:pPr>
      <w:r w:rsidRPr="001A4860">
        <w:rPr>
          <w:sz w:val="22"/>
          <w:szCs w:val="22"/>
          <w:lang w:val="es-ES" w:eastAsia="es-ES"/>
        </w:rPr>
        <w:t>Las tuercas, contratuercas y arandelas deben quedar apretadas correctamente.  Todas las estructuras en ángulo, deben quedar alineadas de acuerdo a la bisectriz del ángulo que se presente.</w:t>
      </w:r>
    </w:p>
    <w:p w14:paraId="36271520" w14:textId="77777777" w:rsidR="001A4860" w:rsidRPr="001A4860" w:rsidRDefault="001A4860" w:rsidP="001A4860">
      <w:pPr>
        <w:rPr>
          <w:sz w:val="22"/>
          <w:szCs w:val="22"/>
          <w:lang w:val="es-ES" w:eastAsia="es-ES"/>
        </w:rPr>
      </w:pPr>
    </w:p>
    <w:p w14:paraId="14624F4F" w14:textId="77777777" w:rsidR="001A4860" w:rsidRPr="001A4860" w:rsidRDefault="001A4860" w:rsidP="001A4860">
      <w:pPr>
        <w:rPr>
          <w:sz w:val="22"/>
          <w:szCs w:val="22"/>
          <w:lang w:val="es-ES" w:eastAsia="es-ES"/>
        </w:rPr>
      </w:pPr>
      <w:r w:rsidRPr="001A4860">
        <w:rPr>
          <w:sz w:val="22"/>
          <w:szCs w:val="22"/>
          <w:lang w:val="es-ES" w:eastAsia="es-ES"/>
        </w:rPr>
        <w:t>Los pernos que, por sobresalir demasiado, dificulten la instalación de tuercas de ojo, aisladores, etc., deben ser recortados con cuidado en el tanto necesario, los cortes son pintados con galvanizado en frío.</w:t>
      </w:r>
    </w:p>
    <w:p w14:paraId="1A8945A5" w14:textId="77777777" w:rsidR="001A4860" w:rsidRPr="001A4860" w:rsidRDefault="001A4860" w:rsidP="001A4860">
      <w:pPr>
        <w:rPr>
          <w:sz w:val="22"/>
          <w:szCs w:val="22"/>
          <w:lang w:val="es-ES" w:eastAsia="es-ES"/>
        </w:rPr>
      </w:pPr>
    </w:p>
    <w:p w14:paraId="1F418A68" w14:textId="77777777" w:rsidR="001A4860" w:rsidRPr="001A4860" w:rsidRDefault="001A4860" w:rsidP="001A4860">
      <w:pPr>
        <w:rPr>
          <w:sz w:val="22"/>
          <w:szCs w:val="22"/>
          <w:lang w:val="es-ES" w:eastAsia="es-ES"/>
        </w:rPr>
      </w:pPr>
      <w:r w:rsidRPr="001A4860">
        <w:rPr>
          <w:sz w:val="22"/>
          <w:szCs w:val="22"/>
          <w:lang w:val="es-ES" w:eastAsia="es-ES"/>
        </w:rPr>
        <w:t>Los postes que requieran la apertura de huecos adicionales, por razones de montaje, deben practicarse solo los agujeros estrictamente necesarios, para la instalación del correspondiente montaje.</w:t>
      </w:r>
    </w:p>
    <w:p w14:paraId="30678BDA" w14:textId="77777777" w:rsidR="001A4860" w:rsidRPr="001A4860" w:rsidRDefault="001A4860" w:rsidP="001A4860">
      <w:pPr>
        <w:rPr>
          <w:sz w:val="22"/>
          <w:szCs w:val="22"/>
          <w:lang w:val="es-ES" w:eastAsia="es-ES"/>
        </w:rPr>
      </w:pPr>
    </w:p>
    <w:p w14:paraId="0F6CFC65" w14:textId="77777777" w:rsidR="001A4860" w:rsidRPr="001A4860" w:rsidRDefault="001A4860" w:rsidP="001A4860">
      <w:pPr>
        <w:rPr>
          <w:sz w:val="22"/>
          <w:szCs w:val="22"/>
          <w:lang w:val="es-ES" w:eastAsia="es-ES"/>
        </w:rPr>
      </w:pPr>
      <w:r w:rsidRPr="001A4860">
        <w:rPr>
          <w:sz w:val="22"/>
          <w:szCs w:val="22"/>
          <w:lang w:val="es-ES" w:eastAsia="es-ES"/>
        </w:rPr>
        <w:t>Los aisladores, al instalarse deben ser objeto de limpieza de contaminantes, con la finalidad de evitar al máximo las posibilidades de arqueos eléctricos por contaminación.</w:t>
      </w:r>
    </w:p>
    <w:p w14:paraId="631B6C21" w14:textId="77777777" w:rsidR="001A4860" w:rsidRPr="001A4860" w:rsidRDefault="001A4860" w:rsidP="001A4860">
      <w:pPr>
        <w:rPr>
          <w:sz w:val="22"/>
          <w:szCs w:val="22"/>
          <w:lang w:val="es-ES" w:eastAsia="es-ES"/>
        </w:rPr>
      </w:pPr>
    </w:p>
    <w:p w14:paraId="2E102C18" w14:textId="77777777" w:rsidR="001A4860" w:rsidRPr="001A4860" w:rsidRDefault="001A4860" w:rsidP="001A4860">
      <w:pPr>
        <w:keepNext/>
        <w:ind w:left="720" w:hanging="720"/>
        <w:outlineLvl w:val="2"/>
        <w:rPr>
          <w:rFonts w:eastAsia="Arial Narrow"/>
          <w:b/>
          <w:bCs/>
          <w:iCs/>
          <w:sz w:val="22"/>
          <w:szCs w:val="22"/>
          <w:lang w:val="es-ES" w:bidi="en-US"/>
        </w:rPr>
      </w:pPr>
      <w:bookmarkStart w:id="901" w:name="_Toc23249499"/>
      <w:r w:rsidRPr="001A4860">
        <w:rPr>
          <w:rFonts w:eastAsia="Arial Narrow"/>
          <w:b/>
          <w:bCs/>
          <w:iCs/>
          <w:sz w:val="22"/>
          <w:szCs w:val="22"/>
          <w:lang w:val="es-ES" w:bidi="en-US"/>
        </w:rPr>
        <w:t>Retenidas</w:t>
      </w:r>
      <w:bookmarkEnd w:id="901"/>
    </w:p>
    <w:p w14:paraId="3D786318" w14:textId="77777777" w:rsidR="001A4860" w:rsidRPr="001A4860" w:rsidRDefault="001A4860" w:rsidP="001A4860">
      <w:pPr>
        <w:rPr>
          <w:sz w:val="22"/>
          <w:szCs w:val="22"/>
          <w:lang w:val="es-ES" w:eastAsia="es-ES"/>
        </w:rPr>
      </w:pPr>
    </w:p>
    <w:p w14:paraId="4E7E6968" w14:textId="77777777" w:rsidR="001A4860" w:rsidRPr="001A4860" w:rsidRDefault="001A4860" w:rsidP="001A4860">
      <w:pPr>
        <w:rPr>
          <w:sz w:val="22"/>
          <w:szCs w:val="22"/>
          <w:lang w:val="es-ES" w:eastAsia="es-ES"/>
        </w:rPr>
      </w:pPr>
      <w:r w:rsidRPr="001A4860">
        <w:rPr>
          <w:sz w:val="22"/>
          <w:szCs w:val="22"/>
          <w:lang w:val="es-ES" w:eastAsia="es-ES"/>
        </w:rPr>
        <w:t>Todas las retenidas deben ser instaladas antes del tendido de los conductores. Se instalan todas las retenidas con el cable determinado para este fin, y en todos los puntos que señalen los planos constructivos y las hojas de estaqueo.  Toda unidad de retención, instalada provisionalmente por fines constructivos, no es reconocida como extra de contrato.</w:t>
      </w:r>
    </w:p>
    <w:p w14:paraId="629EA4E1" w14:textId="77777777" w:rsidR="001A4860" w:rsidRPr="001A4860" w:rsidRDefault="001A4860" w:rsidP="001A4860">
      <w:pPr>
        <w:rPr>
          <w:sz w:val="22"/>
          <w:szCs w:val="22"/>
          <w:lang w:val="es-ES" w:eastAsia="es-ES"/>
        </w:rPr>
      </w:pPr>
    </w:p>
    <w:p w14:paraId="7B282D5E" w14:textId="77777777" w:rsidR="001A4860" w:rsidRPr="001A4860" w:rsidRDefault="001A4860" w:rsidP="001A4860">
      <w:pPr>
        <w:rPr>
          <w:sz w:val="22"/>
          <w:szCs w:val="22"/>
          <w:lang w:val="es-ES" w:eastAsia="es-ES"/>
        </w:rPr>
      </w:pPr>
      <w:r w:rsidRPr="001A4860">
        <w:rPr>
          <w:sz w:val="22"/>
          <w:szCs w:val="22"/>
          <w:lang w:val="es-ES" w:eastAsia="es-ES"/>
        </w:rPr>
        <w:t>Las retenidas son montadas de acuerdo a los detalles de montaje normalizados, La longitud de las retenidas mostradas en los dibujos es aproximada. El Contratista no tiene derecho de compensación extra debido a la construcción de retenidas más largas que las mostradas en los planos constructivos.</w:t>
      </w:r>
    </w:p>
    <w:p w14:paraId="4F6162FD" w14:textId="77777777" w:rsidR="001A4860" w:rsidRPr="001A4860" w:rsidRDefault="001A4860" w:rsidP="001A4860">
      <w:pPr>
        <w:rPr>
          <w:sz w:val="22"/>
          <w:szCs w:val="22"/>
          <w:lang w:val="es-ES" w:eastAsia="es-ES"/>
        </w:rPr>
      </w:pPr>
    </w:p>
    <w:p w14:paraId="661F56DB" w14:textId="77777777" w:rsidR="001A4860" w:rsidRPr="001A4860" w:rsidRDefault="001A4860" w:rsidP="001A4860">
      <w:pPr>
        <w:rPr>
          <w:sz w:val="22"/>
          <w:szCs w:val="22"/>
          <w:lang w:val="es-ES" w:eastAsia="es-ES"/>
        </w:rPr>
      </w:pPr>
      <w:r w:rsidRPr="001A4860">
        <w:rPr>
          <w:sz w:val="22"/>
          <w:szCs w:val="22"/>
          <w:lang w:val="es-ES" w:eastAsia="es-ES"/>
        </w:rPr>
        <w:t>El Contratista debe asegurarse de que las retenidas desarrollen efectivamente la tensión mecánica necesaria. En casos de anclajes con varias retenidas, todas deben quedar trabajando de forma efectiva.</w:t>
      </w:r>
    </w:p>
    <w:p w14:paraId="5B53EC52" w14:textId="77777777" w:rsidR="001A4860" w:rsidRPr="001A4860" w:rsidRDefault="001A4860" w:rsidP="001A4860">
      <w:pPr>
        <w:rPr>
          <w:sz w:val="22"/>
          <w:szCs w:val="22"/>
          <w:lang w:val="es-ES" w:eastAsia="es-ES"/>
        </w:rPr>
      </w:pPr>
    </w:p>
    <w:p w14:paraId="3D9DDAAF" w14:textId="77777777" w:rsidR="001A4860" w:rsidRPr="001A4860" w:rsidRDefault="001A4860" w:rsidP="001A4860">
      <w:pPr>
        <w:rPr>
          <w:sz w:val="22"/>
          <w:szCs w:val="22"/>
          <w:lang w:val="es-ES" w:eastAsia="es-ES"/>
        </w:rPr>
      </w:pPr>
      <w:r w:rsidRPr="001A4860">
        <w:rPr>
          <w:sz w:val="22"/>
          <w:szCs w:val="22"/>
          <w:lang w:val="es-ES" w:eastAsia="es-ES"/>
        </w:rPr>
        <w:t>Para la sujeción de la retenida en un poste se deben practicar las perforaciones requeridas en el poste, a fin de instalar solo los pernos necesarios.</w:t>
      </w:r>
    </w:p>
    <w:p w14:paraId="6BDB3DB1" w14:textId="77777777" w:rsidR="001A4860" w:rsidRPr="001A4860" w:rsidRDefault="001A4860" w:rsidP="001A4860">
      <w:pPr>
        <w:rPr>
          <w:sz w:val="22"/>
          <w:szCs w:val="22"/>
          <w:lang w:val="es-ES" w:eastAsia="es-ES"/>
        </w:rPr>
      </w:pPr>
    </w:p>
    <w:p w14:paraId="54DAB280" w14:textId="77777777" w:rsidR="001A4860" w:rsidRPr="001A4860" w:rsidRDefault="001A4860" w:rsidP="001A4860">
      <w:pPr>
        <w:rPr>
          <w:sz w:val="22"/>
          <w:szCs w:val="22"/>
          <w:lang w:val="es-ES" w:eastAsia="es-ES"/>
        </w:rPr>
      </w:pPr>
    </w:p>
    <w:p w14:paraId="64FEB46F" w14:textId="77777777" w:rsidR="001A4860" w:rsidRPr="001A4860" w:rsidRDefault="001A4860" w:rsidP="001A4860">
      <w:pPr>
        <w:keepNext/>
        <w:ind w:left="720" w:hanging="720"/>
        <w:outlineLvl w:val="2"/>
        <w:rPr>
          <w:rFonts w:eastAsia="Arial Narrow"/>
          <w:b/>
          <w:bCs/>
          <w:iCs/>
          <w:sz w:val="22"/>
          <w:szCs w:val="22"/>
          <w:lang w:val="es-ES" w:bidi="en-US"/>
        </w:rPr>
      </w:pPr>
      <w:bookmarkStart w:id="902" w:name="_Toc23249500"/>
      <w:r w:rsidRPr="001A4860">
        <w:rPr>
          <w:rFonts w:eastAsia="Arial Narrow"/>
          <w:b/>
          <w:bCs/>
          <w:iCs/>
          <w:sz w:val="22"/>
          <w:szCs w:val="22"/>
          <w:lang w:val="es-ES" w:bidi="en-US"/>
        </w:rPr>
        <w:t>Tendido de conductores</w:t>
      </w:r>
      <w:bookmarkEnd w:id="902"/>
    </w:p>
    <w:p w14:paraId="1A5D01A9" w14:textId="77777777" w:rsidR="001A4860" w:rsidRPr="001A4860" w:rsidRDefault="001A4860" w:rsidP="001A4860">
      <w:pPr>
        <w:rPr>
          <w:sz w:val="22"/>
          <w:szCs w:val="22"/>
          <w:lang w:val="es-ES" w:eastAsia="es-ES"/>
        </w:rPr>
      </w:pPr>
    </w:p>
    <w:p w14:paraId="7D15631E" w14:textId="77777777" w:rsidR="001A4860" w:rsidRPr="001A4860" w:rsidRDefault="001A4860" w:rsidP="001A4860">
      <w:pPr>
        <w:rPr>
          <w:sz w:val="22"/>
          <w:szCs w:val="22"/>
          <w:lang w:val="es-ES" w:eastAsia="es-ES"/>
        </w:rPr>
      </w:pPr>
      <w:r w:rsidRPr="001A4860">
        <w:rPr>
          <w:sz w:val="22"/>
          <w:szCs w:val="22"/>
          <w:lang w:val="es-ES" w:eastAsia="es-ES"/>
        </w:rPr>
        <w:t>Cada carrete debe ser examinado y el cable es inspeccionado de cortaduras, dobleces u otros daños. El Contratista evitará en todo momento que el conductor sea arrastrado por el suelo u otros objetos (cercas, portones, etc.) o que sea aplastado por vehículos o pisoteado por ganado.</w:t>
      </w:r>
    </w:p>
    <w:p w14:paraId="388874FA" w14:textId="77777777" w:rsidR="001A4860" w:rsidRPr="001A4860" w:rsidRDefault="001A4860" w:rsidP="001A4860">
      <w:pPr>
        <w:rPr>
          <w:sz w:val="22"/>
          <w:szCs w:val="22"/>
          <w:lang w:val="es-ES" w:eastAsia="es-ES"/>
        </w:rPr>
      </w:pPr>
    </w:p>
    <w:p w14:paraId="65FC770E" w14:textId="77777777" w:rsidR="001A4860" w:rsidRPr="001A4860" w:rsidRDefault="001A4860" w:rsidP="001A4860">
      <w:pPr>
        <w:rPr>
          <w:sz w:val="22"/>
          <w:szCs w:val="22"/>
          <w:lang w:val="es-ES" w:eastAsia="es-ES"/>
        </w:rPr>
      </w:pPr>
      <w:r w:rsidRPr="001A4860">
        <w:rPr>
          <w:sz w:val="22"/>
          <w:szCs w:val="22"/>
          <w:lang w:val="es-ES" w:eastAsia="es-ES"/>
        </w:rPr>
        <w:t>Las líneas se tenderán mediante pastecas o carretes previamente colocados, por las cuales se deslizará el conductor, se tiene especial cuidado de que éste no se le hagan cocas, raspaduras ni se retuerza.</w:t>
      </w:r>
    </w:p>
    <w:p w14:paraId="217044EE" w14:textId="77777777" w:rsidR="001A4860" w:rsidRPr="001A4860" w:rsidRDefault="001A4860" w:rsidP="001A4860">
      <w:pPr>
        <w:rPr>
          <w:sz w:val="22"/>
          <w:szCs w:val="22"/>
          <w:lang w:val="es-ES" w:eastAsia="es-ES"/>
        </w:rPr>
      </w:pPr>
    </w:p>
    <w:p w14:paraId="6B112710" w14:textId="77777777" w:rsidR="001A4860" w:rsidRPr="001A4860" w:rsidRDefault="001A4860" w:rsidP="001A4860">
      <w:pPr>
        <w:rPr>
          <w:sz w:val="22"/>
          <w:szCs w:val="22"/>
          <w:lang w:val="es-ES" w:eastAsia="es-ES"/>
        </w:rPr>
      </w:pPr>
      <w:r w:rsidRPr="001A4860">
        <w:rPr>
          <w:sz w:val="22"/>
          <w:szCs w:val="22"/>
          <w:lang w:val="es-ES" w:eastAsia="es-ES"/>
        </w:rPr>
        <w:lastRenderedPageBreak/>
        <w:t>En caso de que los conductores sean dañados en el procedimiento de instalación, deben ser objetos de reparación por cuenta del contratista, sin recargos adicionales al dueño. El inspector puede ordenar, si así lo estima conveniente, la eliminación de tramos afectados, para ser sustituidos por otro. Todo conductor dañado por la mala aplicación de mordazas u otras causas, debe ser reparado o reemplazado por el contratista, antes del tensado de los conductores.</w:t>
      </w:r>
    </w:p>
    <w:p w14:paraId="0C149165" w14:textId="77777777" w:rsidR="001A4860" w:rsidRPr="001A4860" w:rsidRDefault="001A4860" w:rsidP="001A4860">
      <w:pPr>
        <w:rPr>
          <w:sz w:val="22"/>
          <w:szCs w:val="22"/>
          <w:lang w:val="es-ES" w:eastAsia="es-ES"/>
        </w:rPr>
      </w:pPr>
    </w:p>
    <w:p w14:paraId="0C1A777B" w14:textId="77777777" w:rsidR="001A4860" w:rsidRPr="001A4860" w:rsidRDefault="001A4860" w:rsidP="001A4860">
      <w:pPr>
        <w:keepNext/>
        <w:ind w:left="720" w:hanging="720"/>
        <w:outlineLvl w:val="2"/>
        <w:rPr>
          <w:rFonts w:eastAsia="Arial Narrow"/>
          <w:b/>
          <w:bCs/>
          <w:iCs/>
          <w:sz w:val="22"/>
          <w:szCs w:val="22"/>
          <w:lang w:val="es-ES" w:bidi="en-US"/>
        </w:rPr>
      </w:pPr>
      <w:bookmarkStart w:id="903" w:name="_Toc23249501"/>
      <w:r w:rsidRPr="001A4860">
        <w:rPr>
          <w:rFonts w:eastAsia="Arial Narrow"/>
          <w:b/>
          <w:bCs/>
          <w:iCs/>
          <w:sz w:val="22"/>
          <w:szCs w:val="22"/>
          <w:lang w:val="es-ES" w:bidi="en-US"/>
        </w:rPr>
        <w:t>Tensado de las líneas</w:t>
      </w:r>
      <w:bookmarkEnd w:id="903"/>
    </w:p>
    <w:p w14:paraId="6E666E77" w14:textId="77777777" w:rsidR="001A4860" w:rsidRPr="001A4860" w:rsidRDefault="001A4860" w:rsidP="001A4860">
      <w:pPr>
        <w:rPr>
          <w:sz w:val="22"/>
          <w:szCs w:val="22"/>
          <w:lang w:val="es-ES" w:eastAsia="es-ES"/>
        </w:rPr>
      </w:pPr>
    </w:p>
    <w:p w14:paraId="6AA8C1B1" w14:textId="77777777" w:rsidR="001A4860" w:rsidRPr="001A4860" w:rsidRDefault="001A4860" w:rsidP="001A4860">
      <w:pPr>
        <w:rPr>
          <w:sz w:val="22"/>
          <w:szCs w:val="22"/>
          <w:lang w:val="es-ES" w:eastAsia="es-ES"/>
        </w:rPr>
      </w:pPr>
      <w:r w:rsidRPr="001A4860">
        <w:rPr>
          <w:sz w:val="22"/>
          <w:szCs w:val="22"/>
          <w:lang w:val="es-ES" w:eastAsia="es-ES"/>
        </w:rPr>
        <w:t>Una vez tendido el conductor se debe dejar como mínimo 24 horas antes de aplicar la tensión mecánica definitiva. Los conductores se tensan siguiendo el procedimiento, gráficos o tablas que suministre el Inspector.</w:t>
      </w:r>
    </w:p>
    <w:p w14:paraId="671B83E2" w14:textId="77777777" w:rsidR="001A4860" w:rsidRPr="001A4860" w:rsidRDefault="001A4860" w:rsidP="001A4860">
      <w:pPr>
        <w:rPr>
          <w:sz w:val="22"/>
          <w:szCs w:val="22"/>
          <w:lang w:val="es-ES" w:eastAsia="es-ES"/>
        </w:rPr>
      </w:pPr>
    </w:p>
    <w:p w14:paraId="259F541D" w14:textId="77777777" w:rsidR="001A4860" w:rsidRPr="001A4860" w:rsidRDefault="001A4860" w:rsidP="001A4860">
      <w:pPr>
        <w:rPr>
          <w:sz w:val="22"/>
          <w:szCs w:val="22"/>
          <w:lang w:val="es-ES" w:eastAsia="es-ES"/>
        </w:rPr>
      </w:pPr>
      <w:r w:rsidRPr="001A4860">
        <w:rPr>
          <w:sz w:val="22"/>
          <w:szCs w:val="22"/>
          <w:lang w:val="es-ES" w:eastAsia="es-ES"/>
        </w:rPr>
        <w:t>En los casos de que el Inspector dude de la tensión que se le haya dado a algún tramo de línea o si considera que las flechas no son las adecuadas, puede ordenar al contratista</w:t>
      </w:r>
    </w:p>
    <w:p w14:paraId="6C6A9C4C" w14:textId="77777777" w:rsidR="001A4860" w:rsidRPr="001A4860" w:rsidRDefault="001A4860" w:rsidP="001A4860">
      <w:pPr>
        <w:rPr>
          <w:sz w:val="22"/>
          <w:szCs w:val="22"/>
          <w:lang w:val="es-ES" w:eastAsia="es-ES"/>
        </w:rPr>
      </w:pPr>
    </w:p>
    <w:p w14:paraId="50FAFF8D" w14:textId="77777777" w:rsidR="001A4860" w:rsidRPr="001A4860" w:rsidRDefault="001A4860" w:rsidP="001A4860">
      <w:pPr>
        <w:rPr>
          <w:sz w:val="22"/>
          <w:szCs w:val="22"/>
          <w:lang w:val="es-ES" w:eastAsia="es-ES"/>
        </w:rPr>
      </w:pPr>
      <w:r w:rsidRPr="001A4860">
        <w:rPr>
          <w:sz w:val="22"/>
          <w:szCs w:val="22"/>
          <w:lang w:val="es-ES" w:eastAsia="es-ES"/>
        </w:rPr>
        <w:t>La colocación de un dinamómetro que puede ser suministrado por el inspector y proceder a la verificación de las tensiones.</w:t>
      </w:r>
    </w:p>
    <w:p w14:paraId="482AAC73" w14:textId="77777777" w:rsidR="001A4860" w:rsidRPr="001A4860" w:rsidRDefault="001A4860" w:rsidP="001A4860">
      <w:pPr>
        <w:rPr>
          <w:sz w:val="22"/>
          <w:szCs w:val="22"/>
          <w:lang w:val="es-ES" w:eastAsia="es-ES"/>
        </w:rPr>
      </w:pPr>
    </w:p>
    <w:p w14:paraId="282684A8" w14:textId="77777777" w:rsidR="001A4860" w:rsidRPr="001A4860" w:rsidRDefault="001A4860" w:rsidP="001A4860">
      <w:pPr>
        <w:rPr>
          <w:sz w:val="22"/>
          <w:szCs w:val="22"/>
          <w:lang w:val="es-ES" w:eastAsia="es-ES"/>
        </w:rPr>
      </w:pPr>
      <w:r w:rsidRPr="001A4860">
        <w:rPr>
          <w:sz w:val="22"/>
          <w:szCs w:val="22"/>
          <w:lang w:val="es-ES" w:eastAsia="es-ES"/>
        </w:rPr>
        <w:t>Si a juicio del Inspector fuese necesario, puede ordenar que varíen las tensiones de algunos tramos, aún después de haber sido tensados, sin que ello implique variaciones en el monto de contrato.</w:t>
      </w:r>
    </w:p>
    <w:p w14:paraId="68BBE271" w14:textId="77777777" w:rsidR="001A4860" w:rsidRPr="001A4860" w:rsidRDefault="001A4860" w:rsidP="001A4860">
      <w:pPr>
        <w:rPr>
          <w:sz w:val="22"/>
          <w:szCs w:val="22"/>
          <w:lang w:val="es-ES" w:eastAsia="es-ES"/>
        </w:rPr>
      </w:pPr>
    </w:p>
    <w:p w14:paraId="0AEAF8D9" w14:textId="77777777" w:rsidR="001A4860" w:rsidRPr="001A4860" w:rsidRDefault="001A4860" w:rsidP="001A4860">
      <w:pPr>
        <w:rPr>
          <w:sz w:val="22"/>
          <w:szCs w:val="22"/>
          <w:lang w:val="es-ES" w:eastAsia="es-ES"/>
        </w:rPr>
      </w:pPr>
      <w:r w:rsidRPr="001A4860">
        <w:rPr>
          <w:sz w:val="22"/>
          <w:szCs w:val="22"/>
          <w:lang w:val="es-ES" w:eastAsia="es-ES"/>
        </w:rPr>
        <w:t>Después de aplicarse la tensión definitiva, los conductores colgaran de las pastecas o teclees como un mínimo de dos horas, antes de ser amarrados a aisladores, para permitir que se igualen las tensiones en los diferentes vanos.</w:t>
      </w:r>
    </w:p>
    <w:p w14:paraId="7359509B" w14:textId="77777777" w:rsidR="001A4860" w:rsidRPr="001A4860" w:rsidRDefault="001A4860" w:rsidP="001A4860">
      <w:pPr>
        <w:rPr>
          <w:sz w:val="22"/>
          <w:szCs w:val="22"/>
          <w:lang w:val="es-ES" w:eastAsia="es-ES"/>
        </w:rPr>
      </w:pPr>
    </w:p>
    <w:p w14:paraId="447637DB" w14:textId="77777777" w:rsidR="001A4860" w:rsidRPr="001A4860" w:rsidRDefault="001A4860" w:rsidP="001A4860">
      <w:pPr>
        <w:rPr>
          <w:sz w:val="22"/>
          <w:szCs w:val="22"/>
          <w:lang w:val="es-ES" w:eastAsia="es-ES"/>
        </w:rPr>
      </w:pPr>
      <w:r w:rsidRPr="001A4860">
        <w:rPr>
          <w:sz w:val="22"/>
          <w:szCs w:val="22"/>
          <w:lang w:val="es-ES" w:eastAsia="es-ES"/>
        </w:rPr>
        <w:t>En la operación de halado y tensado de conductores, el constructor debe tener personal suficiente en el área de trabajo para vigilar este trabajo. Estos guarda líneas deben tener comunicación inmediata con el punto de tensado, a fin de ordenar en cualquier momento el paro de la operación por la existencia de eventualidades que interfieran el normal deslizamiento de cables.</w:t>
      </w:r>
    </w:p>
    <w:p w14:paraId="0649959E" w14:textId="77777777" w:rsidR="001A4860" w:rsidRPr="001A4860" w:rsidRDefault="001A4860" w:rsidP="001A4860">
      <w:pPr>
        <w:rPr>
          <w:sz w:val="22"/>
          <w:szCs w:val="22"/>
          <w:lang w:val="es-ES" w:eastAsia="es-ES"/>
        </w:rPr>
      </w:pPr>
      <w:r w:rsidRPr="001A4860">
        <w:rPr>
          <w:sz w:val="22"/>
          <w:szCs w:val="22"/>
          <w:lang w:val="es-ES" w:eastAsia="es-ES"/>
        </w:rPr>
        <w:t>El Constructor debe, después del tensado de los conductores, montar las varillas de protección preformadas o conformadas en el cable en los puntos de soporte tanto para el hilo neutro como para los conductores de fase.</w:t>
      </w:r>
    </w:p>
    <w:p w14:paraId="4FFD85B2" w14:textId="77777777" w:rsidR="001A4860" w:rsidRPr="001A4860" w:rsidRDefault="001A4860" w:rsidP="001A4860">
      <w:pPr>
        <w:rPr>
          <w:sz w:val="22"/>
          <w:szCs w:val="22"/>
          <w:lang w:val="es-ES" w:eastAsia="es-ES"/>
        </w:rPr>
      </w:pPr>
    </w:p>
    <w:p w14:paraId="4BFED973" w14:textId="77777777" w:rsidR="001A4860" w:rsidRPr="001A4860" w:rsidRDefault="001A4860" w:rsidP="001A4860">
      <w:pPr>
        <w:rPr>
          <w:sz w:val="22"/>
          <w:szCs w:val="22"/>
          <w:lang w:val="es-ES" w:eastAsia="es-ES"/>
        </w:rPr>
      </w:pPr>
    </w:p>
    <w:p w14:paraId="0AE8FE2D" w14:textId="77777777" w:rsidR="001A4860" w:rsidRPr="001A4860" w:rsidRDefault="001A4860" w:rsidP="001A4860">
      <w:pPr>
        <w:keepNext/>
        <w:ind w:left="720" w:hanging="720"/>
        <w:outlineLvl w:val="2"/>
        <w:rPr>
          <w:rFonts w:eastAsia="Arial Narrow"/>
          <w:b/>
          <w:bCs/>
          <w:iCs/>
          <w:sz w:val="22"/>
          <w:szCs w:val="22"/>
          <w:lang w:val="es-ES" w:bidi="en-US"/>
        </w:rPr>
      </w:pPr>
      <w:bookmarkStart w:id="904" w:name="_Toc23249502"/>
      <w:r w:rsidRPr="001A4860">
        <w:rPr>
          <w:rFonts w:eastAsia="Arial Narrow"/>
          <w:b/>
          <w:bCs/>
          <w:iCs/>
          <w:sz w:val="22"/>
          <w:szCs w:val="22"/>
          <w:lang w:val="es-ES" w:bidi="en-US"/>
        </w:rPr>
        <w:t>Aberturas, remates, empalmes, derivaciones</w:t>
      </w:r>
      <w:bookmarkEnd w:id="904"/>
    </w:p>
    <w:p w14:paraId="276BBF51" w14:textId="77777777" w:rsidR="001A4860" w:rsidRPr="001A4860" w:rsidRDefault="001A4860" w:rsidP="001A4860">
      <w:pPr>
        <w:rPr>
          <w:sz w:val="22"/>
          <w:szCs w:val="22"/>
          <w:lang w:val="es-ES" w:eastAsia="es-ES"/>
        </w:rPr>
      </w:pPr>
    </w:p>
    <w:p w14:paraId="6B975E64" w14:textId="77777777" w:rsidR="001A4860" w:rsidRPr="001A4860" w:rsidRDefault="001A4860" w:rsidP="001A4860">
      <w:pPr>
        <w:rPr>
          <w:sz w:val="22"/>
          <w:szCs w:val="22"/>
          <w:lang w:val="es-ES" w:eastAsia="es-ES"/>
        </w:rPr>
      </w:pPr>
      <w:r w:rsidRPr="001A4860">
        <w:rPr>
          <w:sz w:val="22"/>
          <w:szCs w:val="22"/>
          <w:lang w:val="es-ES" w:eastAsia="es-ES"/>
        </w:rPr>
        <w:t>En aberturas y remates, el constructor deja colas de dos metros de longitud de conductor, para proceder a realizar los “jumpers” correspondientes, luego de haber aprobado el inspector la tensión de línea.</w:t>
      </w:r>
    </w:p>
    <w:p w14:paraId="290D059C" w14:textId="77777777" w:rsidR="001A4860" w:rsidRPr="001A4860" w:rsidRDefault="001A4860" w:rsidP="001A4860">
      <w:pPr>
        <w:rPr>
          <w:sz w:val="22"/>
          <w:szCs w:val="22"/>
          <w:lang w:val="es-ES" w:eastAsia="es-ES"/>
        </w:rPr>
      </w:pPr>
    </w:p>
    <w:p w14:paraId="739CFF12" w14:textId="77777777" w:rsidR="001A4860" w:rsidRPr="001A4860" w:rsidRDefault="001A4860" w:rsidP="001A4860">
      <w:pPr>
        <w:rPr>
          <w:sz w:val="22"/>
          <w:szCs w:val="22"/>
          <w:lang w:val="es-ES" w:eastAsia="es-ES"/>
        </w:rPr>
      </w:pPr>
      <w:r w:rsidRPr="001A4860">
        <w:rPr>
          <w:sz w:val="22"/>
          <w:szCs w:val="22"/>
          <w:lang w:val="es-ES" w:eastAsia="es-ES"/>
        </w:rPr>
        <w:t>Todos los empalmes y reparaciones deben quedar a 7.5 m como mínimo de las estructuras.   No se usan empalmes ni reparaciones en vanos mayores de 200 metros.</w:t>
      </w:r>
    </w:p>
    <w:p w14:paraId="68F247BA" w14:textId="77777777" w:rsidR="001A4860" w:rsidRPr="001A4860" w:rsidRDefault="001A4860" w:rsidP="001A4860">
      <w:pPr>
        <w:rPr>
          <w:sz w:val="22"/>
          <w:szCs w:val="22"/>
          <w:lang w:val="es-ES" w:eastAsia="es-ES"/>
        </w:rPr>
      </w:pPr>
    </w:p>
    <w:p w14:paraId="31B6A3E1" w14:textId="77777777" w:rsidR="001A4860" w:rsidRPr="001A4860" w:rsidRDefault="001A4860" w:rsidP="001A4860">
      <w:pPr>
        <w:rPr>
          <w:sz w:val="22"/>
          <w:szCs w:val="22"/>
          <w:lang w:val="es-ES" w:eastAsia="es-ES"/>
        </w:rPr>
      </w:pPr>
      <w:r w:rsidRPr="001A4860">
        <w:rPr>
          <w:sz w:val="22"/>
          <w:szCs w:val="22"/>
          <w:lang w:val="es-ES" w:eastAsia="es-ES"/>
        </w:rPr>
        <w:t>Todo empalme de línea se realiza con empates preformados y destinados especialmente para este fin. En todos los empalmes “Jumpers”, derivaciones, conexiones a tierra, etc. Se procede antes de su realización, a limpiar debidamente el conductor con cepillo especial e impregnarlo con compuesto inhibidor para empalmes eléctricos, siempre que los conectores a emplear no posean este compuesto inhibidor de fábrica.</w:t>
      </w:r>
    </w:p>
    <w:p w14:paraId="46B9CB80" w14:textId="77777777" w:rsidR="001A4860" w:rsidRPr="001A4860" w:rsidRDefault="001A4860" w:rsidP="001A4860">
      <w:pPr>
        <w:rPr>
          <w:sz w:val="22"/>
          <w:szCs w:val="22"/>
          <w:lang w:val="es-ES" w:eastAsia="es-ES"/>
        </w:rPr>
      </w:pPr>
    </w:p>
    <w:p w14:paraId="60C0C264" w14:textId="77777777" w:rsidR="001A4860" w:rsidRPr="001A4860" w:rsidRDefault="001A4860" w:rsidP="001A4860">
      <w:pPr>
        <w:rPr>
          <w:sz w:val="22"/>
          <w:szCs w:val="22"/>
          <w:lang w:val="es-ES" w:eastAsia="es-ES"/>
        </w:rPr>
      </w:pPr>
      <w:r w:rsidRPr="001A4860">
        <w:rPr>
          <w:sz w:val="22"/>
          <w:szCs w:val="22"/>
          <w:lang w:val="es-ES" w:eastAsia="es-ES"/>
        </w:rPr>
        <w:t>No puede realizarse más de un empalme por conductor por vano, independientemente de la longitud que éste sea.</w:t>
      </w:r>
    </w:p>
    <w:p w14:paraId="5DEE6ED0" w14:textId="77777777" w:rsidR="001A4860" w:rsidRPr="001A4860" w:rsidRDefault="001A4860" w:rsidP="001A4860">
      <w:pPr>
        <w:rPr>
          <w:sz w:val="22"/>
          <w:szCs w:val="22"/>
          <w:lang w:val="es-ES" w:eastAsia="es-ES"/>
        </w:rPr>
      </w:pPr>
    </w:p>
    <w:p w14:paraId="1F1DFE67" w14:textId="77777777" w:rsidR="001A4860" w:rsidRPr="001A4860" w:rsidRDefault="001A4860" w:rsidP="001A4860">
      <w:pPr>
        <w:rPr>
          <w:sz w:val="22"/>
          <w:szCs w:val="22"/>
          <w:lang w:val="es-ES" w:eastAsia="es-ES"/>
        </w:rPr>
      </w:pPr>
      <w:r w:rsidRPr="001A4860">
        <w:rPr>
          <w:sz w:val="22"/>
          <w:szCs w:val="22"/>
          <w:lang w:val="es-ES" w:eastAsia="es-ES"/>
        </w:rPr>
        <w:lastRenderedPageBreak/>
        <w:t>Todo conector o grapa a compresión deben ser convenientemente apretados con las herramientas especiales para ello.</w:t>
      </w:r>
    </w:p>
    <w:p w14:paraId="5CB56AEA" w14:textId="77777777" w:rsidR="001A4860" w:rsidRPr="001A4860" w:rsidRDefault="001A4860" w:rsidP="001A4860">
      <w:pPr>
        <w:rPr>
          <w:sz w:val="22"/>
          <w:szCs w:val="22"/>
          <w:lang w:val="es-ES" w:eastAsia="es-ES"/>
        </w:rPr>
      </w:pPr>
    </w:p>
    <w:p w14:paraId="36D3875F" w14:textId="77777777" w:rsidR="001A4860" w:rsidRPr="001A4860" w:rsidRDefault="001A4860" w:rsidP="001A4860">
      <w:pPr>
        <w:keepNext/>
        <w:ind w:left="720" w:hanging="720"/>
        <w:outlineLvl w:val="2"/>
        <w:rPr>
          <w:rFonts w:eastAsia="Arial Narrow"/>
          <w:b/>
          <w:bCs/>
          <w:iCs/>
          <w:sz w:val="22"/>
          <w:szCs w:val="22"/>
          <w:lang w:val="es-ES" w:bidi="en-US"/>
        </w:rPr>
      </w:pPr>
      <w:bookmarkStart w:id="905" w:name="_Toc23249503"/>
      <w:r w:rsidRPr="001A4860">
        <w:rPr>
          <w:rFonts w:eastAsia="Arial Narrow"/>
          <w:b/>
          <w:bCs/>
          <w:iCs/>
          <w:sz w:val="22"/>
          <w:szCs w:val="22"/>
          <w:lang w:val="es-ES" w:bidi="en-US"/>
        </w:rPr>
        <w:t>Posición de crucetas en líneas de distribución</w:t>
      </w:r>
      <w:bookmarkEnd w:id="905"/>
    </w:p>
    <w:p w14:paraId="6BFD24B8" w14:textId="77777777" w:rsidR="001A4860" w:rsidRPr="001A4860" w:rsidRDefault="001A4860" w:rsidP="001A4860">
      <w:pPr>
        <w:rPr>
          <w:sz w:val="22"/>
          <w:szCs w:val="22"/>
          <w:lang w:val="es-ES" w:eastAsia="es-ES"/>
        </w:rPr>
      </w:pPr>
    </w:p>
    <w:p w14:paraId="6976A58C" w14:textId="77777777" w:rsidR="001A4860" w:rsidRPr="001A4860" w:rsidRDefault="001A4860" w:rsidP="001A4860">
      <w:pPr>
        <w:rPr>
          <w:sz w:val="22"/>
          <w:szCs w:val="22"/>
          <w:lang w:val="es-ES" w:eastAsia="es-ES"/>
        </w:rPr>
      </w:pPr>
      <w:r w:rsidRPr="001A4860">
        <w:rPr>
          <w:sz w:val="22"/>
          <w:szCs w:val="22"/>
          <w:lang w:val="es-ES" w:eastAsia="es-ES"/>
        </w:rPr>
        <w:t>La alineación de las muescas superiores de los postes como la orientación de las crucetas, se realizan conforme las disposiciones y normativas existentes sobre este aspecto.</w:t>
      </w:r>
    </w:p>
    <w:p w14:paraId="07B9CBB2" w14:textId="77777777" w:rsidR="001A4860" w:rsidRPr="001A4860" w:rsidRDefault="001A4860" w:rsidP="001A4860">
      <w:pPr>
        <w:rPr>
          <w:sz w:val="22"/>
          <w:szCs w:val="22"/>
          <w:lang w:val="es-ES" w:eastAsia="es-ES"/>
        </w:rPr>
      </w:pPr>
    </w:p>
    <w:p w14:paraId="7DC82B5A" w14:textId="77777777" w:rsidR="001A4860" w:rsidRPr="001A4860" w:rsidRDefault="001A4860" w:rsidP="001A4860">
      <w:pPr>
        <w:keepNext/>
        <w:ind w:left="720" w:hanging="720"/>
        <w:outlineLvl w:val="2"/>
        <w:rPr>
          <w:rFonts w:eastAsia="Arial Narrow"/>
          <w:b/>
          <w:bCs/>
          <w:iCs/>
          <w:sz w:val="22"/>
          <w:szCs w:val="22"/>
          <w:lang w:val="es-ES" w:bidi="en-US"/>
        </w:rPr>
      </w:pPr>
      <w:bookmarkStart w:id="906" w:name="_Toc23249504"/>
      <w:r w:rsidRPr="001A4860">
        <w:rPr>
          <w:rFonts w:eastAsia="Arial Narrow"/>
          <w:b/>
          <w:bCs/>
          <w:iCs/>
          <w:sz w:val="22"/>
          <w:szCs w:val="22"/>
          <w:lang w:val="es-ES" w:bidi="en-US"/>
        </w:rPr>
        <w:t>Derecho de paso</w:t>
      </w:r>
      <w:bookmarkEnd w:id="906"/>
    </w:p>
    <w:p w14:paraId="033404AD" w14:textId="77777777" w:rsidR="001A4860" w:rsidRPr="001A4860" w:rsidRDefault="001A4860" w:rsidP="001A4860">
      <w:pPr>
        <w:rPr>
          <w:sz w:val="22"/>
          <w:szCs w:val="22"/>
          <w:lang w:val="es-ES" w:eastAsia="es-ES"/>
        </w:rPr>
      </w:pPr>
    </w:p>
    <w:p w14:paraId="7DA40064" w14:textId="77777777" w:rsidR="001A4860" w:rsidRPr="001A4860" w:rsidRDefault="001A4860" w:rsidP="001A4860">
      <w:pPr>
        <w:rPr>
          <w:sz w:val="22"/>
          <w:szCs w:val="22"/>
          <w:lang w:val="es-ES" w:eastAsia="es-ES"/>
        </w:rPr>
      </w:pPr>
      <w:r w:rsidRPr="001A4860">
        <w:rPr>
          <w:sz w:val="22"/>
          <w:szCs w:val="22"/>
          <w:lang w:val="es-ES" w:eastAsia="es-ES"/>
        </w:rPr>
        <w:t>El ancho del derecho de paso de las redes, debe cumplir con lo indicado en las normas y los despales o desrrames requeridos para ello, se realizan en apego a esas disposiciones.</w:t>
      </w:r>
    </w:p>
    <w:p w14:paraId="17AFE83B" w14:textId="77777777" w:rsidR="001A4860" w:rsidRPr="001A4860" w:rsidRDefault="001A4860" w:rsidP="001A4860">
      <w:pPr>
        <w:rPr>
          <w:sz w:val="22"/>
          <w:szCs w:val="22"/>
          <w:lang w:val="es-ES" w:eastAsia="es-ES"/>
        </w:rPr>
      </w:pPr>
    </w:p>
    <w:p w14:paraId="526CD934" w14:textId="77777777" w:rsidR="001A4860" w:rsidRPr="001A4860" w:rsidRDefault="001A4860" w:rsidP="001A4860">
      <w:pPr>
        <w:rPr>
          <w:sz w:val="22"/>
          <w:szCs w:val="22"/>
          <w:lang w:val="es-ES" w:eastAsia="es-ES"/>
        </w:rPr>
      </w:pPr>
      <w:r w:rsidRPr="001A4860">
        <w:rPr>
          <w:sz w:val="22"/>
          <w:szCs w:val="22"/>
          <w:lang w:val="es-ES" w:eastAsia="es-ES"/>
        </w:rPr>
        <w:t>El Contratista debe notificar al Supervisor los árboles afectados por desrrame o despale, a fin de que este asegure el permiso de los dueños y evitar conflictos.</w:t>
      </w:r>
    </w:p>
    <w:p w14:paraId="34D57B74" w14:textId="77777777" w:rsidR="001A4860" w:rsidRPr="001A4860" w:rsidRDefault="001A4860" w:rsidP="001A4860">
      <w:pPr>
        <w:rPr>
          <w:sz w:val="22"/>
          <w:szCs w:val="22"/>
          <w:lang w:val="es-ES" w:eastAsia="es-ES"/>
        </w:rPr>
      </w:pPr>
    </w:p>
    <w:p w14:paraId="7CEDE9A1" w14:textId="77777777" w:rsidR="001A4860" w:rsidRPr="001A4860" w:rsidRDefault="001A4860" w:rsidP="001A4860">
      <w:pPr>
        <w:rPr>
          <w:sz w:val="22"/>
          <w:szCs w:val="22"/>
          <w:lang w:val="es-ES" w:eastAsia="es-ES"/>
        </w:rPr>
      </w:pPr>
      <w:r w:rsidRPr="001A4860">
        <w:rPr>
          <w:sz w:val="22"/>
          <w:szCs w:val="22"/>
          <w:lang w:val="es-ES" w:eastAsia="es-ES"/>
        </w:rPr>
        <w:t>Se debe llevar un registro de los árboles objetos de desrrame o despales, por especie y horas hombres dedicadas a esta actividad, a fin de ser consideradas como extra del contrato. Cada una de estas actividades, para ser consideradas como extras, deben contar con el Visto Bueno del Supervisor.</w:t>
      </w:r>
    </w:p>
    <w:p w14:paraId="4E28B32F" w14:textId="77777777" w:rsidR="001A4860" w:rsidRPr="001A4860" w:rsidRDefault="001A4860" w:rsidP="001A4860">
      <w:pPr>
        <w:rPr>
          <w:sz w:val="22"/>
          <w:szCs w:val="22"/>
          <w:lang w:val="es-ES" w:eastAsia="es-ES"/>
        </w:rPr>
      </w:pPr>
    </w:p>
    <w:p w14:paraId="0A6EE8EB" w14:textId="77777777" w:rsidR="001A4860" w:rsidRPr="001A4860" w:rsidRDefault="001A4860" w:rsidP="001A4860">
      <w:pPr>
        <w:rPr>
          <w:sz w:val="22"/>
          <w:szCs w:val="22"/>
          <w:lang w:val="es-ES" w:eastAsia="es-ES"/>
        </w:rPr>
      </w:pPr>
      <w:r w:rsidRPr="001A4860">
        <w:rPr>
          <w:sz w:val="22"/>
          <w:szCs w:val="22"/>
          <w:lang w:val="es-ES" w:eastAsia="es-ES"/>
        </w:rPr>
        <w:t>Cuando el derecho de paso atraviese tierras cultivadas, el Contratista debe limitar el movimiento de sus cuadrillas y equipos de manera que cause el menor daño posible al cultivo, huerto o propiedad y debe hacer lo posible por no dañar los terrenos en cultivo o labrados.  Toda cerca que sea abierta o movida durante la ejecución del proyecto debe ser reparada, dejándola en igual condición a como se encontraba y en casos de zona ganadera, se debe tomar medidas provisorias para prevenir el escape de ganado u otros animales.</w:t>
      </w:r>
    </w:p>
    <w:p w14:paraId="5BEA46DA" w14:textId="77777777" w:rsidR="001A4860" w:rsidRPr="001A4860" w:rsidRDefault="001A4860" w:rsidP="001A4860">
      <w:pPr>
        <w:rPr>
          <w:sz w:val="22"/>
          <w:szCs w:val="22"/>
          <w:lang w:val="es-ES" w:eastAsia="es-ES"/>
        </w:rPr>
      </w:pPr>
    </w:p>
    <w:p w14:paraId="45ACFDF9" w14:textId="77777777" w:rsidR="001A4860" w:rsidRPr="001A4860" w:rsidRDefault="001A4860" w:rsidP="001A4860">
      <w:pPr>
        <w:rPr>
          <w:sz w:val="22"/>
          <w:szCs w:val="22"/>
          <w:lang w:val="es-ES" w:eastAsia="es-ES"/>
        </w:rPr>
      </w:pPr>
      <w:r w:rsidRPr="001A4860">
        <w:rPr>
          <w:sz w:val="22"/>
          <w:szCs w:val="22"/>
          <w:lang w:val="es-ES" w:eastAsia="es-ES"/>
        </w:rPr>
        <w:t>El Contratista es responsable por pérdidas o daños a cultivos, huertas (u otra cosa que no sea animales) dentro del derecho de paso de la línea, ya que se entiende, que los permisos de pase de la línea son obtenidos por el Supervisor de Ejecución de Obras.</w:t>
      </w:r>
    </w:p>
    <w:p w14:paraId="18981F10" w14:textId="77777777" w:rsidR="001A4860" w:rsidRPr="001A4860" w:rsidRDefault="001A4860" w:rsidP="001A4860">
      <w:pPr>
        <w:rPr>
          <w:sz w:val="22"/>
          <w:szCs w:val="22"/>
          <w:lang w:val="es-ES" w:eastAsia="es-ES"/>
        </w:rPr>
      </w:pPr>
    </w:p>
    <w:p w14:paraId="1EEC67FB" w14:textId="77777777" w:rsidR="001A4860" w:rsidRPr="001A4860" w:rsidRDefault="001A4860" w:rsidP="001A4860">
      <w:pPr>
        <w:rPr>
          <w:sz w:val="22"/>
          <w:szCs w:val="22"/>
          <w:lang w:val="es-ES" w:eastAsia="es-ES"/>
        </w:rPr>
      </w:pPr>
      <w:r w:rsidRPr="001A4860">
        <w:rPr>
          <w:sz w:val="22"/>
          <w:szCs w:val="22"/>
          <w:lang w:val="es-ES" w:eastAsia="es-ES"/>
        </w:rPr>
        <w:t>El Contratista debe pagar por su cuenta todos los daños que, fuera del derecho de paso, ocasionen en las propiedades, originados por la construcción de cada obra, El Supervisor colabora con el contratista en la determinación de cuantía a pagar a los perjudicados.</w:t>
      </w:r>
    </w:p>
    <w:p w14:paraId="6E5DC061" w14:textId="77777777" w:rsidR="001A4860" w:rsidRPr="001A4860" w:rsidRDefault="001A4860" w:rsidP="001A4860">
      <w:pPr>
        <w:rPr>
          <w:sz w:val="22"/>
          <w:szCs w:val="22"/>
          <w:lang w:val="es-ES" w:eastAsia="es-ES"/>
        </w:rPr>
      </w:pPr>
    </w:p>
    <w:p w14:paraId="1DAA2BEC" w14:textId="77777777" w:rsidR="001A4860" w:rsidRPr="001A4860" w:rsidRDefault="001A4860" w:rsidP="001A4860">
      <w:pPr>
        <w:rPr>
          <w:sz w:val="22"/>
          <w:szCs w:val="22"/>
          <w:lang w:val="es-ES" w:eastAsia="es-ES"/>
        </w:rPr>
      </w:pPr>
      <w:r w:rsidRPr="001A4860">
        <w:rPr>
          <w:sz w:val="22"/>
          <w:szCs w:val="22"/>
          <w:lang w:val="es-ES" w:eastAsia="es-ES"/>
        </w:rPr>
        <w:t>El Contratista no puede empezar las tareas de limpieza del derecho de paso, sin la notificación escrita del Supervisor, en la que se indique que los dueños de propiedades han aceptado la ejecución de las obras y la consecuente afectación a árboles o cultivos dentro de la zona del derecho de pase.</w:t>
      </w:r>
    </w:p>
    <w:p w14:paraId="2463B8C1" w14:textId="77777777" w:rsidR="001A4860" w:rsidRPr="001A4860" w:rsidRDefault="001A4860" w:rsidP="001A4860">
      <w:pPr>
        <w:rPr>
          <w:sz w:val="22"/>
          <w:szCs w:val="22"/>
          <w:lang w:val="es-ES" w:eastAsia="es-ES"/>
        </w:rPr>
      </w:pPr>
    </w:p>
    <w:p w14:paraId="20B38A8C" w14:textId="77777777" w:rsidR="001A4860" w:rsidRPr="001A4860" w:rsidRDefault="001A4860" w:rsidP="001A4860">
      <w:pPr>
        <w:rPr>
          <w:sz w:val="22"/>
          <w:szCs w:val="22"/>
          <w:lang w:val="es-ES" w:eastAsia="es-ES"/>
        </w:rPr>
      </w:pPr>
      <w:r w:rsidRPr="001A4860">
        <w:rPr>
          <w:sz w:val="22"/>
          <w:szCs w:val="22"/>
          <w:lang w:val="es-ES" w:eastAsia="es-ES"/>
        </w:rPr>
        <w:t>Los árboles que hayan sido objeto de despale o desrrame, la madera resultante es cortada en longitudes comerciales como máximo de 3.0 m. Es estibada nítidamente y dejados a un lado del derecho de paso de la respectiva propiedad, dando aviso al dueño de propiedad, depositando en el mismo, la responsabilidad del cuido de ésta.</w:t>
      </w:r>
    </w:p>
    <w:p w14:paraId="22D6ECCF" w14:textId="77777777" w:rsidR="001A4860" w:rsidRPr="001A4860" w:rsidRDefault="001A4860" w:rsidP="001A4860">
      <w:pPr>
        <w:rPr>
          <w:sz w:val="22"/>
          <w:szCs w:val="22"/>
          <w:lang w:val="es-ES" w:eastAsia="es-ES"/>
        </w:rPr>
      </w:pPr>
    </w:p>
    <w:p w14:paraId="2A4793C6" w14:textId="77777777" w:rsidR="001A4860" w:rsidRPr="001A4860" w:rsidRDefault="001A4860" w:rsidP="001A4860">
      <w:pPr>
        <w:rPr>
          <w:sz w:val="22"/>
          <w:szCs w:val="22"/>
          <w:lang w:val="es-ES" w:eastAsia="es-ES"/>
        </w:rPr>
      </w:pPr>
      <w:r w:rsidRPr="001A4860">
        <w:rPr>
          <w:sz w:val="22"/>
          <w:szCs w:val="22"/>
          <w:lang w:val="es-ES" w:eastAsia="es-ES"/>
        </w:rPr>
        <w:t>Los desechos propiamente dichos, como lo son: Hojas, ramas no comerciales y basura, es rápidamente retirados, dispuestos según lo indique el Supervisor, sugiriéndose las alternativas: Removidos a la vecindad del derecho de paso; Retirados a un lado del derecho de paso, de tal forma que no obstruyan caminos, cauces, ríos, drenajes o quebradas; Incinerados, para lo cual, el contratista debe contar con los permisos correspondientes, de la Dirección General de Bomberos de Nicaragua y MARENA. El sitio seleccionado para la incineración es de previo aprobado por el Supervisor y nunca es dentro de la franja de derecho de pase, salvo que las cantidades sean realmente mínimas.</w:t>
      </w:r>
    </w:p>
    <w:p w14:paraId="16FCCCDA" w14:textId="77777777" w:rsidR="001A4860" w:rsidRPr="001A4860" w:rsidRDefault="001A4860" w:rsidP="001A4860">
      <w:pPr>
        <w:rPr>
          <w:sz w:val="22"/>
          <w:szCs w:val="22"/>
          <w:lang w:val="es-ES" w:eastAsia="es-ES"/>
        </w:rPr>
      </w:pPr>
    </w:p>
    <w:p w14:paraId="7B4B8A54" w14:textId="77777777" w:rsidR="001A4860" w:rsidRPr="001A4860" w:rsidRDefault="001A4860" w:rsidP="001A4860">
      <w:pPr>
        <w:rPr>
          <w:sz w:val="22"/>
          <w:szCs w:val="22"/>
          <w:lang w:val="es-ES" w:eastAsia="es-ES"/>
        </w:rPr>
      </w:pPr>
      <w:r w:rsidRPr="001A4860">
        <w:rPr>
          <w:sz w:val="22"/>
          <w:szCs w:val="22"/>
          <w:lang w:val="es-ES" w:eastAsia="es-ES"/>
        </w:rPr>
        <w:t>Cualquiera de las alternativas propuestas, debe contar con el visto bueno, tanto del Supervisor de las obras, como por el dueño del material a incinerar.</w:t>
      </w:r>
    </w:p>
    <w:p w14:paraId="1C06AF21" w14:textId="77777777" w:rsidR="001A4860" w:rsidRPr="001A4860" w:rsidRDefault="001A4860" w:rsidP="001A4860">
      <w:pPr>
        <w:rPr>
          <w:sz w:val="22"/>
          <w:szCs w:val="22"/>
          <w:lang w:val="es-ES" w:eastAsia="es-ES"/>
        </w:rPr>
      </w:pPr>
    </w:p>
    <w:p w14:paraId="47794D25" w14:textId="77777777" w:rsidR="001A4860" w:rsidRPr="001A4860" w:rsidRDefault="001A4860" w:rsidP="001A4860">
      <w:pPr>
        <w:rPr>
          <w:sz w:val="22"/>
          <w:szCs w:val="22"/>
          <w:lang w:val="es-ES" w:eastAsia="es-ES"/>
        </w:rPr>
      </w:pPr>
      <w:r w:rsidRPr="001A4860">
        <w:rPr>
          <w:sz w:val="22"/>
          <w:szCs w:val="22"/>
          <w:lang w:val="es-ES" w:eastAsia="es-ES"/>
        </w:rPr>
        <w:t>El proceso de incineración, jamás debe de realizarse bajo conductores, con la finalidad de evitar flechas anormales, debido a altas temperaturas.</w:t>
      </w:r>
    </w:p>
    <w:p w14:paraId="13915B36" w14:textId="77777777" w:rsidR="001A4860" w:rsidRPr="001A4860" w:rsidRDefault="001A4860" w:rsidP="001A4860">
      <w:pPr>
        <w:rPr>
          <w:sz w:val="22"/>
          <w:szCs w:val="22"/>
          <w:lang w:val="es-ES" w:eastAsia="es-ES"/>
        </w:rPr>
      </w:pPr>
    </w:p>
    <w:p w14:paraId="4A64E721" w14:textId="77777777" w:rsidR="001A4860" w:rsidRPr="001A4860" w:rsidRDefault="001A4860" w:rsidP="001A4860">
      <w:pPr>
        <w:keepNext/>
        <w:ind w:left="720" w:hanging="720"/>
        <w:outlineLvl w:val="2"/>
        <w:rPr>
          <w:rFonts w:eastAsia="Arial Narrow"/>
          <w:b/>
          <w:bCs/>
          <w:iCs/>
          <w:sz w:val="22"/>
          <w:szCs w:val="22"/>
          <w:lang w:val="es-ES" w:bidi="en-US"/>
        </w:rPr>
      </w:pPr>
      <w:bookmarkStart w:id="907" w:name="_Toc23249505"/>
      <w:r w:rsidRPr="001A4860">
        <w:rPr>
          <w:rFonts w:eastAsia="Arial Narrow"/>
          <w:b/>
          <w:bCs/>
          <w:iCs/>
          <w:sz w:val="22"/>
          <w:szCs w:val="22"/>
          <w:lang w:val="es-ES" w:bidi="en-US"/>
        </w:rPr>
        <w:t>Transformador de distribución</w:t>
      </w:r>
      <w:bookmarkEnd w:id="907"/>
    </w:p>
    <w:p w14:paraId="1C03C5E4" w14:textId="77777777" w:rsidR="001A4860" w:rsidRPr="001A4860" w:rsidRDefault="001A4860" w:rsidP="001A4860">
      <w:pPr>
        <w:rPr>
          <w:sz w:val="22"/>
          <w:szCs w:val="22"/>
          <w:lang w:val="es-ES" w:eastAsia="es-ES"/>
        </w:rPr>
      </w:pPr>
    </w:p>
    <w:p w14:paraId="57CB7AB1" w14:textId="77777777" w:rsidR="001A4860" w:rsidRPr="001A4860" w:rsidRDefault="001A4860" w:rsidP="001A4860">
      <w:pPr>
        <w:rPr>
          <w:sz w:val="22"/>
          <w:szCs w:val="22"/>
          <w:lang w:val="es-ES" w:eastAsia="es-ES"/>
        </w:rPr>
      </w:pPr>
      <w:r w:rsidRPr="001A4860">
        <w:rPr>
          <w:sz w:val="22"/>
          <w:szCs w:val="22"/>
          <w:lang w:val="es-ES" w:eastAsia="es-ES"/>
        </w:rPr>
        <w:t>Los transformadores de distribución a instalar, son de núcleo sumergido en aceite, de montaje en poste, para un voltaje de 14.4/24.9 Kv - 230 / 460 Vac, de una Potencia Aparente de: 100 KvA., cumpliendo con todo lo indicado en las normativas vigentes.</w:t>
      </w:r>
    </w:p>
    <w:p w14:paraId="342EC15A" w14:textId="77777777" w:rsidR="001A4860" w:rsidRPr="001A4860" w:rsidRDefault="001A4860" w:rsidP="001A4860">
      <w:pPr>
        <w:rPr>
          <w:sz w:val="22"/>
          <w:szCs w:val="22"/>
          <w:lang w:val="es-ES" w:eastAsia="es-ES"/>
        </w:rPr>
      </w:pPr>
    </w:p>
    <w:p w14:paraId="00BC6680" w14:textId="77777777" w:rsidR="001A4860" w:rsidRPr="001A4860" w:rsidRDefault="001A4860" w:rsidP="001A4860">
      <w:pPr>
        <w:rPr>
          <w:sz w:val="22"/>
          <w:szCs w:val="22"/>
          <w:lang w:val="es-ES" w:eastAsia="es-ES"/>
        </w:rPr>
      </w:pPr>
      <w:r w:rsidRPr="001A4860">
        <w:rPr>
          <w:sz w:val="22"/>
          <w:szCs w:val="22"/>
          <w:lang w:val="es-ES" w:eastAsia="es-ES"/>
        </w:rPr>
        <w:t>El montaje de este equipo debe realizarse observando los procedimientos constructivos orientados en las disposiciones técnicas de ENEL. Estos montajes necesariamente deben ser realizados por Empresas Inscritas ante INE o ENEL, como Constructores de esta especialidad. El transformador debe ser sometido a la prueba de laboratorio establecida para estos casos. Debe venir con una estructura metálica, para fijarse y soportarse en un poste de madera. Tiene dos terminales de alto voltaje y contar además con las siguientes características:</w:t>
      </w:r>
    </w:p>
    <w:p w14:paraId="56B4F6F1" w14:textId="77777777" w:rsidR="001A4860" w:rsidRPr="001A4860" w:rsidRDefault="001A4860" w:rsidP="001A4860">
      <w:pPr>
        <w:rPr>
          <w:sz w:val="22"/>
          <w:szCs w:val="22"/>
          <w:lang w:val="es-ES" w:eastAsia="es-ES"/>
        </w:rPr>
      </w:pPr>
    </w:p>
    <w:p w14:paraId="77726F77" w14:textId="77777777" w:rsidR="001A4860" w:rsidRPr="001A4860" w:rsidRDefault="001A4860" w:rsidP="001A4860">
      <w:pPr>
        <w:rPr>
          <w:sz w:val="22"/>
          <w:szCs w:val="22"/>
          <w:lang w:val="es-ES" w:eastAsia="es-ES"/>
        </w:rPr>
      </w:pPr>
      <w:r w:rsidRPr="001A4860">
        <w:rPr>
          <w:sz w:val="22"/>
          <w:szCs w:val="22"/>
          <w:lang w:val="es-ES" w:eastAsia="es-ES"/>
        </w:rPr>
        <w:t>Tipo:</w:t>
      </w:r>
      <w:r w:rsidRPr="001A4860">
        <w:rPr>
          <w:sz w:val="22"/>
          <w:szCs w:val="22"/>
          <w:lang w:val="es-ES" w:eastAsia="es-ES"/>
        </w:rPr>
        <w:tab/>
      </w:r>
      <w:r w:rsidRPr="001A4860">
        <w:rPr>
          <w:sz w:val="22"/>
          <w:szCs w:val="22"/>
          <w:lang w:val="es-ES" w:eastAsia="es-ES"/>
        </w:rPr>
        <w:tab/>
      </w:r>
      <w:r w:rsidRPr="001A4860">
        <w:rPr>
          <w:sz w:val="22"/>
          <w:szCs w:val="22"/>
          <w:lang w:val="es-ES" w:eastAsia="es-ES"/>
        </w:rPr>
        <w:tab/>
        <w:t>Transformador convencional de distribución</w:t>
      </w:r>
    </w:p>
    <w:p w14:paraId="7C2B0D75" w14:textId="77777777" w:rsidR="001A4860" w:rsidRPr="001A4860" w:rsidRDefault="001A4860" w:rsidP="001A4860">
      <w:pPr>
        <w:rPr>
          <w:sz w:val="22"/>
          <w:szCs w:val="22"/>
          <w:lang w:val="es-ES" w:eastAsia="es-ES"/>
        </w:rPr>
      </w:pPr>
      <w:r w:rsidRPr="001A4860">
        <w:rPr>
          <w:sz w:val="22"/>
          <w:szCs w:val="22"/>
          <w:lang w:val="es-ES" w:eastAsia="es-ES"/>
        </w:rPr>
        <w:t>Enfriamiento:</w:t>
      </w:r>
      <w:r w:rsidRPr="001A4860">
        <w:rPr>
          <w:sz w:val="22"/>
          <w:szCs w:val="22"/>
          <w:lang w:val="es-ES" w:eastAsia="es-ES"/>
        </w:rPr>
        <w:tab/>
      </w:r>
      <w:r w:rsidRPr="001A4860">
        <w:rPr>
          <w:sz w:val="22"/>
          <w:szCs w:val="22"/>
          <w:lang w:val="es-ES" w:eastAsia="es-ES"/>
        </w:rPr>
        <w:tab/>
        <w:t>Auto enfriado sumergidos en aceite (clase OA)</w:t>
      </w:r>
    </w:p>
    <w:p w14:paraId="1AB02AA2" w14:textId="77777777" w:rsidR="001A4860" w:rsidRPr="001A4860" w:rsidRDefault="001A4860" w:rsidP="001A4860">
      <w:pPr>
        <w:rPr>
          <w:sz w:val="22"/>
          <w:szCs w:val="22"/>
          <w:lang w:val="es-ES" w:eastAsia="es-ES"/>
        </w:rPr>
      </w:pPr>
      <w:r w:rsidRPr="001A4860">
        <w:rPr>
          <w:sz w:val="22"/>
          <w:szCs w:val="22"/>
          <w:lang w:val="es-ES" w:eastAsia="es-ES"/>
        </w:rPr>
        <w:t>Fases:</w:t>
      </w:r>
      <w:r w:rsidRPr="001A4860">
        <w:rPr>
          <w:sz w:val="22"/>
          <w:szCs w:val="22"/>
          <w:lang w:val="es-ES" w:eastAsia="es-ES"/>
        </w:rPr>
        <w:tab/>
      </w:r>
      <w:r w:rsidRPr="001A4860">
        <w:rPr>
          <w:sz w:val="22"/>
          <w:szCs w:val="22"/>
          <w:lang w:val="es-ES" w:eastAsia="es-ES"/>
        </w:rPr>
        <w:tab/>
        <w:t>Monofásicos</w:t>
      </w:r>
    </w:p>
    <w:p w14:paraId="73603655" w14:textId="77777777" w:rsidR="001A4860" w:rsidRPr="001A4860" w:rsidRDefault="001A4860" w:rsidP="001A4860">
      <w:pPr>
        <w:rPr>
          <w:sz w:val="22"/>
          <w:szCs w:val="22"/>
          <w:lang w:val="es-ES" w:eastAsia="es-ES"/>
        </w:rPr>
      </w:pPr>
      <w:r w:rsidRPr="001A4860">
        <w:rPr>
          <w:sz w:val="22"/>
          <w:szCs w:val="22"/>
          <w:lang w:val="es-ES" w:eastAsia="es-ES"/>
        </w:rPr>
        <w:t>Frecuencia:</w:t>
      </w:r>
      <w:r w:rsidRPr="001A4860">
        <w:rPr>
          <w:sz w:val="22"/>
          <w:szCs w:val="22"/>
          <w:lang w:val="es-ES" w:eastAsia="es-ES"/>
        </w:rPr>
        <w:tab/>
      </w:r>
      <w:r w:rsidRPr="001A4860">
        <w:rPr>
          <w:sz w:val="22"/>
          <w:szCs w:val="22"/>
          <w:lang w:val="es-ES" w:eastAsia="es-ES"/>
        </w:rPr>
        <w:tab/>
        <w:t>60 Hertz.</w:t>
      </w:r>
    </w:p>
    <w:p w14:paraId="4D113E88" w14:textId="77777777" w:rsidR="001A4860" w:rsidRPr="001A4860" w:rsidRDefault="001A4860" w:rsidP="001A4860">
      <w:pPr>
        <w:rPr>
          <w:sz w:val="22"/>
          <w:szCs w:val="22"/>
          <w:lang w:val="es-ES" w:eastAsia="es-ES"/>
        </w:rPr>
      </w:pPr>
      <w:r w:rsidRPr="001A4860">
        <w:rPr>
          <w:sz w:val="22"/>
          <w:szCs w:val="22"/>
          <w:lang w:val="es-ES" w:eastAsia="es-ES"/>
        </w:rPr>
        <w:t>Baja Tensión</w:t>
      </w:r>
      <w:r w:rsidRPr="001A4860">
        <w:rPr>
          <w:sz w:val="22"/>
          <w:szCs w:val="22"/>
          <w:lang w:val="es-ES" w:eastAsia="es-ES"/>
        </w:rPr>
        <w:tab/>
        <w:t>:</w:t>
      </w:r>
      <w:r w:rsidRPr="001A4860">
        <w:rPr>
          <w:sz w:val="22"/>
          <w:szCs w:val="22"/>
          <w:lang w:val="es-ES" w:eastAsia="es-ES"/>
        </w:rPr>
        <w:tab/>
        <w:t>230 / 460 V.</w:t>
      </w:r>
    </w:p>
    <w:p w14:paraId="2998D7BA" w14:textId="77777777" w:rsidR="001A4860" w:rsidRPr="001A4860" w:rsidRDefault="001A4860" w:rsidP="001A4860">
      <w:pPr>
        <w:rPr>
          <w:sz w:val="22"/>
          <w:szCs w:val="22"/>
          <w:lang w:val="es-ES" w:eastAsia="es-ES"/>
        </w:rPr>
      </w:pPr>
      <w:r w:rsidRPr="001A4860">
        <w:rPr>
          <w:sz w:val="22"/>
          <w:szCs w:val="22"/>
          <w:lang w:val="es-ES" w:eastAsia="es-ES"/>
        </w:rPr>
        <w:t>Alta Tensión</w:t>
      </w:r>
      <w:r w:rsidRPr="001A4860">
        <w:rPr>
          <w:sz w:val="22"/>
          <w:szCs w:val="22"/>
          <w:lang w:val="es-ES" w:eastAsia="es-ES"/>
        </w:rPr>
        <w:tab/>
        <w:t>:</w:t>
      </w:r>
      <w:r w:rsidRPr="001A4860">
        <w:rPr>
          <w:sz w:val="22"/>
          <w:szCs w:val="22"/>
          <w:lang w:val="es-ES" w:eastAsia="es-ES"/>
        </w:rPr>
        <w:tab/>
        <w:t>14.4 / 24.9 Kv</w:t>
      </w:r>
    </w:p>
    <w:p w14:paraId="6798B8C2" w14:textId="77777777" w:rsidR="001A4860" w:rsidRPr="001A4860" w:rsidRDefault="001A4860" w:rsidP="001A4860">
      <w:pPr>
        <w:rPr>
          <w:sz w:val="22"/>
          <w:szCs w:val="22"/>
          <w:lang w:val="es-ES" w:eastAsia="es-ES"/>
        </w:rPr>
      </w:pPr>
      <w:r w:rsidRPr="001A4860">
        <w:rPr>
          <w:sz w:val="22"/>
          <w:szCs w:val="22"/>
          <w:lang w:val="es-ES" w:eastAsia="es-ES"/>
        </w:rPr>
        <w:t>Polaridad:</w:t>
      </w:r>
      <w:r w:rsidRPr="001A4860">
        <w:rPr>
          <w:sz w:val="22"/>
          <w:szCs w:val="22"/>
          <w:lang w:val="es-ES" w:eastAsia="es-ES"/>
        </w:rPr>
        <w:tab/>
      </w:r>
      <w:r w:rsidRPr="001A4860">
        <w:rPr>
          <w:sz w:val="22"/>
          <w:szCs w:val="22"/>
          <w:lang w:val="es-ES" w:eastAsia="es-ES"/>
        </w:rPr>
        <w:tab/>
        <w:t>Según normas USASI-C 57.12.00.</w:t>
      </w:r>
    </w:p>
    <w:p w14:paraId="68F4E189" w14:textId="77777777" w:rsidR="001A4860" w:rsidRPr="001A4860" w:rsidRDefault="001A4860" w:rsidP="001A4860">
      <w:pPr>
        <w:rPr>
          <w:sz w:val="22"/>
          <w:szCs w:val="22"/>
          <w:lang w:val="es-ES" w:eastAsia="es-ES"/>
        </w:rPr>
      </w:pPr>
      <w:r w:rsidRPr="001A4860">
        <w:rPr>
          <w:sz w:val="22"/>
          <w:szCs w:val="22"/>
          <w:lang w:val="es-ES" w:eastAsia="es-ES"/>
        </w:rPr>
        <w:t>Aumento Temp :</w:t>
      </w:r>
      <w:r w:rsidRPr="001A4860">
        <w:rPr>
          <w:sz w:val="22"/>
          <w:szCs w:val="22"/>
          <w:lang w:val="es-ES" w:eastAsia="es-ES"/>
        </w:rPr>
        <w:tab/>
        <w:t>65ºC. sobre ambiente de 30 Celsius.</w:t>
      </w:r>
    </w:p>
    <w:p w14:paraId="157D36AA" w14:textId="77777777" w:rsidR="001A4860" w:rsidRPr="001A4860" w:rsidRDefault="001A4860" w:rsidP="001A4860">
      <w:pPr>
        <w:rPr>
          <w:sz w:val="22"/>
          <w:szCs w:val="22"/>
          <w:lang w:val="es-ES" w:eastAsia="es-ES"/>
        </w:rPr>
      </w:pPr>
      <w:r w:rsidRPr="001A4860">
        <w:rPr>
          <w:sz w:val="22"/>
          <w:szCs w:val="22"/>
          <w:lang w:val="es-ES" w:eastAsia="es-ES"/>
        </w:rPr>
        <w:t>Servicio:</w:t>
      </w:r>
      <w:r w:rsidRPr="001A4860">
        <w:rPr>
          <w:sz w:val="22"/>
          <w:szCs w:val="22"/>
          <w:lang w:val="es-ES" w:eastAsia="es-ES"/>
        </w:rPr>
        <w:tab/>
      </w:r>
      <w:r w:rsidRPr="001A4860">
        <w:rPr>
          <w:sz w:val="22"/>
          <w:szCs w:val="22"/>
          <w:lang w:val="es-ES" w:eastAsia="es-ES"/>
        </w:rPr>
        <w:tab/>
        <w:t>Intemperie montado en poste.</w:t>
      </w:r>
    </w:p>
    <w:p w14:paraId="7FA6CED4" w14:textId="77777777" w:rsidR="001A4860" w:rsidRPr="001A4860" w:rsidRDefault="001A4860" w:rsidP="001A4860">
      <w:pPr>
        <w:rPr>
          <w:sz w:val="22"/>
          <w:szCs w:val="22"/>
          <w:lang w:val="es-ES" w:eastAsia="es-ES"/>
        </w:rPr>
      </w:pPr>
      <w:r w:rsidRPr="001A4860">
        <w:rPr>
          <w:sz w:val="22"/>
          <w:szCs w:val="22"/>
          <w:lang w:val="es-ES" w:eastAsia="es-ES"/>
        </w:rPr>
        <w:t>Aislamiento:</w:t>
      </w:r>
      <w:r w:rsidRPr="001A4860">
        <w:rPr>
          <w:sz w:val="22"/>
          <w:szCs w:val="22"/>
          <w:lang w:val="es-ES" w:eastAsia="es-ES"/>
        </w:rPr>
        <w:tab/>
      </w:r>
      <w:r w:rsidRPr="001A4860">
        <w:rPr>
          <w:sz w:val="22"/>
          <w:szCs w:val="22"/>
          <w:lang w:val="es-ES" w:eastAsia="es-ES"/>
        </w:rPr>
        <w:tab/>
        <w:t>30 KV.</w:t>
      </w:r>
    </w:p>
    <w:p w14:paraId="3D598843" w14:textId="77777777" w:rsidR="001A4860" w:rsidRPr="001A4860" w:rsidRDefault="001A4860" w:rsidP="001A4860">
      <w:pPr>
        <w:rPr>
          <w:sz w:val="22"/>
          <w:szCs w:val="22"/>
          <w:lang w:val="es-ES" w:eastAsia="es-ES"/>
        </w:rPr>
      </w:pPr>
      <w:r w:rsidRPr="001A4860">
        <w:rPr>
          <w:sz w:val="22"/>
          <w:szCs w:val="22"/>
          <w:lang w:val="es-ES" w:eastAsia="es-ES"/>
        </w:rPr>
        <w:t>Nivel Impulso:</w:t>
      </w:r>
      <w:r w:rsidRPr="001A4860">
        <w:rPr>
          <w:sz w:val="22"/>
          <w:szCs w:val="22"/>
          <w:lang w:val="es-ES" w:eastAsia="es-ES"/>
        </w:rPr>
        <w:tab/>
        <w:t>120 KV. (BILL).</w:t>
      </w:r>
    </w:p>
    <w:p w14:paraId="2ECD45E3" w14:textId="77777777" w:rsidR="001A4860" w:rsidRPr="001A4860" w:rsidRDefault="001A4860" w:rsidP="001A4860">
      <w:pPr>
        <w:rPr>
          <w:sz w:val="22"/>
          <w:szCs w:val="22"/>
          <w:lang w:val="es-ES" w:eastAsia="es-ES"/>
        </w:rPr>
      </w:pPr>
      <w:r w:rsidRPr="001A4860">
        <w:rPr>
          <w:sz w:val="22"/>
          <w:szCs w:val="22"/>
          <w:lang w:val="es-ES" w:eastAsia="es-ES"/>
        </w:rPr>
        <w:t>Potencia Aparente:</w:t>
      </w:r>
      <w:r w:rsidRPr="001A4860">
        <w:rPr>
          <w:sz w:val="22"/>
          <w:szCs w:val="22"/>
          <w:lang w:val="es-ES" w:eastAsia="es-ES"/>
        </w:rPr>
        <w:tab/>
        <w:t>1 x 100 KVA.</w:t>
      </w:r>
    </w:p>
    <w:p w14:paraId="13FEDD40" w14:textId="77777777" w:rsidR="001A4860" w:rsidRPr="001A4860" w:rsidRDefault="001A4860" w:rsidP="001A4860">
      <w:pPr>
        <w:rPr>
          <w:sz w:val="22"/>
          <w:szCs w:val="22"/>
          <w:lang w:val="es-ES" w:eastAsia="es-ES"/>
        </w:rPr>
      </w:pPr>
    </w:p>
    <w:p w14:paraId="337A942D" w14:textId="77777777" w:rsidR="001A4860" w:rsidRPr="001A4860" w:rsidRDefault="001A4860" w:rsidP="001A4860">
      <w:pPr>
        <w:rPr>
          <w:sz w:val="22"/>
          <w:szCs w:val="22"/>
          <w:lang w:val="es-ES" w:eastAsia="es-ES"/>
        </w:rPr>
      </w:pPr>
      <w:r w:rsidRPr="001A4860">
        <w:rPr>
          <w:sz w:val="22"/>
          <w:szCs w:val="22"/>
          <w:lang w:val="es-ES" w:eastAsia="es-ES"/>
        </w:rPr>
        <w:t>Las pruebas de las pérdidas bajo carga y la regulación de voltaje deben ser soportadas para una temperatura de 80ºC.</w:t>
      </w:r>
    </w:p>
    <w:p w14:paraId="00935778" w14:textId="77777777" w:rsidR="001A4860" w:rsidRPr="001A4860" w:rsidRDefault="001A4860" w:rsidP="001A4860">
      <w:pPr>
        <w:rPr>
          <w:sz w:val="22"/>
          <w:szCs w:val="22"/>
          <w:lang w:val="es-ES" w:eastAsia="es-ES"/>
        </w:rPr>
      </w:pPr>
    </w:p>
    <w:p w14:paraId="2F8F5742" w14:textId="77777777" w:rsidR="001A4860" w:rsidRPr="001A4860" w:rsidRDefault="001A4860" w:rsidP="001A4860">
      <w:pPr>
        <w:rPr>
          <w:sz w:val="22"/>
          <w:szCs w:val="22"/>
          <w:lang w:val="es-ES" w:eastAsia="es-ES"/>
        </w:rPr>
      </w:pPr>
      <w:r w:rsidRPr="001A4860">
        <w:rPr>
          <w:sz w:val="22"/>
          <w:szCs w:val="22"/>
          <w:lang w:val="es-ES" w:eastAsia="es-ES"/>
        </w:rPr>
        <w:t>Cada extremo del devanado de alto voltaje debe salir a través de la tapa y por medio de terminales totalmente aislados, adecuados para las conexiones con cables de cobre.</w:t>
      </w:r>
    </w:p>
    <w:p w14:paraId="29134F74" w14:textId="77777777" w:rsidR="001A4860" w:rsidRPr="001A4860" w:rsidRDefault="001A4860" w:rsidP="001A4860">
      <w:pPr>
        <w:rPr>
          <w:sz w:val="22"/>
          <w:szCs w:val="22"/>
          <w:lang w:val="es-ES" w:eastAsia="es-ES"/>
        </w:rPr>
      </w:pPr>
    </w:p>
    <w:p w14:paraId="64DBD743" w14:textId="77777777" w:rsidR="001A4860" w:rsidRPr="001A4860" w:rsidRDefault="001A4860" w:rsidP="001A4860">
      <w:pPr>
        <w:rPr>
          <w:sz w:val="22"/>
          <w:szCs w:val="22"/>
          <w:lang w:val="es-ES" w:eastAsia="es-ES"/>
        </w:rPr>
      </w:pPr>
      <w:r w:rsidRPr="001A4860">
        <w:rPr>
          <w:sz w:val="22"/>
          <w:szCs w:val="22"/>
          <w:lang w:val="es-ES" w:eastAsia="es-ES"/>
        </w:rPr>
        <w:t>El transformador está provisto en el lado de alta tensión de un cambiador de derivaciones (taps) operando manualmente y colocado arriba del nivel del aceite.   Se requieren cuatro derivaciones de 2.5%, arriba – abajo, del voltaje nominal.</w:t>
      </w:r>
    </w:p>
    <w:p w14:paraId="60DE1DC9" w14:textId="77777777" w:rsidR="001A4860" w:rsidRPr="001A4860" w:rsidRDefault="001A4860" w:rsidP="001A4860">
      <w:pPr>
        <w:rPr>
          <w:sz w:val="22"/>
          <w:szCs w:val="22"/>
          <w:lang w:val="es-ES" w:eastAsia="es-ES"/>
        </w:rPr>
      </w:pPr>
    </w:p>
    <w:p w14:paraId="44299484" w14:textId="77777777" w:rsidR="001A4860" w:rsidRPr="001A4860" w:rsidRDefault="001A4860" w:rsidP="001A4860">
      <w:pPr>
        <w:rPr>
          <w:sz w:val="22"/>
          <w:szCs w:val="22"/>
          <w:lang w:val="es-ES" w:eastAsia="es-ES"/>
        </w:rPr>
      </w:pPr>
      <w:r w:rsidRPr="001A4860">
        <w:rPr>
          <w:sz w:val="22"/>
          <w:szCs w:val="22"/>
          <w:lang w:val="es-ES" w:eastAsia="es-ES"/>
        </w:rPr>
        <w:t>Las conexiones de bajo voltaje deben salir por medio de terminales aislados a través de las paredes del tanque. Cada terminal debe estar provista de un conector sin soldadura para la conexión a las líneas conductoras de bajo voltaje en los calibres especificados por las normas USASI C. 57.12.00.</w:t>
      </w:r>
    </w:p>
    <w:p w14:paraId="0A336665" w14:textId="77777777" w:rsidR="001A4860" w:rsidRPr="001A4860" w:rsidRDefault="001A4860" w:rsidP="001A4860">
      <w:pPr>
        <w:rPr>
          <w:sz w:val="22"/>
          <w:szCs w:val="22"/>
          <w:lang w:val="es-ES" w:eastAsia="es-ES"/>
        </w:rPr>
      </w:pPr>
    </w:p>
    <w:p w14:paraId="70EBED61" w14:textId="77777777" w:rsidR="001A4860" w:rsidRPr="001A4860" w:rsidRDefault="001A4860" w:rsidP="001A4860">
      <w:pPr>
        <w:rPr>
          <w:sz w:val="22"/>
          <w:szCs w:val="22"/>
          <w:lang w:val="es-ES" w:eastAsia="es-ES"/>
        </w:rPr>
      </w:pPr>
      <w:r w:rsidRPr="001A4860">
        <w:rPr>
          <w:sz w:val="22"/>
          <w:szCs w:val="22"/>
          <w:lang w:val="es-ES" w:eastAsia="es-ES"/>
        </w:rPr>
        <w:t>La línea neutra del secundario debe ser aterrizada al tanque externamente. El transformador debe tener agarraderas de soporte para montaje directo en postes en una posición. Las agarraderas de soporte deben ser construidas conforme a las normas NEMA.</w:t>
      </w:r>
    </w:p>
    <w:p w14:paraId="25FEA763" w14:textId="77777777" w:rsidR="001A4860" w:rsidRPr="001A4860" w:rsidRDefault="001A4860" w:rsidP="001A4860">
      <w:pPr>
        <w:rPr>
          <w:sz w:val="22"/>
          <w:szCs w:val="22"/>
          <w:lang w:val="es-ES" w:eastAsia="es-ES"/>
        </w:rPr>
      </w:pPr>
    </w:p>
    <w:p w14:paraId="35685243" w14:textId="77777777" w:rsidR="001A4860" w:rsidRPr="001A4860" w:rsidRDefault="001A4860" w:rsidP="001A4860">
      <w:pPr>
        <w:rPr>
          <w:sz w:val="22"/>
          <w:szCs w:val="22"/>
          <w:lang w:val="es-ES" w:eastAsia="es-ES"/>
        </w:rPr>
      </w:pPr>
      <w:r w:rsidRPr="001A4860">
        <w:rPr>
          <w:sz w:val="22"/>
          <w:szCs w:val="22"/>
          <w:lang w:val="es-ES" w:eastAsia="es-ES"/>
        </w:rPr>
        <w:t>La preservación del aceite es por medio de un tanque sellado.  Se debe proveer de una tapa de registro en la cubierta del transformador para permitir la inspección interna y los cambios en las conexiones internas.</w:t>
      </w:r>
    </w:p>
    <w:p w14:paraId="7E28B13F" w14:textId="77777777" w:rsidR="001A4860" w:rsidRPr="001A4860" w:rsidRDefault="001A4860" w:rsidP="001A4860">
      <w:pPr>
        <w:rPr>
          <w:sz w:val="22"/>
          <w:szCs w:val="22"/>
          <w:lang w:val="es-ES" w:eastAsia="es-ES"/>
        </w:rPr>
      </w:pPr>
    </w:p>
    <w:p w14:paraId="7A24C714" w14:textId="77777777" w:rsidR="001A4860" w:rsidRPr="001A4860" w:rsidRDefault="001A4860" w:rsidP="001A4860">
      <w:pPr>
        <w:rPr>
          <w:sz w:val="22"/>
          <w:szCs w:val="22"/>
          <w:lang w:val="es-ES" w:eastAsia="es-ES"/>
        </w:rPr>
      </w:pPr>
      <w:r w:rsidRPr="001A4860">
        <w:rPr>
          <w:sz w:val="22"/>
          <w:szCs w:val="22"/>
          <w:lang w:val="es-ES" w:eastAsia="es-ES"/>
        </w:rPr>
        <w:t>Todas las superficies con empaques deben ser construidas a presión para eliminar los escapes del dieléctrico.</w:t>
      </w:r>
    </w:p>
    <w:p w14:paraId="6FF63A95" w14:textId="77777777" w:rsidR="001A4860" w:rsidRPr="001A4860" w:rsidRDefault="001A4860" w:rsidP="001A4860">
      <w:pPr>
        <w:rPr>
          <w:sz w:val="22"/>
          <w:szCs w:val="22"/>
          <w:lang w:val="es-ES" w:eastAsia="es-ES"/>
        </w:rPr>
      </w:pPr>
    </w:p>
    <w:p w14:paraId="54324AC2" w14:textId="77777777" w:rsidR="001A4860" w:rsidRPr="001A4860" w:rsidRDefault="001A4860" w:rsidP="001A4860">
      <w:pPr>
        <w:rPr>
          <w:sz w:val="22"/>
          <w:szCs w:val="22"/>
          <w:lang w:val="es-ES" w:eastAsia="es-ES"/>
        </w:rPr>
      </w:pPr>
      <w:r w:rsidRPr="001A4860">
        <w:rPr>
          <w:sz w:val="22"/>
          <w:szCs w:val="22"/>
          <w:lang w:val="es-ES" w:eastAsia="es-ES"/>
        </w:rPr>
        <w:t>El transformador debe tener placas de datos. La información y colocación de las placas de datos deben estar de acuerdo a las normas NEMA.</w:t>
      </w:r>
    </w:p>
    <w:p w14:paraId="286ACC38" w14:textId="77777777" w:rsidR="001A4860" w:rsidRPr="001A4860" w:rsidRDefault="001A4860" w:rsidP="001A4860">
      <w:pPr>
        <w:rPr>
          <w:sz w:val="22"/>
          <w:szCs w:val="22"/>
          <w:lang w:val="es-ES" w:eastAsia="es-ES"/>
        </w:rPr>
      </w:pPr>
    </w:p>
    <w:p w14:paraId="24294EB9" w14:textId="77777777" w:rsidR="001A4860" w:rsidRPr="001A4860" w:rsidRDefault="001A4860" w:rsidP="001A4860">
      <w:pPr>
        <w:rPr>
          <w:sz w:val="22"/>
          <w:szCs w:val="22"/>
          <w:lang w:val="es-ES" w:eastAsia="es-ES"/>
        </w:rPr>
      </w:pPr>
      <w:r w:rsidRPr="001A4860">
        <w:rPr>
          <w:sz w:val="22"/>
          <w:szCs w:val="22"/>
          <w:lang w:val="es-ES" w:eastAsia="es-ES"/>
        </w:rPr>
        <w:t>El transformador debe ser provisto de todos los accesorios normales pedidos por las normas NEMA.</w:t>
      </w:r>
    </w:p>
    <w:p w14:paraId="5FBDC288" w14:textId="77777777" w:rsidR="001A4860" w:rsidRPr="001A4860" w:rsidRDefault="001A4860" w:rsidP="001A4860">
      <w:pPr>
        <w:rPr>
          <w:sz w:val="22"/>
          <w:szCs w:val="22"/>
          <w:lang w:val="es-ES" w:eastAsia="es-ES"/>
        </w:rPr>
      </w:pPr>
    </w:p>
    <w:p w14:paraId="0DDCC582" w14:textId="77777777" w:rsidR="001A4860" w:rsidRPr="001A4860" w:rsidRDefault="001A4860" w:rsidP="001A4860">
      <w:pPr>
        <w:rPr>
          <w:sz w:val="22"/>
          <w:szCs w:val="22"/>
          <w:lang w:val="es-ES" w:eastAsia="es-ES"/>
        </w:rPr>
      </w:pPr>
      <w:r w:rsidRPr="001A4860">
        <w:rPr>
          <w:sz w:val="22"/>
          <w:szCs w:val="22"/>
          <w:lang w:val="es-ES" w:eastAsia="es-ES"/>
        </w:rPr>
        <w:t>El aceite del transformador debe ser de alta calidad y larga vida, además, debe llevar un aditivo inhibidor que mejore la resistencia a la oxidación, a la formación de emulsión y que evite el asentamiento.</w:t>
      </w:r>
    </w:p>
    <w:p w14:paraId="6991C77E" w14:textId="77777777" w:rsidR="001A4860" w:rsidRPr="001A4860" w:rsidRDefault="001A4860" w:rsidP="001A4860">
      <w:pPr>
        <w:rPr>
          <w:sz w:val="22"/>
          <w:szCs w:val="22"/>
          <w:lang w:val="es-ES" w:eastAsia="es-ES"/>
        </w:rPr>
      </w:pPr>
    </w:p>
    <w:p w14:paraId="189F209E" w14:textId="77777777" w:rsidR="001A4860" w:rsidRPr="001A4860" w:rsidRDefault="001A4860" w:rsidP="001A4860">
      <w:pPr>
        <w:rPr>
          <w:sz w:val="22"/>
          <w:szCs w:val="22"/>
          <w:lang w:val="es-ES" w:eastAsia="es-ES"/>
        </w:rPr>
      </w:pPr>
      <w:r w:rsidRPr="001A4860">
        <w:rPr>
          <w:sz w:val="22"/>
          <w:szCs w:val="22"/>
          <w:lang w:val="es-ES" w:eastAsia="es-ES"/>
        </w:rPr>
        <w:t>El tanque, la tapa de cubierta y los aditamentos deben estar químicamente limpios y deben estar pintados convenientemente con una capa de pintura base consistente a la oxidación. La capa final de pintura debe ser aplicada al horno y ser muy resistente a la intemperie y al uso.</w:t>
      </w:r>
    </w:p>
    <w:p w14:paraId="2BB2F9D5" w14:textId="77777777" w:rsidR="001A4860" w:rsidRPr="001A4860" w:rsidRDefault="001A4860" w:rsidP="001A4860">
      <w:pPr>
        <w:rPr>
          <w:sz w:val="22"/>
          <w:szCs w:val="22"/>
          <w:lang w:val="es-ES" w:eastAsia="es-ES"/>
        </w:rPr>
      </w:pPr>
    </w:p>
    <w:p w14:paraId="0C272F35" w14:textId="77777777" w:rsidR="001A4860" w:rsidRPr="001A4860" w:rsidRDefault="001A4860" w:rsidP="001A4860">
      <w:pPr>
        <w:rPr>
          <w:sz w:val="22"/>
          <w:szCs w:val="22"/>
          <w:lang w:val="es-ES" w:eastAsia="es-ES"/>
        </w:rPr>
      </w:pPr>
      <w:r w:rsidRPr="001A4860">
        <w:rPr>
          <w:sz w:val="22"/>
          <w:szCs w:val="22"/>
          <w:lang w:val="es-ES" w:eastAsia="es-ES"/>
        </w:rPr>
        <w:t>La pintura del transformador debe seguir estrictamente las normas para color de USASI C.70 (Gray Blase).</w:t>
      </w:r>
    </w:p>
    <w:p w14:paraId="564ABB07" w14:textId="77777777" w:rsidR="001A4860" w:rsidRPr="001A4860" w:rsidRDefault="001A4860" w:rsidP="001A4860">
      <w:pPr>
        <w:rPr>
          <w:sz w:val="22"/>
          <w:szCs w:val="22"/>
          <w:lang w:val="es-ES" w:eastAsia="es-ES"/>
        </w:rPr>
      </w:pPr>
    </w:p>
    <w:p w14:paraId="0BF5CCEB" w14:textId="77777777" w:rsidR="001A4860" w:rsidRPr="001A4860" w:rsidRDefault="001A4860" w:rsidP="001A4860">
      <w:pPr>
        <w:rPr>
          <w:sz w:val="22"/>
          <w:szCs w:val="22"/>
          <w:lang w:val="es-ES" w:eastAsia="es-ES"/>
        </w:rPr>
      </w:pPr>
      <w:r w:rsidRPr="001A4860">
        <w:rPr>
          <w:sz w:val="22"/>
          <w:szCs w:val="22"/>
          <w:lang w:val="es-ES" w:eastAsia="es-ES"/>
        </w:rPr>
        <w:t>Al momento de su embarque, el transformador debe estar completamente armado y provisto de aceite. Su empaque debe efectuarse en cajas apropiadas para productos de exportación.</w:t>
      </w:r>
    </w:p>
    <w:p w14:paraId="6FC310E2" w14:textId="77777777" w:rsidR="001A4860" w:rsidRPr="001A4860" w:rsidRDefault="001A4860" w:rsidP="001A4860">
      <w:pPr>
        <w:rPr>
          <w:sz w:val="22"/>
          <w:szCs w:val="22"/>
          <w:lang w:val="es-ES" w:eastAsia="es-ES"/>
        </w:rPr>
      </w:pPr>
    </w:p>
    <w:p w14:paraId="296BB32D" w14:textId="77777777" w:rsidR="001A4860" w:rsidRPr="001A4860" w:rsidRDefault="001A4860" w:rsidP="001A4860">
      <w:pPr>
        <w:rPr>
          <w:sz w:val="22"/>
          <w:szCs w:val="22"/>
          <w:lang w:val="es-ES" w:eastAsia="es-ES"/>
        </w:rPr>
      </w:pPr>
      <w:r w:rsidRPr="001A4860">
        <w:rPr>
          <w:sz w:val="22"/>
          <w:szCs w:val="22"/>
          <w:lang w:val="es-ES" w:eastAsia="es-ES"/>
        </w:rPr>
        <w:t>El transformador debe ser diseñado, construido y probado de acuerdo con los últimos requisitos de</w:t>
      </w:r>
    </w:p>
    <w:p w14:paraId="23C58F9B" w14:textId="77777777" w:rsidR="001A4860" w:rsidRPr="001A4860" w:rsidRDefault="001A4860" w:rsidP="001A4860">
      <w:pPr>
        <w:rPr>
          <w:sz w:val="22"/>
          <w:szCs w:val="22"/>
          <w:lang w:val="es-ES" w:eastAsia="es-ES"/>
        </w:rPr>
      </w:pPr>
      <w:r w:rsidRPr="001A4860">
        <w:rPr>
          <w:sz w:val="22"/>
          <w:szCs w:val="22"/>
          <w:lang w:val="es-ES" w:eastAsia="es-ES"/>
        </w:rPr>
        <w:t>NEMA y ANSI.</w:t>
      </w:r>
    </w:p>
    <w:p w14:paraId="6D22E102" w14:textId="77777777" w:rsidR="001A4860" w:rsidRPr="001A4860" w:rsidRDefault="001A4860" w:rsidP="001A4860">
      <w:pPr>
        <w:rPr>
          <w:sz w:val="22"/>
          <w:szCs w:val="22"/>
          <w:lang w:val="es-ES" w:eastAsia="es-ES"/>
        </w:rPr>
      </w:pPr>
    </w:p>
    <w:p w14:paraId="6E1EF04D" w14:textId="77777777" w:rsidR="001A4860" w:rsidRPr="001A4860" w:rsidRDefault="001A4860" w:rsidP="001A4860">
      <w:pPr>
        <w:keepNext/>
        <w:ind w:left="720" w:hanging="720"/>
        <w:outlineLvl w:val="2"/>
        <w:rPr>
          <w:rFonts w:eastAsia="Arial Narrow"/>
          <w:b/>
          <w:bCs/>
          <w:iCs/>
          <w:sz w:val="22"/>
          <w:szCs w:val="22"/>
          <w:lang w:val="es-ES" w:bidi="en-US"/>
        </w:rPr>
      </w:pPr>
      <w:bookmarkStart w:id="908" w:name="_Toc23249506"/>
      <w:r w:rsidRPr="001A4860">
        <w:rPr>
          <w:rFonts w:eastAsia="Arial Narrow"/>
          <w:b/>
          <w:bCs/>
          <w:iCs/>
          <w:sz w:val="22"/>
          <w:szCs w:val="22"/>
          <w:lang w:val="es-ES" w:bidi="en-US"/>
        </w:rPr>
        <w:t>Seguridad e higiene ocupacional</w:t>
      </w:r>
      <w:bookmarkEnd w:id="908"/>
    </w:p>
    <w:p w14:paraId="33F5AD70" w14:textId="77777777" w:rsidR="001A4860" w:rsidRPr="001A4860" w:rsidRDefault="001A4860" w:rsidP="001A4860">
      <w:pPr>
        <w:rPr>
          <w:sz w:val="22"/>
          <w:szCs w:val="22"/>
          <w:lang w:val="es-ES" w:eastAsia="es-ES"/>
        </w:rPr>
      </w:pPr>
    </w:p>
    <w:p w14:paraId="730B7814" w14:textId="77777777" w:rsidR="001A4860" w:rsidRPr="001A4860" w:rsidRDefault="001A4860" w:rsidP="001A4860">
      <w:pPr>
        <w:rPr>
          <w:sz w:val="22"/>
          <w:szCs w:val="22"/>
          <w:lang w:val="es-ES" w:eastAsia="es-ES"/>
        </w:rPr>
      </w:pPr>
      <w:r w:rsidRPr="001A4860">
        <w:rPr>
          <w:sz w:val="22"/>
          <w:szCs w:val="22"/>
          <w:lang w:val="es-ES" w:eastAsia="es-ES"/>
        </w:rPr>
        <w:t>Las cuadrillas a laborar en el proyecto, deben ser provistas de equipos básicos de seguridad e higiene ocupacional, para este caso, todos los operarios deben contar con su casco protector y guantes rústicos, todo el personal debe laborar con botas de cuero, de amarrar.</w:t>
      </w:r>
    </w:p>
    <w:p w14:paraId="1A0A81AB" w14:textId="77777777" w:rsidR="001A4860" w:rsidRPr="001A4860" w:rsidRDefault="001A4860" w:rsidP="001A4860">
      <w:pPr>
        <w:rPr>
          <w:sz w:val="22"/>
          <w:szCs w:val="22"/>
          <w:lang w:val="es-ES" w:eastAsia="es-ES"/>
        </w:rPr>
      </w:pPr>
    </w:p>
    <w:p w14:paraId="201D2DE7" w14:textId="77777777" w:rsidR="001A4860" w:rsidRPr="001A4860" w:rsidRDefault="001A4860" w:rsidP="001A4860">
      <w:pPr>
        <w:rPr>
          <w:sz w:val="22"/>
          <w:szCs w:val="22"/>
          <w:lang w:val="es-ES" w:eastAsia="es-ES"/>
        </w:rPr>
      </w:pPr>
      <w:r w:rsidRPr="001A4860">
        <w:rPr>
          <w:sz w:val="22"/>
          <w:szCs w:val="22"/>
          <w:lang w:val="es-ES" w:eastAsia="es-ES"/>
        </w:rPr>
        <w:t>En el caso de linieros, éstos deben contar con su equipamiento completo, tanto para escalar, cinturón, guantes y herramientas propias del oficio. Siempre que para determinadas actividades sea necesario un despeje de línea, el constructor, como medida de primera instancia e inaplazable, debe poner a tierra el circuito, mediante el equipo destinado a ello y el procedimiento adecuado.</w:t>
      </w:r>
    </w:p>
    <w:p w14:paraId="1A76B3EA" w14:textId="77777777" w:rsidR="001A4860" w:rsidRPr="001A4860" w:rsidRDefault="001A4860" w:rsidP="001A4860">
      <w:pPr>
        <w:rPr>
          <w:sz w:val="22"/>
          <w:szCs w:val="22"/>
          <w:lang w:val="es-ES" w:eastAsia="es-ES"/>
        </w:rPr>
      </w:pPr>
    </w:p>
    <w:p w14:paraId="56E0C5F0" w14:textId="77777777" w:rsidR="001A4860" w:rsidRPr="001A4860" w:rsidRDefault="001A4860" w:rsidP="001A4860">
      <w:pPr>
        <w:rPr>
          <w:sz w:val="22"/>
          <w:szCs w:val="22"/>
          <w:lang w:val="es-ES" w:eastAsia="es-ES"/>
        </w:rPr>
      </w:pPr>
      <w:r w:rsidRPr="001A4860">
        <w:rPr>
          <w:sz w:val="22"/>
          <w:szCs w:val="22"/>
          <w:lang w:val="es-ES" w:eastAsia="es-ES"/>
        </w:rPr>
        <w:t>Las Empresas a participar en la Construcción de la derivación primaria proyectada, deben cumplir con todos los requerimientos que indica el Ministerio del Trabajo, a fin de garantizar la Seguridad e Higiene Ocupacional en los trabajadores, en este aspecto se considerará en gran medida, el uso de uniformes de trabajo con distintivo visible de la Empresa Constructora, no es permitido, indumentaria que tengan impresos distintivos de ENEL ni del INE, se observará el empleo de medios de seguridad normales en estas actividades.</w:t>
      </w:r>
    </w:p>
    <w:p w14:paraId="08166F4B" w14:textId="77777777" w:rsidR="001A4860" w:rsidRPr="001A4860" w:rsidRDefault="001A4860" w:rsidP="001A4860">
      <w:pPr>
        <w:rPr>
          <w:sz w:val="22"/>
          <w:szCs w:val="22"/>
          <w:lang w:val="es-ES" w:eastAsia="es-ES"/>
        </w:rPr>
      </w:pPr>
    </w:p>
    <w:p w14:paraId="5FB84153" w14:textId="77777777" w:rsidR="001A4860" w:rsidRPr="001A4860" w:rsidRDefault="001A4860" w:rsidP="001A4860">
      <w:pPr>
        <w:keepNext/>
        <w:outlineLvl w:val="1"/>
        <w:rPr>
          <w:rFonts w:eastAsia="Arial Narrow"/>
          <w:b/>
          <w:bCs/>
          <w:iCs/>
          <w:sz w:val="22"/>
          <w:szCs w:val="22"/>
          <w:lang w:val="es-NI"/>
        </w:rPr>
      </w:pPr>
      <w:bookmarkStart w:id="909" w:name="_Toc23249507"/>
      <w:r w:rsidRPr="001A4860">
        <w:rPr>
          <w:rFonts w:eastAsia="Arial Narrow"/>
          <w:b/>
          <w:bCs/>
          <w:iCs/>
          <w:sz w:val="22"/>
          <w:szCs w:val="22"/>
          <w:lang w:val="es-NI"/>
        </w:rPr>
        <w:t>Suministro eléctrico a baja tensión</w:t>
      </w:r>
      <w:bookmarkEnd w:id="909"/>
    </w:p>
    <w:p w14:paraId="3AAEE605" w14:textId="77777777" w:rsidR="001A4860" w:rsidRPr="001A4860" w:rsidRDefault="001A4860" w:rsidP="001A4860">
      <w:pPr>
        <w:rPr>
          <w:sz w:val="22"/>
          <w:szCs w:val="22"/>
          <w:lang w:val="es-ES" w:eastAsia="es-ES"/>
        </w:rPr>
      </w:pPr>
    </w:p>
    <w:p w14:paraId="62BB11A0" w14:textId="77777777" w:rsidR="001A4860" w:rsidRPr="001A4860" w:rsidRDefault="001A4860" w:rsidP="001A4860">
      <w:pPr>
        <w:rPr>
          <w:sz w:val="22"/>
          <w:szCs w:val="22"/>
          <w:lang w:val="es-ES" w:eastAsia="es-ES"/>
        </w:rPr>
      </w:pPr>
    </w:p>
    <w:p w14:paraId="3DA00FBA" w14:textId="77777777" w:rsidR="001A4860" w:rsidRPr="001A4860" w:rsidRDefault="001A4860" w:rsidP="001A4860">
      <w:pPr>
        <w:rPr>
          <w:sz w:val="22"/>
          <w:szCs w:val="22"/>
          <w:lang w:val="es-ES" w:eastAsia="es-ES"/>
        </w:rPr>
      </w:pPr>
      <w:r w:rsidRPr="001A4860">
        <w:rPr>
          <w:sz w:val="22"/>
          <w:szCs w:val="22"/>
          <w:lang w:val="es-ES" w:eastAsia="es-ES"/>
        </w:rPr>
        <w:t>La acometida en baja tensión, se realiza conforme los procedimientos constructivos empleados normalmente en la construcción de acometidas sujetas a poste y tramos soterrados.</w:t>
      </w:r>
    </w:p>
    <w:p w14:paraId="40881BED" w14:textId="77777777" w:rsidR="001A4860" w:rsidRPr="001A4860" w:rsidRDefault="001A4860" w:rsidP="001A4860">
      <w:pPr>
        <w:rPr>
          <w:sz w:val="22"/>
          <w:szCs w:val="22"/>
          <w:lang w:val="es-ES" w:eastAsia="es-ES"/>
        </w:rPr>
      </w:pPr>
    </w:p>
    <w:p w14:paraId="40A42645" w14:textId="77777777" w:rsidR="001A4860" w:rsidRPr="001A4860" w:rsidRDefault="001A4860" w:rsidP="001A4860">
      <w:pPr>
        <w:rPr>
          <w:sz w:val="22"/>
          <w:szCs w:val="22"/>
          <w:lang w:val="es-ES" w:eastAsia="es-ES"/>
        </w:rPr>
      </w:pPr>
      <w:r w:rsidRPr="001A4860">
        <w:rPr>
          <w:sz w:val="22"/>
          <w:szCs w:val="22"/>
          <w:lang w:val="es-ES" w:eastAsia="es-ES"/>
        </w:rPr>
        <w:t>La acometida es del tipo convencional sujeta a poste, tal como lo indica el diagrama unifilar, empleando conduits IMC en la parte sujeta a poste y conduits PVC Ced. H, en la parte soterrada, a fin de brindar una excelente protección a los conductos soterrados.  Se construirá protección mecánica en ahogo de concreto 2” en toda la periferia del conduit y a lo largo de todo su recorrido.   En la parte superior de la protección, se aplicará colorante rojo ladrillo.   El concreto de protección a emplear en estas protecciones contra daños mecánicos es de 2000 PSI.</w:t>
      </w:r>
    </w:p>
    <w:p w14:paraId="745CF05E" w14:textId="77777777" w:rsidR="001A4860" w:rsidRPr="001A4860" w:rsidRDefault="001A4860" w:rsidP="001A4860">
      <w:pPr>
        <w:rPr>
          <w:sz w:val="22"/>
          <w:szCs w:val="22"/>
          <w:lang w:val="es-ES" w:eastAsia="es-ES"/>
        </w:rPr>
      </w:pPr>
    </w:p>
    <w:p w14:paraId="2C7E350B" w14:textId="77777777" w:rsidR="001A4860" w:rsidRPr="001A4860" w:rsidRDefault="001A4860" w:rsidP="001A4860">
      <w:pPr>
        <w:rPr>
          <w:sz w:val="22"/>
          <w:szCs w:val="22"/>
          <w:lang w:val="es-ES" w:eastAsia="es-ES"/>
        </w:rPr>
      </w:pPr>
      <w:r w:rsidRPr="001A4860">
        <w:rPr>
          <w:sz w:val="22"/>
          <w:szCs w:val="22"/>
          <w:lang w:val="es-ES" w:eastAsia="es-ES"/>
        </w:rPr>
        <w:t>Los codos radio largo a emplear, es suministrados de fábrica.</w:t>
      </w:r>
    </w:p>
    <w:p w14:paraId="00C5BA3F" w14:textId="77777777" w:rsidR="001A4860" w:rsidRPr="001A4860" w:rsidRDefault="001A4860" w:rsidP="001A4860">
      <w:pPr>
        <w:rPr>
          <w:sz w:val="22"/>
          <w:szCs w:val="22"/>
          <w:lang w:val="es-ES" w:eastAsia="es-ES"/>
        </w:rPr>
      </w:pPr>
    </w:p>
    <w:p w14:paraId="3C86AECC" w14:textId="77777777" w:rsidR="001A4860" w:rsidRPr="001A4860" w:rsidRDefault="001A4860" w:rsidP="001A4860">
      <w:pPr>
        <w:rPr>
          <w:sz w:val="22"/>
          <w:szCs w:val="22"/>
          <w:lang w:val="es-ES" w:eastAsia="es-ES"/>
        </w:rPr>
      </w:pPr>
      <w:r w:rsidRPr="001A4860">
        <w:rPr>
          <w:sz w:val="22"/>
          <w:szCs w:val="22"/>
          <w:lang w:val="es-ES" w:eastAsia="es-ES"/>
        </w:rPr>
        <w:t>Debe emplearse talco simple o parafina especial, para facilitar todas las labores de canalizado de acometida, alimentadores y circuitos derivados.</w:t>
      </w:r>
    </w:p>
    <w:p w14:paraId="15EC8C86" w14:textId="77777777" w:rsidR="001A4860" w:rsidRPr="001A4860" w:rsidRDefault="001A4860" w:rsidP="001A4860">
      <w:pPr>
        <w:rPr>
          <w:sz w:val="22"/>
          <w:szCs w:val="22"/>
          <w:lang w:val="es-ES" w:eastAsia="es-ES"/>
        </w:rPr>
      </w:pPr>
    </w:p>
    <w:p w14:paraId="2ED7A967" w14:textId="77777777" w:rsidR="001A4860" w:rsidRPr="001A4860" w:rsidRDefault="001A4860" w:rsidP="001A4860">
      <w:pPr>
        <w:rPr>
          <w:sz w:val="22"/>
          <w:szCs w:val="22"/>
          <w:lang w:val="es-ES" w:eastAsia="es-ES"/>
        </w:rPr>
      </w:pPr>
      <w:r w:rsidRPr="001A4860">
        <w:rPr>
          <w:sz w:val="22"/>
          <w:szCs w:val="22"/>
          <w:lang w:val="es-ES" w:eastAsia="es-ES"/>
        </w:rPr>
        <w:t>Una vez realizado el entubado y canalizado de acometida, alimentadores y de los circuitos derivados, deben realizarse pruebas de aislamiento de los conductores mediante el empleo de MEGGER, con una tensión de prueba no menor de los 500Vdc.</w:t>
      </w:r>
    </w:p>
    <w:p w14:paraId="228A9B27" w14:textId="77777777" w:rsidR="001A4860" w:rsidRPr="001A4860" w:rsidRDefault="001A4860" w:rsidP="001A4860">
      <w:pPr>
        <w:rPr>
          <w:sz w:val="22"/>
          <w:szCs w:val="22"/>
          <w:lang w:val="es-ES" w:eastAsia="es-ES"/>
        </w:rPr>
      </w:pPr>
    </w:p>
    <w:p w14:paraId="3A6EECA1" w14:textId="77777777" w:rsidR="001A4860" w:rsidRPr="001A4860" w:rsidRDefault="001A4860" w:rsidP="001A4860">
      <w:pPr>
        <w:rPr>
          <w:sz w:val="22"/>
          <w:szCs w:val="22"/>
          <w:lang w:val="es-ES" w:eastAsia="es-ES"/>
        </w:rPr>
      </w:pPr>
      <w:r w:rsidRPr="001A4860">
        <w:rPr>
          <w:sz w:val="22"/>
          <w:szCs w:val="22"/>
          <w:lang w:val="es-ES" w:eastAsia="es-ES"/>
        </w:rPr>
        <w:t>Se exige el estricto cumplimiento de forma consistente en toda la instalación del código de colores normalizado para instalaciones trifásicas, el hilo de protección o de puesta a tierra en todos los sistemas debe ser perfectamente identificable.</w:t>
      </w:r>
    </w:p>
    <w:p w14:paraId="4C789E93" w14:textId="77777777" w:rsidR="001A4860" w:rsidRPr="001A4860" w:rsidRDefault="001A4860" w:rsidP="001A4860">
      <w:pPr>
        <w:rPr>
          <w:sz w:val="22"/>
          <w:szCs w:val="22"/>
          <w:lang w:val="es-ES" w:eastAsia="es-ES"/>
        </w:rPr>
      </w:pPr>
    </w:p>
    <w:p w14:paraId="4A684F2F" w14:textId="77777777" w:rsidR="001A4860" w:rsidRPr="001A4860" w:rsidRDefault="001A4860" w:rsidP="001A4860">
      <w:pPr>
        <w:rPr>
          <w:sz w:val="22"/>
          <w:szCs w:val="22"/>
          <w:lang w:val="es-ES" w:eastAsia="es-ES"/>
        </w:rPr>
      </w:pPr>
      <w:r w:rsidRPr="001A4860">
        <w:rPr>
          <w:sz w:val="22"/>
          <w:szCs w:val="22"/>
          <w:lang w:val="es-ES" w:eastAsia="es-ES"/>
        </w:rPr>
        <w:t>Todos los empalmes a realizar en el punto de acometida y la barra del secundario, se realizan mediante el empleo de conectores a compresión.</w:t>
      </w:r>
    </w:p>
    <w:p w14:paraId="1EB2997D" w14:textId="77777777" w:rsidR="001A4860" w:rsidRPr="001A4860" w:rsidRDefault="001A4860" w:rsidP="001A4860">
      <w:pPr>
        <w:rPr>
          <w:sz w:val="22"/>
          <w:szCs w:val="22"/>
          <w:lang w:val="es-ES" w:eastAsia="es-ES"/>
        </w:rPr>
      </w:pPr>
    </w:p>
    <w:p w14:paraId="44B71AF7" w14:textId="77777777" w:rsidR="001A4860" w:rsidRPr="001A4860" w:rsidRDefault="001A4860" w:rsidP="001A4860">
      <w:pPr>
        <w:rPr>
          <w:b/>
          <w:sz w:val="22"/>
          <w:szCs w:val="22"/>
          <w:lang w:val="es-ES" w:eastAsia="es-ES"/>
        </w:rPr>
      </w:pPr>
      <w:r w:rsidRPr="001A4860">
        <w:rPr>
          <w:b/>
          <w:sz w:val="22"/>
          <w:szCs w:val="22"/>
          <w:lang w:val="es-ES" w:eastAsia="es-ES"/>
        </w:rPr>
        <w:t>Centro de distribución y control</w:t>
      </w:r>
    </w:p>
    <w:p w14:paraId="3F92454E" w14:textId="77777777" w:rsidR="001A4860" w:rsidRPr="001A4860" w:rsidRDefault="001A4860" w:rsidP="001A4860">
      <w:pPr>
        <w:rPr>
          <w:sz w:val="22"/>
          <w:szCs w:val="22"/>
          <w:lang w:val="es-ES" w:eastAsia="es-ES"/>
        </w:rPr>
      </w:pPr>
    </w:p>
    <w:p w14:paraId="6979976D" w14:textId="77777777" w:rsidR="001A4860" w:rsidRPr="001A4860" w:rsidRDefault="001A4860" w:rsidP="001A4860">
      <w:pPr>
        <w:rPr>
          <w:sz w:val="22"/>
          <w:szCs w:val="22"/>
          <w:lang w:val="es-ES" w:eastAsia="es-ES"/>
        </w:rPr>
      </w:pPr>
      <w:r w:rsidRPr="001A4860">
        <w:rPr>
          <w:sz w:val="22"/>
          <w:szCs w:val="22"/>
          <w:lang w:val="es-ES" w:eastAsia="es-ES"/>
        </w:rPr>
        <w:t>Se suministran e instalan el Centro de Control y Distribución de forma integral y compacta, en el se alojarán el mando y control de los sistemás monofásicos a 3 hilos 120/240Vac propios de la estación de bombeo, así como los sistemás monofásicos propios de Iluminación y tomacorriente de uso general.</w:t>
      </w:r>
    </w:p>
    <w:p w14:paraId="78B3257C" w14:textId="77777777" w:rsidR="001A4860" w:rsidRPr="001A4860" w:rsidRDefault="001A4860" w:rsidP="001A4860">
      <w:pPr>
        <w:rPr>
          <w:sz w:val="22"/>
          <w:szCs w:val="22"/>
          <w:lang w:val="es-ES" w:eastAsia="es-ES"/>
        </w:rPr>
      </w:pPr>
    </w:p>
    <w:p w14:paraId="0BB1EDAD" w14:textId="77777777" w:rsidR="001A4860" w:rsidRPr="001A4860" w:rsidRDefault="001A4860" w:rsidP="001A4860">
      <w:pPr>
        <w:rPr>
          <w:sz w:val="22"/>
          <w:szCs w:val="22"/>
          <w:lang w:val="es-ES" w:eastAsia="es-ES"/>
        </w:rPr>
      </w:pPr>
      <w:r w:rsidRPr="001A4860">
        <w:rPr>
          <w:sz w:val="22"/>
          <w:szCs w:val="22"/>
          <w:lang w:val="es-ES" w:eastAsia="es-ES"/>
        </w:rPr>
        <w:t>El gabinete eléctrico tiene barra de tierra y barra de neutro, los interruptores disyuntores son conectados a las barras de fase, debiendo quedar balanceada la carga conforme el cuadro de balance de cargas presentado en planos constructivos.</w:t>
      </w:r>
    </w:p>
    <w:p w14:paraId="43F7C16A" w14:textId="77777777" w:rsidR="001A4860" w:rsidRPr="001A4860" w:rsidRDefault="001A4860" w:rsidP="001A4860">
      <w:pPr>
        <w:rPr>
          <w:sz w:val="22"/>
          <w:szCs w:val="22"/>
          <w:lang w:val="es-ES" w:eastAsia="es-ES"/>
        </w:rPr>
      </w:pPr>
    </w:p>
    <w:p w14:paraId="12C3E8DC" w14:textId="77777777" w:rsidR="001A4860" w:rsidRPr="001A4860" w:rsidRDefault="001A4860" w:rsidP="001A4860">
      <w:pPr>
        <w:rPr>
          <w:sz w:val="22"/>
          <w:szCs w:val="22"/>
          <w:lang w:val="es-ES" w:eastAsia="es-ES"/>
        </w:rPr>
      </w:pPr>
      <w:r w:rsidRPr="001A4860">
        <w:rPr>
          <w:sz w:val="22"/>
          <w:szCs w:val="22"/>
          <w:lang w:val="es-ES" w:eastAsia="es-ES"/>
        </w:rPr>
        <w:t>En la puerta de cada sección del panel se colocará una lista escrita a máquina identificando cada circuito con la carga que alimenta. Todos los dispositivos de protección son del tipo termo-magnético a 60 CPS y de las capacidades señaladas, no deben tener una capacidad interruptiva menor a los 20,000</w:t>
      </w:r>
    </w:p>
    <w:p w14:paraId="00C9023D" w14:textId="77777777" w:rsidR="001A4860" w:rsidRPr="001A4860" w:rsidRDefault="001A4860" w:rsidP="001A4860">
      <w:pPr>
        <w:rPr>
          <w:sz w:val="22"/>
          <w:szCs w:val="22"/>
          <w:lang w:val="es-ES" w:eastAsia="es-ES"/>
        </w:rPr>
      </w:pPr>
      <w:r w:rsidRPr="001A4860">
        <w:rPr>
          <w:sz w:val="22"/>
          <w:szCs w:val="22"/>
          <w:lang w:val="es-ES" w:eastAsia="es-ES"/>
        </w:rPr>
        <w:t>Amperios en régimen de cortocircuito.</w:t>
      </w:r>
    </w:p>
    <w:p w14:paraId="3A67881F" w14:textId="77777777" w:rsidR="001A4860" w:rsidRPr="001A4860" w:rsidRDefault="001A4860" w:rsidP="001A4860">
      <w:pPr>
        <w:rPr>
          <w:sz w:val="22"/>
          <w:szCs w:val="22"/>
          <w:lang w:val="es-ES" w:eastAsia="es-ES"/>
        </w:rPr>
      </w:pPr>
    </w:p>
    <w:p w14:paraId="30DDDC50" w14:textId="77777777" w:rsidR="001A4860" w:rsidRPr="001A4860" w:rsidRDefault="001A4860" w:rsidP="001A4860">
      <w:pPr>
        <w:rPr>
          <w:sz w:val="22"/>
          <w:szCs w:val="22"/>
          <w:lang w:val="es-ES" w:eastAsia="es-ES"/>
        </w:rPr>
      </w:pPr>
      <w:r w:rsidRPr="001A4860">
        <w:rPr>
          <w:sz w:val="22"/>
          <w:szCs w:val="22"/>
          <w:lang w:val="es-ES" w:eastAsia="es-ES"/>
        </w:rPr>
        <w:t>Todas las etapas del C.C.D deben ser rotuladas en forma visible y permanente para la identificación de los circuitos derivados, alimentadores, mando, control y protección.</w:t>
      </w:r>
    </w:p>
    <w:p w14:paraId="4A59C034" w14:textId="77777777" w:rsidR="001A4860" w:rsidRPr="001A4860" w:rsidRDefault="001A4860" w:rsidP="001A4860">
      <w:pPr>
        <w:rPr>
          <w:sz w:val="22"/>
          <w:szCs w:val="22"/>
          <w:lang w:val="es-ES" w:eastAsia="es-ES"/>
        </w:rPr>
      </w:pPr>
    </w:p>
    <w:p w14:paraId="702F6E3E" w14:textId="77777777" w:rsidR="001A4860" w:rsidRPr="001A4860" w:rsidRDefault="001A4860" w:rsidP="001A4860">
      <w:pPr>
        <w:rPr>
          <w:sz w:val="22"/>
          <w:szCs w:val="22"/>
          <w:lang w:val="es-ES" w:eastAsia="es-ES"/>
        </w:rPr>
      </w:pPr>
      <w:r w:rsidRPr="001A4860">
        <w:rPr>
          <w:sz w:val="22"/>
          <w:szCs w:val="22"/>
          <w:lang w:val="es-ES" w:eastAsia="es-ES"/>
        </w:rPr>
        <w:t>Se suministra al Contratante dos juegos de instrucciones de operación de los equipos y de mantenimiento apropiado. Si los panfletos instructivos del fabricante no son en español, deben traducirse y se presentarán ambos ejemplares.</w:t>
      </w:r>
    </w:p>
    <w:p w14:paraId="66A53B2E" w14:textId="77777777" w:rsidR="001A4860" w:rsidRPr="001A4860" w:rsidRDefault="001A4860" w:rsidP="001A4860">
      <w:pPr>
        <w:rPr>
          <w:sz w:val="22"/>
          <w:szCs w:val="22"/>
          <w:lang w:val="es-ES" w:eastAsia="es-ES"/>
        </w:rPr>
      </w:pPr>
    </w:p>
    <w:p w14:paraId="6BDC3AE3" w14:textId="77777777" w:rsidR="001A4860" w:rsidRPr="001A4860" w:rsidRDefault="001A4860" w:rsidP="001A4860">
      <w:pPr>
        <w:rPr>
          <w:sz w:val="22"/>
          <w:szCs w:val="22"/>
          <w:lang w:val="es-ES" w:eastAsia="es-ES"/>
        </w:rPr>
      </w:pPr>
      <w:r w:rsidRPr="001A4860">
        <w:rPr>
          <w:sz w:val="22"/>
          <w:szCs w:val="22"/>
          <w:lang w:val="es-ES" w:eastAsia="es-ES"/>
        </w:rPr>
        <w:t>El Centro de Control y Distribución a instalar, controlará integralmente todos los circuitos de la estación proyectada, a una tensión de servicio 120/240Vac. Este Centro de Control y Distribución traerá integrado de fábrica un Relé de Protección integral Wattsco.</w:t>
      </w:r>
    </w:p>
    <w:p w14:paraId="7ACBF4DF" w14:textId="77777777" w:rsidR="001A4860" w:rsidRPr="001A4860" w:rsidRDefault="001A4860" w:rsidP="001A4860">
      <w:pPr>
        <w:rPr>
          <w:sz w:val="22"/>
          <w:szCs w:val="22"/>
          <w:lang w:val="es-ES" w:eastAsia="es-ES"/>
        </w:rPr>
      </w:pPr>
    </w:p>
    <w:p w14:paraId="7D7E0A1E" w14:textId="77777777" w:rsidR="001A4860" w:rsidRPr="001A4860" w:rsidRDefault="001A4860" w:rsidP="001A4860">
      <w:pPr>
        <w:rPr>
          <w:sz w:val="22"/>
          <w:szCs w:val="22"/>
          <w:lang w:val="es-ES" w:eastAsia="es-ES"/>
        </w:rPr>
      </w:pPr>
      <w:r w:rsidRPr="001A4860">
        <w:rPr>
          <w:sz w:val="22"/>
          <w:szCs w:val="22"/>
          <w:lang w:val="es-ES" w:eastAsia="es-ES"/>
        </w:rPr>
        <w:lastRenderedPageBreak/>
        <w:t>La unidad es ensamblada, alambrada y probada en fábrica a fin de que no se requiera más conexión que la del suministro de energía eléctrica y las de carga para su instalación.  Tanto para La Fuerza como los Sistemas de Mando. Debe suministrarse con la oferta una copia del circuito de fuerza y del circuito de mando del arrancador y del Centro de Control y Distribución, durante la etapa de sumisión de los materiales.</w:t>
      </w:r>
    </w:p>
    <w:p w14:paraId="67570B85" w14:textId="77777777" w:rsidR="001A4860" w:rsidRPr="001A4860" w:rsidRDefault="001A4860" w:rsidP="001A4860">
      <w:pPr>
        <w:rPr>
          <w:sz w:val="22"/>
          <w:szCs w:val="22"/>
          <w:lang w:val="es-ES" w:eastAsia="es-ES"/>
        </w:rPr>
      </w:pPr>
    </w:p>
    <w:p w14:paraId="1161D971" w14:textId="77777777" w:rsidR="001A4860" w:rsidRPr="001A4860" w:rsidRDefault="001A4860" w:rsidP="001A4860">
      <w:pPr>
        <w:rPr>
          <w:sz w:val="22"/>
          <w:szCs w:val="22"/>
          <w:lang w:val="es-ES" w:eastAsia="es-ES"/>
        </w:rPr>
      </w:pPr>
      <w:r w:rsidRPr="001A4860">
        <w:rPr>
          <w:sz w:val="22"/>
          <w:szCs w:val="22"/>
          <w:lang w:val="es-ES" w:eastAsia="es-ES"/>
        </w:rPr>
        <w:t>El circuito de mando del arrancador magnético es de 120 voltios y contará con su respectiva protección contra cortocircuito por medio de interruptores termo magnéticos que también deben proteger todos los elementos conectados al circuito de fuerza. Todo esto se entiende, son componentes internos del Centro de Control y Distribución. El cual contará con los componentes siguientes: Breaker de Protección de la máquina en correspondencia a la carga, según normas; Relé de Protección Integral que interrumpa el suministro eléctrico a la estación de bombeo ante irregularidades en el abastecimiento de energía; Pararrayo Secundario en el M.B. del Centro de Control y Distribución, con características de respuesta de 25Nanosegundos – 100Ka; Hidronivel de máximo y mínimo de bombeo, similar al Sistema Patriot.</w:t>
      </w:r>
    </w:p>
    <w:p w14:paraId="71DF7BA5" w14:textId="77777777" w:rsidR="001A4860" w:rsidRPr="001A4860" w:rsidRDefault="001A4860" w:rsidP="001A4860">
      <w:pPr>
        <w:rPr>
          <w:sz w:val="22"/>
          <w:szCs w:val="22"/>
          <w:lang w:val="es-ES" w:eastAsia="es-ES"/>
        </w:rPr>
      </w:pPr>
    </w:p>
    <w:p w14:paraId="2597609B" w14:textId="77777777" w:rsidR="001A4860" w:rsidRPr="001A4860" w:rsidRDefault="001A4860" w:rsidP="001A4860">
      <w:pPr>
        <w:keepNext/>
        <w:ind w:left="720" w:hanging="720"/>
        <w:outlineLvl w:val="2"/>
        <w:rPr>
          <w:rFonts w:eastAsia="Arial Narrow"/>
          <w:b/>
          <w:bCs/>
          <w:iCs/>
          <w:sz w:val="22"/>
          <w:szCs w:val="22"/>
          <w:lang w:val="es-ES" w:bidi="en-US"/>
        </w:rPr>
      </w:pPr>
      <w:bookmarkStart w:id="910" w:name="_Toc23249508"/>
      <w:r w:rsidRPr="001A4860">
        <w:rPr>
          <w:rFonts w:eastAsia="Arial Narrow"/>
          <w:b/>
          <w:bCs/>
          <w:iCs/>
          <w:sz w:val="22"/>
          <w:szCs w:val="22"/>
          <w:lang w:val="es-ES" w:bidi="en-US"/>
        </w:rPr>
        <w:t>Arrancador magnético</w:t>
      </w:r>
      <w:bookmarkEnd w:id="910"/>
    </w:p>
    <w:p w14:paraId="3B61D0EF" w14:textId="77777777" w:rsidR="001A4860" w:rsidRPr="001A4860" w:rsidRDefault="001A4860" w:rsidP="001A4860">
      <w:pPr>
        <w:rPr>
          <w:sz w:val="22"/>
          <w:szCs w:val="22"/>
          <w:lang w:val="es-ES" w:eastAsia="es-ES"/>
        </w:rPr>
      </w:pPr>
    </w:p>
    <w:p w14:paraId="32992443" w14:textId="77777777" w:rsidR="001A4860" w:rsidRPr="001A4860" w:rsidRDefault="001A4860" w:rsidP="001A4860">
      <w:pPr>
        <w:rPr>
          <w:sz w:val="22"/>
          <w:szCs w:val="22"/>
          <w:lang w:val="es-ES" w:eastAsia="es-ES"/>
        </w:rPr>
      </w:pPr>
      <w:r w:rsidRPr="001A4860">
        <w:rPr>
          <w:sz w:val="22"/>
          <w:szCs w:val="22"/>
          <w:lang w:val="es-ES" w:eastAsia="es-ES"/>
        </w:rPr>
        <w:t>Se utiliza un arrancador magnético tipo arranque a tensión completa, el que se localiza en el interior del gabinete o mueble electrotécnico.</w:t>
      </w:r>
    </w:p>
    <w:p w14:paraId="3810E419" w14:textId="77777777" w:rsidR="001A4860" w:rsidRPr="001A4860" w:rsidRDefault="001A4860" w:rsidP="001A4860">
      <w:pPr>
        <w:rPr>
          <w:sz w:val="22"/>
          <w:szCs w:val="22"/>
          <w:lang w:val="es-ES" w:eastAsia="es-ES"/>
        </w:rPr>
      </w:pPr>
    </w:p>
    <w:p w14:paraId="7B0B710A" w14:textId="77777777" w:rsidR="001A4860" w:rsidRPr="001A4860" w:rsidRDefault="001A4860" w:rsidP="001A4860">
      <w:pPr>
        <w:rPr>
          <w:sz w:val="22"/>
          <w:szCs w:val="22"/>
          <w:lang w:val="es-ES" w:eastAsia="es-ES"/>
        </w:rPr>
      </w:pPr>
      <w:r w:rsidRPr="001A4860">
        <w:rPr>
          <w:sz w:val="22"/>
          <w:szCs w:val="22"/>
          <w:lang w:val="es-ES" w:eastAsia="es-ES"/>
        </w:rPr>
        <w:t>La capacidad de este arrancador magnético a tensión reducida por auto transformador es de 2.0 H.P. a 240 Vac.</w:t>
      </w:r>
    </w:p>
    <w:p w14:paraId="00FC844C" w14:textId="77777777" w:rsidR="001A4860" w:rsidRPr="001A4860" w:rsidRDefault="001A4860" w:rsidP="001A4860">
      <w:pPr>
        <w:rPr>
          <w:sz w:val="22"/>
          <w:szCs w:val="22"/>
          <w:lang w:val="es-ES" w:eastAsia="es-ES"/>
        </w:rPr>
      </w:pPr>
    </w:p>
    <w:p w14:paraId="726C0E3B" w14:textId="77777777" w:rsidR="001A4860" w:rsidRPr="001A4860" w:rsidRDefault="001A4860" w:rsidP="001A4860">
      <w:pPr>
        <w:rPr>
          <w:sz w:val="22"/>
          <w:szCs w:val="22"/>
          <w:lang w:val="es-ES" w:eastAsia="es-ES"/>
        </w:rPr>
      </w:pPr>
      <w:r w:rsidRPr="001A4860">
        <w:rPr>
          <w:sz w:val="22"/>
          <w:szCs w:val="22"/>
          <w:lang w:val="es-ES" w:eastAsia="es-ES"/>
        </w:rPr>
        <w:t>El arrancador magnético debe cumplir con las normas NEMA, El Arrancador se localiza en el mismo ambiente del Centro de Control y Distribución y siendo parte integrante del mismo, que controla de forma centralizada todos los circuitos de la estación de bombeo. Su arranque y paro es de forma manual y a discreción del operador en correspondencia al régimen de trabajo. Como protección adicional al equipo de bombeo, el arrancador a tensión completa debe contar con protector de sobre carga de acuerdo a la capacidad del motor.</w:t>
      </w:r>
    </w:p>
    <w:p w14:paraId="366AD73C" w14:textId="77777777" w:rsidR="001A4860" w:rsidRPr="001A4860" w:rsidRDefault="001A4860" w:rsidP="001A4860">
      <w:pPr>
        <w:rPr>
          <w:sz w:val="22"/>
          <w:szCs w:val="22"/>
          <w:lang w:val="es-ES" w:eastAsia="es-ES"/>
        </w:rPr>
      </w:pPr>
    </w:p>
    <w:p w14:paraId="3BCFEA18" w14:textId="77777777" w:rsidR="001A4860" w:rsidRPr="001A4860" w:rsidRDefault="001A4860" w:rsidP="001A4860">
      <w:pPr>
        <w:rPr>
          <w:sz w:val="22"/>
          <w:szCs w:val="22"/>
          <w:lang w:val="es-ES" w:eastAsia="es-ES"/>
        </w:rPr>
      </w:pPr>
      <w:r w:rsidRPr="001A4860">
        <w:rPr>
          <w:sz w:val="22"/>
          <w:szCs w:val="22"/>
          <w:lang w:val="es-ES" w:eastAsia="es-ES"/>
        </w:rPr>
        <w:t>Para efectos de protección a la bomba, se instalan sondas de Máximo y Mínimo de Bombeo, similares al sistema Patriot. El relé de este elemento de protección, se instala en CCD, gobernando la Bobina del Arrancador Magnético a Tensión Completa de Capacidad de 2.0 HP - 1Ø – 240V.</w:t>
      </w:r>
    </w:p>
    <w:p w14:paraId="325477A2" w14:textId="77777777" w:rsidR="001A4860" w:rsidRPr="001A4860" w:rsidRDefault="001A4860" w:rsidP="001A4860">
      <w:pPr>
        <w:rPr>
          <w:sz w:val="22"/>
          <w:szCs w:val="22"/>
          <w:lang w:val="es-ES" w:eastAsia="es-ES"/>
        </w:rPr>
      </w:pPr>
    </w:p>
    <w:p w14:paraId="6D7E3E51" w14:textId="77777777" w:rsidR="001A4860" w:rsidRPr="001A4860" w:rsidRDefault="001A4860" w:rsidP="001A4860">
      <w:pPr>
        <w:rPr>
          <w:sz w:val="22"/>
          <w:szCs w:val="22"/>
          <w:lang w:val="es-ES" w:eastAsia="es-ES"/>
        </w:rPr>
      </w:pPr>
    </w:p>
    <w:p w14:paraId="1F2999AC" w14:textId="77777777" w:rsidR="001A4860" w:rsidRPr="001A4860" w:rsidRDefault="001A4860" w:rsidP="001A4860">
      <w:pPr>
        <w:rPr>
          <w:sz w:val="22"/>
          <w:szCs w:val="22"/>
          <w:lang w:val="es-ES" w:eastAsia="es-ES"/>
        </w:rPr>
      </w:pPr>
      <w:r w:rsidRPr="001A4860">
        <w:rPr>
          <w:sz w:val="22"/>
          <w:szCs w:val="22"/>
          <w:lang w:val="es-ES" w:eastAsia="es-ES"/>
        </w:rPr>
        <w:t>Se utilizan arrancadores magnéticos tipo directo, no reversible para el sistema de bombeo. Los arrancadores magnéticos deben cumplir con las normas NEMA 1.</w:t>
      </w:r>
    </w:p>
    <w:p w14:paraId="19F912DC" w14:textId="77777777" w:rsidR="001A4860" w:rsidRPr="001A4860" w:rsidRDefault="001A4860" w:rsidP="001A4860">
      <w:pPr>
        <w:rPr>
          <w:sz w:val="22"/>
          <w:szCs w:val="22"/>
          <w:lang w:val="es-ES" w:eastAsia="es-ES"/>
        </w:rPr>
      </w:pPr>
    </w:p>
    <w:p w14:paraId="03553E51" w14:textId="77777777" w:rsidR="001A4860" w:rsidRPr="001A4860" w:rsidRDefault="001A4860" w:rsidP="001A4860">
      <w:pPr>
        <w:rPr>
          <w:sz w:val="22"/>
          <w:szCs w:val="22"/>
          <w:lang w:val="es-ES" w:eastAsia="es-ES"/>
        </w:rPr>
      </w:pPr>
      <w:r w:rsidRPr="001A4860">
        <w:rPr>
          <w:sz w:val="22"/>
          <w:szCs w:val="22"/>
          <w:lang w:val="es-ES" w:eastAsia="es-ES"/>
        </w:rPr>
        <w:t>Todas las unidades son ensambladas, alambradas y probadas en fábrica para evitar requerimientos de más conexiones que la del suministro de energía eléctrica, las de carga, de mando y control para su instalación. Se requiere que con las ofertas venga una copia del circuito de fuerza y del circuito de mando de cada uno de los arrancadores. Asimismo, cada arrancador debe estar provisto de un interruptor termomagnético, tipo ajustable, que proteja al motor de sobrecargas térmicas y corrientes de cortocircuito.</w:t>
      </w:r>
    </w:p>
    <w:p w14:paraId="78446C55" w14:textId="77777777" w:rsidR="001A4860" w:rsidRPr="001A4860" w:rsidRDefault="001A4860" w:rsidP="001A4860">
      <w:pPr>
        <w:rPr>
          <w:sz w:val="22"/>
          <w:szCs w:val="22"/>
          <w:lang w:val="es-ES" w:eastAsia="es-ES"/>
        </w:rPr>
      </w:pPr>
    </w:p>
    <w:p w14:paraId="73FD00F3" w14:textId="77777777" w:rsidR="001A4860" w:rsidRPr="001A4860" w:rsidRDefault="001A4860" w:rsidP="001A4860">
      <w:pPr>
        <w:rPr>
          <w:sz w:val="22"/>
          <w:szCs w:val="22"/>
          <w:lang w:val="es-ES" w:eastAsia="es-ES"/>
        </w:rPr>
      </w:pPr>
      <w:r w:rsidRPr="001A4860">
        <w:rPr>
          <w:sz w:val="22"/>
          <w:szCs w:val="22"/>
          <w:lang w:val="es-ES" w:eastAsia="es-ES"/>
        </w:rPr>
        <w:t>Este interruptor debe reaccionar rápidamente si llegara a sobrepasarse la temperatura límite del motor, aunque debe permitir intensidades de arranque y sobre intensidades de corta duración. Además, debe contar con disparadores ajustables, térmicamente retardados, que puedan graduarse a la intensidad nominal o de servicio del motor.  También debe tener disparadores electromagnéticos fijos, sin retardo, para que actúen inmediatamente al originarse un corto circuito, pero que no reaccionen ante la intensidad del arranque del motor.</w:t>
      </w:r>
    </w:p>
    <w:p w14:paraId="4C1A55CD" w14:textId="77777777" w:rsidR="001A4860" w:rsidRPr="001A4860" w:rsidRDefault="001A4860" w:rsidP="001A4860">
      <w:pPr>
        <w:rPr>
          <w:sz w:val="22"/>
          <w:szCs w:val="22"/>
          <w:lang w:val="es-ES" w:eastAsia="es-ES"/>
        </w:rPr>
      </w:pPr>
    </w:p>
    <w:p w14:paraId="295A6620" w14:textId="77777777" w:rsidR="001A4860" w:rsidRPr="001A4860" w:rsidRDefault="001A4860" w:rsidP="001A4860">
      <w:pPr>
        <w:rPr>
          <w:sz w:val="22"/>
          <w:szCs w:val="22"/>
          <w:lang w:val="es-ES" w:eastAsia="es-ES"/>
        </w:rPr>
      </w:pPr>
      <w:r w:rsidRPr="001A4860">
        <w:rPr>
          <w:sz w:val="22"/>
          <w:szCs w:val="22"/>
          <w:lang w:val="es-ES" w:eastAsia="es-ES"/>
        </w:rPr>
        <w:lastRenderedPageBreak/>
        <w:t>El circuito de mando de los arrancadores magnéticos es de 120 voltios, conectado a través de línea y neutro. Deben tener su respectiva protección contra cortocircuito.</w:t>
      </w:r>
    </w:p>
    <w:p w14:paraId="0C0CAC80" w14:textId="77777777" w:rsidR="001A4860" w:rsidRPr="001A4860" w:rsidRDefault="001A4860" w:rsidP="001A4860">
      <w:pPr>
        <w:rPr>
          <w:sz w:val="22"/>
          <w:szCs w:val="22"/>
          <w:lang w:val="es-ES" w:eastAsia="es-ES"/>
        </w:rPr>
      </w:pPr>
    </w:p>
    <w:p w14:paraId="5D4259EE" w14:textId="77777777" w:rsidR="001A4860" w:rsidRPr="001A4860" w:rsidRDefault="001A4860" w:rsidP="001A4860">
      <w:pPr>
        <w:rPr>
          <w:sz w:val="22"/>
          <w:szCs w:val="22"/>
          <w:lang w:val="es-ES" w:eastAsia="es-ES"/>
        </w:rPr>
      </w:pPr>
      <w:r w:rsidRPr="001A4860">
        <w:rPr>
          <w:sz w:val="22"/>
          <w:szCs w:val="22"/>
          <w:lang w:val="es-ES" w:eastAsia="es-ES"/>
        </w:rPr>
        <w:t>Cada arrancador magnético debe constar de una protección contra sobrecarga, por medio de relé térmico del tipo ajustable seleccionado de acuerdo a la intensidad nominal o de servicio del motor.</w:t>
      </w:r>
    </w:p>
    <w:p w14:paraId="5580D87A" w14:textId="77777777" w:rsidR="001A4860" w:rsidRPr="001A4860" w:rsidRDefault="001A4860" w:rsidP="001A4860">
      <w:pPr>
        <w:rPr>
          <w:sz w:val="22"/>
          <w:szCs w:val="22"/>
          <w:lang w:val="es-ES" w:eastAsia="es-ES"/>
        </w:rPr>
      </w:pPr>
    </w:p>
    <w:p w14:paraId="4AFD9211" w14:textId="77777777" w:rsidR="001A4860" w:rsidRPr="001A4860" w:rsidRDefault="001A4860" w:rsidP="001A4860">
      <w:pPr>
        <w:rPr>
          <w:sz w:val="22"/>
          <w:szCs w:val="22"/>
          <w:lang w:val="es-ES" w:eastAsia="es-ES"/>
        </w:rPr>
      </w:pPr>
      <w:r w:rsidRPr="001A4860">
        <w:rPr>
          <w:sz w:val="22"/>
          <w:szCs w:val="22"/>
          <w:lang w:val="es-ES" w:eastAsia="es-ES"/>
        </w:rPr>
        <w:t>Las puertas del Centro de Control y Distribución deben estar provistas de lo siguiente:  Un amperímetro de hierro móvil con escala apropiada de acuerdo a la corriente del Centro de Control y Distribución, con su respectivo selector de fase; Un voltímetro con escala apropiada de acuerdo a la tensión de operación del Centro de Control y Distribución, con su respectivo selector de fase y elemento de protección.</w:t>
      </w:r>
    </w:p>
    <w:p w14:paraId="7CD97688" w14:textId="77777777" w:rsidR="001A4860" w:rsidRPr="001A4860" w:rsidRDefault="001A4860" w:rsidP="001A4860">
      <w:pPr>
        <w:rPr>
          <w:sz w:val="22"/>
          <w:szCs w:val="22"/>
          <w:lang w:val="es-ES" w:eastAsia="es-ES"/>
        </w:rPr>
      </w:pPr>
    </w:p>
    <w:p w14:paraId="3DA52FE0" w14:textId="77777777" w:rsidR="001A4860" w:rsidRPr="001A4860" w:rsidRDefault="001A4860" w:rsidP="001A4860">
      <w:pPr>
        <w:rPr>
          <w:sz w:val="22"/>
          <w:szCs w:val="22"/>
          <w:lang w:val="es-ES" w:eastAsia="es-ES"/>
        </w:rPr>
      </w:pPr>
      <w:r w:rsidRPr="001A4860">
        <w:rPr>
          <w:sz w:val="22"/>
          <w:szCs w:val="22"/>
          <w:lang w:val="es-ES" w:eastAsia="es-ES"/>
        </w:rPr>
        <w:t>Todos los elementos componentes del C.C.D son tropicalizados, protegiéndolos contra la humedad y hongos. Cada arrancador y el C.C.D se limpia interna y externamente en su totalidad después de su fabricación e instalación.</w:t>
      </w:r>
    </w:p>
    <w:p w14:paraId="052A7095" w14:textId="77777777" w:rsidR="001A4860" w:rsidRPr="001A4860" w:rsidRDefault="001A4860" w:rsidP="001A4860">
      <w:pPr>
        <w:rPr>
          <w:sz w:val="22"/>
          <w:szCs w:val="22"/>
          <w:lang w:val="es-ES" w:eastAsia="es-ES"/>
        </w:rPr>
      </w:pPr>
    </w:p>
    <w:p w14:paraId="482DAD30" w14:textId="77777777" w:rsidR="001A4860" w:rsidRPr="001A4860" w:rsidRDefault="001A4860" w:rsidP="001A4860">
      <w:pPr>
        <w:keepNext/>
        <w:ind w:left="720" w:hanging="720"/>
        <w:outlineLvl w:val="2"/>
        <w:rPr>
          <w:rFonts w:eastAsia="Arial Narrow"/>
          <w:b/>
          <w:bCs/>
          <w:iCs/>
          <w:sz w:val="22"/>
          <w:szCs w:val="22"/>
          <w:lang w:val="es-ES" w:bidi="en-US"/>
        </w:rPr>
      </w:pPr>
      <w:bookmarkStart w:id="911" w:name="_Toc23249509"/>
      <w:r w:rsidRPr="001A4860">
        <w:rPr>
          <w:rFonts w:eastAsia="Arial Narrow"/>
          <w:b/>
          <w:bCs/>
          <w:iCs/>
          <w:sz w:val="22"/>
          <w:szCs w:val="22"/>
          <w:lang w:val="es-ES" w:bidi="en-US"/>
        </w:rPr>
        <w:t>Canalización</w:t>
      </w:r>
      <w:bookmarkEnd w:id="911"/>
    </w:p>
    <w:p w14:paraId="1B59F8F6" w14:textId="77777777" w:rsidR="001A4860" w:rsidRPr="001A4860" w:rsidRDefault="001A4860" w:rsidP="001A4860">
      <w:pPr>
        <w:rPr>
          <w:sz w:val="22"/>
          <w:szCs w:val="22"/>
          <w:lang w:val="es-ES" w:eastAsia="es-ES"/>
        </w:rPr>
      </w:pPr>
    </w:p>
    <w:p w14:paraId="65B0A5C5" w14:textId="77777777" w:rsidR="001A4860" w:rsidRPr="001A4860" w:rsidRDefault="001A4860" w:rsidP="001A4860">
      <w:pPr>
        <w:rPr>
          <w:sz w:val="22"/>
          <w:szCs w:val="22"/>
          <w:lang w:val="es-ES" w:eastAsia="es-ES"/>
        </w:rPr>
      </w:pPr>
      <w:r w:rsidRPr="001A4860">
        <w:rPr>
          <w:sz w:val="22"/>
          <w:szCs w:val="22"/>
          <w:lang w:val="es-ES" w:eastAsia="es-ES"/>
        </w:rPr>
        <w:t>Todos los conductores eléctricos deben ser instalados en conduits del diámetro indicado en cuadros de paneles; todo conduit a instalar debe llevar en cada sección la marca o identificación del fabricante.</w:t>
      </w:r>
    </w:p>
    <w:p w14:paraId="44D45D71" w14:textId="77777777" w:rsidR="001A4860" w:rsidRPr="001A4860" w:rsidRDefault="001A4860" w:rsidP="001A4860">
      <w:pPr>
        <w:rPr>
          <w:sz w:val="22"/>
          <w:szCs w:val="22"/>
          <w:lang w:val="es-ES" w:eastAsia="es-ES"/>
        </w:rPr>
      </w:pPr>
    </w:p>
    <w:p w14:paraId="2211A0F4" w14:textId="77777777" w:rsidR="001A4860" w:rsidRPr="001A4860" w:rsidRDefault="001A4860" w:rsidP="001A4860">
      <w:pPr>
        <w:rPr>
          <w:sz w:val="22"/>
          <w:szCs w:val="22"/>
          <w:lang w:val="es-ES" w:eastAsia="es-ES"/>
        </w:rPr>
      </w:pPr>
      <w:r w:rsidRPr="001A4860">
        <w:rPr>
          <w:sz w:val="22"/>
          <w:szCs w:val="22"/>
          <w:lang w:val="es-ES" w:eastAsia="es-ES"/>
        </w:rPr>
        <w:t>Los tubos deben ser del diámetro necesario para acomodar los conductores, todo de acuerdo a los códigos de la República de Nicaragua, a menos que en los planos o especificaciones se indique lo contrario.  Ningún conduit puede tener un diámetro inferior a ½” y toda junta es hermética a prueba de agua, asegurando que queden firmes y seguras.</w:t>
      </w:r>
    </w:p>
    <w:p w14:paraId="19586F82" w14:textId="77777777" w:rsidR="001A4860" w:rsidRPr="001A4860" w:rsidRDefault="001A4860" w:rsidP="001A4860">
      <w:pPr>
        <w:rPr>
          <w:sz w:val="22"/>
          <w:szCs w:val="22"/>
          <w:lang w:val="es-ES" w:eastAsia="es-ES"/>
        </w:rPr>
      </w:pPr>
    </w:p>
    <w:p w14:paraId="70BA90E9" w14:textId="77777777" w:rsidR="001A4860" w:rsidRPr="001A4860" w:rsidRDefault="001A4860" w:rsidP="001A4860">
      <w:pPr>
        <w:rPr>
          <w:sz w:val="22"/>
          <w:szCs w:val="22"/>
          <w:lang w:val="es-ES" w:eastAsia="es-ES"/>
        </w:rPr>
      </w:pPr>
      <w:r w:rsidRPr="001A4860">
        <w:rPr>
          <w:sz w:val="22"/>
          <w:szCs w:val="22"/>
          <w:lang w:val="es-ES" w:eastAsia="es-ES"/>
        </w:rPr>
        <w:t>Toda la instalación de tuberías de canalización debe ser corrida de tal manera que libre aberturas en pisos, los tubos de plomería y demás conductos de otras artes y que no debilite o interfiera con la estructura.</w:t>
      </w:r>
    </w:p>
    <w:p w14:paraId="40562DCF" w14:textId="77777777" w:rsidR="001A4860" w:rsidRPr="001A4860" w:rsidRDefault="001A4860" w:rsidP="001A4860">
      <w:pPr>
        <w:rPr>
          <w:sz w:val="22"/>
          <w:szCs w:val="22"/>
          <w:lang w:val="es-ES" w:eastAsia="es-ES"/>
        </w:rPr>
      </w:pPr>
    </w:p>
    <w:p w14:paraId="45283F15" w14:textId="77777777" w:rsidR="001A4860" w:rsidRPr="001A4860" w:rsidRDefault="001A4860" w:rsidP="001A4860">
      <w:pPr>
        <w:rPr>
          <w:sz w:val="22"/>
          <w:szCs w:val="22"/>
          <w:lang w:val="es-ES" w:eastAsia="es-ES"/>
        </w:rPr>
      </w:pPr>
      <w:r w:rsidRPr="001A4860">
        <w:rPr>
          <w:sz w:val="22"/>
          <w:szCs w:val="22"/>
          <w:lang w:val="es-ES" w:eastAsia="es-ES"/>
        </w:rPr>
        <w:t>La fijación de los conduits, cajas de salida y paneles deben contar con la aprobación del Supervisor, en especial la fijación del Centro de Control de Motores y las salidas eléctricas a los motores de los equipos de bombeo.</w:t>
      </w:r>
    </w:p>
    <w:p w14:paraId="3408DD26" w14:textId="77777777" w:rsidR="001A4860" w:rsidRPr="001A4860" w:rsidRDefault="001A4860" w:rsidP="001A4860">
      <w:pPr>
        <w:rPr>
          <w:sz w:val="22"/>
          <w:szCs w:val="22"/>
          <w:lang w:val="es-ES" w:eastAsia="es-ES"/>
        </w:rPr>
      </w:pPr>
    </w:p>
    <w:p w14:paraId="5318D072" w14:textId="77777777" w:rsidR="001A4860" w:rsidRPr="001A4860" w:rsidRDefault="001A4860" w:rsidP="001A4860">
      <w:pPr>
        <w:rPr>
          <w:sz w:val="22"/>
          <w:szCs w:val="22"/>
          <w:lang w:val="es-ES" w:eastAsia="es-ES"/>
        </w:rPr>
      </w:pPr>
      <w:r w:rsidRPr="001A4860">
        <w:rPr>
          <w:sz w:val="22"/>
          <w:szCs w:val="22"/>
          <w:lang w:val="es-ES" w:eastAsia="es-ES"/>
        </w:rPr>
        <w:t>Para el soporte de los conduits se usarán accesorios prefabricados para ese fin, tales como abrazaderas para tubería, trapecios soportantes, etc.</w:t>
      </w:r>
    </w:p>
    <w:p w14:paraId="7A0196DA" w14:textId="77777777" w:rsidR="001A4860" w:rsidRPr="001A4860" w:rsidRDefault="001A4860" w:rsidP="001A4860">
      <w:pPr>
        <w:rPr>
          <w:sz w:val="22"/>
          <w:szCs w:val="22"/>
          <w:lang w:val="es-ES" w:eastAsia="es-ES"/>
        </w:rPr>
      </w:pPr>
    </w:p>
    <w:p w14:paraId="2A05298D" w14:textId="77777777" w:rsidR="001A4860" w:rsidRPr="001A4860" w:rsidRDefault="001A4860" w:rsidP="001A4860">
      <w:pPr>
        <w:rPr>
          <w:sz w:val="22"/>
          <w:szCs w:val="22"/>
          <w:lang w:val="es-ES" w:eastAsia="es-ES"/>
        </w:rPr>
      </w:pPr>
      <w:r w:rsidRPr="001A4860">
        <w:rPr>
          <w:sz w:val="22"/>
          <w:szCs w:val="22"/>
          <w:lang w:val="es-ES" w:eastAsia="es-ES"/>
        </w:rPr>
        <w:t>No se permite corrida en diagonal en conduits expuestos, ni se permiten más de tres curvas a 90o o su equivalente en un tendido de tubo conduit entre dos salidas o entre dos paneles o entre un panel y salida. No se permite más de 100 pies (30.48 MI) entre salidas.</w:t>
      </w:r>
    </w:p>
    <w:p w14:paraId="2317BF8B" w14:textId="77777777" w:rsidR="001A4860" w:rsidRPr="001A4860" w:rsidRDefault="001A4860" w:rsidP="001A4860">
      <w:pPr>
        <w:rPr>
          <w:sz w:val="22"/>
          <w:szCs w:val="22"/>
          <w:lang w:val="es-ES" w:eastAsia="es-ES"/>
        </w:rPr>
      </w:pPr>
    </w:p>
    <w:p w14:paraId="611C0F9C" w14:textId="77777777" w:rsidR="001A4860" w:rsidRPr="001A4860" w:rsidRDefault="001A4860" w:rsidP="001A4860">
      <w:pPr>
        <w:rPr>
          <w:sz w:val="22"/>
          <w:szCs w:val="22"/>
          <w:lang w:val="es-ES" w:eastAsia="es-ES"/>
        </w:rPr>
      </w:pPr>
      <w:r w:rsidRPr="001A4860">
        <w:rPr>
          <w:sz w:val="22"/>
          <w:szCs w:val="22"/>
          <w:lang w:val="es-ES" w:eastAsia="es-ES"/>
        </w:rPr>
        <w:t>Toda tubería conduit dañada durante su instalación debe ser removida de la construcción y repuesta por una nueva.</w:t>
      </w:r>
    </w:p>
    <w:p w14:paraId="0C8FC4E4" w14:textId="77777777" w:rsidR="001A4860" w:rsidRPr="001A4860" w:rsidRDefault="001A4860" w:rsidP="001A4860">
      <w:pPr>
        <w:rPr>
          <w:sz w:val="22"/>
          <w:szCs w:val="22"/>
          <w:lang w:val="es-ES" w:eastAsia="es-ES"/>
        </w:rPr>
      </w:pPr>
    </w:p>
    <w:p w14:paraId="028123EB" w14:textId="77777777" w:rsidR="001A4860" w:rsidRPr="001A4860" w:rsidRDefault="001A4860" w:rsidP="001A4860">
      <w:pPr>
        <w:rPr>
          <w:sz w:val="22"/>
          <w:szCs w:val="22"/>
          <w:lang w:val="es-ES" w:eastAsia="es-ES"/>
        </w:rPr>
      </w:pPr>
      <w:r w:rsidRPr="001A4860">
        <w:rPr>
          <w:sz w:val="22"/>
          <w:szCs w:val="22"/>
          <w:lang w:val="es-ES" w:eastAsia="es-ES"/>
        </w:rPr>
        <w:t>Cuando sea necesario instalar cajas de registros, éstas deben colocarse en lugares accesibles pero no visibles, sin dañar el acabado de la construcción.</w:t>
      </w:r>
    </w:p>
    <w:p w14:paraId="2F4B8D9E" w14:textId="77777777" w:rsidR="001A4860" w:rsidRPr="001A4860" w:rsidRDefault="001A4860" w:rsidP="001A4860">
      <w:pPr>
        <w:rPr>
          <w:sz w:val="22"/>
          <w:szCs w:val="22"/>
          <w:lang w:val="es-ES" w:eastAsia="es-ES"/>
        </w:rPr>
      </w:pPr>
    </w:p>
    <w:p w14:paraId="0084B66E" w14:textId="77777777" w:rsidR="001A4860" w:rsidRPr="001A4860" w:rsidRDefault="001A4860" w:rsidP="001A4860">
      <w:pPr>
        <w:rPr>
          <w:sz w:val="22"/>
          <w:szCs w:val="22"/>
          <w:lang w:val="es-ES" w:eastAsia="es-ES"/>
        </w:rPr>
      </w:pPr>
      <w:r w:rsidRPr="001A4860">
        <w:rPr>
          <w:sz w:val="22"/>
          <w:szCs w:val="22"/>
          <w:lang w:val="es-ES" w:eastAsia="es-ES"/>
        </w:rPr>
        <w:t>Toda curva en conduits debe realizarse de modo que el conduit no resulte averiado y que su diámetro interno no se reduzca. El radio inferior de la curva no debe ser menor a seis veces el diámetro nominal del conduit.</w:t>
      </w:r>
    </w:p>
    <w:p w14:paraId="7E573DC6" w14:textId="77777777" w:rsidR="001A4860" w:rsidRPr="001A4860" w:rsidRDefault="001A4860" w:rsidP="001A4860">
      <w:pPr>
        <w:rPr>
          <w:sz w:val="22"/>
          <w:szCs w:val="22"/>
          <w:lang w:val="es-ES" w:eastAsia="es-ES"/>
        </w:rPr>
      </w:pPr>
    </w:p>
    <w:p w14:paraId="73E9CE63" w14:textId="77777777" w:rsidR="001A4860" w:rsidRPr="001A4860" w:rsidRDefault="001A4860" w:rsidP="001A4860">
      <w:pPr>
        <w:rPr>
          <w:sz w:val="22"/>
          <w:szCs w:val="22"/>
          <w:lang w:val="es-ES" w:eastAsia="es-ES"/>
        </w:rPr>
      </w:pPr>
      <w:r w:rsidRPr="001A4860">
        <w:rPr>
          <w:sz w:val="22"/>
          <w:szCs w:val="22"/>
          <w:lang w:val="es-ES" w:eastAsia="es-ES"/>
        </w:rPr>
        <w:lastRenderedPageBreak/>
        <w:t>Se toma especial cuidado en el cortado del conduit para que estos cortes sean a escuadra y para que las longitudes sean tales que las puntas de estos penetren cajas de salidas y gabinetes a distancias uniformes, debiendo fijarse utilizando conectores apropiados.</w:t>
      </w:r>
    </w:p>
    <w:p w14:paraId="6B9FA246" w14:textId="77777777" w:rsidR="001A4860" w:rsidRPr="001A4860" w:rsidRDefault="001A4860" w:rsidP="001A4860">
      <w:pPr>
        <w:rPr>
          <w:sz w:val="22"/>
          <w:szCs w:val="22"/>
          <w:lang w:val="es-ES" w:eastAsia="es-ES"/>
        </w:rPr>
      </w:pPr>
    </w:p>
    <w:p w14:paraId="66215070" w14:textId="77777777" w:rsidR="001A4860" w:rsidRPr="001A4860" w:rsidRDefault="001A4860" w:rsidP="001A4860">
      <w:pPr>
        <w:rPr>
          <w:sz w:val="22"/>
          <w:szCs w:val="22"/>
          <w:lang w:val="es-ES" w:eastAsia="es-ES"/>
        </w:rPr>
      </w:pPr>
      <w:r w:rsidRPr="001A4860">
        <w:rPr>
          <w:sz w:val="22"/>
          <w:szCs w:val="22"/>
          <w:lang w:val="es-ES" w:eastAsia="es-ES"/>
        </w:rPr>
        <w:t>Los planos señalan la posición aproximada de las salidas y de las corridas de conduit. Toda corrida puede ser modificada con la aprobación del Supervisor para adaptarse a particularidades constructivas del edificio.</w:t>
      </w:r>
    </w:p>
    <w:p w14:paraId="2717C004" w14:textId="77777777" w:rsidR="001A4860" w:rsidRPr="001A4860" w:rsidRDefault="001A4860" w:rsidP="001A4860">
      <w:pPr>
        <w:rPr>
          <w:sz w:val="22"/>
          <w:szCs w:val="22"/>
          <w:lang w:val="es-ES" w:eastAsia="es-ES"/>
        </w:rPr>
      </w:pPr>
    </w:p>
    <w:p w14:paraId="552E1F6F" w14:textId="77777777" w:rsidR="001A4860" w:rsidRPr="001A4860" w:rsidRDefault="001A4860" w:rsidP="001A4860">
      <w:pPr>
        <w:rPr>
          <w:sz w:val="22"/>
          <w:szCs w:val="22"/>
          <w:lang w:val="es-ES" w:eastAsia="es-ES"/>
        </w:rPr>
      </w:pPr>
      <w:r w:rsidRPr="001A4860">
        <w:rPr>
          <w:sz w:val="22"/>
          <w:szCs w:val="22"/>
          <w:lang w:val="es-ES" w:eastAsia="es-ES"/>
        </w:rPr>
        <w:t>Las conexiones de todos los motores eléctricos se realizan utilizando en el último tramo conduit flexible metálico a prueba de líquidos.</w:t>
      </w:r>
    </w:p>
    <w:p w14:paraId="6578D830" w14:textId="77777777" w:rsidR="001A4860" w:rsidRPr="001A4860" w:rsidRDefault="001A4860" w:rsidP="001A4860">
      <w:pPr>
        <w:rPr>
          <w:sz w:val="22"/>
          <w:szCs w:val="22"/>
          <w:lang w:val="es-ES" w:eastAsia="es-ES"/>
        </w:rPr>
      </w:pPr>
    </w:p>
    <w:p w14:paraId="680A94BC" w14:textId="77777777" w:rsidR="001A4860" w:rsidRPr="001A4860" w:rsidRDefault="001A4860" w:rsidP="001A4860">
      <w:pPr>
        <w:rPr>
          <w:sz w:val="22"/>
          <w:szCs w:val="22"/>
          <w:lang w:val="es-ES" w:eastAsia="es-ES"/>
        </w:rPr>
      </w:pPr>
      <w:r w:rsidRPr="001A4860">
        <w:rPr>
          <w:sz w:val="22"/>
          <w:szCs w:val="22"/>
          <w:lang w:val="es-ES" w:eastAsia="es-ES"/>
        </w:rPr>
        <w:t>Para el caso de motores sumergibles, la transición de Conduits PVC Soterrado, a cable Sumergible, se realiza  en  Gabinete  Siemens  para  intemperie,  debiendo  contar  con  llave  de  protección.  Todo conforme a detalles constructivos.</w:t>
      </w:r>
    </w:p>
    <w:p w14:paraId="78F8CE54" w14:textId="77777777" w:rsidR="001A4860" w:rsidRPr="001A4860" w:rsidRDefault="001A4860" w:rsidP="001A4860">
      <w:pPr>
        <w:rPr>
          <w:sz w:val="22"/>
          <w:szCs w:val="22"/>
          <w:lang w:val="es-ES" w:eastAsia="es-ES"/>
        </w:rPr>
      </w:pPr>
    </w:p>
    <w:p w14:paraId="7C106B24" w14:textId="77777777" w:rsidR="001A4860" w:rsidRPr="001A4860" w:rsidRDefault="001A4860" w:rsidP="001A4860">
      <w:pPr>
        <w:rPr>
          <w:sz w:val="22"/>
          <w:szCs w:val="22"/>
          <w:lang w:val="es-ES" w:eastAsia="es-ES"/>
        </w:rPr>
      </w:pPr>
      <w:r w:rsidRPr="001A4860">
        <w:rPr>
          <w:sz w:val="22"/>
          <w:szCs w:val="22"/>
          <w:lang w:val="es-ES" w:eastAsia="es-ES"/>
        </w:rPr>
        <w:t>Todos los empalmes de línea a construir en dicho gabinete, se realizan en aisladores tipo Ricollit, empleando los conectores tipo LUG, apropiados según el caso.</w:t>
      </w:r>
    </w:p>
    <w:p w14:paraId="1CEB4362" w14:textId="77777777" w:rsidR="001A4860" w:rsidRPr="001A4860" w:rsidRDefault="001A4860" w:rsidP="001A4860">
      <w:pPr>
        <w:rPr>
          <w:sz w:val="22"/>
          <w:szCs w:val="22"/>
          <w:lang w:val="es-ES" w:eastAsia="es-ES"/>
        </w:rPr>
      </w:pPr>
    </w:p>
    <w:p w14:paraId="0884D175" w14:textId="77777777" w:rsidR="001A4860" w:rsidRPr="001A4860" w:rsidRDefault="001A4860" w:rsidP="001A4860">
      <w:pPr>
        <w:keepNext/>
        <w:ind w:left="720" w:hanging="720"/>
        <w:outlineLvl w:val="2"/>
        <w:rPr>
          <w:rFonts w:eastAsia="Arial Narrow"/>
          <w:b/>
          <w:bCs/>
          <w:iCs/>
          <w:sz w:val="22"/>
          <w:szCs w:val="22"/>
          <w:lang w:val="es-ES" w:bidi="en-US"/>
        </w:rPr>
      </w:pPr>
      <w:bookmarkStart w:id="912" w:name="_Toc23249510"/>
      <w:r w:rsidRPr="001A4860">
        <w:rPr>
          <w:rFonts w:eastAsia="Arial Narrow"/>
          <w:b/>
          <w:bCs/>
          <w:iCs/>
          <w:sz w:val="22"/>
          <w:szCs w:val="22"/>
          <w:lang w:val="es-ES" w:bidi="en-US"/>
        </w:rPr>
        <w:t>Conductores</w:t>
      </w:r>
      <w:bookmarkEnd w:id="912"/>
    </w:p>
    <w:p w14:paraId="6A643A96" w14:textId="77777777" w:rsidR="001A4860" w:rsidRPr="001A4860" w:rsidRDefault="001A4860" w:rsidP="001A4860">
      <w:pPr>
        <w:rPr>
          <w:sz w:val="22"/>
          <w:szCs w:val="22"/>
          <w:lang w:val="es-ES" w:eastAsia="es-ES"/>
        </w:rPr>
      </w:pPr>
    </w:p>
    <w:p w14:paraId="22287877" w14:textId="77777777" w:rsidR="001A4860" w:rsidRPr="001A4860" w:rsidRDefault="001A4860" w:rsidP="001A4860">
      <w:pPr>
        <w:rPr>
          <w:sz w:val="22"/>
          <w:szCs w:val="22"/>
          <w:lang w:val="es-ES" w:eastAsia="es-ES"/>
        </w:rPr>
      </w:pPr>
    </w:p>
    <w:p w14:paraId="05A23D42" w14:textId="77777777" w:rsidR="001A4860" w:rsidRPr="001A4860" w:rsidRDefault="001A4860" w:rsidP="001A4860">
      <w:pPr>
        <w:rPr>
          <w:sz w:val="22"/>
          <w:szCs w:val="22"/>
          <w:lang w:val="es-ES" w:eastAsia="es-ES"/>
        </w:rPr>
      </w:pPr>
      <w:r w:rsidRPr="001A4860">
        <w:rPr>
          <w:sz w:val="22"/>
          <w:szCs w:val="22"/>
          <w:lang w:val="es-ES" w:eastAsia="es-ES"/>
        </w:rPr>
        <w:t>Los conductores a emplear deben ser de cobre, con aislamiento termoplástico para seiscientos voltios, del tipo THHN, como mínimo, a menos que se indique en planos o especificaciones otra cosa. Cumplirán o sobrepasarán los requerimientos establecidos en las Especificaciones ASTM-B3,B8,UL-E101779,UL-83.</w:t>
      </w:r>
    </w:p>
    <w:p w14:paraId="3C14C027" w14:textId="77777777" w:rsidR="001A4860" w:rsidRPr="001A4860" w:rsidRDefault="001A4860" w:rsidP="001A4860">
      <w:pPr>
        <w:rPr>
          <w:sz w:val="22"/>
          <w:szCs w:val="22"/>
          <w:lang w:val="es-ES" w:eastAsia="es-ES"/>
        </w:rPr>
      </w:pPr>
    </w:p>
    <w:p w14:paraId="031C7455" w14:textId="77777777" w:rsidR="001A4860" w:rsidRPr="001A4860" w:rsidRDefault="001A4860" w:rsidP="001A4860">
      <w:pPr>
        <w:rPr>
          <w:sz w:val="22"/>
          <w:szCs w:val="22"/>
          <w:lang w:val="es-ES" w:eastAsia="es-ES"/>
        </w:rPr>
      </w:pPr>
      <w:r w:rsidRPr="001A4860">
        <w:rPr>
          <w:sz w:val="22"/>
          <w:szCs w:val="22"/>
          <w:lang w:val="es-ES" w:eastAsia="es-ES"/>
        </w:rPr>
        <w:t>Todos los conductores deben tener su sección referida el código de American Wire Gauge.</w:t>
      </w:r>
    </w:p>
    <w:p w14:paraId="75A7A463" w14:textId="77777777" w:rsidR="001A4860" w:rsidRPr="001A4860" w:rsidRDefault="001A4860" w:rsidP="001A4860">
      <w:pPr>
        <w:rPr>
          <w:sz w:val="22"/>
          <w:szCs w:val="22"/>
          <w:lang w:val="es-ES" w:eastAsia="es-ES"/>
        </w:rPr>
      </w:pPr>
    </w:p>
    <w:p w14:paraId="3B5A5D0F" w14:textId="77777777" w:rsidR="001A4860" w:rsidRPr="001A4860" w:rsidRDefault="001A4860" w:rsidP="001A4860">
      <w:pPr>
        <w:rPr>
          <w:sz w:val="22"/>
          <w:szCs w:val="22"/>
          <w:lang w:val="es-ES" w:eastAsia="es-ES"/>
        </w:rPr>
      </w:pPr>
      <w:r w:rsidRPr="001A4860">
        <w:rPr>
          <w:sz w:val="22"/>
          <w:szCs w:val="22"/>
          <w:lang w:val="es-ES" w:eastAsia="es-ES"/>
        </w:rPr>
        <w:t>No se aceptan conductores del calibre inferior al No. 12, exceptuando aquellos propios de controles. Los conductores del calibre No.8 AWG o menores pueden ser sólidos, pero aquellos de mayor sección deben ser del tipo trenzado.</w:t>
      </w:r>
    </w:p>
    <w:p w14:paraId="14B0D301" w14:textId="77777777" w:rsidR="001A4860" w:rsidRPr="001A4860" w:rsidRDefault="001A4860" w:rsidP="001A4860">
      <w:pPr>
        <w:rPr>
          <w:sz w:val="22"/>
          <w:szCs w:val="22"/>
          <w:lang w:val="es-ES" w:eastAsia="es-ES"/>
        </w:rPr>
      </w:pPr>
    </w:p>
    <w:p w14:paraId="5E9B9CF0" w14:textId="77777777" w:rsidR="001A4860" w:rsidRPr="001A4860" w:rsidRDefault="001A4860" w:rsidP="001A4860">
      <w:pPr>
        <w:rPr>
          <w:sz w:val="22"/>
          <w:szCs w:val="22"/>
          <w:lang w:val="es-ES" w:eastAsia="es-ES"/>
        </w:rPr>
      </w:pPr>
      <w:r w:rsidRPr="001A4860">
        <w:rPr>
          <w:sz w:val="22"/>
          <w:szCs w:val="22"/>
          <w:lang w:val="es-ES" w:eastAsia="es-ES"/>
        </w:rPr>
        <w:t>Para la identificación de los conductores en los circuitos derivados o alimentadores se utilizan los mismos colores de las fases y debe conservarse el código de colores uniforme en toda la instalación, de conformidad al código eléctrico.  Para los alimentadores pueden utilizarse conductores de un mismo color, pero sus terminales deben ser recubiertas con cinta adhesiva plástica de los colores indicados para su identificación.</w:t>
      </w:r>
    </w:p>
    <w:p w14:paraId="12E07948" w14:textId="77777777" w:rsidR="001A4860" w:rsidRPr="001A4860" w:rsidRDefault="001A4860" w:rsidP="001A4860">
      <w:pPr>
        <w:rPr>
          <w:sz w:val="22"/>
          <w:szCs w:val="22"/>
          <w:lang w:val="es-ES" w:eastAsia="es-ES"/>
        </w:rPr>
      </w:pPr>
    </w:p>
    <w:p w14:paraId="48998DAE" w14:textId="77777777" w:rsidR="001A4860" w:rsidRPr="001A4860" w:rsidRDefault="001A4860" w:rsidP="001A4860">
      <w:pPr>
        <w:rPr>
          <w:sz w:val="22"/>
          <w:szCs w:val="22"/>
          <w:lang w:val="es-ES" w:eastAsia="es-ES"/>
        </w:rPr>
      </w:pPr>
      <w:r w:rsidRPr="001A4860">
        <w:rPr>
          <w:sz w:val="22"/>
          <w:szCs w:val="22"/>
          <w:lang w:val="es-ES" w:eastAsia="es-ES"/>
        </w:rPr>
        <w:t>No se permite ningún empalme dentro de las tuberías, toda línea debe ser continua de caja a caja. En caso de que se constate un empalme dentro de un conduit, el Supervisor puede a su elección, exigir la extracción total de todos los conductores de la instalación, todo por cuenta del Contratista.  En las cajas de salida o registros, todas las conexiones son hechas para conductores No. 8 y menores con conectores manufacturados por Minnesota Minig and Mng. Co. Del tipo Scothlock o del tipo WIRE NUT de Ideal Industries Inc.  Para conductores de mayor calibre se usarán conectores de compresión de dos sentidos manufacturados por Thomas and Betts o similar.</w:t>
      </w:r>
    </w:p>
    <w:p w14:paraId="45DD33D6" w14:textId="77777777" w:rsidR="001A4860" w:rsidRPr="001A4860" w:rsidRDefault="001A4860" w:rsidP="001A4860">
      <w:pPr>
        <w:rPr>
          <w:sz w:val="22"/>
          <w:szCs w:val="22"/>
          <w:lang w:val="es-ES" w:eastAsia="es-ES"/>
        </w:rPr>
      </w:pPr>
    </w:p>
    <w:p w14:paraId="521A7A99" w14:textId="77777777" w:rsidR="001A4860" w:rsidRPr="001A4860" w:rsidRDefault="001A4860" w:rsidP="001A4860">
      <w:pPr>
        <w:rPr>
          <w:sz w:val="22"/>
          <w:szCs w:val="22"/>
          <w:lang w:val="es-ES" w:eastAsia="es-ES"/>
        </w:rPr>
      </w:pPr>
      <w:r w:rsidRPr="001A4860">
        <w:rPr>
          <w:sz w:val="22"/>
          <w:szCs w:val="22"/>
          <w:lang w:val="es-ES" w:eastAsia="es-ES"/>
        </w:rPr>
        <w:t>Antes de la operación de alambrado, los conduits y las cajas deben limpiarse en su totalidad.</w:t>
      </w:r>
    </w:p>
    <w:p w14:paraId="5CDE21F6" w14:textId="77777777" w:rsidR="001A4860" w:rsidRPr="001A4860" w:rsidRDefault="001A4860" w:rsidP="001A4860">
      <w:pPr>
        <w:rPr>
          <w:sz w:val="22"/>
          <w:szCs w:val="22"/>
          <w:lang w:val="es-ES" w:eastAsia="es-ES"/>
        </w:rPr>
      </w:pPr>
    </w:p>
    <w:p w14:paraId="50C9C72A" w14:textId="77777777" w:rsidR="001A4860" w:rsidRPr="001A4860" w:rsidRDefault="001A4860" w:rsidP="001A4860">
      <w:pPr>
        <w:rPr>
          <w:sz w:val="22"/>
          <w:szCs w:val="22"/>
          <w:lang w:val="es-ES" w:eastAsia="es-ES"/>
        </w:rPr>
      </w:pPr>
      <w:r w:rsidRPr="001A4860">
        <w:rPr>
          <w:sz w:val="22"/>
          <w:szCs w:val="22"/>
          <w:lang w:val="es-ES" w:eastAsia="es-ES"/>
        </w:rPr>
        <w:t>En toda terminal se deja por lo menos 0.20 metros de conductor de largo, para efectuar las conexiones a luminarias y otros dispositivos.</w:t>
      </w:r>
    </w:p>
    <w:p w14:paraId="67EA6634" w14:textId="77777777" w:rsidR="001A4860" w:rsidRPr="001A4860" w:rsidRDefault="001A4860" w:rsidP="001A4860">
      <w:pPr>
        <w:rPr>
          <w:sz w:val="22"/>
          <w:szCs w:val="22"/>
          <w:lang w:val="es-ES" w:eastAsia="es-ES"/>
        </w:rPr>
      </w:pPr>
    </w:p>
    <w:p w14:paraId="265FD1D4" w14:textId="77777777" w:rsidR="001A4860" w:rsidRPr="001A4860" w:rsidRDefault="001A4860" w:rsidP="001A4860">
      <w:pPr>
        <w:rPr>
          <w:sz w:val="22"/>
          <w:szCs w:val="22"/>
          <w:lang w:val="es-ES" w:eastAsia="es-ES"/>
        </w:rPr>
      </w:pPr>
      <w:r w:rsidRPr="001A4860">
        <w:rPr>
          <w:sz w:val="22"/>
          <w:szCs w:val="22"/>
          <w:lang w:val="es-ES" w:eastAsia="es-ES"/>
        </w:rPr>
        <w:t xml:space="preserve">No se inicia la colocación de conductores dentro de la canalización hasta que esté completamente realizada. Cualquier conductor que sea introducido con anticipación debe ser retirado. No se permite usar lubricante </w:t>
      </w:r>
      <w:r w:rsidRPr="001A4860">
        <w:rPr>
          <w:sz w:val="22"/>
          <w:szCs w:val="22"/>
          <w:lang w:val="es-ES" w:eastAsia="es-ES"/>
        </w:rPr>
        <w:lastRenderedPageBreak/>
        <w:t>o grasa; para facilitar el deslizamiento se debe usar talco o parafina.  No se permite el uso de los conductores del sistema eléctrico definitivo para alimentar cargas de iluminación o fuerza requerida en las labores constructivas.</w:t>
      </w:r>
    </w:p>
    <w:p w14:paraId="45016BEF" w14:textId="77777777" w:rsidR="001A4860" w:rsidRPr="001A4860" w:rsidRDefault="001A4860" w:rsidP="001A4860">
      <w:pPr>
        <w:rPr>
          <w:sz w:val="22"/>
          <w:szCs w:val="22"/>
          <w:lang w:val="es-ES" w:eastAsia="es-ES"/>
        </w:rPr>
      </w:pPr>
    </w:p>
    <w:p w14:paraId="62969952" w14:textId="77777777" w:rsidR="001A4860" w:rsidRPr="001A4860" w:rsidRDefault="001A4860" w:rsidP="001A4860">
      <w:pPr>
        <w:rPr>
          <w:b/>
          <w:sz w:val="22"/>
          <w:szCs w:val="22"/>
          <w:lang w:val="es-ES" w:eastAsia="es-ES"/>
        </w:rPr>
      </w:pPr>
      <w:r w:rsidRPr="001A4860">
        <w:rPr>
          <w:b/>
          <w:sz w:val="22"/>
          <w:szCs w:val="22"/>
          <w:lang w:val="es-ES" w:eastAsia="es-ES"/>
        </w:rPr>
        <w:t>Apagadores y Tomacorrientes</w:t>
      </w:r>
    </w:p>
    <w:p w14:paraId="4684D567" w14:textId="77777777" w:rsidR="001A4860" w:rsidRPr="001A4860" w:rsidRDefault="001A4860" w:rsidP="001A4860">
      <w:pPr>
        <w:rPr>
          <w:sz w:val="22"/>
          <w:szCs w:val="22"/>
          <w:lang w:val="es-ES" w:eastAsia="es-ES"/>
        </w:rPr>
      </w:pPr>
    </w:p>
    <w:p w14:paraId="70FB987F" w14:textId="77777777" w:rsidR="001A4860" w:rsidRPr="001A4860" w:rsidRDefault="001A4860" w:rsidP="001A4860">
      <w:pPr>
        <w:rPr>
          <w:sz w:val="22"/>
          <w:szCs w:val="22"/>
          <w:lang w:val="es-ES" w:eastAsia="es-ES"/>
        </w:rPr>
      </w:pPr>
      <w:r w:rsidRPr="001A4860">
        <w:rPr>
          <w:sz w:val="22"/>
          <w:szCs w:val="22"/>
          <w:lang w:val="es-ES" w:eastAsia="es-ES"/>
        </w:rPr>
        <w:t>El Contratista suministra e instala los apagadores en las cajas de salida en los sitios indicados en los planos.  Todos deben conectar de forma tal que cuando la palanca de accionamiento esté en su posición superior, el circuito esté activado.</w:t>
      </w:r>
    </w:p>
    <w:p w14:paraId="7F16364C" w14:textId="77777777" w:rsidR="001A4860" w:rsidRPr="001A4860" w:rsidRDefault="001A4860" w:rsidP="001A4860">
      <w:pPr>
        <w:rPr>
          <w:sz w:val="22"/>
          <w:szCs w:val="22"/>
          <w:lang w:val="es-ES" w:eastAsia="es-ES"/>
        </w:rPr>
      </w:pPr>
    </w:p>
    <w:p w14:paraId="122DECAF" w14:textId="77777777" w:rsidR="001A4860" w:rsidRPr="001A4860" w:rsidRDefault="001A4860" w:rsidP="001A4860">
      <w:pPr>
        <w:rPr>
          <w:sz w:val="22"/>
          <w:szCs w:val="22"/>
          <w:lang w:val="es-ES" w:eastAsia="es-ES"/>
        </w:rPr>
      </w:pPr>
      <w:r w:rsidRPr="001A4860">
        <w:rPr>
          <w:sz w:val="22"/>
          <w:szCs w:val="22"/>
          <w:lang w:val="es-ES" w:eastAsia="es-ES"/>
        </w:rPr>
        <w:t>Los apagadores deben conectarse a los circuitos, de forma que no se interrumpa el conductor neutro, es decir, están conectados en línea viva.</w:t>
      </w:r>
    </w:p>
    <w:p w14:paraId="06DDBEC8" w14:textId="77777777" w:rsidR="001A4860" w:rsidRPr="001A4860" w:rsidRDefault="001A4860" w:rsidP="001A4860">
      <w:pPr>
        <w:rPr>
          <w:sz w:val="22"/>
          <w:szCs w:val="22"/>
          <w:lang w:val="es-ES" w:eastAsia="es-ES"/>
        </w:rPr>
      </w:pPr>
    </w:p>
    <w:p w14:paraId="03ECC3E5" w14:textId="77777777" w:rsidR="001A4860" w:rsidRPr="001A4860" w:rsidRDefault="001A4860" w:rsidP="001A4860">
      <w:pPr>
        <w:rPr>
          <w:sz w:val="22"/>
          <w:szCs w:val="22"/>
          <w:lang w:val="es-ES" w:eastAsia="es-ES"/>
        </w:rPr>
      </w:pPr>
      <w:r w:rsidRPr="001A4860">
        <w:rPr>
          <w:sz w:val="22"/>
          <w:szCs w:val="22"/>
          <w:lang w:val="es-ES" w:eastAsia="es-ES"/>
        </w:rPr>
        <w:t>Los apagadores se instalan como norma general a una altura de 1.20 metros sobre el nivel de piso terminado.</w:t>
      </w:r>
    </w:p>
    <w:p w14:paraId="2D23D560" w14:textId="77777777" w:rsidR="001A4860" w:rsidRPr="001A4860" w:rsidRDefault="001A4860" w:rsidP="001A4860">
      <w:pPr>
        <w:rPr>
          <w:sz w:val="22"/>
          <w:szCs w:val="22"/>
          <w:lang w:val="es-ES" w:eastAsia="es-ES"/>
        </w:rPr>
      </w:pPr>
    </w:p>
    <w:p w14:paraId="52BD8BA8" w14:textId="77777777" w:rsidR="001A4860" w:rsidRPr="001A4860" w:rsidRDefault="001A4860" w:rsidP="001A4860">
      <w:pPr>
        <w:rPr>
          <w:sz w:val="22"/>
          <w:szCs w:val="22"/>
          <w:lang w:val="es-ES" w:eastAsia="es-ES"/>
        </w:rPr>
      </w:pPr>
      <w:r w:rsidRPr="001A4860">
        <w:rPr>
          <w:sz w:val="22"/>
          <w:szCs w:val="22"/>
          <w:lang w:val="es-ES" w:eastAsia="es-ES"/>
        </w:rPr>
        <w:t>El Contratista suminstra e instala todos los tomacorrientes en las cajas de salida y los sitios indicados; deben ser del tipo y ajustarse a las conexiones según NEMA 5-20R y 6-30R polarizados del amperaje y voltaje que indican.</w:t>
      </w:r>
    </w:p>
    <w:p w14:paraId="4CA38652" w14:textId="77777777" w:rsidR="001A4860" w:rsidRPr="001A4860" w:rsidRDefault="001A4860" w:rsidP="001A4860">
      <w:pPr>
        <w:rPr>
          <w:sz w:val="22"/>
          <w:szCs w:val="22"/>
          <w:lang w:val="es-ES" w:eastAsia="es-ES"/>
        </w:rPr>
      </w:pPr>
    </w:p>
    <w:p w14:paraId="3864CCE9" w14:textId="77777777" w:rsidR="001A4860" w:rsidRPr="001A4860" w:rsidRDefault="001A4860" w:rsidP="001A4860">
      <w:pPr>
        <w:keepNext/>
        <w:ind w:left="720" w:hanging="720"/>
        <w:outlineLvl w:val="2"/>
        <w:rPr>
          <w:rFonts w:eastAsia="Arial Narrow"/>
          <w:b/>
          <w:bCs/>
          <w:iCs/>
          <w:sz w:val="22"/>
          <w:szCs w:val="22"/>
          <w:lang w:val="es-ES" w:bidi="en-US"/>
        </w:rPr>
      </w:pPr>
      <w:bookmarkStart w:id="913" w:name="_Toc23249511"/>
      <w:r w:rsidRPr="001A4860">
        <w:rPr>
          <w:rFonts w:eastAsia="Arial Narrow"/>
          <w:b/>
          <w:bCs/>
          <w:iCs/>
          <w:sz w:val="22"/>
          <w:szCs w:val="22"/>
          <w:lang w:val="es-ES" w:bidi="en-US"/>
        </w:rPr>
        <w:t>Luminarias</w:t>
      </w:r>
      <w:bookmarkEnd w:id="913"/>
    </w:p>
    <w:p w14:paraId="0E15C750" w14:textId="77777777" w:rsidR="001A4860" w:rsidRPr="001A4860" w:rsidRDefault="001A4860" w:rsidP="001A4860">
      <w:pPr>
        <w:rPr>
          <w:sz w:val="22"/>
          <w:szCs w:val="22"/>
          <w:lang w:val="es-ES" w:eastAsia="es-ES"/>
        </w:rPr>
      </w:pPr>
    </w:p>
    <w:p w14:paraId="748BF22B" w14:textId="77777777" w:rsidR="001A4860" w:rsidRPr="001A4860" w:rsidRDefault="001A4860" w:rsidP="001A4860">
      <w:pPr>
        <w:rPr>
          <w:sz w:val="22"/>
          <w:szCs w:val="22"/>
          <w:lang w:val="es-ES" w:eastAsia="es-ES"/>
        </w:rPr>
      </w:pPr>
      <w:r w:rsidRPr="001A4860">
        <w:rPr>
          <w:sz w:val="22"/>
          <w:szCs w:val="22"/>
          <w:lang w:val="es-ES" w:eastAsia="es-ES"/>
        </w:rPr>
        <w:t>Las luminarias y accesorias deben quedar firmemente sujetas a la estructura del edificio, son sistemas de suspensión adecuados, de tal forma que permitan su remoción fácilmente, sin que sea dañada pintura u otro acabado de la construcción.</w:t>
      </w:r>
    </w:p>
    <w:p w14:paraId="37D65EF9" w14:textId="77777777" w:rsidR="001A4860" w:rsidRPr="001A4860" w:rsidRDefault="001A4860" w:rsidP="001A4860">
      <w:pPr>
        <w:rPr>
          <w:sz w:val="22"/>
          <w:szCs w:val="22"/>
          <w:lang w:val="es-ES" w:eastAsia="es-ES"/>
        </w:rPr>
      </w:pPr>
    </w:p>
    <w:p w14:paraId="360639F8" w14:textId="77777777" w:rsidR="001A4860" w:rsidRPr="001A4860" w:rsidRDefault="001A4860" w:rsidP="001A4860">
      <w:pPr>
        <w:rPr>
          <w:sz w:val="22"/>
          <w:szCs w:val="22"/>
          <w:lang w:val="es-ES" w:eastAsia="es-ES"/>
        </w:rPr>
      </w:pPr>
      <w:r w:rsidRPr="001A4860">
        <w:rPr>
          <w:sz w:val="22"/>
          <w:szCs w:val="22"/>
          <w:lang w:val="es-ES" w:eastAsia="es-ES"/>
        </w:rPr>
        <w:t>Las luminarias fluorescentes son equipadas con balastros o reactores inductivos de alto factor de potencia y aprobadas para el servicio del voltaje indicado.</w:t>
      </w:r>
    </w:p>
    <w:p w14:paraId="27EAABD2" w14:textId="77777777" w:rsidR="001A4860" w:rsidRPr="001A4860" w:rsidRDefault="001A4860" w:rsidP="001A4860">
      <w:pPr>
        <w:rPr>
          <w:sz w:val="22"/>
          <w:szCs w:val="22"/>
          <w:lang w:val="es-ES" w:eastAsia="es-ES"/>
        </w:rPr>
      </w:pPr>
    </w:p>
    <w:p w14:paraId="70CE7120" w14:textId="77777777" w:rsidR="001A4860" w:rsidRPr="001A4860" w:rsidRDefault="001A4860" w:rsidP="001A4860">
      <w:pPr>
        <w:rPr>
          <w:sz w:val="22"/>
          <w:szCs w:val="22"/>
          <w:lang w:val="es-ES" w:eastAsia="es-ES"/>
        </w:rPr>
      </w:pPr>
      <w:r w:rsidRPr="001A4860">
        <w:rPr>
          <w:sz w:val="22"/>
          <w:szCs w:val="22"/>
          <w:lang w:val="es-ES" w:eastAsia="es-ES"/>
        </w:rPr>
        <w:t>Con relación a la iluminación exterior de los predios, se emplean luminarias vapor de sodio alta presión tipo COBRA de montaje en poste metálico, con alimentación soterrada.   El voltaje y potencia respectiva de estas luminarias es 220V y 175W.  Cada luminaria está provista de su respectiva foto celda para el control automático de encendido y apagado.</w:t>
      </w:r>
    </w:p>
    <w:p w14:paraId="3AD6D0A9" w14:textId="77777777" w:rsidR="001A4860" w:rsidRPr="001A4860" w:rsidRDefault="001A4860" w:rsidP="001A4860">
      <w:pPr>
        <w:rPr>
          <w:sz w:val="22"/>
          <w:szCs w:val="22"/>
          <w:lang w:val="es-ES" w:eastAsia="es-ES"/>
        </w:rPr>
      </w:pPr>
    </w:p>
    <w:p w14:paraId="5E0FBCEF" w14:textId="77777777" w:rsidR="001A4860" w:rsidRPr="001A4860" w:rsidRDefault="001A4860" w:rsidP="001A4860">
      <w:pPr>
        <w:keepNext/>
        <w:ind w:left="720" w:hanging="720"/>
        <w:outlineLvl w:val="2"/>
        <w:rPr>
          <w:rFonts w:eastAsia="Arial Narrow"/>
          <w:b/>
          <w:bCs/>
          <w:iCs/>
          <w:sz w:val="22"/>
          <w:szCs w:val="22"/>
          <w:lang w:val="es-ES" w:bidi="en-US"/>
        </w:rPr>
      </w:pPr>
      <w:bookmarkStart w:id="914" w:name="_Toc23249512"/>
      <w:r w:rsidRPr="001A4860">
        <w:rPr>
          <w:rFonts w:eastAsia="Arial Narrow"/>
          <w:b/>
          <w:bCs/>
          <w:iCs/>
          <w:sz w:val="22"/>
          <w:szCs w:val="22"/>
          <w:lang w:val="es-ES" w:bidi="en-US"/>
        </w:rPr>
        <w:t>Otros equipos eléctricos</w:t>
      </w:r>
      <w:bookmarkEnd w:id="914"/>
    </w:p>
    <w:p w14:paraId="1CCFF8FD" w14:textId="77777777" w:rsidR="001A4860" w:rsidRPr="001A4860" w:rsidRDefault="001A4860" w:rsidP="001A4860">
      <w:pPr>
        <w:rPr>
          <w:sz w:val="22"/>
          <w:szCs w:val="22"/>
          <w:lang w:val="es-ES" w:eastAsia="es-ES"/>
        </w:rPr>
      </w:pPr>
    </w:p>
    <w:p w14:paraId="718FC56B" w14:textId="77777777" w:rsidR="001A4860" w:rsidRPr="001A4860" w:rsidRDefault="001A4860" w:rsidP="001A4860">
      <w:pPr>
        <w:rPr>
          <w:sz w:val="22"/>
          <w:szCs w:val="22"/>
          <w:lang w:val="es-ES" w:eastAsia="es-ES"/>
        </w:rPr>
      </w:pPr>
      <w:r w:rsidRPr="001A4860">
        <w:rPr>
          <w:sz w:val="22"/>
          <w:szCs w:val="22"/>
          <w:lang w:val="es-ES" w:eastAsia="es-ES"/>
        </w:rPr>
        <w:t>El Contratista colabora en todo lo necesario, ya sea esto con material, equipo o mano de obra con El Contratante y con otros suplidores de equipamiento eléctrico, en la instalación de motores y cualquier artefacto eléctrico, aunque no esté descrito en estas especificaciones y que tenga que conectarse al sistema especificado en este contrato.</w:t>
      </w:r>
    </w:p>
    <w:p w14:paraId="33958CF6" w14:textId="77777777" w:rsidR="001A4860" w:rsidRPr="001A4860" w:rsidRDefault="001A4860" w:rsidP="001A4860">
      <w:pPr>
        <w:rPr>
          <w:sz w:val="22"/>
          <w:szCs w:val="22"/>
          <w:lang w:val="es-ES" w:eastAsia="es-ES"/>
        </w:rPr>
      </w:pPr>
    </w:p>
    <w:p w14:paraId="0B4D9336" w14:textId="77777777" w:rsidR="001A4860" w:rsidRPr="001A4860" w:rsidRDefault="001A4860" w:rsidP="001A4860">
      <w:pPr>
        <w:rPr>
          <w:sz w:val="22"/>
          <w:szCs w:val="22"/>
          <w:lang w:val="es-ES" w:eastAsia="es-ES"/>
        </w:rPr>
      </w:pPr>
      <w:r w:rsidRPr="001A4860">
        <w:rPr>
          <w:sz w:val="22"/>
          <w:szCs w:val="22"/>
          <w:lang w:val="es-ES" w:eastAsia="es-ES"/>
        </w:rPr>
        <w:t>La conexión a todos los motores y otras cargas que no sean paneles o Gabinetes de Conexiones de bombas, se realiza utilizando un cable armado flexible y hermético entre la caja de conexiones del motor o carga y una caja de registro que es la terminal del conducto que lo alimenta, estando esta última caja colocada en un lugar fijo o rígido, como sería la base del motor o una base especial para esta caja de conexiones, la instalación de esta última no debe ser menor a los 0.40 metros sobre nivel de piso.</w:t>
      </w:r>
    </w:p>
    <w:p w14:paraId="3A1529ED" w14:textId="77777777" w:rsidR="001A4860" w:rsidRPr="001A4860" w:rsidRDefault="001A4860" w:rsidP="001A4860">
      <w:pPr>
        <w:rPr>
          <w:sz w:val="22"/>
          <w:szCs w:val="22"/>
          <w:lang w:val="es-ES" w:eastAsia="es-ES"/>
        </w:rPr>
      </w:pPr>
    </w:p>
    <w:p w14:paraId="58F6427C" w14:textId="77777777" w:rsidR="001A4860" w:rsidRPr="001A4860" w:rsidRDefault="001A4860" w:rsidP="001A4860">
      <w:pPr>
        <w:rPr>
          <w:sz w:val="22"/>
          <w:szCs w:val="22"/>
          <w:lang w:val="es-ES" w:eastAsia="es-ES"/>
        </w:rPr>
      </w:pPr>
      <w:r w:rsidRPr="001A4860">
        <w:rPr>
          <w:sz w:val="22"/>
          <w:szCs w:val="22"/>
          <w:lang w:val="es-ES" w:eastAsia="es-ES"/>
        </w:rPr>
        <w:t>Los puntos de conexión de los equipos eléctricos deben estar de conformidad al requerimiento de las otras artes. Para la ubicación exacta se debe consultar al suministrador de los equipos a conectar al sistema eléctrico.</w:t>
      </w:r>
    </w:p>
    <w:p w14:paraId="7A6183A2" w14:textId="77777777" w:rsidR="001A4860" w:rsidRPr="001A4860" w:rsidRDefault="001A4860" w:rsidP="001A4860">
      <w:pPr>
        <w:rPr>
          <w:sz w:val="22"/>
          <w:szCs w:val="22"/>
          <w:lang w:val="es-ES" w:eastAsia="es-ES"/>
        </w:rPr>
      </w:pPr>
    </w:p>
    <w:p w14:paraId="0A03CFF9" w14:textId="77777777" w:rsidR="001A4860" w:rsidRPr="001A4860" w:rsidRDefault="001A4860" w:rsidP="001A4860">
      <w:pPr>
        <w:rPr>
          <w:sz w:val="22"/>
          <w:szCs w:val="22"/>
          <w:lang w:val="es-ES" w:eastAsia="es-ES"/>
        </w:rPr>
      </w:pPr>
      <w:r w:rsidRPr="001A4860">
        <w:rPr>
          <w:sz w:val="22"/>
          <w:szCs w:val="22"/>
          <w:lang w:val="es-ES" w:eastAsia="es-ES"/>
        </w:rPr>
        <w:lastRenderedPageBreak/>
        <w:t>El Contratista suministra e instala canalización de fuerza, alumbrado y circuitos derivados; los conductores de control y arrancadores, vendrán incorporados al centro de control de motores por el fabricante.</w:t>
      </w:r>
    </w:p>
    <w:p w14:paraId="4F4E2925" w14:textId="77777777" w:rsidR="001A4860" w:rsidRPr="001A4860" w:rsidRDefault="001A4860" w:rsidP="001A4860">
      <w:pPr>
        <w:rPr>
          <w:sz w:val="22"/>
          <w:szCs w:val="22"/>
          <w:lang w:val="es-ES" w:eastAsia="es-ES"/>
        </w:rPr>
      </w:pPr>
    </w:p>
    <w:p w14:paraId="048D584C" w14:textId="77777777" w:rsidR="001A4860" w:rsidRPr="001A4860" w:rsidRDefault="001A4860" w:rsidP="001A4860">
      <w:pPr>
        <w:keepNext/>
        <w:ind w:left="720" w:hanging="720"/>
        <w:outlineLvl w:val="2"/>
        <w:rPr>
          <w:rFonts w:eastAsia="Arial Narrow"/>
          <w:b/>
          <w:bCs/>
          <w:iCs/>
          <w:sz w:val="22"/>
          <w:szCs w:val="22"/>
          <w:lang w:val="es-ES" w:bidi="en-US"/>
        </w:rPr>
      </w:pPr>
      <w:bookmarkStart w:id="915" w:name="_Toc23249513"/>
      <w:r w:rsidRPr="001A4860">
        <w:rPr>
          <w:rFonts w:eastAsia="Arial Narrow"/>
          <w:b/>
          <w:bCs/>
          <w:iCs/>
          <w:sz w:val="22"/>
          <w:szCs w:val="22"/>
          <w:lang w:val="es-ES" w:bidi="en-US"/>
        </w:rPr>
        <w:t>Pintura</w:t>
      </w:r>
      <w:bookmarkEnd w:id="915"/>
    </w:p>
    <w:p w14:paraId="3D8105A5" w14:textId="77777777" w:rsidR="001A4860" w:rsidRPr="001A4860" w:rsidRDefault="001A4860" w:rsidP="001A4860">
      <w:pPr>
        <w:rPr>
          <w:sz w:val="22"/>
          <w:szCs w:val="22"/>
          <w:lang w:val="es-ES" w:eastAsia="es-ES"/>
        </w:rPr>
      </w:pPr>
    </w:p>
    <w:p w14:paraId="19C260F6" w14:textId="77777777" w:rsidR="001A4860" w:rsidRPr="001A4860" w:rsidRDefault="001A4860" w:rsidP="001A4860">
      <w:pPr>
        <w:rPr>
          <w:sz w:val="22"/>
          <w:szCs w:val="22"/>
          <w:lang w:val="es-ES" w:eastAsia="es-ES"/>
        </w:rPr>
      </w:pPr>
      <w:r w:rsidRPr="001A4860">
        <w:rPr>
          <w:sz w:val="22"/>
          <w:szCs w:val="22"/>
          <w:lang w:val="es-ES" w:eastAsia="es-ES"/>
        </w:rPr>
        <w:t>Toda canalización a instalar de forma soterrada, debe ser pintada con pintura a base asfáltica antes de ahogarse en el concreto de protección. Todo conduit expuesto debe ser del tipo EMT y debe recibir dos manos de pintura junto con soportes, accesorios y cajas de registro o derivación.</w:t>
      </w:r>
    </w:p>
    <w:p w14:paraId="510E84EC" w14:textId="77777777" w:rsidR="001A4860" w:rsidRPr="001A4860" w:rsidRDefault="001A4860" w:rsidP="001A4860">
      <w:pPr>
        <w:rPr>
          <w:sz w:val="22"/>
          <w:szCs w:val="22"/>
          <w:lang w:val="es-ES" w:eastAsia="es-ES"/>
        </w:rPr>
      </w:pPr>
    </w:p>
    <w:p w14:paraId="350E3D7B" w14:textId="77777777" w:rsidR="001A4860" w:rsidRPr="001A4860" w:rsidRDefault="001A4860" w:rsidP="001A4860">
      <w:pPr>
        <w:rPr>
          <w:sz w:val="22"/>
          <w:szCs w:val="22"/>
          <w:lang w:val="es-ES" w:eastAsia="es-ES"/>
        </w:rPr>
      </w:pPr>
      <w:r w:rsidRPr="001A4860">
        <w:rPr>
          <w:sz w:val="22"/>
          <w:szCs w:val="22"/>
          <w:lang w:val="es-ES" w:eastAsia="es-ES"/>
        </w:rPr>
        <w:t>Toda superficie metálica de equipo eléctrico, que de fábrica esté con pintura y ha sufrido rayones, debe pintarse nuevamente dejando un acabado similar al original.</w:t>
      </w:r>
    </w:p>
    <w:p w14:paraId="7E597929" w14:textId="77777777" w:rsidR="001A4860" w:rsidRPr="001A4860" w:rsidRDefault="001A4860" w:rsidP="001A4860">
      <w:pPr>
        <w:rPr>
          <w:sz w:val="22"/>
          <w:szCs w:val="22"/>
          <w:lang w:val="es-ES" w:eastAsia="es-ES"/>
        </w:rPr>
      </w:pPr>
    </w:p>
    <w:p w14:paraId="498A2629" w14:textId="77777777" w:rsidR="001A4860" w:rsidRPr="001A4860" w:rsidRDefault="001A4860" w:rsidP="001A4860">
      <w:pPr>
        <w:keepNext/>
        <w:ind w:left="720" w:hanging="720"/>
        <w:outlineLvl w:val="2"/>
        <w:rPr>
          <w:rFonts w:eastAsia="Arial Narrow"/>
          <w:b/>
          <w:bCs/>
          <w:iCs/>
          <w:sz w:val="22"/>
          <w:szCs w:val="22"/>
          <w:lang w:val="es-ES" w:bidi="en-US"/>
        </w:rPr>
      </w:pPr>
      <w:bookmarkStart w:id="916" w:name="_Toc23249514"/>
      <w:r w:rsidRPr="001A4860">
        <w:rPr>
          <w:rFonts w:eastAsia="Arial Narrow"/>
          <w:b/>
          <w:bCs/>
          <w:iCs/>
          <w:sz w:val="22"/>
          <w:szCs w:val="22"/>
          <w:lang w:val="es-ES" w:bidi="en-US"/>
        </w:rPr>
        <w:t>Pruebas</w:t>
      </w:r>
      <w:bookmarkEnd w:id="916"/>
    </w:p>
    <w:p w14:paraId="53E6CDEE" w14:textId="77777777" w:rsidR="001A4860" w:rsidRPr="001A4860" w:rsidRDefault="001A4860" w:rsidP="001A4860">
      <w:pPr>
        <w:rPr>
          <w:sz w:val="22"/>
          <w:szCs w:val="22"/>
          <w:lang w:val="es-ES" w:eastAsia="es-ES"/>
        </w:rPr>
      </w:pPr>
    </w:p>
    <w:p w14:paraId="587717E6" w14:textId="77777777" w:rsidR="001A4860" w:rsidRPr="001A4860" w:rsidRDefault="001A4860" w:rsidP="001A4860">
      <w:pPr>
        <w:rPr>
          <w:sz w:val="22"/>
          <w:szCs w:val="22"/>
          <w:lang w:val="es-ES" w:eastAsia="es-ES"/>
        </w:rPr>
      </w:pPr>
      <w:r w:rsidRPr="001A4860">
        <w:rPr>
          <w:sz w:val="22"/>
          <w:szCs w:val="22"/>
          <w:lang w:val="es-ES" w:eastAsia="es-ES"/>
        </w:rPr>
        <w:t>Se examina todo el sistema eléctrico y la conexión de los motores para verificar su correcta operación.</w:t>
      </w:r>
    </w:p>
    <w:p w14:paraId="6BDCB6BB" w14:textId="77777777" w:rsidR="001A4860" w:rsidRPr="001A4860" w:rsidRDefault="001A4860" w:rsidP="001A4860">
      <w:pPr>
        <w:rPr>
          <w:sz w:val="22"/>
          <w:szCs w:val="22"/>
          <w:lang w:val="es-ES" w:eastAsia="es-ES"/>
        </w:rPr>
      </w:pPr>
    </w:p>
    <w:p w14:paraId="0D5B1E85" w14:textId="77777777" w:rsidR="001A4860" w:rsidRPr="001A4860" w:rsidRDefault="001A4860" w:rsidP="001A4860">
      <w:pPr>
        <w:rPr>
          <w:sz w:val="22"/>
          <w:szCs w:val="22"/>
          <w:lang w:val="es-ES" w:eastAsia="es-ES"/>
        </w:rPr>
      </w:pPr>
      <w:r w:rsidRPr="001A4860">
        <w:rPr>
          <w:sz w:val="22"/>
          <w:szCs w:val="22"/>
          <w:lang w:val="es-ES" w:eastAsia="es-ES"/>
        </w:rPr>
        <w:t>Deben al terminarse las obras de Instalaciones Eléctricas, efectuarse pruebas para determinar posibles fallos de cortocircuito o fallas a tierra. Las resistencias de aislamiento deben ser iguales o superiores a los exigidos en el código eléctrico.</w:t>
      </w:r>
    </w:p>
    <w:p w14:paraId="7BAE8E15" w14:textId="77777777" w:rsidR="001A4860" w:rsidRPr="001A4860" w:rsidRDefault="001A4860" w:rsidP="001A4860">
      <w:pPr>
        <w:rPr>
          <w:sz w:val="22"/>
          <w:szCs w:val="22"/>
          <w:lang w:val="es-ES" w:eastAsia="es-ES"/>
        </w:rPr>
      </w:pPr>
    </w:p>
    <w:p w14:paraId="728DBD8D" w14:textId="77777777" w:rsidR="001A4860" w:rsidRPr="001A4860" w:rsidRDefault="001A4860" w:rsidP="001A4860">
      <w:pPr>
        <w:rPr>
          <w:sz w:val="22"/>
          <w:szCs w:val="22"/>
          <w:lang w:val="es-ES" w:eastAsia="es-ES"/>
        </w:rPr>
      </w:pPr>
      <w:r w:rsidRPr="001A4860">
        <w:rPr>
          <w:sz w:val="22"/>
          <w:szCs w:val="22"/>
          <w:lang w:val="es-ES" w:eastAsia="es-ES"/>
        </w:rPr>
        <w:t>Se prueba la impedancia a tierra del sistema eléctrico y esta no debe exceder el valor de dos Ohmio, medios en la época más seca del año.</w:t>
      </w:r>
    </w:p>
    <w:p w14:paraId="42ADC93A" w14:textId="77777777" w:rsidR="001A4860" w:rsidRPr="001A4860" w:rsidRDefault="001A4860" w:rsidP="001A4860">
      <w:pPr>
        <w:rPr>
          <w:sz w:val="22"/>
          <w:szCs w:val="22"/>
          <w:lang w:val="es-ES" w:eastAsia="es-ES"/>
        </w:rPr>
      </w:pPr>
    </w:p>
    <w:p w14:paraId="200D8B6A" w14:textId="77777777" w:rsidR="001A4860" w:rsidRPr="001A4860" w:rsidRDefault="001A4860" w:rsidP="001A4860">
      <w:pPr>
        <w:keepNext/>
        <w:ind w:left="720" w:hanging="720"/>
        <w:outlineLvl w:val="2"/>
        <w:rPr>
          <w:rFonts w:eastAsia="Arial Narrow"/>
          <w:b/>
          <w:bCs/>
          <w:iCs/>
          <w:sz w:val="22"/>
          <w:szCs w:val="22"/>
          <w:lang w:val="es-ES" w:bidi="en-US"/>
        </w:rPr>
      </w:pPr>
      <w:bookmarkStart w:id="917" w:name="_Toc23249515"/>
      <w:r w:rsidRPr="001A4860">
        <w:rPr>
          <w:rFonts w:eastAsia="Arial Narrow"/>
          <w:b/>
          <w:bCs/>
          <w:iCs/>
          <w:sz w:val="22"/>
          <w:szCs w:val="22"/>
          <w:lang w:val="es-ES" w:bidi="en-US"/>
        </w:rPr>
        <w:t>Limpieza y entrega final</w:t>
      </w:r>
      <w:bookmarkEnd w:id="917"/>
    </w:p>
    <w:p w14:paraId="42AA3713" w14:textId="77777777" w:rsidR="001A4860" w:rsidRPr="001A4860" w:rsidRDefault="001A4860" w:rsidP="001A4860">
      <w:pPr>
        <w:rPr>
          <w:sz w:val="22"/>
          <w:szCs w:val="22"/>
          <w:lang w:val="es-ES" w:eastAsia="es-ES"/>
        </w:rPr>
      </w:pPr>
    </w:p>
    <w:p w14:paraId="170FBE61" w14:textId="77777777" w:rsidR="001A4860" w:rsidRPr="001A4860" w:rsidRDefault="001A4860" w:rsidP="001A4860">
      <w:pPr>
        <w:rPr>
          <w:sz w:val="22"/>
          <w:szCs w:val="22"/>
          <w:lang w:val="es-ES" w:eastAsia="es-ES"/>
        </w:rPr>
      </w:pPr>
      <w:r w:rsidRPr="001A4860">
        <w:rPr>
          <w:sz w:val="22"/>
          <w:szCs w:val="22"/>
          <w:lang w:val="es-ES" w:eastAsia="es-ES"/>
        </w:rPr>
        <w:t>Durante el desarrollo del trabajo y a su conclusión, el Contratista retira del área de trabajo toda suciedad y material de desperdicio ocasionado por él como resultado de su trabajo.</w:t>
      </w:r>
    </w:p>
    <w:p w14:paraId="520746FC" w14:textId="77777777" w:rsidR="001A4860" w:rsidRPr="001A4860" w:rsidRDefault="001A4860" w:rsidP="001A4860">
      <w:pPr>
        <w:rPr>
          <w:sz w:val="22"/>
          <w:szCs w:val="22"/>
          <w:lang w:val="es-ES" w:eastAsia="es-ES"/>
        </w:rPr>
      </w:pPr>
    </w:p>
    <w:p w14:paraId="7C3B10C7" w14:textId="77777777" w:rsidR="001A4860" w:rsidRPr="001A4860" w:rsidRDefault="001A4860" w:rsidP="001A4860">
      <w:pPr>
        <w:rPr>
          <w:sz w:val="22"/>
          <w:szCs w:val="22"/>
          <w:lang w:val="es-ES" w:eastAsia="es-ES"/>
        </w:rPr>
      </w:pPr>
      <w:r w:rsidRPr="001A4860">
        <w:rPr>
          <w:sz w:val="22"/>
          <w:szCs w:val="22"/>
          <w:lang w:val="es-ES" w:eastAsia="es-ES"/>
        </w:rPr>
        <w:t>Debe remover todas las herramientas, andamios y cualquier material de excedente, desperdicios una vez que se haya terminado y aceptado la obra descrita en este contrato.</w:t>
      </w:r>
    </w:p>
    <w:p w14:paraId="00FF9D54" w14:textId="77777777" w:rsidR="001A4860" w:rsidRPr="001A4860" w:rsidRDefault="001A4860" w:rsidP="001A4860">
      <w:pPr>
        <w:rPr>
          <w:sz w:val="22"/>
          <w:szCs w:val="22"/>
          <w:lang w:val="es-ES" w:eastAsia="es-ES"/>
        </w:rPr>
      </w:pPr>
    </w:p>
    <w:p w14:paraId="69435CE1" w14:textId="77777777" w:rsidR="001A4860" w:rsidRPr="001A4860" w:rsidRDefault="001A4860" w:rsidP="001A4860">
      <w:pPr>
        <w:rPr>
          <w:sz w:val="22"/>
          <w:szCs w:val="22"/>
          <w:lang w:val="es-ES" w:eastAsia="es-ES"/>
        </w:rPr>
      </w:pPr>
      <w:r w:rsidRPr="001A4860">
        <w:rPr>
          <w:sz w:val="22"/>
          <w:szCs w:val="22"/>
          <w:lang w:val="es-ES" w:eastAsia="es-ES"/>
        </w:rPr>
        <w:t>La obra debe ser entregada al Contratante completamente terminada y en condiciones operativas, presentando los certificados de inspección y aprobación por los organismos autorizados del caso y el visto bueno del Supervisor.</w:t>
      </w:r>
    </w:p>
    <w:p w14:paraId="584F1AE0" w14:textId="77777777" w:rsidR="001A4860" w:rsidRPr="001A4860" w:rsidRDefault="001A4860" w:rsidP="001A4860">
      <w:pPr>
        <w:rPr>
          <w:sz w:val="22"/>
          <w:szCs w:val="22"/>
          <w:lang w:val="es-ES" w:eastAsia="es-ES"/>
        </w:rPr>
      </w:pPr>
    </w:p>
    <w:p w14:paraId="6DC6E155" w14:textId="77777777" w:rsidR="001A4860" w:rsidRPr="001A4860" w:rsidRDefault="001A4860" w:rsidP="001A4860">
      <w:pPr>
        <w:keepNext/>
        <w:outlineLvl w:val="1"/>
        <w:rPr>
          <w:rFonts w:eastAsia="Arial Narrow"/>
          <w:b/>
          <w:bCs/>
          <w:iCs/>
          <w:sz w:val="22"/>
          <w:szCs w:val="22"/>
          <w:lang w:val="es-NI"/>
        </w:rPr>
      </w:pPr>
      <w:bookmarkStart w:id="918" w:name="_Toc23249516"/>
      <w:r w:rsidRPr="001A4860">
        <w:rPr>
          <w:rFonts w:eastAsia="Arial Narrow"/>
          <w:b/>
          <w:bCs/>
          <w:iCs/>
          <w:sz w:val="22"/>
          <w:szCs w:val="22"/>
          <w:lang w:val="es-NI"/>
        </w:rPr>
        <w:t>Instalación de mediciones SIMEC</w:t>
      </w:r>
      <w:bookmarkEnd w:id="918"/>
    </w:p>
    <w:p w14:paraId="01BF718B" w14:textId="77777777" w:rsidR="001A4860" w:rsidRPr="001A4860" w:rsidRDefault="001A4860" w:rsidP="001A4860">
      <w:pPr>
        <w:rPr>
          <w:sz w:val="22"/>
          <w:szCs w:val="22"/>
          <w:lang w:val="es-ES" w:eastAsia="es-ES"/>
        </w:rPr>
      </w:pPr>
    </w:p>
    <w:p w14:paraId="2873981F" w14:textId="77777777" w:rsidR="001A4860" w:rsidRPr="001A4860" w:rsidRDefault="001A4860" w:rsidP="001A4860">
      <w:pPr>
        <w:rPr>
          <w:sz w:val="22"/>
          <w:szCs w:val="22"/>
          <w:lang w:val="es-ES" w:eastAsia="es-ES"/>
        </w:rPr>
      </w:pPr>
      <w:r w:rsidRPr="001A4860">
        <w:rPr>
          <w:sz w:val="22"/>
          <w:szCs w:val="22"/>
          <w:lang w:val="es-ES" w:eastAsia="es-ES"/>
        </w:rPr>
        <w:t>El Contratista debe realizar inspecciones in situ en las estaciones de bombeo seleccionadas para la instalación del sistema de medición comercial, con el fin de valorar las instalaciones existentes y determinar los alcances que requerirá la instalación y habilitación de los Nodos SIMEC.</w:t>
      </w:r>
    </w:p>
    <w:p w14:paraId="759FA0B2" w14:textId="77777777" w:rsidR="001A4860" w:rsidRPr="001A4860" w:rsidRDefault="001A4860" w:rsidP="001A4860">
      <w:pPr>
        <w:rPr>
          <w:sz w:val="22"/>
          <w:szCs w:val="22"/>
          <w:lang w:val="es-ES" w:eastAsia="es-ES"/>
        </w:rPr>
      </w:pPr>
    </w:p>
    <w:p w14:paraId="07E4CFCB" w14:textId="77777777" w:rsidR="001A4860" w:rsidRPr="001A4860" w:rsidRDefault="001A4860" w:rsidP="001A4860">
      <w:pPr>
        <w:rPr>
          <w:sz w:val="22"/>
          <w:szCs w:val="22"/>
          <w:lang w:val="es-ES" w:eastAsia="es-ES"/>
        </w:rPr>
      </w:pPr>
      <w:r w:rsidRPr="001A4860">
        <w:rPr>
          <w:sz w:val="22"/>
          <w:szCs w:val="22"/>
          <w:lang w:val="es-ES" w:eastAsia="es-ES"/>
        </w:rPr>
        <w:t>El Contratista debe suministrar e instalar todos los materiales y equipos correspondientes a la medición SIMEC, los materiales y equipos deben cumplir con lo establecido en las especificaciones técnicas para Sistemas de Medición Comercial SIMEC.</w:t>
      </w:r>
    </w:p>
    <w:p w14:paraId="70044D6C" w14:textId="77777777" w:rsidR="001A4860" w:rsidRPr="001A4860" w:rsidRDefault="001A4860" w:rsidP="001A4860">
      <w:pPr>
        <w:rPr>
          <w:sz w:val="22"/>
          <w:szCs w:val="22"/>
          <w:lang w:val="es-ES" w:eastAsia="es-ES"/>
        </w:rPr>
      </w:pPr>
    </w:p>
    <w:p w14:paraId="701B2EA7" w14:textId="77777777" w:rsidR="001A4860" w:rsidRPr="001A4860" w:rsidRDefault="001A4860" w:rsidP="001A4860">
      <w:pPr>
        <w:rPr>
          <w:sz w:val="22"/>
          <w:szCs w:val="22"/>
          <w:lang w:val="es-ES" w:eastAsia="es-ES"/>
        </w:rPr>
      </w:pPr>
    </w:p>
    <w:p w14:paraId="5DD9B7C6" w14:textId="77777777" w:rsidR="001A4860" w:rsidRPr="001A4860" w:rsidRDefault="001A4860" w:rsidP="001A4860">
      <w:pPr>
        <w:rPr>
          <w:sz w:val="22"/>
          <w:szCs w:val="22"/>
          <w:lang w:val="es-ES" w:eastAsia="es-ES"/>
        </w:rPr>
      </w:pPr>
      <w:r w:rsidRPr="001A4860">
        <w:rPr>
          <w:sz w:val="22"/>
          <w:szCs w:val="22"/>
          <w:lang w:val="es-ES" w:eastAsia="es-ES"/>
        </w:rPr>
        <w:t>El Contratista debe entregar al Contratante el Nodo SIMEC Auditado y listo para su habilitación en el CNDC, para lo cual debe apegarse estrictamente al cumplimiento de lo establecido en la Normativa de Operación en su Anexo Comercial; Sistema de Medición Comercial.</w:t>
      </w:r>
    </w:p>
    <w:p w14:paraId="046C118E" w14:textId="77777777" w:rsidR="001A4860" w:rsidRPr="001A4860" w:rsidRDefault="001A4860" w:rsidP="001A4860">
      <w:pPr>
        <w:rPr>
          <w:sz w:val="22"/>
          <w:szCs w:val="22"/>
          <w:lang w:val="es-ES" w:eastAsia="es-ES"/>
        </w:rPr>
      </w:pPr>
    </w:p>
    <w:p w14:paraId="40EA3A45" w14:textId="77777777" w:rsidR="001A4860" w:rsidRPr="001A4860" w:rsidRDefault="001A4860" w:rsidP="001A4860">
      <w:pPr>
        <w:keepNext/>
        <w:outlineLvl w:val="1"/>
        <w:rPr>
          <w:rFonts w:eastAsia="Arial Narrow"/>
          <w:b/>
          <w:bCs/>
          <w:iCs/>
          <w:sz w:val="22"/>
          <w:szCs w:val="22"/>
          <w:lang w:val="es-NI"/>
        </w:rPr>
      </w:pPr>
      <w:bookmarkStart w:id="919" w:name="_Toc23249517"/>
      <w:r w:rsidRPr="001A4860">
        <w:rPr>
          <w:rFonts w:eastAsia="Arial Narrow"/>
          <w:b/>
          <w:bCs/>
          <w:iCs/>
          <w:sz w:val="22"/>
          <w:szCs w:val="22"/>
          <w:lang w:val="es-NI"/>
        </w:rPr>
        <w:lastRenderedPageBreak/>
        <w:t>Conductor utilizado para señal de TP’S y TC’S al medidor multifuncional</w:t>
      </w:r>
      <w:bookmarkEnd w:id="919"/>
    </w:p>
    <w:p w14:paraId="74CA400E" w14:textId="77777777" w:rsidR="001A4860" w:rsidRPr="001A4860" w:rsidRDefault="001A4860" w:rsidP="001A4860">
      <w:pPr>
        <w:rPr>
          <w:sz w:val="22"/>
          <w:szCs w:val="22"/>
          <w:lang w:val="es-ES" w:eastAsia="es-ES"/>
        </w:rPr>
      </w:pPr>
    </w:p>
    <w:p w14:paraId="0E0854DF" w14:textId="77777777" w:rsidR="001A4860" w:rsidRPr="001A4860" w:rsidRDefault="001A4860" w:rsidP="001A4860">
      <w:pPr>
        <w:rPr>
          <w:sz w:val="22"/>
          <w:szCs w:val="22"/>
          <w:lang w:val="es-ES" w:eastAsia="es-ES"/>
        </w:rPr>
      </w:pPr>
      <w:r w:rsidRPr="001A4860">
        <w:rPr>
          <w:sz w:val="22"/>
          <w:szCs w:val="22"/>
          <w:lang w:val="es-ES" w:eastAsia="es-ES"/>
        </w:rPr>
        <w:t>Los conductores eléctricos utilizados para la señal de voltaje y corriente que llegara a los contadores de energía, deben ser de cobre suave cableado con aislamiento individual termoplástico de cloruro de Polivinilo (PVC) y estar protegidos por una cubierta de Nylon y encima de ésta, un relleno desgarrable que permite una mejor instalación. Finalmente, una cubierta externa de Cloruro de Polivinilo (PVC) resistente a la humedad y rayos ultravioletas de la luz solar. Las normas que debe cumplir son ASTM B3, B8, UL-83 y UL-1277. El diámetro mínimo a utilizar es el Nº 10, libre de empalmes desde los TC’s y TP’s hasta los contadores de energía.</w:t>
      </w:r>
    </w:p>
    <w:p w14:paraId="70ACA52F" w14:textId="77777777" w:rsidR="001A4860" w:rsidRPr="001A4860" w:rsidRDefault="001A4860" w:rsidP="001A4860">
      <w:pPr>
        <w:rPr>
          <w:sz w:val="22"/>
          <w:szCs w:val="22"/>
          <w:lang w:val="es-ES" w:eastAsia="es-ES"/>
        </w:rPr>
      </w:pPr>
    </w:p>
    <w:p w14:paraId="2A49E26E" w14:textId="77777777" w:rsidR="001A4860" w:rsidRPr="001A4860" w:rsidRDefault="001A4860" w:rsidP="001A4860">
      <w:pPr>
        <w:rPr>
          <w:sz w:val="22"/>
          <w:szCs w:val="22"/>
          <w:lang w:val="es-ES" w:eastAsia="es-ES"/>
        </w:rPr>
      </w:pPr>
      <w:r w:rsidRPr="001A4860">
        <w:rPr>
          <w:sz w:val="22"/>
          <w:szCs w:val="22"/>
          <w:lang w:val="es-ES" w:eastAsia="es-ES"/>
        </w:rPr>
        <w:t>Para esta aplicación no habrá partes del conductor al aire libre, debido a que se protegerá con tubería conduit sea de PVC o metal. Como en la mayoría de las estaciones de bombeo donde es instalados medidores SIMEC los TP’s y TC’s están ubicados en poste de concreto, es necesario utilizar al menos tres tipos de tubería en la que figuran flexibles, PVC y metal.</w:t>
      </w:r>
    </w:p>
    <w:p w14:paraId="6F804E3B" w14:textId="77777777" w:rsidR="001A4860" w:rsidRPr="001A4860" w:rsidRDefault="001A4860" w:rsidP="001A4860">
      <w:pPr>
        <w:rPr>
          <w:sz w:val="22"/>
          <w:szCs w:val="22"/>
          <w:lang w:val="es-ES" w:eastAsia="es-ES"/>
        </w:rPr>
      </w:pPr>
    </w:p>
    <w:p w14:paraId="28461716" w14:textId="77777777" w:rsidR="001A4860" w:rsidRPr="001A4860" w:rsidRDefault="001A4860" w:rsidP="001A4860">
      <w:pPr>
        <w:rPr>
          <w:sz w:val="22"/>
          <w:szCs w:val="22"/>
          <w:lang w:val="es-ES" w:eastAsia="es-ES"/>
        </w:rPr>
      </w:pPr>
      <w:r w:rsidRPr="001A4860">
        <w:rPr>
          <w:sz w:val="22"/>
          <w:szCs w:val="22"/>
          <w:lang w:val="es-ES" w:eastAsia="es-ES"/>
        </w:rPr>
        <w:t>Las protecciones para los conductores es los citados anteriormente, considerando para las secciones que están bajo tierra a 50 cm. tubería conduit PVC, para las secciones al aire libre sujetado al poste cada dos metros, tubería de metal preferiblemente IMC y por último, en las conexiones entre los TP’s y TC’s es utilizado tubo flexible de metal con cubierta de PVC.</w:t>
      </w:r>
    </w:p>
    <w:p w14:paraId="23F05EF7" w14:textId="77777777" w:rsidR="001A4860" w:rsidRPr="001A4860" w:rsidRDefault="001A4860" w:rsidP="001A4860">
      <w:pPr>
        <w:rPr>
          <w:sz w:val="22"/>
          <w:szCs w:val="22"/>
          <w:lang w:val="es-ES" w:eastAsia="es-ES"/>
        </w:rPr>
      </w:pPr>
    </w:p>
    <w:p w14:paraId="5777F781" w14:textId="77777777" w:rsidR="001A4860" w:rsidRPr="001A4860" w:rsidRDefault="001A4860" w:rsidP="001A4860">
      <w:pPr>
        <w:rPr>
          <w:sz w:val="22"/>
          <w:szCs w:val="22"/>
          <w:lang w:val="es-ES" w:eastAsia="es-ES"/>
        </w:rPr>
      </w:pPr>
      <w:r w:rsidRPr="001A4860">
        <w:rPr>
          <w:sz w:val="22"/>
          <w:szCs w:val="22"/>
          <w:lang w:val="es-ES" w:eastAsia="es-ES"/>
        </w:rPr>
        <w:t>Las uniones deben seleccionarse e instalarse de acuerdo al tipo de tubo necesaria para cada caso. En las uniones roscadas debe coincidir el tipo de rosca de las piezas a acoplar para lograr un ajuste uniforme a través de toda la unión y para el caso de uniones lisas entre tubos PVC, se debe aplicar pegamento de tal forma que impida la filtración de agua o humedad.</w:t>
      </w:r>
    </w:p>
    <w:p w14:paraId="305EFE89" w14:textId="77777777" w:rsidR="001A4860" w:rsidRPr="001A4860" w:rsidRDefault="001A4860" w:rsidP="001A4860">
      <w:pPr>
        <w:rPr>
          <w:sz w:val="22"/>
          <w:szCs w:val="22"/>
          <w:lang w:val="es-ES" w:eastAsia="es-ES"/>
        </w:rPr>
      </w:pPr>
    </w:p>
    <w:p w14:paraId="47578C1C" w14:textId="77777777" w:rsidR="001A4860" w:rsidRPr="001A4860" w:rsidRDefault="001A4860" w:rsidP="001A4860">
      <w:pPr>
        <w:keepNext/>
        <w:outlineLvl w:val="1"/>
        <w:rPr>
          <w:rFonts w:eastAsia="Arial Narrow"/>
          <w:b/>
          <w:bCs/>
          <w:iCs/>
          <w:sz w:val="22"/>
          <w:szCs w:val="22"/>
          <w:lang w:val="es-NI"/>
        </w:rPr>
      </w:pPr>
      <w:bookmarkStart w:id="920" w:name="_Toc23249518"/>
      <w:r w:rsidRPr="001A4860">
        <w:rPr>
          <w:rFonts w:eastAsia="Arial Narrow"/>
          <w:b/>
          <w:bCs/>
          <w:iCs/>
          <w:sz w:val="22"/>
          <w:szCs w:val="22"/>
          <w:lang w:val="es-NI"/>
        </w:rPr>
        <w:t>Montaje de transformadores de potencial y corriente</w:t>
      </w:r>
      <w:bookmarkEnd w:id="920"/>
    </w:p>
    <w:p w14:paraId="04A6ECCF" w14:textId="77777777" w:rsidR="001A4860" w:rsidRPr="001A4860" w:rsidRDefault="001A4860" w:rsidP="001A4860">
      <w:pPr>
        <w:rPr>
          <w:sz w:val="22"/>
          <w:szCs w:val="22"/>
          <w:lang w:val="es-ES" w:eastAsia="es-ES"/>
        </w:rPr>
      </w:pPr>
    </w:p>
    <w:p w14:paraId="12D7847D" w14:textId="77777777" w:rsidR="001A4860" w:rsidRPr="001A4860" w:rsidRDefault="001A4860" w:rsidP="001A4860">
      <w:pPr>
        <w:rPr>
          <w:sz w:val="22"/>
          <w:szCs w:val="22"/>
          <w:lang w:val="es-ES" w:eastAsia="es-ES"/>
        </w:rPr>
      </w:pPr>
      <w:r w:rsidRPr="001A4860">
        <w:rPr>
          <w:sz w:val="22"/>
          <w:szCs w:val="22"/>
          <w:lang w:val="es-ES" w:eastAsia="es-ES"/>
        </w:rPr>
        <w:t>El montaje de los transformadores de Corriente y potencial se debe realizar en crucetas de acero galvanizadas. Los transformador de corriente o potencial, es montados sobre crucetas independiente (tres transformadores de corrientes o tres transformadores de potencial en dos crucetas de acero galvanizado), la forma de sujetar los transformadores TC’s y TP’s a las crucetas, se realiza por medio de pernos de acero galvanizado con sus respectivas arandelas lisas y de presión o por medio de cinta de metal. Se deben asegurar de tal forma que no permita la movilidad en ninguna dirección.</w:t>
      </w:r>
    </w:p>
    <w:p w14:paraId="7102673B" w14:textId="77777777" w:rsidR="001A4860" w:rsidRPr="001A4860" w:rsidRDefault="001A4860" w:rsidP="001A4860">
      <w:pPr>
        <w:rPr>
          <w:sz w:val="22"/>
          <w:szCs w:val="22"/>
          <w:lang w:val="es-ES" w:eastAsia="es-ES"/>
        </w:rPr>
      </w:pPr>
    </w:p>
    <w:p w14:paraId="043F28A4" w14:textId="77777777" w:rsidR="001A4860" w:rsidRPr="001A4860" w:rsidRDefault="001A4860" w:rsidP="001A4860">
      <w:pPr>
        <w:keepNext/>
        <w:outlineLvl w:val="1"/>
        <w:rPr>
          <w:rFonts w:eastAsia="Arial Narrow"/>
          <w:b/>
          <w:bCs/>
          <w:iCs/>
          <w:sz w:val="22"/>
          <w:szCs w:val="22"/>
          <w:lang w:val="es-NI"/>
        </w:rPr>
      </w:pPr>
      <w:bookmarkStart w:id="921" w:name="_Toc23249519"/>
      <w:r w:rsidRPr="001A4860">
        <w:rPr>
          <w:rFonts w:eastAsia="Arial Narrow"/>
          <w:b/>
          <w:bCs/>
          <w:iCs/>
          <w:sz w:val="22"/>
          <w:szCs w:val="22"/>
          <w:lang w:val="es-NI"/>
        </w:rPr>
        <w:t>Aterrizamiento de equipos de medición y estructuras</w:t>
      </w:r>
      <w:bookmarkEnd w:id="921"/>
    </w:p>
    <w:p w14:paraId="0606C5C4" w14:textId="77777777" w:rsidR="001A4860" w:rsidRPr="001A4860" w:rsidRDefault="001A4860" w:rsidP="001A4860">
      <w:pPr>
        <w:rPr>
          <w:sz w:val="22"/>
          <w:szCs w:val="22"/>
          <w:lang w:val="es-ES" w:eastAsia="es-ES"/>
        </w:rPr>
      </w:pPr>
    </w:p>
    <w:p w14:paraId="4CDDADCB" w14:textId="77777777" w:rsidR="001A4860" w:rsidRPr="001A4860" w:rsidRDefault="001A4860" w:rsidP="001A4860">
      <w:pPr>
        <w:rPr>
          <w:sz w:val="22"/>
          <w:szCs w:val="22"/>
          <w:lang w:val="es-ES" w:eastAsia="es-ES"/>
        </w:rPr>
      </w:pPr>
    </w:p>
    <w:p w14:paraId="6F612A6C" w14:textId="77777777" w:rsidR="001A4860" w:rsidRPr="001A4860" w:rsidRDefault="001A4860" w:rsidP="001A4860">
      <w:pPr>
        <w:rPr>
          <w:sz w:val="22"/>
          <w:szCs w:val="22"/>
          <w:lang w:val="es-ES" w:eastAsia="es-ES"/>
        </w:rPr>
      </w:pPr>
      <w:r w:rsidRPr="001A4860">
        <w:rPr>
          <w:sz w:val="22"/>
          <w:szCs w:val="22"/>
          <w:lang w:val="es-ES" w:eastAsia="es-ES"/>
        </w:rPr>
        <w:t>Todas las estructuras de metal de media tensión y equipos de medición SIMEC, deben ser debidamente aterrizados por medio de un conductor de cobre desnudo con diámetro de 33.63 mm2  o Nº 2 AWG, este conductor se prolongara por toda la longitud del poste y sujetado cada dos metros por medio de cinta de metal hasta la superficie del suelo y se conectara a las varillas de aterrizamiento de cobre que conformaran una red a tierra.</w:t>
      </w:r>
    </w:p>
    <w:p w14:paraId="7DA55DBA" w14:textId="77777777" w:rsidR="001A4860" w:rsidRPr="001A4860" w:rsidRDefault="001A4860" w:rsidP="001A4860">
      <w:pPr>
        <w:rPr>
          <w:sz w:val="22"/>
          <w:szCs w:val="22"/>
          <w:lang w:val="es-ES" w:eastAsia="es-ES"/>
        </w:rPr>
      </w:pPr>
    </w:p>
    <w:p w14:paraId="4C09A95F" w14:textId="77777777" w:rsidR="001A4860" w:rsidRPr="001A4860" w:rsidRDefault="001A4860" w:rsidP="001A4860">
      <w:pPr>
        <w:rPr>
          <w:sz w:val="22"/>
          <w:szCs w:val="22"/>
          <w:lang w:val="es-ES" w:eastAsia="es-ES"/>
        </w:rPr>
      </w:pPr>
      <w:r w:rsidRPr="001A4860">
        <w:rPr>
          <w:sz w:val="22"/>
          <w:szCs w:val="22"/>
          <w:lang w:val="es-ES" w:eastAsia="es-ES"/>
        </w:rPr>
        <w:t>La conexión a tierra de los equipos de medición (carcaza) y de las estructuras de media tensión, se realiza por medio de terminales de ojo debidamente comprimidos al conductor de cobre, cuando exista conexión entre conductores de cobre o entre conductores de cobre y conductores de aluminio, se deben realizar por medio de conectores de compresión bimetálicos para evitar la formación de óxidos que provoquen contacto deficiente.</w:t>
      </w:r>
    </w:p>
    <w:p w14:paraId="29B384A5" w14:textId="77777777" w:rsidR="001A4860" w:rsidRPr="001A4860" w:rsidRDefault="001A4860" w:rsidP="001A4860">
      <w:pPr>
        <w:rPr>
          <w:sz w:val="22"/>
          <w:szCs w:val="22"/>
          <w:lang w:val="es-ES" w:eastAsia="es-ES"/>
        </w:rPr>
      </w:pPr>
    </w:p>
    <w:p w14:paraId="66F46D54" w14:textId="77777777" w:rsidR="001A4860" w:rsidRPr="001A4860" w:rsidRDefault="001A4860" w:rsidP="001A4860">
      <w:pPr>
        <w:keepNext/>
        <w:outlineLvl w:val="1"/>
        <w:rPr>
          <w:rFonts w:eastAsia="Arial Narrow"/>
          <w:b/>
          <w:bCs/>
          <w:iCs/>
          <w:sz w:val="22"/>
          <w:szCs w:val="22"/>
          <w:lang w:val="es-NI"/>
        </w:rPr>
      </w:pPr>
      <w:bookmarkStart w:id="922" w:name="_Toc23249520"/>
      <w:r w:rsidRPr="001A4860">
        <w:rPr>
          <w:rFonts w:eastAsia="Arial Narrow"/>
          <w:b/>
          <w:bCs/>
          <w:iCs/>
          <w:sz w:val="22"/>
          <w:szCs w:val="22"/>
          <w:lang w:val="es-NI"/>
        </w:rPr>
        <w:lastRenderedPageBreak/>
        <w:t>Red de tierra</w:t>
      </w:r>
      <w:bookmarkEnd w:id="922"/>
    </w:p>
    <w:p w14:paraId="4A1322FB" w14:textId="77777777" w:rsidR="001A4860" w:rsidRPr="001A4860" w:rsidRDefault="001A4860" w:rsidP="001A4860">
      <w:pPr>
        <w:rPr>
          <w:sz w:val="22"/>
          <w:szCs w:val="22"/>
          <w:lang w:val="es-ES" w:eastAsia="es-ES"/>
        </w:rPr>
      </w:pPr>
    </w:p>
    <w:p w14:paraId="5B31CD80" w14:textId="77777777" w:rsidR="001A4860" w:rsidRPr="001A4860" w:rsidRDefault="001A4860" w:rsidP="001A4860">
      <w:pPr>
        <w:rPr>
          <w:sz w:val="22"/>
          <w:szCs w:val="22"/>
          <w:lang w:val="es-ES" w:eastAsia="es-ES"/>
        </w:rPr>
      </w:pPr>
      <w:r w:rsidRPr="001A4860">
        <w:rPr>
          <w:sz w:val="22"/>
          <w:szCs w:val="22"/>
          <w:lang w:val="es-ES" w:eastAsia="es-ES"/>
        </w:rPr>
        <w:t>Para el aterrizamiento de los equipos de medición SIMEC y las estructuras de metal de media tensión, se debe realizar una red de tierra, consistente en la instalación de cuatro varillas de cobre con una longitud de 8’ y un diámetro de 5/8” separadas a 2 metros de distancia cada una, estas varillas están conectadas por medio de un conductor de cobre Nº 2 AWG el cual formara un anillo cerrado alrededor del poste por donde están ubicadas las varillas de cobre, la conexión entre el conductor de cobre y las varillas de cobre se realiza por medio de soldadura exotérmica.</w:t>
      </w:r>
    </w:p>
    <w:p w14:paraId="20A58AEF" w14:textId="77777777" w:rsidR="001A4860" w:rsidRPr="001A4860" w:rsidRDefault="001A4860" w:rsidP="001A4860">
      <w:pPr>
        <w:rPr>
          <w:sz w:val="22"/>
          <w:szCs w:val="22"/>
          <w:lang w:val="es-ES" w:eastAsia="es-ES"/>
        </w:rPr>
      </w:pPr>
    </w:p>
    <w:p w14:paraId="09CFA7BA" w14:textId="77777777" w:rsidR="001A4860" w:rsidRPr="001A4860" w:rsidRDefault="001A4860" w:rsidP="001A4860">
      <w:pPr>
        <w:keepNext/>
        <w:outlineLvl w:val="1"/>
        <w:rPr>
          <w:rFonts w:eastAsia="Arial Narrow"/>
          <w:b/>
          <w:bCs/>
          <w:iCs/>
          <w:sz w:val="22"/>
          <w:szCs w:val="22"/>
          <w:lang w:val="es-NI"/>
        </w:rPr>
      </w:pPr>
      <w:bookmarkStart w:id="923" w:name="_Toc23249521"/>
      <w:r w:rsidRPr="001A4860">
        <w:rPr>
          <w:rFonts w:eastAsia="Arial Narrow"/>
          <w:b/>
          <w:bCs/>
          <w:iCs/>
          <w:sz w:val="22"/>
          <w:szCs w:val="22"/>
          <w:lang w:val="es-NI"/>
        </w:rPr>
        <w:t>Varillas de puesta a tierra.</w:t>
      </w:r>
      <w:bookmarkEnd w:id="923"/>
    </w:p>
    <w:p w14:paraId="7E62472F" w14:textId="77777777" w:rsidR="001A4860" w:rsidRPr="001A4860" w:rsidRDefault="001A4860" w:rsidP="001A4860">
      <w:pPr>
        <w:rPr>
          <w:sz w:val="22"/>
          <w:szCs w:val="22"/>
          <w:lang w:val="es-ES" w:eastAsia="es-ES"/>
        </w:rPr>
      </w:pPr>
    </w:p>
    <w:p w14:paraId="1B51D442" w14:textId="77777777" w:rsidR="001A4860" w:rsidRPr="001A4860" w:rsidRDefault="001A4860" w:rsidP="001A4860">
      <w:pPr>
        <w:rPr>
          <w:sz w:val="22"/>
          <w:szCs w:val="22"/>
          <w:lang w:val="es-ES" w:eastAsia="es-ES"/>
        </w:rPr>
      </w:pPr>
      <w:r w:rsidRPr="001A4860">
        <w:rPr>
          <w:sz w:val="22"/>
          <w:szCs w:val="22"/>
          <w:lang w:val="es-ES" w:eastAsia="es-ES"/>
        </w:rPr>
        <w:t>Las varillas de puesta a tierra están formadas por una base de acero con recubrimientos de cobre. La barra de acero debe cumplir con lo establecido en la norma ASTM A370. El recubrimiento debe ser de cobre puro o aleación de cobre, el cual contiene al menos un 80% de cobre además de ser adecuado para penetrar en tierra. Las dimensiones deben ser de 5/8” de diámetro por 8’ de longitud.</w:t>
      </w:r>
    </w:p>
    <w:p w14:paraId="2D4896F5" w14:textId="77777777" w:rsidR="001A4860" w:rsidRPr="001A4860" w:rsidRDefault="001A4860" w:rsidP="001A4860">
      <w:pPr>
        <w:rPr>
          <w:sz w:val="22"/>
          <w:szCs w:val="22"/>
          <w:lang w:val="es-ES" w:eastAsia="es-ES"/>
        </w:rPr>
      </w:pPr>
    </w:p>
    <w:p w14:paraId="54D40A92" w14:textId="77777777" w:rsidR="001A4860" w:rsidRPr="001A4860" w:rsidRDefault="001A4860" w:rsidP="001A4860">
      <w:pPr>
        <w:keepNext/>
        <w:outlineLvl w:val="1"/>
        <w:rPr>
          <w:rFonts w:eastAsia="Arial Narrow"/>
          <w:b/>
          <w:bCs/>
          <w:iCs/>
          <w:sz w:val="22"/>
          <w:szCs w:val="22"/>
          <w:lang w:val="es-NI"/>
        </w:rPr>
      </w:pPr>
      <w:bookmarkStart w:id="924" w:name="_Toc23249522"/>
      <w:r w:rsidRPr="001A4860">
        <w:rPr>
          <w:rFonts w:eastAsia="Arial Narrow"/>
          <w:b/>
          <w:bCs/>
          <w:iCs/>
          <w:sz w:val="22"/>
          <w:szCs w:val="22"/>
          <w:lang w:val="es-NI"/>
        </w:rPr>
        <w:t>Conductor de cobre desnudo</w:t>
      </w:r>
      <w:bookmarkEnd w:id="924"/>
    </w:p>
    <w:p w14:paraId="65A66D83" w14:textId="77777777" w:rsidR="001A4860" w:rsidRPr="001A4860" w:rsidRDefault="001A4860" w:rsidP="001A4860">
      <w:pPr>
        <w:rPr>
          <w:sz w:val="22"/>
          <w:szCs w:val="22"/>
          <w:lang w:val="es-ES" w:eastAsia="es-ES"/>
        </w:rPr>
      </w:pPr>
    </w:p>
    <w:p w14:paraId="3CC418B3" w14:textId="77777777" w:rsidR="001A4860" w:rsidRPr="001A4860" w:rsidRDefault="001A4860" w:rsidP="001A4860">
      <w:pPr>
        <w:rPr>
          <w:sz w:val="22"/>
          <w:szCs w:val="22"/>
          <w:lang w:val="es-ES" w:eastAsia="es-ES"/>
        </w:rPr>
      </w:pPr>
      <w:r w:rsidRPr="001A4860">
        <w:rPr>
          <w:sz w:val="22"/>
          <w:szCs w:val="22"/>
          <w:lang w:val="es-ES" w:eastAsia="es-ES"/>
        </w:rPr>
        <w:t>Conductor de Cobre Suave recocido, cableado concéntrico de 19 hilos alcanzando un diámetro de 33.63 mm2 o Nº 2 AWG, para servicio hasta 600 volts. Deben ser fabricados para cumplir y exceder las especificaciones ASTM B1, y B8 y estándar de UL. aplicables de ASTM para conductores desnudo.</w:t>
      </w:r>
    </w:p>
    <w:p w14:paraId="49F46A43" w14:textId="77777777" w:rsidR="001A4860" w:rsidRPr="001A4860" w:rsidRDefault="001A4860" w:rsidP="001A4860">
      <w:pPr>
        <w:rPr>
          <w:sz w:val="22"/>
          <w:szCs w:val="22"/>
          <w:lang w:val="es-ES" w:eastAsia="es-ES"/>
        </w:rPr>
      </w:pPr>
    </w:p>
    <w:p w14:paraId="409D6102" w14:textId="77777777" w:rsidR="001A4860" w:rsidRPr="001A4860" w:rsidRDefault="001A4860" w:rsidP="001A4860">
      <w:pPr>
        <w:keepNext/>
        <w:outlineLvl w:val="1"/>
        <w:rPr>
          <w:rFonts w:eastAsia="Arial Narrow"/>
          <w:b/>
          <w:bCs/>
          <w:iCs/>
          <w:sz w:val="22"/>
          <w:szCs w:val="22"/>
          <w:lang w:val="es-NI"/>
        </w:rPr>
      </w:pPr>
      <w:bookmarkStart w:id="925" w:name="_Toc23249523"/>
      <w:r w:rsidRPr="001A4860">
        <w:rPr>
          <w:rFonts w:eastAsia="Arial Narrow"/>
          <w:b/>
          <w:bCs/>
          <w:iCs/>
          <w:sz w:val="22"/>
          <w:szCs w:val="22"/>
          <w:lang w:val="es-NI"/>
        </w:rPr>
        <w:t>Protección.</w:t>
      </w:r>
      <w:bookmarkEnd w:id="925"/>
    </w:p>
    <w:p w14:paraId="709F6D4E" w14:textId="77777777" w:rsidR="001A4860" w:rsidRPr="001A4860" w:rsidRDefault="001A4860" w:rsidP="001A4860">
      <w:pPr>
        <w:rPr>
          <w:sz w:val="22"/>
          <w:szCs w:val="22"/>
          <w:lang w:val="es-ES" w:eastAsia="es-ES"/>
        </w:rPr>
      </w:pPr>
    </w:p>
    <w:p w14:paraId="2F313289" w14:textId="77777777" w:rsidR="001A4860" w:rsidRPr="001A4860" w:rsidRDefault="001A4860" w:rsidP="001A4860">
      <w:pPr>
        <w:rPr>
          <w:sz w:val="22"/>
          <w:szCs w:val="22"/>
          <w:lang w:val="es-ES" w:eastAsia="es-ES"/>
        </w:rPr>
      </w:pPr>
      <w:r w:rsidRPr="001A4860">
        <w:rPr>
          <w:sz w:val="22"/>
          <w:szCs w:val="22"/>
          <w:lang w:val="es-ES" w:eastAsia="es-ES"/>
        </w:rPr>
        <w:t>Para rayos de distribución 18 KV conexión directa para montaje en soporte tipo poste o ménsula para cruceta, servicio a la intemperie diseñado con elemento cámara valvular de óxido metálico, incorporado a una resistencia variable no lineal. Debe cumplir las normas especificadas y publicadas por NEMA, USASI y ANSI.</w:t>
      </w:r>
    </w:p>
    <w:p w14:paraId="0D6C8C83" w14:textId="77777777" w:rsidR="001A4860" w:rsidRPr="001A4860" w:rsidRDefault="001A4860" w:rsidP="001A4860">
      <w:pPr>
        <w:rPr>
          <w:sz w:val="22"/>
          <w:szCs w:val="22"/>
          <w:lang w:val="es-ES" w:eastAsia="es-ES"/>
        </w:rPr>
      </w:pPr>
    </w:p>
    <w:p w14:paraId="18572FCB" w14:textId="77777777" w:rsidR="001A4860" w:rsidRPr="001A4860" w:rsidRDefault="001A4860" w:rsidP="001A4860">
      <w:pPr>
        <w:keepNext/>
        <w:outlineLvl w:val="1"/>
        <w:rPr>
          <w:rFonts w:eastAsia="Arial Narrow"/>
          <w:b/>
          <w:bCs/>
          <w:iCs/>
          <w:sz w:val="22"/>
          <w:szCs w:val="22"/>
          <w:lang w:val="es-NI"/>
        </w:rPr>
      </w:pPr>
      <w:bookmarkStart w:id="926" w:name="_Toc23249524"/>
      <w:r w:rsidRPr="001A4860">
        <w:rPr>
          <w:rFonts w:eastAsia="Arial Narrow"/>
          <w:b/>
          <w:bCs/>
          <w:iCs/>
          <w:sz w:val="22"/>
          <w:szCs w:val="22"/>
          <w:lang w:val="es-NI"/>
        </w:rPr>
        <w:t>Corta-circuito fusible</w:t>
      </w:r>
      <w:bookmarkEnd w:id="926"/>
    </w:p>
    <w:p w14:paraId="63D14D0B" w14:textId="77777777" w:rsidR="001A4860" w:rsidRPr="001A4860" w:rsidRDefault="001A4860" w:rsidP="001A4860">
      <w:pPr>
        <w:rPr>
          <w:sz w:val="22"/>
          <w:szCs w:val="22"/>
          <w:lang w:val="es-ES" w:eastAsia="es-ES"/>
        </w:rPr>
      </w:pPr>
    </w:p>
    <w:p w14:paraId="6F859814" w14:textId="77777777" w:rsidR="001A4860" w:rsidRPr="001A4860" w:rsidRDefault="001A4860" w:rsidP="001A4860">
      <w:pPr>
        <w:rPr>
          <w:sz w:val="22"/>
          <w:szCs w:val="22"/>
          <w:lang w:val="es-ES" w:eastAsia="es-ES"/>
        </w:rPr>
      </w:pPr>
      <w:r w:rsidRPr="001A4860">
        <w:rPr>
          <w:sz w:val="22"/>
          <w:szCs w:val="22"/>
          <w:lang w:val="es-ES" w:eastAsia="es-ES"/>
        </w:rPr>
        <w:t>Con un voltaje máximo de diseño de 14.4/24.9 KV, el corta circuito fusible tiene una placa metálica resistente a la intemperie o estarcido en el cuerpo de la porcelana, conteniendo como mínimo la siguiente información:</w:t>
      </w:r>
    </w:p>
    <w:p w14:paraId="7328257B" w14:textId="77777777" w:rsidR="001A4860" w:rsidRPr="001A4860" w:rsidRDefault="001A4860" w:rsidP="001A4860">
      <w:pPr>
        <w:rPr>
          <w:sz w:val="22"/>
          <w:szCs w:val="22"/>
          <w:lang w:val="es-ES" w:eastAsia="es-ES"/>
        </w:rPr>
      </w:pPr>
    </w:p>
    <w:p w14:paraId="6632E760" w14:textId="77777777" w:rsidR="001A4860" w:rsidRPr="001A4860" w:rsidRDefault="001A4860" w:rsidP="001A4860">
      <w:pPr>
        <w:rPr>
          <w:sz w:val="22"/>
          <w:szCs w:val="22"/>
          <w:lang w:val="es-ES" w:eastAsia="es-ES"/>
        </w:rPr>
      </w:pPr>
      <w:r w:rsidRPr="001A4860">
        <w:rPr>
          <w:sz w:val="22"/>
          <w:szCs w:val="22"/>
          <w:lang w:val="es-ES" w:eastAsia="es-ES"/>
        </w:rPr>
        <w:t>1.- Marca del fabricante</w:t>
      </w:r>
    </w:p>
    <w:p w14:paraId="49E34C47" w14:textId="77777777" w:rsidR="001A4860" w:rsidRPr="001A4860" w:rsidRDefault="001A4860" w:rsidP="001A4860">
      <w:pPr>
        <w:rPr>
          <w:sz w:val="22"/>
          <w:szCs w:val="22"/>
          <w:lang w:val="es-ES" w:eastAsia="es-ES"/>
        </w:rPr>
      </w:pPr>
      <w:r w:rsidRPr="001A4860">
        <w:rPr>
          <w:sz w:val="22"/>
          <w:szCs w:val="22"/>
          <w:lang w:val="es-ES" w:eastAsia="es-ES"/>
        </w:rPr>
        <w:t>2.- Corriente continua nominal</w:t>
      </w:r>
    </w:p>
    <w:p w14:paraId="2FF22A0B" w14:textId="77777777" w:rsidR="001A4860" w:rsidRPr="001A4860" w:rsidRDefault="001A4860" w:rsidP="001A4860">
      <w:pPr>
        <w:rPr>
          <w:sz w:val="22"/>
          <w:szCs w:val="22"/>
          <w:lang w:val="es-ES" w:eastAsia="es-ES"/>
        </w:rPr>
      </w:pPr>
      <w:r w:rsidRPr="001A4860">
        <w:rPr>
          <w:sz w:val="22"/>
          <w:szCs w:val="22"/>
          <w:lang w:val="es-ES" w:eastAsia="es-ES"/>
        </w:rPr>
        <w:t>3.- Corriente interruptiva asimétrica</w:t>
      </w:r>
    </w:p>
    <w:p w14:paraId="7843B133" w14:textId="77777777" w:rsidR="001A4860" w:rsidRPr="001A4860" w:rsidRDefault="001A4860" w:rsidP="001A4860">
      <w:pPr>
        <w:rPr>
          <w:sz w:val="22"/>
          <w:szCs w:val="22"/>
          <w:lang w:val="es-ES" w:eastAsia="es-ES"/>
        </w:rPr>
      </w:pPr>
      <w:r w:rsidRPr="001A4860">
        <w:rPr>
          <w:sz w:val="22"/>
          <w:szCs w:val="22"/>
          <w:lang w:val="es-ES" w:eastAsia="es-ES"/>
        </w:rPr>
        <w:t>4.- Voltaje máximo de diseño</w:t>
      </w:r>
    </w:p>
    <w:p w14:paraId="57F1DD20" w14:textId="77777777" w:rsidR="001A4860" w:rsidRPr="001A4860" w:rsidRDefault="001A4860" w:rsidP="001A4860">
      <w:pPr>
        <w:rPr>
          <w:sz w:val="22"/>
          <w:szCs w:val="22"/>
          <w:lang w:val="es-ES" w:eastAsia="es-ES"/>
        </w:rPr>
      </w:pPr>
      <w:r w:rsidRPr="001A4860">
        <w:rPr>
          <w:sz w:val="22"/>
          <w:szCs w:val="22"/>
          <w:lang w:val="es-ES" w:eastAsia="es-ES"/>
        </w:rPr>
        <w:t>5.- Nivel básico de impulso</w:t>
      </w:r>
    </w:p>
    <w:p w14:paraId="74BCE82B" w14:textId="77777777" w:rsidR="001A4860" w:rsidRPr="001A4860" w:rsidRDefault="001A4860" w:rsidP="001A4860">
      <w:pPr>
        <w:rPr>
          <w:sz w:val="22"/>
          <w:szCs w:val="22"/>
          <w:lang w:val="es-ES" w:eastAsia="es-ES"/>
        </w:rPr>
      </w:pPr>
    </w:p>
    <w:p w14:paraId="0E23A7C5" w14:textId="77777777" w:rsidR="001A4860" w:rsidRPr="001A4860" w:rsidRDefault="001A4860" w:rsidP="001A4860">
      <w:pPr>
        <w:rPr>
          <w:sz w:val="22"/>
          <w:szCs w:val="22"/>
          <w:lang w:val="es-ES" w:eastAsia="es-ES"/>
        </w:rPr>
      </w:pPr>
      <w:r w:rsidRPr="001A4860">
        <w:rPr>
          <w:sz w:val="22"/>
          <w:szCs w:val="22"/>
          <w:lang w:val="es-ES" w:eastAsia="es-ES"/>
        </w:rPr>
        <w:t>Clase:</w:t>
      </w:r>
      <w:r w:rsidRPr="001A4860">
        <w:rPr>
          <w:sz w:val="22"/>
          <w:szCs w:val="22"/>
          <w:lang w:val="es-ES" w:eastAsia="es-ES"/>
        </w:rPr>
        <w:tab/>
      </w:r>
      <w:r w:rsidRPr="001A4860">
        <w:rPr>
          <w:sz w:val="22"/>
          <w:szCs w:val="22"/>
          <w:lang w:val="es-ES" w:eastAsia="es-ES"/>
        </w:rPr>
        <w:tab/>
      </w:r>
      <w:r w:rsidRPr="001A4860">
        <w:rPr>
          <w:sz w:val="22"/>
          <w:szCs w:val="22"/>
          <w:lang w:val="es-ES" w:eastAsia="es-ES"/>
        </w:rPr>
        <w:tab/>
        <w:t xml:space="preserve">Distribución </w:t>
      </w:r>
    </w:p>
    <w:p w14:paraId="08E7E4A5" w14:textId="77777777" w:rsidR="001A4860" w:rsidRPr="001A4860" w:rsidRDefault="001A4860" w:rsidP="001A4860">
      <w:pPr>
        <w:rPr>
          <w:sz w:val="22"/>
          <w:szCs w:val="22"/>
          <w:lang w:val="es-ES" w:eastAsia="es-ES"/>
        </w:rPr>
      </w:pPr>
      <w:r w:rsidRPr="001A4860">
        <w:rPr>
          <w:sz w:val="22"/>
          <w:szCs w:val="22"/>
          <w:lang w:val="es-ES" w:eastAsia="es-ES"/>
        </w:rPr>
        <w:t>Tipo:</w:t>
      </w:r>
      <w:r w:rsidRPr="001A4860">
        <w:rPr>
          <w:sz w:val="22"/>
          <w:szCs w:val="22"/>
          <w:lang w:val="es-ES" w:eastAsia="es-ES"/>
        </w:rPr>
        <w:tab/>
      </w:r>
      <w:r w:rsidRPr="001A4860">
        <w:rPr>
          <w:sz w:val="22"/>
          <w:szCs w:val="22"/>
          <w:lang w:val="es-ES" w:eastAsia="es-ES"/>
        </w:rPr>
        <w:tab/>
      </w:r>
      <w:r w:rsidRPr="001A4860">
        <w:rPr>
          <w:sz w:val="22"/>
          <w:szCs w:val="22"/>
          <w:lang w:val="es-ES" w:eastAsia="es-ES"/>
        </w:rPr>
        <w:tab/>
        <w:t xml:space="preserve">Abierto </w:t>
      </w:r>
    </w:p>
    <w:p w14:paraId="433B4AA2" w14:textId="77777777" w:rsidR="001A4860" w:rsidRPr="001A4860" w:rsidRDefault="001A4860" w:rsidP="001A4860">
      <w:pPr>
        <w:rPr>
          <w:sz w:val="22"/>
          <w:szCs w:val="22"/>
          <w:lang w:val="es-ES" w:eastAsia="es-ES"/>
        </w:rPr>
      </w:pPr>
      <w:r w:rsidRPr="001A4860">
        <w:rPr>
          <w:sz w:val="22"/>
          <w:szCs w:val="22"/>
          <w:lang w:val="es-ES" w:eastAsia="es-ES"/>
        </w:rPr>
        <w:t>Operación:</w:t>
      </w:r>
      <w:r w:rsidRPr="001A4860">
        <w:rPr>
          <w:sz w:val="22"/>
          <w:szCs w:val="22"/>
          <w:lang w:val="es-ES" w:eastAsia="es-ES"/>
        </w:rPr>
        <w:tab/>
      </w:r>
      <w:r w:rsidRPr="001A4860">
        <w:rPr>
          <w:sz w:val="22"/>
          <w:szCs w:val="22"/>
          <w:lang w:val="es-ES" w:eastAsia="es-ES"/>
        </w:rPr>
        <w:tab/>
        <w:t xml:space="preserve">Pértiga </w:t>
      </w:r>
    </w:p>
    <w:p w14:paraId="54AB07A3" w14:textId="77777777" w:rsidR="001A4860" w:rsidRPr="001A4860" w:rsidRDefault="001A4860" w:rsidP="001A4860">
      <w:pPr>
        <w:rPr>
          <w:sz w:val="22"/>
          <w:szCs w:val="22"/>
          <w:lang w:val="es-ES" w:eastAsia="es-ES"/>
        </w:rPr>
      </w:pPr>
      <w:r w:rsidRPr="001A4860">
        <w:rPr>
          <w:sz w:val="22"/>
          <w:szCs w:val="22"/>
          <w:lang w:val="es-ES" w:eastAsia="es-ES"/>
        </w:rPr>
        <w:t>Montaje:</w:t>
      </w:r>
      <w:r w:rsidRPr="001A4860">
        <w:rPr>
          <w:sz w:val="22"/>
          <w:szCs w:val="22"/>
          <w:lang w:val="es-ES" w:eastAsia="es-ES"/>
        </w:rPr>
        <w:tab/>
      </w:r>
      <w:r w:rsidRPr="001A4860">
        <w:rPr>
          <w:sz w:val="22"/>
          <w:szCs w:val="22"/>
          <w:lang w:val="es-ES" w:eastAsia="es-ES"/>
        </w:rPr>
        <w:tab/>
        <w:t xml:space="preserve">Norma NEMA </w:t>
      </w:r>
    </w:p>
    <w:p w14:paraId="4050C970" w14:textId="77777777" w:rsidR="001A4860" w:rsidRPr="001A4860" w:rsidRDefault="001A4860" w:rsidP="001A4860">
      <w:pPr>
        <w:rPr>
          <w:sz w:val="22"/>
          <w:szCs w:val="22"/>
          <w:lang w:val="es-ES" w:eastAsia="es-ES"/>
        </w:rPr>
      </w:pPr>
      <w:r w:rsidRPr="001A4860">
        <w:rPr>
          <w:sz w:val="22"/>
          <w:szCs w:val="22"/>
          <w:lang w:val="es-ES" w:eastAsia="es-ES"/>
        </w:rPr>
        <w:t>Frecuencia:</w:t>
      </w:r>
      <w:r w:rsidRPr="001A4860">
        <w:rPr>
          <w:sz w:val="22"/>
          <w:szCs w:val="22"/>
          <w:lang w:val="es-ES" w:eastAsia="es-ES"/>
        </w:rPr>
        <w:tab/>
      </w:r>
      <w:r w:rsidRPr="001A4860">
        <w:rPr>
          <w:sz w:val="22"/>
          <w:szCs w:val="22"/>
          <w:lang w:val="es-ES" w:eastAsia="es-ES"/>
        </w:rPr>
        <w:tab/>
        <w:t>60 HZ</w:t>
      </w:r>
    </w:p>
    <w:p w14:paraId="764CA3A1" w14:textId="77777777" w:rsidR="001A4860" w:rsidRPr="001A4860" w:rsidRDefault="001A4860" w:rsidP="001A4860">
      <w:pPr>
        <w:rPr>
          <w:sz w:val="22"/>
          <w:szCs w:val="22"/>
          <w:lang w:val="es-ES" w:eastAsia="es-ES"/>
        </w:rPr>
      </w:pPr>
      <w:r w:rsidRPr="001A4860">
        <w:rPr>
          <w:sz w:val="22"/>
          <w:szCs w:val="22"/>
          <w:lang w:val="es-ES" w:eastAsia="es-ES"/>
        </w:rPr>
        <w:t>Servicio:</w:t>
      </w:r>
      <w:r w:rsidRPr="001A4860">
        <w:rPr>
          <w:sz w:val="22"/>
          <w:szCs w:val="22"/>
          <w:lang w:val="es-ES" w:eastAsia="es-ES"/>
        </w:rPr>
        <w:tab/>
      </w:r>
      <w:r w:rsidRPr="001A4860">
        <w:rPr>
          <w:sz w:val="22"/>
          <w:szCs w:val="22"/>
          <w:lang w:val="es-ES" w:eastAsia="es-ES"/>
        </w:rPr>
        <w:tab/>
        <w:t>A la Intemperie</w:t>
      </w:r>
    </w:p>
    <w:p w14:paraId="752E3E70" w14:textId="77777777" w:rsidR="001A4860" w:rsidRPr="001A4860" w:rsidRDefault="001A4860" w:rsidP="001A4860">
      <w:pPr>
        <w:rPr>
          <w:sz w:val="22"/>
          <w:szCs w:val="22"/>
          <w:lang w:val="es-ES" w:eastAsia="es-ES"/>
        </w:rPr>
      </w:pPr>
      <w:r w:rsidRPr="001A4860">
        <w:rPr>
          <w:sz w:val="22"/>
          <w:szCs w:val="22"/>
          <w:lang w:val="es-ES" w:eastAsia="es-ES"/>
        </w:rPr>
        <w:t xml:space="preserve">Temperatura: </w:t>
      </w:r>
      <w:r w:rsidRPr="001A4860">
        <w:rPr>
          <w:sz w:val="22"/>
          <w:szCs w:val="22"/>
          <w:lang w:val="es-ES" w:eastAsia="es-ES"/>
        </w:rPr>
        <w:tab/>
        <w:t>40ºC ambiente</w:t>
      </w:r>
    </w:p>
    <w:p w14:paraId="0A1E3EB5" w14:textId="77777777" w:rsidR="001A4860" w:rsidRPr="001A4860" w:rsidRDefault="001A4860" w:rsidP="001A4860">
      <w:pPr>
        <w:rPr>
          <w:sz w:val="22"/>
          <w:szCs w:val="22"/>
          <w:lang w:val="es-ES" w:eastAsia="es-ES"/>
        </w:rPr>
      </w:pPr>
      <w:r w:rsidRPr="001A4860">
        <w:rPr>
          <w:sz w:val="22"/>
          <w:szCs w:val="22"/>
          <w:lang w:val="es-ES" w:eastAsia="es-ES"/>
        </w:rPr>
        <w:t>Altitud:</w:t>
      </w:r>
      <w:r w:rsidRPr="001A4860">
        <w:rPr>
          <w:sz w:val="22"/>
          <w:szCs w:val="22"/>
          <w:lang w:val="es-ES" w:eastAsia="es-ES"/>
        </w:rPr>
        <w:tab/>
      </w:r>
      <w:r w:rsidRPr="001A4860">
        <w:rPr>
          <w:sz w:val="22"/>
          <w:szCs w:val="22"/>
          <w:lang w:val="es-ES" w:eastAsia="es-ES"/>
        </w:rPr>
        <w:tab/>
        <w:t>150 m.s.n.m.</w:t>
      </w:r>
    </w:p>
    <w:p w14:paraId="45586E82" w14:textId="77777777" w:rsidR="001A4860" w:rsidRPr="001A4860" w:rsidRDefault="001A4860" w:rsidP="001A4860">
      <w:pPr>
        <w:rPr>
          <w:sz w:val="22"/>
          <w:szCs w:val="22"/>
          <w:lang w:val="es-ES" w:eastAsia="es-ES"/>
        </w:rPr>
      </w:pPr>
      <w:r w:rsidRPr="001A4860">
        <w:rPr>
          <w:sz w:val="22"/>
          <w:szCs w:val="22"/>
          <w:lang w:val="es-ES" w:eastAsia="es-ES"/>
        </w:rPr>
        <w:t>Contactos:</w:t>
      </w:r>
      <w:r w:rsidRPr="001A4860">
        <w:rPr>
          <w:sz w:val="22"/>
          <w:szCs w:val="22"/>
          <w:lang w:val="es-ES" w:eastAsia="es-ES"/>
        </w:rPr>
        <w:tab/>
      </w:r>
      <w:r w:rsidRPr="001A4860">
        <w:rPr>
          <w:sz w:val="22"/>
          <w:szCs w:val="22"/>
          <w:lang w:val="es-ES" w:eastAsia="es-ES"/>
        </w:rPr>
        <w:tab/>
        <w:t xml:space="preserve">Cobre plateado y Terminal. </w:t>
      </w:r>
    </w:p>
    <w:p w14:paraId="6C945960" w14:textId="77777777" w:rsidR="001A4860" w:rsidRPr="001A4860" w:rsidRDefault="001A4860" w:rsidP="001A4860">
      <w:pPr>
        <w:rPr>
          <w:sz w:val="22"/>
          <w:szCs w:val="22"/>
          <w:lang w:val="es-ES" w:eastAsia="es-ES"/>
        </w:rPr>
      </w:pPr>
      <w:r w:rsidRPr="001A4860">
        <w:rPr>
          <w:sz w:val="22"/>
          <w:szCs w:val="22"/>
          <w:lang w:val="es-ES" w:eastAsia="es-ES"/>
        </w:rPr>
        <w:lastRenderedPageBreak/>
        <w:t>Tiros:</w:t>
      </w:r>
      <w:r w:rsidRPr="001A4860">
        <w:rPr>
          <w:sz w:val="22"/>
          <w:szCs w:val="22"/>
          <w:lang w:val="es-ES" w:eastAsia="es-ES"/>
        </w:rPr>
        <w:tab/>
      </w:r>
      <w:r w:rsidRPr="001A4860">
        <w:rPr>
          <w:sz w:val="22"/>
          <w:szCs w:val="22"/>
          <w:lang w:val="es-ES" w:eastAsia="es-ES"/>
        </w:rPr>
        <w:tab/>
      </w:r>
      <w:r w:rsidRPr="001A4860">
        <w:rPr>
          <w:sz w:val="22"/>
          <w:szCs w:val="22"/>
          <w:lang w:val="es-ES" w:eastAsia="es-ES"/>
        </w:rPr>
        <w:tab/>
        <w:t>Uno</w:t>
      </w:r>
    </w:p>
    <w:p w14:paraId="1235A426" w14:textId="77777777" w:rsidR="001A4860" w:rsidRPr="001A4860" w:rsidRDefault="001A4860" w:rsidP="001A4860">
      <w:pPr>
        <w:rPr>
          <w:sz w:val="22"/>
          <w:szCs w:val="22"/>
          <w:lang w:val="es-ES" w:eastAsia="es-ES"/>
        </w:rPr>
      </w:pPr>
      <w:r w:rsidRPr="001A4860">
        <w:rPr>
          <w:sz w:val="22"/>
          <w:szCs w:val="22"/>
          <w:lang w:val="es-ES" w:eastAsia="es-ES"/>
        </w:rPr>
        <w:t>Conectores:</w:t>
      </w:r>
      <w:r w:rsidRPr="001A4860">
        <w:rPr>
          <w:sz w:val="22"/>
          <w:szCs w:val="22"/>
          <w:lang w:val="es-ES" w:eastAsia="es-ES"/>
        </w:rPr>
        <w:tab/>
      </w:r>
      <w:r w:rsidRPr="001A4860">
        <w:rPr>
          <w:sz w:val="22"/>
          <w:szCs w:val="22"/>
          <w:lang w:val="es-ES" w:eastAsia="es-ES"/>
        </w:rPr>
        <w:tab/>
        <w:t>Tipo ojo, de Bronce Plateado</w:t>
      </w:r>
    </w:p>
    <w:p w14:paraId="2EE70B6A" w14:textId="77777777" w:rsidR="001A4860" w:rsidRPr="001A4860" w:rsidRDefault="001A4860" w:rsidP="001A4860">
      <w:pPr>
        <w:rPr>
          <w:sz w:val="22"/>
          <w:szCs w:val="22"/>
          <w:lang w:val="es-ES" w:eastAsia="es-ES"/>
        </w:rPr>
      </w:pPr>
    </w:p>
    <w:p w14:paraId="70ADB187" w14:textId="77777777" w:rsidR="001A4860" w:rsidRPr="001A4860" w:rsidRDefault="001A4860" w:rsidP="001A4860">
      <w:pPr>
        <w:keepNext/>
        <w:outlineLvl w:val="1"/>
        <w:rPr>
          <w:rFonts w:eastAsia="Arial Narrow"/>
          <w:b/>
          <w:bCs/>
          <w:iCs/>
          <w:sz w:val="22"/>
          <w:szCs w:val="22"/>
          <w:lang w:val="es-NI"/>
        </w:rPr>
      </w:pPr>
      <w:bookmarkStart w:id="927" w:name="_Toc23249525"/>
      <w:r w:rsidRPr="001A4860">
        <w:rPr>
          <w:rFonts w:eastAsia="Arial Narrow"/>
          <w:b/>
          <w:bCs/>
          <w:iCs/>
          <w:sz w:val="22"/>
          <w:szCs w:val="22"/>
          <w:lang w:val="es-NI"/>
        </w:rPr>
        <w:t>Montaje de gabinete</w:t>
      </w:r>
      <w:bookmarkEnd w:id="927"/>
    </w:p>
    <w:p w14:paraId="528087F2" w14:textId="77777777" w:rsidR="001A4860" w:rsidRPr="001A4860" w:rsidRDefault="001A4860" w:rsidP="001A4860">
      <w:pPr>
        <w:rPr>
          <w:sz w:val="22"/>
          <w:szCs w:val="22"/>
          <w:lang w:val="es-ES" w:eastAsia="es-ES"/>
        </w:rPr>
      </w:pPr>
    </w:p>
    <w:p w14:paraId="27EC2B27" w14:textId="77777777" w:rsidR="001A4860" w:rsidRPr="001A4860" w:rsidRDefault="001A4860" w:rsidP="001A4860">
      <w:pPr>
        <w:rPr>
          <w:sz w:val="22"/>
          <w:szCs w:val="22"/>
          <w:lang w:val="es-ES" w:eastAsia="es-ES"/>
        </w:rPr>
      </w:pPr>
      <w:r w:rsidRPr="001A4860">
        <w:rPr>
          <w:sz w:val="22"/>
          <w:szCs w:val="22"/>
          <w:lang w:val="es-ES" w:eastAsia="es-ES"/>
        </w:rPr>
        <w:t>El gabinete que contiene los medidores SIMEC está suspendido del piso de tal manera que la pantalla digital de los medidores sea apreciada a una altura de 1.65 metros del nivel de piso terminado. El mismo es sujetado a la pared de la caseta de los medidores por medio de cuatro pernos de expansión que garanticen su seguridad.</w:t>
      </w:r>
    </w:p>
    <w:p w14:paraId="2A4041A6" w14:textId="77777777" w:rsidR="001A4860" w:rsidRPr="001A4860" w:rsidRDefault="001A4860" w:rsidP="001A4860">
      <w:pPr>
        <w:rPr>
          <w:sz w:val="22"/>
          <w:szCs w:val="22"/>
          <w:lang w:val="es-ES" w:eastAsia="es-ES"/>
        </w:rPr>
      </w:pPr>
    </w:p>
    <w:p w14:paraId="7E2345E8" w14:textId="77777777" w:rsidR="001A4860" w:rsidRPr="001A4860" w:rsidRDefault="001A4860" w:rsidP="001A4860">
      <w:pPr>
        <w:keepNext/>
        <w:outlineLvl w:val="1"/>
        <w:rPr>
          <w:rFonts w:eastAsia="Arial Narrow"/>
          <w:b/>
          <w:bCs/>
          <w:iCs/>
          <w:sz w:val="22"/>
          <w:szCs w:val="22"/>
          <w:lang w:val="es-NI"/>
        </w:rPr>
      </w:pPr>
      <w:bookmarkStart w:id="928" w:name="_Toc23249526"/>
      <w:r w:rsidRPr="001A4860">
        <w:rPr>
          <w:rFonts w:eastAsia="Arial Narrow"/>
          <w:b/>
          <w:bCs/>
          <w:iCs/>
          <w:sz w:val="22"/>
          <w:szCs w:val="22"/>
          <w:lang w:val="es-NI"/>
        </w:rPr>
        <w:t>Tubería subterránea</w:t>
      </w:r>
      <w:bookmarkEnd w:id="928"/>
    </w:p>
    <w:p w14:paraId="2A3DD5DC" w14:textId="77777777" w:rsidR="001A4860" w:rsidRPr="001A4860" w:rsidRDefault="001A4860" w:rsidP="001A4860">
      <w:pPr>
        <w:rPr>
          <w:sz w:val="22"/>
          <w:szCs w:val="22"/>
          <w:lang w:val="es-ES" w:eastAsia="es-ES"/>
        </w:rPr>
      </w:pPr>
    </w:p>
    <w:p w14:paraId="21422713" w14:textId="77777777" w:rsidR="001A4860" w:rsidRPr="001A4860" w:rsidRDefault="001A4860" w:rsidP="001A4860">
      <w:pPr>
        <w:rPr>
          <w:sz w:val="22"/>
          <w:szCs w:val="22"/>
          <w:lang w:val="es-ES" w:eastAsia="es-ES"/>
        </w:rPr>
      </w:pPr>
    </w:p>
    <w:p w14:paraId="01E1C8B1" w14:textId="77777777" w:rsidR="001A4860" w:rsidRPr="001A4860" w:rsidRDefault="001A4860" w:rsidP="001A4860">
      <w:pPr>
        <w:rPr>
          <w:sz w:val="22"/>
          <w:szCs w:val="22"/>
          <w:lang w:val="es-ES" w:eastAsia="es-ES"/>
        </w:rPr>
      </w:pPr>
      <w:r w:rsidRPr="001A4860">
        <w:rPr>
          <w:sz w:val="22"/>
          <w:szCs w:val="22"/>
          <w:lang w:val="es-ES" w:eastAsia="es-ES"/>
        </w:rPr>
        <w:t>La tubería que es enterrada directamente en el suelo, está a 50 cm. de profundidad en lugares donde no exista tráfico vehicular y en lugares transitado por vehículos a 60 cm además de los tubos que es utilizados para los conductores de señal de los TP’s y TC’s se debe dejar un tubo adicional de reserva por inconvenientes futuro, el mismo es sellado en sus extremos para evitar el ingreso de humedad, agua e insectos y la altura en ambos extremos es de 4” del nivel del piso terminado y el nivel de suelo.</w:t>
      </w:r>
    </w:p>
    <w:p w14:paraId="4DDCD809" w14:textId="77777777" w:rsidR="001A4860" w:rsidRPr="001A4860" w:rsidRDefault="001A4860" w:rsidP="001A4860">
      <w:pPr>
        <w:rPr>
          <w:sz w:val="22"/>
          <w:szCs w:val="22"/>
          <w:lang w:val="es-ES" w:eastAsia="es-ES"/>
        </w:rPr>
      </w:pPr>
    </w:p>
    <w:p w14:paraId="2C58B1C8" w14:textId="77777777" w:rsidR="001A4860" w:rsidRPr="001A4860" w:rsidRDefault="001A4860" w:rsidP="001A4860">
      <w:pPr>
        <w:keepNext/>
        <w:outlineLvl w:val="1"/>
        <w:rPr>
          <w:rFonts w:eastAsia="Arial Narrow"/>
          <w:b/>
          <w:bCs/>
          <w:iCs/>
          <w:sz w:val="22"/>
          <w:szCs w:val="22"/>
          <w:lang w:val="es-NI"/>
        </w:rPr>
      </w:pPr>
      <w:bookmarkStart w:id="929" w:name="_Toc23249527"/>
      <w:r w:rsidRPr="001A4860">
        <w:rPr>
          <w:rFonts w:eastAsia="Arial Narrow"/>
          <w:b/>
          <w:bCs/>
          <w:iCs/>
          <w:sz w:val="22"/>
          <w:szCs w:val="22"/>
          <w:lang w:val="es-NI"/>
        </w:rPr>
        <w:t>Herramientas</w:t>
      </w:r>
      <w:bookmarkEnd w:id="929"/>
    </w:p>
    <w:p w14:paraId="61A90E56" w14:textId="77777777" w:rsidR="001A4860" w:rsidRPr="001A4860" w:rsidRDefault="001A4860" w:rsidP="001A4860">
      <w:pPr>
        <w:rPr>
          <w:sz w:val="22"/>
          <w:szCs w:val="22"/>
          <w:lang w:val="es-ES" w:eastAsia="es-ES"/>
        </w:rPr>
      </w:pPr>
    </w:p>
    <w:p w14:paraId="2D97DA6D" w14:textId="77777777" w:rsidR="001A4860" w:rsidRPr="001A4860" w:rsidRDefault="001A4860" w:rsidP="001A4860">
      <w:pPr>
        <w:rPr>
          <w:sz w:val="22"/>
          <w:szCs w:val="22"/>
          <w:lang w:val="es-ES" w:eastAsia="es-ES"/>
        </w:rPr>
      </w:pPr>
      <w:r w:rsidRPr="001A4860">
        <w:rPr>
          <w:sz w:val="22"/>
          <w:szCs w:val="22"/>
          <w:lang w:val="es-ES" w:eastAsia="es-ES"/>
        </w:rPr>
        <w:t>Deberá suministrar en la cantidad necesaria y en buen estado de operación: Transporte de acuerdo a la carga a movilizar, herramientas y equipos debidamente calibrados, lo cual podrá ser verificado por la Supervisión asignada.</w:t>
      </w:r>
    </w:p>
    <w:p w14:paraId="35A351A1" w14:textId="77777777" w:rsidR="001A4860" w:rsidRPr="001A4860" w:rsidRDefault="001A4860" w:rsidP="001A4860">
      <w:pPr>
        <w:rPr>
          <w:sz w:val="22"/>
          <w:szCs w:val="22"/>
          <w:lang w:val="es-ES" w:eastAsia="es-ES"/>
        </w:rPr>
      </w:pPr>
    </w:p>
    <w:p w14:paraId="557F52A5" w14:textId="77777777" w:rsidR="001A4860" w:rsidRPr="001A4860" w:rsidRDefault="001A4860" w:rsidP="001A4860">
      <w:pPr>
        <w:keepNext/>
        <w:outlineLvl w:val="1"/>
        <w:rPr>
          <w:rFonts w:eastAsia="Arial Narrow"/>
          <w:b/>
          <w:bCs/>
          <w:iCs/>
          <w:sz w:val="22"/>
          <w:szCs w:val="22"/>
          <w:lang w:val="es-NI"/>
        </w:rPr>
      </w:pPr>
      <w:bookmarkStart w:id="930" w:name="_Toc23249528"/>
      <w:r w:rsidRPr="001A4860">
        <w:rPr>
          <w:rFonts w:eastAsia="Arial Narrow"/>
          <w:b/>
          <w:bCs/>
          <w:iCs/>
          <w:sz w:val="22"/>
          <w:szCs w:val="22"/>
          <w:lang w:val="es-NI"/>
        </w:rPr>
        <w:t>Materiales y Equipos Suministrados por el Contratista</w:t>
      </w:r>
      <w:bookmarkEnd w:id="930"/>
    </w:p>
    <w:p w14:paraId="109276E2" w14:textId="77777777" w:rsidR="001A4860" w:rsidRPr="001A4860" w:rsidRDefault="001A4860" w:rsidP="001A4860">
      <w:pPr>
        <w:rPr>
          <w:sz w:val="22"/>
          <w:szCs w:val="22"/>
          <w:lang w:val="es-ES" w:eastAsia="es-ES"/>
        </w:rPr>
      </w:pPr>
    </w:p>
    <w:p w14:paraId="5DE78801" w14:textId="77777777" w:rsidR="001A4860" w:rsidRPr="001A4860" w:rsidRDefault="001A4860" w:rsidP="001A4860">
      <w:pPr>
        <w:rPr>
          <w:sz w:val="22"/>
          <w:szCs w:val="22"/>
          <w:lang w:val="es-ES" w:eastAsia="es-ES"/>
        </w:rPr>
      </w:pPr>
      <w:r w:rsidRPr="001A4860">
        <w:rPr>
          <w:sz w:val="22"/>
          <w:szCs w:val="22"/>
          <w:lang w:val="es-ES" w:eastAsia="es-ES"/>
        </w:rPr>
        <w:t>El Contratista suministrará todos los materiales y equipos necesarios completamente nuevos, acorde a las especificaciones técnicas, de tal manera que las instalaciones eléctricas queden funcionando a entera satisfacción del Propietario y la Supervisión. Deberá adjuntar en su oferta las especificaciones, catálogos y cualquier otra información que describa lo más detallado posible las características de los suministros que propone.</w:t>
      </w:r>
    </w:p>
    <w:p w14:paraId="16596848" w14:textId="77777777" w:rsidR="001A4860" w:rsidRPr="001A4860" w:rsidRDefault="001A4860" w:rsidP="001A4860">
      <w:pPr>
        <w:rPr>
          <w:sz w:val="22"/>
          <w:szCs w:val="22"/>
          <w:lang w:val="es-ES" w:eastAsia="es-ES"/>
        </w:rPr>
      </w:pPr>
    </w:p>
    <w:p w14:paraId="7F02446E" w14:textId="77777777" w:rsidR="001A4860" w:rsidRPr="001A4860" w:rsidRDefault="001A4860" w:rsidP="001A4860">
      <w:pPr>
        <w:rPr>
          <w:sz w:val="22"/>
          <w:szCs w:val="22"/>
          <w:lang w:val="es-ES" w:eastAsia="es-ES"/>
        </w:rPr>
      </w:pPr>
      <w:r w:rsidRPr="001A4860">
        <w:rPr>
          <w:sz w:val="22"/>
          <w:szCs w:val="22"/>
          <w:lang w:val="es-ES" w:eastAsia="es-ES"/>
        </w:rPr>
        <w:t>Cuando en estas especificaciones se haga mención a determinada marca o modelo comercial, deberá entenderse que sólo se pretende definir una calidad o diseño determinado y de ningún modo se señala de manera específica su uso; en tal sentido podrá utilizar materiales, accesorios y equipos de diseño, de calidad similar previa autorización escrita de la Supervisión.</w:t>
      </w:r>
    </w:p>
    <w:p w14:paraId="15082B98" w14:textId="77777777" w:rsidR="001A4860" w:rsidRPr="001A4860" w:rsidRDefault="001A4860" w:rsidP="001A4860">
      <w:pPr>
        <w:rPr>
          <w:sz w:val="22"/>
          <w:szCs w:val="22"/>
          <w:lang w:val="es-ES" w:eastAsia="es-ES"/>
        </w:rPr>
      </w:pPr>
    </w:p>
    <w:p w14:paraId="757D34F7" w14:textId="77777777" w:rsidR="001A4860" w:rsidRPr="001A4860" w:rsidRDefault="001A4860" w:rsidP="001A4860">
      <w:pPr>
        <w:rPr>
          <w:sz w:val="22"/>
          <w:szCs w:val="22"/>
          <w:lang w:val="es-ES" w:eastAsia="es-ES"/>
        </w:rPr>
      </w:pPr>
      <w:r w:rsidRPr="001A4860">
        <w:rPr>
          <w:sz w:val="22"/>
          <w:szCs w:val="22"/>
          <w:lang w:val="es-ES" w:eastAsia="es-ES"/>
        </w:rPr>
        <w:t>Cuando el Contratista pretenda utilizar materiales y equipos que no sean los indicados en las especificaciones, deberá solicitar previamente la autorización a la Supervisión y proporcionar las muestras necesarias con quince días de anticipación al inicio del trabajo a desarrollar, para poder efectuar pruebas que se estimen convenientes a fin de verificar su calidad y funcionalidad.</w:t>
      </w:r>
    </w:p>
    <w:p w14:paraId="5F65E442" w14:textId="77777777" w:rsidR="001A4860" w:rsidRPr="001A4860" w:rsidRDefault="001A4860" w:rsidP="001A4860">
      <w:pPr>
        <w:rPr>
          <w:sz w:val="22"/>
          <w:szCs w:val="22"/>
          <w:lang w:val="es-ES" w:eastAsia="es-ES"/>
        </w:rPr>
      </w:pPr>
    </w:p>
    <w:p w14:paraId="62F2B3FB" w14:textId="77777777" w:rsidR="001A4860" w:rsidRPr="001A4860" w:rsidRDefault="001A4860" w:rsidP="001A4860">
      <w:pPr>
        <w:rPr>
          <w:sz w:val="22"/>
          <w:szCs w:val="22"/>
          <w:lang w:val="es-ES" w:eastAsia="es-ES"/>
        </w:rPr>
      </w:pPr>
    </w:p>
    <w:p w14:paraId="13EF95A1" w14:textId="77777777" w:rsidR="001A4860" w:rsidRPr="001A4860" w:rsidRDefault="001A4860" w:rsidP="001A4860">
      <w:pPr>
        <w:rPr>
          <w:sz w:val="22"/>
          <w:szCs w:val="22"/>
          <w:lang w:val="es-ES" w:eastAsia="es-ES"/>
        </w:rPr>
      </w:pPr>
    </w:p>
    <w:p w14:paraId="694BF51D" w14:textId="77777777" w:rsidR="001A4860" w:rsidRPr="001A4860" w:rsidRDefault="001A4860" w:rsidP="001A4860">
      <w:pPr>
        <w:keepNext/>
        <w:outlineLvl w:val="1"/>
        <w:rPr>
          <w:rFonts w:eastAsia="Arial Narrow"/>
          <w:b/>
          <w:bCs/>
          <w:iCs/>
          <w:sz w:val="22"/>
          <w:szCs w:val="22"/>
          <w:lang w:val="es-NI"/>
        </w:rPr>
      </w:pPr>
      <w:bookmarkStart w:id="931" w:name="_Toc23249529"/>
      <w:r w:rsidRPr="001A4860">
        <w:rPr>
          <w:rFonts w:eastAsia="Arial Narrow"/>
          <w:b/>
          <w:bCs/>
          <w:iCs/>
          <w:sz w:val="22"/>
          <w:szCs w:val="22"/>
          <w:lang w:val="es-NI"/>
        </w:rPr>
        <w:t>Códigos y Regulaciones</w:t>
      </w:r>
      <w:bookmarkEnd w:id="931"/>
    </w:p>
    <w:p w14:paraId="22073925" w14:textId="77777777" w:rsidR="001A4860" w:rsidRPr="001A4860" w:rsidRDefault="001A4860" w:rsidP="001A4860">
      <w:pPr>
        <w:rPr>
          <w:sz w:val="22"/>
          <w:szCs w:val="22"/>
          <w:lang w:val="es-ES" w:eastAsia="es-ES"/>
        </w:rPr>
      </w:pPr>
    </w:p>
    <w:p w14:paraId="0A281198" w14:textId="77777777" w:rsidR="001A4860" w:rsidRPr="001A4860" w:rsidRDefault="001A4860" w:rsidP="001A4860">
      <w:pPr>
        <w:rPr>
          <w:sz w:val="22"/>
          <w:szCs w:val="22"/>
          <w:lang w:val="es-ES" w:eastAsia="es-ES"/>
        </w:rPr>
      </w:pPr>
      <w:r w:rsidRPr="001A4860">
        <w:rPr>
          <w:sz w:val="22"/>
          <w:szCs w:val="22"/>
          <w:lang w:val="es-ES" w:eastAsia="es-ES"/>
        </w:rPr>
        <w:t xml:space="preserve">Todos los materiales, equipos y mano de obra deberán cumplir con las normas del Reglamento Interno de Obras e Instalaciones Eléctricas de Nicaragua, aprobado por el Instituto Nicaragüense de Energía (INE), </w:t>
      </w:r>
      <w:r w:rsidRPr="001A4860">
        <w:rPr>
          <w:sz w:val="22"/>
          <w:szCs w:val="22"/>
          <w:lang w:val="es-ES" w:eastAsia="es-ES"/>
        </w:rPr>
        <w:lastRenderedPageBreak/>
        <w:t>Normas del American National Standard Institute (ANSI) y el National Electrical Code (NEC); todos en su última edición.</w:t>
      </w:r>
    </w:p>
    <w:p w14:paraId="3E379CD5" w14:textId="77777777" w:rsidR="001A4860" w:rsidRPr="001A4860" w:rsidRDefault="001A4860" w:rsidP="001A4860">
      <w:pPr>
        <w:rPr>
          <w:sz w:val="22"/>
          <w:szCs w:val="22"/>
          <w:lang w:val="es-ES" w:eastAsia="es-ES"/>
        </w:rPr>
      </w:pPr>
    </w:p>
    <w:p w14:paraId="76885C16" w14:textId="77777777" w:rsidR="001A4860" w:rsidRPr="001A4860" w:rsidRDefault="001A4860" w:rsidP="001A4860">
      <w:pPr>
        <w:keepNext/>
        <w:outlineLvl w:val="1"/>
        <w:rPr>
          <w:rFonts w:eastAsia="Arial Narrow"/>
          <w:b/>
          <w:bCs/>
          <w:iCs/>
          <w:sz w:val="22"/>
          <w:szCs w:val="22"/>
          <w:lang w:val="es-NI"/>
        </w:rPr>
      </w:pPr>
      <w:bookmarkStart w:id="932" w:name="_Toc23249530"/>
      <w:r w:rsidRPr="001A4860">
        <w:rPr>
          <w:rFonts w:eastAsia="Arial Narrow"/>
          <w:b/>
          <w:bCs/>
          <w:iCs/>
          <w:sz w:val="22"/>
          <w:szCs w:val="22"/>
          <w:lang w:val="es-NI"/>
        </w:rPr>
        <w:t>Programa de Trabajo</w:t>
      </w:r>
      <w:bookmarkEnd w:id="932"/>
    </w:p>
    <w:p w14:paraId="6841A77C" w14:textId="77777777" w:rsidR="001A4860" w:rsidRPr="001A4860" w:rsidRDefault="001A4860" w:rsidP="001A4860">
      <w:pPr>
        <w:rPr>
          <w:sz w:val="22"/>
          <w:szCs w:val="22"/>
          <w:lang w:val="es-ES" w:eastAsia="es-ES"/>
        </w:rPr>
      </w:pPr>
    </w:p>
    <w:p w14:paraId="39C324AD" w14:textId="77777777" w:rsidR="001A4860" w:rsidRPr="001A4860" w:rsidRDefault="001A4860" w:rsidP="001A4860">
      <w:pPr>
        <w:rPr>
          <w:sz w:val="22"/>
          <w:szCs w:val="22"/>
          <w:lang w:val="es-ES" w:eastAsia="es-ES"/>
        </w:rPr>
      </w:pPr>
      <w:r w:rsidRPr="001A4860">
        <w:rPr>
          <w:sz w:val="22"/>
          <w:szCs w:val="22"/>
          <w:lang w:val="es-ES" w:eastAsia="es-ES"/>
        </w:rPr>
        <w:t>Previo al inicio del trabajo, el Contratista deberá presentar un programa donde se muestre la secuencia en que realizará las actividades y el tiempo estimado para cada una de ellas. Cualquier cambio en la programación se realiza previa aprobación del Supervisor y presentado con la debida justificación para la modificación.</w:t>
      </w:r>
    </w:p>
    <w:p w14:paraId="0E62D884" w14:textId="77777777" w:rsidR="001A4860" w:rsidRPr="001A4860" w:rsidRDefault="001A4860" w:rsidP="001A4860">
      <w:pPr>
        <w:rPr>
          <w:sz w:val="22"/>
          <w:szCs w:val="22"/>
          <w:lang w:val="es-ES" w:eastAsia="es-ES"/>
        </w:rPr>
      </w:pPr>
    </w:p>
    <w:p w14:paraId="0119075D" w14:textId="77777777" w:rsidR="001A4860" w:rsidRPr="001A4860" w:rsidRDefault="001A4860" w:rsidP="001A4860">
      <w:pPr>
        <w:rPr>
          <w:sz w:val="22"/>
          <w:szCs w:val="22"/>
          <w:lang w:val="es-ES" w:eastAsia="es-ES"/>
        </w:rPr>
      </w:pPr>
      <w:r w:rsidRPr="001A4860">
        <w:rPr>
          <w:sz w:val="22"/>
          <w:szCs w:val="22"/>
          <w:lang w:val="es-ES" w:eastAsia="es-ES"/>
        </w:rPr>
        <w:t>El Sistema de trabajo y su desarrollo durante la obra, es el aprobado por el Supervisor de acuerdo con el Contratista.</w:t>
      </w:r>
    </w:p>
    <w:p w14:paraId="383C323C" w14:textId="77777777" w:rsidR="001A4860" w:rsidRPr="001A4860" w:rsidRDefault="001A4860" w:rsidP="001A4860">
      <w:pPr>
        <w:rPr>
          <w:sz w:val="22"/>
          <w:szCs w:val="22"/>
          <w:lang w:val="es-ES" w:eastAsia="es-ES"/>
        </w:rPr>
      </w:pPr>
    </w:p>
    <w:p w14:paraId="785FEB28" w14:textId="77777777" w:rsidR="001A4860" w:rsidRPr="001A4860" w:rsidRDefault="001A4860" w:rsidP="001A4860">
      <w:pPr>
        <w:keepNext/>
        <w:outlineLvl w:val="1"/>
        <w:rPr>
          <w:rFonts w:eastAsia="Arial Narrow"/>
          <w:b/>
          <w:bCs/>
          <w:iCs/>
          <w:sz w:val="22"/>
          <w:szCs w:val="22"/>
          <w:lang w:val="es-NI"/>
        </w:rPr>
      </w:pPr>
      <w:bookmarkStart w:id="933" w:name="_Toc23249531"/>
      <w:r w:rsidRPr="001A4860">
        <w:rPr>
          <w:rFonts w:eastAsia="Arial Narrow"/>
          <w:b/>
          <w:bCs/>
          <w:iCs/>
          <w:sz w:val="22"/>
          <w:szCs w:val="22"/>
          <w:lang w:val="es-NI"/>
        </w:rPr>
        <w:t>Trabajos en Instalaciones Existentes</w:t>
      </w:r>
      <w:bookmarkEnd w:id="933"/>
    </w:p>
    <w:p w14:paraId="12CD4E27" w14:textId="77777777" w:rsidR="001A4860" w:rsidRPr="001A4860" w:rsidRDefault="001A4860" w:rsidP="001A4860">
      <w:pPr>
        <w:rPr>
          <w:sz w:val="22"/>
          <w:szCs w:val="22"/>
          <w:lang w:val="es-ES" w:eastAsia="es-ES"/>
        </w:rPr>
      </w:pPr>
    </w:p>
    <w:p w14:paraId="693BE1F1" w14:textId="77777777" w:rsidR="001A4860" w:rsidRPr="001A4860" w:rsidRDefault="001A4860" w:rsidP="001A4860">
      <w:pPr>
        <w:rPr>
          <w:sz w:val="22"/>
          <w:szCs w:val="22"/>
          <w:lang w:val="es-ES" w:eastAsia="es-ES"/>
        </w:rPr>
      </w:pPr>
      <w:r w:rsidRPr="001A4860">
        <w:rPr>
          <w:sz w:val="22"/>
          <w:szCs w:val="22"/>
          <w:lang w:val="es-ES" w:eastAsia="es-ES"/>
        </w:rPr>
        <w:t>Previo a la remoción de cualquier parte o accesorio reutilizable de las instalaciones eléctricas existentes, el Contratista deberá levantar un inventario, previa autorización de la Supervisión, y entregar el material retirado a la autoridad que el Propietario asigne.</w:t>
      </w:r>
    </w:p>
    <w:p w14:paraId="3957C819" w14:textId="77777777" w:rsidR="001A4860" w:rsidRPr="001A4860" w:rsidRDefault="001A4860" w:rsidP="001A4860">
      <w:pPr>
        <w:rPr>
          <w:sz w:val="22"/>
          <w:szCs w:val="22"/>
          <w:lang w:val="es-ES" w:eastAsia="es-ES"/>
        </w:rPr>
      </w:pPr>
    </w:p>
    <w:p w14:paraId="77A42FFC" w14:textId="77777777" w:rsidR="001A4860" w:rsidRPr="001A4860" w:rsidRDefault="001A4860" w:rsidP="001A4860">
      <w:pPr>
        <w:rPr>
          <w:sz w:val="22"/>
          <w:szCs w:val="22"/>
          <w:lang w:val="es-ES" w:eastAsia="es-ES"/>
        </w:rPr>
      </w:pPr>
      <w:r w:rsidRPr="001A4860">
        <w:rPr>
          <w:sz w:val="22"/>
          <w:szCs w:val="22"/>
          <w:lang w:val="es-ES" w:eastAsia="es-ES"/>
        </w:rPr>
        <w:t xml:space="preserve">Podrá usarse canalizaciones existentes, siempre que estas conserven continuidad de recorrido, hermeticidad y que puedan alojar adecuadamente a los nuevos conductores a instalar en la misma con la aceptación de la Supervisión y con la autorización del Propietario. </w:t>
      </w:r>
    </w:p>
    <w:p w14:paraId="70D1CCA2" w14:textId="77777777" w:rsidR="001A4860" w:rsidRPr="001A4860" w:rsidRDefault="001A4860" w:rsidP="001A4860">
      <w:pPr>
        <w:rPr>
          <w:sz w:val="22"/>
          <w:szCs w:val="22"/>
          <w:lang w:val="es-ES" w:eastAsia="es-ES"/>
        </w:rPr>
      </w:pPr>
    </w:p>
    <w:p w14:paraId="3BA446E2" w14:textId="77777777" w:rsidR="001A4860" w:rsidRPr="001A4860" w:rsidRDefault="001A4860" w:rsidP="001A4860">
      <w:pPr>
        <w:rPr>
          <w:sz w:val="22"/>
          <w:szCs w:val="22"/>
          <w:lang w:val="es-ES" w:eastAsia="es-ES"/>
        </w:rPr>
      </w:pPr>
      <w:r w:rsidRPr="001A4860">
        <w:rPr>
          <w:sz w:val="22"/>
          <w:szCs w:val="22"/>
          <w:lang w:val="es-ES" w:eastAsia="es-ES"/>
        </w:rPr>
        <w:t>Cuando las canalizaciones que existan están en porciones a demoler, deberán ser antes avaladas por la Supervisión previas a ser reutilizadas y cubiertas por colados.</w:t>
      </w:r>
    </w:p>
    <w:p w14:paraId="28401276" w14:textId="77777777" w:rsidR="001A4860" w:rsidRPr="001A4860" w:rsidRDefault="001A4860" w:rsidP="001A4860">
      <w:pPr>
        <w:rPr>
          <w:sz w:val="22"/>
          <w:szCs w:val="22"/>
          <w:lang w:val="es-ES" w:eastAsia="es-ES"/>
        </w:rPr>
      </w:pPr>
    </w:p>
    <w:p w14:paraId="3D1101D9" w14:textId="77777777" w:rsidR="001A4860" w:rsidRPr="001A4860" w:rsidRDefault="001A4860" w:rsidP="001A4860">
      <w:pPr>
        <w:rPr>
          <w:sz w:val="22"/>
          <w:szCs w:val="22"/>
          <w:lang w:val="es-ES" w:eastAsia="es-ES"/>
        </w:rPr>
      </w:pPr>
      <w:r w:rsidRPr="001A4860">
        <w:rPr>
          <w:sz w:val="22"/>
          <w:szCs w:val="22"/>
          <w:lang w:val="es-ES" w:eastAsia="es-ES"/>
        </w:rPr>
        <w:t xml:space="preserve">Otros materiales y equipos eléctricos podrán ser utilizados si la Supervisión así lo recomienda y con la aceptación del Propietario. </w:t>
      </w:r>
    </w:p>
    <w:p w14:paraId="5080B886" w14:textId="77777777" w:rsidR="001A4860" w:rsidRPr="001A4860" w:rsidRDefault="001A4860" w:rsidP="001A4860">
      <w:pPr>
        <w:rPr>
          <w:sz w:val="22"/>
          <w:szCs w:val="22"/>
          <w:lang w:val="es-ES" w:eastAsia="es-ES"/>
        </w:rPr>
      </w:pPr>
    </w:p>
    <w:p w14:paraId="7533CC96" w14:textId="77777777" w:rsidR="001A4860" w:rsidRPr="001A4860" w:rsidRDefault="001A4860" w:rsidP="001A4860">
      <w:pPr>
        <w:keepNext/>
        <w:outlineLvl w:val="1"/>
        <w:rPr>
          <w:rFonts w:eastAsia="Arial Narrow"/>
          <w:b/>
          <w:bCs/>
          <w:iCs/>
          <w:sz w:val="22"/>
          <w:szCs w:val="22"/>
          <w:lang w:val="es-NI"/>
        </w:rPr>
      </w:pPr>
      <w:bookmarkStart w:id="934" w:name="_Toc23249532"/>
      <w:r w:rsidRPr="001A4860">
        <w:rPr>
          <w:rFonts w:eastAsia="Arial Narrow"/>
          <w:b/>
          <w:bCs/>
          <w:iCs/>
          <w:sz w:val="22"/>
          <w:szCs w:val="22"/>
          <w:lang w:val="es-NI"/>
        </w:rPr>
        <w:t>Cables o Conductores</w:t>
      </w:r>
      <w:bookmarkEnd w:id="934"/>
    </w:p>
    <w:p w14:paraId="5F3C8383" w14:textId="77777777" w:rsidR="001A4860" w:rsidRPr="001A4860" w:rsidRDefault="001A4860" w:rsidP="001A4860">
      <w:pPr>
        <w:rPr>
          <w:sz w:val="22"/>
          <w:szCs w:val="22"/>
          <w:lang w:val="es-ES" w:eastAsia="es-ES"/>
        </w:rPr>
      </w:pPr>
    </w:p>
    <w:p w14:paraId="2F8E1D85" w14:textId="77777777" w:rsidR="001A4860" w:rsidRPr="001A4860" w:rsidRDefault="001A4860" w:rsidP="001A4860">
      <w:pPr>
        <w:rPr>
          <w:sz w:val="22"/>
          <w:szCs w:val="22"/>
          <w:lang w:val="es-ES" w:eastAsia="es-ES"/>
        </w:rPr>
      </w:pPr>
      <w:r w:rsidRPr="001A4860">
        <w:rPr>
          <w:sz w:val="22"/>
          <w:szCs w:val="22"/>
          <w:lang w:val="es-ES" w:eastAsia="es-ES"/>
        </w:rPr>
        <w:t>Baja Tensión</w:t>
      </w:r>
    </w:p>
    <w:p w14:paraId="7A0F447D" w14:textId="77777777" w:rsidR="001A4860" w:rsidRPr="001A4860" w:rsidRDefault="001A4860" w:rsidP="001A4860">
      <w:pPr>
        <w:rPr>
          <w:sz w:val="22"/>
          <w:szCs w:val="22"/>
          <w:lang w:val="es-ES" w:eastAsia="es-ES"/>
        </w:rPr>
      </w:pPr>
    </w:p>
    <w:p w14:paraId="36C3730F" w14:textId="77777777" w:rsidR="001A4860" w:rsidRPr="001A4860" w:rsidRDefault="001A4860" w:rsidP="001A4860">
      <w:pPr>
        <w:rPr>
          <w:sz w:val="22"/>
          <w:szCs w:val="22"/>
          <w:lang w:val="es-ES" w:eastAsia="es-ES"/>
        </w:rPr>
      </w:pPr>
      <w:r w:rsidRPr="001A4860">
        <w:rPr>
          <w:sz w:val="22"/>
          <w:szCs w:val="22"/>
          <w:lang w:val="es-ES" w:eastAsia="es-ES"/>
        </w:rPr>
        <w:t>El termino Baja Tensión¨ se refiere de aquí en adelante a los voltajes inferiores a 600 voltios, y particularmente a los sistemas 120/240, 240/480 voltios, 60 Hz, y 24 voltios para corriente continua.</w:t>
      </w:r>
    </w:p>
    <w:p w14:paraId="0321E5D6" w14:textId="77777777" w:rsidR="001A4860" w:rsidRPr="001A4860" w:rsidRDefault="001A4860" w:rsidP="001A4860">
      <w:pPr>
        <w:rPr>
          <w:sz w:val="22"/>
          <w:szCs w:val="22"/>
          <w:lang w:val="es-ES" w:eastAsia="es-ES"/>
        </w:rPr>
      </w:pPr>
    </w:p>
    <w:p w14:paraId="467AFEFC" w14:textId="77777777" w:rsidR="001A4860" w:rsidRPr="001A4860" w:rsidRDefault="001A4860" w:rsidP="001A4860">
      <w:pPr>
        <w:rPr>
          <w:sz w:val="22"/>
          <w:szCs w:val="22"/>
          <w:lang w:val="es-ES" w:eastAsia="es-ES"/>
        </w:rPr>
      </w:pPr>
      <w:r w:rsidRPr="001A4860">
        <w:rPr>
          <w:sz w:val="22"/>
          <w:szCs w:val="22"/>
          <w:lang w:val="es-ES" w:eastAsia="es-ES"/>
        </w:rPr>
        <w:t>Para uso en ambientes interiores, deben ser forrados con aislamiento termoplástico para 600V resistente al calor y humedad del tipo THHN americano según se especifique en los planos.</w:t>
      </w:r>
    </w:p>
    <w:p w14:paraId="7794E4E2" w14:textId="77777777" w:rsidR="001A4860" w:rsidRPr="001A4860" w:rsidRDefault="001A4860" w:rsidP="001A4860">
      <w:pPr>
        <w:rPr>
          <w:sz w:val="22"/>
          <w:szCs w:val="22"/>
          <w:lang w:val="es-ES" w:eastAsia="es-ES"/>
        </w:rPr>
      </w:pPr>
    </w:p>
    <w:p w14:paraId="261DB30E" w14:textId="77777777" w:rsidR="001A4860" w:rsidRPr="001A4860" w:rsidRDefault="001A4860" w:rsidP="001A4860">
      <w:pPr>
        <w:rPr>
          <w:sz w:val="22"/>
          <w:szCs w:val="22"/>
          <w:lang w:val="es-ES" w:eastAsia="es-ES"/>
        </w:rPr>
      </w:pPr>
      <w:r w:rsidRPr="001A4860">
        <w:rPr>
          <w:sz w:val="22"/>
          <w:szCs w:val="22"/>
          <w:lang w:val="es-ES" w:eastAsia="es-ES"/>
        </w:rPr>
        <w:t>Para uso en ambientes exteriores y a la intemperie, deben ser tipo WP. El calibre de los conductores estará dado según el AWG y estará especificado en los planos. Para conductores de cobre se instalará:</w:t>
      </w:r>
    </w:p>
    <w:p w14:paraId="5C6AEACA" w14:textId="77777777" w:rsidR="001A4860" w:rsidRPr="001A4860" w:rsidRDefault="001A4860" w:rsidP="001A4860">
      <w:pPr>
        <w:rPr>
          <w:sz w:val="22"/>
          <w:szCs w:val="22"/>
          <w:lang w:val="es-ES" w:eastAsia="es-ES"/>
        </w:rPr>
      </w:pPr>
    </w:p>
    <w:p w14:paraId="0CBE24E6" w14:textId="77777777" w:rsidR="001A4860" w:rsidRPr="001A4860" w:rsidRDefault="001A4860" w:rsidP="001A4860">
      <w:pPr>
        <w:rPr>
          <w:sz w:val="22"/>
          <w:szCs w:val="22"/>
          <w:lang w:val="es-ES" w:eastAsia="es-ES"/>
        </w:rPr>
      </w:pPr>
      <w:r w:rsidRPr="001A4860">
        <w:rPr>
          <w:sz w:val="22"/>
          <w:szCs w:val="22"/>
          <w:lang w:val="es-ES" w:eastAsia="es-ES"/>
        </w:rPr>
        <w:t>Del calibre Nº 14 al Nº 10 AWG, deben ser sólidos y</w:t>
      </w:r>
    </w:p>
    <w:p w14:paraId="759A330A" w14:textId="77777777" w:rsidR="001A4860" w:rsidRPr="001A4860" w:rsidRDefault="001A4860" w:rsidP="001A4860">
      <w:pPr>
        <w:rPr>
          <w:sz w:val="22"/>
          <w:szCs w:val="22"/>
          <w:lang w:val="es-ES" w:eastAsia="es-ES"/>
        </w:rPr>
      </w:pPr>
    </w:p>
    <w:p w14:paraId="37A4FC45" w14:textId="77777777" w:rsidR="001A4860" w:rsidRPr="001A4860" w:rsidRDefault="001A4860" w:rsidP="001A4860">
      <w:pPr>
        <w:rPr>
          <w:sz w:val="22"/>
          <w:szCs w:val="22"/>
          <w:lang w:val="es-ES" w:eastAsia="es-ES"/>
        </w:rPr>
      </w:pPr>
      <w:r w:rsidRPr="001A4860">
        <w:rPr>
          <w:sz w:val="22"/>
          <w:szCs w:val="22"/>
          <w:lang w:val="es-ES" w:eastAsia="es-ES"/>
        </w:rPr>
        <w:t>Del calibre Nº 8 al Nº 750 MCM deben ser trenzados.</w:t>
      </w:r>
    </w:p>
    <w:p w14:paraId="4F6EC3CC" w14:textId="77777777" w:rsidR="001A4860" w:rsidRPr="001A4860" w:rsidRDefault="001A4860" w:rsidP="001A4860">
      <w:pPr>
        <w:rPr>
          <w:sz w:val="22"/>
          <w:szCs w:val="22"/>
          <w:lang w:val="es-ES" w:eastAsia="es-ES"/>
        </w:rPr>
      </w:pPr>
    </w:p>
    <w:p w14:paraId="675A560E" w14:textId="77777777" w:rsidR="001A4860" w:rsidRPr="001A4860" w:rsidRDefault="001A4860" w:rsidP="001A4860">
      <w:pPr>
        <w:rPr>
          <w:sz w:val="22"/>
          <w:szCs w:val="22"/>
          <w:lang w:val="es-ES" w:eastAsia="es-ES"/>
        </w:rPr>
      </w:pPr>
      <w:r w:rsidRPr="001A4860">
        <w:rPr>
          <w:sz w:val="22"/>
          <w:szCs w:val="22"/>
          <w:lang w:val="es-ES" w:eastAsia="es-ES"/>
        </w:rPr>
        <w:t>En todo caso no se instalarán calibres menores al Nº 14 en circuitos de alumbrado y fuerza.</w:t>
      </w:r>
    </w:p>
    <w:p w14:paraId="0FA434F9" w14:textId="77777777" w:rsidR="001A4860" w:rsidRPr="001A4860" w:rsidRDefault="001A4860" w:rsidP="001A4860">
      <w:pPr>
        <w:rPr>
          <w:sz w:val="22"/>
          <w:szCs w:val="22"/>
          <w:lang w:val="es-ES" w:eastAsia="es-ES"/>
        </w:rPr>
      </w:pPr>
    </w:p>
    <w:p w14:paraId="2990FECA" w14:textId="77777777" w:rsidR="001A4860" w:rsidRPr="001A4860" w:rsidRDefault="001A4860" w:rsidP="001A4860">
      <w:pPr>
        <w:rPr>
          <w:sz w:val="22"/>
          <w:szCs w:val="22"/>
          <w:lang w:val="es-ES" w:eastAsia="es-ES"/>
        </w:rPr>
      </w:pPr>
      <w:r w:rsidRPr="001A4860">
        <w:rPr>
          <w:sz w:val="22"/>
          <w:szCs w:val="22"/>
          <w:lang w:val="es-ES" w:eastAsia="es-ES"/>
        </w:rPr>
        <w:t>Código de colores para conductores de baja tensión (menos de 600V)</w:t>
      </w:r>
    </w:p>
    <w:p w14:paraId="3A8B460D" w14:textId="77777777" w:rsidR="001A4860" w:rsidRPr="001A4860" w:rsidRDefault="001A4860" w:rsidP="001A4860">
      <w:pPr>
        <w:rPr>
          <w:sz w:val="22"/>
          <w:szCs w:val="22"/>
          <w:lang w:val="es-ES" w:eastAsia="es-ES"/>
        </w:rPr>
      </w:pPr>
    </w:p>
    <w:p w14:paraId="0C0B432F" w14:textId="77777777" w:rsidR="001A4860" w:rsidRPr="001A4860" w:rsidRDefault="001A4860" w:rsidP="001A4860">
      <w:pPr>
        <w:rPr>
          <w:sz w:val="22"/>
          <w:szCs w:val="22"/>
          <w:lang w:val="es-ES" w:eastAsia="es-ES"/>
        </w:rPr>
      </w:pPr>
      <w:r w:rsidRPr="001A4860">
        <w:rPr>
          <w:sz w:val="22"/>
          <w:szCs w:val="22"/>
          <w:lang w:val="es-ES" w:eastAsia="es-ES"/>
        </w:rPr>
        <w:lastRenderedPageBreak/>
        <w:t>Color</w:t>
      </w:r>
      <w:r w:rsidRPr="001A4860">
        <w:rPr>
          <w:sz w:val="22"/>
          <w:szCs w:val="22"/>
          <w:lang w:val="es-ES" w:eastAsia="es-ES"/>
        </w:rPr>
        <w:tab/>
      </w:r>
      <w:r w:rsidRPr="001A4860">
        <w:rPr>
          <w:sz w:val="22"/>
          <w:szCs w:val="22"/>
          <w:lang w:val="es-ES" w:eastAsia="es-ES"/>
        </w:rPr>
        <w:tab/>
        <w:t>Utilización</w:t>
      </w:r>
    </w:p>
    <w:p w14:paraId="271D091D" w14:textId="77777777" w:rsidR="001A4860" w:rsidRPr="001A4860" w:rsidRDefault="001A4860" w:rsidP="001A4860">
      <w:pPr>
        <w:rPr>
          <w:sz w:val="22"/>
          <w:szCs w:val="22"/>
          <w:lang w:val="es-ES" w:eastAsia="es-ES"/>
        </w:rPr>
      </w:pPr>
      <w:r w:rsidRPr="001A4860">
        <w:rPr>
          <w:sz w:val="22"/>
          <w:szCs w:val="22"/>
          <w:lang w:val="es-ES" w:eastAsia="es-ES"/>
        </w:rPr>
        <w:t>Negro</w:t>
      </w:r>
      <w:r w:rsidRPr="001A4860">
        <w:rPr>
          <w:sz w:val="22"/>
          <w:szCs w:val="22"/>
          <w:lang w:val="es-ES" w:eastAsia="es-ES"/>
        </w:rPr>
        <w:tab/>
      </w:r>
      <w:r w:rsidRPr="001A4860">
        <w:rPr>
          <w:sz w:val="22"/>
          <w:szCs w:val="22"/>
          <w:lang w:val="es-ES" w:eastAsia="es-ES"/>
        </w:rPr>
        <w:tab/>
        <w:t>Fase</w:t>
      </w:r>
    </w:p>
    <w:p w14:paraId="1FF3695D" w14:textId="77777777" w:rsidR="001A4860" w:rsidRPr="001A4860" w:rsidRDefault="001A4860" w:rsidP="001A4860">
      <w:pPr>
        <w:rPr>
          <w:sz w:val="22"/>
          <w:szCs w:val="22"/>
          <w:lang w:val="es-ES" w:eastAsia="es-ES"/>
        </w:rPr>
      </w:pPr>
      <w:r w:rsidRPr="001A4860">
        <w:rPr>
          <w:sz w:val="22"/>
          <w:szCs w:val="22"/>
          <w:lang w:val="es-ES" w:eastAsia="es-ES"/>
        </w:rPr>
        <w:t>Azul</w:t>
      </w:r>
      <w:r w:rsidRPr="001A4860">
        <w:rPr>
          <w:sz w:val="22"/>
          <w:szCs w:val="22"/>
          <w:lang w:val="es-ES" w:eastAsia="es-ES"/>
        </w:rPr>
        <w:tab/>
      </w:r>
      <w:r w:rsidRPr="001A4860">
        <w:rPr>
          <w:sz w:val="22"/>
          <w:szCs w:val="22"/>
          <w:lang w:val="es-ES" w:eastAsia="es-ES"/>
        </w:rPr>
        <w:tab/>
        <w:t>Fase</w:t>
      </w:r>
    </w:p>
    <w:p w14:paraId="581DE7BB" w14:textId="77777777" w:rsidR="001A4860" w:rsidRPr="001A4860" w:rsidRDefault="001A4860" w:rsidP="001A4860">
      <w:pPr>
        <w:rPr>
          <w:sz w:val="22"/>
          <w:szCs w:val="22"/>
          <w:lang w:val="es-ES" w:eastAsia="es-ES"/>
        </w:rPr>
      </w:pPr>
      <w:r w:rsidRPr="001A4860">
        <w:rPr>
          <w:sz w:val="22"/>
          <w:szCs w:val="22"/>
          <w:lang w:val="es-ES" w:eastAsia="es-ES"/>
        </w:rPr>
        <w:t>Rojo</w:t>
      </w:r>
      <w:r w:rsidRPr="001A4860">
        <w:rPr>
          <w:sz w:val="22"/>
          <w:szCs w:val="22"/>
          <w:lang w:val="es-ES" w:eastAsia="es-ES"/>
        </w:rPr>
        <w:tab/>
      </w:r>
      <w:r w:rsidRPr="001A4860">
        <w:rPr>
          <w:sz w:val="22"/>
          <w:szCs w:val="22"/>
          <w:lang w:val="es-ES" w:eastAsia="es-ES"/>
        </w:rPr>
        <w:tab/>
        <w:t>Fase</w:t>
      </w:r>
    </w:p>
    <w:p w14:paraId="0E4FCDB3" w14:textId="77777777" w:rsidR="001A4860" w:rsidRPr="001A4860" w:rsidRDefault="001A4860" w:rsidP="001A4860">
      <w:pPr>
        <w:rPr>
          <w:sz w:val="22"/>
          <w:szCs w:val="22"/>
          <w:lang w:val="es-ES" w:eastAsia="es-ES"/>
        </w:rPr>
      </w:pPr>
      <w:r w:rsidRPr="001A4860">
        <w:rPr>
          <w:sz w:val="22"/>
          <w:szCs w:val="22"/>
          <w:lang w:val="es-ES" w:eastAsia="es-ES"/>
        </w:rPr>
        <w:t>Blanco</w:t>
      </w:r>
      <w:r w:rsidRPr="001A4860">
        <w:rPr>
          <w:sz w:val="22"/>
          <w:szCs w:val="22"/>
          <w:lang w:val="es-ES" w:eastAsia="es-ES"/>
        </w:rPr>
        <w:tab/>
        <w:t>Neutro</w:t>
      </w:r>
    </w:p>
    <w:p w14:paraId="2692FA8F" w14:textId="77777777" w:rsidR="001A4860" w:rsidRPr="001A4860" w:rsidRDefault="001A4860" w:rsidP="001A4860">
      <w:pPr>
        <w:rPr>
          <w:sz w:val="22"/>
          <w:szCs w:val="22"/>
          <w:lang w:val="es-ES" w:eastAsia="es-ES"/>
        </w:rPr>
      </w:pPr>
      <w:r w:rsidRPr="001A4860">
        <w:rPr>
          <w:sz w:val="22"/>
          <w:szCs w:val="22"/>
          <w:lang w:val="es-ES" w:eastAsia="es-ES"/>
        </w:rPr>
        <w:t>Verde</w:t>
      </w:r>
      <w:r w:rsidRPr="001A4860">
        <w:rPr>
          <w:sz w:val="22"/>
          <w:szCs w:val="22"/>
          <w:lang w:val="es-ES" w:eastAsia="es-ES"/>
        </w:rPr>
        <w:tab/>
      </w:r>
      <w:r w:rsidRPr="001A4860">
        <w:rPr>
          <w:sz w:val="22"/>
          <w:szCs w:val="22"/>
          <w:lang w:val="es-ES" w:eastAsia="es-ES"/>
        </w:rPr>
        <w:tab/>
        <w:t>Tierra</w:t>
      </w:r>
    </w:p>
    <w:p w14:paraId="6FA31211" w14:textId="77777777" w:rsidR="001A4860" w:rsidRPr="001A4860" w:rsidRDefault="001A4860" w:rsidP="001A4860">
      <w:pPr>
        <w:rPr>
          <w:sz w:val="22"/>
          <w:szCs w:val="22"/>
          <w:lang w:val="es-ES" w:eastAsia="es-ES"/>
        </w:rPr>
      </w:pPr>
      <w:r w:rsidRPr="001A4860">
        <w:rPr>
          <w:sz w:val="22"/>
          <w:szCs w:val="22"/>
          <w:lang w:val="es-ES" w:eastAsia="es-ES"/>
        </w:rPr>
        <w:t>Amarillo</w:t>
      </w:r>
      <w:r w:rsidRPr="001A4860">
        <w:rPr>
          <w:sz w:val="22"/>
          <w:szCs w:val="22"/>
          <w:lang w:val="es-ES" w:eastAsia="es-ES"/>
        </w:rPr>
        <w:tab/>
        <w:t>Control</w:t>
      </w:r>
    </w:p>
    <w:p w14:paraId="5DF91960" w14:textId="77777777" w:rsidR="001A4860" w:rsidRPr="001A4860" w:rsidRDefault="001A4860" w:rsidP="001A4860">
      <w:pPr>
        <w:rPr>
          <w:sz w:val="22"/>
          <w:szCs w:val="22"/>
          <w:lang w:val="es-ES" w:eastAsia="es-ES"/>
        </w:rPr>
      </w:pPr>
      <w:r w:rsidRPr="001A4860">
        <w:rPr>
          <w:sz w:val="22"/>
          <w:szCs w:val="22"/>
          <w:lang w:val="es-ES" w:eastAsia="es-ES"/>
        </w:rPr>
        <w:t>Anaranjado</w:t>
      </w:r>
      <w:r w:rsidRPr="001A4860">
        <w:rPr>
          <w:sz w:val="22"/>
          <w:szCs w:val="22"/>
          <w:lang w:val="es-ES" w:eastAsia="es-ES"/>
        </w:rPr>
        <w:tab/>
        <w:t>Control</w:t>
      </w:r>
    </w:p>
    <w:p w14:paraId="384F53D0" w14:textId="77777777" w:rsidR="001A4860" w:rsidRPr="001A4860" w:rsidRDefault="001A4860" w:rsidP="001A4860">
      <w:pPr>
        <w:rPr>
          <w:sz w:val="22"/>
          <w:szCs w:val="22"/>
          <w:lang w:val="es-ES" w:eastAsia="es-ES"/>
        </w:rPr>
      </w:pPr>
      <w:r w:rsidRPr="001A4860">
        <w:rPr>
          <w:sz w:val="22"/>
          <w:szCs w:val="22"/>
          <w:lang w:val="es-ES" w:eastAsia="es-ES"/>
        </w:rPr>
        <w:t>Café</w:t>
      </w:r>
      <w:r w:rsidRPr="001A4860">
        <w:rPr>
          <w:sz w:val="22"/>
          <w:szCs w:val="22"/>
          <w:lang w:val="es-ES" w:eastAsia="es-ES"/>
        </w:rPr>
        <w:tab/>
      </w:r>
      <w:r w:rsidRPr="001A4860">
        <w:rPr>
          <w:sz w:val="22"/>
          <w:szCs w:val="22"/>
          <w:lang w:val="es-ES" w:eastAsia="es-ES"/>
        </w:rPr>
        <w:tab/>
        <w:t>Control</w:t>
      </w:r>
    </w:p>
    <w:p w14:paraId="564F2788" w14:textId="77777777" w:rsidR="001A4860" w:rsidRPr="001A4860" w:rsidRDefault="001A4860" w:rsidP="001A4860">
      <w:pPr>
        <w:rPr>
          <w:sz w:val="22"/>
          <w:szCs w:val="22"/>
          <w:lang w:val="es-ES" w:eastAsia="es-ES"/>
        </w:rPr>
      </w:pPr>
    </w:p>
    <w:p w14:paraId="35AC657F" w14:textId="77777777" w:rsidR="001A4860" w:rsidRPr="001A4860" w:rsidRDefault="001A4860" w:rsidP="001A4860">
      <w:pPr>
        <w:rPr>
          <w:sz w:val="22"/>
          <w:szCs w:val="22"/>
          <w:lang w:val="es-ES" w:eastAsia="es-ES"/>
        </w:rPr>
      </w:pPr>
      <w:r w:rsidRPr="001A4860">
        <w:rPr>
          <w:sz w:val="22"/>
          <w:szCs w:val="22"/>
          <w:lang w:val="es-ES" w:eastAsia="es-ES"/>
        </w:rPr>
        <w:t>Las conexiones de conductores entre los Nº 14, 12 y 10 se realizan con el uso de WireNut (Scotchlock) del tamaño adecuado. Para calibres mayores se realizan con terminales de compresión de cobre según sea necesario y debidamente aislado.</w:t>
      </w:r>
    </w:p>
    <w:p w14:paraId="31BE91DA" w14:textId="77777777" w:rsidR="001A4860" w:rsidRPr="001A4860" w:rsidRDefault="001A4860" w:rsidP="001A4860">
      <w:pPr>
        <w:rPr>
          <w:sz w:val="22"/>
          <w:szCs w:val="22"/>
          <w:lang w:val="es-ES" w:eastAsia="es-ES"/>
        </w:rPr>
      </w:pPr>
    </w:p>
    <w:p w14:paraId="76EE346E" w14:textId="77777777" w:rsidR="001A4860" w:rsidRPr="001A4860" w:rsidRDefault="001A4860" w:rsidP="001A4860">
      <w:pPr>
        <w:rPr>
          <w:sz w:val="22"/>
          <w:szCs w:val="22"/>
          <w:lang w:val="es-ES" w:eastAsia="es-ES"/>
        </w:rPr>
      </w:pPr>
      <w:r w:rsidRPr="001A4860">
        <w:rPr>
          <w:sz w:val="22"/>
          <w:szCs w:val="22"/>
          <w:lang w:val="es-ES" w:eastAsia="es-ES"/>
        </w:rPr>
        <w:t>Se evitará el empalme de un mismo conductor, pero, en caso necesario se realiza en lugares de fácil acceso como en cajas de conexión, estos deben ser soldados o encepados según el caso, debidamente aislados con cinta de alto valor dieléctrico, por ejemplo, la 3M super 33+.</w:t>
      </w:r>
    </w:p>
    <w:p w14:paraId="2B5E50CE" w14:textId="77777777" w:rsidR="001A4860" w:rsidRPr="001A4860" w:rsidRDefault="001A4860" w:rsidP="001A4860">
      <w:pPr>
        <w:rPr>
          <w:sz w:val="22"/>
          <w:szCs w:val="22"/>
          <w:lang w:val="es-ES" w:eastAsia="es-ES"/>
        </w:rPr>
      </w:pPr>
    </w:p>
    <w:p w14:paraId="5C4EB797" w14:textId="77777777" w:rsidR="001A4860" w:rsidRPr="001A4860" w:rsidRDefault="001A4860" w:rsidP="001A4860">
      <w:pPr>
        <w:rPr>
          <w:sz w:val="22"/>
          <w:szCs w:val="22"/>
          <w:lang w:val="es-ES" w:eastAsia="es-ES"/>
        </w:rPr>
      </w:pPr>
      <w:r w:rsidRPr="001A4860">
        <w:rPr>
          <w:sz w:val="22"/>
          <w:szCs w:val="22"/>
          <w:lang w:val="es-ES" w:eastAsia="es-ES"/>
        </w:rPr>
        <w:t>Antes de la instalación en ductos debe asegurarse la completa limpieza y utilizar guías adecuadas de tal manera de no dañar los conductores y ductos.</w:t>
      </w:r>
    </w:p>
    <w:p w14:paraId="52E60401" w14:textId="77777777" w:rsidR="001A4860" w:rsidRPr="001A4860" w:rsidRDefault="001A4860" w:rsidP="001A4860">
      <w:pPr>
        <w:rPr>
          <w:sz w:val="22"/>
          <w:szCs w:val="22"/>
          <w:lang w:val="es-ES" w:eastAsia="es-ES"/>
        </w:rPr>
      </w:pPr>
    </w:p>
    <w:p w14:paraId="5D3486A2" w14:textId="77777777" w:rsidR="001A4860" w:rsidRPr="001A4860" w:rsidRDefault="001A4860" w:rsidP="001A4860">
      <w:pPr>
        <w:rPr>
          <w:sz w:val="22"/>
          <w:szCs w:val="22"/>
          <w:lang w:val="es-ES" w:eastAsia="es-ES"/>
        </w:rPr>
      </w:pPr>
      <w:r w:rsidRPr="001A4860">
        <w:rPr>
          <w:sz w:val="22"/>
          <w:szCs w:val="22"/>
          <w:lang w:val="es-ES" w:eastAsia="es-ES"/>
        </w:rPr>
        <w:t>Media Tensión</w:t>
      </w:r>
    </w:p>
    <w:p w14:paraId="431DE0C0" w14:textId="77777777" w:rsidR="001A4860" w:rsidRPr="001A4860" w:rsidRDefault="001A4860" w:rsidP="001A4860">
      <w:pPr>
        <w:rPr>
          <w:sz w:val="22"/>
          <w:szCs w:val="22"/>
          <w:lang w:val="es-ES" w:eastAsia="es-ES"/>
        </w:rPr>
      </w:pPr>
    </w:p>
    <w:p w14:paraId="6C43EECD" w14:textId="77777777" w:rsidR="001A4860" w:rsidRPr="001A4860" w:rsidRDefault="001A4860" w:rsidP="001A4860">
      <w:pPr>
        <w:rPr>
          <w:sz w:val="22"/>
          <w:szCs w:val="22"/>
          <w:lang w:val="es-ES" w:eastAsia="es-ES"/>
        </w:rPr>
      </w:pPr>
      <w:r w:rsidRPr="001A4860">
        <w:rPr>
          <w:sz w:val="22"/>
          <w:szCs w:val="22"/>
          <w:lang w:val="es-ES" w:eastAsia="es-ES"/>
        </w:rPr>
        <w:t>Deben ser de aluminio del tipo ACSR (AL 1350-H19) o AAAC (AL6201-T81) según lo indique el plano para cada caso particular, en todo caso no se instalará un calibre menor al Nº 2.</w:t>
      </w:r>
    </w:p>
    <w:p w14:paraId="052D3280" w14:textId="77777777" w:rsidR="001A4860" w:rsidRPr="001A4860" w:rsidRDefault="001A4860" w:rsidP="001A4860">
      <w:pPr>
        <w:rPr>
          <w:sz w:val="22"/>
          <w:szCs w:val="22"/>
          <w:lang w:val="es-ES" w:eastAsia="es-ES"/>
        </w:rPr>
      </w:pPr>
    </w:p>
    <w:p w14:paraId="31F70E13" w14:textId="77777777" w:rsidR="001A4860" w:rsidRPr="001A4860" w:rsidRDefault="001A4860" w:rsidP="001A4860">
      <w:pPr>
        <w:rPr>
          <w:sz w:val="22"/>
          <w:szCs w:val="22"/>
          <w:lang w:val="es-ES" w:eastAsia="es-ES"/>
        </w:rPr>
      </w:pPr>
      <w:r w:rsidRPr="001A4860">
        <w:rPr>
          <w:sz w:val="22"/>
          <w:szCs w:val="22"/>
          <w:lang w:val="es-ES" w:eastAsia="es-ES"/>
        </w:rPr>
        <w:t>Cables de Control</w:t>
      </w:r>
    </w:p>
    <w:p w14:paraId="6DE3C3DE" w14:textId="77777777" w:rsidR="001A4860" w:rsidRPr="001A4860" w:rsidRDefault="001A4860" w:rsidP="001A4860">
      <w:pPr>
        <w:rPr>
          <w:sz w:val="22"/>
          <w:szCs w:val="22"/>
          <w:lang w:val="es-ES" w:eastAsia="es-ES"/>
        </w:rPr>
      </w:pPr>
    </w:p>
    <w:p w14:paraId="55DE1B1A" w14:textId="77777777" w:rsidR="001A4860" w:rsidRPr="001A4860" w:rsidRDefault="001A4860" w:rsidP="001A4860">
      <w:pPr>
        <w:rPr>
          <w:sz w:val="22"/>
          <w:szCs w:val="22"/>
          <w:lang w:val="es-ES" w:eastAsia="es-ES"/>
        </w:rPr>
      </w:pPr>
      <w:r w:rsidRPr="001A4860">
        <w:rPr>
          <w:sz w:val="22"/>
          <w:szCs w:val="22"/>
          <w:lang w:val="es-ES" w:eastAsia="es-ES"/>
        </w:rPr>
        <w:t>Señales sensibles, se refieren a señales de cualquier naturaleza eléctrica que sea de una magnitud apreciablemente pequeña, sin importar de que tipo o unidad este compuesta, básicamente aquellas señales que son utilizadas para mediciones de diferentes parámetros (temperatura, presión, caudal etc.) principalmente del orden de las milésimas (ej. mA, mV etc.); este tipo de señales se ven fácilmente afectadas por aproximaciones de campos de electromagnetismo fuerte y radio frecuencias.</w:t>
      </w:r>
    </w:p>
    <w:p w14:paraId="44C28D3C" w14:textId="77777777" w:rsidR="001A4860" w:rsidRPr="001A4860" w:rsidRDefault="001A4860" w:rsidP="001A4860">
      <w:pPr>
        <w:rPr>
          <w:sz w:val="22"/>
          <w:szCs w:val="22"/>
          <w:lang w:val="es-ES" w:eastAsia="es-ES"/>
        </w:rPr>
      </w:pPr>
    </w:p>
    <w:p w14:paraId="76B11A00" w14:textId="77777777" w:rsidR="001A4860" w:rsidRPr="001A4860" w:rsidRDefault="001A4860" w:rsidP="001A4860">
      <w:pPr>
        <w:rPr>
          <w:sz w:val="22"/>
          <w:szCs w:val="22"/>
          <w:lang w:val="es-ES" w:eastAsia="es-ES"/>
        </w:rPr>
      </w:pPr>
      <w:r w:rsidRPr="001A4860">
        <w:rPr>
          <w:sz w:val="22"/>
          <w:szCs w:val="22"/>
          <w:lang w:val="es-ES" w:eastAsia="es-ES"/>
        </w:rPr>
        <w:t>Todas estas señales sensibles deben ser llevadas hasta sitios remotos en cables de control especiales, que deberán de cumplir por lo menos, con las siguientes características:</w:t>
      </w:r>
    </w:p>
    <w:p w14:paraId="033F5EBA" w14:textId="77777777" w:rsidR="001A4860" w:rsidRPr="001A4860" w:rsidRDefault="001A4860" w:rsidP="001A4860">
      <w:pPr>
        <w:rPr>
          <w:sz w:val="22"/>
          <w:szCs w:val="22"/>
          <w:lang w:val="es-ES" w:eastAsia="es-ES"/>
        </w:rPr>
      </w:pPr>
    </w:p>
    <w:p w14:paraId="3121A843" w14:textId="77777777" w:rsidR="001A4860" w:rsidRPr="001A4860" w:rsidRDefault="001A4860" w:rsidP="001A4860">
      <w:pPr>
        <w:rPr>
          <w:sz w:val="22"/>
          <w:szCs w:val="22"/>
          <w:lang w:val="es-ES" w:eastAsia="es-ES"/>
        </w:rPr>
      </w:pPr>
      <w:r w:rsidRPr="001A4860">
        <w:rPr>
          <w:sz w:val="22"/>
          <w:szCs w:val="22"/>
          <w:lang w:val="es-ES" w:eastAsia="es-ES"/>
        </w:rPr>
        <w:t>•</w:t>
      </w:r>
      <w:r w:rsidRPr="001A4860">
        <w:rPr>
          <w:sz w:val="22"/>
          <w:szCs w:val="22"/>
          <w:lang w:val="es-ES" w:eastAsia="es-ES"/>
        </w:rPr>
        <w:tab/>
        <w:t>Cable flexible, con blindaje del tipo malla de cobre suave, no se permitirán blindajes del tipo papel metálico, con excepción que el fabricante del equipo así lo recomiende.</w:t>
      </w:r>
    </w:p>
    <w:p w14:paraId="7340F000" w14:textId="77777777" w:rsidR="001A4860" w:rsidRPr="001A4860" w:rsidRDefault="001A4860" w:rsidP="001A4860">
      <w:pPr>
        <w:rPr>
          <w:sz w:val="22"/>
          <w:szCs w:val="22"/>
          <w:lang w:val="es-ES" w:eastAsia="es-ES"/>
        </w:rPr>
      </w:pPr>
    </w:p>
    <w:p w14:paraId="1D4422CB" w14:textId="77777777" w:rsidR="001A4860" w:rsidRPr="001A4860" w:rsidRDefault="001A4860" w:rsidP="001A4860">
      <w:pPr>
        <w:rPr>
          <w:sz w:val="22"/>
          <w:szCs w:val="22"/>
          <w:lang w:val="es-ES" w:eastAsia="es-ES"/>
        </w:rPr>
      </w:pPr>
      <w:r w:rsidRPr="001A4860">
        <w:rPr>
          <w:sz w:val="22"/>
          <w:szCs w:val="22"/>
          <w:lang w:val="es-ES" w:eastAsia="es-ES"/>
        </w:rPr>
        <w:t>•</w:t>
      </w:r>
      <w:r w:rsidRPr="001A4860">
        <w:rPr>
          <w:sz w:val="22"/>
          <w:szCs w:val="22"/>
          <w:lang w:val="es-ES" w:eastAsia="es-ES"/>
        </w:rPr>
        <w:tab/>
        <w:t>Número de cables necesarios por equipo blindados en una sola unidad (no se combinarán varias señales de diferentes equipos en un solo cable multipar blindado).</w:t>
      </w:r>
    </w:p>
    <w:p w14:paraId="59F783B6" w14:textId="77777777" w:rsidR="001A4860" w:rsidRPr="001A4860" w:rsidRDefault="001A4860" w:rsidP="001A4860">
      <w:pPr>
        <w:rPr>
          <w:sz w:val="22"/>
          <w:szCs w:val="22"/>
          <w:lang w:val="es-ES" w:eastAsia="es-ES"/>
        </w:rPr>
      </w:pPr>
    </w:p>
    <w:p w14:paraId="0784BF47" w14:textId="77777777" w:rsidR="001A4860" w:rsidRPr="001A4860" w:rsidRDefault="001A4860" w:rsidP="001A4860">
      <w:pPr>
        <w:keepNext/>
        <w:outlineLvl w:val="1"/>
        <w:rPr>
          <w:rFonts w:eastAsia="Arial Narrow"/>
          <w:b/>
          <w:bCs/>
          <w:iCs/>
          <w:sz w:val="22"/>
          <w:szCs w:val="22"/>
          <w:lang w:val="es-NI"/>
        </w:rPr>
      </w:pPr>
      <w:bookmarkStart w:id="935" w:name="_Toc23249533"/>
      <w:r w:rsidRPr="001A4860">
        <w:rPr>
          <w:rFonts w:eastAsia="Arial Narrow"/>
          <w:b/>
          <w:bCs/>
          <w:iCs/>
          <w:sz w:val="22"/>
          <w:szCs w:val="22"/>
          <w:lang w:val="es-NI"/>
        </w:rPr>
        <w:t>Postes</w:t>
      </w:r>
      <w:bookmarkEnd w:id="935"/>
    </w:p>
    <w:p w14:paraId="0AAAB853" w14:textId="77777777" w:rsidR="001A4860" w:rsidRPr="001A4860" w:rsidRDefault="001A4860" w:rsidP="001A4860">
      <w:pPr>
        <w:rPr>
          <w:sz w:val="22"/>
          <w:szCs w:val="22"/>
          <w:lang w:val="es-ES" w:eastAsia="es-ES"/>
        </w:rPr>
      </w:pPr>
    </w:p>
    <w:p w14:paraId="526DFE1A" w14:textId="77777777" w:rsidR="001A4860" w:rsidRPr="001A4860" w:rsidRDefault="001A4860" w:rsidP="001A4860">
      <w:pPr>
        <w:rPr>
          <w:sz w:val="22"/>
          <w:szCs w:val="22"/>
          <w:lang w:val="es-ES" w:eastAsia="es-ES"/>
        </w:rPr>
      </w:pPr>
      <w:r w:rsidRPr="001A4860">
        <w:rPr>
          <w:sz w:val="22"/>
          <w:szCs w:val="22"/>
          <w:lang w:val="es-ES" w:eastAsia="es-ES"/>
        </w:rPr>
        <w:t>Deben ser de concreto centrifugado, pretensado, clase 500, con agujeros, del tipo particular. Los postes deben quedar debidamente empotrados y completamente a plomo antes y después de aplicarles tensión.</w:t>
      </w:r>
    </w:p>
    <w:p w14:paraId="60B9FCE4" w14:textId="77777777" w:rsidR="001A4860" w:rsidRPr="001A4860" w:rsidRDefault="001A4860" w:rsidP="001A4860">
      <w:pPr>
        <w:rPr>
          <w:sz w:val="22"/>
          <w:szCs w:val="22"/>
          <w:lang w:val="es-ES" w:eastAsia="es-ES"/>
        </w:rPr>
      </w:pPr>
    </w:p>
    <w:p w14:paraId="5A27A1AD" w14:textId="77777777" w:rsidR="001A4860" w:rsidRPr="001A4860" w:rsidRDefault="001A4860" w:rsidP="001A4860">
      <w:pPr>
        <w:rPr>
          <w:sz w:val="22"/>
          <w:szCs w:val="22"/>
          <w:lang w:val="es-ES" w:eastAsia="es-ES"/>
        </w:rPr>
      </w:pPr>
      <w:r w:rsidRPr="001A4860">
        <w:rPr>
          <w:sz w:val="22"/>
          <w:szCs w:val="22"/>
          <w:lang w:val="es-ES" w:eastAsia="es-ES"/>
        </w:rPr>
        <w:t>Las medidas, estructuras, herrajes y aislamiento para el voltaje, es de acuerdo a lo indicado en los planos y aprobado por el Supervisor.</w:t>
      </w:r>
    </w:p>
    <w:p w14:paraId="3D724470" w14:textId="77777777" w:rsidR="001A4860" w:rsidRPr="001A4860" w:rsidRDefault="001A4860" w:rsidP="001A4860">
      <w:pPr>
        <w:rPr>
          <w:sz w:val="22"/>
          <w:szCs w:val="22"/>
          <w:lang w:val="es-ES" w:eastAsia="es-ES"/>
        </w:rPr>
      </w:pPr>
    </w:p>
    <w:p w14:paraId="63B84750" w14:textId="77777777" w:rsidR="001A4860" w:rsidRPr="001A4860" w:rsidRDefault="001A4860" w:rsidP="001A4860">
      <w:pPr>
        <w:rPr>
          <w:sz w:val="22"/>
          <w:szCs w:val="22"/>
          <w:lang w:val="es-ES" w:eastAsia="es-ES"/>
        </w:rPr>
      </w:pPr>
      <w:r w:rsidRPr="001A4860">
        <w:rPr>
          <w:sz w:val="22"/>
          <w:szCs w:val="22"/>
          <w:lang w:val="es-ES" w:eastAsia="es-ES"/>
        </w:rPr>
        <w:t xml:space="preserve">En caso de utilizarse postes metálicos, estos deberán ser completamente galvanizados en baño caliente por inmersión según la Norma ASTM A123, construidos de lámina estructural de acero de alta resistencia, sin fallas en las soldaduras, sellados en la parte superior o con su respectiva tapadera. </w:t>
      </w:r>
    </w:p>
    <w:p w14:paraId="2F94C4F8" w14:textId="77777777" w:rsidR="001A4860" w:rsidRPr="001A4860" w:rsidRDefault="001A4860" w:rsidP="001A4860">
      <w:pPr>
        <w:rPr>
          <w:sz w:val="22"/>
          <w:szCs w:val="22"/>
          <w:lang w:val="es-ES" w:eastAsia="es-ES"/>
        </w:rPr>
      </w:pPr>
    </w:p>
    <w:p w14:paraId="79553010" w14:textId="77777777" w:rsidR="001A4860" w:rsidRPr="001A4860" w:rsidRDefault="001A4860" w:rsidP="001A4860">
      <w:pPr>
        <w:rPr>
          <w:sz w:val="22"/>
          <w:szCs w:val="22"/>
          <w:lang w:val="es-ES" w:eastAsia="es-ES"/>
        </w:rPr>
      </w:pPr>
      <w:r w:rsidRPr="001A4860">
        <w:rPr>
          <w:sz w:val="22"/>
          <w:szCs w:val="22"/>
          <w:lang w:val="es-ES" w:eastAsia="es-ES"/>
        </w:rPr>
        <w:t>No se aceptan postes metálicos tratados contra la corrosión con pintura.</w:t>
      </w:r>
    </w:p>
    <w:p w14:paraId="5421CB13" w14:textId="77777777" w:rsidR="001A4860" w:rsidRPr="001A4860" w:rsidRDefault="001A4860" w:rsidP="001A4860">
      <w:pPr>
        <w:rPr>
          <w:sz w:val="22"/>
          <w:szCs w:val="22"/>
          <w:lang w:val="es-ES" w:eastAsia="es-ES"/>
        </w:rPr>
      </w:pPr>
    </w:p>
    <w:p w14:paraId="2F787C15" w14:textId="77777777" w:rsidR="001A4860" w:rsidRPr="001A4860" w:rsidRDefault="001A4860" w:rsidP="001A4860">
      <w:pPr>
        <w:keepNext/>
        <w:outlineLvl w:val="1"/>
        <w:rPr>
          <w:rFonts w:eastAsia="Arial Narrow"/>
          <w:b/>
          <w:bCs/>
          <w:iCs/>
          <w:sz w:val="22"/>
          <w:szCs w:val="22"/>
          <w:lang w:val="es-NI"/>
        </w:rPr>
      </w:pPr>
      <w:bookmarkStart w:id="936" w:name="_Toc23249534"/>
      <w:r w:rsidRPr="001A4860">
        <w:rPr>
          <w:rFonts w:eastAsia="Arial Narrow"/>
          <w:b/>
          <w:bCs/>
          <w:iCs/>
          <w:sz w:val="22"/>
          <w:szCs w:val="22"/>
          <w:lang w:val="es-NI"/>
        </w:rPr>
        <w:t>Herrajes</w:t>
      </w:r>
      <w:bookmarkEnd w:id="936"/>
    </w:p>
    <w:p w14:paraId="3C3D05D9" w14:textId="77777777" w:rsidR="001A4860" w:rsidRPr="001A4860" w:rsidRDefault="001A4860" w:rsidP="001A4860">
      <w:pPr>
        <w:rPr>
          <w:sz w:val="22"/>
          <w:szCs w:val="22"/>
          <w:lang w:val="es-ES" w:eastAsia="es-ES"/>
        </w:rPr>
      </w:pPr>
    </w:p>
    <w:p w14:paraId="0C1635F8" w14:textId="77777777" w:rsidR="001A4860" w:rsidRPr="001A4860" w:rsidRDefault="001A4860" w:rsidP="001A4860">
      <w:pPr>
        <w:rPr>
          <w:sz w:val="22"/>
          <w:szCs w:val="22"/>
          <w:lang w:val="es-ES" w:eastAsia="es-ES"/>
        </w:rPr>
      </w:pPr>
      <w:r w:rsidRPr="001A4860">
        <w:rPr>
          <w:sz w:val="22"/>
          <w:szCs w:val="22"/>
          <w:lang w:val="es-ES" w:eastAsia="es-ES"/>
        </w:rPr>
        <w:t>En general, los herrajes deberán ser de hierro galvanizados en caliente de las medidas apropiadas según el caso, entre ellos: abrazaderas, cruceros, tirantes, arandelas, todo perno, almohadillas, etc.</w:t>
      </w:r>
    </w:p>
    <w:p w14:paraId="4B21204B" w14:textId="77777777" w:rsidR="001A4860" w:rsidRPr="001A4860" w:rsidRDefault="001A4860" w:rsidP="001A4860">
      <w:pPr>
        <w:rPr>
          <w:sz w:val="22"/>
          <w:szCs w:val="22"/>
          <w:lang w:val="es-ES" w:eastAsia="es-ES"/>
        </w:rPr>
      </w:pPr>
    </w:p>
    <w:p w14:paraId="50E0B5BC" w14:textId="77777777" w:rsidR="001A4860" w:rsidRPr="001A4860" w:rsidRDefault="001A4860" w:rsidP="001A4860">
      <w:pPr>
        <w:rPr>
          <w:sz w:val="22"/>
          <w:szCs w:val="22"/>
          <w:lang w:val="es-ES" w:eastAsia="es-ES"/>
        </w:rPr>
      </w:pPr>
      <w:r w:rsidRPr="001A4860">
        <w:rPr>
          <w:sz w:val="22"/>
          <w:szCs w:val="22"/>
          <w:lang w:val="es-ES" w:eastAsia="es-ES"/>
        </w:rPr>
        <w:t>Todas las estructuras metálicas angulares deben ser galvanizadas en caliente según las especificaciones de las normas ASTM A36/A 36M-89 y ASTM A 153-82.</w:t>
      </w:r>
    </w:p>
    <w:p w14:paraId="57A8DAFE" w14:textId="77777777" w:rsidR="001A4860" w:rsidRPr="001A4860" w:rsidRDefault="001A4860" w:rsidP="001A4860">
      <w:pPr>
        <w:rPr>
          <w:sz w:val="22"/>
          <w:szCs w:val="22"/>
          <w:lang w:val="es-ES" w:eastAsia="es-ES"/>
        </w:rPr>
      </w:pPr>
    </w:p>
    <w:p w14:paraId="03E6191F" w14:textId="77777777" w:rsidR="001A4860" w:rsidRPr="001A4860" w:rsidRDefault="001A4860" w:rsidP="001A4860">
      <w:pPr>
        <w:rPr>
          <w:sz w:val="22"/>
          <w:szCs w:val="22"/>
          <w:lang w:val="es-ES" w:eastAsia="es-ES"/>
        </w:rPr>
      </w:pPr>
      <w:r w:rsidRPr="001A4860">
        <w:rPr>
          <w:sz w:val="22"/>
          <w:szCs w:val="22"/>
          <w:lang w:val="es-ES" w:eastAsia="es-ES"/>
        </w:rPr>
        <w:t>Lo que se refiere a la pernería es galvanizada en caliente según las normas ANSI C135.1-1979.</w:t>
      </w:r>
    </w:p>
    <w:p w14:paraId="2D5E5B62" w14:textId="77777777" w:rsidR="001A4860" w:rsidRPr="001A4860" w:rsidRDefault="001A4860" w:rsidP="001A4860">
      <w:pPr>
        <w:rPr>
          <w:sz w:val="22"/>
          <w:szCs w:val="22"/>
          <w:lang w:val="es-ES" w:eastAsia="es-ES"/>
        </w:rPr>
      </w:pPr>
    </w:p>
    <w:p w14:paraId="17E47D05" w14:textId="77777777" w:rsidR="001A4860" w:rsidRPr="001A4860" w:rsidRDefault="001A4860" w:rsidP="001A4860">
      <w:pPr>
        <w:keepNext/>
        <w:outlineLvl w:val="1"/>
        <w:rPr>
          <w:rFonts w:eastAsia="Arial Narrow"/>
          <w:b/>
          <w:bCs/>
          <w:iCs/>
          <w:sz w:val="22"/>
          <w:szCs w:val="22"/>
          <w:lang w:val="es-NI"/>
        </w:rPr>
      </w:pPr>
      <w:bookmarkStart w:id="937" w:name="_Toc23249535"/>
      <w:r w:rsidRPr="001A4860">
        <w:rPr>
          <w:rFonts w:eastAsia="Arial Narrow"/>
          <w:b/>
          <w:bCs/>
          <w:iCs/>
          <w:sz w:val="22"/>
          <w:szCs w:val="22"/>
          <w:lang w:val="es-NI"/>
        </w:rPr>
        <w:t>Aisladores</w:t>
      </w:r>
      <w:bookmarkEnd w:id="937"/>
    </w:p>
    <w:p w14:paraId="339CE80F" w14:textId="77777777" w:rsidR="001A4860" w:rsidRPr="001A4860" w:rsidRDefault="001A4860" w:rsidP="001A4860">
      <w:pPr>
        <w:rPr>
          <w:sz w:val="22"/>
          <w:szCs w:val="22"/>
          <w:lang w:val="es-ES" w:eastAsia="es-ES"/>
        </w:rPr>
      </w:pPr>
    </w:p>
    <w:p w14:paraId="257F469E" w14:textId="77777777" w:rsidR="001A4860" w:rsidRPr="001A4860" w:rsidRDefault="001A4860" w:rsidP="001A4860">
      <w:pPr>
        <w:rPr>
          <w:sz w:val="22"/>
          <w:szCs w:val="22"/>
          <w:lang w:val="es-ES" w:eastAsia="es-ES"/>
        </w:rPr>
      </w:pPr>
      <w:r w:rsidRPr="001A4860">
        <w:rPr>
          <w:sz w:val="22"/>
          <w:szCs w:val="22"/>
          <w:lang w:val="es-ES" w:eastAsia="es-ES"/>
        </w:rPr>
        <w:t>Se aceptan aisladores de suspensión de porcelana tipo campana de 6” o 10” de diámetro, Clase ANSI 52-1 o ANSI 52-4 respectivamente, los aisladores de tipo espiga deben ser de porcelana Clase ANSI 55-4 o ANSI 56-1 y los aisladores tipo carrete deben ser Clase ANSI 53-2.</w:t>
      </w:r>
    </w:p>
    <w:p w14:paraId="1EC4D399" w14:textId="77777777" w:rsidR="001A4860" w:rsidRPr="001A4860" w:rsidRDefault="001A4860" w:rsidP="001A4860">
      <w:pPr>
        <w:rPr>
          <w:sz w:val="22"/>
          <w:szCs w:val="22"/>
          <w:lang w:val="es-ES" w:eastAsia="es-ES"/>
        </w:rPr>
      </w:pPr>
    </w:p>
    <w:p w14:paraId="7FF650E5" w14:textId="77777777" w:rsidR="001A4860" w:rsidRPr="001A4860" w:rsidRDefault="001A4860" w:rsidP="001A4860">
      <w:pPr>
        <w:keepNext/>
        <w:outlineLvl w:val="1"/>
        <w:rPr>
          <w:rFonts w:eastAsia="Arial Narrow"/>
          <w:b/>
          <w:bCs/>
          <w:iCs/>
          <w:sz w:val="22"/>
          <w:szCs w:val="22"/>
          <w:lang w:val="es-NI"/>
        </w:rPr>
      </w:pPr>
      <w:bookmarkStart w:id="938" w:name="_Toc23249536"/>
      <w:r w:rsidRPr="001A4860">
        <w:rPr>
          <w:rFonts w:eastAsia="Arial Narrow"/>
          <w:b/>
          <w:bCs/>
          <w:iCs/>
          <w:sz w:val="22"/>
          <w:szCs w:val="22"/>
          <w:lang w:val="es-NI"/>
        </w:rPr>
        <w:t>Pararrayos y Cortacircuitos</w:t>
      </w:r>
      <w:bookmarkEnd w:id="938"/>
    </w:p>
    <w:p w14:paraId="278A69DD" w14:textId="77777777" w:rsidR="001A4860" w:rsidRPr="001A4860" w:rsidRDefault="001A4860" w:rsidP="001A4860">
      <w:pPr>
        <w:rPr>
          <w:sz w:val="22"/>
          <w:szCs w:val="22"/>
          <w:lang w:val="es-ES" w:eastAsia="es-ES"/>
        </w:rPr>
      </w:pPr>
    </w:p>
    <w:p w14:paraId="040C02C1" w14:textId="77777777" w:rsidR="001A4860" w:rsidRPr="001A4860" w:rsidRDefault="001A4860" w:rsidP="001A4860">
      <w:pPr>
        <w:rPr>
          <w:sz w:val="22"/>
          <w:szCs w:val="22"/>
          <w:lang w:val="es-ES" w:eastAsia="es-ES"/>
        </w:rPr>
      </w:pPr>
      <w:r w:rsidRPr="001A4860">
        <w:rPr>
          <w:sz w:val="22"/>
          <w:szCs w:val="22"/>
          <w:lang w:val="es-ES" w:eastAsia="es-ES"/>
        </w:rPr>
        <w:t>Deberán ser tipo para 24.9 kv, u otro valor si así se indicase en los planos respectivos. Los cortacircuitos deben ser de acuerdo con la norma NEMA SG2-1976 y ANSI C37.41-1981, para los pararrayos se ocupará la norma ANSI/IEEE C62.11, ambos para montaje en postes en red de distribución.</w:t>
      </w:r>
    </w:p>
    <w:p w14:paraId="5BD253D1" w14:textId="77777777" w:rsidR="001A4860" w:rsidRPr="001A4860" w:rsidRDefault="001A4860" w:rsidP="001A4860">
      <w:pPr>
        <w:rPr>
          <w:sz w:val="22"/>
          <w:szCs w:val="22"/>
          <w:lang w:val="es-ES" w:eastAsia="es-ES"/>
        </w:rPr>
      </w:pPr>
    </w:p>
    <w:p w14:paraId="2EE6717D" w14:textId="77777777" w:rsidR="001A4860" w:rsidRPr="001A4860" w:rsidRDefault="001A4860" w:rsidP="001A4860">
      <w:pPr>
        <w:keepNext/>
        <w:outlineLvl w:val="1"/>
        <w:rPr>
          <w:rFonts w:eastAsia="Arial Narrow"/>
          <w:b/>
          <w:bCs/>
          <w:iCs/>
          <w:sz w:val="22"/>
          <w:szCs w:val="22"/>
          <w:lang w:val="es-NI"/>
        </w:rPr>
      </w:pPr>
      <w:bookmarkStart w:id="939" w:name="_Toc23249537"/>
      <w:r w:rsidRPr="001A4860">
        <w:rPr>
          <w:rFonts w:eastAsia="Arial Narrow"/>
          <w:b/>
          <w:bCs/>
          <w:iCs/>
          <w:sz w:val="22"/>
          <w:szCs w:val="22"/>
          <w:lang w:val="es-NI"/>
        </w:rPr>
        <w:t>Estructuras</w:t>
      </w:r>
      <w:bookmarkEnd w:id="939"/>
    </w:p>
    <w:p w14:paraId="599C85DA" w14:textId="77777777" w:rsidR="001A4860" w:rsidRPr="001A4860" w:rsidRDefault="001A4860" w:rsidP="001A4860">
      <w:pPr>
        <w:rPr>
          <w:sz w:val="22"/>
          <w:szCs w:val="22"/>
          <w:lang w:val="es-ES" w:eastAsia="es-ES"/>
        </w:rPr>
      </w:pPr>
    </w:p>
    <w:p w14:paraId="64C7D3EF" w14:textId="77777777" w:rsidR="001A4860" w:rsidRPr="001A4860" w:rsidRDefault="001A4860" w:rsidP="001A4860">
      <w:pPr>
        <w:rPr>
          <w:sz w:val="22"/>
          <w:szCs w:val="22"/>
          <w:lang w:val="es-ES" w:eastAsia="es-ES"/>
        </w:rPr>
      </w:pPr>
      <w:r w:rsidRPr="001A4860">
        <w:rPr>
          <w:sz w:val="22"/>
          <w:szCs w:val="22"/>
          <w:lang w:val="es-ES" w:eastAsia="es-ES"/>
        </w:rPr>
        <w:t>Deben ser las indicadas en planos, las cuales incluirán sus elementos y accesorios, para lo cual el Contratista deberá considerar todos los materiales referentes a cada estructura.</w:t>
      </w:r>
    </w:p>
    <w:p w14:paraId="611A6C90" w14:textId="77777777" w:rsidR="001A4860" w:rsidRPr="001A4860" w:rsidRDefault="001A4860" w:rsidP="001A4860">
      <w:pPr>
        <w:rPr>
          <w:sz w:val="22"/>
          <w:szCs w:val="22"/>
          <w:lang w:val="es-ES" w:eastAsia="es-ES"/>
        </w:rPr>
      </w:pPr>
    </w:p>
    <w:p w14:paraId="4DC3AA00" w14:textId="77777777" w:rsidR="001A4860" w:rsidRPr="001A4860" w:rsidRDefault="001A4860" w:rsidP="001A4860">
      <w:pPr>
        <w:keepNext/>
        <w:outlineLvl w:val="1"/>
        <w:rPr>
          <w:rFonts w:eastAsia="Arial Narrow"/>
          <w:b/>
          <w:bCs/>
          <w:iCs/>
          <w:sz w:val="22"/>
          <w:szCs w:val="22"/>
          <w:lang w:val="es-NI"/>
        </w:rPr>
      </w:pPr>
      <w:bookmarkStart w:id="940" w:name="_Toc23249538"/>
      <w:r w:rsidRPr="001A4860">
        <w:rPr>
          <w:rFonts w:eastAsia="Arial Narrow"/>
          <w:b/>
          <w:bCs/>
          <w:iCs/>
          <w:sz w:val="22"/>
          <w:szCs w:val="22"/>
          <w:lang w:val="es-NI"/>
        </w:rPr>
        <w:t>Transformadores</w:t>
      </w:r>
      <w:bookmarkEnd w:id="940"/>
    </w:p>
    <w:p w14:paraId="665DAC19" w14:textId="77777777" w:rsidR="001A4860" w:rsidRPr="001A4860" w:rsidRDefault="001A4860" w:rsidP="001A4860">
      <w:pPr>
        <w:rPr>
          <w:sz w:val="22"/>
          <w:szCs w:val="22"/>
          <w:lang w:val="es-ES" w:eastAsia="es-ES"/>
        </w:rPr>
      </w:pPr>
    </w:p>
    <w:p w14:paraId="32A01CB7" w14:textId="77777777" w:rsidR="001A4860" w:rsidRPr="001A4860" w:rsidRDefault="001A4860" w:rsidP="001A4860">
      <w:pPr>
        <w:rPr>
          <w:sz w:val="22"/>
          <w:szCs w:val="22"/>
          <w:lang w:val="es-ES" w:eastAsia="es-ES"/>
        </w:rPr>
      </w:pPr>
      <w:r w:rsidRPr="001A4860">
        <w:rPr>
          <w:sz w:val="22"/>
          <w:szCs w:val="22"/>
          <w:lang w:val="es-ES" w:eastAsia="es-ES"/>
        </w:rPr>
        <w:t>Deben ser auto enfriado inmerso en aceite y resistente a la humedad, para exteriores y del tipo distribución monofásicos y trifásicos, según planos, 60 Hz y taps de regulación de voltaje, su capacidad, nivel de voltaje y otras características particulares se indican en los alcances de obras; tendrá devanados de cobre y capaz de sobre llevar un 112% de carga continua sin detrimento o reducción de su vida útil.</w:t>
      </w:r>
    </w:p>
    <w:p w14:paraId="437A65F5" w14:textId="77777777" w:rsidR="001A4860" w:rsidRPr="001A4860" w:rsidRDefault="001A4860" w:rsidP="001A4860">
      <w:pPr>
        <w:rPr>
          <w:sz w:val="22"/>
          <w:szCs w:val="22"/>
          <w:lang w:val="es-ES" w:eastAsia="es-ES"/>
        </w:rPr>
      </w:pPr>
    </w:p>
    <w:p w14:paraId="49A63ACD" w14:textId="77777777" w:rsidR="001A4860" w:rsidRPr="001A4860" w:rsidRDefault="001A4860" w:rsidP="001A4860">
      <w:pPr>
        <w:keepNext/>
        <w:outlineLvl w:val="1"/>
        <w:rPr>
          <w:rFonts w:eastAsia="Arial Narrow"/>
          <w:b/>
          <w:bCs/>
          <w:iCs/>
          <w:sz w:val="22"/>
          <w:szCs w:val="22"/>
          <w:lang w:val="es-NI"/>
        </w:rPr>
      </w:pPr>
      <w:bookmarkStart w:id="941" w:name="_Toc23249539"/>
      <w:r w:rsidRPr="001A4860">
        <w:rPr>
          <w:rFonts w:eastAsia="Arial Narrow"/>
          <w:b/>
          <w:bCs/>
          <w:iCs/>
          <w:sz w:val="22"/>
          <w:szCs w:val="22"/>
          <w:lang w:val="es-NI"/>
        </w:rPr>
        <w:t>Red de Tierra</w:t>
      </w:r>
      <w:bookmarkEnd w:id="941"/>
    </w:p>
    <w:p w14:paraId="092A994D" w14:textId="77777777" w:rsidR="001A4860" w:rsidRPr="001A4860" w:rsidRDefault="001A4860" w:rsidP="001A4860">
      <w:pPr>
        <w:rPr>
          <w:sz w:val="22"/>
          <w:szCs w:val="22"/>
          <w:lang w:val="es-ES" w:eastAsia="es-ES"/>
        </w:rPr>
      </w:pPr>
    </w:p>
    <w:p w14:paraId="4247D5BF" w14:textId="77777777" w:rsidR="001A4860" w:rsidRPr="001A4860" w:rsidRDefault="001A4860" w:rsidP="001A4860">
      <w:pPr>
        <w:rPr>
          <w:sz w:val="22"/>
          <w:szCs w:val="22"/>
          <w:lang w:val="es-ES" w:eastAsia="es-ES"/>
        </w:rPr>
      </w:pPr>
      <w:r w:rsidRPr="001A4860">
        <w:rPr>
          <w:sz w:val="22"/>
          <w:szCs w:val="22"/>
          <w:lang w:val="es-ES" w:eastAsia="es-ES"/>
        </w:rPr>
        <w:t>La construcción de una nueva red de tierra se realiza en su totalidad con cable #1/0 (un cero) y se tendrá especial cuidado para conectarse con todas las varillas de tierra sin ser cortado, las uniones entre cables y varillas de polarización y entre cable y cable se deberán de hacer por medio de soldadura térmica del tipo fundición (cadweld).</w:t>
      </w:r>
    </w:p>
    <w:p w14:paraId="58DFD1C2" w14:textId="77777777" w:rsidR="001A4860" w:rsidRPr="001A4860" w:rsidRDefault="001A4860" w:rsidP="001A4860">
      <w:pPr>
        <w:rPr>
          <w:sz w:val="22"/>
          <w:szCs w:val="22"/>
          <w:lang w:val="es-ES" w:eastAsia="es-ES"/>
        </w:rPr>
      </w:pPr>
    </w:p>
    <w:p w14:paraId="1D7EE35C" w14:textId="77777777" w:rsidR="001A4860" w:rsidRPr="001A4860" w:rsidRDefault="001A4860" w:rsidP="001A4860">
      <w:pPr>
        <w:rPr>
          <w:sz w:val="22"/>
          <w:szCs w:val="22"/>
          <w:lang w:val="es-ES" w:eastAsia="es-ES"/>
        </w:rPr>
      </w:pPr>
      <w:r w:rsidRPr="001A4860">
        <w:rPr>
          <w:sz w:val="22"/>
          <w:szCs w:val="22"/>
          <w:lang w:val="es-ES" w:eastAsia="es-ES"/>
        </w:rPr>
        <w:t xml:space="preserve">Las varillas de polarización a ocupar deben ser del tipo cooperweld de 5/8” de diámetro y 10’ de longitud, no se instalarán menos de 3 varillas de polarización, la medición de esta resistencia servirá de prueba antes </w:t>
      </w:r>
      <w:r w:rsidRPr="001A4860">
        <w:rPr>
          <w:sz w:val="22"/>
          <w:szCs w:val="22"/>
          <w:lang w:val="es-ES" w:eastAsia="es-ES"/>
        </w:rPr>
        <w:lastRenderedPageBreak/>
        <w:t>de la puesta en marcha y también como visto bueno para su cobro, la prueba no tendrá ítem de pago aparte por lo que deberá estar contemplada en el costo de la construcción de la misma red de tierra.</w:t>
      </w:r>
    </w:p>
    <w:p w14:paraId="27E4F8C5" w14:textId="77777777" w:rsidR="001A4860" w:rsidRPr="001A4860" w:rsidRDefault="001A4860" w:rsidP="001A4860">
      <w:pPr>
        <w:rPr>
          <w:sz w:val="22"/>
          <w:szCs w:val="22"/>
          <w:lang w:val="es-ES" w:eastAsia="es-ES"/>
        </w:rPr>
      </w:pPr>
    </w:p>
    <w:p w14:paraId="162867D3" w14:textId="77777777" w:rsidR="001A4860" w:rsidRPr="001A4860" w:rsidRDefault="001A4860" w:rsidP="001A4860">
      <w:pPr>
        <w:rPr>
          <w:sz w:val="22"/>
          <w:szCs w:val="22"/>
          <w:lang w:val="es-ES" w:eastAsia="es-ES"/>
        </w:rPr>
      </w:pPr>
      <w:r w:rsidRPr="001A4860">
        <w:rPr>
          <w:sz w:val="22"/>
          <w:szCs w:val="22"/>
          <w:lang w:val="es-ES" w:eastAsia="es-ES"/>
        </w:rPr>
        <w:t xml:space="preserve">La conexión de la primera varilla de polarización y el cable de bajada de la subestación se realiza en el interior de una caja de registro y toma de mediciones para la red de tierra, esta puede ser del tipo plásticas de fábrica o puede ser hecha de ladrillo de obra y deberá de medir en su interior 30X30 cm y de una profundidad suficiente para dejar al descubierto la varilla de polarización aproximadamente 60 cm. La red de tierra puede tener cualquier tipo de configuración que le convenga al Contratista, puede ser circular, cuadrada o en línea recta. </w:t>
      </w:r>
    </w:p>
    <w:p w14:paraId="2723BD5B" w14:textId="77777777" w:rsidR="001A4860" w:rsidRPr="001A4860" w:rsidRDefault="001A4860" w:rsidP="001A4860">
      <w:pPr>
        <w:rPr>
          <w:sz w:val="22"/>
          <w:szCs w:val="22"/>
          <w:lang w:val="es-ES" w:eastAsia="es-ES"/>
        </w:rPr>
      </w:pPr>
    </w:p>
    <w:p w14:paraId="21240C46" w14:textId="77777777" w:rsidR="001A4860" w:rsidRPr="001A4860" w:rsidRDefault="001A4860" w:rsidP="001A4860">
      <w:pPr>
        <w:keepNext/>
        <w:outlineLvl w:val="1"/>
        <w:rPr>
          <w:rFonts w:eastAsia="Arial Narrow"/>
          <w:b/>
          <w:bCs/>
          <w:iCs/>
          <w:sz w:val="22"/>
          <w:szCs w:val="22"/>
          <w:lang w:val="es-NI"/>
        </w:rPr>
      </w:pPr>
      <w:bookmarkStart w:id="942" w:name="_Toc23249540"/>
      <w:r w:rsidRPr="001A4860">
        <w:rPr>
          <w:rFonts w:eastAsia="Arial Narrow"/>
          <w:b/>
          <w:bCs/>
          <w:iCs/>
          <w:sz w:val="22"/>
          <w:szCs w:val="22"/>
          <w:lang w:val="es-NI"/>
        </w:rPr>
        <w:t>Accesorios</w:t>
      </w:r>
      <w:bookmarkEnd w:id="942"/>
    </w:p>
    <w:p w14:paraId="7EF7A674" w14:textId="77777777" w:rsidR="001A4860" w:rsidRPr="001A4860" w:rsidRDefault="001A4860" w:rsidP="001A4860">
      <w:pPr>
        <w:rPr>
          <w:sz w:val="22"/>
          <w:szCs w:val="22"/>
          <w:lang w:val="es-ES" w:eastAsia="es-ES"/>
        </w:rPr>
      </w:pPr>
    </w:p>
    <w:p w14:paraId="7DB9A5D9" w14:textId="77777777" w:rsidR="001A4860" w:rsidRPr="001A4860" w:rsidRDefault="001A4860" w:rsidP="001A4860">
      <w:pPr>
        <w:keepNext/>
        <w:ind w:left="720" w:hanging="720"/>
        <w:outlineLvl w:val="2"/>
        <w:rPr>
          <w:rFonts w:eastAsia="Arial Narrow"/>
          <w:b/>
          <w:bCs/>
          <w:iCs/>
          <w:sz w:val="22"/>
          <w:szCs w:val="22"/>
          <w:lang w:val="es-ES" w:bidi="en-US"/>
        </w:rPr>
      </w:pPr>
      <w:bookmarkStart w:id="943" w:name="_Toc23249541"/>
      <w:r w:rsidRPr="001A4860">
        <w:rPr>
          <w:rFonts w:eastAsia="Arial Narrow"/>
          <w:b/>
          <w:bCs/>
          <w:iCs/>
          <w:sz w:val="22"/>
          <w:szCs w:val="22"/>
          <w:lang w:val="es-ES" w:bidi="en-US"/>
        </w:rPr>
        <w:t>Tomas de corriente</w:t>
      </w:r>
      <w:bookmarkEnd w:id="943"/>
    </w:p>
    <w:p w14:paraId="561C83D2" w14:textId="77777777" w:rsidR="001A4860" w:rsidRPr="001A4860" w:rsidRDefault="001A4860" w:rsidP="001A4860">
      <w:pPr>
        <w:rPr>
          <w:sz w:val="22"/>
          <w:szCs w:val="22"/>
          <w:lang w:val="es-ES" w:eastAsia="es-ES"/>
        </w:rPr>
      </w:pPr>
    </w:p>
    <w:p w14:paraId="1EF9F139" w14:textId="77777777" w:rsidR="001A4860" w:rsidRPr="001A4860" w:rsidRDefault="001A4860" w:rsidP="001A4860">
      <w:pPr>
        <w:rPr>
          <w:sz w:val="22"/>
          <w:szCs w:val="22"/>
          <w:lang w:val="es-ES" w:eastAsia="es-ES"/>
        </w:rPr>
      </w:pPr>
      <w:r w:rsidRPr="001A4860">
        <w:rPr>
          <w:sz w:val="22"/>
          <w:szCs w:val="22"/>
          <w:lang w:val="es-ES" w:eastAsia="es-ES"/>
        </w:rPr>
        <w:t>Deben ser dobles del tipo industrial polarizado con capacidad de 15 amperios, 120 V, incluye placa metálica anodizada con igual número de agujeros. Deben ser instalados a 0.30 m sobre el nivel de piso terminado, excepto que se indique otra altura en planos.</w:t>
      </w:r>
    </w:p>
    <w:p w14:paraId="75A7DAB1" w14:textId="77777777" w:rsidR="001A4860" w:rsidRPr="001A4860" w:rsidRDefault="001A4860" w:rsidP="001A4860">
      <w:pPr>
        <w:rPr>
          <w:sz w:val="22"/>
          <w:szCs w:val="22"/>
          <w:lang w:val="es-ES" w:eastAsia="es-ES"/>
        </w:rPr>
      </w:pPr>
    </w:p>
    <w:p w14:paraId="437DA0FA" w14:textId="77777777" w:rsidR="001A4860" w:rsidRPr="001A4860" w:rsidRDefault="001A4860" w:rsidP="001A4860">
      <w:pPr>
        <w:keepNext/>
        <w:ind w:left="720" w:hanging="720"/>
        <w:outlineLvl w:val="2"/>
        <w:rPr>
          <w:rFonts w:eastAsia="Arial Narrow"/>
          <w:b/>
          <w:bCs/>
          <w:iCs/>
          <w:sz w:val="22"/>
          <w:szCs w:val="22"/>
          <w:lang w:val="es-ES" w:bidi="en-US"/>
        </w:rPr>
      </w:pPr>
      <w:bookmarkStart w:id="944" w:name="_Toc23249542"/>
      <w:r w:rsidRPr="001A4860">
        <w:rPr>
          <w:rFonts w:eastAsia="Arial Narrow"/>
          <w:b/>
          <w:bCs/>
          <w:iCs/>
          <w:sz w:val="22"/>
          <w:szCs w:val="22"/>
          <w:lang w:val="es-ES" w:bidi="en-US"/>
        </w:rPr>
        <w:t>Interruptores</w:t>
      </w:r>
      <w:bookmarkEnd w:id="944"/>
    </w:p>
    <w:p w14:paraId="45956738" w14:textId="77777777" w:rsidR="001A4860" w:rsidRPr="001A4860" w:rsidRDefault="001A4860" w:rsidP="001A4860">
      <w:pPr>
        <w:rPr>
          <w:sz w:val="22"/>
          <w:szCs w:val="22"/>
          <w:lang w:val="es-ES" w:eastAsia="es-ES"/>
        </w:rPr>
      </w:pPr>
    </w:p>
    <w:p w14:paraId="0FA5A55D" w14:textId="77777777" w:rsidR="001A4860" w:rsidRPr="001A4860" w:rsidRDefault="001A4860" w:rsidP="001A4860">
      <w:pPr>
        <w:rPr>
          <w:sz w:val="22"/>
          <w:szCs w:val="22"/>
          <w:lang w:val="es-ES" w:eastAsia="es-ES"/>
        </w:rPr>
      </w:pPr>
      <w:r w:rsidRPr="001A4860">
        <w:rPr>
          <w:sz w:val="22"/>
          <w:szCs w:val="22"/>
          <w:lang w:val="es-ES" w:eastAsia="es-ES"/>
        </w:rPr>
        <w:t>Los interruptores a instalar deben ser tipo dado de accionamiento mecánico, con capacidad nominal de 15A, 120 V. La altura de montaje es 1.20 m del nivel de piso terminado (considerando el abatimiento de la puerta) y deberá incluir su respectiva placa metálica anodizada.</w:t>
      </w:r>
    </w:p>
    <w:p w14:paraId="60C5A857" w14:textId="77777777" w:rsidR="001A4860" w:rsidRPr="001A4860" w:rsidRDefault="001A4860" w:rsidP="001A4860">
      <w:pPr>
        <w:rPr>
          <w:sz w:val="22"/>
          <w:szCs w:val="22"/>
          <w:lang w:val="es-ES" w:eastAsia="es-ES"/>
        </w:rPr>
      </w:pPr>
    </w:p>
    <w:p w14:paraId="19D7FD5B" w14:textId="77777777" w:rsidR="001A4860" w:rsidRPr="001A4860" w:rsidRDefault="001A4860" w:rsidP="001A4860">
      <w:pPr>
        <w:keepNext/>
        <w:outlineLvl w:val="1"/>
        <w:rPr>
          <w:rFonts w:eastAsia="Arial Narrow"/>
          <w:b/>
          <w:bCs/>
          <w:iCs/>
          <w:sz w:val="22"/>
          <w:szCs w:val="22"/>
          <w:lang w:val="es-NI"/>
        </w:rPr>
      </w:pPr>
      <w:bookmarkStart w:id="945" w:name="_Toc23249543"/>
      <w:r w:rsidRPr="001A4860">
        <w:rPr>
          <w:rFonts w:eastAsia="Arial Narrow"/>
          <w:b/>
          <w:bCs/>
          <w:iCs/>
          <w:sz w:val="22"/>
          <w:szCs w:val="22"/>
          <w:lang w:val="es-NI"/>
        </w:rPr>
        <w:t>Cajas térmicas o centros de carga</w:t>
      </w:r>
      <w:bookmarkEnd w:id="945"/>
    </w:p>
    <w:p w14:paraId="0E1F472E" w14:textId="77777777" w:rsidR="001A4860" w:rsidRPr="001A4860" w:rsidRDefault="001A4860" w:rsidP="001A4860">
      <w:pPr>
        <w:rPr>
          <w:sz w:val="22"/>
          <w:szCs w:val="22"/>
          <w:lang w:val="es-ES" w:eastAsia="es-ES"/>
        </w:rPr>
      </w:pPr>
    </w:p>
    <w:p w14:paraId="60FA6F40" w14:textId="77777777" w:rsidR="001A4860" w:rsidRPr="001A4860" w:rsidRDefault="001A4860" w:rsidP="001A4860">
      <w:pPr>
        <w:rPr>
          <w:sz w:val="22"/>
          <w:szCs w:val="22"/>
          <w:lang w:val="es-ES" w:eastAsia="es-ES"/>
        </w:rPr>
      </w:pPr>
      <w:r w:rsidRPr="001A4860">
        <w:rPr>
          <w:sz w:val="22"/>
          <w:szCs w:val="22"/>
          <w:lang w:val="es-ES" w:eastAsia="es-ES"/>
        </w:rPr>
        <w:t xml:space="preserve">Deben ser del tipo General Electric o similar, con su polarización y térmicos, cuyas características eléctricas se detallan en los planos. Los térmicos deben ser tipo “Plug in” THQL con identificación de posición de la manecilla de operación ¨Encendido¨ (ON), Apagado (OFF) y la altura del montaje es tal que el térmico más alto no sobrepase de 1.60 m. </w:t>
      </w:r>
    </w:p>
    <w:p w14:paraId="028AC54B" w14:textId="77777777" w:rsidR="001A4860" w:rsidRPr="001A4860" w:rsidRDefault="001A4860" w:rsidP="001A4860">
      <w:pPr>
        <w:rPr>
          <w:sz w:val="22"/>
          <w:szCs w:val="22"/>
          <w:lang w:val="es-ES" w:eastAsia="es-ES"/>
        </w:rPr>
      </w:pPr>
    </w:p>
    <w:p w14:paraId="20BF75F6" w14:textId="77777777" w:rsidR="001A4860" w:rsidRPr="001A4860" w:rsidRDefault="001A4860" w:rsidP="001A4860">
      <w:pPr>
        <w:rPr>
          <w:sz w:val="22"/>
          <w:szCs w:val="22"/>
          <w:lang w:val="es-ES" w:eastAsia="es-ES"/>
        </w:rPr>
      </w:pPr>
      <w:r w:rsidRPr="001A4860">
        <w:rPr>
          <w:sz w:val="22"/>
          <w:szCs w:val="22"/>
          <w:lang w:val="es-ES" w:eastAsia="es-ES"/>
        </w:rPr>
        <w:t>Para la instalación del cableado de alimentación del tablero y de los ramales de circuito deberá utilizarse exclusivamente los agujeros que el fabricante ha dispuesto en el gabinete.</w:t>
      </w:r>
    </w:p>
    <w:p w14:paraId="6C1D1C2F" w14:textId="77777777" w:rsidR="001A4860" w:rsidRPr="001A4860" w:rsidRDefault="001A4860" w:rsidP="001A4860">
      <w:pPr>
        <w:rPr>
          <w:sz w:val="22"/>
          <w:szCs w:val="22"/>
          <w:lang w:val="es-ES" w:eastAsia="es-ES"/>
        </w:rPr>
      </w:pPr>
    </w:p>
    <w:p w14:paraId="33CF224C" w14:textId="77777777" w:rsidR="001A4860" w:rsidRPr="001A4860" w:rsidRDefault="001A4860" w:rsidP="001A4860">
      <w:pPr>
        <w:rPr>
          <w:sz w:val="22"/>
          <w:szCs w:val="22"/>
          <w:lang w:val="es-ES" w:eastAsia="es-ES"/>
        </w:rPr>
      </w:pPr>
      <w:r w:rsidRPr="001A4860">
        <w:rPr>
          <w:sz w:val="22"/>
          <w:szCs w:val="22"/>
          <w:lang w:val="es-ES" w:eastAsia="es-ES"/>
        </w:rPr>
        <w:t>Las barras principales deben ser de cobre, de capacidad y requerimientos en los planos, con terminales y conectores adecuados al calibre del cable que conectan, con agujeros roscados y tornillos de fábrica. La barra de neutro, es sólida con terminales de tornillo y de la capacidad conveniente para el número y la capacidad de los circuitos.</w:t>
      </w:r>
    </w:p>
    <w:p w14:paraId="2C6394C1" w14:textId="77777777" w:rsidR="001A4860" w:rsidRPr="001A4860" w:rsidRDefault="001A4860" w:rsidP="001A4860">
      <w:pPr>
        <w:rPr>
          <w:sz w:val="22"/>
          <w:szCs w:val="22"/>
          <w:lang w:val="es-ES" w:eastAsia="es-ES"/>
        </w:rPr>
      </w:pPr>
    </w:p>
    <w:p w14:paraId="034E6D1C" w14:textId="77777777" w:rsidR="001A4860" w:rsidRPr="001A4860" w:rsidRDefault="001A4860" w:rsidP="001A4860">
      <w:pPr>
        <w:rPr>
          <w:sz w:val="22"/>
          <w:szCs w:val="22"/>
          <w:lang w:val="es-ES" w:eastAsia="es-ES"/>
        </w:rPr>
      </w:pPr>
      <w:r w:rsidRPr="001A4860">
        <w:rPr>
          <w:sz w:val="22"/>
          <w:szCs w:val="22"/>
          <w:lang w:val="es-ES" w:eastAsia="es-ES"/>
        </w:rPr>
        <w:t>Cuando existan espacios vacíos, deben de proveerse la cubierta que llene el espacio y los accesorios de montaje a las barras del dispositivo futuro. Se deberá dejar debidamente identificado cada circuito e instalado su descripción en la tapadera del tablero.</w:t>
      </w:r>
    </w:p>
    <w:p w14:paraId="72BC791A" w14:textId="77777777" w:rsidR="001A4860" w:rsidRPr="001A4860" w:rsidRDefault="001A4860" w:rsidP="001A4860">
      <w:pPr>
        <w:rPr>
          <w:sz w:val="22"/>
          <w:szCs w:val="22"/>
          <w:lang w:val="es-ES" w:eastAsia="es-ES"/>
        </w:rPr>
      </w:pPr>
    </w:p>
    <w:p w14:paraId="437EC18D" w14:textId="77777777" w:rsidR="001A4860" w:rsidRPr="001A4860" w:rsidRDefault="001A4860" w:rsidP="001A4860">
      <w:pPr>
        <w:keepNext/>
        <w:outlineLvl w:val="1"/>
        <w:rPr>
          <w:rFonts w:eastAsia="Arial Narrow"/>
          <w:b/>
          <w:bCs/>
          <w:iCs/>
          <w:sz w:val="22"/>
          <w:szCs w:val="22"/>
          <w:lang w:val="es-NI"/>
        </w:rPr>
      </w:pPr>
      <w:bookmarkStart w:id="946" w:name="_Toc23249544"/>
      <w:r w:rsidRPr="001A4860">
        <w:rPr>
          <w:rFonts w:eastAsia="Arial Narrow"/>
          <w:b/>
          <w:bCs/>
          <w:iCs/>
          <w:sz w:val="22"/>
          <w:szCs w:val="22"/>
          <w:lang w:val="es-NI"/>
        </w:rPr>
        <w:t>Equipo de respaldo de energía</w:t>
      </w:r>
      <w:bookmarkEnd w:id="946"/>
    </w:p>
    <w:p w14:paraId="70D40660" w14:textId="77777777" w:rsidR="001A4860" w:rsidRPr="001A4860" w:rsidRDefault="001A4860" w:rsidP="001A4860">
      <w:pPr>
        <w:rPr>
          <w:sz w:val="22"/>
          <w:szCs w:val="22"/>
          <w:lang w:val="es-ES" w:eastAsia="es-ES"/>
        </w:rPr>
      </w:pPr>
    </w:p>
    <w:p w14:paraId="11058E02" w14:textId="77777777" w:rsidR="001A4860" w:rsidRPr="001A4860" w:rsidRDefault="001A4860" w:rsidP="001A4860">
      <w:pPr>
        <w:rPr>
          <w:sz w:val="22"/>
          <w:szCs w:val="22"/>
          <w:lang w:val="es-ES" w:eastAsia="es-ES"/>
        </w:rPr>
      </w:pPr>
      <w:r w:rsidRPr="001A4860">
        <w:rPr>
          <w:sz w:val="22"/>
          <w:szCs w:val="22"/>
          <w:lang w:val="es-ES" w:eastAsia="es-ES"/>
        </w:rPr>
        <w:t>Equipo de respaldo de energía (UPS) para, equipos electrónicos sensibles a cambios de voltajes o para mantener ajustes o programación de equipos de tiempo o memoria volátil. Este equipo deberá ser de relación 1:1 (120 V de entrada y salida), 60 Hz, para montaje en pared, con indicación de operación, alarma audible de baja carga.</w:t>
      </w:r>
    </w:p>
    <w:p w14:paraId="1D25A364" w14:textId="77777777" w:rsidR="001A4860" w:rsidRPr="001A4860" w:rsidRDefault="001A4860" w:rsidP="001A4860">
      <w:pPr>
        <w:rPr>
          <w:sz w:val="22"/>
          <w:szCs w:val="22"/>
          <w:lang w:val="es-ES" w:eastAsia="es-ES"/>
        </w:rPr>
      </w:pPr>
    </w:p>
    <w:p w14:paraId="47FA03CD" w14:textId="77777777" w:rsidR="001A4860" w:rsidRPr="001A4860" w:rsidRDefault="001A4860" w:rsidP="001A4860">
      <w:pPr>
        <w:rPr>
          <w:sz w:val="22"/>
          <w:szCs w:val="22"/>
          <w:lang w:val="es-ES" w:eastAsia="es-ES"/>
        </w:rPr>
      </w:pPr>
    </w:p>
    <w:p w14:paraId="5D70AC75" w14:textId="77777777" w:rsidR="001A4860" w:rsidRPr="001A4860" w:rsidRDefault="001A4860" w:rsidP="001A4860">
      <w:pPr>
        <w:keepNext/>
        <w:outlineLvl w:val="1"/>
        <w:rPr>
          <w:rFonts w:eastAsia="Arial Narrow"/>
          <w:b/>
          <w:bCs/>
          <w:iCs/>
          <w:sz w:val="22"/>
          <w:szCs w:val="22"/>
          <w:lang w:val="es-NI"/>
        </w:rPr>
      </w:pPr>
      <w:bookmarkStart w:id="947" w:name="_Toc23249545"/>
      <w:r w:rsidRPr="001A4860">
        <w:rPr>
          <w:rFonts w:eastAsia="Arial Narrow"/>
          <w:b/>
          <w:bCs/>
          <w:iCs/>
          <w:sz w:val="22"/>
          <w:szCs w:val="22"/>
          <w:lang w:val="es-NI"/>
        </w:rPr>
        <w:t>Cajas de conexión</w:t>
      </w:r>
      <w:bookmarkEnd w:id="947"/>
    </w:p>
    <w:p w14:paraId="4694EE4D" w14:textId="77777777" w:rsidR="001A4860" w:rsidRPr="001A4860" w:rsidRDefault="001A4860" w:rsidP="001A4860">
      <w:pPr>
        <w:rPr>
          <w:sz w:val="22"/>
          <w:szCs w:val="22"/>
          <w:lang w:val="es-ES" w:eastAsia="es-ES"/>
        </w:rPr>
      </w:pPr>
    </w:p>
    <w:p w14:paraId="5A86EC18" w14:textId="77777777" w:rsidR="001A4860" w:rsidRPr="001A4860" w:rsidRDefault="001A4860" w:rsidP="001A4860">
      <w:pPr>
        <w:rPr>
          <w:sz w:val="22"/>
          <w:szCs w:val="22"/>
          <w:lang w:val="es-ES" w:eastAsia="es-ES"/>
        </w:rPr>
      </w:pPr>
      <w:r w:rsidRPr="001A4860">
        <w:rPr>
          <w:sz w:val="22"/>
          <w:szCs w:val="22"/>
          <w:lang w:val="es-ES" w:eastAsia="es-ES"/>
        </w:rPr>
        <w:t>Deben ser de lámina galvanizada en caliente del tipo pesado y sus medidas deben ser de acuerdo a la cantidad de conductores a conectar. Quedarán cerradas con su respectiva tapadera y debidamente sujetadas, así también se utilizará los agujeros nominales para la conexión con tubería.</w:t>
      </w:r>
    </w:p>
    <w:p w14:paraId="051C32AF" w14:textId="77777777" w:rsidR="001A4860" w:rsidRPr="001A4860" w:rsidRDefault="001A4860" w:rsidP="001A4860">
      <w:pPr>
        <w:rPr>
          <w:sz w:val="22"/>
          <w:szCs w:val="22"/>
          <w:lang w:val="es-ES" w:eastAsia="es-ES"/>
        </w:rPr>
      </w:pPr>
    </w:p>
    <w:p w14:paraId="25D10E83" w14:textId="77777777" w:rsidR="001A4860" w:rsidRPr="001A4860" w:rsidRDefault="001A4860" w:rsidP="001A4860">
      <w:pPr>
        <w:keepNext/>
        <w:outlineLvl w:val="1"/>
        <w:rPr>
          <w:rFonts w:eastAsia="Arial Narrow"/>
          <w:b/>
          <w:bCs/>
          <w:iCs/>
          <w:sz w:val="22"/>
          <w:szCs w:val="22"/>
          <w:lang w:val="es-NI"/>
        </w:rPr>
      </w:pPr>
      <w:bookmarkStart w:id="948" w:name="_Toc23249546"/>
      <w:r w:rsidRPr="001A4860">
        <w:rPr>
          <w:rFonts w:eastAsia="Arial Narrow"/>
          <w:b/>
          <w:bCs/>
          <w:iCs/>
          <w:sz w:val="22"/>
          <w:szCs w:val="22"/>
          <w:lang w:val="es-NI"/>
        </w:rPr>
        <w:t>Luminarias</w:t>
      </w:r>
      <w:bookmarkEnd w:id="948"/>
    </w:p>
    <w:p w14:paraId="60266E23" w14:textId="77777777" w:rsidR="001A4860" w:rsidRPr="001A4860" w:rsidRDefault="001A4860" w:rsidP="001A4860">
      <w:pPr>
        <w:rPr>
          <w:sz w:val="22"/>
          <w:szCs w:val="22"/>
          <w:lang w:val="es-ES" w:eastAsia="es-ES"/>
        </w:rPr>
      </w:pPr>
    </w:p>
    <w:p w14:paraId="3D5C178C" w14:textId="77777777" w:rsidR="001A4860" w:rsidRPr="001A4860" w:rsidRDefault="001A4860" w:rsidP="001A4860">
      <w:pPr>
        <w:rPr>
          <w:sz w:val="22"/>
          <w:szCs w:val="22"/>
          <w:lang w:val="es-ES" w:eastAsia="es-ES"/>
        </w:rPr>
      </w:pPr>
      <w:r w:rsidRPr="001A4860">
        <w:rPr>
          <w:sz w:val="22"/>
          <w:szCs w:val="22"/>
          <w:lang w:val="es-ES" w:eastAsia="es-ES"/>
        </w:rPr>
        <w:t>El Contratista suministrará e instalará las luminarias, según el tipo requerido en las especificaciones y las colocará en los lugares señalados en los planos, con todos sus accesorios y lista para funcionar. La conexión entre la luminaria y la caja de conexión es tal como lo especifica el Reglamento de Obras e Instalaciones Eléctricas.</w:t>
      </w:r>
    </w:p>
    <w:p w14:paraId="11001FBE" w14:textId="77777777" w:rsidR="001A4860" w:rsidRPr="001A4860" w:rsidRDefault="001A4860" w:rsidP="001A4860">
      <w:pPr>
        <w:rPr>
          <w:sz w:val="22"/>
          <w:szCs w:val="22"/>
          <w:lang w:val="es-ES" w:eastAsia="es-ES"/>
        </w:rPr>
      </w:pPr>
    </w:p>
    <w:p w14:paraId="4CCE733F" w14:textId="77777777" w:rsidR="001A4860" w:rsidRPr="001A4860" w:rsidRDefault="001A4860" w:rsidP="001A4860">
      <w:pPr>
        <w:keepNext/>
        <w:outlineLvl w:val="1"/>
        <w:rPr>
          <w:rFonts w:eastAsia="Arial Narrow"/>
          <w:b/>
          <w:bCs/>
          <w:iCs/>
          <w:sz w:val="22"/>
          <w:szCs w:val="22"/>
          <w:lang w:val="es-NI"/>
        </w:rPr>
      </w:pPr>
      <w:bookmarkStart w:id="949" w:name="_Toc23249547"/>
      <w:r w:rsidRPr="001A4860">
        <w:rPr>
          <w:rFonts w:eastAsia="Arial Narrow"/>
          <w:b/>
          <w:bCs/>
          <w:iCs/>
          <w:sz w:val="22"/>
          <w:szCs w:val="22"/>
          <w:lang w:val="es-NI"/>
        </w:rPr>
        <w:t>Iluminación Exterior</w:t>
      </w:r>
      <w:bookmarkEnd w:id="949"/>
    </w:p>
    <w:p w14:paraId="27280CB5" w14:textId="77777777" w:rsidR="001A4860" w:rsidRPr="001A4860" w:rsidRDefault="001A4860" w:rsidP="001A4860">
      <w:pPr>
        <w:rPr>
          <w:sz w:val="22"/>
          <w:szCs w:val="22"/>
          <w:lang w:val="es-ES" w:eastAsia="es-ES"/>
        </w:rPr>
      </w:pPr>
    </w:p>
    <w:p w14:paraId="467C46E8" w14:textId="77777777" w:rsidR="001A4860" w:rsidRPr="001A4860" w:rsidRDefault="001A4860" w:rsidP="001A4860">
      <w:pPr>
        <w:rPr>
          <w:sz w:val="22"/>
          <w:szCs w:val="22"/>
          <w:lang w:val="es-ES" w:eastAsia="es-ES"/>
        </w:rPr>
      </w:pPr>
      <w:r w:rsidRPr="001A4860">
        <w:rPr>
          <w:sz w:val="22"/>
          <w:szCs w:val="22"/>
          <w:lang w:val="es-ES" w:eastAsia="es-ES"/>
        </w:rPr>
        <w:t>Las luminarias deben ser instaladas en postes de concreto centrifugado o metálicos de 26’ de altura; la canalización subterránea es con poliducto o PVC de ¾”, el alambrado de subida con conductor THHN No. 12 AWG; en la base del poste, sobre 0.30 m del piso se pondrá una caja de empalme 4”x4” metálica o plástica adecuada para la intemperie; se canalizará con tubería tipo conduit de ½” soportada con cinta “band-it” de ½”; en la parte superior se sellará o se utilizará cuerpo terminal.</w:t>
      </w:r>
    </w:p>
    <w:p w14:paraId="28B9133D" w14:textId="77777777" w:rsidR="001A4860" w:rsidRPr="001A4860" w:rsidRDefault="001A4860" w:rsidP="001A4860">
      <w:pPr>
        <w:rPr>
          <w:sz w:val="22"/>
          <w:szCs w:val="22"/>
          <w:lang w:val="es-ES" w:eastAsia="es-ES"/>
        </w:rPr>
      </w:pPr>
    </w:p>
    <w:p w14:paraId="5F23E6A5" w14:textId="77777777" w:rsidR="001A4860" w:rsidRPr="001A4860" w:rsidRDefault="001A4860" w:rsidP="001A4860">
      <w:pPr>
        <w:rPr>
          <w:sz w:val="22"/>
          <w:szCs w:val="22"/>
          <w:lang w:val="es-ES" w:eastAsia="es-ES"/>
        </w:rPr>
      </w:pPr>
      <w:r w:rsidRPr="001A4860">
        <w:rPr>
          <w:sz w:val="22"/>
          <w:szCs w:val="22"/>
          <w:lang w:val="es-ES" w:eastAsia="es-ES"/>
        </w:rPr>
        <w:t>Instalación de lámpara de mercurio de 175 Watt, 240 VAC, 60 HZ, factor de potencia de 0.95, incluye brazo y fotocelda, abrazaderas de sujeción y protegido con malla de alambre soldado, y pintura anticorrosiva.</w:t>
      </w:r>
    </w:p>
    <w:p w14:paraId="7F543FD3" w14:textId="77777777" w:rsidR="001A4860" w:rsidRPr="001A4860" w:rsidRDefault="001A4860" w:rsidP="001A4860">
      <w:pPr>
        <w:rPr>
          <w:sz w:val="22"/>
          <w:szCs w:val="22"/>
          <w:lang w:val="es-ES" w:eastAsia="es-ES"/>
        </w:rPr>
      </w:pPr>
    </w:p>
    <w:p w14:paraId="5E217378" w14:textId="77777777" w:rsidR="001A4860" w:rsidRPr="001A4860" w:rsidRDefault="001A4860" w:rsidP="001A4860">
      <w:pPr>
        <w:keepNext/>
        <w:outlineLvl w:val="1"/>
        <w:rPr>
          <w:rFonts w:eastAsia="Arial Narrow"/>
          <w:b/>
          <w:bCs/>
          <w:iCs/>
          <w:sz w:val="22"/>
          <w:szCs w:val="22"/>
          <w:lang w:val="es-NI"/>
        </w:rPr>
      </w:pPr>
      <w:bookmarkStart w:id="950" w:name="_Toc23249548"/>
      <w:r w:rsidRPr="001A4860">
        <w:rPr>
          <w:rFonts w:eastAsia="Arial Narrow"/>
          <w:b/>
          <w:bCs/>
          <w:iCs/>
          <w:sz w:val="22"/>
          <w:szCs w:val="22"/>
          <w:lang w:val="es-NI"/>
        </w:rPr>
        <w:t>Panel principal</w:t>
      </w:r>
      <w:bookmarkEnd w:id="950"/>
    </w:p>
    <w:p w14:paraId="44579923" w14:textId="77777777" w:rsidR="001A4860" w:rsidRPr="001A4860" w:rsidRDefault="001A4860" w:rsidP="001A4860">
      <w:pPr>
        <w:rPr>
          <w:sz w:val="22"/>
          <w:szCs w:val="22"/>
          <w:lang w:val="es-ES" w:eastAsia="es-ES"/>
        </w:rPr>
      </w:pPr>
    </w:p>
    <w:p w14:paraId="6F9AA5AF" w14:textId="77777777" w:rsidR="001A4860" w:rsidRPr="001A4860" w:rsidRDefault="001A4860" w:rsidP="001A4860">
      <w:pPr>
        <w:rPr>
          <w:sz w:val="22"/>
          <w:szCs w:val="22"/>
          <w:lang w:val="es-ES" w:eastAsia="es-ES"/>
        </w:rPr>
      </w:pPr>
      <w:r w:rsidRPr="001A4860">
        <w:rPr>
          <w:sz w:val="22"/>
          <w:szCs w:val="22"/>
          <w:lang w:val="es-ES" w:eastAsia="es-ES"/>
        </w:rPr>
        <w:t>La acometida aérea o subterránea en bajo voltaje, termina en un panel de baja tensión tipo interior, pre-armado en fábrica, localizada en la caseta de control y vigilancia y es fabricado por una compañía de calidad reconocida cuyo equipo ha sido aprobado por el Supervisor, este panel principal de baja tensión es construido, ensamblado y aprobado de acuerdo a los estándares NEMA, IEEE, ANSI, y VDE, y consiste de lo siguiente:</w:t>
      </w:r>
    </w:p>
    <w:p w14:paraId="1AD31FD7" w14:textId="77777777" w:rsidR="001A4860" w:rsidRPr="001A4860" w:rsidRDefault="001A4860" w:rsidP="001A4860">
      <w:pPr>
        <w:rPr>
          <w:sz w:val="22"/>
          <w:szCs w:val="22"/>
          <w:lang w:val="es-ES" w:eastAsia="es-ES"/>
        </w:rPr>
      </w:pPr>
    </w:p>
    <w:p w14:paraId="307938EC" w14:textId="77777777" w:rsidR="001A4860" w:rsidRPr="001A4860" w:rsidRDefault="001A4860" w:rsidP="001A4860">
      <w:pPr>
        <w:rPr>
          <w:sz w:val="22"/>
          <w:szCs w:val="22"/>
          <w:lang w:val="es-ES" w:eastAsia="es-ES"/>
        </w:rPr>
      </w:pPr>
      <w:r w:rsidRPr="001A4860">
        <w:rPr>
          <w:sz w:val="22"/>
          <w:szCs w:val="22"/>
          <w:lang w:val="es-ES" w:eastAsia="es-ES"/>
        </w:rPr>
        <w:t xml:space="preserve">o </w:t>
      </w:r>
      <w:r w:rsidRPr="001A4860">
        <w:rPr>
          <w:sz w:val="22"/>
          <w:szCs w:val="22"/>
          <w:lang w:val="es-ES" w:eastAsia="es-ES"/>
        </w:rPr>
        <w:tab/>
        <w:t>Un interruptor termo magnético principal con capacidad para mantener la carga del equipo de bombeo, iluminación y todas las necesidades de operación, incluyendo el equipo de cloración según la del caso.</w:t>
      </w:r>
    </w:p>
    <w:p w14:paraId="358989F4" w14:textId="77777777" w:rsidR="001A4860" w:rsidRPr="001A4860" w:rsidRDefault="001A4860" w:rsidP="001A4860">
      <w:pPr>
        <w:rPr>
          <w:sz w:val="22"/>
          <w:szCs w:val="22"/>
          <w:lang w:val="es-ES" w:eastAsia="es-ES"/>
        </w:rPr>
      </w:pPr>
      <w:r w:rsidRPr="001A4860">
        <w:rPr>
          <w:sz w:val="22"/>
          <w:szCs w:val="22"/>
          <w:lang w:val="es-ES" w:eastAsia="es-ES"/>
        </w:rPr>
        <w:t xml:space="preserve">o </w:t>
      </w:r>
      <w:r w:rsidRPr="001A4860">
        <w:rPr>
          <w:sz w:val="22"/>
          <w:szCs w:val="22"/>
          <w:lang w:val="es-ES" w:eastAsia="es-ES"/>
        </w:rPr>
        <w:tab/>
        <w:t>Una sección de distribución que incluye los interruptores termo magnéticos de los circuitos derivados y tienen las capacidades acordes a las cargas proyectadas e indicadas en los planos.</w:t>
      </w:r>
    </w:p>
    <w:p w14:paraId="787E35C5" w14:textId="77777777" w:rsidR="001A4860" w:rsidRPr="001A4860" w:rsidRDefault="001A4860" w:rsidP="001A4860">
      <w:pPr>
        <w:rPr>
          <w:sz w:val="22"/>
          <w:szCs w:val="22"/>
          <w:lang w:val="es-ES" w:eastAsia="es-ES"/>
        </w:rPr>
      </w:pPr>
      <w:r w:rsidRPr="001A4860">
        <w:rPr>
          <w:sz w:val="22"/>
          <w:szCs w:val="22"/>
          <w:lang w:val="es-ES" w:eastAsia="es-ES"/>
        </w:rPr>
        <w:t xml:space="preserve">o </w:t>
      </w:r>
      <w:r w:rsidRPr="001A4860">
        <w:rPr>
          <w:sz w:val="22"/>
          <w:szCs w:val="22"/>
          <w:lang w:val="es-ES" w:eastAsia="es-ES"/>
        </w:rPr>
        <w:tab/>
        <w:t>Todo el panel principal de baja tensión debe tener capacidad interruptora de por lo menos</w:t>
      </w:r>
    </w:p>
    <w:p w14:paraId="1CE1C87F" w14:textId="77777777" w:rsidR="001A4860" w:rsidRPr="001A4860" w:rsidRDefault="001A4860" w:rsidP="001A4860">
      <w:pPr>
        <w:rPr>
          <w:sz w:val="22"/>
          <w:szCs w:val="22"/>
          <w:lang w:val="es-ES" w:eastAsia="es-ES"/>
        </w:rPr>
      </w:pPr>
      <w:r w:rsidRPr="001A4860">
        <w:rPr>
          <w:sz w:val="22"/>
          <w:szCs w:val="22"/>
          <w:lang w:val="es-ES" w:eastAsia="es-ES"/>
        </w:rPr>
        <w:t>100,000 amperios asimétricos, 250 V ó 460 V, 60HZ, según sea el caso.</w:t>
      </w:r>
    </w:p>
    <w:p w14:paraId="1CD5626B" w14:textId="77777777" w:rsidR="001A4860" w:rsidRPr="001A4860" w:rsidRDefault="001A4860" w:rsidP="001A4860">
      <w:pPr>
        <w:rPr>
          <w:sz w:val="22"/>
          <w:szCs w:val="22"/>
          <w:lang w:val="es-ES" w:eastAsia="es-ES"/>
        </w:rPr>
      </w:pPr>
      <w:r w:rsidRPr="001A4860">
        <w:rPr>
          <w:sz w:val="22"/>
          <w:szCs w:val="22"/>
          <w:lang w:val="es-ES" w:eastAsia="es-ES"/>
        </w:rPr>
        <w:t xml:space="preserve">o </w:t>
      </w:r>
      <w:r w:rsidRPr="001A4860">
        <w:rPr>
          <w:sz w:val="22"/>
          <w:szCs w:val="22"/>
          <w:lang w:val="es-ES" w:eastAsia="es-ES"/>
        </w:rPr>
        <w:tab/>
        <w:t>El panel principal tiene un banco capacitor según las capacidades indicadas en los capítulos posteriores así mismo debe tener un submonitor.</w:t>
      </w:r>
    </w:p>
    <w:p w14:paraId="412D51C7" w14:textId="77777777" w:rsidR="001A4860" w:rsidRPr="001A4860" w:rsidRDefault="001A4860" w:rsidP="001A4860">
      <w:pPr>
        <w:rPr>
          <w:sz w:val="22"/>
          <w:szCs w:val="22"/>
          <w:lang w:val="es-ES" w:eastAsia="es-ES"/>
        </w:rPr>
      </w:pPr>
    </w:p>
    <w:p w14:paraId="02A70DE6" w14:textId="77777777" w:rsidR="001A4860" w:rsidRPr="001A4860" w:rsidRDefault="001A4860" w:rsidP="001A4860">
      <w:pPr>
        <w:keepNext/>
        <w:outlineLvl w:val="1"/>
        <w:rPr>
          <w:rFonts w:eastAsia="Arial Narrow"/>
          <w:b/>
          <w:bCs/>
          <w:iCs/>
          <w:sz w:val="22"/>
          <w:szCs w:val="22"/>
          <w:lang w:val="es-NI"/>
        </w:rPr>
      </w:pPr>
      <w:bookmarkStart w:id="951" w:name="_Toc23249549"/>
      <w:r w:rsidRPr="001A4860">
        <w:rPr>
          <w:rFonts w:eastAsia="Arial Narrow"/>
          <w:b/>
          <w:bCs/>
          <w:iCs/>
          <w:sz w:val="22"/>
          <w:szCs w:val="22"/>
          <w:lang w:val="es-NI"/>
        </w:rPr>
        <w:t>Panel de distribución</w:t>
      </w:r>
      <w:bookmarkEnd w:id="951"/>
    </w:p>
    <w:p w14:paraId="5DCCD26C" w14:textId="77777777" w:rsidR="001A4860" w:rsidRPr="001A4860" w:rsidRDefault="001A4860" w:rsidP="001A4860">
      <w:pPr>
        <w:rPr>
          <w:sz w:val="22"/>
          <w:szCs w:val="22"/>
          <w:lang w:val="es-ES" w:eastAsia="es-ES"/>
        </w:rPr>
      </w:pPr>
    </w:p>
    <w:p w14:paraId="15B156FA" w14:textId="77777777" w:rsidR="001A4860" w:rsidRPr="001A4860" w:rsidRDefault="001A4860" w:rsidP="001A4860">
      <w:pPr>
        <w:rPr>
          <w:sz w:val="22"/>
          <w:szCs w:val="22"/>
          <w:lang w:val="es-ES" w:eastAsia="es-ES"/>
        </w:rPr>
      </w:pPr>
      <w:r w:rsidRPr="001A4860">
        <w:rPr>
          <w:sz w:val="22"/>
          <w:szCs w:val="22"/>
          <w:lang w:val="es-ES" w:eastAsia="es-ES"/>
        </w:rPr>
        <w:t>El panel de distribución está intalado en el panel principal y de las características requeridas en los mismos. Los paneles son de barra y borne para neutro. Los interruptores disyuntores (breakers) estan conectados a las barras debiendo quedar en lo posible, balanceada la carga.</w:t>
      </w:r>
    </w:p>
    <w:p w14:paraId="4F6261DA" w14:textId="77777777" w:rsidR="001A4860" w:rsidRPr="001A4860" w:rsidRDefault="001A4860" w:rsidP="001A4860">
      <w:pPr>
        <w:rPr>
          <w:sz w:val="22"/>
          <w:szCs w:val="22"/>
          <w:lang w:val="es-ES" w:eastAsia="es-ES"/>
        </w:rPr>
      </w:pPr>
    </w:p>
    <w:p w14:paraId="0C50C868" w14:textId="77777777" w:rsidR="001A4860" w:rsidRPr="001A4860" w:rsidRDefault="001A4860" w:rsidP="001A4860">
      <w:pPr>
        <w:keepNext/>
        <w:outlineLvl w:val="1"/>
        <w:rPr>
          <w:rFonts w:eastAsia="Arial Narrow"/>
          <w:b/>
          <w:bCs/>
          <w:iCs/>
          <w:sz w:val="22"/>
          <w:szCs w:val="22"/>
          <w:lang w:val="es-NI"/>
        </w:rPr>
      </w:pPr>
      <w:bookmarkStart w:id="952" w:name="_Toc23249550"/>
      <w:r w:rsidRPr="001A4860">
        <w:rPr>
          <w:rFonts w:eastAsia="Arial Narrow"/>
          <w:b/>
          <w:bCs/>
          <w:iCs/>
          <w:sz w:val="22"/>
          <w:szCs w:val="22"/>
          <w:lang w:val="es-NI"/>
        </w:rPr>
        <w:lastRenderedPageBreak/>
        <w:t>Trabajo para las Instalaciones comprendidas</w:t>
      </w:r>
      <w:bookmarkEnd w:id="952"/>
    </w:p>
    <w:p w14:paraId="1224F9F4" w14:textId="77777777" w:rsidR="001A4860" w:rsidRPr="001A4860" w:rsidRDefault="001A4860" w:rsidP="001A4860">
      <w:pPr>
        <w:rPr>
          <w:sz w:val="22"/>
          <w:szCs w:val="22"/>
          <w:lang w:val="es-ES" w:eastAsia="es-ES"/>
        </w:rPr>
      </w:pPr>
    </w:p>
    <w:p w14:paraId="2F95B3A6" w14:textId="77777777" w:rsidR="001A4860" w:rsidRPr="001A4860" w:rsidRDefault="001A4860" w:rsidP="001A4860">
      <w:pPr>
        <w:rPr>
          <w:sz w:val="22"/>
          <w:szCs w:val="22"/>
          <w:lang w:val="es-ES" w:eastAsia="es-ES"/>
        </w:rPr>
      </w:pPr>
      <w:r w:rsidRPr="001A4860">
        <w:rPr>
          <w:sz w:val="22"/>
          <w:szCs w:val="22"/>
          <w:lang w:val="es-ES" w:eastAsia="es-ES"/>
        </w:rPr>
        <w:t>Polarizar todos los componentes del sistema eléctrico, que incluye al supresor de picos de voltajes, para proteger la bomba y al Operador.</w:t>
      </w:r>
    </w:p>
    <w:p w14:paraId="1D19AF03" w14:textId="77777777" w:rsidR="001A4860" w:rsidRPr="001A4860" w:rsidRDefault="001A4860" w:rsidP="001A4860">
      <w:pPr>
        <w:rPr>
          <w:sz w:val="22"/>
          <w:szCs w:val="22"/>
          <w:lang w:val="es-ES" w:eastAsia="es-ES"/>
        </w:rPr>
      </w:pPr>
    </w:p>
    <w:p w14:paraId="7D5BD968" w14:textId="77777777" w:rsidR="001A4860" w:rsidRPr="001A4860" w:rsidRDefault="001A4860" w:rsidP="001A4860">
      <w:pPr>
        <w:rPr>
          <w:sz w:val="22"/>
          <w:szCs w:val="22"/>
          <w:lang w:val="es-ES" w:eastAsia="es-ES"/>
        </w:rPr>
      </w:pPr>
      <w:r w:rsidRPr="001A4860">
        <w:rPr>
          <w:sz w:val="22"/>
          <w:szCs w:val="22"/>
          <w:lang w:val="es-ES" w:eastAsia="es-ES"/>
        </w:rPr>
        <w:t>Realizar balance de carga en paneles</w:t>
      </w:r>
    </w:p>
    <w:p w14:paraId="47B06A62" w14:textId="77777777" w:rsidR="001A4860" w:rsidRPr="001A4860" w:rsidRDefault="001A4860" w:rsidP="001A4860">
      <w:pPr>
        <w:rPr>
          <w:sz w:val="22"/>
          <w:szCs w:val="22"/>
          <w:lang w:val="es-ES" w:eastAsia="es-ES"/>
        </w:rPr>
      </w:pPr>
    </w:p>
    <w:p w14:paraId="55EE1854" w14:textId="77777777" w:rsidR="001A4860" w:rsidRPr="001A4860" w:rsidRDefault="001A4860" w:rsidP="001A4860">
      <w:pPr>
        <w:keepNext/>
        <w:outlineLvl w:val="1"/>
        <w:rPr>
          <w:rFonts w:eastAsia="Arial Narrow"/>
          <w:b/>
          <w:bCs/>
          <w:iCs/>
          <w:sz w:val="22"/>
          <w:szCs w:val="22"/>
          <w:lang w:val="es-NI"/>
        </w:rPr>
      </w:pPr>
      <w:bookmarkStart w:id="953" w:name="_Toc23249551"/>
      <w:r w:rsidRPr="001A4860">
        <w:rPr>
          <w:rFonts w:eastAsia="Arial Narrow"/>
          <w:b/>
          <w:bCs/>
          <w:iCs/>
          <w:sz w:val="22"/>
          <w:szCs w:val="22"/>
          <w:lang w:val="es-NI"/>
        </w:rPr>
        <w:t>Pruebas de las Instalaciones Eléctricas</w:t>
      </w:r>
      <w:bookmarkEnd w:id="953"/>
    </w:p>
    <w:p w14:paraId="2A28297B" w14:textId="77777777" w:rsidR="001A4860" w:rsidRPr="001A4860" w:rsidRDefault="001A4860" w:rsidP="001A4860">
      <w:pPr>
        <w:rPr>
          <w:sz w:val="22"/>
          <w:szCs w:val="22"/>
          <w:lang w:val="es-ES" w:eastAsia="es-ES"/>
        </w:rPr>
      </w:pPr>
    </w:p>
    <w:p w14:paraId="61CC1ACA" w14:textId="77777777" w:rsidR="001A4860" w:rsidRPr="001A4860" w:rsidRDefault="001A4860" w:rsidP="001A4860">
      <w:pPr>
        <w:rPr>
          <w:sz w:val="22"/>
          <w:szCs w:val="22"/>
          <w:lang w:val="es-ES" w:eastAsia="es-ES"/>
        </w:rPr>
      </w:pPr>
      <w:r w:rsidRPr="001A4860">
        <w:rPr>
          <w:sz w:val="22"/>
          <w:szCs w:val="22"/>
          <w:lang w:val="es-ES" w:eastAsia="es-ES"/>
        </w:rPr>
        <w:t>Antes de entregar las instalaciones, el Contratista deberá realizar las pruebas necesarias ante la Supervisión, para constatar el adecuado aislamiento de conductores, red de tierra, calibración de medidores, etc., de acuerdo a los procedimientos establecidos por la Supervisión.</w:t>
      </w:r>
    </w:p>
    <w:p w14:paraId="6E2C9FAE" w14:textId="77777777" w:rsidR="001A4860" w:rsidRPr="001A4860" w:rsidRDefault="001A4860" w:rsidP="001A4860">
      <w:pPr>
        <w:rPr>
          <w:sz w:val="22"/>
          <w:szCs w:val="22"/>
          <w:lang w:val="es-ES" w:eastAsia="es-ES"/>
        </w:rPr>
      </w:pPr>
    </w:p>
    <w:p w14:paraId="40F6D06B" w14:textId="77777777" w:rsidR="001A4860" w:rsidRPr="001A4860" w:rsidRDefault="001A4860" w:rsidP="001A4860">
      <w:pPr>
        <w:rPr>
          <w:sz w:val="22"/>
          <w:szCs w:val="22"/>
          <w:lang w:val="es-ES" w:eastAsia="es-ES"/>
        </w:rPr>
      </w:pPr>
      <w:r w:rsidRPr="001A4860">
        <w:rPr>
          <w:sz w:val="22"/>
          <w:szCs w:val="22"/>
          <w:lang w:val="es-ES" w:eastAsia="es-ES"/>
        </w:rPr>
        <w:t>Se debe examinar todo el sistema eléctrico y la conexión de los motores para verificar su correcta operación.</w:t>
      </w:r>
    </w:p>
    <w:p w14:paraId="57A67C99" w14:textId="77777777" w:rsidR="001A4860" w:rsidRPr="001A4860" w:rsidRDefault="001A4860" w:rsidP="001A4860">
      <w:pPr>
        <w:rPr>
          <w:sz w:val="22"/>
          <w:szCs w:val="22"/>
          <w:lang w:val="es-ES" w:eastAsia="es-ES"/>
        </w:rPr>
      </w:pPr>
    </w:p>
    <w:p w14:paraId="2906F0B8" w14:textId="77777777" w:rsidR="001A4860" w:rsidRPr="001A4860" w:rsidRDefault="001A4860" w:rsidP="001A4860">
      <w:pPr>
        <w:rPr>
          <w:sz w:val="22"/>
          <w:szCs w:val="22"/>
          <w:lang w:val="es-ES" w:eastAsia="es-ES"/>
        </w:rPr>
      </w:pPr>
      <w:r w:rsidRPr="001A4860">
        <w:rPr>
          <w:sz w:val="22"/>
          <w:szCs w:val="22"/>
          <w:lang w:val="es-ES" w:eastAsia="es-ES"/>
        </w:rPr>
        <w:t>Se debe determinar la secuencia de fases de la Empresa de Electricidad Unión Fenosa y conectar los motores en ese mismo orden.</w:t>
      </w:r>
    </w:p>
    <w:p w14:paraId="0A4D9558" w14:textId="77777777" w:rsidR="001A4860" w:rsidRPr="001A4860" w:rsidRDefault="001A4860" w:rsidP="001A4860">
      <w:pPr>
        <w:rPr>
          <w:sz w:val="22"/>
          <w:szCs w:val="22"/>
          <w:lang w:val="es-ES" w:eastAsia="es-ES"/>
        </w:rPr>
      </w:pPr>
    </w:p>
    <w:p w14:paraId="5D6703EB" w14:textId="77777777" w:rsidR="001A4860" w:rsidRPr="001A4860" w:rsidRDefault="001A4860" w:rsidP="001A4860">
      <w:pPr>
        <w:rPr>
          <w:sz w:val="22"/>
          <w:szCs w:val="22"/>
          <w:lang w:val="es-ES" w:eastAsia="es-ES"/>
        </w:rPr>
      </w:pPr>
      <w:r w:rsidRPr="001A4860">
        <w:rPr>
          <w:sz w:val="22"/>
          <w:szCs w:val="22"/>
          <w:lang w:val="es-ES" w:eastAsia="es-ES"/>
        </w:rPr>
        <w:t>Deben al terminarse las obras de Instalaciones Eléctricas, efectuarse pruebas para determinar posibles fallos de corto-circuito o fallas a tierra. La resistencia de aislamiento debe ser igual o superior a lo exigido en el código eléctrico.</w:t>
      </w:r>
    </w:p>
    <w:p w14:paraId="540E3BFE" w14:textId="77777777" w:rsidR="001A4860" w:rsidRPr="001A4860" w:rsidRDefault="001A4860" w:rsidP="001A4860">
      <w:pPr>
        <w:rPr>
          <w:sz w:val="22"/>
          <w:szCs w:val="22"/>
          <w:lang w:val="es-ES" w:eastAsia="es-ES"/>
        </w:rPr>
      </w:pPr>
    </w:p>
    <w:p w14:paraId="41204F26" w14:textId="77777777" w:rsidR="001A4860" w:rsidRPr="001A4860" w:rsidRDefault="001A4860" w:rsidP="001A4860">
      <w:pPr>
        <w:rPr>
          <w:sz w:val="22"/>
          <w:szCs w:val="22"/>
          <w:lang w:val="es-ES" w:eastAsia="es-ES"/>
        </w:rPr>
      </w:pPr>
      <w:r w:rsidRPr="001A4860">
        <w:rPr>
          <w:sz w:val="22"/>
          <w:szCs w:val="22"/>
          <w:lang w:val="es-ES" w:eastAsia="es-ES"/>
        </w:rPr>
        <w:t>Se debe probar la impedancia a tierra del sistema eléctrico y ésta no debe exceder el valor de cinco ohmios.</w:t>
      </w:r>
    </w:p>
    <w:p w14:paraId="0F893069" w14:textId="77777777" w:rsidR="001A4860" w:rsidRPr="001A4860" w:rsidRDefault="001A4860" w:rsidP="001A4860">
      <w:pPr>
        <w:rPr>
          <w:sz w:val="22"/>
          <w:szCs w:val="22"/>
          <w:lang w:val="es-ES" w:eastAsia="es-ES"/>
        </w:rPr>
      </w:pPr>
    </w:p>
    <w:p w14:paraId="1D12EA30" w14:textId="77777777" w:rsidR="001A4860" w:rsidRPr="001A4860" w:rsidRDefault="001A4860" w:rsidP="001A4860">
      <w:pPr>
        <w:keepNext/>
        <w:outlineLvl w:val="1"/>
        <w:rPr>
          <w:rFonts w:eastAsia="Arial Narrow"/>
          <w:b/>
          <w:bCs/>
          <w:iCs/>
          <w:sz w:val="22"/>
          <w:szCs w:val="22"/>
          <w:lang w:val="es-NI"/>
        </w:rPr>
      </w:pPr>
      <w:bookmarkStart w:id="954" w:name="_Toc23249552"/>
      <w:r w:rsidRPr="001A4860">
        <w:rPr>
          <w:rFonts w:eastAsia="Arial Narrow"/>
          <w:b/>
          <w:bCs/>
          <w:iCs/>
          <w:sz w:val="22"/>
          <w:szCs w:val="22"/>
          <w:lang w:val="es-NI"/>
        </w:rPr>
        <w:t>Rotulaciones e instrucciones</w:t>
      </w:r>
      <w:bookmarkEnd w:id="954"/>
    </w:p>
    <w:p w14:paraId="79AEF632" w14:textId="77777777" w:rsidR="001A4860" w:rsidRPr="001A4860" w:rsidRDefault="001A4860" w:rsidP="001A4860">
      <w:pPr>
        <w:rPr>
          <w:sz w:val="22"/>
          <w:szCs w:val="22"/>
          <w:lang w:val="es-ES" w:eastAsia="es-ES"/>
        </w:rPr>
      </w:pPr>
    </w:p>
    <w:p w14:paraId="4827D64C" w14:textId="77777777" w:rsidR="001A4860" w:rsidRPr="001A4860" w:rsidRDefault="001A4860" w:rsidP="001A4860">
      <w:pPr>
        <w:rPr>
          <w:sz w:val="22"/>
          <w:szCs w:val="22"/>
          <w:lang w:val="es-ES" w:eastAsia="es-ES"/>
        </w:rPr>
      </w:pPr>
      <w:r w:rsidRPr="001A4860">
        <w:rPr>
          <w:sz w:val="22"/>
          <w:szCs w:val="22"/>
          <w:lang w:val="es-ES" w:eastAsia="es-ES"/>
        </w:rPr>
        <w:t>Todos los tableros deben ser rotulados en forma visible y permanente para la identificación de los circuitos derivados y alimentadores.</w:t>
      </w:r>
    </w:p>
    <w:p w14:paraId="3B54FE72" w14:textId="77777777" w:rsidR="001A4860" w:rsidRPr="001A4860" w:rsidRDefault="001A4860" w:rsidP="001A4860">
      <w:pPr>
        <w:rPr>
          <w:sz w:val="22"/>
          <w:szCs w:val="22"/>
          <w:lang w:val="es-ES" w:eastAsia="es-ES"/>
        </w:rPr>
      </w:pPr>
      <w:r w:rsidRPr="001A4860">
        <w:rPr>
          <w:sz w:val="22"/>
          <w:szCs w:val="22"/>
          <w:lang w:val="es-ES" w:eastAsia="es-ES"/>
        </w:rPr>
        <w:t>El Contratista debe suministrar al Contratante dos juegos de instrucciones de operación de los equipos y de mantenimiento apropiado; si los panfletos instructivos del fabricante no son en español, deben traducirse y presentarse ambos ejemplares.</w:t>
      </w:r>
    </w:p>
    <w:p w14:paraId="46B23747" w14:textId="77777777" w:rsidR="001A4860" w:rsidRPr="001A4860" w:rsidRDefault="001A4860" w:rsidP="001A4860">
      <w:pPr>
        <w:rPr>
          <w:sz w:val="22"/>
          <w:szCs w:val="22"/>
          <w:lang w:val="es-ES" w:eastAsia="es-ES"/>
        </w:rPr>
      </w:pPr>
    </w:p>
    <w:p w14:paraId="3DFF6CCB" w14:textId="77777777" w:rsidR="001A4860" w:rsidRPr="001A4860" w:rsidRDefault="001A4860" w:rsidP="001A4860">
      <w:pPr>
        <w:rPr>
          <w:sz w:val="22"/>
          <w:szCs w:val="22"/>
          <w:lang w:val="es-ES" w:eastAsia="es-ES"/>
        </w:rPr>
      </w:pPr>
    </w:p>
    <w:p w14:paraId="0AFD84F6" w14:textId="77777777" w:rsidR="001A4860" w:rsidRPr="001A4860" w:rsidRDefault="001A4860" w:rsidP="001A4860">
      <w:pPr>
        <w:rPr>
          <w:sz w:val="22"/>
          <w:szCs w:val="22"/>
          <w:lang w:val="es-ES" w:eastAsia="es-ES"/>
        </w:rPr>
      </w:pPr>
    </w:p>
    <w:p w14:paraId="3AE28358" w14:textId="77777777" w:rsidR="001A4860" w:rsidRPr="001A4860" w:rsidRDefault="001A4860" w:rsidP="001A4860">
      <w:pPr>
        <w:rPr>
          <w:sz w:val="22"/>
          <w:szCs w:val="22"/>
          <w:lang w:val="es-ES" w:eastAsia="es-ES"/>
        </w:rPr>
      </w:pPr>
    </w:p>
    <w:p w14:paraId="1ED5A6BB" w14:textId="77777777" w:rsidR="001A4860" w:rsidRPr="001A4860" w:rsidRDefault="001A4860" w:rsidP="001A4860">
      <w:pPr>
        <w:keepNext/>
        <w:outlineLvl w:val="1"/>
        <w:rPr>
          <w:rFonts w:eastAsia="Arial Narrow"/>
          <w:b/>
          <w:bCs/>
          <w:iCs/>
          <w:sz w:val="22"/>
          <w:szCs w:val="22"/>
          <w:lang w:val="es-NI"/>
        </w:rPr>
      </w:pPr>
      <w:bookmarkStart w:id="955" w:name="_Toc23249553"/>
      <w:r w:rsidRPr="001A4860">
        <w:rPr>
          <w:rFonts w:eastAsia="Arial Narrow"/>
          <w:b/>
          <w:bCs/>
          <w:iCs/>
          <w:sz w:val="22"/>
          <w:szCs w:val="22"/>
          <w:lang w:val="es-NI"/>
        </w:rPr>
        <w:t>Medición y pago</w:t>
      </w:r>
      <w:bookmarkEnd w:id="955"/>
    </w:p>
    <w:p w14:paraId="056A0CA9" w14:textId="77777777" w:rsidR="001A4860" w:rsidRPr="001A4860" w:rsidRDefault="001A4860" w:rsidP="001A4860">
      <w:pPr>
        <w:rPr>
          <w:sz w:val="22"/>
          <w:szCs w:val="22"/>
          <w:lang w:val="es-ES" w:eastAsia="es-ES"/>
        </w:rPr>
      </w:pPr>
    </w:p>
    <w:p w14:paraId="50744FC3" w14:textId="77777777" w:rsidR="001A4860" w:rsidRPr="001A4860" w:rsidRDefault="001A4860" w:rsidP="001A4860">
      <w:pPr>
        <w:rPr>
          <w:sz w:val="22"/>
          <w:szCs w:val="22"/>
          <w:lang w:val="es-ES" w:eastAsia="es-ES"/>
        </w:rPr>
      </w:pPr>
      <w:r w:rsidRPr="001A4860">
        <w:rPr>
          <w:sz w:val="22"/>
          <w:szCs w:val="22"/>
          <w:lang w:val="es-ES" w:eastAsia="es-ES"/>
        </w:rPr>
        <w:t>Los precios unitarios correspondientes a este rubro deben incluir todos los costos implícitos en el suministro e instalación de cada uno de los componentes, conforme lo establecido en estas especificaciones técnicas y resto de documentos contractuales.</w:t>
      </w:r>
    </w:p>
    <w:p w14:paraId="1924D7AA" w14:textId="77777777" w:rsidR="001A4860" w:rsidRPr="001A4860" w:rsidRDefault="001A4860" w:rsidP="001A4860">
      <w:pPr>
        <w:rPr>
          <w:sz w:val="22"/>
          <w:szCs w:val="22"/>
          <w:lang w:val="es-ES" w:eastAsia="es-ES"/>
        </w:rPr>
      </w:pPr>
    </w:p>
    <w:p w14:paraId="357256D8" w14:textId="77777777" w:rsidR="001A4860" w:rsidRPr="001A4860" w:rsidRDefault="001A4860" w:rsidP="001A4860">
      <w:pPr>
        <w:rPr>
          <w:sz w:val="22"/>
          <w:szCs w:val="22"/>
          <w:lang w:val="es-ES" w:eastAsia="es-ES"/>
        </w:rPr>
      </w:pPr>
      <w:r w:rsidRPr="001A4860">
        <w:rPr>
          <w:sz w:val="22"/>
          <w:szCs w:val="22"/>
          <w:lang w:val="es-ES" w:eastAsia="es-ES"/>
        </w:rPr>
        <w:t>Los precios unitarios ofertados por el proveedor en en el formato de oferta, deben incluir, sin que esta enumeración sea limitativa: excavación en terreno de cualquier tipo, relleno y compactación, el suministro e instalación de accesorios, canalización, conductores, rotulaciones e instrucciones, pruebas que garanticen la instalación completa del equipo, las prueba y trabajos complementarios no detallados en el formato de oferta a menos que específicamente sean incluidos en otro renglon.</w:t>
      </w:r>
    </w:p>
    <w:p w14:paraId="7E7A7E3F" w14:textId="77777777" w:rsidR="001A4860" w:rsidRPr="001A4860" w:rsidRDefault="001A4860" w:rsidP="001A4860">
      <w:pPr>
        <w:rPr>
          <w:sz w:val="22"/>
          <w:szCs w:val="22"/>
          <w:lang w:val="es-ES" w:eastAsia="es-ES"/>
        </w:rPr>
      </w:pPr>
    </w:p>
    <w:p w14:paraId="3C4A38AA" w14:textId="77777777" w:rsidR="001A4860" w:rsidRPr="001A4860" w:rsidRDefault="001A4860" w:rsidP="001A4860">
      <w:pPr>
        <w:keepNext/>
        <w:outlineLvl w:val="1"/>
        <w:rPr>
          <w:rFonts w:eastAsia="Arial Narrow"/>
          <w:b/>
          <w:bCs/>
          <w:iCs/>
          <w:sz w:val="22"/>
          <w:szCs w:val="22"/>
          <w:lang w:val="es-NI"/>
        </w:rPr>
      </w:pPr>
      <w:bookmarkStart w:id="956" w:name="_Toc23249554"/>
      <w:r w:rsidRPr="001A4860">
        <w:rPr>
          <w:rFonts w:eastAsia="Arial Narrow"/>
          <w:b/>
          <w:bCs/>
          <w:iCs/>
          <w:sz w:val="22"/>
          <w:szCs w:val="22"/>
          <w:lang w:val="es-NI"/>
        </w:rPr>
        <w:t>Aceptación de los Trabajos</w:t>
      </w:r>
      <w:bookmarkEnd w:id="956"/>
    </w:p>
    <w:p w14:paraId="066C9C51" w14:textId="77777777" w:rsidR="001A4860" w:rsidRPr="001A4860" w:rsidRDefault="001A4860" w:rsidP="001A4860">
      <w:pPr>
        <w:rPr>
          <w:sz w:val="22"/>
          <w:szCs w:val="22"/>
          <w:lang w:val="es-ES" w:eastAsia="es-ES"/>
        </w:rPr>
      </w:pPr>
    </w:p>
    <w:p w14:paraId="0FB578A4" w14:textId="77777777" w:rsidR="001A4860" w:rsidRPr="001A4860" w:rsidRDefault="001A4860" w:rsidP="001A4860">
      <w:pPr>
        <w:rPr>
          <w:sz w:val="22"/>
          <w:szCs w:val="22"/>
          <w:lang w:val="es-ES" w:eastAsia="es-ES"/>
        </w:rPr>
      </w:pPr>
      <w:r w:rsidRPr="001A4860">
        <w:rPr>
          <w:sz w:val="22"/>
          <w:szCs w:val="22"/>
          <w:lang w:val="es-ES" w:eastAsia="es-ES"/>
        </w:rPr>
        <w:t>Se dará por terminado el trabajo de instalaciones eléctricas al cumplirse al menos las siguientes condiciones:</w:t>
      </w:r>
    </w:p>
    <w:p w14:paraId="3FE1DB4F" w14:textId="77777777" w:rsidR="001A4860" w:rsidRPr="001A4860" w:rsidRDefault="001A4860" w:rsidP="001A4860">
      <w:pPr>
        <w:rPr>
          <w:sz w:val="22"/>
          <w:szCs w:val="22"/>
          <w:lang w:val="es-ES" w:eastAsia="es-ES"/>
        </w:rPr>
      </w:pPr>
    </w:p>
    <w:p w14:paraId="56A73439" w14:textId="77777777" w:rsidR="001A4860" w:rsidRPr="001A4860" w:rsidRDefault="001A4860" w:rsidP="001A4860">
      <w:pPr>
        <w:rPr>
          <w:sz w:val="22"/>
          <w:szCs w:val="22"/>
          <w:lang w:val="es-ES" w:eastAsia="es-ES"/>
        </w:rPr>
      </w:pPr>
      <w:r w:rsidRPr="001A4860">
        <w:rPr>
          <w:sz w:val="22"/>
          <w:szCs w:val="22"/>
          <w:lang w:val="es-ES" w:eastAsia="es-ES"/>
        </w:rPr>
        <w:t>•</w:t>
      </w:r>
      <w:r w:rsidRPr="001A4860">
        <w:rPr>
          <w:sz w:val="22"/>
          <w:szCs w:val="22"/>
          <w:lang w:val="es-ES" w:eastAsia="es-ES"/>
        </w:rPr>
        <w:tab/>
        <w:t>Que se hayan revisado y aceptado todas las instalaciones a satisfacción de la Supervisión.</w:t>
      </w:r>
    </w:p>
    <w:p w14:paraId="678B5655" w14:textId="77777777" w:rsidR="001A4860" w:rsidRPr="001A4860" w:rsidRDefault="001A4860" w:rsidP="001A4860">
      <w:pPr>
        <w:rPr>
          <w:sz w:val="22"/>
          <w:szCs w:val="22"/>
          <w:lang w:val="es-ES" w:eastAsia="es-ES"/>
        </w:rPr>
      </w:pPr>
      <w:r w:rsidRPr="001A4860">
        <w:rPr>
          <w:sz w:val="22"/>
          <w:szCs w:val="22"/>
          <w:lang w:val="es-ES" w:eastAsia="es-ES"/>
        </w:rPr>
        <w:t>•</w:t>
      </w:r>
      <w:r w:rsidRPr="001A4860">
        <w:rPr>
          <w:sz w:val="22"/>
          <w:szCs w:val="22"/>
          <w:lang w:val="es-ES" w:eastAsia="es-ES"/>
        </w:rPr>
        <w:tab/>
        <w:t>Que se hayan realizado, ante la presencia de la Supervisión y ENACAL, todas las pruebas y mediciones necesarias con los procedimientos aprobados por la misma Supervisión, de tal forma que se garanticen la correcta instalación y el buen funcionamiento.</w:t>
      </w:r>
    </w:p>
    <w:p w14:paraId="677BDCBC" w14:textId="77777777" w:rsidR="001A4860" w:rsidRPr="001A4860" w:rsidRDefault="001A4860" w:rsidP="001A4860">
      <w:pPr>
        <w:rPr>
          <w:sz w:val="22"/>
          <w:szCs w:val="22"/>
          <w:lang w:val="es-ES" w:eastAsia="es-ES"/>
        </w:rPr>
      </w:pPr>
      <w:r w:rsidRPr="001A4860">
        <w:rPr>
          <w:sz w:val="22"/>
          <w:szCs w:val="22"/>
          <w:lang w:val="es-ES" w:eastAsia="es-ES"/>
        </w:rPr>
        <w:t>•</w:t>
      </w:r>
      <w:r w:rsidRPr="001A4860">
        <w:rPr>
          <w:sz w:val="22"/>
          <w:szCs w:val="22"/>
          <w:lang w:val="es-ES" w:eastAsia="es-ES"/>
        </w:rPr>
        <w:tab/>
        <w:t>Que se haya entregado a la Supervisión en forma escrita, los resultados de las pruebas realizadas.</w:t>
      </w:r>
    </w:p>
    <w:p w14:paraId="15CFFAAE" w14:textId="77777777" w:rsidR="001A4860" w:rsidRPr="001A4860" w:rsidRDefault="001A4860" w:rsidP="001A4860">
      <w:pPr>
        <w:rPr>
          <w:sz w:val="22"/>
          <w:szCs w:val="22"/>
          <w:lang w:val="es-ES" w:eastAsia="es-ES"/>
        </w:rPr>
      </w:pPr>
    </w:p>
    <w:p w14:paraId="66D0ABA4" w14:textId="77777777" w:rsidR="001A4860" w:rsidRPr="001A4860" w:rsidRDefault="001A4860" w:rsidP="001A4860">
      <w:pPr>
        <w:rPr>
          <w:sz w:val="22"/>
          <w:szCs w:val="22"/>
          <w:lang w:val="es-ES" w:eastAsia="es-ES"/>
        </w:rPr>
      </w:pPr>
      <w:r w:rsidRPr="001A4860">
        <w:rPr>
          <w:sz w:val="22"/>
          <w:szCs w:val="22"/>
          <w:lang w:val="es-ES" w:eastAsia="es-ES"/>
        </w:rPr>
        <w:t>El contratista deberá asegurarse de considerar en el precio unitario o global de cada partida todos los componentes (materiales, mano de obra, herramientas y equipos) necesarios para la completa ejecución de los trabajos conforme a los ítems de pago consignados en las Especificaciones Técnicas Particulares y en el Formulario de Oferta. El alcance incluye todo elemento y accesorio que garantice la correcta instalación y funcionamiento de los equipos y suministros. Cualquier omisión de estos no dará lugar a costos adicionales y deberá ser instalado sin excepción por el Contratista.</w:t>
      </w:r>
    </w:p>
    <w:p w14:paraId="6E55A8E3" w14:textId="77777777" w:rsidR="001A4860" w:rsidRPr="001A4860" w:rsidRDefault="001A4860" w:rsidP="001A4860">
      <w:pPr>
        <w:rPr>
          <w:sz w:val="22"/>
          <w:szCs w:val="22"/>
          <w:lang w:val="es-ES" w:eastAsia="es-ES"/>
        </w:rPr>
      </w:pPr>
    </w:p>
    <w:p w14:paraId="673D0566" w14:textId="77777777" w:rsidR="001A4860" w:rsidRPr="001A4860" w:rsidRDefault="001A4860" w:rsidP="001A4860">
      <w:pPr>
        <w:keepNext/>
        <w:keepLines/>
        <w:outlineLvl w:val="0"/>
        <w:rPr>
          <w:b/>
          <w:sz w:val="22"/>
          <w:szCs w:val="22"/>
          <w:lang w:val="es-ES" w:eastAsia="es-ES"/>
        </w:rPr>
      </w:pPr>
      <w:bookmarkStart w:id="957" w:name="_Toc23249555"/>
      <w:r w:rsidRPr="001A4860">
        <w:rPr>
          <w:b/>
          <w:sz w:val="22"/>
          <w:szCs w:val="22"/>
          <w:lang w:val="es-ES" w:eastAsia="es-ES"/>
        </w:rPr>
        <w:t>ESPECIFICACIONES TÉCNICAS PARA PLANTA DE PURIFICACIÓN</w:t>
      </w:r>
      <w:bookmarkEnd w:id="957"/>
    </w:p>
    <w:p w14:paraId="2B04FA7D" w14:textId="77777777" w:rsidR="001A4860" w:rsidRPr="001A4860" w:rsidRDefault="001A4860" w:rsidP="001A4860">
      <w:pPr>
        <w:rPr>
          <w:sz w:val="22"/>
          <w:szCs w:val="22"/>
          <w:lang w:val="es-ES" w:eastAsia="es-ES"/>
        </w:rPr>
      </w:pPr>
    </w:p>
    <w:p w14:paraId="790A5E7B" w14:textId="77777777" w:rsidR="001A4860" w:rsidRPr="001A4860" w:rsidRDefault="001A4860" w:rsidP="001A4860">
      <w:pPr>
        <w:keepNext/>
        <w:outlineLvl w:val="1"/>
        <w:rPr>
          <w:rFonts w:eastAsia="Arial Narrow"/>
          <w:b/>
          <w:bCs/>
          <w:iCs/>
          <w:sz w:val="22"/>
          <w:szCs w:val="22"/>
          <w:lang w:val="es-NI"/>
        </w:rPr>
      </w:pPr>
      <w:bookmarkStart w:id="958" w:name="_Toc23249556"/>
      <w:r w:rsidRPr="001A4860">
        <w:rPr>
          <w:rFonts w:eastAsia="Arial Narrow"/>
          <w:b/>
          <w:bCs/>
          <w:iCs/>
          <w:sz w:val="22"/>
          <w:szCs w:val="22"/>
          <w:lang w:val="es-NI"/>
        </w:rPr>
        <w:t>Sistema de cloración</w:t>
      </w:r>
      <w:bookmarkEnd w:id="958"/>
    </w:p>
    <w:p w14:paraId="1DD7830E" w14:textId="77777777" w:rsidR="001A4860" w:rsidRPr="001A4860" w:rsidRDefault="001A4860" w:rsidP="001A4860">
      <w:pPr>
        <w:rPr>
          <w:sz w:val="22"/>
          <w:szCs w:val="22"/>
          <w:lang w:val="es-ES" w:eastAsia="es-ES"/>
        </w:rPr>
      </w:pPr>
    </w:p>
    <w:p w14:paraId="6FCB78FD" w14:textId="77777777" w:rsidR="001A4860" w:rsidRPr="001A4860" w:rsidRDefault="001A4860" w:rsidP="001A4860">
      <w:pPr>
        <w:rPr>
          <w:sz w:val="22"/>
          <w:szCs w:val="22"/>
          <w:lang w:val="es-ES" w:eastAsia="es-ES"/>
        </w:rPr>
      </w:pPr>
      <w:r w:rsidRPr="001A4860">
        <w:rPr>
          <w:sz w:val="22"/>
          <w:szCs w:val="22"/>
          <w:lang w:val="es-ES" w:eastAsia="es-ES"/>
        </w:rPr>
        <w:t xml:space="preserve">El trabajo a ejecutarse bajo este rubro comprende el suministro de equipo, herramientas, mano de obra, transporte y materiales necesarios para llevar a cabo la </w:t>
      </w:r>
      <w:r w:rsidRPr="001A4860">
        <w:rPr>
          <w:i/>
          <w:sz w:val="22"/>
          <w:szCs w:val="22"/>
          <w:lang w:val="es-ES" w:eastAsia="es-ES"/>
        </w:rPr>
        <w:t>instalación del sistema de cloración</w:t>
      </w:r>
      <w:r w:rsidRPr="001A4860">
        <w:rPr>
          <w:sz w:val="22"/>
          <w:szCs w:val="22"/>
          <w:lang w:val="es-ES" w:eastAsia="es-ES"/>
        </w:rPr>
        <w:t>, en el sitio y dimensiones indicadas en los planos y de acuerdo con lo estipulado en estas especificaciones. Los costos de esta operación son asumidos por El Contratista.</w:t>
      </w:r>
    </w:p>
    <w:p w14:paraId="6BED77FF" w14:textId="77777777" w:rsidR="001A4860" w:rsidRPr="001A4860" w:rsidRDefault="001A4860" w:rsidP="001A4860">
      <w:pPr>
        <w:rPr>
          <w:sz w:val="22"/>
          <w:szCs w:val="22"/>
          <w:lang w:val="es-ES" w:eastAsia="es-ES"/>
        </w:rPr>
      </w:pPr>
    </w:p>
    <w:p w14:paraId="102155AB" w14:textId="77777777" w:rsidR="001A4860" w:rsidRPr="001A4860" w:rsidRDefault="001A4860" w:rsidP="001A4860">
      <w:pPr>
        <w:rPr>
          <w:sz w:val="22"/>
          <w:szCs w:val="22"/>
          <w:lang w:val="es-ES" w:eastAsia="es-ES"/>
        </w:rPr>
      </w:pPr>
      <w:r w:rsidRPr="001A4860">
        <w:rPr>
          <w:sz w:val="22"/>
          <w:szCs w:val="22"/>
          <w:lang w:val="es-ES" w:eastAsia="es-ES"/>
        </w:rPr>
        <w:t>El Contratista debe suministrar, instalar y poner en operación el sistema de desinfección de hipoclorito de calcio Ca(ClO)2, debidamente calibrado.</w:t>
      </w:r>
    </w:p>
    <w:p w14:paraId="69E0477A" w14:textId="77777777" w:rsidR="001A4860" w:rsidRPr="001A4860" w:rsidRDefault="001A4860" w:rsidP="001A4860">
      <w:pPr>
        <w:rPr>
          <w:sz w:val="22"/>
          <w:szCs w:val="22"/>
          <w:lang w:val="es-ES" w:eastAsia="es-ES"/>
        </w:rPr>
      </w:pPr>
    </w:p>
    <w:p w14:paraId="5C2302AA" w14:textId="77777777" w:rsidR="001A4860" w:rsidRPr="001A4860" w:rsidRDefault="001A4860" w:rsidP="001A4860">
      <w:pPr>
        <w:rPr>
          <w:sz w:val="22"/>
          <w:szCs w:val="22"/>
          <w:lang w:val="es-ES" w:eastAsia="es-ES"/>
        </w:rPr>
      </w:pPr>
      <w:r w:rsidRPr="001A4860">
        <w:rPr>
          <w:sz w:val="22"/>
          <w:szCs w:val="22"/>
          <w:lang w:val="es-ES" w:eastAsia="es-ES"/>
        </w:rPr>
        <w:t>Hipoclorador de carga constante de 125.0 litros (33 galones). Ubicado sobre la losa tapa de tanque de almacenamiento de agua clara, a como se indica en los planos, en la entrada del tanque que se conecta con la tubería de conducción.</w:t>
      </w:r>
    </w:p>
    <w:p w14:paraId="462A0A73" w14:textId="77777777" w:rsidR="001A4860" w:rsidRPr="001A4860" w:rsidRDefault="001A4860" w:rsidP="001A4860">
      <w:pPr>
        <w:rPr>
          <w:sz w:val="22"/>
          <w:szCs w:val="22"/>
          <w:lang w:val="es-ES" w:eastAsia="es-ES"/>
        </w:rPr>
      </w:pPr>
    </w:p>
    <w:p w14:paraId="55DFBDAF" w14:textId="77777777" w:rsidR="001A4860" w:rsidRPr="001A4860" w:rsidRDefault="001A4860" w:rsidP="001A4860">
      <w:pPr>
        <w:rPr>
          <w:sz w:val="22"/>
          <w:szCs w:val="22"/>
          <w:lang w:val="es-ES" w:eastAsia="es-ES"/>
        </w:rPr>
      </w:pPr>
      <w:r w:rsidRPr="001A4860">
        <w:rPr>
          <w:sz w:val="22"/>
          <w:szCs w:val="22"/>
          <w:lang w:val="es-ES" w:eastAsia="es-ES"/>
        </w:rPr>
        <w:t>El Contratista es responsable de estudiar las especificaciones del fabricante e inquirir todos los datos que su experiencia en el ramo le indiquen ser necesarios para hacer una correcta instalación del clorador y debe suplir todos los accesorios, conectores y tuberías que el fabricante recomienda para una correcta instalación.</w:t>
      </w:r>
    </w:p>
    <w:p w14:paraId="037CCF99" w14:textId="77777777" w:rsidR="001A4860" w:rsidRPr="001A4860" w:rsidRDefault="001A4860" w:rsidP="001A4860">
      <w:pPr>
        <w:rPr>
          <w:sz w:val="22"/>
          <w:szCs w:val="22"/>
          <w:lang w:val="es-ES" w:eastAsia="es-ES"/>
        </w:rPr>
      </w:pPr>
    </w:p>
    <w:p w14:paraId="6634DF12" w14:textId="77777777" w:rsidR="001A4860" w:rsidRPr="001A4860" w:rsidRDefault="001A4860" w:rsidP="001A4860">
      <w:pPr>
        <w:rPr>
          <w:sz w:val="22"/>
          <w:szCs w:val="22"/>
          <w:lang w:val="es-ES" w:eastAsia="es-ES"/>
        </w:rPr>
      </w:pPr>
      <w:r w:rsidRPr="001A4860">
        <w:rPr>
          <w:sz w:val="22"/>
          <w:szCs w:val="22"/>
          <w:lang w:val="es-ES" w:eastAsia="es-ES"/>
        </w:rPr>
        <w:t>El Contratista debe estar enterado de todas las particularidades de instalación del dosificador de cloro y de las especiales condiciones en que opera para garantizar un correcto funcionamiento del equipo.</w:t>
      </w:r>
    </w:p>
    <w:p w14:paraId="155EA21D" w14:textId="77777777" w:rsidR="001A4860" w:rsidRPr="001A4860" w:rsidRDefault="001A4860" w:rsidP="001A4860">
      <w:pPr>
        <w:spacing w:before="4" w:line="220" w:lineRule="exact"/>
        <w:rPr>
          <w:sz w:val="22"/>
          <w:szCs w:val="22"/>
          <w:lang w:val="es-ES" w:eastAsia="es-ES"/>
        </w:rPr>
      </w:pPr>
    </w:p>
    <w:p w14:paraId="6A7DED94" w14:textId="77777777" w:rsidR="001A4860" w:rsidRPr="001A4860" w:rsidRDefault="001A4860" w:rsidP="001A4860">
      <w:pPr>
        <w:keepNext/>
        <w:outlineLvl w:val="1"/>
        <w:rPr>
          <w:rFonts w:eastAsia="Arial Narrow"/>
          <w:b/>
          <w:bCs/>
          <w:iCs/>
          <w:sz w:val="22"/>
          <w:szCs w:val="22"/>
          <w:lang w:val="es-NI"/>
        </w:rPr>
      </w:pPr>
      <w:bookmarkStart w:id="959" w:name="_Toc23249557"/>
      <w:r w:rsidRPr="001A4860">
        <w:rPr>
          <w:rFonts w:eastAsia="Arial Narrow"/>
          <w:b/>
          <w:bCs/>
          <w:iCs/>
          <w:sz w:val="22"/>
          <w:szCs w:val="22"/>
          <w:lang w:val="es-NI"/>
        </w:rPr>
        <w:t>Medición y pago</w:t>
      </w:r>
      <w:bookmarkEnd w:id="959"/>
    </w:p>
    <w:p w14:paraId="7C1025B2" w14:textId="77777777" w:rsidR="001A4860" w:rsidRPr="001A4860" w:rsidRDefault="001A4860" w:rsidP="001A4860">
      <w:pPr>
        <w:rPr>
          <w:sz w:val="22"/>
          <w:szCs w:val="22"/>
          <w:lang w:val="es-ES" w:eastAsia="es-ES"/>
        </w:rPr>
      </w:pPr>
    </w:p>
    <w:p w14:paraId="12832330" w14:textId="77777777" w:rsidR="001A4860" w:rsidRPr="001A4860" w:rsidRDefault="001A4860" w:rsidP="001A4860">
      <w:pPr>
        <w:rPr>
          <w:sz w:val="22"/>
          <w:szCs w:val="22"/>
          <w:lang w:val="es-ES" w:eastAsia="es-ES"/>
        </w:rPr>
      </w:pPr>
      <w:r w:rsidRPr="001A4860">
        <w:rPr>
          <w:sz w:val="22"/>
          <w:szCs w:val="22"/>
          <w:lang w:val="es-ES" w:eastAsia="es-ES"/>
        </w:rPr>
        <w:t>Los precios unitarios correspondientes a este concepto deben incluir todos los costos implícitos en el suministro e instalación de cada uno de los componentes, conforme lo establecido en estas especificaciones técnicas y resto de documentos contractuales.</w:t>
      </w:r>
    </w:p>
    <w:p w14:paraId="4BE9B64A" w14:textId="77777777" w:rsidR="001A4860" w:rsidRPr="001A4860" w:rsidRDefault="001A4860" w:rsidP="001A4860">
      <w:pPr>
        <w:rPr>
          <w:sz w:val="22"/>
          <w:szCs w:val="22"/>
          <w:lang w:val="es-ES" w:eastAsia="es-ES"/>
        </w:rPr>
      </w:pPr>
    </w:p>
    <w:p w14:paraId="60030428" w14:textId="77777777" w:rsidR="001A4860" w:rsidRPr="001A4860" w:rsidRDefault="001A4860" w:rsidP="001A4860">
      <w:pPr>
        <w:rPr>
          <w:sz w:val="22"/>
          <w:szCs w:val="22"/>
          <w:lang w:val="es-ES" w:eastAsia="es-ES"/>
        </w:rPr>
      </w:pPr>
      <w:r w:rsidRPr="001A4860">
        <w:rPr>
          <w:sz w:val="22"/>
          <w:szCs w:val="22"/>
          <w:lang w:val="es-ES" w:eastAsia="es-ES"/>
        </w:rPr>
        <w:t>Los precios unitarios ofertados por el proveedor en el formato de oferta, deben incluir, sin que esta enumeración sea limitativa: el suministro e instalación de accesorios que garanticen la instalación completa del equipo, las pruebas y trabajos complementarios no detallados en la lista de precios a menos que específicamente sean incluidas bajo otra partida.</w:t>
      </w:r>
    </w:p>
    <w:p w14:paraId="6EC3531C" w14:textId="77777777" w:rsidR="001A4860" w:rsidRPr="001A4860" w:rsidRDefault="001A4860" w:rsidP="001A4860">
      <w:pPr>
        <w:rPr>
          <w:sz w:val="22"/>
          <w:szCs w:val="22"/>
          <w:lang w:val="es-ES" w:eastAsia="es-ES"/>
        </w:rPr>
      </w:pPr>
    </w:p>
    <w:p w14:paraId="56585E8B" w14:textId="77777777" w:rsidR="001A4860" w:rsidRPr="001A4860" w:rsidRDefault="001A4860" w:rsidP="001A4860">
      <w:pPr>
        <w:keepNext/>
        <w:outlineLvl w:val="1"/>
        <w:rPr>
          <w:rFonts w:eastAsia="Arial Narrow"/>
          <w:b/>
          <w:bCs/>
          <w:iCs/>
          <w:sz w:val="22"/>
          <w:szCs w:val="22"/>
          <w:lang w:val="es-NI"/>
        </w:rPr>
      </w:pPr>
      <w:bookmarkStart w:id="960" w:name="_Toc23249558"/>
      <w:r w:rsidRPr="001A4860">
        <w:rPr>
          <w:rFonts w:eastAsia="Arial Narrow"/>
          <w:b/>
          <w:bCs/>
          <w:iCs/>
          <w:sz w:val="22"/>
          <w:szCs w:val="22"/>
          <w:lang w:val="es-NI"/>
        </w:rPr>
        <w:t>Aspectos relevantes de la aplicacion del cloro al agua potable</w:t>
      </w:r>
      <w:bookmarkEnd w:id="960"/>
    </w:p>
    <w:p w14:paraId="172FE0A0" w14:textId="77777777" w:rsidR="001A4860" w:rsidRPr="001A4860" w:rsidRDefault="001A4860" w:rsidP="001A4860">
      <w:pPr>
        <w:rPr>
          <w:sz w:val="22"/>
          <w:szCs w:val="22"/>
          <w:lang w:val="es-ES" w:eastAsia="es-ES"/>
        </w:rPr>
      </w:pPr>
    </w:p>
    <w:p w14:paraId="22C923B5" w14:textId="77777777" w:rsidR="001A4860" w:rsidRPr="001A4860" w:rsidRDefault="001A4860" w:rsidP="001A4860">
      <w:pPr>
        <w:rPr>
          <w:sz w:val="22"/>
          <w:szCs w:val="22"/>
          <w:lang w:val="es-ES" w:eastAsia="es-ES"/>
        </w:rPr>
      </w:pPr>
      <w:r w:rsidRPr="001A4860">
        <w:rPr>
          <w:sz w:val="22"/>
          <w:szCs w:val="22"/>
          <w:lang w:val="es-ES" w:eastAsia="es-ES"/>
        </w:rPr>
        <w:lastRenderedPageBreak/>
        <w:t>La aplicación del cloro es efectuada a través de dispositivos denominados dosificadores de cloro de carga constante (hipocloradores) los cuales suministran solución clorada bajo el efecto de una carga hidráulica constante. La aplicacion clorada se debe efectuar en el tanque de almacenamiento que se construya, en el punto por donde el agua ingresa. Para la aplicación de solución clorada en el tanque, se debe considerar las previsiones y/o precauciones siguientes:</w:t>
      </w:r>
    </w:p>
    <w:p w14:paraId="196B9878" w14:textId="77777777" w:rsidR="001A4860" w:rsidRPr="001A4860" w:rsidRDefault="001A4860" w:rsidP="001A4860">
      <w:pPr>
        <w:rPr>
          <w:sz w:val="22"/>
          <w:szCs w:val="22"/>
          <w:lang w:val="es-ES" w:eastAsia="es-ES"/>
        </w:rPr>
      </w:pPr>
    </w:p>
    <w:p w14:paraId="4FC4F288" w14:textId="77777777" w:rsidR="001A4860" w:rsidRPr="001A4860" w:rsidRDefault="001A4860" w:rsidP="001A4860">
      <w:pPr>
        <w:rPr>
          <w:sz w:val="22"/>
          <w:szCs w:val="22"/>
          <w:lang w:val="es-ES" w:eastAsia="es-ES"/>
        </w:rPr>
      </w:pPr>
      <w:r w:rsidRPr="001A4860">
        <w:rPr>
          <w:sz w:val="22"/>
          <w:szCs w:val="22"/>
          <w:lang w:val="es-ES" w:eastAsia="es-ES"/>
        </w:rPr>
        <w:t>1.- Debe existir escalera de acceso hasta la pequeña plataforma donde está colocado el hipoclorador.</w:t>
      </w:r>
    </w:p>
    <w:p w14:paraId="51993B6C" w14:textId="77777777" w:rsidR="001A4860" w:rsidRPr="001A4860" w:rsidRDefault="001A4860" w:rsidP="001A4860">
      <w:pPr>
        <w:rPr>
          <w:sz w:val="22"/>
          <w:szCs w:val="22"/>
          <w:lang w:val="es-ES" w:eastAsia="es-ES"/>
        </w:rPr>
      </w:pPr>
    </w:p>
    <w:p w14:paraId="7E898D46" w14:textId="77777777" w:rsidR="001A4860" w:rsidRPr="001A4860" w:rsidRDefault="001A4860" w:rsidP="001A4860">
      <w:pPr>
        <w:rPr>
          <w:sz w:val="22"/>
          <w:szCs w:val="22"/>
          <w:lang w:val="es-ES" w:eastAsia="es-ES"/>
        </w:rPr>
      </w:pPr>
      <w:r w:rsidRPr="001A4860">
        <w:rPr>
          <w:sz w:val="22"/>
          <w:szCs w:val="22"/>
          <w:lang w:val="es-ES" w:eastAsia="es-ES"/>
        </w:rPr>
        <w:t>2.- El recipiente que contiene la solucion clorada debe ser de plástico.</w:t>
      </w:r>
    </w:p>
    <w:p w14:paraId="7DFDBDF9" w14:textId="77777777" w:rsidR="001A4860" w:rsidRPr="001A4860" w:rsidRDefault="001A4860" w:rsidP="001A4860">
      <w:pPr>
        <w:rPr>
          <w:sz w:val="22"/>
          <w:szCs w:val="22"/>
          <w:lang w:val="es-ES" w:eastAsia="es-ES"/>
        </w:rPr>
      </w:pPr>
    </w:p>
    <w:p w14:paraId="0A6DE9EE" w14:textId="77777777" w:rsidR="001A4860" w:rsidRPr="001A4860" w:rsidRDefault="001A4860" w:rsidP="001A4860">
      <w:pPr>
        <w:rPr>
          <w:sz w:val="22"/>
          <w:szCs w:val="22"/>
          <w:lang w:val="es-ES" w:eastAsia="es-ES"/>
        </w:rPr>
      </w:pPr>
      <w:r w:rsidRPr="001A4860">
        <w:rPr>
          <w:sz w:val="22"/>
          <w:szCs w:val="22"/>
          <w:lang w:val="es-ES" w:eastAsia="es-ES"/>
        </w:rPr>
        <w:t>3.- Se debe evitar hasta donde sea posible accesorios metálicos en la construcción y operación del dosificador de cloro (hipoclorador).</w:t>
      </w:r>
    </w:p>
    <w:p w14:paraId="35B3F54D" w14:textId="77777777" w:rsidR="001A4860" w:rsidRPr="001A4860" w:rsidRDefault="001A4860" w:rsidP="001A4860">
      <w:pPr>
        <w:rPr>
          <w:sz w:val="22"/>
          <w:szCs w:val="22"/>
          <w:lang w:val="es-ES" w:eastAsia="es-ES"/>
        </w:rPr>
      </w:pPr>
    </w:p>
    <w:p w14:paraId="53D65A65" w14:textId="77777777" w:rsidR="001A4860" w:rsidRPr="001A4860" w:rsidRDefault="001A4860" w:rsidP="001A4860">
      <w:pPr>
        <w:rPr>
          <w:sz w:val="22"/>
          <w:szCs w:val="22"/>
          <w:lang w:val="es-ES" w:eastAsia="es-ES"/>
        </w:rPr>
      </w:pPr>
      <w:r w:rsidRPr="001A4860">
        <w:rPr>
          <w:sz w:val="22"/>
          <w:szCs w:val="22"/>
          <w:lang w:val="es-ES" w:eastAsia="es-ES"/>
        </w:rPr>
        <w:t>4.- La solucion de cloro debe ser preparada a nivel del terrno natural, en las cercanias del tanque y en donde se disponga de agua limpia para su preparación.</w:t>
      </w:r>
    </w:p>
    <w:p w14:paraId="6156C335" w14:textId="77777777" w:rsidR="001A4860" w:rsidRPr="001A4860" w:rsidRDefault="001A4860" w:rsidP="001A4860">
      <w:pPr>
        <w:rPr>
          <w:sz w:val="22"/>
          <w:szCs w:val="22"/>
          <w:lang w:val="es-ES" w:eastAsia="es-ES"/>
        </w:rPr>
      </w:pPr>
    </w:p>
    <w:p w14:paraId="588BC562" w14:textId="77777777" w:rsidR="001A4860" w:rsidRPr="001A4860" w:rsidRDefault="001A4860" w:rsidP="001A4860">
      <w:pPr>
        <w:rPr>
          <w:sz w:val="22"/>
          <w:szCs w:val="22"/>
          <w:lang w:val="es-ES" w:eastAsia="es-ES"/>
        </w:rPr>
      </w:pPr>
      <w:r w:rsidRPr="001A4860">
        <w:rPr>
          <w:sz w:val="22"/>
          <w:szCs w:val="22"/>
          <w:lang w:val="es-ES" w:eastAsia="es-ES"/>
        </w:rPr>
        <w:t>5.- La solución preparada es trasladada por partes hasta el recipiente del hipoclorador tamando los cuidados necesarios de no salpicar con solucion, la ropa y superficies metálicas del tanque.</w:t>
      </w:r>
    </w:p>
    <w:p w14:paraId="0520277B" w14:textId="77777777" w:rsidR="001A4860" w:rsidRPr="001A4860" w:rsidRDefault="001A4860" w:rsidP="001A4860">
      <w:pPr>
        <w:rPr>
          <w:sz w:val="22"/>
          <w:szCs w:val="22"/>
          <w:lang w:val="es-ES" w:eastAsia="es-ES"/>
        </w:rPr>
      </w:pPr>
    </w:p>
    <w:p w14:paraId="3D975C38" w14:textId="77777777" w:rsidR="001A4860" w:rsidRPr="001A4860" w:rsidRDefault="001A4860" w:rsidP="001A4860">
      <w:pPr>
        <w:rPr>
          <w:sz w:val="22"/>
          <w:szCs w:val="22"/>
          <w:lang w:val="es-ES" w:eastAsia="es-ES"/>
        </w:rPr>
      </w:pPr>
      <w:r w:rsidRPr="001A4860">
        <w:rPr>
          <w:sz w:val="22"/>
          <w:szCs w:val="22"/>
          <w:lang w:val="es-ES" w:eastAsia="es-ES"/>
        </w:rPr>
        <w:t>6.- El drenaje del recipiente del hipoclorador, debe tener un tubo bajante de pvc hasta alcanzar la superficie del suelo natural, donde se dispone los residuos a desechar.</w:t>
      </w:r>
    </w:p>
    <w:p w14:paraId="72B9B592" w14:textId="77777777" w:rsidR="001A4860" w:rsidRPr="001A4860" w:rsidRDefault="001A4860" w:rsidP="001A4860">
      <w:pPr>
        <w:rPr>
          <w:sz w:val="22"/>
          <w:szCs w:val="22"/>
          <w:lang w:val="es-ES" w:eastAsia="es-ES"/>
        </w:rPr>
      </w:pPr>
    </w:p>
    <w:p w14:paraId="59778B16" w14:textId="77777777" w:rsidR="001A4860" w:rsidRPr="001A4860" w:rsidRDefault="001A4860" w:rsidP="001A4860">
      <w:pPr>
        <w:rPr>
          <w:sz w:val="22"/>
          <w:szCs w:val="22"/>
          <w:lang w:val="es-ES" w:eastAsia="es-ES"/>
        </w:rPr>
      </w:pPr>
      <w:r w:rsidRPr="001A4860">
        <w:rPr>
          <w:sz w:val="22"/>
          <w:szCs w:val="22"/>
          <w:lang w:val="es-ES" w:eastAsia="es-ES"/>
        </w:rPr>
        <w:t>7.- El cloro debe ser almacenado en un lugar limpio, oscuro y que mantenga una temperatura no mayor de 35 grados centígrados</w:t>
      </w:r>
    </w:p>
    <w:p w14:paraId="5A1FBE4E" w14:textId="77777777" w:rsidR="001A4860" w:rsidRPr="001A4860" w:rsidRDefault="001A4860" w:rsidP="001A4860">
      <w:pPr>
        <w:rPr>
          <w:sz w:val="22"/>
          <w:szCs w:val="22"/>
          <w:lang w:val="es-ES" w:eastAsia="es-ES"/>
        </w:rPr>
      </w:pPr>
    </w:p>
    <w:p w14:paraId="0ED4A515" w14:textId="77777777" w:rsidR="001A4860" w:rsidRPr="001A4860" w:rsidRDefault="001A4860" w:rsidP="001A4860">
      <w:pPr>
        <w:keepNext/>
        <w:outlineLvl w:val="1"/>
        <w:rPr>
          <w:rFonts w:eastAsia="Arial Narrow"/>
          <w:b/>
          <w:bCs/>
          <w:iCs/>
          <w:sz w:val="22"/>
          <w:szCs w:val="22"/>
          <w:lang w:val="es-NI"/>
        </w:rPr>
      </w:pPr>
      <w:bookmarkStart w:id="961" w:name="_Toc23249559"/>
      <w:r w:rsidRPr="001A4860">
        <w:rPr>
          <w:rFonts w:eastAsia="Arial Narrow"/>
          <w:b/>
          <w:bCs/>
          <w:iCs/>
          <w:sz w:val="22"/>
          <w:szCs w:val="22"/>
          <w:lang w:val="es-NI"/>
        </w:rPr>
        <w:t>Preparacion de la solucion de desinfeccion de hipoclorito de calcio. - (caocl)</w:t>
      </w:r>
      <w:bookmarkEnd w:id="961"/>
    </w:p>
    <w:p w14:paraId="0ECDDBF1" w14:textId="77777777" w:rsidR="001A4860" w:rsidRPr="001A4860" w:rsidRDefault="001A4860" w:rsidP="001A4860">
      <w:pPr>
        <w:rPr>
          <w:sz w:val="22"/>
          <w:szCs w:val="22"/>
          <w:lang w:val="es-ES" w:eastAsia="es-ES"/>
        </w:rPr>
      </w:pPr>
    </w:p>
    <w:p w14:paraId="0A7B60B4" w14:textId="77777777" w:rsidR="001A4860" w:rsidRPr="001A4860" w:rsidRDefault="001A4860" w:rsidP="001A4860">
      <w:pPr>
        <w:rPr>
          <w:sz w:val="22"/>
          <w:szCs w:val="22"/>
          <w:lang w:val="es-ES" w:eastAsia="es-ES"/>
        </w:rPr>
      </w:pPr>
      <w:r w:rsidRPr="001A4860">
        <w:rPr>
          <w:sz w:val="22"/>
          <w:szCs w:val="22"/>
          <w:lang w:val="es-ES" w:eastAsia="es-ES"/>
        </w:rPr>
        <w:t>1.- Se pesan 6.77 libras de Ca(ClO)2 al 65 %, se agrega a un recipiente de 20 litros de capacidad y se disuelven en agua, mezclándolo continuamente.</w:t>
      </w:r>
    </w:p>
    <w:p w14:paraId="3A399D0D" w14:textId="77777777" w:rsidR="001A4860" w:rsidRPr="001A4860" w:rsidRDefault="001A4860" w:rsidP="001A4860">
      <w:pPr>
        <w:rPr>
          <w:sz w:val="22"/>
          <w:szCs w:val="22"/>
          <w:lang w:val="es-ES" w:eastAsia="es-ES"/>
        </w:rPr>
      </w:pPr>
    </w:p>
    <w:p w14:paraId="4F4AD663" w14:textId="77777777" w:rsidR="001A4860" w:rsidRPr="001A4860" w:rsidRDefault="001A4860" w:rsidP="001A4860">
      <w:pPr>
        <w:rPr>
          <w:sz w:val="22"/>
          <w:szCs w:val="22"/>
          <w:lang w:val="es-ES" w:eastAsia="es-ES"/>
        </w:rPr>
      </w:pPr>
      <w:r w:rsidRPr="001A4860">
        <w:rPr>
          <w:sz w:val="22"/>
          <w:szCs w:val="22"/>
          <w:lang w:val="es-ES" w:eastAsia="es-ES"/>
        </w:rPr>
        <w:t>2.- Se llena el recipiente de 20 litros con agua hasta la cuarta parte.</w:t>
      </w:r>
    </w:p>
    <w:p w14:paraId="050F6591" w14:textId="77777777" w:rsidR="001A4860" w:rsidRPr="001A4860" w:rsidRDefault="001A4860" w:rsidP="001A4860">
      <w:pPr>
        <w:rPr>
          <w:sz w:val="22"/>
          <w:szCs w:val="22"/>
          <w:lang w:val="es-ES" w:eastAsia="es-ES"/>
        </w:rPr>
      </w:pPr>
    </w:p>
    <w:p w14:paraId="3AB817BC" w14:textId="77777777" w:rsidR="001A4860" w:rsidRPr="001A4860" w:rsidRDefault="001A4860" w:rsidP="001A4860">
      <w:pPr>
        <w:rPr>
          <w:sz w:val="22"/>
          <w:szCs w:val="22"/>
          <w:lang w:val="es-ES" w:eastAsia="es-ES"/>
        </w:rPr>
      </w:pPr>
      <w:r w:rsidRPr="001A4860">
        <w:rPr>
          <w:sz w:val="22"/>
          <w:szCs w:val="22"/>
          <w:lang w:val="es-ES" w:eastAsia="es-ES"/>
        </w:rPr>
        <w:t>3.- Se vierte la solucion de Ca(ClO)2 del recipiente de 20 litros en el recipiente de 250 lts y posteriormente se termina de llenar con agua hasta alcanzar los 200 litros. todo con agitacion continua. Esperar una hora antes de aplicarlo al agua del sedimentador.</w:t>
      </w:r>
    </w:p>
    <w:p w14:paraId="437359A5" w14:textId="77777777" w:rsidR="001A4860" w:rsidRPr="001A4860" w:rsidRDefault="001A4860" w:rsidP="001A4860">
      <w:pPr>
        <w:rPr>
          <w:sz w:val="22"/>
          <w:szCs w:val="22"/>
          <w:lang w:val="es-ES" w:eastAsia="es-ES"/>
        </w:rPr>
      </w:pPr>
    </w:p>
    <w:p w14:paraId="3B42DA52" w14:textId="77777777" w:rsidR="001A4860" w:rsidRPr="001A4860" w:rsidRDefault="001A4860" w:rsidP="001A4860">
      <w:pPr>
        <w:rPr>
          <w:sz w:val="22"/>
          <w:szCs w:val="22"/>
          <w:lang w:val="es-ES" w:eastAsia="es-ES"/>
        </w:rPr>
      </w:pPr>
      <w:r w:rsidRPr="001A4860">
        <w:rPr>
          <w:sz w:val="22"/>
          <w:szCs w:val="22"/>
          <w:lang w:val="es-ES" w:eastAsia="es-ES"/>
        </w:rPr>
        <w:t>4.- Mantener el tanque tapado y agitar con una paleta de madera cada una o dos horas.</w:t>
      </w:r>
    </w:p>
    <w:p w14:paraId="0EBE4B4B" w14:textId="77777777" w:rsidR="001A4860" w:rsidRPr="001A4860" w:rsidRDefault="001A4860" w:rsidP="001A4860">
      <w:pPr>
        <w:rPr>
          <w:sz w:val="22"/>
          <w:szCs w:val="22"/>
          <w:lang w:val="es-ES" w:eastAsia="es-ES"/>
        </w:rPr>
      </w:pPr>
    </w:p>
    <w:p w14:paraId="355B2502" w14:textId="77777777" w:rsidR="001A4860" w:rsidRPr="001A4860" w:rsidRDefault="001A4860" w:rsidP="001A4860">
      <w:pPr>
        <w:rPr>
          <w:sz w:val="22"/>
          <w:szCs w:val="22"/>
          <w:lang w:val="es-ES" w:eastAsia="es-ES"/>
        </w:rPr>
      </w:pPr>
      <w:r w:rsidRPr="001A4860">
        <w:rPr>
          <w:sz w:val="22"/>
          <w:szCs w:val="22"/>
          <w:lang w:val="es-ES" w:eastAsia="es-ES"/>
        </w:rPr>
        <w:t>5.- El tiempo entre preparacion de los 200 lts de cloro, es decir, el tiempo de operacion es de 4.6 dias.</w:t>
      </w:r>
    </w:p>
    <w:p w14:paraId="04A79060" w14:textId="77777777" w:rsidR="001A4860" w:rsidRPr="001A4860" w:rsidRDefault="001A4860" w:rsidP="001A4860">
      <w:pPr>
        <w:rPr>
          <w:sz w:val="22"/>
          <w:szCs w:val="22"/>
          <w:lang w:val="es-ES" w:eastAsia="es-ES"/>
        </w:rPr>
      </w:pPr>
    </w:p>
    <w:p w14:paraId="2B5A73C4" w14:textId="77777777" w:rsidR="001A4860" w:rsidRPr="001A4860" w:rsidRDefault="001A4860" w:rsidP="001A4860">
      <w:pPr>
        <w:rPr>
          <w:sz w:val="22"/>
          <w:szCs w:val="22"/>
          <w:lang w:val="es-ES" w:eastAsia="es-ES"/>
        </w:rPr>
      </w:pPr>
      <w:r w:rsidRPr="001A4860">
        <w:rPr>
          <w:sz w:val="22"/>
          <w:szCs w:val="22"/>
          <w:lang w:val="es-ES" w:eastAsia="es-ES"/>
        </w:rPr>
        <w:t>6.- Ajustar el período de inyeccion de cloro al horario de bombeo dela fuente.</w:t>
      </w:r>
    </w:p>
    <w:p w14:paraId="4817E538" w14:textId="77777777" w:rsidR="001A4860" w:rsidRPr="001A4860" w:rsidRDefault="001A4860" w:rsidP="001A4860">
      <w:pPr>
        <w:rPr>
          <w:sz w:val="22"/>
          <w:szCs w:val="22"/>
          <w:lang w:val="es-ES" w:eastAsia="es-ES"/>
        </w:rPr>
      </w:pPr>
    </w:p>
    <w:p w14:paraId="57C165F7" w14:textId="77777777" w:rsidR="001A4860" w:rsidRPr="001A4860" w:rsidRDefault="001A4860" w:rsidP="001A4860">
      <w:pPr>
        <w:keepNext/>
        <w:outlineLvl w:val="1"/>
        <w:rPr>
          <w:rFonts w:eastAsia="Arial Narrow"/>
          <w:b/>
          <w:bCs/>
          <w:iCs/>
          <w:sz w:val="22"/>
          <w:szCs w:val="22"/>
          <w:lang w:val="es-NI"/>
        </w:rPr>
      </w:pPr>
      <w:bookmarkStart w:id="962" w:name="_Toc23249560"/>
      <w:r w:rsidRPr="001A4860">
        <w:rPr>
          <w:rFonts w:eastAsia="Arial Narrow"/>
          <w:b/>
          <w:bCs/>
          <w:iCs/>
          <w:sz w:val="22"/>
          <w:szCs w:val="22"/>
          <w:lang w:val="es-NI"/>
        </w:rPr>
        <w:t>Precauciones para el operador</w:t>
      </w:r>
      <w:bookmarkEnd w:id="962"/>
    </w:p>
    <w:p w14:paraId="31719FA8" w14:textId="77777777" w:rsidR="001A4860" w:rsidRPr="001A4860" w:rsidRDefault="001A4860" w:rsidP="001A4860">
      <w:pPr>
        <w:rPr>
          <w:sz w:val="22"/>
          <w:szCs w:val="22"/>
          <w:lang w:val="es-ES" w:eastAsia="es-ES"/>
        </w:rPr>
      </w:pPr>
    </w:p>
    <w:p w14:paraId="6F06AB39" w14:textId="77777777" w:rsidR="001A4860" w:rsidRPr="001A4860" w:rsidRDefault="001A4860" w:rsidP="001A4860">
      <w:pPr>
        <w:rPr>
          <w:sz w:val="22"/>
          <w:szCs w:val="22"/>
          <w:lang w:val="es-ES" w:eastAsia="es-ES"/>
        </w:rPr>
      </w:pPr>
      <w:r w:rsidRPr="001A4860">
        <w:rPr>
          <w:sz w:val="22"/>
          <w:szCs w:val="22"/>
          <w:lang w:val="es-ES" w:eastAsia="es-ES"/>
        </w:rPr>
        <w:t>Protegerse con el material siguiente:</w:t>
      </w:r>
    </w:p>
    <w:p w14:paraId="6DE39693" w14:textId="77777777" w:rsidR="001A4860" w:rsidRPr="001A4860" w:rsidRDefault="001A4860" w:rsidP="001A4860">
      <w:pPr>
        <w:rPr>
          <w:sz w:val="22"/>
          <w:szCs w:val="22"/>
          <w:lang w:val="es-ES" w:eastAsia="es-ES"/>
        </w:rPr>
      </w:pPr>
      <w:r w:rsidRPr="001A4860">
        <w:rPr>
          <w:sz w:val="22"/>
          <w:szCs w:val="22"/>
          <w:lang w:val="es-ES" w:eastAsia="es-ES"/>
        </w:rPr>
        <w:t>a.- Anteojos de Proteccion</w:t>
      </w:r>
    </w:p>
    <w:p w14:paraId="4F1482C2" w14:textId="77777777" w:rsidR="001A4860" w:rsidRPr="001A4860" w:rsidRDefault="001A4860" w:rsidP="001A4860">
      <w:pPr>
        <w:rPr>
          <w:sz w:val="22"/>
          <w:szCs w:val="22"/>
          <w:lang w:val="es-ES" w:eastAsia="es-ES"/>
        </w:rPr>
      </w:pPr>
      <w:r w:rsidRPr="001A4860">
        <w:rPr>
          <w:sz w:val="22"/>
          <w:szCs w:val="22"/>
          <w:lang w:val="es-ES" w:eastAsia="es-ES"/>
        </w:rPr>
        <w:t>b.- Guantes de Hule</w:t>
      </w:r>
    </w:p>
    <w:p w14:paraId="60E921F8" w14:textId="77777777" w:rsidR="001A4860" w:rsidRPr="001A4860" w:rsidRDefault="001A4860" w:rsidP="001A4860">
      <w:pPr>
        <w:rPr>
          <w:sz w:val="22"/>
          <w:szCs w:val="22"/>
          <w:lang w:val="es-ES" w:eastAsia="es-ES"/>
        </w:rPr>
      </w:pPr>
      <w:r w:rsidRPr="001A4860">
        <w:rPr>
          <w:sz w:val="22"/>
          <w:szCs w:val="22"/>
          <w:lang w:val="es-ES" w:eastAsia="es-ES"/>
        </w:rPr>
        <w:t>c.- Delantal Plástico</w:t>
      </w:r>
    </w:p>
    <w:p w14:paraId="6AC90A99" w14:textId="77777777" w:rsidR="001A4860" w:rsidRPr="001A4860" w:rsidRDefault="001A4860" w:rsidP="001A4860">
      <w:pPr>
        <w:rPr>
          <w:sz w:val="22"/>
          <w:szCs w:val="22"/>
          <w:lang w:val="es-ES" w:eastAsia="es-ES"/>
        </w:rPr>
      </w:pPr>
      <w:r w:rsidRPr="001A4860">
        <w:rPr>
          <w:sz w:val="22"/>
          <w:szCs w:val="22"/>
          <w:lang w:val="es-ES" w:eastAsia="es-ES"/>
        </w:rPr>
        <w:t>d.- Botas de HuleI</w:t>
      </w:r>
    </w:p>
    <w:p w14:paraId="3DA871D0" w14:textId="77777777" w:rsidR="001A4860" w:rsidRPr="001A4860" w:rsidRDefault="001A4860" w:rsidP="001A4860">
      <w:pPr>
        <w:rPr>
          <w:sz w:val="22"/>
          <w:szCs w:val="22"/>
          <w:lang w:val="es-ES" w:eastAsia="es-ES"/>
        </w:rPr>
      </w:pPr>
    </w:p>
    <w:p w14:paraId="02231780" w14:textId="77777777" w:rsidR="001A4860" w:rsidRPr="001A4860" w:rsidRDefault="001A4860" w:rsidP="001A4860">
      <w:pPr>
        <w:keepNext/>
        <w:outlineLvl w:val="1"/>
        <w:rPr>
          <w:rFonts w:eastAsia="Arial Narrow"/>
          <w:b/>
          <w:bCs/>
          <w:iCs/>
          <w:sz w:val="22"/>
          <w:szCs w:val="22"/>
          <w:lang w:val="es-NI"/>
        </w:rPr>
      </w:pPr>
      <w:bookmarkStart w:id="963" w:name="_Toc23249561"/>
      <w:r w:rsidRPr="001A4860">
        <w:rPr>
          <w:rFonts w:eastAsia="Arial Narrow"/>
          <w:b/>
          <w:bCs/>
          <w:iCs/>
          <w:sz w:val="22"/>
          <w:szCs w:val="22"/>
          <w:lang w:val="es-NI"/>
        </w:rPr>
        <w:lastRenderedPageBreak/>
        <w:t>Precaución</w:t>
      </w:r>
      <w:bookmarkEnd w:id="963"/>
    </w:p>
    <w:p w14:paraId="1749424C" w14:textId="77777777" w:rsidR="001A4860" w:rsidRPr="001A4860" w:rsidRDefault="001A4860" w:rsidP="001A4860">
      <w:pPr>
        <w:rPr>
          <w:sz w:val="22"/>
          <w:szCs w:val="22"/>
          <w:lang w:val="es-ES" w:eastAsia="es-ES"/>
        </w:rPr>
      </w:pPr>
    </w:p>
    <w:p w14:paraId="70812B4F" w14:textId="77777777" w:rsidR="001A4860" w:rsidRPr="001A4860" w:rsidRDefault="001A4860" w:rsidP="001A4860">
      <w:pPr>
        <w:rPr>
          <w:sz w:val="22"/>
          <w:szCs w:val="22"/>
          <w:lang w:val="es-ES" w:eastAsia="es-ES"/>
        </w:rPr>
      </w:pPr>
      <w:r w:rsidRPr="001A4860">
        <w:rPr>
          <w:sz w:val="22"/>
          <w:szCs w:val="22"/>
          <w:lang w:val="es-ES" w:eastAsia="es-ES"/>
        </w:rPr>
        <w:t>Si el operador de la solución, se salpica la piel o la vista, lavarse inmediatamente con abundante agua y cuando se trate de la vista, luego visite al médico.</w:t>
      </w:r>
    </w:p>
    <w:p w14:paraId="26677468" w14:textId="77777777" w:rsidR="001A4860" w:rsidRPr="001A4860" w:rsidRDefault="001A4860" w:rsidP="001A4860">
      <w:pPr>
        <w:rPr>
          <w:sz w:val="22"/>
          <w:szCs w:val="22"/>
          <w:lang w:val="es-ES" w:eastAsia="es-ES"/>
        </w:rPr>
      </w:pPr>
    </w:p>
    <w:p w14:paraId="69E97340" w14:textId="77777777" w:rsidR="001A4860" w:rsidRPr="001A4860" w:rsidRDefault="001A4860" w:rsidP="001A4860">
      <w:pPr>
        <w:rPr>
          <w:sz w:val="22"/>
          <w:szCs w:val="22"/>
          <w:lang w:val="es-ES" w:eastAsia="es-ES"/>
        </w:rPr>
      </w:pPr>
    </w:p>
    <w:p w14:paraId="3BF7444E" w14:textId="77777777" w:rsidR="001A4860" w:rsidRPr="001A4860" w:rsidRDefault="001A4860" w:rsidP="001A4860">
      <w:pPr>
        <w:rPr>
          <w:sz w:val="22"/>
          <w:szCs w:val="22"/>
          <w:lang w:val="es-ES" w:eastAsia="es-ES"/>
        </w:rPr>
      </w:pPr>
    </w:p>
    <w:p w14:paraId="180426F3" w14:textId="77777777" w:rsidR="001A4860" w:rsidRPr="001A4860" w:rsidRDefault="001A4860" w:rsidP="001A4860">
      <w:pPr>
        <w:keepNext/>
        <w:keepLines/>
        <w:outlineLvl w:val="0"/>
        <w:rPr>
          <w:b/>
          <w:sz w:val="22"/>
          <w:szCs w:val="22"/>
          <w:lang w:val="es-ES" w:eastAsia="es-ES"/>
        </w:rPr>
      </w:pPr>
      <w:bookmarkStart w:id="964" w:name="_Toc195479234"/>
      <w:bookmarkStart w:id="965" w:name="_Toc234745664"/>
      <w:bookmarkStart w:id="966" w:name="_Toc295977200"/>
      <w:bookmarkStart w:id="967" w:name="_Toc475371339"/>
      <w:bookmarkStart w:id="968" w:name="_Toc481596337"/>
      <w:bookmarkStart w:id="969" w:name="_Toc492981662"/>
      <w:bookmarkStart w:id="970" w:name="_Toc23249562"/>
      <w:bookmarkEnd w:id="439"/>
      <w:bookmarkEnd w:id="440"/>
      <w:bookmarkEnd w:id="441"/>
      <w:bookmarkEnd w:id="442"/>
      <w:bookmarkEnd w:id="443"/>
      <w:bookmarkEnd w:id="444"/>
      <w:r w:rsidRPr="001A4860">
        <w:rPr>
          <w:b/>
          <w:sz w:val="22"/>
          <w:szCs w:val="22"/>
          <w:lang w:val="es-ES" w:eastAsia="es-ES"/>
        </w:rPr>
        <w:t>ESPECIFICACIONES TÉCNICAS PARA INSTALACIÓN DE CONEXION DOMICILIAR</w:t>
      </w:r>
      <w:bookmarkEnd w:id="964"/>
      <w:bookmarkEnd w:id="965"/>
      <w:bookmarkEnd w:id="966"/>
      <w:bookmarkEnd w:id="967"/>
      <w:bookmarkEnd w:id="968"/>
      <w:bookmarkEnd w:id="969"/>
      <w:bookmarkEnd w:id="970"/>
    </w:p>
    <w:p w14:paraId="7256FE1C" w14:textId="77777777" w:rsidR="001A4860" w:rsidRPr="001A4860" w:rsidRDefault="001A4860" w:rsidP="001A4860">
      <w:pPr>
        <w:rPr>
          <w:sz w:val="22"/>
          <w:szCs w:val="22"/>
          <w:lang w:val="es-ES" w:eastAsia="es-ES"/>
        </w:rPr>
      </w:pPr>
    </w:p>
    <w:p w14:paraId="0E5F5D1B" w14:textId="77777777" w:rsidR="001A4860" w:rsidRPr="001A4860" w:rsidRDefault="001A4860" w:rsidP="001A4860">
      <w:pPr>
        <w:keepNext/>
        <w:outlineLvl w:val="1"/>
        <w:rPr>
          <w:rFonts w:eastAsia="Arial Narrow"/>
          <w:b/>
          <w:bCs/>
          <w:iCs/>
          <w:sz w:val="22"/>
          <w:szCs w:val="22"/>
          <w:lang w:val="es-NI"/>
        </w:rPr>
      </w:pPr>
      <w:bookmarkStart w:id="971" w:name="_Toc195479235"/>
      <w:bookmarkStart w:id="972" w:name="_Toc234745665"/>
      <w:bookmarkStart w:id="973" w:name="_Toc295977201"/>
      <w:bookmarkStart w:id="974" w:name="_Toc475371340"/>
      <w:bookmarkStart w:id="975" w:name="_Toc481596338"/>
      <w:bookmarkStart w:id="976" w:name="_Toc492981663"/>
      <w:bookmarkStart w:id="977" w:name="_Toc23249563"/>
      <w:r w:rsidRPr="001A4860">
        <w:rPr>
          <w:rFonts w:eastAsia="Arial Narrow"/>
          <w:b/>
          <w:bCs/>
          <w:iCs/>
          <w:sz w:val="22"/>
          <w:szCs w:val="22"/>
          <w:lang w:val="es-NI"/>
        </w:rPr>
        <w:t>Trabajo Comprendido</w:t>
      </w:r>
      <w:bookmarkEnd w:id="971"/>
      <w:bookmarkEnd w:id="972"/>
      <w:bookmarkEnd w:id="973"/>
      <w:bookmarkEnd w:id="974"/>
      <w:bookmarkEnd w:id="975"/>
      <w:bookmarkEnd w:id="976"/>
      <w:bookmarkEnd w:id="977"/>
    </w:p>
    <w:p w14:paraId="7B837BB1" w14:textId="77777777" w:rsidR="001A4860" w:rsidRPr="001A4860" w:rsidRDefault="001A4860" w:rsidP="001A4860">
      <w:pPr>
        <w:rPr>
          <w:b/>
          <w:sz w:val="22"/>
          <w:szCs w:val="22"/>
          <w:lang w:val="es-ES" w:eastAsia="es-ES"/>
        </w:rPr>
      </w:pPr>
    </w:p>
    <w:p w14:paraId="7E2D3FEA" w14:textId="77777777" w:rsidR="001A4860" w:rsidRPr="001A4860" w:rsidRDefault="001A4860" w:rsidP="001A4860">
      <w:pPr>
        <w:rPr>
          <w:sz w:val="22"/>
          <w:szCs w:val="22"/>
          <w:lang w:val="es-ES" w:eastAsia="es-ES"/>
        </w:rPr>
      </w:pPr>
      <w:r w:rsidRPr="001A4860">
        <w:rPr>
          <w:sz w:val="22"/>
          <w:szCs w:val="22"/>
          <w:lang w:val="es-ES" w:eastAsia="es-ES"/>
        </w:rPr>
        <w:t>Comprende el suministro de todos los materiales, herramientas, equipo, transporte y mano de obra necesaria para instalar conexiones domiciliares y relocalización de conexiones domiciliares existentes, según esquema mostrado en los planos.</w:t>
      </w:r>
    </w:p>
    <w:p w14:paraId="28F9F5B6" w14:textId="77777777" w:rsidR="001A4860" w:rsidRPr="001A4860" w:rsidRDefault="001A4860" w:rsidP="001A4860">
      <w:pPr>
        <w:rPr>
          <w:sz w:val="22"/>
          <w:szCs w:val="22"/>
          <w:lang w:val="es-ES" w:eastAsia="es-ES"/>
        </w:rPr>
      </w:pPr>
    </w:p>
    <w:p w14:paraId="18540AC8" w14:textId="77777777" w:rsidR="001A4860" w:rsidRPr="001A4860" w:rsidRDefault="001A4860" w:rsidP="001A4860">
      <w:pPr>
        <w:rPr>
          <w:sz w:val="22"/>
          <w:szCs w:val="22"/>
          <w:lang w:val="es-ES" w:eastAsia="es-ES"/>
        </w:rPr>
      </w:pPr>
      <w:r w:rsidRPr="001A4860">
        <w:rPr>
          <w:sz w:val="22"/>
          <w:szCs w:val="22"/>
          <w:lang w:val="es-ES" w:eastAsia="es-ES"/>
        </w:rPr>
        <w:t xml:space="preserve"> El Contratista debe realizar por su propia cuenta las localizaciones y descubrimiento de tubería existente, excavación y relleno, compactación, remoción de agua, instalación de la conexión, restauración de la superficie a su estado original y todo lo necesario para dejar un trabajo completamente terminado a satisfacción de La Alcaldía.</w:t>
      </w:r>
    </w:p>
    <w:p w14:paraId="6B2E4EF4" w14:textId="77777777" w:rsidR="001A4860" w:rsidRPr="001A4860" w:rsidRDefault="001A4860" w:rsidP="001A4860">
      <w:pPr>
        <w:rPr>
          <w:sz w:val="22"/>
          <w:szCs w:val="22"/>
          <w:lang w:val="es-ES" w:eastAsia="es-ES"/>
        </w:rPr>
      </w:pPr>
    </w:p>
    <w:p w14:paraId="6A97DE99" w14:textId="77777777" w:rsidR="001A4860" w:rsidRPr="001A4860" w:rsidRDefault="001A4860" w:rsidP="001A4860">
      <w:pPr>
        <w:keepNext/>
        <w:outlineLvl w:val="1"/>
        <w:rPr>
          <w:rFonts w:eastAsia="Arial Narrow"/>
          <w:b/>
          <w:bCs/>
          <w:iCs/>
          <w:sz w:val="22"/>
          <w:szCs w:val="22"/>
          <w:lang w:val="es-NI"/>
        </w:rPr>
      </w:pPr>
      <w:bookmarkStart w:id="978" w:name="_Toc475371341"/>
      <w:bookmarkStart w:id="979" w:name="_Toc481596339"/>
      <w:bookmarkStart w:id="980" w:name="_Toc492981664"/>
      <w:bookmarkStart w:id="981" w:name="_Toc23249564"/>
      <w:r w:rsidRPr="001A4860">
        <w:rPr>
          <w:rFonts w:eastAsia="Arial Narrow"/>
          <w:b/>
          <w:bCs/>
          <w:iCs/>
          <w:sz w:val="22"/>
          <w:szCs w:val="22"/>
          <w:lang w:val="es-NI"/>
        </w:rPr>
        <w:t>Materiales</w:t>
      </w:r>
      <w:bookmarkEnd w:id="978"/>
      <w:bookmarkEnd w:id="979"/>
      <w:bookmarkEnd w:id="980"/>
      <w:bookmarkEnd w:id="981"/>
    </w:p>
    <w:p w14:paraId="5F438C71" w14:textId="77777777" w:rsidR="001A4860" w:rsidRPr="001A4860" w:rsidRDefault="001A4860" w:rsidP="001A4860">
      <w:pPr>
        <w:rPr>
          <w:sz w:val="22"/>
          <w:szCs w:val="22"/>
          <w:lang w:val="es-ES" w:eastAsia="es-ES"/>
        </w:rPr>
      </w:pPr>
    </w:p>
    <w:p w14:paraId="3D6FA45E" w14:textId="77777777" w:rsidR="001A4860" w:rsidRPr="001A4860" w:rsidRDefault="001A4860" w:rsidP="001A4860">
      <w:pPr>
        <w:rPr>
          <w:sz w:val="22"/>
          <w:szCs w:val="22"/>
          <w:lang w:val="es-ES" w:eastAsia="es-ES"/>
        </w:rPr>
      </w:pPr>
      <w:r w:rsidRPr="001A4860">
        <w:rPr>
          <w:sz w:val="22"/>
          <w:szCs w:val="22"/>
          <w:lang w:val="es-ES" w:eastAsia="es-ES"/>
        </w:rPr>
        <w:t xml:space="preserve">Los matariles a necesitar se mencionan a continuación </w:t>
      </w:r>
    </w:p>
    <w:p w14:paraId="7F017167" w14:textId="77777777" w:rsidR="001A4860" w:rsidRPr="001A4860" w:rsidRDefault="001A4860" w:rsidP="001A4860">
      <w:pPr>
        <w:rPr>
          <w:sz w:val="22"/>
          <w:szCs w:val="22"/>
          <w:lang w:val="es-ES" w:eastAsia="es-ES"/>
        </w:rPr>
      </w:pPr>
    </w:p>
    <w:p w14:paraId="756872A7" w14:textId="77777777" w:rsidR="001A4860" w:rsidRPr="001A4860" w:rsidRDefault="001A4860" w:rsidP="001A4860">
      <w:pPr>
        <w:keepNext/>
        <w:ind w:left="720" w:hanging="720"/>
        <w:outlineLvl w:val="2"/>
        <w:rPr>
          <w:rFonts w:eastAsia="Arial Narrow"/>
          <w:b/>
          <w:bCs/>
          <w:iCs/>
          <w:sz w:val="22"/>
          <w:szCs w:val="22"/>
          <w:lang w:val="es-ES" w:bidi="en-US"/>
        </w:rPr>
      </w:pPr>
      <w:bookmarkStart w:id="982" w:name="_Toc195479237"/>
      <w:bookmarkStart w:id="983" w:name="_Toc234745667"/>
      <w:bookmarkStart w:id="984" w:name="_Toc295977202"/>
      <w:bookmarkStart w:id="985" w:name="_Toc475371342"/>
      <w:bookmarkStart w:id="986" w:name="_Toc481596340"/>
      <w:bookmarkStart w:id="987" w:name="_Toc492981665"/>
      <w:bookmarkStart w:id="988" w:name="_Toc23249565"/>
      <w:r w:rsidRPr="001A4860">
        <w:rPr>
          <w:rFonts w:eastAsia="Arial Narrow"/>
          <w:b/>
          <w:bCs/>
          <w:iCs/>
          <w:sz w:val="22"/>
          <w:szCs w:val="22"/>
          <w:lang w:val="es-ES" w:bidi="en-US"/>
        </w:rPr>
        <w:t>Medidor domiciliar de agua</w:t>
      </w:r>
      <w:bookmarkEnd w:id="982"/>
      <w:bookmarkEnd w:id="983"/>
      <w:bookmarkEnd w:id="984"/>
      <w:bookmarkEnd w:id="985"/>
      <w:bookmarkEnd w:id="986"/>
      <w:bookmarkEnd w:id="987"/>
      <w:bookmarkEnd w:id="988"/>
    </w:p>
    <w:p w14:paraId="430362C9" w14:textId="77777777" w:rsidR="001A4860" w:rsidRPr="001A4860" w:rsidRDefault="001A4860" w:rsidP="001A4860">
      <w:pPr>
        <w:rPr>
          <w:b/>
          <w:sz w:val="22"/>
          <w:szCs w:val="22"/>
          <w:lang w:val="es-ES" w:eastAsia="es-ES"/>
        </w:rPr>
      </w:pPr>
    </w:p>
    <w:p w14:paraId="73F18512" w14:textId="77777777" w:rsidR="001A4860" w:rsidRPr="001A4860" w:rsidRDefault="001A4860" w:rsidP="001A4860">
      <w:pPr>
        <w:rPr>
          <w:sz w:val="22"/>
          <w:szCs w:val="22"/>
          <w:lang w:val="es-ES" w:eastAsia="es-ES"/>
        </w:rPr>
      </w:pPr>
      <w:r w:rsidRPr="001A4860">
        <w:rPr>
          <w:sz w:val="22"/>
          <w:szCs w:val="22"/>
          <w:lang w:val="es-ES" w:eastAsia="es-ES"/>
        </w:rPr>
        <w:t>Los medidores domiciliares son del tipo de velocidad de chorro múltiple, de lectura recta en sistema métrico, con cuerpo de bronce, tapa de plástico o de latón, registro del tipo seco, con regulador, de las dimensiones y capacidades requeridas, y garantizado para un funcionamiento ininterrumpido de cinco (5) Años.</w:t>
      </w:r>
    </w:p>
    <w:p w14:paraId="138AEB65" w14:textId="77777777" w:rsidR="001A4860" w:rsidRPr="001A4860" w:rsidRDefault="001A4860" w:rsidP="001A4860">
      <w:pPr>
        <w:rPr>
          <w:sz w:val="22"/>
          <w:szCs w:val="22"/>
          <w:lang w:val="es-ES" w:eastAsia="es-ES"/>
        </w:rPr>
      </w:pPr>
    </w:p>
    <w:p w14:paraId="53752BE0" w14:textId="77777777" w:rsidR="001A4860" w:rsidRPr="001A4860" w:rsidRDefault="001A4860" w:rsidP="001A4860">
      <w:pPr>
        <w:rPr>
          <w:sz w:val="22"/>
          <w:szCs w:val="22"/>
          <w:lang w:val="es-ES" w:eastAsia="es-ES"/>
        </w:rPr>
      </w:pPr>
      <w:r w:rsidRPr="001A4860">
        <w:rPr>
          <w:sz w:val="22"/>
          <w:szCs w:val="22"/>
          <w:lang w:val="es-ES" w:eastAsia="es-ES"/>
        </w:rPr>
        <w:t>Todos los medidores suministrados deben llenar las siguientes especificaciones:</w:t>
      </w:r>
    </w:p>
    <w:p w14:paraId="51211454" w14:textId="77777777" w:rsidR="001A4860" w:rsidRPr="001A4860" w:rsidRDefault="001A4860" w:rsidP="001A4860">
      <w:pPr>
        <w:rPr>
          <w:sz w:val="22"/>
          <w:szCs w:val="22"/>
          <w:lang w:val="es-ES" w:eastAsia="es-ES"/>
        </w:rPr>
      </w:pPr>
    </w:p>
    <w:p w14:paraId="7D15C031"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t>El tipo es: de velocidad de chorro múltiple, clase B.</w:t>
      </w:r>
    </w:p>
    <w:p w14:paraId="467B044C" w14:textId="77777777" w:rsidR="001A4860" w:rsidRPr="001A4860" w:rsidRDefault="001A4860" w:rsidP="001A4860">
      <w:pPr>
        <w:ind w:left="708"/>
        <w:rPr>
          <w:sz w:val="22"/>
          <w:szCs w:val="22"/>
          <w:lang w:val="es-ES" w:eastAsia="es-ES"/>
        </w:rPr>
      </w:pPr>
    </w:p>
    <w:p w14:paraId="7860B20B"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t>La transmisión magnética debe asegurar la separación total entre la cámara de medición (parte húmeda del medio) y la cápsula del registro (parte seca).</w:t>
      </w:r>
    </w:p>
    <w:p w14:paraId="309B596A" w14:textId="77777777" w:rsidR="001A4860" w:rsidRPr="001A4860" w:rsidRDefault="001A4860" w:rsidP="001A4860">
      <w:pPr>
        <w:ind w:left="708"/>
        <w:rPr>
          <w:sz w:val="22"/>
          <w:szCs w:val="22"/>
          <w:lang w:val="es-ES" w:eastAsia="es-ES"/>
        </w:rPr>
      </w:pPr>
    </w:p>
    <w:p w14:paraId="52C21671"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t>Debe tener registro, cápsula y anillo de sujeción del tipo seco, protegido en una cápsula, de cierre hermético a la humedad y el polvo, que no presente vaho al funcionar y con garantía de funcionamiento no menor de cinco años (lo cual debe ser indicado en la oferta y confirmado en el contrato). Si se presentan fallas dentro del período de garantía, el fabricante debe reemplazar el registro sin costo alguno para el dueño.</w:t>
      </w:r>
    </w:p>
    <w:p w14:paraId="7AE3CC35" w14:textId="77777777" w:rsidR="001A4860" w:rsidRPr="001A4860" w:rsidRDefault="001A4860" w:rsidP="001A4860">
      <w:pPr>
        <w:ind w:left="708"/>
        <w:rPr>
          <w:sz w:val="22"/>
          <w:szCs w:val="22"/>
          <w:lang w:val="es-ES" w:eastAsia="es-ES"/>
        </w:rPr>
      </w:pPr>
    </w:p>
    <w:p w14:paraId="101E0152"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t>El plástico utilizado en las piezas del registro debe ser de buena calidad, para que no sufra deformaciones dentro de las temperaturas límites, o se dañe por las condiciones de trabajo e instalación del medidor. La parte superior de la cápsula es de vidrio o de plástico de ingeniería, de alta resistencia al impacto y a la abrasión. La base de la cápsula puede ser de aleación de bronce o de plástico resistente.</w:t>
      </w:r>
    </w:p>
    <w:p w14:paraId="6A256833" w14:textId="77777777" w:rsidR="001A4860" w:rsidRPr="001A4860" w:rsidRDefault="001A4860" w:rsidP="001A4860">
      <w:pPr>
        <w:ind w:left="708"/>
        <w:rPr>
          <w:sz w:val="22"/>
          <w:szCs w:val="22"/>
          <w:lang w:val="es-ES" w:eastAsia="es-ES"/>
        </w:rPr>
      </w:pPr>
    </w:p>
    <w:p w14:paraId="381B5C52"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lastRenderedPageBreak/>
        <w:t xml:space="preserve">La cápsula está firmemente unida al cuerpo del medidor, mediante un anillo de sujeción con un sistema de cierre que dificulte su remoción, para que no pueda ser removida, a menos que el medidor sea removido de la línea y que se parte superior sea también removida, rompiendo el sello de alambre que lo protege. </w:t>
      </w:r>
    </w:p>
    <w:p w14:paraId="0CB18FEE" w14:textId="77777777" w:rsidR="001A4860" w:rsidRPr="001A4860" w:rsidRDefault="001A4860" w:rsidP="001A4860">
      <w:pPr>
        <w:ind w:left="708"/>
        <w:rPr>
          <w:sz w:val="22"/>
          <w:szCs w:val="22"/>
          <w:lang w:val="es-ES" w:eastAsia="es-ES"/>
        </w:rPr>
      </w:pPr>
    </w:p>
    <w:p w14:paraId="12EB64A5"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t>Con respecto a las conexiones y roscas, todos los medidores tienen sus bocas de unión solidarias al cuerpo y están previstas de rosca macho rectas, conforme a las normas de la American Nacional Standard Institute (ANSI – 8.2.1).</w:t>
      </w:r>
    </w:p>
    <w:p w14:paraId="6B80D6D8" w14:textId="77777777" w:rsidR="001A4860" w:rsidRPr="001A4860" w:rsidRDefault="001A4860" w:rsidP="001A4860">
      <w:pPr>
        <w:ind w:left="708"/>
        <w:rPr>
          <w:sz w:val="22"/>
          <w:szCs w:val="22"/>
          <w:lang w:val="es-ES" w:eastAsia="es-ES"/>
        </w:rPr>
      </w:pPr>
    </w:p>
    <w:p w14:paraId="48BF128E" w14:textId="77777777" w:rsidR="001A4860" w:rsidRPr="001A4860" w:rsidRDefault="001A4860" w:rsidP="003B68DB">
      <w:pPr>
        <w:numPr>
          <w:ilvl w:val="0"/>
          <w:numId w:val="162"/>
        </w:numPr>
        <w:contextualSpacing/>
        <w:rPr>
          <w:sz w:val="22"/>
          <w:szCs w:val="22"/>
          <w:lang w:val="es-ES" w:eastAsia="es-ES"/>
        </w:rPr>
      </w:pPr>
      <w:r w:rsidRPr="001A4860">
        <w:rPr>
          <w:sz w:val="22"/>
          <w:szCs w:val="22"/>
          <w:lang w:val="es-ES" w:eastAsia="es-ES"/>
        </w:rPr>
        <w:t>El medidor está provisto de un filtro (strainer) de plástico u otro material apropiado, localizado en la boca de entrada, que debe ser rígido y de fácil remoción.</w:t>
      </w:r>
    </w:p>
    <w:p w14:paraId="6537B59D" w14:textId="77777777" w:rsidR="001A4860" w:rsidRPr="001A4860" w:rsidRDefault="001A4860" w:rsidP="001A4860">
      <w:pPr>
        <w:rPr>
          <w:sz w:val="22"/>
          <w:szCs w:val="22"/>
          <w:lang w:val="es-ES" w:eastAsia="es-ES"/>
        </w:rPr>
      </w:pPr>
    </w:p>
    <w:p w14:paraId="253F34AF" w14:textId="77777777" w:rsidR="001A4860" w:rsidRPr="001A4860" w:rsidRDefault="001A4860" w:rsidP="001A4860">
      <w:pPr>
        <w:keepNext/>
        <w:ind w:left="720" w:hanging="720"/>
        <w:outlineLvl w:val="2"/>
        <w:rPr>
          <w:rFonts w:eastAsia="Arial Narrow"/>
          <w:b/>
          <w:bCs/>
          <w:iCs/>
          <w:sz w:val="22"/>
          <w:szCs w:val="22"/>
          <w:lang w:val="es-ES" w:bidi="en-US"/>
        </w:rPr>
      </w:pPr>
      <w:bookmarkStart w:id="989" w:name="_Toc195479238"/>
      <w:bookmarkStart w:id="990" w:name="_Toc234745668"/>
      <w:bookmarkStart w:id="991" w:name="_Toc295977203"/>
      <w:bookmarkStart w:id="992" w:name="_Toc475371343"/>
      <w:bookmarkStart w:id="993" w:name="_Toc481596341"/>
      <w:bookmarkStart w:id="994" w:name="_Toc492981666"/>
      <w:bookmarkStart w:id="995" w:name="_Toc23249566"/>
      <w:r w:rsidRPr="001A4860">
        <w:rPr>
          <w:rFonts w:eastAsia="Arial Narrow"/>
          <w:b/>
          <w:bCs/>
          <w:iCs/>
          <w:sz w:val="22"/>
          <w:szCs w:val="22"/>
          <w:lang w:val="es-ES" w:bidi="en-US"/>
        </w:rPr>
        <w:t xml:space="preserve">Tuberías </w:t>
      </w:r>
      <w:bookmarkEnd w:id="989"/>
      <w:bookmarkEnd w:id="990"/>
      <w:bookmarkEnd w:id="991"/>
      <w:r w:rsidRPr="001A4860">
        <w:rPr>
          <w:rFonts w:eastAsia="Arial Narrow"/>
          <w:b/>
          <w:bCs/>
          <w:iCs/>
          <w:sz w:val="22"/>
          <w:szCs w:val="22"/>
          <w:lang w:val="es-ES" w:bidi="en-US"/>
        </w:rPr>
        <w:t>y Accesorio</w:t>
      </w:r>
      <w:bookmarkEnd w:id="992"/>
      <w:bookmarkEnd w:id="993"/>
      <w:bookmarkEnd w:id="994"/>
      <w:bookmarkEnd w:id="995"/>
    </w:p>
    <w:p w14:paraId="04D4DF97" w14:textId="77777777" w:rsidR="001A4860" w:rsidRPr="001A4860" w:rsidRDefault="001A4860" w:rsidP="001A4860">
      <w:pPr>
        <w:rPr>
          <w:b/>
          <w:sz w:val="22"/>
          <w:szCs w:val="22"/>
          <w:lang w:val="es-ES" w:eastAsia="es-ES"/>
        </w:rPr>
      </w:pPr>
    </w:p>
    <w:p w14:paraId="7592584D" w14:textId="77777777" w:rsidR="001A4860" w:rsidRPr="001A4860" w:rsidRDefault="001A4860" w:rsidP="001A4860">
      <w:pPr>
        <w:rPr>
          <w:sz w:val="22"/>
          <w:szCs w:val="22"/>
          <w:lang w:val="es-ES" w:eastAsia="es-ES"/>
        </w:rPr>
      </w:pPr>
      <w:r w:rsidRPr="001A4860">
        <w:rPr>
          <w:sz w:val="22"/>
          <w:szCs w:val="22"/>
          <w:lang w:val="es-ES" w:eastAsia="es-ES"/>
        </w:rPr>
        <w:t xml:space="preserve">La tubería a utilizarse en las conexiones domiciliares es de cloruro de polivinilo (PVC) el cual debe ajustarse a las normas ASTM D-2241, Cédula SDR-13.5 para una presión de trabajo de 315 psi. </w:t>
      </w:r>
    </w:p>
    <w:p w14:paraId="0A5287E0" w14:textId="77777777" w:rsidR="001A4860" w:rsidRPr="001A4860" w:rsidRDefault="001A4860" w:rsidP="001A4860">
      <w:pPr>
        <w:rPr>
          <w:sz w:val="22"/>
          <w:szCs w:val="22"/>
          <w:lang w:val="es-ES" w:eastAsia="es-ES"/>
        </w:rPr>
      </w:pPr>
    </w:p>
    <w:p w14:paraId="1B334045" w14:textId="77777777" w:rsidR="001A4860" w:rsidRPr="001A4860" w:rsidRDefault="001A4860" w:rsidP="001A4860">
      <w:pPr>
        <w:rPr>
          <w:sz w:val="22"/>
          <w:szCs w:val="22"/>
          <w:lang w:val="es-ES" w:eastAsia="es-ES"/>
        </w:rPr>
      </w:pPr>
      <w:r w:rsidRPr="001A4860">
        <w:rPr>
          <w:sz w:val="22"/>
          <w:szCs w:val="22"/>
          <w:lang w:val="es-ES" w:eastAsia="es-ES"/>
        </w:rPr>
        <w:t>El tipo de unión para la tubería de diámetro nominal 1/2” es con extremo acampanado para hacer uniones cementadas. Los accesorios de PVC de la conexión son Cédula 40.</w:t>
      </w:r>
    </w:p>
    <w:p w14:paraId="18354AC5" w14:textId="77777777" w:rsidR="001A4860" w:rsidRPr="001A4860" w:rsidRDefault="001A4860" w:rsidP="001A4860">
      <w:pPr>
        <w:rPr>
          <w:sz w:val="22"/>
          <w:szCs w:val="22"/>
          <w:lang w:val="es-ES" w:eastAsia="es-ES"/>
        </w:rPr>
      </w:pPr>
    </w:p>
    <w:p w14:paraId="4F8227C8" w14:textId="77777777" w:rsidR="001A4860" w:rsidRPr="001A4860" w:rsidRDefault="001A4860" w:rsidP="001A4860">
      <w:pPr>
        <w:rPr>
          <w:sz w:val="22"/>
          <w:szCs w:val="22"/>
          <w:lang w:val="es-ES" w:eastAsia="es-ES"/>
        </w:rPr>
      </w:pPr>
      <w:r w:rsidRPr="001A4860">
        <w:rPr>
          <w:sz w:val="22"/>
          <w:szCs w:val="22"/>
          <w:lang w:val="es-ES" w:eastAsia="es-ES"/>
        </w:rPr>
        <w:t>Las abrazaderas o silletas para la unión de la conexión domiciliar con la tubería matriz principal son de PVC y tienen pernos de acero de diámetro nominal 1/2” y tuercas hexagonales.</w:t>
      </w:r>
    </w:p>
    <w:p w14:paraId="4F3CF0AF" w14:textId="77777777" w:rsidR="001A4860" w:rsidRPr="001A4860" w:rsidRDefault="001A4860" w:rsidP="001A4860">
      <w:pPr>
        <w:rPr>
          <w:sz w:val="22"/>
          <w:szCs w:val="22"/>
          <w:lang w:val="es-ES" w:eastAsia="es-ES"/>
        </w:rPr>
      </w:pPr>
    </w:p>
    <w:p w14:paraId="6FEA38EC" w14:textId="77777777" w:rsidR="001A4860" w:rsidRPr="001A4860" w:rsidRDefault="001A4860" w:rsidP="001A4860">
      <w:pPr>
        <w:rPr>
          <w:sz w:val="22"/>
          <w:szCs w:val="22"/>
          <w:lang w:val="es-ES" w:eastAsia="es-ES"/>
        </w:rPr>
      </w:pPr>
      <w:r w:rsidRPr="001A4860">
        <w:rPr>
          <w:sz w:val="22"/>
          <w:szCs w:val="22"/>
          <w:lang w:val="es-ES" w:eastAsia="es-ES"/>
        </w:rPr>
        <w:t>El diámetro interno de las abrazaderas debe ser adaptable al diámetro externo de la tubería matriz, no debiendo existir protuberancias en la superficie interior del cuerpo de la abrazadera que pueda obstaculizar el apoyo uniforme de la misma sobre el tubo de alimentación de la conexión.</w:t>
      </w:r>
    </w:p>
    <w:p w14:paraId="07969D4A" w14:textId="77777777" w:rsidR="001A4860" w:rsidRPr="001A4860" w:rsidRDefault="001A4860" w:rsidP="001A4860">
      <w:pPr>
        <w:rPr>
          <w:sz w:val="22"/>
          <w:szCs w:val="22"/>
          <w:lang w:val="es-ES" w:eastAsia="es-ES"/>
        </w:rPr>
      </w:pPr>
    </w:p>
    <w:p w14:paraId="381CD48F" w14:textId="77777777" w:rsidR="001A4860" w:rsidRPr="001A4860" w:rsidRDefault="001A4860" w:rsidP="001A4860">
      <w:pPr>
        <w:keepNext/>
        <w:outlineLvl w:val="1"/>
        <w:rPr>
          <w:rFonts w:eastAsia="Arial Narrow"/>
          <w:b/>
          <w:bCs/>
          <w:iCs/>
          <w:sz w:val="22"/>
          <w:szCs w:val="22"/>
          <w:lang w:val="es-NI"/>
        </w:rPr>
      </w:pPr>
      <w:bookmarkStart w:id="996" w:name="_Toc195479239"/>
      <w:bookmarkStart w:id="997" w:name="_Toc234745669"/>
      <w:bookmarkStart w:id="998" w:name="_Toc295977204"/>
      <w:bookmarkStart w:id="999" w:name="_Toc475371344"/>
      <w:bookmarkStart w:id="1000" w:name="_Toc481596342"/>
      <w:bookmarkStart w:id="1001" w:name="_Toc492981667"/>
      <w:bookmarkStart w:id="1002" w:name="_Toc23249567"/>
      <w:r w:rsidRPr="001A4860">
        <w:rPr>
          <w:rFonts w:eastAsia="Arial Narrow"/>
          <w:b/>
          <w:bCs/>
          <w:iCs/>
          <w:sz w:val="22"/>
          <w:szCs w:val="22"/>
          <w:lang w:val="es-NI"/>
        </w:rPr>
        <w:t>Actividades Constructivas</w:t>
      </w:r>
      <w:bookmarkEnd w:id="996"/>
      <w:bookmarkEnd w:id="997"/>
      <w:bookmarkEnd w:id="998"/>
      <w:bookmarkEnd w:id="999"/>
      <w:bookmarkEnd w:id="1000"/>
      <w:bookmarkEnd w:id="1001"/>
      <w:bookmarkEnd w:id="1002"/>
    </w:p>
    <w:p w14:paraId="45134006" w14:textId="77777777" w:rsidR="001A4860" w:rsidRPr="001A4860" w:rsidRDefault="001A4860" w:rsidP="001A4860">
      <w:pPr>
        <w:rPr>
          <w:sz w:val="22"/>
          <w:szCs w:val="22"/>
          <w:lang w:val="es-ES" w:eastAsia="es-ES"/>
        </w:rPr>
      </w:pPr>
    </w:p>
    <w:p w14:paraId="0E8C0A5D" w14:textId="77777777" w:rsidR="001A4860" w:rsidRPr="001A4860" w:rsidRDefault="001A4860" w:rsidP="001A4860">
      <w:pPr>
        <w:rPr>
          <w:b/>
          <w:sz w:val="22"/>
          <w:szCs w:val="22"/>
          <w:lang w:val="es-ES" w:eastAsia="es-ES"/>
        </w:rPr>
      </w:pPr>
      <w:r w:rsidRPr="001A4860">
        <w:rPr>
          <w:sz w:val="22"/>
          <w:szCs w:val="22"/>
          <w:lang w:val="es-ES" w:eastAsia="es-ES"/>
        </w:rPr>
        <w:t xml:space="preserve">El Supervisor sañala al Contratista la ubicación exacta de cada una de las conexiones a construir. </w:t>
      </w:r>
      <w:r w:rsidRPr="001A4860">
        <w:rPr>
          <w:b/>
          <w:sz w:val="22"/>
          <w:szCs w:val="22"/>
          <w:lang w:val="es-ES" w:eastAsia="es-ES"/>
        </w:rPr>
        <w:t>Obras para las conexiones domiciliares.</w:t>
      </w:r>
    </w:p>
    <w:p w14:paraId="2D763FA5" w14:textId="77777777" w:rsidR="001A4860" w:rsidRPr="001A4860" w:rsidRDefault="001A4860" w:rsidP="001A4860">
      <w:pPr>
        <w:rPr>
          <w:sz w:val="22"/>
          <w:szCs w:val="22"/>
          <w:lang w:val="es-ES" w:eastAsia="es-ES"/>
        </w:rPr>
      </w:pPr>
    </w:p>
    <w:p w14:paraId="2C7456B6" w14:textId="77777777" w:rsidR="001A4860" w:rsidRPr="001A4860" w:rsidRDefault="001A4860" w:rsidP="001A4860">
      <w:pPr>
        <w:rPr>
          <w:sz w:val="22"/>
          <w:szCs w:val="22"/>
          <w:lang w:val="es-ES" w:eastAsia="es-ES"/>
        </w:rPr>
      </w:pPr>
      <w:r w:rsidRPr="001A4860">
        <w:rPr>
          <w:sz w:val="22"/>
          <w:szCs w:val="22"/>
          <w:lang w:val="es-ES" w:eastAsia="es-ES"/>
        </w:rPr>
        <w:t>El Contratista debe suministrar, tender y conectar tubería nueva PVC 1120 SDR 13.5 para conexiones domiciliares con sus accesorios para acoples y transición de diámetros correspondientes, indicados en planos de la tubería de distribución.</w:t>
      </w:r>
    </w:p>
    <w:p w14:paraId="062F5FAF" w14:textId="77777777" w:rsidR="001A4860" w:rsidRPr="001A4860" w:rsidRDefault="001A4860" w:rsidP="001A4860">
      <w:pPr>
        <w:rPr>
          <w:sz w:val="22"/>
          <w:szCs w:val="22"/>
          <w:lang w:val="es-ES" w:eastAsia="es-ES"/>
        </w:rPr>
      </w:pPr>
    </w:p>
    <w:p w14:paraId="62766EB3" w14:textId="77777777" w:rsidR="001A4860" w:rsidRPr="001A4860" w:rsidRDefault="001A4860" w:rsidP="001A4860">
      <w:pPr>
        <w:rPr>
          <w:sz w:val="22"/>
          <w:szCs w:val="22"/>
          <w:lang w:val="es-ES" w:eastAsia="es-ES"/>
        </w:rPr>
      </w:pPr>
      <w:r w:rsidRPr="001A4860">
        <w:rPr>
          <w:sz w:val="22"/>
          <w:szCs w:val="22"/>
          <w:lang w:val="es-ES" w:eastAsia="es-ES"/>
        </w:rPr>
        <w:t>El contratista debe instalar medidores domiciliares, llaves de chorro, válvulas, cajas protectoras Instalación y puesta en operación 52 conexiones domiciliares con micromedición, distribuidas en: 51 viviendas habitadas + 1 escuela. La conexión domiciliar llega hasta el lindero de la propiedad, a partir de ahí la extensión o ampliación dentro del inmueble la asume el propietario.</w:t>
      </w:r>
    </w:p>
    <w:p w14:paraId="7481B6B8" w14:textId="77777777" w:rsidR="001A4860" w:rsidRPr="001A4860" w:rsidRDefault="001A4860" w:rsidP="001A4860">
      <w:pPr>
        <w:rPr>
          <w:sz w:val="22"/>
          <w:szCs w:val="22"/>
          <w:lang w:val="es-ES" w:eastAsia="es-ES"/>
        </w:rPr>
      </w:pPr>
    </w:p>
    <w:p w14:paraId="2F4BAE0D" w14:textId="77777777" w:rsidR="001A4860" w:rsidRPr="001A4860" w:rsidRDefault="001A4860" w:rsidP="001A4860">
      <w:pPr>
        <w:rPr>
          <w:sz w:val="22"/>
          <w:szCs w:val="22"/>
          <w:lang w:val="es-ES" w:eastAsia="es-ES"/>
        </w:rPr>
      </w:pPr>
      <w:r w:rsidRPr="001A4860">
        <w:rPr>
          <w:sz w:val="22"/>
          <w:szCs w:val="22"/>
          <w:lang w:val="es-ES" w:eastAsia="es-ES"/>
        </w:rPr>
        <w:t>El diámetro nominal de las conexiones y de los grifos es de ½" (12 mm.). Todo medidor debe ser instalado con su respectiva caja de protección prefabricada de plástico.</w:t>
      </w:r>
    </w:p>
    <w:p w14:paraId="0560F048" w14:textId="77777777" w:rsidR="001A4860" w:rsidRPr="001A4860" w:rsidRDefault="001A4860" w:rsidP="001A4860">
      <w:pPr>
        <w:rPr>
          <w:sz w:val="22"/>
          <w:szCs w:val="22"/>
          <w:lang w:val="es-ES" w:eastAsia="es-ES"/>
        </w:rPr>
      </w:pPr>
    </w:p>
    <w:p w14:paraId="72EEBF89" w14:textId="77777777" w:rsidR="001A4860" w:rsidRPr="001A4860" w:rsidRDefault="001A4860" w:rsidP="001A4860">
      <w:pPr>
        <w:keepNext/>
        <w:ind w:left="720" w:hanging="720"/>
        <w:outlineLvl w:val="2"/>
        <w:rPr>
          <w:rFonts w:eastAsia="Arial Narrow"/>
          <w:b/>
          <w:bCs/>
          <w:iCs/>
          <w:sz w:val="22"/>
          <w:szCs w:val="22"/>
          <w:lang w:val="es-ES" w:bidi="en-US"/>
        </w:rPr>
      </w:pPr>
      <w:bookmarkStart w:id="1003" w:name="_Toc195479240"/>
      <w:bookmarkStart w:id="1004" w:name="_Toc234745670"/>
      <w:bookmarkStart w:id="1005" w:name="_Toc295977205"/>
      <w:bookmarkStart w:id="1006" w:name="_Toc475371345"/>
      <w:bookmarkStart w:id="1007" w:name="_Toc481596343"/>
      <w:bookmarkStart w:id="1008" w:name="_Toc492981668"/>
      <w:bookmarkStart w:id="1009" w:name="_Toc23249568"/>
      <w:r w:rsidRPr="001A4860">
        <w:rPr>
          <w:rFonts w:eastAsia="Arial Narrow"/>
          <w:b/>
          <w:bCs/>
          <w:iCs/>
          <w:sz w:val="22"/>
          <w:szCs w:val="22"/>
          <w:lang w:val="es-ES" w:bidi="en-US"/>
        </w:rPr>
        <w:t>Excavación</w:t>
      </w:r>
      <w:bookmarkEnd w:id="1003"/>
      <w:bookmarkEnd w:id="1004"/>
      <w:bookmarkEnd w:id="1005"/>
      <w:bookmarkEnd w:id="1006"/>
      <w:bookmarkEnd w:id="1007"/>
      <w:bookmarkEnd w:id="1008"/>
      <w:bookmarkEnd w:id="1009"/>
    </w:p>
    <w:p w14:paraId="4C36F29D" w14:textId="77777777" w:rsidR="001A4860" w:rsidRPr="001A4860" w:rsidRDefault="001A4860" w:rsidP="001A4860">
      <w:pPr>
        <w:rPr>
          <w:sz w:val="22"/>
          <w:szCs w:val="22"/>
          <w:lang w:val="es-ES" w:eastAsia="es-ES"/>
        </w:rPr>
      </w:pPr>
    </w:p>
    <w:p w14:paraId="73065703" w14:textId="77777777" w:rsidR="001A4860" w:rsidRPr="001A4860" w:rsidRDefault="001A4860" w:rsidP="001A4860">
      <w:pPr>
        <w:rPr>
          <w:sz w:val="22"/>
          <w:szCs w:val="22"/>
          <w:lang w:val="es-ES" w:eastAsia="es-ES"/>
        </w:rPr>
      </w:pPr>
      <w:r w:rsidRPr="001A4860">
        <w:rPr>
          <w:sz w:val="22"/>
          <w:szCs w:val="22"/>
          <w:lang w:val="es-ES" w:eastAsia="es-ES"/>
        </w:rPr>
        <w:t xml:space="preserve">El trazado de las conexiones es a 90° respecto a la tubería de alimentación de la conexión. Las excavaciones se realizan con esta alineación, variando la profundidad de 1.00 m en el punto de conexión de la tubería principal y 0.80 metros en el final de la misma. Los costados de la zanja deben ser verticales y el fondo </w:t>
      </w:r>
      <w:r w:rsidRPr="001A4860">
        <w:rPr>
          <w:sz w:val="22"/>
          <w:szCs w:val="22"/>
          <w:lang w:val="es-ES" w:eastAsia="es-ES"/>
        </w:rPr>
        <w:lastRenderedPageBreak/>
        <w:t>conformado a mano de tal manera que se obtenga un apoyo uniforme, continuo en toda su longitud. El ancho de la zanja no debe exceder de 0.60 metros.</w:t>
      </w:r>
    </w:p>
    <w:p w14:paraId="5544F018" w14:textId="77777777" w:rsidR="001A4860" w:rsidRPr="001A4860" w:rsidRDefault="001A4860" w:rsidP="001A4860">
      <w:pPr>
        <w:rPr>
          <w:sz w:val="22"/>
          <w:szCs w:val="22"/>
          <w:lang w:val="es-ES" w:eastAsia="es-ES"/>
        </w:rPr>
      </w:pPr>
    </w:p>
    <w:p w14:paraId="50BBB909" w14:textId="77777777" w:rsidR="001A4860" w:rsidRPr="001A4860" w:rsidRDefault="001A4860" w:rsidP="001A4860">
      <w:pPr>
        <w:rPr>
          <w:sz w:val="22"/>
          <w:szCs w:val="22"/>
          <w:lang w:val="es-ES" w:eastAsia="es-ES"/>
        </w:rPr>
      </w:pPr>
      <w:r w:rsidRPr="001A4860">
        <w:rPr>
          <w:sz w:val="22"/>
          <w:szCs w:val="22"/>
          <w:lang w:val="es-ES" w:eastAsia="es-ES"/>
        </w:rPr>
        <w:t>Cuando en el fondo de la zanja se encuentren materiales inestables, basura o materiales orgánicos, deben ser removidos y reemplazados por material granular. El Contratista remueve toda agua que se colecte en las zanjas mientras se están haciendo las conexiones. No se permite la entrada de agua a las tuberías. El agua encontrada es eliminada de una manera satisfactoria para El Supervisor.</w:t>
      </w:r>
    </w:p>
    <w:p w14:paraId="4CB672D3" w14:textId="77777777" w:rsidR="001A4860" w:rsidRPr="001A4860" w:rsidRDefault="001A4860" w:rsidP="001A4860">
      <w:pPr>
        <w:rPr>
          <w:sz w:val="22"/>
          <w:szCs w:val="22"/>
          <w:lang w:val="es-ES" w:eastAsia="es-ES"/>
        </w:rPr>
      </w:pPr>
    </w:p>
    <w:p w14:paraId="0E5FD95A" w14:textId="77777777" w:rsidR="001A4860" w:rsidRPr="001A4860" w:rsidRDefault="001A4860" w:rsidP="001A4860">
      <w:pPr>
        <w:keepNext/>
        <w:ind w:left="720" w:hanging="720"/>
        <w:outlineLvl w:val="2"/>
        <w:rPr>
          <w:rFonts w:eastAsia="Arial Narrow"/>
          <w:b/>
          <w:bCs/>
          <w:iCs/>
          <w:sz w:val="22"/>
          <w:szCs w:val="22"/>
          <w:lang w:val="es-ES" w:bidi="en-US"/>
        </w:rPr>
      </w:pPr>
      <w:bookmarkStart w:id="1010" w:name="_Toc195479241"/>
      <w:bookmarkStart w:id="1011" w:name="_Toc234745671"/>
      <w:bookmarkStart w:id="1012" w:name="_Toc295977206"/>
      <w:bookmarkStart w:id="1013" w:name="_Toc475371346"/>
      <w:bookmarkStart w:id="1014" w:name="_Toc481596344"/>
      <w:bookmarkStart w:id="1015" w:name="_Toc492981669"/>
      <w:bookmarkStart w:id="1016" w:name="_Toc23249569"/>
      <w:r w:rsidRPr="001A4860">
        <w:rPr>
          <w:rFonts w:eastAsia="Arial Narrow"/>
          <w:b/>
          <w:bCs/>
          <w:iCs/>
          <w:sz w:val="22"/>
          <w:szCs w:val="22"/>
          <w:lang w:val="es-ES" w:bidi="en-US"/>
        </w:rPr>
        <w:t>Instalación de tubería</w:t>
      </w:r>
      <w:bookmarkEnd w:id="1010"/>
      <w:bookmarkEnd w:id="1011"/>
      <w:bookmarkEnd w:id="1012"/>
      <w:bookmarkEnd w:id="1013"/>
      <w:bookmarkEnd w:id="1014"/>
      <w:bookmarkEnd w:id="1015"/>
      <w:bookmarkEnd w:id="1016"/>
    </w:p>
    <w:p w14:paraId="0E221D3A" w14:textId="77777777" w:rsidR="001A4860" w:rsidRPr="001A4860" w:rsidRDefault="001A4860" w:rsidP="001A4860">
      <w:pPr>
        <w:rPr>
          <w:sz w:val="22"/>
          <w:szCs w:val="22"/>
          <w:lang w:val="es-ES" w:eastAsia="es-ES"/>
        </w:rPr>
      </w:pPr>
    </w:p>
    <w:p w14:paraId="4DC7F124" w14:textId="77777777" w:rsidR="001A4860" w:rsidRPr="001A4860" w:rsidRDefault="001A4860" w:rsidP="001A4860">
      <w:pPr>
        <w:rPr>
          <w:sz w:val="22"/>
          <w:szCs w:val="22"/>
          <w:lang w:val="es-ES" w:eastAsia="es-ES"/>
        </w:rPr>
      </w:pPr>
      <w:r w:rsidRPr="001A4860">
        <w:rPr>
          <w:sz w:val="22"/>
          <w:szCs w:val="22"/>
          <w:lang w:val="es-ES" w:eastAsia="es-ES"/>
        </w:rPr>
        <w:t>La perforación de tubería de servicios de agua potable se realiza en un costado del tubo en un ángulo de 45 grados respecto al eje horizontal. Antes de colocar la abrazadera, el tubo debe 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0A7ADF54" w14:textId="77777777" w:rsidR="001A4860" w:rsidRPr="001A4860" w:rsidRDefault="001A4860" w:rsidP="001A4860">
      <w:pPr>
        <w:rPr>
          <w:sz w:val="22"/>
          <w:szCs w:val="22"/>
          <w:lang w:val="es-ES" w:eastAsia="es-ES"/>
        </w:rPr>
      </w:pPr>
    </w:p>
    <w:p w14:paraId="26D6468D" w14:textId="77777777" w:rsidR="001A4860" w:rsidRPr="001A4860" w:rsidRDefault="001A4860" w:rsidP="001A4860">
      <w:pPr>
        <w:rPr>
          <w:sz w:val="22"/>
          <w:szCs w:val="22"/>
          <w:lang w:val="es-ES" w:eastAsia="es-ES"/>
        </w:rPr>
      </w:pPr>
      <w:r w:rsidRPr="001A4860">
        <w:rPr>
          <w:sz w:val="22"/>
          <w:szCs w:val="22"/>
          <w:lang w:val="es-ES" w:eastAsia="es-ES"/>
        </w:rPr>
        <w:t>El tapón hembra de la conexión domiciliar debe quedar a 0.40 metros de la línea de derecho de vía. Antes de colocar el tapón, la tubería debe drenarse durante unos minutos, para lavarlas y eliminar cualquier suciedad que pueda encontrarse dentro.</w:t>
      </w:r>
    </w:p>
    <w:p w14:paraId="055D4912" w14:textId="77777777" w:rsidR="001A4860" w:rsidRPr="001A4860" w:rsidRDefault="001A4860" w:rsidP="001A4860">
      <w:pPr>
        <w:rPr>
          <w:sz w:val="22"/>
          <w:szCs w:val="22"/>
          <w:lang w:val="es-ES" w:eastAsia="es-ES"/>
        </w:rPr>
      </w:pPr>
    </w:p>
    <w:p w14:paraId="66C8F3B4" w14:textId="77777777" w:rsidR="001A4860" w:rsidRPr="001A4860" w:rsidRDefault="001A4860" w:rsidP="001A4860">
      <w:pPr>
        <w:rPr>
          <w:sz w:val="22"/>
          <w:szCs w:val="22"/>
          <w:lang w:val="es-ES" w:eastAsia="es-ES"/>
        </w:rPr>
      </w:pPr>
      <w:r w:rsidRPr="001A4860">
        <w:rPr>
          <w:sz w:val="22"/>
          <w:szCs w:val="22"/>
          <w:lang w:val="es-ES" w:eastAsia="es-ES"/>
        </w:rPr>
        <w:t>El detalle de la conexión domiciliar de agua potable aparece en los planos.</w:t>
      </w:r>
    </w:p>
    <w:p w14:paraId="463A3B20" w14:textId="77777777" w:rsidR="001A4860" w:rsidRPr="001A4860" w:rsidRDefault="001A4860" w:rsidP="001A4860">
      <w:pPr>
        <w:rPr>
          <w:sz w:val="22"/>
          <w:szCs w:val="22"/>
          <w:lang w:val="es-ES" w:eastAsia="es-ES"/>
        </w:rPr>
      </w:pPr>
    </w:p>
    <w:p w14:paraId="42FB0255" w14:textId="77777777" w:rsidR="001A4860" w:rsidRPr="001A4860" w:rsidRDefault="001A4860" w:rsidP="001A4860">
      <w:pPr>
        <w:keepNext/>
        <w:ind w:left="720" w:hanging="720"/>
        <w:outlineLvl w:val="2"/>
        <w:rPr>
          <w:rFonts w:eastAsia="Arial Narrow"/>
          <w:b/>
          <w:bCs/>
          <w:iCs/>
          <w:sz w:val="22"/>
          <w:szCs w:val="22"/>
          <w:lang w:val="es-ES" w:bidi="en-US"/>
        </w:rPr>
      </w:pPr>
      <w:bookmarkStart w:id="1017" w:name="_Toc195479242"/>
      <w:bookmarkStart w:id="1018" w:name="_Toc234745672"/>
      <w:bookmarkStart w:id="1019" w:name="_Toc295977207"/>
      <w:bookmarkStart w:id="1020" w:name="_Toc475371347"/>
      <w:bookmarkStart w:id="1021" w:name="_Toc481596345"/>
      <w:bookmarkStart w:id="1022" w:name="_Toc492981670"/>
      <w:bookmarkStart w:id="1023" w:name="_Toc23249570"/>
      <w:r w:rsidRPr="001A4860">
        <w:rPr>
          <w:rFonts w:eastAsia="Arial Narrow"/>
          <w:b/>
          <w:bCs/>
          <w:iCs/>
          <w:sz w:val="22"/>
          <w:szCs w:val="22"/>
          <w:lang w:val="es-ES" w:bidi="en-US"/>
        </w:rPr>
        <w:t>Relleno y Compactación</w:t>
      </w:r>
      <w:bookmarkEnd w:id="1017"/>
      <w:bookmarkEnd w:id="1018"/>
      <w:bookmarkEnd w:id="1019"/>
      <w:bookmarkEnd w:id="1020"/>
      <w:bookmarkEnd w:id="1021"/>
      <w:bookmarkEnd w:id="1022"/>
      <w:bookmarkEnd w:id="1023"/>
    </w:p>
    <w:p w14:paraId="32954A33" w14:textId="77777777" w:rsidR="001A4860" w:rsidRPr="001A4860" w:rsidRDefault="001A4860" w:rsidP="001A4860">
      <w:pPr>
        <w:rPr>
          <w:sz w:val="22"/>
          <w:szCs w:val="22"/>
          <w:lang w:val="es-ES" w:eastAsia="es-ES"/>
        </w:rPr>
      </w:pPr>
    </w:p>
    <w:p w14:paraId="244C5FC5" w14:textId="77777777" w:rsidR="001A4860" w:rsidRPr="001A4860" w:rsidRDefault="001A4860" w:rsidP="001A4860">
      <w:pPr>
        <w:rPr>
          <w:sz w:val="22"/>
          <w:szCs w:val="22"/>
          <w:lang w:val="es-ES" w:eastAsia="es-ES"/>
        </w:rPr>
      </w:pPr>
      <w:r w:rsidRPr="001A4860">
        <w:rPr>
          <w:sz w:val="22"/>
          <w:szCs w:val="22"/>
          <w:lang w:val="es-ES" w:eastAsia="es-ES"/>
        </w:rPr>
        <w:t>Se cumpla con lo dispuesto en lo referente a relleno y compactación de tuberías.</w:t>
      </w:r>
      <w:bookmarkEnd w:id="432"/>
      <w:bookmarkEnd w:id="433"/>
      <w:bookmarkEnd w:id="434"/>
      <w:bookmarkEnd w:id="435"/>
    </w:p>
    <w:p w14:paraId="2102C8DB" w14:textId="77777777" w:rsidR="001A4860" w:rsidRPr="001A4860" w:rsidRDefault="001A4860" w:rsidP="001A4860">
      <w:pPr>
        <w:rPr>
          <w:sz w:val="22"/>
          <w:szCs w:val="22"/>
          <w:lang w:val="es-ES" w:eastAsia="es-ES"/>
        </w:rPr>
      </w:pPr>
    </w:p>
    <w:p w14:paraId="02E04D8F" w14:textId="77777777" w:rsidR="001A4860" w:rsidRPr="001A4860" w:rsidRDefault="001A4860" w:rsidP="001A4860">
      <w:pPr>
        <w:rPr>
          <w:sz w:val="22"/>
          <w:szCs w:val="22"/>
          <w:lang w:val="es-ES" w:eastAsia="es-ES"/>
        </w:rPr>
      </w:pPr>
    </w:p>
    <w:p w14:paraId="720C0BD0" w14:textId="77777777" w:rsidR="001A4860" w:rsidRPr="001A4860" w:rsidRDefault="001A4860" w:rsidP="001A4860">
      <w:pPr>
        <w:rPr>
          <w:sz w:val="22"/>
          <w:szCs w:val="22"/>
          <w:lang w:val="es-ES" w:eastAsia="es-ES"/>
        </w:rPr>
      </w:pPr>
    </w:p>
    <w:p w14:paraId="532E127D" w14:textId="77777777" w:rsidR="001A4860" w:rsidRPr="001A4860" w:rsidRDefault="001A4860" w:rsidP="001A4860">
      <w:pPr>
        <w:rPr>
          <w:sz w:val="22"/>
          <w:szCs w:val="22"/>
          <w:lang w:val="es-ES" w:eastAsia="es-ES"/>
        </w:rPr>
      </w:pPr>
    </w:p>
    <w:p w14:paraId="298833C8" w14:textId="77777777" w:rsidR="001A4860" w:rsidRPr="001A4860" w:rsidRDefault="001A4860" w:rsidP="001A4860">
      <w:pPr>
        <w:rPr>
          <w:sz w:val="22"/>
          <w:szCs w:val="22"/>
          <w:lang w:val="es-ES" w:eastAsia="es-ES"/>
        </w:rPr>
      </w:pPr>
    </w:p>
    <w:p w14:paraId="6937487C" w14:textId="77777777" w:rsidR="001A4860" w:rsidRPr="001A4860" w:rsidRDefault="001A4860" w:rsidP="001A4860">
      <w:pPr>
        <w:rPr>
          <w:sz w:val="22"/>
          <w:szCs w:val="22"/>
          <w:lang w:val="es-ES" w:eastAsia="es-ES"/>
        </w:rPr>
      </w:pPr>
    </w:p>
    <w:p w14:paraId="08E4AC2B" w14:textId="77777777" w:rsidR="001A4860" w:rsidRPr="00181F97" w:rsidRDefault="001A4860" w:rsidP="001A4860">
      <w:pPr>
        <w:jc w:val="left"/>
        <w:rPr>
          <w:rFonts w:eastAsia="Calibri"/>
          <w:b/>
          <w:bCs/>
          <w:iCs/>
          <w:color w:val="1F4E79"/>
          <w:sz w:val="22"/>
          <w:szCs w:val="22"/>
          <w:lang w:val="es-NI"/>
        </w:rPr>
      </w:pPr>
      <w:r w:rsidRPr="001A4860">
        <w:rPr>
          <w:rFonts w:eastAsia="Calibri"/>
          <w:color w:val="1F4E79"/>
          <w:sz w:val="22"/>
          <w:szCs w:val="22"/>
          <w:lang w:val="es-ES" w:eastAsia="es-ES"/>
        </w:rPr>
        <w:br w:type="page"/>
      </w:r>
    </w:p>
    <w:p w14:paraId="47ADAF68" w14:textId="77777777" w:rsidR="001A4860" w:rsidRPr="00181F97" w:rsidRDefault="001A4860" w:rsidP="001A4860">
      <w:pPr>
        <w:keepNext/>
        <w:outlineLvl w:val="1"/>
        <w:rPr>
          <w:rFonts w:eastAsia="Calibri"/>
          <w:bCs/>
          <w:iCs/>
          <w:color w:val="1F4E79"/>
          <w:sz w:val="22"/>
          <w:szCs w:val="22"/>
          <w:lang w:val="es-NI"/>
        </w:rPr>
      </w:pPr>
      <w:r w:rsidRPr="00181F97">
        <w:rPr>
          <w:rFonts w:eastAsia="Calibri"/>
          <w:b/>
          <w:bCs/>
          <w:iCs/>
          <w:color w:val="1F4E79"/>
          <w:sz w:val="22"/>
          <w:szCs w:val="22"/>
          <w:lang w:val="es-NI"/>
        </w:rPr>
        <w:lastRenderedPageBreak/>
        <w:t>ESPECIFICACIONES AMBIENTALES PARTICULARES.</w:t>
      </w:r>
    </w:p>
    <w:p w14:paraId="6D2F150D" w14:textId="77777777" w:rsidR="001A4860" w:rsidRPr="001A4860" w:rsidRDefault="001A4860" w:rsidP="001A4860">
      <w:pPr>
        <w:rPr>
          <w:b/>
          <w:bCs/>
          <w:sz w:val="22"/>
          <w:szCs w:val="22"/>
          <w:lang w:val="es-ES" w:eastAsia="es-ES"/>
        </w:rPr>
      </w:pPr>
    </w:p>
    <w:p w14:paraId="42477F9F" w14:textId="77777777" w:rsidR="001A4860" w:rsidRPr="001A4860" w:rsidRDefault="001A4860" w:rsidP="001A4860">
      <w:pPr>
        <w:rPr>
          <w:b/>
          <w:bCs/>
          <w:sz w:val="22"/>
          <w:szCs w:val="22"/>
          <w:lang w:val="es-ES" w:eastAsia="es-ES"/>
        </w:rPr>
      </w:pPr>
      <w:r w:rsidRPr="001A4860">
        <w:rPr>
          <w:b/>
          <w:bCs/>
          <w:sz w:val="22"/>
          <w:szCs w:val="22"/>
          <w:lang w:val="es-ES" w:eastAsia="es-ES"/>
        </w:rPr>
        <w:t>PROYECTO “19886 AGUA Y SANEAMIENTO COMUNIDAD LA CONCEPCIÓN”, MUNICIPIO DE PALACAGUINA.</w:t>
      </w:r>
    </w:p>
    <w:p w14:paraId="4BF7BFD1" w14:textId="77777777" w:rsidR="001A4860" w:rsidRPr="001A4860" w:rsidRDefault="001A4860" w:rsidP="001A4860">
      <w:pPr>
        <w:rPr>
          <w:b/>
          <w:bCs/>
          <w:sz w:val="22"/>
          <w:szCs w:val="22"/>
          <w:lang w:val="es-ES" w:eastAsia="es-ES"/>
        </w:rPr>
      </w:pPr>
      <w:r w:rsidRPr="001A4860">
        <w:rPr>
          <w:b/>
          <w:bCs/>
          <w:sz w:val="22"/>
          <w:szCs w:val="22"/>
          <w:lang w:val="es-ES" w:eastAsia="es-ES"/>
        </w:rPr>
        <w:t xml:space="preserve"> </w:t>
      </w:r>
    </w:p>
    <w:p w14:paraId="7A869295" w14:textId="77777777" w:rsidR="001A4860" w:rsidRPr="001A4860" w:rsidRDefault="001A4860" w:rsidP="001A4860">
      <w:pPr>
        <w:rPr>
          <w:b/>
          <w:bCs/>
          <w:sz w:val="22"/>
          <w:szCs w:val="22"/>
          <w:u w:val="single"/>
          <w:lang w:val="es-ES" w:eastAsia="es-ES"/>
        </w:rPr>
      </w:pPr>
      <w:r w:rsidRPr="001A4860">
        <w:rPr>
          <w:b/>
          <w:bCs/>
          <w:sz w:val="22"/>
          <w:szCs w:val="22"/>
          <w:u w:val="single"/>
          <w:lang w:val="es-ES" w:eastAsia="es-ES"/>
        </w:rPr>
        <w:t>PROGRAMA DE GESTIÓN AMBIENTAL</w:t>
      </w:r>
    </w:p>
    <w:p w14:paraId="17B26048" w14:textId="77777777" w:rsidR="001A4860" w:rsidRPr="001A4860" w:rsidRDefault="001A4860" w:rsidP="001A4860">
      <w:pPr>
        <w:rPr>
          <w:b/>
          <w:bCs/>
          <w:sz w:val="22"/>
          <w:szCs w:val="22"/>
          <w:u w:val="single"/>
          <w:lang w:val="es-ES" w:eastAsia="es-ES"/>
        </w:rPr>
      </w:pPr>
    </w:p>
    <w:p w14:paraId="31247144" w14:textId="77777777" w:rsidR="001A4860" w:rsidRPr="001A4860" w:rsidRDefault="001A4860" w:rsidP="001A4860">
      <w:pPr>
        <w:rPr>
          <w:bCs/>
          <w:sz w:val="22"/>
          <w:szCs w:val="22"/>
          <w:lang w:val="es-ES" w:eastAsia="es-ES"/>
        </w:rPr>
      </w:pPr>
      <w:r w:rsidRPr="001A4860">
        <w:rPr>
          <w:bCs/>
          <w:sz w:val="22"/>
          <w:szCs w:val="22"/>
          <w:lang w:val="es-ES" w:eastAsia="es-ES"/>
        </w:rPr>
        <w:t>El presente Programa de Gestión Ambiental contiene las medidas ambientales para mitigar los impactos ambientales de las actividades para la construcción y operación y mantenimiento del sub proyecto de agua y saneamiento en la comunidad La Concepción. A continuación, son presentadas las medidas ambientales para mitigar los impactos del proyecto:</w:t>
      </w:r>
    </w:p>
    <w:p w14:paraId="5E19FFA3" w14:textId="77777777" w:rsidR="001A4860" w:rsidRPr="001A4860" w:rsidRDefault="001A4860" w:rsidP="001A4860">
      <w:pPr>
        <w:rPr>
          <w:bCs/>
          <w:sz w:val="22"/>
          <w:szCs w:val="22"/>
          <w:lang w:val="es-ES" w:eastAsia="es-ES"/>
        </w:rPr>
      </w:pPr>
    </w:p>
    <w:p w14:paraId="26710A6D" w14:textId="77777777" w:rsidR="001A4860" w:rsidRPr="001A4860" w:rsidRDefault="001A4860" w:rsidP="001A4860">
      <w:pPr>
        <w:rPr>
          <w:b/>
          <w:bCs/>
          <w:sz w:val="22"/>
          <w:szCs w:val="22"/>
          <w:lang w:val="es-ES" w:eastAsia="es-ES"/>
        </w:rPr>
      </w:pPr>
      <w:r w:rsidRPr="001A4860">
        <w:rPr>
          <w:b/>
          <w:bCs/>
          <w:sz w:val="22"/>
          <w:szCs w:val="22"/>
          <w:lang w:val="es-ES" w:eastAsia="es-ES"/>
        </w:rPr>
        <w:t>PLANES DE GESTIÓN AMBIENTAL</w:t>
      </w:r>
    </w:p>
    <w:tbl>
      <w:tblPr>
        <w:tblStyle w:val="Tablaconcuadrcula1"/>
        <w:tblW w:w="10349" w:type="dxa"/>
        <w:tblInd w:w="-714" w:type="dxa"/>
        <w:tblLook w:val="04A0" w:firstRow="1" w:lastRow="0" w:firstColumn="1" w:lastColumn="0" w:noHBand="0" w:noVBand="1"/>
      </w:tblPr>
      <w:tblGrid>
        <w:gridCol w:w="1844"/>
        <w:gridCol w:w="2126"/>
        <w:gridCol w:w="1573"/>
        <w:gridCol w:w="1757"/>
        <w:gridCol w:w="1353"/>
        <w:gridCol w:w="1830"/>
      </w:tblGrid>
      <w:tr w:rsidR="001A4860" w:rsidRPr="001A4860" w14:paraId="6F8E1577" w14:textId="77777777" w:rsidTr="001A4860">
        <w:tc>
          <w:tcPr>
            <w:tcW w:w="1844" w:type="dxa"/>
          </w:tcPr>
          <w:p w14:paraId="59A9B4E3" w14:textId="77777777" w:rsidR="001A4860" w:rsidRPr="001A4860" w:rsidRDefault="001A4860" w:rsidP="001A4860">
            <w:pPr>
              <w:rPr>
                <w:b/>
                <w:bCs/>
                <w:sz w:val="22"/>
                <w:szCs w:val="22"/>
                <w:lang w:val="es-ES" w:eastAsia="es-ES"/>
              </w:rPr>
            </w:pPr>
            <w:r w:rsidRPr="001A4860">
              <w:rPr>
                <w:b/>
                <w:bCs/>
                <w:sz w:val="22"/>
                <w:szCs w:val="22"/>
                <w:lang w:val="es-ES" w:eastAsia="es-ES"/>
              </w:rPr>
              <w:t>Nº 1</w:t>
            </w:r>
          </w:p>
        </w:tc>
        <w:tc>
          <w:tcPr>
            <w:tcW w:w="8505" w:type="dxa"/>
            <w:gridSpan w:val="5"/>
          </w:tcPr>
          <w:p w14:paraId="5E8D58A2" w14:textId="77777777" w:rsidR="001A4860" w:rsidRPr="001A4860" w:rsidRDefault="001A4860" w:rsidP="001A4860">
            <w:pPr>
              <w:rPr>
                <w:b/>
                <w:bCs/>
                <w:sz w:val="22"/>
                <w:szCs w:val="22"/>
                <w:lang w:val="es-ES" w:eastAsia="es-ES"/>
              </w:rPr>
            </w:pPr>
            <w:r w:rsidRPr="001A4860">
              <w:rPr>
                <w:b/>
                <w:bCs/>
                <w:sz w:val="22"/>
                <w:szCs w:val="22"/>
                <w:lang w:val="es-ES" w:eastAsia="es-ES"/>
              </w:rPr>
              <w:t>NOMBRE DEL PLAN: PLAN DE GESTIÓN DEL MEDIO BIÓTICO</w:t>
            </w:r>
          </w:p>
        </w:tc>
      </w:tr>
      <w:tr w:rsidR="001A4860" w:rsidRPr="001A4860" w14:paraId="387B0A24" w14:textId="77777777" w:rsidTr="001A4860">
        <w:tc>
          <w:tcPr>
            <w:tcW w:w="1844" w:type="dxa"/>
            <w:vAlign w:val="center"/>
          </w:tcPr>
          <w:p w14:paraId="38DA7589"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ACTIVIDAD IMPACTANTE</w:t>
            </w:r>
          </w:p>
        </w:tc>
        <w:tc>
          <w:tcPr>
            <w:tcW w:w="2126" w:type="dxa"/>
            <w:vAlign w:val="center"/>
          </w:tcPr>
          <w:p w14:paraId="2FDBD3A0"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IMPACTO AMBIENTAL POTENCIAL</w:t>
            </w:r>
          </w:p>
        </w:tc>
        <w:tc>
          <w:tcPr>
            <w:tcW w:w="1451" w:type="dxa"/>
            <w:vAlign w:val="center"/>
          </w:tcPr>
          <w:p w14:paraId="1F526636"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MEDIDA AMBIENTAL</w:t>
            </w:r>
          </w:p>
        </w:tc>
        <w:tc>
          <w:tcPr>
            <w:tcW w:w="1682" w:type="dxa"/>
            <w:vAlign w:val="center"/>
          </w:tcPr>
          <w:p w14:paraId="3727EB3A"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DESCRIPCIÓN</w:t>
            </w:r>
          </w:p>
        </w:tc>
        <w:tc>
          <w:tcPr>
            <w:tcW w:w="1507" w:type="dxa"/>
            <w:vAlign w:val="center"/>
          </w:tcPr>
          <w:p w14:paraId="1177E019"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COSTO DE LA MEDIDA</w:t>
            </w:r>
          </w:p>
        </w:tc>
        <w:tc>
          <w:tcPr>
            <w:tcW w:w="1739" w:type="dxa"/>
            <w:vAlign w:val="center"/>
          </w:tcPr>
          <w:p w14:paraId="3EDCD242"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RESPONSABLE</w:t>
            </w:r>
          </w:p>
        </w:tc>
      </w:tr>
      <w:tr w:rsidR="001A4860" w:rsidRPr="001A4860" w14:paraId="6BD7412A" w14:textId="77777777" w:rsidTr="001A4860">
        <w:trPr>
          <w:trHeight w:val="578"/>
        </w:trPr>
        <w:tc>
          <w:tcPr>
            <w:tcW w:w="1844" w:type="dxa"/>
            <w:noWrap/>
          </w:tcPr>
          <w:p w14:paraId="6340CA96"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Limpieza y excavación.</w:t>
            </w:r>
          </w:p>
        </w:tc>
        <w:tc>
          <w:tcPr>
            <w:tcW w:w="2126" w:type="dxa"/>
            <w:noWrap/>
          </w:tcPr>
          <w:p w14:paraId="47A8CF95"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Cambios temporales en la zona afectada por la instalación de la línea de conducción y la red de distribución.</w:t>
            </w:r>
          </w:p>
        </w:tc>
        <w:tc>
          <w:tcPr>
            <w:tcW w:w="1451" w:type="dxa"/>
          </w:tcPr>
          <w:p w14:paraId="323060F8"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Reutilizar el material de excavación para relleno en la zanja donde estará instalada la línea de conducción y la red de distribución.</w:t>
            </w:r>
          </w:p>
        </w:tc>
        <w:tc>
          <w:tcPr>
            <w:tcW w:w="1682" w:type="dxa"/>
          </w:tcPr>
          <w:p w14:paraId="0504DBC5"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El material que sea extraído de la excavación se usará nuevamente para el relleno de la misma, a la vez que se promoverá la reconformación del terreno a la configuración original.</w:t>
            </w:r>
          </w:p>
        </w:tc>
        <w:tc>
          <w:tcPr>
            <w:tcW w:w="1507" w:type="dxa"/>
          </w:tcPr>
          <w:p w14:paraId="266FC798"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Estas medidas están incorporadas dentro de los costos de ingeniería.</w:t>
            </w:r>
          </w:p>
        </w:tc>
        <w:tc>
          <w:tcPr>
            <w:tcW w:w="1739" w:type="dxa"/>
          </w:tcPr>
          <w:p w14:paraId="2948E072"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Contratista</w:t>
            </w:r>
          </w:p>
        </w:tc>
      </w:tr>
    </w:tbl>
    <w:p w14:paraId="3BEBDA99" w14:textId="77777777" w:rsidR="001A4860" w:rsidRPr="001A4860" w:rsidRDefault="001A4860" w:rsidP="001A4860">
      <w:pPr>
        <w:rPr>
          <w:sz w:val="22"/>
          <w:szCs w:val="22"/>
          <w:lang w:val="es-ES" w:eastAsia="es-ES"/>
        </w:rPr>
      </w:pPr>
    </w:p>
    <w:tbl>
      <w:tblPr>
        <w:tblStyle w:val="Tablaconcuadrcula1"/>
        <w:tblW w:w="10490" w:type="dxa"/>
        <w:tblInd w:w="-714" w:type="dxa"/>
        <w:tblLook w:val="04A0" w:firstRow="1" w:lastRow="0" w:firstColumn="1" w:lastColumn="0" w:noHBand="0" w:noVBand="1"/>
      </w:tblPr>
      <w:tblGrid>
        <w:gridCol w:w="1862"/>
        <w:gridCol w:w="1573"/>
        <w:gridCol w:w="1789"/>
        <w:gridCol w:w="1804"/>
        <w:gridCol w:w="1491"/>
        <w:gridCol w:w="1971"/>
      </w:tblGrid>
      <w:tr w:rsidR="001A4860" w:rsidRPr="001A4860" w14:paraId="6B0DD42C" w14:textId="77777777" w:rsidTr="001A4860">
        <w:tc>
          <w:tcPr>
            <w:tcW w:w="1862" w:type="dxa"/>
          </w:tcPr>
          <w:p w14:paraId="622E009D" w14:textId="77777777" w:rsidR="001A4860" w:rsidRPr="001A4860" w:rsidRDefault="001A4860" w:rsidP="001A4860">
            <w:pPr>
              <w:rPr>
                <w:b/>
                <w:bCs/>
                <w:sz w:val="22"/>
                <w:szCs w:val="22"/>
                <w:lang w:val="es-ES" w:eastAsia="es-ES"/>
              </w:rPr>
            </w:pPr>
            <w:r w:rsidRPr="001A4860">
              <w:rPr>
                <w:b/>
                <w:bCs/>
                <w:sz w:val="22"/>
                <w:szCs w:val="22"/>
                <w:lang w:val="es-ES" w:eastAsia="es-ES"/>
              </w:rPr>
              <w:t>Nº 2</w:t>
            </w:r>
          </w:p>
        </w:tc>
        <w:tc>
          <w:tcPr>
            <w:tcW w:w="8628" w:type="dxa"/>
            <w:gridSpan w:val="5"/>
          </w:tcPr>
          <w:p w14:paraId="19DA697E" w14:textId="77777777" w:rsidR="001A4860" w:rsidRPr="001A4860" w:rsidRDefault="001A4860" w:rsidP="001A4860">
            <w:pPr>
              <w:rPr>
                <w:b/>
                <w:bCs/>
                <w:sz w:val="22"/>
                <w:szCs w:val="22"/>
                <w:lang w:val="es-ES" w:eastAsia="es-ES"/>
              </w:rPr>
            </w:pPr>
            <w:r w:rsidRPr="001A4860">
              <w:rPr>
                <w:b/>
                <w:bCs/>
                <w:sz w:val="22"/>
                <w:szCs w:val="22"/>
                <w:lang w:val="es-ES" w:eastAsia="es-ES"/>
              </w:rPr>
              <w:t>NOMBRE DEL PLAN:  PLAN DE GESTIÓN DE LOS RIESGOS AMBIENTALES</w:t>
            </w:r>
          </w:p>
        </w:tc>
      </w:tr>
      <w:tr w:rsidR="001A4860" w:rsidRPr="001A4860" w14:paraId="31B9EC0D" w14:textId="77777777" w:rsidTr="001A4860">
        <w:tc>
          <w:tcPr>
            <w:tcW w:w="1862" w:type="dxa"/>
            <w:vAlign w:val="center"/>
          </w:tcPr>
          <w:p w14:paraId="0C918E2E"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ACTIVIDAD IMPACTANTE</w:t>
            </w:r>
          </w:p>
        </w:tc>
        <w:tc>
          <w:tcPr>
            <w:tcW w:w="1573" w:type="dxa"/>
            <w:vAlign w:val="center"/>
          </w:tcPr>
          <w:p w14:paraId="4708274B"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IMPACTO AMBIENTAL POTENCIAL</w:t>
            </w:r>
          </w:p>
        </w:tc>
        <w:tc>
          <w:tcPr>
            <w:tcW w:w="1789" w:type="dxa"/>
            <w:vAlign w:val="center"/>
          </w:tcPr>
          <w:p w14:paraId="1ED84502"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MEDIDA AMBIENTAL</w:t>
            </w:r>
          </w:p>
        </w:tc>
        <w:tc>
          <w:tcPr>
            <w:tcW w:w="1804" w:type="dxa"/>
            <w:vAlign w:val="center"/>
          </w:tcPr>
          <w:p w14:paraId="69DC329E"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DESCRIPCIÓN</w:t>
            </w:r>
          </w:p>
        </w:tc>
        <w:tc>
          <w:tcPr>
            <w:tcW w:w="1491" w:type="dxa"/>
            <w:vAlign w:val="center"/>
          </w:tcPr>
          <w:p w14:paraId="3F8ECFE2"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COSTO DE LA MEDIDA</w:t>
            </w:r>
          </w:p>
        </w:tc>
        <w:tc>
          <w:tcPr>
            <w:tcW w:w="1971" w:type="dxa"/>
            <w:vAlign w:val="center"/>
          </w:tcPr>
          <w:p w14:paraId="64C9EDF0" w14:textId="77777777" w:rsidR="001A4860" w:rsidRPr="001A4860" w:rsidRDefault="001A4860" w:rsidP="001A4860">
            <w:pPr>
              <w:spacing w:after="160" w:line="259" w:lineRule="auto"/>
              <w:jc w:val="center"/>
              <w:rPr>
                <w:b/>
                <w:bCs/>
                <w:sz w:val="22"/>
                <w:szCs w:val="22"/>
                <w:lang w:val="es-ES" w:eastAsia="es-ES"/>
              </w:rPr>
            </w:pPr>
            <w:r w:rsidRPr="001A4860">
              <w:rPr>
                <w:b/>
                <w:bCs/>
                <w:sz w:val="22"/>
                <w:szCs w:val="22"/>
                <w:lang w:val="es-ES" w:eastAsia="es-ES"/>
              </w:rPr>
              <w:t>RESPONSABLE</w:t>
            </w:r>
          </w:p>
        </w:tc>
      </w:tr>
      <w:tr w:rsidR="001A4860" w:rsidRPr="001A4860" w14:paraId="253D8C27" w14:textId="77777777" w:rsidTr="001A4860">
        <w:trPr>
          <w:trHeight w:val="578"/>
        </w:trPr>
        <w:tc>
          <w:tcPr>
            <w:tcW w:w="1862" w:type="dxa"/>
            <w:noWrap/>
          </w:tcPr>
          <w:p w14:paraId="44A17CB9" w14:textId="77777777" w:rsidR="001A4860" w:rsidRPr="001A4860" w:rsidRDefault="001A4860" w:rsidP="001A4860">
            <w:pPr>
              <w:spacing w:after="160" w:line="259" w:lineRule="auto"/>
              <w:rPr>
                <w:b/>
                <w:sz w:val="22"/>
                <w:szCs w:val="22"/>
                <w:lang w:val="es-ES" w:eastAsia="es-ES"/>
              </w:rPr>
            </w:pPr>
            <w:r w:rsidRPr="001A4860">
              <w:rPr>
                <w:sz w:val="22"/>
                <w:szCs w:val="22"/>
                <w:lang w:val="es-ES" w:eastAsia="es-ES"/>
              </w:rPr>
              <w:t>Movimientos de tierra, limpieza del terreno y construcción de las obras</w:t>
            </w:r>
            <w:r w:rsidRPr="001A4860">
              <w:rPr>
                <w:b/>
                <w:sz w:val="22"/>
                <w:szCs w:val="22"/>
                <w:lang w:val="es-ES" w:eastAsia="es-ES"/>
              </w:rPr>
              <w:t>.</w:t>
            </w:r>
          </w:p>
        </w:tc>
        <w:tc>
          <w:tcPr>
            <w:tcW w:w="1573" w:type="dxa"/>
            <w:noWrap/>
          </w:tcPr>
          <w:p w14:paraId="023AA26C"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Generación de residuos sólidos.</w:t>
            </w:r>
          </w:p>
        </w:tc>
        <w:tc>
          <w:tcPr>
            <w:tcW w:w="1789" w:type="dxa"/>
          </w:tcPr>
          <w:p w14:paraId="1E75BB37"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Disposición adecuada de los residuos de limpieza y extracción de tierra.</w:t>
            </w:r>
          </w:p>
          <w:p w14:paraId="259BE661"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 xml:space="preserve">Humedecimiento constante del material para evitar la </w:t>
            </w:r>
            <w:r w:rsidRPr="001A4860">
              <w:rPr>
                <w:bCs/>
                <w:sz w:val="22"/>
                <w:szCs w:val="22"/>
                <w:lang w:val="es-ES" w:eastAsia="es-ES"/>
              </w:rPr>
              <w:lastRenderedPageBreak/>
              <w:t>suspensión de polvo en el área.</w:t>
            </w:r>
          </w:p>
        </w:tc>
        <w:tc>
          <w:tcPr>
            <w:tcW w:w="1804" w:type="dxa"/>
            <w:vMerge w:val="restart"/>
          </w:tcPr>
          <w:p w14:paraId="68E1E6F6"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lastRenderedPageBreak/>
              <w:t xml:space="preserve">Los residuos generados producto de los movimientos de tierra serán dispuestos en zonas aledañas al sitio de construcción en áreas con </w:t>
            </w:r>
            <w:r w:rsidRPr="001A4860">
              <w:rPr>
                <w:bCs/>
                <w:sz w:val="22"/>
                <w:szCs w:val="22"/>
                <w:lang w:val="es-ES" w:eastAsia="es-ES"/>
              </w:rPr>
              <w:lastRenderedPageBreak/>
              <w:t>pendientes suaves.</w:t>
            </w:r>
          </w:p>
          <w:p w14:paraId="3D664F66"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En caso de generarse desechos orgánicos e inorgánicos no peligrosos, éstos serán enterrados en un sitio (zanja sanitaria) previamente designado y previamente autorizado por las instancias correspondientes.</w:t>
            </w:r>
          </w:p>
          <w:p w14:paraId="1900C257" w14:textId="77777777" w:rsidR="001A4860" w:rsidRPr="001A4860" w:rsidRDefault="001A4860" w:rsidP="001A4860">
            <w:pPr>
              <w:spacing w:after="160" w:line="259" w:lineRule="auto"/>
              <w:rPr>
                <w:sz w:val="22"/>
                <w:szCs w:val="22"/>
                <w:lang w:val="es-ES" w:eastAsia="es-ES"/>
              </w:rPr>
            </w:pPr>
            <w:r w:rsidRPr="001A4860">
              <w:rPr>
                <w:bCs/>
                <w:sz w:val="22"/>
                <w:szCs w:val="22"/>
                <w:lang w:val="es-ES" w:eastAsia="es-ES"/>
              </w:rPr>
              <w:t>Los residuos sólidos no deberán ser mezclados para garantizar su reciclaje o reutilización.</w:t>
            </w:r>
          </w:p>
        </w:tc>
        <w:tc>
          <w:tcPr>
            <w:tcW w:w="1491" w:type="dxa"/>
          </w:tcPr>
          <w:p w14:paraId="4D2C459E"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lastRenderedPageBreak/>
              <w:t>Estas medidas están incorporadas dentro de los costos de ingeniería.</w:t>
            </w:r>
          </w:p>
        </w:tc>
        <w:tc>
          <w:tcPr>
            <w:tcW w:w="1971" w:type="dxa"/>
          </w:tcPr>
          <w:p w14:paraId="36779936"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Contratista</w:t>
            </w:r>
          </w:p>
        </w:tc>
      </w:tr>
      <w:tr w:rsidR="001A4860" w:rsidRPr="001A4860" w14:paraId="24A1A629" w14:textId="77777777" w:rsidTr="001A4860">
        <w:trPr>
          <w:trHeight w:val="578"/>
        </w:trPr>
        <w:tc>
          <w:tcPr>
            <w:tcW w:w="1862" w:type="dxa"/>
            <w:noWrap/>
          </w:tcPr>
          <w:p w14:paraId="45367E59"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lastRenderedPageBreak/>
              <w:t>Construcción de estructuras (formaletas y trazado o delimitación, nivelación)</w:t>
            </w:r>
          </w:p>
        </w:tc>
        <w:tc>
          <w:tcPr>
            <w:tcW w:w="1573" w:type="dxa"/>
            <w:noWrap/>
          </w:tcPr>
          <w:p w14:paraId="5699EF6D"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Generación de residuos sólidos o materiales de desechos producto de la utilización de madera para formaleta, nivelación del terreno.</w:t>
            </w:r>
          </w:p>
        </w:tc>
        <w:tc>
          <w:tcPr>
            <w:tcW w:w="1789" w:type="dxa"/>
          </w:tcPr>
          <w:p w14:paraId="6A83134B"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Disposición adecuada de los residuos generados. En caso de material combustible de origen orgánico, se podrá entregar a los comunitarios para que puedan emplearlo como leña en sus hogares. Esto se plantea considerando que la población total de la comunidad realiza la cocción de sus alimentos con leña.</w:t>
            </w:r>
          </w:p>
        </w:tc>
        <w:tc>
          <w:tcPr>
            <w:tcW w:w="1804" w:type="dxa"/>
            <w:vMerge/>
          </w:tcPr>
          <w:p w14:paraId="41881743" w14:textId="77777777" w:rsidR="001A4860" w:rsidRPr="001A4860" w:rsidRDefault="001A4860" w:rsidP="001A4860">
            <w:pPr>
              <w:spacing w:after="160" w:line="259" w:lineRule="auto"/>
              <w:rPr>
                <w:sz w:val="22"/>
                <w:szCs w:val="22"/>
                <w:lang w:val="es-ES" w:eastAsia="es-ES"/>
              </w:rPr>
            </w:pPr>
          </w:p>
        </w:tc>
        <w:tc>
          <w:tcPr>
            <w:tcW w:w="1491" w:type="dxa"/>
          </w:tcPr>
          <w:p w14:paraId="1CF13837"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Estas medidas están incorporadas dentro de los costos de ingeniería.</w:t>
            </w:r>
          </w:p>
        </w:tc>
        <w:tc>
          <w:tcPr>
            <w:tcW w:w="1971" w:type="dxa"/>
          </w:tcPr>
          <w:p w14:paraId="6D064568"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Contratista</w:t>
            </w:r>
          </w:p>
        </w:tc>
      </w:tr>
      <w:tr w:rsidR="001A4860" w:rsidRPr="001A4860" w14:paraId="5E0E35EC" w14:textId="77777777" w:rsidTr="001A4860">
        <w:trPr>
          <w:trHeight w:val="578"/>
        </w:trPr>
        <w:tc>
          <w:tcPr>
            <w:tcW w:w="1862" w:type="dxa"/>
            <w:noWrap/>
          </w:tcPr>
          <w:p w14:paraId="687044A4"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Producción de desechos o excretas humanas</w:t>
            </w:r>
          </w:p>
        </w:tc>
        <w:tc>
          <w:tcPr>
            <w:tcW w:w="1573" w:type="dxa"/>
            <w:noWrap/>
          </w:tcPr>
          <w:p w14:paraId="360627F0"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Contaminación del agua superficial o alimentos de los comunitarios a través de insectos vectores.</w:t>
            </w:r>
          </w:p>
        </w:tc>
        <w:tc>
          <w:tcPr>
            <w:tcW w:w="1789" w:type="dxa"/>
          </w:tcPr>
          <w:p w14:paraId="2536EC4B"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Disposición de una letrina para los obreros que trabajarán en la construcción de las obras.</w:t>
            </w:r>
          </w:p>
        </w:tc>
        <w:tc>
          <w:tcPr>
            <w:tcW w:w="1804" w:type="dxa"/>
          </w:tcPr>
          <w:p w14:paraId="4713C560" w14:textId="77777777" w:rsidR="001A4860" w:rsidRPr="001A4860" w:rsidRDefault="001A4860" w:rsidP="001A4860">
            <w:pPr>
              <w:spacing w:after="160" w:line="259" w:lineRule="auto"/>
              <w:rPr>
                <w:sz w:val="22"/>
                <w:szCs w:val="22"/>
                <w:lang w:val="es-ES" w:eastAsia="es-ES"/>
              </w:rPr>
            </w:pPr>
            <w:r w:rsidRPr="001A4860">
              <w:rPr>
                <w:bCs/>
                <w:sz w:val="22"/>
                <w:szCs w:val="22"/>
                <w:lang w:val="es-ES" w:eastAsia="es-ES"/>
              </w:rPr>
              <w:t>El contratista o constructor deberá disponer de una letrina de manera temporal en la zona del proyecto, con el propósito que los obreros puedan contar con un servicio higiénico que permita realizar sus necesidades fisiológicas en un lugar adecuado, y evitar de esta forma el fecalismo al aire libre.</w:t>
            </w:r>
          </w:p>
        </w:tc>
        <w:tc>
          <w:tcPr>
            <w:tcW w:w="1491" w:type="dxa"/>
          </w:tcPr>
          <w:p w14:paraId="5C87BC54"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Estas medidas están incorporadas dentro de los costos de ingeniería.</w:t>
            </w:r>
          </w:p>
        </w:tc>
        <w:tc>
          <w:tcPr>
            <w:tcW w:w="1971" w:type="dxa"/>
          </w:tcPr>
          <w:p w14:paraId="5E50D528"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Contratista</w:t>
            </w:r>
          </w:p>
        </w:tc>
      </w:tr>
      <w:tr w:rsidR="001A4860" w:rsidRPr="001A4860" w14:paraId="456556CF" w14:textId="77777777" w:rsidTr="001A4860">
        <w:trPr>
          <w:trHeight w:val="578"/>
        </w:trPr>
        <w:tc>
          <w:tcPr>
            <w:tcW w:w="1862" w:type="dxa"/>
            <w:noWrap/>
          </w:tcPr>
          <w:p w14:paraId="62378921"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lastRenderedPageBreak/>
              <w:t>Remoción de suelos.</w:t>
            </w:r>
          </w:p>
        </w:tc>
        <w:tc>
          <w:tcPr>
            <w:tcW w:w="1573" w:type="dxa"/>
            <w:noWrap/>
          </w:tcPr>
          <w:p w14:paraId="0794B47F"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Erosión del suelo.</w:t>
            </w:r>
          </w:p>
        </w:tc>
        <w:tc>
          <w:tcPr>
            <w:tcW w:w="1789" w:type="dxa"/>
          </w:tcPr>
          <w:p w14:paraId="6EDD2920"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Restablecimiento del material de cobertura original.</w:t>
            </w:r>
          </w:p>
          <w:p w14:paraId="357FAB49"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Evitar el paso de maquinaria pesada sobre suelo con cobertura vegetal fuera del área de la obra, la cual deberá ser delimitada y señalizada.</w:t>
            </w:r>
          </w:p>
          <w:p w14:paraId="7DDAD054"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Compactar el terreno con buen material de relleno. Separar la capa de material orgánico de la del material inerte, puesto que el material orgánico podría ser reutilizado.</w:t>
            </w:r>
          </w:p>
          <w:p w14:paraId="4E772B4A"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Delimitar y señalizar las áreas de cobertura vegetal que será intervenida por las obras.</w:t>
            </w:r>
          </w:p>
          <w:p w14:paraId="4CC48AA0"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Finalizada la construcción de las obras, los materiales sobrantes y residuos deberán ser retirados del sitio del proyecto.</w:t>
            </w:r>
          </w:p>
        </w:tc>
        <w:tc>
          <w:tcPr>
            <w:tcW w:w="1804" w:type="dxa"/>
          </w:tcPr>
          <w:p w14:paraId="2B0706AD"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Se deberá observar la composición y estructura de la vegetación con el fin de restaurarla a su estado inicial.</w:t>
            </w:r>
          </w:p>
          <w:p w14:paraId="4797D990" w14:textId="77777777" w:rsidR="001A4860" w:rsidRPr="001A4860" w:rsidRDefault="001A4860" w:rsidP="001A4860">
            <w:pPr>
              <w:spacing w:after="160" w:line="259" w:lineRule="auto"/>
              <w:rPr>
                <w:sz w:val="22"/>
                <w:szCs w:val="22"/>
                <w:lang w:val="es-ES" w:eastAsia="es-ES"/>
              </w:rPr>
            </w:pPr>
          </w:p>
          <w:p w14:paraId="2782446D"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Se promoverá el empleo de mano de obra para realizar los trabajos mecanizados y así evitar el empleo de maquinaria pesada que podría causar daños al suelo o vegetación del lugar.</w:t>
            </w:r>
          </w:p>
        </w:tc>
        <w:tc>
          <w:tcPr>
            <w:tcW w:w="1491" w:type="dxa"/>
          </w:tcPr>
          <w:p w14:paraId="4B87DEA4"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Estas medidas están incorporadas dentro de los costos de ingeniería.</w:t>
            </w:r>
          </w:p>
        </w:tc>
        <w:tc>
          <w:tcPr>
            <w:tcW w:w="1971" w:type="dxa"/>
          </w:tcPr>
          <w:p w14:paraId="367519A3" w14:textId="77777777" w:rsidR="001A4860" w:rsidRPr="001A4860" w:rsidRDefault="001A4860" w:rsidP="001A4860">
            <w:pPr>
              <w:spacing w:after="160" w:line="259" w:lineRule="auto"/>
              <w:rPr>
                <w:sz w:val="22"/>
                <w:szCs w:val="22"/>
                <w:lang w:val="es-ES" w:eastAsia="es-ES"/>
              </w:rPr>
            </w:pPr>
            <w:r w:rsidRPr="001A4860">
              <w:rPr>
                <w:sz w:val="22"/>
                <w:szCs w:val="22"/>
                <w:lang w:val="es-ES" w:eastAsia="es-ES"/>
              </w:rPr>
              <w:t>Contratista</w:t>
            </w:r>
          </w:p>
        </w:tc>
      </w:tr>
      <w:tr w:rsidR="001A4860" w:rsidRPr="001A4860" w14:paraId="3515C912" w14:textId="77777777" w:rsidTr="001A4860">
        <w:tc>
          <w:tcPr>
            <w:tcW w:w="1862" w:type="dxa"/>
          </w:tcPr>
          <w:p w14:paraId="5BC01FCF"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Manipulación y almacenamiento de materiales y residuos</w:t>
            </w:r>
          </w:p>
        </w:tc>
        <w:tc>
          <w:tcPr>
            <w:tcW w:w="1573" w:type="dxa"/>
          </w:tcPr>
          <w:p w14:paraId="74913584" w14:textId="77777777" w:rsidR="001A4860" w:rsidRPr="001A4860" w:rsidRDefault="001A4860" w:rsidP="001A4860">
            <w:pPr>
              <w:spacing w:after="160" w:line="259" w:lineRule="auto"/>
              <w:rPr>
                <w:b/>
                <w:bCs/>
                <w:sz w:val="22"/>
                <w:szCs w:val="22"/>
                <w:lang w:val="es-ES" w:eastAsia="es-ES"/>
              </w:rPr>
            </w:pPr>
            <w:r w:rsidRPr="001A4860">
              <w:rPr>
                <w:bCs/>
                <w:sz w:val="22"/>
                <w:szCs w:val="22"/>
                <w:lang w:val="es-ES" w:eastAsia="es-ES"/>
              </w:rPr>
              <w:t xml:space="preserve">Riesgos de contaminación de agua y suelo por derrame o </w:t>
            </w:r>
            <w:r w:rsidRPr="001A4860">
              <w:rPr>
                <w:bCs/>
                <w:sz w:val="22"/>
                <w:szCs w:val="22"/>
                <w:lang w:val="es-ES" w:eastAsia="es-ES"/>
              </w:rPr>
              <w:lastRenderedPageBreak/>
              <w:t>vertido de grasas y combustibles.</w:t>
            </w:r>
          </w:p>
        </w:tc>
        <w:tc>
          <w:tcPr>
            <w:tcW w:w="1789" w:type="dxa"/>
          </w:tcPr>
          <w:p w14:paraId="01BF09AF"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lastRenderedPageBreak/>
              <w:t xml:space="preserve">Definir un área para la manipulación de materiales. En </w:t>
            </w:r>
            <w:r w:rsidRPr="001A4860">
              <w:rPr>
                <w:bCs/>
                <w:sz w:val="22"/>
                <w:szCs w:val="22"/>
                <w:lang w:val="es-ES" w:eastAsia="es-ES"/>
              </w:rPr>
              <w:lastRenderedPageBreak/>
              <w:t>caso de generar desechos de este tipo, deberán ser manejados con especial cuidado y sacados del área del proyecto, evitando que se puedan dar derrames.</w:t>
            </w:r>
          </w:p>
          <w:p w14:paraId="18E33473"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Seleccionar sitio y ubicación de recipiente de almacenamiento de residuos.</w:t>
            </w:r>
          </w:p>
          <w:p w14:paraId="5F5FEA42"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Recolectar los residuos (embalajes, alimenticios, otros) generados en el sitio del proyecto y recipientes definidos.</w:t>
            </w:r>
          </w:p>
          <w:p w14:paraId="7DAAC595"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En caso de derrames de combustible, remover inmediatamente el suelo y restaurar el área afectada con materiales y métodos eficaces.</w:t>
            </w:r>
          </w:p>
          <w:p w14:paraId="1B6ADCA4"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El acopio de los materiales deberá realizarse a una distancia prudencial y no menor a 100 m de la fuente o cauces de corrientes naturales.</w:t>
            </w:r>
          </w:p>
          <w:p w14:paraId="6D9F4EA0"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lastRenderedPageBreak/>
              <w:t>No disponer en cauces o cursos de agua los sobrantes de mezclas de concreto.</w:t>
            </w:r>
          </w:p>
          <w:p w14:paraId="1398422B"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No se deberá realizar el almacenamiento temporal de combustible en el campamento y en áreas localizadas frente a las obras.</w:t>
            </w:r>
          </w:p>
          <w:p w14:paraId="532F30C7"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Los residuos sólidos peligrosos generados como las hilazas, botes de pinturas entre otros, deberán ser confinados.</w:t>
            </w:r>
          </w:p>
          <w:p w14:paraId="546F353B"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t>Se deberá designar un área de mezcla de concreto, el área será rotulada y la mezcla debe realizarse en un recipiente o sobre un plástico negro para evitar la contaminación del suelo. La mezcla de concreto deberá ser manejada cuidadosamente evitando derrame en el suelo.</w:t>
            </w:r>
          </w:p>
        </w:tc>
        <w:tc>
          <w:tcPr>
            <w:tcW w:w="1804" w:type="dxa"/>
          </w:tcPr>
          <w:p w14:paraId="495A0AB3"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lastRenderedPageBreak/>
              <w:t xml:space="preserve">Con esta medida se pretende evitar el riesgo de contaminar las </w:t>
            </w:r>
            <w:r w:rsidRPr="001A4860">
              <w:rPr>
                <w:bCs/>
                <w:sz w:val="22"/>
                <w:szCs w:val="22"/>
                <w:lang w:val="es-ES" w:eastAsia="es-ES"/>
              </w:rPr>
              <w:lastRenderedPageBreak/>
              <w:t>aguas y el suelo del entorno, producto de un accidente asociado a la manipulación de grasas y combustibles.</w:t>
            </w:r>
          </w:p>
        </w:tc>
        <w:tc>
          <w:tcPr>
            <w:tcW w:w="1491" w:type="dxa"/>
          </w:tcPr>
          <w:p w14:paraId="1E594EF2"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lastRenderedPageBreak/>
              <w:t xml:space="preserve">Incluido en los costos operacionales </w:t>
            </w:r>
            <w:r w:rsidRPr="001A4860">
              <w:rPr>
                <w:bCs/>
                <w:sz w:val="22"/>
                <w:szCs w:val="22"/>
                <w:lang w:val="es-ES" w:eastAsia="es-ES"/>
              </w:rPr>
              <w:lastRenderedPageBreak/>
              <w:t>del contratista.</w:t>
            </w:r>
          </w:p>
        </w:tc>
        <w:tc>
          <w:tcPr>
            <w:tcW w:w="1971" w:type="dxa"/>
          </w:tcPr>
          <w:p w14:paraId="63364C30" w14:textId="77777777" w:rsidR="001A4860" w:rsidRPr="001A4860" w:rsidRDefault="001A4860" w:rsidP="001A4860">
            <w:pPr>
              <w:spacing w:after="160" w:line="259" w:lineRule="auto"/>
              <w:rPr>
                <w:bCs/>
                <w:sz w:val="22"/>
                <w:szCs w:val="22"/>
                <w:lang w:val="es-ES" w:eastAsia="es-ES"/>
              </w:rPr>
            </w:pPr>
            <w:r w:rsidRPr="001A4860">
              <w:rPr>
                <w:bCs/>
                <w:sz w:val="22"/>
                <w:szCs w:val="22"/>
                <w:lang w:val="es-ES" w:eastAsia="es-ES"/>
              </w:rPr>
              <w:lastRenderedPageBreak/>
              <w:t>Contratista</w:t>
            </w:r>
          </w:p>
        </w:tc>
      </w:tr>
    </w:tbl>
    <w:p w14:paraId="1FCF8624" w14:textId="77777777" w:rsidR="001A4860" w:rsidRPr="001A4860" w:rsidRDefault="001A4860" w:rsidP="001A4860">
      <w:pPr>
        <w:rPr>
          <w:sz w:val="22"/>
          <w:szCs w:val="22"/>
          <w:lang w:val="es-ES" w:eastAsia="es-ES"/>
        </w:rPr>
      </w:pPr>
    </w:p>
    <w:p w14:paraId="7759DB4E" w14:textId="77777777" w:rsidR="001A4860" w:rsidRPr="001A4860" w:rsidRDefault="001A4860" w:rsidP="001A4860">
      <w:pPr>
        <w:rPr>
          <w:sz w:val="22"/>
          <w:szCs w:val="22"/>
          <w:lang w:val="es-ES" w:eastAsia="es-ES"/>
        </w:rPr>
      </w:pPr>
    </w:p>
    <w:p w14:paraId="4D3F436F" w14:textId="77777777" w:rsidR="001A4860" w:rsidRPr="001A4860" w:rsidRDefault="001A4860" w:rsidP="001A4860">
      <w:pPr>
        <w:rPr>
          <w:b/>
          <w:bCs/>
          <w:iCs/>
          <w:sz w:val="22"/>
          <w:szCs w:val="22"/>
          <w:u w:val="single"/>
          <w:lang w:val="es-ES" w:eastAsia="es-ES"/>
        </w:rPr>
      </w:pPr>
      <w:r w:rsidRPr="001A4860">
        <w:rPr>
          <w:b/>
          <w:bCs/>
          <w:iCs/>
          <w:sz w:val="22"/>
          <w:szCs w:val="22"/>
          <w:u w:val="single"/>
          <w:lang w:val="es-ES" w:eastAsia="es-ES"/>
        </w:rPr>
        <w:t xml:space="preserve">PLAN DE CAPACITACIÓN Y EDUCACIÓN AMBIENTAL </w:t>
      </w:r>
    </w:p>
    <w:p w14:paraId="0F0ADC28" w14:textId="77777777" w:rsidR="001A4860" w:rsidRPr="001A4860" w:rsidRDefault="001A4860" w:rsidP="001A4860">
      <w:pPr>
        <w:rPr>
          <w:sz w:val="22"/>
          <w:szCs w:val="22"/>
          <w:lang w:val="es-ES" w:eastAsia="es-ES"/>
        </w:rPr>
      </w:pPr>
      <w:r w:rsidRPr="001A4860">
        <w:rPr>
          <w:sz w:val="22"/>
          <w:szCs w:val="22"/>
          <w:lang w:val="es-ES" w:eastAsia="es-ES"/>
        </w:rPr>
        <w:lastRenderedPageBreak/>
        <w:t>Plan de Capacitación está dirigido al Comité de Agua y Saneamiento (CAPS), con el objetivo de la implementación del cumplimiento de las medidas de mitigación orientadas a evitar o mitigar los impactos generados por el proyecto.</w:t>
      </w:r>
    </w:p>
    <w:p w14:paraId="2EACB469" w14:textId="77777777" w:rsidR="001A4860" w:rsidRPr="001A4860" w:rsidRDefault="001A4860" w:rsidP="001A4860">
      <w:pPr>
        <w:rPr>
          <w:sz w:val="22"/>
          <w:szCs w:val="22"/>
          <w:lang w:val="es-ES" w:eastAsia="es-ES"/>
        </w:rPr>
      </w:pPr>
      <w:r w:rsidRPr="001A4860">
        <w:rPr>
          <w:sz w:val="22"/>
          <w:szCs w:val="22"/>
          <w:lang w:val="es-ES" w:eastAsia="es-ES"/>
        </w:rPr>
        <w:t xml:space="preserve">La temática impartida por Facilitador Social Individual contratado por el Contratista, serán los siguientes: </w:t>
      </w:r>
    </w:p>
    <w:p w14:paraId="3291FDBB" w14:textId="77777777" w:rsidR="001A4860" w:rsidRPr="001A4860" w:rsidRDefault="001A4860" w:rsidP="001A4860">
      <w:pPr>
        <w:rPr>
          <w:sz w:val="22"/>
          <w:szCs w:val="22"/>
          <w:lang w:val="es-ES" w:eastAsia="es-ES"/>
        </w:rPr>
      </w:pPr>
    </w:p>
    <w:tbl>
      <w:tblPr>
        <w:tblStyle w:val="Tablaconcuadrcula1"/>
        <w:tblW w:w="9918" w:type="dxa"/>
        <w:jc w:val="center"/>
        <w:tblInd w:w="0" w:type="dxa"/>
        <w:tblLook w:val="04A0" w:firstRow="1" w:lastRow="0" w:firstColumn="1" w:lastColumn="0" w:noHBand="0" w:noVBand="1"/>
      </w:tblPr>
      <w:tblGrid>
        <w:gridCol w:w="1888"/>
        <w:gridCol w:w="1632"/>
        <w:gridCol w:w="1482"/>
        <w:gridCol w:w="1683"/>
        <w:gridCol w:w="1280"/>
        <w:gridCol w:w="1953"/>
      </w:tblGrid>
      <w:tr w:rsidR="001A4860" w:rsidRPr="001A4860" w14:paraId="0F1E3950" w14:textId="77777777" w:rsidTr="001A4860">
        <w:trPr>
          <w:jc w:val="center"/>
        </w:trPr>
        <w:tc>
          <w:tcPr>
            <w:tcW w:w="2127" w:type="dxa"/>
            <w:vAlign w:val="center"/>
          </w:tcPr>
          <w:p w14:paraId="25BFC3C1" w14:textId="77777777" w:rsidR="001A4860" w:rsidRPr="001A4860" w:rsidRDefault="001A4860" w:rsidP="001A4860">
            <w:pPr>
              <w:rPr>
                <w:b/>
                <w:sz w:val="22"/>
                <w:szCs w:val="22"/>
                <w:lang w:val="es-ES" w:eastAsia="es-ES"/>
              </w:rPr>
            </w:pPr>
            <w:r w:rsidRPr="001A4860">
              <w:rPr>
                <w:b/>
                <w:sz w:val="22"/>
                <w:szCs w:val="22"/>
                <w:lang w:val="es-ES" w:eastAsia="es-ES"/>
              </w:rPr>
              <w:t>TEMÁTICA</w:t>
            </w:r>
          </w:p>
        </w:tc>
        <w:tc>
          <w:tcPr>
            <w:tcW w:w="1701" w:type="dxa"/>
            <w:vAlign w:val="center"/>
          </w:tcPr>
          <w:p w14:paraId="48C58E44" w14:textId="77777777" w:rsidR="001A4860" w:rsidRPr="001A4860" w:rsidRDefault="001A4860" w:rsidP="001A4860">
            <w:pPr>
              <w:rPr>
                <w:b/>
                <w:sz w:val="22"/>
                <w:szCs w:val="22"/>
                <w:lang w:val="es-ES" w:eastAsia="es-ES"/>
              </w:rPr>
            </w:pPr>
            <w:r w:rsidRPr="001A4860">
              <w:rPr>
                <w:b/>
                <w:sz w:val="22"/>
                <w:szCs w:val="22"/>
                <w:lang w:val="es-ES" w:eastAsia="es-ES"/>
              </w:rPr>
              <w:t>PERSONAL A CAPACITAR</w:t>
            </w:r>
          </w:p>
        </w:tc>
        <w:tc>
          <w:tcPr>
            <w:tcW w:w="1495" w:type="dxa"/>
            <w:vAlign w:val="center"/>
          </w:tcPr>
          <w:p w14:paraId="5DEFA7A9" w14:textId="77777777" w:rsidR="001A4860" w:rsidRPr="001A4860" w:rsidRDefault="001A4860" w:rsidP="001A4860">
            <w:pPr>
              <w:rPr>
                <w:b/>
                <w:sz w:val="22"/>
                <w:szCs w:val="22"/>
                <w:lang w:val="es-ES" w:eastAsia="es-ES"/>
              </w:rPr>
            </w:pPr>
            <w:r w:rsidRPr="001A4860">
              <w:rPr>
                <w:b/>
                <w:sz w:val="22"/>
                <w:szCs w:val="22"/>
                <w:lang w:val="es-ES" w:eastAsia="es-ES"/>
              </w:rPr>
              <w:t xml:space="preserve">ETAPA DEL PROYECTO </w:t>
            </w:r>
          </w:p>
        </w:tc>
        <w:tc>
          <w:tcPr>
            <w:tcW w:w="1481" w:type="dxa"/>
            <w:vAlign w:val="center"/>
          </w:tcPr>
          <w:p w14:paraId="4DFFD9E2" w14:textId="77777777" w:rsidR="001A4860" w:rsidRPr="001A4860" w:rsidRDefault="001A4860" w:rsidP="001A4860">
            <w:pPr>
              <w:rPr>
                <w:b/>
                <w:sz w:val="22"/>
                <w:szCs w:val="22"/>
                <w:lang w:val="es-ES" w:eastAsia="es-ES"/>
              </w:rPr>
            </w:pPr>
            <w:r w:rsidRPr="001A4860">
              <w:rPr>
                <w:b/>
                <w:sz w:val="22"/>
                <w:szCs w:val="22"/>
                <w:lang w:val="es-ES" w:eastAsia="es-ES"/>
              </w:rPr>
              <w:t>PERIODO O FRECUENCIA</w:t>
            </w:r>
          </w:p>
        </w:tc>
        <w:tc>
          <w:tcPr>
            <w:tcW w:w="1404" w:type="dxa"/>
            <w:vAlign w:val="center"/>
          </w:tcPr>
          <w:p w14:paraId="6B56849F" w14:textId="77777777" w:rsidR="001A4860" w:rsidRPr="001A4860" w:rsidRDefault="001A4860" w:rsidP="001A4860">
            <w:pPr>
              <w:rPr>
                <w:b/>
                <w:sz w:val="22"/>
                <w:szCs w:val="22"/>
                <w:lang w:val="es-ES" w:eastAsia="es-ES"/>
              </w:rPr>
            </w:pPr>
            <w:r w:rsidRPr="001A4860">
              <w:rPr>
                <w:b/>
                <w:sz w:val="22"/>
                <w:szCs w:val="22"/>
                <w:lang w:val="es-ES" w:eastAsia="es-ES"/>
              </w:rPr>
              <w:t>COSTOS</w:t>
            </w:r>
          </w:p>
        </w:tc>
        <w:tc>
          <w:tcPr>
            <w:tcW w:w="1710" w:type="dxa"/>
            <w:vAlign w:val="center"/>
          </w:tcPr>
          <w:p w14:paraId="712AB993" w14:textId="77777777" w:rsidR="001A4860" w:rsidRPr="001A4860" w:rsidRDefault="001A4860" w:rsidP="001A4860">
            <w:pPr>
              <w:rPr>
                <w:b/>
                <w:sz w:val="22"/>
                <w:szCs w:val="22"/>
                <w:lang w:val="es-ES" w:eastAsia="es-ES"/>
              </w:rPr>
            </w:pPr>
            <w:r w:rsidRPr="001A4860">
              <w:rPr>
                <w:b/>
                <w:sz w:val="22"/>
                <w:szCs w:val="22"/>
                <w:lang w:val="es-ES" w:eastAsia="es-ES"/>
              </w:rPr>
              <w:t>RESPONSABLES</w:t>
            </w:r>
          </w:p>
        </w:tc>
      </w:tr>
      <w:tr w:rsidR="001A4860" w:rsidRPr="001A4860" w14:paraId="68DA08B4" w14:textId="77777777" w:rsidTr="001A4860">
        <w:trPr>
          <w:trHeight w:val="282"/>
          <w:jc w:val="center"/>
        </w:trPr>
        <w:tc>
          <w:tcPr>
            <w:tcW w:w="2127" w:type="dxa"/>
            <w:vAlign w:val="center"/>
          </w:tcPr>
          <w:p w14:paraId="15895DC0" w14:textId="77777777" w:rsidR="001A4860" w:rsidRPr="001A4860" w:rsidRDefault="001A4860" w:rsidP="001A4860">
            <w:pPr>
              <w:rPr>
                <w:sz w:val="22"/>
                <w:szCs w:val="22"/>
                <w:lang w:val="es-ES" w:eastAsia="es-ES"/>
              </w:rPr>
            </w:pPr>
            <w:r w:rsidRPr="001A4860">
              <w:rPr>
                <w:sz w:val="22"/>
                <w:szCs w:val="22"/>
                <w:lang w:val="es-ES" w:eastAsia="es-ES"/>
              </w:rPr>
              <w:t xml:space="preserve">Operación y Mantenimiento </w:t>
            </w:r>
          </w:p>
        </w:tc>
        <w:tc>
          <w:tcPr>
            <w:tcW w:w="1701" w:type="dxa"/>
            <w:vAlign w:val="center"/>
          </w:tcPr>
          <w:p w14:paraId="51DE3E41" w14:textId="77777777" w:rsidR="001A4860" w:rsidRPr="001A4860" w:rsidRDefault="001A4860" w:rsidP="001A4860">
            <w:pPr>
              <w:rPr>
                <w:sz w:val="22"/>
                <w:szCs w:val="22"/>
                <w:lang w:val="es-ES" w:eastAsia="es-ES"/>
              </w:rPr>
            </w:pPr>
            <w:r w:rsidRPr="001A4860">
              <w:rPr>
                <w:sz w:val="22"/>
                <w:szCs w:val="22"/>
                <w:lang w:val="es-ES" w:eastAsia="es-ES"/>
              </w:rPr>
              <w:t>CAPS</w:t>
            </w:r>
          </w:p>
        </w:tc>
        <w:tc>
          <w:tcPr>
            <w:tcW w:w="1495" w:type="dxa"/>
            <w:vAlign w:val="center"/>
          </w:tcPr>
          <w:p w14:paraId="56072398" w14:textId="77777777" w:rsidR="001A4860" w:rsidRPr="001A4860" w:rsidRDefault="001A4860" w:rsidP="001A4860">
            <w:pPr>
              <w:rPr>
                <w:sz w:val="22"/>
                <w:szCs w:val="22"/>
                <w:lang w:val="es-ES" w:eastAsia="es-ES"/>
              </w:rPr>
            </w:pPr>
            <w:r w:rsidRPr="001A4860">
              <w:rPr>
                <w:sz w:val="22"/>
                <w:szCs w:val="22"/>
                <w:lang w:val="es-ES" w:eastAsia="es-ES"/>
              </w:rPr>
              <w:t xml:space="preserve">Ejecución </w:t>
            </w:r>
          </w:p>
        </w:tc>
        <w:tc>
          <w:tcPr>
            <w:tcW w:w="1481" w:type="dxa"/>
            <w:vAlign w:val="center"/>
          </w:tcPr>
          <w:p w14:paraId="6AED7235" w14:textId="77777777" w:rsidR="001A4860" w:rsidRPr="001A4860" w:rsidRDefault="001A4860" w:rsidP="001A4860">
            <w:pPr>
              <w:rPr>
                <w:sz w:val="22"/>
                <w:szCs w:val="22"/>
                <w:lang w:val="es-ES" w:eastAsia="es-ES"/>
              </w:rPr>
            </w:pPr>
          </w:p>
          <w:p w14:paraId="32433BFD" w14:textId="77777777" w:rsidR="001A4860" w:rsidRPr="001A4860" w:rsidRDefault="001A4860" w:rsidP="001A4860">
            <w:pPr>
              <w:rPr>
                <w:sz w:val="22"/>
                <w:szCs w:val="22"/>
                <w:lang w:val="es-ES" w:eastAsia="es-ES"/>
              </w:rPr>
            </w:pPr>
            <w:r w:rsidRPr="001A4860">
              <w:rPr>
                <w:sz w:val="22"/>
                <w:szCs w:val="22"/>
                <w:lang w:val="es-ES" w:eastAsia="es-ES"/>
              </w:rPr>
              <w:t>Una sola vez</w:t>
            </w:r>
          </w:p>
          <w:p w14:paraId="58611F91" w14:textId="77777777" w:rsidR="001A4860" w:rsidRPr="001A4860" w:rsidRDefault="001A4860" w:rsidP="001A4860">
            <w:pPr>
              <w:rPr>
                <w:sz w:val="22"/>
                <w:szCs w:val="22"/>
                <w:lang w:val="es-ES" w:eastAsia="es-ES"/>
              </w:rPr>
            </w:pPr>
          </w:p>
        </w:tc>
        <w:tc>
          <w:tcPr>
            <w:tcW w:w="1404" w:type="dxa"/>
          </w:tcPr>
          <w:p w14:paraId="2104E288" w14:textId="77777777" w:rsidR="001A4860" w:rsidRPr="001A4860" w:rsidRDefault="001A4860" w:rsidP="001A4860">
            <w:pPr>
              <w:rPr>
                <w:sz w:val="22"/>
                <w:szCs w:val="22"/>
                <w:lang w:val="es-ES" w:eastAsia="es-ES"/>
              </w:rPr>
            </w:pPr>
          </w:p>
          <w:p w14:paraId="5373419D" w14:textId="77777777" w:rsidR="001A4860" w:rsidRPr="001A4860" w:rsidRDefault="001A4860" w:rsidP="001A4860">
            <w:pPr>
              <w:rPr>
                <w:sz w:val="22"/>
                <w:szCs w:val="22"/>
                <w:lang w:val="es-ES" w:eastAsia="es-ES"/>
              </w:rPr>
            </w:pPr>
            <w:r w:rsidRPr="001A4860">
              <w:rPr>
                <w:sz w:val="22"/>
                <w:szCs w:val="22"/>
                <w:lang w:val="es-ES" w:eastAsia="es-ES"/>
              </w:rPr>
              <w:t xml:space="preserve">   Indirectos</w:t>
            </w:r>
          </w:p>
          <w:p w14:paraId="07A90572" w14:textId="77777777" w:rsidR="001A4860" w:rsidRPr="001A4860" w:rsidRDefault="001A4860" w:rsidP="001A4860">
            <w:pPr>
              <w:rPr>
                <w:sz w:val="22"/>
                <w:szCs w:val="22"/>
                <w:lang w:val="es-ES" w:eastAsia="es-ES"/>
              </w:rPr>
            </w:pPr>
          </w:p>
        </w:tc>
        <w:tc>
          <w:tcPr>
            <w:tcW w:w="1710" w:type="dxa"/>
          </w:tcPr>
          <w:p w14:paraId="7A429EFB" w14:textId="77777777" w:rsidR="001A4860" w:rsidRPr="001A4860" w:rsidRDefault="001A4860" w:rsidP="001A4860">
            <w:pPr>
              <w:rPr>
                <w:sz w:val="22"/>
                <w:szCs w:val="22"/>
                <w:lang w:val="es-ES" w:eastAsia="es-ES"/>
              </w:rPr>
            </w:pPr>
            <w:r w:rsidRPr="001A4860">
              <w:rPr>
                <w:sz w:val="22"/>
                <w:szCs w:val="22"/>
                <w:lang w:val="es-ES" w:eastAsia="es-ES"/>
              </w:rPr>
              <w:t>Facilitador Social Individual</w:t>
            </w:r>
          </w:p>
        </w:tc>
      </w:tr>
      <w:tr w:rsidR="001A4860" w:rsidRPr="001A4860" w14:paraId="11B77933" w14:textId="77777777" w:rsidTr="001A4860">
        <w:trPr>
          <w:trHeight w:val="1017"/>
          <w:jc w:val="center"/>
        </w:trPr>
        <w:tc>
          <w:tcPr>
            <w:tcW w:w="2127" w:type="dxa"/>
          </w:tcPr>
          <w:p w14:paraId="0F8CD59C" w14:textId="77777777" w:rsidR="001A4860" w:rsidRPr="001A4860" w:rsidRDefault="001A4860" w:rsidP="001A4860">
            <w:pPr>
              <w:rPr>
                <w:sz w:val="22"/>
                <w:szCs w:val="22"/>
                <w:lang w:val="es-ES" w:eastAsia="es-ES"/>
              </w:rPr>
            </w:pPr>
          </w:p>
          <w:p w14:paraId="28EB6A96" w14:textId="77777777" w:rsidR="001A4860" w:rsidRPr="001A4860" w:rsidRDefault="001A4860" w:rsidP="001A4860">
            <w:pPr>
              <w:rPr>
                <w:sz w:val="22"/>
                <w:szCs w:val="22"/>
                <w:lang w:val="es-ES" w:eastAsia="es-ES"/>
              </w:rPr>
            </w:pPr>
            <w:r w:rsidRPr="001A4860">
              <w:rPr>
                <w:sz w:val="22"/>
                <w:szCs w:val="22"/>
                <w:lang w:val="es-ES" w:eastAsia="es-ES"/>
              </w:rPr>
              <w:t>Ley 722 “ Ley Especial de CAPS”</w:t>
            </w:r>
          </w:p>
        </w:tc>
        <w:tc>
          <w:tcPr>
            <w:tcW w:w="1701" w:type="dxa"/>
            <w:vAlign w:val="center"/>
          </w:tcPr>
          <w:p w14:paraId="6A64B6B6" w14:textId="77777777" w:rsidR="001A4860" w:rsidRPr="001A4860" w:rsidRDefault="001A4860" w:rsidP="001A4860">
            <w:pPr>
              <w:rPr>
                <w:sz w:val="22"/>
                <w:szCs w:val="22"/>
                <w:lang w:val="es-ES" w:eastAsia="es-ES"/>
              </w:rPr>
            </w:pPr>
            <w:r w:rsidRPr="001A4860">
              <w:rPr>
                <w:sz w:val="22"/>
                <w:szCs w:val="22"/>
                <w:lang w:val="es-ES" w:eastAsia="es-ES"/>
              </w:rPr>
              <w:t>CAPS</w:t>
            </w:r>
          </w:p>
        </w:tc>
        <w:tc>
          <w:tcPr>
            <w:tcW w:w="1495" w:type="dxa"/>
            <w:vAlign w:val="center"/>
          </w:tcPr>
          <w:p w14:paraId="34C24321" w14:textId="77777777" w:rsidR="001A4860" w:rsidRPr="001A4860" w:rsidRDefault="001A4860" w:rsidP="001A4860">
            <w:pPr>
              <w:rPr>
                <w:sz w:val="22"/>
                <w:szCs w:val="22"/>
                <w:lang w:val="es-ES" w:eastAsia="es-ES"/>
              </w:rPr>
            </w:pPr>
            <w:r w:rsidRPr="001A4860">
              <w:rPr>
                <w:sz w:val="22"/>
                <w:szCs w:val="22"/>
                <w:lang w:val="es-ES" w:eastAsia="es-ES"/>
              </w:rPr>
              <w:t>Post Obra</w:t>
            </w:r>
          </w:p>
        </w:tc>
        <w:tc>
          <w:tcPr>
            <w:tcW w:w="1481" w:type="dxa"/>
            <w:vAlign w:val="center"/>
          </w:tcPr>
          <w:p w14:paraId="1B9608C1" w14:textId="77777777" w:rsidR="001A4860" w:rsidRPr="001A4860" w:rsidRDefault="001A4860" w:rsidP="001A4860">
            <w:pPr>
              <w:rPr>
                <w:sz w:val="22"/>
                <w:szCs w:val="22"/>
                <w:lang w:val="es-ES" w:eastAsia="es-ES"/>
              </w:rPr>
            </w:pPr>
            <w:r w:rsidRPr="001A4860">
              <w:rPr>
                <w:sz w:val="22"/>
                <w:szCs w:val="22"/>
                <w:lang w:val="es-ES" w:eastAsia="es-ES"/>
              </w:rPr>
              <w:t>Una sola vez</w:t>
            </w:r>
          </w:p>
        </w:tc>
        <w:tc>
          <w:tcPr>
            <w:tcW w:w="1404" w:type="dxa"/>
          </w:tcPr>
          <w:p w14:paraId="65DA9DB1" w14:textId="77777777" w:rsidR="001A4860" w:rsidRPr="001A4860" w:rsidRDefault="001A4860" w:rsidP="001A4860">
            <w:pPr>
              <w:rPr>
                <w:sz w:val="22"/>
                <w:szCs w:val="22"/>
                <w:lang w:val="es-ES" w:eastAsia="es-ES"/>
              </w:rPr>
            </w:pPr>
          </w:p>
          <w:p w14:paraId="0EE07761" w14:textId="77777777" w:rsidR="001A4860" w:rsidRPr="001A4860" w:rsidRDefault="001A4860" w:rsidP="001A4860">
            <w:pPr>
              <w:rPr>
                <w:sz w:val="22"/>
                <w:szCs w:val="22"/>
                <w:lang w:val="es-ES" w:eastAsia="es-ES"/>
              </w:rPr>
            </w:pPr>
            <w:r w:rsidRPr="001A4860">
              <w:rPr>
                <w:sz w:val="22"/>
                <w:szCs w:val="22"/>
                <w:lang w:val="es-ES" w:eastAsia="es-ES"/>
              </w:rPr>
              <w:t xml:space="preserve">   Indirectos</w:t>
            </w:r>
          </w:p>
          <w:p w14:paraId="5450832D" w14:textId="77777777" w:rsidR="001A4860" w:rsidRPr="001A4860" w:rsidRDefault="001A4860" w:rsidP="001A4860">
            <w:pPr>
              <w:rPr>
                <w:sz w:val="22"/>
                <w:szCs w:val="22"/>
                <w:lang w:val="es-ES" w:eastAsia="es-ES"/>
              </w:rPr>
            </w:pPr>
          </w:p>
        </w:tc>
        <w:tc>
          <w:tcPr>
            <w:tcW w:w="1710" w:type="dxa"/>
          </w:tcPr>
          <w:p w14:paraId="2FC5455E" w14:textId="77777777" w:rsidR="001A4860" w:rsidRPr="001A4860" w:rsidRDefault="001A4860" w:rsidP="001A4860">
            <w:pPr>
              <w:rPr>
                <w:sz w:val="22"/>
                <w:szCs w:val="22"/>
                <w:lang w:val="es-ES" w:eastAsia="es-ES"/>
              </w:rPr>
            </w:pPr>
          </w:p>
          <w:p w14:paraId="3E02EFD4" w14:textId="77777777" w:rsidR="001A4860" w:rsidRPr="001A4860" w:rsidRDefault="001A4860" w:rsidP="001A4860">
            <w:pPr>
              <w:rPr>
                <w:sz w:val="22"/>
                <w:szCs w:val="22"/>
                <w:lang w:val="es-ES" w:eastAsia="es-ES"/>
              </w:rPr>
            </w:pPr>
            <w:r w:rsidRPr="001A4860">
              <w:rPr>
                <w:sz w:val="22"/>
                <w:szCs w:val="22"/>
                <w:lang w:val="es-ES" w:eastAsia="es-ES"/>
              </w:rPr>
              <w:t>Facilitador Social Individual</w:t>
            </w:r>
          </w:p>
        </w:tc>
      </w:tr>
    </w:tbl>
    <w:p w14:paraId="46B1638E" w14:textId="77777777" w:rsidR="001A4860" w:rsidRPr="001A4860" w:rsidRDefault="001A4860" w:rsidP="001A4860">
      <w:pPr>
        <w:rPr>
          <w:sz w:val="22"/>
          <w:szCs w:val="22"/>
          <w:lang w:val="es-ES" w:eastAsia="es-ES"/>
        </w:rPr>
      </w:pPr>
    </w:p>
    <w:p w14:paraId="1E452A1C" w14:textId="77777777" w:rsidR="001A4860" w:rsidRPr="001A4860" w:rsidRDefault="001A4860" w:rsidP="001A4860">
      <w:pPr>
        <w:rPr>
          <w:b/>
          <w:sz w:val="22"/>
          <w:szCs w:val="22"/>
          <w:lang w:val="es-ES" w:eastAsia="es-ES"/>
        </w:rPr>
      </w:pPr>
    </w:p>
    <w:p w14:paraId="5E6D40BF" w14:textId="77777777" w:rsidR="001A4860" w:rsidRPr="001A4860" w:rsidRDefault="001A4860" w:rsidP="001A4860">
      <w:pPr>
        <w:rPr>
          <w:b/>
          <w:sz w:val="22"/>
          <w:szCs w:val="22"/>
          <w:lang w:val="es-ES" w:eastAsia="es-ES"/>
        </w:rPr>
      </w:pPr>
    </w:p>
    <w:p w14:paraId="2059D1A8" w14:textId="77777777" w:rsidR="001A4860" w:rsidRPr="001A4860" w:rsidRDefault="001A4860" w:rsidP="001A4860">
      <w:pPr>
        <w:rPr>
          <w:b/>
          <w:sz w:val="22"/>
          <w:szCs w:val="22"/>
          <w:lang w:val="es-ES" w:eastAsia="es-ES"/>
        </w:rPr>
      </w:pPr>
      <w:r w:rsidRPr="001A4860">
        <w:rPr>
          <w:b/>
          <w:sz w:val="22"/>
          <w:szCs w:val="22"/>
          <w:lang w:val="es-ES" w:eastAsia="es-ES"/>
        </w:rPr>
        <w:t>EDUCACIÓN AMBIENTAL</w:t>
      </w:r>
    </w:p>
    <w:p w14:paraId="30CCCD95" w14:textId="77777777" w:rsidR="001A4860" w:rsidRPr="001A4860" w:rsidRDefault="001A4860" w:rsidP="001A4860">
      <w:pPr>
        <w:rPr>
          <w:b/>
          <w:sz w:val="22"/>
          <w:szCs w:val="22"/>
          <w:lang w:val="es-ES" w:eastAsia="es-ES"/>
        </w:rPr>
      </w:pPr>
    </w:p>
    <w:p w14:paraId="3BF7A5C5" w14:textId="77777777" w:rsidR="001A4860" w:rsidRPr="001A4860" w:rsidRDefault="001A4860" w:rsidP="001A4860">
      <w:pPr>
        <w:rPr>
          <w:sz w:val="22"/>
          <w:szCs w:val="22"/>
          <w:lang w:val="es-ES" w:eastAsia="es-ES"/>
        </w:rPr>
      </w:pPr>
      <w:r w:rsidRPr="001A4860">
        <w:rPr>
          <w:sz w:val="22"/>
          <w:szCs w:val="22"/>
          <w:lang w:val="es-ES" w:eastAsia="es-ES"/>
        </w:rPr>
        <w:t xml:space="preserve">El plan de Educación Ambiental está dirigido al Comité de Agua y Saneamiento (CAPS) y comunidad en general, con el objetivo de fomentar interés, cuido e importancia para la mejora del medio natural de la zona de influencia del proyecto. </w:t>
      </w:r>
    </w:p>
    <w:p w14:paraId="269F4BD6" w14:textId="77777777" w:rsidR="001A4860" w:rsidRPr="001A4860" w:rsidRDefault="001A4860" w:rsidP="001A4860">
      <w:pPr>
        <w:rPr>
          <w:sz w:val="22"/>
          <w:szCs w:val="22"/>
          <w:lang w:val="es-ES" w:eastAsia="es-ES"/>
        </w:rPr>
      </w:pPr>
      <w:r w:rsidRPr="001A4860">
        <w:rPr>
          <w:sz w:val="22"/>
          <w:szCs w:val="22"/>
          <w:lang w:val="es-ES" w:eastAsia="es-ES"/>
        </w:rPr>
        <w:t xml:space="preserve"> </w:t>
      </w:r>
    </w:p>
    <w:tbl>
      <w:tblPr>
        <w:tblStyle w:val="Tablaconcuadrcula1"/>
        <w:tblW w:w="9781" w:type="dxa"/>
        <w:tblInd w:w="-572" w:type="dxa"/>
        <w:tblLook w:val="04A0" w:firstRow="1" w:lastRow="0" w:firstColumn="1" w:lastColumn="0" w:noHBand="0" w:noVBand="1"/>
      </w:tblPr>
      <w:tblGrid>
        <w:gridCol w:w="1764"/>
        <w:gridCol w:w="1615"/>
        <w:gridCol w:w="1509"/>
        <w:gridCol w:w="1683"/>
        <w:gridCol w:w="1257"/>
        <w:gridCol w:w="1953"/>
      </w:tblGrid>
      <w:tr w:rsidR="001A4860" w:rsidRPr="001A4860" w14:paraId="2815A9A1" w14:textId="77777777" w:rsidTr="001A4860">
        <w:tc>
          <w:tcPr>
            <w:tcW w:w="2127" w:type="dxa"/>
            <w:vAlign w:val="center"/>
          </w:tcPr>
          <w:p w14:paraId="482D1F57" w14:textId="77777777" w:rsidR="001A4860" w:rsidRPr="001A4860" w:rsidRDefault="001A4860" w:rsidP="001A4860">
            <w:pPr>
              <w:jc w:val="center"/>
              <w:rPr>
                <w:b/>
                <w:sz w:val="22"/>
                <w:szCs w:val="22"/>
                <w:lang w:val="es-ES" w:eastAsia="es-ES"/>
              </w:rPr>
            </w:pPr>
            <w:r w:rsidRPr="001A4860">
              <w:rPr>
                <w:b/>
                <w:sz w:val="22"/>
                <w:szCs w:val="22"/>
                <w:lang w:val="es-ES" w:eastAsia="es-ES"/>
              </w:rPr>
              <w:t>TEMÁTICA</w:t>
            </w:r>
          </w:p>
        </w:tc>
        <w:tc>
          <w:tcPr>
            <w:tcW w:w="1701" w:type="dxa"/>
            <w:vAlign w:val="center"/>
          </w:tcPr>
          <w:p w14:paraId="06183B34" w14:textId="77777777" w:rsidR="001A4860" w:rsidRPr="001A4860" w:rsidRDefault="001A4860" w:rsidP="001A4860">
            <w:pPr>
              <w:jc w:val="center"/>
              <w:rPr>
                <w:b/>
                <w:sz w:val="22"/>
                <w:szCs w:val="22"/>
                <w:lang w:val="es-ES" w:eastAsia="es-ES"/>
              </w:rPr>
            </w:pPr>
            <w:r w:rsidRPr="001A4860">
              <w:rPr>
                <w:b/>
                <w:sz w:val="22"/>
                <w:szCs w:val="22"/>
                <w:lang w:val="es-ES" w:eastAsia="es-ES"/>
              </w:rPr>
              <w:t>PERSONAL A CAPACITAR</w:t>
            </w:r>
          </w:p>
        </w:tc>
        <w:tc>
          <w:tcPr>
            <w:tcW w:w="1559" w:type="dxa"/>
            <w:vAlign w:val="center"/>
          </w:tcPr>
          <w:p w14:paraId="6AA3F143" w14:textId="77777777" w:rsidR="001A4860" w:rsidRPr="001A4860" w:rsidRDefault="001A4860" w:rsidP="001A4860">
            <w:pPr>
              <w:jc w:val="center"/>
              <w:rPr>
                <w:b/>
                <w:sz w:val="22"/>
                <w:szCs w:val="22"/>
                <w:lang w:val="es-ES" w:eastAsia="es-ES"/>
              </w:rPr>
            </w:pPr>
            <w:r w:rsidRPr="001A4860">
              <w:rPr>
                <w:b/>
                <w:sz w:val="22"/>
                <w:szCs w:val="22"/>
                <w:lang w:val="es-ES" w:eastAsia="es-ES"/>
              </w:rPr>
              <w:t>ETAPA DEL PROYECTO</w:t>
            </w:r>
          </w:p>
        </w:tc>
        <w:tc>
          <w:tcPr>
            <w:tcW w:w="1417" w:type="dxa"/>
            <w:vAlign w:val="center"/>
          </w:tcPr>
          <w:p w14:paraId="2E6B7A19" w14:textId="77777777" w:rsidR="001A4860" w:rsidRPr="001A4860" w:rsidRDefault="001A4860" w:rsidP="001A4860">
            <w:pPr>
              <w:jc w:val="center"/>
              <w:rPr>
                <w:b/>
                <w:sz w:val="22"/>
                <w:szCs w:val="22"/>
                <w:lang w:val="es-ES" w:eastAsia="es-ES"/>
              </w:rPr>
            </w:pPr>
            <w:r w:rsidRPr="001A4860">
              <w:rPr>
                <w:b/>
                <w:sz w:val="22"/>
                <w:szCs w:val="22"/>
                <w:lang w:val="es-ES" w:eastAsia="es-ES"/>
              </w:rPr>
              <w:t>PERIODO O FRECUENCIA</w:t>
            </w:r>
          </w:p>
        </w:tc>
        <w:tc>
          <w:tcPr>
            <w:tcW w:w="1418" w:type="dxa"/>
            <w:vAlign w:val="center"/>
          </w:tcPr>
          <w:p w14:paraId="6C37D3FE" w14:textId="77777777" w:rsidR="001A4860" w:rsidRPr="001A4860" w:rsidRDefault="001A4860" w:rsidP="001A4860">
            <w:pPr>
              <w:jc w:val="center"/>
              <w:rPr>
                <w:b/>
                <w:sz w:val="22"/>
                <w:szCs w:val="22"/>
                <w:lang w:val="es-ES" w:eastAsia="es-ES"/>
              </w:rPr>
            </w:pPr>
            <w:r w:rsidRPr="001A4860">
              <w:rPr>
                <w:b/>
                <w:sz w:val="22"/>
                <w:szCs w:val="22"/>
                <w:lang w:val="es-ES" w:eastAsia="es-ES"/>
              </w:rPr>
              <w:t>COSTOS</w:t>
            </w:r>
          </w:p>
        </w:tc>
        <w:tc>
          <w:tcPr>
            <w:tcW w:w="1559" w:type="dxa"/>
            <w:vAlign w:val="center"/>
          </w:tcPr>
          <w:p w14:paraId="34CC98FB" w14:textId="77777777" w:rsidR="001A4860" w:rsidRPr="001A4860" w:rsidRDefault="001A4860" w:rsidP="001A4860">
            <w:pPr>
              <w:jc w:val="center"/>
              <w:rPr>
                <w:b/>
                <w:sz w:val="22"/>
                <w:szCs w:val="22"/>
                <w:lang w:val="es-ES" w:eastAsia="es-ES"/>
              </w:rPr>
            </w:pPr>
            <w:r w:rsidRPr="001A4860">
              <w:rPr>
                <w:b/>
                <w:sz w:val="22"/>
                <w:szCs w:val="22"/>
                <w:lang w:val="es-ES" w:eastAsia="es-ES"/>
              </w:rPr>
              <w:t>RESPONSABLES</w:t>
            </w:r>
          </w:p>
        </w:tc>
      </w:tr>
      <w:tr w:rsidR="001A4860" w:rsidRPr="001A4860" w14:paraId="55009C6D" w14:textId="77777777" w:rsidTr="001A4860">
        <w:trPr>
          <w:trHeight w:val="1017"/>
        </w:trPr>
        <w:tc>
          <w:tcPr>
            <w:tcW w:w="2127" w:type="dxa"/>
            <w:vAlign w:val="center"/>
          </w:tcPr>
          <w:p w14:paraId="62195429" w14:textId="77777777" w:rsidR="001A4860" w:rsidRPr="001A4860" w:rsidRDefault="001A4860" w:rsidP="001A4860">
            <w:pPr>
              <w:jc w:val="center"/>
              <w:rPr>
                <w:sz w:val="22"/>
                <w:szCs w:val="22"/>
                <w:lang w:val="es-ES" w:eastAsia="es-ES"/>
              </w:rPr>
            </w:pPr>
            <w:r w:rsidRPr="001A4860">
              <w:rPr>
                <w:sz w:val="22"/>
                <w:szCs w:val="22"/>
                <w:lang w:val="es-ES" w:eastAsia="es-ES"/>
              </w:rPr>
              <w:t>Conceptos Básicos de Medio Ambiental</w:t>
            </w:r>
          </w:p>
        </w:tc>
        <w:tc>
          <w:tcPr>
            <w:tcW w:w="1701" w:type="dxa"/>
            <w:vAlign w:val="center"/>
          </w:tcPr>
          <w:p w14:paraId="00BE9E76" w14:textId="77777777" w:rsidR="001A4860" w:rsidRPr="001A4860" w:rsidRDefault="001A4860" w:rsidP="001A4860">
            <w:pPr>
              <w:jc w:val="center"/>
              <w:rPr>
                <w:sz w:val="22"/>
                <w:szCs w:val="22"/>
                <w:lang w:val="es-ES" w:eastAsia="es-ES"/>
              </w:rPr>
            </w:pPr>
            <w:r w:rsidRPr="001A4860">
              <w:rPr>
                <w:sz w:val="22"/>
                <w:szCs w:val="22"/>
                <w:lang w:val="es-ES" w:eastAsia="es-ES"/>
              </w:rPr>
              <w:t>CAPS</w:t>
            </w:r>
          </w:p>
        </w:tc>
        <w:tc>
          <w:tcPr>
            <w:tcW w:w="1559" w:type="dxa"/>
            <w:vAlign w:val="center"/>
          </w:tcPr>
          <w:p w14:paraId="2BD1C81F" w14:textId="77777777" w:rsidR="001A4860" w:rsidRPr="001A4860" w:rsidRDefault="001A4860" w:rsidP="001A4860">
            <w:pPr>
              <w:jc w:val="center"/>
              <w:rPr>
                <w:sz w:val="22"/>
                <w:szCs w:val="22"/>
                <w:lang w:val="es-ES" w:eastAsia="es-ES"/>
              </w:rPr>
            </w:pPr>
          </w:p>
          <w:p w14:paraId="29F70A08" w14:textId="77777777" w:rsidR="001A4860" w:rsidRPr="001A4860" w:rsidRDefault="001A4860" w:rsidP="001A4860">
            <w:pPr>
              <w:jc w:val="center"/>
              <w:rPr>
                <w:sz w:val="22"/>
                <w:szCs w:val="22"/>
                <w:lang w:val="es-ES" w:eastAsia="es-ES"/>
              </w:rPr>
            </w:pPr>
            <w:r w:rsidRPr="001A4860">
              <w:rPr>
                <w:sz w:val="22"/>
                <w:szCs w:val="22"/>
                <w:lang w:val="es-ES" w:eastAsia="es-ES"/>
              </w:rPr>
              <w:t>Ejecución</w:t>
            </w:r>
          </w:p>
          <w:p w14:paraId="05489FCD" w14:textId="77777777" w:rsidR="001A4860" w:rsidRPr="001A4860" w:rsidRDefault="001A4860" w:rsidP="001A4860">
            <w:pPr>
              <w:jc w:val="center"/>
              <w:rPr>
                <w:sz w:val="22"/>
                <w:szCs w:val="22"/>
                <w:lang w:val="es-ES" w:eastAsia="es-ES"/>
              </w:rPr>
            </w:pPr>
          </w:p>
        </w:tc>
        <w:tc>
          <w:tcPr>
            <w:tcW w:w="1417" w:type="dxa"/>
            <w:vAlign w:val="center"/>
          </w:tcPr>
          <w:p w14:paraId="4E2730DC" w14:textId="77777777" w:rsidR="001A4860" w:rsidRPr="001A4860" w:rsidRDefault="001A4860" w:rsidP="001A4860">
            <w:pPr>
              <w:jc w:val="center"/>
              <w:rPr>
                <w:sz w:val="22"/>
                <w:szCs w:val="22"/>
                <w:lang w:val="es-ES" w:eastAsia="es-ES"/>
              </w:rPr>
            </w:pPr>
          </w:p>
          <w:p w14:paraId="508A3EA7" w14:textId="77777777" w:rsidR="001A4860" w:rsidRPr="001A4860" w:rsidRDefault="001A4860" w:rsidP="001A4860">
            <w:pPr>
              <w:jc w:val="center"/>
              <w:rPr>
                <w:sz w:val="22"/>
                <w:szCs w:val="22"/>
                <w:lang w:val="es-ES" w:eastAsia="es-ES"/>
              </w:rPr>
            </w:pPr>
            <w:r w:rsidRPr="001A4860">
              <w:rPr>
                <w:sz w:val="22"/>
                <w:szCs w:val="22"/>
                <w:lang w:val="es-ES" w:eastAsia="es-ES"/>
              </w:rPr>
              <w:t>Una sola vez</w:t>
            </w:r>
          </w:p>
          <w:p w14:paraId="62925CD7" w14:textId="77777777" w:rsidR="001A4860" w:rsidRPr="001A4860" w:rsidRDefault="001A4860" w:rsidP="001A4860">
            <w:pPr>
              <w:jc w:val="center"/>
              <w:rPr>
                <w:sz w:val="22"/>
                <w:szCs w:val="22"/>
                <w:lang w:val="es-ES" w:eastAsia="es-ES"/>
              </w:rPr>
            </w:pPr>
          </w:p>
        </w:tc>
        <w:tc>
          <w:tcPr>
            <w:tcW w:w="1418" w:type="dxa"/>
            <w:vAlign w:val="center"/>
          </w:tcPr>
          <w:p w14:paraId="24008B95" w14:textId="77777777" w:rsidR="001A4860" w:rsidRPr="001A4860" w:rsidRDefault="001A4860" w:rsidP="001A4860">
            <w:pPr>
              <w:jc w:val="center"/>
              <w:rPr>
                <w:sz w:val="22"/>
                <w:szCs w:val="22"/>
                <w:lang w:val="es-ES" w:eastAsia="es-ES"/>
              </w:rPr>
            </w:pPr>
          </w:p>
          <w:p w14:paraId="43F7A70C" w14:textId="77777777" w:rsidR="001A4860" w:rsidRPr="001A4860" w:rsidRDefault="001A4860" w:rsidP="001A4860">
            <w:pPr>
              <w:jc w:val="center"/>
              <w:rPr>
                <w:sz w:val="22"/>
                <w:szCs w:val="22"/>
                <w:lang w:val="es-ES" w:eastAsia="es-ES"/>
              </w:rPr>
            </w:pPr>
            <w:r w:rsidRPr="001A4860">
              <w:rPr>
                <w:sz w:val="22"/>
                <w:szCs w:val="22"/>
                <w:lang w:val="es-ES" w:eastAsia="es-ES"/>
              </w:rPr>
              <w:t>Indirectos</w:t>
            </w:r>
          </w:p>
          <w:p w14:paraId="0ED061FC" w14:textId="77777777" w:rsidR="001A4860" w:rsidRPr="001A4860" w:rsidRDefault="001A4860" w:rsidP="001A4860">
            <w:pPr>
              <w:jc w:val="center"/>
              <w:rPr>
                <w:sz w:val="22"/>
                <w:szCs w:val="22"/>
                <w:lang w:val="es-ES" w:eastAsia="es-ES"/>
              </w:rPr>
            </w:pPr>
          </w:p>
        </w:tc>
        <w:tc>
          <w:tcPr>
            <w:tcW w:w="1559" w:type="dxa"/>
            <w:vAlign w:val="center"/>
          </w:tcPr>
          <w:p w14:paraId="6B4BC63A" w14:textId="77777777" w:rsidR="001A4860" w:rsidRPr="001A4860" w:rsidRDefault="001A4860" w:rsidP="001A4860">
            <w:pPr>
              <w:jc w:val="center"/>
              <w:rPr>
                <w:sz w:val="22"/>
                <w:szCs w:val="22"/>
                <w:lang w:val="es-ES" w:eastAsia="es-ES"/>
              </w:rPr>
            </w:pPr>
            <w:r w:rsidRPr="001A4860">
              <w:rPr>
                <w:sz w:val="22"/>
                <w:szCs w:val="22"/>
                <w:lang w:val="es-ES" w:eastAsia="es-ES"/>
              </w:rPr>
              <w:t>Facilitador Social Individual</w:t>
            </w:r>
          </w:p>
        </w:tc>
      </w:tr>
      <w:tr w:rsidR="001A4860" w:rsidRPr="001A4860" w14:paraId="4FAD2CAD" w14:textId="77777777" w:rsidTr="001A4860">
        <w:trPr>
          <w:trHeight w:val="1017"/>
        </w:trPr>
        <w:tc>
          <w:tcPr>
            <w:tcW w:w="2127" w:type="dxa"/>
          </w:tcPr>
          <w:p w14:paraId="137DD718" w14:textId="77777777" w:rsidR="001A4860" w:rsidRPr="001A4860" w:rsidRDefault="001A4860" w:rsidP="001A4860">
            <w:pPr>
              <w:jc w:val="center"/>
              <w:rPr>
                <w:sz w:val="22"/>
                <w:szCs w:val="22"/>
                <w:lang w:val="es-ES" w:eastAsia="es-ES"/>
              </w:rPr>
            </w:pPr>
            <w:r w:rsidRPr="001A4860">
              <w:rPr>
                <w:sz w:val="22"/>
                <w:szCs w:val="22"/>
                <w:lang w:val="es-ES" w:eastAsia="es-ES"/>
              </w:rPr>
              <w:t>Metodología FECSA  ( Hábitos higiénicos, manejo de agua, manejo de desechos sólidos, y excretas)</w:t>
            </w:r>
          </w:p>
        </w:tc>
        <w:tc>
          <w:tcPr>
            <w:tcW w:w="1701" w:type="dxa"/>
            <w:vAlign w:val="center"/>
          </w:tcPr>
          <w:p w14:paraId="5DB170DC" w14:textId="77777777" w:rsidR="001A4860" w:rsidRPr="001A4860" w:rsidRDefault="001A4860" w:rsidP="001A4860">
            <w:pPr>
              <w:jc w:val="center"/>
              <w:rPr>
                <w:sz w:val="22"/>
                <w:szCs w:val="22"/>
                <w:lang w:val="es-ES" w:eastAsia="es-ES"/>
              </w:rPr>
            </w:pPr>
            <w:r w:rsidRPr="001A4860">
              <w:rPr>
                <w:sz w:val="22"/>
                <w:szCs w:val="22"/>
                <w:lang w:val="es-ES" w:eastAsia="es-ES"/>
              </w:rPr>
              <w:t>Comunidad</w:t>
            </w:r>
          </w:p>
        </w:tc>
        <w:tc>
          <w:tcPr>
            <w:tcW w:w="1559" w:type="dxa"/>
            <w:vAlign w:val="center"/>
          </w:tcPr>
          <w:p w14:paraId="7B438A26" w14:textId="77777777" w:rsidR="001A4860" w:rsidRPr="001A4860" w:rsidRDefault="001A4860" w:rsidP="001A4860">
            <w:pPr>
              <w:jc w:val="center"/>
              <w:rPr>
                <w:sz w:val="22"/>
                <w:szCs w:val="22"/>
                <w:lang w:val="es-ES" w:eastAsia="es-ES"/>
              </w:rPr>
            </w:pPr>
            <w:r w:rsidRPr="001A4860">
              <w:rPr>
                <w:sz w:val="22"/>
                <w:szCs w:val="22"/>
                <w:lang w:val="es-ES" w:eastAsia="es-ES"/>
              </w:rPr>
              <w:t>Ejecución/ Post Obra</w:t>
            </w:r>
          </w:p>
        </w:tc>
        <w:tc>
          <w:tcPr>
            <w:tcW w:w="1417" w:type="dxa"/>
            <w:vAlign w:val="center"/>
          </w:tcPr>
          <w:p w14:paraId="6917D906" w14:textId="77777777" w:rsidR="001A4860" w:rsidRPr="001A4860" w:rsidRDefault="001A4860" w:rsidP="001A4860">
            <w:pPr>
              <w:jc w:val="center"/>
              <w:rPr>
                <w:sz w:val="22"/>
                <w:szCs w:val="22"/>
                <w:lang w:val="es-ES" w:eastAsia="es-ES"/>
              </w:rPr>
            </w:pPr>
            <w:r w:rsidRPr="001A4860">
              <w:rPr>
                <w:sz w:val="22"/>
                <w:szCs w:val="22"/>
                <w:lang w:val="es-ES" w:eastAsia="es-ES"/>
              </w:rPr>
              <w:t>Visita casa a casa</w:t>
            </w:r>
          </w:p>
        </w:tc>
        <w:tc>
          <w:tcPr>
            <w:tcW w:w="1418" w:type="dxa"/>
          </w:tcPr>
          <w:p w14:paraId="52EDB9E2" w14:textId="77777777" w:rsidR="001A4860" w:rsidRPr="001A4860" w:rsidRDefault="001A4860" w:rsidP="001A4860">
            <w:pPr>
              <w:jc w:val="center"/>
              <w:rPr>
                <w:sz w:val="22"/>
                <w:szCs w:val="22"/>
                <w:lang w:val="es-ES" w:eastAsia="es-ES"/>
              </w:rPr>
            </w:pPr>
          </w:p>
          <w:p w14:paraId="0500F2DD" w14:textId="77777777" w:rsidR="001A4860" w:rsidRPr="001A4860" w:rsidRDefault="001A4860" w:rsidP="001A4860">
            <w:pPr>
              <w:jc w:val="center"/>
              <w:rPr>
                <w:sz w:val="22"/>
                <w:szCs w:val="22"/>
                <w:lang w:val="es-ES" w:eastAsia="es-ES"/>
              </w:rPr>
            </w:pPr>
            <w:r w:rsidRPr="001A4860">
              <w:rPr>
                <w:sz w:val="22"/>
                <w:szCs w:val="22"/>
                <w:lang w:val="es-ES" w:eastAsia="es-ES"/>
              </w:rPr>
              <w:t>Indirectos</w:t>
            </w:r>
          </w:p>
          <w:p w14:paraId="1071C102" w14:textId="77777777" w:rsidR="001A4860" w:rsidRPr="001A4860" w:rsidRDefault="001A4860" w:rsidP="001A4860">
            <w:pPr>
              <w:jc w:val="center"/>
              <w:rPr>
                <w:sz w:val="22"/>
                <w:szCs w:val="22"/>
                <w:lang w:val="es-ES" w:eastAsia="es-ES"/>
              </w:rPr>
            </w:pPr>
          </w:p>
        </w:tc>
        <w:tc>
          <w:tcPr>
            <w:tcW w:w="1559" w:type="dxa"/>
          </w:tcPr>
          <w:p w14:paraId="77063075" w14:textId="77777777" w:rsidR="001A4860" w:rsidRPr="001A4860" w:rsidRDefault="001A4860" w:rsidP="001A4860">
            <w:pPr>
              <w:jc w:val="center"/>
              <w:rPr>
                <w:sz w:val="22"/>
                <w:szCs w:val="22"/>
                <w:lang w:val="es-ES" w:eastAsia="es-ES"/>
              </w:rPr>
            </w:pPr>
          </w:p>
          <w:p w14:paraId="437DE453" w14:textId="77777777" w:rsidR="001A4860" w:rsidRPr="001A4860" w:rsidRDefault="001A4860" w:rsidP="001A4860">
            <w:pPr>
              <w:jc w:val="center"/>
              <w:rPr>
                <w:sz w:val="22"/>
                <w:szCs w:val="22"/>
                <w:lang w:val="es-ES" w:eastAsia="es-ES"/>
              </w:rPr>
            </w:pPr>
            <w:r w:rsidRPr="001A4860">
              <w:rPr>
                <w:sz w:val="22"/>
                <w:szCs w:val="22"/>
                <w:lang w:val="es-ES" w:eastAsia="es-ES"/>
              </w:rPr>
              <w:t>Facilitador Social Individual</w:t>
            </w:r>
          </w:p>
        </w:tc>
      </w:tr>
    </w:tbl>
    <w:p w14:paraId="4197D199" w14:textId="77777777" w:rsidR="001A4860" w:rsidRPr="001A4860" w:rsidRDefault="001A4860" w:rsidP="001A4860">
      <w:pPr>
        <w:rPr>
          <w:sz w:val="22"/>
          <w:szCs w:val="22"/>
          <w:lang w:val="es-ES" w:eastAsia="es-ES"/>
        </w:rPr>
      </w:pPr>
    </w:p>
    <w:p w14:paraId="7850B1DF" w14:textId="77777777" w:rsidR="001A4860" w:rsidRPr="001A4860" w:rsidRDefault="001A4860" w:rsidP="001A4860">
      <w:pPr>
        <w:rPr>
          <w:sz w:val="22"/>
          <w:szCs w:val="22"/>
          <w:lang w:val="es-ES" w:eastAsia="es-ES"/>
        </w:rPr>
      </w:pPr>
      <w:r w:rsidRPr="001A4860">
        <w:rPr>
          <w:sz w:val="22"/>
          <w:szCs w:val="22"/>
          <w:lang w:val="es-ES" w:eastAsia="es-ES"/>
        </w:rPr>
        <w:t xml:space="preserve">En la ejecución de los Planes de Acción: Plan de Capacitación y Educación Ambiental la Facilitadora Social Individual establecerá un cronograma y se generará registros de asistencia de los participantes. </w:t>
      </w:r>
    </w:p>
    <w:p w14:paraId="4AC4A94E" w14:textId="77777777" w:rsidR="001A4860" w:rsidRPr="001A4860" w:rsidRDefault="001A4860" w:rsidP="001A4860">
      <w:pPr>
        <w:rPr>
          <w:sz w:val="22"/>
          <w:szCs w:val="22"/>
          <w:lang w:val="es-ES" w:eastAsia="es-ES"/>
        </w:rPr>
      </w:pPr>
    </w:p>
    <w:p w14:paraId="759FE163" w14:textId="77777777" w:rsidR="001A4860" w:rsidRPr="001A4860" w:rsidRDefault="001A4860" w:rsidP="001A4860">
      <w:pPr>
        <w:rPr>
          <w:sz w:val="22"/>
          <w:szCs w:val="22"/>
          <w:lang w:val="es-ES" w:eastAsia="es-ES"/>
        </w:rPr>
      </w:pPr>
      <w:r w:rsidRPr="001A4860">
        <w:rPr>
          <w:sz w:val="22"/>
          <w:szCs w:val="22"/>
          <w:lang w:val="es-ES" w:eastAsia="es-ES"/>
        </w:rPr>
        <w:t>La capacitación y concientización tienen el propósito de impartir conceptos generales sobre medio ambiente; gestión ambiental; buenas prácticas de manejo ambiental; manejo de agua.</w:t>
      </w:r>
    </w:p>
    <w:p w14:paraId="11967AD2" w14:textId="77777777" w:rsidR="001A4860" w:rsidRPr="001A4860" w:rsidRDefault="001A4860" w:rsidP="001A4860">
      <w:pPr>
        <w:rPr>
          <w:sz w:val="22"/>
          <w:szCs w:val="22"/>
          <w:lang w:val="es-ES" w:eastAsia="es-ES"/>
        </w:rPr>
      </w:pPr>
    </w:p>
    <w:p w14:paraId="54F27479" w14:textId="77777777" w:rsidR="001A4860" w:rsidRPr="001A4860" w:rsidRDefault="001A4860" w:rsidP="001A4860">
      <w:pPr>
        <w:rPr>
          <w:sz w:val="22"/>
          <w:szCs w:val="22"/>
          <w:lang w:val="es-ES" w:eastAsia="es-ES"/>
        </w:rPr>
      </w:pPr>
    </w:p>
    <w:p w14:paraId="746B29E9" w14:textId="77777777" w:rsidR="001A4860" w:rsidRPr="001A4860" w:rsidRDefault="001A4860" w:rsidP="001A4860">
      <w:pPr>
        <w:jc w:val="left"/>
        <w:rPr>
          <w:b/>
          <w:bCs/>
          <w:sz w:val="22"/>
          <w:szCs w:val="22"/>
          <w:u w:val="single"/>
          <w:lang w:val="es-ES" w:eastAsia="es-ES"/>
        </w:rPr>
      </w:pPr>
      <w:r w:rsidRPr="001A4860">
        <w:rPr>
          <w:b/>
          <w:bCs/>
          <w:sz w:val="22"/>
          <w:szCs w:val="22"/>
          <w:u w:val="single"/>
          <w:lang w:val="es-ES" w:eastAsia="es-ES"/>
        </w:rPr>
        <w:br w:type="page"/>
      </w:r>
    </w:p>
    <w:p w14:paraId="4E33B552" w14:textId="77777777" w:rsidR="001A4860" w:rsidRPr="001A4860" w:rsidRDefault="001A4860" w:rsidP="001A4860">
      <w:pPr>
        <w:rPr>
          <w:b/>
          <w:bCs/>
          <w:sz w:val="22"/>
          <w:szCs w:val="22"/>
          <w:u w:val="single"/>
          <w:lang w:val="es-ES" w:eastAsia="es-ES"/>
        </w:rPr>
      </w:pPr>
      <w:r w:rsidRPr="001A4860">
        <w:rPr>
          <w:b/>
          <w:bCs/>
          <w:sz w:val="22"/>
          <w:szCs w:val="22"/>
          <w:u w:val="single"/>
          <w:lang w:val="es-ES" w:eastAsia="es-ES"/>
        </w:rPr>
        <w:lastRenderedPageBreak/>
        <w:t>AUTORIZACION AMBIENTAL DTMZ-150121-P0038-0 “PROYECTO 19886 AGUA Y SANEAMIENTO COMUNIDAD LA CONCEPCIÓN”</w:t>
      </w:r>
    </w:p>
    <w:p w14:paraId="30BFF75D" w14:textId="77777777" w:rsidR="001A4860" w:rsidRPr="001A4860" w:rsidRDefault="001A4860" w:rsidP="001A4860">
      <w:pPr>
        <w:rPr>
          <w:b/>
          <w:bCs/>
          <w:sz w:val="22"/>
          <w:szCs w:val="22"/>
          <w:u w:val="single"/>
          <w:lang w:val="es-ES" w:eastAsia="es-ES"/>
        </w:rPr>
      </w:pPr>
    </w:p>
    <w:p w14:paraId="4F8165D4" w14:textId="77777777" w:rsidR="001A4860" w:rsidRPr="001A4860" w:rsidRDefault="001A4860" w:rsidP="001A4860">
      <w:pPr>
        <w:rPr>
          <w:b/>
          <w:bCs/>
          <w:sz w:val="22"/>
          <w:szCs w:val="22"/>
          <w:u w:val="single"/>
          <w:lang w:val="es-ES" w:eastAsia="es-ES"/>
        </w:rPr>
      </w:pPr>
      <w:r w:rsidRPr="001A4860">
        <w:rPr>
          <w:noProof/>
          <w:sz w:val="22"/>
          <w:szCs w:val="22"/>
          <w:lang w:val="es-MX" w:eastAsia="es-MX"/>
        </w:rPr>
        <w:drawing>
          <wp:inline distT="0" distB="0" distL="0" distR="0" wp14:anchorId="031C79D7" wp14:editId="767AE6DF">
            <wp:extent cx="5820789" cy="732472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6314" cy="7331678"/>
                    </a:xfrm>
                    <a:prstGeom prst="rect">
                      <a:avLst/>
                    </a:prstGeom>
                  </pic:spPr>
                </pic:pic>
              </a:graphicData>
            </a:graphic>
          </wp:inline>
        </w:drawing>
      </w:r>
    </w:p>
    <w:p w14:paraId="322C54F3" w14:textId="77777777" w:rsidR="001A4860" w:rsidRPr="001A4860" w:rsidRDefault="001A4860" w:rsidP="001A4860">
      <w:pPr>
        <w:rPr>
          <w:sz w:val="22"/>
          <w:szCs w:val="22"/>
          <w:lang w:val="es-ES" w:eastAsia="es-ES"/>
        </w:rPr>
      </w:pPr>
    </w:p>
    <w:p w14:paraId="69C3CD6F" w14:textId="77777777" w:rsidR="001A4860" w:rsidRPr="001A4860" w:rsidRDefault="001A4860" w:rsidP="001A4860">
      <w:pPr>
        <w:rPr>
          <w:sz w:val="22"/>
          <w:szCs w:val="22"/>
          <w:lang w:val="es-ES" w:eastAsia="es-ES"/>
        </w:rPr>
      </w:pPr>
      <w:r w:rsidRPr="001A4860">
        <w:rPr>
          <w:noProof/>
          <w:sz w:val="22"/>
          <w:szCs w:val="22"/>
          <w:lang w:val="es-MX" w:eastAsia="es-MX"/>
        </w:rPr>
        <w:lastRenderedPageBreak/>
        <w:drawing>
          <wp:inline distT="0" distB="0" distL="0" distR="0" wp14:anchorId="63F7FAF0" wp14:editId="3B62B8C2">
            <wp:extent cx="6003615" cy="7696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9591" cy="7703861"/>
                    </a:xfrm>
                    <a:prstGeom prst="rect">
                      <a:avLst/>
                    </a:prstGeom>
                  </pic:spPr>
                </pic:pic>
              </a:graphicData>
            </a:graphic>
          </wp:inline>
        </w:drawing>
      </w:r>
    </w:p>
    <w:p w14:paraId="17AD0F64" w14:textId="77777777" w:rsidR="001A4860" w:rsidRPr="001A4860" w:rsidRDefault="001A4860" w:rsidP="001A4860">
      <w:pPr>
        <w:rPr>
          <w:sz w:val="22"/>
          <w:szCs w:val="22"/>
          <w:lang w:val="es-ES" w:eastAsia="es-ES"/>
        </w:rPr>
      </w:pPr>
    </w:p>
    <w:p w14:paraId="653430AA" w14:textId="77777777" w:rsidR="001A4860" w:rsidRPr="001A4860" w:rsidRDefault="001A4860" w:rsidP="001A4860">
      <w:pPr>
        <w:rPr>
          <w:sz w:val="22"/>
          <w:szCs w:val="22"/>
          <w:lang w:val="es-ES" w:eastAsia="es-ES"/>
        </w:rPr>
      </w:pPr>
      <w:r w:rsidRPr="001A4860">
        <w:rPr>
          <w:noProof/>
          <w:sz w:val="22"/>
          <w:szCs w:val="22"/>
          <w:lang w:val="es-MX" w:eastAsia="es-MX"/>
        </w:rPr>
        <w:lastRenderedPageBreak/>
        <w:drawing>
          <wp:inline distT="0" distB="0" distL="0" distR="0" wp14:anchorId="5556AFB6" wp14:editId="799FACA9">
            <wp:extent cx="6081919" cy="7781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7184" cy="7788662"/>
                    </a:xfrm>
                    <a:prstGeom prst="rect">
                      <a:avLst/>
                    </a:prstGeom>
                  </pic:spPr>
                </pic:pic>
              </a:graphicData>
            </a:graphic>
          </wp:inline>
        </w:drawing>
      </w:r>
    </w:p>
    <w:p w14:paraId="1E3BD296" w14:textId="77777777" w:rsidR="001A4860" w:rsidRPr="001A4860" w:rsidRDefault="001A4860" w:rsidP="001A4860">
      <w:pPr>
        <w:rPr>
          <w:sz w:val="22"/>
          <w:szCs w:val="22"/>
          <w:lang w:val="es-ES" w:eastAsia="es-ES"/>
        </w:rPr>
      </w:pPr>
    </w:p>
    <w:p w14:paraId="780A7C63" w14:textId="77777777" w:rsidR="001A4860" w:rsidRPr="001A4860" w:rsidRDefault="001A4860" w:rsidP="001A4860">
      <w:pPr>
        <w:rPr>
          <w:sz w:val="22"/>
          <w:szCs w:val="22"/>
          <w:lang w:val="es-ES" w:eastAsia="es-ES"/>
        </w:rPr>
      </w:pPr>
      <w:r w:rsidRPr="001A4860">
        <w:rPr>
          <w:noProof/>
          <w:sz w:val="22"/>
          <w:szCs w:val="22"/>
          <w:lang w:val="es-MX" w:eastAsia="es-MX"/>
        </w:rPr>
        <w:lastRenderedPageBreak/>
        <w:drawing>
          <wp:inline distT="0" distB="0" distL="0" distR="0" wp14:anchorId="7DAFBD89" wp14:editId="5A073192">
            <wp:extent cx="6009531" cy="779929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6953" cy="7808926"/>
                    </a:xfrm>
                    <a:prstGeom prst="rect">
                      <a:avLst/>
                    </a:prstGeom>
                  </pic:spPr>
                </pic:pic>
              </a:graphicData>
            </a:graphic>
          </wp:inline>
        </w:drawing>
      </w:r>
    </w:p>
    <w:p w14:paraId="4552CF23" w14:textId="77777777" w:rsidR="001A4860" w:rsidRPr="001A4860" w:rsidRDefault="001A4860" w:rsidP="001A4860">
      <w:pPr>
        <w:rPr>
          <w:sz w:val="22"/>
          <w:szCs w:val="22"/>
          <w:lang w:val="es-ES" w:eastAsia="es-ES"/>
        </w:rPr>
      </w:pPr>
    </w:p>
    <w:p w14:paraId="14E13E38" w14:textId="77777777" w:rsidR="001A4860" w:rsidRPr="001A4860" w:rsidRDefault="001A4860" w:rsidP="001A4860">
      <w:pPr>
        <w:rPr>
          <w:sz w:val="22"/>
          <w:szCs w:val="22"/>
          <w:lang w:val="es-ES" w:eastAsia="es-ES"/>
        </w:rPr>
      </w:pPr>
      <w:r w:rsidRPr="001A4860">
        <w:rPr>
          <w:noProof/>
          <w:sz w:val="22"/>
          <w:szCs w:val="22"/>
          <w:lang w:val="es-MX" w:eastAsia="es-MX"/>
        </w:rPr>
        <w:lastRenderedPageBreak/>
        <w:drawing>
          <wp:inline distT="0" distB="0" distL="0" distR="0" wp14:anchorId="6105912B" wp14:editId="2D9F0460">
            <wp:extent cx="5866977" cy="7584141"/>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6176" cy="7596033"/>
                    </a:xfrm>
                    <a:prstGeom prst="rect">
                      <a:avLst/>
                    </a:prstGeom>
                  </pic:spPr>
                </pic:pic>
              </a:graphicData>
            </a:graphic>
          </wp:inline>
        </w:drawing>
      </w:r>
    </w:p>
    <w:p w14:paraId="201CAF48" w14:textId="77777777" w:rsidR="001A4860" w:rsidRPr="001A4860" w:rsidRDefault="001A4860" w:rsidP="001A4860">
      <w:pPr>
        <w:rPr>
          <w:sz w:val="22"/>
          <w:szCs w:val="22"/>
          <w:lang w:val="es-ES" w:eastAsia="es-ES"/>
        </w:rPr>
      </w:pPr>
    </w:p>
    <w:p w14:paraId="077D14D5" w14:textId="77777777" w:rsidR="001A4860" w:rsidRPr="001A4860" w:rsidRDefault="001A4860" w:rsidP="001A4860">
      <w:pPr>
        <w:rPr>
          <w:sz w:val="22"/>
          <w:szCs w:val="22"/>
          <w:lang w:val="es-ES" w:eastAsia="es-ES"/>
        </w:rPr>
      </w:pPr>
    </w:p>
    <w:p w14:paraId="6494E147" w14:textId="77777777" w:rsidR="0003308B" w:rsidRDefault="0003308B" w:rsidP="000C6174">
      <w:pPr>
        <w:jc w:val="center"/>
        <w:rPr>
          <w:rFonts w:asciiTheme="minorHAnsi" w:hAnsiTheme="minorHAnsi"/>
          <w:b/>
          <w:color w:val="000000" w:themeColor="text1"/>
          <w:sz w:val="28"/>
          <w:szCs w:val="24"/>
          <w:lang w:val="es-MX"/>
        </w:rPr>
      </w:pPr>
    </w:p>
    <w:p w14:paraId="3E935FF2" w14:textId="77777777" w:rsidR="001A4860" w:rsidRPr="001A4860" w:rsidRDefault="001A4860" w:rsidP="001A4860">
      <w:pPr>
        <w:keepLines/>
        <w:spacing w:before="480" w:line="276" w:lineRule="auto"/>
        <w:jc w:val="center"/>
        <w:rPr>
          <w:rFonts w:ascii="Calibri" w:eastAsia="Calibri" w:hAnsi="Calibri" w:cs="Courier New"/>
          <w:b/>
          <w:bCs/>
          <w:kern w:val="28"/>
          <w:sz w:val="22"/>
          <w:szCs w:val="22"/>
          <w:lang w:val="es-NI"/>
        </w:rPr>
      </w:pPr>
      <w:bookmarkStart w:id="1024" w:name="_Toc61317078"/>
      <w:bookmarkStart w:id="1025" w:name="_Toc240187183"/>
      <w:bookmarkStart w:id="1026" w:name="_Toc240777420"/>
      <w:r w:rsidRPr="001A4860">
        <w:rPr>
          <w:rFonts w:ascii="Calibri" w:eastAsia="Calibri" w:hAnsi="Calibri" w:cs="Courier New"/>
          <w:b/>
          <w:bCs/>
          <w:kern w:val="28"/>
          <w:sz w:val="22"/>
          <w:szCs w:val="22"/>
          <w:lang w:val="es-NI"/>
        </w:rPr>
        <w:lastRenderedPageBreak/>
        <w:t>ESPECIFICACIONES PARTICULARES.</w:t>
      </w:r>
    </w:p>
    <w:p w14:paraId="36D4AA1F" w14:textId="77777777" w:rsidR="001A4860" w:rsidRPr="001A4860" w:rsidRDefault="001A4860" w:rsidP="001A4860">
      <w:pPr>
        <w:tabs>
          <w:tab w:val="center" w:pos="4419"/>
          <w:tab w:val="right" w:pos="8838"/>
        </w:tabs>
        <w:jc w:val="left"/>
        <w:rPr>
          <w:rFonts w:ascii="Calibri" w:eastAsia="Calibri" w:hAnsi="Calibri" w:cs="Courier New"/>
          <w:b/>
          <w:bCs/>
          <w:kern w:val="28"/>
          <w:sz w:val="22"/>
          <w:szCs w:val="22"/>
          <w:lang w:val="es-NI"/>
        </w:rPr>
      </w:pPr>
    </w:p>
    <w:p w14:paraId="178F2D9F" w14:textId="77777777" w:rsidR="001A4860" w:rsidRPr="001A4860" w:rsidRDefault="001A4860" w:rsidP="001A4860">
      <w:pPr>
        <w:tabs>
          <w:tab w:val="center" w:pos="4419"/>
          <w:tab w:val="right" w:pos="8838"/>
        </w:tabs>
        <w:jc w:val="left"/>
        <w:rPr>
          <w:rFonts w:ascii="Calibri" w:eastAsia="Calibri" w:hAnsi="Calibri" w:cs="Courier New"/>
          <w:b/>
          <w:bCs/>
          <w:kern w:val="28"/>
          <w:sz w:val="22"/>
          <w:szCs w:val="22"/>
          <w:lang w:val="es-NI"/>
        </w:rPr>
      </w:pPr>
      <w:r w:rsidRPr="001A4860">
        <w:rPr>
          <w:rFonts w:ascii="Calibri" w:eastAsia="Calibri" w:hAnsi="Calibri" w:cs="Courier New"/>
          <w:b/>
          <w:bCs/>
          <w:kern w:val="28"/>
          <w:sz w:val="22"/>
          <w:szCs w:val="22"/>
          <w:highlight w:val="yellow"/>
          <w:lang w:val="es-NI"/>
        </w:rPr>
        <w:t>Proyecto 19962 Agua y Saneamiento Comunidad Naranjo Norte (LOTE 2)</w:t>
      </w:r>
    </w:p>
    <w:p w14:paraId="6AD5F5BD" w14:textId="77777777" w:rsidR="001A4860" w:rsidRPr="001A4860" w:rsidRDefault="001A4860" w:rsidP="001A4860">
      <w:pPr>
        <w:keepNext/>
        <w:keepLines/>
        <w:spacing w:before="480" w:line="276" w:lineRule="auto"/>
        <w:ind w:left="432" w:hanging="432"/>
        <w:jc w:val="left"/>
        <w:outlineLvl w:val="0"/>
        <w:rPr>
          <w:rFonts w:ascii="Calibri" w:eastAsia="Calibri" w:hAnsi="Calibri" w:cs="Courier New"/>
          <w:b/>
          <w:bCs/>
          <w:kern w:val="28"/>
          <w:sz w:val="22"/>
          <w:szCs w:val="22"/>
          <w:lang w:val="es-NI"/>
        </w:rPr>
      </w:pPr>
      <w:r w:rsidRPr="001A4860">
        <w:rPr>
          <w:rFonts w:ascii="Calibri" w:eastAsia="Calibri" w:hAnsi="Calibri" w:cs="Courier New"/>
          <w:b/>
          <w:bCs/>
          <w:kern w:val="28"/>
          <w:sz w:val="22"/>
          <w:szCs w:val="22"/>
          <w:lang w:val="es-NI"/>
        </w:rPr>
        <w:t>INSTALACIÓN DE TUBERÍA EN LINEA DE CONDUCCION Y RED DE DISTRIBUCION</w:t>
      </w:r>
      <w:bookmarkEnd w:id="1024"/>
      <w:bookmarkEnd w:id="1025"/>
      <w:bookmarkEnd w:id="1026"/>
    </w:p>
    <w:p w14:paraId="2D4150B8" w14:textId="77777777" w:rsidR="001A4860" w:rsidRPr="001A4860" w:rsidRDefault="001A4860" w:rsidP="001A4860">
      <w:pPr>
        <w:spacing w:line="256" w:lineRule="auto"/>
        <w:jc w:val="left"/>
        <w:rPr>
          <w:rFonts w:ascii="Calibri" w:eastAsia="Calibri" w:hAnsi="Calibri"/>
          <w:sz w:val="22"/>
          <w:szCs w:val="22"/>
          <w:lang w:val="es-NI"/>
        </w:rPr>
      </w:pPr>
    </w:p>
    <w:p w14:paraId="3DC25C77"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027" w:name="_Toc61317079"/>
      <w:bookmarkStart w:id="1028" w:name="_Toc240187184"/>
      <w:bookmarkStart w:id="1029" w:name="_Toc240777421"/>
      <w:r w:rsidRPr="001A4860">
        <w:rPr>
          <w:rFonts w:ascii="Calibri" w:eastAsia="Calibri" w:hAnsi="Calibri" w:cs="Arial"/>
          <w:b/>
          <w:bCs/>
          <w:iCs/>
          <w:sz w:val="22"/>
          <w:szCs w:val="28"/>
          <w:lang w:val="es-NI"/>
        </w:rPr>
        <w:t>Especificaciones Técnicas de Materiales.</w:t>
      </w:r>
      <w:bookmarkEnd w:id="1027"/>
      <w:bookmarkEnd w:id="1028"/>
      <w:bookmarkEnd w:id="1029"/>
      <w:r w:rsidRPr="001A4860">
        <w:rPr>
          <w:rFonts w:ascii="Calibri" w:eastAsia="Calibri" w:hAnsi="Calibri" w:cs="Arial"/>
          <w:b/>
          <w:bCs/>
          <w:iCs/>
          <w:sz w:val="22"/>
          <w:szCs w:val="28"/>
          <w:lang w:val="es-NI"/>
        </w:rPr>
        <w:t xml:space="preserve"> </w:t>
      </w:r>
    </w:p>
    <w:p w14:paraId="64620EDB" w14:textId="77777777" w:rsidR="001A4860" w:rsidRPr="001A4860" w:rsidRDefault="001A4860" w:rsidP="001A4860">
      <w:pPr>
        <w:spacing w:line="256" w:lineRule="auto"/>
        <w:jc w:val="left"/>
        <w:rPr>
          <w:rFonts w:ascii="Calibri" w:eastAsia="Calibri" w:hAnsi="Calibri"/>
          <w:szCs w:val="24"/>
          <w:lang w:val="es-NI"/>
        </w:rPr>
      </w:pPr>
    </w:p>
    <w:p w14:paraId="20E0C84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Este capítulo incluye el suministro de todo material, señalados en los planos y descritos en estas especificaciones o indicadas por El Ingeniero.</w:t>
      </w:r>
    </w:p>
    <w:p w14:paraId="6A70ABD4" w14:textId="77777777" w:rsidR="001A4860" w:rsidRPr="001A4860" w:rsidRDefault="001A4860" w:rsidP="001A4860">
      <w:pPr>
        <w:keepNext/>
        <w:keepLines/>
        <w:spacing w:line="276" w:lineRule="auto"/>
        <w:outlineLvl w:val="2"/>
        <w:rPr>
          <w:rFonts w:ascii="Calibri" w:hAnsi="Calibri"/>
          <w:b/>
          <w:bCs/>
          <w:szCs w:val="24"/>
          <w:lang w:val="es-NI"/>
        </w:rPr>
      </w:pPr>
    </w:p>
    <w:p w14:paraId="7F7CC1E6"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30" w:name="_Toc61317080"/>
      <w:bookmarkStart w:id="1031" w:name="_Toc240187185"/>
      <w:bookmarkStart w:id="1032" w:name="_Toc240777422"/>
      <w:r w:rsidRPr="001A4860">
        <w:rPr>
          <w:rFonts w:ascii="Calibri Light" w:hAnsi="Calibri Light"/>
          <w:b/>
          <w:bCs/>
          <w:sz w:val="22"/>
          <w:szCs w:val="22"/>
          <w:lang w:val="es-NI"/>
        </w:rPr>
        <w:t>Tuberías y accesorios de PVC (Cloruro de Polivinilo)</w:t>
      </w:r>
      <w:bookmarkStart w:id="1033" w:name="_Toc468439670"/>
      <w:bookmarkStart w:id="1034" w:name="_Toc468440857"/>
      <w:bookmarkEnd w:id="1030"/>
      <w:bookmarkEnd w:id="1031"/>
      <w:bookmarkEnd w:id="1032"/>
    </w:p>
    <w:p w14:paraId="7027853F" w14:textId="77777777" w:rsidR="001A4860" w:rsidRPr="001A4860" w:rsidRDefault="001A4860" w:rsidP="001A4860">
      <w:pPr>
        <w:tabs>
          <w:tab w:val="num" w:pos="1213"/>
        </w:tabs>
        <w:jc w:val="left"/>
        <w:rPr>
          <w:rFonts w:ascii="Calibri" w:eastAsia="Calibri" w:hAnsi="Calibri"/>
          <w:szCs w:val="24"/>
          <w:lang w:val="es-NI"/>
        </w:rPr>
      </w:pPr>
    </w:p>
    <w:p w14:paraId="372FA2EB" w14:textId="77777777" w:rsidR="001A4860" w:rsidRPr="001A4860" w:rsidRDefault="001A4860" w:rsidP="001A4860">
      <w:pPr>
        <w:tabs>
          <w:tab w:val="num" w:pos="1213"/>
        </w:tabs>
        <w:jc w:val="left"/>
        <w:rPr>
          <w:rFonts w:ascii="Calibri" w:eastAsia="Calibri" w:hAnsi="Calibri"/>
          <w:b/>
          <w:szCs w:val="24"/>
          <w:lang w:val="es-NI"/>
        </w:rPr>
      </w:pPr>
      <w:r w:rsidRPr="001A4860">
        <w:rPr>
          <w:rFonts w:ascii="Calibri" w:eastAsia="Calibri" w:hAnsi="Calibri"/>
          <w:b/>
          <w:szCs w:val="24"/>
          <w:lang w:val="es-NI"/>
        </w:rPr>
        <w:t>Tuberías:</w:t>
      </w:r>
      <w:bookmarkEnd w:id="1033"/>
      <w:bookmarkEnd w:id="1034"/>
    </w:p>
    <w:p w14:paraId="3989F3E7" w14:textId="77777777" w:rsidR="001A4860" w:rsidRPr="001A4860" w:rsidRDefault="001A4860" w:rsidP="001A4860">
      <w:pPr>
        <w:spacing w:line="20" w:lineRule="atLeast"/>
        <w:rPr>
          <w:rFonts w:ascii="Calibri" w:eastAsia="Calibri" w:hAnsi="Calibri" w:cs="Arial"/>
          <w:szCs w:val="24"/>
          <w:lang w:val="es-NI"/>
        </w:rPr>
      </w:pPr>
    </w:p>
    <w:p w14:paraId="7C5EB949"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Se deberán ofertar tuberías de Cloruro de Polivinilo (PVC), correspondientes a la tubería designada por SDR-26, según la Especificación Estándar ASTM D 2241-89. </w:t>
      </w:r>
    </w:p>
    <w:p w14:paraId="58F71397" w14:textId="77777777" w:rsidR="001A4860" w:rsidRPr="001A4860" w:rsidRDefault="001A4860" w:rsidP="001A4860">
      <w:pPr>
        <w:spacing w:line="20" w:lineRule="atLeast"/>
        <w:jc w:val="left"/>
        <w:rPr>
          <w:rFonts w:ascii="Calibri" w:eastAsia="Calibri" w:hAnsi="Calibri"/>
          <w:spacing w:val="-3"/>
          <w:szCs w:val="24"/>
          <w:lang w:val="es-NI"/>
        </w:rPr>
      </w:pPr>
    </w:p>
    <w:p w14:paraId="19B75B41"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Los tubos con diámetros iguales o menores a Ø </w:t>
      </w:r>
      <w:smartTag w:uri="urn:schemas-microsoft-com:office:smarttags" w:element="metricconverter">
        <w:smartTagPr>
          <w:attr w:name="ProductID" w:val="3”"/>
        </w:smartTagPr>
        <w:r w:rsidRPr="001A4860">
          <w:rPr>
            <w:rFonts w:ascii="Calibri" w:eastAsia="Calibri" w:hAnsi="Calibri" w:cs="Arial"/>
            <w:szCs w:val="24"/>
            <w:lang w:val="es-NI"/>
          </w:rPr>
          <w:t>3”</w:t>
        </w:r>
      </w:smartTag>
      <w:r w:rsidRPr="001A4860">
        <w:rPr>
          <w:rFonts w:ascii="Calibri" w:eastAsia="Calibri" w:hAnsi="Calibri" w:cs="Arial"/>
          <w:szCs w:val="24"/>
          <w:lang w:val="es-NI"/>
        </w:rPr>
        <w:t>, tendrán extremos del tipo espiga y campana para ser unidos entre sí mediante el empleo de juntas cementa</w:t>
      </w:r>
      <w:r w:rsidRPr="001A4860">
        <w:rPr>
          <w:rFonts w:ascii="Calibri" w:eastAsia="Calibri" w:hAnsi="Calibri" w:cs="Arial"/>
          <w:szCs w:val="24"/>
          <w:lang w:val="es-NI"/>
        </w:rPr>
        <w:softHyphen/>
        <w:t xml:space="preserve">das. Para su unión se usará cemento solvente que consistirá en una solución de PVC clase 1254-B, el cual deberá cumplir con la norma ASTM-D-2564-72. </w:t>
      </w:r>
    </w:p>
    <w:p w14:paraId="2A348676" w14:textId="77777777" w:rsidR="001A4860" w:rsidRPr="001A4860" w:rsidRDefault="001A4860" w:rsidP="001A4860">
      <w:pPr>
        <w:spacing w:line="20" w:lineRule="atLeast"/>
        <w:rPr>
          <w:rFonts w:ascii="Calibri" w:eastAsia="Calibri" w:hAnsi="Calibri" w:cs="Arial"/>
          <w:szCs w:val="24"/>
          <w:lang w:val="es-NI"/>
        </w:rPr>
      </w:pPr>
    </w:p>
    <w:p w14:paraId="3C171909"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Las propiedades físicas de las tuberías serán probadas de conformidad a la última versión de las Normas ASTM D2241, D1598 y D1599, para la presión sostenida, presión de estallido, integridad hidrostática, aplastamiento y calidad de la extrusión.</w:t>
      </w:r>
    </w:p>
    <w:p w14:paraId="5D2842A3" w14:textId="77777777" w:rsidR="001A4860" w:rsidRPr="001A4860" w:rsidRDefault="001A4860" w:rsidP="001A4860">
      <w:pPr>
        <w:spacing w:line="20" w:lineRule="atLeast"/>
        <w:rPr>
          <w:rFonts w:ascii="Calibri" w:eastAsia="Calibri" w:hAnsi="Calibri" w:cs="Arial"/>
          <w:szCs w:val="24"/>
          <w:lang w:val="es-NI"/>
        </w:rPr>
      </w:pPr>
    </w:p>
    <w:p w14:paraId="6C91554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Los compuestos usados en la fabricación de las tuberías y accesorios no deben contener ingredientes solubles en agua en una cantidad tal que su migración en determinadas cantidades en el agua sea tóxica y no permitida, según las normas de calidad OPS/OMS para el agua potable.</w:t>
      </w:r>
    </w:p>
    <w:p w14:paraId="1E81A4D8" w14:textId="77777777" w:rsidR="001A4860" w:rsidRPr="001A4860" w:rsidRDefault="001A4860" w:rsidP="001A4860">
      <w:pPr>
        <w:spacing w:line="20" w:lineRule="atLeast"/>
        <w:rPr>
          <w:rFonts w:ascii="Calibri" w:eastAsia="Calibri" w:hAnsi="Calibri" w:cs="Arial"/>
          <w:szCs w:val="24"/>
          <w:lang w:val="es-NI"/>
        </w:rPr>
      </w:pPr>
    </w:p>
    <w:p w14:paraId="6E9DA55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Es de hacer notar que no se aceptarán materiales que contengan plomo y sus derivados, o materiales solubles en agua u otros que perjudiquen la calidad específica de la tubería.</w:t>
      </w:r>
    </w:p>
    <w:p w14:paraId="30DD079F" w14:textId="77777777" w:rsidR="001A4860" w:rsidRPr="001A4860" w:rsidRDefault="001A4860" w:rsidP="001A4860">
      <w:pPr>
        <w:tabs>
          <w:tab w:val="num" w:pos="1213"/>
        </w:tabs>
        <w:jc w:val="left"/>
        <w:rPr>
          <w:rFonts w:ascii="Calibri" w:eastAsia="Calibri" w:hAnsi="Calibri"/>
          <w:b/>
          <w:szCs w:val="24"/>
          <w:lang w:val="es-NI"/>
        </w:rPr>
      </w:pPr>
    </w:p>
    <w:p w14:paraId="2A7A32E8" w14:textId="77777777" w:rsidR="001A4860" w:rsidRPr="001A4860" w:rsidRDefault="001A4860" w:rsidP="001A4860">
      <w:pPr>
        <w:tabs>
          <w:tab w:val="num" w:pos="1213"/>
        </w:tabs>
        <w:jc w:val="left"/>
        <w:rPr>
          <w:rFonts w:ascii="Calibri" w:eastAsia="Calibri" w:hAnsi="Calibri"/>
          <w:b/>
          <w:szCs w:val="24"/>
          <w:lang w:val="es-NI"/>
        </w:rPr>
      </w:pPr>
      <w:r w:rsidRPr="001A4860">
        <w:rPr>
          <w:rFonts w:ascii="Calibri" w:eastAsia="Calibri" w:hAnsi="Calibri"/>
          <w:b/>
          <w:szCs w:val="24"/>
          <w:lang w:val="es-NI"/>
        </w:rPr>
        <w:t>Dimensiones:</w:t>
      </w:r>
    </w:p>
    <w:p w14:paraId="2CFFC773" w14:textId="77777777" w:rsidR="001A4860" w:rsidRPr="001A4860" w:rsidRDefault="001A4860" w:rsidP="001A4860">
      <w:pPr>
        <w:spacing w:line="20" w:lineRule="atLeast"/>
        <w:rPr>
          <w:rFonts w:ascii="Calibri" w:eastAsia="Calibri" w:hAnsi="Calibri" w:cs="Arial"/>
          <w:szCs w:val="24"/>
          <w:lang w:val="es-NI"/>
        </w:rPr>
      </w:pPr>
    </w:p>
    <w:p w14:paraId="6B93401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Los diámetros, espesores de paredes y longitudes de la tubería serán determinados conforme a lo establecido por el Método de Prueba Estándar ASTM D2122-88.</w:t>
      </w:r>
    </w:p>
    <w:p w14:paraId="0B0ED734" w14:textId="77777777" w:rsidR="001A4860" w:rsidRPr="001A4860" w:rsidRDefault="001A4860" w:rsidP="001A4860">
      <w:pPr>
        <w:spacing w:line="20" w:lineRule="atLeast"/>
        <w:rPr>
          <w:rFonts w:ascii="Calibri" w:eastAsia="Calibri" w:hAnsi="Calibri" w:cs="Arial"/>
          <w:b/>
          <w:szCs w:val="24"/>
          <w:lang w:val="es-NI"/>
        </w:rPr>
      </w:pPr>
    </w:p>
    <w:p w14:paraId="53628A61" w14:textId="77777777" w:rsidR="001A4860" w:rsidRPr="001A4860" w:rsidRDefault="001A4860" w:rsidP="001A4860">
      <w:pPr>
        <w:spacing w:line="20" w:lineRule="atLeast"/>
        <w:rPr>
          <w:rFonts w:ascii="Calibri" w:eastAsia="Calibri" w:hAnsi="Calibri" w:cs="Arial"/>
          <w:b/>
          <w:szCs w:val="24"/>
          <w:lang w:val="es-NI"/>
        </w:rPr>
      </w:pPr>
    </w:p>
    <w:p w14:paraId="066396B0"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b/>
          <w:szCs w:val="24"/>
          <w:lang w:val="es-NI"/>
        </w:rPr>
        <w:lastRenderedPageBreak/>
        <w:t>Longitudes estándares:</w:t>
      </w:r>
    </w:p>
    <w:p w14:paraId="3598A38C" w14:textId="77777777" w:rsidR="001A4860" w:rsidRPr="001A4860" w:rsidRDefault="001A4860" w:rsidP="001A4860">
      <w:pPr>
        <w:spacing w:line="20" w:lineRule="atLeast"/>
        <w:rPr>
          <w:rFonts w:ascii="Calibri" w:eastAsia="Calibri" w:hAnsi="Calibri" w:cs="Arial"/>
          <w:szCs w:val="24"/>
          <w:lang w:val="es-NI"/>
        </w:rPr>
      </w:pPr>
    </w:p>
    <w:p w14:paraId="3BC701E2"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 tubería debe suministrarse en longitudes estándares de </w:t>
      </w:r>
      <w:smartTag w:uri="urn:schemas-microsoft-com:office:smarttags" w:element="metricconverter">
        <w:smartTagPr>
          <w:attr w:name="ProductID" w:val="20 pies"/>
        </w:smartTagPr>
        <w:r w:rsidRPr="001A4860">
          <w:rPr>
            <w:rFonts w:ascii="Calibri" w:eastAsia="Calibri" w:hAnsi="Calibri" w:cs="Arial"/>
            <w:szCs w:val="24"/>
            <w:lang w:val="es-NI"/>
          </w:rPr>
          <w:t>20 pies</w:t>
        </w:r>
      </w:smartTag>
      <w:r w:rsidRPr="001A4860">
        <w:rPr>
          <w:rFonts w:ascii="Calibri" w:eastAsia="Calibri" w:hAnsi="Calibri" w:cs="Arial"/>
          <w:szCs w:val="24"/>
          <w:lang w:val="es-NI"/>
        </w:rPr>
        <w:t xml:space="preserve"> ± </w:t>
      </w:r>
      <w:smartTag w:uri="urn:schemas-microsoft-com:office:smarttags" w:element="metricconverter">
        <w:smartTagPr>
          <w:attr w:name="ProductID" w:val="1 pulgada"/>
        </w:smartTagPr>
        <w:r w:rsidRPr="001A4860">
          <w:rPr>
            <w:rFonts w:ascii="Calibri" w:eastAsia="Calibri" w:hAnsi="Calibri" w:cs="Arial"/>
            <w:szCs w:val="24"/>
            <w:lang w:val="es-NI"/>
          </w:rPr>
          <w:t>1 pulgada</w:t>
        </w:r>
      </w:smartTag>
      <w:r w:rsidRPr="001A4860">
        <w:rPr>
          <w:rFonts w:ascii="Calibri" w:eastAsia="Calibri" w:hAnsi="Calibri" w:cs="Arial"/>
          <w:szCs w:val="24"/>
          <w:lang w:val="es-NI"/>
        </w:rPr>
        <w:t xml:space="preserve"> (</w:t>
      </w:r>
      <w:smartTag w:uri="urn:schemas-microsoft-com:office:smarttags" w:element="metricconverter">
        <w:smartTagPr>
          <w:attr w:name="ProductID" w:val="6.1 m"/>
        </w:smartTagPr>
        <w:r w:rsidRPr="001A4860">
          <w:rPr>
            <w:rFonts w:ascii="Calibri" w:eastAsia="Calibri" w:hAnsi="Calibri" w:cs="Arial"/>
            <w:szCs w:val="24"/>
            <w:lang w:val="es-NI"/>
          </w:rPr>
          <w:t>6.1 m</w:t>
        </w:r>
      </w:smartTag>
      <w:r w:rsidRPr="001A4860">
        <w:rPr>
          <w:rFonts w:ascii="Calibri" w:eastAsia="Calibri" w:hAnsi="Calibri" w:cs="Arial"/>
          <w:szCs w:val="24"/>
          <w:lang w:val="es-NI"/>
        </w:rPr>
        <w:t xml:space="preserve"> ± </w:t>
      </w:r>
      <w:smartTag w:uri="urn:schemas-microsoft-com:office:smarttags" w:element="metricconverter">
        <w:smartTagPr>
          <w:attr w:name="ProductID" w:val="25 mm"/>
        </w:smartTagPr>
        <w:r w:rsidRPr="001A4860">
          <w:rPr>
            <w:rFonts w:ascii="Calibri" w:eastAsia="Calibri" w:hAnsi="Calibri" w:cs="Arial"/>
            <w:szCs w:val="24"/>
            <w:lang w:val="es-NI"/>
          </w:rPr>
          <w:t>25 mm</w:t>
        </w:r>
      </w:smartTag>
      <w:r w:rsidRPr="001A4860">
        <w:rPr>
          <w:rFonts w:ascii="Calibri" w:eastAsia="Calibri" w:hAnsi="Calibri" w:cs="Arial"/>
          <w:szCs w:val="24"/>
          <w:lang w:val="es-NI"/>
        </w:rPr>
        <w:t xml:space="preserve">).  Un máximo del 5% de la longitud de cada diámetro puede suministrarse en longitudes variables que no sean menores a los </w:t>
      </w:r>
      <w:smartTag w:uri="urn:schemas-microsoft-com:office:smarttags" w:element="metricconverter">
        <w:smartTagPr>
          <w:attr w:name="ProductID" w:val="10 pies"/>
        </w:smartTagPr>
        <w:r w:rsidRPr="001A4860">
          <w:rPr>
            <w:rFonts w:ascii="Calibri" w:eastAsia="Calibri" w:hAnsi="Calibri" w:cs="Arial"/>
            <w:szCs w:val="24"/>
            <w:lang w:val="es-NI"/>
          </w:rPr>
          <w:t>10 pies</w:t>
        </w:r>
      </w:smartTag>
      <w:r w:rsidRPr="001A4860">
        <w:rPr>
          <w:rFonts w:ascii="Calibri" w:eastAsia="Calibri" w:hAnsi="Calibri" w:cs="Arial"/>
          <w:szCs w:val="24"/>
          <w:lang w:val="es-NI"/>
        </w:rPr>
        <w:t xml:space="preserve"> (</w:t>
      </w:r>
      <w:smartTag w:uri="urn:schemas-microsoft-com:office:smarttags" w:element="metricconverter">
        <w:smartTagPr>
          <w:attr w:name="ProductID" w:val="3 m"/>
        </w:smartTagPr>
        <w:r w:rsidRPr="001A4860">
          <w:rPr>
            <w:rFonts w:ascii="Calibri" w:eastAsia="Calibri" w:hAnsi="Calibri" w:cs="Arial"/>
            <w:szCs w:val="24"/>
            <w:lang w:val="es-NI"/>
          </w:rPr>
          <w:t>3 m</w:t>
        </w:r>
      </w:smartTag>
      <w:r w:rsidRPr="001A4860">
        <w:rPr>
          <w:rFonts w:ascii="Calibri" w:eastAsia="Calibri" w:hAnsi="Calibri" w:cs="Arial"/>
          <w:szCs w:val="24"/>
          <w:lang w:val="es-NI"/>
        </w:rPr>
        <w:t>.)</w:t>
      </w:r>
    </w:p>
    <w:p w14:paraId="5CA014A4" w14:textId="77777777" w:rsidR="001A4860" w:rsidRPr="001A4860" w:rsidRDefault="001A4860" w:rsidP="001A4860">
      <w:pPr>
        <w:spacing w:line="20" w:lineRule="atLeast"/>
        <w:rPr>
          <w:rFonts w:ascii="Calibri" w:eastAsia="Calibri" w:hAnsi="Calibri" w:cs="Arial"/>
          <w:b/>
          <w:szCs w:val="24"/>
          <w:lang w:val="es-NI"/>
        </w:rPr>
      </w:pPr>
    </w:p>
    <w:p w14:paraId="0444B3BE" w14:textId="77777777" w:rsidR="001A4860" w:rsidRPr="001A4860" w:rsidRDefault="001A4860" w:rsidP="001A4860">
      <w:pPr>
        <w:spacing w:line="20" w:lineRule="atLeast"/>
        <w:rPr>
          <w:rFonts w:ascii="Calibri" w:eastAsia="Calibri" w:hAnsi="Calibri" w:cs="Arial"/>
          <w:b/>
          <w:szCs w:val="24"/>
          <w:lang w:val="es-NI"/>
        </w:rPr>
      </w:pPr>
      <w:r w:rsidRPr="001A4860">
        <w:rPr>
          <w:rFonts w:ascii="Calibri" w:eastAsia="Calibri" w:hAnsi="Calibri" w:cs="Arial"/>
          <w:b/>
          <w:szCs w:val="24"/>
          <w:lang w:val="es-NI"/>
        </w:rPr>
        <w:t xml:space="preserve"> Accesorios de PVC:</w:t>
      </w:r>
    </w:p>
    <w:p w14:paraId="5AB04388"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371BAB7F"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Los accesorios de </w:t>
      </w:r>
      <w:r w:rsidRPr="001A4860">
        <w:rPr>
          <w:rFonts w:ascii="Calibri" w:eastAsia="Calibri" w:hAnsi="Calibri" w:cs="Arial"/>
          <w:bCs/>
          <w:spacing w:val="-3"/>
          <w:szCs w:val="24"/>
          <w:lang w:val="es-NI"/>
        </w:rPr>
        <w:t>PVC</w:t>
      </w:r>
      <w:r w:rsidRPr="001A4860">
        <w:rPr>
          <w:rFonts w:ascii="Calibri" w:eastAsia="Calibri" w:hAnsi="Calibri" w:cs="Arial"/>
          <w:spacing w:val="-3"/>
          <w:szCs w:val="24"/>
          <w:lang w:val="es-NI"/>
        </w:rPr>
        <w:t xml:space="preserve"> serán </w:t>
      </w:r>
      <w:r w:rsidRPr="001A4860">
        <w:rPr>
          <w:rFonts w:ascii="Calibri" w:eastAsia="Calibri" w:hAnsi="Calibri" w:cs="Arial"/>
          <w:bCs/>
          <w:spacing w:val="-3"/>
          <w:szCs w:val="24"/>
          <w:lang w:val="es-NI"/>
        </w:rPr>
        <w:t>cédula 40</w:t>
      </w:r>
      <w:r w:rsidRPr="001A4860">
        <w:rPr>
          <w:rFonts w:ascii="Calibri" w:eastAsia="Calibri" w:hAnsi="Calibri" w:cs="Arial"/>
          <w:spacing w:val="-3"/>
          <w:szCs w:val="24"/>
          <w:lang w:val="es-NI"/>
        </w:rPr>
        <w:t xml:space="preserve"> y deberán cumplir con las normas </w:t>
      </w:r>
      <w:r w:rsidRPr="001A4860">
        <w:rPr>
          <w:rFonts w:ascii="Calibri" w:eastAsia="Calibri" w:hAnsi="Calibri" w:cs="Arial"/>
          <w:bCs/>
          <w:spacing w:val="-3"/>
          <w:szCs w:val="24"/>
          <w:lang w:val="es-NI"/>
        </w:rPr>
        <w:t>ASTM-D-2466-69</w:t>
      </w:r>
      <w:r w:rsidRPr="001A4860">
        <w:rPr>
          <w:rFonts w:ascii="Calibri" w:eastAsia="Calibri" w:hAnsi="Calibri" w:cs="Arial"/>
          <w:spacing w:val="-3"/>
          <w:szCs w:val="24"/>
          <w:lang w:val="es-NI"/>
        </w:rPr>
        <w:t xml:space="preserve">. </w:t>
      </w:r>
    </w:p>
    <w:p w14:paraId="3B8F00FA" w14:textId="77777777" w:rsidR="001A4860" w:rsidRPr="001A4860" w:rsidRDefault="001A4860" w:rsidP="001A4860">
      <w:pPr>
        <w:spacing w:line="20" w:lineRule="atLeast"/>
        <w:rPr>
          <w:rFonts w:ascii="Calibri" w:eastAsia="Calibri" w:hAnsi="Calibri" w:cs="Arial"/>
          <w:b/>
          <w:bCs/>
          <w:szCs w:val="24"/>
          <w:lang w:val="es-NI"/>
        </w:rPr>
      </w:pPr>
    </w:p>
    <w:p w14:paraId="7825487D" w14:textId="77777777" w:rsidR="001A4860" w:rsidRPr="001A4860" w:rsidRDefault="001A4860" w:rsidP="001A4860">
      <w:pPr>
        <w:spacing w:line="20" w:lineRule="atLeast"/>
        <w:rPr>
          <w:rFonts w:ascii="Calibri" w:eastAsia="Calibri" w:hAnsi="Calibri" w:cs="Arial"/>
          <w:b/>
          <w:szCs w:val="24"/>
          <w:lang w:val="es-NI"/>
        </w:rPr>
      </w:pPr>
      <w:r w:rsidRPr="001A4860">
        <w:rPr>
          <w:rFonts w:ascii="Calibri" w:eastAsia="Calibri" w:hAnsi="Calibri" w:cs="Arial"/>
          <w:b/>
          <w:szCs w:val="24"/>
          <w:lang w:val="es-NI"/>
        </w:rPr>
        <w:t>Pegamento PVC :</w:t>
      </w:r>
    </w:p>
    <w:p w14:paraId="495AE32A" w14:textId="77777777" w:rsidR="001A4860" w:rsidRPr="001A4860" w:rsidRDefault="001A4860" w:rsidP="001A4860">
      <w:pPr>
        <w:tabs>
          <w:tab w:val="left" w:pos="-1440"/>
          <w:tab w:val="left" w:pos="-720"/>
          <w:tab w:val="left" w:pos="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cs="Arial"/>
          <w:szCs w:val="24"/>
          <w:lang w:val="es-NI"/>
        </w:rPr>
      </w:pPr>
    </w:p>
    <w:p w14:paraId="3EC9908F" w14:textId="77777777" w:rsidR="001A4860" w:rsidRPr="001A4860" w:rsidRDefault="001A4860" w:rsidP="001A4860">
      <w:pPr>
        <w:tabs>
          <w:tab w:val="left" w:pos="-1440"/>
          <w:tab w:val="left" w:pos="-720"/>
          <w:tab w:val="left" w:pos="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cs="Arial"/>
          <w:szCs w:val="24"/>
          <w:lang w:val="es-NI"/>
        </w:rPr>
      </w:pPr>
      <w:r w:rsidRPr="001A4860">
        <w:rPr>
          <w:rFonts w:ascii="Calibri" w:eastAsia="Calibri" w:hAnsi="Calibri" w:cs="Arial"/>
          <w:szCs w:val="24"/>
          <w:lang w:val="es-NI"/>
        </w:rPr>
        <w:t>El pegamento a suministrarse debe cumplir con la Norma D-2564, la cual rige las Especificaciones para el Cemento Solvente.  Esta es una solución de PVC clase 12454-B.</w:t>
      </w:r>
    </w:p>
    <w:p w14:paraId="55BB90AB" w14:textId="77777777" w:rsidR="001A4860" w:rsidRPr="001A4860" w:rsidRDefault="001A4860" w:rsidP="001A4860">
      <w:pPr>
        <w:tabs>
          <w:tab w:val="left" w:pos="-1440"/>
          <w:tab w:val="left" w:pos="-720"/>
          <w:tab w:val="left" w:pos="0"/>
          <w:tab w:val="left" w:pos="72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cs="Arial"/>
          <w:szCs w:val="24"/>
          <w:lang w:val="es-NI"/>
        </w:rPr>
      </w:pPr>
    </w:p>
    <w:p w14:paraId="17A9DE58" w14:textId="77777777" w:rsidR="001A4860" w:rsidRPr="001A4860" w:rsidRDefault="001A4860" w:rsidP="001A4860">
      <w:pPr>
        <w:spacing w:line="20" w:lineRule="atLeast"/>
        <w:rPr>
          <w:rFonts w:ascii="Calibri" w:eastAsia="Calibri" w:hAnsi="Calibri" w:cs="Arial"/>
          <w:b/>
          <w:szCs w:val="24"/>
          <w:lang w:val="es-NI"/>
        </w:rPr>
      </w:pPr>
      <w:r w:rsidRPr="001A4860">
        <w:rPr>
          <w:rFonts w:ascii="Calibri" w:eastAsia="Calibri" w:hAnsi="Calibri" w:cs="Arial"/>
          <w:b/>
          <w:szCs w:val="24"/>
          <w:lang w:val="es-NI"/>
        </w:rPr>
        <w:t>Silletas:</w:t>
      </w:r>
    </w:p>
    <w:p w14:paraId="6AC390DC" w14:textId="77777777" w:rsidR="001A4860" w:rsidRPr="001A4860" w:rsidRDefault="001A4860" w:rsidP="001A4860">
      <w:pPr>
        <w:tabs>
          <w:tab w:val="left" w:pos="-1440"/>
          <w:tab w:val="left" w:pos="-720"/>
          <w:tab w:val="left" w:pos="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bCs/>
          <w:szCs w:val="24"/>
          <w:lang w:val="es-NI"/>
        </w:rPr>
      </w:pPr>
      <w:r w:rsidRPr="001A4860">
        <w:rPr>
          <w:rFonts w:ascii="Calibri" w:eastAsia="Calibri" w:hAnsi="Calibri"/>
          <w:bCs/>
          <w:szCs w:val="24"/>
          <w:lang w:val="es-NI"/>
        </w:rPr>
        <w:t>El cuerpo de las silletas solicitadas deberá cumplir con las mismas especificaciones que los accesorios.</w:t>
      </w:r>
    </w:p>
    <w:p w14:paraId="6B993F48" w14:textId="77777777" w:rsidR="001A4860" w:rsidRPr="001A4860" w:rsidRDefault="001A4860" w:rsidP="001A4860">
      <w:pPr>
        <w:tabs>
          <w:tab w:val="left" w:pos="-1440"/>
          <w:tab w:val="left" w:pos="-720"/>
          <w:tab w:val="left" w:pos="0"/>
          <w:tab w:val="left" w:pos="72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cs="Arial"/>
          <w:szCs w:val="24"/>
          <w:lang w:val="es-NI"/>
        </w:rPr>
      </w:pPr>
    </w:p>
    <w:p w14:paraId="711D948E" w14:textId="77777777" w:rsidR="001A4860" w:rsidRPr="001A4860" w:rsidRDefault="001A4860" w:rsidP="001A4860">
      <w:pPr>
        <w:tabs>
          <w:tab w:val="left" w:pos="-1440"/>
          <w:tab w:val="left" w:pos="-720"/>
          <w:tab w:val="left" w:pos="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bCs/>
          <w:szCs w:val="24"/>
          <w:lang w:val="es-NI"/>
        </w:rPr>
      </w:pPr>
      <w:r w:rsidRPr="001A4860">
        <w:rPr>
          <w:rFonts w:ascii="Calibri" w:eastAsia="Calibri" w:hAnsi="Calibri"/>
          <w:bCs/>
          <w:szCs w:val="24"/>
          <w:lang w:val="es-NI"/>
        </w:rPr>
        <w:t>El empaque será 100% de Neopreno, resistente a los aceites, álcali, ácidos, aguas naturales y temperaturas hasta 200</w:t>
      </w:r>
      <w:r w:rsidRPr="001A4860">
        <w:rPr>
          <w:rFonts w:ascii="Calibri" w:eastAsia="Calibri" w:hAnsi="Calibri"/>
          <w:bCs/>
          <w:szCs w:val="24"/>
          <w:lang w:val="es-NI"/>
        </w:rPr>
        <w:t> F. Debe estar perfectamente adherido al interior del Cuerpo de la silleta.</w:t>
      </w:r>
    </w:p>
    <w:p w14:paraId="16D8FEE7" w14:textId="77777777" w:rsidR="001A4860" w:rsidRPr="001A4860" w:rsidRDefault="001A4860" w:rsidP="001A4860">
      <w:pPr>
        <w:tabs>
          <w:tab w:val="left" w:pos="-1440"/>
          <w:tab w:val="left" w:pos="-720"/>
          <w:tab w:val="left" w:pos="0"/>
          <w:tab w:val="left" w:pos="72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cs="Arial"/>
          <w:szCs w:val="24"/>
          <w:lang w:val="es-NI"/>
        </w:rPr>
      </w:pPr>
    </w:p>
    <w:p w14:paraId="1DB7AC60" w14:textId="77777777" w:rsidR="001A4860" w:rsidRPr="001A4860" w:rsidRDefault="001A4860" w:rsidP="001A4860">
      <w:pPr>
        <w:tabs>
          <w:tab w:val="left" w:pos="-1440"/>
          <w:tab w:val="left" w:pos="-720"/>
          <w:tab w:val="left" w:pos="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Calibri" w:eastAsia="Calibri" w:hAnsi="Calibri" w:cs="Arial"/>
          <w:szCs w:val="24"/>
          <w:lang w:val="es-NI"/>
        </w:rPr>
      </w:pPr>
      <w:r w:rsidRPr="001A4860">
        <w:rPr>
          <w:rFonts w:ascii="Calibri" w:eastAsia="Calibri" w:hAnsi="Calibri" w:cs="Arial"/>
          <w:szCs w:val="24"/>
          <w:lang w:val="es-NI"/>
        </w:rPr>
        <w:t>En todo caso todas las partes de la silleta, cuerpo, empaque, tornillos, deberán ser suplidas por un fabricante o distribuidor autorizado que garantice la calidad de los materiales utilizados.</w:t>
      </w:r>
    </w:p>
    <w:p w14:paraId="2A5CAB27" w14:textId="77777777" w:rsidR="001A4860" w:rsidRPr="001A4860" w:rsidRDefault="001A4860" w:rsidP="001A4860">
      <w:pPr>
        <w:tabs>
          <w:tab w:val="left" w:pos="1134"/>
        </w:tabs>
        <w:spacing w:after="160" w:line="256" w:lineRule="auto"/>
        <w:rPr>
          <w:rFonts w:ascii="Calibri" w:eastAsia="Calibri" w:hAnsi="Calibri" w:cs="Arial"/>
          <w:szCs w:val="24"/>
          <w:lang w:val="es-NI"/>
        </w:rPr>
      </w:pPr>
      <w:r w:rsidRPr="001A4860">
        <w:rPr>
          <w:rFonts w:ascii="Calibri" w:eastAsia="Calibri" w:hAnsi="Calibri" w:cs="Arial"/>
          <w:szCs w:val="24"/>
          <w:lang w:val="es-NI"/>
        </w:rPr>
        <w:t>Su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401ECD90"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35" w:name="_Toc61317081"/>
      <w:bookmarkStart w:id="1036" w:name="_Toc240777423"/>
      <w:r w:rsidRPr="001A4860">
        <w:rPr>
          <w:rFonts w:ascii="Calibri Light" w:hAnsi="Calibri Light"/>
          <w:b/>
          <w:bCs/>
          <w:sz w:val="22"/>
          <w:szCs w:val="22"/>
          <w:lang w:val="es-NI"/>
        </w:rPr>
        <w:t>Tuberías y accesorios de hierro galvanizado (H.G)</w:t>
      </w:r>
      <w:bookmarkEnd w:id="1035"/>
      <w:bookmarkEnd w:id="1036"/>
    </w:p>
    <w:p w14:paraId="78C0D158" w14:textId="77777777" w:rsidR="001A4860" w:rsidRPr="001A4860" w:rsidRDefault="001A4860" w:rsidP="003B68DB">
      <w:pPr>
        <w:numPr>
          <w:ilvl w:val="0"/>
          <w:numId w:val="174"/>
        </w:numPr>
        <w:spacing w:after="160" w:line="276" w:lineRule="auto"/>
        <w:ind w:left="0" w:firstLine="0"/>
        <w:jc w:val="left"/>
        <w:rPr>
          <w:rFonts w:ascii="Calibri" w:eastAsia="Calibri" w:hAnsi="Calibri"/>
          <w:szCs w:val="24"/>
          <w:lang w:val="es-NI"/>
        </w:rPr>
      </w:pPr>
    </w:p>
    <w:p w14:paraId="182C1A7A" w14:textId="77777777" w:rsidR="001A4860" w:rsidRPr="001A4860" w:rsidRDefault="001A4860" w:rsidP="003B68DB">
      <w:pPr>
        <w:numPr>
          <w:ilvl w:val="0"/>
          <w:numId w:val="174"/>
        </w:numPr>
        <w:spacing w:after="160" w:line="276" w:lineRule="auto"/>
        <w:ind w:left="0" w:firstLine="0"/>
        <w:jc w:val="left"/>
        <w:rPr>
          <w:rFonts w:ascii="Calibri" w:eastAsia="Calibri" w:hAnsi="Calibri"/>
          <w:b/>
          <w:szCs w:val="24"/>
          <w:lang w:val="es-NI"/>
        </w:rPr>
      </w:pPr>
      <w:r w:rsidRPr="001A4860">
        <w:rPr>
          <w:rFonts w:ascii="Calibri" w:eastAsia="Calibri" w:hAnsi="Calibri"/>
          <w:b/>
          <w:szCs w:val="24"/>
          <w:lang w:val="es-NI"/>
        </w:rPr>
        <w:t>Tuberías:</w:t>
      </w:r>
    </w:p>
    <w:p w14:paraId="6F007762" w14:textId="77777777" w:rsidR="001A4860" w:rsidRPr="001A4860" w:rsidRDefault="001A4860" w:rsidP="001A4860">
      <w:pPr>
        <w:ind w:left="360"/>
        <w:jc w:val="left"/>
        <w:rPr>
          <w:rFonts w:ascii="Calibri" w:hAnsi="Calibri" w:cs="Courier New"/>
          <w:szCs w:val="24"/>
          <w:lang w:val="es-ES" w:eastAsia="es-ES"/>
        </w:rPr>
      </w:pPr>
    </w:p>
    <w:p w14:paraId="7FF0EC39"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Las tuberías de </w:t>
      </w:r>
      <w:r w:rsidRPr="001A4860">
        <w:rPr>
          <w:rFonts w:ascii="Calibri" w:eastAsia="Calibri" w:hAnsi="Calibri" w:cs="Arial"/>
          <w:bCs/>
          <w:szCs w:val="24"/>
          <w:lang w:val="es-NI"/>
        </w:rPr>
        <w:t>HG</w:t>
      </w:r>
      <w:r w:rsidRPr="001A4860">
        <w:rPr>
          <w:rFonts w:ascii="Calibri" w:eastAsia="Calibri" w:hAnsi="Calibri" w:cs="Arial"/>
          <w:szCs w:val="24"/>
          <w:lang w:val="es-NI"/>
        </w:rPr>
        <w:t xml:space="preserve"> serán del </w:t>
      </w:r>
      <w:r w:rsidRPr="001A4860">
        <w:rPr>
          <w:rFonts w:ascii="Calibri" w:eastAsia="Calibri" w:hAnsi="Calibri" w:cs="Arial"/>
          <w:bCs/>
          <w:szCs w:val="24"/>
          <w:lang w:val="es-NI"/>
        </w:rPr>
        <w:t xml:space="preserve">tipo Standard (cédula 40) </w:t>
      </w:r>
      <w:r w:rsidRPr="001A4860">
        <w:rPr>
          <w:rFonts w:ascii="Calibri" w:eastAsia="Calibri" w:hAnsi="Calibri" w:cs="Arial"/>
          <w:szCs w:val="24"/>
          <w:lang w:val="es-NI"/>
        </w:rPr>
        <w:t>y  deberán ajustarse a las especificaciones siguientes:</w:t>
      </w:r>
    </w:p>
    <w:p w14:paraId="58A35033" w14:textId="77777777" w:rsidR="001A4860" w:rsidRPr="001A4860" w:rsidRDefault="001A4860" w:rsidP="001A4860">
      <w:pPr>
        <w:spacing w:line="20" w:lineRule="atLeast"/>
        <w:rPr>
          <w:rFonts w:ascii="Calibri" w:eastAsia="Calibri" w:hAnsi="Calibri" w:cs="Arial"/>
          <w:szCs w:val="24"/>
          <w:lang w:val="es-NI"/>
        </w:rPr>
      </w:pPr>
    </w:p>
    <w:p w14:paraId="0C489A5C" w14:textId="77777777" w:rsidR="001A4860" w:rsidRPr="001A4860" w:rsidRDefault="001A4860" w:rsidP="003B68DB">
      <w:pPr>
        <w:numPr>
          <w:ilvl w:val="0"/>
          <w:numId w:val="176"/>
        </w:numPr>
        <w:spacing w:after="160" w:line="20" w:lineRule="atLeast"/>
        <w:jc w:val="left"/>
        <w:rPr>
          <w:rFonts w:ascii="Calibri" w:eastAsia="Calibri" w:hAnsi="Calibri" w:cs="Arial"/>
          <w:bCs/>
          <w:szCs w:val="24"/>
          <w:lang w:val="es-NI"/>
        </w:rPr>
      </w:pPr>
      <w:r w:rsidRPr="001A4860">
        <w:rPr>
          <w:rFonts w:ascii="Calibri" w:eastAsia="Calibri" w:hAnsi="Calibri" w:cs="Arial"/>
          <w:szCs w:val="24"/>
          <w:lang w:val="es-NI"/>
        </w:rPr>
        <w:t xml:space="preserve">Que se ajuste en todos los aspectos con la especificación </w:t>
      </w:r>
      <w:r w:rsidRPr="001A4860">
        <w:rPr>
          <w:rFonts w:ascii="Calibri" w:eastAsia="Calibri" w:hAnsi="Calibri" w:cs="Arial"/>
          <w:bCs/>
          <w:szCs w:val="24"/>
          <w:lang w:val="es-NI"/>
        </w:rPr>
        <w:t>ASTM-120-65</w:t>
      </w:r>
      <w:r w:rsidRPr="001A4860">
        <w:rPr>
          <w:rFonts w:ascii="Calibri" w:eastAsia="Calibri" w:hAnsi="Calibri" w:cs="Arial"/>
          <w:szCs w:val="24"/>
          <w:lang w:val="es-NI"/>
        </w:rPr>
        <w:t xml:space="preserve"> y que cumpla con el proceso de Galvanización de acuerdo a la especificación </w:t>
      </w:r>
      <w:r w:rsidRPr="001A4860">
        <w:rPr>
          <w:rFonts w:ascii="Calibri" w:eastAsia="Calibri" w:hAnsi="Calibri" w:cs="Arial"/>
          <w:bCs/>
          <w:szCs w:val="24"/>
          <w:lang w:val="es-NI"/>
        </w:rPr>
        <w:t>ASTM A-90-39.</w:t>
      </w:r>
    </w:p>
    <w:p w14:paraId="58566921" w14:textId="77777777" w:rsidR="001A4860" w:rsidRPr="001A4860" w:rsidRDefault="001A4860" w:rsidP="003B68DB">
      <w:pPr>
        <w:numPr>
          <w:ilvl w:val="0"/>
          <w:numId w:val="176"/>
        </w:numPr>
        <w:spacing w:after="160" w:line="20" w:lineRule="atLeast"/>
        <w:jc w:val="left"/>
        <w:rPr>
          <w:rFonts w:ascii="Calibri" w:eastAsia="Calibri" w:hAnsi="Calibri" w:cs="Arial"/>
          <w:bCs/>
          <w:szCs w:val="24"/>
          <w:lang w:val="es-NI"/>
        </w:rPr>
      </w:pPr>
      <w:r w:rsidRPr="001A4860">
        <w:rPr>
          <w:rFonts w:ascii="Calibri" w:eastAsia="Calibri" w:hAnsi="Calibri" w:cs="Arial"/>
          <w:szCs w:val="24"/>
          <w:lang w:val="es-NI"/>
        </w:rPr>
        <w:t xml:space="preserve">La tubería de </w:t>
      </w:r>
      <w:r w:rsidRPr="001A4860">
        <w:rPr>
          <w:rFonts w:ascii="Calibri" w:eastAsia="Calibri" w:hAnsi="Calibri" w:cs="Arial"/>
          <w:bCs/>
          <w:szCs w:val="24"/>
          <w:lang w:val="es-NI"/>
        </w:rPr>
        <w:t>HG.</w:t>
      </w:r>
      <w:r w:rsidRPr="001A4860">
        <w:rPr>
          <w:rFonts w:ascii="Calibri" w:eastAsia="Calibri" w:hAnsi="Calibri" w:cs="Arial"/>
          <w:szCs w:val="24"/>
          <w:lang w:val="es-NI"/>
        </w:rPr>
        <w:t xml:space="preserve"> deberá ser suministrada en longitudes de </w:t>
      </w:r>
      <w:smartTag w:uri="urn:schemas-microsoft-com:office:smarttags" w:element="metricconverter">
        <w:smartTagPr>
          <w:attr w:name="ProductID" w:val="20 pies"/>
        </w:smartTagPr>
        <w:r w:rsidRPr="001A4860">
          <w:rPr>
            <w:rFonts w:ascii="Calibri" w:eastAsia="Calibri" w:hAnsi="Calibri" w:cs="Arial"/>
            <w:szCs w:val="24"/>
            <w:lang w:val="es-NI"/>
          </w:rPr>
          <w:t>20 pies</w:t>
        </w:r>
      </w:smartTag>
      <w:r w:rsidRPr="001A4860">
        <w:rPr>
          <w:rFonts w:ascii="Calibri" w:eastAsia="Calibri" w:hAnsi="Calibri" w:cs="Arial"/>
          <w:szCs w:val="24"/>
          <w:lang w:val="es-NI"/>
        </w:rPr>
        <w:t xml:space="preserve"> con rosca Standard en cada extremo.</w:t>
      </w:r>
    </w:p>
    <w:p w14:paraId="060BE930" w14:textId="77777777" w:rsidR="001A4860" w:rsidRPr="001A4860" w:rsidRDefault="001A4860" w:rsidP="001A4860">
      <w:pPr>
        <w:spacing w:line="20" w:lineRule="atLeast"/>
        <w:jc w:val="left"/>
        <w:rPr>
          <w:rFonts w:ascii="Calibri" w:eastAsia="Calibri" w:hAnsi="Calibri"/>
          <w:szCs w:val="24"/>
          <w:lang w:val="es-NI"/>
        </w:rPr>
      </w:pPr>
    </w:p>
    <w:p w14:paraId="11FD93E2" w14:textId="77777777" w:rsidR="001A4860" w:rsidRPr="001A4860" w:rsidRDefault="001A4860" w:rsidP="001A4860">
      <w:pPr>
        <w:spacing w:line="20" w:lineRule="atLeast"/>
        <w:jc w:val="left"/>
        <w:rPr>
          <w:rFonts w:ascii="Calibri" w:eastAsia="Calibri" w:hAnsi="Calibri"/>
          <w:szCs w:val="24"/>
          <w:lang w:val="es-NI"/>
        </w:rPr>
      </w:pPr>
      <w:r w:rsidRPr="001A4860">
        <w:rPr>
          <w:rFonts w:ascii="Calibri" w:eastAsia="Calibri" w:hAnsi="Calibri"/>
          <w:szCs w:val="24"/>
          <w:lang w:val="es-NI"/>
        </w:rPr>
        <w:t>Un acoplamiento deberá ser suministrado con cada longitud Standard. El acoplamiento consistirá en una camisa de Hierro Galvanizado con Rosca Standard para roscarse en el extremo del tubo.</w:t>
      </w:r>
    </w:p>
    <w:p w14:paraId="481EF67B" w14:textId="77777777" w:rsidR="001A4860" w:rsidRPr="001A4860" w:rsidRDefault="001A4860" w:rsidP="003B68DB">
      <w:pPr>
        <w:numPr>
          <w:ilvl w:val="0"/>
          <w:numId w:val="174"/>
        </w:numPr>
        <w:spacing w:after="160" w:line="276" w:lineRule="auto"/>
        <w:ind w:left="0" w:firstLine="0"/>
        <w:jc w:val="left"/>
        <w:rPr>
          <w:rFonts w:ascii="Calibri" w:eastAsia="Calibri" w:hAnsi="Calibri"/>
          <w:b/>
          <w:szCs w:val="24"/>
          <w:lang w:val="es-NI"/>
        </w:rPr>
      </w:pPr>
      <w:r w:rsidRPr="001A4860">
        <w:rPr>
          <w:rFonts w:ascii="Calibri" w:eastAsia="Calibri" w:hAnsi="Calibri"/>
          <w:b/>
          <w:szCs w:val="24"/>
          <w:lang w:val="es-NI"/>
        </w:rPr>
        <w:t>Accesorios:</w:t>
      </w:r>
    </w:p>
    <w:p w14:paraId="66E29B0E" w14:textId="77777777" w:rsidR="001A4860" w:rsidRPr="001A4860" w:rsidRDefault="001A4860" w:rsidP="001A4860">
      <w:pPr>
        <w:spacing w:line="20" w:lineRule="atLeast"/>
        <w:rPr>
          <w:rFonts w:ascii="Calibri" w:eastAsia="Calibri" w:hAnsi="Calibri" w:cs="Arial"/>
          <w:szCs w:val="24"/>
          <w:lang w:val="es-NI"/>
        </w:rPr>
      </w:pPr>
    </w:p>
    <w:p w14:paraId="1E636824" w14:textId="77777777" w:rsidR="001A4860" w:rsidRPr="001A4860" w:rsidRDefault="001A4860" w:rsidP="001A4860">
      <w:pPr>
        <w:spacing w:line="20" w:lineRule="atLeast"/>
        <w:rPr>
          <w:rFonts w:ascii="Calibri" w:eastAsia="Calibri" w:hAnsi="Calibri" w:cs="Arial"/>
          <w:bCs/>
          <w:szCs w:val="24"/>
          <w:lang w:val="es-NI"/>
        </w:rPr>
      </w:pPr>
      <w:r w:rsidRPr="001A4860">
        <w:rPr>
          <w:rFonts w:ascii="Calibri" w:eastAsia="Calibri" w:hAnsi="Calibri" w:cs="Arial"/>
          <w:szCs w:val="24"/>
          <w:lang w:val="es-NI"/>
        </w:rPr>
        <w:t xml:space="preserve">Los accesorios de hierro galvanizado deberán ajustarse a las especificaciones </w:t>
      </w:r>
      <w:r w:rsidRPr="001A4860">
        <w:rPr>
          <w:rFonts w:ascii="Calibri" w:eastAsia="Calibri" w:hAnsi="Calibri" w:cs="Arial"/>
          <w:bCs/>
          <w:szCs w:val="24"/>
          <w:lang w:val="es-NI"/>
        </w:rPr>
        <w:t>ASTM</w:t>
      </w:r>
      <w:r w:rsidRPr="001A4860">
        <w:rPr>
          <w:rFonts w:ascii="Calibri" w:eastAsia="Calibri" w:hAnsi="Calibri" w:cs="Arial"/>
          <w:szCs w:val="24"/>
          <w:lang w:val="es-NI"/>
        </w:rPr>
        <w:t xml:space="preserve">, tendrán rosca hembra del </w:t>
      </w:r>
      <w:r w:rsidRPr="001A4860">
        <w:rPr>
          <w:rFonts w:ascii="Calibri" w:eastAsia="Calibri" w:hAnsi="Calibri" w:cs="Arial"/>
          <w:bCs/>
          <w:szCs w:val="24"/>
          <w:lang w:val="es-NI"/>
        </w:rPr>
        <w:t>tipo Iron Pipe (I.P).</w:t>
      </w:r>
    </w:p>
    <w:p w14:paraId="669EF0D0"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b/>
      </w:r>
      <w:r w:rsidRPr="001A4860">
        <w:rPr>
          <w:rFonts w:ascii="Calibri" w:eastAsia="Calibri" w:hAnsi="Calibri" w:cs="Arial"/>
          <w:szCs w:val="24"/>
          <w:lang w:val="es-NI"/>
        </w:rPr>
        <w:tab/>
      </w:r>
    </w:p>
    <w:p w14:paraId="7A893D31"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37" w:name="_Toc468439674"/>
      <w:bookmarkStart w:id="1038" w:name="_Toc468440861"/>
      <w:bookmarkStart w:id="1039" w:name="_Toc61317083"/>
      <w:bookmarkStart w:id="1040" w:name="_Toc240187186"/>
      <w:bookmarkStart w:id="1041" w:name="_Toc240777424"/>
      <w:r w:rsidRPr="001A4860">
        <w:rPr>
          <w:rFonts w:ascii="Calibri Light" w:hAnsi="Calibri Light"/>
          <w:b/>
          <w:bCs/>
          <w:sz w:val="22"/>
          <w:szCs w:val="22"/>
          <w:lang w:val="es-NI"/>
        </w:rPr>
        <w:t>Válvulas de Compuerta</w:t>
      </w:r>
      <w:bookmarkEnd w:id="1037"/>
      <w:bookmarkEnd w:id="1038"/>
      <w:bookmarkEnd w:id="1039"/>
      <w:bookmarkEnd w:id="1040"/>
      <w:bookmarkEnd w:id="1041"/>
    </w:p>
    <w:p w14:paraId="7DFD74A3" w14:textId="77777777" w:rsidR="001A4860" w:rsidRPr="001A4860" w:rsidRDefault="001A4860" w:rsidP="001A4860">
      <w:pPr>
        <w:spacing w:line="20" w:lineRule="atLeast"/>
        <w:rPr>
          <w:rFonts w:ascii="Calibri" w:eastAsia="Calibri" w:hAnsi="Calibri" w:cs="Arial"/>
          <w:szCs w:val="24"/>
          <w:lang w:val="es-NI"/>
        </w:rPr>
      </w:pPr>
    </w:p>
    <w:p w14:paraId="7F708A85"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 menos que se indique lo contrario, el diseño, materiales, construcción, manufactura  y prueba de las válvulas deberán sujetarse a lo dispuesto en la Norma ANSI/AWWA C-509 o cualquier otra Norma Internacional que iguale o supere estas especificaciones.</w:t>
      </w:r>
    </w:p>
    <w:p w14:paraId="1B7F1385" w14:textId="77777777" w:rsidR="001A4860" w:rsidRPr="001A4860" w:rsidRDefault="001A4860" w:rsidP="001A4860">
      <w:pPr>
        <w:spacing w:line="20" w:lineRule="atLeast"/>
        <w:rPr>
          <w:rFonts w:ascii="Calibri" w:eastAsia="Calibri" w:hAnsi="Calibri" w:cs="Arial"/>
          <w:szCs w:val="24"/>
          <w:lang w:val="es-NI"/>
        </w:rPr>
      </w:pPr>
    </w:p>
    <w:p w14:paraId="751C8AE3"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zCs w:val="24"/>
          <w:lang w:val="es-NI"/>
        </w:rPr>
        <w:t xml:space="preserve">Las Válvulas a ser suministradas deberán ser completas, con todos sus mecanismos de operación y todos los demás Accesorios que aquí se especifican, y los que sean requeridos por el tipo en particular a ser suministrado, listas para ser instaladas y operadas.  </w:t>
      </w:r>
      <w:r w:rsidRPr="001A4860">
        <w:rPr>
          <w:rFonts w:ascii="Calibri" w:eastAsia="Calibri" w:hAnsi="Calibri" w:cs="Arial"/>
          <w:spacing w:val="-3"/>
          <w:szCs w:val="24"/>
          <w:lang w:val="es-NI"/>
        </w:rPr>
        <w:t>Todas las válvulas y accesorios deben ser del tamaño indicado en los planos y siempre que sea posible todo el equipo del mismo tipo deberá ser de un mismo fabricante. Las válvulas y accesorios llevarán el nombre del fabricante, la dirección del flujo y la presión de trabajo, moldeadas en letras en alguna parte visible de la pieza.</w:t>
      </w:r>
    </w:p>
    <w:p w14:paraId="630921CC" w14:textId="77777777" w:rsidR="001A4860" w:rsidRPr="001A4860" w:rsidRDefault="001A4860" w:rsidP="001A4860">
      <w:pPr>
        <w:spacing w:line="20" w:lineRule="atLeast"/>
        <w:rPr>
          <w:rFonts w:ascii="Calibri" w:eastAsia="Calibri" w:hAnsi="Calibri" w:cs="Arial"/>
          <w:spacing w:val="-3"/>
          <w:szCs w:val="24"/>
          <w:lang w:val="es-NI"/>
        </w:rPr>
      </w:pPr>
    </w:p>
    <w:p w14:paraId="70626859"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42" w:name="_Toc240187188"/>
      <w:bookmarkStart w:id="1043" w:name="_Toc240777425"/>
      <w:r w:rsidRPr="001A4860">
        <w:rPr>
          <w:rFonts w:ascii="Calibri Light" w:hAnsi="Calibri Light"/>
          <w:b/>
          <w:bCs/>
          <w:sz w:val="22"/>
          <w:szCs w:val="22"/>
          <w:lang w:val="es-NI"/>
        </w:rPr>
        <w:t>Válvulas de Pase</w:t>
      </w:r>
      <w:bookmarkEnd w:id="1042"/>
      <w:bookmarkEnd w:id="1043"/>
    </w:p>
    <w:p w14:paraId="0A4A04FD" w14:textId="77777777" w:rsidR="001A4860" w:rsidRPr="001A4860" w:rsidRDefault="001A4860" w:rsidP="001A4860">
      <w:pPr>
        <w:spacing w:line="20" w:lineRule="atLeast"/>
        <w:rPr>
          <w:rFonts w:ascii="Calibri" w:eastAsia="Calibri" w:hAnsi="Calibri" w:cs="Arial"/>
          <w:spacing w:val="-3"/>
          <w:szCs w:val="24"/>
          <w:lang w:val="es-NI"/>
        </w:rPr>
      </w:pPr>
    </w:p>
    <w:p w14:paraId="54AE0BB1"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pacing w:val="-3"/>
          <w:szCs w:val="24"/>
          <w:lang w:val="es-NI"/>
        </w:rPr>
        <w:t>Las válvulas de Ø 3" de diámetro o menores serán de bronce,  tendrán extremos de rosca hembra que se unirán mediante adaptadores machos a las tuberías de PVC.</w:t>
      </w:r>
      <w:r w:rsidRPr="001A4860">
        <w:rPr>
          <w:rFonts w:ascii="Calibri" w:eastAsia="Calibri" w:hAnsi="Calibri" w:cs="Arial"/>
          <w:szCs w:val="24"/>
          <w:lang w:val="es-NI"/>
        </w:rPr>
        <w:t xml:space="preserve"> Las válvulas aquí especificadas serán del tipo “Mineápolis Combined Cap and Tee” con cierre de 1/4 de vuelta, similares al modelo H-10207 del catálogo MUELLER No. W-103 de 1961.</w:t>
      </w:r>
    </w:p>
    <w:p w14:paraId="34035E77" w14:textId="77777777" w:rsidR="001A4860" w:rsidRPr="001A4860" w:rsidRDefault="001A4860" w:rsidP="001A4860">
      <w:pPr>
        <w:spacing w:line="20" w:lineRule="atLeast"/>
        <w:rPr>
          <w:rFonts w:ascii="Calibri" w:eastAsia="Calibri" w:hAnsi="Calibri" w:cs="Arial"/>
          <w:szCs w:val="24"/>
          <w:lang w:val="es-NI"/>
        </w:rPr>
      </w:pPr>
    </w:p>
    <w:p w14:paraId="004BDAE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No estarán provistas de manija solidaria con el mecanismo interno y serán por el contrario, operadas mediante una manija acoplable pentagonal de hierro fundido similar al modelo Mueller H-10323 para los diámetros de 1/2, 3/4 y </w:t>
      </w:r>
      <w:smartTag w:uri="urn:schemas-microsoft-com:office:smarttags" w:element="metricconverter">
        <w:smartTagPr>
          <w:attr w:name="ProductID" w:val="1”"/>
        </w:smartTagPr>
        <w:r w:rsidRPr="001A4860">
          <w:rPr>
            <w:rFonts w:ascii="Calibri" w:eastAsia="Calibri" w:hAnsi="Calibri" w:cs="Arial"/>
            <w:szCs w:val="24"/>
            <w:lang w:val="es-NI"/>
          </w:rPr>
          <w:t>1”</w:t>
        </w:r>
      </w:smartTag>
      <w:r w:rsidRPr="001A4860">
        <w:rPr>
          <w:rFonts w:ascii="Calibri" w:eastAsia="Calibri" w:hAnsi="Calibri" w:cs="Arial"/>
          <w:szCs w:val="24"/>
          <w:lang w:val="es-NI"/>
        </w:rPr>
        <w:t xml:space="preserve">. Las válvulas de </w:t>
      </w:r>
      <w:smartTag w:uri="urn:schemas-microsoft-com:office:smarttags" w:element="metricconverter">
        <w:smartTagPr>
          <w:attr w:name="ProductID" w:val="2”"/>
        </w:smartTagPr>
        <w:r w:rsidRPr="001A4860">
          <w:rPr>
            <w:rFonts w:ascii="Calibri" w:eastAsia="Calibri" w:hAnsi="Calibri" w:cs="Arial"/>
            <w:szCs w:val="24"/>
            <w:lang w:val="es-NI"/>
          </w:rPr>
          <w:t>2”</w:t>
        </w:r>
      </w:smartTag>
      <w:r w:rsidRPr="001A4860">
        <w:rPr>
          <w:rFonts w:ascii="Calibri" w:eastAsia="Calibri" w:hAnsi="Calibri" w:cs="Arial"/>
          <w:szCs w:val="24"/>
          <w:lang w:val="es-NI"/>
        </w:rPr>
        <w:t xml:space="preserve"> y </w:t>
      </w:r>
      <w:smartTag w:uri="urn:schemas-microsoft-com:office:smarttags" w:element="metricconverter">
        <w:smartTagPr>
          <w:attr w:name="ProductID" w:val="3”"/>
        </w:smartTagPr>
        <w:r w:rsidRPr="001A4860">
          <w:rPr>
            <w:rFonts w:ascii="Calibri" w:eastAsia="Calibri" w:hAnsi="Calibri" w:cs="Arial"/>
            <w:szCs w:val="24"/>
            <w:lang w:val="es-NI"/>
          </w:rPr>
          <w:t>3”</w:t>
        </w:r>
      </w:smartTag>
      <w:r w:rsidRPr="001A4860">
        <w:rPr>
          <w:rFonts w:ascii="Calibri" w:eastAsia="Calibri" w:hAnsi="Calibri" w:cs="Arial"/>
          <w:szCs w:val="24"/>
          <w:lang w:val="es-NI"/>
        </w:rPr>
        <w:t xml:space="preserve"> serán operadas mediante una manija similar al modelo Mueller H-10321 de 3.1/2 pies de largo.</w:t>
      </w:r>
    </w:p>
    <w:p w14:paraId="791A1B1F"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 </w:t>
      </w:r>
    </w:p>
    <w:p w14:paraId="798F657A" w14:textId="77777777" w:rsidR="001A4860" w:rsidRPr="001A4860" w:rsidRDefault="001A4860" w:rsidP="001A4860">
      <w:pPr>
        <w:tabs>
          <w:tab w:val="left" w:pos="-720"/>
        </w:tabs>
        <w:suppressAutoHyphens/>
        <w:spacing w:line="20" w:lineRule="atLeast"/>
        <w:rPr>
          <w:rFonts w:ascii="Calibri" w:eastAsia="Calibri" w:hAnsi="Calibri" w:cs="Arial"/>
          <w:bCs/>
          <w:szCs w:val="24"/>
          <w:lang w:val="es-NI"/>
        </w:rPr>
      </w:pPr>
      <w:r w:rsidRPr="001A4860">
        <w:rPr>
          <w:rFonts w:ascii="Calibri" w:eastAsia="Calibri" w:hAnsi="Calibri" w:cs="Arial"/>
          <w:spacing w:val="-3"/>
          <w:szCs w:val="24"/>
          <w:lang w:val="es-NI"/>
        </w:rPr>
        <w:t>El material de fabricación de las válvulas será de una aleación de bronce, que contenga un 85% de cobre y un 5% de estaño, plomo y zinc, de acuerdo a los requerimientos mecánicos y químicos de ASTM B62 O ASTM B584. Serán diseñadas, fabricadas y probadas según la Norma ANSI/AWWA C800, última revisión.</w:t>
      </w:r>
    </w:p>
    <w:p w14:paraId="0D34F33B" w14:textId="77777777" w:rsidR="001A4860" w:rsidRPr="001A4860" w:rsidRDefault="001A4860" w:rsidP="001A4860">
      <w:pPr>
        <w:keepNext/>
        <w:keepLines/>
        <w:spacing w:line="20" w:lineRule="atLeast"/>
        <w:jc w:val="left"/>
        <w:outlineLvl w:val="3"/>
        <w:rPr>
          <w:rFonts w:ascii="Calibri" w:hAnsi="Calibri" w:cs="Arial"/>
          <w:bCs/>
          <w:i/>
          <w:iCs/>
          <w:szCs w:val="24"/>
          <w:lang w:val="es-NI"/>
        </w:rPr>
      </w:pPr>
    </w:p>
    <w:p w14:paraId="4363E64A" w14:textId="77777777" w:rsidR="001A4860" w:rsidRPr="001A4860" w:rsidRDefault="001A4860" w:rsidP="001A4860">
      <w:pPr>
        <w:spacing w:after="160" w:line="256" w:lineRule="auto"/>
        <w:jc w:val="left"/>
        <w:rPr>
          <w:rFonts w:ascii="Calibri" w:eastAsia="Calibri" w:hAnsi="Calibri"/>
          <w:sz w:val="22"/>
          <w:szCs w:val="22"/>
          <w:lang w:val="es-NI"/>
        </w:rPr>
      </w:pPr>
    </w:p>
    <w:p w14:paraId="6A868623"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44" w:name="_Toc240187190"/>
      <w:bookmarkStart w:id="1045" w:name="_Toc240777426"/>
      <w:r w:rsidRPr="001A4860">
        <w:rPr>
          <w:rFonts w:ascii="Calibri Light" w:hAnsi="Calibri Light"/>
          <w:b/>
          <w:bCs/>
          <w:sz w:val="22"/>
          <w:szCs w:val="22"/>
          <w:lang w:val="es-NI"/>
        </w:rPr>
        <w:lastRenderedPageBreak/>
        <w:t>Protectores de válvulas</w:t>
      </w:r>
      <w:bookmarkEnd w:id="1044"/>
      <w:bookmarkEnd w:id="1045"/>
    </w:p>
    <w:p w14:paraId="45D4E413" w14:textId="77777777" w:rsidR="001A4860" w:rsidRPr="001A4860" w:rsidRDefault="001A4860" w:rsidP="001A4860">
      <w:pPr>
        <w:spacing w:line="20" w:lineRule="atLeast"/>
        <w:rPr>
          <w:rFonts w:ascii="Calibri" w:eastAsia="Calibri" w:hAnsi="Calibri" w:cs="Arial"/>
          <w:szCs w:val="24"/>
          <w:lang w:val="es-NI"/>
        </w:rPr>
      </w:pPr>
    </w:p>
    <w:p w14:paraId="133E944E"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Las válvulas ubicadas en la línea de conducción y red de distribución serán protegidas mediante una pequeña estructura consistente en un tubo de concreto simple tipo Procón de </w:t>
      </w:r>
      <w:smartTag w:uri="urn:schemas-microsoft-com:office:smarttags" w:element="metricconverter">
        <w:smartTagPr>
          <w:attr w:name="ProductID" w:val="8”"/>
        </w:smartTagPr>
        <w:r w:rsidRPr="001A4860">
          <w:rPr>
            <w:rFonts w:ascii="Calibri" w:eastAsia="Calibri" w:hAnsi="Calibri" w:cs="Arial"/>
            <w:szCs w:val="24"/>
            <w:lang w:val="es-NI"/>
          </w:rPr>
          <w:t>8”</w:t>
        </w:r>
      </w:smartTag>
      <w:r w:rsidRPr="001A4860">
        <w:rPr>
          <w:rFonts w:ascii="Calibri" w:eastAsia="Calibri" w:hAnsi="Calibri" w:cs="Arial"/>
          <w:szCs w:val="24"/>
          <w:lang w:val="es-NI"/>
        </w:rPr>
        <w:t xml:space="preserve"> de diámetro de altura variable (entre </w:t>
      </w:r>
      <w:smartTag w:uri="urn:schemas-microsoft-com:office:smarttags" w:element="metricconverter">
        <w:smartTagPr>
          <w:attr w:name="ProductID" w:val="1.0 a"/>
        </w:smartTagPr>
        <w:r w:rsidRPr="001A4860">
          <w:rPr>
            <w:rFonts w:ascii="Calibri" w:eastAsia="Calibri" w:hAnsi="Calibri" w:cs="Arial"/>
            <w:szCs w:val="24"/>
            <w:lang w:val="es-NI"/>
          </w:rPr>
          <w:t>1.0 a</w:t>
        </w:r>
      </w:smartTag>
      <w:r w:rsidRPr="001A4860">
        <w:rPr>
          <w:rFonts w:ascii="Calibri" w:eastAsia="Calibri" w:hAnsi="Calibri" w:cs="Arial"/>
          <w:szCs w:val="24"/>
          <w:lang w:val="es-NI"/>
        </w:rPr>
        <w:t xml:space="preserve"> </w:t>
      </w:r>
      <w:smartTag w:uri="urn:schemas-microsoft-com:office:smarttags" w:element="metricconverter">
        <w:smartTagPr>
          <w:attr w:name="ProductID" w:val="1.5 m"/>
        </w:smartTagPr>
        <w:r w:rsidRPr="001A4860">
          <w:rPr>
            <w:rFonts w:ascii="Calibri" w:eastAsia="Calibri" w:hAnsi="Calibri" w:cs="Arial"/>
            <w:szCs w:val="24"/>
            <w:lang w:val="es-NI"/>
          </w:rPr>
          <w:t>1.5 m</w:t>
        </w:r>
      </w:smartTag>
      <w:r w:rsidRPr="001A4860">
        <w:rPr>
          <w:rFonts w:ascii="Calibri" w:eastAsia="Calibri" w:hAnsi="Calibri" w:cs="Arial"/>
          <w:szCs w:val="24"/>
          <w:lang w:val="es-NI"/>
        </w:rPr>
        <w:t xml:space="preserve">) que cubrirá la válvula. En la parte superior el tubo estará cubierto por un bloque de concreto simple de 3,000 psi y dimensiones de </w:t>
      </w:r>
      <w:smartTag w:uri="urn:schemas-microsoft-com:office:smarttags" w:element="metricconverter">
        <w:smartTagPr>
          <w:attr w:name="ProductID" w:val="0.6 m"/>
        </w:smartTagPr>
        <w:r w:rsidRPr="001A4860">
          <w:rPr>
            <w:rFonts w:ascii="Calibri" w:eastAsia="Calibri" w:hAnsi="Calibri" w:cs="Arial"/>
            <w:szCs w:val="24"/>
            <w:lang w:val="es-NI"/>
          </w:rPr>
          <w:t>0.6 m</w:t>
        </w:r>
      </w:smartTag>
      <w:r w:rsidRPr="001A4860">
        <w:rPr>
          <w:rFonts w:ascii="Calibri" w:eastAsia="Calibri" w:hAnsi="Calibri" w:cs="Arial"/>
          <w:szCs w:val="24"/>
          <w:lang w:val="es-NI"/>
        </w:rPr>
        <w:t xml:space="preserve"> x 0.6 x </w:t>
      </w:r>
      <w:smartTag w:uri="urn:schemas-microsoft-com:office:smarttags" w:element="metricconverter">
        <w:smartTagPr>
          <w:attr w:name="ProductID" w:val="0.1 m"/>
        </w:smartTagPr>
        <w:r w:rsidRPr="001A4860">
          <w:rPr>
            <w:rFonts w:ascii="Calibri" w:eastAsia="Calibri" w:hAnsi="Calibri" w:cs="Arial"/>
            <w:szCs w:val="24"/>
            <w:lang w:val="es-NI"/>
          </w:rPr>
          <w:t>0.1 m</w:t>
        </w:r>
      </w:smartTag>
      <w:r w:rsidRPr="001A4860">
        <w:rPr>
          <w:rFonts w:ascii="Calibri" w:eastAsia="Calibri" w:hAnsi="Calibri" w:cs="Arial"/>
          <w:szCs w:val="24"/>
          <w:lang w:val="es-NI"/>
        </w:rPr>
        <w:t xml:space="preserve">, con tapa de forma tronco cónica para </w:t>
      </w:r>
      <w:smartTag w:uri="urn:schemas-microsoft-com:office:smarttags" w:element="metricconverter">
        <w:smartTagPr>
          <w:attr w:name="ProductID" w:val="8”"/>
        </w:smartTagPr>
        <w:r w:rsidRPr="001A4860">
          <w:rPr>
            <w:rFonts w:ascii="Calibri" w:eastAsia="Calibri" w:hAnsi="Calibri" w:cs="Arial"/>
            <w:szCs w:val="24"/>
            <w:lang w:val="es-NI"/>
          </w:rPr>
          <w:t>8”</w:t>
        </w:r>
      </w:smartTag>
      <w:r w:rsidRPr="001A4860">
        <w:rPr>
          <w:rFonts w:ascii="Calibri" w:eastAsia="Calibri" w:hAnsi="Calibri" w:cs="Arial"/>
          <w:szCs w:val="24"/>
          <w:lang w:val="es-NI"/>
        </w:rPr>
        <w:t>.</w:t>
      </w:r>
    </w:p>
    <w:p w14:paraId="62CC4149" w14:textId="77777777" w:rsidR="001A4860" w:rsidRPr="001A4860" w:rsidRDefault="001A4860" w:rsidP="001A4860">
      <w:pPr>
        <w:spacing w:line="20" w:lineRule="atLeast"/>
        <w:rPr>
          <w:rFonts w:ascii="Calibri" w:eastAsia="Calibri" w:hAnsi="Calibri" w:cs="Arial"/>
          <w:szCs w:val="24"/>
          <w:lang w:val="es-NI"/>
        </w:rPr>
      </w:pPr>
    </w:p>
    <w:p w14:paraId="50F17C43"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046" w:name="_Toc61317085"/>
      <w:bookmarkStart w:id="1047" w:name="_Toc240187191"/>
      <w:bookmarkStart w:id="1048" w:name="_Toc240777427"/>
      <w:r w:rsidRPr="001A4860">
        <w:rPr>
          <w:rFonts w:ascii="Calibri" w:eastAsia="Calibri" w:hAnsi="Calibri" w:cs="Arial"/>
          <w:b/>
          <w:bCs/>
          <w:iCs/>
          <w:sz w:val="22"/>
          <w:szCs w:val="28"/>
          <w:lang w:val="es-NI"/>
        </w:rPr>
        <w:t>Especificaciones Técnicas de Instalación de Tuberías.</w:t>
      </w:r>
      <w:bookmarkEnd w:id="1046"/>
      <w:bookmarkEnd w:id="1047"/>
      <w:bookmarkEnd w:id="1048"/>
    </w:p>
    <w:p w14:paraId="5B390203" w14:textId="77777777" w:rsidR="001A4860" w:rsidRPr="001A4860" w:rsidRDefault="001A4860" w:rsidP="001A4860">
      <w:pPr>
        <w:spacing w:line="20" w:lineRule="atLeast"/>
        <w:rPr>
          <w:rFonts w:ascii="Calibri" w:eastAsia="Calibri" w:hAnsi="Calibri" w:cs="Arial"/>
          <w:szCs w:val="24"/>
          <w:lang w:val="es-NI"/>
        </w:rPr>
      </w:pPr>
    </w:p>
    <w:p w14:paraId="350F079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Bajo el concepto de Instalación de Tuberías, se comprenderá las sub-etapas constructivas de excavación, instalación, prueba y desinfección de tubería y de válvulas; bloques de reacción y anclajes; relleno y compactación y disposición del material sobrante, de la siguiente manera:</w:t>
      </w:r>
      <w:bookmarkStart w:id="1049" w:name="_Toc61317086"/>
      <w:bookmarkStart w:id="1050" w:name="_Toc468439635"/>
      <w:bookmarkStart w:id="1051" w:name="_Toc468440822"/>
    </w:p>
    <w:p w14:paraId="1CA388F9" w14:textId="77777777" w:rsidR="001A4860" w:rsidRPr="001A4860" w:rsidRDefault="001A4860" w:rsidP="001A4860">
      <w:pPr>
        <w:spacing w:line="20" w:lineRule="atLeast"/>
        <w:rPr>
          <w:rFonts w:ascii="Calibri" w:eastAsia="Calibri" w:hAnsi="Calibri" w:cs="Arial"/>
          <w:szCs w:val="24"/>
          <w:lang w:val="es-NI"/>
        </w:rPr>
      </w:pPr>
    </w:p>
    <w:p w14:paraId="48CA6CC2"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52" w:name="_Toc240187192"/>
      <w:bookmarkStart w:id="1053" w:name="_Toc240777428"/>
      <w:r w:rsidRPr="001A4860">
        <w:rPr>
          <w:rFonts w:ascii="Calibri Light" w:hAnsi="Calibri Light"/>
          <w:b/>
          <w:bCs/>
          <w:sz w:val="22"/>
          <w:szCs w:val="22"/>
          <w:lang w:val="es-NI"/>
        </w:rPr>
        <w:t>Trazo y Nivelación</w:t>
      </w:r>
      <w:bookmarkEnd w:id="1049"/>
      <w:bookmarkEnd w:id="1052"/>
      <w:bookmarkEnd w:id="1053"/>
    </w:p>
    <w:p w14:paraId="18BB2014" w14:textId="77777777" w:rsidR="001A4860" w:rsidRPr="001A4860" w:rsidRDefault="001A4860" w:rsidP="003B68DB">
      <w:pPr>
        <w:numPr>
          <w:ilvl w:val="0"/>
          <w:numId w:val="174"/>
        </w:numPr>
        <w:spacing w:after="160" w:line="276" w:lineRule="auto"/>
        <w:ind w:left="0" w:firstLine="0"/>
        <w:jc w:val="left"/>
        <w:rPr>
          <w:rFonts w:ascii="Calibri" w:eastAsia="Calibri" w:hAnsi="Calibri"/>
          <w:szCs w:val="24"/>
          <w:lang w:val="es-NI"/>
        </w:rPr>
      </w:pPr>
    </w:p>
    <w:p w14:paraId="5DCA4B52"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Preparación y Limpieza del Sitio:</w:t>
      </w:r>
    </w:p>
    <w:p w14:paraId="34B88180" w14:textId="77777777" w:rsidR="001A4860" w:rsidRPr="001A4860" w:rsidRDefault="001A4860" w:rsidP="001A4860">
      <w:pPr>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Árboles y arbusto localizados en el área de construcción deberán ser derribados, se extraerá troncos, raíces y serán rellenados los huecos.  Escarbar o raspar a fin de quitar la maleza, raíces, gramas sueltas, capa vegetal en general.</w:t>
      </w:r>
    </w:p>
    <w:p w14:paraId="254CD6E1" w14:textId="77777777" w:rsidR="001A4860" w:rsidRPr="001A4860" w:rsidRDefault="001A4860" w:rsidP="001A4860">
      <w:pPr>
        <w:suppressAutoHyphens/>
        <w:spacing w:line="20" w:lineRule="atLeast"/>
        <w:rPr>
          <w:rFonts w:ascii="Calibri" w:eastAsia="Calibri" w:hAnsi="Calibri" w:cs="Arial"/>
          <w:spacing w:val="-3"/>
          <w:szCs w:val="24"/>
          <w:lang w:val="es-NI"/>
        </w:rPr>
      </w:pPr>
    </w:p>
    <w:p w14:paraId="0FDC453E"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Trazado y Nivelación:</w:t>
      </w:r>
    </w:p>
    <w:p w14:paraId="1059044A" w14:textId="77777777" w:rsidR="001A4860" w:rsidRPr="001A4860" w:rsidRDefault="001A4860" w:rsidP="001A4860">
      <w:pPr>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Contratista comprobará las medidas indicadas en los planos, localizando la construcción con precisión en el sitio, de acuerdo con los documentos del Contrato.  Niveletas y estacas de nivelación permanecerán en su posición hasta que todas las esquinas y alturas de la edificación hayan sido establecidas permanentemente.</w:t>
      </w:r>
    </w:p>
    <w:p w14:paraId="4206372A"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037F2D83"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Contratista será responsable de proteger de daños todas las líneas, niveles y puntos de referencias y si se destruyen deberán ser reparados y repuestos por su cuenta.  Se notificará al Supervisor cuando el trazo esté substancialmente terminado y se procederá a la construcción hasta que haya sido aprobado.</w:t>
      </w:r>
    </w:p>
    <w:p w14:paraId="4101B99B" w14:textId="77777777" w:rsidR="001A4860" w:rsidRPr="001A4860" w:rsidRDefault="001A4860" w:rsidP="001A4860">
      <w:pPr>
        <w:keepNext/>
        <w:keepLines/>
        <w:spacing w:line="20" w:lineRule="atLeast"/>
        <w:jc w:val="left"/>
        <w:outlineLvl w:val="3"/>
        <w:rPr>
          <w:rFonts w:ascii="Calibri" w:hAnsi="Calibri" w:cs="Arial"/>
          <w:b/>
          <w:bCs/>
          <w:i/>
          <w:iCs/>
          <w:szCs w:val="24"/>
          <w:lang w:val="es-NI"/>
        </w:rPr>
      </w:pPr>
    </w:p>
    <w:p w14:paraId="7A3A3FEE"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Remoción de Estructuras:</w:t>
      </w:r>
    </w:p>
    <w:p w14:paraId="27B37863"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Si la posición de cualquier tubo, conducto, poste o cualquier otra estructura, que esté dentro de los límites de la excavación de la zanja, exceptuando aquellas estructuras o tuberías cuya remoción está indicada específicamente en los planos, es tal que, en la opinión del Ingeniero Supervisor se hace necesaria su remoción, realineamiento o cambio, el trabajo será hecho por el Contratista. </w:t>
      </w:r>
    </w:p>
    <w:p w14:paraId="2B1E293C"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3F20B046"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Contratista deberá descubrir y proveer soporte adecuado para tales estructuras por cuenta propia, antes de efectuar tal remoción, realineamiento o cambio, como parte de éste Contrato, y el Contratista no tendrá derecho a ningún reclamo por daños, ni ninguna compensación extra a cuenta de cualquier retraso en la remoción o recolocación de tales estructuras o tuberías.</w:t>
      </w:r>
    </w:p>
    <w:p w14:paraId="64174039"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6B07BFE4"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23599154"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bookmarkStart w:id="1054" w:name="_Toc61317087"/>
      <w:r w:rsidRPr="001A4860">
        <w:rPr>
          <w:rFonts w:ascii="Calibri" w:eastAsia="Calibri" w:hAnsi="Calibri"/>
          <w:b/>
          <w:i/>
          <w:szCs w:val="24"/>
          <w:lang w:val="es-NI"/>
        </w:rPr>
        <w:t>Excavación</w:t>
      </w:r>
      <w:bookmarkStart w:id="1055" w:name="_Toc468439636"/>
      <w:bookmarkStart w:id="1056" w:name="_Toc468440823"/>
      <w:bookmarkEnd w:id="1050"/>
      <w:bookmarkEnd w:id="1051"/>
      <w:bookmarkEnd w:id="1054"/>
      <w:r w:rsidRPr="001A4860">
        <w:rPr>
          <w:rFonts w:ascii="Calibri" w:eastAsia="Calibri" w:hAnsi="Calibri"/>
          <w:b/>
          <w:i/>
          <w:szCs w:val="24"/>
          <w:lang w:val="es-NI"/>
        </w:rPr>
        <w:t>:</w:t>
      </w:r>
    </w:p>
    <w:bookmarkEnd w:id="1055"/>
    <w:bookmarkEnd w:id="1056"/>
    <w:p w14:paraId="3E2914F7" w14:textId="77777777" w:rsidR="001A4860" w:rsidRPr="001A4860" w:rsidRDefault="001A4860" w:rsidP="001A4860">
      <w:pPr>
        <w:spacing w:line="20" w:lineRule="atLeast"/>
        <w:rPr>
          <w:rFonts w:ascii="Calibri" w:eastAsia="Calibri" w:hAnsi="Calibri"/>
          <w:szCs w:val="24"/>
          <w:lang w:val="es-NI"/>
        </w:rPr>
      </w:pPr>
      <w:r w:rsidRPr="001A4860">
        <w:rPr>
          <w:rFonts w:ascii="Calibri" w:eastAsia="Calibri" w:hAnsi="Calibri"/>
          <w:szCs w:val="24"/>
          <w:lang w:val="es-NI"/>
        </w:rPr>
        <w:t>Debido a que en la excavación de zanjas, pozos de sondeo etc., se pueden encontrar eventualmente, materiales de diferentes grados de dureza, esta actividad constructiva requiere diferentes maneras de ejecución y/o de uso de herramientas y/o equipos.</w:t>
      </w:r>
    </w:p>
    <w:p w14:paraId="49160C37" w14:textId="77777777" w:rsidR="001A4860" w:rsidRPr="001A4860" w:rsidRDefault="001A4860" w:rsidP="001A4860">
      <w:pPr>
        <w:spacing w:line="20" w:lineRule="atLeast"/>
        <w:rPr>
          <w:rFonts w:ascii="Calibri" w:eastAsia="Calibri" w:hAnsi="Calibri" w:cs="Arial"/>
          <w:szCs w:val="24"/>
          <w:lang w:val="es-NI"/>
        </w:rPr>
      </w:pPr>
    </w:p>
    <w:p w14:paraId="6DDF7491"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Las excavaciones de otros materiales más duros que "tierra normal" y/o a profundidades adicionales ordenadas por El Ingeniero, se consideran conceptos de obras complementarios, cuyas definiciones y aplicaciones se determinan en el capítulo - EXCAVACION, RELLENO Y COMPACTACION ESPECIAL Y/O ADICIONAL.(Cabe mencionar que todo lo referido a corte relleno y compactación independiente del tipo de suelo existente en el área del proyecto,  es considerado como aporte de la Comunidad y El Comité de Administración velará por su cumplimiento).</w:t>
      </w:r>
    </w:p>
    <w:p w14:paraId="3087CFAB" w14:textId="77777777" w:rsidR="001A4860" w:rsidRPr="001A4860" w:rsidRDefault="001A4860" w:rsidP="001A4860">
      <w:pPr>
        <w:spacing w:line="256" w:lineRule="auto"/>
        <w:jc w:val="left"/>
        <w:rPr>
          <w:rFonts w:ascii="Calibri" w:eastAsia="Calibri" w:hAnsi="Calibri"/>
          <w:szCs w:val="24"/>
        </w:rPr>
      </w:pPr>
    </w:p>
    <w:p w14:paraId="6536A9A9" w14:textId="77777777" w:rsidR="001A4860" w:rsidRPr="001A4860" w:rsidRDefault="001A4860" w:rsidP="003B68DB">
      <w:pPr>
        <w:numPr>
          <w:ilvl w:val="0"/>
          <w:numId w:val="174"/>
        </w:numPr>
        <w:spacing w:after="160" w:line="276" w:lineRule="auto"/>
        <w:ind w:left="0" w:firstLine="0"/>
        <w:jc w:val="left"/>
        <w:rPr>
          <w:rFonts w:ascii="Calibri" w:eastAsia="Calibri" w:hAnsi="Calibri"/>
          <w:i/>
          <w:szCs w:val="24"/>
          <w:u w:val="single"/>
          <w:lang w:val="es-NI"/>
        </w:rPr>
      </w:pPr>
      <w:r w:rsidRPr="001A4860">
        <w:rPr>
          <w:rFonts w:ascii="Calibri" w:eastAsia="Calibri" w:hAnsi="Calibri"/>
          <w:i/>
          <w:szCs w:val="24"/>
          <w:u w:val="single"/>
          <w:lang w:val="es-NI"/>
        </w:rPr>
        <w:t>Dimensiones de la excavación</w:t>
      </w:r>
    </w:p>
    <w:p w14:paraId="7D17B0BA" w14:textId="77777777" w:rsidR="001A4860" w:rsidRPr="001A4860" w:rsidRDefault="001A4860" w:rsidP="003B68DB">
      <w:pPr>
        <w:numPr>
          <w:ilvl w:val="0"/>
          <w:numId w:val="177"/>
        </w:numPr>
        <w:tabs>
          <w:tab w:val="left" w:pos="3119"/>
        </w:tabs>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El ancho de zanja será igual al diámetro nominal de tubería más un máximo de </w:t>
      </w:r>
      <w:smartTag w:uri="urn:schemas-microsoft-com:office:smarttags" w:element="metricconverter">
        <w:smartTagPr>
          <w:attr w:name="ProductID" w:val="0.45 m"/>
        </w:smartTagPr>
        <w:r w:rsidRPr="001A4860">
          <w:rPr>
            <w:rFonts w:ascii="Calibri" w:eastAsia="Calibri" w:hAnsi="Calibri" w:cs="Arial"/>
            <w:szCs w:val="24"/>
            <w:lang w:val="es-NI"/>
          </w:rPr>
          <w:t>0.45 m</w:t>
        </w:r>
      </w:smartTag>
      <w:r w:rsidRPr="001A4860">
        <w:rPr>
          <w:rFonts w:ascii="Calibri" w:eastAsia="Calibri" w:hAnsi="Calibri" w:cs="Arial"/>
          <w:szCs w:val="24"/>
          <w:lang w:val="es-NI"/>
        </w:rPr>
        <w:t>, colocando la tubería al centro de la zanja, manteniendo la verticalidad de zanja en toda su extensión.  No se reconocerá a El Contratista en la forma de pago, la ampliación de las zanjas hechas sin autorización de El Ingeniero Supervisor.</w:t>
      </w:r>
    </w:p>
    <w:p w14:paraId="10E3C4D6" w14:textId="77777777" w:rsidR="001A4860" w:rsidRPr="001A4860" w:rsidRDefault="001A4860" w:rsidP="001A4860">
      <w:pPr>
        <w:spacing w:line="20" w:lineRule="atLeast"/>
        <w:rPr>
          <w:rFonts w:ascii="Calibri" w:eastAsia="Calibri" w:hAnsi="Calibri" w:cs="Arial"/>
          <w:szCs w:val="24"/>
          <w:lang w:val="es-NI"/>
        </w:rPr>
      </w:pPr>
    </w:p>
    <w:p w14:paraId="0D030390" w14:textId="77777777" w:rsidR="001A4860" w:rsidRPr="001A4860" w:rsidRDefault="001A4860" w:rsidP="003B68DB">
      <w:pPr>
        <w:numPr>
          <w:ilvl w:val="0"/>
          <w:numId w:val="177"/>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En general, a menos que los planos indiquen lo contrario, la profundidad de la zanja será de </w:t>
      </w:r>
      <w:smartTag w:uri="urn:schemas-microsoft-com:office:smarttags" w:element="metricconverter">
        <w:smartTagPr>
          <w:attr w:name="ProductID" w:val="1.2 m"/>
        </w:smartTagPr>
        <w:r w:rsidRPr="001A4860">
          <w:rPr>
            <w:rFonts w:ascii="Calibri" w:eastAsia="Calibri" w:hAnsi="Calibri" w:cs="Arial"/>
            <w:szCs w:val="24"/>
            <w:lang w:val="es-NI"/>
          </w:rPr>
          <w:t>1.2 m</w:t>
        </w:r>
      </w:smartTag>
      <w:r w:rsidRPr="001A4860">
        <w:rPr>
          <w:rFonts w:ascii="Calibri" w:eastAsia="Calibri" w:hAnsi="Calibri" w:cs="Arial"/>
          <w:szCs w:val="24"/>
          <w:lang w:val="es-NI"/>
        </w:rPr>
        <w:t>, arriba de la corona del tubo. Cuando por necesidad constructiva se requieran profundidades menores, la tubería deberá protegerse con concreto tal como se muestra en planos constructivos y con la aprobación del Ingeniero Supervisor.</w:t>
      </w:r>
    </w:p>
    <w:p w14:paraId="47AC592B" w14:textId="77777777" w:rsidR="001A4860" w:rsidRPr="001A4860" w:rsidRDefault="001A4860" w:rsidP="001A4860">
      <w:pPr>
        <w:spacing w:line="20" w:lineRule="atLeast"/>
        <w:rPr>
          <w:rFonts w:ascii="Calibri" w:eastAsia="Calibri" w:hAnsi="Calibri" w:cs="Arial"/>
          <w:szCs w:val="24"/>
          <w:lang w:val="es-NI"/>
        </w:rPr>
      </w:pPr>
    </w:p>
    <w:p w14:paraId="39E5A6C1" w14:textId="77777777" w:rsidR="001A4860" w:rsidRPr="001A4860" w:rsidRDefault="001A4860" w:rsidP="003B68DB">
      <w:pPr>
        <w:numPr>
          <w:ilvl w:val="0"/>
          <w:numId w:val="177"/>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El fondo de la zanja deberá quedar perfectamente nivelado, sin protuberancias que afecten a la tubería a instalarse, de manera que el tubo descanse sobre el terreno en toda su longitud y uniformemente.</w:t>
      </w:r>
    </w:p>
    <w:p w14:paraId="3A3B15AD" w14:textId="77777777" w:rsidR="001A4860" w:rsidRPr="001A4860" w:rsidRDefault="001A4860" w:rsidP="001A4860">
      <w:pPr>
        <w:spacing w:line="20" w:lineRule="atLeast"/>
        <w:rPr>
          <w:rFonts w:ascii="Calibri" w:eastAsia="Calibri" w:hAnsi="Calibri" w:cs="Arial"/>
          <w:szCs w:val="24"/>
          <w:lang w:val="es-NI"/>
        </w:rPr>
      </w:pPr>
    </w:p>
    <w:p w14:paraId="07BB6657" w14:textId="77777777" w:rsidR="001A4860" w:rsidRPr="001A4860" w:rsidRDefault="001A4860" w:rsidP="003B68DB">
      <w:pPr>
        <w:numPr>
          <w:ilvl w:val="0"/>
          <w:numId w:val="177"/>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En caso de que en la excavación se presentaran terrenos de poca consistencia (muy húmedo, suelos orgánicos, etc.) como el zonzocuite, la zanja deberá profundizarse como lo indique El Ingeniero, pero no menos de </w:t>
      </w:r>
      <w:smartTag w:uri="urn:schemas-microsoft-com:office:smarttags" w:element="metricconverter">
        <w:smartTagPr>
          <w:attr w:name="ProductID" w:val="0.30 m"/>
        </w:smartTagPr>
        <w:r w:rsidRPr="001A4860">
          <w:rPr>
            <w:rFonts w:ascii="Calibri" w:eastAsia="Calibri" w:hAnsi="Calibri" w:cs="Arial"/>
            <w:szCs w:val="24"/>
            <w:lang w:val="es-NI"/>
          </w:rPr>
          <w:t>0.30 m</w:t>
        </w:r>
      </w:smartTag>
      <w:r w:rsidRPr="001A4860">
        <w:rPr>
          <w:rFonts w:ascii="Calibri" w:eastAsia="Calibri" w:hAnsi="Calibri" w:cs="Arial"/>
          <w:szCs w:val="24"/>
          <w:lang w:val="es-NI"/>
        </w:rPr>
        <w:t>. abajo del fondo previsto, y el material excavado deberá reponerse con material aceptado por El Ingeniero, dentro de las especificaciones señaladas en la Sección de Relleno Especial.</w:t>
      </w:r>
    </w:p>
    <w:p w14:paraId="3B51DEF0" w14:textId="77777777" w:rsidR="001A4860" w:rsidRPr="001A4860" w:rsidRDefault="001A4860" w:rsidP="001A4860">
      <w:pPr>
        <w:spacing w:line="20" w:lineRule="atLeast"/>
        <w:rPr>
          <w:rFonts w:ascii="Calibri" w:eastAsia="Calibri" w:hAnsi="Calibri" w:cs="Arial"/>
          <w:szCs w:val="24"/>
          <w:lang w:val="es-NI"/>
        </w:rPr>
      </w:pPr>
    </w:p>
    <w:p w14:paraId="4EE27407" w14:textId="77777777" w:rsidR="001A4860" w:rsidRPr="001A4860" w:rsidRDefault="001A4860" w:rsidP="003B68DB">
      <w:pPr>
        <w:numPr>
          <w:ilvl w:val="0"/>
          <w:numId w:val="177"/>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Cuando la excavación sea en roca o piedra cantera, se removerá ésta a una profundidad de </w:t>
      </w:r>
      <w:smartTag w:uri="urn:schemas-microsoft-com:office:smarttags" w:element="metricconverter">
        <w:smartTagPr>
          <w:attr w:name="ProductID" w:val="15 cent￭metros"/>
        </w:smartTagPr>
        <w:r w:rsidRPr="001A4860">
          <w:rPr>
            <w:rFonts w:ascii="Calibri" w:eastAsia="Calibri" w:hAnsi="Calibri" w:cs="Arial"/>
            <w:szCs w:val="24"/>
            <w:lang w:val="es-NI"/>
          </w:rPr>
          <w:t>15 centímetros</w:t>
        </w:r>
      </w:smartTag>
      <w:r w:rsidRPr="001A4860">
        <w:rPr>
          <w:rFonts w:ascii="Calibri" w:eastAsia="Calibri" w:hAnsi="Calibri" w:cs="Arial"/>
          <w:szCs w:val="24"/>
          <w:lang w:val="es-NI"/>
        </w:rPr>
        <w:t xml:space="preserve"> bajo la rasante de la línea inferior del tubo. Esta excavación comúnmente conocida como excavación adicional, se rellenará después con material aprobado por El Ingeniero de la manera descrita en la Sección de Relleno Especial, o como lo indique El Ingeniero.</w:t>
      </w:r>
    </w:p>
    <w:p w14:paraId="608A1E63" w14:textId="77777777" w:rsidR="001A4860" w:rsidRPr="001A4860" w:rsidRDefault="001A4860" w:rsidP="001A4860">
      <w:pPr>
        <w:spacing w:line="20" w:lineRule="atLeast"/>
        <w:rPr>
          <w:rFonts w:ascii="Calibri" w:eastAsia="Calibri" w:hAnsi="Calibri" w:cs="Arial"/>
          <w:szCs w:val="24"/>
          <w:lang w:val="es-NI"/>
        </w:rPr>
      </w:pPr>
    </w:p>
    <w:p w14:paraId="2DBCA0BF" w14:textId="77777777" w:rsidR="001A4860" w:rsidRPr="001A4860" w:rsidRDefault="001A4860" w:rsidP="003B68DB">
      <w:pPr>
        <w:numPr>
          <w:ilvl w:val="0"/>
          <w:numId w:val="177"/>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En caso de curvas horizontales con pequeños ángulos de deflexión, deberá dársele a la excavación un sobre-ancho, el cual estará determinado por las deflexiones permisibles en las uniones de las tuberías.</w:t>
      </w:r>
    </w:p>
    <w:p w14:paraId="386F7EA1" w14:textId="77777777" w:rsidR="001A4860" w:rsidRPr="001A4860" w:rsidRDefault="001A4860" w:rsidP="001A4860">
      <w:pPr>
        <w:spacing w:line="20" w:lineRule="atLeast"/>
        <w:rPr>
          <w:rFonts w:ascii="Calibri" w:eastAsia="Calibri" w:hAnsi="Calibri" w:cs="Arial"/>
          <w:szCs w:val="24"/>
          <w:lang w:val="es-NI"/>
        </w:rPr>
      </w:pPr>
    </w:p>
    <w:p w14:paraId="2859A5A8" w14:textId="77777777" w:rsidR="001A4860" w:rsidRPr="001A4860" w:rsidRDefault="001A4860" w:rsidP="003B68DB">
      <w:pPr>
        <w:numPr>
          <w:ilvl w:val="0"/>
          <w:numId w:val="177"/>
        </w:numPr>
        <w:spacing w:after="160" w:line="20" w:lineRule="atLeast"/>
        <w:jc w:val="left"/>
        <w:rPr>
          <w:rFonts w:ascii="Calibri" w:eastAsia="Calibri" w:hAnsi="Calibri"/>
          <w:szCs w:val="24"/>
          <w:lang w:val="es-NI"/>
        </w:rPr>
      </w:pPr>
      <w:r w:rsidRPr="001A4860">
        <w:rPr>
          <w:rFonts w:ascii="Calibri" w:eastAsia="Calibri" w:hAnsi="Calibri"/>
          <w:szCs w:val="24"/>
          <w:lang w:val="es-NI"/>
        </w:rPr>
        <w:t xml:space="preserve">Cuando la tubería se instalase sobre superficie rocosa, esta se excavará 2/3 de diámetro del lecho y de ancho tendrá el ancho del tubo mas </w:t>
      </w:r>
      <w:smartTag w:uri="urn:schemas-microsoft-com:office:smarttags" w:element="metricconverter">
        <w:smartTagPr>
          <w:attr w:name="ProductID" w:val="40 cm"/>
        </w:smartTagPr>
        <w:r w:rsidRPr="001A4860">
          <w:rPr>
            <w:rFonts w:ascii="Calibri" w:eastAsia="Calibri" w:hAnsi="Calibri"/>
            <w:szCs w:val="24"/>
            <w:lang w:val="es-NI"/>
          </w:rPr>
          <w:t>40 cm</w:t>
        </w:r>
      </w:smartTag>
      <w:r w:rsidRPr="001A4860">
        <w:rPr>
          <w:rFonts w:ascii="Calibri" w:eastAsia="Calibri" w:hAnsi="Calibri"/>
          <w:szCs w:val="24"/>
          <w:lang w:val="es-NI"/>
        </w:rPr>
        <w:t xml:space="preserve">, si el tubo a instalarse es de HG, esta ira anclado a las paredes de las laderas o fondo del lecho del río a cada tres metros, con una faja de acero inoxidable de </w:t>
      </w:r>
      <w:smartTag w:uri="urn:schemas-microsoft-com:office:smarttags" w:element="metricconverter">
        <w:smartTagPr>
          <w:attr w:name="ProductID" w:val="2”"/>
        </w:smartTagPr>
        <w:r w:rsidRPr="001A4860">
          <w:rPr>
            <w:rFonts w:ascii="Calibri" w:eastAsia="Calibri" w:hAnsi="Calibri"/>
            <w:szCs w:val="24"/>
            <w:lang w:val="es-NI"/>
          </w:rPr>
          <w:t>2”</w:t>
        </w:r>
      </w:smartTag>
      <w:r w:rsidRPr="001A4860">
        <w:rPr>
          <w:rFonts w:ascii="Calibri" w:eastAsia="Calibri" w:hAnsi="Calibri"/>
          <w:szCs w:val="24"/>
          <w:lang w:val="es-NI"/>
        </w:rPr>
        <w:t xml:space="preserve"> de ancho y ¼” de espesor, con dos pernos de ¾” de diámetro y </w:t>
      </w:r>
      <w:smartTag w:uri="urn:schemas-microsoft-com:office:smarttags" w:element="metricconverter">
        <w:smartTagPr>
          <w:attr w:name="ProductID" w:val="6”"/>
        </w:smartTagPr>
        <w:r w:rsidRPr="001A4860">
          <w:rPr>
            <w:rFonts w:ascii="Calibri" w:eastAsia="Calibri" w:hAnsi="Calibri"/>
            <w:szCs w:val="24"/>
            <w:lang w:val="es-NI"/>
          </w:rPr>
          <w:t>6”</w:t>
        </w:r>
      </w:smartTag>
      <w:r w:rsidRPr="001A4860">
        <w:rPr>
          <w:rFonts w:ascii="Calibri" w:eastAsia="Calibri" w:hAnsi="Calibri"/>
          <w:szCs w:val="24"/>
          <w:lang w:val="es-NI"/>
        </w:rPr>
        <w:t xml:space="preserve"> de longitud a su vez ira protegida por un bloque de concreto ciclópeo simple de 2000 PSI de resistencia a los 28 días    como se indica en los detalles del plano. </w:t>
      </w:r>
    </w:p>
    <w:p w14:paraId="1234D63B" w14:textId="77777777" w:rsidR="001A4860" w:rsidRPr="001A4860" w:rsidRDefault="001A4860" w:rsidP="001A4860">
      <w:pPr>
        <w:spacing w:line="20" w:lineRule="atLeast"/>
        <w:rPr>
          <w:rFonts w:ascii="Calibri" w:eastAsia="Calibri" w:hAnsi="Calibri"/>
          <w:szCs w:val="24"/>
          <w:lang w:val="es-NI"/>
        </w:rPr>
      </w:pPr>
    </w:p>
    <w:p w14:paraId="100B51C1"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057" w:name="_Toc240187193"/>
      <w:bookmarkStart w:id="1058" w:name="_Toc240777429"/>
      <w:r w:rsidRPr="001A4860">
        <w:rPr>
          <w:rFonts w:ascii="Calibri Light" w:hAnsi="Calibri Light"/>
          <w:b/>
          <w:bCs/>
          <w:sz w:val="22"/>
          <w:szCs w:val="22"/>
          <w:lang w:val="es-NI"/>
        </w:rPr>
        <w:t>Restricciones y calidad del trabajo.</w:t>
      </w:r>
      <w:bookmarkEnd w:id="1057"/>
      <w:bookmarkEnd w:id="1058"/>
    </w:p>
    <w:p w14:paraId="1D4C150F" w14:textId="77777777" w:rsidR="001A4860" w:rsidRPr="001A4860" w:rsidRDefault="001A4860" w:rsidP="001A4860">
      <w:pPr>
        <w:spacing w:line="256" w:lineRule="auto"/>
        <w:jc w:val="left"/>
        <w:rPr>
          <w:rFonts w:ascii="Calibri" w:eastAsia="Calibri" w:hAnsi="Calibri"/>
          <w:szCs w:val="24"/>
        </w:rPr>
      </w:pPr>
    </w:p>
    <w:p w14:paraId="0AD09FEB"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El relleno y compactación de zanjas, se realizará inmediatamente después que la tubería haya sido probada hidráulicamente, desinfectada y aceptada por  El Ingeniero.</w:t>
      </w:r>
    </w:p>
    <w:p w14:paraId="0093A815" w14:textId="77777777" w:rsidR="001A4860" w:rsidRPr="001A4860" w:rsidRDefault="001A4860" w:rsidP="001A4860">
      <w:pPr>
        <w:spacing w:line="20" w:lineRule="atLeast"/>
        <w:rPr>
          <w:rFonts w:ascii="Calibri" w:eastAsia="Calibri" w:hAnsi="Calibri" w:cs="Arial"/>
          <w:szCs w:val="24"/>
          <w:lang w:val="es-NI"/>
        </w:rPr>
      </w:pPr>
    </w:p>
    <w:p w14:paraId="3BA3D976"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Los materiales de excavación de la zanja deberán ser colocados al lado donde no se obstaculice.</w:t>
      </w:r>
    </w:p>
    <w:p w14:paraId="17DA67AD" w14:textId="77777777" w:rsidR="001A4860" w:rsidRPr="001A4860" w:rsidRDefault="001A4860" w:rsidP="001A4860">
      <w:pPr>
        <w:spacing w:line="20" w:lineRule="atLeast"/>
        <w:rPr>
          <w:rFonts w:ascii="Calibri" w:eastAsia="Calibri" w:hAnsi="Calibri" w:cs="Arial"/>
          <w:szCs w:val="24"/>
          <w:lang w:val="es-NI"/>
        </w:rPr>
      </w:pPr>
    </w:p>
    <w:p w14:paraId="30C814B1"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Se reservará una orilla despejada de </w:t>
      </w:r>
      <w:smartTag w:uri="urn:schemas-microsoft-com:office:smarttags" w:element="metricconverter">
        <w:smartTagPr>
          <w:attr w:name="ProductID" w:val="50 cm"/>
        </w:smartTagPr>
        <w:r w:rsidRPr="001A4860">
          <w:rPr>
            <w:rFonts w:ascii="Calibri" w:eastAsia="Calibri" w:hAnsi="Calibri" w:cs="Arial"/>
            <w:szCs w:val="24"/>
            <w:lang w:val="es-NI"/>
          </w:rPr>
          <w:t>50 cm</w:t>
        </w:r>
      </w:smartTag>
      <w:r w:rsidRPr="001A4860">
        <w:rPr>
          <w:rFonts w:ascii="Calibri" w:eastAsia="Calibri" w:hAnsi="Calibri" w:cs="Arial"/>
          <w:szCs w:val="24"/>
          <w:lang w:val="es-NI"/>
        </w:rPr>
        <w:t xml:space="preserve"> de ancho mínimo, entre el borde de la zanja y el pie del talud de las tierras extraídas. Esa orilla está destinada a la circulación cómoda del personal instalador de la tubería.</w:t>
      </w:r>
    </w:p>
    <w:p w14:paraId="06CE90AA" w14:textId="77777777" w:rsidR="001A4860" w:rsidRPr="001A4860" w:rsidRDefault="001A4860" w:rsidP="001A4860">
      <w:pPr>
        <w:spacing w:line="20" w:lineRule="atLeast"/>
        <w:rPr>
          <w:rFonts w:ascii="Calibri" w:eastAsia="Calibri" w:hAnsi="Calibri" w:cs="Arial"/>
          <w:szCs w:val="24"/>
          <w:lang w:val="es-NI"/>
        </w:rPr>
      </w:pPr>
    </w:p>
    <w:p w14:paraId="3D906C60"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Los materiales excavados que no sean satisfactorios para relleno, o que estén en exceso al requerido, serán dispuestos fuera del Sitio de la Obra de una manera aprobada por El Ingeniero. Los costos de esta operación serán asumidos por El Contratista.</w:t>
      </w:r>
    </w:p>
    <w:p w14:paraId="689A7591" w14:textId="77777777" w:rsidR="001A4860" w:rsidRPr="001A4860" w:rsidRDefault="001A4860" w:rsidP="001A4860">
      <w:pPr>
        <w:spacing w:line="20" w:lineRule="atLeast"/>
        <w:rPr>
          <w:rFonts w:ascii="Calibri" w:eastAsia="Calibri" w:hAnsi="Calibri" w:cs="Arial"/>
          <w:szCs w:val="24"/>
          <w:lang w:val="es-NI"/>
        </w:rPr>
      </w:pPr>
    </w:p>
    <w:p w14:paraId="089D1B96"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Aún, suponiendo que el relleno de la tubería instalada, se efectuó correctamente, se eliminará de la tierra extraída, toda piedra gruesa y todo material que, utilizado como relleno de la zanja, podría ocasionar daños en la tubería.</w:t>
      </w:r>
    </w:p>
    <w:p w14:paraId="0E381027" w14:textId="77777777" w:rsidR="001A4860" w:rsidRPr="001A4860" w:rsidRDefault="001A4860" w:rsidP="001A4860">
      <w:pPr>
        <w:spacing w:line="20" w:lineRule="atLeast"/>
        <w:rPr>
          <w:rFonts w:ascii="Calibri" w:eastAsia="Calibri" w:hAnsi="Calibri" w:cs="Arial"/>
          <w:szCs w:val="24"/>
          <w:lang w:val="es-NI"/>
        </w:rPr>
      </w:pPr>
    </w:p>
    <w:p w14:paraId="17D066A9"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Si el fondo de la zanja se convierte en una fundación inestable para los tubos, debido al descuido de El Contratista de ademar o desaguar la zanja, o si la excavación se ha hecho más profunda de lo necesario, se requerirá de El Contratista y a su cuenta, remover el material inestable y rellenar la zanja de la manera descrita.</w:t>
      </w:r>
    </w:p>
    <w:p w14:paraId="30FF279B" w14:textId="77777777" w:rsidR="001A4860" w:rsidRPr="001A4860" w:rsidRDefault="001A4860" w:rsidP="001A4860">
      <w:pPr>
        <w:spacing w:line="20" w:lineRule="atLeast"/>
        <w:ind w:left="426" w:hanging="426"/>
        <w:rPr>
          <w:rFonts w:ascii="Calibri" w:eastAsia="Calibri" w:hAnsi="Calibri" w:cs="Arial"/>
          <w:szCs w:val="24"/>
          <w:lang w:val="es-NI"/>
        </w:rPr>
      </w:pPr>
    </w:p>
    <w:p w14:paraId="479F205A" w14:textId="77777777" w:rsidR="001A4860" w:rsidRPr="001A4860" w:rsidRDefault="001A4860" w:rsidP="003B68DB">
      <w:pPr>
        <w:numPr>
          <w:ilvl w:val="0"/>
          <w:numId w:val="178"/>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El Contratista removerá toda agua que se colecte en las zanjas antes y después de que los tubos estén instalados. En ningún caso se permitirá que el agua escurra sobre la fundación o por la tubería, sin permiso del Ingeniero. El agua encontrada será eliminada por El Contratista de una manera satisfactoria para El Ingeniero.</w:t>
      </w:r>
    </w:p>
    <w:p w14:paraId="3EA8FBA1" w14:textId="77777777" w:rsidR="001A4860" w:rsidRPr="001A4860" w:rsidRDefault="001A4860" w:rsidP="001A4860">
      <w:pPr>
        <w:spacing w:line="20" w:lineRule="atLeast"/>
        <w:rPr>
          <w:rFonts w:ascii="Calibri" w:eastAsia="Calibri" w:hAnsi="Calibri" w:cs="Arial"/>
          <w:szCs w:val="24"/>
          <w:lang w:val="es-NI"/>
        </w:rPr>
      </w:pPr>
    </w:p>
    <w:p w14:paraId="73CA2EA5" w14:textId="77777777" w:rsidR="001A4860" w:rsidRPr="001A4860" w:rsidRDefault="001A4860" w:rsidP="001A4860">
      <w:pPr>
        <w:spacing w:line="20" w:lineRule="atLeast"/>
        <w:ind w:left="708"/>
        <w:rPr>
          <w:rFonts w:ascii="Calibri" w:eastAsia="Calibri" w:hAnsi="Calibri" w:cs="Arial"/>
          <w:szCs w:val="24"/>
          <w:lang w:val="es-NI"/>
        </w:rPr>
      </w:pPr>
      <w:r w:rsidRPr="001A4860">
        <w:rPr>
          <w:rFonts w:ascii="Calibri" w:eastAsia="Calibri" w:hAnsi="Calibri" w:cs="Arial"/>
          <w:szCs w:val="24"/>
          <w:lang w:val="es-NI"/>
        </w:rPr>
        <w:t>También se deberá evitar dañar los árboles que deban permanecer en su lugar. Si se requiere la excavación a través de las raíces, habrá que excavar manualmente y cortar las raíces apropiadamente. Si fuese necesario podarlos, se debe hacer cortes limpios, refinados y sesgados y aplicar tres capas de protector sobre todas las ramas cortadas.</w:t>
      </w:r>
    </w:p>
    <w:p w14:paraId="2E6C6402"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b/>
      </w:r>
    </w:p>
    <w:p w14:paraId="0F456224" w14:textId="77777777" w:rsidR="001A4860" w:rsidRPr="001A4860" w:rsidRDefault="001A4860" w:rsidP="001A4860">
      <w:pPr>
        <w:spacing w:line="20" w:lineRule="atLeast"/>
        <w:ind w:left="708"/>
        <w:rPr>
          <w:rFonts w:ascii="Calibri" w:eastAsia="Calibri" w:hAnsi="Calibri" w:cs="Arial"/>
          <w:szCs w:val="24"/>
          <w:lang w:val="es-NI"/>
        </w:rPr>
      </w:pPr>
      <w:r w:rsidRPr="001A4860">
        <w:rPr>
          <w:rFonts w:ascii="Calibri" w:eastAsia="Calibri" w:hAnsi="Calibri" w:cs="Arial"/>
          <w:szCs w:val="24"/>
          <w:lang w:val="es-NI"/>
        </w:rPr>
        <w:t>En caso de que en la excavación se presentaran mantos rocosos que demanden el uso de explosivos, El Contratista deberá presentar a El Ingeniero un programa de ejecución para la excavación controlada, elaborado por personas o empresas especializados en estos trabajos, y deberá obtener el permiso por escrito de las Autoridades Militares competentes, incluyendo su compra, traslado, almacenamiento y manejo en obra, a fin de prever explosiones accidentales, que causen daños a personas, inmuebles y otros bienes que se encontraren cercanos, daños por los que El Contratista sería responsable.</w:t>
      </w:r>
    </w:p>
    <w:p w14:paraId="73D2C881" w14:textId="77777777" w:rsidR="001A4860" w:rsidRPr="001A4860" w:rsidRDefault="001A4860" w:rsidP="001A4860">
      <w:pPr>
        <w:keepNext/>
        <w:keepLines/>
        <w:spacing w:line="20" w:lineRule="atLeast"/>
        <w:jc w:val="left"/>
        <w:outlineLvl w:val="3"/>
        <w:rPr>
          <w:rFonts w:ascii="Calibri" w:hAnsi="Calibri" w:cs="Arial"/>
          <w:b/>
          <w:bCs/>
          <w:i/>
          <w:iCs/>
          <w:szCs w:val="24"/>
          <w:lang w:val="es-NI"/>
        </w:rPr>
      </w:pPr>
    </w:p>
    <w:p w14:paraId="7862FD5D"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59" w:name="_Toc240187194"/>
      <w:bookmarkStart w:id="1060" w:name="_Toc240777430"/>
      <w:r w:rsidRPr="001A4860">
        <w:rPr>
          <w:rFonts w:ascii="Calibri Light" w:hAnsi="Calibri Light"/>
          <w:b/>
          <w:bCs/>
          <w:sz w:val="22"/>
          <w:szCs w:val="24"/>
          <w:lang w:val="es-NI"/>
        </w:rPr>
        <w:t>Tipos de excavación</w:t>
      </w:r>
      <w:bookmarkEnd w:id="1059"/>
      <w:bookmarkEnd w:id="1060"/>
    </w:p>
    <w:p w14:paraId="089EC669" w14:textId="77777777" w:rsidR="001A4860" w:rsidRPr="001A4860" w:rsidRDefault="001A4860" w:rsidP="001A4860">
      <w:pPr>
        <w:spacing w:line="256" w:lineRule="auto"/>
        <w:jc w:val="left"/>
        <w:rPr>
          <w:rFonts w:ascii="Calibri" w:eastAsia="Calibri" w:hAnsi="Calibri"/>
          <w:sz w:val="22"/>
          <w:szCs w:val="22"/>
          <w:lang w:val="es-NI"/>
        </w:rPr>
      </w:pPr>
    </w:p>
    <w:p w14:paraId="4E2E53B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Los tipos de excavación de una zanja o de un pozo de exploración pueden catalogarse por su rango de profundidad o por el grado de compactación o dureza (tipo de material), es decir por la dificultad de la excavación.</w:t>
      </w:r>
    </w:p>
    <w:p w14:paraId="624EFF81" w14:textId="77777777" w:rsidR="001A4860" w:rsidRPr="001A4860" w:rsidRDefault="001A4860" w:rsidP="003B68DB">
      <w:pPr>
        <w:numPr>
          <w:ilvl w:val="0"/>
          <w:numId w:val="174"/>
        </w:numPr>
        <w:spacing w:after="160" w:line="276" w:lineRule="auto"/>
        <w:ind w:left="0" w:firstLine="0"/>
        <w:jc w:val="left"/>
        <w:rPr>
          <w:rFonts w:ascii="Calibri" w:eastAsia="Calibri" w:hAnsi="Calibri"/>
          <w:szCs w:val="24"/>
          <w:lang w:val="es-NI"/>
        </w:rPr>
      </w:pPr>
    </w:p>
    <w:p w14:paraId="0BACD826"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Excavación en tierra normal</w:t>
      </w:r>
    </w:p>
    <w:p w14:paraId="00ECECF2"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p>
    <w:p w14:paraId="1C4AA9C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Se considerará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talpuja o combinaciones entre ellas serán consideradas como "tierra normal" ante el hecho de que éstas sean posibles excavarlas con pico y pala, sin requerir el uso de barra.</w:t>
      </w:r>
    </w:p>
    <w:p w14:paraId="7760E58D" w14:textId="77777777" w:rsidR="001A4860" w:rsidRPr="001A4860" w:rsidRDefault="001A4860" w:rsidP="001A4860">
      <w:pPr>
        <w:keepNext/>
        <w:keepLines/>
        <w:spacing w:line="20" w:lineRule="atLeast"/>
        <w:jc w:val="left"/>
        <w:outlineLvl w:val="4"/>
        <w:rPr>
          <w:rFonts w:ascii="Calibri" w:hAnsi="Calibri" w:cs="Arial"/>
          <w:b/>
          <w:bCs/>
          <w:szCs w:val="24"/>
          <w:lang w:val="es-NI"/>
        </w:rPr>
      </w:pPr>
    </w:p>
    <w:p w14:paraId="5B5353E2"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Otros tipos de excavación.</w:t>
      </w:r>
    </w:p>
    <w:p w14:paraId="26C5FED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Debido al tipo de material (grado de compactación o dureza) que se encuentre podrán ser: a) en cascajo; b) en cantera; c) en material mixto.  Debido a la profundidad se clasificará la excavación por rango.</w:t>
      </w:r>
    </w:p>
    <w:p w14:paraId="14CF1E22" w14:textId="77777777" w:rsidR="001A4860" w:rsidRPr="001A4860" w:rsidRDefault="001A4860" w:rsidP="001A4860">
      <w:pPr>
        <w:spacing w:line="20" w:lineRule="atLeast"/>
        <w:rPr>
          <w:rFonts w:ascii="Calibri" w:eastAsia="Calibri" w:hAnsi="Calibri" w:cs="Arial"/>
          <w:szCs w:val="24"/>
          <w:lang w:val="es-NI"/>
        </w:rPr>
      </w:pPr>
    </w:p>
    <w:p w14:paraId="68C3BA8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Estas excavaciones son abordadas en el capítulo EXCAVACION, RELLENO Y COMPACTACION ADICIONAL.</w:t>
      </w:r>
    </w:p>
    <w:p w14:paraId="37D754B0" w14:textId="77777777" w:rsidR="001A4860" w:rsidRPr="001A4860" w:rsidRDefault="001A4860" w:rsidP="001A4860">
      <w:pPr>
        <w:spacing w:line="20" w:lineRule="atLeast"/>
        <w:rPr>
          <w:rFonts w:ascii="Calibri" w:eastAsia="Calibri" w:hAnsi="Calibri" w:cs="Arial"/>
          <w:szCs w:val="24"/>
          <w:lang w:val="es-NI"/>
        </w:rPr>
      </w:pPr>
    </w:p>
    <w:p w14:paraId="5AD8ABA4" w14:textId="77777777" w:rsidR="001A4860" w:rsidRPr="001A4860" w:rsidRDefault="001A4860" w:rsidP="001A4860">
      <w:pPr>
        <w:tabs>
          <w:tab w:val="left" w:pos="993"/>
        </w:tabs>
        <w:spacing w:after="160" w:line="256" w:lineRule="auto"/>
        <w:rPr>
          <w:rFonts w:ascii="Arial" w:eastAsia="Calibri" w:hAnsi="Arial" w:cs="Arial"/>
          <w:spacing w:val="-3"/>
          <w:sz w:val="22"/>
          <w:szCs w:val="24"/>
          <w:lang w:val="es-419"/>
        </w:rPr>
      </w:pPr>
      <w:r w:rsidRPr="001A4860">
        <w:rPr>
          <w:rFonts w:ascii="Calibri" w:eastAsia="Calibri" w:hAnsi="Calibri" w:cs="Arial"/>
          <w:szCs w:val="24"/>
          <w:lang w:val="es-NI"/>
        </w:rPr>
        <w:t>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r w:rsidRPr="001A4860">
        <w:rPr>
          <w:rFonts w:ascii="Arial" w:eastAsia="Calibri" w:hAnsi="Arial" w:cs="Arial"/>
          <w:spacing w:val="-3"/>
          <w:sz w:val="22"/>
          <w:szCs w:val="24"/>
          <w:lang w:val="es-419"/>
        </w:rPr>
        <w:t>.</w:t>
      </w:r>
    </w:p>
    <w:p w14:paraId="453DAC43" w14:textId="77777777" w:rsidR="001A4860" w:rsidRPr="001A4860" w:rsidRDefault="001A4860" w:rsidP="001A4860">
      <w:pPr>
        <w:tabs>
          <w:tab w:val="left" w:pos="993"/>
        </w:tabs>
        <w:spacing w:after="160" w:line="256" w:lineRule="auto"/>
        <w:rPr>
          <w:rFonts w:ascii="Arial" w:eastAsia="Calibri" w:hAnsi="Arial" w:cs="Arial"/>
          <w:spacing w:val="-3"/>
          <w:sz w:val="22"/>
          <w:szCs w:val="24"/>
          <w:lang w:val="es-419"/>
        </w:rPr>
      </w:pPr>
    </w:p>
    <w:p w14:paraId="6A065F94"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61" w:name="_Toc468439637"/>
      <w:bookmarkStart w:id="1062" w:name="_Toc468440824"/>
      <w:bookmarkStart w:id="1063" w:name="_Toc61317088"/>
      <w:bookmarkStart w:id="1064" w:name="_Toc240187195"/>
      <w:bookmarkStart w:id="1065" w:name="_Toc240777431"/>
      <w:r w:rsidRPr="001A4860">
        <w:rPr>
          <w:rFonts w:ascii="Calibri Light" w:hAnsi="Calibri Light"/>
          <w:b/>
          <w:bCs/>
          <w:sz w:val="22"/>
          <w:szCs w:val="24"/>
          <w:lang w:val="es-NI"/>
        </w:rPr>
        <w:t>Instalación de Tuberías</w:t>
      </w:r>
      <w:bookmarkEnd w:id="1061"/>
      <w:bookmarkEnd w:id="1062"/>
      <w:bookmarkEnd w:id="1063"/>
      <w:bookmarkEnd w:id="1064"/>
      <w:bookmarkEnd w:id="1065"/>
    </w:p>
    <w:p w14:paraId="118D976C" w14:textId="77777777" w:rsidR="001A4860" w:rsidRPr="001A4860" w:rsidRDefault="001A4860" w:rsidP="001A4860">
      <w:pPr>
        <w:keepNext/>
        <w:keepLines/>
        <w:spacing w:line="20" w:lineRule="atLeast"/>
        <w:jc w:val="left"/>
        <w:outlineLvl w:val="3"/>
        <w:rPr>
          <w:rFonts w:ascii="Calibri" w:hAnsi="Calibri" w:cs="Arial"/>
          <w:b/>
          <w:bCs/>
          <w:i/>
          <w:iCs/>
          <w:szCs w:val="24"/>
          <w:lang w:val="es-ES"/>
        </w:rPr>
      </w:pPr>
    </w:p>
    <w:p w14:paraId="7FF6B7DD"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r w:rsidRPr="001A4860">
        <w:rPr>
          <w:rFonts w:ascii="Calibri Light" w:hAnsi="Calibri Light"/>
          <w:b/>
          <w:bCs/>
          <w:i/>
          <w:iCs/>
          <w:sz w:val="22"/>
          <w:szCs w:val="22"/>
          <w:lang w:val="es-NI"/>
        </w:rPr>
        <w:t>Recursos y procedimientos</w:t>
      </w:r>
    </w:p>
    <w:p w14:paraId="36F88AE1" w14:textId="77777777" w:rsidR="001A4860" w:rsidRPr="001A4860" w:rsidRDefault="001A4860" w:rsidP="001A4860">
      <w:pPr>
        <w:spacing w:line="20" w:lineRule="atLeast"/>
        <w:rPr>
          <w:rFonts w:ascii="Calibri" w:eastAsia="Calibri" w:hAnsi="Calibri" w:cs="Arial"/>
          <w:szCs w:val="24"/>
          <w:lang w:val="es-NI"/>
        </w:rPr>
      </w:pPr>
    </w:p>
    <w:p w14:paraId="77F49B4C"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w:t>
      </w:r>
    </w:p>
    <w:p w14:paraId="7DF6B056" w14:textId="77777777" w:rsidR="001A4860" w:rsidRPr="001A4860" w:rsidRDefault="001A4860" w:rsidP="001A4860">
      <w:pPr>
        <w:spacing w:line="20" w:lineRule="atLeast"/>
        <w:rPr>
          <w:rFonts w:ascii="Calibri" w:eastAsia="Calibri" w:hAnsi="Calibri" w:cs="Arial"/>
          <w:szCs w:val="24"/>
          <w:lang w:val="es-NI"/>
        </w:rPr>
      </w:pPr>
    </w:p>
    <w:p w14:paraId="7BD7CBA6"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bookmarkStart w:id="1066" w:name="_Toc468439638"/>
      <w:bookmarkStart w:id="1067" w:name="_Toc468440825"/>
      <w:r w:rsidRPr="001A4860">
        <w:rPr>
          <w:rFonts w:ascii="Calibri Light" w:hAnsi="Calibri Light"/>
          <w:b/>
          <w:bCs/>
          <w:i/>
          <w:iCs/>
          <w:sz w:val="22"/>
          <w:szCs w:val="22"/>
          <w:lang w:val="es-NI"/>
        </w:rPr>
        <w:t>Cortes y rectificaciones en tubería</w:t>
      </w:r>
      <w:bookmarkEnd w:id="1066"/>
      <w:bookmarkEnd w:id="1067"/>
    </w:p>
    <w:p w14:paraId="20AC9B9D" w14:textId="77777777" w:rsidR="001A4860" w:rsidRPr="001A4860" w:rsidRDefault="001A4860" w:rsidP="001A4860">
      <w:pPr>
        <w:spacing w:line="20" w:lineRule="atLeast"/>
        <w:rPr>
          <w:rFonts w:ascii="Calibri" w:eastAsia="Calibri" w:hAnsi="Calibri" w:cs="Arial"/>
          <w:szCs w:val="24"/>
          <w:lang w:val="es-NI"/>
        </w:rPr>
      </w:pPr>
    </w:p>
    <w:p w14:paraId="18DA96B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w:t>
      </w:r>
      <w:r w:rsidRPr="001A4860">
        <w:rPr>
          <w:rFonts w:ascii="Calibri" w:eastAsia="Calibri" w:hAnsi="Calibri" w:cs="Arial"/>
          <w:szCs w:val="24"/>
          <w:lang w:val="es-NI"/>
        </w:rPr>
        <w:lastRenderedPageBreak/>
        <w:t>previamente fijado, o para efectuar curvas en el alineamiento, haciendo uso de las desviaciones permitidas para las juntas; en tales casos, es preciso cortar la parte dañada o reducir un tubo normal a la longitud requerida, y rectificar luego los extremos del corte para p</w:t>
      </w:r>
      <w:bookmarkStart w:id="1068" w:name="_Toc468439639"/>
      <w:bookmarkStart w:id="1069" w:name="_Toc468440826"/>
      <w:r w:rsidRPr="001A4860">
        <w:rPr>
          <w:rFonts w:ascii="Calibri" w:eastAsia="Calibri" w:hAnsi="Calibri" w:cs="Arial"/>
          <w:szCs w:val="24"/>
          <w:lang w:val="es-NI"/>
        </w:rPr>
        <w:t>roceder a efectuar las uniones.</w:t>
      </w:r>
    </w:p>
    <w:p w14:paraId="14D42181" w14:textId="77777777" w:rsidR="001A4860" w:rsidRPr="001A4860" w:rsidRDefault="001A4860" w:rsidP="001A4860">
      <w:pPr>
        <w:spacing w:line="20" w:lineRule="atLeast"/>
        <w:rPr>
          <w:rFonts w:ascii="Calibri" w:eastAsia="Calibri" w:hAnsi="Calibri" w:cs="Arial"/>
          <w:szCs w:val="24"/>
          <w:lang w:val="es-NI"/>
        </w:rPr>
      </w:pPr>
    </w:p>
    <w:p w14:paraId="2916087D"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r w:rsidRPr="001A4860">
        <w:rPr>
          <w:rFonts w:ascii="Calibri Light" w:hAnsi="Calibri Light"/>
          <w:b/>
          <w:bCs/>
          <w:i/>
          <w:iCs/>
          <w:sz w:val="22"/>
          <w:szCs w:val="22"/>
          <w:lang w:val="es-NI"/>
        </w:rPr>
        <w:t>Corte</w:t>
      </w:r>
      <w:bookmarkEnd w:id="1068"/>
      <w:bookmarkEnd w:id="1069"/>
      <w:r w:rsidRPr="001A4860">
        <w:rPr>
          <w:rFonts w:ascii="Calibri Light" w:hAnsi="Calibri Light"/>
          <w:b/>
          <w:bCs/>
          <w:i/>
          <w:iCs/>
          <w:sz w:val="22"/>
          <w:szCs w:val="22"/>
          <w:lang w:val="es-NI"/>
        </w:rPr>
        <w:t>s</w:t>
      </w:r>
    </w:p>
    <w:p w14:paraId="4D5066D8" w14:textId="77777777" w:rsidR="001A4860" w:rsidRPr="001A4860" w:rsidRDefault="001A4860" w:rsidP="001A4860">
      <w:pPr>
        <w:spacing w:line="20" w:lineRule="atLeast"/>
        <w:rPr>
          <w:rFonts w:ascii="Calibri" w:eastAsia="Calibri" w:hAnsi="Calibri" w:cs="Arial"/>
          <w:szCs w:val="24"/>
          <w:lang w:val="es-NI"/>
        </w:rPr>
      </w:pPr>
    </w:p>
    <w:p w14:paraId="2086589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Los tubos pueden cortarse haciendo uso de sierras de mano o con máquinas especiales "corta tubos". Las máquinas corta tubos pueden ser de discos, accionados con motores de gasolina, a presión o de cuchillas.</w:t>
      </w:r>
    </w:p>
    <w:p w14:paraId="5D0176D0" w14:textId="77777777" w:rsidR="001A4860" w:rsidRPr="001A4860" w:rsidRDefault="001A4860" w:rsidP="001A4860">
      <w:pPr>
        <w:spacing w:line="20" w:lineRule="atLeast"/>
        <w:rPr>
          <w:rFonts w:ascii="Calibri" w:eastAsia="Calibri" w:hAnsi="Calibri" w:cs="Arial"/>
          <w:szCs w:val="24"/>
          <w:lang w:val="es-NI"/>
        </w:rPr>
      </w:pPr>
    </w:p>
    <w:p w14:paraId="1C38013A"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Los tubos se deberán cortar en ángulo recto, con relación a su eje, utilizando una sierra de mano de dientes finos y una caja de ingletes, o una sierra mecanizada de dientes finos con una guía apropiada. Se deberá remover totalmente la rebaba por medio de un cuchillo, lima, escariador o papel abrasivo.</w:t>
      </w:r>
    </w:p>
    <w:p w14:paraId="2B93C49F" w14:textId="77777777" w:rsidR="001A4860" w:rsidRPr="001A4860" w:rsidRDefault="001A4860" w:rsidP="001A4860">
      <w:pPr>
        <w:spacing w:line="20" w:lineRule="atLeast"/>
        <w:rPr>
          <w:rFonts w:ascii="Calibri" w:eastAsia="Calibri" w:hAnsi="Calibri" w:cs="Arial"/>
          <w:szCs w:val="24"/>
          <w:lang w:val="es-NI"/>
        </w:rPr>
      </w:pPr>
    </w:p>
    <w:p w14:paraId="5EEAC43A"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Cualquiera que sea la máquina usada, al efectuar el corte es necesario tener presente las siguientes recomendaciones:</w:t>
      </w:r>
    </w:p>
    <w:p w14:paraId="6F76D54F" w14:textId="77777777" w:rsidR="001A4860" w:rsidRPr="001A4860" w:rsidRDefault="001A4860" w:rsidP="001A4860">
      <w:pPr>
        <w:spacing w:line="20" w:lineRule="atLeast"/>
        <w:rPr>
          <w:rFonts w:ascii="Calibri" w:eastAsia="Calibri" w:hAnsi="Calibri" w:cs="Arial"/>
          <w:szCs w:val="24"/>
          <w:lang w:val="es-NI"/>
        </w:rPr>
      </w:pPr>
    </w:p>
    <w:p w14:paraId="3CE23BA6" w14:textId="77777777" w:rsidR="001A4860" w:rsidRPr="001A4860" w:rsidRDefault="001A4860" w:rsidP="003B68DB">
      <w:pPr>
        <w:numPr>
          <w:ilvl w:val="0"/>
          <w:numId w:val="175"/>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Marcar con tiza, o con lápiz grueso, una línea que señale el corte que se va hacer. Ese corte deberá ser exactamente perpendicular al eje del tubo.</w:t>
      </w:r>
    </w:p>
    <w:p w14:paraId="4E172433" w14:textId="77777777" w:rsidR="001A4860" w:rsidRPr="001A4860" w:rsidRDefault="001A4860" w:rsidP="001A4860">
      <w:pPr>
        <w:spacing w:line="20" w:lineRule="atLeast"/>
        <w:ind w:left="360"/>
        <w:rPr>
          <w:rFonts w:ascii="Calibri" w:eastAsia="Calibri" w:hAnsi="Calibri" w:cs="Arial"/>
          <w:szCs w:val="24"/>
          <w:lang w:val="es-NI"/>
        </w:rPr>
      </w:pPr>
    </w:p>
    <w:p w14:paraId="68D48AA6" w14:textId="77777777" w:rsidR="001A4860" w:rsidRPr="001A4860" w:rsidRDefault="001A4860" w:rsidP="003B68DB">
      <w:pPr>
        <w:numPr>
          <w:ilvl w:val="0"/>
          <w:numId w:val="175"/>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El tubo deberá encontrarse firmemente sujeto para evitar que se mueva durante el corte.</w:t>
      </w:r>
    </w:p>
    <w:p w14:paraId="3CD7DF24" w14:textId="77777777" w:rsidR="001A4860" w:rsidRPr="001A4860" w:rsidRDefault="001A4860" w:rsidP="001A4860">
      <w:pPr>
        <w:spacing w:line="20" w:lineRule="atLeast"/>
        <w:rPr>
          <w:rFonts w:ascii="Calibri" w:eastAsia="Calibri" w:hAnsi="Calibri" w:cs="Arial"/>
          <w:szCs w:val="24"/>
          <w:lang w:val="es-NI"/>
        </w:rPr>
      </w:pPr>
    </w:p>
    <w:p w14:paraId="409843F1" w14:textId="77777777" w:rsidR="001A4860" w:rsidRPr="001A4860" w:rsidRDefault="001A4860" w:rsidP="003B68DB">
      <w:pPr>
        <w:numPr>
          <w:ilvl w:val="0"/>
          <w:numId w:val="175"/>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En caso de cortes fuera de la excavación, se deberá hacer girar el tubo a medida que se va cortando, de modo que la parte que debe cortarse, esté siempre del lado superior.</w:t>
      </w:r>
    </w:p>
    <w:p w14:paraId="2C73428D" w14:textId="77777777" w:rsidR="001A4860" w:rsidRPr="001A4860" w:rsidRDefault="001A4860" w:rsidP="001A4860">
      <w:pPr>
        <w:spacing w:line="20" w:lineRule="atLeast"/>
        <w:rPr>
          <w:rFonts w:ascii="Calibri" w:eastAsia="Calibri" w:hAnsi="Calibri" w:cs="Arial"/>
          <w:szCs w:val="24"/>
          <w:lang w:val="es-NI"/>
        </w:rPr>
      </w:pPr>
    </w:p>
    <w:p w14:paraId="5CCCF86F" w14:textId="77777777" w:rsidR="001A4860" w:rsidRPr="001A4860" w:rsidRDefault="001A4860" w:rsidP="003B68DB">
      <w:pPr>
        <w:numPr>
          <w:ilvl w:val="0"/>
          <w:numId w:val="175"/>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No debe dejarse la extremidad del tubo sin apoyo, pues es posible que ese extremo se quiebre por su propio peso antes de completar el corte.</w:t>
      </w:r>
    </w:p>
    <w:p w14:paraId="3E6392AA" w14:textId="77777777" w:rsidR="001A4860" w:rsidRPr="001A4860" w:rsidRDefault="001A4860" w:rsidP="001A4860">
      <w:pPr>
        <w:spacing w:line="20" w:lineRule="atLeast"/>
        <w:rPr>
          <w:rFonts w:ascii="Calibri" w:eastAsia="Calibri" w:hAnsi="Calibri" w:cs="Arial"/>
          <w:szCs w:val="24"/>
          <w:lang w:val="es-NI"/>
        </w:rPr>
      </w:pPr>
    </w:p>
    <w:p w14:paraId="0CFE6385"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bookmarkStart w:id="1070" w:name="_Toc468439640"/>
      <w:bookmarkStart w:id="1071" w:name="_Toc468440827"/>
      <w:r w:rsidRPr="001A4860">
        <w:rPr>
          <w:rFonts w:ascii="Calibri Light" w:hAnsi="Calibri Light"/>
          <w:b/>
          <w:bCs/>
          <w:i/>
          <w:iCs/>
          <w:sz w:val="22"/>
          <w:szCs w:val="22"/>
          <w:lang w:val="es-NI"/>
        </w:rPr>
        <w:t>Rectificación o biselado de los extremos.</w:t>
      </w:r>
      <w:bookmarkEnd w:id="1070"/>
      <w:bookmarkEnd w:id="1071"/>
    </w:p>
    <w:p w14:paraId="163C9E0A" w14:textId="77777777" w:rsidR="001A4860" w:rsidRPr="001A4860" w:rsidRDefault="001A4860" w:rsidP="001A4860">
      <w:pPr>
        <w:spacing w:line="256" w:lineRule="auto"/>
        <w:jc w:val="left"/>
        <w:rPr>
          <w:rFonts w:ascii="Calibri" w:eastAsia="Calibri" w:hAnsi="Calibri"/>
          <w:szCs w:val="24"/>
        </w:rPr>
      </w:pPr>
    </w:p>
    <w:p w14:paraId="2E87AC5E"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El corte deja una sección o borde vivo, que debe ser preparada para recibir la junta o unión de las tuberías. La rectificación o biselado de los tubos puede hacerse a mano, o con máquinas biseladoras especiales.</w:t>
      </w:r>
    </w:p>
    <w:p w14:paraId="25EC579C" w14:textId="77777777" w:rsidR="001A4860" w:rsidRPr="001A4860" w:rsidRDefault="001A4860" w:rsidP="001A4860">
      <w:pPr>
        <w:spacing w:line="20" w:lineRule="atLeast"/>
        <w:rPr>
          <w:rFonts w:ascii="Calibri" w:eastAsia="Calibri" w:hAnsi="Calibri" w:cs="Arial"/>
          <w:szCs w:val="24"/>
          <w:lang w:val="es-NI"/>
        </w:rPr>
      </w:pPr>
    </w:p>
    <w:p w14:paraId="76E9BDC1"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lastRenderedPageBreak/>
        <w:t>Cuando se trate de tuberías de hierro galvanizado, la rectificación del borde dejado por el corte, puede ser hecha con un esmeril. Las ralladuras longitudinales o circunferenciales podrían compromet</w:t>
      </w:r>
      <w:bookmarkStart w:id="1072" w:name="_Toc468439641"/>
      <w:bookmarkStart w:id="1073" w:name="_Toc468440828"/>
      <w:r w:rsidRPr="001A4860">
        <w:rPr>
          <w:rFonts w:ascii="Calibri" w:eastAsia="Calibri" w:hAnsi="Calibri" w:cs="Arial"/>
          <w:szCs w:val="24"/>
          <w:lang w:val="es-NI"/>
        </w:rPr>
        <w:t>er la estanqueidad de la junta.</w:t>
      </w:r>
    </w:p>
    <w:p w14:paraId="00219D43" w14:textId="77777777" w:rsidR="001A4860" w:rsidRPr="001A4860" w:rsidRDefault="001A4860" w:rsidP="001A4860">
      <w:pPr>
        <w:spacing w:after="160" w:line="256" w:lineRule="auto"/>
        <w:jc w:val="left"/>
        <w:rPr>
          <w:rFonts w:ascii="Calibri" w:eastAsia="Calibri" w:hAnsi="Calibri"/>
          <w:sz w:val="22"/>
          <w:szCs w:val="22"/>
          <w:lang w:val="es-NI"/>
        </w:rPr>
      </w:pPr>
    </w:p>
    <w:p w14:paraId="249AC877"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r w:rsidRPr="001A4860">
        <w:rPr>
          <w:rFonts w:ascii="Calibri Light" w:hAnsi="Calibri Light"/>
          <w:b/>
          <w:bCs/>
          <w:i/>
          <w:iCs/>
          <w:sz w:val="22"/>
          <w:szCs w:val="22"/>
          <w:lang w:val="es-NI"/>
        </w:rPr>
        <w:t>Baldeo y remoción de las aguas.</w:t>
      </w:r>
      <w:bookmarkEnd w:id="1072"/>
      <w:bookmarkEnd w:id="1073"/>
    </w:p>
    <w:p w14:paraId="61094EC1" w14:textId="77777777" w:rsidR="001A4860" w:rsidRPr="001A4860" w:rsidRDefault="001A4860" w:rsidP="001A4860">
      <w:pPr>
        <w:spacing w:line="20" w:lineRule="atLeast"/>
        <w:rPr>
          <w:rFonts w:ascii="Calibri" w:eastAsia="Calibri" w:hAnsi="Calibri" w:cs="Arial"/>
          <w:szCs w:val="24"/>
          <w:lang w:val="es-NI"/>
        </w:rPr>
      </w:pPr>
    </w:p>
    <w:p w14:paraId="3D1F1BF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El término </w:t>
      </w:r>
      <w:r w:rsidRPr="001A4860">
        <w:rPr>
          <w:rFonts w:ascii="Calibri" w:eastAsia="Calibri" w:hAnsi="Calibri" w:cs="Arial"/>
          <w:bCs/>
          <w:iCs/>
          <w:szCs w:val="24"/>
          <w:lang w:val="es-NI"/>
        </w:rPr>
        <w:t>"</w:t>
      </w:r>
      <w:r w:rsidRPr="001A4860">
        <w:rPr>
          <w:rFonts w:ascii="Calibri" w:eastAsia="Calibri" w:hAnsi="Calibri" w:cs="Arial"/>
          <w:szCs w:val="24"/>
          <w:lang w:val="es-NI"/>
        </w:rPr>
        <w:t>Baldeo de las Aguas</w:t>
      </w:r>
      <w:r w:rsidRPr="001A4860">
        <w:rPr>
          <w:rFonts w:ascii="Calibri" w:eastAsia="Calibri" w:hAnsi="Calibri" w:cs="Arial"/>
          <w:iCs/>
          <w:szCs w:val="24"/>
          <w:lang w:val="es-NI"/>
        </w:rPr>
        <w:t>",</w:t>
      </w:r>
      <w:r w:rsidRPr="001A4860">
        <w:rPr>
          <w:rFonts w:ascii="Calibri" w:eastAsia="Calibri" w:hAnsi="Calibri" w:cs="Arial"/>
          <w:szCs w:val="24"/>
          <w:lang w:val="es-NI"/>
        </w:rPr>
        <w:t xml:space="preserve"> se utiliza para identificar la acción de evacuar las aguas que recibe la excavación, al efectuar cortes en las tuberías en servicio.</w:t>
      </w:r>
    </w:p>
    <w:p w14:paraId="6D80314F" w14:textId="77777777" w:rsidR="001A4860" w:rsidRPr="001A4860" w:rsidRDefault="001A4860" w:rsidP="001A4860">
      <w:pPr>
        <w:spacing w:line="20" w:lineRule="atLeast"/>
        <w:rPr>
          <w:rFonts w:ascii="Calibri" w:eastAsia="Calibri" w:hAnsi="Calibri" w:cs="Arial"/>
          <w:szCs w:val="24"/>
          <w:lang w:val="es-NI"/>
        </w:rPr>
      </w:pPr>
    </w:p>
    <w:p w14:paraId="69F0A37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No se permitirá que estas aguas aneguen las zanjas, al efectuar cambio de accesorios o tramos de tuberías, con el objeto de evitar contaminaciones que puedan originar las aguas descargadas por los tubos seccionados. Se debe planear la extracción del agua de las tuberías en estos cortes, tomando en cuenta las siguientes indicaciones:</w:t>
      </w:r>
    </w:p>
    <w:p w14:paraId="4FBB6771" w14:textId="77777777" w:rsidR="001A4860" w:rsidRPr="001A4860" w:rsidRDefault="001A4860" w:rsidP="001A4860">
      <w:pPr>
        <w:spacing w:line="20" w:lineRule="atLeast"/>
        <w:rPr>
          <w:rFonts w:ascii="Calibri" w:eastAsia="Calibri" w:hAnsi="Calibri" w:cs="Arial"/>
          <w:bCs/>
          <w:szCs w:val="24"/>
          <w:lang w:val="es-NI"/>
        </w:rPr>
      </w:pPr>
    </w:p>
    <w:p w14:paraId="637C2CC5" w14:textId="77777777" w:rsidR="001A4860" w:rsidRPr="001A4860" w:rsidRDefault="001A4860" w:rsidP="003B68DB">
      <w:pPr>
        <w:numPr>
          <w:ilvl w:val="0"/>
          <w:numId w:val="179"/>
        </w:numPr>
        <w:spacing w:after="160" w:line="20" w:lineRule="atLeast"/>
        <w:jc w:val="left"/>
        <w:rPr>
          <w:rFonts w:ascii="Calibri" w:eastAsia="Calibri" w:hAnsi="Calibri"/>
          <w:szCs w:val="24"/>
          <w:lang w:val="es-NI"/>
        </w:rPr>
      </w:pPr>
      <w:r w:rsidRPr="001A4860">
        <w:rPr>
          <w:rFonts w:ascii="Calibri" w:eastAsia="Calibri" w:hAnsi="Calibri"/>
          <w:szCs w:val="24"/>
          <w:lang w:val="es-NI"/>
        </w:rPr>
        <w:t>Haciendo más amplio y hondo el fondo de la zanja en el lugar del corte con el  objeto de baldear o utilizar una motobomba achicadora, que pueda extraer el agua e impedir que su nivel llegue al fondo de la tubería existente, o a utilizarse para hacer la unión o reparación que se requiera.</w:t>
      </w:r>
    </w:p>
    <w:p w14:paraId="2DCE6FCA" w14:textId="77777777" w:rsidR="001A4860" w:rsidRPr="001A4860" w:rsidRDefault="001A4860" w:rsidP="001A4860">
      <w:pPr>
        <w:spacing w:line="20" w:lineRule="atLeast"/>
        <w:rPr>
          <w:rFonts w:ascii="Calibri" w:eastAsia="Calibri" w:hAnsi="Calibri" w:cs="Arial"/>
          <w:szCs w:val="24"/>
        </w:rPr>
      </w:pPr>
    </w:p>
    <w:p w14:paraId="63A35346" w14:textId="77777777" w:rsidR="001A4860" w:rsidRPr="001A4860" w:rsidRDefault="001A4860" w:rsidP="003B68DB">
      <w:pPr>
        <w:numPr>
          <w:ilvl w:val="0"/>
          <w:numId w:val="179"/>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Dependiendo del lugar y nivel del terreno, usar válvulas de limpieza.</w:t>
      </w:r>
    </w:p>
    <w:p w14:paraId="0BBE9BCB" w14:textId="77777777" w:rsidR="001A4860" w:rsidRPr="001A4860" w:rsidRDefault="001A4860" w:rsidP="003B68DB">
      <w:pPr>
        <w:numPr>
          <w:ilvl w:val="0"/>
          <w:numId w:val="179"/>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Otros, a juicio de El Ingeniero.</w:t>
      </w:r>
    </w:p>
    <w:p w14:paraId="2A6B7BC9" w14:textId="77777777" w:rsidR="001A4860" w:rsidRPr="001A4860" w:rsidRDefault="001A4860" w:rsidP="001A4860">
      <w:pPr>
        <w:spacing w:line="20" w:lineRule="atLeast"/>
        <w:rPr>
          <w:rFonts w:ascii="Calibri" w:eastAsia="Calibri" w:hAnsi="Calibri" w:cs="Arial"/>
          <w:szCs w:val="24"/>
          <w:lang w:val="es-NI"/>
        </w:rPr>
      </w:pPr>
    </w:p>
    <w:p w14:paraId="78789AF8"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r w:rsidRPr="001A4860">
        <w:rPr>
          <w:rFonts w:ascii="Calibri Light" w:hAnsi="Calibri Light"/>
          <w:b/>
          <w:bCs/>
          <w:i/>
          <w:iCs/>
          <w:sz w:val="22"/>
          <w:szCs w:val="22"/>
          <w:lang w:val="es-NI"/>
        </w:rPr>
        <w:t>Instalación de las tuberías.</w:t>
      </w:r>
    </w:p>
    <w:p w14:paraId="45DE0AD6" w14:textId="77777777" w:rsidR="001A4860" w:rsidRPr="001A4860" w:rsidRDefault="001A4860" w:rsidP="001A4860">
      <w:pPr>
        <w:spacing w:line="256" w:lineRule="auto"/>
        <w:jc w:val="left"/>
        <w:rPr>
          <w:rFonts w:ascii="Calibri" w:eastAsia="Calibri" w:hAnsi="Calibri"/>
          <w:szCs w:val="24"/>
        </w:rPr>
      </w:pPr>
    </w:p>
    <w:p w14:paraId="72529F90"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Antes de instalarse, los tubos serán alineados a un lado y a lo largo de la zanja y, si no hay inconvenientes, del lado opuesto al material de excavación, protegiéndose del tráfico y de la maquinaria pesada asignada a la Obra.</w:t>
      </w:r>
    </w:p>
    <w:p w14:paraId="66C03FC3" w14:textId="77777777" w:rsidR="001A4860" w:rsidRPr="001A4860" w:rsidRDefault="001A4860" w:rsidP="001A4860">
      <w:pPr>
        <w:spacing w:line="20" w:lineRule="atLeast"/>
        <w:rPr>
          <w:rFonts w:ascii="Calibri" w:eastAsia="Calibri" w:hAnsi="Calibri" w:cs="Arial"/>
          <w:szCs w:val="24"/>
          <w:lang w:val="es-NI"/>
        </w:rPr>
      </w:pPr>
    </w:p>
    <w:p w14:paraId="785AFDC5"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Se deben usar herramientas y equipos apropiados para manejar e instalar los tubos y accesorios, en una forma segura y satisfactoria. Siguiendo en general las recomendaciones del fabricante, en el manejo debe evitarse el uso de métodos bruscos, tal como dejar caer los tubos.</w:t>
      </w:r>
    </w:p>
    <w:p w14:paraId="55C657EA" w14:textId="77777777" w:rsidR="001A4860" w:rsidRPr="001A4860" w:rsidRDefault="001A4860" w:rsidP="001A4860">
      <w:pPr>
        <w:spacing w:line="20" w:lineRule="atLeast"/>
        <w:rPr>
          <w:rFonts w:ascii="Calibri" w:eastAsia="Calibri" w:hAnsi="Calibri" w:cs="Arial"/>
          <w:szCs w:val="24"/>
          <w:lang w:val="es-NI"/>
        </w:rPr>
      </w:pPr>
    </w:p>
    <w:p w14:paraId="352794D5"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El almacenamiento de la tubería debe ser hecho sobre suelo llano, exento de piedras, y de  preferencia bajo cubierta y a la sombra.</w:t>
      </w:r>
    </w:p>
    <w:p w14:paraId="4A858DA3" w14:textId="77777777" w:rsidR="001A4860" w:rsidRPr="001A4860" w:rsidRDefault="001A4860" w:rsidP="001A4860">
      <w:pPr>
        <w:spacing w:line="20" w:lineRule="atLeast"/>
        <w:rPr>
          <w:rFonts w:ascii="Calibri" w:eastAsia="Calibri" w:hAnsi="Calibri" w:cs="Arial"/>
          <w:szCs w:val="24"/>
          <w:lang w:val="es-NI"/>
        </w:rPr>
      </w:pPr>
    </w:p>
    <w:p w14:paraId="00979364"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lastRenderedPageBreak/>
        <w:t>Los tubos se descargarán a mano dentro de la zanja, no dejarlos caer sino depositarlos, no dejarlos rodar sobre el suelo y  teniendo cuidado especial de que no se dañen.</w:t>
      </w:r>
    </w:p>
    <w:p w14:paraId="51FE0964" w14:textId="77777777" w:rsidR="001A4860" w:rsidRPr="001A4860" w:rsidRDefault="001A4860" w:rsidP="001A4860">
      <w:pPr>
        <w:spacing w:line="20" w:lineRule="atLeast"/>
        <w:rPr>
          <w:rFonts w:ascii="Calibri" w:eastAsia="Calibri" w:hAnsi="Calibri" w:cs="Arial"/>
          <w:szCs w:val="24"/>
          <w:lang w:val="es-NI"/>
        </w:rPr>
      </w:pPr>
    </w:p>
    <w:p w14:paraId="19BB25A9"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Se revisará el interior de los tubos a instalarse, con el objeto de verificar su limpieza.  </w:t>
      </w:r>
    </w:p>
    <w:p w14:paraId="3BA08BA7" w14:textId="77777777" w:rsidR="001A4860" w:rsidRPr="001A4860" w:rsidRDefault="001A4860" w:rsidP="001A4860">
      <w:pPr>
        <w:spacing w:line="20" w:lineRule="atLeast"/>
        <w:ind w:left="426" w:hanging="426"/>
        <w:rPr>
          <w:rFonts w:ascii="Calibri" w:eastAsia="Calibri" w:hAnsi="Calibri" w:cs="Arial"/>
          <w:szCs w:val="24"/>
          <w:lang w:val="es-NI"/>
        </w:rPr>
      </w:pPr>
    </w:p>
    <w:p w14:paraId="191A558B"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Los  accesorios a usarse en la tubería, serán igualmente revisados y sometidos a una limpieza general.</w:t>
      </w:r>
    </w:p>
    <w:p w14:paraId="2250811A" w14:textId="77777777" w:rsidR="001A4860" w:rsidRPr="001A4860" w:rsidRDefault="001A4860" w:rsidP="001A4860">
      <w:pPr>
        <w:spacing w:line="20" w:lineRule="atLeast"/>
        <w:ind w:firstLine="75"/>
        <w:rPr>
          <w:rFonts w:ascii="Calibri" w:eastAsia="Calibri" w:hAnsi="Calibri" w:cs="Arial"/>
          <w:szCs w:val="24"/>
          <w:lang w:val="es-NI"/>
        </w:rPr>
      </w:pPr>
    </w:p>
    <w:p w14:paraId="0575807D" w14:textId="77777777" w:rsidR="001A4860" w:rsidRPr="001A4860" w:rsidRDefault="001A4860" w:rsidP="003B68DB">
      <w:pPr>
        <w:numPr>
          <w:ilvl w:val="0"/>
          <w:numId w:val="180"/>
        </w:numPr>
        <w:spacing w:after="160" w:line="20" w:lineRule="atLeast"/>
        <w:jc w:val="left"/>
        <w:rPr>
          <w:rFonts w:ascii="Calibri" w:eastAsia="Calibri" w:hAnsi="Calibri"/>
          <w:szCs w:val="24"/>
          <w:lang w:val="es-NI"/>
        </w:rPr>
      </w:pPr>
      <w:r w:rsidRPr="001A4860">
        <w:rPr>
          <w:rFonts w:ascii="Calibri" w:eastAsia="Calibri" w:hAnsi="Calibri"/>
          <w:szCs w:val="24"/>
          <w:lang w:val="es-NI"/>
        </w:rPr>
        <w:t>La rasante de los tubos y accesorios, deberá ser terminada cuidadosamente y se formará en ella una especie de media caña a fin de que una cuarta parte de la circunferencia de cada tubo y en toda su longitud quede en contacto con terreno firme y además se proveerá de una excavación especial para alojar las campanas.</w:t>
      </w:r>
    </w:p>
    <w:p w14:paraId="07CEFE2D" w14:textId="77777777" w:rsidR="001A4860" w:rsidRPr="001A4860" w:rsidRDefault="001A4860" w:rsidP="001A4860">
      <w:pPr>
        <w:spacing w:line="20" w:lineRule="atLeast"/>
        <w:rPr>
          <w:rFonts w:ascii="Calibri" w:eastAsia="Calibri" w:hAnsi="Calibri" w:cs="Arial"/>
          <w:szCs w:val="24"/>
          <w:lang w:val="es-NI"/>
        </w:rPr>
      </w:pPr>
    </w:p>
    <w:p w14:paraId="2AF9B1C1"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Los extremos de los tubos que ya hayan sido instalados, serán protegidos con tapones de material aprobado por El Ingeniero, para evitar que tierra y otras suciedades penetren en los tubos.</w:t>
      </w:r>
    </w:p>
    <w:p w14:paraId="482515CD" w14:textId="77777777" w:rsidR="001A4860" w:rsidRPr="001A4860" w:rsidRDefault="001A4860" w:rsidP="001A4860">
      <w:pPr>
        <w:spacing w:line="20" w:lineRule="atLeast"/>
        <w:rPr>
          <w:rFonts w:ascii="Calibri" w:eastAsia="Calibri" w:hAnsi="Calibri" w:cs="Arial"/>
          <w:szCs w:val="24"/>
          <w:lang w:val="es-NI"/>
        </w:rPr>
      </w:pPr>
    </w:p>
    <w:p w14:paraId="51C22766"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Cuando el zanjeo sea en forma de curva horizontal, con ángulos de deflexiones menores e igual a 3° y radios de curvas muy grandes, la instalación podrá hacerse sin el uso de codos, aprovechando las desviaciones angulares permisibles que cada junta puede alcanzar, la cual será la especificada por el fabricante de la tubería.  Conviene recordar que el montaje se realiza a partir de tubos perfectamente alineados.</w:t>
      </w:r>
    </w:p>
    <w:p w14:paraId="206E4A4D" w14:textId="77777777" w:rsidR="001A4860" w:rsidRPr="001A4860" w:rsidRDefault="001A4860" w:rsidP="001A4860">
      <w:pPr>
        <w:spacing w:line="20" w:lineRule="atLeast"/>
        <w:rPr>
          <w:rFonts w:ascii="Calibri" w:eastAsia="Calibri" w:hAnsi="Calibri" w:cs="Arial"/>
          <w:szCs w:val="24"/>
          <w:lang w:val="es-NI"/>
        </w:rPr>
      </w:pPr>
    </w:p>
    <w:p w14:paraId="42252212"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La desviación sólo debe realizarse, después que el montaje de la junta se encuentre totalmente terminado.</w:t>
      </w:r>
    </w:p>
    <w:p w14:paraId="2598EBED" w14:textId="77777777" w:rsidR="001A4860" w:rsidRPr="001A4860" w:rsidRDefault="001A4860" w:rsidP="001A4860">
      <w:pPr>
        <w:spacing w:line="20" w:lineRule="atLeast"/>
        <w:rPr>
          <w:rFonts w:ascii="Calibri" w:eastAsia="Calibri" w:hAnsi="Calibri" w:cs="Arial"/>
          <w:szCs w:val="24"/>
          <w:lang w:val="es-NI"/>
        </w:rPr>
      </w:pPr>
    </w:p>
    <w:p w14:paraId="769F9F56" w14:textId="77777777" w:rsidR="001A4860" w:rsidRPr="001A4860" w:rsidRDefault="001A4860" w:rsidP="003B68DB">
      <w:pPr>
        <w:numPr>
          <w:ilvl w:val="0"/>
          <w:numId w:val="180"/>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En las zanjas con fuertes declives, será necesario anclar o asegurar los tubos que se van instalando, previendo que por su propio peso puedan deslizarse u originar defectos en sus uniones.</w:t>
      </w:r>
    </w:p>
    <w:p w14:paraId="64B0A7F1" w14:textId="77777777" w:rsidR="001A4860" w:rsidRPr="001A4860" w:rsidRDefault="001A4860" w:rsidP="001A4860">
      <w:pPr>
        <w:spacing w:line="20" w:lineRule="atLeast"/>
        <w:rPr>
          <w:rFonts w:ascii="Calibri" w:eastAsia="Calibri" w:hAnsi="Calibri" w:cs="Arial"/>
          <w:szCs w:val="24"/>
          <w:lang w:val="es-NI"/>
        </w:rPr>
      </w:pPr>
    </w:p>
    <w:p w14:paraId="6827B292"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74" w:name="_Toc468439646"/>
      <w:bookmarkStart w:id="1075" w:name="_Toc468440833"/>
      <w:bookmarkStart w:id="1076" w:name="_Toc240187196"/>
      <w:bookmarkStart w:id="1077" w:name="_Toc240777432"/>
      <w:r w:rsidRPr="001A4860">
        <w:rPr>
          <w:rFonts w:ascii="Calibri Light" w:hAnsi="Calibri Light"/>
          <w:b/>
          <w:bCs/>
          <w:sz w:val="22"/>
          <w:szCs w:val="24"/>
          <w:lang w:val="es-NI"/>
        </w:rPr>
        <w:t>Instalación de válvulas y accesorios</w:t>
      </w:r>
      <w:bookmarkEnd w:id="1074"/>
      <w:bookmarkEnd w:id="1075"/>
      <w:bookmarkEnd w:id="1076"/>
      <w:bookmarkEnd w:id="1077"/>
    </w:p>
    <w:p w14:paraId="55FA8C11" w14:textId="77777777" w:rsidR="001A4860" w:rsidRPr="001A4860" w:rsidRDefault="001A4860" w:rsidP="001A4860">
      <w:pPr>
        <w:spacing w:line="20" w:lineRule="atLeast"/>
        <w:rPr>
          <w:rFonts w:ascii="Calibri" w:eastAsia="Calibri" w:hAnsi="Calibri" w:cs="Arial"/>
          <w:szCs w:val="24"/>
          <w:lang w:val="es-NI"/>
        </w:rPr>
      </w:pPr>
    </w:p>
    <w:p w14:paraId="07DC39C7"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Para instalaciones de válvulas, en lo que corresponde a excavación, cortes en la tubería y baldeo de aguas deben seguirse los pasos explicados para estos conceptos en los artículos precedentes.</w:t>
      </w:r>
    </w:p>
    <w:p w14:paraId="26A1335A" w14:textId="77777777" w:rsidR="001A4860" w:rsidRPr="001A4860" w:rsidRDefault="001A4860" w:rsidP="001A4860">
      <w:pPr>
        <w:spacing w:line="20" w:lineRule="atLeast"/>
        <w:rPr>
          <w:rFonts w:ascii="Calibri" w:eastAsia="Calibri" w:hAnsi="Calibri" w:cs="Arial"/>
          <w:szCs w:val="24"/>
          <w:lang w:val="es-NI"/>
        </w:rPr>
      </w:pPr>
    </w:p>
    <w:p w14:paraId="113BD60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Antes de proceder con la instalación de las válvulas y cualquier otro accesorio, El Contratista los examinará cuidadosamente. El accesorio encontrado defectuoso será separado para su correcta reparación o para su abandono.</w:t>
      </w:r>
    </w:p>
    <w:p w14:paraId="3F8F2F60" w14:textId="77777777" w:rsidR="001A4860" w:rsidRPr="001A4860" w:rsidRDefault="001A4860" w:rsidP="001A4860">
      <w:pPr>
        <w:spacing w:line="20" w:lineRule="atLeast"/>
        <w:rPr>
          <w:rFonts w:ascii="Calibri" w:eastAsia="Calibri" w:hAnsi="Calibri" w:cs="Arial"/>
          <w:szCs w:val="24"/>
          <w:lang w:val="es-NI"/>
        </w:rPr>
      </w:pPr>
    </w:p>
    <w:p w14:paraId="7319455F"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Las válvulas serán inspeccionadas para comprobar la dirección de apertura, libertad de operación, la fijeza de los pernos, la limpieza de las puertas de la válvula y especialmente el asiento, daños por el manejo y grietas.</w:t>
      </w:r>
    </w:p>
    <w:p w14:paraId="2B874300" w14:textId="77777777" w:rsidR="001A4860" w:rsidRPr="001A4860" w:rsidRDefault="001A4860" w:rsidP="001A4860">
      <w:pPr>
        <w:spacing w:line="20" w:lineRule="atLeast"/>
        <w:rPr>
          <w:rFonts w:ascii="Calibri" w:eastAsia="Calibri" w:hAnsi="Calibri" w:cs="Arial"/>
          <w:szCs w:val="24"/>
          <w:lang w:val="es-NI"/>
        </w:rPr>
      </w:pPr>
    </w:p>
    <w:p w14:paraId="7F2229A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Las válvulas deberán ser instaladas en los lugares fijados por los planos o en los sitios indicados por El Ingeniero. Toda válvula deberá ser instalada de modo que su eje quede completamente vertical. Su instalación completa deberá comprender caja protectora, bloque de reacción y anclaje.</w:t>
      </w:r>
    </w:p>
    <w:p w14:paraId="5CA48631" w14:textId="77777777" w:rsidR="001A4860" w:rsidRPr="001A4860" w:rsidRDefault="001A4860" w:rsidP="001A4860">
      <w:pPr>
        <w:spacing w:line="20" w:lineRule="atLeast"/>
        <w:rPr>
          <w:rFonts w:ascii="Calibri" w:eastAsia="Calibri" w:hAnsi="Calibri" w:cs="Arial"/>
          <w:szCs w:val="24"/>
          <w:lang w:val="es-NI"/>
        </w:rPr>
      </w:pPr>
    </w:p>
    <w:p w14:paraId="2EBCEB5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Cuando se trate de accesorios y válvulas con extremos de brida, deberán usarse longitudes cortas de tubería en cada uno de los extremos. El objeto de esto es dar flexibilidad a la instalación. Cuando se tengan uniones flexibles no es necesario el uso de estas piezas cortas.</w:t>
      </w:r>
    </w:p>
    <w:p w14:paraId="209CD414" w14:textId="77777777" w:rsidR="001A4860" w:rsidRPr="001A4860" w:rsidRDefault="001A4860" w:rsidP="001A4860">
      <w:pPr>
        <w:spacing w:line="20" w:lineRule="atLeast"/>
        <w:rPr>
          <w:rFonts w:ascii="Calibri" w:eastAsia="Calibri" w:hAnsi="Calibri" w:cs="Arial"/>
          <w:szCs w:val="24"/>
          <w:lang w:val="es-NI"/>
        </w:rPr>
      </w:pPr>
    </w:p>
    <w:p w14:paraId="3B80BF95"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Se instalará una caja de válvulas por cada válvula a ser instalada, sea ésta de compuerta o de mariposa, válvula de aire-vació </w:t>
      </w:r>
      <w:r w:rsidRPr="001A4860">
        <w:rPr>
          <w:rFonts w:ascii="Calibri" w:eastAsia="Calibri" w:hAnsi="Calibri" w:cs="Arial"/>
          <w:bCs/>
          <w:szCs w:val="24"/>
          <w:lang w:val="es-NI"/>
        </w:rPr>
        <w:t>y</w:t>
      </w:r>
      <w:r w:rsidRPr="001A4860">
        <w:rPr>
          <w:rFonts w:ascii="Calibri" w:eastAsia="Calibri" w:hAnsi="Calibri" w:cs="Arial"/>
          <w:szCs w:val="24"/>
          <w:lang w:val="es-NI"/>
        </w:rPr>
        <w:t xml:space="preserve"> válvula automática reguladora de presión. Todas las cajas de válvulas deberán ser colocadas de manera que no transmitan impactos o esfuerzos a la válvula, y deberán ser centradas y colocadas a plomo sobre la tuerca de operación de las válvulas.</w:t>
      </w:r>
    </w:p>
    <w:p w14:paraId="5542996F" w14:textId="77777777" w:rsidR="001A4860" w:rsidRPr="001A4860" w:rsidRDefault="001A4860" w:rsidP="001A4860">
      <w:pPr>
        <w:spacing w:line="20" w:lineRule="atLeast"/>
        <w:rPr>
          <w:rFonts w:ascii="Calibri" w:eastAsia="Calibri" w:hAnsi="Calibri" w:cs="Arial"/>
          <w:szCs w:val="24"/>
          <w:lang w:val="es-NI"/>
        </w:rPr>
      </w:pPr>
    </w:p>
    <w:p w14:paraId="77051D26"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El terreno de la zanja sobre el cual habrán de descansar las cajas de válvulas, deberá estar perfectamente compactado para evitar asentamientos. Las cajas deberán armarse en forma segura, y deberán ser colocadas en forma tal, que la tapa quede a ras con la superficie del terreno natural o de la carpeta de rodamiento. </w:t>
      </w:r>
    </w:p>
    <w:p w14:paraId="1A3C353D" w14:textId="77777777" w:rsidR="001A4860" w:rsidRPr="001A4860" w:rsidRDefault="001A4860" w:rsidP="001A4860">
      <w:pPr>
        <w:spacing w:line="20" w:lineRule="atLeast"/>
        <w:rPr>
          <w:rFonts w:ascii="Calibri" w:eastAsia="Calibri" w:hAnsi="Calibri" w:cs="Arial"/>
          <w:szCs w:val="24"/>
          <w:lang w:val="es-NI"/>
        </w:rPr>
      </w:pPr>
    </w:p>
    <w:p w14:paraId="12D33782"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78" w:name="_Toc468439647"/>
      <w:bookmarkStart w:id="1079" w:name="_Toc468440834"/>
      <w:bookmarkStart w:id="1080" w:name="_Toc240187197"/>
      <w:bookmarkStart w:id="1081" w:name="_Toc240777433"/>
      <w:r w:rsidRPr="001A4860">
        <w:rPr>
          <w:rFonts w:ascii="Calibri Light" w:hAnsi="Calibri Light"/>
          <w:b/>
          <w:bCs/>
          <w:sz w:val="22"/>
          <w:szCs w:val="24"/>
          <w:lang w:val="es-NI"/>
        </w:rPr>
        <w:t>Anclajes y bloques de reacción</w:t>
      </w:r>
      <w:bookmarkEnd w:id="1078"/>
      <w:bookmarkEnd w:id="1079"/>
      <w:bookmarkEnd w:id="1080"/>
      <w:bookmarkEnd w:id="1081"/>
    </w:p>
    <w:p w14:paraId="4C05419B" w14:textId="77777777" w:rsidR="001A4860" w:rsidRPr="001A4860" w:rsidRDefault="001A4860" w:rsidP="001A4860">
      <w:pPr>
        <w:spacing w:line="20" w:lineRule="atLeast"/>
        <w:rPr>
          <w:rFonts w:ascii="Calibri" w:eastAsia="Calibri" w:hAnsi="Calibri" w:cs="Arial"/>
          <w:szCs w:val="24"/>
          <w:lang w:val="es-NI"/>
        </w:rPr>
      </w:pPr>
    </w:p>
    <w:p w14:paraId="00B2A6D0"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Accesorios en general como Tees, Reductores, Codos, Tapones, Válvulas, etc., serán afianzados por medio de anclajes y bloques de reacción, a fin de impedir su desplazamiento bajo la presión del agua.  Estos bloques son de concreto y deben extenderse hasta el suelo virgen de la pared de la zanja y opuesto a la dirección de empuje.  La forma de los bloques dependerá del tipo de accesorios que se trata de afianzar.  En los planos de detalles se muestran la forma y dimensiones de los bloques para cada accesorio en particular. Estas dimensiones suponen un asiento sobre terreno firme. En terreno poco consistente estas dimensiones deberán aumentarse. Es conveniente y necesario que el bloque no cubra las campanas o las uniones de los accesorios.</w:t>
      </w:r>
    </w:p>
    <w:p w14:paraId="60B62252" w14:textId="77777777" w:rsidR="001A4860" w:rsidRPr="001A4860" w:rsidRDefault="001A4860" w:rsidP="001A4860">
      <w:pPr>
        <w:spacing w:line="20" w:lineRule="atLeast"/>
        <w:rPr>
          <w:rFonts w:ascii="Calibri" w:eastAsia="Calibri" w:hAnsi="Calibri" w:cs="Arial"/>
          <w:szCs w:val="24"/>
          <w:lang w:val="es-NI"/>
        </w:rPr>
      </w:pPr>
    </w:p>
    <w:p w14:paraId="464F9CC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Cuando una unión sé deflecta para formar una curva vertical, se presenta un empuje hacia arriba o hacia abajo, según la deflexión sea en uno u otro sentido. Si el empuje es hacia arriba, el peso del relleno deberá ser capaz de resistirlo; en caso contrario, será necesario usar como parte del relleno un material más pesado (balastro o concreto.)</w:t>
      </w:r>
    </w:p>
    <w:p w14:paraId="773F30D2" w14:textId="77777777" w:rsidR="001A4860" w:rsidRPr="001A4860" w:rsidRDefault="001A4860" w:rsidP="001A4860">
      <w:pPr>
        <w:spacing w:line="20" w:lineRule="atLeast"/>
        <w:rPr>
          <w:rFonts w:ascii="Calibri" w:eastAsia="Calibri" w:hAnsi="Calibri" w:cs="Arial"/>
          <w:szCs w:val="24"/>
          <w:lang w:val="es-NI"/>
        </w:rPr>
      </w:pPr>
    </w:p>
    <w:p w14:paraId="4E40EC0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Si la deflexión se ha hecho en una curva horizontal, el empuje se presentará hacia afuera, y generalmente puede ser resistido apisonando muy bien el material de relleno, entre el tubo y la </w:t>
      </w:r>
      <w:r w:rsidRPr="001A4860">
        <w:rPr>
          <w:rFonts w:ascii="Calibri" w:eastAsia="Calibri" w:hAnsi="Calibri" w:cs="Arial"/>
          <w:szCs w:val="24"/>
          <w:lang w:val="es-NI"/>
        </w:rPr>
        <w:lastRenderedPageBreak/>
        <w:t>pared de la zanja. Sin embargo, cuando la calidad del terreno es mala y las presiones altas, puede ser necesario construir bloques de anclajes. Estos han de construirse entre el tubo y la pared de la zanja, nunca en la unión.</w:t>
      </w:r>
    </w:p>
    <w:p w14:paraId="2BAB1585" w14:textId="77777777" w:rsidR="001A4860" w:rsidRPr="001A4860" w:rsidRDefault="001A4860" w:rsidP="001A4860">
      <w:pPr>
        <w:spacing w:line="20" w:lineRule="atLeast"/>
        <w:rPr>
          <w:rFonts w:ascii="Calibri" w:eastAsia="Calibri" w:hAnsi="Calibri" w:cs="Arial"/>
          <w:szCs w:val="24"/>
          <w:lang w:val="es-NI"/>
        </w:rPr>
      </w:pPr>
    </w:p>
    <w:p w14:paraId="5D654E6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En las pendientes fuertes hay tendencia del relleno al deslizamiento, y puede arrastrar consigo la tubería. En la mayoría de los casos, basta apisonar muy bien en capas de </w:t>
      </w:r>
      <w:smartTag w:uri="urn:schemas-microsoft-com:office:smarttags" w:element="metricconverter">
        <w:smartTagPr>
          <w:attr w:name="ProductID" w:val="10 cm"/>
        </w:smartTagPr>
        <w:r w:rsidRPr="001A4860">
          <w:rPr>
            <w:rFonts w:ascii="Calibri" w:eastAsia="Calibri" w:hAnsi="Calibri" w:cs="Arial"/>
            <w:szCs w:val="24"/>
            <w:lang w:val="es-NI"/>
          </w:rPr>
          <w:t>10 cm</w:t>
        </w:r>
      </w:smartTag>
      <w:r w:rsidRPr="001A4860">
        <w:rPr>
          <w:rFonts w:ascii="Calibri" w:eastAsia="Calibri" w:hAnsi="Calibri" w:cs="Arial"/>
          <w:szCs w:val="24"/>
          <w:lang w:val="es-NI"/>
        </w:rPr>
        <w:t xml:space="preserve">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127DC360" w14:textId="77777777" w:rsidR="001A4860" w:rsidRPr="001A4860" w:rsidRDefault="001A4860" w:rsidP="001A4860">
      <w:pPr>
        <w:spacing w:line="20" w:lineRule="atLeast"/>
        <w:rPr>
          <w:rFonts w:ascii="Calibri" w:eastAsia="Calibri" w:hAnsi="Calibri" w:cs="Arial"/>
          <w:szCs w:val="24"/>
          <w:lang w:val="es-NI"/>
        </w:rPr>
      </w:pPr>
    </w:p>
    <w:p w14:paraId="7DBCFA4F"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82" w:name="_Toc468439648"/>
      <w:bookmarkStart w:id="1083" w:name="_Toc468440835"/>
      <w:bookmarkStart w:id="1084" w:name="_Toc240187198"/>
      <w:bookmarkStart w:id="1085" w:name="_Toc240777434"/>
      <w:r w:rsidRPr="001A4860">
        <w:rPr>
          <w:rFonts w:ascii="Calibri Light" w:hAnsi="Calibri Light"/>
          <w:b/>
          <w:bCs/>
          <w:sz w:val="22"/>
          <w:szCs w:val="24"/>
          <w:lang w:val="es-NI"/>
        </w:rPr>
        <w:t>Prueba de presión hidrostática y de estanqueidad</w:t>
      </w:r>
      <w:bookmarkEnd w:id="1082"/>
      <w:bookmarkEnd w:id="1083"/>
      <w:bookmarkEnd w:id="1084"/>
      <w:bookmarkEnd w:id="1085"/>
    </w:p>
    <w:p w14:paraId="55DBB0FE"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6821E9B2"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Después de instalar el tubo y antes de rellenar la zanja el Contratista someterá a prueba secciones de tubería que no excedan </w:t>
      </w:r>
      <w:smartTag w:uri="urn:schemas-microsoft-com:office:smarttags" w:element="metricconverter">
        <w:smartTagPr>
          <w:attr w:name="ProductID" w:val="300 metros"/>
        </w:smartTagPr>
        <w:r w:rsidRPr="001A4860">
          <w:rPr>
            <w:rFonts w:ascii="Calibri" w:eastAsia="Calibri" w:hAnsi="Calibri" w:cs="Arial"/>
            <w:spacing w:val="-3"/>
            <w:szCs w:val="24"/>
            <w:lang w:val="es-NI"/>
          </w:rPr>
          <w:t>300 metros</w:t>
        </w:r>
      </w:smartTag>
      <w:r w:rsidRPr="001A4860">
        <w:rPr>
          <w:rFonts w:ascii="Calibri" w:eastAsia="Calibri" w:hAnsi="Calibri" w:cs="Arial"/>
          <w:spacing w:val="-3"/>
          <w:szCs w:val="24"/>
          <w:lang w:val="es-NI"/>
        </w:rPr>
        <w:t>, salvo que el Ingeniero Supervisor permita probar secciones más largas. Se requiere que todo el aire sea expulsado del tubo antes de elevar la presión de prueba a lo aquí estipulado, y con este fin el Contratista suministrará e instalará llaves municipales donde el Ingeniero Supervisor considere necesario.  Para la realización de esta prueba deben de estar todas las conexiones y accesorios del tramo</w:t>
      </w:r>
      <w:r w:rsidRPr="001A4860">
        <w:rPr>
          <w:rFonts w:ascii="Arial" w:eastAsia="Calibri" w:hAnsi="Arial" w:cs="Arial"/>
          <w:spacing w:val="-2"/>
          <w:sz w:val="22"/>
          <w:szCs w:val="24"/>
          <w:highlight w:val="yellow"/>
          <w:lang w:val="es-NI"/>
        </w:rPr>
        <w:t xml:space="preserve"> </w:t>
      </w:r>
      <w:r w:rsidRPr="001A4860">
        <w:rPr>
          <w:rFonts w:ascii="Calibri" w:eastAsia="Calibri" w:hAnsi="Calibri" w:cs="Arial"/>
          <w:spacing w:val="-3"/>
          <w:szCs w:val="24"/>
          <w:lang w:val="es-NI"/>
        </w:rPr>
        <w:t>instalados.</w:t>
      </w:r>
    </w:p>
    <w:p w14:paraId="780F414E"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7C493FE6"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 línea deberá llenarse con agua durante un período no menor de 24 horas; y la presión de prueba se mantendrá durante no menos de una hora.  Las presiones de prueba serán las siguientes: 60 PSI  para tuberías PVC.</w:t>
      </w:r>
    </w:p>
    <w:p w14:paraId="2125506B"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2F8AE812"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Toda junta será revisada durante la prueba y donde se vea infiltración o derrame el Contratista reparará las juntas hasta que todas estas queden impermeables.  La pérdida de agua de los tubos durante la prueba a la presión indicada no deberá exceder de los valores siguientes, en galones por hora y por Kilómetro de tubería: </w:t>
      </w:r>
    </w:p>
    <w:p w14:paraId="7EF5D426" w14:textId="77777777" w:rsidR="001A4860" w:rsidRPr="001A4860" w:rsidRDefault="001A4860" w:rsidP="001A4860">
      <w:pPr>
        <w:spacing w:line="20" w:lineRule="atLeast"/>
        <w:jc w:val="left"/>
        <w:rPr>
          <w:rFonts w:ascii="Calibri" w:eastAsia="Calibri" w:hAnsi="Calibri" w:cs="Arial"/>
          <w:szCs w:val="24"/>
          <w:lang w:val="es-NI"/>
        </w:rPr>
      </w:pPr>
    </w:p>
    <w:tbl>
      <w:tblPr>
        <w:tblW w:w="0" w:type="auto"/>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3400"/>
      </w:tblGrid>
      <w:tr w:rsidR="001A4860" w:rsidRPr="001A4860" w14:paraId="13F0565E" w14:textId="77777777" w:rsidTr="001A4860">
        <w:tc>
          <w:tcPr>
            <w:tcW w:w="2860" w:type="dxa"/>
            <w:vAlign w:val="center"/>
          </w:tcPr>
          <w:p w14:paraId="37D8BF4D" w14:textId="77777777" w:rsidR="001A4860" w:rsidRPr="001A4860" w:rsidRDefault="001A4860" w:rsidP="001A4860">
            <w:pPr>
              <w:spacing w:line="20" w:lineRule="atLeast"/>
              <w:jc w:val="center"/>
              <w:rPr>
                <w:rFonts w:ascii="Calibri" w:eastAsia="Calibri" w:hAnsi="Calibri" w:cs="Arial"/>
                <w:b/>
                <w:bCs/>
                <w:szCs w:val="24"/>
                <w:lang w:val="es-NI"/>
              </w:rPr>
            </w:pPr>
            <w:r w:rsidRPr="001A4860">
              <w:rPr>
                <w:rFonts w:ascii="Calibri" w:eastAsia="Calibri" w:hAnsi="Calibri" w:cs="Arial"/>
                <w:spacing w:val="-3"/>
                <w:szCs w:val="24"/>
                <w:lang w:val="es-NI"/>
              </w:rPr>
              <w:br w:type="page"/>
            </w:r>
            <w:r w:rsidRPr="001A4860">
              <w:rPr>
                <w:rFonts w:ascii="Calibri" w:eastAsia="Calibri" w:hAnsi="Calibri" w:cs="Arial"/>
                <w:b/>
                <w:bCs/>
                <w:szCs w:val="24"/>
                <w:lang w:val="es-NI"/>
              </w:rPr>
              <w:t>Diámetro de la Tubería</w:t>
            </w:r>
          </w:p>
          <w:p w14:paraId="112FAC71" w14:textId="77777777" w:rsidR="001A4860" w:rsidRPr="001A4860" w:rsidRDefault="001A4860" w:rsidP="001A4860">
            <w:pPr>
              <w:spacing w:line="20" w:lineRule="atLeast"/>
              <w:jc w:val="center"/>
              <w:rPr>
                <w:rFonts w:ascii="Calibri" w:eastAsia="Calibri" w:hAnsi="Calibri" w:cs="Arial"/>
                <w:b/>
                <w:bCs/>
                <w:szCs w:val="24"/>
                <w:lang w:val="es-NI"/>
              </w:rPr>
            </w:pPr>
            <w:r w:rsidRPr="001A4860">
              <w:rPr>
                <w:rFonts w:ascii="Calibri" w:eastAsia="Calibri" w:hAnsi="Calibri" w:cs="Arial"/>
                <w:b/>
                <w:bCs/>
                <w:szCs w:val="24"/>
                <w:lang w:val="es-NI"/>
              </w:rPr>
              <w:t>(mm)</w:t>
            </w:r>
          </w:p>
        </w:tc>
        <w:tc>
          <w:tcPr>
            <w:tcW w:w="3400" w:type="dxa"/>
            <w:vAlign w:val="center"/>
          </w:tcPr>
          <w:p w14:paraId="6CF718C1" w14:textId="77777777" w:rsidR="001A4860" w:rsidRPr="001A4860" w:rsidRDefault="001A4860" w:rsidP="001A4860">
            <w:pPr>
              <w:spacing w:line="20" w:lineRule="atLeast"/>
              <w:jc w:val="center"/>
              <w:rPr>
                <w:rFonts w:ascii="Calibri" w:eastAsia="Calibri" w:hAnsi="Calibri" w:cs="Arial"/>
                <w:b/>
                <w:bCs/>
                <w:szCs w:val="24"/>
                <w:lang w:val="es-NI"/>
              </w:rPr>
            </w:pPr>
            <w:r w:rsidRPr="001A4860">
              <w:rPr>
                <w:rFonts w:ascii="Calibri" w:eastAsia="Calibri" w:hAnsi="Calibri" w:cs="Arial"/>
                <w:b/>
                <w:bCs/>
                <w:szCs w:val="24"/>
                <w:lang w:val="es-NI"/>
              </w:rPr>
              <w:t>Máxima Fuga Permitida</w:t>
            </w:r>
          </w:p>
          <w:p w14:paraId="5E7D9CAC" w14:textId="77777777" w:rsidR="001A4860" w:rsidRPr="001A4860" w:rsidRDefault="001A4860" w:rsidP="001A4860">
            <w:pPr>
              <w:spacing w:line="20" w:lineRule="atLeast"/>
              <w:jc w:val="center"/>
              <w:rPr>
                <w:rFonts w:ascii="Calibri" w:eastAsia="Calibri" w:hAnsi="Calibri" w:cs="Arial"/>
                <w:b/>
                <w:bCs/>
                <w:szCs w:val="24"/>
                <w:lang w:val="es-NI"/>
              </w:rPr>
            </w:pPr>
            <w:r w:rsidRPr="001A4860">
              <w:rPr>
                <w:rFonts w:ascii="Calibri" w:eastAsia="Calibri" w:hAnsi="Calibri" w:cs="Arial"/>
                <w:b/>
                <w:bCs/>
                <w:szCs w:val="24"/>
                <w:lang w:val="es-NI"/>
              </w:rPr>
              <w:t>(Galones/hora/100 juntas)</w:t>
            </w:r>
          </w:p>
        </w:tc>
      </w:tr>
      <w:tr w:rsidR="001A4860" w:rsidRPr="001A4860" w14:paraId="7BDA8C63" w14:textId="77777777" w:rsidTr="001A4860">
        <w:tc>
          <w:tcPr>
            <w:tcW w:w="2860" w:type="dxa"/>
          </w:tcPr>
          <w:p w14:paraId="062E0C80"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50 y menos</w:t>
            </w:r>
          </w:p>
        </w:tc>
        <w:tc>
          <w:tcPr>
            <w:tcW w:w="3400" w:type="dxa"/>
          </w:tcPr>
          <w:p w14:paraId="2FA22E64"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0.8</w:t>
            </w:r>
          </w:p>
        </w:tc>
      </w:tr>
      <w:tr w:rsidR="001A4860" w:rsidRPr="001A4860" w14:paraId="144C60EC" w14:textId="77777777" w:rsidTr="001A4860">
        <w:tc>
          <w:tcPr>
            <w:tcW w:w="2860" w:type="dxa"/>
          </w:tcPr>
          <w:p w14:paraId="0A48BEE9"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75</w:t>
            </w:r>
          </w:p>
        </w:tc>
        <w:tc>
          <w:tcPr>
            <w:tcW w:w="3400" w:type="dxa"/>
          </w:tcPr>
          <w:p w14:paraId="23D09762"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1.2</w:t>
            </w:r>
          </w:p>
        </w:tc>
      </w:tr>
      <w:tr w:rsidR="001A4860" w:rsidRPr="001A4860" w14:paraId="6443C046" w14:textId="77777777" w:rsidTr="001A4860">
        <w:tc>
          <w:tcPr>
            <w:tcW w:w="2860" w:type="dxa"/>
          </w:tcPr>
          <w:p w14:paraId="512EFACD"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102</w:t>
            </w:r>
          </w:p>
        </w:tc>
        <w:tc>
          <w:tcPr>
            <w:tcW w:w="3400" w:type="dxa"/>
          </w:tcPr>
          <w:p w14:paraId="125865BD"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1.6</w:t>
            </w:r>
          </w:p>
        </w:tc>
      </w:tr>
      <w:tr w:rsidR="001A4860" w:rsidRPr="001A4860" w14:paraId="5ACA6005" w14:textId="77777777" w:rsidTr="001A4860">
        <w:tc>
          <w:tcPr>
            <w:tcW w:w="2860" w:type="dxa"/>
          </w:tcPr>
          <w:p w14:paraId="16343B9D"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152</w:t>
            </w:r>
          </w:p>
        </w:tc>
        <w:tc>
          <w:tcPr>
            <w:tcW w:w="3400" w:type="dxa"/>
          </w:tcPr>
          <w:p w14:paraId="6CDFA503" w14:textId="77777777" w:rsidR="001A4860" w:rsidRPr="001A4860" w:rsidRDefault="001A4860" w:rsidP="001A4860">
            <w:pPr>
              <w:spacing w:line="20" w:lineRule="atLeast"/>
              <w:jc w:val="center"/>
              <w:rPr>
                <w:rFonts w:ascii="Calibri" w:eastAsia="Calibri" w:hAnsi="Calibri" w:cs="Arial"/>
                <w:szCs w:val="24"/>
                <w:lang w:val="es-NI"/>
              </w:rPr>
            </w:pPr>
            <w:r w:rsidRPr="001A4860">
              <w:rPr>
                <w:rFonts w:ascii="Calibri" w:eastAsia="Calibri" w:hAnsi="Calibri" w:cs="Arial"/>
                <w:szCs w:val="24"/>
                <w:lang w:val="es-NI"/>
              </w:rPr>
              <w:t>2.3</w:t>
            </w:r>
          </w:p>
        </w:tc>
      </w:tr>
    </w:tbl>
    <w:p w14:paraId="20D28A71"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4815D6BC"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Los tubos y accesorio serán revisados cuidadosamente durante el ensayo a presión y todos estos que se encuentren rajados o dañados serán removidos y reemplazados. </w:t>
      </w:r>
    </w:p>
    <w:p w14:paraId="08DBC14B"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7193094C"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86" w:name="_Toc240187199"/>
      <w:bookmarkStart w:id="1087" w:name="_Toc240777435"/>
      <w:r w:rsidRPr="001A4860">
        <w:rPr>
          <w:rFonts w:ascii="Calibri Light" w:hAnsi="Calibri Light"/>
          <w:b/>
          <w:bCs/>
          <w:sz w:val="22"/>
          <w:szCs w:val="24"/>
          <w:lang w:val="es-NI"/>
        </w:rPr>
        <w:t>Baldeo y Desinfección</w:t>
      </w:r>
      <w:bookmarkEnd w:id="1086"/>
      <w:bookmarkEnd w:id="1087"/>
    </w:p>
    <w:p w14:paraId="30D8AB83" w14:textId="77777777" w:rsidR="001A4860" w:rsidRPr="001A4860" w:rsidRDefault="001A4860" w:rsidP="001A4860">
      <w:pPr>
        <w:spacing w:after="160" w:line="256" w:lineRule="auto"/>
        <w:jc w:val="left"/>
        <w:rPr>
          <w:rFonts w:ascii="Calibri" w:eastAsia="Calibri" w:hAnsi="Calibri"/>
          <w:sz w:val="22"/>
          <w:szCs w:val="22"/>
          <w:lang w:val="es-NI"/>
        </w:rPr>
      </w:pPr>
    </w:p>
    <w:p w14:paraId="033880A8"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lastRenderedPageBreak/>
        <w:t>Después de la prueba de presión si esta es satisfactoria, la tubería será baldeada. La desinfección se efectuara llenando con agua e introduciendo una solución de cloro en suficiente cantidad para obtener un residuo de cloro de no menos de 10 partes por millón en el agua después de 24 horas. El Contratista no recibirá ninguna compensación adicional por su participación en el trabajo de prueba, baldeo y desinfección.</w:t>
      </w:r>
    </w:p>
    <w:p w14:paraId="29AC6C1F" w14:textId="77777777" w:rsidR="001A4860" w:rsidRPr="001A4860" w:rsidRDefault="001A4860" w:rsidP="001A4860">
      <w:pPr>
        <w:spacing w:line="20" w:lineRule="atLeast"/>
        <w:rPr>
          <w:rFonts w:ascii="Calibri" w:eastAsia="Calibri" w:hAnsi="Calibri" w:cs="Arial"/>
          <w:szCs w:val="24"/>
          <w:lang w:val="es-NI"/>
        </w:rPr>
      </w:pPr>
      <w:bookmarkStart w:id="1088" w:name="_Toc468439649"/>
      <w:bookmarkStart w:id="1089" w:name="_Toc468440836"/>
    </w:p>
    <w:p w14:paraId="56BCB8DB"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4"/>
          <w:lang w:val="es-NI"/>
        </w:rPr>
      </w:pPr>
      <w:bookmarkStart w:id="1090" w:name="_Toc240187200"/>
      <w:bookmarkStart w:id="1091" w:name="_Toc240777436"/>
      <w:r w:rsidRPr="001A4860">
        <w:rPr>
          <w:rFonts w:ascii="Calibri Light" w:hAnsi="Calibri Light"/>
          <w:b/>
          <w:bCs/>
          <w:sz w:val="22"/>
          <w:szCs w:val="24"/>
          <w:lang w:val="es-NI"/>
        </w:rPr>
        <w:t>Protección de obras no terminadas.</w:t>
      </w:r>
      <w:bookmarkEnd w:id="1088"/>
      <w:bookmarkEnd w:id="1089"/>
      <w:bookmarkEnd w:id="1090"/>
      <w:bookmarkEnd w:id="1091"/>
    </w:p>
    <w:p w14:paraId="210C8101" w14:textId="77777777" w:rsidR="001A4860" w:rsidRPr="001A4860" w:rsidRDefault="001A4860" w:rsidP="001A4860">
      <w:pPr>
        <w:spacing w:line="20" w:lineRule="atLeast"/>
        <w:rPr>
          <w:rFonts w:ascii="Calibri" w:eastAsia="Calibri" w:hAnsi="Calibri" w:cs="Arial"/>
          <w:szCs w:val="24"/>
          <w:lang w:val="es-NI"/>
        </w:rPr>
      </w:pPr>
    </w:p>
    <w:p w14:paraId="77BDB5D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Antes de dejar el trabajo al final del día, o por paros debido a lluvias u otras circunstancias, se tendrá cuidado de proteger y cerrar con barricadas y/o señales de peligro, las aberturas y terminales de los tubos que no hayan sido tapados, y cualquier material extraño que se encuentre deberá ser removido por cuenta de El Contratista.</w:t>
      </w:r>
      <w:bookmarkStart w:id="1092" w:name="_Toc468439650"/>
      <w:bookmarkStart w:id="1093" w:name="_Toc468440837"/>
    </w:p>
    <w:p w14:paraId="43F6C975" w14:textId="77777777" w:rsidR="001A4860" w:rsidRPr="001A4860" w:rsidRDefault="001A4860" w:rsidP="001A4860">
      <w:pPr>
        <w:spacing w:line="20" w:lineRule="atLeast"/>
        <w:rPr>
          <w:rFonts w:ascii="Calibri" w:eastAsia="Calibri" w:hAnsi="Calibri" w:cs="Arial"/>
          <w:szCs w:val="24"/>
          <w:lang w:val="es-NI"/>
        </w:rPr>
      </w:pPr>
    </w:p>
    <w:p w14:paraId="6D9B762D" w14:textId="77777777" w:rsidR="001A4860" w:rsidRPr="001A4860" w:rsidRDefault="001A4860" w:rsidP="003B68DB">
      <w:pPr>
        <w:keepNext/>
        <w:numPr>
          <w:ilvl w:val="2"/>
          <w:numId w:val="174"/>
        </w:numPr>
        <w:tabs>
          <w:tab w:val="num" w:pos="720"/>
        </w:tabs>
        <w:spacing w:after="160" w:line="288" w:lineRule="auto"/>
        <w:jc w:val="left"/>
        <w:outlineLvl w:val="2"/>
        <w:rPr>
          <w:rFonts w:ascii="Calibri" w:hAnsi="Calibri"/>
          <w:b/>
          <w:bCs/>
          <w:szCs w:val="24"/>
          <w:lang w:val="es-NI"/>
        </w:rPr>
      </w:pPr>
      <w:bookmarkStart w:id="1094" w:name="_Toc61317089"/>
      <w:r w:rsidRPr="001A4860">
        <w:rPr>
          <w:rFonts w:ascii="Calibri" w:hAnsi="Calibri"/>
          <w:b/>
          <w:bCs/>
          <w:szCs w:val="24"/>
          <w:lang w:val="es-NI"/>
        </w:rPr>
        <w:t xml:space="preserve"> </w:t>
      </w:r>
      <w:bookmarkStart w:id="1095" w:name="_Toc240187201"/>
      <w:bookmarkStart w:id="1096" w:name="_Toc240777437"/>
      <w:r w:rsidRPr="001A4860">
        <w:rPr>
          <w:rFonts w:ascii="Calibri" w:hAnsi="Calibri"/>
          <w:b/>
          <w:bCs/>
          <w:szCs w:val="24"/>
          <w:lang w:val="es-NI"/>
        </w:rPr>
        <w:t>Relleno y Compactación.</w:t>
      </w:r>
      <w:bookmarkEnd w:id="1092"/>
      <w:bookmarkEnd w:id="1093"/>
      <w:bookmarkEnd w:id="1094"/>
      <w:bookmarkEnd w:id="1095"/>
      <w:bookmarkEnd w:id="1096"/>
    </w:p>
    <w:p w14:paraId="0011930A" w14:textId="77777777" w:rsidR="001A4860" w:rsidRPr="001A4860" w:rsidRDefault="001A4860" w:rsidP="001A4860">
      <w:pPr>
        <w:tabs>
          <w:tab w:val="left" w:pos="993"/>
        </w:tabs>
        <w:spacing w:after="160" w:line="256" w:lineRule="auto"/>
        <w:rPr>
          <w:rFonts w:ascii="Calibri" w:eastAsia="Calibri" w:hAnsi="Calibri" w:cs="Arial"/>
          <w:szCs w:val="24"/>
          <w:lang w:val="es-NI"/>
        </w:rPr>
      </w:pPr>
      <w:bookmarkStart w:id="1097" w:name="_Toc468439651"/>
      <w:bookmarkStart w:id="1098" w:name="_Toc468440838"/>
    </w:p>
    <w:p w14:paraId="3D428F52" w14:textId="77777777" w:rsidR="001A4860" w:rsidRPr="001A4860" w:rsidRDefault="001A4860" w:rsidP="001A4860">
      <w:pPr>
        <w:tabs>
          <w:tab w:val="left" w:pos="993"/>
        </w:tabs>
        <w:spacing w:after="160" w:line="256" w:lineRule="auto"/>
        <w:rPr>
          <w:rFonts w:ascii="Calibri" w:eastAsia="Calibri" w:hAnsi="Calibri" w:cs="Arial"/>
          <w:szCs w:val="24"/>
          <w:lang w:val="es-NI"/>
        </w:rPr>
      </w:pPr>
      <w:r w:rsidRPr="001A4860">
        <w:rPr>
          <w:rFonts w:ascii="Calibri" w:eastAsia="Calibri" w:hAnsi="Calibri" w:cs="Arial"/>
          <w:szCs w:val="24"/>
          <w:lang w:val="es-NI"/>
        </w:rPr>
        <w:t xml:space="preserve">El Contratista realizará la actividad de relleno y compactación de zanjas para la instalación de las líneas de tuberías en su totalidad, cuyo costo debe de ser incluidos a la actividad de tubería de diámetro correspondiente. Para garantizar la calidad del relleno y compactación el Contratista deberá considerar los equipos y controles de calidad necesarios (Prueba de compactación, Ensayo de densidad), las cuales se realizarán a cada 300 metros de tubería instalada. En el caso de que la línea de tubería pase por áreas de tráfico vehicular se realizarán dichas pruebas a cada 100 metros a ser definidas por el Supervisor. Los costos de controles de calidad necesarios deberán ser incluidos en la actividad de tubería de diámetro correspondiente. </w:t>
      </w:r>
    </w:p>
    <w:p w14:paraId="3D810878"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p>
    <w:p w14:paraId="1A2EB63E"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Recursos y Procedimientos</w:t>
      </w:r>
      <w:bookmarkEnd w:id="1097"/>
      <w:bookmarkEnd w:id="1098"/>
      <w:r w:rsidRPr="001A4860">
        <w:rPr>
          <w:rFonts w:ascii="Calibri" w:eastAsia="Calibri" w:hAnsi="Calibri"/>
          <w:b/>
          <w:i/>
          <w:szCs w:val="24"/>
          <w:lang w:val="es-NI"/>
        </w:rPr>
        <w:t>:</w:t>
      </w:r>
    </w:p>
    <w:p w14:paraId="0D12296A"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Para toda zanja o pozos de exploración abiertos para la instalación de tuberías o para otras actividades complementarias del proyecto, se requerirá de El Contratista el suministro de los recursos necesarios para efectuar adecuadamente el relleno y compactación de los mismos.</w:t>
      </w:r>
    </w:p>
    <w:p w14:paraId="0CCB8687" w14:textId="77777777" w:rsidR="001A4860" w:rsidRPr="001A4860" w:rsidRDefault="001A4860" w:rsidP="001A4860">
      <w:pPr>
        <w:spacing w:line="20" w:lineRule="atLeast"/>
        <w:rPr>
          <w:rFonts w:ascii="Calibri" w:eastAsia="Calibri" w:hAnsi="Calibri" w:cs="Arial"/>
          <w:szCs w:val="24"/>
          <w:lang w:val="es-NI"/>
        </w:rPr>
      </w:pPr>
    </w:p>
    <w:p w14:paraId="76F4934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El relleno y la compactación deben ser realizados adecuadamente para cerrar las zanjas, pozos exploratorios etc.  En general, esta actividad utiliza como material, el mismo que fue extraído de la zanja y que libre de elementos inadecuados, recibe el nombre de "relleno común".</w:t>
      </w:r>
    </w:p>
    <w:p w14:paraId="1FC3DBE6" w14:textId="77777777" w:rsidR="001A4860" w:rsidRPr="001A4860" w:rsidRDefault="001A4860" w:rsidP="001A4860">
      <w:pPr>
        <w:spacing w:line="20" w:lineRule="atLeast"/>
        <w:rPr>
          <w:rFonts w:ascii="Calibri" w:eastAsia="Calibri" w:hAnsi="Calibri" w:cs="Arial"/>
          <w:szCs w:val="24"/>
          <w:lang w:val="es-NI"/>
        </w:rPr>
      </w:pPr>
    </w:p>
    <w:p w14:paraId="37D7C1D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En el caso de requerirse otro tipo de material de relleno, debido a situaciones específicas encontradas durante las excavaciones como sería la sustitución de material inadecuado (inestable, piedras, roca, deshechos, etc.) o reposición en sub-excavaciones ordenadas por El Ingeniero por haber lechos de piedra cantera o rocosos, deberá importarse material selecto de </w:t>
      </w:r>
      <w:r w:rsidRPr="001A4860">
        <w:rPr>
          <w:rFonts w:ascii="Calibri" w:eastAsia="Calibri" w:hAnsi="Calibri" w:cs="Arial"/>
          <w:szCs w:val="24"/>
          <w:lang w:val="es-NI"/>
        </w:rPr>
        <w:lastRenderedPageBreak/>
        <w:t>banco y/o otros tipos de rellenos especiales, lo cual son conceptos de obra contempladas en el capítulo - EXCAVACION, RELLENO Y COMPACTACION ESPECIAL Y/O ADICIONAL.</w:t>
      </w:r>
    </w:p>
    <w:p w14:paraId="6B338920" w14:textId="77777777" w:rsidR="001A4860" w:rsidRPr="001A4860" w:rsidRDefault="001A4860" w:rsidP="001A4860">
      <w:pPr>
        <w:spacing w:line="20" w:lineRule="atLeast"/>
        <w:rPr>
          <w:rFonts w:ascii="Calibri" w:eastAsia="Calibri" w:hAnsi="Calibri" w:cs="Arial"/>
          <w:szCs w:val="24"/>
          <w:lang w:val="es-NI"/>
        </w:rPr>
      </w:pPr>
    </w:p>
    <w:p w14:paraId="332089C9"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bookmarkStart w:id="1099" w:name="_Toc468439652"/>
      <w:bookmarkStart w:id="1100" w:name="_Toc468440839"/>
      <w:r w:rsidRPr="001A4860">
        <w:rPr>
          <w:rFonts w:ascii="Calibri" w:eastAsia="Calibri" w:hAnsi="Calibri"/>
          <w:b/>
          <w:i/>
          <w:szCs w:val="24"/>
          <w:lang w:val="es-NI"/>
        </w:rPr>
        <w:t>Requerimientos generales</w:t>
      </w:r>
      <w:bookmarkEnd w:id="1099"/>
      <w:bookmarkEnd w:id="1100"/>
      <w:r w:rsidRPr="001A4860">
        <w:rPr>
          <w:rFonts w:ascii="Calibri" w:eastAsia="Calibri" w:hAnsi="Calibri"/>
          <w:b/>
          <w:i/>
          <w:szCs w:val="24"/>
          <w:lang w:val="es-NI"/>
        </w:rPr>
        <w:t>:</w:t>
      </w:r>
    </w:p>
    <w:p w14:paraId="0252B2EC"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 menos que se indique lo contrario o que circunstancias especiales así lo exijan, no se rellenarán las zanjas hasta que la tubería haya sido probada, desinfectada y lavada satisfactoriamente.</w:t>
      </w:r>
    </w:p>
    <w:p w14:paraId="39A6C57A" w14:textId="77777777" w:rsidR="001A4860" w:rsidRPr="001A4860" w:rsidRDefault="001A4860" w:rsidP="001A4860">
      <w:pPr>
        <w:spacing w:line="20" w:lineRule="atLeast"/>
        <w:rPr>
          <w:rFonts w:ascii="Calibri" w:eastAsia="Calibri" w:hAnsi="Calibri" w:cs="Arial"/>
          <w:szCs w:val="24"/>
          <w:lang w:val="es-NI"/>
        </w:rPr>
      </w:pPr>
    </w:p>
    <w:p w14:paraId="4DF2A69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Durante el relleno de las zanjas es necesario ajustarse a los siguientes requerimientos:</w:t>
      </w:r>
    </w:p>
    <w:p w14:paraId="70ED2A4B" w14:textId="77777777" w:rsidR="001A4860" w:rsidRPr="001A4860" w:rsidRDefault="001A4860" w:rsidP="001A4860">
      <w:pPr>
        <w:spacing w:line="20" w:lineRule="atLeast"/>
        <w:rPr>
          <w:rFonts w:ascii="Calibri" w:eastAsia="Calibri" w:hAnsi="Calibri" w:cs="Arial"/>
          <w:szCs w:val="24"/>
          <w:lang w:val="es-NI"/>
        </w:rPr>
      </w:pPr>
    </w:p>
    <w:p w14:paraId="557C77B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Se iniciará el relleno con capas de </w:t>
      </w:r>
      <w:smartTag w:uri="urn:schemas-microsoft-com:office:smarttags" w:element="metricconverter">
        <w:smartTagPr>
          <w:attr w:name="ProductID" w:val="10 cent￭metros"/>
        </w:smartTagPr>
        <w:r w:rsidRPr="001A4860">
          <w:rPr>
            <w:rFonts w:ascii="Calibri" w:eastAsia="Calibri" w:hAnsi="Calibri" w:cs="Arial"/>
            <w:szCs w:val="24"/>
            <w:lang w:val="es-NI"/>
          </w:rPr>
          <w:t>10 centímetros</w:t>
        </w:r>
      </w:smartTag>
      <w:r w:rsidRPr="001A4860">
        <w:rPr>
          <w:rFonts w:ascii="Calibri" w:eastAsia="Calibri" w:hAnsi="Calibri" w:cs="Arial"/>
          <w:szCs w:val="24"/>
          <w:lang w:val="es-NI"/>
        </w:rPr>
        <w:t xml:space="preserve"> de espesor y material seleccionado aceptado por El Ingeniero, cuidadosamente apisonadas una sobre otra y muy particularmente, debajo del tubo y sus costados, hasta un nivel que corresponda a 1/4 del área del tubo. Al terminar el apisonado del fondo de la zanja, se usará un azadón de forma curva para proveer un apoyo uniforme y continuo para el cuadrante inferior de los tubos.</w:t>
      </w:r>
    </w:p>
    <w:p w14:paraId="230A1DC6" w14:textId="77777777" w:rsidR="001A4860" w:rsidRPr="001A4860" w:rsidRDefault="001A4860" w:rsidP="001A4860">
      <w:pPr>
        <w:spacing w:line="20" w:lineRule="atLeast"/>
        <w:rPr>
          <w:rFonts w:ascii="Calibri" w:eastAsia="Calibri" w:hAnsi="Calibri" w:cs="Arial"/>
          <w:szCs w:val="24"/>
          <w:lang w:val="es-NI"/>
        </w:rPr>
      </w:pPr>
    </w:p>
    <w:p w14:paraId="5624EA6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Se continuará compactando el relleno en capas no mayores de </w:t>
      </w:r>
      <w:smartTag w:uri="urn:schemas-microsoft-com:office:smarttags" w:element="metricconverter">
        <w:smartTagPr>
          <w:attr w:name="ProductID" w:val="10 cent￭metros"/>
        </w:smartTagPr>
        <w:r w:rsidRPr="001A4860">
          <w:rPr>
            <w:rFonts w:ascii="Calibri" w:eastAsia="Calibri" w:hAnsi="Calibri" w:cs="Arial"/>
            <w:szCs w:val="24"/>
            <w:lang w:val="es-NI"/>
          </w:rPr>
          <w:t>10 centímetros</w:t>
        </w:r>
      </w:smartTag>
      <w:r w:rsidRPr="001A4860">
        <w:rPr>
          <w:rFonts w:ascii="Calibri" w:eastAsia="Calibri" w:hAnsi="Calibri" w:cs="Arial"/>
          <w:szCs w:val="24"/>
          <w:lang w:val="es-NI"/>
        </w:rPr>
        <w:t xml:space="preserve">, hasta alcanzar un espesor de </w:t>
      </w:r>
      <w:smartTag w:uri="urn:schemas-microsoft-com:office:smarttags" w:element="metricconverter">
        <w:smartTagPr>
          <w:attr w:name="ProductID" w:val="30 cent￭metros"/>
        </w:smartTagPr>
        <w:r w:rsidRPr="001A4860">
          <w:rPr>
            <w:rFonts w:ascii="Calibri" w:eastAsia="Calibri" w:hAnsi="Calibri" w:cs="Arial"/>
            <w:szCs w:val="24"/>
            <w:lang w:val="es-NI"/>
          </w:rPr>
          <w:t>30 centímetros</w:t>
        </w:r>
      </w:smartTag>
      <w:r w:rsidRPr="001A4860">
        <w:rPr>
          <w:rFonts w:ascii="Calibri" w:eastAsia="Calibri" w:hAnsi="Calibri" w:cs="Arial"/>
          <w:szCs w:val="24"/>
          <w:lang w:val="es-NI"/>
        </w:rPr>
        <w:t xml:space="preserve"> arriba de la parte superior de la tubería.</w:t>
      </w:r>
    </w:p>
    <w:p w14:paraId="61424BF6" w14:textId="77777777" w:rsidR="001A4860" w:rsidRPr="001A4860" w:rsidRDefault="001A4860" w:rsidP="001A4860">
      <w:pPr>
        <w:spacing w:line="20" w:lineRule="atLeast"/>
        <w:rPr>
          <w:rFonts w:ascii="Calibri" w:eastAsia="Calibri" w:hAnsi="Calibri" w:cs="Arial"/>
          <w:szCs w:val="24"/>
          <w:lang w:val="es-NI"/>
        </w:rPr>
      </w:pPr>
    </w:p>
    <w:p w14:paraId="4768F99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En esta primera etapa (a y b) sólo se utilizarán materiales escogidos de la excavación (relleno común), tierra suelta libre de piedras, madera y cualquier tipo de materia orgánica susceptibles de descomposición, etc. También podrá utilizarse material selecto o una combinación de ambos, u otro material aprobado por El ingeniero. La compactación mínima aceptable para estas capas de relleno será del 95% PROCTOR Standard.</w:t>
      </w:r>
    </w:p>
    <w:p w14:paraId="213B7B1C" w14:textId="77777777" w:rsidR="001A4860" w:rsidRPr="001A4860" w:rsidRDefault="001A4860" w:rsidP="001A4860">
      <w:pPr>
        <w:spacing w:line="20" w:lineRule="atLeast"/>
        <w:rPr>
          <w:rFonts w:ascii="Calibri" w:eastAsia="Calibri" w:hAnsi="Calibri" w:cs="Arial"/>
          <w:szCs w:val="24"/>
          <w:lang w:val="es-NI"/>
        </w:rPr>
      </w:pPr>
    </w:p>
    <w:p w14:paraId="01EE9A92"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Cada capa de material de relleno con una humedad aceptable, que no sea ni muy baja (falta de agua) ni excesivamente saturada (exceso de agua) será compactada adecuadamente con apisonadoras de madera o metálicas hasta lograr una apariencia de compactación sólida y densidad uniforme. La última capa para alcanzar la rasante de la calle estará compuesta por material selecto aceptado por El Ingeniero y con un contenido de humedad óptimo y homogéneo, será compactado con un equipo motorizado y vibratorio de tal manera que sometida esta última capa a pruebas de compactación, se obtenga al menos un porcentaje de compactación del 95% del peso volumétrico seco de este material, con respecto al peso volumétrico seco máximo de laboratorio, fijado por la prueba AASHTO T-99, método C.</w:t>
      </w:r>
    </w:p>
    <w:p w14:paraId="39AC8BC3" w14:textId="77777777" w:rsidR="001A4860" w:rsidRPr="001A4860" w:rsidRDefault="001A4860" w:rsidP="001A4860">
      <w:pPr>
        <w:spacing w:line="20" w:lineRule="atLeast"/>
        <w:rPr>
          <w:rFonts w:ascii="Calibri" w:eastAsia="Calibri" w:hAnsi="Calibri" w:cs="Arial"/>
          <w:szCs w:val="24"/>
          <w:lang w:val="es-NI"/>
        </w:rPr>
      </w:pPr>
    </w:p>
    <w:p w14:paraId="2B7A7E9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En terrenos erosionables, o donde puedan encauzarse corrientes superficiales que puedan arrastrar el material de relleno, es necesario proveer retenciones de concreto simple a todo lo ancho de la zanja y a intervalos convenientes, de manera que eviten él deslave del material.  La forma, dimensiones e intervalo de construcción serán dispuestos por El Ingeniero.</w:t>
      </w:r>
    </w:p>
    <w:p w14:paraId="1556A9DE" w14:textId="77777777" w:rsidR="001A4860" w:rsidRPr="001A4860" w:rsidRDefault="001A4860" w:rsidP="001A4860">
      <w:pPr>
        <w:spacing w:line="20" w:lineRule="atLeast"/>
        <w:rPr>
          <w:rFonts w:ascii="Calibri" w:eastAsia="Calibri" w:hAnsi="Calibri" w:cs="Arial"/>
          <w:szCs w:val="24"/>
          <w:lang w:val="es-NI"/>
        </w:rPr>
      </w:pPr>
    </w:p>
    <w:p w14:paraId="38BF62AB"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bookmarkStart w:id="1101" w:name="_Toc468439653"/>
      <w:bookmarkStart w:id="1102" w:name="_Toc468440840"/>
      <w:r w:rsidRPr="001A4860">
        <w:rPr>
          <w:rFonts w:ascii="Calibri" w:eastAsia="Calibri" w:hAnsi="Calibri"/>
          <w:b/>
          <w:i/>
          <w:szCs w:val="24"/>
          <w:lang w:val="es-NI"/>
        </w:rPr>
        <w:t>Tipos de relleno</w:t>
      </w:r>
      <w:bookmarkEnd w:id="1101"/>
      <w:bookmarkEnd w:id="1102"/>
      <w:r w:rsidRPr="001A4860">
        <w:rPr>
          <w:rFonts w:ascii="Calibri" w:eastAsia="Calibri" w:hAnsi="Calibri"/>
          <w:b/>
          <w:i/>
          <w:szCs w:val="24"/>
          <w:lang w:val="es-NI"/>
        </w:rPr>
        <w:t>:</w:t>
      </w:r>
    </w:p>
    <w:p w14:paraId="21391CBB" w14:textId="77777777" w:rsidR="001A4860" w:rsidRPr="001A4860" w:rsidRDefault="001A4860" w:rsidP="003B68DB">
      <w:pPr>
        <w:numPr>
          <w:ilvl w:val="0"/>
          <w:numId w:val="174"/>
        </w:numPr>
        <w:spacing w:after="160" w:line="276" w:lineRule="auto"/>
        <w:ind w:left="0" w:firstLine="0"/>
        <w:jc w:val="left"/>
        <w:rPr>
          <w:rFonts w:ascii="Calibri" w:eastAsia="Calibri" w:hAnsi="Calibri"/>
          <w:i/>
          <w:szCs w:val="24"/>
          <w:u w:val="single"/>
          <w:lang w:val="es-NI"/>
        </w:rPr>
      </w:pPr>
      <w:bookmarkStart w:id="1103" w:name="_Toc468439654"/>
      <w:bookmarkStart w:id="1104" w:name="_Toc468440841"/>
      <w:r w:rsidRPr="001A4860">
        <w:rPr>
          <w:rFonts w:ascii="Calibri" w:eastAsia="Calibri" w:hAnsi="Calibri"/>
          <w:i/>
          <w:szCs w:val="24"/>
          <w:u w:val="single"/>
          <w:lang w:val="es-NI"/>
        </w:rPr>
        <w:t>Relleno común</w:t>
      </w:r>
      <w:bookmarkEnd w:id="1103"/>
      <w:bookmarkEnd w:id="1104"/>
      <w:r w:rsidRPr="001A4860">
        <w:rPr>
          <w:rFonts w:ascii="Calibri" w:eastAsia="Calibri" w:hAnsi="Calibri"/>
          <w:i/>
          <w:szCs w:val="24"/>
          <w:u w:val="single"/>
          <w:lang w:val="es-NI"/>
        </w:rPr>
        <w:t>:</w:t>
      </w:r>
    </w:p>
    <w:p w14:paraId="270FE6E9"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lastRenderedPageBreak/>
        <w:t>Consistente en material aprobado y seleccionado, sacado de la excavación de la zanja o de otra fuente, libre de terrones grandes, cenizas, basuras, plantas, hierbas u otros materiales degradables. El relleno deberá tener alrededor del 2% de agua natural, con relación al peso seco del suelo original.</w:t>
      </w:r>
    </w:p>
    <w:p w14:paraId="281A3C3B" w14:textId="77777777" w:rsidR="001A4860" w:rsidRPr="001A4860" w:rsidRDefault="001A4860" w:rsidP="001A4860">
      <w:pPr>
        <w:spacing w:line="256" w:lineRule="auto"/>
        <w:jc w:val="left"/>
        <w:rPr>
          <w:rFonts w:ascii="Calibri" w:eastAsia="Calibri" w:hAnsi="Calibri"/>
          <w:szCs w:val="24"/>
        </w:rPr>
      </w:pPr>
      <w:bookmarkStart w:id="1105" w:name="_Toc468439655"/>
      <w:bookmarkStart w:id="1106" w:name="_Toc468440842"/>
    </w:p>
    <w:p w14:paraId="11857722" w14:textId="77777777" w:rsidR="001A4860" w:rsidRPr="001A4860" w:rsidRDefault="001A4860" w:rsidP="003B68DB">
      <w:pPr>
        <w:numPr>
          <w:ilvl w:val="0"/>
          <w:numId w:val="174"/>
        </w:numPr>
        <w:spacing w:after="160" w:line="276" w:lineRule="auto"/>
        <w:ind w:left="0" w:firstLine="0"/>
        <w:jc w:val="left"/>
        <w:rPr>
          <w:rFonts w:ascii="Calibri" w:eastAsia="Calibri" w:hAnsi="Calibri"/>
          <w:i/>
          <w:szCs w:val="24"/>
          <w:u w:val="single"/>
          <w:lang w:val="es-NI"/>
        </w:rPr>
      </w:pPr>
      <w:r w:rsidRPr="001A4860">
        <w:rPr>
          <w:rFonts w:ascii="Calibri" w:eastAsia="Calibri" w:hAnsi="Calibri"/>
          <w:i/>
          <w:szCs w:val="24"/>
          <w:u w:val="single"/>
          <w:lang w:val="es-NI"/>
        </w:rPr>
        <w:t>Relleno especial</w:t>
      </w:r>
      <w:bookmarkEnd w:id="1105"/>
      <w:bookmarkEnd w:id="1106"/>
      <w:r w:rsidRPr="001A4860">
        <w:rPr>
          <w:rFonts w:ascii="Calibri" w:eastAsia="Calibri" w:hAnsi="Calibri"/>
          <w:i/>
          <w:szCs w:val="24"/>
          <w:u w:val="single"/>
          <w:lang w:val="es-NI"/>
        </w:rPr>
        <w:t>:</w:t>
      </w:r>
    </w:p>
    <w:p w14:paraId="483802B5"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En vista que las normas establecidas requieren para rellenos de zanjas para tuberías, cierto grado de calidad de material dependiendo de las condiciones específicas encontradas en el subsuelo, algunas veces se obligará el mejoramiento y/o la sustitución del material existente en la excavación, por otro catalogado como relleno especial; Ver el capítulo - EXCAVACION, RELLENO Y COMPACTACION ADICIONAL.  Tales rellenos podrán ser: a) de material selecto para sustituir o para mezclar; b) material especial granular; c) material especial arenoso.</w:t>
      </w:r>
    </w:p>
    <w:p w14:paraId="27CCABCD" w14:textId="77777777" w:rsidR="001A4860" w:rsidRPr="001A4860" w:rsidRDefault="001A4860" w:rsidP="001A4860">
      <w:pPr>
        <w:spacing w:line="20" w:lineRule="atLeast"/>
        <w:rPr>
          <w:rFonts w:ascii="Calibri" w:eastAsia="Calibri" w:hAnsi="Calibri" w:cs="Arial"/>
          <w:szCs w:val="24"/>
          <w:lang w:val="es-NI"/>
        </w:rPr>
      </w:pPr>
      <w:bookmarkStart w:id="1107" w:name="_Toc468439656"/>
      <w:bookmarkStart w:id="1108" w:name="_Toc468440843"/>
    </w:p>
    <w:p w14:paraId="71E7AD56"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109" w:name="_Toc240187202"/>
      <w:bookmarkStart w:id="1110" w:name="_Toc240777438"/>
      <w:r w:rsidRPr="001A4860">
        <w:rPr>
          <w:rFonts w:ascii="Calibri Light" w:hAnsi="Calibri Light"/>
          <w:b/>
          <w:bCs/>
          <w:sz w:val="22"/>
          <w:szCs w:val="22"/>
          <w:lang w:val="es-NI"/>
        </w:rPr>
        <w:t>Pruebas de compactación</w:t>
      </w:r>
      <w:bookmarkEnd w:id="1107"/>
      <w:bookmarkEnd w:id="1108"/>
      <w:bookmarkEnd w:id="1109"/>
      <w:bookmarkEnd w:id="1110"/>
    </w:p>
    <w:p w14:paraId="5FF1C296" w14:textId="77777777" w:rsidR="001A4860" w:rsidRPr="001A4860" w:rsidRDefault="001A4860" w:rsidP="001A4860">
      <w:pPr>
        <w:spacing w:line="256" w:lineRule="auto"/>
        <w:jc w:val="left"/>
        <w:rPr>
          <w:rFonts w:ascii="Calibri" w:eastAsia="Calibri" w:hAnsi="Calibri"/>
          <w:szCs w:val="24"/>
        </w:rPr>
      </w:pPr>
    </w:p>
    <w:p w14:paraId="58C2E88E"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A fin de comprobar el cumplimiento de las especificaciones, del grado de compactación requerido del relleno realizado de la zanja y/o pozos de exploración etc., se realizarán dos pruebas de compactación por cada </w:t>
      </w:r>
      <w:smartTag w:uri="urn:schemas-microsoft-com:office:smarttags" w:element="metricconverter">
        <w:smartTagPr>
          <w:attr w:name="ProductID" w:val="30 metros"/>
        </w:smartTagPr>
        <w:r w:rsidRPr="001A4860">
          <w:rPr>
            <w:rFonts w:ascii="Calibri" w:eastAsia="Calibri" w:hAnsi="Calibri" w:cs="Arial"/>
            <w:szCs w:val="24"/>
            <w:lang w:val="es-NI"/>
          </w:rPr>
          <w:t>30 metros</w:t>
        </w:r>
      </w:smartTag>
      <w:r w:rsidRPr="001A4860">
        <w:rPr>
          <w:rFonts w:ascii="Calibri" w:eastAsia="Calibri" w:hAnsi="Calibri" w:cs="Arial"/>
          <w:szCs w:val="24"/>
          <w:lang w:val="es-NI"/>
        </w:rPr>
        <w:t xml:space="preserve"> de tubería lineal instalada cuyas ubicaciones serán indicadas por El Ingeniero.  El costo incurrido por todas las pruebas de compactación será asumido por El Contratista.</w:t>
      </w:r>
    </w:p>
    <w:p w14:paraId="48607749" w14:textId="77777777" w:rsidR="001A4860" w:rsidRPr="001A4860" w:rsidRDefault="001A4860" w:rsidP="001A4860">
      <w:pPr>
        <w:spacing w:line="20" w:lineRule="atLeast"/>
        <w:rPr>
          <w:rFonts w:ascii="Calibri" w:eastAsia="Calibri" w:hAnsi="Calibri" w:cs="Arial"/>
          <w:szCs w:val="24"/>
          <w:lang w:val="es-NI"/>
        </w:rPr>
      </w:pPr>
    </w:p>
    <w:p w14:paraId="37CD145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El Contratista someterá a aprobación, el laboratorio de materiales que hará las pruebas de compactación y éste será escogido de una terna sometida a Él.</w:t>
      </w:r>
    </w:p>
    <w:p w14:paraId="5192523A" w14:textId="77777777" w:rsidR="001A4860" w:rsidRPr="001A4860" w:rsidRDefault="001A4860" w:rsidP="001A4860">
      <w:pPr>
        <w:spacing w:line="20" w:lineRule="atLeast"/>
        <w:rPr>
          <w:rFonts w:ascii="Calibri" w:eastAsia="Calibri" w:hAnsi="Calibri" w:cs="Arial"/>
          <w:szCs w:val="24"/>
          <w:lang w:val="es-NI"/>
        </w:rPr>
      </w:pPr>
    </w:p>
    <w:p w14:paraId="7569683D"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111" w:name="_Toc468439657"/>
      <w:bookmarkStart w:id="1112" w:name="_Toc468440844"/>
      <w:bookmarkStart w:id="1113" w:name="_Toc61317090"/>
      <w:bookmarkStart w:id="1114" w:name="_Toc240187203"/>
      <w:bookmarkStart w:id="1115" w:name="_Toc240777439"/>
      <w:r w:rsidRPr="001A4860">
        <w:rPr>
          <w:rFonts w:ascii="Calibri Light" w:hAnsi="Calibri Light"/>
          <w:b/>
          <w:bCs/>
          <w:sz w:val="22"/>
          <w:szCs w:val="22"/>
          <w:lang w:val="es-NI"/>
        </w:rPr>
        <w:t>Disposición de Material Sobrante</w:t>
      </w:r>
      <w:bookmarkEnd w:id="1111"/>
      <w:bookmarkEnd w:id="1112"/>
      <w:bookmarkEnd w:id="1113"/>
      <w:bookmarkEnd w:id="1114"/>
      <w:bookmarkEnd w:id="1115"/>
    </w:p>
    <w:p w14:paraId="67D0DEF3" w14:textId="77777777" w:rsidR="001A4860" w:rsidRPr="001A4860" w:rsidRDefault="001A4860" w:rsidP="001A4860">
      <w:pPr>
        <w:keepNext/>
        <w:keepLines/>
        <w:spacing w:line="20" w:lineRule="atLeast"/>
        <w:jc w:val="left"/>
        <w:outlineLvl w:val="3"/>
        <w:rPr>
          <w:rFonts w:ascii="Calibri" w:hAnsi="Calibri" w:cs="Arial"/>
          <w:b/>
          <w:bCs/>
          <w:i/>
          <w:iCs/>
          <w:szCs w:val="24"/>
          <w:lang w:val="es-NI"/>
        </w:rPr>
      </w:pPr>
    </w:p>
    <w:p w14:paraId="5305F49B"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Recursos y procedimientos:</w:t>
      </w:r>
    </w:p>
    <w:p w14:paraId="2685C077"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Si por cualquier razón, después del relleno y compactación de zanjas o pozos queda material sobrante, deberá ser dispuesto por El Contratista.  El material sobrante extraído y sustituido por contener elementos inadecuados y/o por excedente después de la instalación de las tuberías y accesorios, deberá ser dispuesto por El Contratista, a su cuenta, debiendo suministrar todos los recursos necesarios para retirarlos del sitio de las obras y depositarlos adecuadamente conforme las exigencias de la Alcaldía Municipal y el CAPS.</w:t>
      </w:r>
    </w:p>
    <w:p w14:paraId="74356D1E" w14:textId="77777777" w:rsidR="001A4860" w:rsidRPr="001A4860" w:rsidRDefault="001A4860" w:rsidP="001A4860">
      <w:pPr>
        <w:spacing w:line="20" w:lineRule="atLeast"/>
        <w:rPr>
          <w:rFonts w:ascii="Calibri" w:eastAsia="Calibri" w:hAnsi="Calibri" w:cs="Arial"/>
          <w:szCs w:val="24"/>
          <w:lang w:val="es-NI"/>
        </w:rPr>
      </w:pPr>
    </w:p>
    <w:p w14:paraId="40A81A9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En el caso que el material sobrante sea debido a la importación de material adicional de relleno, ya sea para sustituir material indeseable en el sitio de la excavación o para combinar y mejorar el relleno para zanja y/o pozo excavados, la disposición será efectuada siempre a cuenta de El Contratista pero estará incluido en el concepto de obra de la etapa - EXCAVACION, RELLENO Y COMPACTACION ADICIONAL.</w:t>
      </w:r>
    </w:p>
    <w:p w14:paraId="0C104ADA" w14:textId="77777777" w:rsidR="001A4860" w:rsidRPr="001A4860" w:rsidRDefault="001A4860" w:rsidP="001A4860">
      <w:pPr>
        <w:spacing w:line="20" w:lineRule="atLeast"/>
        <w:rPr>
          <w:rFonts w:ascii="Calibri" w:eastAsia="Calibri" w:hAnsi="Calibri" w:cs="Arial"/>
          <w:szCs w:val="24"/>
          <w:lang w:val="es-NI"/>
        </w:rPr>
      </w:pPr>
    </w:p>
    <w:p w14:paraId="681451AD"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Si es el caso, la disposición del material sobrante de la rotura de base y carpeta de rodamiento deberá incluirse en el concepto de obra de la etapa - ROTURA Y REPOSICION DE BASE Y CARPETA DE RODAMIENTO.</w:t>
      </w:r>
    </w:p>
    <w:p w14:paraId="6E8E5ACC" w14:textId="77777777" w:rsidR="001A4860" w:rsidRPr="001A4860" w:rsidRDefault="001A4860" w:rsidP="001A4860">
      <w:pPr>
        <w:spacing w:line="20" w:lineRule="atLeast"/>
        <w:rPr>
          <w:rFonts w:ascii="Calibri" w:eastAsia="Calibri" w:hAnsi="Calibri" w:cs="Arial"/>
          <w:szCs w:val="24"/>
          <w:lang w:val="es-NI"/>
        </w:rPr>
      </w:pPr>
    </w:p>
    <w:p w14:paraId="663E3519"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116" w:name="_Toc468439658"/>
      <w:bookmarkStart w:id="1117" w:name="_Toc468440845"/>
      <w:bookmarkStart w:id="1118" w:name="_Toc61317091"/>
      <w:bookmarkStart w:id="1119" w:name="_Toc240187204"/>
      <w:bookmarkStart w:id="1120" w:name="_Toc240777440"/>
      <w:r w:rsidRPr="001A4860">
        <w:rPr>
          <w:rFonts w:ascii="Calibri Light" w:hAnsi="Calibri Light"/>
          <w:b/>
          <w:bCs/>
          <w:sz w:val="22"/>
          <w:szCs w:val="22"/>
          <w:lang w:val="es-NI"/>
        </w:rPr>
        <w:t>Medición y Pago por Instalación de Tubería.</w:t>
      </w:r>
      <w:bookmarkEnd w:id="1116"/>
      <w:bookmarkEnd w:id="1117"/>
      <w:bookmarkEnd w:id="1118"/>
      <w:bookmarkEnd w:id="1119"/>
      <w:bookmarkEnd w:id="1120"/>
    </w:p>
    <w:p w14:paraId="7B87FCFC" w14:textId="77777777" w:rsidR="001A4860" w:rsidRPr="001A4860" w:rsidRDefault="001A4860" w:rsidP="001A4860">
      <w:pPr>
        <w:spacing w:line="20" w:lineRule="atLeast"/>
        <w:rPr>
          <w:rFonts w:ascii="Calibri" w:eastAsia="Calibri" w:hAnsi="Calibri" w:cs="Arial"/>
          <w:szCs w:val="24"/>
          <w:lang w:val="es-NI"/>
        </w:rPr>
      </w:pPr>
    </w:p>
    <w:p w14:paraId="2B0147E2"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Los pagos por instalación de tuberías se harán por metro lineal de tubería instalada, conforme a los precios unitarios que se estipulan en  la Oferta.</w:t>
      </w:r>
    </w:p>
    <w:p w14:paraId="6B2F7826"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Para los efectos de pago, la longitud de la tubería será medida sobre el eje central de la corona de la tubería, una vez que haya sido colocada y esté de acuerdo con las profundidades, alineación y pendiente mostrada en los planos, señaladas en estas especificaciones y/o las indicaciones de El Ingeniero.</w:t>
      </w:r>
    </w:p>
    <w:p w14:paraId="17213BD9" w14:textId="77777777" w:rsidR="001A4860" w:rsidRPr="001A4860" w:rsidRDefault="001A4860" w:rsidP="001A4860">
      <w:pPr>
        <w:spacing w:after="160" w:line="20" w:lineRule="atLeast"/>
        <w:rPr>
          <w:rFonts w:ascii="Calibri" w:eastAsia="Calibri" w:hAnsi="Calibri" w:cs="Arial"/>
          <w:szCs w:val="24"/>
          <w:lang w:val="es-NI"/>
        </w:rPr>
      </w:pPr>
    </w:p>
    <w:p w14:paraId="7101B8FD"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En relación con las excavaciones adicionales:</w:t>
      </w:r>
    </w:p>
    <w:p w14:paraId="6A22B4D9"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No se pagarán excavaciones de sobre-ancho y/o sub-excavaciones que estén fuera de los límites establecidos en los planos y/o especificaciones, a menos que en casos muy especiales sean aprobadas por El Ingeniero.</w:t>
      </w:r>
    </w:p>
    <w:p w14:paraId="5080DB3F"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La excavación adicional por sobre dimensionamiento ordenado por El Ingeniero, o por encontrar material diferente y de mayor dureza que la tierra normal será concepto de pago complementario aparte y conforme se establece en el capítulo - EXCAVACION, RELLENO Y COMPACTACION ESPECIAL Y/O ADICIONAL.</w:t>
      </w:r>
    </w:p>
    <w:p w14:paraId="7A67E7BC"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En relación con la instalación de la tubería propiamente dicha:</w:t>
      </w:r>
    </w:p>
    <w:p w14:paraId="7F320E0E"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Se incluyen todos los costos por suministros de recursos para los trabajos de corte, rectificación y colocado de tubos, instalación de uniones y accesorios, válvulas, anclajes y bloques de reacción, prueba de presión hidrostática y estanqueidad, etc., y otros trabajos conexos, sin ser limitativo tales como: Topografía, señales de protección de obras no terminadas, manejo y transporte de suministros de su cuenta y/o manejo y transporte de los artículos o materiales, encofrados, arrostramientos, remoción y baldeo de las aguas, suministro de materiales locales tales como madera, piedra, concreto, arena, agua, etc., requeridos conforme las especificaciones y en general todo trabajo y suministros para la instalación de tuberías a menos que específicamente sea incluido bajo otro artículo.</w:t>
      </w:r>
    </w:p>
    <w:p w14:paraId="3E522B8B" w14:textId="77777777" w:rsidR="001A4860" w:rsidRPr="001A4860" w:rsidRDefault="001A4860" w:rsidP="00507630">
      <w:pPr>
        <w:spacing w:after="120" w:line="276" w:lineRule="auto"/>
        <w:jc w:val="left"/>
        <w:rPr>
          <w:rFonts w:ascii="Calibri" w:eastAsia="Calibri" w:hAnsi="Calibri"/>
          <w:b/>
          <w:i/>
          <w:szCs w:val="24"/>
          <w:lang w:val="es-NI"/>
        </w:rPr>
      </w:pPr>
    </w:p>
    <w:p w14:paraId="715D4218"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En relación con el relleno y compactación adicionales:</w:t>
      </w:r>
    </w:p>
    <w:p w14:paraId="21BD8151"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El relleno y compactación adicional ordenado o autorizado por El Ingeniero será concepto de pago aparte. (Ver capítulo - EXCAVACION, RELLENO Y COMPACTACION ESPECIAL Y/O ADICIONAL.</w:t>
      </w:r>
    </w:p>
    <w:p w14:paraId="7E16B7CB" w14:textId="77777777" w:rsidR="001A4860" w:rsidRPr="001A4860" w:rsidRDefault="001A4860" w:rsidP="001A4860">
      <w:pPr>
        <w:keepNext/>
        <w:keepLines/>
        <w:spacing w:line="20" w:lineRule="atLeast"/>
        <w:jc w:val="left"/>
        <w:outlineLvl w:val="4"/>
        <w:rPr>
          <w:rFonts w:ascii="Calibri" w:hAnsi="Calibri" w:cs="Arial"/>
          <w:b/>
          <w:bCs/>
          <w:szCs w:val="24"/>
          <w:lang w:val="es-NI"/>
        </w:rPr>
      </w:pPr>
    </w:p>
    <w:p w14:paraId="4895EFDD" w14:textId="77777777" w:rsidR="001A4860" w:rsidRPr="001A4860" w:rsidRDefault="001A4860" w:rsidP="003B68DB">
      <w:pPr>
        <w:numPr>
          <w:ilvl w:val="0"/>
          <w:numId w:val="174"/>
        </w:numPr>
        <w:spacing w:after="160" w:line="276" w:lineRule="auto"/>
        <w:ind w:left="0" w:firstLine="0"/>
        <w:jc w:val="left"/>
        <w:rPr>
          <w:rFonts w:ascii="Calibri" w:eastAsia="Calibri" w:hAnsi="Calibri"/>
          <w:b/>
          <w:i/>
          <w:szCs w:val="24"/>
          <w:lang w:val="es-NI"/>
        </w:rPr>
      </w:pPr>
      <w:r w:rsidRPr="001A4860">
        <w:rPr>
          <w:rFonts w:ascii="Calibri" w:eastAsia="Calibri" w:hAnsi="Calibri"/>
          <w:b/>
          <w:i/>
          <w:szCs w:val="24"/>
          <w:lang w:val="es-NI"/>
        </w:rPr>
        <w:t>En relación con la disposición de material sobrante:</w:t>
      </w:r>
    </w:p>
    <w:p w14:paraId="3B1FDAB6"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lastRenderedPageBreak/>
        <w:t>La disposición del material sobrante por razón de haber usado relleno adicional deberá considerarse en el concepto de obra - EXCAVACION, RELLENO Y COMPACTACION ESPECIAL Y/O ADICIONAL.</w:t>
      </w:r>
    </w:p>
    <w:p w14:paraId="50164165" w14:textId="77777777" w:rsidR="001A4860" w:rsidRPr="001A4860" w:rsidRDefault="001A4860" w:rsidP="001A4860">
      <w:pPr>
        <w:keepNext/>
        <w:keepLines/>
        <w:spacing w:before="480" w:line="276" w:lineRule="auto"/>
        <w:ind w:left="432" w:hanging="432"/>
        <w:jc w:val="left"/>
        <w:outlineLvl w:val="0"/>
        <w:rPr>
          <w:rFonts w:ascii="Calibri" w:eastAsia="Calibri" w:hAnsi="Calibri" w:cs="Courier New"/>
          <w:b/>
          <w:bCs/>
          <w:kern w:val="28"/>
          <w:sz w:val="22"/>
          <w:szCs w:val="22"/>
          <w:lang w:val="es-NI"/>
        </w:rPr>
      </w:pPr>
      <w:bookmarkStart w:id="1121" w:name="_Toc61317092"/>
      <w:bookmarkStart w:id="1122" w:name="_Toc240187205"/>
      <w:bookmarkStart w:id="1123" w:name="_Toc240777441"/>
      <w:r w:rsidRPr="001A4860">
        <w:rPr>
          <w:rFonts w:ascii="Calibri" w:eastAsia="Calibri" w:hAnsi="Calibri" w:cs="Courier New"/>
          <w:b/>
          <w:bCs/>
          <w:kern w:val="28"/>
          <w:sz w:val="22"/>
          <w:szCs w:val="22"/>
          <w:lang w:val="es-NI"/>
        </w:rPr>
        <w:t>INSTALACION DE CONEXIONES DOMICILIARES</w:t>
      </w:r>
      <w:bookmarkEnd w:id="1121"/>
      <w:r w:rsidRPr="001A4860">
        <w:rPr>
          <w:rFonts w:ascii="Calibri" w:eastAsia="Calibri" w:hAnsi="Calibri" w:cs="Courier New"/>
          <w:b/>
          <w:bCs/>
          <w:kern w:val="28"/>
          <w:sz w:val="22"/>
          <w:szCs w:val="22"/>
          <w:lang w:val="es-NI"/>
        </w:rPr>
        <w:t xml:space="preserve"> DE PATIO</w:t>
      </w:r>
      <w:bookmarkEnd w:id="1122"/>
      <w:bookmarkEnd w:id="1123"/>
    </w:p>
    <w:p w14:paraId="00D7B243"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124" w:name="_Toc61317093"/>
      <w:bookmarkStart w:id="1125" w:name="_Toc240187206"/>
      <w:bookmarkStart w:id="1126" w:name="_Toc240777442"/>
      <w:r w:rsidRPr="001A4860">
        <w:rPr>
          <w:rFonts w:ascii="Calibri" w:eastAsia="Calibri" w:hAnsi="Calibri" w:cs="Arial"/>
          <w:b/>
          <w:bCs/>
          <w:iCs/>
          <w:sz w:val="22"/>
          <w:szCs w:val="28"/>
          <w:lang w:val="es-NI"/>
        </w:rPr>
        <w:t>Trabajo comprendido.</w:t>
      </w:r>
      <w:bookmarkEnd w:id="1124"/>
      <w:bookmarkEnd w:id="1125"/>
      <w:bookmarkEnd w:id="1126"/>
    </w:p>
    <w:p w14:paraId="6DDE5D66"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06B20094"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Comprende el suministro de todos los materiales, herramientas, equipo, transporte y mano de obra necesaria para instalar conexiones domiciliares, según esquema mostrado en los planos. El Contratista deberá realizar por su propia cuenta las localizaciones y descubrimiento de tubería existente, excavación y relleno, compactación, remoción de agua, instalación de la conexión, restauración de la superficie a su estado original y todo lo necesario para dejar un trabajo completamente terminado a satisfacción de La Alcaldía.</w:t>
      </w:r>
    </w:p>
    <w:p w14:paraId="75CCE9C8"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51318A74"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127" w:name="_Toc61317094"/>
      <w:bookmarkStart w:id="1128" w:name="_Toc240187207"/>
      <w:bookmarkStart w:id="1129" w:name="_Toc240777443"/>
      <w:r w:rsidRPr="001A4860">
        <w:rPr>
          <w:rFonts w:ascii="Calibri" w:eastAsia="Calibri" w:hAnsi="Calibri" w:cs="Arial"/>
          <w:b/>
          <w:bCs/>
          <w:iCs/>
          <w:sz w:val="22"/>
          <w:szCs w:val="28"/>
          <w:lang w:val="es-NI"/>
        </w:rPr>
        <w:t>Materiales</w:t>
      </w:r>
      <w:bookmarkEnd w:id="1127"/>
      <w:bookmarkEnd w:id="1128"/>
      <w:bookmarkEnd w:id="1129"/>
    </w:p>
    <w:p w14:paraId="74995416"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393BC8ED"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 tubería a utilizarse en las conexiones domiciliares será de cloruro de polivinilo (PVC) el cual deberá ajustarse a las normas ASTM D-2241-73, Cédula SDR-26.  El tipo de unión para la tubería de 1/2” será con extremo acampanado para hacer uniones cementadas. Los accesorios de PVC de la conexión serán Cédula 40.</w:t>
      </w:r>
    </w:p>
    <w:p w14:paraId="45980C88"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130" w:name="_Toc61317095"/>
      <w:bookmarkStart w:id="1131" w:name="_Toc240187208"/>
      <w:bookmarkStart w:id="1132" w:name="_Toc240777444"/>
      <w:r w:rsidRPr="001A4860">
        <w:rPr>
          <w:rFonts w:ascii="Calibri" w:eastAsia="Calibri" w:hAnsi="Calibri" w:cs="Arial"/>
          <w:b/>
          <w:bCs/>
          <w:iCs/>
          <w:sz w:val="22"/>
          <w:szCs w:val="28"/>
          <w:lang w:val="es-NI"/>
        </w:rPr>
        <w:t>Actividades Constructivas</w:t>
      </w:r>
      <w:bookmarkEnd w:id="1130"/>
      <w:bookmarkEnd w:id="1131"/>
      <w:bookmarkEnd w:id="1132"/>
    </w:p>
    <w:p w14:paraId="75258E7A"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3CD7CCB1"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Supervisor señalará a El Contratista la ubicación exacta de cada una de las conexiones a construir.</w:t>
      </w:r>
    </w:p>
    <w:p w14:paraId="3DD46B35"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133" w:name="_Toc61317096"/>
      <w:bookmarkStart w:id="1134" w:name="_Toc240187209"/>
      <w:bookmarkStart w:id="1135" w:name="_Toc240777445"/>
      <w:r w:rsidRPr="001A4860">
        <w:rPr>
          <w:rFonts w:ascii="Calibri Light" w:hAnsi="Calibri Light"/>
          <w:b/>
          <w:bCs/>
          <w:sz w:val="22"/>
          <w:szCs w:val="22"/>
          <w:lang w:val="es-NI"/>
        </w:rPr>
        <w:t>Excavación</w:t>
      </w:r>
      <w:bookmarkEnd w:id="1133"/>
      <w:bookmarkEnd w:id="1134"/>
      <w:bookmarkEnd w:id="1135"/>
    </w:p>
    <w:p w14:paraId="19219FFB"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3A031DDA"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El trazado de las conexiones será a 90° respecto a la tubería de alimentación de la conexión. Las excavaciones se realizarán con esta alineación, variando la profundidad de </w:t>
      </w:r>
      <w:smartTag w:uri="urn:schemas-microsoft-com:office:smarttags" w:element="metricconverter">
        <w:smartTagPr>
          <w:attr w:name="ProductID" w:val="1.50 metros"/>
        </w:smartTagPr>
        <w:r w:rsidRPr="001A4860">
          <w:rPr>
            <w:rFonts w:ascii="Calibri" w:eastAsia="Calibri" w:hAnsi="Calibri" w:cs="Arial"/>
            <w:spacing w:val="-3"/>
            <w:szCs w:val="24"/>
            <w:lang w:val="es-NI"/>
          </w:rPr>
          <w:t>1.50 metros</w:t>
        </w:r>
      </w:smartTag>
      <w:r w:rsidRPr="001A4860">
        <w:rPr>
          <w:rFonts w:ascii="Calibri" w:eastAsia="Calibri" w:hAnsi="Calibri" w:cs="Arial"/>
          <w:spacing w:val="-3"/>
          <w:szCs w:val="24"/>
          <w:lang w:val="es-NI"/>
        </w:rPr>
        <w:t xml:space="preserve"> en el punto de conexión de la tubería principal y </w:t>
      </w:r>
      <w:smartTag w:uri="urn:schemas-microsoft-com:office:smarttags" w:element="metricconverter">
        <w:smartTagPr>
          <w:attr w:name="ProductID" w:val="1.0 metros"/>
        </w:smartTagPr>
        <w:r w:rsidRPr="001A4860">
          <w:rPr>
            <w:rFonts w:ascii="Calibri" w:eastAsia="Calibri" w:hAnsi="Calibri" w:cs="Arial"/>
            <w:spacing w:val="-3"/>
            <w:szCs w:val="24"/>
            <w:lang w:val="es-NI"/>
          </w:rPr>
          <w:t>1.0 metros</w:t>
        </w:r>
      </w:smartTag>
      <w:r w:rsidRPr="001A4860">
        <w:rPr>
          <w:rFonts w:ascii="Calibri" w:eastAsia="Calibri" w:hAnsi="Calibri" w:cs="Arial"/>
          <w:spacing w:val="-3"/>
          <w:szCs w:val="24"/>
          <w:lang w:val="es-NI"/>
        </w:rPr>
        <w:t xml:space="preserve"> en el final de la misma. Los costados de la zanja deberán ser verticales y el fondo conformado a mano de tal manera que se obtenga un apoyo uniforme, continuo en toda su longitud. El ancho de la zanja no deberá exceder de </w:t>
      </w:r>
      <w:smartTag w:uri="urn:schemas-microsoft-com:office:smarttags" w:element="metricconverter">
        <w:smartTagPr>
          <w:attr w:name="ProductID" w:val="0.60 metros"/>
        </w:smartTagPr>
        <w:r w:rsidRPr="001A4860">
          <w:rPr>
            <w:rFonts w:ascii="Calibri" w:eastAsia="Calibri" w:hAnsi="Calibri" w:cs="Arial"/>
            <w:spacing w:val="-3"/>
            <w:szCs w:val="24"/>
            <w:lang w:val="es-NI"/>
          </w:rPr>
          <w:t>0.60 metros</w:t>
        </w:r>
      </w:smartTag>
      <w:r w:rsidRPr="001A4860">
        <w:rPr>
          <w:rFonts w:ascii="Calibri" w:eastAsia="Calibri" w:hAnsi="Calibri" w:cs="Arial"/>
          <w:spacing w:val="-3"/>
          <w:szCs w:val="24"/>
          <w:lang w:val="es-NI"/>
        </w:rPr>
        <w:t>.</w:t>
      </w:r>
    </w:p>
    <w:p w14:paraId="249CFA7B"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354202B2"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Cuando en el fondo de la zanja se encuentren materiales inestables, basura o materiales orgánicos, deberán ser removidos y reemplazados por material granular. El Contratista removerá toda agua que se colecte en las zanjas mientras se están haciendo las conexiones. No se permitirá la entrada de agua a las tuberías. El agua encontrada será eliminada de una manera satisfactoria para El Supervisor.</w:t>
      </w:r>
    </w:p>
    <w:p w14:paraId="406E417A"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136" w:name="_Toc61317097"/>
      <w:bookmarkStart w:id="1137" w:name="_Toc240187210"/>
      <w:bookmarkStart w:id="1138" w:name="_Toc240777446"/>
      <w:r w:rsidRPr="001A4860">
        <w:rPr>
          <w:rFonts w:ascii="Calibri Light" w:hAnsi="Calibri Light"/>
          <w:b/>
          <w:bCs/>
          <w:sz w:val="22"/>
          <w:szCs w:val="22"/>
          <w:lang w:val="es-NI"/>
        </w:rPr>
        <w:lastRenderedPageBreak/>
        <w:t>Instalación de tubería.</w:t>
      </w:r>
      <w:bookmarkEnd w:id="1136"/>
      <w:bookmarkEnd w:id="1137"/>
      <w:bookmarkEnd w:id="1138"/>
    </w:p>
    <w:p w14:paraId="60D2C4DA"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10D6CFBE"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 tubería de las conexiones se acoplara a la red mediante los accesorios que aparecen en los planos constructivos, que cuentan con derivaciones del mismo diámetro para su unión. El ángulo de salida de la conexión será de 45 grados respecto al eje horizontal.</w:t>
      </w:r>
    </w:p>
    <w:p w14:paraId="1BEC58C2" w14:textId="77777777" w:rsidR="001A4860" w:rsidRPr="001A4860" w:rsidRDefault="001A4860" w:rsidP="001A4860">
      <w:pPr>
        <w:tabs>
          <w:tab w:val="left" w:pos="-1440"/>
          <w:tab w:val="left" w:pos="-720"/>
        </w:tabs>
        <w:suppressAutoHyphens/>
        <w:spacing w:after="160" w:line="20" w:lineRule="atLeast"/>
        <w:rPr>
          <w:rFonts w:ascii="Calibri" w:eastAsia="Calibri" w:hAnsi="Calibri" w:cs="Arial"/>
          <w:spacing w:val="-3"/>
          <w:szCs w:val="24"/>
          <w:lang w:val="es-NI"/>
        </w:rPr>
      </w:pPr>
    </w:p>
    <w:p w14:paraId="5515CECF" w14:textId="77777777" w:rsidR="001A4860" w:rsidRPr="001A4860" w:rsidRDefault="001A4860" w:rsidP="001A4860">
      <w:pPr>
        <w:tabs>
          <w:tab w:val="left" w:pos="-1440"/>
          <w:tab w:val="left" w:pos="-720"/>
        </w:tabs>
        <w:suppressAutoHyphens/>
        <w:spacing w:after="160"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El detalle de la conexión domiciliar de patio para agua potable aparece en los planos. El trazado de la tubería de las conexiones que se muestra en los planos se hizo con la topografía. Las conexiones de patio se localizan, en general,  en la prolongación de la línea frontal de la vivienda y aproximadamente a </w:t>
      </w:r>
      <w:smartTag w:uri="urn:schemas-microsoft-com:office:smarttags" w:element="metricconverter">
        <w:smartTagPr>
          <w:attr w:name="ProductID" w:val="6.0 metros"/>
        </w:smartTagPr>
        <w:r w:rsidRPr="001A4860">
          <w:rPr>
            <w:rFonts w:ascii="Calibri" w:eastAsia="Calibri" w:hAnsi="Calibri" w:cs="Arial"/>
            <w:spacing w:val="-3"/>
            <w:szCs w:val="24"/>
            <w:lang w:val="es-NI"/>
          </w:rPr>
          <w:t>6.0 metros</w:t>
        </w:r>
      </w:smartTag>
      <w:r w:rsidRPr="001A4860">
        <w:rPr>
          <w:rFonts w:ascii="Calibri" w:eastAsia="Calibri" w:hAnsi="Calibri" w:cs="Arial"/>
          <w:spacing w:val="-3"/>
          <w:szCs w:val="24"/>
          <w:lang w:val="es-NI"/>
        </w:rPr>
        <w:t xml:space="preserve"> de una de las esquinas de la misma.</w:t>
      </w:r>
    </w:p>
    <w:p w14:paraId="40ABCE37" w14:textId="77777777" w:rsidR="001A4860" w:rsidRPr="001A4860" w:rsidRDefault="001A4860" w:rsidP="001A4860">
      <w:pPr>
        <w:tabs>
          <w:tab w:val="left" w:pos="-1440"/>
          <w:tab w:val="left" w:pos="-720"/>
        </w:tabs>
        <w:suppressAutoHyphens/>
        <w:spacing w:after="160"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 </w:t>
      </w:r>
      <w:bookmarkStart w:id="1139" w:name="_Toc61317098"/>
      <w:bookmarkStart w:id="1140" w:name="_Toc240187211"/>
      <w:bookmarkStart w:id="1141" w:name="_Toc240777447"/>
    </w:p>
    <w:p w14:paraId="1A12E6DB" w14:textId="77777777" w:rsidR="001A4860" w:rsidRPr="001A4860" w:rsidRDefault="001A4860" w:rsidP="001A4860">
      <w:pPr>
        <w:tabs>
          <w:tab w:val="left" w:pos="-1440"/>
          <w:tab w:val="left" w:pos="-720"/>
        </w:tabs>
        <w:suppressAutoHyphens/>
        <w:spacing w:after="160" w:line="20" w:lineRule="atLeast"/>
        <w:rPr>
          <w:rFonts w:ascii="Calibri" w:eastAsia="Calibri" w:hAnsi="Calibri"/>
          <w:sz w:val="22"/>
          <w:szCs w:val="22"/>
          <w:lang w:val="es-NI"/>
        </w:rPr>
      </w:pPr>
      <w:r w:rsidRPr="001A4860">
        <w:rPr>
          <w:rFonts w:ascii="Calibri" w:eastAsia="Calibri" w:hAnsi="Calibri"/>
          <w:sz w:val="22"/>
          <w:szCs w:val="22"/>
          <w:lang w:val="es-NI"/>
        </w:rPr>
        <w:t>Relleno y Compactación.</w:t>
      </w:r>
      <w:bookmarkEnd w:id="1139"/>
      <w:bookmarkEnd w:id="1140"/>
      <w:bookmarkEnd w:id="1141"/>
    </w:p>
    <w:p w14:paraId="622F0EFD"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p>
    <w:p w14:paraId="425ED8ED" w14:textId="77777777" w:rsidR="001A4860" w:rsidRPr="001A4860" w:rsidRDefault="001A4860" w:rsidP="001A4860">
      <w:pPr>
        <w:tabs>
          <w:tab w:val="left" w:pos="-1440"/>
          <w:tab w:val="left" w:pos="-72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cumplirá con lo dispuesto en la Sección B.11.7 en lo referente a relleno y compactación de tuberías.</w:t>
      </w:r>
      <w:bookmarkStart w:id="1142" w:name="_Toc373293044"/>
      <w:bookmarkStart w:id="1143" w:name="_Toc374426033"/>
      <w:bookmarkStart w:id="1144" w:name="_Toc375052326"/>
      <w:bookmarkStart w:id="1145" w:name="_Toc375113161"/>
      <w:bookmarkStart w:id="1146" w:name="_Toc375126892"/>
      <w:bookmarkStart w:id="1147" w:name="_Toc382909332"/>
      <w:bookmarkStart w:id="1148" w:name="_Toc382987059"/>
      <w:bookmarkStart w:id="1149" w:name="_Toc383237238"/>
      <w:bookmarkStart w:id="1150" w:name="_Toc437055672"/>
    </w:p>
    <w:p w14:paraId="4BB4CDD8" w14:textId="77777777" w:rsidR="001A4860" w:rsidRPr="001A4860" w:rsidRDefault="001A4860" w:rsidP="001A4860">
      <w:pPr>
        <w:keepNext/>
        <w:keepLines/>
        <w:spacing w:before="480" w:line="276" w:lineRule="auto"/>
        <w:ind w:left="432" w:hanging="432"/>
        <w:jc w:val="left"/>
        <w:outlineLvl w:val="0"/>
        <w:rPr>
          <w:rFonts w:ascii="Calibri" w:eastAsia="Calibri" w:hAnsi="Calibri" w:cs="Courier New"/>
          <w:b/>
          <w:bCs/>
          <w:kern w:val="28"/>
          <w:sz w:val="22"/>
          <w:szCs w:val="22"/>
          <w:lang w:val="es-NI"/>
        </w:rPr>
      </w:pPr>
      <w:bookmarkStart w:id="1151" w:name="_Toc456232721"/>
      <w:bookmarkStart w:id="1152" w:name="_Toc240187212"/>
      <w:bookmarkStart w:id="1153" w:name="_Toc240777448"/>
      <w:bookmarkEnd w:id="1142"/>
      <w:bookmarkEnd w:id="1143"/>
      <w:bookmarkEnd w:id="1144"/>
      <w:bookmarkEnd w:id="1145"/>
      <w:bookmarkEnd w:id="1146"/>
      <w:bookmarkEnd w:id="1147"/>
      <w:bookmarkEnd w:id="1148"/>
      <w:bookmarkEnd w:id="1149"/>
      <w:bookmarkEnd w:id="1150"/>
      <w:r w:rsidRPr="001A4860">
        <w:rPr>
          <w:rFonts w:ascii="Calibri" w:eastAsia="Calibri" w:hAnsi="Calibri" w:cs="Courier New"/>
          <w:b/>
          <w:bCs/>
          <w:kern w:val="28"/>
          <w:sz w:val="22"/>
          <w:szCs w:val="22"/>
          <w:lang w:val="es-NI"/>
        </w:rPr>
        <w:t>TANQUE DE MAMPOSTERÍA</w:t>
      </w:r>
      <w:bookmarkEnd w:id="1151"/>
      <w:bookmarkEnd w:id="1152"/>
      <w:bookmarkEnd w:id="1153"/>
    </w:p>
    <w:p w14:paraId="7249B7D3"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154" w:name="_Toc456232722"/>
      <w:bookmarkStart w:id="1155" w:name="_Toc240187213"/>
      <w:bookmarkStart w:id="1156" w:name="_Toc240777449"/>
      <w:r w:rsidRPr="001A4860">
        <w:rPr>
          <w:rFonts w:ascii="Calibri" w:eastAsia="Calibri" w:hAnsi="Calibri" w:cs="Arial"/>
          <w:b/>
          <w:bCs/>
          <w:iCs/>
          <w:sz w:val="22"/>
          <w:szCs w:val="28"/>
          <w:lang w:val="es-NI"/>
        </w:rPr>
        <w:t>Condiciones Generales</w:t>
      </w:r>
      <w:bookmarkEnd w:id="1154"/>
      <w:bookmarkEnd w:id="1155"/>
      <w:bookmarkEnd w:id="1156"/>
    </w:p>
    <w:p w14:paraId="111E0A1F" w14:textId="77777777" w:rsidR="001A4860" w:rsidRPr="001A4860" w:rsidRDefault="001A4860" w:rsidP="001A4860">
      <w:pPr>
        <w:spacing w:line="256" w:lineRule="auto"/>
        <w:rPr>
          <w:rFonts w:ascii="Calibri" w:eastAsia="Calibri" w:hAnsi="Calibri" w:cs="Arial"/>
          <w:szCs w:val="24"/>
          <w:lang w:val="es-NI"/>
        </w:rPr>
      </w:pPr>
    </w:p>
    <w:p w14:paraId="48771377"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1B328BA8" w14:textId="77777777" w:rsidR="001A4860" w:rsidRPr="001A4860" w:rsidRDefault="001A4860" w:rsidP="001A4860">
      <w:pPr>
        <w:spacing w:line="256" w:lineRule="auto"/>
        <w:rPr>
          <w:rFonts w:ascii="Calibri" w:eastAsia="Calibri" w:hAnsi="Calibri" w:cs="Arial"/>
          <w:szCs w:val="24"/>
          <w:lang w:val="es-NI"/>
        </w:rPr>
      </w:pPr>
    </w:p>
    <w:p w14:paraId="7D24742F"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 mampostería deberá incluir todos los elementos de anclaje y la coordinación con el resto de las artes que intervienen. Esto incluye la preparación de cronogramas de fabricación de instalación de acuerdo con el contratista general. </w:t>
      </w:r>
    </w:p>
    <w:p w14:paraId="7A8A2C34" w14:textId="77777777" w:rsidR="001A4860" w:rsidRPr="001A4860" w:rsidRDefault="001A4860" w:rsidP="001A4860">
      <w:pPr>
        <w:spacing w:line="20" w:lineRule="atLeast"/>
        <w:rPr>
          <w:rFonts w:ascii="Calibri" w:eastAsia="Calibri" w:hAnsi="Calibri" w:cs="Arial"/>
          <w:szCs w:val="24"/>
          <w:lang w:val="es-NI"/>
        </w:rPr>
      </w:pPr>
    </w:p>
    <w:p w14:paraId="21CEADE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 piedra bolón será obtenida de la quebrada más cercana a la comunidad.  </w:t>
      </w:r>
    </w:p>
    <w:p w14:paraId="10F2E0EC"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157" w:name="_Toc456232723"/>
      <w:bookmarkStart w:id="1158" w:name="_Toc240187214"/>
      <w:bookmarkStart w:id="1159" w:name="_Toc240777450"/>
      <w:r w:rsidRPr="001A4860">
        <w:rPr>
          <w:rFonts w:ascii="Calibri" w:eastAsia="Calibri" w:hAnsi="Calibri" w:cs="Arial"/>
          <w:b/>
          <w:bCs/>
          <w:iCs/>
          <w:sz w:val="22"/>
          <w:szCs w:val="28"/>
          <w:lang w:val="es-NI"/>
        </w:rPr>
        <w:t>Trabajo Comprendido</w:t>
      </w:r>
      <w:bookmarkEnd w:id="1157"/>
      <w:bookmarkEnd w:id="1158"/>
      <w:bookmarkEnd w:id="1159"/>
    </w:p>
    <w:p w14:paraId="50AB7B53" w14:textId="77777777" w:rsidR="001A4860" w:rsidRPr="001A4860" w:rsidRDefault="001A4860" w:rsidP="001A4860">
      <w:pPr>
        <w:spacing w:line="256" w:lineRule="auto"/>
        <w:rPr>
          <w:rFonts w:ascii="Calibri" w:eastAsia="Calibri" w:hAnsi="Calibri" w:cs="Arial"/>
          <w:szCs w:val="24"/>
          <w:lang w:val="es-NI"/>
        </w:rPr>
      </w:pPr>
    </w:p>
    <w:p w14:paraId="5DA704D4" w14:textId="77777777" w:rsidR="001A4860" w:rsidRPr="001A4860" w:rsidRDefault="001A4860" w:rsidP="001A4860">
      <w:pPr>
        <w:tabs>
          <w:tab w:val="left" w:pos="5040"/>
        </w:tabs>
        <w:spacing w:line="256" w:lineRule="auto"/>
        <w:rPr>
          <w:rFonts w:ascii="Calibri" w:eastAsia="Calibri" w:hAnsi="Calibri" w:cs="Arial"/>
          <w:szCs w:val="24"/>
          <w:lang w:val="es-NI"/>
        </w:rPr>
      </w:pPr>
      <w:r w:rsidRPr="001A4860">
        <w:rPr>
          <w:rFonts w:ascii="Calibri" w:eastAsia="Calibri" w:hAnsi="Calibri" w:cs="Arial"/>
          <w:szCs w:val="24"/>
          <w:lang w:val="es-NI"/>
        </w:rPr>
        <w:t xml:space="preserve">El Contratista deberá proporcionar toda la mano de obra, equipos, materiales y herramientas necesarias para la construcción de un tanque de de mampostería de </w:t>
      </w:r>
      <w:r w:rsidRPr="001A4860">
        <w:rPr>
          <w:rFonts w:ascii="Calibri" w:eastAsia="Calibri" w:hAnsi="Calibri" w:cs="Arial"/>
          <w:b/>
          <w:szCs w:val="24"/>
          <w:lang w:val="es-NI"/>
        </w:rPr>
        <w:t>7,925.00</w:t>
      </w:r>
      <w:r w:rsidRPr="001A4860">
        <w:rPr>
          <w:rFonts w:ascii="Calibri" w:eastAsia="Calibri" w:hAnsi="Calibri" w:cs="Arial"/>
          <w:szCs w:val="24"/>
          <w:lang w:val="es-NI"/>
        </w:rPr>
        <w:t xml:space="preserve"> galones de capacidad, estructura y obras adicionales, incluyendo excavación, relleno, nivelación, limpieza del predio y de las estructuras, lavado y prueba del tanque y a terminar los trabajos de acuerdo con los planos y lo aquí especificado.</w:t>
      </w:r>
    </w:p>
    <w:p w14:paraId="6B712582" w14:textId="77777777" w:rsidR="001A4860" w:rsidRPr="001A4860" w:rsidRDefault="001A4860" w:rsidP="001A4860">
      <w:pPr>
        <w:tabs>
          <w:tab w:val="left" w:pos="5040"/>
        </w:tabs>
        <w:spacing w:line="256" w:lineRule="auto"/>
        <w:rPr>
          <w:rFonts w:ascii="Calibri" w:eastAsia="Calibri" w:hAnsi="Calibri" w:cs="Arial"/>
          <w:szCs w:val="24"/>
          <w:lang w:val="es-NI"/>
        </w:rPr>
      </w:pPr>
    </w:p>
    <w:p w14:paraId="6EB8ED07" w14:textId="77777777" w:rsidR="001A4860" w:rsidRPr="001A4860" w:rsidRDefault="001A4860" w:rsidP="001A4860">
      <w:pPr>
        <w:spacing w:line="256" w:lineRule="auto"/>
        <w:outlineLvl w:val="0"/>
        <w:rPr>
          <w:rFonts w:ascii="Calibri" w:eastAsia="Calibri" w:hAnsi="Calibri" w:cs="Arial"/>
          <w:b/>
          <w:i/>
          <w:szCs w:val="24"/>
          <w:lang w:val="es-NI"/>
        </w:rPr>
      </w:pPr>
      <w:bookmarkStart w:id="1160" w:name="_Toc240777451"/>
      <w:r w:rsidRPr="001A4860">
        <w:rPr>
          <w:rFonts w:ascii="Calibri" w:eastAsia="Calibri" w:hAnsi="Calibri" w:cs="Arial"/>
          <w:b/>
          <w:i/>
          <w:szCs w:val="24"/>
          <w:lang w:val="es-NI"/>
        </w:rPr>
        <w:t>Banco de Nivel:</w:t>
      </w:r>
      <w:bookmarkEnd w:id="1160"/>
    </w:p>
    <w:p w14:paraId="476A08AC"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Todos los bancos de nivel, puntos de coordinación y estacas, deben ser preservados y si se destruyen estos, deben ser repuestos, por cuenta del Contratista, hasta que el SUPERVISOR lo crea conveniente.</w:t>
      </w:r>
    </w:p>
    <w:p w14:paraId="49DB9450" w14:textId="77777777" w:rsidR="001A4860" w:rsidRPr="001A4860" w:rsidRDefault="001A4860" w:rsidP="001A4860">
      <w:pPr>
        <w:spacing w:line="256" w:lineRule="auto"/>
        <w:rPr>
          <w:rFonts w:ascii="Calibri" w:eastAsia="Calibri" w:hAnsi="Calibri" w:cs="Arial"/>
          <w:szCs w:val="24"/>
          <w:lang w:val="es-NI"/>
        </w:rPr>
      </w:pPr>
    </w:p>
    <w:p w14:paraId="07D59523" w14:textId="77777777" w:rsidR="001A4860" w:rsidRPr="001A4860" w:rsidRDefault="001A4860" w:rsidP="001A4860">
      <w:pPr>
        <w:spacing w:line="256" w:lineRule="auto"/>
        <w:outlineLvl w:val="0"/>
        <w:rPr>
          <w:rFonts w:ascii="Calibri" w:eastAsia="Calibri" w:hAnsi="Calibri" w:cs="Arial"/>
          <w:b/>
          <w:i/>
          <w:szCs w:val="24"/>
          <w:lang w:val="es-NI"/>
        </w:rPr>
      </w:pPr>
      <w:bookmarkStart w:id="1161" w:name="_Toc240777452"/>
      <w:r w:rsidRPr="001A4860">
        <w:rPr>
          <w:rFonts w:ascii="Calibri" w:eastAsia="Calibri" w:hAnsi="Calibri" w:cs="Arial"/>
          <w:b/>
          <w:i/>
          <w:szCs w:val="24"/>
          <w:lang w:val="es-NI"/>
        </w:rPr>
        <w:t>Responsabilidad por el Terreno:</w:t>
      </w:r>
      <w:bookmarkEnd w:id="1161"/>
    </w:p>
    <w:p w14:paraId="27C70B8D"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Constructor tiene la obligación de examinar los planos y el sitio  de la obra, y asumir completa responsabilidad por cualquier condición en el uso y mantenimiento del terreno.</w:t>
      </w:r>
    </w:p>
    <w:p w14:paraId="1A12DDAB" w14:textId="77777777" w:rsidR="001A4860" w:rsidRPr="001A4860" w:rsidRDefault="001A4860" w:rsidP="001A4860">
      <w:pPr>
        <w:spacing w:after="160" w:line="256" w:lineRule="auto"/>
        <w:rPr>
          <w:rFonts w:ascii="Calibri" w:eastAsia="Calibri" w:hAnsi="Calibri" w:cs="Arial"/>
          <w:szCs w:val="24"/>
          <w:lang w:val="es-NI"/>
        </w:rPr>
      </w:pPr>
    </w:p>
    <w:p w14:paraId="60CE9A7F" w14:textId="77777777" w:rsidR="001A4860" w:rsidRPr="001A4860" w:rsidRDefault="001A4860" w:rsidP="003B68DB">
      <w:pPr>
        <w:keepNext/>
        <w:keepLines/>
        <w:numPr>
          <w:ilvl w:val="2"/>
          <w:numId w:val="174"/>
        </w:numPr>
        <w:spacing w:after="160" w:line="276" w:lineRule="auto"/>
        <w:jc w:val="left"/>
        <w:outlineLvl w:val="2"/>
        <w:rPr>
          <w:rFonts w:ascii="Calibri Light" w:hAnsi="Calibri Light"/>
          <w:b/>
          <w:bCs/>
          <w:sz w:val="22"/>
          <w:szCs w:val="22"/>
          <w:lang w:val="es-NI"/>
        </w:rPr>
      </w:pPr>
      <w:bookmarkStart w:id="1162" w:name="_Toc456232724"/>
      <w:bookmarkStart w:id="1163" w:name="_Toc240187215"/>
      <w:bookmarkStart w:id="1164" w:name="_Toc240777453"/>
      <w:r w:rsidRPr="001A4860">
        <w:rPr>
          <w:rFonts w:ascii="Calibri Light" w:hAnsi="Calibri Light"/>
          <w:b/>
          <w:bCs/>
          <w:sz w:val="22"/>
          <w:szCs w:val="22"/>
          <w:lang w:val="es-NI"/>
        </w:rPr>
        <w:t>Movimiento de Tierra</w:t>
      </w:r>
      <w:bookmarkEnd w:id="1162"/>
      <w:bookmarkEnd w:id="1163"/>
      <w:bookmarkEnd w:id="1164"/>
    </w:p>
    <w:p w14:paraId="7109EEDF" w14:textId="77777777" w:rsidR="001A4860" w:rsidRPr="001A4860" w:rsidRDefault="001A4860" w:rsidP="001A4860">
      <w:pPr>
        <w:spacing w:line="256" w:lineRule="auto"/>
        <w:outlineLvl w:val="0"/>
        <w:rPr>
          <w:rFonts w:ascii="Calibri" w:eastAsia="Calibri" w:hAnsi="Calibri" w:cs="Arial"/>
          <w:b/>
          <w:szCs w:val="24"/>
          <w:u w:val="single"/>
          <w:lang w:val="es-NI"/>
        </w:rPr>
      </w:pPr>
    </w:p>
    <w:p w14:paraId="251DE111" w14:textId="77777777" w:rsidR="001A4860" w:rsidRPr="001A4860" w:rsidRDefault="001A4860" w:rsidP="001A4860">
      <w:pPr>
        <w:spacing w:line="256" w:lineRule="auto"/>
        <w:outlineLvl w:val="0"/>
        <w:rPr>
          <w:rFonts w:ascii="Calibri" w:eastAsia="Calibri" w:hAnsi="Calibri" w:cs="Arial"/>
          <w:b/>
          <w:i/>
          <w:szCs w:val="24"/>
          <w:lang w:val="es-NI"/>
        </w:rPr>
      </w:pPr>
      <w:bookmarkStart w:id="1165" w:name="_Toc240777454"/>
      <w:r w:rsidRPr="001A4860">
        <w:rPr>
          <w:rFonts w:ascii="Calibri" w:eastAsia="Calibri" w:hAnsi="Calibri" w:cs="Arial"/>
          <w:b/>
          <w:i/>
          <w:szCs w:val="24"/>
          <w:lang w:val="es-NI"/>
        </w:rPr>
        <w:t>Excavación:</w:t>
      </w:r>
      <w:bookmarkEnd w:id="1165"/>
    </w:p>
    <w:p w14:paraId="06500CFD" w14:textId="77777777" w:rsidR="001A4860" w:rsidRPr="001A4860" w:rsidRDefault="001A4860" w:rsidP="001A4860">
      <w:pPr>
        <w:spacing w:after="160" w:line="256" w:lineRule="auto"/>
        <w:rPr>
          <w:rFonts w:ascii="Calibri" w:eastAsia="Calibri" w:hAnsi="Calibri" w:cs="Arial"/>
          <w:szCs w:val="24"/>
          <w:lang w:val="es-NI"/>
        </w:rPr>
      </w:pPr>
      <w:r w:rsidRPr="001A4860">
        <w:rPr>
          <w:rFonts w:ascii="Calibri" w:eastAsia="Calibri" w:hAnsi="Calibri" w:cs="Arial"/>
          <w:szCs w:val="24"/>
          <w:lang w:val="es-NI"/>
        </w:rPr>
        <w:t>La excavación para el tanque se efectuará de acuerdo con las recomendaciones del diseño estructural y con las dimensiones y niveles indicados en los planos. La excavación se extenderá a una distancia tal de las paredes que permita llevar a cabo las diferentes operaciones de construcción e inspección de la Obra.</w:t>
      </w:r>
    </w:p>
    <w:p w14:paraId="480F0826" w14:textId="77777777" w:rsidR="001A4860" w:rsidRPr="001A4860" w:rsidRDefault="001A4860" w:rsidP="001A4860">
      <w:pPr>
        <w:spacing w:after="160" w:line="256" w:lineRule="auto"/>
        <w:rPr>
          <w:rFonts w:ascii="Calibri" w:eastAsia="Calibri" w:hAnsi="Calibri" w:cs="Arial"/>
          <w:szCs w:val="24"/>
          <w:lang w:val="es-NI"/>
        </w:rPr>
      </w:pPr>
      <w:r w:rsidRPr="001A4860">
        <w:rPr>
          <w:rFonts w:ascii="Calibri" w:eastAsia="Calibri" w:hAnsi="Calibri" w:cs="Arial"/>
          <w:szCs w:val="24"/>
          <w:lang w:val="es-NI"/>
        </w:rPr>
        <w:t>Toda obstrucción, troncos, árboles y desperdicios en el área del movimiento de tierra serán removidos fuera del predio por el Contratista a su costo.</w:t>
      </w:r>
    </w:p>
    <w:p w14:paraId="03B8632A" w14:textId="77777777" w:rsidR="001A4860" w:rsidRPr="001A4860" w:rsidRDefault="001A4860" w:rsidP="001A4860">
      <w:pPr>
        <w:spacing w:line="256" w:lineRule="auto"/>
        <w:outlineLvl w:val="0"/>
        <w:rPr>
          <w:rFonts w:ascii="Calibri" w:eastAsia="Calibri" w:hAnsi="Calibri" w:cs="Arial"/>
          <w:b/>
          <w:i/>
          <w:szCs w:val="24"/>
          <w:lang w:val="es-NI"/>
        </w:rPr>
      </w:pPr>
      <w:bookmarkStart w:id="1166" w:name="_Toc240777455"/>
      <w:r w:rsidRPr="001A4860">
        <w:rPr>
          <w:rFonts w:ascii="Calibri" w:eastAsia="Calibri" w:hAnsi="Calibri" w:cs="Arial"/>
          <w:b/>
          <w:i/>
          <w:szCs w:val="24"/>
          <w:lang w:val="es-NI"/>
        </w:rPr>
        <w:t>Acarreo de Tierra</w:t>
      </w:r>
      <w:bookmarkEnd w:id="1166"/>
    </w:p>
    <w:p w14:paraId="53C0EF10"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 xml:space="preserve">Esta actividad se refiere al acarreo de tierra sea este material selecto acarreado al proyecto, o la de botar la tierra sobrante de excavación. </w:t>
      </w:r>
    </w:p>
    <w:p w14:paraId="2BA02A7B"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 xml:space="preserve">Cuando en los rellenos se requiera material selecto, este será acarreado con equipo adecuado a como lo disponga el contratista, siempre que el material cumpla con lo establecido en estas especificaciones. </w:t>
      </w:r>
    </w:p>
    <w:p w14:paraId="3A8A7937"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 xml:space="preserve">Una vez en el sitio de la obra, el contratista lo depositara a menos de </w:t>
      </w:r>
      <w:smartTag w:uri="urn:schemas-microsoft-com:office:smarttags" w:element="metricconverter">
        <w:smartTagPr>
          <w:attr w:name="ProductID" w:val="3.00 metros"/>
        </w:smartTagPr>
        <w:r w:rsidRPr="001A4860">
          <w:rPr>
            <w:rFonts w:ascii="Calibri" w:eastAsia="Calibri" w:hAnsi="Calibri" w:cs="Arial"/>
            <w:szCs w:val="24"/>
            <w:lang w:val="es-NI"/>
          </w:rPr>
          <w:t>3.00 metros</w:t>
        </w:r>
      </w:smartTag>
      <w:r w:rsidRPr="001A4860">
        <w:rPr>
          <w:rFonts w:ascii="Calibri" w:eastAsia="Calibri" w:hAnsi="Calibri" w:cs="Arial"/>
          <w:szCs w:val="24"/>
          <w:lang w:val="es-NI"/>
        </w:rPr>
        <w:t xml:space="preserve"> de los lugares donde será usado para relleno. Cuando se trate de botar, el material sobrante de excavación, este será usado para rellenar cárcavas o zanjas que se hayan formado en el terreno por la escorrentía, será compactado debidamente, el material sobrante será botado donde lo estipule el supervisor, siempre que no ocasione daños a terceras personas. </w:t>
      </w:r>
    </w:p>
    <w:p w14:paraId="6D590639"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 xml:space="preserve">En el área de la obra exactamente en el área entre ejes de la construcción será limpiada de todo material que sea llevado a la obra para rellenar, como todo material sobrante de excavación que sea sacado de la misma. </w:t>
      </w:r>
    </w:p>
    <w:p w14:paraId="0B50B158"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 xml:space="preserve">Este inciso se refiere a también a botar todo el material sobrante de excavación o todo material de excavación que sea nocivo para rellenos, tales como suelo arcilloso, talpetate, o suelos pomozos, que no sea usado en la obra, éste será botado en un sitio donde lo indique el supervisor, siempre que no afecte a terceras personas, este material botado a una distancia no </w:t>
      </w:r>
      <w:r w:rsidRPr="001A4860">
        <w:rPr>
          <w:rFonts w:ascii="Calibri" w:eastAsia="Calibri" w:hAnsi="Calibri" w:cs="Arial"/>
          <w:szCs w:val="24"/>
          <w:lang w:val="es-NI"/>
        </w:rPr>
        <w:lastRenderedPageBreak/>
        <w:t xml:space="preserve">mayor a tres kilómetros del sitio de la obra, solo que a esa distancia no existiera sitio adecuado, el contratista lo llevara a un sitio más distante. </w:t>
      </w:r>
    </w:p>
    <w:p w14:paraId="31B04188" w14:textId="77777777" w:rsidR="001A4860" w:rsidRPr="001A4860" w:rsidRDefault="001A4860" w:rsidP="001A4860">
      <w:pPr>
        <w:spacing w:after="160" w:line="20" w:lineRule="atLeast"/>
        <w:rPr>
          <w:rFonts w:ascii="Calibri" w:eastAsia="Calibri" w:hAnsi="Calibri" w:cs="Arial"/>
          <w:szCs w:val="24"/>
          <w:lang w:val="es-NI"/>
        </w:rPr>
      </w:pPr>
      <w:r w:rsidRPr="001A4860">
        <w:rPr>
          <w:rFonts w:ascii="Calibri" w:eastAsia="Calibri" w:hAnsi="Calibri" w:cs="Arial"/>
          <w:szCs w:val="24"/>
          <w:lang w:val="es-NI"/>
        </w:rPr>
        <w:t>No se permitirá al contratista esparcir el material sobrante de excavación en los predios del proyecto, sólo en el caso que se tenga que usar para rellenar cárcavas, zanjas y grietas naturales en el terreno.</w:t>
      </w:r>
    </w:p>
    <w:p w14:paraId="51CEB999" w14:textId="77777777" w:rsidR="001A4860" w:rsidRPr="001A4860" w:rsidRDefault="001A4860" w:rsidP="001A4860">
      <w:pPr>
        <w:spacing w:line="256" w:lineRule="auto"/>
        <w:outlineLvl w:val="0"/>
        <w:rPr>
          <w:rFonts w:ascii="Calibri" w:eastAsia="Calibri" w:hAnsi="Calibri" w:cs="Arial"/>
          <w:b/>
          <w:i/>
          <w:szCs w:val="24"/>
          <w:lang w:val="es-NI"/>
        </w:rPr>
      </w:pPr>
      <w:bookmarkStart w:id="1167" w:name="_Toc240777456"/>
      <w:r w:rsidRPr="001A4860">
        <w:rPr>
          <w:rFonts w:ascii="Calibri" w:eastAsia="Calibri" w:hAnsi="Calibri" w:cs="Arial"/>
          <w:b/>
          <w:i/>
          <w:szCs w:val="24"/>
          <w:lang w:val="es-NI"/>
        </w:rPr>
        <w:t>Relleno:</w:t>
      </w:r>
      <w:bookmarkEnd w:id="1167"/>
    </w:p>
    <w:p w14:paraId="02B30F75"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Consiste en el relleno indicado en los planos para los cimientos del tanque.</w:t>
      </w:r>
    </w:p>
    <w:p w14:paraId="2A64AC0F" w14:textId="77777777" w:rsidR="001A4860" w:rsidRPr="001A4860" w:rsidRDefault="001A4860" w:rsidP="001A4860">
      <w:pPr>
        <w:spacing w:line="256" w:lineRule="auto"/>
        <w:rPr>
          <w:rFonts w:ascii="Calibri" w:eastAsia="Calibri" w:hAnsi="Calibri" w:cs="Arial"/>
          <w:szCs w:val="24"/>
          <w:lang w:val="es-NI"/>
        </w:rPr>
      </w:pPr>
    </w:p>
    <w:p w14:paraId="732989E6"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a) El material a usarse deberá ser aprobado por el SUPERVISOR, de acuerdo con las especificaciones y por cuenta del CONTRATISTA.</w:t>
      </w:r>
    </w:p>
    <w:p w14:paraId="1B9C3438" w14:textId="77777777" w:rsidR="001A4860" w:rsidRPr="001A4860" w:rsidRDefault="001A4860" w:rsidP="001A4860">
      <w:pPr>
        <w:spacing w:line="256" w:lineRule="auto"/>
        <w:rPr>
          <w:rFonts w:ascii="Calibri" w:eastAsia="Calibri" w:hAnsi="Calibri" w:cs="Arial"/>
          <w:szCs w:val="24"/>
          <w:lang w:val="es-NI"/>
        </w:rPr>
      </w:pPr>
    </w:p>
    <w:p w14:paraId="528BFEF7"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b) Todo el material debidamente aprobado deberá estar libre de toda materia vegetal u orgánica, de desperdicios de pedazos de madera o sustancias deletéreas, para el relleno se podrá usar el material producto de las excavaciones de acuerdo a las recomendaciones dadas por un laboratorio de suelos.</w:t>
      </w:r>
    </w:p>
    <w:p w14:paraId="5FC13387" w14:textId="77777777" w:rsidR="001A4860" w:rsidRPr="001A4860" w:rsidRDefault="001A4860" w:rsidP="001A4860">
      <w:pPr>
        <w:spacing w:line="256" w:lineRule="auto"/>
        <w:rPr>
          <w:rFonts w:ascii="Calibri" w:eastAsia="Calibri" w:hAnsi="Calibri" w:cs="Arial"/>
          <w:szCs w:val="24"/>
          <w:lang w:val="es-NI"/>
        </w:rPr>
      </w:pPr>
    </w:p>
    <w:p w14:paraId="11E2AE2B"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equipo a emplearse deberá ser el que logre la compactación más adecuada para el material por compactarse, previa autorización del SUPERVISOR.</w:t>
      </w:r>
    </w:p>
    <w:p w14:paraId="40405F38" w14:textId="77777777" w:rsidR="001A4860" w:rsidRPr="001A4860" w:rsidRDefault="001A4860" w:rsidP="001A4860">
      <w:pPr>
        <w:spacing w:line="256" w:lineRule="auto"/>
        <w:rPr>
          <w:rFonts w:ascii="Calibri" w:eastAsia="Calibri" w:hAnsi="Calibri" w:cs="Arial"/>
          <w:szCs w:val="24"/>
          <w:lang w:val="es-NI"/>
        </w:rPr>
      </w:pPr>
    </w:p>
    <w:p w14:paraId="0091B8A5"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c) El relleno deberá efectuarse con materiales apropiados a como está especificado. El trabajo requiere la preparación y selección de materiales, formación, compactación y estabilización del relleno, y disponer de los materiales necesarios y sobrantes.</w:t>
      </w:r>
    </w:p>
    <w:p w14:paraId="7165487D" w14:textId="77777777" w:rsidR="001A4860" w:rsidRPr="001A4860" w:rsidRDefault="001A4860" w:rsidP="001A4860">
      <w:pPr>
        <w:spacing w:line="256" w:lineRule="auto"/>
        <w:rPr>
          <w:rFonts w:ascii="Calibri" w:eastAsia="Calibri" w:hAnsi="Calibri" w:cs="Arial"/>
          <w:szCs w:val="24"/>
          <w:lang w:val="es-NI"/>
        </w:rPr>
      </w:pPr>
    </w:p>
    <w:p w14:paraId="559AC63E"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d) Los rellenos deben efectuarse hasta suficiente altura para que después del asentamiento, éste quede de acuerdo con las elevaciones indicadas en los planos.</w:t>
      </w:r>
    </w:p>
    <w:p w14:paraId="2DB40E05" w14:textId="77777777" w:rsidR="001A4860" w:rsidRPr="001A4860" w:rsidRDefault="001A4860" w:rsidP="001A4860">
      <w:pPr>
        <w:spacing w:line="256" w:lineRule="auto"/>
        <w:rPr>
          <w:rFonts w:ascii="Calibri" w:eastAsia="Calibri" w:hAnsi="Calibri" w:cs="Arial"/>
          <w:szCs w:val="24"/>
          <w:lang w:val="es-NI"/>
        </w:rPr>
      </w:pPr>
    </w:p>
    <w:p w14:paraId="6F8A92F5"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 Las áreas para relleno deberán limpiarse de toda impureza. Las depresiones u hoyos bajo el nivel del suelo, deberán ser rellenados con material selecto y compactados a una densidad similar a la del terreno adjunto. Antes de efectuar el relleno, la superficie del suelo debe ser escarificada y finalmente quebrada, para permitir una buena mezcla del viejo con el nuevo material.</w:t>
      </w:r>
    </w:p>
    <w:p w14:paraId="3234A33C" w14:textId="77777777" w:rsidR="001A4860" w:rsidRPr="001A4860" w:rsidRDefault="001A4860" w:rsidP="001A4860">
      <w:pPr>
        <w:spacing w:line="256" w:lineRule="auto"/>
        <w:rPr>
          <w:rFonts w:ascii="Calibri" w:eastAsia="Calibri" w:hAnsi="Calibri" w:cs="Arial"/>
          <w:szCs w:val="24"/>
          <w:lang w:val="es-NI"/>
        </w:rPr>
      </w:pPr>
    </w:p>
    <w:p w14:paraId="286713BC"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 xml:space="preserve">f) El material relleno debe ser depositado en superficies uniformes de no más de </w:t>
      </w:r>
      <w:smartTag w:uri="urn:schemas-microsoft-com:office:smarttags" w:element="metricconverter">
        <w:smartTagPr>
          <w:attr w:name="ProductID" w:val="0.15 m"/>
        </w:smartTagPr>
        <w:r w:rsidRPr="001A4860">
          <w:rPr>
            <w:rFonts w:ascii="Calibri" w:eastAsia="Calibri" w:hAnsi="Calibri" w:cs="Arial"/>
            <w:szCs w:val="24"/>
            <w:lang w:val="es-NI"/>
          </w:rPr>
          <w:t>0.15 m</w:t>
        </w:r>
      </w:smartTag>
      <w:r w:rsidRPr="001A4860">
        <w:rPr>
          <w:rFonts w:ascii="Calibri" w:eastAsia="Calibri" w:hAnsi="Calibri" w:cs="Arial"/>
          <w:szCs w:val="24"/>
          <w:lang w:val="es-NI"/>
        </w:rPr>
        <w:t xml:space="preserve"> de profundidad por toda el área, ser debidamente compactada y mantenida al mismo nivel en toda el área. Capas sucesivas deberán ser debidamente compactadas, distribuyendo el material de relleno en toda la superficie. Cada capa deberá ser colocada controlando su contenido de humedad, ningún material deberá colocarse demasiado húmedo, para poder compactarlos adecuadamente.</w:t>
      </w:r>
    </w:p>
    <w:p w14:paraId="156CCC18" w14:textId="77777777" w:rsidR="001A4860" w:rsidRPr="001A4860" w:rsidRDefault="001A4860" w:rsidP="001A4860">
      <w:pPr>
        <w:spacing w:line="256" w:lineRule="auto"/>
        <w:rPr>
          <w:rFonts w:ascii="Calibri" w:eastAsia="Calibri" w:hAnsi="Calibri" w:cs="Arial"/>
          <w:szCs w:val="24"/>
          <w:lang w:val="es-NI"/>
        </w:rPr>
      </w:pPr>
    </w:p>
    <w:p w14:paraId="09DE826C"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lastRenderedPageBreak/>
        <w:t>g) EL CONTRATISTA será responsable por la perfecta estabilidad del relleno y reparará por su propia cuenta, cualquier porción fallada o que haya sido dañada por la lluvia, descuido o negligencia de su parte.</w:t>
      </w:r>
    </w:p>
    <w:p w14:paraId="383E2A93"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grado de compactación deberá ser 100% de su densidad máxima. Se tomará pruebas a cada capa compactada en un número determinado a criterio del SUPERVISOR.</w:t>
      </w:r>
    </w:p>
    <w:p w14:paraId="43F40BDD" w14:textId="77777777" w:rsidR="001A4860" w:rsidRPr="001A4860" w:rsidRDefault="001A4860" w:rsidP="001A4860">
      <w:pPr>
        <w:spacing w:line="256" w:lineRule="auto"/>
        <w:rPr>
          <w:rFonts w:ascii="Calibri" w:eastAsia="Calibri" w:hAnsi="Calibri" w:cs="Arial"/>
          <w:szCs w:val="24"/>
          <w:lang w:val="es-NI"/>
        </w:rPr>
      </w:pPr>
    </w:p>
    <w:p w14:paraId="0477FB8D"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Estas pruebas serán por cuenta del DUEÑO, aquellos que no se cumplan con las especificaciones las pagará el CONTRATISTA.</w:t>
      </w:r>
    </w:p>
    <w:p w14:paraId="09F9F0AC" w14:textId="77777777" w:rsidR="001A4860" w:rsidRPr="001A4860" w:rsidRDefault="001A4860" w:rsidP="001A4860">
      <w:pPr>
        <w:spacing w:line="256" w:lineRule="auto"/>
        <w:rPr>
          <w:rFonts w:ascii="Calibri" w:eastAsia="Calibri" w:hAnsi="Calibri" w:cs="Arial"/>
          <w:szCs w:val="24"/>
          <w:lang w:val="es-NI"/>
        </w:rPr>
      </w:pPr>
    </w:p>
    <w:p w14:paraId="54929C8C" w14:textId="77777777" w:rsidR="001A4860" w:rsidRPr="001A4860" w:rsidRDefault="001A4860" w:rsidP="003B68DB">
      <w:pPr>
        <w:keepNext/>
        <w:keepLines/>
        <w:numPr>
          <w:ilvl w:val="2"/>
          <w:numId w:val="174"/>
        </w:numPr>
        <w:spacing w:after="160" w:line="276" w:lineRule="auto"/>
        <w:jc w:val="left"/>
        <w:outlineLvl w:val="2"/>
        <w:rPr>
          <w:rFonts w:ascii="Calibri Light" w:hAnsi="Calibri Light"/>
          <w:b/>
          <w:bCs/>
          <w:sz w:val="22"/>
          <w:szCs w:val="22"/>
          <w:lang w:val="es-NI"/>
        </w:rPr>
      </w:pPr>
      <w:bookmarkStart w:id="1168" w:name="_Toc456232725"/>
      <w:bookmarkStart w:id="1169" w:name="_Toc240187216"/>
      <w:bookmarkStart w:id="1170" w:name="_Toc240777457"/>
      <w:r w:rsidRPr="001A4860">
        <w:rPr>
          <w:rFonts w:ascii="Calibri Light" w:hAnsi="Calibri Light"/>
          <w:b/>
          <w:bCs/>
          <w:sz w:val="22"/>
          <w:szCs w:val="22"/>
          <w:lang w:val="es-NI"/>
        </w:rPr>
        <w:t>Limpieza</w:t>
      </w:r>
      <w:bookmarkEnd w:id="1168"/>
      <w:bookmarkEnd w:id="1169"/>
      <w:bookmarkEnd w:id="1170"/>
    </w:p>
    <w:p w14:paraId="178C8B31" w14:textId="77777777" w:rsidR="001A4860" w:rsidRPr="001A4860" w:rsidRDefault="001A4860" w:rsidP="001A4860">
      <w:pPr>
        <w:spacing w:line="256" w:lineRule="auto"/>
        <w:rPr>
          <w:rFonts w:ascii="Calibri" w:eastAsia="Calibri" w:hAnsi="Calibri" w:cs="Arial"/>
          <w:szCs w:val="24"/>
          <w:lang w:val="es-NI"/>
        </w:rPr>
      </w:pPr>
    </w:p>
    <w:p w14:paraId="05C49299"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Todo material sobrante resultado de la excavación del sitio, será removido del predio al costo del Contratista.</w:t>
      </w:r>
    </w:p>
    <w:p w14:paraId="6138A91C" w14:textId="77777777" w:rsidR="001A4860" w:rsidRPr="001A4860" w:rsidRDefault="001A4860" w:rsidP="001A4860">
      <w:pPr>
        <w:spacing w:line="256" w:lineRule="auto"/>
        <w:rPr>
          <w:rFonts w:ascii="Calibri" w:eastAsia="Calibri" w:hAnsi="Calibri" w:cs="Arial"/>
          <w:szCs w:val="24"/>
          <w:lang w:val="es-NI"/>
        </w:rPr>
      </w:pPr>
    </w:p>
    <w:p w14:paraId="55BC737C"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Así mismo todos los desperdicios y escombros resultados de estos trabajos, se removerán del sitio, el cual se entregará limpio y en condiciones aceptables, EL CONTRATISTA tomará todas las precauciones necesarias para no causar daños a terceros en la distribución de la basura del terreno.</w:t>
      </w:r>
    </w:p>
    <w:p w14:paraId="39A72D7F" w14:textId="77777777" w:rsidR="001A4860" w:rsidRPr="001A4860" w:rsidRDefault="001A4860" w:rsidP="001A4860">
      <w:pPr>
        <w:spacing w:line="256" w:lineRule="auto"/>
        <w:rPr>
          <w:rFonts w:ascii="Calibri" w:eastAsia="Calibri" w:hAnsi="Calibri" w:cs="Arial"/>
          <w:szCs w:val="24"/>
          <w:lang w:val="es-NI"/>
        </w:rPr>
      </w:pPr>
    </w:p>
    <w:p w14:paraId="5D89259F" w14:textId="77777777" w:rsidR="001A4860" w:rsidRPr="001A4860" w:rsidRDefault="001A4860" w:rsidP="001A4860">
      <w:pPr>
        <w:spacing w:line="256" w:lineRule="auto"/>
        <w:rPr>
          <w:rFonts w:ascii="Calibri" w:eastAsia="Calibri" w:hAnsi="Calibri" w:cs="Arial"/>
          <w:szCs w:val="24"/>
          <w:lang w:val="es-NI"/>
        </w:rPr>
      </w:pPr>
    </w:p>
    <w:p w14:paraId="71751F59" w14:textId="77777777" w:rsidR="001A4860" w:rsidRPr="001A4860" w:rsidRDefault="001A4860" w:rsidP="003B68DB">
      <w:pPr>
        <w:keepNext/>
        <w:keepLines/>
        <w:numPr>
          <w:ilvl w:val="2"/>
          <w:numId w:val="174"/>
        </w:numPr>
        <w:spacing w:after="160" w:line="276" w:lineRule="auto"/>
        <w:jc w:val="left"/>
        <w:outlineLvl w:val="2"/>
        <w:rPr>
          <w:rFonts w:ascii="Calibri Light" w:hAnsi="Calibri Light"/>
          <w:b/>
          <w:bCs/>
          <w:sz w:val="22"/>
          <w:szCs w:val="22"/>
          <w:lang w:val="es-NI"/>
        </w:rPr>
      </w:pPr>
      <w:bookmarkStart w:id="1171" w:name="_Toc456232726"/>
      <w:bookmarkStart w:id="1172" w:name="_Toc240187217"/>
      <w:bookmarkStart w:id="1173" w:name="_Toc240777458"/>
      <w:r w:rsidRPr="001A4860">
        <w:rPr>
          <w:rFonts w:ascii="Calibri Light" w:hAnsi="Calibri Light"/>
          <w:b/>
          <w:bCs/>
          <w:sz w:val="22"/>
          <w:szCs w:val="22"/>
          <w:lang w:val="es-NI"/>
        </w:rPr>
        <w:t>Fundaciones de Concreto Reforzado</w:t>
      </w:r>
      <w:bookmarkEnd w:id="1171"/>
      <w:bookmarkEnd w:id="1172"/>
      <w:bookmarkEnd w:id="1173"/>
    </w:p>
    <w:p w14:paraId="35408A53" w14:textId="77777777" w:rsidR="001A4860" w:rsidRPr="001A4860" w:rsidRDefault="001A4860" w:rsidP="001A4860">
      <w:pPr>
        <w:spacing w:after="160" w:line="256" w:lineRule="auto"/>
        <w:jc w:val="left"/>
        <w:rPr>
          <w:rFonts w:ascii="Calibri" w:eastAsia="Calibri" w:hAnsi="Calibri"/>
          <w:sz w:val="22"/>
          <w:szCs w:val="22"/>
          <w:lang w:val="es-NI"/>
        </w:rPr>
      </w:pPr>
    </w:p>
    <w:p w14:paraId="080768B3"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concreto de los cimientos tendrá como mínimo una resistencia a la compresión de 3,500 psi (246 kg/cm</w:t>
      </w:r>
      <w:r w:rsidRPr="001A4860">
        <w:rPr>
          <w:rFonts w:ascii="Calibri" w:eastAsia="Calibri" w:hAnsi="Calibri" w:cs="Arial"/>
          <w:szCs w:val="24"/>
          <w:vertAlign w:val="superscript"/>
          <w:lang w:val="es-NI"/>
        </w:rPr>
        <w:t>2</w:t>
      </w:r>
      <w:r w:rsidRPr="001A4860">
        <w:rPr>
          <w:rFonts w:ascii="Calibri" w:eastAsia="Calibri" w:hAnsi="Calibri" w:cs="Arial"/>
          <w:szCs w:val="24"/>
          <w:lang w:val="es-NI"/>
        </w:rPr>
        <w:t>) a los 28 días de edad y deberá cumplir con los requisitos de calidad especificados en la norma ACI-318.19.</w:t>
      </w:r>
    </w:p>
    <w:p w14:paraId="1F4846A3"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La mezcla del concreto deberá hacerse en una mezcladora mecánica con no menos de 1 1/2 minutos de revolución continua, una vez que todos los ingredientes hayan sido introducidos dentro de la mezcladora.  No se permitirá el uso de concreto que tenga más de 45 minutos de estar mezclado a menos que hayan utilizado aditivos especiales, autorizados por El Ingeniero.</w:t>
      </w:r>
    </w:p>
    <w:p w14:paraId="32CAAA1E" w14:textId="77777777" w:rsidR="001A4860" w:rsidRPr="001A4860" w:rsidRDefault="001A4860" w:rsidP="001A4860">
      <w:pPr>
        <w:spacing w:line="20" w:lineRule="atLeast"/>
        <w:rPr>
          <w:rFonts w:ascii="Calibri" w:eastAsia="Calibri" w:hAnsi="Calibri" w:cs="Arial"/>
          <w:szCs w:val="24"/>
          <w:lang w:val="es-NI"/>
        </w:rPr>
      </w:pPr>
    </w:p>
    <w:p w14:paraId="23ECFEA4"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concreto deberá colocarse de tal manera que garantice una superficie completamente uniforme y pareja sin rastro de segregación o baches.  Esta condición será verificada por el Ingeniero Supervisor que determinará si la obra cumple con los requisitos de calidad establecidos o si es necesaria la demolición parcial o total de la obra o si la obra puede ser reparada por medio de aditivos epóxicos.</w:t>
      </w:r>
    </w:p>
    <w:p w14:paraId="55F1A6D4" w14:textId="77777777" w:rsidR="001A4860" w:rsidRPr="001A4860" w:rsidRDefault="001A4860" w:rsidP="001A4860">
      <w:pPr>
        <w:spacing w:line="256" w:lineRule="auto"/>
        <w:rPr>
          <w:rFonts w:ascii="Calibri" w:eastAsia="Calibri" w:hAnsi="Calibri" w:cs="Arial"/>
          <w:szCs w:val="24"/>
          <w:lang w:val="es-NI"/>
        </w:rPr>
      </w:pPr>
    </w:p>
    <w:p w14:paraId="3299F745"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agua a utilizar será potable, cemento cumpliendo con las normas ASTM C-150, los agregados serán limpios sin material perjudicial como materia orgánica, micas, detritos  que alteren la resistencia y durabilidad del concreto.</w:t>
      </w:r>
    </w:p>
    <w:p w14:paraId="57AFED41" w14:textId="77777777" w:rsidR="001A4860" w:rsidRPr="001A4860" w:rsidRDefault="001A4860" w:rsidP="001A4860">
      <w:pPr>
        <w:spacing w:line="256" w:lineRule="auto"/>
        <w:rPr>
          <w:rFonts w:ascii="Calibri" w:eastAsia="Calibri" w:hAnsi="Calibri" w:cs="Arial"/>
          <w:szCs w:val="24"/>
          <w:lang w:val="es-NI"/>
        </w:rPr>
      </w:pPr>
    </w:p>
    <w:p w14:paraId="132DB2A1"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El agregado fino deberá cumplir con las normas ASTM-C33 y el agregado grueso puede ser piedra triturada o grava limpia que cumpla con las normas ASTM-C33.  El tamaño mínimo del agregado será de ½”.</w:t>
      </w:r>
    </w:p>
    <w:p w14:paraId="5B2A8010" w14:textId="77777777" w:rsidR="001A4860" w:rsidRPr="001A4860" w:rsidRDefault="001A4860" w:rsidP="001A4860">
      <w:pPr>
        <w:spacing w:line="256" w:lineRule="auto"/>
        <w:rPr>
          <w:rFonts w:ascii="Calibri" w:eastAsia="Calibri" w:hAnsi="Calibri" w:cs="Arial"/>
          <w:szCs w:val="24"/>
          <w:lang w:val="es-NI"/>
        </w:rPr>
      </w:pPr>
    </w:p>
    <w:p w14:paraId="087FBAC9" w14:textId="77777777" w:rsidR="001A4860" w:rsidRPr="001A4860" w:rsidRDefault="001A4860" w:rsidP="001A4860">
      <w:pPr>
        <w:spacing w:line="256" w:lineRule="auto"/>
        <w:rPr>
          <w:rFonts w:ascii="Calibri" w:eastAsia="Calibri" w:hAnsi="Calibri" w:cs="Arial"/>
          <w:szCs w:val="24"/>
          <w:lang w:val="es-NI"/>
        </w:rPr>
      </w:pPr>
      <w:r w:rsidRPr="001A4860">
        <w:rPr>
          <w:rFonts w:ascii="Calibri" w:eastAsia="Calibri" w:hAnsi="Calibri" w:cs="Arial"/>
          <w:szCs w:val="24"/>
          <w:lang w:val="es-NI"/>
        </w:rPr>
        <w:t>Las varillas deberán estar limpias, sin trazas de oxidación, adherencias de sarro y otros recubrimientos que disminuyan la adherencia con el concreto.  El grado mínimo será Grado 40 corrugadas y cumpliendo con las normas ASTM A-815.</w:t>
      </w:r>
    </w:p>
    <w:p w14:paraId="272D63BF" w14:textId="77777777" w:rsidR="001A4860" w:rsidRPr="001A4860" w:rsidRDefault="001A4860" w:rsidP="001A4860">
      <w:pPr>
        <w:spacing w:line="256" w:lineRule="auto"/>
        <w:rPr>
          <w:rFonts w:ascii="Calibri" w:eastAsia="Calibri" w:hAnsi="Calibri" w:cs="Arial"/>
          <w:szCs w:val="24"/>
          <w:lang w:val="es-NI"/>
        </w:rPr>
      </w:pPr>
    </w:p>
    <w:p w14:paraId="13586F1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El Contratista tomará cilindros de la mezcla de hormigón según lo ordene El Ingeniero Supervisor, para determinar su resistencia por medio de ensayos de laboratorio, los cuales serán pagados por El Contratista. Se tomarán dos (2) cilindros por llena por frente de trabajo por día.  En caso de sospecha de alguna lechada de concreto, El Ingeniero Supervisor podrá ordenar toma de cilindros adicionales.</w:t>
      </w:r>
    </w:p>
    <w:p w14:paraId="42AB14AF" w14:textId="77777777" w:rsidR="001A4860" w:rsidRPr="001A4860" w:rsidRDefault="001A4860" w:rsidP="001A4860">
      <w:pPr>
        <w:spacing w:line="20" w:lineRule="atLeast"/>
        <w:rPr>
          <w:rFonts w:ascii="Calibri" w:eastAsia="Calibri" w:hAnsi="Calibri" w:cs="Arial"/>
          <w:szCs w:val="24"/>
          <w:lang w:val="es-NI"/>
        </w:rPr>
      </w:pPr>
    </w:p>
    <w:p w14:paraId="3845480E"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La mezcla de concreto empleada en todas las estructuras deberá ser de una consistencia conveniente, sin exceso de agua, plástica y trabajable, a fin de llenar los encofrados completamente, sin dejar cavidades interiores o superficiales.</w:t>
      </w:r>
    </w:p>
    <w:p w14:paraId="54EA09B1"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3182A584"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En todos los fundidos se aplicará el apisonado por vibración, prodigándose los puntos de vibrado necesario para que su efecto se extienda a toda la masa, sin iniciar disgregaciones locales. El Contratista usará vibradores y cabezal de vibradores apropiados para cada tipo de trabajo.</w:t>
      </w:r>
    </w:p>
    <w:p w14:paraId="7C14871A" w14:textId="77777777" w:rsidR="001A4860" w:rsidRPr="001A4860" w:rsidRDefault="001A4860" w:rsidP="001A4860">
      <w:pPr>
        <w:spacing w:line="256" w:lineRule="auto"/>
        <w:rPr>
          <w:rFonts w:ascii="Calibri" w:eastAsia="Calibri" w:hAnsi="Calibri" w:cs="Arial"/>
          <w:szCs w:val="24"/>
          <w:lang w:val="es-NI"/>
        </w:rPr>
      </w:pPr>
    </w:p>
    <w:p w14:paraId="3A8FDB98" w14:textId="77777777" w:rsidR="001A4860" w:rsidRPr="001A4860" w:rsidRDefault="001A4860" w:rsidP="003B68DB">
      <w:pPr>
        <w:keepNext/>
        <w:keepLines/>
        <w:numPr>
          <w:ilvl w:val="2"/>
          <w:numId w:val="174"/>
        </w:numPr>
        <w:spacing w:after="160" w:line="276" w:lineRule="auto"/>
        <w:jc w:val="left"/>
        <w:outlineLvl w:val="2"/>
        <w:rPr>
          <w:rFonts w:ascii="Calibri Light" w:hAnsi="Calibri Light"/>
          <w:b/>
          <w:bCs/>
          <w:sz w:val="22"/>
          <w:szCs w:val="22"/>
          <w:lang w:val="es-NI"/>
        </w:rPr>
      </w:pPr>
      <w:bookmarkStart w:id="1174" w:name="_Toc240187218"/>
      <w:bookmarkStart w:id="1175" w:name="_Toc240777459"/>
      <w:r w:rsidRPr="001A4860">
        <w:rPr>
          <w:rFonts w:ascii="Calibri Light" w:hAnsi="Calibri Light"/>
          <w:b/>
          <w:bCs/>
          <w:sz w:val="22"/>
          <w:szCs w:val="22"/>
          <w:lang w:val="es-NI"/>
        </w:rPr>
        <w:t>Formaletas para Fundaciones</w:t>
      </w:r>
      <w:bookmarkEnd w:id="1174"/>
      <w:bookmarkEnd w:id="1175"/>
    </w:p>
    <w:p w14:paraId="3BE82678" w14:textId="77777777" w:rsidR="001A4860" w:rsidRPr="001A4860" w:rsidRDefault="001A4860" w:rsidP="001A4860">
      <w:pPr>
        <w:spacing w:line="256" w:lineRule="auto"/>
        <w:jc w:val="left"/>
        <w:rPr>
          <w:rFonts w:ascii="Calibri" w:eastAsia="Calibri" w:hAnsi="Calibri"/>
          <w:szCs w:val="24"/>
        </w:rPr>
      </w:pPr>
    </w:p>
    <w:p w14:paraId="541891AD" w14:textId="77777777" w:rsidR="001A4860" w:rsidRPr="001A4860" w:rsidRDefault="001A4860" w:rsidP="003B68DB">
      <w:pPr>
        <w:numPr>
          <w:ilvl w:val="0"/>
          <w:numId w:val="181"/>
        </w:numPr>
        <w:spacing w:after="160" w:line="20" w:lineRule="atLeast"/>
        <w:jc w:val="left"/>
        <w:rPr>
          <w:rFonts w:ascii="Calibri" w:eastAsia="Calibri" w:hAnsi="Calibri" w:cs="Arial"/>
          <w:szCs w:val="24"/>
          <w:lang w:val="es-NI"/>
        </w:rPr>
      </w:pPr>
      <w:r w:rsidRPr="001A4860">
        <w:rPr>
          <w:rFonts w:ascii="Calibri" w:eastAsia="Calibri" w:hAnsi="Calibri" w:cs="Arial"/>
          <w:szCs w:val="24"/>
          <w:lang w:val="es-NI"/>
        </w:rPr>
        <w:t xml:space="preserve">Las formaletas con sus soportes tendrán la resistencia y rigidez necesarias para soportar el concreto, sin movimientos locales superiores a la milésima (0.001) de luz.  Los apoyos estarán dispuestos de modo que en ningún momento se produzcan sobre la parte de la obra ya ejecutada, esfuerzos superiores al tercio (1/3) de los esfuerzos de diseño.  Las juntas de las formaletas no dejarán rendijas de más de tres (3) milímetros, para evitar pérdidas de la lechada, pero deberán dejar el huelgo necesario para evitar que por efecto de la humedad durante el hormigonado se comprima y deforme la formaleta. El contratista tiene la libertad de usar cualquier tipo de formaleta para las fundaciones, teniendo cuidado de cumplir con los requisitos de lo establecido en estas especificaciones. b)  El descimbrado o desencofrado deberá hacerse de tal forma que no perjudique la completa seguridad y la durabilidad de la estructura. c) Durante la actividad de descimbrado o desencofre se cuidara de no dar golpes ni hacer esfuerzos que puedan perjudicar al concreto. e) El tiempo de descimbrado o desencofre será de 72 horas, para vigas asísmicas, zapatas, pedestales y fundaciones en general. f) Para mejor trabajabilidad de las formaletas se usara en estas una película de aceite quemado en el encofrado para evitar descascaramientos de la superficie de concreto colado. A todas las fundaciones se les hará formaleta, no se permitirá que las zapatas, vigas </w:t>
      </w:r>
      <w:r w:rsidRPr="001A4860">
        <w:rPr>
          <w:rFonts w:ascii="Calibri" w:eastAsia="Calibri" w:hAnsi="Calibri" w:cs="Arial"/>
          <w:szCs w:val="24"/>
          <w:lang w:val="es-NI"/>
        </w:rPr>
        <w:lastRenderedPageBreak/>
        <w:t>asísmicas y todos los elementos que forman las fundaciones, se cuelen sin formaleta, es decir no se permitirá colar solo con el zanjeo. h) 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i) Tiempo mínimo para retirar formaleta: 1) 72 horas para pedestales, vigas de fundación o asísmicas  y zapatas de columnas y muros. j) Se usara una película de aceite quemado en el encofrado para evitar descascaramientos de la superficie de concreto colado. Cualquier tipo de material usado para formaleta, el área en contacto con el concreto tiene que ser lisa sin protuberancias, en caso de ser madera debe ser sin rajaduras que pongan en peligro de desperdiciar concreto a la hora de la colada.</w:t>
      </w:r>
    </w:p>
    <w:p w14:paraId="4D9969A5" w14:textId="77777777" w:rsidR="001A4860" w:rsidRPr="001A4860" w:rsidRDefault="001A4860" w:rsidP="001A4860">
      <w:pPr>
        <w:keepNext/>
        <w:keepLines/>
        <w:spacing w:before="480" w:line="276" w:lineRule="auto"/>
        <w:ind w:left="432" w:hanging="432"/>
        <w:jc w:val="left"/>
        <w:outlineLvl w:val="0"/>
        <w:rPr>
          <w:rFonts w:ascii="Calibri" w:eastAsia="Calibri" w:hAnsi="Calibri" w:cs="Courier New"/>
          <w:b/>
          <w:bCs/>
          <w:kern w:val="28"/>
          <w:sz w:val="22"/>
          <w:szCs w:val="22"/>
          <w:lang w:val="es-NI"/>
        </w:rPr>
      </w:pPr>
      <w:bookmarkStart w:id="1176" w:name="_Toc61317099"/>
      <w:bookmarkStart w:id="1177" w:name="_Toc240187266"/>
      <w:bookmarkStart w:id="1178" w:name="_Toc240777460"/>
      <w:r w:rsidRPr="001A4860">
        <w:rPr>
          <w:rFonts w:ascii="Calibri" w:eastAsia="Calibri" w:hAnsi="Calibri" w:cs="Courier New"/>
          <w:b/>
          <w:bCs/>
          <w:kern w:val="28"/>
          <w:sz w:val="22"/>
          <w:szCs w:val="22"/>
          <w:lang w:val="es-NI"/>
        </w:rPr>
        <w:t>ESTRUCTURAS DE CONCRETO</w:t>
      </w:r>
      <w:bookmarkStart w:id="1179" w:name="_Toc61317100"/>
      <w:bookmarkEnd w:id="1176"/>
      <w:r w:rsidRPr="001A4860">
        <w:rPr>
          <w:rFonts w:ascii="Calibri" w:eastAsia="Calibri" w:hAnsi="Calibri" w:cs="Courier New"/>
          <w:b/>
          <w:bCs/>
          <w:kern w:val="28"/>
          <w:sz w:val="22"/>
          <w:szCs w:val="22"/>
          <w:lang w:val="es-NI"/>
        </w:rPr>
        <w:t xml:space="preserve"> CICLOPEO Y  BLOQUES DE REACCION</w:t>
      </w:r>
      <w:bookmarkEnd w:id="1177"/>
      <w:bookmarkEnd w:id="1178"/>
      <w:bookmarkEnd w:id="1179"/>
    </w:p>
    <w:p w14:paraId="1176C9F1" w14:textId="77777777" w:rsidR="001A4860" w:rsidRPr="001A4860" w:rsidRDefault="001A4860" w:rsidP="001A4860">
      <w:pPr>
        <w:spacing w:after="160" w:line="256" w:lineRule="auto"/>
        <w:jc w:val="left"/>
        <w:rPr>
          <w:rFonts w:ascii="Calibri" w:eastAsia="Calibri" w:hAnsi="Calibri"/>
          <w:sz w:val="22"/>
          <w:szCs w:val="22"/>
          <w:lang w:val="es-NI"/>
        </w:rPr>
      </w:pPr>
    </w:p>
    <w:p w14:paraId="152DE4B7" w14:textId="77777777" w:rsidR="001A4860" w:rsidRPr="001A4860" w:rsidRDefault="001A4860" w:rsidP="003B68DB">
      <w:pPr>
        <w:keepNext/>
        <w:numPr>
          <w:ilvl w:val="1"/>
          <w:numId w:val="174"/>
        </w:numPr>
        <w:tabs>
          <w:tab w:val="num" w:pos="576"/>
        </w:tabs>
        <w:spacing w:after="160" w:line="288" w:lineRule="auto"/>
        <w:jc w:val="left"/>
        <w:outlineLvl w:val="1"/>
        <w:rPr>
          <w:rFonts w:ascii="Calibri" w:eastAsia="Calibri" w:hAnsi="Calibri" w:cs="Arial"/>
          <w:b/>
          <w:bCs/>
          <w:iCs/>
          <w:sz w:val="22"/>
          <w:szCs w:val="28"/>
          <w:lang w:val="es-NI"/>
        </w:rPr>
      </w:pPr>
      <w:bookmarkStart w:id="1180" w:name="_Toc61317102"/>
      <w:bookmarkStart w:id="1181" w:name="_Toc240187267"/>
      <w:bookmarkStart w:id="1182" w:name="_Toc240777461"/>
      <w:r w:rsidRPr="001A4860">
        <w:rPr>
          <w:rFonts w:ascii="Calibri" w:eastAsia="Calibri" w:hAnsi="Calibri" w:cs="Arial"/>
          <w:b/>
          <w:bCs/>
          <w:iCs/>
          <w:sz w:val="22"/>
          <w:szCs w:val="28"/>
          <w:lang w:val="es-NI"/>
        </w:rPr>
        <w:t>Movimiento de tierra, Excavación, Relleno, Compactación y  Nivelación</w:t>
      </w:r>
      <w:bookmarkEnd w:id="1180"/>
      <w:bookmarkEnd w:id="1181"/>
      <w:bookmarkEnd w:id="1182"/>
    </w:p>
    <w:p w14:paraId="1CAC02DF" w14:textId="77777777" w:rsidR="001A4860" w:rsidRPr="001A4860" w:rsidRDefault="001A4860" w:rsidP="001A4860">
      <w:pPr>
        <w:spacing w:after="160" w:line="256" w:lineRule="auto"/>
        <w:jc w:val="left"/>
        <w:rPr>
          <w:rFonts w:ascii="Calibri" w:eastAsia="Calibri" w:hAnsi="Calibri"/>
          <w:sz w:val="22"/>
          <w:szCs w:val="22"/>
          <w:lang w:val="es-NI"/>
        </w:rPr>
      </w:pPr>
    </w:p>
    <w:p w14:paraId="0DF6D5F1"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183" w:name="_Toc61317103"/>
      <w:bookmarkStart w:id="1184" w:name="_Toc240187268"/>
      <w:bookmarkStart w:id="1185" w:name="_Toc240777462"/>
      <w:r w:rsidRPr="001A4860">
        <w:rPr>
          <w:rFonts w:ascii="Calibri Light" w:hAnsi="Calibri Light"/>
          <w:b/>
          <w:bCs/>
          <w:sz w:val="22"/>
          <w:szCs w:val="22"/>
          <w:lang w:val="es-NI"/>
        </w:rPr>
        <w:t>Trabajo Requerido</w:t>
      </w:r>
      <w:bookmarkEnd w:id="1183"/>
      <w:bookmarkEnd w:id="1184"/>
      <w:bookmarkEnd w:id="1185"/>
    </w:p>
    <w:p w14:paraId="517A497A" w14:textId="77777777" w:rsidR="001A4860" w:rsidRPr="001A4860" w:rsidRDefault="001A4860" w:rsidP="001A4860">
      <w:pPr>
        <w:spacing w:line="256" w:lineRule="auto"/>
        <w:jc w:val="left"/>
        <w:rPr>
          <w:rFonts w:ascii="Calibri" w:eastAsia="Calibri" w:hAnsi="Calibri"/>
          <w:sz w:val="22"/>
          <w:szCs w:val="22"/>
          <w:lang w:val="es-NI"/>
        </w:rPr>
      </w:pPr>
    </w:p>
    <w:p w14:paraId="5B61BFBC"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trabajo consiste en la preparación del sitio, excavación, relleno, nivelación, tal como es descrito en los planos o razonablemente implicado en ellos.</w:t>
      </w:r>
    </w:p>
    <w:p w14:paraId="50057726" w14:textId="77777777" w:rsidR="001A4860" w:rsidRPr="001A4860" w:rsidRDefault="001A4860" w:rsidP="001A4860">
      <w:pPr>
        <w:tabs>
          <w:tab w:val="left" w:pos="-720"/>
        </w:tabs>
        <w:suppressAutoHyphens/>
        <w:spacing w:line="20" w:lineRule="atLeast"/>
        <w:rPr>
          <w:rFonts w:ascii="Calibri" w:eastAsia="Calibri" w:hAnsi="Calibri" w:cs="Arial"/>
          <w:spacing w:val="-3"/>
          <w:szCs w:val="24"/>
          <w:lang w:val="es-NI"/>
        </w:rPr>
      </w:pPr>
    </w:p>
    <w:p w14:paraId="7CB8BD33"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removerán también del sitio de la obra, todas las piedras y cualquier obstáculo que pueda resultar para los trabajos de construcción. El Contratista tomará todas las precauciones necesarias para no causar daños a terceros en la distribución de los desechos provenientes de esta operación.</w:t>
      </w:r>
    </w:p>
    <w:p w14:paraId="563F49E8" w14:textId="77777777" w:rsidR="001A4860" w:rsidRPr="001A4860" w:rsidRDefault="001A4860" w:rsidP="001A4860">
      <w:pPr>
        <w:tabs>
          <w:tab w:val="left" w:pos="-720"/>
          <w:tab w:val="left" w:pos="0"/>
        </w:tabs>
        <w:suppressAutoHyphens/>
        <w:spacing w:line="20" w:lineRule="atLeast"/>
        <w:rPr>
          <w:rFonts w:ascii="Arial" w:eastAsia="Calibri" w:hAnsi="Arial" w:cs="Arial"/>
          <w:spacing w:val="-3"/>
          <w:sz w:val="22"/>
          <w:szCs w:val="22"/>
          <w:lang w:val="es-NI"/>
        </w:rPr>
      </w:pPr>
    </w:p>
    <w:p w14:paraId="55033733"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186" w:name="_Toc61317104"/>
      <w:bookmarkStart w:id="1187" w:name="_Toc240187269"/>
      <w:bookmarkStart w:id="1188" w:name="_Toc240777463"/>
      <w:r w:rsidRPr="001A4860">
        <w:rPr>
          <w:rFonts w:ascii="Calibri Light" w:hAnsi="Calibri Light"/>
          <w:b/>
          <w:bCs/>
          <w:sz w:val="22"/>
          <w:szCs w:val="22"/>
          <w:lang w:val="es-NI"/>
        </w:rPr>
        <w:t>Banco de Nivel</w:t>
      </w:r>
      <w:bookmarkEnd w:id="1186"/>
      <w:bookmarkEnd w:id="1187"/>
      <w:bookmarkEnd w:id="1188"/>
    </w:p>
    <w:p w14:paraId="77698B4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2710DDEA" w14:textId="77777777" w:rsidR="001A4860" w:rsidRPr="001A4860" w:rsidRDefault="001A4860" w:rsidP="001A4860">
      <w:pPr>
        <w:tabs>
          <w:tab w:val="left" w:pos="-720"/>
          <w:tab w:val="left" w:pos="0"/>
        </w:tabs>
        <w:suppressAutoHyphens/>
        <w:spacing w:line="20" w:lineRule="atLeast"/>
        <w:rPr>
          <w:rFonts w:ascii="Arial" w:eastAsia="Calibri" w:hAnsi="Arial" w:cs="Arial"/>
          <w:spacing w:val="-3"/>
          <w:sz w:val="22"/>
          <w:szCs w:val="22"/>
          <w:lang w:val="es-NI"/>
        </w:rPr>
      </w:pPr>
      <w:r w:rsidRPr="001A4860">
        <w:rPr>
          <w:rFonts w:ascii="Calibri" w:eastAsia="Calibri" w:hAnsi="Calibri" w:cs="Arial"/>
          <w:spacing w:val="-3"/>
          <w:szCs w:val="24"/>
          <w:lang w:val="es-NI"/>
        </w:rPr>
        <w:t>El Contratista levantará todos los bancos de nivel, puntos de coordinación y estacas, las cuales deben ser preservadas y mantenidas por cuenta de El Contratista, hasta que el supervisor crea conveniente mantenerlas.</w:t>
      </w:r>
    </w:p>
    <w:p w14:paraId="4D1E199F" w14:textId="77777777" w:rsidR="001A4860" w:rsidRPr="001A4860" w:rsidRDefault="001A4860" w:rsidP="001A4860">
      <w:pPr>
        <w:tabs>
          <w:tab w:val="left" w:pos="-720"/>
          <w:tab w:val="left" w:pos="0"/>
        </w:tabs>
        <w:suppressAutoHyphens/>
        <w:spacing w:line="20" w:lineRule="atLeast"/>
        <w:rPr>
          <w:rFonts w:ascii="Arial" w:eastAsia="Calibri" w:hAnsi="Arial" w:cs="Arial"/>
          <w:spacing w:val="-3"/>
          <w:sz w:val="22"/>
          <w:szCs w:val="22"/>
          <w:lang w:val="es-NI"/>
        </w:rPr>
      </w:pPr>
    </w:p>
    <w:p w14:paraId="16C9CAC5"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189" w:name="_Toc240187270"/>
      <w:bookmarkStart w:id="1190" w:name="_Toc240777464"/>
      <w:r w:rsidRPr="001A4860">
        <w:rPr>
          <w:rFonts w:ascii="Calibri Light" w:hAnsi="Calibri Light"/>
          <w:b/>
          <w:bCs/>
          <w:sz w:val="22"/>
          <w:szCs w:val="22"/>
          <w:lang w:val="es-NI"/>
        </w:rPr>
        <w:t>Excavación</w:t>
      </w:r>
      <w:bookmarkEnd w:id="1189"/>
      <w:bookmarkEnd w:id="1190"/>
    </w:p>
    <w:p w14:paraId="5674B185" w14:textId="77777777" w:rsidR="001A4860" w:rsidRPr="001A4860" w:rsidRDefault="001A4860" w:rsidP="001A4860">
      <w:pPr>
        <w:spacing w:line="20" w:lineRule="atLeast"/>
        <w:rPr>
          <w:rFonts w:ascii="Arial" w:eastAsia="Calibri" w:hAnsi="Arial" w:cs="Arial"/>
          <w:spacing w:val="-3"/>
          <w:sz w:val="22"/>
          <w:szCs w:val="22"/>
          <w:lang w:val="es-NI"/>
        </w:rPr>
      </w:pPr>
    </w:p>
    <w:p w14:paraId="55CB1FD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fondo de la excavación deberá quedar a nivel y libre de material suelto. Las superficies de roca que sirvan de base para la fundación de la estructura de concreto, estarán libre cualquier material suelto. En caso de encontrar material inestable se excavará hasta donde indique el Ingeniero Supervisor y se rellene con material selecto.</w:t>
      </w:r>
    </w:p>
    <w:p w14:paraId="6C927EB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4B13D7A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lastRenderedPageBreak/>
        <w:t>Toda obstrucción, troncos, árboles y desperdicios en el área del movimiento de tierra será removida fuera del predio por el Contratista a su costo.</w:t>
      </w:r>
    </w:p>
    <w:p w14:paraId="5344B260" w14:textId="77777777" w:rsidR="001A4860" w:rsidRPr="001A4860" w:rsidRDefault="001A4860" w:rsidP="001A4860">
      <w:pPr>
        <w:spacing w:line="20" w:lineRule="atLeast"/>
        <w:rPr>
          <w:rFonts w:ascii="Arial" w:eastAsia="Calibri" w:hAnsi="Arial" w:cs="Arial"/>
          <w:spacing w:val="-3"/>
          <w:sz w:val="22"/>
          <w:szCs w:val="22"/>
          <w:lang w:val="es-NI"/>
        </w:rPr>
      </w:pPr>
    </w:p>
    <w:p w14:paraId="0D7BFA20"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191" w:name="_Toc61317109"/>
      <w:bookmarkStart w:id="1192" w:name="_Toc240187271"/>
      <w:bookmarkStart w:id="1193" w:name="_Toc240777465"/>
      <w:r w:rsidRPr="001A4860">
        <w:rPr>
          <w:rFonts w:ascii="Calibri Light" w:hAnsi="Calibri Light"/>
          <w:b/>
          <w:bCs/>
          <w:sz w:val="22"/>
          <w:szCs w:val="22"/>
          <w:lang w:val="es-NI"/>
        </w:rPr>
        <w:t>Estabilización del Material Blando</w:t>
      </w:r>
      <w:bookmarkEnd w:id="1191"/>
      <w:bookmarkEnd w:id="1192"/>
      <w:bookmarkEnd w:id="1193"/>
    </w:p>
    <w:p w14:paraId="68374AA8" w14:textId="77777777" w:rsidR="001A4860" w:rsidRPr="001A4860" w:rsidRDefault="001A4860" w:rsidP="001A4860">
      <w:pPr>
        <w:spacing w:line="256" w:lineRule="auto"/>
        <w:jc w:val="left"/>
        <w:rPr>
          <w:rFonts w:ascii="Calibri" w:eastAsia="Calibri" w:hAnsi="Calibri"/>
          <w:sz w:val="22"/>
          <w:szCs w:val="22"/>
          <w:lang w:val="es-NI"/>
        </w:rPr>
      </w:pPr>
    </w:p>
    <w:p w14:paraId="2C37EF3E"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En toda el área donde se cimentarán las obras, el suelo deberá ser mejorado y compactado hasta obtener un valor soporte no menor de 25 Ton/m² (2.5 Kg/m²)</w:t>
      </w:r>
    </w:p>
    <w:p w14:paraId="78E1D9B0" w14:textId="77777777" w:rsidR="001A4860" w:rsidRPr="001A4860" w:rsidRDefault="001A4860" w:rsidP="001A4860">
      <w:pPr>
        <w:spacing w:line="20" w:lineRule="atLeast"/>
        <w:rPr>
          <w:rFonts w:ascii="Arial" w:eastAsia="Calibri" w:hAnsi="Arial" w:cs="Arial"/>
          <w:sz w:val="22"/>
          <w:szCs w:val="22"/>
          <w:lang w:val="es-NI"/>
        </w:rPr>
      </w:pPr>
    </w:p>
    <w:p w14:paraId="0B692FAC"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194" w:name="_Toc61317110"/>
      <w:bookmarkStart w:id="1195" w:name="_Toc240187272"/>
      <w:bookmarkStart w:id="1196" w:name="_Toc240777466"/>
      <w:r w:rsidRPr="001A4860">
        <w:rPr>
          <w:rFonts w:ascii="Calibri Light" w:hAnsi="Calibri Light"/>
          <w:b/>
          <w:bCs/>
          <w:sz w:val="22"/>
          <w:szCs w:val="22"/>
          <w:lang w:val="es-NI"/>
        </w:rPr>
        <w:t>Relleno</w:t>
      </w:r>
      <w:bookmarkEnd w:id="1194"/>
      <w:bookmarkEnd w:id="1195"/>
      <w:bookmarkEnd w:id="1196"/>
    </w:p>
    <w:p w14:paraId="5D56A157" w14:textId="77777777" w:rsidR="001A4860" w:rsidRPr="001A4860" w:rsidRDefault="001A4860" w:rsidP="001A4860">
      <w:pPr>
        <w:spacing w:line="256" w:lineRule="auto"/>
        <w:jc w:val="left"/>
        <w:rPr>
          <w:rFonts w:ascii="Calibri" w:eastAsia="Calibri" w:hAnsi="Calibri"/>
          <w:sz w:val="22"/>
          <w:szCs w:val="22"/>
          <w:lang w:val="es-NI"/>
        </w:rPr>
      </w:pPr>
    </w:p>
    <w:p w14:paraId="5F7867DC"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material aprobado deberá estar libre de toda materia vegetal u orgánica, desperdicios, pedazos de madera etc. Se podrá usar producto de las excavaciones. El material de relleno debe ser depositado en capas de  no más de 15 cms de espesor en forma manual con equipo mecánico y ser compactado hasta un mínimo de 95% Próctor. Cada capa deberá procesarse controlando su contenido de humedad. (Pruebas de Compactación) y su costo correrá a cuenta del Contratista.</w:t>
      </w:r>
    </w:p>
    <w:p w14:paraId="29355A49"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7ED5638E"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A criterio del dueño se harán pruebas de compactación selectivas y por cuenta del dueño; si la prueba no cumple con las especificaciones técnicas de compactación, el costo de la misma correrá a cuenta del contratista.</w:t>
      </w:r>
      <w:bookmarkStart w:id="1197" w:name="_Toc61317114"/>
    </w:p>
    <w:p w14:paraId="5B5931E6" w14:textId="77777777" w:rsidR="001A4860" w:rsidRPr="001A4860" w:rsidRDefault="001A4860" w:rsidP="001A4860">
      <w:pPr>
        <w:tabs>
          <w:tab w:val="left" w:pos="-720"/>
        </w:tabs>
        <w:suppressAutoHyphens/>
        <w:spacing w:line="20" w:lineRule="atLeast"/>
        <w:jc w:val="left"/>
        <w:rPr>
          <w:rFonts w:ascii="Calibri" w:eastAsia="Calibri" w:hAnsi="Calibri"/>
          <w:sz w:val="22"/>
          <w:szCs w:val="22"/>
          <w:lang w:val="es-NI"/>
        </w:rPr>
      </w:pPr>
    </w:p>
    <w:p w14:paraId="07DC3361"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198" w:name="_Toc240187273"/>
      <w:bookmarkStart w:id="1199" w:name="_Toc240777467"/>
      <w:r w:rsidRPr="001A4860">
        <w:rPr>
          <w:rFonts w:ascii="Calibri" w:eastAsia="Calibri" w:hAnsi="Calibri" w:cs="Arial"/>
          <w:b/>
          <w:bCs/>
          <w:iCs/>
          <w:sz w:val="22"/>
          <w:szCs w:val="28"/>
          <w:lang w:val="es-NI"/>
        </w:rPr>
        <w:t>Especificación de Material de Concreto</w:t>
      </w:r>
      <w:bookmarkEnd w:id="1197"/>
      <w:bookmarkEnd w:id="1198"/>
      <w:bookmarkEnd w:id="1199"/>
    </w:p>
    <w:p w14:paraId="25ABB627" w14:textId="77777777" w:rsidR="001A4860" w:rsidRPr="001A4860" w:rsidRDefault="001A4860" w:rsidP="001A4860">
      <w:pPr>
        <w:tabs>
          <w:tab w:val="left" w:pos="-720"/>
        </w:tabs>
        <w:suppressAutoHyphens/>
        <w:spacing w:line="20" w:lineRule="atLeast"/>
        <w:jc w:val="left"/>
        <w:rPr>
          <w:rFonts w:ascii="Calibri" w:eastAsia="Calibri" w:hAnsi="Calibri"/>
          <w:b/>
          <w:sz w:val="22"/>
          <w:szCs w:val="22"/>
          <w:lang w:val="es-NI"/>
        </w:rPr>
      </w:pPr>
    </w:p>
    <w:p w14:paraId="4777CC8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trabajo consiste en la provisión de todo material, equipo y mano de obra para la construcción de concreto simple, concreto armado y concreto ciclópeo, de acuerdo con los planos y especificaciones.</w:t>
      </w:r>
    </w:p>
    <w:p w14:paraId="59EF7459" w14:textId="77777777" w:rsidR="001A4860" w:rsidRPr="001A4860" w:rsidRDefault="001A4860" w:rsidP="001A4860">
      <w:pPr>
        <w:spacing w:line="256" w:lineRule="auto"/>
        <w:jc w:val="left"/>
        <w:rPr>
          <w:rFonts w:ascii="Calibri" w:eastAsia="Calibri" w:hAnsi="Calibri"/>
          <w:sz w:val="22"/>
          <w:szCs w:val="22"/>
        </w:rPr>
      </w:pPr>
      <w:bookmarkStart w:id="1200" w:name="_Toc468439686"/>
      <w:bookmarkStart w:id="1201" w:name="_Toc468440872"/>
      <w:bookmarkStart w:id="1202" w:name="_Toc61317115"/>
    </w:p>
    <w:p w14:paraId="524F5179"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r w:rsidRPr="001A4860">
        <w:rPr>
          <w:rFonts w:ascii="Calibri Light" w:hAnsi="Calibri Light"/>
          <w:b/>
          <w:bCs/>
          <w:sz w:val="22"/>
          <w:szCs w:val="22"/>
          <w:lang w:val="es-NI"/>
        </w:rPr>
        <w:t xml:space="preserve"> </w:t>
      </w:r>
      <w:bookmarkStart w:id="1203" w:name="_Toc240187274"/>
      <w:bookmarkStart w:id="1204" w:name="_Toc240777468"/>
      <w:r w:rsidRPr="001A4860">
        <w:rPr>
          <w:rFonts w:ascii="Calibri Light" w:hAnsi="Calibri Light"/>
          <w:b/>
          <w:bCs/>
          <w:sz w:val="22"/>
          <w:szCs w:val="22"/>
          <w:lang w:val="es-NI"/>
        </w:rPr>
        <w:t>Normas y especificaciones</w:t>
      </w:r>
      <w:bookmarkEnd w:id="1200"/>
      <w:bookmarkEnd w:id="1201"/>
      <w:bookmarkEnd w:id="1202"/>
      <w:bookmarkEnd w:id="1203"/>
      <w:bookmarkEnd w:id="1204"/>
    </w:p>
    <w:p w14:paraId="47F57250" w14:textId="77777777" w:rsidR="001A4860" w:rsidRPr="001A4860" w:rsidRDefault="001A4860" w:rsidP="001A4860">
      <w:pPr>
        <w:spacing w:line="256" w:lineRule="auto"/>
        <w:jc w:val="left"/>
        <w:rPr>
          <w:rFonts w:ascii="Calibri" w:eastAsia="Calibri" w:hAnsi="Calibri"/>
          <w:sz w:val="22"/>
          <w:szCs w:val="22"/>
          <w:lang w:val="es-NI"/>
        </w:rPr>
      </w:pPr>
    </w:p>
    <w:p w14:paraId="2E2F3B5C"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deberán cumplir las normas mínimas constructivas del Reglamento Nacional de Construcción,  vigente.</w:t>
      </w:r>
    </w:p>
    <w:p w14:paraId="6504F928"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0AD77157"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En la fabricación, transporte y colocación del concreto deberán cumplirse todas las recomendaciones del American Concrete Institute (A.C.I), contenidas en el último Informe del Comité A.C.I. 301.</w:t>
      </w:r>
    </w:p>
    <w:p w14:paraId="0623C91C" w14:textId="77777777" w:rsidR="001A4860" w:rsidRPr="001A4860" w:rsidRDefault="001A4860" w:rsidP="001A4860">
      <w:pPr>
        <w:suppressAutoHyphens/>
        <w:spacing w:line="20" w:lineRule="atLeast"/>
        <w:rPr>
          <w:rFonts w:ascii="Arial" w:eastAsia="Calibri" w:hAnsi="Arial" w:cs="Arial"/>
          <w:spacing w:val="-3"/>
          <w:sz w:val="22"/>
          <w:szCs w:val="22"/>
          <w:lang w:val="es-NI"/>
        </w:rPr>
      </w:pPr>
    </w:p>
    <w:p w14:paraId="25E6FAFC" w14:textId="77777777" w:rsidR="001A4860" w:rsidRPr="001A4860" w:rsidRDefault="001A4860" w:rsidP="001A4860">
      <w:pPr>
        <w:suppressAutoHyphens/>
        <w:spacing w:line="20" w:lineRule="atLeast"/>
        <w:rPr>
          <w:rFonts w:ascii="Arial" w:eastAsia="Calibri" w:hAnsi="Arial" w:cs="Arial"/>
          <w:spacing w:val="-3"/>
          <w:sz w:val="22"/>
          <w:szCs w:val="22"/>
          <w:lang w:val="es-NI"/>
        </w:rPr>
      </w:pPr>
    </w:p>
    <w:p w14:paraId="293757C9"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consideran también incluidas en estas especificaciones y por consiguiente obligatorias, todas aquellas normas o especificaciones de la American Society for Testing Materials (A.S.T.M.) incluidas o simplemente mencionadas en estas especificaciones o en los códigos anteriormente citados.</w:t>
      </w:r>
    </w:p>
    <w:p w14:paraId="4B2F8360" w14:textId="77777777" w:rsidR="001A4860" w:rsidRPr="001A4860" w:rsidRDefault="001A4860" w:rsidP="001A4860">
      <w:pPr>
        <w:spacing w:line="20" w:lineRule="atLeast"/>
        <w:jc w:val="left"/>
        <w:rPr>
          <w:rFonts w:ascii="Arial" w:eastAsia="Calibri" w:hAnsi="Arial" w:cs="Arial"/>
          <w:b/>
          <w:sz w:val="22"/>
          <w:szCs w:val="22"/>
          <w:lang w:val="es-NI"/>
        </w:rPr>
      </w:pPr>
      <w:bookmarkStart w:id="1205" w:name="_Toc468439688"/>
      <w:bookmarkStart w:id="1206" w:name="_Toc468440874"/>
    </w:p>
    <w:p w14:paraId="78CFCD0B"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07" w:name="_Toc61317116"/>
      <w:bookmarkStart w:id="1208" w:name="_Toc240187275"/>
      <w:bookmarkStart w:id="1209" w:name="_Toc240777469"/>
      <w:r w:rsidRPr="001A4860">
        <w:rPr>
          <w:rFonts w:ascii="Calibri Light" w:hAnsi="Calibri Light"/>
          <w:b/>
          <w:bCs/>
          <w:sz w:val="22"/>
          <w:szCs w:val="22"/>
          <w:lang w:val="es-NI"/>
        </w:rPr>
        <w:lastRenderedPageBreak/>
        <w:t>Materiales del concreto.</w:t>
      </w:r>
      <w:bookmarkEnd w:id="1205"/>
      <w:bookmarkEnd w:id="1206"/>
      <w:bookmarkEnd w:id="1207"/>
      <w:bookmarkEnd w:id="1208"/>
      <w:bookmarkEnd w:id="1209"/>
    </w:p>
    <w:p w14:paraId="56FA10A9" w14:textId="77777777" w:rsidR="001A4860" w:rsidRPr="001A4860" w:rsidRDefault="001A4860" w:rsidP="001A4860">
      <w:pPr>
        <w:keepNext/>
        <w:keepLines/>
        <w:spacing w:line="20" w:lineRule="atLeast"/>
        <w:jc w:val="left"/>
        <w:outlineLvl w:val="3"/>
        <w:rPr>
          <w:rFonts w:ascii="Arial" w:hAnsi="Arial" w:cs="Arial"/>
          <w:b/>
          <w:bCs/>
          <w:i/>
          <w:iCs/>
          <w:sz w:val="22"/>
          <w:szCs w:val="22"/>
          <w:lang w:val="es-NI"/>
        </w:rPr>
      </w:pPr>
    </w:p>
    <w:p w14:paraId="525E125D" w14:textId="77777777" w:rsidR="001A4860" w:rsidRPr="001A4860" w:rsidRDefault="001A4860" w:rsidP="003B68DB">
      <w:pPr>
        <w:numPr>
          <w:ilvl w:val="1"/>
          <w:numId w:val="182"/>
        </w:numPr>
        <w:spacing w:after="160" w:line="256" w:lineRule="auto"/>
        <w:ind w:left="426" w:hanging="426"/>
        <w:jc w:val="left"/>
        <w:rPr>
          <w:rFonts w:ascii="Calibri" w:hAnsi="Calibri"/>
          <w:b/>
          <w:i/>
          <w:szCs w:val="24"/>
          <w:lang w:val="es-ES" w:eastAsia="es-ES"/>
        </w:rPr>
      </w:pPr>
      <w:r w:rsidRPr="001A4860">
        <w:rPr>
          <w:rFonts w:ascii="Calibri" w:hAnsi="Calibri"/>
          <w:b/>
          <w:i/>
          <w:szCs w:val="24"/>
          <w:lang w:val="es-ES" w:eastAsia="es-ES"/>
        </w:rPr>
        <w:t>Cemento</w:t>
      </w:r>
    </w:p>
    <w:p w14:paraId="7DF353F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cemento a emplear en las mezclas de concreto deberá cumplir con la Norma ASTM C 1157-95, tipo GU. Debe llegar al sitio de la construcción en sus envases originales y enteros, debe ser completamente fresco y no debe mostrar evidencias de endurecimiento. Debe almacenarse en bodega seca sobre tarimas de madera en estibas de no más de diez (10) sacos.</w:t>
      </w:r>
    </w:p>
    <w:p w14:paraId="7AEA5226" w14:textId="77777777" w:rsidR="001A4860" w:rsidRPr="001A4860" w:rsidRDefault="001A4860" w:rsidP="001A4860">
      <w:pPr>
        <w:spacing w:line="20" w:lineRule="atLeast"/>
        <w:rPr>
          <w:rFonts w:ascii="Arial" w:eastAsia="Calibri" w:hAnsi="Arial" w:cs="Arial"/>
          <w:sz w:val="22"/>
          <w:szCs w:val="22"/>
          <w:lang w:val="es-NI"/>
        </w:rPr>
      </w:pPr>
    </w:p>
    <w:p w14:paraId="0A5E6708" w14:textId="77777777" w:rsidR="001A4860" w:rsidRPr="001A4860" w:rsidRDefault="001A4860" w:rsidP="003B68DB">
      <w:pPr>
        <w:numPr>
          <w:ilvl w:val="1"/>
          <w:numId w:val="182"/>
        </w:numPr>
        <w:spacing w:after="160" w:line="256" w:lineRule="auto"/>
        <w:ind w:left="426" w:hanging="426"/>
        <w:jc w:val="left"/>
        <w:rPr>
          <w:rFonts w:ascii="Calibri" w:hAnsi="Calibri"/>
          <w:b/>
          <w:i/>
          <w:szCs w:val="24"/>
          <w:lang w:val="es-ES" w:eastAsia="es-ES"/>
        </w:rPr>
      </w:pPr>
      <w:r w:rsidRPr="001A4860">
        <w:rPr>
          <w:rFonts w:ascii="Calibri" w:hAnsi="Calibri"/>
          <w:b/>
          <w:i/>
          <w:szCs w:val="24"/>
          <w:lang w:val="es-ES" w:eastAsia="es-ES"/>
        </w:rPr>
        <w:t>Agua</w:t>
      </w:r>
    </w:p>
    <w:p w14:paraId="62A34EA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agua que se emplee en todas las mezclas debe ser potable, limpia y libre de grasas o aceites, de materias orgánicas, álcalis, sales, ácidos o impurezas que puedan afectar la resistencia y propiedades físicas del concreto o del refuerzo. Deberá ser previamente aprobada por El Ingeniero Supervisor.</w:t>
      </w:r>
    </w:p>
    <w:p w14:paraId="2E0E72EE" w14:textId="77777777" w:rsidR="001A4860" w:rsidRPr="001A4860" w:rsidRDefault="001A4860" w:rsidP="001A4860">
      <w:pPr>
        <w:spacing w:line="20" w:lineRule="atLeast"/>
        <w:rPr>
          <w:rFonts w:ascii="Arial" w:eastAsia="Calibri" w:hAnsi="Arial" w:cs="Arial"/>
          <w:sz w:val="22"/>
          <w:szCs w:val="22"/>
          <w:lang w:val="es-NI"/>
        </w:rPr>
      </w:pPr>
    </w:p>
    <w:p w14:paraId="7B5BE8C1" w14:textId="77777777" w:rsidR="001A4860" w:rsidRPr="001A4860" w:rsidRDefault="001A4860" w:rsidP="003B68DB">
      <w:pPr>
        <w:numPr>
          <w:ilvl w:val="1"/>
          <w:numId w:val="182"/>
        </w:numPr>
        <w:spacing w:after="160" w:line="256" w:lineRule="auto"/>
        <w:ind w:left="426" w:hanging="426"/>
        <w:jc w:val="left"/>
        <w:rPr>
          <w:rFonts w:ascii="Calibri" w:hAnsi="Calibri"/>
          <w:b/>
          <w:i/>
          <w:szCs w:val="24"/>
          <w:lang w:val="es-ES" w:eastAsia="es-ES"/>
        </w:rPr>
      </w:pPr>
      <w:r w:rsidRPr="001A4860">
        <w:rPr>
          <w:rFonts w:ascii="Calibri" w:hAnsi="Calibri"/>
          <w:b/>
          <w:i/>
          <w:szCs w:val="24"/>
          <w:lang w:val="es-ES" w:eastAsia="es-ES"/>
        </w:rPr>
        <w:t>Agregados</w:t>
      </w:r>
    </w:p>
    <w:p w14:paraId="0FFD1B38"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Los agregados empleados en la mezcla de concreto deben ser clasificados según su tamaño y deben ser almacenados en forma ordenada para evitar que se revuelvan, se ensucien o se mezclen con materias extrañas. Deben cumplir con todas las Especificaciones de la A.S.T.M para los agregados de concreto designación C-33-67.</w:t>
      </w:r>
    </w:p>
    <w:p w14:paraId="7C09E46B"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228CDC1A"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 arena debe estar libre de todo material vegetal, mica, limo, materias orgánicas, etc. La calidad y granulometría de la arena debe ser tal que cumpla con los requisitos de las especificaciones correspondientes y permita obtener un concreto denso sin exceso de cemento, así como de la resistencia requerida.</w:t>
      </w:r>
    </w:p>
    <w:p w14:paraId="10E49569" w14:textId="77777777" w:rsidR="001A4860" w:rsidRPr="001A4860" w:rsidRDefault="001A4860" w:rsidP="001A4860">
      <w:pPr>
        <w:spacing w:line="20" w:lineRule="atLeast"/>
        <w:rPr>
          <w:rFonts w:ascii="Arial" w:eastAsia="Calibri" w:hAnsi="Arial" w:cs="Arial"/>
          <w:sz w:val="22"/>
          <w:szCs w:val="22"/>
          <w:lang w:val="es-NI"/>
        </w:rPr>
      </w:pPr>
    </w:p>
    <w:p w14:paraId="2C4486F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c.1</w:t>
      </w:r>
      <w:r w:rsidRPr="001A4860">
        <w:rPr>
          <w:rFonts w:ascii="Calibri" w:eastAsia="Calibri" w:hAnsi="Calibri" w:cs="Arial"/>
          <w:spacing w:val="-3"/>
          <w:szCs w:val="24"/>
          <w:lang w:val="es-NI"/>
        </w:rPr>
        <w:tab/>
      </w:r>
      <w:r w:rsidRPr="001A4860">
        <w:rPr>
          <w:rFonts w:ascii="Calibri" w:eastAsia="Calibri" w:hAnsi="Calibri" w:cs="Arial"/>
          <w:i/>
          <w:spacing w:val="-3"/>
          <w:szCs w:val="24"/>
          <w:lang w:val="es-NI"/>
        </w:rPr>
        <w:t>Agregado grueso para concreto armado</w:t>
      </w:r>
      <w:r w:rsidRPr="001A4860">
        <w:rPr>
          <w:rFonts w:ascii="Calibri" w:eastAsia="Calibri" w:hAnsi="Calibri" w:cs="Arial"/>
          <w:spacing w:val="-3"/>
          <w:szCs w:val="24"/>
          <w:lang w:val="es-NI"/>
        </w:rPr>
        <w:t>:</w:t>
      </w:r>
    </w:p>
    <w:p w14:paraId="5BFA261D"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r w:rsidRPr="001A4860">
        <w:rPr>
          <w:rFonts w:ascii="Calibri" w:eastAsia="Calibri" w:hAnsi="Calibri" w:cs="Arial"/>
          <w:spacing w:val="-3"/>
          <w:szCs w:val="24"/>
          <w:lang w:val="es-NI"/>
        </w:rPr>
        <w:t>El tamaño más grande permitido del agregado grueso será un quinto de la separación menor entre los lados de la formaleta o de ¾ (tres cuartos) del espaciamiento libre mínimo entre varillas de refuerzos según recomendaciones de la Norma ACI-613-54, excepto donde específicamente se indique lo contrario.</w:t>
      </w:r>
    </w:p>
    <w:p w14:paraId="269520D2" w14:textId="77777777" w:rsidR="001A4860" w:rsidRPr="001A4860" w:rsidRDefault="001A4860" w:rsidP="001A4860">
      <w:pPr>
        <w:keepNext/>
        <w:keepLines/>
        <w:spacing w:line="20" w:lineRule="atLeast"/>
        <w:outlineLvl w:val="4"/>
        <w:rPr>
          <w:rFonts w:ascii="Calibri Light" w:hAnsi="Calibri Light" w:cs="Arial"/>
          <w:b/>
          <w:bCs/>
          <w:sz w:val="22"/>
          <w:szCs w:val="22"/>
          <w:lang w:val="es-NI"/>
        </w:rPr>
      </w:pPr>
    </w:p>
    <w:p w14:paraId="4218DC8D"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c.2</w:t>
      </w:r>
      <w:r w:rsidRPr="001A4860">
        <w:rPr>
          <w:rFonts w:ascii="Calibri" w:eastAsia="Calibri" w:hAnsi="Calibri" w:cs="Arial"/>
          <w:spacing w:val="-3"/>
          <w:szCs w:val="24"/>
          <w:lang w:val="es-NI"/>
        </w:rPr>
        <w:tab/>
      </w:r>
      <w:r w:rsidRPr="001A4860">
        <w:rPr>
          <w:rFonts w:ascii="Calibri" w:eastAsia="Calibri" w:hAnsi="Calibri" w:cs="Arial"/>
          <w:i/>
          <w:spacing w:val="-3"/>
          <w:szCs w:val="24"/>
          <w:lang w:val="es-NI"/>
        </w:rPr>
        <w:t>Agregado grueso para concreto ciclópeo</w:t>
      </w:r>
      <w:r w:rsidRPr="001A4860">
        <w:rPr>
          <w:rFonts w:ascii="Calibri" w:eastAsia="Calibri" w:hAnsi="Calibri" w:cs="Arial"/>
          <w:spacing w:val="-3"/>
          <w:szCs w:val="24"/>
          <w:lang w:val="es-NI"/>
        </w:rPr>
        <w:t>:</w:t>
      </w:r>
    </w:p>
    <w:p w14:paraId="4ED1D2E8"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r w:rsidRPr="001A4860">
        <w:rPr>
          <w:rFonts w:ascii="Calibri" w:eastAsia="Calibri" w:hAnsi="Calibri" w:cs="Arial"/>
          <w:spacing w:val="-3"/>
          <w:szCs w:val="24"/>
          <w:lang w:val="es-NI"/>
        </w:rPr>
        <w:t>Estará constituido de piedra bolón de diámetro mínimo de ø4” y diámetro máximo de ø4”  o el tamaño más grande permitido de la piedra será un quinto de la separación menor entre los lados de la formaleta y deberá de cumplir con las especificaciones establecida por ASTM C33.</w:t>
      </w:r>
    </w:p>
    <w:p w14:paraId="6294E545" w14:textId="77777777" w:rsidR="001A4860" w:rsidRPr="001A4860" w:rsidRDefault="001A4860" w:rsidP="001A4860">
      <w:pPr>
        <w:spacing w:line="20" w:lineRule="atLeast"/>
        <w:rPr>
          <w:rFonts w:ascii="Arial" w:eastAsia="Calibri" w:hAnsi="Arial" w:cs="Arial"/>
          <w:spacing w:val="-3"/>
          <w:sz w:val="22"/>
          <w:szCs w:val="22"/>
          <w:lang w:val="es-NI"/>
        </w:rPr>
      </w:pPr>
    </w:p>
    <w:p w14:paraId="052C83DA" w14:textId="77777777" w:rsidR="001A4860" w:rsidRPr="001A4860" w:rsidRDefault="001A4860" w:rsidP="001A4860">
      <w:pPr>
        <w:tabs>
          <w:tab w:val="left" w:pos="-720"/>
          <w:tab w:val="left" w:pos="0"/>
        </w:tabs>
        <w:suppressAutoHyphens/>
        <w:spacing w:line="20" w:lineRule="atLeast"/>
        <w:rPr>
          <w:rFonts w:ascii="Calibri" w:eastAsia="Calibri" w:hAnsi="Calibri" w:cs="Arial"/>
          <w:i/>
          <w:spacing w:val="-3"/>
          <w:szCs w:val="24"/>
          <w:lang w:val="es-NI"/>
        </w:rPr>
      </w:pPr>
      <w:r w:rsidRPr="001A4860">
        <w:rPr>
          <w:rFonts w:ascii="Calibri" w:eastAsia="Calibri" w:hAnsi="Calibri" w:cs="Arial"/>
          <w:i/>
          <w:spacing w:val="-3"/>
          <w:szCs w:val="24"/>
          <w:lang w:val="es-NI"/>
        </w:rPr>
        <w:t>c.3</w:t>
      </w:r>
      <w:r w:rsidRPr="001A4860">
        <w:rPr>
          <w:rFonts w:ascii="Calibri" w:eastAsia="Calibri" w:hAnsi="Calibri" w:cs="Arial"/>
          <w:i/>
          <w:spacing w:val="-3"/>
          <w:szCs w:val="24"/>
          <w:lang w:val="es-NI"/>
        </w:rPr>
        <w:tab/>
        <w:t>El Concreto Ciclópeo:</w:t>
      </w:r>
    </w:p>
    <w:p w14:paraId="17CAF85F"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r w:rsidRPr="001A4860">
        <w:rPr>
          <w:rFonts w:ascii="Calibri" w:eastAsia="Calibri" w:hAnsi="Calibri" w:cs="Arial"/>
          <w:spacing w:val="-3"/>
          <w:szCs w:val="24"/>
          <w:lang w:val="es-NI"/>
        </w:rPr>
        <w:t>El concreto ciclópeo consistirá de un 70.0% de concreto Clase A (210.0 kg/cm2 ) y un 30.0% de piedra bolón cuyo tamaño, será según el inciso C.2 del 10.2.2 de esta especificaciones. Preferiblemente esta piedra deberá ser angulosa y con superficies ásperas.</w:t>
      </w:r>
    </w:p>
    <w:p w14:paraId="60A71480"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p>
    <w:p w14:paraId="04CA50FD"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r w:rsidRPr="001A4860">
        <w:rPr>
          <w:rFonts w:ascii="Calibri" w:eastAsia="Calibri" w:hAnsi="Calibri" w:cs="Arial"/>
          <w:spacing w:val="-3"/>
          <w:szCs w:val="24"/>
          <w:lang w:val="es-NI"/>
        </w:rPr>
        <w:lastRenderedPageBreak/>
        <w:t xml:space="preserve">La piedra se deberá colocar sin dañar la formaleta y el concreto y cada piedra deberá quedar rodeada de una capa de concreto de no menor de </w:t>
      </w:r>
      <w:smartTag w:uri="urn:schemas-microsoft-com:office:smarttags" w:element="metricconverter">
        <w:smartTagPr>
          <w:attr w:name="ProductID" w:val="15.0 cm"/>
        </w:smartTagPr>
        <w:r w:rsidRPr="001A4860">
          <w:rPr>
            <w:rFonts w:ascii="Calibri" w:eastAsia="Calibri" w:hAnsi="Calibri" w:cs="Arial"/>
            <w:spacing w:val="-3"/>
            <w:szCs w:val="24"/>
            <w:lang w:val="es-NI"/>
          </w:rPr>
          <w:t>15.0 cm</w:t>
        </w:r>
      </w:smartTag>
      <w:r w:rsidRPr="001A4860">
        <w:rPr>
          <w:rFonts w:ascii="Calibri" w:eastAsia="Calibri" w:hAnsi="Calibri" w:cs="Arial"/>
          <w:spacing w:val="-3"/>
          <w:szCs w:val="24"/>
          <w:lang w:val="es-NI"/>
        </w:rPr>
        <w:t xml:space="preserve"> de espesor.</w:t>
      </w:r>
    </w:p>
    <w:p w14:paraId="6091AF42"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p>
    <w:p w14:paraId="4FFD5D67" w14:textId="77777777" w:rsidR="001A4860" w:rsidRPr="001A4860" w:rsidRDefault="001A4860" w:rsidP="003B68DB">
      <w:pPr>
        <w:numPr>
          <w:ilvl w:val="1"/>
          <w:numId w:val="182"/>
        </w:numPr>
        <w:spacing w:after="160" w:line="256" w:lineRule="auto"/>
        <w:ind w:left="426" w:hanging="426"/>
        <w:jc w:val="left"/>
        <w:rPr>
          <w:rFonts w:ascii="Calibri" w:hAnsi="Calibri"/>
          <w:b/>
          <w:i/>
          <w:szCs w:val="24"/>
          <w:lang w:val="es-ES" w:eastAsia="es-ES"/>
        </w:rPr>
      </w:pPr>
      <w:r w:rsidRPr="001A4860">
        <w:rPr>
          <w:rFonts w:ascii="Calibri" w:hAnsi="Calibri"/>
          <w:b/>
          <w:i/>
          <w:szCs w:val="24"/>
          <w:lang w:val="es-ES" w:eastAsia="es-ES"/>
        </w:rPr>
        <w:t>Acero de Refuerzo</w:t>
      </w:r>
    </w:p>
    <w:p w14:paraId="45F51DDF" w14:textId="77777777" w:rsidR="001A4860" w:rsidRPr="001A4860" w:rsidRDefault="001A4860" w:rsidP="001A4860">
      <w:pPr>
        <w:suppressAutoHyphens/>
        <w:spacing w:line="20" w:lineRule="atLeast"/>
        <w:rPr>
          <w:rFonts w:ascii="Arial" w:eastAsia="Calibri" w:hAnsi="Arial" w:cs="Arial"/>
          <w:spacing w:val="-3"/>
          <w:sz w:val="22"/>
          <w:szCs w:val="22"/>
          <w:lang w:val="es-NI"/>
        </w:rPr>
      </w:pPr>
    </w:p>
    <w:p w14:paraId="6787CB9A" w14:textId="77777777" w:rsidR="001A4860" w:rsidRPr="001A4860" w:rsidRDefault="001A4860" w:rsidP="001A4860">
      <w:pPr>
        <w:tabs>
          <w:tab w:val="left" w:pos="-720"/>
          <w:tab w:val="left" w:pos="0"/>
        </w:tabs>
        <w:suppressAutoHyphens/>
        <w:spacing w:line="20" w:lineRule="atLeast"/>
        <w:ind w:left="708"/>
        <w:rPr>
          <w:rFonts w:ascii="Calibri" w:eastAsia="Calibri" w:hAnsi="Calibri" w:cs="Arial"/>
          <w:spacing w:val="-3"/>
          <w:szCs w:val="24"/>
          <w:lang w:val="es-NI"/>
        </w:rPr>
      </w:pPr>
      <w:r w:rsidRPr="001A4860">
        <w:rPr>
          <w:rFonts w:ascii="Calibri" w:eastAsia="Calibri" w:hAnsi="Calibri" w:cs="Arial"/>
          <w:spacing w:val="-3"/>
          <w:szCs w:val="24"/>
          <w:lang w:val="es-NI"/>
        </w:rPr>
        <w:t>Se usarán varillas ASTM-A-615, Grado 40 (FY=40,000 psi), serán corrugadas, a excepción de las varillas de diámetros de 1/4" que serán lisas. Todas las varillas deben estar limpias y libres de escamas, trazas de oxidación avanzada, grasas y otras impurezas o imperfecciones que afecten sus propiedades físicas, su resistencia o su adherencia al concreto.</w:t>
      </w:r>
    </w:p>
    <w:p w14:paraId="5F9AB9BF" w14:textId="77777777" w:rsidR="001A4860" w:rsidRPr="001A4860" w:rsidRDefault="001A4860" w:rsidP="001A4860">
      <w:pPr>
        <w:suppressAutoHyphens/>
        <w:spacing w:line="20" w:lineRule="atLeast"/>
        <w:rPr>
          <w:rFonts w:ascii="Arial" w:eastAsia="Calibri" w:hAnsi="Arial" w:cs="Arial"/>
          <w:spacing w:val="-3"/>
          <w:sz w:val="22"/>
          <w:szCs w:val="22"/>
          <w:lang w:val="es-NI"/>
        </w:rPr>
      </w:pPr>
    </w:p>
    <w:p w14:paraId="4DD4B651"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10" w:name="_Toc61317117"/>
      <w:bookmarkStart w:id="1211" w:name="_Toc240187276"/>
      <w:bookmarkStart w:id="1212" w:name="_Toc240777470"/>
      <w:r w:rsidRPr="001A4860">
        <w:rPr>
          <w:rFonts w:ascii="Calibri Light" w:hAnsi="Calibri Light"/>
          <w:b/>
          <w:bCs/>
          <w:sz w:val="22"/>
          <w:szCs w:val="22"/>
          <w:lang w:val="es-NI"/>
        </w:rPr>
        <w:t>Almacenaje de materiales</w:t>
      </w:r>
      <w:bookmarkEnd w:id="1210"/>
      <w:bookmarkEnd w:id="1211"/>
      <w:bookmarkEnd w:id="1212"/>
    </w:p>
    <w:p w14:paraId="74632AC6" w14:textId="77777777" w:rsidR="001A4860" w:rsidRPr="001A4860" w:rsidRDefault="001A4860" w:rsidP="001A4860">
      <w:pPr>
        <w:spacing w:line="20" w:lineRule="atLeast"/>
        <w:rPr>
          <w:rFonts w:ascii="Arial" w:eastAsia="Calibri" w:hAnsi="Arial" w:cs="Arial"/>
          <w:sz w:val="22"/>
          <w:szCs w:val="22"/>
          <w:lang w:val="es-NI"/>
        </w:rPr>
      </w:pPr>
    </w:p>
    <w:p w14:paraId="1B6CD69B"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cemento se almacenará en bodegas secas sobre tarimas de madera en estibas de no más de 10 sacos. El cemento debe llegar al sitio de la construcción en sus envases originales y enteros. No se utilizará cemento dañado o ya endurecido.</w:t>
      </w:r>
    </w:p>
    <w:p w14:paraId="3971C8B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5D2D9DC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Los áridos finos y gruesos se manejarán y almacenarán separadamente de manera tal que se evite la mezcla con materias extrañas. Todas las varillas de acero de refuerzo se deberán proteger hasta el momento de usarse.</w:t>
      </w:r>
    </w:p>
    <w:p w14:paraId="3A0A7C7D" w14:textId="77777777" w:rsidR="001A4860" w:rsidRPr="001A4860" w:rsidRDefault="001A4860" w:rsidP="001A4860">
      <w:pPr>
        <w:suppressAutoHyphens/>
        <w:spacing w:line="20" w:lineRule="atLeast"/>
        <w:rPr>
          <w:rFonts w:ascii="Arial" w:eastAsia="Calibri" w:hAnsi="Arial" w:cs="Arial"/>
          <w:sz w:val="22"/>
          <w:szCs w:val="22"/>
          <w:lang w:val="es-NI"/>
        </w:rPr>
      </w:pPr>
    </w:p>
    <w:p w14:paraId="3F568CCB"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13" w:name="_Toc468439687"/>
      <w:bookmarkStart w:id="1214" w:name="_Toc468440873"/>
      <w:bookmarkStart w:id="1215" w:name="_Toc61317118"/>
      <w:bookmarkStart w:id="1216" w:name="_Toc240187277"/>
      <w:bookmarkStart w:id="1217" w:name="_Toc240777471"/>
      <w:r w:rsidRPr="001A4860">
        <w:rPr>
          <w:rFonts w:ascii="Calibri Light" w:hAnsi="Calibri Light"/>
          <w:b/>
          <w:bCs/>
          <w:sz w:val="22"/>
          <w:szCs w:val="22"/>
          <w:lang w:val="es-NI"/>
        </w:rPr>
        <w:t>Resistencia del concreto.</w:t>
      </w:r>
      <w:bookmarkEnd w:id="1213"/>
      <w:bookmarkEnd w:id="1214"/>
      <w:bookmarkEnd w:id="1215"/>
      <w:bookmarkEnd w:id="1216"/>
      <w:bookmarkEnd w:id="1217"/>
    </w:p>
    <w:p w14:paraId="7664293A" w14:textId="77777777" w:rsidR="001A4860" w:rsidRPr="001A4860" w:rsidRDefault="001A4860" w:rsidP="001A4860">
      <w:pPr>
        <w:spacing w:line="20" w:lineRule="atLeast"/>
        <w:rPr>
          <w:rFonts w:ascii="Arial" w:eastAsia="Calibri" w:hAnsi="Arial" w:cs="Arial"/>
          <w:sz w:val="22"/>
          <w:szCs w:val="22"/>
          <w:lang w:val="es-NI"/>
        </w:rPr>
      </w:pPr>
    </w:p>
    <w:p w14:paraId="7B8E7BF8"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Todo el concreto empleado tendrá un revenimiento no mayor de cuatro (4") pulgadas y/o conforme el diseño del concreto sometido por El Contratista y aprobado por El Ingeniero. La resistencia a la compresión especificada se medirá en cilindros de </w:t>
      </w:r>
      <w:smartTag w:uri="urn:schemas-microsoft-com:office:smarttags" w:element="metricconverter">
        <w:smartTagPr>
          <w:attr w:name="ProductID" w:val="15 cm"/>
        </w:smartTagPr>
        <w:r w:rsidRPr="001A4860">
          <w:rPr>
            <w:rFonts w:ascii="Calibri" w:eastAsia="Calibri" w:hAnsi="Calibri" w:cs="Arial"/>
            <w:spacing w:val="-3"/>
            <w:szCs w:val="24"/>
            <w:lang w:val="es-NI"/>
          </w:rPr>
          <w:t>15 cm</w:t>
        </w:r>
      </w:smartTag>
      <w:r w:rsidRPr="001A4860">
        <w:rPr>
          <w:rFonts w:ascii="Calibri" w:eastAsia="Calibri" w:hAnsi="Calibri" w:cs="Arial"/>
          <w:spacing w:val="-3"/>
          <w:szCs w:val="24"/>
          <w:lang w:val="es-NI"/>
        </w:rPr>
        <w:t xml:space="preserve">. x </w:t>
      </w:r>
      <w:smartTag w:uri="urn:schemas-microsoft-com:office:smarttags" w:element="metricconverter">
        <w:smartTagPr>
          <w:attr w:name="ProductID" w:val="30 cm"/>
        </w:smartTagPr>
        <w:r w:rsidRPr="001A4860">
          <w:rPr>
            <w:rFonts w:ascii="Calibri" w:eastAsia="Calibri" w:hAnsi="Calibri" w:cs="Arial"/>
            <w:spacing w:val="-3"/>
            <w:szCs w:val="24"/>
            <w:lang w:val="es-NI"/>
          </w:rPr>
          <w:t>30 cm</w:t>
        </w:r>
      </w:smartTag>
      <w:r w:rsidRPr="001A4860">
        <w:rPr>
          <w:rFonts w:ascii="Calibri" w:eastAsia="Calibri" w:hAnsi="Calibri" w:cs="Arial"/>
          <w:spacing w:val="-3"/>
          <w:szCs w:val="24"/>
          <w:lang w:val="es-NI"/>
        </w:rPr>
        <w:t>. a los veintiocho 28 días de edad, de acuerdo con las Normas de la A.S.T.M. C 39-66.</w:t>
      </w:r>
    </w:p>
    <w:p w14:paraId="2436DA7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67690849"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Contratista tomará cilindros de la mezcla de hormigón según lo ordene El Ingeniero Supervisor, para determinar su resistencia por medio de ensayos de laboratorio, los cuales serán pagados por El Contratista. Se tomarán dos (2) cilindros por llena por frente de trabajo por día.  En caso de sospecha de alguna lechada de concreto, El Ingeniero Supervisor podrá ordenar toma de cilindros adicionales.</w:t>
      </w:r>
    </w:p>
    <w:p w14:paraId="436FC3AB"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31B24738"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 mezcla de concreto empleada en todas las estructuras deberá ser de una consistencia conveniente, sin exceso de agua, plástica y trabajable, a fin de llenar los encofrados completamente, sin dejar cavidades interiores o superficiales.</w:t>
      </w:r>
    </w:p>
    <w:p w14:paraId="1F630FDB"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3663F63D"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concreto empleado en la construcción, ya sea concreto armado o concreto ciclópeo, excepto donde se indique claramente lo contrario, tendrá una resistencia a la compresión de 210 Kg/cm2 (3000 lb/pulg2). El concreto simple para bloque de reacción y bloque para protección de tubería en cruce de rió, cauce y tubería superficial, tendrá una resistencia a la compresión de 140 Kg/cm2 (2000 lb/pulg2).</w:t>
      </w:r>
    </w:p>
    <w:p w14:paraId="33EA460C" w14:textId="77777777" w:rsidR="001A4860" w:rsidRPr="001A4860" w:rsidRDefault="001A4860" w:rsidP="001A4860">
      <w:pPr>
        <w:keepNext/>
        <w:keepLines/>
        <w:spacing w:line="276" w:lineRule="auto"/>
        <w:jc w:val="left"/>
        <w:outlineLvl w:val="2"/>
        <w:rPr>
          <w:rFonts w:ascii="Calibri Light" w:hAnsi="Calibri Light"/>
          <w:b/>
          <w:bCs/>
          <w:sz w:val="22"/>
          <w:szCs w:val="22"/>
          <w:lang w:val="es-NI"/>
        </w:rPr>
      </w:pPr>
      <w:bookmarkStart w:id="1218" w:name="_Toc61317119"/>
      <w:bookmarkStart w:id="1219" w:name="_Toc468439689"/>
      <w:bookmarkStart w:id="1220" w:name="_Toc468440875"/>
    </w:p>
    <w:p w14:paraId="3D8E0391"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21" w:name="_Toc240187278"/>
      <w:bookmarkStart w:id="1222" w:name="_Toc240777472"/>
      <w:r w:rsidRPr="001A4860">
        <w:rPr>
          <w:rFonts w:ascii="Calibri Light" w:hAnsi="Calibri Light"/>
          <w:b/>
          <w:bCs/>
          <w:sz w:val="22"/>
          <w:szCs w:val="22"/>
          <w:lang w:val="es-NI"/>
        </w:rPr>
        <w:t>Dosificación y mezcla del concreto</w:t>
      </w:r>
      <w:bookmarkEnd w:id="1218"/>
      <w:bookmarkEnd w:id="1221"/>
      <w:bookmarkEnd w:id="1222"/>
    </w:p>
    <w:p w14:paraId="0C2B96EA" w14:textId="77777777" w:rsidR="001A4860" w:rsidRPr="001A4860" w:rsidRDefault="001A4860" w:rsidP="001A4860">
      <w:pPr>
        <w:spacing w:line="256" w:lineRule="auto"/>
        <w:jc w:val="left"/>
        <w:rPr>
          <w:rFonts w:ascii="Calibri" w:eastAsia="Calibri" w:hAnsi="Calibri"/>
          <w:sz w:val="22"/>
          <w:szCs w:val="22"/>
          <w:lang w:val="es-NI"/>
        </w:rPr>
      </w:pPr>
    </w:p>
    <w:p w14:paraId="7F493C30"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Las dosificaciones de cemento, agregados y agua utilizados deberá ser aprobados por el Ingeniero Supervisor y la relación de agua / cemento máxima permisible para el concreto en general será del 0.58 y para el concreto que estará expuesta al agua dulce serán de 0.51. Se harán sobre la base de pruebas de clasificación y contenido de humedad de los materiales, asentamiento de la mezcla de concreto y resistencia del concreto, comprobada por pruebas de resistencia a la compresión ejecutadas en cilindros de este material.</w:t>
      </w:r>
    </w:p>
    <w:p w14:paraId="3796EB9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33D88D92"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Estas pruebas deberán ser realizadas por un laboratorio de pruebas de reconocida competencia y pagadas por el Contratista.  Informes certificados de las pruebas deberán ser presentados al Ingeniero Supervisor, antes de proceder al vaciado de concreto. El Contratista no podrá cambiar abastecedores de materiales durante el curso del trabajo sin autorización del Ingeniero Supervisor y presentación de nuevas pruebas certificadas de laboratorio.  Excepto cuando se especifique lo contrario, el concreto será mezclado en sitio. La mezcla del concreto se ajustará a los requerimientos de la norma ACI 211.1-95.</w:t>
      </w:r>
    </w:p>
    <w:p w14:paraId="15BBD6BC"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6229A2B7"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método para determinar la cantidad correcta de agua y agregado para cada mezcla, debe ser de un tipo que permita controlar con exactitud la proporción de agua y cemento, y verificarla fácilmente en cualquier momento.</w:t>
      </w:r>
    </w:p>
    <w:p w14:paraId="72543E10" w14:textId="77777777" w:rsidR="001A4860" w:rsidRPr="001A4860" w:rsidRDefault="001A4860" w:rsidP="001A4860">
      <w:pPr>
        <w:spacing w:line="20" w:lineRule="atLeast"/>
        <w:rPr>
          <w:rFonts w:ascii="Arial" w:eastAsia="Calibri" w:hAnsi="Arial" w:cs="Arial"/>
          <w:sz w:val="22"/>
          <w:szCs w:val="22"/>
          <w:lang w:val="es-NI"/>
        </w:rPr>
      </w:pPr>
    </w:p>
    <w:p w14:paraId="24DDE81F"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23" w:name="_Toc61317120"/>
      <w:bookmarkStart w:id="1224" w:name="_Toc240187279"/>
      <w:bookmarkStart w:id="1225" w:name="_Toc240777473"/>
      <w:r w:rsidRPr="001A4860">
        <w:rPr>
          <w:rFonts w:ascii="Calibri Light" w:hAnsi="Calibri Light"/>
          <w:b/>
          <w:bCs/>
          <w:sz w:val="22"/>
          <w:szCs w:val="22"/>
          <w:lang w:val="es-NI"/>
        </w:rPr>
        <w:t>Mezclado del concreto</w:t>
      </w:r>
      <w:bookmarkEnd w:id="1219"/>
      <w:bookmarkEnd w:id="1220"/>
      <w:bookmarkEnd w:id="1223"/>
      <w:bookmarkEnd w:id="1224"/>
      <w:bookmarkEnd w:id="1225"/>
    </w:p>
    <w:p w14:paraId="701EADEC" w14:textId="77777777" w:rsidR="001A4860" w:rsidRPr="001A4860" w:rsidRDefault="001A4860" w:rsidP="001A4860">
      <w:pPr>
        <w:spacing w:line="20" w:lineRule="atLeast"/>
        <w:rPr>
          <w:rFonts w:ascii="Arial" w:eastAsia="Calibri" w:hAnsi="Arial" w:cs="Arial"/>
          <w:sz w:val="22"/>
          <w:szCs w:val="22"/>
          <w:lang w:val="es-NI"/>
        </w:rPr>
      </w:pPr>
    </w:p>
    <w:p w14:paraId="64032D92"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Ingeniero podrá autorizar la mezcla del concreto a mano; debiendo hacerse entonces sobre una superficie impermeable, (bateas, etc.) primero logrando una mezcla de aspecto uniforme y agregando después el agua dosificadamente, en pequeñas cantidades hasta obtener un producto homogéneo.  Se tendrá especial cuidado durante la operación de no mezclar con tierra e impurezas.  No se permitirá hacer la mezcla directamente sobre el suelo.</w:t>
      </w:r>
    </w:p>
    <w:p w14:paraId="68F8172C" w14:textId="77777777" w:rsidR="001A4860" w:rsidRPr="001A4860" w:rsidRDefault="001A4860" w:rsidP="001A4860">
      <w:pPr>
        <w:spacing w:line="256" w:lineRule="auto"/>
        <w:jc w:val="left"/>
        <w:rPr>
          <w:rFonts w:ascii="Arial" w:eastAsia="Calibri" w:hAnsi="Arial" w:cs="Arial"/>
          <w:sz w:val="22"/>
          <w:szCs w:val="22"/>
          <w:lang w:val="es-NI"/>
        </w:rPr>
      </w:pPr>
    </w:p>
    <w:p w14:paraId="109DEAB9"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26" w:name="_Toc61317121"/>
      <w:bookmarkStart w:id="1227" w:name="_Toc240187280"/>
      <w:bookmarkStart w:id="1228" w:name="_Toc240777474"/>
      <w:r w:rsidRPr="001A4860">
        <w:rPr>
          <w:rFonts w:ascii="Calibri Light" w:hAnsi="Calibri Light"/>
          <w:b/>
          <w:bCs/>
          <w:sz w:val="22"/>
          <w:szCs w:val="22"/>
          <w:lang w:val="es-NI"/>
        </w:rPr>
        <w:t>Pruebas para el control de concreto</w:t>
      </w:r>
      <w:bookmarkEnd w:id="1226"/>
      <w:bookmarkEnd w:id="1227"/>
      <w:bookmarkEnd w:id="1228"/>
    </w:p>
    <w:p w14:paraId="154278BA" w14:textId="77777777" w:rsidR="001A4860" w:rsidRPr="001A4860" w:rsidRDefault="001A4860" w:rsidP="001A4860">
      <w:pPr>
        <w:spacing w:after="160" w:line="256" w:lineRule="auto"/>
        <w:jc w:val="left"/>
        <w:rPr>
          <w:rFonts w:ascii="Calibri" w:eastAsia="Calibri" w:hAnsi="Calibri"/>
          <w:sz w:val="22"/>
          <w:szCs w:val="22"/>
          <w:lang w:val="es-NI"/>
        </w:rPr>
      </w:pPr>
    </w:p>
    <w:p w14:paraId="321E2FEB"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Contratista mantendrá en el sitio de la obra durante el tiempo de llena, a un laboratorista con su equipo para controlar la calidad del concreto que se vaya a colar.  Se harán las pruebas de revenimiento necesarias para que la trabajabilidad del concreto sea la adecuada (revenimiento de 4")</w:t>
      </w:r>
    </w:p>
    <w:p w14:paraId="4B2114A0"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4F211830"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En cada llena se tomarán dos cilindros para probarse uno a los siete días y el otro a los veintiocho.  Cada tres llenas se tomarán tres cilindros para probarse igual a los anteriores, dejando el tercero como testigo para probarse en caso sea necesario ó lo juzgue conveniente el Ingeniero Supervisor.</w:t>
      </w:r>
    </w:p>
    <w:p w14:paraId="43A9D004" w14:textId="77777777" w:rsidR="001A4860" w:rsidRPr="001A4860" w:rsidRDefault="001A4860" w:rsidP="001A4860">
      <w:pPr>
        <w:spacing w:line="20" w:lineRule="atLeast"/>
        <w:rPr>
          <w:rFonts w:ascii="Arial" w:eastAsia="Calibri" w:hAnsi="Arial" w:cs="Arial"/>
          <w:sz w:val="22"/>
          <w:szCs w:val="22"/>
          <w:lang w:val="es-NI"/>
        </w:rPr>
      </w:pPr>
    </w:p>
    <w:p w14:paraId="649DF67A"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29" w:name="_Toc468439690"/>
      <w:bookmarkStart w:id="1230" w:name="_Toc468440876"/>
      <w:bookmarkStart w:id="1231" w:name="_Toc61317122"/>
      <w:bookmarkStart w:id="1232" w:name="_Toc240187281"/>
      <w:bookmarkStart w:id="1233" w:name="_Toc240777475"/>
      <w:r w:rsidRPr="001A4860">
        <w:rPr>
          <w:rFonts w:ascii="Calibri Light" w:hAnsi="Calibri Light"/>
          <w:b/>
          <w:bCs/>
          <w:sz w:val="22"/>
          <w:szCs w:val="22"/>
          <w:lang w:val="es-NI"/>
        </w:rPr>
        <w:lastRenderedPageBreak/>
        <w:t>Transporte y colocación del concreto</w:t>
      </w:r>
      <w:bookmarkEnd w:id="1229"/>
      <w:bookmarkEnd w:id="1230"/>
      <w:bookmarkEnd w:id="1231"/>
      <w:bookmarkEnd w:id="1232"/>
      <w:bookmarkEnd w:id="1233"/>
    </w:p>
    <w:p w14:paraId="1B059C09" w14:textId="77777777" w:rsidR="001A4860" w:rsidRPr="001A4860" w:rsidRDefault="001A4860" w:rsidP="001A4860">
      <w:pPr>
        <w:spacing w:after="160" w:line="256" w:lineRule="auto"/>
        <w:jc w:val="left"/>
        <w:rPr>
          <w:rFonts w:ascii="Calibri" w:eastAsia="Calibri" w:hAnsi="Calibri"/>
          <w:sz w:val="22"/>
          <w:szCs w:val="22"/>
          <w:lang w:val="es-NI"/>
        </w:rPr>
      </w:pPr>
    </w:p>
    <w:p w14:paraId="413FC67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Antes de proceder a la colocación del concreto, El Ingeniero deberá aprobar los encofrados y moldes y todos los detalles relacionados. Para tal efecto El Contratista deberá notificar a El Ingeniero con dos (2) días de anticipación la fecha y hora aproximada en que se propone iniciar el colado de concreto y el tiempo aproximado que durará dicha operación. En todo caso El Contratista no procederá a la colocación del concreto sin la autorización expresa de El Ingeniero y sin la presencia de éste o su Representante.</w:t>
      </w:r>
    </w:p>
    <w:p w14:paraId="46AD5164"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02184FD6"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equipo de transporte debe ser capaz de llevar el suministro del concreto al sitio de colocación sin segregación y sin interrupciones que permitan la pérdida de plasticidad entre colados sucesivos.</w:t>
      </w:r>
    </w:p>
    <w:p w14:paraId="79BB646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2508F029"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Antes de proceder al colocado del concreto en una superficies de concreto existente esta deberá de limpiarse bien para eliminar todos los materiales extraños sobre las superficies y una vez bien limpia se procederá antes del vaciado del concreto vaciar una lechada de cemento sobre la superficie de la misma. También antes de proceder al colado del concreto, todos los encofrados o moldes deben limpiarse, eliminando de ellos toda basura o materia extraña; también los encofrados deben humedecerse antes del vaciado para evitar que absorban agua de la mezcla de concreto. El colado debe efectuarse a tal velocidad, que el concreto conserve su estado plástico en todo momento y fluya fácilmente dentro de los espacios entre las varillas.</w:t>
      </w:r>
    </w:p>
    <w:p w14:paraId="62F22CC9"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7FACF754"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Durante la colocación, todo concreto en estado blando deberá compactarse con vibrador para que pueda acomodarse enteramente alrededor del refuerzo.</w:t>
      </w:r>
    </w:p>
    <w:p w14:paraId="29994954"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789EE012"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colado del concreto debe interrumpirse en caso de lluvia, tomando las medidas apropiadas para proteger de ella los elementos recién colados.</w:t>
      </w:r>
    </w:p>
    <w:p w14:paraId="02071A77" w14:textId="77777777" w:rsidR="001A4860" w:rsidRPr="001A4860" w:rsidRDefault="001A4860" w:rsidP="001A4860">
      <w:pPr>
        <w:spacing w:line="20" w:lineRule="atLeast"/>
        <w:rPr>
          <w:rFonts w:ascii="Arial" w:eastAsia="Calibri" w:hAnsi="Arial" w:cs="Arial"/>
          <w:sz w:val="22"/>
          <w:szCs w:val="22"/>
          <w:lang w:val="es-NI"/>
        </w:rPr>
      </w:pPr>
    </w:p>
    <w:p w14:paraId="658EE786" w14:textId="77777777" w:rsidR="001A4860" w:rsidRPr="001A4860" w:rsidRDefault="001A4860" w:rsidP="001A4860">
      <w:pPr>
        <w:spacing w:line="20" w:lineRule="atLeast"/>
        <w:rPr>
          <w:rFonts w:ascii="Arial" w:eastAsia="Calibri" w:hAnsi="Arial" w:cs="Arial"/>
          <w:sz w:val="22"/>
          <w:szCs w:val="22"/>
          <w:lang w:val="es-NI"/>
        </w:rPr>
      </w:pPr>
    </w:p>
    <w:p w14:paraId="3654E489"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34" w:name="_Toc61317123"/>
      <w:bookmarkStart w:id="1235" w:name="_Toc240187282"/>
      <w:bookmarkStart w:id="1236" w:name="_Toc240777476"/>
      <w:r w:rsidRPr="001A4860">
        <w:rPr>
          <w:rFonts w:ascii="Calibri Light" w:hAnsi="Calibri Light"/>
          <w:b/>
          <w:bCs/>
          <w:sz w:val="22"/>
          <w:szCs w:val="22"/>
          <w:lang w:val="es-NI"/>
        </w:rPr>
        <w:t>Apisonado</w:t>
      </w:r>
      <w:bookmarkEnd w:id="1234"/>
      <w:bookmarkEnd w:id="1235"/>
      <w:bookmarkEnd w:id="1236"/>
    </w:p>
    <w:p w14:paraId="71D038FA" w14:textId="77777777" w:rsidR="001A4860" w:rsidRPr="001A4860" w:rsidRDefault="001A4860" w:rsidP="001A4860">
      <w:pPr>
        <w:tabs>
          <w:tab w:val="left" w:pos="-720"/>
          <w:tab w:val="left" w:pos="0"/>
        </w:tabs>
        <w:suppressAutoHyphens/>
        <w:spacing w:line="20" w:lineRule="atLeast"/>
        <w:rPr>
          <w:rFonts w:ascii="Arial" w:eastAsia="Calibri" w:hAnsi="Arial" w:cs="Arial"/>
          <w:spacing w:val="-3"/>
          <w:sz w:val="22"/>
          <w:szCs w:val="22"/>
          <w:lang w:val="es-NI"/>
        </w:rPr>
      </w:pPr>
    </w:p>
    <w:p w14:paraId="5C26CD86"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En todos los fundidos se aplicará el apisonado por vibración, prodigándose los puntos de vibrado necesario para que su efecto se extienda a toda la masa, sin iniciar disgregaciones locales. El Contratista usará vibradores y cabezal de vibradores apropiados para cada tipo de trabajo.</w:t>
      </w:r>
    </w:p>
    <w:p w14:paraId="57A76D83"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4D2120A4"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Se respetarán las juntas señaladas en los planos, si las hubiera. En las interrupciones de la llena se cuidará de dejar la junta lo más normalmente posible a la dirección de la máxima compresión, y donde su efecto sea menos perjudicial, siguiendo en todo caso la instrucción del Ingeniero Supervisor. </w:t>
      </w:r>
    </w:p>
    <w:p w14:paraId="0AEE1C8E" w14:textId="77777777" w:rsidR="001A4860" w:rsidRPr="001A4860" w:rsidRDefault="001A4860" w:rsidP="001A4860">
      <w:pPr>
        <w:spacing w:line="20" w:lineRule="atLeast"/>
        <w:rPr>
          <w:rFonts w:ascii="Arial" w:eastAsia="Calibri" w:hAnsi="Arial" w:cs="Arial"/>
          <w:spacing w:val="-3"/>
          <w:sz w:val="22"/>
          <w:szCs w:val="22"/>
          <w:lang w:val="es-NI"/>
        </w:rPr>
      </w:pPr>
    </w:p>
    <w:p w14:paraId="6BCA396B"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37" w:name="_Toc61317124"/>
      <w:bookmarkStart w:id="1238" w:name="_Toc240187283"/>
      <w:bookmarkStart w:id="1239" w:name="_Toc240777477"/>
      <w:r w:rsidRPr="001A4860">
        <w:rPr>
          <w:rFonts w:ascii="Calibri Light" w:hAnsi="Calibri Light"/>
          <w:b/>
          <w:bCs/>
          <w:sz w:val="22"/>
          <w:szCs w:val="22"/>
          <w:lang w:val="es-NI"/>
        </w:rPr>
        <w:t>Encofrados.</w:t>
      </w:r>
      <w:bookmarkEnd w:id="1237"/>
      <w:bookmarkEnd w:id="1238"/>
      <w:bookmarkEnd w:id="1239"/>
    </w:p>
    <w:p w14:paraId="4809A2CD"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34B75FBA"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lastRenderedPageBreak/>
        <w:t>Las formaletas con sus soportes tendrán la resistencia y rigidez necesaria para soportar el concreto y su vibrado, sin movimientos locales superiores a las tolerancias usuales de  luz. Los apoyos estarán dispuestos de modo que en ningún momento se produzcan sobre la parte de la obra ejecutada, esfuerzos superiores al tercio (l/3) de su resistencia.</w:t>
      </w:r>
    </w:p>
    <w:p w14:paraId="79E02075"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264A2A0F"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Las juntas de las resistencias no dejarán rendijas de más de tres (3) milímetros, para evitar la pérdida de  lechada, pero deberán dejar el juego necesario para evitar que por el efecto de la humedad durante la llena, al dilatarse se compriman y deformen los tablones.</w:t>
      </w:r>
    </w:p>
    <w:p w14:paraId="063C372D"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ab/>
      </w:r>
    </w:p>
    <w:p w14:paraId="4F1D75E4"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Las superficies interiores quedarán sin desigualdades o resaltos mayores de tres (3) milímetros.</w:t>
      </w:r>
    </w:p>
    <w:p w14:paraId="38407CAD"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1CFBD251"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Antes de la llena se mojarán las superficies interiores y se limpiarán especialmente los fondos, dejándose aberturas provisionales para facilitar esta limpieza en los elementos que lo requieran.</w:t>
      </w:r>
    </w:p>
    <w:p w14:paraId="03C01C43"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bookmarkStart w:id="1240" w:name="_Toc468439692"/>
      <w:bookmarkStart w:id="1241" w:name="_Toc468440878"/>
    </w:p>
    <w:p w14:paraId="7C08D79B"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42" w:name="_Toc61317125"/>
      <w:bookmarkStart w:id="1243" w:name="_Toc240187284"/>
      <w:bookmarkStart w:id="1244" w:name="_Toc240777478"/>
      <w:r w:rsidRPr="001A4860">
        <w:rPr>
          <w:rFonts w:ascii="Calibri Light" w:hAnsi="Calibri Light"/>
          <w:b/>
          <w:bCs/>
          <w:sz w:val="22"/>
          <w:szCs w:val="22"/>
          <w:lang w:val="es-NI"/>
        </w:rPr>
        <w:t>Desencofrado.</w:t>
      </w:r>
      <w:bookmarkEnd w:id="1240"/>
      <w:bookmarkEnd w:id="1241"/>
      <w:bookmarkEnd w:id="1242"/>
      <w:bookmarkEnd w:id="1243"/>
      <w:bookmarkEnd w:id="1244"/>
    </w:p>
    <w:p w14:paraId="7A444805" w14:textId="77777777" w:rsidR="001A4860" w:rsidRPr="001A4860" w:rsidRDefault="001A4860" w:rsidP="001A4860">
      <w:pPr>
        <w:spacing w:line="20" w:lineRule="atLeast"/>
        <w:rPr>
          <w:rFonts w:ascii="Arial" w:eastAsia="Calibri" w:hAnsi="Arial" w:cs="Arial"/>
          <w:sz w:val="22"/>
          <w:szCs w:val="22"/>
          <w:lang w:val="es-NI"/>
        </w:rPr>
      </w:pPr>
    </w:p>
    <w:p w14:paraId="288BEB9E"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w:t>
      </w:r>
    </w:p>
    <w:p w14:paraId="1ADAD35C"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57EB246C"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descimbrado deberá hacerse de tal forma que no perjudique la completa seguridad y durabilidad de la estructura.</w:t>
      </w:r>
    </w:p>
    <w:p w14:paraId="72E11F52"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417B6FB2"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concreto que se descimbre debe ser suficientemente resistente para no sufrir daños posteriores.</w:t>
      </w:r>
    </w:p>
    <w:p w14:paraId="3778D083"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p>
    <w:p w14:paraId="30E40B0E" w14:textId="77777777" w:rsidR="001A4860" w:rsidRPr="001A4860" w:rsidRDefault="001A4860" w:rsidP="001A4860">
      <w:pPr>
        <w:tabs>
          <w:tab w:val="left" w:pos="-720"/>
          <w:tab w:val="left" w:pos="0"/>
        </w:tabs>
        <w:suppressAutoHyphens/>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Durante la actividad de descimbrar se cuidará de no dar golpes ni hacer esfuerzos que puedan perjudicar al concreto.</w:t>
      </w:r>
    </w:p>
    <w:p w14:paraId="3788ED48" w14:textId="77777777" w:rsidR="001A4860" w:rsidRPr="001A4860" w:rsidRDefault="001A4860" w:rsidP="001A4860">
      <w:pPr>
        <w:spacing w:line="20" w:lineRule="atLeast"/>
        <w:rPr>
          <w:rFonts w:ascii="Arial" w:eastAsia="Calibri" w:hAnsi="Arial" w:cs="Arial"/>
          <w:sz w:val="22"/>
          <w:szCs w:val="22"/>
          <w:lang w:val="es-NI"/>
        </w:rPr>
      </w:pPr>
    </w:p>
    <w:p w14:paraId="1B03AACA"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45" w:name="_Toc61317126"/>
      <w:bookmarkStart w:id="1246" w:name="_Toc240187285"/>
      <w:bookmarkStart w:id="1247" w:name="_Toc240777479"/>
      <w:r w:rsidRPr="001A4860">
        <w:rPr>
          <w:rFonts w:ascii="Calibri Light" w:hAnsi="Calibri Light"/>
          <w:b/>
          <w:bCs/>
          <w:sz w:val="22"/>
          <w:szCs w:val="22"/>
          <w:lang w:val="es-NI"/>
        </w:rPr>
        <w:t>Tiempo mínimo para retirar formaletas</w:t>
      </w:r>
      <w:bookmarkEnd w:id="1245"/>
      <w:bookmarkEnd w:id="1246"/>
      <w:bookmarkEnd w:id="1247"/>
    </w:p>
    <w:p w14:paraId="76BBD3BB" w14:textId="77777777" w:rsidR="001A4860" w:rsidRPr="001A4860" w:rsidRDefault="001A4860" w:rsidP="001A4860">
      <w:pPr>
        <w:spacing w:line="256" w:lineRule="auto"/>
        <w:jc w:val="left"/>
        <w:rPr>
          <w:rFonts w:ascii="Calibri" w:eastAsia="Calibri" w:hAnsi="Calibri"/>
          <w:sz w:val="22"/>
          <w:szCs w:val="22"/>
          <w:lang w:val="es-NI"/>
        </w:rPr>
      </w:pPr>
    </w:p>
    <w:p w14:paraId="1EB6B0A9"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Será de 8 horas en los costados siempre que a continuación del retiro de la formaleta se proceda al relleno y compactación del hueco de excavación, en caso contrario se requerirá un mínimo de 24 horas.</w:t>
      </w:r>
    </w:p>
    <w:p w14:paraId="61A40375" w14:textId="77777777" w:rsidR="001A4860" w:rsidRPr="001A4860" w:rsidRDefault="001A4860" w:rsidP="001A4860">
      <w:pPr>
        <w:spacing w:line="20" w:lineRule="atLeast"/>
        <w:rPr>
          <w:rFonts w:ascii="Calibri" w:eastAsia="Calibri" w:hAnsi="Calibri" w:cs="Arial"/>
          <w:spacing w:val="-3"/>
          <w:szCs w:val="24"/>
          <w:lang w:val="es-NI"/>
        </w:rPr>
      </w:pPr>
    </w:p>
    <w:p w14:paraId="6C2584F4"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usará una película de aceite quemado en la cara de la formaleta en contacto con el concreto para evitar descascaramientos de la superficie del concreto colado.</w:t>
      </w:r>
    </w:p>
    <w:p w14:paraId="766A8298" w14:textId="77777777" w:rsidR="001A4860" w:rsidRPr="001A4860" w:rsidRDefault="001A4860" w:rsidP="001A4860">
      <w:pPr>
        <w:spacing w:line="20" w:lineRule="atLeast"/>
        <w:rPr>
          <w:rFonts w:ascii="Calibri" w:eastAsia="Calibri" w:hAnsi="Calibri" w:cs="Arial"/>
          <w:spacing w:val="-3"/>
          <w:szCs w:val="24"/>
          <w:lang w:val="es-NI"/>
        </w:rPr>
      </w:pPr>
    </w:p>
    <w:p w14:paraId="6F20E818"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En ningún momento se permitirá cargar la estructura, con almacenamiento de materiales, equipos de construcción o cualquier otro tipo de sobrecarga extraordinaria durante el tiempo que dure el concreto en alcanzar su resistencia de diseño.</w:t>
      </w:r>
    </w:p>
    <w:p w14:paraId="5C74C9B1" w14:textId="77777777" w:rsidR="001A4860" w:rsidRPr="001A4860" w:rsidRDefault="001A4860" w:rsidP="001A4860">
      <w:pPr>
        <w:spacing w:line="20" w:lineRule="atLeast"/>
        <w:rPr>
          <w:rFonts w:ascii="Arial" w:eastAsia="Calibri" w:hAnsi="Arial" w:cs="Arial"/>
          <w:sz w:val="22"/>
          <w:szCs w:val="22"/>
          <w:lang w:val="es-NI"/>
        </w:rPr>
      </w:pPr>
    </w:p>
    <w:p w14:paraId="076A7793"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48" w:name="_Toc468439693"/>
      <w:bookmarkStart w:id="1249" w:name="_Toc468440879"/>
      <w:bookmarkStart w:id="1250" w:name="_Toc61317127"/>
      <w:bookmarkStart w:id="1251" w:name="_Toc240187286"/>
      <w:bookmarkStart w:id="1252" w:name="_Toc240777480"/>
      <w:r w:rsidRPr="001A4860">
        <w:rPr>
          <w:rFonts w:ascii="Calibri Light" w:hAnsi="Calibri Light"/>
          <w:b/>
          <w:bCs/>
          <w:sz w:val="22"/>
          <w:szCs w:val="22"/>
          <w:lang w:val="es-NI"/>
        </w:rPr>
        <w:lastRenderedPageBreak/>
        <w:t>Curado del concreto</w:t>
      </w:r>
      <w:bookmarkEnd w:id="1248"/>
      <w:bookmarkEnd w:id="1249"/>
      <w:bookmarkEnd w:id="1250"/>
      <w:bookmarkEnd w:id="1251"/>
      <w:bookmarkEnd w:id="1252"/>
    </w:p>
    <w:p w14:paraId="1A7A07F0" w14:textId="77777777" w:rsidR="001A4860" w:rsidRPr="001A4860" w:rsidRDefault="001A4860" w:rsidP="001A4860">
      <w:pPr>
        <w:spacing w:line="256" w:lineRule="auto"/>
        <w:jc w:val="left"/>
        <w:rPr>
          <w:rFonts w:ascii="Calibri" w:eastAsia="Calibri" w:hAnsi="Calibri"/>
          <w:sz w:val="22"/>
          <w:szCs w:val="22"/>
          <w:lang w:val="es-NI"/>
        </w:rPr>
      </w:pPr>
    </w:p>
    <w:p w14:paraId="568F4B3E"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Después de la colocación del concreto deben protegerse todas las superficies expuestas de los efectos de la intemperie, sobre todo del sol y de la lluvia. El curado se iniciará tan pronto el concreto haya endurecido suficientemente a juicio de El Ingeniero Supervisor.</w:t>
      </w:r>
    </w:p>
    <w:p w14:paraId="5246672F" w14:textId="77777777" w:rsidR="001A4860" w:rsidRPr="001A4860" w:rsidRDefault="001A4860" w:rsidP="001A4860">
      <w:pPr>
        <w:spacing w:line="20" w:lineRule="atLeast"/>
        <w:rPr>
          <w:rFonts w:ascii="Calibri" w:eastAsia="Calibri" w:hAnsi="Calibri" w:cs="Arial"/>
          <w:spacing w:val="-3"/>
          <w:szCs w:val="24"/>
          <w:lang w:val="es-NI"/>
        </w:rPr>
      </w:pPr>
    </w:p>
    <w:p w14:paraId="71F151DC"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cuidará de mantener continuamente húmeda durante los primeros siete (7) días la superficie del concreto.</w:t>
      </w:r>
    </w:p>
    <w:p w14:paraId="51DE5251" w14:textId="77777777" w:rsidR="001A4860" w:rsidRPr="001A4860" w:rsidRDefault="001A4860" w:rsidP="001A4860">
      <w:pPr>
        <w:spacing w:line="20" w:lineRule="atLeast"/>
        <w:rPr>
          <w:rFonts w:ascii="Calibri" w:eastAsia="Calibri" w:hAnsi="Calibri" w:cs="Arial"/>
          <w:spacing w:val="-3"/>
          <w:szCs w:val="24"/>
          <w:lang w:val="es-NI"/>
        </w:rPr>
      </w:pPr>
    </w:p>
    <w:p w14:paraId="5908CEC2"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evitarán causas externas, (sobrecargas, vibraciones, etc.) que puedan provocar fisuras en el concreto sin fraguar o sin la resistencia adecuada. El Contratista debe acatar todas las indicaciones que le haga El Ingeniero al respecto. Todos los repellos y acabados de paredes deben curarse en igual forma.</w:t>
      </w:r>
    </w:p>
    <w:p w14:paraId="41F0C071" w14:textId="77777777" w:rsidR="001A4860" w:rsidRPr="001A4860" w:rsidRDefault="001A4860" w:rsidP="001A4860">
      <w:pPr>
        <w:spacing w:line="20" w:lineRule="atLeast"/>
        <w:rPr>
          <w:rFonts w:ascii="Arial" w:eastAsia="Calibri" w:hAnsi="Arial" w:cs="Arial"/>
          <w:sz w:val="22"/>
          <w:szCs w:val="22"/>
          <w:lang w:val="es-NI"/>
        </w:rPr>
      </w:pPr>
    </w:p>
    <w:p w14:paraId="4C139255"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53" w:name="_Toc468439694"/>
      <w:bookmarkStart w:id="1254" w:name="_Toc468440880"/>
      <w:bookmarkStart w:id="1255" w:name="_Toc61317128"/>
      <w:bookmarkStart w:id="1256" w:name="_Toc240187287"/>
      <w:bookmarkStart w:id="1257" w:name="_Toc240777481"/>
      <w:r w:rsidRPr="001A4860">
        <w:rPr>
          <w:rFonts w:ascii="Calibri Light" w:hAnsi="Calibri Light"/>
          <w:b/>
          <w:bCs/>
          <w:sz w:val="22"/>
          <w:szCs w:val="22"/>
          <w:lang w:val="es-NI"/>
        </w:rPr>
        <w:t>Reparación de defectos en el concreto</w:t>
      </w:r>
      <w:bookmarkEnd w:id="1253"/>
      <w:bookmarkEnd w:id="1254"/>
      <w:bookmarkEnd w:id="1255"/>
      <w:bookmarkEnd w:id="1256"/>
      <w:bookmarkEnd w:id="1257"/>
    </w:p>
    <w:p w14:paraId="25E19435" w14:textId="77777777" w:rsidR="001A4860" w:rsidRPr="001A4860" w:rsidRDefault="001A4860" w:rsidP="001A4860">
      <w:pPr>
        <w:spacing w:line="256" w:lineRule="auto"/>
        <w:jc w:val="left"/>
        <w:rPr>
          <w:rFonts w:ascii="Calibri" w:eastAsia="Calibri" w:hAnsi="Calibri"/>
          <w:sz w:val="22"/>
          <w:szCs w:val="22"/>
          <w:lang w:val="es-NI"/>
        </w:rPr>
      </w:pPr>
    </w:p>
    <w:p w14:paraId="59FF7A1D"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Todos los defectos en el concreto, segregaciones superficiales (ratoneras), deben repararse picando bien la sección defectuosa, eliminando todo el material suelto.</w:t>
      </w:r>
    </w:p>
    <w:p w14:paraId="38FC819A" w14:textId="77777777" w:rsidR="001A4860" w:rsidRPr="001A4860" w:rsidRDefault="001A4860" w:rsidP="001A4860">
      <w:pPr>
        <w:spacing w:line="20" w:lineRule="atLeast"/>
        <w:rPr>
          <w:rFonts w:ascii="Calibri" w:eastAsia="Calibri" w:hAnsi="Calibri" w:cs="Arial"/>
          <w:spacing w:val="-3"/>
          <w:szCs w:val="24"/>
          <w:lang w:val="es-NI"/>
        </w:rPr>
      </w:pPr>
    </w:p>
    <w:p w14:paraId="4A04CD55"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Las zonas o secciones defectuosas deben rellenarse con concreto o mortero siguiendo las instrucciones de El Ingeniero.</w:t>
      </w:r>
    </w:p>
    <w:p w14:paraId="35460E4C" w14:textId="77777777" w:rsidR="001A4860" w:rsidRPr="001A4860" w:rsidRDefault="001A4860" w:rsidP="001A4860">
      <w:pPr>
        <w:spacing w:line="20" w:lineRule="atLeast"/>
        <w:rPr>
          <w:rFonts w:ascii="Arial" w:eastAsia="Calibri" w:hAnsi="Arial" w:cs="Arial"/>
          <w:sz w:val="22"/>
          <w:szCs w:val="22"/>
          <w:lang w:val="es-NI"/>
        </w:rPr>
      </w:pPr>
    </w:p>
    <w:p w14:paraId="5B9F39F9"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58" w:name="_Toc61317129"/>
      <w:bookmarkStart w:id="1259" w:name="_Toc240187288"/>
      <w:bookmarkStart w:id="1260" w:name="_Toc240777482"/>
      <w:r w:rsidRPr="001A4860">
        <w:rPr>
          <w:rFonts w:ascii="Calibri Light" w:hAnsi="Calibri Light"/>
          <w:b/>
          <w:bCs/>
          <w:sz w:val="22"/>
          <w:szCs w:val="22"/>
          <w:lang w:val="es-NI"/>
        </w:rPr>
        <w:t>Detalle de refuerzo</w:t>
      </w:r>
      <w:bookmarkEnd w:id="1258"/>
      <w:bookmarkEnd w:id="1259"/>
      <w:bookmarkEnd w:id="1260"/>
    </w:p>
    <w:p w14:paraId="067FE06C"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r w:rsidRPr="001A4860">
        <w:rPr>
          <w:rFonts w:ascii="Calibri Light" w:hAnsi="Calibri Light"/>
          <w:b/>
          <w:bCs/>
          <w:i/>
          <w:iCs/>
          <w:sz w:val="22"/>
          <w:szCs w:val="22"/>
          <w:lang w:val="es-NI"/>
        </w:rPr>
        <w:t>Dibujos de trabajos</w:t>
      </w:r>
    </w:p>
    <w:p w14:paraId="72D15657" w14:textId="77777777" w:rsidR="001A4860" w:rsidRPr="001A4860" w:rsidRDefault="001A4860" w:rsidP="001A4860">
      <w:pPr>
        <w:spacing w:line="20" w:lineRule="atLeast"/>
        <w:rPr>
          <w:rFonts w:ascii="Arial" w:eastAsia="Calibri" w:hAnsi="Arial" w:cs="Arial"/>
          <w:sz w:val="22"/>
          <w:szCs w:val="22"/>
          <w:lang w:val="es-NI"/>
        </w:rPr>
      </w:pPr>
    </w:p>
    <w:p w14:paraId="63EA2FE7"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Se deberán suministrar en cuadruplicados detalles de colocación y dibujos de taller para el corte y doblado de todo el acero de refuerzo.  Estos dibujos deberán ser hechos a una escala tal que muestren claramente la localización de las juntas de construcción, las aberturas para el vaciado de rellenos, el arreglo, espaciamiento y empalme de las varillas.  Ningún material podrá ser cortado o doblado, hasta que dichos dibujos hayan sido aprobados por el Ingeniero.</w:t>
      </w:r>
    </w:p>
    <w:p w14:paraId="2A3CAB21" w14:textId="77777777" w:rsidR="001A4860" w:rsidRPr="001A4860" w:rsidRDefault="001A4860" w:rsidP="001A4860">
      <w:pPr>
        <w:spacing w:line="20" w:lineRule="atLeast"/>
        <w:rPr>
          <w:rFonts w:ascii="Arial" w:eastAsia="Calibri" w:hAnsi="Arial" w:cs="Arial"/>
          <w:sz w:val="22"/>
          <w:szCs w:val="22"/>
          <w:lang w:val="es-NI"/>
        </w:rPr>
      </w:pPr>
    </w:p>
    <w:p w14:paraId="747DCE47" w14:textId="77777777" w:rsidR="001A4860" w:rsidRPr="001A4860" w:rsidRDefault="001A4860" w:rsidP="003B68DB">
      <w:pPr>
        <w:keepNext/>
        <w:keepLines/>
        <w:numPr>
          <w:ilvl w:val="3"/>
          <w:numId w:val="174"/>
        </w:numPr>
        <w:spacing w:before="200" w:after="160" w:line="276" w:lineRule="auto"/>
        <w:jc w:val="left"/>
        <w:outlineLvl w:val="3"/>
        <w:rPr>
          <w:rFonts w:ascii="Calibri Light" w:hAnsi="Calibri Light"/>
          <w:b/>
          <w:bCs/>
          <w:i/>
          <w:iCs/>
          <w:sz w:val="22"/>
          <w:szCs w:val="22"/>
          <w:lang w:val="es-NI"/>
        </w:rPr>
      </w:pPr>
      <w:r w:rsidRPr="001A4860">
        <w:rPr>
          <w:rFonts w:ascii="Calibri Light" w:hAnsi="Calibri Light"/>
          <w:b/>
          <w:bCs/>
          <w:i/>
          <w:iCs/>
          <w:sz w:val="22"/>
          <w:szCs w:val="22"/>
          <w:lang w:val="es-NI"/>
        </w:rPr>
        <w:t>Cortado Doblado y Almacenamiento.</w:t>
      </w:r>
    </w:p>
    <w:p w14:paraId="195F69F7" w14:textId="77777777" w:rsidR="001A4860" w:rsidRPr="001A4860" w:rsidRDefault="001A4860" w:rsidP="001A4860">
      <w:pPr>
        <w:spacing w:line="256" w:lineRule="auto"/>
        <w:jc w:val="left"/>
        <w:rPr>
          <w:rFonts w:ascii="Calibri" w:eastAsia="Calibri" w:hAnsi="Calibri"/>
          <w:sz w:val="22"/>
          <w:szCs w:val="22"/>
        </w:rPr>
      </w:pPr>
    </w:p>
    <w:p w14:paraId="7C70D90E"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Todo el acero de refuerzo, deberá ser cortado y doblado en frío, ajustándolas a los planos y especificaciones del proyecto, sin errores, mayores de un centímetro (</w:t>
      </w:r>
      <w:smartTag w:uri="urn:schemas-microsoft-com:office:smarttags" w:element="metricconverter">
        <w:smartTagPr>
          <w:attr w:name="ProductID" w:val="1 cm"/>
        </w:smartTagPr>
        <w:r w:rsidRPr="001A4860">
          <w:rPr>
            <w:rFonts w:ascii="Calibri" w:eastAsia="Calibri" w:hAnsi="Calibri" w:cs="Arial"/>
            <w:spacing w:val="-3"/>
            <w:szCs w:val="24"/>
            <w:lang w:val="es-NI"/>
          </w:rPr>
          <w:t>1 cm</w:t>
        </w:r>
      </w:smartTag>
      <w:r w:rsidRPr="001A4860">
        <w:rPr>
          <w:rFonts w:ascii="Calibri" w:eastAsia="Calibri" w:hAnsi="Calibri" w:cs="Arial"/>
          <w:spacing w:val="-3"/>
          <w:szCs w:val="24"/>
          <w:lang w:val="es-NI"/>
        </w:rPr>
        <w:t xml:space="preserve">). Los dobleces de las armaduras, salvo indicación especial en los planos, se harán con radios superiores a siete y media (7-½) veces el diámetro. Los dobleces deberán hacerse de acuerdo al Manual de Práctica Normales del Instituto de Acero para Refuerzo de Concreto. </w:t>
      </w:r>
    </w:p>
    <w:p w14:paraId="1043F45C" w14:textId="77777777" w:rsidR="001A4860" w:rsidRPr="001A4860" w:rsidRDefault="001A4860" w:rsidP="001A4860">
      <w:pPr>
        <w:spacing w:line="20" w:lineRule="atLeast"/>
        <w:rPr>
          <w:rFonts w:ascii="Calibri" w:eastAsia="Calibri" w:hAnsi="Calibri" w:cs="Arial"/>
          <w:spacing w:val="-3"/>
          <w:szCs w:val="24"/>
          <w:lang w:val="es-NI"/>
        </w:rPr>
      </w:pPr>
    </w:p>
    <w:p w14:paraId="1A023415"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lastRenderedPageBreak/>
        <w:t>En los casos de Remesas en las cuales el acero de refuerzo venga ya cortado y doblado al sitio de trabajo, el mismo deberá ser cuidadosamente atado y rotulado, de manera que pueda ser manejado sin peligro y fácilmente identificado con los diagramas de colocación aprobados.</w:t>
      </w:r>
    </w:p>
    <w:p w14:paraId="6194C81E"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acero de refuerzo deberá ser almacenado por encima de la superficie del suelo, sobre plataformas u otros soportes deberán estar todo el tiempo protegido de la intemperie por medio de una cubierta adecuada. El refuerzo deberá almacenar</w:t>
      </w:r>
      <w:r w:rsidRPr="001A4860">
        <w:rPr>
          <w:rFonts w:ascii="Calibri" w:eastAsia="Calibri" w:hAnsi="Calibri" w:cs="Arial"/>
          <w:spacing w:val="-3"/>
          <w:szCs w:val="24"/>
          <w:lang w:val="es-NI"/>
        </w:rPr>
        <w:softHyphen/>
        <w:t>se en una forma ordenada y deberá ser claramente marcado para facilitar su identificación.</w:t>
      </w:r>
    </w:p>
    <w:p w14:paraId="23CE1379" w14:textId="77777777" w:rsidR="001A4860" w:rsidRPr="001A4860" w:rsidRDefault="001A4860" w:rsidP="001A4860">
      <w:pPr>
        <w:tabs>
          <w:tab w:val="left" w:pos="-1440"/>
          <w:tab w:val="left" w:pos="-720"/>
          <w:tab w:val="left" w:pos="0"/>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left"/>
        <w:rPr>
          <w:rFonts w:ascii="Calibri" w:eastAsia="Calibri" w:hAnsi="Calibri"/>
          <w:sz w:val="22"/>
          <w:szCs w:val="22"/>
          <w:lang w:val="es-NI"/>
        </w:rPr>
      </w:pPr>
    </w:p>
    <w:p w14:paraId="33CDC400" w14:textId="77777777" w:rsidR="001A4860" w:rsidRPr="001A4860" w:rsidRDefault="001A4860" w:rsidP="003B68DB">
      <w:pPr>
        <w:keepNext/>
        <w:keepLines/>
        <w:numPr>
          <w:ilvl w:val="1"/>
          <w:numId w:val="174"/>
        </w:numPr>
        <w:spacing w:before="200" w:after="160" w:line="276" w:lineRule="auto"/>
        <w:jc w:val="left"/>
        <w:outlineLvl w:val="1"/>
        <w:rPr>
          <w:rFonts w:ascii="Calibri" w:eastAsia="Calibri" w:hAnsi="Calibri" w:cs="Arial"/>
          <w:b/>
          <w:bCs/>
          <w:iCs/>
          <w:sz w:val="22"/>
          <w:szCs w:val="28"/>
          <w:lang w:val="es-NI"/>
        </w:rPr>
      </w:pPr>
      <w:bookmarkStart w:id="1261" w:name="_Toc515359037"/>
      <w:bookmarkStart w:id="1262" w:name="_Toc61317149"/>
      <w:bookmarkStart w:id="1263" w:name="_Toc240187289"/>
      <w:bookmarkStart w:id="1264" w:name="_Toc240777483"/>
      <w:r w:rsidRPr="001A4860">
        <w:rPr>
          <w:rFonts w:ascii="Calibri" w:eastAsia="Calibri" w:hAnsi="Calibri" w:cs="Arial"/>
          <w:b/>
          <w:bCs/>
          <w:iCs/>
          <w:sz w:val="22"/>
          <w:szCs w:val="28"/>
          <w:lang w:val="es-NI"/>
        </w:rPr>
        <w:t>Soporte, Bloques de Reacción y Anclaje de Tubería.</w:t>
      </w:r>
      <w:bookmarkEnd w:id="1261"/>
      <w:bookmarkEnd w:id="1262"/>
      <w:bookmarkEnd w:id="1263"/>
      <w:bookmarkEnd w:id="1264"/>
    </w:p>
    <w:p w14:paraId="77E512EE" w14:textId="77777777" w:rsidR="001A4860" w:rsidRPr="001A4860" w:rsidRDefault="001A4860" w:rsidP="001A4860">
      <w:pPr>
        <w:spacing w:line="256" w:lineRule="auto"/>
        <w:jc w:val="left"/>
        <w:rPr>
          <w:rFonts w:ascii="Calibri" w:eastAsia="Calibri" w:hAnsi="Calibri"/>
          <w:sz w:val="22"/>
          <w:szCs w:val="22"/>
          <w:lang w:val="es-NI"/>
        </w:rPr>
      </w:pPr>
    </w:p>
    <w:p w14:paraId="2A1439FC"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La superficie de apoyo de todos los bloques de reacción y anclaje deberá asentarse sobre suelos inalterados. Todos los bloques de reacción, soporte de anclaje y revestimiento de tubería deberán construirse de acuerdo a las dimensiones ordenadas por el Ingeniero.</w:t>
      </w:r>
    </w:p>
    <w:p w14:paraId="65014665" w14:textId="77777777" w:rsidR="001A4860" w:rsidRPr="001A4860" w:rsidRDefault="001A4860" w:rsidP="001A4860">
      <w:pPr>
        <w:spacing w:line="20" w:lineRule="atLeast"/>
        <w:rPr>
          <w:rFonts w:ascii="Calibri" w:eastAsia="Calibri" w:hAnsi="Calibri" w:cs="Arial"/>
          <w:spacing w:val="-3"/>
          <w:szCs w:val="24"/>
          <w:lang w:val="es-NI"/>
        </w:rPr>
      </w:pPr>
    </w:p>
    <w:p w14:paraId="7CF68653"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concreto simple a emplease en la construcción de los bloques de reacción y bloque para protección de tubería en cruce de rió, cauce y tubería superficial, tendrá una resistencia a la compresión de 140 Kg/cm2 (</w:t>
      </w:r>
      <w:smartTag w:uri="urn:schemas-microsoft-com:office:smarttags" w:element="metricconverter">
        <w:smartTagPr>
          <w:attr w:name="ProductID" w:val="2000 lbs"/>
        </w:smartTagPr>
        <w:r w:rsidRPr="001A4860">
          <w:rPr>
            <w:rFonts w:ascii="Calibri" w:eastAsia="Calibri" w:hAnsi="Calibri" w:cs="Arial"/>
            <w:spacing w:val="-3"/>
            <w:szCs w:val="24"/>
            <w:lang w:val="es-NI"/>
          </w:rPr>
          <w:t>2000 lbs</w:t>
        </w:r>
      </w:smartTag>
      <w:r w:rsidRPr="001A4860">
        <w:rPr>
          <w:rFonts w:ascii="Calibri" w:eastAsia="Calibri" w:hAnsi="Calibri" w:cs="Arial"/>
          <w:spacing w:val="-3"/>
          <w:szCs w:val="24"/>
          <w:lang w:val="es-NI"/>
        </w:rPr>
        <w:t>./pulg2). y los materiales deben de ajustarse a la especificación establecida en el inciso 5.4.2.</w:t>
      </w:r>
    </w:p>
    <w:p w14:paraId="188C251A" w14:textId="77777777" w:rsidR="001A4860" w:rsidRPr="001A4860" w:rsidRDefault="001A4860" w:rsidP="001A4860">
      <w:pPr>
        <w:spacing w:line="20" w:lineRule="atLeast"/>
        <w:rPr>
          <w:rFonts w:ascii="Calibri" w:eastAsia="Calibri" w:hAnsi="Calibri" w:cs="Arial"/>
          <w:spacing w:val="-3"/>
          <w:szCs w:val="24"/>
          <w:lang w:val="es-NI"/>
        </w:rPr>
      </w:pPr>
    </w:p>
    <w:p w14:paraId="53780F2A" w14:textId="77777777" w:rsidR="001A4860" w:rsidRPr="001A4860" w:rsidRDefault="001A4860" w:rsidP="001A4860">
      <w:pPr>
        <w:spacing w:line="20" w:lineRule="atLeast"/>
        <w:rPr>
          <w:rFonts w:ascii="Calibri" w:eastAsia="Calibri" w:hAnsi="Calibri" w:cs="Arial"/>
          <w:spacing w:val="-3"/>
          <w:szCs w:val="24"/>
          <w:lang w:val="es-NI"/>
        </w:rPr>
      </w:pPr>
    </w:p>
    <w:p w14:paraId="3FEAAB5B" w14:textId="77777777" w:rsidR="001A4860" w:rsidRPr="001A4860" w:rsidRDefault="001A4860" w:rsidP="001A4860">
      <w:pPr>
        <w:spacing w:line="20" w:lineRule="atLeast"/>
        <w:rPr>
          <w:rFonts w:ascii="Calibri" w:eastAsia="Calibri" w:hAnsi="Calibri" w:cs="Arial"/>
          <w:spacing w:val="-3"/>
          <w:szCs w:val="24"/>
          <w:lang w:val="es-NI"/>
        </w:rPr>
      </w:pPr>
    </w:p>
    <w:p w14:paraId="28BC8785" w14:textId="77777777" w:rsidR="001A4860" w:rsidRPr="001A4860" w:rsidRDefault="001A4860" w:rsidP="003B68DB">
      <w:pPr>
        <w:keepNext/>
        <w:numPr>
          <w:ilvl w:val="1"/>
          <w:numId w:val="174"/>
        </w:numPr>
        <w:tabs>
          <w:tab w:val="num" w:pos="576"/>
        </w:tabs>
        <w:spacing w:after="160" w:line="288" w:lineRule="auto"/>
        <w:jc w:val="left"/>
        <w:outlineLvl w:val="1"/>
        <w:rPr>
          <w:rFonts w:ascii="Calibri" w:eastAsia="Calibri" w:hAnsi="Calibri" w:cs="Arial"/>
          <w:b/>
          <w:bCs/>
          <w:iCs/>
          <w:sz w:val="22"/>
          <w:szCs w:val="28"/>
          <w:lang w:val="es-NI"/>
        </w:rPr>
      </w:pPr>
      <w:bookmarkStart w:id="1265" w:name="_Toc240777484"/>
      <w:r w:rsidRPr="001A4860">
        <w:rPr>
          <w:rFonts w:ascii="Calibri" w:eastAsia="Calibri" w:hAnsi="Calibri" w:cs="Arial"/>
          <w:b/>
          <w:bCs/>
          <w:iCs/>
          <w:sz w:val="22"/>
          <w:szCs w:val="28"/>
          <w:lang w:val="es-NI"/>
        </w:rPr>
        <w:t>Cerco y Alambres de Púas</w:t>
      </w:r>
      <w:bookmarkEnd w:id="1265"/>
    </w:p>
    <w:p w14:paraId="63A7BB67" w14:textId="77777777" w:rsidR="001A4860" w:rsidRPr="001A4860" w:rsidRDefault="001A4860" w:rsidP="001A4860">
      <w:pPr>
        <w:spacing w:line="20" w:lineRule="atLeast"/>
        <w:rPr>
          <w:rFonts w:ascii="Arial" w:eastAsia="Calibri" w:hAnsi="Arial" w:cs="Arial"/>
          <w:sz w:val="22"/>
          <w:szCs w:val="22"/>
          <w:lang w:val="es-NI"/>
        </w:rPr>
      </w:pPr>
    </w:p>
    <w:p w14:paraId="34CD4033"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El cercado del predio se hará con alambre de púas y con poste de madera rústica, espaciados cada </w:t>
      </w:r>
      <w:smartTag w:uri="urn:schemas-microsoft-com:office:smarttags" w:element="metricconverter">
        <w:smartTagPr>
          <w:attr w:name="ProductID" w:val="2.50 metros"/>
        </w:smartTagPr>
        <w:r w:rsidRPr="001A4860">
          <w:rPr>
            <w:rFonts w:ascii="Calibri" w:eastAsia="Calibri" w:hAnsi="Calibri" w:cs="Arial"/>
            <w:spacing w:val="-3"/>
            <w:szCs w:val="24"/>
            <w:lang w:val="es-NI"/>
          </w:rPr>
          <w:t>2.50 metros</w:t>
        </w:r>
      </w:smartTag>
      <w:r w:rsidRPr="001A4860">
        <w:rPr>
          <w:rFonts w:ascii="Calibri" w:eastAsia="Calibri" w:hAnsi="Calibri" w:cs="Arial"/>
          <w:spacing w:val="-3"/>
          <w:szCs w:val="24"/>
          <w:lang w:val="es-NI"/>
        </w:rPr>
        <w:t>.</w:t>
      </w:r>
    </w:p>
    <w:p w14:paraId="4124BFF1" w14:textId="77777777" w:rsidR="001A4860" w:rsidRPr="001A4860" w:rsidRDefault="001A4860" w:rsidP="001A4860">
      <w:pPr>
        <w:spacing w:line="20" w:lineRule="atLeast"/>
        <w:rPr>
          <w:rFonts w:ascii="Calibri" w:eastAsia="Calibri" w:hAnsi="Calibri" w:cs="Arial"/>
          <w:spacing w:val="-3"/>
          <w:szCs w:val="24"/>
          <w:lang w:val="es-NI"/>
        </w:rPr>
      </w:pPr>
    </w:p>
    <w:p w14:paraId="39E44B1B"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La longitud de los postes será de </w:t>
      </w:r>
      <w:smartTag w:uri="urn:schemas-microsoft-com:office:smarttags" w:element="metricconverter">
        <w:smartTagPr>
          <w:attr w:name="ProductID" w:val="2.05 m"/>
        </w:smartTagPr>
        <w:r w:rsidRPr="001A4860">
          <w:rPr>
            <w:rFonts w:ascii="Calibri" w:eastAsia="Calibri" w:hAnsi="Calibri" w:cs="Arial"/>
            <w:spacing w:val="-3"/>
            <w:szCs w:val="24"/>
            <w:lang w:val="es-NI"/>
          </w:rPr>
          <w:t>2.05 m</w:t>
        </w:r>
      </w:smartTag>
      <w:r w:rsidRPr="001A4860">
        <w:rPr>
          <w:rFonts w:ascii="Calibri" w:eastAsia="Calibri" w:hAnsi="Calibri" w:cs="Arial"/>
          <w:spacing w:val="-3"/>
          <w:szCs w:val="24"/>
          <w:lang w:val="es-NI"/>
        </w:rPr>
        <w:t xml:space="preserve">. mínimo. Los postes deberán ir enterrados </w:t>
      </w:r>
      <w:smartTag w:uri="urn:schemas-microsoft-com:office:smarttags" w:element="metricconverter">
        <w:smartTagPr>
          <w:attr w:name="ProductID" w:val="45 cm"/>
        </w:smartTagPr>
        <w:r w:rsidRPr="001A4860">
          <w:rPr>
            <w:rFonts w:ascii="Calibri" w:eastAsia="Calibri" w:hAnsi="Calibri" w:cs="Arial"/>
            <w:spacing w:val="-3"/>
            <w:szCs w:val="24"/>
            <w:lang w:val="es-NI"/>
          </w:rPr>
          <w:t>45 cm</w:t>
        </w:r>
      </w:smartTag>
      <w:r w:rsidRPr="001A4860">
        <w:rPr>
          <w:rFonts w:ascii="Calibri" w:eastAsia="Calibri" w:hAnsi="Calibri" w:cs="Arial"/>
          <w:spacing w:val="-3"/>
          <w:szCs w:val="24"/>
          <w:lang w:val="es-NI"/>
        </w:rPr>
        <w:t xml:space="preserve">. En un hoyo de 25x25 cm. y embasados en concreto de 2,500 psi.  El alambre de púa debe ser calibre 13  y deben ser 6 hiladas separadas cada una </w:t>
      </w:r>
      <w:smartTag w:uri="urn:schemas-microsoft-com:office:smarttags" w:element="metricconverter">
        <w:smartTagPr>
          <w:attr w:name="ProductID" w:val="20 cent￭metros"/>
        </w:smartTagPr>
        <w:r w:rsidRPr="001A4860">
          <w:rPr>
            <w:rFonts w:ascii="Calibri" w:eastAsia="Calibri" w:hAnsi="Calibri" w:cs="Arial"/>
            <w:spacing w:val="-3"/>
            <w:szCs w:val="24"/>
            <w:lang w:val="es-NI"/>
          </w:rPr>
          <w:t>20 centímetros</w:t>
        </w:r>
      </w:smartTag>
      <w:r w:rsidRPr="001A4860">
        <w:rPr>
          <w:rFonts w:ascii="Calibri" w:eastAsia="Calibri" w:hAnsi="Calibri" w:cs="Arial"/>
          <w:spacing w:val="-3"/>
          <w:szCs w:val="24"/>
          <w:lang w:val="es-NI"/>
        </w:rPr>
        <w:t xml:space="preserve"> en cada intercepción de poste con el alambre debe llevar una grapa galvanizada.  En las esquinas del predio deberán instalar postes diagonales de arriostre para reforzar o apuntalar los postes esquineros.</w:t>
      </w:r>
    </w:p>
    <w:p w14:paraId="06221A63" w14:textId="77777777" w:rsidR="001A4860" w:rsidRPr="001A4860" w:rsidRDefault="001A4860" w:rsidP="001A4860">
      <w:pPr>
        <w:spacing w:line="20" w:lineRule="atLeast"/>
        <w:rPr>
          <w:rFonts w:ascii="Arial" w:eastAsia="Calibri" w:hAnsi="Arial" w:cs="Arial"/>
          <w:sz w:val="22"/>
          <w:szCs w:val="22"/>
          <w:lang w:val="es-NI"/>
        </w:rPr>
      </w:pPr>
    </w:p>
    <w:p w14:paraId="655AF7B1" w14:textId="77777777" w:rsidR="001A4860" w:rsidRPr="001A4860" w:rsidRDefault="001A4860" w:rsidP="003B68DB">
      <w:pPr>
        <w:keepNext/>
        <w:numPr>
          <w:ilvl w:val="1"/>
          <w:numId w:val="174"/>
        </w:numPr>
        <w:tabs>
          <w:tab w:val="num" w:pos="576"/>
        </w:tabs>
        <w:spacing w:after="160" w:line="288" w:lineRule="auto"/>
        <w:jc w:val="left"/>
        <w:outlineLvl w:val="1"/>
        <w:rPr>
          <w:rFonts w:ascii="Calibri" w:eastAsia="Calibri" w:hAnsi="Calibri" w:cs="Arial"/>
          <w:b/>
          <w:bCs/>
          <w:iCs/>
          <w:sz w:val="22"/>
          <w:szCs w:val="28"/>
          <w:lang w:val="es-NI"/>
        </w:rPr>
      </w:pPr>
      <w:bookmarkStart w:id="1266" w:name="_Toc240777485"/>
      <w:r w:rsidRPr="001A4860">
        <w:rPr>
          <w:rFonts w:ascii="Calibri" w:eastAsia="Calibri" w:hAnsi="Calibri" w:cs="Arial"/>
          <w:b/>
          <w:bCs/>
          <w:iCs/>
          <w:sz w:val="22"/>
          <w:szCs w:val="28"/>
          <w:lang w:val="es-NI"/>
        </w:rPr>
        <w:t>Pintura</w:t>
      </w:r>
      <w:bookmarkEnd w:id="1266"/>
    </w:p>
    <w:p w14:paraId="6DDD3630" w14:textId="77777777" w:rsidR="001A4860" w:rsidRPr="001A4860" w:rsidRDefault="001A4860" w:rsidP="001A4860">
      <w:pPr>
        <w:spacing w:line="256" w:lineRule="auto"/>
        <w:jc w:val="left"/>
        <w:rPr>
          <w:rFonts w:ascii="Calibri" w:eastAsia="Calibri" w:hAnsi="Calibri"/>
          <w:sz w:val="22"/>
          <w:szCs w:val="22"/>
          <w:lang w:val="es-NI"/>
        </w:rPr>
      </w:pPr>
    </w:p>
    <w:p w14:paraId="5A74B710"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Se refiere esta etapa a todas las actividades de pintura, a aplicar tanto a la mampostería, elementos metálicos, cielo raso, rodapié, ventanas de madera, puertas, marcos de puertas y en muebles; para el caso de escuelas se incluye en esta etapa a los pupitres. </w:t>
      </w:r>
    </w:p>
    <w:p w14:paraId="4A9FC2BE"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Todo material será entregado en la obra en sus envases originales, con la de limpiar completamente el residuo de polvo suavemente con lija fina No. 6/0, 200 o más fina, teniendo el cuidado de limpiar completamente el residuo de polvo. </w:t>
      </w:r>
    </w:p>
    <w:p w14:paraId="6DFEDC5F" w14:textId="77777777" w:rsidR="001A4860" w:rsidRPr="001A4860" w:rsidRDefault="001A4860" w:rsidP="001A4860">
      <w:pPr>
        <w:spacing w:line="20" w:lineRule="atLeast"/>
        <w:rPr>
          <w:rFonts w:ascii="Calibri" w:eastAsia="Calibri" w:hAnsi="Calibri" w:cs="Arial"/>
          <w:spacing w:val="-3"/>
          <w:szCs w:val="24"/>
          <w:lang w:val="es-NI"/>
        </w:rPr>
      </w:pPr>
    </w:p>
    <w:p w14:paraId="6559112F"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lastRenderedPageBreak/>
        <w:t xml:space="preserve">El uso de tintes se aplicara en los muebles y piezas de madera especificados en los planos, dicho tinte se aplicara sobre madera lijada y sellada. La aplicación será de dos manos de tinte frotando la madera firmemente en dirección de la fibra. </w:t>
      </w:r>
    </w:p>
    <w:p w14:paraId="24F52ED6" w14:textId="77777777" w:rsidR="001A4860" w:rsidRPr="001A4860" w:rsidRDefault="001A4860" w:rsidP="001A4860">
      <w:pPr>
        <w:spacing w:line="20" w:lineRule="atLeast"/>
        <w:rPr>
          <w:rFonts w:ascii="Calibri" w:eastAsia="Calibri" w:hAnsi="Calibri" w:cs="Arial"/>
          <w:spacing w:val="-3"/>
          <w:szCs w:val="24"/>
          <w:lang w:val="es-NI"/>
        </w:rPr>
      </w:pPr>
    </w:p>
    <w:p w14:paraId="6D129DC2"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267" w:name="_Toc240777486"/>
      <w:r w:rsidRPr="001A4860">
        <w:rPr>
          <w:rFonts w:ascii="Calibri Light" w:hAnsi="Calibri Light"/>
          <w:b/>
          <w:bCs/>
          <w:sz w:val="22"/>
          <w:szCs w:val="22"/>
          <w:lang w:val="es-NI"/>
        </w:rPr>
        <w:t>Tiempos y condiciones  para aplicar la pintura:</w:t>
      </w:r>
      <w:bookmarkEnd w:id="1267"/>
      <w:r w:rsidRPr="001A4860">
        <w:rPr>
          <w:rFonts w:ascii="Calibri Light" w:hAnsi="Calibri Light"/>
          <w:b/>
          <w:bCs/>
          <w:sz w:val="22"/>
          <w:szCs w:val="22"/>
          <w:lang w:val="es-NI"/>
        </w:rPr>
        <w:t xml:space="preserve"> </w:t>
      </w:r>
    </w:p>
    <w:p w14:paraId="7E3B0965" w14:textId="77777777" w:rsidR="001A4860" w:rsidRPr="001A4860" w:rsidRDefault="001A4860" w:rsidP="001A4860">
      <w:pPr>
        <w:spacing w:line="20" w:lineRule="atLeast"/>
        <w:rPr>
          <w:rFonts w:ascii="Calibri" w:eastAsia="Calibri" w:hAnsi="Calibri" w:cs="Arial"/>
          <w:spacing w:val="-3"/>
          <w:szCs w:val="24"/>
          <w:lang w:val="es-NI"/>
        </w:rPr>
      </w:pPr>
    </w:p>
    <w:p w14:paraId="39E45384"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El trabajo de pintura no se hará durante tiempo nebuloso o de extrema húmeda o lluvia. La aplicación de toda la pintura se recomienda sea con brochas, rodillos o pistola, el tiempo promedio entre cada mano de pintura será de 24 horas. </w:t>
      </w:r>
    </w:p>
    <w:p w14:paraId="0764B11E" w14:textId="77777777" w:rsidR="001A4860" w:rsidRPr="001A4860" w:rsidRDefault="001A4860" w:rsidP="001A4860">
      <w:pPr>
        <w:spacing w:line="20" w:lineRule="atLeast"/>
        <w:rPr>
          <w:rFonts w:ascii="Calibri" w:eastAsia="Calibri" w:hAnsi="Calibri" w:cs="Arial"/>
          <w:spacing w:val="-3"/>
          <w:szCs w:val="24"/>
          <w:lang w:val="es-NI"/>
        </w:rPr>
      </w:pPr>
    </w:p>
    <w:p w14:paraId="3CEB8E49"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Todo el material de pintura deberá aplicarse parejo, libre de chorreaduras, manchas, parches y otros defectos. Todas las manos serán de la consistencia debida y sin marcas de brocha o rodillo. Se recomienda usar diluyente en la proporción indicada por el fabricante de las pinturas. </w:t>
      </w:r>
    </w:p>
    <w:p w14:paraId="33BE5DD0" w14:textId="77777777" w:rsidR="001A4860" w:rsidRPr="001A4860" w:rsidRDefault="001A4860" w:rsidP="001A4860">
      <w:pPr>
        <w:spacing w:line="20" w:lineRule="atLeast"/>
        <w:rPr>
          <w:rFonts w:ascii="Calibri" w:eastAsia="Calibri" w:hAnsi="Calibri" w:cs="Arial"/>
          <w:spacing w:val="-3"/>
          <w:szCs w:val="24"/>
          <w:lang w:val="es-NI"/>
        </w:rPr>
      </w:pPr>
    </w:p>
    <w:p w14:paraId="2921BF7E"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NO SE DE DEBE USAR GASOLINA PARA ADELGAZAR LAS PINTURAS ANTICORROSIVAS, ACEITES Y BARNICES. </w:t>
      </w:r>
    </w:p>
    <w:p w14:paraId="0EBC10D4" w14:textId="77777777" w:rsidR="001A4860" w:rsidRPr="001A4860" w:rsidRDefault="001A4860" w:rsidP="001A4860">
      <w:pPr>
        <w:spacing w:line="20" w:lineRule="atLeast"/>
        <w:rPr>
          <w:rFonts w:ascii="Calibri" w:eastAsia="Calibri" w:hAnsi="Calibri" w:cs="Arial"/>
          <w:spacing w:val="-3"/>
          <w:szCs w:val="24"/>
          <w:lang w:val="es-NI"/>
        </w:rPr>
      </w:pPr>
    </w:p>
    <w:p w14:paraId="5FDE5680"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Todos los trabajos de pintura deberán ser ejecutados por personal con vasta experiencia en esta especialidad. </w:t>
      </w:r>
    </w:p>
    <w:p w14:paraId="6FA96342" w14:textId="77777777" w:rsidR="001A4860" w:rsidRPr="001A4860" w:rsidRDefault="001A4860" w:rsidP="001A4860">
      <w:pPr>
        <w:spacing w:line="20" w:lineRule="atLeast"/>
        <w:rPr>
          <w:rFonts w:ascii="Calibri" w:eastAsia="Calibri" w:hAnsi="Calibri" w:cs="Arial"/>
          <w:spacing w:val="-3"/>
          <w:szCs w:val="24"/>
          <w:lang w:val="es-NI"/>
        </w:rPr>
      </w:pPr>
    </w:p>
    <w:p w14:paraId="5051D75B" w14:textId="77777777" w:rsidR="001A4860" w:rsidRPr="001A4860" w:rsidRDefault="001A4860" w:rsidP="001A4860">
      <w:pPr>
        <w:spacing w:line="20" w:lineRule="atLeast"/>
        <w:rPr>
          <w:rFonts w:ascii="Calibri" w:eastAsia="Calibri" w:hAnsi="Calibri" w:cs="Arial"/>
          <w:spacing w:val="-3"/>
          <w:szCs w:val="24"/>
          <w:lang w:val="es-NI"/>
        </w:rPr>
      </w:pPr>
    </w:p>
    <w:p w14:paraId="6EBFABFA" w14:textId="77777777" w:rsidR="001A4860" w:rsidRPr="001A4860" w:rsidRDefault="001A4860" w:rsidP="001A4860">
      <w:pPr>
        <w:spacing w:line="20" w:lineRule="atLeast"/>
        <w:rPr>
          <w:rFonts w:ascii="Calibri" w:eastAsia="Calibri" w:hAnsi="Calibri" w:cs="Arial"/>
          <w:spacing w:val="-3"/>
          <w:szCs w:val="24"/>
          <w:lang w:val="es-NI"/>
        </w:rPr>
      </w:pPr>
    </w:p>
    <w:p w14:paraId="4A358191" w14:textId="77777777" w:rsidR="001A4860" w:rsidRPr="001A4860" w:rsidRDefault="001A4860" w:rsidP="001A4860">
      <w:pPr>
        <w:spacing w:line="20" w:lineRule="atLeast"/>
        <w:rPr>
          <w:rFonts w:ascii="Calibri" w:eastAsia="Calibri" w:hAnsi="Calibri" w:cs="Arial"/>
          <w:b/>
          <w:i/>
          <w:spacing w:val="-3"/>
          <w:szCs w:val="24"/>
          <w:lang w:val="es-NI"/>
        </w:rPr>
      </w:pPr>
      <w:r w:rsidRPr="001A4860">
        <w:rPr>
          <w:rFonts w:ascii="Calibri" w:eastAsia="Calibri" w:hAnsi="Calibri" w:cs="Arial"/>
          <w:b/>
          <w:i/>
          <w:spacing w:val="-3"/>
          <w:szCs w:val="24"/>
          <w:lang w:val="es-NI"/>
        </w:rPr>
        <w:t xml:space="preserve">Muestras: </w:t>
      </w:r>
    </w:p>
    <w:p w14:paraId="01B87950"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Antes de ordenar sus materiales el contratista someterá a la aprobación del ingeniero supervisor muestras de todos y cada uno de los tipos de determinado color y cuando sean aprobados finalmente ha de ser razonable igual a esta muestra. </w:t>
      </w:r>
    </w:p>
    <w:p w14:paraId="1D12992D" w14:textId="77777777" w:rsidR="001A4860" w:rsidRPr="001A4860" w:rsidRDefault="001A4860" w:rsidP="001A4860">
      <w:pPr>
        <w:spacing w:line="20" w:lineRule="atLeast"/>
        <w:rPr>
          <w:rFonts w:ascii="Calibri" w:eastAsia="Calibri" w:hAnsi="Calibri" w:cs="Arial"/>
          <w:spacing w:val="-3"/>
          <w:szCs w:val="24"/>
          <w:lang w:val="es-NI"/>
        </w:rPr>
      </w:pPr>
    </w:p>
    <w:p w14:paraId="6D8B2625"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Las muestras serán de 3 1/2" x 11" pintadas sobre cartón cuando el terminado sea sobre repello. </w:t>
      </w:r>
    </w:p>
    <w:p w14:paraId="0E433F46" w14:textId="77777777" w:rsidR="001A4860" w:rsidRPr="001A4860" w:rsidRDefault="001A4860" w:rsidP="001A4860">
      <w:pPr>
        <w:spacing w:line="20" w:lineRule="atLeast"/>
        <w:rPr>
          <w:rFonts w:ascii="Calibri" w:eastAsia="Calibri" w:hAnsi="Calibri" w:cs="Arial"/>
          <w:spacing w:val="-3"/>
          <w:szCs w:val="24"/>
          <w:lang w:val="es-NI"/>
        </w:rPr>
      </w:pPr>
    </w:p>
    <w:p w14:paraId="44DF0E36"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268" w:name="_Toc240777487"/>
      <w:r w:rsidRPr="001A4860">
        <w:rPr>
          <w:rFonts w:ascii="Calibri Light" w:hAnsi="Calibri Light"/>
          <w:b/>
          <w:bCs/>
          <w:sz w:val="22"/>
          <w:szCs w:val="22"/>
          <w:lang w:val="es-NI"/>
        </w:rPr>
        <w:t>Limpieza y Protección</w:t>
      </w:r>
      <w:bookmarkEnd w:id="1268"/>
    </w:p>
    <w:p w14:paraId="3C3106C8" w14:textId="77777777" w:rsidR="001A4860" w:rsidRPr="001A4860" w:rsidRDefault="001A4860" w:rsidP="001A4860">
      <w:pPr>
        <w:spacing w:line="20" w:lineRule="atLeast"/>
        <w:rPr>
          <w:rFonts w:ascii="Calibri" w:eastAsia="Calibri" w:hAnsi="Calibri" w:cs="Arial"/>
          <w:spacing w:val="-3"/>
          <w:szCs w:val="24"/>
          <w:lang w:val="es-NI"/>
        </w:rPr>
      </w:pPr>
    </w:p>
    <w:p w14:paraId="3FDE0657"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 xml:space="preserve">Todo el lugar donde se realizaran actividades de pinturas, deberá ser barrido previo a iniciar los trabajos. El contratista deberá suministrar y colocar cobertores de tela gruesa en todas las áreas donde este pintado, para proteger los pisos y otros trabajos totalmente de cualquier daño.  El contratista  será responsable y deberá remover toda pintura donde se haya derramado o salpicado y reparar las superficies dañadas incluyendo artefactos, vidrios, muebles, herrajes etc. de una manera satisfactoria para el Ingeniero supervisor. </w:t>
      </w:r>
    </w:p>
    <w:p w14:paraId="43A60FB9" w14:textId="77777777" w:rsidR="001A4860" w:rsidRPr="001A4860" w:rsidRDefault="001A4860" w:rsidP="001A4860">
      <w:pPr>
        <w:spacing w:line="20" w:lineRule="atLeast"/>
        <w:rPr>
          <w:rFonts w:ascii="Calibri" w:eastAsia="Calibri" w:hAnsi="Calibri" w:cs="Arial"/>
          <w:spacing w:val="-3"/>
          <w:szCs w:val="24"/>
          <w:lang w:val="es-NI"/>
        </w:rPr>
      </w:pPr>
    </w:p>
    <w:p w14:paraId="54B5F70F" w14:textId="77777777" w:rsidR="001A4860" w:rsidRPr="001A4860" w:rsidRDefault="001A4860" w:rsidP="003B68DB">
      <w:pPr>
        <w:keepNext/>
        <w:keepLines/>
        <w:numPr>
          <w:ilvl w:val="2"/>
          <w:numId w:val="174"/>
        </w:numPr>
        <w:spacing w:before="200" w:after="160" w:line="276" w:lineRule="auto"/>
        <w:jc w:val="left"/>
        <w:outlineLvl w:val="2"/>
        <w:rPr>
          <w:rFonts w:ascii="Calibri Light" w:hAnsi="Calibri Light"/>
          <w:b/>
          <w:bCs/>
          <w:sz w:val="22"/>
          <w:szCs w:val="22"/>
          <w:lang w:val="es-NI"/>
        </w:rPr>
      </w:pPr>
      <w:bookmarkStart w:id="1269" w:name="_Toc240777488"/>
      <w:r w:rsidRPr="001A4860">
        <w:rPr>
          <w:rFonts w:ascii="Calibri Light" w:hAnsi="Calibri Light"/>
          <w:b/>
          <w:bCs/>
          <w:sz w:val="22"/>
          <w:szCs w:val="22"/>
          <w:lang w:val="es-NI"/>
        </w:rPr>
        <w:lastRenderedPageBreak/>
        <w:t>Corrección de trabajos defectuosos.</w:t>
      </w:r>
      <w:bookmarkEnd w:id="1269"/>
      <w:r w:rsidRPr="001A4860">
        <w:rPr>
          <w:rFonts w:ascii="Calibri Light" w:hAnsi="Calibri Light"/>
          <w:b/>
          <w:bCs/>
          <w:sz w:val="22"/>
          <w:szCs w:val="22"/>
          <w:lang w:val="es-NI"/>
        </w:rPr>
        <w:t xml:space="preserve"> </w:t>
      </w:r>
    </w:p>
    <w:p w14:paraId="63D3E5E5" w14:textId="77777777" w:rsidR="001A4860" w:rsidRPr="001A4860" w:rsidRDefault="001A4860" w:rsidP="001A4860">
      <w:pPr>
        <w:spacing w:line="20" w:lineRule="atLeast"/>
        <w:rPr>
          <w:rFonts w:ascii="Calibri" w:eastAsia="Calibri" w:hAnsi="Calibri" w:cs="Arial"/>
          <w:spacing w:val="-3"/>
          <w:szCs w:val="24"/>
          <w:lang w:val="es-NI"/>
        </w:rPr>
      </w:pPr>
    </w:p>
    <w:p w14:paraId="53276E2A" w14:textId="77777777" w:rsidR="001A4860" w:rsidRPr="001A4860" w:rsidRDefault="001A4860" w:rsidP="001A4860">
      <w:pPr>
        <w:spacing w:line="20" w:lineRule="atLeast"/>
        <w:rPr>
          <w:rFonts w:ascii="Calibri" w:eastAsia="Calibri" w:hAnsi="Calibri" w:cs="Arial"/>
          <w:spacing w:val="-3"/>
          <w:szCs w:val="24"/>
          <w:lang w:val="es-NI"/>
        </w:rPr>
      </w:pPr>
      <w:r w:rsidRPr="001A4860">
        <w:rPr>
          <w:rFonts w:ascii="Calibri" w:eastAsia="Calibri" w:hAnsi="Calibri" w:cs="Arial"/>
          <w:spacing w:val="-3"/>
          <w:szCs w:val="24"/>
          <w:lang w:val="es-NI"/>
        </w:rPr>
        <w:t>El supervisor hará que se corrijan todos los defectos. El contratista suplirá lija, masilla, diluyentes, pinturas, herramientas, etc. para efectuar todas aquellas reparaciones que demande el supervisor. Los costos que se incurran en concepto reparaciones de trabajos de pinturas por mala aplicación de los materiales, materiales o marcas no autorizadas, materiales defectuosos, mano de obra no calificada o pon o seguir las instrucciones del fabricante para aplicar sus productos, será por cuenta del contratista, no teniendo derecho a ningún reembolso por gastos adicionales.</w:t>
      </w:r>
    </w:p>
    <w:p w14:paraId="2ABA1148" w14:textId="77777777" w:rsidR="001A4860" w:rsidRPr="001A4860" w:rsidRDefault="001A4860" w:rsidP="001A4860">
      <w:pPr>
        <w:spacing w:line="20" w:lineRule="atLeast"/>
        <w:rPr>
          <w:rFonts w:ascii="Arial" w:eastAsia="Calibri" w:hAnsi="Arial" w:cs="Arial"/>
          <w:sz w:val="22"/>
          <w:szCs w:val="22"/>
          <w:lang w:val="es-NI"/>
        </w:rPr>
      </w:pPr>
    </w:p>
    <w:p w14:paraId="3F35D0B2"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70" w:name="_Toc240187293"/>
      <w:bookmarkStart w:id="1271" w:name="_Toc240777489"/>
      <w:r w:rsidRPr="001A4860">
        <w:rPr>
          <w:rFonts w:ascii="Calibri Light" w:hAnsi="Calibri Light"/>
          <w:b/>
          <w:bCs/>
          <w:sz w:val="22"/>
          <w:szCs w:val="22"/>
          <w:lang w:val="es-NI"/>
        </w:rPr>
        <w:t>Pintura Epóxica</w:t>
      </w:r>
      <w:bookmarkEnd w:id="1270"/>
      <w:bookmarkEnd w:id="1271"/>
    </w:p>
    <w:p w14:paraId="0E9418D4" w14:textId="77777777" w:rsidR="001A4860" w:rsidRPr="001A4860" w:rsidRDefault="001A4860" w:rsidP="001A4860">
      <w:pPr>
        <w:spacing w:line="256" w:lineRule="auto"/>
        <w:jc w:val="left"/>
        <w:rPr>
          <w:rFonts w:ascii="Calibri" w:eastAsia="Calibri" w:hAnsi="Calibri"/>
          <w:sz w:val="22"/>
          <w:szCs w:val="22"/>
          <w:lang w:val="es-NI"/>
        </w:rPr>
      </w:pPr>
    </w:p>
    <w:p w14:paraId="62894086" w14:textId="77777777" w:rsidR="001A4860" w:rsidRPr="001A4860" w:rsidRDefault="001A4860" w:rsidP="001A4860">
      <w:pPr>
        <w:spacing w:line="20" w:lineRule="atLeast"/>
        <w:rPr>
          <w:rFonts w:ascii="Calibri" w:eastAsia="Calibri" w:hAnsi="Calibri" w:cs="Arial"/>
          <w:b/>
          <w:i/>
          <w:szCs w:val="24"/>
          <w:lang w:val="es-NI"/>
        </w:rPr>
      </w:pPr>
      <w:r w:rsidRPr="001A4860">
        <w:rPr>
          <w:rFonts w:ascii="Calibri" w:eastAsia="Calibri" w:hAnsi="Calibri" w:cs="Arial"/>
          <w:b/>
          <w:i/>
          <w:szCs w:val="24"/>
          <w:lang w:val="es-NI"/>
        </w:rPr>
        <w:t xml:space="preserve">Usos: </w:t>
      </w:r>
    </w:p>
    <w:p w14:paraId="467D47C5"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 pintura epóxica tiene múltiples usos, se puede usar virtualmente en cualquier superficie que requiera máxima protección contra la abrasión, humedad, gases químicos y muy efectivo contra la corrosión. Los usos más típicos son en plantas de tratamiento de aguas negras, laboratorios, quirófanos, plantas de proceso de comidas, gimnasios, garajes y sanitarios públicos y lugares donde se necesite limpieza absoluta. </w:t>
      </w:r>
    </w:p>
    <w:p w14:paraId="4F372A68" w14:textId="77777777" w:rsidR="001A4860" w:rsidRPr="001A4860" w:rsidRDefault="001A4860" w:rsidP="001A4860">
      <w:pPr>
        <w:spacing w:line="20" w:lineRule="atLeast"/>
        <w:rPr>
          <w:rFonts w:ascii="Calibri" w:eastAsia="Calibri" w:hAnsi="Calibri" w:cs="Arial"/>
          <w:szCs w:val="24"/>
          <w:lang w:val="es-NI"/>
        </w:rPr>
      </w:pPr>
    </w:p>
    <w:p w14:paraId="1262A975" w14:textId="77777777" w:rsidR="001A4860" w:rsidRPr="001A4860" w:rsidRDefault="001A4860" w:rsidP="001A4860">
      <w:pPr>
        <w:spacing w:line="20" w:lineRule="atLeast"/>
        <w:rPr>
          <w:rFonts w:ascii="Calibri" w:eastAsia="Calibri" w:hAnsi="Calibri" w:cs="Arial"/>
          <w:b/>
          <w:i/>
          <w:szCs w:val="24"/>
          <w:lang w:val="es-NI"/>
        </w:rPr>
      </w:pPr>
      <w:r w:rsidRPr="001A4860">
        <w:rPr>
          <w:rFonts w:ascii="Calibri" w:eastAsia="Calibri" w:hAnsi="Calibri" w:cs="Arial"/>
          <w:b/>
          <w:i/>
          <w:szCs w:val="24"/>
          <w:lang w:val="es-NI"/>
        </w:rPr>
        <w:t xml:space="preserve">Superficies: </w:t>
      </w:r>
    </w:p>
    <w:p w14:paraId="6E0BA087"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Se puede aplicar en superficies de hierro, acero, concreto, hierro galvanizado, aluminio, fiberglass, plásticos de alta densidad, madera, cobre, bronce y estaño. </w:t>
      </w:r>
    </w:p>
    <w:p w14:paraId="4F1A4FA1" w14:textId="77777777" w:rsidR="001A4860" w:rsidRPr="001A4860" w:rsidRDefault="001A4860" w:rsidP="001A4860">
      <w:pPr>
        <w:spacing w:line="20" w:lineRule="atLeast"/>
        <w:rPr>
          <w:rFonts w:ascii="Calibri" w:eastAsia="Calibri" w:hAnsi="Calibri" w:cs="Arial"/>
          <w:szCs w:val="24"/>
          <w:lang w:val="es-NI"/>
        </w:rPr>
      </w:pPr>
    </w:p>
    <w:p w14:paraId="3F6DC59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b/>
          <w:i/>
          <w:szCs w:val="24"/>
          <w:lang w:val="es-NI"/>
        </w:rPr>
        <w:t>Preparación de superficies:</w:t>
      </w:r>
      <w:r w:rsidRPr="001A4860">
        <w:rPr>
          <w:rFonts w:ascii="Calibri" w:eastAsia="Calibri" w:hAnsi="Calibri" w:cs="Arial"/>
          <w:szCs w:val="24"/>
          <w:lang w:val="es-NI"/>
        </w:rPr>
        <w:t xml:space="preserve"> </w:t>
      </w:r>
    </w:p>
    <w:p w14:paraId="71429748"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Toda superficie tiene que estar limpia de grasa, aceite, polvo, suciedades, hongos, mohos, ceras y óxidos. </w:t>
      </w:r>
    </w:p>
    <w:p w14:paraId="22B2AC67" w14:textId="77777777" w:rsidR="001A4860" w:rsidRPr="001A4860" w:rsidRDefault="001A4860" w:rsidP="001A4860">
      <w:pPr>
        <w:spacing w:line="20" w:lineRule="atLeast"/>
        <w:rPr>
          <w:rFonts w:ascii="Calibri" w:eastAsia="Calibri" w:hAnsi="Calibri" w:cs="Arial"/>
          <w:szCs w:val="24"/>
          <w:lang w:val="es-NI"/>
        </w:rPr>
      </w:pPr>
    </w:p>
    <w:p w14:paraId="3B8CC003" w14:textId="77777777" w:rsidR="001A4860" w:rsidRPr="001A4860" w:rsidRDefault="001A4860" w:rsidP="001A4860">
      <w:pPr>
        <w:spacing w:line="20" w:lineRule="atLeast"/>
        <w:rPr>
          <w:rFonts w:ascii="Calibri" w:eastAsia="Calibri" w:hAnsi="Calibri" w:cs="Arial"/>
          <w:b/>
          <w:i/>
          <w:szCs w:val="24"/>
          <w:lang w:val="es-NI"/>
        </w:rPr>
      </w:pPr>
      <w:r w:rsidRPr="001A4860">
        <w:rPr>
          <w:rFonts w:ascii="Calibri" w:eastAsia="Calibri" w:hAnsi="Calibri" w:cs="Arial"/>
          <w:b/>
          <w:i/>
          <w:szCs w:val="24"/>
          <w:lang w:val="es-NI"/>
        </w:rPr>
        <w:t xml:space="preserve">Aplicación: </w:t>
      </w:r>
    </w:p>
    <w:p w14:paraId="21AF0FB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Deje que cure la superficie por lo menos 30 días antes de su aplicación y que no exceda de 8% de humedad.: Para madera nueva lije y aplique una mano de sellador  y luego aplique 1 o 2 manos de pintura epóxica. </w:t>
      </w:r>
    </w:p>
    <w:p w14:paraId="53FA3359" w14:textId="77777777" w:rsidR="001A4860" w:rsidRPr="001A4860" w:rsidRDefault="001A4860" w:rsidP="001A4860">
      <w:pPr>
        <w:spacing w:line="20" w:lineRule="atLeast"/>
        <w:rPr>
          <w:rFonts w:ascii="Calibri" w:eastAsia="Calibri" w:hAnsi="Calibri" w:cs="Arial"/>
          <w:szCs w:val="24"/>
          <w:lang w:val="es-NI"/>
        </w:rPr>
      </w:pPr>
    </w:p>
    <w:p w14:paraId="4090B7B2"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Si la madera es vieja, limpie primero y si tiene muchas imperfecciones rellene los agujeros con masilla de laca. Paredes de fibro-cemento y otros: Remueva todo el polvo y suciedad, rellene sisa y/o agujeros si los hubiera, luego imprima un fondo antialcalino. Entre las pinturas epóxicas que se utilizan en los quirófanos, cuartos de cirugía menor y lugares donde se requiera una limpieza profunda, tenemos: </w:t>
      </w:r>
    </w:p>
    <w:p w14:paraId="0AE403C1" w14:textId="77777777" w:rsidR="001A4860" w:rsidRPr="001A4860" w:rsidRDefault="001A4860" w:rsidP="001A4860">
      <w:pPr>
        <w:spacing w:line="20" w:lineRule="atLeast"/>
        <w:rPr>
          <w:rFonts w:ascii="Calibri" w:eastAsia="Calibri" w:hAnsi="Calibri" w:cs="Arial"/>
          <w:szCs w:val="24"/>
          <w:u w:val="single"/>
          <w:lang w:val="es-NI"/>
        </w:rPr>
      </w:pPr>
    </w:p>
    <w:p w14:paraId="6870BFA7"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u w:val="single"/>
          <w:lang w:val="es-NI"/>
        </w:rPr>
        <w:t>SISTEMA MIRA-PLATE EPOXY 617-00:</w:t>
      </w:r>
      <w:r w:rsidRPr="001A4860">
        <w:rPr>
          <w:rFonts w:ascii="Calibri" w:eastAsia="Calibri" w:hAnsi="Calibri" w:cs="Arial"/>
          <w:szCs w:val="24"/>
          <w:lang w:val="es-NI"/>
        </w:rPr>
        <w:t xml:space="preserve"> Es un recubrimiento epóxicopolyamida de dos componentes, siendo la relación- de 1 parte de base x 1 parte de catalizador. Tiene excepcional adherencia en madera, metal, repello, concreto, pared y cerámica. Este producto es extremadamente duro y flexible, a tal punto que recobra su estado después de deformarse; tiene </w:t>
      </w:r>
      <w:r w:rsidRPr="001A4860">
        <w:rPr>
          <w:rFonts w:ascii="Calibri" w:eastAsia="Calibri" w:hAnsi="Calibri" w:cs="Arial"/>
          <w:szCs w:val="24"/>
          <w:lang w:val="es-NI"/>
        </w:rPr>
        <w:lastRenderedPageBreak/>
        <w:t xml:space="preserve">buena resistencia a la abrasión y al impacto. Es resistente a lo alcalino. al agua y a muchos químicos y solventes. </w:t>
      </w:r>
    </w:p>
    <w:p w14:paraId="487560E1"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i/>
          <w:szCs w:val="24"/>
          <w:u w:val="single"/>
          <w:lang w:val="es-NI"/>
        </w:rPr>
        <w:t>Instrucciones de Aplicación:</w:t>
      </w:r>
      <w:r w:rsidRPr="001A4860">
        <w:rPr>
          <w:rFonts w:ascii="Calibri" w:eastAsia="Calibri" w:hAnsi="Calibri" w:cs="Arial"/>
          <w:szCs w:val="24"/>
          <w:lang w:val="es-NI"/>
        </w:rPr>
        <w:t xml:space="preserve"> </w:t>
      </w:r>
    </w:p>
    <w:p w14:paraId="5A127134" w14:textId="77777777" w:rsidR="001A4860" w:rsidRPr="001A4860" w:rsidRDefault="001A4860" w:rsidP="003B68DB">
      <w:pPr>
        <w:numPr>
          <w:ilvl w:val="0"/>
          <w:numId w:val="183"/>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Equipo: brocha, rodillo, spray, airless, convencional </w:t>
      </w:r>
    </w:p>
    <w:p w14:paraId="108DAD16" w14:textId="77777777" w:rsidR="001A4860" w:rsidRPr="001A4860" w:rsidRDefault="001A4860" w:rsidP="003B68DB">
      <w:pPr>
        <w:numPr>
          <w:ilvl w:val="0"/>
          <w:numId w:val="183"/>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Mezcla: Mezcle el MIRA-PLATE 617-00 con el catalizador 683-00 en partes iguales, mezcle perfectamente bien y deje por el espacio de una hora para provocar inducción. Procure que el recipiente este cerrado para evitar humedad. Después de mezcladas las proporciones de catalizador y MIRA-PLATE, a la hora adelgace con el adelgazador 681-00.Soplete convencional 25% con 681-00 Soplete airless 15% con 681-00Brocha y rodillo 10% con 681-00- </w:t>
      </w:r>
    </w:p>
    <w:p w14:paraId="2635ECA0" w14:textId="77777777" w:rsidR="001A4860" w:rsidRPr="001A4860" w:rsidRDefault="001A4860" w:rsidP="003B68DB">
      <w:pPr>
        <w:numPr>
          <w:ilvl w:val="0"/>
          <w:numId w:val="183"/>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Método: Aplicar 2 manos de 1 3/4 a 3 mils en película seca </w:t>
      </w:r>
    </w:p>
    <w:p w14:paraId="7DC38279" w14:textId="77777777" w:rsidR="001A4860" w:rsidRPr="001A4860" w:rsidRDefault="001A4860" w:rsidP="003B68DB">
      <w:pPr>
        <w:numPr>
          <w:ilvl w:val="0"/>
          <w:numId w:val="183"/>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Secado: Secado al tacto de </w:t>
      </w:r>
      <w:smartTag w:uri="urn:schemas-microsoft-com:office:smarttags" w:element="metricconverter">
        <w:smartTagPr>
          <w:attr w:name="ProductID" w:val="1 a"/>
        </w:smartTagPr>
        <w:r w:rsidRPr="001A4860">
          <w:rPr>
            <w:rFonts w:ascii="Calibri" w:eastAsia="Calibri" w:hAnsi="Calibri" w:cs="Arial"/>
            <w:szCs w:val="24"/>
            <w:lang w:val="es-NI"/>
          </w:rPr>
          <w:t>1 a</w:t>
        </w:r>
      </w:smartTag>
      <w:r w:rsidRPr="001A4860">
        <w:rPr>
          <w:rFonts w:ascii="Calibri" w:eastAsia="Calibri" w:hAnsi="Calibri" w:cs="Arial"/>
          <w:szCs w:val="24"/>
          <w:lang w:val="es-NI"/>
        </w:rPr>
        <w:t xml:space="preserve"> 2 horas. Para manejo de </w:t>
      </w:r>
      <w:smartTag w:uri="urn:schemas-microsoft-com:office:smarttags" w:element="metricconverter">
        <w:smartTagPr>
          <w:attr w:name="ProductID" w:val="4 a"/>
        </w:smartTagPr>
        <w:r w:rsidRPr="001A4860">
          <w:rPr>
            <w:rFonts w:ascii="Calibri" w:eastAsia="Calibri" w:hAnsi="Calibri" w:cs="Arial"/>
            <w:szCs w:val="24"/>
            <w:lang w:val="es-NI"/>
          </w:rPr>
          <w:t>4 a</w:t>
        </w:r>
      </w:smartTag>
      <w:r w:rsidRPr="001A4860">
        <w:rPr>
          <w:rFonts w:ascii="Calibri" w:eastAsia="Calibri" w:hAnsi="Calibri" w:cs="Arial"/>
          <w:szCs w:val="24"/>
          <w:lang w:val="es-NI"/>
        </w:rPr>
        <w:t xml:space="preserve"> 6 horas. Para recubrir de </w:t>
      </w:r>
      <w:smartTag w:uri="urn:schemas-microsoft-com:office:smarttags" w:element="metricconverter">
        <w:smartTagPr>
          <w:attr w:name="ProductID" w:val="12 a"/>
        </w:smartTagPr>
        <w:r w:rsidRPr="001A4860">
          <w:rPr>
            <w:rFonts w:ascii="Calibri" w:eastAsia="Calibri" w:hAnsi="Calibri" w:cs="Arial"/>
            <w:szCs w:val="24"/>
            <w:lang w:val="es-NI"/>
          </w:rPr>
          <w:t>12 a</w:t>
        </w:r>
      </w:smartTag>
      <w:r w:rsidRPr="001A4860">
        <w:rPr>
          <w:rFonts w:ascii="Calibri" w:eastAsia="Calibri" w:hAnsi="Calibri" w:cs="Arial"/>
          <w:szCs w:val="24"/>
          <w:lang w:val="es-NI"/>
        </w:rPr>
        <w:t xml:space="preserve"> 16 horas. Catalizador físico-químico, 7 días de temperaturas frías, aumentan el tiempo de secado y catalización, lo mismo con demasiada humedad.</w:t>
      </w:r>
    </w:p>
    <w:p w14:paraId="50715FAE" w14:textId="77777777" w:rsidR="001A4860" w:rsidRPr="001A4860" w:rsidRDefault="001A4860" w:rsidP="003B68DB">
      <w:pPr>
        <w:numPr>
          <w:ilvl w:val="0"/>
          <w:numId w:val="183"/>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Constantes Físicas:- Viscosidad: 90-100 KU- Peso por galón: 12.5 Lbs- Peso por galón mezcla: 9.85 Lbs- Brillo: 85-90- Cubrimiento: 46.80 m2/mezcla.</w:t>
      </w:r>
    </w:p>
    <w:p w14:paraId="28707CA4" w14:textId="77777777" w:rsidR="001A4860" w:rsidRPr="001A4860" w:rsidRDefault="001A4860" w:rsidP="001A4860">
      <w:pPr>
        <w:spacing w:line="20" w:lineRule="atLeast"/>
        <w:rPr>
          <w:rFonts w:ascii="Arial" w:eastAsia="Calibri" w:hAnsi="Arial" w:cs="Arial"/>
          <w:sz w:val="22"/>
          <w:szCs w:val="22"/>
          <w:lang w:val="es-NI"/>
        </w:rPr>
      </w:pPr>
    </w:p>
    <w:p w14:paraId="7E6A5EAA"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72" w:name="_Toc240187294"/>
      <w:bookmarkStart w:id="1273" w:name="_Toc240777490"/>
      <w:r w:rsidRPr="001A4860">
        <w:rPr>
          <w:rFonts w:ascii="Calibri Light" w:hAnsi="Calibri Light"/>
          <w:b/>
          <w:bCs/>
          <w:sz w:val="22"/>
          <w:szCs w:val="22"/>
          <w:lang w:val="es-NI"/>
        </w:rPr>
        <w:t>Pintura Anticorrosiva</w:t>
      </w:r>
      <w:bookmarkEnd w:id="1272"/>
      <w:bookmarkEnd w:id="1273"/>
    </w:p>
    <w:p w14:paraId="51BE9DB6" w14:textId="77777777" w:rsidR="001A4860" w:rsidRPr="001A4860" w:rsidRDefault="001A4860" w:rsidP="001A4860">
      <w:pPr>
        <w:spacing w:line="20" w:lineRule="atLeast"/>
        <w:rPr>
          <w:rFonts w:ascii="Calibri" w:eastAsia="Calibri" w:hAnsi="Calibri" w:cs="Arial"/>
          <w:b/>
          <w:i/>
          <w:szCs w:val="24"/>
          <w:lang w:val="es-NI"/>
        </w:rPr>
      </w:pPr>
    </w:p>
    <w:p w14:paraId="18B535FF" w14:textId="77777777" w:rsidR="001A4860" w:rsidRPr="001A4860" w:rsidRDefault="001A4860" w:rsidP="001A4860">
      <w:pPr>
        <w:spacing w:line="20" w:lineRule="atLeast"/>
        <w:rPr>
          <w:rFonts w:ascii="Calibri" w:eastAsia="Calibri" w:hAnsi="Calibri" w:cs="Arial"/>
          <w:i/>
          <w:szCs w:val="24"/>
          <w:lang w:val="es-NI"/>
        </w:rPr>
      </w:pPr>
      <w:r w:rsidRPr="001A4860">
        <w:rPr>
          <w:rFonts w:ascii="Calibri" w:eastAsia="Calibri" w:hAnsi="Calibri" w:cs="Arial"/>
          <w:b/>
          <w:i/>
          <w:szCs w:val="24"/>
          <w:lang w:val="es-NI"/>
        </w:rPr>
        <w:t>Muestras:</w:t>
      </w:r>
      <w:r w:rsidRPr="001A4860">
        <w:rPr>
          <w:rFonts w:ascii="Calibri" w:eastAsia="Calibri" w:hAnsi="Calibri" w:cs="Arial"/>
          <w:i/>
          <w:szCs w:val="24"/>
          <w:lang w:val="es-NI"/>
        </w:rPr>
        <w:t xml:space="preserve"> </w:t>
      </w:r>
    </w:p>
    <w:p w14:paraId="7AE53A2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Antes de ordenar sus materiales el contratista someterá a la aprobación del ingeniero supervisor muestras de todos y cada uno de 2535+497 los tipos de determinado color y cuando sean aprobados finalmente ha de ser razonable igual a esta muestra.</w:t>
      </w:r>
    </w:p>
    <w:p w14:paraId="46F58F36" w14:textId="77777777" w:rsidR="001A4860" w:rsidRPr="001A4860" w:rsidRDefault="001A4860" w:rsidP="001A4860">
      <w:pPr>
        <w:spacing w:line="20" w:lineRule="atLeast"/>
        <w:rPr>
          <w:rFonts w:ascii="Calibri" w:eastAsia="Calibri" w:hAnsi="Calibri" w:cs="Arial"/>
          <w:szCs w:val="24"/>
          <w:lang w:val="es-NI"/>
        </w:rPr>
      </w:pPr>
    </w:p>
    <w:p w14:paraId="5583F3BE"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b/>
          <w:i/>
          <w:szCs w:val="24"/>
          <w:lang w:val="es-NI"/>
        </w:rPr>
        <w:t>Limpieza:</w:t>
      </w:r>
      <w:r w:rsidRPr="001A4860">
        <w:rPr>
          <w:rFonts w:ascii="Calibri" w:eastAsia="Calibri" w:hAnsi="Calibri" w:cs="Arial"/>
          <w:szCs w:val="24"/>
          <w:lang w:val="es-NI"/>
        </w:rPr>
        <w:t xml:space="preserve"> </w:t>
      </w:r>
    </w:p>
    <w:p w14:paraId="422A93CB"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Además de los requisitos sobre limpieza expresados en las Condiciones Generales el contratista al terminar su trabajo, deberá remover toda pintura de donde se haya derramado o salpicado sobre superficies, incluyendo artefactos, vidrios, muebles, herrajes, etc.  El contratista será responsable y deberá remover toda pintura donde se haya derramado o salpicado y reparar las superficies dañadas incluyendo artefactos, vidrios, muebles, etc. de una manera satisfactoria para el Ingeniero supervisor.</w:t>
      </w:r>
    </w:p>
    <w:p w14:paraId="7674AF6E" w14:textId="77777777" w:rsidR="001A4860" w:rsidRPr="001A4860" w:rsidRDefault="001A4860" w:rsidP="001A4860">
      <w:pPr>
        <w:spacing w:line="20" w:lineRule="atLeast"/>
        <w:rPr>
          <w:rFonts w:ascii="Calibri" w:eastAsia="Calibri" w:hAnsi="Calibri" w:cs="Arial"/>
          <w:szCs w:val="24"/>
          <w:lang w:val="es-NI"/>
        </w:rPr>
      </w:pPr>
    </w:p>
    <w:p w14:paraId="757B033F" w14:textId="77777777" w:rsidR="001A4860" w:rsidRPr="001A4860" w:rsidRDefault="001A4860" w:rsidP="001A4860">
      <w:pPr>
        <w:spacing w:line="20" w:lineRule="atLeast"/>
        <w:rPr>
          <w:rFonts w:ascii="Calibri" w:eastAsia="Calibri" w:hAnsi="Calibri" w:cs="Arial"/>
          <w:b/>
          <w:i/>
          <w:szCs w:val="24"/>
          <w:lang w:val="es-NI"/>
        </w:rPr>
      </w:pPr>
      <w:r w:rsidRPr="001A4860">
        <w:rPr>
          <w:rFonts w:ascii="Calibri" w:eastAsia="Calibri" w:hAnsi="Calibri" w:cs="Arial"/>
          <w:b/>
          <w:i/>
          <w:szCs w:val="24"/>
          <w:lang w:val="es-NI"/>
        </w:rPr>
        <w:t xml:space="preserve">Inspección de las superficies: </w:t>
      </w:r>
    </w:p>
    <w:p w14:paraId="0B38847F"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Antes de dar comienzo al trabajo de pintura, el contratista  deberá inspeccionar todas las superficies pintadas y las que han de ser pintadas y reportara al supervisor por escrito en la bitácora todo defecto de mano de obra, albañilería que encuentre.    El supervisor hará que se corrijan todos los defectos.  El contratista suplirá lija y masilla para efectuar todas aquellas reparaciones superficiales. El comienzo del trabajo por el contratista indica su aceptación de todas las superficies.  Enmasíllese los hoyuelos en los marcos metálicos y de madera para puertas.     </w:t>
      </w:r>
    </w:p>
    <w:p w14:paraId="123FB250" w14:textId="77777777" w:rsidR="001A4860" w:rsidRPr="001A4860" w:rsidRDefault="001A4860" w:rsidP="001A4860">
      <w:pPr>
        <w:spacing w:line="20" w:lineRule="atLeast"/>
        <w:ind w:left="720"/>
        <w:contextualSpacing/>
        <w:rPr>
          <w:rFonts w:ascii="Calibri" w:eastAsia="Calibri" w:hAnsi="Calibri" w:cs="Arial"/>
          <w:szCs w:val="24"/>
          <w:lang w:val="es-NI"/>
        </w:rPr>
      </w:pPr>
    </w:p>
    <w:p w14:paraId="30A8670D" w14:textId="77777777" w:rsidR="001A4860" w:rsidRPr="001A4860" w:rsidRDefault="001A4860" w:rsidP="001A4860">
      <w:pPr>
        <w:spacing w:line="20" w:lineRule="atLeast"/>
        <w:rPr>
          <w:rFonts w:ascii="Calibri" w:eastAsia="Calibri" w:hAnsi="Calibri" w:cs="Arial"/>
          <w:b/>
          <w:i/>
          <w:szCs w:val="24"/>
          <w:lang w:val="es-NI"/>
        </w:rPr>
      </w:pPr>
      <w:r w:rsidRPr="001A4860">
        <w:rPr>
          <w:rFonts w:ascii="Calibri" w:eastAsia="Calibri" w:hAnsi="Calibri" w:cs="Arial"/>
          <w:b/>
          <w:i/>
          <w:szCs w:val="24"/>
          <w:lang w:val="es-NI"/>
        </w:rPr>
        <w:t xml:space="preserve">Preparación de las Superficies: </w:t>
      </w:r>
    </w:p>
    <w:p w14:paraId="47863C35"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lastRenderedPageBreak/>
        <w:t>Además del trabajo especificado bajo "Materiales". El siguiente trabajo será requerido en todos los tipos determinados sobre sus superficies respectivas:</w:t>
      </w:r>
    </w:p>
    <w:p w14:paraId="03C098F8" w14:textId="77777777" w:rsidR="001A4860" w:rsidRPr="001A4860" w:rsidRDefault="001A4860" w:rsidP="001A4860">
      <w:pPr>
        <w:spacing w:line="20" w:lineRule="atLeast"/>
        <w:rPr>
          <w:rFonts w:ascii="Calibri" w:eastAsia="Calibri" w:hAnsi="Calibri" w:cs="Arial"/>
          <w:szCs w:val="24"/>
          <w:lang w:val="es-NI"/>
        </w:rPr>
      </w:pPr>
    </w:p>
    <w:p w14:paraId="0EB92229" w14:textId="77777777" w:rsidR="001A4860" w:rsidRPr="001A4860" w:rsidRDefault="001A4860" w:rsidP="003B68DB">
      <w:pPr>
        <w:numPr>
          <w:ilvl w:val="0"/>
          <w:numId w:val="185"/>
        </w:numPr>
        <w:spacing w:after="160" w:line="20" w:lineRule="atLeast"/>
        <w:ind w:left="708"/>
        <w:contextualSpacing/>
        <w:jc w:val="left"/>
        <w:rPr>
          <w:rFonts w:ascii="Calibri" w:eastAsia="Calibri" w:hAnsi="Calibri" w:cs="Arial"/>
          <w:szCs w:val="24"/>
          <w:lang w:val="es-NI"/>
        </w:rPr>
      </w:pPr>
      <w:r w:rsidRPr="001A4860">
        <w:rPr>
          <w:rFonts w:ascii="Calibri" w:eastAsia="Calibri" w:hAnsi="Calibri" w:cs="Arial"/>
          <w:szCs w:val="24"/>
          <w:lang w:val="es-NI"/>
        </w:rPr>
        <w:t>Todas las superficies a las que se aplicara pintura o barniz, deberán estar secas y limpias. Cada mano deberá secarse por lo menos 24 horas antes de aplicar la siguiente.</w:t>
      </w:r>
    </w:p>
    <w:p w14:paraId="6F603DFB" w14:textId="77777777" w:rsidR="001A4860" w:rsidRPr="001A4860" w:rsidRDefault="001A4860" w:rsidP="003B68DB">
      <w:pPr>
        <w:numPr>
          <w:ilvl w:val="0"/>
          <w:numId w:val="185"/>
        </w:numPr>
        <w:spacing w:after="160" w:line="20" w:lineRule="atLeast"/>
        <w:ind w:left="708"/>
        <w:contextualSpacing/>
        <w:jc w:val="left"/>
        <w:rPr>
          <w:rFonts w:ascii="Calibri" w:eastAsia="Calibri" w:hAnsi="Calibri" w:cs="Arial"/>
          <w:szCs w:val="24"/>
          <w:lang w:val="es-NI"/>
        </w:rPr>
      </w:pPr>
      <w:r w:rsidRPr="001A4860">
        <w:rPr>
          <w:rFonts w:ascii="Calibri" w:eastAsia="Calibri" w:hAnsi="Calibri" w:cs="Arial"/>
          <w:szCs w:val="24"/>
          <w:lang w:val="es-NI"/>
        </w:rPr>
        <w:t xml:space="preserve">Todo lugar ha de ser barrido a escoba antes de comenzar a pintar y se deberá remover de las superficies todo polvo sucio, repello, grasa y otras materias que afecten el trabajo terminado. </w:t>
      </w:r>
    </w:p>
    <w:p w14:paraId="5A36C423" w14:textId="77777777" w:rsidR="001A4860" w:rsidRPr="001A4860" w:rsidRDefault="001A4860" w:rsidP="003B68DB">
      <w:pPr>
        <w:numPr>
          <w:ilvl w:val="0"/>
          <w:numId w:val="185"/>
        </w:numPr>
        <w:spacing w:after="160" w:line="20" w:lineRule="atLeast"/>
        <w:ind w:left="708"/>
        <w:contextualSpacing/>
        <w:jc w:val="left"/>
        <w:rPr>
          <w:rFonts w:ascii="Calibri" w:eastAsia="Calibri" w:hAnsi="Calibri" w:cs="Arial"/>
          <w:szCs w:val="24"/>
          <w:lang w:val="es-NI"/>
        </w:rPr>
      </w:pPr>
      <w:r w:rsidRPr="001A4860">
        <w:rPr>
          <w:rFonts w:ascii="Calibri" w:eastAsia="Calibri" w:hAnsi="Calibri" w:cs="Arial"/>
          <w:szCs w:val="24"/>
          <w:lang w:val="es-NI"/>
        </w:rPr>
        <w:t xml:space="preserve">Todas las superficies sobre las que se apliquen los materiales de esta sección se prepararan según recomendaciones del manufacturero respectivo. </w:t>
      </w:r>
    </w:p>
    <w:p w14:paraId="020F5998" w14:textId="77777777" w:rsidR="001A4860" w:rsidRPr="001A4860" w:rsidRDefault="001A4860" w:rsidP="003B68DB">
      <w:pPr>
        <w:numPr>
          <w:ilvl w:val="0"/>
          <w:numId w:val="185"/>
        </w:numPr>
        <w:spacing w:after="160" w:line="20" w:lineRule="atLeast"/>
        <w:ind w:left="708"/>
        <w:contextualSpacing/>
        <w:jc w:val="left"/>
        <w:rPr>
          <w:rFonts w:ascii="Calibri" w:eastAsia="Calibri" w:hAnsi="Calibri" w:cs="Arial"/>
          <w:szCs w:val="24"/>
          <w:lang w:val="es-NI"/>
        </w:rPr>
      </w:pPr>
      <w:r w:rsidRPr="001A4860">
        <w:rPr>
          <w:rFonts w:ascii="Calibri" w:eastAsia="Calibri" w:hAnsi="Calibri" w:cs="Arial"/>
          <w:szCs w:val="24"/>
          <w:lang w:val="es-NI"/>
        </w:rPr>
        <w:t xml:space="preserve">Toda superficie de madera excepto madera de cielo, se lijara entre mano con lija No. 6/0. - 220 o más fina, teniéndose cuidado de limpiar completamente el residuo de polvo.  Después de aplicar la primera mano y cuando ya se ha secado se aplicará goma laca o cola plástica mezclada con residuo de madera o los nudos, rajaduras, juntas abiertas y otros defectos menores.  </w:t>
      </w:r>
    </w:p>
    <w:p w14:paraId="21ECDEC2" w14:textId="77777777" w:rsidR="001A4860" w:rsidRPr="001A4860" w:rsidRDefault="001A4860" w:rsidP="003B68DB">
      <w:pPr>
        <w:numPr>
          <w:ilvl w:val="0"/>
          <w:numId w:val="185"/>
        </w:numPr>
        <w:spacing w:after="160" w:line="20" w:lineRule="atLeast"/>
        <w:ind w:left="708"/>
        <w:contextualSpacing/>
        <w:jc w:val="left"/>
        <w:rPr>
          <w:rFonts w:ascii="Calibri" w:eastAsia="Calibri" w:hAnsi="Calibri" w:cs="Arial"/>
          <w:szCs w:val="24"/>
          <w:lang w:val="es-NI"/>
        </w:rPr>
      </w:pPr>
      <w:r w:rsidRPr="001A4860">
        <w:rPr>
          <w:rFonts w:ascii="Calibri" w:eastAsia="Calibri" w:hAnsi="Calibri" w:cs="Arial"/>
          <w:szCs w:val="24"/>
          <w:lang w:val="es-NI"/>
        </w:rPr>
        <w:t xml:space="preserve">En las superficies de metal el contratista removerá grasa y tierra con benzina; raspará el óxido y la pintura defectuosa hasta dejar expuesto el metal, retocara estos defectos con el imprimidor respectivo y limpiara todo el trabajo antes de limpiarlo. </w:t>
      </w:r>
    </w:p>
    <w:p w14:paraId="172A7759" w14:textId="77777777" w:rsidR="001A4860" w:rsidRPr="001A4860" w:rsidRDefault="001A4860" w:rsidP="001A4860">
      <w:pPr>
        <w:spacing w:line="20" w:lineRule="atLeast"/>
        <w:ind w:firstLine="708"/>
        <w:rPr>
          <w:rFonts w:ascii="Calibri" w:eastAsia="Calibri" w:hAnsi="Calibri" w:cs="Arial"/>
          <w:szCs w:val="24"/>
          <w:lang w:val="es-NI"/>
        </w:rPr>
      </w:pPr>
    </w:p>
    <w:p w14:paraId="533144A8" w14:textId="77777777" w:rsidR="001A4860" w:rsidRPr="001A4860" w:rsidRDefault="001A4860" w:rsidP="001A4860">
      <w:pPr>
        <w:spacing w:line="20" w:lineRule="atLeast"/>
        <w:rPr>
          <w:rFonts w:ascii="Calibri" w:eastAsia="Calibri" w:hAnsi="Calibri" w:cs="Arial"/>
          <w:b/>
          <w:i/>
          <w:szCs w:val="24"/>
          <w:lang w:val="es-NI"/>
        </w:rPr>
      </w:pPr>
      <w:r w:rsidRPr="001A4860">
        <w:rPr>
          <w:rFonts w:ascii="Calibri" w:eastAsia="Calibri" w:hAnsi="Calibri" w:cs="Arial"/>
          <w:b/>
          <w:i/>
          <w:szCs w:val="24"/>
          <w:lang w:val="es-NI"/>
        </w:rPr>
        <w:t>Mano de Obra en General:</w:t>
      </w:r>
    </w:p>
    <w:p w14:paraId="2423CB22" w14:textId="77777777" w:rsidR="001A4860" w:rsidRPr="001A4860" w:rsidRDefault="001A4860" w:rsidP="003B68DB">
      <w:pPr>
        <w:numPr>
          <w:ilvl w:val="0"/>
          <w:numId w:val="186"/>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Todo el trabajo ha de ser hecho por personal de primera clase. Todo material deberá aplicarse parejo, libre de chorreaduras, manchas, parches y otros defectos. Todas las manos serán de la consistencia debida y sin marca de brocha. Las brochas empleadas deberán ser de la mejor calidad y en buenas condiciones. </w:t>
      </w:r>
    </w:p>
    <w:p w14:paraId="0C3492A0" w14:textId="77777777" w:rsidR="001A4860" w:rsidRPr="001A4860" w:rsidRDefault="001A4860" w:rsidP="003B68DB">
      <w:pPr>
        <w:numPr>
          <w:ilvl w:val="0"/>
          <w:numId w:val="186"/>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El trabajo de pintura no se hará durante tiempo nebuloso o de extrema humedad. </w:t>
      </w:r>
    </w:p>
    <w:p w14:paraId="57E9AB3D" w14:textId="77777777" w:rsidR="001A4860" w:rsidRPr="001A4860" w:rsidRDefault="001A4860" w:rsidP="003B68DB">
      <w:pPr>
        <w:numPr>
          <w:ilvl w:val="0"/>
          <w:numId w:val="186"/>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 xml:space="preserve">Todo el trabajo terminado será uniforme en cuanto a color y lustre. Para la aplicación de pintura podrá usarse rodillo. </w:t>
      </w:r>
    </w:p>
    <w:p w14:paraId="3A5B15F5" w14:textId="77777777" w:rsidR="001A4860" w:rsidRPr="001A4860" w:rsidRDefault="001A4860" w:rsidP="003B68DB">
      <w:pPr>
        <w:numPr>
          <w:ilvl w:val="0"/>
          <w:numId w:val="186"/>
        </w:numPr>
        <w:spacing w:after="160" w:line="20" w:lineRule="atLeast"/>
        <w:contextualSpacing/>
        <w:jc w:val="left"/>
        <w:rPr>
          <w:rFonts w:ascii="Calibri" w:eastAsia="Calibri" w:hAnsi="Calibri" w:cs="Arial"/>
          <w:szCs w:val="24"/>
          <w:lang w:val="es-NI"/>
        </w:rPr>
      </w:pPr>
      <w:r w:rsidRPr="001A4860">
        <w:rPr>
          <w:rFonts w:ascii="Calibri" w:eastAsia="Calibri" w:hAnsi="Calibri" w:cs="Arial"/>
          <w:szCs w:val="24"/>
          <w:lang w:val="es-NI"/>
        </w:rPr>
        <w:t>Las segundas manos se aplicara con pintura de un tono diferente ligeramente a la primera mano, debiendo esta diferencia ser fácilmente visible.</w:t>
      </w:r>
    </w:p>
    <w:p w14:paraId="536626D4" w14:textId="77777777" w:rsidR="001A4860" w:rsidRPr="001A4860" w:rsidRDefault="001A4860" w:rsidP="001A4860">
      <w:pPr>
        <w:spacing w:line="20" w:lineRule="atLeast"/>
        <w:rPr>
          <w:rFonts w:ascii="Calibri" w:eastAsia="Calibri" w:hAnsi="Calibri" w:cs="Arial"/>
          <w:szCs w:val="24"/>
          <w:lang w:val="es-NI"/>
        </w:rPr>
      </w:pPr>
    </w:p>
    <w:p w14:paraId="10EC7028" w14:textId="77777777" w:rsidR="001A4860" w:rsidRPr="001A4860" w:rsidRDefault="001A4860" w:rsidP="003B68DB">
      <w:pPr>
        <w:keepNext/>
        <w:numPr>
          <w:ilvl w:val="2"/>
          <w:numId w:val="174"/>
        </w:numPr>
        <w:tabs>
          <w:tab w:val="num" w:pos="720"/>
        </w:tabs>
        <w:spacing w:after="160" w:line="288" w:lineRule="auto"/>
        <w:jc w:val="left"/>
        <w:outlineLvl w:val="2"/>
        <w:rPr>
          <w:rFonts w:ascii="Calibri Light" w:hAnsi="Calibri Light"/>
          <w:b/>
          <w:bCs/>
          <w:sz w:val="22"/>
          <w:szCs w:val="22"/>
          <w:lang w:val="es-NI"/>
        </w:rPr>
      </w:pPr>
      <w:bookmarkStart w:id="1274" w:name="_Toc240187295"/>
      <w:bookmarkStart w:id="1275" w:name="_Toc240777491"/>
      <w:r w:rsidRPr="001A4860">
        <w:rPr>
          <w:rFonts w:ascii="Calibri Light" w:hAnsi="Calibri Light"/>
          <w:b/>
          <w:bCs/>
          <w:sz w:val="22"/>
          <w:szCs w:val="22"/>
          <w:lang w:val="es-NI"/>
        </w:rPr>
        <w:t>Pinturas Especiales</w:t>
      </w:r>
      <w:bookmarkEnd w:id="1274"/>
      <w:bookmarkEnd w:id="1275"/>
    </w:p>
    <w:p w14:paraId="5997598A" w14:textId="77777777" w:rsidR="001A4860" w:rsidRPr="001A4860" w:rsidRDefault="001A4860" w:rsidP="001A4860">
      <w:pPr>
        <w:spacing w:line="20" w:lineRule="atLeast"/>
        <w:rPr>
          <w:rFonts w:ascii="Arial" w:eastAsia="Calibri" w:hAnsi="Arial" w:cs="Arial"/>
          <w:sz w:val="22"/>
          <w:szCs w:val="22"/>
          <w:lang w:val="es-NI"/>
        </w:rPr>
      </w:pPr>
    </w:p>
    <w:p w14:paraId="1E52E704"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Se entiende como pintura especial; a toda pintura que por su aplicación no común sea clasificada como especiales estas son pinturas, asfálticas, de piso, de humedad (aplicadas a piscinas o tanques de almacenamiento) las aplicadas a los pizarrones. </w:t>
      </w:r>
    </w:p>
    <w:p w14:paraId="6D753CCC" w14:textId="77777777" w:rsidR="001A4860" w:rsidRPr="001A4860" w:rsidRDefault="001A4860" w:rsidP="001A4860">
      <w:pPr>
        <w:spacing w:line="20" w:lineRule="atLeast"/>
        <w:rPr>
          <w:rFonts w:ascii="Calibri" w:eastAsia="Calibri" w:hAnsi="Calibri" w:cs="Arial"/>
          <w:szCs w:val="24"/>
          <w:lang w:val="es-NI"/>
        </w:rPr>
      </w:pPr>
    </w:p>
    <w:p w14:paraId="45AA4EBA" w14:textId="77777777" w:rsidR="001A4860" w:rsidRPr="001A4860" w:rsidRDefault="001A4860" w:rsidP="001A4860">
      <w:pPr>
        <w:spacing w:line="20" w:lineRule="atLeast"/>
        <w:rPr>
          <w:rFonts w:ascii="Calibri" w:eastAsia="Calibri" w:hAnsi="Calibri" w:cs="Arial"/>
          <w:szCs w:val="24"/>
          <w:lang w:val="es-NI"/>
        </w:rPr>
      </w:pPr>
      <w:r w:rsidRPr="001A4860">
        <w:rPr>
          <w:rFonts w:ascii="Calibri" w:eastAsia="Calibri" w:hAnsi="Calibri" w:cs="Arial"/>
          <w:szCs w:val="24"/>
          <w:lang w:val="es-NI"/>
        </w:rPr>
        <w:t xml:space="preserve">Las pinturas especiales para su aplicación deben seguir las indicaciones de los fabricantes. </w:t>
      </w:r>
    </w:p>
    <w:p w14:paraId="319B0FB6" w14:textId="77777777" w:rsidR="001A4860" w:rsidRPr="001A4860" w:rsidRDefault="001A4860" w:rsidP="001A4860">
      <w:pPr>
        <w:keepNext/>
        <w:keepLines/>
        <w:spacing w:before="480" w:line="276" w:lineRule="auto"/>
        <w:ind w:left="432" w:hanging="432"/>
        <w:jc w:val="left"/>
        <w:outlineLvl w:val="0"/>
        <w:rPr>
          <w:rFonts w:ascii="Calibri" w:eastAsia="Calibri" w:hAnsi="Calibri" w:cs="Courier New"/>
          <w:b/>
          <w:bCs/>
          <w:kern w:val="28"/>
          <w:sz w:val="22"/>
          <w:szCs w:val="22"/>
          <w:lang w:val="es-NI"/>
        </w:rPr>
      </w:pPr>
      <w:bookmarkStart w:id="1276" w:name="_Toc240777492"/>
      <w:r w:rsidRPr="001A4860">
        <w:rPr>
          <w:rFonts w:ascii="Calibri" w:eastAsia="Calibri" w:hAnsi="Calibri" w:cs="Courier New"/>
          <w:b/>
          <w:bCs/>
          <w:kern w:val="28"/>
          <w:sz w:val="22"/>
          <w:szCs w:val="22"/>
          <w:lang w:val="es-NI"/>
        </w:rPr>
        <w:t>ACTIVIDADES CONSTRUCTIVAS</w:t>
      </w:r>
      <w:bookmarkEnd w:id="1276"/>
    </w:p>
    <w:p w14:paraId="24B6804D" w14:textId="77777777" w:rsidR="001A4860" w:rsidRPr="001A4860" w:rsidRDefault="001A4860" w:rsidP="003B68DB">
      <w:pPr>
        <w:keepNext/>
        <w:keepLines/>
        <w:numPr>
          <w:ilvl w:val="1"/>
          <w:numId w:val="174"/>
        </w:numPr>
        <w:spacing w:before="200" w:after="160" w:line="276" w:lineRule="auto"/>
        <w:jc w:val="left"/>
        <w:outlineLvl w:val="1"/>
        <w:rPr>
          <w:rFonts w:ascii="Cambria" w:hAnsi="Cambria"/>
          <w:b/>
          <w:bCs/>
          <w:iCs/>
          <w:sz w:val="22"/>
          <w:szCs w:val="28"/>
          <w:lang w:val="es-NI"/>
        </w:rPr>
      </w:pPr>
      <w:bookmarkStart w:id="1277" w:name="_Toc240777493"/>
      <w:r w:rsidRPr="001A4860">
        <w:rPr>
          <w:rFonts w:ascii="Calibri" w:eastAsia="Calibri" w:hAnsi="Calibri" w:cs="Arial"/>
          <w:b/>
          <w:bCs/>
          <w:iCs/>
          <w:sz w:val="22"/>
          <w:szCs w:val="28"/>
          <w:lang w:val="es-NI"/>
        </w:rPr>
        <w:t>Concreto, Acero de Refuerzo y Mampostería</w:t>
      </w:r>
      <w:bookmarkEnd w:id="1277"/>
    </w:p>
    <w:p w14:paraId="0864D2E2" w14:textId="77777777" w:rsidR="001A4860" w:rsidRPr="001A4860" w:rsidRDefault="001A4860" w:rsidP="001A4860">
      <w:pPr>
        <w:tabs>
          <w:tab w:val="left" w:pos="6840"/>
        </w:tabs>
        <w:spacing w:line="256" w:lineRule="auto"/>
        <w:rPr>
          <w:rFonts w:ascii="Calibri" w:eastAsia="Calibri" w:hAnsi="Calibri"/>
          <w:b/>
          <w:sz w:val="22"/>
          <w:szCs w:val="22"/>
          <w:lang w:val="es-NI"/>
        </w:rPr>
      </w:pPr>
    </w:p>
    <w:p w14:paraId="1EFAD177" w14:textId="77777777" w:rsidR="001A4860" w:rsidRPr="001A4860" w:rsidRDefault="001A4860" w:rsidP="003B68DB">
      <w:pPr>
        <w:keepNext/>
        <w:keepLines/>
        <w:numPr>
          <w:ilvl w:val="2"/>
          <w:numId w:val="174"/>
        </w:numPr>
        <w:spacing w:before="200" w:after="160" w:line="276" w:lineRule="auto"/>
        <w:jc w:val="left"/>
        <w:outlineLvl w:val="2"/>
        <w:rPr>
          <w:rFonts w:ascii="Cambria" w:hAnsi="Cambria"/>
          <w:b/>
          <w:bCs/>
          <w:sz w:val="22"/>
          <w:szCs w:val="22"/>
          <w:lang w:val="es-NI"/>
        </w:rPr>
      </w:pPr>
      <w:bookmarkStart w:id="1278" w:name="_Toc240777494"/>
      <w:r w:rsidRPr="001A4860">
        <w:rPr>
          <w:rFonts w:ascii="Calibri Light" w:hAnsi="Calibri Light"/>
          <w:b/>
          <w:bCs/>
          <w:sz w:val="22"/>
          <w:szCs w:val="22"/>
          <w:lang w:val="es-NI"/>
        </w:rPr>
        <w:lastRenderedPageBreak/>
        <w:t>Concreto</w:t>
      </w:r>
      <w:bookmarkEnd w:id="1278"/>
    </w:p>
    <w:p w14:paraId="17427FE6" w14:textId="77777777" w:rsidR="001A4860" w:rsidRPr="001A4860" w:rsidRDefault="001A4860" w:rsidP="001A4860">
      <w:pPr>
        <w:tabs>
          <w:tab w:val="left" w:pos="6840"/>
        </w:tabs>
        <w:spacing w:after="160" w:line="256" w:lineRule="auto"/>
        <w:rPr>
          <w:rFonts w:ascii="Calibri" w:eastAsia="Calibri" w:hAnsi="Calibri"/>
          <w:b/>
          <w:sz w:val="22"/>
          <w:szCs w:val="22"/>
          <w:lang w:val="es-NI"/>
        </w:rPr>
      </w:pPr>
    </w:p>
    <w:p w14:paraId="6D3160D6" w14:textId="77777777" w:rsidR="001A4860" w:rsidRPr="001A4860" w:rsidRDefault="001A4860" w:rsidP="001A4860">
      <w:pPr>
        <w:tabs>
          <w:tab w:val="left" w:pos="6840"/>
        </w:tabs>
        <w:spacing w:line="256" w:lineRule="auto"/>
        <w:rPr>
          <w:rFonts w:ascii="Calibri" w:eastAsia="Calibri" w:hAnsi="Calibri"/>
          <w:b/>
          <w:i/>
          <w:sz w:val="22"/>
          <w:szCs w:val="22"/>
          <w:lang w:val="es-NI"/>
        </w:rPr>
      </w:pPr>
      <w:r w:rsidRPr="001A4860">
        <w:rPr>
          <w:rFonts w:ascii="Calibri" w:eastAsia="Calibri" w:hAnsi="Calibri"/>
          <w:b/>
          <w:i/>
          <w:sz w:val="22"/>
          <w:szCs w:val="22"/>
          <w:lang w:val="es-NI"/>
        </w:rPr>
        <w:t>Condiciones Generales:</w:t>
      </w:r>
    </w:p>
    <w:p w14:paraId="1A5CDA1F"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Toda mención hechas en estas especificaciones o indicadas en los planos, obligan a el contratista a suplir e instalar cada artículo, material o equipo con el proceso indicado y con la calidad requerida, o sujeta a calificación, y a suplir la mano de obra, equipos y otros bienes complementarios necesarios para la terminación de cualquier obra que incluye concreto, mampostería, acero, o combinación de ello en su etapa constructiva.</w:t>
      </w:r>
    </w:p>
    <w:p w14:paraId="77288BC9" w14:textId="77777777" w:rsidR="001A4860" w:rsidRPr="001A4860" w:rsidRDefault="001A4860" w:rsidP="001A4860">
      <w:pPr>
        <w:tabs>
          <w:tab w:val="left" w:pos="6840"/>
        </w:tabs>
        <w:spacing w:line="256" w:lineRule="auto"/>
        <w:rPr>
          <w:rFonts w:ascii="Calibri" w:eastAsia="Calibri" w:hAnsi="Calibri"/>
          <w:b/>
          <w:i/>
          <w:sz w:val="22"/>
          <w:szCs w:val="22"/>
          <w:lang w:val="es-NI"/>
        </w:rPr>
      </w:pPr>
    </w:p>
    <w:p w14:paraId="69878485" w14:textId="77777777" w:rsidR="001A4860" w:rsidRPr="001A4860" w:rsidRDefault="001A4860" w:rsidP="001A4860">
      <w:pPr>
        <w:tabs>
          <w:tab w:val="left" w:pos="6840"/>
        </w:tabs>
        <w:spacing w:line="256" w:lineRule="auto"/>
        <w:rPr>
          <w:rFonts w:ascii="Calibri" w:eastAsia="Calibri" w:hAnsi="Calibri"/>
          <w:b/>
          <w:i/>
          <w:sz w:val="22"/>
          <w:szCs w:val="22"/>
          <w:lang w:val="es-NI"/>
        </w:rPr>
      </w:pPr>
      <w:r w:rsidRPr="001A4860">
        <w:rPr>
          <w:rFonts w:ascii="Calibri" w:eastAsia="Calibri" w:hAnsi="Calibri"/>
          <w:b/>
          <w:i/>
          <w:sz w:val="22"/>
          <w:szCs w:val="22"/>
          <w:lang w:val="es-NI"/>
        </w:rPr>
        <w:t>Normas y especificaciones</w:t>
      </w:r>
    </w:p>
    <w:p w14:paraId="0EF3CEB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Se deberán cumplir las normas mínimas constructivas del reglamento nacional de construcción, de mayo de 1993.</w:t>
      </w:r>
    </w:p>
    <w:p w14:paraId="3A4EFC22" w14:textId="77777777" w:rsidR="001A4860" w:rsidRPr="001A4860" w:rsidRDefault="001A4860" w:rsidP="001A4860">
      <w:pPr>
        <w:tabs>
          <w:tab w:val="left" w:pos="6840"/>
        </w:tabs>
        <w:spacing w:line="256" w:lineRule="auto"/>
        <w:rPr>
          <w:rFonts w:ascii="Calibri" w:eastAsia="Calibri" w:hAnsi="Calibri"/>
          <w:szCs w:val="24"/>
          <w:lang w:val="es-NI"/>
        </w:rPr>
      </w:pPr>
    </w:p>
    <w:p w14:paraId="032B652B"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En la fabricación, transporte y colocación del concreto deberán cumplirse todas las recomendaciones del American Concrete Institute (A.C.I), contenida en el último informe del comité A.C.I-301.</w:t>
      </w:r>
    </w:p>
    <w:p w14:paraId="32D4DAAB" w14:textId="77777777" w:rsidR="001A4860" w:rsidRPr="001A4860" w:rsidRDefault="001A4860" w:rsidP="001A4860">
      <w:pPr>
        <w:tabs>
          <w:tab w:val="left" w:pos="6840"/>
        </w:tabs>
        <w:spacing w:line="256" w:lineRule="auto"/>
        <w:rPr>
          <w:rFonts w:ascii="Calibri" w:eastAsia="Calibri" w:hAnsi="Calibri"/>
          <w:szCs w:val="24"/>
          <w:lang w:val="es-NI"/>
        </w:rPr>
      </w:pPr>
    </w:p>
    <w:p w14:paraId="2AD5A6D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Se consideran también incluidas en estas especificaciones y por consiguiente obligatorias, todas aquellas normas y especificaciones de la American Society of Testing Materials (ASTM) incluidas o simplemente mencionadas en estas especificaciones en los códigos anteriormente citados.</w:t>
      </w:r>
    </w:p>
    <w:p w14:paraId="616F6DD6" w14:textId="77777777" w:rsidR="001A4860" w:rsidRPr="001A4860" w:rsidRDefault="001A4860" w:rsidP="001A4860">
      <w:pPr>
        <w:tabs>
          <w:tab w:val="left" w:pos="6840"/>
        </w:tabs>
        <w:spacing w:line="256" w:lineRule="auto"/>
        <w:rPr>
          <w:rFonts w:ascii="Calibri" w:eastAsia="Calibri" w:hAnsi="Calibri"/>
          <w:b/>
          <w:sz w:val="22"/>
          <w:szCs w:val="22"/>
          <w:lang w:val="es-NI"/>
        </w:rPr>
      </w:pPr>
    </w:p>
    <w:p w14:paraId="0AD586C2" w14:textId="77777777" w:rsidR="001A4860" w:rsidRPr="001A4860" w:rsidRDefault="001A4860" w:rsidP="001A4860">
      <w:pPr>
        <w:tabs>
          <w:tab w:val="left" w:pos="6840"/>
        </w:tabs>
        <w:spacing w:line="256" w:lineRule="auto"/>
        <w:rPr>
          <w:rFonts w:ascii="Calibri" w:eastAsia="Calibri" w:hAnsi="Calibri"/>
          <w:b/>
          <w:i/>
          <w:sz w:val="22"/>
          <w:szCs w:val="22"/>
          <w:lang w:val="es-NI"/>
        </w:rPr>
      </w:pPr>
      <w:r w:rsidRPr="001A4860">
        <w:rPr>
          <w:rFonts w:ascii="Calibri" w:eastAsia="Calibri" w:hAnsi="Calibri"/>
          <w:b/>
          <w:i/>
          <w:sz w:val="22"/>
          <w:szCs w:val="22"/>
          <w:lang w:val="es-NI"/>
        </w:rPr>
        <w:t>Resistencia de Concreto</w:t>
      </w:r>
    </w:p>
    <w:p w14:paraId="3C9F760D"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 xml:space="preserve">Todo el concreto empleado tendrá un revestimiento mínimo de </w:t>
      </w:r>
      <w:smartTag w:uri="urn:schemas-microsoft-com:office:smarttags" w:element="metricconverter">
        <w:smartTagPr>
          <w:attr w:name="ProductID" w:val="2”"/>
        </w:smartTagPr>
        <w:r w:rsidRPr="001A4860">
          <w:rPr>
            <w:rFonts w:ascii="Calibri" w:eastAsia="Calibri" w:hAnsi="Calibri"/>
            <w:szCs w:val="24"/>
            <w:lang w:val="es-NI"/>
          </w:rPr>
          <w:t>2”</w:t>
        </w:r>
      </w:smartTag>
      <w:r w:rsidRPr="001A4860">
        <w:rPr>
          <w:rFonts w:ascii="Calibri" w:eastAsia="Calibri" w:hAnsi="Calibri"/>
          <w:szCs w:val="24"/>
          <w:lang w:val="es-NI"/>
        </w:rPr>
        <w:t xml:space="preserve"> y no mayor de </w:t>
      </w:r>
      <w:smartTag w:uri="urn:schemas-microsoft-com:office:smarttags" w:element="metricconverter">
        <w:smartTagPr>
          <w:attr w:name="ProductID" w:val="4”"/>
        </w:smartTagPr>
        <w:r w:rsidRPr="001A4860">
          <w:rPr>
            <w:rFonts w:ascii="Calibri" w:eastAsia="Calibri" w:hAnsi="Calibri"/>
            <w:szCs w:val="24"/>
            <w:lang w:val="es-NI"/>
          </w:rPr>
          <w:t>4”</w:t>
        </w:r>
      </w:smartTag>
      <w:r w:rsidRPr="001A4860">
        <w:rPr>
          <w:rFonts w:ascii="Calibri" w:eastAsia="Calibri" w:hAnsi="Calibri"/>
          <w:szCs w:val="24"/>
          <w:lang w:val="es-NI"/>
        </w:rPr>
        <w:t xml:space="preserve"> y/o conforme el diseño del concreto sometido por el contratista y aprobado por el Ingeniero.</w:t>
      </w:r>
    </w:p>
    <w:p w14:paraId="4C80A5B1" w14:textId="77777777" w:rsidR="001A4860" w:rsidRPr="001A4860" w:rsidRDefault="001A4860" w:rsidP="001A4860">
      <w:pPr>
        <w:tabs>
          <w:tab w:val="left" w:pos="6840"/>
        </w:tabs>
        <w:spacing w:line="256" w:lineRule="auto"/>
        <w:rPr>
          <w:rFonts w:ascii="Calibri" w:eastAsia="Calibri" w:hAnsi="Calibri"/>
          <w:szCs w:val="24"/>
          <w:lang w:val="es-NI"/>
        </w:rPr>
      </w:pPr>
    </w:p>
    <w:p w14:paraId="7E615063"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Las resistencias a la comprensión especificada se medirá en cilindros de 15x30 cm a los 28 días de edad  de acuerdo a las normas ASTM C-39-66.</w:t>
      </w:r>
    </w:p>
    <w:p w14:paraId="7655E50A" w14:textId="77777777" w:rsidR="001A4860" w:rsidRPr="001A4860" w:rsidRDefault="001A4860" w:rsidP="001A4860">
      <w:pPr>
        <w:tabs>
          <w:tab w:val="left" w:pos="6840"/>
        </w:tabs>
        <w:spacing w:line="256" w:lineRule="auto"/>
        <w:rPr>
          <w:rFonts w:ascii="Calibri" w:eastAsia="Calibri" w:hAnsi="Calibri"/>
          <w:szCs w:val="24"/>
          <w:lang w:val="es-NI"/>
        </w:rPr>
      </w:pPr>
    </w:p>
    <w:p w14:paraId="5840B33B"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 xml:space="preserve">El contratista tomará cilindros de la mezcla de hormigón según lo ordene el Ingeniero, para determinar su resistencia por medio de ensayos de laboratorio, los cuales serán pagados por el contratista.  Se tomarán 2 (dos) cilindros por llena, por frente de trabajo por día.  En caso de sospecha de una bachada de concreto, el Ingeniero podrá ordenar toma de cilindros adicionales.  </w:t>
      </w:r>
    </w:p>
    <w:p w14:paraId="4528CF5A" w14:textId="77777777" w:rsidR="001A4860" w:rsidRPr="001A4860" w:rsidRDefault="001A4860" w:rsidP="001A4860">
      <w:pPr>
        <w:tabs>
          <w:tab w:val="left" w:pos="6840"/>
        </w:tabs>
        <w:spacing w:line="256" w:lineRule="auto"/>
        <w:rPr>
          <w:rFonts w:ascii="Calibri" w:eastAsia="Calibri" w:hAnsi="Calibri"/>
          <w:szCs w:val="24"/>
          <w:lang w:val="es-NI"/>
        </w:rPr>
      </w:pPr>
    </w:p>
    <w:p w14:paraId="49A77F45"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mezcla de concreto fresco empleada en todas las estructuras deberá ser de una consistencia conveniente, sin exceso de agua, plástica y trabajable, a fin de llenar completamente los encofrados, sin dejar cavidades interiores o superficiales.</w:t>
      </w:r>
    </w:p>
    <w:p w14:paraId="39CA5029" w14:textId="77777777" w:rsidR="001A4860" w:rsidRPr="001A4860" w:rsidRDefault="001A4860" w:rsidP="001A4860">
      <w:pPr>
        <w:tabs>
          <w:tab w:val="left" w:pos="6840"/>
        </w:tabs>
        <w:spacing w:line="256" w:lineRule="auto"/>
        <w:rPr>
          <w:rFonts w:ascii="Calibri" w:eastAsia="Calibri" w:hAnsi="Calibri"/>
          <w:szCs w:val="24"/>
          <w:lang w:val="es-NI"/>
        </w:rPr>
      </w:pPr>
    </w:p>
    <w:p w14:paraId="2172036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concreto empleado en la construcción de lozas, cajas, vigas, columnas y otros elementos estructurales, excepto donde se indique lo contrario, tendrá una resistencia la comprensión de 210 kg/cm2 (3,000 psi).</w:t>
      </w:r>
    </w:p>
    <w:p w14:paraId="2DFA0780" w14:textId="77777777" w:rsidR="001A4860" w:rsidRPr="001A4860" w:rsidRDefault="001A4860" w:rsidP="001A4860">
      <w:pPr>
        <w:tabs>
          <w:tab w:val="left" w:pos="6840"/>
        </w:tabs>
        <w:spacing w:line="256" w:lineRule="auto"/>
        <w:rPr>
          <w:rFonts w:ascii="Calibri" w:eastAsia="Calibri" w:hAnsi="Calibri"/>
          <w:b/>
          <w:i/>
          <w:sz w:val="22"/>
          <w:szCs w:val="22"/>
          <w:lang w:val="es-NI"/>
        </w:rPr>
      </w:pPr>
    </w:p>
    <w:p w14:paraId="6BFE74FE" w14:textId="77777777" w:rsidR="001A4860" w:rsidRPr="001A4860" w:rsidRDefault="001A4860" w:rsidP="001A4860">
      <w:pPr>
        <w:tabs>
          <w:tab w:val="left" w:pos="6840"/>
        </w:tabs>
        <w:spacing w:line="256" w:lineRule="auto"/>
        <w:rPr>
          <w:rFonts w:ascii="Calibri" w:eastAsia="Calibri" w:hAnsi="Calibri"/>
          <w:b/>
          <w:i/>
          <w:sz w:val="22"/>
          <w:szCs w:val="22"/>
          <w:lang w:val="es-NI"/>
        </w:rPr>
      </w:pPr>
      <w:r w:rsidRPr="001A4860">
        <w:rPr>
          <w:rFonts w:ascii="Calibri" w:eastAsia="Calibri" w:hAnsi="Calibri"/>
          <w:b/>
          <w:i/>
          <w:sz w:val="22"/>
          <w:szCs w:val="22"/>
          <w:lang w:val="es-NI"/>
        </w:rPr>
        <w:t>Materiales del Concreto</w:t>
      </w:r>
    </w:p>
    <w:p w14:paraId="1BDB16A8" w14:textId="77777777" w:rsidR="001A4860" w:rsidRPr="001A4860" w:rsidRDefault="001A4860" w:rsidP="001A4860">
      <w:pPr>
        <w:tabs>
          <w:tab w:val="left" w:pos="6840"/>
        </w:tabs>
        <w:spacing w:line="256" w:lineRule="auto"/>
        <w:rPr>
          <w:rFonts w:ascii="Calibri" w:eastAsia="Calibri" w:hAnsi="Calibri"/>
          <w:b/>
          <w:sz w:val="22"/>
          <w:szCs w:val="22"/>
          <w:lang w:val="es-NI"/>
        </w:rPr>
      </w:pPr>
    </w:p>
    <w:p w14:paraId="3F00F18A"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Cemento</w:t>
      </w:r>
    </w:p>
    <w:p w14:paraId="223F120D"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cemento a utilizarse en la preparación de mezclas de hormigón, será de una marca conocida de cemento Pórtland Tipo 1, y deberá cumplir en todo con las especificaciones ASTM-C-150-69.</w:t>
      </w:r>
    </w:p>
    <w:p w14:paraId="68A44B2C" w14:textId="77777777" w:rsidR="001A4860" w:rsidRPr="001A4860" w:rsidRDefault="001A4860" w:rsidP="001A4860">
      <w:pPr>
        <w:tabs>
          <w:tab w:val="left" w:pos="6840"/>
        </w:tabs>
        <w:spacing w:line="256" w:lineRule="auto"/>
        <w:rPr>
          <w:rFonts w:ascii="Calibri" w:eastAsia="Calibri" w:hAnsi="Calibri"/>
          <w:szCs w:val="24"/>
          <w:lang w:val="es-NI"/>
        </w:rPr>
      </w:pPr>
    </w:p>
    <w:p w14:paraId="01E4B7A5"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Deberá llegar al sitio de la construcción en sus empaques originales y enteros, ser completamente fresco y no mostrar señales de endurecimiento.  Todo cemento dañado o ya endurecido será rechazado por el inspector.  El cemento se almacenará en bodegas secas, sobre tarimas de madera, en estibas de no más de diez (10) sacos o bolsas.</w:t>
      </w:r>
    </w:p>
    <w:p w14:paraId="3E65F48E" w14:textId="77777777" w:rsidR="001A4860" w:rsidRPr="001A4860" w:rsidRDefault="001A4860" w:rsidP="001A4860">
      <w:pPr>
        <w:tabs>
          <w:tab w:val="left" w:pos="6840"/>
        </w:tabs>
        <w:spacing w:after="160" w:line="256" w:lineRule="auto"/>
        <w:rPr>
          <w:rFonts w:ascii="Calibri" w:eastAsia="Calibri" w:hAnsi="Calibri"/>
          <w:sz w:val="22"/>
          <w:szCs w:val="22"/>
          <w:lang w:val="es-NI"/>
        </w:rPr>
      </w:pPr>
    </w:p>
    <w:p w14:paraId="6863CD98"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Agua</w:t>
      </w:r>
    </w:p>
    <w:p w14:paraId="57D3212D" w14:textId="77777777" w:rsidR="001A4860" w:rsidRPr="001A4860" w:rsidRDefault="001A4860" w:rsidP="001A4860">
      <w:pPr>
        <w:tabs>
          <w:tab w:val="left" w:pos="6840"/>
        </w:tabs>
        <w:spacing w:line="256" w:lineRule="auto"/>
        <w:rPr>
          <w:rFonts w:ascii="Calibri" w:eastAsia="Calibri" w:hAnsi="Calibri"/>
          <w:b/>
          <w:sz w:val="22"/>
          <w:szCs w:val="22"/>
          <w:lang w:val="es-NI"/>
        </w:rPr>
      </w:pPr>
      <w:r w:rsidRPr="001A4860">
        <w:rPr>
          <w:rFonts w:ascii="Calibri" w:eastAsia="Calibri" w:hAnsi="Calibri"/>
          <w:szCs w:val="24"/>
          <w:lang w:val="es-NI"/>
        </w:rPr>
        <w:t>El agua a emplear en la mezcla de concreto deberá ser potable y limpia, y estar libre de grasa y aceite de materia orgánica, sales, ácido, álcalis o impurezas que puedan afectar la resistencia y propiedad física del concreto o del refuerzo.  Deberá ser aprobada previamente por el supervisor</w:t>
      </w:r>
    </w:p>
    <w:p w14:paraId="59AC96D5"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p>
    <w:p w14:paraId="4D236144"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Agregados</w:t>
      </w:r>
    </w:p>
    <w:p w14:paraId="61573927"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arena a utilizar será de motastepe Managua.</w:t>
      </w:r>
    </w:p>
    <w:p w14:paraId="6A3889FF" w14:textId="77777777" w:rsidR="001A4860" w:rsidRPr="001A4860" w:rsidRDefault="001A4860" w:rsidP="001A4860">
      <w:pPr>
        <w:tabs>
          <w:tab w:val="left" w:pos="6840"/>
        </w:tabs>
        <w:spacing w:line="256" w:lineRule="auto"/>
        <w:rPr>
          <w:rFonts w:ascii="Calibri" w:eastAsia="Calibri" w:hAnsi="Calibri"/>
          <w:szCs w:val="24"/>
          <w:lang w:val="es-NI"/>
        </w:rPr>
      </w:pPr>
    </w:p>
    <w:p w14:paraId="1612ED02"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Entiéndase por agregados, la arena y grava empleados en la mezcla del concreto, los cuales deberán ser clasificados según su tamaño, y deben ser almacenados en forma ordenada para evitar que se revuelvan, se ensucien o se mezclen con materiales extraños.</w:t>
      </w:r>
    </w:p>
    <w:p w14:paraId="6F1B1262" w14:textId="77777777" w:rsidR="001A4860" w:rsidRPr="001A4860" w:rsidRDefault="001A4860" w:rsidP="001A4860">
      <w:pPr>
        <w:tabs>
          <w:tab w:val="left" w:pos="6840"/>
        </w:tabs>
        <w:spacing w:line="256" w:lineRule="auto"/>
        <w:rPr>
          <w:rFonts w:ascii="Calibri" w:eastAsia="Calibri" w:hAnsi="Calibri"/>
          <w:szCs w:val="24"/>
          <w:lang w:val="es-NI"/>
        </w:rPr>
      </w:pPr>
    </w:p>
    <w:p w14:paraId="7C9D1D54"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Deben cumplir con todas las especificaciones de la ASTM para los agregados de concreto designación C-33-67.</w:t>
      </w:r>
    </w:p>
    <w:p w14:paraId="327B16BA" w14:textId="77777777" w:rsidR="001A4860" w:rsidRPr="001A4860" w:rsidRDefault="001A4860" w:rsidP="001A4860">
      <w:pPr>
        <w:tabs>
          <w:tab w:val="left" w:pos="6840"/>
        </w:tabs>
        <w:spacing w:line="256" w:lineRule="auto"/>
        <w:rPr>
          <w:rFonts w:ascii="Calibri" w:eastAsia="Calibri" w:hAnsi="Calibri"/>
          <w:szCs w:val="24"/>
          <w:lang w:val="es-NI"/>
        </w:rPr>
      </w:pPr>
    </w:p>
    <w:p w14:paraId="3723B71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grava deberá ser limpia, pura y durable, el tamaño máximo permitido de agregado grueso será de 1/5 (un quinto) de la dimensión mímica de la formaleta de los elementos, o de ¾ (tres cuartos) del espaciamiento libre entre varillas de refuerzo según recomendaciones de la norma ACI-211.1-81.</w:t>
      </w:r>
    </w:p>
    <w:p w14:paraId="70348955" w14:textId="77777777" w:rsidR="001A4860" w:rsidRPr="001A4860" w:rsidRDefault="001A4860" w:rsidP="001A4860">
      <w:pPr>
        <w:tabs>
          <w:tab w:val="left" w:pos="6840"/>
        </w:tabs>
        <w:spacing w:line="256" w:lineRule="auto"/>
        <w:rPr>
          <w:rFonts w:ascii="Calibri" w:eastAsia="Calibri" w:hAnsi="Calibri"/>
          <w:szCs w:val="24"/>
          <w:lang w:val="es-NI"/>
        </w:rPr>
      </w:pPr>
    </w:p>
    <w:p w14:paraId="2A856BC1"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arena deberá ser limpia, libre de materia vegetal, mica, limo, materias orgánicas, etc.</w:t>
      </w:r>
    </w:p>
    <w:p w14:paraId="5B8397EA" w14:textId="77777777" w:rsidR="001A4860" w:rsidRPr="001A4860" w:rsidRDefault="001A4860" w:rsidP="001A4860">
      <w:pPr>
        <w:tabs>
          <w:tab w:val="left" w:pos="6840"/>
        </w:tabs>
        <w:spacing w:line="256" w:lineRule="auto"/>
        <w:rPr>
          <w:rFonts w:ascii="Calibri" w:eastAsia="Calibri" w:hAnsi="Calibri"/>
          <w:szCs w:val="24"/>
          <w:lang w:val="es-NI"/>
        </w:rPr>
      </w:pPr>
    </w:p>
    <w:p w14:paraId="6267CCD0"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calidad y granulometría de la arena debe ser tal que cumpla con los requisitos de las especificaciones ASTD-C-33-59, y permita obtener un concreto denso sin exceso de cemento, así como la resistencia requerida.</w:t>
      </w:r>
    </w:p>
    <w:p w14:paraId="43293B7A" w14:textId="77777777" w:rsidR="001A4860" w:rsidRPr="001A4860" w:rsidRDefault="001A4860" w:rsidP="001A4860">
      <w:pPr>
        <w:tabs>
          <w:tab w:val="left" w:pos="6840"/>
        </w:tabs>
        <w:spacing w:after="160" w:line="256" w:lineRule="auto"/>
        <w:rPr>
          <w:rFonts w:ascii="Calibri" w:eastAsia="Calibri" w:hAnsi="Calibri"/>
          <w:b/>
          <w:sz w:val="22"/>
          <w:szCs w:val="22"/>
          <w:lang w:val="es-NI"/>
        </w:rPr>
      </w:pPr>
    </w:p>
    <w:p w14:paraId="1FDB9116"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 xml:space="preserve">Mezclado del concreto </w:t>
      </w:r>
    </w:p>
    <w:p w14:paraId="4559C3B2"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lastRenderedPageBreak/>
        <w:t>La mezcla podrá realizarse manualmente o con una mezcladora mecánica con no menos de 1 ½  minutos de revolución continúa, una vez que todos los ingredientes hayan sido introducidos dentro de la mezcladora.</w:t>
      </w:r>
    </w:p>
    <w:p w14:paraId="1FB5612D" w14:textId="77777777" w:rsidR="001A4860" w:rsidRPr="001A4860" w:rsidRDefault="001A4860" w:rsidP="001A4860">
      <w:pPr>
        <w:tabs>
          <w:tab w:val="left" w:pos="6840"/>
        </w:tabs>
        <w:spacing w:line="256" w:lineRule="auto"/>
        <w:rPr>
          <w:rFonts w:ascii="Calibri" w:eastAsia="Calibri" w:hAnsi="Calibri"/>
          <w:szCs w:val="24"/>
          <w:lang w:val="es-NI"/>
        </w:rPr>
      </w:pPr>
    </w:p>
    <w:p w14:paraId="0C5DC934"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No se permitirá el uso de concreto que tenga más de 45 minutos de haberse mezclado a menos que se haya utilizado aditivos especiales, autorizados por el ingeniero.</w:t>
      </w:r>
    </w:p>
    <w:p w14:paraId="04FC78CE" w14:textId="77777777" w:rsidR="001A4860" w:rsidRPr="001A4860" w:rsidRDefault="001A4860" w:rsidP="001A4860">
      <w:pPr>
        <w:tabs>
          <w:tab w:val="left" w:pos="6840"/>
        </w:tabs>
        <w:spacing w:line="256" w:lineRule="auto"/>
        <w:rPr>
          <w:rFonts w:ascii="Calibri" w:eastAsia="Calibri" w:hAnsi="Calibri"/>
          <w:szCs w:val="24"/>
          <w:lang w:val="es-NI"/>
        </w:rPr>
      </w:pPr>
    </w:p>
    <w:p w14:paraId="64B3310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Se permitirá el uso de concreto premezclado siempre y cuando reúna las condiciones indicadas en estas especificaciones y este de acuerdo con la especificación ASTM-C-99.</w:t>
      </w:r>
    </w:p>
    <w:p w14:paraId="496DC518" w14:textId="77777777" w:rsidR="001A4860" w:rsidRPr="001A4860" w:rsidRDefault="001A4860" w:rsidP="001A4860">
      <w:pPr>
        <w:tabs>
          <w:tab w:val="left" w:pos="6840"/>
        </w:tabs>
        <w:spacing w:line="256" w:lineRule="auto"/>
        <w:rPr>
          <w:rFonts w:ascii="Calibri" w:eastAsia="Calibri" w:hAnsi="Calibri"/>
          <w:szCs w:val="24"/>
          <w:lang w:val="es-NI"/>
        </w:rPr>
      </w:pPr>
    </w:p>
    <w:p w14:paraId="132F0FD9"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Ingeniero supervisor podrá autorizar la mezcla del concreto a mano, debiendo hacerse entonces a una superficie impermeable (Bateas, etc.), primero logrando una mezcla de aspecto uniforme agregando después el agua dosificadamente, en pequeñas cantidades hasta obtener un producto homogéneo.  Se tendrá especial cuidado durante la operación de no mezclar con piedra e impurezas.  No se permitirá hacer la mezcla directamente sobre el suelo.</w:t>
      </w:r>
    </w:p>
    <w:p w14:paraId="0F7FC16A"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p>
    <w:p w14:paraId="332BC139"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Transporte y colocación del concreto</w:t>
      </w:r>
    </w:p>
    <w:p w14:paraId="30A066A6"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Antes de proceder a la colocación del concreto, el ingeniero deberá aprobar los encofrados y moldes, el refuerzo de acero, la disposición y recubrimiento de las varillas y todos los detalles relacionados.</w:t>
      </w:r>
    </w:p>
    <w:p w14:paraId="148EB7F6" w14:textId="77777777" w:rsidR="001A4860" w:rsidRPr="001A4860" w:rsidRDefault="001A4860" w:rsidP="001A4860">
      <w:pPr>
        <w:tabs>
          <w:tab w:val="left" w:pos="6840"/>
        </w:tabs>
        <w:spacing w:line="256" w:lineRule="auto"/>
        <w:rPr>
          <w:rFonts w:ascii="Calibri" w:eastAsia="Calibri" w:hAnsi="Calibri"/>
          <w:szCs w:val="24"/>
          <w:lang w:val="es-NI"/>
        </w:rPr>
      </w:pPr>
    </w:p>
    <w:p w14:paraId="4234210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Para tal efecto el contratista deberá notificar al Ingeniero con dos (2) días de anticipación la fecha y hora aproximada en que se propone iniciar el colado del concreto y el tiempo aproximado que durará dicha operación.  En todo caso, el contratista no procederá a la colocación del concreto sin la autorización expresa del Ingeniero y sin la presencia de éstos.</w:t>
      </w:r>
    </w:p>
    <w:p w14:paraId="64E4AA8A" w14:textId="77777777" w:rsidR="001A4860" w:rsidRPr="001A4860" w:rsidRDefault="001A4860" w:rsidP="001A4860">
      <w:pPr>
        <w:tabs>
          <w:tab w:val="left" w:pos="6840"/>
        </w:tabs>
        <w:spacing w:line="256" w:lineRule="auto"/>
        <w:rPr>
          <w:rFonts w:ascii="Calibri" w:eastAsia="Calibri" w:hAnsi="Calibri"/>
          <w:szCs w:val="24"/>
          <w:lang w:val="es-NI"/>
        </w:rPr>
      </w:pPr>
    </w:p>
    <w:p w14:paraId="336F6087"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 xml:space="preserve">El equipo de transporte debe ser capaz de llevar el suministro del concreto al sitio de colocación sin segregación y sin interrupciones que permitan la pérdida de plasticidad entre colados sucesivos. </w:t>
      </w:r>
    </w:p>
    <w:p w14:paraId="52D6E033" w14:textId="77777777" w:rsidR="001A4860" w:rsidRPr="001A4860" w:rsidRDefault="001A4860" w:rsidP="001A4860">
      <w:pPr>
        <w:tabs>
          <w:tab w:val="left" w:pos="6840"/>
        </w:tabs>
        <w:spacing w:line="256" w:lineRule="auto"/>
        <w:rPr>
          <w:rFonts w:ascii="Calibri" w:eastAsia="Calibri" w:hAnsi="Calibri"/>
          <w:szCs w:val="24"/>
          <w:lang w:val="es-NI"/>
        </w:rPr>
      </w:pPr>
    </w:p>
    <w:p w14:paraId="1863F778"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Antes del colado del concreto, todos los encofrados o moldes deberán limpiarse, eliminando de ellos toda basura o materia extraña, también los encofrados deben humedecerse antes del vaciado para evitar que absorban agua de la mezcla del concreto.</w:t>
      </w:r>
    </w:p>
    <w:p w14:paraId="4E19827F" w14:textId="77777777" w:rsidR="001A4860" w:rsidRPr="001A4860" w:rsidRDefault="001A4860" w:rsidP="001A4860">
      <w:pPr>
        <w:tabs>
          <w:tab w:val="left" w:pos="6840"/>
        </w:tabs>
        <w:spacing w:line="256" w:lineRule="auto"/>
        <w:rPr>
          <w:rFonts w:ascii="Calibri" w:eastAsia="Calibri" w:hAnsi="Calibri"/>
          <w:szCs w:val="24"/>
          <w:lang w:val="es-NI"/>
        </w:rPr>
      </w:pPr>
    </w:p>
    <w:p w14:paraId="43B01C0D"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colado debe efectuarse a tal velocidad que el colado conserve su estado plástico en todo momento y fluya fácilmente dentro de los espacios entre las varillas.  Una vez iniciado el colado este deberá efectuarse en forma continua hasta que termine el colado del tablero o sección.</w:t>
      </w:r>
    </w:p>
    <w:p w14:paraId="5630F75D" w14:textId="77777777" w:rsidR="001A4860" w:rsidRPr="001A4860" w:rsidRDefault="001A4860" w:rsidP="001A4860">
      <w:pPr>
        <w:tabs>
          <w:tab w:val="left" w:pos="6840"/>
        </w:tabs>
        <w:spacing w:line="256" w:lineRule="auto"/>
        <w:rPr>
          <w:rFonts w:ascii="Calibri" w:eastAsia="Calibri" w:hAnsi="Calibri"/>
          <w:szCs w:val="24"/>
          <w:lang w:val="es-NI"/>
        </w:rPr>
      </w:pPr>
    </w:p>
    <w:p w14:paraId="2F8E800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 xml:space="preserve">Durante la colocación, todo concreto en estado blando deberá compactarse con vibrador para que pueda acomodarse enteramente alrededor del esfuerzo. </w:t>
      </w:r>
    </w:p>
    <w:p w14:paraId="08D367B0" w14:textId="77777777" w:rsidR="001A4860" w:rsidRPr="001A4860" w:rsidRDefault="001A4860" w:rsidP="001A4860">
      <w:pPr>
        <w:tabs>
          <w:tab w:val="left" w:pos="6840"/>
        </w:tabs>
        <w:spacing w:line="256" w:lineRule="auto"/>
        <w:rPr>
          <w:rFonts w:ascii="Calibri" w:eastAsia="Calibri" w:hAnsi="Calibri"/>
          <w:szCs w:val="24"/>
          <w:lang w:val="es-NI"/>
        </w:rPr>
      </w:pPr>
    </w:p>
    <w:p w14:paraId="313D932B"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lastRenderedPageBreak/>
        <w:t>El colado de concreto debe interrumpirse en caso de lluvia, tomando las medidas apropiadas para proteger de ella los elementos recién colados.</w:t>
      </w:r>
    </w:p>
    <w:p w14:paraId="2243B65C" w14:textId="77777777" w:rsidR="001A4860" w:rsidRPr="001A4860" w:rsidRDefault="001A4860" w:rsidP="001A4860">
      <w:pPr>
        <w:tabs>
          <w:tab w:val="left" w:pos="6840"/>
        </w:tabs>
        <w:spacing w:line="256" w:lineRule="auto"/>
        <w:rPr>
          <w:rFonts w:ascii="Calibri" w:eastAsia="Calibri" w:hAnsi="Calibri"/>
          <w:szCs w:val="24"/>
          <w:lang w:val="es-NI"/>
        </w:rPr>
      </w:pPr>
    </w:p>
    <w:p w14:paraId="1AB7A3D1"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Los elementos estructurales de concreto deberán piquetearse, no antes de 3 (tres) días después de haberse desencofrado, para aplicar acabado fino.</w:t>
      </w:r>
    </w:p>
    <w:p w14:paraId="12144BD7" w14:textId="77777777" w:rsidR="001A4860" w:rsidRPr="001A4860" w:rsidRDefault="001A4860" w:rsidP="001A4860">
      <w:pPr>
        <w:tabs>
          <w:tab w:val="left" w:pos="6840"/>
        </w:tabs>
        <w:spacing w:line="256" w:lineRule="auto"/>
        <w:rPr>
          <w:rFonts w:ascii="Calibri" w:eastAsia="Calibri" w:hAnsi="Calibri"/>
          <w:szCs w:val="24"/>
          <w:lang w:val="es-NI"/>
        </w:rPr>
      </w:pPr>
    </w:p>
    <w:p w14:paraId="2FAE3273"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Encofrado</w:t>
      </w:r>
    </w:p>
    <w:p w14:paraId="48D23A39"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Las formaletas con sus soportes tendrán la resistencia y rigidez necesaria para soportar el concreto sin movimiento locales superiores a la milésima de luz.  Los apoyos estarán dispuestos de modo que en ningún momento se produzcan sobre la obra ya ejecutada superior al tercio (1/3) de los esfuerzos de diseño.</w:t>
      </w:r>
    </w:p>
    <w:p w14:paraId="44106B62" w14:textId="77777777" w:rsidR="001A4860" w:rsidRPr="001A4860" w:rsidRDefault="001A4860" w:rsidP="001A4860">
      <w:pPr>
        <w:tabs>
          <w:tab w:val="left" w:pos="6840"/>
        </w:tabs>
        <w:spacing w:line="256" w:lineRule="auto"/>
        <w:rPr>
          <w:rFonts w:ascii="Calibri" w:eastAsia="Calibri" w:hAnsi="Calibri"/>
          <w:szCs w:val="24"/>
          <w:lang w:val="es-NI"/>
        </w:rPr>
      </w:pPr>
    </w:p>
    <w:p w14:paraId="44F45DCD"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Las juntas de las formaletas, no dejarán rendijas de más de 3 (tres) milímetros, para evitar pérdidas de la lechada, pero deberán dejar la holgura necesaria para evitar que por efecto de la humedad durante el colado se comprima y deformen los tablones, en el caso de usar madera.</w:t>
      </w:r>
    </w:p>
    <w:p w14:paraId="6DBF5B16" w14:textId="77777777" w:rsidR="001A4860" w:rsidRPr="001A4860" w:rsidRDefault="001A4860" w:rsidP="001A4860">
      <w:pPr>
        <w:tabs>
          <w:tab w:val="left" w:pos="6840"/>
        </w:tabs>
        <w:spacing w:line="256" w:lineRule="auto"/>
        <w:rPr>
          <w:rFonts w:ascii="Calibri" w:eastAsia="Calibri" w:hAnsi="Calibri"/>
          <w:szCs w:val="24"/>
          <w:lang w:val="es-NI"/>
        </w:rPr>
      </w:pPr>
    </w:p>
    <w:p w14:paraId="61163E1F"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Se usará una película de aceite quemado en la cara de la formaleta en contacto con el concreto, para evitar descascaramiento de la superficie del concreto colado al retirar la formaleta.</w:t>
      </w:r>
    </w:p>
    <w:p w14:paraId="2D5A1117" w14:textId="77777777" w:rsidR="001A4860" w:rsidRPr="001A4860" w:rsidRDefault="001A4860" w:rsidP="001A4860">
      <w:pPr>
        <w:tabs>
          <w:tab w:val="left" w:pos="6840"/>
        </w:tabs>
        <w:spacing w:line="256" w:lineRule="auto"/>
        <w:rPr>
          <w:rFonts w:ascii="Calibri" w:eastAsia="Calibri" w:hAnsi="Calibri"/>
          <w:szCs w:val="24"/>
          <w:lang w:val="es-NI"/>
        </w:rPr>
      </w:pPr>
    </w:p>
    <w:p w14:paraId="734E736C"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Desencofrado</w:t>
      </w:r>
    </w:p>
    <w:p w14:paraId="23AEEEC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Ninguna carga de construcción deberá apoyarse sobre una parte de la estructura en construcción, ni se deberá retirar algún puntal de dicha parte, excepto cuando la estructura, junto con el sistema restante de cimbra y de puntales tenga suficientes resistencia como para soportar con seguridad su propio peso y las cargas soportadas sobre ella.</w:t>
      </w:r>
    </w:p>
    <w:p w14:paraId="090BC5A1" w14:textId="77777777" w:rsidR="001A4860" w:rsidRPr="001A4860" w:rsidRDefault="001A4860" w:rsidP="001A4860">
      <w:pPr>
        <w:tabs>
          <w:tab w:val="left" w:pos="6840"/>
        </w:tabs>
        <w:spacing w:line="256" w:lineRule="auto"/>
        <w:rPr>
          <w:rFonts w:ascii="Calibri" w:eastAsia="Calibri" w:hAnsi="Calibri"/>
          <w:szCs w:val="24"/>
          <w:lang w:val="es-NI"/>
        </w:rPr>
      </w:pPr>
    </w:p>
    <w:p w14:paraId="23A969D6"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desencofrado deberá hacerse de tal forma que no perjudique la completa seguridad y durabilidad de la estructura.</w:t>
      </w:r>
    </w:p>
    <w:p w14:paraId="354E00FF" w14:textId="77777777" w:rsidR="001A4860" w:rsidRPr="001A4860" w:rsidRDefault="001A4860" w:rsidP="001A4860">
      <w:pPr>
        <w:tabs>
          <w:tab w:val="left" w:pos="6840"/>
        </w:tabs>
        <w:spacing w:line="256" w:lineRule="auto"/>
        <w:rPr>
          <w:rFonts w:ascii="Calibri" w:eastAsia="Calibri" w:hAnsi="Calibri"/>
          <w:szCs w:val="24"/>
          <w:lang w:val="es-NI"/>
        </w:rPr>
      </w:pPr>
    </w:p>
    <w:p w14:paraId="0C8910B4"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concreto que de descimbre debe ser suficientemente resistente para no sufrir daños posteriores.</w:t>
      </w:r>
    </w:p>
    <w:p w14:paraId="0152899C" w14:textId="77777777" w:rsidR="001A4860" w:rsidRPr="001A4860" w:rsidRDefault="001A4860" w:rsidP="001A4860">
      <w:pPr>
        <w:tabs>
          <w:tab w:val="left" w:pos="6840"/>
        </w:tabs>
        <w:spacing w:line="256" w:lineRule="auto"/>
        <w:rPr>
          <w:rFonts w:ascii="Calibri" w:eastAsia="Calibri" w:hAnsi="Calibri"/>
          <w:szCs w:val="24"/>
          <w:lang w:val="es-NI"/>
        </w:rPr>
      </w:pPr>
    </w:p>
    <w:p w14:paraId="5675CC55"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Durante la actividad de descimbrar se cuidará de no dar golpes ni hacer esfuerzo que puedan perjudicar al concreto.</w:t>
      </w:r>
    </w:p>
    <w:p w14:paraId="002CCE99" w14:textId="77777777" w:rsidR="001A4860" w:rsidRPr="001A4860" w:rsidRDefault="001A4860" w:rsidP="001A4860">
      <w:pPr>
        <w:tabs>
          <w:tab w:val="left" w:pos="6840"/>
        </w:tabs>
        <w:spacing w:line="256" w:lineRule="auto"/>
        <w:rPr>
          <w:rFonts w:ascii="Calibri" w:eastAsia="Calibri" w:hAnsi="Calibri"/>
          <w:szCs w:val="24"/>
          <w:lang w:val="es-NI"/>
        </w:rPr>
      </w:pPr>
    </w:p>
    <w:p w14:paraId="51FE69DF"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tiempo mínimo para retirar la formaleta es de:</w:t>
      </w:r>
    </w:p>
    <w:p w14:paraId="283062E3" w14:textId="77777777" w:rsidR="001A4860" w:rsidRPr="001A4860" w:rsidRDefault="001A4860" w:rsidP="003B68DB">
      <w:pPr>
        <w:numPr>
          <w:ilvl w:val="0"/>
          <w:numId w:val="184"/>
        </w:numPr>
        <w:tabs>
          <w:tab w:val="left" w:pos="6840"/>
        </w:tabs>
        <w:spacing w:after="160" w:line="256" w:lineRule="auto"/>
        <w:jc w:val="left"/>
        <w:rPr>
          <w:rFonts w:ascii="Calibri" w:eastAsia="Calibri" w:hAnsi="Calibri"/>
          <w:szCs w:val="24"/>
          <w:lang w:val="es-NI"/>
        </w:rPr>
      </w:pPr>
      <w:r w:rsidRPr="001A4860">
        <w:rPr>
          <w:rFonts w:ascii="Calibri" w:eastAsia="Calibri" w:hAnsi="Calibri"/>
          <w:szCs w:val="24"/>
          <w:lang w:val="es-NI"/>
        </w:rPr>
        <w:t>21 días para losa y vigas aéreas</w:t>
      </w:r>
    </w:p>
    <w:p w14:paraId="634E5C47" w14:textId="77777777" w:rsidR="001A4860" w:rsidRPr="001A4860" w:rsidRDefault="001A4860" w:rsidP="003B68DB">
      <w:pPr>
        <w:numPr>
          <w:ilvl w:val="0"/>
          <w:numId w:val="184"/>
        </w:numPr>
        <w:tabs>
          <w:tab w:val="left" w:pos="6840"/>
        </w:tabs>
        <w:spacing w:after="160" w:line="256" w:lineRule="auto"/>
        <w:jc w:val="left"/>
        <w:rPr>
          <w:rFonts w:ascii="Calibri" w:eastAsia="Calibri" w:hAnsi="Calibri"/>
          <w:szCs w:val="24"/>
          <w:lang w:val="es-NI"/>
        </w:rPr>
      </w:pPr>
      <w:r w:rsidRPr="001A4860">
        <w:rPr>
          <w:rFonts w:ascii="Calibri" w:eastAsia="Calibri" w:hAnsi="Calibri"/>
          <w:szCs w:val="24"/>
          <w:lang w:val="es-NI"/>
        </w:rPr>
        <w:t>7 días para las paredes de concreto armados</w:t>
      </w:r>
    </w:p>
    <w:p w14:paraId="50370A60" w14:textId="77777777" w:rsidR="001A4860" w:rsidRPr="001A4860" w:rsidRDefault="001A4860" w:rsidP="003B68DB">
      <w:pPr>
        <w:numPr>
          <w:ilvl w:val="0"/>
          <w:numId w:val="184"/>
        </w:numPr>
        <w:tabs>
          <w:tab w:val="left" w:pos="6840"/>
        </w:tabs>
        <w:spacing w:after="160" w:line="256" w:lineRule="auto"/>
        <w:jc w:val="left"/>
        <w:rPr>
          <w:rFonts w:ascii="Calibri" w:eastAsia="Calibri" w:hAnsi="Calibri"/>
          <w:szCs w:val="24"/>
          <w:lang w:val="es-NI"/>
        </w:rPr>
      </w:pPr>
      <w:r w:rsidRPr="001A4860">
        <w:rPr>
          <w:rFonts w:ascii="Calibri" w:eastAsia="Calibri" w:hAnsi="Calibri"/>
          <w:szCs w:val="24"/>
          <w:lang w:val="es-NI"/>
        </w:rPr>
        <w:t>2 días en los costados de columna de paredes y de vigas.</w:t>
      </w:r>
    </w:p>
    <w:p w14:paraId="6A95E501" w14:textId="77777777" w:rsidR="001A4860" w:rsidRPr="001A4860" w:rsidRDefault="001A4860" w:rsidP="001A4860">
      <w:pPr>
        <w:tabs>
          <w:tab w:val="left" w:pos="6840"/>
        </w:tabs>
        <w:spacing w:line="256" w:lineRule="auto"/>
        <w:rPr>
          <w:rFonts w:ascii="Calibri" w:eastAsia="Calibri" w:hAnsi="Calibri"/>
          <w:szCs w:val="24"/>
          <w:lang w:val="es-NI"/>
        </w:rPr>
      </w:pPr>
    </w:p>
    <w:p w14:paraId="137F594B"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lastRenderedPageBreak/>
        <w:t>En ningún momento se permitirá cargar la estructura con almacenamiento de materiales, equipos o cualquier otro equipo de sobrecarga extraordinaria durante el tiempo que dure el concreto en alcanzar su resistencia de diseño.</w:t>
      </w:r>
    </w:p>
    <w:p w14:paraId="17914460" w14:textId="77777777" w:rsidR="001A4860" w:rsidRPr="001A4860" w:rsidRDefault="001A4860" w:rsidP="001A4860">
      <w:pPr>
        <w:tabs>
          <w:tab w:val="left" w:pos="6840"/>
        </w:tabs>
        <w:spacing w:line="256" w:lineRule="auto"/>
        <w:rPr>
          <w:rFonts w:ascii="Calibri" w:eastAsia="Calibri" w:hAnsi="Calibri"/>
          <w:szCs w:val="24"/>
          <w:lang w:val="es-NI"/>
        </w:rPr>
      </w:pPr>
    </w:p>
    <w:p w14:paraId="3AF8DE35"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Curado del Concreto</w:t>
      </w:r>
    </w:p>
    <w:p w14:paraId="78716E18"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Después de la colocación del concreto debe protegerse todas las superficies expuestas a los efectos de la intemperie, sobre todo el sol y de la lluvia.  El curado se iniciará tan pronto el concreto haya endurecido suficientemente a juicio del Ingeniero.</w:t>
      </w:r>
    </w:p>
    <w:p w14:paraId="32997C91" w14:textId="77777777" w:rsidR="001A4860" w:rsidRPr="001A4860" w:rsidRDefault="001A4860" w:rsidP="001A4860">
      <w:pPr>
        <w:tabs>
          <w:tab w:val="left" w:pos="6840"/>
        </w:tabs>
        <w:spacing w:line="256" w:lineRule="auto"/>
        <w:rPr>
          <w:rFonts w:ascii="Calibri" w:eastAsia="Calibri" w:hAnsi="Calibri"/>
          <w:szCs w:val="24"/>
          <w:lang w:val="es-NI"/>
        </w:rPr>
      </w:pPr>
    </w:p>
    <w:p w14:paraId="454C853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Se cuidará de mantener continuamente húmeda la superficie del concreto, durante los primeros 7 (siete) días.  Se evitará todas las causas externas como sobrecargas o vibraciones, que puedan provocar fisuras o agrietamientos en el concreto sin fraguar o sin la resistencia adecuada.</w:t>
      </w:r>
    </w:p>
    <w:p w14:paraId="23A068B4" w14:textId="77777777" w:rsidR="001A4860" w:rsidRPr="001A4860" w:rsidRDefault="001A4860" w:rsidP="001A4860">
      <w:pPr>
        <w:tabs>
          <w:tab w:val="left" w:pos="6840"/>
        </w:tabs>
        <w:spacing w:line="256" w:lineRule="auto"/>
        <w:rPr>
          <w:rFonts w:ascii="Calibri" w:eastAsia="Calibri" w:hAnsi="Calibri"/>
          <w:szCs w:val="24"/>
          <w:lang w:val="es-NI"/>
        </w:rPr>
      </w:pPr>
    </w:p>
    <w:p w14:paraId="5BDD7850"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contratista debe acatar todas las indicaciones que le haga el Ingeniero al respecto.</w:t>
      </w:r>
    </w:p>
    <w:p w14:paraId="5A5D745F" w14:textId="77777777" w:rsidR="001A4860" w:rsidRPr="001A4860" w:rsidRDefault="001A4860" w:rsidP="001A4860">
      <w:pPr>
        <w:tabs>
          <w:tab w:val="left" w:pos="6840"/>
        </w:tabs>
        <w:spacing w:line="256" w:lineRule="auto"/>
        <w:rPr>
          <w:rFonts w:ascii="Calibri" w:eastAsia="Calibri" w:hAnsi="Calibri"/>
          <w:szCs w:val="24"/>
          <w:lang w:val="es-NI"/>
        </w:rPr>
      </w:pPr>
    </w:p>
    <w:p w14:paraId="4E463C26"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Todos los repellos y acabados de paredes deben curarse en igual forma.</w:t>
      </w:r>
    </w:p>
    <w:p w14:paraId="777E5D43" w14:textId="77777777" w:rsidR="001A4860" w:rsidRPr="001A4860" w:rsidRDefault="001A4860" w:rsidP="001A4860">
      <w:pPr>
        <w:tabs>
          <w:tab w:val="left" w:pos="6840"/>
        </w:tabs>
        <w:spacing w:after="160" w:line="256" w:lineRule="auto"/>
        <w:rPr>
          <w:rFonts w:ascii="Calibri" w:eastAsia="Calibri" w:hAnsi="Calibri"/>
          <w:sz w:val="22"/>
          <w:szCs w:val="22"/>
          <w:lang w:val="es-NI"/>
        </w:rPr>
      </w:pPr>
    </w:p>
    <w:p w14:paraId="45CCBCEA"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Reparación de Defectos en el Concreto</w:t>
      </w:r>
    </w:p>
    <w:p w14:paraId="5A78344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Todos los defectos en el concreto, segregaciones superficiales (ratoneras) deben repararse picando bien la sección defectuosa, eliminando todo el material suelto.</w:t>
      </w:r>
    </w:p>
    <w:p w14:paraId="507B38E6" w14:textId="77777777" w:rsidR="001A4860" w:rsidRPr="001A4860" w:rsidRDefault="001A4860" w:rsidP="001A4860">
      <w:pPr>
        <w:tabs>
          <w:tab w:val="left" w:pos="6840"/>
        </w:tabs>
        <w:spacing w:line="256" w:lineRule="auto"/>
        <w:rPr>
          <w:rFonts w:ascii="Calibri" w:eastAsia="Calibri" w:hAnsi="Calibri"/>
          <w:szCs w:val="24"/>
          <w:lang w:val="es-NI"/>
        </w:rPr>
      </w:pPr>
    </w:p>
    <w:p w14:paraId="2242C1F9"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Las zonas o secciones defectuosas deben rellenarse con concreto o mortero en base de epoxicos, siguiendo las instrucciones del Ingeniero.</w:t>
      </w:r>
    </w:p>
    <w:p w14:paraId="76182EF1" w14:textId="77777777" w:rsidR="001A4860" w:rsidRPr="001A4860" w:rsidRDefault="001A4860" w:rsidP="001A4860">
      <w:pPr>
        <w:tabs>
          <w:tab w:val="left" w:pos="6840"/>
        </w:tabs>
        <w:spacing w:after="160" w:line="256" w:lineRule="auto"/>
        <w:rPr>
          <w:rFonts w:ascii="Calibri" w:eastAsia="Calibri" w:hAnsi="Calibri"/>
          <w:sz w:val="22"/>
          <w:szCs w:val="22"/>
          <w:lang w:val="es-NI"/>
        </w:rPr>
      </w:pPr>
    </w:p>
    <w:p w14:paraId="18CDCA51"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Medición y Pago</w:t>
      </w:r>
    </w:p>
    <w:p w14:paraId="29D73528" w14:textId="77777777" w:rsidR="001A4860" w:rsidRPr="001A4860" w:rsidRDefault="001A4860" w:rsidP="001A4860">
      <w:pPr>
        <w:tabs>
          <w:tab w:val="left" w:pos="6840"/>
        </w:tabs>
        <w:spacing w:after="160" w:line="256" w:lineRule="auto"/>
        <w:rPr>
          <w:rFonts w:ascii="Calibri" w:eastAsia="Calibri" w:hAnsi="Calibri"/>
          <w:szCs w:val="24"/>
          <w:lang w:val="es-NI"/>
        </w:rPr>
      </w:pPr>
      <w:r w:rsidRPr="001A4860">
        <w:rPr>
          <w:rFonts w:ascii="Calibri" w:eastAsia="Calibri" w:hAnsi="Calibri"/>
          <w:szCs w:val="24"/>
          <w:lang w:val="es-NI"/>
        </w:rPr>
        <w:t>Todo trabajo de concreto, sea simple o reforzado se medirá en metros cúbicos (m</w:t>
      </w:r>
      <w:r w:rsidRPr="001A4860">
        <w:rPr>
          <w:rFonts w:ascii="Calibri" w:eastAsia="Calibri" w:hAnsi="Calibri"/>
          <w:szCs w:val="24"/>
          <w:vertAlign w:val="superscript"/>
          <w:lang w:val="es-NI"/>
        </w:rPr>
        <w:t>3</w:t>
      </w:r>
      <w:r w:rsidRPr="001A4860">
        <w:rPr>
          <w:rFonts w:ascii="Calibri" w:eastAsia="Calibri" w:hAnsi="Calibri"/>
          <w:szCs w:val="24"/>
          <w:lang w:val="es-NI"/>
        </w:rPr>
        <w:t>) y se pagará por metro cúbico incluido en el precio unitario en todas aquellas obras que lo contengan.</w:t>
      </w:r>
    </w:p>
    <w:p w14:paraId="401F0E0E" w14:textId="77777777" w:rsidR="001A4860" w:rsidRPr="001A4860" w:rsidRDefault="001A4860" w:rsidP="003B68DB">
      <w:pPr>
        <w:keepNext/>
        <w:keepLines/>
        <w:numPr>
          <w:ilvl w:val="2"/>
          <w:numId w:val="174"/>
        </w:numPr>
        <w:spacing w:before="200" w:after="160" w:line="276" w:lineRule="auto"/>
        <w:jc w:val="left"/>
        <w:outlineLvl w:val="2"/>
        <w:rPr>
          <w:rFonts w:ascii="Cambria" w:hAnsi="Cambria"/>
          <w:b/>
          <w:bCs/>
          <w:sz w:val="22"/>
          <w:szCs w:val="22"/>
          <w:lang w:val="es-NI"/>
        </w:rPr>
      </w:pPr>
      <w:bookmarkStart w:id="1279" w:name="_Toc240777495"/>
      <w:r w:rsidRPr="001A4860">
        <w:rPr>
          <w:rFonts w:ascii="Cambria" w:hAnsi="Cambria"/>
          <w:b/>
          <w:bCs/>
          <w:sz w:val="22"/>
          <w:szCs w:val="22"/>
          <w:lang w:val="es-NI"/>
        </w:rPr>
        <w:t>Acero de Refuerzo</w:t>
      </w:r>
      <w:bookmarkEnd w:id="1279"/>
    </w:p>
    <w:p w14:paraId="026B16B7" w14:textId="77777777" w:rsidR="001A4860" w:rsidRPr="001A4860" w:rsidRDefault="001A4860" w:rsidP="001A4860">
      <w:pPr>
        <w:tabs>
          <w:tab w:val="left" w:pos="6840"/>
        </w:tabs>
        <w:spacing w:line="256" w:lineRule="auto"/>
        <w:rPr>
          <w:rFonts w:ascii="Calibri" w:eastAsia="Calibri" w:hAnsi="Calibri"/>
          <w:b/>
          <w:sz w:val="22"/>
          <w:szCs w:val="22"/>
          <w:lang w:val="es-NI"/>
        </w:rPr>
      </w:pPr>
    </w:p>
    <w:p w14:paraId="615325F9" w14:textId="77777777" w:rsidR="001A4860" w:rsidRPr="001A4860" w:rsidRDefault="001A4860" w:rsidP="001A4860">
      <w:pPr>
        <w:tabs>
          <w:tab w:val="left" w:pos="6840"/>
        </w:tabs>
        <w:spacing w:line="256" w:lineRule="auto"/>
        <w:rPr>
          <w:rFonts w:ascii="Calibri" w:eastAsia="Calibri" w:hAnsi="Calibri"/>
          <w:b/>
          <w:i/>
          <w:szCs w:val="24"/>
          <w:u w:val="single"/>
          <w:lang w:val="es-NI"/>
        </w:rPr>
      </w:pPr>
      <w:r w:rsidRPr="001A4860">
        <w:rPr>
          <w:rFonts w:ascii="Calibri" w:eastAsia="Calibri" w:hAnsi="Calibri"/>
          <w:b/>
          <w:i/>
          <w:szCs w:val="24"/>
          <w:u w:val="single"/>
          <w:lang w:val="es-NI"/>
        </w:rPr>
        <w:t>Características de las Varillas:</w:t>
      </w:r>
    </w:p>
    <w:p w14:paraId="4DE4A3D7"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acero de refuerzo serán barras deformadas según las especificaciones ASTM-A-305 y también deberá cumplir con las especificaciones de la ASTM-A-615 grado 40 con límite de fluencia FY=2,800 kg/cm</w:t>
      </w:r>
      <w:r w:rsidRPr="001A4860">
        <w:rPr>
          <w:rFonts w:ascii="Calibri" w:eastAsia="Calibri" w:hAnsi="Calibri"/>
          <w:szCs w:val="24"/>
          <w:vertAlign w:val="superscript"/>
          <w:lang w:val="es-NI"/>
        </w:rPr>
        <w:t>2</w:t>
      </w:r>
      <w:r w:rsidRPr="001A4860">
        <w:rPr>
          <w:rFonts w:ascii="Calibri" w:eastAsia="Calibri" w:hAnsi="Calibri"/>
          <w:szCs w:val="24"/>
          <w:lang w:val="es-NI"/>
        </w:rPr>
        <w:t>.</w:t>
      </w:r>
    </w:p>
    <w:p w14:paraId="576E4C8A" w14:textId="77777777" w:rsidR="001A4860" w:rsidRPr="001A4860" w:rsidRDefault="001A4860" w:rsidP="001A4860">
      <w:pPr>
        <w:tabs>
          <w:tab w:val="left" w:pos="6840"/>
        </w:tabs>
        <w:spacing w:line="256" w:lineRule="auto"/>
        <w:rPr>
          <w:rFonts w:ascii="Calibri" w:eastAsia="Calibri" w:hAnsi="Calibri"/>
          <w:szCs w:val="24"/>
          <w:lang w:val="es-NI"/>
        </w:rPr>
      </w:pPr>
    </w:p>
    <w:p w14:paraId="3D7B3761"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acero de refuerzo de limpiará de toda suciedad y oxido superficial.  Las varillas se doblarán en frío ajustándolo a los planos y especificaciones del proyecto sin errores mayores de un centímetro (1 cm).</w:t>
      </w:r>
    </w:p>
    <w:p w14:paraId="3B0857A2" w14:textId="77777777" w:rsidR="001A4860" w:rsidRPr="001A4860" w:rsidRDefault="001A4860" w:rsidP="001A4860">
      <w:pPr>
        <w:tabs>
          <w:tab w:val="left" w:pos="6840"/>
        </w:tabs>
        <w:spacing w:line="256" w:lineRule="auto"/>
        <w:rPr>
          <w:rFonts w:ascii="Calibri" w:eastAsia="Calibri" w:hAnsi="Calibri"/>
          <w:szCs w:val="24"/>
          <w:lang w:val="es-NI"/>
        </w:rPr>
      </w:pPr>
    </w:p>
    <w:p w14:paraId="4A16C20F"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lastRenderedPageBreak/>
        <w:t>Los dobleces de las armaduras, salvo especificación estricta en los planos, se harán con radios superiores de  siete y media (7.5) veces el diámetro.</w:t>
      </w:r>
    </w:p>
    <w:p w14:paraId="661F9BFA" w14:textId="77777777" w:rsidR="001A4860" w:rsidRPr="001A4860" w:rsidRDefault="001A4860" w:rsidP="001A4860">
      <w:pPr>
        <w:tabs>
          <w:tab w:val="left" w:pos="6840"/>
        </w:tabs>
        <w:spacing w:line="256" w:lineRule="auto"/>
        <w:rPr>
          <w:rFonts w:ascii="Calibri" w:eastAsia="Calibri" w:hAnsi="Calibri"/>
          <w:b/>
          <w:sz w:val="22"/>
          <w:szCs w:val="22"/>
          <w:lang w:val="es-NI"/>
        </w:rPr>
      </w:pPr>
    </w:p>
    <w:p w14:paraId="65AFC08D"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Colocación del Acero de Refuerzo</w:t>
      </w:r>
    </w:p>
    <w:p w14:paraId="227ACF4B"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Las varillas se sujetarán a la formaleta con alambre de hierro dulce # 16 y tacos de concreto o piedra, y entre sí, con ataduras de alambre de hierro dulce # 16, de modo que no puedan desplazarse durante el chorreado del concreto y que este pueda envolverlas completamente.</w:t>
      </w:r>
    </w:p>
    <w:p w14:paraId="5C6F4391" w14:textId="77777777" w:rsidR="001A4860" w:rsidRPr="001A4860" w:rsidRDefault="001A4860" w:rsidP="001A4860">
      <w:pPr>
        <w:tabs>
          <w:tab w:val="left" w:pos="6840"/>
        </w:tabs>
        <w:spacing w:line="256" w:lineRule="auto"/>
        <w:rPr>
          <w:rFonts w:ascii="Calibri" w:eastAsia="Calibri" w:hAnsi="Calibri"/>
          <w:sz w:val="22"/>
          <w:szCs w:val="22"/>
          <w:lang w:val="es-NI"/>
        </w:rPr>
      </w:pPr>
    </w:p>
    <w:p w14:paraId="337FEAEB"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Recubrimiento</w:t>
      </w:r>
    </w:p>
    <w:p w14:paraId="4D63F9A9"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Salvo indicación en los planos, las barras quedarán separadas de la superficie del concreto por lo menos de 7.5 cms cuando es colado directamente en el suelo sobre pisos y cimientos y entre  4 y 5 cms de las paredes laterales del suelo vertical o de la intemperie y de 2.5 cms en las columnas.</w:t>
      </w:r>
    </w:p>
    <w:p w14:paraId="0F6D9C64" w14:textId="77777777" w:rsidR="001A4860" w:rsidRPr="001A4860" w:rsidRDefault="001A4860" w:rsidP="001A4860">
      <w:pPr>
        <w:tabs>
          <w:tab w:val="left" w:pos="6840"/>
        </w:tabs>
        <w:spacing w:line="256" w:lineRule="auto"/>
        <w:rPr>
          <w:rFonts w:ascii="Calibri" w:eastAsia="Calibri" w:hAnsi="Calibri"/>
          <w:szCs w:val="24"/>
          <w:lang w:val="es-NI"/>
        </w:rPr>
      </w:pPr>
    </w:p>
    <w:p w14:paraId="7B15738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separación entre varillas paralelas será, como mínimo, igual a dos y medio (2.5) cms, o una y media (1.5) veces el diámetro del mayor agregado grueso utilizado.</w:t>
      </w:r>
    </w:p>
    <w:p w14:paraId="00FEF684" w14:textId="77777777" w:rsidR="001A4860" w:rsidRPr="001A4860" w:rsidRDefault="001A4860" w:rsidP="001A4860">
      <w:pPr>
        <w:tabs>
          <w:tab w:val="left" w:pos="6840"/>
        </w:tabs>
        <w:spacing w:line="256" w:lineRule="auto"/>
        <w:rPr>
          <w:rFonts w:ascii="Calibri" w:eastAsia="Calibri" w:hAnsi="Calibri"/>
          <w:szCs w:val="24"/>
          <w:lang w:val="es-NI"/>
        </w:rPr>
      </w:pPr>
    </w:p>
    <w:p w14:paraId="5043D708"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posición de la varillas se ajustarán  a lo indicado en los planos del proyecto y las instrucciones del Ingeniero.  Cualquier cambio en la disposición o tamaño de las varillas deberá ser autorizado previamente por el ingeniero.</w:t>
      </w:r>
    </w:p>
    <w:p w14:paraId="559D26C5" w14:textId="77777777" w:rsidR="001A4860" w:rsidRPr="001A4860" w:rsidRDefault="001A4860" w:rsidP="001A4860">
      <w:pPr>
        <w:tabs>
          <w:tab w:val="left" w:pos="6840"/>
        </w:tabs>
        <w:spacing w:line="256" w:lineRule="auto"/>
        <w:rPr>
          <w:rFonts w:ascii="Calibri" w:eastAsia="Calibri" w:hAnsi="Calibri"/>
          <w:sz w:val="22"/>
          <w:szCs w:val="22"/>
          <w:lang w:val="es-NI"/>
        </w:rPr>
      </w:pPr>
    </w:p>
    <w:p w14:paraId="08E54935"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Ninguna varilla parcialmente ahogada en concreto se doblará en el campo.  Se revisará la correcta disposición del acero de refuerzo antes de proceder a la llena.</w:t>
      </w:r>
    </w:p>
    <w:p w14:paraId="5F363079" w14:textId="77777777" w:rsidR="001A4860" w:rsidRPr="001A4860" w:rsidRDefault="001A4860" w:rsidP="001A4860">
      <w:pPr>
        <w:tabs>
          <w:tab w:val="left" w:pos="6840"/>
        </w:tabs>
        <w:spacing w:line="256" w:lineRule="auto"/>
        <w:rPr>
          <w:rFonts w:ascii="Calibri" w:eastAsia="Calibri" w:hAnsi="Calibri"/>
          <w:sz w:val="22"/>
          <w:szCs w:val="22"/>
          <w:lang w:val="es-NI"/>
        </w:rPr>
      </w:pPr>
    </w:p>
    <w:p w14:paraId="3CEE70F7"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Medición y Pago</w:t>
      </w:r>
    </w:p>
    <w:p w14:paraId="227099D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Todos los trabajos de acero deberán medirse por metro lineal armado, esto incluye el número de varillas de casa sección típica armada, estribos, amarre, mano de obra, etc.</w:t>
      </w:r>
    </w:p>
    <w:p w14:paraId="54CB5680" w14:textId="77777777" w:rsidR="001A4860" w:rsidRPr="001A4860" w:rsidRDefault="001A4860" w:rsidP="001A4860">
      <w:pPr>
        <w:tabs>
          <w:tab w:val="left" w:pos="6840"/>
        </w:tabs>
        <w:spacing w:line="256" w:lineRule="auto"/>
        <w:rPr>
          <w:rFonts w:ascii="Calibri" w:eastAsia="Calibri" w:hAnsi="Calibri"/>
          <w:szCs w:val="24"/>
          <w:lang w:val="es-NI"/>
        </w:rPr>
      </w:pPr>
    </w:p>
    <w:p w14:paraId="17C25494"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Como este tipo de trabajo está siempre inmerso en una actividad principal los trabajos en acero, deberán ser medidos y tomados en cuenta en el precio unitario del rubro que lo contiene.</w:t>
      </w:r>
    </w:p>
    <w:p w14:paraId="153370B5" w14:textId="77777777" w:rsidR="001A4860" w:rsidRPr="001A4860" w:rsidRDefault="001A4860" w:rsidP="001A4860">
      <w:pPr>
        <w:tabs>
          <w:tab w:val="left" w:pos="6840"/>
        </w:tabs>
        <w:spacing w:line="256" w:lineRule="auto"/>
        <w:rPr>
          <w:rFonts w:ascii="Calibri" w:eastAsia="Calibri" w:hAnsi="Calibri"/>
          <w:sz w:val="22"/>
          <w:szCs w:val="22"/>
          <w:lang w:val="es-NI"/>
        </w:rPr>
      </w:pPr>
    </w:p>
    <w:p w14:paraId="71779968" w14:textId="77777777" w:rsidR="001A4860" w:rsidRPr="001A4860" w:rsidRDefault="001A4860" w:rsidP="003B68DB">
      <w:pPr>
        <w:keepNext/>
        <w:keepLines/>
        <w:numPr>
          <w:ilvl w:val="2"/>
          <w:numId w:val="174"/>
        </w:numPr>
        <w:spacing w:before="200" w:after="160" w:line="276" w:lineRule="auto"/>
        <w:jc w:val="left"/>
        <w:outlineLvl w:val="2"/>
        <w:rPr>
          <w:rFonts w:ascii="Cambria" w:hAnsi="Cambria"/>
          <w:b/>
          <w:bCs/>
          <w:sz w:val="22"/>
          <w:szCs w:val="22"/>
          <w:lang w:val="es-NI"/>
        </w:rPr>
      </w:pPr>
      <w:bookmarkStart w:id="1280" w:name="_Toc240777496"/>
      <w:r w:rsidRPr="001A4860">
        <w:rPr>
          <w:rFonts w:ascii="Cambria" w:hAnsi="Cambria"/>
          <w:b/>
          <w:bCs/>
          <w:sz w:val="22"/>
          <w:szCs w:val="22"/>
          <w:lang w:val="es-NI"/>
        </w:rPr>
        <w:t>Mampostería</w:t>
      </w:r>
      <w:bookmarkEnd w:id="1280"/>
    </w:p>
    <w:p w14:paraId="144519D4" w14:textId="77777777" w:rsidR="001A4860" w:rsidRPr="001A4860" w:rsidRDefault="001A4860" w:rsidP="001A4860">
      <w:pPr>
        <w:tabs>
          <w:tab w:val="left" w:pos="6840"/>
        </w:tabs>
        <w:spacing w:line="256" w:lineRule="auto"/>
        <w:rPr>
          <w:rFonts w:ascii="Calibri" w:eastAsia="Calibri" w:hAnsi="Calibri"/>
          <w:sz w:val="22"/>
          <w:szCs w:val="22"/>
          <w:lang w:val="es-NI"/>
        </w:rPr>
      </w:pPr>
    </w:p>
    <w:p w14:paraId="39FC94FC"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Toda mención  hecha en estas especificaciones o indicados en los planos, obligan al contratista a suplir e instalar cada artículo material o equipo con el proceso o método indicado y de la calidad requerida o sujeta a calificación y suplir toda la mano de obra, equipos y complementos necesarios para la terminación de cualquier obra del proyecto que utilice el recurso de Mampostería.</w:t>
      </w:r>
    </w:p>
    <w:p w14:paraId="29EC5F84" w14:textId="77777777" w:rsidR="001A4860" w:rsidRPr="001A4860" w:rsidRDefault="001A4860" w:rsidP="001A4860">
      <w:pPr>
        <w:tabs>
          <w:tab w:val="left" w:pos="6840"/>
        </w:tabs>
        <w:spacing w:line="256" w:lineRule="auto"/>
        <w:rPr>
          <w:rFonts w:ascii="Calibri" w:eastAsia="Calibri" w:hAnsi="Calibri"/>
          <w:szCs w:val="24"/>
          <w:lang w:val="es-NI"/>
        </w:rPr>
      </w:pPr>
    </w:p>
    <w:p w14:paraId="6C1907D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lastRenderedPageBreak/>
        <w:t xml:space="preserve">El contratista preverá la debida coordinación de los trabajos de Mampostería como el de las otras artes, tales como carpintería, electricidad, fontanería.  Refiérase a los planos y para el dimensionamiento y otras especificaciones complementarias. </w:t>
      </w:r>
    </w:p>
    <w:p w14:paraId="174FC357" w14:textId="77777777" w:rsidR="001A4860" w:rsidRPr="001A4860" w:rsidRDefault="001A4860" w:rsidP="001A4860">
      <w:pPr>
        <w:tabs>
          <w:tab w:val="left" w:pos="6840"/>
        </w:tabs>
        <w:spacing w:line="256" w:lineRule="auto"/>
        <w:rPr>
          <w:rFonts w:ascii="Calibri" w:eastAsia="Calibri" w:hAnsi="Calibri"/>
          <w:sz w:val="22"/>
          <w:szCs w:val="22"/>
          <w:lang w:val="es-NI"/>
        </w:rPr>
      </w:pPr>
    </w:p>
    <w:p w14:paraId="6A05A576"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Calidad del concreto ciclópeo</w:t>
      </w:r>
    </w:p>
    <w:p w14:paraId="75A99D4B"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piedra bolón deberá tener una resistencia mínima a la comprensión normal a su plano de 2,000 psi, y paralela a los planos de 1500 psi, una gravedad específica de 2.1 y un diámetro máximo de 12” (30 cm).</w:t>
      </w:r>
    </w:p>
    <w:p w14:paraId="07044900" w14:textId="77777777" w:rsidR="001A4860" w:rsidRPr="001A4860" w:rsidRDefault="001A4860" w:rsidP="001A4860">
      <w:pPr>
        <w:tabs>
          <w:tab w:val="left" w:pos="6840"/>
        </w:tabs>
        <w:spacing w:line="256" w:lineRule="auto"/>
        <w:rPr>
          <w:rFonts w:ascii="Calibri" w:eastAsia="Calibri" w:hAnsi="Calibri"/>
          <w:szCs w:val="24"/>
          <w:lang w:val="es-NI"/>
        </w:rPr>
      </w:pPr>
    </w:p>
    <w:p w14:paraId="4A713720"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 xml:space="preserve">Deberá utilizarse para la mezcla, una (1) parte de cemento y cuatro (4) partes de arena, las que en conjunto no deberá exceder del 25% del total del volumen, una vez agregada la piedra.  </w:t>
      </w:r>
    </w:p>
    <w:p w14:paraId="745CB451" w14:textId="77777777" w:rsidR="001A4860" w:rsidRPr="001A4860" w:rsidRDefault="001A4860" w:rsidP="001A4860">
      <w:pPr>
        <w:tabs>
          <w:tab w:val="left" w:pos="6840"/>
        </w:tabs>
        <w:spacing w:line="256" w:lineRule="auto"/>
        <w:rPr>
          <w:rFonts w:ascii="Calibri" w:eastAsia="Calibri" w:hAnsi="Calibri"/>
          <w:szCs w:val="24"/>
          <w:lang w:val="es-NI"/>
        </w:rPr>
      </w:pPr>
    </w:p>
    <w:p w14:paraId="237E84A2" w14:textId="77777777" w:rsidR="001A4860" w:rsidRPr="001A4860" w:rsidRDefault="001A4860" w:rsidP="001A4860">
      <w:pPr>
        <w:tabs>
          <w:tab w:val="left" w:pos="6840"/>
        </w:tabs>
        <w:spacing w:after="160" w:line="256" w:lineRule="auto"/>
        <w:rPr>
          <w:rFonts w:ascii="Calibri" w:eastAsia="Calibri" w:hAnsi="Calibri"/>
          <w:szCs w:val="24"/>
          <w:lang w:val="es-NI"/>
        </w:rPr>
      </w:pPr>
      <w:r w:rsidRPr="001A4860">
        <w:rPr>
          <w:rFonts w:ascii="Calibri" w:eastAsia="Calibri" w:hAnsi="Calibri"/>
          <w:szCs w:val="24"/>
          <w:lang w:val="es-NI"/>
        </w:rPr>
        <w:t>El volumen de piedra bolón ocupará como máximo el 40% del volumen total del muro.</w:t>
      </w:r>
    </w:p>
    <w:p w14:paraId="47B30268" w14:textId="77777777" w:rsidR="001A4860" w:rsidRPr="001A4860" w:rsidRDefault="001A4860" w:rsidP="001A4860">
      <w:pPr>
        <w:tabs>
          <w:tab w:val="left" w:pos="6840"/>
        </w:tabs>
        <w:spacing w:after="160" w:line="256" w:lineRule="auto"/>
        <w:rPr>
          <w:rFonts w:ascii="Calibri" w:eastAsia="Calibri" w:hAnsi="Calibri"/>
          <w:szCs w:val="24"/>
          <w:lang w:val="es-NI"/>
        </w:rPr>
      </w:pPr>
      <w:r w:rsidRPr="001A4860">
        <w:rPr>
          <w:rFonts w:ascii="Calibri" w:eastAsia="Calibri" w:hAnsi="Calibri"/>
          <w:szCs w:val="24"/>
          <w:lang w:val="es-NI"/>
        </w:rPr>
        <w:t>La colocación de la piedra bolón se hará de manera que las juntas queden completamente llenas de mortero y no se formen espacios vacíos obteniendo así la conformación monolítica de la piedra con el  mortero.</w:t>
      </w:r>
    </w:p>
    <w:p w14:paraId="39703B87"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Repello y Fino de paredes</w:t>
      </w:r>
    </w:p>
    <w:p w14:paraId="21A88B87"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p>
    <w:p w14:paraId="59FD7995"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Este item abarca todos los trabajos del proyecto que conlleven la actividad de repello y afinado de superficies, es aplicable a todos los elementos que componen el presente proyecto.</w:t>
      </w:r>
    </w:p>
    <w:p w14:paraId="6C2E242A" w14:textId="77777777" w:rsidR="001A4860" w:rsidRPr="001A4860" w:rsidRDefault="001A4860" w:rsidP="001A4860">
      <w:pPr>
        <w:tabs>
          <w:tab w:val="left" w:pos="6840"/>
        </w:tabs>
        <w:spacing w:line="256" w:lineRule="auto"/>
        <w:rPr>
          <w:rFonts w:ascii="Calibri" w:eastAsia="Calibri" w:hAnsi="Calibri"/>
          <w:szCs w:val="24"/>
          <w:lang w:val="es-NI"/>
        </w:rPr>
      </w:pPr>
    </w:p>
    <w:p w14:paraId="412E53B2"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Se repellarán y afinarán todas las superficies indicadas en los planos, ya sean externas o internas.  El repello de las superficies se ejecutará con el mortero correspondiente, lanzándolo con fuerza con la paleta extendiéndolo después con la llana.  Deberá tenerse la precaución de colocar previamente maestras verticales bien aplomadas y en línea, en número suficiente para asegurar una superficie plana y de aristas perfectas.</w:t>
      </w:r>
    </w:p>
    <w:p w14:paraId="294DB7FF" w14:textId="77777777" w:rsidR="001A4860" w:rsidRPr="001A4860" w:rsidRDefault="001A4860" w:rsidP="001A4860">
      <w:pPr>
        <w:tabs>
          <w:tab w:val="left" w:pos="6840"/>
        </w:tabs>
        <w:spacing w:line="256" w:lineRule="auto"/>
        <w:rPr>
          <w:rFonts w:ascii="Calibri" w:eastAsia="Calibri" w:hAnsi="Calibri"/>
          <w:szCs w:val="24"/>
          <w:lang w:val="es-NI"/>
        </w:rPr>
      </w:pPr>
    </w:p>
    <w:p w14:paraId="25986D6E"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Las superficies de concreto que deben repellarse, serán piqueteadas totalmente para asegurar la adhesión del mortero.  No se permitirá piquete salteado.  En lugar del piqueteado, se podrá utilizar productos químicos aprobados que garanticen la adherencia.</w:t>
      </w:r>
    </w:p>
    <w:p w14:paraId="63AAECDA" w14:textId="77777777" w:rsidR="001A4860" w:rsidRPr="001A4860" w:rsidRDefault="001A4860" w:rsidP="001A4860">
      <w:pPr>
        <w:tabs>
          <w:tab w:val="left" w:pos="6840"/>
        </w:tabs>
        <w:spacing w:line="256" w:lineRule="auto"/>
        <w:rPr>
          <w:rFonts w:ascii="Calibri" w:eastAsia="Calibri" w:hAnsi="Calibri"/>
          <w:szCs w:val="24"/>
          <w:lang w:val="es-NI"/>
        </w:rPr>
      </w:pPr>
    </w:p>
    <w:p w14:paraId="2F4D4382"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Deberá usarse la siguiente proporción: una (1) parte de cemento PORTLAND y cuatro (4) partes de arena.</w:t>
      </w:r>
    </w:p>
    <w:p w14:paraId="4223A3AC" w14:textId="77777777" w:rsidR="001A4860" w:rsidRPr="001A4860" w:rsidRDefault="001A4860" w:rsidP="001A4860">
      <w:pPr>
        <w:tabs>
          <w:tab w:val="left" w:pos="6840"/>
        </w:tabs>
        <w:spacing w:line="256" w:lineRule="auto"/>
        <w:rPr>
          <w:rFonts w:ascii="Calibri" w:eastAsia="Calibri" w:hAnsi="Calibri"/>
          <w:szCs w:val="24"/>
          <w:lang w:val="es-NI"/>
        </w:rPr>
      </w:pPr>
    </w:p>
    <w:p w14:paraId="6C4AE854"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repello deberá protegerse bien contra secados muy repentinos y contra los efectos del sol y viento hasta que haya fraguado lo suficiente para permitir rociarlo con agua.  Se curará durante siete (7) días con abundante agua.</w:t>
      </w:r>
    </w:p>
    <w:p w14:paraId="10BFDF78"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Los cajones para la mezcla se mantendrán limpios de materiales endurecidos.  La cantidad de mezcla estará regulada de manera que se usará toda dentro de dos (2) horas después de mezclada.  No se permitirá ablandar una mezcla ya parcialmente endurecida.</w:t>
      </w:r>
    </w:p>
    <w:p w14:paraId="2BECC94C" w14:textId="77777777" w:rsidR="001A4860" w:rsidRPr="001A4860" w:rsidRDefault="001A4860" w:rsidP="001A4860">
      <w:pPr>
        <w:tabs>
          <w:tab w:val="left" w:pos="6840"/>
        </w:tabs>
        <w:spacing w:line="256" w:lineRule="auto"/>
        <w:rPr>
          <w:rFonts w:ascii="Calibri" w:eastAsia="Calibri" w:hAnsi="Calibri"/>
          <w:szCs w:val="24"/>
          <w:lang w:val="es-NI"/>
        </w:rPr>
      </w:pPr>
    </w:p>
    <w:p w14:paraId="35F3461F"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El fino se aplicará a golpes de llana de madera, sobre la superficie repellada, dándole el espesor mínimo necesario para cubrir las desigualdades de la superficie, puliéndola enseguida.  Las superficies deberán rociarse con agua por lo menos durante tres días.</w:t>
      </w:r>
    </w:p>
    <w:p w14:paraId="50D5E11D" w14:textId="77777777" w:rsidR="001A4860" w:rsidRPr="001A4860" w:rsidRDefault="001A4860" w:rsidP="001A4860">
      <w:pPr>
        <w:tabs>
          <w:tab w:val="left" w:pos="6840"/>
        </w:tabs>
        <w:spacing w:line="256" w:lineRule="auto"/>
        <w:rPr>
          <w:rFonts w:ascii="Calibri" w:eastAsia="Calibri" w:hAnsi="Calibri"/>
          <w:szCs w:val="24"/>
          <w:lang w:val="es-NI"/>
        </w:rPr>
      </w:pPr>
    </w:p>
    <w:p w14:paraId="3829E4CF" w14:textId="77777777" w:rsidR="001A4860" w:rsidRPr="001A4860" w:rsidRDefault="001A4860" w:rsidP="001A4860">
      <w:pPr>
        <w:tabs>
          <w:tab w:val="left" w:pos="6840"/>
        </w:tabs>
        <w:spacing w:line="256" w:lineRule="auto"/>
        <w:rPr>
          <w:rFonts w:ascii="Calibri" w:eastAsia="Calibri" w:hAnsi="Calibri"/>
          <w:szCs w:val="24"/>
          <w:lang w:val="es-NI"/>
        </w:rPr>
      </w:pPr>
      <w:r w:rsidRPr="001A4860">
        <w:rPr>
          <w:rFonts w:ascii="Calibri" w:eastAsia="Calibri" w:hAnsi="Calibri"/>
          <w:szCs w:val="24"/>
          <w:lang w:val="es-NI"/>
        </w:rPr>
        <w:t>La mezcla de mortero para repello estará dada en la proporción de una (1) parte de cemento PORTLAND y cuatro (4) partes de arena por unidad de volumen.  El espesor del repello será de aproximadamente un (1) centímetro.</w:t>
      </w:r>
    </w:p>
    <w:p w14:paraId="3A3BB9C8" w14:textId="77777777" w:rsidR="001A4860" w:rsidRPr="001A4860" w:rsidRDefault="001A4860" w:rsidP="001A4860">
      <w:pPr>
        <w:tabs>
          <w:tab w:val="left" w:pos="6840"/>
        </w:tabs>
        <w:spacing w:line="256" w:lineRule="auto"/>
        <w:rPr>
          <w:rFonts w:ascii="Calibri" w:eastAsia="Calibri" w:hAnsi="Calibri"/>
          <w:b/>
          <w:szCs w:val="24"/>
          <w:lang w:val="es-NI"/>
        </w:rPr>
      </w:pPr>
    </w:p>
    <w:p w14:paraId="20530CAB" w14:textId="77777777" w:rsidR="001A4860" w:rsidRPr="001A4860" w:rsidRDefault="001A4860" w:rsidP="001A4860">
      <w:pPr>
        <w:tabs>
          <w:tab w:val="left" w:pos="6840"/>
        </w:tabs>
        <w:spacing w:line="256" w:lineRule="auto"/>
        <w:rPr>
          <w:rFonts w:ascii="Calibri" w:eastAsia="Calibri" w:hAnsi="Calibri"/>
          <w:b/>
          <w:i/>
          <w:sz w:val="22"/>
          <w:szCs w:val="22"/>
          <w:u w:val="single"/>
          <w:lang w:val="es-NI"/>
        </w:rPr>
      </w:pPr>
      <w:r w:rsidRPr="001A4860">
        <w:rPr>
          <w:rFonts w:ascii="Calibri" w:eastAsia="Calibri" w:hAnsi="Calibri"/>
          <w:b/>
          <w:i/>
          <w:sz w:val="22"/>
          <w:szCs w:val="22"/>
          <w:u w:val="single"/>
          <w:lang w:val="es-NI"/>
        </w:rPr>
        <w:t>Medición y Pago</w:t>
      </w:r>
    </w:p>
    <w:p w14:paraId="2D19BBE3" w14:textId="77777777" w:rsidR="001A4860" w:rsidRPr="001A4860" w:rsidRDefault="001A4860" w:rsidP="001A4860">
      <w:pPr>
        <w:spacing w:after="160" w:line="256" w:lineRule="auto"/>
        <w:jc w:val="left"/>
        <w:rPr>
          <w:rFonts w:ascii="Calibri" w:eastAsia="Calibri" w:hAnsi="Calibri"/>
          <w:szCs w:val="24"/>
          <w:lang w:val="es-NI"/>
        </w:rPr>
      </w:pPr>
      <w:r w:rsidRPr="001A4860">
        <w:rPr>
          <w:rFonts w:ascii="Calibri" w:eastAsia="Calibri" w:hAnsi="Calibri"/>
          <w:szCs w:val="24"/>
          <w:lang w:val="es-NI"/>
        </w:rPr>
        <w:t>Los trabajos de mampostería serán medidos y pagados por metro cuadrado (m</w:t>
      </w:r>
      <w:r w:rsidRPr="001A4860">
        <w:rPr>
          <w:rFonts w:ascii="Calibri" w:eastAsia="Calibri" w:hAnsi="Calibri"/>
          <w:szCs w:val="24"/>
          <w:vertAlign w:val="superscript"/>
          <w:lang w:val="es-NI"/>
        </w:rPr>
        <w:t>2</w:t>
      </w:r>
      <w:r w:rsidRPr="001A4860">
        <w:rPr>
          <w:rFonts w:ascii="Calibri" w:eastAsia="Calibri" w:hAnsi="Calibri"/>
          <w:szCs w:val="24"/>
          <w:lang w:val="es-NI"/>
        </w:rPr>
        <w:t>) terminado.</w:t>
      </w:r>
    </w:p>
    <w:p w14:paraId="4F49BD0B" w14:textId="77777777" w:rsidR="001A4860" w:rsidRPr="001A4860" w:rsidRDefault="001A4860" w:rsidP="001A4860">
      <w:pPr>
        <w:keepNext/>
        <w:spacing w:before="240" w:after="60" w:line="256" w:lineRule="auto"/>
        <w:outlineLvl w:val="1"/>
        <w:rPr>
          <w:rFonts w:ascii="Calibri" w:eastAsia="Calibri" w:hAnsi="Calibri" w:cs="Calibri"/>
          <w:bCs/>
          <w:iCs/>
          <w:color w:val="1F4E79"/>
          <w:szCs w:val="22"/>
          <w:lang w:val="es-NI"/>
        </w:rPr>
      </w:pPr>
      <w:r w:rsidRPr="001A4860">
        <w:rPr>
          <w:rFonts w:ascii="Calibri" w:eastAsia="Calibri" w:hAnsi="Calibri" w:cs="Calibri"/>
          <w:b/>
          <w:bCs/>
          <w:iCs/>
          <w:color w:val="1F4E79"/>
          <w:szCs w:val="22"/>
          <w:lang w:val="es-NI"/>
        </w:rPr>
        <w:t xml:space="preserve">ESPECIFICACIONES AMBIENTALES PARTICULARES </w:t>
      </w:r>
    </w:p>
    <w:p w14:paraId="5AE63712" w14:textId="77777777" w:rsidR="001A4860" w:rsidRPr="001A4860" w:rsidRDefault="001A4860" w:rsidP="001A4860">
      <w:pPr>
        <w:spacing w:after="160" w:line="256" w:lineRule="auto"/>
        <w:rPr>
          <w:rFonts w:ascii="Calibri" w:eastAsia="Calibri" w:hAnsi="Calibri" w:cs="Calibri"/>
          <w:sz w:val="22"/>
          <w:szCs w:val="22"/>
          <w:lang w:val="es-NI"/>
        </w:rPr>
      </w:pPr>
    </w:p>
    <w:p w14:paraId="4CDB92D7" w14:textId="77777777" w:rsidR="001A4860" w:rsidRPr="001A4860" w:rsidRDefault="001A4860" w:rsidP="001A4860">
      <w:pPr>
        <w:spacing w:after="160" w:line="256" w:lineRule="auto"/>
        <w:rPr>
          <w:rFonts w:ascii="Calibri" w:eastAsia="Calibri" w:hAnsi="Calibri" w:cs="Calibri"/>
          <w:sz w:val="22"/>
          <w:szCs w:val="22"/>
          <w:lang w:val="es-NI"/>
        </w:rPr>
      </w:pPr>
      <w:r w:rsidRPr="001A4860">
        <w:rPr>
          <w:rFonts w:ascii="Calibri" w:eastAsia="Calibri" w:hAnsi="Calibri" w:cs="Calibri"/>
          <w:b/>
          <w:bCs/>
          <w:sz w:val="22"/>
          <w:szCs w:val="22"/>
          <w:lang w:val="es-NI"/>
        </w:rPr>
        <w:t>PROYECTO “19962 AGUA Y SANEAMIENTO NARANJO NORTE”, MUNICIPIO TELPANECA</w:t>
      </w:r>
    </w:p>
    <w:p w14:paraId="1E9D3220" w14:textId="77777777" w:rsidR="001A4860" w:rsidRPr="001A4860" w:rsidRDefault="001A4860" w:rsidP="001A4860">
      <w:pPr>
        <w:spacing w:after="160" w:line="256" w:lineRule="auto"/>
        <w:jc w:val="left"/>
        <w:rPr>
          <w:rFonts w:ascii="Calibri" w:eastAsia="Calibri" w:hAnsi="Calibri" w:cs="Calibri"/>
          <w:b/>
          <w:bCs/>
          <w:sz w:val="22"/>
          <w:szCs w:val="22"/>
          <w:lang w:val="es-NI"/>
        </w:rPr>
      </w:pPr>
      <w:r w:rsidRPr="001A4860">
        <w:rPr>
          <w:rFonts w:ascii="Calibri" w:eastAsia="Calibri" w:hAnsi="Calibri" w:cs="Calibri"/>
          <w:b/>
          <w:bCs/>
          <w:sz w:val="22"/>
          <w:szCs w:val="22"/>
          <w:lang w:val="es-NI"/>
        </w:rPr>
        <w:t>PROGRAMA DE GESTIÓN AMBIENTAL</w:t>
      </w:r>
    </w:p>
    <w:p w14:paraId="0F98BE4F" w14:textId="77777777" w:rsidR="001A4860" w:rsidRPr="001A4860" w:rsidRDefault="001A4860" w:rsidP="001A4860">
      <w:pPr>
        <w:spacing w:after="160" w:line="256" w:lineRule="auto"/>
        <w:jc w:val="left"/>
        <w:rPr>
          <w:rFonts w:ascii="Calibri" w:eastAsia="Calibri" w:hAnsi="Calibri" w:cs="Calibri"/>
          <w:bCs/>
          <w:sz w:val="22"/>
          <w:szCs w:val="22"/>
          <w:lang w:val="es-NI"/>
        </w:rPr>
      </w:pPr>
      <w:r w:rsidRPr="001A4860">
        <w:rPr>
          <w:rFonts w:ascii="Calibri" w:eastAsia="Calibri" w:hAnsi="Calibri" w:cs="Calibri"/>
          <w:bCs/>
          <w:sz w:val="22"/>
          <w:szCs w:val="22"/>
          <w:lang w:val="es-NI"/>
        </w:rPr>
        <w:t>El presente Programa de Gestión Ambiental contiene las medidas ambientales para mitigar los impactos ambientales de las actividades para la construcción y operación y mantenimiento del sub proyecto de agua y saneamiento en la comunidad Naranjo Norte. A continuación, son presentadas las medidas ambientales para mitigar los impactos del proyecto:</w:t>
      </w:r>
    </w:p>
    <w:p w14:paraId="71C99784" w14:textId="77777777" w:rsidR="001A4860" w:rsidRPr="001A4860" w:rsidRDefault="001A4860" w:rsidP="001A4860">
      <w:pPr>
        <w:spacing w:after="160" w:line="256" w:lineRule="auto"/>
        <w:jc w:val="left"/>
        <w:rPr>
          <w:rFonts w:ascii="Calibri" w:eastAsia="Calibri" w:hAnsi="Calibri" w:cs="Calibri"/>
          <w:b/>
          <w:bCs/>
          <w:sz w:val="22"/>
          <w:szCs w:val="22"/>
          <w:lang w:val="es-NI"/>
        </w:rPr>
      </w:pPr>
      <w:r w:rsidRPr="001A4860">
        <w:rPr>
          <w:rFonts w:ascii="Calibri" w:eastAsia="Calibri" w:hAnsi="Calibri" w:cs="Calibri"/>
          <w:b/>
          <w:bCs/>
          <w:sz w:val="22"/>
          <w:szCs w:val="22"/>
          <w:lang w:val="es-NI"/>
        </w:rPr>
        <w:t>2.1 PLANES DE GESTIÓN AMBIENTAL</w:t>
      </w:r>
    </w:p>
    <w:tbl>
      <w:tblPr>
        <w:tblStyle w:val="Tablaconcuadrcula3"/>
        <w:tblW w:w="11057" w:type="dxa"/>
        <w:jc w:val="center"/>
        <w:tblLook w:val="04A0" w:firstRow="1" w:lastRow="0" w:firstColumn="1" w:lastColumn="0" w:noHBand="0" w:noVBand="1"/>
      </w:tblPr>
      <w:tblGrid>
        <w:gridCol w:w="2040"/>
        <w:gridCol w:w="2268"/>
        <w:gridCol w:w="1331"/>
        <w:gridCol w:w="2016"/>
        <w:gridCol w:w="1843"/>
        <w:gridCol w:w="1559"/>
      </w:tblGrid>
      <w:tr w:rsidR="001A4860" w:rsidRPr="001A4860" w14:paraId="3C0DE85A" w14:textId="77777777" w:rsidTr="00507630">
        <w:trPr>
          <w:jc w:val="center"/>
        </w:trPr>
        <w:tc>
          <w:tcPr>
            <w:tcW w:w="2040" w:type="dxa"/>
          </w:tcPr>
          <w:p w14:paraId="5DC69358" w14:textId="77777777" w:rsidR="001A4860" w:rsidRPr="001A4860" w:rsidRDefault="001A4860" w:rsidP="001A4860">
            <w:pPr>
              <w:spacing w:line="256" w:lineRule="auto"/>
              <w:jc w:val="left"/>
              <w:rPr>
                <w:rFonts w:ascii="Calibri" w:eastAsia="Calibri" w:hAnsi="Calibri" w:cs="Calibri"/>
                <w:b/>
                <w:bCs/>
                <w:szCs w:val="22"/>
                <w:lang w:val="es-NI"/>
              </w:rPr>
            </w:pPr>
            <w:r w:rsidRPr="001A4860">
              <w:rPr>
                <w:rFonts w:ascii="Calibri" w:eastAsia="Calibri" w:hAnsi="Calibri" w:cs="Calibri"/>
                <w:b/>
                <w:bCs/>
                <w:szCs w:val="22"/>
                <w:lang w:val="es-NI"/>
              </w:rPr>
              <w:t>Nº 1</w:t>
            </w:r>
          </w:p>
        </w:tc>
        <w:tc>
          <w:tcPr>
            <w:tcW w:w="9017" w:type="dxa"/>
            <w:gridSpan w:val="5"/>
          </w:tcPr>
          <w:p w14:paraId="260F827E" w14:textId="77777777" w:rsidR="001A4860" w:rsidRPr="001A4860" w:rsidRDefault="001A4860" w:rsidP="001A4860">
            <w:pPr>
              <w:spacing w:line="256" w:lineRule="auto"/>
              <w:jc w:val="left"/>
              <w:rPr>
                <w:rFonts w:ascii="Calibri" w:eastAsia="Calibri" w:hAnsi="Calibri" w:cs="Calibri"/>
                <w:b/>
                <w:bCs/>
                <w:szCs w:val="22"/>
                <w:lang w:val="es-NI"/>
              </w:rPr>
            </w:pPr>
            <w:r w:rsidRPr="001A4860">
              <w:rPr>
                <w:rFonts w:ascii="Calibri" w:eastAsia="Calibri" w:hAnsi="Calibri" w:cs="Calibri"/>
                <w:b/>
                <w:bCs/>
                <w:szCs w:val="22"/>
                <w:lang w:val="es-NI"/>
              </w:rPr>
              <w:t>NOMBRE DEL PLAN: PLAN DE GESTIÓN DEL MEDIO BIÓTICO</w:t>
            </w:r>
          </w:p>
        </w:tc>
      </w:tr>
      <w:tr w:rsidR="001A4860" w:rsidRPr="001A4860" w14:paraId="00170AD5" w14:textId="77777777" w:rsidTr="00507630">
        <w:trPr>
          <w:jc w:val="center"/>
        </w:trPr>
        <w:tc>
          <w:tcPr>
            <w:tcW w:w="2040" w:type="dxa"/>
            <w:vAlign w:val="center"/>
          </w:tcPr>
          <w:p w14:paraId="7C979098"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ACTIVIDAD IMPACTANTE</w:t>
            </w:r>
          </w:p>
        </w:tc>
        <w:tc>
          <w:tcPr>
            <w:tcW w:w="2268" w:type="dxa"/>
            <w:vAlign w:val="center"/>
          </w:tcPr>
          <w:p w14:paraId="5D93177F"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IMPACTO AMBIENTAL POTENCIAL</w:t>
            </w:r>
          </w:p>
        </w:tc>
        <w:tc>
          <w:tcPr>
            <w:tcW w:w="1331" w:type="dxa"/>
            <w:vAlign w:val="center"/>
          </w:tcPr>
          <w:p w14:paraId="6EF93BC6"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MEDIDA AMBIENTAL</w:t>
            </w:r>
          </w:p>
        </w:tc>
        <w:tc>
          <w:tcPr>
            <w:tcW w:w="2016" w:type="dxa"/>
            <w:vAlign w:val="center"/>
          </w:tcPr>
          <w:p w14:paraId="6A77168F"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DESCRIPCIÓN</w:t>
            </w:r>
          </w:p>
        </w:tc>
        <w:tc>
          <w:tcPr>
            <w:tcW w:w="1843" w:type="dxa"/>
            <w:vAlign w:val="center"/>
          </w:tcPr>
          <w:p w14:paraId="75A9610F"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COSTO DE LA MEDIDA</w:t>
            </w:r>
          </w:p>
        </w:tc>
        <w:tc>
          <w:tcPr>
            <w:tcW w:w="1559" w:type="dxa"/>
            <w:vAlign w:val="center"/>
          </w:tcPr>
          <w:p w14:paraId="7DFD78FA"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RESPONSABLE</w:t>
            </w:r>
          </w:p>
        </w:tc>
      </w:tr>
      <w:tr w:rsidR="001A4860" w:rsidRPr="001A4860" w14:paraId="594C7CB1" w14:textId="77777777" w:rsidTr="00507630">
        <w:trPr>
          <w:trHeight w:val="578"/>
          <w:jc w:val="center"/>
        </w:trPr>
        <w:tc>
          <w:tcPr>
            <w:tcW w:w="2040" w:type="dxa"/>
            <w:noWrap/>
          </w:tcPr>
          <w:p w14:paraId="0F07322C"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Limpieza y excavación.</w:t>
            </w:r>
          </w:p>
        </w:tc>
        <w:tc>
          <w:tcPr>
            <w:tcW w:w="2268" w:type="dxa"/>
            <w:noWrap/>
          </w:tcPr>
          <w:p w14:paraId="221C7C95"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Cambios temporales en la zona afectada por la instalación de la línea de conducción y la red de distribución.</w:t>
            </w:r>
          </w:p>
        </w:tc>
        <w:tc>
          <w:tcPr>
            <w:tcW w:w="1331" w:type="dxa"/>
          </w:tcPr>
          <w:p w14:paraId="39E422E9"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Reutilizar el material de excavación para relleno en la zanja donde estará instalada la línea de conducción y la red de distribución.</w:t>
            </w:r>
          </w:p>
        </w:tc>
        <w:tc>
          <w:tcPr>
            <w:tcW w:w="2016" w:type="dxa"/>
          </w:tcPr>
          <w:p w14:paraId="001C108D"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El material que sea extraído de la excavación se usará nuevamente para el relleno de la misma, a la vez que se promoverá la reconformación del terreno a la configuración original.</w:t>
            </w:r>
          </w:p>
        </w:tc>
        <w:tc>
          <w:tcPr>
            <w:tcW w:w="1843" w:type="dxa"/>
          </w:tcPr>
          <w:p w14:paraId="4FB3A4C6"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Estas medidas están incorporadas dentro de los costos de ingeniería.</w:t>
            </w:r>
          </w:p>
        </w:tc>
        <w:tc>
          <w:tcPr>
            <w:tcW w:w="1559" w:type="dxa"/>
          </w:tcPr>
          <w:p w14:paraId="39C51892"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Contratista</w:t>
            </w:r>
          </w:p>
        </w:tc>
      </w:tr>
    </w:tbl>
    <w:p w14:paraId="66588277" w14:textId="77777777" w:rsidR="001A4860" w:rsidRDefault="001A4860" w:rsidP="001A4860">
      <w:pPr>
        <w:spacing w:after="160" w:line="256" w:lineRule="auto"/>
        <w:jc w:val="left"/>
        <w:rPr>
          <w:rFonts w:ascii="Calibri" w:eastAsia="Calibri" w:hAnsi="Calibri" w:cs="Calibri"/>
          <w:sz w:val="22"/>
          <w:szCs w:val="22"/>
          <w:lang w:val="es-ES"/>
        </w:rPr>
      </w:pPr>
    </w:p>
    <w:p w14:paraId="6C920C35" w14:textId="77777777" w:rsidR="00507630" w:rsidRPr="001A4860" w:rsidRDefault="00507630" w:rsidP="001A4860">
      <w:pPr>
        <w:spacing w:after="160" w:line="256" w:lineRule="auto"/>
        <w:jc w:val="left"/>
        <w:rPr>
          <w:rFonts w:ascii="Calibri" w:eastAsia="Calibri" w:hAnsi="Calibri" w:cs="Calibri"/>
          <w:sz w:val="22"/>
          <w:szCs w:val="22"/>
          <w:lang w:val="es-ES"/>
        </w:rPr>
      </w:pPr>
    </w:p>
    <w:tbl>
      <w:tblPr>
        <w:tblStyle w:val="Tablaconcuadrcula3"/>
        <w:tblW w:w="11057" w:type="dxa"/>
        <w:tblInd w:w="-856" w:type="dxa"/>
        <w:tblLook w:val="04A0" w:firstRow="1" w:lastRow="0" w:firstColumn="1" w:lastColumn="0" w:noHBand="0" w:noVBand="1"/>
      </w:tblPr>
      <w:tblGrid>
        <w:gridCol w:w="2127"/>
        <w:gridCol w:w="1843"/>
        <w:gridCol w:w="2047"/>
        <w:gridCol w:w="1904"/>
        <w:gridCol w:w="1597"/>
        <w:gridCol w:w="1539"/>
      </w:tblGrid>
      <w:tr w:rsidR="001A4860" w:rsidRPr="001A4860" w14:paraId="6FC4A7EB" w14:textId="77777777" w:rsidTr="009B3EB5">
        <w:tc>
          <w:tcPr>
            <w:tcW w:w="2127" w:type="dxa"/>
          </w:tcPr>
          <w:p w14:paraId="39EB4C8F" w14:textId="77777777" w:rsidR="001A4860" w:rsidRPr="001A4860" w:rsidRDefault="001A4860" w:rsidP="001A4860">
            <w:pPr>
              <w:spacing w:line="256" w:lineRule="auto"/>
              <w:jc w:val="left"/>
              <w:rPr>
                <w:rFonts w:ascii="Calibri" w:eastAsia="Calibri" w:hAnsi="Calibri" w:cs="Calibri"/>
                <w:b/>
                <w:bCs/>
                <w:szCs w:val="22"/>
                <w:lang w:val="es-NI"/>
              </w:rPr>
            </w:pPr>
            <w:r w:rsidRPr="001A4860">
              <w:rPr>
                <w:rFonts w:ascii="Calibri" w:eastAsia="Calibri" w:hAnsi="Calibri" w:cs="Calibri"/>
                <w:b/>
                <w:bCs/>
                <w:szCs w:val="22"/>
                <w:lang w:val="es-NI"/>
              </w:rPr>
              <w:lastRenderedPageBreak/>
              <w:t>Nº 2</w:t>
            </w:r>
          </w:p>
        </w:tc>
        <w:tc>
          <w:tcPr>
            <w:tcW w:w="8930" w:type="dxa"/>
            <w:gridSpan w:val="5"/>
          </w:tcPr>
          <w:p w14:paraId="12E4D4CE" w14:textId="77777777" w:rsidR="001A4860" w:rsidRPr="001A4860" w:rsidRDefault="001A4860" w:rsidP="001A4860">
            <w:pPr>
              <w:spacing w:line="256" w:lineRule="auto"/>
              <w:jc w:val="left"/>
              <w:rPr>
                <w:rFonts w:ascii="Calibri" w:eastAsia="Calibri" w:hAnsi="Calibri" w:cs="Calibri"/>
                <w:b/>
                <w:bCs/>
                <w:szCs w:val="22"/>
                <w:lang w:val="es-NI"/>
              </w:rPr>
            </w:pPr>
            <w:r w:rsidRPr="001A4860">
              <w:rPr>
                <w:rFonts w:ascii="Calibri" w:eastAsia="Calibri" w:hAnsi="Calibri" w:cs="Calibri"/>
                <w:b/>
                <w:bCs/>
                <w:szCs w:val="22"/>
                <w:lang w:val="es-NI"/>
              </w:rPr>
              <w:t>NOMBRE DEL PLAN:  PLAN DE GESTIÓN DE LOS RIESGOS AMBIENTALES</w:t>
            </w:r>
          </w:p>
        </w:tc>
      </w:tr>
      <w:tr w:rsidR="001A4860" w:rsidRPr="001A4860" w14:paraId="5742F18B" w14:textId="77777777" w:rsidTr="009B3EB5">
        <w:tc>
          <w:tcPr>
            <w:tcW w:w="2127" w:type="dxa"/>
            <w:vAlign w:val="center"/>
          </w:tcPr>
          <w:p w14:paraId="666ACE57"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ACTIVIDAD IMPACTANTE</w:t>
            </w:r>
          </w:p>
        </w:tc>
        <w:tc>
          <w:tcPr>
            <w:tcW w:w="1843" w:type="dxa"/>
            <w:vAlign w:val="center"/>
          </w:tcPr>
          <w:p w14:paraId="2A7AD612"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IMPACTO AMBIENTAL POTENCIAL</w:t>
            </w:r>
          </w:p>
        </w:tc>
        <w:tc>
          <w:tcPr>
            <w:tcW w:w="2047" w:type="dxa"/>
            <w:vAlign w:val="center"/>
          </w:tcPr>
          <w:p w14:paraId="45732AAF"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MEDIDA AMBIENTAL</w:t>
            </w:r>
          </w:p>
        </w:tc>
        <w:tc>
          <w:tcPr>
            <w:tcW w:w="1904" w:type="dxa"/>
            <w:vAlign w:val="center"/>
          </w:tcPr>
          <w:p w14:paraId="6E39539D"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DESCRIPCIÓN</w:t>
            </w:r>
          </w:p>
        </w:tc>
        <w:tc>
          <w:tcPr>
            <w:tcW w:w="1597" w:type="dxa"/>
            <w:vAlign w:val="center"/>
          </w:tcPr>
          <w:p w14:paraId="28499849"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COSTO DE LA MEDIDA</w:t>
            </w:r>
          </w:p>
        </w:tc>
        <w:tc>
          <w:tcPr>
            <w:tcW w:w="1539" w:type="dxa"/>
            <w:vAlign w:val="center"/>
          </w:tcPr>
          <w:p w14:paraId="2A63F1E0" w14:textId="77777777" w:rsidR="001A4860" w:rsidRPr="001A4860" w:rsidRDefault="001A4860" w:rsidP="001A4860">
            <w:pPr>
              <w:spacing w:after="160" w:line="259" w:lineRule="auto"/>
              <w:jc w:val="center"/>
              <w:rPr>
                <w:rFonts w:ascii="Calibri" w:eastAsia="Calibri" w:hAnsi="Calibri" w:cs="Calibri"/>
                <w:b/>
                <w:bCs/>
                <w:szCs w:val="22"/>
                <w:lang w:val="es-NI"/>
              </w:rPr>
            </w:pPr>
            <w:r w:rsidRPr="001A4860">
              <w:rPr>
                <w:rFonts w:ascii="Calibri" w:eastAsia="Calibri" w:hAnsi="Calibri" w:cs="Calibri"/>
                <w:b/>
                <w:bCs/>
                <w:szCs w:val="22"/>
                <w:lang w:val="es-NI"/>
              </w:rPr>
              <w:t>RESPONSABLE</w:t>
            </w:r>
          </w:p>
        </w:tc>
      </w:tr>
      <w:tr w:rsidR="001A4860" w:rsidRPr="001A4860" w14:paraId="11118C15" w14:textId="77777777" w:rsidTr="009B3EB5">
        <w:trPr>
          <w:trHeight w:val="578"/>
        </w:trPr>
        <w:tc>
          <w:tcPr>
            <w:tcW w:w="2127" w:type="dxa"/>
            <w:noWrap/>
          </w:tcPr>
          <w:p w14:paraId="3E39532A" w14:textId="77777777" w:rsidR="001A4860" w:rsidRPr="001A4860" w:rsidRDefault="001A4860" w:rsidP="001A4860">
            <w:pPr>
              <w:spacing w:after="160" w:line="259" w:lineRule="auto"/>
              <w:rPr>
                <w:rFonts w:ascii="Calibri" w:eastAsia="Calibri" w:hAnsi="Calibri" w:cs="Calibri"/>
                <w:b/>
                <w:szCs w:val="22"/>
                <w:lang w:val="es-NI"/>
              </w:rPr>
            </w:pPr>
            <w:r w:rsidRPr="001A4860">
              <w:rPr>
                <w:rFonts w:ascii="Calibri" w:eastAsia="Calibri" w:hAnsi="Calibri" w:cs="Calibri"/>
                <w:b/>
                <w:szCs w:val="22"/>
                <w:lang w:val="es-NI"/>
              </w:rPr>
              <w:t>Movimientos de tierra, limpieza del terreno y construcción de las obras.</w:t>
            </w:r>
          </w:p>
        </w:tc>
        <w:tc>
          <w:tcPr>
            <w:tcW w:w="1843" w:type="dxa"/>
            <w:noWrap/>
          </w:tcPr>
          <w:p w14:paraId="38383ACA"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Generación de residuos sólidos.</w:t>
            </w:r>
          </w:p>
        </w:tc>
        <w:tc>
          <w:tcPr>
            <w:tcW w:w="2047" w:type="dxa"/>
          </w:tcPr>
          <w:p w14:paraId="60342AA0"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Disposición adecuada de los residuos de limpieza y extracción de tierra.</w:t>
            </w:r>
          </w:p>
          <w:p w14:paraId="4C5434C2" w14:textId="77777777" w:rsidR="001A4860" w:rsidRPr="001A4860" w:rsidRDefault="001A4860" w:rsidP="001A4860">
            <w:pPr>
              <w:spacing w:after="160" w:line="259" w:lineRule="auto"/>
              <w:rPr>
                <w:rFonts w:ascii="Calibri" w:eastAsia="Calibri" w:hAnsi="Calibri" w:cs="Calibri"/>
                <w:bCs/>
                <w:szCs w:val="22"/>
                <w:lang w:val="es-NI"/>
              </w:rPr>
            </w:pPr>
          </w:p>
          <w:p w14:paraId="5578E140"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Humedecimiento constante del material para evitar la suspensión de polvo en el área.</w:t>
            </w:r>
          </w:p>
        </w:tc>
        <w:tc>
          <w:tcPr>
            <w:tcW w:w="1904" w:type="dxa"/>
            <w:vMerge w:val="restart"/>
          </w:tcPr>
          <w:p w14:paraId="196627DF"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Los residuos generados producto de los movimientos de tierra serán dispuestos en zonas aledañas al sitio de construcción en áreas con pendientes suaves.</w:t>
            </w:r>
          </w:p>
          <w:p w14:paraId="7F1464C2"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En caso de generarse desechos orgánicos e inorgánicos no peligrosos, éstos serán enterrados en un sitio (zanja sanitaria) previamente designado y</w:t>
            </w:r>
          </w:p>
          <w:p w14:paraId="4C6A6302"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previamente autorizado por las instancias correspondientes.</w:t>
            </w:r>
          </w:p>
          <w:p w14:paraId="2865195F"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bCs/>
                <w:szCs w:val="22"/>
                <w:lang w:val="es-NI"/>
              </w:rPr>
              <w:t>Los residuos sólidos no deberán ser mezclados para garantizar su reciclaje o reutilización.</w:t>
            </w:r>
          </w:p>
        </w:tc>
        <w:tc>
          <w:tcPr>
            <w:tcW w:w="1597" w:type="dxa"/>
          </w:tcPr>
          <w:p w14:paraId="498B1C97"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Estas medidas están incorporadas dentro de los costos de ingeniería.</w:t>
            </w:r>
          </w:p>
        </w:tc>
        <w:tc>
          <w:tcPr>
            <w:tcW w:w="1539" w:type="dxa"/>
          </w:tcPr>
          <w:p w14:paraId="78D4A6D7"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Contratista</w:t>
            </w:r>
          </w:p>
        </w:tc>
      </w:tr>
      <w:tr w:rsidR="001A4860" w:rsidRPr="001A4860" w14:paraId="0B0C75D7" w14:textId="77777777" w:rsidTr="009B3EB5">
        <w:trPr>
          <w:trHeight w:val="578"/>
        </w:trPr>
        <w:tc>
          <w:tcPr>
            <w:tcW w:w="2127" w:type="dxa"/>
            <w:noWrap/>
          </w:tcPr>
          <w:p w14:paraId="6937AC69" w14:textId="77777777" w:rsidR="001A4860" w:rsidRPr="001A4860" w:rsidRDefault="001A4860" w:rsidP="001A4860">
            <w:pPr>
              <w:spacing w:after="160" w:line="259" w:lineRule="auto"/>
              <w:rPr>
                <w:rFonts w:ascii="Calibri" w:eastAsia="Calibri" w:hAnsi="Calibri" w:cs="Calibri"/>
                <w:b/>
                <w:szCs w:val="22"/>
                <w:lang w:val="es-NI"/>
              </w:rPr>
            </w:pPr>
            <w:r w:rsidRPr="001A4860">
              <w:rPr>
                <w:rFonts w:ascii="Calibri" w:eastAsia="Calibri" w:hAnsi="Calibri" w:cs="Calibri"/>
                <w:b/>
                <w:szCs w:val="22"/>
                <w:lang w:val="es-NI"/>
              </w:rPr>
              <w:t>Construcción de estructuras (formaletas y trazado o delimitación, nivelación)</w:t>
            </w:r>
          </w:p>
        </w:tc>
        <w:tc>
          <w:tcPr>
            <w:tcW w:w="1843" w:type="dxa"/>
            <w:noWrap/>
          </w:tcPr>
          <w:p w14:paraId="17DE2D7C"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Generación de residuos sólidos o materiales de desechos producto de la utilización de madera para formaletear, nivelación del terreno.</w:t>
            </w:r>
          </w:p>
        </w:tc>
        <w:tc>
          <w:tcPr>
            <w:tcW w:w="2047" w:type="dxa"/>
          </w:tcPr>
          <w:p w14:paraId="4183B2C2"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Disposición adecuada de los residuos generados. En caso de material combustible de origen orgánico, se podrá entregar a los comunitarios para que puedan emplearlo como leña en sus hogares. Esto se plantea considerando que la población total de la comunidad realiza la cocción de sus alimentos con leña.</w:t>
            </w:r>
          </w:p>
        </w:tc>
        <w:tc>
          <w:tcPr>
            <w:tcW w:w="1904" w:type="dxa"/>
            <w:vMerge/>
          </w:tcPr>
          <w:p w14:paraId="746D859B" w14:textId="77777777" w:rsidR="001A4860" w:rsidRPr="001A4860" w:rsidRDefault="001A4860" w:rsidP="001A4860">
            <w:pPr>
              <w:spacing w:after="160" w:line="259" w:lineRule="auto"/>
              <w:rPr>
                <w:rFonts w:ascii="Calibri" w:eastAsia="Calibri" w:hAnsi="Calibri" w:cs="Calibri"/>
                <w:szCs w:val="22"/>
                <w:lang w:val="es-NI"/>
              </w:rPr>
            </w:pPr>
          </w:p>
        </w:tc>
        <w:tc>
          <w:tcPr>
            <w:tcW w:w="1597" w:type="dxa"/>
          </w:tcPr>
          <w:p w14:paraId="28AB6FF0"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Estas medidas están incorporadas dentro de los costos de ingeniería.</w:t>
            </w:r>
          </w:p>
        </w:tc>
        <w:tc>
          <w:tcPr>
            <w:tcW w:w="1539" w:type="dxa"/>
          </w:tcPr>
          <w:p w14:paraId="53F221ED"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Contratista</w:t>
            </w:r>
          </w:p>
        </w:tc>
      </w:tr>
      <w:tr w:rsidR="001A4860" w:rsidRPr="001A4860" w14:paraId="3CFF327D" w14:textId="77777777" w:rsidTr="009B3EB5">
        <w:trPr>
          <w:trHeight w:val="578"/>
        </w:trPr>
        <w:tc>
          <w:tcPr>
            <w:tcW w:w="2127" w:type="dxa"/>
            <w:noWrap/>
          </w:tcPr>
          <w:p w14:paraId="78116C6E"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b/>
                <w:szCs w:val="22"/>
                <w:lang w:val="es-NI"/>
              </w:rPr>
              <w:t>Producción de desechos o</w:t>
            </w:r>
            <w:r w:rsidRPr="001A4860">
              <w:rPr>
                <w:rFonts w:ascii="Calibri" w:eastAsia="Calibri" w:hAnsi="Calibri" w:cs="Calibri"/>
                <w:szCs w:val="22"/>
                <w:lang w:val="es-NI"/>
              </w:rPr>
              <w:t xml:space="preserve"> </w:t>
            </w:r>
            <w:r w:rsidRPr="001A4860">
              <w:rPr>
                <w:rFonts w:ascii="Calibri" w:eastAsia="Calibri" w:hAnsi="Calibri" w:cs="Calibri"/>
                <w:b/>
                <w:szCs w:val="22"/>
                <w:lang w:val="es-NI"/>
              </w:rPr>
              <w:t>excretas humanas</w:t>
            </w:r>
          </w:p>
        </w:tc>
        <w:tc>
          <w:tcPr>
            <w:tcW w:w="1843" w:type="dxa"/>
            <w:noWrap/>
          </w:tcPr>
          <w:p w14:paraId="4F79A20F"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 xml:space="preserve">Contaminación del agua superficial o alimentos de los </w:t>
            </w:r>
            <w:r w:rsidRPr="001A4860">
              <w:rPr>
                <w:rFonts w:ascii="Calibri" w:eastAsia="Calibri" w:hAnsi="Calibri" w:cs="Calibri"/>
                <w:szCs w:val="22"/>
                <w:lang w:val="es-NI"/>
              </w:rPr>
              <w:lastRenderedPageBreak/>
              <w:t>comunitarios a través de insectos vectores.</w:t>
            </w:r>
          </w:p>
        </w:tc>
        <w:tc>
          <w:tcPr>
            <w:tcW w:w="2047" w:type="dxa"/>
          </w:tcPr>
          <w:p w14:paraId="084AFB16"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lastRenderedPageBreak/>
              <w:t xml:space="preserve">Disposición de una letrina para los obreros que trabajarán en la </w:t>
            </w:r>
            <w:r w:rsidRPr="001A4860">
              <w:rPr>
                <w:rFonts w:ascii="Calibri" w:eastAsia="Calibri" w:hAnsi="Calibri" w:cs="Calibri"/>
                <w:bCs/>
                <w:szCs w:val="22"/>
                <w:lang w:val="es-NI"/>
              </w:rPr>
              <w:lastRenderedPageBreak/>
              <w:t>construcción de las obras.</w:t>
            </w:r>
          </w:p>
        </w:tc>
        <w:tc>
          <w:tcPr>
            <w:tcW w:w="1904" w:type="dxa"/>
          </w:tcPr>
          <w:p w14:paraId="3F8F221B"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bCs/>
                <w:szCs w:val="22"/>
                <w:lang w:val="es-NI"/>
              </w:rPr>
              <w:lastRenderedPageBreak/>
              <w:t xml:space="preserve">El contratista o constructor deberá disponer de una letrina de </w:t>
            </w:r>
            <w:r w:rsidRPr="001A4860">
              <w:rPr>
                <w:rFonts w:ascii="Calibri" w:eastAsia="Calibri" w:hAnsi="Calibri" w:cs="Calibri"/>
                <w:bCs/>
                <w:szCs w:val="22"/>
                <w:lang w:val="es-NI"/>
              </w:rPr>
              <w:lastRenderedPageBreak/>
              <w:t>manera temporal en la zona del proyecto, con el propósito que los obreros puedan contar con un servicio higiénico que permita realizar sus necesidades fisiológicas en un lugar adecuado, y evitar de esta forma el fecalismo al aire libre.</w:t>
            </w:r>
          </w:p>
        </w:tc>
        <w:tc>
          <w:tcPr>
            <w:tcW w:w="1597" w:type="dxa"/>
          </w:tcPr>
          <w:p w14:paraId="711C389A"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lastRenderedPageBreak/>
              <w:t xml:space="preserve">Estas medidas están incorporadas dentro de los </w:t>
            </w:r>
            <w:r w:rsidRPr="001A4860">
              <w:rPr>
                <w:rFonts w:ascii="Calibri" w:eastAsia="Calibri" w:hAnsi="Calibri" w:cs="Calibri"/>
                <w:szCs w:val="22"/>
                <w:lang w:val="es-NI"/>
              </w:rPr>
              <w:lastRenderedPageBreak/>
              <w:t>costos de ingeniería.</w:t>
            </w:r>
          </w:p>
        </w:tc>
        <w:tc>
          <w:tcPr>
            <w:tcW w:w="1539" w:type="dxa"/>
          </w:tcPr>
          <w:p w14:paraId="62B46122"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lastRenderedPageBreak/>
              <w:t>Contratista</w:t>
            </w:r>
          </w:p>
        </w:tc>
      </w:tr>
      <w:tr w:rsidR="001A4860" w:rsidRPr="001A4860" w14:paraId="08579C70" w14:textId="77777777" w:rsidTr="009B3EB5">
        <w:trPr>
          <w:trHeight w:val="578"/>
        </w:trPr>
        <w:tc>
          <w:tcPr>
            <w:tcW w:w="2127" w:type="dxa"/>
            <w:noWrap/>
          </w:tcPr>
          <w:p w14:paraId="2540B6C9" w14:textId="77777777" w:rsidR="001A4860" w:rsidRPr="001A4860" w:rsidRDefault="001A4860" w:rsidP="001A4860">
            <w:pPr>
              <w:spacing w:after="160" w:line="259" w:lineRule="auto"/>
              <w:rPr>
                <w:rFonts w:ascii="Calibri" w:eastAsia="Calibri" w:hAnsi="Calibri" w:cs="Calibri"/>
                <w:b/>
                <w:szCs w:val="22"/>
                <w:lang w:val="es-NI"/>
              </w:rPr>
            </w:pPr>
            <w:r w:rsidRPr="001A4860">
              <w:rPr>
                <w:rFonts w:ascii="Calibri" w:eastAsia="Calibri" w:hAnsi="Calibri" w:cs="Calibri"/>
                <w:b/>
                <w:szCs w:val="22"/>
                <w:lang w:val="es-NI"/>
              </w:rPr>
              <w:lastRenderedPageBreak/>
              <w:t>Remoción de suelos.</w:t>
            </w:r>
          </w:p>
        </w:tc>
        <w:tc>
          <w:tcPr>
            <w:tcW w:w="1843" w:type="dxa"/>
            <w:noWrap/>
          </w:tcPr>
          <w:p w14:paraId="3EB0FA89"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Erosión del suelo.</w:t>
            </w:r>
          </w:p>
        </w:tc>
        <w:tc>
          <w:tcPr>
            <w:tcW w:w="2047" w:type="dxa"/>
          </w:tcPr>
          <w:p w14:paraId="2688387B"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Compactar el terreno con buen material de relleno. Separar la capa de material orgánico de la del material inerte, puesto que el material orgánico podría ser reutilizado.</w:t>
            </w:r>
          </w:p>
          <w:p w14:paraId="52EB90F0" w14:textId="77777777" w:rsidR="001A4860" w:rsidRPr="001A4860" w:rsidRDefault="001A4860" w:rsidP="001A4860">
            <w:pPr>
              <w:spacing w:after="160" w:line="259" w:lineRule="auto"/>
              <w:rPr>
                <w:rFonts w:ascii="Calibri" w:eastAsia="Calibri" w:hAnsi="Calibri" w:cs="Calibri"/>
                <w:bCs/>
                <w:szCs w:val="22"/>
                <w:lang w:val="es-NI"/>
              </w:rPr>
            </w:pPr>
          </w:p>
          <w:p w14:paraId="32242141"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Delimitar y señalizar las áreas de cobertura vegetal que será intervenida por las obras.</w:t>
            </w:r>
          </w:p>
          <w:p w14:paraId="2F1C7AD4" w14:textId="77777777" w:rsidR="001A4860" w:rsidRPr="001A4860" w:rsidRDefault="001A4860" w:rsidP="001A4860">
            <w:pPr>
              <w:spacing w:after="160" w:line="259" w:lineRule="auto"/>
              <w:rPr>
                <w:rFonts w:ascii="Calibri" w:eastAsia="Calibri" w:hAnsi="Calibri" w:cs="Calibri"/>
                <w:bCs/>
                <w:szCs w:val="22"/>
                <w:lang w:val="es-NI"/>
              </w:rPr>
            </w:pPr>
            <w:r w:rsidRPr="001A4860">
              <w:rPr>
                <w:rFonts w:ascii="Calibri" w:eastAsia="Calibri" w:hAnsi="Calibri" w:cs="Calibri"/>
                <w:bCs/>
                <w:szCs w:val="22"/>
                <w:lang w:val="es-NI"/>
              </w:rPr>
              <w:t>Finalizada la construcción de las obras, los materiales sobrantes y residuos deberán ser retirados del sitio del proyecto.</w:t>
            </w:r>
          </w:p>
        </w:tc>
        <w:tc>
          <w:tcPr>
            <w:tcW w:w="1904" w:type="dxa"/>
          </w:tcPr>
          <w:p w14:paraId="72A0E40A" w14:textId="77777777" w:rsidR="001A4860" w:rsidRPr="001A4860" w:rsidRDefault="001A4860" w:rsidP="001A4860">
            <w:pPr>
              <w:spacing w:after="160" w:line="259" w:lineRule="auto"/>
              <w:rPr>
                <w:rFonts w:ascii="Calibri" w:eastAsia="Calibri" w:hAnsi="Calibri" w:cs="Calibri"/>
                <w:szCs w:val="22"/>
                <w:lang w:val="es-NI"/>
              </w:rPr>
            </w:pPr>
          </w:p>
          <w:p w14:paraId="21594959"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Se promoverá el empleo de mano de obra para realizar los trabajos mecanizados y así evitar el empleo de maquinaria pesada que podría causar daños al suelo o vegetación del lugar.</w:t>
            </w:r>
          </w:p>
        </w:tc>
        <w:tc>
          <w:tcPr>
            <w:tcW w:w="1597" w:type="dxa"/>
          </w:tcPr>
          <w:p w14:paraId="795F9C97"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Estas medidas están incorporadas dentro de los costos de ingeniería.</w:t>
            </w:r>
          </w:p>
        </w:tc>
        <w:tc>
          <w:tcPr>
            <w:tcW w:w="1539" w:type="dxa"/>
          </w:tcPr>
          <w:p w14:paraId="64075513" w14:textId="77777777" w:rsidR="001A4860" w:rsidRPr="001A4860" w:rsidRDefault="001A4860" w:rsidP="001A4860">
            <w:pPr>
              <w:spacing w:after="160" w:line="259" w:lineRule="auto"/>
              <w:rPr>
                <w:rFonts w:ascii="Calibri" w:eastAsia="Calibri" w:hAnsi="Calibri" w:cs="Calibri"/>
                <w:szCs w:val="22"/>
                <w:lang w:val="es-NI"/>
              </w:rPr>
            </w:pPr>
            <w:r w:rsidRPr="001A4860">
              <w:rPr>
                <w:rFonts w:ascii="Calibri" w:eastAsia="Calibri" w:hAnsi="Calibri" w:cs="Calibri"/>
                <w:szCs w:val="22"/>
                <w:lang w:val="es-NI"/>
              </w:rPr>
              <w:t>Contratista</w:t>
            </w:r>
          </w:p>
        </w:tc>
      </w:tr>
    </w:tbl>
    <w:p w14:paraId="241922B2" w14:textId="77777777" w:rsidR="001A4860" w:rsidRDefault="001A4860" w:rsidP="001A4860">
      <w:pPr>
        <w:spacing w:after="160" w:line="256" w:lineRule="auto"/>
        <w:jc w:val="left"/>
        <w:rPr>
          <w:rFonts w:ascii="Calibri" w:eastAsia="Calibri" w:hAnsi="Calibri" w:cs="Calibri"/>
          <w:sz w:val="22"/>
          <w:szCs w:val="22"/>
          <w:lang w:val="es-ES"/>
        </w:rPr>
      </w:pPr>
    </w:p>
    <w:p w14:paraId="7354CE5E" w14:textId="77777777" w:rsidR="009B3EB5" w:rsidRPr="001A4860" w:rsidRDefault="009B3EB5" w:rsidP="001A4860">
      <w:pPr>
        <w:spacing w:after="160" w:line="256" w:lineRule="auto"/>
        <w:jc w:val="left"/>
        <w:rPr>
          <w:rFonts w:ascii="Calibri" w:eastAsia="Calibri" w:hAnsi="Calibri" w:cs="Calibri"/>
          <w:sz w:val="22"/>
          <w:szCs w:val="22"/>
          <w:lang w:val="es-ES"/>
        </w:rPr>
      </w:pPr>
    </w:p>
    <w:p w14:paraId="177DE5D6" w14:textId="77777777" w:rsidR="001A4860" w:rsidRPr="001A4860" w:rsidRDefault="001A4860" w:rsidP="001A4860">
      <w:pPr>
        <w:spacing w:after="160" w:line="256" w:lineRule="auto"/>
        <w:jc w:val="left"/>
        <w:rPr>
          <w:rFonts w:ascii="Calibri" w:eastAsia="Calibri" w:hAnsi="Calibri" w:cs="Calibri"/>
          <w:b/>
          <w:bCs/>
          <w:iCs/>
          <w:sz w:val="22"/>
          <w:szCs w:val="22"/>
          <w:u w:val="single"/>
          <w:lang w:val="es-ES"/>
        </w:rPr>
      </w:pPr>
      <w:r w:rsidRPr="001A4860">
        <w:rPr>
          <w:rFonts w:ascii="Calibri" w:eastAsia="Calibri" w:hAnsi="Calibri" w:cs="Calibri"/>
          <w:b/>
          <w:bCs/>
          <w:iCs/>
          <w:sz w:val="22"/>
          <w:szCs w:val="22"/>
          <w:u w:val="single"/>
          <w:lang w:val="es-ES"/>
        </w:rPr>
        <w:lastRenderedPageBreak/>
        <w:t xml:space="preserve">PLAN DE CAPACITACIÓN Y EDUCACIÓN AMBIENTAL </w:t>
      </w:r>
    </w:p>
    <w:p w14:paraId="53E6F59E" w14:textId="77777777" w:rsidR="001A4860" w:rsidRPr="001A4860" w:rsidRDefault="001A4860" w:rsidP="001A4860">
      <w:pPr>
        <w:spacing w:after="160" w:line="256" w:lineRule="auto"/>
        <w:rPr>
          <w:rFonts w:ascii="Calibri" w:eastAsia="Calibri" w:hAnsi="Calibri" w:cs="Calibri"/>
          <w:sz w:val="22"/>
          <w:szCs w:val="22"/>
          <w:lang w:val="es-NI"/>
        </w:rPr>
      </w:pPr>
      <w:r w:rsidRPr="001A4860">
        <w:rPr>
          <w:rFonts w:ascii="Calibri" w:eastAsia="Calibri" w:hAnsi="Calibri" w:cs="Calibri"/>
          <w:sz w:val="22"/>
          <w:szCs w:val="22"/>
          <w:lang w:val="es-NI"/>
        </w:rPr>
        <w:t>Plan de Capacitación está dirigido al Comité de Agua y Saneamiento (CAPS), con el objetivo de la implementación del cumplimiento de las medidas de mitigación orientadas a evitar o mitigar los impactos generados por el proyecto.</w:t>
      </w:r>
    </w:p>
    <w:p w14:paraId="5E69950C" w14:textId="77777777" w:rsidR="001A4860" w:rsidRPr="001A4860" w:rsidRDefault="001A4860" w:rsidP="001A4860">
      <w:pPr>
        <w:spacing w:after="160" w:line="256" w:lineRule="auto"/>
        <w:jc w:val="left"/>
        <w:rPr>
          <w:rFonts w:ascii="Calibri" w:eastAsia="Calibri" w:hAnsi="Calibri" w:cs="Calibri"/>
          <w:sz w:val="22"/>
          <w:szCs w:val="22"/>
          <w:lang w:val="es-NI"/>
        </w:rPr>
      </w:pPr>
      <w:r w:rsidRPr="001A4860">
        <w:rPr>
          <w:rFonts w:ascii="Calibri" w:eastAsia="Calibri" w:hAnsi="Calibri" w:cs="Calibri"/>
          <w:sz w:val="22"/>
          <w:szCs w:val="22"/>
          <w:lang w:val="es-NI"/>
        </w:rPr>
        <w:t xml:space="preserve">La temática impartida por Facilitador Social Individual contratado por FISE, serán los siguientes: </w:t>
      </w:r>
    </w:p>
    <w:tbl>
      <w:tblPr>
        <w:tblStyle w:val="Tablaconcuadrcula3"/>
        <w:tblW w:w="9498" w:type="dxa"/>
        <w:tblInd w:w="-289" w:type="dxa"/>
        <w:tblLook w:val="04A0" w:firstRow="1" w:lastRow="0" w:firstColumn="1" w:lastColumn="0" w:noHBand="0" w:noVBand="1"/>
      </w:tblPr>
      <w:tblGrid>
        <w:gridCol w:w="1844"/>
        <w:gridCol w:w="1417"/>
        <w:gridCol w:w="1276"/>
        <w:gridCol w:w="1559"/>
        <w:gridCol w:w="1559"/>
        <w:gridCol w:w="1843"/>
      </w:tblGrid>
      <w:tr w:rsidR="001A4860" w:rsidRPr="001A4860" w14:paraId="0D2B62EA" w14:textId="77777777" w:rsidTr="001A4860">
        <w:tc>
          <w:tcPr>
            <w:tcW w:w="1844" w:type="dxa"/>
          </w:tcPr>
          <w:p w14:paraId="1387E7B8"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TEMÁTICA</w:t>
            </w:r>
          </w:p>
        </w:tc>
        <w:tc>
          <w:tcPr>
            <w:tcW w:w="1417" w:type="dxa"/>
          </w:tcPr>
          <w:p w14:paraId="5FD14912"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PERSONAL A CAPACITAR</w:t>
            </w:r>
          </w:p>
        </w:tc>
        <w:tc>
          <w:tcPr>
            <w:tcW w:w="1276" w:type="dxa"/>
          </w:tcPr>
          <w:p w14:paraId="7AED1F76"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 xml:space="preserve">ETAPA DEL PROYECTO </w:t>
            </w:r>
          </w:p>
        </w:tc>
        <w:tc>
          <w:tcPr>
            <w:tcW w:w="1559" w:type="dxa"/>
          </w:tcPr>
          <w:p w14:paraId="75DCEF98"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PERIODO Ó FRECUENCIA</w:t>
            </w:r>
          </w:p>
        </w:tc>
        <w:tc>
          <w:tcPr>
            <w:tcW w:w="1559" w:type="dxa"/>
          </w:tcPr>
          <w:p w14:paraId="37E092A1"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COSTOS</w:t>
            </w:r>
          </w:p>
        </w:tc>
        <w:tc>
          <w:tcPr>
            <w:tcW w:w="1843" w:type="dxa"/>
          </w:tcPr>
          <w:p w14:paraId="3D66006E"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RESPONSABLES</w:t>
            </w:r>
          </w:p>
        </w:tc>
      </w:tr>
      <w:tr w:rsidR="001A4860" w:rsidRPr="001A4860" w14:paraId="5C483806" w14:textId="77777777" w:rsidTr="001A4860">
        <w:trPr>
          <w:trHeight w:val="434"/>
        </w:trPr>
        <w:tc>
          <w:tcPr>
            <w:tcW w:w="1844" w:type="dxa"/>
            <w:vAlign w:val="center"/>
          </w:tcPr>
          <w:p w14:paraId="547E7483"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Operación y Mantenimiento</w:t>
            </w:r>
          </w:p>
        </w:tc>
        <w:tc>
          <w:tcPr>
            <w:tcW w:w="1417" w:type="dxa"/>
            <w:vAlign w:val="center"/>
          </w:tcPr>
          <w:p w14:paraId="1248A6B3"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CAPS</w:t>
            </w:r>
          </w:p>
        </w:tc>
        <w:tc>
          <w:tcPr>
            <w:tcW w:w="1276" w:type="dxa"/>
            <w:vAlign w:val="center"/>
          </w:tcPr>
          <w:p w14:paraId="082FE418"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Ejecución</w:t>
            </w:r>
          </w:p>
        </w:tc>
        <w:tc>
          <w:tcPr>
            <w:tcW w:w="1559" w:type="dxa"/>
            <w:vAlign w:val="center"/>
          </w:tcPr>
          <w:p w14:paraId="304E0FA3"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Una sola vez</w:t>
            </w:r>
          </w:p>
          <w:p w14:paraId="3DBAAC6B" w14:textId="77777777" w:rsidR="001A4860" w:rsidRPr="001A4860" w:rsidRDefault="001A4860" w:rsidP="001A4860">
            <w:pPr>
              <w:spacing w:line="256" w:lineRule="auto"/>
              <w:jc w:val="center"/>
              <w:rPr>
                <w:rFonts w:ascii="Calibri" w:eastAsia="Calibri" w:hAnsi="Calibri" w:cs="Calibri"/>
                <w:szCs w:val="22"/>
                <w:lang w:val="es-NI"/>
              </w:rPr>
            </w:pPr>
          </w:p>
        </w:tc>
        <w:tc>
          <w:tcPr>
            <w:tcW w:w="1559" w:type="dxa"/>
            <w:vMerge w:val="restart"/>
            <w:vAlign w:val="center"/>
          </w:tcPr>
          <w:p w14:paraId="3D75544C" w14:textId="77777777" w:rsidR="001A4860" w:rsidRPr="001A4860" w:rsidRDefault="001A4860" w:rsidP="001A4860">
            <w:pPr>
              <w:autoSpaceDE w:val="0"/>
              <w:autoSpaceDN w:val="0"/>
              <w:adjustRightInd w:val="0"/>
              <w:spacing w:line="256" w:lineRule="auto"/>
              <w:jc w:val="center"/>
              <w:rPr>
                <w:rFonts w:ascii="Calibri" w:eastAsia="Calibri" w:hAnsi="Calibri" w:cs="Calibri"/>
                <w:color w:val="000000"/>
                <w:szCs w:val="22"/>
                <w:lang w:val="es-NI"/>
              </w:rPr>
            </w:pPr>
            <w:r w:rsidRPr="001A4860">
              <w:rPr>
                <w:rFonts w:ascii="Calibri" w:eastAsia="Calibri" w:hAnsi="Calibri" w:cs="Calibri"/>
                <w:color w:val="000000"/>
                <w:szCs w:val="22"/>
                <w:lang w:val="es-NI"/>
              </w:rPr>
              <w:t>Incluido en las</w:t>
            </w:r>
          </w:p>
          <w:p w14:paraId="592FAFC4" w14:textId="77777777" w:rsidR="001A4860" w:rsidRPr="001A4860" w:rsidRDefault="001A4860" w:rsidP="001A4860">
            <w:pPr>
              <w:autoSpaceDE w:val="0"/>
              <w:autoSpaceDN w:val="0"/>
              <w:adjustRightInd w:val="0"/>
              <w:spacing w:line="256" w:lineRule="auto"/>
              <w:jc w:val="center"/>
              <w:rPr>
                <w:rFonts w:ascii="Calibri" w:eastAsia="Calibri" w:hAnsi="Calibri" w:cs="Calibri"/>
                <w:szCs w:val="24"/>
                <w:lang w:val="es-NI"/>
              </w:rPr>
            </w:pPr>
            <w:r w:rsidRPr="001A4860">
              <w:rPr>
                <w:rFonts w:ascii="Calibri" w:eastAsia="Calibri" w:hAnsi="Calibri" w:cs="Calibri"/>
                <w:color w:val="000000"/>
                <w:szCs w:val="22"/>
                <w:lang w:val="es-NI"/>
              </w:rPr>
              <w:t>actividades sociales del</w:t>
            </w:r>
          </w:p>
          <w:p w14:paraId="1576C8F9" w14:textId="77777777" w:rsidR="001A4860" w:rsidRPr="001A4860" w:rsidRDefault="001A4860" w:rsidP="001A4860">
            <w:pPr>
              <w:autoSpaceDE w:val="0"/>
              <w:autoSpaceDN w:val="0"/>
              <w:adjustRightInd w:val="0"/>
              <w:spacing w:line="256" w:lineRule="auto"/>
              <w:jc w:val="center"/>
              <w:rPr>
                <w:rFonts w:ascii="Calibri" w:eastAsia="Calibri" w:hAnsi="Calibri" w:cs="Calibri"/>
                <w:color w:val="000000"/>
                <w:szCs w:val="22"/>
                <w:lang w:val="es-NI"/>
              </w:rPr>
            </w:pPr>
            <w:r w:rsidRPr="001A4860">
              <w:rPr>
                <w:rFonts w:ascii="Calibri" w:eastAsia="Calibri" w:hAnsi="Calibri" w:cs="Calibri"/>
                <w:color w:val="000000"/>
                <w:szCs w:val="22"/>
                <w:lang w:val="es-NI"/>
              </w:rPr>
              <w:t>facilitador Social</w:t>
            </w:r>
          </w:p>
          <w:p w14:paraId="0908B8F9" w14:textId="77777777" w:rsidR="001A4860" w:rsidRPr="001A4860" w:rsidRDefault="001A4860" w:rsidP="001A4860">
            <w:pPr>
              <w:autoSpaceDE w:val="0"/>
              <w:autoSpaceDN w:val="0"/>
              <w:adjustRightInd w:val="0"/>
              <w:spacing w:line="256" w:lineRule="auto"/>
              <w:jc w:val="center"/>
              <w:rPr>
                <w:rFonts w:ascii="Calibri" w:eastAsia="Calibri" w:hAnsi="Calibri" w:cs="Calibri"/>
                <w:color w:val="000000"/>
                <w:szCs w:val="22"/>
                <w:lang w:val="es-NI"/>
              </w:rPr>
            </w:pPr>
          </w:p>
          <w:p w14:paraId="2EACEAFF" w14:textId="77777777" w:rsidR="001A4860" w:rsidRPr="001A4860" w:rsidRDefault="001A4860" w:rsidP="001A4860">
            <w:pPr>
              <w:spacing w:line="256" w:lineRule="auto"/>
              <w:jc w:val="center"/>
              <w:rPr>
                <w:rFonts w:ascii="Calibri" w:eastAsia="Calibri" w:hAnsi="Calibri" w:cs="Calibri"/>
                <w:szCs w:val="22"/>
                <w:lang w:val="es-NI"/>
              </w:rPr>
            </w:pPr>
          </w:p>
        </w:tc>
        <w:tc>
          <w:tcPr>
            <w:tcW w:w="1843" w:type="dxa"/>
            <w:vAlign w:val="center"/>
          </w:tcPr>
          <w:p w14:paraId="3ABFF781" w14:textId="77777777" w:rsidR="001A4860" w:rsidRPr="001A4860" w:rsidRDefault="001A4860" w:rsidP="001A4860">
            <w:pPr>
              <w:spacing w:line="256" w:lineRule="auto"/>
              <w:jc w:val="center"/>
              <w:rPr>
                <w:rFonts w:ascii="Calibri" w:eastAsia="Calibri" w:hAnsi="Calibri" w:cs="Calibri"/>
                <w:szCs w:val="22"/>
                <w:lang w:val="es-NI"/>
              </w:rPr>
            </w:pPr>
          </w:p>
          <w:p w14:paraId="7186D28C"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Facilitador Social Individual</w:t>
            </w:r>
          </w:p>
        </w:tc>
      </w:tr>
      <w:tr w:rsidR="001A4860" w:rsidRPr="001A4860" w14:paraId="4053274E" w14:textId="77777777" w:rsidTr="001A4860">
        <w:trPr>
          <w:trHeight w:val="1017"/>
        </w:trPr>
        <w:tc>
          <w:tcPr>
            <w:tcW w:w="1844" w:type="dxa"/>
            <w:vAlign w:val="center"/>
          </w:tcPr>
          <w:p w14:paraId="599A1F10" w14:textId="77777777" w:rsidR="001A4860" w:rsidRPr="001A4860" w:rsidRDefault="001A4860" w:rsidP="001A4860">
            <w:pPr>
              <w:spacing w:line="256" w:lineRule="auto"/>
              <w:jc w:val="center"/>
              <w:rPr>
                <w:rFonts w:ascii="Calibri" w:eastAsia="Calibri" w:hAnsi="Calibri" w:cs="Calibri"/>
                <w:szCs w:val="22"/>
                <w:lang w:val="es-NI"/>
              </w:rPr>
            </w:pPr>
          </w:p>
          <w:p w14:paraId="08A67D56"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Ley 722 “ Ley Especial de CAPS”</w:t>
            </w:r>
          </w:p>
        </w:tc>
        <w:tc>
          <w:tcPr>
            <w:tcW w:w="1417" w:type="dxa"/>
            <w:vAlign w:val="center"/>
          </w:tcPr>
          <w:p w14:paraId="7622FB85"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CAPS</w:t>
            </w:r>
          </w:p>
        </w:tc>
        <w:tc>
          <w:tcPr>
            <w:tcW w:w="1276" w:type="dxa"/>
            <w:vAlign w:val="center"/>
          </w:tcPr>
          <w:p w14:paraId="37180EC2"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Post Obra</w:t>
            </w:r>
          </w:p>
        </w:tc>
        <w:tc>
          <w:tcPr>
            <w:tcW w:w="1559" w:type="dxa"/>
            <w:vAlign w:val="center"/>
          </w:tcPr>
          <w:p w14:paraId="30FB029E"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Una sola vez</w:t>
            </w:r>
          </w:p>
        </w:tc>
        <w:tc>
          <w:tcPr>
            <w:tcW w:w="1559" w:type="dxa"/>
            <w:vMerge/>
            <w:vAlign w:val="center"/>
          </w:tcPr>
          <w:p w14:paraId="28A02E95" w14:textId="77777777" w:rsidR="001A4860" w:rsidRPr="001A4860" w:rsidRDefault="001A4860" w:rsidP="001A4860">
            <w:pPr>
              <w:spacing w:line="256" w:lineRule="auto"/>
              <w:jc w:val="center"/>
              <w:rPr>
                <w:rFonts w:ascii="Calibri" w:eastAsia="Calibri" w:hAnsi="Calibri" w:cs="Calibri"/>
                <w:szCs w:val="22"/>
                <w:lang w:val="es-NI"/>
              </w:rPr>
            </w:pPr>
          </w:p>
        </w:tc>
        <w:tc>
          <w:tcPr>
            <w:tcW w:w="1843" w:type="dxa"/>
            <w:vAlign w:val="center"/>
          </w:tcPr>
          <w:p w14:paraId="2427D309" w14:textId="77777777" w:rsidR="001A4860" w:rsidRPr="001A4860" w:rsidRDefault="001A4860" w:rsidP="001A4860">
            <w:pPr>
              <w:spacing w:line="256" w:lineRule="auto"/>
              <w:jc w:val="center"/>
              <w:rPr>
                <w:rFonts w:ascii="Calibri" w:eastAsia="Calibri" w:hAnsi="Calibri" w:cs="Calibri"/>
                <w:szCs w:val="22"/>
                <w:lang w:val="es-NI"/>
              </w:rPr>
            </w:pPr>
          </w:p>
          <w:p w14:paraId="26D7CFFF"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Facilitador Social Individual</w:t>
            </w:r>
          </w:p>
        </w:tc>
      </w:tr>
    </w:tbl>
    <w:p w14:paraId="5117A19E" w14:textId="77777777" w:rsidR="001A4860" w:rsidRDefault="001A4860" w:rsidP="001A4860">
      <w:pPr>
        <w:spacing w:after="160" w:line="256" w:lineRule="auto"/>
        <w:jc w:val="left"/>
        <w:rPr>
          <w:rFonts w:ascii="Calibri" w:eastAsia="Calibri" w:hAnsi="Calibri" w:cs="Calibri"/>
          <w:b/>
          <w:sz w:val="22"/>
          <w:szCs w:val="22"/>
          <w:lang w:val="es-NI"/>
        </w:rPr>
      </w:pPr>
    </w:p>
    <w:p w14:paraId="12A012C7" w14:textId="77777777" w:rsidR="001A4860" w:rsidRPr="001A4860" w:rsidRDefault="001A4860" w:rsidP="001A4860">
      <w:pPr>
        <w:spacing w:after="160" w:line="256" w:lineRule="auto"/>
        <w:jc w:val="left"/>
        <w:rPr>
          <w:rFonts w:ascii="Calibri" w:eastAsia="Calibri" w:hAnsi="Calibri" w:cs="Calibri"/>
          <w:b/>
          <w:sz w:val="22"/>
          <w:szCs w:val="22"/>
          <w:lang w:val="es-NI"/>
        </w:rPr>
      </w:pPr>
      <w:r w:rsidRPr="001A4860">
        <w:rPr>
          <w:rFonts w:ascii="Calibri" w:eastAsia="Calibri" w:hAnsi="Calibri" w:cs="Calibri"/>
          <w:b/>
          <w:sz w:val="22"/>
          <w:szCs w:val="22"/>
          <w:lang w:val="es-NI"/>
        </w:rPr>
        <w:t>EDUCACIÓN AMBIENTAL</w:t>
      </w:r>
    </w:p>
    <w:p w14:paraId="21FD10BF" w14:textId="77777777" w:rsidR="001A4860" w:rsidRPr="001A4860" w:rsidRDefault="001A4860" w:rsidP="001A4860">
      <w:pPr>
        <w:spacing w:after="160" w:line="256" w:lineRule="auto"/>
        <w:rPr>
          <w:rFonts w:ascii="Calibri" w:eastAsia="Calibri" w:hAnsi="Calibri" w:cs="Calibri"/>
          <w:sz w:val="22"/>
          <w:szCs w:val="22"/>
          <w:lang w:val="es-NI"/>
        </w:rPr>
      </w:pPr>
      <w:r w:rsidRPr="001A4860">
        <w:rPr>
          <w:rFonts w:ascii="Calibri" w:eastAsia="Calibri" w:hAnsi="Calibri" w:cs="Calibri"/>
          <w:sz w:val="22"/>
          <w:szCs w:val="22"/>
          <w:lang w:val="es-NI"/>
        </w:rPr>
        <w:t xml:space="preserve">El plan de Educación Ambiental está dirigido al Comité de Agua y Saneamiento (CAPS) y comunidad en general, con el objetivo de fomentar interés, cuido e importancia para la mejora del medio natural de la zona de influencia del proyecto. </w:t>
      </w:r>
    </w:p>
    <w:tbl>
      <w:tblPr>
        <w:tblStyle w:val="Tablaconcuadrcula3"/>
        <w:tblW w:w="9498" w:type="dxa"/>
        <w:tblInd w:w="-289" w:type="dxa"/>
        <w:tblLook w:val="04A0" w:firstRow="1" w:lastRow="0" w:firstColumn="1" w:lastColumn="0" w:noHBand="0" w:noVBand="1"/>
      </w:tblPr>
      <w:tblGrid>
        <w:gridCol w:w="2120"/>
        <w:gridCol w:w="1416"/>
        <w:gridCol w:w="1415"/>
        <w:gridCol w:w="1369"/>
        <w:gridCol w:w="1551"/>
        <w:gridCol w:w="1627"/>
      </w:tblGrid>
      <w:tr w:rsidR="001A4860" w:rsidRPr="001A4860" w14:paraId="7ADC0B90" w14:textId="77777777" w:rsidTr="001A4860">
        <w:tc>
          <w:tcPr>
            <w:tcW w:w="2120" w:type="dxa"/>
          </w:tcPr>
          <w:p w14:paraId="04782890"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TEMÁTICA</w:t>
            </w:r>
          </w:p>
        </w:tc>
        <w:tc>
          <w:tcPr>
            <w:tcW w:w="1416" w:type="dxa"/>
          </w:tcPr>
          <w:p w14:paraId="10B8C022"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PERSONAL A CAPACITAR</w:t>
            </w:r>
          </w:p>
        </w:tc>
        <w:tc>
          <w:tcPr>
            <w:tcW w:w="1415" w:type="dxa"/>
          </w:tcPr>
          <w:p w14:paraId="1AAF8516"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 xml:space="preserve">ETAPA DEL PROYECTO </w:t>
            </w:r>
          </w:p>
        </w:tc>
        <w:tc>
          <w:tcPr>
            <w:tcW w:w="1369" w:type="dxa"/>
          </w:tcPr>
          <w:p w14:paraId="5A916153"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PERIODO Ó FRECUENCIA</w:t>
            </w:r>
          </w:p>
        </w:tc>
        <w:tc>
          <w:tcPr>
            <w:tcW w:w="1551" w:type="dxa"/>
          </w:tcPr>
          <w:p w14:paraId="164FA02C"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COSTOS</w:t>
            </w:r>
          </w:p>
        </w:tc>
        <w:tc>
          <w:tcPr>
            <w:tcW w:w="1627" w:type="dxa"/>
          </w:tcPr>
          <w:p w14:paraId="07C0647F" w14:textId="77777777" w:rsidR="001A4860" w:rsidRPr="001A4860" w:rsidRDefault="001A4860" w:rsidP="001A4860">
            <w:pPr>
              <w:spacing w:line="256" w:lineRule="auto"/>
              <w:jc w:val="left"/>
              <w:rPr>
                <w:rFonts w:ascii="Calibri" w:eastAsia="Calibri" w:hAnsi="Calibri" w:cs="Calibri"/>
                <w:b/>
                <w:szCs w:val="22"/>
                <w:lang w:val="es-NI"/>
              </w:rPr>
            </w:pPr>
            <w:r w:rsidRPr="001A4860">
              <w:rPr>
                <w:rFonts w:ascii="Calibri" w:eastAsia="Calibri" w:hAnsi="Calibri" w:cs="Calibri"/>
                <w:b/>
                <w:szCs w:val="22"/>
                <w:lang w:val="es-NI"/>
              </w:rPr>
              <w:t>RESPONSABLES</w:t>
            </w:r>
          </w:p>
        </w:tc>
      </w:tr>
      <w:tr w:rsidR="001A4860" w:rsidRPr="001A4860" w14:paraId="4F8F593B" w14:textId="77777777" w:rsidTr="001A4860">
        <w:trPr>
          <w:trHeight w:val="1017"/>
        </w:trPr>
        <w:tc>
          <w:tcPr>
            <w:tcW w:w="2120" w:type="dxa"/>
            <w:vAlign w:val="center"/>
          </w:tcPr>
          <w:p w14:paraId="66B492B0"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Conceptos Básicos de Medio Ambiental</w:t>
            </w:r>
          </w:p>
        </w:tc>
        <w:tc>
          <w:tcPr>
            <w:tcW w:w="1416" w:type="dxa"/>
            <w:vAlign w:val="center"/>
          </w:tcPr>
          <w:p w14:paraId="386C620C"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CAPS</w:t>
            </w:r>
          </w:p>
        </w:tc>
        <w:tc>
          <w:tcPr>
            <w:tcW w:w="1415" w:type="dxa"/>
            <w:vAlign w:val="center"/>
          </w:tcPr>
          <w:p w14:paraId="30FA46B8"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Ejecución</w:t>
            </w:r>
          </w:p>
          <w:p w14:paraId="0C77CAF4" w14:textId="77777777" w:rsidR="001A4860" w:rsidRPr="001A4860" w:rsidRDefault="001A4860" w:rsidP="001A4860">
            <w:pPr>
              <w:spacing w:line="256" w:lineRule="auto"/>
              <w:jc w:val="center"/>
              <w:rPr>
                <w:rFonts w:ascii="Calibri" w:eastAsia="Calibri" w:hAnsi="Calibri" w:cs="Calibri"/>
                <w:szCs w:val="22"/>
                <w:lang w:val="es-NI"/>
              </w:rPr>
            </w:pPr>
          </w:p>
        </w:tc>
        <w:tc>
          <w:tcPr>
            <w:tcW w:w="1369" w:type="dxa"/>
            <w:vAlign w:val="center"/>
          </w:tcPr>
          <w:p w14:paraId="6AB19867"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Una sola vez</w:t>
            </w:r>
          </w:p>
          <w:p w14:paraId="3A30963D" w14:textId="77777777" w:rsidR="001A4860" w:rsidRPr="001A4860" w:rsidRDefault="001A4860" w:rsidP="001A4860">
            <w:pPr>
              <w:spacing w:line="256" w:lineRule="auto"/>
              <w:jc w:val="center"/>
              <w:rPr>
                <w:rFonts w:ascii="Calibri" w:eastAsia="Calibri" w:hAnsi="Calibri" w:cs="Calibri"/>
                <w:szCs w:val="22"/>
                <w:lang w:val="es-NI"/>
              </w:rPr>
            </w:pPr>
          </w:p>
        </w:tc>
        <w:tc>
          <w:tcPr>
            <w:tcW w:w="1551" w:type="dxa"/>
            <w:vMerge w:val="restart"/>
            <w:vAlign w:val="center"/>
          </w:tcPr>
          <w:p w14:paraId="75006E6F" w14:textId="77777777" w:rsidR="001A4860" w:rsidRPr="001A4860" w:rsidRDefault="001A4860" w:rsidP="001A4860">
            <w:pPr>
              <w:autoSpaceDE w:val="0"/>
              <w:autoSpaceDN w:val="0"/>
              <w:adjustRightInd w:val="0"/>
              <w:spacing w:line="256" w:lineRule="auto"/>
              <w:jc w:val="center"/>
              <w:rPr>
                <w:rFonts w:ascii="Calibri" w:eastAsia="Calibri" w:hAnsi="Calibri" w:cs="Calibri"/>
                <w:color w:val="000000"/>
                <w:szCs w:val="22"/>
                <w:lang w:val="es-NI"/>
              </w:rPr>
            </w:pPr>
            <w:r w:rsidRPr="001A4860">
              <w:rPr>
                <w:rFonts w:ascii="Calibri" w:eastAsia="Calibri" w:hAnsi="Calibri" w:cs="Calibri"/>
                <w:color w:val="000000"/>
                <w:szCs w:val="22"/>
                <w:lang w:val="es-NI"/>
              </w:rPr>
              <w:t>Incluido en las</w:t>
            </w:r>
          </w:p>
          <w:p w14:paraId="2C999515" w14:textId="77777777" w:rsidR="001A4860" w:rsidRPr="001A4860" w:rsidRDefault="001A4860" w:rsidP="001A4860">
            <w:pPr>
              <w:autoSpaceDE w:val="0"/>
              <w:autoSpaceDN w:val="0"/>
              <w:adjustRightInd w:val="0"/>
              <w:spacing w:line="256" w:lineRule="auto"/>
              <w:jc w:val="center"/>
              <w:rPr>
                <w:rFonts w:ascii="Calibri" w:eastAsia="Calibri" w:hAnsi="Calibri" w:cs="Calibri"/>
                <w:szCs w:val="24"/>
                <w:lang w:val="es-NI"/>
              </w:rPr>
            </w:pPr>
            <w:r w:rsidRPr="001A4860">
              <w:rPr>
                <w:rFonts w:ascii="Calibri" w:eastAsia="Calibri" w:hAnsi="Calibri" w:cs="Calibri"/>
                <w:color w:val="000000"/>
                <w:szCs w:val="22"/>
                <w:lang w:val="es-NI"/>
              </w:rPr>
              <w:t>actividades sociales del</w:t>
            </w:r>
          </w:p>
          <w:p w14:paraId="1AF90ABE" w14:textId="77777777" w:rsidR="001A4860" w:rsidRPr="001A4860" w:rsidRDefault="001A4860" w:rsidP="001A4860">
            <w:pPr>
              <w:autoSpaceDE w:val="0"/>
              <w:autoSpaceDN w:val="0"/>
              <w:adjustRightInd w:val="0"/>
              <w:spacing w:line="256" w:lineRule="auto"/>
              <w:jc w:val="center"/>
              <w:rPr>
                <w:rFonts w:ascii="Calibri" w:eastAsia="Calibri" w:hAnsi="Calibri" w:cs="Calibri"/>
                <w:color w:val="000000"/>
                <w:szCs w:val="22"/>
                <w:lang w:val="es-NI"/>
              </w:rPr>
            </w:pPr>
            <w:r w:rsidRPr="001A4860">
              <w:rPr>
                <w:rFonts w:ascii="Calibri" w:eastAsia="Calibri" w:hAnsi="Calibri" w:cs="Calibri"/>
                <w:color w:val="000000"/>
                <w:szCs w:val="22"/>
                <w:lang w:val="es-NI"/>
              </w:rPr>
              <w:t>facilitador Social</w:t>
            </w:r>
          </w:p>
          <w:p w14:paraId="5F1DD2C5" w14:textId="77777777" w:rsidR="001A4860" w:rsidRPr="001A4860" w:rsidRDefault="001A4860" w:rsidP="001A4860">
            <w:pPr>
              <w:autoSpaceDE w:val="0"/>
              <w:autoSpaceDN w:val="0"/>
              <w:adjustRightInd w:val="0"/>
              <w:spacing w:line="256" w:lineRule="auto"/>
              <w:jc w:val="center"/>
              <w:rPr>
                <w:rFonts w:ascii="Calibri" w:eastAsia="Calibri" w:hAnsi="Calibri" w:cs="Calibri"/>
                <w:color w:val="000000"/>
                <w:szCs w:val="22"/>
                <w:lang w:val="es-NI"/>
              </w:rPr>
            </w:pPr>
          </w:p>
          <w:p w14:paraId="162BAECE" w14:textId="77777777" w:rsidR="001A4860" w:rsidRPr="001A4860" w:rsidRDefault="001A4860" w:rsidP="001A4860">
            <w:pPr>
              <w:spacing w:line="256" w:lineRule="auto"/>
              <w:jc w:val="center"/>
              <w:rPr>
                <w:rFonts w:ascii="Calibri" w:eastAsia="Calibri" w:hAnsi="Calibri" w:cs="Calibri"/>
                <w:szCs w:val="22"/>
                <w:lang w:val="es-NI"/>
              </w:rPr>
            </w:pPr>
          </w:p>
        </w:tc>
        <w:tc>
          <w:tcPr>
            <w:tcW w:w="1627" w:type="dxa"/>
            <w:vAlign w:val="center"/>
          </w:tcPr>
          <w:p w14:paraId="24DDC325" w14:textId="77777777" w:rsidR="001A4860" w:rsidRPr="001A4860" w:rsidRDefault="001A4860" w:rsidP="001A4860">
            <w:pPr>
              <w:spacing w:line="256" w:lineRule="auto"/>
              <w:jc w:val="center"/>
              <w:rPr>
                <w:rFonts w:ascii="Calibri" w:eastAsia="Calibri" w:hAnsi="Calibri" w:cs="Calibri"/>
                <w:szCs w:val="22"/>
                <w:lang w:val="es-NI"/>
              </w:rPr>
            </w:pPr>
          </w:p>
          <w:p w14:paraId="6A941FA8"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Facilitador Social Individual</w:t>
            </w:r>
          </w:p>
        </w:tc>
      </w:tr>
      <w:tr w:rsidR="001A4860" w:rsidRPr="001A4860" w14:paraId="0F67663B" w14:textId="77777777" w:rsidTr="001A4860">
        <w:trPr>
          <w:trHeight w:val="1017"/>
        </w:trPr>
        <w:tc>
          <w:tcPr>
            <w:tcW w:w="2120" w:type="dxa"/>
          </w:tcPr>
          <w:p w14:paraId="495F072C"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Metodología FECSA ( Hábitos higiénicos, manejo de agua, manejo de desechos sólidos, y excretas)</w:t>
            </w:r>
          </w:p>
        </w:tc>
        <w:tc>
          <w:tcPr>
            <w:tcW w:w="1416" w:type="dxa"/>
            <w:vAlign w:val="center"/>
          </w:tcPr>
          <w:p w14:paraId="5DA2FB8C"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Comunidad</w:t>
            </w:r>
          </w:p>
        </w:tc>
        <w:tc>
          <w:tcPr>
            <w:tcW w:w="1415" w:type="dxa"/>
            <w:vAlign w:val="center"/>
          </w:tcPr>
          <w:p w14:paraId="50991E86"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Ejecución/ Post Obra</w:t>
            </w:r>
          </w:p>
        </w:tc>
        <w:tc>
          <w:tcPr>
            <w:tcW w:w="1369" w:type="dxa"/>
            <w:vAlign w:val="center"/>
          </w:tcPr>
          <w:p w14:paraId="1D34CD67"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Visita casa a casa</w:t>
            </w:r>
          </w:p>
        </w:tc>
        <w:tc>
          <w:tcPr>
            <w:tcW w:w="1551" w:type="dxa"/>
            <w:vMerge/>
          </w:tcPr>
          <w:p w14:paraId="0DB8B047" w14:textId="77777777" w:rsidR="001A4860" w:rsidRPr="001A4860" w:rsidRDefault="001A4860" w:rsidP="001A4860">
            <w:pPr>
              <w:spacing w:line="256" w:lineRule="auto"/>
              <w:jc w:val="center"/>
              <w:rPr>
                <w:rFonts w:ascii="Calibri" w:eastAsia="Calibri" w:hAnsi="Calibri" w:cs="Calibri"/>
                <w:szCs w:val="22"/>
                <w:lang w:val="es-NI"/>
              </w:rPr>
            </w:pPr>
          </w:p>
        </w:tc>
        <w:tc>
          <w:tcPr>
            <w:tcW w:w="1627" w:type="dxa"/>
            <w:vAlign w:val="center"/>
          </w:tcPr>
          <w:p w14:paraId="014F4EB1" w14:textId="77777777" w:rsidR="001A4860" w:rsidRPr="001A4860" w:rsidRDefault="001A4860" w:rsidP="001A4860">
            <w:pPr>
              <w:spacing w:line="256" w:lineRule="auto"/>
              <w:jc w:val="center"/>
              <w:rPr>
                <w:rFonts w:ascii="Calibri" w:eastAsia="Calibri" w:hAnsi="Calibri" w:cs="Calibri"/>
                <w:szCs w:val="22"/>
                <w:lang w:val="es-NI"/>
              </w:rPr>
            </w:pPr>
          </w:p>
          <w:p w14:paraId="5A8A86EF" w14:textId="77777777" w:rsidR="001A4860" w:rsidRPr="001A4860" w:rsidRDefault="001A4860" w:rsidP="001A4860">
            <w:pPr>
              <w:spacing w:line="256" w:lineRule="auto"/>
              <w:jc w:val="center"/>
              <w:rPr>
                <w:rFonts w:ascii="Calibri" w:eastAsia="Calibri" w:hAnsi="Calibri" w:cs="Calibri"/>
                <w:szCs w:val="22"/>
                <w:lang w:val="es-NI"/>
              </w:rPr>
            </w:pPr>
            <w:r w:rsidRPr="001A4860">
              <w:rPr>
                <w:rFonts w:ascii="Calibri" w:eastAsia="Calibri" w:hAnsi="Calibri" w:cs="Calibri"/>
                <w:szCs w:val="22"/>
                <w:lang w:val="es-NI"/>
              </w:rPr>
              <w:t>Facilitador Social Individual</w:t>
            </w:r>
          </w:p>
        </w:tc>
      </w:tr>
    </w:tbl>
    <w:p w14:paraId="0CC9977D" w14:textId="77777777" w:rsidR="001A4860" w:rsidRPr="001A4860" w:rsidRDefault="001A4860" w:rsidP="001A4860">
      <w:pPr>
        <w:spacing w:after="160" w:line="256" w:lineRule="auto"/>
        <w:jc w:val="left"/>
        <w:rPr>
          <w:rFonts w:ascii="Calibri" w:eastAsia="Calibri" w:hAnsi="Calibri" w:cs="Calibri"/>
          <w:sz w:val="22"/>
          <w:szCs w:val="22"/>
          <w:lang w:val="es-NI"/>
        </w:rPr>
      </w:pPr>
    </w:p>
    <w:p w14:paraId="2CC556C6" w14:textId="77777777" w:rsidR="001A4860" w:rsidRPr="001A4860" w:rsidRDefault="001A4860" w:rsidP="001A4860">
      <w:pPr>
        <w:spacing w:after="160" w:line="256" w:lineRule="auto"/>
        <w:rPr>
          <w:rFonts w:ascii="Calibri" w:eastAsia="Calibri" w:hAnsi="Calibri" w:cs="Calibri"/>
          <w:sz w:val="22"/>
          <w:szCs w:val="22"/>
          <w:lang w:val="es-ES"/>
        </w:rPr>
      </w:pPr>
      <w:r w:rsidRPr="001A4860">
        <w:rPr>
          <w:rFonts w:ascii="Calibri" w:eastAsia="Calibri" w:hAnsi="Calibri" w:cs="Calibri"/>
          <w:sz w:val="22"/>
          <w:szCs w:val="22"/>
          <w:lang w:val="es-NI"/>
        </w:rPr>
        <w:t>En la ejecución de los planes de acción: Plan de Capacitación y Educación Ambiental la Facilitadora Social Individual</w:t>
      </w:r>
      <w:r w:rsidRPr="001A4860">
        <w:rPr>
          <w:rFonts w:ascii="Calibri" w:eastAsia="Calibri" w:hAnsi="Calibri" w:cs="Calibri"/>
          <w:sz w:val="22"/>
          <w:szCs w:val="22"/>
          <w:lang w:val="es-ES"/>
        </w:rPr>
        <w:t xml:space="preserve"> establecerá un cronograma y se generará registros de asistencia de los participantes. </w:t>
      </w:r>
    </w:p>
    <w:p w14:paraId="299EC4E5" w14:textId="77777777" w:rsidR="001A4860" w:rsidRPr="001A4860" w:rsidRDefault="001A4860" w:rsidP="001A4860">
      <w:pPr>
        <w:spacing w:after="160" w:line="256" w:lineRule="auto"/>
        <w:rPr>
          <w:rFonts w:ascii="Calibri" w:eastAsia="Calibri" w:hAnsi="Calibri" w:cs="Calibri"/>
          <w:sz w:val="22"/>
          <w:szCs w:val="22"/>
          <w:lang w:val="es-ES"/>
        </w:rPr>
      </w:pPr>
      <w:r w:rsidRPr="001A4860">
        <w:rPr>
          <w:rFonts w:ascii="Calibri" w:eastAsia="Calibri" w:hAnsi="Calibri" w:cs="Calibri"/>
          <w:sz w:val="22"/>
          <w:szCs w:val="22"/>
          <w:lang w:val="es-ES"/>
        </w:rPr>
        <w:t xml:space="preserve">La capacitación y concientización tienen el propósito de impartir conceptos generales sobre medio ambiente; gestión ambiental; buenas prácticas de manejo ambiental; manejo de agua. </w:t>
      </w:r>
    </w:p>
    <w:p w14:paraId="4AF44C4C" w14:textId="77777777" w:rsidR="001A4860" w:rsidRPr="001A4860" w:rsidRDefault="001A4860" w:rsidP="001A4860">
      <w:pPr>
        <w:spacing w:after="160" w:line="256" w:lineRule="auto"/>
        <w:jc w:val="left"/>
        <w:rPr>
          <w:rFonts w:ascii="Calibri" w:eastAsia="Calibri" w:hAnsi="Calibri" w:cs="Calibri"/>
          <w:sz w:val="22"/>
          <w:szCs w:val="22"/>
          <w:lang w:val="es-NI"/>
        </w:rPr>
      </w:pPr>
    </w:p>
    <w:p w14:paraId="191FE7EA" w14:textId="77777777" w:rsidR="001A4860" w:rsidRPr="001A4860" w:rsidRDefault="001A4860" w:rsidP="001A4860">
      <w:pPr>
        <w:spacing w:after="160" w:line="256" w:lineRule="auto"/>
        <w:rPr>
          <w:rFonts w:ascii="Calibri" w:eastAsia="Calibri" w:hAnsi="Calibri" w:cs="Calibri"/>
          <w:b/>
          <w:bCs/>
          <w:sz w:val="22"/>
          <w:szCs w:val="22"/>
          <w:u w:val="single"/>
          <w:lang w:val="es-NI"/>
        </w:rPr>
      </w:pPr>
      <w:r w:rsidRPr="001A4860">
        <w:rPr>
          <w:rFonts w:ascii="Calibri" w:eastAsia="Calibri" w:hAnsi="Calibri" w:cs="Calibri"/>
          <w:b/>
          <w:bCs/>
          <w:sz w:val="22"/>
          <w:szCs w:val="22"/>
          <w:u w:val="single"/>
          <w:lang w:val="es-NI"/>
        </w:rPr>
        <w:t>AUTORIZACIÓN AMBIENTAL DTMZ-081020-A0014-0 “PROYECTO 19962 AGUA Y SANEAMIENTO NARANJO NORTE”, MUNICIPIO TELPANECA</w:t>
      </w:r>
    </w:p>
    <w:p w14:paraId="7810A97C" w14:textId="77777777" w:rsidR="001A4860" w:rsidRPr="001A4860" w:rsidRDefault="001A4860" w:rsidP="001A4860">
      <w:pPr>
        <w:spacing w:after="160" w:line="256" w:lineRule="auto"/>
        <w:rPr>
          <w:rFonts w:ascii="Calibri" w:eastAsia="Calibri" w:hAnsi="Calibri" w:cs="Calibri"/>
          <w:b/>
          <w:bCs/>
          <w:sz w:val="22"/>
          <w:szCs w:val="22"/>
          <w:lang w:val="es-NI"/>
        </w:rPr>
      </w:pPr>
      <w:r w:rsidRPr="001A4860">
        <w:rPr>
          <w:rFonts w:ascii="Calibri" w:eastAsia="Calibri" w:hAnsi="Calibri" w:cs="Calibri"/>
          <w:noProof/>
          <w:sz w:val="22"/>
          <w:szCs w:val="22"/>
          <w:lang w:val="es-MX" w:eastAsia="es-MX"/>
        </w:rPr>
        <w:lastRenderedPageBreak/>
        <w:drawing>
          <wp:inline distT="0" distB="0" distL="0" distR="0" wp14:anchorId="4877A3FA" wp14:editId="30DA8424">
            <wp:extent cx="5939521" cy="7081736"/>
            <wp:effectExtent l="0" t="0" r="444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6301" cy="7089820"/>
                    </a:xfrm>
                    <a:prstGeom prst="rect">
                      <a:avLst/>
                    </a:prstGeom>
                  </pic:spPr>
                </pic:pic>
              </a:graphicData>
            </a:graphic>
          </wp:inline>
        </w:drawing>
      </w:r>
    </w:p>
    <w:p w14:paraId="32430411" w14:textId="77777777" w:rsidR="001A4860" w:rsidRPr="001A4860" w:rsidRDefault="001A4860" w:rsidP="001A4860">
      <w:pPr>
        <w:spacing w:after="160" w:line="256" w:lineRule="auto"/>
        <w:rPr>
          <w:rFonts w:ascii="Calibri" w:eastAsia="Calibri" w:hAnsi="Calibri" w:cs="Calibri"/>
          <w:b/>
          <w:bCs/>
          <w:sz w:val="22"/>
          <w:szCs w:val="22"/>
          <w:lang w:val="es-NI"/>
        </w:rPr>
      </w:pPr>
    </w:p>
    <w:p w14:paraId="4FFFCA21" w14:textId="77777777" w:rsidR="001A4860" w:rsidRPr="001A4860" w:rsidRDefault="001A4860" w:rsidP="001A4860">
      <w:pPr>
        <w:spacing w:after="160" w:line="256" w:lineRule="auto"/>
        <w:rPr>
          <w:rFonts w:ascii="Calibri" w:eastAsia="Calibri" w:hAnsi="Calibri" w:cs="Calibri"/>
          <w:b/>
          <w:bCs/>
          <w:sz w:val="22"/>
          <w:szCs w:val="22"/>
          <w:lang w:val="es-NI"/>
        </w:rPr>
      </w:pPr>
    </w:p>
    <w:p w14:paraId="22FA388B" w14:textId="77777777" w:rsidR="001A4860" w:rsidRPr="001A4860" w:rsidRDefault="001A4860" w:rsidP="001A4860">
      <w:pPr>
        <w:spacing w:after="160" w:line="256" w:lineRule="auto"/>
        <w:rPr>
          <w:rFonts w:ascii="Calibri" w:eastAsia="Calibri" w:hAnsi="Calibri" w:cs="Calibri"/>
          <w:b/>
          <w:bCs/>
          <w:sz w:val="22"/>
          <w:szCs w:val="22"/>
          <w:lang w:val="es-NI"/>
        </w:rPr>
      </w:pPr>
      <w:r w:rsidRPr="001A4860">
        <w:rPr>
          <w:rFonts w:ascii="Calibri" w:eastAsia="Calibri" w:hAnsi="Calibri" w:cs="Calibri"/>
          <w:noProof/>
          <w:sz w:val="22"/>
          <w:szCs w:val="22"/>
          <w:lang w:val="es-MX" w:eastAsia="es-MX"/>
        </w:rPr>
        <w:lastRenderedPageBreak/>
        <w:drawing>
          <wp:inline distT="0" distB="0" distL="0" distR="0" wp14:anchorId="4A0C1625" wp14:editId="4CBA64B4">
            <wp:extent cx="6162389" cy="74708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65972" cy="7475186"/>
                    </a:xfrm>
                    <a:prstGeom prst="rect">
                      <a:avLst/>
                    </a:prstGeom>
                  </pic:spPr>
                </pic:pic>
              </a:graphicData>
            </a:graphic>
          </wp:inline>
        </w:drawing>
      </w:r>
    </w:p>
    <w:p w14:paraId="7457FD31" w14:textId="77777777" w:rsidR="001A4860" w:rsidRPr="001A4860" w:rsidRDefault="001A4860" w:rsidP="001A4860">
      <w:pPr>
        <w:spacing w:after="160" w:line="256" w:lineRule="auto"/>
        <w:rPr>
          <w:rFonts w:ascii="Calibri" w:eastAsia="Calibri" w:hAnsi="Calibri" w:cs="Calibri"/>
          <w:b/>
          <w:bCs/>
          <w:sz w:val="22"/>
          <w:szCs w:val="22"/>
          <w:lang w:val="es-NI"/>
        </w:rPr>
      </w:pPr>
    </w:p>
    <w:p w14:paraId="6E9932B0" w14:textId="77777777" w:rsidR="001A4860" w:rsidRPr="001A4860" w:rsidRDefault="001A4860" w:rsidP="001A4860">
      <w:pPr>
        <w:spacing w:after="160" w:line="256" w:lineRule="auto"/>
        <w:rPr>
          <w:rFonts w:ascii="Calibri" w:eastAsia="Calibri" w:hAnsi="Calibri" w:cs="Calibri"/>
          <w:b/>
          <w:bCs/>
          <w:sz w:val="22"/>
          <w:szCs w:val="22"/>
          <w:lang w:val="es-NI"/>
        </w:rPr>
      </w:pPr>
    </w:p>
    <w:p w14:paraId="063A8DBD" w14:textId="77777777" w:rsidR="001A4860" w:rsidRPr="001A4860" w:rsidRDefault="001A4860" w:rsidP="001A4860">
      <w:pPr>
        <w:spacing w:after="160" w:line="256" w:lineRule="auto"/>
        <w:rPr>
          <w:rFonts w:ascii="Calibri" w:eastAsia="Calibri" w:hAnsi="Calibri" w:cs="Calibri"/>
          <w:b/>
          <w:bCs/>
          <w:sz w:val="22"/>
          <w:szCs w:val="22"/>
          <w:lang w:val="es-NI"/>
        </w:rPr>
      </w:pPr>
      <w:r w:rsidRPr="001A4860">
        <w:rPr>
          <w:rFonts w:ascii="Calibri" w:eastAsia="Calibri" w:hAnsi="Calibri" w:cs="Calibri"/>
          <w:noProof/>
          <w:sz w:val="22"/>
          <w:szCs w:val="22"/>
          <w:lang w:val="es-MX" w:eastAsia="es-MX"/>
        </w:rPr>
        <w:lastRenderedPageBreak/>
        <w:drawing>
          <wp:inline distT="0" distB="0" distL="0" distR="0" wp14:anchorId="25B6305F" wp14:editId="596A8454">
            <wp:extent cx="6107791" cy="7198468"/>
            <wp:effectExtent l="0" t="0" r="762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4368" cy="7206220"/>
                    </a:xfrm>
                    <a:prstGeom prst="rect">
                      <a:avLst/>
                    </a:prstGeom>
                  </pic:spPr>
                </pic:pic>
              </a:graphicData>
            </a:graphic>
          </wp:inline>
        </w:drawing>
      </w:r>
    </w:p>
    <w:p w14:paraId="0F5C529F" w14:textId="77777777" w:rsidR="001A4860" w:rsidRPr="001A4860" w:rsidRDefault="001A4860" w:rsidP="001A4860">
      <w:pPr>
        <w:spacing w:after="160" w:line="256" w:lineRule="auto"/>
        <w:rPr>
          <w:rFonts w:ascii="Calibri" w:eastAsia="Calibri" w:hAnsi="Calibri" w:cs="Calibri"/>
          <w:b/>
          <w:bCs/>
          <w:sz w:val="22"/>
          <w:szCs w:val="22"/>
          <w:lang w:val="es-NI"/>
        </w:rPr>
      </w:pPr>
    </w:p>
    <w:p w14:paraId="63DA51C3" w14:textId="77777777" w:rsidR="001A4860" w:rsidRPr="001A4860" w:rsidRDefault="001A4860" w:rsidP="001A4860">
      <w:pPr>
        <w:spacing w:after="160" w:line="256" w:lineRule="auto"/>
        <w:rPr>
          <w:rFonts w:ascii="Calibri" w:eastAsia="Calibri" w:hAnsi="Calibri" w:cs="Calibri"/>
          <w:b/>
          <w:bCs/>
          <w:sz w:val="22"/>
          <w:szCs w:val="22"/>
          <w:lang w:val="es-NI"/>
        </w:rPr>
      </w:pPr>
    </w:p>
    <w:p w14:paraId="497F81ED" w14:textId="77777777" w:rsidR="001A4860" w:rsidRPr="001A4860" w:rsidRDefault="001A4860" w:rsidP="001A4860">
      <w:pPr>
        <w:spacing w:after="160" w:line="256" w:lineRule="auto"/>
        <w:rPr>
          <w:rFonts w:ascii="Calibri" w:eastAsia="Calibri" w:hAnsi="Calibri" w:cs="Calibri"/>
          <w:b/>
          <w:bCs/>
          <w:sz w:val="22"/>
          <w:szCs w:val="22"/>
          <w:lang w:val="es-NI"/>
        </w:rPr>
      </w:pPr>
    </w:p>
    <w:p w14:paraId="3BA84401" w14:textId="77777777" w:rsidR="001A4860" w:rsidRPr="001A4860" w:rsidRDefault="001A4860" w:rsidP="001A4860">
      <w:pPr>
        <w:spacing w:after="160" w:line="256" w:lineRule="auto"/>
        <w:rPr>
          <w:rFonts w:ascii="Calibri" w:eastAsia="Calibri" w:hAnsi="Calibri" w:cs="Calibri"/>
          <w:b/>
          <w:bCs/>
          <w:sz w:val="22"/>
          <w:szCs w:val="22"/>
          <w:lang w:val="es-NI"/>
        </w:rPr>
      </w:pPr>
      <w:r w:rsidRPr="001A4860">
        <w:rPr>
          <w:rFonts w:ascii="Calibri" w:eastAsia="Calibri" w:hAnsi="Calibri" w:cs="Calibri"/>
          <w:noProof/>
          <w:sz w:val="22"/>
          <w:szCs w:val="22"/>
          <w:lang w:val="es-MX" w:eastAsia="es-MX"/>
        </w:rPr>
        <w:lastRenderedPageBreak/>
        <w:drawing>
          <wp:inline distT="0" distB="0" distL="0" distR="0" wp14:anchorId="66635FDB" wp14:editId="0D61507E">
            <wp:extent cx="5796177" cy="6984459"/>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4079" cy="6993981"/>
                    </a:xfrm>
                    <a:prstGeom prst="rect">
                      <a:avLst/>
                    </a:prstGeom>
                  </pic:spPr>
                </pic:pic>
              </a:graphicData>
            </a:graphic>
          </wp:inline>
        </w:drawing>
      </w:r>
    </w:p>
    <w:p w14:paraId="4145AB36" w14:textId="77777777" w:rsidR="001A4860" w:rsidRPr="001A4860" w:rsidRDefault="001A4860" w:rsidP="001A4860">
      <w:pPr>
        <w:spacing w:after="160" w:line="256" w:lineRule="auto"/>
        <w:rPr>
          <w:rFonts w:ascii="Calibri" w:eastAsia="Calibri" w:hAnsi="Calibri" w:cs="Calibri"/>
          <w:b/>
          <w:bCs/>
          <w:sz w:val="22"/>
          <w:szCs w:val="22"/>
          <w:lang w:val="es-NI"/>
        </w:rPr>
      </w:pPr>
    </w:p>
    <w:p w14:paraId="28C61015" w14:textId="77777777" w:rsidR="001A4860" w:rsidRPr="001A4860" w:rsidRDefault="001A4860" w:rsidP="001A4860">
      <w:pPr>
        <w:spacing w:after="160" w:line="256" w:lineRule="auto"/>
        <w:rPr>
          <w:rFonts w:ascii="Calibri" w:eastAsia="Calibri" w:hAnsi="Calibri" w:cs="Calibri"/>
          <w:b/>
          <w:bCs/>
          <w:sz w:val="22"/>
          <w:szCs w:val="22"/>
          <w:lang w:val="es-NI"/>
        </w:rPr>
      </w:pPr>
    </w:p>
    <w:p w14:paraId="5163CAD2" w14:textId="77777777" w:rsidR="001A4860" w:rsidRPr="001A4860" w:rsidRDefault="001A4860" w:rsidP="001A4860">
      <w:pPr>
        <w:spacing w:after="160" w:line="256" w:lineRule="auto"/>
        <w:rPr>
          <w:rFonts w:ascii="Calibri" w:eastAsia="Calibri" w:hAnsi="Calibri" w:cs="Calibri"/>
          <w:b/>
          <w:bCs/>
          <w:sz w:val="22"/>
          <w:szCs w:val="22"/>
          <w:lang w:val="es-NI"/>
        </w:rPr>
      </w:pPr>
    </w:p>
    <w:p w14:paraId="7C68C848" w14:textId="77777777" w:rsidR="001A4860" w:rsidRPr="001A4860" w:rsidRDefault="001A4860" w:rsidP="001A4860">
      <w:pPr>
        <w:spacing w:after="160" w:line="256" w:lineRule="auto"/>
        <w:rPr>
          <w:rFonts w:ascii="Calibri" w:eastAsia="Calibri" w:hAnsi="Calibri" w:cs="Calibri"/>
          <w:b/>
          <w:bCs/>
          <w:sz w:val="22"/>
          <w:szCs w:val="22"/>
          <w:lang w:val="es-NI"/>
        </w:rPr>
      </w:pPr>
    </w:p>
    <w:p w14:paraId="5AD864DF" w14:textId="77777777" w:rsidR="001A4860" w:rsidRPr="001A4860" w:rsidRDefault="001A4860" w:rsidP="001A4860">
      <w:pPr>
        <w:spacing w:after="160" w:line="256" w:lineRule="auto"/>
        <w:rPr>
          <w:rFonts w:ascii="Calibri" w:eastAsia="Calibri" w:hAnsi="Calibri" w:cs="Calibri"/>
          <w:b/>
          <w:bCs/>
          <w:sz w:val="22"/>
          <w:szCs w:val="22"/>
          <w:lang w:val="es-NI"/>
        </w:rPr>
      </w:pPr>
      <w:r w:rsidRPr="001A4860">
        <w:rPr>
          <w:rFonts w:ascii="Calibri" w:eastAsia="Calibri" w:hAnsi="Calibri" w:cs="Calibri"/>
          <w:noProof/>
          <w:sz w:val="22"/>
          <w:szCs w:val="22"/>
          <w:lang w:val="es-MX" w:eastAsia="es-MX"/>
        </w:rPr>
        <w:drawing>
          <wp:inline distT="0" distB="0" distL="0" distR="0" wp14:anchorId="6959B5E2" wp14:editId="31A37D36">
            <wp:extent cx="5856051" cy="735475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9287" cy="7371380"/>
                    </a:xfrm>
                    <a:prstGeom prst="rect">
                      <a:avLst/>
                    </a:prstGeom>
                  </pic:spPr>
                </pic:pic>
              </a:graphicData>
            </a:graphic>
          </wp:inline>
        </w:drawing>
      </w:r>
    </w:p>
    <w:p w14:paraId="3AA29C73" w14:textId="77777777" w:rsidR="001A4860" w:rsidRPr="001A4860" w:rsidRDefault="001A4860" w:rsidP="001A4860">
      <w:pPr>
        <w:spacing w:after="160" w:line="256" w:lineRule="auto"/>
        <w:rPr>
          <w:rFonts w:ascii="Calibri" w:eastAsia="Calibri" w:hAnsi="Calibri" w:cs="Calibri"/>
          <w:b/>
          <w:bCs/>
          <w:sz w:val="22"/>
          <w:szCs w:val="22"/>
          <w:lang w:val="es-NI"/>
        </w:rPr>
      </w:pPr>
      <w:r w:rsidRPr="001A4860">
        <w:rPr>
          <w:rFonts w:ascii="Calibri" w:eastAsia="Calibri" w:hAnsi="Calibri"/>
          <w:noProof/>
          <w:sz w:val="22"/>
          <w:szCs w:val="22"/>
          <w:lang w:val="es-MX" w:eastAsia="es-MX"/>
        </w:rPr>
        <w:lastRenderedPageBreak/>
        <w:drawing>
          <wp:inline distT="0" distB="0" distL="0" distR="0" wp14:anchorId="68075FD9" wp14:editId="7DF502DC">
            <wp:extent cx="6028820" cy="7938197"/>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2542" cy="7943098"/>
                    </a:xfrm>
                    <a:prstGeom prst="rect">
                      <a:avLst/>
                    </a:prstGeom>
                  </pic:spPr>
                </pic:pic>
              </a:graphicData>
            </a:graphic>
          </wp:inline>
        </w:drawing>
      </w:r>
    </w:p>
    <w:p w14:paraId="0B58AEAA" w14:textId="77777777" w:rsidR="001A4860" w:rsidRPr="001A4860" w:rsidRDefault="001A4860" w:rsidP="001A4860">
      <w:pPr>
        <w:jc w:val="left"/>
        <w:rPr>
          <w:rFonts w:eastAsia="Calibri"/>
          <w:b/>
          <w:szCs w:val="24"/>
          <w:lang w:val="es-ES"/>
        </w:rPr>
      </w:pPr>
      <w:r w:rsidRPr="001A4860">
        <w:rPr>
          <w:rFonts w:eastAsia="Calibri"/>
          <w:b/>
          <w:szCs w:val="24"/>
          <w:lang w:val="es-ES"/>
        </w:rPr>
        <w:lastRenderedPageBreak/>
        <w:t>ESPECIFICACIONES TÉCNICAS PARTICULARES</w:t>
      </w:r>
    </w:p>
    <w:p w14:paraId="64315CCA" w14:textId="77777777" w:rsidR="001A4860" w:rsidRPr="001A4860" w:rsidRDefault="001A4860" w:rsidP="001A4860">
      <w:pPr>
        <w:tabs>
          <w:tab w:val="center" w:pos="4419"/>
          <w:tab w:val="right" w:pos="8838"/>
        </w:tabs>
        <w:jc w:val="left"/>
        <w:rPr>
          <w:rFonts w:eastAsia="Calibri"/>
          <w:szCs w:val="24"/>
          <w:lang w:val="es-ES"/>
        </w:rPr>
      </w:pPr>
      <w:r w:rsidRPr="001A4860">
        <w:rPr>
          <w:rFonts w:eastAsia="Calibri"/>
          <w:szCs w:val="24"/>
          <w:highlight w:val="yellow"/>
          <w:lang w:val="es-ES"/>
        </w:rPr>
        <w:t>Proyecto 19842 Agua y Saneamiento Comunidad Zacatera (Lote 3)</w:t>
      </w:r>
    </w:p>
    <w:p w14:paraId="54C19197" w14:textId="77777777" w:rsidR="001A4860" w:rsidRPr="001A4860" w:rsidRDefault="001A4860" w:rsidP="001A4860">
      <w:pPr>
        <w:jc w:val="left"/>
        <w:rPr>
          <w:rFonts w:eastAsia="Calibri"/>
          <w:szCs w:val="24"/>
          <w:lang w:val="es-ES"/>
        </w:rPr>
      </w:pPr>
    </w:p>
    <w:p w14:paraId="20FB3063" w14:textId="77777777" w:rsidR="001A4860" w:rsidRPr="001A4860" w:rsidRDefault="001A4860" w:rsidP="001A4860">
      <w:pPr>
        <w:rPr>
          <w:rFonts w:eastAsia="Calibri"/>
          <w:b/>
          <w:szCs w:val="24"/>
          <w:lang w:val="es-ES"/>
        </w:rPr>
      </w:pPr>
      <w:r w:rsidRPr="001A4860">
        <w:rPr>
          <w:rFonts w:eastAsia="Calibri"/>
          <w:b/>
          <w:szCs w:val="24"/>
          <w:lang w:val="es-ES"/>
        </w:rPr>
        <w:t>INTRODUCCIÓN</w:t>
      </w:r>
    </w:p>
    <w:p w14:paraId="5F7C1A55" w14:textId="77777777" w:rsidR="001A4860" w:rsidRPr="001A4860" w:rsidRDefault="001A4860" w:rsidP="001A4860">
      <w:pPr>
        <w:rPr>
          <w:rFonts w:eastAsia="Calibri"/>
          <w:szCs w:val="24"/>
          <w:lang w:val="es-ES"/>
        </w:rPr>
      </w:pPr>
    </w:p>
    <w:p w14:paraId="370B1CF3"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Estas especificaciones cubren los aspectos relevantes de los suministros de bienes y servicios que se prevén necesarios para la realización de las Obras del Proyecto: 19842 Agua y Saneamiento Comunidad Zacatera, Municipio de Wiwilí de Nueva Segovia, Departamento de Nueva Segovia, denominadas en lo que sigue como el Proyecto. </w:t>
      </w:r>
    </w:p>
    <w:p w14:paraId="40626999" w14:textId="77777777" w:rsidR="001A4860" w:rsidRPr="001A4860" w:rsidRDefault="001A4860" w:rsidP="001A4860">
      <w:pPr>
        <w:rPr>
          <w:rFonts w:eastAsia="Calibri"/>
          <w:szCs w:val="24"/>
          <w:lang w:val="es-ES"/>
        </w:rPr>
      </w:pPr>
      <w:r w:rsidRPr="001A4860">
        <w:rPr>
          <w:rFonts w:eastAsia="Calibri"/>
          <w:szCs w:val="24"/>
          <w:lang w:val="es-ES"/>
        </w:rPr>
        <w:t>Las especificaciones presentan una breve descripción de las obras a ser ejecutadas y brindan los datos de las características técnicas mínimas que deben cumplir los bienes y servicios a ser suministrados por El Contratista. Aunque estas especificaciones presentan un nivel normal de información, es deber de El Contratista de proceder con la conformidad complementaria de cumplimiento de las normas y prácticas aceptables de ejecución correcta de trabajos de esta índole</w:t>
      </w:r>
      <w:bookmarkStart w:id="1281" w:name="_Toc16063717"/>
      <w:r w:rsidRPr="001A4860">
        <w:rPr>
          <w:rFonts w:eastAsia="Calibri"/>
          <w:szCs w:val="24"/>
          <w:lang w:val="es-ES"/>
        </w:rPr>
        <w:t>.</w:t>
      </w:r>
    </w:p>
    <w:p w14:paraId="1A79EBD3" w14:textId="77777777" w:rsidR="001A4860" w:rsidRPr="001A4860" w:rsidRDefault="001A4860" w:rsidP="001A4860">
      <w:pPr>
        <w:rPr>
          <w:rFonts w:eastAsia="Calibri"/>
          <w:szCs w:val="24"/>
          <w:lang w:val="es-ES"/>
        </w:rPr>
      </w:pPr>
    </w:p>
    <w:p w14:paraId="5258BDF1" w14:textId="77777777" w:rsidR="001A4860" w:rsidRPr="001A4860" w:rsidRDefault="001A4860" w:rsidP="001A4860">
      <w:pPr>
        <w:rPr>
          <w:rFonts w:eastAsia="Calibri"/>
          <w:szCs w:val="24"/>
          <w:lang w:val="es-ES"/>
        </w:rPr>
      </w:pPr>
      <w:r w:rsidRPr="001A4860">
        <w:rPr>
          <w:rFonts w:eastAsia="Calibri"/>
          <w:b/>
          <w:szCs w:val="24"/>
          <w:lang w:val="es-ES"/>
        </w:rPr>
        <w:t>PRELIMINARES</w:t>
      </w:r>
      <w:bookmarkEnd w:id="1281"/>
      <w:r w:rsidRPr="001A4860">
        <w:rPr>
          <w:rFonts w:eastAsia="Calibri"/>
          <w:b/>
          <w:szCs w:val="24"/>
          <w:lang w:val="es-ES"/>
        </w:rPr>
        <w:t xml:space="preserve"> </w:t>
      </w:r>
    </w:p>
    <w:p w14:paraId="317B9A8C" w14:textId="77777777" w:rsidR="001A4860" w:rsidRPr="001A4860" w:rsidRDefault="001A4860" w:rsidP="001A4860">
      <w:pPr>
        <w:jc w:val="left"/>
        <w:rPr>
          <w:rFonts w:eastAsia="Calibri"/>
          <w:szCs w:val="24"/>
          <w:lang w:val="es-ES"/>
        </w:rPr>
      </w:pPr>
    </w:p>
    <w:p w14:paraId="6DE4B816" w14:textId="77777777" w:rsidR="001A4860" w:rsidRPr="001A4860" w:rsidRDefault="001A4860" w:rsidP="001A4860">
      <w:pPr>
        <w:rPr>
          <w:rFonts w:eastAsia="Calibri"/>
          <w:szCs w:val="24"/>
          <w:lang w:val="es-ES"/>
        </w:rPr>
      </w:pPr>
      <w:r w:rsidRPr="001A4860">
        <w:rPr>
          <w:rFonts w:eastAsia="Calibri"/>
          <w:szCs w:val="24"/>
          <w:lang w:val="es-ES"/>
        </w:rPr>
        <w:t xml:space="preserve">Una vez pasada la entrega del sitio del proyecto por el ingeniero encargado del seguimiento, al contratista, este es el encargado de la limpieza inicial, trazo y nivelación, construcciones temporales (si las requiere), demoliciones (si las requiere), fabricación de obras de madera (para la ejecución de la obra), instalación de servicios temporales (si se requirieran) y otros trabajos preliminares. </w:t>
      </w:r>
    </w:p>
    <w:p w14:paraId="7A770BEA" w14:textId="77777777" w:rsidR="001A4860" w:rsidRPr="001A4860" w:rsidRDefault="001A4860" w:rsidP="001A4860">
      <w:pPr>
        <w:rPr>
          <w:rFonts w:eastAsia="Calibri"/>
          <w:szCs w:val="24"/>
          <w:lang w:val="es-ES"/>
        </w:rPr>
      </w:pPr>
    </w:p>
    <w:p w14:paraId="44110DD0"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Esta etapa de la construcción es la que da inicio al proyecto, una vez recibido el sitio, dando además apertura al libro de bitácora. El contratista, antes de iniciar la obra, debe examinar cuidadosamente todos los trabajos adyacentes, de los cuales depende esta obra, de acuerdo a las intenciones de estas especificaciones informando por escrito al inspector de la obra cualquier condición que evite al contratista realizar un trabajo de primera calidad. </w:t>
      </w:r>
    </w:p>
    <w:p w14:paraId="5D4BBD80" w14:textId="77777777" w:rsidR="001A4860" w:rsidRPr="001A4860" w:rsidRDefault="001A4860" w:rsidP="001A4860">
      <w:pPr>
        <w:rPr>
          <w:rFonts w:eastAsia="Calibri"/>
          <w:szCs w:val="24"/>
          <w:lang w:val="es-ES"/>
        </w:rPr>
      </w:pPr>
      <w:r w:rsidRPr="001A4860">
        <w:rPr>
          <w:rFonts w:eastAsia="Calibri"/>
          <w:szCs w:val="24"/>
          <w:lang w:val="es-ES"/>
        </w:rPr>
        <w:t>No se exime al contratista de ninguna responsabilidad por trabajos adyacentes incompletos o defectuosos, a menos que tales hayan sido notificados al supervisor por escrito y este los haya aceptado antes de que el contratista inicie cualquier parte de la obra.</w:t>
      </w:r>
    </w:p>
    <w:p w14:paraId="3DB1C8A4" w14:textId="77777777" w:rsidR="001A4860" w:rsidRPr="001A4860" w:rsidRDefault="001A4860" w:rsidP="001A4860">
      <w:pPr>
        <w:jc w:val="left"/>
        <w:rPr>
          <w:rFonts w:eastAsia="Calibri"/>
          <w:szCs w:val="24"/>
          <w:lang w:val="es-ES"/>
        </w:rPr>
      </w:pPr>
      <w:bookmarkStart w:id="1282" w:name="_Toc16063718"/>
    </w:p>
    <w:p w14:paraId="686B200E" w14:textId="77777777" w:rsidR="001A4860" w:rsidRPr="001A4860" w:rsidRDefault="001A4860" w:rsidP="001A4860">
      <w:pPr>
        <w:jc w:val="left"/>
        <w:rPr>
          <w:rFonts w:eastAsia="Calibri"/>
          <w:b/>
          <w:szCs w:val="24"/>
          <w:lang w:val="es-ES"/>
        </w:rPr>
      </w:pPr>
      <w:r w:rsidRPr="001A4860">
        <w:rPr>
          <w:rFonts w:eastAsia="Calibri"/>
          <w:b/>
          <w:szCs w:val="24"/>
          <w:lang w:val="es-ES"/>
        </w:rPr>
        <w:t>LIMPIEZA INICIAL</w:t>
      </w:r>
      <w:bookmarkEnd w:id="1282"/>
    </w:p>
    <w:p w14:paraId="70B9A92D" w14:textId="77777777" w:rsidR="001A4860" w:rsidRPr="001A4860" w:rsidRDefault="001A4860" w:rsidP="001A4860">
      <w:pPr>
        <w:jc w:val="left"/>
        <w:rPr>
          <w:rFonts w:eastAsia="Calibri"/>
          <w:szCs w:val="24"/>
          <w:highlight w:val="yellow"/>
          <w:lang w:val="es-ES"/>
        </w:rPr>
      </w:pPr>
    </w:p>
    <w:p w14:paraId="1D9C195D" w14:textId="77777777" w:rsidR="001A4860" w:rsidRPr="001A4860" w:rsidRDefault="001A4860" w:rsidP="001A4860">
      <w:pPr>
        <w:rPr>
          <w:rFonts w:eastAsia="Calibri"/>
          <w:szCs w:val="24"/>
          <w:lang w:val="es-ES"/>
        </w:rPr>
      </w:pPr>
      <w:r w:rsidRPr="001A4860">
        <w:rPr>
          <w:rFonts w:eastAsia="Calibri"/>
          <w:szCs w:val="24"/>
          <w:lang w:val="es-ES"/>
        </w:rPr>
        <w:t>El contratista debe cubicar el sitio del proyecto, los planos señalan los límites de la obra y especifican los árboles, arbustos plantas y objeto que deben conservarse. En caso contrario deberán ser indicados por el supervisor y por escrito en el libro de bitácora</w:t>
      </w:r>
    </w:p>
    <w:p w14:paraId="0885BB90" w14:textId="77777777" w:rsidR="001A4860" w:rsidRPr="001A4860" w:rsidRDefault="001A4860" w:rsidP="001A4860">
      <w:pPr>
        <w:rPr>
          <w:rFonts w:eastAsia="Calibri"/>
          <w:szCs w:val="24"/>
          <w:lang w:val="es-ES"/>
        </w:rPr>
      </w:pPr>
    </w:p>
    <w:p w14:paraId="0D792E53" w14:textId="77777777" w:rsidR="001A4860" w:rsidRPr="001A4860" w:rsidRDefault="001A4860" w:rsidP="001A4860">
      <w:pPr>
        <w:rPr>
          <w:rFonts w:eastAsia="Calibri"/>
          <w:szCs w:val="24"/>
          <w:lang w:val="es-ES"/>
        </w:rPr>
      </w:pPr>
      <w:r w:rsidRPr="001A4860">
        <w:rPr>
          <w:rFonts w:eastAsia="Calibri"/>
          <w:szCs w:val="24"/>
          <w:lang w:val="es-ES"/>
        </w:rPr>
        <w:t xml:space="preserve">Todos los objetos de la superficie y todos los árboles, troncos, raíces y fundaciones viejas de concreto, y cualquier obstrucción saliente, deberán ser quitadas de los últimos 20 centímetros superficiales.  El contratista podrá dejar los troncos y objetos solidos no perecederos, siempre que estos no sobresalgan más de 15 centímetros de la superficie del nivel de suelo natural y los mismos estén situados a más de </w:t>
      </w:r>
      <w:smartTag w:uri="urn:schemas-microsoft-com:office:smarttags" w:element="metricconverter">
        <w:smartTagPr>
          <w:attr w:name="ProductID" w:val="3.00 metros"/>
        </w:smartTagPr>
        <w:r w:rsidRPr="001A4860">
          <w:rPr>
            <w:rFonts w:eastAsia="Calibri"/>
            <w:szCs w:val="24"/>
            <w:lang w:val="es-ES"/>
          </w:rPr>
          <w:t>3.00 metros</w:t>
        </w:r>
      </w:smartTag>
      <w:r w:rsidRPr="001A4860">
        <w:rPr>
          <w:rFonts w:eastAsia="Calibri"/>
          <w:szCs w:val="24"/>
          <w:lang w:val="es-ES"/>
        </w:rPr>
        <w:t xml:space="preserve"> de distancia de la construcción, andenes y de zonas de excavación o relleno con espesores mayores a 50 centímetros.</w:t>
      </w:r>
    </w:p>
    <w:p w14:paraId="7CF2E3A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lastRenderedPageBreak/>
        <w:t xml:space="preserve">No se permitirá la presencia de raíces y tronco o cualquier otra impureza en los taludes de las terrazas. Cuando se proceda a quemar los árboles, raíces, troncos y cualquier otro material que provenga de la limpieza del sitio deberá quemarse bajo la vigilancia del contratista de tal manera que la propiedad o vegetación adyacente no sean expuestas al peligro, siendo responsabilidad suya cualquier daño ocasionado a terceros. </w:t>
      </w:r>
    </w:p>
    <w:p w14:paraId="0D14F5D5"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Los materiales de deshecho que no puedan ser quemados, podrán ser retirados del área del proyecto deshaciéndose de ellos en lugares alejados del proyecto y fuera de los limites visibles de este, mediante permiso escrito del supervisor o del dueño de la propiedad en la que se depositaran dichos desperdicios. El contratista deberá hacer todos los arreglos necesarios con los dueños de los predios donde se colocarán los desperdicios. </w:t>
      </w:r>
    </w:p>
    <w:p w14:paraId="7827B6A1"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costo correspondiente deberá ser incluido en el precio en la limpieza inicial. En caso de que el contratista no pueda quemar o retirar los deshechos en un tiempo razonable, del área del proyecto y los mismos estorben para las subsecuentes operaciones de construcción, será responsabilidad del contratista trasladar dichos desperdicios a lugares provisionales donde no estorben las maniobras de construcción.</w:t>
      </w:r>
    </w:p>
    <w:p w14:paraId="26963EEB" w14:textId="77777777" w:rsidR="001A4860" w:rsidRPr="001A4860" w:rsidRDefault="001A4860" w:rsidP="001A4860">
      <w:pPr>
        <w:rPr>
          <w:rFonts w:eastAsia="Calibri"/>
          <w:szCs w:val="24"/>
          <w:lang w:val="es-ES"/>
        </w:rPr>
      </w:pPr>
      <w:r w:rsidRPr="001A4860">
        <w:rPr>
          <w:rFonts w:eastAsia="Calibri"/>
          <w:szCs w:val="24"/>
          <w:lang w:val="es-ES"/>
        </w:rPr>
        <w:t xml:space="preserve">Los materiales que sean flamables como escombros: madera, bolsas y cajas de cartón vacías serán quemadas por el contratista en el botadero municipal en caso que no exista este dónde el supervisor lo indique. Son parte de esto escombros las hierbas y arbustos que crecen con el invierno y que el contratista eliminara en la limpieza inicial. Todos los escombros no flamables como trozos de bloque, tejas, cubiertas de techo serán botados en el botadero municipal o donde el supervisor lo indique, no así trozos de materiales de asbesto cemento el que será enterrado a una profundidad de </w:t>
      </w:r>
      <w:smartTag w:uri="urn:schemas-microsoft-com:office:smarttags" w:element="metricconverter">
        <w:smartTagPr>
          <w:attr w:name="ProductID" w:val="1.20 metros"/>
        </w:smartTagPr>
        <w:r w:rsidRPr="001A4860">
          <w:rPr>
            <w:rFonts w:eastAsia="Calibri"/>
            <w:szCs w:val="24"/>
            <w:lang w:val="es-ES"/>
          </w:rPr>
          <w:t>1.20 metros</w:t>
        </w:r>
      </w:smartTag>
      <w:r w:rsidRPr="001A4860">
        <w:rPr>
          <w:rFonts w:eastAsia="Calibri"/>
          <w:szCs w:val="24"/>
          <w:lang w:val="es-ES"/>
        </w:rPr>
        <w:t xml:space="preserve"> previamente quebrando en trozos no mayores de 25 centímetros de diámetro; en caso que el nivel de aguas sub superficiales sea menor a </w:t>
      </w:r>
      <w:smartTag w:uri="urn:schemas-microsoft-com:office:smarttags" w:element="metricconverter">
        <w:smartTagPr>
          <w:attr w:name="ProductID" w:val="1.20 metros"/>
        </w:smartTagPr>
        <w:r w:rsidRPr="001A4860">
          <w:rPr>
            <w:rFonts w:eastAsia="Calibri"/>
            <w:szCs w:val="24"/>
            <w:lang w:val="es-ES"/>
          </w:rPr>
          <w:t>1.20 metros</w:t>
        </w:r>
      </w:smartTag>
      <w:r w:rsidRPr="001A4860">
        <w:rPr>
          <w:rFonts w:eastAsia="Calibri"/>
          <w:szCs w:val="24"/>
          <w:lang w:val="es-ES"/>
        </w:rPr>
        <w:t xml:space="preserve"> de profundidad, el contratista los enterrara en un sitio donde el manto freático sea más profundo de 1.20 metros. </w:t>
      </w:r>
    </w:p>
    <w:p w14:paraId="6CF87DBB" w14:textId="77777777" w:rsidR="001A4860" w:rsidRPr="001A4860" w:rsidRDefault="001A4860" w:rsidP="001A4860">
      <w:pPr>
        <w:jc w:val="left"/>
        <w:rPr>
          <w:rFonts w:eastAsia="Calibri"/>
          <w:szCs w:val="24"/>
          <w:lang w:val="es-ES"/>
        </w:rPr>
      </w:pPr>
    </w:p>
    <w:p w14:paraId="13FC7043" w14:textId="77777777" w:rsidR="001A4860" w:rsidRPr="001A4860" w:rsidRDefault="001A4860" w:rsidP="001A4860">
      <w:pPr>
        <w:tabs>
          <w:tab w:val="left" w:pos="1208"/>
        </w:tabs>
        <w:outlineLvl w:val="2"/>
        <w:rPr>
          <w:b/>
          <w:bCs/>
          <w:szCs w:val="24"/>
          <w:lang w:val="es-ES"/>
        </w:rPr>
      </w:pPr>
      <w:bookmarkStart w:id="1283" w:name="_Toc16063719"/>
      <w:r w:rsidRPr="001A4860">
        <w:rPr>
          <w:b/>
          <w:bCs/>
          <w:szCs w:val="24"/>
          <w:lang w:val="es-ES"/>
        </w:rPr>
        <w:t>TRAZO Y NIVELACION</w:t>
      </w:r>
      <w:bookmarkEnd w:id="1283"/>
      <w:r w:rsidRPr="001A4860">
        <w:rPr>
          <w:b/>
          <w:bCs/>
          <w:szCs w:val="24"/>
          <w:lang w:val="es-ES"/>
        </w:rPr>
        <w:t xml:space="preserve"> </w:t>
      </w:r>
    </w:p>
    <w:p w14:paraId="566B8198" w14:textId="77777777" w:rsidR="001A4860" w:rsidRPr="001A4860" w:rsidRDefault="001A4860" w:rsidP="001A4860">
      <w:pPr>
        <w:jc w:val="left"/>
        <w:rPr>
          <w:rFonts w:eastAsia="Calibri"/>
          <w:szCs w:val="24"/>
          <w:lang w:val="es-ES"/>
        </w:rPr>
      </w:pPr>
    </w:p>
    <w:p w14:paraId="75579A74" w14:textId="77777777" w:rsidR="001A4860" w:rsidRPr="001A4860" w:rsidRDefault="001A4860" w:rsidP="001A4860">
      <w:pPr>
        <w:rPr>
          <w:rFonts w:eastAsia="Calibri"/>
          <w:szCs w:val="24"/>
          <w:lang w:val="es-ES"/>
        </w:rPr>
      </w:pPr>
      <w:r w:rsidRPr="001A4860">
        <w:rPr>
          <w:rFonts w:eastAsia="Calibri"/>
          <w:szCs w:val="24"/>
          <w:lang w:val="es-ES"/>
        </w:rPr>
        <w:t>Esta actividad se refiere al replanteo, trazo y nivelación para tuberías de agua potable, mediante estacas, mano de obra y equipo de topografía.</w:t>
      </w:r>
    </w:p>
    <w:p w14:paraId="3CCD461B" w14:textId="77777777" w:rsidR="001A4860" w:rsidRPr="001A4860" w:rsidRDefault="001A4860" w:rsidP="001A4860">
      <w:pPr>
        <w:rPr>
          <w:rFonts w:eastAsia="Calibri"/>
          <w:szCs w:val="24"/>
          <w:lang w:val="es-ES"/>
        </w:rPr>
      </w:pPr>
    </w:p>
    <w:p w14:paraId="2A075E4A"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Las líneas bases, puntos topográficos de referencia, y los elementos de control necesarios para determinar la indicación y elevación del trabajo en el terreno, están mostrados en los planos o ser suministrados por el Ingeniero. </w:t>
      </w:r>
    </w:p>
    <w:p w14:paraId="77B9069C"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103F84B0"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6FD20AB5"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67F1B97D"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El Contratista es responsable por la ejecución del trabajo en conformidad con las líneas y cotas de elevación indicadas en los planos o establecidas por el Ingeniero Supervisor. </w:t>
      </w:r>
    </w:p>
    <w:p w14:paraId="3F65D471"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4093B955"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El Contratista tiene la responsabilidad de mantener y preservar todas las estacas y otras marcas hasta cuando el Ingeniero supervisor lo autorice para removerlas. </w:t>
      </w:r>
    </w:p>
    <w:p w14:paraId="7E39DA40"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lastRenderedPageBreak/>
        <w:t>En caso de negligencia del Contratista o de sus empleados que resultare en la destrucción de dichas estacas, antes de su remoción autorizada, el contratista las debe reemplazar si así lo exigiere el Ingeniero supervisor.</w:t>
      </w:r>
    </w:p>
    <w:p w14:paraId="0C76CA6E"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44409722"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7CF2BD87"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075DDD81"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Cualquier trazado erróneo será corregido por el contratista por su cuenta, en caso que haya obras construidas, erróneamente será perdida para el contratista. </w:t>
      </w:r>
    </w:p>
    <w:p w14:paraId="37076246"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3151EB0D"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ingeniero supervisor.</w:t>
      </w:r>
    </w:p>
    <w:p w14:paraId="2EB32079"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28F19820"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5765D91E"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79473766"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3C254CA6"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7DFA5B3C" w14:textId="77777777" w:rsidR="001A4860" w:rsidRPr="001A4860" w:rsidRDefault="001A4860" w:rsidP="001A4860">
      <w:pPr>
        <w:rPr>
          <w:rFonts w:eastAsia="Calibri"/>
          <w:iCs/>
          <w:szCs w:val="24"/>
          <w:lang w:val="es-ES"/>
        </w:rPr>
      </w:pPr>
      <w:r w:rsidRPr="001A4860">
        <w:rPr>
          <w:rFonts w:eastAsia="Calibri"/>
          <w:iCs/>
          <w:szCs w:val="24"/>
          <w:lang w:val="es-ES"/>
        </w:rPr>
        <w:t>La terraza donde se hará el trazado de la obra deberá quedar debidamente nivelada y compactada a más de 85 % Proctor donde se empezará la excavación para las fundaciones. El contratista comprobara las medidas en los planos, localizando la construcción con precisión en el sitio, de acuerdo con los documentos del contrato.</w:t>
      </w:r>
    </w:p>
    <w:p w14:paraId="088B1253"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5A4AA1A3"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w:t>
      </w:r>
    </w:p>
    <w:p w14:paraId="7C27DFD9" w14:textId="77777777" w:rsidR="001A4860" w:rsidRPr="001A4860" w:rsidRDefault="001A4860" w:rsidP="001A4860">
      <w:pPr>
        <w:overflowPunct w:val="0"/>
        <w:autoSpaceDE w:val="0"/>
        <w:autoSpaceDN w:val="0"/>
        <w:adjustRightInd w:val="0"/>
        <w:textAlignment w:val="baseline"/>
        <w:rPr>
          <w:rFonts w:eastAsia="Calibri"/>
          <w:iCs/>
          <w:szCs w:val="24"/>
          <w:lang w:val="es-ES"/>
        </w:rPr>
      </w:pPr>
    </w:p>
    <w:p w14:paraId="20C38EC8"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El contratista para hacer el trazo y nivelación, antes tiene que ver las condiciones del terreno.</w:t>
      </w:r>
    </w:p>
    <w:p w14:paraId="09494761" w14:textId="77777777" w:rsidR="001A4860" w:rsidRPr="001A4860" w:rsidRDefault="001A4860" w:rsidP="001A4860">
      <w:pPr>
        <w:overflowPunct w:val="0"/>
        <w:autoSpaceDE w:val="0"/>
        <w:autoSpaceDN w:val="0"/>
        <w:adjustRightInd w:val="0"/>
        <w:textAlignment w:val="baseline"/>
        <w:rPr>
          <w:rFonts w:eastAsia="Calibri"/>
          <w:iCs/>
          <w:szCs w:val="24"/>
          <w:lang w:val="es-ES"/>
        </w:rPr>
      </w:pPr>
      <w:r w:rsidRPr="001A4860">
        <w:rPr>
          <w:rFonts w:eastAsia="Calibri"/>
          <w:iCs/>
          <w:szCs w:val="24"/>
          <w:lang w:val="es-ES"/>
        </w:rPr>
        <w:t>Es igualmente obligación del contratista notificar al Contratante por medio del supervisor, sobre las condiciones inesperadas o sospechosas que se detecten en el terreno durante el proceso de la construcción.</w:t>
      </w:r>
    </w:p>
    <w:p w14:paraId="5B441AF8" w14:textId="77777777" w:rsidR="001A4860" w:rsidRPr="001A4860" w:rsidRDefault="001A4860" w:rsidP="001A4860">
      <w:pPr>
        <w:spacing w:after="160" w:line="259" w:lineRule="auto"/>
        <w:jc w:val="left"/>
        <w:rPr>
          <w:rFonts w:eastAsia="Calibri"/>
          <w:b/>
          <w:szCs w:val="24"/>
          <w:lang w:val="es-ES"/>
        </w:rPr>
      </w:pPr>
      <w:r w:rsidRPr="001A4860">
        <w:rPr>
          <w:rFonts w:eastAsia="Calibri"/>
          <w:b/>
          <w:szCs w:val="24"/>
          <w:lang w:val="es-ES"/>
        </w:rPr>
        <w:br w:type="page"/>
      </w:r>
    </w:p>
    <w:p w14:paraId="5ECB87EA" w14:textId="77777777" w:rsidR="001A4860" w:rsidRPr="001A4860" w:rsidRDefault="001A4860" w:rsidP="001A4860">
      <w:pPr>
        <w:contextualSpacing/>
        <w:rPr>
          <w:rFonts w:eastAsia="Calibri"/>
          <w:b/>
          <w:szCs w:val="24"/>
          <w:lang w:val="es-ES"/>
        </w:rPr>
      </w:pPr>
    </w:p>
    <w:p w14:paraId="412A0475" w14:textId="77777777" w:rsidR="001A4860" w:rsidRPr="001A4860" w:rsidRDefault="001A4860" w:rsidP="001A4860">
      <w:pPr>
        <w:tabs>
          <w:tab w:val="left" w:pos="1208"/>
        </w:tabs>
        <w:outlineLvl w:val="2"/>
        <w:rPr>
          <w:b/>
          <w:bCs/>
          <w:szCs w:val="24"/>
          <w:lang w:val="es-ES"/>
        </w:rPr>
      </w:pPr>
      <w:bookmarkStart w:id="1284" w:name="_Toc16063720"/>
      <w:r w:rsidRPr="001A4860">
        <w:rPr>
          <w:b/>
          <w:bCs/>
          <w:szCs w:val="24"/>
          <w:lang w:val="es-ES"/>
        </w:rPr>
        <w:t xml:space="preserve"> ROTULO</w:t>
      </w:r>
      <w:bookmarkEnd w:id="1284"/>
      <w:r w:rsidRPr="001A4860">
        <w:rPr>
          <w:b/>
          <w:bCs/>
          <w:szCs w:val="24"/>
          <w:lang w:val="es-ES"/>
        </w:rPr>
        <w:t xml:space="preserve"> </w:t>
      </w:r>
    </w:p>
    <w:p w14:paraId="03F9DE4A" w14:textId="77777777" w:rsidR="001A4860" w:rsidRPr="001A4860" w:rsidRDefault="001A4860" w:rsidP="001A4860">
      <w:pPr>
        <w:jc w:val="left"/>
        <w:rPr>
          <w:rFonts w:eastAsia="Calibri"/>
          <w:szCs w:val="24"/>
          <w:lang w:val="es-ES"/>
        </w:rPr>
      </w:pPr>
    </w:p>
    <w:p w14:paraId="23D171EF" w14:textId="77777777" w:rsidR="001A4860" w:rsidRPr="001A4860" w:rsidRDefault="001A4860" w:rsidP="001A4860">
      <w:pPr>
        <w:rPr>
          <w:rFonts w:eastAsia="Calibri"/>
          <w:iCs/>
          <w:szCs w:val="24"/>
          <w:lang w:val="es-ES"/>
        </w:rPr>
      </w:pPr>
      <w:bookmarkStart w:id="1285" w:name="_Toc16063721"/>
      <w:bookmarkStart w:id="1286" w:name="_Toc20930028"/>
      <w:r w:rsidRPr="001A4860">
        <w:rPr>
          <w:rFonts w:eastAsia="Calibri"/>
          <w:iCs/>
          <w:szCs w:val="24"/>
          <w:lang w:val="es-ES"/>
        </w:rPr>
        <w:t>El rótulo es de metal y tienen las dimensiones indicadas en los planos, En ningún caso el contratista usara el rotulo para indicar quien es el constructor, debe ceñirse a poner las leyendas que se indican en los planos.   En caso de hacer caso omiso de esta última advertencia, el Ingeniero supervisor, tiene la obligación de pararle la obra, hasta que el contratista quite la leyenda que propagandice su empresa.</w:t>
      </w:r>
    </w:p>
    <w:bookmarkEnd w:id="1285"/>
    <w:bookmarkEnd w:id="1286"/>
    <w:p w14:paraId="350CA861" w14:textId="77777777" w:rsidR="001A4860" w:rsidRPr="001A4860" w:rsidRDefault="001A4860" w:rsidP="001A4860">
      <w:pPr>
        <w:contextualSpacing/>
        <w:rPr>
          <w:rFonts w:eastAsia="Calibri"/>
          <w:b/>
          <w:szCs w:val="24"/>
          <w:lang w:val="es-ES"/>
        </w:rPr>
      </w:pPr>
    </w:p>
    <w:p w14:paraId="41A460D0" w14:textId="77777777" w:rsidR="001A4860" w:rsidRPr="001A4860" w:rsidRDefault="001A4860" w:rsidP="001A4860">
      <w:pPr>
        <w:keepNext/>
        <w:keepLines/>
        <w:jc w:val="left"/>
        <w:outlineLvl w:val="1"/>
        <w:rPr>
          <w:b/>
          <w:bCs/>
          <w:szCs w:val="24"/>
          <w:lang w:val="es-ES"/>
        </w:rPr>
      </w:pPr>
      <w:bookmarkStart w:id="1287" w:name="_Toc16063723"/>
      <w:r w:rsidRPr="001A4860">
        <w:rPr>
          <w:b/>
          <w:bCs/>
          <w:szCs w:val="24"/>
          <w:lang w:val="es-ES"/>
        </w:rPr>
        <w:t>LINEA DE CONDUCCION</w:t>
      </w:r>
      <w:bookmarkEnd w:id="1287"/>
      <w:r w:rsidRPr="001A4860">
        <w:rPr>
          <w:b/>
          <w:bCs/>
          <w:szCs w:val="24"/>
          <w:lang w:val="es-ES"/>
        </w:rPr>
        <w:t xml:space="preserve"> Y RED DE DISTRIBUCIÓN</w:t>
      </w:r>
    </w:p>
    <w:p w14:paraId="5A22E1A7" w14:textId="77777777" w:rsidR="001A4860" w:rsidRPr="001A4860" w:rsidRDefault="001A4860" w:rsidP="001A4860">
      <w:pPr>
        <w:jc w:val="left"/>
        <w:rPr>
          <w:rFonts w:eastAsia="Calibri"/>
          <w:szCs w:val="24"/>
          <w:lang w:val="es-ES"/>
        </w:rPr>
      </w:pPr>
    </w:p>
    <w:p w14:paraId="0737B88F" w14:textId="77777777" w:rsidR="001A4860" w:rsidRPr="001A4860" w:rsidRDefault="001A4860" w:rsidP="001A4860">
      <w:pPr>
        <w:jc w:val="left"/>
        <w:rPr>
          <w:rFonts w:eastAsia="Calibri"/>
          <w:b/>
          <w:szCs w:val="24"/>
          <w:lang w:val="es-ES"/>
        </w:rPr>
      </w:pPr>
      <w:bookmarkStart w:id="1288" w:name="_Toc16063724"/>
      <w:r w:rsidRPr="001A4860">
        <w:rPr>
          <w:rFonts w:eastAsia="Calibri"/>
          <w:b/>
          <w:szCs w:val="24"/>
          <w:lang w:val="es-ES"/>
        </w:rPr>
        <w:t>EXCAVACIÓN</w:t>
      </w:r>
      <w:bookmarkEnd w:id="1288"/>
    </w:p>
    <w:p w14:paraId="7FB00735" w14:textId="77777777" w:rsidR="001A4860" w:rsidRPr="001A4860" w:rsidRDefault="001A4860" w:rsidP="001A4860">
      <w:pPr>
        <w:tabs>
          <w:tab w:val="left" w:pos="993"/>
        </w:tabs>
        <w:rPr>
          <w:rFonts w:eastAsia="Calibri"/>
          <w:spacing w:val="-3"/>
          <w:szCs w:val="24"/>
          <w:lang w:val="es-419"/>
        </w:rPr>
      </w:pPr>
      <w:r w:rsidRPr="001A4860">
        <w:rPr>
          <w:rFonts w:eastAsia="Calibri"/>
          <w:szCs w:val="24"/>
          <w:lang w:val="es-ES"/>
        </w:rPr>
        <w:t>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r w:rsidRPr="001A4860">
        <w:rPr>
          <w:rFonts w:eastAsia="Calibri"/>
          <w:spacing w:val="-3"/>
          <w:szCs w:val="24"/>
          <w:lang w:val="es-419"/>
        </w:rPr>
        <w:t>.</w:t>
      </w:r>
    </w:p>
    <w:p w14:paraId="1F11847A" w14:textId="77777777" w:rsidR="001A4860" w:rsidRPr="001A4860" w:rsidRDefault="001A4860" w:rsidP="001A4860">
      <w:pPr>
        <w:rPr>
          <w:rFonts w:eastAsia="Calibri"/>
          <w:szCs w:val="24"/>
          <w:lang w:val="es-419"/>
        </w:rPr>
      </w:pPr>
    </w:p>
    <w:p w14:paraId="7E13F87C" w14:textId="77777777" w:rsidR="001A4860" w:rsidRPr="001A4860" w:rsidRDefault="001A4860" w:rsidP="001A4860">
      <w:pPr>
        <w:rPr>
          <w:rFonts w:eastAsia="Calibri"/>
          <w:kern w:val="28"/>
          <w:szCs w:val="24"/>
          <w:lang w:val="es-ES" w:eastAsia="en-GB"/>
        </w:rPr>
      </w:pPr>
      <w:r w:rsidRPr="001A4860">
        <w:rPr>
          <w:rFonts w:eastAsia="Calibri"/>
          <w:szCs w:val="24"/>
          <w:lang w:val="es-ES"/>
        </w:rPr>
        <w:t>De acuerdo a la modalidad de ejecución este rubro corresponde al aporte comunitario el cual incluye todo a lo referido a corte de terreno en zanjas, cajas para válvulas, por lo que el contratista no puede cobrar adicionales y si velar por que se realice el trabajo de acuerdo a las especificaciones. La excavación, relleno y compactación para la tubería de conducción, así como, la excavación será realizada por los beneficiarios del proyecto, como aporte comunitario.</w:t>
      </w:r>
      <w:r w:rsidRPr="001A4860">
        <w:rPr>
          <w:rFonts w:eastAsia="Calibri"/>
          <w:kern w:val="28"/>
          <w:szCs w:val="24"/>
          <w:lang w:val="es-ES" w:eastAsia="en-GB"/>
        </w:rPr>
        <w:t xml:space="preserve"> </w:t>
      </w:r>
    </w:p>
    <w:p w14:paraId="5F30A7C7" w14:textId="77777777" w:rsidR="001A4860" w:rsidRPr="001A4860" w:rsidRDefault="001A4860" w:rsidP="001A4860">
      <w:pPr>
        <w:rPr>
          <w:rFonts w:eastAsia="Calibri"/>
          <w:szCs w:val="24"/>
          <w:lang w:val="es-ES"/>
        </w:rPr>
      </w:pPr>
    </w:p>
    <w:p w14:paraId="68A16B83" w14:textId="77777777" w:rsidR="001A4860" w:rsidRPr="001A4860" w:rsidRDefault="001A4860" w:rsidP="001A4860">
      <w:pPr>
        <w:jc w:val="left"/>
        <w:rPr>
          <w:rFonts w:eastAsia="Calibri"/>
          <w:b/>
          <w:szCs w:val="24"/>
          <w:lang w:val="es-ES"/>
        </w:rPr>
      </w:pPr>
      <w:r w:rsidRPr="001A4860">
        <w:rPr>
          <w:rFonts w:eastAsia="Calibri"/>
          <w:b/>
          <w:szCs w:val="24"/>
          <w:lang w:val="es-ES"/>
        </w:rPr>
        <w:t>DIMENSIONES DE LA EXCAVACIÓN</w:t>
      </w:r>
    </w:p>
    <w:p w14:paraId="13A661DA" w14:textId="77777777" w:rsidR="001A4860" w:rsidRPr="001A4860" w:rsidRDefault="001A4860" w:rsidP="001A4860">
      <w:pPr>
        <w:rPr>
          <w:rFonts w:eastAsia="Calibri"/>
          <w:szCs w:val="24"/>
          <w:lang w:val="es-ES"/>
        </w:rPr>
      </w:pPr>
      <w:r w:rsidRPr="001A4860">
        <w:rPr>
          <w:rFonts w:eastAsia="Calibri"/>
          <w:szCs w:val="24"/>
          <w:lang w:val="es-ES"/>
        </w:rPr>
        <w:t>El ancho de zanja es igual al diámetro nominal de tubería más un máximo de 0.50 m. No se reconoce al Contratista en la forma de pago, la ampliación de las zanjas hechas sin autorización de El Ingeniero Supervisor.</w:t>
      </w:r>
    </w:p>
    <w:p w14:paraId="710492D4" w14:textId="77777777" w:rsidR="001A4860" w:rsidRPr="001A4860" w:rsidRDefault="001A4860" w:rsidP="001A4860">
      <w:pPr>
        <w:rPr>
          <w:rFonts w:eastAsia="Calibri"/>
          <w:szCs w:val="24"/>
          <w:lang w:val="es-ES"/>
        </w:rPr>
      </w:pPr>
    </w:p>
    <w:p w14:paraId="5781B66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En general, a menos que los planos indiquen lo contrario, la profundidad de la zanja es de 1.20 mts, arriba de la corona del tubo. </w:t>
      </w:r>
    </w:p>
    <w:p w14:paraId="263FF3D3"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En caso de que en la excavación se presenten terrenos de poca consistencia (muy húmedo, suelos orgánicos, etc.) como el sonsocuite, la zanja debe profundizarse como lo indique el Ingeniero, pero no menos de 0.30 mts abajo del fondo previsto.</w:t>
      </w:r>
    </w:p>
    <w:p w14:paraId="7E79AE08"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La excavación de zanjas no se debe adelantar sustancialmente con respecto a la instalación de tuberías, no debiendo exceder 100 mts ó el equivalente a una cuadra en cada frente de trabajo.</w:t>
      </w:r>
    </w:p>
    <w:p w14:paraId="1D165495"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Cuando la excavación sea en roca o piedra cantera, esta debe tener una profundidad adicional de 10 cms bajo la rasante de la línea inferior del tubo.</w:t>
      </w:r>
    </w:p>
    <w:p w14:paraId="7CB78C5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En caso de curvas horizontales con pequeños ángulos de deflexión, debe dársele a la excavación un sobre ancho, el cual está determinado por las deflexiones permisibles en las uniones de las tuberías.</w:t>
      </w:r>
    </w:p>
    <w:p w14:paraId="289049B0"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lastRenderedPageBreak/>
        <w:t>Para el caso de las excavaciones mayores de 1.50 mts de profundidad, sí las hubiere, se necesita de un ademe (encofrado y arriostramiento), que impida derrumbes que constituyan un peligro para la vida de los operarios o la integridad de estructuras vecinas.</w:t>
      </w:r>
    </w:p>
    <w:p w14:paraId="4267BB7B" w14:textId="77777777" w:rsidR="001A4860" w:rsidRPr="001A4860" w:rsidRDefault="001A4860" w:rsidP="001A4860">
      <w:pPr>
        <w:jc w:val="left"/>
        <w:rPr>
          <w:rFonts w:eastAsia="Calibri"/>
          <w:b/>
          <w:szCs w:val="24"/>
          <w:lang w:val="es-ES"/>
        </w:rPr>
      </w:pPr>
      <w:r w:rsidRPr="001A4860">
        <w:rPr>
          <w:rFonts w:eastAsia="Calibri"/>
          <w:b/>
          <w:szCs w:val="24"/>
          <w:lang w:val="es-ES"/>
        </w:rPr>
        <w:t>RESTRICCIONES Y CALIDAD DEL TRABAJO.</w:t>
      </w:r>
    </w:p>
    <w:p w14:paraId="20902FA8" w14:textId="77777777" w:rsidR="001A4860" w:rsidRPr="001A4860" w:rsidRDefault="001A4860" w:rsidP="001A4860">
      <w:pPr>
        <w:rPr>
          <w:rFonts w:eastAsia="Calibri"/>
          <w:szCs w:val="24"/>
          <w:lang w:val="es-ES"/>
        </w:rPr>
      </w:pPr>
      <w:r w:rsidRPr="001A4860">
        <w:rPr>
          <w:rFonts w:eastAsia="Calibri"/>
          <w:szCs w:val="24"/>
          <w:lang w:val="es-ES"/>
        </w:rPr>
        <w:t>No se permiten zanjas abiertas por periodos mayores de tres días. El relleno y compactación de zanjas, se debe realizar inmediatamente después que la tubería haya sido probada hidráulicamente, desinfectada y aceptada por el Ingeniero supervisor.</w:t>
      </w:r>
    </w:p>
    <w:p w14:paraId="56810EEE" w14:textId="77777777" w:rsidR="001A4860" w:rsidRPr="001A4860" w:rsidRDefault="001A4860" w:rsidP="001A4860">
      <w:pPr>
        <w:rPr>
          <w:rFonts w:eastAsia="Calibri"/>
          <w:szCs w:val="24"/>
          <w:lang w:val="es-ES"/>
        </w:rPr>
      </w:pPr>
    </w:p>
    <w:p w14:paraId="3026A491"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Los materiales de excavación de la zanja deben ser colocados al lado donde no se obstaculice el tránsito y que, en todo caso, causen el mínimo inconveniente, y permitan el acceso apropiado y seguro a la propiedad pública y privada, además de permitir el depósito de los tubos sobre el borde inmediato de la excavación.</w:t>
      </w:r>
    </w:p>
    <w:p w14:paraId="55841BED"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Se debe mantener una orilla despejada de 50 cms de ancho mínimo, entre el borde de la zanja y el pie del talud de las tierras extraídas. Esa orilla está destinada a la circulación cómoda del personal instalador de la tubería.</w:t>
      </w:r>
    </w:p>
    <w:p w14:paraId="4830375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Los materiales excavados que no sean satisfactorios para relleno, o estén en exceso al requerido, deben ser dispuestos fuera del sitio de la obra de una manera aprobada por el Ingeniero. Los costos de esta operación deben ser asumidos por el Contratista.</w:t>
      </w:r>
    </w:p>
    <w:p w14:paraId="7CC852E1"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Aún, suponiendo que el relleno de la tubería instalada, se efectuó correctamente, se debe eliminar de la tierra extraída, toda piedra gruesa y todo material que, utilizado como relleno de la zanja, pueda ocasionar daños en la tubería.</w:t>
      </w:r>
    </w:p>
    <w:p w14:paraId="2C20841D"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Si el fondo de la zanja se convierte en una fundación inestable para los tubos, debido al descuido del Contratista, de ademar o desaguar la zanja, o si la excavación se ha hecho más profunda de lo necesario, el Contratista debe, remover el material inestable y rellenar la zanja de la manera descrita. Estas actividades deben ser asumidas por cuenta del contratista.</w:t>
      </w:r>
    </w:p>
    <w:p w14:paraId="76792878"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remover toda agua que se colecte en las zanjas antes y después de que los tubos estén instalados. En ningún caso se permite que el agua escurra sobre la fundación, o por la tubería, sin permiso del Ingeniero. El agua encontrada debe ser eliminada por el Contratista de una manera satisfactoria para el Ingeniero.</w:t>
      </w:r>
    </w:p>
    <w:p w14:paraId="21127EEE"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Las conexiones domiciliares de agua potable y aguas negras, y cualesquiera otras que sean rotas o averiadas durante la construcción, deben ser reemplazadas por y a cuenta del Contratista.</w:t>
      </w:r>
    </w:p>
    <w:p w14:paraId="5D9C2356" w14:textId="77777777" w:rsidR="001A4860" w:rsidRPr="001A4860" w:rsidRDefault="001A4860" w:rsidP="001A4860">
      <w:pPr>
        <w:spacing w:after="160" w:line="259" w:lineRule="auto"/>
        <w:jc w:val="left"/>
        <w:rPr>
          <w:rFonts w:eastAsia="Calibri"/>
          <w:szCs w:val="24"/>
          <w:lang w:val="es-ES"/>
        </w:rPr>
      </w:pPr>
      <w:r w:rsidRPr="001A4860">
        <w:rPr>
          <w:rFonts w:eastAsia="Calibri"/>
          <w:szCs w:val="24"/>
          <w:lang w:val="es-ES"/>
        </w:rPr>
        <w:br w:type="page"/>
      </w:r>
    </w:p>
    <w:p w14:paraId="4A0480E5" w14:textId="77777777" w:rsidR="001A4860" w:rsidRPr="001A4860" w:rsidRDefault="001A4860" w:rsidP="001A4860">
      <w:pPr>
        <w:spacing w:after="160" w:line="259" w:lineRule="auto"/>
        <w:rPr>
          <w:rFonts w:eastAsia="Calibri"/>
          <w:szCs w:val="24"/>
          <w:lang w:val="es-ES"/>
        </w:rPr>
      </w:pPr>
    </w:p>
    <w:p w14:paraId="29D1A530" w14:textId="77777777" w:rsidR="001A4860" w:rsidRPr="001A4860" w:rsidRDefault="001A4860" w:rsidP="001A4860">
      <w:pPr>
        <w:jc w:val="left"/>
        <w:rPr>
          <w:rFonts w:eastAsia="Calibri"/>
          <w:b/>
          <w:szCs w:val="24"/>
          <w:lang w:val="es-ES"/>
        </w:rPr>
      </w:pPr>
      <w:bookmarkStart w:id="1289" w:name="_Toc16063726"/>
      <w:r w:rsidRPr="001A4860">
        <w:rPr>
          <w:rFonts w:eastAsia="Calibri"/>
          <w:b/>
          <w:szCs w:val="24"/>
          <w:lang w:val="es-ES"/>
        </w:rPr>
        <w:t>TUBERÍA Y ACCESORIOS DE AGUA POTABLE</w:t>
      </w:r>
      <w:bookmarkEnd w:id="1289"/>
      <w:r w:rsidRPr="001A4860">
        <w:rPr>
          <w:rFonts w:eastAsia="Calibri"/>
          <w:b/>
          <w:szCs w:val="24"/>
          <w:lang w:val="es-ES"/>
        </w:rPr>
        <w:t xml:space="preserve"> </w:t>
      </w:r>
    </w:p>
    <w:p w14:paraId="6ABAEDAA" w14:textId="77777777" w:rsidR="001A4860" w:rsidRPr="001A4860" w:rsidRDefault="001A4860" w:rsidP="001A4860">
      <w:pPr>
        <w:jc w:val="left"/>
        <w:rPr>
          <w:rFonts w:eastAsia="Calibri"/>
          <w:szCs w:val="24"/>
          <w:lang w:val="es-ES"/>
        </w:rPr>
      </w:pPr>
    </w:p>
    <w:p w14:paraId="203C7AB0" w14:textId="77777777" w:rsidR="001A4860" w:rsidRPr="001A4860" w:rsidRDefault="001A4860" w:rsidP="001A4860">
      <w:pPr>
        <w:jc w:val="left"/>
        <w:rPr>
          <w:rFonts w:eastAsia="Calibri"/>
          <w:b/>
          <w:szCs w:val="24"/>
          <w:lang w:val="es-ES"/>
        </w:rPr>
      </w:pPr>
      <w:r w:rsidRPr="001A4860">
        <w:rPr>
          <w:rFonts w:eastAsia="Calibri"/>
          <w:b/>
          <w:szCs w:val="24"/>
          <w:lang w:val="es-ES"/>
        </w:rPr>
        <w:t>REQUISITOS GENERALES.</w:t>
      </w:r>
    </w:p>
    <w:p w14:paraId="4B3B62F1" w14:textId="77777777" w:rsidR="001A4860" w:rsidRPr="001A4860" w:rsidRDefault="001A4860" w:rsidP="001A4860">
      <w:pPr>
        <w:rPr>
          <w:rFonts w:eastAsia="Calibri"/>
          <w:szCs w:val="24"/>
          <w:lang w:val="es-ES"/>
        </w:rPr>
      </w:pPr>
      <w:r w:rsidRPr="001A4860">
        <w:rPr>
          <w:rFonts w:eastAsia="Calibri"/>
          <w:szCs w:val="24"/>
          <w:lang w:val="es-ES"/>
        </w:rPr>
        <w:t>Estas especificaciones cubren los aspectos más relevantes sobre los requerimientos mínimos que deben cumplir los materiales, mano de obra, herramientas, equipos y procedimientos constructivos en general, para su incorporación en las obras del proyecto. También se incluyen restricciones de carácter técnico que debe acatar el Contratista de las obras para realizar un trabajo coordinado, eficiente, completo y satisfactorio, evitando perjuicios, daños y molestias innecesarias, de carácter público o privado.</w:t>
      </w:r>
    </w:p>
    <w:p w14:paraId="404F8973" w14:textId="77777777" w:rsidR="001A4860" w:rsidRPr="001A4860" w:rsidRDefault="001A4860" w:rsidP="001A4860">
      <w:pPr>
        <w:rPr>
          <w:rFonts w:eastAsia="Calibri"/>
          <w:szCs w:val="24"/>
          <w:lang w:val="es-ES"/>
        </w:rPr>
      </w:pPr>
    </w:p>
    <w:p w14:paraId="4658C8B5"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considerar en la ejecución de la obra, los siguientes requisitos:</w:t>
      </w:r>
    </w:p>
    <w:p w14:paraId="5718AFF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programar la obra a ejecutar con la aprobación de El Ingeniero Supervisor.</w:t>
      </w:r>
    </w:p>
    <w:p w14:paraId="6923FD0F"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planear la ejecución de sus trabajos en coordinación con la Alcaldía y la Policía.</w:t>
      </w:r>
    </w:p>
    <w:p w14:paraId="24B0103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Durante la ejecución de las obras y con el objeto de obtener una circulación de vehículos ordenada, El Contratista inevitablemente debe usar señales con leyendas aprobadas por El Ingeniero Supervisor, para prevenir accidentes que puedan causar daños, tanto materiales, como humanos. Por las noches, las señales deben ser luminosas y, de ser necesario, asignar un celador en el sitio. El Contratista es responsable de cualquier daño causado a terceros debido a descuido imputable al mismo, durante el periodo de ejecución de la Obra.</w:t>
      </w:r>
    </w:p>
    <w:p w14:paraId="116B4A81"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Es responsabilidad del Contratista el transporte de los materiales al sitio de la obra, su manejo y almacenamiento.</w:t>
      </w:r>
    </w:p>
    <w:p w14:paraId="5C15EAA3"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cubrir la tubería y accesorios instalados, previa aceptación del Ingeniero Supervisor, una vez verificada su correcta instalación y efectuado todas las pruebas de las mismas.</w:t>
      </w:r>
    </w:p>
    <w:p w14:paraId="4FD75CC2"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es responsable de la conservación de la obra en ejecución, hasta la fecha que se le extienda el certificado de recepción definitiva de parte del Ingeniero.</w:t>
      </w:r>
    </w:p>
    <w:p w14:paraId="140E6DC0"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tomar todas las precauciones necesarias para prevenir daños a las estructuras existentes sobre o bajo tierra, y respetar la propiedad dentro y en áreas adyacentes de los trabajos.</w:t>
      </w:r>
    </w:p>
    <w:p w14:paraId="0895081D"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Los cambios de alineamientos o niveles de la tubería, cuando se consideren necesarios, deben ser autorizados por el Ingeniero Supervisor.</w:t>
      </w:r>
    </w:p>
    <w:p w14:paraId="5864FE33"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restaurar el pavimento o superficie de rodamiento, que se haya removido durante la instalación, restableciendo la superficie de rodamiento a sus condiciones originales.</w:t>
      </w:r>
    </w:p>
    <w:p w14:paraId="3578D72D"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Cuando durante la ejecución del trabajo se cause daño a tuberías de agua potable, aguas negras o pluviales, líneas telefónicas o eléctricas, el Contratista debe dar aviso inmediato a la institución responsable de estos servicios, para su reparación y su costo debe ser asumido por el Contratista.</w:t>
      </w:r>
    </w:p>
    <w:p w14:paraId="77E39B5B"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lastRenderedPageBreak/>
        <w:t>El Contratista debe instalar o colocar las facilidades necesarias, para no bloquear la entrada de personas y vehículos a las viviendas.</w:t>
      </w:r>
    </w:p>
    <w:p w14:paraId="71CBF33B"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Si fuese necesario, el Contratista debe tomar las medidas necesarias, incluyendo la instalación de conexiones temporales, para no interrumpir el servicio de agua y desagüe a las viviendas.</w:t>
      </w:r>
    </w:p>
    <w:p w14:paraId="383F2455"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asegurar que el material de la excavación no bloquee el acceso a medidores de agua, hidrantes, pozos de visita, cajas de teléfono, etc.</w:t>
      </w:r>
    </w:p>
    <w:p w14:paraId="69619B21"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al finalizar la instalación, debe limpiar el sitio de la obra, de manera que quede libre de residuos, basura, material sobrante, etc.</w:t>
      </w:r>
    </w:p>
    <w:p w14:paraId="6089416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debe tomar las medidas necesarias para ocasionar la menor molestia posible al público, ocasionada por polvo, ruido, obstrucciones, etc.</w:t>
      </w:r>
    </w:p>
    <w:p w14:paraId="0C9F6617"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Los conceptos de obra de las diferentes partes constructivas del proyecto incluyen todas las actividades necesarias para que éstas sean completas.</w:t>
      </w:r>
    </w:p>
    <w:p w14:paraId="5A1C2704" w14:textId="77777777" w:rsidR="001A4860" w:rsidRPr="001A4860" w:rsidRDefault="001A4860" w:rsidP="001A4860">
      <w:pPr>
        <w:rPr>
          <w:rFonts w:eastAsia="Calibri"/>
          <w:szCs w:val="24"/>
          <w:lang w:val="es-ES"/>
        </w:rPr>
      </w:pPr>
      <w:r w:rsidRPr="001A4860">
        <w:rPr>
          <w:rFonts w:eastAsia="Calibri"/>
          <w:szCs w:val="24"/>
          <w:lang w:val="es-ES"/>
        </w:rPr>
        <w:t>El Contratista no puede ni debe alegar desconocimiento de causa sobre este particular y en caso de duda, debe hacer las consultas por escrito al INAA previo a la presentación de la oferta. La presentación de la oferta significa la aceptación de su parte, sobre el contenido conceptual de cada parte de obra, y se somete entonces a la interpretación que de ésta haga el Ingeniero, a la luz de lo establecido en estas especificaciones.</w:t>
      </w:r>
    </w:p>
    <w:p w14:paraId="0511BA2B" w14:textId="77777777" w:rsidR="001A4860" w:rsidRPr="001A4860" w:rsidRDefault="001A4860" w:rsidP="001A4860">
      <w:pPr>
        <w:rPr>
          <w:rFonts w:eastAsia="Calibri"/>
          <w:szCs w:val="24"/>
          <w:lang w:val="es-ES"/>
        </w:rPr>
      </w:pPr>
    </w:p>
    <w:p w14:paraId="141FC4D0" w14:textId="77777777" w:rsidR="001A4860" w:rsidRPr="001A4860" w:rsidRDefault="001A4860" w:rsidP="001A4860">
      <w:pPr>
        <w:jc w:val="left"/>
        <w:rPr>
          <w:rFonts w:eastAsia="Calibri"/>
          <w:b/>
          <w:szCs w:val="24"/>
          <w:lang w:val="es-ES"/>
        </w:rPr>
      </w:pPr>
      <w:bookmarkStart w:id="1290" w:name="_Toc20930033"/>
      <w:r w:rsidRPr="001A4860">
        <w:rPr>
          <w:rFonts w:eastAsia="Calibri"/>
          <w:b/>
          <w:szCs w:val="24"/>
          <w:lang w:val="es-ES"/>
        </w:rPr>
        <w:t>TIPOS DE EXCAVACIÓ</w:t>
      </w:r>
      <w:bookmarkEnd w:id="1290"/>
      <w:r w:rsidRPr="001A4860">
        <w:rPr>
          <w:rFonts w:eastAsia="Calibri"/>
          <w:b/>
          <w:szCs w:val="24"/>
          <w:lang w:val="es-ES"/>
        </w:rPr>
        <w:t>N</w:t>
      </w:r>
    </w:p>
    <w:p w14:paraId="21CE1417" w14:textId="77777777" w:rsidR="001A4860" w:rsidRPr="001A4860" w:rsidRDefault="001A4860" w:rsidP="001A4860">
      <w:pPr>
        <w:jc w:val="left"/>
        <w:rPr>
          <w:rFonts w:eastAsia="Calibri"/>
          <w:b/>
          <w:szCs w:val="24"/>
          <w:lang w:val="es-ES"/>
        </w:rPr>
      </w:pPr>
    </w:p>
    <w:p w14:paraId="79E5767E"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Los tipos de excavación de una zanja o de un pozo de exploración pueden catalogarse por su rango de profundidad o por el grado de compactación o dureza (tipo de material), es decir por la dificultad de la excavación.</w:t>
      </w:r>
    </w:p>
    <w:p w14:paraId="72FFAC31" w14:textId="77777777" w:rsidR="001A4860" w:rsidRPr="001A4860" w:rsidRDefault="001A4860" w:rsidP="001A4860">
      <w:pPr>
        <w:rPr>
          <w:b/>
          <w:kern w:val="28"/>
          <w:szCs w:val="24"/>
          <w:lang w:val="es-ES" w:eastAsia="en-GB"/>
        </w:rPr>
      </w:pPr>
      <w:r w:rsidRPr="001A4860">
        <w:rPr>
          <w:b/>
          <w:kern w:val="28"/>
          <w:szCs w:val="24"/>
          <w:lang w:val="es-ES" w:eastAsia="en-GB"/>
        </w:rPr>
        <w:t>C.1 Excavación en Tierra Normal</w:t>
      </w:r>
    </w:p>
    <w:p w14:paraId="557DCDB5"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Se considera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talpuja o combinaciones entre ellas son consideradas como “tierra normal” ante el hecho de que estas sean posibles excavarlas con pico y pala, sin requerir el uso de barra.</w:t>
      </w:r>
    </w:p>
    <w:p w14:paraId="564986F9" w14:textId="77777777" w:rsidR="001A4860" w:rsidRPr="001A4860" w:rsidRDefault="001A4860" w:rsidP="001A4860">
      <w:pPr>
        <w:rPr>
          <w:b/>
          <w:kern w:val="28"/>
          <w:szCs w:val="24"/>
          <w:lang w:val="es-ES" w:eastAsia="en-GB"/>
        </w:rPr>
      </w:pPr>
      <w:r w:rsidRPr="001A4860">
        <w:rPr>
          <w:b/>
          <w:kern w:val="28"/>
          <w:szCs w:val="24"/>
          <w:lang w:val="es-ES" w:eastAsia="en-GB"/>
        </w:rPr>
        <w:t>C.2 Excavación en Cascajo</w:t>
      </w:r>
    </w:p>
    <w:p w14:paraId="5DCBDFB6"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Se considera excavación en cascajo toda aquella realizada en terrenos que presenten las características del material llamado y conocido como cascajo, así catalogado comúnmente por su consistencia pedregosa y grado de dificultad de penetración. Este material es de comportamiento arcilloso y/o compacto y de difícil penetración con pico y requiere el uso adicional de barra para su excavación. Este material combinado con tierra normal puede ser usado como material de relleno de capas de la terracería antes de la sub-rasante; siempre que sea debidamente aprobado por el Ingeniero.</w:t>
      </w:r>
    </w:p>
    <w:p w14:paraId="7152407A" w14:textId="77777777" w:rsidR="001A4860" w:rsidRPr="001A4860" w:rsidRDefault="001A4860" w:rsidP="001A4860">
      <w:pPr>
        <w:rPr>
          <w:b/>
          <w:kern w:val="28"/>
          <w:szCs w:val="24"/>
          <w:lang w:val="es-ES" w:eastAsia="en-GB"/>
        </w:rPr>
      </w:pPr>
      <w:r w:rsidRPr="001A4860">
        <w:rPr>
          <w:b/>
          <w:kern w:val="28"/>
          <w:szCs w:val="24"/>
          <w:lang w:val="es-ES" w:eastAsia="en-GB"/>
        </w:rPr>
        <w:lastRenderedPageBreak/>
        <w:t>C.3 Excavación en Roca</w:t>
      </w:r>
    </w:p>
    <w:p w14:paraId="7B806FB8"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Comprende todo material que, según la opinión del Ingeniero, solamente pueda ser removido, perforando y usando cargas explosivas; o perforando y usando cuñas. Concreto, ladrillo o piedra se consideran rocas si el volumen que se va a remover excede 1/3 de metro cúbico. Si los materiales de excavación se pueden remover con herramientas y equipo corriente pero el Contratista prefiere remover perforando y usando cargas explosivas y usando cuñas, no deben ser clasificados como roca.</w:t>
      </w:r>
    </w:p>
    <w:p w14:paraId="094AD929"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No se considera roca: la piedra cantera, la piedra blanda o desintegrada que se pueda remover con piqueta, barra, pico, piocha, o equipo mecánico; la piedra que tenga un volumen menor de 1/3 de metro cúbico, ni la rotura de base o pavimento que estuvieran en la línea de excavación de la tubería en instalación.</w:t>
      </w:r>
    </w:p>
    <w:p w14:paraId="1779C25A" w14:textId="77777777" w:rsidR="001A4860" w:rsidRPr="001A4860" w:rsidRDefault="001A4860" w:rsidP="001A4860">
      <w:pPr>
        <w:spacing w:after="160" w:line="259" w:lineRule="auto"/>
        <w:jc w:val="left"/>
        <w:rPr>
          <w:rFonts w:eastAsia="Calibri"/>
          <w:b/>
          <w:szCs w:val="24"/>
          <w:lang w:val="es-ES"/>
        </w:rPr>
      </w:pPr>
      <w:bookmarkStart w:id="1291" w:name="_Toc20930034"/>
      <w:r w:rsidRPr="001A4860">
        <w:rPr>
          <w:rFonts w:eastAsia="Calibri"/>
          <w:b/>
          <w:szCs w:val="24"/>
          <w:lang w:val="es-ES"/>
        </w:rPr>
        <w:t>BOTAR MATERIAL DE EXCAVACIÓN</w:t>
      </w:r>
      <w:bookmarkEnd w:id="1291"/>
    </w:p>
    <w:p w14:paraId="3521C2F9" w14:textId="77777777" w:rsidR="001A4860" w:rsidRPr="001A4860" w:rsidRDefault="001A4860" w:rsidP="001A4860">
      <w:pPr>
        <w:rPr>
          <w:rFonts w:eastAsia="Calibri"/>
          <w:szCs w:val="24"/>
          <w:lang w:val="es-ES"/>
        </w:rPr>
      </w:pPr>
      <w:r w:rsidRPr="001A4860">
        <w:rPr>
          <w:rFonts w:eastAsia="Calibri"/>
          <w:szCs w:val="24"/>
          <w:lang w:val="es-ES"/>
        </w:rPr>
        <w:t>Consiste en la transportación de los materiales autorizados a botar o trasladar más allá de la distancia de corte o de excavación.</w:t>
      </w:r>
    </w:p>
    <w:p w14:paraId="6B41A0D9" w14:textId="77777777" w:rsidR="001A4860" w:rsidRPr="001A4860" w:rsidRDefault="001A4860" w:rsidP="001A4860">
      <w:pPr>
        <w:rPr>
          <w:rFonts w:eastAsia="Calibri"/>
          <w:szCs w:val="24"/>
          <w:lang w:val="es-ES"/>
        </w:rPr>
      </w:pPr>
    </w:p>
    <w:p w14:paraId="4FC48F3B" w14:textId="77777777" w:rsidR="001A4860" w:rsidRPr="001A4860" w:rsidRDefault="001A4860" w:rsidP="001A4860">
      <w:pPr>
        <w:rPr>
          <w:rFonts w:eastAsia="Calibri"/>
          <w:szCs w:val="24"/>
          <w:lang w:val="es-ES"/>
        </w:rPr>
      </w:pPr>
      <w:r w:rsidRPr="001A4860">
        <w:rPr>
          <w:rFonts w:eastAsia="Calibri"/>
          <w:szCs w:val="24"/>
          <w:lang w:val="es-ES"/>
        </w:rPr>
        <w:t>Si por cualquier razón, después del relleno y compactación de zanjas queda material sobrante, debe ser dispuesto por el Contratista. El material sobrante extraído y sustituido por contener elementos inadecuados y/o por excedente después de la instalación de las tuberías y accesorios, debe ser dispuesto por el Contratista, a su cuenta, debiendo suministrar todos los recursos necesarios para retirarlos del sitio de las obras y depositarlos adecuadamente conforme las exigencias de la Alcaldía Municipal.</w:t>
      </w:r>
    </w:p>
    <w:p w14:paraId="42B7A193" w14:textId="77777777" w:rsidR="001A4860" w:rsidRPr="001A4860" w:rsidRDefault="001A4860" w:rsidP="001A4860">
      <w:pPr>
        <w:jc w:val="left"/>
        <w:rPr>
          <w:rFonts w:eastAsia="Calibri"/>
          <w:kern w:val="28"/>
          <w:szCs w:val="24"/>
          <w:lang w:val="es-ES" w:eastAsia="en-GB"/>
        </w:rPr>
      </w:pPr>
    </w:p>
    <w:p w14:paraId="19BE67C3" w14:textId="77777777" w:rsidR="001A4860" w:rsidRPr="001A4860" w:rsidRDefault="001A4860" w:rsidP="001A4860">
      <w:pPr>
        <w:rPr>
          <w:rFonts w:eastAsia="Calibri"/>
          <w:b/>
          <w:szCs w:val="24"/>
          <w:lang w:val="es-ES"/>
        </w:rPr>
      </w:pPr>
      <w:bookmarkStart w:id="1292" w:name="_Toc16063725"/>
      <w:bookmarkStart w:id="1293" w:name="_Toc20930035"/>
      <w:r w:rsidRPr="001A4860">
        <w:rPr>
          <w:rFonts w:eastAsia="Calibri"/>
          <w:b/>
          <w:szCs w:val="24"/>
          <w:lang w:val="es-ES"/>
        </w:rPr>
        <w:t>RELLENO Y COMPACTACION</w:t>
      </w:r>
      <w:bookmarkEnd w:id="1292"/>
      <w:bookmarkEnd w:id="1293"/>
      <w:r w:rsidRPr="001A4860">
        <w:rPr>
          <w:rFonts w:eastAsia="Calibri"/>
          <w:b/>
          <w:szCs w:val="24"/>
          <w:lang w:val="es-ES"/>
        </w:rPr>
        <w:t xml:space="preserve">  </w:t>
      </w:r>
    </w:p>
    <w:p w14:paraId="389F51C6" w14:textId="77777777" w:rsidR="001A4860" w:rsidRPr="001A4860" w:rsidRDefault="001A4860" w:rsidP="001A4860">
      <w:pPr>
        <w:rPr>
          <w:rFonts w:eastAsia="Calibri"/>
          <w:szCs w:val="24"/>
          <w:lang w:val="es-ES" w:eastAsia="en-GB"/>
        </w:rPr>
      </w:pPr>
    </w:p>
    <w:p w14:paraId="5310D9AB" w14:textId="77777777" w:rsidR="001A4860" w:rsidRPr="001A4860" w:rsidRDefault="001A4860" w:rsidP="001A4860">
      <w:pPr>
        <w:rPr>
          <w:kern w:val="28"/>
          <w:szCs w:val="24"/>
          <w:lang w:val="es-ES" w:eastAsia="en-GB"/>
        </w:rPr>
      </w:pPr>
      <w:r w:rsidRPr="001A4860">
        <w:rPr>
          <w:kern w:val="28"/>
          <w:szCs w:val="24"/>
          <w:lang w:val="es-ES" w:eastAsia="en-GB"/>
        </w:rPr>
        <w:t xml:space="preserve">Esto se refiere al rubro de relleno y compactación y corresponde al aporte comunitario por lo que el contratista debe velar por que se realice de acuerdo a lo indicado en las especificaciones para esta actividad </w:t>
      </w:r>
    </w:p>
    <w:p w14:paraId="487B4C90" w14:textId="77777777" w:rsidR="001A4860" w:rsidRPr="001A4860" w:rsidRDefault="001A4860" w:rsidP="001A4860">
      <w:pPr>
        <w:jc w:val="left"/>
        <w:rPr>
          <w:rFonts w:eastAsia="Calibri"/>
          <w:szCs w:val="24"/>
          <w:lang w:val="es-ES" w:eastAsia="en-GB"/>
        </w:rPr>
      </w:pPr>
    </w:p>
    <w:p w14:paraId="3D35092E" w14:textId="77777777" w:rsidR="001A4860" w:rsidRPr="001A4860" w:rsidRDefault="001A4860" w:rsidP="001A4860">
      <w:pPr>
        <w:spacing w:after="160" w:line="259" w:lineRule="auto"/>
        <w:jc w:val="left"/>
        <w:rPr>
          <w:rFonts w:eastAsia="Calibri"/>
          <w:b/>
          <w:szCs w:val="24"/>
          <w:lang w:val="es-ES"/>
        </w:rPr>
      </w:pPr>
      <w:r w:rsidRPr="001A4860">
        <w:rPr>
          <w:rFonts w:eastAsia="Calibri"/>
          <w:b/>
          <w:szCs w:val="24"/>
          <w:lang w:val="es-ES"/>
        </w:rPr>
        <w:t>RECURSOS Y PROCEDIMIENTOS</w:t>
      </w:r>
    </w:p>
    <w:p w14:paraId="36ADED86" w14:textId="77777777" w:rsidR="001A4860" w:rsidRPr="001A4860" w:rsidRDefault="001A4860" w:rsidP="001A4860">
      <w:pPr>
        <w:rPr>
          <w:rFonts w:eastAsia="Calibri"/>
          <w:szCs w:val="24"/>
          <w:lang w:val="es-ES"/>
        </w:rPr>
      </w:pPr>
      <w:r w:rsidRPr="001A4860">
        <w:rPr>
          <w:rFonts w:eastAsia="Calibri"/>
          <w:szCs w:val="24"/>
          <w:lang w:val="es-ES"/>
        </w:rPr>
        <w:t>Para toda zanja abierta para la instalación de tuberías o para otras actividades complementarias del proyecto, se requiere que el Contratista suministre los recursos necesarios para efectuar adecuadamente el relleno y compactación de los mismos.</w:t>
      </w:r>
    </w:p>
    <w:p w14:paraId="497DEFEB" w14:textId="77777777" w:rsidR="001A4860" w:rsidRPr="001A4860" w:rsidRDefault="001A4860" w:rsidP="001A4860">
      <w:pPr>
        <w:rPr>
          <w:rFonts w:eastAsia="Calibri"/>
          <w:szCs w:val="24"/>
          <w:lang w:val="es-ES" w:eastAsia="en-GB"/>
        </w:rPr>
      </w:pPr>
    </w:p>
    <w:p w14:paraId="7F69D3B9" w14:textId="77777777" w:rsidR="001A4860" w:rsidRPr="001A4860" w:rsidRDefault="001A4860" w:rsidP="001A4860">
      <w:pPr>
        <w:rPr>
          <w:rFonts w:eastAsia="Calibri"/>
          <w:szCs w:val="24"/>
          <w:lang w:val="es-ES"/>
        </w:rPr>
      </w:pPr>
      <w:r w:rsidRPr="001A4860">
        <w:rPr>
          <w:rFonts w:eastAsia="Calibri"/>
          <w:szCs w:val="24"/>
          <w:lang w:val="es-ES"/>
        </w:rPr>
        <w:t>El relleno y la compactación deben ser realizados adecuadamente para cerrar las zanjas. En general, esta actividad utiliza como material, el mismo que fue extraído de la zanja y que libre de elementos inadecuados, recibe el nombre de “relleno común”.</w:t>
      </w:r>
    </w:p>
    <w:p w14:paraId="19EC59BE" w14:textId="77777777" w:rsidR="001A4860" w:rsidRPr="001A4860" w:rsidRDefault="001A4860" w:rsidP="001A4860">
      <w:pPr>
        <w:rPr>
          <w:rFonts w:eastAsia="Calibri"/>
          <w:szCs w:val="24"/>
          <w:lang w:val="es-ES" w:eastAsia="en-GB"/>
        </w:rPr>
      </w:pPr>
    </w:p>
    <w:p w14:paraId="1B3B997B" w14:textId="77777777" w:rsidR="001A4860" w:rsidRPr="001A4860" w:rsidRDefault="001A4860" w:rsidP="001A4860">
      <w:pPr>
        <w:rPr>
          <w:rFonts w:eastAsia="Calibri"/>
          <w:szCs w:val="24"/>
          <w:lang w:val="es-ES"/>
        </w:rPr>
      </w:pPr>
      <w:r w:rsidRPr="001A4860">
        <w:rPr>
          <w:rFonts w:eastAsia="Calibri"/>
          <w:szCs w:val="24"/>
          <w:lang w:val="es-ES"/>
        </w:rPr>
        <w:t>En el caso de requerirse otro tipo de material de relleno, debido a situaciones específicas encontradas durante las excavaciones, la sustitución de material inadecuado (inestable, piedras, roca, desechos. etc.) o reposición en sub-excavaciones ordenadas por el Ingeniero supervisor por haber lechos de piedra cantera o rocosos, deberá importarse material selecto de banco y/o otros tipos de rellenos especiales, para esto el CAPS se apoyará con la alcaldía municipal.</w:t>
      </w:r>
    </w:p>
    <w:p w14:paraId="587BB3C9" w14:textId="77777777" w:rsidR="001A4860" w:rsidRPr="001A4860" w:rsidRDefault="001A4860" w:rsidP="001A4860">
      <w:pPr>
        <w:rPr>
          <w:rFonts w:eastAsia="Calibri"/>
          <w:szCs w:val="24"/>
          <w:lang w:val="es-ES" w:eastAsia="en-GB"/>
        </w:rPr>
      </w:pPr>
    </w:p>
    <w:p w14:paraId="1CAD1763" w14:textId="77777777" w:rsidR="001A4860" w:rsidRPr="001A4860" w:rsidRDefault="001A4860" w:rsidP="001A4860">
      <w:pPr>
        <w:rPr>
          <w:rFonts w:eastAsia="Calibri"/>
          <w:b/>
          <w:szCs w:val="24"/>
          <w:lang w:val="es-ES"/>
        </w:rPr>
      </w:pPr>
      <w:bookmarkStart w:id="1294" w:name="_Toc20930037"/>
      <w:r w:rsidRPr="001A4860">
        <w:rPr>
          <w:rFonts w:eastAsia="Calibri"/>
          <w:b/>
          <w:szCs w:val="24"/>
          <w:lang w:val="es-ES"/>
        </w:rPr>
        <w:lastRenderedPageBreak/>
        <w:t>RELLENO COMÚN</w:t>
      </w:r>
      <w:bookmarkEnd w:id="1294"/>
    </w:p>
    <w:p w14:paraId="376703FC" w14:textId="77777777" w:rsidR="001A4860" w:rsidRPr="001A4860" w:rsidRDefault="001A4860" w:rsidP="001A4860">
      <w:pPr>
        <w:rPr>
          <w:rFonts w:eastAsia="Calibri"/>
          <w:szCs w:val="24"/>
          <w:lang w:val="es-ES"/>
        </w:rPr>
      </w:pPr>
      <w:r w:rsidRPr="001A4860">
        <w:rPr>
          <w:rFonts w:eastAsia="Calibri"/>
          <w:szCs w:val="24"/>
          <w:lang w:val="es-ES"/>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0610BE48" w14:textId="77777777" w:rsidR="001A4860" w:rsidRPr="001A4860" w:rsidRDefault="001A4860" w:rsidP="001A4860">
      <w:pPr>
        <w:rPr>
          <w:rFonts w:eastAsia="Calibri"/>
          <w:szCs w:val="24"/>
          <w:lang w:val="es-ES"/>
        </w:rPr>
      </w:pPr>
    </w:p>
    <w:p w14:paraId="4B607A91" w14:textId="77777777" w:rsidR="001A4860" w:rsidRPr="001A4860" w:rsidRDefault="001A4860" w:rsidP="001A4860">
      <w:pPr>
        <w:rPr>
          <w:rFonts w:eastAsia="Calibri"/>
          <w:b/>
          <w:szCs w:val="24"/>
          <w:lang w:val="es-ES"/>
        </w:rPr>
      </w:pPr>
      <w:bookmarkStart w:id="1295" w:name="_Toc20930038"/>
      <w:r w:rsidRPr="001A4860">
        <w:rPr>
          <w:rFonts w:eastAsia="Calibri"/>
          <w:b/>
          <w:szCs w:val="24"/>
          <w:lang w:val="es-ES"/>
        </w:rPr>
        <w:t>COMPACTACIÓN</w:t>
      </w:r>
      <w:bookmarkEnd w:id="1295"/>
    </w:p>
    <w:p w14:paraId="4F4ADF2C" w14:textId="77777777" w:rsidR="001A4860" w:rsidRPr="001A4860" w:rsidRDefault="001A4860" w:rsidP="001A4860">
      <w:pPr>
        <w:rPr>
          <w:rFonts w:eastAsia="Calibri"/>
          <w:szCs w:val="24"/>
          <w:lang w:val="es-ES"/>
        </w:rPr>
      </w:pPr>
      <w:r w:rsidRPr="001A4860">
        <w:rPr>
          <w:rFonts w:eastAsia="Calibri"/>
          <w:szCs w:val="24"/>
          <w:lang w:val="es-ES"/>
        </w:rPr>
        <w:t>Considerando que, la compactación es el proceso de aumentar mecánicamente la densidad de un material determinado, los rellenos para obras horizontales, obras de drenaje, pilas, estribos, alcantarillas, tuberías o de cualquier otra índole deben compactarse como mínimo al 90% estándar del peso volumétrico seco máximo, fijado por la prueba AASHTO T99 Método C, con un contenido de humedad que el Ingeniero considere adecuado para obtener la densidad del 95%, a no ser que se indique de otro modo en los planos o en las especificaciones especiales.</w:t>
      </w:r>
    </w:p>
    <w:p w14:paraId="0660744E" w14:textId="77777777" w:rsidR="001A4860" w:rsidRPr="001A4860" w:rsidRDefault="001A4860" w:rsidP="001A4860">
      <w:pPr>
        <w:rPr>
          <w:rFonts w:eastAsia="Calibri"/>
          <w:szCs w:val="24"/>
          <w:lang w:val="es-ES"/>
        </w:rPr>
      </w:pPr>
    </w:p>
    <w:p w14:paraId="3D5A753B" w14:textId="77777777" w:rsidR="001A4860" w:rsidRPr="001A4860" w:rsidRDefault="001A4860" w:rsidP="001A4860">
      <w:pPr>
        <w:rPr>
          <w:rFonts w:eastAsia="Calibri"/>
          <w:szCs w:val="24"/>
          <w:lang w:val="es-ES"/>
        </w:rPr>
      </w:pPr>
      <w:r w:rsidRPr="001A4860">
        <w:rPr>
          <w:rFonts w:eastAsia="Calibri"/>
          <w:szCs w:val="24"/>
          <w:lang w:val="es-ES"/>
        </w:rPr>
        <w:t>Cuando la compactación es manual, se utilizan pisones de 50 lbs de construcción de campo, se colocan capas de 0.10 mts dando no menos de 20 golpes de manera uniforme en toda el área de relleno, debiendo conservar la humedad óptima para alcanzar una densidad mínima del 90% o conforme lo autorice el Ingeniero.</w:t>
      </w:r>
    </w:p>
    <w:p w14:paraId="5250284E" w14:textId="77777777" w:rsidR="001A4860" w:rsidRPr="001A4860" w:rsidRDefault="001A4860" w:rsidP="001A4860">
      <w:pPr>
        <w:rPr>
          <w:rFonts w:eastAsia="Calibri"/>
          <w:szCs w:val="24"/>
          <w:lang w:val="es-ES"/>
        </w:rPr>
      </w:pPr>
    </w:p>
    <w:p w14:paraId="68272A4D" w14:textId="77777777" w:rsidR="001A4860" w:rsidRPr="001A4860" w:rsidRDefault="001A4860" w:rsidP="001A4860">
      <w:pPr>
        <w:rPr>
          <w:rFonts w:eastAsia="Calibri"/>
          <w:szCs w:val="24"/>
          <w:lang w:val="es-ES"/>
        </w:rPr>
      </w:pPr>
      <w:r w:rsidRPr="001A4860">
        <w:rPr>
          <w:rFonts w:eastAsia="Calibri"/>
          <w:szCs w:val="24"/>
          <w:lang w:val="es-ES"/>
        </w:rPr>
        <w:t>Cuando la compactación se realice con equipo mecánico manual, se debe hacer en capas de 0.20 mts, debiendo tener en consideración las especificaciones del fabricante referente al peso y tipo de compactador, por lo que el Ingeniero debe inspeccionar el equipo antes de iniciar el relleno y debe sugerir la cantidad de pasadas.</w:t>
      </w:r>
    </w:p>
    <w:p w14:paraId="418EB060" w14:textId="77777777" w:rsidR="001A4860" w:rsidRPr="001A4860" w:rsidRDefault="001A4860" w:rsidP="001A4860">
      <w:pPr>
        <w:rPr>
          <w:rFonts w:eastAsia="Calibri"/>
          <w:szCs w:val="24"/>
          <w:lang w:val="es-ES"/>
        </w:rPr>
      </w:pPr>
    </w:p>
    <w:p w14:paraId="1A113C01" w14:textId="77777777" w:rsidR="001A4860" w:rsidRPr="001A4860" w:rsidRDefault="001A4860" w:rsidP="001A4860">
      <w:pPr>
        <w:rPr>
          <w:rFonts w:eastAsia="Calibri"/>
          <w:szCs w:val="24"/>
          <w:lang w:val="es-ES"/>
        </w:rPr>
      </w:pPr>
      <w:r w:rsidRPr="001A4860">
        <w:rPr>
          <w:rFonts w:eastAsia="Calibri"/>
          <w:szCs w:val="24"/>
          <w:lang w:val="es-ES"/>
        </w:rPr>
        <w:t>Cuando la compactación se realice con equipo automotor se debe hacer en capas de 0.30 mts, debiendo tener en consideración las especificaciones del fabricante, peso y tipo de compactador. El equipo no tiene ninguna restricción siempre que los rellenos o terraplenes cumplan con la densidad del 90 al 95 % proctor conforme las pruebas ordenadas por el Ingeniero.</w:t>
      </w:r>
    </w:p>
    <w:p w14:paraId="22379FC6" w14:textId="77777777" w:rsidR="001A4860" w:rsidRPr="001A4860" w:rsidRDefault="001A4860" w:rsidP="001A4860">
      <w:pPr>
        <w:rPr>
          <w:rFonts w:eastAsia="Calibri"/>
          <w:szCs w:val="24"/>
          <w:lang w:val="es-ES"/>
        </w:rPr>
      </w:pPr>
    </w:p>
    <w:p w14:paraId="4AF92541" w14:textId="77777777" w:rsidR="001A4860" w:rsidRPr="001A4860" w:rsidRDefault="001A4860" w:rsidP="001A4860">
      <w:pPr>
        <w:rPr>
          <w:rFonts w:eastAsia="Calibri"/>
          <w:szCs w:val="24"/>
          <w:lang w:val="es-ES"/>
        </w:rPr>
      </w:pPr>
      <w:r w:rsidRPr="001A4860">
        <w:rPr>
          <w:rFonts w:eastAsia="Calibri"/>
          <w:szCs w:val="24"/>
          <w:lang w:val="es-ES"/>
        </w:rPr>
        <w:t>La decisión del Ingeniero de definir la cantidad o forma de compactación no exime al Contratista del cumplimiento de la calidad y de las especificaciones como de las pruebas que el Ingeniero mande.</w:t>
      </w:r>
    </w:p>
    <w:p w14:paraId="5316FC8A" w14:textId="77777777" w:rsidR="001A4860" w:rsidRPr="001A4860" w:rsidRDefault="001A4860" w:rsidP="001A4860">
      <w:pPr>
        <w:rPr>
          <w:rFonts w:eastAsia="Calibri"/>
          <w:szCs w:val="24"/>
          <w:lang w:val="es-ES"/>
        </w:rPr>
      </w:pPr>
    </w:p>
    <w:p w14:paraId="33E31060" w14:textId="77777777" w:rsidR="001A4860" w:rsidRPr="001A4860" w:rsidRDefault="001A4860" w:rsidP="001A4860">
      <w:pPr>
        <w:rPr>
          <w:rFonts w:eastAsia="Calibri"/>
          <w:szCs w:val="24"/>
          <w:lang w:val="es-ES"/>
        </w:rPr>
      </w:pPr>
      <w:r w:rsidRPr="001A4860">
        <w:rPr>
          <w:rFonts w:eastAsia="Calibri"/>
          <w:szCs w:val="24"/>
          <w:lang w:val="es-ES"/>
        </w:rPr>
        <w:t>Durante el avance del trabajo o a la conclusión del relleno, el ingeniero puede ordenar pruebas de densidad del material ya compactado. Cuando los ensayos no correspondan a la densidad y la humedad, en el caso de que se presenten partículas muy gruesas, u otros factores no aceptables, el Contratista debe llevar a cabo el trabajo adicional que pudiere ser necesario para cumplir las condiciones estipuladas.</w:t>
      </w:r>
    </w:p>
    <w:p w14:paraId="28F80F57" w14:textId="77777777" w:rsidR="001A4860" w:rsidRPr="001A4860" w:rsidRDefault="001A4860" w:rsidP="001A4860">
      <w:pPr>
        <w:rPr>
          <w:rFonts w:eastAsia="Calibri"/>
          <w:szCs w:val="24"/>
          <w:lang w:val="es-ES"/>
        </w:rPr>
      </w:pPr>
    </w:p>
    <w:p w14:paraId="4F7135A0" w14:textId="77777777" w:rsidR="001A4860" w:rsidRPr="001A4860" w:rsidRDefault="001A4860" w:rsidP="001A4860">
      <w:pPr>
        <w:rPr>
          <w:rFonts w:eastAsia="Calibri"/>
          <w:szCs w:val="24"/>
          <w:lang w:val="es-ES"/>
        </w:rPr>
      </w:pPr>
      <w:r w:rsidRPr="001A4860">
        <w:rPr>
          <w:rFonts w:eastAsia="Calibri"/>
          <w:szCs w:val="24"/>
          <w:lang w:val="es-ES"/>
        </w:rPr>
        <w:t>Los taludes de relleno se deben compactar desde el inicio a pie, debiendo tener el cuidado de que el equipo o el personal llegue al final de la capa que limita el borde del talud para darle la consistencia y perfil requerido.</w:t>
      </w:r>
    </w:p>
    <w:p w14:paraId="45231DBB" w14:textId="77777777" w:rsidR="001A4860" w:rsidRPr="001A4860" w:rsidRDefault="001A4860" w:rsidP="001A4860">
      <w:pPr>
        <w:rPr>
          <w:rFonts w:eastAsia="Calibri"/>
          <w:szCs w:val="24"/>
          <w:lang w:val="es-ES"/>
        </w:rPr>
      </w:pPr>
    </w:p>
    <w:p w14:paraId="6F386A45" w14:textId="77777777" w:rsidR="001A4860" w:rsidRPr="001A4860" w:rsidRDefault="001A4860" w:rsidP="001A4860">
      <w:pPr>
        <w:rPr>
          <w:rFonts w:eastAsia="Calibri"/>
          <w:szCs w:val="24"/>
          <w:lang w:val="es-ES"/>
        </w:rPr>
      </w:pPr>
      <w:r w:rsidRPr="001A4860">
        <w:rPr>
          <w:rFonts w:eastAsia="Calibri"/>
          <w:szCs w:val="24"/>
          <w:lang w:val="es-ES"/>
        </w:rPr>
        <w:t>El Contratista es responsable por la perfecta estabilidad del relleno y debe reparar por su propia cuenta, cualquier falla que se detecte en las pruebas, ya sean ocasionadas por lluvia, descuido o negligencia, las que corren por cuenta del contratista, así como las pruebas adicionales de laboratorio que se requieran.</w:t>
      </w:r>
    </w:p>
    <w:p w14:paraId="6251C303" w14:textId="77777777" w:rsidR="001A4860" w:rsidRPr="001A4860" w:rsidRDefault="001A4860" w:rsidP="001A4860">
      <w:pPr>
        <w:rPr>
          <w:rFonts w:eastAsia="Calibri"/>
          <w:szCs w:val="24"/>
          <w:lang w:val="es-ES"/>
        </w:rPr>
      </w:pPr>
    </w:p>
    <w:p w14:paraId="75B3444C" w14:textId="77777777" w:rsidR="001A4860" w:rsidRPr="001A4860" w:rsidRDefault="001A4860" w:rsidP="001A4860">
      <w:pPr>
        <w:rPr>
          <w:rFonts w:eastAsia="Calibri"/>
          <w:szCs w:val="24"/>
          <w:lang w:val="es-ES"/>
        </w:rPr>
      </w:pPr>
      <w:r w:rsidRPr="001A4860">
        <w:rPr>
          <w:rFonts w:eastAsia="Calibri"/>
          <w:szCs w:val="24"/>
          <w:lang w:val="es-ES"/>
        </w:rPr>
        <w:t>Para evitar atrasos, se debe elaborar un programa de compactación y pruebas, que permitan la obtención de datos de las pruebas y permitirle al Ingeniero dar la orden de avance o la escarificación y procesamiento del material afectado.</w:t>
      </w:r>
    </w:p>
    <w:p w14:paraId="794FFB43" w14:textId="77777777" w:rsidR="001A4860" w:rsidRPr="001A4860" w:rsidRDefault="001A4860" w:rsidP="001A4860">
      <w:pPr>
        <w:rPr>
          <w:rFonts w:eastAsia="Calibri"/>
          <w:szCs w:val="24"/>
          <w:lang w:val="es-ES"/>
        </w:rPr>
      </w:pPr>
    </w:p>
    <w:p w14:paraId="0C6729A9" w14:textId="77777777" w:rsidR="001A4860" w:rsidRPr="001A4860" w:rsidRDefault="001A4860" w:rsidP="003B68DB">
      <w:pPr>
        <w:numPr>
          <w:ilvl w:val="0"/>
          <w:numId w:val="194"/>
        </w:numPr>
        <w:spacing w:after="160" w:line="360" w:lineRule="auto"/>
        <w:ind w:left="0" w:firstLine="0"/>
        <w:contextualSpacing/>
        <w:jc w:val="left"/>
        <w:outlineLvl w:val="1"/>
        <w:rPr>
          <w:rFonts w:eastAsia="Calibri"/>
          <w:b/>
          <w:bCs/>
          <w:iCs/>
          <w:szCs w:val="24"/>
          <w:lang w:val="es-ES"/>
        </w:rPr>
      </w:pPr>
      <w:bookmarkStart w:id="1296" w:name="_Toc305746111"/>
      <w:bookmarkStart w:id="1297" w:name="_Toc310550049"/>
      <w:bookmarkStart w:id="1298" w:name="_Toc344461257"/>
      <w:bookmarkStart w:id="1299" w:name="_Toc344723229"/>
      <w:bookmarkStart w:id="1300" w:name="_Toc351657255"/>
      <w:bookmarkStart w:id="1301" w:name="_Toc406009604"/>
      <w:bookmarkStart w:id="1302" w:name="_Toc406009804"/>
      <w:bookmarkStart w:id="1303" w:name="_Toc406010523"/>
      <w:bookmarkStart w:id="1304" w:name="_Toc485034180"/>
      <w:bookmarkStart w:id="1305" w:name="_Toc505613770"/>
      <w:r w:rsidRPr="001A4860">
        <w:rPr>
          <w:rFonts w:eastAsia="Calibri"/>
          <w:b/>
          <w:bCs/>
          <w:iCs/>
          <w:szCs w:val="24"/>
          <w:lang w:val="es-ES"/>
        </w:rPr>
        <w:t>Tuberías y accesorios de PVC (cloruro de polivinilo)</w:t>
      </w:r>
      <w:bookmarkEnd w:id="1296"/>
      <w:bookmarkEnd w:id="1297"/>
      <w:bookmarkEnd w:id="1298"/>
      <w:bookmarkEnd w:id="1299"/>
      <w:bookmarkEnd w:id="1300"/>
      <w:bookmarkEnd w:id="1301"/>
      <w:bookmarkEnd w:id="1302"/>
      <w:bookmarkEnd w:id="1303"/>
      <w:bookmarkEnd w:id="1304"/>
      <w:bookmarkEnd w:id="1305"/>
    </w:p>
    <w:p w14:paraId="6CB5F6A8" w14:textId="77777777" w:rsidR="001A4860" w:rsidRPr="001A4860" w:rsidRDefault="001A4860" w:rsidP="001A4860">
      <w:pPr>
        <w:spacing w:line="360" w:lineRule="auto"/>
        <w:jc w:val="left"/>
        <w:rPr>
          <w:rFonts w:eastAsia="Calibri"/>
          <w:b/>
          <w:color w:val="000000"/>
          <w:szCs w:val="24"/>
          <w:lang w:val="es-ES"/>
        </w:rPr>
      </w:pPr>
      <w:r w:rsidRPr="001A4860">
        <w:rPr>
          <w:rFonts w:eastAsia="Calibri"/>
          <w:b/>
          <w:iCs/>
          <w:color w:val="000000"/>
          <w:szCs w:val="24"/>
          <w:lang w:val="es-ES"/>
        </w:rPr>
        <w:t>1.1</w:t>
      </w:r>
      <w:r w:rsidRPr="001A4860">
        <w:rPr>
          <w:rFonts w:eastAsia="Calibri"/>
          <w:b/>
          <w:iCs/>
          <w:color w:val="000000"/>
          <w:szCs w:val="24"/>
          <w:lang w:val="es-ES"/>
        </w:rPr>
        <w:tab/>
        <w:t>Tuberías y accesorios PVC</w:t>
      </w:r>
      <w:r w:rsidRPr="001A4860">
        <w:rPr>
          <w:rFonts w:eastAsia="Calibri"/>
          <w:b/>
          <w:color w:val="000000"/>
          <w:szCs w:val="24"/>
          <w:lang w:val="es-ES"/>
        </w:rPr>
        <w:t xml:space="preserve"> </w:t>
      </w:r>
    </w:p>
    <w:p w14:paraId="1BC48910" w14:textId="77777777" w:rsidR="001A4860" w:rsidRPr="001A4860" w:rsidRDefault="001A4860" w:rsidP="001A4860">
      <w:pPr>
        <w:rPr>
          <w:rFonts w:eastAsia="Calibri"/>
          <w:szCs w:val="24"/>
          <w:lang w:val="es-ES"/>
        </w:rPr>
      </w:pPr>
      <w:r w:rsidRPr="001A4860">
        <w:rPr>
          <w:rFonts w:eastAsia="Calibri"/>
          <w:szCs w:val="24"/>
          <w:lang w:val="es-ES"/>
        </w:rPr>
        <w:t>Las tuberías y accesorios de PVC deben ser fabricadas con compuestos de PVC cuyas características físicas y mecánicas satisfagan ampliamente los requerimientos mínimos, según ASTM D-1784. El PVC empleado para la fabricación de tuberías de PVC es de la clase 1245-B, conocido anteriormente como PVC tipo I, grado 1, conforme a las normas D-1784-65T.</w:t>
      </w:r>
    </w:p>
    <w:p w14:paraId="5DCAF25E" w14:textId="77777777" w:rsidR="001A4860" w:rsidRPr="001A4860" w:rsidRDefault="001A4860" w:rsidP="001A4860">
      <w:pPr>
        <w:rPr>
          <w:rFonts w:eastAsia="Calibri"/>
          <w:szCs w:val="24"/>
          <w:lang w:val="es-ES"/>
        </w:rPr>
      </w:pPr>
    </w:p>
    <w:p w14:paraId="4DC0EBE5" w14:textId="77777777" w:rsidR="001A4860" w:rsidRPr="001A4860" w:rsidRDefault="001A4860" w:rsidP="001A4860">
      <w:pPr>
        <w:rPr>
          <w:rFonts w:eastAsia="Calibri"/>
          <w:szCs w:val="24"/>
          <w:lang w:val="es-ES"/>
        </w:rPr>
      </w:pPr>
      <w:r w:rsidRPr="001A4860">
        <w:rPr>
          <w:rFonts w:eastAsia="Calibri"/>
          <w:szCs w:val="24"/>
          <w:lang w:val="es-ES"/>
        </w:rPr>
        <w:t>Las tuberías de PVC deben cumplir estrictamente con la norma ASTM D-2241, en lo que respecta a diámetro nominal, diámetro interior, diámetro exterior, espesor de pared del tubo, longitud del tubo, peso de los tubos y presión de trabajo.</w:t>
      </w:r>
    </w:p>
    <w:p w14:paraId="7D2691AB" w14:textId="77777777" w:rsidR="001A4860" w:rsidRPr="001A4860" w:rsidRDefault="001A4860" w:rsidP="001A4860">
      <w:pPr>
        <w:rPr>
          <w:rFonts w:eastAsia="Calibri"/>
          <w:szCs w:val="24"/>
          <w:lang w:val="es-ES"/>
        </w:rPr>
      </w:pPr>
    </w:p>
    <w:p w14:paraId="4BAF5963" w14:textId="77777777" w:rsidR="001A4860" w:rsidRPr="001A4860" w:rsidRDefault="001A4860" w:rsidP="001A4860">
      <w:pPr>
        <w:rPr>
          <w:rFonts w:eastAsia="Calibri"/>
          <w:szCs w:val="24"/>
          <w:lang w:val="es-ES"/>
        </w:rPr>
      </w:pPr>
      <w:r w:rsidRPr="001A4860">
        <w:rPr>
          <w:rFonts w:eastAsia="Calibri"/>
          <w:szCs w:val="24"/>
          <w:lang w:val="es-ES"/>
        </w:rPr>
        <w:t>Los tubos con diámetros iguales menores de 6”, tendrán extremos del tipo espiga y campana para ser unidos entre sí mediante el empleo de juntas cementa</w:t>
      </w:r>
      <w:r w:rsidRPr="001A4860">
        <w:rPr>
          <w:rFonts w:eastAsia="Calibri"/>
          <w:szCs w:val="24"/>
          <w:lang w:val="es-ES"/>
        </w:rPr>
        <w:softHyphen/>
        <w:t xml:space="preserve">da. Para su unión se usará cemento solvente, consistirá en una solución de PVC clase 1254-B, el cual deberá cumplir con la norma ASTM-D-2564-72 y la tubería de diámetro mayor, será del tipo de unión flexible, tipo </w:t>
      </w:r>
      <w:r w:rsidRPr="001A4860">
        <w:rPr>
          <w:rFonts w:eastAsia="Calibri"/>
          <w:b/>
          <w:szCs w:val="24"/>
          <w:lang w:val="es-ES"/>
        </w:rPr>
        <w:t>PUSH-ON ó TYTON ó JUNTA RAPIDA</w:t>
      </w:r>
      <w:r w:rsidRPr="001A4860">
        <w:rPr>
          <w:rFonts w:eastAsia="Calibri"/>
          <w:szCs w:val="24"/>
          <w:lang w:val="es-ES"/>
        </w:rPr>
        <w:t xml:space="preserve">, es decir, que en el interior de uno de sus extremos traerá incorporado un empaque de caucho o neopreno que se insertará en el extremo libre del otro tubo, haciendo un sello perfecto. </w:t>
      </w:r>
    </w:p>
    <w:p w14:paraId="21050601" w14:textId="77777777" w:rsidR="001A4860" w:rsidRPr="001A4860" w:rsidRDefault="001A4860" w:rsidP="001A4860">
      <w:pPr>
        <w:rPr>
          <w:rFonts w:eastAsia="Calibri"/>
          <w:szCs w:val="24"/>
          <w:lang w:val="es-ES"/>
        </w:rPr>
      </w:pPr>
    </w:p>
    <w:p w14:paraId="58C42270" w14:textId="77777777" w:rsidR="001A4860" w:rsidRPr="001A4860" w:rsidRDefault="001A4860" w:rsidP="001A4860">
      <w:pPr>
        <w:rPr>
          <w:rFonts w:eastAsia="Calibri"/>
          <w:szCs w:val="24"/>
          <w:lang w:val="es-ES"/>
        </w:rPr>
      </w:pPr>
      <w:r w:rsidRPr="001A4860">
        <w:rPr>
          <w:rFonts w:eastAsia="Calibri"/>
          <w:szCs w:val="24"/>
          <w:lang w:val="es-ES"/>
        </w:rPr>
        <w:t>Los anillos necesarios para las juntas, deben ser suministrados en cantidades que excedan en 5% a los requerimientos técnicos.</w:t>
      </w:r>
    </w:p>
    <w:p w14:paraId="776A06DD" w14:textId="77777777" w:rsidR="001A4860" w:rsidRPr="001A4860" w:rsidRDefault="001A4860" w:rsidP="001A4860">
      <w:pPr>
        <w:rPr>
          <w:rFonts w:eastAsia="Calibri"/>
          <w:szCs w:val="24"/>
          <w:lang w:val="es-ES"/>
        </w:rPr>
      </w:pPr>
    </w:p>
    <w:p w14:paraId="399646DE" w14:textId="77777777" w:rsidR="001A4860" w:rsidRPr="001A4860" w:rsidRDefault="001A4860" w:rsidP="001A4860">
      <w:pPr>
        <w:rPr>
          <w:rFonts w:eastAsia="Calibri"/>
          <w:szCs w:val="24"/>
          <w:lang w:val="es-ES"/>
        </w:rPr>
      </w:pPr>
      <w:r w:rsidRPr="001A4860">
        <w:rPr>
          <w:rFonts w:eastAsia="Calibri"/>
          <w:szCs w:val="24"/>
          <w:lang w:val="es-ES"/>
        </w:rPr>
        <w:t>Todas las tuberías PVC deben llevar marcado lo siguiente:</w:t>
      </w:r>
    </w:p>
    <w:p w14:paraId="552992C8" w14:textId="77777777" w:rsidR="001A4860" w:rsidRPr="001A4860" w:rsidRDefault="001A4860" w:rsidP="003B68DB">
      <w:pPr>
        <w:numPr>
          <w:ilvl w:val="0"/>
          <w:numId w:val="197"/>
        </w:numPr>
        <w:spacing w:after="160" w:line="259" w:lineRule="auto"/>
        <w:ind w:left="0" w:firstLine="0"/>
        <w:contextualSpacing/>
        <w:jc w:val="left"/>
        <w:rPr>
          <w:rFonts w:eastAsia="Calibri"/>
          <w:szCs w:val="24"/>
          <w:lang w:val="es-ES"/>
        </w:rPr>
      </w:pPr>
      <w:r w:rsidRPr="001A4860">
        <w:rPr>
          <w:rFonts w:eastAsia="Calibri"/>
          <w:szCs w:val="24"/>
          <w:lang w:val="es-ES"/>
        </w:rPr>
        <w:t>Marca del fabricante.</w:t>
      </w:r>
    </w:p>
    <w:p w14:paraId="36F0DE38" w14:textId="77777777" w:rsidR="001A4860" w:rsidRPr="001A4860" w:rsidRDefault="001A4860" w:rsidP="003B68DB">
      <w:pPr>
        <w:numPr>
          <w:ilvl w:val="0"/>
          <w:numId w:val="197"/>
        </w:numPr>
        <w:spacing w:after="160" w:line="259" w:lineRule="auto"/>
        <w:ind w:left="0" w:firstLine="0"/>
        <w:contextualSpacing/>
        <w:jc w:val="left"/>
        <w:rPr>
          <w:rFonts w:eastAsia="Calibri"/>
          <w:szCs w:val="24"/>
          <w:lang w:val="es-ES"/>
        </w:rPr>
      </w:pPr>
      <w:r w:rsidRPr="001A4860">
        <w:rPr>
          <w:rFonts w:eastAsia="Calibri"/>
          <w:szCs w:val="24"/>
          <w:lang w:val="es-ES"/>
        </w:rPr>
        <w:t>Fecha de fabricación.</w:t>
      </w:r>
    </w:p>
    <w:p w14:paraId="5189E2D5" w14:textId="77777777" w:rsidR="001A4860" w:rsidRPr="001A4860" w:rsidRDefault="001A4860" w:rsidP="003B68DB">
      <w:pPr>
        <w:numPr>
          <w:ilvl w:val="0"/>
          <w:numId w:val="197"/>
        </w:numPr>
        <w:spacing w:after="160" w:line="259" w:lineRule="auto"/>
        <w:ind w:left="0" w:firstLine="0"/>
        <w:contextualSpacing/>
        <w:jc w:val="left"/>
        <w:rPr>
          <w:rFonts w:eastAsia="Calibri"/>
          <w:szCs w:val="24"/>
          <w:lang w:val="es-ES"/>
        </w:rPr>
      </w:pPr>
      <w:r w:rsidRPr="001A4860">
        <w:rPr>
          <w:rFonts w:eastAsia="Calibri"/>
          <w:szCs w:val="24"/>
          <w:lang w:val="es-ES"/>
        </w:rPr>
        <w:t>Diámetro nominal.</w:t>
      </w:r>
    </w:p>
    <w:p w14:paraId="31CFF313" w14:textId="77777777" w:rsidR="001A4860" w:rsidRPr="001A4860" w:rsidRDefault="001A4860" w:rsidP="003B68DB">
      <w:pPr>
        <w:numPr>
          <w:ilvl w:val="0"/>
          <w:numId w:val="197"/>
        </w:numPr>
        <w:spacing w:after="160" w:line="259" w:lineRule="auto"/>
        <w:ind w:left="0" w:firstLine="0"/>
        <w:contextualSpacing/>
        <w:jc w:val="left"/>
        <w:rPr>
          <w:rFonts w:eastAsia="Calibri"/>
          <w:szCs w:val="24"/>
          <w:lang w:val="es-ES"/>
        </w:rPr>
      </w:pPr>
      <w:r w:rsidRPr="001A4860">
        <w:rPr>
          <w:rFonts w:eastAsia="Calibri"/>
          <w:szCs w:val="24"/>
          <w:lang w:val="es-ES"/>
        </w:rPr>
        <w:t>Tipo, grado, valor SDR y la presión de servicio.</w:t>
      </w:r>
    </w:p>
    <w:p w14:paraId="11ACF6BF" w14:textId="77777777" w:rsidR="001A4860" w:rsidRPr="001A4860" w:rsidRDefault="001A4860" w:rsidP="001A4860">
      <w:pPr>
        <w:rPr>
          <w:rFonts w:eastAsia="Calibri"/>
          <w:szCs w:val="24"/>
          <w:lang w:val="es-ES"/>
        </w:rPr>
      </w:pPr>
    </w:p>
    <w:p w14:paraId="3382C4DF" w14:textId="77777777" w:rsidR="001A4860" w:rsidRPr="001A4860" w:rsidRDefault="001A4860" w:rsidP="001A4860">
      <w:pPr>
        <w:rPr>
          <w:rFonts w:eastAsia="Calibri"/>
          <w:szCs w:val="24"/>
          <w:lang w:val="es-ES"/>
        </w:rPr>
      </w:pPr>
      <w:r w:rsidRPr="001A4860">
        <w:rPr>
          <w:rFonts w:eastAsia="Calibri"/>
          <w:b/>
          <w:szCs w:val="24"/>
          <w:lang w:val="es-ES"/>
        </w:rPr>
        <w:fldChar w:fldCharType="begin"/>
      </w:r>
      <w:r w:rsidRPr="001A4860">
        <w:rPr>
          <w:rFonts w:eastAsia="Calibri"/>
          <w:b/>
          <w:szCs w:val="24"/>
          <w:lang w:val="es-ES"/>
        </w:rPr>
        <w:instrText>TC "D.1.3.</w:instrText>
      </w:r>
      <w:r w:rsidRPr="001A4860">
        <w:rPr>
          <w:rFonts w:eastAsia="Calibri"/>
          <w:b/>
          <w:szCs w:val="24"/>
          <w:lang w:val="es-ES"/>
        </w:rPr>
        <w:tab/>
        <w:instrText>EMPAQUES DE CAUCHO Y LUBRICANTES."</w:instrText>
      </w:r>
      <w:r w:rsidRPr="001A4860">
        <w:rPr>
          <w:rFonts w:eastAsia="Calibri"/>
          <w:b/>
          <w:szCs w:val="24"/>
          <w:lang w:val="es-ES"/>
        </w:rPr>
        <w:fldChar w:fldCharType="end"/>
      </w:r>
      <w:r w:rsidRPr="001A4860">
        <w:rPr>
          <w:rFonts w:eastAsia="Calibri"/>
          <w:b/>
          <w:szCs w:val="24"/>
          <w:lang w:val="es-ES"/>
        </w:rPr>
        <w:fldChar w:fldCharType="begin"/>
      </w:r>
      <w:r w:rsidRPr="001A4860">
        <w:rPr>
          <w:rFonts w:eastAsia="Calibri"/>
          <w:b/>
          <w:szCs w:val="24"/>
          <w:lang w:val="es-ES"/>
        </w:rPr>
        <w:instrText xml:space="preserve"> XE "EMPAQUES DE CAUCHO Y LUBRICANTES." </w:instrText>
      </w:r>
      <w:r w:rsidRPr="001A4860">
        <w:rPr>
          <w:rFonts w:eastAsia="Calibri"/>
          <w:b/>
          <w:szCs w:val="24"/>
          <w:lang w:val="es-ES"/>
        </w:rPr>
        <w:fldChar w:fldCharType="end"/>
      </w:r>
      <w:r w:rsidRPr="001A4860">
        <w:rPr>
          <w:rFonts w:eastAsia="Calibri"/>
          <w:szCs w:val="24"/>
          <w:lang w:val="es-ES"/>
        </w:rPr>
        <w:t>Los accesorios de PVC serán cédula 40 y deberán cumplir con las normas ASTM-D-2466-69. Los accesorios de empaque de goma deberán cumplir la especificación ASTM D-3212 y estar capacitados para acoplarse con las tuberías, de acuerdo al sistema de unión seleccionado, todo ese accesorio debe de Cumplir con el Certificado de calidad ISO-9001.</w:t>
      </w:r>
    </w:p>
    <w:p w14:paraId="3AC75D6D" w14:textId="77777777" w:rsidR="001A4860" w:rsidRPr="001A4860" w:rsidRDefault="001A4860" w:rsidP="001A4860">
      <w:pPr>
        <w:rPr>
          <w:rFonts w:eastAsia="Calibri"/>
          <w:szCs w:val="24"/>
          <w:lang w:val="es-ES"/>
        </w:rPr>
      </w:pPr>
    </w:p>
    <w:p w14:paraId="0D580434" w14:textId="77777777" w:rsidR="001A4860" w:rsidRPr="001A4860" w:rsidRDefault="001A4860" w:rsidP="001A4860">
      <w:pPr>
        <w:tabs>
          <w:tab w:val="left" w:pos="1134"/>
        </w:tabs>
        <w:rPr>
          <w:rFonts w:eastAsia="Calibri"/>
          <w:spacing w:val="-3"/>
          <w:szCs w:val="24"/>
          <w:lang w:val="es-ES"/>
        </w:rPr>
      </w:pPr>
      <w:r w:rsidRPr="001A4860">
        <w:rPr>
          <w:rFonts w:eastAsia="Calibri"/>
          <w:spacing w:val="-3"/>
          <w:szCs w:val="24"/>
          <w:lang w:val="es-ES"/>
        </w:rPr>
        <w:t>Su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04A5FE0F" w14:textId="77777777" w:rsidR="001A4860" w:rsidRPr="001A4860" w:rsidRDefault="001A4860" w:rsidP="001A4860">
      <w:pPr>
        <w:tabs>
          <w:tab w:val="left" w:pos="1134"/>
        </w:tabs>
        <w:rPr>
          <w:rFonts w:eastAsia="Calibri"/>
          <w:spacing w:val="-3"/>
          <w:szCs w:val="24"/>
          <w:lang w:val="es-ES"/>
        </w:rPr>
      </w:pPr>
    </w:p>
    <w:p w14:paraId="6F103DA5" w14:textId="77777777" w:rsidR="001A4860" w:rsidRPr="001A4860" w:rsidRDefault="001A4860" w:rsidP="003B68DB">
      <w:pPr>
        <w:keepNext/>
        <w:numPr>
          <w:ilvl w:val="0"/>
          <w:numId w:val="194"/>
        </w:numPr>
        <w:spacing w:after="160" w:line="259" w:lineRule="auto"/>
        <w:ind w:left="0" w:firstLine="0"/>
        <w:jc w:val="left"/>
        <w:outlineLvl w:val="1"/>
        <w:rPr>
          <w:b/>
          <w:color w:val="000000"/>
          <w:szCs w:val="24"/>
          <w:lang w:val="es-ES"/>
        </w:rPr>
      </w:pPr>
      <w:bookmarkStart w:id="1306" w:name="_Toc305746112"/>
      <w:bookmarkStart w:id="1307" w:name="_Toc310550052"/>
      <w:bookmarkStart w:id="1308" w:name="_Toc344461258"/>
      <w:bookmarkStart w:id="1309" w:name="_Toc344723230"/>
      <w:bookmarkStart w:id="1310" w:name="_Toc351657256"/>
      <w:bookmarkStart w:id="1311" w:name="_Toc406009605"/>
      <w:bookmarkStart w:id="1312" w:name="_Toc406009805"/>
      <w:bookmarkStart w:id="1313" w:name="_Toc406010524"/>
      <w:bookmarkStart w:id="1314" w:name="_Toc485034181"/>
      <w:bookmarkStart w:id="1315" w:name="_Toc505613771"/>
      <w:r w:rsidRPr="001A4860">
        <w:rPr>
          <w:b/>
          <w:color w:val="000000"/>
          <w:szCs w:val="24"/>
          <w:lang w:val="es-ES"/>
        </w:rPr>
        <w:t>Tuberías y accesorios de hierro galvanizado (HG.)</w:t>
      </w:r>
      <w:bookmarkEnd w:id="1306"/>
      <w:bookmarkEnd w:id="1307"/>
      <w:bookmarkEnd w:id="1308"/>
      <w:bookmarkEnd w:id="1309"/>
      <w:bookmarkEnd w:id="1310"/>
      <w:bookmarkEnd w:id="1311"/>
      <w:bookmarkEnd w:id="1312"/>
      <w:bookmarkEnd w:id="1313"/>
      <w:bookmarkEnd w:id="1314"/>
      <w:bookmarkEnd w:id="1315"/>
    </w:p>
    <w:p w14:paraId="5D19C59F" w14:textId="77777777" w:rsidR="001A4860" w:rsidRPr="001A4860" w:rsidRDefault="001A4860" w:rsidP="001A4860">
      <w:pPr>
        <w:jc w:val="left"/>
        <w:rPr>
          <w:rFonts w:ascii="Calibri" w:eastAsia="Calibri" w:hAnsi="Calibri"/>
          <w:sz w:val="22"/>
          <w:szCs w:val="22"/>
          <w:lang w:val="es-ES"/>
        </w:rPr>
      </w:pPr>
    </w:p>
    <w:p w14:paraId="40BF4725" w14:textId="77777777" w:rsidR="001A4860" w:rsidRPr="001A4860" w:rsidRDefault="001A4860" w:rsidP="003B68DB">
      <w:pPr>
        <w:numPr>
          <w:ilvl w:val="0"/>
          <w:numId w:val="191"/>
        </w:numPr>
        <w:spacing w:after="160" w:line="259" w:lineRule="auto"/>
        <w:ind w:left="0" w:firstLine="0"/>
        <w:contextualSpacing/>
        <w:jc w:val="left"/>
        <w:rPr>
          <w:rFonts w:eastAsia="Calibri"/>
          <w:b/>
          <w:szCs w:val="24"/>
          <w:lang w:val="es-ES"/>
        </w:rPr>
      </w:pPr>
      <w:bookmarkStart w:id="1316" w:name="_Toc310550053"/>
      <w:r w:rsidRPr="001A4860">
        <w:rPr>
          <w:rFonts w:eastAsia="Calibri"/>
          <w:b/>
          <w:szCs w:val="24"/>
          <w:lang w:val="es-ES"/>
        </w:rPr>
        <w:lastRenderedPageBreak/>
        <w:t>Tuberías</w:t>
      </w:r>
      <w:bookmarkEnd w:id="1316"/>
    </w:p>
    <w:p w14:paraId="05191CE1" w14:textId="77777777" w:rsidR="001A4860" w:rsidRPr="001A4860" w:rsidRDefault="001A4860" w:rsidP="001A4860">
      <w:pPr>
        <w:rPr>
          <w:rFonts w:eastAsia="Calibri"/>
          <w:szCs w:val="24"/>
          <w:lang w:val="es-ES"/>
        </w:rPr>
      </w:pPr>
      <w:r w:rsidRPr="001A4860">
        <w:rPr>
          <w:rFonts w:eastAsia="Calibri"/>
          <w:szCs w:val="24"/>
          <w:lang w:val="es-ES"/>
        </w:rPr>
        <w:t>Las tuberías de HG serán del tipo Standard (cédula 40) y deberán ajustarse a las especificaciones siguientes:</w:t>
      </w:r>
    </w:p>
    <w:p w14:paraId="2F758D53" w14:textId="77777777" w:rsidR="001A4860" w:rsidRPr="001A4860" w:rsidRDefault="001A4860" w:rsidP="001A4860">
      <w:pPr>
        <w:rPr>
          <w:rFonts w:eastAsia="Calibri"/>
          <w:szCs w:val="24"/>
          <w:lang w:val="es-ES"/>
        </w:rPr>
      </w:pPr>
    </w:p>
    <w:p w14:paraId="4BBB7BB9" w14:textId="77777777" w:rsidR="001A4860" w:rsidRPr="001A4860" w:rsidRDefault="001A4860" w:rsidP="003B68DB">
      <w:pPr>
        <w:numPr>
          <w:ilvl w:val="0"/>
          <w:numId w:val="188"/>
        </w:numPr>
        <w:spacing w:after="160" w:line="259" w:lineRule="auto"/>
        <w:ind w:left="0" w:firstLine="0"/>
        <w:jc w:val="left"/>
        <w:rPr>
          <w:rFonts w:eastAsia="Calibri"/>
          <w:szCs w:val="24"/>
          <w:lang w:val="es-ES"/>
        </w:rPr>
      </w:pPr>
      <w:r w:rsidRPr="001A4860">
        <w:rPr>
          <w:rFonts w:eastAsia="Calibri"/>
          <w:szCs w:val="24"/>
          <w:lang w:val="es-ES"/>
        </w:rPr>
        <w:t>Que se ajuste en todos los aspectos con la especificación ASTM-120-65 y que cumpla con el proceso de Galvanización de acuerdo a la especificación ASTM A-90-39.</w:t>
      </w:r>
    </w:p>
    <w:p w14:paraId="7286487D" w14:textId="77777777" w:rsidR="001A4860" w:rsidRPr="001A4860" w:rsidRDefault="001A4860" w:rsidP="003B68DB">
      <w:pPr>
        <w:numPr>
          <w:ilvl w:val="0"/>
          <w:numId w:val="188"/>
        </w:numPr>
        <w:spacing w:after="160" w:line="259" w:lineRule="auto"/>
        <w:ind w:left="0" w:firstLine="0"/>
        <w:jc w:val="left"/>
        <w:rPr>
          <w:rFonts w:eastAsia="Calibri"/>
          <w:szCs w:val="24"/>
          <w:lang w:val="es-ES"/>
        </w:rPr>
      </w:pPr>
      <w:r w:rsidRPr="001A4860">
        <w:rPr>
          <w:rFonts w:eastAsia="Calibri"/>
          <w:szCs w:val="24"/>
          <w:lang w:val="es-ES"/>
        </w:rPr>
        <w:t>La tubería de HG. deberá ser suministrada en longitudes de 20 pies con rosca Standard en cada extremo.</w:t>
      </w:r>
    </w:p>
    <w:p w14:paraId="2497CCE9" w14:textId="77777777" w:rsidR="001A4860" w:rsidRPr="001A4860" w:rsidRDefault="001A4860" w:rsidP="003B68DB">
      <w:pPr>
        <w:numPr>
          <w:ilvl w:val="0"/>
          <w:numId w:val="188"/>
        </w:numPr>
        <w:spacing w:after="160" w:line="259" w:lineRule="auto"/>
        <w:ind w:left="0" w:firstLine="0"/>
        <w:jc w:val="left"/>
        <w:rPr>
          <w:rFonts w:eastAsia="Calibri"/>
          <w:szCs w:val="24"/>
          <w:lang w:val="es-ES"/>
        </w:rPr>
      </w:pPr>
      <w:r w:rsidRPr="001A4860">
        <w:rPr>
          <w:rFonts w:eastAsia="Calibri"/>
          <w:szCs w:val="24"/>
          <w:lang w:val="es-ES"/>
        </w:rPr>
        <w:t>Un acoplamiento deberá ser suministrado con cada longitud Standard. El acoplamiento consistirá en una camisa de Hierro Galvanizado con Rosca Standard para roscarse en el extremo del tubo.</w:t>
      </w:r>
    </w:p>
    <w:p w14:paraId="6E9CD6E4" w14:textId="77777777" w:rsidR="001A4860" w:rsidRPr="001A4860" w:rsidRDefault="001A4860" w:rsidP="001A4860">
      <w:pPr>
        <w:contextualSpacing/>
        <w:rPr>
          <w:rFonts w:eastAsia="Calibri"/>
          <w:b/>
          <w:szCs w:val="24"/>
          <w:lang w:val="es-ES"/>
        </w:rPr>
      </w:pPr>
    </w:p>
    <w:p w14:paraId="11ECD747" w14:textId="77777777" w:rsidR="001A4860" w:rsidRPr="001A4860" w:rsidRDefault="001A4860" w:rsidP="001A4860">
      <w:pPr>
        <w:rPr>
          <w:rFonts w:eastAsia="Calibri"/>
          <w:szCs w:val="24"/>
          <w:lang w:val="es-ES"/>
        </w:rPr>
      </w:pPr>
      <w:r w:rsidRPr="001A4860">
        <w:rPr>
          <w:rFonts w:eastAsia="Calibri"/>
          <w:szCs w:val="24"/>
          <w:lang w:val="es-ES"/>
        </w:rPr>
        <w:t>Los accesorios de hierro galvanizado deberán ajustarse a las especificaciones ASTM, tendrán rosca hembra y deberán ser diseñados para acoplarse a la tubería de HF y PVC a ser suministrada. Las tuberías y los accesorios, deben de cumplir con El Certificado de Calidad ISO-9001.</w:t>
      </w:r>
    </w:p>
    <w:p w14:paraId="460B6861" w14:textId="77777777" w:rsidR="001A4860" w:rsidRPr="001A4860" w:rsidRDefault="001A4860" w:rsidP="001A4860">
      <w:pPr>
        <w:rPr>
          <w:rFonts w:eastAsia="Calibri"/>
          <w:b/>
          <w:szCs w:val="24"/>
          <w:lang w:val="es-ES"/>
        </w:rPr>
      </w:pPr>
    </w:p>
    <w:p w14:paraId="3EB023CF" w14:textId="77777777" w:rsidR="001A4860" w:rsidRPr="001A4860" w:rsidRDefault="001A4860" w:rsidP="001A4860">
      <w:pPr>
        <w:jc w:val="left"/>
        <w:rPr>
          <w:rFonts w:eastAsia="Calibri"/>
          <w:b/>
          <w:szCs w:val="24"/>
          <w:lang w:val="es-ES"/>
        </w:rPr>
      </w:pPr>
      <w:bookmarkStart w:id="1317" w:name="_Toc20930044"/>
      <w:r w:rsidRPr="001A4860">
        <w:rPr>
          <w:rFonts w:eastAsia="Calibri"/>
          <w:b/>
          <w:szCs w:val="24"/>
          <w:lang w:val="es-ES"/>
        </w:rPr>
        <w:t>JUNTAS O UNIONES</w:t>
      </w:r>
      <w:bookmarkEnd w:id="1317"/>
    </w:p>
    <w:p w14:paraId="065A9C7C" w14:textId="77777777" w:rsidR="001A4860" w:rsidRPr="001A4860" w:rsidRDefault="001A4860" w:rsidP="001A4860">
      <w:pPr>
        <w:rPr>
          <w:rFonts w:eastAsia="Calibri"/>
          <w:szCs w:val="24"/>
          <w:lang w:val="es-ES"/>
        </w:rPr>
      </w:pPr>
    </w:p>
    <w:p w14:paraId="5D32042E" w14:textId="77777777" w:rsidR="001A4860" w:rsidRPr="001A4860" w:rsidRDefault="001A4860" w:rsidP="001A4860">
      <w:pPr>
        <w:rPr>
          <w:rFonts w:eastAsia="Calibri"/>
          <w:b/>
          <w:szCs w:val="24"/>
          <w:lang w:val="es-ES"/>
        </w:rPr>
      </w:pPr>
      <w:r w:rsidRPr="001A4860">
        <w:rPr>
          <w:rFonts w:eastAsia="Calibri"/>
          <w:b/>
          <w:szCs w:val="24"/>
          <w:lang w:val="es-ES"/>
        </w:rPr>
        <w:t>Juntas Dresser</w:t>
      </w:r>
    </w:p>
    <w:p w14:paraId="62D74F52" w14:textId="77777777" w:rsidR="001A4860" w:rsidRPr="001A4860" w:rsidRDefault="001A4860" w:rsidP="001A4860">
      <w:pPr>
        <w:rPr>
          <w:rFonts w:eastAsia="Calibri"/>
          <w:szCs w:val="24"/>
          <w:lang w:val="es-ES"/>
        </w:rPr>
      </w:pPr>
      <w:r w:rsidRPr="001A4860">
        <w:rPr>
          <w:rFonts w:eastAsia="Calibri"/>
          <w:szCs w:val="24"/>
          <w:lang w:val="es-ES"/>
        </w:rPr>
        <w:t>El tipo de junta Dresser usado corresponde al estilo 38. Estas juntas se adaptan a cualquier tubería con diámetro exterior propio de tubos de acero o hierro fundido, asbesto cemento, hierro galvanizado, plástico, etc.</w:t>
      </w:r>
    </w:p>
    <w:p w14:paraId="790AEB3B" w14:textId="77777777" w:rsidR="001A4860" w:rsidRPr="001A4860" w:rsidRDefault="001A4860" w:rsidP="001A4860">
      <w:pPr>
        <w:rPr>
          <w:rFonts w:eastAsia="Calibri"/>
          <w:szCs w:val="24"/>
          <w:lang w:val="es-ES" w:eastAsia="en-GB"/>
        </w:rPr>
      </w:pPr>
    </w:p>
    <w:p w14:paraId="32EF2C99" w14:textId="77777777" w:rsidR="001A4860" w:rsidRPr="001A4860" w:rsidRDefault="001A4860" w:rsidP="001A4860">
      <w:pPr>
        <w:rPr>
          <w:rFonts w:eastAsia="Calibri"/>
          <w:szCs w:val="24"/>
          <w:lang w:val="es-ES"/>
        </w:rPr>
      </w:pPr>
      <w:r w:rsidRPr="001A4860">
        <w:rPr>
          <w:rFonts w:eastAsia="Calibri"/>
          <w:szCs w:val="24"/>
          <w:lang w:val="es-ES"/>
        </w:rPr>
        <w:t>Una junta Dresser consiste en un anillo cilíndrico central de acero, dos anillos laterales también de acero, dos empaques de caucho de composición especial y un juego de pernos de acero. Su forma de instalación es similar a la forma de instalación de la junta “Gibault”. Al apretar las tuercas de los pernos, estos hacen aproximar los anillos laterales apretando los empaques en el espacio entre ellos, el anillo central y las superficies del tubo.</w:t>
      </w:r>
    </w:p>
    <w:p w14:paraId="1C8EAE4B" w14:textId="77777777" w:rsidR="001A4860" w:rsidRPr="001A4860" w:rsidRDefault="001A4860" w:rsidP="001A4860">
      <w:pPr>
        <w:rPr>
          <w:rFonts w:eastAsia="Calibri"/>
          <w:szCs w:val="24"/>
          <w:lang w:val="es-ES"/>
        </w:rPr>
      </w:pPr>
    </w:p>
    <w:p w14:paraId="28C13C61" w14:textId="77777777" w:rsidR="001A4860" w:rsidRPr="001A4860" w:rsidRDefault="001A4860" w:rsidP="001A4860">
      <w:pPr>
        <w:rPr>
          <w:rFonts w:eastAsia="Calibri"/>
          <w:b/>
          <w:szCs w:val="24"/>
          <w:lang w:val="es-ES"/>
        </w:rPr>
      </w:pPr>
      <w:r w:rsidRPr="001A4860">
        <w:rPr>
          <w:rFonts w:eastAsia="Calibri"/>
          <w:b/>
          <w:szCs w:val="24"/>
          <w:lang w:val="es-ES"/>
        </w:rPr>
        <w:t>Abrazaderas</w:t>
      </w:r>
    </w:p>
    <w:p w14:paraId="18361382" w14:textId="77777777" w:rsidR="001A4860" w:rsidRPr="001A4860" w:rsidRDefault="001A4860" w:rsidP="001A4860">
      <w:pPr>
        <w:rPr>
          <w:rFonts w:eastAsia="Calibri"/>
          <w:szCs w:val="24"/>
          <w:lang w:val="es-ES"/>
        </w:rPr>
      </w:pPr>
      <w:r w:rsidRPr="001A4860">
        <w:rPr>
          <w:rFonts w:eastAsia="Calibri"/>
          <w:szCs w:val="24"/>
          <w:lang w:val="es-ES"/>
        </w:rPr>
        <w:t xml:space="preserve">Las abrazaderas son de una sola tira de hierro fundido, conforme especificación ASTM-536, o hierro maleable, conforme especificación ASTM A-47, son construidas con un empaque de neopreno cementado en el sitio. Tienen una protuberancia adaptada para conexión de tope de </w:t>
      </w:r>
      <w:r w:rsidRPr="001A4860">
        <w:rPr>
          <w:rFonts w:eastAsia="Calibri"/>
          <w:szCs w:val="24"/>
          <w:lang w:val="es-ES"/>
        </w:rPr>
        <w:sym w:font="Symbol" w:char="F066"/>
      </w:r>
      <w:r w:rsidRPr="001A4860">
        <w:rPr>
          <w:rFonts w:eastAsia="Calibri"/>
          <w:szCs w:val="24"/>
          <w:lang w:val="es-ES"/>
        </w:rPr>
        <w:t xml:space="preserve"> ½”, tipo corporación con rosca, según norma C-300-55. El estribo es del tipo sencillo, diseñado para que resista una presión hidráulica de 250 psi.</w:t>
      </w:r>
    </w:p>
    <w:p w14:paraId="6D971387" w14:textId="77777777" w:rsidR="001A4860" w:rsidRPr="001A4860" w:rsidRDefault="001A4860" w:rsidP="001A4860">
      <w:pPr>
        <w:rPr>
          <w:rFonts w:eastAsia="Calibri"/>
          <w:szCs w:val="24"/>
          <w:lang w:val="es-ES"/>
        </w:rPr>
      </w:pPr>
    </w:p>
    <w:p w14:paraId="57D50FD0" w14:textId="77777777" w:rsidR="001A4860" w:rsidRPr="001A4860" w:rsidRDefault="001A4860" w:rsidP="001A4860">
      <w:pPr>
        <w:rPr>
          <w:rFonts w:eastAsia="Calibri"/>
          <w:szCs w:val="24"/>
          <w:lang w:val="es-ES"/>
        </w:rPr>
      </w:pPr>
      <w:r w:rsidRPr="001A4860">
        <w:rPr>
          <w:rFonts w:eastAsia="Calibri"/>
          <w:szCs w:val="24"/>
          <w:lang w:val="es-ES"/>
        </w:rPr>
        <w:t xml:space="preserve">Las platinas tienen un ancho no menor que 1-1/8” y un espesor mínimo de 3/16” en tuberías de hasta </w:t>
      </w:r>
      <w:r w:rsidRPr="001A4860">
        <w:rPr>
          <w:rFonts w:eastAsia="Calibri"/>
          <w:szCs w:val="24"/>
          <w:lang w:val="es-ES"/>
        </w:rPr>
        <w:sym w:font="Symbol" w:char="F066"/>
      </w:r>
      <w:r w:rsidRPr="001A4860">
        <w:rPr>
          <w:rFonts w:eastAsia="Calibri"/>
          <w:szCs w:val="24"/>
          <w:lang w:val="es-ES"/>
        </w:rPr>
        <w:t xml:space="preserve"> 3” y para tuberías de diámetro mayor, el espesor de la platina es de ¼”. El diámetro de los pernos no debe ser menor que </w:t>
      </w:r>
      <w:r w:rsidRPr="001A4860">
        <w:rPr>
          <w:rFonts w:eastAsia="Calibri"/>
          <w:szCs w:val="24"/>
          <w:lang w:val="es-ES"/>
        </w:rPr>
        <w:sym w:font="Symbol" w:char="F066"/>
      </w:r>
      <w:r w:rsidRPr="001A4860">
        <w:rPr>
          <w:rFonts w:eastAsia="Calibri"/>
          <w:szCs w:val="24"/>
          <w:lang w:val="es-ES"/>
        </w:rPr>
        <w:t xml:space="preserve"> 5/8”, excepto en las de </w:t>
      </w:r>
      <w:r w:rsidRPr="001A4860">
        <w:rPr>
          <w:rFonts w:eastAsia="Calibri"/>
          <w:szCs w:val="24"/>
          <w:lang w:val="es-ES"/>
        </w:rPr>
        <w:sym w:font="Symbol" w:char="F066"/>
      </w:r>
      <w:r w:rsidRPr="001A4860">
        <w:rPr>
          <w:rFonts w:eastAsia="Calibri"/>
          <w:szCs w:val="24"/>
          <w:lang w:val="es-ES"/>
        </w:rPr>
        <w:t xml:space="preserve"> 4” y menores, en las cuales se permitirán pernos de </w:t>
      </w:r>
      <w:r w:rsidRPr="001A4860">
        <w:rPr>
          <w:rFonts w:eastAsia="Calibri"/>
          <w:szCs w:val="24"/>
          <w:lang w:val="es-ES"/>
        </w:rPr>
        <w:sym w:font="Symbol" w:char="F066"/>
      </w:r>
      <w:r w:rsidRPr="001A4860">
        <w:rPr>
          <w:rFonts w:eastAsia="Calibri"/>
          <w:szCs w:val="24"/>
          <w:lang w:val="es-ES"/>
        </w:rPr>
        <w:t xml:space="preserve"> ½”.</w:t>
      </w:r>
    </w:p>
    <w:p w14:paraId="23CC7C73" w14:textId="77777777" w:rsidR="001A4860" w:rsidRPr="001A4860" w:rsidRDefault="001A4860" w:rsidP="001A4860">
      <w:pPr>
        <w:rPr>
          <w:rFonts w:eastAsia="Calibri"/>
          <w:b/>
          <w:szCs w:val="24"/>
          <w:u w:val="single"/>
          <w:lang w:val="es-ES"/>
        </w:rPr>
      </w:pPr>
      <w:bookmarkStart w:id="1318" w:name="_Toc305746113"/>
      <w:bookmarkStart w:id="1319" w:name="_Toc310550055"/>
      <w:bookmarkStart w:id="1320" w:name="_Toc344461259"/>
      <w:bookmarkStart w:id="1321" w:name="_Toc344723231"/>
      <w:bookmarkStart w:id="1322" w:name="_Toc351657257"/>
    </w:p>
    <w:p w14:paraId="76CF121A" w14:textId="77777777" w:rsidR="001A4860" w:rsidRPr="001A4860" w:rsidRDefault="001A4860" w:rsidP="003B68DB">
      <w:pPr>
        <w:numPr>
          <w:ilvl w:val="0"/>
          <w:numId w:val="191"/>
        </w:numPr>
        <w:spacing w:after="160" w:line="360" w:lineRule="auto"/>
        <w:ind w:left="0" w:firstLine="0"/>
        <w:contextualSpacing/>
        <w:jc w:val="left"/>
        <w:rPr>
          <w:rFonts w:eastAsia="Calibri"/>
          <w:b/>
          <w:szCs w:val="24"/>
          <w:lang w:val="es-ES"/>
        </w:rPr>
      </w:pPr>
      <w:bookmarkStart w:id="1323" w:name="_Toc310550059"/>
      <w:bookmarkEnd w:id="1318"/>
      <w:bookmarkEnd w:id="1319"/>
      <w:bookmarkEnd w:id="1320"/>
      <w:bookmarkEnd w:id="1321"/>
      <w:bookmarkEnd w:id="1322"/>
      <w:r w:rsidRPr="001A4860">
        <w:rPr>
          <w:rFonts w:eastAsia="Calibri"/>
          <w:b/>
          <w:szCs w:val="24"/>
          <w:lang w:val="es-ES"/>
        </w:rPr>
        <w:t>Válvulas de Aire</w:t>
      </w:r>
      <w:bookmarkEnd w:id="1323"/>
    </w:p>
    <w:p w14:paraId="00F676D8" w14:textId="77777777" w:rsidR="001A4860" w:rsidRPr="001A4860" w:rsidRDefault="001A4860" w:rsidP="001A4860">
      <w:pPr>
        <w:rPr>
          <w:rFonts w:eastAsia="Calibri"/>
          <w:szCs w:val="24"/>
          <w:lang w:val="es-ES"/>
        </w:rPr>
      </w:pPr>
      <w:r w:rsidRPr="001A4860">
        <w:rPr>
          <w:rFonts w:eastAsia="Calibri"/>
          <w:szCs w:val="24"/>
          <w:lang w:val="es-ES"/>
        </w:rPr>
        <w:lastRenderedPageBreak/>
        <w:t>Las válvulas de aire deberán ser del tipo de flotador, de una cámara única, con rosca macho I.P. de acuerdo con A.S.A. B.2.1 para las bocas de entrada de ½” pulgada, ¾” y 1.0” de pulgada, y ser diseñadas para una presión de trabajo de 200 psi.</w:t>
      </w:r>
    </w:p>
    <w:p w14:paraId="0A39F8A4" w14:textId="77777777" w:rsidR="001A4860" w:rsidRPr="001A4860" w:rsidRDefault="001A4860" w:rsidP="001A4860">
      <w:pPr>
        <w:rPr>
          <w:rFonts w:eastAsia="Calibri"/>
          <w:szCs w:val="24"/>
          <w:lang w:val="es-ES"/>
        </w:rPr>
      </w:pPr>
    </w:p>
    <w:p w14:paraId="6D045995" w14:textId="77777777" w:rsidR="001A4860" w:rsidRPr="001A4860" w:rsidRDefault="001A4860" w:rsidP="001A4860">
      <w:pPr>
        <w:rPr>
          <w:rFonts w:eastAsia="Calibri"/>
          <w:szCs w:val="24"/>
          <w:lang w:val="es-ES"/>
        </w:rPr>
      </w:pPr>
      <w:r w:rsidRPr="001A4860">
        <w:rPr>
          <w:rFonts w:eastAsia="Calibri"/>
          <w:szCs w:val="24"/>
          <w:lang w:val="es-ES"/>
        </w:rPr>
        <w:t>Todos los materiales del cuerpo y tapa deberán cumplir con las especificaciones de la ASTM A126 CLASE B y ser de la mejor calidad.</w:t>
      </w:r>
    </w:p>
    <w:p w14:paraId="5AEDA2B3" w14:textId="77777777" w:rsidR="001A4860" w:rsidRPr="001A4860" w:rsidRDefault="001A4860" w:rsidP="001A4860">
      <w:pPr>
        <w:rPr>
          <w:rFonts w:eastAsia="Calibri"/>
          <w:szCs w:val="24"/>
          <w:lang w:val="es-ES"/>
        </w:rPr>
      </w:pPr>
    </w:p>
    <w:p w14:paraId="69878F1B" w14:textId="77777777" w:rsidR="001A4860" w:rsidRPr="001A4860" w:rsidRDefault="001A4860" w:rsidP="001A4860">
      <w:pPr>
        <w:rPr>
          <w:rFonts w:eastAsia="Calibri"/>
          <w:szCs w:val="24"/>
          <w:lang w:val="es-ES"/>
        </w:rPr>
      </w:pPr>
      <w:r w:rsidRPr="001A4860">
        <w:rPr>
          <w:rFonts w:eastAsia="Calibri"/>
          <w:szCs w:val="24"/>
          <w:lang w:val="es-ES"/>
        </w:rPr>
        <w:t>La boya de cierre será de acero inoxidable 302 ASTM A240.El cuerpo deberá ser de Hierro Fundido contramarco de bronce.  En general, todas las partes metálicas internas deberán ser de acero inoxidable. Todas las válvulas deberán estar internamente protegidas con una capa de material anticorrosivo.</w:t>
      </w:r>
    </w:p>
    <w:p w14:paraId="1089F619" w14:textId="77777777" w:rsidR="001A4860" w:rsidRPr="001A4860" w:rsidRDefault="001A4860" w:rsidP="001A4860">
      <w:pPr>
        <w:rPr>
          <w:rFonts w:eastAsia="Calibri"/>
          <w:szCs w:val="24"/>
          <w:lang w:val="es-ES"/>
        </w:rPr>
      </w:pPr>
    </w:p>
    <w:p w14:paraId="17B2D727" w14:textId="77777777" w:rsidR="001A4860" w:rsidRPr="001A4860" w:rsidRDefault="001A4860" w:rsidP="003B68DB">
      <w:pPr>
        <w:numPr>
          <w:ilvl w:val="0"/>
          <w:numId w:val="191"/>
        </w:numPr>
        <w:spacing w:after="160" w:line="360" w:lineRule="auto"/>
        <w:ind w:left="0" w:firstLine="0"/>
        <w:contextualSpacing/>
        <w:jc w:val="left"/>
        <w:rPr>
          <w:rFonts w:eastAsia="Calibri"/>
          <w:b/>
          <w:szCs w:val="24"/>
          <w:lang w:val="es-ES"/>
        </w:rPr>
      </w:pPr>
      <w:bookmarkStart w:id="1324" w:name="_Toc234745631"/>
      <w:bookmarkStart w:id="1325" w:name="_Toc310550060"/>
      <w:r w:rsidRPr="001A4860">
        <w:rPr>
          <w:rFonts w:eastAsia="Calibri"/>
          <w:b/>
          <w:szCs w:val="24"/>
          <w:lang w:val="es-ES"/>
        </w:rPr>
        <w:t>Válvulas Reductoras de Presión</w:t>
      </w:r>
      <w:bookmarkEnd w:id="1324"/>
      <w:bookmarkEnd w:id="1325"/>
    </w:p>
    <w:p w14:paraId="42F4C43E" w14:textId="77777777" w:rsidR="001A4860" w:rsidRPr="001A4860" w:rsidRDefault="001A4860" w:rsidP="001A4860">
      <w:pPr>
        <w:rPr>
          <w:rFonts w:eastAsia="Calibri"/>
          <w:szCs w:val="24"/>
          <w:lang w:val="es-ES"/>
        </w:rPr>
      </w:pPr>
      <w:r w:rsidRPr="001A4860">
        <w:rPr>
          <w:rFonts w:eastAsia="Calibri"/>
          <w:szCs w:val="24"/>
          <w:lang w:val="es-ES"/>
        </w:rPr>
        <w:t xml:space="preserve">Las válvulas de alivio serán de hierro fundido y debe de cumplir con las especificaciones ASTM A-536, diseñado para agua fría y para una presión de trabajo mínima de 250 PSI. Se operarán hidráulicamente mediante diafragma susceptible de ajustes o regulación.  </w:t>
      </w:r>
    </w:p>
    <w:p w14:paraId="43194688" w14:textId="77777777" w:rsidR="001A4860" w:rsidRPr="001A4860" w:rsidRDefault="001A4860" w:rsidP="001A4860">
      <w:pPr>
        <w:rPr>
          <w:rFonts w:eastAsia="Calibri"/>
          <w:szCs w:val="24"/>
          <w:lang w:val="es-ES"/>
        </w:rPr>
      </w:pPr>
    </w:p>
    <w:p w14:paraId="3BB3983D" w14:textId="77777777" w:rsidR="001A4860" w:rsidRPr="001A4860" w:rsidRDefault="001A4860" w:rsidP="001A4860">
      <w:pPr>
        <w:rPr>
          <w:rFonts w:eastAsia="Calibri"/>
          <w:szCs w:val="24"/>
          <w:lang w:val="es-ES"/>
        </w:rPr>
      </w:pPr>
      <w:r w:rsidRPr="001A4860">
        <w:rPr>
          <w:rFonts w:eastAsia="Calibri"/>
          <w:szCs w:val="24"/>
          <w:lang w:val="es-ES"/>
        </w:rPr>
        <w:t xml:space="preserve">El rango para ajuste de presión deberá ser 50 a 200 PSI, será conforme a especificaciones (ANSI 125, ASTM A-126 clase B, ASTM-B21 y ASTM-B65), la brida deberá será cumplir con las especificaciones. </w:t>
      </w:r>
    </w:p>
    <w:p w14:paraId="73E424EA" w14:textId="77777777" w:rsidR="001A4860" w:rsidRPr="001A4860" w:rsidRDefault="001A4860" w:rsidP="001A4860">
      <w:pPr>
        <w:rPr>
          <w:rFonts w:eastAsia="Calibri"/>
          <w:b/>
          <w:szCs w:val="24"/>
          <w:lang w:val="es-ES"/>
        </w:rPr>
      </w:pPr>
      <w:bookmarkStart w:id="1326" w:name="_Toc310550061"/>
    </w:p>
    <w:p w14:paraId="12690D29" w14:textId="77777777" w:rsidR="001A4860" w:rsidRPr="001A4860" w:rsidRDefault="001A4860" w:rsidP="003B68DB">
      <w:pPr>
        <w:numPr>
          <w:ilvl w:val="0"/>
          <w:numId w:val="192"/>
        </w:numPr>
        <w:spacing w:after="160" w:line="360" w:lineRule="auto"/>
        <w:ind w:left="0" w:firstLine="0"/>
        <w:contextualSpacing/>
        <w:jc w:val="left"/>
        <w:rPr>
          <w:rFonts w:eastAsia="Calibri"/>
          <w:b/>
          <w:szCs w:val="24"/>
          <w:lang w:val="es-ES"/>
        </w:rPr>
      </w:pPr>
      <w:bookmarkStart w:id="1327" w:name="_Toc310550062"/>
      <w:bookmarkEnd w:id="1326"/>
      <w:r w:rsidRPr="001A4860">
        <w:rPr>
          <w:rFonts w:eastAsia="Calibri"/>
          <w:b/>
          <w:szCs w:val="24"/>
          <w:lang w:val="es-ES"/>
        </w:rPr>
        <w:t>Válvulas de Compuerta</w:t>
      </w:r>
      <w:bookmarkEnd w:id="1327"/>
    </w:p>
    <w:p w14:paraId="632AA3F3" w14:textId="77777777" w:rsidR="001A4860" w:rsidRPr="001A4860" w:rsidRDefault="001A4860" w:rsidP="001A4860">
      <w:pPr>
        <w:rPr>
          <w:rFonts w:eastAsia="Calibri"/>
          <w:szCs w:val="24"/>
          <w:lang w:val="es-ES"/>
        </w:rPr>
      </w:pPr>
      <w:r w:rsidRPr="001A4860">
        <w:rPr>
          <w:rFonts w:eastAsia="Calibri"/>
          <w:szCs w:val="24"/>
          <w:lang w:val="es-ES"/>
        </w:rPr>
        <w:t xml:space="preserve">Las válvulas de Ø1/2” a Ø1½" de diámetro o menores serán de bronce, tendrán extremos de rosca hembra Standard que se unirán mediante adaptadores machos a las tuberías de PVC. </w:t>
      </w:r>
    </w:p>
    <w:p w14:paraId="75E09B1C" w14:textId="77777777" w:rsidR="001A4860" w:rsidRPr="001A4860" w:rsidRDefault="001A4860" w:rsidP="001A4860">
      <w:pPr>
        <w:rPr>
          <w:rFonts w:eastAsia="Calibri"/>
          <w:szCs w:val="24"/>
          <w:lang w:val="es-ES"/>
        </w:rPr>
      </w:pPr>
    </w:p>
    <w:p w14:paraId="44AB6859" w14:textId="77777777" w:rsidR="001A4860" w:rsidRPr="001A4860" w:rsidRDefault="001A4860" w:rsidP="001A4860">
      <w:pPr>
        <w:rPr>
          <w:rFonts w:eastAsia="Calibri"/>
          <w:szCs w:val="24"/>
          <w:lang w:val="es-ES"/>
        </w:rPr>
      </w:pPr>
      <w:r w:rsidRPr="001A4860">
        <w:rPr>
          <w:rFonts w:eastAsia="Calibri"/>
          <w:szCs w:val="24"/>
          <w:lang w:val="es-ES"/>
        </w:rPr>
        <w:t xml:space="preserve"> El material de fabricación de las válvulas será de una aleación de bronce, que contenga un 85% de cobre y un 5% de estaño, plomo y zinc, de acuerdo a los requerimientos mecánicos y químicos de ASTM B62 O ASTM B584. Serán diseñadas, fabricadas y probadas según la Norma ANSI/AWWA C800, última revisión y Deben de Cumplir con el Certificado de Calidad ISO-9001. </w:t>
      </w:r>
    </w:p>
    <w:p w14:paraId="7ECEFCD0" w14:textId="77777777" w:rsidR="001A4860" w:rsidRPr="001A4860" w:rsidRDefault="001A4860" w:rsidP="001A4860">
      <w:pPr>
        <w:rPr>
          <w:rFonts w:eastAsia="Calibri"/>
          <w:szCs w:val="24"/>
          <w:lang w:val="es-ES"/>
        </w:rPr>
      </w:pPr>
    </w:p>
    <w:p w14:paraId="65C5B9A3" w14:textId="77777777" w:rsidR="001A4860" w:rsidRPr="001A4860" w:rsidRDefault="001A4860" w:rsidP="001A4860">
      <w:pPr>
        <w:rPr>
          <w:rFonts w:eastAsia="Calibri"/>
          <w:szCs w:val="24"/>
          <w:lang w:val="es-ES"/>
        </w:rPr>
      </w:pPr>
      <w:r w:rsidRPr="001A4860">
        <w:rPr>
          <w:rFonts w:eastAsia="Calibri"/>
          <w:szCs w:val="24"/>
          <w:lang w:val="es-ES"/>
        </w:rPr>
        <w:t>Las válvulas de diámetros mayores de 1 ½” en la línea y red, serán de cuadrante y de hierro fundido para su adecuada operación.</w:t>
      </w:r>
    </w:p>
    <w:p w14:paraId="6D6F88A4" w14:textId="77777777" w:rsidR="001A4860" w:rsidRPr="001A4860" w:rsidRDefault="001A4860" w:rsidP="001A4860">
      <w:pPr>
        <w:rPr>
          <w:rFonts w:eastAsia="Calibri"/>
          <w:szCs w:val="24"/>
          <w:lang w:val="es-ES"/>
        </w:rPr>
      </w:pPr>
    </w:p>
    <w:p w14:paraId="6AD9E107" w14:textId="77777777" w:rsidR="001A4860" w:rsidRPr="001A4860" w:rsidRDefault="001A4860" w:rsidP="003B68DB">
      <w:pPr>
        <w:numPr>
          <w:ilvl w:val="0"/>
          <w:numId w:val="192"/>
        </w:numPr>
        <w:spacing w:after="160" w:line="360" w:lineRule="auto"/>
        <w:ind w:left="0" w:firstLine="0"/>
        <w:contextualSpacing/>
        <w:jc w:val="left"/>
        <w:rPr>
          <w:rFonts w:eastAsia="Calibri"/>
          <w:b/>
          <w:szCs w:val="24"/>
          <w:lang w:val="es-ES"/>
        </w:rPr>
      </w:pPr>
      <w:bookmarkStart w:id="1328" w:name="_Toc310550063"/>
      <w:r w:rsidRPr="001A4860">
        <w:rPr>
          <w:rFonts w:eastAsia="Calibri"/>
          <w:b/>
          <w:szCs w:val="24"/>
          <w:lang w:val="es-ES"/>
        </w:rPr>
        <w:t xml:space="preserve">Válvulas de Chorro </w:t>
      </w:r>
      <w:bookmarkEnd w:id="1328"/>
    </w:p>
    <w:p w14:paraId="439AC7A6" w14:textId="77777777" w:rsidR="001A4860" w:rsidRPr="001A4860" w:rsidRDefault="001A4860" w:rsidP="001A4860">
      <w:pPr>
        <w:rPr>
          <w:rFonts w:eastAsia="Calibri"/>
          <w:szCs w:val="24"/>
          <w:lang w:val="es-ES"/>
        </w:rPr>
      </w:pPr>
      <w:r w:rsidRPr="001A4860">
        <w:rPr>
          <w:rFonts w:eastAsia="Calibri"/>
          <w:szCs w:val="24"/>
          <w:lang w:val="es-ES"/>
        </w:rPr>
        <w:t>Las válvulas de chorro serán de ½” de diámetro de bronce tendrán rosca macho en ambos extremos.</w:t>
      </w:r>
    </w:p>
    <w:p w14:paraId="23E9F9C2" w14:textId="77777777" w:rsidR="001A4860" w:rsidRPr="001A4860" w:rsidRDefault="001A4860" w:rsidP="001A4860">
      <w:pPr>
        <w:contextualSpacing/>
        <w:rPr>
          <w:rFonts w:eastAsia="Calibri"/>
          <w:b/>
          <w:szCs w:val="24"/>
          <w:lang w:val="es-ES"/>
        </w:rPr>
      </w:pPr>
    </w:p>
    <w:p w14:paraId="621F41C5"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329" w:name="_Toc305746117"/>
      <w:bookmarkStart w:id="1330" w:name="_Toc310550065"/>
      <w:bookmarkStart w:id="1331" w:name="_Toc344461263"/>
      <w:bookmarkStart w:id="1332" w:name="_Toc344723235"/>
      <w:bookmarkStart w:id="1333" w:name="_Toc351657261"/>
      <w:bookmarkStart w:id="1334" w:name="_Toc406009606"/>
      <w:bookmarkStart w:id="1335" w:name="_Toc406009806"/>
      <w:bookmarkStart w:id="1336" w:name="_Toc406010525"/>
      <w:bookmarkStart w:id="1337" w:name="_Toc485034182"/>
      <w:bookmarkStart w:id="1338" w:name="_Toc505613772"/>
      <w:r w:rsidRPr="001A4860">
        <w:rPr>
          <w:b/>
          <w:color w:val="000000"/>
          <w:szCs w:val="24"/>
          <w:lang w:val="es-ES"/>
        </w:rPr>
        <w:t>Especificaciones Técnicas para la Instalación de Tuberías</w:t>
      </w:r>
      <w:bookmarkEnd w:id="1329"/>
      <w:bookmarkEnd w:id="1330"/>
      <w:bookmarkEnd w:id="1331"/>
      <w:bookmarkEnd w:id="1332"/>
      <w:bookmarkEnd w:id="1333"/>
      <w:bookmarkEnd w:id="1334"/>
      <w:bookmarkEnd w:id="1335"/>
      <w:bookmarkEnd w:id="1336"/>
      <w:bookmarkEnd w:id="1337"/>
      <w:bookmarkEnd w:id="1338"/>
    </w:p>
    <w:p w14:paraId="642B088B" w14:textId="77777777" w:rsidR="001A4860" w:rsidRPr="001A4860" w:rsidRDefault="001A4860" w:rsidP="001A4860">
      <w:pPr>
        <w:rPr>
          <w:rFonts w:eastAsia="Calibri"/>
          <w:szCs w:val="24"/>
          <w:lang w:val="es-ES"/>
        </w:rPr>
      </w:pPr>
      <w:r w:rsidRPr="001A4860">
        <w:rPr>
          <w:rFonts w:eastAsia="Calibri"/>
          <w:szCs w:val="24"/>
          <w:lang w:val="es-ES"/>
        </w:rPr>
        <w:t>Se comprenderán las sub-etapas constructivas de excavación, instalación, prueba y desinfección de tubería y de válvulas; bloques de reacción y anclajes; relleno y compactación y disposición del material sobrante, de la siguiente manera:</w:t>
      </w:r>
    </w:p>
    <w:p w14:paraId="61F39E80" w14:textId="77777777" w:rsidR="001A4860" w:rsidRPr="001A4860" w:rsidRDefault="001A4860" w:rsidP="001A4860">
      <w:pPr>
        <w:widowControl w:val="0"/>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autoSpaceDE w:val="0"/>
        <w:autoSpaceDN w:val="0"/>
        <w:adjustRightInd w:val="0"/>
        <w:rPr>
          <w:rFonts w:eastAsia="Calibri"/>
          <w:szCs w:val="24"/>
          <w:lang w:val="es-ES"/>
        </w:rPr>
      </w:pPr>
    </w:p>
    <w:p w14:paraId="5A1484D1" w14:textId="77777777" w:rsidR="001A4860" w:rsidRPr="001A4860" w:rsidRDefault="001A4860" w:rsidP="003B68DB">
      <w:pPr>
        <w:keepNext/>
        <w:keepLines/>
        <w:numPr>
          <w:ilvl w:val="1"/>
          <w:numId w:val="195"/>
        </w:numPr>
        <w:spacing w:after="160" w:line="360" w:lineRule="auto"/>
        <w:ind w:left="0" w:firstLine="0"/>
        <w:jc w:val="left"/>
        <w:outlineLvl w:val="2"/>
        <w:rPr>
          <w:b/>
          <w:bCs/>
          <w:color w:val="000000"/>
          <w:szCs w:val="24"/>
          <w:lang w:val="es-ES"/>
        </w:rPr>
      </w:pPr>
      <w:bookmarkStart w:id="1339" w:name="_Toc310550068"/>
      <w:bookmarkStart w:id="1340" w:name="_Toc505613773"/>
      <w:r w:rsidRPr="001A4860">
        <w:rPr>
          <w:b/>
          <w:bCs/>
          <w:color w:val="000000"/>
          <w:szCs w:val="24"/>
          <w:lang w:val="es-ES"/>
        </w:rPr>
        <w:lastRenderedPageBreak/>
        <w:t>Trazado y Nivelación</w:t>
      </w:r>
      <w:bookmarkEnd w:id="1339"/>
      <w:bookmarkEnd w:id="1340"/>
    </w:p>
    <w:p w14:paraId="60382A7A" w14:textId="77777777" w:rsidR="001A4860" w:rsidRPr="001A4860" w:rsidRDefault="001A4860" w:rsidP="001A4860">
      <w:pPr>
        <w:rPr>
          <w:rFonts w:eastAsia="Calibri"/>
          <w:szCs w:val="24"/>
          <w:lang w:val="es-ES"/>
        </w:rPr>
      </w:pPr>
      <w:r w:rsidRPr="001A4860">
        <w:rPr>
          <w:rFonts w:eastAsia="Calibri"/>
          <w:szCs w:val="24"/>
          <w:lang w:val="es-ES"/>
        </w:rPr>
        <w:t>El Contratista comprobará las medidas indicadas en los planos mediante la utilización de equipo topográfico (estación total), localizando la construcción con precisión en el sitio, de acuerdo con los documentos del Contrato.  Nivélelas y estacas de nivelación permanecerán en su posición hasta que toda infraestructura haya sido instalada.</w:t>
      </w:r>
    </w:p>
    <w:p w14:paraId="65C28161" w14:textId="77777777" w:rsidR="001A4860" w:rsidRPr="001A4860" w:rsidRDefault="001A4860" w:rsidP="001A4860">
      <w:pPr>
        <w:rPr>
          <w:rFonts w:eastAsia="Calibri"/>
          <w:szCs w:val="24"/>
          <w:lang w:val="es-ES"/>
        </w:rPr>
      </w:pPr>
    </w:p>
    <w:p w14:paraId="71EA5820" w14:textId="77777777" w:rsidR="001A4860" w:rsidRPr="001A4860" w:rsidRDefault="001A4860" w:rsidP="001A4860">
      <w:pPr>
        <w:rPr>
          <w:rFonts w:eastAsia="Calibri"/>
          <w:szCs w:val="24"/>
          <w:lang w:val="es-ES"/>
        </w:rPr>
      </w:pPr>
      <w:r w:rsidRPr="001A4860">
        <w:rPr>
          <w:rFonts w:eastAsia="Calibri"/>
          <w:szCs w:val="24"/>
          <w:lang w:val="es-ES"/>
        </w:rPr>
        <w:t>EL CONTRATISTA será responsable de proteger de daños todas las líneas, niveles y puntos de referencias, si se destruyen deberán ser reparados y repuestos por su cuenta. Se notificará al SUPERVISOR cuando el trazo esté substancialmente terminado y se procederá a la construcción hasta que haya sido aprobado.</w:t>
      </w:r>
    </w:p>
    <w:p w14:paraId="4643C76C" w14:textId="77777777" w:rsidR="001A4860" w:rsidRPr="001A4860" w:rsidRDefault="001A4860" w:rsidP="001A4860">
      <w:pPr>
        <w:rPr>
          <w:rFonts w:eastAsia="Calibri"/>
          <w:szCs w:val="24"/>
          <w:lang w:val="es-ES"/>
        </w:rPr>
      </w:pPr>
    </w:p>
    <w:p w14:paraId="3146678E" w14:textId="77777777" w:rsidR="001A4860" w:rsidRPr="001A4860" w:rsidRDefault="001A4860" w:rsidP="003B68DB">
      <w:pPr>
        <w:keepNext/>
        <w:keepLines/>
        <w:numPr>
          <w:ilvl w:val="1"/>
          <w:numId w:val="195"/>
        </w:numPr>
        <w:spacing w:after="160" w:line="360" w:lineRule="auto"/>
        <w:ind w:left="0" w:firstLine="0"/>
        <w:jc w:val="left"/>
        <w:outlineLvl w:val="2"/>
        <w:rPr>
          <w:b/>
          <w:bCs/>
          <w:i/>
          <w:iCs/>
          <w:color w:val="000000"/>
          <w:szCs w:val="24"/>
          <w:lang w:val="es-ES"/>
        </w:rPr>
      </w:pPr>
      <w:bookmarkStart w:id="1341" w:name="_Toc310550072"/>
      <w:bookmarkStart w:id="1342" w:name="_Toc505613774"/>
      <w:r w:rsidRPr="001A4860">
        <w:rPr>
          <w:b/>
          <w:bCs/>
          <w:color w:val="000000"/>
          <w:szCs w:val="24"/>
          <w:lang w:val="es-ES"/>
        </w:rPr>
        <w:t>Excavación</w:t>
      </w:r>
      <w:bookmarkEnd w:id="1341"/>
      <w:r w:rsidRPr="001A4860">
        <w:rPr>
          <w:b/>
          <w:bCs/>
          <w:color w:val="000000"/>
          <w:szCs w:val="24"/>
          <w:lang w:val="es-ES"/>
        </w:rPr>
        <w:t xml:space="preserve"> </w:t>
      </w:r>
      <w:bookmarkEnd w:id="1342"/>
    </w:p>
    <w:p w14:paraId="74FF8CF2"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0ACF225E" w14:textId="77777777" w:rsidR="001A4860" w:rsidRPr="001A4860" w:rsidRDefault="001A4860" w:rsidP="001A4860">
      <w:pPr>
        <w:rPr>
          <w:rFonts w:eastAsia="Calibri"/>
          <w:szCs w:val="24"/>
          <w:lang w:val="es-ES"/>
        </w:rPr>
      </w:pPr>
      <w:r w:rsidRPr="001A4860">
        <w:rPr>
          <w:rFonts w:eastAsia="Calibri"/>
          <w:szCs w:val="24"/>
          <w:lang w:val="es-ES"/>
        </w:rPr>
        <w:t>El ancho de zanja será igual al diámetro nominal de tubería más un máximo de 0.6 m, colocando la tubería al centro de la zanja, manteniendo la verticalidad de zanja en toda su extensión. No se reconocerá a El Contratista en la forma de pago, la ampliación de las zanjas hechas sin autorización de El Ingeniero Supervisor.</w:t>
      </w:r>
    </w:p>
    <w:p w14:paraId="47662CC4" w14:textId="77777777" w:rsidR="001A4860" w:rsidRPr="001A4860" w:rsidRDefault="001A4860" w:rsidP="001A4860">
      <w:pPr>
        <w:rPr>
          <w:rFonts w:eastAsia="Calibri"/>
          <w:szCs w:val="24"/>
          <w:lang w:val="es-ES"/>
        </w:rPr>
      </w:pPr>
    </w:p>
    <w:p w14:paraId="35D03305" w14:textId="77777777" w:rsidR="001A4860" w:rsidRPr="001A4860" w:rsidRDefault="001A4860" w:rsidP="001A4860">
      <w:pPr>
        <w:rPr>
          <w:rFonts w:eastAsia="Calibri"/>
          <w:szCs w:val="24"/>
          <w:lang w:val="es-ES"/>
        </w:rPr>
      </w:pPr>
      <w:r w:rsidRPr="001A4860">
        <w:rPr>
          <w:rFonts w:eastAsia="Calibri"/>
          <w:szCs w:val="24"/>
          <w:lang w:val="es-ES"/>
        </w:rPr>
        <w:t>En general, a menos que los planos indiquen lo contrario, la profundidad de la zanja será de 1.00 m, arriba de la corona del tubo en sitios exentos de tráfico y 1.2 en zonas de tráfico vehicular. Cuando por necesidad constructiva se requieran profundidades menores, la tubería deberá protegerse con concreto tal como se muestra en planos constructivos y con la aprobación de El Ingeniero Supervisor.</w:t>
      </w:r>
    </w:p>
    <w:p w14:paraId="0F421C2A" w14:textId="77777777" w:rsidR="001A4860" w:rsidRPr="001A4860" w:rsidRDefault="001A4860" w:rsidP="001A4860">
      <w:pPr>
        <w:rPr>
          <w:rFonts w:eastAsia="Calibri"/>
          <w:szCs w:val="24"/>
          <w:lang w:val="es-ES"/>
        </w:rPr>
      </w:pPr>
    </w:p>
    <w:p w14:paraId="763F2676" w14:textId="77777777" w:rsidR="001A4860" w:rsidRPr="001A4860" w:rsidRDefault="001A4860" w:rsidP="001A4860">
      <w:pPr>
        <w:rPr>
          <w:rFonts w:eastAsia="Calibri"/>
          <w:szCs w:val="24"/>
          <w:lang w:val="es-ES"/>
        </w:rPr>
      </w:pPr>
      <w:r w:rsidRPr="001A4860">
        <w:rPr>
          <w:rFonts w:eastAsia="Calibri"/>
          <w:szCs w:val="24"/>
          <w:lang w:val="es-ES"/>
        </w:rPr>
        <w:t>El fondo de la zanja deberá quedar perfectamente nivelado, sin protuberancias que afecten a la tubería a instalarse, de manera que el tubo descanse sobre el terreno en toda su longitud y uniformemente.</w:t>
      </w:r>
    </w:p>
    <w:p w14:paraId="6FB36756" w14:textId="77777777" w:rsidR="001A4860" w:rsidRPr="001A4860" w:rsidRDefault="001A4860" w:rsidP="001A4860">
      <w:pPr>
        <w:rPr>
          <w:rFonts w:eastAsia="Calibri"/>
          <w:szCs w:val="24"/>
          <w:lang w:val="es-ES"/>
        </w:rPr>
      </w:pPr>
    </w:p>
    <w:p w14:paraId="509052CA" w14:textId="77777777" w:rsidR="001A4860" w:rsidRPr="001A4860" w:rsidRDefault="001A4860" w:rsidP="001A4860">
      <w:pPr>
        <w:rPr>
          <w:rFonts w:eastAsia="Calibri"/>
          <w:szCs w:val="24"/>
          <w:lang w:val="es-ES"/>
        </w:rPr>
      </w:pPr>
      <w:r w:rsidRPr="001A4860">
        <w:rPr>
          <w:rFonts w:eastAsia="Calibri"/>
          <w:szCs w:val="24"/>
          <w:lang w:val="es-ES"/>
        </w:rPr>
        <w:t>En caso de que en la excavación se presentaran terrenos de poca consistencia (muy húmedo, suelos orgánicos, etc.) como el zonzocuite, la zanja deberá profundizarse como lo indique El Ingeniero, pero no menos de 0.30 m. abajo del fondo previsto, y el material excavado deberá reponerse con material aceptado por El Ingeniero Superior, dentro de las especificaciones señaladas en la Sección de Relleno Especial.</w:t>
      </w:r>
    </w:p>
    <w:p w14:paraId="4BC4F5A9" w14:textId="77777777" w:rsidR="001A4860" w:rsidRPr="001A4860" w:rsidRDefault="001A4860" w:rsidP="001A4860">
      <w:pPr>
        <w:rPr>
          <w:rFonts w:eastAsia="Calibri"/>
          <w:szCs w:val="24"/>
          <w:lang w:val="es-ES"/>
        </w:rPr>
      </w:pPr>
    </w:p>
    <w:p w14:paraId="5E112BE9" w14:textId="77777777" w:rsidR="001A4860" w:rsidRPr="001A4860" w:rsidRDefault="001A4860" w:rsidP="001A4860">
      <w:pPr>
        <w:rPr>
          <w:rFonts w:eastAsia="Calibri"/>
          <w:szCs w:val="24"/>
          <w:lang w:val="es-ES"/>
        </w:rPr>
      </w:pPr>
      <w:r w:rsidRPr="001A4860">
        <w:rPr>
          <w:rFonts w:eastAsia="Calibri"/>
          <w:szCs w:val="24"/>
          <w:lang w:val="es-ES"/>
        </w:rPr>
        <w:t xml:space="preserve">Cuando la excavación sea en roca o piedra cantera, se removerá ésta a una profundidad de 15 centímetros bajo la rasante de la línea inferior del tubo.  Esta excavación comúnmente conocida </w:t>
      </w:r>
      <w:r w:rsidRPr="001A4860">
        <w:rPr>
          <w:rFonts w:eastAsia="Calibri"/>
          <w:szCs w:val="24"/>
          <w:lang w:val="es-ES"/>
        </w:rPr>
        <w:lastRenderedPageBreak/>
        <w:t>como excavación adicional, se rellenará después con material aprobado por El Ingeniero de la manera descrita en la Sección de Relleno Especial, o como lo indique El Ingeniero Supervisor.</w:t>
      </w:r>
    </w:p>
    <w:p w14:paraId="53CE697A" w14:textId="77777777" w:rsidR="001A4860" w:rsidRPr="001A4860" w:rsidRDefault="001A4860" w:rsidP="001A4860">
      <w:pPr>
        <w:rPr>
          <w:rFonts w:eastAsia="Calibri"/>
          <w:szCs w:val="24"/>
          <w:lang w:val="es-ES"/>
        </w:rPr>
      </w:pPr>
    </w:p>
    <w:p w14:paraId="30B15360" w14:textId="77777777" w:rsidR="001A4860" w:rsidRPr="001A4860" w:rsidRDefault="001A4860" w:rsidP="001A4860">
      <w:pPr>
        <w:rPr>
          <w:rFonts w:eastAsia="Calibri"/>
          <w:szCs w:val="24"/>
          <w:lang w:val="es-ES"/>
        </w:rPr>
      </w:pPr>
      <w:r w:rsidRPr="001A4860">
        <w:rPr>
          <w:rFonts w:eastAsia="Calibri"/>
          <w:szCs w:val="24"/>
          <w:lang w:val="es-ES"/>
        </w:rPr>
        <w:t>En caso de curvas horizontales con pequeños ángulos de deflexión, deberá dársele a la excavación un sobre ancho, el cual estará determinado por las deflexiones permisibles en las uniones de las tuberías.</w:t>
      </w:r>
    </w:p>
    <w:p w14:paraId="1DD84C7D" w14:textId="77777777" w:rsidR="001A4860" w:rsidRPr="001A4860" w:rsidRDefault="001A4860" w:rsidP="001A4860">
      <w:pPr>
        <w:rPr>
          <w:rFonts w:eastAsia="Calibri"/>
          <w:szCs w:val="24"/>
          <w:lang w:val="es-ES"/>
        </w:rPr>
      </w:pPr>
    </w:p>
    <w:p w14:paraId="0DFB1D3F" w14:textId="77777777" w:rsidR="001A4860" w:rsidRPr="001A4860" w:rsidRDefault="001A4860" w:rsidP="001A4860">
      <w:pPr>
        <w:rPr>
          <w:rFonts w:eastAsia="Calibri"/>
          <w:szCs w:val="24"/>
          <w:lang w:val="es-ES"/>
        </w:rPr>
      </w:pPr>
      <w:r w:rsidRPr="001A4860">
        <w:rPr>
          <w:rFonts w:eastAsia="Calibri"/>
          <w:szCs w:val="24"/>
          <w:lang w:val="es-ES"/>
        </w:rPr>
        <w:t xml:space="preserve">Cuando la tubería se instalase sobre superficie rocosa, esta se excavará 2/3 de diámetro del lecho y de ancho tendrá el ancho del tubo más 40 cm, si el tubo a instalarse es de HG, ésta irá anclada a las paredes de las laderas o fondo del lecho del río a cada tres metros, con una faja de acero inoxidable de 2” de ancho y ¼” de espesor, con dos pernos de ¾” de diámetro y 6” de longitud a su vez irá protegida por un bloque de concreto ciclópeo simple de 2000 PSI de resistencia a los 28 días como se indica en los detalles del plano. </w:t>
      </w:r>
    </w:p>
    <w:p w14:paraId="759DB873" w14:textId="77777777" w:rsidR="001A4860" w:rsidRPr="001A4860" w:rsidRDefault="001A4860" w:rsidP="001A4860">
      <w:pPr>
        <w:widowControl w:val="0"/>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autoSpaceDE w:val="0"/>
        <w:autoSpaceDN w:val="0"/>
        <w:adjustRightInd w:val="0"/>
        <w:rPr>
          <w:rFonts w:eastAsia="Calibri"/>
          <w:iCs/>
          <w:szCs w:val="24"/>
          <w:lang w:val="es-ES"/>
        </w:rPr>
      </w:pPr>
    </w:p>
    <w:p w14:paraId="3EBA0751"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43" w:name="_Toc310550073"/>
      <w:bookmarkStart w:id="1344" w:name="_Toc505613775"/>
      <w:r w:rsidRPr="001A4860">
        <w:rPr>
          <w:b/>
          <w:bCs/>
          <w:color w:val="000000"/>
          <w:szCs w:val="24"/>
          <w:lang w:val="es-ES"/>
        </w:rPr>
        <w:t>Restricciones y calidad del trabajo</w:t>
      </w:r>
      <w:bookmarkEnd w:id="1343"/>
      <w:bookmarkEnd w:id="1344"/>
    </w:p>
    <w:p w14:paraId="01B78BDE" w14:textId="77777777" w:rsidR="001A4860" w:rsidRPr="001A4860" w:rsidRDefault="001A4860" w:rsidP="001A4860">
      <w:pPr>
        <w:rPr>
          <w:rFonts w:eastAsia="Calibri"/>
          <w:szCs w:val="24"/>
          <w:lang w:val="es-ES"/>
        </w:rPr>
      </w:pPr>
      <w:r w:rsidRPr="001A4860">
        <w:rPr>
          <w:rFonts w:eastAsia="Calibri"/>
          <w:szCs w:val="24"/>
          <w:lang w:val="es-ES"/>
        </w:rPr>
        <w:t>El relleno y compactación de zanjas, se realizará inmediatamente después que la tubería haya sido probada hidráulicamente, desinfectada y aceptada por El supervisor.</w:t>
      </w:r>
    </w:p>
    <w:p w14:paraId="797D642A" w14:textId="77777777" w:rsidR="001A4860" w:rsidRPr="001A4860" w:rsidRDefault="001A4860" w:rsidP="001A4860">
      <w:pPr>
        <w:rPr>
          <w:rFonts w:eastAsia="Calibri"/>
          <w:szCs w:val="24"/>
          <w:lang w:val="es-ES"/>
        </w:rPr>
      </w:pPr>
    </w:p>
    <w:p w14:paraId="5A789904" w14:textId="77777777" w:rsidR="001A4860" w:rsidRPr="001A4860" w:rsidRDefault="001A4860" w:rsidP="001A4860">
      <w:pPr>
        <w:rPr>
          <w:rFonts w:eastAsia="Calibri"/>
          <w:szCs w:val="24"/>
          <w:lang w:val="es-ES"/>
        </w:rPr>
      </w:pPr>
      <w:r w:rsidRPr="001A4860">
        <w:rPr>
          <w:rFonts w:eastAsia="Calibri"/>
          <w:szCs w:val="24"/>
          <w:lang w:val="es-ES"/>
        </w:rPr>
        <w:t>Los materiales de excavación de la zanja deberán ser colocados al lado donde no se obstaculice.</w:t>
      </w:r>
    </w:p>
    <w:p w14:paraId="5F9325AA" w14:textId="77777777" w:rsidR="001A4860" w:rsidRPr="001A4860" w:rsidRDefault="001A4860" w:rsidP="001A4860">
      <w:pPr>
        <w:rPr>
          <w:rFonts w:eastAsia="Calibri"/>
          <w:szCs w:val="24"/>
          <w:lang w:val="es-ES"/>
        </w:rPr>
      </w:pPr>
    </w:p>
    <w:p w14:paraId="2B18C439" w14:textId="77777777" w:rsidR="001A4860" w:rsidRPr="001A4860" w:rsidRDefault="001A4860" w:rsidP="001A4860">
      <w:pPr>
        <w:rPr>
          <w:rFonts w:eastAsia="Calibri"/>
          <w:szCs w:val="24"/>
          <w:lang w:val="es-ES"/>
        </w:rPr>
      </w:pPr>
      <w:r w:rsidRPr="001A4860">
        <w:rPr>
          <w:rFonts w:eastAsia="Calibri"/>
          <w:szCs w:val="24"/>
          <w:lang w:val="es-ES"/>
        </w:rPr>
        <w:t>Se reservará una orilla despejada de 50 cm. de ancho mínimo, entre el borde de la zanja y el pie del talud de las tierras extraídas. Esa orilla está destinada a la circulación cómoda del personal instalador de la tubería.</w:t>
      </w:r>
    </w:p>
    <w:p w14:paraId="702C93E6" w14:textId="77777777" w:rsidR="001A4860" w:rsidRPr="001A4860" w:rsidRDefault="001A4860" w:rsidP="001A4860">
      <w:pPr>
        <w:rPr>
          <w:rFonts w:eastAsia="Calibri"/>
          <w:szCs w:val="24"/>
          <w:lang w:val="es-ES"/>
        </w:rPr>
      </w:pPr>
    </w:p>
    <w:p w14:paraId="7932CC8C" w14:textId="77777777" w:rsidR="001A4860" w:rsidRPr="001A4860" w:rsidRDefault="001A4860" w:rsidP="001A4860">
      <w:pPr>
        <w:rPr>
          <w:rFonts w:eastAsia="Calibri"/>
          <w:szCs w:val="24"/>
          <w:lang w:val="es-ES"/>
        </w:rPr>
      </w:pPr>
      <w:r w:rsidRPr="001A4860">
        <w:rPr>
          <w:rFonts w:eastAsia="Calibri"/>
          <w:szCs w:val="24"/>
          <w:lang w:val="es-ES"/>
        </w:rPr>
        <w:t xml:space="preserve">Los materiales excavados que no sean satisfactorios para relleno, o que estén en exceso al requerido, serán dispuestos fuera del Sitio de la Obra de una manera aprobada por El Ingeniero. Los costos de esta operación serán asumidos por El Contratista o por la comunidad cuando la actividad de relleno y compactación sea responsabilidad de los protagonistas. </w:t>
      </w:r>
    </w:p>
    <w:p w14:paraId="2CDE0993" w14:textId="77777777" w:rsidR="001A4860" w:rsidRPr="001A4860" w:rsidRDefault="001A4860" w:rsidP="001A4860">
      <w:pPr>
        <w:rPr>
          <w:rFonts w:eastAsia="Calibri"/>
          <w:szCs w:val="24"/>
          <w:lang w:val="es-ES"/>
        </w:rPr>
      </w:pPr>
    </w:p>
    <w:p w14:paraId="5D2229D6" w14:textId="77777777" w:rsidR="001A4860" w:rsidRPr="001A4860" w:rsidRDefault="001A4860" w:rsidP="001A4860">
      <w:pPr>
        <w:rPr>
          <w:rFonts w:eastAsia="Calibri"/>
          <w:szCs w:val="24"/>
          <w:lang w:val="es-ES"/>
        </w:rPr>
      </w:pPr>
      <w:r w:rsidRPr="001A4860">
        <w:rPr>
          <w:rFonts w:eastAsia="Calibri"/>
          <w:szCs w:val="24"/>
          <w:lang w:val="es-ES"/>
        </w:rPr>
        <w:t>Aún, suponiendo que el relleno de la tubería instalada, se efectuó correctamente, se eliminará de la tierra extraída, toda piedra gruesa y todo material que, utilizado como relleno de la zanja, podría ocasionar daños en la tubería.</w:t>
      </w:r>
    </w:p>
    <w:p w14:paraId="02ABE3FE" w14:textId="77777777" w:rsidR="001A4860" w:rsidRPr="001A4860" w:rsidRDefault="001A4860" w:rsidP="001A4860">
      <w:pPr>
        <w:rPr>
          <w:rFonts w:eastAsia="Calibri"/>
          <w:szCs w:val="24"/>
          <w:lang w:val="es-ES"/>
        </w:rPr>
      </w:pPr>
    </w:p>
    <w:p w14:paraId="1756344F" w14:textId="77777777" w:rsidR="001A4860" w:rsidRPr="001A4860" w:rsidRDefault="001A4860" w:rsidP="001A4860">
      <w:pPr>
        <w:rPr>
          <w:rFonts w:eastAsia="Calibri"/>
          <w:szCs w:val="24"/>
          <w:lang w:val="es-ES"/>
        </w:rPr>
      </w:pPr>
      <w:r w:rsidRPr="001A4860">
        <w:rPr>
          <w:rFonts w:eastAsia="Calibri"/>
          <w:szCs w:val="24"/>
          <w:lang w:val="es-ES"/>
        </w:rPr>
        <w:t>Si el fondo de la zanja se convierte en una fundación inestable para los tubos, debido al descuido de El Contratista de ademar o desaguar la zanja, o si la excavación se ha hecho más profunda de lo necesario, se requerirá de El Contratista y a su cuenta, remover el material inestable y rellenar la zanja de la manera descrita.</w:t>
      </w:r>
    </w:p>
    <w:p w14:paraId="6121748B" w14:textId="77777777" w:rsidR="001A4860" w:rsidRPr="001A4860" w:rsidRDefault="001A4860" w:rsidP="001A4860">
      <w:pPr>
        <w:rPr>
          <w:rFonts w:eastAsia="Calibri"/>
          <w:szCs w:val="24"/>
          <w:lang w:val="es-ES"/>
        </w:rPr>
      </w:pPr>
    </w:p>
    <w:p w14:paraId="5B80F207" w14:textId="77777777" w:rsidR="001A4860" w:rsidRPr="001A4860" w:rsidRDefault="001A4860" w:rsidP="001A4860">
      <w:pPr>
        <w:rPr>
          <w:rFonts w:eastAsia="Calibri"/>
          <w:szCs w:val="24"/>
          <w:lang w:val="es-ES"/>
        </w:rPr>
      </w:pPr>
      <w:r w:rsidRPr="001A4860">
        <w:rPr>
          <w:rFonts w:eastAsia="Calibri"/>
          <w:szCs w:val="24"/>
          <w:lang w:val="es-ES"/>
        </w:rPr>
        <w:t>El Contratista removerá toda agua que se colecte en las zanjas antes y después de que los tubos estén instalados. En ningún caso se permitirá que el agua escurra sobre la fundación, o por la tubería, sin permiso del Ingeniero Supervisor. El agua encontrada será eliminada por El Contratista de una manera satisfactoria para El Ingeniero Supervisor.</w:t>
      </w:r>
    </w:p>
    <w:p w14:paraId="7CD1E835" w14:textId="77777777" w:rsidR="001A4860" w:rsidRPr="001A4860" w:rsidRDefault="001A4860" w:rsidP="001A4860">
      <w:pPr>
        <w:contextualSpacing/>
        <w:rPr>
          <w:rFonts w:eastAsia="Calibri"/>
          <w:szCs w:val="24"/>
          <w:lang w:val="es-ES"/>
        </w:rPr>
      </w:pPr>
    </w:p>
    <w:p w14:paraId="1BC62826" w14:textId="77777777" w:rsidR="001A4860" w:rsidRPr="001A4860" w:rsidRDefault="001A4860" w:rsidP="001A4860">
      <w:pPr>
        <w:rPr>
          <w:rFonts w:eastAsia="Calibri"/>
          <w:szCs w:val="24"/>
          <w:lang w:val="es-ES"/>
        </w:rPr>
      </w:pPr>
      <w:r w:rsidRPr="001A4860">
        <w:rPr>
          <w:rFonts w:eastAsia="Calibri"/>
          <w:szCs w:val="24"/>
          <w:lang w:val="es-ES"/>
        </w:rPr>
        <w:t xml:space="preserve">También se deberá evitar dañar los árboles que deban permanecer en su lugar. Si se requiere la excavación a través de las raíces, habrá que excavar manualmente y cortar las raíces </w:t>
      </w:r>
      <w:r w:rsidRPr="001A4860">
        <w:rPr>
          <w:rFonts w:eastAsia="Calibri"/>
          <w:szCs w:val="24"/>
          <w:lang w:val="es-ES"/>
        </w:rPr>
        <w:lastRenderedPageBreak/>
        <w:t>apropiadamente. Si fuese necesario podarlos, se debe hacer cortes limpios, refinados y sesgados y aplicar tres capas de protector sobre todas las ramas cortadas.</w:t>
      </w:r>
    </w:p>
    <w:p w14:paraId="1BFF0D0D" w14:textId="77777777" w:rsidR="001A4860" w:rsidRPr="001A4860" w:rsidRDefault="001A4860" w:rsidP="001A4860">
      <w:pPr>
        <w:rPr>
          <w:rFonts w:eastAsia="Calibri"/>
          <w:szCs w:val="24"/>
          <w:lang w:val="es-ES"/>
        </w:rPr>
      </w:pPr>
    </w:p>
    <w:p w14:paraId="22A47DFF"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45" w:name="_Toc310550075"/>
      <w:bookmarkStart w:id="1346" w:name="_Toc505613776"/>
      <w:r w:rsidRPr="001A4860">
        <w:rPr>
          <w:b/>
          <w:bCs/>
          <w:color w:val="000000"/>
          <w:szCs w:val="24"/>
          <w:lang w:val="es-ES"/>
        </w:rPr>
        <w:t xml:space="preserve">Excavación en terreno </w:t>
      </w:r>
      <w:bookmarkEnd w:id="1345"/>
      <w:r w:rsidRPr="001A4860">
        <w:rPr>
          <w:b/>
          <w:bCs/>
          <w:color w:val="000000"/>
          <w:szCs w:val="24"/>
          <w:lang w:val="es-ES"/>
        </w:rPr>
        <w:t>natural</w:t>
      </w:r>
      <w:bookmarkEnd w:id="1346"/>
      <w:r w:rsidRPr="001A4860">
        <w:rPr>
          <w:b/>
          <w:bCs/>
          <w:color w:val="000000"/>
          <w:szCs w:val="24"/>
          <w:lang w:val="es-ES"/>
        </w:rPr>
        <w:t xml:space="preserve"> </w:t>
      </w:r>
    </w:p>
    <w:p w14:paraId="1B82640C" w14:textId="77777777" w:rsidR="001A4860" w:rsidRPr="001A4860" w:rsidRDefault="001A4860" w:rsidP="001A4860">
      <w:pPr>
        <w:rPr>
          <w:rFonts w:eastAsia="Calibri"/>
          <w:szCs w:val="24"/>
          <w:lang w:val="es-ES"/>
        </w:rPr>
      </w:pPr>
      <w:r w:rsidRPr="001A4860">
        <w:rPr>
          <w:rFonts w:eastAsia="Calibri"/>
          <w:szCs w:val="24"/>
          <w:lang w:val="es-ES"/>
        </w:rPr>
        <w:t xml:space="preserve">Se considerará excavación en "terreno natural", siempre que la actividad sea realizada manualmente o con equipo mecánico y el grado de compactación o dureza del material permita utilizar las herramientas comunes para excavar tierra de penetración normal. </w:t>
      </w:r>
    </w:p>
    <w:p w14:paraId="7444F3FA" w14:textId="77777777" w:rsidR="001A4860" w:rsidRPr="001A4860" w:rsidRDefault="001A4860" w:rsidP="001A4860">
      <w:pPr>
        <w:rPr>
          <w:rFonts w:eastAsia="Calibri"/>
          <w:szCs w:val="24"/>
          <w:lang w:val="es-ES"/>
        </w:rPr>
      </w:pPr>
    </w:p>
    <w:p w14:paraId="1450B2F0" w14:textId="77777777" w:rsidR="001A4860" w:rsidRPr="001A4860" w:rsidRDefault="001A4860" w:rsidP="001A4860">
      <w:pPr>
        <w:rPr>
          <w:rFonts w:eastAsia="Calibri"/>
          <w:szCs w:val="24"/>
          <w:lang w:val="es-ES"/>
        </w:rPr>
      </w:pPr>
      <w:r w:rsidRPr="001A4860">
        <w:rPr>
          <w:rFonts w:eastAsia="Calibri"/>
          <w:szCs w:val="24"/>
          <w:lang w:val="es-ES"/>
        </w:rPr>
        <w:t>Las arenas y cenizas no consolidadas, tierras vegetales, limos y arcillas, hormigón suelto, tapuja o combinaciones entre ellas serán consideradas como "tierra normal" ante el hecho de que éstas sean posibles excavarlas con pico y pala, sin requerir el uso de barra.</w:t>
      </w:r>
    </w:p>
    <w:p w14:paraId="76ED5110" w14:textId="77777777" w:rsidR="001A4860" w:rsidRPr="001A4860" w:rsidRDefault="001A4860" w:rsidP="001A4860">
      <w:pPr>
        <w:rPr>
          <w:rFonts w:eastAsia="Calibri"/>
          <w:b/>
          <w:szCs w:val="24"/>
          <w:u w:val="single"/>
          <w:lang w:val="es-ES"/>
        </w:rPr>
      </w:pPr>
      <w:bookmarkStart w:id="1347" w:name="_Toc310550076"/>
    </w:p>
    <w:p w14:paraId="094BD5A4"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48" w:name="_Toc505613777"/>
      <w:r w:rsidRPr="001A4860">
        <w:rPr>
          <w:b/>
          <w:bCs/>
          <w:color w:val="000000"/>
          <w:szCs w:val="24"/>
          <w:lang w:val="es-ES"/>
        </w:rPr>
        <w:t>Otros tipos de excavación</w:t>
      </w:r>
      <w:bookmarkEnd w:id="1347"/>
      <w:bookmarkEnd w:id="1348"/>
    </w:p>
    <w:p w14:paraId="3D4FADC0" w14:textId="77777777" w:rsidR="001A4860" w:rsidRPr="001A4860" w:rsidRDefault="001A4860" w:rsidP="001A4860">
      <w:pPr>
        <w:rPr>
          <w:rFonts w:eastAsia="Calibri"/>
          <w:szCs w:val="24"/>
          <w:lang w:val="es-ES"/>
        </w:rPr>
      </w:pPr>
      <w:r w:rsidRPr="001A4860">
        <w:rPr>
          <w:rFonts w:eastAsia="Calibri"/>
          <w:szCs w:val="24"/>
          <w:lang w:val="es-ES"/>
        </w:rPr>
        <w:t>Debido al tipo de material (grado de compactación o dureza) que se encuentre podrán ser:</w:t>
      </w:r>
    </w:p>
    <w:p w14:paraId="34C968EE" w14:textId="77777777" w:rsidR="001A4860" w:rsidRPr="001A4860" w:rsidRDefault="001A4860" w:rsidP="001A4860">
      <w:pPr>
        <w:rPr>
          <w:rFonts w:eastAsia="Calibri"/>
          <w:szCs w:val="24"/>
          <w:lang w:val="es-ES"/>
        </w:rPr>
      </w:pPr>
      <w:r w:rsidRPr="001A4860">
        <w:rPr>
          <w:rFonts w:eastAsia="Calibri"/>
          <w:szCs w:val="24"/>
          <w:lang w:val="es-ES"/>
        </w:rPr>
        <w:t xml:space="preserve"> a) En cascajo;</w:t>
      </w:r>
    </w:p>
    <w:p w14:paraId="2DCB458F" w14:textId="77777777" w:rsidR="001A4860" w:rsidRPr="001A4860" w:rsidRDefault="001A4860" w:rsidP="001A4860">
      <w:pPr>
        <w:rPr>
          <w:rFonts w:eastAsia="Calibri"/>
          <w:szCs w:val="24"/>
          <w:lang w:val="es-ES"/>
        </w:rPr>
      </w:pPr>
      <w:r w:rsidRPr="001A4860">
        <w:rPr>
          <w:rFonts w:eastAsia="Calibri"/>
          <w:szCs w:val="24"/>
          <w:lang w:val="es-ES"/>
        </w:rPr>
        <w:t xml:space="preserve"> b) En cantera;</w:t>
      </w:r>
    </w:p>
    <w:p w14:paraId="6A384348" w14:textId="77777777" w:rsidR="001A4860" w:rsidRPr="001A4860" w:rsidRDefault="001A4860" w:rsidP="001A4860">
      <w:pPr>
        <w:rPr>
          <w:rFonts w:eastAsia="Calibri"/>
          <w:szCs w:val="24"/>
          <w:lang w:val="es-ES"/>
        </w:rPr>
      </w:pPr>
      <w:r w:rsidRPr="001A4860">
        <w:rPr>
          <w:rFonts w:eastAsia="Calibri"/>
          <w:szCs w:val="24"/>
          <w:lang w:val="es-ES"/>
        </w:rPr>
        <w:t xml:space="preserve"> c) En roca firme</w:t>
      </w:r>
    </w:p>
    <w:p w14:paraId="0B7A142D" w14:textId="77777777" w:rsidR="001A4860" w:rsidRPr="001A4860" w:rsidRDefault="001A4860" w:rsidP="001A4860">
      <w:pPr>
        <w:rPr>
          <w:rFonts w:eastAsia="Calibri"/>
          <w:szCs w:val="24"/>
          <w:lang w:val="es-ES"/>
        </w:rPr>
      </w:pPr>
    </w:p>
    <w:p w14:paraId="6564AEDA" w14:textId="77777777" w:rsidR="001A4860" w:rsidRPr="001A4860" w:rsidRDefault="001A4860" w:rsidP="001A4860">
      <w:pPr>
        <w:rPr>
          <w:rFonts w:eastAsia="Calibri"/>
          <w:b/>
          <w:szCs w:val="24"/>
          <w:lang w:val="es-ES"/>
        </w:rPr>
      </w:pPr>
      <w:bookmarkStart w:id="1349" w:name="_Toc305746120"/>
      <w:bookmarkStart w:id="1350" w:name="_Toc310550077"/>
      <w:bookmarkStart w:id="1351" w:name="_Toc344461266"/>
      <w:bookmarkStart w:id="1352" w:name="_Toc344723238"/>
      <w:bookmarkStart w:id="1353" w:name="_Toc351657264"/>
      <w:r w:rsidRPr="001A4860">
        <w:rPr>
          <w:rFonts w:eastAsia="Calibri"/>
          <w:b/>
          <w:szCs w:val="24"/>
          <w:lang w:val="es-ES"/>
        </w:rPr>
        <w:t>Instalación de Tuberías</w:t>
      </w:r>
      <w:bookmarkEnd w:id="1349"/>
      <w:bookmarkEnd w:id="1350"/>
      <w:bookmarkEnd w:id="1351"/>
      <w:bookmarkEnd w:id="1352"/>
      <w:bookmarkEnd w:id="1353"/>
    </w:p>
    <w:p w14:paraId="6294DD5A" w14:textId="77777777" w:rsidR="001A4860" w:rsidRPr="001A4860" w:rsidRDefault="001A4860" w:rsidP="001A4860">
      <w:pPr>
        <w:rPr>
          <w:rFonts w:eastAsia="Calibri"/>
          <w:szCs w:val="24"/>
          <w:lang w:val="es-ES"/>
        </w:rPr>
      </w:pPr>
    </w:p>
    <w:p w14:paraId="03FC9EB7"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54" w:name="_Toc310550078"/>
      <w:bookmarkStart w:id="1355" w:name="_Toc505613778"/>
      <w:r w:rsidRPr="001A4860">
        <w:rPr>
          <w:b/>
          <w:bCs/>
          <w:color w:val="000000"/>
          <w:szCs w:val="24"/>
          <w:lang w:val="es-ES"/>
        </w:rPr>
        <w:t>Recursos y procedimientos</w:t>
      </w:r>
      <w:bookmarkEnd w:id="1354"/>
      <w:bookmarkEnd w:id="1355"/>
    </w:p>
    <w:p w14:paraId="0D617DDE" w14:textId="77777777" w:rsidR="001A4860" w:rsidRPr="001A4860" w:rsidRDefault="001A4860" w:rsidP="001A4860">
      <w:pPr>
        <w:rPr>
          <w:rFonts w:eastAsia="Calibri"/>
          <w:szCs w:val="24"/>
          <w:lang w:val="es-ES"/>
        </w:rPr>
      </w:pPr>
      <w:r w:rsidRPr="001A4860">
        <w:rPr>
          <w:rFonts w:eastAsia="Calibri"/>
          <w:szCs w:val="24"/>
          <w:lang w:val="es-ES"/>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w:t>
      </w:r>
    </w:p>
    <w:p w14:paraId="702667A4" w14:textId="77777777" w:rsidR="001A4860" w:rsidRPr="001A4860" w:rsidRDefault="001A4860" w:rsidP="001A4860">
      <w:pPr>
        <w:rPr>
          <w:rFonts w:eastAsia="Calibri"/>
          <w:szCs w:val="24"/>
          <w:lang w:val="es-ES"/>
        </w:rPr>
      </w:pPr>
    </w:p>
    <w:p w14:paraId="0C62EF0D"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56" w:name="_Toc310550079"/>
      <w:bookmarkStart w:id="1357" w:name="_Toc505613779"/>
      <w:r w:rsidRPr="001A4860">
        <w:rPr>
          <w:b/>
          <w:bCs/>
          <w:color w:val="000000"/>
          <w:szCs w:val="24"/>
          <w:lang w:val="es-ES"/>
        </w:rPr>
        <w:t>Cortes y rectificaciones en tubería</w:t>
      </w:r>
      <w:bookmarkEnd w:id="1356"/>
      <w:bookmarkEnd w:id="1357"/>
    </w:p>
    <w:p w14:paraId="4A796B90" w14:textId="77777777" w:rsidR="001A4860" w:rsidRPr="001A4860" w:rsidRDefault="001A4860" w:rsidP="001A4860">
      <w:pPr>
        <w:rPr>
          <w:rFonts w:eastAsia="Calibri"/>
          <w:szCs w:val="24"/>
          <w:lang w:val="es-ES"/>
        </w:rPr>
      </w:pPr>
      <w:r w:rsidRPr="001A4860">
        <w:rPr>
          <w:rFonts w:eastAsia="Calibri"/>
          <w:szCs w:val="24"/>
          <w:lang w:val="es-ES"/>
        </w:rPr>
        <w:t>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previamente fijado, o para efectuar curvas en el alineamiento, haciendo uso de las desviaciones permitidas para las juntas; en tales casos, es preciso cortar la parte dañada o reducir un tubo normal a la longitud requerida, y rectificar luego los extremos del corte para proceder a efectuar las uniones.</w:t>
      </w:r>
    </w:p>
    <w:p w14:paraId="2F2042BD" w14:textId="77777777" w:rsidR="001A4860" w:rsidRPr="001A4860" w:rsidRDefault="001A4860" w:rsidP="001A4860">
      <w:pPr>
        <w:rPr>
          <w:rFonts w:eastAsia="Calibri"/>
          <w:b/>
          <w:szCs w:val="24"/>
          <w:u w:val="single"/>
          <w:lang w:val="es-ES"/>
        </w:rPr>
      </w:pPr>
      <w:bookmarkStart w:id="1358" w:name="_Toc310550080"/>
    </w:p>
    <w:p w14:paraId="03AD14D2"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59" w:name="_Toc505613780"/>
      <w:r w:rsidRPr="001A4860">
        <w:rPr>
          <w:b/>
          <w:bCs/>
          <w:color w:val="000000"/>
          <w:szCs w:val="24"/>
          <w:lang w:val="es-ES"/>
        </w:rPr>
        <w:lastRenderedPageBreak/>
        <w:t>Cortes</w:t>
      </w:r>
      <w:bookmarkEnd w:id="1358"/>
      <w:bookmarkEnd w:id="1359"/>
    </w:p>
    <w:p w14:paraId="22046CB2" w14:textId="77777777" w:rsidR="001A4860" w:rsidRPr="001A4860" w:rsidRDefault="001A4860" w:rsidP="001A4860">
      <w:pPr>
        <w:rPr>
          <w:rFonts w:eastAsia="Calibri"/>
          <w:szCs w:val="24"/>
          <w:lang w:val="es-ES"/>
        </w:rPr>
      </w:pPr>
      <w:r w:rsidRPr="001A4860">
        <w:rPr>
          <w:rFonts w:eastAsia="Calibri"/>
          <w:szCs w:val="24"/>
          <w:lang w:val="es-ES"/>
        </w:rPr>
        <w:t>Los tubos pueden cortarse haciendo uso de sierras de mano o con máquinas especiales "corta tubos". Las máquinas corta tubos pueden ser de discos, accionados con motores de gasolina, a presión o de cuchillas.</w:t>
      </w:r>
    </w:p>
    <w:p w14:paraId="1ECAA92E" w14:textId="77777777" w:rsidR="001A4860" w:rsidRPr="001A4860" w:rsidRDefault="001A4860" w:rsidP="001A4860">
      <w:pPr>
        <w:rPr>
          <w:rFonts w:eastAsia="Calibri"/>
          <w:szCs w:val="24"/>
          <w:lang w:val="es-ES"/>
        </w:rPr>
      </w:pPr>
    </w:p>
    <w:p w14:paraId="5FC90C3F" w14:textId="77777777" w:rsidR="001A4860" w:rsidRPr="001A4860" w:rsidRDefault="001A4860" w:rsidP="001A4860">
      <w:pPr>
        <w:rPr>
          <w:rFonts w:eastAsia="Calibri"/>
          <w:szCs w:val="24"/>
          <w:lang w:val="es-ES"/>
        </w:rPr>
      </w:pPr>
      <w:r w:rsidRPr="001A4860">
        <w:rPr>
          <w:rFonts w:eastAsia="Calibri"/>
          <w:szCs w:val="24"/>
          <w:lang w:val="es-ES"/>
        </w:rPr>
        <w:t>Los tubos se deberán cortar en ángulo recto, con relación a su eje, utilizando una sierra de mano de dientes finos y una caja de ingletes, o una sierra mecanizada de dientes finos con una guía apropiada. Se deberá remover totalmente la rebaba por medio de un cuchillo, lima, escariador o papel abrasivo.</w:t>
      </w:r>
    </w:p>
    <w:p w14:paraId="3EE7B21D" w14:textId="77777777" w:rsidR="001A4860" w:rsidRPr="001A4860" w:rsidRDefault="001A4860" w:rsidP="001A4860">
      <w:pPr>
        <w:rPr>
          <w:rFonts w:eastAsia="Calibri"/>
          <w:szCs w:val="24"/>
          <w:lang w:val="es-ES"/>
        </w:rPr>
      </w:pPr>
    </w:p>
    <w:p w14:paraId="59A8EB95" w14:textId="77777777" w:rsidR="001A4860" w:rsidRPr="001A4860" w:rsidRDefault="001A4860" w:rsidP="001A4860">
      <w:pPr>
        <w:rPr>
          <w:rFonts w:eastAsia="Calibri"/>
          <w:szCs w:val="24"/>
          <w:lang w:val="es-ES"/>
        </w:rPr>
      </w:pPr>
      <w:r w:rsidRPr="001A4860">
        <w:rPr>
          <w:rFonts w:eastAsia="Calibri"/>
          <w:szCs w:val="24"/>
          <w:lang w:val="es-ES"/>
        </w:rPr>
        <w:t>Cualquiera que sea la máquina usada, al efectuar el corte es necesario tener presente las siguientes recomendaciones:</w:t>
      </w:r>
    </w:p>
    <w:p w14:paraId="4062A64B" w14:textId="77777777" w:rsidR="001A4860" w:rsidRPr="001A4860" w:rsidRDefault="001A4860" w:rsidP="001A4860">
      <w:pPr>
        <w:rPr>
          <w:rFonts w:eastAsia="Calibri"/>
          <w:szCs w:val="24"/>
          <w:lang w:val="es-ES"/>
        </w:rPr>
      </w:pPr>
    </w:p>
    <w:p w14:paraId="23926C0E" w14:textId="77777777" w:rsidR="001A4860" w:rsidRPr="001A4860" w:rsidRDefault="001A4860" w:rsidP="001A4860">
      <w:pPr>
        <w:rPr>
          <w:rFonts w:eastAsia="Calibri"/>
          <w:szCs w:val="24"/>
          <w:lang w:val="es-ES"/>
        </w:rPr>
      </w:pPr>
      <w:r w:rsidRPr="001A4860">
        <w:rPr>
          <w:rFonts w:eastAsia="Calibri"/>
          <w:szCs w:val="24"/>
          <w:lang w:val="es-ES"/>
        </w:rPr>
        <w:t>Marcar con tiza, o con lápiz grueso, una línea que señale el corte que se va hacer. Ese corte deberá ser exactamente perpendicular al eje del tubo.</w:t>
      </w:r>
    </w:p>
    <w:p w14:paraId="434822A3" w14:textId="77777777" w:rsidR="001A4860" w:rsidRPr="001A4860" w:rsidRDefault="001A4860" w:rsidP="001A4860">
      <w:pPr>
        <w:rPr>
          <w:rFonts w:eastAsia="Calibri"/>
          <w:szCs w:val="24"/>
          <w:lang w:val="es-ES"/>
        </w:rPr>
      </w:pPr>
    </w:p>
    <w:p w14:paraId="4165A0FB" w14:textId="77777777" w:rsidR="001A4860" w:rsidRPr="001A4860" w:rsidRDefault="001A4860" w:rsidP="001A4860">
      <w:pPr>
        <w:rPr>
          <w:rFonts w:eastAsia="Calibri"/>
          <w:szCs w:val="24"/>
          <w:lang w:val="es-ES"/>
        </w:rPr>
      </w:pPr>
      <w:r w:rsidRPr="001A4860">
        <w:rPr>
          <w:rFonts w:eastAsia="Calibri"/>
          <w:szCs w:val="24"/>
          <w:lang w:val="es-ES"/>
        </w:rPr>
        <w:t>El tubo deberá encontrarse firmemente sujeto para evitar que se mueva durante el corte.</w:t>
      </w:r>
    </w:p>
    <w:p w14:paraId="72DD87E2" w14:textId="77777777" w:rsidR="001A4860" w:rsidRPr="001A4860" w:rsidRDefault="001A4860" w:rsidP="001A4860">
      <w:pPr>
        <w:rPr>
          <w:rFonts w:eastAsia="Calibri"/>
          <w:szCs w:val="24"/>
          <w:lang w:val="es-ES"/>
        </w:rPr>
      </w:pPr>
      <w:r w:rsidRPr="001A4860">
        <w:rPr>
          <w:rFonts w:eastAsia="Calibri"/>
          <w:szCs w:val="24"/>
          <w:lang w:val="es-ES"/>
        </w:rPr>
        <w:t>En caso de cortes fuera de la excavación, se deberá hacer girar el tubo a medida que se va cortando, de modo que la parte que debe cortarse, esté siempre del lado superior.</w:t>
      </w:r>
    </w:p>
    <w:p w14:paraId="37B2ECFA" w14:textId="77777777" w:rsidR="001A4860" w:rsidRPr="001A4860" w:rsidRDefault="001A4860" w:rsidP="001A4860">
      <w:pPr>
        <w:rPr>
          <w:rFonts w:eastAsia="Calibri"/>
          <w:szCs w:val="24"/>
          <w:lang w:val="es-ES"/>
        </w:rPr>
      </w:pPr>
    </w:p>
    <w:p w14:paraId="663A00AB" w14:textId="77777777" w:rsidR="001A4860" w:rsidRPr="001A4860" w:rsidRDefault="001A4860" w:rsidP="001A4860">
      <w:pPr>
        <w:rPr>
          <w:rFonts w:eastAsia="Calibri"/>
          <w:szCs w:val="24"/>
          <w:lang w:val="es-ES"/>
        </w:rPr>
      </w:pPr>
      <w:r w:rsidRPr="001A4860">
        <w:rPr>
          <w:rFonts w:eastAsia="Calibri"/>
          <w:szCs w:val="24"/>
          <w:lang w:val="es-ES"/>
        </w:rPr>
        <w:t>No debe dejarse la extremidad del tubo sin apoyo, pues es posible que ese extremo se quiebre por su propio peso antes de completar el corte.</w:t>
      </w:r>
    </w:p>
    <w:p w14:paraId="5A3895C2" w14:textId="77777777" w:rsidR="001A4860" w:rsidRPr="001A4860" w:rsidRDefault="001A4860" w:rsidP="001A4860">
      <w:pPr>
        <w:rPr>
          <w:rFonts w:eastAsia="Calibri"/>
          <w:szCs w:val="24"/>
          <w:lang w:val="es-ES"/>
        </w:rPr>
      </w:pPr>
    </w:p>
    <w:p w14:paraId="47D6140F"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60" w:name="_Toc310550081"/>
      <w:bookmarkStart w:id="1361" w:name="_Toc505613781"/>
      <w:r w:rsidRPr="001A4860">
        <w:rPr>
          <w:b/>
          <w:bCs/>
          <w:color w:val="000000"/>
          <w:szCs w:val="24"/>
          <w:lang w:val="es-ES"/>
        </w:rPr>
        <w:t>Rectificación o biselado de los extremos</w:t>
      </w:r>
      <w:bookmarkEnd w:id="1360"/>
      <w:bookmarkEnd w:id="1361"/>
    </w:p>
    <w:p w14:paraId="7ACC6274" w14:textId="77777777" w:rsidR="001A4860" w:rsidRPr="001A4860" w:rsidRDefault="001A4860" w:rsidP="001A4860">
      <w:pPr>
        <w:rPr>
          <w:rFonts w:eastAsia="Calibri"/>
          <w:szCs w:val="24"/>
          <w:lang w:val="es-ES"/>
        </w:rPr>
      </w:pPr>
      <w:r w:rsidRPr="001A4860">
        <w:rPr>
          <w:rFonts w:eastAsia="Calibri"/>
          <w:szCs w:val="24"/>
          <w:lang w:val="es-ES"/>
        </w:rPr>
        <w:t>El corte deja una sección o borde vivo, que debe ser preparada para recibir la junta o unión de las tuberías. La rectificación o biselado de los tubos puede hacerse a mano, o con máquinas biseladoras especiales.</w:t>
      </w:r>
    </w:p>
    <w:p w14:paraId="0DEA08A2" w14:textId="77777777" w:rsidR="001A4860" w:rsidRPr="001A4860" w:rsidRDefault="001A4860" w:rsidP="001A4860">
      <w:pPr>
        <w:rPr>
          <w:rFonts w:eastAsia="Calibri"/>
          <w:szCs w:val="24"/>
          <w:lang w:val="es-ES"/>
        </w:rPr>
      </w:pPr>
    </w:p>
    <w:p w14:paraId="6659F881" w14:textId="77777777" w:rsidR="001A4860" w:rsidRPr="001A4860" w:rsidRDefault="001A4860" w:rsidP="001A4860">
      <w:pPr>
        <w:rPr>
          <w:rFonts w:eastAsia="Calibri"/>
          <w:szCs w:val="24"/>
          <w:lang w:val="es-ES"/>
        </w:rPr>
      </w:pPr>
      <w:r w:rsidRPr="001A4860">
        <w:rPr>
          <w:rFonts w:eastAsia="Calibri"/>
          <w:szCs w:val="24"/>
          <w:lang w:val="es-ES"/>
        </w:rPr>
        <w:t>Cuando se trate de tuberías de hierro galvanizado, la rectificación del borde dejado por el corte, puede ser hecha con un esmeril. Las ralladuras longitudinales o circunferenciales podrían comprometer la estanqueidad de la junta.</w:t>
      </w:r>
      <w:bookmarkStart w:id="1362" w:name="_Toc310550082"/>
    </w:p>
    <w:p w14:paraId="249F5BE9" w14:textId="77777777" w:rsidR="001A4860" w:rsidRPr="001A4860" w:rsidRDefault="001A4860" w:rsidP="001A4860">
      <w:pPr>
        <w:rPr>
          <w:rFonts w:eastAsia="Calibri"/>
          <w:szCs w:val="24"/>
          <w:lang w:val="es-ES"/>
        </w:rPr>
      </w:pPr>
    </w:p>
    <w:p w14:paraId="1095B477" w14:textId="77777777" w:rsidR="001A4860" w:rsidRPr="001A4860" w:rsidRDefault="001A4860" w:rsidP="003B68DB">
      <w:pPr>
        <w:keepNext/>
        <w:keepLines/>
        <w:numPr>
          <w:ilvl w:val="1"/>
          <w:numId w:val="198"/>
        </w:numPr>
        <w:spacing w:after="160" w:line="360" w:lineRule="auto"/>
        <w:ind w:left="0" w:firstLine="0"/>
        <w:jc w:val="left"/>
        <w:outlineLvl w:val="2"/>
        <w:rPr>
          <w:b/>
          <w:bCs/>
          <w:color w:val="000000"/>
          <w:szCs w:val="24"/>
          <w:lang w:val="es-ES"/>
        </w:rPr>
      </w:pPr>
      <w:bookmarkStart w:id="1363" w:name="_Toc505613782"/>
      <w:r w:rsidRPr="001A4860">
        <w:rPr>
          <w:b/>
          <w:bCs/>
          <w:color w:val="000000"/>
          <w:szCs w:val="24"/>
          <w:lang w:val="es-ES"/>
        </w:rPr>
        <w:t>Baldeo y remoción de las aguas</w:t>
      </w:r>
      <w:bookmarkEnd w:id="1362"/>
      <w:bookmarkEnd w:id="1363"/>
    </w:p>
    <w:p w14:paraId="5A390342" w14:textId="77777777" w:rsidR="001A4860" w:rsidRPr="001A4860" w:rsidRDefault="001A4860" w:rsidP="001A4860">
      <w:pPr>
        <w:rPr>
          <w:rFonts w:eastAsia="Calibri"/>
          <w:szCs w:val="24"/>
          <w:lang w:val="es-ES"/>
        </w:rPr>
      </w:pPr>
      <w:r w:rsidRPr="001A4860">
        <w:rPr>
          <w:rFonts w:eastAsia="Calibri"/>
          <w:szCs w:val="24"/>
          <w:lang w:val="es-ES"/>
        </w:rPr>
        <w:t>El término "Baldeo de las Aguas", se utiliza para identificar la acción de evacuar las aguas que recibe la excavación, al efectuar cortes en las tuberías en servicio.</w:t>
      </w:r>
    </w:p>
    <w:p w14:paraId="583EE67F" w14:textId="77777777" w:rsidR="001A4860" w:rsidRPr="001A4860" w:rsidRDefault="001A4860" w:rsidP="001A4860">
      <w:pPr>
        <w:rPr>
          <w:rFonts w:eastAsia="Calibri"/>
          <w:szCs w:val="24"/>
          <w:lang w:val="es-ES"/>
        </w:rPr>
      </w:pPr>
    </w:p>
    <w:p w14:paraId="001D8915" w14:textId="77777777" w:rsidR="001A4860" w:rsidRPr="001A4860" w:rsidRDefault="001A4860" w:rsidP="001A4860">
      <w:pPr>
        <w:rPr>
          <w:rFonts w:eastAsia="Calibri"/>
          <w:szCs w:val="24"/>
          <w:lang w:val="es-ES"/>
        </w:rPr>
      </w:pPr>
      <w:r w:rsidRPr="001A4860">
        <w:rPr>
          <w:rFonts w:eastAsia="Calibri"/>
          <w:szCs w:val="24"/>
          <w:lang w:val="es-ES"/>
        </w:rPr>
        <w:t>No se permitirá que estas aguas aneguen las zanjas, al efectuar cambio de accesorios o tramos de tuberías, con el objeto de evitar contaminaciones que puedan originar las aguas descargadas por los tubos seccionados. Se debe planear la extracción del agua de las tuberías en estos cortes, tomando en cuenta las siguientes indicaciones:</w:t>
      </w:r>
    </w:p>
    <w:p w14:paraId="0820902C" w14:textId="77777777" w:rsidR="001A4860" w:rsidRPr="001A4860" w:rsidRDefault="001A4860" w:rsidP="001A4860">
      <w:pPr>
        <w:rPr>
          <w:rFonts w:eastAsia="Calibri"/>
          <w:szCs w:val="24"/>
          <w:lang w:val="es-ES"/>
        </w:rPr>
      </w:pPr>
    </w:p>
    <w:p w14:paraId="64479B89" w14:textId="77777777" w:rsidR="001A4860" w:rsidRPr="001A4860" w:rsidRDefault="001A4860" w:rsidP="003B68DB">
      <w:pPr>
        <w:numPr>
          <w:ilvl w:val="0"/>
          <w:numId w:val="189"/>
        </w:numPr>
        <w:spacing w:after="160" w:line="259" w:lineRule="auto"/>
        <w:ind w:left="0" w:firstLine="0"/>
        <w:jc w:val="left"/>
        <w:rPr>
          <w:rFonts w:eastAsia="Calibri"/>
          <w:szCs w:val="24"/>
          <w:lang w:val="es-ES"/>
        </w:rPr>
      </w:pPr>
      <w:r w:rsidRPr="001A4860">
        <w:rPr>
          <w:rFonts w:eastAsia="Calibri"/>
          <w:szCs w:val="24"/>
          <w:lang w:val="es-ES"/>
        </w:rPr>
        <w:t xml:space="preserve">Haciendo más amplio y hondo el fondo de la zanja en el lugar del corte con el objeto de baldear o utilizar una motobomba achicadora, que pueda extraer el agua e impedir que su nivel </w:t>
      </w:r>
      <w:r w:rsidRPr="001A4860">
        <w:rPr>
          <w:rFonts w:eastAsia="Calibri"/>
          <w:szCs w:val="24"/>
          <w:lang w:val="es-ES"/>
        </w:rPr>
        <w:lastRenderedPageBreak/>
        <w:t>llegue al fondo de la tubería existente, o a utilizarse para hacer la unión o reparación que se requiera.</w:t>
      </w:r>
    </w:p>
    <w:p w14:paraId="2A26BDCA" w14:textId="77777777" w:rsidR="001A4860" w:rsidRPr="001A4860" w:rsidRDefault="001A4860" w:rsidP="001A4860">
      <w:pPr>
        <w:rPr>
          <w:rFonts w:eastAsia="Calibri"/>
          <w:szCs w:val="24"/>
          <w:lang w:val="es-ES"/>
        </w:rPr>
      </w:pPr>
    </w:p>
    <w:p w14:paraId="2B4BAF92"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364" w:name="_Toc310550083"/>
      <w:bookmarkStart w:id="1365" w:name="_Toc406009607"/>
      <w:bookmarkStart w:id="1366" w:name="_Toc406009807"/>
      <w:bookmarkStart w:id="1367" w:name="_Toc406010526"/>
      <w:bookmarkStart w:id="1368" w:name="_Toc485034183"/>
      <w:bookmarkStart w:id="1369" w:name="_Toc505613783"/>
      <w:r w:rsidRPr="001A4860">
        <w:rPr>
          <w:b/>
          <w:color w:val="000000"/>
          <w:szCs w:val="24"/>
          <w:lang w:val="es-ES"/>
        </w:rPr>
        <w:t>Instalación de las tuberías</w:t>
      </w:r>
      <w:bookmarkEnd w:id="1364"/>
      <w:bookmarkEnd w:id="1365"/>
      <w:bookmarkEnd w:id="1366"/>
      <w:bookmarkEnd w:id="1367"/>
      <w:bookmarkEnd w:id="1368"/>
      <w:bookmarkEnd w:id="1369"/>
    </w:p>
    <w:p w14:paraId="119B4EEE" w14:textId="77777777" w:rsidR="001A4860" w:rsidRPr="001A4860" w:rsidRDefault="001A4860" w:rsidP="001A4860">
      <w:pPr>
        <w:rPr>
          <w:rFonts w:eastAsia="Calibri"/>
          <w:szCs w:val="24"/>
          <w:lang w:val="es-ES"/>
        </w:rPr>
      </w:pPr>
      <w:r w:rsidRPr="001A4860">
        <w:rPr>
          <w:rFonts w:eastAsia="Calibri"/>
          <w:szCs w:val="24"/>
          <w:lang w:val="es-ES"/>
        </w:rPr>
        <w:t>Antes de instalarse, los tubos serán alineados a un lado y a lo largo de la zanja y, si no hay inconvenientes, del lado opuesto al material de excavación, protegiéndose del tráfico y de la maquinaria pesada asignada a la Obra.</w:t>
      </w:r>
    </w:p>
    <w:p w14:paraId="0E2FC09A" w14:textId="77777777" w:rsidR="001A4860" w:rsidRPr="001A4860" w:rsidRDefault="001A4860" w:rsidP="001A4860">
      <w:pPr>
        <w:rPr>
          <w:rFonts w:eastAsia="Calibri"/>
          <w:szCs w:val="24"/>
          <w:lang w:val="es-ES"/>
        </w:rPr>
      </w:pPr>
    </w:p>
    <w:p w14:paraId="58FC9A01" w14:textId="77777777" w:rsidR="001A4860" w:rsidRPr="001A4860" w:rsidRDefault="001A4860" w:rsidP="001A4860">
      <w:pPr>
        <w:rPr>
          <w:rFonts w:eastAsia="Calibri"/>
          <w:szCs w:val="24"/>
          <w:lang w:val="es-ES"/>
        </w:rPr>
      </w:pPr>
      <w:r w:rsidRPr="001A4860">
        <w:rPr>
          <w:rFonts w:eastAsia="Calibri"/>
          <w:szCs w:val="24"/>
          <w:lang w:val="es-ES"/>
        </w:rPr>
        <w:t>Se deben usar herramientas y equipos apropiados para manejar e instalar los tubos y accesorios, en una forma segura y satisfactoria. Siguiendo en general las recomendaciones del fabricante, en el manejo debe evitarse el uso de métodos bruscos, tal como dejar caer los tubos.</w:t>
      </w:r>
    </w:p>
    <w:p w14:paraId="6DACEBD5" w14:textId="77777777" w:rsidR="001A4860" w:rsidRPr="001A4860" w:rsidRDefault="001A4860" w:rsidP="001A4860">
      <w:pPr>
        <w:rPr>
          <w:rFonts w:eastAsia="Calibri"/>
          <w:szCs w:val="24"/>
          <w:lang w:val="es-ES"/>
        </w:rPr>
      </w:pPr>
    </w:p>
    <w:p w14:paraId="1DE0318F" w14:textId="77777777" w:rsidR="001A4860" w:rsidRPr="001A4860" w:rsidRDefault="001A4860" w:rsidP="001A4860">
      <w:pPr>
        <w:rPr>
          <w:rFonts w:eastAsia="Calibri"/>
          <w:szCs w:val="24"/>
          <w:lang w:val="es-ES"/>
        </w:rPr>
      </w:pPr>
      <w:r w:rsidRPr="001A4860">
        <w:rPr>
          <w:rFonts w:eastAsia="Calibri"/>
          <w:szCs w:val="24"/>
          <w:lang w:val="es-ES"/>
        </w:rPr>
        <w:t>El almacenamiento de la tubería debe ser hecho sobre suelo llano, exento de piedras, y de preferencia bajo cubierta y a la sombra.</w:t>
      </w:r>
    </w:p>
    <w:p w14:paraId="3CD9F312" w14:textId="77777777" w:rsidR="001A4860" w:rsidRPr="001A4860" w:rsidRDefault="001A4860" w:rsidP="001A4860">
      <w:pPr>
        <w:rPr>
          <w:rFonts w:eastAsia="Calibri"/>
          <w:szCs w:val="24"/>
          <w:lang w:val="es-ES"/>
        </w:rPr>
      </w:pPr>
    </w:p>
    <w:p w14:paraId="104ED541" w14:textId="77777777" w:rsidR="001A4860" w:rsidRPr="001A4860" w:rsidRDefault="001A4860" w:rsidP="001A4860">
      <w:pPr>
        <w:rPr>
          <w:rFonts w:eastAsia="Calibri"/>
          <w:szCs w:val="24"/>
          <w:lang w:val="es-ES"/>
        </w:rPr>
      </w:pPr>
      <w:r w:rsidRPr="001A4860">
        <w:rPr>
          <w:rFonts w:eastAsia="Calibri"/>
          <w:szCs w:val="24"/>
          <w:lang w:val="es-ES"/>
        </w:rPr>
        <w:t xml:space="preserve">Se revisará el interior de los tubos a instalarse, con el objeto de verificar su limpieza. Los accesorios a usarse en la tubería, serán igualmente revisados y sometidos a una limpieza general. </w:t>
      </w:r>
    </w:p>
    <w:p w14:paraId="3B57DEAD" w14:textId="77777777" w:rsidR="001A4860" w:rsidRPr="001A4860" w:rsidRDefault="001A4860" w:rsidP="001A4860">
      <w:pPr>
        <w:rPr>
          <w:rFonts w:eastAsia="Calibri"/>
          <w:szCs w:val="24"/>
          <w:lang w:val="es-ES"/>
        </w:rPr>
      </w:pPr>
    </w:p>
    <w:p w14:paraId="3506784D" w14:textId="77777777" w:rsidR="001A4860" w:rsidRPr="001A4860" w:rsidRDefault="001A4860" w:rsidP="001A4860">
      <w:pPr>
        <w:rPr>
          <w:rFonts w:eastAsia="Calibri"/>
          <w:szCs w:val="24"/>
          <w:lang w:val="es-ES"/>
        </w:rPr>
      </w:pPr>
      <w:r w:rsidRPr="001A4860">
        <w:rPr>
          <w:rFonts w:eastAsia="Calibri"/>
          <w:szCs w:val="24"/>
          <w:lang w:val="es-ES"/>
        </w:rPr>
        <w:t>La rasante de los tubos y accesorios, deberá ser terminada cuidadosamente y se formará en ella una especie de media caña a fin de que una cuarta parte de la circunferencia de cada tubo y en toda su longitud quede en contacto con terreno firme y además se proveerá de una excavación especial para alojar las campanas. Los extremos de los tubos que ya hayan sido instalados, serán protegidos con tapones de material aprobado por El Ingeniero, para evitar que tierra y otras suciedades penetren en los tubos.</w:t>
      </w:r>
    </w:p>
    <w:p w14:paraId="5441F990" w14:textId="77777777" w:rsidR="001A4860" w:rsidRPr="001A4860" w:rsidRDefault="001A4860" w:rsidP="001A4860">
      <w:pPr>
        <w:rPr>
          <w:rFonts w:eastAsia="Calibri"/>
          <w:szCs w:val="24"/>
          <w:lang w:val="es-ES"/>
        </w:rPr>
      </w:pPr>
    </w:p>
    <w:p w14:paraId="020FF01E" w14:textId="77777777" w:rsidR="001A4860" w:rsidRPr="001A4860" w:rsidRDefault="001A4860" w:rsidP="001A4860">
      <w:pPr>
        <w:rPr>
          <w:rFonts w:eastAsia="Calibri"/>
          <w:szCs w:val="24"/>
          <w:lang w:val="es-ES"/>
        </w:rPr>
      </w:pPr>
      <w:r w:rsidRPr="001A4860">
        <w:rPr>
          <w:rFonts w:eastAsia="Calibri"/>
          <w:szCs w:val="24"/>
          <w:lang w:val="es-ES"/>
        </w:rPr>
        <w:t xml:space="preserve">Cuando el zanjeo, sea en forma de curva horizontal, con ángulos de deflexiones menores e igual a 3° y radios de curvas muy grandes, la instalación podrá hacerse sin el uso de codos, aprovechando las desviaciones angulares permisibles que cada junta puede alcanzar, la cual será la especificada por el fabricante de la tubería. Conviene recordar que el montaje se realiza a partir de tubos perfectamente alineados y deberá estar previamente autorizado por el Supervisor. </w:t>
      </w:r>
    </w:p>
    <w:p w14:paraId="387B6A78" w14:textId="77777777" w:rsidR="001A4860" w:rsidRPr="001A4860" w:rsidRDefault="001A4860" w:rsidP="001A4860">
      <w:pPr>
        <w:rPr>
          <w:rFonts w:eastAsia="Calibri"/>
          <w:szCs w:val="24"/>
          <w:lang w:val="es-ES"/>
        </w:rPr>
      </w:pPr>
    </w:p>
    <w:p w14:paraId="71B04094" w14:textId="77777777" w:rsidR="001A4860" w:rsidRPr="001A4860" w:rsidRDefault="001A4860" w:rsidP="001A4860">
      <w:pPr>
        <w:rPr>
          <w:rFonts w:eastAsia="Calibri"/>
          <w:szCs w:val="24"/>
          <w:lang w:val="es-ES"/>
        </w:rPr>
      </w:pPr>
      <w:r w:rsidRPr="001A4860">
        <w:rPr>
          <w:rFonts w:eastAsia="Calibri"/>
          <w:szCs w:val="24"/>
          <w:lang w:val="es-ES"/>
        </w:rPr>
        <w:t>La desviación sólo debe realizarse, después que el montaje de la junta se encuentre totalmente terminado.</w:t>
      </w:r>
    </w:p>
    <w:p w14:paraId="11AA6D72" w14:textId="77777777" w:rsidR="001A4860" w:rsidRPr="001A4860" w:rsidRDefault="001A4860" w:rsidP="001A4860">
      <w:pPr>
        <w:rPr>
          <w:rFonts w:eastAsia="Calibri"/>
          <w:szCs w:val="24"/>
          <w:lang w:val="es-ES"/>
        </w:rPr>
      </w:pPr>
    </w:p>
    <w:p w14:paraId="523575AC" w14:textId="77777777" w:rsidR="001A4860" w:rsidRPr="001A4860" w:rsidRDefault="001A4860" w:rsidP="001A4860">
      <w:pPr>
        <w:rPr>
          <w:rFonts w:eastAsia="Calibri"/>
          <w:szCs w:val="24"/>
          <w:lang w:val="es-ES"/>
        </w:rPr>
      </w:pPr>
      <w:r w:rsidRPr="001A4860">
        <w:rPr>
          <w:rFonts w:eastAsia="Calibri"/>
          <w:szCs w:val="24"/>
          <w:lang w:val="es-ES"/>
        </w:rPr>
        <w:t>En las zanjas con fuertes declives, será necesario anclar o asegurar los tubos que se van instalando, previendo que por su propio peso puedan deslizarse u originar defectos en sus uniones.</w:t>
      </w:r>
    </w:p>
    <w:p w14:paraId="67F0175B" w14:textId="77777777" w:rsidR="001A4860" w:rsidRPr="001A4860" w:rsidRDefault="001A4860" w:rsidP="001A4860">
      <w:pPr>
        <w:rPr>
          <w:rFonts w:eastAsia="Calibri"/>
          <w:b/>
          <w:iCs/>
          <w:szCs w:val="24"/>
          <w:lang w:val="es-ES"/>
        </w:rPr>
      </w:pPr>
    </w:p>
    <w:p w14:paraId="00BCF007"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370" w:name="_Toc310550084"/>
      <w:bookmarkStart w:id="1371" w:name="_Toc406009608"/>
      <w:bookmarkStart w:id="1372" w:name="_Toc406009808"/>
      <w:bookmarkStart w:id="1373" w:name="_Toc406010527"/>
      <w:bookmarkStart w:id="1374" w:name="_Toc485034184"/>
      <w:bookmarkStart w:id="1375" w:name="_Toc505613784"/>
      <w:r w:rsidRPr="001A4860">
        <w:rPr>
          <w:b/>
          <w:color w:val="000000"/>
          <w:szCs w:val="24"/>
          <w:lang w:val="es-ES"/>
        </w:rPr>
        <w:t>Instalación de válvulas y accesorios</w:t>
      </w:r>
      <w:bookmarkEnd w:id="1370"/>
      <w:bookmarkEnd w:id="1371"/>
      <w:bookmarkEnd w:id="1372"/>
      <w:bookmarkEnd w:id="1373"/>
      <w:bookmarkEnd w:id="1374"/>
      <w:bookmarkEnd w:id="1375"/>
    </w:p>
    <w:p w14:paraId="6B50FA95" w14:textId="77777777" w:rsidR="001A4860" w:rsidRPr="001A4860" w:rsidRDefault="001A4860" w:rsidP="001A4860">
      <w:pPr>
        <w:rPr>
          <w:rFonts w:eastAsia="Calibri"/>
          <w:szCs w:val="24"/>
          <w:lang w:val="es-ES"/>
        </w:rPr>
      </w:pPr>
      <w:r w:rsidRPr="001A4860">
        <w:rPr>
          <w:rFonts w:eastAsia="Calibri"/>
          <w:szCs w:val="24"/>
          <w:lang w:val="es-ES"/>
        </w:rPr>
        <w:t>Para instalaciones de válvulas, en lo que corresponde a excavación, cortes en la tubería y baldeo de aguas deben seguirse los pasos explicados para estos conceptos en los artículos precedentes. Antes de proceder con la instalación de las válvulas y cualquier otro accesorio, El Contratista los examinará cuidadosamente.  El accesorio encontrado defectuoso será separado para su correcta reparación o para su abandono.</w:t>
      </w:r>
    </w:p>
    <w:p w14:paraId="1CAA0F42" w14:textId="77777777" w:rsidR="001A4860" w:rsidRPr="001A4860" w:rsidRDefault="001A4860" w:rsidP="001A4860">
      <w:pPr>
        <w:rPr>
          <w:rFonts w:eastAsia="Calibri"/>
          <w:szCs w:val="24"/>
          <w:lang w:val="es-ES"/>
        </w:rPr>
      </w:pPr>
    </w:p>
    <w:p w14:paraId="43180FFF" w14:textId="77777777" w:rsidR="001A4860" w:rsidRPr="001A4860" w:rsidRDefault="001A4860" w:rsidP="001A4860">
      <w:pPr>
        <w:rPr>
          <w:rFonts w:eastAsia="Calibri"/>
          <w:szCs w:val="24"/>
          <w:lang w:val="es-ES"/>
        </w:rPr>
      </w:pPr>
      <w:r w:rsidRPr="001A4860">
        <w:rPr>
          <w:rFonts w:eastAsia="Calibri"/>
          <w:szCs w:val="24"/>
          <w:lang w:val="es-ES"/>
        </w:rPr>
        <w:t>Las válvulas serán inspeccionadas para comprobar la dirección de apertura, libertad de operación, la fijeza de los pernos, la limpieza de las puertas de la válvula y especialmente el asiento, daños por el manejo y grietas. Las válvulas deberán ser instaladas en los lugares fijados por los planos o en los sitios indicados por EL supervisor cada válvula deberá ser instalada de modo que su eje quede completamente vertical. Su instalación completa deberá comprender caja protectora, bloque de reacción y anclaje.</w:t>
      </w:r>
    </w:p>
    <w:p w14:paraId="0D2A8C3F" w14:textId="77777777" w:rsidR="001A4860" w:rsidRPr="001A4860" w:rsidRDefault="001A4860" w:rsidP="001A4860">
      <w:pPr>
        <w:rPr>
          <w:rFonts w:eastAsia="Calibri"/>
          <w:szCs w:val="24"/>
          <w:lang w:val="es-ES"/>
        </w:rPr>
      </w:pPr>
    </w:p>
    <w:p w14:paraId="345301DD" w14:textId="77777777" w:rsidR="001A4860" w:rsidRPr="001A4860" w:rsidRDefault="001A4860" w:rsidP="001A4860">
      <w:pPr>
        <w:rPr>
          <w:rFonts w:eastAsia="Calibri"/>
          <w:szCs w:val="24"/>
          <w:lang w:val="es-ES"/>
        </w:rPr>
      </w:pPr>
      <w:r w:rsidRPr="001A4860">
        <w:rPr>
          <w:rFonts w:eastAsia="Calibri"/>
          <w:szCs w:val="24"/>
          <w:lang w:val="es-ES"/>
        </w:rPr>
        <w:t>Cuando se trate de accesorios y válvulas con extremos de brida, deberán usarse longitudes cortas de tubería en cada uno de los extremos.  El objeto de esto es dar flexibilidad a la instalación. Cuando se tengan uniones flexibles no es necesario el uso de estas piezas cortas.</w:t>
      </w:r>
    </w:p>
    <w:p w14:paraId="6F7B3EDE" w14:textId="77777777" w:rsidR="001A4860" w:rsidRPr="001A4860" w:rsidRDefault="001A4860" w:rsidP="001A4860">
      <w:pPr>
        <w:rPr>
          <w:rFonts w:eastAsia="Calibri"/>
          <w:szCs w:val="24"/>
          <w:lang w:val="es-ES"/>
        </w:rPr>
      </w:pPr>
    </w:p>
    <w:p w14:paraId="6627C4B4" w14:textId="77777777" w:rsidR="001A4860" w:rsidRPr="001A4860" w:rsidRDefault="001A4860" w:rsidP="001A4860">
      <w:pPr>
        <w:rPr>
          <w:rFonts w:eastAsia="Calibri"/>
          <w:szCs w:val="24"/>
          <w:lang w:val="es-ES"/>
        </w:rPr>
      </w:pPr>
      <w:r w:rsidRPr="001A4860">
        <w:rPr>
          <w:rFonts w:eastAsia="Calibri"/>
          <w:szCs w:val="24"/>
          <w:lang w:val="es-ES"/>
        </w:rPr>
        <w:t>se instalará una caja de válvulas por cada válvula a ser instalada, sea ésta de compuerta o de mariposa, válvula de aire-vacío y válvula automática reguladora de presión. Todas las cajas de válvulas deberán ser colocadas de manera que no transmitan impactos o esfuerzos a la válvula, y deberán ser centradas y colocadas a plomo sobre la tuerca de operación de las válvulas. El terreno de la zanja sobre el cual habrán de descansar las cajas de válvulas, deberá estar perfectamente compactado para evitar asentamientos. Las cajas deberán armarse en forma segura, y deberán ser colocadas en forma tal, que la tapa quede a ras con la superficie del terreno natural o de la carpeta de rodamiento.</w:t>
      </w:r>
    </w:p>
    <w:p w14:paraId="1EB2298D" w14:textId="77777777" w:rsidR="001A4860" w:rsidRPr="001A4860" w:rsidRDefault="001A4860" w:rsidP="001A4860">
      <w:pPr>
        <w:widowControl w:val="0"/>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autoSpaceDE w:val="0"/>
        <w:autoSpaceDN w:val="0"/>
        <w:adjustRightInd w:val="0"/>
        <w:rPr>
          <w:rFonts w:eastAsia="Calibri"/>
          <w:iCs/>
          <w:szCs w:val="24"/>
          <w:lang w:val="es-ES"/>
        </w:rPr>
      </w:pPr>
    </w:p>
    <w:p w14:paraId="33F0B8E0" w14:textId="77777777" w:rsidR="001A4860" w:rsidRPr="001A4860" w:rsidRDefault="001A4860" w:rsidP="003B68DB">
      <w:pPr>
        <w:keepNext/>
        <w:numPr>
          <w:ilvl w:val="0"/>
          <w:numId w:val="194"/>
        </w:numPr>
        <w:spacing w:after="160" w:line="360" w:lineRule="auto"/>
        <w:ind w:left="0" w:firstLine="0"/>
        <w:jc w:val="left"/>
        <w:outlineLvl w:val="1"/>
        <w:rPr>
          <w:b/>
          <w:bCs/>
          <w:spacing w:val="-2"/>
          <w:szCs w:val="24"/>
          <w:lang w:val="es-NI"/>
        </w:rPr>
      </w:pPr>
      <w:bookmarkStart w:id="1376" w:name="_Toc369787251"/>
      <w:r w:rsidRPr="001A4860">
        <w:rPr>
          <w:b/>
          <w:bCs/>
          <w:spacing w:val="-2"/>
          <w:szCs w:val="24"/>
          <w:lang w:val="es-ES"/>
        </w:rPr>
        <w:t>Cruces de Cauces</w:t>
      </w:r>
      <w:bookmarkEnd w:id="1376"/>
      <w:r w:rsidRPr="001A4860">
        <w:rPr>
          <w:b/>
          <w:bCs/>
          <w:spacing w:val="-2"/>
          <w:szCs w:val="24"/>
          <w:lang w:val="es-ES"/>
        </w:rPr>
        <w:t xml:space="preserve"> o Río</w:t>
      </w:r>
    </w:p>
    <w:p w14:paraId="34F13B1F" w14:textId="77777777" w:rsidR="001A4860" w:rsidRPr="001A4860" w:rsidRDefault="001A4860" w:rsidP="001A4860">
      <w:pPr>
        <w:spacing w:after="240" w:line="259" w:lineRule="auto"/>
        <w:rPr>
          <w:rFonts w:eastAsia="Calibri"/>
          <w:szCs w:val="24"/>
          <w:lang w:val="es-ES"/>
        </w:rPr>
      </w:pPr>
      <w:r w:rsidRPr="001A4860">
        <w:rPr>
          <w:rFonts w:eastAsia="Calibri"/>
          <w:szCs w:val="24"/>
          <w:lang w:val="es-ES"/>
        </w:rPr>
        <w:t xml:space="preserve">Cruces de cauces se harán en los sitios indicados en los planos y de conformidad con los detalles en ellos indicados. El diámetro de la tubería a instalar bajo el fondo de cauces será conforme a la tubería que entra y de material galvanizado y recubrimiento de concreto 3000 psi de acuerdo con los detalles que aparecen en los planos. El pago de la tubería que actúa como forro y el bloque de concreto se efectuará bajo el concepto de Cruce de Cauces. </w:t>
      </w:r>
    </w:p>
    <w:p w14:paraId="2575F49F" w14:textId="77777777" w:rsidR="001A4860" w:rsidRPr="001A4860" w:rsidRDefault="001A4860" w:rsidP="003B68DB">
      <w:pPr>
        <w:keepNext/>
        <w:numPr>
          <w:ilvl w:val="0"/>
          <w:numId w:val="194"/>
        </w:numPr>
        <w:spacing w:after="160" w:line="360" w:lineRule="auto"/>
        <w:ind w:left="0" w:firstLine="0"/>
        <w:jc w:val="left"/>
        <w:outlineLvl w:val="1"/>
        <w:rPr>
          <w:b/>
          <w:color w:val="2E74B5"/>
          <w:szCs w:val="24"/>
          <w:lang w:val="es-ES"/>
        </w:rPr>
      </w:pPr>
      <w:bookmarkStart w:id="1377" w:name="_Toc310550085"/>
      <w:bookmarkStart w:id="1378" w:name="_Toc406009609"/>
      <w:bookmarkStart w:id="1379" w:name="_Toc406009809"/>
      <w:bookmarkStart w:id="1380" w:name="_Toc406010528"/>
      <w:bookmarkStart w:id="1381" w:name="_Toc485034185"/>
      <w:bookmarkStart w:id="1382" w:name="_Toc505613785"/>
      <w:r w:rsidRPr="001A4860">
        <w:rPr>
          <w:b/>
          <w:color w:val="000000"/>
          <w:szCs w:val="24"/>
          <w:lang w:val="es-ES"/>
        </w:rPr>
        <w:t>Anclajes y bloques de reacción</w:t>
      </w:r>
      <w:bookmarkEnd w:id="1377"/>
      <w:bookmarkEnd w:id="1378"/>
      <w:bookmarkEnd w:id="1379"/>
      <w:bookmarkEnd w:id="1380"/>
      <w:bookmarkEnd w:id="1381"/>
      <w:bookmarkEnd w:id="1382"/>
    </w:p>
    <w:p w14:paraId="393641DE" w14:textId="77777777" w:rsidR="001A4860" w:rsidRPr="001A4860" w:rsidRDefault="001A4860" w:rsidP="001A4860">
      <w:pPr>
        <w:rPr>
          <w:rFonts w:eastAsia="Calibri"/>
          <w:szCs w:val="24"/>
          <w:lang w:val="es-ES"/>
        </w:rPr>
      </w:pPr>
      <w:r w:rsidRPr="001A4860">
        <w:rPr>
          <w:rFonts w:eastAsia="Calibri"/>
          <w:szCs w:val="24"/>
          <w:lang w:val="es-ES"/>
        </w:rPr>
        <w:t>Accesorios en general como Tees, Reductores, Codos, Tapones, Válvulas, etc., serán afianzados por medio de anclajes y bloques de reacción, a fin de impedir su desplazamiento bajo la presión del agua.  Estos bloques son de concreto y deben extenderse hasta el suelo virgen de la pared de la zanja y opuesto a la dirección de empuje.  La forma de los bloques dependerá del tipo de accesorios que se trata de afianzar. En los planos de detalles se muestran la forma y dimensiones de los bloques para cada accesorio en particular. Estas dimensiones suponen un asiento sobre terreno firme. En terreno poco consistente estas dimensiones deberán aumentarse. Es conveniente y necesario que el bloque no cubra las campanas o las uniones de los accesorios.</w:t>
      </w:r>
    </w:p>
    <w:p w14:paraId="7189ADC6" w14:textId="77777777" w:rsidR="001A4860" w:rsidRPr="001A4860" w:rsidRDefault="001A4860" w:rsidP="001A4860">
      <w:pPr>
        <w:rPr>
          <w:rFonts w:eastAsia="Calibri"/>
          <w:szCs w:val="24"/>
          <w:lang w:val="es-ES"/>
        </w:rPr>
      </w:pPr>
    </w:p>
    <w:p w14:paraId="49DC73C0" w14:textId="77777777" w:rsidR="001A4860" w:rsidRPr="001A4860" w:rsidRDefault="001A4860" w:rsidP="001A4860">
      <w:pPr>
        <w:rPr>
          <w:rFonts w:eastAsia="Calibri"/>
          <w:szCs w:val="24"/>
          <w:lang w:val="es-ES"/>
        </w:rPr>
      </w:pPr>
      <w:r w:rsidRPr="001A4860">
        <w:rPr>
          <w:rFonts w:eastAsia="Calibri"/>
          <w:szCs w:val="24"/>
          <w:lang w:val="es-ES"/>
        </w:rPr>
        <w:t xml:space="preserve">Cuando una unión sé deflecta para formar una curva vertical, se presenta un empuje hacia arriba o hacia abajo, según la deflexión sea en uno u otro sentido. Si el empuje es hacia arriba, el peso del relleno deberá ser capaz de resistirlo; en caso contrario, será necesario usar como parte del relleno un material más pesado (balastro o concreto.). Si la deflexión se ha hecho en una curva horizontal, el empuje se presentará hacia afuera, y generalmente puede ser resistido apisonando muy bien el </w:t>
      </w:r>
      <w:r w:rsidRPr="001A4860">
        <w:rPr>
          <w:rFonts w:eastAsia="Calibri"/>
          <w:szCs w:val="24"/>
          <w:lang w:val="es-ES"/>
        </w:rPr>
        <w:lastRenderedPageBreak/>
        <w:t>material de relleno, entre el tubo y la pared de la zanja. Sin embargo, cuando la calidad del terreno es mala y las presiones altas, puede ser necesario construir bloques de anclajes. Estos han de construirse entre el tubo y la pared de la zanja, nunca en la unión.</w:t>
      </w:r>
    </w:p>
    <w:p w14:paraId="2951591B" w14:textId="77777777" w:rsidR="001A4860" w:rsidRPr="001A4860" w:rsidRDefault="001A4860" w:rsidP="001A4860">
      <w:pPr>
        <w:rPr>
          <w:rFonts w:eastAsia="Calibri"/>
          <w:szCs w:val="24"/>
          <w:lang w:val="es-ES"/>
        </w:rPr>
      </w:pPr>
    </w:p>
    <w:p w14:paraId="30D417CF" w14:textId="77777777" w:rsidR="001A4860" w:rsidRPr="001A4860" w:rsidRDefault="001A4860" w:rsidP="001A4860">
      <w:pPr>
        <w:rPr>
          <w:rFonts w:eastAsia="Calibri"/>
          <w:szCs w:val="24"/>
          <w:lang w:val="es-ES"/>
        </w:rPr>
      </w:pPr>
      <w:r w:rsidRPr="001A4860">
        <w:rPr>
          <w:rFonts w:eastAsia="Calibri"/>
          <w:szCs w:val="24"/>
          <w:lang w:val="es-ES"/>
        </w:rPr>
        <w:t>En las pendientes fuertes hay tendencia del relleno al deslizamiento, y puede arrastrar consigo la tubería. En la mayoría de los casos, basta apisonar muy bien en capas de 10 cm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53A2201D" w14:textId="77777777" w:rsidR="001A4860" w:rsidRPr="001A4860" w:rsidRDefault="001A4860" w:rsidP="001A4860">
      <w:pPr>
        <w:rPr>
          <w:rFonts w:eastAsia="Calibri"/>
          <w:szCs w:val="24"/>
          <w:lang w:val="es-ES"/>
        </w:rPr>
      </w:pPr>
    </w:p>
    <w:p w14:paraId="0DB6D00E"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383" w:name="_Toc310550086"/>
      <w:bookmarkStart w:id="1384" w:name="_Toc406009610"/>
      <w:bookmarkStart w:id="1385" w:name="_Toc406009810"/>
      <w:bookmarkStart w:id="1386" w:name="_Toc406010529"/>
      <w:bookmarkStart w:id="1387" w:name="_Toc485034186"/>
      <w:bookmarkStart w:id="1388" w:name="_Toc505613786"/>
      <w:r w:rsidRPr="001A4860">
        <w:rPr>
          <w:b/>
          <w:color w:val="000000"/>
          <w:szCs w:val="24"/>
          <w:lang w:val="es-ES"/>
        </w:rPr>
        <w:t>Prueba de presión hidrostática y de estanqueidad</w:t>
      </w:r>
      <w:bookmarkEnd w:id="1383"/>
      <w:bookmarkEnd w:id="1384"/>
      <w:bookmarkEnd w:id="1385"/>
      <w:bookmarkEnd w:id="1386"/>
      <w:bookmarkEnd w:id="1387"/>
      <w:bookmarkEnd w:id="1388"/>
    </w:p>
    <w:p w14:paraId="3958628F" w14:textId="77777777" w:rsidR="001A4860" w:rsidRPr="001A4860" w:rsidRDefault="001A4860" w:rsidP="001A4860">
      <w:pPr>
        <w:rPr>
          <w:rFonts w:eastAsia="Calibri"/>
          <w:szCs w:val="24"/>
          <w:lang w:val="es-ES"/>
        </w:rPr>
      </w:pPr>
      <w:r w:rsidRPr="001A4860">
        <w:rPr>
          <w:rFonts w:eastAsia="Calibri"/>
          <w:szCs w:val="24"/>
          <w:lang w:val="es-ES"/>
        </w:rPr>
        <w:t>Después de instalar el tubo y antes de rellenar la zanja el Contratista someterá a prueba secciones de tubería que no excedan 300 metros, salvo que el Ingeniero Supervisor permita probar secciones más largas. Se requiere que todo el aire sea expulsado del tubo antes de elevar la presión de prueba a lo aquí estipulado, y con este fin el Contratista suministrará e instalará llaves municipales donde el Ingeniero Supervisor considere necesario.</w:t>
      </w:r>
    </w:p>
    <w:p w14:paraId="0EC9C7A4" w14:textId="77777777" w:rsidR="001A4860" w:rsidRPr="001A4860" w:rsidRDefault="001A4860" w:rsidP="001A4860">
      <w:pPr>
        <w:rPr>
          <w:rFonts w:eastAsia="Calibri"/>
          <w:szCs w:val="24"/>
          <w:lang w:val="es-ES"/>
        </w:rPr>
      </w:pPr>
    </w:p>
    <w:p w14:paraId="6DFCA130" w14:textId="77777777" w:rsidR="001A4860" w:rsidRPr="001A4860" w:rsidRDefault="001A4860" w:rsidP="001A4860">
      <w:pPr>
        <w:rPr>
          <w:rFonts w:eastAsia="Calibri"/>
          <w:szCs w:val="24"/>
          <w:lang w:val="es-ES"/>
        </w:rPr>
      </w:pPr>
      <w:r w:rsidRPr="001A4860">
        <w:rPr>
          <w:rFonts w:eastAsia="Calibri"/>
          <w:szCs w:val="24"/>
          <w:lang w:val="es-ES"/>
        </w:rPr>
        <w:t xml:space="preserve">La línea deberá llenarse con agua durante un período no menor de 24 horas; La presión de prueba de presión hidrostática debe ser igual al 150% de la presión de trabajo máxima de operación sostenida esperada en el punto más bajo del tramo de prueba, la cual se debe mantener durante un tiempo mínimo de 2 horas y no debe ser menor a 150 psi, ni sobrepasar la presión de diseño recomendada por la Norma de fabricación de la tubería que se prueba. Toda junta será revisada durante la prueba y donde se vea infiltración o derrame el Contratista reparará las juntas hasta que todas estas queden impermeables. </w:t>
      </w:r>
    </w:p>
    <w:p w14:paraId="0FC09AA3" w14:textId="77777777" w:rsidR="001A4860" w:rsidRPr="001A4860" w:rsidRDefault="001A4860" w:rsidP="001A4860">
      <w:pPr>
        <w:rPr>
          <w:rFonts w:eastAsia="Calibri"/>
          <w:szCs w:val="24"/>
          <w:lang w:val="es-ES"/>
        </w:rPr>
      </w:pPr>
    </w:p>
    <w:p w14:paraId="6AF91DC7" w14:textId="77777777" w:rsidR="001A4860" w:rsidRPr="001A4860" w:rsidRDefault="001A4860" w:rsidP="001A4860">
      <w:pPr>
        <w:rPr>
          <w:rFonts w:eastAsia="Calibri"/>
          <w:szCs w:val="24"/>
          <w:lang w:val="es-ES"/>
        </w:rPr>
      </w:pPr>
      <w:r w:rsidRPr="001A4860">
        <w:rPr>
          <w:rFonts w:eastAsia="Calibri"/>
          <w:szCs w:val="24"/>
          <w:lang w:val="es-ES"/>
        </w:rPr>
        <w:t>La pérdida de agua de los tubos durante la prueba a la presión indicada no deberá exceder de los valores siguientes, en galones por hora y por Kilómetro de tubería:</w:t>
      </w:r>
    </w:p>
    <w:p w14:paraId="71F84ED4" w14:textId="77777777" w:rsidR="001A4860" w:rsidRPr="001A4860" w:rsidRDefault="001A4860" w:rsidP="001A4860">
      <w:pPr>
        <w:rPr>
          <w:rFonts w:eastAsia="Calibri"/>
          <w:szCs w:val="24"/>
          <w:lang w:val="es-ES"/>
        </w:rPr>
      </w:pPr>
    </w:p>
    <w:tbl>
      <w:tblPr>
        <w:tblW w:w="0" w:type="auto"/>
        <w:tblInd w:w="16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402"/>
      </w:tblGrid>
      <w:tr w:rsidR="001A4860" w:rsidRPr="001A4860" w14:paraId="77D7C154" w14:textId="77777777" w:rsidTr="001A4860">
        <w:tc>
          <w:tcPr>
            <w:tcW w:w="2835" w:type="dxa"/>
            <w:tcBorders>
              <w:top w:val="single" w:sz="12" w:space="0" w:color="auto"/>
              <w:bottom w:val="single" w:sz="12" w:space="0" w:color="auto"/>
              <w:right w:val="single" w:sz="12" w:space="0" w:color="auto"/>
            </w:tcBorders>
            <w:shd w:val="clear" w:color="auto" w:fill="95B3D7"/>
          </w:tcPr>
          <w:p w14:paraId="5DF51ED0" w14:textId="77777777" w:rsidR="001A4860" w:rsidRPr="001A4860" w:rsidRDefault="001A4860" w:rsidP="001A4860">
            <w:pPr>
              <w:rPr>
                <w:rFonts w:eastAsia="Calibri"/>
                <w:b/>
                <w:bCs/>
                <w:iCs/>
                <w:szCs w:val="24"/>
                <w:lang w:val="es-ES"/>
              </w:rPr>
            </w:pPr>
            <w:r w:rsidRPr="001A4860">
              <w:rPr>
                <w:rFonts w:eastAsia="Calibri"/>
                <w:b/>
                <w:bCs/>
                <w:iCs/>
                <w:szCs w:val="24"/>
                <w:lang w:val="es-ES"/>
              </w:rPr>
              <w:t>Diámetro de la Tubería</w:t>
            </w:r>
          </w:p>
          <w:p w14:paraId="1FABFEE3" w14:textId="77777777" w:rsidR="001A4860" w:rsidRPr="001A4860" w:rsidRDefault="001A4860" w:rsidP="001A4860">
            <w:pPr>
              <w:rPr>
                <w:rFonts w:eastAsia="Calibri"/>
                <w:b/>
                <w:bCs/>
                <w:iCs/>
                <w:szCs w:val="24"/>
                <w:lang w:val="es-ES"/>
              </w:rPr>
            </w:pPr>
            <w:r w:rsidRPr="001A4860">
              <w:rPr>
                <w:rFonts w:eastAsia="Calibri"/>
                <w:b/>
                <w:bCs/>
                <w:iCs/>
                <w:szCs w:val="24"/>
                <w:lang w:val="es-ES"/>
              </w:rPr>
              <w:t>(mm)</w:t>
            </w:r>
          </w:p>
        </w:tc>
        <w:tc>
          <w:tcPr>
            <w:tcW w:w="3402" w:type="dxa"/>
            <w:tcBorders>
              <w:top w:val="single" w:sz="12" w:space="0" w:color="auto"/>
              <w:left w:val="single" w:sz="12" w:space="0" w:color="auto"/>
              <w:bottom w:val="single" w:sz="12" w:space="0" w:color="auto"/>
            </w:tcBorders>
            <w:shd w:val="clear" w:color="auto" w:fill="95B3D7"/>
          </w:tcPr>
          <w:p w14:paraId="245DFE78" w14:textId="77777777" w:rsidR="001A4860" w:rsidRPr="001A4860" w:rsidRDefault="001A4860" w:rsidP="001A4860">
            <w:pPr>
              <w:rPr>
                <w:rFonts w:eastAsia="Calibri"/>
                <w:b/>
                <w:bCs/>
                <w:iCs/>
                <w:szCs w:val="24"/>
                <w:lang w:val="es-ES"/>
              </w:rPr>
            </w:pPr>
            <w:r w:rsidRPr="001A4860">
              <w:rPr>
                <w:rFonts w:eastAsia="Calibri"/>
                <w:b/>
                <w:bCs/>
                <w:iCs/>
                <w:szCs w:val="24"/>
                <w:lang w:val="es-ES"/>
              </w:rPr>
              <w:t>Máxima Fuga Permitida</w:t>
            </w:r>
          </w:p>
          <w:p w14:paraId="44F7F751" w14:textId="77777777" w:rsidR="001A4860" w:rsidRPr="001A4860" w:rsidRDefault="001A4860" w:rsidP="001A4860">
            <w:pPr>
              <w:rPr>
                <w:rFonts w:eastAsia="Calibri"/>
                <w:b/>
                <w:bCs/>
                <w:iCs/>
                <w:szCs w:val="24"/>
                <w:lang w:val="es-ES"/>
              </w:rPr>
            </w:pPr>
            <w:r w:rsidRPr="001A4860">
              <w:rPr>
                <w:rFonts w:eastAsia="Calibri"/>
                <w:b/>
                <w:bCs/>
                <w:iCs/>
                <w:szCs w:val="24"/>
                <w:lang w:val="es-ES"/>
              </w:rPr>
              <w:t>(Galones/hora/100 juntas)</w:t>
            </w:r>
          </w:p>
        </w:tc>
      </w:tr>
      <w:tr w:rsidR="001A4860" w:rsidRPr="001A4860" w14:paraId="5479BD55" w14:textId="77777777" w:rsidTr="001A4860">
        <w:tc>
          <w:tcPr>
            <w:tcW w:w="2835" w:type="dxa"/>
            <w:tcBorders>
              <w:top w:val="single" w:sz="12" w:space="0" w:color="auto"/>
              <w:bottom w:val="single" w:sz="6" w:space="0" w:color="auto"/>
            </w:tcBorders>
            <w:shd w:val="clear" w:color="auto" w:fill="FDE9D9"/>
          </w:tcPr>
          <w:p w14:paraId="2B20AABA" w14:textId="77777777" w:rsidR="001A4860" w:rsidRPr="001A4860" w:rsidRDefault="001A4860" w:rsidP="001A4860">
            <w:pPr>
              <w:rPr>
                <w:rFonts w:eastAsia="Calibri"/>
                <w:iCs/>
                <w:szCs w:val="24"/>
                <w:lang w:val="es-ES"/>
              </w:rPr>
            </w:pPr>
            <w:r w:rsidRPr="001A4860">
              <w:rPr>
                <w:rFonts w:eastAsia="Calibri"/>
                <w:iCs/>
                <w:szCs w:val="24"/>
                <w:lang w:val="es-ES"/>
              </w:rPr>
              <w:t>50 y menos</w:t>
            </w:r>
          </w:p>
        </w:tc>
        <w:tc>
          <w:tcPr>
            <w:tcW w:w="3402" w:type="dxa"/>
            <w:tcBorders>
              <w:top w:val="single" w:sz="12" w:space="0" w:color="auto"/>
              <w:bottom w:val="single" w:sz="6" w:space="0" w:color="auto"/>
            </w:tcBorders>
            <w:shd w:val="clear" w:color="auto" w:fill="FDE9D9"/>
          </w:tcPr>
          <w:p w14:paraId="1F427B1D" w14:textId="77777777" w:rsidR="001A4860" w:rsidRPr="001A4860" w:rsidRDefault="001A4860" w:rsidP="001A4860">
            <w:pPr>
              <w:rPr>
                <w:rFonts w:eastAsia="Calibri"/>
                <w:iCs/>
                <w:szCs w:val="24"/>
                <w:lang w:val="es-ES"/>
              </w:rPr>
            </w:pPr>
            <w:r w:rsidRPr="001A4860">
              <w:rPr>
                <w:rFonts w:eastAsia="Calibri"/>
                <w:iCs/>
                <w:szCs w:val="24"/>
                <w:lang w:val="es-ES"/>
              </w:rPr>
              <w:t>0.8</w:t>
            </w:r>
          </w:p>
        </w:tc>
      </w:tr>
      <w:tr w:rsidR="001A4860" w:rsidRPr="001A4860" w14:paraId="445EF0F2" w14:textId="77777777" w:rsidTr="001A4860">
        <w:tc>
          <w:tcPr>
            <w:tcW w:w="2835" w:type="dxa"/>
            <w:tcBorders>
              <w:top w:val="single" w:sz="6" w:space="0" w:color="auto"/>
              <w:bottom w:val="single" w:sz="12" w:space="0" w:color="auto"/>
            </w:tcBorders>
            <w:shd w:val="clear" w:color="auto" w:fill="FDE9D9"/>
          </w:tcPr>
          <w:p w14:paraId="5D614FC0" w14:textId="77777777" w:rsidR="001A4860" w:rsidRPr="001A4860" w:rsidRDefault="001A4860" w:rsidP="001A4860">
            <w:pPr>
              <w:rPr>
                <w:rFonts w:eastAsia="Calibri"/>
                <w:iCs/>
                <w:szCs w:val="24"/>
                <w:lang w:val="es-ES"/>
              </w:rPr>
            </w:pPr>
            <w:r w:rsidRPr="001A4860">
              <w:rPr>
                <w:rFonts w:eastAsia="Calibri"/>
                <w:iCs/>
                <w:szCs w:val="24"/>
                <w:lang w:val="es-ES"/>
              </w:rPr>
              <w:t>75</w:t>
            </w:r>
          </w:p>
        </w:tc>
        <w:tc>
          <w:tcPr>
            <w:tcW w:w="3402" w:type="dxa"/>
            <w:tcBorders>
              <w:top w:val="single" w:sz="6" w:space="0" w:color="auto"/>
              <w:bottom w:val="single" w:sz="12" w:space="0" w:color="auto"/>
            </w:tcBorders>
            <w:shd w:val="clear" w:color="auto" w:fill="FDE9D9"/>
          </w:tcPr>
          <w:p w14:paraId="793D6BD6" w14:textId="77777777" w:rsidR="001A4860" w:rsidRPr="001A4860" w:rsidRDefault="001A4860" w:rsidP="001A4860">
            <w:pPr>
              <w:rPr>
                <w:rFonts w:eastAsia="Calibri"/>
                <w:iCs/>
                <w:szCs w:val="24"/>
                <w:lang w:val="es-ES"/>
              </w:rPr>
            </w:pPr>
            <w:r w:rsidRPr="001A4860">
              <w:rPr>
                <w:rFonts w:eastAsia="Calibri"/>
                <w:iCs/>
                <w:szCs w:val="24"/>
                <w:lang w:val="es-ES"/>
              </w:rPr>
              <w:t>1.2</w:t>
            </w:r>
          </w:p>
        </w:tc>
      </w:tr>
    </w:tbl>
    <w:p w14:paraId="094E45AA" w14:textId="77777777" w:rsidR="001A4860" w:rsidRPr="001A4860" w:rsidRDefault="001A4860" w:rsidP="001A4860">
      <w:pPr>
        <w:widowControl w:val="0"/>
        <w:tabs>
          <w:tab w:val="left" w:pos="0"/>
          <w:tab w:val="left" w:pos="605"/>
          <w:tab w:val="left" w:pos="1210"/>
          <w:tab w:val="left" w:pos="1812"/>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autoSpaceDE w:val="0"/>
        <w:autoSpaceDN w:val="0"/>
        <w:adjustRightInd w:val="0"/>
        <w:rPr>
          <w:rFonts w:eastAsia="Calibri"/>
          <w:iCs/>
          <w:szCs w:val="24"/>
          <w:lang w:val="es-ES"/>
        </w:rPr>
      </w:pPr>
    </w:p>
    <w:p w14:paraId="1AD344C1" w14:textId="77777777" w:rsidR="001A4860" w:rsidRPr="001A4860" w:rsidRDefault="001A4860" w:rsidP="001A4860">
      <w:pPr>
        <w:rPr>
          <w:rFonts w:eastAsia="Calibri"/>
          <w:szCs w:val="24"/>
          <w:lang w:val="es-ES"/>
        </w:rPr>
      </w:pPr>
      <w:r w:rsidRPr="001A4860">
        <w:rPr>
          <w:rFonts w:eastAsia="Calibri"/>
          <w:szCs w:val="24"/>
          <w:lang w:val="es-ES"/>
        </w:rPr>
        <w:t xml:space="preserve">Los tubos y accesorios serán revisados cuidadosamente durante el ensayo a presión y todos estos que se encuentren rajados o dañados serán removidos y reemplazados. </w:t>
      </w:r>
    </w:p>
    <w:p w14:paraId="36016A38" w14:textId="77777777" w:rsidR="001A4860" w:rsidRPr="001A4860" w:rsidRDefault="001A4860" w:rsidP="001A4860">
      <w:pPr>
        <w:rPr>
          <w:rFonts w:eastAsia="Calibri"/>
          <w:b/>
          <w:szCs w:val="24"/>
          <w:lang w:val="es-ES"/>
        </w:rPr>
      </w:pPr>
    </w:p>
    <w:p w14:paraId="6F54B278"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389" w:name="_Toc310550087"/>
      <w:bookmarkStart w:id="1390" w:name="_Toc406009611"/>
      <w:bookmarkStart w:id="1391" w:name="_Toc406009811"/>
      <w:bookmarkStart w:id="1392" w:name="_Toc406010530"/>
      <w:bookmarkStart w:id="1393" w:name="_Toc485034187"/>
      <w:bookmarkStart w:id="1394" w:name="_Toc505613787"/>
      <w:r w:rsidRPr="001A4860">
        <w:rPr>
          <w:b/>
          <w:color w:val="000000"/>
          <w:szCs w:val="24"/>
          <w:lang w:val="es-ES"/>
        </w:rPr>
        <w:t>Baldeo y Desinfección</w:t>
      </w:r>
      <w:bookmarkEnd w:id="1389"/>
      <w:bookmarkEnd w:id="1390"/>
      <w:bookmarkEnd w:id="1391"/>
      <w:bookmarkEnd w:id="1392"/>
      <w:bookmarkEnd w:id="1393"/>
      <w:bookmarkEnd w:id="1394"/>
    </w:p>
    <w:p w14:paraId="1F4F946A" w14:textId="77777777" w:rsidR="001A4860" w:rsidRPr="001A4860" w:rsidRDefault="001A4860" w:rsidP="001A4860">
      <w:pPr>
        <w:rPr>
          <w:rFonts w:eastAsia="Calibri"/>
          <w:szCs w:val="24"/>
          <w:lang w:val="es-ES"/>
        </w:rPr>
      </w:pPr>
      <w:r w:rsidRPr="001A4860">
        <w:rPr>
          <w:rFonts w:eastAsia="Calibri"/>
          <w:szCs w:val="24"/>
          <w:lang w:val="es-ES"/>
        </w:rPr>
        <w:t>Después de la prueba de presión si esta es satisfactoria, la tubería será baldeada. La desinfección se efectuará llenando con agua e introduciendo una solución de cloro en suficiente cantidad para obtener un residuo de cloro de no menos de 10 partes por millón en el agua después de 24 horas. El Contratista no recibirá ninguna compensación adicional por el trabajo de prueba, baldeo y desinfección.</w:t>
      </w:r>
    </w:p>
    <w:p w14:paraId="4AFD72DC" w14:textId="77777777" w:rsidR="001A4860" w:rsidRPr="001A4860" w:rsidRDefault="001A4860" w:rsidP="001A4860">
      <w:pPr>
        <w:rPr>
          <w:rFonts w:eastAsia="Calibri"/>
          <w:szCs w:val="24"/>
          <w:lang w:val="es-ES"/>
        </w:rPr>
      </w:pPr>
    </w:p>
    <w:p w14:paraId="782C3F48"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395" w:name="_Toc234745655"/>
      <w:bookmarkStart w:id="1396" w:name="_Toc310550088"/>
      <w:bookmarkStart w:id="1397" w:name="_Toc406009612"/>
      <w:bookmarkStart w:id="1398" w:name="_Toc406009812"/>
      <w:bookmarkStart w:id="1399" w:name="_Toc406010531"/>
      <w:bookmarkStart w:id="1400" w:name="_Toc485034188"/>
      <w:bookmarkStart w:id="1401" w:name="_Toc505613788"/>
      <w:r w:rsidRPr="001A4860">
        <w:rPr>
          <w:b/>
          <w:color w:val="000000"/>
          <w:szCs w:val="24"/>
          <w:lang w:val="es-ES"/>
        </w:rPr>
        <w:lastRenderedPageBreak/>
        <w:t>Protección de obras no terminadas</w:t>
      </w:r>
      <w:bookmarkEnd w:id="1395"/>
      <w:bookmarkEnd w:id="1396"/>
      <w:bookmarkEnd w:id="1397"/>
      <w:bookmarkEnd w:id="1398"/>
      <w:bookmarkEnd w:id="1399"/>
      <w:bookmarkEnd w:id="1400"/>
      <w:bookmarkEnd w:id="1401"/>
    </w:p>
    <w:p w14:paraId="5484936F" w14:textId="77777777" w:rsidR="001A4860" w:rsidRPr="001A4860" w:rsidRDefault="001A4860" w:rsidP="001A4860">
      <w:pPr>
        <w:rPr>
          <w:rFonts w:eastAsia="Calibri"/>
          <w:szCs w:val="24"/>
          <w:lang w:val="es-ES"/>
        </w:rPr>
      </w:pPr>
      <w:r w:rsidRPr="001A4860">
        <w:rPr>
          <w:rFonts w:eastAsia="Calibri"/>
          <w:szCs w:val="24"/>
          <w:lang w:val="es-ES"/>
        </w:rPr>
        <w:t>Antes de dejar el trabajo al final del día, o por paros debido a lluvias u otras circunstancias, se tendrá cuidado de proteger y cerrar con barricadas y/o señales de peligro, las aberturas y terminales de los tubos que no hayan sido tapados, y cualquier material extraño que se encuentre deberá ser removido por cuenta de El Contratista.</w:t>
      </w:r>
    </w:p>
    <w:p w14:paraId="7D18E0E9" w14:textId="77777777" w:rsidR="001A4860" w:rsidRPr="001A4860" w:rsidRDefault="001A4860" w:rsidP="001A4860">
      <w:pPr>
        <w:rPr>
          <w:rFonts w:eastAsia="Calibri"/>
          <w:szCs w:val="24"/>
          <w:lang w:val="es-ES"/>
        </w:rPr>
      </w:pPr>
    </w:p>
    <w:p w14:paraId="3E7957CF" w14:textId="77777777" w:rsidR="001A4860" w:rsidRPr="001A4860" w:rsidRDefault="001A4860" w:rsidP="001A4860">
      <w:pPr>
        <w:rPr>
          <w:rFonts w:eastAsia="Calibri"/>
          <w:b/>
          <w:szCs w:val="24"/>
          <w:lang w:val="es-ES"/>
        </w:rPr>
      </w:pPr>
      <w:bookmarkStart w:id="1402" w:name="_Toc72951315"/>
      <w:bookmarkStart w:id="1403" w:name="_Toc206575567"/>
      <w:bookmarkStart w:id="1404" w:name="_Toc20902849"/>
      <w:r w:rsidRPr="001A4860">
        <w:rPr>
          <w:rFonts w:eastAsia="Calibri"/>
          <w:b/>
          <w:szCs w:val="24"/>
          <w:lang w:val="es-ES"/>
        </w:rPr>
        <w:t>ACTIVIDADES CONSTRUCTIVAS</w:t>
      </w:r>
      <w:bookmarkEnd w:id="1402"/>
      <w:bookmarkEnd w:id="1403"/>
      <w:r w:rsidRPr="001A4860">
        <w:rPr>
          <w:rFonts w:eastAsia="Calibri"/>
          <w:b/>
          <w:szCs w:val="24"/>
          <w:lang w:val="es-ES"/>
        </w:rPr>
        <w:t>.</w:t>
      </w:r>
      <w:bookmarkEnd w:id="1404"/>
      <w:r w:rsidRPr="001A4860">
        <w:rPr>
          <w:rFonts w:eastAsia="Calibri"/>
          <w:b/>
          <w:szCs w:val="24"/>
          <w:lang w:val="es-ES"/>
        </w:rPr>
        <w:t xml:space="preserve"> </w:t>
      </w:r>
    </w:p>
    <w:p w14:paraId="502A8221" w14:textId="77777777" w:rsidR="001A4860" w:rsidRPr="001A4860" w:rsidRDefault="001A4860" w:rsidP="001A4860">
      <w:pPr>
        <w:rPr>
          <w:rFonts w:eastAsia="Calibri"/>
          <w:b/>
          <w:szCs w:val="24"/>
          <w:lang w:val="es-ES"/>
        </w:rPr>
      </w:pPr>
    </w:p>
    <w:p w14:paraId="09CF1557" w14:textId="77777777" w:rsidR="001A4860" w:rsidRPr="001A4860" w:rsidRDefault="001A4860" w:rsidP="001A4860">
      <w:pPr>
        <w:rPr>
          <w:rFonts w:eastAsia="Calibri"/>
          <w:b/>
          <w:szCs w:val="24"/>
          <w:lang w:val="es-ES"/>
        </w:rPr>
      </w:pPr>
      <w:bookmarkStart w:id="1405" w:name="_Toc206575568"/>
      <w:r w:rsidRPr="001A4860">
        <w:rPr>
          <w:rFonts w:eastAsia="Calibri"/>
          <w:b/>
          <w:szCs w:val="24"/>
          <w:lang w:val="es-ES"/>
        </w:rPr>
        <w:t>Excavación</w:t>
      </w:r>
      <w:bookmarkEnd w:id="1405"/>
      <w:r w:rsidRPr="001A4860">
        <w:rPr>
          <w:rFonts w:eastAsia="Calibri"/>
          <w:b/>
          <w:szCs w:val="24"/>
          <w:lang w:val="es-ES"/>
        </w:rPr>
        <w:t xml:space="preserve"> </w:t>
      </w:r>
    </w:p>
    <w:p w14:paraId="68726CEA" w14:textId="77777777" w:rsidR="001A4860" w:rsidRPr="001A4860" w:rsidRDefault="001A4860" w:rsidP="001A4860">
      <w:pPr>
        <w:rPr>
          <w:rFonts w:eastAsia="Calibri"/>
          <w:b/>
          <w:szCs w:val="24"/>
          <w:lang w:val="es-ES"/>
        </w:rPr>
      </w:pPr>
    </w:p>
    <w:p w14:paraId="08C943B3" w14:textId="77777777" w:rsidR="001A4860" w:rsidRPr="001A4860" w:rsidRDefault="001A4860" w:rsidP="001A4860">
      <w:pPr>
        <w:tabs>
          <w:tab w:val="left" w:pos="993"/>
        </w:tabs>
        <w:rPr>
          <w:rFonts w:eastAsia="Calibri"/>
          <w:szCs w:val="24"/>
          <w:lang w:val="es-ES"/>
        </w:rPr>
      </w:pPr>
      <w:r w:rsidRPr="001A4860">
        <w:rPr>
          <w:rFonts w:eastAsia="Calibri"/>
          <w:szCs w:val="24"/>
          <w:lang w:val="es-ES"/>
        </w:rPr>
        <w:t>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2C36D2B7" w14:textId="77777777" w:rsidR="001A4860" w:rsidRPr="001A4860" w:rsidRDefault="001A4860" w:rsidP="001A4860">
      <w:pPr>
        <w:jc w:val="left"/>
        <w:rPr>
          <w:rFonts w:eastAsia="Calibri"/>
          <w:szCs w:val="24"/>
          <w:lang w:val="es-419" w:eastAsia="en-GB"/>
        </w:rPr>
      </w:pPr>
    </w:p>
    <w:p w14:paraId="4E3E8228" w14:textId="77777777" w:rsidR="001A4860" w:rsidRPr="001A4860" w:rsidRDefault="001A4860" w:rsidP="001A4860">
      <w:pPr>
        <w:rPr>
          <w:rFonts w:eastAsia="Calibri"/>
          <w:szCs w:val="24"/>
          <w:lang w:val="es-ES"/>
        </w:rPr>
      </w:pPr>
      <w:r w:rsidRPr="001A4860">
        <w:rPr>
          <w:rFonts w:eastAsia="Calibri"/>
          <w:szCs w:val="24"/>
          <w:lang w:val="es-ES"/>
        </w:rPr>
        <w:t>De acuerdo a la modalidad de ejecución este rubro corresponde al aporte comunitario el cual incluye todo a lo referido a corte de terreno en zanjas, cajas para válvulas, por lo que el contratista no puede cobrar adicionales y si velar por que se realice el trabajo de acuerdo a las especificaciones</w:t>
      </w:r>
    </w:p>
    <w:p w14:paraId="4F1423E7" w14:textId="77777777" w:rsidR="001A4860" w:rsidRPr="001A4860" w:rsidRDefault="001A4860" w:rsidP="001A4860">
      <w:pPr>
        <w:rPr>
          <w:rFonts w:eastAsia="Calibri"/>
          <w:szCs w:val="24"/>
          <w:lang w:val="es-ES"/>
        </w:rPr>
      </w:pPr>
    </w:p>
    <w:p w14:paraId="52B239EC" w14:textId="77777777" w:rsidR="001A4860" w:rsidRPr="001A4860" w:rsidRDefault="001A4860" w:rsidP="001A4860">
      <w:pPr>
        <w:rPr>
          <w:rFonts w:eastAsia="Calibri"/>
          <w:szCs w:val="24"/>
          <w:lang w:val="es-ES"/>
        </w:rPr>
      </w:pPr>
      <w:r w:rsidRPr="001A4860">
        <w:rPr>
          <w:rFonts w:eastAsia="Calibri"/>
          <w:szCs w:val="24"/>
          <w:lang w:val="es-ES"/>
        </w:rPr>
        <w:t>Las excavaciones de zanja se deben efectuar de acuerdo con la alineación, niveles y dimensiones indicados en los planos.  El fondo de la zanja debe ser conformado a mano, de tal manera que se obtenga un apoyo uniforme y continuo para la superficie inferior del tubo sobre un suelo firme y uniformemente plano entre las depresiones excavadas para acomodar las campanas o juntas.</w:t>
      </w:r>
    </w:p>
    <w:p w14:paraId="1A64E6E2" w14:textId="77777777" w:rsidR="001A4860" w:rsidRPr="001A4860" w:rsidRDefault="001A4860" w:rsidP="001A4860">
      <w:pPr>
        <w:rPr>
          <w:rFonts w:eastAsia="Calibri"/>
          <w:szCs w:val="24"/>
          <w:lang w:val="es-ES"/>
        </w:rPr>
      </w:pPr>
    </w:p>
    <w:p w14:paraId="2BFA1EE8" w14:textId="77777777" w:rsidR="001A4860" w:rsidRPr="001A4860" w:rsidRDefault="001A4860" w:rsidP="001A4860">
      <w:pPr>
        <w:rPr>
          <w:rFonts w:eastAsia="Calibri"/>
          <w:szCs w:val="24"/>
          <w:lang w:val="es-ES"/>
        </w:rPr>
      </w:pPr>
      <w:r w:rsidRPr="001A4860">
        <w:rPr>
          <w:rFonts w:eastAsia="Calibri"/>
          <w:szCs w:val="24"/>
          <w:lang w:val="es-ES"/>
        </w:rPr>
        <w:t>El ancho de zanjas no debe ser mayor que el diámetro nominal de la tubería más 0.50 metros, ni menor de 0.60 metros. Se requiere una cubierta de 1.20 metros sobre la corona del tubo, salvo que sea necesario evitar obstáculos en cuyo caso se excavará a la profundidad indicada en los planos u ordenada por el Ingeniero.</w:t>
      </w:r>
    </w:p>
    <w:p w14:paraId="3580639A" w14:textId="77777777" w:rsidR="001A4860" w:rsidRPr="001A4860" w:rsidRDefault="001A4860" w:rsidP="001A4860">
      <w:pPr>
        <w:rPr>
          <w:rFonts w:eastAsia="Calibri"/>
          <w:szCs w:val="24"/>
          <w:lang w:val="es-ES"/>
        </w:rPr>
      </w:pPr>
    </w:p>
    <w:p w14:paraId="1979E310" w14:textId="77777777" w:rsidR="001A4860" w:rsidRPr="001A4860" w:rsidRDefault="001A4860" w:rsidP="001A4860">
      <w:pPr>
        <w:rPr>
          <w:rFonts w:eastAsia="Calibri"/>
          <w:szCs w:val="24"/>
          <w:lang w:val="es-ES"/>
        </w:rPr>
      </w:pPr>
      <w:r w:rsidRPr="001A4860">
        <w:rPr>
          <w:rFonts w:eastAsia="Calibri"/>
          <w:szCs w:val="24"/>
          <w:lang w:val="es-ES"/>
        </w:rPr>
        <w:t>Cuando en el fondo de la zanja se encuentren materiales inestables, basura o materiales orgánicos que en opinión del Ingeniero deban ser removidos, se debe excavar y remover dichos materiales hasta la profundidad que ordene el Ingeniero.</w:t>
      </w:r>
    </w:p>
    <w:p w14:paraId="7408A7AA" w14:textId="77777777" w:rsidR="001A4860" w:rsidRPr="001A4860" w:rsidRDefault="001A4860" w:rsidP="001A4860">
      <w:pPr>
        <w:rPr>
          <w:rFonts w:eastAsia="Calibri"/>
          <w:szCs w:val="24"/>
          <w:lang w:val="es-ES"/>
        </w:rPr>
      </w:pPr>
    </w:p>
    <w:p w14:paraId="0B151035" w14:textId="77777777" w:rsidR="001A4860" w:rsidRPr="001A4860" w:rsidRDefault="001A4860" w:rsidP="001A4860">
      <w:pPr>
        <w:rPr>
          <w:rFonts w:eastAsia="Calibri"/>
          <w:szCs w:val="24"/>
          <w:lang w:val="es-ES"/>
        </w:rPr>
      </w:pPr>
      <w:r w:rsidRPr="001A4860">
        <w:rPr>
          <w:rFonts w:eastAsia="Calibri"/>
          <w:szCs w:val="24"/>
          <w:lang w:val="es-ES"/>
        </w:rPr>
        <w:t>Cuando sean removidos los materiales inaceptables como apoyo de la tubería y antes de colocar la tubería se rellena la zanja hasta la sub-rasante con material granular que debe ser apisonado en capas que no excedan 15 centímetros hasta un nivel que corresponda a 1/4 del área del tubo.</w:t>
      </w:r>
    </w:p>
    <w:p w14:paraId="421B8703" w14:textId="77777777" w:rsidR="001A4860" w:rsidRPr="001A4860" w:rsidRDefault="001A4860" w:rsidP="001A4860">
      <w:pPr>
        <w:spacing w:after="160" w:line="259" w:lineRule="auto"/>
        <w:jc w:val="left"/>
        <w:rPr>
          <w:rFonts w:eastAsia="Calibri"/>
          <w:szCs w:val="24"/>
          <w:highlight w:val="green"/>
          <w:lang w:val="es-ES"/>
        </w:rPr>
      </w:pPr>
      <w:r w:rsidRPr="001A4860">
        <w:rPr>
          <w:rFonts w:eastAsia="Calibri"/>
          <w:szCs w:val="24"/>
          <w:highlight w:val="green"/>
          <w:lang w:val="es-ES"/>
        </w:rPr>
        <w:br w:type="page"/>
      </w:r>
    </w:p>
    <w:p w14:paraId="35175C0D" w14:textId="77777777" w:rsidR="001A4860" w:rsidRPr="001A4860" w:rsidRDefault="001A4860" w:rsidP="001A4860">
      <w:pPr>
        <w:rPr>
          <w:rFonts w:eastAsia="Calibri"/>
          <w:szCs w:val="24"/>
          <w:highlight w:val="green"/>
          <w:lang w:val="es-ES"/>
        </w:rPr>
      </w:pPr>
    </w:p>
    <w:p w14:paraId="5C333005" w14:textId="77777777" w:rsidR="001A4860" w:rsidRPr="001A4860" w:rsidRDefault="001A4860" w:rsidP="001A4860">
      <w:pPr>
        <w:rPr>
          <w:rFonts w:eastAsia="Calibri"/>
          <w:b/>
          <w:szCs w:val="24"/>
          <w:lang w:val="es-ES"/>
        </w:rPr>
      </w:pPr>
      <w:bookmarkStart w:id="1406" w:name="_Toc206575569"/>
      <w:bookmarkStart w:id="1407" w:name="_Toc20902850"/>
      <w:r w:rsidRPr="001A4860">
        <w:rPr>
          <w:rFonts w:eastAsia="Calibri"/>
          <w:b/>
          <w:szCs w:val="24"/>
          <w:lang w:val="es-ES"/>
        </w:rPr>
        <w:t>INSTALACIÓN DE TUBERÍA Y ACCESORIOS</w:t>
      </w:r>
      <w:bookmarkEnd w:id="1406"/>
      <w:bookmarkEnd w:id="1407"/>
    </w:p>
    <w:p w14:paraId="32C60CBB" w14:textId="77777777" w:rsidR="001A4860" w:rsidRPr="001A4860" w:rsidRDefault="001A4860" w:rsidP="001A4860">
      <w:pPr>
        <w:rPr>
          <w:rFonts w:eastAsia="Calibri"/>
          <w:szCs w:val="24"/>
          <w:lang w:val="es-ES"/>
        </w:rPr>
      </w:pPr>
    </w:p>
    <w:p w14:paraId="72E31E66" w14:textId="77777777" w:rsidR="001A4860" w:rsidRPr="001A4860" w:rsidRDefault="001A4860" w:rsidP="001A4860">
      <w:pPr>
        <w:rPr>
          <w:rFonts w:eastAsia="Calibri"/>
          <w:szCs w:val="24"/>
          <w:lang w:val="es-ES"/>
        </w:rPr>
      </w:pPr>
      <w:r w:rsidRPr="001A4860">
        <w:rPr>
          <w:rFonts w:eastAsia="Calibri"/>
          <w:szCs w:val="24"/>
          <w:lang w:val="es-ES"/>
        </w:rPr>
        <w:t>Los tubos se deben colocar de conformidad con la alineación y cortes aquí estipulados e indicados en los planos o designados por el Ingeniero, quien puede ordenar cambios en alineación y nivel de la tubería, cuando lo considere necesario.</w:t>
      </w:r>
    </w:p>
    <w:p w14:paraId="0E121F4D" w14:textId="77777777" w:rsidR="001A4860" w:rsidRPr="001A4860" w:rsidRDefault="001A4860" w:rsidP="001A4860">
      <w:pPr>
        <w:rPr>
          <w:rFonts w:eastAsia="Calibri"/>
          <w:szCs w:val="24"/>
          <w:lang w:val="es-ES" w:eastAsia="en-GB"/>
        </w:rPr>
      </w:pPr>
    </w:p>
    <w:p w14:paraId="68478458" w14:textId="77777777" w:rsidR="001A4860" w:rsidRPr="001A4860" w:rsidRDefault="001A4860" w:rsidP="001A4860">
      <w:pPr>
        <w:rPr>
          <w:rFonts w:eastAsia="Calibri"/>
          <w:szCs w:val="24"/>
          <w:lang w:val="es-ES"/>
        </w:rPr>
      </w:pPr>
      <w:r w:rsidRPr="001A4860">
        <w:rPr>
          <w:rFonts w:eastAsia="Calibri"/>
          <w:szCs w:val="24"/>
          <w:lang w:val="es-ES"/>
        </w:rPr>
        <w:t>La instalación de la tubería se debe efectuar con herramientas y equipos apropiados para este fin. La instalación de tuberías y accesorios de PVC se debe hacer de acuerdo con especificaciones recomendadas por el fabricante.</w:t>
      </w:r>
    </w:p>
    <w:p w14:paraId="1AAD06BA" w14:textId="77777777" w:rsidR="001A4860" w:rsidRPr="001A4860" w:rsidRDefault="001A4860" w:rsidP="001A4860">
      <w:pPr>
        <w:rPr>
          <w:rFonts w:eastAsia="Calibri"/>
          <w:szCs w:val="24"/>
          <w:lang w:val="es-ES" w:eastAsia="en-GB"/>
        </w:rPr>
      </w:pPr>
    </w:p>
    <w:p w14:paraId="7AE7D07A" w14:textId="77777777" w:rsidR="001A4860" w:rsidRPr="001A4860" w:rsidRDefault="001A4860" w:rsidP="001A4860">
      <w:pPr>
        <w:rPr>
          <w:rFonts w:eastAsia="Calibri"/>
          <w:szCs w:val="24"/>
          <w:lang w:val="es-ES"/>
        </w:rPr>
      </w:pPr>
      <w:r w:rsidRPr="001A4860">
        <w:rPr>
          <w:rFonts w:eastAsia="Calibri"/>
          <w:szCs w:val="24"/>
          <w:lang w:val="es-ES"/>
        </w:rPr>
        <w:t>Salvo que se indique lo contrario en los planos, el tendido de tubería en curvas se hace flexionando la tubería en las juntas. La deflexión máxima de cada junta no debe exceder la recomendada por el fabricante.</w:t>
      </w:r>
    </w:p>
    <w:p w14:paraId="2A35E064" w14:textId="77777777" w:rsidR="001A4860" w:rsidRPr="001A4860" w:rsidRDefault="001A4860" w:rsidP="001A4860">
      <w:pPr>
        <w:rPr>
          <w:rFonts w:eastAsia="Calibri"/>
          <w:szCs w:val="24"/>
          <w:lang w:val="es-ES"/>
        </w:rPr>
      </w:pPr>
      <w:bookmarkStart w:id="1408" w:name="_Toc206575570"/>
    </w:p>
    <w:p w14:paraId="6FEE30C5" w14:textId="77777777" w:rsidR="001A4860" w:rsidRPr="001A4860" w:rsidRDefault="001A4860" w:rsidP="001A4860">
      <w:pPr>
        <w:rPr>
          <w:rFonts w:eastAsia="Calibri"/>
          <w:b/>
          <w:szCs w:val="24"/>
          <w:lang w:val="es-ES"/>
        </w:rPr>
      </w:pPr>
      <w:bookmarkStart w:id="1409" w:name="_Toc20902851"/>
      <w:r w:rsidRPr="001A4860">
        <w:rPr>
          <w:rFonts w:eastAsia="Calibri"/>
          <w:b/>
          <w:szCs w:val="24"/>
          <w:lang w:val="es-ES"/>
        </w:rPr>
        <w:t>INSTALACIÓN DE VÁLVULAS</w:t>
      </w:r>
      <w:bookmarkEnd w:id="1408"/>
      <w:bookmarkEnd w:id="1409"/>
    </w:p>
    <w:p w14:paraId="1FD1EA9B" w14:textId="77777777" w:rsidR="001A4860" w:rsidRPr="001A4860" w:rsidRDefault="001A4860" w:rsidP="001A4860">
      <w:pPr>
        <w:rPr>
          <w:rFonts w:eastAsia="Calibri"/>
          <w:szCs w:val="24"/>
          <w:lang w:val="es-ES"/>
        </w:rPr>
      </w:pPr>
    </w:p>
    <w:p w14:paraId="53220BA8" w14:textId="77777777" w:rsidR="001A4860" w:rsidRPr="001A4860" w:rsidRDefault="001A4860" w:rsidP="001A4860">
      <w:pPr>
        <w:rPr>
          <w:rFonts w:eastAsia="Calibri"/>
          <w:szCs w:val="24"/>
          <w:lang w:val="es-ES"/>
        </w:rPr>
      </w:pPr>
      <w:r w:rsidRPr="001A4860">
        <w:rPr>
          <w:rFonts w:eastAsia="Calibri"/>
          <w:szCs w:val="24"/>
          <w:lang w:val="es-ES"/>
        </w:rPr>
        <w:t>Las válvulas se deben instalar en las tuberías y en los sitios indicados en los planos.</w:t>
      </w:r>
    </w:p>
    <w:p w14:paraId="5C261395" w14:textId="77777777" w:rsidR="001A4860" w:rsidRPr="001A4860" w:rsidRDefault="001A4860" w:rsidP="001A4860">
      <w:pPr>
        <w:rPr>
          <w:rFonts w:eastAsia="Calibri"/>
          <w:szCs w:val="24"/>
          <w:lang w:val="es-ES"/>
        </w:rPr>
      </w:pPr>
    </w:p>
    <w:p w14:paraId="3BCA1604" w14:textId="77777777" w:rsidR="001A4860" w:rsidRPr="001A4860" w:rsidRDefault="001A4860" w:rsidP="001A4860">
      <w:pPr>
        <w:rPr>
          <w:rFonts w:eastAsia="Calibri"/>
          <w:szCs w:val="24"/>
          <w:lang w:val="es-ES"/>
        </w:rPr>
      </w:pPr>
      <w:r w:rsidRPr="001A4860">
        <w:rPr>
          <w:rFonts w:eastAsia="Calibri"/>
          <w:szCs w:val="24"/>
          <w:lang w:val="es-ES"/>
        </w:rPr>
        <w:t>Las válvulas deben instalarse sobre bases de concreto con varillas de anclaje de acuerdo con los detalles indicados en los planos. Toda válvula debe instalarse de tal manera que la tuerca para operar la válvula quede en una posición vertical. Las cajas de válvulas se instalarán al ras con la superficie del terreno.</w:t>
      </w:r>
    </w:p>
    <w:p w14:paraId="52BB7DF4" w14:textId="77777777" w:rsidR="001A4860" w:rsidRPr="001A4860" w:rsidRDefault="001A4860" w:rsidP="001A4860">
      <w:pPr>
        <w:rPr>
          <w:rFonts w:eastAsia="Calibri"/>
          <w:szCs w:val="24"/>
          <w:lang w:val="es-ES"/>
        </w:rPr>
      </w:pPr>
    </w:p>
    <w:p w14:paraId="7DDBE60F" w14:textId="77777777" w:rsidR="001A4860" w:rsidRPr="001A4860" w:rsidRDefault="001A4860" w:rsidP="001A4860">
      <w:pPr>
        <w:rPr>
          <w:rFonts w:eastAsia="Calibri"/>
          <w:b/>
          <w:szCs w:val="24"/>
          <w:lang w:val="es-ES"/>
        </w:rPr>
      </w:pPr>
      <w:bookmarkStart w:id="1410" w:name="_Toc206575571"/>
      <w:bookmarkStart w:id="1411" w:name="_Toc20902852"/>
      <w:r w:rsidRPr="001A4860">
        <w:rPr>
          <w:rFonts w:eastAsia="Calibri"/>
          <w:b/>
          <w:szCs w:val="24"/>
          <w:lang w:val="es-ES"/>
        </w:rPr>
        <w:t xml:space="preserve">ENCOFRADO Y </w:t>
      </w:r>
      <w:bookmarkEnd w:id="1410"/>
      <w:r w:rsidRPr="001A4860">
        <w:rPr>
          <w:rFonts w:eastAsia="Calibri"/>
          <w:b/>
          <w:szCs w:val="24"/>
          <w:lang w:val="es-ES"/>
        </w:rPr>
        <w:t>ARRIOSTRAMIENTO</w:t>
      </w:r>
      <w:bookmarkEnd w:id="1411"/>
    </w:p>
    <w:p w14:paraId="7815C748" w14:textId="77777777" w:rsidR="001A4860" w:rsidRPr="001A4860" w:rsidRDefault="001A4860" w:rsidP="001A4860">
      <w:pPr>
        <w:rPr>
          <w:rFonts w:eastAsia="Calibri"/>
          <w:szCs w:val="24"/>
          <w:lang w:val="es-ES"/>
        </w:rPr>
      </w:pPr>
      <w:r w:rsidRPr="001A4860">
        <w:rPr>
          <w:rFonts w:eastAsia="Calibri"/>
          <w:szCs w:val="24"/>
          <w:lang w:val="es-ES"/>
        </w:rPr>
        <w:t>Cuando se consideren necesarias las zanjas y otras excavaciones, deben ser encofradas y arriostradas a fin de prevenir cualquier movimiento de tierra, evitar a los tubos cualquier daño y proteger a los trabajadores en la zanja. El Contratista asume responsabilidad por todo encofrado efectuado defectuosamente y que pueda causar daño a terceros.</w:t>
      </w:r>
    </w:p>
    <w:p w14:paraId="768AFC7B" w14:textId="77777777" w:rsidR="001A4860" w:rsidRPr="001A4860" w:rsidRDefault="001A4860" w:rsidP="001A4860">
      <w:pPr>
        <w:rPr>
          <w:rFonts w:eastAsia="Calibri"/>
          <w:szCs w:val="24"/>
          <w:lang w:val="es-ES"/>
        </w:rPr>
      </w:pPr>
      <w:bookmarkStart w:id="1412" w:name="_Toc206575572"/>
    </w:p>
    <w:p w14:paraId="4D04E71B" w14:textId="77777777" w:rsidR="001A4860" w:rsidRPr="001A4860" w:rsidRDefault="001A4860" w:rsidP="001A4860">
      <w:pPr>
        <w:rPr>
          <w:rFonts w:eastAsia="Calibri"/>
          <w:b/>
          <w:szCs w:val="24"/>
          <w:lang w:val="es-ES"/>
        </w:rPr>
      </w:pPr>
      <w:bookmarkStart w:id="1413" w:name="_Toc20902853"/>
      <w:r w:rsidRPr="001A4860">
        <w:rPr>
          <w:rFonts w:eastAsia="Calibri"/>
          <w:b/>
          <w:szCs w:val="24"/>
          <w:lang w:val="es-ES"/>
        </w:rPr>
        <w:t>REMOCION DE AGUA</w:t>
      </w:r>
      <w:bookmarkEnd w:id="1412"/>
      <w:bookmarkEnd w:id="1413"/>
    </w:p>
    <w:p w14:paraId="5022CA5A" w14:textId="77777777" w:rsidR="001A4860" w:rsidRPr="001A4860" w:rsidRDefault="001A4860" w:rsidP="001A4860">
      <w:pPr>
        <w:rPr>
          <w:rFonts w:eastAsia="Calibri"/>
          <w:kern w:val="28"/>
          <w:szCs w:val="24"/>
          <w:lang w:val="es-ES" w:eastAsia="en-GB"/>
        </w:rPr>
      </w:pPr>
      <w:r w:rsidRPr="001A4860">
        <w:rPr>
          <w:rFonts w:eastAsia="Calibri"/>
          <w:kern w:val="28"/>
          <w:szCs w:val="24"/>
          <w:lang w:val="es-ES" w:eastAsia="en-GB"/>
        </w:rPr>
        <w:t>El Contratista debe utilizar moto-bombas portátiles y todo otro equipo necesario para remover el agua de las zanjas y otras excavaciones. Se requiere que toda zanja se mantenga seca y no se permite que algún tubo o estructura, sea colocado en una zanja con agua estancada. El Contratista debe extraer el agua estancada de las zanjas y disponer la misma, de tal forma que no ocasione daño a la propiedad o inconveniencia al público.</w:t>
      </w:r>
    </w:p>
    <w:p w14:paraId="61B9CCD7" w14:textId="77777777" w:rsidR="001A4860" w:rsidRPr="001A4860" w:rsidRDefault="001A4860" w:rsidP="001A4860">
      <w:pPr>
        <w:rPr>
          <w:rFonts w:eastAsia="Calibri"/>
          <w:szCs w:val="24"/>
          <w:lang w:val="es-ES"/>
        </w:rPr>
      </w:pPr>
    </w:p>
    <w:p w14:paraId="2FF42E65" w14:textId="77777777" w:rsidR="001A4860" w:rsidRPr="001A4860" w:rsidRDefault="001A4860" w:rsidP="001A4860">
      <w:pPr>
        <w:rPr>
          <w:rFonts w:eastAsia="Calibri"/>
          <w:b/>
          <w:szCs w:val="24"/>
          <w:lang w:val="es-ES"/>
        </w:rPr>
      </w:pPr>
      <w:bookmarkStart w:id="1414" w:name="_Toc206575574"/>
      <w:bookmarkStart w:id="1415" w:name="_Toc20930079"/>
      <w:r w:rsidRPr="001A4860">
        <w:rPr>
          <w:rFonts w:eastAsia="Calibri"/>
          <w:b/>
          <w:szCs w:val="24"/>
          <w:lang w:val="es-ES"/>
        </w:rPr>
        <w:t>Colocación Y Disposición De Materiales Excavados</w:t>
      </w:r>
      <w:bookmarkEnd w:id="1414"/>
      <w:bookmarkEnd w:id="1415"/>
    </w:p>
    <w:p w14:paraId="45A4ADCF" w14:textId="77777777" w:rsidR="001A4860" w:rsidRPr="001A4860" w:rsidRDefault="001A4860" w:rsidP="001A4860">
      <w:pPr>
        <w:rPr>
          <w:rFonts w:eastAsia="Calibri"/>
          <w:szCs w:val="24"/>
          <w:lang w:val="es-ES"/>
        </w:rPr>
      </w:pPr>
      <w:r w:rsidRPr="001A4860">
        <w:rPr>
          <w:rFonts w:eastAsia="Calibri"/>
          <w:szCs w:val="24"/>
          <w:lang w:val="es-ES"/>
        </w:rPr>
        <w:t>Materiales extraídos de la zanja deben ser colocados y dispuestos de tal manera que no obstruyan indebidamente el tráfico de vehículos y peatones en las calles, aceras y entradas a casas.</w:t>
      </w:r>
    </w:p>
    <w:p w14:paraId="59ACC539" w14:textId="77777777" w:rsidR="001A4860" w:rsidRPr="001A4860" w:rsidRDefault="001A4860" w:rsidP="001A4860">
      <w:pPr>
        <w:rPr>
          <w:rFonts w:eastAsia="Calibri"/>
          <w:szCs w:val="24"/>
          <w:lang w:val="es-ES"/>
        </w:rPr>
      </w:pPr>
    </w:p>
    <w:p w14:paraId="5417128B" w14:textId="77777777" w:rsidR="001A4860" w:rsidRPr="001A4860" w:rsidRDefault="001A4860" w:rsidP="001A4860">
      <w:pPr>
        <w:rPr>
          <w:rFonts w:eastAsia="Calibri"/>
          <w:szCs w:val="24"/>
          <w:lang w:val="es-ES"/>
        </w:rPr>
      </w:pPr>
      <w:r w:rsidRPr="001A4860">
        <w:rPr>
          <w:rFonts w:eastAsia="Calibri"/>
          <w:szCs w:val="24"/>
          <w:lang w:val="es-ES"/>
        </w:rPr>
        <w:t>El Contratista puede levantar el relleno sobre zanja hasta una altura de 0.20 cms. sobre el nivel del terreno natural con el material de relleno sobrante. Si sobrara aún después de éste algún material o éste a juicio del Ingeniero no fuera adecuado para este fin, estos materiales deben ser removidos del sitio de la obra por el Contratista a un lugar adecuado señalado o aprobado por el Ingeniero.</w:t>
      </w:r>
    </w:p>
    <w:p w14:paraId="142F3B7C" w14:textId="77777777" w:rsidR="001A4860" w:rsidRPr="001A4860" w:rsidRDefault="001A4860" w:rsidP="001A4860">
      <w:pPr>
        <w:rPr>
          <w:rFonts w:eastAsia="Calibri"/>
          <w:szCs w:val="24"/>
          <w:lang w:val="es-ES"/>
        </w:rPr>
      </w:pPr>
    </w:p>
    <w:p w14:paraId="7309C77B" w14:textId="77777777" w:rsidR="001A4860" w:rsidRPr="001A4860" w:rsidRDefault="001A4860" w:rsidP="001A4860">
      <w:pPr>
        <w:rPr>
          <w:rFonts w:eastAsia="Calibri"/>
          <w:b/>
          <w:szCs w:val="24"/>
          <w:lang w:val="es-ES"/>
        </w:rPr>
      </w:pPr>
      <w:bookmarkStart w:id="1416" w:name="_Toc20930080"/>
      <w:r w:rsidRPr="001A4860">
        <w:rPr>
          <w:rFonts w:eastAsia="Calibri"/>
          <w:b/>
          <w:szCs w:val="24"/>
          <w:lang w:val="es-ES"/>
        </w:rPr>
        <w:lastRenderedPageBreak/>
        <w:t>Prueba De Tubería</w:t>
      </w:r>
      <w:bookmarkEnd w:id="1416"/>
    </w:p>
    <w:p w14:paraId="5936A5CE" w14:textId="77777777" w:rsidR="001A4860" w:rsidRPr="001A4860" w:rsidRDefault="001A4860" w:rsidP="001A4860">
      <w:pPr>
        <w:rPr>
          <w:rFonts w:eastAsia="Calibri"/>
          <w:szCs w:val="24"/>
          <w:lang w:val="es-ES"/>
        </w:rPr>
      </w:pPr>
      <w:r w:rsidRPr="001A4860">
        <w:rPr>
          <w:rFonts w:eastAsia="Calibri"/>
          <w:szCs w:val="24"/>
          <w:lang w:val="es-ES"/>
        </w:rPr>
        <w:t>La prueba de la tubería se hace a medida que la obra progresa, y en tramos no mayores de 300 metros, aunque a criterio del Ingeniero puede variarse la longitud por razones de practicidad tales como las facilidades de aislamiento por válvulas y los tiempos de llenado y vaciado de las tuberías. La tubería se debe someter a una prueba de presión hidrostática equivalente a 1.5 veces la presión estimada de trabajo, no siendo inferior en ningún caso a 160 psi. Estas presiones de prueba deben mantenerse durante no menos de una hora.</w:t>
      </w:r>
    </w:p>
    <w:p w14:paraId="2083ADE0" w14:textId="77777777" w:rsidR="001A4860" w:rsidRPr="001A4860" w:rsidRDefault="001A4860" w:rsidP="001A4860">
      <w:pPr>
        <w:rPr>
          <w:rFonts w:eastAsia="Calibri"/>
          <w:szCs w:val="24"/>
          <w:lang w:val="es-ES"/>
        </w:rPr>
      </w:pPr>
    </w:p>
    <w:p w14:paraId="76B21C46" w14:textId="77777777" w:rsidR="001A4860" w:rsidRPr="001A4860" w:rsidRDefault="001A4860" w:rsidP="001A4860">
      <w:pPr>
        <w:rPr>
          <w:rFonts w:eastAsia="Calibri"/>
          <w:szCs w:val="24"/>
          <w:lang w:val="es-ES"/>
        </w:rPr>
      </w:pPr>
      <w:r w:rsidRPr="001A4860">
        <w:rPr>
          <w:rFonts w:eastAsia="Calibri"/>
          <w:szCs w:val="24"/>
          <w:lang w:val="es-ES"/>
        </w:rPr>
        <w:t>Se requiere que todo aire sea expulsado del tubo antes de elevar la presión de prueba a lo aquí estipulado y con este fin se deben instalar llaves maestras donde el Ingeniero lo considere necesario, y debe ser asumido por cuenta del Contratista.</w:t>
      </w:r>
    </w:p>
    <w:p w14:paraId="29F3A896" w14:textId="77777777" w:rsidR="001A4860" w:rsidRPr="001A4860" w:rsidRDefault="001A4860" w:rsidP="001A4860">
      <w:pPr>
        <w:rPr>
          <w:rFonts w:eastAsia="Calibri"/>
          <w:szCs w:val="24"/>
          <w:lang w:val="es-ES"/>
        </w:rPr>
      </w:pPr>
    </w:p>
    <w:p w14:paraId="03973F6A" w14:textId="77777777" w:rsidR="001A4860" w:rsidRPr="001A4860" w:rsidRDefault="001A4860" w:rsidP="001A4860">
      <w:pPr>
        <w:rPr>
          <w:rFonts w:eastAsia="Calibri"/>
          <w:szCs w:val="24"/>
          <w:lang w:val="es-ES"/>
        </w:rPr>
      </w:pPr>
      <w:r w:rsidRPr="001A4860">
        <w:rPr>
          <w:rFonts w:eastAsia="Calibri"/>
          <w:szCs w:val="24"/>
          <w:lang w:val="es-ES"/>
        </w:rPr>
        <w:t>Los tubos y accesorios deben ser revisados cuidadosamente durante el ensayo a presión y todos esos que se encuentren rajados o dañados deben ser removidos y reemplazados por cuenta del Contratista.</w:t>
      </w:r>
    </w:p>
    <w:p w14:paraId="5C686C78" w14:textId="77777777" w:rsidR="001A4860" w:rsidRPr="001A4860" w:rsidRDefault="001A4860" w:rsidP="001A4860">
      <w:pPr>
        <w:rPr>
          <w:rFonts w:eastAsia="Calibri"/>
          <w:szCs w:val="24"/>
          <w:lang w:val="es-ES"/>
        </w:rPr>
      </w:pPr>
    </w:p>
    <w:p w14:paraId="2D1622D1" w14:textId="77777777" w:rsidR="001A4860" w:rsidRPr="001A4860" w:rsidRDefault="001A4860" w:rsidP="001A4860">
      <w:pPr>
        <w:rPr>
          <w:rFonts w:eastAsia="Calibri"/>
          <w:szCs w:val="24"/>
          <w:lang w:val="es-ES"/>
        </w:rPr>
      </w:pPr>
      <w:r w:rsidRPr="001A4860">
        <w:rPr>
          <w:rFonts w:eastAsia="Calibri"/>
          <w:szCs w:val="24"/>
          <w:lang w:val="es-ES"/>
        </w:rPr>
        <w:t xml:space="preserve">Toda junta debe ser revisada durante la prueba y donde se manifieste exfiltración o derrame el Contratista debe reparar las juntas hasta que éstas queden impermeables. </w:t>
      </w:r>
    </w:p>
    <w:p w14:paraId="454282FE" w14:textId="77777777" w:rsidR="001A4860" w:rsidRPr="001A4860" w:rsidRDefault="001A4860" w:rsidP="001A4860">
      <w:pPr>
        <w:rPr>
          <w:rFonts w:eastAsia="Calibri"/>
          <w:szCs w:val="24"/>
          <w:highlight w:val="green"/>
          <w:lang w:val="es-ES"/>
        </w:rPr>
      </w:pPr>
    </w:p>
    <w:p w14:paraId="23A826A9" w14:textId="77777777" w:rsidR="001A4860" w:rsidRPr="001A4860" w:rsidRDefault="001A4860" w:rsidP="001A4860">
      <w:pPr>
        <w:rPr>
          <w:rFonts w:eastAsia="Calibri"/>
          <w:b/>
          <w:szCs w:val="24"/>
          <w:lang w:val="es-ES"/>
        </w:rPr>
      </w:pPr>
      <w:bookmarkStart w:id="1417" w:name="_Toc20930081"/>
      <w:r w:rsidRPr="001A4860">
        <w:rPr>
          <w:rFonts w:eastAsia="Calibri"/>
          <w:b/>
          <w:szCs w:val="24"/>
          <w:lang w:val="es-ES"/>
        </w:rPr>
        <w:t>Desinfección</w:t>
      </w:r>
      <w:bookmarkEnd w:id="1417"/>
    </w:p>
    <w:p w14:paraId="04DFF9D0" w14:textId="77777777" w:rsidR="001A4860" w:rsidRPr="001A4860" w:rsidRDefault="001A4860" w:rsidP="001A4860">
      <w:pPr>
        <w:rPr>
          <w:rFonts w:eastAsia="Calibri"/>
          <w:szCs w:val="24"/>
          <w:lang w:val="es-ES"/>
        </w:rPr>
      </w:pPr>
      <w:r w:rsidRPr="001A4860">
        <w:rPr>
          <w:rFonts w:eastAsia="Calibri"/>
          <w:szCs w:val="24"/>
          <w:lang w:val="es-ES"/>
        </w:rPr>
        <w:t>Después del ensayo la tubería debe ser limpiada y desinfectada. La desinfección se efectúa llenando la tubería con agua e introduciendo una solución de cloro en suficiente cantidad para obtener en el agua un mínimo de 10 ppm de cloro residual después de 24 horas.</w:t>
      </w:r>
    </w:p>
    <w:p w14:paraId="1F7F60EE" w14:textId="77777777" w:rsidR="001A4860" w:rsidRPr="001A4860" w:rsidRDefault="001A4860" w:rsidP="001A4860">
      <w:pPr>
        <w:rPr>
          <w:rFonts w:eastAsia="Calibri"/>
          <w:szCs w:val="24"/>
          <w:lang w:val="es-ES" w:eastAsia="en-GB"/>
        </w:rPr>
      </w:pPr>
    </w:p>
    <w:p w14:paraId="74B63F0F" w14:textId="77777777" w:rsidR="001A4860" w:rsidRPr="001A4860" w:rsidRDefault="001A4860" w:rsidP="001A4860">
      <w:pPr>
        <w:rPr>
          <w:rFonts w:eastAsia="Calibri"/>
          <w:szCs w:val="24"/>
          <w:lang w:val="es-ES"/>
        </w:rPr>
      </w:pPr>
      <w:r w:rsidRPr="001A4860">
        <w:rPr>
          <w:rFonts w:eastAsia="Calibri"/>
          <w:szCs w:val="24"/>
          <w:lang w:val="es-ES"/>
        </w:rPr>
        <w:t>El Contratista debe suministrar todo aparato, equipo y cloro necesario para efectuar la desinfección de la tubería, además de los tubos y equipos que sean necesarios para remover el agua durante el la limpieza y desinfección de la tubería.</w:t>
      </w:r>
    </w:p>
    <w:p w14:paraId="0E9E0FEC" w14:textId="77777777" w:rsidR="001A4860" w:rsidRPr="001A4860" w:rsidRDefault="001A4860" w:rsidP="001A4860">
      <w:pPr>
        <w:rPr>
          <w:rFonts w:eastAsia="Calibri"/>
          <w:szCs w:val="24"/>
          <w:lang w:val="es-ES"/>
        </w:rPr>
      </w:pPr>
    </w:p>
    <w:p w14:paraId="60D592BF" w14:textId="77777777" w:rsidR="001A4860" w:rsidRPr="001A4860" w:rsidRDefault="001A4860" w:rsidP="001A4860">
      <w:pPr>
        <w:rPr>
          <w:rFonts w:eastAsia="Calibri"/>
          <w:b/>
          <w:szCs w:val="24"/>
          <w:lang w:val="es-ES"/>
        </w:rPr>
      </w:pPr>
      <w:bookmarkStart w:id="1418" w:name="_Toc20930082"/>
      <w:r w:rsidRPr="001A4860">
        <w:rPr>
          <w:rFonts w:eastAsia="Calibri"/>
          <w:b/>
          <w:szCs w:val="24"/>
          <w:lang w:val="es-ES"/>
        </w:rPr>
        <w:t>Bloques De Reacción</w:t>
      </w:r>
      <w:bookmarkEnd w:id="1418"/>
    </w:p>
    <w:p w14:paraId="7C6B8432" w14:textId="77777777" w:rsidR="001A4860" w:rsidRPr="001A4860" w:rsidRDefault="001A4860" w:rsidP="001A4860">
      <w:pPr>
        <w:rPr>
          <w:rFonts w:eastAsia="Calibri"/>
          <w:szCs w:val="24"/>
          <w:lang w:val="es-ES"/>
        </w:rPr>
      </w:pPr>
      <w:r w:rsidRPr="001A4860">
        <w:rPr>
          <w:rFonts w:eastAsia="Calibri"/>
          <w:szCs w:val="24"/>
          <w:lang w:val="es-ES"/>
        </w:rPr>
        <w:t>Bloques de reacción de concreto deben colocarse en los sitios designados por el Ingeniero incluyendo tees, codos, reductores, tapones, etc. Todo bloque de reacción se debe colocar contra tierra firme y las dimensiones de estos deben estar de acuerdo con lo indicado en los planos.</w:t>
      </w:r>
    </w:p>
    <w:p w14:paraId="43BB7810" w14:textId="77777777" w:rsidR="001A4860" w:rsidRPr="001A4860" w:rsidRDefault="001A4860" w:rsidP="001A4860">
      <w:pPr>
        <w:rPr>
          <w:rFonts w:eastAsia="Calibri"/>
          <w:szCs w:val="24"/>
          <w:lang w:val="es-ES"/>
        </w:rPr>
      </w:pPr>
    </w:p>
    <w:p w14:paraId="09F9C812" w14:textId="77777777" w:rsidR="001A4860" w:rsidRPr="001A4860" w:rsidRDefault="001A4860" w:rsidP="001A4860">
      <w:pPr>
        <w:rPr>
          <w:rFonts w:eastAsia="Calibri"/>
          <w:b/>
          <w:szCs w:val="24"/>
          <w:lang w:val="es-ES"/>
        </w:rPr>
      </w:pPr>
      <w:bookmarkStart w:id="1419" w:name="_Toc20930083"/>
      <w:r w:rsidRPr="001A4860">
        <w:rPr>
          <w:rFonts w:eastAsia="Calibri"/>
          <w:b/>
          <w:szCs w:val="24"/>
          <w:lang w:val="es-ES"/>
        </w:rPr>
        <w:t>Restauración de la Superficie</w:t>
      </w:r>
      <w:bookmarkEnd w:id="1419"/>
    </w:p>
    <w:p w14:paraId="4E7D0E3D" w14:textId="77777777" w:rsidR="001A4860" w:rsidRPr="001A4860" w:rsidRDefault="001A4860" w:rsidP="001A4860">
      <w:pPr>
        <w:rPr>
          <w:rFonts w:eastAsia="Calibri"/>
          <w:szCs w:val="24"/>
          <w:lang w:val="es-ES"/>
        </w:rPr>
      </w:pPr>
      <w:r w:rsidRPr="001A4860">
        <w:rPr>
          <w:rFonts w:eastAsia="Calibri"/>
          <w:szCs w:val="24"/>
          <w:lang w:val="es-ES"/>
        </w:rPr>
        <w:t>El Contratista debe restaurar a su condición original, toda superficie removida o perturbada por él durante la ejecución de la obra.</w:t>
      </w:r>
    </w:p>
    <w:p w14:paraId="2E9820BD" w14:textId="77777777" w:rsidR="001A4860" w:rsidRPr="001A4860" w:rsidRDefault="001A4860" w:rsidP="001A4860">
      <w:pPr>
        <w:rPr>
          <w:rFonts w:eastAsia="Calibri"/>
          <w:szCs w:val="24"/>
          <w:lang w:val="es-ES"/>
        </w:rPr>
      </w:pPr>
    </w:p>
    <w:p w14:paraId="1D2CBFB0" w14:textId="77777777" w:rsidR="001A4860" w:rsidRPr="001A4860" w:rsidRDefault="001A4860" w:rsidP="001A4860">
      <w:pPr>
        <w:rPr>
          <w:rFonts w:eastAsia="Calibri"/>
          <w:b/>
          <w:szCs w:val="24"/>
          <w:lang w:val="es-ES"/>
        </w:rPr>
      </w:pPr>
      <w:bookmarkStart w:id="1420" w:name="_Toc20930084"/>
      <w:r w:rsidRPr="001A4860">
        <w:rPr>
          <w:rFonts w:eastAsia="Calibri"/>
          <w:b/>
          <w:szCs w:val="24"/>
          <w:lang w:val="es-ES"/>
        </w:rPr>
        <w:t>Aceras y Andenes</w:t>
      </w:r>
      <w:bookmarkEnd w:id="1420"/>
    </w:p>
    <w:p w14:paraId="58C29249" w14:textId="77777777" w:rsidR="001A4860" w:rsidRPr="001A4860" w:rsidRDefault="001A4860" w:rsidP="001A4860">
      <w:pPr>
        <w:rPr>
          <w:rFonts w:eastAsia="Calibri"/>
          <w:szCs w:val="24"/>
          <w:lang w:val="es-ES"/>
        </w:rPr>
      </w:pPr>
      <w:r w:rsidRPr="001A4860">
        <w:rPr>
          <w:rFonts w:eastAsia="Calibri"/>
          <w:szCs w:val="24"/>
          <w:lang w:val="es-ES"/>
        </w:rPr>
        <w:t>Este ítem incluye el suministro de todo material, mano de obra, herramientas y equipo necesarios para restaurar a su condición original, los andenes de concreto que sean removidos o dañados necesariamente durante la instalación de la tubería.  Todo trabajo se efectuará de acuerdo con lo aquí estipulado, e indicado en los planos, u ordenado por el Ingeniero Supervisor.</w:t>
      </w:r>
    </w:p>
    <w:p w14:paraId="3B72E212" w14:textId="77777777" w:rsidR="001A4860" w:rsidRPr="001A4860" w:rsidRDefault="001A4860" w:rsidP="001A4860">
      <w:pPr>
        <w:rPr>
          <w:rFonts w:eastAsia="Calibri"/>
          <w:szCs w:val="24"/>
          <w:lang w:val="es-ES"/>
        </w:rPr>
      </w:pPr>
    </w:p>
    <w:p w14:paraId="4157A76D"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421" w:name="_Toc505613790"/>
      <w:r w:rsidRPr="001A4860">
        <w:rPr>
          <w:b/>
          <w:color w:val="000000"/>
          <w:szCs w:val="24"/>
          <w:lang w:val="es-ES"/>
        </w:rPr>
        <w:lastRenderedPageBreak/>
        <w:t>Conexiones Domiciliares</w:t>
      </w:r>
      <w:bookmarkEnd w:id="1421"/>
      <w:r w:rsidRPr="001A4860">
        <w:rPr>
          <w:b/>
          <w:color w:val="000000"/>
          <w:szCs w:val="24"/>
          <w:lang w:val="es-ES"/>
        </w:rPr>
        <w:t xml:space="preserve"> </w:t>
      </w:r>
    </w:p>
    <w:p w14:paraId="5ABEE719" w14:textId="77777777" w:rsidR="001A4860" w:rsidRPr="001A4860" w:rsidRDefault="001A4860" w:rsidP="001A4860">
      <w:pPr>
        <w:rPr>
          <w:rFonts w:eastAsia="Calibri"/>
          <w:szCs w:val="24"/>
          <w:lang w:val="es-ES"/>
        </w:rPr>
      </w:pPr>
      <w:r w:rsidRPr="001A4860">
        <w:rPr>
          <w:rFonts w:eastAsia="Calibri"/>
          <w:szCs w:val="24"/>
          <w:lang w:val="es-ES"/>
        </w:rPr>
        <w:t>Comprende el suministro de todos los materiales, herramientas, equipo, transporte y mano de obra necesaria para instalar conexiones domiciliares y relocalización de conexiones domiciliares existentes, según esquema mostrado en los planos. El Contratista deberá realizar por su propia cuenta las localizaciones y descubrimiento de tubería existente, excavación y relleno, compactación, remoción de agua, instalación de la conexión, restauración de la superficie a su estado original y todo lo necesario para dejar un trabajo completamente terminado y a satisfacción.</w:t>
      </w:r>
    </w:p>
    <w:p w14:paraId="68B49680" w14:textId="77777777" w:rsidR="001A4860" w:rsidRPr="001A4860" w:rsidRDefault="001A4860" w:rsidP="001A4860">
      <w:pPr>
        <w:rPr>
          <w:rFonts w:eastAsia="Calibri"/>
          <w:szCs w:val="24"/>
          <w:lang w:val="es-ES"/>
        </w:rPr>
      </w:pPr>
    </w:p>
    <w:p w14:paraId="72FEA655"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Esta actividad también incluye la mano de obra para la instalación del medidor y los accesorios que se requieren para la instalación del mismo. El medidor es proporcionado por el Beneficiario.</w:t>
      </w:r>
    </w:p>
    <w:p w14:paraId="2E3FF20E" w14:textId="77777777" w:rsidR="001A4860" w:rsidRPr="001A4860" w:rsidRDefault="001A4860" w:rsidP="003B68DB">
      <w:pPr>
        <w:keepNext/>
        <w:keepLines/>
        <w:numPr>
          <w:ilvl w:val="1"/>
          <w:numId w:val="196"/>
        </w:numPr>
        <w:spacing w:after="160" w:line="360" w:lineRule="auto"/>
        <w:ind w:left="0" w:firstLine="0"/>
        <w:jc w:val="left"/>
        <w:outlineLvl w:val="2"/>
        <w:rPr>
          <w:b/>
          <w:bCs/>
          <w:color w:val="000000"/>
          <w:szCs w:val="24"/>
          <w:lang w:val="es-ES"/>
        </w:rPr>
      </w:pPr>
      <w:bookmarkStart w:id="1422" w:name="_Toc310550105"/>
      <w:bookmarkStart w:id="1423" w:name="_Toc344461272"/>
      <w:bookmarkStart w:id="1424" w:name="_Toc344723244"/>
      <w:bookmarkStart w:id="1425" w:name="_Toc351657270"/>
      <w:bookmarkStart w:id="1426" w:name="_Toc485034192"/>
      <w:bookmarkStart w:id="1427" w:name="_Toc505613791"/>
      <w:bookmarkStart w:id="1428" w:name="_Toc305746126"/>
      <w:r w:rsidRPr="001A4860">
        <w:rPr>
          <w:b/>
          <w:bCs/>
          <w:color w:val="000000"/>
          <w:szCs w:val="24"/>
          <w:lang w:val="es-ES"/>
        </w:rPr>
        <w:t>Materiales</w:t>
      </w:r>
      <w:bookmarkEnd w:id="1422"/>
      <w:bookmarkEnd w:id="1423"/>
      <w:bookmarkEnd w:id="1424"/>
      <w:bookmarkEnd w:id="1425"/>
      <w:bookmarkEnd w:id="1426"/>
      <w:bookmarkEnd w:id="1427"/>
    </w:p>
    <w:p w14:paraId="6635E192" w14:textId="77777777" w:rsidR="001A4860" w:rsidRPr="001A4860" w:rsidRDefault="001A4860" w:rsidP="001A4860">
      <w:pPr>
        <w:spacing w:after="160" w:line="259" w:lineRule="auto"/>
        <w:jc w:val="left"/>
        <w:rPr>
          <w:rFonts w:eastAsia="Calibri"/>
          <w:b/>
          <w:i/>
          <w:szCs w:val="24"/>
          <w:lang w:val="es-ES"/>
        </w:rPr>
      </w:pPr>
      <w:bookmarkStart w:id="1429" w:name="_Toc310550106"/>
      <w:bookmarkStart w:id="1430" w:name="_Toc344461273"/>
      <w:bookmarkStart w:id="1431" w:name="_Toc344723245"/>
      <w:bookmarkStart w:id="1432" w:name="_Toc351657271"/>
      <w:bookmarkStart w:id="1433" w:name="_Toc505613792"/>
      <w:r w:rsidRPr="001A4860">
        <w:rPr>
          <w:rFonts w:eastAsia="Calibri"/>
          <w:b/>
          <w:szCs w:val="24"/>
          <w:lang w:val="es-ES"/>
        </w:rPr>
        <w:t>Medidor domiciliar de agua</w:t>
      </w:r>
      <w:bookmarkEnd w:id="1428"/>
      <w:bookmarkEnd w:id="1429"/>
      <w:bookmarkEnd w:id="1430"/>
      <w:bookmarkEnd w:id="1431"/>
      <w:bookmarkEnd w:id="1432"/>
      <w:bookmarkEnd w:id="1433"/>
    </w:p>
    <w:p w14:paraId="3C1B79C0" w14:textId="77777777" w:rsidR="001A4860" w:rsidRPr="001A4860" w:rsidRDefault="001A4860" w:rsidP="001A4860">
      <w:pPr>
        <w:rPr>
          <w:rFonts w:eastAsia="Calibri"/>
          <w:szCs w:val="24"/>
          <w:lang w:val="es-ES"/>
        </w:rPr>
      </w:pPr>
      <w:r w:rsidRPr="001A4860">
        <w:rPr>
          <w:rFonts w:eastAsia="Calibri"/>
          <w:szCs w:val="24"/>
          <w:lang w:val="es-ES"/>
        </w:rPr>
        <w:t xml:space="preserve">El medidor domiciliar de agua, será de chorro múltiple de Ø1/2” de diámetro, debe de cumplir con las especificaciones ASTM A-536, diseñado para agua fría y para una presión de trabajo mínima de 250 PSI. </w:t>
      </w:r>
    </w:p>
    <w:p w14:paraId="051AA12E" w14:textId="77777777" w:rsidR="001A4860" w:rsidRPr="001A4860" w:rsidRDefault="001A4860" w:rsidP="001A4860">
      <w:pPr>
        <w:rPr>
          <w:rFonts w:eastAsia="Calibri"/>
          <w:szCs w:val="24"/>
          <w:lang w:val="es-ES"/>
        </w:rPr>
      </w:pPr>
    </w:p>
    <w:p w14:paraId="69A620CC" w14:textId="77777777" w:rsidR="001A4860" w:rsidRPr="001A4860" w:rsidRDefault="001A4860" w:rsidP="001A4860">
      <w:pPr>
        <w:rPr>
          <w:rFonts w:eastAsia="Calibri"/>
          <w:szCs w:val="24"/>
          <w:lang w:val="es-ES"/>
        </w:rPr>
      </w:pPr>
      <w:r w:rsidRPr="001A4860">
        <w:rPr>
          <w:rFonts w:eastAsia="Calibri"/>
          <w:szCs w:val="24"/>
          <w:lang w:val="es-ES"/>
        </w:rPr>
        <w:t>El registro del medidor tendrá estará sellado herméticamente y su accionamiento será magnético y tendrá protección contra influencia magnética externa. Además, tendrá un filtro en la entrada, detector de fuga, calibración externa, tendrá mínima fricción sobre el rodamiento de la turbina, tendrá vidrio de alta resistencia a las ralladuras y tendrá válvula interna anti retorno, por tanto, deberá de cumplir con las Normas ISO 4064 para clase B.  El rango de medición de caudales será como mínimo 30.0 L/h y como máximo 3 m³/h.</w:t>
      </w:r>
    </w:p>
    <w:p w14:paraId="25453011" w14:textId="77777777" w:rsidR="001A4860" w:rsidRPr="001A4860" w:rsidRDefault="001A4860" w:rsidP="001A4860">
      <w:pPr>
        <w:rPr>
          <w:rFonts w:eastAsia="Calibri"/>
          <w:szCs w:val="24"/>
          <w:lang w:val="es-ES"/>
        </w:rPr>
      </w:pPr>
    </w:p>
    <w:p w14:paraId="6A51BC9D" w14:textId="77777777" w:rsidR="001A4860" w:rsidRPr="001A4860" w:rsidRDefault="001A4860" w:rsidP="001A4860">
      <w:pPr>
        <w:keepNext/>
        <w:keepLines/>
        <w:spacing w:line="360" w:lineRule="auto"/>
        <w:outlineLvl w:val="1"/>
        <w:rPr>
          <w:b/>
          <w:color w:val="000000"/>
          <w:szCs w:val="24"/>
          <w:lang w:val="es-ES"/>
        </w:rPr>
      </w:pPr>
      <w:bookmarkStart w:id="1434" w:name="_Toc305746127"/>
      <w:bookmarkStart w:id="1435" w:name="_Toc310550107"/>
      <w:bookmarkStart w:id="1436" w:name="_Toc344461274"/>
      <w:bookmarkStart w:id="1437" w:name="_Toc344723246"/>
      <w:bookmarkStart w:id="1438" w:name="_Toc351657272"/>
      <w:bookmarkStart w:id="1439" w:name="_Toc485034193"/>
      <w:bookmarkStart w:id="1440" w:name="_Toc505613793"/>
      <w:r w:rsidRPr="001A4860">
        <w:rPr>
          <w:b/>
          <w:color w:val="000000"/>
          <w:szCs w:val="24"/>
          <w:lang w:val="es-ES"/>
        </w:rPr>
        <w:t xml:space="preserve">Tuberías </w:t>
      </w:r>
      <w:bookmarkEnd w:id="1434"/>
      <w:bookmarkEnd w:id="1435"/>
      <w:bookmarkEnd w:id="1436"/>
      <w:bookmarkEnd w:id="1437"/>
      <w:bookmarkEnd w:id="1438"/>
      <w:r w:rsidRPr="001A4860">
        <w:rPr>
          <w:b/>
          <w:color w:val="000000"/>
          <w:szCs w:val="24"/>
          <w:lang w:val="es-ES"/>
        </w:rPr>
        <w:t>y accesorios</w:t>
      </w:r>
      <w:bookmarkEnd w:id="1439"/>
      <w:bookmarkEnd w:id="1440"/>
    </w:p>
    <w:p w14:paraId="5CBDB4F7" w14:textId="77777777" w:rsidR="001A4860" w:rsidRPr="001A4860" w:rsidRDefault="001A4860" w:rsidP="001A4860">
      <w:pPr>
        <w:rPr>
          <w:rFonts w:eastAsia="Calibri"/>
          <w:szCs w:val="24"/>
          <w:lang w:val="es-ES"/>
        </w:rPr>
      </w:pPr>
      <w:r w:rsidRPr="001A4860">
        <w:rPr>
          <w:rFonts w:eastAsia="Calibri"/>
          <w:szCs w:val="24"/>
          <w:lang w:val="es-ES"/>
        </w:rPr>
        <w:t>La tubería a utilizarse en las conexiones domiciliares será de cloruro de polivinilo (PVC) el cual deberá ajustarse a las normas ASTM D-2241-73, Cédula SDR-13.5 para una presión de trabajo de 315 psi. El tipo de unión para la tubería de Ø1/2” será con extremo acampanado para hacer uniones cementadas. Los accesorios de PVC de la conexión serán Cédula 40.  Las abrazaderas o silletas para la unión de la conexión domiciliar con la tubería matriz principal serán de PVC y tendrán pernos de acero de Ø1/2” y tuercas hexagonales.</w:t>
      </w:r>
    </w:p>
    <w:p w14:paraId="74D45114" w14:textId="77777777" w:rsidR="001A4860" w:rsidRPr="001A4860" w:rsidRDefault="001A4860" w:rsidP="001A4860">
      <w:pPr>
        <w:rPr>
          <w:rFonts w:eastAsia="Calibri"/>
          <w:szCs w:val="24"/>
          <w:lang w:val="es-ES"/>
        </w:rPr>
      </w:pPr>
    </w:p>
    <w:p w14:paraId="103754F2" w14:textId="77777777" w:rsidR="001A4860" w:rsidRPr="001A4860" w:rsidRDefault="001A4860" w:rsidP="001A4860">
      <w:pPr>
        <w:rPr>
          <w:rFonts w:eastAsia="Calibri"/>
          <w:szCs w:val="24"/>
          <w:lang w:val="es-ES"/>
        </w:rPr>
      </w:pPr>
      <w:r w:rsidRPr="001A4860">
        <w:rPr>
          <w:rFonts w:eastAsia="Calibri"/>
          <w:szCs w:val="24"/>
          <w:lang w:val="es-ES"/>
        </w:rPr>
        <w:t>El diámetro interno de las abrazaderas deberá ser adaptable al diámetro externo de la tubería matriz, no debiendo existir protuberancias en la superficie interior del cuerpo de la abrazadera que pueda obstaculizar el apoyo uniforme de la misma sobre el tubo de alimentación de la conexión.</w:t>
      </w:r>
    </w:p>
    <w:p w14:paraId="35C271F3" w14:textId="77777777" w:rsidR="001A4860" w:rsidRPr="001A4860" w:rsidRDefault="001A4860" w:rsidP="001A4860">
      <w:pPr>
        <w:rPr>
          <w:rFonts w:eastAsia="Calibri"/>
          <w:szCs w:val="24"/>
          <w:lang w:val="es-ES"/>
        </w:rPr>
      </w:pPr>
    </w:p>
    <w:p w14:paraId="7F9A4D4B" w14:textId="77777777" w:rsidR="001A4860" w:rsidRPr="001A4860" w:rsidRDefault="001A4860" w:rsidP="001A4860">
      <w:pPr>
        <w:keepNext/>
        <w:keepLines/>
        <w:spacing w:line="360" w:lineRule="auto"/>
        <w:outlineLvl w:val="1"/>
        <w:rPr>
          <w:b/>
          <w:color w:val="000000"/>
          <w:szCs w:val="24"/>
          <w:lang w:val="es-ES"/>
        </w:rPr>
      </w:pPr>
      <w:bookmarkStart w:id="1441" w:name="_Toc305746128"/>
      <w:bookmarkStart w:id="1442" w:name="_Toc310550108"/>
      <w:bookmarkStart w:id="1443" w:name="_Toc344461275"/>
      <w:bookmarkStart w:id="1444" w:name="_Toc344723247"/>
      <w:bookmarkStart w:id="1445" w:name="_Toc351657273"/>
      <w:bookmarkStart w:id="1446" w:name="_Toc485034194"/>
      <w:bookmarkStart w:id="1447" w:name="_Toc505613794"/>
      <w:r w:rsidRPr="001A4860">
        <w:rPr>
          <w:b/>
          <w:color w:val="000000"/>
          <w:szCs w:val="24"/>
          <w:lang w:val="es-ES"/>
        </w:rPr>
        <w:t>Actividades Constructivas</w:t>
      </w:r>
      <w:bookmarkEnd w:id="1441"/>
      <w:bookmarkEnd w:id="1442"/>
      <w:bookmarkEnd w:id="1443"/>
      <w:bookmarkEnd w:id="1444"/>
      <w:bookmarkEnd w:id="1445"/>
      <w:bookmarkEnd w:id="1446"/>
      <w:bookmarkEnd w:id="1447"/>
    </w:p>
    <w:p w14:paraId="5D94242A"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Los protagonistas (beneficiarios) y el CAPS es el responsable de la compra de los medidores. El Supervisor señalará al Contratista la ubicación exacta de cada una de las conexiones a construir, además será el garante de la entrega y puesta de este. </w:t>
      </w:r>
    </w:p>
    <w:p w14:paraId="173C4B15" w14:textId="77777777" w:rsidR="001A4860" w:rsidRPr="001A4860" w:rsidRDefault="001A4860" w:rsidP="001A4860">
      <w:pPr>
        <w:keepNext/>
        <w:keepLines/>
        <w:spacing w:line="360" w:lineRule="auto"/>
        <w:outlineLvl w:val="4"/>
        <w:rPr>
          <w:b/>
          <w:i/>
          <w:color w:val="000000"/>
          <w:szCs w:val="24"/>
          <w:lang w:val="es-ES" w:eastAsia="es-ES"/>
        </w:rPr>
      </w:pPr>
      <w:bookmarkStart w:id="1448" w:name="_Toc305746129"/>
      <w:bookmarkStart w:id="1449" w:name="_Toc310550109"/>
      <w:bookmarkStart w:id="1450" w:name="_Toc344461276"/>
      <w:bookmarkStart w:id="1451" w:name="_Toc344723248"/>
      <w:bookmarkStart w:id="1452" w:name="_Toc351657274"/>
      <w:bookmarkStart w:id="1453" w:name="_Toc505613795"/>
      <w:r w:rsidRPr="001A4860">
        <w:rPr>
          <w:b/>
          <w:color w:val="000000"/>
          <w:szCs w:val="24"/>
          <w:lang w:val="es-ES" w:eastAsia="es-ES"/>
        </w:rPr>
        <w:lastRenderedPageBreak/>
        <w:t>Excavación</w:t>
      </w:r>
      <w:bookmarkEnd w:id="1448"/>
      <w:bookmarkEnd w:id="1449"/>
      <w:bookmarkEnd w:id="1450"/>
      <w:bookmarkEnd w:id="1451"/>
      <w:bookmarkEnd w:id="1452"/>
      <w:bookmarkEnd w:id="1453"/>
    </w:p>
    <w:p w14:paraId="7F1926B6" w14:textId="77777777" w:rsidR="001A4860" w:rsidRPr="001A4860" w:rsidRDefault="001A4860" w:rsidP="001A4860">
      <w:pPr>
        <w:rPr>
          <w:rFonts w:eastAsia="Calibri"/>
          <w:szCs w:val="24"/>
          <w:lang w:val="es-ES"/>
        </w:rPr>
      </w:pPr>
      <w:r w:rsidRPr="001A4860">
        <w:rPr>
          <w:rFonts w:eastAsia="Calibri"/>
          <w:szCs w:val="24"/>
          <w:lang w:val="es-ES"/>
        </w:rPr>
        <w:t>El trazado de las conexiones será a 90° respecto a la tubería de alimentación de la conexión. Las excavaciones se realizarán con esta alineación, variando la profundidad de 1.00 m en el punto de conexión de la tubería principal y 0.80 metros en el final de la misma. Los costados de la zanja deberán ser verticales y el fondo conformado a mano de tal manera que se obtenga un apoyo uniforme, continuo en toda su longitud. El ancho de la zanja no deberá exceder de 0.60 metros.</w:t>
      </w:r>
    </w:p>
    <w:p w14:paraId="02EF1C44" w14:textId="77777777" w:rsidR="001A4860" w:rsidRPr="001A4860" w:rsidRDefault="001A4860" w:rsidP="001A4860">
      <w:pPr>
        <w:rPr>
          <w:rFonts w:eastAsia="Calibri"/>
          <w:szCs w:val="24"/>
          <w:lang w:val="es-ES"/>
        </w:rPr>
      </w:pPr>
    </w:p>
    <w:p w14:paraId="2A1C11D4" w14:textId="77777777" w:rsidR="001A4860" w:rsidRPr="001A4860" w:rsidRDefault="001A4860" w:rsidP="001A4860">
      <w:pPr>
        <w:rPr>
          <w:rFonts w:eastAsia="Calibri"/>
          <w:szCs w:val="24"/>
          <w:lang w:val="es-ES"/>
        </w:rPr>
      </w:pPr>
      <w:r w:rsidRPr="001A4860">
        <w:rPr>
          <w:rFonts w:eastAsia="Calibri"/>
          <w:szCs w:val="24"/>
          <w:lang w:val="es-ES"/>
        </w:rPr>
        <w:t>Cuando en el fondo de la zanja se encuentren materiales inestables, basura o materiales orgánicos, deberán ser removidos y reemplazados por material granular. El Contratista removerá toda agua que se colecte en las zanjas mientras se están haciendo las conexiones. No se permitirá la entrada de agua a las tuberías. El agua encontrada será eliminada de una manera satisfactoria para El Supervisor.</w:t>
      </w:r>
    </w:p>
    <w:p w14:paraId="11E4C38B" w14:textId="77777777" w:rsidR="001A4860" w:rsidRPr="001A4860" w:rsidRDefault="001A4860" w:rsidP="001A4860">
      <w:pPr>
        <w:rPr>
          <w:rFonts w:eastAsia="Calibri"/>
          <w:szCs w:val="24"/>
          <w:lang w:val="es-ES"/>
        </w:rPr>
      </w:pPr>
    </w:p>
    <w:p w14:paraId="102E6798" w14:textId="77777777" w:rsidR="001A4860" w:rsidRPr="001A4860" w:rsidRDefault="001A4860" w:rsidP="001A4860">
      <w:pPr>
        <w:keepNext/>
        <w:keepLines/>
        <w:spacing w:line="360" w:lineRule="auto"/>
        <w:outlineLvl w:val="4"/>
        <w:rPr>
          <w:b/>
          <w:i/>
          <w:color w:val="000000"/>
          <w:szCs w:val="24"/>
          <w:lang w:val="es-ES" w:eastAsia="es-ES"/>
        </w:rPr>
      </w:pPr>
      <w:bookmarkStart w:id="1454" w:name="_Toc305746130"/>
      <w:bookmarkStart w:id="1455" w:name="_Toc310550110"/>
      <w:bookmarkStart w:id="1456" w:name="_Toc344461277"/>
      <w:bookmarkStart w:id="1457" w:name="_Toc344723249"/>
      <w:bookmarkStart w:id="1458" w:name="_Toc351657275"/>
      <w:bookmarkStart w:id="1459" w:name="_Toc505613796"/>
      <w:r w:rsidRPr="001A4860">
        <w:rPr>
          <w:b/>
          <w:color w:val="000000"/>
          <w:szCs w:val="24"/>
          <w:lang w:val="es-ES" w:eastAsia="es-ES"/>
        </w:rPr>
        <w:t>Instalación de tubería</w:t>
      </w:r>
      <w:bookmarkEnd w:id="1454"/>
      <w:bookmarkEnd w:id="1455"/>
      <w:bookmarkEnd w:id="1456"/>
      <w:bookmarkEnd w:id="1457"/>
      <w:bookmarkEnd w:id="1458"/>
      <w:bookmarkEnd w:id="1459"/>
    </w:p>
    <w:p w14:paraId="5F48D941" w14:textId="77777777" w:rsidR="001A4860" w:rsidRPr="001A4860" w:rsidRDefault="001A4860" w:rsidP="001A4860">
      <w:pPr>
        <w:rPr>
          <w:rFonts w:eastAsia="Calibri"/>
          <w:szCs w:val="24"/>
          <w:lang w:val="es-ES"/>
        </w:rPr>
      </w:pPr>
      <w:r w:rsidRPr="001A4860">
        <w:rPr>
          <w:rFonts w:eastAsia="Calibri"/>
          <w:szCs w:val="24"/>
          <w:lang w:val="es-ES"/>
        </w:rPr>
        <w:t>La perforación de tubería de servicios de agua potable se hará en un costado del tubo en un ángulo de 45 grados respecto al eje horizontal. Antes de colocar la abrazadera, el tubo debe 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08C384CF" w14:textId="77777777" w:rsidR="001A4860" w:rsidRPr="001A4860" w:rsidRDefault="001A4860" w:rsidP="001A4860">
      <w:pPr>
        <w:rPr>
          <w:rFonts w:eastAsia="Calibri"/>
          <w:szCs w:val="24"/>
          <w:lang w:val="es-ES"/>
        </w:rPr>
      </w:pPr>
    </w:p>
    <w:p w14:paraId="4FCAA5C8" w14:textId="77777777" w:rsidR="001A4860" w:rsidRPr="001A4860" w:rsidRDefault="001A4860" w:rsidP="001A4860">
      <w:pPr>
        <w:rPr>
          <w:rFonts w:eastAsia="Calibri"/>
          <w:szCs w:val="24"/>
          <w:lang w:val="es-ES"/>
        </w:rPr>
      </w:pPr>
      <w:r w:rsidRPr="001A4860">
        <w:rPr>
          <w:rFonts w:eastAsia="Calibri"/>
          <w:szCs w:val="24"/>
          <w:lang w:val="es-ES"/>
        </w:rPr>
        <w:t>El tapón hembra de la conexión domiciliar deberá quedar a 0.40 metros de la línea de derecho de vía. Antes de colocar el tapón, la tubería debe drenarse durante unos minutos, para lavarlas y eliminar cualquier suciedad que pueda encontrarse dentro.</w:t>
      </w:r>
    </w:p>
    <w:p w14:paraId="2C46C66B" w14:textId="77777777" w:rsidR="001A4860" w:rsidRPr="001A4860" w:rsidRDefault="001A4860" w:rsidP="001A4860">
      <w:pPr>
        <w:spacing w:after="160" w:line="259" w:lineRule="auto"/>
        <w:rPr>
          <w:b/>
          <w:color w:val="000000"/>
          <w:szCs w:val="24"/>
          <w:lang w:val="es-ES" w:eastAsia="es-ES"/>
        </w:rPr>
      </w:pPr>
    </w:p>
    <w:p w14:paraId="3236CBC4" w14:textId="77777777" w:rsidR="001A4860" w:rsidRPr="001A4860" w:rsidRDefault="001A4860" w:rsidP="001A4860">
      <w:pPr>
        <w:jc w:val="left"/>
        <w:rPr>
          <w:rFonts w:eastAsia="Calibri"/>
          <w:szCs w:val="24"/>
          <w:lang w:val="es-ES"/>
        </w:rPr>
      </w:pPr>
      <w:r w:rsidRPr="001A4860">
        <w:rPr>
          <w:rFonts w:eastAsia="Calibri"/>
          <w:szCs w:val="24"/>
          <w:lang w:val="es-ES"/>
        </w:rPr>
        <w:t>El detalle de la conexión domiciliar de agua potable aparece en los planos.</w:t>
      </w:r>
    </w:p>
    <w:p w14:paraId="7B33F052" w14:textId="77777777" w:rsidR="001A4860" w:rsidRPr="001A4860" w:rsidRDefault="001A4860" w:rsidP="001A4860">
      <w:pPr>
        <w:rPr>
          <w:rFonts w:eastAsia="Calibri"/>
          <w:szCs w:val="24"/>
          <w:lang w:val="es-ES"/>
        </w:rPr>
      </w:pPr>
    </w:p>
    <w:p w14:paraId="12977CFE" w14:textId="77777777" w:rsidR="001A4860" w:rsidRPr="001A4860" w:rsidRDefault="001A4860" w:rsidP="001A4860">
      <w:pPr>
        <w:jc w:val="left"/>
        <w:rPr>
          <w:rFonts w:eastAsia="Calibri"/>
          <w:b/>
          <w:szCs w:val="24"/>
          <w:lang w:val="es-ES" w:eastAsia="es-ES"/>
        </w:rPr>
      </w:pPr>
      <w:bookmarkStart w:id="1460" w:name="_Toc206575584"/>
      <w:r w:rsidRPr="001A4860">
        <w:rPr>
          <w:rFonts w:eastAsia="Calibri"/>
          <w:b/>
          <w:szCs w:val="24"/>
          <w:lang w:val="es-ES" w:eastAsia="es-ES"/>
        </w:rPr>
        <w:t>Relleno y compactación.</w:t>
      </w:r>
      <w:bookmarkEnd w:id="1460"/>
    </w:p>
    <w:p w14:paraId="58A2D1D9" w14:textId="77777777" w:rsidR="001A4860" w:rsidRPr="001A4860" w:rsidRDefault="001A4860" w:rsidP="001A4860">
      <w:pPr>
        <w:rPr>
          <w:rFonts w:eastAsia="Calibri"/>
          <w:szCs w:val="24"/>
          <w:lang w:val="es-ES"/>
        </w:rPr>
      </w:pPr>
      <w:r w:rsidRPr="001A4860">
        <w:rPr>
          <w:rFonts w:eastAsia="Calibri"/>
          <w:szCs w:val="24"/>
          <w:lang w:val="es-ES"/>
        </w:rPr>
        <w:t>Se debe cumplir con lo dispuesto al relleno y compactación de tuberías.</w:t>
      </w:r>
    </w:p>
    <w:p w14:paraId="795946CC" w14:textId="77777777" w:rsidR="001A4860" w:rsidRPr="001A4860" w:rsidRDefault="001A4860" w:rsidP="001A4860">
      <w:pPr>
        <w:rPr>
          <w:rFonts w:eastAsia="Calibri"/>
          <w:szCs w:val="24"/>
          <w:lang w:val="es-ES"/>
        </w:rPr>
      </w:pPr>
    </w:p>
    <w:p w14:paraId="70FDFF8F" w14:textId="77777777" w:rsidR="001A4860" w:rsidRPr="001A4860" w:rsidRDefault="001A4860" w:rsidP="001A4860">
      <w:pPr>
        <w:jc w:val="left"/>
        <w:rPr>
          <w:rFonts w:eastAsia="Calibri"/>
          <w:b/>
          <w:szCs w:val="24"/>
          <w:lang w:val="es-ES" w:eastAsia="es-ES"/>
        </w:rPr>
      </w:pPr>
      <w:r w:rsidRPr="001A4860">
        <w:rPr>
          <w:rFonts w:eastAsia="Calibri"/>
          <w:b/>
          <w:szCs w:val="24"/>
          <w:lang w:val="es-ES" w:eastAsia="es-ES"/>
        </w:rPr>
        <w:t>Medidores Domiciliares</w:t>
      </w:r>
    </w:p>
    <w:p w14:paraId="5B42101A" w14:textId="77777777" w:rsidR="001A4860" w:rsidRPr="001A4860" w:rsidRDefault="001A4860" w:rsidP="001A4860">
      <w:pPr>
        <w:rPr>
          <w:rFonts w:eastAsia="Calibri"/>
          <w:szCs w:val="24"/>
          <w:lang w:val="es-ES"/>
        </w:rPr>
      </w:pPr>
      <w:r w:rsidRPr="001A4860">
        <w:rPr>
          <w:rFonts w:eastAsia="Calibri"/>
          <w:szCs w:val="24"/>
          <w:lang w:val="es-ES"/>
        </w:rPr>
        <w:t>Los Medidores serán del tipo de velocidad con rueda de aleta de chorros.  El registro será del tipo seco, hermético, reparable, protegido en una cápsula sellada convenientemente, a prueba de agua. La base será de aleación de bronce que contenga no menos de 75% de cobre descrito como UNS 92200 según ASTM B-61 ó UNS C83600.</w:t>
      </w:r>
    </w:p>
    <w:p w14:paraId="107098BB" w14:textId="77777777" w:rsidR="001A4860" w:rsidRPr="001A4860" w:rsidRDefault="001A4860" w:rsidP="001A4860">
      <w:pPr>
        <w:rPr>
          <w:rFonts w:eastAsia="Calibri"/>
          <w:szCs w:val="24"/>
          <w:lang w:val="es-ES"/>
        </w:rPr>
      </w:pPr>
    </w:p>
    <w:p w14:paraId="4A9FE4E5" w14:textId="77777777" w:rsidR="001A4860" w:rsidRPr="001A4860" w:rsidRDefault="001A4860" w:rsidP="001A4860">
      <w:pPr>
        <w:rPr>
          <w:rFonts w:eastAsia="Calibri"/>
          <w:szCs w:val="24"/>
          <w:lang w:val="es-ES"/>
        </w:rPr>
      </w:pPr>
      <w:r w:rsidRPr="001A4860">
        <w:rPr>
          <w:rFonts w:eastAsia="Calibri"/>
          <w:szCs w:val="24"/>
          <w:lang w:val="es-ES"/>
        </w:rPr>
        <w:t>La parte superior de la cápsula será de vidrio o plástico de alta resistencia al impacto, con cierre hermético a la humedad y al polvo. La lectura será del tipo recta con rodillos de cifras saltantes. La totalización será en metros cúbicos y litros. Los números que indiquen metros cúbicos vendrán en distinto color de los que indiquen litros. Las lecturas máximas y mínimas serán a como se indican a continuación:</w:t>
      </w:r>
    </w:p>
    <w:p w14:paraId="731D1069" w14:textId="77777777" w:rsidR="001A4860" w:rsidRPr="001A4860" w:rsidRDefault="001A4860" w:rsidP="001A4860">
      <w:pPr>
        <w:rPr>
          <w:rFonts w:eastAsia="Calibri"/>
          <w:szCs w:val="24"/>
          <w:lang w:val="es-ES"/>
        </w:rPr>
      </w:pPr>
    </w:p>
    <w:tbl>
      <w:tblPr>
        <w:tblpPr w:leftFromText="141" w:rightFromText="141"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93"/>
        <w:gridCol w:w="2993"/>
        <w:gridCol w:w="2993"/>
      </w:tblGrid>
      <w:tr w:rsidR="001A4860" w:rsidRPr="001A4860" w14:paraId="4CA31661" w14:textId="77777777" w:rsidTr="001A4860">
        <w:trPr>
          <w:trHeight w:val="545"/>
        </w:trPr>
        <w:tc>
          <w:tcPr>
            <w:tcW w:w="2993" w:type="dxa"/>
            <w:shd w:val="clear" w:color="auto" w:fill="D9E2F3"/>
          </w:tcPr>
          <w:p w14:paraId="3D0B8993" w14:textId="77777777" w:rsidR="001A4860" w:rsidRPr="001A4860" w:rsidRDefault="001A4860" w:rsidP="001A4860">
            <w:pPr>
              <w:jc w:val="center"/>
              <w:rPr>
                <w:rFonts w:eastAsia="Calibri"/>
                <w:b/>
                <w:sz w:val="20"/>
                <w:lang w:val="es-ES"/>
              </w:rPr>
            </w:pPr>
            <w:r w:rsidRPr="001A4860">
              <w:rPr>
                <w:rFonts w:eastAsia="Calibri"/>
                <w:b/>
                <w:sz w:val="20"/>
                <w:lang w:val="es-ES"/>
              </w:rPr>
              <w:lastRenderedPageBreak/>
              <w:t>TAMAÑO DEL MEDIDOR</w:t>
            </w:r>
          </w:p>
        </w:tc>
        <w:tc>
          <w:tcPr>
            <w:tcW w:w="2993" w:type="dxa"/>
            <w:shd w:val="clear" w:color="auto" w:fill="D9E2F3"/>
          </w:tcPr>
          <w:p w14:paraId="7EA9A8EF" w14:textId="77777777" w:rsidR="001A4860" w:rsidRPr="001A4860" w:rsidRDefault="001A4860" w:rsidP="001A4860">
            <w:pPr>
              <w:jc w:val="center"/>
              <w:rPr>
                <w:rFonts w:eastAsia="Calibri"/>
                <w:b/>
                <w:sz w:val="20"/>
                <w:lang w:val="es-ES"/>
              </w:rPr>
            </w:pPr>
            <w:r w:rsidRPr="001A4860">
              <w:rPr>
                <w:rFonts w:eastAsia="Calibri"/>
                <w:b/>
                <w:sz w:val="20"/>
                <w:lang w:val="es-ES"/>
              </w:rPr>
              <w:t>LECTURA MAXIMA</w:t>
            </w:r>
          </w:p>
          <w:p w14:paraId="4DC2E58A" w14:textId="77777777" w:rsidR="001A4860" w:rsidRPr="001A4860" w:rsidRDefault="001A4860" w:rsidP="001A4860">
            <w:pPr>
              <w:jc w:val="center"/>
              <w:rPr>
                <w:rFonts w:eastAsia="Calibri"/>
                <w:b/>
                <w:sz w:val="20"/>
                <w:lang w:val="es-ES"/>
              </w:rPr>
            </w:pPr>
            <w:r w:rsidRPr="001A4860">
              <w:rPr>
                <w:rFonts w:eastAsia="Calibri"/>
                <w:b/>
                <w:sz w:val="20"/>
                <w:lang w:val="es-ES"/>
              </w:rPr>
              <w:t>( m3)</w:t>
            </w:r>
          </w:p>
        </w:tc>
        <w:tc>
          <w:tcPr>
            <w:tcW w:w="2993" w:type="dxa"/>
            <w:shd w:val="clear" w:color="auto" w:fill="D9E2F3"/>
          </w:tcPr>
          <w:p w14:paraId="48ECBDC4" w14:textId="77777777" w:rsidR="001A4860" w:rsidRPr="001A4860" w:rsidRDefault="001A4860" w:rsidP="001A4860">
            <w:pPr>
              <w:jc w:val="center"/>
              <w:rPr>
                <w:rFonts w:eastAsia="Calibri"/>
                <w:b/>
                <w:sz w:val="20"/>
                <w:lang w:val="es-ES"/>
              </w:rPr>
            </w:pPr>
            <w:r w:rsidRPr="001A4860">
              <w:rPr>
                <w:rFonts w:eastAsia="Calibri"/>
                <w:b/>
                <w:sz w:val="20"/>
                <w:lang w:val="es-ES"/>
              </w:rPr>
              <w:t>LECTURA MÍNIMA</w:t>
            </w:r>
          </w:p>
          <w:p w14:paraId="3D38F1DA" w14:textId="77777777" w:rsidR="001A4860" w:rsidRPr="001A4860" w:rsidRDefault="001A4860" w:rsidP="001A4860">
            <w:pPr>
              <w:jc w:val="center"/>
              <w:rPr>
                <w:rFonts w:eastAsia="Calibri"/>
                <w:b/>
                <w:sz w:val="20"/>
                <w:lang w:val="es-ES"/>
              </w:rPr>
            </w:pPr>
            <w:r w:rsidRPr="001A4860">
              <w:rPr>
                <w:rFonts w:eastAsia="Calibri"/>
                <w:b/>
                <w:sz w:val="20"/>
                <w:lang w:val="es-ES"/>
              </w:rPr>
              <w:t>(Litros)</w:t>
            </w:r>
          </w:p>
        </w:tc>
      </w:tr>
      <w:tr w:rsidR="001A4860" w:rsidRPr="001A4860" w14:paraId="6CEE9CAF" w14:textId="77777777" w:rsidTr="001A4860">
        <w:tc>
          <w:tcPr>
            <w:tcW w:w="2993" w:type="dxa"/>
          </w:tcPr>
          <w:p w14:paraId="279E6D71" w14:textId="77777777" w:rsidR="001A4860" w:rsidRPr="001A4860" w:rsidRDefault="001A4860" w:rsidP="001A4860">
            <w:pPr>
              <w:jc w:val="center"/>
              <w:rPr>
                <w:rFonts w:eastAsia="Calibri"/>
                <w:sz w:val="20"/>
                <w:lang w:val="es-ES"/>
              </w:rPr>
            </w:pPr>
          </w:p>
          <w:p w14:paraId="03D9589A" w14:textId="77777777" w:rsidR="001A4860" w:rsidRPr="001A4860" w:rsidRDefault="001A4860" w:rsidP="001A4860">
            <w:pPr>
              <w:jc w:val="center"/>
              <w:rPr>
                <w:rFonts w:eastAsia="Calibri"/>
                <w:sz w:val="20"/>
                <w:lang w:val="es-ES"/>
              </w:rPr>
            </w:pPr>
            <w:r w:rsidRPr="001A4860">
              <w:rPr>
                <w:rFonts w:eastAsia="Calibri"/>
                <w:sz w:val="20"/>
                <w:lang w:val="es-ES"/>
              </w:rPr>
              <w:t>1/2”</w:t>
            </w:r>
          </w:p>
        </w:tc>
        <w:tc>
          <w:tcPr>
            <w:tcW w:w="2993" w:type="dxa"/>
          </w:tcPr>
          <w:p w14:paraId="4428C989" w14:textId="77777777" w:rsidR="001A4860" w:rsidRPr="001A4860" w:rsidRDefault="001A4860" w:rsidP="001A4860">
            <w:pPr>
              <w:jc w:val="center"/>
              <w:rPr>
                <w:rFonts w:eastAsia="Calibri"/>
                <w:sz w:val="20"/>
                <w:lang w:val="es-ES"/>
              </w:rPr>
            </w:pPr>
          </w:p>
          <w:p w14:paraId="6BC87272" w14:textId="77777777" w:rsidR="001A4860" w:rsidRPr="001A4860" w:rsidRDefault="001A4860" w:rsidP="001A4860">
            <w:pPr>
              <w:jc w:val="center"/>
              <w:rPr>
                <w:rFonts w:eastAsia="Calibri"/>
                <w:sz w:val="20"/>
                <w:lang w:val="es-ES"/>
              </w:rPr>
            </w:pPr>
            <w:r w:rsidRPr="001A4860">
              <w:rPr>
                <w:rFonts w:eastAsia="Calibri"/>
                <w:sz w:val="20"/>
                <w:lang w:val="es-ES"/>
              </w:rPr>
              <w:t>10,000</w:t>
            </w:r>
          </w:p>
        </w:tc>
        <w:tc>
          <w:tcPr>
            <w:tcW w:w="2993" w:type="dxa"/>
          </w:tcPr>
          <w:p w14:paraId="03DB6BEA" w14:textId="77777777" w:rsidR="001A4860" w:rsidRPr="001A4860" w:rsidRDefault="001A4860" w:rsidP="001A4860">
            <w:pPr>
              <w:jc w:val="center"/>
              <w:rPr>
                <w:rFonts w:eastAsia="Calibri"/>
                <w:sz w:val="20"/>
                <w:lang w:val="es-ES"/>
              </w:rPr>
            </w:pPr>
          </w:p>
          <w:p w14:paraId="13C7A416" w14:textId="77777777" w:rsidR="001A4860" w:rsidRPr="001A4860" w:rsidRDefault="001A4860" w:rsidP="001A4860">
            <w:pPr>
              <w:jc w:val="center"/>
              <w:rPr>
                <w:rFonts w:eastAsia="Calibri"/>
                <w:sz w:val="20"/>
                <w:lang w:val="es-ES"/>
              </w:rPr>
            </w:pPr>
            <w:r w:rsidRPr="001A4860">
              <w:rPr>
                <w:rFonts w:eastAsia="Calibri"/>
                <w:sz w:val="20"/>
                <w:lang w:val="es-ES"/>
              </w:rPr>
              <w:t>1.0</w:t>
            </w:r>
          </w:p>
        </w:tc>
      </w:tr>
    </w:tbl>
    <w:p w14:paraId="18FDC45C" w14:textId="77777777" w:rsidR="001A4860" w:rsidRPr="001A4860" w:rsidRDefault="001A4860" w:rsidP="001A4860">
      <w:pPr>
        <w:rPr>
          <w:rFonts w:eastAsia="Calibri"/>
          <w:szCs w:val="24"/>
          <w:lang w:val="es-ES"/>
        </w:rPr>
      </w:pPr>
    </w:p>
    <w:p w14:paraId="5A62CEB8" w14:textId="77777777" w:rsidR="001A4860" w:rsidRPr="001A4860" w:rsidRDefault="001A4860" w:rsidP="003B68DB">
      <w:pPr>
        <w:keepNext/>
        <w:numPr>
          <w:ilvl w:val="0"/>
          <w:numId w:val="194"/>
        </w:numPr>
        <w:spacing w:after="160" w:line="259" w:lineRule="auto"/>
        <w:ind w:left="0" w:firstLine="0"/>
        <w:jc w:val="left"/>
        <w:outlineLvl w:val="1"/>
        <w:rPr>
          <w:b/>
          <w:color w:val="000000"/>
          <w:szCs w:val="24"/>
          <w:lang w:val="es-ES"/>
        </w:rPr>
      </w:pPr>
      <w:bookmarkStart w:id="1461" w:name="_Toc505613797"/>
      <w:r w:rsidRPr="001A4860">
        <w:rPr>
          <w:b/>
          <w:color w:val="000000"/>
          <w:szCs w:val="24"/>
          <w:lang w:val="es-ES"/>
        </w:rPr>
        <w:t>CONSTRUCCIÓN DE TANQUE DE ALMACENAMIENTO</w:t>
      </w:r>
      <w:bookmarkEnd w:id="1461"/>
      <w:r w:rsidRPr="001A4860">
        <w:rPr>
          <w:b/>
          <w:color w:val="000000"/>
          <w:szCs w:val="24"/>
          <w:lang w:val="es-ES"/>
        </w:rPr>
        <w:t xml:space="preserve"> </w:t>
      </w:r>
    </w:p>
    <w:p w14:paraId="1BA145C2" w14:textId="77777777" w:rsidR="001A4860" w:rsidRPr="001A4860" w:rsidRDefault="001A4860" w:rsidP="001A4860">
      <w:pPr>
        <w:jc w:val="left"/>
        <w:rPr>
          <w:rFonts w:eastAsia="Calibri"/>
          <w:szCs w:val="24"/>
          <w:highlight w:val="yellow"/>
          <w:lang w:val="es-ES"/>
        </w:rPr>
      </w:pPr>
    </w:p>
    <w:p w14:paraId="14FDDFF2" w14:textId="77777777" w:rsidR="001A4860" w:rsidRPr="001A4860" w:rsidRDefault="001A4860" w:rsidP="001A4860">
      <w:pPr>
        <w:rPr>
          <w:rFonts w:eastAsia="Calibri"/>
          <w:b/>
          <w:kern w:val="28"/>
          <w:szCs w:val="24"/>
          <w:lang w:val="es-ES" w:eastAsia="en-GB"/>
        </w:rPr>
      </w:pPr>
      <w:r w:rsidRPr="001A4860">
        <w:rPr>
          <w:rFonts w:eastAsia="Calibri"/>
          <w:b/>
          <w:kern w:val="28"/>
          <w:szCs w:val="24"/>
          <w:lang w:val="es-ES" w:eastAsia="en-GB"/>
        </w:rPr>
        <w:t>Alcances del trabajo</w:t>
      </w:r>
    </w:p>
    <w:p w14:paraId="6A8510CB" w14:textId="77777777" w:rsidR="001A4860" w:rsidRPr="001A4860" w:rsidRDefault="001A4860" w:rsidP="001A4860">
      <w:pPr>
        <w:rPr>
          <w:rFonts w:eastAsia="Calibri"/>
          <w:b/>
          <w:kern w:val="28"/>
          <w:szCs w:val="24"/>
          <w:lang w:val="es-ES" w:eastAsia="en-GB"/>
        </w:rPr>
      </w:pPr>
    </w:p>
    <w:p w14:paraId="0DE21956" w14:textId="77777777" w:rsidR="001A4860" w:rsidRPr="001A4860" w:rsidRDefault="001A4860" w:rsidP="001A4860">
      <w:pPr>
        <w:rPr>
          <w:rFonts w:eastAsia="Calibri"/>
          <w:kern w:val="28"/>
          <w:szCs w:val="24"/>
          <w:lang w:val="es-ES" w:eastAsia="en-GB"/>
        </w:rPr>
      </w:pPr>
      <w:r w:rsidRPr="001A4860">
        <w:rPr>
          <w:rFonts w:eastAsia="Calibri"/>
          <w:kern w:val="28"/>
          <w:szCs w:val="24"/>
          <w:lang w:val="es-ES" w:eastAsia="en-GB"/>
        </w:rPr>
        <w:t xml:space="preserve">El trabajo consiste en instalar postes de concreto pretensado con una altura de 2.55m a cada 2.50 m y 7 hiladas de alambre de púas Cal. # 13 1/2’’ incluyendo bases de concreto de 2,500 PSI en todo el perímetro del terreno del predio de los tanques, según se muestran en los planos constructivos. </w:t>
      </w:r>
    </w:p>
    <w:p w14:paraId="35F2A6B3" w14:textId="77777777" w:rsidR="001A4860" w:rsidRPr="001A4860" w:rsidRDefault="001A4860" w:rsidP="001A4860">
      <w:pPr>
        <w:rPr>
          <w:rFonts w:eastAsia="Calibri"/>
          <w:kern w:val="28"/>
          <w:szCs w:val="24"/>
          <w:lang w:val="es-ES" w:eastAsia="en-GB"/>
        </w:rPr>
      </w:pPr>
    </w:p>
    <w:p w14:paraId="38F1EC2E" w14:textId="77777777" w:rsidR="001A4860" w:rsidRPr="001A4860" w:rsidRDefault="001A4860" w:rsidP="001A4860">
      <w:pPr>
        <w:rPr>
          <w:rFonts w:eastAsia="Calibri"/>
          <w:kern w:val="28"/>
          <w:szCs w:val="24"/>
          <w:lang w:val="es-ES" w:eastAsia="en-GB"/>
        </w:rPr>
      </w:pPr>
      <w:r w:rsidRPr="001A4860">
        <w:rPr>
          <w:rFonts w:eastAsia="Calibri"/>
          <w:kern w:val="28"/>
          <w:szCs w:val="24"/>
          <w:lang w:val="es-ES" w:eastAsia="en-GB"/>
        </w:rPr>
        <w:t xml:space="preserve">Además, se colocará un portón de postes de madera de pino de Diám. = 0.25m (10’’) y Alt. = 2m y postes de madera de pino Diám. = 0.125m (5’’) con forro de alambre de púas de longitud 2 m y altura 1.40m, según se muestran en los planos constructivos. </w:t>
      </w:r>
    </w:p>
    <w:p w14:paraId="33FE81AB" w14:textId="77777777" w:rsidR="001A4860" w:rsidRPr="001A4860" w:rsidRDefault="001A4860" w:rsidP="001A4860">
      <w:pPr>
        <w:jc w:val="left"/>
        <w:rPr>
          <w:rFonts w:eastAsia="Calibri"/>
          <w:b/>
          <w:szCs w:val="24"/>
          <w:lang w:val="es-ES"/>
        </w:rPr>
      </w:pPr>
    </w:p>
    <w:p w14:paraId="45C1589C" w14:textId="77777777" w:rsidR="001A4860" w:rsidRPr="001A4860" w:rsidRDefault="001A4860" w:rsidP="001A4860">
      <w:pPr>
        <w:jc w:val="left"/>
        <w:rPr>
          <w:rFonts w:eastAsia="Calibri"/>
          <w:b/>
          <w:szCs w:val="24"/>
          <w:lang w:val="es-ES"/>
        </w:rPr>
      </w:pPr>
      <w:r w:rsidRPr="001A4860">
        <w:rPr>
          <w:rFonts w:eastAsia="Calibri"/>
          <w:b/>
          <w:szCs w:val="24"/>
          <w:lang w:val="es-ES"/>
        </w:rPr>
        <w:t>ESPECIFICACIONES TÉCNICAS DEL TANQUE DE ALMACENAMIENTO</w:t>
      </w:r>
    </w:p>
    <w:p w14:paraId="25712A32" w14:textId="77777777" w:rsidR="001A4860" w:rsidRPr="001A4860" w:rsidRDefault="001A4860" w:rsidP="001A4860">
      <w:pPr>
        <w:jc w:val="left"/>
        <w:rPr>
          <w:rFonts w:eastAsia="Calibri"/>
          <w:b/>
          <w:szCs w:val="24"/>
          <w:lang w:val="es-ES"/>
        </w:rPr>
      </w:pPr>
    </w:p>
    <w:p w14:paraId="016C8B9F" w14:textId="77777777" w:rsidR="001A4860" w:rsidRPr="001A4860" w:rsidRDefault="001A4860" w:rsidP="001A4860">
      <w:pPr>
        <w:spacing w:after="160" w:line="259" w:lineRule="auto"/>
        <w:jc w:val="left"/>
        <w:rPr>
          <w:rFonts w:eastAsia="Calibri"/>
          <w:b/>
          <w:szCs w:val="24"/>
          <w:lang w:val="es-ES"/>
        </w:rPr>
      </w:pPr>
      <w:bookmarkStart w:id="1462" w:name="_Toc195413412"/>
      <w:bookmarkStart w:id="1463" w:name="_Toc234745676"/>
      <w:bookmarkStart w:id="1464" w:name="_Toc295977210"/>
      <w:bookmarkStart w:id="1465" w:name="_Toc305746134"/>
      <w:bookmarkStart w:id="1466" w:name="_Toc310550114"/>
      <w:bookmarkStart w:id="1467" w:name="_Toc344461281"/>
      <w:bookmarkStart w:id="1468" w:name="_Toc344723253"/>
      <w:bookmarkStart w:id="1469" w:name="_Toc351657279"/>
      <w:bookmarkStart w:id="1470" w:name="_Toc485034197"/>
      <w:bookmarkStart w:id="1471" w:name="_Toc505613798"/>
      <w:r w:rsidRPr="001A4860">
        <w:rPr>
          <w:rFonts w:eastAsia="Calibri"/>
          <w:b/>
          <w:szCs w:val="24"/>
          <w:lang w:val="es-ES"/>
        </w:rPr>
        <w:t xml:space="preserve">Movimiento de tierra, Excavación, Relleno, Compactación </w:t>
      </w:r>
      <w:bookmarkEnd w:id="1462"/>
      <w:bookmarkEnd w:id="1463"/>
      <w:bookmarkEnd w:id="1464"/>
      <w:bookmarkEnd w:id="1465"/>
      <w:bookmarkEnd w:id="1466"/>
      <w:bookmarkEnd w:id="1467"/>
      <w:bookmarkEnd w:id="1468"/>
      <w:bookmarkEnd w:id="1469"/>
      <w:r w:rsidRPr="001A4860">
        <w:rPr>
          <w:rFonts w:eastAsia="Calibri"/>
          <w:b/>
          <w:szCs w:val="24"/>
          <w:lang w:val="es-ES"/>
        </w:rPr>
        <w:t>y Nivelación</w:t>
      </w:r>
      <w:bookmarkEnd w:id="1470"/>
      <w:bookmarkEnd w:id="1471"/>
    </w:p>
    <w:p w14:paraId="3C3502DE"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Esta actividad se realiza para la construcción de las fundaciones del tanque e incluye el corte, relleno con material selecto acarreo retiro del material cortado, mezcla y estabilización con suelo cemento en proporción 1:10 volumen indicado en los planos, luego mejoramiento con material selecto traído de banco </w:t>
      </w:r>
    </w:p>
    <w:p w14:paraId="58BBC9A7"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La excavación para el tanque se efectuará de acuerdo con las dimensiones y niveles indicados en los planos. La excavación se extenderá a una distancia tal de las paredes que permita llevar a cabo las diferentes operaciones de la construcción e instalación de la obra.</w:t>
      </w:r>
    </w:p>
    <w:p w14:paraId="3733EA27" w14:textId="77777777" w:rsidR="001A4860" w:rsidRPr="001A4860" w:rsidRDefault="001A4860" w:rsidP="001A4860">
      <w:pPr>
        <w:tabs>
          <w:tab w:val="left" w:pos="2006"/>
        </w:tabs>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Si no se encuentra un subsuelo a la profundidad indicada en los planos de fundaciones con un soporte adecuado mínimo de 1.20 kg/cm2, el contratista notificará inmediatamente al Ingeniero. El Contratista no procederá con el trabajo hasta que no se le den las instrucciones correspondientes y se hagan las mediciones para obtener el volumen adicional de excavación.</w:t>
      </w:r>
    </w:p>
    <w:p w14:paraId="5DAAB5E1"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El Contratista mantendrá el área de excavación convenientemente drenada para no perturbar la estabilidad de las fundaciones y del suelo soporte. </w:t>
      </w:r>
    </w:p>
    <w:p w14:paraId="79105F29"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El Contratista mantendrá en todo momento los pozos, zanjas de las cimentaciones libres de agua. Proveerá el bombeo necesario para mantener durante la construcción los espacios excavados libres de agua.</w:t>
      </w:r>
    </w:p>
    <w:p w14:paraId="041FB3B7"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En caso de encontrarse filtraciones y ojos de agua en la excavación, el Ingeniero debe ser notificado y el Contratista debe proveer sin costo adicional drenajes para el agua por medio de zanjas hacia un lugar apropiado.</w:t>
      </w:r>
    </w:p>
    <w:p w14:paraId="4F3E24DC"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lastRenderedPageBreak/>
        <w:t>Se depositará el material de relleno en capas horizontales no mayores de 15 cms de profundidad antes de su compactación. Se extenderá el relleno uniformemente y se compactará cada capa hasta obtener del 95% al 100% de la densidad máxima con un contenido de humedad óptima. El grado de compactación será determinado y controlado de acuerdo con el método Standard Method of Test Compacting and Density of Soil T-99 de AASHTO. Las áreas compactadas terminarán en una superficie razonablemente pareja y horizontal al nivel requerido. Este trabajo debe ser aprobado por el Ingeniero antes de proceder con cualquier otra fase de la construcción sobre el trabajo de relleno. El material selecto debe tener un índice de plasticidad no mayor de 6.</w:t>
      </w:r>
    </w:p>
    <w:p w14:paraId="1E18DA4D" w14:textId="77777777" w:rsidR="001A4860" w:rsidRPr="001A4860" w:rsidRDefault="001A4860" w:rsidP="001A4860">
      <w:pPr>
        <w:keepNext/>
        <w:keepLines/>
        <w:spacing w:line="360" w:lineRule="auto"/>
        <w:outlineLvl w:val="4"/>
        <w:rPr>
          <w:b/>
          <w:i/>
          <w:color w:val="243F60"/>
          <w:szCs w:val="24"/>
          <w:lang w:val="es-ES" w:eastAsia="es-ES"/>
        </w:rPr>
      </w:pPr>
      <w:bookmarkStart w:id="1472" w:name="_Toc195413414"/>
      <w:bookmarkStart w:id="1473" w:name="_Toc234745678"/>
      <w:bookmarkStart w:id="1474" w:name="_Toc295977212"/>
      <w:bookmarkStart w:id="1475" w:name="_Toc305746136"/>
      <w:bookmarkStart w:id="1476" w:name="_Toc310550116"/>
      <w:bookmarkStart w:id="1477" w:name="_Toc344461283"/>
      <w:bookmarkStart w:id="1478" w:name="_Toc344723255"/>
      <w:bookmarkStart w:id="1479" w:name="_Toc351657281"/>
      <w:bookmarkStart w:id="1480" w:name="_Toc505613799"/>
      <w:r w:rsidRPr="001A4860">
        <w:rPr>
          <w:b/>
          <w:color w:val="000000"/>
          <w:szCs w:val="24"/>
          <w:lang w:val="es-ES" w:eastAsia="es-ES"/>
        </w:rPr>
        <w:t>Banco de Nivel</w:t>
      </w:r>
      <w:bookmarkEnd w:id="1472"/>
      <w:bookmarkEnd w:id="1473"/>
      <w:bookmarkEnd w:id="1474"/>
      <w:bookmarkEnd w:id="1475"/>
      <w:bookmarkEnd w:id="1476"/>
      <w:bookmarkEnd w:id="1477"/>
      <w:bookmarkEnd w:id="1478"/>
      <w:bookmarkEnd w:id="1479"/>
      <w:bookmarkEnd w:id="1480"/>
    </w:p>
    <w:p w14:paraId="3A7B6F4D" w14:textId="77777777" w:rsidR="001A4860" w:rsidRPr="001A4860" w:rsidRDefault="001A4860" w:rsidP="001A4860">
      <w:pPr>
        <w:rPr>
          <w:rFonts w:eastAsia="Calibri"/>
          <w:szCs w:val="24"/>
          <w:lang w:val="es-ES"/>
        </w:rPr>
      </w:pPr>
      <w:r w:rsidRPr="001A4860">
        <w:rPr>
          <w:rFonts w:eastAsia="Calibri"/>
          <w:szCs w:val="24"/>
          <w:lang w:val="es-ES"/>
        </w:rPr>
        <w:t>EL CONTRATISTA levantará todos los bancos de nivel, puntos de coordinación y estacas, las cuales deben ser preservadas y mantenidas por cuenta del CONTRATISTA, hasta que el supervisor crea conveniente mantenerlas.</w:t>
      </w:r>
    </w:p>
    <w:p w14:paraId="2C69A0B6" w14:textId="77777777" w:rsidR="001A4860" w:rsidRPr="001A4860" w:rsidRDefault="001A4860" w:rsidP="001A4860">
      <w:pPr>
        <w:rPr>
          <w:rFonts w:eastAsia="Calibri"/>
          <w:szCs w:val="24"/>
          <w:lang w:val="es-ES"/>
        </w:rPr>
      </w:pPr>
    </w:p>
    <w:p w14:paraId="6B472162" w14:textId="77777777" w:rsidR="001A4860" w:rsidRPr="001A4860" w:rsidRDefault="001A4860" w:rsidP="001A4860">
      <w:pPr>
        <w:spacing w:after="160" w:line="259" w:lineRule="auto"/>
        <w:jc w:val="left"/>
        <w:rPr>
          <w:rFonts w:eastAsia="Calibri"/>
          <w:b/>
          <w:i/>
          <w:szCs w:val="24"/>
          <w:lang w:val="es-ES"/>
        </w:rPr>
      </w:pPr>
      <w:bookmarkStart w:id="1481" w:name="_Toc195413415"/>
      <w:bookmarkStart w:id="1482" w:name="_Toc234745679"/>
      <w:bookmarkStart w:id="1483" w:name="_Toc295977213"/>
      <w:bookmarkStart w:id="1484" w:name="_Toc305746137"/>
      <w:bookmarkStart w:id="1485" w:name="_Toc310550117"/>
      <w:bookmarkStart w:id="1486" w:name="_Toc344461284"/>
      <w:bookmarkStart w:id="1487" w:name="_Toc344723256"/>
      <w:bookmarkStart w:id="1488" w:name="_Toc351657282"/>
      <w:bookmarkStart w:id="1489" w:name="_Toc505613800"/>
      <w:r w:rsidRPr="001A4860">
        <w:rPr>
          <w:rFonts w:eastAsia="Calibri"/>
          <w:b/>
          <w:szCs w:val="24"/>
          <w:lang w:val="es-ES"/>
        </w:rPr>
        <w:t>Preparación y Limpieza del Sitio</w:t>
      </w:r>
      <w:bookmarkEnd w:id="1481"/>
      <w:bookmarkEnd w:id="1482"/>
      <w:bookmarkEnd w:id="1483"/>
      <w:bookmarkEnd w:id="1484"/>
      <w:bookmarkEnd w:id="1485"/>
      <w:bookmarkEnd w:id="1486"/>
      <w:bookmarkEnd w:id="1487"/>
      <w:bookmarkEnd w:id="1488"/>
      <w:bookmarkEnd w:id="1489"/>
    </w:p>
    <w:p w14:paraId="22D8A071" w14:textId="77777777" w:rsidR="001A4860" w:rsidRPr="001A4860" w:rsidRDefault="001A4860" w:rsidP="001A4860">
      <w:pPr>
        <w:rPr>
          <w:rFonts w:eastAsia="Calibri"/>
          <w:szCs w:val="24"/>
          <w:lang w:val="es-ES"/>
        </w:rPr>
      </w:pPr>
      <w:r w:rsidRPr="001A4860">
        <w:rPr>
          <w:rFonts w:eastAsia="Calibri"/>
          <w:szCs w:val="24"/>
          <w:lang w:val="es-ES"/>
        </w:rPr>
        <w:t>Árboles y arbusto localizados en el área de construcción deberán ser derribado, se extraerá troncos, raíces y serán rellenados los huecos. Escarbar o raspar a fin de quitar la maleza, raíces, gramas sueltas, capa vegetal en general.</w:t>
      </w:r>
    </w:p>
    <w:p w14:paraId="6B8FE1FE" w14:textId="77777777" w:rsidR="001A4860" w:rsidRPr="001A4860" w:rsidRDefault="001A4860" w:rsidP="001A4860">
      <w:pPr>
        <w:rPr>
          <w:rFonts w:eastAsia="Calibri"/>
          <w:szCs w:val="24"/>
          <w:lang w:val="es-ES"/>
        </w:rPr>
      </w:pPr>
    </w:p>
    <w:p w14:paraId="09DDD067" w14:textId="77777777" w:rsidR="001A4860" w:rsidRPr="001A4860" w:rsidRDefault="001A4860" w:rsidP="001A4860">
      <w:pPr>
        <w:spacing w:after="160" w:line="259" w:lineRule="auto"/>
        <w:jc w:val="left"/>
        <w:rPr>
          <w:rFonts w:eastAsia="Calibri"/>
          <w:b/>
          <w:i/>
          <w:szCs w:val="24"/>
          <w:lang w:val="es-ES"/>
        </w:rPr>
      </w:pPr>
      <w:bookmarkStart w:id="1490" w:name="_Toc195413416"/>
      <w:bookmarkStart w:id="1491" w:name="_Toc234745680"/>
      <w:bookmarkStart w:id="1492" w:name="_Toc295977214"/>
      <w:bookmarkStart w:id="1493" w:name="_Toc305746138"/>
      <w:bookmarkStart w:id="1494" w:name="_Toc310550118"/>
      <w:bookmarkStart w:id="1495" w:name="_Toc344461285"/>
      <w:bookmarkStart w:id="1496" w:name="_Toc344723257"/>
      <w:bookmarkStart w:id="1497" w:name="_Toc351657283"/>
      <w:bookmarkStart w:id="1498" w:name="_Toc505613801"/>
      <w:r w:rsidRPr="001A4860">
        <w:rPr>
          <w:rFonts w:eastAsia="Calibri"/>
          <w:b/>
          <w:szCs w:val="24"/>
          <w:lang w:val="es-ES"/>
        </w:rPr>
        <w:t>Traz</w:t>
      </w:r>
      <w:bookmarkEnd w:id="1490"/>
      <w:bookmarkEnd w:id="1491"/>
      <w:bookmarkEnd w:id="1492"/>
      <w:bookmarkEnd w:id="1493"/>
      <w:bookmarkEnd w:id="1494"/>
      <w:bookmarkEnd w:id="1495"/>
      <w:bookmarkEnd w:id="1496"/>
      <w:bookmarkEnd w:id="1497"/>
      <w:bookmarkEnd w:id="1498"/>
      <w:r w:rsidRPr="001A4860">
        <w:rPr>
          <w:rFonts w:eastAsia="Calibri"/>
          <w:b/>
          <w:szCs w:val="24"/>
          <w:lang w:val="es-ES"/>
        </w:rPr>
        <w:t>o y Nivelación</w:t>
      </w:r>
    </w:p>
    <w:p w14:paraId="1D90AE1A"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Las líneas bases, puntos topográficos de referencia, y los elementos de control necesarios para determinar la indicación y elevación del trabajo en el terreno, están mostrados en los planos o ser suministrados por el Ingeniero. </w:t>
      </w:r>
    </w:p>
    <w:p w14:paraId="5273D524"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El contratista debe trazar su trabajo partiendo de las líneas bases y bancos de nivel o puntos topográficos de referencia establecidos en el terreno y de las elevaciones indicadas en los planos, siendo responsable por todas las medidas que así tome. </w:t>
      </w:r>
    </w:p>
    <w:p w14:paraId="40C49AAC"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El Contratista es responsable por la ejecución del trabajo en conformidad con las líneas y cotas de elevación indicadas en los planos o establecidas por el Ingeniero. </w:t>
      </w:r>
    </w:p>
    <w:p w14:paraId="516E9518"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El Contratista tiene la responsabilidad de mantener y preservar todas las estacas y otras marcas hasta cuando el Ingeniero supervisor lo autorice para removerlas. </w:t>
      </w:r>
    </w:p>
    <w:p w14:paraId="1A5AA70B"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En caso de negligencia del Contratista o de sus empleados que resultare en la destrucción de dichas estacas, antes de su remoción autorizada, el contratista las debe reemplazar si así lo exigiere el Ingeniero supervisor.</w:t>
      </w:r>
    </w:p>
    <w:p w14:paraId="22C70500"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Los bancos de nivel y las niveletas deben ser cuidadosamente conservados por el contratista hasta la aceptación final del trabajo, y si son destruidos o aterrados, su relocalización o construcción debe ser asumida por cuenta del contratista. </w:t>
      </w:r>
    </w:p>
    <w:p w14:paraId="481786B9"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Cualquier trazado erróneo será corregido por el contratista por su cuenta, en caso que haya obras construidas, erróneamente será perdida para el contratista. </w:t>
      </w:r>
    </w:p>
    <w:p w14:paraId="49984A1D"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lastRenderedPageBreak/>
        <w:t>Para evitar errores en el trazado de las obras el contratista debe colocar las suficientes niveletas sencillas, así como dobles en los lugares donde se formen vértices en la construcción, indicando los niveles tomando como referencia los puntos indicados en el plano o indicados por el ingeniero supervisor.</w:t>
      </w:r>
    </w:p>
    <w:p w14:paraId="72600B61"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 xml:space="preserve">En caso que el contratista, encuentre errores en el nivel del punto de referencia, lo debe indicar por escrito en el libro de bitácora, antes de comenzar cualquier obra; el supervisor debe contestar de la misma manera indicando el nivel correcto; en caso que el contratista haya incurrido en avances de obras con niveles incorrecto de las terrazas debe ser asumido por cuenta del contratista la corrección de la obra. </w:t>
      </w:r>
    </w:p>
    <w:p w14:paraId="69A18810"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Para el trazado de las obras el contratista debe usar niveletas de madera o metálicas, de cuartones de 2"x2" y 0.50 metros de alto con reglas de 1"x3" debidamente acepillada el canto superior donde se referirá el nivel. Las niveletas sencillas llevan dos cuartones de apoyo de la regla del nivel espaciados a 1.10 metros, para niveletas dobles son tres cuartones espaciados a 1.10 metros, pero formando ángulo recto, la madera puede ser de pino o madera blanca.</w:t>
      </w:r>
    </w:p>
    <w:p w14:paraId="74EDC984"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El contratista es responsable de proteger de daños todas las líneas, niveles y puntos de referencia y si se destruyen deben ser reparados y repuestos por su cuenta, notificando al supervisor, cuando el trazo esté sustancialmente terminado debe solicitar si puede eliminarlos.</w:t>
      </w:r>
    </w:p>
    <w:p w14:paraId="6158C8E2"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El contratista para hacer el trazo y nivelación, antes tiene que ver las condiciones del terreno.</w:t>
      </w:r>
    </w:p>
    <w:p w14:paraId="261F70BA" w14:textId="77777777" w:rsidR="001A4860" w:rsidRPr="001A4860" w:rsidRDefault="001A4860" w:rsidP="001A4860">
      <w:pPr>
        <w:rPr>
          <w:rFonts w:eastAsia="Calibri"/>
          <w:szCs w:val="24"/>
          <w:lang w:val="es-ES"/>
        </w:rPr>
      </w:pPr>
      <w:r w:rsidRPr="001A4860">
        <w:rPr>
          <w:rFonts w:eastAsia="Calibri"/>
          <w:szCs w:val="24"/>
          <w:lang w:val="es-ES"/>
        </w:rPr>
        <w:t>Es igualmente obligación del contratista notificar al Contratante por medio del supervisor, sobre las condiciones inesperadas o sospechosas que se detecten en el terreno durante el proceso de la construcción.</w:t>
      </w:r>
    </w:p>
    <w:p w14:paraId="1F345542" w14:textId="77777777" w:rsidR="001A4860" w:rsidRPr="001A4860" w:rsidRDefault="001A4860" w:rsidP="001A4860">
      <w:pPr>
        <w:rPr>
          <w:rFonts w:eastAsia="Calibri"/>
          <w:szCs w:val="24"/>
          <w:lang w:val="es-ES"/>
        </w:rPr>
      </w:pPr>
    </w:p>
    <w:p w14:paraId="35B7759B" w14:textId="77777777" w:rsidR="001A4860" w:rsidRPr="001A4860" w:rsidRDefault="001A4860" w:rsidP="001A4860">
      <w:pPr>
        <w:spacing w:line="360" w:lineRule="auto"/>
        <w:rPr>
          <w:rFonts w:eastAsia="Calibri"/>
          <w:b/>
          <w:szCs w:val="24"/>
          <w:lang w:val="es-ES"/>
        </w:rPr>
      </w:pPr>
      <w:bookmarkStart w:id="1499" w:name="_Toc195413418"/>
      <w:bookmarkStart w:id="1500" w:name="_Toc234745682"/>
      <w:bookmarkStart w:id="1501" w:name="_Toc295977216"/>
      <w:bookmarkStart w:id="1502" w:name="_Toc305746140"/>
      <w:bookmarkStart w:id="1503" w:name="_Toc310550120"/>
      <w:bookmarkStart w:id="1504" w:name="_Toc344461287"/>
      <w:bookmarkStart w:id="1505" w:name="_Toc344723259"/>
      <w:bookmarkStart w:id="1506" w:name="_Toc351657285"/>
      <w:r w:rsidRPr="001A4860">
        <w:rPr>
          <w:rFonts w:eastAsia="Calibri"/>
          <w:b/>
          <w:szCs w:val="24"/>
          <w:lang w:val="es-ES"/>
        </w:rPr>
        <w:t>Excavación</w:t>
      </w:r>
      <w:bookmarkEnd w:id="1499"/>
      <w:bookmarkEnd w:id="1500"/>
      <w:bookmarkEnd w:id="1501"/>
      <w:bookmarkEnd w:id="1502"/>
      <w:bookmarkEnd w:id="1503"/>
      <w:bookmarkEnd w:id="1504"/>
      <w:bookmarkEnd w:id="1505"/>
      <w:bookmarkEnd w:id="1506"/>
    </w:p>
    <w:p w14:paraId="5A2790BA" w14:textId="77777777" w:rsidR="001A4860" w:rsidRPr="001A4860" w:rsidRDefault="001A4860" w:rsidP="001A4860">
      <w:pPr>
        <w:rPr>
          <w:rFonts w:eastAsia="Calibri"/>
          <w:szCs w:val="24"/>
          <w:lang w:val="es-ES"/>
        </w:rPr>
      </w:pPr>
      <w:r w:rsidRPr="001A4860">
        <w:rPr>
          <w:rFonts w:eastAsia="Calibri"/>
          <w:szCs w:val="24"/>
          <w:lang w:val="es-ES"/>
        </w:rPr>
        <w:t>Las excavaciones para las estructuras se efectuarán dé acuerdo con las dimensiones y niveles indicados en los planos y a las recomendaciones del estudio geotécnico Se extenderá a una distancia tal de las paredes que permita llevar a cabo las diferentes operaciones de construcción e inspección de la obra.  El Contratista mantendrá el área de excavación convenientemente drenada para no perturbar la estabilidad de las cimentaciones y del suelo de soporte.</w:t>
      </w:r>
    </w:p>
    <w:p w14:paraId="3AE80C1B" w14:textId="77777777" w:rsidR="001A4860" w:rsidRPr="001A4860" w:rsidRDefault="001A4860" w:rsidP="001A4860">
      <w:pPr>
        <w:rPr>
          <w:rFonts w:eastAsia="Calibri"/>
          <w:szCs w:val="24"/>
          <w:lang w:val="es-ES"/>
        </w:rPr>
      </w:pPr>
    </w:p>
    <w:p w14:paraId="73254E28" w14:textId="77777777" w:rsidR="001A4860" w:rsidRPr="001A4860" w:rsidRDefault="001A4860" w:rsidP="001A4860">
      <w:pPr>
        <w:rPr>
          <w:rFonts w:eastAsia="Calibri"/>
          <w:szCs w:val="24"/>
          <w:lang w:val="es-ES"/>
        </w:rPr>
      </w:pPr>
      <w:r w:rsidRPr="001A4860">
        <w:rPr>
          <w:rFonts w:eastAsia="Calibri"/>
          <w:szCs w:val="24"/>
          <w:lang w:val="es-ES"/>
        </w:rPr>
        <w:t>El contratista mantendrá en todo momento los pozos y zanjas de las cimentaciones libres de agua. Proveerá el bombeo necesario para mantener durante la construcción los espacios excavados libres de agua.</w:t>
      </w:r>
    </w:p>
    <w:p w14:paraId="79345960" w14:textId="77777777" w:rsidR="001A4860" w:rsidRPr="001A4860" w:rsidRDefault="001A4860" w:rsidP="001A4860">
      <w:pPr>
        <w:rPr>
          <w:rFonts w:eastAsia="Calibri"/>
          <w:szCs w:val="24"/>
          <w:lang w:val="es-ES"/>
        </w:rPr>
      </w:pPr>
    </w:p>
    <w:p w14:paraId="6855BA06" w14:textId="77777777" w:rsidR="001A4860" w:rsidRPr="001A4860" w:rsidRDefault="001A4860" w:rsidP="001A4860">
      <w:pPr>
        <w:rPr>
          <w:rFonts w:eastAsia="Calibri"/>
          <w:szCs w:val="24"/>
          <w:lang w:val="es-ES"/>
        </w:rPr>
      </w:pPr>
      <w:r w:rsidRPr="001A4860">
        <w:rPr>
          <w:rFonts w:eastAsia="Calibri"/>
          <w:szCs w:val="24"/>
          <w:lang w:val="es-ES"/>
        </w:rPr>
        <w:t>A fin de mantenerlas firmes y seguras, y de ser necesario se apuntalarán y arriostrarán excavaciones en la forma requerida y aprobada por el Ingeniero Supervisor.  Se removerán los puntuales a medida que la obra progrese, pero hasta que los terraplenes estén completamente seguros de colapsos y desprendimientos.</w:t>
      </w:r>
    </w:p>
    <w:p w14:paraId="3BCE65A7" w14:textId="77777777" w:rsidR="001A4860" w:rsidRPr="001A4860" w:rsidRDefault="001A4860" w:rsidP="001A4860">
      <w:pPr>
        <w:rPr>
          <w:rFonts w:eastAsia="Calibri"/>
          <w:szCs w:val="24"/>
          <w:lang w:val="es-ES"/>
        </w:rPr>
      </w:pPr>
    </w:p>
    <w:p w14:paraId="781E799A" w14:textId="77777777" w:rsidR="001A4860" w:rsidRPr="001A4860" w:rsidRDefault="001A4860" w:rsidP="001A4860">
      <w:pPr>
        <w:rPr>
          <w:rFonts w:eastAsia="Calibri"/>
          <w:szCs w:val="24"/>
          <w:lang w:val="es-ES"/>
        </w:rPr>
      </w:pPr>
      <w:r w:rsidRPr="001A4860">
        <w:rPr>
          <w:rFonts w:eastAsia="Calibri"/>
          <w:szCs w:val="24"/>
          <w:lang w:val="es-ES"/>
        </w:rPr>
        <w:t xml:space="preserve">El fondo de la excavación deberá quedar a nivel y libre de material suelto. Las superficies de roca que sirvan de base para la fundación de la estructura de concreto, estarán libres cualquier material suelto. En caso de encontrar material inestable se excavará hasta donde indique el Ingeniero </w:t>
      </w:r>
      <w:r w:rsidRPr="001A4860">
        <w:rPr>
          <w:rFonts w:eastAsia="Calibri"/>
          <w:szCs w:val="24"/>
          <w:lang w:val="es-ES"/>
        </w:rPr>
        <w:lastRenderedPageBreak/>
        <w:t>Supervisor y se rellene con material selecto. Toda obstrucción, troncos, árboles y desperdicios en el área del movimiento de tierra serán removida fuera del predio por el Contratista a su costo.</w:t>
      </w:r>
    </w:p>
    <w:p w14:paraId="442C0327" w14:textId="77777777" w:rsidR="001A4860" w:rsidRPr="001A4860" w:rsidRDefault="001A4860" w:rsidP="001A4860">
      <w:pPr>
        <w:rPr>
          <w:rFonts w:eastAsia="Calibri"/>
          <w:szCs w:val="24"/>
          <w:lang w:val="es-ES"/>
        </w:rPr>
      </w:pPr>
    </w:p>
    <w:p w14:paraId="6781D2E5" w14:textId="77777777" w:rsidR="001A4860" w:rsidRPr="001A4860" w:rsidRDefault="001A4860" w:rsidP="001A4860">
      <w:pPr>
        <w:spacing w:line="360" w:lineRule="auto"/>
        <w:rPr>
          <w:rFonts w:eastAsia="Calibri"/>
          <w:b/>
          <w:szCs w:val="24"/>
          <w:lang w:val="es-ES"/>
        </w:rPr>
      </w:pPr>
      <w:bookmarkStart w:id="1507" w:name="_Toc195413419"/>
      <w:bookmarkStart w:id="1508" w:name="_Toc234745683"/>
      <w:bookmarkStart w:id="1509" w:name="_Toc295977217"/>
      <w:bookmarkStart w:id="1510" w:name="_Toc305746141"/>
      <w:bookmarkStart w:id="1511" w:name="_Toc310550121"/>
      <w:bookmarkStart w:id="1512" w:name="_Toc344461288"/>
      <w:bookmarkStart w:id="1513" w:name="_Toc344723260"/>
      <w:bookmarkStart w:id="1514" w:name="_Toc351657286"/>
      <w:r w:rsidRPr="001A4860">
        <w:rPr>
          <w:rFonts w:eastAsia="Calibri"/>
          <w:b/>
          <w:szCs w:val="24"/>
          <w:lang w:val="es-ES"/>
        </w:rPr>
        <w:t>Estabilización del Material Blando</w:t>
      </w:r>
      <w:bookmarkEnd w:id="1507"/>
      <w:bookmarkEnd w:id="1508"/>
      <w:bookmarkEnd w:id="1509"/>
      <w:bookmarkEnd w:id="1510"/>
      <w:bookmarkEnd w:id="1511"/>
      <w:bookmarkEnd w:id="1512"/>
      <w:bookmarkEnd w:id="1513"/>
      <w:bookmarkEnd w:id="1514"/>
    </w:p>
    <w:p w14:paraId="7A849253" w14:textId="77777777" w:rsidR="001A4860" w:rsidRPr="001A4860" w:rsidRDefault="001A4860" w:rsidP="001A4860">
      <w:pPr>
        <w:rPr>
          <w:rFonts w:eastAsia="Calibri"/>
          <w:szCs w:val="24"/>
          <w:lang w:val="es-ES"/>
        </w:rPr>
      </w:pPr>
      <w:r w:rsidRPr="001A4860">
        <w:rPr>
          <w:rFonts w:eastAsia="Calibri"/>
          <w:szCs w:val="24"/>
          <w:lang w:val="es-ES"/>
        </w:rPr>
        <w:t xml:space="preserve">En toda el área donde se cimentarán las obras, se determinará el mejoramiento de suelo de acuerdo al resultado obtenido en el estudio de suelo realizado en el sitio No se depositará relleno hasta que la sub-base haya sido inspeccionada por el Supervisor. </w:t>
      </w:r>
    </w:p>
    <w:p w14:paraId="4AEE7303" w14:textId="77777777" w:rsidR="001A4860" w:rsidRPr="001A4860" w:rsidRDefault="001A4860" w:rsidP="001A4860">
      <w:pPr>
        <w:rPr>
          <w:rFonts w:eastAsia="Calibri"/>
          <w:szCs w:val="24"/>
          <w:lang w:val="es-ES"/>
        </w:rPr>
      </w:pPr>
    </w:p>
    <w:p w14:paraId="38BF137B" w14:textId="77777777" w:rsidR="001A4860" w:rsidRPr="001A4860" w:rsidRDefault="001A4860" w:rsidP="001A4860">
      <w:pPr>
        <w:rPr>
          <w:rFonts w:eastAsia="Calibri"/>
          <w:szCs w:val="24"/>
          <w:lang w:val="es-ES"/>
        </w:rPr>
      </w:pPr>
      <w:r w:rsidRPr="001A4860">
        <w:rPr>
          <w:rFonts w:eastAsia="Calibri"/>
          <w:szCs w:val="24"/>
          <w:lang w:val="es-ES"/>
        </w:rPr>
        <w:t>En ningún caso se depositará el material de relleno en capas horizontales no mayores de veinte (20) centímetros de profundidad antes de su compactación. Se extenderá el relleno uniformemente y se compactará al 95% Proctor.</w:t>
      </w:r>
    </w:p>
    <w:p w14:paraId="155B23E9" w14:textId="77777777" w:rsidR="001A4860" w:rsidRPr="001A4860" w:rsidRDefault="001A4860" w:rsidP="001A4860">
      <w:pPr>
        <w:rPr>
          <w:rFonts w:eastAsia="Calibri"/>
          <w:szCs w:val="24"/>
          <w:lang w:val="es-ES"/>
        </w:rPr>
      </w:pPr>
    </w:p>
    <w:p w14:paraId="647D6D65" w14:textId="77777777" w:rsidR="001A4860" w:rsidRPr="001A4860" w:rsidRDefault="001A4860" w:rsidP="001A4860">
      <w:pPr>
        <w:spacing w:line="360" w:lineRule="auto"/>
        <w:rPr>
          <w:rFonts w:eastAsia="Calibri"/>
          <w:b/>
          <w:szCs w:val="24"/>
          <w:lang w:val="es-ES"/>
        </w:rPr>
      </w:pPr>
      <w:bookmarkStart w:id="1515" w:name="_Toc195413420"/>
      <w:bookmarkStart w:id="1516" w:name="_Toc234745684"/>
      <w:bookmarkStart w:id="1517" w:name="_Toc295977218"/>
      <w:bookmarkStart w:id="1518" w:name="_Toc305746142"/>
      <w:bookmarkStart w:id="1519" w:name="_Toc310550122"/>
      <w:bookmarkStart w:id="1520" w:name="_Toc344461289"/>
      <w:bookmarkStart w:id="1521" w:name="_Toc344723261"/>
      <w:bookmarkStart w:id="1522" w:name="_Toc351657287"/>
      <w:r w:rsidRPr="001A4860">
        <w:rPr>
          <w:rFonts w:eastAsia="Calibri"/>
          <w:b/>
          <w:szCs w:val="24"/>
          <w:lang w:val="es-ES"/>
        </w:rPr>
        <w:t>Relleno</w:t>
      </w:r>
      <w:bookmarkEnd w:id="1515"/>
      <w:bookmarkEnd w:id="1516"/>
      <w:bookmarkEnd w:id="1517"/>
      <w:bookmarkEnd w:id="1518"/>
      <w:bookmarkEnd w:id="1519"/>
      <w:bookmarkEnd w:id="1520"/>
      <w:bookmarkEnd w:id="1521"/>
      <w:bookmarkEnd w:id="1522"/>
    </w:p>
    <w:p w14:paraId="3ADAAE08" w14:textId="77777777" w:rsidR="001A4860" w:rsidRPr="001A4860" w:rsidRDefault="001A4860" w:rsidP="001A4860">
      <w:pPr>
        <w:rPr>
          <w:rFonts w:eastAsia="Calibri"/>
          <w:szCs w:val="24"/>
          <w:lang w:val="es-ES"/>
        </w:rPr>
      </w:pPr>
      <w:r w:rsidRPr="001A4860">
        <w:rPr>
          <w:rFonts w:eastAsia="Calibri"/>
          <w:szCs w:val="24"/>
          <w:lang w:val="es-ES"/>
        </w:rPr>
        <w:t xml:space="preserve">El material aprobado deberá estar libre de toda materia vegetal u orgánica, desperdicios, pedazos de madera etc. Se podrá usar producto de las excavaciones. </w:t>
      </w:r>
    </w:p>
    <w:p w14:paraId="725349C9" w14:textId="77777777" w:rsidR="001A4860" w:rsidRPr="001A4860" w:rsidRDefault="001A4860" w:rsidP="001A4860">
      <w:pPr>
        <w:rPr>
          <w:rFonts w:eastAsia="Calibri"/>
          <w:szCs w:val="24"/>
          <w:lang w:val="es-ES"/>
        </w:rPr>
      </w:pPr>
    </w:p>
    <w:p w14:paraId="00429EE8" w14:textId="77777777" w:rsidR="001A4860" w:rsidRPr="001A4860" w:rsidRDefault="001A4860" w:rsidP="001A4860">
      <w:pPr>
        <w:rPr>
          <w:rFonts w:eastAsia="Calibri"/>
          <w:szCs w:val="24"/>
          <w:lang w:val="es-ES"/>
        </w:rPr>
      </w:pPr>
      <w:r w:rsidRPr="001A4860">
        <w:rPr>
          <w:rFonts w:eastAsia="Calibri"/>
          <w:szCs w:val="24"/>
          <w:lang w:val="es-ES"/>
        </w:rPr>
        <w:t>El material de relleno debe ser depositado en capas de no más de 20 cms. De espesor en forma manual con equipo mecánico y ser compactado hasta un mínimo de 95% Proctor. Cada capa deberá procesarse controlando su contenido de humedad (Pruebas de Compactación) y su costo correrá a cuenta del Contratista.</w:t>
      </w:r>
    </w:p>
    <w:p w14:paraId="16D6D990" w14:textId="77777777" w:rsidR="001A4860" w:rsidRPr="001A4860" w:rsidRDefault="001A4860" w:rsidP="001A4860">
      <w:pPr>
        <w:rPr>
          <w:rFonts w:eastAsia="Calibri"/>
          <w:szCs w:val="24"/>
          <w:lang w:val="es-ES"/>
        </w:rPr>
      </w:pPr>
    </w:p>
    <w:p w14:paraId="4B653464" w14:textId="77777777" w:rsidR="001A4860" w:rsidRPr="001A4860" w:rsidRDefault="001A4860" w:rsidP="001A4860">
      <w:pPr>
        <w:rPr>
          <w:rFonts w:eastAsia="Calibri"/>
          <w:szCs w:val="24"/>
          <w:lang w:val="es-ES"/>
        </w:rPr>
      </w:pPr>
      <w:r w:rsidRPr="001A4860">
        <w:rPr>
          <w:rFonts w:eastAsia="Calibri"/>
          <w:szCs w:val="24"/>
          <w:lang w:val="es-ES"/>
        </w:rPr>
        <w:t>A criterio del dueño se harán pruebas de forma selectiva por cuenta del dueño. Si la prueba no cumple con las especificaciones técnicas de compactación, el costo de la misma correrá a cuenta del contratista.</w:t>
      </w:r>
    </w:p>
    <w:p w14:paraId="0497C8B0" w14:textId="77777777" w:rsidR="001A4860" w:rsidRPr="001A4860" w:rsidRDefault="001A4860" w:rsidP="001A4860">
      <w:pPr>
        <w:contextualSpacing/>
        <w:rPr>
          <w:rFonts w:eastAsia="Calibri"/>
          <w:szCs w:val="24"/>
          <w:lang w:val="es-ES"/>
        </w:rPr>
      </w:pPr>
      <w:bookmarkStart w:id="1523" w:name="_Toc195413421"/>
      <w:bookmarkStart w:id="1524" w:name="_Toc234745685"/>
      <w:bookmarkStart w:id="1525" w:name="_Toc295977219"/>
      <w:bookmarkStart w:id="1526" w:name="_Toc305746143"/>
      <w:bookmarkStart w:id="1527" w:name="_Toc310550123"/>
      <w:bookmarkStart w:id="1528" w:name="_Toc344461290"/>
      <w:bookmarkStart w:id="1529" w:name="_Toc344723262"/>
      <w:bookmarkStart w:id="1530" w:name="_Toc351657288"/>
      <w:bookmarkStart w:id="1531" w:name="_Toc485034198"/>
    </w:p>
    <w:p w14:paraId="4DFAC441" w14:textId="77777777" w:rsidR="001A4860" w:rsidRPr="001A4860" w:rsidRDefault="001A4860" w:rsidP="001A4860">
      <w:pPr>
        <w:spacing w:line="360" w:lineRule="auto"/>
        <w:contextualSpacing/>
        <w:rPr>
          <w:rFonts w:eastAsia="Calibri"/>
          <w:b/>
          <w:szCs w:val="24"/>
          <w:lang w:val="es-ES"/>
        </w:rPr>
      </w:pPr>
      <w:r w:rsidRPr="001A4860">
        <w:rPr>
          <w:rFonts w:eastAsia="Calibri"/>
          <w:b/>
          <w:szCs w:val="24"/>
          <w:lang w:val="es-ES"/>
        </w:rPr>
        <w:t>Preparación de Cimentación</w:t>
      </w:r>
      <w:bookmarkEnd w:id="1523"/>
      <w:bookmarkEnd w:id="1524"/>
      <w:bookmarkEnd w:id="1525"/>
      <w:bookmarkEnd w:id="1526"/>
      <w:bookmarkEnd w:id="1527"/>
      <w:bookmarkEnd w:id="1528"/>
      <w:bookmarkEnd w:id="1529"/>
      <w:bookmarkEnd w:id="1530"/>
      <w:bookmarkEnd w:id="1531"/>
    </w:p>
    <w:p w14:paraId="2847D3EC" w14:textId="77777777" w:rsidR="001A4860" w:rsidRPr="001A4860" w:rsidRDefault="001A4860" w:rsidP="001A4860">
      <w:pPr>
        <w:rPr>
          <w:rFonts w:eastAsia="Calibri"/>
          <w:szCs w:val="24"/>
          <w:lang w:val="es-ES"/>
        </w:rPr>
      </w:pPr>
      <w:r w:rsidRPr="001A4860">
        <w:rPr>
          <w:rFonts w:eastAsia="Calibri"/>
          <w:szCs w:val="24"/>
          <w:lang w:val="es-ES"/>
        </w:rPr>
        <w:t xml:space="preserve">Conforme a los estudios de suelos realizados en el sitio e indicaciones en los planos, se deberá realizar el mejoramiento del suelo. El contratista deberá apegarse estrictamente a las recomendaciones para el mejoramiento de suelo indicado en los planos y previamente autorizado por el Supervisor. </w:t>
      </w:r>
    </w:p>
    <w:p w14:paraId="6699C432" w14:textId="77777777" w:rsidR="001A4860" w:rsidRPr="001A4860" w:rsidRDefault="001A4860" w:rsidP="001A4860">
      <w:pPr>
        <w:rPr>
          <w:rFonts w:eastAsia="Calibri"/>
          <w:szCs w:val="24"/>
          <w:lang w:val="es-ES"/>
        </w:rPr>
      </w:pPr>
    </w:p>
    <w:p w14:paraId="3408AC99" w14:textId="77777777" w:rsidR="001A4860" w:rsidRPr="001A4860" w:rsidRDefault="001A4860" w:rsidP="001A4860">
      <w:pPr>
        <w:spacing w:line="360" w:lineRule="auto"/>
        <w:contextualSpacing/>
        <w:rPr>
          <w:rFonts w:eastAsia="Calibri"/>
          <w:b/>
          <w:szCs w:val="24"/>
          <w:lang w:val="es-ES"/>
        </w:rPr>
      </w:pPr>
      <w:r w:rsidRPr="001A4860">
        <w:rPr>
          <w:rFonts w:eastAsia="Calibri"/>
          <w:b/>
          <w:szCs w:val="24"/>
          <w:lang w:val="es-ES"/>
        </w:rPr>
        <w:t>Concreto Reforzado.</w:t>
      </w:r>
    </w:p>
    <w:p w14:paraId="4BD23BC7" w14:textId="77777777" w:rsidR="001A4860" w:rsidRPr="001A4860" w:rsidRDefault="001A4860" w:rsidP="001A4860">
      <w:pPr>
        <w:overflowPunct w:val="0"/>
        <w:autoSpaceDE w:val="0"/>
        <w:autoSpaceDN w:val="0"/>
        <w:adjustRightInd w:val="0"/>
        <w:spacing w:after="160" w:line="259" w:lineRule="auto"/>
        <w:textAlignment w:val="baseline"/>
        <w:rPr>
          <w:rFonts w:eastAsia="Calibri"/>
          <w:szCs w:val="24"/>
          <w:lang w:val="es-ES"/>
        </w:rPr>
      </w:pPr>
      <w:r w:rsidRPr="001A4860">
        <w:rPr>
          <w:rFonts w:eastAsia="Calibri"/>
          <w:szCs w:val="24"/>
          <w:lang w:val="es-ES"/>
        </w:rPr>
        <w:t>Excepto cuando se especifique de otra forma, el concreto tendrá una resistencia a la compresión a los 28 días de 3,500 libras de compresión por pulgada cuadrada.</w:t>
      </w:r>
    </w:p>
    <w:p w14:paraId="5B4C2519"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Para todo concreto, la proporción de cemento, árido y agua necesarios para obtener la plasticidad y resistencia requerida, estará de acuerdo con las Normas 6I3-54 del ACI.  No se permitirá cambios en las proporciones sin la aprobación del Ingeniero.</w:t>
      </w:r>
    </w:p>
    <w:p w14:paraId="133807D3"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La colocación ó vertida de todo el concreto se hará de acuerdo con las Normas 3I8-7I, 605-59 y 6I4-59 del ACI en la forma que aquí se indica.  El transporte y vertida del concreto se hará de modo que no se disgreguen sus elementos, volviendo a mezclar al menos con una vuelta de pala, las que acusen señales de segregación.</w:t>
      </w:r>
    </w:p>
    <w:p w14:paraId="6790F806"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lastRenderedPageBreak/>
        <w:t>No se permitirá la colocación de mezclas que acusen inicio de fraguado, prohibiéndose la adición de agua ó lechada durante la llena.  Todo el concreto se colocará sobre superficies húmedas, libres de agua y nunca sobre lodo suave ó tierra seca o porosa.</w:t>
      </w:r>
    </w:p>
    <w:p w14:paraId="3F87FE3C"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El concreto debe ser colocado con la ayuda de equipo de vibración mecánica. La vibración debe ser aplicada directamente al concreto a menos que el Ingeniero lo apruebe de otra manera.  La intensidad de la vibración será lo suficiente como para causar el flujo y asentamiento del concreto en su lugar.</w:t>
      </w:r>
    </w:p>
    <w:p w14:paraId="5F310788" w14:textId="77777777" w:rsidR="001A4860" w:rsidRPr="001A4860" w:rsidRDefault="001A4860" w:rsidP="001A4860">
      <w:pPr>
        <w:rPr>
          <w:rFonts w:eastAsia="Calibri"/>
          <w:szCs w:val="24"/>
          <w:lang w:val="es-ES"/>
        </w:rPr>
      </w:pPr>
      <w:r w:rsidRPr="001A4860">
        <w:rPr>
          <w:rFonts w:eastAsia="Calibri"/>
          <w:szCs w:val="24"/>
          <w:lang w:val="es-ES"/>
        </w:rPr>
        <w:t>El Ingeniero podrá autorizar la mezcla a mano en las partes de la obra de escasa importancia debiendo hacerse entonces sobre una superficie impermeable mezclándose los materiales en seco hasta que presente un aspecto uniforme, agregando a continuación el agua en pequeñas cantidades hasta obtener un producto homogéneo y cuidando que durante la operación no se mezcle con tierra ni impureza alguna</w:t>
      </w:r>
    </w:p>
    <w:p w14:paraId="76FACE09" w14:textId="77777777" w:rsidR="001A4860" w:rsidRPr="001A4860" w:rsidRDefault="001A4860" w:rsidP="001A4860">
      <w:pPr>
        <w:rPr>
          <w:rFonts w:eastAsia="Calibri"/>
          <w:szCs w:val="24"/>
          <w:lang w:val="es-ES"/>
        </w:rPr>
      </w:pPr>
    </w:p>
    <w:p w14:paraId="0EBF231D" w14:textId="77777777" w:rsidR="001A4860" w:rsidRPr="001A4860" w:rsidRDefault="001A4860" w:rsidP="001A4860">
      <w:pPr>
        <w:rPr>
          <w:rFonts w:eastAsia="Calibri"/>
          <w:szCs w:val="24"/>
          <w:lang w:val="es-ES"/>
        </w:rPr>
      </w:pPr>
      <w:r w:rsidRPr="001A4860">
        <w:rPr>
          <w:rFonts w:eastAsia="Calibri"/>
          <w:szCs w:val="24"/>
          <w:lang w:val="es-ES"/>
        </w:rPr>
        <w:t xml:space="preserve">El proporcionamiento de los materiales para los diferentes tipos de concreto, deberán llevar el visto bueno (Visto Bueno) del laboratorio de materiales autorizado, o con el visto bueno del supervisor. La mezcla deberá ser satisfactoriamente plástica y laborable con la resistencia requerida. </w:t>
      </w:r>
    </w:p>
    <w:p w14:paraId="55B2BC1E" w14:textId="77777777" w:rsidR="001A4860" w:rsidRPr="001A4860" w:rsidRDefault="001A4860" w:rsidP="001A4860">
      <w:pPr>
        <w:rPr>
          <w:rFonts w:eastAsia="Calibri"/>
          <w:szCs w:val="24"/>
          <w:lang w:val="es-ES"/>
        </w:rPr>
      </w:pPr>
    </w:p>
    <w:p w14:paraId="44E7A7A9"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La mezcla deberá hacerse en una mezcladora mecánica con no menos de 1 1/2 minutos de revolución continúa, una vez que todos los ingredientes hayan sido introducidos dentro de la mezcladora. Se completará la descarga de la mezcladora dentro de un período de 30 minutos después de la introducción del agua para la mezcla de cemento con los áridos. </w:t>
      </w:r>
    </w:p>
    <w:p w14:paraId="0617D34B" w14:textId="77777777" w:rsidR="001A4860" w:rsidRPr="001A4860" w:rsidRDefault="001A4860" w:rsidP="001A4860">
      <w:pPr>
        <w:rPr>
          <w:rFonts w:eastAsia="Calibri"/>
          <w:szCs w:val="24"/>
          <w:lang w:val="es-ES"/>
        </w:rPr>
      </w:pPr>
      <w:r w:rsidRPr="001A4860">
        <w:rPr>
          <w:rFonts w:eastAsia="Calibri"/>
          <w:szCs w:val="24"/>
          <w:lang w:val="es-ES"/>
        </w:rPr>
        <w:t xml:space="preserve">Si lo dispone el supervisor, de cada fundida el contratista hará hasta cuatro cilindros de hormigón tomados de la mezcla que el supervisor aprobará y determinará su resistencia a los veintiocho (28) días por medio de ensayos efectuados en el laboratorio de Materiales autorizado. </w:t>
      </w:r>
    </w:p>
    <w:p w14:paraId="5B119001" w14:textId="77777777" w:rsidR="001A4860" w:rsidRPr="001A4860" w:rsidRDefault="001A4860" w:rsidP="001A4860">
      <w:pPr>
        <w:rPr>
          <w:rFonts w:eastAsia="Calibri"/>
          <w:szCs w:val="24"/>
          <w:lang w:val="es-ES"/>
        </w:rPr>
      </w:pPr>
    </w:p>
    <w:p w14:paraId="4BCE5333" w14:textId="77777777" w:rsidR="001A4860" w:rsidRPr="001A4860" w:rsidRDefault="001A4860" w:rsidP="001A4860">
      <w:pPr>
        <w:rPr>
          <w:rFonts w:eastAsia="Calibri"/>
          <w:szCs w:val="24"/>
          <w:lang w:val="es-ES"/>
        </w:rPr>
      </w:pPr>
      <w:r w:rsidRPr="001A4860">
        <w:rPr>
          <w:rFonts w:eastAsia="Calibri"/>
          <w:szCs w:val="24"/>
          <w:lang w:val="es-ES"/>
        </w:rPr>
        <w:t>Si los resultados de la ruptura de cilindros a los veintiocho (28) días fueren defectuosos en más de un 25% El supervisor rechazará la parte de la obra correspondiente.</w:t>
      </w:r>
    </w:p>
    <w:p w14:paraId="455AA764" w14:textId="77777777" w:rsidR="001A4860" w:rsidRPr="001A4860" w:rsidRDefault="001A4860" w:rsidP="001A4860">
      <w:pPr>
        <w:rPr>
          <w:rFonts w:eastAsia="Calibri"/>
          <w:szCs w:val="24"/>
          <w:lang w:val="es-ES"/>
        </w:rPr>
      </w:pPr>
      <w:r w:rsidRPr="001A4860">
        <w:rPr>
          <w:rFonts w:eastAsia="Calibri"/>
          <w:szCs w:val="24"/>
          <w:lang w:val="es-ES"/>
        </w:rPr>
        <w:t>El concreto debe transportarse de la mezcladora al sitio final de colocación, empleando métodos que prevengan la segregación o pérdida de materiales.</w:t>
      </w:r>
    </w:p>
    <w:p w14:paraId="41D47554" w14:textId="77777777" w:rsidR="001A4860" w:rsidRPr="001A4860" w:rsidRDefault="001A4860" w:rsidP="001A4860">
      <w:pPr>
        <w:rPr>
          <w:rFonts w:eastAsia="Calibri"/>
          <w:szCs w:val="24"/>
          <w:lang w:val="es-ES"/>
        </w:rPr>
      </w:pPr>
      <w:r w:rsidRPr="001A4860">
        <w:rPr>
          <w:rFonts w:eastAsia="Calibri"/>
          <w:szCs w:val="24"/>
          <w:lang w:val="es-ES"/>
        </w:rPr>
        <w:t>El equipo de transporte debe ser capaz de llevar el suministro del concreto al sitio de colocación sin segregación y sin interrupciones que permitan la pérdida de plasticidad entre colocados sucesivos.</w:t>
      </w:r>
    </w:p>
    <w:p w14:paraId="0EA5F4BB" w14:textId="77777777" w:rsidR="001A4860" w:rsidRPr="001A4860" w:rsidRDefault="001A4860" w:rsidP="001A4860">
      <w:pPr>
        <w:rPr>
          <w:rFonts w:eastAsia="Calibri"/>
          <w:szCs w:val="24"/>
          <w:lang w:val="es-ES"/>
        </w:rPr>
      </w:pPr>
    </w:p>
    <w:p w14:paraId="0FAA5BEA" w14:textId="77777777" w:rsidR="001A4860" w:rsidRPr="001A4860" w:rsidRDefault="001A4860" w:rsidP="001A4860">
      <w:pPr>
        <w:rPr>
          <w:rFonts w:eastAsia="Calibri"/>
          <w:szCs w:val="24"/>
          <w:lang w:val="es-ES"/>
        </w:rPr>
      </w:pPr>
      <w:r w:rsidRPr="001A4860">
        <w:rPr>
          <w:rFonts w:eastAsia="Calibri"/>
          <w:szCs w:val="24"/>
          <w:lang w:val="es-ES"/>
        </w:rPr>
        <w:t>El colado debe efectuarse a tal velocidad, que el concreto conserve su estado plástico en todo momento y fluya fácilmente dentro de los espacios entre las varillas.</w:t>
      </w:r>
    </w:p>
    <w:p w14:paraId="1594D968" w14:textId="77777777" w:rsidR="001A4860" w:rsidRPr="001A4860" w:rsidRDefault="001A4860" w:rsidP="001A4860">
      <w:pPr>
        <w:rPr>
          <w:rFonts w:eastAsia="Calibri"/>
          <w:szCs w:val="24"/>
          <w:lang w:val="es-ES"/>
        </w:rPr>
      </w:pPr>
      <w:r w:rsidRPr="001A4860">
        <w:rPr>
          <w:rFonts w:eastAsia="Calibri"/>
          <w:szCs w:val="24"/>
          <w:lang w:val="es-ES"/>
        </w:rPr>
        <w:t>Una vez iniciado el colado, éste deberá efectuarse en una operación continúa, hasta que termine el colado del tablero o la sección.</w:t>
      </w:r>
    </w:p>
    <w:p w14:paraId="0A652381" w14:textId="77777777" w:rsidR="001A4860" w:rsidRPr="001A4860" w:rsidRDefault="001A4860" w:rsidP="001A4860">
      <w:pPr>
        <w:rPr>
          <w:rFonts w:eastAsia="Calibri"/>
          <w:szCs w:val="24"/>
          <w:lang w:val="es-ES"/>
        </w:rPr>
      </w:pPr>
    </w:p>
    <w:p w14:paraId="650FD298" w14:textId="77777777" w:rsidR="001A4860" w:rsidRPr="001A4860" w:rsidRDefault="001A4860" w:rsidP="001A4860">
      <w:pPr>
        <w:rPr>
          <w:rFonts w:eastAsia="Calibri"/>
          <w:szCs w:val="24"/>
          <w:lang w:val="es-ES"/>
        </w:rPr>
      </w:pPr>
      <w:r w:rsidRPr="001A4860">
        <w:rPr>
          <w:rFonts w:eastAsia="Calibri"/>
          <w:szCs w:val="24"/>
          <w:lang w:val="es-ES"/>
        </w:rPr>
        <w:t>El concreto que se haya endurecido parcialmente, o que se haya contaminado con materiales extraños, no debe colocarse en la estructura.</w:t>
      </w:r>
    </w:p>
    <w:p w14:paraId="2B0EFD0B" w14:textId="77777777" w:rsidR="001A4860" w:rsidRPr="001A4860" w:rsidRDefault="001A4860" w:rsidP="001A4860">
      <w:pPr>
        <w:rPr>
          <w:rFonts w:eastAsia="Calibri"/>
          <w:szCs w:val="24"/>
          <w:lang w:val="es-ES"/>
        </w:rPr>
      </w:pPr>
    </w:p>
    <w:p w14:paraId="790E5114" w14:textId="77777777" w:rsidR="001A4860" w:rsidRPr="001A4860" w:rsidRDefault="001A4860" w:rsidP="001A4860">
      <w:pPr>
        <w:rPr>
          <w:rFonts w:eastAsia="Calibri"/>
          <w:szCs w:val="24"/>
          <w:lang w:val="es-ES"/>
        </w:rPr>
      </w:pPr>
      <w:r w:rsidRPr="001A4860">
        <w:rPr>
          <w:rFonts w:eastAsia="Calibri"/>
          <w:szCs w:val="24"/>
          <w:lang w:val="es-ES"/>
        </w:rPr>
        <w:lastRenderedPageBreak/>
        <w:t>Durante la colocación, todo concreto en estado blando deberá compactarse preferentemente con vibrador para que pueda acomodarse enteramente alrededor del refuerzo y de las instalaciones ahogadas.</w:t>
      </w:r>
    </w:p>
    <w:p w14:paraId="35497469" w14:textId="77777777" w:rsidR="001A4860" w:rsidRPr="001A4860" w:rsidRDefault="001A4860" w:rsidP="001A4860">
      <w:pPr>
        <w:rPr>
          <w:rFonts w:eastAsia="Calibri"/>
          <w:szCs w:val="24"/>
          <w:lang w:val="es-ES"/>
        </w:rPr>
      </w:pPr>
    </w:p>
    <w:p w14:paraId="5E03BBA1" w14:textId="77777777" w:rsidR="001A4860" w:rsidRPr="001A4860" w:rsidRDefault="001A4860" w:rsidP="001A4860">
      <w:pPr>
        <w:rPr>
          <w:rFonts w:eastAsia="Calibri"/>
          <w:szCs w:val="24"/>
          <w:lang w:val="es-ES"/>
        </w:rPr>
      </w:pPr>
      <w:r w:rsidRPr="001A4860">
        <w:rPr>
          <w:rFonts w:eastAsia="Calibri"/>
          <w:szCs w:val="24"/>
          <w:lang w:val="es-ES"/>
        </w:rPr>
        <w:t>Se permite realizar el apisonado con barras en forma de espátulas, insistiendo en cada punto lo necesario para que el concreto macice todos los huecos.  Se cuidará de mantener continuamente húmeda y arriba de los diez grados centígrados, la superficie del concreto. mojándola durante 15 días cuatro veces por día.</w:t>
      </w:r>
    </w:p>
    <w:p w14:paraId="5042075F" w14:textId="77777777" w:rsidR="001A4860" w:rsidRPr="001A4860" w:rsidRDefault="001A4860" w:rsidP="001A4860">
      <w:pPr>
        <w:rPr>
          <w:rFonts w:eastAsia="Calibri"/>
          <w:szCs w:val="24"/>
          <w:lang w:val="es-ES"/>
        </w:rPr>
      </w:pPr>
    </w:p>
    <w:p w14:paraId="1021B955" w14:textId="77777777" w:rsidR="001A4860" w:rsidRPr="001A4860" w:rsidRDefault="001A4860" w:rsidP="001A4860">
      <w:pPr>
        <w:rPr>
          <w:rFonts w:eastAsia="Calibri"/>
          <w:szCs w:val="24"/>
          <w:lang w:val="es-ES"/>
        </w:rPr>
      </w:pPr>
      <w:r w:rsidRPr="001A4860">
        <w:rPr>
          <w:rFonts w:eastAsia="Calibri"/>
          <w:szCs w:val="24"/>
          <w:lang w:val="es-ES"/>
        </w:rPr>
        <w:t>Ninguna carga de construcción deberá apoyarse sobre alguna parte de la estructura en construcción, ni se deberá retirar algún puntal de dicha parte, excepto cuando la estructura junto con el sistema restante de la formaleta y de puntales tenga suficiente resistencia como para soportar con seguridad su propio peso y las cargas soportadas sobre ella.</w:t>
      </w:r>
    </w:p>
    <w:p w14:paraId="78CFA1FB" w14:textId="77777777" w:rsidR="001A4860" w:rsidRPr="001A4860" w:rsidRDefault="001A4860" w:rsidP="001A4860">
      <w:pPr>
        <w:rPr>
          <w:rFonts w:eastAsia="Calibri"/>
          <w:szCs w:val="24"/>
          <w:lang w:val="es-ES"/>
        </w:rPr>
      </w:pPr>
    </w:p>
    <w:p w14:paraId="50860B8D" w14:textId="77777777" w:rsidR="001A4860" w:rsidRPr="001A4860" w:rsidRDefault="001A4860" w:rsidP="001A4860">
      <w:pPr>
        <w:rPr>
          <w:rFonts w:eastAsia="Calibri"/>
          <w:szCs w:val="24"/>
          <w:lang w:val="es-ES"/>
        </w:rPr>
      </w:pPr>
      <w:r w:rsidRPr="001A4860">
        <w:rPr>
          <w:rFonts w:eastAsia="Calibri"/>
          <w:szCs w:val="24"/>
          <w:lang w:val="es-ES"/>
        </w:rPr>
        <w:t>El desencofrado deberá hacerse de tal forma que no perjudique la completa seguridad y la durabilidad de la estructura. El concreto que se desencofre debe ser suficientemente resistente para no sufrir daños posteriores.</w:t>
      </w:r>
    </w:p>
    <w:p w14:paraId="4175F352" w14:textId="77777777" w:rsidR="001A4860" w:rsidRPr="001A4860" w:rsidRDefault="001A4860" w:rsidP="001A4860">
      <w:pPr>
        <w:rPr>
          <w:rFonts w:eastAsia="Calibri"/>
          <w:szCs w:val="24"/>
          <w:lang w:val="es-ES"/>
        </w:rPr>
      </w:pPr>
    </w:p>
    <w:p w14:paraId="6504551F" w14:textId="77777777" w:rsidR="001A4860" w:rsidRPr="001A4860" w:rsidRDefault="001A4860" w:rsidP="001A4860">
      <w:pPr>
        <w:rPr>
          <w:rFonts w:eastAsia="Calibri"/>
          <w:szCs w:val="24"/>
          <w:lang w:val="es-ES"/>
        </w:rPr>
      </w:pPr>
      <w:r w:rsidRPr="001A4860">
        <w:rPr>
          <w:rFonts w:eastAsia="Calibri"/>
          <w:szCs w:val="24"/>
          <w:lang w:val="es-ES"/>
        </w:rPr>
        <w:t>Durante la actividad de desencofre se cuidará de no dar golpes ni hacer esfuerzos que puedan perjudicar al concreto.</w:t>
      </w:r>
    </w:p>
    <w:p w14:paraId="72427946" w14:textId="77777777" w:rsidR="001A4860" w:rsidRPr="001A4860" w:rsidRDefault="001A4860" w:rsidP="001A4860">
      <w:pPr>
        <w:rPr>
          <w:rFonts w:eastAsia="Calibri"/>
          <w:szCs w:val="24"/>
          <w:lang w:val="es-ES"/>
        </w:rPr>
      </w:pPr>
    </w:p>
    <w:p w14:paraId="7B336BA9" w14:textId="77777777" w:rsidR="001A4860" w:rsidRPr="001A4860" w:rsidRDefault="001A4860" w:rsidP="001A4860">
      <w:pPr>
        <w:rPr>
          <w:rFonts w:eastAsia="Calibri"/>
          <w:szCs w:val="24"/>
          <w:lang w:val="es-ES"/>
        </w:rPr>
      </w:pPr>
      <w:r w:rsidRPr="001A4860">
        <w:rPr>
          <w:rFonts w:eastAsia="Calibri"/>
          <w:szCs w:val="24"/>
          <w:lang w:val="es-ES"/>
        </w:rPr>
        <w:t>En ningún momento se permitirá cargar la estructura, con almacenamiento de materiales, equipos deconstrucción o cualquier otro tipo de sobrecarga extraordinaria.</w:t>
      </w:r>
    </w:p>
    <w:p w14:paraId="7EB62EB2" w14:textId="77777777" w:rsidR="001A4860" w:rsidRPr="001A4860" w:rsidRDefault="001A4860" w:rsidP="001A4860">
      <w:pPr>
        <w:rPr>
          <w:rFonts w:eastAsia="Calibri"/>
          <w:szCs w:val="24"/>
          <w:lang w:val="es-ES"/>
        </w:rPr>
      </w:pPr>
    </w:p>
    <w:p w14:paraId="2E2A700E" w14:textId="77777777" w:rsidR="001A4860" w:rsidRPr="001A4860" w:rsidRDefault="001A4860" w:rsidP="001A4860">
      <w:pPr>
        <w:rPr>
          <w:rFonts w:eastAsia="Calibri"/>
          <w:szCs w:val="24"/>
          <w:lang w:val="es-ES"/>
        </w:rPr>
      </w:pPr>
      <w:r w:rsidRPr="001A4860">
        <w:rPr>
          <w:rFonts w:eastAsia="Calibri"/>
          <w:szCs w:val="24"/>
          <w:lang w:val="es-ES"/>
        </w:rPr>
        <w:t>Cuando se haga una junta, la superficie de concreto debe limpiarse completamente y removerse toda la nata y el agua estancada.</w:t>
      </w:r>
    </w:p>
    <w:p w14:paraId="2D1999A3" w14:textId="77777777" w:rsidR="001A4860" w:rsidRPr="001A4860" w:rsidRDefault="001A4860" w:rsidP="001A4860">
      <w:pPr>
        <w:rPr>
          <w:rFonts w:eastAsia="Calibri"/>
          <w:szCs w:val="24"/>
          <w:lang w:val="es-ES"/>
        </w:rPr>
      </w:pPr>
    </w:p>
    <w:p w14:paraId="4A27BFCE" w14:textId="77777777" w:rsidR="001A4860" w:rsidRPr="001A4860" w:rsidRDefault="001A4860" w:rsidP="001A4860">
      <w:pPr>
        <w:rPr>
          <w:rFonts w:eastAsia="Calibri"/>
          <w:szCs w:val="24"/>
          <w:lang w:val="es-ES"/>
        </w:rPr>
      </w:pPr>
      <w:r w:rsidRPr="001A4860">
        <w:rPr>
          <w:rFonts w:eastAsia="Calibri"/>
          <w:szCs w:val="24"/>
          <w:lang w:val="es-ES"/>
        </w:rPr>
        <w:t>Las juntas de colado vertical también deberán humedecerse completamente y cubrirse con una lechada de cemento limpio, inmediatamente antes de colocarse el concreto nuevo.</w:t>
      </w:r>
    </w:p>
    <w:p w14:paraId="71F62783" w14:textId="77777777" w:rsidR="001A4860" w:rsidRPr="001A4860" w:rsidRDefault="001A4860" w:rsidP="001A4860">
      <w:pPr>
        <w:rPr>
          <w:rFonts w:eastAsia="Calibri"/>
          <w:szCs w:val="24"/>
          <w:lang w:val="es-ES"/>
        </w:rPr>
      </w:pPr>
    </w:p>
    <w:p w14:paraId="0B56B917" w14:textId="77777777" w:rsidR="001A4860" w:rsidRPr="001A4860" w:rsidRDefault="001A4860" w:rsidP="001A4860">
      <w:pPr>
        <w:rPr>
          <w:rFonts w:eastAsia="Calibri"/>
          <w:szCs w:val="24"/>
          <w:lang w:val="es-ES"/>
        </w:rPr>
      </w:pPr>
      <w:r w:rsidRPr="001A4860">
        <w:rPr>
          <w:rFonts w:eastAsia="Calibri"/>
          <w:szCs w:val="24"/>
          <w:lang w:val="es-ES"/>
        </w:rPr>
        <w:t>Las juntas de colado no indicadas en los planos de diseño deberán hacerse y localizarse de tal forma que no afecten significativamente la resistencia de la estructura.  Al realizar la junta, se tomarán las debidas precauciones para que ésta sea capaz de trasmitir el cortante y otras fuerzas.</w:t>
      </w:r>
    </w:p>
    <w:p w14:paraId="19075B6F" w14:textId="77777777" w:rsidR="001A4860" w:rsidRPr="001A4860" w:rsidRDefault="001A4860" w:rsidP="001A4860">
      <w:pPr>
        <w:rPr>
          <w:rFonts w:eastAsia="Calibri"/>
          <w:szCs w:val="24"/>
          <w:lang w:val="es-ES"/>
        </w:rPr>
      </w:pPr>
    </w:p>
    <w:p w14:paraId="4A4B6E04" w14:textId="77777777" w:rsidR="001A4860" w:rsidRPr="001A4860" w:rsidRDefault="001A4860" w:rsidP="001A4860">
      <w:pPr>
        <w:rPr>
          <w:rFonts w:eastAsia="Calibri"/>
          <w:szCs w:val="24"/>
          <w:lang w:val="es-ES"/>
        </w:rPr>
      </w:pPr>
      <w:r w:rsidRPr="001A4860">
        <w:rPr>
          <w:rFonts w:eastAsia="Calibri"/>
          <w:szCs w:val="24"/>
          <w:lang w:val="es-ES"/>
        </w:rPr>
        <w:t>En caso que la supervisión encuentre partes de la estructura con defectos o que no den la resistencia que se requiere, el contratista demolerá, la obra y la construirá de nuevo por su cuenta</w:t>
      </w:r>
    </w:p>
    <w:p w14:paraId="4AC86E3D" w14:textId="77777777" w:rsidR="001A4860" w:rsidRPr="001A4860" w:rsidRDefault="001A4860" w:rsidP="001A4860">
      <w:pPr>
        <w:rPr>
          <w:rFonts w:eastAsia="Calibri"/>
          <w:szCs w:val="24"/>
          <w:lang w:val="es-ES"/>
        </w:rPr>
      </w:pPr>
    </w:p>
    <w:p w14:paraId="0639EB63" w14:textId="77777777" w:rsidR="001A4860" w:rsidRPr="001A4860" w:rsidRDefault="001A4860" w:rsidP="001A4860">
      <w:pPr>
        <w:rPr>
          <w:rFonts w:eastAsia="Calibri"/>
          <w:szCs w:val="24"/>
          <w:lang w:val="es-ES"/>
        </w:rPr>
      </w:pPr>
      <w:r w:rsidRPr="001A4860">
        <w:rPr>
          <w:rFonts w:eastAsia="Calibri"/>
          <w:szCs w:val="24"/>
          <w:lang w:val="es-ES"/>
        </w:rPr>
        <w:t>Si el nivel de desplante fuere arcilloso, zonzocuitoso, o de pómez, el contratista antes de colar la estructura debe poner un filtro de piedra bolón con junta de mortero con relación 1:3 y con el espesor indicado en los planos.  El diámetro de la piedra bolón debe de ser no menor a 2".</w:t>
      </w:r>
    </w:p>
    <w:p w14:paraId="7707E48B" w14:textId="77777777" w:rsidR="001A4860" w:rsidRPr="001A4860" w:rsidRDefault="001A4860" w:rsidP="001A4860">
      <w:pPr>
        <w:rPr>
          <w:rFonts w:eastAsia="Calibri"/>
          <w:szCs w:val="24"/>
          <w:lang w:val="es-ES"/>
        </w:rPr>
      </w:pPr>
      <w:r w:rsidRPr="001A4860">
        <w:rPr>
          <w:rFonts w:eastAsia="Calibri"/>
          <w:szCs w:val="24"/>
          <w:lang w:val="es-ES"/>
        </w:rPr>
        <w:t>Las vigas, trabes o losas que se apoyen en columnas y muros no deberán colarse o construirse sino hasta que el concreto de los elementos verticales de apoyo haya dejado de ser plástico.</w:t>
      </w:r>
    </w:p>
    <w:p w14:paraId="04D78F74" w14:textId="77777777" w:rsidR="001A4860" w:rsidRPr="001A4860" w:rsidRDefault="001A4860" w:rsidP="001A4860">
      <w:pPr>
        <w:rPr>
          <w:rFonts w:eastAsia="Calibri"/>
          <w:szCs w:val="24"/>
          <w:u w:val="single"/>
          <w:lang w:val="es-ES"/>
        </w:rPr>
      </w:pPr>
    </w:p>
    <w:p w14:paraId="5CA6F86E" w14:textId="77777777" w:rsidR="001A4860" w:rsidRPr="001A4860" w:rsidRDefault="001A4860" w:rsidP="001A4860">
      <w:pPr>
        <w:spacing w:line="360" w:lineRule="auto"/>
        <w:contextualSpacing/>
        <w:rPr>
          <w:rFonts w:eastAsia="Calibri"/>
          <w:b/>
          <w:szCs w:val="24"/>
          <w:u w:val="single"/>
          <w:lang w:val="es-ES"/>
        </w:rPr>
      </w:pPr>
      <w:r w:rsidRPr="001A4860">
        <w:rPr>
          <w:rFonts w:eastAsia="Calibri"/>
          <w:b/>
          <w:szCs w:val="24"/>
          <w:u w:val="single"/>
          <w:lang w:val="es-ES"/>
        </w:rPr>
        <w:t>Materiales del concreto.</w:t>
      </w:r>
    </w:p>
    <w:p w14:paraId="0C958302" w14:textId="77777777" w:rsidR="001A4860" w:rsidRPr="001A4860" w:rsidRDefault="001A4860" w:rsidP="003B68DB">
      <w:pPr>
        <w:numPr>
          <w:ilvl w:val="0"/>
          <w:numId w:val="187"/>
        </w:numPr>
        <w:spacing w:after="160" w:line="360" w:lineRule="auto"/>
        <w:ind w:left="0" w:firstLine="0"/>
        <w:contextualSpacing/>
        <w:jc w:val="left"/>
        <w:rPr>
          <w:rFonts w:eastAsia="Calibri"/>
          <w:szCs w:val="24"/>
          <w:lang w:val="es-ES"/>
        </w:rPr>
      </w:pPr>
      <w:r w:rsidRPr="001A4860">
        <w:rPr>
          <w:rFonts w:eastAsia="Calibri"/>
          <w:b/>
          <w:szCs w:val="24"/>
          <w:lang w:val="es-ES"/>
        </w:rPr>
        <w:t>Cemento</w:t>
      </w:r>
      <w:r w:rsidRPr="001A4860">
        <w:rPr>
          <w:rFonts w:eastAsia="Calibri"/>
          <w:szCs w:val="24"/>
          <w:lang w:val="es-ES"/>
        </w:rPr>
        <w:t>.</w:t>
      </w:r>
    </w:p>
    <w:p w14:paraId="5ECF9E8B" w14:textId="77777777" w:rsidR="001A4860" w:rsidRPr="001A4860" w:rsidRDefault="001A4860" w:rsidP="001A4860">
      <w:pPr>
        <w:rPr>
          <w:rFonts w:eastAsia="Calibri"/>
          <w:szCs w:val="24"/>
          <w:lang w:val="es-ES"/>
        </w:rPr>
      </w:pPr>
      <w:r w:rsidRPr="001A4860">
        <w:rPr>
          <w:rFonts w:eastAsia="Calibri"/>
          <w:szCs w:val="24"/>
          <w:lang w:val="es-ES"/>
        </w:rPr>
        <w:lastRenderedPageBreak/>
        <w:t>El Cemento a usarse deberá cumplir con las Normas ASTM-C.1157-95 Tipo GU.  Debe llegar al sitio de la construcción en s envases originales y enteros, debe ser completamente fresco y no debe mostrar evidencias de endurecimiento.  Debe almacenarse en bodega seca sobre tarimas de madera en estibas de no más de diez (10) sacos.</w:t>
      </w:r>
    </w:p>
    <w:p w14:paraId="5E022AE3" w14:textId="77777777" w:rsidR="001A4860" w:rsidRPr="001A4860" w:rsidRDefault="001A4860" w:rsidP="001A4860">
      <w:pPr>
        <w:rPr>
          <w:rFonts w:eastAsia="Calibri"/>
          <w:szCs w:val="24"/>
          <w:lang w:val="es-ES"/>
        </w:rPr>
      </w:pPr>
    </w:p>
    <w:p w14:paraId="143431FD" w14:textId="77777777" w:rsidR="001A4860" w:rsidRPr="001A4860" w:rsidRDefault="001A4860" w:rsidP="003B68DB">
      <w:pPr>
        <w:numPr>
          <w:ilvl w:val="0"/>
          <w:numId w:val="187"/>
        </w:numPr>
        <w:spacing w:after="160" w:line="360" w:lineRule="auto"/>
        <w:ind w:left="0" w:firstLine="0"/>
        <w:contextualSpacing/>
        <w:jc w:val="left"/>
        <w:rPr>
          <w:rFonts w:eastAsia="Calibri"/>
          <w:szCs w:val="24"/>
          <w:lang w:val="es-ES"/>
        </w:rPr>
      </w:pPr>
      <w:r w:rsidRPr="001A4860">
        <w:rPr>
          <w:rFonts w:eastAsia="Calibri"/>
          <w:b/>
          <w:szCs w:val="24"/>
          <w:lang w:val="es-ES"/>
        </w:rPr>
        <w:t>Agua</w:t>
      </w:r>
      <w:r w:rsidRPr="001A4860">
        <w:rPr>
          <w:rFonts w:eastAsia="Calibri"/>
          <w:szCs w:val="24"/>
          <w:lang w:val="es-ES"/>
        </w:rPr>
        <w:t>.</w:t>
      </w:r>
    </w:p>
    <w:p w14:paraId="316E837D" w14:textId="77777777" w:rsidR="001A4860" w:rsidRPr="001A4860" w:rsidRDefault="001A4860" w:rsidP="001A4860">
      <w:pPr>
        <w:rPr>
          <w:rFonts w:eastAsia="Calibri"/>
          <w:szCs w:val="24"/>
          <w:lang w:val="es-ES"/>
        </w:rPr>
      </w:pPr>
      <w:r w:rsidRPr="001A4860">
        <w:rPr>
          <w:rFonts w:eastAsia="Calibri"/>
          <w:szCs w:val="24"/>
          <w:lang w:val="es-ES"/>
        </w:rPr>
        <w:t>El agua que se emplee en todas las mezclas debe ser potable, limpia y libre de grasas o aceites, de materias orgánicas, álcalis, sales, ácidos o impurezas que puedan afectar la resistencia y propiedades físicas del concreto o del refuerzo.  Deberá ser previamente aprobada por El Ingeniero.</w:t>
      </w:r>
    </w:p>
    <w:p w14:paraId="77B71E4F" w14:textId="77777777" w:rsidR="001A4860" w:rsidRPr="001A4860" w:rsidRDefault="001A4860" w:rsidP="001A4860">
      <w:pPr>
        <w:rPr>
          <w:rFonts w:eastAsia="Calibri"/>
          <w:szCs w:val="24"/>
          <w:lang w:val="es-ES"/>
        </w:rPr>
      </w:pPr>
    </w:p>
    <w:p w14:paraId="4712BCFA" w14:textId="77777777" w:rsidR="001A4860" w:rsidRPr="001A4860" w:rsidRDefault="001A4860" w:rsidP="003B68DB">
      <w:pPr>
        <w:numPr>
          <w:ilvl w:val="0"/>
          <w:numId w:val="187"/>
        </w:numPr>
        <w:spacing w:after="160" w:line="360" w:lineRule="auto"/>
        <w:ind w:left="0" w:firstLine="0"/>
        <w:contextualSpacing/>
        <w:jc w:val="left"/>
        <w:rPr>
          <w:rFonts w:eastAsia="Calibri"/>
          <w:szCs w:val="24"/>
          <w:lang w:val="es-ES"/>
        </w:rPr>
      </w:pPr>
      <w:r w:rsidRPr="001A4860">
        <w:rPr>
          <w:rFonts w:eastAsia="Calibri"/>
          <w:b/>
          <w:szCs w:val="24"/>
          <w:lang w:val="es-ES"/>
        </w:rPr>
        <w:t>Agregados</w:t>
      </w:r>
      <w:r w:rsidRPr="001A4860">
        <w:rPr>
          <w:rFonts w:eastAsia="Calibri"/>
          <w:szCs w:val="24"/>
          <w:lang w:val="es-ES"/>
        </w:rPr>
        <w:t>.</w:t>
      </w:r>
    </w:p>
    <w:p w14:paraId="34E89B76" w14:textId="77777777" w:rsidR="001A4860" w:rsidRPr="001A4860" w:rsidRDefault="001A4860" w:rsidP="001A4860">
      <w:pPr>
        <w:rPr>
          <w:rFonts w:eastAsia="Calibri"/>
          <w:szCs w:val="24"/>
          <w:lang w:val="es-ES"/>
        </w:rPr>
      </w:pPr>
      <w:r w:rsidRPr="001A4860">
        <w:rPr>
          <w:rFonts w:eastAsia="Calibri"/>
          <w:szCs w:val="24"/>
          <w:lang w:val="es-ES"/>
        </w:rPr>
        <w:t>Los agregados empleados en la mezcla de concreto deben ser clasificados según su tamaño y deben ser almacenados en forma ordenada para evitar que se revuelvan, se ensucien o se mezclen con materias extrañas. Deben cumplir con todas las Especificaciones de la A.S.T.M para los agregados de concreto designación C-33-67.</w:t>
      </w:r>
    </w:p>
    <w:p w14:paraId="5AA0D322" w14:textId="77777777" w:rsidR="001A4860" w:rsidRPr="001A4860" w:rsidRDefault="001A4860" w:rsidP="001A4860">
      <w:pPr>
        <w:rPr>
          <w:rFonts w:eastAsia="Calibri"/>
          <w:szCs w:val="24"/>
          <w:lang w:val="es-ES"/>
        </w:rPr>
      </w:pPr>
    </w:p>
    <w:p w14:paraId="66D0B450" w14:textId="77777777" w:rsidR="001A4860" w:rsidRPr="001A4860" w:rsidRDefault="001A4860" w:rsidP="001A4860">
      <w:pPr>
        <w:rPr>
          <w:rFonts w:eastAsia="Calibri"/>
          <w:szCs w:val="24"/>
          <w:lang w:val="es-ES"/>
        </w:rPr>
      </w:pPr>
      <w:r w:rsidRPr="001A4860">
        <w:rPr>
          <w:rFonts w:eastAsia="Calibri"/>
          <w:szCs w:val="24"/>
          <w:lang w:val="es-ES"/>
        </w:rPr>
        <w:t>La arena debe estar libre de todo material vegetal, mica, limo, materias orgánicas, etc.  La calidad y granulometría de la arena debe ser tal que cumpla con los requisitos de las especificaciones correspondientes y permita obtener un concreto denso sin exceso de cemento, así como de la resistencia requerida.</w:t>
      </w:r>
    </w:p>
    <w:p w14:paraId="6FA24FA7" w14:textId="77777777" w:rsidR="001A4860" w:rsidRPr="001A4860" w:rsidRDefault="001A4860" w:rsidP="001A4860">
      <w:pPr>
        <w:rPr>
          <w:rFonts w:eastAsia="Calibri"/>
          <w:szCs w:val="24"/>
          <w:lang w:val="es-ES"/>
        </w:rPr>
      </w:pPr>
    </w:p>
    <w:p w14:paraId="40D6BDC4" w14:textId="77777777" w:rsidR="001A4860" w:rsidRPr="001A4860" w:rsidRDefault="001A4860" w:rsidP="003B68DB">
      <w:pPr>
        <w:numPr>
          <w:ilvl w:val="0"/>
          <w:numId w:val="187"/>
        </w:numPr>
        <w:spacing w:after="160" w:line="360" w:lineRule="auto"/>
        <w:ind w:left="0" w:firstLine="0"/>
        <w:contextualSpacing/>
        <w:jc w:val="left"/>
        <w:rPr>
          <w:rFonts w:eastAsia="Calibri"/>
          <w:b/>
          <w:szCs w:val="24"/>
          <w:lang w:val="es-ES"/>
        </w:rPr>
      </w:pPr>
      <w:r w:rsidRPr="001A4860">
        <w:rPr>
          <w:rFonts w:eastAsia="Calibri"/>
          <w:b/>
          <w:szCs w:val="24"/>
          <w:lang w:val="es-ES"/>
        </w:rPr>
        <w:t>Agregado grueso para concreto reforzado.</w:t>
      </w:r>
    </w:p>
    <w:p w14:paraId="093AEB0A" w14:textId="77777777" w:rsidR="001A4860" w:rsidRPr="001A4860" w:rsidRDefault="001A4860" w:rsidP="001A4860">
      <w:pPr>
        <w:rPr>
          <w:rFonts w:eastAsia="Calibri"/>
          <w:szCs w:val="24"/>
          <w:lang w:val="es-ES"/>
        </w:rPr>
      </w:pPr>
      <w:r w:rsidRPr="001A4860">
        <w:rPr>
          <w:rFonts w:eastAsia="Calibri"/>
          <w:szCs w:val="24"/>
          <w:lang w:val="es-ES"/>
        </w:rPr>
        <w:t>El tamaño más grande permitido del agregado grueso será un quinto de la separación menor entre los lados de la formaleta o de ¾ (tres cuartos) del espaciamiento libre mínimo entre varillas de refuerzos según recomendaciones de la Norma ACI-613-54, excepto donde específicamente se indique lo contrario.</w:t>
      </w:r>
    </w:p>
    <w:p w14:paraId="34578226" w14:textId="77777777" w:rsidR="001A4860" w:rsidRPr="001A4860" w:rsidRDefault="001A4860" w:rsidP="001A4860">
      <w:pPr>
        <w:rPr>
          <w:rFonts w:eastAsia="Calibri"/>
          <w:szCs w:val="24"/>
          <w:lang w:val="es-ES"/>
        </w:rPr>
      </w:pPr>
    </w:p>
    <w:p w14:paraId="1C28C965" w14:textId="77777777" w:rsidR="001A4860" w:rsidRPr="001A4860" w:rsidRDefault="001A4860" w:rsidP="003B68DB">
      <w:pPr>
        <w:numPr>
          <w:ilvl w:val="0"/>
          <w:numId w:val="187"/>
        </w:numPr>
        <w:spacing w:after="160" w:line="360" w:lineRule="auto"/>
        <w:ind w:left="0" w:firstLine="0"/>
        <w:contextualSpacing/>
        <w:jc w:val="left"/>
        <w:rPr>
          <w:rFonts w:eastAsia="Calibri"/>
          <w:b/>
          <w:szCs w:val="24"/>
          <w:lang w:val="es-ES"/>
        </w:rPr>
      </w:pPr>
      <w:r w:rsidRPr="001A4860">
        <w:rPr>
          <w:rFonts w:eastAsia="Calibri"/>
          <w:b/>
          <w:szCs w:val="24"/>
          <w:lang w:val="es-ES"/>
        </w:rPr>
        <w:t>Agregado grueso para concreto ciclópeo.</w:t>
      </w:r>
    </w:p>
    <w:p w14:paraId="63C2D625" w14:textId="77777777" w:rsidR="001A4860" w:rsidRPr="001A4860" w:rsidRDefault="001A4860" w:rsidP="001A4860">
      <w:pPr>
        <w:rPr>
          <w:rFonts w:eastAsia="Calibri"/>
          <w:szCs w:val="24"/>
          <w:lang w:val="es-ES"/>
        </w:rPr>
      </w:pPr>
      <w:r w:rsidRPr="001A4860">
        <w:rPr>
          <w:rFonts w:eastAsia="Calibri"/>
          <w:szCs w:val="24"/>
          <w:lang w:val="es-ES"/>
        </w:rPr>
        <w:t>Estará constituido de piedra bolón de diámetro mínimo de ø4” y diámetro máximo de ø4” o el tamaño más grande permitido de la piedra será un quinto de la separación menor entre los lados de la formaleta y deberá de cumplir con las especificaciones establecida por ASTM C33.</w:t>
      </w:r>
    </w:p>
    <w:p w14:paraId="449E3AF5" w14:textId="77777777" w:rsidR="001A4860" w:rsidRPr="001A4860" w:rsidRDefault="001A4860" w:rsidP="001A4860">
      <w:pPr>
        <w:rPr>
          <w:rFonts w:eastAsia="Calibri"/>
          <w:b/>
          <w:bCs/>
          <w:spacing w:val="-3"/>
          <w:szCs w:val="24"/>
          <w:lang w:val="es-ES"/>
        </w:rPr>
      </w:pPr>
    </w:p>
    <w:p w14:paraId="0548A9F7" w14:textId="77777777" w:rsidR="001A4860" w:rsidRPr="001A4860" w:rsidRDefault="001A4860" w:rsidP="003B68DB">
      <w:pPr>
        <w:numPr>
          <w:ilvl w:val="0"/>
          <w:numId w:val="187"/>
        </w:numPr>
        <w:spacing w:after="160" w:line="360" w:lineRule="auto"/>
        <w:ind w:left="0" w:firstLine="0"/>
        <w:contextualSpacing/>
        <w:jc w:val="left"/>
        <w:rPr>
          <w:rFonts w:eastAsia="Calibri"/>
          <w:b/>
          <w:szCs w:val="24"/>
          <w:lang w:val="es-ES"/>
        </w:rPr>
      </w:pPr>
      <w:r w:rsidRPr="001A4860">
        <w:rPr>
          <w:rFonts w:eastAsia="Calibri"/>
          <w:b/>
          <w:szCs w:val="24"/>
          <w:lang w:val="es-ES"/>
        </w:rPr>
        <w:t>El Concreto Ciclópeo.</w:t>
      </w:r>
    </w:p>
    <w:p w14:paraId="4FAD1DDB" w14:textId="77777777" w:rsidR="001A4860" w:rsidRPr="001A4860" w:rsidRDefault="001A4860" w:rsidP="001A4860">
      <w:pPr>
        <w:rPr>
          <w:rFonts w:eastAsia="Calibri"/>
          <w:szCs w:val="24"/>
          <w:lang w:val="es-ES"/>
        </w:rPr>
      </w:pPr>
      <w:r w:rsidRPr="001A4860">
        <w:rPr>
          <w:rFonts w:eastAsia="Calibri"/>
          <w:szCs w:val="24"/>
          <w:lang w:val="es-ES"/>
        </w:rPr>
        <w:t>El concreto ciclópeo consistirá de un 70.0% de concreto Clase A (210.0 kg/cm²) y un 30.0% de piedra bolón cuyo tamaño, será según el inciso 2.2 del 5.4.2 de estas especificaciones. Preferiblemente esta piedra deberá ser angulosa y con superficies ásperas.</w:t>
      </w:r>
    </w:p>
    <w:p w14:paraId="3F5F2C15" w14:textId="77777777" w:rsidR="001A4860" w:rsidRPr="001A4860" w:rsidRDefault="001A4860" w:rsidP="001A4860">
      <w:pPr>
        <w:rPr>
          <w:rFonts w:eastAsia="Calibri"/>
          <w:szCs w:val="24"/>
          <w:lang w:val="es-ES"/>
        </w:rPr>
      </w:pPr>
    </w:p>
    <w:p w14:paraId="412AED15" w14:textId="77777777" w:rsidR="001A4860" w:rsidRPr="001A4860" w:rsidRDefault="001A4860" w:rsidP="001A4860">
      <w:pPr>
        <w:rPr>
          <w:rFonts w:eastAsia="Calibri"/>
          <w:szCs w:val="24"/>
          <w:lang w:val="es-ES"/>
        </w:rPr>
      </w:pPr>
      <w:r w:rsidRPr="001A4860">
        <w:rPr>
          <w:rFonts w:eastAsia="Calibri"/>
          <w:szCs w:val="24"/>
          <w:lang w:val="es-ES"/>
        </w:rPr>
        <w:t xml:space="preserve">La piedra se deberá colocar sin dañar la formaleta y el concreto y cada piedra deberá quedar rodeada de una capa de concreto de no menor de </w:t>
      </w:r>
      <w:smartTag w:uri="urn:schemas-microsoft-com:office:smarttags" w:element="metricconverter">
        <w:smartTagPr>
          <w:attr w:name="ProductID" w:val="15.0 cm"/>
        </w:smartTagPr>
        <w:r w:rsidRPr="001A4860">
          <w:rPr>
            <w:rFonts w:eastAsia="Calibri"/>
            <w:szCs w:val="24"/>
            <w:lang w:val="es-ES"/>
          </w:rPr>
          <w:t>15.0 cm</w:t>
        </w:r>
      </w:smartTag>
      <w:r w:rsidRPr="001A4860">
        <w:rPr>
          <w:rFonts w:eastAsia="Calibri"/>
          <w:szCs w:val="24"/>
          <w:lang w:val="es-ES"/>
        </w:rPr>
        <w:t xml:space="preserve"> de espesor.</w:t>
      </w:r>
    </w:p>
    <w:p w14:paraId="26D61519" w14:textId="77777777" w:rsidR="001A4860" w:rsidRPr="001A4860" w:rsidRDefault="001A4860" w:rsidP="001A4860">
      <w:pPr>
        <w:rPr>
          <w:rFonts w:eastAsia="Calibri"/>
          <w:szCs w:val="24"/>
          <w:lang w:val="es-ES"/>
        </w:rPr>
      </w:pPr>
    </w:p>
    <w:p w14:paraId="7DF42B15" w14:textId="77777777" w:rsidR="001A4860" w:rsidRPr="001A4860" w:rsidRDefault="001A4860" w:rsidP="003B68DB">
      <w:pPr>
        <w:numPr>
          <w:ilvl w:val="0"/>
          <w:numId w:val="187"/>
        </w:numPr>
        <w:spacing w:after="160" w:line="360" w:lineRule="auto"/>
        <w:ind w:left="0" w:firstLine="0"/>
        <w:contextualSpacing/>
        <w:jc w:val="left"/>
        <w:rPr>
          <w:rFonts w:eastAsia="Calibri"/>
          <w:b/>
          <w:szCs w:val="24"/>
          <w:lang w:val="es-ES"/>
        </w:rPr>
      </w:pPr>
      <w:r w:rsidRPr="001A4860">
        <w:rPr>
          <w:rFonts w:eastAsia="Calibri"/>
          <w:b/>
          <w:szCs w:val="24"/>
          <w:lang w:val="es-ES"/>
        </w:rPr>
        <w:t>Concreto Reforzado.</w:t>
      </w:r>
    </w:p>
    <w:p w14:paraId="1B25BE04" w14:textId="77777777" w:rsidR="001A4860" w:rsidRPr="001A4860" w:rsidRDefault="001A4860" w:rsidP="001A4860">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rPr>
          <w:rFonts w:eastAsia="Calibri"/>
          <w:color w:val="000000"/>
          <w:szCs w:val="24"/>
          <w:lang w:val="es-ES"/>
        </w:rPr>
      </w:pPr>
      <w:r w:rsidRPr="001A4860">
        <w:rPr>
          <w:rFonts w:eastAsia="Calibri"/>
          <w:color w:val="000000"/>
          <w:szCs w:val="24"/>
          <w:lang w:val="es-ES"/>
        </w:rPr>
        <w:lastRenderedPageBreak/>
        <w:t>Consiste en suministro de los materiales, mano de obra, equipo, herramientas y demás complementos para suplir el concreto reforzado para esta obra de acuerdo a las especificaciones sub - siguientes y con los detalles que aparecen en los planos.</w:t>
      </w:r>
    </w:p>
    <w:p w14:paraId="11F75CD3" w14:textId="77777777" w:rsidR="001A4860" w:rsidRPr="001A4860" w:rsidRDefault="001A4860" w:rsidP="001A4860">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rPr>
          <w:rFonts w:eastAsia="Calibri"/>
          <w:color w:val="000000"/>
          <w:szCs w:val="24"/>
          <w:lang w:val="es-ES"/>
        </w:rPr>
      </w:pPr>
    </w:p>
    <w:p w14:paraId="59B0B50F" w14:textId="77777777" w:rsidR="001A4860" w:rsidRPr="001A4860" w:rsidRDefault="001A4860" w:rsidP="001A4860">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rPr>
          <w:rFonts w:eastAsia="Calibri"/>
          <w:color w:val="000000"/>
          <w:szCs w:val="24"/>
          <w:lang w:val="es-ES"/>
        </w:rPr>
      </w:pPr>
      <w:r w:rsidRPr="001A4860">
        <w:rPr>
          <w:rFonts w:eastAsia="Calibri"/>
          <w:color w:val="000000"/>
          <w:szCs w:val="24"/>
          <w:lang w:val="es-ES"/>
        </w:rPr>
        <w:t>El Concreto tendrá una resistencia a la compresión a los 28 días de 3,500 libras de compresión por pulgada cuadrada.</w:t>
      </w:r>
    </w:p>
    <w:p w14:paraId="6B1EF94E" w14:textId="77777777" w:rsidR="001A4860" w:rsidRPr="001A4860" w:rsidRDefault="001A4860" w:rsidP="001A4860">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rPr>
          <w:rFonts w:eastAsia="Calibri"/>
          <w:color w:val="000000"/>
          <w:szCs w:val="24"/>
          <w:lang w:val="es-ES"/>
        </w:rPr>
      </w:pPr>
    </w:p>
    <w:p w14:paraId="1E4F2504" w14:textId="77777777" w:rsidR="001A4860" w:rsidRPr="001A4860" w:rsidRDefault="001A4860" w:rsidP="001A4860">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rPr>
          <w:rFonts w:eastAsia="Calibri"/>
          <w:color w:val="000000"/>
          <w:szCs w:val="24"/>
          <w:lang w:val="es-ES"/>
        </w:rPr>
      </w:pPr>
      <w:r w:rsidRPr="001A4860">
        <w:rPr>
          <w:rFonts w:eastAsia="Calibri"/>
          <w:color w:val="000000"/>
          <w:szCs w:val="24"/>
          <w:lang w:val="es-ES"/>
        </w:rPr>
        <w:t>Para todo concreto, la proporción de cemento, árido y agua necesaria para obtener la plasticidad y resistencia requerida, estará de acuerdo con las Normas 6I3-54 del ACI.</w:t>
      </w:r>
    </w:p>
    <w:p w14:paraId="5D4BD1B5" w14:textId="77777777" w:rsidR="001A4860" w:rsidRPr="001A4860" w:rsidRDefault="001A4860" w:rsidP="001A4860">
      <w:pPr>
        <w:tabs>
          <w:tab w:val="left" w:pos="-1440"/>
          <w:tab w:val="left" w:pos="-720"/>
          <w:tab w:val="left" w:pos="0"/>
          <w:tab w:val="left" w:pos="720"/>
          <w:tab w:val="left" w:pos="1440"/>
          <w:tab w:val="left" w:pos="2160"/>
          <w:tab w:val="left" w:pos="2258"/>
          <w:tab w:val="left" w:pos="2357"/>
          <w:tab w:val="left" w:pos="2880"/>
          <w:tab w:val="left" w:pos="3600"/>
          <w:tab w:val="left" w:pos="3734"/>
          <w:tab w:val="left" w:pos="3833"/>
          <w:tab w:val="left" w:pos="3931"/>
          <w:tab w:val="left" w:pos="4320"/>
        </w:tabs>
        <w:suppressAutoHyphens/>
        <w:rPr>
          <w:rFonts w:eastAsia="Calibri"/>
          <w:color w:val="000000"/>
          <w:szCs w:val="24"/>
          <w:lang w:val="es-ES"/>
        </w:rPr>
      </w:pPr>
      <w:r w:rsidRPr="001A4860">
        <w:rPr>
          <w:rFonts w:eastAsia="Calibri"/>
          <w:color w:val="000000"/>
          <w:szCs w:val="24"/>
          <w:lang w:val="es-ES"/>
        </w:rPr>
        <w:t>No se permitirá cambios en las proporciones sin la aprobación del Ingeniero supervisor.</w:t>
      </w:r>
    </w:p>
    <w:p w14:paraId="40B902FE" w14:textId="77777777" w:rsidR="001A4860" w:rsidRPr="001A4860" w:rsidRDefault="001A4860" w:rsidP="001A4860">
      <w:pPr>
        <w:rPr>
          <w:rFonts w:eastAsia="Calibri"/>
          <w:szCs w:val="24"/>
          <w:lang w:val="es-ES"/>
        </w:rPr>
      </w:pPr>
    </w:p>
    <w:p w14:paraId="14B495E1"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Acero de Refuerzo</w:t>
      </w:r>
    </w:p>
    <w:p w14:paraId="6EE696C7" w14:textId="77777777" w:rsidR="001A4860" w:rsidRPr="001A4860" w:rsidRDefault="001A4860" w:rsidP="001A4860">
      <w:pPr>
        <w:rPr>
          <w:rFonts w:eastAsia="Calibri"/>
          <w:szCs w:val="24"/>
          <w:lang w:val="es-ES"/>
        </w:rPr>
      </w:pPr>
      <w:r w:rsidRPr="001A4860">
        <w:rPr>
          <w:rFonts w:eastAsia="Calibri"/>
          <w:szCs w:val="24"/>
          <w:lang w:val="es-ES"/>
        </w:rPr>
        <w:t>Se usarán varillas ASTM-A-615, Grado 40 (FY=40,000 psi), serán corrugadas, a excepción de las varillas de diámetros de 1/4" que serán lisas.  Todas las varillas deben estar limpias y libres de escamas, trazas de oxidación avanzada, grasas y otras impurezas o imperfecciones que afecten sus propiedades físicas, su resistencia o su adherencia al concreto.</w:t>
      </w:r>
    </w:p>
    <w:p w14:paraId="1F33396B" w14:textId="77777777" w:rsidR="001A4860" w:rsidRPr="001A4860" w:rsidRDefault="001A4860" w:rsidP="001A4860">
      <w:pPr>
        <w:rPr>
          <w:rFonts w:eastAsia="Calibri"/>
          <w:szCs w:val="24"/>
          <w:lang w:val="es-ES"/>
        </w:rPr>
      </w:pPr>
    </w:p>
    <w:p w14:paraId="0B2E91B8"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Acero Estructural</w:t>
      </w:r>
    </w:p>
    <w:p w14:paraId="1498FD23" w14:textId="77777777" w:rsidR="001A4860" w:rsidRPr="001A4860" w:rsidRDefault="001A4860" w:rsidP="001A4860">
      <w:pPr>
        <w:suppressAutoHyphens/>
        <w:rPr>
          <w:rFonts w:eastAsia="Calibri"/>
          <w:szCs w:val="24"/>
          <w:lang w:val="es-ES"/>
        </w:rPr>
      </w:pPr>
      <w:r w:rsidRPr="001A4860">
        <w:rPr>
          <w:rFonts w:eastAsia="Calibri"/>
          <w:szCs w:val="24"/>
          <w:lang w:val="es-ES"/>
        </w:rPr>
        <w:t>Se usarán acero estructural A36 (FS=36,000 Psi), todas las varillas, deben estar limpias y libres de escamas, trazas de oxidación avanzada, grasas y otras impurezas o imperfecciones que afecten sus propiedades físicas, su resistencia o su adherencia al concreto.</w:t>
      </w:r>
    </w:p>
    <w:p w14:paraId="4C33F185" w14:textId="77777777" w:rsidR="001A4860" w:rsidRPr="001A4860" w:rsidRDefault="001A4860" w:rsidP="001A4860">
      <w:pPr>
        <w:rPr>
          <w:rFonts w:eastAsia="Calibri"/>
          <w:szCs w:val="24"/>
          <w:lang w:val="es-ES"/>
        </w:rPr>
      </w:pPr>
    </w:p>
    <w:p w14:paraId="7FC551EE"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Almacenaje de materiales</w:t>
      </w:r>
    </w:p>
    <w:p w14:paraId="4FE516C3" w14:textId="77777777" w:rsidR="001A4860" w:rsidRPr="001A4860" w:rsidRDefault="001A4860" w:rsidP="001A4860">
      <w:pPr>
        <w:rPr>
          <w:rFonts w:eastAsia="Calibri"/>
          <w:szCs w:val="24"/>
          <w:lang w:val="es-ES"/>
        </w:rPr>
      </w:pPr>
      <w:r w:rsidRPr="001A4860">
        <w:rPr>
          <w:rFonts w:eastAsia="Calibri"/>
          <w:szCs w:val="24"/>
          <w:lang w:val="es-ES"/>
        </w:rPr>
        <w:t xml:space="preserve">El cemento se almacenará en bodegas secas sobre tarimas de madera en estibas de no más de 10 sacos.  El cemento debe llegar al sitio de la construcción en sus envases originales y enteros.  No se utilizará cemento dañado o ya endurecido. En caso de lluvia deberá garantizarse el transporte y traslado de las bolsas de cemento debidamente protegidas con plástico para evitar el endurecimiento de este. </w:t>
      </w:r>
    </w:p>
    <w:p w14:paraId="22A7280F" w14:textId="77777777" w:rsidR="001A4860" w:rsidRPr="001A4860" w:rsidRDefault="001A4860" w:rsidP="001A4860">
      <w:pPr>
        <w:rPr>
          <w:rFonts w:eastAsia="Calibri"/>
          <w:szCs w:val="24"/>
          <w:lang w:val="es-ES"/>
        </w:rPr>
      </w:pPr>
    </w:p>
    <w:p w14:paraId="01B88C8A" w14:textId="77777777" w:rsidR="001A4860" w:rsidRPr="001A4860" w:rsidRDefault="001A4860" w:rsidP="001A4860">
      <w:pPr>
        <w:rPr>
          <w:rFonts w:eastAsia="Calibri"/>
          <w:szCs w:val="24"/>
          <w:lang w:val="es-ES"/>
        </w:rPr>
      </w:pPr>
      <w:r w:rsidRPr="001A4860">
        <w:rPr>
          <w:rFonts w:eastAsia="Calibri"/>
          <w:szCs w:val="24"/>
          <w:lang w:val="es-ES"/>
        </w:rPr>
        <w:t>Los áridos finos y gruesos se manejarán y almacenarán separadamente de manera tal que se evite la mezcla con materias extrañas.  Todas las varillas de acero de refuerzo se deberán proteger hasta el momento de usarse.</w:t>
      </w:r>
    </w:p>
    <w:p w14:paraId="1FF42961" w14:textId="77777777" w:rsidR="001A4860" w:rsidRPr="001A4860" w:rsidRDefault="001A4860" w:rsidP="001A4860">
      <w:pPr>
        <w:rPr>
          <w:rFonts w:eastAsia="Calibri"/>
          <w:szCs w:val="24"/>
          <w:lang w:val="es-ES"/>
        </w:rPr>
      </w:pPr>
    </w:p>
    <w:p w14:paraId="74E43E43"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Resistencia del concreto.</w:t>
      </w:r>
    </w:p>
    <w:p w14:paraId="733580E1" w14:textId="77777777" w:rsidR="001A4860" w:rsidRPr="001A4860" w:rsidRDefault="001A4860" w:rsidP="001A4860">
      <w:pPr>
        <w:rPr>
          <w:rFonts w:eastAsia="Calibri"/>
          <w:szCs w:val="24"/>
          <w:lang w:val="es-ES"/>
        </w:rPr>
      </w:pPr>
      <w:r w:rsidRPr="001A4860">
        <w:rPr>
          <w:rFonts w:eastAsia="Calibri"/>
          <w:szCs w:val="24"/>
          <w:lang w:val="es-ES"/>
        </w:rPr>
        <w:t xml:space="preserve">Todo el concreto empleado tendrá un revenimiento no mayor de cuatro (4") pulgadas y/o conforme el diseño del concreto sometido por El Contratista y aprobado por El Ingeniero.  La resistencia a la compresión especificada se medirá en cilindros de 15 x 30 cms. a los veintiocho 28 días de edad, de acuerdo con las Normas de la A.S.T.M. C 39-66. El Contratista tomará cilindros de la mezcla de hormigón en presencia de El Supervisor, para determinar su resistencia por medio de ensayos de laboratorio, los cuales serán pagados por El Contratista.  Se tomarán dos (2) cilindros por llena en los sitios o coladas indicadas por el supervisor.  En caso de sospecha de alguna lechada de concreto, El Ingeniero podrá ordenar toma de cilindros adicionales. La mezcla de concreta empleada en todas las estructuras deberá ser de una consistencia conveniente, sin exceso de agua, </w:t>
      </w:r>
      <w:r w:rsidRPr="001A4860">
        <w:rPr>
          <w:rFonts w:eastAsia="Calibri"/>
          <w:szCs w:val="24"/>
          <w:lang w:val="es-ES"/>
        </w:rPr>
        <w:lastRenderedPageBreak/>
        <w:t>plástica y trabajable, a fin de llenar los encofrados completamente, sin dejar cavidades interiores o superficiales.</w:t>
      </w:r>
    </w:p>
    <w:p w14:paraId="669E3158" w14:textId="77777777" w:rsidR="001A4860" w:rsidRPr="001A4860" w:rsidRDefault="001A4860" w:rsidP="001A4860">
      <w:pPr>
        <w:rPr>
          <w:rFonts w:eastAsia="Calibri"/>
          <w:szCs w:val="24"/>
          <w:lang w:val="es-ES"/>
        </w:rPr>
      </w:pPr>
    </w:p>
    <w:p w14:paraId="5DD7F5AD" w14:textId="77777777" w:rsidR="001A4860" w:rsidRPr="001A4860" w:rsidRDefault="001A4860" w:rsidP="001A4860">
      <w:pPr>
        <w:rPr>
          <w:rFonts w:eastAsia="Calibri"/>
          <w:szCs w:val="24"/>
          <w:lang w:val="es-ES"/>
        </w:rPr>
      </w:pPr>
      <w:r w:rsidRPr="001A4860">
        <w:rPr>
          <w:rFonts w:eastAsia="Calibri"/>
          <w:szCs w:val="24"/>
          <w:lang w:val="es-ES"/>
        </w:rPr>
        <w:t>El concreto empleado en la construcción, ya sea concreto armado o concreto ciclópeo, excepto donde se indique claramente lo contrario, tendrá una resistencia a la compresión de 245 Kg/cm</w:t>
      </w:r>
      <w:r w:rsidRPr="001A4860">
        <w:rPr>
          <w:rFonts w:eastAsia="Calibri"/>
          <w:szCs w:val="24"/>
          <w:vertAlign w:val="superscript"/>
          <w:lang w:val="es-ES"/>
        </w:rPr>
        <w:t>2</w:t>
      </w:r>
      <w:r w:rsidRPr="001A4860">
        <w:rPr>
          <w:rFonts w:eastAsia="Calibri"/>
          <w:szCs w:val="24"/>
          <w:lang w:val="es-ES"/>
        </w:rPr>
        <w:t xml:space="preserve"> (3500 lbs./pulg</w:t>
      </w:r>
      <w:r w:rsidRPr="001A4860">
        <w:rPr>
          <w:rFonts w:eastAsia="Calibri"/>
          <w:szCs w:val="24"/>
          <w:vertAlign w:val="superscript"/>
          <w:lang w:val="es-ES"/>
        </w:rPr>
        <w:t>2</w:t>
      </w:r>
      <w:r w:rsidRPr="001A4860">
        <w:rPr>
          <w:rFonts w:eastAsia="Calibri"/>
          <w:szCs w:val="24"/>
          <w:lang w:val="es-ES"/>
        </w:rPr>
        <w:t>). El concreto simple para bloque de reacción y bloque para protección de tubería en cruce de río, cauce y tubería superficial, tendrá una resistencia a la compresión de 140 Kg/cm</w:t>
      </w:r>
      <w:r w:rsidRPr="001A4860">
        <w:rPr>
          <w:rFonts w:eastAsia="Calibri"/>
          <w:szCs w:val="24"/>
          <w:vertAlign w:val="superscript"/>
          <w:lang w:val="es-ES"/>
        </w:rPr>
        <w:t>2</w:t>
      </w:r>
      <w:r w:rsidRPr="001A4860">
        <w:rPr>
          <w:rFonts w:eastAsia="Calibri"/>
          <w:szCs w:val="24"/>
          <w:lang w:val="es-ES"/>
        </w:rPr>
        <w:t xml:space="preserve"> (2,500 lbs./pulg</w:t>
      </w:r>
      <w:r w:rsidRPr="001A4860">
        <w:rPr>
          <w:rFonts w:eastAsia="Calibri"/>
          <w:szCs w:val="24"/>
          <w:vertAlign w:val="superscript"/>
          <w:lang w:val="es-ES"/>
        </w:rPr>
        <w:t>2</w:t>
      </w:r>
      <w:r w:rsidRPr="001A4860">
        <w:rPr>
          <w:rFonts w:eastAsia="Calibri"/>
          <w:szCs w:val="24"/>
          <w:lang w:val="es-ES"/>
        </w:rPr>
        <w:t>).</w:t>
      </w:r>
    </w:p>
    <w:p w14:paraId="40F8DF97" w14:textId="77777777" w:rsidR="001A4860" w:rsidRPr="001A4860" w:rsidRDefault="001A4860" w:rsidP="001A4860">
      <w:pPr>
        <w:rPr>
          <w:rFonts w:eastAsia="Calibri"/>
          <w:szCs w:val="24"/>
          <w:lang w:val="es-ES"/>
        </w:rPr>
      </w:pPr>
    </w:p>
    <w:p w14:paraId="26A6735B"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Dosificación y mezcla del concreto</w:t>
      </w:r>
    </w:p>
    <w:p w14:paraId="5AA4392E" w14:textId="77777777" w:rsidR="001A4860" w:rsidRPr="001A4860" w:rsidRDefault="001A4860" w:rsidP="001A4860">
      <w:pPr>
        <w:rPr>
          <w:rFonts w:eastAsia="Calibri"/>
          <w:szCs w:val="24"/>
          <w:lang w:val="es-ES"/>
        </w:rPr>
      </w:pPr>
      <w:r w:rsidRPr="001A4860">
        <w:rPr>
          <w:rFonts w:eastAsia="Calibri"/>
          <w:szCs w:val="24"/>
          <w:lang w:val="es-ES"/>
        </w:rPr>
        <w:t xml:space="preserve">Las dosificaciones de cemento, agregados y agua utilizados deberán ser aprobados por el Ingeniero Supervisor y la relación de agua / cemento máximo permisible para el concreto en general será del 0.58 y para el concreto que estará expuesta al agua dulce serán de 0.51. </w:t>
      </w:r>
    </w:p>
    <w:p w14:paraId="693292B8" w14:textId="77777777" w:rsidR="001A4860" w:rsidRPr="001A4860" w:rsidRDefault="001A4860" w:rsidP="001A4860">
      <w:pPr>
        <w:rPr>
          <w:rFonts w:eastAsia="Calibri"/>
          <w:b/>
          <w:szCs w:val="24"/>
          <w:lang w:val="es-ES"/>
        </w:rPr>
      </w:pPr>
    </w:p>
    <w:p w14:paraId="54338418"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Impermeabilizante del Concreto</w:t>
      </w:r>
    </w:p>
    <w:p w14:paraId="575F7218" w14:textId="77777777" w:rsidR="001A4860" w:rsidRPr="001A4860" w:rsidRDefault="001A4860" w:rsidP="001A4860">
      <w:pPr>
        <w:rPr>
          <w:rFonts w:eastAsia="Calibri"/>
          <w:szCs w:val="24"/>
          <w:lang w:val="es-ES"/>
        </w:rPr>
      </w:pPr>
      <w:r w:rsidRPr="001A4860">
        <w:rPr>
          <w:rFonts w:eastAsia="Calibri"/>
          <w:szCs w:val="24"/>
          <w:lang w:val="es-ES"/>
        </w:rPr>
        <w:t xml:space="preserve">Las caras interiores serán acabadas empleando preferentemente aditivo impermeabilizante aprobado por la supervisión. </w:t>
      </w:r>
    </w:p>
    <w:p w14:paraId="03A8F9B5" w14:textId="77777777" w:rsidR="001A4860" w:rsidRPr="001A4860" w:rsidRDefault="001A4860" w:rsidP="001A4860">
      <w:pPr>
        <w:rPr>
          <w:rFonts w:eastAsia="Calibri"/>
          <w:szCs w:val="24"/>
          <w:lang w:val="es-ES"/>
        </w:rPr>
      </w:pPr>
    </w:p>
    <w:p w14:paraId="04805951" w14:textId="77777777" w:rsidR="001A4860" w:rsidRPr="001A4860" w:rsidRDefault="001A4860" w:rsidP="001A4860">
      <w:pPr>
        <w:rPr>
          <w:rFonts w:eastAsia="Calibri"/>
          <w:szCs w:val="24"/>
          <w:lang w:val="es-ES"/>
        </w:rPr>
      </w:pPr>
      <w:r w:rsidRPr="001A4860">
        <w:rPr>
          <w:rFonts w:eastAsia="Calibri"/>
          <w:szCs w:val="24"/>
          <w:lang w:val="es-ES"/>
        </w:rPr>
        <w:t xml:space="preserve">El impermeabilizante en la aplicación de 2 capas de repello y fino directo: la primera de 1 cm. de espesor, preparada con mortero de cemento, arena en proporción 1:3 y el aditivo impermeabilizante y la segunda con mortero 1:1 preparado igualmente con el aditivo. </w:t>
      </w:r>
    </w:p>
    <w:p w14:paraId="4AEF339E" w14:textId="77777777" w:rsidR="001A4860" w:rsidRPr="001A4860" w:rsidRDefault="001A4860" w:rsidP="001A4860">
      <w:pPr>
        <w:rPr>
          <w:rFonts w:eastAsia="Calibri"/>
          <w:szCs w:val="24"/>
          <w:lang w:val="es-ES"/>
        </w:rPr>
      </w:pPr>
    </w:p>
    <w:p w14:paraId="559C2145" w14:textId="77777777" w:rsidR="001A4860" w:rsidRPr="001A4860" w:rsidRDefault="001A4860" w:rsidP="001A4860">
      <w:pPr>
        <w:rPr>
          <w:rFonts w:eastAsia="Calibri"/>
          <w:szCs w:val="24"/>
          <w:lang w:val="es-ES"/>
        </w:rPr>
      </w:pPr>
      <w:r w:rsidRPr="001A4860">
        <w:rPr>
          <w:rFonts w:eastAsia="Calibri"/>
          <w:szCs w:val="24"/>
          <w:lang w:val="es-ES"/>
        </w:rPr>
        <w:t>Para la aplicación de aditivos se debe seguir estrictamente lo establecido por el fabricante del aditivo.</w:t>
      </w:r>
    </w:p>
    <w:p w14:paraId="61B52AFB" w14:textId="77777777" w:rsidR="001A4860" w:rsidRPr="001A4860" w:rsidRDefault="001A4860" w:rsidP="001A4860">
      <w:pPr>
        <w:rPr>
          <w:rFonts w:eastAsia="Calibri"/>
          <w:szCs w:val="24"/>
          <w:lang w:val="es-ES"/>
        </w:rPr>
      </w:pPr>
    </w:p>
    <w:p w14:paraId="7E3ED3FE" w14:textId="77777777" w:rsidR="001A4860" w:rsidRPr="001A4860" w:rsidRDefault="001A4860" w:rsidP="001A4860">
      <w:pPr>
        <w:rPr>
          <w:rFonts w:eastAsia="Calibri"/>
          <w:szCs w:val="24"/>
          <w:lang w:val="es-ES"/>
        </w:rPr>
      </w:pPr>
      <w:r w:rsidRPr="001A4860">
        <w:rPr>
          <w:rFonts w:eastAsia="Calibri"/>
          <w:szCs w:val="24"/>
          <w:lang w:val="es-ES"/>
        </w:rPr>
        <w:t xml:space="preserve">La estructura que se construya debe ser impermeable, independientemente de su condición de enterrado, semienterrado o superficial, para ello se debe realizar pruebas de estanqueidad a las estructuras, para lo cual se recomienda el siguiente procedimiento: </w:t>
      </w:r>
    </w:p>
    <w:p w14:paraId="4B57BE4B" w14:textId="77777777" w:rsidR="001A4860" w:rsidRPr="001A4860" w:rsidRDefault="001A4860" w:rsidP="001A4860">
      <w:pPr>
        <w:rPr>
          <w:rFonts w:eastAsia="Calibri"/>
          <w:szCs w:val="24"/>
          <w:lang w:val="es-ES"/>
        </w:rPr>
      </w:pPr>
    </w:p>
    <w:p w14:paraId="002C2961" w14:textId="77777777" w:rsidR="001A4860" w:rsidRPr="001A4860" w:rsidRDefault="001A4860" w:rsidP="001A4860">
      <w:pPr>
        <w:rPr>
          <w:rFonts w:eastAsia="Calibri"/>
          <w:szCs w:val="24"/>
          <w:lang w:val="es-ES"/>
        </w:rPr>
      </w:pPr>
      <w:r w:rsidRPr="001A4860">
        <w:rPr>
          <w:rFonts w:eastAsia="Calibri"/>
          <w:szCs w:val="24"/>
          <w:lang w:val="es-ES"/>
        </w:rPr>
        <w:t xml:space="preserve">Antes de proceder al acabado interior, la estructura será sometida a la prueba hidráulica para constatar su impermeabilidad, para ello será llenada con agua hasta su nivel máximo por un lapso de 24 horas como mínimo. En caso que no se presenten filtraciones se ordenará descargarlo. </w:t>
      </w:r>
    </w:p>
    <w:p w14:paraId="393C1175" w14:textId="77777777" w:rsidR="001A4860" w:rsidRPr="001A4860" w:rsidRDefault="001A4860" w:rsidP="001A4860">
      <w:pPr>
        <w:rPr>
          <w:rFonts w:eastAsia="Calibri"/>
          <w:szCs w:val="24"/>
          <w:lang w:val="es-ES"/>
        </w:rPr>
      </w:pPr>
    </w:p>
    <w:p w14:paraId="50767738" w14:textId="77777777" w:rsidR="001A4860" w:rsidRPr="001A4860" w:rsidRDefault="001A4860" w:rsidP="001A4860">
      <w:pPr>
        <w:rPr>
          <w:rFonts w:eastAsia="Calibri"/>
          <w:szCs w:val="24"/>
          <w:lang w:val="es-ES"/>
        </w:rPr>
      </w:pPr>
      <w:r w:rsidRPr="001A4860">
        <w:rPr>
          <w:rFonts w:eastAsia="Calibri"/>
          <w:szCs w:val="24"/>
          <w:lang w:val="es-ES"/>
        </w:rPr>
        <w:t>En caso que la prueba no sea satisfactoria, se repetirá después de haber efectuado los resanes tantas veces como sea necesario para conseguir la impermeabilidad total. los resanes se realizarán picando la estructura, sin descubrir la armadura, para que pueda adherirse el concreto preparado con el aditivo aprobado por el supervisor.</w:t>
      </w:r>
    </w:p>
    <w:p w14:paraId="6BC86CAB" w14:textId="77777777" w:rsidR="001A4860" w:rsidRPr="001A4860" w:rsidRDefault="001A4860" w:rsidP="001A4860">
      <w:pPr>
        <w:rPr>
          <w:rFonts w:eastAsia="Calibri"/>
          <w:szCs w:val="24"/>
          <w:lang w:val="es-ES"/>
        </w:rPr>
      </w:pPr>
    </w:p>
    <w:p w14:paraId="02FDC759"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Mezclado del concreto</w:t>
      </w:r>
    </w:p>
    <w:p w14:paraId="5CD5521C" w14:textId="77777777" w:rsidR="001A4860" w:rsidRPr="001A4860" w:rsidRDefault="001A4860" w:rsidP="001A4860">
      <w:pPr>
        <w:rPr>
          <w:rFonts w:eastAsia="Calibri"/>
          <w:szCs w:val="24"/>
          <w:lang w:val="es-ES"/>
        </w:rPr>
      </w:pPr>
      <w:r w:rsidRPr="001A4860">
        <w:rPr>
          <w:rFonts w:eastAsia="Calibri"/>
          <w:szCs w:val="24"/>
          <w:lang w:val="es-ES"/>
        </w:rPr>
        <w:t xml:space="preserve">La mezcla deberá hacerse en una mezcladora mecánica con no menos de 1 1/2 minutos de revolución continua, una vez que todos los ingredientes hayan sido introducidos dentro de la mezcladora.  No se permitirá el uso de concreto que tenga más de 45 minutos de estar mezclado a menos que hayan utilizado aditivos especiales, autorizados por El Ingeniero. Se permitirá el uso </w:t>
      </w:r>
      <w:r w:rsidRPr="001A4860">
        <w:rPr>
          <w:rFonts w:eastAsia="Calibri"/>
          <w:szCs w:val="24"/>
          <w:lang w:val="es-ES"/>
        </w:rPr>
        <w:lastRenderedPageBreak/>
        <w:t>de concreto premezclado siempre y cuando reúna las condiciones indicadas en estas especificaciones y esté de acuerdo a la especificación ASTM C-99.</w:t>
      </w:r>
    </w:p>
    <w:p w14:paraId="7EBBDF87" w14:textId="77777777" w:rsidR="001A4860" w:rsidRPr="001A4860" w:rsidRDefault="001A4860" w:rsidP="001A4860">
      <w:pPr>
        <w:rPr>
          <w:rFonts w:eastAsia="Calibri"/>
          <w:szCs w:val="24"/>
          <w:lang w:val="es-ES"/>
        </w:rPr>
      </w:pPr>
    </w:p>
    <w:p w14:paraId="087B2958" w14:textId="77777777" w:rsidR="001A4860" w:rsidRPr="001A4860" w:rsidRDefault="001A4860" w:rsidP="001A4860">
      <w:pPr>
        <w:rPr>
          <w:rFonts w:eastAsia="Calibri"/>
          <w:szCs w:val="24"/>
          <w:lang w:val="es-ES"/>
        </w:rPr>
      </w:pPr>
      <w:r w:rsidRPr="001A4860">
        <w:rPr>
          <w:rFonts w:eastAsia="Calibri"/>
          <w:szCs w:val="24"/>
          <w:lang w:val="es-ES"/>
        </w:rPr>
        <w:t>El supervisor podrá autorizar la mezcla del concreto a mano; debiendo hacerse entonces sobre una superficie impermeable, (bateas, etc.) primero logrando una mezcla de aspecto uniforme y agregando después el agua dosificadamente, en pequeñas cantidades hasta obtener un producto homogéneo.  Se tendrá especial cuidado durante la operación de no mezclar con tierra e impurezas.  No se permitirá hacer la mezcla directamente sobre el suelo.</w:t>
      </w:r>
    </w:p>
    <w:p w14:paraId="77EDCCA3" w14:textId="77777777" w:rsidR="001A4860" w:rsidRPr="001A4860" w:rsidRDefault="001A4860" w:rsidP="001A4860">
      <w:pPr>
        <w:rPr>
          <w:rFonts w:eastAsia="Calibri"/>
          <w:szCs w:val="24"/>
          <w:lang w:val="es-ES"/>
        </w:rPr>
      </w:pPr>
    </w:p>
    <w:p w14:paraId="78D087D7"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Transporte y colocación del concreto.</w:t>
      </w:r>
    </w:p>
    <w:p w14:paraId="72F84268" w14:textId="77777777" w:rsidR="001A4860" w:rsidRPr="001A4860" w:rsidRDefault="001A4860" w:rsidP="001A4860">
      <w:pPr>
        <w:rPr>
          <w:rFonts w:eastAsia="Calibri"/>
          <w:szCs w:val="24"/>
          <w:lang w:val="es-ES"/>
        </w:rPr>
      </w:pPr>
      <w:r w:rsidRPr="001A4860">
        <w:rPr>
          <w:rFonts w:eastAsia="Calibri"/>
          <w:szCs w:val="24"/>
          <w:lang w:val="es-ES"/>
        </w:rPr>
        <w:t>Antes de proceder a la colocación del concreto, El supervisor deberá aprobar los encofrados y moldes y todos los detalles relacionados.  Para tal efecto El Contratista deberá notificar a El Ingeniero con dos (2) días de anticipación la fecha y hora aproximada en que se propone iniciar el colado de concreto y el tiempo aproximado que durará dicha operación.  En todo caso El Contratista no procederá a la colocación del concreto sin la autorización expresa de El Ingeniero y sin la presencia de éste o su Representante.</w:t>
      </w:r>
    </w:p>
    <w:p w14:paraId="39188100" w14:textId="77777777" w:rsidR="001A4860" w:rsidRPr="001A4860" w:rsidRDefault="001A4860" w:rsidP="001A4860">
      <w:pPr>
        <w:rPr>
          <w:rFonts w:eastAsia="Calibri"/>
          <w:szCs w:val="24"/>
          <w:lang w:val="es-ES"/>
        </w:rPr>
      </w:pPr>
    </w:p>
    <w:p w14:paraId="7C19A228" w14:textId="77777777" w:rsidR="001A4860" w:rsidRPr="001A4860" w:rsidRDefault="001A4860" w:rsidP="001A4860">
      <w:pPr>
        <w:rPr>
          <w:rFonts w:eastAsia="Calibri"/>
          <w:szCs w:val="24"/>
          <w:lang w:val="es-ES"/>
        </w:rPr>
      </w:pPr>
      <w:r w:rsidRPr="001A4860">
        <w:rPr>
          <w:rFonts w:eastAsia="Calibri"/>
          <w:szCs w:val="24"/>
          <w:lang w:val="es-ES"/>
        </w:rPr>
        <w:t>Durante la colocación, todo concreto en estado blando deberá compactarse con vibrador para que pueda acomodarse enteramente alrededor del refuerzo. El colado del concreto debe interrumpirse en caso de lluvia, tomando las medidas apropiadas para proteger de ella los elementos recién colados.</w:t>
      </w:r>
    </w:p>
    <w:p w14:paraId="7E6ECB78" w14:textId="77777777" w:rsidR="001A4860" w:rsidRPr="001A4860" w:rsidRDefault="001A4860" w:rsidP="001A4860">
      <w:pPr>
        <w:rPr>
          <w:rFonts w:eastAsia="Calibri"/>
          <w:szCs w:val="24"/>
          <w:lang w:val="es-ES"/>
        </w:rPr>
      </w:pPr>
    </w:p>
    <w:p w14:paraId="7B80AD02" w14:textId="77777777" w:rsidR="001A4860" w:rsidRPr="001A4860" w:rsidRDefault="001A4860" w:rsidP="001A4860">
      <w:pPr>
        <w:rPr>
          <w:rFonts w:eastAsia="Calibri"/>
          <w:szCs w:val="24"/>
          <w:lang w:val="es-ES"/>
        </w:rPr>
      </w:pPr>
      <w:r w:rsidRPr="001A4860">
        <w:rPr>
          <w:rFonts w:eastAsia="Calibri"/>
          <w:szCs w:val="24"/>
          <w:lang w:val="es-ES"/>
        </w:rPr>
        <w:t>En todos los fundidos se aplicará el apisonado por vibración, prodigándose los puntos de vibrado necesario para que su efecto se extienda a toda la masa, sin iniciar disgregaciones locales.  El Contratista usará vibradores y cabezal de vibradores apropiados para cada tipo de trabajo.</w:t>
      </w:r>
    </w:p>
    <w:p w14:paraId="127A0DA8" w14:textId="77777777" w:rsidR="001A4860" w:rsidRPr="001A4860" w:rsidRDefault="001A4860" w:rsidP="001A4860">
      <w:pPr>
        <w:rPr>
          <w:rFonts w:eastAsia="Calibri"/>
          <w:szCs w:val="24"/>
          <w:lang w:val="es-ES"/>
        </w:rPr>
      </w:pPr>
    </w:p>
    <w:p w14:paraId="6F6A971B" w14:textId="77777777" w:rsidR="001A4860" w:rsidRPr="001A4860" w:rsidRDefault="001A4860" w:rsidP="001A4860">
      <w:pPr>
        <w:rPr>
          <w:rFonts w:eastAsia="Calibri"/>
          <w:szCs w:val="24"/>
          <w:lang w:val="es-ES"/>
        </w:rPr>
      </w:pPr>
      <w:r w:rsidRPr="001A4860">
        <w:rPr>
          <w:rFonts w:eastAsia="Calibri"/>
          <w:szCs w:val="24"/>
          <w:lang w:val="es-ES"/>
        </w:rPr>
        <w:t>Se respetarán las juntas señaladas en los planos, si las hubiera.  En las interrupciones de la llena se cuidará de dejar la junta lo más normalmente posible a la dirección de la máxima compresión, y donde su efecto sea menos perjudicial, siguiendo en todo caso la instrucción del Ingeniero Supervisor. Cuando haya de reanudarse el hormigoneado, después de varios días de interrupción, se limpiará la superficie del concreto endurecido que haya de quedar en contacto con el nuevo, mediante cepillo de alambre con agua, y se recubrirá momentos antes de verter el nuevo concreto con una capa delgada de mortero, igual al que toma parte de éste. Las vigas serán vaciadas monolíticamente.</w:t>
      </w:r>
    </w:p>
    <w:p w14:paraId="6733E609" w14:textId="77777777" w:rsidR="001A4860" w:rsidRPr="001A4860" w:rsidRDefault="001A4860" w:rsidP="001A4860">
      <w:pPr>
        <w:rPr>
          <w:rFonts w:eastAsia="Calibri"/>
          <w:b/>
          <w:szCs w:val="24"/>
          <w:lang w:val="es-ES"/>
        </w:rPr>
      </w:pPr>
    </w:p>
    <w:p w14:paraId="4D0CD198"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Encofrados.</w:t>
      </w:r>
    </w:p>
    <w:p w14:paraId="7FD18463" w14:textId="77777777" w:rsidR="001A4860" w:rsidRPr="001A4860" w:rsidRDefault="001A4860" w:rsidP="001A4860">
      <w:pPr>
        <w:rPr>
          <w:rFonts w:eastAsia="Calibri"/>
          <w:szCs w:val="24"/>
          <w:lang w:val="es-ES"/>
        </w:rPr>
      </w:pPr>
      <w:r w:rsidRPr="001A4860">
        <w:rPr>
          <w:rFonts w:eastAsia="Calibri"/>
          <w:szCs w:val="24"/>
          <w:lang w:val="es-ES"/>
        </w:rPr>
        <w:t>Las formaletas con sus soportes tendrán la resistencia y rigidez necesaria para soportar el concreto y su vibrado, sin movimientos locales superiores a las tolerancias usuales de luz. Los apoyos estarán dispuestos de modo que en ningún momento se produzcan sobre la parte de la obra ejecutada, esfuerzos superiores al tercio (l/3) de su resistencia.</w:t>
      </w:r>
    </w:p>
    <w:p w14:paraId="23D0D7CE" w14:textId="77777777" w:rsidR="001A4860" w:rsidRPr="001A4860" w:rsidRDefault="001A4860" w:rsidP="001A4860">
      <w:pPr>
        <w:rPr>
          <w:rFonts w:eastAsia="Calibri"/>
          <w:szCs w:val="24"/>
          <w:lang w:val="es-ES"/>
        </w:rPr>
      </w:pPr>
    </w:p>
    <w:p w14:paraId="1DF3CDD5" w14:textId="77777777" w:rsidR="001A4860" w:rsidRPr="001A4860" w:rsidRDefault="001A4860" w:rsidP="001A4860">
      <w:pPr>
        <w:rPr>
          <w:rFonts w:eastAsia="Calibri"/>
          <w:szCs w:val="24"/>
          <w:lang w:val="es-ES"/>
        </w:rPr>
      </w:pPr>
      <w:r w:rsidRPr="001A4860">
        <w:rPr>
          <w:rFonts w:eastAsia="Calibri"/>
          <w:szCs w:val="24"/>
          <w:lang w:val="es-ES"/>
        </w:rPr>
        <w:t>Las juntas de las resistencias no dejarán rendijas de más de tres (3) milímetros, para evitar la pérdida de lechada, pero deberán dejar el juego necesario para evitar que, por el efecto de la humedad durante la llena, al dilatarse se compriman y deformen los tablones.</w:t>
      </w:r>
    </w:p>
    <w:p w14:paraId="2D2C2F9C" w14:textId="77777777" w:rsidR="001A4860" w:rsidRPr="001A4860" w:rsidRDefault="001A4860" w:rsidP="001A4860">
      <w:pPr>
        <w:rPr>
          <w:rFonts w:eastAsia="Calibri"/>
          <w:szCs w:val="24"/>
          <w:lang w:val="es-ES"/>
        </w:rPr>
      </w:pPr>
    </w:p>
    <w:p w14:paraId="132B353D" w14:textId="77777777" w:rsidR="001A4860" w:rsidRPr="001A4860" w:rsidRDefault="001A4860" w:rsidP="001A4860">
      <w:pPr>
        <w:rPr>
          <w:rFonts w:eastAsia="Calibri"/>
          <w:szCs w:val="24"/>
          <w:lang w:val="es-ES"/>
        </w:rPr>
      </w:pPr>
      <w:r w:rsidRPr="001A4860">
        <w:rPr>
          <w:rFonts w:eastAsia="Calibri"/>
          <w:szCs w:val="24"/>
          <w:lang w:val="es-ES"/>
        </w:rPr>
        <w:lastRenderedPageBreak/>
        <w:t>Las superficies interiores quedarán sin desigualdades o resaltos mayores de tres (3) milímetros. Antes de la llena se mojarán las superficies interiores y se limpiarán especialmente los fondos, dejándose aberturas provisionales para facilitar esta limpieza en los elementos que lo requieran.</w:t>
      </w:r>
    </w:p>
    <w:p w14:paraId="7BA61629" w14:textId="77777777" w:rsidR="001A4860" w:rsidRPr="001A4860" w:rsidRDefault="001A4860" w:rsidP="001A4860">
      <w:pPr>
        <w:rPr>
          <w:rFonts w:eastAsia="Calibri"/>
          <w:szCs w:val="24"/>
          <w:lang w:val="es-ES"/>
        </w:rPr>
      </w:pPr>
    </w:p>
    <w:p w14:paraId="2DAD1B28" w14:textId="77777777" w:rsidR="001A4860" w:rsidRPr="001A4860" w:rsidRDefault="001A4860" w:rsidP="001A4860">
      <w:pPr>
        <w:rPr>
          <w:rFonts w:eastAsia="Calibri"/>
          <w:szCs w:val="24"/>
          <w:lang w:val="es-ES"/>
        </w:rPr>
      </w:pPr>
      <w:r w:rsidRPr="001A4860">
        <w:rPr>
          <w:rFonts w:eastAsia="Calibri"/>
          <w:szCs w:val="24"/>
          <w:lang w:val="es-ES"/>
        </w:rPr>
        <w:t>Se usará una película de aceite quemado en la cara de la formaleta en contacto con el concreto para evitar descascar amientos de la superficie del concreto colado. En ningún momento se permitirá cargar la estructura, con almacenamiento de materiales, equipos de construcción o cualquier otro tipo de sobrecarga extraordinaria durante el tiempo que dure el concreto en alcanzar su resistencia de diseño.</w:t>
      </w:r>
    </w:p>
    <w:p w14:paraId="64F79589" w14:textId="77777777" w:rsidR="001A4860" w:rsidRPr="001A4860" w:rsidRDefault="001A4860" w:rsidP="001A4860">
      <w:pPr>
        <w:rPr>
          <w:rFonts w:eastAsia="Calibri"/>
          <w:szCs w:val="24"/>
          <w:lang w:val="es-ES"/>
        </w:rPr>
      </w:pPr>
    </w:p>
    <w:p w14:paraId="093097F7" w14:textId="77777777" w:rsidR="001A4860" w:rsidRPr="001A4860" w:rsidRDefault="001A4860" w:rsidP="001A4860">
      <w:pPr>
        <w:spacing w:line="360" w:lineRule="auto"/>
        <w:rPr>
          <w:rFonts w:eastAsia="Calibri"/>
          <w:b/>
          <w:szCs w:val="24"/>
          <w:lang w:val="es-ES"/>
        </w:rPr>
      </w:pPr>
      <w:r w:rsidRPr="001A4860">
        <w:rPr>
          <w:rFonts w:eastAsia="Calibri"/>
          <w:b/>
          <w:szCs w:val="24"/>
          <w:u w:val="single"/>
          <w:lang w:val="es-ES"/>
        </w:rPr>
        <w:t>Desencofrado</w:t>
      </w:r>
      <w:r w:rsidRPr="001A4860">
        <w:rPr>
          <w:rFonts w:eastAsia="Calibri"/>
          <w:b/>
          <w:szCs w:val="24"/>
          <w:lang w:val="es-ES"/>
        </w:rPr>
        <w:t>.</w:t>
      </w:r>
    </w:p>
    <w:p w14:paraId="2842A77D" w14:textId="77777777" w:rsidR="001A4860" w:rsidRPr="001A4860" w:rsidRDefault="001A4860" w:rsidP="001A4860">
      <w:pPr>
        <w:rPr>
          <w:rFonts w:eastAsia="Calibri"/>
          <w:szCs w:val="24"/>
          <w:lang w:val="es-ES"/>
        </w:rPr>
      </w:pPr>
      <w:r w:rsidRPr="001A4860">
        <w:rPr>
          <w:rFonts w:eastAsia="Calibri"/>
          <w:szCs w:val="24"/>
          <w:lang w:val="es-ES"/>
        </w:rPr>
        <w:t xml:space="preserve">Ninguna carga de construcción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 y las cargas soportadas sobre ella: El descimbrado deberá hacerse de tal forma que no perjudique la completa seguridad y durabilidad de la estructura. </w:t>
      </w:r>
    </w:p>
    <w:p w14:paraId="20202833" w14:textId="77777777" w:rsidR="001A4860" w:rsidRPr="001A4860" w:rsidRDefault="001A4860" w:rsidP="001A4860">
      <w:pPr>
        <w:rPr>
          <w:rFonts w:eastAsia="Calibri"/>
          <w:szCs w:val="24"/>
          <w:lang w:val="es-ES"/>
        </w:rPr>
      </w:pPr>
    </w:p>
    <w:p w14:paraId="0CB2F270" w14:textId="77777777" w:rsidR="001A4860" w:rsidRPr="001A4860" w:rsidRDefault="001A4860" w:rsidP="001A4860">
      <w:pPr>
        <w:rPr>
          <w:rFonts w:eastAsia="Calibri"/>
          <w:szCs w:val="24"/>
          <w:lang w:val="es-ES"/>
        </w:rPr>
      </w:pPr>
      <w:r w:rsidRPr="001A4860">
        <w:rPr>
          <w:rFonts w:eastAsia="Calibri"/>
          <w:szCs w:val="24"/>
          <w:lang w:val="es-ES"/>
        </w:rPr>
        <w:t>El concreto que se descimbre debe ser suficientemente resistente para no sufrir daños posteriores. Durante la actividad de descimbrar se cuidará de no dar golpes ni hacer esfuerzos que puedan perjudicar al concreto.</w:t>
      </w:r>
    </w:p>
    <w:p w14:paraId="480B7839" w14:textId="77777777" w:rsidR="001A4860" w:rsidRPr="001A4860" w:rsidRDefault="001A4860" w:rsidP="001A4860">
      <w:pPr>
        <w:spacing w:line="360" w:lineRule="auto"/>
        <w:rPr>
          <w:rFonts w:eastAsia="Calibri"/>
          <w:b/>
          <w:szCs w:val="24"/>
          <w:u w:val="single"/>
          <w:lang w:val="es-ES"/>
        </w:rPr>
      </w:pPr>
      <w:r w:rsidRPr="001A4860">
        <w:rPr>
          <w:rFonts w:eastAsia="Calibri"/>
          <w:b/>
          <w:szCs w:val="24"/>
          <w:u w:val="single"/>
          <w:lang w:val="es-ES"/>
        </w:rPr>
        <w:t xml:space="preserve">Tiempo mínimo para retirar formaletas. </w:t>
      </w:r>
    </w:p>
    <w:p w14:paraId="7B0FEBC2" w14:textId="77777777" w:rsidR="001A4860" w:rsidRPr="001A4860" w:rsidRDefault="001A4860" w:rsidP="001A4860">
      <w:pPr>
        <w:rPr>
          <w:rFonts w:eastAsia="Calibri"/>
          <w:szCs w:val="24"/>
          <w:lang w:val="es-ES"/>
        </w:rPr>
      </w:pPr>
      <w:r w:rsidRPr="001A4860">
        <w:rPr>
          <w:rFonts w:eastAsia="Calibri"/>
          <w:szCs w:val="24"/>
          <w:lang w:val="es-ES"/>
        </w:rPr>
        <w:t xml:space="preserve">Será de </w:t>
      </w:r>
      <w:r w:rsidRPr="001A4860">
        <w:rPr>
          <w:rFonts w:eastAsia="Calibri"/>
          <w:b/>
          <w:szCs w:val="24"/>
          <w:lang w:val="es-ES"/>
        </w:rPr>
        <w:t>8 horas</w:t>
      </w:r>
      <w:r w:rsidRPr="001A4860">
        <w:rPr>
          <w:rFonts w:eastAsia="Calibri"/>
          <w:szCs w:val="24"/>
          <w:lang w:val="es-ES"/>
        </w:rPr>
        <w:t xml:space="preserve"> en los costados siempre que a continuación del retiro de la formaleta se proceda al relleno y compactación del hueco de excavación, en caso contrario se requerirá un mínimo de </w:t>
      </w:r>
      <w:r w:rsidRPr="001A4860">
        <w:rPr>
          <w:rFonts w:eastAsia="Calibri"/>
          <w:b/>
          <w:szCs w:val="24"/>
          <w:lang w:val="es-ES"/>
        </w:rPr>
        <w:t>24 horas</w:t>
      </w:r>
      <w:r w:rsidRPr="001A4860">
        <w:rPr>
          <w:rFonts w:eastAsia="Calibri"/>
          <w:szCs w:val="24"/>
          <w:lang w:val="es-ES"/>
        </w:rPr>
        <w:t>.</w:t>
      </w:r>
    </w:p>
    <w:p w14:paraId="2CD47580" w14:textId="77777777" w:rsidR="001A4860" w:rsidRPr="001A4860" w:rsidRDefault="001A4860" w:rsidP="001A4860">
      <w:pPr>
        <w:rPr>
          <w:rFonts w:eastAsia="Calibri"/>
          <w:szCs w:val="24"/>
          <w:lang w:val="es-ES"/>
        </w:rPr>
      </w:pPr>
    </w:p>
    <w:p w14:paraId="6DAC8B6F" w14:textId="77777777" w:rsidR="001A4860" w:rsidRPr="001A4860" w:rsidRDefault="001A4860" w:rsidP="001A4860">
      <w:pPr>
        <w:spacing w:line="360" w:lineRule="auto"/>
        <w:rPr>
          <w:rFonts w:eastAsia="Calibri"/>
          <w:b/>
          <w:szCs w:val="24"/>
          <w:lang w:val="es-ES"/>
        </w:rPr>
      </w:pPr>
      <w:bookmarkStart w:id="1532" w:name="_Toc300505121"/>
      <w:bookmarkStart w:id="1533" w:name="_Toc310550144"/>
      <w:bookmarkStart w:id="1534" w:name="_Toc344461306"/>
      <w:bookmarkStart w:id="1535" w:name="_Toc344723278"/>
      <w:bookmarkStart w:id="1536" w:name="_Toc351657304"/>
      <w:r w:rsidRPr="001A4860">
        <w:rPr>
          <w:rFonts w:eastAsia="Calibri"/>
          <w:b/>
          <w:szCs w:val="24"/>
          <w:u w:val="single"/>
          <w:lang w:val="es-ES"/>
        </w:rPr>
        <w:t>Curado del concreto</w:t>
      </w:r>
      <w:r w:rsidRPr="001A4860">
        <w:rPr>
          <w:rFonts w:eastAsia="Calibri"/>
          <w:b/>
          <w:szCs w:val="24"/>
          <w:lang w:val="es-ES"/>
        </w:rPr>
        <w:t>.</w:t>
      </w:r>
      <w:bookmarkEnd w:id="1532"/>
      <w:bookmarkEnd w:id="1533"/>
      <w:bookmarkEnd w:id="1534"/>
      <w:bookmarkEnd w:id="1535"/>
      <w:bookmarkEnd w:id="1536"/>
    </w:p>
    <w:p w14:paraId="0F6E1CA9" w14:textId="77777777" w:rsidR="001A4860" w:rsidRPr="001A4860" w:rsidRDefault="001A4860" w:rsidP="001A4860">
      <w:pPr>
        <w:rPr>
          <w:rFonts w:eastAsia="Calibri"/>
          <w:szCs w:val="24"/>
          <w:lang w:val="es-ES"/>
        </w:rPr>
      </w:pPr>
      <w:r w:rsidRPr="001A4860">
        <w:rPr>
          <w:rFonts w:eastAsia="Calibri"/>
          <w:szCs w:val="24"/>
          <w:lang w:val="es-ES"/>
        </w:rPr>
        <w:t>Después de la colocación del concreto deben protegerse todas las superficies expuestas de los efectos de la intemperie, sobre todo del sol y de la lluvia. El curado se iniciará tan pronto el concreto haya endurecido suficientemente a juicio de El Ingeniero. Se cuidará de mantener continuamente húmeda durante los primeros siete (7) días la superficie del concreto.</w:t>
      </w:r>
    </w:p>
    <w:p w14:paraId="0E4E3246" w14:textId="77777777" w:rsidR="001A4860" w:rsidRPr="001A4860" w:rsidRDefault="001A4860" w:rsidP="001A4860">
      <w:pPr>
        <w:rPr>
          <w:rFonts w:eastAsia="Calibri"/>
          <w:szCs w:val="24"/>
          <w:lang w:val="es-ES"/>
        </w:rPr>
      </w:pPr>
      <w:r w:rsidRPr="001A4860">
        <w:rPr>
          <w:rFonts w:eastAsia="Calibri"/>
          <w:szCs w:val="24"/>
          <w:lang w:val="es-ES"/>
        </w:rPr>
        <w:t>Se evitarán causas externas, (sobrecargas, vibraciones, etc.) que puedan provocar fisuras en el concreto sin fraguar o sin la resistencia adecuada.  El Contratista debe acatar todas las indicaciones que le haga El Ingeniero al respecto.  Todos los repellos y acabados de paredes deben curarse en igual forma.</w:t>
      </w:r>
    </w:p>
    <w:p w14:paraId="68EB67B7" w14:textId="77777777" w:rsidR="001A4860" w:rsidRPr="001A4860" w:rsidRDefault="001A4860" w:rsidP="001A4860">
      <w:pPr>
        <w:rPr>
          <w:rFonts w:eastAsia="Calibri"/>
          <w:szCs w:val="24"/>
          <w:lang w:val="es-ES"/>
        </w:rPr>
      </w:pPr>
    </w:p>
    <w:p w14:paraId="29F6D1D7" w14:textId="77777777" w:rsidR="001A4860" w:rsidRPr="001A4860" w:rsidRDefault="001A4860" w:rsidP="001A4860">
      <w:pPr>
        <w:spacing w:line="360" w:lineRule="auto"/>
        <w:rPr>
          <w:rFonts w:eastAsia="Calibri"/>
          <w:b/>
          <w:szCs w:val="24"/>
          <w:u w:val="single"/>
          <w:lang w:val="es-ES"/>
        </w:rPr>
      </w:pPr>
      <w:bookmarkStart w:id="1537" w:name="_Toc300505122"/>
      <w:bookmarkStart w:id="1538" w:name="_Toc310550145"/>
      <w:bookmarkStart w:id="1539" w:name="_Toc344461307"/>
      <w:bookmarkStart w:id="1540" w:name="_Toc344723279"/>
      <w:bookmarkStart w:id="1541" w:name="_Toc351657305"/>
      <w:r w:rsidRPr="001A4860">
        <w:rPr>
          <w:rFonts w:eastAsia="Calibri"/>
          <w:b/>
          <w:szCs w:val="24"/>
          <w:u w:val="single"/>
          <w:lang w:val="es-ES"/>
        </w:rPr>
        <w:t>Reparación de defectos en el concreto.</w:t>
      </w:r>
      <w:bookmarkEnd w:id="1537"/>
      <w:bookmarkEnd w:id="1538"/>
      <w:bookmarkEnd w:id="1539"/>
      <w:bookmarkEnd w:id="1540"/>
      <w:bookmarkEnd w:id="1541"/>
    </w:p>
    <w:p w14:paraId="7CDCF055" w14:textId="77777777" w:rsidR="001A4860" w:rsidRPr="001A4860" w:rsidRDefault="001A4860" w:rsidP="001A4860">
      <w:pPr>
        <w:rPr>
          <w:rFonts w:eastAsia="Calibri"/>
          <w:szCs w:val="24"/>
          <w:lang w:val="es-ES"/>
        </w:rPr>
      </w:pPr>
      <w:r w:rsidRPr="001A4860">
        <w:rPr>
          <w:rFonts w:eastAsia="Calibri"/>
          <w:szCs w:val="24"/>
          <w:lang w:val="es-ES"/>
        </w:rPr>
        <w:t>Todos los defectos en el concreto, segregaciones superficiales (ratoneras), deben repararse picando bien la sección defectuosa, eliminando todo el material suelto. Las zonas o secciones defectuosas deben rellenarse con concreto o mortero siguiendo las instrucciones de El Ingeniero.</w:t>
      </w:r>
    </w:p>
    <w:p w14:paraId="42FCD4CE" w14:textId="77777777" w:rsidR="001A4860" w:rsidRPr="001A4860" w:rsidRDefault="001A4860" w:rsidP="001A4860">
      <w:pPr>
        <w:rPr>
          <w:rFonts w:eastAsia="Calibri"/>
          <w:szCs w:val="24"/>
          <w:lang w:val="es-ES"/>
        </w:rPr>
      </w:pPr>
    </w:p>
    <w:p w14:paraId="787CBA46"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542" w:name="_Toc300505123"/>
      <w:bookmarkStart w:id="1543" w:name="_Toc310550146"/>
      <w:bookmarkStart w:id="1544" w:name="_Toc344461308"/>
      <w:bookmarkStart w:id="1545" w:name="_Toc344723280"/>
      <w:bookmarkStart w:id="1546" w:name="_Toc351657306"/>
      <w:bookmarkStart w:id="1547" w:name="_Toc485034200"/>
      <w:bookmarkStart w:id="1548" w:name="_Toc505613802"/>
      <w:r w:rsidRPr="001A4860">
        <w:rPr>
          <w:b/>
          <w:color w:val="000000"/>
          <w:szCs w:val="24"/>
          <w:lang w:val="es-ES"/>
        </w:rPr>
        <w:t>Detalle de refuerzo.</w:t>
      </w:r>
      <w:bookmarkEnd w:id="1542"/>
      <w:bookmarkEnd w:id="1543"/>
      <w:bookmarkEnd w:id="1544"/>
      <w:bookmarkEnd w:id="1545"/>
      <w:bookmarkEnd w:id="1546"/>
      <w:bookmarkEnd w:id="1547"/>
      <w:bookmarkEnd w:id="1548"/>
    </w:p>
    <w:p w14:paraId="64030EA8" w14:textId="77777777" w:rsidR="001A4860" w:rsidRPr="001A4860" w:rsidRDefault="001A4860" w:rsidP="001A4860">
      <w:pPr>
        <w:contextualSpacing/>
        <w:rPr>
          <w:rFonts w:eastAsia="Calibri"/>
          <w:szCs w:val="24"/>
          <w:lang w:val="es-ES"/>
        </w:rPr>
      </w:pPr>
      <w:r w:rsidRPr="001A4860">
        <w:rPr>
          <w:rFonts w:eastAsia="Calibri"/>
          <w:szCs w:val="24"/>
          <w:lang w:val="es-ES"/>
        </w:rPr>
        <w:t xml:space="preserve">Todo el acero de refuerzo, deberá ser cortado y doblado en frío, ajustándolas a los planos y especificaciones del proyecto, sin errores, mayores de un centímetro (l cm). Los dobleces de las </w:t>
      </w:r>
      <w:r w:rsidRPr="001A4860">
        <w:rPr>
          <w:rFonts w:eastAsia="Calibri"/>
          <w:szCs w:val="24"/>
          <w:lang w:val="es-ES"/>
        </w:rPr>
        <w:lastRenderedPageBreak/>
        <w:t xml:space="preserve">armaduras, salvo indicación especial en los planos, se harán con radios superiores a siete y media (7-½) veces el diámetro. Los dobleces deberán hacerse de acuerdo al Manual de Práctica Normales del Instituto de Acero para Refuerzo de Concreto. </w:t>
      </w:r>
    </w:p>
    <w:p w14:paraId="64562D5A" w14:textId="77777777" w:rsidR="001A4860" w:rsidRPr="001A4860" w:rsidRDefault="001A4860" w:rsidP="001A4860">
      <w:pPr>
        <w:rPr>
          <w:rFonts w:eastAsia="Calibri"/>
          <w:szCs w:val="24"/>
          <w:lang w:val="es-ES"/>
        </w:rPr>
      </w:pPr>
    </w:p>
    <w:p w14:paraId="5916CC3B" w14:textId="77777777" w:rsidR="001A4860" w:rsidRPr="001A4860" w:rsidRDefault="001A4860" w:rsidP="001A4860">
      <w:pPr>
        <w:contextualSpacing/>
        <w:rPr>
          <w:rFonts w:eastAsia="Calibri"/>
          <w:szCs w:val="24"/>
          <w:lang w:val="es-ES"/>
        </w:rPr>
      </w:pPr>
      <w:r w:rsidRPr="001A4860">
        <w:rPr>
          <w:rFonts w:eastAsia="Calibri"/>
          <w:szCs w:val="24"/>
          <w:lang w:val="es-ES"/>
        </w:rPr>
        <w:t>No se harán empalmes de barras no señalados en los planos sin autorización del Ingeniero Supervisor.  En caso necesario, se dispondrá donde la armadura trabaje menos de los dos tercios (2/3) de su tensión admisible, pudiendo ser por solape o soldadura.  En ningún caso se deberá exceder la fuerza cortante y adherencias.</w:t>
      </w:r>
    </w:p>
    <w:p w14:paraId="5AA5DAE9" w14:textId="77777777" w:rsidR="001A4860" w:rsidRPr="001A4860" w:rsidRDefault="001A4860" w:rsidP="001A4860">
      <w:pPr>
        <w:contextualSpacing/>
        <w:rPr>
          <w:rFonts w:eastAsia="Calibri"/>
          <w:szCs w:val="24"/>
          <w:lang w:val="es-ES"/>
        </w:rPr>
      </w:pPr>
    </w:p>
    <w:p w14:paraId="27CBF091" w14:textId="77777777" w:rsidR="001A4860" w:rsidRPr="001A4860" w:rsidRDefault="001A4860" w:rsidP="001A4860">
      <w:pPr>
        <w:contextualSpacing/>
        <w:rPr>
          <w:rFonts w:eastAsia="Calibri"/>
          <w:szCs w:val="24"/>
          <w:lang w:val="es-ES"/>
        </w:rPr>
      </w:pPr>
      <w:r w:rsidRPr="001A4860">
        <w:rPr>
          <w:rFonts w:eastAsia="Calibri"/>
          <w:szCs w:val="24"/>
          <w:lang w:val="es-ES"/>
        </w:rPr>
        <w:t>Cuando el empalme sé efectuarse por solape, las barras deberán traslaparse por lo menos 30" de largo y terminarán en ganchos.  En ningún caso él traslape será menor de 24" de barra. El espesor del hormigón alrededor de la solapa no será menor de dos (2) diámetros.</w:t>
      </w:r>
    </w:p>
    <w:p w14:paraId="55D8AEEF" w14:textId="77777777" w:rsidR="001A4860" w:rsidRPr="001A4860" w:rsidRDefault="001A4860" w:rsidP="001A4860">
      <w:pPr>
        <w:rPr>
          <w:rFonts w:eastAsia="Calibri"/>
          <w:szCs w:val="24"/>
          <w:lang w:val="es-ES"/>
        </w:rPr>
      </w:pPr>
    </w:p>
    <w:p w14:paraId="74BBF2DE" w14:textId="77777777" w:rsidR="001A4860" w:rsidRPr="001A4860" w:rsidRDefault="001A4860" w:rsidP="001A4860">
      <w:pPr>
        <w:contextualSpacing/>
        <w:rPr>
          <w:rFonts w:eastAsia="Calibri"/>
          <w:szCs w:val="24"/>
          <w:lang w:val="es-ES"/>
        </w:rPr>
      </w:pPr>
      <w:r w:rsidRPr="001A4860">
        <w:rPr>
          <w:rFonts w:eastAsia="Calibri"/>
          <w:szCs w:val="24"/>
          <w:lang w:val="es-ES"/>
        </w:rPr>
        <w:t>Los empalmes se distanciarán unos de otros de modo que sus centros queden a más de treinta pulgadas (30") a lo largo del elemento.  Cuando se use soldadura, ésta deberá desarrollarse totalmente para el transferimiento del esfuerzo completo.</w:t>
      </w:r>
    </w:p>
    <w:p w14:paraId="69612C00" w14:textId="77777777" w:rsidR="001A4860" w:rsidRPr="001A4860" w:rsidRDefault="001A4860" w:rsidP="001A4860">
      <w:pPr>
        <w:rPr>
          <w:rFonts w:eastAsia="Calibri"/>
          <w:b/>
          <w:szCs w:val="24"/>
          <w:u w:val="single"/>
          <w:lang w:val="es-ES"/>
        </w:rPr>
      </w:pPr>
    </w:p>
    <w:p w14:paraId="4FE1F7DB" w14:textId="77777777" w:rsidR="001A4860" w:rsidRPr="001A4860" w:rsidRDefault="001A4860" w:rsidP="001A4860">
      <w:pPr>
        <w:contextualSpacing/>
        <w:rPr>
          <w:rFonts w:eastAsia="Calibri"/>
          <w:szCs w:val="24"/>
          <w:lang w:val="es-ES"/>
        </w:rPr>
      </w:pPr>
      <w:r w:rsidRPr="001A4860">
        <w:rPr>
          <w:rFonts w:eastAsia="Calibri"/>
          <w:szCs w:val="24"/>
          <w:lang w:val="es-ES"/>
        </w:rPr>
        <w:t>Antes de ser colocado en su posición, el acero de refuerzo deberá limpiarse cuidadosamente hasta dejarlo completamente libre de escamas sueltas y derrumbes, así como de suciedades, recubrimientos o cualquier otro material que pudiera reducir la adherencia.</w:t>
      </w:r>
    </w:p>
    <w:p w14:paraId="2AEE7011" w14:textId="77777777" w:rsidR="001A4860" w:rsidRPr="001A4860" w:rsidRDefault="001A4860" w:rsidP="001A4860">
      <w:pPr>
        <w:rPr>
          <w:rFonts w:eastAsia="Calibri"/>
          <w:szCs w:val="24"/>
          <w:lang w:val="es-ES"/>
        </w:rPr>
      </w:pPr>
    </w:p>
    <w:p w14:paraId="184DF80C" w14:textId="77777777" w:rsidR="001A4860" w:rsidRPr="001A4860" w:rsidRDefault="001A4860" w:rsidP="001A4860">
      <w:pPr>
        <w:contextualSpacing/>
        <w:rPr>
          <w:rFonts w:eastAsia="Calibri"/>
          <w:szCs w:val="24"/>
          <w:lang w:val="es-ES"/>
        </w:rPr>
      </w:pPr>
      <w:r w:rsidRPr="001A4860">
        <w:rPr>
          <w:rFonts w:eastAsia="Calibri"/>
          <w:szCs w:val="24"/>
          <w:lang w:val="es-ES"/>
        </w:rPr>
        <w:t>Las barras se sujetarán a la formaleta con alambres o tacos de hormigón entre sí, con ataduras de alambre de hierro dulce No. 16, de modo que no pueda desplazarse durante el hormigonado y que éste pueda envolverlas completamente.</w:t>
      </w:r>
    </w:p>
    <w:p w14:paraId="02319CDC" w14:textId="77777777" w:rsidR="001A4860" w:rsidRPr="001A4860" w:rsidRDefault="001A4860" w:rsidP="001A4860">
      <w:pPr>
        <w:rPr>
          <w:rFonts w:eastAsia="Calibri"/>
          <w:szCs w:val="24"/>
          <w:lang w:val="es-ES"/>
        </w:rPr>
      </w:pPr>
    </w:p>
    <w:p w14:paraId="445B55C0" w14:textId="77777777" w:rsidR="001A4860" w:rsidRPr="001A4860" w:rsidRDefault="001A4860" w:rsidP="001A4860">
      <w:pPr>
        <w:contextualSpacing/>
        <w:rPr>
          <w:rFonts w:eastAsia="Calibri"/>
          <w:szCs w:val="24"/>
          <w:lang w:val="es-ES"/>
        </w:rPr>
      </w:pPr>
      <w:r w:rsidRPr="001A4860">
        <w:rPr>
          <w:rFonts w:eastAsia="Calibri"/>
          <w:szCs w:val="24"/>
          <w:lang w:val="es-ES"/>
        </w:rPr>
        <w:t>Salvo indicación especial en los planos, las barras quedarán separadas de la superficie del hormigón por lo menos dos centímetros y medio (2.5 cm) en la viga, cinco centímetros en las paredes que estarán en contacto con el agua dulce y siete centímetros y medio (7.5 cm) en los cimientos y pisos sobre el suelo.  La separación entre barras paralelas será como mínimo igual al diámetro o 1".</w:t>
      </w:r>
    </w:p>
    <w:p w14:paraId="7EF57892" w14:textId="77777777" w:rsidR="001A4860" w:rsidRPr="001A4860" w:rsidRDefault="001A4860" w:rsidP="001A4860">
      <w:pPr>
        <w:rPr>
          <w:rFonts w:eastAsia="Calibri"/>
          <w:szCs w:val="24"/>
          <w:lang w:val="es-ES"/>
        </w:rPr>
      </w:pPr>
    </w:p>
    <w:p w14:paraId="2A1F775F" w14:textId="77777777" w:rsidR="001A4860" w:rsidRPr="001A4860" w:rsidRDefault="001A4860" w:rsidP="001A4860">
      <w:pPr>
        <w:contextualSpacing/>
        <w:rPr>
          <w:rFonts w:eastAsia="Calibri"/>
          <w:szCs w:val="24"/>
          <w:lang w:val="es-ES"/>
        </w:rPr>
      </w:pPr>
      <w:r w:rsidRPr="001A4860">
        <w:rPr>
          <w:rFonts w:eastAsia="Calibri"/>
          <w:szCs w:val="24"/>
          <w:lang w:val="es-ES"/>
        </w:rPr>
        <w:t>La posición de las barras se ajustará a lo indicado en los planos del proyecto o a la instrucción del Ingeniero Supervisor.  Se revisará la correcta disposición del acero de refuerzo antes de proceder a la llena.  Se anotarán en los planos registros de las obras, que para tal efecto llevará el Contratista, todas las modificaciones de barras que se hubiesen introducido autorizadas por el Ingeniero Supervisor.</w:t>
      </w:r>
    </w:p>
    <w:p w14:paraId="14333495" w14:textId="77777777" w:rsidR="001A4860" w:rsidRPr="001A4860" w:rsidRDefault="001A4860" w:rsidP="001A4860">
      <w:pPr>
        <w:suppressAutoHyphens/>
        <w:rPr>
          <w:rFonts w:eastAsia="Calibri"/>
          <w:szCs w:val="24"/>
          <w:lang w:val="es-ES"/>
        </w:rPr>
      </w:pPr>
      <w:bookmarkStart w:id="1549" w:name="_Toc195413452"/>
      <w:bookmarkStart w:id="1550" w:name="_Toc234745717"/>
      <w:bookmarkStart w:id="1551" w:name="_Toc300505128"/>
      <w:bookmarkStart w:id="1552" w:name="_Toc310550151"/>
      <w:bookmarkStart w:id="1553" w:name="_Toc344461309"/>
      <w:bookmarkStart w:id="1554" w:name="_Toc344723281"/>
      <w:bookmarkStart w:id="1555" w:name="_Toc351657307"/>
    </w:p>
    <w:p w14:paraId="0B74ED08" w14:textId="77777777" w:rsidR="001A4860" w:rsidRPr="001A4860" w:rsidRDefault="001A4860" w:rsidP="001A4860">
      <w:pPr>
        <w:suppressAutoHyphens/>
        <w:spacing w:line="360" w:lineRule="auto"/>
        <w:rPr>
          <w:rFonts w:eastAsia="Calibri"/>
          <w:b/>
          <w:szCs w:val="24"/>
          <w:lang w:val="es-ES"/>
        </w:rPr>
      </w:pPr>
      <w:bookmarkStart w:id="1556" w:name="_Toc515359035"/>
      <w:bookmarkStart w:id="1557" w:name="_Toc353368618"/>
      <w:r w:rsidRPr="001A4860">
        <w:rPr>
          <w:rFonts w:eastAsia="Calibri"/>
          <w:b/>
          <w:szCs w:val="24"/>
          <w:lang w:val="es-ES"/>
        </w:rPr>
        <w:t>Aplicación del Epoxy y la Pintura.</w:t>
      </w:r>
      <w:bookmarkEnd w:id="1556"/>
      <w:bookmarkEnd w:id="1557"/>
    </w:p>
    <w:p w14:paraId="1FB60887" w14:textId="77777777" w:rsidR="001A4860" w:rsidRPr="001A4860" w:rsidRDefault="001A4860" w:rsidP="001A4860">
      <w:pPr>
        <w:suppressAutoHyphens/>
        <w:rPr>
          <w:rFonts w:eastAsia="Calibri"/>
          <w:szCs w:val="24"/>
          <w:lang w:val="es-ES"/>
        </w:rPr>
      </w:pPr>
      <w:r w:rsidRPr="001A4860">
        <w:rPr>
          <w:rFonts w:eastAsia="Calibri"/>
          <w:szCs w:val="24"/>
          <w:lang w:val="es-ES"/>
        </w:rPr>
        <w:t>La pintura a usarse deberá ser Protector Standard o similar aprobada y el impermeabilizante a usarse deberá ser del tipo Epóxico Sika-101 o similar a probado. Todo material será entregado en la obra en sus envases originales, con la etiqueta intacta y sin abrir.  Con la excepción de materiales ya mezclado, toda mezcla se hará en la obra y todos los materiales a usarse deberán llevar la aprobación del Arquitecto.</w:t>
      </w:r>
    </w:p>
    <w:p w14:paraId="2571D47F" w14:textId="77777777" w:rsidR="001A4860" w:rsidRPr="001A4860" w:rsidRDefault="001A4860" w:rsidP="001A4860">
      <w:pPr>
        <w:suppressAutoHyphens/>
        <w:rPr>
          <w:rFonts w:eastAsia="Calibri"/>
          <w:szCs w:val="24"/>
          <w:lang w:val="es-ES"/>
        </w:rPr>
      </w:pPr>
      <w:bookmarkStart w:id="1558" w:name="_Toc515359032"/>
    </w:p>
    <w:p w14:paraId="1AF1E17C" w14:textId="77777777" w:rsidR="001A4860" w:rsidRPr="001A4860" w:rsidRDefault="001A4860" w:rsidP="001A4860">
      <w:pPr>
        <w:spacing w:line="360" w:lineRule="auto"/>
        <w:rPr>
          <w:rFonts w:eastAsia="Calibri"/>
          <w:b/>
          <w:szCs w:val="24"/>
          <w:lang w:val="es-ES"/>
        </w:rPr>
      </w:pPr>
      <w:bookmarkStart w:id="1559" w:name="_Toc353368615"/>
      <w:r w:rsidRPr="001A4860">
        <w:rPr>
          <w:rFonts w:eastAsia="Calibri"/>
          <w:b/>
          <w:szCs w:val="24"/>
          <w:lang w:val="es-ES"/>
        </w:rPr>
        <w:t>Fabricantes.</w:t>
      </w:r>
      <w:bookmarkEnd w:id="1558"/>
      <w:bookmarkEnd w:id="1559"/>
    </w:p>
    <w:p w14:paraId="4C640140" w14:textId="77777777" w:rsidR="001A4860" w:rsidRPr="001A4860" w:rsidRDefault="001A4860" w:rsidP="001A4860">
      <w:pPr>
        <w:suppressAutoHyphens/>
        <w:rPr>
          <w:rFonts w:eastAsia="Calibri"/>
          <w:szCs w:val="24"/>
          <w:lang w:val="es-ES"/>
        </w:rPr>
      </w:pPr>
      <w:r w:rsidRPr="001A4860">
        <w:rPr>
          <w:rFonts w:eastAsia="Calibri"/>
          <w:szCs w:val="24"/>
          <w:lang w:val="es-ES"/>
        </w:rPr>
        <w:lastRenderedPageBreak/>
        <w:t>Cuando no se especifique el fabricante de pintura, epóxico, barnices, esmaltes, tintes, etc., estos materiales serán de la mejor calidad y productos de fabricantes conocidos.  Sus nombres y los productos que se pretenden usar serán sometidos a la aprobación del Ingeniero Supervisor antes de comenzar la obra.</w:t>
      </w:r>
    </w:p>
    <w:p w14:paraId="3390DEB9" w14:textId="77777777" w:rsidR="001A4860" w:rsidRPr="001A4860" w:rsidRDefault="001A4860" w:rsidP="001A4860">
      <w:pPr>
        <w:suppressAutoHyphens/>
        <w:rPr>
          <w:rFonts w:eastAsia="Calibri"/>
          <w:szCs w:val="24"/>
          <w:lang w:val="es-ES"/>
        </w:rPr>
      </w:pPr>
    </w:p>
    <w:p w14:paraId="57BD3D51" w14:textId="77777777" w:rsidR="001A4860" w:rsidRPr="001A4860" w:rsidRDefault="001A4860" w:rsidP="001A4860">
      <w:pPr>
        <w:spacing w:line="360" w:lineRule="auto"/>
        <w:rPr>
          <w:rFonts w:eastAsia="Calibri"/>
          <w:b/>
          <w:szCs w:val="24"/>
          <w:lang w:val="es-ES"/>
        </w:rPr>
      </w:pPr>
      <w:bookmarkStart w:id="1560" w:name="_Toc515359033"/>
      <w:bookmarkStart w:id="1561" w:name="_Toc353368616"/>
      <w:r w:rsidRPr="001A4860">
        <w:rPr>
          <w:rFonts w:eastAsia="Calibri"/>
          <w:b/>
          <w:szCs w:val="24"/>
          <w:lang w:val="es-ES"/>
        </w:rPr>
        <w:t>Inspección de la Superficie</w:t>
      </w:r>
      <w:bookmarkEnd w:id="1560"/>
      <w:bookmarkEnd w:id="1561"/>
      <w:r w:rsidRPr="001A4860">
        <w:rPr>
          <w:rFonts w:eastAsia="Calibri"/>
          <w:b/>
          <w:szCs w:val="24"/>
          <w:lang w:val="es-ES"/>
        </w:rPr>
        <w:t>.</w:t>
      </w:r>
    </w:p>
    <w:p w14:paraId="11E62BAA" w14:textId="77777777" w:rsidR="001A4860" w:rsidRPr="001A4860" w:rsidRDefault="001A4860" w:rsidP="001A4860">
      <w:pPr>
        <w:suppressAutoHyphens/>
        <w:rPr>
          <w:rFonts w:eastAsia="Calibri"/>
          <w:szCs w:val="24"/>
          <w:lang w:val="es-ES"/>
        </w:rPr>
      </w:pPr>
      <w:r w:rsidRPr="001A4860">
        <w:rPr>
          <w:rFonts w:eastAsia="Calibri"/>
          <w:szCs w:val="24"/>
          <w:lang w:val="es-ES"/>
        </w:rPr>
        <w:t>Antes de dar comienzo al trabajo de pintura, el Contratista deberá inspeccionar todas las superficies que han de ser pintadas y reportará al Inspector por escrito todos los defectos de mano de obra que encontrase, y hará que se corrijan tales defectos.  El Contratista suplirá lija y masilla para efectuar todas aquellas reparaciones superficiales necesarias para el buen acabado de su trabajo.  Se enmasillarán los hoyuelos en los marcos de ventanas.</w:t>
      </w:r>
    </w:p>
    <w:p w14:paraId="4625C710" w14:textId="77777777" w:rsidR="001A4860" w:rsidRPr="001A4860" w:rsidRDefault="001A4860" w:rsidP="001A4860">
      <w:pPr>
        <w:suppressAutoHyphens/>
        <w:rPr>
          <w:rFonts w:eastAsia="Calibri"/>
          <w:szCs w:val="24"/>
          <w:lang w:val="es-ES"/>
        </w:rPr>
      </w:pPr>
    </w:p>
    <w:p w14:paraId="32529465" w14:textId="77777777" w:rsidR="001A4860" w:rsidRPr="001A4860" w:rsidRDefault="001A4860" w:rsidP="001A4860">
      <w:pPr>
        <w:suppressAutoHyphens/>
        <w:spacing w:line="360" w:lineRule="auto"/>
        <w:rPr>
          <w:rFonts w:eastAsia="Calibri"/>
          <w:b/>
          <w:szCs w:val="24"/>
          <w:lang w:val="es-ES"/>
        </w:rPr>
      </w:pPr>
      <w:bookmarkStart w:id="1562" w:name="_Toc515359034"/>
      <w:bookmarkStart w:id="1563" w:name="_Toc353368617"/>
      <w:r w:rsidRPr="001A4860">
        <w:rPr>
          <w:rFonts w:eastAsia="Calibri"/>
          <w:b/>
          <w:szCs w:val="24"/>
          <w:lang w:val="es-ES"/>
        </w:rPr>
        <w:t>Preparación de las Superficies.</w:t>
      </w:r>
      <w:bookmarkEnd w:id="1562"/>
      <w:bookmarkEnd w:id="1563"/>
    </w:p>
    <w:p w14:paraId="2513A988" w14:textId="77777777" w:rsidR="001A4860" w:rsidRPr="001A4860" w:rsidRDefault="001A4860" w:rsidP="001A4860">
      <w:pPr>
        <w:suppressAutoHyphens/>
        <w:rPr>
          <w:rFonts w:eastAsia="Calibri"/>
          <w:szCs w:val="24"/>
          <w:lang w:val="es-ES"/>
        </w:rPr>
      </w:pPr>
      <w:r w:rsidRPr="001A4860">
        <w:rPr>
          <w:rFonts w:eastAsia="Calibri"/>
          <w:szCs w:val="24"/>
          <w:lang w:val="es-ES"/>
        </w:rPr>
        <w:t>Todo lugar ha de ser barrido a escoba antes de comenzar a pintar y todas las superficies que han de pintarse deberán estar secas. Antes de pintar deberá removerse de las superficies todo polvo, marcas, suciedad, repello, grasa y otros materiales que afecten el trabajo terminado.</w:t>
      </w:r>
    </w:p>
    <w:p w14:paraId="7E5B7AC7" w14:textId="77777777" w:rsidR="001A4860" w:rsidRPr="001A4860" w:rsidRDefault="001A4860" w:rsidP="001A4860">
      <w:pPr>
        <w:suppressAutoHyphens/>
        <w:rPr>
          <w:rFonts w:eastAsia="Calibri"/>
          <w:b/>
          <w:szCs w:val="24"/>
          <w:lang w:val="es-ES"/>
        </w:rPr>
      </w:pPr>
    </w:p>
    <w:p w14:paraId="16822339" w14:textId="77777777" w:rsidR="001A4860" w:rsidRPr="001A4860" w:rsidRDefault="001A4860" w:rsidP="001A4860">
      <w:pPr>
        <w:suppressAutoHyphens/>
        <w:spacing w:line="360" w:lineRule="auto"/>
        <w:rPr>
          <w:rFonts w:eastAsia="Calibri"/>
          <w:szCs w:val="24"/>
          <w:lang w:val="es-ES"/>
        </w:rPr>
      </w:pPr>
      <w:bookmarkStart w:id="1564" w:name="_Toc515359036"/>
      <w:bookmarkStart w:id="1565" w:name="_Toc353368619"/>
      <w:r w:rsidRPr="001A4860">
        <w:rPr>
          <w:rFonts w:eastAsia="Calibri"/>
          <w:b/>
          <w:szCs w:val="24"/>
          <w:lang w:val="es-ES"/>
        </w:rPr>
        <w:t>Superficies de Paredes en contacto con el agua</w:t>
      </w:r>
      <w:r w:rsidRPr="001A4860">
        <w:rPr>
          <w:rFonts w:eastAsia="Calibri"/>
          <w:szCs w:val="24"/>
          <w:lang w:val="es-ES"/>
        </w:rPr>
        <w:t>.</w:t>
      </w:r>
      <w:bookmarkEnd w:id="1564"/>
      <w:bookmarkEnd w:id="1565"/>
    </w:p>
    <w:p w14:paraId="198E1029" w14:textId="77777777" w:rsidR="001A4860" w:rsidRPr="001A4860" w:rsidRDefault="001A4860" w:rsidP="001A4860">
      <w:pPr>
        <w:suppressAutoHyphens/>
        <w:rPr>
          <w:rFonts w:eastAsia="Calibri"/>
          <w:szCs w:val="24"/>
          <w:lang w:val="es-ES"/>
        </w:rPr>
      </w:pPr>
      <w:r w:rsidRPr="001A4860">
        <w:rPr>
          <w:rFonts w:eastAsia="Calibri"/>
          <w:szCs w:val="24"/>
          <w:lang w:val="es-ES"/>
        </w:rPr>
        <w:t>En las superficies de cemento, se aplicará primero el epóxico con un espesor mínimo de un milímetro de espesor y luego se darán dos manos de pintura vinílica, de acuerdo con la decisión del Ingeniero Supervisor y conforme a las especificaciones del fabricante y/o suplidor.</w:t>
      </w:r>
    </w:p>
    <w:p w14:paraId="7A0EAF2F" w14:textId="77777777" w:rsidR="001A4860" w:rsidRPr="001A4860" w:rsidRDefault="001A4860" w:rsidP="001A4860">
      <w:pPr>
        <w:suppressAutoHyphens/>
        <w:rPr>
          <w:rFonts w:eastAsia="Calibri"/>
          <w:szCs w:val="24"/>
          <w:lang w:val="es-ES"/>
        </w:rPr>
      </w:pPr>
    </w:p>
    <w:p w14:paraId="2063AA6B" w14:textId="77777777" w:rsidR="001A4860" w:rsidRPr="001A4860" w:rsidRDefault="001A4860" w:rsidP="001A4860">
      <w:pPr>
        <w:suppressAutoHyphens/>
        <w:spacing w:line="360" w:lineRule="auto"/>
        <w:rPr>
          <w:rFonts w:eastAsia="Calibri"/>
          <w:b/>
          <w:szCs w:val="24"/>
          <w:lang w:val="es-ES"/>
        </w:rPr>
      </w:pPr>
      <w:bookmarkStart w:id="1566" w:name="_Toc353368620"/>
      <w:r w:rsidRPr="001A4860">
        <w:rPr>
          <w:rFonts w:eastAsia="Calibri"/>
          <w:b/>
          <w:szCs w:val="24"/>
          <w:lang w:val="es-ES"/>
        </w:rPr>
        <w:t>Superficies de Paredes en general.</w:t>
      </w:r>
      <w:bookmarkEnd w:id="1566"/>
    </w:p>
    <w:p w14:paraId="2A8D8697" w14:textId="77777777" w:rsidR="001A4860" w:rsidRPr="001A4860" w:rsidRDefault="001A4860" w:rsidP="001A4860">
      <w:pPr>
        <w:suppressAutoHyphens/>
        <w:rPr>
          <w:rFonts w:eastAsia="Calibri"/>
          <w:szCs w:val="24"/>
          <w:lang w:val="es-ES"/>
        </w:rPr>
      </w:pPr>
      <w:r w:rsidRPr="001A4860">
        <w:rPr>
          <w:rFonts w:eastAsia="Calibri"/>
          <w:szCs w:val="24"/>
          <w:lang w:val="es-ES"/>
        </w:rPr>
        <w:t>En las superficies de cemento, se darán tres manos de pintura vinílica, de acuerdo con la decisión del Ingeniero Supervisor.</w:t>
      </w:r>
    </w:p>
    <w:p w14:paraId="12711FC8" w14:textId="77777777" w:rsidR="001A4860" w:rsidRPr="001A4860" w:rsidRDefault="001A4860" w:rsidP="001A4860">
      <w:pPr>
        <w:suppressAutoHyphens/>
        <w:rPr>
          <w:rFonts w:eastAsia="Calibri"/>
          <w:szCs w:val="24"/>
          <w:lang w:val="es-ES"/>
        </w:rPr>
      </w:pPr>
    </w:p>
    <w:p w14:paraId="18DCF5BA" w14:textId="77777777" w:rsidR="001A4860" w:rsidRPr="001A4860" w:rsidRDefault="001A4860" w:rsidP="001A4860">
      <w:pPr>
        <w:suppressAutoHyphens/>
        <w:spacing w:line="360" w:lineRule="auto"/>
        <w:rPr>
          <w:rFonts w:eastAsia="Calibri"/>
          <w:b/>
          <w:szCs w:val="24"/>
          <w:lang w:val="es-ES"/>
        </w:rPr>
      </w:pPr>
      <w:r w:rsidRPr="001A4860">
        <w:rPr>
          <w:rFonts w:eastAsia="Calibri"/>
          <w:b/>
          <w:szCs w:val="24"/>
          <w:lang w:val="es-ES"/>
        </w:rPr>
        <w:t>Mano de Obra en General.</w:t>
      </w:r>
    </w:p>
    <w:p w14:paraId="6FCBB1A4" w14:textId="77777777" w:rsidR="001A4860" w:rsidRPr="001A4860" w:rsidRDefault="001A4860" w:rsidP="001A4860">
      <w:pPr>
        <w:suppressAutoHyphens/>
        <w:rPr>
          <w:rFonts w:eastAsia="Calibri"/>
          <w:szCs w:val="24"/>
          <w:lang w:val="es-ES"/>
        </w:rPr>
      </w:pPr>
      <w:r w:rsidRPr="001A4860">
        <w:rPr>
          <w:rFonts w:eastAsia="Calibri"/>
          <w:szCs w:val="24"/>
          <w:lang w:val="es-ES"/>
        </w:rPr>
        <w:t>Todo el trabajo ha de ser hecho por personal de primera clase.  Todo el material deberá aplicarse parejo, libre de chorreaduras, manchas, parches u otros defectos. Todas las manos serán de la consistencia debida y sin marcas de brochas.</w:t>
      </w:r>
    </w:p>
    <w:p w14:paraId="746ACEF2" w14:textId="77777777" w:rsidR="001A4860" w:rsidRPr="001A4860" w:rsidRDefault="001A4860" w:rsidP="001A4860">
      <w:pPr>
        <w:suppressAutoHyphens/>
        <w:rPr>
          <w:rFonts w:eastAsia="Calibri"/>
          <w:szCs w:val="24"/>
          <w:lang w:val="es-ES"/>
        </w:rPr>
      </w:pPr>
    </w:p>
    <w:p w14:paraId="4092092F" w14:textId="77777777" w:rsidR="001A4860" w:rsidRPr="001A4860" w:rsidRDefault="001A4860" w:rsidP="001A4860">
      <w:pPr>
        <w:suppressAutoHyphens/>
        <w:rPr>
          <w:rFonts w:eastAsia="Calibri"/>
          <w:szCs w:val="24"/>
          <w:lang w:val="es-ES"/>
        </w:rPr>
      </w:pPr>
      <w:r w:rsidRPr="001A4860">
        <w:rPr>
          <w:rFonts w:eastAsia="Calibri"/>
          <w:szCs w:val="24"/>
          <w:lang w:val="es-ES"/>
        </w:rPr>
        <w:t>El trabajo de pintura se hará durante tiempo seco, nunca durante tiempo nebuloso o de extrema humedad. Cada mano deberá secarse por lo menos cuatro (4) horas antes de aplicar la siguiente.</w:t>
      </w:r>
    </w:p>
    <w:p w14:paraId="3D771FE0" w14:textId="77777777" w:rsidR="001A4860" w:rsidRPr="001A4860" w:rsidRDefault="001A4860" w:rsidP="001A4860">
      <w:pPr>
        <w:suppressAutoHyphens/>
        <w:rPr>
          <w:rFonts w:eastAsia="Calibri"/>
          <w:szCs w:val="24"/>
          <w:lang w:val="es-ES"/>
        </w:rPr>
      </w:pPr>
    </w:p>
    <w:p w14:paraId="1E0E9903" w14:textId="77777777" w:rsidR="001A4860" w:rsidRPr="001A4860" w:rsidRDefault="001A4860" w:rsidP="001A4860">
      <w:pPr>
        <w:suppressAutoHyphens/>
        <w:rPr>
          <w:rFonts w:eastAsia="Calibri"/>
          <w:szCs w:val="24"/>
          <w:lang w:val="es-ES"/>
        </w:rPr>
      </w:pPr>
      <w:r w:rsidRPr="001A4860">
        <w:rPr>
          <w:rFonts w:eastAsia="Calibri"/>
          <w:szCs w:val="24"/>
          <w:lang w:val="es-ES"/>
        </w:rPr>
        <w:t>Todo trabajo terminado será uniforme en cuanto a color y lustre.  Para la aplicación de la pintura podrá usarse rodillo o brocha. Las brochas a emplearse deberán ser de la mejor calidad y estar en buenas condiciones. Suplir agua y energía (quien suministra la energía y el agua a utilizar).</w:t>
      </w:r>
    </w:p>
    <w:p w14:paraId="3110CA41" w14:textId="77777777" w:rsidR="001A4860" w:rsidRPr="001A4860" w:rsidRDefault="001A4860" w:rsidP="001A4860">
      <w:pPr>
        <w:rPr>
          <w:rFonts w:eastAsia="Calibri"/>
          <w:b/>
          <w:szCs w:val="24"/>
          <w:u w:val="single"/>
          <w:lang w:val="es-ES"/>
        </w:rPr>
      </w:pPr>
    </w:p>
    <w:p w14:paraId="6C2BE1FF"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567" w:name="_Toc305746145"/>
      <w:bookmarkStart w:id="1568" w:name="_Toc310550152"/>
      <w:bookmarkStart w:id="1569" w:name="_Toc344461310"/>
      <w:bookmarkStart w:id="1570" w:name="_Toc344723282"/>
      <w:bookmarkStart w:id="1571" w:name="_Toc351657308"/>
      <w:bookmarkStart w:id="1572" w:name="_Toc485034204"/>
      <w:bookmarkStart w:id="1573" w:name="_Toc505613803"/>
      <w:bookmarkEnd w:id="1549"/>
      <w:bookmarkEnd w:id="1550"/>
      <w:bookmarkEnd w:id="1551"/>
      <w:bookmarkEnd w:id="1552"/>
      <w:bookmarkEnd w:id="1553"/>
      <w:bookmarkEnd w:id="1554"/>
      <w:bookmarkEnd w:id="1555"/>
      <w:r w:rsidRPr="001A4860">
        <w:rPr>
          <w:b/>
          <w:color w:val="000000"/>
          <w:szCs w:val="24"/>
          <w:lang w:val="es-ES"/>
        </w:rPr>
        <w:t>Conexión de Tanque de Almacenamiento</w:t>
      </w:r>
      <w:bookmarkEnd w:id="1567"/>
      <w:bookmarkEnd w:id="1568"/>
      <w:bookmarkEnd w:id="1569"/>
      <w:bookmarkEnd w:id="1570"/>
      <w:bookmarkEnd w:id="1571"/>
      <w:bookmarkEnd w:id="1572"/>
      <w:bookmarkEnd w:id="1573"/>
    </w:p>
    <w:p w14:paraId="6A89F14A" w14:textId="77777777" w:rsidR="001A4860" w:rsidRPr="001A4860" w:rsidRDefault="001A4860" w:rsidP="001A4860">
      <w:pPr>
        <w:spacing w:line="360" w:lineRule="auto"/>
        <w:rPr>
          <w:rFonts w:eastAsia="Calibri"/>
          <w:b/>
          <w:szCs w:val="24"/>
          <w:lang w:val="es-ES"/>
        </w:rPr>
      </w:pPr>
      <w:bookmarkStart w:id="1574" w:name="_Toc195413454"/>
      <w:bookmarkStart w:id="1575" w:name="_Toc234745719"/>
      <w:bookmarkStart w:id="1576" w:name="_Toc295977223"/>
      <w:bookmarkStart w:id="1577" w:name="_Toc305746146"/>
      <w:bookmarkStart w:id="1578" w:name="_Toc310550153"/>
      <w:bookmarkStart w:id="1579" w:name="_Toc344461311"/>
      <w:bookmarkStart w:id="1580" w:name="_Toc344723283"/>
      <w:bookmarkStart w:id="1581" w:name="_Toc351657309"/>
      <w:r w:rsidRPr="001A4860">
        <w:rPr>
          <w:rFonts w:eastAsia="Calibri"/>
          <w:b/>
          <w:szCs w:val="24"/>
          <w:lang w:val="es-ES"/>
        </w:rPr>
        <w:t>Tuberías y accesorios de hierro galvanizado (HG.)</w:t>
      </w:r>
      <w:bookmarkEnd w:id="1574"/>
      <w:bookmarkEnd w:id="1575"/>
      <w:bookmarkEnd w:id="1576"/>
      <w:bookmarkEnd w:id="1577"/>
      <w:bookmarkEnd w:id="1578"/>
      <w:bookmarkEnd w:id="1579"/>
      <w:bookmarkEnd w:id="1580"/>
      <w:bookmarkEnd w:id="1581"/>
    </w:p>
    <w:p w14:paraId="48FA9540" w14:textId="77777777" w:rsidR="001A4860" w:rsidRPr="001A4860" w:rsidRDefault="001A4860" w:rsidP="003B68DB">
      <w:pPr>
        <w:numPr>
          <w:ilvl w:val="0"/>
          <w:numId w:val="190"/>
        </w:numPr>
        <w:spacing w:after="160" w:line="259" w:lineRule="auto"/>
        <w:ind w:left="0" w:firstLine="0"/>
        <w:contextualSpacing/>
        <w:jc w:val="left"/>
        <w:rPr>
          <w:rFonts w:eastAsia="Calibri"/>
          <w:szCs w:val="24"/>
          <w:lang w:val="es-ES"/>
        </w:rPr>
      </w:pPr>
      <w:bookmarkStart w:id="1582" w:name="_Toc310550154"/>
      <w:r w:rsidRPr="001A4860">
        <w:rPr>
          <w:rFonts w:eastAsia="Calibri"/>
          <w:szCs w:val="24"/>
          <w:lang w:val="es-ES"/>
        </w:rPr>
        <w:t>Tuberías</w:t>
      </w:r>
      <w:bookmarkEnd w:id="1582"/>
    </w:p>
    <w:p w14:paraId="503C8B45" w14:textId="77777777" w:rsidR="001A4860" w:rsidRPr="001A4860" w:rsidRDefault="001A4860" w:rsidP="001A4860">
      <w:pPr>
        <w:rPr>
          <w:rFonts w:eastAsia="Calibri"/>
          <w:szCs w:val="24"/>
          <w:lang w:val="es-ES"/>
        </w:rPr>
      </w:pPr>
      <w:r w:rsidRPr="001A4860">
        <w:rPr>
          <w:rFonts w:eastAsia="Calibri"/>
          <w:szCs w:val="24"/>
          <w:lang w:val="es-ES"/>
        </w:rPr>
        <w:lastRenderedPageBreak/>
        <w:t xml:space="preserve">Las tuberías de HG serán del tipo Standard (cédula 40) y deberán ajustarse a las especificaciones ASTM-120-65 y que cumpla con el proceso de Galvanización de acuerdo a la especificación ASTM A-90-39. </w:t>
      </w:r>
    </w:p>
    <w:p w14:paraId="3DB7B9CC" w14:textId="77777777" w:rsidR="001A4860" w:rsidRPr="001A4860" w:rsidRDefault="001A4860" w:rsidP="001A4860">
      <w:pPr>
        <w:rPr>
          <w:rFonts w:eastAsia="Calibri"/>
          <w:szCs w:val="24"/>
          <w:lang w:val="es-ES"/>
        </w:rPr>
      </w:pPr>
    </w:p>
    <w:p w14:paraId="4C5F97E2" w14:textId="77777777" w:rsidR="001A4860" w:rsidRPr="001A4860" w:rsidRDefault="001A4860" w:rsidP="003B68DB">
      <w:pPr>
        <w:numPr>
          <w:ilvl w:val="0"/>
          <w:numId w:val="190"/>
        </w:numPr>
        <w:spacing w:after="160" w:line="259" w:lineRule="auto"/>
        <w:ind w:left="0" w:firstLine="0"/>
        <w:contextualSpacing/>
        <w:jc w:val="left"/>
        <w:rPr>
          <w:rFonts w:eastAsia="Calibri"/>
          <w:szCs w:val="24"/>
          <w:lang w:val="es-ES"/>
        </w:rPr>
      </w:pPr>
      <w:bookmarkStart w:id="1583" w:name="_Toc310550155"/>
      <w:r w:rsidRPr="001A4860">
        <w:rPr>
          <w:rFonts w:eastAsia="Calibri"/>
          <w:szCs w:val="24"/>
          <w:lang w:val="es-ES"/>
        </w:rPr>
        <w:t>Accesorios</w:t>
      </w:r>
      <w:bookmarkEnd w:id="1583"/>
    </w:p>
    <w:p w14:paraId="0A528B9A" w14:textId="77777777" w:rsidR="001A4860" w:rsidRPr="001A4860" w:rsidRDefault="001A4860" w:rsidP="001A4860">
      <w:pPr>
        <w:rPr>
          <w:rFonts w:eastAsia="Calibri"/>
          <w:szCs w:val="24"/>
          <w:lang w:val="es-ES"/>
        </w:rPr>
      </w:pPr>
      <w:r w:rsidRPr="001A4860">
        <w:rPr>
          <w:rFonts w:eastAsia="Calibri"/>
          <w:szCs w:val="24"/>
          <w:lang w:val="es-ES"/>
        </w:rPr>
        <w:t>Los accesorios de hierro galvanizado deberán ajustarse a las especificaciones ASTM, tendrán rosca hembra del tipo Iron Pipe (I.P) y deberán ser diseñados para acoplarse a la tubería de HF y PVC a ser suministrada. Las tuberías y los accesorios, deben de cumplir con El Certificado de Calidad ISO-9001.</w:t>
      </w:r>
    </w:p>
    <w:p w14:paraId="1BC245E6" w14:textId="77777777" w:rsidR="001A4860" w:rsidRPr="001A4860" w:rsidRDefault="001A4860" w:rsidP="001A4860">
      <w:pPr>
        <w:rPr>
          <w:rFonts w:eastAsia="Calibri"/>
          <w:szCs w:val="24"/>
          <w:lang w:val="es-ES"/>
        </w:rPr>
      </w:pPr>
    </w:p>
    <w:p w14:paraId="07004FD1" w14:textId="77777777" w:rsidR="001A4860" w:rsidRPr="001A4860" w:rsidRDefault="001A4860" w:rsidP="001A4860">
      <w:pPr>
        <w:spacing w:line="360" w:lineRule="auto"/>
        <w:rPr>
          <w:rFonts w:eastAsia="Calibri"/>
          <w:szCs w:val="24"/>
          <w:lang w:val="es-ES"/>
        </w:rPr>
      </w:pPr>
      <w:bookmarkStart w:id="1584" w:name="_Toc234745724"/>
      <w:bookmarkStart w:id="1585" w:name="_Toc310550158"/>
      <w:r w:rsidRPr="001A4860">
        <w:rPr>
          <w:rFonts w:eastAsia="Calibri"/>
          <w:b/>
          <w:szCs w:val="24"/>
          <w:lang w:val="es-ES"/>
        </w:rPr>
        <w:t>Válvulas de Compuerta de Cierre Elástico</w:t>
      </w:r>
      <w:bookmarkEnd w:id="1584"/>
      <w:bookmarkEnd w:id="1585"/>
    </w:p>
    <w:p w14:paraId="3202AE70" w14:textId="77777777" w:rsidR="001A4860" w:rsidRPr="001A4860" w:rsidRDefault="001A4860" w:rsidP="001A4860">
      <w:pPr>
        <w:rPr>
          <w:rFonts w:eastAsia="Calibri"/>
          <w:szCs w:val="24"/>
          <w:lang w:val="es-ES"/>
        </w:rPr>
      </w:pPr>
      <w:r w:rsidRPr="001A4860">
        <w:rPr>
          <w:rFonts w:eastAsia="Calibri"/>
          <w:szCs w:val="24"/>
          <w:lang w:val="es-ES"/>
        </w:rPr>
        <w:t>A menos que se indique lo contrario, el diseño, materiales, construcción, manufactura y prueba de las válvulas, deberán sujetarse a lo dispuesto en la Norma ANSI/AWWA C-509, con hierro modular (HN) que cumpla la norma ASTM A-536, el disco de la compuerta será de fundición dúctil recubierta con Elastómero y totalmente vulcanizada con NBR/EPDM, asientos paralelos de bronce, vástago de acero inoxidable.</w:t>
      </w:r>
    </w:p>
    <w:p w14:paraId="2BEACA4B" w14:textId="77777777" w:rsidR="001A4860" w:rsidRPr="001A4860" w:rsidRDefault="001A4860" w:rsidP="001A4860">
      <w:pPr>
        <w:rPr>
          <w:rFonts w:eastAsia="Calibri"/>
          <w:szCs w:val="24"/>
          <w:lang w:val="es-ES"/>
        </w:rPr>
      </w:pPr>
    </w:p>
    <w:p w14:paraId="695F5D49" w14:textId="77777777" w:rsidR="001A4860" w:rsidRPr="001A4860" w:rsidRDefault="001A4860" w:rsidP="001A4860">
      <w:pPr>
        <w:rPr>
          <w:rFonts w:eastAsia="Calibri"/>
          <w:szCs w:val="24"/>
          <w:lang w:val="es-ES"/>
        </w:rPr>
      </w:pPr>
      <w:r w:rsidRPr="001A4860">
        <w:rPr>
          <w:rFonts w:eastAsia="Calibri"/>
          <w:szCs w:val="24"/>
          <w:lang w:val="es-ES"/>
        </w:rPr>
        <w:t>Las válvulas de extremos de brida serán de acuerdo a lo especificado en el Formulario de Oferta y se ajustarán a las especificaciones ANSI B.16. y tendrán bridas en los extremos según especifica</w:t>
      </w:r>
      <w:r w:rsidRPr="001A4860">
        <w:rPr>
          <w:rFonts w:eastAsia="Calibri"/>
          <w:szCs w:val="24"/>
          <w:lang w:val="es-ES"/>
        </w:rPr>
        <w:softHyphen/>
        <w:t xml:space="preserve">ciones AWWA C-111 para acoplarse con tubería HF y tubería HG. Las válvulas vendrán provistas de rueda con cierre en el sentido de las agujas del reloj para operarlas; llevarán interior y exteriormente un revestimiento protector. Las Válvula de compuerta serán de Ø2” de diámetro Tipo de Cierre Elástico de extrema de brida y será similar a la Marca b Belgicast Modelo BV-05-47 o similar. </w:t>
      </w:r>
    </w:p>
    <w:p w14:paraId="0A8AA2A6" w14:textId="77777777" w:rsidR="001A4860" w:rsidRPr="001A4860" w:rsidRDefault="001A4860" w:rsidP="001A4860">
      <w:pPr>
        <w:rPr>
          <w:rFonts w:eastAsia="Calibri"/>
          <w:b/>
          <w:szCs w:val="24"/>
          <w:lang w:val="es-ES"/>
        </w:rPr>
      </w:pPr>
    </w:p>
    <w:p w14:paraId="038E67B7"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586" w:name="_Toc485034201"/>
      <w:bookmarkStart w:id="1587" w:name="_Toc505613804"/>
      <w:r w:rsidRPr="001A4860">
        <w:rPr>
          <w:b/>
          <w:color w:val="000000"/>
          <w:szCs w:val="24"/>
          <w:lang w:val="es-ES"/>
        </w:rPr>
        <w:t>Repello y finos</w:t>
      </w:r>
      <w:bookmarkEnd w:id="1586"/>
      <w:bookmarkEnd w:id="1587"/>
      <w:r w:rsidRPr="001A4860">
        <w:rPr>
          <w:b/>
          <w:color w:val="000000"/>
          <w:szCs w:val="24"/>
          <w:lang w:val="es-ES"/>
        </w:rPr>
        <w:t xml:space="preserve"> </w:t>
      </w:r>
    </w:p>
    <w:p w14:paraId="092D8DCF" w14:textId="77777777" w:rsidR="001A4860" w:rsidRPr="001A4860" w:rsidRDefault="001A4860" w:rsidP="001A4860">
      <w:pPr>
        <w:spacing w:line="360" w:lineRule="auto"/>
        <w:rPr>
          <w:rFonts w:eastAsia="Calibri"/>
          <w:b/>
          <w:color w:val="000000"/>
          <w:szCs w:val="24"/>
          <w:u w:val="single"/>
          <w:lang w:val="es-ES"/>
        </w:rPr>
      </w:pPr>
      <w:bookmarkStart w:id="1588" w:name="_Toc353368603"/>
      <w:r w:rsidRPr="001A4860">
        <w:rPr>
          <w:rFonts w:eastAsia="Calibri"/>
          <w:b/>
          <w:color w:val="000000"/>
          <w:szCs w:val="24"/>
          <w:u w:val="single"/>
          <w:lang w:val="es-ES"/>
        </w:rPr>
        <w:t>Trabajo Requerido.</w:t>
      </w:r>
      <w:bookmarkEnd w:id="1588"/>
    </w:p>
    <w:p w14:paraId="33A5E5C3" w14:textId="77777777" w:rsidR="001A4860" w:rsidRPr="001A4860" w:rsidRDefault="001A4860" w:rsidP="001A4860">
      <w:pPr>
        <w:suppressAutoHyphens/>
        <w:rPr>
          <w:rFonts w:eastAsia="Calibri"/>
          <w:szCs w:val="24"/>
          <w:lang w:val="es-ES"/>
        </w:rPr>
      </w:pPr>
      <w:r w:rsidRPr="001A4860">
        <w:rPr>
          <w:rFonts w:eastAsia="Calibri"/>
          <w:szCs w:val="24"/>
          <w:lang w:val="es-ES"/>
        </w:rPr>
        <w:t xml:space="preserve">Repello y fino en las paredes y demás lugares que se indiquen en los planos y del tipo especificado en el mismo. Suministrar y aplicar los repellos y morteros para rellenar, emparejar y llevar a cabo trabajos varios que se indican en los planos y especificaciones </w:t>
      </w:r>
    </w:p>
    <w:p w14:paraId="7E6C4014" w14:textId="77777777" w:rsidR="001A4860" w:rsidRPr="001A4860" w:rsidRDefault="001A4860" w:rsidP="001A4860">
      <w:pPr>
        <w:suppressAutoHyphens/>
        <w:rPr>
          <w:rFonts w:eastAsia="Calibri"/>
          <w:szCs w:val="24"/>
          <w:lang w:val="es-ES"/>
        </w:rPr>
      </w:pPr>
    </w:p>
    <w:p w14:paraId="19E34218" w14:textId="77777777" w:rsidR="001A4860" w:rsidRPr="001A4860" w:rsidRDefault="001A4860" w:rsidP="001A4860">
      <w:pPr>
        <w:suppressAutoHyphens/>
        <w:spacing w:line="360" w:lineRule="auto"/>
        <w:rPr>
          <w:rFonts w:eastAsia="Calibri"/>
          <w:b/>
          <w:szCs w:val="24"/>
          <w:lang w:val="es-ES"/>
        </w:rPr>
      </w:pPr>
      <w:bookmarkStart w:id="1589" w:name="_Toc353368604"/>
      <w:r w:rsidRPr="001A4860">
        <w:rPr>
          <w:rFonts w:eastAsia="Calibri"/>
          <w:b/>
          <w:szCs w:val="24"/>
          <w:lang w:val="es-ES"/>
        </w:rPr>
        <w:t>Materiales</w:t>
      </w:r>
      <w:bookmarkEnd w:id="1589"/>
    </w:p>
    <w:p w14:paraId="3E6B4BE4" w14:textId="77777777" w:rsidR="001A4860" w:rsidRPr="001A4860" w:rsidRDefault="001A4860" w:rsidP="001A4860">
      <w:pPr>
        <w:suppressAutoHyphens/>
        <w:rPr>
          <w:rFonts w:eastAsia="Calibri"/>
          <w:szCs w:val="24"/>
          <w:lang w:val="es-ES"/>
        </w:rPr>
      </w:pPr>
      <w:r w:rsidRPr="001A4860">
        <w:rPr>
          <w:rFonts w:eastAsia="Calibri"/>
          <w:szCs w:val="24"/>
          <w:lang w:val="es-ES"/>
        </w:rPr>
        <w:t>Cemento: El Cemento será Pórtland, de las especificaciones ASTM- C-150, Tipo I.</w:t>
      </w:r>
    </w:p>
    <w:p w14:paraId="354B3402" w14:textId="77777777" w:rsidR="001A4860" w:rsidRPr="001A4860" w:rsidRDefault="001A4860" w:rsidP="001A4860">
      <w:pPr>
        <w:suppressAutoHyphens/>
        <w:rPr>
          <w:rFonts w:eastAsia="Calibri"/>
          <w:szCs w:val="24"/>
          <w:lang w:val="es-ES"/>
        </w:rPr>
      </w:pPr>
    </w:p>
    <w:p w14:paraId="211703D3" w14:textId="77777777" w:rsidR="001A4860" w:rsidRPr="001A4860" w:rsidRDefault="001A4860" w:rsidP="001A4860">
      <w:pPr>
        <w:suppressAutoHyphens/>
        <w:rPr>
          <w:rFonts w:eastAsia="Calibri"/>
          <w:szCs w:val="24"/>
          <w:lang w:val="es-ES"/>
        </w:rPr>
      </w:pPr>
      <w:r w:rsidRPr="001A4860">
        <w:rPr>
          <w:rFonts w:eastAsia="Calibri"/>
          <w:szCs w:val="24"/>
          <w:lang w:val="es-ES"/>
        </w:rPr>
        <w:t>Arena: Deberá ser ésta natural, angular, limpia y libre de cantidades dañinas de sustancias salinas, alcalinas y orgánicas.  La arena deberá pasar todo por la zaranda No. 8, y no más de diez por ciento (10%) deberá pasar por la zaranda No. 100.</w:t>
      </w:r>
    </w:p>
    <w:p w14:paraId="0AFA79FE" w14:textId="77777777" w:rsidR="001A4860" w:rsidRPr="001A4860" w:rsidRDefault="001A4860" w:rsidP="001A4860">
      <w:pPr>
        <w:suppressAutoHyphens/>
        <w:rPr>
          <w:rFonts w:eastAsia="Calibri"/>
          <w:szCs w:val="24"/>
          <w:lang w:val="es-ES"/>
        </w:rPr>
      </w:pPr>
    </w:p>
    <w:p w14:paraId="4626AB90" w14:textId="77777777" w:rsidR="001A4860" w:rsidRPr="001A4860" w:rsidRDefault="001A4860" w:rsidP="001A4860">
      <w:pPr>
        <w:suppressAutoHyphens/>
        <w:rPr>
          <w:rFonts w:eastAsia="Calibri"/>
          <w:szCs w:val="24"/>
          <w:lang w:val="es-ES"/>
        </w:rPr>
      </w:pPr>
      <w:r w:rsidRPr="001A4860">
        <w:rPr>
          <w:rFonts w:eastAsia="Calibri"/>
          <w:szCs w:val="24"/>
          <w:lang w:val="es-ES"/>
        </w:rPr>
        <w:t>Cal: Deberá ser hidratada se debe da ajustar a la especificación C 2306-46-49 ó C-2307-49, tipo S de la ASTM.  Cal viva se debe de ajustar ala especificaciones c-5-59 de la ASTM y debe ser apagada (pudrir) durante un periodo de 120 horas minino.</w:t>
      </w:r>
    </w:p>
    <w:p w14:paraId="5490862F" w14:textId="77777777" w:rsidR="001A4860" w:rsidRPr="001A4860" w:rsidRDefault="001A4860" w:rsidP="001A4860">
      <w:pPr>
        <w:suppressAutoHyphens/>
        <w:rPr>
          <w:rFonts w:eastAsia="Calibri"/>
          <w:szCs w:val="24"/>
          <w:lang w:val="es-ES"/>
        </w:rPr>
      </w:pPr>
      <w:r w:rsidRPr="001A4860">
        <w:rPr>
          <w:rFonts w:eastAsia="Calibri"/>
          <w:szCs w:val="24"/>
          <w:lang w:val="es-ES"/>
        </w:rPr>
        <w:t>Agua: Deberá ser ésta de calidad potable, libre de toda sustancia aceitosa, salina, alcalina o materiales orgánicos.</w:t>
      </w:r>
    </w:p>
    <w:p w14:paraId="47788EDE" w14:textId="77777777" w:rsidR="001A4860" w:rsidRPr="001A4860" w:rsidRDefault="001A4860" w:rsidP="001A4860">
      <w:pPr>
        <w:suppressAutoHyphens/>
        <w:rPr>
          <w:rFonts w:eastAsia="Calibri"/>
          <w:spacing w:val="-3"/>
          <w:szCs w:val="24"/>
          <w:lang w:val="es-ES"/>
        </w:rPr>
      </w:pPr>
    </w:p>
    <w:p w14:paraId="770DB3A9" w14:textId="77777777" w:rsidR="001A4860" w:rsidRPr="001A4860" w:rsidRDefault="001A4860" w:rsidP="001A4860">
      <w:pPr>
        <w:spacing w:line="360" w:lineRule="auto"/>
        <w:rPr>
          <w:rFonts w:eastAsia="Calibri"/>
          <w:b/>
          <w:szCs w:val="24"/>
          <w:lang w:val="es-ES"/>
        </w:rPr>
      </w:pPr>
      <w:bookmarkStart w:id="1590" w:name="_Toc353368605"/>
      <w:r w:rsidRPr="001A4860">
        <w:rPr>
          <w:rFonts w:eastAsia="Calibri"/>
          <w:b/>
          <w:szCs w:val="24"/>
          <w:lang w:val="es-ES"/>
        </w:rPr>
        <w:t>Mezcla del Mortero</w:t>
      </w:r>
      <w:bookmarkEnd w:id="1590"/>
    </w:p>
    <w:p w14:paraId="63B25281" w14:textId="77777777" w:rsidR="001A4860" w:rsidRPr="001A4860" w:rsidRDefault="001A4860" w:rsidP="001A4860">
      <w:pPr>
        <w:suppressAutoHyphens/>
        <w:rPr>
          <w:rFonts w:eastAsia="Calibri"/>
          <w:szCs w:val="24"/>
          <w:lang w:val="es-ES"/>
        </w:rPr>
      </w:pPr>
      <w:r w:rsidRPr="001A4860">
        <w:rPr>
          <w:rFonts w:eastAsia="Calibri"/>
          <w:szCs w:val="24"/>
          <w:lang w:val="es-ES"/>
        </w:rPr>
        <w:t>La mezcla del mortero se colocará en donde lo indiquen los planos y los espesores de repello será de un centímetro a centímetro y medio a menos que se indiquen lo contrario en los planos.</w:t>
      </w:r>
    </w:p>
    <w:p w14:paraId="4B13FF4C" w14:textId="77777777" w:rsidR="001A4860" w:rsidRPr="001A4860" w:rsidRDefault="001A4860" w:rsidP="001A4860">
      <w:pPr>
        <w:suppressAutoHyphens/>
        <w:rPr>
          <w:rFonts w:eastAsia="Calibri"/>
          <w:szCs w:val="24"/>
          <w:lang w:val="es-ES"/>
        </w:rPr>
      </w:pPr>
    </w:p>
    <w:p w14:paraId="5935D7AE" w14:textId="77777777" w:rsidR="001A4860" w:rsidRPr="001A4860" w:rsidRDefault="001A4860" w:rsidP="003B68DB">
      <w:pPr>
        <w:numPr>
          <w:ilvl w:val="0"/>
          <w:numId w:val="193"/>
        </w:numPr>
        <w:suppressAutoHyphens/>
        <w:spacing w:after="160" w:line="360" w:lineRule="auto"/>
        <w:ind w:left="0" w:firstLine="0"/>
        <w:contextualSpacing/>
        <w:jc w:val="left"/>
        <w:rPr>
          <w:rFonts w:eastAsia="Calibri"/>
          <w:b/>
          <w:color w:val="000000"/>
          <w:szCs w:val="24"/>
          <w:lang w:val="es-ES"/>
        </w:rPr>
      </w:pPr>
      <w:bookmarkStart w:id="1591" w:name="_Toc353368606"/>
      <w:r w:rsidRPr="001A4860">
        <w:rPr>
          <w:rFonts w:eastAsia="Calibri"/>
          <w:b/>
          <w:color w:val="000000"/>
          <w:szCs w:val="24"/>
          <w:lang w:val="es-ES"/>
        </w:rPr>
        <w:t>Aplicación</w:t>
      </w:r>
      <w:bookmarkEnd w:id="1591"/>
    </w:p>
    <w:p w14:paraId="01A01C96" w14:textId="77777777" w:rsidR="001A4860" w:rsidRPr="001A4860" w:rsidRDefault="001A4860" w:rsidP="001A4860">
      <w:pPr>
        <w:suppressAutoHyphens/>
        <w:rPr>
          <w:rFonts w:eastAsia="Calibri"/>
          <w:szCs w:val="24"/>
          <w:lang w:val="es-ES"/>
        </w:rPr>
      </w:pPr>
      <w:r w:rsidRPr="001A4860">
        <w:rPr>
          <w:rFonts w:eastAsia="Calibri"/>
          <w:szCs w:val="24"/>
          <w:lang w:val="es-ES"/>
        </w:rPr>
        <w:t xml:space="preserve">El repello de la superficie interna y externa de las paredes se ejecutará con el mortero correspondiente tirado con fuerza con la paleta extendiéndose la masa después con la llana, cuidando de colocar previamente el número necesario de maestras verticales bien aplomadas y en líneas para resultar una superficie plana y que los vivos y aristas queden completamente rectos.  </w:t>
      </w:r>
    </w:p>
    <w:p w14:paraId="767548F5" w14:textId="77777777" w:rsidR="001A4860" w:rsidRPr="001A4860" w:rsidRDefault="001A4860" w:rsidP="001A4860">
      <w:pPr>
        <w:suppressAutoHyphens/>
        <w:rPr>
          <w:rFonts w:eastAsia="Calibri"/>
          <w:szCs w:val="24"/>
          <w:lang w:val="es-ES"/>
        </w:rPr>
      </w:pPr>
    </w:p>
    <w:p w14:paraId="0C7CCE21" w14:textId="77777777" w:rsidR="001A4860" w:rsidRPr="001A4860" w:rsidRDefault="001A4860" w:rsidP="003B68DB">
      <w:pPr>
        <w:numPr>
          <w:ilvl w:val="0"/>
          <w:numId w:val="193"/>
        </w:numPr>
        <w:suppressAutoHyphens/>
        <w:spacing w:after="160" w:line="360" w:lineRule="auto"/>
        <w:ind w:left="0" w:firstLine="0"/>
        <w:contextualSpacing/>
        <w:jc w:val="left"/>
        <w:rPr>
          <w:rFonts w:eastAsia="Calibri"/>
          <w:b/>
          <w:color w:val="000000"/>
          <w:szCs w:val="24"/>
          <w:lang w:val="es-ES"/>
        </w:rPr>
      </w:pPr>
      <w:bookmarkStart w:id="1592" w:name="_Toc353368607"/>
      <w:r w:rsidRPr="001A4860">
        <w:rPr>
          <w:rFonts w:eastAsia="Calibri"/>
          <w:b/>
          <w:color w:val="000000"/>
          <w:szCs w:val="24"/>
          <w:lang w:val="es-ES"/>
        </w:rPr>
        <w:t>Protección y cura del repello.</w:t>
      </w:r>
      <w:bookmarkEnd w:id="1592"/>
    </w:p>
    <w:p w14:paraId="2AFC6F07" w14:textId="77777777" w:rsidR="001A4860" w:rsidRPr="001A4860" w:rsidRDefault="001A4860" w:rsidP="001A4860">
      <w:pPr>
        <w:suppressAutoHyphens/>
        <w:rPr>
          <w:rFonts w:eastAsia="Calibri"/>
          <w:szCs w:val="24"/>
          <w:lang w:val="es-ES"/>
        </w:rPr>
      </w:pPr>
      <w:r w:rsidRPr="001A4860">
        <w:rPr>
          <w:rFonts w:eastAsia="Calibri"/>
          <w:szCs w:val="24"/>
          <w:lang w:val="es-ES"/>
        </w:rPr>
        <w:t>El repello deberá protegerse bien contra secamientos muy repentinos y contra los efectos de sol y viento hasta que haya fraguado los suficientes para permitir rociarlo con agua. La superficie repellada deberá ser rociada por lo menos durante siete (7) días.</w:t>
      </w:r>
    </w:p>
    <w:p w14:paraId="313C2B5F" w14:textId="77777777" w:rsidR="001A4860" w:rsidRPr="001A4860" w:rsidRDefault="001A4860" w:rsidP="001A4860">
      <w:pPr>
        <w:suppressAutoHyphens/>
        <w:rPr>
          <w:rFonts w:eastAsia="Calibri"/>
          <w:szCs w:val="24"/>
          <w:lang w:val="es-ES"/>
        </w:rPr>
      </w:pPr>
    </w:p>
    <w:p w14:paraId="6C58AE74" w14:textId="77777777" w:rsidR="001A4860" w:rsidRPr="001A4860" w:rsidRDefault="001A4860" w:rsidP="003B68DB">
      <w:pPr>
        <w:numPr>
          <w:ilvl w:val="0"/>
          <w:numId w:val="193"/>
        </w:numPr>
        <w:suppressAutoHyphens/>
        <w:spacing w:after="160" w:line="360" w:lineRule="auto"/>
        <w:ind w:left="0" w:firstLine="0"/>
        <w:contextualSpacing/>
        <w:jc w:val="left"/>
        <w:rPr>
          <w:rFonts w:eastAsia="Calibri"/>
          <w:b/>
          <w:color w:val="000000"/>
          <w:szCs w:val="24"/>
          <w:lang w:val="es-ES"/>
        </w:rPr>
      </w:pPr>
      <w:bookmarkStart w:id="1593" w:name="_Toc353368608"/>
      <w:r w:rsidRPr="001A4860">
        <w:rPr>
          <w:rFonts w:eastAsia="Calibri"/>
          <w:b/>
          <w:color w:val="000000"/>
          <w:szCs w:val="24"/>
          <w:lang w:val="es-ES"/>
        </w:rPr>
        <w:t>Cajones</w:t>
      </w:r>
      <w:bookmarkEnd w:id="1593"/>
    </w:p>
    <w:p w14:paraId="21299B44" w14:textId="77777777" w:rsidR="001A4860" w:rsidRPr="001A4860" w:rsidRDefault="001A4860" w:rsidP="001A4860">
      <w:pPr>
        <w:suppressAutoHyphens/>
        <w:rPr>
          <w:rFonts w:eastAsia="Calibri"/>
          <w:szCs w:val="24"/>
          <w:lang w:val="es-ES"/>
        </w:rPr>
      </w:pPr>
      <w:r w:rsidRPr="001A4860">
        <w:rPr>
          <w:rFonts w:eastAsia="Calibri"/>
          <w:szCs w:val="24"/>
          <w:lang w:val="es-ES"/>
        </w:rPr>
        <w:t>Los cajones usados para mezclar el mortero y la arena se mantendrán limpios de materias reguladas, la cantidad de mezcla estará regulada de manera que se usará todo dentro de dos horas después de la mezcla.  No se permitirá ablandar una mezcla ya parcialmente endurecida.</w:t>
      </w:r>
    </w:p>
    <w:p w14:paraId="543654BF" w14:textId="77777777" w:rsidR="001A4860" w:rsidRPr="001A4860" w:rsidRDefault="001A4860" w:rsidP="001A4860">
      <w:pPr>
        <w:suppressAutoHyphens/>
        <w:rPr>
          <w:rFonts w:eastAsia="Calibri"/>
          <w:szCs w:val="24"/>
          <w:lang w:val="es-ES"/>
        </w:rPr>
      </w:pPr>
    </w:p>
    <w:p w14:paraId="435E0372" w14:textId="77777777" w:rsidR="001A4860" w:rsidRPr="001A4860" w:rsidRDefault="001A4860" w:rsidP="003B68DB">
      <w:pPr>
        <w:numPr>
          <w:ilvl w:val="0"/>
          <w:numId w:val="193"/>
        </w:numPr>
        <w:suppressAutoHyphens/>
        <w:spacing w:after="160" w:line="360" w:lineRule="auto"/>
        <w:ind w:left="0" w:firstLine="0"/>
        <w:contextualSpacing/>
        <w:jc w:val="left"/>
        <w:rPr>
          <w:rFonts w:eastAsia="Calibri"/>
          <w:b/>
          <w:szCs w:val="24"/>
          <w:lang w:val="es-ES"/>
        </w:rPr>
      </w:pPr>
      <w:bookmarkStart w:id="1594" w:name="_Toc353368609"/>
      <w:r w:rsidRPr="001A4860">
        <w:rPr>
          <w:rFonts w:eastAsia="Calibri"/>
          <w:b/>
          <w:szCs w:val="24"/>
          <w:lang w:val="es-ES"/>
        </w:rPr>
        <w:t>Aplicación Del Fino</w:t>
      </w:r>
      <w:bookmarkEnd w:id="1594"/>
    </w:p>
    <w:p w14:paraId="08B70103" w14:textId="77777777" w:rsidR="001A4860" w:rsidRPr="001A4860" w:rsidRDefault="001A4860" w:rsidP="001A4860">
      <w:pPr>
        <w:suppressAutoHyphens/>
        <w:spacing w:line="360" w:lineRule="auto"/>
        <w:rPr>
          <w:rFonts w:eastAsia="Calibri"/>
          <w:b/>
          <w:szCs w:val="24"/>
          <w:lang w:val="es-ES"/>
        </w:rPr>
      </w:pPr>
      <w:r w:rsidRPr="001A4860">
        <w:rPr>
          <w:rFonts w:eastAsia="Calibri"/>
          <w:b/>
          <w:szCs w:val="24"/>
          <w:lang w:val="es-ES"/>
        </w:rPr>
        <w:t>a.)</w:t>
      </w:r>
      <w:r w:rsidRPr="001A4860">
        <w:rPr>
          <w:rFonts w:eastAsia="Calibri"/>
          <w:b/>
          <w:szCs w:val="24"/>
          <w:lang w:val="es-ES"/>
        </w:rPr>
        <w:tab/>
        <w:t xml:space="preserve">Mezcla del Mortero </w:t>
      </w:r>
    </w:p>
    <w:p w14:paraId="6FAE8656" w14:textId="77777777" w:rsidR="001A4860" w:rsidRPr="001A4860" w:rsidRDefault="001A4860" w:rsidP="001A4860">
      <w:pPr>
        <w:suppressAutoHyphens/>
        <w:rPr>
          <w:rFonts w:eastAsia="Calibri"/>
          <w:szCs w:val="24"/>
          <w:lang w:val="es-ES"/>
        </w:rPr>
      </w:pPr>
      <w:r w:rsidRPr="001A4860">
        <w:rPr>
          <w:rFonts w:eastAsia="Calibri"/>
          <w:szCs w:val="24"/>
          <w:lang w:val="es-ES"/>
        </w:rPr>
        <w:t xml:space="preserve">La mezcla a usarse será de tres partes de cemento, (expresada por unidad) cinco partes de cal y 2 1/2 partes de arenillas finan. </w:t>
      </w:r>
    </w:p>
    <w:p w14:paraId="15647E91" w14:textId="77777777" w:rsidR="001A4860" w:rsidRPr="001A4860" w:rsidRDefault="001A4860" w:rsidP="001A4860">
      <w:pPr>
        <w:suppressAutoHyphens/>
        <w:rPr>
          <w:rFonts w:eastAsia="Calibri"/>
          <w:szCs w:val="24"/>
          <w:lang w:val="es-ES"/>
        </w:rPr>
      </w:pPr>
    </w:p>
    <w:p w14:paraId="4B5834C0" w14:textId="77777777" w:rsidR="001A4860" w:rsidRPr="001A4860" w:rsidRDefault="001A4860" w:rsidP="001A4860">
      <w:pPr>
        <w:suppressAutoHyphens/>
        <w:spacing w:line="360" w:lineRule="auto"/>
        <w:rPr>
          <w:rFonts w:eastAsia="Calibri"/>
          <w:b/>
          <w:szCs w:val="24"/>
          <w:lang w:val="es-ES"/>
        </w:rPr>
      </w:pPr>
      <w:r w:rsidRPr="001A4860">
        <w:rPr>
          <w:rFonts w:eastAsia="Calibri"/>
          <w:b/>
          <w:szCs w:val="24"/>
          <w:lang w:val="es-ES"/>
        </w:rPr>
        <w:t>b.)</w:t>
      </w:r>
      <w:r w:rsidRPr="001A4860">
        <w:rPr>
          <w:rFonts w:eastAsia="Calibri"/>
          <w:b/>
          <w:szCs w:val="24"/>
          <w:lang w:val="es-ES"/>
        </w:rPr>
        <w:tab/>
        <w:t>Aplicación</w:t>
      </w:r>
    </w:p>
    <w:p w14:paraId="11EC8CCF" w14:textId="77777777" w:rsidR="001A4860" w:rsidRPr="001A4860" w:rsidRDefault="001A4860" w:rsidP="001A4860">
      <w:pPr>
        <w:suppressAutoHyphens/>
        <w:rPr>
          <w:rFonts w:eastAsia="Calibri"/>
          <w:szCs w:val="24"/>
          <w:lang w:val="es-ES"/>
        </w:rPr>
      </w:pPr>
      <w:r w:rsidRPr="001A4860">
        <w:rPr>
          <w:rFonts w:eastAsia="Calibri"/>
          <w:szCs w:val="24"/>
          <w:lang w:val="es-ES"/>
        </w:rPr>
        <w:t>El fino se ejecutará a golpe de llana de madera sobre la superficie repellada dándole el espesor mínimo necesario para cubrir las desigualdades de los muros o cielos puliendo después su superficie.</w:t>
      </w:r>
    </w:p>
    <w:p w14:paraId="3AE2999F" w14:textId="77777777" w:rsidR="001A4860" w:rsidRPr="001A4860" w:rsidRDefault="001A4860" w:rsidP="001A4860">
      <w:pPr>
        <w:suppressAutoHyphens/>
        <w:rPr>
          <w:rFonts w:eastAsia="Calibri"/>
          <w:szCs w:val="24"/>
          <w:lang w:val="es-ES"/>
        </w:rPr>
      </w:pPr>
    </w:p>
    <w:p w14:paraId="222C39FC" w14:textId="77777777" w:rsidR="001A4860" w:rsidRPr="001A4860" w:rsidRDefault="001A4860" w:rsidP="003B68DB">
      <w:pPr>
        <w:numPr>
          <w:ilvl w:val="0"/>
          <w:numId w:val="193"/>
        </w:numPr>
        <w:suppressAutoHyphens/>
        <w:spacing w:after="160" w:line="259" w:lineRule="auto"/>
        <w:ind w:left="0" w:firstLine="0"/>
        <w:contextualSpacing/>
        <w:jc w:val="left"/>
        <w:rPr>
          <w:rFonts w:eastAsia="Calibri"/>
          <w:szCs w:val="24"/>
          <w:lang w:val="es-ES"/>
        </w:rPr>
      </w:pPr>
      <w:bookmarkStart w:id="1595" w:name="_Toc353368610"/>
      <w:r w:rsidRPr="001A4860">
        <w:rPr>
          <w:rFonts w:eastAsia="Calibri"/>
          <w:szCs w:val="24"/>
          <w:lang w:val="es-ES"/>
        </w:rPr>
        <w:t>Aumento y Reducción</w:t>
      </w:r>
      <w:bookmarkEnd w:id="1595"/>
      <w:r w:rsidRPr="001A4860">
        <w:rPr>
          <w:rFonts w:eastAsia="Calibri"/>
          <w:szCs w:val="24"/>
          <w:lang w:val="es-ES"/>
        </w:rPr>
        <w:t xml:space="preserve"> </w:t>
      </w:r>
    </w:p>
    <w:p w14:paraId="15B94E7E" w14:textId="77777777" w:rsidR="001A4860" w:rsidRPr="001A4860" w:rsidRDefault="001A4860" w:rsidP="001A4860">
      <w:pPr>
        <w:suppressAutoHyphens/>
        <w:rPr>
          <w:rFonts w:eastAsia="Calibri"/>
          <w:szCs w:val="24"/>
          <w:lang w:val="es-ES"/>
        </w:rPr>
      </w:pPr>
      <w:r w:rsidRPr="001A4860">
        <w:rPr>
          <w:rFonts w:eastAsia="Calibri"/>
          <w:szCs w:val="24"/>
          <w:lang w:val="es-ES"/>
        </w:rPr>
        <w:t>El Ingeniero Supervisor podrá ordenar la reducción o aumento de la proporción de arena y cal y determinará el acabado del fino.</w:t>
      </w:r>
    </w:p>
    <w:p w14:paraId="0104F85E" w14:textId="77777777" w:rsidR="001A4860" w:rsidRPr="001A4860" w:rsidRDefault="001A4860" w:rsidP="001A4860">
      <w:pPr>
        <w:suppressAutoHyphens/>
        <w:rPr>
          <w:rFonts w:eastAsia="Calibri"/>
          <w:szCs w:val="24"/>
          <w:lang w:val="es-ES"/>
        </w:rPr>
      </w:pPr>
    </w:p>
    <w:p w14:paraId="36B8D14A" w14:textId="77777777" w:rsidR="001A4860" w:rsidRPr="001A4860" w:rsidRDefault="001A4860" w:rsidP="003B68DB">
      <w:pPr>
        <w:keepNext/>
        <w:numPr>
          <w:ilvl w:val="0"/>
          <w:numId w:val="194"/>
        </w:numPr>
        <w:spacing w:after="160" w:line="360" w:lineRule="auto"/>
        <w:ind w:left="0" w:firstLine="0"/>
        <w:jc w:val="left"/>
        <w:outlineLvl w:val="1"/>
        <w:rPr>
          <w:b/>
          <w:color w:val="000000"/>
          <w:szCs w:val="24"/>
          <w:lang w:val="es-ES"/>
        </w:rPr>
      </w:pPr>
      <w:bookmarkStart w:id="1596" w:name="_Toc353368611"/>
      <w:bookmarkStart w:id="1597" w:name="_Toc485034202"/>
      <w:r w:rsidRPr="001A4860">
        <w:rPr>
          <w:b/>
          <w:color w:val="000000"/>
          <w:szCs w:val="24"/>
          <w:lang w:val="es-ES"/>
        </w:rPr>
        <w:t xml:space="preserve"> </w:t>
      </w:r>
      <w:bookmarkStart w:id="1598" w:name="_Toc505613805"/>
      <w:r w:rsidRPr="001A4860">
        <w:rPr>
          <w:b/>
          <w:color w:val="000000"/>
          <w:szCs w:val="24"/>
          <w:lang w:val="es-ES"/>
        </w:rPr>
        <w:t>Pintura</w:t>
      </w:r>
      <w:bookmarkEnd w:id="1596"/>
      <w:bookmarkEnd w:id="1597"/>
      <w:bookmarkEnd w:id="1598"/>
    </w:p>
    <w:p w14:paraId="6B41E4FD" w14:textId="77777777" w:rsidR="001A4860" w:rsidRPr="001A4860" w:rsidRDefault="001A4860" w:rsidP="001A4860">
      <w:pPr>
        <w:spacing w:line="360" w:lineRule="auto"/>
        <w:rPr>
          <w:rFonts w:eastAsia="Calibri"/>
          <w:b/>
          <w:color w:val="000000"/>
          <w:szCs w:val="24"/>
          <w:lang w:val="es-ES"/>
        </w:rPr>
      </w:pPr>
      <w:bookmarkStart w:id="1599" w:name="_Toc515359029"/>
      <w:bookmarkStart w:id="1600" w:name="_Toc353368612"/>
      <w:r w:rsidRPr="001A4860">
        <w:rPr>
          <w:rFonts w:eastAsia="Calibri"/>
          <w:b/>
          <w:color w:val="000000"/>
          <w:szCs w:val="24"/>
          <w:lang w:val="es-ES"/>
        </w:rPr>
        <w:t>Condiciones Generales</w:t>
      </w:r>
      <w:bookmarkEnd w:id="1599"/>
      <w:bookmarkEnd w:id="1600"/>
    </w:p>
    <w:p w14:paraId="59FAB2CC" w14:textId="77777777" w:rsidR="001A4860" w:rsidRPr="001A4860" w:rsidRDefault="001A4860" w:rsidP="001A4860">
      <w:pPr>
        <w:suppressAutoHyphens/>
        <w:rPr>
          <w:rFonts w:eastAsia="Calibri"/>
          <w:szCs w:val="24"/>
          <w:lang w:val="es-ES"/>
        </w:rPr>
      </w:pPr>
      <w:r w:rsidRPr="001A4860">
        <w:rPr>
          <w:rFonts w:eastAsia="Calibri"/>
          <w:szCs w:val="24"/>
          <w:lang w:val="es-ES"/>
        </w:rPr>
        <w:t xml:space="preserve">Toda mención hecha en estas especificaciones o indicado en los planos, obliga al Contratista a suplir e instalar cada artículo, material o equipo con el proceso o método indicado y de la calidad requerida o sujeta a calificación y a suplir toda la mano de obra, equipo y complementarios </w:t>
      </w:r>
      <w:r w:rsidRPr="001A4860">
        <w:rPr>
          <w:rFonts w:eastAsia="Calibri"/>
          <w:szCs w:val="24"/>
          <w:lang w:val="es-ES"/>
        </w:rPr>
        <w:lastRenderedPageBreak/>
        <w:t>necesarios para la terminación de la obra. La preparación de superficies y las pinturas deberán ser conforme a la AWWA-D102-84, excepto donde se disponga otra cosa en estas especificaciones.  No deberán usarse dentro del tanque pinturas, epóxico, imprimadores o diluyentes que sean perjudiciales al agua potable.</w:t>
      </w:r>
    </w:p>
    <w:p w14:paraId="01AA23BD" w14:textId="77777777" w:rsidR="001A4860" w:rsidRPr="001A4860" w:rsidRDefault="001A4860" w:rsidP="001A4860">
      <w:pPr>
        <w:suppressAutoHyphens/>
        <w:rPr>
          <w:rFonts w:eastAsia="Calibri"/>
          <w:szCs w:val="24"/>
          <w:lang w:val="es-ES"/>
        </w:rPr>
      </w:pPr>
    </w:p>
    <w:p w14:paraId="7729C526" w14:textId="77777777" w:rsidR="001A4860" w:rsidRPr="001A4860" w:rsidRDefault="001A4860" w:rsidP="001A4860">
      <w:pPr>
        <w:suppressAutoHyphens/>
        <w:rPr>
          <w:rFonts w:eastAsia="Calibri"/>
          <w:szCs w:val="24"/>
          <w:lang w:val="es-ES"/>
        </w:rPr>
      </w:pPr>
      <w:r w:rsidRPr="001A4860">
        <w:rPr>
          <w:rFonts w:eastAsia="Calibri"/>
          <w:szCs w:val="24"/>
          <w:lang w:val="es-ES"/>
        </w:rPr>
        <w:t>Toda la pintura deberá ser aplicada por pintores experimentados, sobre superficies limpias y perfectamente secas, de modo de formar una capa delgada pero completa y uniforme sobre todas las superficies.  Se dejará que cada capa se seque completamente durante por lo menos 24 horas antes de aplicar la capa siguiente.</w:t>
      </w:r>
    </w:p>
    <w:p w14:paraId="187D4B8E" w14:textId="77777777" w:rsidR="001A4860" w:rsidRPr="001A4860" w:rsidRDefault="001A4860" w:rsidP="001A4860">
      <w:pPr>
        <w:suppressAutoHyphens/>
        <w:rPr>
          <w:rFonts w:eastAsia="Calibri"/>
          <w:szCs w:val="24"/>
          <w:lang w:val="es-ES"/>
        </w:rPr>
      </w:pPr>
    </w:p>
    <w:p w14:paraId="19C83246" w14:textId="77777777" w:rsidR="001A4860" w:rsidRPr="001A4860" w:rsidRDefault="001A4860" w:rsidP="001A4860">
      <w:pPr>
        <w:suppressAutoHyphens/>
        <w:rPr>
          <w:rFonts w:eastAsia="Calibri"/>
          <w:szCs w:val="24"/>
          <w:lang w:val="es-ES"/>
        </w:rPr>
      </w:pPr>
      <w:r w:rsidRPr="001A4860">
        <w:rPr>
          <w:rFonts w:eastAsia="Calibri"/>
          <w:szCs w:val="24"/>
          <w:lang w:val="es-ES"/>
        </w:rPr>
        <w:t>El Contratista tomará las medidas necesarias para proveer ventilación adecuada en el interior del tanque para así extraer los vapores y evitar daños a los trabajadores o la posibilidad de que se acumulen gases volátiles. Todos los trabajadores cuando estén dentro del tanque y se esté aplicando la pintura e impermeabilizante, deben estar protegidos con una máscara con alimentación de aire.</w:t>
      </w:r>
    </w:p>
    <w:p w14:paraId="303D56EF" w14:textId="77777777" w:rsidR="001A4860" w:rsidRPr="001A4860" w:rsidRDefault="001A4860" w:rsidP="001A4860">
      <w:pPr>
        <w:suppressAutoHyphens/>
        <w:rPr>
          <w:rFonts w:eastAsia="Calibri"/>
          <w:szCs w:val="24"/>
          <w:lang w:val="es-ES"/>
        </w:rPr>
      </w:pPr>
    </w:p>
    <w:p w14:paraId="3C3CEECF" w14:textId="77777777" w:rsidR="001A4860" w:rsidRPr="001A4860" w:rsidRDefault="001A4860" w:rsidP="001A4860">
      <w:pPr>
        <w:spacing w:line="360" w:lineRule="auto"/>
        <w:rPr>
          <w:rFonts w:eastAsia="Calibri"/>
          <w:b/>
          <w:color w:val="000000"/>
          <w:szCs w:val="24"/>
          <w:lang w:val="es-ES"/>
        </w:rPr>
      </w:pPr>
      <w:bookmarkStart w:id="1601" w:name="_Toc515359030"/>
      <w:bookmarkStart w:id="1602" w:name="_Toc353368613"/>
      <w:r w:rsidRPr="001A4860">
        <w:rPr>
          <w:rFonts w:eastAsia="Calibri"/>
          <w:b/>
          <w:color w:val="000000"/>
          <w:szCs w:val="24"/>
          <w:lang w:val="es-ES"/>
        </w:rPr>
        <w:t>Alcance del Trabajo.</w:t>
      </w:r>
      <w:bookmarkEnd w:id="1601"/>
      <w:bookmarkEnd w:id="1602"/>
    </w:p>
    <w:p w14:paraId="08A248D4" w14:textId="77777777" w:rsidR="001A4860" w:rsidRPr="001A4860" w:rsidRDefault="001A4860" w:rsidP="001A4860">
      <w:pPr>
        <w:suppressAutoHyphens/>
        <w:rPr>
          <w:rFonts w:eastAsia="Calibri"/>
          <w:szCs w:val="24"/>
          <w:lang w:val="es-ES"/>
        </w:rPr>
      </w:pPr>
      <w:r w:rsidRPr="001A4860">
        <w:rPr>
          <w:rFonts w:eastAsia="Calibri"/>
          <w:szCs w:val="24"/>
          <w:lang w:val="es-ES"/>
        </w:rPr>
        <w:t>Se pintarán todas las paredes de mampostería y de concreto todo de acuerdo a planos y Especificaciones y se impermeabilizara todas las superficies de concreto y mampostería que este expuesta permanentemente al agua dulce tal como el Tanque de Almacenamiento.</w:t>
      </w:r>
    </w:p>
    <w:p w14:paraId="54D0A762" w14:textId="77777777" w:rsidR="001A4860" w:rsidRPr="001A4860" w:rsidRDefault="001A4860" w:rsidP="001A4860">
      <w:pPr>
        <w:jc w:val="left"/>
        <w:rPr>
          <w:rFonts w:eastAsia="Calibri"/>
          <w:szCs w:val="24"/>
          <w:lang w:val="es-ES"/>
        </w:rPr>
      </w:pPr>
    </w:p>
    <w:p w14:paraId="63B2478C" w14:textId="77777777" w:rsidR="001A4860" w:rsidRPr="001A4860" w:rsidRDefault="001A4860" w:rsidP="001A4860">
      <w:pPr>
        <w:jc w:val="left"/>
        <w:rPr>
          <w:rFonts w:eastAsia="Calibri"/>
          <w:b/>
          <w:szCs w:val="24"/>
          <w:lang w:val="es-ES"/>
        </w:rPr>
      </w:pPr>
      <w:bookmarkStart w:id="1603" w:name="_Toc20560572"/>
      <w:bookmarkStart w:id="1604" w:name="_Toc20930096"/>
      <w:r w:rsidRPr="001A4860">
        <w:rPr>
          <w:rFonts w:eastAsia="Calibri"/>
          <w:b/>
          <w:szCs w:val="24"/>
          <w:lang w:val="es-ES"/>
        </w:rPr>
        <w:t>INSPECCIÓN Y PRUEBAS</w:t>
      </w:r>
      <w:bookmarkEnd w:id="1603"/>
      <w:r w:rsidRPr="001A4860">
        <w:rPr>
          <w:rFonts w:eastAsia="Calibri"/>
          <w:b/>
          <w:szCs w:val="24"/>
          <w:lang w:val="es-ES"/>
        </w:rPr>
        <w:t xml:space="preserve"> DURANTE EL PRIMER LLENADO DE TANQUES DE CONCRETO</w:t>
      </w:r>
      <w:bookmarkEnd w:id="1604"/>
    </w:p>
    <w:p w14:paraId="496FA3BF" w14:textId="77777777" w:rsidR="001A4860" w:rsidRPr="001A4860" w:rsidRDefault="001A4860" w:rsidP="001A4860">
      <w:pPr>
        <w:jc w:val="left"/>
        <w:rPr>
          <w:rFonts w:eastAsia="Calibri"/>
          <w:szCs w:val="24"/>
          <w:lang w:val="es-ES"/>
        </w:rPr>
      </w:pPr>
    </w:p>
    <w:p w14:paraId="5AE9A0B7" w14:textId="77777777" w:rsidR="001A4860" w:rsidRPr="001A4860" w:rsidRDefault="001A4860" w:rsidP="001A4860">
      <w:pPr>
        <w:rPr>
          <w:rFonts w:eastAsia="Calibri"/>
          <w:szCs w:val="24"/>
          <w:lang w:val="es-ES"/>
        </w:rPr>
      </w:pPr>
      <w:r w:rsidRPr="001A4860">
        <w:rPr>
          <w:rFonts w:eastAsia="Calibri"/>
          <w:szCs w:val="24"/>
          <w:lang w:val="es-ES"/>
        </w:rPr>
        <w:t>La inspección durante el primer llenado se debe llevar a cabo para verificar la estanquidad y la seguridad estructural del tanque.</w:t>
      </w:r>
    </w:p>
    <w:p w14:paraId="4FC76D83" w14:textId="77777777" w:rsidR="001A4860" w:rsidRPr="001A4860" w:rsidRDefault="001A4860" w:rsidP="001A4860">
      <w:pPr>
        <w:rPr>
          <w:rFonts w:eastAsia="Calibri"/>
          <w:szCs w:val="24"/>
          <w:lang w:val="es-ES"/>
        </w:rPr>
      </w:pPr>
    </w:p>
    <w:p w14:paraId="30C11D0C" w14:textId="77777777" w:rsidR="001A4860" w:rsidRPr="001A4860" w:rsidRDefault="001A4860" w:rsidP="001A4860">
      <w:pPr>
        <w:rPr>
          <w:rFonts w:eastAsia="Calibri"/>
          <w:szCs w:val="24"/>
          <w:lang w:val="es-ES"/>
        </w:rPr>
      </w:pPr>
      <w:r w:rsidRPr="001A4860">
        <w:rPr>
          <w:rFonts w:eastAsia="Calibri"/>
          <w:szCs w:val="24"/>
          <w:lang w:val="es-ES"/>
        </w:rPr>
        <w:t>Cuando el tanque sea enterrado o semienterrado la inspección se debe efectuar antes de proceder al relleno exterior de los muros.</w:t>
      </w:r>
    </w:p>
    <w:p w14:paraId="7B8422C2" w14:textId="77777777" w:rsidR="001A4860" w:rsidRPr="001A4860" w:rsidRDefault="001A4860" w:rsidP="001A4860">
      <w:pPr>
        <w:rPr>
          <w:rFonts w:eastAsia="Calibri"/>
          <w:szCs w:val="24"/>
          <w:lang w:val="es-ES"/>
        </w:rPr>
      </w:pPr>
    </w:p>
    <w:p w14:paraId="17365EAC" w14:textId="77777777" w:rsidR="001A4860" w:rsidRPr="001A4860" w:rsidRDefault="001A4860" w:rsidP="001A4860">
      <w:pPr>
        <w:jc w:val="left"/>
        <w:rPr>
          <w:rFonts w:eastAsia="Calibri"/>
          <w:b/>
          <w:szCs w:val="24"/>
          <w:lang w:val="es-ES"/>
        </w:rPr>
      </w:pPr>
      <w:bookmarkStart w:id="1605" w:name="_Toc20930097"/>
      <w:r w:rsidRPr="001A4860">
        <w:rPr>
          <w:rFonts w:eastAsia="Calibri"/>
          <w:b/>
          <w:szCs w:val="24"/>
          <w:lang w:val="es-ES"/>
        </w:rPr>
        <w:t>Actividades previas al primer llenado:</w:t>
      </w:r>
      <w:bookmarkEnd w:id="1605"/>
    </w:p>
    <w:p w14:paraId="1BDA9912" w14:textId="77777777" w:rsidR="001A4860" w:rsidRPr="001A4860" w:rsidRDefault="001A4860" w:rsidP="001A4860">
      <w:pPr>
        <w:rPr>
          <w:rFonts w:eastAsia="Calibri"/>
          <w:szCs w:val="24"/>
          <w:lang w:val="es-ES"/>
        </w:rPr>
      </w:pPr>
      <w:r w:rsidRPr="001A4860">
        <w:rPr>
          <w:rFonts w:eastAsia="Calibri"/>
          <w:szCs w:val="24"/>
          <w:lang w:val="es-ES"/>
        </w:rPr>
        <w:t>Limpiar el interior, retirando el escombro, basura y material sedimentable. Verificar las dimensiones, forma, niveles, propiedades del concreto, elementos de sello y acabado de los elementos estructurales, de acuerdo con lo fijado en el proyecto, y compuertas, vertedores de demasías, ventilación y uniones.</w:t>
      </w:r>
    </w:p>
    <w:p w14:paraId="2C2EFDF0" w14:textId="77777777" w:rsidR="001A4860" w:rsidRPr="001A4860" w:rsidRDefault="001A4860" w:rsidP="001A4860">
      <w:pPr>
        <w:jc w:val="left"/>
        <w:rPr>
          <w:rFonts w:eastAsia="Calibri"/>
          <w:szCs w:val="24"/>
          <w:lang w:val="es-ES"/>
        </w:rPr>
      </w:pPr>
    </w:p>
    <w:p w14:paraId="21D0B515" w14:textId="77777777" w:rsidR="001A4860" w:rsidRPr="001A4860" w:rsidRDefault="001A4860" w:rsidP="001A4860">
      <w:pPr>
        <w:jc w:val="left"/>
        <w:rPr>
          <w:rFonts w:eastAsia="Calibri"/>
          <w:b/>
          <w:szCs w:val="24"/>
          <w:lang w:val="es-ES"/>
        </w:rPr>
      </w:pPr>
      <w:bookmarkStart w:id="1606" w:name="_Toc20930098"/>
      <w:r w:rsidRPr="001A4860">
        <w:rPr>
          <w:rFonts w:eastAsia="Calibri"/>
          <w:b/>
          <w:szCs w:val="24"/>
          <w:lang w:val="es-ES"/>
        </w:rPr>
        <w:t>Llenado del tanque.</w:t>
      </w:r>
      <w:bookmarkEnd w:id="1606"/>
    </w:p>
    <w:p w14:paraId="5EBFB8C0" w14:textId="77777777" w:rsidR="001A4860" w:rsidRPr="001A4860" w:rsidRDefault="001A4860" w:rsidP="001A4860">
      <w:pPr>
        <w:rPr>
          <w:rFonts w:eastAsia="Calibri"/>
          <w:szCs w:val="24"/>
          <w:lang w:val="es-ES"/>
        </w:rPr>
      </w:pPr>
      <w:r w:rsidRPr="001A4860">
        <w:rPr>
          <w:rFonts w:eastAsia="Calibri"/>
          <w:szCs w:val="24"/>
          <w:lang w:val="es-ES"/>
        </w:rPr>
        <w:t>El primer llenado del tanque se debe efectuar en forma gradual de la siguiente manera:</w:t>
      </w:r>
    </w:p>
    <w:p w14:paraId="7C1F7A95" w14:textId="77777777" w:rsidR="001A4860" w:rsidRPr="001A4860" w:rsidRDefault="001A4860" w:rsidP="001A4860">
      <w:pPr>
        <w:spacing w:after="160" w:line="259" w:lineRule="auto"/>
        <w:jc w:val="left"/>
        <w:rPr>
          <w:rFonts w:eastAsia="Calibri"/>
          <w:szCs w:val="24"/>
          <w:lang w:val="es-ES"/>
        </w:rPr>
      </w:pPr>
      <w:r w:rsidRPr="001A4860">
        <w:rPr>
          <w:rFonts w:eastAsia="Calibri"/>
          <w:szCs w:val="24"/>
          <w:lang w:val="es-ES"/>
        </w:rPr>
        <w:br w:type="page"/>
      </w:r>
    </w:p>
    <w:p w14:paraId="5EAEA85A" w14:textId="77777777" w:rsidR="001A4860" w:rsidRPr="001A4860" w:rsidRDefault="001A4860" w:rsidP="001A4860">
      <w:pPr>
        <w:rPr>
          <w:rFonts w:eastAsia="Calibri"/>
          <w:szCs w:val="24"/>
          <w:lang w:val="es-ES"/>
        </w:rPr>
      </w:pPr>
    </w:p>
    <w:p w14:paraId="6D7D7935" w14:textId="77777777" w:rsidR="001A4860" w:rsidRPr="001A4860" w:rsidRDefault="001A4860" w:rsidP="001A4860">
      <w:pPr>
        <w:rPr>
          <w:rFonts w:eastAsia="Calibri"/>
          <w:szCs w:val="24"/>
          <w:lang w:val="es-ES"/>
        </w:rPr>
      </w:pPr>
      <w:r w:rsidRPr="001A4860">
        <w:rPr>
          <w:rFonts w:eastAsia="Calibri"/>
          <w:szCs w:val="24"/>
          <w:lang w:val="es-ES"/>
        </w:rPr>
        <w:t>A una tercera parte de su capacidad;</w:t>
      </w:r>
    </w:p>
    <w:p w14:paraId="019FD168" w14:textId="77777777" w:rsidR="001A4860" w:rsidRPr="001A4860" w:rsidRDefault="001A4860" w:rsidP="001A4860">
      <w:pPr>
        <w:rPr>
          <w:rFonts w:eastAsia="Calibri"/>
          <w:szCs w:val="24"/>
          <w:lang w:val="es-ES"/>
        </w:rPr>
      </w:pPr>
      <w:r w:rsidRPr="001A4860">
        <w:rPr>
          <w:rFonts w:eastAsia="Calibri"/>
          <w:szCs w:val="24"/>
          <w:lang w:val="es-ES"/>
        </w:rPr>
        <w:t>A dos terceras partes de su capacidad,</w:t>
      </w:r>
    </w:p>
    <w:p w14:paraId="6B312CAA" w14:textId="77777777" w:rsidR="001A4860" w:rsidRPr="001A4860" w:rsidRDefault="001A4860" w:rsidP="001A4860">
      <w:pPr>
        <w:rPr>
          <w:rFonts w:eastAsia="Calibri"/>
          <w:szCs w:val="24"/>
          <w:lang w:val="es-ES"/>
        </w:rPr>
      </w:pPr>
      <w:r w:rsidRPr="001A4860">
        <w:rPr>
          <w:rFonts w:eastAsia="Calibri"/>
          <w:szCs w:val="24"/>
          <w:lang w:val="es-ES"/>
        </w:rPr>
        <w:t>A la capacidad del tanque.</w:t>
      </w:r>
    </w:p>
    <w:p w14:paraId="588B6434" w14:textId="77777777" w:rsidR="001A4860" w:rsidRPr="001A4860" w:rsidRDefault="001A4860" w:rsidP="001A4860">
      <w:pPr>
        <w:rPr>
          <w:rFonts w:eastAsia="Calibri"/>
          <w:szCs w:val="24"/>
          <w:lang w:val="es-ES"/>
        </w:rPr>
      </w:pPr>
    </w:p>
    <w:p w14:paraId="768FFA3A" w14:textId="77777777" w:rsidR="001A4860" w:rsidRPr="001A4860" w:rsidRDefault="001A4860" w:rsidP="001A4860">
      <w:pPr>
        <w:rPr>
          <w:rFonts w:eastAsia="Calibri"/>
          <w:szCs w:val="24"/>
          <w:lang w:val="es-ES"/>
        </w:rPr>
      </w:pPr>
      <w:r w:rsidRPr="001A4860">
        <w:rPr>
          <w:rFonts w:eastAsia="Calibri"/>
          <w:szCs w:val="24"/>
          <w:lang w:val="es-ES"/>
        </w:rPr>
        <w:t>En cada etapa de llenado se debe efectuar una inspección visual para verificar que no se presentan fugas visibles y que la estructura no presente grietas, corrimientos y deformaciones mayores que las permisibles.</w:t>
      </w:r>
    </w:p>
    <w:p w14:paraId="0C7F6D06" w14:textId="77777777" w:rsidR="001A4860" w:rsidRPr="001A4860" w:rsidRDefault="001A4860" w:rsidP="001A4860">
      <w:pPr>
        <w:rPr>
          <w:rFonts w:eastAsia="Calibri"/>
          <w:szCs w:val="24"/>
          <w:lang w:val="es-ES"/>
        </w:rPr>
      </w:pPr>
    </w:p>
    <w:p w14:paraId="0F862CAA" w14:textId="77777777" w:rsidR="001A4860" w:rsidRPr="001A4860" w:rsidRDefault="001A4860" w:rsidP="001A4860">
      <w:pPr>
        <w:rPr>
          <w:rFonts w:eastAsia="Calibri"/>
          <w:szCs w:val="24"/>
          <w:lang w:val="es-ES"/>
        </w:rPr>
      </w:pPr>
      <w:r w:rsidRPr="001A4860">
        <w:rPr>
          <w:rFonts w:eastAsia="Calibri"/>
          <w:szCs w:val="24"/>
          <w:lang w:val="es-ES"/>
        </w:rPr>
        <w:t>Si el tanque muestra un buen comportamiento en cada etapa se puede continuar con la siguiente, en caso contrario se debe proceder al vaciado y reparación.</w:t>
      </w:r>
    </w:p>
    <w:p w14:paraId="296C330D" w14:textId="77777777" w:rsidR="001A4860" w:rsidRPr="001A4860" w:rsidRDefault="001A4860" w:rsidP="001A4860">
      <w:pPr>
        <w:jc w:val="left"/>
        <w:rPr>
          <w:rFonts w:eastAsia="Calibri"/>
          <w:szCs w:val="24"/>
          <w:lang w:val="es-ES"/>
        </w:rPr>
      </w:pPr>
    </w:p>
    <w:p w14:paraId="36EF4387" w14:textId="77777777" w:rsidR="001A4860" w:rsidRPr="001A4860" w:rsidRDefault="001A4860" w:rsidP="001A4860">
      <w:pPr>
        <w:jc w:val="left"/>
        <w:rPr>
          <w:rFonts w:eastAsia="Calibri"/>
          <w:b/>
          <w:szCs w:val="24"/>
          <w:lang w:val="es-ES"/>
        </w:rPr>
      </w:pPr>
      <w:bookmarkStart w:id="1607" w:name="_Toc20930099"/>
      <w:r w:rsidRPr="001A4860">
        <w:rPr>
          <w:rFonts w:eastAsia="Calibri"/>
          <w:b/>
          <w:szCs w:val="24"/>
          <w:lang w:val="es-ES"/>
        </w:rPr>
        <w:t>Prueba de estanquidad</w:t>
      </w:r>
      <w:bookmarkEnd w:id="1607"/>
    </w:p>
    <w:p w14:paraId="13FE68AA" w14:textId="77777777" w:rsidR="001A4860" w:rsidRPr="001A4860" w:rsidRDefault="001A4860" w:rsidP="001A4860">
      <w:pPr>
        <w:rPr>
          <w:rFonts w:eastAsia="Calibri"/>
          <w:szCs w:val="24"/>
          <w:lang w:val="es-ES"/>
        </w:rPr>
      </w:pPr>
      <w:r w:rsidRPr="001A4860">
        <w:rPr>
          <w:rFonts w:eastAsia="Calibri"/>
          <w:szCs w:val="24"/>
          <w:lang w:val="es-ES"/>
        </w:rPr>
        <w:t>El tanque se debe mantener lleno durante tres días (72 horas) antes de iniciar la prueba. El descenso en el nivel del líquido se medirá durante los siguientes cinco días para determinar la filtración diaria promedio tomando en cuenta las pérdidas por evaporación. El agua utilizada para la prueba de estanquidad debe ser potable.</w:t>
      </w:r>
    </w:p>
    <w:p w14:paraId="2201F456" w14:textId="77777777" w:rsidR="001A4860" w:rsidRPr="001A4860" w:rsidRDefault="001A4860" w:rsidP="001A4860">
      <w:pPr>
        <w:jc w:val="left"/>
        <w:rPr>
          <w:rFonts w:eastAsia="Calibri"/>
          <w:szCs w:val="24"/>
          <w:lang w:val="es-ES"/>
        </w:rPr>
      </w:pPr>
    </w:p>
    <w:p w14:paraId="40075205" w14:textId="77777777" w:rsidR="001A4860" w:rsidRPr="001A4860" w:rsidRDefault="001A4860" w:rsidP="001A4860">
      <w:pPr>
        <w:rPr>
          <w:rFonts w:eastAsia="Calibri"/>
          <w:szCs w:val="24"/>
          <w:lang w:val="es-ES"/>
        </w:rPr>
      </w:pPr>
      <w:r w:rsidRPr="001A4860">
        <w:rPr>
          <w:rFonts w:eastAsia="Calibri"/>
          <w:szCs w:val="24"/>
          <w:lang w:val="es-ES"/>
        </w:rPr>
        <w:t>Las filtraciones en un período de 24 horas no deben ser mayores de 0,05% del volumen del tanque.</w:t>
      </w:r>
    </w:p>
    <w:p w14:paraId="73E26E4B" w14:textId="77777777" w:rsidR="001A4860" w:rsidRPr="001A4860" w:rsidRDefault="001A4860" w:rsidP="001A4860">
      <w:pPr>
        <w:rPr>
          <w:rFonts w:eastAsia="Calibri"/>
          <w:szCs w:val="24"/>
          <w:lang w:val="es-ES"/>
        </w:rPr>
      </w:pPr>
    </w:p>
    <w:p w14:paraId="50AE2357" w14:textId="77777777" w:rsidR="001A4860" w:rsidRPr="001A4860" w:rsidRDefault="001A4860" w:rsidP="001A4860">
      <w:pPr>
        <w:rPr>
          <w:rFonts w:eastAsia="Calibri"/>
          <w:szCs w:val="24"/>
          <w:lang w:val="es-ES"/>
        </w:rPr>
      </w:pPr>
      <w:r w:rsidRPr="001A4860">
        <w:rPr>
          <w:rFonts w:eastAsia="Calibri"/>
          <w:szCs w:val="24"/>
          <w:lang w:val="es-ES"/>
        </w:rPr>
        <w:t>Son inaceptables las filtraciones que tengan como resultado un escurrimiento visible.</w:t>
      </w:r>
    </w:p>
    <w:p w14:paraId="438E9041" w14:textId="77777777" w:rsidR="001A4860" w:rsidRPr="001A4860" w:rsidRDefault="001A4860" w:rsidP="001A4860">
      <w:pPr>
        <w:rPr>
          <w:rFonts w:eastAsia="Calibri"/>
          <w:szCs w:val="24"/>
          <w:lang w:val="es-ES"/>
        </w:rPr>
      </w:pPr>
      <w:r w:rsidRPr="001A4860">
        <w:rPr>
          <w:rFonts w:eastAsia="Calibri"/>
          <w:szCs w:val="24"/>
          <w:lang w:val="es-ES"/>
        </w:rPr>
        <w:t>Si al efectuar la inspección visual, se observa una falla o algún otro defecto que no pase la prueba de estanquidad, se deberán llevar a cabo las reparaciones necesarias.</w:t>
      </w:r>
    </w:p>
    <w:p w14:paraId="4F40EAAC" w14:textId="77777777" w:rsidR="001A4860" w:rsidRPr="001A4860" w:rsidRDefault="001A4860" w:rsidP="001A4860">
      <w:pPr>
        <w:rPr>
          <w:rFonts w:eastAsia="Calibri"/>
          <w:szCs w:val="24"/>
          <w:lang w:val="es-ES"/>
        </w:rPr>
      </w:pPr>
    </w:p>
    <w:p w14:paraId="0877B941" w14:textId="77777777" w:rsidR="001A4860" w:rsidRPr="001A4860" w:rsidRDefault="001A4860" w:rsidP="001A4860">
      <w:pPr>
        <w:rPr>
          <w:rFonts w:eastAsia="Calibri"/>
          <w:szCs w:val="24"/>
          <w:lang w:val="es-ES"/>
        </w:rPr>
      </w:pPr>
      <w:r w:rsidRPr="001A4860">
        <w:rPr>
          <w:rFonts w:eastAsia="Calibri"/>
          <w:szCs w:val="24"/>
          <w:lang w:val="es-ES"/>
        </w:rPr>
        <w:t>Después de efectuar las reparaciones, el tanque debe probarse nuevamente para confirmar que cumple con los criterios de estanquidad.</w:t>
      </w:r>
    </w:p>
    <w:p w14:paraId="740AB43F" w14:textId="77777777" w:rsidR="001A4860" w:rsidRPr="001A4860" w:rsidRDefault="001A4860" w:rsidP="001A4860">
      <w:pPr>
        <w:jc w:val="left"/>
        <w:rPr>
          <w:rFonts w:eastAsia="Calibri"/>
          <w:szCs w:val="24"/>
          <w:lang w:val="es-ES"/>
        </w:rPr>
      </w:pPr>
    </w:p>
    <w:p w14:paraId="59B1D995" w14:textId="77777777" w:rsidR="001A4860" w:rsidRPr="001A4860" w:rsidRDefault="001A4860" w:rsidP="001A4860">
      <w:pPr>
        <w:rPr>
          <w:rFonts w:eastAsia="Calibri"/>
          <w:b/>
          <w:szCs w:val="24"/>
          <w:lang w:val="es-ES"/>
        </w:rPr>
      </w:pPr>
      <w:r w:rsidRPr="001A4860">
        <w:rPr>
          <w:rFonts w:eastAsia="Calibri"/>
          <w:b/>
          <w:szCs w:val="24"/>
          <w:lang w:val="es-ES"/>
        </w:rPr>
        <w:t>FUENTE Y OBRA DE TOMA – ESPECIFICACIONES TÉCNICAS DE PREFILTROS</w:t>
      </w:r>
    </w:p>
    <w:p w14:paraId="16F51D58" w14:textId="77777777" w:rsidR="001A4860" w:rsidRPr="001A4860" w:rsidRDefault="001A4860" w:rsidP="001A4860">
      <w:pPr>
        <w:rPr>
          <w:rFonts w:eastAsia="Calibri"/>
          <w:szCs w:val="24"/>
          <w:lang w:val="es-ES"/>
        </w:rPr>
      </w:pPr>
    </w:p>
    <w:p w14:paraId="5473883E" w14:textId="77777777" w:rsidR="001A4860" w:rsidRPr="001A4860" w:rsidRDefault="001A4860" w:rsidP="001A4860">
      <w:pPr>
        <w:rPr>
          <w:rFonts w:eastAsia="Calibri"/>
          <w:szCs w:val="24"/>
          <w:lang w:val="es-ES"/>
        </w:rPr>
      </w:pPr>
      <w:r w:rsidRPr="001A4860">
        <w:rPr>
          <w:rFonts w:eastAsia="Calibri"/>
          <w:szCs w:val="24"/>
          <w:lang w:val="es-ES"/>
        </w:rPr>
        <w:t xml:space="preserve">El Contratista suministrará todos los materiales, mano de obra, transporte, equipos y en fin todos los servicios conexos necesarios para la realización de los trabajos de construcción del prefiltro. </w:t>
      </w:r>
    </w:p>
    <w:p w14:paraId="6F3E931A" w14:textId="77777777" w:rsidR="001A4860" w:rsidRPr="001A4860" w:rsidRDefault="001A4860" w:rsidP="001A4860">
      <w:pPr>
        <w:rPr>
          <w:rFonts w:eastAsia="Calibri"/>
          <w:szCs w:val="24"/>
          <w:lang w:val="es-ES"/>
        </w:rPr>
      </w:pPr>
    </w:p>
    <w:p w14:paraId="4E9E51D1" w14:textId="77777777" w:rsidR="001A4860" w:rsidRPr="001A4860" w:rsidRDefault="001A4860" w:rsidP="001A4860">
      <w:pPr>
        <w:rPr>
          <w:rFonts w:eastAsia="Calibri"/>
          <w:spacing w:val="-3"/>
          <w:szCs w:val="24"/>
          <w:lang w:val="es-ES"/>
        </w:rPr>
      </w:pPr>
      <w:r w:rsidRPr="001A4860">
        <w:rPr>
          <w:rFonts w:eastAsia="Calibri"/>
          <w:szCs w:val="24"/>
          <w:lang w:val="es-ES"/>
        </w:rPr>
        <w:t>Para la ejecución del trabajo, el Contratista deberá utilizar los métodos constructivos de carácter general señalados en estas especificaciones y atender los señalamientos particulares del Ingeniero Supervisor</w:t>
      </w:r>
      <w:r w:rsidRPr="001A4860">
        <w:rPr>
          <w:rFonts w:eastAsia="Calibri"/>
          <w:spacing w:val="-3"/>
          <w:szCs w:val="24"/>
          <w:lang w:val="es-ES"/>
        </w:rPr>
        <w:t xml:space="preserve">. </w:t>
      </w:r>
    </w:p>
    <w:p w14:paraId="2AB5A50E" w14:textId="77777777" w:rsidR="001A4860" w:rsidRPr="001A4860" w:rsidRDefault="001A4860" w:rsidP="001A4860">
      <w:pPr>
        <w:rPr>
          <w:rFonts w:eastAsia="Calibri"/>
          <w:szCs w:val="24"/>
          <w:lang w:val="es-ES"/>
        </w:rPr>
      </w:pPr>
    </w:p>
    <w:p w14:paraId="1589D3AB" w14:textId="77777777" w:rsidR="001A4860" w:rsidRPr="001A4860" w:rsidRDefault="001A4860" w:rsidP="001A4860">
      <w:pPr>
        <w:rPr>
          <w:rFonts w:eastAsia="Calibri"/>
          <w:szCs w:val="24"/>
          <w:lang w:val="es-ES"/>
        </w:rPr>
      </w:pPr>
      <w:r w:rsidRPr="001A4860">
        <w:rPr>
          <w:rFonts w:eastAsia="Calibri"/>
          <w:szCs w:val="24"/>
          <w:lang w:val="es-ES"/>
        </w:rPr>
        <w:t>Para la construcción de la captación de las aguas superficiales, se construirá una obra de captación con sistema de pretratamiento por medio de filtración descendente. Estará constituida por un dique – toma con dimensionamiento de 8 m de largo y 2 m de altura más un prefiltro descendente con dimensiones de 3.20 m de ancho y 2 m de largo, según se muestra en los planos constructivos.</w:t>
      </w:r>
    </w:p>
    <w:p w14:paraId="638A08D5" w14:textId="77777777" w:rsidR="001A4860" w:rsidRPr="001A4860" w:rsidRDefault="001A4860" w:rsidP="001A4860">
      <w:pPr>
        <w:rPr>
          <w:rFonts w:eastAsia="Calibri"/>
          <w:szCs w:val="24"/>
          <w:lang w:val="es-ES"/>
        </w:rPr>
      </w:pPr>
    </w:p>
    <w:p w14:paraId="4181B8AF" w14:textId="77777777" w:rsidR="001A4860" w:rsidRPr="001A4860" w:rsidRDefault="001A4860" w:rsidP="001A4860">
      <w:pPr>
        <w:rPr>
          <w:rFonts w:eastAsia="Calibri"/>
          <w:szCs w:val="24"/>
          <w:lang w:val="es-ES"/>
        </w:rPr>
      </w:pPr>
      <w:r w:rsidRPr="001A4860">
        <w:rPr>
          <w:rFonts w:eastAsia="Calibri"/>
          <w:szCs w:val="24"/>
          <w:lang w:val="es-ES"/>
        </w:rPr>
        <w:t xml:space="preserve">La losa y paredes del dique – toma será de concreto reforzado de 4000 PSI. Además, se colocará concreto ciclópeo de 2,500 psi debajo de la losa y delantal del dique – toma. </w:t>
      </w:r>
    </w:p>
    <w:p w14:paraId="2896DB3B" w14:textId="77777777" w:rsidR="001A4860" w:rsidRPr="001A4860" w:rsidRDefault="001A4860" w:rsidP="001A4860">
      <w:pPr>
        <w:rPr>
          <w:rFonts w:eastAsia="Calibri"/>
          <w:szCs w:val="24"/>
          <w:lang w:val="es-ES"/>
        </w:rPr>
      </w:pPr>
    </w:p>
    <w:p w14:paraId="3E652F1D" w14:textId="77777777" w:rsidR="001A4860" w:rsidRPr="001A4860" w:rsidRDefault="001A4860" w:rsidP="001A4860">
      <w:pPr>
        <w:rPr>
          <w:rFonts w:eastAsia="Calibri"/>
          <w:szCs w:val="24"/>
          <w:lang w:val="es-ES"/>
        </w:rPr>
      </w:pPr>
      <w:r w:rsidRPr="001A4860">
        <w:rPr>
          <w:rFonts w:eastAsia="Calibri"/>
          <w:szCs w:val="24"/>
          <w:lang w:val="es-ES"/>
        </w:rPr>
        <w:t xml:space="preserve">Luego, el prefiltro estará constituido por material granular con espesor de 20 cm por capa de grava como se muestra en los planos constructivos con los siguientes diámetros: </w:t>
      </w:r>
    </w:p>
    <w:p w14:paraId="4ACD4CB8" w14:textId="77777777" w:rsidR="001A4860" w:rsidRPr="001A4860" w:rsidRDefault="001A4860" w:rsidP="001A4860">
      <w:pPr>
        <w:rPr>
          <w:rFonts w:eastAsia="Calibri"/>
          <w:szCs w:val="24"/>
          <w:lang w:val="es-ES"/>
        </w:rPr>
      </w:pPr>
    </w:p>
    <w:p w14:paraId="4104F8E0"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Capa 1: Ø 50 mm</w:t>
      </w:r>
    </w:p>
    <w:p w14:paraId="76CC6E88"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Capa 2: Ø 13 mm a 25 mm</w:t>
      </w:r>
    </w:p>
    <w:p w14:paraId="1BB94A59"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Capa 3: Ø 6 mm a 13 mm</w:t>
      </w:r>
    </w:p>
    <w:p w14:paraId="2E660463"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Capa 4: Ø 3 mm a 6 mm</w:t>
      </w:r>
    </w:p>
    <w:p w14:paraId="1AC30B74" w14:textId="77777777" w:rsidR="001A4860" w:rsidRPr="001A4860" w:rsidRDefault="001A4860" w:rsidP="001A4860">
      <w:pPr>
        <w:rPr>
          <w:rFonts w:eastAsia="Calibri"/>
          <w:szCs w:val="24"/>
          <w:lang w:val="es-ES"/>
        </w:rPr>
      </w:pPr>
    </w:p>
    <w:p w14:paraId="479B318A" w14:textId="77777777" w:rsidR="001A4860" w:rsidRPr="001A4860" w:rsidRDefault="001A4860" w:rsidP="001A4860">
      <w:pPr>
        <w:rPr>
          <w:rFonts w:eastAsia="Calibri"/>
          <w:szCs w:val="24"/>
          <w:lang w:val="es-ES"/>
        </w:rPr>
      </w:pPr>
      <w:r w:rsidRPr="001A4860">
        <w:rPr>
          <w:rFonts w:eastAsia="Calibri"/>
          <w:szCs w:val="24"/>
          <w:lang w:val="es-ES"/>
        </w:rPr>
        <w:t xml:space="preserve">Además, estará equipado con tubos colectores de PVC SDR 26 de 3 pulgadas de diámetro con 14 perforaciones de 0.5” de diámetro cada una por debajo del lecho de grava y tubos colectores PVC SDR 26 de 2 pulgadas de diámetro en la parte superior de los lechos de grava por donde se captará el agua pasando por los lechos de grava hacia la tubería de 3 pulgadas de diámetro y luego hacia la planta de tratamiento y tanque de almacenamiento.  </w:t>
      </w:r>
    </w:p>
    <w:p w14:paraId="27C85127" w14:textId="77777777" w:rsidR="001A4860" w:rsidRPr="001A4860" w:rsidRDefault="001A4860" w:rsidP="001A4860">
      <w:pPr>
        <w:rPr>
          <w:rFonts w:eastAsia="Calibri"/>
          <w:szCs w:val="24"/>
          <w:lang w:val="es-ES"/>
        </w:rPr>
      </w:pPr>
    </w:p>
    <w:p w14:paraId="4ADE0CB9" w14:textId="77777777" w:rsidR="001A4860" w:rsidRPr="001A4860" w:rsidRDefault="001A4860" w:rsidP="001A4860">
      <w:pPr>
        <w:rPr>
          <w:rFonts w:eastAsia="Calibri"/>
          <w:b/>
          <w:szCs w:val="24"/>
          <w:lang w:val="es-ES"/>
        </w:rPr>
      </w:pPr>
      <w:bookmarkStart w:id="1608" w:name="_Toc20930126"/>
      <w:r w:rsidRPr="001A4860">
        <w:rPr>
          <w:rFonts w:eastAsia="Calibri"/>
          <w:b/>
          <w:szCs w:val="24"/>
          <w:lang w:val="es-ES"/>
        </w:rPr>
        <w:t>ESPECIFICACIONES PLANTA DE TRATAMIENTO DE AGUA POTABLE</w:t>
      </w:r>
      <w:bookmarkEnd w:id="1608"/>
    </w:p>
    <w:p w14:paraId="439B00F4" w14:textId="77777777" w:rsidR="001A4860" w:rsidRPr="001A4860" w:rsidRDefault="001A4860" w:rsidP="001A4860">
      <w:pPr>
        <w:rPr>
          <w:rFonts w:eastAsia="Calibri"/>
          <w:szCs w:val="24"/>
          <w:lang w:val="es-ES"/>
        </w:rPr>
      </w:pPr>
    </w:p>
    <w:p w14:paraId="2C807220" w14:textId="77777777" w:rsidR="001A4860" w:rsidRPr="001A4860" w:rsidRDefault="001A4860" w:rsidP="001A4860">
      <w:pPr>
        <w:rPr>
          <w:rFonts w:eastAsia="Calibri"/>
          <w:b/>
          <w:szCs w:val="24"/>
          <w:lang w:val="es-ES"/>
        </w:rPr>
      </w:pPr>
      <w:r w:rsidRPr="001A4860">
        <w:rPr>
          <w:rFonts w:eastAsia="Calibri"/>
          <w:b/>
          <w:szCs w:val="24"/>
          <w:lang w:val="es-ES"/>
        </w:rPr>
        <w:t>DATOS DE DISEÑO</w:t>
      </w:r>
    </w:p>
    <w:p w14:paraId="56A6F52A" w14:textId="77777777" w:rsidR="001A4860" w:rsidRPr="001A4860" w:rsidRDefault="001A4860" w:rsidP="001A4860">
      <w:pPr>
        <w:rPr>
          <w:rFonts w:eastAsia="Calibri"/>
          <w:szCs w:val="24"/>
          <w:lang w:val="es-ES"/>
        </w:rPr>
      </w:pPr>
    </w:p>
    <w:p w14:paraId="5E18274B" w14:textId="77777777" w:rsidR="001A4860" w:rsidRPr="001A4860" w:rsidRDefault="001A4860" w:rsidP="001A4860">
      <w:pPr>
        <w:rPr>
          <w:rFonts w:eastAsia="Calibri"/>
          <w:szCs w:val="24"/>
          <w:lang w:val="es-ES"/>
        </w:rPr>
      </w:pPr>
      <w:r w:rsidRPr="001A4860">
        <w:rPr>
          <w:rFonts w:eastAsia="Calibri"/>
          <w:szCs w:val="24"/>
          <w:lang w:val="es-ES"/>
        </w:rPr>
        <w:t>Caudal Nominal: 9.54 m³/hr</w:t>
      </w:r>
    </w:p>
    <w:p w14:paraId="5FA85CAF" w14:textId="77777777" w:rsidR="001A4860" w:rsidRPr="001A4860" w:rsidRDefault="001A4860" w:rsidP="001A4860">
      <w:pPr>
        <w:rPr>
          <w:rFonts w:eastAsia="Calibri"/>
          <w:szCs w:val="24"/>
          <w:lang w:val="es-ES"/>
        </w:rPr>
      </w:pPr>
      <w:r w:rsidRPr="001A4860">
        <w:rPr>
          <w:rFonts w:eastAsia="Calibri"/>
          <w:szCs w:val="24"/>
          <w:lang w:val="es-ES"/>
        </w:rPr>
        <w:t>Velocidad de Filtrado: 5.0 m/hr</w:t>
      </w:r>
    </w:p>
    <w:p w14:paraId="58F889C1" w14:textId="77777777" w:rsidR="001A4860" w:rsidRPr="001A4860" w:rsidRDefault="001A4860" w:rsidP="001A4860">
      <w:pPr>
        <w:rPr>
          <w:rFonts w:eastAsia="Calibri"/>
          <w:szCs w:val="24"/>
          <w:lang w:val="es-ES"/>
        </w:rPr>
      </w:pPr>
      <w:r w:rsidRPr="001A4860">
        <w:rPr>
          <w:rFonts w:eastAsia="Calibri"/>
          <w:szCs w:val="24"/>
          <w:lang w:val="es-ES"/>
        </w:rPr>
        <w:t>Caudal de Retrolavado: 9.54 m</w:t>
      </w:r>
      <w:r w:rsidRPr="001A4860">
        <w:rPr>
          <w:rFonts w:ascii="Calibri" w:eastAsia="Calibri" w:hAnsi="Calibri"/>
          <w:szCs w:val="24"/>
          <w:lang w:val="es-ES"/>
        </w:rPr>
        <w:t>³</w:t>
      </w:r>
      <w:r w:rsidRPr="001A4860">
        <w:rPr>
          <w:rFonts w:eastAsia="Calibri"/>
          <w:szCs w:val="24"/>
          <w:lang w:val="es-ES"/>
        </w:rPr>
        <w:t>/h</w:t>
      </w:r>
    </w:p>
    <w:p w14:paraId="51C98555" w14:textId="77777777" w:rsidR="001A4860" w:rsidRPr="001A4860" w:rsidRDefault="001A4860" w:rsidP="001A4860">
      <w:pPr>
        <w:rPr>
          <w:rFonts w:eastAsia="Calibri"/>
          <w:szCs w:val="24"/>
          <w:lang w:val="es-ES"/>
        </w:rPr>
      </w:pPr>
      <w:r w:rsidRPr="001A4860">
        <w:rPr>
          <w:rFonts w:eastAsia="Calibri"/>
          <w:szCs w:val="24"/>
          <w:lang w:val="es-ES"/>
        </w:rPr>
        <w:t>Presión mínima_Operación requerida:  20 PSI</w:t>
      </w:r>
    </w:p>
    <w:p w14:paraId="3B0CEE03" w14:textId="77777777" w:rsidR="001A4860" w:rsidRPr="001A4860" w:rsidRDefault="001A4860" w:rsidP="001A4860">
      <w:pPr>
        <w:rPr>
          <w:rFonts w:eastAsia="Calibri"/>
          <w:szCs w:val="24"/>
          <w:lang w:val="es-ES"/>
        </w:rPr>
      </w:pPr>
      <w:r w:rsidRPr="001A4860">
        <w:rPr>
          <w:rFonts w:eastAsia="Calibri"/>
          <w:szCs w:val="24"/>
          <w:lang w:val="es-ES"/>
        </w:rPr>
        <w:t>Presión máxima_Operación requerida:  70 PSI</w:t>
      </w:r>
    </w:p>
    <w:p w14:paraId="7A13C4A6" w14:textId="77777777" w:rsidR="001A4860" w:rsidRPr="001A4860" w:rsidRDefault="001A4860" w:rsidP="001A4860">
      <w:pPr>
        <w:rPr>
          <w:rFonts w:eastAsia="Calibri"/>
          <w:szCs w:val="24"/>
          <w:lang w:val="es-ES"/>
        </w:rPr>
      </w:pPr>
    </w:p>
    <w:p w14:paraId="636C1328" w14:textId="77777777" w:rsidR="001A4860" w:rsidRPr="001A4860" w:rsidRDefault="001A4860" w:rsidP="001A4860">
      <w:pPr>
        <w:rPr>
          <w:rFonts w:eastAsia="Calibri"/>
          <w:b/>
          <w:szCs w:val="24"/>
          <w:lang w:val="es-ES"/>
        </w:rPr>
      </w:pPr>
      <w:r w:rsidRPr="001A4860">
        <w:rPr>
          <w:rFonts w:eastAsia="Calibri"/>
          <w:b/>
          <w:szCs w:val="24"/>
          <w:lang w:val="es-ES"/>
        </w:rPr>
        <w:t>COMPONENTES DEL SISTEMA</w:t>
      </w:r>
    </w:p>
    <w:p w14:paraId="4427D34D" w14:textId="77777777" w:rsidR="001A4860" w:rsidRPr="001A4860" w:rsidRDefault="001A4860" w:rsidP="001A4860">
      <w:pPr>
        <w:rPr>
          <w:rFonts w:eastAsia="Calibri"/>
          <w:szCs w:val="24"/>
          <w:lang w:val="es-ES"/>
        </w:rPr>
      </w:pPr>
    </w:p>
    <w:p w14:paraId="46E20EC8" w14:textId="77777777" w:rsidR="001A4860" w:rsidRPr="001A4860" w:rsidRDefault="001A4860" w:rsidP="001A4860">
      <w:pPr>
        <w:rPr>
          <w:rFonts w:eastAsia="Calibri"/>
          <w:szCs w:val="24"/>
          <w:lang w:val="es-ES"/>
        </w:rPr>
      </w:pPr>
      <w:r w:rsidRPr="001A4860">
        <w:rPr>
          <w:rFonts w:eastAsia="Calibri"/>
          <w:szCs w:val="24"/>
          <w:lang w:val="es-ES"/>
        </w:rPr>
        <w:t>La planta de tratamiento contempla los siguientes componentes:</w:t>
      </w:r>
    </w:p>
    <w:p w14:paraId="695DF861" w14:textId="77777777" w:rsidR="001A4860" w:rsidRPr="001A4860" w:rsidRDefault="001A4860" w:rsidP="001A4860">
      <w:pPr>
        <w:rPr>
          <w:rFonts w:eastAsia="Calibri"/>
          <w:szCs w:val="24"/>
          <w:lang w:val="es-ES"/>
        </w:rPr>
      </w:pPr>
    </w:p>
    <w:p w14:paraId="550E8664"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03 filtros de media de diámetro 36”.</w:t>
      </w:r>
    </w:p>
    <w:p w14:paraId="29468C69"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Válvulas de diámetro 2”.</w:t>
      </w:r>
    </w:p>
    <w:p w14:paraId="12856912"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 xml:space="preserve">Lote de accesorios de PVC. </w:t>
      </w:r>
    </w:p>
    <w:p w14:paraId="231C919C"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Manómetro Entrada/Salida.</w:t>
      </w:r>
    </w:p>
    <w:p w14:paraId="1A0ADEBF"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Ventosa.</w:t>
      </w:r>
    </w:p>
    <w:p w14:paraId="2E100D65"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Niplería PVC SDR 17.</w:t>
      </w:r>
    </w:p>
    <w:p w14:paraId="38DEA486"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 xml:space="preserve">Bomba dosificadora de sulfato de aluminio. </w:t>
      </w:r>
    </w:p>
    <w:p w14:paraId="505A716F"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Hipoclorador de plástico de capacidad 33 galones.</w:t>
      </w:r>
    </w:p>
    <w:p w14:paraId="38BE977A"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20 kg de sulfato de aluminio.</w:t>
      </w:r>
    </w:p>
    <w:p w14:paraId="02C5E93C"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 xml:space="preserve">Medias filtrantes: </w:t>
      </w:r>
      <m:oMath>
        <m:sSup>
          <m:sSupPr>
            <m:ctrlPr>
              <w:rPr>
                <w:rFonts w:ascii="Cambria Math" w:eastAsia="Calibri" w:hAnsi="Cambria Math"/>
                <w:i/>
                <w:szCs w:val="24"/>
                <w:lang w:val="es-NI"/>
              </w:rPr>
            </m:ctrlPr>
          </m:sSupPr>
          <m:e>
            <m:r>
              <w:rPr>
                <w:rFonts w:ascii="Cambria Math" w:eastAsia="Calibri" w:hAnsi="Cambria Math"/>
                <w:szCs w:val="24"/>
                <w:lang w:val="es-NI"/>
              </w:rPr>
              <m:t>Micro-Z</m:t>
            </m:r>
          </m:e>
          <m:sup>
            <m:r>
              <w:rPr>
                <w:rFonts w:ascii="Cambria Math" w:eastAsia="Calibri" w:hAnsi="Cambria Math"/>
                <w:szCs w:val="24"/>
                <w:lang w:val="es-NI"/>
              </w:rPr>
              <m:t>TM</m:t>
            </m:r>
          </m:sup>
        </m:sSup>
      </m:oMath>
      <w:r w:rsidRPr="001A4860">
        <w:rPr>
          <w:rFonts w:eastAsia="Calibri"/>
          <w:szCs w:val="24"/>
          <w:lang w:val="es-NI"/>
        </w:rPr>
        <w:t xml:space="preserve"> más </w:t>
      </w:r>
      <m:oMath>
        <m:sSup>
          <m:sSupPr>
            <m:ctrlPr>
              <w:rPr>
                <w:rFonts w:ascii="Cambria Math" w:eastAsia="Calibri" w:hAnsi="Cambria Math"/>
                <w:i/>
                <w:szCs w:val="24"/>
                <w:lang w:val="es-NI"/>
              </w:rPr>
            </m:ctrlPr>
          </m:sSupPr>
          <m:e>
            <m:r>
              <w:rPr>
                <w:rFonts w:ascii="Cambria Math" w:eastAsia="Calibri" w:hAnsi="Cambria Math"/>
                <w:szCs w:val="24"/>
                <w:lang w:val="es-NI"/>
              </w:rPr>
              <m:t>Filox-R</m:t>
            </m:r>
          </m:e>
          <m:sup>
            <m:r>
              <w:rPr>
                <w:rFonts w:ascii="Cambria Math" w:eastAsia="Calibri" w:hAnsi="Cambria Math"/>
                <w:szCs w:val="24"/>
                <w:lang w:val="es-NI"/>
              </w:rPr>
              <m:t>TM</m:t>
            </m:r>
          </m:sup>
        </m:sSup>
      </m:oMath>
      <w:r w:rsidRPr="001A4860">
        <w:rPr>
          <w:rFonts w:eastAsia="Calibri"/>
          <w:szCs w:val="24"/>
          <w:lang w:val="es-NI"/>
        </w:rPr>
        <w:t xml:space="preserve"> más Arena Soporte.</w:t>
      </w:r>
    </w:p>
    <w:p w14:paraId="7D9141F7" w14:textId="77777777" w:rsidR="001A4860" w:rsidRPr="001A4860" w:rsidRDefault="001A4860" w:rsidP="001A4860">
      <w:pPr>
        <w:ind w:left="360"/>
        <w:rPr>
          <w:rFonts w:eastAsia="Calibri"/>
          <w:szCs w:val="24"/>
          <w:lang w:val="es-NI"/>
        </w:rPr>
      </w:pPr>
    </w:p>
    <w:p w14:paraId="489C9027" w14:textId="77777777" w:rsidR="001A4860" w:rsidRPr="001A4860" w:rsidRDefault="001A4860" w:rsidP="001A4860">
      <w:pPr>
        <w:rPr>
          <w:rFonts w:eastAsia="Calibri"/>
          <w:b/>
          <w:szCs w:val="24"/>
          <w:lang w:val="es-ES" w:eastAsia="en-GB"/>
        </w:rPr>
      </w:pPr>
      <w:r w:rsidRPr="001A4860">
        <w:rPr>
          <w:rFonts w:eastAsia="Calibri"/>
          <w:b/>
          <w:szCs w:val="24"/>
          <w:lang w:val="es-ES" w:eastAsia="en-GB"/>
        </w:rPr>
        <w:t>Hipoclorador de carga constante y sulfato de aluminio.</w:t>
      </w:r>
    </w:p>
    <w:p w14:paraId="3952F678" w14:textId="77777777" w:rsidR="001A4860" w:rsidRPr="001A4860" w:rsidRDefault="001A4860" w:rsidP="001A4860">
      <w:pPr>
        <w:rPr>
          <w:rFonts w:eastAsia="Calibri"/>
          <w:szCs w:val="24"/>
          <w:lang w:val="es-ES" w:eastAsia="en-GB"/>
        </w:rPr>
      </w:pPr>
      <w:r w:rsidRPr="001A4860">
        <w:rPr>
          <w:rFonts w:eastAsia="Calibri"/>
          <w:szCs w:val="24"/>
          <w:lang w:val="es-ES" w:eastAsia="en-GB"/>
        </w:rPr>
        <w:t xml:space="preserve">Estos dosificadores van a inyectar los productos químicos necesarios para la coagulación/ floculación y desinfección final del agua tratada. </w:t>
      </w:r>
    </w:p>
    <w:p w14:paraId="3EC62C51" w14:textId="77777777" w:rsidR="001A4860" w:rsidRPr="001A4860" w:rsidRDefault="001A4860" w:rsidP="001A4860">
      <w:pPr>
        <w:spacing w:after="160" w:line="259" w:lineRule="auto"/>
        <w:jc w:val="left"/>
        <w:rPr>
          <w:rFonts w:eastAsia="Calibri"/>
          <w:szCs w:val="24"/>
          <w:lang w:val="es-ES" w:eastAsia="en-GB"/>
        </w:rPr>
      </w:pPr>
      <w:r w:rsidRPr="001A4860">
        <w:rPr>
          <w:rFonts w:eastAsia="Calibri"/>
          <w:szCs w:val="24"/>
          <w:lang w:val="es-ES" w:eastAsia="en-GB"/>
        </w:rPr>
        <w:br w:type="page"/>
      </w:r>
    </w:p>
    <w:p w14:paraId="539EE748" w14:textId="77777777" w:rsidR="001A4860" w:rsidRPr="001A4860" w:rsidRDefault="001A4860" w:rsidP="001A4860">
      <w:pPr>
        <w:rPr>
          <w:rFonts w:eastAsia="Calibri"/>
          <w:szCs w:val="24"/>
          <w:lang w:val="es-ES" w:eastAsia="en-GB"/>
        </w:rPr>
      </w:pPr>
    </w:p>
    <w:p w14:paraId="121B966B" w14:textId="77777777" w:rsidR="001A4860" w:rsidRPr="001A4860" w:rsidRDefault="001A4860" w:rsidP="001A4860">
      <w:pPr>
        <w:rPr>
          <w:rFonts w:eastAsia="Calibri"/>
          <w:b/>
          <w:szCs w:val="24"/>
          <w:lang w:val="es-ES" w:eastAsia="en-GB"/>
        </w:rPr>
      </w:pPr>
      <w:r w:rsidRPr="001A4860">
        <w:rPr>
          <w:rFonts w:eastAsia="Calibri"/>
          <w:b/>
          <w:szCs w:val="24"/>
          <w:lang w:val="es-ES" w:eastAsia="en-GB"/>
        </w:rPr>
        <w:t>Prefiltros</w:t>
      </w:r>
    </w:p>
    <w:p w14:paraId="47663181" w14:textId="77777777" w:rsidR="001A4860" w:rsidRPr="001A4860" w:rsidRDefault="001A4860" w:rsidP="001A48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NI" w:eastAsia="en-GB"/>
        </w:rPr>
      </w:pPr>
      <w:r w:rsidRPr="001A4860">
        <w:rPr>
          <w:szCs w:val="24"/>
          <w:lang w:val="es-NI" w:eastAsia="en-GB"/>
        </w:rPr>
        <w:t xml:space="preserve">Está compuesto por 3 filtros de acero, los cuales utilizan un diseño único de una cámara de doble fondo, dividida por una placa de acero reforzada soldada. La cámara superior contiene los medios de grava (o arena), la cámara inferior está vacía y recoge el agua filtrada. La placa está cubierta por difusores de "hongos" que son unidades cónicas de plástico ranuradas. Ellos dispersan el agua de manera uniforme, utilizando eficazmente todo el volumen de medios evitando la ocurrencia de canalización o apelmazamiento cuando se opera correctamente. </w:t>
      </w:r>
    </w:p>
    <w:p w14:paraId="36860944" w14:textId="77777777" w:rsidR="001A4860" w:rsidRPr="001A4860" w:rsidRDefault="001A4860" w:rsidP="001A48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NI" w:eastAsia="en-GB"/>
        </w:rPr>
      </w:pPr>
    </w:p>
    <w:p w14:paraId="4F1E42A7" w14:textId="77777777" w:rsidR="001A4860" w:rsidRPr="001A4860" w:rsidRDefault="001A4860" w:rsidP="001A48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lang w:val="es-NI" w:eastAsia="en-GB"/>
        </w:rPr>
      </w:pPr>
      <w:r w:rsidRPr="001A4860">
        <w:rPr>
          <w:szCs w:val="24"/>
          <w:lang w:val="es-NI" w:eastAsia="en-GB"/>
        </w:rPr>
        <w:t xml:space="preserve">Este filtro es particularmente adecuado para retrolavado - un proceso que involucra la inversión del flujo de agua, causando una expansión turbulenta de los medios como lecho fluidizado. Esto elimina los escombros atrapados de manera efectiva. </w:t>
      </w:r>
    </w:p>
    <w:p w14:paraId="56EFEF69" w14:textId="77777777" w:rsidR="001A4860" w:rsidRPr="001A4860" w:rsidRDefault="001A4860" w:rsidP="001A4860">
      <w:pPr>
        <w:rPr>
          <w:szCs w:val="24"/>
          <w:lang w:val="es-NI" w:eastAsia="en-GB"/>
        </w:rPr>
      </w:pPr>
    </w:p>
    <w:p w14:paraId="4DC07AD1" w14:textId="77777777" w:rsidR="001A4860" w:rsidRPr="001A4860" w:rsidRDefault="001A4860" w:rsidP="001A4860">
      <w:pPr>
        <w:rPr>
          <w:szCs w:val="24"/>
          <w:lang w:val="es-NI" w:eastAsia="en-GB"/>
        </w:rPr>
      </w:pPr>
      <w:r w:rsidRPr="001A4860">
        <w:rPr>
          <w:szCs w:val="24"/>
          <w:lang w:val="es-NI" w:eastAsia="en-GB"/>
        </w:rPr>
        <w:t xml:space="preserve">Estos filtros estarán compuestos por una media filtrante granular permitiendo que las partículas penetren profundamente en la cama de filtración para proveer una filtración superior al aumentar la velocidad del flujo removiendo la turbidez, color y solidos suspendidos (Micro – Z); y una media filtrante para remover el hierro, sulfato de hidrógeno y manganeso (Filox – R).  </w:t>
      </w:r>
    </w:p>
    <w:p w14:paraId="6C347E70" w14:textId="77777777" w:rsidR="001A4860" w:rsidRPr="001A4860" w:rsidRDefault="001A4860" w:rsidP="001A4860">
      <w:pPr>
        <w:jc w:val="left"/>
        <w:rPr>
          <w:rFonts w:eastAsia="Calibri"/>
          <w:szCs w:val="24"/>
          <w:lang w:val="es-ES" w:eastAsia="en-GB"/>
        </w:rPr>
      </w:pPr>
    </w:p>
    <w:p w14:paraId="34E378B6" w14:textId="77777777" w:rsidR="001A4860" w:rsidRPr="001A4860" w:rsidRDefault="001A4860" w:rsidP="001A4860">
      <w:pPr>
        <w:jc w:val="left"/>
        <w:rPr>
          <w:rFonts w:eastAsia="Calibri"/>
          <w:szCs w:val="24"/>
          <w:lang w:val="es-ES" w:eastAsia="en-GB"/>
        </w:rPr>
      </w:pPr>
      <w:r w:rsidRPr="001A4860">
        <w:rPr>
          <w:rFonts w:eastAsia="Calibri"/>
          <w:szCs w:val="24"/>
          <w:lang w:val="es-ES" w:eastAsia="en-GB"/>
        </w:rPr>
        <w:t xml:space="preserve">Los filtros operan de acuerdo con los siguientes parámetros: </w:t>
      </w:r>
    </w:p>
    <w:p w14:paraId="159AB8DC" w14:textId="77777777" w:rsidR="001A4860" w:rsidRPr="001A4860" w:rsidRDefault="001A4860" w:rsidP="003B68DB">
      <w:pPr>
        <w:numPr>
          <w:ilvl w:val="0"/>
          <w:numId w:val="199"/>
        </w:numPr>
        <w:spacing w:after="160" w:line="259" w:lineRule="auto"/>
        <w:contextualSpacing/>
        <w:jc w:val="left"/>
        <w:rPr>
          <w:rFonts w:eastAsia="Calibri"/>
          <w:szCs w:val="24"/>
          <w:lang w:val="es-ES" w:eastAsia="en-GB"/>
        </w:rPr>
      </w:pPr>
      <w:r w:rsidRPr="001A4860">
        <w:rPr>
          <w:rFonts w:eastAsia="Calibri"/>
          <w:szCs w:val="24"/>
          <w:lang w:val="es-ES" w:eastAsia="en-GB"/>
        </w:rPr>
        <w:t>Diámetro de acople: 3”</w:t>
      </w:r>
    </w:p>
    <w:p w14:paraId="6BB2821F"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ES" w:eastAsia="en-GB"/>
        </w:rPr>
        <w:t xml:space="preserve">Medio filtrante: </w:t>
      </w:r>
      <m:oMath>
        <m:sSup>
          <m:sSupPr>
            <m:ctrlPr>
              <w:rPr>
                <w:rFonts w:ascii="Cambria Math" w:eastAsia="Calibri" w:hAnsi="Cambria Math"/>
                <w:i/>
                <w:szCs w:val="24"/>
                <w:lang w:val="es-NI"/>
              </w:rPr>
            </m:ctrlPr>
          </m:sSupPr>
          <m:e>
            <m:r>
              <w:rPr>
                <w:rFonts w:ascii="Cambria Math" w:eastAsia="Calibri" w:hAnsi="Cambria Math"/>
                <w:szCs w:val="24"/>
                <w:lang w:val="es-NI"/>
              </w:rPr>
              <m:t>Micro-Z</m:t>
            </m:r>
          </m:e>
          <m:sup>
            <m:r>
              <w:rPr>
                <w:rFonts w:ascii="Cambria Math" w:eastAsia="Calibri" w:hAnsi="Cambria Math"/>
                <w:szCs w:val="24"/>
                <w:lang w:val="es-NI"/>
              </w:rPr>
              <m:t>TM</m:t>
            </m:r>
          </m:sup>
        </m:sSup>
      </m:oMath>
      <w:r w:rsidRPr="001A4860">
        <w:rPr>
          <w:rFonts w:eastAsia="Calibri"/>
          <w:szCs w:val="24"/>
          <w:lang w:val="es-NI"/>
        </w:rPr>
        <w:t xml:space="preserve"> más </w:t>
      </w:r>
      <m:oMath>
        <m:sSup>
          <m:sSupPr>
            <m:ctrlPr>
              <w:rPr>
                <w:rFonts w:ascii="Cambria Math" w:eastAsia="Calibri" w:hAnsi="Cambria Math"/>
                <w:i/>
                <w:szCs w:val="24"/>
                <w:lang w:val="es-NI"/>
              </w:rPr>
            </m:ctrlPr>
          </m:sSupPr>
          <m:e>
            <m:r>
              <w:rPr>
                <w:rFonts w:ascii="Cambria Math" w:eastAsia="Calibri" w:hAnsi="Cambria Math"/>
                <w:szCs w:val="24"/>
                <w:lang w:val="es-NI"/>
              </w:rPr>
              <m:t>Filox-R</m:t>
            </m:r>
          </m:e>
          <m:sup>
            <m:r>
              <w:rPr>
                <w:rFonts w:ascii="Cambria Math" w:eastAsia="Calibri" w:hAnsi="Cambria Math"/>
                <w:szCs w:val="24"/>
                <w:lang w:val="es-NI"/>
              </w:rPr>
              <m:t>TM</m:t>
            </m:r>
          </m:sup>
        </m:sSup>
      </m:oMath>
      <w:r w:rsidRPr="001A4860">
        <w:rPr>
          <w:rFonts w:eastAsia="Calibri"/>
          <w:szCs w:val="24"/>
          <w:lang w:val="es-NI"/>
        </w:rPr>
        <w:t xml:space="preserve"> más Arena Soporte.</w:t>
      </w:r>
    </w:p>
    <w:p w14:paraId="3A36D3ED" w14:textId="77777777" w:rsidR="001A4860" w:rsidRPr="001A4860" w:rsidRDefault="001A4860" w:rsidP="003B68DB">
      <w:pPr>
        <w:numPr>
          <w:ilvl w:val="0"/>
          <w:numId w:val="200"/>
        </w:numPr>
        <w:spacing w:after="160" w:line="259" w:lineRule="auto"/>
        <w:contextualSpacing/>
        <w:jc w:val="left"/>
        <w:rPr>
          <w:rFonts w:eastAsia="Calibri"/>
          <w:szCs w:val="24"/>
          <w:lang w:val="es-NI"/>
        </w:rPr>
      </w:pPr>
      <w:r w:rsidRPr="001A4860">
        <w:rPr>
          <w:rFonts w:eastAsia="Calibri"/>
          <w:szCs w:val="24"/>
          <w:lang w:val="es-NI"/>
        </w:rPr>
        <w:t>Dimensiones de los filtros:</w:t>
      </w:r>
    </w:p>
    <w:p w14:paraId="646CFDE4" w14:textId="77777777" w:rsidR="001A4860" w:rsidRPr="001A4860" w:rsidRDefault="001A4860" w:rsidP="001A4860">
      <w:pPr>
        <w:rPr>
          <w:rFonts w:eastAsia="Calibri"/>
          <w:szCs w:val="24"/>
          <w:lang w:val="es-ES"/>
        </w:rPr>
      </w:pPr>
    </w:p>
    <w:p w14:paraId="44550904" w14:textId="77777777" w:rsidR="001A4860" w:rsidRPr="001A4860" w:rsidRDefault="001A4860" w:rsidP="001A4860">
      <w:pPr>
        <w:jc w:val="center"/>
        <w:rPr>
          <w:rFonts w:eastAsia="Calibri"/>
          <w:szCs w:val="24"/>
          <w:lang w:val="es-ES"/>
        </w:rPr>
      </w:pPr>
      <w:r w:rsidRPr="001A4860">
        <w:rPr>
          <w:rFonts w:ascii="Calibri" w:eastAsia="Calibri" w:hAnsi="Calibri"/>
          <w:noProof/>
          <w:sz w:val="22"/>
          <w:szCs w:val="22"/>
          <w:lang w:val="es-MX" w:eastAsia="es-MX"/>
        </w:rPr>
        <w:drawing>
          <wp:inline distT="0" distB="0" distL="0" distR="0" wp14:anchorId="3B7BBBDE" wp14:editId="14E2F690">
            <wp:extent cx="5474524" cy="507313"/>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0526" cy="511576"/>
                    </a:xfrm>
                    <a:prstGeom prst="rect">
                      <a:avLst/>
                    </a:prstGeom>
                  </pic:spPr>
                </pic:pic>
              </a:graphicData>
            </a:graphic>
          </wp:inline>
        </w:drawing>
      </w:r>
    </w:p>
    <w:p w14:paraId="0D47BB98"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6219ADA7" wp14:editId="0E27DA7B">
            <wp:extent cx="5480462" cy="253002"/>
            <wp:effectExtent l="0" t="0" r="0" b="0"/>
            <wp:docPr id="21536" name="Imagen 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8151" cy="254742"/>
                    </a:xfrm>
                    <a:prstGeom prst="rect">
                      <a:avLst/>
                    </a:prstGeom>
                  </pic:spPr>
                </pic:pic>
              </a:graphicData>
            </a:graphic>
          </wp:inline>
        </w:drawing>
      </w:r>
    </w:p>
    <w:p w14:paraId="13F4613B" w14:textId="77777777" w:rsidR="001A4860" w:rsidRPr="001A4860" w:rsidRDefault="001A4860" w:rsidP="001A4860">
      <w:pPr>
        <w:jc w:val="center"/>
        <w:rPr>
          <w:rFonts w:eastAsia="Calibri"/>
          <w:szCs w:val="24"/>
          <w:lang w:val="es-ES" w:eastAsia="en-GB"/>
        </w:rPr>
      </w:pPr>
    </w:p>
    <w:p w14:paraId="2142D1F4"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29F548FF" wp14:editId="41FE2DD6">
            <wp:extent cx="1984905" cy="2860158"/>
            <wp:effectExtent l="0" t="0" r="0" b="0"/>
            <wp:docPr id="21537" name="Imagen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293" t="2688" r="6310" b="3554"/>
                    <a:stretch/>
                  </pic:blipFill>
                  <pic:spPr bwMode="auto">
                    <a:xfrm>
                      <a:off x="0" y="0"/>
                      <a:ext cx="2006623" cy="2891452"/>
                    </a:xfrm>
                    <a:prstGeom prst="rect">
                      <a:avLst/>
                    </a:prstGeom>
                    <a:ln>
                      <a:noFill/>
                    </a:ln>
                    <a:extLst>
                      <a:ext uri="{53640926-AAD7-44D8-BBD7-CCE9431645EC}">
                        <a14:shadowObscured xmlns:a14="http://schemas.microsoft.com/office/drawing/2010/main"/>
                      </a:ext>
                    </a:extLst>
                  </pic:spPr>
                </pic:pic>
              </a:graphicData>
            </a:graphic>
          </wp:inline>
        </w:drawing>
      </w:r>
    </w:p>
    <w:p w14:paraId="1B7D35FD" w14:textId="77777777" w:rsidR="001A4860" w:rsidRPr="001A4860" w:rsidRDefault="001A4860" w:rsidP="001A4860">
      <w:pPr>
        <w:spacing w:after="160" w:line="259" w:lineRule="auto"/>
        <w:jc w:val="left"/>
        <w:rPr>
          <w:rFonts w:eastAsia="Calibri"/>
          <w:szCs w:val="24"/>
          <w:lang w:val="es-ES" w:eastAsia="en-GB"/>
        </w:rPr>
      </w:pPr>
      <w:r w:rsidRPr="001A4860">
        <w:rPr>
          <w:rFonts w:eastAsia="Calibri"/>
          <w:szCs w:val="24"/>
          <w:lang w:val="es-ES" w:eastAsia="en-GB"/>
        </w:rPr>
        <w:br w:type="page"/>
      </w:r>
    </w:p>
    <w:p w14:paraId="2D8CF52A" w14:textId="77777777" w:rsidR="001A4860" w:rsidRPr="001A4860" w:rsidRDefault="001A4860" w:rsidP="001A4860">
      <w:pPr>
        <w:jc w:val="center"/>
        <w:rPr>
          <w:rFonts w:eastAsia="Calibri"/>
          <w:szCs w:val="24"/>
          <w:lang w:val="es-ES" w:eastAsia="en-GB"/>
        </w:rPr>
      </w:pPr>
    </w:p>
    <w:p w14:paraId="13A62653" w14:textId="77777777" w:rsidR="001A4860" w:rsidRPr="001A4860" w:rsidRDefault="001A4860" w:rsidP="003B68DB">
      <w:pPr>
        <w:numPr>
          <w:ilvl w:val="0"/>
          <w:numId w:val="199"/>
        </w:numPr>
        <w:spacing w:after="160" w:line="259" w:lineRule="auto"/>
        <w:contextualSpacing/>
        <w:jc w:val="left"/>
        <w:rPr>
          <w:rFonts w:eastAsia="Calibri"/>
          <w:szCs w:val="24"/>
          <w:lang w:val="es-ES" w:eastAsia="en-GB"/>
        </w:rPr>
      </w:pPr>
      <w:r w:rsidRPr="001A4860">
        <w:rPr>
          <w:rFonts w:eastAsia="Calibri"/>
          <w:szCs w:val="24"/>
          <w:lang w:val="es-ES" w:eastAsia="en-GB"/>
        </w:rPr>
        <w:t xml:space="preserve">Tasa de flujo recomendada: </w:t>
      </w:r>
    </w:p>
    <w:p w14:paraId="6818FE5D"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4F31445B" wp14:editId="30183A31">
            <wp:extent cx="5612130" cy="1023620"/>
            <wp:effectExtent l="0" t="0" r="7620" b="5080"/>
            <wp:docPr id="21538" name="Imagen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1023620"/>
                    </a:xfrm>
                    <a:prstGeom prst="rect">
                      <a:avLst/>
                    </a:prstGeom>
                  </pic:spPr>
                </pic:pic>
              </a:graphicData>
            </a:graphic>
          </wp:inline>
        </w:drawing>
      </w:r>
    </w:p>
    <w:p w14:paraId="21E3292D"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2C7D2931" wp14:editId="58A209E7">
            <wp:extent cx="5612130" cy="156845"/>
            <wp:effectExtent l="0" t="0" r="7620" b="0"/>
            <wp:docPr id="21539" name="Imagen 2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56845"/>
                    </a:xfrm>
                    <a:prstGeom prst="rect">
                      <a:avLst/>
                    </a:prstGeom>
                  </pic:spPr>
                </pic:pic>
              </a:graphicData>
            </a:graphic>
          </wp:inline>
        </w:drawing>
      </w:r>
    </w:p>
    <w:p w14:paraId="22AF72B3" w14:textId="77777777" w:rsidR="001A4860" w:rsidRPr="001A4860" w:rsidRDefault="001A4860" w:rsidP="001A4860">
      <w:pPr>
        <w:rPr>
          <w:rFonts w:eastAsia="Calibri"/>
          <w:szCs w:val="24"/>
          <w:lang w:val="es-ES" w:eastAsia="en-GB"/>
        </w:rPr>
      </w:pPr>
    </w:p>
    <w:p w14:paraId="3FCFFE37" w14:textId="77777777" w:rsidR="001A4860" w:rsidRPr="001A4860" w:rsidRDefault="001A4860" w:rsidP="001A4860">
      <w:pPr>
        <w:rPr>
          <w:b/>
          <w:szCs w:val="24"/>
          <w:lang w:val="es-ES"/>
        </w:rPr>
      </w:pPr>
      <w:r w:rsidRPr="001A4860">
        <w:rPr>
          <w:rFonts w:eastAsia="Calibri"/>
          <w:b/>
          <w:szCs w:val="24"/>
          <w:lang w:val="es-ES" w:eastAsia="en-GB"/>
        </w:rPr>
        <w:t>Propiedades físicas y condiciones de operación del</w:t>
      </w:r>
      <w:r w:rsidRPr="001A4860">
        <w:rPr>
          <w:rFonts w:eastAsia="Calibri"/>
          <w:b/>
          <w:szCs w:val="24"/>
          <w:lang w:val="es-ES"/>
        </w:rPr>
        <w:t xml:space="preserve"> </w:t>
      </w:r>
      <m:oMath>
        <m:sSup>
          <m:sSupPr>
            <m:ctrlPr>
              <w:rPr>
                <w:rFonts w:ascii="Cambria Math" w:eastAsia="Calibri" w:hAnsi="Cambria Math"/>
                <w:b/>
                <w:i/>
                <w:szCs w:val="24"/>
                <w:lang w:val="es-ES"/>
              </w:rPr>
            </m:ctrlPr>
          </m:sSupPr>
          <m:e>
            <m:r>
              <m:rPr>
                <m:sty m:val="bi"/>
              </m:rPr>
              <w:rPr>
                <w:rFonts w:ascii="Cambria Math" w:eastAsia="Calibri" w:hAnsi="Cambria Math"/>
                <w:szCs w:val="24"/>
                <w:lang w:val="es-ES"/>
              </w:rPr>
              <m:t>Micro-Z</m:t>
            </m:r>
          </m:e>
          <m:sup>
            <m:r>
              <m:rPr>
                <m:sty m:val="bi"/>
              </m:rPr>
              <w:rPr>
                <w:rFonts w:ascii="Cambria Math" w:eastAsia="Calibri" w:hAnsi="Cambria Math"/>
                <w:szCs w:val="24"/>
                <w:lang w:val="es-ES"/>
              </w:rPr>
              <m:t>TM</m:t>
            </m:r>
          </m:sup>
        </m:sSup>
      </m:oMath>
    </w:p>
    <w:p w14:paraId="29585EDF" w14:textId="77777777" w:rsidR="001A4860" w:rsidRPr="001A4860" w:rsidRDefault="001A4860" w:rsidP="001A4860">
      <w:pPr>
        <w:rPr>
          <w:b/>
          <w:szCs w:val="24"/>
          <w:lang w:val="es-ES"/>
        </w:rPr>
      </w:pPr>
    </w:p>
    <w:p w14:paraId="3E3C5127"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5B62B93C" wp14:editId="75691639">
            <wp:extent cx="3182587" cy="1523955"/>
            <wp:effectExtent l="0" t="0" r="0" b="635"/>
            <wp:docPr id="21540" name="Imagen 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46305" cy="1554466"/>
                    </a:xfrm>
                    <a:prstGeom prst="rect">
                      <a:avLst/>
                    </a:prstGeom>
                  </pic:spPr>
                </pic:pic>
              </a:graphicData>
            </a:graphic>
          </wp:inline>
        </w:drawing>
      </w:r>
    </w:p>
    <w:p w14:paraId="2B020B3A" w14:textId="77777777" w:rsidR="001A4860" w:rsidRPr="001A4860" w:rsidRDefault="001A4860" w:rsidP="001A4860">
      <w:pPr>
        <w:rPr>
          <w:rFonts w:eastAsia="Calibri"/>
          <w:b/>
          <w:szCs w:val="24"/>
          <w:lang w:val="es-ES" w:eastAsia="en-GB"/>
        </w:rPr>
      </w:pPr>
    </w:p>
    <w:p w14:paraId="0875838B" w14:textId="77777777" w:rsidR="001A4860" w:rsidRPr="001A4860" w:rsidRDefault="001A4860" w:rsidP="001A4860">
      <w:pPr>
        <w:rPr>
          <w:rFonts w:eastAsia="Calibri"/>
          <w:b/>
          <w:szCs w:val="24"/>
          <w:lang w:val="es-ES" w:eastAsia="en-GB"/>
        </w:rPr>
      </w:pPr>
      <w:r w:rsidRPr="001A4860">
        <w:rPr>
          <w:rFonts w:eastAsia="Calibri"/>
          <w:b/>
          <w:szCs w:val="24"/>
          <w:lang w:val="es-ES" w:eastAsia="en-GB"/>
        </w:rPr>
        <w:t xml:space="preserve">Condiciones de Operación: </w:t>
      </w:r>
    </w:p>
    <w:p w14:paraId="1F442C50" w14:textId="77777777" w:rsidR="001A4860" w:rsidRPr="001A4860" w:rsidRDefault="001A4860" w:rsidP="003B68DB">
      <w:pPr>
        <w:numPr>
          <w:ilvl w:val="0"/>
          <w:numId w:val="199"/>
        </w:numPr>
        <w:spacing w:after="160" w:line="259" w:lineRule="auto"/>
        <w:contextualSpacing/>
        <w:jc w:val="left"/>
        <w:rPr>
          <w:rFonts w:eastAsia="Calibri"/>
          <w:szCs w:val="24"/>
          <w:lang w:val="es-NI" w:eastAsia="en-GB"/>
        </w:rPr>
      </w:pPr>
      <w:r w:rsidRPr="001A4860">
        <w:rPr>
          <w:rFonts w:eastAsia="Calibri"/>
          <w:szCs w:val="24"/>
          <w:lang w:val="es-NI" w:eastAsia="en-GB"/>
        </w:rPr>
        <w:t>Profundidad de la cama: 36” – 48”.</w:t>
      </w:r>
    </w:p>
    <w:p w14:paraId="1564B11D" w14:textId="77777777" w:rsidR="001A4860" w:rsidRPr="001A4860" w:rsidRDefault="001A4860" w:rsidP="003B68DB">
      <w:pPr>
        <w:numPr>
          <w:ilvl w:val="0"/>
          <w:numId w:val="199"/>
        </w:numPr>
        <w:spacing w:after="160" w:line="259" w:lineRule="auto"/>
        <w:contextualSpacing/>
        <w:jc w:val="left"/>
        <w:rPr>
          <w:rFonts w:eastAsia="Calibri"/>
          <w:szCs w:val="24"/>
          <w:lang w:val="es-NI" w:eastAsia="en-GB"/>
        </w:rPr>
      </w:pPr>
      <w:r w:rsidRPr="001A4860">
        <w:rPr>
          <w:rFonts w:eastAsia="Calibri"/>
          <w:szCs w:val="24"/>
          <w:lang w:val="es-NI" w:eastAsia="en-GB"/>
        </w:rPr>
        <w:t>Area de Expasión: 50% de la profundidad de la cama.</w:t>
      </w:r>
    </w:p>
    <w:p w14:paraId="52EB53EA" w14:textId="77777777" w:rsidR="001A4860" w:rsidRPr="001A4860" w:rsidRDefault="001A4860" w:rsidP="003B68DB">
      <w:pPr>
        <w:numPr>
          <w:ilvl w:val="0"/>
          <w:numId w:val="199"/>
        </w:numPr>
        <w:spacing w:after="160" w:line="259" w:lineRule="auto"/>
        <w:contextualSpacing/>
        <w:jc w:val="left"/>
        <w:rPr>
          <w:rFonts w:eastAsia="Calibri"/>
          <w:szCs w:val="24"/>
          <w:lang w:val="es-NI" w:eastAsia="en-GB"/>
        </w:rPr>
      </w:pPr>
      <w:r w:rsidRPr="001A4860">
        <w:rPr>
          <w:rFonts w:eastAsia="Calibri"/>
          <w:szCs w:val="24"/>
          <w:lang w:val="es-NI" w:eastAsia="en-GB"/>
        </w:rPr>
        <w:t xml:space="preserve">Flujo de servicio: 12 – 20 gpm/Ft </w:t>
      </w:r>
      <w:r w:rsidRPr="001A4860">
        <w:rPr>
          <w:rFonts w:ascii="Calibri" w:eastAsia="Calibri" w:hAnsi="Calibri"/>
          <w:szCs w:val="24"/>
          <w:lang w:val="es-NI" w:eastAsia="en-GB"/>
        </w:rPr>
        <w:t>²</w:t>
      </w:r>
      <w:r w:rsidRPr="001A4860">
        <w:rPr>
          <w:rFonts w:eastAsia="Calibri"/>
          <w:szCs w:val="24"/>
          <w:lang w:val="es-NI" w:eastAsia="en-GB"/>
        </w:rPr>
        <w:t xml:space="preserve"> área.</w:t>
      </w:r>
    </w:p>
    <w:p w14:paraId="28FF228F" w14:textId="77777777" w:rsidR="001A4860" w:rsidRPr="001A4860" w:rsidRDefault="001A4860" w:rsidP="003B68DB">
      <w:pPr>
        <w:numPr>
          <w:ilvl w:val="0"/>
          <w:numId w:val="199"/>
        </w:numPr>
        <w:spacing w:after="160" w:line="259" w:lineRule="auto"/>
        <w:contextualSpacing/>
        <w:jc w:val="left"/>
        <w:rPr>
          <w:rFonts w:eastAsia="Calibri"/>
          <w:szCs w:val="24"/>
          <w:lang w:val="es-NI" w:eastAsia="en-GB"/>
        </w:rPr>
      </w:pPr>
      <w:r w:rsidRPr="001A4860">
        <w:rPr>
          <w:rFonts w:eastAsia="Calibri"/>
          <w:szCs w:val="24"/>
          <w:lang w:val="es-NI" w:eastAsia="en-GB"/>
        </w:rPr>
        <w:t xml:space="preserve">Flujo de retrolavado: 12 – 16 gpm/Ft </w:t>
      </w:r>
      <w:r w:rsidRPr="001A4860">
        <w:rPr>
          <w:rFonts w:ascii="Calibri" w:eastAsia="Calibri" w:hAnsi="Calibri"/>
          <w:szCs w:val="24"/>
          <w:lang w:val="es-NI" w:eastAsia="en-GB"/>
        </w:rPr>
        <w:t>²</w:t>
      </w:r>
      <w:r w:rsidRPr="001A4860">
        <w:rPr>
          <w:rFonts w:eastAsia="Calibri"/>
          <w:szCs w:val="24"/>
          <w:lang w:val="es-NI" w:eastAsia="en-GB"/>
        </w:rPr>
        <w:t xml:space="preserve"> área.</w:t>
      </w:r>
    </w:p>
    <w:p w14:paraId="5EDD86AA" w14:textId="77777777" w:rsidR="001A4860" w:rsidRPr="001A4860" w:rsidRDefault="001A4860" w:rsidP="003B68DB">
      <w:pPr>
        <w:numPr>
          <w:ilvl w:val="0"/>
          <w:numId w:val="199"/>
        </w:numPr>
        <w:spacing w:after="160" w:line="259" w:lineRule="auto"/>
        <w:contextualSpacing/>
        <w:jc w:val="left"/>
        <w:rPr>
          <w:rFonts w:eastAsia="Calibri"/>
          <w:szCs w:val="24"/>
          <w:lang w:val="es-NI" w:eastAsia="en-GB"/>
        </w:rPr>
      </w:pPr>
      <w:r w:rsidRPr="001A4860">
        <w:rPr>
          <w:rFonts w:eastAsia="Calibri"/>
          <w:szCs w:val="24"/>
          <w:lang w:val="es-NI" w:eastAsia="en-GB"/>
        </w:rPr>
        <w:t>Expansión de la cama durante el retro lavado: 30 – 40%.</w:t>
      </w:r>
    </w:p>
    <w:p w14:paraId="738402DE" w14:textId="77777777" w:rsidR="001A4860" w:rsidRPr="001A4860" w:rsidRDefault="001A4860" w:rsidP="003B68DB">
      <w:pPr>
        <w:numPr>
          <w:ilvl w:val="0"/>
          <w:numId w:val="199"/>
        </w:numPr>
        <w:spacing w:after="160" w:line="259" w:lineRule="auto"/>
        <w:contextualSpacing/>
        <w:jc w:val="left"/>
        <w:rPr>
          <w:rFonts w:eastAsia="Calibri"/>
          <w:szCs w:val="24"/>
          <w:lang w:val="es-NI" w:eastAsia="en-GB"/>
        </w:rPr>
      </w:pPr>
      <w:r w:rsidRPr="001A4860">
        <w:rPr>
          <w:rFonts w:eastAsia="Calibri"/>
          <w:szCs w:val="24"/>
          <w:lang w:val="es-NI" w:eastAsia="en-GB"/>
        </w:rPr>
        <w:t xml:space="preserve">Se debe de mantener en remojo, la noche anterior antes del retro lavado inicial. </w:t>
      </w:r>
    </w:p>
    <w:p w14:paraId="2A6EFA0F" w14:textId="77777777" w:rsidR="001A4860" w:rsidRPr="001A4860" w:rsidRDefault="001A4860" w:rsidP="001A4860">
      <w:pPr>
        <w:rPr>
          <w:rFonts w:eastAsia="Calibri"/>
          <w:b/>
          <w:szCs w:val="24"/>
          <w:lang w:val="es-ES" w:eastAsia="en-GB"/>
        </w:rPr>
      </w:pPr>
    </w:p>
    <w:p w14:paraId="7E7BCB37" w14:textId="77777777" w:rsidR="001A4860" w:rsidRPr="001A4860" w:rsidRDefault="001A4860" w:rsidP="001A4860">
      <w:pPr>
        <w:rPr>
          <w:b/>
          <w:szCs w:val="24"/>
          <w:lang w:val="es-ES"/>
        </w:rPr>
      </w:pPr>
      <w:r w:rsidRPr="001A4860">
        <w:rPr>
          <w:rFonts w:eastAsia="Calibri"/>
          <w:b/>
          <w:szCs w:val="24"/>
          <w:lang w:val="es-ES" w:eastAsia="en-GB"/>
        </w:rPr>
        <w:t>Condiciones de operación del</w:t>
      </w:r>
      <w:r w:rsidRPr="001A4860">
        <w:rPr>
          <w:rFonts w:eastAsia="Calibri"/>
          <w:b/>
          <w:szCs w:val="24"/>
          <w:lang w:val="es-ES"/>
        </w:rPr>
        <w:t xml:space="preserve"> </w:t>
      </w:r>
      <m:oMath>
        <m:sSup>
          <m:sSupPr>
            <m:ctrlPr>
              <w:rPr>
                <w:rFonts w:ascii="Cambria Math" w:eastAsia="Calibri" w:hAnsi="Cambria Math"/>
                <w:b/>
                <w:i/>
                <w:szCs w:val="24"/>
                <w:lang w:val="es-ES"/>
              </w:rPr>
            </m:ctrlPr>
          </m:sSupPr>
          <m:e>
            <m:r>
              <m:rPr>
                <m:sty m:val="bi"/>
              </m:rPr>
              <w:rPr>
                <w:rFonts w:ascii="Cambria Math" w:eastAsia="Calibri" w:hAnsi="Cambria Math"/>
                <w:szCs w:val="24"/>
                <w:lang w:val="es-ES"/>
              </w:rPr>
              <m:t>Filox-R</m:t>
            </m:r>
          </m:e>
          <m:sup>
            <m:r>
              <m:rPr>
                <m:sty m:val="bi"/>
              </m:rPr>
              <w:rPr>
                <w:rFonts w:ascii="Cambria Math" w:eastAsia="Calibri" w:hAnsi="Cambria Math"/>
                <w:szCs w:val="24"/>
                <w:lang w:val="es-ES"/>
              </w:rPr>
              <m:t>TM</m:t>
            </m:r>
          </m:sup>
        </m:sSup>
      </m:oMath>
    </w:p>
    <w:p w14:paraId="6E2FFEE7" w14:textId="77777777" w:rsidR="001A4860" w:rsidRPr="001A4860" w:rsidRDefault="001A4860" w:rsidP="001A4860">
      <w:pPr>
        <w:rPr>
          <w:szCs w:val="24"/>
          <w:lang w:val="es-ES"/>
        </w:rPr>
      </w:pPr>
    </w:p>
    <w:p w14:paraId="4252E2EC" w14:textId="77777777" w:rsidR="001A4860" w:rsidRPr="001A4860" w:rsidRDefault="001A4860" w:rsidP="001A4860">
      <w:pPr>
        <w:jc w:val="center"/>
        <w:rPr>
          <w:rFonts w:eastAsia="Calibri"/>
          <w:szCs w:val="24"/>
          <w:lang w:val="es-NI" w:eastAsia="en-GB"/>
        </w:rPr>
      </w:pPr>
      <w:r w:rsidRPr="001A4860">
        <w:rPr>
          <w:rFonts w:ascii="Calibri" w:eastAsia="Calibri" w:hAnsi="Calibri"/>
          <w:noProof/>
          <w:sz w:val="22"/>
          <w:szCs w:val="22"/>
          <w:lang w:val="es-MX" w:eastAsia="es-MX"/>
        </w:rPr>
        <w:drawing>
          <wp:inline distT="0" distB="0" distL="0" distR="0" wp14:anchorId="5B868A55" wp14:editId="5375C202">
            <wp:extent cx="3402280" cy="1711148"/>
            <wp:effectExtent l="0" t="0" r="8255" b="3810"/>
            <wp:docPr id="21541" name="Imagen 2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1816" cy="1736062"/>
                    </a:xfrm>
                    <a:prstGeom prst="rect">
                      <a:avLst/>
                    </a:prstGeom>
                  </pic:spPr>
                </pic:pic>
              </a:graphicData>
            </a:graphic>
          </wp:inline>
        </w:drawing>
      </w:r>
    </w:p>
    <w:p w14:paraId="00D84D15" w14:textId="77777777" w:rsidR="001A4860" w:rsidRPr="001A4860" w:rsidRDefault="001A4860" w:rsidP="001A4860">
      <w:pPr>
        <w:spacing w:after="160" w:line="259" w:lineRule="auto"/>
        <w:jc w:val="left"/>
        <w:rPr>
          <w:rFonts w:eastAsia="Calibri"/>
          <w:szCs w:val="24"/>
          <w:lang w:val="es-NI" w:eastAsia="en-GB"/>
        </w:rPr>
      </w:pPr>
      <w:r w:rsidRPr="001A4860">
        <w:rPr>
          <w:rFonts w:eastAsia="Calibri"/>
          <w:szCs w:val="24"/>
          <w:lang w:val="es-NI" w:eastAsia="en-GB"/>
        </w:rPr>
        <w:br w:type="page"/>
      </w:r>
    </w:p>
    <w:p w14:paraId="0511CDD6" w14:textId="77777777" w:rsidR="001A4860" w:rsidRPr="001A4860" w:rsidRDefault="001A4860" w:rsidP="001A4860">
      <w:pPr>
        <w:rPr>
          <w:rFonts w:eastAsia="Calibri"/>
          <w:szCs w:val="24"/>
          <w:lang w:val="es-NI" w:eastAsia="en-GB"/>
        </w:rPr>
      </w:pPr>
    </w:p>
    <w:p w14:paraId="17124EDB" w14:textId="77777777" w:rsidR="001A4860" w:rsidRPr="001A4860" w:rsidRDefault="001A4860" w:rsidP="001A4860">
      <w:pPr>
        <w:rPr>
          <w:rFonts w:eastAsia="Calibri"/>
          <w:szCs w:val="24"/>
          <w:lang w:val="es-NI" w:eastAsia="en-GB"/>
        </w:rPr>
      </w:pPr>
    </w:p>
    <w:p w14:paraId="3467EACE" w14:textId="77777777" w:rsidR="001A4860" w:rsidRPr="001A4860" w:rsidRDefault="001A4860" w:rsidP="001A4860">
      <w:pPr>
        <w:jc w:val="center"/>
        <w:rPr>
          <w:rFonts w:eastAsia="Calibri"/>
          <w:szCs w:val="24"/>
          <w:lang w:val="es-NI" w:eastAsia="en-GB"/>
        </w:rPr>
      </w:pPr>
      <w:r w:rsidRPr="001A4860">
        <w:rPr>
          <w:rFonts w:ascii="Calibri" w:eastAsia="Calibri" w:hAnsi="Calibri"/>
          <w:noProof/>
          <w:sz w:val="22"/>
          <w:szCs w:val="22"/>
          <w:lang w:val="es-MX" w:eastAsia="es-MX"/>
        </w:rPr>
        <w:drawing>
          <wp:inline distT="0" distB="0" distL="0" distR="0" wp14:anchorId="67A0AC7A" wp14:editId="1A05B7CA">
            <wp:extent cx="2523506" cy="1009402"/>
            <wp:effectExtent l="0" t="0" r="0" b="635"/>
            <wp:docPr id="21542" name="Imagen 2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2731" cy="1025092"/>
                    </a:xfrm>
                    <a:prstGeom prst="rect">
                      <a:avLst/>
                    </a:prstGeom>
                  </pic:spPr>
                </pic:pic>
              </a:graphicData>
            </a:graphic>
          </wp:inline>
        </w:drawing>
      </w:r>
    </w:p>
    <w:p w14:paraId="11A7A0BC" w14:textId="77777777" w:rsidR="001A4860" w:rsidRPr="001A4860" w:rsidRDefault="001A4860" w:rsidP="001A4860">
      <w:pPr>
        <w:rPr>
          <w:rFonts w:eastAsia="Calibri"/>
          <w:b/>
          <w:szCs w:val="24"/>
          <w:lang w:val="es-NI" w:eastAsia="en-GB"/>
        </w:rPr>
      </w:pPr>
    </w:p>
    <w:p w14:paraId="66CE0551" w14:textId="77777777" w:rsidR="001A4860" w:rsidRPr="001A4860" w:rsidRDefault="001A4860" w:rsidP="001A4860">
      <w:pPr>
        <w:rPr>
          <w:rFonts w:eastAsia="Calibri"/>
          <w:b/>
          <w:szCs w:val="24"/>
          <w:lang w:val="es-NI" w:eastAsia="en-GB"/>
        </w:rPr>
      </w:pPr>
      <w:r w:rsidRPr="001A4860">
        <w:rPr>
          <w:rFonts w:eastAsia="Calibri"/>
          <w:b/>
          <w:szCs w:val="24"/>
          <w:lang w:val="es-NI" w:eastAsia="en-GB"/>
        </w:rPr>
        <w:t xml:space="preserve">ESPECIFICACIONES TÉCNICAS DE SISTEMA DE PANELES SOLARES DE 100 W. </w:t>
      </w:r>
    </w:p>
    <w:p w14:paraId="08AED709" w14:textId="77777777" w:rsidR="001A4860" w:rsidRPr="001A4860" w:rsidRDefault="001A4860" w:rsidP="001A4860">
      <w:pPr>
        <w:rPr>
          <w:rFonts w:eastAsia="Calibri"/>
          <w:szCs w:val="24"/>
          <w:lang w:val="es-NI" w:eastAsia="en-GB"/>
        </w:rPr>
      </w:pPr>
    </w:p>
    <w:p w14:paraId="367C293F" w14:textId="77777777" w:rsidR="001A4860" w:rsidRPr="001A4860" w:rsidRDefault="001A4860" w:rsidP="001A4860">
      <w:pPr>
        <w:rPr>
          <w:rFonts w:eastAsia="Calibri"/>
          <w:szCs w:val="24"/>
          <w:lang w:val="es-NI" w:eastAsia="en-GB"/>
        </w:rPr>
      </w:pPr>
      <w:r w:rsidRPr="001A4860">
        <w:rPr>
          <w:rFonts w:eastAsia="Calibri"/>
          <w:szCs w:val="24"/>
          <w:lang w:val="es-NI" w:eastAsia="en-GB"/>
        </w:rPr>
        <w:t xml:space="preserve">Comprende el suministro y la instalación de paneles solares de 100 W – Fotovoltaico más Batería, Inversor, controlador y estructura. </w:t>
      </w:r>
    </w:p>
    <w:p w14:paraId="54471979" w14:textId="77777777" w:rsidR="001A4860" w:rsidRPr="001A4860" w:rsidRDefault="001A4860" w:rsidP="001A4860">
      <w:pPr>
        <w:rPr>
          <w:rFonts w:eastAsia="Calibri"/>
          <w:szCs w:val="24"/>
          <w:lang w:val="es-NI" w:eastAsia="en-GB"/>
        </w:rPr>
      </w:pPr>
    </w:p>
    <w:p w14:paraId="46A90AA7" w14:textId="77777777" w:rsidR="001A4860" w:rsidRPr="001A4860" w:rsidRDefault="001A4860" w:rsidP="001A4860">
      <w:pPr>
        <w:rPr>
          <w:rFonts w:eastAsia="Calibri"/>
          <w:szCs w:val="24"/>
          <w:lang w:val="es-NI" w:eastAsia="en-GB"/>
        </w:rPr>
      </w:pPr>
      <w:r w:rsidRPr="001A4860">
        <w:rPr>
          <w:rFonts w:eastAsia="Calibri"/>
          <w:szCs w:val="24"/>
          <w:lang w:val="es-NI" w:eastAsia="en-GB"/>
        </w:rPr>
        <w:t xml:space="preserve">Sus especificaciones del serán las siguientes: </w:t>
      </w:r>
    </w:p>
    <w:p w14:paraId="5E0A7E62" w14:textId="77777777" w:rsidR="001A4860" w:rsidRPr="001A4860" w:rsidRDefault="001A4860" w:rsidP="001A4860">
      <w:pPr>
        <w:rPr>
          <w:rFonts w:eastAsia="Calibri"/>
          <w:szCs w:val="24"/>
          <w:lang w:val="es-NI" w:eastAsia="en-GB"/>
        </w:rPr>
      </w:pPr>
      <w:r w:rsidRPr="001A4860">
        <w:rPr>
          <w:rFonts w:ascii="Calibri" w:eastAsia="Calibri" w:hAnsi="Calibri"/>
          <w:noProof/>
          <w:sz w:val="22"/>
          <w:szCs w:val="22"/>
          <w:lang w:val="es-MX" w:eastAsia="es-MX"/>
        </w:rPr>
        <w:drawing>
          <wp:anchor distT="0" distB="0" distL="114300" distR="114300" simplePos="0" relativeHeight="251665408" behindDoc="0" locked="0" layoutInCell="1" allowOverlap="1" wp14:anchorId="68687056" wp14:editId="09AA76AD">
            <wp:simplePos x="0" y="0"/>
            <wp:positionH relativeFrom="column">
              <wp:posOffset>3721735</wp:posOffset>
            </wp:positionH>
            <wp:positionV relativeFrom="paragraph">
              <wp:posOffset>173050</wp:posOffset>
            </wp:positionV>
            <wp:extent cx="1009498" cy="2143005"/>
            <wp:effectExtent l="0" t="0" r="635" b="0"/>
            <wp:wrapNone/>
            <wp:docPr id="21543" name="Imagen 2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r="3240"/>
                    <a:stretch/>
                  </pic:blipFill>
                  <pic:spPr bwMode="auto">
                    <a:xfrm>
                      <a:off x="0" y="0"/>
                      <a:ext cx="1009498" cy="214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F6E03" w14:textId="77777777" w:rsidR="001A4860" w:rsidRPr="001A4860" w:rsidRDefault="001A4860" w:rsidP="001A4860">
      <w:pPr>
        <w:jc w:val="center"/>
        <w:rPr>
          <w:rFonts w:eastAsia="Calibri"/>
          <w:szCs w:val="24"/>
          <w:lang w:val="es-NI" w:eastAsia="en-GB"/>
        </w:rPr>
      </w:pPr>
      <w:r w:rsidRPr="001A4860">
        <w:rPr>
          <w:rFonts w:ascii="Calibri" w:eastAsia="Calibri" w:hAnsi="Calibri"/>
          <w:noProof/>
          <w:sz w:val="22"/>
          <w:szCs w:val="22"/>
          <w:lang w:val="es-MX" w:eastAsia="es-MX"/>
        </w:rPr>
        <w:drawing>
          <wp:inline distT="0" distB="0" distL="0" distR="0" wp14:anchorId="6B977FBF" wp14:editId="2E0CA55E">
            <wp:extent cx="2019098" cy="2160790"/>
            <wp:effectExtent l="0" t="0" r="635" b="0"/>
            <wp:docPr id="21544" name="Imagen 2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34106" cy="2176851"/>
                    </a:xfrm>
                    <a:prstGeom prst="rect">
                      <a:avLst/>
                    </a:prstGeom>
                  </pic:spPr>
                </pic:pic>
              </a:graphicData>
            </a:graphic>
          </wp:inline>
        </w:drawing>
      </w:r>
    </w:p>
    <w:p w14:paraId="264C3EF6" w14:textId="77777777" w:rsidR="001A4860" w:rsidRPr="001A4860" w:rsidRDefault="001A4860" w:rsidP="001A4860">
      <w:pPr>
        <w:jc w:val="center"/>
        <w:rPr>
          <w:rFonts w:eastAsia="Calibri"/>
          <w:szCs w:val="24"/>
          <w:lang w:val="es-NI" w:eastAsia="en-GB"/>
        </w:rPr>
      </w:pPr>
    </w:p>
    <w:p w14:paraId="56181CFC" w14:textId="77777777" w:rsidR="001A4860" w:rsidRPr="001A4860" w:rsidRDefault="001A4860" w:rsidP="001A4860">
      <w:pPr>
        <w:jc w:val="center"/>
        <w:rPr>
          <w:rFonts w:eastAsia="Calibri"/>
          <w:szCs w:val="24"/>
          <w:lang w:val="es-NI" w:eastAsia="en-GB"/>
        </w:rPr>
      </w:pPr>
    </w:p>
    <w:p w14:paraId="761CE388"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3630DF0A" wp14:editId="0BE95EF3">
            <wp:extent cx="1931212" cy="1293222"/>
            <wp:effectExtent l="0" t="0" r="0" b="2540"/>
            <wp:docPr id="21545" name="Imagen 2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4489" cy="1308809"/>
                    </a:xfrm>
                    <a:prstGeom prst="rect">
                      <a:avLst/>
                    </a:prstGeom>
                  </pic:spPr>
                </pic:pic>
              </a:graphicData>
            </a:graphic>
          </wp:inline>
        </w:drawing>
      </w:r>
      <w:r w:rsidRPr="001A4860">
        <w:rPr>
          <w:rFonts w:ascii="Calibri" w:eastAsia="Calibri" w:hAnsi="Calibri"/>
          <w:noProof/>
          <w:sz w:val="22"/>
          <w:szCs w:val="22"/>
          <w:lang w:val="es-MX" w:eastAsia="es-MX"/>
        </w:rPr>
        <w:drawing>
          <wp:inline distT="0" distB="0" distL="0" distR="0" wp14:anchorId="12EC3B5D" wp14:editId="0BAE2346">
            <wp:extent cx="967740" cy="1265728"/>
            <wp:effectExtent l="0" t="0" r="3810" b="0"/>
            <wp:docPr id="21546" name="Imagen 2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33" t="2758"/>
                    <a:stretch/>
                  </pic:blipFill>
                  <pic:spPr bwMode="auto">
                    <a:xfrm>
                      <a:off x="0" y="0"/>
                      <a:ext cx="993198" cy="1299026"/>
                    </a:xfrm>
                    <a:prstGeom prst="rect">
                      <a:avLst/>
                    </a:prstGeom>
                    <a:ln>
                      <a:noFill/>
                    </a:ln>
                    <a:extLst>
                      <a:ext uri="{53640926-AAD7-44D8-BBD7-CCE9431645EC}">
                        <a14:shadowObscured xmlns:a14="http://schemas.microsoft.com/office/drawing/2010/main"/>
                      </a:ext>
                    </a:extLst>
                  </pic:spPr>
                </pic:pic>
              </a:graphicData>
            </a:graphic>
          </wp:inline>
        </w:drawing>
      </w:r>
    </w:p>
    <w:p w14:paraId="4D51DF80"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lastRenderedPageBreak/>
        <w:drawing>
          <wp:anchor distT="0" distB="0" distL="114300" distR="114300" simplePos="0" relativeHeight="251667456" behindDoc="0" locked="0" layoutInCell="1" allowOverlap="1" wp14:anchorId="328BE8A8" wp14:editId="3C693FA9">
            <wp:simplePos x="0" y="0"/>
            <wp:positionH relativeFrom="column">
              <wp:posOffset>3557702</wp:posOffset>
            </wp:positionH>
            <wp:positionV relativeFrom="paragraph">
              <wp:posOffset>2413991</wp:posOffset>
            </wp:positionV>
            <wp:extent cx="777012" cy="138988"/>
            <wp:effectExtent l="0" t="0" r="4445" b="0"/>
            <wp:wrapNone/>
            <wp:docPr id="21547" name="Imagen 2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9136" t="30544" r="38968" b="21124"/>
                    <a:stretch/>
                  </pic:blipFill>
                  <pic:spPr bwMode="auto">
                    <a:xfrm>
                      <a:off x="0" y="0"/>
                      <a:ext cx="782850" cy="140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860">
        <w:rPr>
          <w:rFonts w:ascii="Calibri" w:eastAsia="Calibri" w:hAnsi="Calibri"/>
          <w:noProof/>
          <w:sz w:val="22"/>
          <w:szCs w:val="22"/>
          <w:lang w:val="es-MX" w:eastAsia="es-MX"/>
        </w:rPr>
        <w:drawing>
          <wp:anchor distT="0" distB="0" distL="114300" distR="114300" simplePos="0" relativeHeight="251666432" behindDoc="0" locked="0" layoutInCell="1" allowOverlap="1" wp14:anchorId="2CBC0CF0" wp14:editId="45492529">
            <wp:simplePos x="0" y="0"/>
            <wp:positionH relativeFrom="column">
              <wp:posOffset>3527095</wp:posOffset>
            </wp:positionH>
            <wp:positionV relativeFrom="paragraph">
              <wp:posOffset>0</wp:posOffset>
            </wp:positionV>
            <wp:extent cx="739002" cy="2414016"/>
            <wp:effectExtent l="0" t="0" r="4445" b="5715"/>
            <wp:wrapNone/>
            <wp:docPr id="21548" name="Imagen 2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72" r="4465"/>
                    <a:stretch/>
                  </pic:blipFill>
                  <pic:spPr bwMode="auto">
                    <a:xfrm>
                      <a:off x="0" y="0"/>
                      <a:ext cx="739002"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860">
        <w:rPr>
          <w:rFonts w:ascii="Calibri" w:eastAsia="Calibri" w:hAnsi="Calibri"/>
          <w:noProof/>
          <w:sz w:val="22"/>
          <w:szCs w:val="22"/>
          <w:lang w:val="es-MX" w:eastAsia="es-MX"/>
        </w:rPr>
        <w:drawing>
          <wp:inline distT="0" distB="0" distL="0" distR="0" wp14:anchorId="222364CC" wp14:editId="42DEA3DA">
            <wp:extent cx="1536192" cy="2590042"/>
            <wp:effectExtent l="0" t="0" r="6985" b="1270"/>
            <wp:docPr id="21549" name="Imagen 2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98" t="476" r="1"/>
                    <a:stretch/>
                  </pic:blipFill>
                  <pic:spPr bwMode="auto">
                    <a:xfrm>
                      <a:off x="0" y="0"/>
                      <a:ext cx="1565896" cy="2640123"/>
                    </a:xfrm>
                    <a:prstGeom prst="rect">
                      <a:avLst/>
                    </a:prstGeom>
                    <a:ln>
                      <a:noFill/>
                    </a:ln>
                    <a:extLst>
                      <a:ext uri="{53640926-AAD7-44D8-BBD7-CCE9431645EC}">
                        <a14:shadowObscured xmlns:a14="http://schemas.microsoft.com/office/drawing/2010/main"/>
                      </a:ext>
                    </a:extLst>
                  </pic:spPr>
                </pic:pic>
              </a:graphicData>
            </a:graphic>
          </wp:inline>
        </w:drawing>
      </w:r>
    </w:p>
    <w:p w14:paraId="58F81E85" w14:textId="77777777" w:rsidR="001A4860" w:rsidRPr="001A4860" w:rsidRDefault="001A4860" w:rsidP="001A4860">
      <w:pPr>
        <w:jc w:val="center"/>
        <w:rPr>
          <w:rFonts w:eastAsia="Calibri"/>
          <w:szCs w:val="24"/>
          <w:lang w:val="es-ES" w:eastAsia="en-GB"/>
        </w:rPr>
      </w:pPr>
    </w:p>
    <w:p w14:paraId="41B7B92C" w14:textId="77777777" w:rsidR="001A4860" w:rsidRPr="001A4860" w:rsidRDefault="001A4860" w:rsidP="001A4860">
      <w:pPr>
        <w:jc w:val="center"/>
        <w:rPr>
          <w:rFonts w:eastAsia="Calibri"/>
          <w:szCs w:val="24"/>
          <w:lang w:val="es-ES" w:eastAsia="en-GB"/>
        </w:rPr>
      </w:pPr>
      <w:r w:rsidRPr="001A4860">
        <w:rPr>
          <w:rFonts w:ascii="Calibri" w:eastAsia="Calibri" w:hAnsi="Calibri"/>
          <w:noProof/>
          <w:sz w:val="22"/>
          <w:szCs w:val="22"/>
          <w:lang w:val="es-MX" w:eastAsia="es-MX"/>
        </w:rPr>
        <w:drawing>
          <wp:inline distT="0" distB="0" distL="0" distR="0" wp14:anchorId="7240AF72" wp14:editId="36978CAB">
            <wp:extent cx="4129473" cy="3320013"/>
            <wp:effectExtent l="0" t="0" r="4445" b="0"/>
            <wp:docPr id="21550" name="Imagen 2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89" b="3639"/>
                    <a:stretch/>
                  </pic:blipFill>
                  <pic:spPr bwMode="auto">
                    <a:xfrm>
                      <a:off x="0" y="0"/>
                      <a:ext cx="4148644" cy="3335426"/>
                    </a:xfrm>
                    <a:prstGeom prst="rect">
                      <a:avLst/>
                    </a:prstGeom>
                    <a:ln>
                      <a:noFill/>
                    </a:ln>
                    <a:extLst>
                      <a:ext uri="{53640926-AAD7-44D8-BBD7-CCE9431645EC}">
                        <a14:shadowObscured xmlns:a14="http://schemas.microsoft.com/office/drawing/2010/main"/>
                      </a:ext>
                    </a:extLst>
                  </pic:spPr>
                </pic:pic>
              </a:graphicData>
            </a:graphic>
          </wp:inline>
        </w:drawing>
      </w:r>
    </w:p>
    <w:p w14:paraId="40479331" w14:textId="77777777" w:rsidR="001A4860" w:rsidRPr="001A4860" w:rsidRDefault="001A4860" w:rsidP="001A4860">
      <w:pPr>
        <w:spacing w:after="160" w:line="259" w:lineRule="auto"/>
        <w:jc w:val="left"/>
        <w:rPr>
          <w:rFonts w:eastAsia="Calibri"/>
          <w:szCs w:val="24"/>
          <w:lang w:val="es-ES" w:eastAsia="en-GB"/>
        </w:rPr>
      </w:pPr>
      <w:r w:rsidRPr="001A4860">
        <w:rPr>
          <w:rFonts w:eastAsia="Calibri"/>
          <w:szCs w:val="24"/>
          <w:lang w:val="es-ES" w:eastAsia="en-GB"/>
        </w:rPr>
        <w:br w:type="page"/>
      </w:r>
    </w:p>
    <w:p w14:paraId="14E6A036" w14:textId="77777777" w:rsidR="001A4860" w:rsidRPr="001A4860" w:rsidRDefault="001A4860" w:rsidP="001A4860">
      <w:pPr>
        <w:rPr>
          <w:rFonts w:eastAsia="Calibri"/>
          <w:szCs w:val="24"/>
          <w:lang w:val="es-ES" w:eastAsia="en-GB"/>
        </w:rPr>
      </w:pPr>
    </w:p>
    <w:p w14:paraId="6E9CF02F" w14:textId="77777777" w:rsidR="001A4860" w:rsidRPr="001A4860" w:rsidRDefault="001A4860" w:rsidP="001A4860">
      <w:pPr>
        <w:rPr>
          <w:rFonts w:eastAsia="Calibri"/>
          <w:b/>
          <w:szCs w:val="24"/>
          <w:lang w:val="es-ES" w:eastAsia="en-GB"/>
        </w:rPr>
      </w:pPr>
      <w:r w:rsidRPr="001A4860">
        <w:rPr>
          <w:rFonts w:eastAsia="Calibri"/>
          <w:b/>
          <w:szCs w:val="24"/>
          <w:lang w:val="es-ES" w:eastAsia="en-GB"/>
        </w:rPr>
        <w:t>Batería</w:t>
      </w:r>
    </w:p>
    <w:p w14:paraId="15B74099" w14:textId="77777777" w:rsidR="001A4860" w:rsidRPr="001A4860" w:rsidRDefault="001A4860" w:rsidP="001A4860">
      <w:pPr>
        <w:rPr>
          <w:rFonts w:eastAsia="Calibri"/>
          <w:szCs w:val="24"/>
          <w:lang w:val="es-ES" w:eastAsia="en-GB"/>
        </w:rPr>
      </w:pPr>
    </w:p>
    <w:tbl>
      <w:tblPr>
        <w:tblW w:w="8688" w:type="dxa"/>
        <w:jc w:val="center"/>
        <w:tblCellSpacing w:w="0" w:type="dxa"/>
        <w:tblBorders>
          <w:top w:val="single" w:sz="6" w:space="0" w:color="47677C"/>
          <w:left w:val="single" w:sz="6" w:space="0" w:color="47677C"/>
          <w:bottom w:val="single" w:sz="6" w:space="0" w:color="47677C"/>
          <w:right w:val="single" w:sz="6" w:space="0" w:color="47677C"/>
        </w:tblBorders>
        <w:shd w:val="clear" w:color="auto" w:fill="FFFFFF"/>
        <w:tblCellMar>
          <w:left w:w="0" w:type="dxa"/>
          <w:right w:w="0" w:type="dxa"/>
        </w:tblCellMar>
        <w:tblLook w:val="04A0" w:firstRow="1" w:lastRow="0" w:firstColumn="1" w:lastColumn="0" w:noHBand="0" w:noVBand="1"/>
      </w:tblPr>
      <w:tblGrid>
        <w:gridCol w:w="641"/>
        <w:gridCol w:w="3129"/>
        <w:gridCol w:w="837"/>
        <w:gridCol w:w="1196"/>
        <w:gridCol w:w="525"/>
        <w:gridCol w:w="399"/>
        <w:gridCol w:w="1961"/>
      </w:tblGrid>
      <w:tr w:rsidR="001A4860" w:rsidRPr="001A4860" w14:paraId="3E5252F5" w14:textId="77777777" w:rsidTr="001A4860">
        <w:trPr>
          <w:trHeight w:val="448"/>
          <w:tblCellSpacing w:w="0" w:type="dxa"/>
          <w:jc w:val="center"/>
        </w:trPr>
        <w:tc>
          <w:tcPr>
            <w:tcW w:w="0" w:type="auto"/>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235FB6F" w14:textId="77777777" w:rsidR="001A4860" w:rsidRPr="001A4860" w:rsidRDefault="001A4860" w:rsidP="001A4860">
            <w:pPr>
              <w:jc w:val="center"/>
              <w:rPr>
                <w:rFonts w:eastAsia="Calibri"/>
                <w:sz w:val="20"/>
                <w:lang w:val="es-ES"/>
              </w:rPr>
            </w:pPr>
            <w:r w:rsidRPr="001A4860">
              <w:rPr>
                <w:rFonts w:eastAsia="Calibri"/>
                <w:sz w:val="20"/>
                <w:lang w:val="es-ES"/>
              </w:rPr>
              <w:t>TIPO</w:t>
            </w:r>
          </w:p>
        </w:tc>
        <w:tc>
          <w:tcPr>
            <w:tcW w:w="3130" w:type="dxa"/>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BFBA099" w14:textId="77777777" w:rsidR="001A4860" w:rsidRPr="001A4860" w:rsidRDefault="001A4860" w:rsidP="001A4860">
            <w:pPr>
              <w:jc w:val="center"/>
              <w:rPr>
                <w:rFonts w:eastAsia="Calibri"/>
                <w:sz w:val="20"/>
                <w:lang w:val="es-ES"/>
              </w:rPr>
            </w:pPr>
            <w:r w:rsidRPr="001A4860">
              <w:rPr>
                <w:rFonts w:eastAsia="Calibri"/>
                <w:sz w:val="20"/>
                <w:lang w:val="es-ES"/>
              </w:rPr>
              <w:t>Capacidad Ah en C100 a 25º y tensión final del elemento de 1,80V</w:t>
            </w:r>
          </w:p>
        </w:tc>
        <w:tc>
          <w:tcPr>
            <w:tcW w:w="837" w:type="dxa"/>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F4CEE2A" w14:textId="77777777" w:rsidR="001A4860" w:rsidRPr="001A4860" w:rsidRDefault="001A4860" w:rsidP="001A4860">
            <w:pPr>
              <w:jc w:val="center"/>
              <w:rPr>
                <w:rFonts w:eastAsia="Calibri"/>
                <w:sz w:val="20"/>
                <w:lang w:val="es-ES"/>
              </w:rPr>
            </w:pPr>
            <w:r w:rsidRPr="001A4860">
              <w:rPr>
                <w:rFonts w:eastAsia="Calibri"/>
                <w:sz w:val="20"/>
                <w:lang w:val="es-ES"/>
              </w:rPr>
              <w:t>Tensión</w:t>
            </w:r>
          </w:p>
        </w:tc>
        <w:tc>
          <w:tcPr>
            <w:tcW w:w="2139" w:type="dxa"/>
            <w:gridSpan w:val="3"/>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559A045" w14:textId="77777777" w:rsidR="001A4860" w:rsidRPr="001A4860" w:rsidRDefault="001A4860" w:rsidP="001A4860">
            <w:pPr>
              <w:jc w:val="center"/>
              <w:rPr>
                <w:rFonts w:eastAsia="Calibri"/>
                <w:sz w:val="20"/>
                <w:lang w:val="es-ES"/>
              </w:rPr>
            </w:pPr>
            <w:r w:rsidRPr="001A4860">
              <w:rPr>
                <w:rFonts w:eastAsia="Calibri"/>
                <w:sz w:val="20"/>
                <w:lang w:val="es-ES"/>
              </w:rPr>
              <w:t>Dimensiones por elemento (mm)</w:t>
            </w:r>
          </w:p>
        </w:tc>
        <w:tc>
          <w:tcPr>
            <w:tcW w:w="0" w:type="auto"/>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A6636D4" w14:textId="77777777" w:rsidR="001A4860" w:rsidRPr="001A4860" w:rsidRDefault="001A4860" w:rsidP="001A4860">
            <w:pPr>
              <w:jc w:val="center"/>
              <w:rPr>
                <w:rFonts w:eastAsia="Calibri"/>
                <w:sz w:val="20"/>
                <w:lang w:val="es-ES"/>
              </w:rPr>
            </w:pPr>
            <w:r w:rsidRPr="001A4860">
              <w:rPr>
                <w:rFonts w:eastAsia="Calibri"/>
                <w:sz w:val="20"/>
                <w:lang w:val="es-ES"/>
              </w:rPr>
              <w:t>Peso (kg. pot elemento con ácido)</w:t>
            </w:r>
          </w:p>
        </w:tc>
      </w:tr>
      <w:tr w:rsidR="001A4860" w:rsidRPr="001A4860" w14:paraId="6A37802C" w14:textId="77777777" w:rsidTr="001A4860">
        <w:trPr>
          <w:trHeight w:val="228"/>
          <w:tblCellSpacing w:w="0" w:type="dxa"/>
          <w:jc w:val="center"/>
        </w:trPr>
        <w:tc>
          <w:tcPr>
            <w:tcW w:w="0" w:type="auto"/>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745693A" w14:textId="77777777" w:rsidR="001A4860" w:rsidRPr="001A4860" w:rsidRDefault="001A4860" w:rsidP="001A4860">
            <w:pPr>
              <w:jc w:val="center"/>
              <w:rPr>
                <w:rFonts w:eastAsia="Calibri"/>
                <w:sz w:val="20"/>
                <w:lang w:val="es-ES"/>
              </w:rPr>
            </w:pPr>
          </w:p>
        </w:tc>
        <w:tc>
          <w:tcPr>
            <w:tcW w:w="3130" w:type="dxa"/>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CE2C950" w14:textId="77777777" w:rsidR="001A4860" w:rsidRPr="001A4860" w:rsidRDefault="001A4860" w:rsidP="001A4860">
            <w:pPr>
              <w:jc w:val="center"/>
              <w:rPr>
                <w:rFonts w:eastAsia="Calibri"/>
                <w:sz w:val="20"/>
                <w:lang w:val="es-ES"/>
              </w:rPr>
            </w:pPr>
          </w:p>
        </w:tc>
        <w:tc>
          <w:tcPr>
            <w:tcW w:w="837" w:type="dxa"/>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351C39F" w14:textId="77777777" w:rsidR="001A4860" w:rsidRPr="001A4860" w:rsidRDefault="001A4860" w:rsidP="001A4860">
            <w:pPr>
              <w:jc w:val="center"/>
              <w:rPr>
                <w:rFonts w:eastAsia="Calibri"/>
                <w:sz w:val="20"/>
                <w:lang w:val="es-ES"/>
              </w:rPr>
            </w:pP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2CAA87E" w14:textId="77777777" w:rsidR="001A4860" w:rsidRPr="001A4860" w:rsidRDefault="001A4860" w:rsidP="001A4860">
            <w:pPr>
              <w:jc w:val="center"/>
              <w:rPr>
                <w:rFonts w:eastAsia="Calibri"/>
                <w:sz w:val="20"/>
                <w:lang w:val="es-ES"/>
              </w:rPr>
            </w:pPr>
            <w:r w:rsidRPr="001A4860">
              <w:rPr>
                <w:rFonts w:eastAsia="Calibri"/>
                <w:sz w:val="20"/>
                <w:lang w:val="es-ES"/>
              </w:rPr>
              <w:t>Ancho</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3AEBBAC" w14:textId="77777777" w:rsidR="001A4860" w:rsidRPr="001A4860" w:rsidRDefault="001A4860" w:rsidP="001A4860">
            <w:pPr>
              <w:jc w:val="center"/>
              <w:rPr>
                <w:rFonts w:eastAsia="Calibri"/>
                <w:sz w:val="20"/>
                <w:lang w:val="es-ES"/>
              </w:rPr>
            </w:pPr>
            <w:r w:rsidRPr="001A4860">
              <w:rPr>
                <w:rFonts w:eastAsia="Calibri"/>
                <w:sz w:val="20"/>
                <w:lang w:val="es-ES"/>
              </w:rPr>
              <w:t>Largo</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1627D6B" w14:textId="77777777" w:rsidR="001A4860" w:rsidRPr="001A4860" w:rsidRDefault="001A4860" w:rsidP="001A4860">
            <w:pPr>
              <w:jc w:val="center"/>
              <w:rPr>
                <w:rFonts w:eastAsia="Calibri"/>
                <w:sz w:val="20"/>
                <w:lang w:val="es-ES"/>
              </w:rPr>
            </w:pPr>
            <w:r w:rsidRPr="001A4860">
              <w:rPr>
                <w:rFonts w:eastAsia="Calibri"/>
                <w:sz w:val="20"/>
                <w:lang w:val="es-ES"/>
              </w:rPr>
              <w:t>Alto</w:t>
            </w:r>
          </w:p>
        </w:tc>
        <w:tc>
          <w:tcPr>
            <w:tcW w:w="0" w:type="auto"/>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A7233BB" w14:textId="77777777" w:rsidR="001A4860" w:rsidRPr="001A4860" w:rsidRDefault="001A4860" w:rsidP="001A4860">
            <w:pPr>
              <w:jc w:val="center"/>
              <w:rPr>
                <w:rFonts w:eastAsia="Calibri"/>
                <w:sz w:val="20"/>
                <w:lang w:val="es-ES"/>
              </w:rPr>
            </w:pPr>
          </w:p>
        </w:tc>
      </w:tr>
      <w:tr w:rsidR="001A4860" w:rsidRPr="001A4860" w14:paraId="7173C469" w14:textId="77777777" w:rsidTr="001A4860">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E3CFFC2" w14:textId="77777777" w:rsidR="001A4860" w:rsidRPr="001A4860" w:rsidRDefault="001A4860" w:rsidP="001A4860">
            <w:pPr>
              <w:jc w:val="center"/>
              <w:rPr>
                <w:rFonts w:eastAsia="Calibri"/>
                <w:sz w:val="20"/>
                <w:lang w:val="es-ES"/>
              </w:rPr>
            </w:pPr>
            <w:r w:rsidRPr="001A4860">
              <w:rPr>
                <w:rFonts w:eastAsia="Calibri"/>
                <w:sz w:val="20"/>
                <w:lang w:val="es-ES"/>
              </w:rPr>
              <w:t>EW75</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52CA545" w14:textId="77777777" w:rsidR="001A4860" w:rsidRPr="001A4860" w:rsidRDefault="001A4860" w:rsidP="001A4860">
            <w:pPr>
              <w:jc w:val="center"/>
              <w:rPr>
                <w:rFonts w:eastAsia="Calibri"/>
                <w:sz w:val="20"/>
                <w:lang w:val="es-ES"/>
              </w:rPr>
            </w:pPr>
            <w:r w:rsidRPr="001A4860">
              <w:rPr>
                <w:rFonts w:eastAsia="Calibri"/>
                <w:sz w:val="20"/>
                <w:lang w:val="es-ES"/>
              </w:rPr>
              <w:t>85</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CCD2235" w14:textId="77777777" w:rsidR="001A4860" w:rsidRPr="001A4860" w:rsidRDefault="001A4860" w:rsidP="001A4860">
            <w:pPr>
              <w:jc w:val="center"/>
              <w:rPr>
                <w:rFonts w:eastAsia="Calibri"/>
                <w:sz w:val="20"/>
                <w:lang w:val="es-ES"/>
              </w:rPr>
            </w:pPr>
            <w:r w:rsidRPr="001A4860">
              <w:rPr>
                <w:rFonts w:eastAsia="Calibri"/>
                <w:sz w:val="20"/>
                <w:lang w:val="es-ES"/>
              </w:rPr>
              <w:t>12 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4A61270" w14:textId="77777777" w:rsidR="001A4860" w:rsidRPr="001A4860" w:rsidRDefault="001A4860" w:rsidP="001A4860">
            <w:pPr>
              <w:jc w:val="center"/>
              <w:rPr>
                <w:rFonts w:eastAsia="Calibri"/>
                <w:sz w:val="20"/>
                <w:lang w:val="es-ES"/>
              </w:rPr>
            </w:pPr>
            <w:r w:rsidRPr="001A4860">
              <w:rPr>
                <w:rFonts w:eastAsia="Calibri"/>
                <w:sz w:val="20"/>
                <w:lang w:val="es-ES"/>
              </w:rPr>
              <w:t>275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21E1B97" w14:textId="77777777" w:rsidR="001A4860" w:rsidRPr="001A4860" w:rsidRDefault="001A4860" w:rsidP="001A4860">
            <w:pPr>
              <w:jc w:val="center"/>
              <w:rPr>
                <w:rFonts w:eastAsia="Calibri"/>
                <w:sz w:val="20"/>
                <w:lang w:val="es-ES"/>
              </w:rPr>
            </w:pPr>
            <w:r w:rsidRPr="001A4860">
              <w:rPr>
                <w:rFonts w:eastAsia="Calibri"/>
                <w:sz w:val="20"/>
                <w:lang w:val="es-ES"/>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81565F1" w14:textId="77777777" w:rsidR="001A4860" w:rsidRPr="001A4860" w:rsidRDefault="001A4860" w:rsidP="001A4860">
            <w:pPr>
              <w:jc w:val="center"/>
              <w:rPr>
                <w:rFonts w:eastAsia="Calibri"/>
                <w:sz w:val="20"/>
                <w:lang w:val="es-ES"/>
              </w:rPr>
            </w:pPr>
            <w:r w:rsidRPr="001A4860">
              <w:rPr>
                <w:rFonts w:eastAsia="Calibri"/>
                <w:sz w:val="20"/>
                <w:lang w:val="es-ES"/>
              </w:rPr>
              <w:t>190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7F4B295" w14:textId="77777777" w:rsidR="001A4860" w:rsidRPr="001A4860" w:rsidRDefault="001A4860" w:rsidP="001A4860">
            <w:pPr>
              <w:jc w:val="center"/>
              <w:rPr>
                <w:rFonts w:eastAsia="Calibri"/>
                <w:sz w:val="20"/>
                <w:lang w:val="es-ES"/>
              </w:rPr>
            </w:pPr>
            <w:r w:rsidRPr="001A4860">
              <w:rPr>
                <w:rFonts w:eastAsia="Calibri"/>
                <w:sz w:val="20"/>
                <w:lang w:val="es-ES"/>
              </w:rPr>
              <w:t>20,7</w:t>
            </w:r>
          </w:p>
        </w:tc>
      </w:tr>
      <w:tr w:rsidR="001A4860" w:rsidRPr="001A4860" w14:paraId="4479BD03" w14:textId="77777777" w:rsidTr="001A4860">
        <w:trPr>
          <w:trHeight w:val="202"/>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142D886"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EW90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C794133"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100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2C74E65"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3174A4A"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353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F89CB4D"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44941AF"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190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969A207" w14:textId="77777777" w:rsidR="001A4860" w:rsidRPr="001A4860" w:rsidRDefault="001A4860" w:rsidP="001A4860">
            <w:pPr>
              <w:jc w:val="center"/>
              <w:rPr>
                <w:rFonts w:eastAsia="Calibri"/>
                <w:sz w:val="20"/>
                <w:highlight w:val="yellow"/>
                <w:lang w:val="es-ES"/>
              </w:rPr>
            </w:pPr>
            <w:r w:rsidRPr="001A4860">
              <w:rPr>
                <w:rFonts w:eastAsia="Calibri"/>
                <w:sz w:val="20"/>
                <w:highlight w:val="yellow"/>
                <w:lang w:val="es-ES"/>
              </w:rPr>
              <w:t>26,1</w:t>
            </w:r>
          </w:p>
        </w:tc>
      </w:tr>
      <w:tr w:rsidR="001A4860" w:rsidRPr="001A4860" w14:paraId="30AD0D28" w14:textId="77777777" w:rsidTr="001A4860">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D54E719" w14:textId="77777777" w:rsidR="001A4860" w:rsidRPr="001A4860" w:rsidRDefault="001A4860" w:rsidP="001A4860">
            <w:pPr>
              <w:jc w:val="center"/>
              <w:rPr>
                <w:rFonts w:eastAsia="Calibri"/>
                <w:sz w:val="20"/>
                <w:lang w:val="es-ES"/>
              </w:rPr>
            </w:pPr>
            <w:r w:rsidRPr="001A4860">
              <w:rPr>
                <w:rFonts w:eastAsia="Calibri"/>
                <w:sz w:val="20"/>
                <w:lang w:val="es-ES"/>
              </w:rPr>
              <w:t>EW100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D3256BE" w14:textId="77777777" w:rsidR="001A4860" w:rsidRPr="001A4860" w:rsidRDefault="001A4860" w:rsidP="001A4860">
            <w:pPr>
              <w:jc w:val="center"/>
              <w:rPr>
                <w:rFonts w:eastAsia="Calibri"/>
                <w:sz w:val="20"/>
                <w:lang w:val="es-ES"/>
              </w:rPr>
            </w:pPr>
            <w:r w:rsidRPr="001A4860">
              <w:rPr>
                <w:rFonts w:eastAsia="Calibri"/>
                <w:sz w:val="20"/>
                <w:lang w:val="es-ES"/>
              </w:rPr>
              <w:t>110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F367463" w14:textId="77777777" w:rsidR="001A4860" w:rsidRPr="001A4860" w:rsidRDefault="001A4860" w:rsidP="001A4860">
            <w:pPr>
              <w:jc w:val="center"/>
              <w:rPr>
                <w:rFonts w:eastAsia="Calibri"/>
                <w:sz w:val="20"/>
                <w:lang w:val="es-ES"/>
              </w:rPr>
            </w:pPr>
            <w:r w:rsidRPr="001A4860">
              <w:rPr>
                <w:rFonts w:eastAsia="Calibri"/>
                <w:sz w:val="20"/>
                <w:lang w:val="es-ES"/>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71BF11A" w14:textId="77777777" w:rsidR="001A4860" w:rsidRPr="001A4860" w:rsidRDefault="001A4860" w:rsidP="001A4860">
            <w:pPr>
              <w:jc w:val="center"/>
              <w:rPr>
                <w:rFonts w:eastAsia="Calibri"/>
                <w:sz w:val="20"/>
                <w:lang w:val="es-ES"/>
              </w:rPr>
            </w:pPr>
            <w:r w:rsidRPr="001A4860">
              <w:rPr>
                <w:rFonts w:eastAsia="Calibri"/>
                <w:sz w:val="20"/>
                <w:lang w:val="es-ES"/>
              </w:rPr>
              <w:t>309</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5FD44F2" w14:textId="77777777" w:rsidR="001A4860" w:rsidRPr="001A4860" w:rsidRDefault="001A4860" w:rsidP="001A4860">
            <w:pPr>
              <w:jc w:val="center"/>
              <w:rPr>
                <w:rFonts w:eastAsia="Calibri"/>
                <w:sz w:val="20"/>
                <w:lang w:val="es-ES"/>
              </w:rPr>
            </w:pPr>
            <w:r w:rsidRPr="001A4860">
              <w:rPr>
                <w:rFonts w:eastAsia="Calibri"/>
                <w:sz w:val="20"/>
                <w:lang w:val="es-ES"/>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04AAADE" w14:textId="77777777" w:rsidR="001A4860" w:rsidRPr="001A4860" w:rsidRDefault="001A4860" w:rsidP="001A4860">
            <w:pPr>
              <w:jc w:val="center"/>
              <w:rPr>
                <w:rFonts w:eastAsia="Calibri"/>
                <w:sz w:val="20"/>
                <w:lang w:val="es-ES"/>
              </w:rPr>
            </w:pPr>
            <w:r w:rsidRPr="001A4860">
              <w:rPr>
                <w:rFonts w:eastAsia="Calibri"/>
                <w:sz w:val="20"/>
                <w:lang w:val="es-ES"/>
              </w:rPr>
              <w:t>215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B89CDE8" w14:textId="77777777" w:rsidR="001A4860" w:rsidRPr="001A4860" w:rsidRDefault="001A4860" w:rsidP="001A4860">
            <w:pPr>
              <w:jc w:val="center"/>
              <w:rPr>
                <w:rFonts w:eastAsia="Calibri"/>
                <w:sz w:val="20"/>
                <w:lang w:val="es-ES"/>
              </w:rPr>
            </w:pPr>
            <w:r w:rsidRPr="001A4860">
              <w:rPr>
                <w:rFonts w:eastAsia="Calibri"/>
                <w:sz w:val="20"/>
                <w:lang w:val="es-ES"/>
              </w:rPr>
              <w:t>27,9</w:t>
            </w:r>
          </w:p>
        </w:tc>
      </w:tr>
      <w:tr w:rsidR="001A4860" w:rsidRPr="001A4860" w14:paraId="27327DB4" w14:textId="77777777" w:rsidTr="001A4860">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9DE8321" w14:textId="77777777" w:rsidR="001A4860" w:rsidRPr="001A4860" w:rsidRDefault="001A4860" w:rsidP="001A4860">
            <w:pPr>
              <w:jc w:val="center"/>
              <w:rPr>
                <w:rFonts w:eastAsia="Calibri"/>
                <w:sz w:val="20"/>
                <w:lang w:val="es-ES"/>
              </w:rPr>
            </w:pPr>
            <w:r w:rsidRPr="001A4860">
              <w:rPr>
                <w:rFonts w:eastAsia="Calibri"/>
                <w:sz w:val="20"/>
                <w:lang w:val="es-ES"/>
              </w:rPr>
              <w:t>EW140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85993C1" w14:textId="77777777" w:rsidR="001A4860" w:rsidRPr="001A4860" w:rsidRDefault="001A4860" w:rsidP="001A4860">
            <w:pPr>
              <w:jc w:val="center"/>
              <w:rPr>
                <w:rFonts w:eastAsia="Calibri"/>
                <w:sz w:val="20"/>
                <w:lang w:val="es-ES"/>
              </w:rPr>
            </w:pPr>
            <w:r w:rsidRPr="001A4860">
              <w:rPr>
                <w:rFonts w:eastAsia="Calibri"/>
                <w:sz w:val="20"/>
                <w:lang w:val="es-ES"/>
              </w:rPr>
              <w:t>155</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F863C3D" w14:textId="77777777" w:rsidR="001A4860" w:rsidRPr="001A4860" w:rsidRDefault="001A4860" w:rsidP="001A4860">
            <w:pPr>
              <w:jc w:val="center"/>
              <w:rPr>
                <w:rFonts w:eastAsia="Calibri"/>
                <w:sz w:val="20"/>
                <w:lang w:val="es-ES"/>
              </w:rPr>
            </w:pPr>
            <w:r w:rsidRPr="001A4860">
              <w:rPr>
                <w:rFonts w:eastAsia="Calibri"/>
                <w:sz w:val="20"/>
                <w:lang w:val="es-ES"/>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BC1C3ED" w14:textId="77777777" w:rsidR="001A4860" w:rsidRPr="001A4860" w:rsidRDefault="001A4860" w:rsidP="001A4860">
            <w:pPr>
              <w:jc w:val="center"/>
              <w:rPr>
                <w:rFonts w:eastAsia="Calibri"/>
                <w:sz w:val="20"/>
                <w:lang w:val="es-ES"/>
              </w:rPr>
            </w:pPr>
            <w:r w:rsidRPr="001A4860">
              <w:rPr>
                <w:rFonts w:eastAsia="Calibri"/>
                <w:sz w:val="20"/>
                <w:lang w:val="es-ES"/>
              </w:rPr>
              <w:t>510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3865E27" w14:textId="77777777" w:rsidR="001A4860" w:rsidRPr="001A4860" w:rsidRDefault="001A4860" w:rsidP="001A4860">
            <w:pPr>
              <w:jc w:val="center"/>
              <w:rPr>
                <w:rFonts w:eastAsia="Calibri"/>
                <w:sz w:val="20"/>
                <w:lang w:val="es-ES"/>
              </w:rPr>
            </w:pPr>
            <w:r w:rsidRPr="001A4860">
              <w:rPr>
                <w:rFonts w:eastAsia="Calibri"/>
                <w:sz w:val="20"/>
                <w:lang w:val="es-ES"/>
              </w:rPr>
              <w:t>189</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4D6A5CE" w14:textId="77777777" w:rsidR="001A4860" w:rsidRPr="001A4860" w:rsidRDefault="001A4860" w:rsidP="001A4860">
            <w:pPr>
              <w:jc w:val="center"/>
              <w:rPr>
                <w:rFonts w:eastAsia="Calibri"/>
                <w:sz w:val="20"/>
                <w:lang w:val="es-ES"/>
              </w:rPr>
            </w:pPr>
            <w:r w:rsidRPr="001A4860">
              <w:rPr>
                <w:rFonts w:eastAsia="Calibri"/>
                <w:sz w:val="20"/>
                <w:lang w:val="es-ES"/>
              </w:rPr>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9A3AD0C" w14:textId="77777777" w:rsidR="001A4860" w:rsidRPr="001A4860" w:rsidRDefault="001A4860" w:rsidP="001A4860">
            <w:pPr>
              <w:jc w:val="center"/>
              <w:rPr>
                <w:rFonts w:eastAsia="Calibri"/>
                <w:sz w:val="20"/>
                <w:lang w:val="es-ES"/>
              </w:rPr>
            </w:pPr>
            <w:r w:rsidRPr="001A4860">
              <w:rPr>
                <w:rFonts w:eastAsia="Calibri"/>
                <w:sz w:val="20"/>
                <w:lang w:val="es-ES"/>
              </w:rPr>
              <w:t>41,4</w:t>
            </w:r>
          </w:p>
        </w:tc>
      </w:tr>
      <w:tr w:rsidR="001A4860" w:rsidRPr="001A4860" w14:paraId="2E9BB76A" w14:textId="77777777" w:rsidTr="001A4860">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70D1BC9" w14:textId="77777777" w:rsidR="001A4860" w:rsidRPr="001A4860" w:rsidRDefault="001A4860" w:rsidP="001A4860">
            <w:pPr>
              <w:jc w:val="center"/>
              <w:rPr>
                <w:rFonts w:eastAsia="Calibri"/>
                <w:sz w:val="20"/>
                <w:lang w:val="es-ES"/>
              </w:rPr>
            </w:pPr>
            <w:r w:rsidRPr="001A4860">
              <w:rPr>
                <w:rFonts w:eastAsia="Calibri"/>
                <w:sz w:val="20"/>
                <w:lang w:val="es-ES"/>
              </w:rPr>
              <w:t>EW180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CEFCD1B" w14:textId="77777777" w:rsidR="001A4860" w:rsidRPr="001A4860" w:rsidRDefault="001A4860" w:rsidP="001A4860">
            <w:pPr>
              <w:jc w:val="center"/>
              <w:rPr>
                <w:rFonts w:eastAsia="Calibri"/>
                <w:sz w:val="20"/>
                <w:lang w:val="es-ES"/>
              </w:rPr>
            </w:pPr>
            <w:r w:rsidRPr="001A4860">
              <w:rPr>
                <w:rFonts w:eastAsia="Calibri"/>
                <w:sz w:val="20"/>
                <w:lang w:val="es-ES"/>
              </w:rPr>
              <w:t>200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69C4B8B" w14:textId="77777777" w:rsidR="001A4860" w:rsidRPr="001A4860" w:rsidRDefault="001A4860" w:rsidP="001A4860">
            <w:pPr>
              <w:jc w:val="center"/>
              <w:rPr>
                <w:rFonts w:eastAsia="Calibri"/>
                <w:sz w:val="20"/>
                <w:lang w:val="es-ES"/>
              </w:rPr>
            </w:pPr>
            <w:r w:rsidRPr="001A4860">
              <w:rPr>
                <w:rFonts w:eastAsia="Calibri"/>
                <w:sz w:val="20"/>
                <w:lang w:val="es-ES"/>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50AD8F5" w14:textId="77777777" w:rsidR="001A4860" w:rsidRPr="001A4860" w:rsidRDefault="001A4860" w:rsidP="001A4860">
            <w:pPr>
              <w:jc w:val="center"/>
              <w:rPr>
                <w:rFonts w:eastAsia="Calibri"/>
                <w:sz w:val="20"/>
                <w:lang w:val="es-ES"/>
              </w:rPr>
            </w:pPr>
            <w:r w:rsidRPr="001A4860">
              <w:rPr>
                <w:rFonts w:eastAsia="Calibri"/>
                <w:sz w:val="20"/>
                <w:lang w:val="es-ES"/>
              </w:rPr>
              <w:t>513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C31F116" w14:textId="77777777" w:rsidR="001A4860" w:rsidRPr="001A4860" w:rsidRDefault="001A4860" w:rsidP="001A4860">
            <w:pPr>
              <w:jc w:val="center"/>
              <w:rPr>
                <w:rFonts w:eastAsia="Calibri"/>
                <w:sz w:val="20"/>
                <w:lang w:val="es-ES"/>
              </w:rPr>
            </w:pPr>
            <w:r w:rsidRPr="001A4860">
              <w:rPr>
                <w:rFonts w:eastAsia="Calibri"/>
                <w:sz w:val="20"/>
                <w:lang w:val="es-ES"/>
              </w:rPr>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2FAE124" w14:textId="77777777" w:rsidR="001A4860" w:rsidRPr="001A4860" w:rsidRDefault="001A4860" w:rsidP="001A4860">
            <w:pPr>
              <w:jc w:val="center"/>
              <w:rPr>
                <w:rFonts w:eastAsia="Calibri"/>
                <w:sz w:val="20"/>
                <w:lang w:val="es-ES"/>
              </w:rPr>
            </w:pPr>
            <w:r w:rsidRPr="001A4860">
              <w:rPr>
                <w:rFonts w:eastAsia="Calibri"/>
                <w:sz w:val="20"/>
                <w:lang w:val="es-ES"/>
              </w:rPr>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D9BD735" w14:textId="77777777" w:rsidR="001A4860" w:rsidRPr="001A4860" w:rsidRDefault="001A4860" w:rsidP="001A4860">
            <w:pPr>
              <w:jc w:val="center"/>
              <w:rPr>
                <w:rFonts w:eastAsia="Calibri"/>
                <w:sz w:val="20"/>
                <w:lang w:val="es-ES"/>
              </w:rPr>
            </w:pPr>
            <w:r w:rsidRPr="001A4860">
              <w:rPr>
                <w:rFonts w:eastAsia="Calibri"/>
                <w:sz w:val="20"/>
                <w:lang w:val="es-ES"/>
              </w:rPr>
              <w:t>49,1</w:t>
            </w:r>
          </w:p>
        </w:tc>
      </w:tr>
      <w:tr w:rsidR="001A4860" w:rsidRPr="001A4860" w14:paraId="647F7D78" w14:textId="77777777" w:rsidTr="001A4860">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6D828F6" w14:textId="77777777" w:rsidR="001A4860" w:rsidRPr="001A4860" w:rsidRDefault="001A4860" w:rsidP="001A4860">
            <w:pPr>
              <w:jc w:val="center"/>
              <w:rPr>
                <w:rFonts w:eastAsia="Calibri"/>
                <w:sz w:val="20"/>
                <w:lang w:val="es-ES"/>
              </w:rPr>
            </w:pPr>
            <w:r w:rsidRPr="001A4860">
              <w:rPr>
                <w:rFonts w:eastAsia="Calibri"/>
                <w:sz w:val="20"/>
                <w:lang w:val="es-ES"/>
              </w:rPr>
              <w:t>EW230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DA83BD5" w14:textId="77777777" w:rsidR="001A4860" w:rsidRPr="001A4860" w:rsidRDefault="001A4860" w:rsidP="001A4860">
            <w:pPr>
              <w:jc w:val="center"/>
              <w:rPr>
                <w:rFonts w:eastAsia="Calibri"/>
                <w:sz w:val="20"/>
                <w:lang w:val="es-ES"/>
              </w:rPr>
            </w:pPr>
            <w:r w:rsidRPr="001A4860">
              <w:rPr>
                <w:rFonts w:eastAsia="Calibri"/>
                <w:sz w:val="20"/>
                <w:lang w:val="es-ES"/>
              </w:rPr>
              <w:t>260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A0C4BBF" w14:textId="77777777" w:rsidR="001A4860" w:rsidRPr="001A4860" w:rsidRDefault="001A4860" w:rsidP="001A4860">
            <w:pPr>
              <w:jc w:val="center"/>
              <w:rPr>
                <w:rFonts w:eastAsia="Calibri"/>
                <w:sz w:val="20"/>
                <w:lang w:val="es-ES"/>
              </w:rPr>
            </w:pPr>
            <w:r w:rsidRPr="001A4860">
              <w:rPr>
                <w:rFonts w:eastAsia="Calibri"/>
                <w:sz w:val="20"/>
                <w:lang w:val="es-ES"/>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4C2B168" w14:textId="77777777" w:rsidR="001A4860" w:rsidRPr="001A4860" w:rsidRDefault="001A4860" w:rsidP="001A4860">
            <w:pPr>
              <w:jc w:val="center"/>
              <w:rPr>
                <w:rFonts w:eastAsia="Calibri"/>
                <w:sz w:val="20"/>
                <w:lang w:val="es-ES"/>
              </w:rPr>
            </w:pPr>
            <w:r w:rsidRPr="001A4860">
              <w:rPr>
                <w:rFonts w:eastAsia="Calibri"/>
                <w:sz w:val="20"/>
                <w:lang w:val="es-ES"/>
              </w:rPr>
              <w:t>518</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C1CC683" w14:textId="77777777" w:rsidR="001A4860" w:rsidRPr="001A4860" w:rsidRDefault="001A4860" w:rsidP="001A4860">
            <w:pPr>
              <w:jc w:val="center"/>
              <w:rPr>
                <w:rFonts w:eastAsia="Calibri"/>
                <w:sz w:val="20"/>
                <w:lang w:val="es-ES"/>
              </w:rPr>
            </w:pPr>
            <w:r w:rsidRPr="001A4860">
              <w:rPr>
                <w:rFonts w:eastAsia="Calibri"/>
                <w:sz w:val="20"/>
                <w:lang w:val="es-ES"/>
              </w:rPr>
              <w:t>273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6F8605E" w14:textId="77777777" w:rsidR="001A4860" w:rsidRPr="001A4860" w:rsidRDefault="001A4860" w:rsidP="001A4860">
            <w:pPr>
              <w:jc w:val="center"/>
              <w:rPr>
                <w:rFonts w:eastAsia="Calibri"/>
                <w:sz w:val="20"/>
                <w:lang w:val="es-ES"/>
              </w:rPr>
            </w:pPr>
            <w:r w:rsidRPr="001A4860">
              <w:rPr>
                <w:rFonts w:eastAsia="Calibri"/>
                <w:sz w:val="20"/>
                <w:lang w:val="es-ES"/>
              </w:rPr>
              <w:t>240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195A249" w14:textId="77777777" w:rsidR="001A4860" w:rsidRPr="001A4860" w:rsidRDefault="001A4860" w:rsidP="001A4860">
            <w:pPr>
              <w:jc w:val="center"/>
              <w:rPr>
                <w:rFonts w:eastAsia="Calibri"/>
                <w:sz w:val="20"/>
                <w:lang w:val="es-ES"/>
              </w:rPr>
            </w:pPr>
            <w:r w:rsidRPr="001A4860">
              <w:rPr>
                <w:rFonts w:eastAsia="Calibri"/>
                <w:sz w:val="20"/>
                <w:lang w:val="es-ES"/>
              </w:rPr>
              <w:t>64,4</w:t>
            </w:r>
          </w:p>
        </w:tc>
      </w:tr>
    </w:tbl>
    <w:p w14:paraId="09FD5238" w14:textId="77777777" w:rsidR="001A4860" w:rsidRPr="001A4860" w:rsidRDefault="001A4860" w:rsidP="001A4860">
      <w:pPr>
        <w:jc w:val="center"/>
        <w:rPr>
          <w:rFonts w:eastAsia="Calibri"/>
          <w:szCs w:val="24"/>
          <w:lang w:val="es-ES" w:eastAsia="en-GB"/>
        </w:rPr>
      </w:pPr>
    </w:p>
    <w:p w14:paraId="5647E351" w14:textId="77777777" w:rsidR="001A4860" w:rsidRPr="001A4860" w:rsidRDefault="001A4860" w:rsidP="001A4860">
      <w:pPr>
        <w:rPr>
          <w:rFonts w:eastAsia="Calibri"/>
          <w:b/>
          <w:szCs w:val="24"/>
          <w:lang w:val="es-ES" w:eastAsia="en-GB"/>
        </w:rPr>
      </w:pPr>
      <w:r w:rsidRPr="001A4860">
        <w:rPr>
          <w:rFonts w:eastAsia="Calibri"/>
          <w:b/>
          <w:szCs w:val="24"/>
          <w:lang w:val="es-ES" w:eastAsia="en-GB"/>
        </w:rPr>
        <w:t>ESPECIFICACIONES DE COBERTIZO DE PLANTA DE TRATAMIENTO DE AGUA POTABLE</w:t>
      </w:r>
    </w:p>
    <w:p w14:paraId="1EE88460" w14:textId="77777777" w:rsidR="001A4860" w:rsidRPr="001A4860" w:rsidRDefault="001A4860" w:rsidP="001A4860">
      <w:pPr>
        <w:jc w:val="left"/>
        <w:rPr>
          <w:rFonts w:eastAsia="Calibri"/>
          <w:szCs w:val="24"/>
          <w:lang w:val="es-ES" w:eastAsia="en-GB"/>
        </w:rPr>
      </w:pPr>
    </w:p>
    <w:p w14:paraId="592B2A92"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Esta obra consiste en la construcción de un cobertizo de 28 m2 para la protección de un sistema de filtro presurizado rural FPR de tres cuerpos e incluye el trazado y nivelación de la misma.</w:t>
      </w:r>
    </w:p>
    <w:p w14:paraId="680CF8C1"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Las dimensiones son las indicada en los planos. La estructura en cuestión tendrá las características que se describen a continuación:</w:t>
      </w:r>
    </w:p>
    <w:p w14:paraId="54AFFC86"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EL cobertizo estará soportado por columnas metálicas (cajas) de 4”x4”x1/8” fijada con placa de 8”x8”x1/4”, según se muestran en los planos constructivos. </w:t>
      </w:r>
    </w:p>
    <w:p w14:paraId="7E77768B"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La estructura de techo será metálica y estará conformada por viga metálica perimetrales (caja) 4”x4”x1/8” con cubierta de lámina ondulada de zinc calibre #26 la cual será soportada por perlines de 3”x1 1/2” x 1/16” que servirán a modo de clavadores.</w:t>
      </w:r>
    </w:p>
    <w:p w14:paraId="480BB8D8" w14:textId="77777777" w:rsidR="001A4860" w:rsidRPr="001A4860" w:rsidRDefault="001A4860" w:rsidP="001A4860">
      <w:pPr>
        <w:rPr>
          <w:rFonts w:eastAsia="Calibri"/>
          <w:szCs w:val="24"/>
          <w:lang w:val="es-ES"/>
        </w:rPr>
      </w:pPr>
      <w:r w:rsidRPr="001A4860">
        <w:rPr>
          <w:rFonts w:eastAsia="Calibri"/>
          <w:szCs w:val="24"/>
          <w:lang w:val="es-ES"/>
        </w:rPr>
        <w:t>El piso será una losa de concreto reforzado en ambas direcciones de 3000 PSI esta cubrirá un área mínima de instalación de 16.5 m2, dicha área será la destinada para la instalación del sistema de filtro presurizado.</w:t>
      </w:r>
    </w:p>
    <w:p w14:paraId="04BF042C" w14:textId="77777777" w:rsidR="001A4860" w:rsidRPr="001A4860" w:rsidRDefault="001A4860" w:rsidP="001A4860">
      <w:pPr>
        <w:rPr>
          <w:rFonts w:eastAsia="Calibri"/>
          <w:szCs w:val="24"/>
          <w:lang w:val="es-ES"/>
        </w:rPr>
      </w:pPr>
    </w:p>
    <w:p w14:paraId="2F0FCD53" w14:textId="77777777" w:rsidR="001A4860" w:rsidRPr="001A4860" w:rsidRDefault="001A4860" w:rsidP="001A4860">
      <w:pPr>
        <w:spacing w:after="160" w:line="259" w:lineRule="auto"/>
        <w:rPr>
          <w:rFonts w:eastAsia="Calibri"/>
          <w:szCs w:val="24"/>
          <w:lang w:val="es-ES"/>
        </w:rPr>
      </w:pPr>
      <w:r w:rsidRPr="001A4860">
        <w:rPr>
          <w:rFonts w:eastAsia="Calibri"/>
          <w:szCs w:val="24"/>
          <w:lang w:val="es-ES"/>
        </w:rPr>
        <w:t xml:space="preserve">Todo el perímetro de la estructura será forrado con una malla ciclón calibre 12 la cual será fijada a las columnas (cajas) de 4” x 4” x 1/8” con una varilla de ¼” de diámetro. Además, se construirá una puerta de acceso de 2.43 m de longitud dotada con sus respectivos arreos 8pasador, cadena, candado) según como se muestra en los planos constructivos. </w:t>
      </w:r>
    </w:p>
    <w:p w14:paraId="0C44AB9E" w14:textId="77777777" w:rsidR="001A4860" w:rsidRPr="001A4860" w:rsidRDefault="001A4860" w:rsidP="001A4860">
      <w:pPr>
        <w:rPr>
          <w:rFonts w:eastAsia="Calibri"/>
          <w:b/>
          <w:szCs w:val="24"/>
          <w:lang w:val="es-ES"/>
        </w:rPr>
      </w:pPr>
      <w:r w:rsidRPr="001A4860">
        <w:rPr>
          <w:rFonts w:eastAsia="Calibri"/>
          <w:b/>
          <w:szCs w:val="24"/>
          <w:lang w:val="es-ES"/>
        </w:rPr>
        <w:t>SUMINISTRO E INSTALACIÓN DE EQUIPO DE CLORINACION COMPLETO A CARGA CONSTANTE DE UN RECIPIENTE</w:t>
      </w:r>
    </w:p>
    <w:p w14:paraId="4178844C" w14:textId="77777777" w:rsidR="001A4860" w:rsidRPr="001A4860" w:rsidRDefault="001A4860" w:rsidP="001A4860">
      <w:pPr>
        <w:rPr>
          <w:rFonts w:eastAsia="Calibri"/>
          <w:b/>
          <w:szCs w:val="24"/>
          <w:lang w:val="es-ES"/>
        </w:rPr>
      </w:pPr>
    </w:p>
    <w:p w14:paraId="47781E6B" w14:textId="77777777" w:rsidR="001A4860" w:rsidRPr="001A4860" w:rsidRDefault="001A4860" w:rsidP="001A4860">
      <w:pPr>
        <w:rPr>
          <w:rFonts w:eastAsia="Calibri"/>
          <w:szCs w:val="24"/>
          <w:lang w:val="es-ES"/>
        </w:rPr>
      </w:pPr>
      <w:r w:rsidRPr="001A4860">
        <w:rPr>
          <w:rFonts w:eastAsia="Calibri"/>
          <w:szCs w:val="24"/>
          <w:lang w:val="es-ES"/>
        </w:rPr>
        <w:t xml:space="preserve">Este sistema es recomendado para sistemas de agua potable por gravedad con o sin planta de tratamiento en el ámbito rural, permite el suministro constante de pequeñas dosis de solución clorada a caudales de agua que ingresan al reservorio. </w:t>
      </w:r>
    </w:p>
    <w:p w14:paraId="6633BB4C" w14:textId="77777777" w:rsidR="001A4860" w:rsidRPr="001A4860" w:rsidRDefault="001A4860" w:rsidP="001A4860">
      <w:pPr>
        <w:spacing w:after="160" w:line="259" w:lineRule="auto"/>
        <w:jc w:val="left"/>
        <w:rPr>
          <w:rFonts w:eastAsia="Calibri"/>
          <w:szCs w:val="24"/>
          <w:lang w:val="es-ES"/>
        </w:rPr>
      </w:pPr>
      <w:r w:rsidRPr="001A4860">
        <w:rPr>
          <w:rFonts w:eastAsia="Calibri"/>
          <w:szCs w:val="24"/>
          <w:lang w:val="es-ES"/>
        </w:rPr>
        <w:br w:type="page"/>
      </w:r>
    </w:p>
    <w:p w14:paraId="69A536F0" w14:textId="77777777" w:rsidR="001A4860" w:rsidRPr="001A4860" w:rsidRDefault="001A4860" w:rsidP="001A4860">
      <w:pPr>
        <w:rPr>
          <w:rFonts w:eastAsia="Calibri"/>
          <w:szCs w:val="24"/>
          <w:lang w:val="es-ES"/>
        </w:rPr>
      </w:pPr>
      <w:r w:rsidRPr="001A4860">
        <w:rPr>
          <w:rFonts w:eastAsia="Calibri"/>
          <w:szCs w:val="24"/>
          <w:lang w:val="es-ES"/>
        </w:rPr>
        <w:lastRenderedPageBreak/>
        <w:t xml:space="preserve">La solución clorada o solución madre generalmente es preparada aparte en un tanque de polietileno utilizando hipoclorito de calcio al 65 - 70% (o hipoclorito de sodio) a una determinada concentración C (no mayor a 5000 ppm). El objetivo del sistema es lograr un goteo y/o caudal constante de solución en el interior del reservorio de agua potable. </w:t>
      </w:r>
    </w:p>
    <w:p w14:paraId="02397759" w14:textId="77777777" w:rsidR="001A4860" w:rsidRPr="001A4860" w:rsidRDefault="001A4860" w:rsidP="001A4860">
      <w:pPr>
        <w:rPr>
          <w:rFonts w:eastAsia="Calibri"/>
          <w:szCs w:val="24"/>
          <w:lang w:val="es-ES"/>
        </w:rPr>
      </w:pPr>
    </w:p>
    <w:p w14:paraId="71A442DB" w14:textId="77777777" w:rsidR="001A4860" w:rsidRPr="001A4860" w:rsidRDefault="001A4860" w:rsidP="001A4860">
      <w:pPr>
        <w:rPr>
          <w:rFonts w:eastAsia="Calibri"/>
          <w:b/>
          <w:szCs w:val="24"/>
          <w:lang w:val="es-ES"/>
        </w:rPr>
      </w:pPr>
      <w:r w:rsidRPr="001A4860">
        <w:rPr>
          <w:rFonts w:eastAsia="Calibri"/>
          <w:b/>
          <w:szCs w:val="24"/>
          <w:lang w:val="es-ES"/>
        </w:rPr>
        <w:t xml:space="preserve">Partes del hipoclorador de goteo de carga constante de un recipiente </w:t>
      </w:r>
    </w:p>
    <w:p w14:paraId="45A5CE3C" w14:textId="77777777" w:rsidR="001A4860" w:rsidRPr="001A4860" w:rsidRDefault="001A4860" w:rsidP="001A4860">
      <w:pPr>
        <w:rPr>
          <w:rFonts w:eastAsia="Calibri"/>
          <w:b/>
          <w:szCs w:val="24"/>
          <w:lang w:val="es-ES"/>
        </w:rPr>
      </w:pPr>
    </w:p>
    <w:p w14:paraId="04E5BC53" w14:textId="77777777" w:rsidR="001A4860" w:rsidRPr="001A4860" w:rsidRDefault="001A4860" w:rsidP="003B68DB">
      <w:pPr>
        <w:numPr>
          <w:ilvl w:val="0"/>
          <w:numId w:val="201"/>
        </w:numPr>
        <w:spacing w:after="160" w:line="259" w:lineRule="auto"/>
        <w:ind w:left="0" w:firstLine="0"/>
        <w:contextualSpacing/>
        <w:jc w:val="left"/>
        <w:rPr>
          <w:rFonts w:eastAsia="Calibri"/>
          <w:b/>
          <w:i/>
          <w:szCs w:val="24"/>
          <w:lang w:val="es-NI"/>
        </w:rPr>
      </w:pPr>
      <w:r w:rsidRPr="001A4860">
        <w:rPr>
          <w:rFonts w:eastAsia="Calibri"/>
          <w:b/>
          <w:i/>
          <w:szCs w:val="24"/>
          <w:lang w:val="es-NI"/>
        </w:rPr>
        <w:t xml:space="preserve">Recipiente dosificador y accesorios de conexión al reservorio. </w:t>
      </w:r>
    </w:p>
    <w:p w14:paraId="7C767E89" w14:textId="77777777" w:rsidR="001A4860" w:rsidRPr="001A4860" w:rsidRDefault="001A4860" w:rsidP="001A4860">
      <w:pPr>
        <w:rPr>
          <w:rFonts w:eastAsia="Calibri"/>
          <w:szCs w:val="24"/>
          <w:lang w:val="es-ES"/>
        </w:rPr>
      </w:pPr>
      <w:r w:rsidRPr="001A4860">
        <w:rPr>
          <w:rFonts w:eastAsia="Calibri"/>
          <w:szCs w:val="24"/>
          <w:lang w:val="es-ES"/>
        </w:rPr>
        <w:t xml:space="preserve">Con capacidad de 33 glns (125 lts) con dimensiones aproximadas: altura de 0.82 m y diámetro de 0.4 m.  En este se almacena mezcla de hipoclorito de calcio o de sodio con agua. Debe ser de material que soporte el efecto corrosivo del cloro. Los accesorios de conexión al reservorio consisten en una manguera plástica Ø1/4 (de suero), una válvula reguladora y un flotado plástico. </w:t>
      </w:r>
    </w:p>
    <w:p w14:paraId="68E14B6C" w14:textId="77777777" w:rsidR="001A4860" w:rsidRPr="001A4860" w:rsidRDefault="001A4860" w:rsidP="001A4860">
      <w:pPr>
        <w:rPr>
          <w:rFonts w:eastAsia="Calibri"/>
          <w:szCs w:val="24"/>
          <w:lang w:val="es-ES"/>
        </w:rPr>
      </w:pPr>
    </w:p>
    <w:p w14:paraId="26175F9A" w14:textId="77777777" w:rsidR="001A4860" w:rsidRPr="001A4860" w:rsidRDefault="001A4860" w:rsidP="003B68DB">
      <w:pPr>
        <w:numPr>
          <w:ilvl w:val="0"/>
          <w:numId w:val="201"/>
        </w:numPr>
        <w:spacing w:after="160" w:line="259" w:lineRule="auto"/>
        <w:ind w:left="0" w:firstLine="0"/>
        <w:contextualSpacing/>
        <w:jc w:val="left"/>
        <w:rPr>
          <w:rFonts w:eastAsia="Calibri"/>
          <w:b/>
          <w:i/>
          <w:szCs w:val="24"/>
          <w:lang w:val="es-NI"/>
        </w:rPr>
      </w:pPr>
      <w:r w:rsidRPr="001A4860">
        <w:rPr>
          <w:rFonts w:eastAsia="Calibri"/>
          <w:b/>
          <w:i/>
          <w:szCs w:val="24"/>
          <w:lang w:val="es-NI"/>
        </w:rPr>
        <w:t>Caseta de protección.</w:t>
      </w:r>
    </w:p>
    <w:p w14:paraId="69BB69F7" w14:textId="77777777" w:rsidR="001A4860" w:rsidRPr="001A4860" w:rsidRDefault="001A4860" w:rsidP="001A4860">
      <w:pPr>
        <w:rPr>
          <w:rFonts w:eastAsia="Calibri"/>
          <w:szCs w:val="24"/>
          <w:lang w:val="es-ES"/>
        </w:rPr>
      </w:pPr>
      <w:r w:rsidRPr="001A4860">
        <w:rPr>
          <w:rFonts w:eastAsia="Calibri"/>
          <w:szCs w:val="24"/>
          <w:lang w:val="es-ES"/>
        </w:rPr>
        <w:t>Esta tecnología se instala sobre el reservorio o al lado de este, protegiéndola con una caseta, evitando la manipulación innecesaria por parte de personas extrañas. La caseta de protección se puede construir de madera o estructura metálica, elección que va depender de la disponibilidad de materiales en la zona para su construcción.</w:t>
      </w:r>
    </w:p>
    <w:p w14:paraId="55DD0C76" w14:textId="77777777" w:rsidR="001A4860" w:rsidRPr="001A4860" w:rsidRDefault="001A4860" w:rsidP="001A4860">
      <w:pPr>
        <w:rPr>
          <w:rFonts w:eastAsia="Calibri"/>
          <w:szCs w:val="24"/>
          <w:lang w:val="es-ES"/>
        </w:rPr>
      </w:pPr>
    </w:p>
    <w:p w14:paraId="1C33DBA4" w14:textId="77777777" w:rsidR="001A4860" w:rsidRPr="001A4860" w:rsidRDefault="001A4860" w:rsidP="001A4860">
      <w:pPr>
        <w:rPr>
          <w:rFonts w:eastAsia="Calibri"/>
          <w:szCs w:val="24"/>
          <w:lang w:val="es-ES"/>
        </w:rPr>
      </w:pPr>
      <w:r w:rsidRPr="001A4860">
        <w:rPr>
          <w:rFonts w:eastAsia="Calibri"/>
          <w:szCs w:val="24"/>
          <w:lang w:val="es-ES"/>
        </w:rPr>
        <w:t xml:space="preserve">En este caso la caseta será de tubo de hierro galvanizado de 2” de diámetro con una altura de 1.14 m. el techo será de lámina de zinc ondulado calibre 26 sostenido por un perlín de 1”x3” con 2 manos de pintura. Incluye también una plataforma de madera para que si se da un derrame de solución no caiga directamente sobre el tanque interactuando con la pintura de impermeabilización. Todo esto según se indica en los planos constructivos. </w:t>
      </w:r>
    </w:p>
    <w:p w14:paraId="0C7DF514" w14:textId="77777777" w:rsidR="001A4860" w:rsidRPr="001A4860" w:rsidRDefault="001A4860" w:rsidP="001A4860">
      <w:pPr>
        <w:spacing w:after="160" w:line="259" w:lineRule="auto"/>
        <w:jc w:val="left"/>
        <w:rPr>
          <w:rFonts w:eastAsia="Calibri"/>
          <w:szCs w:val="24"/>
          <w:lang w:val="es-ES"/>
        </w:rPr>
      </w:pPr>
      <w:r w:rsidRPr="001A4860">
        <w:rPr>
          <w:rFonts w:eastAsia="Calibri"/>
          <w:szCs w:val="24"/>
          <w:lang w:val="es-ES"/>
        </w:rPr>
        <w:br w:type="page"/>
      </w:r>
    </w:p>
    <w:p w14:paraId="572FB337" w14:textId="77777777" w:rsidR="001A4860" w:rsidRPr="001A4860" w:rsidRDefault="001A4860" w:rsidP="001A4860">
      <w:pPr>
        <w:keepNext/>
        <w:keepLines/>
        <w:spacing w:before="40" w:line="259" w:lineRule="auto"/>
        <w:outlineLvl w:val="1"/>
        <w:rPr>
          <w:rFonts w:ascii="Calibri" w:eastAsia="Calibri" w:hAnsi="Calibri" w:cs="Calibri"/>
          <w:b/>
          <w:color w:val="1F4E79"/>
          <w:szCs w:val="22"/>
          <w:lang w:val="es-ES"/>
        </w:rPr>
      </w:pPr>
      <w:bookmarkStart w:id="1609" w:name="_Toc95314357"/>
      <w:r w:rsidRPr="001A4860">
        <w:rPr>
          <w:rFonts w:ascii="Calibri" w:eastAsia="Calibri" w:hAnsi="Calibri" w:cs="Calibri"/>
          <w:b/>
          <w:color w:val="1F4E79"/>
          <w:szCs w:val="22"/>
          <w:lang w:val="es-ES"/>
        </w:rPr>
        <w:lastRenderedPageBreak/>
        <w:t xml:space="preserve">ESPECIFICACIONES AMBIENTALES PARTICULARES </w:t>
      </w:r>
      <w:bookmarkEnd w:id="1609"/>
    </w:p>
    <w:p w14:paraId="5BFB3299" w14:textId="77777777" w:rsidR="001A4860" w:rsidRPr="001A4860" w:rsidRDefault="001A4860" w:rsidP="001A4860">
      <w:pPr>
        <w:spacing w:after="160" w:line="259" w:lineRule="auto"/>
        <w:rPr>
          <w:rFonts w:ascii="Calibri" w:eastAsia="Calibri" w:hAnsi="Calibri" w:cs="Calibri"/>
          <w:sz w:val="22"/>
          <w:szCs w:val="22"/>
          <w:lang w:val="es-ES"/>
        </w:rPr>
      </w:pPr>
    </w:p>
    <w:p w14:paraId="4ED10DD1" w14:textId="77777777" w:rsidR="001A4860" w:rsidRPr="001A4860" w:rsidRDefault="001A4860" w:rsidP="001A4860">
      <w:pPr>
        <w:spacing w:after="160" w:line="259" w:lineRule="auto"/>
        <w:rPr>
          <w:rFonts w:ascii="Calibri" w:eastAsia="Calibri" w:hAnsi="Calibri" w:cs="Calibri"/>
          <w:sz w:val="22"/>
          <w:szCs w:val="22"/>
          <w:lang w:val="es-ES"/>
        </w:rPr>
      </w:pPr>
      <w:r w:rsidRPr="001A4860">
        <w:rPr>
          <w:rFonts w:ascii="Calibri" w:eastAsia="Calibri" w:hAnsi="Calibri" w:cs="Calibri"/>
          <w:b/>
          <w:bCs/>
          <w:sz w:val="22"/>
          <w:szCs w:val="22"/>
          <w:lang w:val="es-ES"/>
        </w:rPr>
        <w:t xml:space="preserve">PROYECTO “19842 AGUA Y SANEAMIENTO EN LA COMUNIDAD ZACATERA”, MUNICIPIO WIWILI. </w:t>
      </w:r>
    </w:p>
    <w:p w14:paraId="450BFCE4" w14:textId="77777777" w:rsidR="001A4860" w:rsidRPr="001A4860" w:rsidRDefault="001A4860" w:rsidP="001A4860">
      <w:pPr>
        <w:spacing w:after="160" w:line="259" w:lineRule="auto"/>
        <w:jc w:val="left"/>
        <w:rPr>
          <w:rFonts w:ascii="Calibri" w:eastAsia="Calibri" w:hAnsi="Calibri" w:cs="Calibri"/>
          <w:b/>
          <w:bCs/>
          <w:sz w:val="22"/>
          <w:szCs w:val="22"/>
          <w:u w:val="single"/>
          <w:lang w:val="es-ES"/>
        </w:rPr>
      </w:pPr>
      <w:r w:rsidRPr="001A4860">
        <w:rPr>
          <w:rFonts w:ascii="Calibri" w:eastAsia="Calibri" w:hAnsi="Calibri" w:cs="Calibri"/>
          <w:b/>
          <w:bCs/>
          <w:sz w:val="22"/>
          <w:szCs w:val="22"/>
          <w:u w:val="single"/>
          <w:lang w:val="es-ES"/>
        </w:rPr>
        <w:t>PROGRAMA DE GESTIÓN AMBIENTAL</w:t>
      </w:r>
    </w:p>
    <w:p w14:paraId="77F19B3B" w14:textId="77777777" w:rsidR="001A4860" w:rsidRPr="001A4860" w:rsidRDefault="001A4860" w:rsidP="001A4860">
      <w:pPr>
        <w:spacing w:after="160" w:line="259" w:lineRule="auto"/>
        <w:rPr>
          <w:rFonts w:ascii="Calibri" w:eastAsia="Calibri" w:hAnsi="Calibri" w:cs="Calibri"/>
          <w:bCs/>
          <w:sz w:val="22"/>
          <w:szCs w:val="22"/>
          <w:lang w:val="es-ES"/>
        </w:rPr>
      </w:pPr>
      <w:r w:rsidRPr="001A4860">
        <w:rPr>
          <w:rFonts w:ascii="Calibri" w:eastAsia="Calibri" w:hAnsi="Calibri" w:cs="Calibri"/>
          <w:bCs/>
          <w:sz w:val="22"/>
          <w:szCs w:val="22"/>
          <w:lang w:val="es-ES"/>
        </w:rPr>
        <w:t xml:space="preserve">El presente Programa de Gestión Ambiental contiene las medidas ambientales para mitigar los impactos ambientales de las actividades para la construcción y operación y mantenimiento del sub </w:t>
      </w:r>
      <w:r w:rsidRPr="001A4860">
        <w:rPr>
          <w:rFonts w:ascii="Calibri" w:eastAsia="Calibri" w:hAnsi="Calibri" w:cs="Calibri"/>
          <w:b/>
          <w:bCs/>
          <w:sz w:val="22"/>
          <w:szCs w:val="22"/>
          <w:lang w:val="es-ES"/>
        </w:rPr>
        <w:t>proyecto de agua y saneamiento en la comunidad Zacateras</w:t>
      </w:r>
      <w:r w:rsidRPr="001A4860">
        <w:rPr>
          <w:rFonts w:ascii="Calibri" w:eastAsia="Calibri" w:hAnsi="Calibri" w:cs="Calibri"/>
          <w:bCs/>
          <w:sz w:val="22"/>
          <w:szCs w:val="22"/>
          <w:lang w:val="es-ES"/>
        </w:rPr>
        <w:t>. A continuación, son presentadas las medidas ambientales para mitigar los impactos del proyecto:</w:t>
      </w:r>
    </w:p>
    <w:p w14:paraId="0ADD0F90" w14:textId="77777777" w:rsidR="001A4860" w:rsidRPr="001A4860" w:rsidRDefault="001A4860" w:rsidP="001A4860">
      <w:pPr>
        <w:spacing w:after="160" w:line="259" w:lineRule="auto"/>
        <w:jc w:val="left"/>
        <w:rPr>
          <w:rFonts w:ascii="Calibri" w:eastAsia="Calibri" w:hAnsi="Calibri" w:cs="Calibri"/>
          <w:b/>
          <w:bCs/>
          <w:sz w:val="22"/>
          <w:szCs w:val="22"/>
          <w:lang w:val="es-ES"/>
        </w:rPr>
      </w:pPr>
      <w:r w:rsidRPr="001A4860">
        <w:rPr>
          <w:rFonts w:ascii="Calibri" w:eastAsia="Calibri" w:hAnsi="Calibri" w:cs="Calibri"/>
          <w:b/>
          <w:bCs/>
          <w:sz w:val="22"/>
          <w:szCs w:val="22"/>
          <w:lang w:val="es-ES"/>
        </w:rPr>
        <w:t>2.1 PLANES DE GESTIÓN AMBIENTAL</w:t>
      </w:r>
    </w:p>
    <w:tbl>
      <w:tblPr>
        <w:tblStyle w:val="Tablaconcuadrcula4"/>
        <w:tblW w:w="10773" w:type="dxa"/>
        <w:tblInd w:w="-998" w:type="dxa"/>
        <w:tblLook w:val="04A0" w:firstRow="1" w:lastRow="0" w:firstColumn="1" w:lastColumn="0" w:noHBand="0" w:noVBand="1"/>
      </w:tblPr>
      <w:tblGrid>
        <w:gridCol w:w="1560"/>
        <w:gridCol w:w="1685"/>
        <w:gridCol w:w="1583"/>
        <w:gridCol w:w="2606"/>
        <w:gridCol w:w="1934"/>
        <w:gridCol w:w="1405"/>
      </w:tblGrid>
      <w:tr w:rsidR="001A4860" w:rsidRPr="001A4860" w14:paraId="457D4039" w14:textId="77777777" w:rsidTr="001A4860">
        <w:tc>
          <w:tcPr>
            <w:tcW w:w="1560" w:type="dxa"/>
          </w:tcPr>
          <w:p w14:paraId="5DAAB4CB" w14:textId="77777777" w:rsidR="001A4860" w:rsidRPr="001A4860" w:rsidRDefault="001A4860" w:rsidP="001A4860">
            <w:pPr>
              <w:jc w:val="left"/>
              <w:rPr>
                <w:rFonts w:ascii="Calibri" w:eastAsia="Calibri" w:hAnsi="Calibri" w:cs="Calibri"/>
                <w:bCs/>
                <w:sz w:val="20"/>
                <w:szCs w:val="22"/>
                <w:lang w:val="es-ES"/>
              </w:rPr>
            </w:pPr>
            <w:r w:rsidRPr="001A4860">
              <w:rPr>
                <w:rFonts w:ascii="Calibri" w:eastAsia="Calibri" w:hAnsi="Calibri" w:cs="Calibri"/>
                <w:bCs/>
                <w:sz w:val="20"/>
                <w:szCs w:val="22"/>
                <w:lang w:val="es-ES"/>
              </w:rPr>
              <w:t>Nº 1</w:t>
            </w:r>
          </w:p>
        </w:tc>
        <w:tc>
          <w:tcPr>
            <w:tcW w:w="9213" w:type="dxa"/>
            <w:gridSpan w:val="5"/>
          </w:tcPr>
          <w:p w14:paraId="78E6B366" w14:textId="77777777" w:rsidR="001A4860" w:rsidRPr="001A4860" w:rsidRDefault="001A4860" w:rsidP="001A4860">
            <w:pPr>
              <w:jc w:val="left"/>
              <w:rPr>
                <w:rFonts w:ascii="Calibri" w:eastAsia="Calibri" w:hAnsi="Calibri" w:cs="Calibri"/>
                <w:bCs/>
                <w:sz w:val="20"/>
                <w:szCs w:val="22"/>
                <w:lang w:val="es-ES"/>
              </w:rPr>
            </w:pPr>
            <w:r w:rsidRPr="001A4860">
              <w:rPr>
                <w:rFonts w:ascii="Calibri" w:eastAsia="Calibri" w:hAnsi="Calibri" w:cs="Calibri"/>
                <w:bCs/>
                <w:sz w:val="20"/>
                <w:szCs w:val="22"/>
                <w:lang w:val="es-ES"/>
              </w:rPr>
              <w:t>NOMBRE DEL PLAN: PLAN DE GESTIÓN DEL MEDIO BIÓTICO</w:t>
            </w:r>
          </w:p>
        </w:tc>
      </w:tr>
      <w:tr w:rsidR="001A4860" w:rsidRPr="001A4860" w14:paraId="2B68CBBB" w14:textId="77777777" w:rsidTr="001A4860">
        <w:tc>
          <w:tcPr>
            <w:tcW w:w="1560" w:type="dxa"/>
            <w:vAlign w:val="center"/>
          </w:tcPr>
          <w:p w14:paraId="7115A165"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ACTIVIDAD IMPACTANTE</w:t>
            </w:r>
          </w:p>
        </w:tc>
        <w:tc>
          <w:tcPr>
            <w:tcW w:w="1685" w:type="dxa"/>
            <w:vAlign w:val="center"/>
          </w:tcPr>
          <w:p w14:paraId="65DDA5F6"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IMPACTO AMBIENTAL POTENCIAL</w:t>
            </w:r>
          </w:p>
        </w:tc>
        <w:tc>
          <w:tcPr>
            <w:tcW w:w="1583" w:type="dxa"/>
            <w:vAlign w:val="center"/>
          </w:tcPr>
          <w:p w14:paraId="0334BB64"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MEDIDA AMBIENTAL</w:t>
            </w:r>
          </w:p>
        </w:tc>
        <w:tc>
          <w:tcPr>
            <w:tcW w:w="2606" w:type="dxa"/>
            <w:vAlign w:val="center"/>
          </w:tcPr>
          <w:p w14:paraId="1905A9D2"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DESCRIPCIÓN</w:t>
            </w:r>
          </w:p>
        </w:tc>
        <w:tc>
          <w:tcPr>
            <w:tcW w:w="1934" w:type="dxa"/>
            <w:vAlign w:val="center"/>
          </w:tcPr>
          <w:p w14:paraId="0950A381"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COSTO DE LA MEDIDA</w:t>
            </w:r>
          </w:p>
        </w:tc>
        <w:tc>
          <w:tcPr>
            <w:tcW w:w="1405" w:type="dxa"/>
            <w:vAlign w:val="center"/>
          </w:tcPr>
          <w:p w14:paraId="759D378B"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RESPONSABLE</w:t>
            </w:r>
          </w:p>
        </w:tc>
      </w:tr>
      <w:tr w:rsidR="001A4860" w:rsidRPr="001A4860" w14:paraId="429FE628" w14:textId="77777777" w:rsidTr="001A4860">
        <w:trPr>
          <w:trHeight w:val="578"/>
        </w:trPr>
        <w:tc>
          <w:tcPr>
            <w:tcW w:w="1560" w:type="dxa"/>
            <w:noWrap/>
          </w:tcPr>
          <w:p w14:paraId="6E5C7EB3"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Limpieza y excavación.</w:t>
            </w:r>
          </w:p>
        </w:tc>
        <w:tc>
          <w:tcPr>
            <w:tcW w:w="1685" w:type="dxa"/>
            <w:noWrap/>
          </w:tcPr>
          <w:p w14:paraId="6D759AF3"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Cambios temporales en la zona afectada por la instalación de la línea de conducción y la red de distribución.</w:t>
            </w:r>
          </w:p>
        </w:tc>
        <w:tc>
          <w:tcPr>
            <w:tcW w:w="1583" w:type="dxa"/>
          </w:tcPr>
          <w:p w14:paraId="53C65B48"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Reutilizar el material de excavación para relleno en la zanja donde estará instalada la línea de conducción y la red de distribución.</w:t>
            </w:r>
          </w:p>
        </w:tc>
        <w:tc>
          <w:tcPr>
            <w:tcW w:w="2606" w:type="dxa"/>
          </w:tcPr>
          <w:p w14:paraId="7BA8AE7F"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El material que sea extraído de la excavación se usará nuevamente para el relleno de la misma, a la vez que se promoverá la reconformación del terreno a la configuración original.</w:t>
            </w:r>
          </w:p>
        </w:tc>
        <w:tc>
          <w:tcPr>
            <w:tcW w:w="1934" w:type="dxa"/>
          </w:tcPr>
          <w:p w14:paraId="113B3A12"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Estas medidas están incorporadas dentro de los costos de ingeniería.</w:t>
            </w:r>
          </w:p>
        </w:tc>
        <w:tc>
          <w:tcPr>
            <w:tcW w:w="1405" w:type="dxa"/>
          </w:tcPr>
          <w:p w14:paraId="282F88CD"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Contratista</w:t>
            </w:r>
          </w:p>
        </w:tc>
      </w:tr>
    </w:tbl>
    <w:p w14:paraId="0B4D6387" w14:textId="77777777" w:rsidR="001A4860" w:rsidRPr="001A4860" w:rsidRDefault="001A4860" w:rsidP="001A4860">
      <w:pPr>
        <w:spacing w:after="160" w:line="259" w:lineRule="auto"/>
        <w:jc w:val="left"/>
        <w:rPr>
          <w:rFonts w:ascii="Calibri" w:eastAsia="Calibri" w:hAnsi="Calibri" w:cs="Calibri"/>
          <w:sz w:val="22"/>
          <w:szCs w:val="22"/>
          <w:lang w:val="es-ES"/>
        </w:rPr>
      </w:pPr>
    </w:p>
    <w:tbl>
      <w:tblPr>
        <w:tblStyle w:val="Tablaconcuadrcula4"/>
        <w:tblW w:w="10773" w:type="dxa"/>
        <w:tblInd w:w="-998" w:type="dxa"/>
        <w:tblLook w:val="04A0" w:firstRow="1" w:lastRow="0" w:firstColumn="1" w:lastColumn="0" w:noHBand="0" w:noVBand="1"/>
      </w:tblPr>
      <w:tblGrid>
        <w:gridCol w:w="1613"/>
        <w:gridCol w:w="1648"/>
        <w:gridCol w:w="1629"/>
        <w:gridCol w:w="2525"/>
        <w:gridCol w:w="1953"/>
        <w:gridCol w:w="1405"/>
      </w:tblGrid>
      <w:tr w:rsidR="001A4860" w:rsidRPr="001A4860" w14:paraId="5DA38BC0" w14:textId="77777777" w:rsidTr="001A4860">
        <w:tc>
          <w:tcPr>
            <w:tcW w:w="1613" w:type="dxa"/>
          </w:tcPr>
          <w:p w14:paraId="32EFE119" w14:textId="77777777" w:rsidR="001A4860" w:rsidRPr="001A4860" w:rsidRDefault="001A4860" w:rsidP="001A4860">
            <w:pPr>
              <w:jc w:val="left"/>
              <w:rPr>
                <w:rFonts w:ascii="Calibri" w:eastAsia="Calibri" w:hAnsi="Calibri" w:cs="Calibri"/>
                <w:bCs/>
                <w:sz w:val="20"/>
                <w:szCs w:val="22"/>
                <w:lang w:val="es-ES"/>
              </w:rPr>
            </w:pPr>
            <w:r w:rsidRPr="001A4860">
              <w:rPr>
                <w:rFonts w:ascii="Calibri" w:eastAsia="Calibri" w:hAnsi="Calibri" w:cs="Calibri"/>
                <w:bCs/>
                <w:sz w:val="20"/>
                <w:szCs w:val="22"/>
                <w:lang w:val="es-ES"/>
              </w:rPr>
              <w:t>Nº 2</w:t>
            </w:r>
          </w:p>
        </w:tc>
        <w:tc>
          <w:tcPr>
            <w:tcW w:w="9160" w:type="dxa"/>
            <w:gridSpan w:val="5"/>
          </w:tcPr>
          <w:p w14:paraId="379B589F" w14:textId="77777777" w:rsidR="001A4860" w:rsidRPr="001A4860" w:rsidRDefault="001A4860" w:rsidP="001A4860">
            <w:pPr>
              <w:jc w:val="left"/>
              <w:rPr>
                <w:rFonts w:ascii="Calibri" w:eastAsia="Calibri" w:hAnsi="Calibri" w:cs="Calibri"/>
                <w:bCs/>
                <w:sz w:val="20"/>
                <w:szCs w:val="22"/>
                <w:lang w:val="es-ES"/>
              </w:rPr>
            </w:pPr>
            <w:r w:rsidRPr="001A4860">
              <w:rPr>
                <w:rFonts w:ascii="Calibri" w:eastAsia="Calibri" w:hAnsi="Calibri" w:cs="Calibri"/>
                <w:bCs/>
                <w:sz w:val="20"/>
                <w:szCs w:val="22"/>
                <w:lang w:val="es-ES"/>
              </w:rPr>
              <w:t>NOMBRE DEL PLAN:  PLAN DE GESTIÓN DE LOS RIESGOS AMBIENTALES</w:t>
            </w:r>
          </w:p>
        </w:tc>
      </w:tr>
      <w:tr w:rsidR="001A4860" w:rsidRPr="001A4860" w14:paraId="575A1E70" w14:textId="77777777" w:rsidTr="001A4860">
        <w:tc>
          <w:tcPr>
            <w:tcW w:w="1613" w:type="dxa"/>
            <w:vAlign w:val="center"/>
          </w:tcPr>
          <w:p w14:paraId="6635233C"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ACTIVIDAD IMPACTANTE</w:t>
            </w:r>
          </w:p>
        </w:tc>
        <w:tc>
          <w:tcPr>
            <w:tcW w:w="1648" w:type="dxa"/>
            <w:vAlign w:val="center"/>
          </w:tcPr>
          <w:p w14:paraId="1F959083"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IMPACTO AMBIENTAL POTENCIAL</w:t>
            </w:r>
          </w:p>
        </w:tc>
        <w:tc>
          <w:tcPr>
            <w:tcW w:w="1629" w:type="dxa"/>
            <w:vAlign w:val="center"/>
          </w:tcPr>
          <w:p w14:paraId="47D5B1A7"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MEDIDA AMBIENTAL</w:t>
            </w:r>
          </w:p>
        </w:tc>
        <w:tc>
          <w:tcPr>
            <w:tcW w:w="2525" w:type="dxa"/>
            <w:vAlign w:val="center"/>
          </w:tcPr>
          <w:p w14:paraId="6C0D391E"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DESCRIPCIÓN</w:t>
            </w:r>
          </w:p>
        </w:tc>
        <w:tc>
          <w:tcPr>
            <w:tcW w:w="1953" w:type="dxa"/>
            <w:vAlign w:val="center"/>
          </w:tcPr>
          <w:p w14:paraId="525531DA"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COSTO DE LA MEDIDA</w:t>
            </w:r>
          </w:p>
        </w:tc>
        <w:tc>
          <w:tcPr>
            <w:tcW w:w="1405" w:type="dxa"/>
            <w:vAlign w:val="center"/>
          </w:tcPr>
          <w:p w14:paraId="29665F13" w14:textId="77777777" w:rsidR="001A4860" w:rsidRPr="001A4860" w:rsidRDefault="001A4860" w:rsidP="001A4860">
            <w:pPr>
              <w:spacing w:after="160" w:line="259" w:lineRule="auto"/>
              <w:jc w:val="left"/>
              <w:rPr>
                <w:rFonts w:ascii="Calibri" w:eastAsia="Calibri" w:hAnsi="Calibri" w:cs="Calibri"/>
                <w:bCs/>
                <w:sz w:val="20"/>
                <w:szCs w:val="22"/>
                <w:lang w:val="es-ES"/>
              </w:rPr>
            </w:pPr>
            <w:r w:rsidRPr="001A4860">
              <w:rPr>
                <w:rFonts w:ascii="Calibri" w:eastAsia="Calibri" w:hAnsi="Calibri" w:cs="Calibri"/>
                <w:bCs/>
                <w:sz w:val="20"/>
                <w:szCs w:val="22"/>
                <w:lang w:val="es-ES"/>
              </w:rPr>
              <w:t>RESPONSABLE</w:t>
            </w:r>
          </w:p>
        </w:tc>
      </w:tr>
      <w:tr w:rsidR="001A4860" w:rsidRPr="001A4860" w14:paraId="44DA6C2A" w14:textId="77777777" w:rsidTr="001A4860">
        <w:trPr>
          <w:trHeight w:val="578"/>
        </w:trPr>
        <w:tc>
          <w:tcPr>
            <w:tcW w:w="1613" w:type="dxa"/>
            <w:noWrap/>
          </w:tcPr>
          <w:p w14:paraId="374E93EB"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Movimientos de tierra, limpieza del terreno y construcción de las obras.</w:t>
            </w:r>
          </w:p>
        </w:tc>
        <w:tc>
          <w:tcPr>
            <w:tcW w:w="1648" w:type="dxa"/>
            <w:noWrap/>
          </w:tcPr>
          <w:p w14:paraId="5C8D610E"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Generación de residuos sólidos.</w:t>
            </w:r>
          </w:p>
        </w:tc>
        <w:tc>
          <w:tcPr>
            <w:tcW w:w="1629" w:type="dxa"/>
          </w:tcPr>
          <w:p w14:paraId="36D14940"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Disposición adecuada de los residuos de limpieza y extracción de tierra.</w:t>
            </w:r>
          </w:p>
          <w:p w14:paraId="15F3FD0F" w14:textId="77777777" w:rsidR="001A4860" w:rsidRPr="001A4860" w:rsidRDefault="001A4860" w:rsidP="001A4860">
            <w:pPr>
              <w:spacing w:after="160" w:line="259" w:lineRule="auto"/>
              <w:rPr>
                <w:rFonts w:ascii="Calibri" w:eastAsia="Calibri" w:hAnsi="Calibri" w:cs="Calibri"/>
                <w:bCs/>
                <w:sz w:val="20"/>
                <w:szCs w:val="22"/>
                <w:lang w:val="es-ES"/>
              </w:rPr>
            </w:pPr>
          </w:p>
          <w:p w14:paraId="4C3FF600"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 xml:space="preserve">Humedecimiento constante del material para evitar la </w:t>
            </w:r>
            <w:r w:rsidRPr="001A4860">
              <w:rPr>
                <w:rFonts w:ascii="Calibri" w:eastAsia="Calibri" w:hAnsi="Calibri" w:cs="Calibri"/>
                <w:bCs/>
                <w:sz w:val="20"/>
                <w:szCs w:val="22"/>
                <w:lang w:val="es-ES"/>
              </w:rPr>
              <w:lastRenderedPageBreak/>
              <w:t>suspensión de polvo en el área.</w:t>
            </w:r>
          </w:p>
        </w:tc>
        <w:tc>
          <w:tcPr>
            <w:tcW w:w="2525" w:type="dxa"/>
            <w:vMerge w:val="restart"/>
          </w:tcPr>
          <w:p w14:paraId="4CCD37C3"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lastRenderedPageBreak/>
              <w:t>Los residuos generados producto de los movimientos de tierra serán dispuestos en zonas aledañas al sitio de construcción en áreas con pendientes suaves.</w:t>
            </w:r>
          </w:p>
          <w:p w14:paraId="77E124E7"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 xml:space="preserve">En caso de generarse desechos orgánicos e inorgánicos no peligrosos, éstos serán enterrados en </w:t>
            </w:r>
            <w:r w:rsidRPr="001A4860">
              <w:rPr>
                <w:rFonts w:ascii="Calibri" w:eastAsia="Calibri" w:hAnsi="Calibri" w:cs="Calibri"/>
                <w:bCs/>
                <w:sz w:val="20"/>
                <w:szCs w:val="22"/>
                <w:lang w:val="es-ES"/>
              </w:rPr>
              <w:lastRenderedPageBreak/>
              <w:t>un sitio (zanja sanitaria) previamente designado y</w:t>
            </w:r>
          </w:p>
          <w:p w14:paraId="1351B5CB"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previamente autorizado por las instancias correspondientes.</w:t>
            </w:r>
          </w:p>
          <w:p w14:paraId="40B7FA99"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bCs/>
                <w:sz w:val="20"/>
                <w:szCs w:val="22"/>
                <w:lang w:val="es-ES"/>
              </w:rPr>
              <w:t>Los residuos sólidos no deberán ser mezclados para garantizar su reciclaje o reutilización.</w:t>
            </w:r>
          </w:p>
        </w:tc>
        <w:tc>
          <w:tcPr>
            <w:tcW w:w="1953" w:type="dxa"/>
          </w:tcPr>
          <w:p w14:paraId="6D158EDB"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lastRenderedPageBreak/>
              <w:t>Estas medidas están incorporadas dentro de los costos de ingeniería.</w:t>
            </w:r>
          </w:p>
        </w:tc>
        <w:tc>
          <w:tcPr>
            <w:tcW w:w="1405" w:type="dxa"/>
          </w:tcPr>
          <w:p w14:paraId="6F164823"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Contratista</w:t>
            </w:r>
          </w:p>
        </w:tc>
      </w:tr>
      <w:tr w:rsidR="001A4860" w:rsidRPr="001A4860" w14:paraId="5C080062" w14:textId="77777777" w:rsidTr="001A4860">
        <w:trPr>
          <w:trHeight w:val="578"/>
        </w:trPr>
        <w:tc>
          <w:tcPr>
            <w:tcW w:w="1613" w:type="dxa"/>
            <w:noWrap/>
          </w:tcPr>
          <w:p w14:paraId="0A744E12"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lastRenderedPageBreak/>
              <w:t>Construcción de estructuras (formaletas y trazado o delimitación, nivelación)</w:t>
            </w:r>
          </w:p>
        </w:tc>
        <w:tc>
          <w:tcPr>
            <w:tcW w:w="1648" w:type="dxa"/>
            <w:noWrap/>
          </w:tcPr>
          <w:p w14:paraId="2AE3AE9B"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Generación de residuos sólidos o materiales de desechos producto de la utilización de madera para formaletear, nivelación del terreno.</w:t>
            </w:r>
          </w:p>
        </w:tc>
        <w:tc>
          <w:tcPr>
            <w:tcW w:w="1629" w:type="dxa"/>
          </w:tcPr>
          <w:p w14:paraId="7BAE2E45"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Disposición adecuada de los residuos generados. En caso de material combustible de origen orgánico, se podrá entregar a los comunitarios para que puedan emplearlo como leña en sus hogares. Esto se plantea considerando que la población total de la comunidad realiza la cocción de sus alimentos con leña.</w:t>
            </w:r>
          </w:p>
        </w:tc>
        <w:tc>
          <w:tcPr>
            <w:tcW w:w="2525" w:type="dxa"/>
            <w:vMerge/>
          </w:tcPr>
          <w:p w14:paraId="64321595" w14:textId="77777777" w:rsidR="001A4860" w:rsidRPr="001A4860" w:rsidRDefault="001A4860" w:rsidP="001A4860">
            <w:pPr>
              <w:spacing w:after="160" w:line="259" w:lineRule="auto"/>
              <w:rPr>
                <w:rFonts w:ascii="Calibri" w:eastAsia="Calibri" w:hAnsi="Calibri" w:cs="Calibri"/>
                <w:sz w:val="20"/>
                <w:szCs w:val="22"/>
                <w:lang w:val="es-ES"/>
              </w:rPr>
            </w:pPr>
          </w:p>
        </w:tc>
        <w:tc>
          <w:tcPr>
            <w:tcW w:w="1953" w:type="dxa"/>
          </w:tcPr>
          <w:p w14:paraId="7072F388"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Estas medidas están incorporadas dentro de los costos de ingeniería.</w:t>
            </w:r>
          </w:p>
        </w:tc>
        <w:tc>
          <w:tcPr>
            <w:tcW w:w="1405" w:type="dxa"/>
          </w:tcPr>
          <w:p w14:paraId="04F592A9"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Contratista</w:t>
            </w:r>
          </w:p>
        </w:tc>
      </w:tr>
      <w:tr w:rsidR="001A4860" w:rsidRPr="001A4860" w14:paraId="771C2F81" w14:textId="77777777" w:rsidTr="001A4860">
        <w:trPr>
          <w:trHeight w:val="578"/>
        </w:trPr>
        <w:tc>
          <w:tcPr>
            <w:tcW w:w="1613" w:type="dxa"/>
            <w:noWrap/>
          </w:tcPr>
          <w:p w14:paraId="3A03A923"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Producción de desechos o excretas humanas</w:t>
            </w:r>
          </w:p>
        </w:tc>
        <w:tc>
          <w:tcPr>
            <w:tcW w:w="1648" w:type="dxa"/>
            <w:noWrap/>
          </w:tcPr>
          <w:p w14:paraId="397C6F05"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Contaminación del agua superficial o alimentos de los comunitarios a través de insectos vectores.</w:t>
            </w:r>
          </w:p>
        </w:tc>
        <w:tc>
          <w:tcPr>
            <w:tcW w:w="1629" w:type="dxa"/>
          </w:tcPr>
          <w:p w14:paraId="75BBDB58"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Disposición de una letrina para los obreros que trabajarán en la construcción de las obras.</w:t>
            </w:r>
          </w:p>
        </w:tc>
        <w:tc>
          <w:tcPr>
            <w:tcW w:w="2525" w:type="dxa"/>
          </w:tcPr>
          <w:p w14:paraId="42DAB894"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bCs/>
                <w:sz w:val="20"/>
                <w:szCs w:val="22"/>
                <w:lang w:val="es-ES"/>
              </w:rPr>
              <w:t>El contratista o constructor deberá disponer de una letrina de manera temporal en la zona del proyecto, con el propósito que los obreros puedan contar con un servicio higiénico que permita realizar sus necesidades fisiológicas en un lugar adecuado, y evitar de esta forma el fecalismo al aire libre.</w:t>
            </w:r>
          </w:p>
        </w:tc>
        <w:tc>
          <w:tcPr>
            <w:tcW w:w="1953" w:type="dxa"/>
          </w:tcPr>
          <w:p w14:paraId="5BE7D81C"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Estas medidas están incorporadas dentro de los costos de ingeniería.</w:t>
            </w:r>
          </w:p>
        </w:tc>
        <w:tc>
          <w:tcPr>
            <w:tcW w:w="1405" w:type="dxa"/>
          </w:tcPr>
          <w:p w14:paraId="685A9BE9"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Contratista</w:t>
            </w:r>
          </w:p>
        </w:tc>
      </w:tr>
      <w:tr w:rsidR="001A4860" w:rsidRPr="001A4860" w14:paraId="026F8CE6" w14:textId="77777777" w:rsidTr="001A4860">
        <w:trPr>
          <w:trHeight w:val="578"/>
        </w:trPr>
        <w:tc>
          <w:tcPr>
            <w:tcW w:w="1613" w:type="dxa"/>
            <w:noWrap/>
          </w:tcPr>
          <w:p w14:paraId="0F575D5B"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Remoción de suelos.</w:t>
            </w:r>
          </w:p>
        </w:tc>
        <w:tc>
          <w:tcPr>
            <w:tcW w:w="1648" w:type="dxa"/>
            <w:noWrap/>
          </w:tcPr>
          <w:p w14:paraId="25A51858"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Erosión del suelo.</w:t>
            </w:r>
          </w:p>
        </w:tc>
        <w:tc>
          <w:tcPr>
            <w:tcW w:w="1629" w:type="dxa"/>
          </w:tcPr>
          <w:p w14:paraId="49A3A8DB"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Restablecimiento del material de cobertura original.</w:t>
            </w:r>
          </w:p>
          <w:p w14:paraId="2691BEF0"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 xml:space="preserve">Evitar el paso de maquinaria pesada sobre suelo con cobertura </w:t>
            </w:r>
            <w:r w:rsidRPr="001A4860">
              <w:rPr>
                <w:rFonts w:ascii="Calibri" w:eastAsia="Calibri" w:hAnsi="Calibri" w:cs="Calibri"/>
                <w:bCs/>
                <w:sz w:val="20"/>
                <w:szCs w:val="22"/>
                <w:lang w:val="es-ES"/>
              </w:rPr>
              <w:lastRenderedPageBreak/>
              <w:t>vegetal fuera del área de la obra, la cual deberá ser delimitada y señalizada.</w:t>
            </w:r>
          </w:p>
          <w:p w14:paraId="4056CDD0"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Compactar el terreno con buen material de relleno. Separar la capa de material orgánico de la del material inerte, puesto que el material orgánico podría ser reutilizado.</w:t>
            </w:r>
          </w:p>
          <w:p w14:paraId="5D22691F" w14:textId="77777777" w:rsidR="001A4860" w:rsidRPr="001A4860" w:rsidRDefault="001A4860" w:rsidP="001A4860">
            <w:pPr>
              <w:spacing w:after="160" w:line="259" w:lineRule="auto"/>
              <w:rPr>
                <w:rFonts w:ascii="Calibri" w:eastAsia="Calibri" w:hAnsi="Calibri" w:cs="Calibri"/>
                <w:bCs/>
                <w:sz w:val="20"/>
                <w:szCs w:val="22"/>
                <w:lang w:val="es-ES"/>
              </w:rPr>
            </w:pPr>
          </w:p>
          <w:p w14:paraId="0C27ABD2"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Delimitar y señalizar las áreas de cobertura vegetal que será intervenida por las obras.</w:t>
            </w:r>
          </w:p>
          <w:p w14:paraId="68F75DCB"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Finalizada la construcción de las obras, los materiales sobrantes y residuos deberán ser retirados del sitio del proyecto.</w:t>
            </w:r>
          </w:p>
        </w:tc>
        <w:tc>
          <w:tcPr>
            <w:tcW w:w="2525" w:type="dxa"/>
          </w:tcPr>
          <w:p w14:paraId="74D63206"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lastRenderedPageBreak/>
              <w:t>Se deberá observar la composición y estructura de la vegetación con el fin de restaurarla a su estado inicial.</w:t>
            </w:r>
          </w:p>
          <w:p w14:paraId="584A04FE" w14:textId="77777777" w:rsidR="001A4860" w:rsidRPr="001A4860" w:rsidRDefault="001A4860" w:rsidP="001A4860">
            <w:pPr>
              <w:spacing w:after="160" w:line="259" w:lineRule="auto"/>
              <w:rPr>
                <w:rFonts w:ascii="Calibri" w:eastAsia="Calibri" w:hAnsi="Calibri" w:cs="Calibri"/>
                <w:sz w:val="20"/>
                <w:szCs w:val="22"/>
                <w:lang w:val="es-ES"/>
              </w:rPr>
            </w:pPr>
          </w:p>
          <w:p w14:paraId="2AAE6502"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 xml:space="preserve">Se promoverá el empleo de mano de obra para realizar los trabajos mecanizados y </w:t>
            </w:r>
            <w:r w:rsidRPr="001A4860">
              <w:rPr>
                <w:rFonts w:ascii="Calibri" w:eastAsia="Calibri" w:hAnsi="Calibri" w:cs="Calibri"/>
                <w:sz w:val="20"/>
                <w:szCs w:val="22"/>
                <w:lang w:val="es-ES"/>
              </w:rPr>
              <w:lastRenderedPageBreak/>
              <w:t>así evitar el empleo de maquinaria pesada que podría causar daños al suelo o vegetación del lugar.</w:t>
            </w:r>
          </w:p>
        </w:tc>
        <w:tc>
          <w:tcPr>
            <w:tcW w:w="1953" w:type="dxa"/>
          </w:tcPr>
          <w:p w14:paraId="7F65C44E"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lastRenderedPageBreak/>
              <w:t>Estas medidas están incorporadas dentro de los costos de ingeniería.</w:t>
            </w:r>
          </w:p>
        </w:tc>
        <w:tc>
          <w:tcPr>
            <w:tcW w:w="1405" w:type="dxa"/>
          </w:tcPr>
          <w:p w14:paraId="7E28E895" w14:textId="77777777" w:rsidR="001A4860" w:rsidRPr="001A4860" w:rsidRDefault="001A4860" w:rsidP="001A4860">
            <w:pPr>
              <w:spacing w:after="160" w:line="259" w:lineRule="auto"/>
              <w:rPr>
                <w:rFonts w:ascii="Calibri" w:eastAsia="Calibri" w:hAnsi="Calibri" w:cs="Calibri"/>
                <w:sz w:val="20"/>
                <w:szCs w:val="22"/>
                <w:lang w:val="es-ES"/>
              </w:rPr>
            </w:pPr>
            <w:r w:rsidRPr="001A4860">
              <w:rPr>
                <w:rFonts w:ascii="Calibri" w:eastAsia="Calibri" w:hAnsi="Calibri" w:cs="Calibri"/>
                <w:sz w:val="20"/>
                <w:szCs w:val="22"/>
                <w:lang w:val="es-ES"/>
              </w:rPr>
              <w:t>Contratista</w:t>
            </w:r>
          </w:p>
        </w:tc>
      </w:tr>
      <w:tr w:rsidR="001A4860" w:rsidRPr="001A4860" w14:paraId="7F908B23" w14:textId="77777777" w:rsidTr="001A4860">
        <w:tc>
          <w:tcPr>
            <w:tcW w:w="1613" w:type="dxa"/>
          </w:tcPr>
          <w:p w14:paraId="0C7D1545"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lastRenderedPageBreak/>
              <w:t>Manipulación y almacenamiento de materiales y residuos</w:t>
            </w:r>
          </w:p>
        </w:tc>
        <w:tc>
          <w:tcPr>
            <w:tcW w:w="1648" w:type="dxa"/>
          </w:tcPr>
          <w:p w14:paraId="35A5B702"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Riesgos de contaminación de agua y suelo por derrame o vertido de grasas y combustibles.</w:t>
            </w:r>
          </w:p>
        </w:tc>
        <w:tc>
          <w:tcPr>
            <w:tcW w:w="1629" w:type="dxa"/>
          </w:tcPr>
          <w:p w14:paraId="316AA860"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 xml:space="preserve">Definir un área para la manipulación de materiales. En caso de generar desechos de este tipo, deberán ser manejados con especial cuidado y sacados del área del </w:t>
            </w:r>
            <w:r w:rsidRPr="001A4860">
              <w:rPr>
                <w:rFonts w:ascii="Calibri" w:eastAsia="Calibri" w:hAnsi="Calibri" w:cs="Calibri"/>
                <w:bCs/>
                <w:sz w:val="20"/>
                <w:szCs w:val="22"/>
                <w:lang w:val="es-ES"/>
              </w:rPr>
              <w:lastRenderedPageBreak/>
              <w:t>proyecto, evitando que se puedan dar derrames.</w:t>
            </w:r>
          </w:p>
          <w:p w14:paraId="63CA4191"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Seleccionar sitio y ubicación de recipiente de almacenamiento de residuos.</w:t>
            </w:r>
          </w:p>
          <w:p w14:paraId="61423795"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Recolectar los residuos (embalajes, alimenticios, otros) generados en el sitio del proyecto y recipientes definidos.</w:t>
            </w:r>
          </w:p>
          <w:p w14:paraId="445B3C26" w14:textId="77777777" w:rsidR="001A4860" w:rsidRPr="001A4860" w:rsidRDefault="001A4860" w:rsidP="001A4860">
            <w:pPr>
              <w:spacing w:after="160" w:line="259" w:lineRule="auto"/>
              <w:rPr>
                <w:rFonts w:ascii="Calibri" w:eastAsia="Calibri" w:hAnsi="Calibri" w:cs="Calibri"/>
                <w:bCs/>
                <w:sz w:val="20"/>
                <w:szCs w:val="22"/>
                <w:lang w:val="es-ES"/>
              </w:rPr>
            </w:pPr>
          </w:p>
          <w:p w14:paraId="7B1F62A8"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En caso de derrames de combustible, remover inmediatamente el suelo y restaurar el área afectada con materiales y métodos eficaces.</w:t>
            </w:r>
          </w:p>
          <w:p w14:paraId="7E18B399" w14:textId="77777777" w:rsidR="001A4860" w:rsidRPr="001A4860" w:rsidRDefault="001A4860" w:rsidP="001A4860">
            <w:pPr>
              <w:spacing w:after="160" w:line="259" w:lineRule="auto"/>
              <w:rPr>
                <w:rFonts w:ascii="Calibri" w:eastAsia="Calibri" w:hAnsi="Calibri" w:cs="Calibri"/>
                <w:bCs/>
                <w:sz w:val="20"/>
                <w:szCs w:val="22"/>
                <w:lang w:val="es-ES"/>
              </w:rPr>
            </w:pPr>
          </w:p>
          <w:p w14:paraId="14AEFC6E"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El acopio de los materiales deberá realizarse a una distancia prudencial y no menor a 100 m de la fuente o cauces de corrientes naturales.</w:t>
            </w:r>
          </w:p>
          <w:p w14:paraId="1816C794"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 xml:space="preserve">No disponer en cauces o cursos de agua los </w:t>
            </w:r>
            <w:r w:rsidRPr="001A4860">
              <w:rPr>
                <w:rFonts w:ascii="Calibri" w:eastAsia="Calibri" w:hAnsi="Calibri" w:cs="Calibri"/>
                <w:bCs/>
                <w:sz w:val="20"/>
                <w:szCs w:val="22"/>
                <w:lang w:val="es-ES"/>
              </w:rPr>
              <w:lastRenderedPageBreak/>
              <w:t>sobrantes de mezclas de concreto.</w:t>
            </w:r>
          </w:p>
          <w:p w14:paraId="3CF33469"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No se deberá realizar el almacenamiento temporal de combustible en el campamento y en áreas localizadas frente a las obras.</w:t>
            </w:r>
          </w:p>
          <w:p w14:paraId="592E6A19"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Los residuos sólidos peligrosos generados como las hilazas, botes de pinturas entre otros, deberán ser confinados.</w:t>
            </w:r>
          </w:p>
          <w:p w14:paraId="64A925A2"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Se deberá designar un área de mezcla de concreto, el área será rotulada y la mezcla debe realizarse en un recipiente o sobre un plástico negro para evitar la contaminación del suelo. La mezcla de concreto deberá ser manejada cuidadosamente evitando derrame en el suelo.</w:t>
            </w:r>
          </w:p>
        </w:tc>
        <w:tc>
          <w:tcPr>
            <w:tcW w:w="2525" w:type="dxa"/>
          </w:tcPr>
          <w:p w14:paraId="4815AEEA"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lastRenderedPageBreak/>
              <w:t>Con esta medida se pretende evitar el riesgo de contaminar las aguas y el suelo del entorno, producto de un accidente asociado a la manipulación de grasas y combustibles.</w:t>
            </w:r>
          </w:p>
        </w:tc>
        <w:tc>
          <w:tcPr>
            <w:tcW w:w="1953" w:type="dxa"/>
          </w:tcPr>
          <w:p w14:paraId="02E4128A"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Incluido en los costos operacionales del contratista.</w:t>
            </w:r>
          </w:p>
        </w:tc>
        <w:tc>
          <w:tcPr>
            <w:tcW w:w="1405" w:type="dxa"/>
          </w:tcPr>
          <w:p w14:paraId="02A7EF36" w14:textId="77777777" w:rsidR="001A4860" w:rsidRPr="001A4860" w:rsidRDefault="001A4860" w:rsidP="001A4860">
            <w:pPr>
              <w:spacing w:after="160" w:line="259" w:lineRule="auto"/>
              <w:rPr>
                <w:rFonts w:ascii="Calibri" w:eastAsia="Calibri" w:hAnsi="Calibri" w:cs="Calibri"/>
                <w:bCs/>
                <w:sz w:val="20"/>
                <w:szCs w:val="22"/>
                <w:lang w:val="es-ES"/>
              </w:rPr>
            </w:pPr>
            <w:r w:rsidRPr="001A4860">
              <w:rPr>
                <w:rFonts w:ascii="Calibri" w:eastAsia="Calibri" w:hAnsi="Calibri" w:cs="Calibri"/>
                <w:bCs/>
                <w:sz w:val="20"/>
                <w:szCs w:val="22"/>
                <w:lang w:val="es-ES"/>
              </w:rPr>
              <w:t>Contratista</w:t>
            </w:r>
          </w:p>
        </w:tc>
      </w:tr>
    </w:tbl>
    <w:p w14:paraId="6736A81B"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36DC09D2" w14:textId="77777777" w:rsidR="001A4860" w:rsidRPr="001A4860" w:rsidRDefault="001A4860" w:rsidP="001A4860">
      <w:pPr>
        <w:spacing w:after="160" w:line="259" w:lineRule="auto"/>
        <w:jc w:val="left"/>
        <w:rPr>
          <w:rFonts w:ascii="Calibri" w:eastAsia="Calibri" w:hAnsi="Calibri" w:cs="Calibri"/>
          <w:b/>
          <w:bCs/>
          <w:iCs/>
          <w:sz w:val="22"/>
          <w:szCs w:val="22"/>
          <w:u w:val="single"/>
          <w:lang w:val="es-ES"/>
        </w:rPr>
      </w:pPr>
      <w:r w:rsidRPr="001A4860">
        <w:rPr>
          <w:rFonts w:ascii="Calibri" w:eastAsia="Calibri" w:hAnsi="Calibri" w:cs="Calibri"/>
          <w:b/>
          <w:bCs/>
          <w:iCs/>
          <w:sz w:val="22"/>
          <w:szCs w:val="22"/>
          <w:u w:val="single"/>
          <w:lang w:val="es-ES"/>
        </w:rPr>
        <w:t xml:space="preserve">PLAN DE CAPACITACIÓN Y EDUCACIÓN AMBIENTAL </w:t>
      </w:r>
    </w:p>
    <w:p w14:paraId="32719A5A" w14:textId="77777777" w:rsidR="001A4860" w:rsidRPr="001A4860" w:rsidRDefault="001A4860" w:rsidP="001A4860">
      <w:pPr>
        <w:spacing w:after="160" w:line="259" w:lineRule="auto"/>
        <w:rPr>
          <w:rFonts w:ascii="Calibri" w:eastAsia="Calibri" w:hAnsi="Calibri" w:cs="Calibri"/>
          <w:sz w:val="22"/>
          <w:szCs w:val="22"/>
          <w:lang w:val="es-ES"/>
        </w:rPr>
      </w:pPr>
      <w:r w:rsidRPr="001A4860">
        <w:rPr>
          <w:rFonts w:ascii="Calibri" w:eastAsia="Calibri" w:hAnsi="Calibri" w:cs="Calibri"/>
          <w:sz w:val="22"/>
          <w:szCs w:val="22"/>
          <w:lang w:val="es-ES"/>
        </w:rPr>
        <w:lastRenderedPageBreak/>
        <w:t>Plan de Capacitación está dirigido al Comité de Agua y Saneamiento (CAPS), con el objetivo de la implementación del cumplimiento de las medidas de mitigación orientadas a evitar o mitigar los impactos generados por el proyecto.</w:t>
      </w:r>
    </w:p>
    <w:p w14:paraId="4B3B3919" w14:textId="77777777" w:rsidR="001A4860" w:rsidRPr="001A4860" w:rsidRDefault="001A4860" w:rsidP="001A4860">
      <w:pPr>
        <w:spacing w:after="160" w:line="259" w:lineRule="auto"/>
        <w:rPr>
          <w:rFonts w:ascii="Calibri" w:eastAsia="Calibri" w:hAnsi="Calibri" w:cs="Calibri"/>
          <w:sz w:val="22"/>
          <w:szCs w:val="22"/>
          <w:lang w:val="es-ES"/>
        </w:rPr>
      </w:pPr>
      <w:r w:rsidRPr="001A4860">
        <w:rPr>
          <w:rFonts w:ascii="Calibri" w:eastAsia="Calibri" w:hAnsi="Calibri" w:cs="Calibri"/>
          <w:sz w:val="22"/>
          <w:szCs w:val="22"/>
          <w:lang w:val="es-ES"/>
        </w:rPr>
        <w:t xml:space="preserve">La temática impartida por Facilitador Social Individual contratado por FISE, serán los siguientes: </w:t>
      </w:r>
    </w:p>
    <w:tbl>
      <w:tblPr>
        <w:tblStyle w:val="Tablaconcuadrcula4"/>
        <w:tblW w:w="10773" w:type="dxa"/>
        <w:tblInd w:w="-1139" w:type="dxa"/>
        <w:tblLook w:val="04A0" w:firstRow="1" w:lastRow="0" w:firstColumn="1" w:lastColumn="0" w:noHBand="0" w:noVBand="1"/>
      </w:tblPr>
      <w:tblGrid>
        <w:gridCol w:w="3200"/>
        <w:gridCol w:w="1649"/>
        <w:gridCol w:w="1460"/>
        <w:gridCol w:w="1468"/>
        <w:gridCol w:w="1369"/>
        <w:gridCol w:w="1627"/>
      </w:tblGrid>
      <w:tr w:rsidR="001A4860" w:rsidRPr="001A4860" w14:paraId="2012417D" w14:textId="77777777" w:rsidTr="001A4860">
        <w:tc>
          <w:tcPr>
            <w:tcW w:w="3200" w:type="dxa"/>
            <w:vAlign w:val="center"/>
          </w:tcPr>
          <w:p w14:paraId="3A0A5C15"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TEMÁTICA</w:t>
            </w:r>
          </w:p>
        </w:tc>
        <w:tc>
          <w:tcPr>
            <w:tcW w:w="1649" w:type="dxa"/>
            <w:vAlign w:val="center"/>
          </w:tcPr>
          <w:p w14:paraId="3A7B6FF7"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PERSONAL A CAPACITAR</w:t>
            </w:r>
          </w:p>
        </w:tc>
        <w:tc>
          <w:tcPr>
            <w:tcW w:w="1460" w:type="dxa"/>
            <w:vAlign w:val="center"/>
          </w:tcPr>
          <w:p w14:paraId="2C832482"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ETAPA DEL PROYECTO</w:t>
            </w:r>
          </w:p>
        </w:tc>
        <w:tc>
          <w:tcPr>
            <w:tcW w:w="1468" w:type="dxa"/>
            <w:vAlign w:val="center"/>
          </w:tcPr>
          <w:p w14:paraId="3E1C5788"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PERIODO Ó FRECUENCIA</w:t>
            </w:r>
          </w:p>
        </w:tc>
        <w:tc>
          <w:tcPr>
            <w:tcW w:w="1369" w:type="dxa"/>
            <w:vAlign w:val="center"/>
          </w:tcPr>
          <w:p w14:paraId="6056E11C"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COSTOS</w:t>
            </w:r>
          </w:p>
        </w:tc>
        <w:tc>
          <w:tcPr>
            <w:tcW w:w="1627" w:type="dxa"/>
            <w:vAlign w:val="center"/>
          </w:tcPr>
          <w:p w14:paraId="0006CDCF"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RESPONSABLES</w:t>
            </w:r>
          </w:p>
        </w:tc>
      </w:tr>
      <w:tr w:rsidR="001A4860" w:rsidRPr="001A4860" w14:paraId="114E77AC" w14:textId="77777777" w:rsidTr="001A4860">
        <w:trPr>
          <w:trHeight w:val="643"/>
        </w:trPr>
        <w:tc>
          <w:tcPr>
            <w:tcW w:w="3200" w:type="dxa"/>
            <w:vAlign w:val="center"/>
          </w:tcPr>
          <w:p w14:paraId="7767103B"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Operación y Mantenimiento</w:t>
            </w:r>
          </w:p>
        </w:tc>
        <w:tc>
          <w:tcPr>
            <w:tcW w:w="1649" w:type="dxa"/>
            <w:vAlign w:val="center"/>
          </w:tcPr>
          <w:p w14:paraId="47E69B46"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CAPS</w:t>
            </w:r>
          </w:p>
        </w:tc>
        <w:tc>
          <w:tcPr>
            <w:tcW w:w="1460" w:type="dxa"/>
            <w:vAlign w:val="center"/>
          </w:tcPr>
          <w:p w14:paraId="74DF9F5F"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Ejecución</w:t>
            </w:r>
          </w:p>
        </w:tc>
        <w:tc>
          <w:tcPr>
            <w:tcW w:w="1468" w:type="dxa"/>
            <w:vAlign w:val="center"/>
          </w:tcPr>
          <w:p w14:paraId="41F202A3"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Una sola vez</w:t>
            </w:r>
          </w:p>
          <w:p w14:paraId="7C5BFC41" w14:textId="77777777" w:rsidR="001A4860" w:rsidRPr="001A4860" w:rsidRDefault="001A4860" w:rsidP="001A4860">
            <w:pPr>
              <w:jc w:val="center"/>
              <w:rPr>
                <w:rFonts w:ascii="Calibri" w:eastAsia="Calibri" w:hAnsi="Calibri" w:cs="Calibri"/>
                <w:szCs w:val="22"/>
                <w:lang w:val="es-ES"/>
              </w:rPr>
            </w:pPr>
          </w:p>
        </w:tc>
        <w:tc>
          <w:tcPr>
            <w:tcW w:w="1369" w:type="dxa"/>
            <w:vAlign w:val="center"/>
          </w:tcPr>
          <w:p w14:paraId="6FE95008" w14:textId="77777777" w:rsidR="001A4860" w:rsidRPr="001A4860" w:rsidRDefault="001A4860" w:rsidP="001A4860">
            <w:pPr>
              <w:jc w:val="center"/>
              <w:rPr>
                <w:rFonts w:ascii="Calibri" w:eastAsia="Calibri" w:hAnsi="Calibri" w:cs="Calibri"/>
                <w:szCs w:val="22"/>
                <w:lang w:val="es-ES"/>
              </w:rPr>
            </w:pPr>
          </w:p>
          <w:p w14:paraId="64B03E03"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Indirectos</w:t>
            </w:r>
          </w:p>
          <w:p w14:paraId="5847E3B6" w14:textId="77777777" w:rsidR="001A4860" w:rsidRPr="001A4860" w:rsidRDefault="001A4860" w:rsidP="001A4860">
            <w:pPr>
              <w:jc w:val="center"/>
              <w:rPr>
                <w:rFonts w:ascii="Calibri" w:eastAsia="Calibri" w:hAnsi="Calibri" w:cs="Calibri"/>
                <w:szCs w:val="22"/>
                <w:lang w:val="es-ES"/>
              </w:rPr>
            </w:pPr>
          </w:p>
        </w:tc>
        <w:tc>
          <w:tcPr>
            <w:tcW w:w="1627" w:type="dxa"/>
            <w:vAlign w:val="center"/>
          </w:tcPr>
          <w:p w14:paraId="58F7A92A" w14:textId="77777777" w:rsidR="001A4860" w:rsidRPr="001A4860" w:rsidRDefault="001A4860" w:rsidP="001A4860">
            <w:pPr>
              <w:jc w:val="center"/>
              <w:rPr>
                <w:rFonts w:ascii="Calibri" w:eastAsia="Calibri" w:hAnsi="Calibri" w:cs="Calibri"/>
                <w:szCs w:val="22"/>
                <w:lang w:val="es-ES"/>
              </w:rPr>
            </w:pPr>
          </w:p>
          <w:p w14:paraId="30218740"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Facilitador Social Individual</w:t>
            </w:r>
          </w:p>
        </w:tc>
      </w:tr>
      <w:tr w:rsidR="001A4860" w:rsidRPr="001A4860" w14:paraId="3623412D" w14:textId="77777777" w:rsidTr="001A4860">
        <w:trPr>
          <w:trHeight w:val="1017"/>
        </w:trPr>
        <w:tc>
          <w:tcPr>
            <w:tcW w:w="3200" w:type="dxa"/>
            <w:vAlign w:val="center"/>
          </w:tcPr>
          <w:p w14:paraId="0A51B7A9" w14:textId="77777777" w:rsidR="001A4860" w:rsidRPr="001A4860" w:rsidRDefault="001A4860" w:rsidP="001A4860">
            <w:pPr>
              <w:jc w:val="center"/>
              <w:rPr>
                <w:rFonts w:ascii="Calibri" w:eastAsia="Calibri" w:hAnsi="Calibri" w:cs="Calibri"/>
                <w:szCs w:val="22"/>
                <w:lang w:val="es-ES"/>
              </w:rPr>
            </w:pPr>
          </w:p>
          <w:p w14:paraId="7BFF8E61"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Ley 722 “ Ley Especial de CAPS”</w:t>
            </w:r>
          </w:p>
        </w:tc>
        <w:tc>
          <w:tcPr>
            <w:tcW w:w="1649" w:type="dxa"/>
            <w:vAlign w:val="center"/>
          </w:tcPr>
          <w:p w14:paraId="16062417"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CAPS</w:t>
            </w:r>
          </w:p>
        </w:tc>
        <w:tc>
          <w:tcPr>
            <w:tcW w:w="1460" w:type="dxa"/>
            <w:vAlign w:val="center"/>
          </w:tcPr>
          <w:p w14:paraId="04A33BC9"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Post Obra</w:t>
            </w:r>
          </w:p>
        </w:tc>
        <w:tc>
          <w:tcPr>
            <w:tcW w:w="1468" w:type="dxa"/>
            <w:vAlign w:val="center"/>
          </w:tcPr>
          <w:p w14:paraId="05392EB1"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Una sola vez</w:t>
            </w:r>
          </w:p>
        </w:tc>
        <w:tc>
          <w:tcPr>
            <w:tcW w:w="1369" w:type="dxa"/>
            <w:vAlign w:val="center"/>
          </w:tcPr>
          <w:p w14:paraId="7DC0F744" w14:textId="77777777" w:rsidR="001A4860" w:rsidRPr="001A4860" w:rsidRDefault="001A4860" w:rsidP="001A4860">
            <w:pPr>
              <w:jc w:val="center"/>
              <w:rPr>
                <w:rFonts w:ascii="Calibri" w:eastAsia="Calibri" w:hAnsi="Calibri" w:cs="Calibri"/>
                <w:szCs w:val="22"/>
                <w:lang w:val="es-ES"/>
              </w:rPr>
            </w:pPr>
          </w:p>
          <w:p w14:paraId="6EDAEA08"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Indirectos</w:t>
            </w:r>
          </w:p>
          <w:p w14:paraId="5F511856" w14:textId="77777777" w:rsidR="001A4860" w:rsidRPr="001A4860" w:rsidRDefault="001A4860" w:rsidP="001A4860">
            <w:pPr>
              <w:jc w:val="center"/>
              <w:rPr>
                <w:rFonts w:ascii="Calibri" w:eastAsia="Calibri" w:hAnsi="Calibri" w:cs="Calibri"/>
                <w:szCs w:val="22"/>
                <w:lang w:val="es-ES"/>
              </w:rPr>
            </w:pPr>
          </w:p>
        </w:tc>
        <w:tc>
          <w:tcPr>
            <w:tcW w:w="1627" w:type="dxa"/>
            <w:vAlign w:val="center"/>
          </w:tcPr>
          <w:p w14:paraId="451F7694" w14:textId="77777777" w:rsidR="001A4860" w:rsidRPr="001A4860" w:rsidRDefault="001A4860" w:rsidP="001A4860">
            <w:pPr>
              <w:jc w:val="center"/>
              <w:rPr>
                <w:rFonts w:ascii="Calibri" w:eastAsia="Calibri" w:hAnsi="Calibri" w:cs="Calibri"/>
                <w:szCs w:val="22"/>
                <w:lang w:val="es-ES"/>
              </w:rPr>
            </w:pPr>
          </w:p>
          <w:p w14:paraId="6314F5B6"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Facilitador Social Individual</w:t>
            </w:r>
          </w:p>
        </w:tc>
      </w:tr>
    </w:tbl>
    <w:p w14:paraId="01883112"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60CF2B38" w14:textId="77777777" w:rsidR="001A4860" w:rsidRPr="001A4860" w:rsidRDefault="001A4860" w:rsidP="001A4860">
      <w:pPr>
        <w:spacing w:after="160" w:line="259" w:lineRule="auto"/>
        <w:jc w:val="left"/>
        <w:rPr>
          <w:rFonts w:ascii="Calibri" w:eastAsia="Calibri" w:hAnsi="Calibri" w:cs="Calibri"/>
          <w:b/>
          <w:sz w:val="22"/>
          <w:szCs w:val="22"/>
          <w:lang w:val="es-ES"/>
        </w:rPr>
      </w:pPr>
      <w:r w:rsidRPr="001A4860">
        <w:rPr>
          <w:rFonts w:ascii="Calibri" w:eastAsia="Calibri" w:hAnsi="Calibri" w:cs="Calibri"/>
          <w:b/>
          <w:sz w:val="22"/>
          <w:szCs w:val="22"/>
          <w:lang w:val="es-ES"/>
        </w:rPr>
        <w:t>EDUCACIÓN AMBIENTAL</w:t>
      </w:r>
    </w:p>
    <w:p w14:paraId="06B9FF94" w14:textId="77777777" w:rsidR="001A4860" w:rsidRPr="001A4860" w:rsidRDefault="001A4860" w:rsidP="001A4860">
      <w:pPr>
        <w:spacing w:after="160" w:line="259" w:lineRule="auto"/>
        <w:rPr>
          <w:rFonts w:ascii="Calibri" w:eastAsia="Calibri" w:hAnsi="Calibri" w:cs="Calibri"/>
          <w:sz w:val="22"/>
          <w:szCs w:val="22"/>
          <w:lang w:val="es-ES"/>
        </w:rPr>
      </w:pPr>
      <w:r w:rsidRPr="001A4860">
        <w:rPr>
          <w:rFonts w:ascii="Calibri" w:eastAsia="Calibri" w:hAnsi="Calibri" w:cs="Calibri"/>
          <w:sz w:val="22"/>
          <w:szCs w:val="22"/>
          <w:lang w:val="es-ES"/>
        </w:rPr>
        <w:t xml:space="preserve">El plan de Educación Ambiental está dirigido al Comité de Agua y Saneamiento (CAPS) y comunidad en general, con el objetivo de fomentar interés, cuido e importancia para la mejora del medio natural de la zona de influencia del proyecto. </w:t>
      </w:r>
    </w:p>
    <w:tbl>
      <w:tblPr>
        <w:tblStyle w:val="Tablaconcuadrcula4"/>
        <w:tblW w:w="10773" w:type="dxa"/>
        <w:tblInd w:w="-1139" w:type="dxa"/>
        <w:tblLook w:val="04A0" w:firstRow="1" w:lastRow="0" w:firstColumn="1" w:lastColumn="0" w:noHBand="0" w:noVBand="1"/>
      </w:tblPr>
      <w:tblGrid>
        <w:gridCol w:w="3181"/>
        <w:gridCol w:w="1656"/>
        <w:gridCol w:w="1465"/>
        <w:gridCol w:w="1470"/>
        <w:gridCol w:w="1374"/>
        <w:gridCol w:w="1627"/>
      </w:tblGrid>
      <w:tr w:rsidR="001A4860" w:rsidRPr="001A4860" w14:paraId="21A7678A" w14:textId="77777777" w:rsidTr="001A4860">
        <w:tc>
          <w:tcPr>
            <w:tcW w:w="3181" w:type="dxa"/>
            <w:vAlign w:val="center"/>
          </w:tcPr>
          <w:p w14:paraId="288E95DA"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TEMÁTICA</w:t>
            </w:r>
          </w:p>
        </w:tc>
        <w:tc>
          <w:tcPr>
            <w:tcW w:w="1656" w:type="dxa"/>
            <w:vAlign w:val="center"/>
          </w:tcPr>
          <w:p w14:paraId="011791CF"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PERSONAL A CAPACITAR</w:t>
            </w:r>
          </w:p>
        </w:tc>
        <w:tc>
          <w:tcPr>
            <w:tcW w:w="1465" w:type="dxa"/>
            <w:vAlign w:val="center"/>
          </w:tcPr>
          <w:p w14:paraId="00415BDD"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ETAPA DEL PROYECTO</w:t>
            </w:r>
          </w:p>
        </w:tc>
        <w:tc>
          <w:tcPr>
            <w:tcW w:w="1470" w:type="dxa"/>
            <w:vAlign w:val="center"/>
          </w:tcPr>
          <w:p w14:paraId="666DE076"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PERIODO Ó FRECUENCIA</w:t>
            </w:r>
          </w:p>
        </w:tc>
        <w:tc>
          <w:tcPr>
            <w:tcW w:w="1374" w:type="dxa"/>
            <w:vAlign w:val="center"/>
          </w:tcPr>
          <w:p w14:paraId="2048F688"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COSTOS</w:t>
            </w:r>
          </w:p>
        </w:tc>
        <w:tc>
          <w:tcPr>
            <w:tcW w:w="1627" w:type="dxa"/>
            <w:vAlign w:val="center"/>
          </w:tcPr>
          <w:p w14:paraId="2A267D73" w14:textId="77777777" w:rsidR="001A4860" w:rsidRPr="001A4860" w:rsidRDefault="001A4860" w:rsidP="001A4860">
            <w:pPr>
              <w:jc w:val="center"/>
              <w:rPr>
                <w:rFonts w:ascii="Calibri" w:eastAsia="Calibri" w:hAnsi="Calibri" w:cs="Calibri"/>
                <w:szCs w:val="22"/>
                <w:lang w:val="es-ES"/>
              </w:rPr>
            </w:pPr>
            <w:r w:rsidRPr="001A4860">
              <w:rPr>
                <w:rFonts w:ascii="Calibri" w:eastAsia="Calibri" w:hAnsi="Calibri" w:cs="Calibri"/>
                <w:szCs w:val="22"/>
                <w:lang w:val="es-ES"/>
              </w:rPr>
              <w:t>RESPONSABLES</w:t>
            </w:r>
          </w:p>
        </w:tc>
      </w:tr>
      <w:tr w:rsidR="001A4860" w:rsidRPr="001A4860" w14:paraId="1D2E61F4" w14:textId="77777777" w:rsidTr="001A4860">
        <w:trPr>
          <w:trHeight w:val="563"/>
        </w:trPr>
        <w:tc>
          <w:tcPr>
            <w:tcW w:w="3181" w:type="dxa"/>
          </w:tcPr>
          <w:p w14:paraId="2E3BECE7"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 xml:space="preserve">Conceptos Básicos de Medio Ambiental  </w:t>
            </w:r>
          </w:p>
        </w:tc>
        <w:tc>
          <w:tcPr>
            <w:tcW w:w="1656" w:type="dxa"/>
            <w:vAlign w:val="center"/>
          </w:tcPr>
          <w:p w14:paraId="4BFC369B"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CAPS</w:t>
            </w:r>
          </w:p>
        </w:tc>
        <w:tc>
          <w:tcPr>
            <w:tcW w:w="1465" w:type="dxa"/>
            <w:vAlign w:val="center"/>
          </w:tcPr>
          <w:p w14:paraId="25C7A63C"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Ejecución</w:t>
            </w:r>
          </w:p>
          <w:p w14:paraId="77412209" w14:textId="77777777" w:rsidR="001A4860" w:rsidRPr="001A4860" w:rsidRDefault="001A4860" w:rsidP="001A4860">
            <w:pPr>
              <w:rPr>
                <w:rFonts w:ascii="Calibri" w:eastAsia="Calibri" w:hAnsi="Calibri" w:cs="Calibri"/>
                <w:szCs w:val="22"/>
                <w:lang w:val="es-ES"/>
              </w:rPr>
            </w:pPr>
          </w:p>
        </w:tc>
        <w:tc>
          <w:tcPr>
            <w:tcW w:w="1470" w:type="dxa"/>
            <w:vAlign w:val="center"/>
          </w:tcPr>
          <w:p w14:paraId="18C3B619"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Una sola vez</w:t>
            </w:r>
          </w:p>
          <w:p w14:paraId="272D9641" w14:textId="77777777" w:rsidR="001A4860" w:rsidRPr="001A4860" w:rsidRDefault="001A4860" w:rsidP="001A4860">
            <w:pPr>
              <w:rPr>
                <w:rFonts w:ascii="Calibri" w:eastAsia="Calibri" w:hAnsi="Calibri" w:cs="Calibri"/>
                <w:szCs w:val="22"/>
                <w:lang w:val="es-ES"/>
              </w:rPr>
            </w:pPr>
          </w:p>
        </w:tc>
        <w:tc>
          <w:tcPr>
            <w:tcW w:w="1374" w:type="dxa"/>
          </w:tcPr>
          <w:p w14:paraId="1AEA05CB" w14:textId="77777777" w:rsidR="001A4860" w:rsidRPr="001A4860" w:rsidRDefault="001A4860" w:rsidP="001A4860">
            <w:pPr>
              <w:rPr>
                <w:rFonts w:ascii="Calibri" w:eastAsia="Calibri" w:hAnsi="Calibri" w:cs="Calibri"/>
                <w:szCs w:val="22"/>
                <w:lang w:val="es-ES"/>
              </w:rPr>
            </w:pPr>
          </w:p>
          <w:p w14:paraId="1EED0FD8"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 xml:space="preserve">   Indirectos</w:t>
            </w:r>
          </w:p>
          <w:p w14:paraId="078595CF" w14:textId="77777777" w:rsidR="001A4860" w:rsidRPr="001A4860" w:rsidRDefault="001A4860" w:rsidP="001A4860">
            <w:pPr>
              <w:rPr>
                <w:rFonts w:ascii="Calibri" w:eastAsia="Calibri" w:hAnsi="Calibri" w:cs="Calibri"/>
                <w:szCs w:val="22"/>
                <w:lang w:val="es-ES"/>
              </w:rPr>
            </w:pPr>
          </w:p>
        </w:tc>
        <w:tc>
          <w:tcPr>
            <w:tcW w:w="1627" w:type="dxa"/>
          </w:tcPr>
          <w:p w14:paraId="2AD0CC7D" w14:textId="77777777" w:rsidR="001A4860" w:rsidRPr="001A4860" w:rsidRDefault="001A4860" w:rsidP="001A4860">
            <w:pPr>
              <w:rPr>
                <w:rFonts w:ascii="Calibri" w:eastAsia="Calibri" w:hAnsi="Calibri" w:cs="Calibri"/>
                <w:szCs w:val="22"/>
                <w:lang w:val="es-ES"/>
              </w:rPr>
            </w:pPr>
          </w:p>
          <w:p w14:paraId="2741AA48"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Facilitador Social Individual</w:t>
            </w:r>
          </w:p>
        </w:tc>
      </w:tr>
      <w:tr w:rsidR="001A4860" w:rsidRPr="001A4860" w14:paraId="29BEF3C4" w14:textId="77777777" w:rsidTr="001A4860">
        <w:trPr>
          <w:trHeight w:val="1017"/>
        </w:trPr>
        <w:tc>
          <w:tcPr>
            <w:tcW w:w="3181" w:type="dxa"/>
          </w:tcPr>
          <w:p w14:paraId="1770804C"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Metodología FECSA ( Hábitos higiénicos, manejo de agua, manejo de desechos sólidos, y excretas)</w:t>
            </w:r>
          </w:p>
        </w:tc>
        <w:tc>
          <w:tcPr>
            <w:tcW w:w="1656" w:type="dxa"/>
            <w:vAlign w:val="center"/>
          </w:tcPr>
          <w:p w14:paraId="51F68EFE"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 xml:space="preserve">Comunidad </w:t>
            </w:r>
          </w:p>
        </w:tc>
        <w:tc>
          <w:tcPr>
            <w:tcW w:w="1465" w:type="dxa"/>
            <w:vAlign w:val="center"/>
          </w:tcPr>
          <w:p w14:paraId="7AD886A1"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Ejecución/ Post Obra</w:t>
            </w:r>
          </w:p>
        </w:tc>
        <w:tc>
          <w:tcPr>
            <w:tcW w:w="1470" w:type="dxa"/>
            <w:vAlign w:val="center"/>
          </w:tcPr>
          <w:p w14:paraId="5FB1BEF4"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Visita casa a casa</w:t>
            </w:r>
          </w:p>
        </w:tc>
        <w:tc>
          <w:tcPr>
            <w:tcW w:w="1374" w:type="dxa"/>
          </w:tcPr>
          <w:p w14:paraId="40F78935" w14:textId="77777777" w:rsidR="001A4860" w:rsidRPr="001A4860" w:rsidRDefault="001A4860" w:rsidP="001A4860">
            <w:pPr>
              <w:rPr>
                <w:rFonts w:ascii="Calibri" w:eastAsia="Calibri" w:hAnsi="Calibri" w:cs="Calibri"/>
                <w:szCs w:val="22"/>
                <w:lang w:val="es-ES"/>
              </w:rPr>
            </w:pPr>
          </w:p>
          <w:p w14:paraId="735785AD"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 xml:space="preserve">   Indirectos</w:t>
            </w:r>
          </w:p>
          <w:p w14:paraId="7FB02C5D" w14:textId="77777777" w:rsidR="001A4860" w:rsidRPr="001A4860" w:rsidRDefault="001A4860" w:rsidP="001A4860">
            <w:pPr>
              <w:rPr>
                <w:rFonts w:ascii="Calibri" w:eastAsia="Calibri" w:hAnsi="Calibri" w:cs="Calibri"/>
                <w:szCs w:val="22"/>
                <w:lang w:val="es-ES"/>
              </w:rPr>
            </w:pPr>
          </w:p>
        </w:tc>
        <w:tc>
          <w:tcPr>
            <w:tcW w:w="1627" w:type="dxa"/>
          </w:tcPr>
          <w:p w14:paraId="24A2E8FE" w14:textId="77777777" w:rsidR="001A4860" w:rsidRPr="001A4860" w:rsidRDefault="001A4860" w:rsidP="001A4860">
            <w:pPr>
              <w:rPr>
                <w:rFonts w:ascii="Calibri" w:eastAsia="Calibri" w:hAnsi="Calibri" w:cs="Calibri"/>
                <w:szCs w:val="22"/>
                <w:lang w:val="es-ES"/>
              </w:rPr>
            </w:pPr>
          </w:p>
          <w:p w14:paraId="18D11FD5" w14:textId="77777777" w:rsidR="001A4860" w:rsidRPr="001A4860" w:rsidRDefault="001A4860" w:rsidP="001A4860">
            <w:pPr>
              <w:rPr>
                <w:rFonts w:ascii="Calibri" w:eastAsia="Calibri" w:hAnsi="Calibri" w:cs="Calibri"/>
                <w:szCs w:val="22"/>
                <w:lang w:val="es-ES"/>
              </w:rPr>
            </w:pPr>
            <w:r w:rsidRPr="001A4860">
              <w:rPr>
                <w:rFonts w:ascii="Calibri" w:eastAsia="Calibri" w:hAnsi="Calibri" w:cs="Calibri"/>
                <w:szCs w:val="22"/>
                <w:lang w:val="es-ES"/>
              </w:rPr>
              <w:t>Facilitador Social Individual</w:t>
            </w:r>
          </w:p>
        </w:tc>
      </w:tr>
    </w:tbl>
    <w:p w14:paraId="1D9A6153"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46946CB1" w14:textId="77777777" w:rsidR="001A4860" w:rsidRPr="001A4860" w:rsidRDefault="001A4860" w:rsidP="001A4860">
      <w:pPr>
        <w:spacing w:after="160" w:line="259" w:lineRule="auto"/>
        <w:rPr>
          <w:rFonts w:ascii="Calibri" w:eastAsia="Calibri" w:hAnsi="Calibri" w:cs="Calibri"/>
          <w:sz w:val="22"/>
          <w:szCs w:val="22"/>
          <w:lang w:val="es-ES"/>
        </w:rPr>
      </w:pPr>
      <w:r w:rsidRPr="001A4860">
        <w:rPr>
          <w:rFonts w:ascii="Calibri" w:eastAsia="Calibri" w:hAnsi="Calibri" w:cs="Calibri"/>
          <w:sz w:val="22"/>
          <w:szCs w:val="22"/>
          <w:lang w:val="es-ES"/>
        </w:rPr>
        <w:t xml:space="preserve">En la ejecución de los planes de acción: Plan de Capacitación y Educación Ambiental la Facilitadora Social Individual establecerá un cronograma y se generará registros de asistencia de los participantes. </w:t>
      </w:r>
    </w:p>
    <w:p w14:paraId="471A9D57" w14:textId="77777777" w:rsidR="001A4860" w:rsidRPr="001A4860" w:rsidRDefault="001A4860" w:rsidP="001A4860">
      <w:pPr>
        <w:spacing w:after="160" w:line="259" w:lineRule="auto"/>
        <w:rPr>
          <w:rFonts w:ascii="Calibri" w:eastAsia="Calibri" w:hAnsi="Calibri" w:cs="Calibri"/>
          <w:sz w:val="22"/>
          <w:szCs w:val="22"/>
          <w:lang w:val="es-ES"/>
        </w:rPr>
      </w:pPr>
      <w:r w:rsidRPr="001A4860">
        <w:rPr>
          <w:rFonts w:ascii="Calibri" w:eastAsia="Calibri" w:hAnsi="Calibri" w:cs="Calibri"/>
          <w:sz w:val="22"/>
          <w:szCs w:val="22"/>
          <w:lang w:val="es-ES"/>
        </w:rPr>
        <w:t xml:space="preserve">La capacitación y concientización tienen el propósito de impartir conceptos generales sobre medio ambiente; gestión ambiental; buenas prácticas de manejo ambiental; manejo de agua. </w:t>
      </w:r>
    </w:p>
    <w:p w14:paraId="6312E0AE"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66425763"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1A1F6B8D"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426DB9FE" w14:textId="77777777" w:rsidR="001A4860" w:rsidRPr="001A4860" w:rsidRDefault="001A4860" w:rsidP="001A4860">
      <w:pPr>
        <w:spacing w:after="160" w:line="259" w:lineRule="auto"/>
        <w:jc w:val="left"/>
        <w:rPr>
          <w:rFonts w:ascii="Calibri" w:eastAsia="Calibri" w:hAnsi="Calibri" w:cs="Calibri"/>
          <w:sz w:val="22"/>
          <w:szCs w:val="22"/>
          <w:lang w:val="es-ES"/>
        </w:rPr>
      </w:pPr>
    </w:p>
    <w:p w14:paraId="068520D7" w14:textId="77777777" w:rsidR="001A4860" w:rsidRPr="001A4860" w:rsidRDefault="001A4860" w:rsidP="001A4860">
      <w:pPr>
        <w:spacing w:after="160" w:line="259" w:lineRule="auto"/>
        <w:jc w:val="left"/>
        <w:rPr>
          <w:rFonts w:ascii="Calibri" w:eastAsia="Calibri" w:hAnsi="Calibri" w:cs="Calibri"/>
          <w:b/>
          <w:bCs/>
          <w:sz w:val="22"/>
          <w:szCs w:val="22"/>
          <w:u w:val="single"/>
          <w:lang w:val="es-ES"/>
        </w:rPr>
      </w:pPr>
      <w:r w:rsidRPr="001A4860">
        <w:rPr>
          <w:rFonts w:ascii="Calibri" w:eastAsia="Calibri" w:hAnsi="Calibri" w:cs="Calibri"/>
          <w:b/>
          <w:bCs/>
          <w:sz w:val="22"/>
          <w:szCs w:val="22"/>
          <w:u w:val="single"/>
          <w:lang w:val="es-ES"/>
        </w:rPr>
        <w:lastRenderedPageBreak/>
        <w:br w:type="page"/>
      </w:r>
    </w:p>
    <w:p w14:paraId="3C498A3C" w14:textId="77777777" w:rsidR="001A4860" w:rsidRPr="001A4860" w:rsidRDefault="001A4860" w:rsidP="001A4860">
      <w:pPr>
        <w:spacing w:after="160" w:line="259" w:lineRule="auto"/>
        <w:rPr>
          <w:rFonts w:ascii="Calibri" w:eastAsia="Calibri" w:hAnsi="Calibri" w:cs="Calibri"/>
          <w:b/>
          <w:bCs/>
          <w:sz w:val="22"/>
          <w:szCs w:val="22"/>
          <w:u w:val="single"/>
          <w:lang w:val="es-ES"/>
        </w:rPr>
      </w:pPr>
      <w:r w:rsidRPr="001A4860">
        <w:rPr>
          <w:rFonts w:ascii="Calibri" w:eastAsia="Calibri" w:hAnsi="Calibri" w:cs="Calibri"/>
          <w:b/>
          <w:bCs/>
          <w:sz w:val="22"/>
          <w:szCs w:val="22"/>
          <w:u w:val="single"/>
          <w:lang w:val="es-ES"/>
        </w:rPr>
        <w:lastRenderedPageBreak/>
        <w:t>AUTORIZACION AMBIENTAL DTNS-171220-P0114-0 “PROYECTO 19842 AGUA Y SANEAMIENTO COMUNIDAD ZACATERA”</w:t>
      </w:r>
    </w:p>
    <w:p w14:paraId="6C48E720" w14:textId="77777777" w:rsidR="001A4860" w:rsidRPr="001A4860" w:rsidRDefault="001A4860" w:rsidP="001A4860">
      <w:pPr>
        <w:spacing w:after="160" w:line="259" w:lineRule="auto"/>
        <w:jc w:val="center"/>
        <w:rPr>
          <w:rFonts w:ascii="Calibri" w:eastAsia="Calibri" w:hAnsi="Calibri" w:cs="Calibri"/>
          <w:sz w:val="22"/>
          <w:szCs w:val="22"/>
          <w:lang w:val="es-ES"/>
        </w:rPr>
      </w:pPr>
      <w:r w:rsidRPr="001A4860">
        <w:rPr>
          <w:rFonts w:ascii="Calibri" w:eastAsia="Calibri" w:hAnsi="Calibri" w:cs="Calibri"/>
          <w:noProof/>
          <w:sz w:val="22"/>
          <w:szCs w:val="22"/>
          <w:lang w:val="es-MX" w:eastAsia="es-MX"/>
        </w:rPr>
        <w:drawing>
          <wp:inline distT="0" distB="0" distL="0" distR="0" wp14:anchorId="6EFC5775" wp14:editId="61B40D73">
            <wp:extent cx="5774484" cy="7255824"/>
            <wp:effectExtent l="0" t="0" r="0" b="2540"/>
            <wp:docPr id="21551" name="Imagen 2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80228" cy="7263042"/>
                    </a:xfrm>
                    <a:prstGeom prst="rect">
                      <a:avLst/>
                    </a:prstGeom>
                  </pic:spPr>
                </pic:pic>
              </a:graphicData>
            </a:graphic>
          </wp:inline>
        </w:drawing>
      </w:r>
    </w:p>
    <w:p w14:paraId="43D7B3D5" w14:textId="77777777" w:rsidR="001A4860" w:rsidRPr="001A4860" w:rsidRDefault="001A4860" w:rsidP="001A4860">
      <w:pPr>
        <w:spacing w:after="160" w:line="259" w:lineRule="auto"/>
        <w:jc w:val="center"/>
        <w:rPr>
          <w:rFonts w:ascii="Calibri" w:eastAsia="Calibri" w:hAnsi="Calibri" w:cs="Calibri"/>
          <w:sz w:val="22"/>
          <w:szCs w:val="22"/>
          <w:lang w:val="es-ES"/>
        </w:rPr>
      </w:pPr>
      <w:r w:rsidRPr="001A4860">
        <w:rPr>
          <w:rFonts w:ascii="Calibri" w:eastAsia="Calibri" w:hAnsi="Calibri" w:cs="Calibri"/>
          <w:noProof/>
          <w:sz w:val="22"/>
          <w:szCs w:val="22"/>
          <w:lang w:val="es-MX" w:eastAsia="es-MX"/>
        </w:rPr>
        <w:lastRenderedPageBreak/>
        <w:drawing>
          <wp:inline distT="0" distB="0" distL="0" distR="0" wp14:anchorId="5374EEFC" wp14:editId="48011D34">
            <wp:extent cx="5702576" cy="7448550"/>
            <wp:effectExtent l="0" t="0" r="0" b="0"/>
            <wp:docPr id="21552" name="Imagen 2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0844" cy="7459349"/>
                    </a:xfrm>
                    <a:prstGeom prst="rect">
                      <a:avLst/>
                    </a:prstGeom>
                  </pic:spPr>
                </pic:pic>
              </a:graphicData>
            </a:graphic>
          </wp:inline>
        </w:drawing>
      </w:r>
    </w:p>
    <w:p w14:paraId="451AB9EF"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2D5BF193"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3B4F4F85" w14:textId="77777777" w:rsidR="001A4860" w:rsidRPr="001A4860" w:rsidRDefault="001A4860" w:rsidP="001A4860">
      <w:pPr>
        <w:spacing w:after="160" w:line="259" w:lineRule="auto"/>
        <w:jc w:val="center"/>
        <w:rPr>
          <w:rFonts w:ascii="Calibri" w:eastAsia="Calibri" w:hAnsi="Calibri" w:cs="Calibri"/>
          <w:sz w:val="22"/>
          <w:szCs w:val="22"/>
          <w:lang w:val="es-ES"/>
        </w:rPr>
      </w:pPr>
      <w:r w:rsidRPr="001A4860">
        <w:rPr>
          <w:rFonts w:ascii="Calibri" w:eastAsia="Calibri" w:hAnsi="Calibri" w:cs="Calibri"/>
          <w:noProof/>
          <w:sz w:val="22"/>
          <w:szCs w:val="22"/>
          <w:lang w:val="es-MX" w:eastAsia="es-MX"/>
        </w:rPr>
        <w:lastRenderedPageBreak/>
        <w:drawing>
          <wp:inline distT="0" distB="0" distL="0" distR="0" wp14:anchorId="6DCA1DB1" wp14:editId="7DE20C47">
            <wp:extent cx="5749649" cy="7505700"/>
            <wp:effectExtent l="0" t="0" r="3810" b="0"/>
            <wp:docPr id="21553" name="Imagen 2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6444" cy="7514571"/>
                    </a:xfrm>
                    <a:prstGeom prst="rect">
                      <a:avLst/>
                    </a:prstGeom>
                  </pic:spPr>
                </pic:pic>
              </a:graphicData>
            </a:graphic>
          </wp:inline>
        </w:drawing>
      </w:r>
    </w:p>
    <w:p w14:paraId="6CAA8737"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65124A61"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09BC5FC1" w14:textId="77777777" w:rsidR="001A4860" w:rsidRPr="001A4860" w:rsidRDefault="001A4860" w:rsidP="001A4860">
      <w:pPr>
        <w:spacing w:after="160" w:line="259" w:lineRule="auto"/>
        <w:jc w:val="center"/>
        <w:rPr>
          <w:rFonts w:ascii="Calibri" w:eastAsia="Calibri" w:hAnsi="Calibri" w:cs="Calibri"/>
          <w:sz w:val="22"/>
          <w:szCs w:val="22"/>
          <w:lang w:val="es-ES"/>
        </w:rPr>
      </w:pPr>
      <w:r w:rsidRPr="001A4860">
        <w:rPr>
          <w:rFonts w:ascii="Calibri" w:eastAsia="Calibri" w:hAnsi="Calibri" w:cs="Calibri"/>
          <w:noProof/>
          <w:sz w:val="22"/>
          <w:szCs w:val="22"/>
          <w:lang w:val="es-MX" w:eastAsia="es-MX"/>
        </w:rPr>
        <w:lastRenderedPageBreak/>
        <w:drawing>
          <wp:inline distT="0" distB="0" distL="0" distR="0" wp14:anchorId="63FDFF18" wp14:editId="22302CF0">
            <wp:extent cx="5871125" cy="7400925"/>
            <wp:effectExtent l="0" t="0" r="0" b="0"/>
            <wp:docPr id="21554" name="Imagen 2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76277" cy="7407420"/>
                    </a:xfrm>
                    <a:prstGeom prst="rect">
                      <a:avLst/>
                    </a:prstGeom>
                  </pic:spPr>
                </pic:pic>
              </a:graphicData>
            </a:graphic>
          </wp:inline>
        </w:drawing>
      </w:r>
    </w:p>
    <w:p w14:paraId="1AB233E6"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417DCEA7"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126DBD2E" w14:textId="77777777" w:rsidR="001A4860" w:rsidRPr="001A4860" w:rsidRDefault="001A4860" w:rsidP="001A4860">
      <w:pPr>
        <w:spacing w:after="160" w:line="259" w:lineRule="auto"/>
        <w:jc w:val="center"/>
        <w:rPr>
          <w:rFonts w:ascii="Calibri" w:eastAsia="Calibri" w:hAnsi="Calibri" w:cs="Calibri"/>
          <w:sz w:val="22"/>
          <w:szCs w:val="22"/>
          <w:lang w:val="es-ES"/>
        </w:rPr>
      </w:pPr>
    </w:p>
    <w:p w14:paraId="16FF3F64" w14:textId="77777777" w:rsidR="001A4860" w:rsidRPr="001A4860" w:rsidRDefault="001A4860" w:rsidP="001A4860">
      <w:pPr>
        <w:spacing w:after="160" w:line="259" w:lineRule="auto"/>
        <w:jc w:val="center"/>
        <w:rPr>
          <w:rFonts w:ascii="Calibri" w:eastAsia="Calibri" w:hAnsi="Calibri" w:cs="Calibri"/>
          <w:sz w:val="22"/>
          <w:szCs w:val="22"/>
          <w:lang w:val="es-ES"/>
        </w:rPr>
      </w:pPr>
      <w:r w:rsidRPr="001A4860">
        <w:rPr>
          <w:rFonts w:ascii="Calibri" w:eastAsia="Calibri" w:hAnsi="Calibri" w:cs="Calibri"/>
          <w:noProof/>
          <w:sz w:val="22"/>
          <w:szCs w:val="22"/>
          <w:lang w:val="es-MX" w:eastAsia="es-MX"/>
        </w:rPr>
        <w:drawing>
          <wp:inline distT="0" distB="0" distL="0" distR="0" wp14:anchorId="2D38B846" wp14:editId="74021B09">
            <wp:extent cx="6088298" cy="7781925"/>
            <wp:effectExtent l="0" t="0" r="8255" b="0"/>
            <wp:docPr id="21555" name="Imagen 2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94932" cy="7790404"/>
                    </a:xfrm>
                    <a:prstGeom prst="rect">
                      <a:avLst/>
                    </a:prstGeom>
                  </pic:spPr>
                </pic:pic>
              </a:graphicData>
            </a:graphic>
          </wp:inline>
        </w:drawing>
      </w:r>
    </w:p>
    <w:p w14:paraId="592FA336" w14:textId="77777777" w:rsidR="001A4860" w:rsidRPr="001A4860" w:rsidRDefault="001A4860" w:rsidP="001A4860">
      <w:pPr>
        <w:spacing w:after="160" w:line="259" w:lineRule="auto"/>
        <w:rPr>
          <w:rFonts w:eastAsia="Calibri"/>
          <w:szCs w:val="24"/>
          <w:highlight w:val="yellow"/>
          <w:lang w:val="es-ES"/>
        </w:rPr>
      </w:pPr>
    </w:p>
    <w:p w14:paraId="13953E30" w14:textId="77777777" w:rsidR="003B68DB" w:rsidRPr="003B68DB" w:rsidRDefault="003B68DB" w:rsidP="003B68DB">
      <w:pPr>
        <w:jc w:val="center"/>
        <w:rPr>
          <w:rFonts w:ascii="Arial" w:hAnsi="Arial" w:cs="Arial"/>
          <w:b/>
          <w:szCs w:val="24"/>
          <w:highlight w:val="yellow"/>
          <w:lang w:val="es-ES" w:eastAsia="es-ES"/>
        </w:rPr>
      </w:pPr>
      <w:r w:rsidRPr="003B68DB">
        <w:rPr>
          <w:rFonts w:ascii="Arial" w:hAnsi="Arial" w:cs="Arial"/>
          <w:b/>
          <w:szCs w:val="24"/>
          <w:highlight w:val="yellow"/>
          <w:lang w:val="es-ES" w:eastAsia="es-ES"/>
        </w:rPr>
        <w:t>ESPECIFICACIONES TÉCNICAS PARTICULARES</w:t>
      </w:r>
    </w:p>
    <w:p w14:paraId="5F7F7CAB" w14:textId="77777777" w:rsidR="003B68DB" w:rsidRPr="003B68DB" w:rsidRDefault="003B68DB" w:rsidP="003B68DB">
      <w:pPr>
        <w:tabs>
          <w:tab w:val="center" w:pos="4252"/>
          <w:tab w:val="right" w:pos="8504"/>
        </w:tabs>
        <w:rPr>
          <w:rFonts w:ascii="Arial" w:hAnsi="Arial" w:cs="Arial"/>
          <w:b/>
          <w:szCs w:val="24"/>
          <w:lang w:val="es-ES" w:eastAsia="es-ES"/>
        </w:rPr>
      </w:pPr>
      <w:r w:rsidRPr="003B68DB">
        <w:rPr>
          <w:rFonts w:ascii="Arial" w:hAnsi="Arial" w:cs="Arial"/>
          <w:b/>
          <w:szCs w:val="24"/>
          <w:highlight w:val="yellow"/>
          <w:lang w:val="es-ES" w:eastAsia="es-ES"/>
        </w:rPr>
        <w:t>Proyecto 19892 Agua y Saneamiento comunidad Balsamo Abajo (LOTE 4)</w:t>
      </w:r>
    </w:p>
    <w:p w14:paraId="38DEA608" w14:textId="77777777" w:rsidR="003B68DB" w:rsidRPr="003B68DB" w:rsidRDefault="003B68DB" w:rsidP="003B68DB">
      <w:pPr>
        <w:rPr>
          <w:rFonts w:ascii="Arial" w:hAnsi="Arial" w:cs="Arial"/>
          <w:szCs w:val="24"/>
          <w:lang w:val="es-ES" w:eastAsia="es-ES"/>
        </w:rPr>
      </w:pPr>
    </w:p>
    <w:p w14:paraId="509448B0"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10" w:name="_Toc22391586"/>
      <w:bookmarkStart w:id="1611" w:name="_Toc22653923"/>
      <w:r w:rsidRPr="00181F97">
        <w:rPr>
          <w:rFonts w:ascii="Arial" w:eastAsia="Arial Narrow" w:hAnsi="Arial" w:cs="Arial"/>
          <w:b/>
          <w:bCs/>
          <w:iCs/>
          <w:szCs w:val="24"/>
          <w:lang w:val="es-NI"/>
        </w:rPr>
        <w:t>Introducción.</w:t>
      </w:r>
      <w:bookmarkEnd w:id="1610"/>
      <w:bookmarkEnd w:id="1611"/>
    </w:p>
    <w:p w14:paraId="63B56239" w14:textId="77777777" w:rsidR="003B68DB" w:rsidRPr="003B68DB" w:rsidRDefault="003B68DB" w:rsidP="003B68DB">
      <w:pPr>
        <w:rPr>
          <w:rFonts w:ascii="Arial" w:hAnsi="Arial" w:cs="Arial"/>
          <w:szCs w:val="24"/>
          <w:lang w:val="es-ES" w:eastAsia="es-ES"/>
        </w:rPr>
      </w:pPr>
    </w:p>
    <w:p w14:paraId="4086203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Estas especificaciones son particulares y se refieren a todos los aspectos de la construcción, en el caso que algún tipo de actividad no esté incluida en estas especificaciones, es responsabilidad del contratista hacer la obra de manera técnicamente correcta y sin ninguna mala intención, es decir no debe valerse del hecho que no esté incluida en las especificaciones.</w:t>
      </w:r>
    </w:p>
    <w:p w14:paraId="748DB876" w14:textId="77777777" w:rsidR="003B68DB" w:rsidRPr="003B68DB" w:rsidRDefault="003B68DB" w:rsidP="003B68DB">
      <w:pPr>
        <w:rPr>
          <w:rFonts w:ascii="Arial" w:hAnsi="Arial" w:cs="Arial"/>
          <w:szCs w:val="24"/>
          <w:lang w:val="es-ES" w:eastAsia="es-ES"/>
        </w:rPr>
      </w:pPr>
    </w:p>
    <w:p w14:paraId="7BEA7DB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debe incluir todos los costos que sean necesarios, sin omitir ninguna actividad, para evitar que sus costos presenten errores y sean los más correctos.</w:t>
      </w:r>
    </w:p>
    <w:p w14:paraId="6DE53F86" w14:textId="77777777" w:rsidR="003B68DB" w:rsidRPr="003B68DB" w:rsidRDefault="003B68DB" w:rsidP="003B68DB">
      <w:pPr>
        <w:rPr>
          <w:rFonts w:ascii="Arial" w:hAnsi="Arial" w:cs="Arial"/>
          <w:szCs w:val="24"/>
          <w:lang w:val="es-ES" w:eastAsia="es-ES"/>
        </w:rPr>
      </w:pPr>
    </w:p>
    <w:p w14:paraId="0EC2EF7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Estas especificaciones presentan breve descripción de las operaciones a ser ejecutadas por el Contratista y brindan los datos de las características técnicas mínimas que deben cumplir las obras, instalaciones, equipos, bienes y servicios a ser suministrados por El Contratista. </w:t>
      </w:r>
      <w:r w:rsidRPr="003B68DB">
        <w:rPr>
          <w:rFonts w:ascii="Arial" w:hAnsi="Arial"/>
          <w:szCs w:val="24"/>
          <w:lang w:val="es-ES" w:eastAsia="es-ES"/>
        </w:rPr>
        <w:t>Los cambios que resulten en los diseños, memorias descriptivas y de cálculos, planos, especificaciones e incrementos en las cantidades de obras y presupuesto, deben ser justificados, autorizados y asumidos por la Alcaldía.</w:t>
      </w:r>
    </w:p>
    <w:p w14:paraId="676A7955" w14:textId="77777777" w:rsidR="003B68DB" w:rsidRPr="003B68DB" w:rsidRDefault="003B68DB" w:rsidP="003B68DB">
      <w:pPr>
        <w:rPr>
          <w:rFonts w:ascii="Arial" w:hAnsi="Arial" w:cs="Arial"/>
          <w:szCs w:val="24"/>
          <w:lang w:val="es-ES" w:eastAsia="es-ES"/>
        </w:rPr>
      </w:pPr>
    </w:p>
    <w:p w14:paraId="7ABD936F"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12" w:name="_Toc22391587"/>
      <w:bookmarkStart w:id="1613" w:name="_Toc22653924"/>
      <w:r w:rsidRPr="00181F97">
        <w:rPr>
          <w:rFonts w:ascii="Arial" w:eastAsia="Arial Narrow" w:hAnsi="Arial" w:cs="Arial"/>
          <w:b/>
          <w:bCs/>
          <w:iCs/>
          <w:szCs w:val="24"/>
          <w:lang w:val="es-NI"/>
        </w:rPr>
        <w:t>Trabajos preliminares</w:t>
      </w:r>
      <w:bookmarkEnd w:id="1612"/>
      <w:bookmarkEnd w:id="1613"/>
    </w:p>
    <w:p w14:paraId="55CDF632" w14:textId="77777777" w:rsidR="003B68DB" w:rsidRPr="003B68DB" w:rsidRDefault="003B68DB" w:rsidP="003B68DB">
      <w:pPr>
        <w:rPr>
          <w:rFonts w:ascii="Arial" w:hAnsi="Arial" w:cs="Arial"/>
          <w:szCs w:val="24"/>
          <w:lang w:val="es-ES" w:eastAsia="es-ES"/>
        </w:rPr>
      </w:pPr>
    </w:p>
    <w:p w14:paraId="596AB32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trabajo a ejecutarse bajo este rubro comprende el suministro de equipo, herramientas, mano de obra, transporte y materiales necesarios para llevar a cabo los </w:t>
      </w:r>
      <w:r w:rsidRPr="003B68DB">
        <w:rPr>
          <w:rFonts w:ascii="Arial" w:hAnsi="Arial" w:cs="Arial"/>
          <w:i/>
          <w:szCs w:val="24"/>
          <w:lang w:val="es-ES" w:eastAsia="es-ES"/>
        </w:rPr>
        <w:t>trabajos preliminares</w:t>
      </w:r>
      <w:r w:rsidRPr="003B68DB">
        <w:rPr>
          <w:rFonts w:ascii="Arial" w:hAnsi="Arial" w:cs="Arial"/>
          <w:szCs w:val="24"/>
          <w:lang w:val="es-ES" w:eastAsia="es-ES"/>
        </w:rPr>
        <w:t>, en los sitios y dimensiones indicadas en los planos y de acuerdo con lo estipulado en estas especificaciones. Los costos de esta operación son asumidos por El Contratista.</w:t>
      </w:r>
    </w:p>
    <w:p w14:paraId="6D67DAF2" w14:textId="77777777" w:rsidR="003B68DB" w:rsidRPr="003B68DB" w:rsidRDefault="003B68DB" w:rsidP="003B68DB">
      <w:pPr>
        <w:rPr>
          <w:rFonts w:ascii="Arial" w:hAnsi="Arial" w:cs="Arial"/>
          <w:szCs w:val="24"/>
          <w:lang w:val="es-ES" w:eastAsia="es-ES"/>
        </w:rPr>
      </w:pPr>
    </w:p>
    <w:p w14:paraId="444778D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Transcurrida la entrega del sitio del proyecto por el Supervisor encargado del seguimiento al Contratista, éste es el encargado de la limpieza inicial, trazo y nivelación, construcciones temporales (si las requiere), demoliciones (si las requiere), fabricación de obras de madera (para la ejecución de la obra), instalación de servicios temporales (si se requirieran) y otros trabajos preliminares.</w:t>
      </w:r>
    </w:p>
    <w:p w14:paraId="04F2A9FE" w14:textId="77777777" w:rsidR="003B68DB" w:rsidRPr="003B68DB" w:rsidRDefault="003B68DB" w:rsidP="003B68DB">
      <w:pPr>
        <w:rPr>
          <w:rFonts w:ascii="Arial" w:hAnsi="Arial" w:cs="Arial"/>
          <w:szCs w:val="24"/>
          <w:lang w:val="es-ES" w:eastAsia="es-ES"/>
        </w:rPr>
      </w:pPr>
    </w:p>
    <w:p w14:paraId="6C70345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Esta etapa de la construcción es la que da inicio al proyecto, una vez recibido el sitio, dando además apertura al libro de bitácora. El contratista, antes de iniciar la obra, debe examinar cuidadosamente todos los trabajos adyacentes, de los cuales depende esta obra, de acuerdo a las intenciones de estas especificaciones informando por escrito al Supervisor de la obra cualquier condición que evite al Contratista realizar un trabajo de primera calidad. No se exime al Contratista de ninguna responsabilidad por trabajos adyacentes incompletos o defectuosos, a menos que tales hayan sido notificados al Supervisor por escrito y este los haya aceptado antes de que el contratista inicie cualquier parte de la obra</w:t>
      </w:r>
    </w:p>
    <w:p w14:paraId="2795AB61" w14:textId="77777777" w:rsidR="003B68DB" w:rsidRPr="003B68DB" w:rsidRDefault="003B68DB" w:rsidP="003B68DB">
      <w:pPr>
        <w:rPr>
          <w:rFonts w:ascii="Arial" w:hAnsi="Arial" w:cs="Arial"/>
          <w:szCs w:val="24"/>
          <w:lang w:val="es-ES" w:eastAsia="es-ES"/>
        </w:rPr>
      </w:pPr>
    </w:p>
    <w:p w14:paraId="33DC68C1" w14:textId="77777777" w:rsidR="003B68DB" w:rsidRPr="003B68DB" w:rsidRDefault="003B68DB" w:rsidP="003B68DB">
      <w:pPr>
        <w:rPr>
          <w:rFonts w:ascii="Arial" w:hAnsi="Arial" w:cs="Arial"/>
          <w:szCs w:val="24"/>
          <w:lang w:val="es-ES" w:eastAsia="es-ES"/>
        </w:rPr>
      </w:pPr>
    </w:p>
    <w:p w14:paraId="29AB76A7"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14" w:name="_Toc22391588"/>
      <w:bookmarkStart w:id="1615" w:name="_Toc22653925"/>
      <w:r w:rsidRPr="00181F97">
        <w:rPr>
          <w:rFonts w:ascii="Arial" w:eastAsia="Arial Narrow" w:hAnsi="Arial" w:cs="Arial"/>
          <w:b/>
          <w:bCs/>
          <w:iCs/>
          <w:szCs w:val="24"/>
          <w:lang w:val="es-NI"/>
        </w:rPr>
        <w:t>Trazado y nivelacion</w:t>
      </w:r>
      <w:bookmarkEnd w:id="1614"/>
      <w:bookmarkEnd w:id="1615"/>
    </w:p>
    <w:p w14:paraId="31F3A389" w14:textId="77777777" w:rsidR="003B68DB" w:rsidRPr="003B68DB" w:rsidRDefault="003B68DB" w:rsidP="003B68DB">
      <w:pPr>
        <w:rPr>
          <w:rFonts w:ascii="Arial" w:hAnsi="Arial" w:cs="Arial"/>
          <w:szCs w:val="24"/>
          <w:lang w:val="es-ES" w:eastAsia="es-ES"/>
        </w:rPr>
      </w:pPr>
    </w:p>
    <w:p w14:paraId="6AD5817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trabajo a ejecutarse bajo este rubro comprende el suministro de equipos, incluye equipo topográfico, herramientas, mano de obra, transporte y materiales necesarios para llevar a cabo el </w:t>
      </w:r>
      <w:r w:rsidRPr="003B68DB">
        <w:rPr>
          <w:rFonts w:ascii="Arial" w:hAnsi="Arial" w:cs="Arial"/>
          <w:i/>
          <w:szCs w:val="24"/>
          <w:lang w:val="es-ES" w:eastAsia="es-ES"/>
        </w:rPr>
        <w:t>trazo y nivelación</w:t>
      </w:r>
      <w:r w:rsidRPr="003B68DB">
        <w:rPr>
          <w:rFonts w:ascii="Arial" w:hAnsi="Arial" w:cs="Arial"/>
          <w:szCs w:val="24"/>
          <w:lang w:val="es-ES" w:eastAsia="es-ES"/>
        </w:rPr>
        <w:t>, en los sitios y dimensiones indicadas en los planos y de acuerdo con lo estipulado en estas especificaciones. Los costos de esta operación son asumidos por El Contratista.</w:t>
      </w:r>
    </w:p>
    <w:p w14:paraId="1BD4324F" w14:textId="77777777" w:rsidR="003B68DB" w:rsidRPr="003B68DB" w:rsidRDefault="003B68DB" w:rsidP="003B68DB">
      <w:pPr>
        <w:rPr>
          <w:rFonts w:ascii="Arial" w:hAnsi="Arial" w:cs="Arial"/>
          <w:szCs w:val="24"/>
          <w:lang w:val="es-ES" w:eastAsia="es-ES"/>
        </w:rPr>
      </w:pPr>
    </w:p>
    <w:p w14:paraId="369ABB3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líneas bases, puntos topográficos de referencia, o de los que el contratista coloque en el caso de infraestructuras pequeñas (cuando no haya estudio topográfico) y los elementos de control necesarios para determinar la indicación y elevación del trabajo en el terreno, están mostrados en los planos o son suministrados por el Supervisor.</w:t>
      </w:r>
    </w:p>
    <w:p w14:paraId="690D27DC" w14:textId="77777777" w:rsidR="003B68DB" w:rsidRPr="003B68DB" w:rsidRDefault="003B68DB" w:rsidP="003B68DB">
      <w:pPr>
        <w:rPr>
          <w:rFonts w:ascii="Arial" w:hAnsi="Arial" w:cs="Arial"/>
          <w:szCs w:val="24"/>
          <w:lang w:val="es-ES" w:eastAsia="es-ES"/>
        </w:rPr>
      </w:pPr>
    </w:p>
    <w:p w14:paraId="38BF1EE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traza su trabajo partiendo de las líneas bases y bancos de nivel o puntos topográficos de referencia establecidos en el terreno y de las elevaciones indicadas en los planos, siendo responsable por todas las medidas que así tome. El Contratista es responsable por la ejecución del trabajo en conformidad con las líneas y cotas de elevación indicadas en los planos o establecidas por el Supervisor. El Contratista es responsable de mantener y preservar todas las estacas y otras marcas hasta cuando el Supervisor lo autorice para removerlas. En caso de negligencia del Contratista o de sus empleados que resultare en la destrucción de dichas estacas, antes de su remoción autorizada, el contratista las reemplazara si así lo exigiere el Supervisor.</w:t>
      </w:r>
    </w:p>
    <w:p w14:paraId="17125B8B" w14:textId="77777777" w:rsidR="003B68DB" w:rsidRPr="003B68DB" w:rsidRDefault="003B68DB" w:rsidP="003B68DB">
      <w:pPr>
        <w:rPr>
          <w:rFonts w:ascii="Arial" w:hAnsi="Arial" w:cs="Arial"/>
          <w:szCs w:val="24"/>
          <w:lang w:val="es-ES" w:eastAsia="es-ES"/>
        </w:rPr>
      </w:pPr>
    </w:p>
    <w:p w14:paraId="364E971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Los bancos de nivel y las niveletas deben ser cuidadosamente conservados por el Contratista hasta la aceptación final del trabajo, y si son destruidos o aterrados, su relocalización o construcción es hecha por cuenta del contratista. Cualquier trazado erróneo es corregido por el contratista por su cuenta, en caso que haya obras construidas, erróneamente es perdida para el Contratista. </w:t>
      </w:r>
    </w:p>
    <w:p w14:paraId="00085FE0" w14:textId="77777777" w:rsidR="003B68DB" w:rsidRPr="003B68DB" w:rsidRDefault="003B68DB" w:rsidP="003B68DB">
      <w:pPr>
        <w:rPr>
          <w:rFonts w:ascii="Arial" w:hAnsi="Arial" w:cs="Arial"/>
          <w:szCs w:val="24"/>
          <w:lang w:val="es-ES" w:eastAsia="es-ES"/>
        </w:rPr>
      </w:pPr>
    </w:p>
    <w:p w14:paraId="5C52BF2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Para evitar errores en el trazado de las obras el contratista coloca las suficientes niveletas sencillas, así como dobles en los lugares donde se formen vértices en la construcción, indicando los niveles tomando como referencia los puntos indicados en el plano o indicados por el Supervisor. En caso que el contratista, encontrare errores en el nivel del punto de referencia, lo indica por escrito en el libro de bitácora, antes de comenzar cualquier obra; el Supervisor contesta de la misma manera indicando el nivel correcto; en caso que el Contratista haya incurrido en avances de obras con niveles incorrecto de las terrazas corre por cuenta de él la corrección de la obra.</w:t>
      </w:r>
    </w:p>
    <w:p w14:paraId="6D7C56DE" w14:textId="77777777" w:rsidR="003B68DB" w:rsidRPr="003B68DB" w:rsidRDefault="003B68DB" w:rsidP="003B68DB">
      <w:pPr>
        <w:rPr>
          <w:rFonts w:ascii="Arial" w:hAnsi="Arial" w:cs="Arial"/>
          <w:szCs w:val="24"/>
          <w:lang w:val="es-ES" w:eastAsia="es-ES"/>
        </w:rPr>
      </w:pPr>
    </w:p>
    <w:p w14:paraId="561D7B5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Para el trazado de las obras el contratista usa niveletas de madera o metálicas, de cuartones de 2"x2" y 0.50 metros de alto con reglas de1"x3" debidamente acepillada el canto superior donde se refiere el nivel. Las niveletas sencillas llevan dos cuartones de apoyo de la regla del nivel espaciados a 1.10 metros, para niveletas dobles es tres cuartones espaciados a 1.10 metros, pero formando ángulo recto, la madera puede ser de pino o madera blanca. La terraza donde se hace el trazado de la obra debe quedar </w:t>
      </w:r>
      <w:r w:rsidRPr="003B68DB">
        <w:rPr>
          <w:rFonts w:ascii="Arial" w:hAnsi="Arial" w:cs="Arial"/>
          <w:szCs w:val="24"/>
          <w:lang w:val="es-ES" w:eastAsia="es-ES"/>
        </w:rPr>
        <w:lastRenderedPageBreak/>
        <w:t>debidamente nivelada y compactada a más de 85 % Proctor donde se empieza la excavación para las fundaciones.</w:t>
      </w:r>
    </w:p>
    <w:p w14:paraId="441243E0" w14:textId="77777777" w:rsidR="003B68DB" w:rsidRPr="003B68DB" w:rsidRDefault="003B68DB" w:rsidP="003B68DB">
      <w:pPr>
        <w:rPr>
          <w:rFonts w:ascii="Arial" w:hAnsi="Arial" w:cs="Arial"/>
          <w:szCs w:val="24"/>
          <w:lang w:val="es-ES" w:eastAsia="es-ES"/>
        </w:rPr>
      </w:pPr>
    </w:p>
    <w:p w14:paraId="0BC2BED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contratista comprueba las medidas en los planos, localizando la construcción con precisión en el sitio, de acuerdo con los documentos del contrato. Niveletas estacas de nivelación permanecen en su posición hasta que todas las esquinas y alturas de la obra hayan sido establecidas permanentemente.  El contratista es responsable de proteger de daños todas las líneas, niveles y puntos de referencia y si se destruyen deberán ser reparadas y repuestos por su cuenta, notificando al Supervisor, cuando el trazo esté sustancialmente terminado se solicita si puede eliminarlos. El contratista para hacer el trazo y nivelación, antes tiene que ver las condiciones del terreno, en este caso tiene que cumplir con las condiciones siguientes, si fuera el caso. </w:t>
      </w:r>
    </w:p>
    <w:p w14:paraId="49202F79" w14:textId="77777777" w:rsidR="003B68DB" w:rsidRPr="003B68DB" w:rsidRDefault="003B68DB" w:rsidP="003B68DB">
      <w:pPr>
        <w:rPr>
          <w:rFonts w:ascii="Arial" w:hAnsi="Arial" w:cs="Arial"/>
          <w:szCs w:val="24"/>
          <w:lang w:val="es-ES" w:eastAsia="es-ES"/>
        </w:rPr>
      </w:pPr>
    </w:p>
    <w:p w14:paraId="72CA07F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      El terreno es recibido por el contratista en sus condiciones actuales y considera las recomendaciones suministradas por el Supervisor, sobre estudios geológicos y de suelos, los cuales son entregados al Contratista como parte de los documentos contractuales.</w:t>
      </w:r>
    </w:p>
    <w:p w14:paraId="4BA0E58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B.      El Contratista es responsable por el cumplimiento de tales recomendaciones y por las pruebas de verificación que contrata por su cuenta con un Laboratorio de Suelos aprobado por el Supervisor.</w:t>
      </w:r>
    </w:p>
    <w:p w14:paraId="76932311" w14:textId="77777777" w:rsidR="003B68DB" w:rsidRPr="003B68DB" w:rsidRDefault="003B68DB" w:rsidP="003B68DB">
      <w:pPr>
        <w:rPr>
          <w:rFonts w:ascii="Arial" w:hAnsi="Arial" w:cs="Arial"/>
          <w:szCs w:val="24"/>
          <w:lang w:val="es-ES" w:eastAsia="es-ES"/>
        </w:rPr>
      </w:pPr>
    </w:p>
    <w:p w14:paraId="05B5430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 igualmente obligación del Contratista notificar al Contratante a través del Supervisor, sobre las condiciones inesperadas o sospechosas que se detecten en el terreno durante el proceso de la construcción, en el caso que esto se presente el Contratista puede contratar los servicios de ingeniería de suelos para realizar un estudio complementario al presentado por el Contratante, y es opción del Contratante contratar los servicios de este u otro Laboratorio de Suelos para realizar el estudio complementario.</w:t>
      </w:r>
    </w:p>
    <w:p w14:paraId="15D852B6" w14:textId="77777777" w:rsidR="003B68DB" w:rsidRPr="003B68DB" w:rsidRDefault="003B68DB" w:rsidP="003B68DB">
      <w:pPr>
        <w:rPr>
          <w:rFonts w:ascii="Arial" w:hAnsi="Arial" w:cs="Arial"/>
          <w:szCs w:val="24"/>
          <w:lang w:val="es-ES" w:eastAsia="es-ES"/>
        </w:rPr>
      </w:pPr>
    </w:p>
    <w:p w14:paraId="26E9BF5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Contratista controla la nivelación alrededor de la obra, de manera que en cualquier sitio el terreno se aleje de las paredes de la obra siguiendo una pendiente del 2%, excepto donde se indique lo contrario. Así mismo, el Contratista desvía y canaliza correctamente cualquier corriente o inclinación del terreno que pueda resultar en perjuicio de la obra tanto superficialmente como subterránea.  </w:t>
      </w:r>
      <w:r w:rsidRPr="003B68DB">
        <w:rPr>
          <w:rFonts w:ascii="Arial" w:hAnsi="Arial"/>
          <w:szCs w:val="24"/>
          <w:lang w:val="es-ES" w:eastAsia="es-ES"/>
        </w:rPr>
        <w:t>Los costos de esta actividad son asumidos por el Contratista.</w:t>
      </w:r>
    </w:p>
    <w:p w14:paraId="705D9742" w14:textId="77777777" w:rsidR="003B68DB" w:rsidRPr="003B68DB" w:rsidRDefault="003B68DB" w:rsidP="003B68DB">
      <w:pPr>
        <w:rPr>
          <w:rFonts w:ascii="Arial" w:hAnsi="Arial" w:cs="Arial"/>
          <w:b/>
          <w:szCs w:val="24"/>
          <w:lang w:val="es-ES" w:eastAsia="es-ES"/>
        </w:rPr>
      </w:pPr>
    </w:p>
    <w:p w14:paraId="5180C373"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16" w:name="_Toc22391589"/>
      <w:bookmarkStart w:id="1617" w:name="_Toc22653926"/>
      <w:r w:rsidRPr="00181F97">
        <w:rPr>
          <w:rFonts w:ascii="Arial" w:eastAsia="Arial Narrow" w:hAnsi="Arial" w:cs="Arial"/>
          <w:b/>
          <w:bCs/>
          <w:iCs/>
          <w:szCs w:val="24"/>
          <w:lang w:val="es-NI"/>
        </w:rPr>
        <w:t>Rótulo</w:t>
      </w:r>
      <w:bookmarkEnd w:id="1616"/>
      <w:bookmarkEnd w:id="1617"/>
    </w:p>
    <w:p w14:paraId="53D6F203" w14:textId="77777777" w:rsidR="003B68DB" w:rsidRPr="003B68DB" w:rsidRDefault="003B68DB" w:rsidP="003B68DB">
      <w:pPr>
        <w:rPr>
          <w:rFonts w:ascii="Arial" w:hAnsi="Arial" w:cs="Arial"/>
          <w:szCs w:val="24"/>
          <w:lang w:val="es-ES" w:eastAsia="es-ES"/>
        </w:rPr>
      </w:pPr>
    </w:p>
    <w:p w14:paraId="780F31C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trabajo a ejecutarse bajo este rubro comprende el suministro de equipo, herramientas, mano de obra, transporte y materiales necesarios para llevar a cabo los trabajos de </w:t>
      </w:r>
      <w:r w:rsidRPr="003B68DB">
        <w:rPr>
          <w:rFonts w:ascii="Arial" w:hAnsi="Arial" w:cs="Arial"/>
          <w:i/>
          <w:szCs w:val="24"/>
          <w:lang w:val="es-ES" w:eastAsia="es-ES"/>
        </w:rPr>
        <w:t>preparación e instalación de rótulo</w:t>
      </w:r>
      <w:r w:rsidRPr="003B68DB">
        <w:rPr>
          <w:rFonts w:ascii="Arial" w:hAnsi="Arial" w:cs="Arial"/>
          <w:szCs w:val="24"/>
          <w:lang w:val="es-ES" w:eastAsia="es-ES"/>
        </w:rPr>
        <w:t>, de confromidad con dimensiones indicadas, colores, tamaño y tipo de letras, contenido de leyendas y logos establecidos en los planos. El rótulo debe ser instalado en lugar visible al público y de acuerdo con lo estipulado en estas especificaciones. Los costos de esta operación son asumidos por El Contratista.</w:t>
      </w:r>
    </w:p>
    <w:p w14:paraId="79F4C30E" w14:textId="77777777" w:rsidR="003B68DB" w:rsidRPr="003B68DB" w:rsidRDefault="003B68DB" w:rsidP="003B68DB">
      <w:pPr>
        <w:rPr>
          <w:rFonts w:ascii="Arial" w:hAnsi="Arial" w:cs="Arial"/>
          <w:szCs w:val="24"/>
          <w:lang w:val="es-ES" w:eastAsia="es-ES"/>
        </w:rPr>
      </w:pPr>
    </w:p>
    <w:p w14:paraId="3DEBD95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Todo proyecto de agua, saneamiento e higiene cofinanciado por el FISE, lleva un rótulo. El rótulo es de estructura de acero con bases de concreto reforzado y resistencia a la </w:t>
      </w:r>
      <w:r w:rsidRPr="003B68DB">
        <w:rPr>
          <w:rFonts w:ascii="Arial" w:hAnsi="Arial" w:cs="Arial"/>
          <w:szCs w:val="24"/>
          <w:lang w:val="es-ES" w:eastAsia="es-ES"/>
        </w:rPr>
        <w:lastRenderedPageBreak/>
        <w:t>compresión indicada en los planos, incluye pintura anticorrosiva y forro de lámina de zinc liso aprobada por el Supervisor. Tiene dimensiones indicadas en los planos. En ningún caso el contratista debe usar el rótulo para indicar quien es el Constructor, debe ceñirse a poner las leyendas que se indican en los planos. En caso de hacer caso omiso de esta última advertencia, el Supervisor, tiene la obligación de detener la obra, hasta que el Contratista quite la leyenda que propagandea su empresa.</w:t>
      </w:r>
    </w:p>
    <w:p w14:paraId="1BFE8035" w14:textId="77777777" w:rsidR="003B68DB" w:rsidRPr="003B68DB" w:rsidRDefault="003B68DB" w:rsidP="003B68DB">
      <w:pPr>
        <w:rPr>
          <w:rFonts w:ascii="Arial" w:hAnsi="Arial" w:cs="Arial"/>
          <w:szCs w:val="24"/>
          <w:lang w:val="es-ES" w:eastAsia="es-ES"/>
        </w:rPr>
      </w:pPr>
    </w:p>
    <w:p w14:paraId="0D89264E" w14:textId="77777777" w:rsidR="003B68DB" w:rsidRPr="003B68DB" w:rsidRDefault="003B68DB" w:rsidP="003B68DB">
      <w:pPr>
        <w:keepNext/>
        <w:keepLines/>
        <w:ind w:left="432" w:hanging="432"/>
        <w:outlineLvl w:val="0"/>
        <w:rPr>
          <w:rFonts w:ascii="Arial" w:eastAsia="Arial" w:hAnsi="Arial"/>
          <w:b/>
          <w:szCs w:val="24"/>
          <w:lang w:val="es-ES" w:eastAsia="es-ES"/>
        </w:rPr>
      </w:pPr>
      <w:bookmarkStart w:id="1618" w:name="_Toc22391590"/>
      <w:bookmarkStart w:id="1619" w:name="_Toc22653927"/>
      <w:r w:rsidRPr="003B68DB">
        <w:rPr>
          <w:rFonts w:ascii="Arial" w:eastAsia="Arial" w:hAnsi="Arial"/>
          <w:b/>
          <w:szCs w:val="24"/>
          <w:lang w:val="es-ES" w:eastAsia="es-ES"/>
        </w:rPr>
        <w:t>ESPECIFICACIONES TÉCNICAS PARA TUBERÍA DE CONDUCCION Y RED DE DISTRIBUCION</w:t>
      </w:r>
      <w:bookmarkEnd w:id="1618"/>
      <w:bookmarkEnd w:id="1619"/>
    </w:p>
    <w:p w14:paraId="618F48E3" w14:textId="77777777" w:rsidR="003B68DB" w:rsidRPr="003B68DB" w:rsidRDefault="003B68DB" w:rsidP="003B68DB">
      <w:pPr>
        <w:rPr>
          <w:rFonts w:ascii="Arial" w:hAnsi="Arial" w:cs="Arial"/>
          <w:b/>
          <w:szCs w:val="24"/>
          <w:lang w:val="es-ES" w:eastAsia="es-ES"/>
        </w:rPr>
      </w:pPr>
    </w:p>
    <w:p w14:paraId="50EC2267"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20" w:name="_Toc22391591"/>
      <w:bookmarkStart w:id="1621" w:name="_Toc22653928"/>
      <w:r w:rsidRPr="00181F97">
        <w:rPr>
          <w:rFonts w:ascii="Arial" w:eastAsia="Arial Narrow" w:hAnsi="Arial" w:cs="Arial"/>
          <w:b/>
          <w:bCs/>
          <w:iCs/>
          <w:szCs w:val="24"/>
          <w:lang w:val="es-NI"/>
        </w:rPr>
        <w:t>Especificaciones Técnicas de Materiales.</w:t>
      </w:r>
      <w:bookmarkEnd w:id="1620"/>
      <w:bookmarkEnd w:id="1621"/>
    </w:p>
    <w:p w14:paraId="0DF09F84" w14:textId="77777777" w:rsidR="003B68DB" w:rsidRPr="003B68DB" w:rsidRDefault="003B68DB" w:rsidP="003B68DB">
      <w:pPr>
        <w:rPr>
          <w:rFonts w:ascii="Arial" w:hAnsi="Arial" w:cs="Arial"/>
          <w:szCs w:val="24"/>
          <w:lang w:val="es-ES" w:eastAsia="es-ES"/>
        </w:rPr>
      </w:pPr>
    </w:p>
    <w:p w14:paraId="6324331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Este acápite incluye el suministro de todo material, señalados en los planos y descritos en estas especificaciones o indicadas por El Supervisor</w:t>
      </w:r>
    </w:p>
    <w:p w14:paraId="7EC9C728" w14:textId="77777777" w:rsidR="003B68DB" w:rsidRPr="003B68DB" w:rsidRDefault="003B68DB" w:rsidP="003B68DB">
      <w:pPr>
        <w:rPr>
          <w:rFonts w:ascii="Arial" w:hAnsi="Arial" w:cs="Arial"/>
          <w:szCs w:val="24"/>
          <w:lang w:val="es-ES" w:eastAsia="es-ES"/>
        </w:rPr>
      </w:pPr>
    </w:p>
    <w:p w14:paraId="1DEA51C1"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22" w:name="_Toc22391592"/>
      <w:bookmarkStart w:id="1623" w:name="_Toc22653929"/>
      <w:r w:rsidRPr="003B68DB">
        <w:rPr>
          <w:rFonts w:ascii="Arial" w:eastAsia="Arial Narrow" w:hAnsi="Arial" w:cs="Arial"/>
          <w:b/>
          <w:bCs/>
          <w:iCs/>
          <w:szCs w:val="22"/>
          <w:lang w:val="es-ES" w:bidi="en-US"/>
        </w:rPr>
        <w:t>Tuberías y accesorios de PVC (Cloruro de Polivinilo)</w:t>
      </w:r>
      <w:bookmarkEnd w:id="1622"/>
      <w:bookmarkEnd w:id="1623"/>
    </w:p>
    <w:p w14:paraId="414F1548" w14:textId="77777777" w:rsidR="003B68DB" w:rsidRPr="003B68DB" w:rsidRDefault="003B68DB" w:rsidP="003B68DB">
      <w:pPr>
        <w:rPr>
          <w:rFonts w:ascii="Arial" w:hAnsi="Arial" w:cs="Arial"/>
          <w:szCs w:val="24"/>
          <w:lang w:val="es-ES" w:eastAsia="es-ES"/>
        </w:rPr>
      </w:pPr>
    </w:p>
    <w:p w14:paraId="11F03F87"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24" w:name="_Toc22391593"/>
      <w:r w:rsidRPr="003B68DB">
        <w:rPr>
          <w:rFonts w:ascii="Arial" w:hAnsi="Arial" w:cs="Century Gothic"/>
          <w:b/>
          <w:bCs/>
          <w:lang w:val="es-ES" w:eastAsia="es-ES"/>
        </w:rPr>
        <w:t>Tubería PVC</w:t>
      </w:r>
      <w:bookmarkEnd w:id="1624"/>
    </w:p>
    <w:p w14:paraId="48C1E5C0" w14:textId="77777777" w:rsidR="003B68DB" w:rsidRPr="003B68DB" w:rsidRDefault="003B68DB" w:rsidP="003B68DB">
      <w:pPr>
        <w:rPr>
          <w:rFonts w:ascii="Arial" w:hAnsi="Arial" w:cs="Arial"/>
          <w:szCs w:val="24"/>
          <w:lang w:val="es-ES" w:eastAsia="es-ES"/>
        </w:rPr>
      </w:pPr>
    </w:p>
    <w:p w14:paraId="5197CA1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Se deben ofertar tuberías de Cloruro de Polivinilo (PVC), correspondientes a la tubería designada por SDR-26 y SDR-17, según la Especificación Estándar ASTM D 1785 para agua potable. </w:t>
      </w:r>
    </w:p>
    <w:p w14:paraId="472FEDC7" w14:textId="77777777" w:rsidR="003B68DB" w:rsidRPr="003B68DB" w:rsidRDefault="003B68DB" w:rsidP="003B68DB">
      <w:pPr>
        <w:rPr>
          <w:rFonts w:ascii="Arial" w:hAnsi="Arial" w:cs="Arial"/>
          <w:szCs w:val="24"/>
          <w:lang w:val="es-ES" w:eastAsia="es-ES"/>
        </w:rPr>
      </w:pPr>
    </w:p>
    <w:p w14:paraId="14C1D1F3" w14:textId="77777777" w:rsidR="003B68DB" w:rsidRPr="003B68DB" w:rsidRDefault="003B68DB" w:rsidP="003B68DB">
      <w:pPr>
        <w:rPr>
          <w:rFonts w:ascii="Arial" w:hAnsi="Arial" w:cs="Arial"/>
          <w:szCs w:val="24"/>
          <w:lang w:val="es-ES" w:eastAsia="es-ES"/>
        </w:rPr>
      </w:pPr>
      <w:r w:rsidRPr="003B68DB">
        <w:rPr>
          <w:rFonts w:ascii="Arial" w:hAnsi="Arial" w:cs="Arial"/>
          <w:i/>
          <w:szCs w:val="24"/>
          <w:lang w:val="es-ES" w:eastAsia="es-ES"/>
        </w:rPr>
        <w:t>Los tubos con diámetros nominal menor o igual que 38 mm (1½”), tienen extremos del tipo espiga y campana para ser unidos entre sí mediante el empleo de juntas cementadas.</w:t>
      </w:r>
      <w:r w:rsidRPr="003B68DB">
        <w:rPr>
          <w:rFonts w:ascii="Arial" w:hAnsi="Arial" w:cs="Arial"/>
          <w:szCs w:val="24"/>
          <w:lang w:val="es-ES" w:eastAsia="es-ES"/>
        </w:rPr>
        <w:t xml:space="preserve"> Para su unión, se debe usar cemento solvente, consiste en una solución de PVC clase 1254-B, el cual debe cumplir con la norma ASTM-D-2564 y </w:t>
      </w:r>
      <w:r w:rsidRPr="003B68DB">
        <w:rPr>
          <w:rFonts w:ascii="Arial" w:hAnsi="Arial" w:cs="Arial"/>
          <w:i/>
          <w:szCs w:val="24"/>
          <w:lang w:val="es-ES" w:eastAsia="es-ES"/>
        </w:rPr>
        <w:t>la tubería mayor o igual que 2 pulgadas de diámetro, es Clase SDR-26 del tipo de unión flexible, tipo PUSH-ON ó TYTON ó JUNTA RAPIDA</w:t>
      </w:r>
      <w:r w:rsidRPr="003B68DB">
        <w:rPr>
          <w:rFonts w:ascii="Arial" w:hAnsi="Arial" w:cs="Arial"/>
          <w:szCs w:val="24"/>
          <w:lang w:val="es-ES" w:eastAsia="es-ES"/>
        </w:rPr>
        <w:t xml:space="preserve">, es decir, que en el interior de uno de sus extremos trae incorporado un empaque de caucho o neopreno que se inserta en el extremo libre del otro tubo, haciendo un sello perfecto. </w:t>
      </w:r>
    </w:p>
    <w:p w14:paraId="6AA004E8" w14:textId="77777777" w:rsidR="003B68DB" w:rsidRPr="003B68DB" w:rsidRDefault="003B68DB" w:rsidP="003B68DB">
      <w:pPr>
        <w:rPr>
          <w:rFonts w:ascii="Arial" w:hAnsi="Arial" w:cs="Arial"/>
          <w:szCs w:val="24"/>
          <w:lang w:val="es-ES" w:eastAsia="es-ES"/>
        </w:rPr>
      </w:pPr>
    </w:p>
    <w:p w14:paraId="17E929E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propiedades físicas de las tuberías son probadas de conformidad a la última versión de las Normas ASTM D2241, D1598 y D1599, para la presión sostenida, presión de estallido, integridad hidrostática, aplastamiento y calidad de la extrusión.</w:t>
      </w:r>
    </w:p>
    <w:p w14:paraId="66F837EF" w14:textId="77777777" w:rsidR="003B68DB" w:rsidRPr="003B68DB" w:rsidRDefault="003B68DB" w:rsidP="003B68DB">
      <w:pPr>
        <w:rPr>
          <w:rFonts w:ascii="Arial" w:hAnsi="Arial" w:cs="Arial"/>
          <w:szCs w:val="24"/>
          <w:lang w:val="es-ES" w:eastAsia="es-ES"/>
        </w:rPr>
      </w:pPr>
    </w:p>
    <w:p w14:paraId="5B86C98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tubería de PVC es fabricada de compuestos vírgenes de clase igual o superior a las clases 12454-B, 12454-C, 14333-D, según lo define la Especificación ASTM D 1784. Los compuestos usados en la fabricación de las tuberías y accesorios no deben contener ingredientes solubles en agua en una cantidad tal que su migración en determinadas cantidades en el agua sea tóxica y no permitida, según las normas de calidad OPS/OMS para el agua potable.</w:t>
      </w:r>
    </w:p>
    <w:p w14:paraId="5CEF1E7B" w14:textId="77777777" w:rsidR="003B68DB" w:rsidRPr="003B68DB" w:rsidRDefault="003B68DB" w:rsidP="003B68DB">
      <w:pPr>
        <w:rPr>
          <w:rFonts w:ascii="Arial" w:hAnsi="Arial" w:cs="Arial"/>
          <w:szCs w:val="24"/>
          <w:lang w:val="es-ES" w:eastAsia="es-ES"/>
        </w:rPr>
      </w:pPr>
    </w:p>
    <w:p w14:paraId="5C7142F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 de hacer notar que no se aceptan materiales que contengan plomo y sus derivados, o materiales solubles en agua u otros que perjudiquen la calidad específica de la tubería.</w:t>
      </w:r>
    </w:p>
    <w:p w14:paraId="0023590D" w14:textId="77777777" w:rsidR="003B68DB" w:rsidRPr="003B68DB" w:rsidRDefault="003B68DB" w:rsidP="003B68DB">
      <w:pPr>
        <w:rPr>
          <w:rFonts w:ascii="Arial" w:hAnsi="Arial" w:cs="Arial"/>
          <w:szCs w:val="24"/>
          <w:lang w:val="es-ES" w:eastAsia="es-ES"/>
        </w:rPr>
      </w:pPr>
    </w:p>
    <w:p w14:paraId="671BEE3C" w14:textId="77777777" w:rsidR="003B68DB" w:rsidRPr="003B68DB" w:rsidRDefault="003B68DB" w:rsidP="003B68DB">
      <w:pPr>
        <w:rPr>
          <w:rFonts w:ascii="Arial" w:hAnsi="Arial" w:cs="Arial"/>
          <w:szCs w:val="24"/>
          <w:lang w:val="es-ES" w:eastAsia="es-ES"/>
        </w:rPr>
      </w:pPr>
      <w:r w:rsidRPr="003B68DB">
        <w:rPr>
          <w:rFonts w:ascii="Arial" w:hAnsi="Arial" w:cs="Arial"/>
          <w:i/>
          <w:szCs w:val="24"/>
          <w:lang w:val="es-ES" w:eastAsia="es-ES"/>
        </w:rPr>
        <w:lastRenderedPageBreak/>
        <w:t>Dimensiones:</w:t>
      </w:r>
      <w:r w:rsidRPr="003B68DB">
        <w:rPr>
          <w:rFonts w:ascii="Arial" w:hAnsi="Arial" w:cs="Arial"/>
          <w:szCs w:val="24"/>
          <w:lang w:val="es-ES" w:eastAsia="es-ES"/>
        </w:rPr>
        <w:t xml:space="preserve"> Los diámetros, espesores de paredes y longitudes de la tubería son determinados conforme a lo establecido por el Método de Prueba Estándar ASTM D2122.</w:t>
      </w:r>
    </w:p>
    <w:p w14:paraId="358F5B93" w14:textId="77777777" w:rsidR="003B68DB" w:rsidRPr="003B68DB" w:rsidRDefault="003B68DB" w:rsidP="003B68DB">
      <w:pPr>
        <w:rPr>
          <w:rFonts w:ascii="Arial" w:hAnsi="Arial" w:cs="Arial"/>
          <w:szCs w:val="24"/>
          <w:lang w:val="es-ES" w:eastAsia="es-ES"/>
        </w:rPr>
      </w:pPr>
    </w:p>
    <w:p w14:paraId="57B8EE38" w14:textId="77777777" w:rsidR="003B68DB" w:rsidRPr="003B68DB" w:rsidRDefault="003B68DB" w:rsidP="003B68DB">
      <w:pPr>
        <w:rPr>
          <w:rFonts w:ascii="Arial" w:hAnsi="Arial" w:cs="Arial"/>
          <w:szCs w:val="24"/>
          <w:lang w:val="es-ES" w:eastAsia="es-ES"/>
        </w:rPr>
      </w:pPr>
      <w:r w:rsidRPr="003B68DB">
        <w:rPr>
          <w:rFonts w:ascii="Arial" w:hAnsi="Arial" w:cs="Arial"/>
          <w:i/>
          <w:szCs w:val="24"/>
          <w:lang w:val="es-ES" w:eastAsia="es-ES"/>
        </w:rPr>
        <w:t>Longitudes estándares:</w:t>
      </w:r>
      <w:r w:rsidRPr="003B68DB">
        <w:rPr>
          <w:rFonts w:ascii="Arial" w:hAnsi="Arial" w:cs="Arial"/>
          <w:szCs w:val="24"/>
          <w:lang w:val="es-ES" w:eastAsia="es-ES"/>
        </w:rPr>
        <w:t xml:space="preserve"> La tubería debe suministrarse en longitudes estándares de 20 pies ± 1 pulgada (6.1 m ± 25 mm). Un máximo del 5% de la longitud de cada diámetro puede suministrarse en longitudes variables que no sean menores a los 10 pies (3 m.)</w:t>
      </w:r>
    </w:p>
    <w:p w14:paraId="6C97AFAF" w14:textId="77777777" w:rsidR="003B68DB" w:rsidRPr="003B68DB" w:rsidRDefault="003B68DB" w:rsidP="003B68DB">
      <w:pPr>
        <w:rPr>
          <w:rFonts w:ascii="Arial" w:hAnsi="Arial" w:cs="Arial"/>
          <w:szCs w:val="24"/>
          <w:lang w:val="es-ES" w:eastAsia="es-ES"/>
        </w:rPr>
      </w:pPr>
    </w:p>
    <w:p w14:paraId="123BC882" w14:textId="77777777" w:rsidR="003B68DB" w:rsidRPr="003B68DB" w:rsidRDefault="003B68DB" w:rsidP="003B68DB">
      <w:pPr>
        <w:rPr>
          <w:rFonts w:ascii="Arial" w:hAnsi="Arial" w:cs="Arial"/>
          <w:szCs w:val="24"/>
          <w:lang w:val="es-ES" w:eastAsia="es-ES"/>
        </w:rPr>
      </w:pPr>
      <w:r w:rsidRPr="003B68DB">
        <w:rPr>
          <w:rFonts w:ascii="Arial" w:hAnsi="Arial" w:cs="Arial"/>
          <w:i/>
          <w:szCs w:val="24"/>
          <w:lang w:val="es-ES" w:eastAsia="es-ES"/>
        </w:rPr>
        <w:t>Empaques de caucho y lubricantes:</w:t>
      </w:r>
      <w:r w:rsidRPr="003B68DB">
        <w:rPr>
          <w:rFonts w:ascii="Arial" w:hAnsi="Arial" w:cs="Arial"/>
          <w:szCs w:val="24"/>
          <w:lang w:val="es-ES" w:eastAsia="es-ES"/>
        </w:rPr>
        <w:t xml:space="preserve"> Los empaques y lubricantes proyectados para usarse con la tubería de P.V.C., deben ser fabricados de material que sean compatibles el uno al otro con el material de plástico, cuando son usados juntos. El material no debe soportar el crecimiento de bacterias ni adversamente afectar la calidad potable del agua que está siendo transportada.</w:t>
      </w:r>
    </w:p>
    <w:p w14:paraId="1A87E77D" w14:textId="77777777" w:rsidR="003B68DB" w:rsidRPr="003B68DB" w:rsidRDefault="003B68DB" w:rsidP="003B68DB">
      <w:pPr>
        <w:rPr>
          <w:rFonts w:ascii="Arial" w:hAnsi="Arial" w:cs="Arial"/>
          <w:szCs w:val="24"/>
          <w:lang w:val="es-ES" w:eastAsia="es-ES"/>
        </w:rPr>
      </w:pPr>
    </w:p>
    <w:p w14:paraId="6AC86C1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Debe suministrarse el lubricante recomendado, para lograr la unión de las tuberías, en un 30% en exceso de la cantidad estimada requerida. Los empaques de caucho de las tuberías PVC son moldeados en una sola pieza y son conforme con los requerimientos de ASTM F477 para aplicación de alta carga hidráulica.</w:t>
      </w:r>
    </w:p>
    <w:p w14:paraId="25E7ABB6" w14:textId="77777777" w:rsidR="003B68DB" w:rsidRPr="003B68DB" w:rsidRDefault="003B68DB" w:rsidP="003B68DB">
      <w:pPr>
        <w:rPr>
          <w:rFonts w:ascii="Arial" w:hAnsi="Arial" w:cs="Arial"/>
          <w:szCs w:val="24"/>
          <w:lang w:val="es-ES" w:eastAsia="es-ES"/>
        </w:rPr>
      </w:pPr>
    </w:p>
    <w:p w14:paraId="43B33A9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Su forma de pago es por metro de tubería instalada, conforme a los precios unitarios que se estipulan en la Oferta. Se procede a pagar la tubería instalada hasta que se hayan realizado las respectivas pruebas hidrostáticas y pruebas de compactación aprobadas por el Supervisor.</w:t>
      </w:r>
    </w:p>
    <w:p w14:paraId="4DDC562D" w14:textId="77777777" w:rsidR="003B68DB" w:rsidRPr="003B68DB" w:rsidRDefault="003B68DB" w:rsidP="003B68DB">
      <w:pPr>
        <w:rPr>
          <w:rFonts w:ascii="Arial" w:hAnsi="Arial" w:cs="Arial"/>
          <w:szCs w:val="24"/>
          <w:lang w:val="es-ES" w:eastAsia="es-ES"/>
        </w:rPr>
      </w:pPr>
    </w:p>
    <w:p w14:paraId="18E2DE95"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25" w:name="_Toc22391594"/>
      <w:r w:rsidRPr="003B68DB">
        <w:rPr>
          <w:rFonts w:ascii="Arial" w:hAnsi="Arial" w:cs="Century Gothic"/>
          <w:b/>
          <w:bCs/>
          <w:lang w:val="es-ES" w:eastAsia="es-ES"/>
        </w:rPr>
        <w:t>Accesorios PVC.</w:t>
      </w:r>
      <w:bookmarkEnd w:id="1625"/>
    </w:p>
    <w:p w14:paraId="5281B2A0" w14:textId="77777777" w:rsidR="003B68DB" w:rsidRPr="003B68DB" w:rsidRDefault="003B68DB" w:rsidP="003B68DB">
      <w:pPr>
        <w:rPr>
          <w:rFonts w:ascii="Arial" w:hAnsi="Arial" w:cs="Arial"/>
          <w:szCs w:val="24"/>
          <w:lang w:val="es-ES" w:eastAsia="es-ES"/>
        </w:rPr>
      </w:pPr>
    </w:p>
    <w:p w14:paraId="54AE7C5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accesorios de PVC son cédula 40 y deben cumplir con las normas ASTM-D-2466. Los accesorios de empaque de goma deben cumplir la especificación ASTM D-3212 y estar capacitados para acoplarse con las tuberías, de acuerdo al sistema de unión seleccionado.</w:t>
      </w:r>
    </w:p>
    <w:p w14:paraId="44E4013F" w14:textId="77777777" w:rsidR="003B68DB" w:rsidRPr="003B68DB" w:rsidRDefault="003B68DB" w:rsidP="003B68DB">
      <w:pPr>
        <w:rPr>
          <w:rFonts w:ascii="Arial" w:hAnsi="Arial" w:cs="Arial"/>
          <w:szCs w:val="24"/>
          <w:lang w:val="es-ES" w:eastAsia="es-ES"/>
        </w:rPr>
      </w:pPr>
    </w:p>
    <w:p w14:paraId="7A10B536"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26" w:name="_Toc22391595"/>
      <w:bookmarkStart w:id="1627" w:name="_Toc22653930"/>
      <w:r w:rsidRPr="003B68DB">
        <w:rPr>
          <w:rFonts w:ascii="Arial" w:eastAsia="Arial Narrow" w:hAnsi="Arial" w:cs="Arial"/>
          <w:b/>
          <w:bCs/>
          <w:iCs/>
          <w:szCs w:val="22"/>
          <w:lang w:val="es-ES" w:bidi="en-US"/>
        </w:rPr>
        <w:t>Tuberías y accesorios de hierro galvanizado (HG.)</w:t>
      </w:r>
      <w:bookmarkEnd w:id="1626"/>
      <w:bookmarkEnd w:id="1627"/>
    </w:p>
    <w:p w14:paraId="6E04C4F6" w14:textId="77777777" w:rsidR="003B68DB" w:rsidRPr="003B68DB" w:rsidRDefault="003B68DB" w:rsidP="003B68DB">
      <w:pPr>
        <w:rPr>
          <w:rFonts w:ascii="Arial" w:hAnsi="Arial" w:cs="Arial"/>
          <w:szCs w:val="24"/>
          <w:lang w:val="es-ES" w:eastAsia="es-ES"/>
        </w:rPr>
      </w:pPr>
    </w:p>
    <w:p w14:paraId="48050462"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28" w:name="_Toc22391596"/>
      <w:r w:rsidRPr="003B68DB">
        <w:rPr>
          <w:rFonts w:ascii="Arial" w:hAnsi="Arial" w:cs="Century Gothic"/>
          <w:b/>
          <w:bCs/>
          <w:lang w:val="es-ES" w:eastAsia="es-ES"/>
        </w:rPr>
        <w:t>Tuberías HG</w:t>
      </w:r>
      <w:bookmarkEnd w:id="1628"/>
    </w:p>
    <w:p w14:paraId="0385F68D" w14:textId="77777777" w:rsidR="003B68DB" w:rsidRPr="003B68DB" w:rsidRDefault="003B68DB" w:rsidP="003B68DB">
      <w:pPr>
        <w:rPr>
          <w:rFonts w:ascii="Arial" w:hAnsi="Arial" w:cs="Arial"/>
          <w:szCs w:val="24"/>
          <w:lang w:val="es-ES" w:eastAsia="es-ES"/>
        </w:rPr>
      </w:pPr>
    </w:p>
    <w:p w14:paraId="4550359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tuberías de HG son del tipo Standard (cédula 40) y deben ajustarse a las especificaciones siguientes:</w:t>
      </w:r>
    </w:p>
    <w:p w14:paraId="3125E9A8" w14:textId="77777777" w:rsidR="003B68DB" w:rsidRPr="003B68DB" w:rsidRDefault="003B68DB" w:rsidP="003B68DB">
      <w:pPr>
        <w:rPr>
          <w:rFonts w:ascii="Arial" w:hAnsi="Arial" w:cs="Arial"/>
          <w:szCs w:val="24"/>
          <w:lang w:val="es-ES" w:eastAsia="es-ES"/>
        </w:rPr>
      </w:pPr>
    </w:p>
    <w:p w14:paraId="1681A428" w14:textId="77777777" w:rsidR="003B68DB" w:rsidRPr="003B68DB" w:rsidRDefault="003B68DB" w:rsidP="003B68DB">
      <w:pPr>
        <w:numPr>
          <w:ilvl w:val="0"/>
          <w:numId w:val="156"/>
        </w:numPr>
        <w:ind w:left="0" w:firstLine="0"/>
        <w:contextualSpacing/>
        <w:rPr>
          <w:rFonts w:ascii="Arial" w:hAnsi="Arial" w:cs="Arial"/>
          <w:szCs w:val="24"/>
          <w:lang w:val="es-ES" w:eastAsia="es-ES"/>
        </w:rPr>
      </w:pPr>
      <w:r w:rsidRPr="003B68DB">
        <w:rPr>
          <w:rFonts w:ascii="Arial" w:hAnsi="Arial" w:cs="Arial"/>
          <w:szCs w:val="24"/>
          <w:lang w:val="es-ES" w:eastAsia="es-ES"/>
        </w:rPr>
        <w:t>Que se ajuste en todos los aspectos con la especificación ASTM-120-65 y que cumpla con el proceso de Galvanización de acuerdo a la especificación ASTM A-90-39.</w:t>
      </w:r>
    </w:p>
    <w:p w14:paraId="06834902" w14:textId="77777777" w:rsidR="003B68DB" w:rsidRPr="003B68DB" w:rsidRDefault="003B68DB" w:rsidP="003B68DB">
      <w:pPr>
        <w:rPr>
          <w:rFonts w:ascii="Arial" w:hAnsi="Arial" w:cs="Arial"/>
          <w:szCs w:val="24"/>
          <w:lang w:val="es-ES" w:eastAsia="es-ES"/>
        </w:rPr>
      </w:pPr>
    </w:p>
    <w:p w14:paraId="75948739" w14:textId="77777777" w:rsidR="003B68DB" w:rsidRPr="003B68DB" w:rsidRDefault="003B68DB" w:rsidP="003B68DB">
      <w:pPr>
        <w:numPr>
          <w:ilvl w:val="0"/>
          <w:numId w:val="156"/>
        </w:numPr>
        <w:ind w:left="0" w:firstLine="0"/>
        <w:contextualSpacing/>
        <w:rPr>
          <w:rFonts w:ascii="Arial" w:hAnsi="Arial" w:cs="Arial"/>
          <w:szCs w:val="24"/>
          <w:lang w:val="es-ES" w:eastAsia="es-ES"/>
        </w:rPr>
      </w:pPr>
      <w:r w:rsidRPr="003B68DB">
        <w:rPr>
          <w:rFonts w:ascii="Arial" w:hAnsi="Arial" w:cs="Arial"/>
          <w:szCs w:val="24"/>
          <w:lang w:val="es-ES" w:eastAsia="es-ES"/>
        </w:rPr>
        <w:t>La tubería de HG. Debe ser suministrada en longitudes de 20 pies ± 1 pulgada (6.1 m ± 25 mm) con rosca Standard en cada extremo.</w:t>
      </w:r>
    </w:p>
    <w:p w14:paraId="5E148A12" w14:textId="77777777" w:rsidR="003B68DB" w:rsidRPr="003B68DB" w:rsidRDefault="003B68DB" w:rsidP="003B68DB">
      <w:pPr>
        <w:rPr>
          <w:rFonts w:ascii="Arial" w:hAnsi="Arial" w:cs="Arial"/>
          <w:szCs w:val="24"/>
          <w:lang w:val="es-ES" w:eastAsia="es-ES"/>
        </w:rPr>
      </w:pPr>
    </w:p>
    <w:p w14:paraId="5501B1D3" w14:textId="77777777" w:rsidR="003B68DB" w:rsidRPr="003B68DB" w:rsidRDefault="003B68DB" w:rsidP="003B68DB">
      <w:pPr>
        <w:numPr>
          <w:ilvl w:val="0"/>
          <w:numId w:val="156"/>
        </w:numPr>
        <w:ind w:left="0" w:firstLine="0"/>
        <w:contextualSpacing/>
        <w:rPr>
          <w:rFonts w:ascii="Arial" w:hAnsi="Arial" w:cs="Arial"/>
          <w:szCs w:val="24"/>
          <w:lang w:val="es-ES" w:eastAsia="es-ES"/>
        </w:rPr>
      </w:pPr>
      <w:r w:rsidRPr="003B68DB">
        <w:rPr>
          <w:rFonts w:ascii="Arial" w:hAnsi="Arial" w:cs="Arial"/>
          <w:szCs w:val="24"/>
          <w:lang w:val="es-ES" w:eastAsia="es-ES"/>
        </w:rPr>
        <w:lastRenderedPageBreak/>
        <w:t>Un acoplamiento debe ser suministrado con cada longitud Standard. El acoplamiento consistva en una camisa de Hierro Galvanizado con Rosca Standard para roscarse en el extremo del tubo.</w:t>
      </w:r>
    </w:p>
    <w:p w14:paraId="3D0FCAF6" w14:textId="77777777" w:rsidR="003B68DB" w:rsidRPr="003B68DB" w:rsidRDefault="003B68DB" w:rsidP="003B68DB">
      <w:pPr>
        <w:rPr>
          <w:rFonts w:ascii="Arial" w:hAnsi="Arial" w:cs="Arial"/>
          <w:szCs w:val="24"/>
          <w:lang w:val="es-ES" w:eastAsia="es-ES"/>
        </w:rPr>
      </w:pPr>
    </w:p>
    <w:p w14:paraId="21EA1B02" w14:textId="77777777" w:rsidR="003B68DB" w:rsidRPr="003B68DB" w:rsidRDefault="003B68DB" w:rsidP="003B68DB">
      <w:pPr>
        <w:rPr>
          <w:rFonts w:ascii="Arial" w:hAnsi="Arial" w:cs="Arial"/>
          <w:szCs w:val="24"/>
          <w:lang w:val="es-ES" w:eastAsia="es-ES"/>
        </w:rPr>
      </w:pPr>
    </w:p>
    <w:p w14:paraId="2D1AD4D3" w14:textId="77777777" w:rsidR="003B68DB" w:rsidRPr="003B68DB" w:rsidRDefault="003B68DB" w:rsidP="003B68DB">
      <w:pPr>
        <w:rPr>
          <w:rFonts w:ascii="Arial" w:hAnsi="Arial" w:cs="Arial"/>
          <w:szCs w:val="24"/>
          <w:lang w:val="es-ES" w:eastAsia="es-ES"/>
        </w:rPr>
      </w:pPr>
    </w:p>
    <w:p w14:paraId="796365DC"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29" w:name="_Toc22391597"/>
      <w:r w:rsidRPr="003B68DB">
        <w:rPr>
          <w:rFonts w:ascii="Arial" w:hAnsi="Arial" w:cs="Century Gothic"/>
          <w:b/>
          <w:bCs/>
          <w:lang w:val="es-ES" w:eastAsia="es-ES"/>
        </w:rPr>
        <w:t>Accesorios.</w:t>
      </w:r>
      <w:bookmarkEnd w:id="1629"/>
    </w:p>
    <w:p w14:paraId="7547A680" w14:textId="77777777" w:rsidR="003B68DB" w:rsidRPr="003B68DB" w:rsidRDefault="003B68DB" w:rsidP="003B68DB">
      <w:pPr>
        <w:rPr>
          <w:rFonts w:ascii="Arial" w:hAnsi="Arial" w:cs="Arial"/>
          <w:szCs w:val="24"/>
          <w:lang w:val="es-ES" w:eastAsia="es-ES"/>
        </w:rPr>
      </w:pPr>
    </w:p>
    <w:p w14:paraId="58CB66D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Los accesorios de material de hierro galvanizado deben ajustarse a las especificaciones ASTM, tienen rosca hembra del tipo Iron Pipe (I.P) y deben ser diseñados para acoplarse a la tubería de HFD y PVC a ser suministrada. Las tuberías y los accesorios, deben de cumplir con El Certificado de Calidad ISO-9001. </w:t>
      </w:r>
    </w:p>
    <w:p w14:paraId="0E347CE7" w14:textId="77777777" w:rsidR="003B68DB" w:rsidRPr="003B68DB" w:rsidRDefault="003B68DB" w:rsidP="003B68DB">
      <w:pPr>
        <w:rPr>
          <w:rFonts w:ascii="Arial" w:hAnsi="Arial" w:cs="Arial"/>
          <w:szCs w:val="24"/>
          <w:lang w:val="es-ES" w:eastAsia="es-ES"/>
        </w:rPr>
      </w:pPr>
    </w:p>
    <w:p w14:paraId="0EA87201"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30" w:name="_Toc22391598"/>
      <w:bookmarkStart w:id="1631" w:name="_Toc22653931"/>
      <w:r w:rsidRPr="003B68DB">
        <w:rPr>
          <w:rFonts w:ascii="Arial" w:eastAsia="Arial Narrow" w:hAnsi="Arial" w:cs="Arial"/>
          <w:b/>
          <w:bCs/>
          <w:iCs/>
          <w:szCs w:val="22"/>
          <w:lang w:val="es-ES" w:bidi="en-US"/>
        </w:rPr>
        <w:t>Accesorios y Piezas Especiales de Hierro Fundido (H.F.).</w:t>
      </w:r>
      <w:bookmarkEnd w:id="1630"/>
      <w:bookmarkEnd w:id="1631"/>
    </w:p>
    <w:p w14:paraId="6F2A39CC" w14:textId="77777777" w:rsidR="003B68DB" w:rsidRPr="003B68DB" w:rsidRDefault="003B68DB" w:rsidP="003B68DB">
      <w:pPr>
        <w:rPr>
          <w:rFonts w:ascii="Arial" w:hAnsi="Arial" w:cs="Arial"/>
          <w:szCs w:val="24"/>
          <w:lang w:val="es-ES" w:eastAsia="es-ES"/>
        </w:rPr>
      </w:pPr>
    </w:p>
    <w:p w14:paraId="41F8321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Todos los accesorios solicitados en este grupo, deben estar de acuerdo al American Standard for Cast Iron Fitings, 3 in Through 48 In, for Water and Other liquids designation ANSI-A 21.10 - 87 ó AWWA C 110/A21.10-87 y la International Organization for Standardization Standard Nº 2531, para presión de servicio de ASA 125 y uniones de brida según ANSI B-16.1-1960. Deben traer sus respectivos compañeros de bridas de HF CON SUS EMPAQUES DE CAUCHO, PERNOS Y TUERCAS DE ACERO INOXIDABLE y DEBEN DE CUMPLIR CON EL CERTIFICADO DE CALIDAD ISO-9001. </w:t>
      </w:r>
    </w:p>
    <w:p w14:paraId="69A71E55" w14:textId="77777777" w:rsidR="003B68DB" w:rsidRPr="003B68DB" w:rsidRDefault="003B68DB" w:rsidP="003B68DB">
      <w:pPr>
        <w:rPr>
          <w:rFonts w:ascii="Arial" w:hAnsi="Arial" w:cs="Arial"/>
          <w:szCs w:val="24"/>
          <w:lang w:val="es-ES" w:eastAsia="es-ES"/>
        </w:rPr>
      </w:pPr>
    </w:p>
    <w:p w14:paraId="4B438BA1"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32" w:name="_Toc22391599"/>
      <w:bookmarkStart w:id="1633" w:name="_Toc22653932"/>
      <w:r w:rsidRPr="003B68DB">
        <w:rPr>
          <w:rFonts w:ascii="Arial" w:eastAsia="Arial Narrow" w:hAnsi="Arial" w:cs="Arial"/>
          <w:b/>
          <w:bCs/>
          <w:iCs/>
          <w:szCs w:val="22"/>
          <w:lang w:val="es-ES" w:bidi="en-US"/>
        </w:rPr>
        <w:t>Uniones Mecánicas de Transición.</w:t>
      </w:r>
      <w:bookmarkEnd w:id="1632"/>
      <w:bookmarkEnd w:id="1633"/>
    </w:p>
    <w:p w14:paraId="795076C7" w14:textId="77777777" w:rsidR="003B68DB" w:rsidRPr="003B68DB" w:rsidRDefault="003B68DB" w:rsidP="003B68DB">
      <w:pPr>
        <w:rPr>
          <w:rFonts w:ascii="Arial" w:hAnsi="Arial" w:cs="Arial"/>
          <w:szCs w:val="24"/>
          <w:lang w:val="es-ES" w:eastAsia="es-ES"/>
        </w:rPr>
      </w:pPr>
    </w:p>
    <w:p w14:paraId="1EE9A19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Son de Hierro Fundido Dúctil y servvan de acople directo entre los Accesorios de Hierro Fundido y Hierro Dúctil de extremos lisos y los extremos maquinados de las tuberías de PVC SDR-26 y Hierro Galvanizado de igual diámetro nominal y diferentes diámetros exteriores. Se requieren La Unión de Brida Universal sea de la Serie 2.200-A/L “Liberty” o similar.</w:t>
      </w:r>
    </w:p>
    <w:p w14:paraId="03E8C38C" w14:textId="77777777" w:rsidR="003B68DB" w:rsidRPr="003B68DB" w:rsidRDefault="003B68DB" w:rsidP="003B68DB">
      <w:pPr>
        <w:rPr>
          <w:rFonts w:ascii="Arial" w:hAnsi="Arial" w:cs="Arial"/>
          <w:szCs w:val="24"/>
          <w:lang w:val="es-ES" w:eastAsia="es-ES"/>
        </w:rPr>
      </w:pPr>
    </w:p>
    <w:p w14:paraId="13A2935A"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34" w:name="_Toc22391600"/>
      <w:bookmarkStart w:id="1635" w:name="_Toc22653933"/>
      <w:r w:rsidRPr="003B68DB">
        <w:rPr>
          <w:rFonts w:ascii="Arial" w:eastAsia="Arial Narrow" w:hAnsi="Arial" w:cs="Arial"/>
          <w:b/>
          <w:bCs/>
          <w:iCs/>
          <w:szCs w:val="22"/>
          <w:lang w:val="es-ES" w:bidi="en-US"/>
        </w:rPr>
        <w:t>Válvulas de Compuerta de Cierre Elástico.</w:t>
      </w:r>
      <w:bookmarkEnd w:id="1634"/>
      <w:bookmarkEnd w:id="1635"/>
    </w:p>
    <w:p w14:paraId="5EFB8DBB" w14:textId="77777777" w:rsidR="003B68DB" w:rsidRPr="003B68DB" w:rsidRDefault="003B68DB" w:rsidP="003B68DB">
      <w:pPr>
        <w:rPr>
          <w:rFonts w:ascii="Arial" w:hAnsi="Arial" w:cs="Arial"/>
          <w:szCs w:val="24"/>
          <w:lang w:val="es-ES" w:eastAsia="es-ES"/>
        </w:rPr>
      </w:pPr>
    </w:p>
    <w:p w14:paraId="737914F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 menos que se indique lo contrario, el diseño, materiales, construcción, manufactura y prueba de las válvulas, deben sujetarse a lo dispuesto en la Norma ANSI/AWWA C-509 o cualquier otra Norma Internacional que iguale o supere estas especificaciones.</w:t>
      </w:r>
    </w:p>
    <w:p w14:paraId="07259C33" w14:textId="77777777" w:rsidR="003B68DB" w:rsidRPr="003B68DB" w:rsidRDefault="003B68DB" w:rsidP="003B68DB">
      <w:pPr>
        <w:rPr>
          <w:rFonts w:ascii="Arial" w:hAnsi="Arial" w:cs="Arial"/>
          <w:szCs w:val="24"/>
          <w:lang w:val="es-ES" w:eastAsia="es-ES"/>
        </w:rPr>
      </w:pPr>
    </w:p>
    <w:p w14:paraId="48E615FC"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36" w:name="_Toc22391601"/>
      <w:r w:rsidRPr="003B68DB">
        <w:rPr>
          <w:rFonts w:ascii="Arial" w:hAnsi="Arial" w:cs="Century Gothic"/>
          <w:b/>
          <w:bCs/>
          <w:lang w:val="es-ES" w:eastAsia="es-ES"/>
        </w:rPr>
        <w:t>Válvulas de Compuerta HF con Extremos Campana.</w:t>
      </w:r>
      <w:bookmarkEnd w:id="1636"/>
    </w:p>
    <w:p w14:paraId="3DE64CFF" w14:textId="77777777" w:rsidR="003B68DB" w:rsidRPr="003B68DB" w:rsidRDefault="003B68DB" w:rsidP="003B68DB">
      <w:pPr>
        <w:rPr>
          <w:rFonts w:ascii="Arial" w:hAnsi="Arial" w:cs="Arial"/>
          <w:szCs w:val="24"/>
          <w:lang w:val="es-ES" w:eastAsia="es-ES"/>
        </w:rPr>
      </w:pPr>
    </w:p>
    <w:p w14:paraId="4724B46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Son fabricadas conforme a las normas AWWA C-509, con hierro modular (HN) que cumpla la norma ASTM A-536, el disco de la compuerta es de fundición dúctil recubierta con Elastómero y totalmente vulcanizada con NBR/EPDM, asientos paralelos de bronce, vástago de acero inoxidable. Las válvulas de extremos acampanados o YTON ó JUNTA RAPIDA, son para utilizarse con tuberías PVC Clase SDR 26 o SRD-17 y se ajustan a los requerimientos de ANSI-/AWWA C111 A21.11</w:t>
      </w:r>
    </w:p>
    <w:p w14:paraId="662A4848" w14:textId="77777777" w:rsidR="003B68DB" w:rsidRPr="003B68DB" w:rsidRDefault="003B68DB" w:rsidP="003B68DB">
      <w:pPr>
        <w:rPr>
          <w:rFonts w:ascii="Arial" w:hAnsi="Arial" w:cs="Arial"/>
          <w:szCs w:val="24"/>
          <w:lang w:val="es-ES" w:eastAsia="es-ES"/>
        </w:rPr>
      </w:pPr>
    </w:p>
    <w:p w14:paraId="7F23E31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Los anillos de asientos del cuerpo deben ser de bronce.  Los vástagos de las válvulas deben ser de bronce fundido de acuerdo a ASTM B132 Aleación A; ASTM B132 Aleación B; ó ASTM B148.  La cabeza o dado de operación es cuadrado de 1-15/16" en su parte superior, 2" x 2" en la base y 1 ¾" de altura. La válvula se abra con rotación inversa a las agujas del reloj.</w:t>
      </w:r>
    </w:p>
    <w:p w14:paraId="1ECB1F7B" w14:textId="77777777" w:rsidR="003B68DB" w:rsidRPr="003B68DB" w:rsidRDefault="003B68DB" w:rsidP="003B68DB">
      <w:pPr>
        <w:rPr>
          <w:rFonts w:ascii="Arial" w:hAnsi="Arial" w:cs="Arial"/>
          <w:szCs w:val="24"/>
          <w:lang w:val="es-ES" w:eastAsia="es-ES"/>
        </w:rPr>
      </w:pPr>
    </w:p>
    <w:p w14:paraId="7183618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caja prensa estopa es de hierro fundido y debe tener empaque tipo asbesto rajado en V. El borde de asiento metálico debe ser de acero inoxidable 316 ACME ó MODIFICADO. Todas las partes ferrosas, interiores y exteriores de las válvulas, con excepción de las superficies acabadas o de soportes, deben recibir en fábrica dos manos de un barniz asfáltico aprobado.  Las superficies a ser pintadas, deben estar limpias, secas, y libres de polvo y grasa.</w:t>
      </w:r>
    </w:p>
    <w:p w14:paraId="5842ADC6" w14:textId="77777777" w:rsidR="003B68DB" w:rsidRPr="003B68DB" w:rsidRDefault="003B68DB" w:rsidP="003B68DB">
      <w:pPr>
        <w:rPr>
          <w:rFonts w:ascii="Arial" w:hAnsi="Arial" w:cs="Arial"/>
          <w:szCs w:val="24"/>
          <w:lang w:val="es-ES" w:eastAsia="es-ES"/>
        </w:rPr>
      </w:pPr>
    </w:p>
    <w:p w14:paraId="1111647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válvulas vendrán provistas de rueda con cierre en el sentido de las agujas del reloj para operarlas; llevarán interior y exteriormente un revestimiento protector. Las Válvula de compuerta Tipo de Cierre Elástico de Campana o PUSH-ON, es similar a la Marca Belgicast Modelo BV-05-47 o similar.</w:t>
      </w:r>
    </w:p>
    <w:p w14:paraId="6347F368" w14:textId="77777777" w:rsidR="003B68DB" w:rsidRPr="003B68DB" w:rsidRDefault="003B68DB" w:rsidP="003B68DB">
      <w:pPr>
        <w:rPr>
          <w:rFonts w:ascii="Arial" w:hAnsi="Arial" w:cs="Arial"/>
          <w:szCs w:val="24"/>
          <w:lang w:val="es-ES" w:eastAsia="es-ES"/>
        </w:rPr>
      </w:pPr>
    </w:p>
    <w:p w14:paraId="5A51D63D"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37" w:name="_Toc22391602"/>
      <w:r w:rsidRPr="003B68DB">
        <w:rPr>
          <w:rFonts w:ascii="Arial" w:hAnsi="Arial" w:cs="Century Gothic"/>
          <w:b/>
          <w:bCs/>
          <w:lang w:val="es-ES" w:eastAsia="es-ES"/>
        </w:rPr>
        <w:t>Válvulas de Aire y Vacío</w:t>
      </w:r>
      <w:bookmarkEnd w:id="1637"/>
    </w:p>
    <w:p w14:paraId="1094CCDC" w14:textId="77777777" w:rsidR="003B68DB" w:rsidRPr="003B68DB" w:rsidRDefault="003B68DB" w:rsidP="003B68DB">
      <w:pPr>
        <w:rPr>
          <w:rFonts w:ascii="Arial" w:hAnsi="Arial" w:cs="Arial"/>
          <w:szCs w:val="24"/>
          <w:lang w:val="es-ES" w:eastAsia="es-ES"/>
        </w:rPr>
      </w:pPr>
    </w:p>
    <w:p w14:paraId="3783E09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válvulas de aire deben ser del tipo de flotador, de una cámara única, con rosca macho I.P. de acuerdo con A.S.A. B.2.1 para las bocas de entrada de ½” pulgada, ¾” y 1.0” de pulgada, y ser diseñadas para una presión de trabajo de 200 psi. Todos los materiales del cuerpo y tapa deben cumplir con las especificaciones de la ASTM A126 CLASE B y ser de la mejor calidad.</w:t>
      </w:r>
    </w:p>
    <w:p w14:paraId="594B3A46" w14:textId="77777777" w:rsidR="003B68DB" w:rsidRPr="003B68DB" w:rsidRDefault="003B68DB" w:rsidP="003B68DB">
      <w:pPr>
        <w:rPr>
          <w:rFonts w:ascii="Arial" w:hAnsi="Arial" w:cs="Arial"/>
          <w:szCs w:val="24"/>
          <w:lang w:val="es-ES" w:eastAsia="es-ES"/>
        </w:rPr>
      </w:pPr>
    </w:p>
    <w:p w14:paraId="3607653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boya de cierre es de acero inoxidable 302 ASTM A240. El cuerpo debe ser de Hierro Fundido contramarco de bronce.  En general, todas las partes metálicas internas deben ser de acero inoxidable.  Todas las válvulas deben estar internamente protegidas con una capa de material anticorrosivo.</w:t>
      </w:r>
    </w:p>
    <w:p w14:paraId="54C314B9" w14:textId="77777777" w:rsidR="003B68DB" w:rsidRPr="003B68DB" w:rsidRDefault="003B68DB" w:rsidP="003B68DB">
      <w:pPr>
        <w:rPr>
          <w:rFonts w:ascii="Arial" w:hAnsi="Arial" w:cs="Arial"/>
          <w:szCs w:val="24"/>
          <w:lang w:val="es-ES" w:eastAsia="es-ES"/>
        </w:rPr>
      </w:pPr>
    </w:p>
    <w:p w14:paraId="5AFECEF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Toda Válvula debe venir acompañada de su respectivo protector de Válvula tipo telescópico, extensible, de hierro fundido, que permita operar la Válvula instalada a profundidades de 1.2 a 1.5 m, desde la superficie, similar al Modelo D-40 Válvula Ventosa “BARAK” A.R.I. Toda Válvula debe venir acompañada de su respectivo protector de Válvula tipo telescópico, extensible, de hierro fundido, que permita operar la Válvula instalada a profundidades de 1.2 a 1.5 m, desde la superficie. </w:t>
      </w:r>
    </w:p>
    <w:p w14:paraId="7C5646FF" w14:textId="77777777" w:rsidR="003B68DB" w:rsidRPr="003B68DB" w:rsidRDefault="003B68DB" w:rsidP="003B68DB">
      <w:pPr>
        <w:rPr>
          <w:rFonts w:ascii="Arial" w:hAnsi="Arial" w:cs="Arial"/>
          <w:szCs w:val="24"/>
          <w:lang w:val="es-ES" w:eastAsia="es-ES"/>
        </w:rPr>
      </w:pPr>
    </w:p>
    <w:p w14:paraId="14EE951B"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38" w:name="_Toc22391603"/>
      <w:r w:rsidRPr="003B68DB">
        <w:rPr>
          <w:rFonts w:ascii="Arial" w:hAnsi="Arial" w:cs="Century Gothic"/>
          <w:b/>
          <w:bCs/>
          <w:lang w:val="es-ES" w:eastAsia="es-ES"/>
        </w:rPr>
        <w:t>Válvulas de Bronce.</w:t>
      </w:r>
      <w:bookmarkEnd w:id="1638"/>
    </w:p>
    <w:p w14:paraId="1FDAF903" w14:textId="77777777" w:rsidR="003B68DB" w:rsidRPr="003B68DB" w:rsidRDefault="003B68DB" w:rsidP="003B68DB">
      <w:pPr>
        <w:rPr>
          <w:rFonts w:ascii="Arial" w:hAnsi="Arial" w:cs="Arial"/>
          <w:szCs w:val="24"/>
          <w:lang w:val="es-ES" w:eastAsia="es-ES"/>
        </w:rPr>
      </w:pPr>
    </w:p>
    <w:p w14:paraId="2E8FB784" w14:textId="77777777" w:rsidR="003B68DB" w:rsidRPr="003B68DB" w:rsidRDefault="003B68DB" w:rsidP="003B68DB">
      <w:pPr>
        <w:numPr>
          <w:ilvl w:val="0"/>
          <w:numId w:val="158"/>
        </w:numPr>
        <w:contextualSpacing/>
        <w:rPr>
          <w:rFonts w:ascii="Arial" w:hAnsi="Arial" w:cs="Arial"/>
          <w:szCs w:val="24"/>
          <w:lang w:val="es-ES" w:eastAsia="es-ES"/>
        </w:rPr>
      </w:pPr>
      <w:r w:rsidRPr="003B68DB">
        <w:rPr>
          <w:rFonts w:ascii="Arial" w:hAnsi="Arial" w:cs="Arial"/>
          <w:b/>
          <w:szCs w:val="24"/>
          <w:lang w:val="es-ES" w:eastAsia="es-ES"/>
        </w:rPr>
        <w:t>Válvulas de Compuerta.</w:t>
      </w:r>
    </w:p>
    <w:p w14:paraId="5A800B1C" w14:textId="77777777" w:rsidR="003B68DB" w:rsidRPr="003B68DB" w:rsidRDefault="003B68DB" w:rsidP="003B68DB">
      <w:pPr>
        <w:rPr>
          <w:rFonts w:ascii="Arial" w:hAnsi="Arial" w:cs="Arial"/>
          <w:szCs w:val="24"/>
          <w:lang w:val="es-ES" w:eastAsia="es-ES"/>
        </w:rPr>
      </w:pPr>
    </w:p>
    <w:p w14:paraId="7D3707E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Las válvulas de DIÁMETRO NOMINAL 1/2” a DIÁMETRO NOMINAL 1½" de diámetro o menores son de bronce, tienen extremos de rosca hembra Standard que se unvan mediante adaptadores machos a las tuberías de PVC. Las válvulas aquí especificadas </w:t>
      </w:r>
      <w:r w:rsidRPr="003B68DB">
        <w:rPr>
          <w:rFonts w:ascii="Arial" w:hAnsi="Arial" w:cs="Arial"/>
          <w:szCs w:val="24"/>
          <w:lang w:val="es-ES" w:eastAsia="es-ES"/>
        </w:rPr>
        <w:lastRenderedPageBreak/>
        <w:t>son del tipo “Mineápolis Combined Cap and Tee” con cierre de ¼ de vuelta, similares al modelo H-10207 del catálogo MUELLER No. W-103 de 1961.</w:t>
      </w:r>
    </w:p>
    <w:p w14:paraId="43386910" w14:textId="77777777" w:rsidR="003B68DB" w:rsidRPr="003B68DB" w:rsidRDefault="003B68DB" w:rsidP="003B68DB">
      <w:pPr>
        <w:rPr>
          <w:rFonts w:ascii="Arial" w:hAnsi="Arial" w:cs="Arial"/>
          <w:szCs w:val="24"/>
          <w:lang w:val="es-ES" w:eastAsia="es-ES"/>
        </w:rPr>
      </w:pPr>
    </w:p>
    <w:p w14:paraId="662373C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están provistas de manija solidaria con el mecanismo interno y son por el contrario, operadas mediante una manija acoplable pentagonal de hierro fundido similar al modelo Mueller H-10323 para los diámetros de DIÁMETRO NOMINAL 1/2, DIÁMETRO NOMINAL 3/4 y DIÁMETRO NOMINAL 1”.  Las válvulas de DIÁMETRO NOMINAL 1½” y DIÁMETRO NOMINAL 2” son operadas mediante una manija similar al modelo Mueller H-10321 de 3.1/2 pies de largo.</w:t>
      </w:r>
    </w:p>
    <w:p w14:paraId="791DD236" w14:textId="77777777" w:rsidR="003B68DB" w:rsidRPr="003B68DB" w:rsidRDefault="003B68DB" w:rsidP="003B68DB">
      <w:pPr>
        <w:rPr>
          <w:rFonts w:ascii="Arial" w:hAnsi="Arial" w:cs="Arial"/>
          <w:szCs w:val="24"/>
          <w:lang w:val="es-ES" w:eastAsia="es-ES"/>
        </w:rPr>
      </w:pPr>
    </w:p>
    <w:p w14:paraId="08166CE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material de fabricación de las válvulas es de una aleación de bronce, que contenga un 85% de cobre y un 5% de estaño, plomo y zinc, de acuerdo a los requerimientos mecánicos y químicos de ASTM B62 O ASTM B584.  Son diseñadas, fabricadas y probadas según la Norma ANSI/AWWA C800, última revisión y Deben de Cumplir con el Certificado de Calidad ISO-9001. </w:t>
      </w:r>
    </w:p>
    <w:p w14:paraId="5F5CF3E5" w14:textId="77777777" w:rsidR="003B68DB" w:rsidRPr="003B68DB" w:rsidRDefault="003B68DB" w:rsidP="003B68DB">
      <w:pPr>
        <w:rPr>
          <w:rFonts w:ascii="Arial" w:hAnsi="Arial" w:cs="Arial"/>
          <w:szCs w:val="24"/>
          <w:lang w:val="es-ES" w:eastAsia="es-ES"/>
        </w:rPr>
      </w:pPr>
    </w:p>
    <w:p w14:paraId="0C057C73" w14:textId="77777777" w:rsidR="003B68DB" w:rsidRPr="003B68DB" w:rsidRDefault="003B68DB" w:rsidP="003B68DB">
      <w:pPr>
        <w:numPr>
          <w:ilvl w:val="0"/>
          <w:numId w:val="158"/>
        </w:numPr>
        <w:contextualSpacing/>
        <w:rPr>
          <w:rFonts w:ascii="Arial" w:hAnsi="Arial" w:cs="Arial"/>
          <w:b/>
          <w:szCs w:val="24"/>
          <w:lang w:val="pt-BR" w:eastAsia="es-ES"/>
        </w:rPr>
      </w:pPr>
      <w:r w:rsidRPr="003B68DB">
        <w:rPr>
          <w:rFonts w:ascii="Arial" w:hAnsi="Arial" w:cs="Arial"/>
          <w:b/>
          <w:szCs w:val="24"/>
          <w:lang w:val="pt-BR" w:eastAsia="es-ES"/>
        </w:rPr>
        <w:t>Válvulas de Chorro (Hose Bibbs).</w:t>
      </w:r>
    </w:p>
    <w:p w14:paraId="4983FC9A" w14:textId="77777777" w:rsidR="003B68DB" w:rsidRPr="003B68DB" w:rsidRDefault="003B68DB" w:rsidP="003B68DB">
      <w:pPr>
        <w:rPr>
          <w:rFonts w:ascii="Arial" w:hAnsi="Arial" w:cs="Arial"/>
          <w:szCs w:val="24"/>
          <w:lang w:val="pt-BR" w:eastAsia="es-ES"/>
        </w:rPr>
      </w:pPr>
    </w:p>
    <w:p w14:paraId="677E7BF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Son iguales o similares a la mostrada en el catálogo NIBCO 5-100-D de Indiana U.S.A página 11 y tienen Rosca Macho Standard, en ambos extremos.</w:t>
      </w:r>
    </w:p>
    <w:p w14:paraId="7A6641F0" w14:textId="77777777" w:rsidR="003B68DB" w:rsidRPr="003B68DB" w:rsidRDefault="003B68DB" w:rsidP="003B68DB">
      <w:pPr>
        <w:rPr>
          <w:rFonts w:ascii="Arial" w:hAnsi="Arial" w:cs="Arial"/>
          <w:szCs w:val="24"/>
          <w:lang w:val="es-ES" w:eastAsia="es-ES"/>
        </w:rPr>
      </w:pPr>
    </w:p>
    <w:p w14:paraId="3FFC8F8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39" w:name="_Toc22391604"/>
      <w:bookmarkStart w:id="1640" w:name="_Toc22653934"/>
      <w:r w:rsidRPr="003B68DB">
        <w:rPr>
          <w:rFonts w:ascii="Arial" w:eastAsia="Arial Narrow" w:hAnsi="Arial" w:cs="Arial"/>
          <w:b/>
          <w:iCs/>
          <w:szCs w:val="22"/>
          <w:lang w:val="es-ES" w:bidi="en-US"/>
        </w:rPr>
        <w:t>Cajas de Válvulas</w:t>
      </w:r>
      <w:r w:rsidRPr="003B68DB">
        <w:rPr>
          <w:rFonts w:ascii="Arial" w:eastAsia="Arial Narrow" w:hAnsi="Arial" w:cs="Arial"/>
          <w:b/>
          <w:bCs/>
          <w:iCs/>
          <w:szCs w:val="22"/>
          <w:lang w:val="es-ES" w:bidi="en-US"/>
        </w:rPr>
        <w:t>.</w:t>
      </w:r>
      <w:bookmarkEnd w:id="1639"/>
      <w:bookmarkEnd w:id="1640"/>
    </w:p>
    <w:p w14:paraId="571ABA8E" w14:textId="77777777" w:rsidR="003B68DB" w:rsidRPr="003B68DB" w:rsidRDefault="003B68DB" w:rsidP="003B68DB">
      <w:pPr>
        <w:rPr>
          <w:rFonts w:ascii="Arial" w:hAnsi="Arial" w:cs="Arial"/>
          <w:szCs w:val="24"/>
          <w:lang w:val="es-ES" w:eastAsia="es-ES"/>
        </w:rPr>
      </w:pPr>
    </w:p>
    <w:p w14:paraId="3773C03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Cajas de Válvula es de tubo de concreto cilíndrico con tapón de concreto E/ASA. Las bases de las Cajas de Válvulas deben ser diseñadas para alojar la tuerca de maniobra de la Válvula de acuerdo con su tamaño y para ser soportada por el relleno de suelo, sin apoyarse en la Válvula o la tuerca. Las Cajas de Válvulas deben ser adecuadas para ser usadas con Válvulas que tengan una cobertura de relleno de 1.20 metros.</w:t>
      </w:r>
    </w:p>
    <w:p w14:paraId="6EA2B827" w14:textId="77777777" w:rsidR="003B68DB" w:rsidRPr="003B68DB" w:rsidRDefault="003B68DB" w:rsidP="003B68DB">
      <w:pPr>
        <w:rPr>
          <w:rFonts w:ascii="Arial" w:hAnsi="Arial" w:cs="Arial"/>
          <w:szCs w:val="24"/>
          <w:lang w:val="es-ES" w:eastAsia="es-ES"/>
        </w:rPr>
      </w:pPr>
    </w:p>
    <w:p w14:paraId="737FA1C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Deben tener suficiente rugosidad y resistencia para soportar las cargas de impacto y choque resultantes del tráfico de vehículo. La tapadera de la caja está diseñada de tal manera que permanezca firmemente asentada cuando esté sujeta al paso de los vehículos. </w:t>
      </w:r>
    </w:p>
    <w:p w14:paraId="026D7768" w14:textId="77777777" w:rsidR="003B68DB" w:rsidRPr="003B68DB" w:rsidRDefault="003B68DB" w:rsidP="003B68DB">
      <w:pPr>
        <w:rPr>
          <w:rFonts w:ascii="Arial" w:hAnsi="Arial" w:cs="Arial"/>
          <w:szCs w:val="24"/>
          <w:lang w:val="es-ES" w:eastAsia="es-ES"/>
        </w:rPr>
      </w:pPr>
    </w:p>
    <w:p w14:paraId="3C8A81DC" w14:textId="77777777" w:rsidR="003B68DB" w:rsidRPr="003B68DB" w:rsidRDefault="003B68DB" w:rsidP="003B68DB">
      <w:pPr>
        <w:keepNext/>
        <w:keepLines/>
        <w:ind w:left="432" w:hanging="432"/>
        <w:outlineLvl w:val="0"/>
        <w:rPr>
          <w:rFonts w:ascii="Arial" w:eastAsia="Arial" w:hAnsi="Arial"/>
          <w:b/>
          <w:szCs w:val="24"/>
          <w:lang w:val="es-ES" w:eastAsia="es-ES"/>
        </w:rPr>
      </w:pPr>
      <w:bookmarkStart w:id="1641" w:name="_Toc22391605"/>
      <w:bookmarkStart w:id="1642" w:name="_Toc22653935"/>
      <w:r w:rsidRPr="003B68DB">
        <w:rPr>
          <w:rFonts w:ascii="Arial" w:eastAsia="Arial" w:hAnsi="Arial"/>
          <w:b/>
          <w:szCs w:val="24"/>
          <w:lang w:val="es-ES" w:eastAsia="es-ES"/>
        </w:rPr>
        <w:t>ESPECIFICACIONES TÉCNICAS PARA INSTALACIÓN DE TUBERÍAS.</w:t>
      </w:r>
      <w:bookmarkEnd w:id="1641"/>
      <w:bookmarkEnd w:id="1642"/>
    </w:p>
    <w:p w14:paraId="28A4ADCA" w14:textId="77777777" w:rsidR="003B68DB" w:rsidRPr="003B68DB" w:rsidRDefault="003B68DB" w:rsidP="003B68DB">
      <w:pPr>
        <w:rPr>
          <w:rFonts w:ascii="Arial" w:hAnsi="Arial" w:cs="Arial"/>
          <w:szCs w:val="24"/>
          <w:lang w:val="es-ES" w:eastAsia="es-ES"/>
        </w:rPr>
      </w:pPr>
    </w:p>
    <w:p w14:paraId="50ABF93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Bajo el concepto de Instalación de Tuberías, se comprenden las sub-etapas constructivas de excavación, instalación, prueba y desinfección de tubería y de válvulas; bloques de reacción y anclajes; relleno y compactación y disposición del material sobrante, de la siguiente manera:</w:t>
      </w:r>
    </w:p>
    <w:p w14:paraId="7083D2B2" w14:textId="77777777" w:rsidR="003B68DB" w:rsidRPr="003B68DB" w:rsidRDefault="003B68DB" w:rsidP="003B68DB">
      <w:pPr>
        <w:rPr>
          <w:rFonts w:ascii="Arial" w:hAnsi="Arial" w:cs="Arial"/>
          <w:b/>
          <w:szCs w:val="24"/>
          <w:lang w:val="es-ES" w:eastAsia="es-ES"/>
        </w:rPr>
      </w:pPr>
    </w:p>
    <w:p w14:paraId="0C36E736"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43" w:name="_Toc22391606"/>
      <w:bookmarkStart w:id="1644" w:name="_Toc22653936"/>
      <w:r w:rsidRPr="00181F97">
        <w:rPr>
          <w:rFonts w:ascii="Arial" w:eastAsia="Arial Narrow" w:hAnsi="Arial" w:cs="Arial"/>
          <w:b/>
          <w:bCs/>
          <w:iCs/>
          <w:szCs w:val="24"/>
          <w:lang w:val="es-NI"/>
        </w:rPr>
        <w:t>Trazo y Nivelación.</w:t>
      </w:r>
      <w:bookmarkEnd w:id="1643"/>
      <w:bookmarkEnd w:id="1644"/>
    </w:p>
    <w:p w14:paraId="3150AF80" w14:textId="77777777" w:rsidR="003B68DB" w:rsidRPr="003B68DB" w:rsidRDefault="003B68DB" w:rsidP="003B68DB">
      <w:pPr>
        <w:rPr>
          <w:rFonts w:ascii="Arial" w:hAnsi="Arial" w:cs="Arial"/>
          <w:szCs w:val="24"/>
          <w:lang w:val="es-ES" w:eastAsia="es-ES"/>
        </w:rPr>
      </w:pPr>
    </w:p>
    <w:p w14:paraId="7F6993C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45" w:name="_Toc22391607"/>
      <w:bookmarkStart w:id="1646" w:name="_Toc22653937"/>
      <w:r w:rsidRPr="003B68DB">
        <w:rPr>
          <w:rFonts w:ascii="Arial" w:eastAsia="Arial Narrow" w:hAnsi="Arial" w:cs="Arial"/>
          <w:b/>
          <w:bCs/>
          <w:iCs/>
          <w:szCs w:val="22"/>
          <w:lang w:val="es-ES" w:bidi="en-US"/>
        </w:rPr>
        <w:t>Preparación y Limpieza del Sitio.</w:t>
      </w:r>
      <w:bookmarkEnd w:id="1645"/>
      <w:bookmarkEnd w:id="1646"/>
    </w:p>
    <w:p w14:paraId="1056D758" w14:textId="77777777" w:rsidR="003B68DB" w:rsidRPr="003B68DB" w:rsidRDefault="003B68DB" w:rsidP="003B68DB">
      <w:pPr>
        <w:rPr>
          <w:rFonts w:ascii="Arial" w:hAnsi="Arial" w:cs="Arial"/>
          <w:szCs w:val="24"/>
          <w:lang w:val="es-ES" w:eastAsia="es-ES"/>
        </w:rPr>
      </w:pPr>
    </w:p>
    <w:p w14:paraId="6E8FF84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 xml:space="preserve">El trabajo a ejecutarse bajo este rubro comprende el suministro de equipos, incluye equipo topográfico, herramientas, mano de obra, transporte y materiales necesarios para llevar a cabo el </w:t>
      </w:r>
      <w:r w:rsidRPr="003B68DB">
        <w:rPr>
          <w:rFonts w:ascii="Arial" w:hAnsi="Arial" w:cs="Arial"/>
          <w:i/>
          <w:szCs w:val="24"/>
          <w:lang w:val="es-ES" w:eastAsia="es-ES"/>
        </w:rPr>
        <w:t>trazo y nivelación</w:t>
      </w:r>
      <w:r w:rsidRPr="003B68DB">
        <w:rPr>
          <w:rFonts w:ascii="Arial" w:hAnsi="Arial" w:cs="Arial"/>
          <w:szCs w:val="24"/>
          <w:lang w:val="es-ES" w:eastAsia="es-ES"/>
        </w:rPr>
        <w:t>, en los sitios y dimensiones indicadas en los planos y de acuerdo con lo estipulado en estas especificaciones. Los costos de esta operación son asumidos por El Contratista.</w:t>
      </w:r>
    </w:p>
    <w:p w14:paraId="243577B1" w14:textId="77777777" w:rsidR="003B68DB" w:rsidRPr="003B68DB" w:rsidRDefault="003B68DB" w:rsidP="003B68DB">
      <w:pPr>
        <w:rPr>
          <w:rFonts w:ascii="Arial" w:hAnsi="Arial" w:cs="Arial"/>
          <w:szCs w:val="24"/>
          <w:lang w:val="es-ES" w:eastAsia="es-ES"/>
        </w:rPr>
      </w:pPr>
    </w:p>
    <w:p w14:paraId="323D9359"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Previo a los trabajos de excavación, los comunitarios deben realizar la limpieza manual inicial sobre el eje de las tuberías. El ancho de la limpieza es de 1.0 m. medido 0.50 m a ambos lados del eje de la alineación de las tuberías tanto de conducción como de las tuberías de la red de distribución.</w:t>
      </w:r>
    </w:p>
    <w:p w14:paraId="7F4A9332" w14:textId="77777777" w:rsidR="003B68DB" w:rsidRPr="003B68DB" w:rsidRDefault="003B68DB" w:rsidP="003B68DB">
      <w:pPr>
        <w:rPr>
          <w:rFonts w:ascii="Arial" w:hAnsi="Arial" w:cs="Arial"/>
          <w:szCs w:val="24"/>
          <w:lang w:val="es-ES" w:eastAsia="es-ES"/>
        </w:rPr>
      </w:pPr>
    </w:p>
    <w:p w14:paraId="6AFDEB8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Árboles y arbusto localizados en el área de construcción deben ser derribados, se extrae troncos, raíces y son rellenados los huecos. Escarbar o raspar con el objetivode quitar la maleza, raíces, gramas sueltas, capa vegetal en general.</w:t>
      </w:r>
    </w:p>
    <w:p w14:paraId="2A40CE4B" w14:textId="77777777" w:rsidR="003B68DB" w:rsidRPr="003B68DB" w:rsidRDefault="003B68DB" w:rsidP="003B68DB">
      <w:pPr>
        <w:rPr>
          <w:rFonts w:ascii="Arial" w:hAnsi="Arial" w:cs="Arial"/>
          <w:szCs w:val="24"/>
          <w:lang w:val="es-ES" w:eastAsia="es-ES"/>
        </w:rPr>
      </w:pPr>
    </w:p>
    <w:p w14:paraId="1336D4A9"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47" w:name="_Toc22391608"/>
      <w:bookmarkStart w:id="1648" w:name="_Toc22653938"/>
      <w:r w:rsidRPr="003B68DB">
        <w:rPr>
          <w:rFonts w:ascii="Arial" w:eastAsia="Arial Narrow" w:hAnsi="Arial" w:cs="Arial"/>
          <w:b/>
          <w:bCs/>
          <w:iCs/>
          <w:szCs w:val="22"/>
          <w:lang w:val="es-ES" w:bidi="en-US"/>
        </w:rPr>
        <w:t>Trazado y Nivelación.</w:t>
      </w:r>
      <w:bookmarkEnd w:id="1647"/>
      <w:bookmarkEnd w:id="1648"/>
    </w:p>
    <w:p w14:paraId="398920D3" w14:textId="77777777" w:rsidR="003B68DB" w:rsidRPr="003B68DB" w:rsidRDefault="003B68DB" w:rsidP="003B68DB">
      <w:pPr>
        <w:rPr>
          <w:rFonts w:ascii="Arial" w:hAnsi="Arial" w:cs="Arial"/>
          <w:szCs w:val="24"/>
          <w:lang w:val="es-ES" w:eastAsia="es-ES"/>
        </w:rPr>
      </w:pPr>
    </w:p>
    <w:p w14:paraId="5CBD18C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comprueba las medidas indicadas en los planos, localizando la construcción con precisión en el sitio, de acuerdo con los documentos del Contrato. Nivélelas y estacas de nivelación permanecen en su posición hasta que todas las esquinas y alturas de la edificación han sido establecidas permanentemente.</w:t>
      </w:r>
    </w:p>
    <w:p w14:paraId="5D6CEAED" w14:textId="77777777" w:rsidR="003B68DB" w:rsidRPr="003B68DB" w:rsidRDefault="003B68DB" w:rsidP="003B68DB">
      <w:pPr>
        <w:rPr>
          <w:rFonts w:ascii="Arial" w:hAnsi="Arial" w:cs="Arial"/>
          <w:szCs w:val="24"/>
          <w:lang w:val="es-ES" w:eastAsia="es-ES"/>
        </w:rPr>
      </w:pPr>
    </w:p>
    <w:p w14:paraId="367D755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es responsable de proteger de daños todas las tuberías, niveles y puntos de referencias y si se destruyen deben ser reparados y repuestos por su cuenta. Se notifica al Supervisor cuando el trazo esté substancialmente terminado y se procede a la construcción hasta que haya sido aprobado.</w:t>
      </w:r>
    </w:p>
    <w:p w14:paraId="060C66E0" w14:textId="77777777" w:rsidR="003B68DB" w:rsidRPr="003B68DB" w:rsidRDefault="003B68DB" w:rsidP="003B68DB">
      <w:pPr>
        <w:rPr>
          <w:rFonts w:ascii="Arial" w:hAnsi="Arial" w:cs="Arial"/>
          <w:szCs w:val="24"/>
          <w:lang w:val="es-ES" w:eastAsia="es-ES"/>
        </w:rPr>
      </w:pPr>
    </w:p>
    <w:p w14:paraId="24D35D0B"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49" w:name="_Toc22391609"/>
      <w:bookmarkStart w:id="1650" w:name="_Toc22653939"/>
      <w:r w:rsidRPr="00181F97">
        <w:rPr>
          <w:rFonts w:ascii="Arial" w:eastAsia="Arial Narrow" w:hAnsi="Arial" w:cs="Arial"/>
          <w:b/>
          <w:bCs/>
          <w:iCs/>
          <w:szCs w:val="24"/>
          <w:lang w:val="es-NI"/>
        </w:rPr>
        <w:t>Remoción de Estructuras.</w:t>
      </w:r>
      <w:bookmarkEnd w:id="1649"/>
      <w:bookmarkEnd w:id="1650"/>
    </w:p>
    <w:p w14:paraId="5BA53547" w14:textId="77777777" w:rsidR="003B68DB" w:rsidRPr="003B68DB" w:rsidRDefault="003B68DB" w:rsidP="003B68DB">
      <w:pPr>
        <w:rPr>
          <w:rFonts w:ascii="Arial" w:hAnsi="Arial" w:cs="Arial"/>
          <w:szCs w:val="24"/>
          <w:lang w:val="es-ES" w:eastAsia="es-ES"/>
        </w:rPr>
      </w:pPr>
    </w:p>
    <w:p w14:paraId="6BF9CD2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Si la posición de cualquier tubo, conducto, poste o cualquier otra estructura, que esté dentro de los límites de la excavación de la zanja, exceptuando aquellas estructuras o tuberías cuya remoción está indicada específicamente en los planos, es tal que, en la opinión del Supervisor se hace necesaria su remoción, realineación o cambio, el trabajo es hecho por el Contratista. El Contratista debe descubrir y proveer soporte adecuado para tales estructuras por cuenta propia, antes de efectuar tal remoción, realineamiento o cambio, como parte de éste Contrato, y el Contratista no tiene derecho a ningún reclamo por daños, ni ninguna compensación extra a cuenta de cualquier retraso en la remoción o recolocación de tales estructuras o tuberías.</w:t>
      </w:r>
    </w:p>
    <w:p w14:paraId="6940C56F" w14:textId="77777777" w:rsidR="003B68DB" w:rsidRPr="003B68DB" w:rsidRDefault="003B68DB" w:rsidP="003B68DB">
      <w:pPr>
        <w:rPr>
          <w:rFonts w:ascii="Arial" w:hAnsi="Arial" w:cs="Arial"/>
          <w:szCs w:val="24"/>
          <w:lang w:val="es-ES" w:eastAsia="es-ES"/>
        </w:rPr>
      </w:pPr>
    </w:p>
    <w:p w14:paraId="74E312DB"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51" w:name="_Toc22391610"/>
      <w:bookmarkStart w:id="1652" w:name="_Toc22653940"/>
      <w:r w:rsidRPr="00181F97">
        <w:rPr>
          <w:rFonts w:ascii="Arial" w:eastAsia="Arial Narrow" w:hAnsi="Arial" w:cs="Arial"/>
          <w:b/>
          <w:bCs/>
          <w:iCs/>
          <w:szCs w:val="24"/>
          <w:lang w:val="es-NI"/>
        </w:rPr>
        <w:t>Excavación.</w:t>
      </w:r>
      <w:bookmarkEnd w:id="1651"/>
      <w:bookmarkEnd w:id="1652"/>
    </w:p>
    <w:p w14:paraId="46574C1A" w14:textId="77777777" w:rsidR="003B68DB" w:rsidRPr="003B68DB" w:rsidRDefault="003B68DB" w:rsidP="003B68DB">
      <w:pPr>
        <w:rPr>
          <w:rFonts w:ascii="Arial" w:hAnsi="Arial" w:cs="Arial"/>
          <w:b/>
          <w:szCs w:val="24"/>
          <w:lang w:val="es-ES" w:eastAsia="es-ES"/>
        </w:rPr>
      </w:pPr>
    </w:p>
    <w:p w14:paraId="1E0F54B1"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53" w:name="_Toc22391611"/>
      <w:bookmarkStart w:id="1654" w:name="_Toc22653941"/>
      <w:r w:rsidRPr="003B68DB">
        <w:rPr>
          <w:rFonts w:ascii="Arial" w:eastAsia="Arial Narrow" w:hAnsi="Arial" w:cs="Arial"/>
          <w:b/>
          <w:bCs/>
          <w:iCs/>
          <w:szCs w:val="22"/>
          <w:lang w:val="es-ES" w:bidi="en-US"/>
        </w:rPr>
        <w:t>Recursos y procedimientos</w:t>
      </w:r>
      <w:bookmarkEnd w:id="1653"/>
      <w:bookmarkEnd w:id="1654"/>
    </w:p>
    <w:p w14:paraId="4D30DC92" w14:textId="77777777" w:rsidR="003B68DB" w:rsidRPr="003B68DB" w:rsidRDefault="003B68DB" w:rsidP="003B68DB">
      <w:pPr>
        <w:rPr>
          <w:rFonts w:ascii="Arial" w:hAnsi="Arial" w:cs="Arial"/>
          <w:szCs w:val="24"/>
          <w:lang w:val="es-ES" w:eastAsia="es-ES"/>
        </w:rPr>
      </w:pPr>
    </w:p>
    <w:p w14:paraId="668AB7C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En la excavación de zanjas, pozos de sondeo etc., se pueden encontrar eventualmente, materiales de diferentes grados de dureza, esta actividad constructiva requiere diferentes maneras de ejecución y/o de uso de herramientas y/o equipos que deben ser </w:t>
      </w:r>
      <w:r w:rsidRPr="003B68DB">
        <w:rPr>
          <w:rFonts w:ascii="Arial" w:hAnsi="Arial" w:cs="Arial"/>
          <w:szCs w:val="24"/>
          <w:lang w:val="es-ES" w:eastAsia="es-ES"/>
        </w:rPr>
        <w:lastRenderedPageBreak/>
        <w:t>proporcionadas por el contratista. Los costos de esta operación son asumidos por El Contratista.</w:t>
      </w:r>
    </w:p>
    <w:p w14:paraId="72BA7A2E" w14:textId="77777777" w:rsidR="003B68DB" w:rsidRPr="003B68DB" w:rsidRDefault="003B68DB" w:rsidP="003B68DB">
      <w:pPr>
        <w:rPr>
          <w:rFonts w:ascii="Arial" w:hAnsi="Arial" w:cs="Arial"/>
          <w:szCs w:val="24"/>
          <w:lang w:val="es-ES" w:eastAsia="es-ES"/>
        </w:rPr>
      </w:pPr>
    </w:p>
    <w:p w14:paraId="76EE2BD2" w14:textId="77777777" w:rsidR="003B68DB" w:rsidRPr="003B68DB" w:rsidRDefault="003B68DB" w:rsidP="003B68DB">
      <w:pPr>
        <w:rPr>
          <w:rFonts w:ascii="Arial" w:hAnsi="Arial" w:cs="Arial"/>
          <w:spacing w:val="-3"/>
          <w:szCs w:val="24"/>
          <w:lang w:val="es-419" w:eastAsia="es-ES"/>
        </w:rPr>
      </w:pPr>
      <w:r w:rsidRPr="003B68DB">
        <w:rPr>
          <w:rFonts w:ascii="Arial" w:hAnsi="Arial" w:cs="Arial"/>
          <w:spacing w:val="-3"/>
          <w:szCs w:val="24"/>
          <w:lang w:val="es-419" w:eastAsia="es-ES"/>
        </w:rPr>
        <w:t>El Contratista suministra a los comunitarios las herramientas y equipos necesarios para realizar efectivamente la excavación y conformación manual de las zanjas para la istalar las tuberías. Los costos de las herramientas y equipos, el Contratista debe incluirlos en los costos indirectos de operación. El Contratista debe asegurar que, las excavaciones cumplan con la horizontalidad, verticalidad y profundidad de acuerdo a planos y especificaciones, así mismo el Contratista, a través del componente social debe asegurar la organización de la comunidad para garantizar los trabajos de excavación en los plazos establecidos dentro del cronograma de ejecución, todo lo anterior debe quedar registrado y evidenciado en los instrumentos correspondientes.</w:t>
      </w:r>
    </w:p>
    <w:p w14:paraId="2A1413E5" w14:textId="77777777" w:rsidR="003B68DB" w:rsidRPr="003B68DB" w:rsidRDefault="003B68DB" w:rsidP="003B68DB">
      <w:pPr>
        <w:rPr>
          <w:rFonts w:ascii="Arial" w:hAnsi="Arial" w:cs="Arial"/>
          <w:szCs w:val="24"/>
          <w:lang w:val="es-ES" w:eastAsia="es-ES"/>
        </w:rPr>
      </w:pPr>
    </w:p>
    <w:p w14:paraId="5F4C14B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excavaciones de otros materiales más duros que "tierra normal" y/o a profundidades adicionales ordenadas por El Supervisor, se consideran conceptos de obras complementarios, cuyas definiciones y aplicaciones se determinan en el capítulo - EXCAVACION, RELLENO Y COMPACTACION ESPECIAL Y/O ADICIONAL.</w:t>
      </w:r>
    </w:p>
    <w:p w14:paraId="04C409ED" w14:textId="77777777" w:rsidR="003B68DB" w:rsidRPr="003B68DB" w:rsidRDefault="003B68DB" w:rsidP="003B68DB">
      <w:pPr>
        <w:rPr>
          <w:rFonts w:ascii="Arial" w:hAnsi="Arial" w:cs="Arial"/>
          <w:szCs w:val="24"/>
          <w:lang w:val="es-ES" w:eastAsia="es-ES"/>
        </w:rPr>
      </w:pPr>
    </w:p>
    <w:p w14:paraId="6FBD8137"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55" w:name="_Toc22391612"/>
      <w:bookmarkStart w:id="1656" w:name="_Toc22653942"/>
      <w:r w:rsidRPr="003B68DB">
        <w:rPr>
          <w:rFonts w:ascii="Arial" w:eastAsia="Arial Narrow" w:hAnsi="Arial" w:cs="Arial"/>
          <w:b/>
          <w:bCs/>
          <w:iCs/>
          <w:szCs w:val="22"/>
          <w:lang w:val="es-ES" w:bidi="en-US"/>
        </w:rPr>
        <w:t>Sección transversal de zanja para tubería de agua potable.</w:t>
      </w:r>
      <w:bookmarkEnd w:id="1655"/>
      <w:bookmarkEnd w:id="1656"/>
    </w:p>
    <w:p w14:paraId="54131D0E" w14:textId="77777777" w:rsidR="003B68DB" w:rsidRPr="003B68DB" w:rsidRDefault="003B68DB" w:rsidP="003B68DB">
      <w:pPr>
        <w:rPr>
          <w:rFonts w:ascii="Arial" w:hAnsi="Arial"/>
          <w:szCs w:val="24"/>
          <w:lang w:val="es-ES" w:eastAsia="es-ES"/>
        </w:rPr>
      </w:pPr>
    </w:p>
    <w:p w14:paraId="7C4E8882" w14:textId="77777777" w:rsidR="003B68DB" w:rsidRPr="003B68DB" w:rsidRDefault="003B68DB" w:rsidP="003B68DB">
      <w:pPr>
        <w:rPr>
          <w:rFonts w:ascii="Arial" w:hAnsi="Arial" w:cs="Arial"/>
          <w:szCs w:val="24"/>
          <w:lang w:val="es-ES" w:eastAsia="es-ES"/>
        </w:rPr>
      </w:pPr>
      <w:r w:rsidRPr="003B68DB">
        <w:rPr>
          <w:rFonts w:ascii="Arial" w:hAnsi="Arial"/>
          <w:noProof/>
          <w:szCs w:val="24"/>
          <w:lang w:val="es-MX" w:eastAsia="es-MX"/>
        </w:rPr>
        <w:drawing>
          <wp:inline distT="0" distB="0" distL="0" distR="0" wp14:anchorId="0FD41EA9" wp14:editId="57A8EC92">
            <wp:extent cx="4812030" cy="2143125"/>
            <wp:effectExtent l="0" t="0" r="7620" b="9525"/>
            <wp:docPr id="21556" name="Picture 1" descr="Sección tra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 name="Picture 1" descr="Sección trans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203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D7EF0A" w14:textId="77777777" w:rsidR="003B68DB" w:rsidRPr="003B68DB" w:rsidRDefault="003B68DB" w:rsidP="003B68DB">
      <w:pPr>
        <w:rPr>
          <w:rFonts w:ascii="Arial" w:hAnsi="Arial" w:cs="Arial"/>
          <w:szCs w:val="24"/>
          <w:lang w:val="es-ES" w:eastAsia="es-ES"/>
        </w:rPr>
      </w:pPr>
    </w:p>
    <w:p w14:paraId="55FA50BC"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57" w:name="_Toc22391613"/>
      <w:bookmarkStart w:id="1658" w:name="_Toc22653943"/>
      <w:r w:rsidRPr="003B68DB">
        <w:rPr>
          <w:rFonts w:ascii="Arial" w:eastAsia="Arial Narrow" w:hAnsi="Arial" w:cs="Arial"/>
          <w:b/>
          <w:bCs/>
          <w:iCs/>
          <w:szCs w:val="22"/>
          <w:lang w:val="es-ES" w:bidi="en-US"/>
        </w:rPr>
        <w:t>Dimensiones de zanja conforme diámetro de tubería</w:t>
      </w:r>
      <w:bookmarkEnd w:id="1657"/>
      <w:bookmarkEnd w:id="1658"/>
    </w:p>
    <w:p w14:paraId="7EF8311B" w14:textId="77777777" w:rsidR="003B68DB" w:rsidRPr="003B68DB" w:rsidRDefault="003B68DB" w:rsidP="003B68DB">
      <w:pPr>
        <w:rPr>
          <w:rFonts w:ascii="Arial" w:hAnsi="Arial"/>
          <w:szCs w:val="24"/>
          <w:lang w:val="es-ES" w:eastAsia="es-ES"/>
        </w:rPr>
      </w:pPr>
    </w:p>
    <w:tbl>
      <w:tblPr>
        <w:tblStyle w:val="Tablaconcuadrcula6"/>
        <w:tblW w:w="9776" w:type="dxa"/>
        <w:jc w:val="center"/>
        <w:tblInd w:w="0" w:type="dxa"/>
        <w:tblLayout w:type="fixed"/>
        <w:tblLook w:val="04A0" w:firstRow="1" w:lastRow="0" w:firstColumn="1" w:lastColumn="0" w:noHBand="0" w:noVBand="1"/>
      </w:tblPr>
      <w:tblGrid>
        <w:gridCol w:w="1838"/>
        <w:gridCol w:w="1276"/>
        <w:gridCol w:w="992"/>
        <w:gridCol w:w="1276"/>
        <w:gridCol w:w="1276"/>
        <w:gridCol w:w="1417"/>
        <w:gridCol w:w="1701"/>
      </w:tblGrid>
      <w:tr w:rsidR="003B68DB" w:rsidRPr="003B68DB" w14:paraId="5E809DDF" w14:textId="77777777" w:rsidTr="003B68DB">
        <w:trPr>
          <w:jc w:val="center"/>
        </w:trPr>
        <w:tc>
          <w:tcPr>
            <w:tcW w:w="3114" w:type="dxa"/>
            <w:gridSpan w:val="2"/>
            <w:shd w:val="clear" w:color="auto" w:fill="D9D9D9"/>
            <w:vAlign w:val="center"/>
          </w:tcPr>
          <w:p w14:paraId="1280DFD5"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Diámetro de tubería</w:t>
            </w:r>
          </w:p>
        </w:tc>
        <w:tc>
          <w:tcPr>
            <w:tcW w:w="2268" w:type="dxa"/>
            <w:gridSpan w:val="2"/>
            <w:shd w:val="clear" w:color="auto" w:fill="D9D9D9"/>
            <w:vAlign w:val="center"/>
          </w:tcPr>
          <w:p w14:paraId="7517AE24"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Profundiad (m)*</w:t>
            </w:r>
          </w:p>
        </w:tc>
        <w:tc>
          <w:tcPr>
            <w:tcW w:w="1276" w:type="dxa"/>
            <w:vMerge w:val="restart"/>
            <w:shd w:val="clear" w:color="auto" w:fill="D9D9D9"/>
            <w:vAlign w:val="center"/>
          </w:tcPr>
          <w:p w14:paraId="28808B06"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Ancho de excavación (m)</w:t>
            </w:r>
          </w:p>
        </w:tc>
        <w:tc>
          <w:tcPr>
            <w:tcW w:w="3118" w:type="dxa"/>
            <w:gridSpan w:val="2"/>
            <w:shd w:val="clear" w:color="auto" w:fill="D9D9D9"/>
          </w:tcPr>
          <w:p w14:paraId="6662270A"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Area calculada en (m2)**</w:t>
            </w:r>
          </w:p>
        </w:tc>
      </w:tr>
      <w:tr w:rsidR="003B68DB" w:rsidRPr="003B68DB" w14:paraId="1A89A0ED" w14:textId="77777777" w:rsidTr="003B68DB">
        <w:trPr>
          <w:trHeight w:val="562"/>
          <w:jc w:val="center"/>
        </w:trPr>
        <w:tc>
          <w:tcPr>
            <w:tcW w:w="1838" w:type="dxa"/>
            <w:tcBorders>
              <w:bottom w:val="double" w:sz="4" w:space="0" w:color="auto"/>
            </w:tcBorders>
            <w:shd w:val="clear" w:color="auto" w:fill="D9D9D9"/>
            <w:vAlign w:val="center"/>
          </w:tcPr>
          <w:p w14:paraId="07355BCB"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ADiámetro nominal</w:t>
            </w:r>
          </w:p>
          <w:p w14:paraId="250F1DD1"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(mm) / pulg</w:t>
            </w:r>
          </w:p>
        </w:tc>
        <w:tc>
          <w:tcPr>
            <w:tcW w:w="1276" w:type="dxa"/>
            <w:tcBorders>
              <w:bottom w:val="double" w:sz="4" w:space="0" w:color="auto"/>
            </w:tcBorders>
            <w:shd w:val="clear" w:color="auto" w:fill="D9D9D9"/>
            <w:vAlign w:val="center"/>
          </w:tcPr>
          <w:p w14:paraId="4FF78EB3"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Diámetro exterior (m)</w:t>
            </w:r>
          </w:p>
        </w:tc>
        <w:tc>
          <w:tcPr>
            <w:tcW w:w="992" w:type="dxa"/>
            <w:tcBorders>
              <w:bottom w:val="double" w:sz="4" w:space="0" w:color="auto"/>
            </w:tcBorders>
            <w:shd w:val="clear" w:color="auto" w:fill="D9D9D9"/>
            <w:vAlign w:val="center"/>
          </w:tcPr>
          <w:p w14:paraId="672A5692"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Corona del tubo (m)</w:t>
            </w:r>
          </w:p>
        </w:tc>
        <w:tc>
          <w:tcPr>
            <w:tcW w:w="1276" w:type="dxa"/>
            <w:tcBorders>
              <w:bottom w:val="double" w:sz="4" w:space="0" w:color="auto"/>
            </w:tcBorders>
            <w:shd w:val="clear" w:color="auto" w:fill="D9D9D9"/>
            <w:vAlign w:val="center"/>
          </w:tcPr>
          <w:p w14:paraId="5E480E4E"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Excavación de zanja (m)</w:t>
            </w:r>
          </w:p>
        </w:tc>
        <w:tc>
          <w:tcPr>
            <w:tcW w:w="1276" w:type="dxa"/>
            <w:vMerge/>
            <w:tcBorders>
              <w:bottom w:val="double" w:sz="4" w:space="0" w:color="auto"/>
            </w:tcBorders>
            <w:shd w:val="clear" w:color="auto" w:fill="D9D9D9"/>
            <w:vAlign w:val="center"/>
          </w:tcPr>
          <w:p w14:paraId="0D59BC6D" w14:textId="77777777" w:rsidR="003B68DB" w:rsidRPr="003B68DB" w:rsidRDefault="003B68DB" w:rsidP="003B68DB">
            <w:pPr>
              <w:jc w:val="center"/>
              <w:rPr>
                <w:rFonts w:ascii="Arial" w:hAnsi="Arial" w:cs="Arial"/>
                <w:lang w:val="es-ES" w:eastAsia="es-ES"/>
              </w:rPr>
            </w:pPr>
          </w:p>
        </w:tc>
        <w:tc>
          <w:tcPr>
            <w:tcW w:w="1417" w:type="dxa"/>
            <w:tcBorders>
              <w:bottom w:val="double" w:sz="4" w:space="0" w:color="auto"/>
            </w:tcBorders>
            <w:shd w:val="clear" w:color="auto" w:fill="D9D9D9"/>
            <w:vAlign w:val="center"/>
          </w:tcPr>
          <w:p w14:paraId="469E5F43"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Excavación</w:t>
            </w:r>
          </w:p>
        </w:tc>
        <w:tc>
          <w:tcPr>
            <w:tcW w:w="1701" w:type="dxa"/>
            <w:tcBorders>
              <w:bottom w:val="double" w:sz="4" w:space="0" w:color="auto"/>
            </w:tcBorders>
            <w:shd w:val="clear" w:color="auto" w:fill="D9D9D9"/>
            <w:vAlign w:val="center"/>
          </w:tcPr>
          <w:p w14:paraId="44B979FC"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Relleno y compactación</w:t>
            </w:r>
          </w:p>
        </w:tc>
      </w:tr>
      <w:tr w:rsidR="003B68DB" w:rsidRPr="003B68DB" w14:paraId="73B5E3DA" w14:textId="77777777" w:rsidTr="00243EB4">
        <w:trPr>
          <w:jc w:val="center"/>
        </w:trPr>
        <w:tc>
          <w:tcPr>
            <w:tcW w:w="1838" w:type="dxa"/>
            <w:tcBorders>
              <w:top w:val="double" w:sz="4" w:space="0" w:color="auto"/>
            </w:tcBorders>
            <w:vAlign w:val="center"/>
          </w:tcPr>
          <w:p w14:paraId="2CEF588D"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50 mm (2 pulg)</w:t>
            </w:r>
          </w:p>
        </w:tc>
        <w:tc>
          <w:tcPr>
            <w:tcW w:w="1276" w:type="dxa"/>
            <w:tcBorders>
              <w:top w:val="double" w:sz="4" w:space="0" w:color="auto"/>
            </w:tcBorders>
            <w:vAlign w:val="center"/>
          </w:tcPr>
          <w:p w14:paraId="7524D264"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0.06</w:t>
            </w:r>
          </w:p>
        </w:tc>
        <w:tc>
          <w:tcPr>
            <w:tcW w:w="992" w:type="dxa"/>
            <w:tcBorders>
              <w:top w:val="double" w:sz="4" w:space="0" w:color="auto"/>
            </w:tcBorders>
            <w:vAlign w:val="center"/>
          </w:tcPr>
          <w:p w14:paraId="20A836DF"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1.20</w:t>
            </w:r>
          </w:p>
        </w:tc>
        <w:tc>
          <w:tcPr>
            <w:tcW w:w="1276" w:type="dxa"/>
            <w:tcBorders>
              <w:top w:val="double" w:sz="4" w:space="0" w:color="auto"/>
            </w:tcBorders>
            <w:vAlign w:val="center"/>
          </w:tcPr>
          <w:p w14:paraId="704DDC41"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1.26</w:t>
            </w:r>
          </w:p>
        </w:tc>
        <w:tc>
          <w:tcPr>
            <w:tcW w:w="1276" w:type="dxa"/>
            <w:tcBorders>
              <w:top w:val="double" w:sz="4" w:space="0" w:color="auto"/>
            </w:tcBorders>
            <w:vAlign w:val="center"/>
          </w:tcPr>
          <w:p w14:paraId="7607A23F"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0.56</w:t>
            </w:r>
          </w:p>
        </w:tc>
        <w:tc>
          <w:tcPr>
            <w:tcW w:w="1417" w:type="dxa"/>
            <w:tcBorders>
              <w:top w:val="double" w:sz="4" w:space="0" w:color="auto"/>
            </w:tcBorders>
            <w:vAlign w:val="center"/>
          </w:tcPr>
          <w:p w14:paraId="1DE835D0"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0.7056</w:t>
            </w:r>
          </w:p>
        </w:tc>
        <w:tc>
          <w:tcPr>
            <w:tcW w:w="1701" w:type="dxa"/>
            <w:tcBorders>
              <w:top w:val="double" w:sz="4" w:space="0" w:color="auto"/>
            </w:tcBorders>
            <w:vAlign w:val="center"/>
          </w:tcPr>
          <w:p w14:paraId="706527D4"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0.7027</w:t>
            </w:r>
          </w:p>
        </w:tc>
      </w:tr>
      <w:tr w:rsidR="003B68DB" w:rsidRPr="003B68DB" w14:paraId="5EF4F4F2" w14:textId="77777777" w:rsidTr="00243EB4">
        <w:trPr>
          <w:jc w:val="center"/>
        </w:trPr>
        <w:tc>
          <w:tcPr>
            <w:tcW w:w="1838" w:type="dxa"/>
            <w:vAlign w:val="center"/>
          </w:tcPr>
          <w:p w14:paraId="23F31B82"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75 mm (3 pulg)</w:t>
            </w:r>
          </w:p>
        </w:tc>
        <w:tc>
          <w:tcPr>
            <w:tcW w:w="1276" w:type="dxa"/>
            <w:vAlign w:val="center"/>
          </w:tcPr>
          <w:p w14:paraId="407300B3"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0.09</w:t>
            </w:r>
          </w:p>
        </w:tc>
        <w:tc>
          <w:tcPr>
            <w:tcW w:w="992" w:type="dxa"/>
            <w:vAlign w:val="center"/>
          </w:tcPr>
          <w:p w14:paraId="16EEAEE4"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1.20</w:t>
            </w:r>
          </w:p>
        </w:tc>
        <w:tc>
          <w:tcPr>
            <w:tcW w:w="1276" w:type="dxa"/>
            <w:vAlign w:val="center"/>
          </w:tcPr>
          <w:p w14:paraId="5DB82ED4"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1.29</w:t>
            </w:r>
          </w:p>
        </w:tc>
        <w:tc>
          <w:tcPr>
            <w:tcW w:w="1276" w:type="dxa"/>
            <w:vAlign w:val="center"/>
          </w:tcPr>
          <w:p w14:paraId="7DE95839"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0.59</w:t>
            </w:r>
          </w:p>
        </w:tc>
        <w:tc>
          <w:tcPr>
            <w:tcW w:w="1417" w:type="dxa"/>
            <w:vAlign w:val="center"/>
          </w:tcPr>
          <w:p w14:paraId="7BEA8168"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0.7611</w:t>
            </w:r>
          </w:p>
        </w:tc>
        <w:tc>
          <w:tcPr>
            <w:tcW w:w="1701" w:type="dxa"/>
            <w:vAlign w:val="center"/>
          </w:tcPr>
          <w:p w14:paraId="6E7378FA"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0.7549</w:t>
            </w:r>
          </w:p>
        </w:tc>
      </w:tr>
      <w:tr w:rsidR="003B68DB" w:rsidRPr="003B68DB" w14:paraId="1B80184B" w14:textId="77777777" w:rsidTr="00243EB4">
        <w:trPr>
          <w:jc w:val="center"/>
        </w:trPr>
        <w:tc>
          <w:tcPr>
            <w:tcW w:w="1838" w:type="dxa"/>
            <w:vAlign w:val="center"/>
          </w:tcPr>
          <w:p w14:paraId="7665D7EE"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100 mm(4 pulg)</w:t>
            </w:r>
          </w:p>
        </w:tc>
        <w:tc>
          <w:tcPr>
            <w:tcW w:w="1276" w:type="dxa"/>
            <w:vAlign w:val="center"/>
          </w:tcPr>
          <w:p w14:paraId="3C19B481"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0.11</w:t>
            </w:r>
          </w:p>
        </w:tc>
        <w:tc>
          <w:tcPr>
            <w:tcW w:w="992" w:type="dxa"/>
            <w:vAlign w:val="center"/>
          </w:tcPr>
          <w:p w14:paraId="412E9A32"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1.20</w:t>
            </w:r>
          </w:p>
        </w:tc>
        <w:tc>
          <w:tcPr>
            <w:tcW w:w="1276" w:type="dxa"/>
            <w:vAlign w:val="center"/>
          </w:tcPr>
          <w:p w14:paraId="33DE4822"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1.31</w:t>
            </w:r>
          </w:p>
        </w:tc>
        <w:tc>
          <w:tcPr>
            <w:tcW w:w="1276" w:type="dxa"/>
            <w:vAlign w:val="center"/>
          </w:tcPr>
          <w:p w14:paraId="7181FD44"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0.61</w:t>
            </w:r>
          </w:p>
        </w:tc>
        <w:tc>
          <w:tcPr>
            <w:tcW w:w="1417" w:type="dxa"/>
            <w:vAlign w:val="center"/>
          </w:tcPr>
          <w:p w14:paraId="22DE0D65"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0.7991</w:t>
            </w:r>
          </w:p>
        </w:tc>
        <w:tc>
          <w:tcPr>
            <w:tcW w:w="1701" w:type="dxa"/>
            <w:vAlign w:val="center"/>
          </w:tcPr>
          <w:p w14:paraId="3BB4A08D"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0.7888</w:t>
            </w:r>
          </w:p>
        </w:tc>
      </w:tr>
      <w:tr w:rsidR="003B68DB" w:rsidRPr="003B68DB" w14:paraId="2394130B" w14:textId="77777777" w:rsidTr="00243EB4">
        <w:trPr>
          <w:jc w:val="center"/>
        </w:trPr>
        <w:tc>
          <w:tcPr>
            <w:tcW w:w="1838" w:type="dxa"/>
            <w:vAlign w:val="center"/>
          </w:tcPr>
          <w:p w14:paraId="1C30AB46"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150 mm (6 pulg)</w:t>
            </w:r>
          </w:p>
        </w:tc>
        <w:tc>
          <w:tcPr>
            <w:tcW w:w="1276" w:type="dxa"/>
            <w:vAlign w:val="center"/>
          </w:tcPr>
          <w:p w14:paraId="12274E7C"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0.17</w:t>
            </w:r>
          </w:p>
        </w:tc>
        <w:tc>
          <w:tcPr>
            <w:tcW w:w="992" w:type="dxa"/>
            <w:vAlign w:val="center"/>
          </w:tcPr>
          <w:p w14:paraId="08FAAB6A"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1.20</w:t>
            </w:r>
          </w:p>
        </w:tc>
        <w:tc>
          <w:tcPr>
            <w:tcW w:w="1276" w:type="dxa"/>
            <w:vAlign w:val="center"/>
          </w:tcPr>
          <w:p w14:paraId="138EB61C"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1.37</w:t>
            </w:r>
          </w:p>
        </w:tc>
        <w:tc>
          <w:tcPr>
            <w:tcW w:w="1276" w:type="dxa"/>
            <w:vAlign w:val="center"/>
          </w:tcPr>
          <w:p w14:paraId="64ED1747"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0.67</w:t>
            </w:r>
          </w:p>
        </w:tc>
        <w:tc>
          <w:tcPr>
            <w:tcW w:w="1417" w:type="dxa"/>
            <w:vAlign w:val="center"/>
          </w:tcPr>
          <w:p w14:paraId="76A2E717"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0.9179</w:t>
            </w:r>
          </w:p>
        </w:tc>
        <w:tc>
          <w:tcPr>
            <w:tcW w:w="1701" w:type="dxa"/>
            <w:vAlign w:val="center"/>
          </w:tcPr>
          <w:p w14:paraId="62885790" w14:textId="77777777" w:rsidR="003B68DB" w:rsidRPr="003B68DB" w:rsidRDefault="003B68DB" w:rsidP="003B68DB">
            <w:pPr>
              <w:jc w:val="center"/>
              <w:rPr>
                <w:rFonts w:ascii="Arial" w:hAnsi="Arial" w:cs="Arial"/>
                <w:lang w:val="es-ES" w:eastAsia="es-ES"/>
              </w:rPr>
            </w:pPr>
            <w:r w:rsidRPr="003B68DB">
              <w:rPr>
                <w:rFonts w:ascii="Arial" w:hAnsi="Arial" w:cs="Arial"/>
                <w:lang w:val="es-ES" w:eastAsia="es-ES"/>
              </w:rPr>
              <w:t>0.8957</w:t>
            </w:r>
          </w:p>
        </w:tc>
      </w:tr>
    </w:tbl>
    <w:p w14:paraId="02AB5DC6" w14:textId="77777777" w:rsidR="003B68DB" w:rsidRPr="003B68DB" w:rsidRDefault="003B68DB" w:rsidP="003B68DB">
      <w:pPr>
        <w:ind w:left="284" w:hanging="284"/>
        <w:rPr>
          <w:rFonts w:ascii="Arial" w:hAnsi="Arial" w:cs="Arial"/>
          <w:sz w:val="20"/>
          <w:lang w:val="es-ES" w:eastAsia="es-ES"/>
        </w:rPr>
      </w:pPr>
      <w:r w:rsidRPr="003B68DB">
        <w:rPr>
          <w:rFonts w:ascii="Arial" w:hAnsi="Arial" w:cs="Arial"/>
          <w:sz w:val="20"/>
          <w:lang w:val="es-ES" w:eastAsia="es-ES"/>
        </w:rPr>
        <w:t>*    En casos especiales la profundidad de la corona del tubo es variable por la dureza o estabilidad de la geología de los estratos excavados.</w:t>
      </w:r>
    </w:p>
    <w:p w14:paraId="03392111" w14:textId="77777777" w:rsidR="003B68DB" w:rsidRPr="003B68DB" w:rsidRDefault="003B68DB" w:rsidP="003B68DB">
      <w:pPr>
        <w:rPr>
          <w:rFonts w:ascii="Arial" w:hAnsi="Arial" w:cs="Arial"/>
          <w:sz w:val="20"/>
          <w:lang w:val="es-ES" w:eastAsia="es-ES"/>
        </w:rPr>
      </w:pPr>
      <w:r w:rsidRPr="003B68DB">
        <w:rPr>
          <w:rFonts w:ascii="Arial" w:hAnsi="Arial" w:cs="Arial"/>
          <w:szCs w:val="24"/>
          <w:lang w:val="es-ES" w:eastAsia="es-ES"/>
        </w:rPr>
        <w:t xml:space="preserve">** </w:t>
      </w:r>
      <w:r w:rsidRPr="003B68DB">
        <w:rPr>
          <w:rFonts w:ascii="Arial" w:hAnsi="Arial" w:cs="Arial"/>
          <w:sz w:val="20"/>
          <w:lang w:val="es-ES" w:eastAsia="es-ES"/>
        </w:rPr>
        <w:t xml:space="preserve">Para obtener volumen en (m3), multiplicar el área calculada por la longitud en (m) del diámetro de tubería correspondiente proyectado. </w:t>
      </w:r>
    </w:p>
    <w:p w14:paraId="41B63C21" w14:textId="77777777" w:rsidR="003B68DB" w:rsidRPr="003B68DB" w:rsidRDefault="003B68DB" w:rsidP="003B68DB">
      <w:pPr>
        <w:rPr>
          <w:rFonts w:ascii="Arial" w:hAnsi="Arial" w:cs="Arial"/>
          <w:szCs w:val="24"/>
          <w:lang w:val="es-ES" w:eastAsia="es-ES"/>
        </w:rPr>
      </w:pPr>
    </w:p>
    <w:p w14:paraId="072D9C3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ancho de zanja es igual al diámetro externo de tubería más un máximo de 0.50 m, colocando la tubería al centro de la zanja, manteniendo la verticalidad de zanja en toda su extensión. No se reconoce al Contratista en la forma de pago, la ampliación de las zanjas hechas sin autorización del Supervisor.</w:t>
      </w:r>
    </w:p>
    <w:p w14:paraId="7BCFDC0C" w14:textId="77777777" w:rsidR="003B68DB" w:rsidRPr="003B68DB" w:rsidRDefault="003B68DB" w:rsidP="003B68DB">
      <w:pPr>
        <w:rPr>
          <w:rFonts w:ascii="Arial" w:hAnsi="Arial" w:cs="Arial"/>
          <w:szCs w:val="24"/>
          <w:lang w:val="es-ES" w:eastAsia="es-ES"/>
        </w:rPr>
      </w:pPr>
    </w:p>
    <w:p w14:paraId="7039BD4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general, a menos que los planos indiquen lo contrario, la profundidad total de la zanja es igual al diámetro externo del tubo mas un máximo de 1.20 m que equivale a la profundidad de la corona del tubo medido desde la superficie del terreno natural. Cuando por necesidad constructiva se requieran profundidades menores, la tubería debe protegerse con concreto tal como se muestra en planos constructivos y con la aprobación de El Supervisor.</w:t>
      </w:r>
    </w:p>
    <w:p w14:paraId="721F55F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fondo de la zanja debe quedar perfectamente nivelado, sin protuberancias que afecten a la tubería a instalarse, de manera que el tubo descanse sobre el terreno en toda su longitud y uniformemente.</w:t>
      </w:r>
    </w:p>
    <w:p w14:paraId="373294DE" w14:textId="77777777" w:rsidR="003B68DB" w:rsidRPr="003B68DB" w:rsidRDefault="003B68DB" w:rsidP="003B68DB">
      <w:pPr>
        <w:rPr>
          <w:rFonts w:ascii="Arial" w:hAnsi="Arial" w:cs="Arial"/>
          <w:szCs w:val="24"/>
          <w:lang w:val="es-ES" w:eastAsia="es-ES"/>
        </w:rPr>
      </w:pPr>
    </w:p>
    <w:p w14:paraId="2A85C6E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caso de que en la excavación se presentaran terrenos de poca consistencia (muy húmedo, suelos orgánicos, etc.) como el sonsocuite, la zanja debe profundizarse como lo indique El Supervisor, pero no menos de 0.30 m. abajo del fondo proyectado, y el material excavado debe reponerse con material aceptado por El Supervisor, dentro de las especificaciones señaladas en la Sección de Relleno Especial.</w:t>
      </w:r>
    </w:p>
    <w:p w14:paraId="692CD6AC" w14:textId="77777777" w:rsidR="003B68DB" w:rsidRPr="003B68DB" w:rsidRDefault="003B68DB" w:rsidP="003B68DB">
      <w:pPr>
        <w:rPr>
          <w:rFonts w:ascii="Arial" w:hAnsi="Arial" w:cs="Arial"/>
          <w:szCs w:val="24"/>
          <w:lang w:val="es-ES" w:eastAsia="es-ES"/>
        </w:rPr>
      </w:pPr>
    </w:p>
    <w:p w14:paraId="7834724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Cuando la excavación sea en roca o piedra cantera, se remueve ésta a una profundidad de 15 centímetros bajo la rasante de la línea inferior del tubo.  Esta excavación comúnmente conocida como excavación adicional, se rellena después con material aprobado por El Supervisor de la manera descrita en la Sección de Relleno Especial, o como lo indique El Supervisor.</w:t>
      </w:r>
    </w:p>
    <w:p w14:paraId="0F10056D" w14:textId="77777777" w:rsidR="003B68DB" w:rsidRPr="003B68DB" w:rsidRDefault="003B68DB" w:rsidP="003B68DB">
      <w:pPr>
        <w:rPr>
          <w:rFonts w:ascii="Arial" w:hAnsi="Arial" w:cs="Arial"/>
          <w:szCs w:val="24"/>
          <w:lang w:val="es-ES" w:eastAsia="es-ES"/>
        </w:rPr>
      </w:pPr>
    </w:p>
    <w:p w14:paraId="74ACE9F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caso de curvas horizontales con pequeños ángulos de deflexión, debe dársele a la excavación un sobre ancho, el cual está determinado por las deflexiones permisibles en las uniones de las tuberías.</w:t>
      </w:r>
    </w:p>
    <w:p w14:paraId="28984129" w14:textId="77777777" w:rsidR="003B68DB" w:rsidRPr="003B68DB" w:rsidRDefault="003B68DB" w:rsidP="003B68DB">
      <w:pPr>
        <w:rPr>
          <w:rFonts w:ascii="Arial" w:hAnsi="Arial" w:cs="Arial"/>
          <w:szCs w:val="24"/>
          <w:lang w:val="es-ES" w:eastAsia="es-ES"/>
        </w:rPr>
      </w:pPr>
    </w:p>
    <w:p w14:paraId="74087DC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Cuando la tubería se instalase sobre superficie rocosa, esta se excava 2/3 de diámetro del lecho y de ancho tiene el ancho del tubo más 40 cm, si el tubo a instalarse es de HG, ésta va anclada a las paredes de las laderas o fondo del lecho del río a cada tres metros, con una faja de acero inoxidable de 2” de ancho y ¼” de espesor, con dos pernos de ¾” de diámetro y 6” de longitud a su vez va protegida por un bloque de concreto ciclópeo simple de 2000 PSI de resistencia a los 28 días como se indica en los detalles del plano. </w:t>
      </w:r>
    </w:p>
    <w:p w14:paraId="04CD80B4" w14:textId="77777777" w:rsidR="003B68DB" w:rsidRPr="003B68DB" w:rsidRDefault="003B68DB" w:rsidP="003B68DB">
      <w:pPr>
        <w:rPr>
          <w:rFonts w:ascii="Arial" w:hAnsi="Arial" w:cs="Arial"/>
          <w:szCs w:val="24"/>
          <w:lang w:val="es-ES" w:eastAsia="es-ES"/>
        </w:rPr>
      </w:pPr>
    </w:p>
    <w:p w14:paraId="5ACF2B5E"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59" w:name="_Toc22391614"/>
      <w:bookmarkStart w:id="1660" w:name="_Toc22653944"/>
      <w:r w:rsidRPr="003B68DB">
        <w:rPr>
          <w:rFonts w:ascii="Arial" w:eastAsia="Arial Narrow" w:hAnsi="Arial" w:cs="Arial"/>
          <w:b/>
          <w:bCs/>
          <w:iCs/>
          <w:szCs w:val="22"/>
          <w:lang w:val="es-ES" w:bidi="en-US"/>
        </w:rPr>
        <w:t>Tipos de excavación</w:t>
      </w:r>
      <w:bookmarkEnd w:id="1659"/>
      <w:bookmarkEnd w:id="1660"/>
    </w:p>
    <w:p w14:paraId="58BF94E8" w14:textId="77777777" w:rsidR="003B68DB" w:rsidRPr="003B68DB" w:rsidRDefault="003B68DB" w:rsidP="003B68DB">
      <w:pPr>
        <w:rPr>
          <w:rFonts w:ascii="Arial" w:hAnsi="Arial" w:cs="Arial"/>
          <w:szCs w:val="24"/>
          <w:lang w:val="es-ES" w:eastAsia="es-ES"/>
        </w:rPr>
      </w:pPr>
    </w:p>
    <w:p w14:paraId="48C0675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tipos de excavación de una zanja o de un pozo de exploración pueden catalogarse por su rango de profundidad o por el grado de compactación o dureza (tipo de material), es decir por la dificultad de la excavación.</w:t>
      </w:r>
    </w:p>
    <w:p w14:paraId="184A47E2" w14:textId="77777777" w:rsidR="003B68DB" w:rsidRPr="003B68DB" w:rsidRDefault="003B68DB" w:rsidP="003B68DB">
      <w:pPr>
        <w:rPr>
          <w:rFonts w:ascii="Arial" w:hAnsi="Arial" w:cs="Arial"/>
          <w:szCs w:val="24"/>
          <w:lang w:val="es-ES" w:eastAsia="es-ES"/>
        </w:rPr>
      </w:pPr>
    </w:p>
    <w:p w14:paraId="74B46E8F" w14:textId="77777777" w:rsidR="003B68DB" w:rsidRPr="003B68DB" w:rsidRDefault="003B68DB" w:rsidP="003B68DB">
      <w:pPr>
        <w:rPr>
          <w:rFonts w:ascii="Arial" w:hAnsi="Arial" w:cs="Arial"/>
          <w:szCs w:val="24"/>
          <w:lang w:val="es-ES" w:eastAsia="es-ES"/>
        </w:rPr>
      </w:pPr>
      <w:r w:rsidRPr="003B68DB">
        <w:rPr>
          <w:rFonts w:ascii="Arial" w:hAnsi="Arial" w:cs="Arial"/>
          <w:b/>
          <w:szCs w:val="24"/>
          <w:lang w:val="es-ES" w:eastAsia="es-ES"/>
        </w:rPr>
        <w:t>a.)</w:t>
      </w:r>
      <w:r w:rsidRPr="003B68DB">
        <w:rPr>
          <w:rFonts w:ascii="Arial" w:hAnsi="Arial" w:cs="Arial"/>
          <w:szCs w:val="24"/>
          <w:lang w:val="es-ES" w:eastAsia="es-ES"/>
        </w:rPr>
        <w:tab/>
      </w:r>
      <w:r w:rsidRPr="003B68DB">
        <w:rPr>
          <w:rFonts w:ascii="Arial" w:hAnsi="Arial" w:cs="Arial"/>
          <w:b/>
          <w:szCs w:val="24"/>
          <w:lang w:val="es-ES" w:eastAsia="es-ES"/>
        </w:rPr>
        <w:t>Excavación en tierra normal.</w:t>
      </w:r>
    </w:p>
    <w:p w14:paraId="49024C66" w14:textId="77777777" w:rsidR="003B68DB" w:rsidRPr="003B68DB" w:rsidRDefault="003B68DB" w:rsidP="003B68DB">
      <w:pPr>
        <w:rPr>
          <w:rFonts w:ascii="Arial" w:hAnsi="Arial" w:cs="Arial"/>
          <w:szCs w:val="24"/>
          <w:lang w:val="es-ES" w:eastAsia="es-ES"/>
        </w:rPr>
      </w:pPr>
    </w:p>
    <w:p w14:paraId="7839C6F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considera excavación en "tierra normal", siempre que la actividad sea realizada manualmente o con equipo mecánico y el grado de compactación o dureza del material permita utilizar las herramientas comunes para excavar tierra de penetración normal. Las arenas y cenizas no consolidadas, tierras vegetales, limos y arcillas, hormigón suelto, tapuja o combinaciones entre ellas son consideradas como "tierra normal" ante el hecho de que éstas sean posibles excavarlas con pico y pala, sin requerir el uso de barra.</w:t>
      </w:r>
    </w:p>
    <w:p w14:paraId="5B939AE5" w14:textId="77777777" w:rsidR="003B68DB" w:rsidRPr="003B68DB" w:rsidRDefault="003B68DB" w:rsidP="003B68DB">
      <w:pPr>
        <w:rPr>
          <w:rFonts w:ascii="Arial" w:hAnsi="Arial" w:cs="Arial"/>
          <w:szCs w:val="24"/>
          <w:lang w:val="es-ES" w:eastAsia="es-ES"/>
        </w:rPr>
      </w:pPr>
    </w:p>
    <w:p w14:paraId="48AA2C04" w14:textId="77777777" w:rsidR="003B68DB" w:rsidRPr="003B68DB" w:rsidRDefault="003B68DB" w:rsidP="003B68DB">
      <w:pPr>
        <w:rPr>
          <w:rFonts w:ascii="Arial" w:hAnsi="Arial" w:cs="Arial"/>
          <w:szCs w:val="24"/>
          <w:lang w:val="es-ES" w:eastAsia="es-ES"/>
        </w:rPr>
      </w:pPr>
    </w:p>
    <w:p w14:paraId="436773B7" w14:textId="77777777" w:rsidR="003B68DB" w:rsidRPr="003B68DB" w:rsidRDefault="003B68DB" w:rsidP="003B68DB">
      <w:pPr>
        <w:rPr>
          <w:rFonts w:ascii="Arial" w:hAnsi="Arial" w:cs="Arial"/>
          <w:szCs w:val="24"/>
          <w:lang w:val="es-ES" w:eastAsia="es-ES"/>
        </w:rPr>
      </w:pPr>
    </w:p>
    <w:p w14:paraId="72CEFA49"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s-NI"/>
        </w:rPr>
      </w:pPr>
      <w:bookmarkStart w:id="1661" w:name="_Toc22391615"/>
      <w:bookmarkStart w:id="1662" w:name="_Toc22653945"/>
      <w:r w:rsidRPr="003B68DB">
        <w:rPr>
          <w:rFonts w:ascii="Arial" w:eastAsia="Arial Narrow" w:hAnsi="Arial" w:cs="Arial"/>
          <w:b/>
          <w:bCs/>
          <w:iCs/>
          <w:szCs w:val="24"/>
          <w:lang w:val="es-NI"/>
        </w:rPr>
        <w:t>Excavación, Relleno y Compactación Adicional.</w:t>
      </w:r>
      <w:bookmarkEnd w:id="1661"/>
      <w:bookmarkEnd w:id="1662"/>
    </w:p>
    <w:p w14:paraId="0964B550" w14:textId="77777777" w:rsidR="003B68DB" w:rsidRPr="003B68DB" w:rsidRDefault="003B68DB" w:rsidP="003B68DB">
      <w:pPr>
        <w:rPr>
          <w:rFonts w:ascii="Arial" w:hAnsi="Arial" w:cs="Arial"/>
          <w:szCs w:val="24"/>
          <w:lang w:val="es-ES" w:eastAsia="es-ES"/>
        </w:rPr>
      </w:pPr>
    </w:p>
    <w:p w14:paraId="778C7C0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excavaciones de otros materiales más duros que "tierra normal" y/o a profundidades adicionales ordenadas por El Supervisor, se consideran conceptos de obras complementarios, cuyas definiciones y aplicaciones se determinan como- EXCAVACION, RELLENO Y COMPACTACION ESPECIAL Y/O ADICIONAL.</w:t>
      </w:r>
    </w:p>
    <w:p w14:paraId="637EFAB2" w14:textId="77777777" w:rsidR="003B68DB" w:rsidRPr="003B68DB" w:rsidRDefault="003B68DB" w:rsidP="003B68DB">
      <w:pPr>
        <w:rPr>
          <w:rFonts w:ascii="Arial" w:hAnsi="Arial" w:cs="Arial"/>
          <w:szCs w:val="24"/>
          <w:lang w:val="es-ES" w:eastAsia="es-ES"/>
        </w:rPr>
      </w:pPr>
    </w:p>
    <w:p w14:paraId="19647D12"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63" w:name="_Toc22391616"/>
      <w:bookmarkStart w:id="1664" w:name="_Toc22653946"/>
      <w:r w:rsidRPr="003B68DB">
        <w:rPr>
          <w:rFonts w:ascii="Arial" w:eastAsia="Arial Narrow" w:hAnsi="Arial" w:cs="Arial"/>
          <w:b/>
          <w:bCs/>
          <w:iCs/>
          <w:szCs w:val="22"/>
          <w:lang w:val="es-ES" w:bidi="en-US"/>
        </w:rPr>
        <w:t>Restricciones y calidad del trabajo</w:t>
      </w:r>
      <w:bookmarkEnd w:id="1663"/>
      <w:bookmarkEnd w:id="1664"/>
    </w:p>
    <w:p w14:paraId="3F1EDF6D" w14:textId="77777777" w:rsidR="003B68DB" w:rsidRPr="003B68DB" w:rsidRDefault="003B68DB" w:rsidP="003B68DB">
      <w:pPr>
        <w:rPr>
          <w:rFonts w:ascii="Arial" w:hAnsi="Arial" w:cs="Arial"/>
          <w:szCs w:val="24"/>
          <w:lang w:val="es-ES" w:eastAsia="es-ES"/>
        </w:rPr>
      </w:pPr>
    </w:p>
    <w:p w14:paraId="1E6E21C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materiales de excavación de la zanja deben ser colocados al lado donde no se obstaculice.</w:t>
      </w:r>
    </w:p>
    <w:p w14:paraId="0213A113" w14:textId="77777777" w:rsidR="003B68DB" w:rsidRPr="003B68DB" w:rsidRDefault="003B68DB" w:rsidP="003B68DB">
      <w:pPr>
        <w:rPr>
          <w:rFonts w:ascii="Arial" w:hAnsi="Arial" w:cs="Arial"/>
          <w:szCs w:val="24"/>
          <w:lang w:val="es-ES" w:eastAsia="es-ES"/>
        </w:rPr>
      </w:pPr>
    </w:p>
    <w:p w14:paraId="4617031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reserva una orilla despejada de 50 cm. de ancho mínimo, entre el borde de la zanja y el pie del talud de las tierras extraídas. Esa orilla está destinada a la circulación cómoda del personal instalador de la tubería.</w:t>
      </w:r>
    </w:p>
    <w:p w14:paraId="7BDE2AC6" w14:textId="77777777" w:rsidR="003B68DB" w:rsidRPr="003B68DB" w:rsidRDefault="003B68DB" w:rsidP="003B68DB">
      <w:pPr>
        <w:rPr>
          <w:rFonts w:ascii="Arial" w:hAnsi="Arial" w:cs="Arial"/>
          <w:szCs w:val="24"/>
          <w:lang w:val="es-ES" w:eastAsia="es-ES"/>
        </w:rPr>
      </w:pPr>
    </w:p>
    <w:p w14:paraId="151BDF3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materiales excavados que no sean satisfactorios para relleno, o que estén en exceso al requerido, son dispuestos fuera del Sitio de la Obra de una manera aprobada por El Supervisor. Los costos de esta operación son asumidos por El Contratista.</w:t>
      </w:r>
    </w:p>
    <w:p w14:paraId="694F59C2" w14:textId="77777777" w:rsidR="003B68DB" w:rsidRPr="003B68DB" w:rsidRDefault="003B68DB" w:rsidP="003B68DB">
      <w:pPr>
        <w:rPr>
          <w:rFonts w:ascii="Arial" w:hAnsi="Arial" w:cs="Arial"/>
          <w:szCs w:val="24"/>
          <w:lang w:val="es-ES" w:eastAsia="es-ES"/>
        </w:rPr>
      </w:pPr>
    </w:p>
    <w:p w14:paraId="24334F5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Aún, suponiendo que el relleno de la tubería instalada, se efectuó correctamente, se elimina de la tierra extraída, toda piedra gruesa y todo material que, utilizado como relleno de la zanja, puede ocasionar daños en la tubería.</w:t>
      </w:r>
    </w:p>
    <w:p w14:paraId="5F7719E9" w14:textId="77777777" w:rsidR="003B68DB" w:rsidRPr="003B68DB" w:rsidRDefault="003B68DB" w:rsidP="003B68DB">
      <w:pPr>
        <w:rPr>
          <w:rFonts w:ascii="Arial" w:hAnsi="Arial" w:cs="Arial"/>
          <w:szCs w:val="24"/>
          <w:lang w:val="es-ES" w:eastAsia="es-ES"/>
        </w:rPr>
      </w:pPr>
    </w:p>
    <w:p w14:paraId="7729FC0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Si el fondo de la zanja se convierte en una fundación inestable para los tubos, debido al descuido de El Contratista de ademar o desaguar la zanja, o si la excavación se ha hecho más profunda de lo necesario, se requiere de El Contratista y a su cuenta, remover el material inestable y rellenar la zanja de la manera descrita.</w:t>
      </w:r>
    </w:p>
    <w:p w14:paraId="20B6601A" w14:textId="77777777" w:rsidR="003B68DB" w:rsidRPr="003B68DB" w:rsidRDefault="003B68DB" w:rsidP="003B68DB">
      <w:pPr>
        <w:rPr>
          <w:rFonts w:ascii="Arial" w:hAnsi="Arial" w:cs="Arial"/>
          <w:szCs w:val="24"/>
          <w:lang w:val="es-ES" w:eastAsia="es-ES"/>
        </w:rPr>
      </w:pPr>
    </w:p>
    <w:p w14:paraId="0F918AE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remueve toda agua que se colecte en las zanjas antes y después de que los tubos estén instalados. En ningún caso se permite que el agua escurra sobre la fundación, o por la tubería, sin permiso del Supervisor. El agua encontrada es eliminada por El Contratista de una manera satisfactoria para El Supervisor. Los costos de esta operación son asumidos por El Contratista.</w:t>
      </w:r>
    </w:p>
    <w:p w14:paraId="5D8AA85E" w14:textId="77777777" w:rsidR="003B68DB" w:rsidRPr="003B68DB" w:rsidRDefault="003B68DB" w:rsidP="003B68DB">
      <w:pPr>
        <w:rPr>
          <w:rFonts w:ascii="Arial" w:hAnsi="Arial" w:cs="Arial"/>
          <w:szCs w:val="24"/>
          <w:lang w:val="es-ES" w:eastAsia="es-ES"/>
        </w:rPr>
      </w:pPr>
    </w:p>
    <w:p w14:paraId="2B69FFE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También se debe evitar dañar los árboles que deban permanecer en su lugar. Si se requiere la excavación a través de las raíces, hay que excavar manualmente y cortar las raíces apropiadamente. Si fuese necesario podarlos, se debe hacer cortes limpios, refinados y sesgados y aplicar tres capas de protector sobre todas las ramas cortadas.</w:t>
      </w:r>
    </w:p>
    <w:p w14:paraId="1C8C28E0" w14:textId="77777777" w:rsidR="003B68DB" w:rsidRPr="003B68DB" w:rsidRDefault="003B68DB" w:rsidP="003B68DB">
      <w:pPr>
        <w:rPr>
          <w:rFonts w:ascii="Arial" w:hAnsi="Arial" w:cs="Arial"/>
          <w:szCs w:val="24"/>
          <w:lang w:val="es-ES" w:eastAsia="es-ES"/>
        </w:rPr>
      </w:pPr>
    </w:p>
    <w:p w14:paraId="4808E3EE"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65" w:name="_Toc22391617"/>
      <w:bookmarkStart w:id="1666" w:name="_Toc22653947"/>
      <w:r w:rsidRPr="00181F97">
        <w:rPr>
          <w:rFonts w:ascii="Arial" w:eastAsia="Arial Narrow" w:hAnsi="Arial" w:cs="Arial"/>
          <w:b/>
          <w:bCs/>
          <w:iCs/>
          <w:szCs w:val="24"/>
          <w:lang w:val="es-NI"/>
        </w:rPr>
        <w:t>Instalación de Tuberías</w:t>
      </w:r>
      <w:bookmarkEnd w:id="1665"/>
      <w:bookmarkEnd w:id="1666"/>
    </w:p>
    <w:p w14:paraId="181CF10A" w14:textId="77777777" w:rsidR="003B68DB" w:rsidRPr="003B68DB" w:rsidRDefault="003B68DB" w:rsidP="003B68DB">
      <w:pPr>
        <w:rPr>
          <w:rFonts w:ascii="Arial" w:hAnsi="Arial"/>
          <w:szCs w:val="24"/>
          <w:lang w:val="es-ES" w:eastAsia="es-ES"/>
        </w:rPr>
      </w:pPr>
    </w:p>
    <w:p w14:paraId="2957BC5D"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67" w:name="_Toc22391618"/>
      <w:bookmarkStart w:id="1668" w:name="_Toc22653948"/>
      <w:r w:rsidRPr="003B68DB">
        <w:rPr>
          <w:rFonts w:ascii="Arial" w:eastAsia="Arial Narrow" w:hAnsi="Arial" w:cs="Arial"/>
          <w:b/>
          <w:bCs/>
          <w:iCs/>
          <w:szCs w:val="22"/>
          <w:lang w:val="es-ES" w:bidi="en-US"/>
        </w:rPr>
        <w:t>Recursos y procedimientos</w:t>
      </w:r>
      <w:bookmarkEnd w:id="1667"/>
      <w:bookmarkEnd w:id="1668"/>
    </w:p>
    <w:p w14:paraId="25E20A50" w14:textId="77777777" w:rsidR="003B68DB" w:rsidRPr="003B68DB" w:rsidRDefault="003B68DB" w:rsidP="003B68DB">
      <w:pPr>
        <w:rPr>
          <w:rFonts w:ascii="Arial" w:hAnsi="Arial" w:cs="Arial"/>
          <w:szCs w:val="24"/>
          <w:lang w:val="es-ES" w:eastAsia="es-ES"/>
        </w:rPr>
      </w:pPr>
    </w:p>
    <w:p w14:paraId="6BB2605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Este capítulo incluye el suministro de todo material, mano de obra, herramientas, equipo, etc., necesarios para la instalación de tuberías propiamente dicha como para sus elementos conexos, esto es, sin ser limitativo, accesorios de tuberías, incluyendo los de uniones y conexiones especiales, camisas de acople, válvulas, anclajes y bloques de reacción, de pruebas de presión y estanqueidad etc.; y actividades complementarias, tales como cortes y rectificaciones de tuberías, baldeo y remoción de aguas, desinfección y limpieza de tuberías, protección de obras terminadas etc. Los costos de esta operación son asumidos por El Contratista.</w:t>
      </w:r>
    </w:p>
    <w:p w14:paraId="35263202" w14:textId="77777777" w:rsidR="003B68DB" w:rsidRPr="003B68DB" w:rsidRDefault="003B68DB" w:rsidP="003B68DB">
      <w:pPr>
        <w:rPr>
          <w:rFonts w:ascii="Arial" w:hAnsi="Arial" w:cs="Arial"/>
          <w:szCs w:val="24"/>
          <w:lang w:val="es-ES" w:eastAsia="es-ES"/>
        </w:rPr>
      </w:pPr>
    </w:p>
    <w:p w14:paraId="15595943"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69" w:name="_Toc22391619"/>
      <w:bookmarkStart w:id="1670" w:name="_Toc22653949"/>
      <w:r w:rsidRPr="003B68DB">
        <w:rPr>
          <w:rFonts w:ascii="Arial" w:eastAsia="Arial Narrow" w:hAnsi="Arial" w:cs="Arial"/>
          <w:b/>
          <w:bCs/>
          <w:iCs/>
          <w:szCs w:val="22"/>
          <w:lang w:val="es-ES" w:bidi="en-US"/>
        </w:rPr>
        <w:t>Cortes y rectificaciones en tubería</w:t>
      </w:r>
      <w:bookmarkEnd w:id="1669"/>
      <w:bookmarkEnd w:id="1670"/>
    </w:p>
    <w:p w14:paraId="1FC20D59" w14:textId="77777777" w:rsidR="003B68DB" w:rsidRPr="003B68DB" w:rsidRDefault="003B68DB" w:rsidP="003B68DB">
      <w:pPr>
        <w:rPr>
          <w:rFonts w:ascii="Arial" w:hAnsi="Arial" w:cs="Arial"/>
          <w:b/>
          <w:szCs w:val="24"/>
          <w:lang w:val="es-ES" w:eastAsia="es-ES"/>
        </w:rPr>
      </w:pPr>
    </w:p>
    <w:p w14:paraId="7286D70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cortes en tubería son una actividad importante de controlar durante la ejecución del Trabajo, principalmente cuando fuere necesario instalar tramos de tuberías intercalados con tuberías existentes, o la instalación de accesorios y válvulas, o bien, cuando es necesario cortar y rectificar tubos que han sufrido algún daño durante el transporte, manejo o acarreo al sitio de la obra.  Asimismo, durante el desarrollo de la obra, puede requerirse el uso de tubos de una longitud inferior al normal de fabricación, ya sea para la colocación de un accesorio, en un sitio previamente fijado, o para efectuar curvas en el alineamiento, haciendo uso de las desviaciones permitidas para las juntas; en tales casos, es preciso cortar la parte dañada o reducir un tubo normal a la longitud requerida, y rectificar luego los extremos del corte para proceder a efectuar las uniones.</w:t>
      </w:r>
    </w:p>
    <w:p w14:paraId="39F46DF4" w14:textId="77777777" w:rsidR="003B68DB" w:rsidRPr="003B68DB" w:rsidRDefault="003B68DB" w:rsidP="003B68DB">
      <w:pPr>
        <w:rPr>
          <w:rFonts w:ascii="Arial" w:hAnsi="Arial" w:cs="Arial"/>
          <w:szCs w:val="24"/>
          <w:lang w:val="es-ES" w:eastAsia="es-ES"/>
        </w:rPr>
      </w:pPr>
    </w:p>
    <w:p w14:paraId="712B02E1"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71" w:name="_Toc22391620"/>
      <w:bookmarkStart w:id="1672" w:name="_Toc22653950"/>
      <w:r w:rsidRPr="003B68DB">
        <w:rPr>
          <w:rFonts w:ascii="Arial" w:eastAsia="Arial Narrow" w:hAnsi="Arial" w:cs="Arial"/>
          <w:b/>
          <w:bCs/>
          <w:iCs/>
          <w:szCs w:val="22"/>
          <w:lang w:val="es-ES" w:bidi="en-US"/>
        </w:rPr>
        <w:t>Cortes</w:t>
      </w:r>
      <w:bookmarkEnd w:id="1671"/>
      <w:bookmarkEnd w:id="1672"/>
    </w:p>
    <w:p w14:paraId="1A1A5865" w14:textId="77777777" w:rsidR="003B68DB" w:rsidRPr="003B68DB" w:rsidRDefault="003B68DB" w:rsidP="003B68DB">
      <w:pPr>
        <w:rPr>
          <w:rFonts w:ascii="Arial" w:hAnsi="Arial" w:cs="Arial"/>
          <w:b/>
          <w:szCs w:val="24"/>
          <w:lang w:val="es-ES" w:eastAsia="es-ES"/>
        </w:rPr>
      </w:pPr>
    </w:p>
    <w:p w14:paraId="7FBDC87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tubos pueden cortarse haciendo uso de sierras de mano o con máquinas especiales "corta tubos". Las máquinas corta tubos pueden ser de discos, accionados con motores de gasolina, a presión o de cuchillas.</w:t>
      </w:r>
    </w:p>
    <w:p w14:paraId="2EC0A320" w14:textId="77777777" w:rsidR="003B68DB" w:rsidRPr="003B68DB" w:rsidRDefault="003B68DB" w:rsidP="003B68DB">
      <w:pPr>
        <w:rPr>
          <w:rFonts w:ascii="Arial" w:hAnsi="Arial" w:cs="Arial"/>
          <w:szCs w:val="24"/>
          <w:lang w:val="es-ES" w:eastAsia="es-ES"/>
        </w:rPr>
      </w:pPr>
    </w:p>
    <w:p w14:paraId="2F3EBC1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tubos se deben cortar en ángulo recto, con relación a su eje, utilizando una sierra de mano de dientes finos y una caja de ingletes, o una sierra mecanizada de dientes finos con una guía apropiada. Se debe remover totalmente la rebaba por medio de un cuchillo, lima, escariador o papel abrasivo.</w:t>
      </w:r>
    </w:p>
    <w:p w14:paraId="14C2CAC6" w14:textId="77777777" w:rsidR="003B68DB" w:rsidRPr="003B68DB" w:rsidRDefault="003B68DB" w:rsidP="003B68DB">
      <w:pPr>
        <w:rPr>
          <w:rFonts w:ascii="Arial" w:hAnsi="Arial" w:cs="Arial"/>
          <w:szCs w:val="24"/>
          <w:lang w:val="es-ES" w:eastAsia="es-ES"/>
        </w:rPr>
      </w:pPr>
    </w:p>
    <w:p w14:paraId="0FE9D08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Cualquiera que sea la máquina usada, al efectuar el corte es necesario tener presente las siguientes recomendaciones:</w:t>
      </w:r>
    </w:p>
    <w:p w14:paraId="17F22A55" w14:textId="77777777" w:rsidR="003B68DB" w:rsidRPr="003B68DB" w:rsidRDefault="003B68DB" w:rsidP="003B68DB">
      <w:pPr>
        <w:rPr>
          <w:rFonts w:ascii="Arial" w:hAnsi="Arial" w:cs="Arial"/>
          <w:szCs w:val="24"/>
          <w:lang w:val="es-ES" w:eastAsia="es-ES"/>
        </w:rPr>
      </w:pPr>
    </w:p>
    <w:p w14:paraId="404EBD7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Marcar con tiza, o con lápiz grueso, una línea que señale el corte que se va hacer. Ese corte debe ser exactamente perpendicular al eje del tubo. El tubo debe encontrarse firmemente sujeto para evitar que se mueva durante el corte. En caso de cortes fuera de la excavación, se debe hacer girar el tubo a medida que se va cortando, de modo que la parte que debe cortarse, esté siempre del lado superior.</w:t>
      </w:r>
    </w:p>
    <w:p w14:paraId="27C68B98" w14:textId="77777777" w:rsidR="003B68DB" w:rsidRPr="003B68DB" w:rsidRDefault="003B68DB" w:rsidP="003B68DB">
      <w:pPr>
        <w:rPr>
          <w:rFonts w:ascii="Arial" w:hAnsi="Arial" w:cs="Arial"/>
          <w:szCs w:val="24"/>
          <w:lang w:val="es-ES" w:eastAsia="es-ES"/>
        </w:rPr>
      </w:pPr>
    </w:p>
    <w:p w14:paraId="06E5FD2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debe dejarse la extremidad del tubo sin apoyo, pues es posible que ese extremo se quiebre por su propio peso antes de completar el corte.</w:t>
      </w:r>
    </w:p>
    <w:p w14:paraId="402D2D63" w14:textId="77777777" w:rsidR="003B68DB" w:rsidRPr="003B68DB" w:rsidRDefault="003B68DB" w:rsidP="003B68DB">
      <w:pPr>
        <w:rPr>
          <w:rFonts w:ascii="Arial" w:hAnsi="Arial" w:cs="Arial"/>
          <w:szCs w:val="24"/>
          <w:lang w:val="es-ES" w:eastAsia="es-ES"/>
        </w:rPr>
      </w:pPr>
    </w:p>
    <w:p w14:paraId="20330A9B"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73" w:name="_Toc22391621"/>
      <w:bookmarkStart w:id="1674" w:name="_Toc22653951"/>
      <w:r w:rsidRPr="003B68DB">
        <w:rPr>
          <w:rFonts w:ascii="Arial" w:eastAsia="Arial Narrow" w:hAnsi="Arial" w:cs="Arial"/>
          <w:b/>
          <w:bCs/>
          <w:iCs/>
          <w:szCs w:val="22"/>
          <w:lang w:val="es-ES" w:bidi="en-US"/>
        </w:rPr>
        <w:t>Rectificación o biselado de los extremos</w:t>
      </w:r>
      <w:bookmarkEnd w:id="1673"/>
      <w:bookmarkEnd w:id="1674"/>
    </w:p>
    <w:p w14:paraId="612A9567" w14:textId="77777777" w:rsidR="003B68DB" w:rsidRPr="003B68DB" w:rsidRDefault="003B68DB" w:rsidP="003B68DB">
      <w:pPr>
        <w:rPr>
          <w:rFonts w:ascii="Arial" w:hAnsi="Arial" w:cs="Arial"/>
          <w:szCs w:val="24"/>
          <w:lang w:val="es-ES" w:eastAsia="es-ES"/>
        </w:rPr>
      </w:pPr>
    </w:p>
    <w:p w14:paraId="39B279F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corte deja una sección o borde vivo, que debe ser preparada para recibir la junta o unión de las tuberías. La rectificación o biselado de los tubos puede hacerse a mano, o con máquinas biseladoras especiales.</w:t>
      </w:r>
    </w:p>
    <w:p w14:paraId="0EFEDC7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Cuando se trate de tuberías de hierro galvanizado, la rectificación del borde dejado por el corte, puede ser hecha con un esmeril. Las ralladuras longitudinales o circunferenciales pueden comprometer la estanqueidad de la junta.</w:t>
      </w:r>
    </w:p>
    <w:p w14:paraId="625D91BB"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75" w:name="_Toc22391622"/>
      <w:bookmarkStart w:id="1676" w:name="_Toc22653952"/>
      <w:r w:rsidRPr="003B68DB">
        <w:rPr>
          <w:rFonts w:ascii="Arial" w:eastAsia="Arial Narrow" w:hAnsi="Arial" w:cs="Arial"/>
          <w:b/>
          <w:bCs/>
          <w:iCs/>
          <w:szCs w:val="22"/>
          <w:lang w:val="es-ES" w:bidi="en-US"/>
        </w:rPr>
        <w:t>Baldeo y remoción de las aguas</w:t>
      </w:r>
      <w:bookmarkEnd w:id="1675"/>
      <w:bookmarkEnd w:id="1676"/>
    </w:p>
    <w:p w14:paraId="3AACA979" w14:textId="77777777" w:rsidR="003B68DB" w:rsidRPr="003B68DB" w:rsidRDefault="003B68DB" w:rsidP="003B68DB">
      <w:pPr>
        <w:rPr>
          <w:rFonts w:ascii="Arial" w:hAnsi="Arial" w:cs="Arial"/>
          <w:szCs w:val="24"/>
          <w:lang w:val="es-ES" w:eastAsia="es-ES"/>
        </w:rPr>
      </w:pPr>
    </w:p>
    <w:p w14:paraId="0CEE481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término "Baldeo de las Aguas", se utiliza para identificar la acción de evacuar las aguas que recibe la excavación, al efectuar cortes en las tuberías en servicio.</w:t>
      </w:r>
    </w:p>
    <w:p w14:paraId="2C4FAE76" w14:textId="77777777" w:rsidR="003B68DB" w:rsidRPr="003B68DB" w:rsidRDefault="003B68DB" w:rsidP="003B68DB">
      <w:pPr>
        <w:rPr>
          <w:rFonts w:ascii="Arial" w:hAnsi="Arial" w:cs="Arial"/>
          <w:szCs w:val="24"/>
          <w:lang w:val="es-ES" w:eastAsia="es-ES"/>
        </w:rPr>
      </w:pPr>
    </w:p>
    <w:p w14:paraId="07E4A92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se permite que estas aguas aneguen las zanjas, al efectuar cambio de accesorios o tramos de tuberías, con el objeto de evitar contaminaciones que puedan originar las aguas descargadas por los tubos seccionados. Se debe planear la extracción del agua de las tuberías en estos cortes, tomando en cuenta las siguientes indicaciones:</w:t>
      </w:r>
    </w:p>
    <w:p w14:paraId="6A391CAB" w14:textId="77777777" w:rsidR="003B68DB" w:rsidRPr="003B68DB" w:rsidRDefault="003B68DB" w:rsidP="003B68DB">
      <w:pPr>
        <w:rPr>
          <w:rFonts w:ascii="Arial" w:hAnsi="Arial" w:cs="Arial"/>
          <w:szCs w:val="24"/>
          <w:lang w:val="es-ES" w:eastAsia="es-ES"/>
        </w:rPr>
      </w:pPr>
    </w:p>
    <w:p w14:paraId="2C0DC97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Haciendo más amplio y hondo el fondo de la zanja en el lugar del corte con el objetivo de baldear o utilizar una motobomba achicadora, que pueda extraer el agua e impedir que su nivel llegue al fondo de la tubería existente, o a utilizarse para hacer la unión o reparación que se requiera.</w:t>
      </w:r>
    </w:p>
    <w:p w14:paraId="27F722B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Dependiendo del lugar y nivel del terreno, usar válvulas de limpieza. Otros, a juicio del Supervisor.</w:t>
      </w:r>
    </w:p>
    <w:p w14:paraId="4EFC8932" w14:textId="77777777" w:rsidR="003B68DB" w:rsidRPr="003B68DB" w:rsidRDefault="003B68DB" w:rsidP="003B68DB">
      <w:pPr>
        <w:rPr>
          <w:rFonts w:ascii="Arial" w:hAnsi="Arial" w:cs="Arial"/>
          <w:szCs w:val="24"/>
          <w:lang w:val="es-ES" w:eastAsia="es-ES"/>
        </w:rPr>
      </w:pPr>
    </w:p>
    <w:p w14:paraId="49282984"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77" w:name="_Toc22391623"/>
      <w:bookmarkStart w:id="1678" w:name="_Toc22653953"/>
      <w:r w:rsidRPr="003B68DB">
        <w:rPr>
          <w:rFonts w:ascii="Arial" w:eastAsia="Arial Narrow" w:hAnsi="Arial" w:cs="Arial"/>
          <w:b/>
          <w:bCs/>
          <w:iCs/>
          <w:szCs w:val="22"/>
          <w:lang w:val="es-ES" w:bidi="en-US"/>
        </w:rPr>
        <w:t>Instalación de las tuberías</w:t>
      </w:r>
      <w:bookmarkEnd w:id="1677"/>
      <w:bookmarkEnd w:id="1678"/>
    </w:p>
    <w:p w14:paraId="24CD8B71" w14:textId="77777777" w:rsidR="003B68DB" w:rsidRPr="003B68DB" w:rsidRDefault="003B68DB" w:rsidP="003B68DB">
      <w:pPr>
        <w:rPr>
          <w:rFonts w:ascii="Arial" w:hAnsi="Arial" w:cs="Arial"/>
          <w:szCs w:val="24"/>
          <w:lang w:val="es-ES" w:eastAsia="es-ES"/>
        </w:rPr>
      </w:pPr>
    </w:p>
    <w:p w14:paraId="7C6B2365"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79" w:name="_Toc22391624"/>
      <w:r w:rsidRPr="003B68DB">
        <w:rPr>
          <w:rFonts w:ascii="Arial" w:hAnsi="Arial" w:cs="Century Gothic"/>
          <w:b/>
          <w:bCs/>
          <w:lang w:val="es-ES" w:eastAsia="es-ES"/>
        </w:rPr>
        <w:t>Tubería de conducción</w:t>
      </w:r>
      <w:bookmarkEnd w:id="1679"/>
    </w:p>
    <w:p w14:paraId="3539E67C" w14:textId="77777777" w:rsidR="003B68DB" w:rsidRPr="003B68DB" w:rsidRDefault="003B68DB" w:rsidP="003B68DB">
      <w:pPr>
        <w:rPr>
          <w:rFonts w:ascii="Arial" w:hAnsi="Arial"/>
          <w:b/>
          <w:szCs w:val="24"/>
          <w:lang w:val="es-ES" w:eastAsia="es-ES"/>
        </w:rPr>
      </w:pPr>
    </w:p>
    <w:p w14:paraId="094BE237"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La tubería de conducción se extiende 5,632.59 m. El contratista debe trazar y nivelar 5,632.59 m de eje para tubería de conducción</w:t>
      </w:r>
    </w:p>
    <w:p w14:paraId="3F32102D" w14:textId="77777777" w:rsidR="003B68DB" w:rsidRPr="003B68DB" w:rsidRDefault="003B68DB" w:rsidP="003B68DB">
      <w:pPr>
        <w:rPr>
          <w:rFonts w:ascii="Arial" w:hAnsi="Arial"/>
          <w:szCs w:val="24"/>
          <w:lang w:val="es-ES" w:eastAsia="es-ES"/>
        </w:rPr>
      </w:pPr>
    </w:p>
    <w:p w14:paraId="7EA37106"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Distribución la tubería de conducción por bombeo</w:t>
      </w:r>
    </w:p>
    <w:p w14:paraId="5F33FBD9"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w:t>
      </w:r>
    </w:p>
    <w:p w14:paraId="685199A8"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Diámetro</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Material</w:t>
      </w:r>
      <w:r w:rsidRPr="003B68DB">
        <w:rPr>
          <w:rFonts w:ascii="Arial" w:hAnsi="Arial"/>
          <w:sz w:val="22"/>
          <w:szCs w:val="22"/>
          <w:lang w:val="es-ES" w:eastAsia="es-ES"/>
        </w:rPr>
        <w:tab/>
      </w:r>
      <w:r w:rsidRPr="003B68DB">
        <w:rPr>
          <w:rFonts w:ascii="Arial" w:hAnsi="Arial"/>
          <w:sz w:val="22"/>
          <w:szCs w:val="22"/>
          <w:lang w:val="es-ES" w:eastAsia="es-ES"/>
        </w:rPr>
        <w:tab/>
        <w:t>Cédula</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Longitud</w:t>
      </w:r>
    </w:p>
    <w:p w14:paraId="1D80BC77"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Nominal</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tubería</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SDR</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 xml:space="preserve">     (m)</w:t>
      </w:r>
    </w:p>
    <w:p w14:paraId="6ECAF36D"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mm (pulgadas)</w:t>
      </w:r>
    </w:p>
    <w:p w14:paraId="7AE98066"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lastRenderedPageBreak/>
        <w:t>---------------------------------------------------------------------------------------------------------------------------</w:t>
      </w:r>
    </w:p>
    <w:p w14:paraId="6AEFC728"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75 mm (3 pulg)</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HG</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Cédula 40</w:t>
      </w:r>
      <w:r w:rsidRPr="003B68DB">
        <w:rPr>
          <w:rFonts w:ascii="Arial" w:hAnsi="Arial"/>
          <w:sz w:val="22"/>
          <w:szCs w:val="22"/>
          <w:lang w:val="es-ES" w:eastAsia="es-ES"/>
        </w:rPr>
        <w:tab/>
      </w:r>
      <w:r w:rsidRPr="003B68DB">
        <w:rPr>
          <w:rFonts w:ascii="Arial" w:hAnsi="Arial"/>
          <w:sz w:val="22"/>
          <w:szCs w:val="22"/>
          <w:lang w:val="es-ES" w:eastAsia="es-ES"/>
        </w:rPr>
        <w:tab/>
        <w:t>858.95    m</w:t>
      </w:r>
    </w:p>
    <w:p w14:paraId="0BB83E59"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75 mm (3 pulg)</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PVC</w:t>
      </w:r>
      <w:r w:rsidRPr="003B68DB">
        <w:rPr>
          <w:rFonts w:ascii="Arial" w:hAnsi="Arial"/>
          <w:sz w:val="22"/>
          <w:szCs w:val="22"/>
          <w:lang w:val="es-ES" w:eastAsia="es-ES"/>
        </w:rPr>
        <w:tab/>
      </w:r>
      <w:r w:rsidRPr="003B68DB">
        <w:rPr>
          <w:rFonts w:ascii="Arial" w:hAnsi="Arial"/>
          <w:sz w:val="22"/>
          <w:szCs w:val="22"/>
          <w:lang w:val="es-ES" w:eastAsia="es-ES"/>
        </w:rPr>
        <w:tab/>
        <w:t xml:space="preserve">              17/26</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4773.64 m</w:t>
      </w:r>
    </w:p>
    <w:p w14:paraId="363C96B4"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p>
    <w:p w14:paraId="4D6E3DF9"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w:t>
      </w:r>
    </w:p>
    <w:p w14:paraId="194C5758"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 xml:space="preserve">Total tubería de conducción </w:t>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r>
      <w:r w:rsidRPr="003B68DB">
        <w:rPr>
          <w:rFonts w:ascii="Arial" w:hAnsi="Arial"/>
          <w:sz w:val="22"/>
          <w:szCs w:val="22"/>
          <w:lang w:val="es-ES" w:eastAsia="es-ES"/>
        </w:rPr>
        <w:tab/>
        <w:t>5,632.59 m</w:t>
      </w:r>
    </w:p>
    <w:p w14:paraId="20BF954D" w14:textId="77777777" w:rsidR="003B68DB" w:rsidRPr="003B68DB" w:rsidRDefault="003B68DB" w:rsidP="003B68DB">
      <w:pPr>
        <w:pBdr>
          <w:top w:val="single" w:sz="4" w:space="1" w:color="auto"/>
          <w:left w:val="single" w:sz="4" w:space="0" w:color="auto"/>
          <w:bottom w:val="single" w:sz="4" w:space="0" w:color="auto"/>
          <w:right w:val="single" w:sz="4" w:space="4" w:color="auto"/>
        </w:pBdr>
        <w:rPr>
          <w:rFonts w:ascii="Arial" w:hAnsi="Arial"/>
          <w:sz w:val="22"/>
          <w:szCs w:val="22"/>
          <w:lang w:val="es-ES" w:eastAsia="es-ES"/>
        </w:rPr>
      </w:pPr>
      <w:r w:rsidRPr="003B68DB">
        <w:rPr>
          <w:rFonts w:ascii="Arial" w:hAnsi="Arial"/>
          <w:sz w:val="22"/>
          <w:szCs w:val="22"/>
          <w:lang w:val="es-ES" w:eastAsia="es-ES"/>
        </w:rPr>
        <w:t>---------------------------------------------------------------------------------------------------------------------------</w:t>
      </w:r>
    </w:p>
    <w:p w14:paraId="70CF65A4" w14:textId="77777777" w:rsidR="003B68DB" w:rsidRPr="003B68DB" w:rsidRDefault="003B68DB" w:rsidP="003B68DB">
      <w:pPr>
        <w:rPr>
          <w:rFonts w:ascii="Arial" w:hAnsi="Arial"/>
          <w:szCs w:val="24"/>
          <w:lang w:val="es-ES" w:eastAsia="es-ES"/>
        </w:rPr>
      </w:pPr>
    </w:p>
    <w:p w14:paraId="5F7B2708"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680" w:name="_Toc22391625"/>
      <w:r w:rsidRPr="003B68DB">
        <w:rPr>
          <w:rFonts w:ascii="Arial" w:hAnsi="Arial" w:cs="Century Gothic"/>
          <w:b/>
          <w:bCs/>
          <w:lang w:val="es-ES" w:eastAsia="es-ES"/>
        </w:rPr>
        <w:t>Tubería de distribución</w:t>
      </w:r>
      <w:bookmarkEnd w:id="1680"/>
    </w:p>
    <w:p w14:paraId="129551D3" w14:textId="77777777" w:rsidR="003B68DB" w:rsidRPr="003B68DB" w:rsidRDefault="003B68DB" w:rsidP="003B68DB">
      <w:pPr>
        <w:rPr>
          <w:rFonts w:ascii="Arial" w:hAnsi="Arial"/>
          <w:szCs w:val="24"/>
          <w:lang w:val="es-ES" w:eastAsia="es-ES"/>
        </w:rPr>
      </w:pPr>
    </w:p>
    <w:p w14:paraId="0570BF0F" w14:textId="77777777" w:rsidR="003B68DB" w:rsidRPr="003B68DB" w:rsidRDefault="003B68DB" w:rsidP="003B68DB">
      <w:pPr>
        <w:rPr>
          <w:rFonts w:ascii="Arial" w:hAnsi="Arial"/>
          <w:sz w:val="22"/>
          <w:szCs w:val="22"/>
          <w:lang w:val="es-ES" w:eastAsia="es-ES"/>
        </w:rPr>
      </w:pPr>
      <w:r w:rsidRPr="003B68DB">
        <w:rPr>
          <w:rFonts w:ascii="Arial" w:hAnsi="Arial"/>
          <w:szCs w:val="24"/>
          <w:lang w:val="es-ES" w:eastAsia="es-ES"/>
        </w:rPr>
        <w:t>La tubería de la red de distribución se extiende 8,405.42 m desde la salida del tanque de almacenamiento de concreto ciclopeo, hacia la comunidad. El agua es distribuida por gravedad a las viviendas, a través de un sistema de tubería con ramales abiertos. El contratista debe trazar y nivelar 8,405.42 m de eje para tubería de distribución.</w:t>
      </w:r>
    </w:p>
    <w:p w14:paraId="515E46CA" w14:textId="77777777" w:rsidR="003B68DB" w:rsidRPr="003B68DB" w:rsidRDefault="003B68DB" w:rsidP="003B68DB">
      <w:pPr>
        <w:rPr>
          <w:rFonts w:ascii="Arial" w:hAnsi="Arial" w:cs="Arial"/>
          <w:szCs w:val="24"/>
          <w:lang w:val="es-ES" w:eastAsia="es-ES"/>
        </w:rPr>
      </w:pPr>
    </w:p>
    <w:p w14:paraId="28CE90E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Antes de instalarse, los tubos son alineados a un lado y a lo largo de la zanja y, si no hay inconvenientes, del lado opuesto al material de excavación, protegiéndose del tráfico y de la maquinaria pesada asignada a la Obra.</w:t>
      </w:r>
    </w:p>
    <w:p w14:paraId="17996F0B" w14:textId="77777777" w:rsidR="003B68DB" w:rsidRPr="003B68DB" w:rsidRDefault="003B68DB" w:rsidP="003B68DB">
      <w:pPr>
        <w:rPr>
          <w:rFonts w:ascii="Arial" w:hAnsi="Arial" w:cs="Arial"/>
          <w:szCs w:val="24"/>
          <w:lang w:val="es-ES" w:eastAsia="es-ES"/>
        </w:rPr>
      </w:pPr>
    </w:p>
    <w:p w14:paraId="7445C84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deben usar herramientas y equipos apropiados para manejar e instalar los tubos y accesorios, en una forma segura y satisfactoria. Siguiendo en general las recomendaciones del fabricante, en el manejo debe evitarse el uso de métodos bruscos, tal como dejar caer los tubos.</w:t>
      </w:r>
    </w:p>
    <w:p w14:paraId="3420DFA6" w14:textId="77777777" w:rsidR="003B68DB" w:rsidRPr="003B68DB" w:rsidRDefault="003B68DB" w:rsidP="003B68DB">
      <w:pPr>
        <w:rPr>
          <w:rFonts w:ascii="Arial" w:hAnsi="Arial" w:cs="Arial"/>
          <w:szCs w:val="24"/>
          <w:lang w:val="es-ES" w:eastAsia="es-ES"/>
        </w:rPr>
      </w:pPr>
    </w:p>
    <w:p w14:paraId="6C30C26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almacenamiento de la tubería debe ser hecho sobre suelo llano, exento de piedras, y de preferencia bajo cubierta y a la sombra.</w:t>
      </w:r>
    </w:p>
    <w:p w14:paraId="259E3D10" w14:textId="77777777" w:rsidR="003B68DB" w:rsidRPr="003B68DB" w:rsidRDefault="003B68DB" w:rsidP="003B68DB">
      <w:pPr>
        <w:rPr>
          <w:rFonts w:ascii="Arial" w:hAnsi="Arial" w:cs="Arial"/>
          <w:szCs w:val="24"/>
          <w:lang w:val="es-ES" w:eastAsia="es-ES"/>
        </w:rPr>
      </w:pPr>
    </w:p>
    <w:p w14:paraId="4299544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tubos se descargan a mano dentro de la zanja, no dejarlos caer sino depositarlos, no dejarlos rodar sobre el suelo y teniendo cuidado especial de que no se dañen.</w:t>
      </w:r>
    </w:p>
    <w:p w14:paraId="0F42C385" w14:textId="77777777" w:rsidR="003B68DB" w:rsidRPr="003B68DB" w:rsidRDefault="003B68DB" w:rsidP="003B68DB">
      <w:pPr>
        <w:rPr>
          <w:rFonts w:ascii="Arial" w:hAnsi="Arial" w:cs="Arial"/>
          <w:szCs w:val="24"/>
          <w:lang w:val="es-ES" w:eastAsia="es-ES"/>
        </w:rPr>
      </w:pPr>
    </w:p>
    <w:p w14:paraId="0F5380B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Revisar el interior de los tubos a instalarse, con el objeto de verificar su limpieza. Los accesorios a usarse en la tubería, son igualmente revisados y sometidos a una limpieza general. </w:t>
      </w:r>
    </w:p>
    <w:p w14:paraId="117E87B6" w14:textId="77777777" w:rsidR="003B68DB" w:rsidRPr="003B68DB" w:rsidRDefault="003B68DB" w:rsidP="003B68DB">
      <w:pPr>
        <w:rPr>
          <w:rFonts w:ascii="Arial" w:hAnsi="Arial" w:cs="Arial"/>
          <w:szCs w:val="24"/>
          <w:lang w:val="es-ES" w:eastAsia="es-ES"/>
        </w:rPr>
      </w:pPr>
    </w:p>
    <w:p w14:paraId="3E291BA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rasante de los tubos y accesorios, debe ser terminada cuidadosamente y se forma en ella una especie de media caña con el objetivo de que una cuarta parte de la circunferencia de cada tubo y en toda su longitud quede en contacto con terreno firme y además se provee de una excavación especial para alojar las campanas.</w:t>
      </w:r>
    </w:p>
    <w:p w14:paraId="4A17650F" w14:textId="77777777" w:rsidR="003B68DB" w:rsidRPr="003B68DB" w:rsidRDefault="003B68DB" w:rsidP="003B68DB">
      <w:pPr>
        <w:rPr>
          <w:rFonts w:ascii="Arial" w:hAnsi="Arial" w:cs="Arial"/>
          <w:szCs w:val="24"/>
          <w:lang w:val="es-ES" w:eastAsia="es-ES"/>
        </w:rPr>
      </w:pPr>
    </w:p>
    <w:p w14:paraId="7E8CC68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extremos de los tubos que ya han sido instalados, son protegidos con tapones de material aprobado por El Supervisor, para evitar que tierra y otras suciedades penetren en los tubos.</w:t>
      </w:r>
    </w:p>
    <w:p w14:paraId="79A99105" w14:textId="77777777" w:rsidR="003B68DB" w:rsidRPr="003B68DB" w:rsidRDefault="003B68DB" w:rsidP="003B68DB">
      <w:pPr>
        <w:rPr>
          <w:rFonts w:ascii="Arial" w:hAnsi="Arial" w:cs="Arial"/>
          <w:szCs w:val="24"/>
          <w:lang w:val="es-ES" w:eastAsia="es-ES"/>
        </w:rPr>
      </w:pPr>
    </w:p>
    <w:p w14:paraId="792D547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Cuando el eje de la excavación, tiene forma de curva horizontal, con ángulos de deflexiones menores e igual a 3° y radios de curvas muy grandes, la instalación puede hacerse sin el uso de codos, aprovechando las desviaciones angulares permisibles que </w:t>
      </w:r>
      <w:r w:rsidRPr="003B68DB">
        <w:rPr>
          <w:rFonts w:ascii="Arial" w:hAnsi="Arial" w:cs="Arial"/>
          <w:szCs w:val="24"/>
          <w:lang w:val="es-ES" w:eastAsia="es-ES"/>
        </w:rPr>
        <w:lastRenderedPageBreak/>
        <w:t>cada junta puede alcanzar, la cual es la especificada por el fabricante de la tubería. Conviene recordar que el montaje se realiza a partir de tubos perfectamente alineados.</w:t>
      </w:r>
    </w:p>
    <w:p w14:paraId="5B0D54FB" w14:textId="77777777" w:rsidR="003B68DB" w:rsidRPr="003B68DB" w:rsidRDefault="003B68DB" w:rsidP="003B68DB">
      <w:pPr>
        <w:rPr>
          <w:rFonts w:ascii="Arial" w:hAnsi="Arial" w:cs="Arial"/>
          <w:szCs w:val="24"/>
          <w:lang w:val="es-ES" w:eastAsia="es-ES"/>
        </w:rPr>
      </w:pPr>
    </w:p>
    <w:p w14:paraId="29820A9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desviación sólo debe realizarse, después que el montaje de la junta se encuentre totalmente terminado.</w:t>
      </w:r>
    </w:p>
    <w:p w14:paraId="7CDDCBF3" w14:textId="77777777" w:rsidR="003B68DB" w:rsidRPr="003B68DB" w:rsidRDefault="003B68DB" w:rsidP="003B68DB">
      <w:pPr>
        <w:rPr>
          <w:rFonts w:ascii="Arial" w:hAnsi="Arial" w:cs="Arial"/>
          <w:szCs w:val="24"/>
          <w:lang w:val="es-ES" w:eastAsia="es-ES"/>
        </w:rPr>
      </w:pPr>
    </w:p>
    <w:p w14:paraId="63E61BD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las zanjas con fuertes declives, es necesario anclar o asegurar los tubos que se van instalando, previendo que por su propio peso puedan deslizarse u originar defectos en sus uniones.</w:t>
      </w:r>
    </w:p>
    <w:p w14:paraId="0DC6FCF9" w14:textId="77777777" w:rsidR="003B68DB" w:rsidRPr="003B68DB" w:rsidRDefault="003B68DB" w:rsidP="003B68DB">
      <w:pPr>
        <w:rPr>
          <w:rFonts w:ascii="Arial" w:hAnsi="Arial" w:cs="Arial"/>
          <w:szCs w:val="24"/>
          <w:lang w:val="es-ES" w:eastAsia="es-ES"/>
        </w:rPr>
      </w:pPr>
    </w:p>
    <w:p w14:paraId="25E38538"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Colocar capa (colchón) de tierra suelta -libre de piedras- en el fondo de la zanja, antes de instalar las tuberías.</w:t>
      </w:r>
    </w:p>
    <w:p w14:paraId="247A87FE" w14:textId="77777777" w:rsidR="003B68DB" w:rsidRPr="003B68DB" w:rsidRDefault="003B68DB" w:rsidP="003B68DB">
      <w:pPr>
        <w:rPr>
          <w:rFonts w:ascii="Arial" w:hAnsi="Arial"/>
          <w:szCs w:val="24"/>
          <w:lang w:val="es-ES" w:eastAsia="es-ES"/>
        </w:rPr>
      </w:pPr>
    </w:p>
    <w:p w14:paraId="0BBFDC2A"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 xml:space="preserve">Instalar la tubería con sus respectivos accesorios para, acoples, adaptadores, transición de diámetros, cambios de dirección, bloques de reacción, anclajes y cruces especiales (cruce de alcantarilla y cruce de puente), según la pertinencia del caso. La cobertura de la tubería, es de 1.20 m sobre la corona del tubo y 0.80 en áreas verdes y pases peatonales. Ancho máximo (Dext + 0,50 m). Tanto las tuberías de circuito principal y secundaria han sido alineadas en sitios donde se facilite su instalación y posibilidades de ampliación, sustitución, reparaciones y mantenimiento. </w:t>
      </w:r>
    </w:p>
    <w:p w14:paraId="5A6DF645" w14:textId="77777777" w:rsidR="003B68DB" w:rsidRPr="003B68DB" w:rsidRDefault="003B68DB" w:rsidP="003B68DB">
      <w:pPr>
        <w:rPr>
          <w:rFonts w:ascii="Arial" w:hAnsi="Arial"/>
          <w:szCs w:val="24"/>
          <w:lang w:val="es-ES" w:eastAsia="es-ES"/>
        </w:rPr>
      </w:pPr>
    </w:p>
    <w:p w14:paraId="478DAC0D"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Instalar cruces especiales de tubería, según las exigencias de la topografía y estratos del terreno. Los cruces especiales deben disponer de sus respectivas entrada y salida según el caso.</w:t>
      </w:r>
    </w:p>
    <w:p w14:paraId="210E59A6" w14:textId="77777777" w:rsidR="003B68DB" w:rsidRPr="003B68DB" w:rsidRDefault="003B68DB" w:rsidP="003B68DB">
      <w:pPr>
        <w:rPr>
          <w:rFonts w:ascii="Arial" w:hAnsi="Arial"/>
          <w:szCs w:val="24"/>
          <w:lang w:val="es-ES" w:eastAsia="es-ES"/>
        </w:rPr>
      </w:pPr>
    </w:p>
    <w:p w14:paraId="3E91F080"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81" w:name="_Toc22391626"/>
      <w:bookmarkStart w:id="1682" w:name="_Toc22653954"/>
      <w:r w:rsidRPr="003B68DB">
        <w:rPr>
          <w:rFonts w:ascii="Arial" w:eastAsia="Arial Narrow" w:hAnsi="Arial" w:cs="Arial"/>
          <w:b/>
          <w:bCs/>
          <w:iCs/>
          <w:szCs w:val="22"/>
          <w:lang w:val="es-ES" w:bidi="en-US"/>
        </w:rPr>
        <w:t>Instalación de válvulas y accesorios</w:t>
      </w:r>
      <w:bookmarkEnd w:id="1681"/>
      <w:bookmarkEnd w:id="1682"/>
    </w:p>
    <w:p w14:paraId="7FC42501" w14:textId="77777777" w:rsidR="003B68DB" w:rsidRPr="003B68DB" w:rsidRDefault="003B68DB" w:rsidP="003B68DB">
      <w:pPr>
        <w:rPr>
          <w:rFonts w:ascii="Arial" w:hAnsi="Arial" w:cs="Arial"/>
          <w:szCs w:val="24"/>
          <w:lang w:val="es-ES" w:eastAsia="es-ES"/>
        </w:rPr>
      </w:pPr>
    </w:p>
    <w:p w14:paraId="22CC94A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Para instalaciones de válvulas, en lo que corresponde a excavación, cortes en la tubería y baldeo de aguas deben seguirse los pasos explicados para estos conceptos en los artículos precedentes. Antes de proceder con la instalación de las válvulas y cualquier otro accesorio, El Contratista los examina cuidadosamente.  El accesorio encontrado defectuoso es separado para su correcta reparación o para su abandono.</w:t>
      </w:r>
    </w:p>
    <w:p w14:paraId="1D6F4C65" w14:textId="77777777" w:rsidR="003B68DB" w:rsidRPr="003B68DB" w:rsidRDefault="003B68DB" w:rsidP="003B68DB">
      <w:pPr>
        <w:rPr>
          <w:rFonts w:ascii="Arial" w:hAnsi="Arial" w:cs="Arial"/>
          <w:szCs w:val="24"/>
          <w:lang w:val="es-ES" w:eastAsia="es-ES"/>
        </w:rPr>
      </w:pPr>
    </w:p>
    <w:p w14:paraId="51D278F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válvulas son inspeccionadas para comprobar la dirección de apertura, libertad de operación, la fijeza de los pernos, la limpieza de las puertas de la válvula y especialmente el asiento, daños por el manejo y grietas. Las válvulas deben ser instaladas en los lugares fijados por los planos o en los sitios indicados por EL supervisor. Toda válvula debe ser instalada de modo que su eje quede completamente vertical. Su instalación completa debe comprender caja protectora, bloque de reacción y anclaje.</w:t>
      </w:r>
    </w:p>
    <w:p w14:paraId="12784187" w14:textId="77777777" w:rsidR="003B68DB" w:rsidRPr="003B68DB" w:rsidRDefault="003B68DB" w:rsidP="003B68DB">
      <w:pPr>
        <w:rPr>
          <w:rFonts w:ascii="Arial" w:hAnsi="Arial" w:cs="Arial"/>
          <w:szCs w:val="24"/>
          <w:lang w:val="es-ES" w:eastAsia="es-ES"/>
        </w:rPr>
      </w:pPr>
    </w:p>
    <w:p w14:paraId="2A7693B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Cuando se trate de accesorios y válvulas con extremos de brida, deben usarse longitudes cortas de tubería en cada uno de los extremos.  El objeto de esto es dar Flexibilidad a la instalación. Cuando se tengan uniones flexibles no es necesario el uso de estas piezas cortas.</w:t>
      </w:r>
    </w:p>
    <w:p w14:paraId="220C90E5" w14:textId="77777777" w:rsidR="003B68DB" w:rsidRPr="003B68DB" w:rsidRDefault="003B68DB" w:rsidP="003B68DB">
      <w:pPr>
        <w:rPr>
          <w:rFonts w:ascii="Arial" w:hAnsi="Arial" w:cs="Arial"/>
          <w:szCs w:val="24"/>
          <w:lang w:val="es-ES" w:eastAsia="es-ES"/>
        </w:rPr>
      </w:pPr>
    </w:p>
    <w:p w14:paraId="571F5F6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Se instala una caja de válvulas por cada válvula a ser instalada, sea ésta de compuerta o de mariposa, válvula de aire-vacío y válvula automática reguladora de presión. Todas las cajas de válvulas deben ser colocadas de manera que no transmitan impactos o esfuerzos a la válvula, y deben ser centradas y colocadas a plomo sobre la tuerca de operación de las válvulas. El terreno de la zanja sobre el cual hayan de descansar las cajas de válvulas, debe estar perfectamente compactado para evitar asentamientos. Las cajas deben armarse en forma segura, y deben ser colocadas en forma tal, que la tapa quede a ras con la superficie del terreno natural o de la carpeta de rodamiento.</w:t>
      </w:r>
    </w:p>
    <w:p w14:paraId="699B034C" w14:textId="77777777" w:rsidR="003B68DB" w:rsidRPr="003B68DB" w:rsidRDefault="003B68DB" w:rsidP="003B68DB">
      <w:pPr>
        <w:rPr>
          <w:rFonts w:ascii="Arial" w:hAnsi="Arial" w:cs="Arial"/>
          <w:szCs w:val="24"/>
          <w:lang w:val="es-ES" w:eastAsia="es-ES"/>
        </w:rPr>
      </w:pPr>
    </w:p>
    <w:p w14:paraId="7ADA6C7F"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Ubicación de las válvulas, en los siguientes lugares como mínimo:</w:t>
      </w:r>
    </w:p>
    <w:p w14:paraId="288147F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1.</w:t>
      </w:r>
      <w:r w:rsidRPr="003B68DB">
        <w:rPr>
          <w:rFonts w:ascii="Arial" w:hAnsi="Arial"/>
          <w:szCs w:val="24"/>
          <w:lang w:val="es-ES" w:eastAsia="es-ES"/>
        </w:rPr>
        <w:tab/>
        <w:t>En las esquinas de los circuitos principales; su colocación debe permitir el aislamiento total de circuitos mayores para ejecutar reparaciones.</w:t>
      </w:r>
    </w:p>
    <w:p w14:paraId="02B18926"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2.</w:t>
      </w:r>
      <w:r w:rsidRPr="003B68DB">
        <w:rPr>
          <w:rFonts w:ascii="Arial" w:hAnsi="Arial"/>
          <w:szCs w:val="24"/>
          <w:lang w:val="es-ES" w:eastAsia="es-ES"/>
        </w:rPr>
        <w:tab/>
        <w:t>En el nodo que forman la línea de distribución principal y la red de tuberías de distribución.</w:t>
      </w:r>
    </w:p>
    <w:p w14:paraId="6FE72ACD"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3.</w:t>
      </w:r>
      <w:r w:rsidRPr="003B68DB">
        <w:rPr>
          <w:rFonts w:ascii="Arial" w:hAnsi="Arial"/>
          <w:szCs w:val="24"/>
          <w:lang w:val="es-ES" w:eastAsia="es-ES"/>
        </w:rPr>
        <w:tab/>
        <w:t>Cada una de las válvulas debe, ser protegida con su respectiva caja de válvula</w:t>
      </w:r>
    </w:p>
    <w:p w14:paraId="1261FCEE" w14:textId="77777777" w:rsidR="003B68DB" w:rsidRPr="003B68DB" w:rsidRDefault="003B68DB" w:rsidP="003B68DB">
      <w:pPr>
        <w:rPr>
          <w:rFonts w:ascii="Arial" w:hAnsi="Arial"/>
          <w:szCs w:val="24"/>
          <w:lang w:val="es-ES" w:eastAsia="es-ES"/>
        </w:rPr>
      </w:pPr>
    </w:p>
    <w:p w14:paraId="5430E3A4"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Instalar válvula de pase al pie del tanque de almacenamiento, que permita el aislamiento total de entrada al mismo, para ejecutar reparaciones.</w:t>
      </w:r>
    </w:p>
    <w:p w14:paraId="7299F8B8" w14:textId="77777777" w:rsidR="003B68DB" w:rsidRPr="003B68DB" w:rsidRDefault="003B68DB" w:rsidP="003B68DB">
      <w:pPr>
        <w:rPr>
          <w:rFonts w:ascii="Arial" w:hAnsi="Arial"/>
          <w:szCs w:val="24"/>
          <w:lang w:val="es-ES" w:eastAsia="es-ES"/>
        </w:rPr>
      </w:pPr>
    </w:p>
    <w:p w14:paraId="17E7AB8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Suministrar e instalar válvulas y accesorios, acoples, adaptadores, transición de diámetros, cambios de dirección con todas sus protecciones, distribuidas a lo largo de la tubería de conducción y de la red de distribución, incluye materiales de construcción y agregados para bloques de reacción y anclajes. Las válvulas deben ser interconectadas con sus respectivos dispositivos de acople a la tubería de conducción y a la red de distribución según el diámetro que corresponda y con sus respectivas cajas protectoras para válvulas.</w:t>
      </w:r>
    </w:p>
    <w:p w14:paraId="2DAAFC55" w14:textId="77777777" w:rsidR="003B68DB" w:rsidRPr="003B68DB" w:rsidRDefault="003B68DB" w:rsidP="003B68DB">
      <w:pPr>
        <w:rPr>
          <w:rFonts w:ascii="Arial" w:hAnsi="Arial" w:cs="Arial"/>
          <w:szCs w:val="24"/>
          <w:lang w:val="es-ES" w:eastAsia="es-ES"/>
        </w:rPr>
      </w:pPr>
    </w:p>
    <w:p w14:paraId="139F1083"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83" w:name="_Toc22391627"/>
      <w:bookmarkStart w:id="1684" w:name="_Toc22653955"/>
      <w:r w:rsidRPr="003B68DB">
        <w:rPr>
          <w:rFonts w:ascii="Arial" w:eastAsia="Arial Narrow" w:hAnsi="Arial" w:cs="Arial"/>
          <w:b/>
          <w:bCs/>
          <w:iCs/>
          <w:szCs w:val="22"/>
          <w:lang w:val="es-ES" w:bidi="en-US"/>
        </w:rPr>
        <w:t>Anclajes y bloques de reacción</w:t>
      </w:r>
      <w:bookmarkEnd w:id="1683"/>
      <w:bookmarkEnd w:id="1684"/>
    </w:p>
    <w:p w14:paraId="58493DF1" w14:textId="77777777" w:rsidR="003B68DB" w:rsidRPr="003B68DB" w:rsidRDefault="003B68DB" w:rsidP="003B68DB">
      <w:pPr>
        <w:rPr>
          <w:rFonts w:ascii="Arial" w:hAnsi="Arial" w:cs="Arial"/>
          <w:szCs w:val="24"/>
          <w:lang w:val="es-ES" w:eastAsia="es-ES"/>
        </w:rPr>
      </w:pPr>
    </w:p>
    <w:p w14:paraId="0CDA23E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Accesorios en general como Tee’s, Reductores, Codos, Tapones, Válvulas, etc., son afianzados por medio de anclajes y bloques de reacción, con el objetivo de impedir su desplazamiento bajo la presión del agua.  Estos bloques son de concreto y deben extenderse hasta el suelo virgen de la pared de la zanja y opuesto a la dirección de empuje.  La forma de los bloques depende del tipo de accesorios que se trata de afianzar. En los planos de detalles se muestran la forma y dimensiones de los bloques para cada accesorio en particular. Estas dimensiones suponen un asiento sobre terreno firme. En terreno poco consistente estas dimensiones deben aumentarse. Es conveniente y necesario que el bloque no cubra las campanas o las uniones de los accesorios.</w:t>
      </w:r>
    </w:p>
    <w:p w14:paraId="27A087EC" w14:textId="77777777" w:rsidR="003B68DB" w:rsidRPr="003B68DB" w:rsidRDefault="003B68DB" w:rsidP="003B68DB">
      <w:pPr>
        <w:rPr>
          <w:rFonts w:ascii="Arial" w:hAnsi="Arial" w:cs="Arial"/>
          <w:szCs w:val="24"/>
          <w:lang w:val="es-ES" w:eastAsia="es-ES"/>
        </w:rPr>
      </w:pPr>
    </w:p>
    <w:p w14:paraId="548B404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Cuando una unión se deflacte para formar una curva vertical, se presenta un empuje hacia arriba o hacia abajo, según la deflexión sea en uno u otro sentido. Si el empuje es hacia arriba, el peso del relleno debe ser capaz de resistirlo; en caso contrario, es necesario usar como parte del relleno un material más pesado (balastro o concreto.). Si la deflexión se ha hecho en una curva horizontal, el empuje se presenta hacia afuera, y generalmente puede ser resistido apisonando muy bien el material de relleno, entre el tubo y la pared de la zanja. Sin embargo, cuando la calidad del terreno es mala y las </w:t>
      </w:r>
      <w:r w:rsidRPr="003B68DB">
        <w:rPr>
          <w:rFonts w:ascii="Arial" w:hAnsi="Arial" w:cs="Arial"/>
          <w:szCs w:val="24"/>
          <w:lang w:val="es-ES" w:eastAsia="es-ES"/>
        </w:rPr>
        <w:lastRenderedPageBreak/>
        <w:t>presiones altas, puede ser necesario construir bloques de anclajes. Estos han de construirse entre el tubo y la pared de la zanja, nunca en la unión.</w:t>
      </w:r>
    </w:p>
    <w:p w14:paraId="7D2CB714" w14:textId="77777777" w:rsidR="003B68DB" w:rsidRPr="003B68DB" w:rsidRDefault="003B68DB" w:rsidP="003B68DB">
      <w:pPr>
        <w:rPr>
          <w:rFonts w:ascii="Arial" w:hAnsi="Arial" w:cs="Arial"/>
          <w:szCs w:val="24"/>
          <w:lang w:val="es-ES" w:eastAsia="es-ES"/>
        </w:rPr>
      </w:pPr>
    </w:p>
    <w:p w14:paraId="377886A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las pendientes fuertes hay tendencia del relleno al deslizamiento, y puede arrastrar consigo la tubería. En la mayoría de los casos, basta apisonar muy bien en capas de 10 cm hasta llegar al nivel natural del terreno. Si por alguna razón se tiene un deslizamiento, deben construirse bloques de anclaje de manera que queden apoyados en el terreno firme que ha sido excavado. Estos bloques de anclaje pueden construirse a cada tercer tubo.</w:t>
      </w:r>
    </w:p>
    <w:p w14:paraId="25D3AA56" w14:textId="77777777" w:rsidR="003B68DB" w:rsidRPr="003B68DB" w:rsidRDefault="003B68DB" w:rsidP="003B68DB">
      <w:pPr>
        <w:rPr>
          <w:rFonts w:ascii="Arial" w:hAnsi="Arial" w:cs="Arial"/>
          <w:szCs w:val="24"/>
          <w:lang w:val="es-ES" w:eastAsia="es-ES"/>
        </w:rPr>
      </w:pPr>
    </w:p>
    <w:p w14:paraId="443A7903"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Confeccionar bloques de reacción en el sitio, según la pertinencia del caso a como se indica en planos y especificaciones.</w:t>
      </w:r>
    </w:p>
    <w:p w14:paraId="124144C7" w14:textId="77777777" w:rsidR="003B68DB" w:rsidRPr="003B68DB" w:rsidRDefault="003B68DB" w:rsidP="003B68DB">
      <w:pPr>
        <w:rPr>
          <w:rFonts w:ascii="Arial" w:hAnsi="Arial" w:cs="Arial"/>
          <w:szCs w:val="24"/>
          <w:lang w:val="es-ES" w:eastAsia="es-ES"/>
        </w:rPr>
      </w:pPr>
    </w:p>
    <w:p w14:paraId="6CF85437"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85" w:name="_Toc22391628"/>
      <w:bookmarkStart w:id="1686" w:name="_Toc22653956"/>
      <w:r w:rsidRPr="003B68DB">
        <w:rPr>
          <w:rFonts w:ascii="Arial" w:eastAsia="Arial Narrow" w:hAnsi="Arial" w:cs="Arial"/>
          <w:b/>
          <w:bCs/>
          <w:iCs/>
          <w:szCs w:val="22"/>
          <w:lang w:val="es-ES" w:bidi="en-US"/>
        </w:rPr>
        <w:t>Prueba hidrostatica y desinfeccion</w:t>
      </w:r>
      <w:bookmarkEnd w:id="1685"/>
      <w:bookmarkEnd w:id="1686"/>
    </w:p>
    <w:p w14:paraId="0DC3BE97" w14:textId="77777777" w:rsidR="003B68DB" w:rsidRPr="003B68DB" w:rsidRDefault="003B68DB" w:rsidP="003B68DB">
      <w:pPr>
        <w:rPr>
          <w:rFonts w:ascii="Arial" w:hAnsi="Arial"/>
          <w:szCs w:val="24"/>
          <w:lang w:val="es-ES" w:eastAsia="es-ES"/>
        </w:rPr>
      </w:pPr>
    </w:p>
    <w:p w14:paraId="29735D08" w14:textId="77777777" w:rsidR="003B68DB" w:rsidRPr="003B68DB" w:rsidRDefault="003B68DB" w:rsidP="003B68DB">
      <w:pPr>
        <w:rPr>
          <w:rFonts w:ascii="Arial" w:hAnsi="Arial"/>
          <w:szCs w:val="24"/>
          <w:lang w:val="es-ES" w:eastAsia="es-ES"/>
        </w:rPr>
      </w:pPr>
      <w:r w:rsidRPr="003B68DB">
        <w:rPr>
          <w:rFonts w:ascii="Arial" w:hAnsi="Arial" w:cs="Arial"/>
          <w:szCs w:val="24"/>
          <w:lang w:val="es-ES" w:eastAsia="es-ES"/>
        </w:rPr>
        <w:t xml:space="preserve">Después de instalar el tubo y antes de rellenar la zanja el Contratista somete a prueba secciones de tubería que no excedan 300 metros, salvo que el Supervisor permita probar secciones más largas. </w:t>
      </w:r>
      <w:r w:rsidRPr="003B68DB">
        <w:rPr>
          <w:rFonts w:ascii="Arial" w:hAnsi="Arial"/>
          <w:szCs w:val="24"/>
          <w:lang w:val="es-ES" w:eastAsia="es-ES"/>
        </w:rPr>
        <w:t xml:space="preserve">El Contratista instala los bloques de empuje temporales, tapones, y todo dispositivo necesario para el ensayo. Se requiere que todo aire sea expulsado del tubo antes de elevar la presion de prueba a lo aquí estipulado y con este fin se instalan llaves maestras donde el Supervisor lo considere necesario. </w:t>
      </w:r>
    </w:p>
    <w:p w14:paraId="49C4BBE5" w14:textId="77777777" w:rsidR="003B68DB" w:rsidRPr="003B68DB" w:rsidRDefault="003B68DB" w:rsidP="003B68DB">
      <w:pPr>
        <w:rPr>
          <w:rFonts w:ascii="Arial" w:hAnsi="Arial"/>
          <w:szCs w:val="24"/>
          <w:lang w:val="es-ES" w:eastAsia="es-ES"/>
        </w:rPr>
      </w:pPr>
    </w:p>
    <w:p w14:paraId="1B691EAE" w14:textId="77777777" w:rsidR="003B68DB" w:rsidRPr="003B68DB" w:rsidRDefault="003B68DB" w:rsidP="003B68DB">
      <w:pPr>
        <w:rPr>
          <w:rFonts w:ascii="Arial" w:hAnsi="Arial"/>
          <w:szCs w:val="24"/>
          <w:lang w:val="es-ES" w:eastAsia="es-ES"/>
        </w:rPr>
      </w:pPr>
      <w:r w:rsidRPr="003B68DB">
        <w:rPr>
          <w:rFonts w:ascii="Arial" w:hAnsi="Arial" w:cs="Arial"/>
          <w:spacing w:val="-2"/>
          <w:szCs w:val="24"/>
          <w:lang w:val="es-ES" w:eastAsia="es-ES"/>
        </w:rPr>
        <w:t xml:space="preserve">La realización de esta prueba requiere que, todas las conexiones y accesorios del segmento de tubería a ensayar esten instalados </w:t>
      </w:r>
      <w:r w:rsidRPr="003B68DB">
        <w:rPr>
          <w:rFonts w:ascii="Arial" w:hAnsi="Arial"/>
          <w:szCs w:val="24"/>
          <w:lang w:val="es-ES" w:eastAsia="es-ES"/>
        </w:rPr>
        <w:t>para control de calidad de las instalaciones.</w:t>
      </w:r>
    </w:p>
    <w:p w14:paraId="2ACAAE90" w14:textId="77777777" w:rsidR="003B68DB" w:rsidRPr="003B68DB" w:rsidRDefault="003B68DB" w:rsidP="003B68DB">
      <w:pPr>
        <w:rPr>
          <w:rFonts w:ascii="Arial" w:hAnsi="Arial"/>
          <w:szCs w:val="24"/>
          <w:lang w:val="es-ES" w:eastAsia="es-ES"/>
        </w:rPr>
      </w:pPr>
    </w:p>
    <w:p w14:paraId="3C978A6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el objetivo de la prueba es verificar la resistencia de la tubería a la presión de trabajo a que está sometida y hermeticidad, procurando ejercer las presiones correspondientes y verificando que se cumpla con las normas de diseño. Las pruebas hidrostáticas se deben realizar al finalizar las labores de instalación de tuberías y antes de entrar en operación continua de servicio, apegado a lo establecido en estas especificaciones técnicas.</w:t>
      </w:r>
    </w:p>
    <w:p w14:paraId="1CA46A55" w14:textId="77777777" w:rsidR="003B68DB" w:rsidRPr="003B68DB" w:rsidRDefault="003B68DB" w:rsidP="003B68DB">
      <w:pPr>
        <w:rPr>
          <w:rFonts w:ascii="Arial" w:hAnsi="Arial" w:cs="Arial"/>
          <w:szCs w:val="24"/>
          <w:lang w:val="es-ES" w:eastAsia="es-ES"/>
        </w:rPr>
      </w:pPr>
    </w:p>
    <w:p w14:paraId="6A8FF01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tubería debe llenarse con agua durante un período no menor de 24 horas; y la presión de prueba se mantiene durante 2 horas. La presión de prueba es de 112.5 mca (160 PSI), para tubería PVC. Toda junta entre tubos y accesorios es revisada cuidadosamente durante la prueba a presión y donde se vea fuga o derrame, el Contratista repera las juntas hasta que todas estas queden impermeables. El material dañado es removido y reemplazado por e</w:t>
      </w:r>
      <w:r w:rsidRPr="003B68DB">
        <w:rPr>
          <w:rFonts w:ascii="Arial" w:hAnsi="Arial"/>
          <w:szCs w:val="24"/>
          <w:lang w:val="es-ES" w:eastAsia="es-ES"/>
        </w:rPr>
        <w:t>l contratista. Es responsabilidad del Contratista proveer todo material, equipo y mano de obra necesarios para remover los tubos defectuosos e instalar los materiales de reemplazo.</w:t>
      </w:r>
      <w:r w:rsidRPr="003B68DB">
        <w:rPr>
          <w:rFonts w:ascii="Arial" w:hAnsi="Arial" w:cs="Arial"/>
          <w:szCs w:val="24"/>
          <w:lang w:val="es-ES" w:eastAsia="es-ES"/>
        </w:rPr>
        <w:t xml:space="preserve"> Los costos de esta operación son asumidos por El Contratista.</w:t>
      </w:r>
      <w:r w:rsidRPr="003B68DB">
        <w:rPr>
          <w:rFonts w:ascii="Arial" w:hAnsi="Arial"/>
          <w:szCs w:val="24"/>
          <w:lang w:val="es-ES" w:eastAsia="es-ES"/>
        </w:rPr>
        <w:t xml:space="preserve"> </w:t>
      </w:r>
    </w:p>
    <w:p w14:paraId="2EFB229D" w14:textId="77777777" w:rsidR="003B68DB" w:rsidRPr="003B68DB" w:rsidRDefault="003B68DB" w:rsidP="003B68DB">
      <w:pPr>
        <w:rPr>
          <w:rFonts w:ascii="Arial" w:hAnsi="Arial" w:cs="Arial"/>
          <w:szCs w:val="24"/>
          <w:lang w:val="es-ES" w:eastAsia="es-ES"/>
        </w:rPr>
      </w:pPr>
    </w:p>
    <w:p w14:paraId="736B9C9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pérdida de agua de los tubos durante la prueba a la presión indicada no debe exceder de los valores siguientes, en galones por hora y por tramos de tubería:</w:t>
      </w:r>
    </w:p>
    <w:p w14:paraId="0263A94C" w14:textId="77777777" w:rsidR="003B68DB" w:rsidRPr="003B68DB" w:rsidRDefault="003B68DB" w:rsidP="003B68DB">
      <w:pPr>
        <w:rPr>
          <w:rFonts w:ascii="Arial" w:hAnsi="Arial" w:cs="Arial"/>
          <w:szCs w:val="24"/>
          <w:lang w:val="es-ES" w:eastAsia="es-ES"/>
        </w:rPr>
      </w:pPr>
    </w:p>
    <w:p w14:paraId="44628B12" w14:textId="77777777" w:rsidR="003B68DB" w:rsidRPr="003B68DB" w:rsidRDefault="003B68DB" w:rsidP="003B68DB">
      <w:pPr>
        <w:jc w:val="center"/>
        <w:rPr>
          <w:rFonts w:ascii="Arial" w:hAnsi="Arial" w:cs="Arial"/>
          <w:b/>
          <w:szCs w:val="24"/>
          <w:lang w:val="es-ES" w:eastAsia="es-ES"/>
        </w:rPr>
      </w:pPr>
      <w:r w:rsidRPr="003B68DB">
        <w:rPr>
          <w:rFonts w:ascii="Arial" w:hAnsi="Arial" w:cs="Arial"/>
          <w:b/>
          <w:szCs w:val="24"/>
          <w:lang w:val="es-ES" w:eastAsia="es-ES"/>
        </w:rPr>
        <w:t>Máximas Fugas Permisibles en Tubería PVC en Tramos de 300 m</w:t>
      </w:r>
    </w:p>
    <w:tbl>
      <w:tblPr>
        <w:tblW w:w="0" w:type="auto"/>
        <w:jc w:val="center"/>
        <w:tblLayout w:type="fixed"/>
        <w:tblCellMar>
          <w:left w:w="30" w:type="dxa"/>
          <w:right w:w="30" w:type="dxa"/>
        </w:tblCellMar>
        <w:tblLook w:val="0000" w:firstRow="0" w:lastRow="0" w:firstColumn="0" w:lastColumn="0" w:noHBand="0" w:noVBand="0"/>
      </w:tblPr>
      <w:tblGrid>
        <w:gridCol w:w="758"/>
        <w:gridCol w:w="696"/>
        <w:gridCol w:w="850"/>
        <w:gridCol w:w="707"/>
        <w:gridCol w:w="706"/>
        <w:gridCol w:w="847"/>
        <w:gridCol w:w="812"/>
        <w:gridCol w:w="706"/>
        <w:gridCol w:w="849"/>
        <w:gridCol w:w="804"/>
        <w:gridCol w:w="6"/>
      </w:tblGrid>
      <w:tr w:rsidR="003B68DB" w:rsidRPr="003B68DB" w14:paraId="1E81B4E5" w14:textId="77777777" w:rsidTr="00243EB4">
        <w:trPr>
          <w:cantSplit/>
          <w:trHeight w:val="342"/>
          <w:jc w:val="center"/>
        </w:trPr>
        <w:tc>
          <w:tcPr>
            <w:tcW w:w="1454" w:type="dxa"/>
            <w:gridSpan w:val="2"/>
            <w:vMerge w:val="restart"/>
            <w:tcBorders>
              <w:top w:val="single" w:sz="4" w:space="0" w:color="auto"/>
              <w:left w:val="single" w:sz="4" w:space="0" w:color="auto"/>
              <w:bottom w:val="single" w:sz="4" w:space="0" w:color="auto"/>
              <w:right w:val="single" w:sz="4" w:space="0" w:color="auto"/>
            </w:tcBorders>
            <w:shd w:val="clear" w:color="auto" w:fill="EDEDED"/>
            <w:vAlign w:val="center"/>
          </w:tcPr>
          <w:p w14:paraId="137E0FCE"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lastRenderedPageBreak/>
              <w:t>Diámetro</w:t>
            </w:r>
          </w:p>
        </w:tc>
        <w:tc>
          <w:tcPr>
            <w:tcW w:w="6284" w:type="dxa"/>
            <w:gridSpan w:val="9"/>
            <w:tcBorders>
              <w:top w:val="single" w:sz="4" w:space="0" w:color="auto"/>
              <w:left w:val="single" w:sz="4" w:space="0" w:color="auto"/>
              <w:bottom w:val="single" w:sz="4" w:space="0" w:color="auto"/>
              <w:right w:val="single" w:sz="4" w:space="0" w:color="auto"/>
            </w:tcBorders>
            <w:shd w:val="clear" w:color="auto" w:fill="EDEDED"/>
          </w:tcPr>
          <w:p w14:paraId="66310948"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t xml:space="preserve">Presión promedio de prueba </w:t>
            </w:r>
          </w:p>
          <w:p w14:paraId="023DF8E2"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t>(psi)</w:t>
            </w:r>
          </w:p>
        </w:tc>
      </w:tr>
      <w:tr w:rsidR="003B68DB" w:rsidRPr="003B68DB" w14:paraId="373D31A0" w14:textId="77777777" w:rsidTr="00243EB4">
        <w:trPr>
          <w:cantSplit/>
          <w:trHeight w:val="342"/>
          <w:jc w:val="center"/>
        </w:trPr>
        <w:tc>
          <w:tcPr>
            <w:tcW w:w="1454" w:type="dxa"/>
            <w:gridSpan w:val="2"/>
            <w:vMerge/>
            <w:tcBorders>
              <w:left w:val="single" w:sz="4" w:space="0" w:color="auto"/>
              <w:bottom w:val="single" w:sz="4" w:space="0" w:color="auto"/>
              <w:right w:val="single" w:sz="4" w:space="0" w:color="auto"/>
            </w:tcBorders>
            <w:shd w:val="clear" w:color="auto" w:fill="EDEDED"/>
          </w:tcPr>
          <w:p w14:paraId="710570E9" w14:textId="77777777" w:rsidR="003B68DB" w:rsidRPr="003B68DB" w:rsidRDefault="003B68DB" w:rsidP="003B68DB">
            <w:pPr>
              <w:tabs>
                <w:tab w:val="left" w:pos="0"/>
                <w:tab w:val="left" w:pos="567"/>
                <w:tab w:val="left" w:pos="1440"/>
              </w:tabs>
              <w:rPr>
                <w:rFonts w:ascii="Arial" w:hAnsi="Arial" w:cs="Arial"/>
                <w:b/>
                <w:snapToGrid w:val="0"/>
                <w:szCs w:val="24"/>
              </w:rPr>
            </w:pPr>
          </w:p>
        </w:tc>
        <w:tc>
          <w:tcPr>
            <w:tcW w:w="3110" w:type="dxa"/>
            <w:gridSpan w:val="4"/>
            <w:tcBorders>
              <w:top w:val="single" w:sz="4" w:space="0" w:color="auto"/>
              <w:left w:val="single" w:sz="4" w:space="0" w:color="auto"/>
              <w:bottom w:val="single" w:sz="6" w:space="0" w:color="auto"/>
            </w:tcBorders>
            <w:shd w:val="clear" w:color="auto" w:fill="EDEDED"/>
          </w:tcPr>
          <w:p w14:paraId="78C98291"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t>Pérdidas en gph</w:t>
            </w:r>
          </w:p>
        </w:tc>
        <w:tc>
          <w:tcPr>
            <w:tcW w:w="3173" w:type="dxa"/>
            <w:gridSpan w:val="5"/>
            <w:tcBorders>
              <w:top w:val="single" w:sz="4" w:space="0" w:color="auto"/>
              <w:left w:val="single" w:sz="4" w:space="0" w:color="auto"/>
              <w:bottom w:val="single" w:sz="4" w:space="0" w:color="auto"/>
              <w:right w:val="single" w:sz="4" w:space="0" w:color="auto"/>
            </w:tcBorders>
            <w:shd w:val="clear" w:color="auto" w:fill="EDEDED"/>
          </w:tcPr>
          <w:p w14:paraId="65A2F27A"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t>Pérdidas en l/h</w:t>
            </w:r>
          </w:p>
        </w:tc>
      </w:tr>
      <w:tr w:rsidR="003B68DB" w:rsidRPr="003B68DB" w14:paraId="58CB82EF" w14:textId="77777777" w:rsidTr="00243EB4">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shd w:val="clear" w:color="auto" w:fill="EDEDED"/>
          </w:tcPr>
          <w:p w14:paraId="41A591E7"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t>m</w:t>
            </w:r>
          </w:p>
        </w:tc>
        <w:tc>
          <w:tcPr>
            <w:tcW w:w="695" w:type="dxa"/>
            <w:tcBorders>
              <w:top w:val="single" w:sz="4" w:space="0" w:color="auto"/>
              <w:left w:val="single" w:sz="4" w:space="0" w:color="auto"/>
              <w:bottom w:val="single" w:sz="4" w:space="0" w:color="auto"/>
              <w:right w:val="single" w:sz="4" w:space="0" w:color="auto"/>
            </w:tcBorders>
            <w:shd w:val="clear" w:color="auto" w:fill="EDEDED"/>
          </w:tcPr>
          <w:p w14:paraId="07DB2F67" w14:textId="77777777" w:rsidR="003B68DB" w:rsidRPr="003B68DB" w:rsidRDefault="003B68DB" w:rsidP="003B68DB">
            <w:pPr>
              <w:tabs>
                <w:tab w:val="left" w:pos="0"/>
                <w:tab w:val="left" w:pos="567"/>
                <w:tab w:val="left" w:pos="1440"/>
              </w:tabs>
              <w:jc w:val="center"/>
              <w:rPr>
                <w:rFonts w:ascii="Arial" w:hAnsi="Arial" w:cs="Arial"/>
                <w:b/>
                <w:snapToGrid w:val="0"/>
                <w:szCs w:val="24"/>
              </w:rPr>
            </w:pPr>
            <w:r w:rsidRPr="003B68DB">
              <w:rPr>
                <w:rFonts w:ascii="Arial" w:hAnsi="Arial" w:cs="Arial"/>
                <w:b/>
                <w:snapToGrid w:val="0"/>
                <w:szCs w:val="24"/>
              </w:rPr>
              <w:t>Pulg</w:t>
            </w:r>
          </w:p>
        </w:tc>
        <w:tc>
          <w:tcPr>
            <w:tcW w:w="850" w:type="dxa"/>
            <w:tcBorders>
              <w:top w:val="single" w:sz="6" w:space="0" w:color="auto"/>
              <w:left w:val="single" w:sz="4" w:space="0" w:color="auto"/>
              <w:bottom w:val="single" w:sz="6" w:space="0" w:color="auto"/>
              <w:right w:val="single" w:sz="6" w:space="0" w:color="auto"/>
            </w:tcBorders>
            <w:shd w:val="clear" w:color="auto" w:fill="EDEDED"/>
          </w:tcPr>
          <w:p w14:paraId="7EB625C8"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150</w:t>
            </w:r>
          </w:p>
        </w:tc>
        <w:tc>
          <w:tcPr>
            <w:tcW w:w="707" w:type="dxa"/>
            <w:tcBorders>
              <w:top w:val="single" w:sz="6" w:space="0" w:color="auto"/>
              <w:left w:val="single" w:sz="6" w:space="0" w:color="auto"/>
              <w:bottom w:val="single" w:sz="6" w:space="0" w:color="auto"/>
              <w:right w:val="single" w:sz="6" w:space="0" w:color="auto"/>
            </w:tcBorders>
            <w:shd w:val="clear" w:color="auto" w:fill="EDEDED"/>
          </w:tcPr>
          <w:p w14:paraId="2CD45FAB"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190</w:t>
            </w:r>
          </w:p>
        </w:tc>
        <w:tc>
          <w:tcPr>
            <w:tcW w:w="706" w:type="dxa"/>
            <w:tcBorders>
              <w:top w:val="single" w:sz="6" w:space="0" w:color="auto"/>
              <w:left w:val="single" w:sz="6" w:space="0" w:color="auto"/>
              <w:bottom w:val="single" w:sz="6" w:space="0" w:color="auto"/>
              <w:right w:val="single" w:sz="6" w:space="0" w:color="auto"/>
            </w:tcBorders>
            <w:shd w:val="clear" w:color="auto" w:fill="EDEDED"/>
          </w:tcPr>
          <w:p w14:paraId="6A670041"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230</w:t>
            </w:r>
          </w:p>
        </w:tc>
        <w:tc>
          <w:tcPr>
            <w:tcW w:w="845" w:type="dxa"/>
            <w:tcBorders>
              <w:top w:val="single" w:sz="6" w:space="0" w:color="auto"/>
              <w:left w:val="single" w:sz="6" w:space="0" w:color="auto"/>
              <w:bottom w:val="single" w:sz="6" w:space="0" w:color="auto"/>
            </w:tcBorders>
            <w:shd w:val="clear" w:color="auto" w:fill="EDEDED"/>
          </w:tcPr>
          <w:p w14:paraId="0C81B55A"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270</w:t>
            </w:r>
          </w:p>
        </w:tc>
        <w:tc>
          <w:tcPr>
            <w:tcW w:w="812" w:type="dxa"/>
            <w:tcBorders>
              <w:top w:val="single" w:sz="4" w:space="0" w:color="auto"/>
              <w:left w:val="single" w:sz="4" w:space="0" w:color="auto"/>
              <w:bottom w:val="single" w:sz="4" w:space="0" w:color="auto"/>
              <w:right w:val="single" w:sz="4" w:space="0" w:color="auto"/>
            </w:tcBorders>
            <w:shd w:val="clear" w:color="auto" w:fill="EDEDED"/>
          </w:tcPr>
          <w:p w14:paraId="6716FB36"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150</w:t>
            </w:r>
          </w:p>
        </w:tc>
        <w:tc>
          <w:tcPr>
            <w:tcW w:w="706" w:type="dxa"/>
            <w:tcBorders>
              <w:top w:val="single" w:sz="4" w:space="0" w:color="auto"/>
              <w:left w:val="single" w:sz="4" w:space="0" w:color="auto"/>
              <w:bottom w:val="single" w:sz="4" w:space="0" w:color="auto"/>
              <w:right w:val="single" w:sz="4" w:space="0" w:color="auto"/>
            </w:tcBorders>
            <w:shd w:val="clear" w:color="auto" w:fill="EDEDED"/>
          </w:tcPr>
          <w:p w14:paraId="77B02553"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190</w:t>
            </w:r>
          </w:p>
        </w:tc>
        <w:tc>
          <w:tcPr>
            <w:tcW w:w="849" w:type="dxa"/>
            <w:tcBorders>
              <w:top w:val="single" w:sz="4" w:space="0" w:color="auto"/>
              <w:left w:val="single" w:sz="4" w:space="0" w:color="auto"/>
              <w:bottom w:val="single" w:sz="4" w:space="0" w:color="auto"/>
              <w:right w:val="single" w:sz="4" w:space="0" w:color="auto"/>
            </w:tcBorders>
            <w:shd w:val="clear" w:color="auto" w:fill="EDEDED"/>
          </w:tcPr>
          <w:p w14:paraId="3B94D1C5"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230</w:t>
            </w:r>
          </w:p>
        </w:tc>
        <w:tc>
          <w:tcPr>
            <w:tcW w:w="804" w:type="dxa"/>
            <w:tcBorders>
              <w:top w:val="single" w:sz="4" w:space="0" w:color="auto"/>
              <w:left w:val="single" w:sz="4" w:space="0" w:color="auto"/>
              <w:bottom w:val="single" w:sz="4" w:space="0" w:color="auto"/>
              <w:right w:val="single" w:sz="4" w:space="0" w:color="auto"/>
            </w:tcBorders>
            <w:shd w:val="clear" w:color="auto" w:fill="EDEDED"/>
          </w:tcPr>
          <w:p w14:paraId="57404CB4" w14:textId="77777777" w:rsidR="003B68DB" w:rsidRPr="003B68DB" w:rsidRDefault="003B68DB" w:rsidP="003B68DB">
            <w:pPr>
              <w:tabs>
                <w:tab w:val="left" w:pos="0"/>
                <w:tab w:val="left" w:pos="567"/>
                <w:tab w:val="left" w:pos="1440"/>
              </w:tabs>
              <w:jc w:val="center"/>
              <w:rPr>
                <w:rFonts w:ascii="Arial" w:hAnsi="Arial" w:cs="Arial"/>
                <w:b/>
                <w:szCs w:val="24"/>
              </w:rPr>
            </w:pPr>
            <w:r w:rsidRPr="003B68DB">
              <w:rPr>
                <w:rFonts w:ascii="Arial" w:hAnsi="Arial" w:cs="Arial"/>
                <w:b/>
                <w:szCs w:val="24"/>
              </w:rPr>
              <w:t>270</w:t>
            </w:r>
          </w:p>
        </w:tc>
      </w:tr>
      <w:tr w:rsidR="003B68DB" w:rsidRPr="003B68DB" w14:paraId="77D5E251" w14:textId="77777777" w:rsidTr="00243EB4">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126AFA19"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50</w:t>
            </w:r>
          </w:p>
        </w:tc>
        <w:tc>
          <w:tcPr>
            <w:tcW w:w="695" w:type="dxa"/>
            <w:tcBorders>
              <w:top w:val="single" w:sz="4" w:space="0" w:color="auto"/>
              <w:left w:val="single" w:sz="4" w:space="0" w:color="auto"/>
              <w:bottom w:val="single" w:sz="4" w:space="0" w:color="auto"/>
              <w:right w:val="single" w:sz="4" w:space="0" w:color="auto"/>
            </w:tcBorders>
          </w:tcPr>
          <w:p w14:paraId="2D093A72"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2</w:t>
            </w:r>
          </w:p>
        </w:tc>
        <w:tc>
          <w:tcPr>
            <w:tcW w:w="850" w:type="dxa"/>
            <w:tcBorders>
              <w:top w:val="single" w:sz="6" w:space="0" w:color="auto"/>
              <w:left w:val="single" w:sz="4" w:space="0" w:color="auto"/>
              <w:bottom w:val="single" w:sz="6" w:space="0" w:color="auto"/>
              <w:right w:val="single" w:sz="6" w:space="0" w:color="auto"/>
            </w:tcBorders>
          </w:tcPr>
          <w:p w14:paraId="5613E514"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0.17</w:t>
            </w:r>
          </w:p>
        </w:tc>
        <w:tc>
          <w:tcPr>
            <w:tcW w:w="707" w:type="dxa"/>
            <w:tcBorders>
              <w:top w:val="single" w:sz="6" w:space="0" w:color="auto"/>
              <w:left w:val="single" w:sz="6" w:space="0" w:color="auto"/>
              <w:bottom w:val="single" w:sz="6" w:space="0" w:color="auto"/>
              <w:right w:val="single" w:sz="6" w:space="0" w:color="auto"/>
            </w:tcBorders>
          </w:tcPr>
          <w:p w14:paraId="54481CE9"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0.19</w:t>
            </w:r>
          </w:p>
        </w:tc>
        <w:tc>
          <w:tcPr>
            <w:tcW w:w="706" w:type="dxa"/>
            <w:tcBorders>
              <w:top w:val="single" w:sz="6" w:space="0" w:color="auto"/>
              <w:left w:val="single" w:sz="6" w:space="0" w:color="auto"/>
              <w:bottom w:val="single" w:sz="6" w:space="0" w:color="auto"/>
              <w:right w:val="single" w:sz="6" w:space="0" w:color="auto"/>
            </w:tcBorders>
          </w:tcPr>
          <w:p w14:paraId="6D89FF04"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0.20</w:t>
            </w:r>
          </w:p>
        </w:tc>
        <w:tc>
          <w:tcPr>
            <w:tcW w:w="845" w:type="dxa"/>
            <w:tcBorders>
              <w:top w:val="single" w:sz="6" w:space="0" w:color="auto"/>
              <w:left w:val="single" w:sz="6" w:space="0" w:color="auto"/>
              <w:bottom w:val="single" w:sz="6" w:space="0" w:color="auto"/>
            </w:tcBorders>
          </w:tcPr>
          <w:p w14:paraId="62093DA1"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0.21</w:t>
            </w:r>
          </w:p>
        </w:tc>
        <w:tc>
          <w:tcPr>
            <w:tcW w:w="812" w:type="dxa"/>
            <w:tcBorders>
              <w:top w:val="single" w:sz="4" w:space="0" w:color="auto"/>
              <w:left w:val="single" w:sz="4" w:space="0" w:color="auto"/>
              <w:bottom w:val="single" w:sz="4" w:space="0" w:color="auto"/>
              <w:right w:val="single" w:sz="4" w:space="0" w:color="auto"/>
            </w:tcBorders>
          </w:tcPr>
          <w:p w14:paraId="178E2906"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0.63</w:t>
            </w:r>
          </w:p>
        </w:tc>
        <w:tc>
          <w:tcPr>
            <w:tcW w:w="706" w:type="dxa"/>
            <w:tcBorders>
              <w:top w:val="single" w:sz="4" w:space="0" w:color="auto"/>
              <w:left w:val="single" w:sz="4" w:space="0" w:color="auto"/>
              <w:bottom w:val="single" w:sz="4" w:space="0" w:color="auto"/>
              <w:right w:val="single" w:sz="4" w:space="0" w:color="auto"/>
            </w:tcBorders>
          </w:tcPr>
          <w:p w14:paraId="43C8955C"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0.71</w:t>
            </w:r>
          </w:p>
        </w:tc>
        <w:tc>
          <w:tcPr>
            <w:tcW w:w="849" w:type="dxa"/>
            <w:tcBorders>
              <w:top w:val="single" w:sz="4" w:space="0" w:color="auto"/>
              <w:left w:val="single" w:sz="4" w:space="0" w:color="auto"/>
              <w:bottom w:val="single" w:sz="4" w:space="0" w:color="auto"/>
              <w:right w:val="single" w:sz="4" w:space="0" w:color="auto"/>
            </w:tcBorders>
          </w:tcPr>
          <w:p w14:paraId="0116BD86"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0.77</w:t>
            </w:r>
          </w:p>
        </w:tc>
        <w:tc>
          <w:tcPr>
            <w:tcW w:w="804" w:type="dxa"/>
            <w:tcBorders>
              <w:top w:val="single" w:sz="4" w:space="0" w:color="auto"/>
              <w:left w:val="single" w:sz="4" w:space="0" w:color="auto"/>
              <w:bottom w:val="single" w:sz="4" w:space="0" w:color="auto"/>
              <w:right w:val="single" w:sz="4" w:space="0" w:color="auto"/>
            </w:tcBorders>
          </w:tcPr>
          <w:p w14:paraId="60715BA6"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0.81</w:t>
            </w:r>
          </w:p>
        </w:tc>
      </w:tr>
      <w:tr w:rsidR="003B68DB" w:rsidRPr="003B68DB" w14:paraId="3872A1A7" w14:textId="77777777" w:rsidTr="00243EB4">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6358421F"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75</w:t>
            </w:r>
          </w:p>
        </w:tc>
        <w:tc>
          <w:tcPr>
            <w:tcW w:w="695" w:type="dxa"/>
            <w:tcBorders>
              <w:top w:val="single" w:sz="4" w:space="0" w:color="auto"/>
              <w:left w:val="single" w:sz="4" w:space="0" w:color="auto"/>
              <w:bottom w:val="single" w:sz="4" w:space="0" w:color="auto"/>
              <w:right w:val="single" w:sz="4" w:space="0" w:color="auto"/>
            </w:tcBorders>
          </w:tcPr>
          <w:p w14:paraId="4BED937A"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3</w:t>
            </w:r>
          </w:p>
        </w:tc>
        <w:tc>
          <w:tcPr>
            <w:tcW w:w="850" w:type="dxa"/>
            <w:tcBorders>
              <w:top w:val="single" w:sz="6" w:space="0" w:color="auto"/>
              <w:left w:val="single" w:sz="4" w:space="0" w:color="auto"/>
              <w:bottom w:val="single" w:sz="6" w:space="0" w:color="auto"/>
              <w:right w:val="single" w:sz="6" w:space="0" w:color="auto"/>
            </w:tcBorders>
          </w:tcPr>
          <w:p w14:paraId="743F7E97"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0.25</w:t>
            </w:r>
          </w:p>
        </w:tc>
        <w:tc>
          <w:tcPr>
            <w:tcW w:w="707" w:type="dxa"/>
            <w:tcBorders>
              <w:top w:val="single" w:sz="6" w:space="0" w:color="auto"/>
              <w:left w:val="single" w:sz="6" w:space="0" w:color="auto"/>
              <w:bottom w:val="single" w:sz="6" w:space="0" w:color="auto"/>
              <w:right w:val="single" w:sz="6" w:space="0" w:color="auto"/>
            </w:tcBorders>
          </w:tcPr>
          <w:p w14:paraId="42E86DCD"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0.28</w:t>
            </w:r>
          </w:p>
        </w:tc>
        <w:tc>
          <w:tcPr>
            <w:tcW w:w="706" w:type="dxa"/>
            <w:tcBorders>
              <w:top w:val="single" w:sz="6" w:space="0" w:color="auto"/>
              <w:left w:val="single" w:sz="6" w:space="0" w:color="auto"/>
              <w:bottom w:val="single" w:sz="6" w:space="0" w:color="auto"/>
              <w:right w:val="single" w:sz="6" w:space="0" w:color="auto"/>
            </w:tcBorders>
          </w:tcPr>
          <w:p w14:paraId="69C9308E"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0.31</w:t>
            </w:r>
          </w:p>
        </w:tc>
        <w:tc>
          <w:tcPr>
            <w:tcW w:w="845" w:type="dxa"/>
            <w:tcBorders>
              <w:top w:val="single" w:sz="6" w:space="0" w:color="auto"/>
              <w:left w:val="single" w:sz="6" w:space="0" w:color="auto"/>
              <w:bottom w:val="single" w:sz="6" w:space="0" w:color="auto"/>
            </w:tcBorders>
          </w:tcPr>
          <w:p w14:paraId="6658A4AE"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0.33</w:t>
            </w:r>
          </w:p>
        </w:tc>
        <w:tc>
          <w:tcPr>
            <w:tcW w:w="812" w:type="dxa"/>
            <w:tcBorders>
              <w:top w:val="single" w:sz="4" w:space="0" w:color="auto"/>
              <w:left w:val="single" w:sz="4" w:space="0" w:color="auto"/>
              <w:bottom w:val="single" w:sz="4" w:space="0" w:color="auto"/>
              <w:right w:val="single" w:sz="4" w:space="0" w:color="auto"/>
            </w:tcBorders>
          </w:tcPr>
          <w:p w14:paraId="71B29308"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0.95</w:t>
            </w:r>
          </w:p>
        </w:tc>
        <w:tc>
          <w:tcPr>
            <w:tcW w:w="706" w:type="dxa"/>
            <w:tcBorders>
              <w:top w:val="single" w:sz="4" w:space="0" w:color="auto"/>
              <w:left w:val="single" w:sz="4" w:space="0" w:color="auto"/>
              <w:bottom w:val="single" w:sz="4" w:space="0" w:color="auto"/>
              <w:right w:val="single" w:sz="4" w:space="0" w:color="auto"/>
            </w:tcBorders>
          </w:tcPr>
          <w:p w14:paraId="6ABF825B"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1.07</w:t>
            </w:r>
          </w:p>
        </w:tc>
        <w:tc>
          <w:tcPr>
            <w:tcW w:w="849" w:type="dxa"/>
            <w:tcBorders>
              <w:top w:val="single" w:sz="4" w:space="0" w:color="auto"/>
              <w:left w:val="single" w:sz="4" w:space="0" w:color="auto"/>
              <w:bottom w:val="single" w:sz="4" w:space="0" w:color="auto"/>
              <w:right w:val="single" w:sz="4" w:space="0" w:color="auto"/>
            </w:tcBorders>
          </w:tcPr>
          <w:p w14:paraId="4FF8BEFD"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1.17</w:t>
            </w:r>
          </w:p>
        </w:tc>
        <w:tc>
          <w:tcPr>
            <w:tcW w:w="804" w:type="dxa"/>
            <w:tcBorders>
              <w:top w:val="single" w:sz="4" w:space="0" w:color="auto"/>
              <w:left w:val="single" w:sz="4" w:space="0" w:color="auto"/>
              <w:bottom w:val="single" w:sz="4" w:space="0" w:color="auto"/>
              <w:right w:val="single" w:sz="4" w:space="0" w:color="auto"/>
            </w:tcBorders>
          </w:tcPr>
          <w:p w14:paraId="14C3D943"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1.24</w:t>
            </w:r>
          </w:p>
        </w:tc>
      </w:tr>
      <w:tr w:rsidR="003B68DB" w:rsidRPr="003B68DB" w14:paraId="2E72E374" w14:textId="77777777" w:rsidTr="00243EB4">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20B053FE"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100</w:t>
            </w:r>
          </w:p>
        </w:tc>
        <w:tc>
          <w:tcPr>
            <w:tcW w:w="695" w:type="dxa"/>
            <w:tcBorders>
              <w:top w:val="single" w:sz="4" w:space="0" w:color="auto"/>
              <w:left w:val="single" w:sz="4" w:space="0" w:color="auto"/>
              <w:bottom w:val="single" w:sz="4" w:space="0" w:color="auto"/>
              <w:right w:val="single" w:sz="4" w:space="0" w:color="auto"/>
            </w:tcBorders>
          </w:tcPr>
          <w:p w14:paraId="27930653"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4</w:t>
            </w:r>
          </w:p>
        </w:tc>
        <w:tc>
          <w:tcPr>
            <w:tcW w:w="850" w:type="dxa"/>
            <w:tcBorders>
              <w:top w:val="single" w:sz="6" w:space="0" w:color="auto"/>
              <w:left w:val="single" w:sz="4" w:space="0" w:color="auto"/>
              <w:bottom w:val="single" w:sz="6" w:space="0" w:color="auto"/>
              <w:right w:val="single" w:sz="6" w:space="0" w:color="auto"/>
            </w:tcBorders>
          </w:tcPr>
          <w:p w14:paraId="4E6669D4"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0.33</w:t>
            </w:r>
          </w:p>
        </w:tc>
        <w:tc>
          <w:tcPr>
            <w:tcW w:w="707" w:type="dxa"/>
            <w:tcBorders>
              <w:top w:val="single" w:sz="6" w:space="0" w:color="auto"/>
              <w:left w:val="single" w:sz="6" w:space="0" w:color="auto"/>
              <w:bottom w:val="single" w:sz="6" w:space="0" w:color="auto"/>
              <w:right w:val="single" w:sz="6" w:space="0" w:color="auto"/>
            </w:tcBorders>
          </w:tcPr>
          <w:p w14:paraId="49F6D563"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0.37</w:t>
            </w:r>
          </w:p>
        </w:tc>
        <w:tc>
          <w:tcPr>
            <w:tcW w:w="706" w:type="dxa"/>
            <w:tcBorders>
              <w:top w:val="single" w:sz="6" w:space="0" w:color="auto"/>
              <w:left w:val="single" w:sz="6" w:space="0" w:color="auto"/>
              <w:bottom w:val="single" w:sz="6" w:space="0" w:color="auto"/>
              <w:right w:val="single" w:sz="6" w:space="0" w:color="auto"/>
            </w:tcBorders>
          </w:tcPr>
          <w:p w14:paraId="1D651BF8"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0.41</w:t>
            </w:r>
          </w:p>
        </w:tc>
        <w:tc>
          <w:tcPr>
            <w:tcW w:w="845" w:type="dxa"/>
            <w:tcBorders>
              <w:top w:val="single" w:sz="6" w:space="0" w:color="auto"/>
              <w:left w:val="single" w:sz="6" w:space="0" w:color="auto"/>
              <w:bottom w:val="single" w:sz="6" w:space="0" w:color="auto"/>
            </w:tcBorders>
          </w:tcPr>
          <w:p w14:paraId="4AEECD3D"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0.44</w:t>
            </w:r>
          </w:p>
        </w:tc>
        <w:tc>
          <w:tcPr>
            <w:tcW w:w="812" w:type="dxa"/>
            <w:tcBorders>
              <w:top w:val="single" w:sz="4" w:space="0" w:color="auto"/>
              <w:left w:val="single" w:sz="4" w:space="0" w:color="auto"/>
              <w:bottom w:val="single" w:sz="4" w:space="0" w:color="auto"/>
              <w:right w:val="single" w:sz="4" w:space="0" w:color="auto"/>
            </w:tcBorders>
          </w:tcPr>
          <w:p w14:paraId="46447653"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1.25</w:t>
            </w:r>
          </w:p>
        </w:tc>
        <w:tc>
          <w:tcPr>
            <w:tcW w:w="706" w:type="dxa"/>
            <w:tcBorders>
              <w:top w:val="single" w:sz="4" w:space="0" w:color="auto"/>
              <w:left w:val="single" w:sz="4" w:space="0" w:color="auto"/>
              <w:bottom w:val="single" w:sz="4" w:space="0" w:color="auto"/>
              <w:right w:val="single" w:sz="4" w:space="0" w:color="auto"/>
            </w:tcBorders>
          </w:tcPr>
          <w:p w14:paraId="4B7C2DD6"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1.41</w:t>
            </w:r>
          </w:p>
        </w:tc>
        <w:tc>
          <w:tcPr>
            <w:tcW w:w="849" w:type="dxa"/>
            <w:tcBorders>
              <w:top w:val="single" w:sz="4" w:space="0" w:color="auto"/>
              <w:left w:val="single" w:sz="4" w:space="0" w:color="auto"/>
              <w:bottom w:val="single" w:sz="4" w:space="0" w:color="auto"/>
              <w:right w:val="single" w:sz="4" w:space="0" w:color="auto"/>
            </w:tcBorders>
          </w:tcPr>
          <w:p w14:paraId="75F742DB"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1.56</w:t>
            </w:r>
          </w:p>
        </w:tc>
        <w:tc>
          <w:tcPr>
            <w:tcW w:w="804" w:type="dxa"/>
            <w:tcBorders>
              <w:top w:val="single" w:sz="4" w:space="0" w:color="auto"/>
              <w:left w:val="single" w:sz="4" w:space="0" w:color="auto"/>
              <w:bottom w:val="single" w:sz="4" w:space="0" w:color="auto"/>
              <w:right w:val="single" w:sz="4" w:space="0" w:color="auto"/>
            </w:tcBorders>
          </w:tcPr>
          <w:p w14:paraId="29CCBCC7"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1.67</w:t>
            </w:r>
          </w:p>
        </w:tc>
      </w:tr>
      <w:tr w:rsidR="003B68DB" w:rsidRPr="003B68DB" w14:paraId="1B2990EB" w14:textId="77777777" w:rsidTr="00243EB4">
        <w:trPr>
          <w:gridAfter w:val="1"/>
          <w:wAfter w:w="6" w:type="dxa"/>
          <w:trHeight w:val="342"/>
          <w:jc w:val="center"/>
        </w:trPr>
        <w:tc>
          <w:tcPr>
            <w:tcW w:w="758" w:type="dxa"/>
            <w:tcBorders>
              <w:top w:val="single" w:sz="4" w:space="0" w:color="auto"/>
              <w:left w:val="single" w:sz="4" w:space="0" w:color="auto"/>
              <w:bottom w:val="single" w:sz="4" w:space="0" w:color="auto"/>
              <w:right w:val="single" w:sz="4" w:space="0" w:color="auto"/>
            </w:tcBorders>
          </w:tcPr>
          <w:p w14:paraId="088CA5B9"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150</w:t>
            </w:r>
          </w:p>
        </w:tc>
        <w:tc>
          <w:tcPr>
            <w:tcW w:w="695" w:type="dxa"/>
            <w:tcBorders>
              <w:top w:val="single" w:sz="4" w:space="0" w:color="auto"/>
              <w:left w:val="single" w:sz="4" w:space="0" w:color="auto"/>
              <w:bottom w:val="single" w:sz="4" w:space="0" w:color="auto"/>
              <w:right w:val="single" w:sz="4" w:space="0" w:color="auto"/>
            </w:tcBorders>
          </w:tcPr>
          <w:p w14:paraId="16BE4FC0"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6</w:t>
            </w:r>
          </w:p>
        </w:tc>
        <w:tc>
          <w:tcPr>
            <w:tcW w:w="850" w:type="dxa"/>
            <w:tcBorders>
              <w:top w:val="single" w:sz="6" w:space="0" w:color="auto"/>
              <w:left w:val="single" w:sz="4" w:space="0" w:color="auto"/>
              <w:bottom w:val="single" w:sz="6" w:space="0" w:color="auto"/>
              <w:right w:val="single" w:sz="6" w:space="0" w:color="auto"/>
            </w:tcBorders>
          </w:tcPr>
          <w:p w14:paraId="1E062C4E"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0.50</w:t>
            </w:r>
          </w:p>
        </w:tc>
        <w:tc>
          <w:tcPr>
            <w:tcW w:w="707" w:type="dxa"/>
            <w:tcBorders>
              <w:top w:val="single" w:sz="6" w:space="0" w:color="auto"/>
              <w:left w:val="single" w:sz="6" w:space="0" w:color="auto"/>
              <w:bottom w:val="single" w:sz="6" w:space="0" w:color="auto"/>
              <w:right w:val="single" w:sz="6" w:space="0" w:color="auto"/>
            </w:tcBorders>
          </w:tcPr>
          <w:p w14:paraId="6DDE5E9C"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0.56</w:t>
            </w:r>
          </w:p>
        </w:tc>
        <w:tc>
          <w:tcPr>
            <w:tcW w:w="706" w:type="dxa"/>
            <w:tcBorders>
              <w:top w:val="single" w:sz="6" w:space="0" w:color="auto"/>
              <w:left w:val="single" w:sz="6" w:space="0" w:color="auto"/>
              <w:bottom w:val="single" w:sz="6" w:space="0" w:color="auto"/>
              <w:right w:val="single" w:sz="6" w:space="0" w:color="auto"/>
            </w:tcBorders>
          </w:tcPr>
          <w:p w14:paraId="06E0824F"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0.61</w:t>
            </w:r>
          </w:p>
        </w:tc>
        <w:tc>
          <w:tcPr>
            <w:tcW w:w="845" w:type="dxa"/>
            <w:tcBorders>
              <w:top w:val="single" w:sz="6" w:space="0" w:color="auto"/>
              <w:left w:val="single" w:sz="6" w:space="0" w:color="auto"/>
              <w:bottom w:val="single" w:sz="6" w:space="0" w:color="auto"/>
            </w:tcBorders>
          </w:tcPr>
          <w:p w14:paraId="6DF3B915"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0.66</w:t>
            </w:r>
          </w:p>
        </w:tc>
        <w:tc>
          <w:tcPr>
            <w:tcW w:w="812" w:type="dxa"/>
            <w:tcBorders>
              <w:top w:val="single" w:sz="4" w:space="0" w:color="auto"/>
              <w:left w:val="single" w:sz="4" w:space="0" w:color="auto"/>
              <w:bottom w:val="single" w:sz="4" w:space="0" w:color="auto"/>
              <w:right w:val="single" w:sz="4" w:space="0" w:color="auto"/>
            </w:tcBorders>
          </w:tcPr>
          <w:p w14:paraId="3A105729"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1.89</w:t>
            </w:r>
          </w:p>
        </w:tc>
        <w:tc>
          <w:tcPr>
            <w:tcW w:w="706" w:type="dxa"/>
            <w:tcBorders>
              <w:top w:val="single" w:sz="4" w:space="0" w:color="auto"/>
              <w:left w:val="single" w:sz="4" w:space="0" w:color="auto"/>
              <w:bottom w:val="single" w:sz="4" w:space="0" w:color="auto"/>
              <w:right w:val="single" w:sz="4" w:space="0" w:color="auto"/>
            </w:tcBorders>
          </w:tcPr>
          <w:p w14:paraId="1FEC958A"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2.13</w:t>
            </w:r>
          </w:p>
        </w:tc>
        <w:tc>
          <w:tcPr>
            <w:tcW w:w="849" w:type="dxa"/>
            <w:tcBorders>
              <w:top w:val="single" w:sz="4" w:space="0" w:color="auto"/>
              <w:left w:val="single" w:sz="4" w:space="0" w:color="auto"/>
              <w:bottom w:val="single" w:sz="4" w:space="0" w:color="auto"/>
              <w:right w:val="single" w:sz="4" w:space="0" w:color="auto"/>
            </w:tcBorders>
          </w:tcPr>
          <w:p w14:paraId="52319A36"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2.32</w:t>
            </w:r>
          </w:p>
        </w:tc>
        <w:tc>
          <w:tcPr>
            <w:tcW w:w="804" w:type="dxa"/>
            <w:tcBorders>
              <w:top w:val="single" w:sz="4" w:space="0" w:color="auto"/>
              <w:left w:val="single" w:sz="4" w:space="0" w:color="auto"/>
              <w:bottom w:val="single" w:sz="4" w:space="0" w:color="auto"/>
              <w:right w:val="single" w:sz="4" w:space="0" w:color="auto"/>
            </w:tcBorders>
          </w:tcPr>
          <w:p w14:paraId="53F5E39B"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2.48</w:t>
            </w:r>
          </w:p>
        </w:tc>
      </w:tr>
      <w:tr w:rsidR="003B68DB" w:rsidRPr="003B68DB" w14:paraId="3C2E1746" w14:textId="77777777" w:rsidTr="00243EB4">
        <w:trPr>
          <w:gridAfter w:val="1"/>
          <w:wAfter w:w="6" w:type="dxa"/>
          <w:trHeight w:val="363"/>
          <w:jc w:val="center"/>
        </w:trPr>
        <w:tc>
          <w:tcPr>
            <w:tcW w:w="758" w:type="dxa"/>
            <w:tcBorders>
              <w:top w:val="single" w:sz="4" w:space="0" w:color="auto"/>
              <w:left w:val="single" w:sz="4" w:space="0" w:color="auto"/>
              <w:bottom w:val="single" w:sz="4" w:space="0" w:color="auto"/>
              <w:right w:val="single" w:sz="4" w:space="0" w:color="auto"/>
            </w:tcBorders>
          </w:tcPr>
          <w:p w14:paraId="24A95885"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200</w:t>
            </w:r>
          </w:p>
        </w:tc>
        <w:tc>
          <w:tcPr>
            <w:tcW w:w="695" w:type="dxa"/>
            <w:tcBorders>
              <w:top w:val="single" w:sz="4" w:space="0" w:color="auto"/>
              <w:left w:val="single" w:sz="4" w:space="0" w:color="auto"/>
              <w:bottom w:val="single" w:sz="4" w:space="0" w:color="auto"/>
              <w:right w:val="single" w:sz="4" w:space="0" w:color="auto"/>
            </w:tcBorders>
          </w:tcPr>
          <w:p w14:paraId="0FB5B54B" w14:textId="77777777" w:rsidR="003B68DB" w:rsidRPr="003B68DB" w:rsidRDefault="003B68DB" w:rsidP="003B68DB">
            <w:pPr>
              <w:tabs>
                <w:tab w:val="left" w:pos="0"/>
                <w:tab w:val="left" w:pos="567"/>
                <w:tab w:val="left" w:pos="1440"/>
              </w:tabs>
              <w:jc w:val="center"/>
              <w:rPr>
                <w:rFonts w:ascii="Arial" w:hAnsi="Arial" w:cs="Arial"/>
                <w:snapToGrid w:val="0"/>
                <w:szCs w:val="24"/>
              </w:rPr>
            </w:pPr>
            <w:r w:rsidRPr="003B68DB">
              <w:rPr>
                <w:rFonts w:ascii="Arial" w:hAnsi="Arial" w:cs="Arial"/>
                <w:snapToGrid w:val="0"/>
                <w:szCs w:val="24"/>
              </w:rPr>
              <w:t>8</w:t>
            </w:r>
          </w:p>
        </w:tc>
        <w:tc>
          <w:tcPr>
            <w:tcW w:w="850" w:type="dxa"/>
            <w:tcBorders>
              <w:top w:val="single" w:sz="6" w:space="0" w:color="auto"/>
              <w:left w:val="single" w:sz="4" w:space="0" w:color="auto"/>
              <w:bottom w:val="single" w:sz="4" w:space="0" w:color="auto"/>
              <w:right w:val="single" w:sz="6" w:space="0" w:color="auto"/>
            </w:tcBorders>
          </w:tcPr>
          <w:p w14:paraId="48F8C2F5"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0.66</w:t>
            </w:r>
          </w:p>
        </w:tc>
        <w:tc>
          <w:tcPr>
            <w:tcW w:w="707" w:type="dxa"/>
            <w:tcBorders>
              <w:top w:val="single" w:sz="6" w:space="0" w:color="auto"/>
              <w:left w:val="single" w:sz="6" w:space="0" w:color="auto"/>
              <w:bottom w:val="single" w:sz="4" w:space="0" w:color="auto"/>
              <w:right w:val="single" w:sz="6" w:space="0" w:color="auto"/>
            </w:tcBorders>
          </w:tcPr>
          <w:p w14:paraId="0A5BFA23"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0.75</w:t>
            </w:r>
          </w:p>
        </w:tc>
        <w:tc>
          <w:tcPr>
            <w:tcW w:w="706" w:type="dxa"/>
            <w:tcBorders>
              <w:top w:val="single" w:sz="6" w:space="0" w:color="auto"/>
              <w:left w:val="single" w:sz="6" w:space="0" w:color="auto"/>
              <w:bottom w:val="single" w:sz="4" w:space="0" w:color="auto"/>
              <w:right w:val="single" w:sz="6" w:space="0" w:color="auto"/>
            </w:tcBorders>
          </w:tcPr>
          <w:p w14:paraId="0597CEFC"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0.82</w:t>
            </w:r>
          </w:p>
        </w:tc>
        <w:tc>
          <w:tcPr>
            <w:tcW w:w="845" w:type="dxa"/>
            <w:tcBorders>
              <w:top w:val="single" w:sz="6" w:space="0" w:color="auto"/>
              <w:left w:val="single" w:sz="6" w:space="0" w:color="auto"/>
              <w:bottom w:val="single" w:sz="4" w:space="0" w:color="auto"/>
            </w:tcBorders>
          </w:tcPr>
          <w:p w14:paraId="2BEC4ADA"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0.87</w:t>
            </w:r>
          </w:p>
        </w:tc>
        <w:tc>
          <w:tcPr>
            <w:tcW w:w="812" w:type="dxa"/>
            <w:tcBorders>
              <w:top w:val="single" w:sz="4" w:space="0" w:color="auto"/>
              <w:left w:val="single" w:sz="4" w:space="0" w:color="auto"/>
              <w:bottom w:val="single" w:sz="4" w:space="0" w:color="auto"/>
              <w:right w:val="single" w:sz="4" w:space="0" w:color="auto"/>
            </w:tcBorders>
          </w:tcPr>
          <w:p w14:paraId="2300549B"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2.50</w:t>
            </w:r>
          </w:p>
        </w:tc>
        <w:tc>
          <w:tcPr>
            <w:tcW w:w="706" w:type="dxa"/>
            <w:tcBorders>
              <w:top w:val="single" w:sz="4" w:space="0" w:color="auto"/>
              <w:left w:val="single" w:sz="4" w:space="0" w:color="auto"/>
              <w:bottom w:val="single" w:sz="4" w:space="0" w:color="auto"/>
              <w:right w:val="single" w:sz="4" w:space="0" w:color="auto"/>
            </w:tcBorders>
          </w:tcPr>
          <w:p w14:paraId="5EBA75C1"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2.82</w:t>
            </w:r>
          </w:p>
        </w:tc>
        <w:tc>
          <w:tcPr>
            <w:tcW w:w="849" w:type="dxa"/>
            <w:tcBorders>
              <w:top w:val="single" w:sz="4" w:space="0" w:color="auto"/>
              <w:left w:val="single" w:sz="4" w:space="0" w:color="auto"/>
              <w:bottom w:val="single" w:sz="4" w:space="0" w:color="auto"/>
              <w:right w:val="single" w:sz="4" w:space="0" w:color="auto"/>
            </w:tcBorders>
          </w:tcPr>
          <w:p w14:paraId="324456D7"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3.09</w:t>
            </w:r>
          </w:p>
        </w:tc>
        <w:tc>
          <w:tcPr>
            <w:tcW w:w="804" w:type="dxa"/>
            <w:tcBorders>
              <w:top w:val="single" w:sz="4" w:space="0" w:color="auto"/>
              <w:left w:val="single" w:sz="4" w:space="0" w:color="auto"/>
              <w:bottom w:val="single" w:sz="4" w:space="0" w:color="auto"/>
              <w:right w:val="single" w:sz="4" w:space="0" w:color="auto"/>
            </w:tcBorders>
          </w:tcPr>
          <w:p w14:paraId="02C434E6" w14:textId="77777777" w:rsidR="003B68DB" w:rsidRPr="003B68DB" w:rsidRDefault="003B68DB" w:rsidP="003B68DB">
            <w:pPr>
              <w:tabs>
                <w:tab w:val="left" w:pos="0"/>
                <w:tab w:val="left" w:pos="567"/>
                <w:tab w:val="left" w:pos="1440"/>
              </w:tabs>
              <w:jc w:val="center"/>
              <w:rPr>
                <w:rFonts w:ascii="Arial" w:hAnsi="Arial" w:cs="Arial"/>
                <w:snapToGrid w:val="0"/>
                <w:szCs w:val="24"/>
                <w:lang w:eastAsia="es-ES"/>
              </w:rPr>
            </w:pPr>
            <w:r w:rsidRPr="003B68DB">
              <w:rPr>
                <w:rFonts w:ascii="Arial" w:hAnsi="Arial" w:cs="Arial"/>
                <w:snapToGrid w:val="0"/>
                <w:szCs w:val="24"/>
                <w:lang w:eastAsia="es-ES"/>
              </w:rPr>
              <w:t>3.30</w:t>
            </w:r>
          </w:p>
        </w:tc>
      </w:tr>
    </w:tbl>
    <w:p w14:paraId="4F3FA95B" w14:textId="77777777" w:rsidR="003B68DB" w:rsidRPr="003B68DB" w:rsidRDefault="003B68DB" w:rsidP="003B68DB">
      <w:pPr>
        <w:rPr>
          <w:rFonts w:ascii="Arial" w:hAnsi="Arial" w:cs="Arial"/>
          <w:szCs w:val="24"/>
          <w:lang w:val="es-ES" w:eastAsia="es-ES"/>
        </w:rPr>
      </w:pPr>
    </w:p>
    <w:p w14:paraId="5850D92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Se formaliza un acta de cada prueba hidráulica en la cual se deja constancia del procedimiento de la prueba, de sus resultados y de su aceptación o rechazo. Dicha acta es elaborada por el Contratista y aprobada por el Supervisor y suscrita entre el Propietario, el Contratista y el Supervisor. Las pruebas son pagadas en la forma establecida en el Formulario de Oferta. </w:t>
      </w:r>
    </w:p>
    <w:p w14:paraId="30A6B55C" w14:textId="77777777" w:rsidR="003B68DB" w:rsidRPr="003B68DB" w:rsidRDefault="003B68DB" w:rsidP="003B68DB">
      <w:pPr>
        <w:rPr>
          <w:rFonts w:ascii="Arial" w:hAnsi="Arial" w:cs="Arial"/>
          <w:szCs w:val="24"/>
          <w:lang w:val="es-ES" w:eastAsia="es-ES"/>
        </w:rPr>
      </w:pPr>
    </w:p>
    <w:p w14:paraId="06885342"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87" w:name="_Toc22391629"/>
      <w:bookmarkStart w:id="1688" w:name="_Toc22653957"/>
      <w:r w:rsidRPr="003B68DB">
        <w:rPr>
          <w:rFonts w:ascii="Arial" w:eastAsia="Arial Narrow" w:hAnsi="Arial" w:cs="Arial"/>
          <w:b/>
          <w:bCs/>
          <w:iCs/>
          <w:szCs w:val="22"/>
          <w:lang w:val="es-ES" w:bidi="en-US"/>
        </w:rPr>
        <w:t>Baldeo y Desinfección</w:t>
      </w:r>
      <w:bookmarkEnd w:id="1687"/>
      <w:bookmarkEnd w:id="1688"/>
    </w:p>
    <w:p w14:paraId="36EEAD5F" w14:textId="77777777" w:rsidR="003B68DB" w:rsidRPr="003B68DB" w:rsidRDefault="003B68DB" w:rsidP="003B68DB">
      <w:pPr>
        <w:rPr>
          <w:rFonts w:ascii="Arial" w:hAnsi="Arial" w:cs="Arial"/>
          <w:szCs w:val="24"/>
          <w:lang w:val="es-ES" w:eastAsia="es-ES"/>
        </w:rPr>
      </w:pPr>
    </w:p>
    <w:p w14:paraId="7D7DD74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redes de distribución de Agua potable deben estar desinfectadas antes de entrar en servicio. La desinfección debe realizarse con compuestos clorados, con una concentración mínima de 50 ppm (50 mg/l). de cloro en el agua y una duración mínima de 24 horas de contacto, al final del cual se debe proceder al drenaje total del agua de lavado. Si el cloro residual libre del agua de lavado al final de las 24 horas es inferior a 10 ppm (10 mg/l), debe repetirse el proceso de desinfección. El proceso de desinfección debe realizarse por parte del contratista y aprobado por el Supervisor.</w:t>
      </w:r>
    </w:p>
    <w:p w14:paraId="5FB96AE1" w14:textId="77777777" w:rsidR="003B68DB" w:rsidRPr="003B68DB" w:rsidRDefault="003B68DB" w:rsidP="003B68DB">
      <w:pPr>
        <w:rPr>
          <w:rFonts w:ascii="Arial" w:hAnsi="Arial" w:cs="Arial"/>
          <w:szCs w:val="24"/>
          <w:lang w:val="es-ES" w:eastAsia="es-ES"/>
        </w:rPr>
      </w:pPr>
    </w:p>
    <w:p w14:paraId="674625B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Para la desinfección de la red de distribución se deben considerar los siguientes procedimientos:</w:t>
      </w:r>
    </w:p>
    <w:p w14:paraId="09218725" w14:textId="77777777" w:rsidR="003B68DB" w:rsidRPr="003B68DB" w:rsidRDefault="003B68DB" w:rsidP="003B68DB">
      <w:pPr>
        <w:rPr>
          <w:rFonts w:ascii="Arial" w:hAnsi="Arial" w:cs="Arial"/>
          <w:szCs w:val="24"/>
          <w:lang w:val="es-ES" w:eastAsia="es-ES"/>
        </w:rPr>
      </w:pPr>
    </w:p>
    <w:p w14:paraId="664A499E"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t>Antes de aplicar el desinfectante, la tubería debe lavarse haciendo circular agua a través de ella, y descargarla por las válvulas de purga, con el objetivo de remover materias extrañas.</w:t>
      </w:r>
    </w:p>
    <w:p w14:paraId="4AF70E8F" w14:textId="77777777" w:rsidR="003B68DB" w:rsidRPr="003B68DB" w:rsidRDefault="003B68DB" w:rsidP="003B68DB">
      <w:pPr>
        <w:ind w:left="360"/>
        <w:rPr>
          <w:rFonts w:ascii="Arial" w:hAnsi="Arial" w:cs="Arial"/>
          <w:szCs w:val="24"/>
          <w:lang w:val="es-ES" w:eastAsia="es-ES"/>
        </w:rPr>
      </w:pPr>
    </w:p>
    <w:p w14:paraId="02F66DD4"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t>El desinfectante debe aplicarse donde se inicia la ampliación de la red de distribución, para el caso de ampliaciones, o en el inicio de la red de distribución, cuando ésta es una red de distribución nueva. Para secciones de la red de distribución localizada entre válvulas, el desinfectante debe aplicarse por medio de una llave de incorporación.</w:t>
      </w:r>
    </w:p>
    <w:p w14:paraId="42E00461" w14:textId="77777777" w:rsidR="003B68DB" w:rsidRPr="003B68DB" w:rsidRDefault="003B68DB" w:rsidP="003B68DB">
      <w:pPr>
        <w:ind w:left="708"/>
        <w:rPr>
          <w:rFonts w:ascii="Arial" w:hAnsi="Arial" w:cs="Arial"/>
          <w:szCs w:val="24"/>
          <w:lang w:val="es-ES" w:eastAsia="es-ES"/>
        </w:rPr>
      </w:pPr>
    </w:p>
    <w:p w14:paraId="2714D715"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t>Debe utilizarse hipoclorito de sodio (cloro líquido) como desinfectante. La tasa de entrada a la tubería de la mezcla de agua con cloro debe ser proporcional a la tasa de agua que entra al tubo.</w:t>
      </w:r>
    </w:p>
    <w:p w14:paraId="658C02F0" w14:textId="77777777" w:rsidR="003B68DB" w:rsidRPr="003B68DB" w:rsidRDefault="003B68DB" w:rsidP="003B68DB">
      <w:pPr>
        <w:ind w:left="708"/>
        <w:rPr>
          <w:rFonts w:ascii="Arial" w:hAnsi="Arial" w:cs="Arial"/>
          <w:szCs w:val="24"/>
          <w:lang w:val="es-ES" w:eastAsia="es-ES"/>
        </w:rPr>
      </w:pPr>
    </w:p>
    <w:p w14:paraId="4759A7E0"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lastRenderedPageBreak/>
        <w:t>La cantidad de cloro al iniciar la desinfección debe ser tal que produzca una concentración mínima de 50 ppm (50 mg/l).</w:t>
      </w:r>
    </w:p>
    <w:p w14:paraId="558A0B6C" w14:textId="77777777" w:rsidR="003B68DB" w:rsidRPr="003B68DB" w:rsidRDefault="003B68DB" w:rsidP="003B68DB">
      <w:pPr>
        <w:ind w:left="708"/>
        <w:rPr>
          <w:rFonts w:ascii="Arial" w:hAnsi="Arial" w:cs="Arial"/>
          <w:szCs w:val="24"/>
          <w:lang w:val="es-ES" w:eastAsia="es-ES"/>
        </w:rPr>
      </w:pPr>
    </w:p>
    <w:p w14:paraId="2BE52047"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t>El período de retención del agua desinfectada dentro de la red de distribución de agua potable no debe ser menor que 24 horas. Después de este período de retención, el contenido de cloro residual en los extremos del tubo y en los demás puntos representativos debe ser de por lo menos 10 ppm (10 mg/l).</w:t>
      </w:r>
    </w:p>
    <w:p w14:paraId="101408CE" w14:textId="77777777" w:rsidR="003B68DB" w:rsidRPr="003B68DB" w:rsidRDefault="003B68DB" w:rsidP="003B68DB">
      <w:pPr>
        <w:ind w:left="708"/>
        <w:rPr>
          <w:rFonts w:ascii="Arial" w:hAnsi="Arial" w:cs="Arial"/>
          <w:szCs w:val="24"/>
          <w:lang w:val="es-ES" w:eastAsia="es-ES"/>
        </w:rPr>
      </w:pPr>
    </w:p>
    <w:p w14:paraId="6BA28579"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t>Una vez que se haya hecho la cloración y se haya dejado pasar el período mínimo, debe descargarse completamente la tubería. Cuando se hagan cortes en alguna de las tuberías que conforman la red de distribución con el fin de hacer reparaciones, la tubería cortada debe someterse a cloración a lado y lado del punto de corte.</w:t>
      </w:r>
    </w:p>
    <w:p w14:paraId="54E76D77" w14:textId="77777777" w:rsidR="003B68DB" w:rsidRPr="003B68DB" w:rsidRDefault="003B68DB" w:rsidP="003B68DB">
      <w:pPr>
        <w:ind w:left="708"/>
        <w:rPr>
          <w:rFonts w:ascii="Arial" w:hAnsi="Arial" w:cs="Arial"/>
          <w:szCs w:val="24"/>
          <w:lang w:val="es-ES" w:eastAsia="es-ES"/>
        </w:rPr>
      </w:pPr>
    </w:p>
    <w:p w14:paraId="4D5F4778" w14:textId="77777777" w:rsidR="003B68DB" w:rsidRPr="003B68DB" w:rsidRDefault="003B68DB" w:rsidP="003B68DB">
      <w:pPr>
        <w:numPr>
          <w:ilvl w:val="0"/>
          <w:numId w:val="161"/>
        </w:numPr>
        <w:contextualSpacing/>
        <w:rPr>
          <w:rFonts w:ascii="Arial" w:hAnsi="Arial" w:cs="Arial"/>
          <w:szCs w:val="24"/>
          <w:lang w:val="es-ES" w:eastAsia="es-ES"/>
        </w:rPr>
      </w:pPr>
      <w:r w:rsidRPr="003B68DB">
        <w:rPr>
          <w:rFonts w:ascii="Arial" w:hAnsi="Arial" w:cs="Arial"/>
          <w:szCs w:val="24"/>
          <w:lang w:val="es-ES" w:eastAsia="es-ES"/>
        </w:rPr>
        <w:t>El proceso de desinfección debe hacerse según la norma AWWA C 651</w:t>
      </w:r>
    </w:p>
    <w:p w14:paraId="5B45AD3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b/>
      </w:r>
    </w:p>
    <w:p w14:paraId="1B141DE2"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bidi="en-US"/>
        </w:rPr>
      </w:pPr>
      <w:bookmarkStart w:id="1689" w:name="_Toc22391630"/>
      <w:bookmarkStart w:id="1690" w:name="_Toc22653958"/>
      <w:r w:rsidRPr="003B68DB">
        <w:rPr>
          <w:rFonts w:ascii="Arial" w:eastAsia="Arial Narrow" w:hAnsi="Arial" w:cs="Arial"/>
          <w:b/>
          <w:bCs/>
          <w:iCs/>
          <w:szCs w:val="22"/>
          <w:lang w:bidi="en-US"/>
        </w:rPr>
        <w:t>Protección de obras no terminadas</w:t>
      </w:r>
      <w:bookmarkEnd w:id="1689"/>
      <w:bookmarkEnd w:id="1690"/>
    </w:p>
    <w:p w14:paraId="6DCB3254" w14:textId="77777777" w:rsidR="003B68DB" w:rsidRPr="003B68DB" w:rsidRDefault="003B68DB" w:rsidP="003B68DB">
      <w:pPr>
        <w:widowControl w:val="0"/>
        <w:autoSpaceDE w:val="0"/>
        <w:autoSpaceDN w:val="0"/>
        <w:adjustRightInd w:val="0"/>
        <w:rPr>
          <w:rFonts w:ascii="Arial" w:hAnsi="Arial" w:cs="Arial"/>
          <w:szCs w:val="24"/>
          <w:lang w:val="es-ES" w:eastAsia="es-ES"/>
        </w:rPr>
      </w:pPr>
    </w:p>
    <w:p w14:paraId="2756A87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Antes de dejar el trabajo al final del día, o por paros debido a lluvias u otras circunstancias, se tiene cuidado de proteger y cerrar con barricadas y/o señales de peligro, las aberturas y terminales de los tubos que no han sido tapados, y cualquier material extraño que se encuentre debe ser removido por El Contratista. Los costos de esta operación son asumidos por El Contratista.</w:t>
      </w:r>
    </w:p>
    <w:p w14:paraId="4288CE7E" w14:textId="77777777" w:rsidR="003B68DB" w:rsidRPr="003B68DB" w:rsidRDefault="003B68DB" w:rsidP="003B68DB">
      <w:pPr>
        <w:rPr>
          <w:rFonts w:ascii="Arial" w:hAnsi="Arial" w:cs="Arial"/>
          <w:szCs w:val="24"/>
          <w:lang w:val="es-ES" w:eastAsia="es-ES"/>
        </w:rPr>
      </w:pPr>
    </w:p>
    <w:p w14:paraId="156690A4"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691" w:name="_Toc22391631"/>
      <w:bookmarkStart w:id="1692" w:name="_Toc22653959"/>
      <w:r w:rsidRPr="00181F97">
        <w:rPr>
          <w:rFonts w:ascii="Arial" w:eastAsia="Arial Narrow" w:hAnsi="Arial" w:cs="Arial"/>
          <w:b/>
          <w:bCs/>
          <w:iCs/>
          <w:szCs w:val="24"/>
          <w:lang w:val="es-NI"/>
        </w:rPr>
        <w:t>Relleno y Compactación</w:t>
      </w:r>
      <w:bookmarkEnd w:id="1691"/>
      <w:bookmarkEnd w:id="1692"/>
    </w:p>
    <w:p w14:paraId="1AC7A764" w14:textId="77777777" w:rsidR="003B68DB" w:rsidRPr="003B68DB" w:rsidRDefault="003B68DB" w:rsidP="003B68DB">
      <w:pPr>
        <w:rPr>
          <w:rFonts w:ascii="Arial" w:hAnsi="Arial" w:cs="Arial"/>
          <w:b/>
          <w:szCs w:val="24"/>
          <w:lang w:val="es-ES" w:eastAsia="es-ES"/>
        </w:rPr>
      </w:pPr>
    </w:p>
    <w:p w14:paraId="786D6990"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93" w:name="_Toc22391632"/>
      <w:bookmarkStart w:id="1694" w:name="_Toc22653960"/>
      <w:r w:rsidRPr="003B68DB">
        <w:rPr>
          <w:rFonts w:ascii="Arial" w:eastAsia="Arial Narrow" w:hAnsi="Arial" w:cs="Arial"/>
          <w:b/>
          <w:bCs/>
          <w:iCs/>
          <w:szCs w:val="22"/>
          <w:lang w:val="es-ES" w:bidi="en-US"/>
        </w:rPr>
        <w:t>Recursos y Procedimientos</w:t>
      </w:r>
      <w:bookmarkEnd w:id="1693"/>
      <w:bookmarkEnd w:id="1694"/>
    </w:p>
    <w:p w14:paraId="1877A909" w14:textId="77777777" w:rsidR="003B68DB" w:rsidRPr="003B68DB" w:rsidRDefault="003B68DB" w:rsidP="003B68DB">
      <w:pPr>
        <w:rPr>
          <w:rFonts w:ascii="Arial" w:hAnsi="Arial" w:cs="Arial"/>
          <w:szCs w:val="24"/>
          <w:lang w:val="es-ES" w:eastAsia="es-ES"/>
        </w:rPr>
      </w:pPr>
    </w:p>
    <w:p w14:paraId="419C6B27"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Rellenar y compactar las zanjas de las tuberías con material del sitio, libre de piedras, según se indica en los planos y especificaciones.</w:t>
      </w:r>
    </w:p>
    <w:p w14:paraId="28C78971" w14:textId="77777777" w:rsidR="003B68DB" w:rsidRPr="003B68DB" w:rsidRDefault="003B68DB" w:rsidP="003B68DB">
      <w:pPr>
        <w:rPr>
          <w:rFonts w:ascii="Arial" w:hAnsi="Arial" w:cs="Arial"/>
          <w:szCs w:val="24"/>
          <w:lang w:val="es-ES" w:eastAsia="es-ES"/>
        </w:rPr>
      </w:pPr>
    </w:p>
    <w:p w14:paraId="09F0787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Para toda zanja o pozos de exploración abiertos para la instalación de tuberías o para otras actividades complementarias del proyecto, </w:t>
      </w:r>
      <w:r w:rsidRPr="003B68DB">
        <w:rPr>
          <w:rFonts w:ascii="Arial" w:hAnsi="Arial" w:cs="Arial"/>
          <w:i/>
          <w:szCs w:val="24"/>
          <w:lang w:val="es-ES" w:eastAsia="es-ES"/>
        </w:rPr>
        <w:t>se requiere que El Contratista suministre los recursos necesarios (herramientas, equipos, pisones) en calidad de préstamo a los beneficiarios, para efectuar adecuadamente el relleno y compactación manual de los mismos. Los costos de los recursos necesarios para esta operación son asumidos por El Contratista.</w:t>
      </w:r>
      <w:r w:rsidRPr="003B68DB">
        <w:rPr>
          <w:rFonts w:ascii="Arial" w:hAnsi="Arial" w:cs="Arial"/>
          <w:szCs w:val="24"/>
          <w:lang w:val="es-ES" w:eastAsia="es-ES"/>
        </w:rPr>
        <w:t xml:space="preserve"> El Contratista con el apoyo del Supervisor y el CAPS, entregan las herramientas y pisones a los beneficiarios. Finalizados los trabajos de compactación de zanjas, las herramientas y pisones son devueltos al Contratista.</w:t>
      </w:r>
    </w:p>
    <w:p w14:paraId="694A1A7C" w14:textId="77777777" w:rsidR="003B68DB" w:rsidRPr="003B68DB" w:rsidRDefault="003B68DB" w:rsidP="003B68DB">
      <w:pPr>
        <w:rPr>
          <w:rFonts w:ascii="Arial" w:hAnsi="Arial" w:cs="Arial"/>
          <w:szCs w:val="24"/>
          <w:lang w:val="es-ES" w:eastAsia="es-ES"/>
        </w:rPr>
      </w:pPr>
    </w:p>
    <w:p w14:paraId="5AE6FC2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relleno y la compactación deben ser realizados adecuadamente para cerrar las zanjas, pozos exploratorios etc. En general, esta actividad utiliza como material, el mismo que fue extraído de la zanja y que libre de elementos inadecuados, recibe el nombre de "Relleno común".</w:t>
      </w:r>
    </w:p>
    <w:p w14:paraId="6A64870F" w14:textId="77777777" w:rsidR="003B68DB" w:rsidRPr="003B68DB" w:rsidRDefault="003B68DB" w:rsidP="003B68DB">
      <w:pPr>
        <w:rPr>
          <w:rFonts w:ascii="Arial" w:hAnsi="Arial" w:cs="Arial"/>
          <w:szCs w:val="24"/>
          <w:lang w:val="es-ES" w:eastAsia="es-ES"/>
        </w:rPr>
      </w:pPr>
    </w:p>
    <w:p w14:paraId="2D9E464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En el caso de requerirse otro tipo de material de relleno, debido a situaciones específicas encontradas durante las excavaciones como sería la sustitución de material inadecuado (inestable, piedras, roca, deshechos, etc.) o reposición en sub-excavaciones ordenadas por El Supervisor por haber lechos de piedra cantera o rocosos, debe importarse material selecto de banco y/o otros tipos de rellenos especiales, que son conceptos de obra contempladas en el capítulo - EXCAVACION, RELLENO Y COMPACTACION ESPECIAL Y/O ADICIONAL.</w:t>
      </w:r>
    </w:p>
    <w:p w14:paraId="2BFC01D8" w14:textId="77777777" w:rsidR="003B68DB" w:rsidRPr="003B68DB" w:rsidRDefault="003B68DB" w:rsidP="003B68DB">
      <w:pPr>
        <w:rPr>
          <w:rFonts w:ascii="Arial" w:hAnsi="Arial" w:cs="Arial"/>
          <w:szCs w:val="24"/>
          <w:lang w:val="es-ES" w:eastAsia="es-ES"/>
        </w:rPr>
      </w:pPr>
    </w:p>
    <w:p w14:paraId="7DDF775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95" w:name="_Toc22391633"/>
      <w:bookmarkStart w:id="1696" w:name="_Toc22653961"/>
      <w:r w:rsidRPr="003B68DB">
        <w:rPr>
          <w:rFonts w:ascii="Arial" w:eastAsia="Arial Narrow" w:hAnsi="Arial" w:cs="Arial"/>
          <w:b/>
          <w:bCs/>
          <w:iCs/>
          <w:szCs w:val="22"/>
          <w:lang w:val="es-ES" w:bidi="en-US"/>
        </w:rPr>
        <w:t>Requerimientos Generales</w:t>
      </w:r>
      <w:bookmarkEnd w:id="1695"/>
      <w:bookmarkEnd w:id="1696"/>
    </w:p>
    <w:p w14:paraId="00F1FD1B" w14:textId="77777777" w:rsidR="003B68DB" w:rsidRPr="003B68DB" w:rsidRDefault="003B68DB" w:rsidP="003B68DB">
      <w:pPr>
        <w:rPr>
          <w:rFonts w:ascii="Arial" w:hAnsi="Arial" w:cs="Arial"/>
          <w:b/>
          <w:szCs w:val="24"/>
          <w:lang w:val="es-ES" w:eastAsia="es-ES"/>
        </w:rPr>
      </w:pPr>
    </w:p>
    <w:p w14:paraId="5E87A6C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 menos que se indique lo contrario o que circunstancias especiales así lo exijan, no se rellenan las zanjas hasta que la tubería haya sido probada, desinfectada y lavada satisfactoriamente. Durante el relleno de las zanjas (ver sección típica de zanja y rellenos en planos de detalles generales de tubería) es necesario ajustarse a los siguientes requerimientos:</w:t>
      </w:r>
    </w:p>
    <w:p w14:paraId="15164CC8" w14:textId="77777777" w:rsidR="003B68DB" w:rsidRPr="003B68DB" w:rsidRDefault="003B68DB" w:rsidP="003B68DB">
      <w:pPr>
        <w:rPr>
          <w:rFonts w:ascii="Arial" w:hAnsi="Arial" w:cs="Arial"/>
          <w:szCs w:val="24"/>
          <w:lang w:val="es-ES" w:eastAsia="es-ES"/>
        </w:rPr>
      </w:pPr>
    </w:p>
    <w:p w14:paraId="138C58D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inicia el relleno con capas de 10 centímetros de espesor y material seleccionado aceptado por El Supervisor, cuidadosamente apisonadas una sobre otra y muy particularmente, debajo del tubo y sus costados, hasta un nivel que corresponda a 1/4 del área del tubo.  Al terminar el apisonado del fondo de la zanja, se debe usar un azadón de forma curva para proveer un apoyo uniforme y continuo para el cuadrante inferior de los tubos.</w:t>
      </w:r>
    </w:p>
    <w:p w14:paraId="0A391530" w14:textId="77777777" w:rsidR="003B68DB" w:rsidRPr="003B68DB" w:rsidRDefault="003B68DB" w:rsidP="003B68DB">
      <w:pPr>
        <w:rPr>
          <w:rFonts w:ascii="Arial" w:hAnsi="Arial" w:cs="Arial"/>
          <w:szCs w:val="24"/>
          <w:lang w:val="es-ES" w:eastAsia="es-ES"/>
        </w:rPr>
      </w:pPr>
    </w:p>
    <w:p w14:paraId="4AEE873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continúa compactando el relleno en capas no mayores de 10 centímetros, hasta alcanzar un espesor de 30 centímetros arriba de la parte superior de la tubería.</w:t>
      </w:r>
    </w:p>
    <w:p w14:paraId="3BC5117B" w14:textId="77777777" w:rsidR="003B68DB" w:rsidRPr="003B68DB" w:rsidRDefault="003B68DB" w:rsidP="003B68DB">
      <w:pPr>
        <w:rPr>
          <w:rFonts w:ascii="Arial" w:hAnsi="Arial" w:cs="Arial"/>
          <w:szCs w:val="24"/>
          <w:lang w:val="es-ES" w:eastAsia="es-ES"/>
        </w:rPr>
      </w:pPr>
    </w:p>
    <w:p w14:paraId="123C7BB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esta primera etapa (a y b) sólo se utilizan materiales escogidos de la excavación (relleno común), tierra suelta libre de piedras, madera y cualquier tipo de materia orgánica susceptibles de descomposición, etc. También puede utilizarse material selecto o una combinación de ambos, u otro material aprobado por El Supervisor. La compactación mínima aceptable para estas capas de relleno es del 95% PROCTOR Standard.</w:t>
      </w:r>
    </w:p>
    <w:p w14:paraId="3563FC9E" w14:textId="77777777" w:rsidR="003B68DB" w:rsidRPr="003B68DB" w:rsidRDefault="003B68DB" w:rsidP="003B68DB">
      <w:pPr>
        <w:rPr>
          <w:rFonts w:ascii="Arial" w:hAnsi="Arial" w:cs="Arial"/>
          <w:szCs w:val="24"/>
          <w:lang w:val="es-ES" w:eastAsia="es-ES"/>
        </w:rPr>
      </w:pPr>
    </w:p>
    <w:p w14:paraId="57DF160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Cada capa de material de relleno con una humedad aceptable, que no sea ni muy baja (falta de agua) ni excesivamente saturada (exceso de agua) es compactada adecuadamente con apisonadoras de madera o metálicas hasta lograr una apariencia de compactación sólida y densidad uniforme. La última capa para alcanzar la rasante de la calle, cruces de caminos, está compuesta por material selecto aceptado por El Supervisor y con un contenido de humedad óptimo y homogéneo, es compactado con un equipo motorizado y vibratorio de tal manera que, el porcentaje de compactación sea del 95% PROCTOR Standard. (Relación entre el peso volumétrico seco de material selecto respecto al peso volumétrico seco máximo de laboratorio, fijado por la AASHTO T-99, método C).</w:t>
      </w:r>
    </w:p>
    <w:p w14:paraId="245C380D" w14:textId="77777777" w:rsidR="003B68DB" w:rsidRPr="003B68DB" w:rsidRDefault="003B68DB" w:rsidP="003B68DB">
      <w:pPr>
        <w:rPr>
          <w:rFonts w:ascii="Arial" w:hAnsi="Arial" w:cs="Arial"/>
          <w:szCs w:val="24"/>
          <w:lang w:val="es-ES" w:eastAsia="es-ES"/>
        </w:rPr>
      </w:pPr>
    </w:p>
    <w:p w14:paraId="00DEFEB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En terrenos erosionables, o donde puedan encauzarse corrientes superficiales que puedan arrastrar el material de relleno, es necesario proveer retenciones de concreto </w:t>
      </w:r>
      <w:r w:rsidRPr="003B68DB">
        <w:rPr>
          <w:rFonts w:ascii="Arial" w:hAnsi="Arial" w:cs="Arial"/>
          <w:szCs w:val="24"/>
          <w:lang w:val="es-ES" w:eastAsia="es-ES"/>
        </w:rPr>
        <w:lastRenderedPageBreak/>
        <w:t>simple a todo lo ancho de la zanja y a intervalos convenientes, de manera que eviten el deslave del material. La forma, dimensiones e intervalo de construcción son dispuestos por El Supervisor.</w:t>
      </w:r>
    </w:p>
    <w:p w14:paraId="05DEDB4C" w14:textId="77777777" w:rsidR="003B68DB" w:rsidRPr="003B68DB" w:rsidRDefault="003B68DB" w:rsidP="003B68DB">
      <w:pPr>
        <w:rPr>
          <w:rFonts w:ascii="Arial" w:hAnsi="Arial" w:cs="Arial"/>
          <w:b/>
          <w:szCs w:val="24"/>
          <w:lang w:val="es-ES" w:eastAsia="es-ES"/>
        </w:rPr>
      </w:pPr>
    </w:p>
    <w:p w14:paraId="518FAF27"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97" w:name="_Toc22391634"/>
      <w:bookmarkStart w:id="1698" w:name="_Toc22653962"/>
      <w:r w:rsidRPr="003B68DB">
        <w:rPr>
          <w:rFonts w:ascii="Arial" w:eastAsia="Arial Narrow" w:hAnsi="Arial" w:cs="Arial"/>
          <w:b/>
          <w:bCs/>
          <w:iCs/>
          <w:szCs w:val="22"/>
          <w:lang w:val="es-ES" w:bidi="en-US"/>
        </w:rPr>
        <w:t>Tipos de relleno</w:t>
      </w:r>
      <w:bookmarkEnd w:id="1697"/>
      <w:bookmarkEnd w:id="1698"/>
    </w:p>
    <w:p w14:paraId="103F4784" w14:textId="77777777" w:rsidR="003B68DB" w:rsidRPr="003B68DB" w:rsidRDefault="003B68DB" w:rsidP="003B68DB">
      <w:pPr>
        <w:rPr>
          <w:rFonts w:ascii="Arial" w:hAnsi="Arial" w:cs="Arial"/>
          <w:szCs w:val="24"/>
          <w:lang w:val="es-ES" w:eastAsia="es-ES"/>
        </w:rPr>
      </w:pPr>
    </w:p>
    <w:p w14:paraId="66A74D18" w14:textId="77777777" w:rsidR="003B68DB" w:rsidRPr="003B68DB" w:rsidRDefault="003B68DB" w:rsidP="003B68DB">
      <w:pPr>
        <w:numPr>
          <w:ilvl w:val="0"/>
          <w:numId w:val="159"/>
        </w:numPr>
        <w:contextualSpacing/>
        <w:rPr>
          <w:rFonts w:ascii="Arial" w:hAnsi="Arial" w:cs="Arial"/>
          <w:szCs w:val="24"/>
          <w:lang w:val="es-ES" w:eastAsia="es-ES"/>
        </w:rPr>
      </w:pPr>
      <w:r w:rsidRPr="003B68DB">
        <w:rPr>
          <w:rFonts w:ascii="Arial" w:hAnsi="Arial" w:cs="Arial"/>
          <w:b/>
          <w:szCs w:val="24"/>
          <w:lang w:val="es-ES" w:eastAsia="es-ES"/>
        </w:rPr>
        <w:t>Relleno común.</w:t>
      </w:r>
    </w:p>
    <w:p w14:paraId="3B459020" w14:textId="77777777" w:rsidR="003B68DB" w:rsidRPr="003B68DB" w:rsidRDefault="003B68DB" w:rsidP="003B68DB">
      <w:pPr>
        <w:rPr>
          <w:rFonts w:ascii="Arial" w:hAnsi="Arial" w:cs="Arial"/>
          <w:szCs w:val="24"/>
          <w:lang w:val="es-ES" w:eastAsia="es-ES"/>
        </w:rPr>
      </w:pPr>
    </w:p>
    <w:p w14:paraId="76B6DF8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Consiste en material aprobado y seleccionado, sacado de la excavación de la zanja o de otra fuente, libre de terrones grandes, cenizas, basuras, plantas, hierbas u otros materiales degradables. El relleno debe tener alrededor del 2% de agua natural, con relación al peso seco del suelo original.</w:t>
      </w:r>
    </w:p>
    <w:p w14:paraId="60A96DCB" w14:textId="77777777" w:rsidR="003B68DB" w:rsidRPr="003B68DB" w:rsidRDefault="003B68DB" w:rsidP="003B68DB">
      <w:pPr>
        <w:rPr>
          <w:rFonts w:ascii="Arial" w:hAnsi="Arial" w:cs="Arial"/>
          <w:szCs w:val="24"/>
          <w:lang w:val="es-ES" w:eastAsia="es-ES"/>
        </w:rPr>
      </w:pPr>
    </w:p>
    <w:p w14:paraId="5EE5F06B" w14:textId="77777777" w:rsidR="003B68DB" w:rsidRPr="003B68DB" w:rsidRDefault="003B68DB" w:rsidP="003B68DB">
      <w:pPr>
        <w:numPr>
          <w:ilvl w:val="0"/>
          <w:numId w:val="159"/>
        </w:numPr>
        <w:contextualSpacing/>
        <w:rPr>
          <w:rFonts w:ascii="Arial" w:hAnsi="Arial" w:cs="Arial"/>
          <w:szCs w:val="24"/>
          <w:lang w:val="es-ES" w:eastAsia="es-ES"/>
        </w:rPr>
      </w:pPr>
      <w:r w:rsidRPr="003B68DB">
        <w:rPr>
          <w:rFonts w:ascii="Arial" w:hAnsi="Arial" w:cs="Arial"/>
          <w:b/>
          <w:szCs w:val="24"/>
          <w:lang w:val="es-ES" w:eastAsia="es-ES"/>
        </w:rPr>
        <w:t>Relleno especial.</w:t>
      </w:r>
    </w:p>
    <w:p w14:paraId="36451363" w14:textId="77777777" w:rsidR="003B68DB" w:rsidRPr="003B68DB" w:rsidRDefault="003B68DB" w:rsidP="003B68DB">
      <w:pPr>
        <w:rPr>
          <w:rFonts w:ascii="Arial" w:hAnsi="Arial" w:cs="Arial"/>
          <w:szCs w:val="24"/>
          <w:lang w:val="es-ES" w:eastAsia="es-ES"/>
        </w:rPr>
      </w:pPr>
    </w:p>
    <w:p w14:paraId="130580A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normas establecidas requieren para rellenos de zanjas para tuberías, cierto grado de calidad de material dependiendo de las condiciones específicas encontradas en el subsuelo, algunas veces se obliga el mejoramiento y/o la sustitución del material existente en la excavación, por otro catalogado como relleno especial; Ver el capítulo - EXCAVACION, RELLENO Y COMPACTACION ADICIONAL. Tales rellenos pueden ser: a) de material selecto para sustituir o para mezclar; b) material especial granular; c) material especial arenoso.</w:t>
      </w:r>
    </w:p>
    <w:p w14:paraId="552454CA" w14:textId="77777777" w:rsidR="003B68DB" w:rsidRPr="003B68DB" w:rsidRDefault="003B68DB" w:rsidP="003B68DB">
      <w:pPr>
        <w:rPr>
          <w:rFonts w:ascii="Arial" w:hAnsi="Arial" w:cs="Arial"/>
          <w:szCs w:val="24"/>
          <w:lang w:val="es-ES" w:eastAsia="es-ES"/>
        </w:rPr>
      </w:pPr>
    </w:p>
    <w:p w14:paraId="6DD59AFA"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699" w:name="_Toc22391635"/>
      <w:bookmarkStart w:id="1700" w:name="_Toc22653963"/>
      <w:r w:rsidRPr="003B68DB">
        <w:rPr>
          <w:rFonts w:ascii="Arial" w:eastAsia="Arial Narrow" w:hAnsi="Arial" w:cs="Arial"/>
          <w:b/>
          <w:bCs/>
          <w:iCs/>
          <w:szCs w:val="22"/>
          <w:lang w:val="es-ES" w:bidi="en-US"/>
        </w:rPr>
        <w:t>Medición y pago</w:t>
      </w:r>
      <w:bookmarkEnd w:id="1699"/>
      <w:bookmarkEnd w:id="1700"/>
    </w:p>
    <w:p w14:paraId="36A7619B" w14:textId="77777777" w:rsidR="003B68DB" w:rsidRPr="003B68DB" w:rsidRDefault="003B68DB" w:rsidP="003B68DB">
      <w:pPr>
        <w:rPr>
          <w:rFonts w:ascii="Arial" w:hAnsi="Arial" w:cs="Arial"/>
          <w:szCs w:val="24"/>
          <w:lang w:val="es-ES" w:eastAsia="es-ES"/>
        </w:rPr>
      </w:pPr>
    </w:p>
    <w:p w14:paraId="4E5849A7" w14:textId="77777777" w:rsidR="003B68DB" w:rsidRPr="003B68DB" w:rsidRDefault="003B68DB" w:rsidP="003B68DB">
      <w:pPr>
        <w:rPr>
          <w:rFonts w:ascii="Arial" w:hAnsi="Arial" w:cs="Arial"/>
          <w:i/>
          <w:spacing w:val="-3"/>
          <w:szCs w:val="24"/>
          <w:lang w:val="es-ES" w:eastAsia="es-ES"/>
        </w:rPr>
      </w:pPr>
      <w:r w:rsidRPr="003B68DB">
        <w:rPr>
          <w:rFonts w:ascii="Arial" w:hAnsi="Arial" w:cs="Arial"/>
          <w:i/>
          <w:spacing w:val="-3"/>
          <w:szCs w:val="24"/>
          <w:lang w:val="es-ES" w:eastAsia="es-ES"/>
        </w:rPr>
        <w:t>El Contratista realiza la actividad de relleno y compactación de zanjas para la instalación de las tuberías en su totalidad, cuyo costo debe de ser incluido a la actividad de tubería de diámetro correspondiente, en el formato de oferta.</w:t>
      </w:r>
    </w:p>
    <w:p w14:paraId="2C0E7D69" w14:textId="77777777" w:rsidR="003B68DB" w:rsidRPr="003B68DB" w:rsidRDefault="003B68DB" w:rsidP="003B68DB">
      <w:pPr>
        <w:rPr>
          <w:rFonts w:ascii="Arial" w:hAnsi="Arial" w:cs="Arial"/>
          <w:spacing w:val="-3"/>
          <w:szCs w:val="24"/>
          <w:lang w:val="es-ES" w:eastAsia="es-ES"/>
        </w:rPr>
      </w:pPr>
    </w:p>
    <w:p w14:paraId="42EDF4A5" w14:textId="77777777" w:rsidR="003B68DB" w:rsidRPr="003B68DB" w:rsidRDefault="003B68DB" w:rsidP="003B68DB">
      <w:pPr>
        <w:rPr>
          <w:rFonts w:ascii="Arial" w:hAnsi="Arial" w:cs="Arial"/>
          <w:spacing w:val="-3"/>
          <w:szCs w:val="24"/>
          <w:lang w:val="es-ES" w:eastAsia="es-ES"/>
        </w:rPr>
      </w:pPr>
      <w:r w:rsidRPr="003B68DB">
        <w:rPr>
          <w:rFonts w:ascii="Arial" w:hAnsi="Arial" w:cs="Arial"/>
          <w:spacing w:val="-3"/>
          <w:szCs w:val="24"/>
          <w:lang w:val="es-ES" w:eastAsia="es-ES"/>
        </w:rPr>
        <w:t xml:space="preserve">El volumen de relleno y compactación de las zanjas para tuberías, se mide en m3. </w:t>
      </w:r>
    </w:p>
    <w:p w14:paraId="3DCF2D11" w14:textId="77777777" w:rsidR="003B68DB" w:rsidRPr="003B68DB" w:rsidRDefault="003B68DB" w:rsidP="003B68DB">
      <w:pPr>
        <w:rPr>
          <w:rFonts w:ascii="Arial" w:hAnsi="Arial" w:cs="Arial"/>
          <w:spacing w:val="-3"/>
          <w:szCs w:val="24"/>
          <w:lang w:val="es-ES" w:eastAsia="es-ES"/>
        </w:rPr>
      </w:pPr>
    </w:p>
    <w:p w14:paraId="5000B7D2" w14:textId="77777777" w:rsidR="003B68DB" w:rsidRPr="003B68DB" w:rsidRDefault="003B68DB" w:rsidP="003B68DB">
      <w:pPr>
        <w:rPr>
          <w:rFonts w:ascii="Arial" w:hAnsi="Arial" w:cs="Arial"/>
          <w:b/>
          <w:spacing w:val="-3"/>
          <w:szCs w:val="24"/>
          <w:lang w:val="es-ES" w:eastAsia="es-ES"/>
        </w:rPr>
      </w:pPr>
      <w:r w:rsidRPr="003B68DB">
        <w:rPr>
          <w:rFonts w:ascii="Arial" w:hAnsi="Arial" w:cs="Arial"/>
          <w:b/>
          <w:spacing w:val="-3"/>
          <w:szCs w:val="24"/>
          <w:lang w:val="es-ES" w:eastAsia="es-ES"/>
        </w:rPr>
        <w:t>Medición</w:t>
      </w:r>
    </w:p>
    <w:p w14:paraId="4698DA8A" w14:textId="77777777" w:rsidR="003B68DB" w:rsidRPr="003B68DB" w:rsidRDefault="003B68DB" w:rsidP="003B68DB">
      <w:pPr>
        <w:rPr>
          <w:rFonts w:ascii="Arial" w:hAnsi="Arial" w:cs="Arial"/>
          <w:spacing w:val="-3"/>
          <w:szCs w:val="24"/>
          <w:lang w:val="es-ES" w:eastAsia="es-ES"/>
        </w:rPr>
      </w:pPr>
    </w:p>
    <w:p w14:paraId="7104C582" w14:textId="77777777" w:rsidR="003B68DB" w:rsidRPr="003B68DB" w:rsidRDefault="003B68DB" w:rsidP="003B68DB">
      <w:pPr>
        <w:rPr>
          <w:rFonts w:ascii="Arial" w:hAnsi="Arial" w:cs="Arial"/>
          <w:spacing w:val="-3"/>
          <w:szCs w:val="24"/>
          <w:lang w:val="es-ES" w:eastAsia="es-ES"/>
        </w:rPr>
      </w:pPr>
      <w:r w:rsidRPr="003B68DB">
        <w:rPr>
          <w:rFonts w:ascii="Arial" w:hAnsi="Arial" w:cs="Arial"/>
          <w:spacing w:val="-3"/>
          <w:szCs w:val="24"/>
          <w:lang w:val="es-ES" w:eastAsia="es-ES"/>
        </w:rPr>
        <w:t xml:space="preserve">Se calcula el área de la sección transversal de la zanja (en m2) que resulta de multiplicar el </w:t>
      </w:r>
      <w:r w:rsidRPr="003B68DB">
        <w:rPr>
          <w:rFonts w:ascii="Arial" w:hAnsi="Arial" w:cs="Arial"/>
          <w:i/>
          <w:spacing w:val="-3"/>
          <w:szCs w:val="24"/>
          <w:lang w:val="es-ES" w:eastAsia="es-ES"/>
        </w:rPr>
        <w:t>ancho de zanja</w:t>
      </w:r>
      <w:r w:rsidRPr="003B68DB">
        <w:rPr>
          <w:rFonts w:ascii="Arial" w:hAnsi="Arial" w:cs="Arial"/>
          <w:spacing w:val="-3"/>
          <w:szCs w:val="24"/>
          <w:lang w:val="es-ES" w:eastAsia="es-ES"/>
        </w:rPr>
        <w:t xml:space="preserve"> (m) por la </w:t>
      </w:r>
      <w:r w:rsidRPr="003B68DB">
        <w:rPr>
          <w:rFonts w:ascii="Arial" w:hAnsi="Arial" w:cs="Arial"/>
          <w:i/>
          <w:spacing w:val="-3"/>
          <w:szCs w:val="24"/>
          <w:lang w:val="es-ES" w:eastAsia="es-ES"/>
        </w:rPr>
        <w:t xml:space="preserve">profundidad total de excavación (m). Al área de la </w:t>
      </w:r>
      <w:r w:rsidRPr="003B68DB">
        <w:rPr>
          <w:rFonts w:ascii="Arial" w:hAnsi="Arial" w:cs="Arial"/>
          <w:spacing w:val="-3"/>
          <w:szCs w:val="24"/>
          <w:lang w:val="es-ES" w:eastAsia="es-ES"/>
        </w:rPr>
        <w:t>sección transversal de la zanja, s</w:t>
      </w:r>
      <w:r w:rsidRPr="003B68DB">
        <w:rPr>
          <w:rFonts w:ascii="Arial" w:hAnsi="Arial" w:cs="Arial"/>
          <w:i/>
          <w:spacing w:val="-3"/>
          <w:szCs w:val="24"/>
          <w:lang w:val="es-ES" w:eastAsia="es-ES"/>
        </w:rPr>
        <w:t>e le resta el área ocupada de la tubería según su diámetro externo. El producto es el área de relleno.</w:t>
      </w:r>
      <w:r w:rsidRPr="003B68DB">
        <w:rPr>
          <w:rFonts w:ascii="Arial" w:hAnsi="Arial" w:cs="Arial"/>
          <w:spacing w:val="-3"/>
          <w:szCs w:val="24"/>
          <w:lang w:val="es-ES" w:eastAsia="es-ES"/>
        </w:rPr>
        <w:t xml:space="preserve"> El área de relleno obtenida se multiplica por la longitud de tubería (m) del diámetro correspondiente.</w:t>
      </w:r>
    </w:p>
    <w:p w14:paraId="5F1A0336" w14:textId="77777777" w:rsidR="003B68DB" w:rsidRPr="003B68DB" w:rsidRDefault="003B68DB" w:rsidP="003B68DB">
      <w:pPr>
        <w:rPr>
          <w:rFonts w:ascii="Arial" w:hAnsi="Arial" w:cs="Arial"/>
          <w:szCs w:val="24"/>
          <w:lang w:val="es-ES" w:eastAsia="es-ES"/>
        </w:rPr>
      </w:pPr>
    </w:p>
    <w:p w14:paraId="03FA198B"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Pago</w:t>
      </w:r>
    </w:p>
    <w:p w14:paraId="2CB2A4B1" w14:textId="77777777" w:rsidR="003B68DB" w:rsidRPr="003B68DB" w:rsidRDefault="003B68DB" w:rsidP="003B68DB">
      <w:pPr>
        <w:rPr>
          <w:rFonts w:ascii="Arial" w:hAnsi="Arial" w:cs="Arial"/>
          <w:szCs w:val="24"/>
          <w:lang w:val="es-ES" w:eastAsia="es-ES"/>
        </w:rPr>
      </w:pPr>
    </w:p>
    <w:p w14:paraId="5C64E0C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Los pagos por </w:t>
      </w:r>
      <w:r w:rsidRPr="003B68DB">
        <w:rPr>
          <w:rFonts w:ascii="Arial" w:hAnsi="Arial" w:cs="Arial"/>
          <w:i/>
          <w:szCs w:val="24"/>
          <w:lang w:val="es-ES" w:eastAsia="es-ES"/>
        </w:rPr>
        <w:t>relleno y compactación de zanjas para tuberías</w:t>
      </w:r>
      <w:r w:rsidRPr="003B68DB">
        <w:rPr>
          <w:rFonts w:ascii="Arial" w:hAnsi="Arial" w:cs="Arial"/>
          <w:szCs w:val="24"/>
          <w:lang w:val="es-ES" w:eastAsia="es-ES"/>
        </w:rPr>
        <w:t xml:space="preserve">, hacer por metro lineal de tubería instalada del diámetro correspondiente, conforme a los precios unitarios que se estipulan en la Oferta. </w:t>
      </w:r>
      <w:r w:rsidRPr="003B68DB">
        <w:rPr>
          <w:rFonts w:ascii="Arial" w:hAnsi="Arial" w:cs="Arial"/>
          <w:i/>
          <w:szCs w:val="24"/>
          <w:lang w:val="es-ES" w:eastAsia="es-ES"/>
        </w:rPr>
        <w:t xml:space="preserve">Para los efectos de pago, la longitud de la tubería es medida sobre el eje central de la corona de la tubería, una vez que haya sido colocada y esté de acuerdo con el relleno y compactación a las profundidades, alineación y pendiente </w:t>
      </w:r>
      <w:r w:rsidRPr="003B68DB">
        <w:rPr>
          <w:rFonts w:ascii="Arial" w:hAnsi="Arial" w:cs="Arial"/>
          <w:i/>
          <w:szCs w:val="24"/>
          <w:lang w:val="es-ES" w:eastAsia="es-ES"/>
        </w:rPr>
        <w:lastRenderedPageBreak/>
        <w:t>mostrada en los planos, señaladas en estas especificaciones y/o las indicaciones del Supervisor.</w:t>
      </w:r>
    </w:p>
    <w:p w14:paraId="25113C1E" w14:textId="77777777" w:rsidR="003B68DB" w:rsidRPr="003B68DB" w:rsidRDefault="003B68DB" w:rsidP="003B68DB">
      <w:pPr>
        <w:rPr>
          <w:rFonts w:ascii="Arial" w:hAnsi="Arial" w:cs="Arial"/>
          <w:szCs w:val="24"/>
          <w:lang w:val="es-ES" w:eastAsia="es-ES"/>
        </w:rPr>
      </w:pPr>
    </w:p>
    <w:p w14:paraId="213C195A"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01" w:name="_Toc22391636"/>
      <w:bookmarkStart w:id="1702" w:name="_Toc22653964"/>
      <w:r w:rsidRPr="003B68DB">
        <w:rPr>
          <w:rFonts w:ascii="Arial" w:eastAsia="Arial Narrow" w:hAnsi="Arial" w:cs="Arial"/>
          <w:b/>
          <w:bCs/>
          <w:iCs/>
          <w:szCs w:val="22"/>
          <w:lang w:val="es-ES" w:bidi="en-US"/>
        </w:rPr>
        <w:t>Estudios de suelos para control de calidad de relleno y compactación</w:t>
      </w:r>
      <w:bookmarkEnd w:id="1701"/>
      <w:bookmarkEnd w:id="1702"/>
    </w:p>
    <w:p w14:paraId="19A54BFE" w14:textId="77777777" w:rsidR="003B68DB" w:rsidRPr="003B68DB" w:rsidRDefault="003B68DB" w:rsidP="003B68DB">
      <w:pPr>
        <w:rPr>
          <w:rFonts w:ascii="Arial" w:hAnsi="Arial" w:cs="Arial"/>
          <w:szCs w:val="24"/>
          <w:lang w:val="es-ES" w:eastAsia="es-ES"/>
        </w:rPr>
      </w:pPr>
    </w:p>
    <w:p w14:paraId="75610EE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Sin perjuicio de lo dispuesto en estas especificaciones, el Contratista pone a disposición del Supervisor el personal y los equipos necesarios para efectuar cualquier estudio de suelo que el Supervisor considere razonablemente necesario en los siguientes casos: </w:t>
      </w:r>
    </w:p>
    <w:p w14:paraId="2784FC79" w14:textId="77777777" w:rsidR="003B68DB" w:rsidRPr="003B68DB" w:rsidRDefault="003B68DB" w:rsidP="003B68DB">
      <w:pPr>
        <w:rPr>
          <w:rFonts w:ascii="Arial" w:hAnsi="Arial" w:cs="Arial"/>
          <w:szCs w:val="24"/>
          <w:lang w:val="es-ES" w:eastAsia="es-ES"/>
        </w:rPr>
      </w:pPr>
    </w:p>
    <w:p w14:paraId="33D677EA"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703" w:name="_Toc22391637"/>
      <w:r w:rsidRPr="003B68DB">
        <w:rPr>
          <w:rFonts w:ascii="Arial" w:hAnsi="Arial" w:cs="Century Gothic"/>
          <w:b/>
          <w:bCs/>
          <w:lang w:val="es-ES" w:eastAsia="es-ES"/>
        </w:rPr>
        <w:t>En zanjas de tuberías</w:t>
      </w:r>
      <w:bookmarkEnd w:id="1703"/>
    </w:p>
    <w:p w14:paraId="45C30A33" w14:textId="77777777" w:rsidR="003B68DB" w:rsidRPr="003B68DB" w:rsidRDefault="003B68DB" w:rsidP="003B68DB">
      <w:pPr>
        <w:rPr>
          <w:rFonts w:ascii="Arial" w:hAnsi="Arial" w:cs="Arial"/>
          <w:spacing w:val="-3"/>
          <w:szCs w:val="24"/>
          <w:lang w:val="es-ES" w:eastAsia="es-ES"/>
        </w:rPr>
      </w:pPr>
    </w:p>
    <w:p w14:paraId="666B1739" w14:textId="77777777" w:rsidR="003B68DB" w:rsidRPr="003B68DB" w:rsidRDefault="003B68DB" w:rsidP="003B68DB">
      <w:pPr>
        <w:rPr>
          <w:rFonts w:ascii="Arial" w:hAnsi="Arial" w:cs="Arial"/>
          <w:spacing w:val="-3"/>
          <w:szCs w:val="24"/>
          <w:lang w:val="es-ES" w:eastAsia="es-ES"/>
        </w:rPr>
      </w:pPr>
      <w:r w:rsidRPr="003B68DB">
        <w:rPr>
          <w:rFonts w:ascii="Arial" w:hAnsi="Arial" w:cs="Arial"/>
          <w:spacing w:val="-3"/>
          <w:szCs w:val="24"/>
          <w:lang w:val="es-ES" w:eastAsia="es-ES"/>
        </w:rPr>
        <w:t>Para garantizar la calidad del relleno y compactación de zanjas para tuberías, el Contratista debe considerar los equipos y controles de calidad necesarios (Prueba de compactación, Ensayo de densidad), las cuales se realizan a cada 300 metros de tubería instalada. En el caso que la tubería pase por áreas de tráfico vehicular se realizan dichas pruebas a cada 100 metros a ser definidas por el Supervisor. Los costos de controles de calidad necesarios deben ser incluidos en la actividad de tubería de diámetro correspondiente, en el formato de oferta.</w:t>
      </w:r>
    </w:p>
    <w:p w14:paraId="3566D799" w14:textId="77777777" w:rsidR="003B68DB" w:rsidRPr="003B68DB" w:rsidRDefault="003B68DB" w:rsidP="003B68DB">
      <w:pPr>
        <w:rPr>
          <w:rFonts w:ascii="Arial" w:hAnsi="Arial" w:cs="Arial"/>
          <w:spacing w:val="-3"/>
          <w:szCs w:val="24"/>
          <w:lang w:val="es-ES" w:eastAsia="es-ES"/>
        </w:rPr>
      </w:pPr>
    </w:p>
    <w:p w14:paraId="4569E605"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704" w:name="_Toc22391638"/>
      <w:r w:rsidRPr="003B68DB">
        <w:rPr>
          <w:rFonts w:ascii="Arial" w:hAnsi="Arial" w:cs="Century Gothic"/>
          <w:b/>
          <w:bCs/>
          <w:lang w:val="es-ES" w:eastAsia="es-ES"/>
        </w:rPr>
        <w:t>En fundaciones de tanque de almacenamiento</w:t>
      </w:r>
      <w:bookmarkEnd w:id="1704"/>
    </w:p>
    <w:p w14:paraId="0AAA14B4" w14:textId="77777777" w:rsidR="003B68DB" w:rsidRPr="003B68DB" w:rsidRDefault="003B68DB" w:rsidP="003B68DB">
      <w:pPr>
        <w:rPr>
          <w:rFonts w:ascii="Arial" w:hAnsi="Arial" w:cs="Arial"/>
          <w:szCs w:val="24"/>
          <w:lang w:val="es-ES" w:eastAsia="es-ES"/>
        </w:rPr>
      </w:pPr>
    </w:p>
    <w:p w14:paraId="39E8EA6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Con el objetivo de comprobar el cumplimiento de las especificaciones, del grado de compactación requerido del relleno realizado para el mejoramiento de suelo en el sitio de emplazamiento del tanque de almacenamiento, se realizan dos pruebas de compactación, cuyas ubicaciones son indicadas por El Supervisor. El costo incurrido por todas las pruebas de compactación es asumido por El Contratista.</w:t>
      </w:r>
    </w:p>
    <w:p w14:paraId="37761171" w14:textId="77777777" w:rsidR="003B68DB" w:rsidRPr="003B68DB" w:rsidRDefault="003B68DB" w:rsidP="003B68DB">
      <w:pPr>
        <w:rPr>
          <w:rFonts w:ascii="Arial" w:hAnsi="Arial" w:cs="Arial"/>
          <w:szCs w:val="24"/>
          <w:lang w:val="es-ES" w:eastAsia="es-ES"/>
        </w:rPr>
      </w:pPr>
    </w:p>
    <w:p w14:paraId="4787FE9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somete a aprobación, el laboratorio de materiales que hace las pruebas de compactación y éste es escogido de una terna sometida al Supervisor.</w:t>
      </w:r>
    </w:p>
    <w:p w14:paraId="473E6E80" w14:textId="77777777" w:rsidR="003B68DB" w:rsidRPr="003B68DB" w:rsidRDefault="003B68DB" w:rsidP="003B68DB">
      <w:pPr>
        <w:rPr>
          <w:rFonts w:ascii="Arial" w:hAnsi="Arial" w:cs="Arial"/>
          <w:szCs w:val="24"/>
          <w:lang w:val="es-ES" w:eastAsia="es-ES"/>
        </w:rPr>
      </w:pPr>
    </w:p>
    <w:p w14:paraId="4121EC3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05" w:name="_Toc22391639"/>
      <w:bookmarkStart w:id="1706" w:name="_Toc22653965"/>
      <w:r w:rsidRPr="003B68DB">
        <w:rPr>
          <w:rFonts w:ascii="Arial" w:eastAsia="Arial Narrow" w:hAnsi="Arial" w:cs="Arial"/>
          <w:b/>
          <w:bCs/>
          <w:iCs/>
          <w:szCs w:val="22"/>
          <w:lang w:val="es-ES" w:bidi="en-US"/>
        </w:rPr>
        <w:t>Disposición de Material Sobrante</w:t>
      </w:r>
      <w:bookmarkEnd w:id="1705"/>
      <w:bookmarkEnd w:id="1706"/>
    </w:p>
    <w:p w14:paraId="4D6F8093" w14:textId="77777777" w:rsidR="003B68DB" w:rsidRPr="003B68DB" w:rsidRDefault="003B68DB" w:rsidP="003B68DB">
      <w:pPr>
        <w:rPr>
          <w:rFonts w:ascii="Arial" w:hAnsi="Arial" w:cs="Arial"/>
          <w:b/>
          <w:szCs w:val="24"/>
          <w:lang w:val="es-ES" w:eastAsia="es-ES"/>
        </w:rPr>
      </w:pPr>
    </w:p>
    <w:p w14:paraId="49A460A4" w14:textId="77777777" w:rsidR="003B68DB" w:rsidRPr="003B68DB" w:rsidRDefault="003B68DB" w:rsidP="003B68DB">
      <w:pPr>
        <w:keepNext/>
        <w:numPr>
          <w:ilvl w:val="3"/>
          <w:numId w:val="0"/>
        </w:numPr>
        <w:ind w:left="864" w:hanging="864"/>
        <w:jc w:val="left"/>
        <w:outlineLvl w:val="3"/>
        <w:rPr>
          <w:rFonts w:ascii="Arial" w:hAnsi="Arial" w:cs="Century Gothic"/>
          <w:b/>
          <w:bCs/>
          <w:lang w:val="es-ES" w:eastAsia="es-ES"/>
        </w:rPr>
      </w:pPr>
      <w:bookmarkStart w:id="1707" w:name="_Toc22391640"/>
      <w:r w:rsidRPr="003B68DB">
        <w:rPr>
          <w:rFonts w:ascii="Arial" w:hAnsi="Arial" w:cs="Century Gothic"/>
          <w:b/>
          <w:bCs/>
          <w:lang w:val="es-ES" w:eastAsia="es-ES"/>
        </w:rPr>
        <w:t>Recursos y procedimientos</w:t>
      </w:r>
      <w:bookmarkEnd w:id="1707"/>
    </w:p>
    <w:p w14:paraId="421C5A3B" w14:textId="77777777" w:rsidR="003B68DB" w:rsidRPr="003B68DB" w:rsidRDefault="003B68DB" w:rsidP="003B68DB">
      <w:pPr>
        <w:rPr>
          <w:rFonts w:ascii="Arial" w:hAnsi="Arial" w:cs="Arial"/>
          <w:szCs w:val="24"/>
          <w:lang w:val="es-ES" w:eastAsia="es-ES"/>
        </w:rPr>
      </w:pPr>
    </w:p>
    <w:p w14:paraId="54BE5D6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Si por cualquier razón, después del relleno y compactación de zanjas o pozos queda material sobrante, debe ser dispuesto por la comunidad con el apoyo del Contratista. El material sobrante extraído y sustituido por contener elementos inadecuados y/o por excedente después de la instalación de las tuberías y accesorios, debe ser dispuesto por la comunidad con el apoyo del Contratista. El Contratista, a su cuenta, debe suministrar todos los recursos necesarios para retirarlos del sitio de las obras y depositarlos adecuadamente conforme las exigencias de la Alcaldía.</w:t>
      </w:r>
    </w:p>
    <w:p w14:paraId="26131031" w14:textId="77777777" w:rsidR="003B68DB" w:rsidRPr="003B68DB" w:rsidRDefault="003B68DB" w:rsidP="003B68DB">
      <w:pPr>
        <w:rPr>
          <w:rFonts w:ascii="Arial" w:hAnsi="Arial" w:cs="Arial"/>
          <w:szCs w:val="24"/>
          <w:lang w:val="es-ES" w:eastAsia="es-ES"/>
        </w:rPr>
      </w:pPr>
    </w:p>
    <w:p w14:paraId="4460E95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En el caso que el material sobrante sea debido a la importación de material adicional de relleno, ya sea para sustituir material indeseable en el sitio de la excavación o para combinar y mejorar el relleno para zanja y/o pozo excavados, la disposición es efectuada </w:t>
      </w:r>
      <w:r w:rsidRPr="003B68DB">
        <w:rPr>
          <w:rFonts w:ascii="Arial" w:hAnsi="Arial" w:cs="Arial"/>
          <w:szCs w:val="24"/>
          <w:lang w:val="es-ES" w:eastAsia="es-ES"/>
        </w:rPr>
        <w:lastRenderedPageBreak/>
        <w:t>siempre a cuenta de el Contratista, pero está incluido en el concepto de obra de la etapa - EXCAVACION, RELLENO Y COMPACTACION ADICIONAL.</w:t>
      </w:r>
    </w:p>
    <w:p w14:paraId="54E56C27" w14:textId="77777777" w:rsidR="003B68DB" w:rsidRPr="003B68DB" w:rsidRDefault="003B68DB" w:rsidP="003B68DB">
      <w:pPr>
        <w:rPr>
          <w:rFonts w:ascii="Arial" w:hAnsi="Arial" w:cs="Arial"/>
          <w:szCs w:val="24"/>
          <w:lang w:val="es-ES" w:eastAsia="es-ES"/>
        </w:rPr>
      </w:pPr>
    </w:p>
    <w:p w14:paraId="0072E61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Si es el caso, la disposición del material sobrante de la rotura de base y carpeta de rodamiento debe incluirse en el concepto de obra de la etapa - ROTURA Y REPOSICION DE BASE Y CARPETA DE RODAMIENTO.</w:t>
      </w:r>
    </w:p>
    <w:p w14:paraId="52F0E21B" w14:textId="77777777" w:rsidR="003B68DB" w:rsidRPr="003B68DB" w:rsidRDefault="003B68DB" w:rsidP="003B68DB">
      <w:pPr>
        <w:rPr>
          <w:rFonts w:ascii="Arial" w:hAnsi="Arial" w:cs="Arial"/>
          <w:szCs w:val="24"/>
          <w:lang w:val="es-ES" w:eastAsia="es-ES"/>
        </w:rPr>
      </w:pPr>
    </w:p>
    <w:p w14:paraId="7E1F0E08"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s-NI"/>
        </w:rPr>
      </w:pPr>
      <w:bookmarkStart w:id="1708" w:name="_Toc22391641"/>
      <w:bookmarkStart w:id="1709" w:name="_Toc22653966"/>
      <w:r w:rsidRPr="003B68DB">
        <w:rPr>
          <w:rFonts w:ascii="Arial" w:eastAsia="Arial Narrow" w:hAnsi="Arial" w:cs="Arial"/>
          <w:b/>
          <w:bCs/>
          <w:iCs/>
          <w:szCs w:val="24"/>
          <w:lang w:val="es-NI"/>
        </w:rPr>
        <w:t>Medición y Pago por Instalación de Tubería</w:t>
      </w:r>
      <w:bookmarkEnd w:id="1708"/>
      <w:bookmarkEnd w:id="1709"/>
    </w:p>
    <w:p w14:paraId="086A479D" w14:textId="77777777" w:rsidR="003B68DB" w:rsidRPr="003B68DB" w:rsidRDefault="003B68DB" w:rsidP="003B68DB">
      <w:pPr>
        <w:rPr>
          <w:rFonts w:ascii="Arial" w:hAnsi="Arial" w:cs="Arial"/>
          <w:b/>
          <w:szCs w:val="24"/>
          <w:lang w:val="es-ES" w:eastAsia="es-ES"/>
        </w:rPr>
      </w:pPr>
    </w:p>
    <w:p w14:paraId="704A0B8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pagos por instalación de tuberías hacer por metro lineal de tubería instalada, conforme a los precios unitarios que se estipulan en la Oferta.Para los efectos de pago, la longitud de la tubería es medida sobre el eje central de la corona de la tubería, una vez que haya sido colocada y esté de acuerdo con las profundidades, alineación y pendiente mostrada en los planos, señaladas en estas especificaciones y/o las indicaciones de El Supervisor.</w:t>
      </w:r>
    </w:p>
    <w:p w14:paraId="63A839EA" w14:textId="77777777" w:rsidR="003B68DB" w:rsidRPr="003B68DB" w:rsidRDefault="003B68DB" w:rsidP="003B68DB">
      <w:pPr>
        <w:rPr>
          <w:rFonts w:ascii="Arial" w:hAnsi="Arial" w:cs="Arial"/>
          <w:b/>
          <w:szCs w:val="24"/>
          <w:lang w:val="es-ES" w:eastAsia="es-ES"/>
        </w:rPr>
      </w:pPr>
    </w:p>
    <w:p w14:paraId="47C2AF22" w14:textId="77777777" w:rsidR="003B68DB" w:rsidRPr="003B68DB" w:rsidRDefault="003B68DB" w:rsidP="003B68DB">
      <w:pPr>
        <w:rPr>
          <w:rFonts w:ascii="Arial" w:hAnsi="Arial" w:cs="Arial"/>
          <w:szCs w:val="24"/>
          <w:lang w:val="es-ES" w:eastAsia="es-ES"/>
        </w:rPr>
      </w:pPr>
      <w:r w:rsidRPr="003B68DB">
        <w:rPr>
          <w:rFonts w:ascii="Arial" w:hAnsi="Arial" w:cs="Arial"/>
          <w:b/>
          <w:szCs w:val="24"/>
          <w:lang w:val="es-ES" w:eastAsia="es-ES"/>
        </w:rPr>
        <w:t>a) En relación con las excavaciones adicionales</w:t>
      </w:r>
      <w:r w:rsidRPr="003B68DB">
        <w:rPr>
          <w:rFonts w:ascii="Arial" w:hAnsi="Arial" w:cs="Arial"/>
          <w:szCs w:val="24"/>
          <w:lang w:val="es-ES" w:eastAsia="es-ES"/>
        </w:rPr>
        <w:t>.</w:t>
      </w:r>
    </w:p>
    <w:p w14:paraId="12C57F20" w14:textId="77777777" w:rsidR="003B68DB" w:rsidRPr="003B68DB" w:rsidRDefault="003B68DB" w:rsidP="003B68DB">
      <w:pPr>
        <w:rPr>
          <w:rFonts w:ascii="Arial" w:hAnsi="Arial" w:cs="Arial"/>
          <w:szCs w:val="24"/>
          <w:lang w:val="es-ES" w:eastAsia="es-ES"/>
        </w:rPr>
      </w:pPr>
    </w:p>
    <w:p w14:paraId="3DAAA4F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se pagarán excavaciones de sobre-ancho y/o sub-excavaciones que estén fuera de los límites establecidos en los planos y/o especificaciones, a menos que en casos muy especiales sean aprobadas por El Supervisor.</w:t>
      </w:r>
    </w:p>
    <w:p w14:paraId="5686CC34" w14:textId="77777777" w:rsidR="003B68DB" w:rsidRPr="003B68DB" w:rsidRDefault="003B68DB" w:rsidP="003B68DB">
      <w:pPr>
        <w:rPr>
          <w:rFonts w:ascii="Arial" w:hAnsi="Arial" w:cs="Arial"/>
          <w:szCs w:val="24"/>
          <w:lang w:val="es-ES" w:eastAsia="es-ES"/>
        </w:rPr>
      </w:pPr>
    </w:p>
    <w:p w14:paraId="0C54BD2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excavación adicional por sobre dimensionamiento ordenado por El Supervisor, o por encontrar material diferente y de mayor dureza que la tierra normal es concepto de pago complementario aparte y conforme se establece en el capítulo - EXCAVACION, RELLENO Y COMPACTACION ESPECIAL Y/O ADICIONAL.</w:t>
      </w:r>
    </w:p>
    <w:p w14:paraId="29E89DD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Si este caso ocurre en los rangos de profundidad indicados por diámetros de tuberías; 0.00 - 1.50 para DIÁMETRO NOMINAL 12” y 0.00 - 2.00 para DIÁMETRO NOMINAL  12”, al costo de excavación adicional de la oferta., se le debe sustraer el costo de excavación en tierra normal incluido en el costo unitario de la etapa - INSTALACION DE TUBERIA.  Esta deducción eventual se hará sobre la base de los costos unitarios señalados en la Oferta.</w:t>
      </w:r>
    </w:p>
    <w:p w14:paraId="5BFB13F2" w14:textId="77777777" w:rsidR="003B68DB" w:rsidRPr="003B68DB" w:rsidRDefault="003B68DB" w:rsidP="003B68DB">
      <w:pPr>
        <w:rPr>
          <w:rFonts w:ascii="Arial" w:hAnsi="Arial" w:cs="Arial"/>
          <w:szCs w:val="24"/>
          <w:lang w:val="es-ES" w:eastAsia="es-ES"/>
        </w:rPr>
      </w:pPr>
    </w:p>
    <w:p w14:paraId="4A390D85" w14:textId="77777777" w:rsidR="003B68DB" w:rsidRPr="003B68DB" w:rsidRDefault="003B68DB" w:rsidP="003B68DB">
      <w:pPr>
        <w:rPr>
          <w:rFonts w:ascii="Arial" w:hAnsi="Arial" w:cs="Arial"/>
          <w:szCs w:val="24"/>
          <w:lang w:val="es-ES" w:eastAsia="es-ES"/>
        </w:rPr>
      </w:pPr>
      <w:r w:rsidRPr="003B68DB">
        <w:rPr>
          <w:rFonts w:ascii="Arial" w:hAnsi="Arial" w:cs="Arial"/>
          <w:b/>
          <w:szCs w:val="24"/>
          <w:lang w:val="es-ES" w:eastAsia="es-ES"/>
        </w:rPr>
        <w:t>b) En relación con la instalación de la tubería propiamente dicha</w:t>
      </w:r>
      <w:r w:rsidRPr="003B68DB">
        <w:rPr>
          <w:rFonts w:ascii="Arial" w:hAnsi="Arial" w:cs="Arial"/>
          <w:szCs w:val="24"/>
          <w:lang w:val="es-ES" w:eastAsia="es-ES"/>
        </w:rPr>
        <w:t>.</w:t>
      </w:r>
    </w:p>
    <w:p w14:paraId="09C882A8" w14:textId="77777777" w:rsidR="003B68DB" w:rsidRPr="003B68DB" w:rsidRDefault="003B68DB" w:rsidP="003B68DB">
      <w:pPr>
        <w:rPr>
          <w:rFonts w:ascii="Arial" w:hAnsi="Arial" w:cs="Arial"/>
          <w:szCs w:val="24"/>
          <w:lang w:val="es-ES" w:eastAsia="es-ES"/>
        </w:rPr>
      </w:pPr>
    </w:p>
    <w:p w14:paraId="6C492A9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incluyen todos los costos por suministros de recursos para los trabajos de corte, rectificación y colocado de tubos, instalación de uniones y accesorios, válvulas, anclajes y bloques de reacción, prueba de presión hidrostática y estanqueidad, etc., y otros trabajos conexos, sin ser limitativo tales como: Topografía, señales de protección de obras no terminadas, manejo y transporte de suministros de su cuenta y/o manejo y transporte de los artículos o materiales a ser entregados por Medico Sin Fronteras, encofrados, arrostramientos, remoción y baldeo de las aguas, suministro de materiales locales tales como madera, piedra, concreto, arena, agua, etc., requeridos conforme las especificaciones y en general todo trabajo y suministros para la instalación de tuberías a menos que específicamente sea incluido bajo otro artículo.</w:t>
      </w:r>
    </w:p>
    <w:p w14:paraId="4DF4C318" w14:textId="77777777" w:rsidR="003B68DB" w:rsidRPr="003B68DB" w:rsidRDefault="003B68DB" w:rsidP="003B68DB">
      <w:pPr>
        <w:rPr>
          <w:rFonts w:ascii="Arial" w:hAnsi="Arial" w:cs="Arial"/>
          <w:szCs w:val="24"/>
          <w:lang w:val="es-ES" w:eastAsia="es-ES"/>
        </w:rPr>
      </w:pPr>
    </w:p>
    <w:p w14:paraId="41ED4583"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lastRenderedPageBreak/>
        <w:t>c) En relación con el relleno y compactación adicionales.</w:t>
      </w:r>
    </w:p>
    <w:p w14:paraId="46908B9B" w14:textId="77777777" w:rsidR="003B68DB" w:rsidRPr="003B68DB" w:rsidRDefault="003B68DB" w:rsidP="003B68DB">
      <w:pPr>
        <w:rPr>
          <w:rFonts w:ascii="Arial" w:hAnsi="Arial" w:cs="Arial"/>
          <w:szCs w:val="24"/>
          <w:lang w:val="es-ES" w:eastAsia="es-ES"/>
        </w:rPr>
      </w:pPr>
    </w:p>
    <w:p w14:paraId="32488B0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relleno y compactación adicional ordenado ó autorizado por El Supervisor es concepto de pago aparte. </w:t>
      </w:r>
    </w:p>
    <w:p w14:paraId="240B7872" w14:textId="77777777" w:rsidR="003B68DB" w:rsidRPr="003B68DB" w:rsidRDefault="003B68DB" w:rsidP="003B68DB">
      <w:pPr>
        <w:rPr>
          <w:rFonts w:ascii="Arial" w:hAnsi="Arial" w:cs="Arial"/>
          <w:szCs w:val="24"/>
          <w:lang w:val="es-ES" w:eastAsia="es-ES"/>
        </w:rPr>
      </w:pPr>
    </w:p>
    <w:p w14:paraId="6718778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relación con la disposición de material sobrante. La disposición del material sobrante por razón de haber usado relleno adicional debe considerarse en el concepto de obra - EXCAVACION, RELLENO Y COMPACTACION ESPECIAL Y/O ADICIONAL.</w:t>
      </w:r>
    </w:p>
    <w:p w14:paraId="30ADF572" w14:textId="77777777" w:rsidR="003B68DB" w:rsidRPr="003B68DB" w:rsidRDefault="003B68DB" w:rsidP="003B68DB">
      <w:pPr>
        <w:rPr>
          <w:rFonts w:ascii="Arial" w:hAnsi="Arial" w:cs="Arial"/>
          <w:szCs w:val="24"/>
          <w:lang w:val="es-ES" w:eastAsia="es-ES"/>
        </w:rPr>
      </w:pPr>
    </w:p>
    <w:p w14:paraId="1CADDEDF" w14:textId="77777777" w:rsidR="003B68DB" w:rsidRPr="003B68DB" w:rsidRDefault="003B68DB" w:rsidP="003B68DB">
      <w:pPr>
        <w:keepNext/>
        <w:keepLines/>
        <w:ind w:left="432" w:hanging="432"/>
        <w:outlineLvl w:val="0"/>
        <w:rPr>
          <w:rFonts w:ascii="Arial" w:eastAsia="Arial" w:hAnsi="Arial"/>
          <w:b/>
          <w:szCs w:val="24"/>
          <w:lang w:val="es-ES" w:eastAsia="es-ES"/>
        </w:rPr>
      </w:pPr>
      <w:bookmarkStart w:id="1710" w:name="_Toc22391642"/>
      <w:bookmarkStart w:id="1711" w:name="_Toc22653967"/>
      <w:r w:rsidRPr="003B68DB">
        <w:rPr>
          <w:rFonts w:ascii="Arial" w:eastAsia="Arial" w:hAnsi="Arial"/>
          <w:b/>
          <w:szCs w:val="24"/>
          <w:lang w:val="es-ES" w:eastAsia="es-ES"/>
        </w:rPr>
        <w:t xml:space="preserve">ESPECIFICACIONES TÉCNICAS PARA TANQUE DE ALMACENAMIENTO DE </w:t>
      </w:r>
      <w:bookmarkEnd w:id="1710"/>
      <w:r w:rsidRPr="003B68DB">
        <w:rPr>
          <w:rFonts w:ascii="Arial" w:eastAsia="Arial" w:hAnsi="Arial"/>
          <w:b/>
          <w:szCs w:val="24"/>
          <w:lang w:val="es-ES" w:eastAsia="es-ES"/>
        </w:rPr>
        <w:t>CONCRETO CICLOPEO DE 52 M3</w:t>
      </w:r>
      <w:bookmarkEnd w:id="1711"/>
    </w:p>
    <w:p w14:paraId="554BDD4A" w14:textId="77777777" w:rsidR="003B68DB" w:rsidRPr="003B68DB" w:rsidRDefault="003B68DB" w:rsidP="003B68DB">
      <w:pPr>
        <w:rPr>
          <w:rFonts w:ascii="Arial" w:hAnsi="Arial"/>
          <w:szCs w:val="24"/>
          <w:lang w:val="es-ES" w:eastAsia="es-ES"/>
        </w:rPr>
      </w:pPr>
    </w:p>
    <w:p w14:paraId="5A753646"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12" w:name="_Toc22391643"/>
      <w:bookmarkStart w:id="1713" w:name="_Toc22653968"/>
      <w:r w:rsidRPr="00181F97">
        <w:rPr>
          <w:rFonts w:ascii="Arial" w:eastAsia="Arial Narrow" w:hAnsi="Arial" w:cs="Arial"/>
          <w:b/>
          <w:bCs/>
          <w:iCs/>
          <w:szCs w:val="24"/>
          <w:lang w:val="es-NI"/>
        </w:rPr>
        <w:t>Trabajo Comprendido</w:t>
      </w:r>
      <w:bookmarkEnd w:id="1712"/>
      <w:bookmarkEnd w:id="1713"/>
    </w:p>
    <w:p w14:paraId="5DB005D4" w14:textId="77777777" w:rsidR="003B68DB" w:rsidRPr="003B68DB" w:rsidRDefault="003B68DB" w:rsidP="003B68DB">
      <w:pPr>
        <w:rPr>
          <w:rFonts w:ascii="Arial" w:hAnsi="Arial" w:cs="Arial"/>
          <w:snapToGrid w:val="0"/>
          <w:szCs w:val="24"/>
          <w:lang w:val="es-ES" w:eastAsia="es-ES"/>
        </w:rPr>
      </w:pPr>
    </w:p>
    <w:p w14:paraId="44DC6D28" w14:textId="77777777" w:rsidR="003B68DB" w:rsidRPr="003B68DB" w:rsidRDefault="003B68DB" w:rsidP="003B68DB">
      <w:pPr>
        <w:rPr>
          <w:rFonts w:ascii="Arial" w:hAnsi="Arial" w:cs="Arial"/>
          <w:snapToGrid w:val="0"/>
          <w:szCs w:val="24"/>
          <w:lang w:val="es-ES" w:eastAsia="es-ES"/>
        </w:rPr>
      </w:pPr>
      <w:r w:rsidRPr="003B68DB">
        <w:rPr>
          <w:rFonts w:ascii="Arial" w:hAnsi="Arial" w:cs="Arial"/>
          <w:snapToGrid w:val="0"/>
          <w:szCs w:val="24"/>
          <w:lang w:val="es-ES" w:eastAsia="es-ES"/>
        </w:rPr>
        <w:t xml:space="preserve">Toda la mención hecha en estas </w:t>
      </w:r>
      <w:r w:rsidRPr="003B68DB">
        <w:rPr>
          <w:rFonts w:ascii="Arial" w:hAnsi="Arial" w:cs="Arial"/>
          <w:b/>
          <w:snapToGrid w:val="0"/>
          <w:szCs w:val="24"/>
          <w:lang w:val="es-ES" w:eastAsia="es-ES"/>
        </w:rPr>
        <w:t>Especificaciones y/o indicadas en los Planos</w:t>
      </w:r>
      <w:r w:rsidRPr="003B68DB">
        <w:rPr>
          <w:rFonts w:ascii="Arial" w:hAnsi="Arial" w:cs="Arial"/>
          <w:snapToGrid w:val="0"/>
          <w:szCs w:val="24"/>
          <w:lang w:val="es-ES" w:eastAsia="es-ES"/>
        </w:rPr>
        <w:t xml:space="preserve"> </w:t>
      </w:r>
      <w:r w:rsidRPr="003B68DB">
        <w:rPr>
          <w:rFonts w:ascii="Arial" w:hAnsi="Arial" w:cs="Arial"/>
          <w:b/>
          <w:snapToGrid w:val="0"/>
          <w:szCs w:val="24"/>
          <w:lang w:val="es-ES" w:eastAsia="es-ES"/>
        </w:rPr>
        <w:t xml:space="preserve">Constructivos </w:t>
      </w:r>
      <w:r w:rsidRPr="003B68DB">
        <w:rPr>
          <w:rFonts w:ascii="Arial" w:hAnsi="Arial" w:cs="Arial"/>
          <w:snapToGrid w:val="0"/>
          <w:szCs w:val="24"/>
          <w:lang w:val="es-ES" w:eastAsia="es-ES"/>
        </w:rPr>
        <w:t xml:space="preserve">obligan a </w:t>
      </w:r>
      <w:r w:rsidRPr="003B68DB">
        <w:rPr>
          <w:rFonts w:ascii="Arial" w:hAnsi="Arial" w:cs="Arial"/>
          <w:b/>
          <w:snapToGrid w:val="0"/>
          <w:szCs w:val="24"/>
          <w:lang w:val="es-ES" w:eastAsia="es-ES"/>
        </w:rPr>
        <w:t>El Contratista</w:t>
      </w:r>
      <w:r w:rsidRPr="003B68DB">
        <w:rPr>
          <w:rFonts w:ascii="Arial" w:hAnsi="Arial" w:cs="Arial"/>
          <w:snapToGrid w:val="0"/>
          <w:szCs w:val="24"/>
          <w:lang w:val="es-ES" w:eastAsia="es-ES"/>
        </w:rPr>
        <w:t xml:space="preserve"> a suplir, fabricar e instalar cada artículo, material o equipo debe ser con el proceso o método indicado y de la calidad requerida o sujeta a calificación y proporcionar toda la mano de obra, equipo, materiales y herramientas necesarias para la construcción de la fundación. Durante la realización de estos trabajos el contratista toma todas las medidas para no dañar las estructuras aledañas. </w:t>
      </w:r>
    </w:p>
    <w:p w14:paraId="57547AE3" w14:textId="77777777" w:rsidR="003B68DB" w:rsidRPr="003B68DB" w:rsidRDefault="003B68DB" w:rsidP="003B68DB">
      <w:pPr>
        <w:rPr>
          <w:rFonts w:ascii="Arial" w:hAnsi="Arial" w:cs="Arial"/>
          <w:snapToGrid w:val="0"/>
          <w:szCs w:val="24"/>
          <w:lang w:val="es-ES" w:eastAsia="es-ES"/>
        </w:rPr>
      </w:pPr>
    </w:p>
    <w:p w14:paraId="5EFB2AC2" w14:textId="77777777" w:rsidR="003B68DB" w:rsidRPr="003B68DB" w:rsidRDefault="003B68DB" w:rsidP="003B68DB">
      <w:pPr>
        <w:rPr>
          <w:rFonts w:ascii="Arial" w:hAnsi="Arial" w:cs="Arial"/>
          <w:snapToGrid w:val="0"/>
          <w:szCs w:val="24"/>
          <w:lang w:val="es-ES" w:eastAsia="es-ES"/>
        </w:rPr>
      </w:pPr>
      <w:r w:rsidRPr="003B68DB">
        <w:rPr>
          <w:rFonts w:ascii="Arial" w:hAnsi="Arial" w:cs="Arial"/>
          <w:snapToGrid w:val="0"/>
          <w:szCs w:val="24"/>
          <w:lang w:val="es-ES" w:eastAsia="es-ES"/>
        </w:rPr>
        <w:t>Todo el trabajo de acero estructural debe de incluir todos los elementos necesarios, anclajes y su instalación es coordinada con el resto de las artes que intervienen.</w:t>
      </w:r>
    </w:p>
    <w:p w14:paraId="64A43B93" w14:textId="77777777" w:rsidR="003B68DB" w:rsidRPr="003B68DB" w:rsidRDefault="003B68DB" w:rsidP="003B68DB">
      <w:pPr>
        <w:rPr>
          <w:rFonts w:ascii="Arial" w:hAnsi="Arial" w:cs="Arial"/>
          <w:snapToGrid w:val="0"/>
          <w:szCs w:val="24"/>
          <w:lang w:val="es-ES" w:eastAsia="es-ES"/>
        </w:rPr>
      </w:pPr>
    </w:p>
    <w:p w14:paraId="0B8E7436" w14:textId="77777777" w:rsidR="003B68DB" w:rsidRPr="003B68DB" w:rsidRDefault="003B68DB" w:rsidP="003B68DB">
      <w:pPr>
        <w:rPr>
          <w:rFonts w:ascii="Arial" w:hAnsi="Arial" w:cs="Arial"/>
          <w:snapToGrid w:val="0"/>
          <w:szCs w:val="24"/>
          <w:lang w:val="es-ES" w:eastAsia="es-ES"/>
        </w:rPr>
      </w:pPr>
      <w:r w:rsidRPr="003B68DB">
        <w:rPr>
          <w:rFonts w:ascii="Arial" w:hAnsi="Arial" w:cs="Arial"/>
          <w:snapToGrid w:val="0"/>
          <w:szCs w:val="24"/>
          <w:lang w:val="es-ES" w:eastAsia="es-ES"/>
        </w:rPr>
        <w:t>El contratista es el único responsable de errores de fabricación, instalación o cualquier otro detalle que no esté de acuerdo a la intención de los planos y especificaciones en relación.</w:t>
      </w:r>
    </w:p>
    <w:p w14:paraId="730CEE1E"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14" w:name="_Toc22391644"/>
      <w:bookmarkStart w:id="1715" w:name="_Toc22653969"/>
      <w:r w:rsidRPr="003B68DB">
        <w:rPr>
          <w:rFonts w:ascii="Arial" w:eastAsia="Arial Narrow" w:hAnsi="Arial" w:cs="Arial"/>
          <w:b/>
          <w:bCs/>
          <w:iCs/>
          <w:szCs w:val="22"/>
          <w:lang w:val="es-ES" w:bidi="en-US"/>
        </w:rPr>
        <w:t>Materiales del Concreto:</w:t>
      </w:r>
      <w:bookmarkEnd w:id="1714"/>
      <w:bookmarkEnd w:id="1715"/>
    </w:p>
    <w:p w14:paraId="5217DF12" w14:textId="77777777" w:rsidR="003B68DB" w:rsidRPr="003B68DB" w:rsidRDefault="003B68DB" w:rsidP="003B68DB">
      <w:pPr>
        <w:rPr>
          <w:rFonts w:ascii="Arial" w:hAnsi="Arial" w:cs="Arial"/>
          <w:szCs w:val="24"/>
          <w:lang w:val="es-ES" w:eastAsia="es-ES"/>
        </w:rPr>
      </w:pPr>
    </w:p>
    <w:p w14:paraId="78D59E36" w14:textId="77777777" w:rsidR="003B68DB" w:rsidRPr="003B68DB" w:rsidRDefault="003B68DB" w:rsidP="003B68DB">
      <w:pPr>
        <w:rPr>
          <w:rFonts w:ascii="Arial" w:hAnsi="Arial" w:cs="Arial"/>
          <w:szCs w:val="24"/>
          <w:lang w:val="es-ES" w:eastAsia="es-ES"/>
        </w:rPr>
      </w:pPr>
      <w:r w:rsidRPr="003B68DB">
        <w:rPr>
          <w:rFonts w:ascii="Arial" w:hAnsi="Arial" w:cs="Arial"/>
          <w:b/>
          <w:szCs w:val="24"/>
          <w:lang w:val="es-ES" w:eastAsia="es-ES"/>
        </w:rPr>
        <w:t>a-) El Cemento:</w:t>
      </w:r>
    </w:p>
    <w:p w14:paraId="3623744E" w14:textId="77777777" w:rsidR="003B68DB" w:rsidRPr="003B68DB" w:rsidRDefault="003B68DB" w:rsidP="003B68DB">
      <w:pPr>
        <w:rPr>
          <w:rFonts w:ascii="Arial" w:hAnsi="Arial" w:cs="Arial"/>
          <w:szCs w:val="24"/>
          <w:lang w:val="es-ES" w:eastAsia="es-ES"/>
        </w:rPr>
      </w:pPr>
    </w:p>
    <w:p w14:paraId="0931A36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cemento usado en las mezclas de concreto debe cumplir con las Normas ASTM C-150, aprobado por El Supervisor. Debe llegar al sitio de la construcción en sus envases originales y enteros, debe ser completamente fresco y no debe mostrar evidencias de endurecimiento. Debe almacenarse en bodega seca sobre tarimas de madera en estibas de no más de diez (10) sacos.</w:t>
      </w:r>
    </w:p>
    <w:p w14:paraId="5055D8A4" w14:textId="77777777" w:rsidR="003B68DB" w:rsidRPr="003B68DB" w:rsidRDefault="003B68DB" w:rsidP="003B68DB">
      <w:pPr>
        <w:rPr>
          <w:rFonts w:ascii="Arial" w:hAnsi="Arial" w:cs="Arial"/>
          <w:szCs w:val="24"/>
          <w:lang w:val="es-ES" w:eastAsia="es-ES"/>
        </w:rPr>
      </w:pPr>
    </w:p>
    <w:p w14:paraId="0864F6F4"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 xml:space="preserve">b-) Agregado Fino </w:t>
      </w:r>
    </w:p>
    <w:p w14:paraId="2462AD48" w14:textId="77777777" w:rsidR="003B68DB" w:rsidRPr="003B68DB" w:rsidRDefault="003B68DB" w:rsidP="003B68DB">
      <w:pPr>
        <w:rPr>
          <w:rFonts w:ascii="Arial" w:hAnsi="Arial" w:cs="Arial"/>
          <w:szCs w:val="24"/>
          <w:lang w:val="es-ES" w:eastAsia="es-ES"/>
        </w:rPr>
      </w:pPr>
    </w:p>
    <w:p w14:paraId="789E774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agregado fino es Arena natural o manufacturada, dura, limpia y libre de todo material vegetal, mica o detrito de conchas marinas. La calidad y granulometría de la arena debe ser tal que deben cumplir con las Especificaciones ASTM-C-33-59 y permita obtener un concreto denso sin exceso de cemento, así como de la resistencia requerida.</w:t>
      </w:r>
    </w:p>
    <w:p w14:paraId="72539E22" w14:textId="77777777" w:rsidR="003B68DB" w:rsidRPr="003B68DB" w:rsidRDefault="003B68DB" w:rsidP="003B68DB">
      <w:pPr>
        <w:rPr>
          <w:rFonts w:ascii="Arial" w:hAnsi="Arial" w:cs="Arial"/>
          <w:szCs w:val="24"/>
          <w:lang w:val="es-ES" w:eastAsia="es-ES"/>
        </w:rPr>
      </w:pPr>
    </w:p>
    <w:p w14:paraId="0CE6848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 xml:space="preserve">Los agregados empleados en la mezcla de concreto deben ser clasificados según su tamaño y deben ser almacenados en forma ordenada para evitar que se revuelvan, se ensucien o se mezclen con materias extrañas. </w:t>
      </w:r>
    </w:p>
    <w:p w14:paraId="0277D4FE" w14:textId="77777777" w:rsidR="003B68DB" w:rsidRPr="003B68DB" w:rsidRDefault="003B68DB" w:rsidP="003B68DB">
      <w:pPr>
        <w:rPr>
          <w:rFonts w:ascii="Arial" w:hAnsi="Arial" w:cs="Arial"/>
          <w:szCs w:val="24"/>
          <w:lang w:val="es-ES" w:eastAsia="es-ES"/>
        </w:rPr>
      </w:pPr>
    </w:p>
    <w:p w14:paraId="4A32B77D"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 xml:space="preserve">c-) Agregado Grueso </w:t>
      </w:r>
      <w:r w:rsidRPr="003B68DB">
        <w:rPr>
          <w:rFonts w:ascii="Arial" w:hAnsi="Arial" w:cs="Arial"/>
          <w:szCs w:val="24"/>
          <w:lang w:val="es-ES" w:eastAsia="es-ES"/>
        </w:rPr>
        <w:t>El Agregado Grueso es Piedra o grava limpia, dura, durable y libre de todo recubrimiento, sujeta a Especificaciones ASTM-CC-33-6IT. El tamaño más grande permitido del agregado es un quinto (1/5) de la dimensión mínima de la formaleta de los elementos de concreto, o de tres cuarto (3/4) del espaciamiento libre mínimo entre varillas de refuerzo según lo recomendado por la Norma 6I3-54 del ACI, excepto donde específicamente se indique lo contrario, previamente aprobada por El Supervisor.</w:t>
      </w:r>
    </w:p>
    <w:p w14:paraId="16B61E7E" w14:textId="77777777" w:rsidR="003B68DB" w:rsidRPr="003B68DB" w:rsidRDefault="003B68DB" w:rsidP="003B68DB">
      <w:pPr>
        <w:rPr>
          <w:rFonts w:ascii="Arial" w:hAnsi="Arial" w:cs="Arial"/>
          <w:szCs w:val="24"/>
          <w:lang w:val="es-ES" w:eastAsia="es-ES"/>
        </w:rPr>
      </w:pPr>
    </w:p>
    <w:p w14:paraId="63BC775A" w14:textId="77777777" w:rsidR="003B68DB" w:rsidRPr="003B68DB" w:rsidRDefault="003B68DB" w:rsidP="003B68DB">
      <w:pPr>
        <w:rPr>
          <w:rFonts w:ascii="Arial" w:hAnsi="Arial" w:cs="Arial"/>
          <w:szCs w:val="24"/>
          <w:lang w:val="es-ES" w:eastAsia="es-ES"/>
        </w:rPr>
      </w:pPr>
      <w:r w:rsidRPr="003B68DB">
        <w:rPr>
          <w:rFonts w:ascii="Arial" w:hAnsi="Arial" w:cs="Arial"/>
          <w:b/>
          <w:szCs w:val="24"/>
          <w:lang w:val="es-ES" w:eastAsia="es-ES"/>
        </w:rPr>
        <w:t xml:space="preserve">d-) El Agua: </w:t>
      </w:r>
      <w:r w:rsidRPr="003B68DB">
        <w:rPr>
          <w:rFonts w:ascii="Arial" w:hAnsi="Arial" w:cs="Arial"/>
          <w:szCs w:val="24"/>
          <w:lang w:val="es-ES" w:eastAsia="es-ES"/>
        </w:rPr>
        <w:t>El agua que se emplee en todas las mezclas debe ser potable, limpia y libre de grasas o aceites, de materias orgánicas, álcalis, sales, ácidos o impurezas que puedan afectar la resistencia y propiedades físicas del concreto o del refuerzo. Debe ser previamente aprobada por El Supervisor.</w:t>
      </w:r>
    </w:p>
    <w:p w14:paraId="503B9EA5" w14:textId="77777777" w:rsidR="003B68DB" w:rsidRPr="003B68DB" w:rsidRDefault="003B68DB" w:rsidP="003B68DB">
      <w:pPr>
        <w:rPr>
          <w:rFonts w:ascii="Arial" w:hAnsi="Arial" w:cs="Arial"/>
          <w:szCs w:val="24"/>
          <w:lang w:val="es-ES" w:eastAsia="es-ES"/>
        </w:rPr>
      </w:pPr>
    </w:p>
    <w:p w14:paraId="1A420FD0" w14:textId="77777777" w:rsidR="003B68DB" w:rsidRPr="003B68DB" w:rsidRDefault="003B68DB" w:rsidP="003B68DB">
      <w:pPr>
        <w:rPr>
          <w:rFonts w:ascii="Arial" w:hAnsi="Arial" w:cs="Arial"/>
          <w:szCs w:val="24"/>
          <w:lang w:val="es-ES" w:eastAsia="es-ES"/>
        </w:rPr>
      </w:pPr>
      <w:r w:rsidRPr="003B68DB">
        <w:rPr>
          <w:rFonts w:ascii="Arial" w:hAnsi="Arial" w:cs="Arial"/>
          <w:b/>
          <w:szCs w:val="24"/>
          <w:lang w:val="es-ES" w:eastAsia="es-ES"/>
        </w:rPr>
        <w:t>e-) El Acero:</w:t>
      </w:r>
      <w:r w:rsidRPr="003B68DB">
        <w:rPr>
          <w:rFonts w:ascii="Arial" w:hAnsi="Arial" w:cs="Arial"/>
          <w:szCs w:val="24"/>
          <w:lang w:val="es-ES" w:eastAsia="es-ES"/>
        </w:rPr>
        <w:t xml:space="preserve"> de refuerzo debe cumplir la especificación ASTM A-305 con límite de fluencia de 40,000(PSI) libras por pulgada cuadrada, de acuerdo a las especificaciones ASTM-A-615-68, Grado 40. Todas las varillas deben estar limpias y libres de escamas, trazas de oxidación avanzada, grasas y otras impurezas e imperfecciones que afecten sus propiedades físicas, resistencia o su adherencia al concreto.</w:t>
      </w:r>
    </w:p>
    <w:p w14:paraId="7365594E" w14:textId="77777777" w:rsidR="003B68DB" w:rsidRPr="003B68DB" w:rsidRDefault="003B68DB" w:rsidP="003B68DB">
      <w:pPr>
        <w:rPr>
          <w:rFonts w:ascii="Arial" w:hAnsi="Arial" w:cs="Arial"/>
          <w:szCs w:val="24"/>
          <w:lang w:val="es-ES" w:eastAsia="es-ES"/>
        </w:rPr>
      </w:pPr>
    </w:p>
    <w:p w14:paraId="121FEEC3"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16" w:name="_Toc22391645"/>
      <w:bookmarkStart w:id="1717" w:name="_Toc22653970"/>
      <w:r w:rsidRPr="003B68DB">
        <w:rPr>
          <w:rFonts w:ascii="Arial" w:eastAsia="Arial Narrow" w:hAnsi="Arial" w:cs="Arial"/>
          <w:b/>
          <w:bCs/>
          <w:iCs/>
          <w:szCs w:val="22"/>
          <w:lang w:val="es-ES" w:bidi="en-US"/>
        </w:rPr>
        <w:t>Almacenaje de Materiales:</w:t>
      </w:r>
      <w:bookmarkEnd w:id="1716"/>
      <w:bookmarkEnd w:id="1717"/>
    </w:p>
    <w:p w14:paraId="6E177831" w14:textId="77777777" w:rsidR="003B68DB" w:rsidRPr="003B68DB" w:rsidRDefault="003B68DB" w:rsidP="003B68DB">
      <w:pPr>
        <w:rPr>
          <w:rFonts w:ascii="Arial" w:hAnsi="Arial" w:cs="Arial"/>
          <w:szCs w:val="24"/>
          <w:lang w:val="es-ES" w:eastAsia="es-ES"/>
        </w:rPr>
      </w:pPr>
    </w:p>
    <w:p w14:paraId="156AE95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cemento se almacena en bodegas secas sobre tarimas de madera en estibas de no más de 10 sacos. El cemento debe llegar al sitio de la construcción en sus envases originales y enteros. No se utilizará cemento dañado ó ya endurecido. Los áridos finos y gruesos se manejan y almacenan separadamente de manera tal que se evite la mezcla con materias extraías. Todas las varillas de acero de refuerzo se deben proteger hasta el momento de usarse.</w:t>
      </w:r>
    </w:p>
    <w:p w14:paraId="418653B2"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18" w:name="_Toc22391646"/>
      <w:bookmarkStart w:id="1719" w:name="_Toc22653971"/>
      <w:r w:rsidRPr="003B68DB">
        <w:rPr>
          <w:rFonts w:ascii="Arial" w:eastAsia="Arial Narrow" w:hAnsi="Arial" w:cs="Arial"/>
          <w:b/>
          <w:bCs/>
          <w:iCs/>
          <w:szCs w:val="22"/>
          <w:lang w:val="es-ES" w:bidi="en-US"/>
        </w:rPr>
        <w:t>Dosificación y Mezcla:</w:t>
      </w:r>
      <w:bookmarkEnd w:id="1718"/>
      <w:bookmarkEnd w:id="1719"/>
    </w:p>
    <w:p w14:paraId="5945AA21" w14:textId="77777777" w:rsidR="003B68DB" w:rsidRPr="003B68DB" w:rsidRDefault="003B68DB" w:rsidP="003B68DB">
      <w:pPr>
        <w:rPr>
          <w:rFonts w:ascii="Arial" w:hAnsi="Arial" w:cs="Arial"/>
          <w:szCs w:val="24"/>
          <w:lang w:val="es-ES" w:eastAsia="es-ES"/>
        </w:rPr>
      </w:pPr>
    </w:p>
    <w:p w14:paraId="609CA55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dosificaciones de cemento, agregados y agua utilizados deben ser aprobadas por el Supervisor. Hacer en base a pruebas desclasificación y contenido de humedad de los materiales, asentamiento de la mezcla de concreto y resistencia del concreto, comprobada por pruebas de resistencia a la compresión ejecutadas en cilindros de este material. Estas pruebas deben ser realizadas por un laboratorio de pruebas de reconocida competencia y pagadas por el Contratista. Informes certificados de las pruebas deben ser presentados al Supervisor, antes de proceder al vaciado de concreto.</w:t>
      </w:r>
    </w:p>
    <w:p w14:paraId="74806714" w14:textId="77777777" w:rsidR="003B68DB" w:rsidRPr="003B68DB" w:rsidRDefault="003B68DB" w:rsidP="003B68DB">
      <w:pPr>
        <w:rPr>
          <w:rFonts w:ascii="Arial" w:hAnsi="Arial" w:cs="Arial"/>
          <w:szCs w:val="24"/>
          <w:lang w:val="es-ES" w:eastAsia="es-ES"/>
        </w:rPr>
      </w:pPr>
    </w:p>
    <w:p w14:paraId="7CFF4DF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Contratista no puede cambiar abastecedores de materiales durante el curso del trabajo sin autorización del Supervisor y presentación de nuevas pruebas certificadas de laboratorio. Excepto cuando se especifique lo contrario, el concreto es mezclado en sitio. La mezcla del concreto se ajusta a los requerimientos de las Normas 6I3-54 y 6I4-59 del ACI. El método para determinar la cantidad correcta de agua y agregado para cada </w:t>
      </w:r>
      <w:r w:rsidRPr="003B68DB">
        <w:rPr>
          <w:rFonts w:ascii="Arial" w:hAnsi="Arial" w:cs="Arial"/>
          <w:szCs w:val="24"/>
          <w:lang w:val="es-ES" w:eastAsia="es-ES"/>
        </w:rPr>
        <w:lastRenderedPageBreak/>
        <w:t>mezcla, debe ser de un tipo que permita controlar con exactitud la proporción de agua y cemento y verificarla fácilmente en cualquier momento.</w:t>
      </w:r>
    </w:p>
    <w:p w14:paraId="6960007B" w14:textId="77777777" w:rsidR="003B68DB" w:rsidRPr="003B68DB" w:rsidRDefault="003B68DB" w:rsidP="003B68DB">
      <w:pPr>
        <w:rPr>
          <w:rFonts w:ascii="Arial" w:hAnsi="Arial" w:cs="Arial"/>
          <w:szCs w:val="24"/>
          <w:lang w:val="es-ES" w:eastAsia="es-ES"/>
        </w:rPr>
      </w:pPr>
    </w:p>
    <w:p w14:paraId="22FF6E97"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20" w:name="_Toc22391647"/>
      <w:bookmarkStart w:id="1721" w:name="_Toc22653972"/>
      <w:r w:rsidRPr="003B68DB">
        <w:rPr>
          <w:rFonts w:ascii="Arial" w:eastAsia="Arial Narrow" w:hAnsi="Arial" w:cs="Arial"/>
          <w:b/>
          <w:bCs/>
          <w:iCs/>
          <w:szCs w:val="22"/>
          <w:lang w:val="es-ES" w:bidi="en-US"/>
        </w:rPr>
        <w:t>Resistencia del concreto.</w:t>
      </w:r>
      <w:bookmarkEnd w:id="1720"/>
      <w:bookmarkEnd w:id="1721"/>
    </w:p>
    <w:p w14:paraId="3C424CA8" w14:textId="77777777" w:rsidR="003B68DB" w:rsidRPr="003B68DB" w:rsidRDefault="003B68DB" w:rsidP="003B68DB">
      <w:pPr>
        <w:rPr>
          <w:rFonts w:ascii="Arial" w:hAnsi="Arial" w:cs="Arial"/>
          <w:szCs w:val="24"/>
          <w:lang w:val="es-ES" w:eastAsia="es-ES"/>
        </w:rPr>
      </w:pPr>
    </w:p>
    <w:p w14:paraId="56838C8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La resistencia a la compresión especificada se mide en cilindros de 15 x 30 cm. a los veintiocho 28 días de edad, de acuerdo con las Normas de la A.S.T.M. C 39-66. El Contratista toma cilindros de la mezcla de hormigón según lo ordene El Supervisor, para determinar su resistencia por medio de ensayos de laboratorio, los cuales son pagados por El Contratista. Se toman dos (2) cilindros por llena por frente de trabajo por día. </w:t>
      </w:r>
    </w:p>
    <w:p w14:paraId="0FB37D3A" w14:textId="77777777" w:rsidR="003B68DB" w:rsidRPr="003B68DB" w:rsidRDefault="003B68DB" w:rsidP="003B68DB">
      <w:pPr>
        <w:rPr>
          <w:rFonts w:ascii="Arial" w:hAnsi="Arial" w:cs="Arial"/>
          <w:szCs w:val="24"/>
          <w:lang w:val="es-ES" w:eastAsia="es-ES"/>
        </w:rPr>
      </w:pPr>
    </w:p>
    <w:p w14:paraId="73D7CD8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En caso de sospecha de alguna lechada de concreto, El Supervisor puede ordenar toma de cilindros adicionales. La mezcla de concreto empleado en todas las estructuras debe ser de una consistencia conveniente, sin exceso de agua, plástica y trabajable, con el objetivo de llenar los encofrados completamente, sin dejar cavidades interiores o superficiales. </w:t>
      </w:r>
    </w:p>
    <w:p w14:paraId="38F54588" w14:textId="77777777" w:rsidR="003B68DB" w:rsidRPr="003B68DB" w:rsidRDefault="003B68DB" w:rsidP="003B68DB">
      <w:pPr>
        <w:rPr>
          <w:rFonts w:ascii="Arial" w:hAnsi="Arial" w:cs="Arial"/>
          <w:szCs w:val="24"/>
          <w:lang w:val="es-ES" w:eastAsia="es-ES"/>
        </w:rPr>
      </w:pPr>
    </w:p>
    <w:p w14:paraId="34794BF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Todo el concreto empleado tiene un revenimiento no mayor de cuatro (4") pulgadas y/o conforme el diseño del concreto sometido por El Contratista y aprobado por El Supervisor.  </w:t>
      </w:r>
    </w:p>
    <w:p w14:paraId="2C635F14" w14:textId="77777777" w:rsidR="003B68DB" w:rsidRPr="003B68DB" w:rsidRDefault="003B68DB" w:rsidP="003B68DB">
      <w:pPr>
        <w:rPr>
          <w:rFonts w:ascii="Arial" w:hAnsi="Arial" w:cs="Arial"/>
          <w:szCs w:val="24"/>
          <w:lang w:val="es-ES" w:eastAsia="es-ES"/>
        </w:rPr>
      </w:pPr>
    </w:p>
    <w:p w14:paraId="7B4345C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concreto empleado en la construcción, ya sea concreto armado o concreto ciclópeo, excepto donde se indique claramente lo contrario, tiene una resistencia a la compresión de 210 Kg/cm</w:t>
      </w:r>
      <w:r w:rsidRPr="003B68DB">
        <w:rPr>
          <w:rFonts w:ascii="Arial" w:hAnsi="Arial" w:cs="Arial"/>
          <w:szCs w:val="24"/>
          <w:vertAlign w:val="superscript"/>
          <w:lang w:val="es-ES" w:eastAsia="es-ES"/>
        </w:rPr>
        <w:t>2</w:t>
      </w:r>
      <w:r w:rsidRPr="003B68DB">
        <w:rPr>
          <w:rFonts w:ascii="Arial" w:hAnsi="Arial" w:cs="Arial"/>
          <w:szCs w:val="24"/>
          <w:lang w:val="es-ES" w:eastAsia="es-ES"/>
        </w:rPr>
        <w:t xml:space="preserve"> (3,000 lbs. /pulg</w:t>
      </w:r>
      <w:r w:rsidRPr="003B68DB">
        <w:rPr>
          <w:rFonts w:ascii="Arial" w:hAnsi="Arial" w:cs="Arial"/>
          <w:szCs w:val="24"/>
          <w:vertAlign w:val="superscript"/>
          <w:lang w:val="es-ES" w:eastAsia="es-ES"/>
        </w:rPr>
        <w:t>2</w:t>
      </w:r>
      <w:r w:rsidRPr="003B68DB">
        <w:rPr>
          <w:rFonts w:ascii="Arial" w:hAnsi="Arial" w:cs="Arial"/>
          <w:szCs w:val="24"/>
          <w:lang w:val="es-ES" w:eastAsia="es-ES"/>
        </w:rPr>
        <w:t>). El concreto simple para bloque de reacción tiene una resistencia a la compresión de 245 Kg/cm</w:t>
      </w:r>
      <w:r w:rsidRPr="003B68DB">
        <w:rPr>
          <w:rFonts w:ascii="Arial" w:hAnsi="Arial" w:cs="Arial"/>
          <w:szCs w:val="24"/>
          <w:vertAlign w:val="superscript"/>
          <w:lang w:val="es-ES" w:eastAsia="es-ES"/>
        </w:rPr>
        <w:t xml:space="preserve">2 </w:t>
      </w:r>
      <w:r w:rsidRPr="003B68DB">
        <w:rPr>
          <w:rFonts w:ascii="Arial" w:hAnsi="Arial" w:cs="Arial"/>
          <w:szCs w:val="24"/>
          <w:lang w:val="es-ES" w:eastAsia="es-ES"/>
        </w:rPr>
        <w:t>(3,500 lbs. /pulg</w:t>
      </w:r>
      <w:r w:rsidRPr="003B68DB">
        <w:rPr>
          <w:rFonts w:ascii="Arial" w:hAnsi="Arial" w:cs="Arial"/>
          <w:szCs w:val="24"/>
          <w:vertAlign w:val="superscript"/>
          <w:lang w:val="es-ES" w:eastAsia="es-ES"/>
        </w:rPr>
        <w:t>2</w:t>
      </w:r>
      <w:r w:rsidRPr="003B68DB">
        <w:rPr>
          <w:rFonts w:ascii="Arial" w:hAnsi="Arial" w:cs="Arial"/>
          <w:szCs w:val="24"/>
          <w:lang w:val="es-ES" w:eastAsia="es-ES"/>
        </w:rPr>
        <w:t>)</w:t>
      </w:r>
    </w:p>
    <w:p w14:paraId="5ED8B005" w14:textId="77777777" w:rsidR="003B68DB" w:rsidRPr="003B68DB" w:rsidRDefault="003B68DB" w:rsidP="003B68DB">
      <w:pPr>
        <w:rPr>
          <w:rFonts w:ascii="Arial" w:hAnsi="Arial" w:cs="Arial"/>
          <w:b/>
          <w:szCs w:val="24"/>
          <w:lang w:val="es-ES" w:eastAsia="es-ES"/>
        </w:rPr>
      </w:pPr>
    </w:p>
    <w:p w14:paraId="39E589A8"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22" w:name="_Toc22391648"/>
      <w:bookmarkStart w:id="1723" w:name="_Toc22653973"/>
      <w:r w:rsidRPr="003B68DB">
        <w:rPr>
          <w:rFonts w:ascii="Arial" w:eastAsia="Arial Narrow" w:hAnsi="Arial" w:cs="Arial"/>
          <w:b/>
          <w:bCs/>
          <w:iCs/>
          <w:szCs w:val="22"/>
          <w:lang w:val="es-ES" w:bidi="en-US"/>
        </w:rPr>
        <w:t>Transporte y colocación del concreto.</w:t>
      </w:r>
      <w:bookmarkEnd w:id="1722"/>
      <w:bookmarkEnd w:id="1723"/>
    </w:p>
    <w:p w14:paraId="35DEC3B4" w14:textId="77777777" w:rsidR="003B68DB" w:rsidRPr="003B68DB" w:rsidRDefault="003B68DB" w:rsidP="003B68DB">
      <w:pPr>
        <w:rPr>
          <w:rFonts w:ascii="Arial" w:hAnsi="Arial" w:cs="Arial"/>
          <w:szCs w:val="24"/>
          <w:lang w:val="es-ES" w:eastAsia="es-ES"/>
        </w:rPr>
      </w:pPr>
    </w:p>
    <w:p w14:paraId="3E06A9C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Antes de proceder a la colocación del concreto, El Supervisor debe aprobar los encofrados y moldes y todos los detalles relacionados.  Para tal efecto El Contratista debe notificar al Supervisor con dos (2) días de anticipación la fecha y hora aproximada en que se proyecte iniciar el colado de concreto y el tiempo aproximado de duración dicha operación. En todo caso El Contratista no procede a la colocación del concreto sin la autorización expresa del Supervisor y sin la presencia de éste o su Representante.</w:t>
      </w:r>
    </w:p>
    <w:p w14:paraId="20AC2BE2" w14:textId="77777777" w:rsidR="003B68DB" w:rsidRPr="003B68DB" w:rsidRDefault="003B68DB" w:rsidP="003B68DB">
      <w:pPr>
        <w:rPr>
          <w:rFonts w:ascii="Arial" w:hAnsi="Arial" w:cs="Arial"/>
          <w:szCs w:val="24"/>
          <w:lang w:val="es-ES" w:eastAsia="es-ES"/>
        </w:rPr>
      </w:pPr>
    </w:p>
    <w:p w14:paraId="081C48D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equipo de transporte debe ser capaz de llevar el suministro del concreto al sitio de colocación sin segregación y sin interrupciones que permitan la pérdida de plasticidad entre colados sucesivos.</w:t>
      </w:r>
    </w:p>
    <w:p w14:paraId="4023C589" w14:textId="77777777" w:rsidR="003B68DB" w:rsidRPr="003B68DB" w:rsidRDefault="003B68DB" w:rsidP="003B68DB">
      <w:pPr>
        <w:rPr>
          <w:rFonts w:ascii="Arial" w:hAnsi="Arial" w:cs="Arial"/>
          <w:szCs w:val="24"/>
          <w:lang w:val="es-ES" w:eastAsia="es-ES"/>
        </w:rPr>
      </w:pPr>
    </w:p>
    <w:p w14:paraId="375DF9A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Antes de proceder al colocado del concreto en una superficie de concreto existente esta debe limpiarse bien para eliminar materiales extraños sobre las superficies y una vez bien limpia, se procede antes del vaciado del concreto vaciar una lechada de cemento sobre la superficie de la misma. También antes de proceder al colado del concreto, todos los encofrados o moldes deben limpiarse, eliminando de ellos toda basura o materia extraña; también los encofrados deben humedecerse antes del vaciado para evitar que absorban agua de la mezcla de concreto. El colado debe efectuarse a tal velocidad, que </w:t>
      </w:r>
      <w:r w:rsidRPr="003B68DB">
        <w:rPr>
          <w:rFonts w:ascii="Arial" w:hAnsi="Arial" w:cs="Arial"/>
          <w:szCs w:val="24"/>
          <w:lang w:val="es-ES" w:eastAsia="es-ES"/>
        </w:rPr>
        <w:lastRenderedPageBreak/>
        <w:t>el concreto conserve su estado plástico en todo momento y fluya fácilmente dentro de los espacios entre las varillas.</w:t>
      </w:r>
    </w:p>
    <w:p w14:paraId="2B3F5030" w14:textId="77777777" w:rsidR="003B68DB" w:rsidRPr="003B68DB" w:rsidRDefault="003B68DB" w:rsidP="003B68DB">
      <w:pPr>
        <w:rPr>
          <w:rFonts w:ascii="Arial" w:hAnsi="Arial" w:cs="Arial"/>
          <w:szCs w:val="24"/>
          <w:lang w:val="es-ES" w:eastAsia="es-ES"/>
        </w:rPr>
      </w:pPr>
    </w:p>
    <w:p w14:paraId="36F4171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Durante la colocación, todo concreto en estado blando debe compactarse con vibrador para que pueda acomodarse enteramente alrededor del refuerzo. El colado del concreto debe interrumpirse en caso de lluvia, tomando las medidas apropiadas para proteger de ella los elementos recién colados.</w:t>
      </w:r>
    </w:p>
    <w:p w14:paraId="4D264BB5" w14:textId="77777777" w:rsidR="003B68DB" w:rsidRPr="003B68DB" w:rsidRDefault="003B68DB" w:rsidP="003B68DB">
      <w:pPr>
        <w:rPr>
          <w:rFonts w:ascii="Arial" w:hAnsi="Arial" w:cs="Arial"/>
          <w:szCs w:val="24"/>
          <w:lang w:val="es-ES" w:eastAsia="es-ES"/>
        </w:rPr>
      </w:pPr>
    </w:p>
    <w:p w14:paraId="513338BE"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24" w:name="_Toc22391649"/>
      <w:bookmarkStart w:id="1725" w:name="_Toc22653974"/>
      <w:r w:rsidRPr="003B68DB">
        <w:rPr>
          <w:rFonts w:ascii="Arial" w:eastAsia="Arial Narrow" w:hAnsi="Arial" w:cs="Arial"/>
          <w:b/>
          <w:bCs/>
          <w:iCs/>
          <w:szCs w:val="22"/>
          <w:lang w:val="es-ES" w:bidi="en-US"/>
        </w:rPr>
        <w:t>Apisonado</w:t>
      </w:r>
      <w:bookmarkEnd w:id="1724"/>
      <w:bookmarkEnd w:id="1725"/>
    </w:p>
    <w:p w14:paraId="3514B0A2" w14:textId="77777777" w:rsidR="003B68DB" w:rsidRPr="003B68DB" w:rsidRDefault="003B68DB" w:rsidP="003B68DB">
      <w:pPr>
        <w:rPr>
          <w:rFonts w:ascii="Arial" w:hAnsi="Arial" w:cs="Arial"/>
          <w:szCs w:val="24"/>
          <w:lang w:val="es-ES" w:eastAsia="es-ES"/>
        </w:rPr>
      </w:pPr>
    </w:p>
    <w:p w14:paraId="75C907F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todos los fundidos se aplica el apisonado por vibración, prodigándose los puntos de vibrado necesario para que su efecto se extienda a toda la masa, sin iniciar disgregaciones locales. El Contratista debe usar vibradores y cabezal de vibradores apropiados para cada tipo de trabajo.</w:t>
      </w:r>
    </w:p>
    <w:p w14:paraId="3C44B6FA" w14:textId="77777777" w:rsidR="003B68DB" w:rsidRPr="003B68DB" w:rsidRDefault="003B68DB" w:rsidP="003B68DB">
      <w:pPr>
        <w:rPr>
          <w:rFonts w:ascii="Arial" w:hAnsi="Arial" w:cs="Arial"/>
          <w:szCs w:val="24"/>
          <w:lang w:val="es-ES" w:eastAsia="es-ES"/>
        </w:rPr>
      </w:pPr>
    </w:p>
    <w:p w14:paraId="332C59A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Se respetan las juntas señaladas en los planos, si las hubiera. En las interrupciones de la llena se cuida de dejar la junta lo más normalmente posible a la dirección de la máxima compresión, y donde su efecto sea menos perjudicial, siguiendo en todo caso la instrucción del Supervisor. </w:t>
      </w:r>
    </w:p>
    <w:p w14:paraId="47793F47" w14:textId="77777777" w:rsidR="003B68DB" w:rsidRPr="003B68DB" w:rsidRDefault="003B68DB" w:rsidP="003B68DB">
      <w:pPr>
        <w:rPr>
          <w:rFonts w:ascii="Arial" w:hAnsi="Arial" w:cs="Arial"/>
          <w:szCs w:val="24"/>
          <w:lang w:val="es-ES" w:eastAsia="es-ES"/>
        </w:rPr>
      </w:pPr>
    </w:p>
    <w:p w14:paraId="117D632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Cuando haya de reanudarse el hormigoneado, después de varios días de interrupción, se limpia la superficie del concreto endurecido que haya de quedar en contacto con el nuevo, mediante cepillo de alambre con agua, y se recubre momentos antes de verter el nuevo concreto con una capa delgada de mortero, igual al que toma parte de éste. Las vigas son vaciadas monolíticamente.</w:t>
      </w:r>
    </w:p>
    <w:p w14:paraId="1252B421" w14:textId="77777777" w:rsidR="003B68DB" w:rsidRPr="003B68DB" w:rsidRDefault="003B68DB" w:rsidP="003B68DB">
      <w:pPr>
        <w:rPr>
          <w:rFonts w:ascii="Arial" w:hAnsi="Arial" w:cs="Arial"/>
          <w:szCs w:val="24"/>
          <w:lang w:val="es-ES" w:eastAsia="es-ES"/>
        </w:rPr>
      </w:pPr>
    </w:p>
    <w:p w14:paraId="09D5165B"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26" w:name="_Toc22391650"/>
      <w:bookmarkStart w:id="1727" w:name="_Toc22653975"/>
      <w:r w:rsidRPr="003B68DB">
        <w:rPr>
          <w:rFonts w:ascii="Arial" w:eastAsia="Arial Narrow" w:hAnsi="Arial" w:cs="Arial"/>
          <w:b/>
          <w:bCs/>
          <w:iCs/>
          <w:szCs w:val="22"/>
          <w:lang w:val="es-ES" w:bidi="en-US"/>
        </w:rPr>
        <w:t>Encofrados.</w:t>
      </w:r>
      <w:bookmarkEnd w:id="1726"/>
      <w:bookmarkEnd w:id="1727"/>
    </w:p>
    <w:p w14:paraId="4EC755A8" w14:textId="77777777" w:rsidR="003B68DB" w:rsidRPr="003B68DB" w:rsidRDefault="003B68DB" w:rsidP="003B68DB">
      <w:pPr>
        <w:rPr>
          <w:rFonts w:ascii="Arial" w:hAnsi="Arial" w:cs="Arial"/>
          <w:szCs w:val="24"/>
          <w:lang w:val="es-ES" w:eastAsia="es-ES"/>
        </w:rPr>
      </w:pPr>
    </w:p>
    <w:p w14:paraId="502DFB8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formaletas con sus soportes tienen la resistencia y rigidez necesaria para soportar el concreto y su vibrado, sin movimientos locales superiores a las tolerancias usuales de luz. Los apoyos están dispuestos de modo que en ningún momento se produzcan sobre la parte de la obra ejecutada, esfuerzos superiores al tercio (l/3) de su resistencia.</w:t>
      </w:r>
    </w:p>
    <w:p w14:paraId="0F1645CE" w14:textId="77777777" w:rsidR="003B68DB" w:rsidRPr="003B68DB" w:rsidRDefault="003B68DB" w:rsidP="003B68DB">
      <w:pPr>
        <w:rPr>
          <w:rFonts w:ascii="Arial" w:hAnsi="Arial" w:cs="Arial"/>
          <w:szCs w:val="24"/>
          <w:lang w:val="es-ES" w:eastAsia="es-ES"/>
        </w:rPr>
      </w:pPr>
    </w:p>
    <w:p w14:paraId="64809D5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juntas de las resistencias no dejan rendijas de más de tres (3) milímetros, para evitar la pérdida de lechada, pero deben dejar el juego necesario para evitar que por el efecto de la humedad durante la llena, al dilatarse se compriman y deformen los tablones.</w:t>
      </w:r>
    </w:p>
    <w:p w14:paraId="3520101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ab/>
      </w:r>
    </w:p>
    <w:p w14:paraId="2A15BF6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superficies interiores quedan sin desigualdades o resaltos mayores de tres (3) milímetros. Antes de la llena se mojan las superficies interiores y se limpian especialmente los fondos, dejándose aberturas provisionales para facilitar esta limpieza en los elementos que lo requieran.</w:t>
      </w:r>
    </w:p>
    <w:p w14:paraId="1F5DDBF2" w14:textId="77777777" w:rsidR="003B68DB" w:rsidRPr="003B68DB" w:rsidRDefault="003B68DB" w:rsidP="003B68DB">
      <w:pPr>
        <w:rPr>
          <w:rFonts w:ascii="Arial" w:hAnsi="Arial" w:cs="Arial"/>
          <w:szCs w:val="24"/>
          <w:lang w:val="es-ES" w:eastAsia="es-ES"/>
        </w:rPr>
      </w:pPr>
    </w:p>
    <w:p w14:paraId="6ECB857D"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28" w:name="_Toc22391651"/>
      <w:bookmarkStart w:id="1729" w:name="_Toc22653976"/>
      <w:r w:rsidRPr="003B68DB">
        <w:rPr>
          <w:rFonts w:ascii="Arial" w:eastAsia="Arial Narrow" w:hAnsi="Arial" w:cs="Arial"/>
          <w:b/>
          <w:bCs/>
          <w:iCs/>
          <w:szCs w:val="22"/>
          <w:lang w:val="es-ES" w:bidi="en-US"/>
        </w:rPr>
        <w:t>Desencofrado.</w:t>
      </w:r>
      <w:bookmarkEnd w:id="1728"/>
      <w:bookmarkEnd w:id="1729"/>
    </w:p>
    <w:p w14:paraId="10CCFD8E" w14:textId="77777777" w:rsidR="003B68DB" w:rsidRPr="003B68DB" w:rsidRDefault="003B68DB" w:rsidP="003B68DB">
      <w:pPr>
        <w:rPr>
          <w:rFonts w:ascii="Arial" w:hAnsi="Arial" w:cs="Arial"/>
          <w:szCs w:val="24"/>
          <w:lang w:val="es-ES" w:eastAsia="es-ES"/>
        </w:rPr>
      </w:pPr>
    </w:p>
    <w:p w14:paraId="2327EED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Ninguna carga de construcción debe apoyarse sobre alguna parte de la estructura en construcción, ni se debe retirar algún puntal de dicha parte, excepto cuando la estructura, </w:t>
      </w:r>
      <w:r w:rsidRPr="003B68DB">
        <w:rPr>
          <w:rFonts w:ascii="Arial" w:hAnsi="Arial" w:cs="Arial"/>
          <w:szCs w:val="24"/>
          <w:lang w:val="es-ES" w:eastAsia="es-ES"/>
        </w:rPr>
        <w:lastRenderedPageBreak/>
        <w:t>junto con el sistema restante de cimbra y de puntales tenga suficiente resistencia como para soportar con seguridad su propio peso y las cargas soportadas sobre ella:</w:t>
      </w:r>
    </w:p>
    <w:p w14:paraId="4E02F8DC" w14:textId="77777777" w:rsidR="003B68DB" w:rsidRPr="003B68DB" w:rsidRDefault="003B68DB" w:rsidP="003B68DB">
      <w:pPr>
        <w:widowControl w:val="0"/>
        <w:autoSpaceDE w:val="0"/>
        <w:autoSpaceDN w:val="0"/>
        <w:adjustRightInd w:val="0"/>
        <w:rPr>
          <w:rFonts w:ascii="Arial" w:hAnsi="Arial" w:cs="Arial"/>
          <w:szCs w:val="24"/>
          <w:lang w:val="es-ES" w:eastAsia="es-ES"/>
        </w:rPr>
      </w:pPr>
    </w:p>
    <w:p w14:paraId="6311FDB1" w14:textId="77777777" w:rsidR="003B68DB" w:rsidRPr="003B68DB" w:rsidRDefault="003B68DB" w:rsidP="003B68DB">
      <w:pPr>
        <w:widowControl w:val="0"/>
        <w:numPr>
          <w:ilvl w:val="0"/>
          <w:numId w:val="157"/>
        </w:numPr>
        <w:autoSpaceDE w:val="0"/>
        <w:autoSpaceDN w:val="0"/>
        <w:adjustRightInd w:val="0"/>
        <w:ind w:left="0" w:firstLine="0"/>
        <w:rPr>
          <w:rFonts w:ascii="Arial" w:hAnsi="Arial" w:cs="Arial"/>
          <w:szCs w:val="24"/>
          <w:lang w:val="es-ES" w:eastAsia="es-ES"/>
        </w:rPr>
      </w:pPr>
      <w:r w:rsidRPr="003B68DB">
        <w:rPr>
          <w:rFonts w:ascii="Arial" w:hAnsi="Arial" w:cs="Arial"/>
          <w:szCs w:val="24"/>
          <w:lang w:val="es-ES" w:eastAsia="es-ES"/>
        </w:rPr>
        <w:t xml:space="preserve">El descimbrado debe hacerse de tal forma que no perjudique la completa seguridad y durabilidad de la estructura. </w:t>
      </w:r>
    </w:p>
    <w:p w14:paraId="443E4D1C" w14:textId="77777777" w:rsidR="003B68DB" w:rsidRPr="003B68DB" w:rsidRDefault="003B68DB" w:rsidP="003B68DB">
      <w:pPr>
        <w:widowControl w:val="0"/>
        <w:autoSpaceDE w:val="0"/>
        <w:autoSpaceDN w:val="0"/>
        <w:adjustRightInd w:val="0"/>
        <w:rPr>
          <w:rFonts w:ascii="Arial" w:hAnsi="Arial" w:cs="Arial"/>
          <w:szCs w:val="24"/>
          <w:lang w:val="es-ES" w:eastAsia="es-ES"/>
        </w:rPr>
      </w:pPr>
    </w:p>
    <w:p w14:paraId="252114E6" w14:textId="77777777" w:rsidR="003B68DB" w:rsidRPr="003B68DB" w:rsidRDefault="003B68DB" w:rsidP="003B68DB">
      <w:pPr>
        <w:widowControl w:val="0"/>
        <w:numPr>
          <w:ilvl w:val="0"/>
          <w:numId w:val="157"/>
        </w:numPr>
        <w:autoSpaceDE w:val="0"/>
        <w:autoSpaceDN w:val="0"/>
        <w:adjustRightInd w:val="0"/>
        <w:ind w:left="0" w:firstLine="0"/>
        <w:rPr>
          <w:rFonts w:ascii="Arial" w:hAnsi="Arial" w:cs="Arial"/>
          <w:szCs w:val="24"/>
          <w:lang w:val="es-ES" w:eastAsia="es-ES"/>
        </w:rPr>
      </w:pPr>
      <w:r w:rsidRPr="003B68DB">
        <w:rPr>
          <w:rFonts w:ascii="Arial" w:hAnsi="Arial" w:cs="Arial"/>
          <w:szCs w:val="24"/>
          <w:lang w:val="es-ES" w:eastAsia="es-ES"/>
        </w:rPr>
        <w:t>El concreto que se descimbre debe ser suficientemente resistente para no sufrir daños posteriores.</w:t>
      </w:r>
    </w:p>
    <w:p w14:paraId="012B7A59" w14:textId="77777777" w:rsidR="003B68DB" w:rsidRPr="003B68DB" w:rsidRDefault="003B68DB" w:rsidP="003B68DB">
      <w:pPr>
        <w:widowControl w:val="0"/>
        <w:autoSpaceDE w:val="0"/>
        <w:autoSpaceDN w:val="0"/>
        <w:adjustRightInd w:val="0"/>
        <w:rPr>
          <w:rFonts w:ascii="Arial" w:hAnsi="Arial" w:cs="Arial"/>
          <w:szCs w:val="24"/>
          <w:lang w:val="es-ES" w:eastAsia="es-ES"/>
        </w:rPr>
      </w:pPr>
    </w:p>
    <w:p w14:paraId="7C01640C" w14:textId="77777777" w:rsidR="003B68DB" w:rsidRPr="003B68DB" w:rsidRDefault="003B68DB" w:rsidP="003B68DB">
      <w:pPr>
        <w:widowControl w:val="0"/>
        <w:numPr>
          <w:ilvl w:val="0"/>
          <w:numId w:val="157"/>
        </w:numPr>
        <w:autoSpaceDE w:val="0"/>
        <w:autoSpaceDN w:val="0"/>
        <w:adjustRightInd w:val="0"/>
        <w:ind w:left="0" w:firstLine="0"/>
        <w:rPr>
          <w:rFonts w:ascii="Arial" w:hAnsi="Arial" w:cs="Arial"/>
          <w:szCs w:val="24"/>
          <w:lang w:val="es-ES" w:eastAsia="es-ES"/>
        </w:rPr>
      </w:pPr>
      <w:r w:rsidRPr="003B68DB">
        <w:rPr>
          <w:rFonts w:ascii="Arial" w:hAnsi="Arial" w:cs="Arial"/>
          <w:szCs w:val="24"/>
          <w:lang w:val="es-ES" w:eastAsia="es-ES"/>
        </w:rPr>
        <w:t>Durante la actividad de descimbrar se cuida de no dar golpes ni hacer esfuerzos que puedan perjudicar al concreto.</w:t>
      </w:r>
    </w:p>
    <w:p w14:paraId="5C6817A5" w14:textId="77777777" w:rsidR="003B68DB" w:rsidRPr="003B68DB" w:rsidRDefault="003B68DB" w:rsidP="003B68DB">
      <w:pPr>
        <w:ind w:left="708"/>
        <w:rPr>
          <w:rFonts w:ascii="Arial" w:hAnsi="Arial" w:cs="Arial"/>
          <w:szCs w:val="24"/>
          <w:lang w:val="es-ES" w:eastAsia="es-ES"/>
        </w:rPr>
      </w:pPr>
    </w:p>
    <w:p w14:paraId="206000EA"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30" w:name="_Toc22391652"/>
      <w:bookmarkStart w:id="1731" w:name="_Toc22653977"/>
      <w:r w:rsidRPr="003B68DB">
        <w:rPr>
          <w:rFonts w:ascii="Arial" w:eastAsia="Arial Narrow" w:hAnsi="Arial" w:cs="Arial"/>
          <w:b/>
          <w:bCs/>
          <w:iCs/>
          <w:szCs w:val="22"/>
          <w:lang w:val="es-ES" w:bidi="en-US"/>
        </w:rPr>
        <w:t>Tiempo mínimo para retirar formaletas.</w:t>
      </w:r>
      <w:bookmarkEnd w:id="1730"/>
      <w:bookmarkEnd w:id="1731"/>
    </w:p>
    <w:p w14:paraId="1E0FE109" w14:textId="77777777" w:rsidR="003B68DB" w:rsidRPr="003B68DB" w:rsidRDefault="003B68DB" w:rsidP="003B68DB">
      <w:pPr>
        <w:rPr>
          <w:rFonts w:ascii="Arial" w:hAnsi="Arial" w:cs="Arial"/>
          <w:szCs w:val="24"/>
          <w:lang w:val="es-ES" w:eastAsia="es-ES"/>
        </w:rPr>
      </w:pPr>
    </w:p>
    <w:p w14:paraId="6238C97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Si las operaciones de campo no están controladas por pruebas de laboratorio, los valores de la siguiente Tabla pueden ser empleados como guía para el tiempo mínimo requerido antes de la remoción de formaletas y soportes.</w:t>
      </w:r>
    </w:p>
    <w:p w14:paraId="3794F694" w14:textId="77777777" w:rsidR="003B68DB" w:rsidRPr="003B68DB" w:rsidRDefault="003B68DB" w:rsidP="003B68DB">
      <w:pPr>
        <w:rPr>
          <w:rFonts w:ascii="Arial" w:hAnsi="Arial" w:cs="Arial"/>
          <w:szCs w:val="24"/>
          <w:lang w:val="es-ES" w:eastAsia="es-ES"/>
        </w:rPr>
      </w:pPr>
    </w:p>
    <w:tbl>
      <w:tblPr>
        <w:tblW w:w="9368" w:type="dxa"/>
        <w:jc w:val="center"/>
        <w:tblCellMar>
          <w:left w:w="70" w:type="dxa"/>
          <w:right w:w="70" w:type="dxa"/>
        </w:tblCellMar>
        <w:tblLook w:val="04A0" w:firstRow="1" w:lastRow="0" w:firstColumn="1" w:lastColumn="0" w:noHBand="0" w:noVBand="1"/>
      </w:tblPr>
      <w:tblGrid>
        <w:gridCol w:w="5244"/>
        <w:gridCol w:w="4124"/>
      </w:tblGrid>
      <w:tr w:rsidR="003B68DB" w:rsidRPr="003B68DB" w14:paraId="0EB97F29" w14:textId="77777777" w:rsidTr="00243EB4">
        <w:trPr>
          <w:trHeight w:val="318"/>
          <w:jc w:val="center"/>
        </w:trPr>
        <w:tc>
          <w:tcPr>
            <w:tcW w:w="5244" w:type="dxa"/>
            <w:tcBorders>
              <w:top w:val="double" w:sz="6" w:space="0" w:color="auto"/>
              <w:left w:val="double" w:sz="6" w:space="0" w:color="auto"/>
              <w:bottom w:val="single" w:sz="4" w:space="0" w:color="auto"/>
              <w:right w:val="single" w:sz="4" w:space="0" w:color="auto"/>
            </w:tcBorders>
            <w:shd w:val="clear" w:color="auto" w:fill="DEEAF6"/>
            <w:noWrap/>
            <w:vAlign w:val="center"/>
            <w:hideMark/>
          </w:tcPr>
          <w:p w14:paraId="68C44F46" w14:textId="77777777" w:rsidR="003B68DB" w:rsidRPr="003B68DB" w:rsidRDefault="003B68DB" w:rsidP="003B68DB">
            <w:pPr>
              <w:jc w:val="center"/>
              <w:rPr>
                <w:rFonts w:ascii="Arial" w:hAnsi="Arial" w:cs="Arial"/>
                <w:b/>
                <w:bCs/>
                <w:szCs w:val="24"/>
                <w:lang w:val="es-ES" w:eastAsia="es-NI"/>
              </w:rPr>
            </w:pPr>
            <w:r w:rsidRPr="003B68DB">
              <w:rPr>
                <w:rFonts w:ascii="Arial" w:hAnsi="Arial" w:cs="Arial"/>
                <w:b/>
                <w:bCs/>
                <w:szCs w:val="24"/>
                <w:lang w:val="es-ES" w:eastAsia="es-NI"/>
              </w:rPr>
              <w:t>Tipo de Obra</w:t>
            </w:r>
          </w:p>
        </w:tc>
        <w:tc>
          <w:tcPr>
            <w:tcW w:w="4124" w:type="dxa"/>
            <w:tcBorders>
              <w:top w:val="double" w:sz="6" w:space="0" w:color="auto"/>
              <w:left w:val="nil"/>
              <w:bottom w:val="single" w:sz="4" w:space="0" w:color="auto"/>
              <w:right w:val="double" w:sz="6" w:space="0" w:color="auto"/>
            </w:tcBorders>
            <w:shd w:val="clear" w:color="auto" w:fill="DEEAF6"/>
            <w:noWrap/>
            <w:vAlign w:val="center"/>
            <w:hideMark/>
          </w:tcPr>
          <w:p w14:paraId="4E222385" w14:textId="77777777" w:rsidR="003B68DB" w:rsidRPr="003B68DB" w:rsidRDefault="003B68DB" w:rsidP="003B68DB">
            <w:pPr>
              <w:jc w:val="center"/>
              <w:rPr>
                <w:rFonts w:ascii="Arial" w:hAnsi="Arial" w:cs="Arial"/>
                <w:b/>
                <w:bCs/>
                <w:szCs w:val="24"/>
                <w:lang w:val="es-ES" w:eastAsia="es-NI"/>
              </w:rPr>
            </w:pPr>
            <w:r w:rsidRPr="003B68DB">
              <w:rPr>
                <w:rFonts w:ascii="Arial" w:hAnsi="Arial" w:cs="Arial"/>
                <w:b/>
                <w:bCs/>
                <w:szCs w:val="24"/>
                <w:lang w:val="es-ES" w:eastAsia="es-NI"/>
              </w:rPr>
              <w:t>Tiempo mínimo para remoción de formaletas y soportes</w:t>
            </w:r>
          </w:p>
        </w:tc>
      </w:tr>
      <w:tr w:rsidR="003B68DB" w:rsidRPr="003B68DB" w14:paraId="391BF775"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7D4FF333"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Estructuras para Arcos</w:t>
            </w:r>
          </w:p>
        </w:tc>
        <w:tc>
          <w:tcPr>
            <w:tcW w:w="4124" w:type="dxa"/>
            <w:tcBorders>
              <w:top w:val="nil"/>
              <w:left w:val="nil"/>
              <w:bottom w:val="single" w:sz="4" w:space="0" w:color="auto"/>
              <w:right w:val="double" w:sz="6" w:space="0" w:color="auto"/>
            </w:tcBorders>
            <w:shd w:val="clear" w:color="auto" w:fill="auto"/>
            <w:noWrap/>
            <w:vAlign w:val="center"/>
            <w:hideMark/>
          </w:tcPr>
          <w:p w14:paraId="7F31EB47"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14 días</w:t>
            </w:r>
          </w:p>
        </w:tc>
      </w:tr>
      <w:tr w:rsidR="003B68DB" w:rsidRPr="003B68DB" w14:paraId="349BAD3F"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00F1164E"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Estructuras bajo Vigas</w:t>
            </w:r>
          </w:p>
        </w:tc>
        <w:tc>
          <w:tcPr>
            <w:tcW w:w="4124" w:type="dxa"/>
            <w:tcBorders>
              <w:top w:val="nil"/>
              <w:left w:val="nil"/>
              <w:bottom w:val="single" w:sz="4" w:space="0" w:color="auto"/>
              <w:right w:val="double" w:sz="6" w:space="0" w:color="auto"/>
            </w:tcBorders>
            <w:shd w:val="clear" w:color="auto" w:fill="auto"/>
            <w:noWrap/>
            <w:vAlign w:val="center"/>
            <w:hideMark/>
          </w:tcPr>
          <w:p w14:paraId="3BF156CC"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14 días</w:t>
            </w:r>
          </w:p>
        </w:tc>
      </w:tr>
      <w:tr w:rsidR="003B68DB" w:rsidRPr="003B68DB" w14:paraId="6A79778A"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535226B9"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Soportes bajo losas planas</w:t>
            </w:r>
          </w:p>
        </w:tc>
        <w:tc>
          <w:tcPr>
            <w:tcW w:w="4124" w:type="dxa"/>
            <w:tcBorders>
              <w:top w:val="nil"/>
              <w:left w:val="nil"/>
              <w:bottom w:val="single" w:sz="4" w:space="0" w:color="auto"/>
              <w:right w:val="double" w:sz="6" w:space="0" w:color="auto"/>
            </w:tcBorders>
            <w:shd w:val="clear" w:color="auto" w:fill="auto"/>
            <w:noWrap/>
            <w:vAlign w:val="center"/>
            <w:hideMark/>
          </w:tcPr>
          <w:p w14:paraId="11A46313"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14 días</w:t>
            </w:r>
          </w:p>
        </w:tc>
      </w:tr>
      <w:tr w:rsidR="003B68DB" w:rsidRPr="003B68DB" w14:paraId="250A1476"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50EBC658"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Losas de piso</w:t>
            </w:r>
          </w:p>
        </w:tc>
        <w:tc>
          <w:tcPr>
            <w:tcW w:w="4124" w:type="dxa"/>
            <w:tcBorders>
              <w:top w:val="nil"/>
              <w:left w:val="nil"/>
              <w:bottom w:val="single" w:sz="4" w:space="0" w:color="auto"/>
              <w:right w:val="double" w:sz="6" w:space="0" w:color="auto"/>
            </w:tcBorders>
            <w:shd w:val="clear" w:color="auto" w:fill="auto"/>
            <w:noWrap/>
            <w:vAlign w:val="center"/>
            <w:hideMark/>
          </w:tcPr>
          <w:p w14:paraId="0024F650"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14 días</w:t>
            </w:r>
          </w:p>
        </w:tc>
      </w:tr>
      <w:tr w:rsidR="003B68DB" w:rsidRPr="003B68DB" w14:paraId="652DFB7B"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0EBFAB98"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Placa superior en alcantarillas de cajón</w:t>
            </w:r>
          </w:p>
        </w:tc>
        <w:tc>
          <w:tcPr>
            <w:tcW w:w="4124" w:type="dxa"/>
            <w:tcBorders>
              <w:top w:val="nil"/>
              <w:left w:val="nil"/>
              <w:bottom w:val="single" w:sz="4" w:space="0" w:color="auto"/>
              <w:right w:val="double" w:sz="6" w:space="0" w:color="auto"/>
            </w:tcBorders>
            <w:shd w:val="clear" w:color="auto" w:fill="auto"/>
            <w:noWrap/>
            <w:vAlign w:val="center"/>
            <w:hideMark/>
          </w:tcPr>
          <w:p w14:paraId="6A2694F9"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14 días</w:t>
            </w:r>
          </w:p>
        </w:tc>
      </w:tr>
      <w:tr w:rsidR="003B68DB" w:rsidRPr="003B68DB" w14:paraId="6F5966C5"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30159485"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Superficies de muros verticales</w:t>
            </w:r>
          </w:p>
        </w:tc>
        <w:tc>
          <w:tcPr>
            <w:tcW w:w="4124" w:type="dxa"/>
            <w:tcBorders>
              <w:top w:val="nil"/>
              <w:left w:val="nil"/>
              <w:bottom w:val="single" w:sz="4" w:space="0" w:color="auto"/>
              <w:right w:val="double" w:sz="6" w:space="0" w:color="auto"/>
            </w:tcBorders>
            <w:shd w:val="clear" w:color="auto" w:fill="auto"/>
            <w:noWrap/>
            <w:vAlign w:val="center"/>
            <w:hideMark/>
          </w:tcPr>
          <w:p w14:paraId="46EF8F4D"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48 horas</w:t>
            </w:r>
          </w:p>
        </w:tc>
      </w:tr>
      <w:tr w:rsidR="003B68DB" w:rsidRPr="003B68DB" w14:paraId="5AB008B9" w14:textId="77777777" w:rsidTr="00243EB4">
        <w:trPr>
          <w:trHeight w:val="301"/>
          <w:jc w:val="center"/>
        </w:trPr>
        <w:tc>
          <w:tcPr>
            <w:tcW w:w="5244" w:type="dxa"/>
            <w:tcBorders>
              <w:top w:val="nil"/>
              <w:left w:val="double" w:sz="6" w:space="0" w:color="auto"/>
              <w:bottom w:val="single" w:sz="4" w:space="0" w:color="auto"/>
              <w:right w:val="single" w:sz="4" w:space="0" w:color="auto"/>
            </w:tcBorders>
            <w:shd w:val="clear" w:color="auto" w:fill="auto"/>
            <w:noWrap/>
            <w:vAlign w:val="center"/>
            <w:hideMark/>
          </w:tcPr>
          <w:p w14:paraId="53C87FB0"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Columnas</w:t>
            </w:r>
          </w:p>
        </w:tc>
        <w:tc>
          <w:tcPr>
            <w:tcW w:w="4124" w:type="dxa"/>
            <w:tcBorders>
              <w:top w:val="nil"/>
              <w:left w:val="nil"/>
              <w:bottom w:val="single" w:sz="4" w:space="0" w:color="auto"/>
              <w:right w:val="double" w:sz="6" w:space="0" w:color="auto"/>
            </w:tcBorders>
            <w:shd w:val="clear" w:color="auto" w:fill="auto"/>
            <w:noWrap/>
            <w:vAlign w:val="center"/>
            <w:hideMark/>
          </w:tcPr>
          <w:p w14:paraId="4DD760F9"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48 horas</w:t>
            </w:r>
          </w:p>
        </w:tc>
      </w:tr>
      <w:tr w:rsidR="003B68DB" w:rsidRPr="003B68DB" w14:paraId="6B0A3AD3" w14:textId="77777777" w:rsidTr="00243EB4">
        <w:trPr>
          <w:trHeight w:val="318"/>
          <w:jc w:val="center"/>
        </w:trPr>
        <w:tc>
          <w:tcPr>
            <w:tcW w:w="5244" w:type="dxa"/>
            <w:tcBorders>
              <w:top w:val="nil"/>
              <w:left w:val="double" w:sz="6" w:space="0" w:color="auto"/>
              <w:bottom w:val="double" w:sz="6" w:space="0" w:color="auto"/>
              <w:right w:val="single" w:sz="4" w:space="0" w:color="auto"/>
            </w:tcBorders>
            <w:shd w:val="clear" w:color="auto" w:fill="auto"/>
            <w:noWrap/>
            <w:vAlign w:val="center"/>
            <w:hideMark/>
          </w:tcPr>
          <w:p w14:paraId="2E4B7A00" w14:textId="77777777" w:rsidR="003B68DB" w:rsidRPr="003B68DB" w:rsidRDefault="003B68DB" w:rsidP="003B68DB">
            <w:pPr>
              <w:rPr>
                <w:rFonts w:ascii="Arial" w:hAnsi="Arial" w:cs="Arial"/>
                <w:szCs w:val="24"/>
                <w:lang w:val="es-ES" w:eastAsia="es-NI"/>
              </w:rPr>
            </w:pPr>
            <w:r w:rsidRPr="003B68DB">
              <w:rPr>
                <w:rFonts w:ascii="Arial" w:hAnsi="Arial" w:cs="Arial"/>
                <w:szCs w:val="24"/>
                <w:lang w:val="es-ES" w:eastAsia="es-NI"/>
              </w:rPr>
              <w:t>Lados, vigas y todas las demás partes</w:t>
            </w:r>
          </w:p>
        </w:tc>
        <w:tc>
          <w:tcPr>
            <w:tcW w:w="4124" w:type="dxa"/>
            <w:tcBorders>
              <w:top w:val="nil"/>
              <w:left w:val="nil"/>
              <w:bottom w:val="double" w:sz="6" w:space="0" w:color="auto"/>
              <w:right w:val="double" w:sz="6" w:space="0" w:color="auto"/>
            </w:tcBorders>
            <w:shd w:val="clear" w:color="auto" w:fill="auto"/>
            <w:noWrap/>
            <w:vAlign w:val="center"/>
            <w:hideMark/>
          </w:tcPr>
          <w:p w14:paraId="20940ED8" w14:textId="77777777" w:rsidR="003B68DB" w:rsidRPr="003B68DB" w:rsidRDefault="003B68DB" w:rsidP="003B68DB">
            <w:pPr>
              <w:jc w:val="center"/>
              <w:rPr>
                <w:rFonts w:ascii="Arial" w:hAnsi="Arial" w:cs="Arial"/>
                <w:szCs w:val="24"/>
                <w:lang w:val="es-ES" w:eastAsia="es-NI"/>
              </w:rPr>
            </w:pPr>
            <w:r w:rsidRPr="003B68DB">
              <w:rPr>
                <w:rFonts w:ascii="Arial" w:hAnsi="Arial" w:cs="Arial"/>
                <w:szCs w:val="24"/>
                <w:lang w:val="es-ES" w:eastAsia="es-NI"/>
              </w:rPr>
              <w:t>24 horas</w:t>
            </w:r>
          </w:p>
        </w:tc>
      </w:tr>
    </w:tbl>
    <w:p w14:paraId="027FA000" w14:textId="77777777" w:rsidR="003B68DB" w:rsidRPr="003B68DB" w:rsidRDefault="003B68DB" w:rsidP="003B68DB">
      <w:pPr>
        <w:widowControl w:val="0"/>
        <w:autoSpaceDE w:val="0"/>
        <w:autoSpaceDN w:val="0"/>
        <w:adjustRightInd w:val="0"/>
        <w:jc w:val="center"/>
        <w:rPr>
          <w:rFonts w:ascii="Arial" w:hAnsi="Arial" w:cs="Arial"/>
          <w:szCs w:val="24"/>
          <w:lang w:val="es-ES" w:eastAsia="es-ES"/>
        </w:rPr>
      </w:pPr>
    </w:p>
    <w:p w14:paraId="7529D07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caso que a continuación del retiro de la formaleta en lados o costados de vigas, se proceda al relleno y compactación del hueco de excavación, se permite 8 horas, caso contrario se requerva un mínimo de 24 horas. Se debe usar una película de aceite quemado en la cara de la formaleta en contacto con el concreto para evitar descascaramientos de la superficie del concreto colado.</w:t>
      </w:r>
    </w:p>
    <w:p w14:paraId="602FC62A" w14:textId="77777777" w:rsidR="003B68DB" w:rsidRPr="003B68DB" w:rsidRDefault="003B68DB" w:rsidP="003B68DB">
      <w:pPr>
        <w:rPr>
          <w:rFonts w:ascii="Arial" w:hAnsi="Arial" w:cs="Arial"/>
          <w:szCs w:val="24"/>
          <w:lang w:val="es-ES" w:eastAsia="es-ES"/>
        </w:rPr>
      </w:pPr>
    </w:p>
    <w:p w14:paraId="23D2351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ningún momento se permite cargar la estructura, con almacenamiento de materiales, equipos de construcción o cualquier otro tipo de sobrecarga extraordinaria durante el tiempo que dure el concreto en alcanzar su resistencia de diseño.</w:t>
      </w:r>
    </w:p>
    <w:p w14:paraId="524C7D0A" w14:textId="77777777" w:rsidR="003B68DB" w:rsidRPr="003B68DB" w:rsidRDefault="003B68DB" w:rsidP="003B68DB">
      <w:pPr>
        <w:widowControl w:val="0"/>
        <w:autoSpaceDE w:val="0"/>
        <w:autoSpaceDN w:val="0"/>
        <w:adjustRightInd w:val="0"/>
        <w:rPr>
          <w:rFonts w:ascii="Arial" w:hAnsi="Arial" w:cs="Arial"/>
          <w:szCs w:val="24"/>
          <w:lang w:val="es-ES" w:eastAsia="es-ES"/>
        </w:rPr>
      </w:pPr>
    </w:p>
    <w:p w14:paraId="5B65CADD"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32" w:name="_Toc22391653"/>
      <w:bookmarkStart w:id="1733" w:name="_Toc22653978"/>
      <w:r w:rsidRPr="003B68DB">
        <w:rPr>
          <w:rFonts w:ascii="Arial" w:eastAsia="Arial Narrow" w:hAnsi="Arial" w:cs="Arial"/>
          <w:b/>
          <w:bCs/>
          <w:iCs/>
          <w:szCs w:val="22"/>
          <w:lang w:val="es-ES" w:bidi="en-US"/>
        </w:rPr>
        <w:t>Curado del concreto.</w:t>
      </w:r>
      <w:bookmarkEnd w:id="1732"/>
      <w:bookmarkEnd w:id="1733"/>
    </w:p>
    <w:p w14:paraId="6B245F24" w14:textId="77777777" w:rsidR="003B68DB" w:rsidRPr="003B68DB" w:rsidRDefault="003B68DB" w:rsidP="003B68DB">
      <w:pPr>
        <w:rPr>
          <w:rFonts w:ascii="Arial" w:hAnsi="Arial" w:cs="Arial"/>
          <w:szCs w:val="24"/>
          <w:lang w:val="es-ES" w:eastAsia="es-ES"/>
        </w:rPr>
      </w:pPr>
    </w:p>
    <w:p w14:paraId="6D62E6A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Después de la colocación del concreto deben protegerse todas las superficies expuestas de los efectos de la intemperie, sobre todo del sol y de la lluvia. El curado se inicia tan pronto el concreto haya endurecido suficientemente a juicio de El Supervisor. Se cuida </w:t>
      </w:r>
      <w:r w:rsidRPr="003B68DB">
        <w:rPr>
          <w:rFonts w:ascii="Arial" w:hAnsi="Arial" w:cs="Arial"/>
          <w:szCs w:val="24"/>
          <w:lang w:val="es-ES" w:eastAsia="es-ES"/>
        </w:rPr>
        <w:lastRenderedPageBreak/>
        <w:t>de mantener continuamente húmeda durante los primeros siete (7) días la superficie del concreto.</w:t>
      </w:r>
    </w:p>
    <w:p w14:paraId="0636A6C1" w14:textId="77777777" w:rsidR="003B68DB" w:rsidRPr="003B68DB" w:rsidRDefault="003B68DB" w:rsidP="003B68DB">
      <w:pPr>
        <w:rPr>
          <w:rFonts w:ascii="Arial" w:hAnsi="Arial" w:cs="Arial"/>
          <w:szCs w:val="24"/>
          <w:lang w:val="es-ES" w:eastAsia="es-ES"/>
        </w:rPr>
      </w:pPr>
    </w:p>
    <w:p w14:paraId="79A7DBC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Evitar causas externas, (sobrecargas, vibraciones, etc.) que puedan provocar fisuras en el concreto sin fraguar o sin la resistencia adecuada.  El Contratista debe acatar todas las indicaciones que le haga El Supervisor al respecto.  Todos los repellos y acabados de paredes deben curarse en igual forma.</w:t>
      </w:r>
    </w:p>
    <w:p w14:paraId="37A66A4F" w14:textId="77777777" w:rsidR="003B68DB" w:rsidRPr="003B68DB" w:rsidRDefault="003B68DB" w:rsidP="003B68DB">
      <w:pPr>
        <w:rPr>
          <w:rFonts w:ascii="Arial" w:hAnsi="Arial" w:cs="Arial"/>
          <w:szCs w:val="24"/>
          <w:lang w:val="es-ES" w:eastAsia="es-ES"/>
        </w:rPr>
      </w:pPr>
    </w:p>
    <w:p w14:paraId="0649217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34" w:name="_Toc22391654"/>
      <w:bookmarkStart w:id="1735" w:name="_Toc22653979"/>
      <w:r w:rsidRPr="003B68DB">
        <w:rPr>
          <w:rFonts w:ascii="Arial" w:eastAsia="Arial Narrow" w:hAnsi="Arial" w:cs="Arial"/>
          <w:b/>
          <w:bCs/>
          <w:iCs/>
          <w:szCs w:val="22"/>
          <w:lang w:val="es-ES" w:bidi="en-US"/>
        </w:rPr>
        <w:t>Reparación de defectos en el concreto.</w:t>
      </w:r>
      <w:bookmarkEnd w:id="1734"/>
      <w:bookmarkEnd w:id="1735"/>
    </w:p>
    <w:p w14:paraId="3E95474B" w14:textId="77777777" w:rsidR="003B68DB" w:rsidRPr="003B68DB" w:rsidRDefault="003B68DB" w:rsidP="003B68DB">
      <w:pPr>
        <w:rPr>
          <w:rFonts w:ascii="Arial" w:hAnsi="Arial" w:cs="Arial"/>
          <w:szCs w:val="24"/>
          <w:lang w:val="es-ES" w:eastAsia="es-ES"/>
        </w:rPr>
      </w:pPr>
    </w:p>
    <w:p w14:paraId="7FDCCE2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Todos los defectos en el concreto, segregaciones superficiales (ratoneras), deben repararse picando bien la sección defectuosa, eliminando todo el material suelto. Las zonas o secciones defectuosas deben rellenarse con concreto o mortero siguiendo las instrucciones de El Supervisor.</w:t>
      </w:r>
    </w:p>
    <w:p w14:paraId="54DD9A10" w14:textId="77777777" w:rsidR="003B68DB" w:rsidRPr="003B68DB" w:rsidRDefault="003B68DB" w:rsidP="003B68DB">
      <w:pPr>
        <w:widowControl w:val="0"/>
        <w:autoSpaceDE w:val="0"/>
        <w:autoSpaceDN w:val="0"/>
        <w:adjustRightInd w:val="0"/>
        <w:rPr>
          <w:rFonts w:ascii="Arial" w:hAnsi="Arial" w:cs="Arial"/>
          <w:szCs w:val="24"/>
          <w:lang w:val="es-ES" w:eastAsia="es-ES"/>
        </w:rPr>
      </w:pPr>
    </w:p>
    <w:p w14:paraId="546C473B"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36" w:name="_Toc22391655"/>
      <w:bookmarkStart w:id="1737" w:name="_Toc22653980"/>
      <w:r w:rsidRPr="003B68DB">
        <w:rPr>
          <w:rFonts w:ascii="Arial" w:eastAsia="Arial Narrow" w:hAnsi="Arial" w:cs="Arial"/>
          <w:b/>
          <w:bCs/>
          <w:iCs/>
          <w:szCs w:val="22"/>
          <w:lang w:val="es-ES" w:bidi="en-US"/>
        </w:rPr>
        <w:t>Acero de refuerzo.</w:t>
      </w:r>
      <w:bookmarkEnd w:id="1736"/>
      <w:bookmarkEnd w:id="1737"/>
    </w:p>
    <w:p w14:paraId="58F58018" w14:textId="77777777" w:rsidR="003B68DB" w:rsidRPr="003B68DB" w:rsidRDefault="003B68DB" w:rsidP="003B68DB">
      <w:pPr>
        <w:rPr>
          <w:rFonts w:ascii="Arial" w:hAnsi="Arial" w:cs="Arial"/>
          <w:szCs w:val="24"/>
          <w:lang w:val="es-ES" w:eastAsia="es-ES"/>
        </w:rPr>
      </w:pPr>
    </w:p>
    <w:p w14:paraId="5D3FF481"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 xml:space="preserve">a-) Dibujos de trabajos: </w:t>
      </w:r>
    </w:p>
    <w:p w14:paraId="7993E641" w14:textId="77777777" w:rsidR="003B68DB" w:rsidRPr="003B68DB" w:rsidRDefault="003B68DB" w:rsidP="003B68DB">
      <w:pPr>
        <w:rPr>
          <w:rFonts w:ascii="Arial" w:hAnsi="Arial" w:cs="Arial"/>
          <w:b/>
          <w:szCs w:val="24"/>
          <w:lang w:val="es-ES" w:eastAsia="es-ES"/>
        </w:rPr>
      </w:pPr>
    </w:p>
    <w:p w14:paraId="39F5534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deben suministrar en cuadruplicados detalles de colocación y dibujos de taller para el corte y doblado de todo el acero de refuerzo. Estos dibujos deben ser hechos a una escala tal que muestren claramente la localización de las juntas de construcción, las aberturas para el vaciado de rellenos, el arreglo, espaciamiento y empalme de las varillas. Ningún material puede ser cortado o doblado, hasta que dichos dibujos han sido aprobados por el Supervisor.</w:t>
      </w:r>
    </w:p>
    <w:p w14:paraId="1389D5BE" w14:textId="77777777" w:rsidR="003B68DB" w:rsidRPr="003B68DB" w:rsidRDefault="003B68DB" w:rsidP="003B68DB">
      <w:pPr>
        <w:rPr>
          <w:rFonts w:ascii="Arial" w:hAnsi="Arial" w:cs="Arial"/>
          <w:szCs w:val="24"/>
          <w:lang w:val="es-ES" w:eastAsia="es-ES"/>
        </w:rPr>
      </w:pPr>
    </w:p>
    <w:p w14:paraId="29D99DE9"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 xml:space="preserve">b-) Cortado, doblado y almacenaje: </w:t>
      </w:r>
    </w:p>
    <w:p w14:paraId="1C8BBCDA" w14:textId="77777777" w:rsidR="003B68DB" w:rsidRPr="003B68DB" w:rsidRDefault="003B68DB" w:rsidP="003B68DB">
      <w:pPr>
        <w:rPr>
          <w:rFonts w:ascii="Arial" w:hAnsi="Arial" w:cs="Arial"/>
          <w:b/>
          <w:szCs w:val="24"/>
          <w:lang w:val="es-ES" w:eastAsia="es-ES"/>
        </w:rPr>
      </w:pPr>
    </w:p>
    <w:p w14:paraId="37D8BC6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Todo el acero de refuerzo, debe ser cortado y doblado en frío, ajustándolas a los planos y especificaciones del proyecto, sin errores, mayores de un centímetro (l cm). Los dobleces de las armaduras, salvo indicación especial en los planos, hacer con radios superiores a siete y media (7-½) veces el diámetro. Los dobleces deben hacerse de acuerdo al Manual de Práctica Normales del Instituto de Acero para Refuerzo de Concreto. </w:t>
      </w:r>
    </w:p>
    <w:p w14:paraId="10C19B82" w14:textId="77777777" w:rsidR="003B68DB" w:rsidRPr="003B68DB" w:rsidRDefault="003B68DB" w:rsidP="003B68DB">
      <w:pPr>
        <w:rPr>
          <w:rFonts w:ascii="Arial" w:hAnsi="Arial" w:cs="Arial"/>
          <w:szCs w:val="24"/>
          <w:lang w:val="es-ES" w:eastAsia="es-ES"/>
        </w:rPr>
      </w:pPr>
    </w:p>
    <w:p w14:paraId="6E77920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los casos de remesas en las cuales el acero de refuerzo venga ya cortado y doblado al sitio de trabajo, el mismo debe ser cuidadosamente atado y rotulado, de manera que pueda ser manejado sin peligro y fácilmente identificado con los diagramas de colocación aprobados.</w:t>
      </w:r>
    </w:p>
    <w:p w14:paraId="7C293103" w14:textId="77777777" w:rsidR="003B68DB" w:rsidRPr="003B68DB" w:rsidRDefault="003B68DB" w:rsidP="003B68DB">
      <w:pPr>
        <w:rPr>
          <w:rFonts w:ascii="Arial" w:hAnsi="Arial" w:cs="Arial"/>
          <w:szCs w:val="24"/>
          <w:lang w:val="es-ES" w:eastAsia="es-ES"/>
        </w:rPr>
      </w:pPr>
    </w:p>
    <w:p w14:paraId="534A3BA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acero de refuerzo debe ser almacenado por encima de la superficie del suelo, sobre plataformas u otros soportes deben estar todo el tiempo protegido de la intemperie por medio de una cubierta adecuada. El refuerzo debe almacenarse en una forma ordenada y debe ser claramente marcado para facilitar su identificación.</w:t>
      </w:r>
    </w:p>
    <w:p w14:paraId="61DF1702" w14:textId="77777777" w:rsidR="003B68DB" w:rsidRPr="003B68DB" w:rsidRDefault="003B68DB" w:rsidP="003B68DB">
      <w:pPr>
        <w:rPr>
          <w:rFonts w:ascii="Arial" w:hAnsi="Arial" w:cs="Arial"/>
          <w:szCs w:val="24"/>
          <w:lang w:val="es-ES" w:eastAsia="es-ES"/>
        </w:rPr>
      </w:pPr>
    </w:p>
    <w:p w14:paraId="4682A169"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 xml:space="preserve">c-) Empalme de barras: </w:t>
      </w:r>
    </w:p>
    <w:p w14:paraId="1C771263" w14:textId="77777777" w:rsidR="003B68DB" w:rsidRPr="003B68DB" w:rsidRDefault="003B68DB" w:rsidP="003B68DB">
      <w:pPr>
        <w:rPr>
          <w:rFonts w:ascii="Arial" w:hAnsi="Arial" w:cs="Arial"/>
          <w:szCs w:val="24"/>
          <w:lang w:val="es-ES" w:eastAsia="es-ES"/>
        </w:rPr>
      </w:pPr>
    </w:p>
    <w:p w14:paraId="1F09204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hacer empalmes de barras no señalados en los planos sin autorización del Supervisor. En caso necesario, se dispone donde la armadura trabaje menos de los dos tercios (2/3) de su tensión admisible, pudiendo ser por solape o soldadura. En ningún caso se debe exceder la fuerza cortante y adherencias.</w:t>
      </w:r>
    </w:p>
    <w:p w14:paraId="3C27319C" w14:textId="77777777" w:rsidR="003B68DB" w:rsidRPr="003B68DB" w:rsidRDefault="003B68DB" w:rsidP="003B68DB">
      <w:pPr>
        <w:rPr>
          <w:rFonts w:ascii="Arial" w:hAnsi="Arial" w:cs="Arial"/>
          <w:szCs w:val="24"/>
          <w:lang w:val="es-ES" w:eastAsia="es-ES"/>
        </w:rPr>
      </w:pPr>
    </w:p>
    <w:p w14:paraId="46A6F8E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Cuando el empalme sé efectuarse por solape, las barras deben traslaparse por lo menos 30" de largo y terminarán en ganchos. En ningún caso él traslape es menor de 24" de barra.  El espesor del hormigón alrededor de la solapa no es menor de dos (2) diámetros. Los empalmes se distancian unos de otros de modo que sus centros queden a más de treinta pulgadas (30") a lo largo del elemento. Cuando se use soldadura, ésta debe desarrollarse totalmente para el transferir el esfuerzo completo.</w:t>
      </w:r>
    </w:p>
    <w:p w14:paraId="0EA7777C" w14:textId="77777777" w:rsidR="003B68DB" w:rsidRPr="003B68DB" w:rsidRDefault="003B68DB" w:rsidP="003B68DB">
      <w:pPr>
        <w:rPr>
          <w:rFonts w:ascii="Arial" w:hAnsi="Arial" w:cs="Arial"/>
          <w:szCs w:val="24"/>
          <w:lang w:val="es-ES" w:eastAsia="es-ES"/>
        </w:rPr>
      </w:pPr>
    </w:p>
    <w:p w14:paraId="499F810D"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d-) Limpieza y colocación del acero de refuerzo:</w:t>
      </w:r>
    </w:p>
    <w:p w14:paraId="0726A1A0" w14:textId="77777777" w:rsidR="003B68DB" w:rsidRPr="003B68DB" w:rsidRDefault="003B68DB" w:rsidP="003B68DB">
      <w:pPr>
        <w:rPr>
          <w:rFonts w:ascii="Arial" w:hAnsi="Arial" w:cs="Arial"/>
          <w:szCs w:val="24"/>
          <w:lang w:val="es-ES" w:eastAsia="es-ES"/>
        </w:rPr>
      </w:pPr>
    </w:p>
    <w:p w14:paraId="701318B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limpieza, doblado, colocación y empalme de refuerzo hacer de acuerdo con las normas y recomendaciones 318-71 y 315-65 del ACI, y a las especificaciones del CRSI. El acero de refuerzo se limpia de toda suciedad y óxido no adherente.</w:t>
      </w:r>
    </w:p>
    <w:p w14:paraId="27A72687" w14:textId="77777777" w:rsidR="003B68DB" w:rsidRPr="003B68DB" w:rsidRDefault="003B68DB" w:rsidP="003B68DB">
      <w:pPr>
        <w:rPr>
          <w:rFonts w:ascii="Arial" w:hAnsi="Arial" w:cs="Arial"/>
          <w:szCs w:val="24"/>
          <w:lang w:val="es-ES" w:eastAsia="es-ES"/>
        </w:rPr>
      </w:pPr>
    </w:p>
    <w:p w14:paraId="527DD5F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Las barras se doblan en frío, ajustándolas a los planos y especificaciones del Proyecto, sin errores mayores de un centímetro. Los dobleces de las armaduras, salvo indicación especial en los planos, hacer con radios superiores a siete y medio (7.50) veces su diámetro. </w:t>
      </w:r>
    </w:p>
    <w:p w14:paraId="40876005" w14:textId="77777777" w:rsidR="003B68DB" w:rsidRPr="003B68DB" w:rsidRDefault="003B68DB" w:rsidP="003B68DB">
      <w:pPr>
        <w:rPr>
          <w:rFonts w:ascii="Arial" w:hAnsi="Arial" w:cs="Arial"/>
          <w:szCs w:val="24"/>
          <w:lang w:val="es-ES" w:eastAsia="es-ES"/>
        </w:rPr>
      </w:pPr>
    </w:p>
    <w:p w14:paraId="247B652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barras se sujetan a la formaleta con alambre o tacos de concreto o piedra, y entre sí con ataduras de alambre de hierro dulce No.16, de modo que no puedan desplazarse durante la llena y que este pueda envolverlos completamente.</w:t>
      </w:r>
    </w:p>
    <w:p w14:paraId="2CE35724" w14:textId="77777777" w:rsidR="003B68DB" w:rsidRPr="003B68DB" w:rsidRDefault="003B68DB" w:rsidP="003B68DB">
      <w:pPr>
        <w:rPr>
          <w:rFonts w:ascii="Arial" w:hAnsi="Arial" w:cs="Arial"/>
          <w:szCs w:val="24"/>
          <w:lang w:val="es-ES" w:eastAsia="es-ES"/>
        </w:rPr>
      </w:pPr>
    </w:p>
    <w:p w14:paraId="2892C3BD" w14:textId="77777777" w:rsidR="003B68DB" w:rsidRPr="003B68DB" w:rsidRDefault="003B68DB" w:rsidP="003B68DB">
      <w:pPr>
        <w:rPr>
          <w:rFonts w:ascii="Arial" w:hAnsi="Arial" w:cs="Arial"/>
          <w:b/>
          <w:szCs w:val="24"/>
          <w:lang w:val="es-ES" w:eastAsia="es-ES"/>
        </w:rPr>
      </w:pPr>
      <w:r w:rsidRPr="003B68DB">
        <w:rPr>
          <w:rFonts w:ascii="Arial" w:hAnsi="Arial" w:cs="Arial"/>
          <w:b/>
          <w:szCs w:val="24"/>
          <w:lang w:val="es-ES" w:eastAsia="es-ES"/>
        </w:rPr>
        <w:t xml:space="preserve">e-) Recubrimientos del acero de refuerzo </w:t>
      </w:r>
    </w:p>
    <w:p w14:paraId="216C0453" w14:textId="77777777" w:rsidR="003B68DB" w:rsidRPr="003B68DB" w:rsidRDefault="003B68DB" w:rsidP="003B68DB">
      <w:pPr>
        <w:rPr>
          <w:rFonts w:ascii="Arial" w:hAnsi="Arial" w:cs="Arial"/>
          <w:szCs w:val="24"/>
          <w:lang w:val="es-ES" w:eastAsia="es-ES"/>
        </w:rPr>
      </w:pPr>
    </w:p>
    <w:p w14:paraId="47EEB5C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Los recubrimientos exigidos, a menos que en los planos se indiquen otros, son los siguientes: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16"/>
        <w:gridCol w:w="1769"/>
        <w:gridCol w:w="1965"/>
      </w:tblGrid>
      <w:tr w:rsidR="003B68DB" w:rsidRPr="003B68DB" w14:paraId="1E52127A" w14:textId="77777777" w:rsidTr="00243EB4">
        <w:trPr>
          <w:trHeight w:val="283"/>
          <w:jc w:val="center"/>
        </w:trPr>
        <w:tc>
          <w:tcPr>
            <w:tcW w:w="3003" w:type="pct"/>
            <w:vAlign w:val="center"/>
          </w:tcPr>
          <w:p w14:paraId="2BBF592C" w14:textId="77777777" w:rsidR="003B68DB" w:rsidRPr="003B68DB" w:rsidRDefault="003B68DB" w:rsidP="003B68DB">
            <w:pPr>
              <w:tabs>
                <w:tab w:val="left" w:pos="-720"/>
              </w:tabs>
              <w:suppressAutoHyphens/>
              <w:ind w:left="720" w:hanging="378"/>
              <w:rPr>
                <w:rFonts w:ascii="Arial" w:hAnsi="Arial" w:cs="Arial"/>
                <w:spacing w:val="-2"/>
                <w:szCs w:val="24"/>
                <w:lang w:val="es-GT"/>
              </w:rPr>
            </w:pPr>
            <w:r w:rsidRPr="003B68DB">
              <w:rPr>
                <w:rFonts w:ascii="Arial" w:hAnsi="Arial" w:cs="Arial"/>
                <w:spacing w:val="-2"/>
                <w:szCs w:val="24"/>
                <w:lang w:val="es-GT"/>
              </w:rPr>
              <w:t>Zapatas</w:t>
            </w:r>
          </w:p>
        </w:tc>
        <w:tc>
          <w:tcPr>
            <w:tcW w:w="946" w:type="pct"/>
            <w:tcBorders>
              <w:right w:val="single" w:sz="4" w:space="0" w:color="auto"/>
            </w:tcBorders>
            <w:vAlign w:val="center"/>
          </w:tcPr>
          <w:p w14:paraId="66CCBF54" w14:textId="77777777" w:rsidR="003B68DB" w:rsidRPr="003B68DB" w:rsidRDefault="003B68DB" w:rsidP="003B68DB">
            <w:pPr>
              <w:tabs>
                <w:tab w:val="left" w:pos="-720"/>
              </w:tabs>
              <w:suppressAutoHyphens/>
              <w:ind w:left="461" w:hanging="425"/>
              <w:jc w:val="center"/>
              <w:rPr>
                <w:rFonts w:ascii="Arial" w:hAnsi="Arial" w:cs="Arial"/>
                <w:spacing w:val="-2"/>
                <w:szCs w:val="24"/>
                <w:lang w:val="es-GT" w:eastAsia="de-DE"/>
              </w:rPr>
            </w:pPr>
            <w:r w:rsidRPr="003B68DB">
              <w:rPr>
                <w:rFonts w:ascii="Arial" w:hAnsi="Arial" w:cs="Arial"/>
                <w:spacing w:val="-2"/>
                <w:szCs w:val="24"/>
                <w:lang w:val="es-GT" w:eastAsia="de-DE"/>
              </w:rPr>
              <w:t>7</w:t>
            </w:r>
          </w:p>
        </w:tc>
        <w:tc>
          <w:tcPr>
            <w:tcW w:w="1051" w:type="pct"/>
            <w:tcBorders>
              <w:left w:val="single" w:sz="4" w:space="0" w:color="auto"/>
            </w:tcBorders>
            <w:vAlign w:val="center"/>
          </w:tcPr>
          <w:p w14:paraId="57D4EB41" w14:textId="77777777" w:rsidR="003B68DB" w:rsidRPr="003B68DB" w:rsidRDefault="003B68DB" w:rsidP="003B68DB">
            <w:pPr>
              <w:tabs>
                <w:tab w:val="left" w:pos="-720"/>
              </w:tabs>
              <w:suppressAutoHyphens/>
              <w:ind w:left="319" w:hanging="283"/>
              <w:jc w:val="center"/>
              <w:rPr>
                <w:rFonts w:ascii="Arial" w:hAnsi="Arial" w:cs="Arial"/>
                <w:spacing w:val="-2"/>
                <w:szCs w:val="24"/>
                <w:lang w:val="es-GT" w:eastAsia="de-DE"/>
              </w:rPr>
            </w:pPr>
            <w:r w:rsidRPr="003B68DB">
              <w:rPr>
                <w:rFonts w:ascii="Arial" w:hAnsi="Arial" w:cs="Arial"/>
                <w:spacing w:val="-2"/>
                <w:szCs w:val="24"/>
                <w:lang w:val="es-GT" w:eastAsia="de-DE"/>
              </w:rPr>
              <w:t>cm</w:t>
            </w:r>
          </w:p>
        </w:tc>
      </w:tr>
      <w:tr w:rsidR="003B68DB" w:rsidRPr="003B68DB" w14:paraId="72E1D367" w14:textId="77777777" w:rsidTr="00243EB4">
        <w:trPr>
          <w:trHeight w:val="283"/>
          <w:jc w:val="center"/>
        </w:trPr>
        <w:tc>
          <w:tcPr>
            <w:tcW w:w="3003" w:type="pct"/>
            <w:vAlign w:val="center"/>
          </w:tcPr>
          <w:p w14:paraId="4D9BA172" w14:textId="77777777" w:rsidR="003B68DB" w:rsidRPr="003B68DB" w:rsidRDefault="003B68DB" w:rsidP="003B68DB">
            <w:pPr>
              <w:tabs>
                <w:tab w:val="left" w:pos="-720"/>
              </w:tabs>
              <w:suppressAutoHyphens/>
              <w:ind w:left="720" w:hanging="378"/>
              <w:rPr>
                <w:rFonts w:ascii="Arial" w:hAnsi="Arial" w:cs="Arial"/>
                <w:spacing w:val="-2"/>
                <w:szCs w:val="24"/>
                <w:lang w:val="es-GT" w:eastAsia="de-DE"/>
              </w:rPr>
            </w:pPr>
            <w:r w:rsidRPr="003B68DB">
              <w:rPr>
                <w:rFonts w:ascii="Arial" w:hAnsi="Arial" w:cs="Arial"/>
                <w:spacing w:val="-2"/>
                <w:szCs w:val="24"/>
                <w:lang w:val="es-GT" w:eastAsia="de-DE"/>
              </w:rPr>
              <w:t>Pedestales</w:t>
            </w:r>
          </w:p>
        </w:tc>
        <w:tc>
          <w:tcPr>
            <w:tcW w:w="946" w:type="pct"/>
            <w:tcBorders>
              <w:right w:val="single" w:sz="4" w:space="0" w:color="auto"/>
            </w:tcBorders>
            <w:vAlign w:val="center"/>
          </w:tcPr>
          <w:p w14:paraId="668D650F" w14:textId="77777777" w:rsidR="003B68DB" w:rsidRPr="003B68DB" w:rsidRDefault="003B68DB" w:rsidP="003B68DB">
            <w:pPr>
              <w:tabs>
                <w:tab w:val="left" w:pos="-720"/>
              </w:tabs>
              <w:suppressAutoHyphens/>
              <w:ind w:left="461" w:hanging="425"/>
              <w:jc w:val="center"/>
              <w:rPr>
                <w:rFonts w:ascii="Arial" w:hAnsi="Arial" w:cs="Arial"/>
                <w:spacing w:val="-2"/>
                <w:szCs w:val="24"/>
                <w:lang w:val="es-GT" w:eastAsia="de-DE"/>
              </w:rPr>
            </w:pPr>
            <w:r w:rsidRPr="003B68DB">
              <w:rPr>
                <w:rFonts w:ascii="Arial" w:hAnsi="Arial" w:cs="Arial"/>
                <w:spacing w:val="-2"/>
                <w:szCs w:val="24"/>
                <w:lang w:val="es-GT" w:eastAsia="de-DE"/>
              </w:rPr>
              <w:t>7</w:t>
            </w:r>
          </w:p>
        </w:tc>
        <w:tc>
          <w:tcPr>
            <w:tcW w:w="1051" w:type="pct"/>
            <w:tcBorders>
              <w:left w:val="single" w:sz="4" w:space="0" w:color="auto"/>
            </w:tcBorders>
            <w:vAlign w:val="center"/>
          </w:tcPr>
          <w:p w14:paraId="596AD7B3" w14:textId="77777777" w:rsidR="003B68DB" w:rsidRPr="003B68DB" w:rsidRDefault="003B68DB" w:rsidP="003B68DB">
            <w:pPr>
              <w:tabs>
                <w:tab w:val="left" w:pos="-720"/>
              </w:tabs>
              <w:suppressAutoHyphens/>
              <w:ind w:left="319" w:hanging="283"/>
              <w:jc w:val="center"/>
              <w:rPr>
                <w:rFonts w:ascii="Arial" w:hAnsi="Arial" w:cs="Arial"/>
                <w:spacing w:val="-2"/>
                <w:szCs w:val="24"/>
                <w:lang w:val="es-GT" w:eastAsia="de-DE"/>
              </w:rPr>
            </w:pPr>
            <w:r w:rsidRPr="003B68DB">
              <w:rPr>
                <w:rFonts w:ascii="Arial" w:hAnsi="Arial" w:cs="Arial"/>
                <w:spacing w:val="-2"/>
                <w:szCs w:val="24"/>
                <w:lang w:val="es-GT" w:eastAsia="de-DE"/>
              </w:rPr>
              <w:t>cm</w:t>
            </w:r>
          </w:p>
        </w:tc>
      </w:tr>
      <w:tr w:rsidR="003B68DB" w:rsidRPr="003B68DB" w14:paraId="79945BC3" w14:textId="77777777" w:rsidTr="00243EB4">
        <w:trPr>
          <w:trHeight w:val="283"/>
          <w:jc w:val="center"/>
        </w:trPr>
        <w:tc>
          <w:tcPr>
            <w:tcW w:w="3003" w:type="pct"/>
            <w:vAlign w:val="center"/>
          </w:tcPr>
          <w:p w14:paraId="5C780D67" w14:textId="77777777" w:rsidR="003B68DB" w:rsidRPr="003B68DB" w:rsidRDefault="003B68DB" w:rsidP="003B68DB">
            <w:pPr>
              <w:tabs>
                <w:tab w:val="left" w:pos="-720"/>
              </w:tabs>
              <w:suppressAutoHyphens/>
              <w:ind w:left="720" w:hanging="378"/>
              <w:rPr>
                <w:rFonts w:ascii="Arial" w:hAnsi="Arial" w:cs="Arial"/>
                <w:spacing w:val="-2"/>
                <w:szCs w:val="24"/>
                <w:lang w:val="es-GT" w:eastAsia="de-DE"/>
              </w:rPr>
            </w:pPr>
            <w:r w:rsidRPr="003B68DB">
              <w:rPr>
                <w:rFonts w:ascii="Arial" w:hAnsi="Arial" w:cs="Arial"/>
                <w:spacing w:val="-2"/>
                <w:szCs w:val="24"/>
                <w:lang w:val="es-GT" w:eastAsia="de-DE"/>
              </w:rPr>
              <w:t>Soleras</w:t>
            </w:r>
          </w:p>
        </w:tc>
        <w:tc>
          <w:tcPr>
            <w:tcW w:w="946" w:type="pct"/>
            <w:tcBorders>
              <w:right w:val="single" w:sz="4" w:space="0" w:color="auto"/>
            </w:tcBorders>
            <w:vAlign w:val="center"/>
          </w:tcPr>
          <w:p w14:paraId="04A71358" w14:textId="77777777" w:rsidR="003B68DB" w:rsidRPr="003B68DB" w:rsidRDefault="003B68DB" w:rsidP="003B68DB">
            <w:pPr>
              <w:tabs>
                <w:tab w:val="left" w:pos="-720"/>
              </w:tabs>
              <w:suppressAutoHyphens/>
              <w:ind w:left="461" w:hanging="425"/>
              <w:jc w:val="center"/>
              <w:rPr>
                <w:rFonts w:ascii="Arial" w:hAnsi="Arial" w:cs="Arial"/>
                <w:spacing w:val="-2"/>
                <w:szCs w:val="24"/>
                <w:lang w:val="es-GT" w:eastAsia="de-DE"/>
              </w:rPr>
            </w:pPr>
            <w:r w:rsidRPr="003B68DB">
              <w:rPr>
                <w:rFonts w:ascii="Arial" w:hAnsi="Arial" w:cs="Arial"/>
                <w:spacing w:val="-2"/>
                <w:szCs w:val="24"/>
                <w:lang w:val="es-GT" w:eastAsia="de-DE"/>
              </w:rPr>
              <w:t>5</w:t>
            </w:r>
          </w:p>
        </w:tc>
        <w:tc>
          <w:tcPr>
            <w:tcW w:w="1051" w:type="pct"/>
            <w:tcBorders>
              <w:left w:val="single" w:sz="4" w:space="0" w:color="auto"/>
            </w:tcBorders>
            <w:vAlign w:val="center"/>
          </w:tcPr>
          <w:p w14:paraId="189DD22A" w14:textId="77777777" w:rsidR="003B68DB" w:rsidRPr="003B68DB" w:rsidRDefault="003B68DB" w:rsidP="003B68DB">
            <w:pPr>
              <w:tabs>
                <w:tab w:val="left" w:pos="-720"/>
              </w:tabs>
              <w:suppressAutoHyphens/>
              <w:ind w:left="319" w:hanging="283"/>
              <w:jc w:val="center"/>
              <w:rPr>
                <w:rFonts w:ascii="Arial" w:hAnsi="Arial" w:cs="Arial"/>
                <w:spacing w:val="-2"/>
                <w:szCs w:val="24"/>
                <w:lang w:val="es-GT" w:eastAsia="de-DE"/>
              </w:rPr>
            </w:pPr>
            <w:r w:rsidRPr="003B68DB">
              <w:rPr>
                <w:rFonts w:ascii="Arial" w:hAnsi="Arial" w:cs="Arial"/>
                <w:spacing w:val="-2"/>
                <w:szCs w:val="24"/>
                <w:lang w:val="es-GT" w:eastAsia="de-DE"/>
              </w:rPr>
              <w:t>cm</w:t>
            </w:r>
          </w:p>
        </w:tc>
      </w:tr>
      <w:tr w:rsidR="003B68DB" w:rsidRPr="003B68DB" w14:paraId="34BD03E8" w14:textId="77777777" w:rsidTr="00243EB4">
        <w:trPr>
          <w:trHeight w:val="283"/>
          <w:jc w:val="center"/>
        </w:trPr>
        <w:tc>
          <w:tcPr>
            <w:tcW w:w="3003" w:type="pct"/>
            <w:vAlign w:val="center"/>
          </w:tcPr>
          <w:p w14:paraId="4B91451F" w14:textId="77777777" w:rsidR="003B68DB" w:rsidRPr="003B68DB" w:rsidRDefault="003B68DB" w:rsidP="003B68DB">
            <w:pPr>
              <w:tabs>
                <w:tab w:val="left" w:pos="-720"/>
              </w:tabs>
              <w:suppressAutoHyphens/>
              <w:ind w:left="720" w:hanging="378"/>
              <w:rPr>
                <w:rFonts w:ascii="Arial" w:hAnsi="Arial" w:cs="Arial"/>
                <w:spacing w:val="-2"/>
                <w:szCs w:val="24"/>
                <w:lang w:val="es-GT" w:eastAsia="de-DE"/>
              </w:rPr>
            </w:pPr>
            <w:r w:rsidRPr="003B68DB">
              <w:rPr>
                <w:rFonts w:ascii="Arial" w:hAnsi="Arial" w:cs="Arial"/>
                <w:spacing w:val="-2"/>
                <w:szCs w:val="24"/>
                <w:lang w:val="es-GT" w:eastAsia="de-DE"/>
              </w:rPr>
              <w:t>Vigas y columnas</w:t>
            </w:r>
          </w:p>
        </w:tc>
        <w:tc>
          <w:tcPr>
            <w:tcW w:w="946" w:type="pct"/>
            <w:tcBorders>
              <w:right w:val="single" w:sz="4" w:space="0" w:color="auto"/>
            </w:tcBorders>
            <w:vAlign w:val="center"/>
          </w:tcPr>
          <w:p w14:paraId="1F1584B7" w14:textId="77777777" w:rsidR="003B68DB" w:rsidRPr="003B68DB" w:rsidRDefault="003B68DB" w:rsidP="003B68DB">
            <w:pPr>
              <w:tabs>
                <w:tab w:val="left" w:pos="-720"/>
              </w:tabs>
              <w:suppressAutoHyphens/>
              <w:ind w:left="461" w:hanging="425"/>
              <w:jc w:val="center"/>
              <w:rPr>
                <w:rFonts w:ascii="Arial" w:hAnsi="Arial" w:cs="Arial"/>
                <w:spacing w:val="-2"/>
                <w:szCs w:val="24"/>
                <w:lang w:val="es-GT" w:eastAsia="de-DE"/>
              </w:rPr>
            </w:pPr>
            <w:r w:rsidRPr="003B68DB">
              <w:rPr>
                <w:rFonts w:ascii="Arial" w:hAnsi="Arial" w:cs="Arial"/>
                <w:spacing w:val="-2"/>
                <w:szCs w:val="24"/>
                <w:lang w:val="es-GT" w:eastAsia="de-DE"/>
              </w:rPr>
              <w:t>4</w:t>
            </w:r>
          </w:p>
        </w:tc>
        <w:tc>
          <w:tcPr>
            <w:tcW w:w="1051" w:type="pct"/>
            <w:tcBorders>
              <w:left w:val="single" w:sz="4" w:space="0" w:color="auto"/>
            </w:tcBorders>
            <w:vAlign w:val="center"/>
          </w:tcPr>
          <w:p w14:paraId="17911AC7" w14:textId="77777777" w:rsidR="003B68DB" w:rsidRPr="003B68DB" w:rsidRDefault="003B68DB" w:rsidP="003B68DB">
            <w:pPr>
              <w:tabs>
                <w:tab w:val="left" w:pos="-720"/>
              </w:tabs>
              <w:suppressAutoHyphens/>
              <w:ind w:left="319" w:hanging="283"/>
              <w:jc w:val="center"/>
              <w:rPr>
                <w:rFonts w:ascii="Arial" w:hAnsi="Arial" w:cs="Arial"/>
                <w:spacing w:val="-2"/>
                <w:szCs w:val="24"/>
                <w:lang w:val="es-GT" w:eastAsia="de-DE"/>
              </w:rPr>
            </w:pPr>
            <w:r w:rsidRPr="003B68DB">
              <w:rPr>
                <w:rFonts w:ascii="Arial" w:hAnsi="Arial" w:cs="Arial"/>
                <w:spacing w:val="-2"/>
                <w:szCs w:val="24"/>
                <w:lang w:val="es-GT" w:eastAsia="de-DE"/>
              </w:rPr>
              <w:t>cm</w:t>
            </w:r>
          </w:p>
        </w:tc>
      </w:tr>
      <w:tr w:rsidR="003B68DB" w:rsidRPr="003B68DB" w14:paraId="3B33234F" w14:textId="77777777" w:rsidTr="00243EB4">
        <w:trPr>
          <w:trHeight w:val="283"/>
          <w:jc w:val="center"/>
        </w:trPr>
        <w:tc>
          <w:tcPr>
            <w:tcW w:w="3003" w:type="pct"/>
            <w:vAlign w:val="center"/>
          </w:tcPr>
          <w:p w14:paraId="524BBD49" w14:textId="77777777" w:rsidR="003B68DB" w:rsidRPr="003B68DB" w:rsidRDefault="003B68DB" w:rsidP="003B68DB">
            <w:pPr>
              <w:tabs>
                <w:tab w:val="left" w:pos="-720"/>
              </w:tabs>
              <w:suppressAutoHyphens/>
              <w:ind w:left="720" w:hanging="378"/>
              <w:rPr>
                <w:rFonts w:ascii="Arial" w:hAnsi="Arial" w:cs="Arial"/>
                <w:spacing w:val="-2"/>
                <w:szCs w:val="24"/>
                <w:lang w:val="es-GT" w:eastAsia="de-DE"/>
              </w:rPr>
            </w:pPr>
            <w:r w:rsidRPr="003B68DB">
              <w:rPr>
                <w:rFonts w:ascii="Arial" w:hAnsi="Arial" w:cs="Arial"/>
                <w:spacing w:val="-2"/>
                <w:szCs w:val="24"/>
                <w:lang w:val="es-GT" w:eastAsia="de-DE"/>
              </w:rPr>
              <w:t>Losas de piso sobre el terreno</w:t>
            </w:r>
          </w:p>
        </w:tc>
        <w:tc>
          <w:tcPr>
            <w:tcW w:w="946" w:type="pct"/>
            <w:tcBorders>
              <w:right w:val="single" w:sz="4" w:space="0" w:color="auto"/>
            </w:tcBorders>
            <w:vAlign w:val="center"/>
          </w:tcPr>
          <w:p w14:paraId="3EA989D6" w14:textId="77777777" w:rsidR="003B68DB" w:rsidRPr="003B68DB" w:rsidRDefault="003B68DB" w:rsidP="003B68DB">
            <w:pPr>
              <w:tabs>
                <w:tab w:val="left" w:pos="-720"/>
              </w:tabs>
              <w:suppressAutoHyphens/>
              <w:ind w:left="461" w:hanging="425"/>
              <w:jc w:val="center"/>
              <w:rPr>
                <w:rFonts w:ascii="Arial" w:hAnsi="Arial" w:cs="Arial"/>
                <w:spacing w:val="-2"/>
                <w:szCs w:val="24"/>
                <w:lang w:val="es-GT" w:eastAsia="de-DE"/>
              </w:rPr>
            </w:pPr>
            <w:r w:rsidRPr="003B68DB">
              <w:rPr>
                <w:rFonts w:ascii="Arial" w:hAnsi="Arial" w:cs="Arial"/>
                <w:spacing w:val="-2"/>
                <w:szCs w:val="24"/>
                <w:lang w:val="es-GT" w:eastAsia="de-DE"/>
              </w:rPr>
              <w:t>7</w:t>
            </w:r>
          </w:p>
        </w:tc>
        <w:tc>
          <w:tcPr>
            <w:tcW w:w="1051" w:type="pct"/>
            <w:tcBorders>
              <w:left w:val="single" w:sz="4" w:space="0" w:color="auto"/>
            </w:tcBorders>
            <w:vAlign w:val="center"/>
          </w:tcPr>
          <w:p w14:paraId="0919BB4D" w14:textId="77777777" w:rsidR="003B68DB" w:rsidRPr="003B68DB" w:rsidRDefault="003B68DB" w:rsidP="003B68DB">
            <w:pPr>
              <w:tabs>
                <w:tab w:val="left" w:pos="-720"/>
              </w:tabs>
              <w:suppressAutoHyphens/>
              <w:ind w:left="319" w:hanging="283"/>
              <w:jc w:val="center"/>
              <w:rPr>
                <w:rFonts w:ascii="Arial" w:hAnsi="Arial" w:cs="Arial"/>
                <w:spacing w:val="-2"/>
                <w:szCs w:val="24"/>
                <w:lang w:val="es-GT" w:eastAsia="de-DE"/>
              </w:rPr>
            </w:pPr>
            <w:r w:rsidRPr="003B68DB">
              <w:rPr>
                <w:rFonts w:ascii="Arial" w:hAnsi="Arial" w:cs="Arial"/>
                <w:spacing w:val="-2"/>
                <w:szCs w:val="24"/>
                <w:lang w:val="es-GT" w:eastAsia="de-DE"/>
              </w:rPr>
              <w:t>cm</w:t>
            </w:r>
          </w:p>
        </w:tc>
      </w:tr>
      <w:tr w:rsidR="003B68DB" w:rsidRPr="003B68DB" w14:paraId="73373AB7" w14:textId="77777777" w:rsidTr="00243EB4">
        <w:trPr>
          <w:trHeight w:val="283"/>
          <w:jc w:val="center"/>
        </w:trPr>
        <w:tc>
          <w:tcPr>
            <w:tcW w:w="3003" w:type="pct"/>
            <w:vAlign w:val="center"/>
          </w:tcPr>
          <w:p w14:paraId="33DE593A" w14:textId="77777777" w:rsidR="003B68DB" w:rsidRPr="003B68DB" w:rsidRDefault="003B68DB" w:rsidP="003B68DB">
            <w:pPr>
              <w:tabs>
                <w:tab w:val="left" w:pos="-720"/>
              </w:tabs>
              <w:suppressAutoHyphens/>
              <w:ind w:left="720" w:hanging="378"/>
              <w:rPr>
                <w:rFonts w:ascii="Arial" w:hAnsi="Arial" w:cs="Arial"/>
                <w:spacing w:val="-2"/>
                <w:szCs w:val="24"/>
                <w:lang w:val="es-GT" w:eastAsia="de-DE"/>
              </w:rPr>
            </w:pPr>
            <w:r w:rsidRPr="003B68DB">
              <w:rPr>
                <w:rFonts w:ascii="Arial" w:hAnsi="Arial" w:cs="Arial"/>
                <w:spacing w:val="-2"/>
                <w:szCs w:val="24"/>
                <w:lang w:val="es-GT" w:eastAsia="de-DE"/>
              </w:rPr>
              <w:t>Losa de intemperie</w:t>
            </w:r>
          </w:p>
        </w:tc>
        <w:tc>
          <w:tcPr>
            <w:tcW w:w="946" w:type="pct"/>
            <w:tcBorders>
              <w:right w:val="single" w:sz="4" w:space="0" w:color="auto"/>
            </w:tcBorders>
            <w:vAlign w:val="center"/>
          </w:tcPr>
          <w:p w14:paraId="7411E381" w14:textId="77777777" w:rsidR="003B68DB" w:rsidRPr="003B68DB" w:rsidRDefault="003B68DB" w:rsidP="003B68DB">
            <w:pPr>
              <w:tabs>
                <w:tab w:val="left" w:pos="-720"/>
              </w:tabs>
              <w:suppressAutoHyphens/>
              <w:ind w:left="461" w:hanging="425"/>
              <w:jc w:val="center"/>
              <w:rPr>
                <w:rFonts w:ascii="Arial" w:hAnsi="Arial" w:cs="Arial"/>
                <w:spacing w:val="-2"/>
                <w:szCs w:val="24"/>
                <w:lang w:val="es-GT" w:eastAsia="de-DE"/>
              </w:rPr>
            </w:pPr>
            <w:r w:rsidRPr="003B68DB">
              <w:rPr>
                <w:rFonts w:ascii="Arial" w:hAnsi="Arial" w:cs="Arial"/>
                <w:spacing w:val="-2"/>
                <w:szCs w:val="24"/>
                <w:lang w:val="es-GT" w:eastAsia="de-DE"/>
              </w:rPr>
              <w:t>3</w:t>
            </w:r>
          </w:p>
        </w:tc>
        <w:tc>
          <w:tcPr>
            <w:tcW w:w="1051" w:type="pct"/>
            <w:tcBorders>
              <w:left w:val="single" w:sz="4" w:space="0" w:color="auto"/>
            </w:tcBorders>
            <w:vAlign w:val="center"/>
          </w:tcPr>
          <w:p w14:paraId="6D51B91B" w14:textId="77777777" w:rsidR="003B68DB" w:rsidRPr="003B68DB" w:rsidRDefault="003B68DB" w:rsidP="003B68DB">
            <w:pPr>
              <w:tabs>
                <w:tab w:val="left" w:pos="-720"/>
              </w:tabs>
              <w:suppressAutoHyphens/>
              <w:ind w:left="319" w:hanging="283"/>
              <w:jc w:val="center"/>
              <w:rPr>
                <w:rFonts w:ascii="Arial" w:hAnsi="Arial" w:cs="Arial"/>
                <w:spacing w:val="-2"/>
                <w:szCs w:val="24"/>
                <w:lang w:val="es-GT" w:eastAsia="de-DE"/>
              </w:rPr>
            </w:pPr>
            <w:r w:rsidRPr="003B68DB">
              <w:rPr>
                <w:rFonts w:ascii="Arial" w:hAnsi="Arial" w:cs="Arial"/>
                <w:spacing w:val="-2"/>
                <w:szCs w:val="24"/>
                <w:lang w:val="es-GT" w:eastAsia="de-DE"/>
              </w:rPr>
              <w:t>cm</w:t>
            </w:r>
          </w:p>
        </w:tc>
      </w:tr>
    </w:tbl>
    <w:p w14:paraId="28D46CB4" w14:textId="77777777" w:rsidR="003B68DB" w:rsidRPr="003B68DB" w:rsidRDefault="003B68DB" w:rsidP="003B68DB">
      <w:pPr>
        <w:rPr>
          <w:rFonts w:ascii="Arial" w:hAnsi="Arial" w:cs="Arial"/>
          <w:szCs w:val="24"/>
          <w:lang w:val="es-ES" w:eastAsia="es-ES"/>
        </w:rPr>
      </w:pPr>
    </w:p>
    <w:p w14:paraId="785AF05B"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n-US"/>
        </w:rPr>
      </w:pPr>
      <w:bookmarkStart w:id="1738" w:name="_Toc22653981"/>
      <w:r w:rsidRPr="003B68DB">
        <w:rPr>
          <w:rFonts w:ascii="Arial" w:eastAsia="Arial Narrow" w:hAnsi="Arial" w:cs="Arial"/>
          <w:b/>
          <w:bCs/>
          <w:iCs/>
          <w:szCs w:val="24"/>
          <w:lang w:val="en-US"/>
        </w:rPr>
        <w:t>Medida y Forma de Pago</w:t>
      </w:r>
      <w:bookmarkEnd w:id="1738"/>
    </w:p>
    <w:p w14:paraId="53C3D163" w14:textId="77777777" w:rsidR="003B68DB" w:rsidRPr="003B68DB" w:rsidRDefault="003B68DB" w:rsidP="003B68DB">
      <w:pPr>
        <w:rPr>
          <w:rFonts w:ascii="Arial" w:hAnsi="Arial" w:cs="Arial"/>
          <w:szCs w:val="24"/>
          <w:lang w:val="es-ES" w:eastAsia="es-ES"/>
        </w:rPr>
      </w:pPr>
    </w:p>
    <w:p w14:paraId="1A44A66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suministro y colocación de concreto ciclópeo, y concreto reforzado, se mide y paga por metro cúbico (m³) ejecutado y aprobado por el Supervisor. El pago se efectúa según el rubro correspondiente al precio unitario fijado en el Formulario de Oferta. Este precio comprende todos los costos directos e indirectos por concepto de materiales, mano de </w:t>
      </w:r>
      <w:r w:rsidRPr="003B68DB">
        <w:rPr>
          <w:rFonts w:ascii="Arial" w:hAnsi="Arial" w:cs="Arial"/>
          <w:szCs w:val="24"/>
          <w:lang w:val="es-ES" w:eastAsia="es-ES"/>
        </w:rPr>
        <w:lastRenderedPageBreak/>
        <w:t>obra, equipos y herramientas, para realizar el trabajo antes descrito, incluyendo todo elemento que implícitamente sea necesario para realizar el rubro conforme a los alcances, los detalles y especificaciones tanto de los documentos de esta licitación como los planos de taller avalados por el Supervisor.</w:t>
      </w:r>
    </w:p>
    <w:p w14:paraId="56B04BF4" w14:textId="77777777" w:rsidR="003B68DB" w:rsidRPr="003B68DB" w:rsidRDefault="003B68DB" w:rsidP="003B68DB">
      <w:pPr>
        <w:rPr>
          <w:rFonts w:ascii="Arial" w:hAnsi="Arial" w:cs="Arial"/>
          <w:szCs w:val="24"/>
          <w:lang w:val="es-ES" w:eastAsia="es-ES"/>
        </w:rPr>
      </w:pPr>
    </w:p>
    <w:p w14:paraId="445EB29F"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s-NI"/>
        </w:rPr>
      </w:pPr>
      <w:bookmarkStart w:id="1739" w:name="_Toc22391656"/>
      <w:bookmarkStart w:id="1740" w:name="_Toc22653982"/>
      <w:r w:rsidRPr="003B68DB">
        <w:rPr>
          <w:rFonts w:ascii="Arial" w:eastAsia="Arial Narrow" w:hAnsi="Arial" w:cs="Arial"/>
          <w:b/>
          <w:bCs/>
          <w:iCs/>
          <w:szCs w:val="24"/>
          <w:lang w:val="es-NI"/>
        </w:rPr>
        <w:t>Movimiento de tierra para tanque de almacenamiento</w:t>
      </w:r>
      <w:bookmarkEnd w:id="1739"/>
      <w:bookmarkEnd w:id="1740"/>
    </w:p>
    <w:p w14:paraId="7FF75593" w14:textId="77777777" w:rsidR="003B68DB" w:rsidRPr="003B68DB" w:rsidRDefault="003B68DB" w:rsidP="003B68DB">
      <w:pPr>
        <w:rPr>
          <w:rFonts w:ascii="Arial" w:hAnsi="Arial" w:cs="Arial"/>
          <w:szCs w:val="24"/>
          <w:lang w:val="es-ES" w:eastAsia="es-ES"/>
        </w:rPr>
      </w:pPr>
    </w:p>
    <w:p w14:paraId="4E9AE41C"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Contratista debe verificar la ubicación del tanque de almacenamiento. La ubicación debe ser lo más cercano posible del núcleo poblacional, considerando la topografía del sitio, el mantenimiento y los costos de la tubería de conducción. La ubicación debe garantizar la presión mínima (carga residual) del aparato crítico de la vivienda más alejada del tanque, esta no debe ser menor que 5.00 mca (7.11 psi)</w:t>
      </w:r>
    </w:p>
    <w:p w14:paraId="272DDBD1" w14:textId="77777777" w:rsidR="003B68DB" w:rsidRPr="003B68DB" w:rsidRDefault="003B68DB" w:rsidP="003B68DB">
      <w:pPr>
        <w:rPr>
          <w:rFonts w:ascii="Arial" w:hAnsi="Arial"/>
          <w:szCs w:val="24"/>
          <w:lang w:val="es-ES" w:eastAsia="es-ES"/>
        </w:rPr>
      </w:pPr>
    </w:p>
    <w:p w14:paraId="2556AC02"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Contratista debe realizar replanteo topográfico y nivelación para realizar cortes, rellenos, actividades de acarreo y mejoramiento de fundaciones, apegado a lo indicado en las recomendaciones del estudio de suelos que se indican a continuación:</w:t>
      </w:r>
    </w:p>
    <w:p w14:paraId="09117C5B" w14:textId="77777777" w:rsidR="003B68DB" w:rsidRPr="003B68DB" w:rsidRDefault="003B68DB" w:rsidP="003B68DB">
      <w:pPr>
        <w:rPr>
          <w:rFonts w:ascii="Arial" w:hAnsi="Arial"/>
          <w:szCs w:val="24"/>
          <w:lang w:val="es-ES" w:eastAsia="es-ES"/>
        </w:rPr>
      </w:pPr>
    </w:p>
    <w:p w14:paraId="7EDC684D"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Contratista debe, antes de empezar a construir, descapotar un mínimo de 0.20 m la capa de suelo vegetal con restos de raíces, en toda el área de construcción. Las raíces de árboles deben ser removidas por lo menos 1.0 m. de la superficie existente, cualquiera que tenga el nivel más bajo, todo material orgánico, ripios, etc., encontrado durante las operaciones de movimiento de tierra, también deben ser eliminados.</w:t>
      </w:r>
    </w:p>
    <w:p w14:paraId="689A497B"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a)</w:t>
      </w:r>
      <w:r w:rsidRPr="003B68DB">
        <w:rPr>
          <w:rFonts w:ascii="Arial" w:hAnsi="Arial"/>
          <w:szCs w:val="24"/>
          <w:lang w:val="es-ES" w:eastAsia="es-ES"/>
        </w:rPr>
        <w:tab/>
        <w:t>Las estructuras para el tanque de almacenamiento de agua clara, están diseñadas con apoyo directo en el suelo, en tal caso, el contratista debe realizar labores de mejoramiento de suelo:</w:t>
      </w:r>
    </w:p>
    <w:p w14:paraId="0201E91A"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b)</w:t>
      </w:r>
      <w:r w:rsidRPr="003B68DB">
        <w:rPr>
          <w:rFonts w:ascii="Arial" w:hAnsi="Arial"/>
          <w:szCs w:val="24"/>
          <w:lang w:val="es-ES" w:eastAsia="es-ES"/>
        </w:rPr>
        <w:tab/>
        <w:t xml:space="preserve">El Contratista debe realizar labores de mejoramiento de suelo con material selecto, debido a las características plásticas de la mayoría de los materiales. </w:t>
      </w:r>
    </w:p>
    <w:p w14:paraId="1E582FC3"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c)</w:t>
      </w:r>
      <w:r w:rsidRPr="003B68DB">
        <w:rPr>
          <w:rFonts w:ascii="Arial" w:hAnsi="Arial"/>
          <w:szCs w:val="24"/>
          <w:lang w:val="es-ES" w:eastAsia="es-ES"/>
        </w:rPr>
        <w:tab/>
        <w:t>El Contratista debe usar material selecto, con capacidad de carga mayor a 2.5 kg/cm2 (35 psi), en todos los casos, para mejorar las características mecánicas, las que deben ser determinadas basadas en su peso.</w:t>
      </w:r>
    </w:p>
    <w:p w14:paraId="382D10DA"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d)</w:t>
      </w:r>
      <w:r w:rsidRPr="003B68DB">
        <w:rPr>
          <w:rFonts w:ascii="Arial" w:hAnsi="Arial"/>
          <w:szCs w:val="24"/>
          <w:lang w:val="es-ES" w:eastAsia="es-ES"/>
        </w:rPr>
        <w:tab/>
        <w:t>El Contratista debe cumplir con los requerimientos de resistencia del material selecto, establecido por las condiciones estructurales requeridas para las fundaciones proyectadas.</w:t>
      </w:r>
    </w:p>
    <w:p w14:paraId="33EC50D7"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w:t>
      </w:r>
      <w:r w:rsidRPr="003B68DB">
        <w:rPr>
          <w:rFonts w:ascii="Arial" w:hAnsi="Arial"/>
          <w:szCs w:val="24"/>
          <w:lang w:val="es-ES" w:eastAsia="es-ES"/>
        </w:rPr>
        <w:tab/>
        <w:t>El Contratista debe garantizar la cimentación del tanque de almacenamiento, sobre el suelo estabilizado y compactado por medio de una platea de cimentación flexible confinada por (un anillo) una viga perimetral de concreto reforzado, que transmitan una presión uniforme que no exceda 2.0 kg/cm2. Esto garantiza la estabilidad de la estructura tanto por capacidad de carga del terreno como por asentamiento. La profundidad del desplante debe ser de 1.00 m.</w:t>
      </w:r>
    </w:p>
    <w:p w14:paraId="0BE6133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f)</w:t>
      </w:r>
      <w:r w:rsidRPr="003B68DB">
        <w:rPr>
          <w:rFonts w:ascii="Arial" w:hAnsi="Arial"/>
          <w:szCs w:val="24"/>
          <w:lang w:val="es-ES" w:eastAsia="es-ES"/>
        </w:rPr>
        <w:tab/>
        <w:t>El Contratista debe mejorar el sub suelo evitando que la fundación se apoye directamente sobre estratos arcillosos con IP&gt;7 con lo que garantiza, cimientos apoyados sobre un material resistente y firme.</w:t>
      </w:r>
    </w:p>
    <w:p w14:paraId="147ACC11"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g)</w:t>
      </w:r>
      <w:r w:rsidRPr="003B68DB">
        <w:rPr>
          <w:rFonts w:ascii="Arial" w:hAnsi="Arial"/>
          <w:szCs w:val="24"/>
          <w:lang w:val="es-ES" w:eastAsia="es-ES"/>
        </w:rPr>
        <w:tab/>
        <w:t>El Contratista debe colocar el material de relleno en capas cuyo espesor suelto no exceda de 20 centímetros y cada capa debe compactarse hasta alcanzar el 95% mínimo de su densidad máxima. El relleno colocado capa por capa debe elevarse hasta alcanzar la superficie del terreno</w:t>
      </w:r>
    </w:p>
    <w:p w14:paraId="45F3616C"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lastRenderedPageBreak/>
        <w:t>h)</w:t>
      </w:r>
      <w:r w:rsidRPr="003B68DB">
        <w:rPr>
          <w:rFonts w:ascii="Arial" w:hAnsi="Arial"/>
          <w:szCs w:val="24"/>
          <w:lang w:val="es-ES" w:eastAsia="es-ES"/>
        </w:rPr>
        <w:tab/>
        <w:t>El Contratista debe reemplazar el suelo existente debajo de donde es proyectada la fundación, y sustituirlo por material selecto.</w:t>
      </w:r>
    </w:p>
    <w:p w14:paraId="24ED3D62"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i)</w:t>
      </w:r>
      <w:r w:rsidRPr="003B68DB">
        <w:rPr>
          <w:rFonts w:ascii="Arial" w:hAnsi="Arial"/>
          <w:szCs w:val="24"/>
          <w:lang w:val="es-ES" w:eastAsia="es-ES"/>
        </w:rPr>
        <w:tab/>
        <w:t>El Contratista debe llenar el tanque con agua clara para:</w:t>
      </w:r>
    </w:p>
    <w:p w14:paraId="3C58A794"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i)</w:t>
      </w:r>
      <w:r w:rsidRPr="003B68DB">
        <w:rPr>
          <w:rFonts w:ascii="Arial" w:hAnsi="Arial"/>
          <w:szCs w:val="24"/>
          <w:lang w:val="es-ES" w:eastAsia="es-ES"/>
        </w:rPr>
        <w:tab/>
        <w:t>Realizar prueba de estanqueidad que permita garantizar la impermeabilidad de las paredes y conexiones.</w:t>
      </w:r>
    </w:p>
    <w:p w14:paraId="30219D7A"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ii)</w:t>
      </w:r>
      <w:r w:rsidRPr="003B68DB">
        <w:rPr>
          <w:rFonts w:ascii="Arial" w:hAnsi="Arial"/>
          <w:szCs w:val="24"/>
          <w:lang w:val="es-ES" w:eastAsia="es-ES"/>
        </w:rPr>
        <w:tab/>
        <w:t>Mantenerlo lleno, durante 7 días. En este período permitir se produzcan asentamientos menores y la estabilización definitiva del suelo. Después de transcurridos los 7 días, proceder a realizar las conexiones definitivas de tuberías, válvulas y accesorios.</w:t>
      </w:r>
    </w:p>
    <w:p w14:paraId="14A31A74"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j)</w:t>
      </w:r>
      <w:r w:rsidRPr="003B68DB">
        <w:rPr>
          <w:rFonts w:ascii="Arial" w:hAnsi="Arial"/>
          <w:szCs w:val="24"/>
          <w:lang w:val="es-ES" w:eastAsia="es-ES"/>
        </w:rPr>
        <w:tab/>
        <w:t>El Contratista debe utilizar para rellenos sobre las fundaciones, hasta el nivel de terreno natural, material de préstamo con Límite Líquido máximo de 35%, Índice de Plasticidad máximo de 6%, y sus partículas deben pasar 100% el tamiz de 2", de 35 a 65% el tamiz N°4 y de 5 a 15% el tamiz N°200. El material debe ser compactado en capas con espesor mínimo de 20 centímetros a un mínimo de 95% Próctor Estándar (ASTM D698).</w:t>
      </w:r>
    </w:p>
    <w:p w14:paraId="503A9268"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k)</w:t>
      </w:r>
      <w:r w:rsidRPr="003B68DB">
        <w:rPr>
          <w:rFonts w:ascii="Arial" w:hAnsi="Arial"/>
          <w:szCs w:val="24"/>
          <w:lang w:val="es-ES" w:eastAsia="es-ES"/>
        </w:rPr>
        <w:tab/>
        <w:t>El Contratista debe compactar a un mínimo de 95% Próctor Estándar, los fondos de las excavaciones antes de colocar la fundación, para garantizar superficies uniformes y firmes.</w:t>
      </w:r>
    </w:p>
    <w:p w14:paraId="720F7772"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l)</w:t>
      </w:r>
      <w:r w:rsidRPr="003B68DB">
        <w:rPr>
          <w:rFonts w:ascii="Arial" w:hAnsi="Arial"/>
          <w:szCs w:val="24"/>
          <w:lang w:val="es-ES" w:eastAsia="es-ES"/>
        </w:rPr>
        <w:tab/>
        <w:t>El Contratista debe verificar que el área excavada esté libre de materia orgánica u algún otro material indeseable que llegue a causar inestabilidad en la estructura.</w:t>
      </w:r>
    </w:p>
    <w:p w14:paraId="56663E2F"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m)</w:t>
      </w:r>
      <w:r w:rsidRPr="003B68DB">
        <w:rPr>
          <w:rFonts w:ascii="Arial" w:hAnsi="Arial"/>
          <w:szCs w:val="24"/>
          <w:lang w:val="es-ES" w:eastAsia="es-ES"/>
        </w:rPr>
        <w:tab/>
        <w:t>El Contratista no debe mezclar material contaminado. Este debe ser retirado y depositado fuera del área de trabajo, durante las operaciones preliminares de limpieza.</w:t>
      </w:r>
    </w:p>
    <w:p w14:paraId="2B6C6EF6"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n)</w:t>
      </w:r>
      <w:r w:rsidRPr="003B68DB">
        <w:rPr>
          <w:rFonts w:ascii="Arial" w:hAnsi="Arial"/>
          <w:szCs w:val="24"/>
          <w:lang w:val="es-ES" w:eastAsia="es-ES"/>
        </w:rPr>
        <w:tab/>
        <w:t>El Contratista debe prevenir exposición de las excavaciones por más de 7 días. Estas no deben permanecer abiertas, sin avance en la obra, para minimizar posibles problemas por intemperismo y reacción elástica del suelo.</w:t>
      </w:r>
    </w:p>
    <w:p w14:paraId="79E99DB1"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o)</w:t>
      </w:r>
      <w:r w:rsidRPr="003B68DB">
        <w:rPr>
          <w:rFonts w:ascii="Arial" w:hAnsi="Arial"/>
          <w:szCs w:val="24"/>
          <w:lang w:val="es-ES" w:eastAsia="es-ES"/>
        </w:rPr>
        <w:tab/>
        <w:t>El Contratista debe someter a la inspección del Supervisor de la Obra, el espesor del suelo de desplante, quién debe autorizar o modificar la profundidad de apoyo de la zapata, considerando que, en ningún caso se debe permitir el desplante en suelos arcillosos, deleznables o en estado suelto.</w:t>
      </w:r>
    </w:p>
    <w:p w14:paraId="125396B3" w14:textId="77777777" w:rsidR="003B68DB" w:rsidRPr="003B68DB" w:rsidRDefault="003B68DB" w:rsidP="003B68DB">
      <w:pPr>
        <w:rPr>
          <w:rFonts w:ascii="Arial" w:hAnsi="Arial" w:cs="Arial"/>
          <w:szCs w:val="24"/>
          <w:lang w:val="es-ES" w:eastAsia="es-ES"/>
        </w:rPr>
      </w:pPr>
    </w:p>
    <w:p w14:paraId="2BC90D32"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41" w:name="_Toc22391657"/>
      <w:bookmarkStart w:id="1742" w:name="_Toc22653983"/>
      <w:r w:rsidRPr="00181F97">
        <w:rPr>
          <w:rFonts w:ascii="Arial" w:eastAsia="Arial Narrow" w:hAnsi="Arial" w:cs="Arial"/>
          <w:b/>
          <w:bCs/>
          <w:iCs/>
          <w:szCs w:val="24"/>
          <w:lang w:val="es-NI"/>
        </w:rPr>
        <w:t>Otro tipo de obras</w:t>
      </w:r>
      <w:bookmarkEnd w:id="1741"/>
      <w:bookmarkEnd w:id="1742"/>
    </w:p>
    <w:p w14:paraId="5B0C0B88" w14:textId="77777777" w:rsidR="003B68DB" w:rsidRPr="003B68DB" w:rsidRDefault="003B68DB" w:rsidP="003B68DB">
      <w:pPr>
        <w:rPr>
          <w:rFonts w:ascii="Arial" w:hAnsi="Arial" w:cs="Arial"/>
          <w:szCs w:val="24"/>
          <w:lang w:val="es-ES" w:eastAsia="es-ES"/>
        </w:rPr>
      </w:pPr>
    </w:p>
    <w:p w14:paraId="78234E79"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43" w:name="_Toc22653984"/>
      <w:r w:rsidRPr="003B68DB">
        <w:rPr>
          <w:rFonts w:ascii="Arial" w:eastAsia="Arial Narrow" w:hAnsi="Arial" w:cs="Arial"/>
          <w:b/>
          <w:bCs/>
          <w:iCs/>
          <w:szCs w:val="22"/>
          <w:lang w:val="es-ES" w:bidi="en-US"/>
        </w:rPr>
        <w:t>Canales de drenaje, anden perimetral, caja protectora de válvulas y cobertizo</w:t>
      </w:r>
      <w:bookmarkEnd w:id="1743"/>
    </w:p>
    <w:p w14:paraId="7D8671A3" w14:textId="77777777" w:rsidR="003B68DB" w:rsidRPr="003B68DB" w:rsidRDefault="003B68DB" w:rsidP="003B68DB">
      <w:pPr>
        <w:rPr>
          <w:rFonts w:ascii="Arial" w:hAnsi="Arial" w:cs="Arial"/>
          <w:szCs w:val="24"/>
          <w:lang w:val="es-ES" w:eastAsia="es-ES"/>
        </w:rPr>
      </w:pPr>
    </w:p>
    <w:p w14:paraId="29C279D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trabajo a ejecutarse bajo este rubro comprende el suministro de equipos, herramientas, mano de obra, transporte y materiales de construcción y agregados necesarios para llevar a cabo </w:t>
      </w:r>
      <w:r w:rsidRPr="003B68DB">
        <w:rPr>
          <w:rFonts w:ascii="Arial" w:hAnsi="Arial" w:cs="Arial"/>
          <w:i/>
          <w:szCs w:val="24"/>
          <w:lang w:val="es-ES" w:eastAsia="es-ES"/>
        </w:rPr>
        <w:t>las obras</w:t>
      </w:r>
      <w:r w:rsidRPr="003B68DB">
        <w:rPr>
          <w:rFonts w:ascii="Arial" w:hAnsi="Arial" w:cs="Arial"/>
          <w:szCs w:val="24"/>
          <w:lang w:val="es-ES" w:eastAsia="es-ES"/>
        </w:rPr>
        <w:t xml:space="preserve"> en el sitio y dimensiones indicadas en los planos y de acuerdo con lo estipulado en estas especificaciones. Los costos de esta operación son asumidos por El Contratista.</w:t>
      </w:r>
    </w:p>
    <w:p w14:paraId="24C82DA8" w14:textId="77777777" w:rsidR="003B68DB" w:rsidRPr="003B68DB" w:rsidRDefault="003B68DB" w:rsidP="003B68DB">
      <w:pPr>
        <w:rPr>
          <w:rFonts w:ascii="Arial" w:hAnsi="Arial"/>
          <w:szCs w:val="24"/>
          <w:highlight w:val="cyan"/>
          <w:lang w:val="es-ES" w:eastAsia="es-ES"/>
        </w:rPr>
      </w:pPr>
    </w:p>
    <w:p w14:paraId="2E8C3AA2" w14:textId="77777777" w:rsidR="003B68DB" w:rsidRPr="003B68DB" w:rsidRDefault="003B68DB" w:rsidP="003B68DB">
      <w:pPr>
        <w:rPr>
          <w:rFonts w:ascii="Arial" w:hAnsi="Arial"/>
          <w:i/>
          <w:szCs w:val="24"/>
          <w:highlight w:val="cyan"/>
          <w:lang w:val="es-ES" w:eastAsia="es-ES"/>
        </w:rPr>
      </w:pPr>
      <w:r w:rsidRPr="003B68DB">
        <w:rPr>
          <w:rFonts w:ascii="Arial" w:hAnsi="Arial"/>
          <w:szCs w:val="24"/>
          <w:lang w:val="es-ES" w:eastAsia="es-ES"/>
        </w:rPr>
        <w:t xml:space="preserve">El contratista debe </w:t>
      </w:r>
      <w:r w:rsidRPr="003B68DB">
        <w:rPr>
          <w:rFonts w:ascii="Arial" w:hAnsi="Arial"/>
          <w:i/>
          <w:szCs w:val="24"/>
          <w:lang w:val="es-ES" w:eastAsia="es-ES"/>
        </w:rPr>
        <w:t>Construir cobertizo sin forro de paredes sobre losa tapa del tanque para proteger dosificador de cloro. Estructura de cobertizo es metálica de tubo de HG, diám. nominal 50 mm (2 pulg) y platina de 4"x4"x1/4" para fijación en la base.</w:t>
      </w:r>
    </w:p>
    <w:p w14:paraId="54B21FF5" w14:textId="77777777" w:rsidR="003B68DB" w:rsidRPr="003B68DB" w:rsidRDefault="003B68DB" w:rsidP="003B68DB">
      <w:pPr>
        <w:rPr>
          <w:rFonts w:ascii="Arial" w:hAnsi="Arial"/>
          <w:szCs w:val="24"/>
          <w:highlight w:val="cyan"/>
          <w:lang w:val="es-ES" w:eastAsia="es-ES"/>
        </w:rPr>
      </w:pPr>
    </w:p>
    <w:p w14:paraId="5080E24E" w14:textId="77777777" w:rsidR="003B68DB" w:rsidRPr="003B68DB" w:rsidRDefault="003B68DB" w:rsidP="003B68DB">
      <w:pPr>
        <w:rPr>
          <w:rFonts w:ascii="Arial" w:hAnsi="Arial"/>
          <w:i/>
          <w:szCs w:val="24"/>
          <w:lang w:val="es-ES" w:eastAsia="es-ES"/>
        </w:rPr>
      </w:pPr>
      <w:r w:rsidRPr="003B68DB">
        <w:rPr>
          <w:rFonts w:ascii="Arial" w:hAnsi="Arial"/>
          <w:i/>
          <w:szCs w:val="24"/>
          <w:lang w:val="es-ES" w:eastAsia="es-ES"/>
        </w:rPr>
        <w:lastRenderedPageBreak/>
        <w:t xml:space="preserve">La estructura metálica del cobertizo posee 4 columnas de Acero A-36 sobre pedestal de concreto de 210 kg/cm2 (3000 psi) c/u, de 0.25 m x 0.25 m, refuerzo 4 de varilla # 4, estribos de varilla # 2. </w:t>
      </w:r>
    </w:p>
    <w:p w14:paraId="7B769E2D" w14:textId="77777777" w:rsidR="003B68DB" w:rsidRPr="003B68DB" w:rsidRDefault="003B68DB" w:rsidP="003B68DB">
      <w:pPr>
        <w:rPr>
          <w:rFonts w:ascii="Arial" w:hAnsi="Arial"/>
          <w:i/>
          <w:szCs w:val="24"/>
          <w:lang w:val="es-ES" w:eastAsia="es-ES"/>
        </w:rPr>
      </w:pPr>
      <w:r w:rsidRPr="003B68DB">
        <w:rPr>
          <w:rFonts w:ascii="Arial" w:hAnsi="Arial"/>
          <w:i/>
          <w:szCs w:val="24"/>
          <w:lang w:val="es-ES" w:eastAsia="es-ES"/>
        </w:rPr>
        <w:t>La estructura del techo es metálica con perlin de 1"x3" con 2 manos de pintura y cubierta de 1.44 m2 de lámina de zinc ondulado cal. 26.</w:t>
      </w:r>
    </w:p>
    <w:p w14:paraId="109F2E5E" w14:textId="77777777" w:rsidR="003B68DB" w:rsidRPr="003B68DB" w:rsidRDefault="003B68DB" w:rsidP="003B68DB">
      <w:pPr>
        <w:rPr>
          <w:rFonts w:ascii="Arial" w:hAnsi="Arial"/>
          <w:i/>
          <w:szCs w:val="24"/>
          <w:lang w:val="es-ES" w:eastAsia="es-ES"/>
        </w:rPr>
      </w:pPr>
    </w:p>
    <w:p w14:paraId="45C2961A"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contratista debe pintar con pintura anticorrosiva las superficies metálicas, incluye dos manos.</w:t>
      </w:r>
    </w:p>
    <w:p w14:paraId="55054800" w14:textId="77777777" w:rsidR="003B68DB" w:rsidRPr="003B68DB" w:rsidRDefault="003B68DB" w:rsidP="003B68DB">
      <w:pPr>
        <w:rPr>
          <w:rFonts w:ascii="Arial" w:hAnsi="Arial"/>
          <w:szCs w:val="24"/>
          <w:highlight w:val="cyan"/>
          <w:lang w:val="es-ES" w:eastAsia="es-ES"/>
        </w:rPr>
      </w:pPr>
    </w:p>
    <w:p w14:paraId="46A7F8B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debe construir canal de drenaje pluvial de forma rectangular de concreto de 2,500 psi, refuerzo # 3 @ 0.12 m en ambas direcciones, ancho = 0.15 m, alto = 0.20 m, espesor = 0.15 m (incluye excavación) Sin acabados. L = 8.80 m</w:t>
      </w:r>
    </w:p>
    <w:p w14:paraId="34FCB68E" w14:textId="77777777" w:rsidR="003B68DB" w:rsidRPr="003B68DB" w:rsidRDefault="003B68DB" w:rsidP="003B68DB">
      <w:pPr>
        <w:rPr>
          <w:rFonts w:ascii="Arial" w:hAnsi="Arial" w:cs="Arial"/>
          <w:szCs w:val="24"/>
          <w:lang w:val="es-ES" w:eastAsia="es-ES"/>
        </w:rPr>
      </w:pPr>
    </w:p>
    <w:p w14:paraId="5DF4430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Construir anden perimetral de concreto (con mezcladora) espesor= 0.10m ref. #3 a cada 0.25 m en ambas direcciones al pie del tanque.</w:t>
      </w:r>
    </w:p>
    <w:p w14:paraId="7EBC040F" w14:textId="77777777" w:rsidR="003B68DB" w:rsidRPr="003B68DB" w:rsidRDefault="003B68DB" w:rsidP="003B68DB">
      <w:pPr>
        <w:rPr>
          <w:rFonts w:ascii="Arial" w:hAnsi="Arial" w:cs="Arial"/>
          <w:szCs w:val="24"/>
          <w:lang w:val="es-ES" w:eastAsia="es-ES"/>
        </w:rPr>
      </w:pPr>
    </w:p>
    <w:p w14:paraId="0DF4AD3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debe construir anden para acceso de concreto de 2,500 psi sin refuerzo. Espesor=0.075m. Ancho: 3.0m, largo: 10.0 m</w:t>
      </w:r>
    </w:p>
    <w:p w14:paraId="7EA5AA89" w14:textId="77777777" w:rsidR="003B68DB" w:rsidRPr="003B68DB" w:rsidRDefault="003B68DB" w:rsidP="003B68DB">
      <w:pPr>
        <w:rPr>
          <w:rFonts w:ascii="Arial" w:hAnsi="Arial" w:cs="Arial"/>
          <w:szCs w:val="24"/>
          <w:lang w:val="es-ES" w:eastAsia="es-ES"/>
        </w:rPr>
      </w:pPr>
    </w:p>
    <w:p w14:paraId="348C334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44" w:name="_Toc22391659"/>
      <w:bookmarkStart w:id="1745" w:name="_Toc22653985"/>
      <w:r w:rsidRPr="003B68DB">
        <w:rPr>
          <w:rFonts w:ascii="Arial" w:eastAsia="Arial Narrow" w:hAnsi="Arial" w:cs="Arial"/>
          <w:b/>
          <w:bCs/>
          <w:iCs/>
          <w:szCs w:val="22"/>
          <w:lang w:val="es-ES" w:bidi="en-US"/>
        </w:rPr>
        <w:t>Conexiones de tuberías y accesorios del tanque de almacenamiento</w:t>
      </w:r>
      <w:bookmarkEnd w:id="1744"/>
      <w:bookmarkEnd w:id="1745"/>
    </w:p>
    <w:p w14:paraId="0197AE52" w14:textId="77777777" w:rsidR="003B68DB" w:rsidRPr="003B68DB" w:rsidRDefault="003B68DB" w:rsidP="003B68DB">
      <w:pPr>
        <w:rPr>
          <w:rFonts w:ascii="Arial" w:hAnsi="Arial" w:cs="Arial"/>
          <w:b/>
          <w:szCs w:val="24"/>
          <w:lang w:val="es-ES" w:eastAsia="es-ES"/>
        </w:rPr>
      </w:pPr>
    </w:p>
    <w:p w14:paraId="33072182" w14:textId="77777777" w:rsidR="003B68DB" w:rsidRPr="003B68DB" w:rsidRDefault="003B68DB" w:rsidP="003B68DB">
      <w:pPr>
        <w:numPr>
          <w:ilvl w:val="0"/>
          <w:numId w:val="163"/>
        </w:numPr>
        <w:contextualSpacing/>
        <w:rPr>
          <w:rFonts w:ascii="Arial" w:hAnsi="Arial" w:cs="Arial"/>
          <w:b/>
          <w:szCs w:val="24"/>
          <w:lang w:val="es-ES" w:eastAsia="es-ES"/>
        </w:rPr>
      </w:pPr>
      <w:r w:rsidRPr="003B68DB">
        <w:rPr>
          <w:rFonts w:ascii="Arial" w:hAnsi="Arial" w:cs="Arial"/>
          <w:b/>
          <w:szCs w:val="24"/>
          <w:lang w:val="es-ES" w:eastAsia="es-ES"/>
        </w:rPr>
        <w:t xml:space="preserve">Tuberías. </w:t>
      </w:r>
    </w:p>
    <w:p w14:paraId="339D4807" w14:textId="77777777" w:rsidR="003B68DB" w:rsidRPr="003B68DB" w:rsidRDefault="003B68DB" w:rsidP="003B68DB">
      <w:pPr>
        <w:ind w:left="1065"/>
        <w:rPr>
          <w:rFonts w:ascii="Arial" w:hAnsi="Arial" w:cs="Arial"/>
          <w:szCs w:val="24"/>
          <w:lang w:val="es-ES" w:eastAsia="es-ES"/>
        </w:rPr>
      </w:pPr>
    </w:p>
    <w:p w14:paraId="33E104A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Las tuberías de HG son del tipo Standard (cédula 40) y deben ajustarse a las especificaciones ASTM-120-65 y que cumpla con el proceso de Galvanización de acuerdo a la especificación ASTM A-90-39. </w:t>
      </w:r>
    </w:p>
    <w:p w14:paraId="5A7D5805" w14:textId="77777777" w:rsidR="003B68DB" w:rsidRPr="003B68DB" w:rsidRDefault="003B68DB" w:rsidP="003B68DB">
      <w:pPr>
        <w:rPr>
          <w:rFonts w:ascii="Arial" w:hAnsi="Arial" w:cs="Arial"/>
          <w:szCs w:val="24"/>
          <w:lang w:val="es-ES" w:eastAsia="es-ES"/>
        </w:rPr>
      </w:pPr>
    </w:p>
    <w:p w14:paraId="15A6A0FB" w14:textId="77777777" w:rsidR="003B68DB" w:rsidRPr="003B68DB" w:rsidRDefault="003B68DB" w:rsidP="003B68DB">
      <w:pPr>
        <w:numPr>
          <w:ilvl w:val="0"/>
          <w:numId w:val="163"/>
        </w:numPr>
        <w:contextualSpacing/>
        <w:rPr>
          <w:rFonts w:ascii="Arial" w:hAnsi="Arial" w:cs="Arial"/>
          <w:b/>
          <w:szCs w:val="24"/>
          <w:lang w:val="es-ES" w:eastAsia="es-ES"/>
        </w:rPr>
      </w:pPr>
      <w:r w:rsidRPr="003B68DB">
        <w:rPr>
          <w:rFonts w:ascii="Arial" w:hAnsi="Arial" w:cs="Arial"/>
          <w:b/>
          <w:szCs w:val="24"/>
          <w:lang w:val="es-ES" w:eastAsia="es-ES"/>
        </w:rPr>
        <w:t xml:space="preserve">Accesorios. </w:t>
      </w:r>
    </w:p>
    <w:p w14:paraId="347A8138" w14:textId="77777777" w:rsidR="003B68DB" w:rsidRPr="003B68DB" w:rsidRDefault="003B68DB" w:rsidP="003B68DB">
      <w:pPr>
        <w:ind w:left="360"/>
        <w:rPr>
          <w:rFonts w:ascii="Arial" w:hAnsi="Arial" w:cs="Arial"/>
          <w:szCs w:val="24"/>
          <w:lang w:val="es-ES" w:eastAsia="es-ES"/>
        </w:rPr>
      </w:pPr>
    </w:p>
    <w:p w14:paraId="5ABC187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Los accesorios de hierro galvanizado deben ajustarse a las especificaciones ASTM, tienen rosca hembra del tipo Iron Pipe (I.P) y deben ser diseñados para acoplarse a la tubería de HF y PVC a ser suministrada. Las tuberías y los accesorios, deben de cumplir con El Certificado de Calidad ISO-9001. </w:t>
      </w:r>
    </w:p>
    <w:p w14:paraId="7D043066" w14:textId="77777777" w:rsidR="003B68DB" w:rsidRPr="003B68DB" w:rsidRDefault="003B68DB" w:rsidP="003B68DB">
      <w:pPr>
        <w:rPr>
          <w:rFonts w:ascii="Arial" w:hAnsi="Arial" w:cs="Arial"/>
          <w:szCs w:val="24"/>
          <w:lang w:val="es-ES" w:eastAsia="es-ES"/>
        </w:rPr>
      </w:pPr>
    </w:p>
    <w:p w14:paraId="24C1B3B7"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46" w:name="_Toc22391660"/>
      <w:bookmarkStart w:id="1747" w:name="_Toc22653986"/>
      <w:r w:rsidRPr="003B68DB">
        <w:rPr>
          <w:rFonts w:ascii="Arial" w:eastAsia="Arial Narrow" w:hAnsi="Arial" w:cs="Arial"/>
          <w:b/>
          <w:bCs/>
          <w:iCs/>
          <w:szCs w:val="22"/>
          <w:lang w:val="es-ES" w:bidi="en-US"/>
        </w:rPr>
        <w:t>Pruebas hidráulicas en tanque de almacenamiento</w:t>
      </w:r>
      <w:bookmarkEnd w:id="1746"/>
      <w:bookmarkEnd w:id="1747"/>
    </w:p>
    <w:p w14:paraId="3618344B" w14:textId="77777777" w:rsidR="003B68DB" w:rsidRPr="003B68DB" w:rsidRDefault="003B68DB" w:rsidP="003B68DB">
      <w:pPr>
        <w:rPr>
          <w:rFonts w:ascii="Arial" w:hAnsi="Arial" w:cs="Arial"/>
          <w:szCs w:val="24"/>
          <w:lang w:val="es-ES" w:eastAsia="es-ES"/>
        </w:rPr>
      </w:pPr>
    </w:p>
    <w:p w14:paraId="599AFFA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La estructura que se construya debe ser impermeable, independientemente de su condición de enterrado, semienterrado o superficial, para ello se debe realizar pruebas de estanqueidad a las estructuras, para lo cual se recomienda el siguiente procedimiento: </w:t>
      </w:r>
    </w:p>
    <w:p w14:paraId="2A4EA4C7" w14:textId="77777777" w:rsidR="003B68DB" w:rsidRPr="003B68DB" w:rsidRDefault="003B68DB" w:rsidP="003B68DB">
      <w:pPr>
        <w:rPr>
          <w:rFonts w:ascii="Arial" w:hAnsi="Arial" w:cs="Arial"/>
          <w:szCs w:val="24"/>
          <w:lang w:val="es-ES" w:eastAsia="es-ES"/>
        </w:rPr>
      </w:pPr>
    </w:p>
    <w:p w14:paraId="26142A7B" w14:textId="77777777" w:rsidR="003B68DB" w:rsidRPr="003B68DB" w:rsidRDefault="003B68DB" w:rsidP="003B68DB">
      <w:pPr>
        <w:rPr>
          <w:rFonts w:ascii="Arial" w:hAnsi="Arial" w:cs="Arial"/>
          <w:szCs w:val="24"/>
          <w:lang w:val="es-ES" w:eastAsia="es-ES"/>
        </w:rPr>
      </w:pPr>
      <w:r w:rsidRPr="003B68DB">
        <w:rPr>
          <w:rFonts w:ascii="Arial" w:eastAsia="Calibri" w:hAnsi="Arial" w:cs="Arial"/>
          <w:szCs w:val="24"/>
          <w:lang w:val="es-ES"/>
        </w:rPr>
        <w:t>Antes de proceder al enlucido interior, la estructura es sometida a la prueba hidráulica para constatar su impermeabilidad, para ello es llenada con agua hasta su nivel máximo y m</w:t>
      </w:r>
      <w:r w:rsidRPr="003B68DB">
        <w:rPr>
          <w:rFonts w:ascii="Arial" w:hAnsi="Arial" w:cs="Arial"/>
          <w:szCs w:val="24"/>
          <w:lang w:val="es-ES" w:eastAsia="es-ES"/>
        </w:rPr>
        <w:t xml:space="preserve">antenerlo lleno durante 7 días. En este período permitir se produzcan asentamientos menores y la estabilización definitiva del suelo. </w:t>
      </w:r>
    </w:p>
    <w:p w14:paraId="6EAE6F65" w14:textId="77777777" w:rsidR="003B68DB" w:rsidRPr="003B68DB" w:rsidRDefault="003B68DB" w:rsidP="003B68DB">
      <w:pPr>
        <w:rPr>
          <w:rFonts w:ascii="Arial" w:hAnsi="Arial" w:cs="Arial"/>
          <w:szCs w:val="24"/>
          <w:lang w:val="es-ES" w:eastAsia="es-ES"/>
        </w:rPr>
      </w:pPr>
    </w:p>
    <w:p w14:paraId="34F4772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 xml:space="preserve">Después de transcurridos los 7 días, </w:t>
      </w:r>
      <w:r w:rsidRPr="003B68DB">
        <w:rPr>
          <w:rFonts w:ascii="Arial" w:eastAsia="Calibri" w:hAnsi="Arial" w:cs="Arial"/>
          <w:szCs w:val="24"/>
          <w:lang w:val="es-ES"/>
        </w:rPr>
        <w:t>en caso que no se presenten filtraciones se ordena descargarlo y enlucirlo. El enlucido no aplica a los tanques de polietileno.</w:t>
      </w:r>
      <w:r w:rsidRPr="003B68DB">
        <w:rPr>
          <w:rFonts w:ascii="Arial" w:hAnsi="Arial" w:cs="Arial"/>
          <w:szCs w:val="24"/>
          <w:lang w:val="es-ES" w:eastAsia="es-ES"/>
        </w:rPr>
        <w:t xml:space="preserve"> Finalmente proceder a realizar las conexiones definitivas de tuberías, válvulas y accesorios.</w:t>
      </w:r>
    </w:p>
    <w:p w14:paraId="218C81AB" w14:textId="77777777" w:rsidR="003B68DB" w:rsidRPr="003B68DB" w:rsidRDefault="003B68DB" w:rsidP="003B68DB">
      <w:pPr>
        <w:rPr>
          <w:rFonts w:ascii="Arial" w:hAnsi="Arial" w:cs="Arial"/>
          <w:szCs w:val="24"/>
          <w:lang w:val="es-ES" w:eastAsia="es-ES"/>
        </w:rPr>
      </w:pPr>
    </w:p>
    <w:p w14:paraId="265736D1" w14:textId="77777777" w:rsidR="003B68DB" w:rsidRPr="003B68DB" w:rsidRDefault="003B68DB" w:rsidP="003B68DB">
      <w:pPr>
        <w:contextualSpacing/>
        <w:rPr>
          <w:rFonts w:ascii="Arial" w:eastAsia="Calibri" w:hAnsi="Arial" w:cs="Arial"/>
          <w:szCs w:val="24"/>
          <w:lang w:val="es-ES"/>
        </w:rPr>
      </w:pPr>
      <w:r w:rsidRPr="003B68DB">
        <w:rPr>
          <w:rFonts w:ascii="Arial" w:eastAsia="Calibri" w:hAnsi="Arial" w:cs="Arial"/>
          <w:szCs w:val="24"/>
          <w:lang w:val="es-ES"/>
        </w:rPr>
        <w:t>En caso que la prueba no sea satisfactoria, se repite después de haber efectuado los resanes tantas veces como sea necesario para conseguir la impermeabilidad total.</w:t>
      </w:r>
    </w:p>
    <w:p w14:paraId="7ADEC484" w14:textId="77777777" w:rsidR="003B68DB" w:rsidRPr="003B68DB" w:rsidRDefault="003B68DB" w:rsidP="003B68DB">
      <w:pPr>
        <w:ind w:left="708"/>
        <w:rPr>
          <w:rFonts w:ascii="Arial" w:eastAsia="Calibri" w:hAnsi="Arial" w:cs="Arial"/>
          <w:szCs w:val="24"/>
          <w:lang w:val="es-ES"/>
        </w:rPr>
      </w:pPr>
    </w:p>
    <w:p w14:paraId="4F25FEED" w14:textId="77777777" w:rsidR="003B68DB" w:rsidRPr="003B68DB" w:rsidRDefault="003B68DB" w:rsidP="003B68DB">
      <w:pPr>
        <w:contextualSpacing/>
        <w:rPr>
          <w:rFonts w:ascii="Arial" w:eastAsia="Calibri" w:hAnsi="Arial" w:cs="Arial"/>
          <w:szCs w:val="24"/>
          <w:lang w:val="es-ES"/>
        </w:rPr>
      </w:pPr>
      <w:r w:rsidRPr="003B68DB">
        <w:rPr>
          <w:rFonts w:ascii="Arial" w:eastAsia="Calibri" w:hAnsi="Arial" w:cs="Arial"/>
          <w:szCs w:val="24"/>
          <w:lang w:val="es-ES"/>
        </w:rPr>
        <w:t>El llenado del tanque es responsabilidad del Contratista incluye los costos incurridos en esta actividad.</w:t>
      </w:r>
    </w:p>
    <w:p w14:paraId="7FB1B76A" w14:textId="77777777" w:rsidR="003B68DB" w:rsidRPr="003B68DB" w:rsidRDefault="003B68DB" w:rsidP="003B68DB">
      <w:pPr>
        <w:rPr>
          <w:rFonts w:ascii="Arial" w:hAnsi="Arial" w:cs="Arial"/>
          <w:szCs w:val="24"/>
          <w:lang w:val="es-ES" w:eastAsia="es-ES"/>
        </w:rPr>
      </w:pPr>
    </w:p>
    <w:p w14:paraId="5FD65E3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resanes se realizan picando la estructura, sin descubrir la armadura, para que pueda adherirse el concreto preparado con el aditivo aprobado por el supervisor.</w:t>
      </w:r>
    </w:p>
    <w:p w14:paraId="3DEA0009" w14:textId="77777777" w:rsidR="003B68DB" w:rsidRPr="003B68DB" w:rsidRDefault="003B68DB" w:rsidP="003B68DB">
      <w:pPr>
        <w:rPr>
          <w:rFonts w:ascii="Arial" w:hAnsi="Arial" w:cs="Arial"/>
          <w:szCs w:val="24"/>
          <w:lang w:val="es-ES" w:eastAsia="es-ES"/>
        </w:rPr>
      </w:pPr>
    </w:p>
    <w:p w14:paraId="551023BF"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48" w:name="_Toc22391661"/>
      <w:bookmarkStart w:id="1749" w:name="_Toc22653987"/>
      <w:r w:rsidRPr="003B68DB">
        <w:rPr>
          <w:rFonts w:ascii="Arial" w:eastAsia="Arial Narrow" w:hAnsi="Arial" w:cs="Arial"/>
          <w:b/>
          <w:bCs/>
          <w:iCs/>
          <w:szCs w:val="22"/>
          <w:lang w:val="es-ES" w:bidi="en-US"/>
        </w:rPr>
        <w:t>Medida y Forma de Pago</w:t>
      </w:r>
      <w:bookmarkEnd w:id="1748"/>
      <w:bookmarkEnd w:id="1749"/>
    </w:p>
    <w:p w14:paraId="6738455A" w14:textId="77777777" w:rsidR="003B68DB" w:rsidRPr="003B68DB" w:rsidRDefault="003B68DB" w:rsidP="003B68DB">
      <w:pPr>
        <w:rPr>
          <w:rFonts w:ascii="Arial" w:hAnsi="Arial" w:cs="Arial"/>
          <w:szCs w:val="24"/>
          <w:lang w:val="es-ES" w:eastAsia="es-ES"/>
        </w:rPr>
      </w:pPr>
    </w:p>
    <w:p w14:paraId="74C98E4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pago se efectúa según el rubro correspondiente al precio unitario fijado en el Formulario de Oferta. Este precio comprende todos los costos directos e indirectos por concepto de materiales, mano de obra, equipos y herramientas, para realizar el trabajo antes descrito, incluyendo todo elemento que implícitamente sea necesario para realizar el rubro conforme a los alcances, los detalles y especificaciones tanto de los documentos de esta licitación como los planos de taller avalados por el Supervisor.</w:t>
      </w:r>
    </w:p>
    <w:p w14:paraId="7363E194" w14:textId="77777777" w:rsidR="003B68DB" w:rsidRPr="003B68DB" w:rsidRDefault="003B68DB" w:rsidP="003B68DB">
      <w:pPr>
        <w:rPr>
          <w:rFonts w:ascii="Arial" w:hAnsi="Arial" w:cs="Arial"/>
          <w:szCs w:val="24"/>
          <w:lang w:val="es-ES" w:eastAsia="es-ES"/>
        </w:rPr>
      </w:pPr>
    </w:p>
    <w:p w14:paraId="59D1D5FD"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50" w:name="_Toc22391662"/>
      <w:bookmarkStart w:id="1751" w:name="_Toc22653988"/>
      <w:r w:rsidRPr="00181F97">
        <w:rPr>
          <w:rFonts w:ascii="Arial" w:eastAsia="Arial Narrow" w:hAnsi="Arial" w:cs="Arial"/>
          <w:b/>
          <w:bCs/>
          <w:iCs/>
          <w:szCs w:val="24"/>
          <w:lang w:val="es-NI"/>
        </w:rPr>
        <w:t>Cercas perimetrales y portones</w:t>
      </w:r>
      <w:bookmarkEnd w:id="1750"/>
      <w:bookmarkEnd w:id="1751"/>
    </w:p>
    <w:p w14:paraId="620B220D" w14:textId="77777777" w:rsidR="003B68DB" w:rsidRPr="003B68DB" w:rsidRDefault="003B68DB" w:rsidP="003B68DB">
      <w:pPr>
        <w:rPr>
          <w:rFonts w:ascii="Arial" w:hAnsi="Arial" w:cs="Arial"/>
          <w:szCs w:val="24"/>
          <w:lang w:val="es-ES" w:eastAsia="es-ES"/>
        </w:rPr>
      </w:pPr>
    </w:p>
    <w:p w14:paraId="6026301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trabajo a ejecutarse bajo este rubro comprende el suministro de equipo, herramientas, mano de obra, transporte y materiales necesarios para llevar a cabo la construcción e instalación de cercas perimetrales y portones, en los sitios y dimensiones indicadas en los planos y de acuerdo con lo estipulado en estas especificaciones.</w:t>
      </w:r>
    </w:p>
    <w:p w14:paraId="340F4390" w14:textId="77777777" w:rsidR="003B68DB" w:rsidRPr="003B68DB" w:rsidRDefault="003B68DB" w:rsidP="003B68DB">
      <w:pPr>
        <w:rPr>
          <w:rFonts w:ascii="Arial" w:hAnsi="Arial" w:cs="Arial"/>
          <w:szCs w:val="24"/>
          <w:lang w:val="es-ES" w:eastAsia="es-ES"/>
        </w:rPr>
      </w:pPr>
    </w:p>
    <w:p w14:paraId="489FAC0D" w14:textId="77777777" w:rsidR="003B68DB" w:rsidRPr="003B68DB" w:rsidRDefault="003B68DB" w:rsidP="003B68DB">
      <w:pPr>
        <w:rPr>
          <w:rFonts w:ascii="Arial" w:hAnsi="Arial" w:cs="Arial"/>
          <w:szCs w:val="24"/>
          <w:lang w:val="es-ES" w:eastAsia="es-ES"/>
        </w:rPr>
      </w:pPr>
      <w:r w:rsidRPr="003B68DB">
        <w:rPr>
          <w:rFonts w:ascii="Arial" w:hAnsi="Arial" w:cs="Arial"/>
          <w:i/>
          <w:szCs w:val="24"/>
          <w:lang w:val="es-ES" w:eastAsia="es-ES"/>
        </w:rPr>
        <w:t xml:space="preserve">Cerco de alambre de púas con poste de concreto pretensado, altura 2.55 m. </w:t>
      </w:r>
      <w:r w:rsidRPr="003B68DB">
        <w:rPr>
          <w:rFonts w:ascii="Arial" w:hAnsi="Arial" w:cs="Arial"/>
          <w:szCs w:val="24"/>
          <w:lang w:val="es-ES" w:eastAsia="es-ES"/>
        </w:rPr>
        <w:t>Los postes que sirven de apoyo al cerco de alambres de púas, deben estar separados no más de tres metros. Para dar estabilidad al poste se empotra en el suelo natural en base de concreto de 175 kg/cm2 (2500 psi) de 25 cm x 25 cm x 60 cm de profundidad, indicada en los planos. La longitud que el poste debe llevar fuera del suelo debe ser de 1.95 m</w:t>
      </w:r>
    </w:p>
    <w:p w14:paraId="3098462A" w14:textId="77777777" w:rsidR="003B68DB" w:rsidRPr="003B68DB" w:rsidRDefault="003B68DB" w:rsidP="003B68DB">
      <w:pPr>
        <w:rPr>
          <w:rFonts w:ascii="Arial" w:hAnsi="Arial" w:cs="Arial"/>
          <w:szCs w:val="24"/>
          <w:lang w:val="es-ES" w:eastAsia="es-ES"/>
        </w:rPr>
      </w:pPr>
    </w:p>
    <w:p w14:paraId="5CC8921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postes estan separados 2.50 m y cada 25.00 m deben llevar postes de arriostre. El alambre de púas es calibre 13 1/2 y tiene 9 hiladas separadas cada una 20 centimetros, en cada intercepcion de poste con el alambre debe llevar una amarra de alambre galvanizado.</w:t>
      </w:r>
    </w:p>
    <w:p w14:paraId="159A997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Malla ciclón. Para esta actividad deben utilizarse las herramientas de corte comunes de oxicorte o cortadora de disco y el respectivo equipo de soldadura.</w:t>
      </w:r>
    </w:p>
    <w:p w14:paraId="66FD1FEC" w14:textId="77777777" w:rsidR="003B68DB" w:rsidRPr="003B68DB" w:rsidRDefault="003B68DB" w:rsidP="003B68DB">
      <w:pPr>
        <w:rPr>
          <w:rFonts w:ascii="Arial" w:hAnsi="Arial" w:cs="Arial"/>
          <w:szCs w:val="24"/>
          <w:lang w:val="es-ES" w:eastAsia="es-ES"/>
        </w:rPr>
      </w:pPr>
    </w:p>
    <w:p w14:paraId="17BE907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La cerca esta conformada según alineación y dimensiones mostradas en los planos. El cerco de malla ciclon tiene una hilada de piedra cantera, en todo el perímetro de la cerca y portones, para apoyo de acuerdo a detalle mostrado en los planos. En algunos casos </w:t>
      </w:r>
      <w:r w:rsidRPr="003B68DB">
        <w:rPr>
          <w:rFonts w:ascii="Arial" w:hAnsi="Arial" w:cs="Arial"/>
          <w:szCs w:val="24"/>
          <w:lang w:val="es-ES" w:eastAsia="es-ES"/>
        </w:rPr>
        <w:lastRenderedPageBreak/>
        <w:t>se requiere la colocación de hiladas adicionales de piedra cantera para nivelar el cerco, por lo que el contratista debe considerar en su oferta esta posibilidad.</w:t>
      </w:r>
    </w:p>
    <w:p w14:paraId="04B88551" w14:textId="77777777" w:rsidR="003B68DB" w:rsidRPr="003B68DB" w:rsidRDefault="003B68DB" w:rsidP="003B68DB">
      <w:pPr>
        <w:rPr>
          <w:rFonts w:ascii="Arial" w:hAnsi="Arial" w:cs="Arial"/>
          <w:szCs w:val="24"/>
          <w:lang w:val="es-ES" w:eastAsia="es-ES"/>
        </w:rPr>
      </w:pPr>
    </w:p>
    <w:p w14:paraId="35DF195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columnas deben quedar perfectamente verticales y la malla bien tensa. Para evitar continuidad eléctrica, la malla es instalada en unidades independientes de 50 m de longitud. Cuando la longitud de la cerca sea menor que 50 metros su construcción debe ser continua.</w:t>
      </w:r>
    </w:p>
    <w:p w14:paraId="4ADCF3AE" w14:textId="77777777" w:rsidR="003B68DB" w:rsidRPr="003B68DB" w:rsidRDefault="003B68DB" w:rsidP="003B68DB">
      <w:pPr>
        <w:rPr>
          <w:rFonts w:ascii="Arial" w:hAnsi="Arial" w:cs="Arial"/>
          <w:szCs w:val="24"/>
          <w:lang w:val="es-ES" w:eastAsia="es-ES"/>
        </w:rPr>
      </w:pPr>
    </w:p>
    <w:p w14:paraId="197D2D7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columnas son tubos verticales de HG. Los tubos verticales y horizontales son del diametro nominal indicado en los planos.  Los tubos horizontales se unen a los verticales haciendo uso de cabezales. En las esquinas llevan arriostres de tubo del mismo diámetro nominal indicado en los planos, y cada 25.00 metros de enmallado seconstruyen arriostres del mismo tipo de tubos que forman el marco del enmallado, los tubos estan empotrados en pedestales deconcreto con las dimensione.</w:t>
      </w:r>
    </w:p>
    <w:p w14:paraId="7245B3C6" w14:textId="77777777" w:rsidR="003B68DB" w:rsidRPr="003B68DB" w:rsidRDefault="003B68DB" w:rsidP="003B68DB">
      <w:pPr>
        <w:rPr>
          <w:rFonts w:ascii="Arial" w:hAnsi="Arial" w:cs="Arial"/>
          <w:szCs w:val="24"/>
          <w:lang w:val="es-ES" w:eastAsia="es-ES"/>
        </w:rPr>
      </w:pPr>
    </w:p>
    <w:p w14:paraId="770E9DB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separación entre dos columnas extremas de dos unidades adyacentes no debe ser menor que 25 mm ni mayor que 50 mm. Tanto las columnas extremas, como las esquineras, deben ser apuntaladas en toda su altura.</w:t>
      </w:r>
    </w:p>
    <w:p w14:paraId="06C4D617" w14:textId="77777777" w:rsidR="003B68DB" w:rsidRPr="003B68DB" w:rsidRDefault="003B68DB" w:rsidP="003B68DB">
      <w:pPr>
        <w:rPr>
          <w:rFonts w:ascii="Arial" w:hAnsi="Arial" w:cs="Arial"/>
          <w:szCs w:val="24"/>
          <w:lang w:val="es-ES" w:eastAsia="es-ES"/>
        </w:rPr>
      </w:pPr>
    </w:p>
    <w:p w14:paraId="4855DFC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Todas las columnas estan separadas no más de tres metros y empotradas en el suelo en bases de concreto de 175 kg/cm2 (2500 psi) de 25 cm x 25 cm x 60 cm de profundidad, indicadas en los planos.</w:t>
      </w:r>
    </w:p>
    <w:p w14:paraId="2176FB09" w14:textId="77777777" w:rsidR="003B68DB" w:rsidRPr="003B68DB" w:rsidRDefault="003B68DB" w:rsidP="003B68DB">
      <w:pPr>
        <w:rPr>
          <w:rFonts w:ascii="Arial" w:hAnsi="Arial" w:cs="Arial"/>
          <w:szCs w:val="24"/>
          <w:lang w:val="es-ES" w:eastAsia="es-ES"/>
        </w:rPr>
      </w:pPr>
    </w:p>
    <w:p w14:paraId="6C895A0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Todo el perímetro de la cerca esta rematado con arbotantes fijados en las columnas, con una longitud de 0.60 m inclinadas a 45° hacia el interior y con cinco (5) hileras de alambre de púas N°13 separadas cada 0.12 m. Cada arbotante tiene un tapón hembra P.V.C para evitar la introducción de agua.</w:t>
      </w:r>
    </w:p>
    <w:p w14:paraId="6C4F2BCF" w14:textId="77777777" w:rsidR="003B68DB" w:rsidRPr="003B68DB" w:rsidRDefault="003B68DB" w:rsidP="003B68DB">
      <w:pPr>
        <w:rPr>
          <w:rFonts w:ascii="Arial" w:hAnsi="Arial" w:cs="Arial"/>
          <w:szCs w:val="24"/>
          <w:lang w:val="es-ES" w:eastAsia="es-ES"/>
        </w:rPr>
      </w:pPr>
    </w:p>
    <w:p w14:paraId="345094D1" w14:textId="77777777" w:rsidR="003B68DB" w:rsidRPr="003B68DB" w:rsidRDefault="003B68DB" w:rsidP="003B68DB">
      <w:pPr>
        <w:rPr>
          <w:rFonts w:ascii="Arial" w:hAnsi="Arial" w:cs="Arial"/>
          <w:i/>
          <w:color w:val="0000FF"/>
          <w:szCs w:val="24"/>
          <w:lang w:val="es-ES" w:eastAsia="es-ES"/>
        </w:rPr>
      </w:pPr>
      <w:r w:rsidRPr="003B68DB">
        <w:rPr>
          <w:rFonts w:ascii="Arial" w:hAnsi="Arial" w:cs="Arial"/>
          <w:szCs w:val="24"/>
          <w:lang w:val="es-ES" w:eastAsia="es-ES"/>
        </w:rPr>
        <w:t xml:space="preserve">En la construcción de cercas se incluye la construcción del portón de acceso con las dimensiones indicadas en los planos, y el tipo de marco indicado en los planos, arriostres, terminales y demás accesorios todos de acuerdo a las especificaciones del fabricante. </w:t>
      </w:r>
    </w:p>
    <w:p w14:paraId="1269F011" w14:textId="77777777" w:rsidR="003B68DB" w:rsidRPr="003B68DB" w:rsidRDefault="003B68DB" w:rsidP="003B68DB">
      <w:pPr>
        <w:rPr>
          <w:rFonts w:ascii="Arial" w:hAnsi="Arial" w:cs="Arial"/>
          <w:szCs w:val="24"/>
          <w:lang w:val="es-ES" w:eastAsia="es-ES"/>
        </w:rPr>
      </w:pPr>
    </w:p>
    <w:p w14:paraId="052B835D"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52" w:name="_Toc22391663"/>
      <w:bookmarkStart w:id="1753" w:name="_Toc22653989"/>
      <w:r w:rsidRPr="00181F97">
        <w:rPr>
          <w:rFonts w:ascii="Arial" w:eastAsia="Arial Narrow" w:hAnsi="Arial" w:cs="Arial"/>
          <w:b/>
          <w:bCs/>
          <w:iCs/>
          <w:szCs w:val="24"/>
          <w:lang w:val="es-NI"/>
        </w:rPr>
        <w:t>Medición y pago.</w:t>
      </w:r>
      <w:bookmarkEnd w:id="1752"/>
      <w:bookmarkEnd w:id="1753"/>
    </w:p>
    <w:p w14:paraId="715B295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costos por construcción de cercas ya sea de malla ciclón o alambre de púas incluyen el suministro de materiales, mano de obra y equipos, se paga por metro lineal de cerca construida. La construcción de portón de acceso según plano de detalles constructivos se paga por metro cuadrado.</w:t>
      </w:r>
    </w:p>
    <w:p w14:paraId="514D4B3D" w14:textId="77777777" w:rsidR="003B68DB" w:rsidRPr="003B68DB" w:rsidRDefault="003B68DB" w:rsidP="003B68DB">
      <w:pPr>
        <w:rPr>
          <w:rFonts w:ascii="Arial" w:hAnsi="Arial" w:cs="Arial"/>
          <w:szCs w:val="24"/>
          <w:lang w:val="es-ES" w:eastAsia="es-ES"/>
        </w:rPr>
      </w:pPr>
    </w:p>
    <w:p w14:paraId="1D4C4731"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s-NI"/>
        </w:rPr>
      </w:pPr>
      <w:bookmarkStart w:id="1754" w:name="_Toc22391664"/>
      <w:bookmarkStart w:id="1755" w:name="_Toc22653990"/>
      <w:r w:rsidRPr="003B68DB">
        <w:rPr>
          <w:rFonts w:ascii="Arial" w:eastAsia="Arial Narrow" w:hAnsi="Arial" w:cs="Arial"/>
          <w:b/>
          <w:bCs/>
          <w:iCs/>
          <w:szCs w:val="24"/>
          <w:lang w:val="es-NI"/>
        </w:rPr>
        <w:t>Pintura de cercas de malla ciclón</w:t>
      </w:r>
      <w:bookmarkEnd w:id="1754"/>
      <w:bookmarkEnd w:id="1755"/>
    </w:p>
    <w:p w14:paraId="1253E91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trabajo a ejecutarse bajo este rubro comprende el suministro de equipo, herramientas, mano de obra, transporte y materiales necesarios para llevar a cabo la pintura de cercas de malla ciclón. Todas las superficies incluyen la aplicación deuna capa de pintura plateada o galvanizada.</w:t>
      </w:r>
    </w:p>
    <w:p w14:paraId="3821B301" w14:textId="77777777" w:rsidR="003B68DB" w:rsidRPr="003B68DB" w:rsidRDefault="003B68DB" w:rsidP="003B68DB">
      <w:pPr>
        <w:rPr>
          <w:rFonts w:ascii="Arial" w:hAnsi="Arial" w:cs="Arial"/>
          <w:szCs w:val="24"/>
          <w:lang w:val="es-ES" w:eastAsia="es-ES"/>
        </w:rPr>
      </w:pPr>
    </w:p>
    <w:p w14:paraId="7FDD082C"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56" w:name="_Toc22391665"/>
      <w:bookmarkStart w:id="1757" w:name="_Toc22653991"/>
      <w:r w:rsidRPr="00181F97">
        <w:rPr>
          <w:rFonts w:ascii="Arial" w:eastAsia="Arial Narrow" w:hAnsi="Arial" w:cs="Arial"/>
          <w:b/>
          <w:bCs/>
          <w:iCs/>
          <w:szCs w:val="24"/>
          <w:lang w:val="es-NI"/>
        </w:rPr>
        <w:t>Medición y pago</w:t>
      </w:r>
      <w:bookmarkEnd w:id="1756"/>
      <w:bookmarkEnd w:id="1757"/>
    </w:p>
    <w:p w14:paraId="5D8F85E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costo de este concepto debe incluirse en el costo por metro lineal de cerco construido.</w:t>
      </w:r>
    </w:p>
    <w:p w14:paraId="660FF95A" w14:textId="77777777" w:rsidR="003B68DB" w:rsidRPr="003B68DB" w:rsidRDefault="003B68DB" w:rsidP="003B68DB">
      <w:pPr>
        <w:rPr>
          <w:rFonts w:ascii="Arial" w:hAnsi="Arial" w:cs="Arial"/>
          <w:szCs w:val="24"/>
          <w:lang w:val="es-ES" w:eastAsia="es-ES"/>
        </w:rPr>
      </w:pPr>
    </w:p>
    <w:p w14:paraId="0DDDF220" w14:textId="77777777" w:rsidR="003B68DB" w:rsidRPr="003B68DB" w:rsidRDefault="003B68DB" w:rsidP="003B68DB">
      <w:pPr>
        <w:rPr>
          <w:rFonts w:ascii="Arial" w:hAnsi="Arial"/>
          <w:sz w:val="22"/>
          <w:szCs w:val="22"/>
          <w:lang w:val="es-ES" w:eastAsia="es-ES"/>
        </w:rPr>
      </w:pPr>
    </w:p>
    <w:p w14:paraId="169E75D7" w14:textId="77777777" w:rsidR="003B68DB" w:rsidRPr="003B68DB" w:rsidRDefault="003B68DB" w:rsidP="003B68DB">
      <w:pPr>
        <w:keepNext/>
        <w:keepLines/>
        <w:ind w:left="432" w:hanging="432"/>
        <w:outlineLvl w:val="0"/>
        <w:rPr>
          <w:rFonts w:ascii="Arial" w:eastAsia="Arial" w:hAnsi="Arial"/>
          <w:b/>
          <w:szCs w:val="24"/>
          <w:lang w:val="es-ES" w:eastAsia="es-ES"/>
        </w:rPr>
      </w:pPr>
      <w:bookmarkStart w:id="1758" w:name="_Toc22653992"/>
      <w:bookmarkStart w:id="1759" w:name="_Toc203814783"/>
      <w:bookmarkStart w:id="1760" w:name="_Toc206575554"/>
      <w:bookmarkStart w:id="1761" w:name="_Toc256500854"/>
      <w:bookmarkStart w:id="1762" w:name="_Toc350343147"/>
      <w:bookmarkStart w:id="1763" w:name="_Toc350856304"/>
      <w:bookmarkStart w:id="1764" w:name="_Toc359853526"/>
      <w:bookmarkStart w:id="1765" w:name="_Toc363051263"/>
      <w:bookmarkStart w:id="1766" w:name="_Toc371077549"/>
      <w:bookmarkStart w:id="1767" w:name="_Toc385933886"/>
      <w:r w:rsidRPr="003B68DB">
        <w:rPr>
          <w:rFonts w:ascii="Arial" w:eastAsia="Arial" w:hAnsi="Arial"/>
          <w:b/>
          <w:szCs w:val="24"/>
          <w:lang w:val="es-ES" w:eastAsia="es-ES"/>
        </w:rPr>
        <w:t>ESPECIFICACIONES TÉCNICAS PARA CONSTRUCCIÓN DE DIQUE</w:t>
      </w:r>
      <w:bookmarkEnd w:id="1758"/>
    </w:p>
    <w:p w14:paraId="581B8621" w14:textId="77777777" w:rsidR="003B68DB" w:rsidRPr="003B68DB" w:rsidRDefault="003B68DB" w:rsidP="003B68DB">
      <w:pPr>
        <w:rPr>
          <w:rFonts w:ascii="Calibri" w:hAnsi="Calibri"/>
          <w:szCs w:val="24"/>
          <w:lang w:val="es-ES" w:eastAsia="es-ES"/>
        </w:rPr>
      </w:pPr>
    </w:p>
    <w:p w14:paraId="32F595B4"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68" w:name="_Toc22653993"/>
      <w:r w:rsidRPr="00181F97">
        <w:rPr>
          <w:rFonts w:ascii="Arial" w:eastAsia="Arial Narrow" w:hAnsi="Arial" w:cs="Arial"/>
          <w:b/>
          <w:bCs/>
          <w:iCs/>
          <w:szCs w:val="24"/>
          <w:lang w:val="es-NI"/>
        </w:rPr>
        <w:t>PRELIMINARES</w:t>
      </w:r>
      <w:bookmarkEnd w:id="1759"/>
      <w:bookmarkEnd w:id="1760"/>
      <w:bookmarkEnd w:id="1761"/>
      <w:bookmarkEnd w:id="1762"/>
      <w:bookmarkEnd w:id="1763"/>
      <w:bookmarkEnd w:id="1764"/>
      <w:bookmarkEnd w:id="1765"/>
      <w:bookmarkEnd w:id="1766"/>
      <w:bookmarkEnd w:id="1767"/>
      <w:bookmarkEnd w:id="1768"/>
      <w:r w:rsidRPr="00181F97">
        <w:rPr>
          <w:rFonts w:ascii="Arial" w:eastAsia="Arial Narrow" w:hAnsi="Arial" w:cs="Arial"/>
          <w:b/>
          <w:bCs/>
          <w:iCs/>
          <w:szCs w:val="24"/>
          <w:lang w:val="es-NI"/>
        </w:rPr>
        <w:t xml:space="preserve"> </w:t>
      </w:r>
    </w:p>
    <w:p w14:paraId="127CDB95" w14:textId="77777777" w:rsidR="003B68DB" w:rsidRPr="00181F97" w:rsidRDefault="003B68DB" w:rsidP="003B68DB">
      <w:pPr>
        <w:rPr>
          <w:rFonts w:ascii="Arial" w:hAnsi="Arial"/>
          <w:szCs w:val="24"/>
          <w:lang w:val="es-NI"/>
        </w:rPr>
      </w:pPr>
    </w:p>
    <w:p w14:paraId="5B0097A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Una vez pasada la entrega del sitio del proyecto por el ingeniero encargado del seguimiento, al contratista, este es el encargado de la limpieza inicial, trazo y nivelación, construcciones temporales (si las requiere), demoliciones (si las requiere), fabricación de obras de madera (para la ejecución de la obra), instalación de servicios temporales (si se requirieran) y otros trabajos preliminares. </w:t>
      </w:r>
    </w:p>
    <w:p w14:paraId="40C6C82C" w14:textId="77777777" w:rsidR="003B68DB" w:rsidRPr="003B68DB" w:rsidRDefault="003B68DB" w:rsidP="003B68DB">
      <w:pPr>
        <w:rPr>
          <w:rFonts w:ascii="Arial" w:hAnsi="Arial" w:cs="Arial"/>
          <w:szCs w:val="24"/>
          <w:lang w:val="es-ES" w:eastAsia="es-ES"/>
        </w:rPr>
      </w:pPr>
    </w:p>
    <w:p w14:paraId="24FA060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Esta etapa de la construcción es la que da inicio al proyecto, una vez recibido el sitio, dando además apertura al libro de bitácora. El contratista, antes de iniciar la obra, debe examinar cuidadosamente todos los trabajos adyacentes, de los cuales depende esta obra, de acuerdo a las intenciones de estas especificaciones informando por escrito al inspector de la obra cualquier condición que evite al contratista realizar un trabajo de primera calidad. </w:t>
      </w:r>
    </w:p>
    <w:p w14:paraId="26C6A778" w14:textId="77777777" w:rsidR="003B68DB" w:rsidRPr="003B68DB" w:rsidRDefault="003B68DB" w:rsidP="003B68DB">
      <w:pPr>
        <w:rPr>
          <w:rFonts w:ascii="Arial" w:hAnsi="Arial" w:cs="Arial"/>
          <w:szCs w:val="24"/>
          <w:lang w:val="es-ES" w:eastAsia="es-ES"/>
        </w:rPr>
      </w:pPr>
    </w:p>
    <w:p w14:paraId="2E136768"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se exime al contratista de ninguna responsabilidad por trabajos adyacentes incompletos o defectuosos, a menos que tales hayan sido notificados al supervisor por escrito y este los haya aceptado antes de que el contratista inicie cualquier parte de la obra.</w:t>
      </w:r>
    </w:p>
    <w:p w14:paraId="3972DF31" w14:textId="77777777" w:rsidR="003B68DB" w:rsidRPr="003B68DB" w:rsidRDefault="003B68DB" w:rsidP="003B68DB">
      <w:pPr>
        <w:rPr>
          <w:rFonts w:ascii="Arial" w:hAnsi="Arial" w:cs="Arial"/>
          <w:szCs w:val="24"/>
          <w:lang w:val="es-ES" w:eastAsia="es-ES"/>
        </w:rPr>
      </w:pPr>
    </w:p>
    <w:p w14:paraId="06E92F8C" w14:textId="77777777" w:rsidR="003B68DB" w:rsidRPr="003B68DB" w:rsidRDefault="003B68DB" w:rsidP="003B68DB">
      <w:pPr>
        <w:keepNext/>
        <w:numPr>
          <w:ilvl w:val="2"/>
          <w:numId w:val="0"/>
        </w:numPr>
        <w:ind w:left="720" w:hanging="720"/>
        <w:outlineLvl w:val="2"/>
        <w:rPr>
          <w:rFonts w:ascii="Arial" w:eastAsia="Arial Narrow" w:hAnsi="Arial" w:cs="Arial"/>
          <w:b/>
          <w:bCs/>
          <w:iCs/>
          <w:szCs w:val="24"/>
          <w:lang w:val="es-ES" w:bidi="en-US"/>
        </w:rPr>
      </w:pPr>
      <w:bookmarkStart w:id="1769" w:name="_Toc203814784"/>
      <w:bookmarkStart w:id="1770" w:name="_Toc206575555"/>
      <w:bookmarkStart w:id="1771" w:name="_Toc256500855"/>
      <w:bookmarkStart w:id="1772" w:name="_Toc22653994"/>
      <w:r w:rsidRPr="003B68DB">
        <w:rPr>
          <w:rFonts w:ascii="Arial" w:eastAsia="Arial Narrow" w:hAnsi="Arial" w:cs="Arial"/>
          <w:b/>
          <w:bCs/>
          <w:iCs/>
          <w:szCs w:val="24"/>
          <w:lang w:val="es-ES" w:bidi="en-US"/>
        </w:rPr>
        <w:t>LIMPIEZA INICIAL</w:t>
      </w:r>
      <w:bookmarkEnd w:id="1769"/>
      <w:bookmarkEnd w:id="1770"/>
      <w:bookmarkEnd w:id="1771"/>
      <w:bookmarkEnd w:id="1772"/>
    </w:p>
    <w:p w14:paraId="3AD1D20B" w14:textId="77777777" w:rsidR="003B68DB" w:rsidRPr="003B68DB" w:rsidRDefault="003B68DB" w:rsidP="003B68DB">
      <w:pPr>
        <w:rPr>
          <w:rFonts w:ascii="Arial" w:hAnsi="Arial" w:cs="Arial"/>
          <w:szCs w:val="24"/>
          <w:lang w:val="es-ES" w:eastAsia="es-ES"/>
        </w:rPr>
      </w:pPr>
    </w:p>
    <w:p w14:paraId="1E73D51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contratista debe ubicar el sitio del proyecto, los planos señalan los límites de la obra y especifican los árboles, arbustos plantas y objeto que deben conservarse. </w:t>
      </w:r>
    </w:p>
    <w:p w14:paraId="5CC21504" w14:textId="77777777" w:rsidR="003B68DB" w:rsidRPr="003B68DB" w:rsidRDefault="003B68DB" w:rsidP="003B68DB">
      <w:pPr>
        <w:rPr>
          <w:rFonts w:ascii="Arial" w:hAnsi="Arial" w:cs="Arial"/>
          <w:szCs w:val="24"/>
          <w:lang w:val="es-ES" w:eastAsia="es-ES"/>
        </w:rPr>
      </w:pPr>
    </w:p>
    <w:p w14:paraId="1CAD0F8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caso contrario deben ser indicados por el supervisor y por escrito en el libro de bitácora. Todos los objetos de la superficie y todos los árboles, troncos, raíces y fundaciones viejas de concreto, y cualquier obstrucción saliente, deben ser quitados.</w:t>
      </w:r>
    </w:p>
    <w:p w14:paraId="36385B32" w14:textId="77777777" w:rsidR="003B68DB" w:rsidRPr="003B68DB" w:rsidRDefault="003B68DB" w:rsidP="003B68DB">
      <w:pPr>
        <w:rPr>
          <w:rFonts w:ascii="Arial" w:hAnsi="Arial" w:cs="Arial"/>
          <w:szCs w:val="24"/>
          <w:lang w:val="es-ES" w:eastAsia="es-ES"/>
        </w:rPr>
      </w:pPr>
    </w:p>
    <w:p w14:paraId="2B0F61C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Todos los escombros no flamables como trozos de bloque, tejas, cubiertas de techo deben ser retirados y botados en el botadero municipal o donde el supervisor lo indique, no así trozos de materiales de asbesto cemento el que debe ser enterrado a una profundidad de 1.20 metros previamente quebrando en trozos no mayores de 25 centímetros de diámetro; en caso que el nivel de aguas sub-superficiales sea menor a 1.20 metros de profundidad, el contratista los debe enterrar en un sitio donde el manto freático sea más profundo de 1.20 metros.</w:t>
      </w:r>
    </w:p>
    <w:p w14:paraId="08262C17" w14:textId="77777777" w:rsidR="003B68DB" w:rsidRPr="003B68DB" w:rsidRDefault="003B68DB" w:rsidP="003B68DB">
      <w:pPr>
        <w:rPr>
          <w:rFonts w:ascii="Arial" w:hAnsi="Arial" w:cs="Arial"/>
          <w:szCs w:val="24"/>
          <w:lang w:val="es-ES" w:eastAsia="es-ES"/>
        </w:rPr>
      </w:pPr>
    </w:p>
    <w:p w14:paraId="3B763550"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73" w:name="_Toc385933887"/>
      <w:bookmarkStart w:id="1774" w:name="_Toc22653995"/>
      <w:r w:rsidRPr="00181F97">
        <w:rPr>
          <w:rFonts w:ascii="Arial" w:eastAsia="Arial Narrow" w:hAnsi="Arial" w:cs="Arial"/>
          <w:b/>
          <w:bCs/>
          <w:iCs/>
          <w:szCs w:val="24"/>
          <w:lang w:val="es-NI"/>
        </w:rPr>
        <w:t>EJECUCION DE DIQUE</w:t>
      </w:r>
      <w:bookmarkEnd w:id="1773"/>
      <w:bookmarkEnd w:id="1774"/>
    </w:p>
    <w:p w14:paraId="40E8186D" w14:textId="77777777" w:rsidR="003B68DB" w:rsidRPr="003B68DB" w:rsidRDefault="003B68DB" w:rsidP="003B68DB">
      <w:pPr>
        <w:rPr>
          <w:rFonts w:ascii="Arial" w:hAnsi="Arial" w:cs="Arial"/>
          <w:szCs w:val="24"/>
          <w:lang w:val="es-ES" w:eastAsia="es-ES"/>
        </w:rPr>
      </w:pPr>
    </w:p>
    <w:p w14:paraId="22FDE9B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el sitio de captación de la fuente de agua superficial, se debe construir el dique de concreto ciclópeo con las dimensiones indicada en los planos.</w:t>
      </w:r>
    </w:p>
    <w:p w14:paraId="01FAC17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Esta actividad requiere de suministro, instalación y construcción de concreto ciclópeo, concreto reforzado y accesorios.</w:t>
      </w:r>
    </w:p>
    <w:p w14:paraId="0BDD5C89" w14:textId="77777777" w:rsidR="003B68DB" w:rsidRPr="003B68DB" w:rsidRDefault="003B68DB" w:rsidP="003B68DB">
      <w:pPr>
        <w:rPr>
          <w:rFonts w:ascii="Arial" w:hAnsi="Arial" w:cs="Arial"/>
          <w:szCs w:val="24"/>
          <w:lang w:val="es-ES" w:eastAsia="es-ES"/>
        </w:rPr>
      </w:pPr>
    </w:p>
    <w:p w14:paraId="4633A6DF" w14:textId="77777777" w:rsidR="003B68DB" w:rsidRPr="003B68DB" w:rsidRDefault="003B68DB" w:rsidP="003B68DB">
      <w:pPr>
        <w:keepNext/>
        <w:numPr>
          <w:ilvl w:val="2"/>
          <w:numId w:val="0"/>
        </w:numPr>
        <w:ind w:left="720" w:hanging="720"/>
        <w:outlineLvl w:val="2"/>
        <w:rPr>
          <w:rFonts w:ascii="Arial" w:eastAsia="Arial Narrow" w:hAnsi="Arial" w:cs="Arial"/>
          <w:b/>
          <w:bCs/>
          <w:iCs/>
          <w:szCs w:val="24"/>
          <w:lang w:val="es-ES" w:bidi="en-US"/>
        </w:rPr>
      </w:pPr>
      <w:bookmarkStart w:id="1775" w:name="_Toc22653996"/>
      <w:r w:rsidRPr="003B68DB">
        <w:rPr>
          <w:rFonts w:ascii="Arial" w:eastAsia="Arial Narrow" w:hAnsi="Arial" w:cs="Arial"/>
          <w:b/>
          <w:bCs/>
          <w:iCs/>
          <w:szCs w:val="24"/>
          <w:lang w:val="es-ES" w:bidi="en-US"/>
        </w:rPr>
        <w:t>Concreto ciclópeo</w:t>
      </w:r>
      <w:bookmarkEnd w:id="1775"/>
    </w:p>
    <w:p w14:paraId="4695A533" w14:textId="77777777" w:rsidR="003B68DB" w:rsidRPr="003B68DB" w:rsidRDefault="003B68DB" w:rsidP="003B68DB">
      <w:pPr>
        <w:rPr>
          <w:rFonts w:ascii="Arial" w:hAnsi="Arial" w:cs="Arial"/>
          <w:szCs w:val="24"/>
          <w:lang w:val="es-ES" w:eastAsia="es-ES"/>
        </w:rPr>
      </w:pPr>
    </w:p>
    <w:p w14:paraId="75EF6B2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concreto ciclópeo consiste de un 70 por ciento de concreto de (140 kg/cm2) y un 30 por ciento de piedra grande bruta por volumen sólido de la mezcla.  La piedra para esta clase de obras debe tener un tamaño que pueda ser manejado por un hombre o por medio de un tecle, ser dura y sana.</w:t>
      </w:r>
    </w:p>
    <w:p w14:paraId="7CEF420F" w14:textId="77777777" w:rsidR="003B68DB" w:rsidRPr="003B68DB" w:rsidRDefault="003B68DB" w:rsidP="003B68DB">
      <w:pPr>
        <w:rPr>
          <w:rFonts w:ascii="Arial" w:hAnsi="Arial" w:cs="Arial"/>
          <w:szCs w:val="24"/>
          <w:lang w:val="es-ES" w:eastAsia="es-ES"/>
        </w:rPr>
      </w:pPr>
    </w:p>
    <w:p w14:paraId="01C639F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Preferiblemente, la piedra debe ser angulosa y con superficie áspera que le permita ligarse completamente con la masa de concreto a su alrededor.</w:t>
      </w:r>
    </w:p>
    <w:p w14:paraId="2CAA0CE6" w14:textId="77777777" w:rsidR="003B68DB" w:rsidRPr="003B68DB" w:rsidRDefault="003B68DB" w:rsidP="003B68DB">
      <w:pPr>
        <w:rPr>
          <w:rFonts w:ascii="Arial" w:hAnsi="Arial" w:cs="Arial"/>
          <w:szCs w:val="24"/>
          <w:lang w:val="es-ES" w:eastAsia="es-ES"/>
        </w:rPr>
      </w:pPr>
    </w:p>
    <w:p w14:paraId="12BDA36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piedra debe ser colocada sin dañar la formaleta o el concreto ya colocado y parcialmente fraguado.  La piedra que tenga estratificaciones debe ser colocada sobre su cara natural.  Las piedras deben ser lavadas y saturadas con agua antes de ser colocadas.</w:t>
      </w:r>
    </w:p>
    <w:p w14:paraId="10339592" w14:textId="77777777" w:rsidR="003B68DB" w:rsidRPr="003B68DB" w:rsidRDefault="003B68DB" w:rsidP="003B68DB">
      <w:pPr>
        <w:rPr>
          <w:rFonts w:ascii="Arial" w:hAnsi="Arial" w:cs="Arial"/>
          <w:szCs w:val="24"/>
          <w:lang w:val="es-ES" w:eastAsia="es-ES"/>
        </w:rPr>
      </w:pPr>
    </w:p>
    <w:p w14:paraId="25FDB70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muros o pilas cuyo espesor sea mayor de 60 cms se deben usar piedras de tamaño manejable por un hombre y cada piedra debe quedar rodeada por una capa de concreto de no menos de 15 cms de espesor, a no menos de 30 cms de la cara superior ni a menos de 15 cms de un coronamiento.</w:t>
      </w:r>
    </w:p>
    <w:p w14:paraId="1162D80B" w14:textId="77777777" w:rsidR="003B68DB" w:rsidRPr="003B68DB" w:rsidRDefault="003B68DB" w:rsidP="003B68DB">
      <w:pPr>
        <w:rPr>
          <w:rFonts w:ascii="Arial" w:hAnsi="Arial" w:cs="Arial"/>
          <w:szCs w:val="24"/>
          <w:lang w:val="es-ES" w:eastAsia="es-ES"/>
        </w:rPr>
      </w:pPr>
    </w:p>
    <w:p w14:paraId="1806CB55" w14:textId="77777777" w:rsidR="003B68DB" w:rsidRPr="003B68DB" w:rsidRDefault="003B68DB" w:rsidP="003B68DB">
      <w:pPr>
        <w:keepNext/>
        <w:numPr>
          <w:ilvl w:val="2"/>
          <w:numId w:val="0"/>
        </w:numPr>
        <w:ind w:left="720" w:hanging="720"/>
        <w:outlineLvl w:val="2"/>
        <w:rPr>
          <w:rFonts w:ascii="Arial" w:eastAsia="Arial Narrow" w:hAnsi="Arial" w:cs="Arial"/>
          <w:b/>
          <w:bCs/>
          <w:iCs/>
          <w:szCs w:val="24"/>
          <w:lang w:val="es-ES" w:bidi="en-US"/>
        </w:rPr>
      </w:pPr>
      <w:bookmarkStart w:id="1776" w:name="_Toc22653997"/>
      <w:r w:rsidRPr="003B68DB">
        <w:rPr>
          <w:rFonts w:ascii="Arial" w:eastAsia="Arial Narrow" w:hAnsi="Arial" w:cs="Arial"/>
          <w:b/>
          <w:bCs/>
          <w:iCs/>
          <w:szCs w:val="24"/>
          <w:lang w:val="es-ES" w:bidi="en-US"/>
        </w:rPr>
        <w:t>Concreto reforzado</w:t>
      </w:r>
      <w:bookmarkEnd w:id="1776"/>
    </w:p>
    <w:p w14:paraId="57B32B3C" w14:textId="77777777" w:rsidR="003B68DB" w:rsidRPr="003B68DB" w:rsidRDefault="003B68DB" w:rsidP="003B68DB">
      <w:pPr>
        <w:rPr>
          <w:rFonts w:ascii="Arial" w:hAnsi="Arial" w:cs="Arial"/>
          <w:szCs w:val="24"/>
          <w:lang w:val="es-ES" w:eastAsia="es-ES"/>
        </w:rPr>
      </w:pPr>
    </w:p>
    <w:p w14:paraId="0F8E6ED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Excepto cuando se especifique de otra forma, el concreto debe tener una resistencia a la compresión a los 28 días de 3,000 libras de compresión por pulgada cuadrada.</w:t>
      </w:r>
    </w:p>
    <w:p w14:paraId="663F2A56" w14:textId="77777777" w:rsidR="003B68DB" w:rsidRPr="003B68DB" w:rsidRDefault="003B68DB" w:rsidP="003B68DB">
      <w:pPr>
        <w:rPr>
          <w:rFonts w:ascii="Arial" w:hAnsi="Arial" w:cs="Arial"/>
          <w:szCs w:val="24"/>
          <w:lang w:val="es-ES" w:eastAsia="es-ES"/>
        </w:rPr>
      </w:pPr>
    </w:p>
    <w:p w14:paraId="2048053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Para todo concreto, la proporción de cemento, árido y agua necesaria para obtener la plasticidad y resistencia requerida, estará de acuerdo con las Normas 6I3-54 del ACI.  No se permitirá cambios en las proporciones sin la aprobación del Ingeniero.</w:t>
      </w:r>
    </w:p>
    <w:p w14:paraId="05FD4FB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Cemento a emplearse en las mezclas de concreto debe ser Cemento Portland Tipo 1, sujeto a las Especificaciones ASTM C-150.</w:t>
      </w:r>
    </w:p>
    <w:p w14:paraId="61E74065" w14:textId="77777777" w:rsidR="003B68DB" w:rsidRPr="003B68DB" w:rsidRDefault="003B68DB" w:rsidP="003B68DB">
      <w:pPr>
        <w:rPr>
          <w:rFonts w:ascii="Arial" w:hAnsi="Arial" w:cs="Arial"/>
          <w:szCs w:val="24"/>
          <w:lang w:val="es-ES" w:eastAsia="es-ES"/>
        </w:rPr>
      </w:pPr>
    </w:p>
    <w:p w14:paraId="7F9E4FA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Agregado Fino debe ser Arena natural o manufacturada, dura, limpia y libre de todo material vegetal, mica ó detrito de conchas marinas, sujeta a las Especificaciones ATM-C-33-59.</w:t>
      </w:r>
    </w:p>
    <w:p w14:paraId="7761FE19" w14:textId="77777777" w:rsidR="003B68DB" w:rsidRPr="003B68DB" w:rsidRDefault="003B68DB" w:rsidP="003B68DB">
      <w:pPr>
        <w:rPr>
          <w:rFonts w:ascii="Arial" w:hAnsi="Arial" w:cs="Arial"/>
          <w:szCs w:val="24"/>
          <w:lang w:val="es-ES" w:eastAsia="es-ES"/>
        </w:rPr>
      </w:pPr>
    </w:p>
    <w:p w14:paraId="055DF5D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Agregado Grueso es Piedra triturada ó grava limpia, dura, durable y libre de todo recubrimiento, sujeta a Especificaciones ASTM-C-33-6IT.</w:t>
      </w:r>
    </w:p>
    <w:p w14:paraId="00AD6DE9" w14:textId="77777777" w:rsidR="003B68DB" w:rsidRPr="003B68DB" w:rsidRDefault="003B68DB" w:rsidP="003B68DB">
      <w:pPr>
        <w:rPr>
          <w:rFonts w:ascii="Arial" w:hAnsi="Arial" w:cs="Arial"/>
          <w:szCs w:val="24"/>
          <w:lang w:val="es-ES" w:eastAsia="es-ES"/>
        </w:rPr>
      </w:pPr>
    </w:p>
    <w:p w14:paraId="185E429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tamaño más grande permitido del agregado es un quinto (1/5) de la dimensión mínima de la formaleta de los elementos de concreto, ó tres cuartos (3/4) del espaciamiento libre mínimo entre varillas de refuerzo según lo recomendado por la Norma 6I3-54 del ACI.</w:t>
      </w:r>
    </w:p>
    <w:p w14:paraId="732D3E25" w14:textId="77777777" w:rsidR="003B68DB" w:rsidRPr="003B68DB" w:rsidRDefault="003B68DB" w:rsidP="003B68DB">
      <w:pPr>
        <w:rPr>
          <w:rFonts w:ascii="Arial" w:hAnsi="Arial" w:cs="Arial"/>
          <w:szCs w:val="24"/>
          <w:lang w:val="es-ES" w:eastAsia="es-ES"/>
        </w:rPr>
      </w:pPr>
    </w:p>
    <w:p w14:paraId="29B60BF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El agua que a emplear en la mezcla del concreto debe ser limpia, libre de aceite, ácido ó cantidades perjudiciales de material vegetal, álcalis y otras impurezas.</w:t>
      </w:r>
    </w:p>
    <w:p w14:paraId="47F6B26A" w14:textId="77777777" w:rsidR="003B68DB" w:rsidRPr="003B68DB" w:rsidRDefault="003B68DB" w:rsidP="003B68DB">
      <w:pPr>
        <w:rPr>
          <w:rFonts w:ascii="Arial" w:hAnsi="Arial" w:cs="Arial"/>
          <w:szCs w:val="24"/>
          <w:lang w:val="es-ES" w:eastAsia="es-ES"/>
        </w:rPr>
      </w:pPr>
    </w:p>
    <w:p w14:paraId="5E276D9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acero de refuerzo debe cumplir la especificación ASTM A-305 con un límite de fluencia de 40,000 lbs por pulgada cuadrada, de acuerdo a las especificaciones ASTM A-615-68, Grado 40.  Todas las varillas deben estar limpias y libres de escamas, trazas de oxidación avanzada, grasas y otras impurezas e imperfecciones que afecten sus propiedades físicas, resistencia o su adherencia al concreto.</w:t>
      </w:r>
    </w:p>
    <w:p w14:paraId="29A50976" w14:textId="77777777" w:rsidR="003B68DB" w:rsidRPr="003B68DB" w:rsidRDefault="003B68DB" w:rsidP="003B68DB">
      <w:pPr>
        <w:rPr>
          <w:rFonts w:ascii="Arial" w:hAnsi="Arial" w:cs="Arial"/>
          <w:szCs w:val="24"/>
          <w:lang w:val="es-ES" w:eastAsia="es-ES"/>
        </w:rPr>
      </w:pPr>
    </w:p>
    <w:p w14:paraId="3B68BD26"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El cemento se debe almacenar en bodegas secas sobre tarimas de madera en estibas de no más de 10 sacos.  El cemento debe llegar al sitio de la construcción en sus envases originales y enteros. No se debe utilizar cemento dañado ó ya endurecido. </w:t>
      </w:r>
    </w:p>
    <w:p w14:paraId="3C2D270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áridos finos y gruesos se deben manejar y almacenar separadamente de manera tal que se evite la mezcla con materias extrañas.  Todas las varillas de acero de refuerzo se deben proteger hasta el momento de usarse.</w:t>
      </w:r>
    </w:p>
    <w:p w14:paraId="2B3E4727" w14:textId="77777777" w:rsidR="003B68DB" w:rsidRPr="003B68DB" w:rsidRDefault="003B68DB" w:rsidP="003B68DB">
      <w:pPr>
        <w:rPr>
          <w:rFonts w:ascii="Arial" w:hAnsi="Arial" w:cs="Arial"/>
          <w:szCs w:val="24"/>
          <w:lang w:val="es-ES" w:eastAsia="es-ES"/>
        </w:rPr>
      </w:pPr>
    </w:p>
    <w:p w14:paraId="0F3C6B5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limpieza, doblado, colocación y empalme del acero de refuerzo se harán de acuerdo con las normas y recomendaciones 318-71 y 315-65 del ACI, y las especificaciones del CRSI.</w:t>
      </w:r>
    </w:p>
    <w:p w14:paraId="1BEE25EC" w14:textId="77777777" w:rsidR="003B68DB" w:rsidRPr="003B68DB" w:rsidRDefault="003B68DB" w:rsidP="003B68DB">
      <w:pPr>
        <w:rPr>
          <w:rFonts w:ascii="Arial" w:hAnsi="Arial" w:cs="Arial"/>
          <w:szCs w:val="24"/>
          <w:lang w:val="es-ES" w:eastAsia="es-ES"/>
        </w:rPr>
      </w:pPr>
    </w:p>
    <w:p w14:paraId="1A318F4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acero de refuerzo se debe limpiar de toda suciedad y óxido no adherente. Las barras se deben doblar en frío, ajustándolas a los planos y especificaciones del Proyecto, sin errores mayores de un centímetro.  Los dobleces de las armaduras, salvo indicación especial en los planos, se deben hacer con radios superiores a siete y medio (7.50) veces su diámetro.</w:t>
      </w:r>
    </w:p>
    <w:p w14:paraId="7A514CC8" w14:textId="77777777" w:rsidR="003B68DB" w:rsidRPr="003B68DB" w:rsidRDefault="003B68DB" w:rsidP="003B68DB">
      <w:pPr>
        <w:rPr>
          <w:rFonts w:ascii="Arial" w:hAnsi="Arial" w:cs="Arial"/>
          <w:szCs w:val="24"/>
          <w:lang w:val="es-ES" w:eastAsia="es-ES"/>
        </w:rPr>
      </w:pPr>
    </w:p>
    <w:p w14:paraId="1BFBA040"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barras se deben sujetar a la fortaleza con alambre ó tacos de concreto ó piedra, y entre sí con ataduras de alambre de hierro dulce Nº 16, de modo que no puedan desplazarse durante la llena y que éste pueda envolverlos completamente.</w:t>
      </w:r>
    </w:p>
    <w:p w14:paraId="1F3F7A03" w14:textId="77777777" w:rsidR="003B68DB" w:rsidRPr="003B68DB" w:rsidRDefault="003B68DB" w:rsidP="003B68DB">
      <w:pPr>
        <w:rPr>
          <w:rFonts w:ascii="Arial" w:hAnsi="Arial" w:cs="Arial"/>
          <w:szCs w:val="24"/>
          <w:lang w:val="es-ES" w:eastAsia="es-ES"/>
        </w:rPr>
      </w:pPr>
    </w:p>
    <w:p w14:paraId="613898D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Ingeniero puede autorizar la mezcla a mano en las partes de la obra de escasa importancia debiendo hacerse entonces sobre una superficie impermeable mezclándose los materiales en seco hasta que presente un aspecto uniforme, agregando a continuación el agua en pequeñas cantidades hasta obtener un producto homogéneo y cuidando que durante la operación no se mezcle con tierra ni impureza alguna.</w:t>
      </w:r>
    </w:p>
    <w:p w14:paraId="534D0C9B" w14:textId="77777777" w:rsidR="003B68DB" w:rsidRPr="003B68DB" w:rsidRDefault="003B68DB" w:rsidP="003B68DB">
      <w:pPr>
        <w:rPr>
          <w:rFonts w:ascii="Arial" w:hAnsi="Arial" w:cs="Arial"/>
          <w:szCs w:val="24"/>
          <w:lang w:val="es-ES" w:eastAsia="es-ES"/>
        </w:rPr>
      </w:pPr>
    </w:p>
    <w:p w14:paraId="4DE98A9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colocación ó vertida de todo el concreto se debe hacer de acuerdo con las Normas 3I8-7I, 605-59 y 6I4-59 del ACI y en la forma que aquí se modifica.  El transporte y vertida del concreto se debe hacer de modo que no se disgreguen sus elementos, volviendo a mezclar al menos con una vuelta de pala, las que acusen señales de segregación.</w:t>
      </w:r>
    </w:p>
    <w:p w14:paraId="1376E5D4" w14:textId="77777777" w:rsidR="003B68DB" w:rsidRPr="003B68DB" w:rsidRDefault="003B68DB" w:rsidP="003B68DB">
      <w:pPr>
        <w:rPr>
          <w:rFonts w:ascii="Arial" w:hAnsi="Arial" w:cs="Arial"/>
          <w:szCs w:val="24"/>
          <w:lang w:val="es-ES" w:eastAsia="es-ES"/>
        </w:rPr>
      </w:pPr>
    </w:p>
    <w:p w14:paraId="535BAC1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No se debe permitir la colocación de mezclas que acusen un principio de fraguado, prohibiéndose la adición de agua ó lechada durante la llena.  Todo el concreto se debe colocar sobre superficies húmedas, libres de agua y nunca sobre lodo suave ó tierra seca o porosa.</w:t>
      </w:r>
    </w:p>
    <w:p w14:paraId="7EE6B3EA" w14:textId="77777777" w:rsidR="003B68DB" w:rsidRPr="003B68DB" w:rsidRDefault="003B68DB" w:rsidP="003B68DB">
      <w:pPr>
        <w:rPr>
          <w:rFonts w:ascii="Arial" w:hAnsi="Arial" w:cs="Arial"/>
          <w:szCs w:val="24"/>
          <w:lang w:val="es-ES" w:eastAsia="es-ES"/>
        </w:rPr>
      </w:pPr>
    </w:p>
    <w:p w14:paraId="739120F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El concreto debe ser colocado con la ayuda de equipo de vibración mecánica.  La vibración debe ser aplicada directamente al concreto a menos que el Ingeniero lo apruebe de otra manera.  La intensidad de la vibración debe ser lo suficiente como para causar el flujo y asentamiento del concreto en su lugar.</w:t>
      </w:r>
    </w:p>
    <w:p w14:paraId="21AAF229" w14:textId="77777777" w:rsidR="003B68DB" w:rsidRPr="003B68DB" w:rsidRDefault="003B68DB" w:rsidP="003B68DB">
      <w:pPr>
        <w:rPr>
          <w:rFonts w:ascii="Arial" w:hAnsi="Arial" w:cs="Arial"/>
          <w:szCs w:val="24"/>
          <w:lang w:val="es-ES" w:eastAsia="es-ES"/>
        </w:rPr>
      </w:pPr>
    </w:p>
    <w:p w14:paraId="3618D28E"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debe prestar especial atención al curado apropiado de todo el concreto.  Una vez desencofrado cualquier miembro estructural, se debe mantener húmedo todo el día por un período de 7 días.  En caso de la fundación masiva para el dique, se esparcirá una capa de arena en toda la superficie, la que debe mantenerse húmeda todo el día y teniendo el cuidado de humedecerla por las noches durante los siete días del curado.</w:t>
      </w:r>
    </w:p>
    <w:p w14:paraId="71526C3F" w14:textId="77777777" w:rsidR="003B68DB" w:rsidRPr="003B68DB" w:rsidRDefault="003B68DB" w:rsidP="003B68DB">
      <w:pPr>
        <w:rPr>
          <w:rFonts w:ascii="Arial" w:hAnsi="Arial" w:cs="Arial"/>
          <w:szCs w:val="24"/>
          <w:lang w:val="es-ES" w:eastAsia="es-ES"/>
        </w:rPr>
      </w:pPr>
    </w:p>
    <w:p w14:paraId="020FA4DA"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debe hacer una prueba de impermeabilidad al dique, que consiste en llenar el área de inundación hasta la altura del rebosadero durante un período de 48 horas, se dejará llena el área de inundación por 72 horas más, Cualquier fuga debe ser revisada por el Ingeniero y recomendar su reparación.</w:t>
      </w:r>
    </w:p>
    <w:p w14:paraId="2D33EB54" w14:textId="77777777" w:rsidR="003B68DB" w:rsidRPr="003B68DB" w:rsidRDefault="003B68DB" w:rsidP="003B68DB">
      <w:pPr>
        <w:rPr>
          <w:rFonts w:ascii="Arial" w:hAnsi="Arial" w:cs="Arial"/>
          <w:szCs w:val="24"/>
          <w:lang w:val="es-ES" w:eastAsia="es-ES"/>
        </w:rPr>
      </w:pPr>
    </w:p>
    <w:p w14:paraId="3BD7CED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En la parte interior de las paredes se debe aplicar un repello de 1.50 cms, con una proporción de una parte de cemento por tres partes de arena. Posterior al repello, se debe aplicar un fino tipo espejo de cemento con textura lisa. Se debe prestar especial cuidado con el curado de estos acabados, evitando agrietamiento por la falta de humedad.</w:t>
      </w:r>
    </w:p>
    <w:p w14:paraId="61269FA3" w14:textId="77777777" w:rsidR="003B68DB" w:rsidRPr="003B68DB" w:rsidRDefault="003B68DB" w:rsidP="003B68DB">
      <w:pPr>
        <w:rPr>
          <w:rFonts w:ascii="Arial" w:hAnsi="Arial" w:cs="Arial"/>
          <w:szCs w:val="24"/>
          <w:lang w:val="es-ES" w:eastAsia="es-ES"/>
        </w:rPr>
      </w:pPr>
    </w:p>
    <w:p w14:paraId="21C71D63"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Este tipo de obra, tiene como accesorios complementarios: tubería de limpieza vertedero de rebose. Todo de acuerdo a lo indicado en planos y secciones anteriores.</w:t>
      </w:r>
    </w:p>
    <w:p w14:paraId="6EBF2B64" w14:textId="77777777" w:rsidR="003B68DB" w:rsidRPr="003B68DB" w:rsidRDefault="003B68DB" w:rsidP="003B68DB">
      <w:pPr>
        <w:rPr>
          <w:rFonts w:ascii="Arial" w:hAnsi="Arial" w:cs="Arial"/>
          <w:szCs w:val="24"/>
          <w:lang w:val="es-ES" w:eastAsia="es-ES"/>
        </w:rPr>
      </w:pPr>
    </w:p>
    <w:p w14:paraId="36F07FA8" w14:textId="77777777" w:rsidR="003B68DB" w:rsidRPr="003B68DB" w:rsidRDefault="003B68DB" w:rsidP="003B68DB">
      <w:pPr>
        <w:rPr>
          <w:rFonts w:ascii="Calibri" w:hAnsi="Calibri"/>
          <w:szCs w:val="24"/>
          <w:lang w:val="es-ES" w:eastAsia="es-ES"/>
        </w:rPr>
      </w:pPr>
    </w:p>
    <w:p w14:paraId="435E3243" w14:textId="77777777" w:rsidR="003B68DB" w:rsidRPr="003B68DB" w:rsidRDefault="003B68DB" w:rsidP="003B68DB">
      <w:pPr>
        <w:keepNext/>
        <w:keepLines/>
        <w:ind w:left="432" w:hanging="432"/>
        <w:outlineLvl w:val="0"/>
        <w:rPr>
          <w:rFonts w:ascii="Arial" w:eastAsia="Arial" w:hAnsi="Arial"/>
          <w:b/>
          <w:szCs w:val="24"/>
          <w:lang w:val="es-ES" w:eastAsia="es-ES"/>
        </w:rPr>
      </w:pPr>
      <w:bookmarkStart w:id="1777" w:name="_Toc22648249"/>
      <w:bookmarkStart w:id="1778" w:name="_Toc22653998"/>
      <w:r w:rsidRPr="003B68DB">
        <w:rPr>
          <w:rFonts w:ascii="Arial" w:eastAsia="Arial" w:hAnsi="Arial"/>
          <w:b/>
          <w:szCs w:val="24"/>
          <w:lang w:val="es-ES" w:eastAsia="es-ES"/>
        </w:rPr>
        <w:t>ESPECIFICACIONES TÉCNICAS PARA PLANTA DE PURIFICACIÓN</w:t>
      </w:r>
      <w:bookmarkEnd w:id="1777"/>
      <w:bookmarkEnd w:id="1778"/>
    </w:p>
    <w:p w14:paraId="0FBB1334" w14:textId="77777777" w:rsidR="003B68DB" w:rsidRPr="003B68DB" w:rsidRDefault="003B68DB" w:rsidP="003B68DB">
      <w:pPr>
        <w:rPr>
          <w:rFonts w:ascii="Arial" w:hAnsi="Arial"/>
          <w:szCs w:val="24"/>
          <w:lang w:val="es-ES" w:eastAsia="es-ES"/>
        </w:rPr>
      </w:pPr>
    </w:p>
    <w:p w14:paraId="16DC63B9"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79" w:name="_Toc22648250"/>
      <w:bookmarkStart w:id="1780" w:name="_Toc22653999"/>
      <w:r w:rsidRPr="00181F97">
        <w:rPr>
          <w:rFonts w:ascii="Arial" w:eastAsia="Arial Narrow" w:hAnsi="Arial" w:cs="Arial"/>
          <w:b/>
          <w:bCs/>
          <w:iCs/>
          <w:szCs w:val="24"/>
          <w:lang w:val="es-NI"/>
        </w:rPr>
        <w:t>Sistema de cloración</w:t>
      </w:r>
      <w:bookmarkEnd w:id="1779"/>
      <w:bookmarkEnd w:id="1780"/>
    </w:p>
    <w:p w14:paraId="1FEA5BAB" w14:textId="77777777" w:rsidR="003B68DB" w:rsidRPr="003B68DB" w:rsidRDefault="003B68DB" w:rsidP="003B68DB">
      <w:pPr>
        <w:rPr>
          <w:rFonts w:ascii="Arial" w:hAnsi="Arial"/>
          <w:szCs w:val="24"/>
          <w:lang w:val="es-ES" w:eastAsia="es-ES"/>
        </w:rPr>
      </w:pPr>
    </w:p>
    <w:p w14:paraId="7CCB7015"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 xml:space="preserve">El trabajo a ejecutarse bajo este rubro comprende el suministro de equipo, herramientas, mano de obra, transporte y materiales necesarios para llevar a cabo la </w:t>
      </w:r>
      <w:r w:rsidRPr="003B68DB">
        <w:rPr>
          <w:rFonts w:ascii="Arial" w:hAnsi="Arial"/>
          <w:i/>
          <w:szCs w:val="24"/>
          <w:lang w:val="es-ES" w:eastAsia="es-ES"/>
        </w:rPr>
        <w:t>instalación del sistema de cloración</w:t>
      </w:r>
      <w:r w:rsidRPr="003B68DB">
        <w:rPr>
          <w:rFonts w:ascii="Arial" w:hAnsi="Arial"/>
          <w:szCs w:val="24"/>
          <w:lang w:val="es-ES" w:eastAsia="es-ES"/>
        </w:rPr>
        <w:t>, en el sitio y dimensiones indicadas en los planos y de acuerdo con lo estipulado en estas especificaciones. Los costos de esta operación son asumidos por El Contratista.</w:t>
      </w:r>
    </w:p>
    <w:p w14:paraId="2397C1FA" w14:textId="77777777" w:rsidR="003B68DB" w:rsidRPr="003B68DB" w:rsidRDefault="003B68DB" w:rsidP="003B68DB">
      <w:pPr>
        <w:rPr>
          <w:rFonts w:ascii="Arial" w:hAnsi="Arial"/>
          <w:szCs w:val="24"/>
          <w:lang w:val="es-ES" w:eastAsia="es-ES"/>
        </w:rPr>
      </w:pPr>
    </w:p>
    <w:p w14:paraId="0FF9607A"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Contratista debe suministrar, instalar y poner en operación el sistema de desinfección de hipoclorito de calcio Ca(ClO)2, debidamente calibrado.</w:t>
      </w:r>
    </w:p>
    <w:p w14:paraId="6CF6D4D3" w14:textId="77777777" w:rsidR="003B68DB" w:rsidRPr="003B68DB" w:rsidRDefault="003B68DB" w:rsidP="003B68DB">
      <w:pPr>
        <w:rPr>
          <w:rFonts w:ascii="Arial" w:hAnsi="Arial"/>
          <w:szCs w:val="24"/>
          <w:lang w:val="es-ES" w:eastAsia="es-ES"/>
        </w:rPr>
      </w:pPr>
    </w:p>
    <w:p w14:paraId="544F9ECF"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Hipoclorador de carga constante de 125.0 litros (33 galones). Ubicado sobre la losa tapa de tanque de almacenamiento de agua clara, a como se indica en los planos, en la entrada del tanque que se conecta con la tubería de conducción.</w:t>
      </w:r>
    </w:p>
    <w:p w14:paraId="0D8C444B" w14:textId="77777777" w:rsidR="003B68DB" w:rsidRPr="003B68DB" w:rsidRDefault="003B68DB" w:rsidP="003B68DB">
      <w:pPr>
        <w:rPr>
          <w:rFonts w:ascii="Arial" w:hAnsi="Arial"/>
          <w:szCs w:val="24"/>
          <w:lang w:val="es-ES" w:eastAsia="es-ES"/>
        </w:rPr>
      </w:pPr>
    </w:p>
    <w:p w14:paraId="5924A399"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 xml:space="preserve">El Contratista es responsable de estudiar las especificaciones del fabricante e inquirir todos los datos que su experiencia en el ramo le indiquen ser necesarios para hacer una </w:t>
      </w:r>
      <w:r w:rsidRPr="003B68DB">
        <w:rPr>
          <w:rFonts w:ascii="Arial" w:hAnsi="Arial"/>
          <w:szCs w:val="24"/>
          <w:lang w:val="es-ES" w:eastAsia="es-ES"/>
        </w:rPr>
        <w:lastRenderedPageBreak/>
        <w:t>correcta instalación del clorador y debe suplir todos los accesorios, conectores y tuberías que el fabricante recomienda para una correcta instalación.</w:t>
      </w:r>
    </w:p>
    <w:p w14:paraId="6DA500D1" w14:textId="77777777" w:rsidR="003B68DB" w:rsidRPr="003B68DB" w:rsidRDefault="003B68DB" w:rsidP="003B68DB">
      <w:pPr>
        <w:rPr>
          <w:rFonts w:ascii="Arial" w:hAnsi="Arial"/>
          <w:szCs w:val="24"/>
          <w:lang w:val="es-ES" w:eastAsia="es-ES"/>
        </w:rPr>
      </w:pPr>
    </w:p>
    <w:p w14:paraId="6E1D42C4"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El Contratista debe estar enterado de todas las particularidades de instalación del dosificador de cloro y de las especiales condiciones en que opera para garantizar un correcto funcionamiento del equipo.</w:t>
      </w:r>
    </w:p>
    <w:p w14:paraId="73974852" w14:textId="77777777" w:rsidR="003B68DB" w:rsidRPr="003B68DB" w:rsidRDefault="003B68DB" w:rsidP="003B68DB">
      <w:pPr>
        <w:rPr>
          <w:rFonts w:ascii="Arial" w:hAnsi="Arial"/>
          <w:szCs w:val="24"/>
          <w:lang w:val="es-ES" w:eastAsia="es-ES"/>
        </w:rPr>
      </w:pPr>
    </w:p>
    <w:p w14:paraId="0DBE5A05"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81" w:name="_Toc22648251"/>
      <w:bookmarkStart w:id="1782" w:name="_Toc22654000"/>
      <w:r w:rsidRPr="00181F97">
        <w:rPr>
          <w:rFonts w:ascii="Arial" w:eastAsia="Arial Narrow" w:hAnsi="Arial" w:cs="Arial"/>
          <w:b/>
          <w:bCs/>
          <w:iCs/>
          <w:szCs w:val="24"/>
          <w:lang w:val="es-NI"/>
        </w:rPr>
        <w:t>Medición y pago</w:t>
      </w:r>
      <w:bookmarkEnd w:id="1781"/>
      <w:bookmarkEnd w:id="1782"/>
    </w:p>
    <w:p w14:paraId="5A901867" w14:textId="77777777" w:rsidR="003B68DB" w:rsidRPr="003B68DB" w:rsidRDefault="003B68DB" w:rsidP="003B68DB">
      <w:pPr>
        <w:rPr>
          <w:rFonts w:ascii="Arial" w:hAnsi="Arial"/>
          <w:szCs w:val="24"/>
          <w:lang w:val="es-ES" w:eastAsia="es-ES"/>
        </w:rPr>
      </w:pPr>
    </w:p>
    <w:p w14:paraId="65051629"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Los precios unitarios correspondientes a este concepto deben incluir todos los costos implícitos en el suministro e instalación de cada uno de los componentes, conforme lo establecido en estas especificaciones técnicas y resto de documentos contractuales.</w:t>
      </w:r>
    </w:p>
    <w:p w14:paraId="0F300E92" w14:textId="77777777" w:rsidR="003B68DB" w:rsidRPr="003B68DB" w:rsidRDefault="003B68DB" w:rsidP="003B68DB">
      <w:pPr>
        <w:rPr>
          <w:rFonts w:ascii="Arial" w:hAnsi="Arial"/>
          <w:szCs w:val="24"/>
          <w:lang w:val="es-ES" w:eastAsia="es-ES"/>
        </w:rPr>
      </w:pPr>
    </w:p>
    <w:p w14:paraId="41ABAB3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Los precios unitarios ofertados por el proveedor en el formato de oferta, deben incluir, sin que esta enumeración sea limitativa: el suministro e instalación de accesorios que garanticen la instalación completa del equipo, las pruebas y trabajos complementarios no detallados en la lista de precios a menos que específicamente sean incluidas bajo otra partida.</w:t>
      </w:r>
    </w:p>
    <w:p w14:paraId="71D33A75" w14:textId="77777777" w:rsidR="003B68DB" w:rsidRPr="003B68DB" w:rsidRDefault="003B68DB" w:rsidP="003B68DB">
      <w:pPr>
        <w:rPr>
          <w:rFonts w:ascii="Arial" w:hAnsi="Arial"/>
          <w:szCs w:val="24"/>
          <w:lang w:val="es-ES" w:eastAsia="es-ES"/>
        </w:rPr>
      </w:pPr>
    </w:p>
    <w:p w14:paraId="4F769B88"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s-NI"/>
        </w:rPr>
      </w:pPr>
      <w:bookmarkStart w:id="1783" w:name="_Toc22648252"/>
      <w:bookmarkStart w:id="1784" w:name="_Toc22654001"/>
      <w:r w:rsidRPr="003B68DB">
        <w:rPr>
          <w:rFonts w:ascii="Arial" w:eastAsia="Arial Narrow" w:hAnsi="Arial" w:cs="Arial"/>
          <w:b/>
          <w:bCs/>
          <w:iCs/>
          <w:szCs w:val="24"/>
          <w:lang w:val="es-NI"/>
        </w:rPr>
        <w:t>Aspectos relevantes de la aplicacion del cloro al agua potable</w:t>
      </w:r>
      <w:bookmarkEnd w:id="1783"/>
      <w:bookmarkEnd w:id="1784"/>
    </w:p>
    <w:p w14:paraId="14398228" w14:textId="77777777" w:rsidR="003B68DB" w:rsidRPr="003B68DB" w:rsidRDefault="003B68DB" w:rsidP="003B68DB">
      <w:pPr>
        <w:rPr>
          <w:rFonts w:ascii="Arial" w:hAnsi="Arial"/>
          <w:szCs w:val="24"/>
          <w:lang w:val="es-ES" w:eastAsia="es-ES"/>
        </w:rPr>
      </w:pPr>
    </w:p>
    <w:p w14:paraId="7D42F286"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La aplicación del cloro es efectuada a través de dispositivos denominados dosificadores de cloro de carga constante (hipocloradores) los cuales suministran solución clorada bajo el efecto de una carga hidráulica constante. La aplicacion clorada se debe efectuar en el tanque de almacenamiento que se construya, en el punto por donde el agua ingresa. Para la aplicación de solución clorada en el tanque, se debe considerar las previsiones y/o precauciones siguientes:</w:t>
      </w:r>
    </w:p>
    <w:p w14:paraId="0C5EEF27" w14:textId="77777777" w:rsidR="003B68DB" w:rsidRPr="003B68DB" w:rsidRDefault="003B68DB" w:rsidP="003B68DB">
      <w:pPr>
        <w:rPr>
          <w:rFonts w:ascii="Arial" w:hAnsi="Arial"/>
          <w:szCs w:val="24"/>
          <w:lang w:val="es-ES" w:eastAsia="es-ES"/>
        </w:rPr>
      </w:pPr>
    </w:p>
    <w:p w14:paraId="31095102"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1.- Debe existir escalera de acceso hasta la pequeña plataforma donde está colocado el hipoclorador.</w:t>
      </w:r>
    </w:p>
    <w:p w14:paraId="4D758926" w14:textId="77777777" w:rsidR="003B68DB" w:rsidRPr="003B68DB" w:rsidRDefault="003B68DB" w:rsidP="003B68DB">
      <w:pPr>
        <w:rPr>
          <w:rFonts w:ascii="Arial" w:hAnsi="Arial"/>
          <w:szCs w:val="24"/>
          <w:lang w:val="es-ES" w:eastAsia="es-ES"/>
        </w:rPr>
      </w:pPr>
    </w:p>
    <w:p w14:paraId="311B6553"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2.- El recipiente que contiene la solucion clorada debe ser de plástico.</w:t>
      </w:r>
    </w:p>
    <w:p w14:paraId="030AF7EC" w14:textId="77777777" w:rsidR="003B68DB" w:rsidRPr="003B68DB" w:rsidRDefault="003B68DB" w:rsidP="003B68DB">
      <w:pPr>
        <w:rPr>
          <w:rFonts w:ascii="Arial" w:hAnsi="Arial"/>
          <w:szCs w:val="24"/>
          <w:lang w:val="es-ES" w:eastAsia="es-ES"/>
        </w:rPr>
      </w:pPr>
    </w:p>
    <w:p w14:paraId="56D5D93F"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3.- Se debe evitar hasta donde sea posible accesorios metálicos en la construcción y operación del dosificador de cloro (hipoclorador).</w:t>
      </w:r>
    </w:p>
    <w:p w14:paraId="64FC2EC9" w14:textId="77777777" w:rsidR="003B68DB" w:rsidRPr="003B68DB" w:rsidRDefault="003B68DB" w:rsidP="003B68DB">
      <w:pPr>
        <w:rPr>
          <w:rFonts w:ascii="Arial" w:hAnsi="Arial"/>
          <w:szCs w:val="24"/>
          <w:lang w:val="es-ES" w:eastAsia="es-ES"/>
        </w:rPr>
      </w:pPr>
    </w:p>
    <w:p w14:paraId="399BD14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4.- La solucion de cloro debe ser preparada a nivel del terrno natural, en las cercanias del tanque y en donde se disponga de agua limpia para su preparación.</w:t>
      </w:r>
    </w:p>
    <w:p w14:paraId="29B7643C" w14:textId="77777777" w:rsidR="003B68DB" w:rsidRPr="003B68DB" w:rsidRDefault="003B68DB" w:rsidP="003B68DB">
      <w:pPr>
        <w:rPr>
          <w:rFonts w:ascii="Arial" w:hAnsi="Arial"/>
          <w:szCs w:val="24"/>
          <w:lang w:val="es-ES" w:eastAsia="es-ES"/>
        </w:rPr>
      </w:pPr>
    </w:p>
    <w:p w14:paraId="7B8D1F6B"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5.- La solución preparada es trasladada por partes hasta el recipiente del hipoclorador tamando los cuidados necesarios de no salpicar con solucion, la ropa y superficies metálicas del tanque.</w:t>
      </w:r>
    </w:p>
    <w:p w14:paraId="6FFB52F7" w14:textId="77777777" w:rsidR="003B68DB" w:rsidRPr="003B68DB" w:rsidRDefault="003B68DB" w:rsidP="003B68DB">
      <w:pPr>
        <w:rPr>
          <w:rFonts w:ascii="Arial" w:hAnsi="Arial"/>
          <w:szCs w:val="24"/>
          <w:lang w:val="es-ES" w:eastAsia="es-ES"/>
        </w:rPr>
      </w:pPr>
    </w:p>
    <w:p w14:paraId="17AABAC1"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6.- El drenaje del recipiente del hipoclorador, debe tener un tubo bajante de pvc hasta alcanzar la superficie del suelo natural, donde se dispone los residuos a desechar.</w:t>
      </w:r>
    </w:p>
    <w:p w14:paraId="0BCB3CAF" w14:textId="77777777" w:rsidR="003B68DB" w:rsidRPr="003B68DB" w:rsidRDefault="003B68DB" w:rsidP="003B68DB">
      <w:pPr>
        <w:rPr>
          <w:rFonts w:ascii="Arial" w:hAnsi="Arial"/>
          <w:szCs w:val="24"/>
          <w:lang w:val="es-ES" w:eastAsia="es-ES"/>
        </w:rPr>
      </w:pPr>
    </w:p>
    <w:p w14:paraId="0EE3AC64"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lastRenderedPageBreak/>
        <w:t>7.- El cloro debe ser almacenado en un lugar limpio, oscuro y que mantenga una temperatura no mayor de 35 grados centígrados</w:t>
      </w:r>
    </w:p>
    <w:p w14:paraId="4F592F40" w14:textId="77777777" w:rsidR="003B68DB" w:rsidRPr="003B68DB" w:rsidRDefault="003B68DB" w:rsidP="003B68DB">
      <w:pPr>
        <w:rPr>
          <w:rFonts w:ascii="Arial" w:hAnsi="Arial"/>
          <w:szCs w:val="24"/>
          <w:lang w:val="es-ES" w:eastAsia="es-ES"/>
        </w:rPr>
      </w:pPr>
    </w:p>
    <w:p w14:paraId="2B76898F" w14:textId="77777777" w:rsidR="003B68DB" w:rsidRPr="003B68DB" w:rsidRDefault="003B68DB" w:rsidP="003B68DB">
      <w:pPr>
        <w:keepNext/>
        <w:numPr>
          <w:ilvl w:val="1"/>
          <w:numId w:val="0"/>
        </w:numPr>
        <w:ind w:left="576" w:hanging="576"/>
        <w:outlineLvl w:val="1"/>
        <w:rPr>
          <w:rFonts w:ascii="Arial" w:eastAsia="Arial Narrow" w:hAnsi="Arial" w:cs="Arial"/>
          <w:b/>
          <w:bCs/>
          <w:iCs/>
          <w:szCs w:val="24"/>
          <w:lang w:val="es-NI"/>
        </w:rPr>
      </w:pPr>
      <w:bookmarkStart w:id="1785" w:name="_Toc22648253"/>
      <w:bookmarkStart w:id="1786" w:name="_Toc22654002"/>
      <w:r w:rsidRPr="003B68DB">
        <w:rPr>
          <w:rFonts w:ascii="Arial" w:eastAsia="Arial Narrow" w:hAnsi="Arial" w:cs="Arial"/>
          <w:b/>
          <w:bCs/>
          <w:iCs/>
          <w:szCs w:val="24"/>
          <w:lang w:val="es-NI"/>
        </w:rPr>
        <w:t>Preparacion de la solucion de desinfeccion de hipoclorito de calcio. - (caocl)</w:t>
      </w:r>
      <w:bookmarkEnd w:id="1785"/>
      <w:bookmarkEnd w:id="1786"/>
    </w:p>
    <w:p w14:paraId="7D880E95" w14:textId="77777777" w:rsidR="003B68DB" w:rsidRPr="003B68DB" w:rsidRDefault="003B68DB" w:rsidP="003B68DB">
      <w:pPr>
        <w:rPr>
          <w:rFonts w:ascii="Arial" w:hAnsi="Arial"/>
          <w:szCs w:val="24"/>
          <w:lang w:val="es-ES" w:eastAsia="es-ES"/>
        </w:rPr>
      </w:pPr>
    </w:p>
    <w:p w14:paraId="67A46FF3"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1.- Se pesan 6.77 libras de Ca(ClO)2 al 65 %, se agrega a un recipiente de 20 litros de capacidad y se disuelven en agua, mezclándolo continuamente.</w:t>
      </w:r>
    </w:p>
    <w:p w14:paraId="2A67A701" w14:textId="77777777" w:rsidR="003B68DB" w:rsidRPr="003B68DB" w:rsidRDefault="003B68DB" w:rsidP="003B68DB">
      <w:pPr>
        <w:rPr>
          <w:rFonts w:ascii="Arial" w:hAnsi="Arial"/>
          <w:szCs w:val="24"/>
          <w:lang w:val="es-ES" w:eastAsia="es-ES"/>
        </w:rPr>
      </w:pPr>
    </w:p>
    <w:p w14:paraId="657E9027"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2.- Se llena el recipiente de 20 litros con agua hasta la cuarta parte.</w:t>
      </w:r>
    </w:p>
    <w:p w14:paraId="436D0A40" w14:textId="77777777" w:rsidR="003B68DB" w:rsidRPr="003B68DB" w:rsidRDefault="003B68DB" w:rsidP="003B68DB">
      <w:pPr>
        <w:rPr>
          <w:rFonts w:ascii="Arial" w:hAnsi="Arial"/>
          <w:szCs w:val="24"/>
          <w:lang w:val="es-ES" w:eastAsia="es-ES"/>
        </w:rPr>
      </w:pPr>
    </w:p>
    <w:p w14:paraId="492F0A2C"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3.- Se vierte la solucion de Ca(ClO)2 del recipiente de 20 litros en el recipiente de 250 lts y posteriormente se termina de llenar con agua hasta alcanzar los 200 litros. todo con agitacion continua. Esperar una hora antes de aplicarlo al agua del sedimentador.</w:t>
      </w:r>
    </w:p>
    <w:p w14:paraId="2CA61A6B" w14:textId="77777777" w:rsidR="003B68DB" w:rsidRPr="003B68DB" w:rsidRDefault="003B68DB" w:rsidP="003B68DB">
      <w:pPr>
        <w:rPr>
          <w:rFonts w:ascii="Arial" w:hAnsi="Arial"/>
          <w:szCs w:val="24"/>
          <w:lang w:val="es-ES" w:eastAsia="es-ES"/>
        </w:rPr>
      </w:pPr>
    </w:p>
    <w:p w14:paraId="7B504BF1"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4.- Mantener el tanque tapado y agitar con una paleta de madera cada una o dos horas.</w:t>
      </w:r>
    </w:p>
    <w:p w14:paraId="527E4AEB" w14:textId="77777777" w:rsidR="003B68DB" w:rsidRPr="003B68DB" w:rsidRDefault="003B68DB" w:rsidP="003B68DB">
      <w:pPr>
        <w:rPr>
          <w:rFonts w:ascii="Arial" w:hAnsi="Arial"/>
          <w:szCs w:val="24"/>
          <w:lang w:val="es-ES" w:eastAsia="es-ES"/>
        </w:rPr>
      </w:pPr>
    </w:p>
    <w:p w14:paraId="520D08A4"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5.- El tiempo entre preparacion de los 200 lts de cloro, es decir, el tiempo de operacion es de 4.6 dias.</w:t>
      </w:r>
    </w:p>
    <w:p w14:paraId="59114B4D" w14:textId="77777777" w:rsidR="003B68DB" w:rsidRPr="003B68DB" w:rsidRDefault="003B68DB" w:rsidP="003B68DB">
      <w:pPr>
        <w:rPr>
          <w:rFonts w:ascii="Arial" w:hAnsi="Arial"/>
          <w:szCs w:val="24"/>
          <w:lang w:val="es-ES" w:eastAsia="es-ES"/>
        </w:rPr>
      </w:pPr>
    </w:p>
    <w:p w14:paraId="0782AD01"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87" w:name="_Toc22648254"/>
      <w:bookmarkStart w:id="1788" w:name="_Toc22654003"/>
      <w:r w:rsidRPr="00181F97">
        <w:rPr>
          <w:rFonts w:ascii="Arial" w:eastAsia="Arial Narrow" w:hAnsi="Arial" w:cs="Arial"/>
          <w:b/>
          <w:bCs/>
          <w:iCs/>
          <w:szCs w:val="24"/>
          <w:lang w:val="es-NI"/>
        </w:rPr>
        <w:t>Precauciones para el operador</w:t>
      </w:r>
      <w:bookmarkEnd w:id="1787"/>
      <w:bookmarkEnd w:id="1788"/>
    </w:p>
    <w:p w14:paraId="3B33C5A6" w14:textId="77777777" w:rsidR="003B68DB" w:rsidRPr="003B68DB" w:rsidRDefault="003B68DB" w:rsidP="003B68DB">
      <w:pPr>
        <w:rPr>
          <w:rFonts w:ascii="Arial" w:hAnsi="Arial"/>
          <w:szCs w:val="24"/>
          <w:lang w:val="es-ES" w:eastAsia="es-ES"/>
        </w:rPr>
      </w:pPr>
    </w:p>
    <w:p w14:paraId="4C323351"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Protegerse con el material siguiente:</w:t>
      </w:r>
    </w:p>
    <w:p w14:paraId="3CE7853D"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a.- Anteojos de Proteccion</w:t>
      </w:r>
    </w:p>
    <w:p w14:paraId="18EF54B2"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b.- Guantes de Hule</w:t>
      </w:r>
    </w:p>
    <w:p w14:paraId="3090FAD8"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c.- Delantal Plástico</w:t>
      </w:r>
    </w:p>
    <w:p w14:paraId="44F40390"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d.- Botas de HuleI</w:t>
      </w:r>
    </w:p>
    <w:p w14:paraId="60399602" w14:textId="77777777" w:rsidR="003B68DB" w:rsidRPr="003B68DB" w:rsidRDefault="003B68DB" w:rsidP="003B68DB">
      <w:pPr>
        <w:rPr>
          <w:rFonts w:ascii="Arial" w:hAnsi="Arial"/>
          <w:szCs w:val="24"/>
          <w:lang w:val="es-ES" w:eastAsia="es-ES"/>
        </w:rPr>
      </w:pPr>
    </w:p>
    <w:p w14:paraId="1C3CBDBE"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89" w:name="_Toc22648255"/>
      <w:bookmarkStart w:id="1790" w:name="_Toc22654004"/>
      <w:r w:rsidRPr="00181F97">
        <w:rPr>
          <w:rFonts w:ascii="Arial" w:eastAsia="Arial Narrow" w:hAnsi="Arial" w:cs="Arial"/>
          <w:b/>
          <w:bCs/>
          <w:iCs/>
          <w:szCs w:val="24"/>
          <w:lang w:val="es-NI"/>
        </w:rPr>
        <w:t>Precaución</w:t>
      </w:r>
      <w:bookmarkEnd w:id="1789"/>
      <w:bookmarkEnd w:id="1790"/>
    </w:p>
    <w:p w14:paraId="6147F4E4" w14:textId="77777777" w:rsidR="003B68DB" w:rsidRPr="003B68DB" w:rsidRDefault="003B68DB" w:rsidP="003B68DB">
      <w:pPr>
        <w:rPr>
          <w:rFonts w:ascii="Arial" w:hAnsi="Arial"/>
          <w:szCs w:val="24"/>
          <w:lang w:val="es-ES" w:eastAsia="es-ES"/>
        </w:rPr>
      </w:pPr>
    </w:p>
    <w:p w14:paraId="208ACAFD" w14:textId="77777777" w:rsidR="003B68DB" w:rsidRPr="003B68DB" w:rsidRDefault="003B68DB" w:rsidP="003B68DB">
      <w:pPr>
        <w:rPr>
          <w:rFonts w:ascii="Arial" w:hAnsi="Arial"/>
          <w:szCs w:val="24"/>
          <w:lang w:val="es-ES" w:eastAsia="es-ES"/>
        </w:rPr>
      </w:pPr>
      <w:r w:rsidRPr="003B68DB">
        <w:rPr>
          <w:rFonts w:ascii="Arial" w:hAnsi="Arial"/>
          <w:szCs w:val="24"/>
          <w:lang w:val="es-ES" w:eastAsia="es-ES"/>
        </w:rPr>
        <w:t>Si el operador de la solución, se salpica la piel o la vista, lavarse inmediatamente con abundante agua y cuando se trate de la vista, luego visite al médico.</w:t>
      </w:r>
    </w:p>
    <w:p w14:paraId="0799FE91" w14:textId="77777777" w:rsidR="003B68DB" w:rsidRPr="003B68DB" w:rsidRDefault="003B68DB" w:rsidP="003B68DB">
      <w:pPr>
        <w:rPr>
          <w:rFonts w:ascii="Arial" w:hAnsi="Arial"/>
          <w:szCs w:val="24"/>
          <w:lang w:val="es-ES" w:eastAsia="es-ES"/>
        </w:rPr>
      </w:pPr>
    </w:p>
    <w:p w14:paraId="39C7AC0F" w14:textId="77777777" w:rsidR="003B68DB" w:rsidRPr="003B68DB" w:rsidRDefault="003B68DB" w:rsidP="003B68DB">
      <w:pPr>
        <w:rPr>
          <w:rFonts w:ascii="Arial" w:hAnsi="Arial"/>
          <w:szCs w:val="24"/>
          <w:lang w:val="es-ES" w:eastAsia="es-ES"/>
        </w:rPr>
      </w:pPr>
    </w:p>
    <w:p w14:paraId="3C209BCF" w14:textId="77777777" w:rsidR="003B68DB" w:rsidRPr="003B68DB" w:rsidRDefault="003B68DB" w:rsidP="003B68DB">
      <w:pPr>
        <w:keepNext/>
        <w:keepLines/>
        <w:ind w:left="432" w:hanging="432"/>
        <w:outlineLvl w:val="0"/>
        <w:rPr>
          <w:rFonts w:ascii="Arial" w:eastAsia="Arial" w:hAnsi="Arial"/>
          <w:b/>
          <w:szCs w:val="24"/>
          <w:lang w:val="es-ES" w:eastAsia="es-ES"/>
        </w:rPr>
      </w:pPr>
      <w:bookmarkStart w:id="1791" w:name="_Toc22391704"/>
      <w:bookmarkStart w:id="1792" w:name="_Toc22654005"/>
      <w:r w:rsidRPr="003B68DB">
        <w:rPr>
          <w:rFonts w:ascii="Arial" w:eastAsia="Arial" w:hAnsi="Arial"/>
          <w:b/>
          <w:szCs w:val="24"/>
          <w:lang w:val="es-ES" w:eastAsia="es-ES"/>
        </w:rPr>
        <w:t>ESPECIFICACIONES TÉCNICAS PARA INSTALACIÓN DE CONEXION DOMICILIAR</w:t>
      </w:r>
      <w:bookmarkEnd w:id="1791"/>
      <w:bookmarkEnd w:id="1792"/>
    </w:p>
    <w:p w14:paraId="4A061E4E" w14:textId="77777777" w:rsidR="003B68DB" w:rsidRPr="003B68DB" w:rsidRDefault="003B68DB" w:rsidP="003B68DB">
      <w:pPr>
        <w:rPr>
          <w:rFonts w:ascii="Arial" w:hAnsi="Arial" w:cs="Arial"/>
          <w:szCs w:val="24"/>
          <w:lang w:val="es-ES" w:eastAsia="es-ES"/>
        </w:rPr>
      </w:pPr>
    </w:p>
    <w:p w14:paraId="67C56276"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93" w:name="_Toc22391705"/>
      <w:bookmarkStart w:id="1794" w:name="_Toc22654006"/>
      <w:r w:rsidRPr="00181F97">
        <w:rPr>
          <w:rFonts w:ascii="Arial" w:eastAsia="Arial Narrow" w:hAnsi="Arial" w:cs="Arial"/>
          <w:b/>
          <w:bCs/>
          <w:iCs/>
          <w:szCs w:val="24"/>
          <w:lang w:val="es-NI"/>
        </w:rPr>
        <w:t>Trabajo Comprendido</w:t>
      </w:r>
      <w:bookmarkEnd w:id="1793"/>
      <w:bookmarkEnd w:id="1794"/>
    </w:p>
    <w:p w14:paraId="1A5F37B0" w14:textId="77777777" w:rsidR="003B68DB" w:rsidRPr="003B68DB" w:rsidRDefault="003B68DB" w:rsidP="003B68DB">
      <w:pPr>
        <w:rPr>
          <w:rFonts w:ascii="Arial" w:hAnsi="Arial" w:cs="Arial"/>
          <w:b/>
          <w:szCs w:val="24"/>
          <w:lang w:val="es-ES" w:eastAsia="es-ES"/>
        </w:rPr>
      </w:pPr>
    </w:p>
    <w:p w14:paraId="51E8273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Comprende el suministro de todos los materiales, herramientas, equipo, transporte y mano de obra necesaria para instalar conexiones domiciliares y relocalización de conexiones domiciliares existentes, según esquema mostrado en los planos.</w:t>
      </w:r>
    </w:p>
    <w:p w14:paraId="52353F5F" w14:textId="77777777" w:rsidR="003B68DB" w:rsidRPr="003B68DB" w:rsidRDefault="003B68DB" w:rsidP="003B68DB">
      <w:pPr>
        <w:rPr>
          <w:rFonts w:ascii="Arial" w:hAnsi="Arial" w:cs="Arial"/>
          <w:szCs w:val="24"/>
          <w:lang w:val="es-ES" w:eastAsia="es-ES"/>
        </w:rPr>
      </w:pPr>
    </w:p>
    <w:p w14:paraId="5FCD09E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 El Contratista debe realizar por su propia cuenta las localizaciones y descubrimiento de tubería existente, excavación y relleno, compactación, remoción de agua, instalación de la conexión, restauración de la superficie a su estado original y todo lo necesario para dejar un trabajo completamente terminado a satisfacción de La Alcaldía.</w:t>
      </w:r>
    </w:p>
    <w:p w14:paraId="580206C9" w14:textId="77777777" w:rsidR="003B68DB" w:rsidRPr="003B68DB" w:rsidRDefault="003B68DB" w:rsidP="003B68DB">
      <w:pPr>
        <w:rPr>
          <w:rFonts w:ascii="Arial" w:hAnsi="Arial" w:cs="Arial"/>
          <w:szCs w:val="24"/>
          <w:lang w:val="es-ES" w:eastAsia="es-ES"/>
        </w:rPr>
      </w:pPr>
    </w:p>
    <w:p w14:paraId="60CB305F"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795" w:name="_Toc22391706"/>
      <w:bookmarkStart w:id="1796" w:name="_Toc22654007"/>
      <w:r w:rsidRPr="00181F97">
        <w:rPr>
          <w:rFonts w:ascii="Arial" w:eastAsia="Arial Narrow" w:hAnsi="Arial" w:cs="Arial"/>
          <w:b/>
          <w:bCs/>
          <w:iCs/>
          <w:szCs w:val="24"/>
          <w:lang w:val="es-NI"/>
        </w:rPr>
        <w:lastRenderedPageBreak/>
        <w:t>Materiales</w:t>
      </w:r>
      <w:bookmarkEnd w:id="1795"/>
      <w:bookmarkEnd w:id="1796"/>
    </w:p>
    <w:p w14:paraId="6E0BA72B" w14:textId="77777777" w:rsidR="003B68DB" w:rsidRPr="003B68DB" w:rsidRDefault="003B68DB" w:rsidP="003B68DB">
      <w:pPr>
        <w:rPr>
          <w:rFonts w:ascii="Arial" w:hAnsi="Arial" w:cs="Arial"/>
          <w:szCs w:val="24"/>
          <w:lang w:val="es-ES" w:eastAsia="es-ES"/>
        </w:rPr>
      </w:pPr>
    </w:p>
    <w:p w14:paraId="501903B9"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Los matariles a necesitar se mencionan a continuación </w:t>
      </w:r>
    </w:p>
    <w:p w14:paraId="6AB0A7A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97" w:name="_Toc22391707"/>
      <w:bookmarkStart w:id="1798" w:name="_Toc22654008"/>
      <w:r w:rsidRPr="003B68DB">
        <w:rPr>
          <w:rFonts w:ascii="Arial" w:eastAsia="Arial Narrow" w:hAnsi="Arial" w:cs="Arial"/>
          <w:b/>
          <w:bCs/>
          <w:iCs/>
          <w:szCs w:val="22"/>
          <w:lang w:val="es-ES" w:bidi="en-US"/>
        </w:rPr>
        <w:t>Medidor domiciliar de agua</w:t>
      </w:r>
      <w:bookmarkEnd w:id="1797"/>
      <w:bookmarkEnd w:id="1798"/>
    </w:p>
    <w:p w14:paraId="161C642C" w14:textId="77777777" w:rsidR="003B68DB" w:rsidRPr="003B68DB" w:rsidRDefault="003B68DB" w:rsidP="003B68DB">
      <w:pPr>
        <w:rPr>
          <w:rFonts w:ascii="Arial" w:hAnsi="Arial" w:cs="Arial"/>
          <w:b/>
          <w:szCs w:val="24"/>
          <w:lang w:val="es-ES" w:eastAsia="es-ES"/>
        </w:rPr>
      </w:pPr>
    </w:p>
    <w:p w14:paraId="5A3BAFCB"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Los medidores domiciliares son del tipo de velocidad de chorro múltiple, de lectura recta en sistema métrico, con cuerpo de bronce, tapa de plástico o de latón, registro del tipo seco, con regulador, de las dimensiones y capacidades requeridas, y garantizado para un funcionamiento ininterrumpido de cinco (5) Años.</w:t>
      </w:r>
    </w:p>
    <w:p w14:paraId="3ED3E759" w14:textId="77777777" w:rsidR="003B68DB" w:rsidRPr="003B68DB" w:rsidRDefault="003B68DB" w:rsidP="003B68DB">
      <w:pPr>
        <w:rPr>
          <w:rFonts w:ascii="Arial" w:hAnsi="Arial" w:cs="Arial"/>
          <w:szCs w:val="24"/>
          <w:lang w:val="es-ES" w:eastAsia="es-ES"/>
        </w:rPr>
      </w:pPr>
    </w:p>
    <w:p w14:paraId="625F0AAF"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Todos los medidores suministrados deben llenar las siguientes especificaciones:</w:t>
      </w:r>
    </w:p>
    <w:p w14:paraId="7329D51B" w14:textId="77777777" w:rsidR="003B68DB" w:rsidRPr="003B68DB" w:rsidRDefault="003B68DB" w:rsidP="003B68DB">
      <w:pPr>
        <w:rPr>
          <w:rFonts w:ascii="Arial" w:hAnsi="Arial" w:cs="Arial"/>
          <w:szCs w:val="24"/>
          <w:lang w:val="es-ES" w:eastAsia="es-ES"/>
        </w:rPr>
      </w:pPr>
    </w:p>
    <w:p w14:paraId="26E15E7A"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El tipo es: de velocidad de chorro múltiple, clase B.</w:t>
      </w:r>
    </w:p>
    <w:p w14:paraId="2EF236ED" w14:textId="77777777" w:rsidR="003B68DB" w:rsidRPr="003B68DB" w:rsidRDefault="003B68DB" w:rsidP="003B68DB">
      <w:pPr>
        <w:ind w:left="708"/>
        <w:rPr>
          <w:rFonts w:ascii="Arial" w:hAnsi="Arial" w:cs="Arial"/>
          <w:szCs w:val="24"/>
          <w:lang w:val="es-ES" w:eastAsia="es-ES"/>
        </w:rPr>
      </w:pPr>
    </w:p>
    <w:p w14:paraId="1D31FC50"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La transmisión magnética debe asegurar la separación total entre la cámara de medición (parte húmeda del medio) y la cápsula del registro (parte seca).</w:t>
      </w:r>
    </w:p>
    <w:p w14:paraId="21A95737" w14:textId="77777777" w:rsidR="003B68DB" w:rsidRPr="003B68DB" w:rsidRDefault="003B68DB" w:rsidP="003B68DB">
      <w:pPr>
        <w:ind w:left="708"/>
        <w:rPr>
          <w:rFonts w:ascii="Arial" w:hAnsi="Arial" w:cs="Arial"/>
          <w:szCs w:val="24"/>
          <w:lang w:val="es-ES" w:eastAsia="es-ES"/>
        </w:rPr>
      </w:pPr>
    </w:p>
    <w:p w14:paraId="78839DC3"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Debe tener registro, cápsula y anillo de sujeción del tipo seco, protegido en una cápsula, de cierre hermético a la humedad y el polvo, que no presente vaho al funcionar y con garantía de funcionamiento no menor de cinco años (lo cual debe ser indicado en la oferta y confirmado en el contrato). Si se presentan fallas dentro del período de garantía, el fabricante debe reemplazar el registro sin costo alguno para el dueño.</w:t>
      </w:r>
    </w:p>
    <w:p w14:paraId="6C48384D" w14:textId="77777777" w:rsidR="003B68DB" w:rsidRPr="003B68DB" w:rsidRDefault="003B68DB" w:rsidP="003B68DB">
      <w:pPr>
        <w:ind w:left="708"/>
        <w:rPr>
          <w:rFonts w:ascii="Arial" w:hAnsi="Arial" w:cs="Arial"/>
          <w:szCs w:val="24"/>
          <w:lang w:val="es-ES" w:eastAsia="es-ES"/>
        </w:rPr>
      </w:pPr>
    </w:p>
    <w:p w14:paraId="29A4C28F"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El plástico utilizado en las piezas del registro debe ser de buena calidad, para que no sufra deformaciones dentro de las temperaturas límites, o se dañe por las condiciones de trabajo e instalación del medidor. La parte superior de la cápsula es de vidrio o de plástico de ingeniería, de alta resistencia al impacto y a la abrasión. La base de la cápsula puede ser de aleación de bronce o de plástico resistente.</w:t>
      </w:r>
    </w:p>
    <w:p w14:paraId="30C8A0AC" w14:textId="77777777" w:rsidR="003B68DB" w:rsidRPr="003B68DB" w:rsidRDefault="003B68DB" w:rsidP="003B68DB">
      <w:pPr>
        <w:ind w:left="708"/>
        <w:rPr>
          <w:rFonts w:ascii="Arial" w:hAnsi="Arial" w:cs="Arial"/>
          <w:szCs w:val="24"/>
          <w:lang w:val="es-ES" w:eastAsia="es-ES"/>
        </w:rPr>
      </w:pPr>
    </w:p>
    <w:p w14:paraId="1BC8AD38"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 xml:space="preserve">La cápsula está firmemente unida al cuerpo del medidor, mediante un anillo de sujeción con un sistema de cierre que dificulte su remoción, para que no pueda ser removida, a menos que el medidor sea removido de la línea y que se parte superior sea también removida, rompiendo el sello de alambre que lo protege. </w:t>
      </w:r>
    </w:p>
    <w:p w14:paraId="7CAA02CD" w14:textId="77777777" w:rsidR="003B68DB" w:rsidRPr="003B68DB" w:rsidRDefault="003B68DB" w:rsidP="003B68DB">
      <w:pPr>
        <w:ind w:left="708"/>
        <w:rPr>
          <w:rFonts w:ascii="Arial" w:hAnsi="Arial" w:cs="Arial"/>
          <w:szCs w:val="24"/>
          <w:lang w:val="es-ES" w:eastAsia="es-ES"/>
        </w:rPr>
      </w:pPr>
    </w:p>
    <w:p w14:paraId="213A5AED"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Con respecto a las conexiones y roscas, todos los medidores tienen sus bocas de unión solidarias al cuerpo y están previstas de rosca macho rectas, conforme a las normas de la American Nacional Standard Institute (ANSI – 8.2.1).</w:t>
      </w:r>
    </w:p>
    <w:p w14:paraId="56BEF1AA" w14:textId="77777777" w:rsidR="003B68DB" w:rsidRPr="003B68DB" w:rsidRDefault="003B68DB" w:rsidP="003B68DB">
      <w:pPr>
        <w:ind w:left="708"/>
        <w:rPr>
          <w:rFonts w:ascii="Arial" w:hAnsi="Arial" w:cs="Arial"/>
          <w:szCs w:val="24"/>
          <w:lang w:val="es-ES" w:eastAsia="es-ES"/>
        </w:rPr>
      </w:pPr>
    </w:p>
    <w:p w14:paraId="7649F01B" w14:textId="77777777" w:rsidR="003B68DB" w:rsidRPr="003B68DB" w:rsidRDefault="003B68DB" w:rsidP="003B68DB">
      <w:pPr>
        <w:numPr>
          <w:ilvl w:val="0"/>
          <w:numId w:val="162"/>
        </w:numPr>
        <w:contextualSpacing/>
        <w:rPr>
          <w:rFonts w:ascii="Arial" w:hAnsi="Arial" w:cs="Arial"/>
          <w:szCs w:val="24"/>
          <w:lang w:val="es-ES" w:eastAsia="es-ES"/>
        </w:rPr>
      </w:pPr>
      <w:r w:rsidRPr="003B68DB">
        <w:rPr>
          <w:rFonts w:ascii="Arial" w:hAnsi="Arial" w:cs="Arial"/>
          <w:szCs w:val="24"/>
          <w:lang w:val="es-ES" w:eastAsia="es-ES"/>
        </w:rPr>
        <w:t>El medidor está provisto de un filtro (strainer) de plástico u otro material apropiado, localizado en la boca de entrada, que debe ser rígido y de fácil remoción.</w:t>
      </w:r>
    </w:p>
    <w:p w14:paraId="0D8D247D" w14:textId="77777777" w:rsidR="003B68DB" w:rsidRPr="003B68DB" w:rsidRDefault="003B68DB" w:rsidP="003B68DB">
      <w:pPr>
        <w:rPr>
          <w:rFonts w:ascii="Arial" w:hAnsi="Arial" w:cs="Arial"/>
          <w:szCs w:val="24"/>
          <w:lang w:val="es-ES" w:eastAsia="es-ES"/>
        </w:rPr>
      </w:pPr>
    </w:p>
    <w:p w14:paraId="7ABD7971"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799" w:name="_Toc22391708"/>
      <w:bookmarkStart w:id="1800" w:name="_Toc22654009"/>
      <w:r w:rsidRPr="003B68DB">
        <w:rPr>
          <w:rFonts w:ascii="Arial" w:eastAsia="Arial Narrow" w:hAnsi="Arial" w:cs="Arial"/>
          <w:b/>
          <w:bCs/>
          <w:iCs/>
          <w:szCs w:val="22"/>
          <w:lang w:val="es-ES" w:bidi="en-US"/>
        </w:rPr>
        <w:t>Tuberías y Accesorio</w:t>
      </w:r>
      <w:bookmarkEnd w:id="1799"/>
      <w:bookmarkEnd w:id="1800"/>
    </w:p>
    <w:p w14:paraId="51E8E06E" w14:textId="77777777" w:rsidR="003B68DB" w:rsidRPr="003B68DB" w:rsidRDefault="003B68DB" w:rsidP="003B68DB">
      <w:pPr>
        <w:rPr>
          <w:rFonts w:ascii="Arial" w:hAnsi="Arial" w:cs="Arial"/>
          <w:b/>
          <w:szCs w:val="24"/>
          <w:lang w:val="es-ES" w:eastAsia="es-ES"/>
        </w:rPr>
      </w:pPr>
    </w:p>
    <w:p w14:paraId="6DF6C9E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lastRenderedPageBreak/>
        <w:t xml:space="preserve">La tubería a utilizarse en las conexiones domiciliares es de cloruro de polivinilo (PVC) el cual debe ajustarse a las normas ASTM D-2241, Cédula SDR-13.5 para una presión de trabajo de 315 psi. </w:t>
      </w:r>
    </w:p>
    <w:p w14:paraId="2FABA87D" w14:textId="77777777" w:rsidR="003B68DB" w:rsidRPr="003B68DB" w:rsidRDefault="003B68DB" w:rsidP="003B68DB">
      <w:pPr>
        <w:rPr>
          <w:rFonts w:ascii="Arial" w:hAnsi="Arial" w:cs="Arial"/>
          <w:szCs w:val="24"/>
          <w:lang w:val="es-ES" w:eastAsia="es-ES"/>
        </w:rPr>
      </w:pPr>
    </w:p>
    <w:p w14:paraId="676B7EAD"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tipo de unión para la tubería de diámetro nominal 1/2” es con extremo acampanado para hacer uniones cementadas. Los accesorios de PVC de la conexión son Cédula 40.</w:t>
      </w:r>
    </w:p>
    <w:p w14:paraId="21E7A6B0" w14:textId="77777777" w:rsidR="003B68DB" w:rsidRPr="003B68DB" w:rsidRDefault="003B68DB" w:rsidP="003B68DB">
      <w:pPr>
        <w:rPr>
          <w:rFonts w:ascii="Arial" w:hAnsi="Arial" w:cs="Arial"/>
          <w:szCs w:val="24"/>
          <w:lang w:val="es-ES" w:eastAsia="es-ES"/>
        </w:rPr>
      </w:pPr>
    </w:p>
    <w:p w14:paraId="4EF280B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Las abrazaderas o silletas para la unión de la conexión domiciliar con la tubería matriz principal son de PVC y tienen pernos de acero de diámetro nominal 1/2” y tuercas hexagonales.</w:t>
      </w:r>
    </w:p>
    <w:p w14:paraId="48417B1F" w14:textId="77777777" w:rsidR="003B68DB" w:rsidRPr="003B68DB" w:rsidRDefault="003B68DB" w:rsidP="003B68DB">
      <w:pPr>
        <w:rPr>
          <w:rFonts w:ascii="Arial" w:hAnsi="Arial" w:cs="Arial"/>
          <w:szCs w:val="24"/>
          <w:lang w:val="es-ES" w:eastAsia="es-ES"/>
        </w:rPr>
      </w:pPr>
    </w:p>
    <w:p w14:paraId="131D316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diámetro interno de las abrazaderas debe ser adaptable al diámetro externo de la tubería matriz, no debiendo existir protuberancias en la superficie interior del cuerpo de la abrazadera que pueda obstaculizar el apoyo uniforme de la misma sobre el tubo de alimentación de la conexión.</w:t>
      </w:r>
    </w:p>
    <w:p w14:paraId="61FCE76D" w14:textId="77777777" w:rsidR="003B68DB" w:rsidRPr="003B68DB" w:rsidRDefault="003B68DB" w:rsidP="003B68DB">
      <w:pPr>
        <w:rPr>
          <w:rFonts w:ascii="Arial" w:hAnsi="Arial" w:cs="Arial"/>
          <w:szCs w:val="24"/>
          <w:lang w:val="es-ES" w:eastAsia="es-ES"/>
        </w:rPr>
      </w:pPr>
    </w:p>
    <w:p w14:paraId="3E47247A" w14:textId="77777777" w:rsidR="003B68DB" w:rsidRPr="00181F97" w:rsidRDefault="003B68DB" w:rsidP="003B68DB">
      <w:pPr>
        <w:keepNext/>
        <w:numPr>
          <w:ilvl w:val="1"/>
          <w:numId w:val="0"/>
        </w:numPr>
        <w:ind w:left="576" w:hanging="576"/>
        <w:outlineLvl w:val="1"/>
        <w:rPr>
          <w:rFonts w:ascii="Arial" w:eastAsia="Arial Narrow" w:hAnsi="Arial" w:cs="Arial"/>
          <w:b/>
          <w:bCs/>
          <w:iCs/>
          <w:szCs w:val="24"/>
          <w:lang w:val="es-NI"/>
        </w:rPr>
      </w:pPr>
      <w:bookmarkStart w:id="1801" w:name="_Toc22391709"/>
      <w:bookmarkStart w:id="1802" w:name="_Toc22654010"/>
      <w:r w:rsidRPr="00181F97">
        <w:rPr>
          <w:rFonts w:ascii="Arial" w:eastAsia="Arial Narrow" w:hAnsi="Arial" w:cs="Arial"/>
          <w:b/>
          <w:bCs/>
          <w:iCs/>
          <w:szCs w:val="24"/>
          <w:lang w:val="es-NI"/>
        </w:rPr>
        <w:t>Actividades Constructivas</w:t>
      </w:r>
      <w:bookmarkEnd w:id="1801"/>
      <w:bookmarkEnd w:id="1802"/>
    </w:p>
    <w:p w14:paraId="4A4F3B08" w14:textId="77777777" w:rsidR="003B68DB" w:rsidRPr="003B68DB" w:rsidRDefault="003B68DB" w:rsidP="003B68DB">
      <w:pPr>
        <w:rPr>
          <w:rFonts w:ascii="Arial" w:hAnsi="Arial" w:cs="Arial"/>
          <w:szCs w:val="24"/>
          <w:lang w:val="es-ES" w:eastAsia="es-ES"/>
        </w:rPr>
      </w:pPr>
    </w:p>
    <w:p w14:paraId="5C986C29" w14:textId="77777777" w:rsidR="003B68DB" w:rsidRPr="003B68DB" w:rsidRDefault="003B68DB" w:rsidP="003B68DB">
      <w:pPr>
        <w:rPr>
          <w:rFonts w:ascii="Arial" w:hAnsi="Arial"/>
          <w:b/>
          <w:szCs w:val="24"/>
          <w:lang w:val="es-ES" w:eastAsia="es-ES"/>
        </w:rPr>
      </w:pPr>
      <w:r w:rsidRPr="003B68DB">
        <w:rPr>
          <w:rFonts w:ascii="Arial" w:hAnsi="Arial" w:cs="Arial"/>
          <w:szCs w:val="24"/>
          <w:lang w:val="es-ES" w:eastAsia="es-ES"/>
        </w:rPr>
        <w:t xml:space="preserve">El Supervisor sañala al Contratista la ubicación exacta de cada una de las conexiones a construir. </w:t>
      </w:r>
      <w:r w:rsidRPr="003B68DB">
        <w:rPr>
          <w:rFonts w:ascii="Arial" w:hAnsi="Arial"/>
          <w:b/>
          <w:szCs w:val="24"/>
          <w:lang w:val="es-ES" w:eastAsia="es-ES"/>
        </w:rPr>
        <w:t>Obras para las conexiones domiciliares.</w:t>
      </w:r>
    </w:p>
    <w:p w14:paraId="5E7A3AF5" w14:textId="77777777" w:rsidR="003B68DB" w:rsidRPr="003B68DB" w:rsidRDefault="003B68DB" w:rsidP="003B68DB">
      <w:pPr>
        <w:rPr>
          <w:rFonts w:ascii="Arial" w:hAnsi="Arial" w:cs="Arial"/>
          <w:szCs w:val="24"/>
          <w:lang w:val="es-ES" w:eastAsia="es-ES"/>
        </w:rPr>
      </w:pPr>
    </w:p>
    <w:p w14:paraId="1234AF95"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debe suministrar, tender y conectar tubería nueva PVC 1120 SDR 13.5 para conexiones domiciliares con sus accesorios para acoples y transición de diámetros correspondientes, indicados en planos de la tubería de distribución.</w:t>
      </w:r>
    </w:p>
    <w:p w14:paraId="0A40B429" w14:textId="77777777" w:rsidR="003B68DB" w:rsidRPr="003B68DB" w:rsidRDefault="003B68DB" w:rsidP="003B68DB">
      <w:pPr>
        <w:rPr>
          <w:rFonts w:ascii="Arial" w:hAnsi="Arial" w:cs="Arial"/>
          <w:szCs w:val="24"/>
          <w:lang w:val="es-ES" w:eastAsia="es-ES"/>
        </w:rPr>
      </w:pPr>
    </w:p>
    <w:p w14:paraId="6F4C31E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contratista debe instalar medidores domiciliares, llaves de chorro, válvulas, cajas protectoras Instalación y puesta en operación 223 conexiones domiciliares con micromedición. La conexión domiciliar llega hasta el lindero de la propiedad, a partir de ahí la extensión o ampliación dentro del inmueble la asume el propietario.</w:t>
      </w:r>
    </w:p>
    <w:p w14:paraId="59226C4A" w14:textId="77777777" w:rsidR="003B68DB" w:rsidRPr="003B68DB" w:rsidRDefault="003B68DB" w:rsidP="003B68DB">
      <w:pPr>
        <w:rPr>
          <w:rFonts w:ascii="Arial" w:hAnsi="Arial" w:cs="Arial"/>
          <w:szCs w:val="24"/>
          <w:lang w:val="es-ES" w:eastAsia="es-ES"/>
        </w:rPr>
      </w:pPr>
    </w:p>
    <w:p w14:paraId="18A12DE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diámetro nominal de las conexiones y de los grifos es de ½" (12 mm.). Todo medidor debe ser instalado con su respectiva caja de protección prefabricada de plástico.</w:t>
      </w:r>
    </w:p>
    <w:p w14:paraId="7A6B84CE" w14:textId="77777777" w:rsidR="003B68DB" w:rsidRPr="003B68DB" w:rsidRDefault="003B68DB" w:rsidP="003B68DB">
      <w:pPr>
        <w:rPr>
          <w:rFonts w:ascii="Arial" w:hAnsi="Arial" w:cs="Arial"/>
          <w:szCs w:val="24"/>
          <w:lang w:val="es-ES" w:eastAsia="es-ES"/>
        </w:rPr>
      </w:pPr>
    </w:p>
    <w:p w14:paraId="09D2DD62"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803" w:name="_Toc22391710"/>
      <w:bookmarkStart w:id="1804" w:name="_Toc22654011"/>
      <w:r w:rsidRPr="003B68DB">
        <w:rPr>
          <w:rFonts w:ascii="Arial" w:eastAsia="Arial Narrow" w:hAnsi="Arial" w:cs="Arial"/>
          <w:b/>
          <w:bCs/>
          <w:iCs/>
          <w:szCs w:val="22"/>
          <w:lang w:val="es-ES" w:bidi="en-US"/>
        </w:rPr>
        <w:t>Excavación</w:t>
      </w:r>
      <w:bookmarkEnd w:id="1803"/>
      <w:bookmarkEnd w:id="1804"/>
    </w:p>
    <w:p w14:paraId="7983A688" w14:textId="77777777" w:rsidR="003B68DB" w:rsidRPr="003B68DB" w:rsidRDefault="003B68DB" w:rsidP="003B68DB">
      <w:pPr>
        <w:rPr>
          <w:rFonts w:ascii="Arial" w:hAnsi="Arial" w:cs="Arial"/>
          <w:szCs w:val="24"/>
          <w:lang w:val="es-ES" w:eastAsia="es-ES"/>
        </w:rPr>
      </w:pPr>
    </w:p>
    <w:p w14:paraId="4A98968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trazado de las conexiones es a 90° respecto a la tubería de alimentación de la conexión. Las excavaciones se realizan con esta alineación, variando la profundidad de 1.00 m en el punto de conexión de la tubería principal y 0.80 metros en el final de la misma. Los costados de la zanja deben ser verticales y el fondo conformado a mano de tal manera que se obtenga un apoyo uniforme, continuo en toda su longitud. El ancho de la zanja no debe exceder de 0.60 metros.</w:t>
      </w:r>
    </w:p>
    <w:p w14:paraId="5AD2D0AB" w14:textId="77777777" w:rsidR="003B68DB" w:rsidRPr="003B68DB" w:rsidRDefault="003B68DB" w:rsidP="003B68DB">
      <w:pPr>
        <w:rPr>
          <w:rFonts w:ascii="Arial" w:hAnsi="Arial" w:cs="Arial"/>
          <w:szCs w:val="24"/>
          <w:lang w:val="es-ES" w:eastAsia="es-ES"/>
        </w:rPr>
      </w:pPr>
    </w:p>
    <w:p w14:paraId="649C08FC"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 xml:space="preserve">Cuando en el fondo de la zanja se encuentren materiales inestables, basura o materiales orgánicos, deben ser removidos y reemplazados por material granular. El Contratista remueve toda agua que se colecte en las zanjas mientras se están haciendo las </w:t>
      </w:r>
      <w:r w:rsidRPr="003B68DB">
        <w:rPr>
          <w:rFonts w:ascii="Arial" w:hAnsi="Arial" w:cs="Arial"/>
          <w:szCs w:val="24"/>
          <w:lang w:val="es-ES" w:eastAsia="es-ES"/>
        </w:rPr>
        <w:lastRenderedPageBreak/>
        <w:t>conexiones. No se permite la entrada de agua a las tuberías. El agua encontrada es eliminada de una manera satisfactoria para El Supervisor.</w:t>
      </w:r>
    </w:p>
    <w:p w14:paraId="511195B8" w14:textId="77777777" w:rsidR="003B68DB" w:rsidRPr="003B68DB" w:rsidRDefault="003B68DB" w:rsidP="003B68DB">
      <w:pPr>
        <w:rPr>
          <w:rFonts w:ascii="Arial" w:hAnsi="Arial" w:cs="Arial"/>
          <w:szCs w:val="24"/>
          <w:lang w:val="es-ES" w:eastAsia="es-ES"/>
        </w:rPr>
      </w:pPr>
    </w:p>
    <w:p w14:paraId="2AA99C72" w14:textId="77777777" w:rsidR="003B68DB" w:rsidRPr="003B68DB" w:rsidRDefault="003B68DB" w:rsidP="003B68DB">
      <w:pPr>
        <w:rPr>
          <w:rFonts w:ascii="Arial" w:hAnsi="Arial" w:cs="Arial"/>
          <w:szCs w:val="24"/>
          <w:lang w:val="es-ES" w:eastAsia="es-ES"/>
        </w:rPr>
      </w:pPr>
    </w:p>
    <w:p w14:paraId="47E38AC5"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805" w:name="_Toc22391711"/>
      <w:bookmarkStart w:id="1806" w:name="_Toc22654012"/>
      <w:r w:rsidRPr="003B68DB">
        <w:rPr>
          <w:rFonts w:ascii="Arial" w:eastAsia="Arial Narrow" w:hAnsi="Arial" w:cs="Arial"/>
          <w:b/>
          <w:bCs/>
          <w:iCs/>
          <w:szCs w:val="22"/>
          <w:lang w:val="es-ES" w:bidi="en-US"/>
        </w:rPr>
        <w:t>Instalación de tubería</w:t>
      </w:r>
      <w:bookmarkEnd w:id="1805"/>
      <w:bookmarkEnd w:id="1806"/>
    </w:p>
    <w:p w14:paraId="7F4F7ABC" w14:textId="77777777" w:rsidR="003B68DB" w:rsidRPr="003B68DB" w:rsidRDefault="003B68DB" w:rsidP="003B68DB">
      <w:pPr>
        <w:rPr>
          <w:rFonts w:ascii="Arial" w:hAnsi="Arial" w:cs="Arial"/>
          <w:szCs w:val="24"/>
          <w:lang w:val="es-ES" w:eastAsia="es-ES"/>
        </w:rPr>
      </w:pPr>
    </w:p>
    <w:p w14:paraId="27246FF7"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La perforación de tubería de servicios de agua potable se hará en un costado del tubo en un ángulo de 45 grados respecto al eje horizontal. Antes de colocar la abrazadera, el tubo debe limpiarse con un cepillo hasta dejar la superficie uniforme y lisa donde se ajuste completamente la abrazadera. Las tuercas de la abrazadera deben apretarse uniformemente y lo suficiente para proveer una conexión hermética, pero que no llegue a ocasionar ruptura de la tubería. Después de efectuada la perforación, al agujero debe introducirse un punzón para remover las virutas de material que pueda haber quedado.</w:t>
      </w:r>
    </w:p>
    <w:p w14:paraId="3BE81F56" w14:textId="77777777" w:rsidR="003B68DB" w:rsidRPr="003B68DB" w:rsidRDefault="003B68DB" w:rsidP="003B68DB">
      <w:pPr>
        <w:rPr>
          <w:rFonts w:ascii="Arial" w:hAnsi="Arial" w:cs="Arial"/>
          <w:szCs w:val="24"/>
          <w:lang w:val="es-ES" w:eastAsia="es-ES"/>
        </w:rPr>
      </w:pPr>
    </w:p>
    <w:p w14:paraId="53070074"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tapón hembra de la conexión domiciliar debe quedar a 0.40 metros de la línea de derecho de vía. Antes de colocar el tapón, la tubería debe drenarse durante unos minutos, para lavarlas y eliminar cualquier suciedad que pueda encontrarse dentro.</w:t>
      </w:r>
    </w:p>
    <w:p w14:paraId="4EA956A7" w14:textId="77777777" w:rsidR="003B68DB" w:rsidRPr="003B68DB" w:rsidRDefault="003B68DB" w:rsidP="003B68DB">
      <w:pPr>
        <w:rPr>
          <w:rFonts w:ascii="Arial" w:hAnsi="Arial" w:cs="Arial"/>
          <w:szCs w:val="24"/>
          <w:lang w:val="es-ES" w:eastAsia="es-ES"/>
        </w:rPr>
      </w:pPr>
    </w:p>
    <w:p w14:paraId="516E2FD1"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El detalle de la conexión domiciliar de agua potable aparece en los planos.</w:t>
      </w:r>
    </w:p>
    <w:p w14:paraId="0B2D3507" w14:textId="77777777" w:rsidR="003B68DB" w:rsidRPr="003B68DB" w:rsidRDefault="003B68DB" w:rsidP="003B68DB">
      <w:pPr>
        <w:rPr>
          <w:rFonts w:ascii="Arial" w:hAnsi="Arial" w:cs="Arial"/>
          <w:szCs w:val="24"/>
          <w:lang w:val="es-ES" w:eastAsia="es-ES"/>
        </w:rPr>
      </w:pPr>
    </w:p>
    <w:p w14:paraId="605807B0" w14:textId="77777777" w:rsidR="003B68DB" w:rsidRPr="003B68DB" w:rsidRDefault="003B68DB" w:rsidP="003B68DB">
      <w:pPr>
        <w:keepNext/>
        <w:numPr>
          <w:ilvl w:val="2"/>
          <w:numId w:val="0"/>
        </w:numPr>
        <w:ind w:left="720" w:hanging="720"/>
        <w:outlineLvl w:val="2"/>
        <w:rPr>
          <w:rFonts w:ascii="Arial" w:eastAsia="Arial Narrow" w:hAnsi="Arial" w:cs="Arial"/>
          <w:b/>
          <w:bCs/>
          <w:iCs/>
          <w:szCs w:val="22"/>
          <w:lang w:val="es-ES" w:bidi="en-US"/>
        </w:rPr>
      </w:pPr>
      <w:bookmarkStart w:id="1807" w:name="_Toc22391712"/>
      <w:bookmarkStart w:id="1808" w:name="_Toc22654013"/>
      <w:r w:rsidRPr="003B68DB">
        <w:rPr>
          <w:rFonts w:ascii="Arial" w:eastAsia="Arial Narrow" w:hAnsi="Arial" w:cs="Arial"/>
          <w:b/>
          <w:bCs/>
          <w:iCs/>
          <w:szCs w:val="22"/>
          <w:lang w:val="es-ES" w:bidi="en-US"/>
        </w:rPr>
        <w:t>Relleno y Compactación</w:t>
      </w:r>
      <w:bookmarkEnd w:id="1807"/>
      <w:bookmarkEnd w:id="1808"/>
    </w:p>
    <w:p w14:paraId="2C2BC2FB" w14:textId="77777777" w:rsidR="003B68DB" w:rsidRPr="003B68DB" w:rsidRDefault="003B68DB" w:rsidP="003B68DB">
      <w:pPr>
        <w:rPr>
          <w:rFonts w:ascii="Arial" w:hAnsi="Arial" w:cs="Arial"/>
          <w:szCs w:val="24"/>
          <w:lang w:val="es-ES" w:eastAsia="es-ES"/>
        </w:rPr>
      </w:pPr>
    </w:p>
    <w:p w14:paraId="25E3DB12" w14:textId="77777777" w:rsidR="003B68DB" w:rsidRPr="003B68DB" w:rsidRDefault="003B68DB" w:rsidP="003B68DB">
      <w:pPr>
        <w:rPr>
          <w:rFonts w:ascii="Arial" w:hAnsi="Arial" w:cs="Arial"/>
          <w:szCs w:val="24"/>
          <w:lang w:val="es-ES" w:eastAsia="es-ES"/>
        </w:rPr>
      </w:pPr>
      <w:r w:rsidRPr="003B68DB">
        <w:rPr>
          <w:rFonts w:ascii="Arial" w:hAnsi="Arial" w:cs="Arial"/>
          <w:szCs w:val="24"/>
          <w:lang w:val="es-ES" w:eastAsia="es-ES"/>
        </w:rPr>
        <w:t>Se cumpla con lo dispuesto en lo referente a relleno y compactación de tuberías.</w:t>
      </w:r>
    </w:p>
    <w:p w14:paraId="31580ABF" w14:textId="77777777" w:rsidR="003B68DB" w:rsidRPr="003B68DB" w:rsidRDefault="003B68DB" w:rsidP="003B68DB">
      <w:pPr>
        <w:rPr>
          <w:rFonts w:ascii="Arial" w:hAnsi="Arial" w:cs="Arial"/>
          <w:szCs w:val="24"/>
          <w:lang w:val="es-ES" w:eastAsia="es-ES"/>
        </w:rPr>
      </w:pPr>
    </w:p>
    <w:p w14:paraId="19A106A0" w14:textId="77777777" w:rsidR="003B68DB" w:rsidRPr="003B68DB" w:rsidRDefault="003B68DB" w:rsidP="003B68DB">
      <w:pPr>
        <w:jc w:val="left"/>
        <w:rPr>
          <w:rFonts w:ascii="Arial" w:hAnsi="Arial" w:cs="Arial"/>
          <w:szCs w:val="24"/>
          <w:lang w:val="es-ES" w:eastAsia="es-ES"/>
        </w:rPr>
      </w:pPr>
      <w:r w:rsidRPr="003B68DB">
        <w:rPr>
          <w:rFonts w:ascii="Arial" w:hAnsi="Arial" w:cs="Arial"/>
          <w:szCs w:val="24"/>
          <w:lang w:val="es-ES" w:eastAsia="es-ES"/>
        </w:rPr>
        <w:br w:type="page"/>
      </w:r>
    </w:p>
    <w:p w14:paraId="5187D54E" w14:textId="77777777" w:rsidR="003B68DB" w:rsidRPr="00181F97" w:rsidRDefault="003B68DB" w:rsidP="003B68DB">
      <w:pPr>
        <w:keepNext/>
        <w:numPr>
          <w:ilvl w:val="1"/>
          <w:numId w:val="0"/>
        </w:numPr>
        <w:ind w:left="576" w:hanging="576"/>
        <w:outlineLvl w:val="1"/>
        <w:rPr>
          <w:rFonts w:ascii="Calibri" w:eastAsia="Calibri" w:hAnsi="Calibri" w:cs="Calibri"/>
          <w:bCs/>
          <w:iCs/>
          <w:color w:val="1F4E79"/>
          <w:szCs w:val="22"/>
          <w:lang w:val="es-NI"/>
        </w:rPr>
      </w:pPr>
      <w:r w:rsidRPr="00181F97">
        <w:rPr>
          <w:rFonts w:ascii="Calibri" w:eastAsia="Calibri" w:hAnsi="Calibri" w:cs="Calibri"/>
          <w:b/>
          <w:bCs/>
          <w:iCs/>
          <w:color w:val="1F4E79"/>
          <w:szCs w:val="22"/>
          <w:lang w:val="es-NI"/>
        </w:rPr>
        <w:lastRenderedPageBreak/>
        <w:t xml:space="preserve">ESPECIFICACIONES AMBIENTALES PARTICULARES </w:t>
      </w:r>
    </w:p>
    <w:p w14:paraId="630EFF7B" w14:textId="77777777" w:rsidR="003B68DB" w:rsidRPr="003B68DB" w:rsidRDefault="003B68DB" w:rsidP="003B68DB">
      <w:pPr>
        <w:rPr>
          <w:rFonts w:ascii="Arial" w:hAnsi="Arial" w:cs="Calibri"/>
          <w:szCs w:val="24"/>
          <w:lang w:val="es-ES" w:eastAsia="es-ES"/>
        </w:rPr>
      </w:pPr>
    </w:p>
    <w:p w14:paraId="516BEBF9" w14:textId="77777777" w:rsidR="003B68DB" w:rsidRPr="003B68DB" w:rsidRDefault="003B68DB" w:rsidP="003B68DB">
      <w:pPr>
        <w:rPr>
          <w:rFonts w:ascii="Arial" w:hAnsi="Arial" w:cs="Calibri"/>
          <w:b/>
          <w:bCs/>
          <w:szCs w:val="24"/>
          <w:lang w:val="es-ES" w:eastAsia="es-ES"/>
        </w:rPr>
      </w:pPr>
      <w:r w:rsidRPr="003B68DB">
        <w:rPr>
          <w:rFonts w:ascii="Arial" w:hAnsi="Arial" w:cs="Calibri"/>
          <w:b/>
          <w:bCs/>
          <w:szCs w:val="24"/>
          <w:lang w:val="es-ES" w:eastAsia="es-ES"/>
        </w:rPr>
        <w:t>PROYECTO “19892 AGUA Y SANEAMIENTO BALSAMO ABAJO”, MUNICIPIO SAN JUAN DEL RIO COCO</w:t>
      </w:r>
    </w:p>
    <w:p w14:paraId="34488494" w14:textId="77777777" w:rsidR="003B68DB" w:rsidRPr="003B68DB" w:rsidRDefault="003B68DB" w:rsidP="003B68DB">
      <w:pPr>
        <w:rPr>
          <w:rFonts w:ascii="Arial" w:hAnsi="Arial" w:cs="Calibri"/>
          <w:b/>
          <w:bCs/>
          <w:szCs w:val="24"/>
          <w:lang w:val="es-ES" w:eastAsia="es-ES"/>
        </w:rPr>
      </w:pPr>
    </w:p>
    <w:p w14:paraId="5D12E26D" w14:textId="77777777" w:rsidR="003B68DB" w:rsidRPr="003B68DB" w:rsidRDefault="003B68DB" w:rsidP="003B68DB">
      <w:pPr>
        <w:rPr>
          <w:rFonts w:ascii="Arial" w:hAnsi="Arial" w:cs="Calibri"/>
          <w:b/>
          <w:bCs/>
          <w:szCs w:val="24"/>
          <w:lang w:val="es-ES" w:eastAsia="es-ES"/>
        </w:rPr>
      </w:pPr>
      <w:r w:rsidRPr="003B68DB">
        <w:rPr>
          <w:rFonts w:ascii="Arial" w:hAnsi="Arial" w:cs="Calibri"/>
          <w:b/>
          <w:bCs/>
          <w:szCs w:val="24"/>
          <w:lang w:val="es-ES" w:eastAsia="es-ES"/>
        </w:rPr>
        <w:t>PROGRAMA DE GESTIÓN AMBIENTAL</w:t>
      </w:r>
    </w:p>
    <w:p w14:paraId="3885666F" w14:textId="77777777" w:rsidR="003B68DB" w:rsidRPr="003B68DB" w:rsidRDefault="003B68DB" w:rsidP="003B68DB">
      <w:pPr>
        <w:rPr>
          <w:rFonts w:ascii="Arial" w:hAnsi="Arial" w:cs="Calibri"/>
          <w:bCs/>
          <w:szCs w:val="24"/>
          <w:lang w:val="es-ES" w:eastAsia="es-ES"/>
        </w:rPr>
      </w:pPr>
      <w:r w:rsidRPr="003B68DB">
        <w:rPr>
          <w:rFonts w:ascii="Arial" w:hAnsi="Arial" w:cs="Calibri"/>
          <w:bCs/>
          <w:szCs w:val="24"/>
          <w:lang w:val="es-ES" w:eastAsia="es-ES"/>
        </w:rPr>
        <w:t>El presente Programa de Gestión Ambiental contiene las medidas ambientales para mitigar los impactos ambientales de las actividades para la construcción y operación y mantenimiento del sub proyecto de agua y saneamiento en la comunidad Bálsamo Abajo. A continuación, son presentadas las medidas ambientales para mitigar los impactos del proyecto:</w:t>
      </w:r>
    </w:p>
    <w:p w14:paraId="70B78D4F" w14:textId="77777777" w:rsidR="003B68DB" w:rsidRPr="003B68DB" w:rsidRDefault="003B68DB" w:rsidP="003B68DB">
      <w:pPr>
        <w:rPr>
          <w:rFonts w:ascii="Arial" w:hAnsi="Arial" w:cs="Calibri"/>
          <w:bCs/>
          <w:szCs w:val="24"/>
          <w:lang w:val="es-ES" w:eastAsia="es-ES"/>
        </w:rPr>
      </w:pPr>
    </w:p>
    <w:p w14:paraId="4CB4F97F" w14:textId="77777777" w:rsidR="003B68DB" w:rsidRPr="003B68DB" w:rsidRDefault="003B68DB" w:rsidP="003B68DB">
      <w:pPr>
        <w:rPr>
          <w:rFonts w:ascii="Arial" w:hAnsi="Arial" w:cs="Calibri"/>
          <w:b/>
          <w:bCs/>
          <w:szCs w:val="24"/>
          <w:lang w:val="es-ES" w:eastAsia="es-ES"/>
        </w:rPr>
      </w:pPr>
      <w:r w:rsidRPr="003B68DB">
        <w:rPr>
          <w:rFonts w:ascii="Arial" w:hAnsi="Arial" w:cs="Calibri"/>
          <w:b/>
          <w:bCs/>
          <w:szCs w:val="24"/>
          <w:lang w:val="es-ES" w:eastAsia="es-ES"/>
        </w:rPr>
        <w:t>PLANES DE GESTIÓN AMBIENTAL</w:t>
      </w:r>
    </w:p>
    <w:tbl>
      <w:tblPr>
        <w:tblStyle w:val="Tablaconcuadrcula6"/>
        <w:tblW w:w="10632" w:type="dxa"/>
        <w:tblInd w:w="-856" w:type="dxa"/>
        <w:tblLook w:val="04A0" w:firstRow="1" w:lastRow="0" w:firstColumn="1" w:lastColumn="0" w:noHBand="0" w:noVBand="1"/>
      </w:tblPr>
      <w:tblGrid>
        <w:gridCol w:w="1901"/>
        <w:gridCol w:w="2140"/>
        <w:gridCol w:w="1566"/>
        <w:gridCol w:w="1675"/>
        <w:gridCol w:w="1611"/>
        <w:gridCol w:w="1739"/>
      </w:tblGrid>
      <w:tr w:rsidR="003B68DB" w:rsidRPr="003B68DB" w14:paraId="5F66567C" w14:textId="77777777" w:rsidTr="00243EB4">
        <w:tc>
          <w:tcPr>
            <w:tcW w:w="1901" w:type="dxa"/>
          </w:tcPr>
          <w:p w14:paraId="55D46942" w14:textId="77777777" w:rsidR="003B68DB" w:rsidRPr="003B68DB" w:rsidRDefault="003B68DB" w:rsidP="003B68DB">
            <w:pPr>
              <w:rPr>
                <w:rFonts w:ascii="Arial" w:hAnsi="Arial" w:cs="Calibri"/>
                <w:b/>
                <w:bCs/>
                <w:szCs w:val="24"/>
                <w:lang w:val="es-ES" w:eastAsia="es-ES"/>
              </w:rPr>
            </w:pPr>
            <w:r w:rsidRPr="003B68DB">
              <w:rPr>
                <w:rFonts w:ascii="Arial" w:hAnsi="Arial" w:cs="Calibri"/>
                <w:b/>
                <w:bCs/>
                <w:szCs w:val="24"/>
                <w:lang w:val="es-ES" w:eastAsia="es-ES"/>
              </w:rPr>
              <w:t>Nº 1</w:t>
            </w:r>
          </w:p>
        </w:tc>
        <w:tc>
          <w:tcPr>
            <w:tcW w:w="8731" w:type="dxa"/>
            <w:gridSpan w:val="5"/>
          </w:tcPr>
          <w:p w14:paraId="50D6E6F0" w14:textId="77777777" w:rsidR="003B68DB" w:rsidRPr="003B68DB" w:rsidRDefault="003B68DB" w:rsidP="003B68DB">
            <w:pPr>
              <w:rPr>
                <w:rFonts w:ascii="Arial" w:hAnsi="Arial" w:cs="Calibri"/>
                <w:b/>
                <w:bCs/>
                <w:szCs w:val="24"/>
                <w:lang w:val="es-ES" w:eastAsia="es-ES"/>
              </w:rPr>
            </w:pPr>
            <w:r w:rsidRPr="003B68DB">
              <w:rPr>
                <w:rFonts w:ascii="Arial" w:hAnsi="Arial" w:cs="Calibri"/>
                <w:b/>
                <w:bCs/>
                <w:szCs w:val="24"/>
                <w:lang w:val="es-ES" w:eastAsia="es-ES"/>
              </w:rPr>
              <w:t>NOMBRE DEL PLAN: PLAN DE GESTIÓN DEL MEDIO BIÓTICO</w:t>
            </w:r>
          </w:p>
        </w:tc>
      </w:tr>
      <w:tr w:rsidR="003B68DB" w:rsidRPr="003B68DB" w14:paraId="00CEF81F" w14:textId="77777777" w:rsidTr="00243EB4">
        <w:tc>
          <w:tcPr>
            <w:tcW w:w="1901" w:type="dxa"/>
            <w:vAlign w:val="center"/>
          </w:tcPr>
          <w:p w14:paraId="7410AFF5" w14:textId="77777777" w:rsidR="003B68DB" w:rsidRPr="003B68DB" w:rsidRDefault="003B68DB" w:rsidP="003B68DB">
            <w:pPr>
              <w:spacing w:after="160" w:line="259" w:lineRule="auto"/>
              <w:jc w:val="center"/>
              <w:rPr>
                <w:rFonts w:ascii="Arial" w:hAnsi="Arial" w:cs="Calibri"/>
                <w:b/>
                <w:bCs/>
                <w:szCs w:val="24"/>
                <w:lang w:val="es-ES" w:eastAsia="es-ES"/>
              </w:rPr>
            </w:pPr>
            <w:r w:rsidRPr="003B68DB">
              <w:rPr>
                <w:rFonts w:ascii="Arial" w:hAnsi="Arial" w:cs="Calibri"/>
                <w:b/>
                <w:bCs/>
                <w:szCs w:val="24"/>
                <w:lang w:val="es-ES" w:eastAsia="es-ES"/>
              </w:rPr>
              <w:t>ACTIVIDAD IMPACTANTE</w:t>
            </w:r>
          </w:p>
        </w:tc>
        <w:tc>
          <w:tcPr>
            <w:tcW w:w="2140" w:type="dxa"/>
            <w:vAlign w:val="center"/>
          </w:tcPr>
          <w:p w14:paraId="3F3B2CD6" w14:textId="77777777" w:rsidR="003B68DB" w:rsidRPr="003B68DB" w:rsidRDefault="003B68DB" w:rsidP="003B68DB">
            <w:pPr>
              <w:spacing w:after="160" w:line="259" w:lineRule="auto"/>
              <w:jc w:val="center"/>
              <w:rPr>
                <w:rFonts w:ascii="Arial" w:hAnsi="Arial" w:cs="Calibri"/>
                <w:b/>
                <w:bCs/>
                <w:szCs w:val="24"/>
                <w:lang w:val="es-ES" w:eastAsia="es-ES"/>
              </w:rPr>
            </w:pPr>
            <w:r w:rsidRPr="003B68DB">
              <w:rPr>
                <w:rFonts w:ascii="Arial" w:hAnsi="Arial" w:cs="Calibri"/>
                <w:b/>
                <w:bCs/>
                <w:szCs w:val="24"/>
                <w:lang w:val="es-ES" w:eastAsia="es-ES"/>
              </w:rPr>
              <w:t>IMPACTO AMBIENTAL POTENCIAL</w:t>
            </w:r>
          </w:p>
        </w:tc>
        <w:tc>
          <w:tcPr>
            <w:tcW w:w="1630" w:type="dxa"/>
            <w:vAlign w:val="center"/>
          </w:tcPr>
          <w:p w14:paraId="5C33D7B2" w14:textId="77777777" w:rsidR="003B68DB" w:rsidRPr="003B68DB" w:rsidRDefault="003B68DB" w:rsidP="003B68DB">
            <w:pPr>
              <w:spacing w:after="160" w:line="259" w:lineRule="auto"/>
              <w:jc w:val="center"/>
              <w:rPr>
                <w:rFonts w:ascii="Arial" w:hAnsi="Arial" w:cs="Calibri"/>
                <w:b/>
                <w:bCs/>
                <w:szCs w:val="24"/>
                <w:lang w:val="es-ES" w:eastAsia="es-ES"/>
              </w:rPr>
            </w:pPr>
            <w:r w:rsidRPr="003B68DB">
              <w:rPr>
                <w:rFonts w:ascii="Arial" w:hAnsi="Arial" w:cs="Calibri"/>
                <w:b/>
                <w:bCs/>
                <w:szCs w:val="24"/>
                <w:lang w:val="es-ES" w:eastAsia="es-ES"/>
              </w:rPr>
              <w:t>MEDIDA AMBIENTAL</w:t>
            </w:r>
          </w:p>
        </w:tc>
        <w:tc>
          <w:tcPr>
            <w:tcW w:w="1701" w:type="dxa"/>
            <w:vAlign w:val="center"/>
          </w:tcPr>
          <w:p w14:paraId="4BE6AC38" w14:textId="77777777" w:rsidR="003B68DB" w:rsidRPr="003B68DB" w:rsidRDefault="003B68DB" w:rsidP="003B68DB">
            <w:pPr>
              <w:spacing w:after="160" w:line="259" w:lineRule="auto"/>
              <w:jc w:val="center"/>
              <w:rPr>
                <w:rFonts w:ascii="Arial" w:hAnsi="Arial" w:cs="Calibri"/>
                <w:b/>
                <w:bCs/>
                <w:szCs w:val="24"/>
                <w:lang w:val="es-ES" w:eastAsia="es-ES"/>
              </w:rPr>
            </w:pPr>
            <w:r w:rsidRPr="003B68DB">
              <w:rPr>
                <w:rFonts w:ascii="Arial" w:hAnsi="Arial" w:cs="Calibri"/>
                <w:b/>
                <w:bCs/>
                <w:szCs w:val="24"/>
                <w:lang w:val="es-ES" w:eastAsia="es-ES"/>
              </w:rPr>
              <w:t>DESCRIPCIÓN</w:t>
            </w:r>
          </w:p>
        </w:tc>
        <w:tc>
          <w:tcPr>
            <w:tcW w:w="1701" w:type="dxa"/>
            <w:vAlign w:val="center"/>
          </w:tcPr>
          <w:p w14:paraId="6B69B10A" w14:textId="77777777" w:rsidR="003B68DB" w:rsidRPr="003B68DB" w:rsidRDefault="003B68DB" w:rsidP="003B68DB">
            <w:pPr>
              <w:spacing w:after="160" w:line="259" w:lineRule="auto"/>
              <w:jc w:val="center"/>
              <w:rPr>
                <w:rFonts w:ascii="Arial" w:hAnsi="Arial" w:cs="Calibri"/>
                <w:b/>
                <w:bCs/>
                <w:szCs w:val="24"/>
                <w:lang w:val="es-ES" w:eastAsia="es-ES"/>
              </w:rPr>
            </w:pPr>
            <w:r w:rsidRPr="003B68DB">
              <w:rPr>
                <w:rFonts w:ascii="Arial" w:hAnsi="Arial" w:cs="Calibri"/>
                <w:b/>
                <w:bCs/>
                <w:szCs w:val="24"/>
                <w:lang w:val="es-ES" w:eastAsia="es-ES"/>
              </w:rPr>
              <w:t>COSTO DE LA MEDIDA</w:t>
            </w:r>
          </w:p>
        </w:tc>
        <w:tc>
          <w:tcPr>
            <w:tcW w:w="1559" w:type="dxa"/>
            <w:vAlign w:val="center"/>
          </w:tcPr>
          <w:p w14:paraId="50B9BE86" w14:textId="77777777" w:rsidR="003B68DB" w:rsidRPr="003B68DB" w:rsidRDefault="003B68DB" w:rsidP="003B68DB">
            <w:pPr>
              <w:spacing w:after="160" w:line="259" w:lineRule="auto"/>
              <w:jc w:val="center"/>
              <w:rPr>
                <w:rFonts w:ascii="Arial" w:hAnsi="Arial" w:cs="Calibri"/>
                <w:b/>
                <w:bCs/>
                <w:szCs w:val="24"/>
                <w:lang w:val="es-ES" w:eastAsia="es-ES"/>
              </w:rPr>
            </w:pPr>
            <w:r w:rsidRPr="003B68DB">
              <w:rPr>
                <w:rFonts w:ascii="Arial" w:hAnsi="Arial" w:cs="Calibri"/>
                <w:b/>
                <w:bCs/>
                <w:szCs w:val="24"/>
                <w:lang w:val="es-ES" w:eastAsia="es-ES"/>
              </w:rPr>
              <w:t>RESPONSABLE</w:t>
            </w:r>
          </w:p>
        </w:tc>
      </w:tr>
      <w:tr w:rsidR="003B68DB" w:rsidRPr="003B68DB" w14:paraId="142D68C3" w14:textId="77777777" w:rsidTr="00243EB4">
        <w:trPr>
          <w:trHeight w:val="578"/>
        </w:trPr>
        <w:tc>
          <w:tcPr>
            <w:tcW w:w="1901" w:type="dxa"/>
            <w:noWrap/>
          </w:tcPr>
          <w:p w14:paraId="1F115DC8" w14:textId="77777777" w:rsidR="003B68DB" w:rsidRPr="003B68DB" w:rsidRDefault="003B68DB" w:rsidP="003B68DB">
            <w:pPr>
              <w:spacing w:after="160" w:line="259" w:lineRule="auto"/>
              <w:rPr>
                <w:rFonts w:ascii="Arial" w:hAnsi="Arial" w:cs="Calibri"/>
                <w:szCs w:val="24"/>
                <w:lang w:val="es-ES" w:eastAsia="es-ES"/>
              </w:rPr>
            </w:pPr>
            <w:r w:rsidRPr="003B68DB">
              <w:rPr>
                <w:rFonts w:ascii="Arial" w:hAnsi="Arial" w:cs="Calibri"/>
                <w:szCs w:val="24"/>
                <w:lang w:val="es-ES" w:eastAsia="es-ES"/>
              </w:rPr>
              <w:t>Limpieza y excavación.</w:t>
            </w:r>
          </w:p>
        </w:tc>
        <w:tc>
          <w:tcPr>
            <w:tcW w:w="2140" w:type="dxa"/>
            <w:noWrap/>
          </w:tcPr>
          <w:p w14:paraId="7847950D" w14:textId="77777777" w:rsidR="003B68DB" w:rsidRPr="003B68DB" w:rsidRDefault="003B68DB" w:rsidP="003B68DB">
            <w:pPr>
              <w:spacing w:after="160" w:line="259" w:lineRule="auto"/>
              <w:rPr>
                <w:rFonts w:ascii="Arial" w:hAnsi="Arial" w:cs="Calibri"/>
                <w:szCs w:val="24"/>
                <w:lang w:val="es-ES" w:eastAsia="es-ES"/>
              </w:rPr>
            </w:pPr>
            <w:r w:rsidRPr="003B68DB">
              <w:rPr>
                <w:rFonts w:ascii="Arial" w:hAnsi="Arial" w:cs="Calibri"/>
                <w:szCs w:val="24"/>
                <w:lang w:val="es-ES" w:eastAsia="es-ES"/>
              </w:rPr>
              <w:t>Cambios temporales en la zona afectada por la instalación de la línea de conducción y la red de distribución.</w:t>
            </w:r>
          </w:p>
        </w:tc>
        <w:tc>
          <w:tcPr>
            <w:tcW w:w="1630" w:type="dxa"/>
          </w:tcPr>
          <w:p w14:paraId="6D2DFF6E" w14:textId="77777777" w:rsidR="003B68DB" w:rsidRPr="003B68DB" w:rsidRDefault="003B68DB" w:rsidP="003B68DB">
            <w:pPr>
              <w:spacing w:after="160" w:line="259" w:lineRule="auto"/>
              <w:rPr>
                <w:rFonts w:ascii="Arial" w:hAnsi="Arial" w:cs="Calibri"/>
                <w:bCs/>
                <w:szCs w:val="24"/>
                <w:lang w:val="es-ES" w:eastAsia="es-ES"/>
              </w:rPr>
            </w:pPr>
            <w:r w:rsidRPr="003B68DB">
              <w:rPr>
                <w:rFonts w:ascii="Arial" w:hAnsi="Arial" w:cs="Calibri"/>
                <w:bCs/>
                <w:szCs w:val="24"/>
                <w:lang w:val="es-ES" w:eastAsia="es-ES"/>
              </w:rPr>
              <w:t>Reutilizar el material de excavación para relleno en la zanja donde estará instalada la línea de conducción y la red de distribución.</w:t>
            </w:r>
          </w:p>
        </w:tc>
        <w:tc>
          <w:tcPr>
            <w:tcW w:w="1701" w:type="dxa"/>
          </w:tcPr>
          <w:p w14:paraId="18AD102E" w14:textId="77777777" w:rsidR="003B68DB" w:rsidRPr="003B68DB" w:rsidRDefault="003B68DB" w:rsidP="003B68DB">
            <w:pPr>
              <w:spacing w:after="160" w:line="259" w:lineRule="auto"/>
              <w:rPr>
                <w:rFonts w:ascii="Arial" w:hAnsi="Arial" w:cs="Calibri"/>
                <w:szCs w:val="24"/>
                <w:lang w:val="es-ES" w:eastAsia="es-ES"/>
              </w:rPr>
            </w:pPr>
            <w:r w:rsidRPr="003B68DB">
              <w:rPr>
                <w:rFonts w:ascii="Arial" w:hAnsi="Arial" w:cs="Calibri"/>
                <w:szCs w:val="24"/>
                <w:lang w:val="es-ES" w:eastAsia="es-ES"/>
              </w:rPr>
              <w:t>El material que sea extraído de la excavación se usará nuevamente para el relleno de la misma, a la vez que se promoverá la reconformación del terreno a la configuración original.</w:t>
            </w:r>
          </w:p>
        </w:tc>
        <w:tc>
          <w:tcPr>
            <w:tcW w:w="1701" w:type="dxa"/>
          </w:tcPr>
          <w:p w14:paraId="425279DF" w14:textId="77777777" w:rsidR="003B68DB" w:rsidRPr="003B68DB" w:rsidRDefault="003B68DB" w:rsidP="003B68DB">
            <w:pPr>
              <w:spacing w:after="160" w:line="259" w:lineRule="auto"/>
              <w:rPr>
                <w:rFonts w:ascii="Arial" w:hAnsi="Arial" w:cs="Calibri"/>
                <w:szCs w:val="24"/>
                <w:lang w:val="es-ES" w:eastAsia="es-ES"/>
              </w:rPr>
            </w:pPr>
            <w:r w:rsidRPr="003B68DB">
              <w:rPr>
                <w:rFonts w:ascii="Arial" w:hAnsi="Arial" w:cs="Calibri"/>
                <w:szCs w:val="24"/>
                <w:lang w:val="es-ES" w:eastAsia="es-ES"/>
              </w:rPr>
              <w:t>Estas medidas están incorporadas dentro de los costos de ingeniería.</w:t>
            </w:r>
          </w:p>
        </w:tc>
        <w:tc>
          <w:tcPr>
            <w:tcW w:w="1559" w:type="dxa"/>
          </w:tcPr>
          <w:p w14:paraId="711A2C96" w14:textId="77777777" w:rsidR="003B68DB" w:rsidRPr="003B68DB" w:rsidRDefault="003B68DB" w:rsidP="003B68DB">
            <w:pPr>
              <w:spacing w:after="160" w:line="259" w:lineRule="auto"/>
              <w:rPr>
                <w:rFonts w:ascii="Arial" w:hAnsi="Arial" w:cs="Calibri"/>
                <w:szCs w:val="24"/>
                <w:lang w:val="es-ES" w:eastAsia="es-ES"/>
              </w:rPr>
            </w:pPr>
            <w:r w:rsidRPr="003B68DB">
              <w:rPr>
                <w:rFonts w:ascii="Arial" w:hAnsi="Arial" w:cs="Calibri"/>
                <w:szCs w:val="24"/>
                <w:lang w:val="es-ES" w:eastAsia="es-ES"/>
              </w:rPr>
              <w:t>Contratista</w:t>
            </w:r>
          </w:p>
        </w:tc>
      </w:tr>
    </w:tbl>
    <w:p w14:paraId="2D18B478" w14:textId="77777777" w:rsidR="003B68DB" w:rsidRPr="003B68DB" w:rsidRDefault="003B68DB" w:rsidP="003B68DB">
      <w:pPr>
        <w:rPr>
          <w:rFonts w:ascii="Arial" w:hAnsi="Arial" w:cs="Calibri"/>
          <w:szCs w:val="24"/>
          <w:lang w:val="es-ES" w:eastAsia="es-ES"/>
        </w:rPr>
      </w:pPr>
    </w:p>
    <w:tbl>
      <w:tblPr>
        <w:tblStyle w:val="Tablaconcuadrcula6"/>
        <w:tblW w:w="10632" w:type="dxa"/>
        <w:tblInd w:w="-856" w:type="dxa"/>
        <w:tblLook w:val="04A0" w:firstRow="1" w:lastRow="0" w:firstColumn="1" w:lastColumn="0" w:noHBand="0" w:noVBand="1"/>
      </w:tblPr>
      <w:tblGrid>
        <w:gridCol w:w="1844"/>
        <w:gridCol w:w="2126"/>
        <w:gridCol w:w="1751"/>
        <w:gridCol w:w="1806"/>
        <w:gridCol w:w="1462"/>
        <w:gridCol w:w="1739"/>
      </w:tblGrid>
      <w:tr w:rsidR="003B68DB" w:rsidRPr="003B68DB" w14:paraId="75E3A996" w14:textId="77777777" w:rsidTr="00243EB4">
        <w:tc>
          <w:tcPr>
            <w:tcW w:w="1844" w:type="dxa"/>
          </w:tcPr>
          <w:p w14:paraId="27D018D7" w14:textId="77777777" w:rsidR="003B68DB" w:rsidRPr="003B68DB" w:rsidRDefault="003B68DB" w:rsidP="003B68DB">
            <w:pPr>
              <w:rPr>
                <w:rFonts w:ascii="Arial" w:hAnsi="Arial" w:cs="Calibri"/>
                <w:b/>
                <w:bCs/>
                <w:lang w:val="es-ES" w:eastAsia="es-ES"/>
              </w:rPr>
            </w:pPr>
            <w:r w:rsidRPr="003B68DB">
              <w:rPr>
                <w:rFonts w:ascii="Arial" w:hAnsi="Arial" w:cs="Calibri"/>
                <w:b/>
                <w:bCs/>
                <w:lang w:val="es-ES" w:eastAsia="es-ES"/>
              </w:rPr>
              <w:t>Nº 2</w:t>
            </w:r>
          </w:p>
        </w:tc>
        <w:tc>
          <w:tcPr>
            <w:tcW w:w="8788" w:type="dxa"/>
            <w:gridSpan w:val="5"/>
          </w:tcPr>
          <w:p w14:paraId="7555C140" w14:textId="77777777" w:rsidR="003B68DB" w:rsidRPr="003B68DB" w:rsidRDefault="003B68DB" w:rsidP="003B68DB">
            <w:pPr>
              <w:rPr>
                <w:rFonts w:ascii="Arial" w:hAnsi="Arial" w:cs="Calibri"/>
                <w:b/>
                <w:bCs/>
                <w:lang w:val="es-ES" w:eastAsia="es-ES"/>
              </w:rPr>
            </w:pPr>
            <w:r w:rsidRPr="003B68DB">
              <w:rPr>
                <w:rFonts w:ascii="Arial" w:hAnsi="Arial" w:cs="Calibri"/>
                <w:b/>
                <w:bCs/>
                <w:lang w:val="es-ES" w:eastAsia="es-ES"/>
              </w:rPr>
              <w:t>NOMBRE DEL PLAN:  PLAN DE GESTIÓN DE LOS RIESGOS AMBIENTALES</w:t>
            </w:r>
          </w:p>
        </w:tc>
      </w:tr>
      <w:tr w:rsidR="003B68DB" w:rsidRPr="003B68DB" w14:paraId="599538B1" w14:textId="77777777" w:rsidTr="00243EB4">
        <w:tc>
          <w:tcPr>
            <w:tcW w:w="1844" w:type="dxa"/>
            <w:vAlign w:val="center"/>
          </w:tcPr>
          <w:p w14:paraId="39EDCAB7"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t>ACTIVIDAD IMPACTANTE</w:t>
            </w:r>
          </w:p>
        </w:tc>
        <w:tc>
          <w:tcPr>
            <w:tcW w:w="2126" w:type="dxa"/>
            <w:vAlign w:val="center"/>
          </w:tcPr>
          <w:p w14:paraId="7286A59F"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t>IMPACTO AMBIENTAL POTENCIAL</w:t>
            </w:r>
          </w:p>
        </w:tc>
        <w:tc>
          <w:tcPr>
            <w:tcW w:w="1771" w:type="dxa"/>
            <w:vAlign w:val="center"/>
          </w:tcPr>
          <w:p w14:paraId="328CA81E"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t>MEDIDA AMBIENTAL</w:t>
            </w:r>
          </w:p>
        </w:tc>
        <w:tc>
          <w:tcPr>
            <w:tcW w:w="1837" w:type="dxa"/>
            <w:vAlign w:val="center"/>
          </w:tcPr>
          <w:p w14:paraId="591A5B57"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t>DESCRIPCIÓN</w:t>
            </w:r>
          </w:p>
        </w:tc>
        <w:tc>
          <w:tcPr>
            <w:tcW w:w="2204" w:type="dxa"/>
            <w:vAlign w:val="center"/>
          </w:tcPr>
          <w:p w14:paraId="632F0DA4"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t>COSTO DE LA MEDIDA</w:t>
            </w:r>
          </w:p>
        </w:tc>
        <w:tc>
          <w:tcPr>
            <w:tcW w:w="850" w:type="dxa"/>
            <w:vAlign w:val="center"/>
          </w:tcPr>
          <w:p w14:paraId="1F2B4225"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t>RESPONSABLE</w:t>
            </w:r>
          </w:p>
        </w:tc>
      </w:tr>
      <w:tr w:rsidR="003B68DB" w:rsidRPr="003B68DB" w14:paraId="76F43FE4" w14:textId="77777777" w:rsidTr="00243EB4">
        <w:trPr>
          <w:trHeight w:val="578"/>
        </w:trPr>
        <w:tc>
          <w:tcPr>
            <w:tcW w:w="1844" w:type="dxa"/>
            <w:noWrap/>
          </w:tcPr>
          <w:p w14:paraId="4CACC16E" w14:textId="77777777" w:rsidR="003B68DB" w:rsidRPr="003B68DB" w:rsidRDefault="003B68DB" w:rsidP="003B68DB">
            <w:pPr>
              <w:spacing w:after="160" w:line="259" w:lineRule="auto"/>
              <w:rPr>
                <w:rFonts w:ascii="Arial" w:hAnsi="Arial" w:cs="Calibri"/>
                <w:b/>
                <w:lang w:val="es-ES" w:eastAsia="es-ES"/>
              </w:rPr>
            </w:pPr>
            <w:r w:rsidRPr="003B68DB">
              <w:rPr>
                <w:rFonts w:ascii="Arial" w:hAnsi="Arial" w:cs="Calibri"/>
                <w:b/>
                <w:lang w:val="es-ES" w:eastAsia="es-ES"/>
              </w:rPr>
              <w:t>Movimientos de tierra, limpieza del terreno y construcción de las obras.</w:t>
            </w:r>
          </w:p>
        </w:tc>
        <w:tc>
          <w:tcPr>
            <w:tcW w:w="2126" w:type="dxa"/>
            <w:noWrap/>
          </w:tcPr>
          <w:p w14:paraId="1A857EB7"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Generación de residuos sólidos.</w:t>
            </w:r>
          </w:p>
        </w:tc>
        <w:tc>
          <w:tcPr>
            <w:tcW w:w="1771" w:type="dxa"/>
          </w:tcPr>
          <w:p w14:paraId="0E5AFF96"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Disposición adecuada de los residuos de limpieza y extracción de tierra.</w:t>
            </w:r>
          </w:p>
          <w:p w14:paraId="540BCD72" w14:textId="77777777" w:rsidR="003B68DB" w:rsidRPr="003B68DB" w:rsidRDefault="003B68DB" w:rsidP="003B68DB">
            <w:pPr>
              <w:spacing w:after="160" w:line="259" w:lineRule="auto"/>
              <w:rPr>
                <w:rFonts w:ascii="Arial" w:hAnsi="Arial" w:cs="Calibri"/>
                <w:bCs/>
                <w:lang w:val="es-ES" w:eastAsia="es-ES"/>
              </w:rPr>
            </w:pPr>
          </w:p>
          <w:p w14:paraId="63D571D8"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 xml:space="preserve">Humedecimiento constante del material para evitar la </w:t>
            </w:r>
            <w:r w:rsidRPr="003B68DB">
              <w:rPr>
                <w:rFonts w:ascii="Arial" w:hAnsi="Arial" w:cs="Calibri"/>
                <w:bCs/>
                <w:lang w:val="es-ES" w:eastAsia="es-ES"/>
              </w:rPr>
              <w:lastRenderedPageBreak/>
              <w:t>suspensión de polvo en el área.</w:t>
            </w:r>
          </w:p>
        </w:tc>
        <w:tc>
          <w:tcPr>
            <w:tcW w:w="1837" w:type="dxa"/>
            <w:vMerge w:val="restart"/>
          </w:tcPr>
          <w:p w14:paraId="0E7D46BC"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lastRenderedPageBreak/>
              <w:t xml:space="preserve">Los residuos generados producto de los movimientos de tierra serán dispuestos en zonas aledañas al sitio de construcción en áreas con </w:t>
            </w:r>
            <w:r w:rsidRPr="003B68DB">
              <w:rPr>
                <w:rFonts w:ascii="Arial" w:hAnsi="Arial" w:cs="Calibri"/>
                <w:bCs/>
                <w:lang w:val="es-ES" w:eastAsia="es-ES"/>
              </w:rPr>
              <w:lastRenderedPageBreak/>
              <w:t>pendientes suaves.</w:t>
            </w:r>
          </w:p>
          <w:p w14:paraId="770F56E9"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En caso de generarse desechos orgánicos e inorgánicos no peligrosos, éstos serán enterrados en un sitio (zanja sanitaria) previamente designado y</w:t>
            </w:r>
          </w:p>
          <w:p w14:paraId="228626D3"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previamente autorizado por las instancias correspondientes.</w:t>
            </w:r>
          </w:p>
          <w:p w14:paraId="0F8C4200"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bCs/>
                <w:lang w:val="es-ES" w:eastAsia="es-ES"/>
              </w:rPr>
              <w:t>Los residuos sólidos no deberán ser mezclados para garantizar su reciclaje o reutilización.</w:t>
            </w:r>
          </w:p>
        </w:tc>
        <w:tc>
          <w:tcPr>
            <w:tcW w:w="2204" w:type="dxa"/>
          </w:tcPr>
          <w:p w14:paraId="12CCA935" w14:textId="77777777" w:rsidR="003B68DB" w:rsidRPr="003B68DB" w:rsidRDefault="003B68DB" w:rsidP="003B68DB">
            <w:pPr>
              <w:spacing w:after="160" w:line="259" w:lineRule="auto"/>
              <w:ind w:right="41"/>
              <w:rPr>
                <w:rFonts w:ascii="Arial" w:hAnsi="Arial" w:cs="Calibri"/>
                <w:lang w:val="es-ES" w:eastAsia="es-ES"/>
              </w:rPr>
            </w:pPr>
            <w:r w:rsidRPr="003B68DB">
              <w:rPr>
                <w:rFonts w:ascii="Arial" w:hAnsi="Arial" w:cs="Calibri"/>
                <w:lang w:val="es-ES" w:eastAsia="es-ES"/>
              </w:rPr>
              <w:lastRenderedPageBreak/>
              <w:t>Estas medidas están incorporadas dentro de los costos de ingeniería.</w:t>
            </w:r>
          </w:p>
        </w:tc>
        <w:tc>
          <w:tcPr>
            <w:tcW w:w="850" w:type="dxa"/>
          </w:tcPr>
          <w:p w14:paraId="50841A5D"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Contratista</w:t>
            </w:r>
          </w:p>
        </w:tc>
      </w:tr>
      <w:tr w:rsidR="003B68DB" w:rsidRPr="003B68DB" w14:paraId="6943350D" w14:textId="77777777" w:rsidTr="00243EB4">
        <w:trPr>
          <w:trHeight w:val="578"/>
        </w:trPr>
        <w:tc>
          <w:tcPr>
            <w:tcW w:w="1844" w:type="dxa"/>
            <w:noWrap/>
          </w:tcPr>
          <w:p w14:paraId="1344136E" w14:textId="77777777" w:rsidR="003B68DB" w:rsidRPr="003B68DB" w:rsidRDefault="003B68DB" w:rsidP="003B68DB">
            <w:pPr>
              <w:spacing w:after="160" w:line="259" w:lineRule="auto"/>
              <w:rPr>
                <w:rFonts w:ascii="Arial" w:hAnsi="Arial" w:cs="Calibri"/>
                <w:b/>
                <w:lang w:val="es-ES" w:eastAsia="es-ES"/>
              </w:rPr>
            </w:pPr>
            <w:r w:rsidRPr="003B68DB">
              <w:rPr>
                <w:rFonts w:ascii="Arial" w:hAnsi="Arial" w:cs="Calibri"/>
                <w:b/>
                <w:lang w:val="es-ES" w:eastAsia="es-ES"/>
              </w:rPr>
              <w:lastRenderedPageBreak/>
              <w:t>Construcción de estructuras (formaletas y trazado o delimitación, nivelación)</w:t>
            </w:r>
          </w:p>
        </w:tc>
        <w:tc>
          <w:tcPr>
            <w:tcW w:w="2126" w:type="dxa"/>
            <w:noWrap/>
          </w:tcPr>
          <w:p w14:paraId="35AA1158"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Generación de residuos sólidos o materiales de desechos producto de la utilización de madera para formaletear, nivelación del terreno.</w:t>
            </w:r>
          </w:p>
        </w:tc>
        <w:tc>
          <w:tcPr>
            <w:tcW w:w="1771" w:type="dxa"/>
          </w:tcPr>
          <w:p w14:paraId="58682127"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Disposición adecuada de los residuos generados. En caso de material combustible de origen orgánico, se podrá entregar a los comunitarios para que puedan emplearlo como leña en sus hogares. Esto se plantea considerando que la población total de la comunidad realiza la cocción de sus alimentos con leña.</w:t>
            </w:r>
          </w:p>
        </w:tc>
        <w:tc>
          <w:tcPr>
            <w:tcW w:w="1837" w:type="dxa"/>
            <w:vMerge/>
          </w:tcPr>
          <w:p w14:paraId="2DCCBA3F" w14:textId="77777777" w:rsidR="003B68DB" w:rsidRPr="003B68DB" w:rsidRDefault="003B68DB" w:rsidP="003B68DB">
            <w:pPr>
              <w:spacing w:after="160" w:line="259" w:lineRule="auto"/>
              <w:rPr>
                <w:rFonts w:ascii="Arial" w:hAnsi="Arial" w:cs="Calibri"/>
                <w:lang w:val="es-ES" w:eastAsia="es-ES"/>
              </w:rPr>
            </w:pPr>
          </w:p>
        </w:tc>
        <w:tc>
          <w:tcPr>
            <w:tcW w:w="2204" w:type="dxa"/>
          </w:tcPr>
          <w:p w14:paraId="2211DE00"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Estas medidas están incorporadas dentro de los costos de ingeniería.</w:t>
            </w:r>
          </w:p>
        </w:tc>
        <w:tc>
          <w:tcPr>
            <w:tcW w:w="850" w:type="dxa"/>
          </w:tcPr>
          <w:p w14:paraId="227E7B0C"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Contratista</w:t>
            </w:r>
          </w:p>
        </w:tc>
      </w:tr>
      <w:tr w:rsidR="003B68DB" w:rsidRPr="003B68DB" w14:paraId="42486FC8" w14:textId="77777777" w:rsidTr="00243EB4">
        <w:trPr>
          <w:trHeight w:val="578"/>
        </w:trPr>
        <w:tc>
          <w:tcPr>
            <w:tcW w:w="1844" w:type="dxa"/>
            <w:noWrap/>
          </w:tcPr>
          <w:p w14:paraId="52572EAE"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b/>
                <w:lang w:val="es-ES" w:eastAsia="es-ES"/>
              </w:rPr>
              <w:t>Producción de desechos o</w:t>
            </w:r>
            <w:r w:rsidRPr="003B68DB">
              <w:rPr>
                <w:rFonts w:ascii="Arial" w:hAnsi="Arial" w:cs="Calibri"/>
                <w:lang w:val="es-ES" w:eastAsia="es-ES"/>
              </w:rPr>
              <w:t xml:space="preserve"> </w:t>
            </w:r>
            <w:r w:rsidRPr="003B68DB">
              <w:rPr>
                <w:rFonts w:ascii="Arial" w:hAnsi="Arial" w:cs="Calibri"/>
                <w:b/>
                <w:lang w:val="es-ES" w:eastAsia="es-ES"/>
              </w:rPr>
              <w:t>excretas humanas</w:t>
            </w:r>
          </w:p>
        </w:tc>
        <w:tc>
          <w:tcPr>
            <w:tcW w:w="2126" w:type="dxa"/>
            <w:noWrap/>
          </w:tcPr>
          <w:p w14:paraId="75A6A5D2"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Contaminación del agua superficial o alimentos de los comunitarios a través de insectos vectores.</w:t>
            </w:r>
          </w:p>
        </w:tc>
        <w:tc>
          <w:tcPr>
            <w:tcW w:w="1771" w:type="dxa"/>
          </w:tcPr>
          <w:p w14:paraId="1534569D"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Disposición de una letrina para los obreros que trabajarán en la construcción de las obras.</w:t>
            </w:r>
          </w:p>
        </w:tc>
        <w:tc>
          <w:tcPr>
            <w:tcW w:w="1837" w:type="dxa"/>
          </w:tcPr>
          <w:p w14:paraId="13EB791D"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bCs/>
                <w:lang w:val="es-ES" w:eastAsia="es-ES"/>
              </w:rPr>
              <w:t>El contratista o constructor deberá disponer de una letrina de manera temporal en la zona del proyecto, con el propósito que los obreros puedan contar con un servicio higiénico que permita realizar sus necesidades fisiológicas en un lugar adecuado, y evitar de esta forma el fecalismo al aire libre.</w:t>
            </w:r>
          </w:p>
        </w:tc>
        <w:tc>
          <w:tcPr>
            <w:tcW w:w="2204" w:type="dxa"/>
          </w:tcPr>
          <w:p w14:paraId="4B920A3A"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Estas medidas están incorporadas dentro de los costos de ingeniería.</w:t>
            </w:r>
          </w:p>
        </w:tc>
        <w:tc>
          <w:tcPr>
            <w:tcW w:w="850" w:type="dxa"/>
          </w:tcPr>
          <w:p w14:paraId="3C9F31DB"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Contratista</w:t>
            </w:r>
          </w:p>
        </w:tc>
      </w:tr>
      <w:tr w:rsidR="003B68DB" w:rsidRPr="003B68DB" w14:paraId="414C675E" w14:textId="77777777" w:rsidTr="00243EB4">
        <w:trPr>
          <w:trHeight w:val="578"/>
        </w:trPr>
        <w:tc>
          <w:tcPr>
            <w:tcW w:w="1844" w:type="dxa"/>
            <w:noWrap/>
          </w:tcPr>
          <w:p w14:paraId="6FF52199" w14:textId="77777777" w:rsidR="003B68DB" w:rsidRPr="003B68DB" w:rsidRDefault="003B68DB" w:rsidP="003B68DB">
            <w:pPr>
              <w:spacing w:after="160" w:line="259" w:lineRule="auto"/>
              <w:rPr>
                <w:rFonts w:ascii="Arial" w:hAnsi="Arial" w:cs="Calibri"/>
                <w:b/>
                <w:lang w:val="es-ES" w:eastAsia="es-ES"/>
              </w:rPr>
            </w:pPr>
            <w:r w:rsidRPr="003B68DB">
              <w:rPr>
                <w:rFonts w:ascii="Arial" w:hAnsi="Arial" w:cs="Calibri"/>
                <w:b/>
                <w:lang w:val="es-ES" w:eastAsia="es-ES"/>
              </w:rPr>
              <w:t>Remoción de suelos.</w:t>
            </w:r>
          </w:p>
        </w:tc>
        <w:tc>
          <w:tcPr>
            <w:tcW w:w="2126" w:type="dxa"/>
            <w:noWrap/>
          </w:tcPr>
          <w:p w14:paraId="2A16D189"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Erosión del suelo.</w:t>
            </w:r>
          </w:p>
        </w:tc>
        <w:tc>
          <w:tcPr>
            <w:tcW w:w="1771" w:type="dxa"/>
          </w:tcPr>
          <w:p w14:paraId="48713E6D"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 xml:space="preserve">Restablecimiento del material de </w:t>
            </w:r>
            <w:r w:rsidRPr="003B68DB">
              <w:rPr>
                <w:rFonts w:ascii="Arial" w:hAnsi="Arial" w:cs="Calibri"/>
                <w:bCs/>
                <w:lang w:val="es-ES" w:eastAsia="es-ES"/>
              </w:rPr>
              <w:lastRenderedPageBreak/>
              <w:t>cobertura original.</w:t>
            </w:r>
          </w:p>
          <w:p w14:paraId="3B74A447"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Evitar el paso de maquinaria pesada sobre suelo con cobertura vegetal fuera del área de la obra, la cual deberá ser delimitada y señalizada.</w:t>
            </w:r>
          </w:p>
          <w:p w14:paraId="04CF18FB"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Compactar el terreno con buen material de relleno. Separar la capa de material orgánico de la del material inerte, puesto que el material orgánico podría ser reutilizado.</w:t>
            </w:r>
          </w:p>
          <w:p w14:paraId="17FDF8DA" w14:textId="77777777" w:rsidR="003B68DB" w:rsidRPr="003B68DB" w:rsidRDefault="003B68DB" w:rsidP="003B68DB">
            <w:pPr>
              <w:spacing w:after="160" w:line="259" w:lineRule="auto"/>
              <w:rPr>
                <w:rFonts w:ascii="Arial" w:hAnsi="Arial" w:cs="Calibri"/>
                <w:bCs/>
                <w:lang w:val="es-ES" w:eastAsia="es-ES"/>
              </w:rPr>
            </w:pPr>
          </w:p>
          <w:p w14:paraId="0540885C"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Delimitar y señalizar las áreas de cobertura vegetal que será intervenida por las obras.</w:t>
            </w:r>
          </w:p>
          <w:p w14:paraId="17BBD7A3"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Finalizada la construcción de las obras, los materiales sobrantes y residuos deberán ser retirados del sitio del proyecto.</w:t>
            </w:r>
          </w:p>
        </w:tc>
        <w:tc>
          <w:tcPr>
            <w:tcW w:w="1837" w:type="dxa"/>
          </w:tcPr>
          <w:p w14:paraId="1C4C541F"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lastRenderedPageBreak/>
              <w:t xml:space="preserve">Se deberá observar la composición y estructura de la </w:t>
            </w:r>
            <w:r w:rsidRPr="003B68DB">
              <w:rPr>
                <w:rFonts w:ascii="Arial" w:hAnsi="Arial" w:cs="Calibri"/>
                <w:lang w:val="es-ES" w:eastAsia="es-ES"/>
              </w:rPr>
              <w:lastRenderedPageBreak/>
              <w:t>vegetación con el fin de restaurarla a su estado inicial.</w:t>
            </w:r>
          </w:p>
          <w:p w14:paraId="3743DCD0" w14:textId="77777777" w:rsidR="003B68DB" w:rsidRPr="003B68DB" w:rsidRDefault="003B68DB" w:rsidP="003B68DB">
            <w:pPr>
              <w:spacing w:after="160" w:line="259" w:lineRule="auto"/>
              <w:rPr>
                <w:rFonts w:ascii="Arial" w:hAnsi="Arial" w:cs="Calibri"/>
                <w:lang w:val="es-ES" w:eastAsia="es-ES"/>
              </w:rPr>
            </w:pPr>
          </w:p>
          <w:p w14:paraId="417AF034"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t>Se promoverá el empleo de mano de obra para realizar los trabajos mecanizados y así evitar el empleo de maquinaria pesada que podría causar daños al suelo o vegetación del lugar.</w:t>
            </w:r>
          </w:p>
        </w:tc>
        <w:tc>
          <w:tcPr>
            <w:tcW w:w="2204" w:type="dxa"/>
          </w:tcPr>
          <w:p w14:paraId="245DD029"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lastRenderedPageBreak/>
              <w:t xml:space="preserve">Estas medidas están incorporadas </w:t>
            </w:r>
            <w:r w:rsidRPr="003B68DB">
              <w:rPr>
                <w:rFonts w:ascii="Arial" w:hAnsi="Arial" w:cs="Calibri"/>
                <w:lang w:val="es-ES" w:eastAsia="es-ES"/>
              </w:rPr>
              <w:lastRenderedPageBreak/>
              <w:t>dentro de los costos de ingeniería.</w:t>
            </w:r>
          </w:p>
        </w:tc>
        <w:tc>
          <w:tcPr>
            <w:tcW w:w="850" w:type="dxa"/>
          </w:tcPr>
          <w:p w14:paraId="3E07837F" w14:textId="77777777" w:rsidR="003B68DB" w:rsidRPr="003B68DB" w:rsidRDefault="003B68DB" w:rsidP="003B68DB">
            <w:pPr>
              <w:spacing w:after="160" w:line="259" w:lineRule="auto"/>
              <w:rPr>
                <w:rFonts w:ascii="Arial" w:hAnsi="Arial" w:cs="Calibri"/>
                <w:lang w:val="es-ES" w:eastAsia="es-ES"/>
              </w:rPr>
            </w:pPr>
            <w:r w:rsidRPr="003B68DB">
              <w:rPr>
                <w:rFonts w:ascii="Arial" w:hAnsi="Arial" w:cs="Calibri"/>
                <w:lang w:val="es-ES" w:eastAsia="es-ES"/>
              </w:rPr>
              <w:lastRenderedPageBreak/>
              <w:t>Contratista</w:t>
            </w:r>
          </w:p>
        </w:tc>
      </w:tr>
      <w:tr w:rsidR="003B68DB" w:rsidRPr="003B68DB" w14:paraId="67207F5E" w14:textId="77777777" w:rsidTr="00243EB4">
        <w:tc>
          <w:tcPr>
            <w:tcW w:w="1844" w:type="dxa"/>
          </w:tcPr>
          <w:p w14:paraId="2B265EE3"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
                <w:bCs/>
                <w:lang w:val="es-ES" w:eastAsia="es-ES"/>
              </w:rPr>
              <w:lastRenderedPageBreak/>
              <w:t>Manipulación y almacenamiento de materiales y residuos</w:t>
            </w:r>
          </w:p>
        </w:tc>
        <w:tc>
          <w:tcPr>
            <w:tcW w:w="2126" w:type="dxa"/>
          </w:tcPr>
          <w:p w14:paraId="7A12E6DB" w14:textId="77777777" w:rsidR="003B68DB" w:rsidRPr="003B68DB" w:rsidRDefault="003B68DB" w:rsidP="003B68DB">
            <w:pPr>
              <w:spacing w:after="160" w:line="259" w:lineRule="auto"/>
              <w:rPr>
                <w:rFonts w:ascii="Arial" w:hAnsi="Arial" w:cs="Calibri"/>
                <w:b/>
                <w:bCs/>
                <w:lang w:val="es-ES" w:eastAsia="es-ES"/>
              </w:rPr>
            </w:pPr>
            <w:r w:rsidRPr="003B68DB">
              <w:rPr>
                <w:rFonts w:ascii="Arial" w:hAnsi="Arial" w:cs="Calibri"/>
                <w:bCs/>
                <w:lang w:val="es-ES" w:eastAsia="es-ES"/>
              </w:rPr>
              <w:t>Riesgos de contaminación de agua y suelo por derrame o vertido de grasas y combustibles.</w:t>
            </w:r>
          </w:p>
        </w:tc>
        <w:tc>
          <w:tcPr>
            <w:tcW w:w="1771" w:type="dxa"/>
          </w:tcPr>
          <w:p w14:paraId="422F48D5"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 xml:space="preserve">Definir un área para la manipulación de materiales. En caso de generar desechos de este tipo, deberán ser </w:t>
            </w:r>
            <w:r w:rsidRPr="003B68DB">
              <w:rPr>
                <w:rFonts w:ascii="Arial" w:hAnsi="Arial" w:cs="Calibri"/>
                <w:bCs/>
                <w:lang w:val="es-ES" w:eastAsia="es-ES"/>
              </w:rPr>
              <w:lastRenderedPageBreak/>
              <w:t>manejados con especial cuidado y sacados del área del proyecto, evitando que se puedan dar derrames.</w:t>
            </w:r>
          </w:p>
          <w:p w14:paraId="2B09F529"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Seleccionar sitio y ubicación de recipiente de almacenamiento de residuos.</w:t>
            </w:r>
          </w:p>
          <w:p w14:paraId="380F014F"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Recolectar los residuos (embalajes, alimenticios, otros) generados en el sitio del proyecto y recipientes definidos.</w:t>
            </w:r>
          </w:p>
          <w:p w14:paraId="32B1FE41" w14:textId="77777777" w:rsidR="003B68DB" w:rsidRPr="003B68DB" w:rsidRDefault="003B68DB" w:rsidP="003B68DB">
            <w:pPr>
              <w:spacing w:after="160" w:line="259" w:lineRule="auto"/>
              <w:rPr>
                <w:rFonts w:ascii="Arial" w:hAnsi="Arial" w:cs="Calibri"/>
                <w:bCs/>
                <w:lang w:val="es-ES" w:eastAsia="es-ES"/>
              </w:rPr>
            </w:pPr>
          </w:p>
          <w:p w14:paraId="7173D32F"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En caso de derrames de combustible, remover inmediatamente el suelo y restaurar el área afectada con materiales y métodos eficaces.</w:t>
            </w:r>
          </w:p>
          <w:p w14:paraId="0379AE89" w14:textId="77777777" w:rsidR="003B68DB" w:rsidRPr="003B68DB" w:rsidRDefault="003B68DB" w:rsidP="003B68DB">
            <w:pPr>
              <w:spacing w:after="160" w:line="259" w:lineRule="auto"/>
              <w:rPr>
                <w:rFonts w:ascii="Arial" w:hAnsi="Arial" w:cs="Calibri"/>
                <w:bCs/>
                <w:lang w:val="es-ES" w:eastAsia="es-ES"/>
              </w:rPr>
            </w:pPr>
          </w:p>
          <w:p w14:paraId="6E296601"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El acopio de los materiales deberá realizarse a una distancia prudencial y no menor a 100 m de la fuente o cauces de corrientes naturales.</w:t>
            </w:r>
          </w:p>
          <w:p w14:paraId="453B22F5"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lastRenderedPageBreak/>
              <w:t>No disponer en cauces o cursos de agua los sobrantes de mezclas de concreto.</w:t>
            </w:r>
          </w:p>
          <w:p w14:paraId="08B8EEBE"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No se deberá realizar el almacenamiento temporal de combustible en el campamento y en áreas localizadas frente a las obras.</w:t>
            </w:r>
          </w:p>
          <w:p w14:paraId="39ABAB6B"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Los residuos sólidos peligrosos generados como las hilazas, botes de pinturas entre otros, deberán ser confinados.</w:t>
            </w:r>
          </w:p>
          <w:p w14:paraId="09DBEAC9"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Se deberá designar un área de mezcla de concreto, el área será rotulada y la mezcla debe realizarse en un recipiente o sobre un plástico negro para evitar la contaminación del suelo. La mezcla de concreto deberá ser manejada cuidadosamente evitando derrame en el suelo.</w:t>
            </w:r>
          </w:p>
        </w:tc>
        <w:tc>
          <w:tcPr>
            <w:tcW w:w="1837" w:type="dxa"/>
          </w:tcPr>
          <w:p w14:paraId="54CADC5D"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lastRenderedPageBreak/>
              <w:t xml:space="preserve">Con esta medida se pretende evitar el riesgo de contaminar las aguas y el suelo del entorno, producto de un accidente </w:t>
            </w:r>
            <w:r w:rsidRPr="003B68DB">
              <w:rPr>
                <w:rFonts w:ascii="Arial" w:hAnsi="Arial" w:cs="Calibri"/>
                <w:bCs/>
                <w:lang w:val="es-ES" w:eastAsia="es-ES"/>
              </w:rPr>
              <w:lastRenderedPageBreak/>
              <w:t>asociado a la manipulación de grasas y combustibles.</w:t>
            </w:r>
          </w:p>
        </w:tc>
        <w:tc>
          <w:tcPr>
            <w:tcW w:w="2204" w:type="dxa"/>
          </w:tcPr>
          <w:p w14:paraId="0574B03C"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lastRenderedPageBreak/>
              <w:t>Incluido en los costos operacionales del contratista.</w:t>
            </w:r>
          </w:p>
        </w:tc>
        <w:tc>
          <w:tcPr>
            <w:tcW w:w="850" w:type="dxa"/>
          </w:tcPr>
          <w:p w14:paraId="6899961B" w14:textId="77777777" w:rsidR="003B68DB" w:rsidRPr="003B68DB" w:rsidRDefault="003B68DB" w:rsidP="003B68DB">
            <w:pPr>
              <w:spacing w:after="160" w:line="259" w:lineRule="auto"/>
              <w:rPr>
                <w:rFonts w:ascii="Arial" w:hAnsi="Arial" w:cs="Calibri"/>
                <w:bCs/>
                <w:lang w:val="es-ES" w:eastAsia="es-ES"/>
              </w:rPr>
            </w:pPr>
            <w:r w:rsidRPr="003B68DB">
              <w:rPr>
                <w:rFonts w:ascii="Arial" w:hAnsi="Arial" w:cs="Calibri"/>
                <w:bCs/>
                <w:lang w:val="es-ES" w:eastAsia="es-ES"/>
              </w:rPr>
              <w:t>Contratista</w:t>
            </w:r>
          </w:p>
        </w:tc>
      </w:tr>
    </w:tbl>
    <w:p w14:paraId="64C33920" w14:textId="77777777" w:rsidR="003B68DB" w:rsidRPr="003B68DB" w:rsidRDefault="003B68DB" w:rsidP="003B68DB">
      <w:pPr>
        <w:rPr>
          <w:rFonts w:ascii="Arial" w:hAnsi="Arial" w:cs="Calibri"/>
          <w:szCs w:val="24"/>
          <w:lang w:val="es-ES" w:eastAsia="es-ES"/>
        </w:rPr>
      </w:pPr>
    </w:p>
    <w:p w14:paraId="307363C2" w14:textId="77777777" w:rsidR="003B68DB" w:rsidRPr="003B68DB" w:rsidRDefault="003B68DB" w:rsidP="003B68DB">
      <w:pPr>
        <w:rPr>
          <w:rFonts w:ascii="Arial" w:hAnsi="Arial" w:cs="Calibri"/>
          <w:szCs w:val="24"/>
          <w:lang w:val="es-ES" w:eastAsia="es-ES"/>
        </w:rPr>
      </w:pPr>
    </w:p>
    <w:p w14:paraId="55C6C8DD" w14:textId="77777777" w:rsidR="003B68DB" w:rsidRPr="003B68DB" w:rsidRDefault="003B68DB" w:rsidP="003B68DB">
      <w:pPr>
        <w:rPr>
          <w:rFonts w:ascii="Arial" w:hAnsi="Arial" w:cs="Calibri"/>
          <w:b/>
          <w:bCs/>
          <w:iCs/>
          <w:szCs w:val="24"/>
          <w:u w:val="single"/>
          <w:lang w:val="es-ES" w:eastAsia="es-ES"/>
        </w:rPr>
      </w:pPr>
      <w:r w:rsidRPr="003B68DB">
        <w:rPr>
          <w:rFonts w:ascii="Arial" w:hAnsi="Arial" w:cs="Calibri"/>
          <w:b/>
          <w:bCs/>
          <w:iCs/>
          <w:szCs w:val="24"/>
          <w:u w:val="single"/>
          <w:lang w:val="es-ES" w:eastAsia="es-ES"/>
        </w:rPr>
        <w:t xml:space="preserve">PLAN DE CAPACITACIÓN Y EDUCACIÓN AMBIENTAL </w:t>
      </w:r>
    </w:p>
    <w:p w14:paraId="4614B9C0" w14:textId="77777777" w:rsidR="003B68DB" w:rsidRPr="003B68DB" w:rsidRDefault="003B68DB" w:rsidP="003B68DB">
      <w:pPr>
        <w:rPr>
          <w:rFonts w:ascii="Arial" w:hAnsi="Arial" w:cs="Calibri"/>
          <w:szCs w:val="24"/>
          <w:lang w:val="es-ES" w:eastAsia="es-ES"/>
        </w:rPr>
      </w:pPr>
      <w:r w:rsidRPr="003B68DB">
        <w:rPr>
          <w:rFonts w:ascii="Arial" w:hAnsi="Arial" w:cs="Calibri"/>
          <w:szCs w:val="24"/>
          <w:lang w:val="es-ES" w:eastAsia="es-ES"/>
        </w:rPr>
        <w:lastRenderedPageBreak/>
        <w:t>Plan de Capacitación está dirigido al Comité de Agua y Saneamiento (CAPS), con el objetivo de la implementación del cumplimiento de las medidas de mitigación orientadas a evitar o mitigar los impactos generados por el proyecto.</w:t>
      </w:r>
    </w:p>
    <w:p w14:paraId="2426D112" w14:textId="77777777" w:rsidR="003B68DB" w:rsidRPr="003B68DB" w:rsidRDefault="003B68DB" w:rsidP="003B68DB">
      <w:pPr>
        <w:rPr>
          <w:rFonts w:ascii="Arial" w:hAnsi="Arial" w:cs="Calibri"/>
          <w:szCs w:val="24"/>
          <w:lang w:val="es-ES" w:eastAsia="es-ES"/>
        </w:rPr>
      </w:pPr>
      <w:r w:rsidRPr="003B68DB">
        <w:rPr>
          <w:rFonts w:ascii="Arial" w:hAnsi="Arial" w:cs="Calibri"/>
          <w:szCs w:val="24"/>
          <w:lang w:val="es-ES" w:eastAsia="es-ES"/>
        </w:rPr>
        <w:t xml:space="preserve">La temática impartida por Facilitador Social Individual contratado por FISE, serán los siguientes: </w:t>
      </w:r>
    </w:p>
    <w:tbl>
      <w:tblPr>
        <w:tblStyle w:val="Tablaconcuadrcula6"/>
        <w:tblW w:w="9498" w:type="dxa"/>
        <w:tblInd w:w="-289" w:type="dxa"/>
        <w:tblLook w:val="04A0" w:firstRow="1" w:lastRow="0" w:firstColumn="1" w:lastColumn="0" w:noHBand="0" w:noVBand="1"/>
      </w:tblPr>
      <w:tblGrid>
        <w:gridCol w:w="1803"/>
        <w:gridCol w:w="1414"/>
        <w:gridCol w:w="1339"/>
        <w:gridCol w:w="1555"/>
        <w:gridCol w:w="1515"/>
        <w:gridCol w:w="1872"/>
      </w:tblGrid>
      <w:tr w:rsidR="003B68DB" w:rsidRPr="003B68DB" w14:paraId="78959E56" w14:textId="77777777" w:rsidTr="00243EB4">
        <w:tc>
          <w:tcPr>
            <w:tcW w:w="1844" w:type="dxa"/>
          </w:tcPr>
          <w:p w14:paraId="002F5C9C"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TEMÁTICA</w:t>
            </w:r>
          </w:p>
        </w:tc>
        <w:tc>
          <w:tcPr>
            <w:tcW w:w="1417" w:type="dxa"/>
          </w:tcPr>
          <w:p w14:paraId="34008193"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PERSONAL A CAPACITAR</w:t>
            </w:r>
          </w:p>
        </w:tc>
        <w:tc>
          <w:tcPr>
            <w:tcW w:w="1276" w:type="dxa"/>
          </w:tcPr>
          <w:p w14:paraId="1277A106"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 xml:space="preserve">ETAPA DEL PROYECTO </w:t>
            </w:r>
          </w:p>
        </w:tc>
        <w:tc>
          <w:tcPr>
            <w:tcW w:w="1559" w:type="dxa"/>
          </w:tcPr>
          <w:p w14:paraId="12692306"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PERIODO Ó FRECUENCIA</w:t>
            </w:r>
          </w:p>
        </w:tc>
        <w:tc>
          <w:tcPr>
            <w:tcW w:w="1559" w:type="dxa"/>
          </w:tcPr>
          <w:p w14:paraId="6671475D"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COSTOS</w:t>
            </w:r>
          </w:p>
        </w:tc>
        <w:tc>
          <w:tcPr>
            <w:tcW w:w="1843" w:type="dxa"/>
          </w:tcPr>
          <w:p w14:paraId="22CB9EBE"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RESPONSABLES</w:t>
            </w:r>
          </w:p>
        </w:tc>
      </w:tr>
      <w:tr w:rsidR="003B68DB" w:rsidRPr="003B68DB" w14:paraId="69D6D8F5" w14:textId="77777777" w:rsidTr="00243EB4">
        <w:trPr>
          <w:trHeight w:val="434"/>
        </w:trPr>
        <w:tc>
          <w:tcPr>
            <w:tcW w:w="1844" w:type="dxa"/>
            <w:vAlign w:val="center"/>
          </w:tcPr>
          <w:p w14:paraId="1EE835BE"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Operación y Mantenimiento</w:t>
            </w:r>
          </w:p>
        </w:tc>
        <w:tc>
          <w:tcPr>
            <w:tcW w:w="1417" w:type="dxa"/>
            <w:vAlign w:val="center"/>
          </w:tcPr>
          <w:p w14:paraId="4D626E19"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CAPS</w:t>
            </w:r>
          </w:p>
        </w:tc>
        <w:tc>
          <w:tcPr>
            <w:tcW w:w="1276" w:type="dxa"/>
            <w:vAlign w:val="center"/>
          </w:tcPr>
          <w:p w14:paraId="54269823"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Ejecución</w:t>
            </w:r>
          </w:p>
        </w:tc>
        <w:tc>
          <w:tcPr>
            <w:tcW w:w="1559" w:type="dxa"/>
            <w:vAlign w:val="center"/>
          </w:tcPr>
          <w:p w14:paraId="67A7557F"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Una sola vez</w:t>
            </w:r>
          </w:p>
          <w:p w14:paraId="1987E0BA" w14:textId="77777777" w:rsidR="003B68DB" w:rsidRPr="003B68DB" w:rsidRDefault="003B68DB" w:rsidP="003B68DB">
            <w:pPr>
              <w:jc w:val="center"/>
              <w:rPr>
                <w:rFonts w:ascii="Arial" w:hAnsi="Arial" w:cs="Calibri"/>
                <w:szCs w:val="24"/>
                <w:lang w:val="es-ES" w:eastAsia="es-ES"/>
              </w:rPr>
            </w:pPr>
          </w:p>
        </w:tc>
        <w:tc>
          <w:tcPr>
            <w:tcW w:w="1559" w:type="dxa"/>
            <w:vMerge w:val="restart"/>
            <w:vAlign w:val="center"/>
          </w:tcPr>
          <w:p w14:paraId="0CC4EF27" w14:textId="77777777" w:rsidR="003B68DB" w:rsidRPr="003B68DB" w:rsidRDefault="003B68DB" w:rsidP="003B68DB">
            <w:pPr>
              <w:autoSpaceDE w:val="0"/>
              <w:autoSpaceDN w:val="0"/>
              <w:adjustRightInd w:val="0"/>
              <w:jc w:val="center"/>
              <w:rPr>
                <w:rFonts w:ascii="Arial" w:hAnsi="Arial" w:cs="Calibri"/>
                <w:color w:val="000000"/>
                <w:szCs w:val="24"/>
                <w:lang w:val="es-ES" w:eastAsia="es-ES"/>
              </w:rPr>
            </w:pPr>
            <w:r w:rsidRPr="003B68DB">
              <w:rPr>
                <w:rFonts w:ascii="Arial" w:hAnsi="Arial" w:cs="Calibri"/>
                <w:color w:val="000000"/>
                <w:szCs w:val="24"/>
                <w:lang w:val="es-ES" w:eastAsia="es-ES"/>
              </w:rPr>
              <w:t>Incluido en las</w:t>
            </w:r>
          </w:p>
          <w:p w14:paraId="7A176BC1" w14:textId="77777777" w:rsidR="003B68DB" w:rsidRPr="003B68DB" w:rsidRDefault="003B68DB" w:rsidP="003B68DB">
            <w:pPr>
              <w:autoSpaceDE w:val="0"/>
              <w:autoSpaceDN w:val="0"/>
              <w:adjustRightInd w:val="0"/>
              <w:jc w:val="center"/>
              <w:rPr>
                <w:rFonts w:ascii="Arial" w:hAnsi="Arial" w:cs="Calibri"/>
                <w:szCs w:val="24"/>
                <w:lang w:val="es-ES" w:eastAsia="es-ES"/>
              </w:rPr>
            </w:pPr>
            <w:r w:rsidRPr="003B68DB">
              <w:rPr>
                <w:rFonts w:ascii="Arial" w:hAnsi="Arial" w:cs="Calibri"/>
                <w:color w:val="000000"/>
                <w:szCs w:val="24"/>
                <w:lang w:val="es-ES" w:eastAsia="es-ES"/>
              </w:rPr>
              <w:t>actividades sociales del</w:t>
            </w:r>
          </w:p>
          <w:p w14:paraId="6F8DBAFB" w14:textId="77777777" w:rsidR="003B68DB" w:rsidRPr="003B68DB" w:rsidRDefault="003B68DB" w:rsidP="003B68DB">
            <w:pPr>
              <w:autoSpaceDE w:val="0"/>
              <w:autoSpaceDN w:val="0"/>
              <w:adjustRightInd w:val="0"/>
              <w:jc w:val="center"/>
              <w:rPr>
                <w:rFonts w:ascii="Arial" w:hAnsi="Arial" w:cs="Calibri"/>
                <w:color w:val="000000"/>
                <w:szCs w:val="24"/>
                <w:lang w:val="es-ES" w:eastAsia="es-ES"/>
              </w:rPr>
            </w:pPr>
            <w:r w:rsidRPr="003B68DB">
              <w:rPr>
                <w:rFonts w:ascii="Arial" w:hAnsi="Arial" w:cs="Calibri"/>
                <w:color w:val="000000"/>
                <w:szCs w:val="24"/>
                <w:lang w:val="es-ES" w:eastAsia="es-ES"/>
              </w:rPr>
              <w:t>facilitador Social</w:t>
            </w:r>
          </w:p>
          <w:p w14:paraId="2B4B105E" w14:textId="77777777" w:rsidR="003B68DB" w:rsidRPr="003B68DB" w:rsidRDefault="003B68DB" w:rsidP="003B68DB">
            <w:pPr>
              <w:autoSpaceDE w:val="0"/>
              <w:autoSpaceDN w:val="0"/>
              <w:adjustRightInd w:val="0"/>
              <w:jc w:val="center"/>
              <w:rPr>
                <w:rFonts w:ascii="Arial" w:hAnsi="Arial" w:cs="Calibri"/>
                <w:color w:val="000000"/>
                <w:szCs w:val="24"/>
                <w:lang w:val="es-ES" w:eastAsia="es-ES"/>
              </w:rPr>
            </w:pPr>
          </w:p>
          <w:p w14:paraId="79BFB040" w14:textId="77777777" w:rsidR="003B68DB" w:rsidRPr="003B68DB" w:rsidRDefault="003B68DB" w:rsidP="003B68DB">
            <w:pPr>
              <w:jc w:val="center"/>
              <w:rPr>
                <w:rFonts w:ascii="Arial" w:hAnsi="Arial" w:cs="Calibri"/>
                <w:szCs w:val="24"/>
                <w:lang w:val="es-ES" w:eastAsia="es-ES"/>
              </w:rPr>
            </w:pPr>
          </w:p>
        </w:tc>
        <w:tc>
          <w:tcPr>
            <w:tcW w:w="1843" w:type="dxa"/>
            <w:vAlign w:val="center"/>
          </w:tcPr>
          <w:p w14:paraId="49D979BD" w14:textId="77777777" w:rsidR="003B68DB" w:rsidRPr="003B68DB" w:rsidRDefault="003B68DB" w:rsidP="003B68DB">
            <w:pPr>
              <w:jc w:val="center"/>
              <w:rPr>
                <w:rFonts w:ascii="Arial" w:hAnsi="Arial" w:cs="Calibri"/>
                <w:szCs w:val="24"/>
                <w:lang w:val="es-ES" w:eastAsia="es-ES"/>
              </w:rPr>
            </w:pPr>
          </w:p>
          <w:p w14:paraId="3720367B"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Facilitador Social Individual</w:t>
            </w:r>
          </w:p>
        </w:tc>
      </w:tr>
      <w:tr w:rsidR="003B68DB" w:rsidRPr="003B68DB" w14:paraId="40133243" w14:textId="77777777" w:rsidTr="00243EB4">
        <w:trPr>
          <w:trHeight w:val="1017"/>
        </w:trPr>
        <w:tc>
          <w:tcPr>
            <w:tcW w:w="1844" w:type="dxa"/>
            <w:vAlign w:val="center"/>
          </w:tcPr>
          <w:p w14:paraId="724E2BC2" w14:textId="77777777" w:rsidR="003B68DB" w:rsidRPr="003B68DB" w:rsidRDefault="003B68DB" w:rsidP="003B68DB">
            <w:pPr>
              <w:jc w:val="center"/>
              <w:rPr>
                <w:rFonts w:ascii="Arial" w:hAnsi="Arial" w:cs="Calibri"/>
                <w:szCs w:val="24"/>
                <w:lang w:val="es-ES" w:eastAsia="es-ES"/>
              </w:rPr>
            </w:pPr>
          </w:p>
          <w:p w14:paraId="3BF19BE0"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Ley 722 “ Ley Especial de CAPS”</w:t>
            </w:r>
          </w:p>
        </w:tc>
        <w:tc>
          <w:tcPr>
            <w:tcW w:w="1417" w:type="dxa"/>
            <w:vAlign w:val="center"/>
          </w:tcPr>
          <w:p w14:paraId="3EF5B784"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CAPS</w:t>
            </w:r>
          </w:p>
        </w:tc>
        <w:tc>
          <w:tcPr>
            <w:tcW w:w="1276" w:type="dxa"/>
            <w:vAlign w:val="center"/>
          </w:tcPr>
          <w:p w14:paraId="738E264E"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Post Obra</w:t>
            </w:r>
          </w:p>
        </w:tc>
        <w:tc>
          <w:tcPr>
            <w:tcW w:w="1559" w:type="dxa"/>
            <w:vAlign w:val="center"/>
          </w:tcPr>
          <w:p w14:paraId="2F6078FF"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Una sola vez</w:t>
            </w:r>
          </w:p>
        </w:tc>
        <w:tc>
          <w:tcPr>
            <w:tcW w:w="1559" w:type="dxa"/>
            <w:vMerge/>
            <w:vAlign w:val="center"/>
          </w:tcPr>
          <w:p w14:paraId="230E8F74" w14:textId="77777777" w:rsidR="003B68DB" w:rsidRPr="003B68DB" w:rsidRDefault="003B68DB" w:rsidP="003B68DB">
            <w:pPr>
              <w:jc w:val="center"/>
              <w:rPr>
                <w:rFonts w:ascii="Arial" w:hAnsi="Arial" w:cs="Calibri"/>
                <w:szCs w:val="24"/>
                <w:lang w:val="es-ES" w:eastAsia="es-ES"/>
              </w:rPr>
            </w:pPr>
          </w:p>
        </w:tc>
        <w:tc>
          <w:tcPr>
            <w:tcW w:w="1843" w:type="dxa"/>
            <w:vAlign w:val="center"/>
          </w:tcPr>
          <w:p w14:paraId="00A20D31" w14:textId="77777777" w:rsidR="003B68DB" w:rsidRPr="003B68DB" w:rsidRDefault="003B68DB" w:rsidP="003B68DB">
            <w:pPr>
              <w:jc w:val="center"/>
              <w:rPr>
                <w:rFonts w:ascii="Arial" w:hAnsi="Arial" w:cs="Calibri"/>
                <w:szCs w:val="24"/>
                <w:lang w:val="es-ES" w:eastAsia="es-ES"/>
              </w:rPr>
            </w:pPr>
          </w:p>
          <w:p w14:paraId="63E0BF2E"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Facilitador Social Individual</w:t>
            </w:r>
          </w:p>
        </w:tc>
      </w:tr>
    </w:tbl>
    <w:p w14:paraId="3B7BFE85" w14:textId="77777777" w:rsidR="003B68DB" w:rsidRPr="003B68DB" w:rsidRDefault="003B68DB" w:rsidP="003B68DB">
      <w:pPr>
        <w:rPr>
          <w:rFonts w:ascii="Arial" w:hAnsi="Arial" w:cs="Calibri"/>
          <w:szCs w:val="24"/>
          <w:lang w:val="es-ES" w:eastAsia="es-ES"/>
        </w:rPr>
      </w:pPr>
    </w:p>
    <w:p w14:paraId="1EE0076A"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EDUCACIÓN AMBIENTAL</w:t>
      </w:r>
    </w:p>
    <w:p w14:paraId="138931D8" w14:textId="77777777" w:rsidR="003B68DB" w:rsidRPr="003B68DB" w:rsidRDefault="003B68DB" w:rsidP="003B68DB">
      <w:pPr>
        <w:rPr>
          <w:rFonts w:ascii="Arial" w:hAnsi="Arial" w:cs="Calibri"/>
          <w:szCs w:val="24"/>
          <w:lang w:val="es-ES" w:eastAsia="es-ES"/>
        </w:rPr>
      </w:pPr>
      <w:r w:rsidRPr="003B68DB">
        <w:rPr>
          <w:rFonts w:ascii="Arial" w:hAnsi="Arial" w:cs="Calibri"/>
          <w:szCs w:val="24"/>
          <w:lang w:val="es-ES" w:eastAsia="es-ES"/>
        </w:rPr>
        <w:t xml:space="preserve">El plan de Educación Ambiental está dirigido al Comité de Agua y Saneamiento (CAPS) y comunidad en general, con el objetivo de fomentar interés, cuido e importancia para la mejora del medio natural de la zona de influencia del proyecto. </w:t>
      </w:r>
    </w:p>
    <w:tbl>
      <w:tblPr>
        <w:tblStyle w:val="Tablaconcuadrcula6"/>
        <w:tblW w:w="9498" w:type="dxa"/>
        <w:tblInd w:w="-289" w:type="dxa"/>
        <w:tblLook w:val="04A0" w:firstRow="1" w:lastRow="0" w:firstColumn="1" w:lastColumn="0" w:noHBand="0" w:noVBand="1"/>
      </w:tblPr>
      <w:tblGrid>
        <w:gridCol w:w="1857"/>
        <w:gridCol w:w="1409"/>
        <w:gridCol w:w="1390"/>
        <w:gridCol w:w="1528"/>
        <w:gridCol w:w="1442"/>
        <w:gridCol w:w="1872"/>
      </w:tblGrid>
      <w:tr w:rsidR="003B68DB" w:rsidRPr="003B68DB" w14:paraId="1824A1C7" w14:textId="77777777" w:rsidTr="00243EB4">
        <w:tc>
          <w:tcPr>
            <w:tcW w:w="2120" w:type="dxa"/>
          </w:tcPr>
          <w:p w14:paraId="1149F820"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TEMÁTICA</w:t>
            </w:r>
          </w:p>
        </w:tc>
        <w:tc>
          <w:tcPr>
            <w:tcW w:w="1416" w:type="dxa"/>
          </w:tcPr>
          <w:p w14:paraId="5DC09022"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PERSONAL A CAPACITAR</w:t>
            </w:r>
          </w:p>
        </w:tc>
        <w:tc>
          <w:tcPr>
            <w:tcW w:w="1415" w:type="dxa"/>
          </w:tcPr>
          <w:p w14:paraId="3F663E25"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 xml:space="preserve">ETAPA DEL PROYECTO </w:t>
            </w:r>
          </w:p>
        </w:tc>
        <w:tc>
          <w:tcPr>
            <w:tcW w:w="1369" w:type="dxa"/>
          </w:tcPr>
          <w:p w14:paraId="506AEA75"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PERIODO Ó FRECUENCIA</w:t>
            </w:r>
          </w:p>
        </w:tc>
        <w:tc>
          <w:tcPr>
            <w:tcW w:w="1551" w:type="dxa"/>
          </w:tcPr>
          <w:p w14:paraId="30B15C40"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COSTOS</w:t>
            </w:r>
          </w:p>
        </w:tc>
        <w:tc>
          <w:tcPr>
            <w:tcW w:w="1627" w:type="dxa"/>
          </w:tcPr>
          <w:p w14:paraId="1F2CE39C" w14:textId="77777777" w:rsidR="003B68DB" w:rsidRPr="003B68DB" w:rsidRDefault="003B68DB" w:rsidP="003B68DB">
            <w:pPr>
              <w:rPr>
                <w:rFonts w:ascii="Arial" w:hAnsi="Arial" w:cs="Calibri"/>
                <w:b/>
                <w:szCs w:val="24"/>
                <w:lang w:val="es-ES" w:eastAsia="es-ES"/>
              </w:rPr>
            </w:pPr>
            <w:r w:rsidRPr="003B68DB">
              <w:rPr>
                <w:rFonts w:ascii="Arial" w:hAnsi="Arial" w:cs="Calibri"/>
                <w:b/>
                <w:szCs w:val="24"/>
                <w:lang w:val="es-ES" w:eastAsia="es-ES"/>
              </w:rPr>
              <w:t>RESPONSABLES</w:t>
            </w:r>
          </w:p>
        </w:tc>
      </w:tr>
      <w:tr w:rsidR="003B68DB" w:rsidRPr="003B68DB" w14:paraId="3F345E03" w14:textId="77777777" w:rsidTr="00243EB4">
        <w:trPr>
          <w:trHeight w:val="1017"/>
        </w:trPr>
        <w:tc>
          <w:tcPr>
            <w:tcW w:w="2120" w:type="dxa"/>
            <w:vAlign w:val="center"/>
          </w:tcPr>
          <w:p w14:paraId="505F1B6B"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Conceptos Básicos de Medio Ambiental</w:t>
            </w:r>
          </w:p>
        </w:tc>
        <w:tc>
          <w:tcPr>
            <w:tcW w:w="1416" w:type="dxa"/>
            <w:vAlign w:val="center"/>
          </w:tcPr>
          <w:p w14:paraId="6BABC6B0"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CAPS</w:t>
            </w:r>
          </w:p>
        </w:tc>
        <w:tc>
          <w:tcPr>
            <w:tcW w:w="1415" w:type="dxa"/>
            <w:vAlign w:val="center"/>
          </w:tcPr>
          <w:p w14:paraId="37F24094"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Ejecución</w:t>
            </w:r>
          </w:p>
          <w:p w14:paraId="63A4444E" w14:textId="77777777" w:rsidR="003B68DB" w:rsidRPr="003B68DB" w:rsidRDefault="003B68DB" w:rsidP="003B68DB">
            <w:pPr>
              <w:jc w:val="center"/>
              <w:rPr>
                <w:rFonts w:ascii="Arial" w:hAnsi="Arial" w:cs="Calibri"/>
                <w:szCs w:val="24"/>
                <w:lang w:val="es-ES" w:eastAsia="es-ES"/>
              </w:rPr>
            </w:pPr>
          </w:p>
        </w:tc>
        <w:tc>
          <w:tcPr>
            <w:tcW w:w="1369" w:type="dxa"/>
            <w:vAlign w:val="center"/>
          </w:tcPr>
          <w:p w14:paraId="2FDD5CAC"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Una sola vez</w:t>
            </w:r>
          </w:p>
          <w:p w14:paraId="5A390162" w14:textId="77777777" w:rsidR="003B68DB" w:rsidRPr="003B68DB" w:rsidRDefault="003B68DB" w:rsidP="003B68DB">
            <w:pPr>
              <w:jc w:val="center"/>
              <w:rPr>
                <w:rFonts w:ascii="Arial" w:hAnsi="Arial" w:cs="Calibri"/>
                <w:szCs w:val="24"/>
                <w:lang w:val="es-ES" w:eastAsia="es-ES"/>
              </w:rPr>
            </w:pPr>
          </w:p>
        </w:tc>
        <w:tc>
          <w:tcPr>
            <w:tcW w:w="1551" w:type="dxa"/>
            <w:vMerge w:val="restart"/>
            <w:vAlign w:val="center"/>
          </w:tcPr>
          <w:p w14:paraId="57F6F0B4" w14:textId="77777777" w:rsidR="003B68DB" w:rsidRPr="003B68DB" w:rsidRDefault="003B68DB" w:rsidP="003B68DB">
            <w:pPr>
              <w:autoSpaceDE w:val="0"/>
              <w:autoSpaceDN w:val="0"/>
              <w:adjustRightInd w:val="0"/>
              <w:jc w:val="center"/>
              <w:rPr>
                <w:rFonts w:ascii="Arial" w:hAnsi="Arial" w:cs="Calibri"/>
                <w:color w:val="000000"/>
                <w:szCs w:val="24"/>
                <w:lang w:val="es-ES" w:eastAsia="es-ES"/>
              </w:rPr>
            </w:pPr>
            <w:r w:rsidRPr="003B68DB">
              <w:rPr>
                <w:rFonts w:ascii="Arial" w:hAnsi="Arial" w:cs="Calibri"/>
                <w:color w:val="000000"/>
                <w:szCs w:val="24"/>
                <w:lang w:val="es-ES" w:eastAsia="es-ES"/>
              </w:rPr>
              <w:t>Incluido en las</w:t>
            </w:r>
          </w:p>
          <w:p w14:paraId="377D1D01" w14:textId="77777777" w:rsidR="003B68DB" w:rsidRPr="003B68DB" w:rsidRDefault="003B68DB" w:rsidP="003B68DB">
            <w:pPr>
              <w:autoSpaceDE w:val="0"/>
              <w:autoSpaceDN w:val="0"/>
              <w:adjustRightInd w:val="0"/>
              <w:jc w:val="center"/>
              <w:rPr>
                <w:rFonts w:ascii="Arial" w:hAnsi="Arial" w:cs="Calibri"/>
                <w:szCs w:val="24"/>
                <w:lang w:val="es-ES" w:eastAsia="es-ES"/>
              </w:rPr>
            </w:pPr>
            <w:r w:rsidRPr="003B68DB">
              <w:rPr>
                <w:rFonts w:ascii="Arial" w:hAnsi="Arial" w:cs="Calibri"/>
                <w:color w:val="000000"/>
                <w:szCs w:val="24"/>
                <w:lang w:val="es-ES" w:eastAsia="es-ES"/>
              </w:rPr>
              <w:t>actividades sociales del</w:t>
            </w:r>
          </w:p>
          <w:p w14:paraId="55CE939E" w14:textId="77777777" w:rsidR="003B68DB" w:rsidRPr="003B68DB" w:rsidRDefault="003B68DB" w:rsidP="003B68DB">
            <w:pPr>
              <w:autoSpaceDE w:val="0"/>
              <w:autoSpaceDN w:val="0"/>
              <w:adjustRightInd w:val="0"/>
              <w:jc w:val="center"/>
              <w:rPr>
                <w:rFonts w:ascii="Arial" w:hAnsi="Arial" w:cs="Calibri"/>
                <w:color w:val="000000"/>
                <w:szCs w:val="24"/>
                <w:lang w:val="es-ES" w:eastAsia="es-ES"/>
              </w:rPr>
            </w:pPr>
            <w:r w:rsidRPr="003B68DB">
              <w:rPr>
                <w:rFonts w:ascii="Arial" w:hAnsi="Arial" w:cs="Calibri"/>
                <w:color w:val="000000"/>
                <w:szCs w:val="24"/>
                <w:lang w:val="es-ES" w:eastAsia="es-ES"/>
              </w:rPr>
              <w:t>facilitador Social</w:t>
            </w:r>
          </w:p>
          <w:p w14:paraId="7101EF95" w14:textId="77777777" w:rsidR="003B68DB" w:rsidRPr="003B68DB" w:rsidRDefault="003B68DB" w:rsidP="003B68DB">
            <w:pPr>
              <w:autoSpaceDE w:val="0"/>
              <w:autoSpaceDN w:val="0"/>
              <w:adjustRightInd w:val="0"/>
              <w:jc w:val="center"/>
              <w:rPr>
                <w:rFonts w:ascii="Arial" w:hAnsi="Arial" w:cs="Calibri"/>
                <w:color w:val="000000"/>
                <w:szCs w:val="24"/>
                <w:lang w:val="es-ES" w:eastAsia="es-ES"/>
              </w:rPr>
            </w:pPr>
          </w:p>
          <w:p w14:paraId="72512980" w14:textId="77777777" w:rsidR="003B68DB" w:rsidRPr="003B68DB" w:rsidRDefault="003B68DB" w:rsidP="003B68DB">
            <w:pPr>
              <w:jc w:val="center"/>
              <w:rPr>
                <w:rFonts w:ascii="Arial" w:hAnsi="Arial" w:cs="Calibri"/>
                <w:szCs w:val="24"/>
                <w:lang w:val="es-ES" w:eastAsia="es-ES"/>
              </w:rPr>
            </w:pPr>
          </w:p>
        </w:tc>
        <w:tc>
          <w:tcPr>
            <w:tcW w:w="1627" w:type="dxa"/>
            <w:vAlign w:val="center"/>
          </w:tcPr>
          <w:p w14:paraId="2EB215CD" w14:textId="77777777" w:rsidR="003B68DB" w:rsidRPr="003B68DB" w:rsidRDefault="003B68DB" w:rsidP="003B68DB">
            <w:pPr>
              <w:jc w:val="center"/>
              <w:rPr>
                <w:rFonts w:ascii="Arial" w:hAnsi="Arial" w:cs="Calibri"/>
                <w:szCs w:val="24"/>
                <w:lang w:val="es-ES" w:eastAsia="es-ES"/>
              </w:rPr>
            </w:pPr>
          </w:p>
          <w:p w14:paraId="00FB2E85"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Facilitador Social Individual</w:t>
            </w:r>
          </w:p>
        </w:tc>
      </w:tr>
      <w:tr w:rsidR="003B68DB" w:rsidRPr="003B68DB" w14:paraId="68247BD0" w14:textId="77777777" w:rsidTr="00243EB4">
        <w:trPr>
          <w:trHeight w:val="1017"/>
        </w:trPr>
        <w:tc>
          <w:tcPr>
            <w:tcW w:w="2120" w:type="dxa"/>
          </w:tcPr>
          <w:p w14:paraId="57076DAF"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Metodología FECSA ( Hábitos higiénicos, manejo de agua, manejo de desechos sólidos, y excretas)</w:t>
            </w:r>
          </w:p>
        </w:tc>
        <w:tc>
          <w:tcPr>
            <w:tcW w:w="1416" w:type="dxa"/>
            <w:vAlign w:val="center"/>
          </w:tcPr>
          <w:p w14:paraId="5307BAA6"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Comunidad</w:t>
            </w:r>
          </w:p>
        </w:tc>
        <w:tc>
          <w:tcPr>
            <w:tcW w:w="1415" w:type="dxa"/>
            <w:vAlign w:val="center"/>
          </w:tcPr>
          <w:p w14:paraId="6A90579B"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Ejecución/ Post Obra</w:t>
            </w:r>
          </w:p>
        </w:tc>
        <w:tc>
          <w:tcPr>
            <w:tcW w:w="1369" w:type="dxa"/>
            <w:vAlign w:val="center"/>
          </w:tcPr>
          <w:p w14:paraId="3E7DC554"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Visita casa a casa</w:t>
            </w:r>
          </w:p>
        </w:tc>
        <w:tc>
          <w:tcPr>
            <w:tcW w:w="1551" w:type="dxa"/>
            <w:vMerge/>
          </w:tcPr>
          <w:p w14:paraId="7A07F031" w14:textId="77777777" w:rsidR="003B68DB" w:rsidRPr="003B68DB" w:rsidRDefault="003B68DB" w:rsidP="003B68DB">
            <w:pPr>
              <w:jc w:val="center"/>
              <w:rPr>
                <w:rFonts w:ascii="Arial" w:hAnsi="Arial" w:cs="Calibri"/>
                <w:szCs w:val="24"/>
                <w:lang w:val="es-ES" w:eastAsia="es-ES"/>
              </w:rPr>
            </w:pPr>
          </w:p>
        </w:tc>
        <w:tc>
          <w:tcPr>
            <w:tcW w:w="1627" w:type="dxa"/>
            <w:vAlign w:val="center"/>
          </w:tcPr>
          <w:p w14:paraId="1D968F59" w14:textId="77777777" w:rsidR="003B68DB" w:rsidRPr="003B68DB" w:rsidRDefault="003B68DB" w:rsidP="003B68DB">
            <w:pPr>
              <w:jc w:val="center"/>
              <w:rPr>
                <w:rFonts w:ascii="Arial" w:hAnsi="Arial" w:cs="Calibri"/>
                <w:szCs w:val="24"/>
                <w:lang w:val="es-ES" w:eastAsia="es-ES"/>
              </w:rPr>
            </w:pPr>
          </w:p>
          <w:p w14:paraId="34061370" w14:textId="77777777" w:rsidR="003B68DB" w:rsidRPr="003B68DB" w:rsidRDefault="003B68DB" w:rsidP="003B68DB">
            <w:pPr>
              <w:jc w:val="center"/>
              <w:rPr>
                <w:rFonts w:ascii="Arial" w:hAnsi="Arial" w:cs="Calibri"/>
                <w:szCs w:val="24"/>
                <w:lang w:val="es-ES" w:eastAsia="es-ES"/>
              </w:rPr>
            </w:pPr>
            <w:r w:rsidRPr="003B68DB">
              <w:rPr>
                <w:rFonts w:ascii="Arial" w:hAnsi="Arial" w:cs="Calibri"/>
                <w:szCs w:val="24"/>
                <w:lang w:val="es-ES" w:eastAsia="es-ES"/>
              </w:rPr>
              <w:t>Facilitador Social Individual</w:t>
            </w:r>
          </w:p>
        </w:tc>
      </w:tr>
    </w:tbl>
    <w:p w14:paraId="5AAEC961" w14:textId="77777777" w:rsidR="003B68DB" w:rsidRPr="003B68DB" w:rsidRDefault="003B68DB" w:rsidP="003B68DB">
      <w:pPr>
        <w:rPr>
          <w:rFonts w:ascii="Arial" w:hAnsi="Arial" w:cs="Calibri"/>
          <w:szCs w:val="24"/>
          <w:lang w:val="es-ES" w:eastAsia="es-ES"/>
        </w:rPr>
      </w:pPr>
    </w:p>
    <w:p w14:paraId="7E7080E0" w14:textId="77777777" w:rsidR="003B68DB" w:rsidRPr="003B68DB" w:rsidRDefault="003B68DB" w:rsidP="003B68DB">
      <w:pPr>
        <w:rPr>
          <w:rFonts w:ascii="Arial" w:hAnsi="Arial" w:cs="Calibri"/>
          <w:szCs w:val="24"/>
          <w:lang w:val="es-ES" w:eastAsia="es-ES"/>
        </w:rPr>
      </w:pPr>
      <w:r w:rsidRPr="003B68DB">
        <w:rPr>
          <w:rFonts w:ascii="Arial" w:hAnsi="Arial" w:cs="Calibri"/>
          <w:szCs w:val="24"/>
          <w:lang w:val="es-ES" w:eastAsia="es-ES"/>
        </w:rPr>
        <w:t xml:space="preserve">En la ejecución de los planes de acción: Plan de Capacitación y Educación Ambiental la Facilitadora Social Individual establecerá un cronograma y se generará registros de asistencia de los participantes. </w:t>
      </w:r>
    </w:p>
    <w:p w14:paraId="3D0D0E22" w14:textId="77777777" w:rsidR="003B68DB" w:rsidRPr="003B68DB" w:rsidRDefault="003B68DB" w:rsidP="003B68DB">
      <w:pPr>
        <w:rPr>
          <w:rFonts w:ascii="Arial" w:hAnsi="Arial" w:cs="Calibri"/>
          <w:szCs w:val="24"/>
          <w:lang w:val="es-ES" w:eastAsia="es-ES"/>
        </w:rPr>
      </w:pPr>
      <w:r w:rsidRPr="003B68DB">
        <w:rPr>
          <w:rFonts w:ascii="Arial" w:hAnsi="Arial" w:cs="Calibri"/>
          <w:szCs w:val="24"/>
          <w:lang w:val="es-ES" w:eastAsia="es-ES"/>
        </w:rPr>
        <w:t xml:space="preserve">La capacitación y concientización tienen el propósito de impartir conceptos generales sobre medio ambiente; gestión ambiental; buenas prácticas de manejo ambiental; manejo de agua. </w:t>
      </w:r>
    </w:p>
    <w:p w14:paraId="38E3F276" w14:textId="77777777" w:rsidR="003B68DB" w:rsidRPr="003B68DB" w:rsidRDefault="003B68DB" w:rsidP="003B68DB">
      <w:pPr>
        <w:rPr>
          <w:rFonts w:ascii="Arial" w:hAnsi="Arial" w:cs="Calibri"/>
          <w:szCs w:val="24"/>
          <w:lang w:val="es-ES" w:eastAsia="es-ES"/>
        </w:rPr>
      </w:pPr>
    </w:p>
    <w:p w14:paraId="1BD976FB" w14:textId="77777777" w:rsidR="003B68DB" w:rsidRPr="003B68DB" w:rsidRDefault="003B68DB" w:rsidP="003B68DB">
      <w:pPr>
        <w:rPr>
          <w:rFonts w:ascii="Arial" w:hAnsi="Arial" w:cs="Calibri"/>
          <w:szCs w:val="24"/>
          <w:lang w:val="es-ES" w:eastAsia="es-ES"/>
        </w:rPr>
      </w:pPr>
    </w:p>
    <w:p w14:paraId="00B6340F" w14:textId="77777777" w:rsidR="003B68DB" w:rsidRPr="003B68DB" w:rsidRDefault="003B68DB" w:rsidP="003B68DB">
      <w:pPr>
        <w:rPr>
          <w:rFonts w:ascii="Arial" w:hAnsi="Arial" w:cs="Calibri"/>
          <w:b/>
          <w:bCs/>
          <w:szCs w:val="24"/>
          <w:u w:val="single"/>
          <w:lang w:val="es-ES" w:eastAsia="es-ES"/>
        </w:rPr>
      </w:pPr>
      <w:r w:rsidRPr="003B68DB">
        <w:rPr>
          <w:rFonts w:ascii="Arial" w:hAnsi="Arial" w:cs="Calibri"/>
          <w:b/>
          <w:bCs/>
          <w:szCs w:val="24"/>
          <w:u w:val="single"/>
          <w:lang w:val="es-ES" w:eastAsia="es-ES"/>
        </w:rPr>
        <w:t>AUTORIZACIÓN AMBIENTAL DTMZ-081020-A0015-0 “PROYECTO 19892 AGUA Y SANEAMIENTO BALSAMO ABAJO”, MUNICIPIO SAN JUAN DEL RIO COCO</w:t>
      </w:r>
    </w:p>
    <w:p w14:paraId="68F7D1C1" w14:textId="77777777" w:rsidR="003B68DB" w:rsidRPr="003B68DB" w:rsidRDefault="003B68DB" w:rsidP="003B68DB">
      <w:pPr>
        <w:rPr>
          <w:rFonts w:ascii="Arial" w:hAnsi="Arial" w:cs="Calibri"/>
          <w:szCs w:val="24"/>
          <w:lang w:val="es-ES" w:eastAsia="es-ES"/>
        </w:rPr>
      </w:pPr>
      <w:r w:rsidRPr="003B68DB">
        <w:rPr>
          <w:rFonts w:ascii="Arial" w:hAnsi="Arial"/>
          <w:noProof/>
          <w:szCs w:val="24"/>
          <w:lang w:val="es-MX" w:eastAsia="es-MX"/>
        </w:rPr>
        <w:lastRenderedPageBreak/>
        <w:drawing>
          <wp:inline distT="0" distB="0" distL="0" distR="0" wp14:anchorId="06887934" wp14:editId="3C9E8367">
            <wp:extent cx="5714813" cy="7576457"/>
            <wp:effectExtent l="0" t="0" r="635" b="5715"/>
            <wp:docPr id="21557" name="Imagen 2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7997" cy="7593936"/>
                    </a:xfrm>
                    <a:prstGeom prst="rect">
                      <a:avLst/>
                    </a:prstGeom>
                  </pic:spPr>
                </pic:pic>
              </a:graphicData>
            </a:graphic>
          </wp:inline>
        </w:drawing>
      </w:r>
    </w:p>
    <w:p w14:paraId="0636BCB3" w14:textId="77777777" w:rsidR="003B68DB" w:rsidRPr="003B68DB" w:rsidRDefault="003B68DB" w:rsidP="003B68DB">
      <w:pPr>
        <w:rPr>
          <w:rFonts w:ascii="Arial" w:hAnsi="Arial" w:cs="Calibri"/>
          <w:szCs w:val="24"/>
          <w:lang w:val="es-ES" w:eastAsia="es-ES"/>
        </w:rPr>
      </w:pPr>
      <w:r w:rsidRPr="003B68DB">
        <w:rPr>
          <w:rFonts w:ascii="Arial" w:hAnsi="Arial"/>
          <w:noProof/>
          <w:szCs w:val="24"/>
          <w:lang w:val="es-MX" w:eastAsia="es-MX"/>
        </w:rPr>
        <w:lastRenderedPageBreak/>
        <w:drawing>
          <wp:inline distT="0" distB="0" distL="0" distR="0" wp14:anchorId="2823D325" wp14:editId="01680C49">
            <wp:extent cx="6116210" cy="8078874"/>
            <wp:effectExtent l="0" t="0" r="0" b="0"/>
            <wp:docPr id="21558" name="Imagen 2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2986" cy="8087824"/>
                    </a:xfrm>
                    <a:prstGeom prst="rect">
                      <a:avLst/>
                    </a:prstGeom>
                  </pic:spPr>
                </pic:pic>
              </a:graphicData>
            </a:graphic>
          </wp:inline>
        </w:drawing>
      </w:r>
    </w:p>
    <w:p w14:paraId="7CF1C6F6" w14:textId="77777777" w:rsidR="003B68DB" w:rsidRPr="003B68DB" w:rsidRDefault="003B68DB" w:rsidP="003B68DB">
      <w:pPr>
        <w:rPr>
          <w:rFonts w:ascii="Arial" w:hAnsi="Arial" w:cs="Calibri"/>
          <w:szCs w:val="24"/>
          <w:lang w:val="es-ES" w:eastAsia="es-ES"/>
        </w:rPr>
      </w:pPr>
      <w:r w:rsidRPr="003B68DB">
        <w:rPr>
          <w:rFonts w:ascii="Arial" w:hAnsi="Arial"/>
          <w:noProof/>
          <w:szCs w:val="24"/>
          <w:lang w:val="es-MX" w:eastAsia="es-MX"/>
        </w:rPr>
        <w:lastRenderedPageBreak/>
        <w:drawing>
          <wp:inline distT="0" distB="0" distL="0" distR="0" wp14:anchorId="0FABF7D5" wp14:editId="534F5968">
            <wp:extent cx="6097203" cy="7636747"/>
            <wp:effectExtent l="0" t="0" r="0" b="2540"/>
            <wp:docPr id="21559" name="Imagen 2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05732" cy="7647429"/>
                    </a:xfrm>
                    <a:prstGeom prst="rect">
                      <a:avLst/>
                    </a:prstGeom>
                  </pic:spPr>
                </pic:pic>
              </a:graphicData>
            </a:graphic>
          </wp:inline>
        </w:drawing>
      </w:r>
    </w:p>
    <w:p w14:paraId="626AC473" w14:textId="77777777" w:rsidR="003B68DB" w:rsidRPr="003B68DB" w:rsidRDefault="003B68DB" w:rsidP="003B68DB">
      <w:pPr>
        <w:rPr>
          <w:rFonts w:ascii="Arial" w:hAnsi="Arial" w:cs="Calibri"/>
          <w:szCs w:val="24"/>
          <w:lang w:val="es-ES" w:eastAsia="es-ES"/>
        </w:rPr>
      </w:pPr>
    </w:p>
    <w:p w14:paraId="34FF5DFF" w14:textId="77777777" w:rsidR="003B68DB" w:rsidRPr="003B68DB" w:rsidRDefault="003B68DB" w:rsidP="003B68DB">
      <w:pPr>
        <w:rPr>
          <w:rFonts w:ascii="Arial" w:hAnsi="Arial" w:cs="Calibri"/>
          <w:szCs w:val="24"/>
          <w:lang w:val="es-ES" w:eastAsia="es-ES"/>
        </w:rPr>
      </w:pPr>
    </w:p>
    <w:p w14:paraId="43C5E0E5" w14:textId="77777777" w:rsidR="003B68DB" w:rsidRPr="003B68DB" w:rsidRDefault="003B68DB" w:rsidP="003B68DB">
      <w:pPr>
        <w:jc w:val="center"/>
        <w:rPr>
          <w:rFonts w:ascii="Arial" w:hAnsi="Arial" w:cs="Calibri"/>
          <w:szCs w:val="24"/>
          <w:lang w:val="es-ES" w:eastAsia="es-ES"/>
        </w:rPr>
      </w:pPr>
      <w:r w:rsidRPr="003B68DB">
        <w:rPr>
          <w:rFonts w:ascii="Arial" w:hAnsi="Arial"/>
          <w:noProof/>
          <w:szCs w:val="24"/>
          <w:lang w:val="es-MX" w:eastAsia="es-MX"/>
        </w:rPr>
        <w:lastRenderedPageBreak/>
        <w:drawing>
          <wp:inline distT="0" distB="0" distL="0" distR="0" wp14:anchorId="2625C483" wp14:editId="11F08998">
            <wp:extent cx="5506497" cy="7299961"/>
            <wp:effectExtent l="0" t="0" r="0" b="0"/>
            <wp:docPr id="21560" name="Imagen 2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18248" cy="7315539"/>
                    </a:xfrm>
                    <a:prstGeom prst="rect">
                      <a:avLst/>
                    </a:prstGeom>
                  </pic:spPr>
                </pic:pic>
              </a:graphicData>
            </a:graphic>
          </wp:inline>
        </w:drawing>
      </w:r>
    </w:p>
    <w:p w14:paraId="19518231" w14:textId="77777777" w:rsidR="003B68DB" w:rsidRPr="003B68DB" w:rsidRDefault="003B68DB" w:rsidP="003B68DB">
      <w:pPr>
        <w:jc w:val="center"/>
        <w:rPr>
          <w:rFonts w:ascii="Arial" w:hAnsi="Arial" w:cs="Calibri"/>
          <w:szCs w:val="24"/>
          <w:lang w:val="es-ES" w:eastAsia="es-ES"/>
        </w:rPr>
      </w:pPr>
    </w:p>
    <w:p w14:paraId="66FC52D6" w14:textId="77777777" w:rsidR="003B68DB" w:rsidRPr="003B68DB" w:rsidRDefault="003B68DB" w:rsidP="003B68DB">
      <w:pPr>
        <w:jc w:val="center"/>
        <w:rPr>
          <w:rFonts w:ascii="Arial" w:hAnsi="Arial" w:cs="Calibri"/>
          <w:szCs w:val="24"/>
          <w:lang w:val="es-ES" w:eastAsia="es-ES"/>
        </w:rPr>
      </w:pPr>
    </w:p>
    <w:p w14:paraId="7902CF0E" w14:textId="77777777" w:rsidR="003B68DB" w:rsidRPr="003B68DB" w:rsidRDefault="003B68DB" w:rsidP="003B68DB">
      <w:pPr>
        <w:jc w:val="center"/>
        <w:rPr>
          <w:rFonts w:ascii="Arial" w:hAnsi="Arial" w:cs="Calibri"/>
          <w:szCs w:val="24"/>
          <w:lang w:val="es-ES" w:eastAsia="es-ES"/>
        </w:rPr>
      </w:pPr>
    </w:p>
    <w:p w14:paraId="7BCE3AD4" w14:textId="77777777" w:rsidR="003B68DB" w:rsidRPr="003B68DB" w:rsidRDefault="003B68DB" w:rsidP="003B68DB">
      <w:pPr>
        <w:rPr>
          <w:rFonts w:ascii="Arial" w:hAnsi="Arial" w:cs="Calibri"/>
          <w:b/>
          <w:bCs/>
          <w:szCs w:val="24"/>
          <w:lang w:val="es-ES" w:eastAsia="es-ES"/>
        </w:rPr>
      </w:pPr>
      <w:r w:rsidRPr="003B68DB">
        <w:rPr>
          <w:rFonts w:ascii="Arial" w:hAnsi="Arial"/>
          <w:noProof/>
          <w:szCs w:val="24"/>
          <w:lang w:val="es-MX" w:eastAsia="es-MX"/>
        </w:rPr>
        <w:lastRenderedPageBreak/>
        <w:drawing>
          <wp:inline distT="0" distB="0" distL="0" distR="0" wp14:anchorId="53DB41F1" wp14:editId="1D7D9D75">
            <wp:extent cx="6028820" cy="7938197"/>
            <wp:effectExtent l="0" t="0" r="0" b="5715"/>
            <wp:docPr id="21561" name="Imagen 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2542" cy="7943098"/>
                    </a:xfrm>
                    <a:prstGeom prst="rect">
                      <a:avLst/>
                    </a:prstGeom>
                  </pic:spPr>
                </pic:pic>
              </a:graphicData>
            </a:graphic>
          </wp:inline>
        </w:drawing>
      </w:r>
    </w:p>
    <w:p w14:paraId="31B3C2D7" w14:textId="77777777" w:rsidR="003B68DB" w:rsidRPr="003B68DB" w:rsidRDefault="003B68DB" w:rsidP="003B68DB">
      <w:pPr>
        <w:rPr>
          <w:rFonts w:ascii="Arial" w:hAnsi="Arial" w:cs="Arial"/>
          <w:szCs w:val="24"/>
          <w:lang w:val="es-ES" w:eastAsia="es-ES"/>
        </w:rPr>
      </w:pPr>
    </w:p>
    <w:p w14:paraId="58467444" w14:textId="77777777" w:rsidR="00243EB4" w:rsidRPr="00243EB4" w:rsidRDefault="00243EB4" w:rsidP="00243EB4">
      <w:pPr>
        <w:spacing w:after="160" w:line="259" w:lineRule="auto"/>
        <w:jc w:val="center"/>
        <w:rPr>
          <w:rFonts w:eastAsia="Calibri"/>
          <w:b/>
          <w:szCs w:val="24"/>
          <w:lang w:val="es-419"/>
        </w:rPr>
      </w:pPr>
      <w:r w:rsidRPr="00243EB4">
        <w:rPr>
          <w:rFonts w:eastAsia="Calibri"/>
          <w:b/>
          <w:szCs w:val="24"/>
          <w:lang w:val="es-419"/>
        </w:rPr>
        <w:lastRenderedPageBreak/>
        <w:t>INSTRUCCIONES ADICIONALES AL CONTRATISTA</w:t>
      </w:r>
    </w:p>
    <w:p w14:paraId="21E73D74" w14:textId="77777777" w:rsidR="00243EB4" w:rsidRPr="00D93F77" w:rsidRDefault="00243EB4" w:rsidP="00243EB4">
      <w:pPr>
        <w:spacing w:after="160" w:line="259" w:lineRule="auto"/>
        <w:jc w:val="left"/>
        <w:rPr>
          <w:rFonts w:eastAsia="Calibri"/>
          <w:b/>
          <w:sz w:val="22"/>
          <w:szCs w:val="22"/>
          <w:lang w:val="es-419"/>
        </w:rPr>
      </w:pPr>
      <w:r w:rsidRPr="00D93F77">
        <w:rPr>
          <w:rFonts w:eastAsia="Calibri"/>
          <w:b/>
          <w:sz w:val="22"/>
          <w:szCs w:val="22"/>
          <w:highlight w:val="yellow"/>
          <w:lang w:val="es-419"/>
        </w:rPr>
        <w:t>Agua y Saneamiento Comunidad La Concepción. (LOTE 1)</w:t>
      </w:r>
    </w:p>
    <w:p w14:paraId="3F2D626F" w14:textId="77777777" w:rsidR="00243EB4" w:rsidRPr="00243EB4" w:rsidRDefault="00243EB4" w:rsidP="00243EB4">
      <w:pPr>
        <w:rPr>
          <w:b/>
          <w:sz w:val="22"/>
          <w:szCs w:val="22"/>
          <w:lang w:val="es-NI" w:eastAsia="es-ES"/>
        </w:rPr>
      </w:pPr>
      <w:r w:rsidRPr="00243EB4">
        <w:rPr>
          <w:b/>
          <w:sz w:val="22"/>
          <w:szCs w:val="22"/>
          <w:lang w:val="es-NI" w:eastAsia="es-ES"/>
        </w:rPr>
        <w:t>I</w:t>
      </w:r>
      <w:r w:rsidRPr="00243EB4">
        <w:rPr>
          <w:b/>
          <w:sz w:val="22"/>
          <w:szCs w:val="22"/>
          <w:lang w:val="es-NI" w:eastAsia="es-ES"/>
        </w:rPr>
        <w:tab/>
        <w:t>ANTES DE DAR INICIO A LOS TRABAJOS DEBE</w:t>
      </w:r>
    </w:p>
    <w:p w14:paraId="4B260741" w14:textId="77777777" w:rsidR="00243EB4" w:rsidRPr="00243EB4" w:rsidRDefault="00243EB4" w:rsidP="00243EB4">
      <w:pPr>
        <w:rPr>
          <w:sz w:val="22"/>
          <w:szCs w:val="22"/>
          <w:lang w:val="es-NI" w:eastAsia="es-ES"/>
        </w:rPr>
      </w:pPr>
    </w:p>
    <w:p w14:paraId="0CF114AB" w14:textId="77777777" w:rsidR="00243EB4" w:rsidRPr="00243EB4" w:rsidRDefault="00243EB4" w:rsidP="00243EB4">
      <w:pPr>
        <w:numPr>
          <w:ilvl w:val="0"/>
          <w:numId w:val="202"/>
        </w:numPr>
        <w:contextualSpacing/>
        <w:jc w:val="left"/>
        <w:rPr>
          <w:szCs w:val="24"/>
          <w:lang w:val="es-NI" w:eastAsia="es-ES"/>
        </w:rPr>
      </w:pPr>
      <w:r w:rsidRPr="00243EB4">
        <w:rPr>
          <w:szCs w:val="24"/>
          <w:lang w:val="es-NI" w:eastAsia="es-ES"/>
        </w:rPr>
        <w:t>Los oferentes deberán de realizar la visita al sitio del proyecto la cual es de carácter obligatorio, para verificar las condiciones actuales, de encontrar inconsistentica entre los documentos contractuales, debe de hacer las consultas en el periodo de tiempo estipulado en el documento base de licitación para su debida aclaración.</w:t>
      </w:r>
    </w:p>
    <w:p w14:paraId="17B2A59C" w14:textId="77777777" w:rsidR="00243EB4" w:rsidRPr="00243EB4" w:rsidRDefault="00243EB4" w:rsidP="00243EB4">
      <w:pPr>
        <w:ind w:left="720"/>
        <w:contextualSpacing/>
        <w:rPr>
          <w:szCs w:val="24"/>
          <w:lang w:val="es-NI" w:eastAsia="es-ES"/>
        </w:rPr>
      </w:pPr>
    </w:p>
    <w:p w14:paraId="3B882212" w14:textId="77777777" w:rsidR="00243EB4" w:rsidRPr="00243EB4" w:rsidRDefault="00243EB4" w:rsidP="00243EB4">
      <w:pPr>
        <w:numPr>
          <w:ilvl w:val="0"/>
          <w:numId w:val="202"/>
        </w:numPr>
        <w:contextualSpacing/>
        <w:jc w:val="left"/>
        <w:rPr>
          <w:szCs w:val="24"/>
          <w:lang w:val="es-NI" w:eastAsia="es-ES"/>
        </w:rPr>
      </w:pPr>
      <w:r w:rsidRPr="00243EB4">
        <w:rPr>
          <w:szCs w:val="24"/>
          <w:lang w:val="es-NI" w:eastAsia="es-ES"/>
        </w:rPr>
        <w:t>El contratista debe de incluir en sus costos todos los controles de calidad tales como, pruebas de estanqueidad en tanques, pruebas de resistencia del concreto, pruebas de compactación, prueba de revenimiento, desinfección de tubería indicados en las especificaciones técnicas, además, incluirá la señalización para prevención de accidente (cintas refractivas, rótulos, barreras, etc), lo mismo que los implementos de seguridad para el personal (casco, chalecos, guantes).</w:t>
      </w:r>
    </w:p>
    <w:p w14:paraId="708FE28E" w14:textId="77777777" w:rsidR="00243EB4" w:rsidRPr="00243EB4" w:rsidRDefault="00243EB4" w:rsidP="00243EB4">
      <w:pPr>
        <w:rPr>
          <w:sz w:val="22"/>
          <w:szCs w:val="22"/>
          <w:lang w:val="es-NI" w:eastAsia="es-ES"/>
        </w:rPr>
      </w:pPr>
    </w:p>
    <w:p w14:paraId="5AF34F81"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debe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w:t>
      </w:r>
    </w:p>
    <w:p w14:paraId="433DF3AF" w14:textId="77777777" w:rsidR="00243EB4" w:rsidRPr="00243EB4" w:rsidRDefault="00243EB4" w:rsidP="00243EB4">
      <w:pPr>
        <w:rPr>
          <w:sz w:val="22"/>
          <w:szCs w:val="22"/>
          <w:lang w:val="es-NI" w:eastAsia="es-ES"/>
        </w:rPr>
      </w:pPr>
    </w:p>
    <w:p w14:paraId="3ABA6906"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debe identificar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1C5BECF7" w14:textId="77777777" w:rsidR="00243EB4" w:rsidRPr="00243EB4" w:rsidRDefault="00243EB4" w:rsidP="00243EB4">
      <w:pPr>
        <w:rPr>
          <w:sz w:val="22"/>
          <w:szCs w:val="22"/>
          <w:lang w:val="es-NI" w:eastAsia="es-ES"/>
        </w:rPr>
      </w:pPr>
    </w:p>
    <w:p w14:paraId="0D9E74C8"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debe leer y prestar especial atención a lo establecido en el Informe de Investigación de Zona de Obras, en las especificaciones ambientales generales, en las especificaciones técnicas generales y especificaciones técnicas particulares, de las características tecnológicas (catálogos) y cotizaciones de equipos, tuberías, y demás instalaciones a establecerse, adjuntas en las especificaciones técnicas que forman parte de los documentos contractuales, para:</w:t>
      </w:r>
    </w:p>
    <w:p w14:paraId="12F2E737" w14:textId="77777777" w:rsidR="00243EB4" w:rsidRPr="00243EB4" w:rsidRDefault="00243EB4" w:rsidP="00243EB4">
      <w:pPr>
        <w:ind w:left="720"/>
        <w:contextualSpacing/>
        <w:jc w:val="left"/>
        <w:rPr>
          <w:sz w:val="22"/>
          <w:szCs w:val="22"/>
          <w:lang w:val="es-NI" w:eastAsia="es-ES"/>
        </w:rPr>
      </w:pPr>
    </w:p>
    <w:p w14:paraId="0B9CD232" w14:textId="77777777" w:rsidR="00243EB4" w:rsidRPr="00243EB4" w:rsidRDefault="00243EB4" w:rsidP="00243EB4">
      <w:pPr>
        <w:numPr>
          <w:ilvl w:val="1"/>
          <w:numId w:val="202"/>
        </w:numPr>
        <w:contextualSpacing/>
        <w:jc w:val="left"/>
        <w:rPr>
          <w:sz w:val="22"/>
          <w:szCs w:val="22"/>
          <w:lang w:val="es-NI" w:eastAsia="es-ES"/>
        </w:rPr>
      </w:pPr>
      <w:r w:rsidRPr="00243EB4">
        <w:rPr>
          <w:sz w:val="22"/>
          <w:szCs w:val="22"/>
          <w:lang w:val="es-NI" w:eastAsia="es-ES"/>
        </w:rPr>
        <w:t>Construir y dejar operando satisfactoriamente el sistema de suministro de agua potable constituido por el Mini acueducto por bombeo eléctrico (MABE). La caseta de control y vigilancia con acabado de paredes con pintura interior y exterior. Incluye cielo raso conforme especificaciones técnicas.</w:t>
      </w:r>
    </w:p>
    <w:p w14:paraId="1A3877E5" w14:textId="77777777" w:rsidR="00243EB4" w:rsidRPr="00243EB4" w:rsidRDefault="00243EB4" w:rsidP="00243EB4">
      <w:pPr>
        <w:numPr>
          <w:ilvl w:val="1"/>
          <w:numId w:val="202"/>
        </w:numPr>
        <w:contextualSpacing/>
        <w:jc w:val="left"/>
        <w:rPr>
          <w:sz w:val="22"/>
          <w:szCs w:val="22"/>
          <w:lang w:val="es-NI" w:eastAsia="es-ES"/>
        </w:rPr>
      </w:pPr>
      <w:r w:rsidRPr="00243EB4">
        <w:rPr>
          <w:sz w:val="22"/>
          <w:szCs w:val="22"/>
          <w:lang w:val="es-NI" w:eastAsia="es-ES"/>
        </w:rPr>
        <w:t>Construir y dejar funcionando satisfactoriamente cada unidad unifamiliar de saneamiento integral seleccionada Letrina sencilla Semi elevada (LS-3).</w:t>
      </w:r>
    </w:p>
    <w:p w14:paraId="035C5AB8" w14:textId="77777777" w:rsidR="00243EB4" w:rsidRPr="00243EB4" w:rsidRDefault="00243EB4" w:rsidP="00243EB4">
      <w:pPr>
        <w:numPr>
          <w:ilvl w:val="1"/>
          <w:numId w:val="202"/>
        </w:numPr>
        <w:contextualSpacing/>
        <w:jc w:val="left"/>
        <w:rPr>
          <w:sz w:val="22"/>
          <w:szCs w:val="22"/>
          <w:lang w:val="es-NI" w:eastAsia="es-ES"/>
        </w:rPr>
      </w:pPr>
      <w:r w:rsidRPr="00243EB4">
        <w:rPr>
          <w:sz w:val="22"/>
          <w:szCs w:val="22"/>
          <w:lang w:val="es-NI" w:eastAsia="es-ES"/>
        </w:rPr>
        <w:t>Suministrar, instalar y dejar funcionando satisfactoriamente cada lavadero con sistema de eliminación inocua de aguas grises (Pozo de Absorción), en cada unidad unifamiliar de saneamiento integral, para garantizar la promoción de la higiene.</w:t>
      </w:r>
    </w:p>
    <w:p w14:paraId="0911061C" w14:textId="77777777" w:rsidR="00243EB4" w:rsidRPr="00243EB4" w:rsidRDefault="00243EB4" w:rsidP="00243EB4">
      <w:pPr>
        <w:rPr>
          <w:sz w:val="22"/>
          <w:szCs w:val="22"/>
          <w:lang w:val="es-NI" w:eastAsia="es-ES"/>
        </w:rPr>
      </w:pPr>
    </w:p>
    <w:p w14:paraId="6D241BAA"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debe cumplir con lo establecido en el Reglamento Nacional de la Construcción (RNC) vigente, como salvaguarda de la calidad de los procesos constructivos para garantizar la funcionalidad, sostenibilidad y durabilidad de las obras.</w:t>
      </w:r>
    </w:p>
    <w:p w14:paraId="1D462B24" w14:textId="77777777" w:rsidR="00243EB4" w:rsidRPr="00243EB4" w:rsidRDefault="00243EB4" w:rsidP="00243EB4">
      <w:pPr>
        <w:rPr>
          <w:sz w:val="22"/>
          <w:szCs w:val="22"/>
          <w:lang w:val="es-NI" w:eastAsia="es-ES"/>
        </w:rPr>
      </w:pPr>
    </w:p>
    <w:p w14:paraId="27F1CA96"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 xml:space="preserve">Por ningún motivo se permitirá que el contratista ejecute obras fuera de lo establecido en los términos contractuales; solamente en casos que la supervisión determine la necesidad de </w:t>
      </w:r>
      <w:r w:rsidRPr="00243EB4">
        <w:rPr>
          <w:sz w:val="22"/>
          <w:szCs w:val="22"/>
          <w:lang w:val="es-NI" w:eastAsia="es-ES"/>
        </w:rPr>
        <w:lastRenderedPageBreak/>
        <w:t>adicionar alguna obra que conlleve a mejorar el funcionamiento del Sistema se deben de incluir siempre y cuando estén avalados por la alcaldía Municipal (Alcalde) y el técnico territorial del FISE.</w:t>
      </w:r>
    </w:p>
    <w:p w14:paraId="01F5B36A" w14:textId="77777777" w:rsidR="00243EB4" w:rsidRPr="00243EB4" w:rsidRDefault="00243EB4" w:rsidP="00243EB4">
      <w:pPr>
        <w:rPr>
          <w:sz w:val="22"/>
          <w:szCs w:val="22"/>
          <w:lang w:val="es-NI" w:eastAsia="es-ES"/>
        </w:rPr>
      </w:pPr>
    </w:p>
    <w:p w14:paraId="49F09198"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Todo incremento en la ejecución del proyecto es asumido por la comunidad y la Alcaldía.</w:t>
      </w:r>
    </w:p>
    <w:p w14:paraId="2D0E54E1" w14:textId="77777777" w:rsidR="00243EB4" w:rsidRPr="00243EB4" w:rsidRDefault="00243EB4" w:rsidP="00243EB4">
      <w:pPr>
        <w:rPr>
          <w:sz w:val="22"/>
          <w:szCs w:val="22"/>
          <w:lang w:val="es-NI" w:eastAsia="es-ES"/>
        </w:rPr>
      </w:pPr>
    </w:p>
    <w:p w14:paraId="19DB125C"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Las directrices cubren los aspectos relevantes para el suministro de materiales y la preparación de los servicios que se consideran necesarios, para llevar a cabo la construcción de las obras.</w:t>
      </w:r>
    </w:p>
    <w:p w14:paraId="045C0601" w14:textId="77777777" w:rsidR="00243EB4" w:rsidRPr="00243EB4" w:rsidRDefault="00243EB4" w:rsidP="00243EB4">
      <w:pPr>
        <w:rPr>
          <w:sz w:val="22"/>
          <w:szCs w:val="22"/>
          <w:lang w:val="es-NI" w:eastAsia="es-ES"/>
        </w:rPr>
      </w:pPr>
    </w:p>
    <w:p w14:paraId="595EF8C7"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no debe alegar omisiones debido a desconocimiento e interpretación errónea de los documentos relacionados al proyecto.</w:t>
      </w:r>
    </w:p>
    <w:p w14:paraId="2B7ACEC6" w14:textId="77777777" w:rsidR="00243EB4" w:rsidRPr="00243EB4" w:rsidRDefault="00243EB4" w:rsidP="00243EB4">
      <w:pPr>
        <w:rPr>
          <w:sz w:val="22"/>
          <w:szCs w:val="22"/>
          <w:lang w:val="es-NI" w:eastAsia="es-ES"/>
        </w:rPr>
      </w:pPr>
    </w:p>
    <w:p w14:paraId="215B4BA9"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debe realizar todas las artes aplicables en la sana práctica de la ingeniería para lograr buena calidad de las obras.</w:t>
      </w:r>
    </w:p>
    <w:p w14:paraId="4672620B" w14:textId="77777777" w:rsidR="00243EB4" w:rsidRPr="00243EB4" w:rsidRDefault="00243EB4" w:rsidP="00243EB4">
      <w:pPr>
        <w:rPr>
          <w:sz w:val="22"/>
          <w:szCs w:val="22"/>
          <w:lang w:val="es-NI" w:eastAsia="es-ES"/>
        </w:rPr>
      </w:pPr>
    </w:p>
    <w:p w14:paraId="2D281D0F"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Se indica tener especial cuidado con la deposición de los materiales construcción y de los embalajes de cemento cartón, bolsas plásticas para evitar que no se rieguen ya sea por la acción de animales o las persona debido a que no existe un lugar establecido para este tipo de desechos.</w:t>
      </w:r>
    </w:p>
    <w:p w14:paraId="76EF92DA" w14:textId="77777777" w:rsidR="00243EB4" w:rsidRPr="00243EB4" w:rsidRDefault="00243EB4" w:rsidP="00243EB4">
      <w:pPr>
        <w:rPr>
          <w:sz w:val="22"/>
          <w:szCs w:val="22"/>
          <w:lang w:val="es-NI" w:eastAsia="es-ES"/>
        </w:rPr>
      </w:pPr>
    </w:p>
    <w:p w14:paraId="5FE19D32"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Si se toma la decisión de quemar los desechos tener especial cuidado de no provocar un incendio que circunda el lugar de construcción por lo está acción requiere vigilancia especial.</w:t>
      </w:r>
    </w:p>
    <w:p w14:paraId="6D58657F" w14:textId="77777777" w:rsidR="00243EB4" w:rsidRPr="00243EB4" w:rsidRDefault="00243EB4" w:rsidP="00243EB4">
      <w:pPr>
        <w:rPr>
          <w:sz w:val="22"/>
          <w:szCs w:val="22"/>
          <w:lang w:val="es-NI" w:eastAsia="es-ES"/>
        </w:rPr>
      </w:pPr>
    </w:p>
    <w:p w14:paraId="733AAD46"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La tierra sobrante de la excavación de los fosos para letrina parte de ella puede ser utilizada como talud en el perímetro del foso de la letrina, sirviendo, así como bordillo natural de protección a la escorrentía y evitando la erosión del foso.</w:t>
      </w:r>
    </w:p>
    <w:p w14:paraId="2D164540" w14:textId="77777777" w:rsidR="00243EB4" w:rsidRPr="00243EB4" w:rsidRDefault="00243EB4" w:rsidP="00243EB4">
      <w:pPr>
        <w:rPr>
          <w:sz w:val="22"/>
          <w:szCs w:val="22"/>
          <w:lang w:val="es-NI" w:eastAsia="es-ES"/>
        </w:rPr>
      </w:pPr>
    </w:p>
    <w:p w14:paraId="4A6B749A"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El contratista no debe obviar la naturaleza social del proyecto por lo que se recomienda contratar la mayor cantidad de mano de obra local posible.</w:t>
      </w:r>
    </w:p>
    <w:p w14:paraId="1765154F" w14:textId="77777777" w:rsidR="00243EB4" w:rsidRPr="00243EB4" w:rsidRDefault="00243EB4" w:rsidP="00243EB4">
      <w:pPr>
        <w:rPr>
          <w:sz w:val="22"/>
          <w:szCs w:val="22"/>
          <w:lang w:val="es-NI" w:eastAsia="es-ES"/>
        </w:rPr>
      </w:pPr>
    </w:p>
    <w:p w14:paraId="1BEF379E"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Al momento de la ejecución tanto el Contratista como el Supervisor deben regirse por lo indicado en los planos, alcances, especificaciones técnicas y ambientales y las cláusulas contractuales.</w:t>
      </w:r>
    </w:p>
    <w:p w14:paraId="4335598D" w14:textId="77777777" w:rsidR="00243EB4" w:rsidRPr="00243EB4" w:rsidRDefault="00243EB4" w:rsidP="00243EB4">
      <w:pPr>
        <w:rPr>
          <w:sz w:val="22"/>
          <w:szCs w:val="22"/>
          <w:lang w:val="es-NI" w:eastAsia="es-ES"/>
        </w:rPr>
      </w:pPr>
    </w:p>
    <w:p w14:paraId="70B9560E" w14:textId="77777777" w:rsidR="00243EB4" w:rsidRPr="00243EB4" w:rsidRDefault="00243EB4" w:rsidP="00243EB4">
      <w:pPr>
        <w:numPr>
          <w:ilvl w:val="0"/>
          <w:numId w:val="202"/>
        </w:numPr>
        <w:contextualSpacing/>
        <w:jc w:val="left"/>
        <w:rPr>
          <w:sz w:val="22"/>
          <w:szCs w:val="22"/>
          <w:lang w:val="es-NI" w:eastAsia="es-ES"/>
        </w:rPr>
      </w:pPr>
      <w:r w:rsidRPr="00243EB4">
        <w:rPr>
          <w:sz w:val="22"/>
          <w:szCs w:val="22"/>
          <w:lang w:val="es-NI" w:eastAsia="es-ES"/>
        </w:rPr>
        <w:t>Todos los componentes del proyecto se ejecutan con la participación directa de la comunidad, la Alcaldía y FISE. Esta participación requiere del aporte de cada actor ya sea en especies o efectivo y El contratista debe estar estrechamente coordinado con la Alcaldía y la Comunidad en cuanto a los aportes de la ejecución del proyecto se refiere.</w:t>
      </w:r>
    </w:p>
    <w:p w14:paraId="11273D24" w14:textId="77777777" w:rsidR="00243EB4" w:rsidRPr="00243EB4" w:rsidRDefault="00243EB4" w:rsidP="00243EB4">
      <w:pPr>
        <w:ind w:left="720"/>
        <w:contextualSpacing/>
        <w:jc w:val="left"/>
        <w:rPr>
          <w:sz w:val="22"/>
          <w:szCs w:val="22"/>
          <w:lang w:val="es-NI" w:eastAsia="es-ES"/>
        </w:rPr>
      </w:pPr>
    </w:p>
    <w:p w14:paraId="296150D7" w14:textId="77777777" w:rsidR="00243EB4" w:rsidRPr="00243EB4" w:rsidRDefault="00243EB4" w:rsidP="00243EB4">
      <w:pPr>
        <w:rPr>
          <w:b/>
          <w:sz w:val="22"/>
          <w:szCs w:val="22"/>
          <w:lang w:val="es-NI" w:eastAsia="es-ES"/>
        </w:rPr>
      </w:pPr>
      <w:r w:rsidRPr="00243EB4">
        <w:rPr>
          <w:b/>
          <w:sz w:val="22"/>
          <w:szCs w:val="22"/>
          <w:lang w:val="es-NI" w:eastAsia="es-ES"/>
        </w:rPr>
        <w:t>II</w:t>
      </w:r>
      <w:r w:rsidRPr="00243EB4">
        <w:rPr>
          <w:b/>
          <w:sz w:val="22"/>
          <w:szCs w:val="22"/>
          <w:lang w:val="es-NI" w:eastAsia="es-ES"/>
        </w:rPr>
        <w:tab/>
        <w:t>ALCANCES GENERALES DE LOS SERVICIOS</w:t>
      </w:r>
    </w:p>
    <w:p w14:paraId="15671BE1" w14:textId="77777777" w:rsidR="00243EB4" w:rsidRPr="00243EB4" w:rsidRDefault="00243EB4" w:rsidP="00243EB4">
      <w:pPr>
        <w:rPr>
          <w:sz w:val="22"/>
          <w:szCs w:val="22"/>
          <w:lang w:val="es-NI" w:eastAsia="es-ES"/>
        </w:rPr>
      </w:pPr>
    </w:p>
    <w:p w14:paraId="2FA53D10" w14:textId="77777777" w:rsidR="00243EB4" w:rsidRPr="00243EB4" w:rsidRDefault="00243EB4" w:rsidP="00243EB4">
      <w:pPr>
        <w:rPr>
          <w:sz w:val="22"/>
          <w:szCs w:val="22"/>
          <w:lang w:val="es-NI" w:eastAsia="es-ES"/>
        </w:rPr>
      </w:pPr>
      <w:r w:rsidRPr="00243EB4">
        <w:rPr>
          <w:sz w:val="22"/>
          <w:szCs w:val="22"/>
          <w:lang w:val="es-NI" w:eastAsia="es-ES"/>
        </w:rPr>
        <w:t>1</w:t>
      </w:r>
      <w:r w:rsidRPr="00243EB4">
        <w:rPr>
          <w:sz w:val="22"/>
          <w:szCs w:val="22"/>
          <w:lang w:val="es-NI" w:eastAsia="es-ES"/>
        </w:rPr>
        <w:tab/>
        <w:t>Se debe iniciar el proyecto con las actividades de perforación del pozo, hasta que se hayan finalizado las actividades de construcción del pozo incluidas las pruebas de bombeo y se hayan obtenido los resultados de calidad del agua como apta para el consumo humano se autorizara al contratista iniciar la construcción de otras obras del sistema.</w:t>
      </w:r>
    </w:p>
    <w:p w14:paraId="71245CBC" w14:textId="77777777" w:rsidR="00243EB4" w:rsidRPr="00243EB4" w:rsidRDefault="00243EB4" w:rsidP="00243EB4">
      <w:pPr>
        <w:rPr>
          <w:sz w:val="22"/>
          <w:szCs w:val="22"/>
          <w:lang w:val="es-NI" w:eastAsia="es-ES"/>
        </w:rPr>
      </w:pPr>
    </w:p>
    <w:p w14:paraId="1B0694E8" w14:textId="77777777" w:rsidR="00243EB4" w:rsidRPr="00243EB4" w:rsidRDefault="00243EB4" w:rsidP="00243EB4">
      <w:pPr>
        <w:rPr>
          <w:sz w:val="22"/>
          <w:szCs w:val="22"/>
          <w:lang w:val="es-NI" w:eastAsia="es-ES"/>
        </w:rPr>
      </w:pPr>
      <w:r w:rsidRPr="00243EB4">
        <w:rPr>
          <w:sz w:val="22"/>
          <w:szCs w:val="22"/>
          <w:lang w:val="es-NI" w:eastAsia="es-ES"/>
        </w:rPr>
        <w:t>2</w:t>
      </w:r>
      <w:r w:rsidRPr="00243EB4">
        <w:rPr>
          <w:sz w:val="22"/>
          <w:szCs w:val="22"/>
          <w:lang w:val="es-NI" w:eastAsia="es-ES"/>
        </w:rPr>
        <w:tab/>
        <w:t>El rotulo alusivo al proyecto debe colocarse desde el inicio de la ejecución y en sitio donde el CAPS establezca, el cual debe ser de uso comunal para evitar problemas con los dueños de terrenos o se debe contar con el visto bueno del dueño.</w:t>
      </w:r>
    </w:p>
    <w:p w14:paraId="668B3E74" w14:textId="77777777" w:rsidR="00243EB4" w:rsidRPr="00243EB4" w:rsidRDefault="00243EB4" w:rsidP="00243EB4">
      <w:pPr>
        <w:rPr>
          <w:sz w:val="22"/>
          <w:szCs w:val="22"/>
          <w:lang w:val="es-NI" w:eastAsia="es-ES"/>
        </w:rPr>
      </w:pPr>
    </w:p>
    <w:p w14:paraId="06E7CE7F" w14:textId="77777777" w:rsidR="00243EB4" w:rsidRPr="00243EB4" w:rsidRDefault="00243EB4" w:rsidP="00243EB4">
      <w:pPr>
        <w:rPr>
          <w:sz w:val="22"/>
          <w:szCs w:val="22"/>
          <w:lang w:val="es-NI" w:eastAsia="es-ES"/>
        </w:rPr>
      </w:pPr>
      <w:r w:rsidRPr="00243EB4">
        <w:rPr>
          <w:sz w:val="22"/>
          <w:szCs w:val="22"/>
          <w:lang w:val="es-NI" w:eastAsia="es-ES"/>
        </w:rPr>
        <w:t>3</w:t>
      </w:r>
      <w:r w:rsidRPr="00243EB4">
        <w:rPr>
          <w:sz w:val="22"/>
          <w:szCs w:val="22"/>
          <w:lang w:val="es-NI" w:eastAsia="es-ES"/>
        </w:rPr>
        <w:tab/>
        <w:t xml:space="preserve">El Contratista, debe realizar el replanteo topográfico, tanto de la línea de conducción, como de las redes de distribución, tanque de almacenamiento; con la finalidad de verificar las elevaciones, como su </w:t>
      </w:r>
      <w:r w:rsidRPr="00243EB4">
        <w:rPr>
          <w:sz w:val="22"/>
          <w:szCs w:val="22"/>
          <w:lang w:val="es-NI" w:eastAsia="es-ES"/>
        </w:rPr>
        <w:lastRenderedPageBreak/>
        <w:t>correcta localización. En el caso que se presenten incongruencias significativas comprobadas se debe consensuar la situación presentada a la supervisión del proyecto, municipalidad y El técnico territorial FISE.</w:t>
      </w:r>
    </w:p>
    <w:p w14:paraId="05E99643" w14:textId="77777777" w:rsidR="00243EB4" w:rsidRPr="00243EB4" w:rsidRDefault="00243EB4" w:rsidP="00243EB4">
      <w:pPr>
        <w:rPr>
          <w:sz w:val="22"/>
          <w:szCs w:val="22"/>
          <w:lang w:val="es-NI" w:eastAsia="es-ES"/>
        </w:rPr>
      </w:pPr>
    </w:p>
    <w:p w14:paraId="6D363DB0" w14:textId="77777777" w:rsidR="00243EB4" w:rsidRPr="00243EB4" w:rsidRDefault="00243EB4" w:rsidP="00243EB4">
      <w:pPr>
        <w:rPr>
          <w:sz w:val="22"/>
          <w:szCs w:val="22"/>
          <w:lang w:val="es-NI" w:eastAsia="es-ES"/>
        </w:rPr>
      </w:pPr>
      <w:r w:rsidRPr="00243EB4">
        <w:rPr>
          <w:sz w:val="22"/>
          <w:szCs w:val="22"/>
          <w:lang w:val="es-NI" w:eastAsia="es-ES"/>
        </w:rPr>
        <w:t>4</w:t>
      </w:r>
      <w:r w:rsidRPr="00243EB4">
        <w:rPr>
          <w:sz w:val="22"/>
          <w:szCs w:val="22"/>
          <w:lang w:val="es-NI" w:eastAsia="es-ES"/>
        </w:rPr>
        <w:tab/>
        <w:t>Se le indica al Contratista que la actividad Código 95990 BOMBA C/MOTOR SUMERGIBLE DE 20 HP, Q=35 GPM, CTD=1,210 ', 3/60/230 V, se debe considerar una CTD DE 1286.05 PIES y una Bomba de 20 HP, Q=35 GPM, 3/60/460 V.</w:t>
      </w:r>
    </w:p>
    <w:p w14:paraId="54E96F5D" w14:textId="77777777" w:rsidR="00243EB4" w:rsidRPr="00243EB4" w:rsidRDefault="00243EB4" w:rsidP="00243EB4">
      <w:pPr>
        <w:rPr>
          <w:sz w:val="22"/>
          <w:szCs w:val="22"/>
          <w:lang w:val="es-NI" w:eastAsia="es-ES"/>
        </w:rPr>
      </w:pPr>
    </w:p>
    <w:p w14:paraId="1A622851" w14:textId="77777777" w:rsidR="00243EB4" w:rsidRPr="00243EB4" w:rsidRDefault="00243EB4" w:rsidP="00243EB4">
      <w:pPr>
        <w:rPr>
          <w:sz w:val="22"/>
          <w:szCs w:val="22"/>
          <w:lang w:val="es-NI" w:eastAsia="es-ES"/>
        </w:rPr>
      </w:pPr>
      <w:r w:rsidRPr="00243EB4">
        <w:rPr>
          <w:sz w:val="22"/>
          <w:szCs w:val="22"/>
          <w:lang w:val="es-NI" w:eastAsia="es-ES"/>
        </w:rPr>
        <w:t>5</w:t>
      </w:r>
      <w:r w:rsidRPr="00243EB4">
        <w:rPr>
          <w:sz w:val="22"/>
          <w:szCs w:val="22"/>
          <w:lang w:val="es-NI" w:eastAsia="es-ES"/>
        </w:rPr>
        <w:tab/>
        <w:t>El Contratista debe incluir todos los accesorios requeridos para la instalación de las tuberías según los diámetros requeridos para el buen funcionamiento del sistema. Los costos derivados de los accesorios deben ser incluidos en los renglones de costo del diámetro de tubería PVC correspondiente.</w:t>
      </w:r>
    </w:p>
    <w:p w14:paraId="42B1639F" w14:textId="77777777" w:rsidR="00243EB4" w:rsidRPr="00243EB4" w:rsidRDefault="00243EB4" w:rsidP="00243EB4">
      <w:pPr>
        <w:rPr>
          <w:sz w:val="22"/>
          <w:szCs w:val="22"/>
          <w:lang w:val="es-NI" w:eastAsia="es-ES"/>
        </w:rPr>
      </w:pPr>
    </w:p>
    <w:p w14:paraId="2A47AD72" w14:textId="77777777" w:rsidR="00243EB4" w:rsidRPr="00243EB4" w:rsidRDefault="00243EB4" w:rsidP="00243EB4">
      <w:pPr>
        <w:rPr>
          <w:sz w:val="22"/>
          <w:szCs w:val="22"/>
          <w:lang w:val="es-NI" w:eastAsia="es-ES"/>
        </w:rPr>
      </w:pPr>
      <w:r w:rsidRPr="00243EB4">
        <w:rPr>
          <w:sz w:val="22"/>
          <w:szCs w:val="22"/>
          <w:lang w:val="es-NI" w:eastAsia="es-ES"/>
        </w:rPr>
        <w:t>6</w:t>
      </w:r>
      <w:r w:rsidRPr="00243EB4">
        <w:rPr>
          <w:sz w:val="22"/>
          <w:szCs w:val="22"/>
          <w:lang w:val="es-NI" w:eastAsia="es-ES"/>
        </w:rPr>
        <w:tab/>
        <w:t>El Contratista debe verificar que la ubicación de las cajas rompe presión a instalarse en la red de distribución no causen ninguna afectación al abastecimiento continuo de las viviendas cercanas.</w:t>
      </w:r>
    </w:p>
    <w:p w14:paraId="1AD5AA5C" w14:textId="77777777" w:rsidR="00243EB4" w:rsidRPr="00243EB4" w:rsidRDefault="00243EB4" w:rsidP="00243EB4">
      <w:pPr>
        <w:rPr>
          <w:sz w:val="22"/>
          <w:szCs w:val="22"/>
          <w:lang w:val="es-NI" w:eastAsia="es-ES"/>
        </w:rPr>
      </w:pPr>
    </w:p>
    <w:p w14:paraId="11F54AE4" w14:textId="77777777" w:rsidR="00243EB4" w:rsidRPr="00243EB4" w:rsidRDefault="00243EB4" w:rsidP="00243EB4">
      <w:pPr>
        <w:rPr>
          <w:sz w:val="22"/>
          <w:szCs w:val="22"/>
          <w:lang w:val="es-NI" w:eastAsia="es-ES"/>
        </w:rPr>
      </w:pPr>
      <w:r w:rsidRPr="00243EB4">
        <w:rPr>
          <w:sz w:val="22"/>
          <w:szCs w:val="22"/>
          <w:lang w:val="es-NI" w:eastAsia="es-ES"/>
        </w:rPr>
        <w:t>7</w:t>
      </w:r>
      <w:r w:rsidRPr="00243EB4">
        <w:rPr>
          <w:sz w:val="22"/>
          <w:szCs w:val="22"/>
          <w:lang w:val="es-NI" w:eastAsia="es-ES"/>
        </w:rPr>
        <w:tab/>
        <w:t xml:space="preserve">La excavación de zanjas para tuberías se debe de programar en cuadrillas de trabajo que permitan un avance significativo, cada 300 metros de tubería se debe realizar inmediatamente la prueba hidrostática, no se debe de permitir tapar la tubería si ésta no ha sido sometida a dicha prueba. </w:t>
      </w:r>
    </w:p>
    <w:p w14:paraId="0A46BA8A" w14:textId="77777777" w:rsidR="00243EB4" w:rsidRPr="00243EB4" w:rsidRDefault="00243EB4" w:rsidP="00243EB4">
      <w:pPr>
        <w:rPr>
          <w:sz w:val="22"/>
          <w:szCs w:val="22"/>
          <w:lang w:val="es-NI" w:eastAsia="es-ES"/>
        </w:rPr>
      </w:pPr>
    </w:p>
    <w:p w14:paraId="566EEBF7" w14:textId="77777777" w:rsidR="00243EB4" w:rsidRPr="00243EB4" w:rsidRDefault="00243EB4" w:rsidP="00243EB4">
      <w:pPr>
        <w:rPr>
          <w:sz w:val="22"/>
          <w:szCs w:val="22"/>
          <w:lang w:val="es-NI" w:eastAsia="es-ES"/>
        </w:rPr>
      </w:pPr>
      <w:r w:rsidRPr="00243EB4">
        <w:rPr>
          <w:sz w:val="22"/>
          <w:szCs w:val="22"/>
          <w:lang w:val="es-NI" w:eastAsia="es-ES"/>
        </w:rPr>
        <w:t>8</w:t>
      </w:r>
      <w:r w:rsidRPr="00243EB4">
        <w:rPr>
          <w:sz w:val="22"/>
          <w:szCs w:val="22"/>
          <w:lang w:val="es-NI" w:eastAsia="es-ES"/>
        </w:rPr>
        <w:tab/>
        <w:t>El Contratista está obligado a realizar todas las pruebas de laboratorio requeridas, como la resistencia del concreto, el hierro, las pruebas referidas a la calidad del agua etc. El Contratista debe coordinar con la supervisión la ejecución de actividades claves como la colada del concreto, las pruebas hidrostáticas, etc.</w:t>
      </w:r>
    </w:p>
    <w:p w14:paraId="785F4688" w14:textId="77777777" w:rsidR="00243EB4" w:rsidRPr="00243EB4" w:rsidRDefault="00243EB4" w:rsidP="00243EB4">
      <w:pPr>
        <w:rPr>
          <w:sz w:val="22"/>
          <w:szCs w:val="22"/>
          <w:lang w:val="es-NI" w:eastAsia="es-ES"/>
        </w:rPr>
      </w:pPr>
    </w:p>
    <w:p w14:paraId="7A21CD82" w14:textId="77777777" w:rsidR="00243EB4" w:rsidRPr="00243EB4" w:rsidRDefault="00243EB4" w:rsidP="00243EB4">
      <w:pPr>
        <w:rPr>
          <w:sz w:val="22"/>
          <w:szCs w:val="22"/>
          <w:lang w:val="es-NI" w:eastAsia="es-ES"/>
        </w:rPr>
      </w:pPr>
      <w:r w:rsidRPr="00243EB4">
        <w:rPr>
          <w:sz w:val="22"/>
          <w:szCs w:val="22"/>
          <w:lang w:val="es-NI" w:eastAsia="es-ES"/>
        </w:rPr>
        <w:t>9</w:t>
      </w:r>
      <w:r w:rsidRPr="00243EB4">
        <w:rPr>
          <w:sz w:val="22"/>
          <w:szCs w:val="22"/>
          <w:lang w:val="es-NI" w:eastAsia="es-ES"/>
        </w:rPr>
        <w:tab/>
        <w:t>Las conexiones domiciliares se realizan finalizada la prueba hidrostática. El medidor es aporte del beneficiario.</w:t>
      </w:r>
    </w:p>
    <w:p w14:paraId="7DD5E909" w14:textId="77777777" w:rsidR="00243EB4" w:rsidRPr="00243EB4" w:rsidRDefault="00243EB4" w:rsidP="00243EB4">
      <w:pPr>
        <w:rPr>
          <w:sz w:val="22"/>
          <w:szCs w:val="22"/>
          <w:lang w:val="es-NI" w:eastAsia="es-ES"/>
        </w:rPr>
      </w:pPr>
    </w:p>
    <w:p w14:paraId="125A055E" w14:textId="77777777" w:rsidR="00243EB4" w:rsidRPr="00243EB4" w:rsidRDefault="00243EB4" w:rsidP="00243EB4">
      <w:pPr>
        <w:rPr>
          <w:sz w:val="22"/>
          <w:szCs w:val="22"/>
          <w:lang w:val="es-NI" w:eastAsia="es-ES"/>
        </w:rPr>
      </w:pPr>
      <w:r w:rsidRPr="00243EB4">
        <w:rPr>
          <w:sz w:val="22"/>
          <w:szCs w:val="22"/>
          <w:lang w:val="es-NI" w:eastAsia="es-ES"/>
        </w:rPr>
        <w:t>10</w:t>
      </w:r>
      <w:r w:rsidRPr="00243EB4">
        <w:rPr>
          <w:sz w:val="22"/>
          <w:szCs w:val="22"/>
          <w:lang w:val="es-NI" w:eastAsia="es-ES"/>
        </w:rPr>
        <w:tab/>
        <w:t>El Contratista debe cumplir con las medidas Ambientales de mitigación establecidas en el Análisis Ambiental, con el objetivo de no causar afectaciones al medio ambiente. El Supervisor en coordinación con el CAPS y UMAS vigilan para que dichas recomendaciones se cumplan.</w:t>
      </w:r>
    </w:p>
    <w:p w14:paraId="228CADCF" w14:textId="77777777" w:rsidR="00243EB4" w:rsidRPr="00243EB4" w:rsidRDefault="00243EB4" w:rsidP="00243EB4">
      <w:pPr>
        <w:rPr>
          <w:sz w:val="22"/>
          <w:szCs w:val="22"/>
          <w:lang w:val="es-NI" w:eastAsia="es-ES"/>
        </w:rPr>
      </w:pPr>
    </w:p>
    <w:p w14:paraId="09F49CB1" w14:textId="77777777" w:rsidR="00243EB4" w:rsidRPr="00243EB4" w:rsidRDefault="00243EB4" w:rsidP="00243EB4">
      <w:pPr>
        <w:rPr>
          <w:sz w:val="22"/>
          <w:szCs w:val="22"/>
          <w:lang w:val="es-NI" w:eastAsia="es-ES"/>
        </w:rPr>
      </w:pPr>
      <w:r w:rsidRPr="00243EB4">
        <w:rPr>
          <w:sz w:val="22"/>
          <w:szCs w:val="22"/>
          <w:lang w:val="es-NI" w:eastAsia="es-ES"/>
        </w:rPr>
        <w:t>11</w:t>
      </w:r>
      <w:r w:rsidRPr="00243EB4">
        <w:rPr>
          <w:sz w:val="22"/>
          <w:szCs w:val="22"/>
          <w:lang w:val="es-NI" w:eastAsia="es-ES"/>
        </w:rPr>
        <w:tab/>
        <w:t>El contratista debe colocar señales de prevención de accidentes, tanto peatonales como vehiculares.</w:t>
      </w:r>
    </w:p>
    <w:p w14:paraId="082BF883" w14:textId="77777777" w:rsidR="00243EB4" w:rsidRPr="00243EB4" w:rsidRDefault="00243EB4" w:rsidP="00243EB4">
      <w:pPr>
        <w:rPr>
          <w:sz w:val="22"/>
          <w:szCs w:val="22"/>
          <w:lang w:val="es-NI" w:eastAsia="es-ES"/>
        </w:rPr>
      </w:pPr>
    </w:p>
    <w:p w14:paraId="19E974A3" w14:textId="77777777" w:rsidR="00243EB4" w:rsidRPr="00243EB4" w:rsidRDefault="00243EB4" w:rsidP="00243EB4">
      <w:pPr>
        <w:rPr>
          <w:b/>
          <w:sz w:val="22"/>
          <w:szCs w:val="22"/>
          <w:lang w:val="es-NI" w:eastAsia="es-ES"/>
        </w:rPr>
      </w:pPr>
      <w:r w:rsidRPr="00243EB4">
        <w:rPr>
          <w:b/>
          <w:sz w:val="22"/>
          <w:szCs w:val="22"/>
          <w:lang w:val="es-NI" w:eastAsia="es-ES"/>
        </w:rPr>
        <w:t>III</w:t>
      </w:r>
      <w:r w:rsidRPr="00243EB4">
        <w:rPr>
          <w:b/>
          <w:sz w:val="22"/>
          <w:szCs w:val="22"/>
          <w:lang w:val="es-NI" w:eastAsia="es-ES"/>
        </w:rPr>
        <w:tab/>
        <w:t xml:space="preserve">CARACTERÍSTICAS TECNOLÓGICAS </w:t>
      </w:r>
    </w:p>
    <w:p w14:paraId="2C2C49CA" w14:textId="77777777" w:rsidR="00243EB4" w:rsidRPr="00243EB4" w:rsidRDefault="00243EB4" w:rsidP="00243EB4">
      <w:pPr>
        <w:rPr>
          <w:sz w:val="22"/>
          <w:szCs w:val="22"/>
          <w:lang w:val="es-NI" w:eastAsia="es-ES"/>
        </w:rPr>
      </w:pPr>
    </w:p>
    <w:p w14:paraId="3A17832E" w14:textId="77777777" w:rsidR="00243EB4" w:rsidRPr="00243EB4" w:rsidRDefault="00243EB4" w:rsidP="00243EB4">
      <w:pPr>
        <w:rPr>
          <w:sz w:val="22"/>
          <w:szCs w:val="22"/>
          <w:lang w:val="es-NI" w:eastAsia="es-ES"/>
        </w:rPr>
      </w:pPr>
      <w:r w:rsidRPr="00243EB4">
        <w:rPr>
          <w:sz w:val="22"/>
          <w:szCs w:val="22"/>
          <w:lang w:val="es-NI" w:eastAsia="es-ES"/>
        </w:rPr>
        <w:t>1</w:t>
      </w:r>
      <w:r w:rsidRPr="00243EB4">
        <w:rPr>
          <w:sz w:val="22"/>
          <w:szCs w:val="22"/>
          <w:lang w:val="es-NI" w:eastAsia="es-ES"/>
        </w:rPr>
        <w:tab/>
        <w:t>Las válvulas, accesorios, medidores y llaves de chorro deben ser de la mejor calidad, avalados y aprobados por el supervisor antes de que estos lleguen al sitio del proyecto.</w:t>
      </w:r>
    </w:p>
    <w:p w14:paraId="3310496A" w14:textId="77777777" w:rsidR="00243EB4" w:rsidRPr="00243EB4" w:rsidRDefault="00243EB4" w:rsidP="00243EB4">
      <w:pPr>
        <w:rPr>
          <w:sz w:val="22"/>
          <w:szCs w:val="22"/>
          <w:lang w:val="es-NI" w:eastAsia="es-ES"/>
        </w:rPr>
      </w:pPr>
    </w:p>
    <w:p w14:paraId="12DD28D9" w14:textId="77777777" w:rsidR="00243EB4" w:rsidRPr="00243EB4" w:rsidRDefault="00243EB4" w:rsidP="00243EB4">
      <w:pPr>
        <w:rPr>
          <w:sz w:val="22"/>
          <w:szCs w:val="22"/>
          <w:lang w:val="es-NI" w:eastAsia="es-ES"/>
        </w:rPr>
      </w:pPr>
      <w:r w:rsidRPr="00243EB4">
        <w:rPr>
          <w:sz w:val="22"/>
          <w:szCs w:val="22"/>
          <w:lang w:val="es-NI" w:eastAsia="es-ES"/>
        </w:rPr>
        <w:t>2</w:t>
      </w:r>
      <w:r w:rsidRPr="00243EB4">
        <w:rPr>
          <w:sz w:val="22"/>
          <w:szCs w:val="22"/>
          <w:lang w:val="es-NI" w:eastAsia="es-ES"/>
        </w:rPr>
        <w:tab/>
        <w:t>Todas las válvulas del sistema deben ser de hierro fundido, de cuadrante y el contratista debe suministrar el maneral para su manipulación.</w:t>
      </w:r>
    </w:p>
    <w:p w14:paraId="4974CF4B" w14:textId="77777777" w:rsidR="00243EB4" w:rsidRPr="00243EB4" w:rsidRDefault="00243EB4" w:rsidP="00243EB4">
      <w:pPr>
        <w:rPr>
          <w:sz w:val="22"/>
          <w:szCs w:val="22"/>
          <w:lang w:val="es-NI" w:eastAsia="es-ES"/>
        </w:rPr>
      </w:pPr>
    </w:p>
    <w:p w14:paraId="21414E82" w14:textId="77777777" w:rsidR="00243EB4" w:rsidRPr="00243EB4" w:rsidRDefault="00243EB4" w:rsidP="00243EB4">
      <w:pPr>
        <w:rPr>
          <w:sz w:val="22"/>
          <w:szCs w:val="22"/>
          <w:lang w:val="es-NI" w:eastAsia="es-ES"/>
        </w:rPr>
      </w:pPr>
      <w:r w:rsidRPr="00243EB4">
        <w:rPr>
          <w:sz w:val="22"/>
          <w:szCs w:val="22"/>
          <w:lang w:val="es-NI" w:eastAsia="es-ES"/>
        </w:rPr>
        <w:t>3</w:t>
      </w:r>
      <w:r w:rsidRPr="00243EB4">
        <w:rPr>
          <w:sz w:val="22"/>
          <w:szCs w:val="22"/>
          <w:lang w:val="es-NI" w:eastAsia="es-ES"/>
        </w:rPr>
        <w:tab/>
        <w:t>En el caso de las válvulas a instalarse en la línea de conducción y sarta se debe prestar especial atención a lo indicado en las especificaciones técnicas.</w:t>
      </w:r>
    </w:p>
    <w:p w14:paraId="616D9808" w14:textId="77777777" w:rsidR="00243EB4" w:rsidRPr="00243EB4" w:rsidRDefault="00243EB4" w:rsidP="00243EB4">
      <w:pPr>
        <w:rPr>
          <w:sz w:val="22"/>
          <w:szCs w:val="22"/>
          <w:lang w:val="es-NI" w:eastAsia="es-ES"/>
        </w:rPr>
      </w:pPr>
    </w:p>
    <w:p w14:paraId="446E5DB2" w14:textId="77777777" w:rsidR="00243EB4" w:rsidRPr="00243EB4" w:rsidRDefault="00243EB4" w:rsidP="00243EB4">
      <w:pPr>
        <w:rPr>
          <w:sz w:val="22"/>
          <w:szCs w:val="22"/>
          <w:lang w:val="es-NI" w:eastAsia="es-ES"/>
        </w:rPr>
      </w:pPr>
      <w:r w:rsidRPr="00243EB4">
        <w:rPr>
          <w:sz w:val="22"/>
          <w:szCs w:val="22"/>
          <w:lang w:val="es-NI" w:eastAsia="es-ES"/>
        </w:rPr>
        <w:t>4</w:t>
      </w:r>
      <w:r w:rsidRPr="00243EB4">
        <w:rPr>
          <w:sz w:val="22"/>
          <w:szCs w:val="22"/>
          <w:lang w:val="es-NI" w:eastAsia="es-ES"/>
        </w:rPr>
        <w:tab/>
        <w:t>Las tuberías de Hierro Fundido Dúctil deben ser Cédula C40 y cumplir con las Normas AWWA C151/ ANSI A21.51, AWWA C 150 / ANSI A21.50, AWWA C104 / ANSI A21.4, ISO 8179-, ISO 8179-2.</w:t>
      </w:r>
    </w:p>
    <w:p w14:paraId="590D59FE" w14:textId="77777777" w:rsidR="00243EB4" w:rsidRPr="00243EB4" w:rsidRDefault="00243EB4" w:rsidP="00243EB4">
      <w:pPr>
        <w:rPr>
          <w:sz w:val="22"/>
          <w:szCs w:val="22"/>
          <w:lang w:val="es-NI" w:eastAsia="es-ES"/>
        </w:rPr>
      </w:pPr>
    </w:p>
    <w:p w14:paraId="7042476D" w14:textId="77777777" w:rsidR="00243EB4" w:rsidRPr="00243EB4" w:rsidRDefault="00243EB4" w:rsidP="00243EB4">
      <w:pPr>
        <w:rPr>
          <w:sz w:val="22"/>
          <w:szCs w:val="22"/>
          <w:lang w:val="es-NI" w:eastAsia="es-ES"/>
        </w:rPr>
      </w:pPr>
      <w:r w:rsidRPr="00243EB4">
        <w:rPr>
          <w:sz w:val="22"/>
          <w:szCs w:val="22"/>
          <w:lang w:val="es-NI" w:eastAsia="es-ES"/>
        </w:rPr>
        <w:t>5</w:t>
      </w:r>
      <w:r w:rsidRPr="00243EB4">
        <w:rPr>
          <w:sz w:val="22"/>
          <w:szCs w:val="22"/>
          <w:lang w:val="es-NI" w:eastAsia="es-ES"/>
        </w:rPr>
        <w:tab/>
        <w:t>Los accesorios de Junta Estándar de Hierro Fundido Dúctil deben ser cédula C40 y cumplir con las Normas AWWA C110 / ANIS A-21.10, AWWA C111/ A 21.11, AWWA C104 / ANSI A21.4, ISO 8179 -1, ISO 8179-2</w:t>
      </w:r>
    </w:p>
    <w:p w14:paraId="39BB1EDA" w14:textId="77777777" w:rsidR="00243EB4" w:rsidRPr="00243EB4" w:rsidRDefault="00243EB4" w:rsidP="00243EB4">
      <w:pPr>
        <w:rPr>
          <w:sz w:val="22"/>
          <w:szCs w:val="22"/>
          <w:lang w:val="es-NI" w:eastAsia="es-ES"/>
        </w:rPr>
      </w:pPr>
    </w:p>
    <w:p w14:paraId="5A9B6D95" w14:textId="77777777" w:rsidR="00243EB4" w:rsidRPr="00243EB4" w:rsidRDefault="00243EB4" w:rsidP="00243EB4">
      <w:pPr>
        <w:rPr>
          <w:sz w:val="22"/>
          <w:szCs w:val="22"/>
          <w:lang w:val="es-NI" w:eastAsia="es-ES"/>
        </w:rPr>
      </w:pPr>
      <w:r w:rsidRPr="00243EB4">
        <w:rPr>
          <w:sz w:val="22"/>
          <w:szCs w:val="22"/>
          <w:lang w:val="es-NI" w:eastAsia="es-ES"/>
        </w:rPr>
        <w:t>6</w:t>
      </w:r>
      <w:r w:rsidRPr="00243EB4">
        <w:rPr>
          <w:sz w:val="22"/>
          <w:szCs w:val="22"/>
          <w:lang w:val="es-NI" w:eastAsia="es-ES"/>
        </w:rPr>
        <w:tab/>
        <w:t>Las tuberías de HG serán del tipo Standard (cédula 40) y deben ajustarse a las especificaciones siguientes:</w:t>
      </w:r>
    </w:p>
    <w:p w14:paraId="17C7C58C" w14:textId="77777777" w:rsidR="00243EB4" w:rsidRPr="00243EB4" w:rsidRDefault="00243EB4" w:rsidP="00243EB4">
      <w:pPr>
        <w:rPr>
          <w:sz w:val="22"/>
          <w:szCs w:val="22"/>
          <w:lang w:val="es-NI" w:eastAsia="es-ES"/>
        </w:rPr>
      </w:pPr>
      <w:r w:rsidRPr="00243EB4">
        <w:rPr>
          <w:sz w:val="22"/>
          <w:szCs w:val="22"/>
          <w:lang w:val="es-NI" w:eastAsia="es-ES"/>
        </w:rPr>
        <w:t>1)</w:t>
      </w:r>
      <w:r w:rsidRPr="00243EB4">
        <w:rPr>
          <w:sz w:val="22"/>
          <w:szCs w:val="22"/>
          <w:lang w:val="es-NI" w:eastAsia="es-ES"/>
        </w:rPr>
        <w:tab/>
        <w:t>Que se ajuste en todos los aspectos con la especificación ASTM-120-65 y que cumpla con el proceso de Galvanización de acuerdo a la especificación ASTM A-90-39.</w:t>
      </w:r>
    </w:p>
    <w:p w14:paraId="65F24C39" w14:textId="77777777" w:rsidR="00243EB4" w:rsidRPr="00243EB4" w:rsidRDefault="00243EB4" w:rsidP="00243EB4">
      <w:pPr>
        <w:rPr>
          <w:sz w:val="22"/>
          <w:szCs w:val="22"/>
          <w:lang w:val="es-NI" w:eastAsia="es-ES"/>
        </w:rPr>
      </w:pPr>
    </w:p>
    <w:p w14:paraId="1B6301AC" w14:textId="77777777" w:rsidR="00243EB4" w:rsidRPr="00243EB4" w:rsidRDefault="00243EB4" w:rsidP="00243EB4">
      <w:pPr>
        <w:rPr>
          <w:sz w:val="22"/>
          <w:szCs w:val="22"/>
          <w:lang w:val="es-NI" w:eastAsia="es-ES"/>
        </w:rPr>
      </w:pPr>
      <w:r w:rsidRPr="00243EB4">
        <w:rPr>
          <w:sz w:val="22"/>
          <w:szCs w:val="22"/>
          <w:lang w:val="es-NI" w:eastAsia="es-ES"/>
        </w:rPr>
        <w:t>2)</w:t>
      </w:r>
      <w:r w:rsidRPr="00243EB4">
        <w:rPr>
          <w:sz w:val="22"/>
          <w:szCs w:val="22"/>
          <w:lang w:val="es-NI" w:eastAsia="es-ES"/>
        </w:rPr>
        <w:tab/>
        <w:t>Un acoplamiento deberá ser suministrado con cada longitud Standard. El acoplamiento consistirá en una camisa de Hierro Galvanizado con Rosca Standard para roscarse en el extremo del tubo.</w:t>
      </w:r>
    </w:p>
    <w:p w14:paraId="4043EA97" w14:textId="77777777" w:rsidR="00243EB4" w:rsidRPr="00243EB4" w:rsidRDefault="00243EB4" w:rsidP="00243EB4">
      <w:pPr>
        <w:rPr>
          <w:sz w:val="22"/>
          <w:szCs w:val="22"/>
          <w:lang w:val="es-NI" w:eastAsia="es-ES"/>
        </w:rPr>
      </w:pPr>
    </w:p>
    <w:p w14:paraId="088B8B29" w14:textId="77777777" w:rsidR="00243EB4" w:rsidRPr="00243EB4" w:rsidRDefault="00243EB4" w:rsidP="00243EB4">
      <w:pPr>
        <w:rPr>
          <w:sz w:val="22"/>
          <w:szCs w:val="22"/>
          <w:lang w:val="es-NI" w:eastAsia="es-ES"/>
        </w:rPr>
      </w:pPr>
      <w:r w:rsidRPr="00243EB4">
        <w:rPr>
          <w:sz w:val="22"/>
          <w:szCs w:val="22"/>
          <w:lang w:val="es-NI" w:eastAsia="es-ES"/>
        </w:rPr>
        <w:t>7</w:t>
      </w:r>
      <w:r w:rsidRPr="00243EB4">
        <w:rPr>
          <w:sz w:val="22"/>
          <w:szCs w:val="22"/>
          <w:lang w:val="es-NI" w:eastAsia="es-ES"/>
        </w:rPr>
        <w:tab/>
        <w:t>Los accesorios de material de hierro galvanizado deben ajustarse a las especificaciones ASTM, tendrán rosca hembra del tipo Iron Pipe (I.P) y deben ser diseñados para acoplarse a la tubería de HFD y PVC a ser suministrada. Las tuberías y los accesorios, deben de cumplir con El Certificado de Calidad ISO-90.</w:t>
      </w:r>
    </w:p>
    <w:p w14:paraId="6C665160" w14:textId="77777777" w:rsidR="00243EB4" w:rsidRPr="00243EB4" w:rsidRDefault="00243EB4" w:rsidP="00243EB4">
      <w:pPr>
        <w:rPr>
          <w:sz w:val="22"/>
          <w:szCs w:val="22"/>
          <w:lang w:val="es-NI" w:eastAsia="es-ES"/>
        </w:rPr>
      </w:pPr>
    </w:p>
    <w:p w14:paraId="2C4CB388" w14:textId="77777777" w:rsidR="00243EB4" w:rsidRPr="00243EB4" w:rsidRDefault="00243EB4" w:rsidP="00243EB4">
      <w:pPr>
        <w:rPr>
          <w:b/>
          <w:sz w:val="22"/>
          <w:szCs w:val="22"/>
          <w:lang w:val="es-NI" w:eastAsia="es-ES"/>
        </w:rPr>
      </w:pPr>
      <w:r w:rsidRPr="00243EB4">
        <w:rPr>
          <w:b/>
          <w:sz w:val="22"/>
          <w:szCs w:val="22"/>
          <w:lang w:val="es-NI" w:eastAsia="es-ES"/>
        </w:rPr>
        <w:t>IV</w:t>
      </w:r>
      <w:r w:rsidRPr="00243EB4">
        <w:rPr>
          <w:b/>
          <w:sz w:val="22"/>
          <w:szCs w:val="22"/>
          <w:lang w:val="es-NI" w:eastAsia="es-ES"/>
        </w:rPr>
        <w:tab/>
        <w:t>APORTE DE LA COMUNIDAD</w:t>
      </w:r>
    </w:p>
    <w:p w14:paraId="1590325D" w14:textId="77777777" w:rsidR="00243EB4" w:rsidRPr="00243EB4" w:rsidRDefault="00243EB4" w:rsidP="00243EB4">
      <w:pPr>
        <w:rPr>
          <w:sz w:val="22"/>
          <w:szCs w:val="22"/>
          <w:lang w:val="es-NI" w:eastAsia="es-ES"/>
        </w:rPr>
      </w:pPr>
    </w:p>
    <w:p w14:paraId="57E8D7F9" w14:textId="77777777" w:rsidR="00243EB4" w:rsidRPr="00243EB4" w:rsidRDefault="00243EB4" w:rsidP="00243EB4">
      <w:pPr>
        <w:rPr>
          <w:sz w:val="22"/>
          <w:szCs w:val="22"/>
          <w:lang w:val="es-NI" w:eastAsia="es-ES"/>
        </w:rPr>
      </w:pPr>
      <w:r w:rsidRPr="00243EB4">
        <w:rPr>
          <w:sz w:val="22"/>
          <w:szCs w:val="22"/>
          <w:lang w:val="es-NI" w:eastAsia="es-ES"/>
        </w:rPr>
        <w:t>Los Beneficiarios del Proyecto tienen compromiso en la Asamblea de Concertación a realizar las actividades de Excavación, Relleno y Compactación en la Línea de Conducción y Red de Distribución, que se considera como aporte en Especie y la compra del Medidor de agua potable de 1/2" por vivienda, como Aporte en efectivo de acuerdo al siguiente detalle:</w:t>
      </w:r>
    </w:p>
    <w:p w14:paraId="1AB26285" w14:textId="77777777" w:rsidR="00243EB4" w:rsidRPr="00243EB4" w:rsidRDefault="00243EB4" w:rsidP="00243EB4">
      <w:pPr>
        <w:rPr>
          <w:sz w:val="22"/>
          <w:szCs w:val="22"/>
          <w:lang w:val="es-NI" w:eastAsia="es-ES"/>
        </w:rPr>
      </w:pP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7"/>
        <w:gridCol w:w="3991"/>
        <w:gridCol w:w="1081"/>
        <w:gridCol w:w="28"/>
        <w:gridCol w:w="1683"/>
      </w:tblGrid>
      <w:tr w:rsidR="00243EB4" w:rsidRPr="00243EB4" w14:paraId="30BBD9E1"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A53D8" w14:textId="77777777" w:rsidR="00243EB4" w:rsidRPr="00243EB4" w:rsidRDefault="00243EB4" w:rsidP="00243EB4">
            <w:pPr>
              <w:jc w:val="center"/>
              <w:rPr>
                <w:b/>
                <w:bCs/>
                <w:sz w:val="22"/>
                <w:szCs w:val="22"/>
                <w:lang w:val="es-NI" w:eastAsia="es-NI"/>
              </w:rPr>
            </w:pPr>
            <w:r w:rsidRPr="00243EB4">
              <w:rPr>
                <w:b/>
                <w:bCs/>
                <w:sz w:val="22"/>
                <w:szCs w:val="22"/>
                <w:lang w:val="es-NI" w:eastAsia="es-NI"/>
              </w:rPr>
              <w:t>CODIGO</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EF62E8" w14:textId="77777777" w:rsidR="00243EB4" w:rsidRPr="00243EB4" w:rsidRDefault="00243EB4" w:rsidP="00243EB4">
            <w:pPr>
              <w:jc w:val="center"/>
              <w:rPr>
                <w:b/>
                <w:bCs/>
                <w:sz w:val="22"/>
                <w:szCs w:val="22"/>
                <w:lang w:val="es-NI" w:eastAsia="es-NI"/>
              </w:rPr>
            </w:pPr>
            <w:r w:rsidRPr="00243EB4">
              <w:rPr>
                <w:b/>
                <w:bCs/>
                <w:sz w:val="22"/>
                <w:szCs w:val="22"/>
                <w:lang w:val="es-NI" w:eastAsia="es-NI"/>
              </w:rPr>
              <w:t>DESCRIPCION</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B2252A" w14:textId="77777777" w:rsidR="00243EB4" w:rsidRPr="00243EB4" w:rsidRDefault="00243EB4" w:rsidP="00243EB4">
            <w:pPr>
              <w:jc w:val="center"/>
              <w:rPr>
                <w:b/>
                <w:bCs/>
                <w:sz w:val="22"/>
                <w:szCs w:val="22"/>
                <w:lang w:val="es-NI" w:eastAsia="es-NI"/>
              </w:rPr>
            </w:pPr>
            <w:r w:rsidRPr="00243EB4">
              <w:rPr>
                <w:b/>
                <w:bCs/>
                <w:sz w:val="22"/>
                <w:szCs w:val="22"/>
                <w:lang w:val="es-NI" w:eastAsia="es-NI"/>
              </w:rPr>
              <w:t>U.M</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88FA8" w14:textId="77777777" w:rsidR="00243EB4" w:rsidRPr="00243EB4" w:rsidRDefault="00243EB4" w:rsidP="00243EB4">
            <w:pPr>
              <w:jc w:val="center"/>
              <w:rPr>
                <w:b/>
                <w:bCs/>
                <w:sz w:val="22"/>
                <w:szCs w:val="22"/>
                <w:lang w:val="es-NI" w:eastAsia="es-NI"/>
              </w:rPr>
            </w:pPr>
            <w:r w:rsidRPr="00243EB4">
              <w:rPr>
                <w:b/>
                <w:bCs/>
                <w:sz w:val="22"/>
                <w:szCs w:val="22"/>
                <w:lang w:val="es-NI" w:eastAsia="es-NI"/>
              </w:rPr>
              <w:t>CANTIDAD</w:t>
            </w:r>
          </w:p>
        </w:tc>
      </w:tr>
      <w:tr w:rsidR="00243EB4" w:rsidRPr="00243EB4" w14:paraId="106CCC33" w14:textId="77777777" w:rsidTr="00243EB4">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A248E8" w14:textId="77777777" w:rsidR="00243EB4" w:rsidRPr="00243EB4" w:rsidRDefault="00243EB4" w:rsidP="00243EB4">
            <w:pPr>
              <w:jc w:val="center"/>
              <w:rPr>
                <w:b/>
                <w:bCs/>
                <w:sz w:val="22"/>
                <w:szCs w:val="22"/>
                <w:lang w:val="es-NI" w:eastAsia="es-NI"/>
              </w:rPr>
            </w:pPr>
            <w:r w:rsidRPr="00243EB4">
              <w:rPr>
                <w:b/>
                <w:bCs/>
                <w:sz w:val="22"/>
                <w:szCs w:val="22"/>
                <w:lang w:val="es-NI" w:eastAsia="es-NI"/>
              </w:rPr>
              <w:t>PRELIMINARES</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D3C0A7" w14:textId="77777777" w:rsidR="00243EB4" w:rsidRPr="00243EB4" w:rsidRDefault="00243EB4" w:rsidP="00243EB4">
            <w:pPr>
              <w:jc w:val="center"/>
              <w:rPr>
                <w:b/>
                <w:bCs/>
                <w:sz w:val="22"/>
                <w:szCs w:val="22"/>
                <w:lang w:val="es-NI" w:eastAsia="es-NI"/>
              </w:rPr>
            </w:pPr>
          </w:p>
        </w:tc>
        <w:tc>
          <w:tcPr>
            <w:tcW w:w="1705" w:type="dxa"/>
            <w:tcBorders>
              <w:top w:val="single" w:sz="4" w:space="0" w:color="auto"/>
              <w:left w:val="single" w:sz="4" w:space="0" w:color="auto"/>
              <w:bottom w:val="single" w:sz="4" w:space="0" w:color="auto"/>
              <w:right w:val="single" w:sz="4" w:space="0" w:color="auto"/>
            </w:tcBorders>
            <w:shd w:val="clear" w:color="auto" w:fill="auto"/>
            <w:vAlign w:val="bottom"/>
          </w:tcPr>
          <w:p w14:paraId="0B928E61" w14:textId="77777777" w:rsidR="00243EB4" w:rsidRPr="00243EB4" w:rsidRDefault="00243EB4" w:rsidP="00243EB4">
            <w:pPr>
              <w:jc w:val="center"/>
              <w:rPr>
                <w:b/>
                <w:bCs/>
                <w:sz w:val="22"/>
                <w:szCs w:val="22"/>
                <w:lang w:val="es-NI" w:eastAsia="es-NI"/>
              </w:rPr>
            </w:pPr>
          </w:p>
        </w:tc>
      </w:tr>
      <w:tr w:rsidR="00243EB4" w:rsidRPr="00243EB4" w14:paraId="117AAF91"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E27368" w14:textId="77777777" w:rsidR="00243EB4" w:rsidRPr="00243EB4" w:rsidRDefault="00243EB4" w:rsidP="00243EB4">
            <w:pPr>
              <w:jc w:val="left"/>
              <w:rPr>
                <w:sz w:val="22"/>
                <w:szCs w:val="22"/>
                <w:lang w:val="es-NI" w:eastAsia="es-NI"/>
              </w:rPr>
            </w:pPr>
            <w:r w:rsidRPr="00243EB4">
              <w:rPr>
                <w:sz w:val="22"/>
                <w:szCs w:val="22"/>
                <w:lang w:val="es-NI" w:eastAsia="es-NI"/>
              </w:rPr>
              <w:t>92224</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21D11" w14:textId="77777777" w:rsidR="00243EB4" w:rsidRPr="00243EB4" w:rsidRDefault="00243EB4" w:rsidP="00243EB4">
            <w:pPr>
              <w:jc w:val="left"/>
              <w:rPr>
                <w:sz w:val="22"/>
                <w:szCs w:val="22"/>
                <w:lang w:val="es-NI" w:eastAsia="es-NI"/>
              </w:rPr>
            </w:pPr>
            <w:r w:rsidRPr="00243EB4">
              <w:rPr>
                <w:sz w:val="22"/>
                <w:szCs w:val="22"/>
                <w:lang w:val="es-NI" w:eastAsia="es-NI"/>
              </w:rPr>
              <w:t>LIMPIEZA MANUAL INICIAL</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20F88" w14:textId="77777777" w:rsidR="00243EB4" w:rsidRPr="00243EB4" w:rsidRDefault="00243EB4" w:rsidP="00243EB4">
            <w:pPr>
              <w:jc w:val="left"/>
              <w:rPr>
                <w:sz w:val="22"/>
                <w:szCs w:val="22"/>
                <w:lang w:val="es-NI" w:eastAsia="es-NI"/>
              </w:rPr>
            </w:pPr>
            <w:r w:rsidRPr="00243EB4">
              <w:rPr>
                <w:sz w:val="22"/>
                <w:szCs w:val="22"/>
                <w:lang w:val="es-NI" w:eastAsia="es-NI"/>
              </w:rPr>
              <w:t>M2</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AAC5FF" w14:textId="77777777" w:rsidR="00243EB4" w:rsidRPr="00243EB4" w:rsidRDefault="00243EB4" w:rsidP="00243EB4">
            <w:pPr>
              <w:jc w:val="left"/>
              <w:rPr>
                <w:sz w:val="22"/>
                <w:szCs w:val="22"/>
                <w:lang w:val="es-NI" w:eastAsia="es-NI"/>
              </w:rPr>
            </w:pPr>
            <w:r w:rsidRPr="00243EB4">
              <w:rPr>
                <w:sz w:val="22"/>
                <w:szCs w:val="22"/>
                <w:lang w:val="es-NI" w:eastAsia="es-NI"/>
              </w:rPr>
              <w:t>225</w:t>
            </w:r>
          </w:p>
        </w:tc>
      </w:tr>
      <w:tr w:rsidR="00243EB4" w:rsidRPr="00243EB4" w14:paraId="0721E49B"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DFEC1" w14:textId="77777777" w:rsidR="00243EB4" w:rsidRPr="00243EB4" w:rsidRDefault="00243EB4" w:rsidP="00243EB4">
            <w:pPr>
              <w:jc w:val="left"/>
              <w:rPr>
                <w:sz w:val="22"/>
                <w:szCs w:val="22"/>
                <w:lang w:val="es-NI" w:eastAsia="es-NI"/>
              </w:rPr>
            </w:pPr>
            <w:r w:rsidRPr="00243EB4">
              <w:rPr>
                <w:sz w:val="22"/>
                <w:szCs w:val="22"/>
                <w:lang w:val="es-NI" w:eastAsia="es-NI"/>
              </w:rPr>
              <w:t>03412</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30AFA" w14:textId="77777777" w:rsidR="00243EB4" w:rsidRPr="00243EB4" w:rsidRDefault="00243EB4" w:rsidP="00243EB4">
            <w:pPr>
              <w:jc w:val="left"/>
              <w:rPr>
                <w:sz w:val="22"/>
                <w:szCs w:val="22"/>
                <w:lang w:val="es-NI" w:eastAsia="es-NI"/>
              </w:rPr>
            </w:pPr>
            <w:r w:rsidRPr="00243EB4">
              <w:rPr>
                <w:sz w:val="22"/>
                <w:szCs w:val="22"/>
                <w:lang w:val="es-NI" w:eastAsia="es-NI"/>
              </w:rPr>
              <w:t>TALA MANUAL DE ARBOLES (INCL. UN VIAJE DE BOTAR ESCOMBROS A 1 Km CON CAMION PLATAFORMA DE 8 m3)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902FF" w14:textId="77777777" w:rsidR="00243EB4" w:rsidRPr="00243EB4" w:rsidRDefault="00243EB4" w:rsidP="00243EB4">
            <w:pPr>
              <w:jc w:val="left"/>
              <w:rPr>
                <w:sz w:val="22"/>
                <w:szCs w:val="22"/>
                <w:lang w:val="es-NI" w:eastAsia="es-NI"/>
              </w:rPr>
            </w:pPr>
            <w:r w:rsidRPr="00243EB4">
              <w:rPr>
                <w:sz w:val="22"/>
                <w:szCs w:val="22"/>
                <w:lang w:val="es-NI" w:eastAsia="es-NI"/>
              </w:rPr>
              <w:t>C/U</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A14B2F2" w14:textId="77777777" w:rsidR="00243EB4" w:rsidRPr="00243EB4" w:rsidRDefault="00243EB4" w:rsidP="00243EB4">
            <w:pPr>
              <w:jc w:val="left"/>
              <w:rPr>
                <w:sz w:val="22"/>
                <w:szCs w:val="22"/>
                <w:lang w:val="es-NI" w:eastAsia="es-NI"/>
              </w:rPr>
            </w:pPr>
            <w:r w:rsidRPr="00243EB4">
              <w:rPr>
                <w:sz w:val="22"/>
                <w:szCs w:val="22"/>
                <w:lang w:val="es-NI" w:eastAsia="es-NI"/>
              </w:rPr>
              <w:t>2</w:t>
            </w:r>
          </w:p>
        </w:tc>
      </w:tr>
      <w:tr w:rsidR="00243EB4" w:rsidRPr="00243EB4" w14:paraId="6E4C3DA8"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BB6FF" w14:textId="77777777" w:rsidR="00243EB4" w:rsidRPr="00243EB4" w:rsidRDefault="00243EB4" w:rsidP="00243EB4">
            <w:pPr>
              <w:jc w:val="left"/>
              <w:rPr>
                <w:sz w:val="22"/>
                <w:szCs w:val="22"/>
                <w:lang w:val="es-NI" w:eastAsia="es-NI"/>
              </w:rPr>
            </w:pPr>
            <w:r w:rsidRPr="00243EB4">
              <w:rPr>
                <w:sz w:val="22"/>
                <w:szCs w:val="22"/>
                <w:lang w:val="es-NI" w:eastAsia="es-NI"/>
              </w:rPr>
              <w:t>92107</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82051" w14:textId="77777777" w:rsidR="00243EB4" w:rsidRPr="00243EB4" w:rsidRDefault="00243EB4" w:rsidP="00243EB4">
            <w:pPr>
              <w:jc w:val="left"/>
              <w:rPr>
                <w:sz w:val="22"/>
                <w:szCs w:val="22"/>
                <w:lang w:val="es-NI" w:eastAsia="es-NI"/>
              </w:rPr>
            </w:pPr>
            <w:r w:rsidRPr="00243EB4">
              <w:rPr>
                <w:sz w:val="22"/>
                <w:szCs w:val="22"/>
                <w:lang w:val="es-NI" w:eastAsia="es-NI"/>
              </w:rPr>
              <w:t>TROCHA (Ancho=3.00m ) ELABORADA CON MACHETE Y RASTRILLO</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C8870" w14:textId="77777777" w:rsidR="00243EB4" w:rsidRPr="00243EB4" w:rsidRDefault="00243EB4" w:rsidP="00243EB4">
            <w:pPr>
              <w:jc w:val="left"/>
              <w:rPr>
                <w:sz w:val="22"/>
                <w:szCs w:val="22"/>
                <w:lang w:val="es-NI" w:eastAsia="es-NI"/>
              </w:rPr>
            </w:pPr>
            <w:r w:rsidRPr="00243EB4">
              <w:rPr>
                <w:sz w:val="22"/>
                <w:szCs w:val="22"/>
                <w:lang w:val="es-NI" w:eastAsia="es-NI"/>
              </w:rPr>
              <w:t>KM</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2CAEF53" w14:textId="77777777" w:rsidR="00243EB4" w:rsidRPr="00243EB4" w:rsidRDefault="00243EB4" w:rsidP="00243EB4">
            <w:pPr>
              <w:jc w:val="left"/>
              <w:rPr>
                <w:sz w:val="22"/>
                <w:szCs w:val="22"/>
                <w:lang w:val="es-NI" w:eastAsia="es-NI"/>
              </w:rPr>
            </w:pPr>
            <w:r w:rsidRPr="00243EB4">
              <w:rPr>
                <w:sz w:val="22"/>
                <w:szCs w:val="22"/>
                <w:lang w:val="es-NI" w:eastAsia="es-NI"/>
              </w:rPr>
              <w:t>2.361</w:t>
            </w:r>
          </w:p>
        </w:tc>
      </w:tr>
      <w:tr w:rsidR="00243EB4" w:rsidRPr="00243EB4" w14:paraId="766692E9" w14:textId="77777777" w:rsidTr="00243EB4">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DE655A1" w14:textId="77777777" w:rsidR="00243EB4" w:rsidRPr="00243EB4" w:rsidRDefault="00243EB4" w:rsidP="00243EB4">
            <w:pPr>
              <w:jc w:val="center"/>
              <w:rPr>
                <w:sz w:val="22"/>
                <w:szCs w:val="22"/>
                <w:lang w:val="es-NI" w:eastAsia="es-NI"/>
              </w:rPr>
            </w:pPr>
            <w:r w:rsidRPr="00243EB4">
              <w:rPr>
                <w:b/>
                <w:bCs/>
                <w:sz w:val="22"/>
                <w:szCs w:val="22"/>
                <w:lang w:val="es-NI" w:eastAsia="es-NI"/>
              </w:rPr>
              <w:t>LINEA DE CONDUCCION</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00E95" w14:textId="77777777" w:rsidR="00243EB4" w:rsidRPr="00243EB4" w:rsidRDefault="00243EB4" w:rsidP="00243EB4">
            <w:pPr>
              <w:jc w:val="right"/>
              <w:rPr>
                <w:sz w:val="22"/>
                <w:szCs w:val="22"/>
                <w:lang w:val="es-NI"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EC1ECE" w14:textId="77777777" w:rsidR="00243EB4" w:rsidRPr="00243EB4" w:rsidRDefault="00243EB4" w:rsidP="00243EB4">
            <w:pPr>
              <w:jc w:val="right"/>
              <w:rPr>
                <w:sz w:val="22"/>
                <w:szCs w:val="22"/>
                <w:lang w:val="es-NI" w:eastAsia="es-NI"/>
              </w:rPr>
            </w:pPr>
          </w:p>
        </w:tc>
      </w:tr>
      <w:tr w:rsidR="00243EB4" w:rsidRPr="00243EB4" w14:paraId="3A0F2F0F"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1ED8D3" w14:textId="77777777" w:rsidR="00243EB4" w:rsidRPr="00243EB4" w:rsidRDefault="00243EB4" w:rsidP="00243EB4">
            <w:pPr>
              <w:jc w:val="left"/>
              <w:rPr>
                <w:sz w:val="22"/>
                <w:szCs w:val="22"/>
                <w:lang w:val="es-NI" w:eastAsia="es-NI"/>
              </w:rPr>
            </w:pPr>
            <w:r w:rsidRPr="00243EB4">
              <w:rPr>
                <w:sz w:val="22"/>
                <w:szCs w:val="22"/>
                <w:lang w:val="es-NI" w:eastAsia="es-NI"/>
              </w:rPr>
              <w:t>93285</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0EAF3" w14:textId="77777777" w:rsidR="00243EB4" w:rsidRPr="00243EB4" w:rsidRDefault="00243EB4" w:rsidP="00243EB4">
            <w:pPr>
              <w:jc w:val="left"/>
              <w:rPr>
                <w:sz w:val="22"/>
                <w:szCs w:val="22"/>
                <w:lang w:val="es-NI" w:eastAsia="es-NI"/>
              </w:rPr>
            </w:pPr>
            <w:r w:rsidRPr="00243EB4">
              <w:rPr>
                <w:sz w:val="22"/>
                <w:szCs w:val="22"/>
                <w:lang w:val="es-NI" w:eastAsia="es-NI"/>
              </w:rPr>
              <w:t>EXCAVACIÓN MANUAL EN TERRENO MATERIAL MIXTO (ARCILLAS, LIMOS Y BOLONES)</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22D04" w14:textId="77777777" w:rsidR="00243EB4" w:rsidRPr="00243EB4" w:rsidRDefault="00243EB4" w:rsidP="00243EB4">
            <w:pPr>
              <w:jc w:val="left"/>
              <w:rPr>
                <w:sz w:val="22"/>
                <w:szCs w:val="22"/>
                <w:lang w:val="es-NI" w:eastAsia="es-NI"/>
              </w:rPr>
            </w:pPr>
            <w:r w:rsidRPr="00243EB4">
              <w:rPr>
                <w:sz w:val="22"/>
                <w:szCs w:val="22"/>
                <w:lang w:val="es-NI" w:eastAsia="es-NI"/>
              </w:rPr>
              <w:t>M3</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5B5C9E5" w14:textId="77777777" w:rsidR="00243EB4" w:rsidRPr="00243EB4" w:rsidRDefault="00243EB4" w:rsidP="00243EB4">
            <w:pPr>
              <w:jc w:val="left"/>
              <w:rPr>
                <w:sz w:val="22"/>
                <w:szCs w:val="22"/>
                <w:lang w:val="es-NI" w:eastAsia="es-NI"/>
              </w:rPr>
            </w:pPr>
            <w:r w:rsidRPr="00243EB4">
              <w:rPr>
                <w:sz w:val="22"/>
                <w:szCs w:val="22"/>
                <w:lang w:val="es-NI" w:eastAsia="es-NI"/>
              </w:rPr>
              <w:t>5,100.00</w:t>
            </w:r>
          </w:p>
        </w:tc>
      </w:tr>
      <w:tr w:rsidR="00243EB4" w:rsidRPr="00243EB4" w14:paraId="11E2CD6F" w14:textId="77777777" w:rsidTr="00243EB4">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8D1642" w14:textId="77777777" w:rsidR="00243EB4" w:rsidRPr="00243EB4" w:rsidRDefault="00243EB4" w:rsidP="00243EB4">
            <w:pPr>
              <w:jc w:val="center"/>
              <w:rPr>
                <w:sz w:val="22"/>
                <w:szCs w:val="22"/>
                <w:lang w:val="es-NI" w:eastAsia="es-NI"/>
              </w:rPr>
            </w:pPr>
            <w:r w:rsidRPr="00243EB4">
              <w:rPr>
                <w:b/>
                <w:bCs/>
                <w:sz w:val="22"/>
                <w:szCs w:val="22"/>
                <w:lang w:val="es-NI" w:eastAsia="es-NI"/>
              </w:rPr>
              <w:t>RED DE DISTRIBUCION</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BCA95" w14:textId="77777777" w:rsidR="00243EB4" w:rsidRPr="00243EB4" w:rsidRDefault="00243EB4" w:rsidP="00243EB4">
            <w:pPr>
              <w:jc w:val="right"/>
              <w:rPr>
                <w:sz w:val="22"/>
                <w:szCs w:val="22"/>
                <w:lang w:val="es-NI"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B7591F" w14:textId="77777777" w:rsidR="00243EB4" w:rsidRPr="00243EB4" w:rsidRDefault="00243EB4" w:rsidP="00243EB4">
            <w:pPr>
              <w:jc w:val="right"/>
              <w:rPr>
                <w:sz w:val="22"/>
                <w:szCs w:val="22"/>
                <w:lang w:val="es-NI" w:eastAsia="es-NI"/>
              </w:rPr>
            </w:pPr>
          </w:p>
        </w:tc>
      </w:tr>
      <w:tr w:rsidR="00243EB4" w:rsidRPr="00243EB4" w14:paraId="183C2668"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FE6A1" w14:textId="77777777" w:rsidR="00243EB4" w:rsidRPr="00243EB4" w:rsidRDefault="00243EB4" w:rsidP="00243EB4">
            <w:pPr>
              <w:jc w:val="left"/>
              <w:rPr>
                <w:sz w:val="22"/>
                <w:szCs w:val="22"/>
                <w:lang w:val="es-NI" w:eastAsia="es-NI"/>
              </w:rPr>
            </w:pPr>
            <w:r w:rsidRPr="00243EB4">
              <w:rPr>
                <w:sz w:val="22"/>
                <w:szCs w:val="22"/>
                <w:lang w:val="es-NI" w:eastAsia="es-NI"/>
              </w:rPr>
              <w:t>93285</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6F7705" w14:textId="77777777" w:rsidR="00243EB4" w:rsidRPr="00243EB4" w:rsidRDefault="00243EB4" w:rsidP="00243EB4">
            <w:pPr>
              <w:jc w:val="left"/>
              <w:rPr>
                <w:sz w:val="22"/>
                <w:szCs w:val="22"/>
                <w:lang w:val="es-NI" w:eastAsia="es-NI"/>
              </w:rPr>
            </w:pPr>
            <w:r w:rsidRPr="00243EB4">
              <w:rPr>
                <w:sz w:val="22"/>
                <w:szCs w:val="22"/>
                <w:lang w:val="es-NI" w:eastAsia="es-NI"/>
              </w:rPr>
              <w:t>EXCAVACIÓN MANUAL EN TERRENO MATERIAL MIXTO (ARCILLAS, LIMOS Y BOLONES)</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5CE10" w14:textId="77777777" w:rsidR="00243EB4" w:rsidRPr="00243EB4" w:rsidRDefault="00243EB4" w:rsidP="00243EB4">
            <w:pPr>
              <w:jc w:val="left"/>
              <w:rPr>
                <w:sz w:val="22"/>
                <w:szCs w:val="22"/>
                <w:lang w:val="es-NI" w:eastAsia="es-NI"/>
              </w:rPr>
            </w:pPr>
            <w:r w:rsidRPr="00243EB4">
              <w:rPr>
                <w:sz w:val="22"/>
                <w:szCs w:val="22"/>
                <w:lang w:val="es-NI" w:eastAsia="es-NI"/>
              </w:rPr>
              <w:t>M3</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2F0E16" w14:textId="77777777" w:rsidR="00243EB4" w:rsidRPr="00243EB4" w:rsidRDefault="00243EB4" w:rsidP="00243EB4">
            <w:pPr>
              <w:jc w:val="left"/>
              <w:rPr>
                <w:sz w:val="22"/>
                <w:szCs w:val="22"/>
                <w:lang w:val="es-NI" w:eastAsia="es-NI"/>
              </w:rPr>
            </w:pPr>
            <w:r w:rsidRPr="00243EB4">
              <w:rPr>
                <w:sz w:val="22"/>
                <w:szCs w:val="22"/>
                <w:lang w:val="es-NI" w:eastAsia="es-NI"/>
              </w:rPr>
              <w:t>6,770.00</w:t>
            </w:r>
          </w:p>
        </w:tc>
      </w:tr>
      <w:tr w:rsidR="00243EB4" w:rsidRPr="00243EB4" w14:paraId="1B033F36" w14:textId="77777777" w:rsidTr="00243EB4">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9A1109" w14:textId="77777777" w:rsidR="00243EB4" w:rsidRPr="00243EB4" w:rsidRDefault="00243EB4" w:rsidP="00243EB4">
            <w:pPr>
              <w:jc w:val="center"/>
              <w:rPr>
                <w:sz w:val="22"/>
                <w:szCs w:val="22"/>
                <w:lang w:val="es-NI" w:eastAsia="es-NI"/>
              </w:rPr>
            </w:pPr>
            <w:r w:rsidRPr="00243EB4">
              <w:rPr>
                <w:b/>
                <w:bCs/>
                <w:sz w:val="22"/>
                <w:szCs w:val="22"/>
                <w:lang w:val="es-NI" w:eastAsia="es-NI"/>
              </w:rPr>
              <w:t>MEDIDORES DE AGUA POTABLE</w:t>
            </w:r>
            <w:r w:rsidRPr="00243EB4">
              <w:rPr>
                <w:sz w:val="22"/>
                <w:szCs w:val="22"/>
                <w:lang w:val="es-NI" w:eastAsia="es-NI"/>
              </w:rPr>
              <w:t xml:space="preserve">                                   </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C7B61" w14:textId="77777777" w:rsidR="00243EB4" w:rsidRPr="00243EB4" w:rsidRDefault="00243EB4" w:rsidP="00243EB4">
            <w:pPr>
              <w:jc w:val="right"/>
              <w:rPr>
                <w:sz w:val="22"/>
                <w:szCs w:val="22"/>
                <w:lang w:val="es-NI"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6634C4" w14:textId="77777777" w:rsidR="00243EB4" w:rsidRPr="00243EB4" w:rsidRDefault="00243EB4" w:rsidP="00243EB4">
            <w:pPr>
              <w:jc w:val="right"/>
              <w:rPr>
                <w:sz w:val="22"/>
                <w:szCs w:val="22"/>
                <w:lang w:val="es-NI" w:eastAsia="es-NI"/>
              </w:rPr>
            </w:pPr>
          </w:p>
        </w:tc>
      </w:tr>
      <w:tr w:rsidR="00243EB4" w:rsidRPr="00243EB4" w14:paraId="2DD3F0E5"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CC5C5" w14:textId="77777777" w:rsidR="00243EB4" w:rsidRPr="00243EB4" w:rsidRDefault="00243EB4" w:rsidP="00243EB4">
            <w:pPr>
              <w:jc w:val="left"/>
              <w:rPr>
                <w:sz w:val="22"/>
                <w:szCs w:val="22"/>
                <w:lang w:val="es-NI" w:eastAsia="es-NI"/>
              </w:rPr>
            </w:pPr>
            <w:r w:rsidRPr="00243EB4">
              <w:rPr>
                <w:sz w:val="22"/>
                <w:szCs w:val="22"/>
                <w:lang w:val="es-NI" w:eastAsia="es-NI"/>
              </w:rPr>
              <w:t>92728</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BF787" w14:textId="77777777" w:rsidR="00243EB4" w:rsidRPr="00243EB4" w:rsidRDefault="00243EB4" w:rsidP="00243EB4">
            <w:pPr>
              <w:jc w:val="left"/>
              <w:rPr>
                <w:sz w:val="22"/>
                <w:szCs w:val="22"/>
                <w:lang w:val="es-NI" w:eastAsia="es-NI"/>
              </w:rPr>
            </w:pPr>
            <w:r w:rsidRPr="00243EB4">
              <w:rPr>
                <w:sz w:val="22"/>
                <w:szCs w:val="22"/>
                <w:lang w:val="es-NI" w:eastAsia="es-NI"/>
              </w:rPr>
              <w:t>MEDIDOR DE BRONCE PARA AGUA POTABLE Diám.=½" (Tipo volumétrico, Clase C, CON 2 ADAPTADORES DE PVC Diám.=½") (NO INCL. CAJA) PARA USO DOMICILIAR</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3AB2C" w14:textId="77777777" w:rsidR="00243EB4" w:rsidRPr="00243EB4" w:rsidRDefault="00243EB4" w:rsidP="00243EB4">
            <w:pPr>
              <w:jc w:val="left"/>
              <w:rPr>
                <w:sz w:val="22"/>
                <w:szCs w:val="22"/>
                <w:lang w:val="es-NI" w:eastAsia="es-NI"/>
              </w:rPr>
            </w:pPr>
            <w:r w:rsidRPr="00243EB4">
              <w:rPr>
                <w:sz w:val="22"/>
                <w:szCs w:val="22"/>
                <w:lang w:val="es-NI" w:eastAsia="es-NI"/>
              </w:rPr>
              <w:t>C/U</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3A6224" w14:textId="77777777" w:rsidR="00243EB4" w:rsidRPr="00243EB4" w:rsidRDefault="00243EB4" w:rsidP="00243EB4">
            <w:pPr>
              <w:jc w:val="left"/>
              <w:rPr>
                <w:sz w:val="22"/>
                <w:szCs w:val="22"/>
                <w:lang w:val="es-NI" w:eastAsia="es-NI"/>
              </w:rPr>
            </w:pPr>
            <w:r w:rsidRPr="00243EB4">
              <w:rPr>
                <w:sz w:val="22"/>
                <w:szCs w:val="22"/>
                <w:lang w:val="es-NI" w:eastAsia="es-NI"/>
              </w:rPr>
              <w:t>217</w:t>
            </w:r>
          </w:p>
        </w:tc>
      </w:tr>
      <w:tr w:rsidR="00243EB4" w:rsidRPr="00243EB4" w14:paraId="2DC879E9" w14:textId="77777777" w:rsidTr="00243EB4">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CD57BC" w14:textId="77777777" w:rsidR="00243EB4" w:rsidRPr="00243EB4" w:rsidRDefault="00243EB4" w:rsidP="00243EB4">
            <w:pPr>
              <w:jc w:val="center"/>
              <w:rPr>
                <w:sz w:val="22"/>
                <w:szCs w:val="22"/>
                <w:lang w:val="es-NI" w:eastAsia="es-NI"/>
              </w:rPr>
            </w:pPr>
            <w:r w:rsidRPr="00243EB4">
              <w:rPr>
                <w:b/>
                <w:bCs/>
                <w:sz w:val="22"/>
                <w:szCs w:val="22"/>
                <w:lang w:val="es-NI" w:eastAsia="es-NI"/>
              </w:rPr>
              <w:t>LIMPIEZA FINAL</w:t>
            </w:r>
            <w:r w:rsidRPr="00243EB4">
              <w:rPr>
                <w:sz w:val="22"/>
                <w:szCs w:val="22"/>
                <w:lang w:val="es-NI" w:eastAsia="es-NI"/>
              </w:rPr>
              <w:t xml:space="preserve">                                              </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B9944" w14:textId="77777777" w:rsidR="00243EB4" w:rsidRPr="00243EB4" w:rsidRDefault="00243EB4" w:rsidP="00243EB4">
            <w:pPr>
              <w:jc w:val="right"/>
              <w:rPr>
                <w:sz w:val="22"/>
                <w:szCs w:val="22"/>
                <w:lang w:val="es-NI"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23BAF8" w14:textId="77777777" w:rsidR="00243EB4" w:rsidRPr="00243EB4" w:rsidRDefault="00243EB4" w:rsidP="00243EB4">
            <w:pPr>
              <w:jc w:val="right"/>
              <w:rPr>
                <w:sz w:val="22"/>
                <w:szCs w:val="22"/>
                <w:lang w:val="es-NI" w:eastAsia="es-NI"/>
              </w:rPr>
            </w:pPr>
          </w:p>
        </w:tc>
      </w:tr>
      <w:tr w:rsidR="00243EB4" w:rsidRPr="00243EB4" w14:paraId="4E7CF226" w14:textId="77777777" w:rsidTr="00243EB4">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9B3DC" w14:textId="77777777" w:rsidR="00243EB4" w:rsidRPr="00243EB4" w:rsidRDefault="00243EB4" w:rsidP="00243EB4">
            <w:pPr>
              <w:jc w:val="left"/>
              <w:rPr>
                <w:sz w:val="22"/>
                <w:szCs w:val="22"/>
                <w:lang w:val="es-NI" w:eastAsia="es-NI"/>
              </w:rPr>
            </w:pPr>
            <w:r w:rsidRPr="00243EB4">
              <w:rPr>
                <w:sz w:val="22"/>
                <w:szCs w:val="22"/>
                <w:lang w:val="es-NI" w:eastAsia="es-NI"/>
              </w:rPr>
              <w:t>92225</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76056B" w14:textId="77777777" w:rsidR="00243EB4" w:rsidRPr="00243EB4" w:rsidRDefault="00243EB4" w:rsidP="00243EB4">
            <w:pPr>
              <w:jc w:val="left"/>
              <w:rPr>
                <w:sz w:val="22"/>
                <w:szCs w:val="22"/>
                <w:lang w:val="es-NI" w:eastAsia="es-NI"/>
              </w:rPr>
            </w:pPr>
            <w:r w:rsidRPr="00243EB4">
              <w:rPr>
                <w:sz w:val="22"/>
                <w:szCs w:val="22"/>
                <w:lang w:val="es-NI" w:eastAsia="es-NI"/>
              </w:rPr>
              <w:t>LIMPIEZA MANUAL FINAL</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AB582" w14:textId="77777777" w:rsidR="00243EB4" w:rsidRPr="00243EB4" w:rsidRDefault="00243EB4" w:rsidP="00243EB4">
            <w:pPr>
              <w:jc w:val="left"/>
              <w:rPr>
                <w:sz w:val="22"/>
                <w:szCs w:val="22"/>
                <w:lang w:val="es-NI" w:eastAsia="es-NI"/>
              </w:rPr>
            </w:pPr>
            <w:r w:rsidRPr="00243EB4">
              <w:rPr>
                <w:sz w:val="22"/>
                <w:szCs w:val="22"/>
                <w:lang w:val="es-NI" w:eastAsia="es-NI"/>
              </w:rPr>
              <w:t>M2</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D21BB0" w14:textId="77777777" w:rsidR="00243EB4" w:rsidRPr="00243EB4" w:rsidRDefault="00243EB4" w:rsidP="00243EB4">
            <w:pPr>
              <w:jc w:val="left"/>
              <w:rPr>
                <w:sz w:val="22"/>
                <w:szCs w:val="22"/>
                <w:lang w:val="es-NI" w:eastAsia="es-NI"/>
              </w:rPr>
            </w:pPr>
            <w:r w:rsidRPr="00243EB4">
              <w:rPr>
                <w:sz w:val="22"/>
                <w:szCs w:val="22"/>
                <w:lang w:val="es-NI" w:eastAsia="es-NI"/>
              </w:rPr>
              <w:t>225</w:t>
            </w:r>
          </w:p>
        </w:tc>
      </w:tr>
    </w:tbl>
    <w:p w14:paraId="2A627306" w14:textId="77777777" w:rsidR="00243EB4" w:rsidRPr="00243EB4" w:rsidRDefault="00243EB4" w:rsidP="00243EB4">
      <w:pPr>
        <w:rPr>
          <w:sz w:val="22"/>
          <w:szCs w:val="22"/>
          <w:lang w:val="es-NI" w:eastAsia="es-ES"/>
        </w:rPr>
      </w:pPr>
    </w:p>
    <w:p w14:paraId="1DE37124" w14:textId="77777777" w:rsidR="00A71156" w:rsidRDefault="00A71156" w:rsidP="000C6174">
      <w:pPr>
        <w:jc w:val="center"/>
        <w:rPr>
          <w:rFonts w:asciiTheme="minorHAnsi" w:hAnsiTheme="minorHAnsi"/>
          <w:b/>
          <w:color w:val="000000" w:themeColor="text1"/>
          <w:sz w:val="28"/>
          <w:szCs w:val="24"/>
          <w:lang w:val="es-MX"/>
        </w:rPr>
      </w:pPr>
    </w:p>
    <w:p w14:paraId="39784241" w14:textId="77777777" w:rsidR="00D93F77" w:rsidRPr="00CA0B2C" w:rsidRDefault="00D93F77" w:rsidP="00D93F77">
      <w:pPr>
        <w:jc w:val="center"/>
        <w:rPr>
          <w:b/>
          <w:highlight w:val="yellow"/>
        </w:rPr>
      </w:pPr>
      <w:r w:rsidRPr="00CA0B2C">
        <w:rPr>
          <w:b/>
          <w:highlight w:val="yellow"/>
        </w:rPr>
        <w:lastRenderedPageBreak/>
        <w:t>INSTRUCCIONES ADICIONALES AL CONTRATISTA</w:t>
      </w:r>
    </w:p>
    <w:p w14:paraId="559278BA" w14:textId="77777777" w:rsidR="00D93F77" w:rsidRDefault="00D93F77" w:rsidP="00D93F77">
      <w:pPr>
        <w:rPr>
          <w:b/>
        </w:rPr>
      </w:pPr>
      <w:r w:rsidRPr="00CA0B2C">
        <w:rPr>
          <w:b/>
          <w:highlight w:val="yellow"/>
        </w:rPr>
        <w:t>Agua y Saneamiento Comunidad Naranjo Norte(lote 2)</w:t>
      </w:r>
    </w:p>
    <w:p w14:paraId="6F2E4B7D" w14:textId="77777777" w:rsidR="00D93F77" w:rsidRPr="00CA0B2C" w:rsidRDefault="00D93F77" w:rsidP="00D93F77">
      <w:pPr>
        <w:rPr>
          <w:b/>
        </w:rPr>
      </w:pPr>
    </w:p>
    <w:p w14:paraId="5E12E508" w14:textId="77777777" w:rsidR="00D93F77" w:rsidRDefault="00D93F77" w:rsidP="00D93F77">
      <w:pPr>
        <w:rPr>
          <w:rFonts w:ascii="Arial Narrow" w:hAnsi="Arial Narrow"/>
          <w:b/>
        </w:rPr>
      </w:pPr>
      <w:r>
        <w:rPr>
          <w:rFonts w:ascii="Arial Narrow" w:hAnsi="Arial Narrow"/>
          <w:b/>
        </w:rPr>
        <w:t>Deberes del Contratista:</w:t>
      </w:r>
    </w:p>
    <w:p w14:paraId="15E95008" w14:textId="77777777" w:rsidR="00D93F77" w:rsidRDefault="00D93F77" w:rsidP="00D93F77">
      <w:r>
        <w:t>Los oferentes deberán de realizar la visita al sitio del proyecto la cual es de carácter obligatorio, para verificar las condiciones actuales, de encontrar inconsistentica entre los documentos contractuales, debe de hacer las consultas en el periodo de tiempo estipulado en el documento base de licitación para su debida aclaración.</w:t>
      </w:r>
    </w:p>
    <w:p w14:paraId="32AFFA81" w14:textId="77777777" w:rsidR="00D93F77" w:rsidRDefault="00D93F77" w:rsidP="00D93F77">
      <w:pPr>
        <w:pStyle w:val="Prrafodelista"/>
        <w:ind w:left="360"/>
      </w:pPr>
    </w:p>
    <w:p w14:paraId="2429F82A" w14:textId="77777777" w:rsidR="00D93F77" w:rsidRDefault="00D93F77" w:rsidP="00D93F77">
      <w:r>
        <w:t>El contratista debe de incluir en sus costos todos los controles de calidad tales como, pruebas de estanqueidad en tanques, pruebas de resistencia del concreto, pruebas de compactación, prueba de revenimiento, desinfección de tubería indicados en las especificaciones técnicas, además, incluirá la señalización para prevención de accidente (cintas refractivas, rótulos, barreras, etc), lo mismo que los implementos de seguridad para el personal (casco, chalecos, guantes).</w:t>
      </w:r>
    </w:p>
    <w:p w14:paraId="792219CD" w14:textId="77777777" w:rsidR="00D93F77" w:rsidRDefault="00D93F77" w:rsidP="00D93F77">
      <w:pPr>
        <w:rPr>
          <w:rFonts w:ascii="Arial Narrow" w:hAnsi="Arial Narrow"/>
        </w:rPr>
      </w:pPr>
    </w:p>
    <w:p w14:paraId="2C44D6AB" w14:textId="77777777" w:rsidR="00D93F77" w:rsidRDefault="00D93F77" w:rsidP="00D93F77">
      <w:pPr>
        <w:pStyle w:val="Prrafodelista"/>
        <w:numPr>
          <w:ilvl w:val="0"/>
          <w:numId w:val="203"/>
        </w:numPr>
        <w:spacing w:after="160" w:line="256" w:lineRule="auto"/>
        <w:contextualSpacing/>
        <w:rPr>
          <w:rFonts w:ascii="Arial Narrow" w:hAnsi="Arial Narrow"/>
          <w:b/>
        </w:rPr>
      </w:pPr>
      <w:r>
        <w:rPr>
          <w:rFonts w:ascii="Arial Narrow" w:hAnsi="Arial Narrow"/>
          <w:b/>
        </w:rPr>
        <w:t>Previo a la entrega de Ofertas</w:t>
      </w:r>
    </w:p>
    <w:p w14:paraId="67EC2813"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El Contratista debe leer y prestar especial atención a lo establecido en el Informe de Investigación de Zona de Obras, en las especificaciones técnicas, alcances y planos constructivos del proyecto.</w:t>
      </w:r>
    </w:p>
    <w:p w14:paraId="69CA4574"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Los oferentes deberán de realizar la visita al sitio del proyecto para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 De encontrar inconsistencia entre los documentos contractuales, debe de hacer las consultas en el periodo de tiempo estipulado en el documento base de licitación para su debida aclaración.</w:t>
      </w:r>
    </w:p>
    <w:p w14:paraId="0FD76A34"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Los conceptos de obra de las diferentes partes constructivas del proyecto, deberán incluir todas las actividades necesarias para que estas se ejecuten y puedan ser recepcionadas por EL FISE y la Municipalidad de forma completa y en estado de funcionamiento óptimo en conjunto con el resto de obras del proyecto.</w:t>
      </w:r>
    </w:p>
    <w:p w14:paraId="5612186B"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EL CONTRATISTA no podrá alegar desconocimiento de causa sobre este último aspecto en particular y en caso de duda deberá hacer las consultas por escrito al FISE previo a la presentación de la Oferta de esta Licitación. La presentación de la Oferta significa la aceptación de su parte sobre el contenido conceptual de cada parte de obra y se someterá entonces a la interpretación que de ésta haga EL FISE, a la luz de lo establecido en estas Especificaciones, Planos y Forma de Oferta.</w:t>
      </w:r>
    </w:p>
    <w:p w14:paraId="0F3F9E4F" w14:textId="77777777" w:rsidR="00D93F77" w:rsidRDefault="00D93F77" w:rsidP="00D93F77">
      <w:pPr>
        <w:pStyle w:val="Prrafodelista"/>
        <w:spacing w:line="256" w:lineRule="auto"/>
        <w:rPr>
          <w:rFonts w:ascii="Arial Narrow" w:hAnsi="Arial Narrow"/>
        </w:rPr>
      </w:pPr>
    </w:p>
    <w:p w14:paraId="16A90396" w14:textId="77777777" w:rsidR="00D93F77" w:rsidRDefault="00D93F77" w:rsidP="00D93F77">
      <w:pPr>
        <w:pStyle w:val="Prrafodelista"/>
        <w:spacing w:line="256" w:lineRule="auto"/>
        <w:rPr>
          <w:rFonts w:ascii="Arial Narrow" w:hAnsi="Arial Narrow"/>
        </w:rPr>
      </w:pPr>
    </w:p>
    <w:p w14:paraId="6CFB3E86" w14:textId="77777777" w:rsidR="00D93F77" w:rsidRDefault="00D93F77" w:rsidP="00D93F77">
      <w:pPr>
        <w:pStyle w:val="Prrafodelista"/>
        <w:numPr>
          <w:ilvl w:val="0"/>
          <w:numId w:val="203"/>
        </w:numPr>
        <w:spacing w:after="160" w:line="256" w:lineRule="auto"/>
        <w:contextualSpacing/>
        <w:rPr>
          <w:rFonts w:ascii="Arial Narrow" w:hAnsi="Arial Narrow"/>
          <w:b/>
        </w:rPr>
      </w:pPr>
      <w:r>
        <w:rPr>
          <w:rFonts w:ascii="Arial Narrow" w:hAnsi="Arial Narrow"/>
          <w:b/>
        </w:rPr>
        <w:t>Previo al inicio de las obras del proyecto</w:t>
      </w:r>
    </w:p>
    <w:p w14:paraId="7D9A7AE2"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Una vez pasada la entrega del sitio del proyecto por el Supervisor encargado del seguimiento, el Contratista debe verificar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2A6938FF" w14:textId="77777777" w:rsidR="00D93F77" w:rsidRDefault="00D93F77" w:rsidP="00D93F77">
      <w:pPr>
        <w:pStyle w:val="Prrafodelista"/>
        <w:spacing w:line="256" w:lineRule="auto"/>
        <w:rPr>
          <w:rFonts w:ascii="Arial Narrow" w:hAnsi="Arial Narrow"/>
        </w:rPr>
      </w:pPr>
    </w:p>
    <w:p w14:paraId="21BC6315" w14:textId="77777777" w:rsidR="00D93F77" w:rsidRDefault="00D93F77" w:rsidP="00D93F77">
      <w:pPr>
        <w:pStyle w:val="Prrafodelista"/>
        <w:numPr>
          <w:ilvl w:val="0"/>
          <w:numId w:val="203"/>
        </w:numPr>
        <w:spacing w:after="160" w:line="256" w:lineRule="auto"/>
        <w:contextualSpacing/>
        <w:rPr>
          <w:rFonts w:ascii="Arial Narrow" w:hAnsi="Arial Narrow"/>
          <w:b/>
        </w:rPr>
      </w:pPr>
      <w:r>
        <w:rPr>
          <w:rFonts w:ascii="Arial Narrow" w:hAnsi="Arial Narrow"/>
          <w:b/>
        </w:rPr>
        <w:t xml:space="preserve">Durante la construcción de las obras </w:t>
      </w:r>
    </w:p>
    <w:p w14:paraId="5331EB4E"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lastRenderedPageBreak/>
        <w:t>El Contratista debe cumplir con lo establecido en el Reglamento Nacional de la Construcción (RNC) vigente, como salvaguarda de la calidad de los procesos constructivos para garantizar la funcionalidad, sostenibilidad y durabilidad de las obras.</w:t>
      </w:r>
    </w:p>
    <w:p w14:paraId="3D1CDE89"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El Contratista está obligado a realizar todas las pruebas de laboratorio requeridas, como la resistencia del concreto, el hierro, las pruebas referidas a la calidad del agua y otras pruebas que requieran el servicio de laboratorios autorizados.</w:t>
      </w:r>
    </w:p>
    <w:p w14:paraId="17920763"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Queda entendido que la mezcla y el proceso de construcción de las estructuras de concreto, se deberán ceñir a todas las normas pertinentes de la ASTM, AASHTO, ACI y demás normas reconocidas internacionalmente.</w:t>
      </w:r>
    </w:p>
    <w:p w14:paraId="58321DBB"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Los laboratorios de materiales para los diseños, análisis y pruebas de calidad de materiales y/o de ejecución de trabajos, deberá ser aprobado por El Supervisor. Para esto EL CONTRATISTA, someterá a la aprobación del Supervisor una terna de laboratorios de materiales reconocidos, con sus respectivos Brochures.</w:t>
      </w:r>
    </w:p>
    <w:p w14:paraId="15AB74B0"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 xml:space="preserve">El Contratista deberá coordinar con la supervisión la ejecución de actividades claves como la colada del concreto, las pruebas hidrostáticas y toma de muestras para análisis de laboratorio entre otras.   </w:t>
      </w:r>
    </w:p>
    <w:p w14:paraId="6DA85109"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El contratista debe de incluir en sus costos todos los controles de calidad tales como, pruebas de estanqueidad en tanques, pruebas de resistencia del concreto, pruebas de compactación de suelos indicadas por el Supervisor en las ubicaciones que el considere necesarias para garantizar la calidad de los trabajos, pruebas de revenimiento, desinfección de tubería y otros tipos de pruebas indicados en las especificaciones técnicas.</w:t>
      </w:r>
    </w:p>
    <w:p w14:paraId="6D39C2F3"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 xml:space="preserve">Garantizar la realización de los procesos sociales durante la etapa de ejecución del proyecto de acuerdo a lo establecido en los alcances y especificaciones sociales. </w:t>
      </w:r>
    </w:p>
    <w:p w14:paraId="5BF8C7B5" w14:textId="77777777" w:rsidR="00D93F77" w:rsidRDefault="00D93F77" w:rsidP="00D93F77">
      <w:pPr>
        <w:pStyle w:val="Prrafodelista"/>
        <w:rPr>
          <w:rFonts w:ascii="Arial Narrow" w:hAnsi="Arial Narrow"/>
        </w:rPr>
      </w:pPr>
    </w:p>
    <w:p w14:paraId="72124617" w14:textId="77777777" w:rsidR="00D93F77" w:rsidRDefault="00D93F77" w:rsidP="00D93F77">
      <w:pPr>
        <w:pStyle w:val="Prrafodelista"/>
        <w:numPr>
          <w:ilvl w:val="0"/>
          <w:numId w:val="203"/>
        </w:numPr>
        <w:spacing w:after="160" w:line="256" w:lineRule="auto"/>
        <w:contextualSpacing/>
        <w:rPr>
          <w:rFonts w:ascii="Arial Narrow" w:hAnsi="Arial Narrow"/>
          <w:b/>
        </w:rPr>
      </w:pPr>
      <w:r>
        <w:rPr>
          <w:rFonts w:ascii="Arial Narrow" w:hAnsi="Arial Narrow"/>
          <w:b/>
        </w:rPr>
        <w:t>En la entrega Final el Contratista debe:</w:t>
      </w:r>
    </w:p>
    <w:p w14:paraId="4217CA4E"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Dejar operando satisfactoriamente el sistema de suministro de agua potable constituido por el Mini acueducto por gravedad (MAG).</w:t>
      </w:r>
    </w:p>
    <w:p w14:paraId="25B8E62F"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Dejar funcionando satisfactoriamente cada unidad unifamiliar de saneamiento integral seleccionada Letrina sencilla Semi elevada (LS-3).</w:t>
      </w:r>
    </w:p>
    <w:p w14:paraId="4163565E"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Dejar funcionando satisfactoriamente cada lavadero con sistema de eliminación inocua de aguas grises (Pozo de Absorción), en cada unidad unifamiliar de saneamiento integral, para garantizar la promoción de la higiene.</w:t>
      </w:r>
    </w:p>
    <w:p w14:paraId="1AF51DF5"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EL CONTRATISTA deberá entregar los Planos Finales o Como Construido (As Built) del Sistema Construido objeto del contrato, deben presentarse en formato A1, digital (CD) utilizando AUTOCAD versión 2007, así como tres (3) copias duras de los mismos en formato 60 x 40 cm.</w:t>
      </w:r>
    </w:p>
    <w:p w14:paraId="488AF042" w14:textId="77777777" w:rsidR="00D93F77" w:rsidRDefault="00D93F77" w:rsidP="00D93F77">
      <w:pPr>
        <w:pStyle w:val="Prrafodelista"/>
        <w:numPr>
          <w:ilvl w:val="0"/>
          <w:numId w:val="204"/>
        </w:numPr>
        <w:spacing w:after="160" w:line="256" w:lineRule="auto"/>
        <w:contextualSpacing/>
        <w:rPr>
          <w:rFonts w:ascii="Arial Narrow" w:hAnsi="Arial Narrow"/>
        </w:rPr>
      </w:pPr>
      <w:r>
        <w:rPr>
          <w:rFonts w:ascii="Arial Narrow" w:hAnsi="Arial Narrow"/>
        </w:rPr>
        <w:t>Garantizar el acompañamiento, la capacitación y la asistencia técnica social a la comunidad y a los Comités de Agua Potable y Saneamiento (CAPS) en la etapa de post obra de acuerdo a lo estipulado en los alcances del proyecto y las especificaciones sociales.</w:t>
      </w:r>
    </w:p>
    <w:p w14:paraId="152FECEB" w14:textId="77777777" w:rsidR="00D93F77" w:rsidRDefault="00D93F77" w:rsidP="00D93F77">
      <w:pPr>
        <w:rPr>
          <w:rFonts w:ascii="Arial Narrow" w:hAnsi="Arial Narrow"/>
        </w:rPr>
      </w:pPr>
    </w:p>
    <w:p w14:paraId="6AA0BE26" w14:textId="77777777" w:rsidR="00D93F77" w:rsidRPr="00031B45" w:rsidRDefault="00D93F77" w:rsidP="00D93F77">
      <w:pPr>
        <w:tabs>
          <w:tab w:val="left" w:pos="7230"/>
        </w:tabs>
        <w:rPr>
          <w:rFonts w:ascii="Arial Narrow" w:hAnsi="Arial Narrow"/>
          <w:b/>
        </w:rPr>
      </w:pPr>
      <w:r w:rsidRPr="00031B45">
        <w:rPr>
          <w:rFonts w:ascii="Arial Narrow" w:hAnsi="Arial Narrow"/>
          <w:b/>
        </w:rPr>
        <w:t xml:space="preserve">Se debe prestar atención a lo siguiente: </w:t>
      </w:r>
      <w:r>
        <w:rPr>
          <w:rFonts w:ascii="Arial Narrow" w:hAnsi="Arial Narrow"/>
          <w:b/>
        </w:rPr>
        <w:tab/>
      </w:r>
    </w:p>
    <w:p w14:paraId="33AB9C49" w14:textId="77777777" w:rsidR="00D93F77" w:rsidRPr="00031B45" w:rsidRDefault="00D93F77" w:rsidP="00D93F77">
      <w:pPr>
        <w:pStyle w:val="Prrafodelista"/>
        <w:rPr>
          <w:rFonts w:ascii="Arial Narrow" w:hAnsi="Arial Narrow"/>
        </w:rPr>
      </w:pPr>
    </w:p>
    <w:p w14:paraId="5997663F" w14:textId="77777777" w:rsidR="00D93F77" w:rsidRPr="00031B45" w:rsidRDefault="00D93F77" w:rsidP="00D93F77">
      <w:pPr>
        <w:pStyle w:val="Prrafodelista"/>
        <w:rPr>
          <w:rFonts w:ascii="Arial Narrow" w:hAnsi="Arial Narrow"/>
        </w:rPr>
      </w:pPr>
      <w:r w:rsidRPr="00031B45">
        <w:rPr>
          <w:rFonts w:ascii="Arial Narrow" w:hAnsi="Arial Narrow"/>
        </w:rPr>
        <w:t>1. Para la obra de captación, se construirá un dique toma c</w:t>
      </w:r>
      <w:r>
        <w:rPr>
          <w:rFonts w:ascii="Arial Narrow" w:hAnsi="Arial Narrow"/>
        </w:rPr>
        <w:t xml:space="preserve">on prefiltro de flujo vertical </w:t>
      </w:r>
      <w:r w:rsidRPr="00031B45">
        <w:rPr>
          <w:rFonts w:ascii="Arial Narrow" w:hAnsi="Arial Narrow"/>
        </w:rPr>
        <w:t xml:space="preserve">de concreto ciclópeo con dimensiones de 2.6 m de ancho por 6.0 m de largo. La obra incluye la proyección </w:t>
      </w:r>
      <w:r w:rsidRPr="00031B45">
        <w:rPr>
          <w:rFonts w:ascii="Arial Narrow" w:hAnsi="Arial Narrow"/>
        </w:rPr>
        <w:lastRenderedPageBreak/>
        <w:t>horizontal de 02 aletones de 1.71 m de longitud. El área de filtración será de 15.6 m2 y será cubierta de 03 capas de material granular tipo grava de diferente granulometría con espesor total de 0.80 m. La primera cubierta de grava será de canto redondo Diám.= 5-10 mm espesor 0.5m, la segunda cubierta será de grava de canto redondo Diám.= 10-15 mm espesor 0.2m, y la última capa de grava será de DIám.= 15-25 mm espesor 0.10m. En la parte inferior del lecho filtrante se ubicarán los drenes que llevarán el agua hasta una caja de captación, dicha caja tendrá dimensiones típicas de 1m x 1m y altura 1.1m. El sistema de drenaje estará compuesto por 05 drenes laterales de PVC SDR-17 de Diám.= 3" los que serán perforados con 72 orificios de 8 mm colocados en 03 hileras a cada 10 cm para un total de orificios de 361. La longitud de cada dren lateral será de 2.30 m. Los drenes laterales conducirán el agua hacia la tuberia principal de 5.90 m de longitud de PVC SDR-17 Diám.= 4", esta será dirigida a una pila de captación que permitirá la salida del flujo por la linea de conducción.</w:t>
      </w:r>
    </w:p>
    <w:p w14:paraId="203A74E7" w14:textId="77777777" w:rsidR="00D93F77" w:rsidRPr="00031B45" w:rsidRDefault="00D93F77" w:rsidP="00D93F77">
      <w:pPr>
        <w:pStyle w:val="Prrafodelista"/>
        <w:rPr>
          <w:rFonts w:ascii="Arial Narrow" w:hAnsi="Arial Narrow"/>
        </w:rPr>
      </w:pPr>
    </w:p>
    <w:p w14:paraId="7DA3789D" w14:textId="77777777" w:rsidR="00D93F77" w:rsidRPr="00031B45" w:rsidRDefault="00D93F77" w:rsidP="00D93F77">
      <w:pPr>
        <w:pStyle w:val="Prrafodelista"/>
        <w:rPr>
          <w:rFonts w:ascii="Arial Narrow" w:hAnsi="Arial Narrow"/>
        </w:rPr>
      </w:pPr>
      <w:r w:rsidRPr="00031B45">
        <w:rPr>
          <w:rFonts w:ascii="Arial Narrow" w:hAnsi="Arial Narrow"/>
        </w:rPr>
        <w:t>2. En la línea de conducción se instalarán 1,360 m de longitud, Diám= 2" PVC SDR-26. Además, se deberá instalar el primer tramo de tubería de 30 m (est 0+000 a la 0+030) con una pendiente del 6% a una profundidad de 02 metros. Se recomienda a los oferentes incluir en sus costos los accesorios que conforman la linea de conducción. Además se instalarán 02 cajas (pilas rompe presión) de concreto en los PI 15 y PI 164. Ver lámina de planos número 08/27 y 09/27.</w:t>
      </w:r>
    </w:p>
    <w:p w14:paraId="03570FCE" w14:textId="77777777" w:rsidR="00D93F77" w:rsidRPr="00031B45" w:rsidRDefault="00D93F77" w:rsidP="00D93F77">
      <w:pPr>
        <w:pStyle w:val="Prrafodelista"/>
        <w:rPr>
          <w:rFonts w:ascii="Arial Narrow" w:hAnsi="Arial Narrow"/>
        </w:rPr>
      </w:pPr>
    </w:p>
    <w:p w14:paraId="3E06138C" w14:textId="77777777" w:rsidR="00D93F77" w:rsidRPr="00031B45" w:rsidRDefault="00D93F77" w:rsidP="00D93F77">
      <w:pPr>
        <w:pStyle w:val="Prrafodelista"/>
        <w:rPr>
          <w:rFonts w:ascii="Arial Narrow" w:hAnsi="Arial Narrow"/>
        </w:rPr>
      </w:pPr>
      <w:r w:rsidRPr="00031B45">
        <w:rPr>
          <w:rFonts w:ascii="Arial Narrow" w:hAnsi="Arial Narrow"/>
        </w:rPr>
        <w:t>3. En las válvulas de pase de gaveta de bronce de Diám.=2" ubicadas en la linea de conducción,  ya van incluidos el protector de tubo de hierro galvanizado.</w:t>
      </w:r>
    </w:p>
    <w:p w14:paraId="0A28C72B" w14:textId="77777777" w:rsidR="00D93F77" w:rsidRPr="00031B45" w:rsidRDefault="00D93F77" w:rsidP="00D93F77">
      <w:pPr>
        <w:pStyle w:val="Prrafodelista"/>
        <w:rPr>
          <w:rFonts w:ascii="Arial Narrow" w:hAnsi="Arial Narrow"/>
        </w:rPr>
      </w:pPr>
    </w:p>
    <w:p w14:paraId="596D5FE9" w14:textId="77777777" w:rsidR="00D93F77" w:rsidRPr="00031B45" w:rsidRDefault="00D93F77" w:rsidP="00D93F77">
      <w:pPr>
        <w:pStyle w:val="Prrafodelista"/>
        <w:rPr>
          <w:rFonts w:ascii="Arial Narrow" w:hAnsi="Arial Narrow"/>
        </w:rPr>
      </w:pPr>
      <w:r w:rsidRPr="00031B45">
        <w:rPr>
          <w:rFonts w:ascii="Arial Narrow" w:hAnsi="Arial Narrow"/>
        </w:rPr>
        <w:t>4. Los cruces bajo lecho de cauces en la línea de conducción será con tubería de hierro galvanizados serán de 2" de diámetros. Ver detalles específicos en la lámina 21/27.</w:t>
      </w:r>
    </w:p>
    <w:p w14:paraId="54055CB0" w14:textId="77777777" w:rsidR="00D93F77" w:rsidRPr="00031B45" w:rsidRDefault="00D93F77" w:rsidP="00D93F77">
      <w:pPr>
        <w:pStyle w:val="Prrafodelista"/>
        <w:rPr>
          <w:rFonts w:ascii="Arial Narrow" w:hAnsi="Arial Narrow"/>
        </w:rPr>
      </w:pPr>
    </w:p>
    <w:p w14:paraId="6CC1AD1E" w14:textId="77777777" w:rsidR="00D93F77" w:rsidRPr="00031B45" w:rsidRDefault="00D93F77" w:rsidP="00D93F77">
      <w:pPr>
        <w:pStyle w:val="Prrafodelista"/>
        <w:rPr>
          <w:rFonts w:ascii="Arial Narrow" w:hAnsi="Arial Narrow"/>
        </w:rPr>
      </w:pPr>
      <w:r w:rsidRPr="00031B45">
        <w:rPr>
          <w:rFonts w:ascii="Arial Narrow" w:hAnsi="Arial Narrow"/>
        </w:rPr>
        <w:t>5. Para la red de distribución se instalarán 4,224.65m de longitud de tubería con los diámetros siguientes: Ø 1½ PVC SDR 26 Long.= 470.15m, Ø 2" PVC SDR 26 Long.= 3,541.56m y Ø 3" PVC SDR 26 Long.= 212.94m. Ver lámina de planos número 10/27, 11/27, 12/27 y 13/27 para su buena construcción y funcionamiento. Se recomienda a los oferentes incluir en sus costos los accesorios que conforman la red de distribución.</w:t>
      </w:r>
    </w:p>
    <w:p w14:paraId="5D1B484A" w14:textId="77777777" w:rsidR="00D93F77" w:rsidRPr="00031B45" w:rsidRDefault="00D93F77" w:rsidP="00D93F77">
      <w:pPr>
        <w:pStyle w:val="Prrafodelista"/>
        <w:rPr>
          <w:rFonts w:ascii="Arial Narrow" w:hAnsi="Arial Narrow"/>
        </w:rPr>
      </w:pPr>
    </w:p>
    <w:p w14:paraId="7AB12A67" w14:textId="77777777" w:rsidR="00D93F77" w:rsidRPr="00031B45" w:rsidRDefault="00D93F77" w:rsidP="00D93F77">
      <w:pPr>
        <w:pStyle w:val="Prrafodelista"/>
        <w:rPr>
          <w:rFonts w:ascii="Arial Narrow" w:hAnsi="Arial Narrow"/>
        </w:rPr>
      </w:pPr>
      <w:r w:rsidRPr="00031B45">
        <w:rPr>
          <w:rFonts w:ascii="Arial Narrow" w:hAnsi="Arial Narrow"/>
        </w:rPr>
        <w:t>6. Se instalarán 06 válvulas reguladoras de presión en la red de distribución. Los detalles de los accesorios de las válvulas se encuentran en la lámina de plano número 21/27.</w:t>
      </w:r>
    </w:p>
    <w:p w14:paraId="79B4A45B" w14:textId="77777777" w:rsidR="00D93F77" w:rsidRPr="00031B45" w:rsidRDefault="00D93F77" w:rsidP="00D93F77">
      <w:pPr>
        <w:pStyle w:val="Prrafodelista"/>
        <w:rPr>
          <w:rFonts w:ascii="Arial Narrow" w:hAnsi="Arial Narrow"/>
        </w:rPr>
      </w:pPr>
    </w:p>
    <w:p w14:paraId="2212297A" w14:textId="77777777" w:rsidR="00D93F77" w:rsidRPr="00031B45" w:rsidRDefault="00D93F77" w:rsidP="00D93F77">
      <w:pPr>
        <w:pStyle w:val="Prrafodelista"/>
        <w:rPr>
          <w:rFonts w:ascii="Arial Narrow" w:hAnsi="Arial Narrow"/>
        </w:rPr>
      </w:pPr>
      <w:r w:rsidRPr="00031B45">
        <w:rPr>
          <w:rFonts w:ascii="Arial Narrow" w:hAnsi="Arial Narrow"/>
        </w:rPr>
        <w:t>7. En la etapa 360_PLANTA DE PURIFICACIÓN, la sub etapa 36008_OBRAS VARIAS pertenece a las obras de sedimentador.</w:t>
      </w:r>
    </w:p>
    <w:p w14:paraId="2DCDEEE2" w14:textId="77777777" w:rsidR="00D93F77" w:rsidRPr="00031B45" w:rsidRDefault="00D93F77" w:rsidP="00D93F77">
      <w:pPr>
        <w:pStyle w:val="Prrafodelista"/>
        <w:rPr>
          <w:rFonts w:ascii="Arial Narrow" w:hAnsi="Arial Narrow"/>
        </w:rPr>
      </w:pPr>
    </w:p>
    <w:p w14:paraId="50522B78" w14:textId="77777777" w:rsidR="00D93F77" w:rsidRPr="00031B45" w:rsidRDefault="00D93F77" w:rsidP="00D93F77">
      <w:pPr>
        <w:pStyle w:val="Prrafodelista"/>
        <w:rPr>
          <w:rFonts w:ascii="Arial Narrow" w:hAnsi="Arial Narrow"/>
        </w:rPr>
      </w:pPr>
      <w:r w:rsidRPr="00031B45">
        <w:rPr>
          <w:rFonts w:ascii="Arial Narrow" w:hAnsi="Arial Narrow"/>
        </w:rPr>
        <w:t>8. En el sistema de tratamiento de filtración lenta, la tapa de la cámara de salida del filtro lento será de concreto de 3,000 PSI de 0.60mx0.60m, Esp.= 0.05m, a como se indica en el presupuesto. Dicha actividad corresponde a la etapa 360_PLANTA DE PURIFICACIÓN, sub etapa 36015_FILTRACIÓN LENTA y la actividad 04123_TAPA CUADRADA DE CONCRETO DE 3,000 PSI, REF.#2@0.10m EN A/D, DE 0.60mx0.60m,Esp.=0.05m CON REPELLO y FINO CORRIENTE.</w:t>
      </w:r>
    </w:p>
    <w:p w14:paraId="7B5A6C7D" w14:textId="77777777" w:rsidR="00D93F77" w:rsidRPr="00031B45" w:rsidRDefault="00D93F77" w:rsidP="00D93F77">
      <w:pPr>
        <w:ind w:left="360"/>
        <w:rPr>
          <w:rFonts w:ascii="Arial Narrow" w:hAnsi="Arial Narrow"/>
        </w:rPr>
      </w:pPr>
    </w:p>
    <w:p w14:paraId="5700E5B4" w14:textId="77777777" w:rsidR="00D93F77" w:rsidRPr="00031B45" w:rsidRDefault="00D93F77" w:rsidP="00D93F77">
      <w:pPr>
        <w:pStyle w:val="Prrafodelista"/>
        <w:ind w:left="1416"/>
        <w:rPr>
          <w:rFonts w:ascii="Arial Narrow" w:hAnsi="Arial Narrow"/>
        </w:rPr>
      </w:pPr>
    </w:p>
    <w:p w14:paraId="5879129D" w14:textId="77777777" w:rsidR="00D93F77" w:rsidRPr="00031B45" w:rsidRDefault="00D93F77" w:rsidP="00D93F77">
      <w:pPr>
        <w:pStyle w:val="Prrafodelista"/>
        <w:ind w:left="1416"/>
        <w:rPr>
          <w:rFonts w:ascii="Arial Narrow" w:hAnsi="Arial Narrow"/>
        </w:rPr>
      </w:pPr>
    </w:p>
    <w:p w14:paraId="37CC0447" w14:textId="77777777" w:rsidR="00D93F77" w:rsidRPr="00031B45" w:rsidRDefault="00D93F77" w:rsidP="00D93F77">
      <w:pPr>
        <w:pStyle w:val="Prrafodelista"/>
        <w:ind w:left="1416"/>
        <w:rPr>
          <w:rFonts w:ascii="Arial Narrow" w:hAnsi="Arial Narrow"/>
        </w:rPr>
      </w:pPr>
    </w:p>
    <w:p w14:paraId="28CCD935" w14:textId="77777777" w:rsidR="00D93F77" w:rsidRPr="00031B45" w:rsidRDefault="00D93F77" w:rsidP="00D93F77">
      <w:pPr>
        <w:pStyle w:val="Prrafodelista"/>
        <w:ind w:left="1416"/>
        <w:rPr>
          <w:rFonts w:ascii="Arial Narrow" w:hAnsi="Arial Narrow"/>
        </w:rPr>
      </w:pPr>
    </w:p>
    <w:p w14:paraId="55B58FAF" w14:textId="77777777" w:rsidR="00245855" w:rsidRPr="00325195" w:rsidRDefault="00245855" w:rsidP="00245855">
      <w:pPr>
        <w:pStyle w:val="Ttulo1"/>
        <w:spacing w:before="0" w:after="0"/>
        <w:rPr>
          <w:bCs/>
          <w:iCs/>
          <w:sz w:val="24"/>
          <w:szCs w:val="24"/>
        </w:rPr>
      </w:pPr>
      <w:r w:rsidRPr="00325195">
        <w:rPr>
          <w:sz w:val="24"/>
          <w:szCs w:val="24"/>
        </w:rPr>
        <w:t>INSTRUCCIONES ADICIONALES AL CONTRATISTA</w:t>
      </w:r>
    </w:p>
    <w:p w14:paraId="315606B7" w14:textId="77777777" w:rsidR="00245855" w:rsidRPr="00245855" w:rsidRDefault="00245855" w:rsidP="00245855">
      <w:pPr>
        <w:rPr>
          <w:b/>
        </w:rPr>
      </w:pPr>
      <w:r w:rsidRPr="00245855">
        <w:rPr>
          <w:b/>
          <w:highlight w:val="yellow"/>
        </w:rPr>
        <w:t>Agua y Saneamiento Comunidad Zacatera. (LOTE 3)</w:t>
      </w:r>
    </w:p>
    <w:p w14:paraId="4C4C61A9" w14:textId="77777777" w:rsidR="00245855" w:rsidRDefault="00245855" w:rsidP="00245855"/>
    <w:p w14:paraId="294B7FAA" w14:textId="77777777" w:rsidR="00245855" w:rsidRDefault="00245855" w:rsidP="00245855">
      <w:r>
        <w:t>Instrucciones Adicionales al Contratista:</w:t>
      </w:r>
    </w:p>
    <w:p w14:paraId="506D6C7B" w14:textId="77777777" w:rsidR="00245855" w:rsidRDefault="00245855" w:rsidP="00245855"/>
    <w:p w14:paraId="10E78EB7" w14:textId="77777777" w:rsidR="00245855" w:rsidRDefault="00245855" w:rsidP="00245855">
      <w:pPr>
        <w:pStyle w:val="Prrafodelista"/>
        <w:numPr>
          <w:ilvl w:val="0"/>
          <w:numId w:val="205"/>
        </w:numPr>
        <w:contextualSpacing/>
      </w:pPr>
      <w:r>
        <w:t>Los oferentes deberán de realizar la visita al sitio del proyecto la cual es de carácter obligatorio, para verificar las condiciones actuales, de encontrar inconsistentica entre los documentos contractuales, debe de hacer las consultas en el periodo de tiempo estipulado en el documento base de licitación para su debida aclaración.</w:t>
      </w:r>
    </w:p>
    <w:p w14:paraId="1E5AC8C4" w14:textId="77777777" w:rsidR="00245855" w:rsidRDefault="00245855" w:rsidP="00245855">
      <w:pPr>
        <w:pStyle w:val="Prrafodelista"/>
      </w:pPr>
    </w:p>
    <w:p w14:paraId="1BD4C938" w14:textId="77777777" w:rsidR="00245855" w:rsidRDefault="00245855" w:rsidP="00245855">
      <w:pPr>
        <w:pStyle w:val="Prrafodelista"/>
        <w:numPr>
          <w:ilvl w:val="0"/>
          <w:numId w:val="205"/>
        </w:numPr>
        <w:contextualSpacing/>
      </w:pPr>
      <w:r>
        <w:t>El contratista debe de incluir en sus costos todos los controles de calidad tales como, pruebas de estanqueidad en tanques, pruebas de resistencia del concreto, pruebas de compactación, prueba de revenimiento, desinfección de tubería indicados en las especificaciones técnicas, además, incluirá la señalización para prevención de accidente (cintas refractivas, rótulos, barreras, etc), lo mismo que los implementos de seguridad para el personal (casco, chalecos, guantes).</w:t>
      </w:r>
    </w:p>
    <w:p w14:paraId="4D381DCB" w14:textId="77777777" w:rsidR="00245855" w:rsidRDefault="00245855" w:rsidP="00245855"/>
    <w:p w14:paraId="7CDBD447" w14:textId="77777777" w:rsidR="00245855" w:rsidRPr="00731B9B" w:rsidRDefault="00245855" w:rsidP="00245855">
      <w:pPr>
        <w:pStyle w:val="Prrafodelista"/>
        <w:numPr>
          <w:ilvl w:val="0"/>
          <w:numId w:val="205"/>
        </w:numPr>
        <w:contextualSpacing/>
        <w:jc w:val="left"/>
        <w:rPr>
          <w:bCs/>
          <w:lang w:val="es-419"/>
        </w:rPr>
      </w:pPr>
      <w:r w:rsidRPr="009A0B5E">
        <w:t xml:space="preserve">La municipalidad de Wiwili de Nueva Segovia previo a la ejecución del proyecto debe solicitar al MARENA la </w:t>
      </w:r>
      <w:r w:rsidRPr="00731B9B">
        <w:rPr>
          <w:b/>
          <w:bCs/>
          <w:lang w:val="es-419"/>
        </w:rPr>
        <w:t>Autorización Ambiental del proyecto para construir</w:t>
      </w:r>
      <w:r w:rsidRPr="00731B9B">
        <w:rPr>
          <w:bCs/>
          <w:lang w:val="es-419"/>
        </w:rPr>
        <w:t xml:space="preserve"> y asumir el costo del permiso, en el caso que tenga un valor.</w:t>
      </w:r>
    </w:p>
    <w:p w14:paraId="186B9857" w14:textId="77777777" w:rsidR="00245855" w:rsidRPr="009A0B5E" w:rsidRDefault="00245855" w:rsidP="00245855"/>
    <w:p w14:paraId="72BFEE7C" w14:textId="77777777" w:rsidR="00245855" w:rsidRPr="009A0B5E" w:rsidRDefault="00245855" w:rsidP="00245855">
      <w:pPr>
        <w:pStyle w:val="Prrafodelista"/>
        <w:numPr>
          <w:ilvl w:val="0"/>
          <w:numId w:val="205"/>
        </w:numPr>
        <w:contextualSpacing/>
      </w:pPr>
      <w:r w:rsidRPr="009A0B5E">
        <w:fldChar w:fldCharType="begin"/>
      </w:r>
      <w:r w:rsidRPr="009A0B5E">
        <w:instrText xml:space="preserve"> DOCVARIABLE  InstCtista</w:instrText>
      </w:r>
      <w:r w:rsidRPr="009A0B5E">
        <w:fldChar w:fldCharType="separate"/>
      </w:r>
      <w:r w:rsidRPr="009A0B5E">
        <w:t xml:space="preserve">El Contratista, debe realizar el replanteo topográfico de la fuente donde estará la obra de captación, línea de conducción, de aducción y de la red de distribución, PTAP, tanque de almacenamiento 1 y 2, sitios donde estarán las pilas rompe presión y válvulas reguladoras de presión, con la finalidad de verificar las elevaciones, como su correcta localización.  En el caso que se presenten incongruencias significativas comprobadas se deberá consensuar la situación presentada a la supervisión del proyecto, municipalidad y El </w:t>
      </w:r>
      <w:r>
        <w:t>gestor</w:t>
      </w:r>
      <w:r w:rsidRPr="009A0B5E">
        <w:t xml:space="preserve"> territorial FISE. </w:t>
      </w:r>
    </w:p>
    <w:p w14:paraId="482D03AE" w14:textId="77777777" w:rsidR="00245855" w:rsidRPr="009A0B5E" w:rsidRDefault="00245855" w:rsidP="00245855"/>
    <w:p w14:paraId="01F31523" w14:textId="77777777" w:rsidR="00245855" w:rsidRPr="009A0B5E" w:rsidRDefault="00245855" w:rsidP="00245855">
      <w:pPr>
        <w:pStyle w:val="Prrafodelista"/>
        <w:numPr>
          <w:ilvl w:val="0"/>
          <w:numId w:val="205"/>
        </w:numPr>
        <w:contextualSpacing/>
      </w:pPr>
      <w:r w:rsidRPr="009A0B5E">
        <w:t>El contratista debe construir letrinas sencillas provisionales para uso del personal involucrado en la ejecución del proyecto, la cual deberá demoler y sellar al finalizar las obras.</w:t>
      </w:r>
    </w:p>
    <w:p w14:paraId="657E9AE8" w14:textId="77777777" w:rsidR="00245855" w:rsidRPr="009A0B5E" w:rsidRDefault="00245855" w:rsidP="00245855"/>
    <w:p w14:paraId="4509A328" w14:textId="77777777" w:rsidR="00245855" w:rsidRPr="009A0B5E" w:rsidRDefault="00245855" w:rsidP="00245855">
      <w:pPr>
        <w:pStyle w:val="Prrafodelista"/>
        <w:numPr>
          <w:ilvl w:val="0"/>
          <w:numId w:val="205"/>
        </w:numPr>
        <w:contextualSpacing/>
      </w:pPr>
      <w:r w:rsidRPr="009A0B5E">
        <w:t>El contratista debe colocar señales de prevención de accidentes, tanto peatonales como vehiculares.</w:t>
      </w:r>
    </w:p>
    <w:p w14:paraId="1DC4FD17" w14:textId="77777777" w:rsidR="00245855" w:rsidRPr="009A0B5E" w:rsidRDefault="00245855" w:rsidP="00245855"/>
    <w:p w14:paraId="292E20BE" w14:textId="77777777" w:rsidR="00245855" w:rsidRPr="009A0B5E" w:rsidRDefault="00245855" w:rsidP="00245855">
      <w:pPr>
        <w:pStyle w:val="Prrafodelista"/>
        <w:numPr>
          <w:ilvl w:val="0"/>
          <w:numId w:val="205"/>
        </w:numPr>
        <w:contextualSpacing/>
      </w:pPr>
      <w:r w:rsidRPr="009A0B5E">
        <w:t>El rotulo alusivo al proyecto debe colocarse desde el inicio de la ejecución.</w:t>
      </w:r>
    </w:p>
    <w:p w14:paraId="69AAD424" w14:textId="77777777" w:rsidR="00245855" w:rsidRPr="009A0B5E" w:rsidRDefault="00245855" w:rsidP="00245855"/>
    <w:p w14:paraId="59994EFB" w14:textId="77777777" w:rsidR="00245855" w:rsidRPr="009A0B5E" w:rsidRDefault="00245855" w:rsidP="00245855">
      <w:pPr>
        <w:pStyle w:val="Prrafodelista"/>
        <w:numPr>
          <w:ilvl w:val="0"/>
          <w:numId w:val="205"/>
        </w:numPr>
        <w:contextualSpacing/>
      </w:pPr>
      <w:r w:rsidRPr="009A0B5E">
        <w:t>El contratista debe revisar antes de iniciar la ejecución de las obras, la legalidad de predios y servidumbres de pase, donde se edificará la infraestructura del proyecto.</w:t>
      </w:r>
    </w:p>
    <w:p w14:paraId="6977CE38" w14:textId="77777777" w:rsidR="00245855" w:rsidRPr="009A0B5E" w:rsidRDefault="00245855" w:rsidP="00245855"/>
    <w:p w14:paraId="342F2EC9" w14:textId="77777777" w:rsidR="00245855" w:rsidRPr="009A0B5E" w:rsidRDefault="00245855" w:rsidP="00245855">
      <w:pPr>
        <w:pStyle w:val="Prrafodelista"/>
        <w:numPr>
          <w:ilvl w:val="0"/>
          <w:numId w:val="205"/>
        </w:numPr>
        <w:contextualSpacing/>
      </w:pPr>
      <w:r w:rsidRPr="009A0B5E">
        <w:t>Las obras del proyecto deben construirse conforme especificaciones dadas en los planos constructivos.</w:t>
      </w:r>
    </w:p>
    <w:p w14:paraId="112292D7" w14:textId="77777777" w:rsidR="00245855" w:rsidRPr="009A0B5E" w:rsidRDefault="00245855" w:rsidP="00245855"/>
    <w:p w14:paraId="7667EFF5" w14:textId="77777777" w:rsidR="00245855" w:rsidRPr="009A0B5E" w:rsidRDefault="00245855" w:rsidP="00245855">
      <w:pPr>
        <w:pStyle w:val="Prrafodelista"/>
        <w:numPr>
          <w:ilvl w:val="0"/>
          <w:numId w:val="205"/>
        </w:numPr>
        <w:contextualSpacing/>
      </w:pPr>
      <w:r w:rsidRPr="009A0B5E">
        <w:lastRenderedPageBreak/>
        <w:t>Al momento de inicio de la ejecución se deberá ratificar el listado de los beneficiarios tanto de las conexiones domiciliares como del saneamiento.</w:t>
      </w:r>
    </w:p>
    <w:p w14:paraId="0C6D9081" w14:textId="77777777" w:rsidR="00245855" w:rsidRPr="009A0B5E" w:rsidRDefault="00245855" w:rsidP="00245855"/>
    <w:p w14:paraId="624D5A23" w14:textId="77777777" w:rsidR="00245855" w:rsidRPr="009A0B5E" w:rsidRDefault="00245855" w:rsidP="00245855">
      <w:pPr>
        <w:pStyle w:val="Prrafodelista"/>
        <w:numPr>
          <w:ilvl w:val="0"/>
          <w:numId w:val="205"/>
        </w:numPr>
        <w:contextualSpacing/>
      </w:pPr>
      <w:r w:rsidRPr="009A0B5E">
        <w:t>El proyecto deberá ser ejecutado de acuerdo a los alcances establecidos en el detalle de presupuesto y conforme lo descrito en los planos constructivos y según las indicaciones descritas en las especificaciones técnicas; por ningún motivo se permitirá que el contratista ejecute obras fuera de lo establecido en los términos contractuales; solamente en casos que la supervisión determine la necesidad de adicionar alguna obra que conlleve a mejorar el funcionamiento del Sistema.</w:t>
      </w:r>
    </w:p>
    <w:p w14:paraId="4C87D02C" w14:textId="77777777" w:rsidR="00245855" w:rsidRPr="009A0B5E" w:rsidRDefault="00245855" w:rsidP="00245855"/>
    <w:p w14:paraId="114A1190" w14:textId="77777777" w:rsidR="00245855" w:rsidRPr="009A0B5E" w:rsidRDefault="00245855" w:rsidP="00245855">
      <w:pPr>
        <w:pStyle w:val="Prrafodelista"/>
        <w:numPr>
          <w:ilvl w:val="0"/>
          <w:numId w:val="205"/>
        </w:numPr>
        <w:contextualSpacing/>
      </w:pPr>
      <w:r w:rsidRPr="009A0B5E">
        <w:t xml:space="preserve">La tierra sobrante de la excavación de los fosos para letrina parte de ella podrá ser utilizada como talud en el perímetro del foso de la letrina, sirviendo, así como bordillo natural de protección a la escorrentía y evitando la erosión del foso. </w:t>
      </w:r>
    </w:p>
    <w:p w14:paraId="6190722A" w14:textId="77777777" w:rsidR="00245855" w:rsidRPr="009A0B5E" w:rsidRDefault="00245855" w:rsidP="00245855"/>
    <w:p w14:paraId="7D789F94" w14:textId="77777777" w:rsidR="00245855" w:rsidRPr="009A0B5E" w:rsidRDefault="00245855" w:rsidP="00245855">
      <w:pPr>
        <w:pStyle w:val="Prrafodelista"/>
        <w:numPr>
          <w:ilvl w:val="0"/>
          <w:numId w:val="205"/>
        </w:numPr>
        <w:contextualSpacing/>
      </w:pPr>
      <w:r w:rsidRPr="009A0B5E">
        <w:t>No se deben realizar conexiones en las líneas de conducción y de aducción.</w:t>
      </w:r>
    </w:p>
    <w:p w14:paraId="178EE74E" w14:textId="77777777" w:rsidR="00245855" w:rsidRPr="009A0B5E" w:rsidRDefault="00245855" w:rsidP="00245855"/>
    <w:p w14:paraId="604C5C99" w14:textId="77777777" w:rsidR="00245855" w:rsidRPr="009A0B5E" w:rsidRDefault="00245855" w:rsidP="00245855">
      <w:pPr>
        <w:pStyle w:val="Prrafodelista"/>
        <w:numPr>
          <w:ilvl w:val="0"/>
          <w:numId w:val="205"/>
        </w:numPr>
        <w:contextualSpacing/>
      </w:pPr>
      <w:r w:rsidRPr="009A0B5E">
        <w:t xml:space="preserve">Con respecto a la fuente y obra de captación, se construirá un dique - toma más un prefiltro con las dimensiones y características establecidas en los planos. Con respecto al prefiltro, las capas de grava que lo conforman deberán de cumplir con los siguientes tipos de granulometría: </w:t>
      </w:r>
    </w:p>
    <w:p w14:paraId="6C893B70" w14:textId="77777777" w:rsidR="00245855" w:rsidRPr="009A0B5E" w:rsidRDefault="00245855" w:rsidP="00245855"/>
    <w:p w14:paraId="67BA1A11" w14:textId="77777777" w:rsidR="00245855" w:rsidRPr="009A0B5E" w:rsidRDefault="00245855" w:rsidP="00245855">
      <w:pPr>
        <w:pStyle w:val="Prrafodelista"/>
        <w:numPr>
          <w:ilvl w:val="1"/>
          <w:numId w:val="205"/>
        </w:numPr>
        <w:contextualSpacing/>
      </w:pPr>
      <w:r>
        <w:t xml:space="preserve">- Capa No.1 (1 era. Capa_Superior): Diám de 50 </w:t>
      </w:r>
      <w:r w:rsidRPr="009A0B5E">
        <w:t>mm, espesor 20 cm.</w:t>
      </w:r>
    </w:p>
    <w:p w14:paraId="6986EB0B" w14:textId="77777777" w:rsidR="00245855" w:rsidRPr="009A0B5E" w:rsidRDefault="00245855" w:rsidP="00245855">
      <w:pPr>
        <w:pStyle w:val="Prrafodelista"/>
        <w:numPr>
          <w:ilvl w:val="1"/>
          <w:numId w:val="205"/>
        </w:numPr>
        <w:contextualSpacing/>
      </w:pPr>
      <w:r>
        <w:t>- Capa No. 2 (2da. Capa): Diám de 5 a 10</w:t>
      </w:r>
      <w:r w:rsidRPr="009A0B5E">
        <w:t xml:space="preserve"> mm, espesor 20 cm.</w:t>
      </w:r>
    </w:p>
    <w:p w14:paraId="77F40246" w14:textId="77777777" w:rsidR="00245855" w:rsidRPr="009A0B5E" w:rsidRDefault="00245855" w:rsidP="00245855">
      <w:pPr>
        <w:pStyle w:val="Prrafodelista"/>
        <w:numPr>
          <w:ilvl w:val="1"/>
          <w:numId w:val="205"/>
        </w:numPr>
        <w:contextualSpacing/>
      </w:pPr>
      <w:r>
        <w:t>- Capa No. 3 (3era. Capa): Diám de 10 a 1</w:t>
      </w:r>
      <w:r w:rsidRPr="009A0B5E">
        <w:t xml:space="preserve">5 mm, espesor 20 cm. </w:t>
      </w:r>
    </w:p>
    <w:p w14:paraId="67082C3E" w14:textId="77777777" w:rsidR="00245855" w:rsidRPr="009A0B5E" w:rsidRDefault="00245855" w:rsidP="00245855">
      <w:pPr>
        <w:pStyle w:val="Prrafodelista"/>
        <w:numPr>
          <w:ilvl w:val="1"/>
          <w:numId w:val="205"/>
        </w:numPr>
        <w:contextualSpacing/>
      </w:pPr>
      <w:r>
        <w:t>- Capa No. 4 (4ta. Capa_Fondo): Diám de 15</w:t>
      </w:r>
      <w:r w:rsidRPr="009A0B5E">
        <w:t xml:space="preserve"> mm</w:t>
      </w:r>
      <w:r>
        <w:t xml:space="preserve"> a 25 mm</w:t>
      </w:r>
      <w:r w:rsidRPr="009A0B5E">
        <w:t xml:space="preserve">, espesor 20 cm. </w:t>
      </w:r>
    </w:p>
    <w:p w14:paraId="3F962742" w14:textId="77777777" w:rsidR="00245855" w:rsidRPr="009A0B5E" w:rsidRDefault="00245855" w:rsidP="00245855"/>
    <w:p w14:paraId="7E6CD58E" w14:textId="77777777" w:rsidR="00245855" w:rsidRPr="009A0B5E" w:rsidRDefault="00245855" w:rsidP="00245855"/>
    <w:p w14:paraId="3049ACD6" w14:textId="77777777" w:rsidR="00245855" w:rsidRPr="009A0B5E" w:rsidRDefault="00245855" w:rsidP="00245855">
      <w:pPr>
        <w:pStyle w:val="Prrafodelista"/>
        <w:numPr>
          <w:ilvl w:val="0"/>
          <w:numId w:val="205"/>
        </w:numPr>
        <w:contextualSpacing/>
      </w:pPr>
      <w:r w:rsidRPr="009A0B5E">
        <w:t xml:space="preserve">Además, se instalarán tubos recolectores de 2" y 3" de diámetro SDR 26 ubicadas sobre el material granular. Los tubos de 3" llevarán perforaciones de diámetro 0.5" según se muestra en los planos constructivos. </w:t>
      </w:r>
    </w:p>
    <w:p w14:paraId="15785826" w14:textId="77777777" w:rsidR="00245855" w:rsidRPr="009A0B5E" w:rsidRDefault="00245855" w:rsidP="00245855"/>
    <w:p w14:paraId="44DA6B71" w14:textId="77777777" w:rsidR="00245855" w:rsidRPr="009A0B5E" w:rsidRDefault="00245855" w:rsidP="00245855">
      <w:pPr>
        <w:pStyle w:val="Prrafodelista"/>
        <w:numPr>
          <w:ilvl w:val="0"/>
          <w:numId w:val="205"/>
        </w:numPr>
        <w:contextualSpacing/>
      </w:pPr>
      <w:r w:rsidRPr="009A0B5E">
        <w:t>En la instalación de la PTAP por medio de FPR no incluir el último proceso de cloración con pastillas, este debe aplicarse de otra forma en el tanque de almacenamiento mediante un hipoclorador de carga constante, ver el detalle en planos, en consecuencia, debe ser restado del costo en la PTAP para no pagarse.</w:t>
      </w:r>
    </w:p>
    <w:p w14:paraId="0A58AC64" w14:textId="77777777" w:rsidR="00245855" w:rsidRPr="009A0B5E" w:rsidRDefault="00245855" w:rsidP="00245855"/>
    <w:p w14:paraId="06DA1FBF" w14:textId="77777777" w:rsidR="00245855" w:rsidRPr="009A0B5E" w:rsidRDefault="00245855" w:rsidP="00245855">
      <w:pPr>
        <w:pStyle w:val="Prrafodelista"/>
        <w:numPr>
          <w:ilvl w:val="0"/>
          <w:numId w:val="205"/>
        </w:numPr>
        <w:contextualSpacing/>
      </w:pPr>
      <w:r w:rsidRPr="009A0B5E">
        <w:t xml:space="preserve">El hipoclorador de carga constante será instalado sobre el tanque de almacenamiento No. 1. Se le construirá una caseta de tubos de hierro galvanizado de diámetro 2", lámina de zinc ondulado cal# 26 con perlín de 1" x 3" de dimensión. El hipoclorador se colocará sobre una plataforma de madera para que si se da un derrame de solución no caiga directamente sobre el tanque, interactuando con la pintura de impermeabilización. Todo esto según se indica en los planos constructivos. </w:t>
      </w:r>
    </w:p>
    <w:p w14:paraId="79008453" w14:textId="77777777" w:rsidR="00245855" w:rsidRPr="009A0B5E" w:rsidRDefault="00245855" w:rsidP="00245855"/>
    <w:p w14:paraId="23E16F39" w14:textId="77777777" w:rsidR="00245855" w:rsidRPr="009A0B5E" w:rsidRDefault="00245855" w:rsidP="00245855">
      <w:pPr>
        <w:pStyle w:val="Prrafodelista"/>
        <w:numPr>
          <w:ilvl w:val="0"/>
          <w:numId w:val="205"/>
        </w:numPr>
        <w:contextualSpacing/>
      </w:pPr>
      <w:r w:rsidRPr="009A0B5E">
        <w:t>El proyecto contempla la instalación de 2 PRP y 1 VRP en la línea de conducción, 3 PRP en la línea de aducción y 9 PRP y 3 VRP en la red, y la instalación de otras válvulas y accesorios para garantizar el buen funcionamiento hidráulico de las tuberías, ver planos.</w:t>
      </w:r>
    </w:p>
    <w:p w14:paraId="1A7495FB" w14:textId="77777777" w:rsidR="00245855" w:rsidRPr="009A0B5E" w:rsidRDefault="00245855" w:rsidP="00245855"/>
    <w:p w14:paraId="05AA8179" w14:textId="77777777" w:rsidR="00245855" w:rsidRPr="009A0B5E" w:rsidRDefault="00245855" w:rsidP="00245855">
      <w:pPr>
        <w:pStyle w:val="Prrafodelista"/>
        <w:numPr>
          <w:ilvl w:val="0"/>
          <w:numId w:val="205"/>
        </w:numPr>
        <w:contextualSpacing/>
      </w:pPr>
      <w:r w:rsidRPr="009A0B5E">
        <w:t>La VRP que se instalara en la entrada de la PTAT se regulara en 30 m de presión para garantizar el adecuado funcionamiento hidráulico de la planta de tratamiento y de los procesos de retrolavados, según el oferente (Válvulas y Filtración) la planta demanda una presión mínima de 20 psi y máxima de 70 psi (14 y 49m).</w:t>
      </w:r>
    </w:p>
    <w:p w14:paraId="7935B6C7" w14:textId="77777777" w:rsidR="00245855" w:rsidRPr="009A0B5E" w:rsidRDefault="00245855" w:rsidP="00245855"/>
    <w:p w14:paraId="1CB1D67F" w14:textId="77777777" w:rsidR="00245855" w:rsidRPr="009A0B5E" w:rsidRDefault="00245855" w:rsidP="00245855">
      <w:pPr>
        <w:pStyle w:val="Prrafodelista"/>
        <w:numPr>
          <w:ilvl w:val="0"/>
          <w:numId w:val="205"/>
        </w:numPr>
        <w:contextualSpacing/>
      </w:pPr>
      <w:r w:rsidRPr="009A0B5E">
        <w:t>El costo de la tubería PVC incluye accesorios.</w:t>
      </w:r>
    </w:p>
    <w:p w14:paraId="6D7E96AF" w14:textId="77777777" w:rsidR="00245855" w:rsidRPr="009A0B5E" w:rsidRDefault="00245855" w:rsidP="00245855"/>
    <w:p w14:paraId="2C679B88" w14:textId="77777777" w:rsidR="00245855" w:rsidRPr="009A0B5E" w:rsidRDefault="00245855" w:rsidP="00245855">
      <w:pPr>
        <w:pStyle w:val="Prrafodelista"/>
        <w:numPr>
          <w:ilvl w:val="0"/>
          <w:numId w:val="205"/>
        </w:numPr>
        <w:contextualSpacing/>
      </w:pPr>
      <w:r w:rsidRPr="009A0B5E">
        <w:t>Las válvulas de hierro fundido en la red, deben ser de cuadrante, se aclara que el contratista debe proporcionar la extensión para la operación de las válvulas de cuadrante.</w:t>
      </w:r>
      <w:r w:rsidRPr="009A0B5E">
        <w:fldChar w:fldCharType="end"/>
      </w:r>
    </w:p>
    <w:p w14:paraId="1DC66FDF" w14:textId="77777777" w:rsidR="00245855" w:rsidRPr="009A0B5E" w:rsidRDefault="00245855" w:rsidP="00245855"/>
    <w:p w14:paraId="60BE9214" w14:textId="77777777" w:rsidR="00245855" w:rsidRPr="009A0B5E" w:rsidRDefault="00245855" w:rsidP="00245855">
      <w:pPr>
        <w:pStyle w:val="Prrafodelista"/>
        <w:numPr>
          <w:ilvl w:val="0"/>
          <w:numId w:val="205"/>
        </w:numPr>
        <w:contextualSpacing/>
      </w:pPr>
      <w:r w:rsidRPr="009A0B5E">
        <w:t xml:space="preserve">El plan de medidas ambientales que establece el PGA en la ejecución del proyecto es responsabilidad del contratista, CAPS y alcaldía municipal, ver informe del PGA en Anexo 5 de la factibilidad del proyecto. </w:t>
      </w:r>
    </w:p>
    <w:p w14:paraId="09F701D4" w14:textId="77777777" w:rsidR="00245855" w:rsidRPr="009A0B5E" w:rsidRDefault="00245855" w:rsidP="00245855">
      <w:pPr>
        <w:tabs>
          <w:tab w:val="left" w:pos="1134"/>
        </w:tabs>
      </w:pPr>
    </w:p>
    <w:p w14:paraId="640DDF74" w14:textId="77777777" w:rsidR="00245855" w:rsidRPr="009A0B5E" w:rsidRDefault="00245855" w:rsidP="00245855">
      <w:pPr>
        <w:pStyle w:val="Prrafodelista"/>
        <w:numPr>
          <w:ilvl w:val="0"/>
          <w:numId w:val="205"/>
        </w:numPr>
        <w:tabs>
          <w:tab w:val="left" w:pos="1134"/>
        </w:tabs>
        <w:contextualSpacing/>
      </w:pPr>
      <w:r w:rsidRPr="009A0B5E">
        <w:t>Para las tuberías PVC, su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03426340" w14:textId="77777777" w:rsidR="00245855" w:rsidRPr="009A0B5E" w:rsidRDefault="00245855" w:rsidP="00245855">
      <w:pPr>
        <w:tabs>
          <w:tab w:val="left" w:pos="1134"/>
        </w:tabs>
      </w:pPr>
    </w:p>
    <w:p w14:paraId="24E63644" w14:textId="77777777" w:rsidR="00245855" w:rsidRPr="009A0B5E" w:rsidRDefault="00245855" w:rsidP="00245855">
      <w:pPr>
        <w:pStyle w:val="Prrafodelista"/>
        <w:numPr>
          <w:ilvl w:val="0"/>
          <w:numId w:val="205"/>
        </w:numPr>
        <w:tabs>
          <w:tab w:val="left" w:pos="1134"/>
        </w:tabs>
        <w:contextualSpacing/>
      </w:pPr>
      <w:r w:rsidRPr="009A0B5E">
        <w:t>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2EBC8208" w14:textId="77777777" w:rsidR="00245855" w:rsidRPr="009A0B5E" w:rsidRDefault="00245855" w:rsidP="00245855">
      <w:pPr>
        <w:tabs>
          <w:tab w:val="left" w:pos="1134"/>
        </w:tabs>
      </w:pPr>
    </w:p>
    <w:p w14:paraId="10D547A6" w14:textId="77777777" w:rsidR="00245855" w:rsidRPr="009A0B5E" w:rsidRDefault="00245855" w:rsidP="00245855">
      <w:pPr>
        <w:pStyle w:val="Prrafodelista"/>
        <w:numPr>
          <w:ilvl w:val="0"/>
          <w:numId w:val="205"/>
        </w:numPr>
        <w:contextualSpacing/>
      </w:pPr>
      <w:r w:rsidRPr="009A0B5E">
        <w:t>La prueba de la tubería se hace a medida que la obra progresa, y en tramos no mayores de 300 metros de longitud, a criterio del Supervisor de Obras, por razones prácticas tales como las facilidades de aislamiento por válvulas y los tiempos de llenado y vaciado de las tuberías. Para la realización de esta prueba deben de estar todas las conexiones y accesorios del tramo instalados.</w:t>
      </w:r>
    </w:p>
    <w:p w14:paraId="612A5D81" w14:textId="77777777" w:rsidR="00245855" w:rsidRPr="009A0B5E" w:rsidRDefault="00245855" w:rsidP="00245855"/>
    <w:p w14:paraId="31521287" w14:textId="77777777" w:rsidR="00245855" w:rsidRPr="009A0B5E" w:rsidRDefault="00245855" w:rsidP="00245855">
      <w:pPr>
        <w:pStyle w:val="Prrafodelista"/>
        <w:numPr>
          <w:ilvl w:val="0"/>
          <w:numId w:val="205"/>
        </w:numPr>
        <w:contextualSpacing/>
      </w:pPr>
      <w:r w:rsidRPr="009A0B5E">
        <w:t>La restauración de superficies es responsabilidad del contratista, por lo que se deberá restaurar a su condición original, toda superficie removida o perturbada por él durante la ejecución de la obra, incluyendo restauración de aceras, cunetas, calles, etc.</w:t>
      </w:r>
    </w:p>
    <w:p w14:paraId="349D97C4" w14:textId="77777777" w:rsidR="00245855" w:rsidRPr="009A0B5E" w:rsidRDefault="00245855" w:rsidP="00245855"/>
    <w:p w14:paraId="1CD40210" w14:textId="77777777" w:rsidR="00245855" w:rsidRPr="009A0B5E" w:rsidRDefault="00245855" w:rsidP="00245855">
      <w:pPr>
        <w:pStyle w:val="Prrafodelista"/>
        <w:numPr>
          <w:ilvl w:val="0"/>
          <w:numId w:val="205"/>
        </w:numPr>
        <w:contextualSpacing/>
      </w:pPr>
      <w:r w:rsidRPr="009A0B5E">
        <w:t xml:space="preserve">El cerramiento de malla ciclón de hierro galvanizado Cal.#12 se ubicará en el cobertizo para la planta de tratamiento, según como se muestran en los planos constructivos. </w:t>
      </w:r>
    </w:p>
    <w:p w14:paraId="0C5FDAB6" w14:textId="77777777" w:rsidR="00245855" w:rsidRPr="009A0B5E" w:rsidRDefault="00245855" w:rsidP="00245855"/>
    <w:p w14:paraId="545622C0" w14:textId="77777777" w:rsidR="00245855" w:rsidRPr="009A0B5E" w:rsidRDefault="00245855" w:rsidP="00245855">
      <w:pPr>
        <w:pStyle w:val="Prrafodelista"/>
        <w:numPr>
          <w:ilvl w:val="0"/>
          <w:numId w:val="205"/>
        </w:numPr>
        <w:contextualSpacing/>
      </w:pPr>
      <w:r w:rsidRPr="009A0B5E">
        <w:t xml:space="preserve">El perímetro de los predios del tanque No. 1 y No. 2 será cercado con postes de concreto pretensado Alt.= 2.55 m a cada 2.50 m con 7 hiladas de alambre de púas cal.# 13 ½” con bases de concreto, según se indican en los planos constructivos. </w:t>
      </w:r>
    </w:p>
    <w:p w14:paraId="07800728" w14:textId="77777777" w:rsidR="00245855" w:rsidRPr="009A0B5E" w:rsidRDefault="00245855" w:rsidP="00245855"/>
    <w:p w14:paraId="559F301E" w14:textId="77777777" w:rsidR="00245855" w:rsidRPr="009A0B5E" w:rsidRDefault="00245855" w:rsidP="00245855">
      <w:pPr>
        <w:pStyle w:val="Prrafodelista"/>
        <w:numPr>
          <w:ilvl w:val="0"/>
          <w:numId w:val="205"/>
        </w:numPr>
        <w:contextualSpacing/>
      </w:pPr>
      <w:r w:rsidRPr="009A0B5E">
        <w:lastRenderedPageBreak/>
        <w:t>La planta de tratamiento de agua potable para este proyecto contará con las siguientes características:</w:t>
      </w:r>
    </w:p>
    <w:p w14:paraId="5705DDA4" w14:textId="77777777" w:rsidR="00245855" w:rsidRPr="009A0B5E" w:rsidRDefault="00245855" w:rsidP="00245855"/>
    <w:p w14:paraId="1714C841" w14:textId="77777777" w:rsidR="00245855" w:rsidRPr="009A0B5E" w:rsidRDefault="00245855" w:rsidP="00245855">
      <w:pPr>
        <w:rPr>
          <w:b/>
        </w:rPr>
      </w:pPr>
      <w:r w:rsidRPr="009A0B5E">
        <w:rPr>
          <w:b/>
        </w:rPr>
        <w:t>DATOS DE DISEÑO</w:t>
      </w:r>
    </w:p>
    <w:p w14:paraId="135319C4" w14:textId="77777777" w:rsidR="00245855" w:rsidRPr="009A0B5E" w:rsidRDefault="00245855" w:rsidP="00245855">
      <w:r w:rsidRPr="009A0B5E">
        <w:t>Caudal Nominal: 9.54 m³/hr</w:t>
      </w:r>
    </w:p>
    <w:p w14:paraId="761037DC" w14:textId="77777777" w:rsidR="00245855" w:rsidRPr="009A0B5E" w:rsidRDefault="00245855" w:rsidP="00245855">
      <w:r w:rsidRPr="009A0B5E">
        <w:t>Velocidad de Filtrado: 5.0 m/hr</w:t>
      </w:r>
    </w:p>
    <w:p w14:paraId="673BF3F2" w14:textId="77777777" w:rsidR="00245855" w:rsidRPr="009A0B5E" w:rsidRDefault="00245855" w:rsidP="00245855">
      <w:r w:rsidRPr="009A0B5E">
        <w:t>Caudal de Retrolavado: 9.54 m³/h</w:t>
      </w:r>
    </w:p>
    <w:p w14:paraId="020A8307" w14:textId="77777777" w:rsidR="00245855" w:rsidRPr="009A0B5E" w:rsidRDefault="00245855" w:rsidP="00245855">
      <w:r w:rsidRPr="009A0B5E">
        <w:t>Presión mínima_Operación requerida:  20 PSI</w:t>
      </w:r>
    </w:p>
    <w:p w14:paraId="68515D89" w14:textId="77777777" w:rsidR="00245855" w:rsidRPr="009A0B5E" w:rsidRDefault="00245855" w:rsidP="00245855">
      <w:r w:rsidRPr="009A0B5E">
        <w:t>Presión máxima_Operación requerida:  70 PSI</w:t>
      </w:r>
    </w:p>
    <w:p w14:paraId="147E413E" w14:textId="77777777" w:rsidR="00245855" w:rsidRPr="009A0B5E" w:rsidRDefault="00245855" w:rsidP="00245855"/>
    <w:p w14:paraId="4A99A44A" w14:textId="77777777" w:rsidR="00245855" w:rsidRPr="009A0B5E" w:rsidRDefault="00245855" w:rsidP="00245855">
      <w:pPr>
        <w:rPr>
          <w:b/>
        </w:rPr>
      </w:pPr>
      <w:r w:rsidRPr="009A0B5E">
        <w:rPr>
          <w:b/>
        </w:rPr>
        <w:t>COMPONENTES DEL SISTEMA</w:t>
      </w:r>
    </w:p>
    <w:p w14:paraId="034090A4" w14:textId="77777777" w:rsidR="00245855" w:rsidRPr="009A0B5E" w:rsidRDefault="00245855" w:rsidP="00245855">
      <w:r w:rsidRPr="009A0B5E">
        <w:t>La planta de tratamiento contempla los siguientes componentes:</w:t>
      </w:r>
    </w:p>
    <w:p w14:paraId="5EF98A51" w14:textId="77777777" w:rsidR="00245855" w:rsidRPr="009A0B5E" w:rsidRDefault="00245855" w:rsidP="00245855"/>
    <w:p w14:paraId="263C1BBF" w14:textId="77777777" w:rsidR="00245855" w:rsidRPr="009A0B5E" w:rsidRDefault="00245855" w:rsidP="00245855">
      <w:pPr>
        <w:pStyle w:val="Prrafodelista"/>
        <w:numPr>
          <w:ilvl w:val="0"/>
          <w:numId w:val="200"/>
        </w:numPr>
        <w:contextualSpacing/>
      </w:pPr>
      <w:r w:rsidRPr="009A0B5E">
        <w:t>03 filtros de media de diámetro 36”.</w:t>
      </w:r>
    </w:p>
    <w:p w14:paraId="6B014274" w14:textId="77777777" w:rsidR="00245855" w:rsidRPr="009A0B5E" w:rsidRDefault="00245855" w:rsidP="00245855">
      <w:pPr>
        <w:pStyle w:val="Prrafodelista"/>
        <w:numPr>
          <w:ilvl w:val="0"/>
          <w:numId w:val="200"/>
        </w:numPr>
        <w:contextualSpacing/>
      </w:pPr>
      <w:r w:rsidRPr="009A0B5E">
        <w:t>Válvulas de diámetro 2”.</w:t>
      </w:r>
    </w:p>
    <w:p w14:paraId="2A5F54B4" w14:textId="77777777" w:rsidR="00245855" w:rsidRPr="009A0B5E" w:rsidRDefault="00245855" w:rsidP="00245855">
      <w:pPr>
        <w:pStyle w:val="Prrafodelista"/>
        <w:numPr>
          <w:ilvl w:val="0"/>
          <w:numId w:val="200"/>
        </w:numPr>
        <w:contextualSpacing/>
      </w:pPr>
      <w:r w:rsidRPr="009A0B5E">
        <w:t xml:space="preserve">Lote de accesorios de PVC. </w:t>
      </w:r>
    </w:p>
    <w:p w14:paraId="26413AE9" w14:textId="77777777" w:rsidR="00245855" w:rsidRPr="009A0B5E" w:rsidRDefault="00245855" w:rsidP="00245855">
      <w:pPr>
        <w:pStyle w:val="Prrafodelista"/>
        <w:numPr>
          <w:ilvl w:val="0"/>
          <w:numId w:val="200"/>
        </w:numPr>
        <w:contextualSpacing/>
      </w:pPr>
      <w:r w:rsidRPr="009A0B5E">
        <w:t>Manómetro Entrada/Salida.</w:t>
      </w:r>
    </w:p>
    <w:p w14:paraId="2F7DB4FE" w14:textId="77777777" w:rsidR="00245855" w:rsidRPr="009A0B5E" w:rsidRDefault="00245855" w:rsidP="00245855">
      <w:pPr>
        <w:pStyle w:val="Prrafodelista"/>
        <w:numPr>
          <w:ilvl w:val="0"/>
          <w:numId w:val="200"/>
        </w:numPr>
        <w:contextualSpacing/>
      </w:pPr>
      <w:r w:rsidRPr="009A0B5E">
        <w:t>Ventosa.</w:t>
      </w:r>
    </w:p>
    <w:p w14:paraId="04953E88" w14:textId="77777777" w:rsidR="00245855" w:rsidRPr="009A0B5E" w:rsidRDefault="00245855" w:rsidP="00245855">
      <w:pPr>
        <w:pStyle w:val="Prrafodelista"/>
        <w:numPr>
          <w:ilvl w:val="0"/>
          <w:numId w:val="200"/>
        </w:numPr>
        <w:contextualSpacing/>
      </w:pPr>
      <w:r w:rsidRPr="009A0B5E">
        <w:t>Niplería PVC SDR 17.</w:t>
      </w:r>
    </w:p>
    <w:p w14:paraId="6C8C9B1B" w14:textId="77777777" w:rsidR="00245855" w:rsidRPr="009A0B5E" w:rsidRDefault="00245855" w:rsidP="00245855">
      <w:pPr>
        <w:pStyle w:val="Prrafodelista"/>
        <w:numPr>
          <w:ilvl w:val="0"/>
          <w:numId w:val="200"/>
        </w:numPr>
        <w:contextualSpacing/>
      </w:pPr>
      <w:r w:rsidRPr="009A0B5E">
        <w:t xml:space="preserve">Bomba dosificadora de sulfato de aluminio. </w:t>
      </w:r>
    </w:p>
    <w:p w14:paraId="69274162" w14:textId="77777777" w:rsidR="00245855" w:rsidRPr="009A0B5E" w:rsidRDefault="00245855" w:rsidP="00245855">
      <w:pPr>
        <w:pStyle w:val="Prrafodelista"/>
        <w:numPr>
          <w:ilvl w:val="0"/>
          <w:numId w:val="200"/>
        </w:numPr>
        <w:contextualSpacing/>
      </w:pPr>
      <w:r w:rsidRPr="009A0B5E">
        <w:t>Hipoclorador de plástico de capacidad 33 galones.</w:t>
      </w:r>
    </w:p>
    <w:p w14:paraId="22044011" w14:textId="77777777" w:rsidR="00245855" w:rsidRPr="009A0B5E" w:rsidRDefault="00245855" w:rsidP="00245855">
      <w:pPr>
        <w:pStyle w:val="Prrafodelista"/>
        <w:numPr>
          <w:ilvl w:val="0"/>
          <w:numId w:val="200"/>
        </w:numPr>
        <w:contextualSpacing/>
      </w:pPr>
      <w:r w:rsidRPr="009A0B5E">
        <w:t>20 kg de sulfato de aluminio.</w:t>
      </w:r>
    </w:p>
    <w:p w14:paraId="181AA27F" w14:textId="77777777" w:rsidR="00245855" w:rsidRPr="009A0B5E" w:rsidRDefault="00245855" w:rsidP="00245855">
      <w:pPr>
        <w:pStyle w:val="Prrafodelista"/>
        <w:numPr>
          <w:ilvl w:val="0"/>
          <w:numId w:val="200"/>
        </w:numPr>
        <w:contextualSpacing/>
      </w:pPr>
      <w:r w:rsidRPr="009A0B5E">
        <w:t xml:space="preserve">Medias filtrantes: </w:t>
      </w:r>
      <m:oMath>
        <m:sSup>
          <m:sSupPr>
            <m:ctrlPr>
              <w:rPr>
                <w:rFonts w:ascii="Cambria Math" w:hAnsi="Cambria Math"/>
                <w:i/>
              </w:rPr>
            </m:ctrlPr>
          </m:sSupPr>
          <m:e>
            <m:r>
              <w:rPr>
                <w:rFonts w:ascii="Cambria Math" w:hAnsi="Cambria Math"/>
              </w:rPr>
              <m:t>Micro-Z</m:t>
            </m:r>
          </m:e>
          <m:sup>
            <m:r>
              <w:rPr>
                <w:rFonts w:ascii="Cambria Math" w:hAnsi="Cambria Math"/>
              </w:rPr>
              <m:t>TM</m:t>
            </m:r>
          </m:sup>
        </m:sSup>
      </m:oMath>
      <w:r w:rsidRPr="009A0B5E">
        <w:t xml:space="preserve"> más </w:t>
      </w:r>
      <m:oMath>
        <m:sSup>
          <m:sSupPr>
            <m:ctrlPr>
              <w:rPr>
                <w:rFonts w:ascii="Cambria Math" w:hAnsi="Cambria Math"/>
                <w:i/>
              </w:rPr>
            </m:ctrlPr>
          </m:sSupPr>
          <m:e>
            <m:r>
              <w:rPr>
                <w:rFonts w:ascii="Cambria Math" w:hAnsi="Cambria Math"/>
              </w:rPr>
              <m:t>Filox-R</m:t>
            </m:r>
          </m:e>
          <m:sup>
            <m:r>
              <w:rPr>
                <w:rFonts w:ascii="Cambria Math" w:hAnsi="Cambria Math"/>
              </w:rPr>
              <m:t>TM</m:t>
            </m:r>
          </m:sup>
        </m:sSup>
      </m:oMath>
      <w:r w:rsidRPr="009A0B5E">
        <w:t xml:space="preserve"> más Arena Soporte.</w:t>
      </w:r>
    </w:p>
    <w:p w14:paraId="50D89F34" w14:textId="77777777" w:rsidR="00245855" w:rsidRPr="009A0B5E" w:rsidRDefault="00245855" w:rsidP="00245855">
      <w:pPr>
        <w:ind w:left="360"/>
      </w:pPr>
    </w:p>
    <w:p w14:paraId="21606928" w14:textId="77777777" w:rsidR="00245855" w:rsidRPr="009A0B5E" w:rsidRDefault="00245855" w:rsidP="00245855">
      <w:pPr>
        <w:rPr>
          <w:b/>
          <w:lang w:eastAsia="en-GB"/>
        </w:rPr>
      </w:pPr>
      <w:r w:rsidRPr="009A0B5E">
        <w:rPr>
          <w:b/>
          <w:lang w:eastAsia="en-GB"/>
        </w:rPr>
        <w:t>Hipoclorador de carga constante y sulfato de aluminio.</w:t>
      </w:r>
    </w:p>
    <w:p w14:paraId="0AAEE027" w14:textId="77777777" w:rsidR="00245855" w:rsidRPr="009A0B5E" w:rsidRDefault="00245855" w:rsidP="00245855">
      <w:pPr>
        <w:rPr>
          <w:lang w:eastAsia="en-GB"/>
        </w:rPr>
      </w:pPr>
      <w:r w:rsidRPr="009A0B5E">
        <w:rPr>
          <w:lang w:eastAsia="en-GB"/>
        </w:rPr>
        <w:t xml:space="preserve">Estos dosificadores van a inyectar los productos químicos necesarios para la coagulación/ floculación y desinfección final del agua tratada. </w:t>
      </w:r>
    </w:p>
    <w:p w14:paraId="71D9E99E" w14:textId="77777777" w:rsidR="00245855" w:rsidRPr="009A0B5E" w:rsidRDefault="00245855" w:rsidP="00245855">
      <w:pPr>
        <w:rPr>
          <w:b/>
          <w:lang w:eastAsia="en-GB"/>
        </w:rPr>
      </w:pPr>
    </w:p>
    <w:p w14:paraId="4FE44E1B" w14:textId="77777777" w:rsidR="00245855" w:rsidRPr="009A0B5E" w:rsidRDefault="00245855" w:rsidP="00245855">
      <w:pPr>
        <w:rPr>
          <w:b/>
          <w:lang w:eastAsia="en-GB"/>
        </w:rPr>
      </w:pPr>
      <w:r w:rsidRPr="009A0B5E">
        <w:rPr>
          <w:b/>
          <w:lang w:eastAsia="en-GB"/>
        </w:rPr>
        <w:t>Prefiltros</w:t>
      </w:r>
    </w:p>
    <w:p w14:paraId="04953775" w14:textId="77777777" w:rsidR="00245855" w:rsidRPr="009A0B5E" w:rsidRDefault="00245855" w:rsidP="00245855">
      <w:pPr>
        <w:rPr>
          <w:b/>
          <w:lang w:eastAsia="en-GB"/>
        </w:rPr>
      </w:pPr>
    </w:p>
    <w:p w14:paraId="6B7D2837" w14:textId="77777777" w:rsidR="00245855" w:rsidRPr="00181F97" w:rsidRDefault="00245855" w:rsidP="00245855">
      <w:pPr>
        <w:pStyle w:val="HTMLconformatoprevio"/>
        <w:shd w:val="clear" w:color="auto" w:fill="F8F9FA"/>
        <w:jc w:val="both"/>
        <w:rPr>
          <w:rFonts w:ascii="Times New Roman" w:hAnsi="Times New Roman" w:cs="Times New Roman"/>
          <w:sz w:val="24"/>
          <w:lang w:val="es-NI" w:eastAsia="en-GB"/>
        </w:rPr>
      </w:pPr>
      <w:r w:rsidRPr="00181F97">
        <w:rPr>
          <w:rFonts w:ascii="Times New Roman" w:hAnsi="Times New Roman" w:cs="Times New Roman"/>
          <w:sz w:val="24"/>
          <w:lang w:val="es-NI" w:eastAsia="en-GB"/>
        </w:rPr>
        <w:t xml:space="preserve">Está compuesto por 3 filtros de acero, los cuales utilizan un diseño único de una cámara de doble fondo, dividida por una placa de acero reforzada soldada. La cámara superior contiene los medios de grava (o arena), la cámara inferior está vacía y recoge el agua filtrada. La placa está cubierta por difusores de "hongos" que son unidades cónicas de plástico ranuradas. Ellos dispersan el agua de manera uniforme, utilizando eficazmente todo el volumen de medios evitando la ocurrencia de canalización o apelmazamiento cuando se opera correctamente. </w:t>
      </w:r>
    </w:p>
    <w:p w14:paraId="3B7CC655" w14:textId="77777777" w:rsidR="00245855" w:rsidRPr="00181F97" w:rsidRDefault="00245855" w:rsidP="00245855">
      <w:pPr>
        <w:pStyle w:val="HTMLconformatoprevio"/>
        <w:shd w:val="clear" w:color="auto" w:fill="F8F9FA"/>
        <w:jc w:val="both"/>
        <w:rPr>
          <w:rFonts w:ascii="Times New Roman" w:hAnsi="Times New Roman" w:cs="Times New Roman"/>
          <w:sz w:val="24"/>
          <w:lang w:val="es-NI" w:eastAsia="en-GB"/>
        </w:rPr>
      </w:pPr>
    </w:p>
    <w:p w14:paraId="3CD18A90" w14:textId="77777777" w:rsidR="00245855" w:rsidRPr="00181F97" w:rsidRDefault="00245855" w:rsidP="00245855">
      <w:pPr>
        <w:pStyle w:val="HTMLconformatoprevio"/>
        <w:shd w:val="clear" w:color="auto" w:fill="F8F9FA"/>
        <w:jc w:val="both"/>
        <w:rPr>
          <w:rFonts w:ascii="Times New Roman" w:hAnsi="Times New Roman" w:cs="Times New Roman"/>
          <w:sz w:val="24"/>
          <w:lang w:val="es-NI" w:eastAsia="en-GB"/>
        </w:rPr>
      </w:pPr>
      <w:r w:rsidRPr="00181F97">
        <w:rPr>
          <w:rFonts w:ascii="Times New Roman" w:hAnsi="Times New Roman" w:cs="Times New Roman"/>
          <w:sz w:val="24"/>
          <w:lang w:val="es-NI" w:eastAsia="en-GB"/>
        </w:rPr>
        <w:t xml:space="preserve">Este filtro es particularmente adecuado para retrolavado - un proceso que involucra la inversión del flujo de agua, causando una expansión turbulenta de los medios como lecho fluidizado. Esto elimina los escombros atrapados de manera efectiva. </w:t>
      </w:r>
    </w:p>
    <w:p w14:paraId="4DBD8E6D" w14:textId="77777777" w:rsidR="00245855" w:rsidRPr="009A0B5E" w:rsidRDefault="00245855" w:rsidP="00245855">
      <w:pPr>
        <w:rPr>
          <w:lang w:eastAsia="en-GB"/>
        </w:rPr>
      </w:pPr>
    </w:p>
    <w:p w14:paraId="7C0DDCD0" w14:textId="77777777" w:rsidR="00245855" w:rsidRPr="009A0B5E" w:rsidRDefault="00245855" w:rsidP="00245855">
      <w:pPr>
        <w:rPr>
          <w:lang w:eastAsia="en-GB"/>
        </w:rPr>
      </w:pPr>
      <w:r w:rsidRPr="009A0B5E">
        <w:rPr>
          <w:lang w:eastAsia="en-GB"/>
        </w:rPr>
        <w:t xml:space="preserve">Estos filtros estarán compuestos por una media filtrante granular permitiendo que las partículas penetren profundamente en la cama de filtración para proveer una filtración superior al aumentar la velocidad del flujo removiendo la turbidez, color y solidos suspendidos (Micro – Z); y una media filtrante para remover el hierro, sulfato de hidrógeno y manganeso (Filox – R).  </w:t>
      </w:r>
    </w:p>
    <w:p w14:paraId="3ADD0303" w14:textId="77777777" w:rsidR="00245855" w:rsidRPr="009A0B5E" w:rsidRDefault="00245855" w:rsidP="00245855">
      <w:pPr>
        <w:rPr>
          <w:lang w:eastAsia="en-GB"/>
        </w:rPr>
      </w:pPr>
    </w:p>
    <w:p w14:paraId="4BC94FD9" w14:textId="77777777" w:rsidR="00245855" w:rsidRPr="009A0B5E" w:rsidRDefault="00245855" w:rsidP="00245855">
      <w:pPr>
        <w:rPr>
          <w:lang w:eastAsia="en-GB"/>
        </w:rPr>
      </w:pPr>
      <w:r w:rsidRPr="009A0B5E">
        <w:rPr>
          <w:lang w:eastAsia="en-GB"/>
        </w:rPr>
        <w:lastRenderedPageBreak/>
        <w:t xml:space="preserve">Los filtros operan de acuerdo con los siguientes parámetros: </w:t>
      </w:r>
    </w:p>
    <w:p w14:paraId="050915CC" w14:textId="77777777" w:rsidR="00245855" w:rsidRPr="009A0B5E" w:rsidRDefault="00245855" w:rsidP="00245855">
      <w:pPr>
        <w:rPr>
          <w:lang w:eastAsia="en-GB"/>
        </w:rPr>
      </w:pPr>
    </w:p>
    <w:p w14:paraId="4895DE0B" w14:textId="77777777" w:rsidR="00245855" w:rsidRPr="009A0B5E" w:rsidRDefault="00245855" w:rsidP="00245855">
      <w:pPr>
        <w:pStyle w:val="Prrafodelista"/>
        <w:numPr>
          <w:ilvl w:val="0"/>
          <w:numId w:val="199"/>
        </w:numPr>
        <w:contextualSpacing/>
        <w:jc w:val="left"/>
        <w:rPr>
          <w:rFonts w:eastAsiaTheme="minorHAnsi"/>
          <w:lang w:val="es-ES" w:eastAsia="en-GB"/>
        </w:rPr>
      </w:pPr>
      <w:r w:rsidRPr="009A0B5E">
        <w:rPr>
          <w:rFonts w:eastAsiaTheme="minorHAnsi"/>
          <w:lang w:val="es-ES" w:eastAsia="en-GB"/>
        </w:rPr>
        <w:t>Diámetro de acople: 3”</w:t>
      </w:r>
    </w:p>
    <w:p w14:paraId="387428E8" w14:textId="77777777" w:rsidR="00245855" w:rsidRPr="009A0B5E" w:rsidRDefault="00245855" w:rsidP="00245855">
      <w:pPr>
        <w:pStyle w:val="Prrafodelista"/>
        <w:numPr>
          <w:ilvl w:val="0"/>
          <w:numId w:val="200"/>
        </w:numPr>
        <w:contextualSpacing/>
      </w:pPr>
      <w:r w:rsidRPr="009A0B5E">
        <w:rPr>
          <w:rFonts w:eastAsiaTheme="minorHAnsi"/>
          <w:lang w:val="es-ES" w:eastAsia="en-GB"/>
        </w:rPr>
        <w:t xml:space="preserve">Medio filtrante: </w:t>
      </w:r>
      <m:oMath>
        <m:sSup>
          <m:sSupPr>
            <m:ctrlPr>
              <w:rPr>
                <w:rFonts w:ascii="Cambria Math" w:hAnsi="Cambria Math"/>
                <w:i/>
              </w:rPr>
            </m:ctrlPr>
          </m:sSupPr>
          <m:e>
            <m:r>
              <w:rPr>
                <w:rFonts w:ascii="Cambria Math" w:hAnsi="Cambria Math"/>
              </w:rPr>
              <m:t>Micro-Z</m:t>
            </m:r>
          </m:e>
          <m:sup>
            <m:r>
              <w:rPr>
                <w:rFonts w:ascii="Cambria Math" w:hAnsi="Cambria Math"/>
              </w:rPr>
              <m:t>TM</m:t>
            </m:r>
          </m:sup>
        </m:sSup>
      </m:oMath>
      <w:r w:rsidRPr="009A0B5E">
        <w:t xml:space="preserve"> más </w:t>
      </w:r>
      <m:oMath>
        <m:sSup>
          <m:sSupPr>
            <m:ctrlPr>
              <w:rPr>
                <w:rFonts w:ascii="Cambria Math" w:hAnsi="Cambria Math"/>
                <w:i/>
              </w:rPr>
            </m:ctrlPr>
          </m:sSupPr>
          <m:e>
            <m:r>
              <w:rPr>
                <w:rFonts w:ascii="Cambria Math" w:hAnsi="Cambria Math"/>
              </w:rPr>
              <m:t>Filox-R</m:t>
            </m:r>
          </m:e>
          <m:sup>
            <m:r>
              <w:rPr>
                <w:rFonts w:ascii="Cambria Math" w:hAnsi="Cambria Math"/>
              </w:rPr>
              <m:t>TM</m:t>
            </m:r>
          </m:sup>
        </m:sSup>
      </m:oMath>
      <w:r w:rsidRPr="009A0B5E">
        <w:t xml:space="preserve"> más Arena Soporte.</w:t>
      </w:r>
    </w:p>
    <w:p w14:paraId="5B522F1C" w14:textId="77777777" w:rsidR="00245855" w:rsidRPr="009A0B5E" w:rsidRDefault="00245855" w:rsidP="00245855">
      <w:pPr>
        <w:pStyle w:val="Prrafodelista"/>
        <w:numPr>
          <w:ilvl w:val="0"/>
          <w:numId w:val="200"/>
        </w:numPr>
        <w:contextualSpacing/>
      </w:pPr>
      <w:r w:rsidRPr="009A0B5E">
        <w:t>Dimensiones de los filtros:</w:t>
      </w:r>
    </w:p>
    <w:p w14:paraId="7AE63569" w14:textId="77777777" w:rsidR="00245855" w:rsidRPr="009A0B5E" w:rsidRDefault="00245855" w:rsidP="00245855"/>
    <w:p w14:paraId="6C9C0117" w14:textId="77777777" w:rsidR="00245855" w:rsidRPr="009A0B5E" w:rsidRDefault="00245855" w:rsidP="00245855">
      <w:pPr>
        <w:jc w:val="center"/>
      </w:pPr>
      <w:r w:rsidRPr="009A0B5E">
        <w:rPr>
          <w:noProof/>
          <w:lang w:val="es-MX" w:eastAsia="es-MX"/>
        </w:rPr>
        <w:drawing>
          <wp:inline distT="0" distB="0" distL="0" distR="0" wp14:anchorId="770E6259" wp14:editId="7DDFF028">
            <wp:extent cx="5474524" cy="507313"/>
            <wp:effectExtent l="0" t="0" r="0" b="7620"/>
            <wp:docPr id="21562" name="Imagen 2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0526" cy="511576"/>
                    </a:xfrm>
                    <a:prstGeom prst="rect">
                      <a:avLst/>
                    </a:prstGeom>
                  </pic:spPr>
                </pic:pic>
              </a:graphicData>
            </a:graphic>
          </wp:inline>
        </w:drawing>
      </w:r>
    </w:p>
    <w:p w14:paraId="37E2CA9D" w14:textId="77777777" w:rsidR="00245855" w:rsidRPr="009A0B5E" w:rsidRDefault="00245855" w:rsidP="00245855">
      <w:pPr>
        <w:jc w:val="center"/>
        <w:rPr>
          <w:lang w:eastAsia="en-GB"/>
        </w:rPr>
      </w:pPr>
      <w:r w:rsidRPr="009A0B5E">
        <w:rPr>
          <w:noProof/>
          <w:lang w:val="es-MX" w:eastAsia="es-MX"/>
        </w:rPr>
        <w:drawing>
          <wp:inline distT="0" distB="0" distL="0" distR="0" wp14:anchorId="130D2A3E" wp14:editId="7B1A3BCD">
            <wp:extent cx="5480462" cy="253002"/>
            <wp:effectExtent l="0" t="0" r="0" b="0"/>
            <wp:docPr id="21563" name="Imagen 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8151" cy="254742"/>
                    </a:xfrm>
                    <a:prstGeom prst="rect">
                      <a:avLst/>
                    </a:prstGeom>
                  </pic:spPr>
                </pic:pic>
              </a:graphicData>
            </a:graphic>
          </wp:inline>
        </w:drawing>
      </w:r>
    </w:p>
    <w:p w14:paraId="1283BB3C" w14:textId="77777777" w:rsidR="00245855" w:rsidRPr="009A0B5E" w:rsidRDefault="00245855" w:rsidP="00245855">
      <w:pPr>
        <w:jc w:val="center"/>
        <w:rPr>
          <w:lang w:eastAsia="en-GB"/>
        </w:rPr>
      </w:pPr>
    </w:p>
    <w:p w14:paraId="62B2AA3C" w14:textId="77777777" w:rsidR="00245855" w:rsidRPr="009A0B5E" w:rsidRDefault="00245855" w:rsidP="00245855">
      <w:pPr>
        <w:rPr>
          <w:lang w:eastAsia="en-GB"/>
        </w:rPr>
      </w:pPr>
    </w:p>
    <w:p w14:paraId="7B39BDE6" w14:textId="77777777" w:rsidR="00245855" w:rsidRPr="009A0B5E" w:rsidRDefault="00245855" w:rsidP="00245855">
      <w:pPr>
        <w:jc w:val="center"/>
        <w:rPr>
          <w:lang w:eastAsia="en-GB"/>
        </w:rPr>
      </w:pPr>
    </w:p>
    <w:p w14:paraId="7137154A" w14:textId="77777777" w:rsidR="00245855" w:rsidRPr="009A0B5E" w:rsidRDefault="00245855" w:rsidP="00245855">
      <w:pPr>
        <w:jc w:val="center"/>
        <w:rPr>
          <w:lang w:eastAsia="en-GB"/>
        </w:rPr>
      </w:pPr>
    </w:p>
    <w:p w14:paraId="6938B815" w14:textId="77777777" w:rsidR="00245855" w:rsidRPr="009A0B5E" w:rsidRDefault="00245855" w:rsidP="00245855">
      <w:pPr>
        <w:jc w:val="center"/>
        <w:rPr>
          <w:lang w:eastAsia="en-GB"/>
        </w:rPr>
      </w:pPr>
    </w:p>
    <w:p w14:paraId="3FFAF5BD" w14:textId="77777777" w:rsidR="00245855" w:rsidRPr="009A0B5E" w:rsidRDefault="00245855" w:rsidP="00245855">
      <w:pPr>
        <w:jc w:val="center"/>
        <w:rPr>
          <w:lang w:eastAsia="en-GB"/>
        </w:rPr>
      </w:pPr>
      <w:r w:rsidRPr="009A0B5E">
        <w:rPr>
          <w:noProof/>
          <w:lang w:val="es-MX" w:eastAsia="es-MX"/>
        </w:rPr>
        <w:drawing>
          <wp:inline distT="0" distB="0" distL="0" distR="0" wp14:anchorId="387518EA" wp14:editId="7F49A325">
            <wp:extent cx="1984905" cy="2860158"/>
            <wp:effectExtent l="0" t="0" r="0" b="0"/>
            <wp:docPr id="21565" name="Imagen 2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293" t="2688" r="6310" b="3554"/>
                    <a:stretch/>
                  </pic:blipFill>
                  <pic:spPr bwMode="auto">
                    <a:xfrm>
                      <a:off x="0" y="0"/>
                      <a:ext cx="2006623" cy="2891452"/>
                    </a:xfrm>
                    <a:prstGeom prst="rect">
                      <a:avLst/>
                    </a:prstGeom>
                    <a:ln>
                      <a:noFill/>
                    </a:ln>
                    <a:extLst>
                      <a:ext uri="{53640926-AAD7-44D8-BBD7-CCE9431645EC}">
                        <a14:shadowObscured xmlns:a14="http://schemas.microsoft.com/office/drawing/2010/main"/>
                      </a:ext>
                    </a:extLst>
                  </pic:spPr>
                </pic:pic>
              </a:graphicData>
            </a:graphic>
          </wp:inline>
        </w:drawing>
      </w:r>
    </w:p>
    <w:p w14:paraId="19B23405" w14:textId="77777777" w:rsidR="00245855" w:rsidRPr="009A0B5E" w:rsidRDefault="00245855" w:rsidP="00245855">
      <w:pPr>
        <w:rPr>
          <w:lang w:eastAsia="en-GB"/>
        </w:rPr>
      </w:pPr>
    </w:p>
    <w:p w14:paraId="64826DEB" w14:textId="77777777" w:rsidR="00245855" w:rsidRPr="009A0B5E" w:rsidRDefault="00245855" w:rsidP="00245855">
      <w:pPr>
        <w:jc w:val="center"/>
        <w:rPr>
          <w:lang w:eastAsia="en-GB"/>
        </w:rPr>
      </w:pPr>
    </w:p>
    <w:p w14:paraId="7ABFC2DC" w14:textId="77777777" w:rsidR="00245855" w:rsidRPr="009A0B5E" w:rsidRDefault="00245855" w:rsidP="00245855">
      <w:pPr>
        <w:pStyle w:val="Prrafodelista"/>
        <w:numPr>
          <w:ilvl w:val="0"/>
          <w:numId w:val="199"/>
        </w:numPr>
        <w:contextualSpacing/>
        <w:jc w:val="left"/>
        <w:rPr>
          <w:rFonts w:eastAsiaTheme="minorHAnsi"/>
          <w:lang w:val="es-ES" w:eastAsia="en-GB"/>
        </w:rPr>
      </w:pPr>
      <w:r w:rsidRPr="009A0B5E">
        <w:rPr>
          <w:rFonts w:eastAsiaTheme="minorHAnsi"/>
          <w:lang w:val="es-ES" w:eastAsia="en-GB"/>
        </w:rPr>
        <w:t xml:space="preserve">Tasa de flujo recomendada: </w:t>
      </w:r>
    </w:p>
    <w:p w14:paraId="29A360BE" w14:textId="77777777" w:rsidR="00245855" w:rsidRPr="009A0B5E" w:rsidRDefault="00245855" w:rsidP="00245855">
      <w:pPr>
        <w:jc w:val="center"/>
        <w:rPr>
          <w:lang w:eastAsia="en-GB"/>
        </w:rPr>
      </w:pPr>
      <w:r w:rsidRPr="009A0B5E">
        <w:rPr>
          <w:noProof/>
          <w:lang w:val="es-MX" w:eastAsia="es-MX"/>
        </w:rPr>
        <w:drawing>
          <wp:inline distT="0" distB="0" distL="0" distR="0" wp14:anchorId="4704AFFD" wp14:editId="19E045F8">
            <wp:extent cx="5612130" cy="102362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1023620"/>
                    </a:xfrm>
                    <a:prstGeom prst="rect">
                      <a:avLst/>
                    </a:prstGeom>
                  </pic:spPr>
                </pic:pic>
              </a:graphicData>
            </a:graphic>
          </wp:inline>
        </w:drawing>
      </w:r>
    </w:p>
    <w:p w14:paraId="7BC3255F" w14:textId="77777777" w:rsidR="00245855" w:rsidRPr="009A0B5E" w:rsidRDefault="00245855" w:rsidP="00245855">
      <w:pPr>
        <w:jc w:val="center"/>
        <w:rPr>
          <w:lang w:eastAsia="en-GB"/>
        </w:rPr>
      </w:pPr>
      <w:r w:rsidRPr="009A0B5E">
        <w:rPr>
          <w:noProof/>
          <w:lang w:val="es-MX" w:eastAsia="es-MX"/>
        </w:rPr>
        <w:drawing>
          <wp:inline distT="0" distB="0" distL="0" distR="0" wp14:anchorId="4BE8F264" wp14:editId="42A7C21E">
            <wp:extent cx="5612130" cy="156845"/>
            <wp:effectExtent l="0" t="0" r="7620" b="0"/>
            <wp:docPr id="21566" name="Imagen 2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56845"/>
                    </a:xfrm>
                    <a:prstGeom prst="rect">
                      <a:avLst/>
                    </a:prstGeom>
                  </pic:spPr>
                </pic:pic>
              </a:graphicData>
            </a:graphic>
          </wp:inline>
        </w:drawing>
      </w:r>
    </w:p>
    <w:p w14:paraId="087DB13D" w14:textId="77777777" w:rsidR="00245855" w:rsidRPr="009A0B5E" w:rsidRDefault="00245855" w:rsidP="00245855">
      <w:pPr>
        <w:rPr>
          <w:lang w:eastAsia="en-GB"/>
        </w:rPr>
      </w:pPr>
    </w:p>
    <w:p w14:paraId="59053139" w14:textId="77777777" w:rsidR="00245855" w:rsidRPr="009A0B5E" w:rsidRDefault="00245855" w:rsidP="00245855">
      <w:pPr>
        <w:rPr>
          <w:rFonts w:eastAsiaTheme="minorEastAsia"/>
          <w:b/>
        </w:rPr>
      </w:pPr>
      <w:r w:rsidRPr="009A0B5E">
        <w:rPr>
          <w:b/>
          <w:lang w:eastAsia="en-GB"/>
        </w:rPr>
        <w:t>Propiedades físicas y condiciones de operación del</w:t>
      </w:r>
      <w:r w:rsidRPr="009A0B5E">
        <w:rPr>
          <w:b/>
        </w:rPr>
        <w:t xml:space="preserve"> </w:t>
      </w:r>
      <m:oMath>
        <m:sSup>
          <m:sSupPr>
            <m:ctrlPr>
              <w:rPr>
                <w:rFonts w:ascii="Cambria Math" w:hAnsi="Cambria Math"/>
                <w:b/>
                <w:i/>
              </w:rPr>
            </m:ctrlPr>
          </m:sSupPr>
          <m:e>
            <m:r>
              <m:rPr>
                <m:sty m:val="bi"/>
              </m:rPr>
              <w:rPr>
                <w:rFonts w:ascii="Cambria Math" w:hAnsi="Cambria Math"/>
              </w:rPr>
              <m:t>Micro-Z</m:t>
            </m:r>
          </m:e>
          <m:sup>
            <m:r>
              <m:rPr>
                <m:sty m:val="bi"/>
              </m:rPr>
              <w:rPr>
                <w:rFonts w:ascii="Cambria Math" w:hAnsi="Cambria Math"/>
              </w:rPr>
              <m:t>TM</m:t>
            </m:r>
          </m:sup>
        </m:sSup>
      </m:oMath>
    </w:p>
    <w:p w14:paraId="373E3D29" w14:textId="77777777" w:rsidR="00245855" w:rsidRPr="009A0B5E" w:rsidRDefault="00245855" w:rsidP="00245855">
      <w:pPr>
        <w:rPr>
          <w:rFonts w:eastAsiaTheme="minorEastAsia"/>
          <w:b/>
        </w:rPr>
      </w:pPr>
    </w:p>
    <w:p w14:paraId="69BD257C" w14:textId="77777777" w:rsidR="00245855" w:rsidRPr="009A0B5E" w:rsidRDefault="00245855" w:rsidP="00245855">
      <w:pPr>
        <w:jc w:val="center"/>
        <w:rPr>
          <w:lang w:eastAsia="en-GB"/>
        </w:rPr>
      </w:pPr>
      <w:r w:rsidRPr="009A0B5E">
        <w:rPr>
          <w:noProof/>
          <w:lang w:val="es-MX" w:eastAsia="es-MX"/>
        </w:rPr>
        <w:lastRenderedPageBreak/>
        <w:drawing>
          <wp:inline distT="0" distB="0" distL="0" distR="0" wp14:anchorId="38CEBFEE" wp14:editId="6EA5EECA">
            <wp:extent cx="3182587" cy="152395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46305" cy="1554466"/>
                    </a:xfrm>
                    <a:prstGeom prst="rect">
                      <a:avLst/>
                    </a:prstGeom>
                  </pic:spPr>
                </pic:pic>
              </a:graphicData>
            </a:graphic>
          </wp:inline>
        </w:drawing>
      </w:r>
    </w:p>
    <w:p w14:paraId="1853ECDA" w14:textId="77777777" w:rsidR="00245855" w:rsidRPr="009A0B5E" w:rsidRDefault="00245855" w:rsidP="00245855">
      <w:pPr>
        <w:rPr>
          <w:b/>
          <w:lang w:eastAsia="en-GB"/>
        </w:rPr>
      </w:pPr>
    </w:p>
    <w:p w14:paraId="66B222C3" w14:textId="77777777" w:rsidR="00245855" w:rsidRPr="009A0B5E" w:rsidRDefault="00245855" w:rsidP="00245855">
      <w:pPr>
        <w:rPr>
          <w:b/>
          <w:lang w:eastAsia="en-GB"/>
        </w:rPr>
      </w:pPr>
      <w:r w:rsidRPr="009A0B5E">
        <w:rPr>
          <w:b/>
          <w:lang w:eastAsia="en-GB"/>
        </w:rPr>
        <w:t xml:space="preserve">Condiciones de Operación: </w:t>
      </w:r>
    </w:p>
    <w:p w14:paraId="5AEC7C30" w14:textId="77777777" w:rsidR="00245855" w:rsidRPr="009A0B5E" w:rsidRDefault="00245855" w:rsidP="00245855">
      <w:pPr>
        <w:pStyle w:val="Prrafodelista"/>
        <w:numPr>
          <w:ilvl w:val="0"/>
          <w:numId w:val="199"/>
        </w:numPr>
        <w:contextualSpacing/>
        <w:rPr>
          <w:lang w:eastAsia="en-GB"/>
        </w:rPr>
      </w:pPr>
      <w:r w:rsidRPr="009A0B5E">
        <w:rPr>
          <w:lang w:eastAsia="en-GB"/>
        </w:rPr>
        <w:t>Profundidad de la cama: 36” – 48”.</w:t>
      </w:r>
    </w:p>
    <w:p w14:paraId="3D65261D" w14:textId="77777777" w:rsidR="00245855" w:rsidRPr="009A0B5E" w:rsidRDefault="00245855" w:rsidP="00245855">
      <w:pPr>
        <w:pStyle w:val="Prrafodelista"/>
        <w:numPr>
          <w:ilvl w:val="0"/>
          <w:numId w:val="199"/>
        </w:numPr>
        <w:contextualSpacing/>
        <w:rPr>
          <w:lang w:eastAsia="en-GB"/>
        </w:rPr>
      </w:pPr>
      <w:r w:rsidRPr="009A0B5E">
        <w:rPr>
          <w:lang w:eastAsia="en-GB"/>
        </w:rPr>
        <w:t>Area de Expasión: 50% de la profundidad de la cama.</w:t>
      </w:r>
    </w:p>
    <w:p w14:paraId="6C73F6DB" w14:textId="77777777" w:rsidR="00245855" w:rsidRPr="009A0B5E" w:rsidRDefault="00245855" w:rsidP="00245855">
      <w:pPr>
        <w:pStyle w:val="Prrafodelista"/>
        <w:numPr>
          <w:ilvl w:val="0"/>
          <w:numId w:val="199"/>
        </w:numPr>
        <w:contextualSpacing/>
        <w:rPr>
          <w:lang w:eastAsia="en-GB"/>
        </w:rPr>
      </w:pPr>
      <w:r w:rsidRPr="009A0B5E">
        <w:rPr>
          <w:lang w:eastAsia="en-GB"/>
        </w:rPr>
        <w:t>Flujo de servicio: 12 – 20 gpm/Ft ² área.</w:t>
      </w:r>
    </w:p>
    <w:p w14:paraId="37D224F9" w14:textId="77777777" w:rsidR="00245855" w:rsidRPr="009A0B5E" w:rsidRDefault="00245855" w:rsidP="00245855">
      <w:pPr>
        <w:pStyle w:val="Prrafodelista"/>
        <w:numPr>
          <w:ilvl w:val="0"/>
          <w:numId w:val="199"/>
        </w:numPr>
        <w:contextualSpacing/>
        <w:rPr>
          <w:lang w:eastAsia="en-GB"/>
        </w:rPr>
      </w:pPr>
      <w:r w:rsidRPr="009A0B5E">
        <w:rPr>
          <w:lang w:eastAsia="en-GB"/>
        </w:rPr>
        <w:t>Flujo de retrolavado: 12 – 16 gpm/Ft ² área.</w:t>
      </w:r>
    </w:p>
    <w:p w14:paraId="13E13036" w14:textId="77777777" w:rsidR="00245855" w:rsidRPr="009A0B5E" w:rsidRDefault="00245855" w:rsidP="00245855">
      <w:pPr>
        <w:pStyle w:val="Prrafodelista"/>
        <w:numPr>
          <w:ilvl w:val="0"/>
          <w:numId w:val="199"/>
        </w:numPr>
        <w:contextualSpacing/>
        <w:rPr>
          <w:lang w:eastAsia="en-GB"/>
        </w:rPr>
      </w:pPr>
      <w:r w:rsidRPr="009A0B5E">
        <w:rPr>
          <w:lang w:eastAsia="en-GB"/>
        </w:rPr>
        <w:t>Expansión de la cama durante el retro lavado: 30 – 40%.</w:t>
      </w:r>
    </w:p>
    <w:p w14:paraId="41035398" w14:textId="77777777" w:rsidR="00245855" w:rsidRPr="009A0B5E" w:rsidRDefault="00245855" w:rsidP="00245855">
      <w:pPr>
        <w:pStyle w:val="Prrafodelista"/>
        <w:numPr>
          <w:ilvl w:val="0"/>
          <w:numId w:val="199"/>
        </w:numPr>
        <w:contextualSpacing/>
        <w:rPr>
          <w:lang w:eastAsia="en-GB"/>
        </w:rPr>
      </w:pPr>
      <w:r w:rsidRPr="009A0B5E">
        <w:rPr>
          <w:lang w:eastAsia="en-GB"/>
        </w:rPr>
        <w:t xml:space="preserve">Se debe de mantener en remojo, la noche anterior antes del retro lavado inicial. </w:t>
      </w:r>
    </w:p>
    <w:p w14:paraId="37AACF1A" w14:textId="77777777" w:rsidR="00245855" w:rsidRPr="009A0B5E" w:rsidRDefault="00245855" w:rsidP="00245855">
      <w:pPr>
        <w:rPr>
          <w:b/>
          <w:lang w:eastAsia="en-GB"/>
        </w:rPr>
      </w:pPr>
    </w:p>
    <w:p w14:paraId="2ED7ECF7" w14:textId="77777777" w:rsidR="00245855" w:rsidRPr="009A0B5E" w:rsidRDefault="00245855" w:rsidP="00245855">
      <w:pPr>
        <w:rPr>
          <w:rFonts w:eastAsiaTheme="minorEastAsia"/>
          <w:b/>
        </w:rPr>
      </w:pPr>
      <w:r w:rsidRPr="009A0B5E">
        <w:rPr>
          <w:b/>
          <w:lang w:eastAsia="en-GB"/>
        </w:rPr>
        <w:t>Condiciones de operación del</w:t>
      </w:r>
      <w:r w:rsidRPr="009A0B5E">
        <w:rPr>
          <w:b/>
        </w:rPr>
        <w:t xml:space="preserve"> </w:t>
      </w:r>
      <m:oMath>
        <m:sSup>
          <m:sSupPr>
            <m:ctrlPr>
              <w:rPr>
                <w:rFonts w:ascii="Cambria Math" w:hAnsi="Cambria Math"/>
                <w:b/>
                <w:i/>
              </w:rPr>
            </m:ctrlPr>
          </m:sSupPr>
          <m:e>
            <m:r>
              <m:rPr>
                <m:sty m:val="bi"/>
              </m:rPr>
              <w:rPr>
                <w:rFonts w:ascii="Cambria Math" w:hAnsi="Cambria Math"/>
              </w:rPr>
              <m:t>Filox-R</m:t>
            </m:r>
          </m:e>
          <m:sup>
            <m:r>
              <m:rPr>
                <m:sty m:val="bi"/>
              </m:rPr>
              <w:rPr>
                <w:rFonts w:ascii="Cambria Math" w:hAnsi="Cambria Math"/>
              </w:rPr>
              <m:t>TM</m:t>
            </m:r>
          </m:sup>
        </m:sSup>
      </m:oMath>
    </w:p>
    <w:p w14:paraId="2CAA9560" w14:textId="77777777" w:rsidR="00245855" w:rsidRPr="009A0B5E" w:rsidRDefault="00245855" w:rsidP="00245855">
      <w:pPr>
        <w:rPr>
          <w:rFonts w:eastAsiaTheme="minorEastAsia"/>
        </w:rPr>
      </w:pPr>
    </w:p>
    <w:p w14:paraId="27314EF4" w14:textId="77777777" w:rsidR="00245855" w:rsidRPr="009A0B5E" w:rsidRDefault="00245855" w:rsidP="00245855">
      <w:pPr>
        <w:jc w:val="center"/>
        <w:rPr>
          <w:lang w:eastAsia="en-GB"/>
        </w:rPr>
      </w:pPr>
      <w:r w:rsidRPr="009A0B5E">
        <w:rPr>
          <w:noProof/>
          <w:lang w:val="es-MX" w:eastAsia="es-MX"/>
        </w:rPr>
        <w:drawing>
          <wp:inline distT="0" distB="0" distL="0" distR="0" wp14:anchorId="6EC6B9B6" wp14:editId="58CF5E8C">
            <wp:extent cx="3402280" cy="1711148"/>
            <wp:effectExtent l="0" t="0" r="825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1816" cy="1736062"/>
                    </a:xfrm>
                    <a:prstGeom prst="rect">
                      <a:avLst/>
                    </a:prstGeom>
                  </pic:spPr>
                </pic:pic>
              </a:graphicData>
            </a:graphic>
          </wp:inline>
        </w:drawing>
      </w:r>
    </w:p>
    <w:p w14:paraId="29AEC0A2" w14:textId="77777777" w:rsidR="00245855" w:rsidRPr="009A0B5E" w:rsidRDefault="00245855" w:rsidP="00245855">
      <w:pPr>
        <w:jc w:val="center"/>
        <w:rPr>
          <w:lang w:eastAsia="en-GB"/>
        </w:rPr>
      </w:pPr>
      <w:r w:rsidRPr="009A0B5E">
        <w:rPr>
          <w:noProof/>
          <w:lang w:val="es-MX" w:eastAsia="es-MX"/>
        </w:rPr>
        <w:drawing>
          <wp:inline distT="0" distB="0" distL="0" distR="0" wp14:anchorId="266AFC33" wp14:editId="7159F41C">
            <wp:extent cx="2523506" cy="1009402"/>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2731" cy="1025092"/>
                    </a:xfrm>
                    <a:prstGeom prst="rect">
                      <a:avLst/>
                    </a:prstGeom>
                  </pic:spPr>
                </pic:pic>
              </a:graphicData>
            </a:graphic>
          </wp:inline>
        </w:drawing>
      </w:r>
    </w:p>
    <w:p w14:paraId="3020C019" w14:textId="77777777" w:rsidR="00245855" w:rsidRPr="009A0B5E" w:rsidRDefault="00245855" w:rsidP="00245855">
      <w:pPr>
        <w:rPr>
          <w:b/>
          <w:lang w:eastAsia="en-GB"/>
        </w:rPr>
      </w:pPr>
    </w:p>
    <w:p w14:paraId="7376503A" w14:textId="77777777" w:rsidR="00245855" w:rsidRPr="009A0B5E" w:rsidRDefault="00245855" w:rsidP="00245855">
      <w:pPr>
        <w:rPr>
          <w:b/>
          <w:lang w:eastAsia="en-GB"/>
        </w:rPr>
      </w:pPr>
      <w:r w:rsidRPr="009A0B5E">
        <w:rPr>
          <w:b/>
          <w:lang w:eastAsia="en-GB"/>
        </w:rPr>
        <w:t xml:space="preserve">ESPECIFICACIONES TÉCNICAS DE SISTEMA DE PANELES SOLARES DE 100 W. </w:t>
      </w:r>
    </w:p>
    <w:p w14:paraId="1CF0B669" w14:textId="77777777" w:rsidR="00245855" w:rsidRPr="009A0B5E" w:rsidRDefault="00245855" w:rsidP="00245855">
      <w:pPr>
        <w:rPr>
          <w:lang w:eastAsia="en-GB"/>
        </w:rPr>
      </w:pPr>
    </w:p>
    <w:p w14:paraId="59929F01" w14:textId="77777777" w:rsidR="00245855" w:rsidRPr="009A0B5E" w:rsidRDefault="00245855" w:rsidP="00245855">
      <w:pPr>
        <w:rPr>
          <w:lang w:eastAsia="en-GB"/>
        </w:rPr>
      </w:pPr>
      <w:r w:rsidRPr="009A0B5E">
        <w:rPr>
          <w:lang w:eastAsia="en-GB"/>
        </w:rPr>
        <w:t xml:space="preserve">Comprende el suministro y la instalación de paneles solares de 100 W – Fotovoltaico más Batería, Inversor, controlador y estructura. </w:t>
      </w:r>
    </w:p>
    <w:p w14:paraId="68EAC06E" w14:textId="77777777" w:rsidR="00245855" w:rsidRPr="009A0B5E" w:rsidRDefault="00245855" w:rsidP="00245855">
      <w:pPr>
        <w:rPr>
          <w:lang w:eastAsia="en-GB"/>
        </w:rPr>
      </w:pPr>
    </w:p>
    <w:p w14:paraId="10E5185A" w14:textId="77777777" w:rsidR="00245855" w:rsidRPr="009A0B5E" w:rsidRDefault="00245855" w:rsidP="00245855">
      <w:pPr>
        <w:rPr>
          <w:lang w:eastAsia="en-GB"/>
        </w:rPr>
      </w:pPr>
      <w:r w:rsidRPr="009A0B5E">
        <w:rPr>
          <w:lang w:eastAsia="en-GB"/>
        </w:rPr>
        <w:t xml:space="preserve">Sus especificaciones del serán las siguientes: </w:t>
      </w:r>
    </w:p>
    <w:p w14:paraId="3FE3E6BF" w14:textId="77777777" w:rsidR="00245855" w:rsidRPr="009A0B5E" w:rsidRDefault="00245855" w:rsidP="00245855">
      <w:pPr>
        <w:rPr>
          <w:lang w:eastAsia="en-GB"/>
        </w:rPr>
      </w:pPr>
    </w:p>
    <w:p w14:paraId="2518141E" w14:textId="77777777" w:rsidR="00245855" w:rsidRPr="009A0B5E" w:rsidRDefault="00245855" w:rsidP="00245855">
      <w:pPr>
        <w:rPr>
          <w:lang w:eastAsia="en-GB"/>
        </w:rPr>
      </w:pPr>
      <w:r w:rsidRPr="009A0B5E">
        <w:rPr>
          <w:lang w:eastAsia="en-GB"/>
        </w:rPr>
        <w:br w:type="page"/>
      </w:r>
    </w:p>
    <w:p w14:paraId="27C87780" w14:textId="77777777" w:rsidR="00245855" w:rsidRPr="009A0B5E" w:rsidRDefault="00245855" w:rsidP="00245855">
      <w:pPr>
        <w:rPr>
          <w:lang w:eastAsia="en-GB"/>
        </w:rPr>
      </w:pPr>
    </w:p>
    <w:p w14:paraId="509D309B" w14:textId="77777777" w:rsidR="00245855" w:rsidRPr="009A0B5E" w:rsidRDefault="00245855" w:rsidP="00245855">
      <w:pPr>
        <w:rPr>
          <w:lang w:eastAsia="en-GB"/>
        </w:rPr>
      </w:pPr>
      <w:r w:rsidRPr="009A0B5E">
        <w:rPr>
          <w:noProof/>
          <w:lang w:val="es-MX" w:eastAsia="es-MX"/>
        </w:rPr>
        <w:drawing>
          <wp:anchor distT="0" distB="0" distL="114300" distR="114300" simplePos="0" relativeHeight="251669504" behindDoc="0" locked="0" layoutInCell="1" allowOverlap="1" wp14:anchorId="22F6D03B" wp14:editId="719F3D39">
            <wp:simplePos x="0" y="0"/>
            <wp:positionH relativeFrom="column">
              <wp:posOffset>3721735</wp:posOffset>
            </wp:positionH>
            <wp:positionV relativeFrom="paragraph">
              <wp:posOffset>163195</wp:posOffset>
            </wp:positionV>
            <wp:extent cx="1009498" cy="2143005"/>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r="3240"/>
                    <a:stretch/>
                  </pic:blipFill>
                  <pic:spPr bwMode="auto">
                    <a:xfrm>
                      <a:off x="0" y="0"/>
                      <a:ext cx="1009498" cy="214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5E929C" w14:textId="77777777" w:rsidR="00245855" w:rsidRPr="009A0B5E" w:rsidRDefault="00245855" w:rsidP="00245855">
      <w:pPr>
        <w:jc w:val="center"/>
        <w:rPr>
          <w:lang w:eastAsia="en-GB"/>
        </w:rPr>
      </w:pPr>
      <w:r w:rsidRPr="009A0B5E">
        <w:rPr>
          <w:noProof/>
          <w:lang w:val="es-MX" w:eastAsia="es-MX"/>
        </w:rPr>
        <w:drawing>
          <wp:inline distT="0" distB="0" distL="0" distR="0" wp14:anchorId="04FCB317" wp14:editId="6D6F24BD">
            <wp:extent cx="2019098" cy="2160790"/>
            <wp:effectExtent l="0" t="0" r="635" b="0"/>
            <wp:docPr id="21567" name="Imagen 2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9098" cy="2160790"/>
                    </a:xfrm>
                    <a:prstGeom prst="rect">
                      <a:avLst/>
                    </a:prstGeom>
                  </pic:spPr>
                </pic:pic>
              </a:graphicData>
            </a:graphic>
          </wp:inline>
        </w:drawing>
      </w:r>
    </w:p>
    <w:p w14:paraId="7C2B3E83" w14:textId="77777777" w:rsidR="00245855" w:rsidRPr="009A0B5E" w:rsidRDefault="00245855" w:rsidP="00245855">
      <w:pPr>
        <w:jc w:val="center"/>
        <w:rPr>
          <w:lang w:eastAsia="en-GB"/>
        </w:rPr>
      </w:pPr>
    </w:p>
    <w:p w14:paraId="220A319C" w14:textId="77777777" w:rsidR="00245855" w:rsidRPr="009A0B5E" w:rsidRDefault="00245855" w:rsidP="00245855">
      <w:pPr>
        <w:jc w:val="center"/>
        <w:rPr>
          <w:lang w:eastAsia="en-GB"/>
        </w:rPr>
      </w:pPr>
      <w:r w:rsidRPr="009A0B5E">
        <w:rPr>
          <w:noProof/>
          <w:lang w:val="es-MX" w:eastAsia="es-MX"/>
        </w:rPr>
        <w:drawing>
          <wp:inline distT="0" distB="0" distL="0" distR="0" wp14:anchorId="5BE14704" wp14:editId="6C6E5511">
            <wp:extent cx="1931212" cy="1293222"/>
            <wp:effectExtent l="0" t="0" r="0" b="2540"/>
            <wp:docPr id="21568" name="Imagen 2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4489" cy="1308809"/>
                    </a:xfrm>
                    <a:prstGeom prst="rect">
                      <a:avLst/>
                    </a:prstGeom>
                  </pic:spPr>
                </pic:pic>
              </a:graphicData>
            </a:graphic>
          </wp:inline>
        </w:drawing>
      </w:r>
      <w:r w:rsidRPr="009A0B5E">
        <w:rPr>
          <w:noProof/>
          <w:lang w:val="es-MX" w:eastAsia="es-MX"/>
        </w:rPr>
        <w:drawing>
          <wp:inline distT="0" distB="0" distL="0" distR="0" wp14:anchorId="5FC26D9A" wp14:editId="40F393AC">
            <wp:extent cx="967740" cy="1265728"/>
            <wp:effectExtent l="0" t="0" r="3810" b="0"/>
            <wp:docPr id="21569" name="Imagen 2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33" t="2758"/>
                    <a:stretch/>
                  </pic:blipFill>
                  <pic:spPr bwMode="auto">
                    <a:xfrm>
                      <a:off x="0" y="0"/>
                      <a:ext cx="993198" cy="1299026"/>
                    </a:xfrm>
                    <a:prstGeom prst="rect">
                      <a:avLst/>
                    </a:prstGeom>
                    <a:ln>
                      <a:noFill/>
                    </a:ln>
                    <a:extLst>
                      <a:ext uri="{53640926-AAD7-44D8-BBD7-CCE9431645EC}">
                        <a14:shadowObscured xmlns:a14="http://schemas.microsoft.com/office/drawing/2010/main"/>
                      </a:ext>
                    </a:extLst>
                  </pic:spPr>
                </pic:pic>
              </a:graphicData>
            </a:graphic>
          </wp:inline>
        </w:drawing>
      </w:r>
    </w:p>
    <w:p w14:paraId="7C1DF79F" w14:textId="77777777" w:rsidR="00245855" w:rsidRPr="009A0B5E" w:rsidRDefault="00245855" w:rsidP="00245855">
      <w:pPr>
        <w:jc w:val="center"/>
        <w:rPr>
          <w:lang w:eastAsia="en-GB"/>
        </w:rPr>
      </w:pPr>
    </w:p>
    <w:p w14:paraId="24B199AE" w14:textId="77777777" w:rsidR="00245855" w:rsidRPr="009A0B5E" w:rsidRDefault="00245855" w:rsidP="00245855">
      <w:pPr>
        <w:jc w:val="center"/>
        <w:rPr>
          <w:lang w:eastAsia="en-GB"/>
        </w:rPr>
      </w:pPr>
      <w:r w:rsidRPr="009A0B5E">
        <w:rPr>
          <w:noProof/>
          <w:lang w:val="es-MX" w:eastAsia="es-MX"/>
        </w:rPr>
        <w:drawing>
          <wp:anchor distT="0" distB="0" distL="114300" distR="114300" simplePos="0" relativeHeight="251671552" behindDoc="0" locked="0" layoutInCell="1" allowOverlap="1" wp14:anchorId="5B750872" wp14:editId="33D1EAE3">
            <wp:simplePos x="0" y="0"/>
            <wp:positionH relativeFrom="column">
              <wp:posOffset>3557702</wp:posOffset>
            </wp:positionH>
            <wp:positionV relativeFrom="paragraph">
              <wp:posOffset>2413991</wp:posOffset>
            </wp:positionV>
            <wp:extent cx="777012" cy="138988"/>
            <wp:effectExtent l="0" t="0" r="4445" b="0"/>
            <wp:wrapNone/>
            <wp:docPr id="21570" name="Imagen 2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9136" t="30544" r="38968" b="21124"/>
                    <a:stretch/>
                  </pic:blipFill>
                  <pic:spPr bwMode="auto">
                    <a:xfrm>
                      <a:off x="0" y="0"/>
                      <a:ext cx="782850" cy="140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0B5E">
        <w:rPr>
          <w:noProof/>
          <w:lang w:val="es-MX" w:eastAsia="es-MX"/>
        </w:rPr>
        <w:drawing>
          <wp:anchor distT="0" distB="0" distL="114300" distR="114300" simplePos="0" relativeHeight="251670528" behindDoc="0" locked="0" layoutInCell="1" allowOverlap="1" wp14:anchorId="172CC868" wp14:editId="2C10EB44">
            <wp:simplePos x="0" y="0"/>
            <wp:positionH relativeFrom="column">
              <wp:posOffset>3527095</wp:posOffset>
            </wp:positionH>
            <wp:positionV relativeFrom="paragraph">
              <wp:posOffset>0</wp:posOffset>
            </wp:positionV>
            <wp:extent cx="739002" cy="2414016"/>
            <wp:effectExtent l="0" t="0" r="4445" b="5715"/>
            <wp:wrapNone/>
            <wp:docPr id="21571" name="Imagen 2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72" r="4465"/>
                    <a:stretch/>
                  </pic:blipFill>
                  <pic:spPr bwMode="auto">
                    <a:xfrm>
                      <a:off x="0" y="0"/>
                      <a:ext cx="739002"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0B5E">
        <w:rPr>
          <w:noProof/>
          <w:lang w:val="es-MX" w:eastAsia="es-MX"/>
        </w:rPr>
        <w:drawing>
          <wp:inline distT="0" distB="0" distL="0" distR="0" wp14:anchorId="201E4CFF" wp14:editId="457C9C71">
            <wp:extent cx="1536192" cy="2590042"/>
            <wp:effectExtent l="0" t="0" r="6985" b="1270"/>
            <wp:docPr id="21572" name="Imagen 2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98" t="476" r="1"/>
                    <a:stretch/>
                  </pic:blipFill>
                  <pic:spPr bwMode="auto">
                    <a:xfrm>
                      <a:off x="0" y="0"/>
                      <a:ext cx="1565896" cy="2640123"/>
                    </a:xfrm>
                    <a:prstGeom prst="rect">
                      <a:avLst/>
                    </a:prstGeom>
                    <a:ln>
                      <a:noFill/>
                    </a:ln>
                    <a:extLst>
                      <a:ext uri="{53640926-AAD7-44D8-BBD7-CCE9431645EC}">
                        <a14:shadowObscured xmlns:a14="http://schemas.microsoft.com/office/drawing/2010/main"/>
                      </a:ext>
                    </a:extLst>
                  </pic:spPr>
                </pic:pic>
              </a:graphicData>
            </a:graphic>
          </wp:inline>
        </w:drawing>
      </w:r>
    </w:p>
    <w:p w14:paraId="4C61790F" w14:textId="77777777" w:rsidR="00245855" w:rsidRPr="009A0B5E" w:rsidRDefault="00245855" w:rsidP="00245855">
      <w:pPr>
        <w:rPr>
          <w:lang w:eastAsia="en-GB"/>
        </w:rPr>
      </w:pPr>
      <w:r w:rsidRPr="009A0B5E">
        <w:rPr>
          <w:lang w:eastAsia="en-GB"/>
        </w:rPr>
        <w:br w:type="page"/>
      </w:r>
    </w:p>
    <w:p w14:paraId="526E0DEA" w14:textId="77777777" w:rsidR="00245855" w:rsidRPr="009A0B5E" w:rsidRDefault="00245855" w:rsidP="00245855">
      <w:pPr>
        <w:jc w:val="center"/>
        <w:rPr>
          <w:lang w:eastAsia="en-GB"/>
        </w:rPr>
      </w:pPr>
      <w:r w:rsidRPr="009A0B5E">
        <w:rPr>
          <w:noProof/>
          <w:lang w:val="es-MX" w:eastAsia="es-MX"/>
        </w:rPr>
        <w:lastRenderedPageBreak/>
        <w:drawing>
          <wp:inline distT="0" distB="0" distL="0" distR="0" wp14:anchorId="588A71AB" wp14:editId="5237860F">
            <wp:extent cx="4129473" cy="3320013"/>
            <wp:effectExtent l="0" t="0" r="4445" b="0"/>
            <wp:docPr id="21573" name="Imagen 2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89" b="3639"/>
                    <a:stretch/>
                  </pic:blipFill>
                  <pic:spPr bwMode="auto">
                    <a:xfrm>
                      <a:off x="0" y="0"/>
                      <a:ext cx="4148644" cy="3335426"/>
                    </a:xfrm>
                    <a:prstGeom prst="rect">
                      <a:avLst/>
                    </a:prstGeom>
                    <a:ln>
                      <a:noFill/>
                    </a:ln>
                    <a:extLst>
                      <a:ext uri="{53640926-AAD7-44D8-BBD7-CCE9431645EC}">
                        <a14:shadowObscured xmlns:a14="http://schemas.microsoft.com/office/drawing/2010/main"/>
                      </a:ext>
                    </a:extLst>
                  </pic:spPr>
                </pic:pic>
              </a:graphicData>
            </a:graphic>
          </wp:inline>
        </w:drawing>
      </w:r>
    </w:p>
    <w:p w14:paraId="63189F33" w14:textId="77777777" w:rsidR="00245855" w:rsidRPr="009A0B5E" w:rsidRDefault="00245855" w:rsidP="00245855">
      <w:pPr>
        <w:rPr>
          <w:lang w:eastAsia="en-GB"/>
        </w:rPr>
      </w:pPr>
    </w:p>
    <w:p w14:paraId="42A05586" w14:textId="77777777" w:rsidR="00245855" w:rsidRPr="009A0B5E" w:rsidRDefault="00245855" w:rsidP="00245855">
      <w:pPr>
        <w:rPr>
          <w:b/>
          <w:lang w:eastAsia="en-GB"/>
        </w:rPr>
      </w:pPr>
      <w:r w:rsidRPr="009A0B5E">
        <w:rPr>
          <w:b/>
          <w:lang w:eastAsia="en-GB"/>
        </w:rPr>
        <w:t>Batería</w:t>
      </w:r>
    </w:p>
    <w:p w14:paraId="1BFDC209" w14:textId="77777777" w:rsidR="00245855" w:rsidRPr="009A0B5E" w:rsidRDefault="00245855" w:rsidP="00245855">
      <w:pPr>
        <w:rPr>
          <w:lang w:eastAsia="en-GB"/>
        </w:rPr>
      </w:pPr>
    </w:p>
    <w:tbl>
      <w:tblPr>
        <w:tblW w:w="8688" w:type="dxa"/>
        <w:jc w:val="center"/>
        <w:tblCellSpacing w:w="0" w:type="dxa"/>
        <w:tblBorders>
          <w:top w:val="single" w:sz="6" w:space="0" w:color="47677C"/>
          <w:left w:val="single" w:sz="6" w:space="0" w:color="47677C"/>
          <w:bottom w:val="single" w:sz="6" w:space="0" w:color="47677C"/>
          <w:right w:val="single" w:sz="6" w:space="0" w:color="47677C"/>
        </w:tblBorders>
        <w:shd w:val="clear" w:color="auto" w:fill="FFFFFF"/>
        <w:tblCellMar>
          <w:left w:w="0" w:type="dxa"/>
          <w:right w:w="0" w:type="dxa"/>
        </w:tblCellMar>
        <w:tblLook w:val="04A0" w:firstRow="1" w:lastRow="0" w:firstColumn="1" w:lastColumn="0" w:noHBand="0" w:noVBand="1"/>
      </w:tblPr>
      <w:tblGrid>
        <w:gridCol w:w="764"/>
        <w:gridCol w:w="3130"/>
        <w:gridCol w:w="837"/>
        <w:gridCol w:w="1134"/>
        <w:gridCol w:w="604"/>
        <w:gridCol w:w="457"/>
        <w:gridCol w:w="1762"/>
      </w:tblGrid>
      <w:tr w:rsidR="00245855" w:rsidRPr="009A0B5E" w14:paraId="650690A2" w14:textId="77777777" w:rsidTr="00245855">
        <w:trPr>
          <w:trHeight w:val="448"/>
          <w:tblCellSpacing w:w="0" w:type="dxa"/>
          <w:jc w:val="center"/>
        </w:trPr>
        <w:tc>
          <w:tcPr>
            <w:tcW w:w="0" w:type="auto"/>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1098A44" w14:textId="77777777" w:rsidR="00245855" w:rsidRPr="009A0B5E" w:rsidRDefault="00245855" w:rsidP="00245855">
            <w:pPr>
              <w:jc w:val="center"/>
            </w:pPr>
            <w:r w:rsidRPr="009A0B5E">
              <w:t>TIPO</w:t>
            </w:r>
          </w:p>
        </w:tc>
        <w:tc>
          <w:tcPr>
            <w:tcW w:w="3130" w:type="dxa"/>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60A38FC" w14:textId="77777777" w:rsidR="00245855" w:rsidRPr="009A0B5E" w:rsidRDefault="00245855" w:rsidP="00245855">
            <w:pPr>
              <w:jc w:val="center"/>
            </w:pPr>
            <w:r w:rsidRPr="009A0B5E">
              <w:t>Capacidad Ah en C100 a 25º y tensión final del elemento de 1,80V</w:t>
            </w:r>
          </w:p>
        </w:tc>
        <w:tc>
          <w:tcPr>
            <w:tcW w:w="837" w:type="dxa"/>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138CCC7" w14:textId="77777777" w:rsidR="00245855" w:rsidRPr="009A0B5E" w:rsidRDefault="00245855" w:rsidP="00245855">
            <w:pPr>
              <w:jc w:val="center"/>
            </w:pPr>
            <w:r w:rsidRPr="009A0B5E">
              <w:t>Tensión</w:t>
            </w:r>
          </w:p>
        </w:tc>
        <w:tc>
          <w:tcPr>
            <w:tcW w:w="2139" w:type="dxa"/>
            <w:gridSpan w:val="3"/>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B14AEBC" w14:textId="77777777" w:rsidR="00245855" w:rsidRPr="009A0B5E" w:rsidRDefault="00245855" w:rsidP="00245855">
            <w:pPr>
              <w:jc w:val="center"/>
            </w:pPr>
            <w:r w:rsidRPr="009A0B5E">
              <w:t>Dimensiones por elemento (mm)</w:t>
            </w:r>
          </w:p>
        </w:tc>
        <w:tc>
          <w:tcPr>
            <w:tcW w:w="0" w:type="auto"/>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3801DDE" w14:textId="77777777" w:rsidR="00245855" w:rsidRPr="009A0B5E" w:rsidRDefault="00245855" w:rsidP="00245855">
            <w:pPr>
              <w:jc w:val="center"/>
            </w:pPr>
            <w:r w:rsidRPr="009A0B5E">
              <w:t>Peso (kg. pot elemento con ácido)</w:t>
            </w:r>
          </w:p>
        </w:tc>
      </w:tr>
      <w:tr w:rsidR="00245855" w:rsidRPr="009A0B5E" w14:paraId="71EB6A2D" w14:textId="77777777" w:rsidTr="00245855">
        <w:trPr>
          <w:trHeight w:val="228"/>
          <w:tblCellSpacing w:w="0" w:type="dxa"/>
          <w:jc w:val="center"/>
        </w:trPr>
        <w:tc>
          <w:tcPr>
            <w:tcW w:w="0" w:type="auto"/>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7E77F87" w14:textId="77777777" w:rsidR="00245855" w:rsidRPr="009A0B5E" w:rsidRDefault="00245855" w:rsidP="00245855">
            <w:pPr>
              <w:jc w:val="center"/>
            </w:pPr>
          </w:p>
        </w:tc>
        <w:tc>
          <w:tcPr>
            <w:tcW w:w="3130" w:type="dxa"/>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7142E5E" w14:textId="77777777" w:rsidR="00245855" w:rsidRPr="009A0B5E" w:rsidRDefault="00245855" w:rsidP="00245855">
            <w:pPr>
              <w:jc w:val="center"/>
            </w:pPr>
          </w:p>
        </w:tc>
        <w:tc>
          <w:tcPr>
            <w:tcW w:w="837" w:type="dxa"/>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C439B32" w14:textId="77777777" w:rsidR="00245855" w:rsidRPr="009A0B5E" w:rsidRDefault="00245855" w:rsidP="00245855">
            <w:pPr>
              <w:jc w:val="center"/>
            </w:pP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8A5BF34" w14:textId="77777777" w:rsidR="00245855" w:rsidRPr="009A0B5E" w:rsidRDefault="00245855" w:rsidP="00245855">
            <w:pPr>
              <w:jc w:val="center"/>
            </w:pPr>
            <w:r w:rsidRPr="009A0B5E">
              <w:t>Ancho</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9A5196A" w14:textId="77777777" w:rsidR="00245855" w:rsidRPr="009A0B5E" w:rsidRDefault="00245855" w:rsidP="00245855">
            <w:pPr>
              <w:jc w:val="center"/>
            </w:pPr>
            <w:r w:rsidRPr="009A0B5E">
              <w:t>Largo</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DCCC415" w14:textId="77777777" w:rsidR="00245855" w:rsidRPr="009A0B5E" w:rsidRDefault="00245855" w:rsidP="00245855">
            <w:pPr>
              <w:jc w:val="center"/>
            </w:pPr>
            <w:r w:rsidRPr="009A0B5E">
              <w:t>Alto</w:t>
            </w:r>
          </w:p>
        </w:tc>
        <w:tc>
          <w:tcPr>
            <w:tcW w:w="0" w:type="auto"/>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38B4BE5" w14:textId="77777777" w:rsidR="00245855" w:rsidRPr="009A0B5E" w:rsidRDefault="00245855" w:rsidP="00245855">
            <w:pPr>
              <w:jc w:val="center"/>
            </w:pPr>
          </w:p>
        </w:tc>
      </w:tr>
      <w:tr w:rsidR="00245855" w:rsidRPr="009A0B5E" w14:paraId="70BDABD9" w14:textId="77777777" w:rsidTr="00245855">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F554651" w14:textId="77777777" w:rsidR="00245855" w:rsidRPr="009A0B5E" w:rsidRDefault="00245855" w:rsidP="00245855">
            <w:pPr>
              <w:jc w:val="center"/>
            </w:pPr>
            <w:r w:rsidRPr="009A0B5E">
              <w:t>EW75</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57788F0" w14:textId="77777777" w:rsidR="00245855" w:rsidRPr="009A0B5E" w:rsidRDefault="00245855" w:rsidP="00245855">
            <w:pPr>
              <w:jc w:val="center"/>
            </w:pPr>
            <w:r w:rsidRPr="009A0B5E">
              <w:t>85</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5CD2E3D" w14:textId="77777777" w:rsidR="00245855" w:rsidRPr="009A0B5E" w:rsidRDefault="00245855" w:rsidP="00245855">
            <w:pPr>
              <w:jc w:val="center"/>
            </w:pPr>
            <w:r w:rsidRPr="009A0B5E">
              <w:t>12 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B73A5D6" w14:textId="77777777" w:rsidR="00245855" w:rsidRPr="009A0B5E" w:rsidRDefault="00245855" w:rsidP="00245855">
            <w:pPr>
              <w:jc w:val="center"/>
            </w:pPr>
            <w:r w:rsidRPr="009A0B5E">
              <w:t>275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EADEE1D" w14:textId="77777777" w:rsidR="00245855" w:rsidRPr="009A0B5E" w:rsidRDefault="00245855" w:rsidP="00245855">
            <w:pPr>
              <w:jc w:val="center"/>
            </w:pPr>
            <w:r w:rsidRPr="009A0B5E">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194B39E" w14:textId="77777777" w:rsidR="00245855" w:rsidRPr="009A0B5E" w:rsidRDefault="00245855" w:rsidP="00245855">
            <w:pPr>
              <w:jc w:val="center"/>
            </w:pPr>
            <w:r w:rsidRPr="009A0B5E">
              <w:t>190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0BB6926" w14:textId="77777777" w:rsidR="00245855" w:rsidRPr="009A0B5E" w:rsidRDefault="00245855" w:rsidP="00245855">
            <w:pPr>
              <w:jc w:val="center"/>
            </w:pPr>
            <w:r w:rsidRPr="009A0B5E">
              <w:t>20,7</w:t>
            </w:r>
          </w:p>
        </w:tc>
      </w:tr>
      <w:tr w:rsidR="00245855" w:rsidRPr="009A0B5E" w14:paraId="06F8BA87" w14:textId="77777777" w:rsidTr="00245855">
        <w:trPr>
          <w:trHeight w:val="202"/>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7768F5B" w14:textId="77777777" w:rsidR="00245855" w:rsidRPr="009A0B5E" w:rsidRDefault="00245855" w:rsidP="00245855">
            <w:pPr>
              <w:jc w:val="center"/>
              <w:rPr>
                <w:highlight w:val="yellow"/>
              </w:rPr>
            </w:pPr>
            <w:r w:rsidRPr="009A0B5E">
              <w:rPr>
                <w:highlight w:val="yellow"/>
              </w:rPr>
              <w:t>EW90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A6662B5" w14:textId="77777777" w:rsidR="00245855" w:rsidRPr="009A0B5E" w:rsidRDefault="00245855" w:rsidP="00245855">
            <w:pPr>
              <w:jc w:val="center"/>
              <w:rPr>
                <w:highlight w:val="yellow"/>
              </w:rPr>
            </w:pPr>
            <w:r w:rsidRPr="009A0B5E">
              <w:rPr>
                <w:highlight w:val="yellow"/>
              </w:rPr>
              <w:t>100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4E5B2FD" w14:textId="77777777" w:rsidR="00245855" w:rsidRPr="009A0B5E" w:rsidRDefault="00245855" w:rsidP="00245855">
            <w:pPr>
              <w:jc w:val="center"/>
              <w:rPr>
                <w:highlight w:val="yellow"/>
              </w:rPr>
            </w:pPr>
            <w:r w:rsidRPr="009A0B5E">
              <w:rPr>
                <w:highlight w:val="yellow"/>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B1069B5" w14:textId="77777777" w:rsidR="00245855" w:rsidRPr="009A0B5E" w:rsidRDefault="00245855" w:rsidP="00245855">
            <w:pPr>
              <w:jc w:val="center"/>
              <w:rPr>
                <w:highlight w:val="yellow"/>
              </w:rPr>
            </w:pPr>
            <w:r w:rsidRPr="009A0B5E">
              <w:rPr>
                <w:highlight w:val="yellow"/>
              </w:rPr>
              <w:t>353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FB3F767" w14:textId="77777777" w:rsidR="00245855" w:rsidRPr="009A0B5E" w:rsidRDefault="00245855" w:rsidP="00245855">
            <w:pPr>
              <w:jc w:val="center"/>
              <w:rPr>
                <w:highlight w:val="yellow"/>
              </w:rPr>
            </w:pPr>
            <w:r w:rsidRPr="009A0B5E">
              <w:rPr>
                <w:highlight w:val="yellow"/>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6272288" w14:textId="77777777" w:rsidR="00245855" w:rsidRPr="009A0B5E" w:rsidRDefault="00245855" w:rsidP="00245855">
            <w:pPr>
              <w:jc w:val="center"/>
              <w:rPr>
                <w:highlight w:val="yellow"/>
              </w:rPr>
            </w:pPr>
            <w:r w:rsidRPr="009A0B5E">
              <w:rPr>
                <w:highlight w:val="yellow"/>
              </w:rPr>
              <w:t>190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6647566" w14:textId="77777777" w:rsidR="00245855" w:rsidRPr="009A0B5E" w:rsidRDefault="00245855" w:rsidP="00245855">
            <w:pPr>
              <w:jc w:val="center"/>
              <w:rPr>
                <w:highlight w:val="yellow"/>
              </w:rPr>
            </w:pPr>
            <w:r w:rsidRPr="009A0B5E">
              <w:rPr>
                <w:highlight w:val="yellow"/>
              </w:rPr>
              <w:t>26,1</w:t>
            </w:r>
          </w:p>
        </w:tc>
      </w:tr>
      <w:tr w:rsidR="00245855" w:rsidRPr="009A0B5E" w14:paraId="58F6D363" w14:textId="77777777" w:rsidTr="00245855">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F1872E3" w14:textId="77777777" w:rsidR="00245855" w:rsidRPr="009A0B5E" w:rsidRDefault="00245855" w:rsidP="00245855">
            <w:pPr>
              <w:jc w:val="center"/>
            </w:pPr>
            <w:r w:rsidRPr="009A0B5E">
              <w:t>EW100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7FC1787" w14:textId="77777777" w:rsidR="00245855" w:rsidRPr="009A0B5E" w:rsidRDefault="00245855" w:rsidP="00245855">
            <w:pPr>
              <w:jc w:val="center"/>
            </w:pPr>
            <w:r w:rsidRPr="009A0B5E">
              <w:t>110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D1F5E33" w14:textId="77777777" w:rsidR="00245855" w:rsidRPr="009A0B5E" w:rsidRDefault="00245855" w:rsidP="00245855">
            <w:pPr>
              <w:jc w:val="center"/>
            </w:pPr>
            <w:r w:rsidRPr="009A0B5E">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76DA14C" w14:textId="77777777" w:rsidR="00245855" w:rsidRPr="009A0B5E" w:rsidRDefault="00245855" w:rsidP="00245855">
            <w:pPr>
              <w:jc w:val="center"/>
            </w:pPr>
            <w:r w:rsidRPr="009A0B5E">
              <w:t>309</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3D1A11F" w14:textId="77777777" w:rsidR="00245855" w:rsidRPr="009A0B5E" w:rsidRDefault="00245855" w:rsidP="00245855">
            <w:pPr>
              <w:jc w:val="center"/>
            </w:pPr>
            <w:r w:rsidRPr="009A0B5E">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C1F0B28" w14:textId="77777777" w:rsidR="00245855" w:rsidRPr="009A0B5E" w:rsidRDefault="00245855" w:rsidP="00245855">
            <w:pPr>
              <w:jc w:val="center"/>
            </w:pPr>
            <w:r w:rsidRPr="009A0B5E">
              <w:t>215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DFC091F" w14:textId="77777777" w:rsidR="00245855" w:rsidRPr="009A0B5E" w:rsidRDefault="00245855" w:rsidP="00245855">
            <w:pPr>
              <w:jc w:val="center"/>
            </w:pPr>
            <w:r w:rsidRPr="009A0B5E">
              <w:t>27,9</w:t>
            </w:r>
          </w:p>
        </w:tc>
      </w:tr>
      <w:tr w:rsidR="00245855" w:rsidRPr="009A0B5E" w14:paraId="53C32788" w14:textId="77777777" w:rsidTr="00245855">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01850BD" w14:textId="77777777" w:rsidR="00245855" w:rsidRPr="009A0B5E" w:rsidRDefault="00245855" w:rsidP="00245855">
            <w:pPr>
              <w:jc w:val="center"/>
            </w:pPr>
            <w:r w:rsidRPr="009A0B5E">
              <w:t>EW140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FDE18FD" w14:textId="77777777" w:rsidR="00245855" w:rsidRPr="009A0B5E" w:rsidRDefault="00245855" w:rsidP="00245855">
            <w:pPr>
              <w:jc w:val="center"/>
            </w:pPr>
            <w:r w:rsidRPr="009A0B5E">
              <w:t>155</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6714979" w14:textId="77777777" w:rsidR="00245855" w:rsidRPr="009A0B5E" w:rsidRDefault="00245855" w:rsidP="00245855">
            <w:pPr>
              <w:jc w:val="center"/>
            </w:pPr>
            <w:r w:rsidRPr="009A0B5E">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31C7D33" w14:textId="77777777" w:rsidR="00245855" w:rsidRPr="009A0B5E" w:rsidRDefault="00245855" w:rsidP="00245855">
            <w:pPr>
              <w:jc w:val="center"/>
            </w:pPr>
            <w:r w:rsidRPr="009A0B5E">
              <w:t>510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6FBE9FE" w14:textId="77777777" w:rsidR="00245855" w:rsidRPr="009A0B5E" w:rsidRDefault="00245855" w:rsidP="00245855">
            <w:pPr>
              <w:jc w:val="center"/>
            </w:pPr>
            <w:r w:rsidRPr="009A0B5E">
              <w:t>189</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94C6E4C" w14:textId="77777777" w:rsidR="00245855" w:rsidRPr="009A0B5E" w:rsidRDefault="00245855" w:rsidP="00245855">
            <w:pPr>
              <w:jc w:val="center"/>
            </w:pPr>
            <w:r w:rsidRPr="009A0B5E">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43015DA" w14:textId="77777777" w:rsidR="00245855" w:rsidRPr="009A0B5E" w:rsidRDefault="00245855" w:rsidP="00245855">
            <w:pPr>
              <w:jc w:val="center"/>
            </w:pPr>
            <w:r w:rsidRPr="009A0B5E">
              <w:t>41,4</w:t>
            </w:r>
          </w:p>
        </w:tc>
      </w:tr>
      <w:tr w:rsidR="00245855" w:rsidRPr="009A0B5E" w14:paraId="7160F37F" w14:textId="77777777" w:rsidTr="00245855">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0D0765C" w14:textId="77777777" w:rsidR="00245855" w:rsidRPr="009A0B5E" w:rsidRDefault="00245855" w:rsidP="00245855">
            <w:pPr>
              <w:jc w:val="center"/>
            </w:pPr>
            <w:r w:rsidRPr="009A0B5E">
              <w:t>EW180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85954C1" w14:textId="77777777" w:rsidR="00245855" w:rsidRPr="009A0B5E" w:rsidRDefault="00245855" w:rsidP="00245855">
            <w:pPr>
              <w:jc w:val="center"/>
            </w:pPr>
            <w:r w:rsidRPr="009A0B5E">
              <w:t>200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61545D4" w14:textId="77777777" w:rsidR="00245855" w:rsidRPr="009A0B5E" w:rsidRDefault="00245855" w:rsidP="00245855">
            <w:pPr>
              <w:jc w:val="center"/>
            </w:pPr>
            <w:r w:rsidRPr="009A0B5E">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924D9E4" w14:textId="77777777" w:rsidR="00245855" w:rsidRPr="009A0B5E" w:rsidRDefault="00245855" w:rsidP="00245855">
            <w:pPr>
              <w:jc w:val="center"/>
            </w:pPr>
            <w:r w:rsidRPr="009A0B5E">
              <w:t>513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5C7CDAF" w14:textId="77777777" w:rsidR="00245855" w:rsidRPr="009A0B5E" w:rsidRDefault="00245855" w:rsidP="00245855">
            <w:pPr>
              <w:jc w:val="center"/>
            </w:pPr>
            <w:r w:rsidRPr="009A0B5E">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D2A5B7C" w14:textId="77777777" w:rsidR="00245855" w:rsidRPr="009A0B5E" w:rsidRDefault="00245855" w:rsidP="00245855">
            <w:pPr>
              <w:jc w:val="center"/>
            </w:pPr>
            <w:r w:rsidRPr="009A0B5E">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D0484A1" w14:textId="77777777" w:rsidR="00245855" w:rsidRPr="009A0B5E" w:rsidRDefault="00245855" w:rsidP="00245855">
            <w:pPr>
              <w:jc w:val="center"/>
            </w:pPr>
            <w:r w:rsidRPr="009A0B5E">
              <w:t>49,1</w:t>
            </w:r>
          </w:p>
        </w:tc>
      </w:tr>
      <w:tr w:rsidR="00245855" w:rsidRPr="009A0B5E" w14:paraId="186A379C" w14:textId="77777777" w:rsidTr="00245855">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F6A3544" w14:textId="77777777" w:rsidR="00245855" w:rsidRPr="009A0B5E" w:rsidRDefault="00245855" w:rsidP="00245855">
            <w:pPr>
              <w:jc w:val="center"/>
            </w:pPr>
            <w:r w:rsidRPr="009A0B5E">
              <w:t>EW230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88A3B5C" w14:textId="77777777" w:rsidR="00245855" w:rsidRPr="009A0B5E" w:rsidRDefault="00245855" w:rsidP="00245855">
            <w:pPr>
              <w:jc w:val="center"/>
            </w:pPr>
            <w:r w:rsidRPr="009A0B5E">
              <w:t>260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A14011B" w14:textId="77777777" w:rsidR="00245855" w:rsidRPr="009A0B5E" w:rsidRDefault="00245855" w:rsidP="00245855">
            <w:pPr>
              <w:jc w:val="center"/>
            </w:pPr>
            <w:r w:rsidRPr="009A0B5E">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C7B23A1" w14:textId="77777777" w:rsidR="00245855" w:rsidRPr="009A0B5E" w:rsidRDefault="00245855" w:rsidP="00245855">
            <w:pPr>
              <w:jc w:val="center"/>
            </w:pPr>
            <w:r w:rsidRPr="009A0B5E">
              <w:t>518</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B12A184" w14:textId="77777777" w:rsidR="00245855" w:rsidRPr="009A0B5E" w:rsidRDefault="00245855" w:rsidP="00245855">
            <w:pPr>
              <w:jc w:val="center"/>
            </w:pPr>
            <w:r w:rsidRPr="009A0B5E">
              <w:t>273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4CB3079" w14:textId="77777777" w:rsidR="00245855" w:rsidRPr="009A0B5E" w:rsidRDefault="00245855" w:rsidP="00245855">
            <w:pPr>
              <w:jc w:val="center"/>
            </w:pPr>
            <w:r w:rsidRPr="009A0B5E">
              <w:t>240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20F84E6" w14:textId="77777777" w:rsidR="00245855" w:rsidRPr="009A0B5E" w:rsidRDefault="00245855" w:rsidP="00245855">
            <w:pPr>
              <w:jc w:val="center"/>
            </w:pPr>
            <w:r w:rsidRPr="009A0B5E">
              <w:t>64,4</w:t>
            </w:r>
          </w:p>
        </w:tc>
      </w:tr>
    </w:tbl>
    <w:p w14:paraId="3DE41D29" w14:textId="77777777" w:rsidR="00245855" w:rsidRPr="009A0B5E" w:rsidRDefault="00245855" w:rsidP="00245855">
      <w:pPr>
        <w:jc w:val="center"/>
        <w:rPr>
          <w:lang w:eastAsia="en-GB"/>
        </w:rPr>
      </w:pPr>
    </w:p>
    <w:p w14:paraId="733F7E4A" w14:textId="77777777" w:rsidR="00245855" w:rsidRPr="009A0B5E" w:rsidRDefault="00245855" w:rsidP="00245855"/>
    <w:p w14:paraId="65DCD943" w14:textId="77777777" w:rsidR="00245855" w:rsidRPr="009A0B5E" w:rsidRDefault="00245855" w:rsidP="00245855"/>
    <w:p w14:paraId="6487CD42" w14:textId="77777777" w:rsidR="00245855" w:rsidRPr="009A0B5E" w:rsidRDefault="00245855" w:rsidP="00245855"/>
    <w:p w14:paraId="48DA48B9" w14:textId="77777777" w:rsidR="00003780" w:rsidRDefault="00003780" w:rsidP="000C6174">
      <w:pPr>
        <w:jc w:val="center"/>
        <w:rPr>
          <w:rFonts w:asciiTheme="minorHAnsi" w:hAnsiTheme="minorHAnsi"/>
          <w:b/>
          <w:color w:val="000000" w:themeColor="text1"/>
          <w:sz w:val="28"/>
          <w:szCs w:val="24"/>
          <w:lang w:val="es-MX"/>
        </w:rPr>
      </w:pPr>
    </w:p>
    <w:p w14:paraId="7924C2B0" w14:textId="77777777" w:rsidR="00003780" w:rsidRDefault="00003780" w:rsidP="000C6174">
      <w:pPr>
        <w:jc w:val="center"/>
        <w:rPr>
          <w:rFonts w:asciiTheme="minorHAnsi" w:hAnsiTheme="minorHAnsi"/>
          <w:b/>
          <w:color w:val="000000" w:themeColor="text1"/>
          <w:sz w:val="28"/>
          <w:szCs w:val="24"/>
          <w:lang w:val="es-MX"/>
        </w:rPr>
      </w:pPr>
    </w:p>
    <w:p w14:paraId="124DBFD8" w14:textId="77777777" w:rsidR="00003780" w:rsidRDefault="00003780" w:rsidP="000C6174">
      <w:pPr>
        <w:jc w:val="center"/>
        <w:rPr>
          <w:rFonts w:asciiTheme="minorHAnsi" w:hAnsiTheme="minorHAnsi"/>
          <w:b/>
          <w:color w:val="000000" w:themeColor="text1"/>
          <w:sz w:val="28"/>
          <w:szCs w:val="24"/>
          <w:lang w:val="es-MX"/>
        </w:rPr>
      </w:pPr>
    </w:p>
    <w:p w14:paraId="4BC57625" w14:textId="77777777" w:rsidR="00003780" w:rsidRDefault="00003780" w:rsidP="000C6174">
      <w:pPr>
        <w:jc w:val="center"/>
        <w:rPr>
          <w:rFonts w:asciiTheme="minorHAnsi" w:hAnsiTheme="minorHAnsi"/>
          <w:b/>
          <w:color w:val="000000" w:themeColor="text1"/>
          <w:sz w:val="28"/>
          <w:szCs w:val="24"/>
          <w:lang w:val="es-MX"/>
        </w:rPr>
      </w:pPr>
    </w:p>
    <w:p w14:paraId="71523784" w14:textId="77777777" w:rsidR="00003780" w:rsidRDefault="00003780" w:rsidP="000C6174">
      <w:pPr>
        <w:jc w:val="center"/>
        <w:rPr>
          <w:rFonts w:asciiTheme="minorHAnsi" w:hAnsiTheme="minorHAnsi"/>
          <w:b/>
          <w:color w:val="000000" w:themeColor="text1"/>
          <w:sz w:val="28"/>
          <w:szCs w:val="24"/>
          <w:lang w:val="es-MX"/>
        </w:rPr>
      </w:pPr>
    </w:p>
    <w:p w14:paraId="7A28A721" w14:textId="77777777" w:rsidR="00003780" w:rsidRDefault="00003780" w:rsidP="000C6174">
      <w:pPr>
        <w:jc w:val="center"/>
        <w:rPr>
          <w:rFonts w:asciiTheme="minorHAnsi" w:hAnsiTheme="minorHAnsi"/>
          <w:b/>
          <w:color w:val="000000" w:themeColor="text1"/>
          <w:sz w:val="28"/>
          <w:szCs w:val="24"/>
          <w:lang w:val="es-MX"/>
        </w:rPr>
      </w:pPr>
    </w:p>
    <w:p w14:paraId="04A097A6" w14:textId="77777777" w:rsidR="00003780" w:rsidRDefault="00003780" w:rsidP="000C6174">
      <w:pPr>
        <w:jc w:val="center"/>
        <w:rPr>
          <w:rFonts w:asciiTheme="minorHAnsi" w:hAnsiTheme="minorHAnsi"/>
          <w:b/>
          <w:color w:val="000000" w:themeColor="text1"/>
          <w:sz w:val="28"/>
          <w:szCs w:val="24"/>
          <w:lang w:val="es-MX"/>
        </w:rPr>
      </w:pPr>
    </w:p>
    <w:p w14:paraId="1FE67C1F" w14:textId="77777777" w:rsidR="00003780" w:rsidRDefault="00003780" w:rsidP="000C6174">
      <w:pPr>
        <w:jc w:val="center"/>
        <w:rPr>
          <w:rFonts w:asciiTheme="minorHAnsi" w:hAnsiTheme="minorHAnsi"/>
          <w:b/>
          <w:color w:val="000000" w:themeColor="text1"/>
          <w:sz w:val="28"/>
          <w:szCs w:val="24"/>
          <w:lang w:val="es-MX"/>
        </w:rPr>
      </w:pPr>
    </w:p>
    <w:p w14:paraId="6834694E" w14:textId="77777777" w:rsidR="00245855" w:rsidRPr="00131669" w:rsidRDefault="00245855" w:rsidP="00245855">
      <w:pPr>
        <w:spacing w:line="276" w:lineRule="auto"/>
        <w:contextualSpacing/>
        <w:jc w:val="center"/>
        <w:rPr>
          <w:rFonts w:ascii="Calibri" w:hAnsi="Calibri" w:cs="Calibri"/>
          <w:b/>
          <w:szCs w:val="24"/>
          <w:highlight w:val="yellow"/>
        </w:rPr>
      </w:pPr>
      <w:r w:rsidRPr="00131669">
        <w:rPr>
          <w:rFonts w:ascii="Calibri" w:hAnsi="Calibri" w:cs="Calibri"/>
          <w:b/>
          <w:szCs w:val="24"/>
          <w:highlight w:val="yellow"/>
        </w:rPr>
        <w:lastRenderedPageBreak/>
        <w:t>INSTRUCCIONES ADICIONALES AL CONTRATISTA</w:t>
      </w:r>
    </w:p>
    <w:p w14:paraId="3DB8D072" w14:textId="77777777" w:rsidR="00245855" w:rsidRPr="00775A95" w:rsidRDefault="00245855" w:rsidP="00245855">
      <w:pPr>
        <w:spacing w:line="276" w:lineRule="auto"/>
        <w:contextualSpacing/>
        <w:rPr>
          <w:rFonts w:ascii="Calibri" w:hAnsi="Calibri" w:cs="Calibri"/>
          <w:b/>
        </w:rPr>
      </w:pPr>
      <w:r w:rsidRPr="00131669">
        <w:rPr>
          <w:rFonts w:ascii="Calibri" w:hAnsi="Calibri" w:cs="Calibri"/>
          <w:b/>
          <w:highlight w:val="yellow"/>
        </w:rPr>
        <w:t>Agua Y Saneamiento Comunidad Bálsamo Abajo (lote 4)</w:t>
      </w:r>
    </w:p>
    <w:p w14:paraId="76216999" w14:textId="77777777" w:rsidR="00245855" w:rsidRPr="00775A95" w:rsidRDefault="00245855" w:rsidP="00245855">
      <w:pPr>
        <w:spacing w:line="276" w:lineRule="auto"/>
        <w:contextualSpacing/>
        <w:rPr>
          <w:rFonts w:ascii="Calibri" w:hAnsi="Calibri" w:cs="Calibri"/>
          <w:b/>
        </w:rPr>
      </w:pPr>
    </w:p>
    <w:p w14:paraId="7ADCF7A8" w14:textId="77777777" w:rsidR="00245855" w:rsidRPr="00775A95" w:rsidRDefault="00245855" w:rsidP="00245855">
      <w:pPr>
        <w:pStyle w:val="Prrafodelista"/>
        <w:spacing w:line="276" w:lineRule="auto"/>
        <w:ind w:left="284"/>
        <w:rPr>
          <w:rFonts w:ascii="Calibri" w:hAnsi="Calibri" w:cs="Calibri"/>
          <w:lang w:val="es-NI"/>
        </w:rPr>
      </w:pPr>
    </w:p>
    <w:p w14:paraId="0A15E996" w14:textId="77777777" w:rsidR="00245855" w:rsidRDefault="00245855" w:rsidP="00245855">
      <w:pPr>
        <w:pStyle w:val="Prrafodelista"/>
        <w:numPr>
          <w:ilvl w:val="0"/>
          <w:numId w:val="206"/>
        </w:numPr>
        <w:spacing w:after="160" w:line="259" w:lineRule="auto"/>
        <w:ind w:left="426"/>
        <w:contextualSpacing/>
        <w:rPr>
          <w:rFonts w:cstheme="minorHAnsi"/>
        </w:rPr>
      </w:pPr>
      <w:r w:rsidRPr="00C55742">
        <w:rPr>
          <w:rFonts w:cstheme="minorHAnsi"/>
        </w:rPr>
        <w:t>Los oferentes deberán de realizar la visita al sitio del proyecto la cual es de carácter obligatorio, para verificar las condiciones actuales, de encontrar inconsistencia entre los documentos contractuales, debe de hacer las consultas en el periodo de tiempo estipulado en el documento base de licitación para su debida aclaración.</w:t>
      </w:r>
    </w:p>
    <w:p w14:paraId="05AED538" w14:textId="77777777" w:rsidR="00245855" w:rsidRDefault="00245855" w:rsidP="00245855">
      <w:pPr>
        <w:pStyle w:val="Prrafodelista"/>
        <w:ind w:left="426"/>
        <w:rPr>
          <w:rFonts w:cstheme="minorHAnsi"/>
        </w:rPr>
      </w:pPr>
    </w:p>
    <w:p w14:paraId="1F3681E3" w14:textId="77777777" w:rsidR="00245855" w:rsidRPr="0048094E" w:rsidRDefault="00245855" w:rsidP="00245855">
      <w:pPr>
        <w:pStyle w:val="Prrafodelista"/>
        <w:numPr>
          <w:ilvl w:val="0"/>
          <w:numId w:val="206"/>
        </w:numPr>
        <w:spacing w:after="160" w:line="259" w:lineRule="auto"/>
        <w:ind w:left="426"/>
        <w:contextualSpacing/>
        <w:rPr>
          <w:rFonts w:cstheme="minorHAnsi"/>
        </w:rPr>
      </w:pPr>
      <w:r w:rsidRPr="0048094E">
        <w:rPr>
          <w:rFonts w:cstheme="minorHAnsi"/>
        </w:rPr>
        <w:t xml:space="preserve">El contratista debe de incluir en sus costos todos los controles de calidad tales como, pruebas de estanqueidad en tanques, pruebas de resistencia del concreto, pruebas de compactación, pruebas de revenimiento, desinfección de tubería indicados en las especificaciones técnicas. además, incluirá la señalización para prevención de accidentes (cintas rótulos, barreras, etc), lo mismo que los implementos de seguridad para el personal (casco, Chalecos, guantes, etc). </w:t>
      </w:r>
    </w:p>
    <w:p w14:paraId="0921B251" w14:textId="77777777" w:rsidR="00245855" w:rsidRPr="00C55742" w:rsidRDefault="00245855" w:rsidP="00245855">
      <w:pPr>
        <w:pStyle w:val="Prrafodelista"/>
        <w:ind w:left="709"/>
        <w:rPr>
          <w:rFonts w:cstheme="minorHAnsi"/>
        </w:rPr>
      </w:pPr>
    </w:p>
    <w:p w14:paraId="6CC28086"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En caso de que existan contradicciones en los planos y especificaciones técnicas, el Ingeniero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 dueño.</w:t>
      </w:r>
    </w:p>
    <w:p w14:paraId="7CC9903C" w14:textId="77777777" w:rsidR="00245855" w:rsidRPr="00775A95" w:rsidRDefault="00245855" w:rsidP="00245855">
      <w:pPr>
        <w:pStyle w:val="Prrafodelista"/>
        <w:spacing w:line="276" w:lineRule="auto"/>
        <w:ind w:left="284"/>
        <w:rPr>
          <w:rFonts w:ascii="Calibri" w:hAnsi="Calibri" w:cs="Calibri"/>
          <w:lang w:val="es-NI"/>
        </w:rPr>
      </w:pPr>
    </w:p>
    <w:p w14:paraId="5BAF3BDD"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no tomará ventaja con cualquier contradicción que hubiere en los planos y en las especificaciones, en este caso el supervisor decidirá la manera más técnica de resolver el caso a favor de la buena ejecución de la obra.</w:t>
      </w:r>
    </w:p>
    <w:p w14:paraId="6C98870B" w14:textId="77777777" w:rsidR="00245855" w:rsidRPr="00775A95" w:rsidRDefault="00245855" w:rsidP="00245855">
      <w:pPr>
        <w:pStyle w:val="Prrafodelista"/>
        <w:spacing w:line="276" w:lineRule="auto"/>
        <w:ind w:left="284"/>
        <w:rPr>
          <w:rFonts w:ascii="Calibri" w:hAnsi="Calibri" w:cs="Calibri"/>
          <w:lang w:val="es-NI"/>
        </w:rPr>
      </w:pPr>
    </w:p>
    <w:p w14:paraId="32819135"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Para evitar estos daños, debe prevenirlos con señales adecuadas, en zanjas con señales luminosas (sean con iluminación mecánica o mechones) estas se encenderán cuando no haya personal trabajando, y cuando no haya visibilidad por oscuridad apangándolas cuando se inicien los trabajos o cuando sea de día.   </w:t>
      </w:r>
    </w:p>
    <w:p w14:paraId="2FAC5A6C" w14:textId="77777777" w:rsidR="00245855" w:rsidRPr="00775A95" w:rsidRDefault="00245855" w:rsidP="00245855">
      <w:pPr>
        <w:pStyle w:val="Prrafodelista"/>
        <w:spacing w:line="276" w:lineRule="auto"/>
        <w:ind w:left="284"/>
        <w:rPr>
          <w:rFonts w:ascii="Calibri" w:hAnsi="Calibri" w:cs="Calibri"/>
          <w:lang w:val="es-NI"/>
        </w:rPr>
      </w:pPr>
    </w:p>
    <w:p w14:paraId="0215B59C"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 xml:space="preserve">Además, pondrán señales de prevención con rótulos y letreros que indiquen que hay obreros trabajando. En el caso de la construcción sean edificios se protegerán con cercas provisionales los frentes de las áreas de los predios, para protección de los peatones que transiten por el </w:t>
      </w:r>
      <w:r w:rsidRPr="00775A95">
        <w:rPr>
          <w:rFonts w:ascii="Calibri" w:hAnsi="Calibri" w:cs="Calibri"/>
          <w:lang w:val="es-NI"/>
        </w:rPr>
        <w:lastRenderedPageBreak/>
        <w:t>lugar.  Estas cercas deben de construirse antes de empezar los trabajos y dar seguridad tanto a los obreros como a los peatones.</w:t>
      </w:r>
    </w:p>
    <w:p w14:paraId="15E4C305" w14:textId="77777777" w:rsidR="00245855" w:rsidRPr="00775A95" w:rsidRDefault="00245855" w:rsidP="00245855">
      <w:pPr>
        <w:pStyle w:val="Prrafodelista"/>
        <w:spacing w:line="276" w:lineRule="auto"/>
        <w:ind w:left="284"/>
        <w:rPr>
          <w:rFonts w:ascii="Calibri" w:hAnsi="Calibri" w:cs="Calibri"/>
          <w:lang w:val="es-NI"/>
        </w:rPr>
      </w:pPr>
    </w:p>
    <w:p w14:paraId="041A43C8"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desechos, estos se tienen que botar en los botaderos municipales, siempre y cuando no queden en la orilla de caminos y carreteras, en este caso el lugar lo decidirá el supervisor tomando el consentimiento de la Alcaldía municipal.</w:t>
      </w:r>
    </w:p>
    <w:p w14:paraId="7EA6F32B" w14:textId="77777777" w:rsidR="00245855" w:rsidRPr="00775A95" w:rsidRDefault="00245855" w:rsidP="00245855">
      <w:pPr>
        <w:pStyle w:val="Prrafodelista"/>
        <w:spacing w:line="276" w:lineRule="auto"/>
        <w:ind w:left="284"/>
        <w:rPr>
          <w:rFonts w:ascii="Calibri" w:hAnsi="Calibri" w:cs="Calibri"/>
          <w:lang w:val="es-NI"/>
        </w:rPr>
      </w:pPr>
    </w:p>
    <w:p w14:paraId="65CBBC91"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rPr>
      </w:pPr>
      <w:r w:rsidRPr="00775A95">
        <w:rPr>
          <w:rFonts w:ascii="Calibri" w:hAnsi="Calibri" w:cs="Calibri"/>
          <w:lang w:val="es-NI"/>
        </w:rPr>
        <w:t>El contratista es responsable por daños de infraestructuras existentes, calles, andenes, tuberías, etc.</w:t>
      </w:r>
    </w:p>
    <w:p w14:paraId="540E01EF" w14:textId="77777777" w:rsidR="00245855" w:rsidRPr="00775A95" w:rsidRDefault="00245855" w:rsidP="00245855">
      <w:pPr>
        <w:pStyle w:val="Prrafodelista"/>
        <w:spacing w:line="276" w:lineRule="auto"/>
        <w:ind w:left="284"/>
        <w:rPr>
          <w:rFonts w:ascii="Calibri" w:hAnsi="Calibri" w:cs="Calibri"/>
        </w:rPr>
      </w:pPr>
    </w:p>
    <w:p w14:paraId="386CFFF2"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debe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w:t>
      </w:r>
    </w:p>
    <w:p w14:paraId="48A3C3C0" w14:textId="77777777" w:rsidR="00245855" w:rsidRPr="00775A95" w:rsidRDefault="00245855" w:rsidP="00245855">
      <w:pPr>
        <w:pStyle w:val="Prrafodelista"/>
        <w:spacing w:line="276" w:lineRule="auto"/>
        <w:ind w:left="284"/>
        <w:rPr>
          <w:rFonts w:ascii="Calibri" w:hAnsi="Calibri" w:cs="Calibri"/>
          <w:lang w:val="es-NI"/>
        </w:rPr>
      </w:pPr>
    </w:p>
    <w:p w14:paraId="4D99789D"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debe identificar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13B4ED0A" w14:textId="77777777" w:rsidR="00245855" w:rsidRPr="00775A95" w:rsidRDefault="00245855" w:rsidP="00245855">
      <w:pPr>
        <w:pStyle w:val="Prrafodelista"/>
        <w:spacing w:line="276" w:lineRule="auto"/>
        <w:ind w:left="284"/>
        <w:rPr>
          <w:rFonts w:ascii="Calibri" w:hAnsi="Calibri" w:cs="Calibri"/>
          <w:lang w:val="es-NI"/>
        </w:rPr>
      </w:pPr>
    </w:p>
    <w:p w14:paraId="1EF64F7C"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debe leer y prestar especial atención a lo establecido en el Informe de Investigación de Zona de Obras, en las especificaciones ambientales generales, en las especificaciones técnicas generales y especificaciones técnicas particulares, de las características tecnológicas (catálogos) y cotizaciones de equipos, tuberías, y demás instalaciones a establecerse, adjuntas en las especificaciones técnicas que forman parte de los documentos contractuales, para:</w:t>
      </w:r>
    </w:p>
    <w:p w14:paraId="6A53FA06" w14:textId="77777777" w:rsidR="00245855" w:rsidRPr="00775A95" w:rsidRDefault="00245855" w:rsidP="00245855">
      <w:pPr>
        <w:pStyle w:val="Prrafodelista"/>
        <w:spacing w:line="276" w:lineRule="auto"/>
        <w:ind w:left="284"/>
        <w:rPr>
          <w:rFonts w:ascii="Calibri" w:hAnsi="Calibri" w:cs="Calibri"/>
          <w:lang w:val="es-NI"/>
        </w:rPr>
      </w:pPr>
    </w:p>
    <w:p w14:paraId="32AB97F0" w14:textId="77777777" w:rsidR="00245855" w:rsidRPr="00775A95" w:rsidRDefault="00245855" w:rsidP="00245855">
      <w:pPr>
        <w:pStyle w:val="Prrafodelista"/>
        <w:spacing w:line="276" w:lineRule="auto"/>
        <w:ind w:left="284"/>
        <w:rPr>
          <w:rFonts w:ascii="Calibri" w:hAnsi="Calibri" w:cs="Calibri"/>
          <w:lang w:val="es-NI"/>
        </w:rPr>
      </w:pPr>
      <w:r w:rsidRPr="00775A95">
        <w:rPr>
          <w:rFonts w:ascii="Calibri" w:hAnsi="Calibri" w:cs="Calibri"/>
          <w:lang w:val="es-NI"/>
        </w:rPr>
        <w:t>a.</w:t>
      </w:r>
      <w:r w:rsidRPr="00775A95">
        <w:rPr>
          <w:rFonts w:ascii="Calibri" w:hAnsi="Calibri" w:cs="Calibri"/>
          <w:lang w:val="es-NI"/>
        </w:rPr>
        <w:tab/>
        <w:t>Construir y dejar funcionando satisfactoriamente cada unidad unifamiliar de saneamiento integral seleccionada Letrina sencilla.</w:t>
      </w:r>
    </w:p>
    <w:p w14:paraId="7BF0B145" w14:textId="77777777" w:rsidR="00245855" w:rsidRPr="00775A95" w:rsidRDefault="00245855" w:rsidP="00245855">
      <w:pPr>
        <w:pStyle w:val="Prrafodelista"/>
        <w:spacing w:line="276" w:lineRule="auto"/>
        <w:ind w:left="284"/>
        <w:rPr>
          <w:rFonts w:ascii="Calibri" w:hAnsi="Calibri" w:cs="Calibri"/>
          <w:lang w:val="es-NI"/>
        </w:rPr>
      </w:pPr>
      <w:r w:rsidRPr="00775A95">
        <w:rPr>
          <w:rFonts w:ascii="Calibri" w:hAnsi="Calibri" w:cs="Calibri"/>
          <w:lang w:val="es-NI"/>
        </w:rPr>
        <w:t>b.</w:t>
      </w:r>
      <w:r w:rsidRPr="00775A95">
        <w:rPr>
          <w:rFonts w:ascii="Calibri" w:hAnsi="Calibri" w:cs="Calibri"/>
          <w:lang w:val="es-NI"/>
        </w:rPr>
        <w:tab/>
        <w:t>Suministrar, instalar y dejar funcionando satisfactoriamente cada lavadero con sistema de eliminación inocua de aguas grises (Pozo de Absorción), en cada unidad unifamiliar de saneamiento integral, para garantizar la promoción de la higiene.</w:t>
      </w:r>
    </w:p>
    <w:p w14:paraId="5BCD9129" w14:textId="77777777" w:rsidR="00245855" w:rsidRPr="00775A95" w:rsidRDefault="00245855" w:rsidP="00245855">
      <w:pPr>
        <w:pStyle w:val="Prrafodelista"/>
        <w:spacing w:line="276" w:lineRule="auto"/>
        <w:ind w:left="284"/>
        <w:rPr>
          <w:rFonts w:ascii="Calibri" w:hAnsi="Calibri" w:cs="Calibri"/>
          <w:lang w:val="es-NI"/>
        </w:rPr>
      </w:pPr>
    </w:p>
    <w:p w14:paraId="7846BDB7"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lastRenderedPageBreak/>
        <w:t>El Contratista debe cumplir con lo establecido en el Reglamento Nacional de la Construcción (RNC) vigente, como salvaguarda de la calidad de los procesos constructivos para garantizar la funcionalidad, sostenibilidad y durabilidad de las obras.</w:t>
      </w:r>
    </w:p>
    <w:p w14:paraId="4CE8FDEE" w14:textId="77777777" w:rsidR="00245855" w:rsidRPr="00775A95" w:rsidRDefault="00245855" w:rsidP="00245855">
      <w:pPr>
        <w:pStyle w:val="Prrafodelista"/>
        <w:spacing w:line="276" w:lineRule="auto"/>
        <w:ind w:left="284"/>
        <w:rPr>
          <w:rFonts w:ascii="Calibri" w:hAnsi="Calibri" w:cs="Calibri"/>
          <w:lang w:val="es-NI"/>
        </w:rPr>
      </w:pPr>
    </w:p>
    <w:p w14:paraId="21627565"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Por ningún motivo se permitirá que el contratista ejecute obras fuera de lo establecido en los términos contractuales; solamente en casos que la supervisión determine la necesidad de adicionar alguna obra que conlleve a mejorar el funcionamiento del Sistema se deben de incluir siempre y cuando estén avalados por la alcaldía Municipal (Alcalde) y el técnico territorial del FISE.</w:t>
      </w:r>
    </w:p>
    <w:p w14:paraId="593E66AD" w14:textId="77777777" w:rsidR="00245855" w:rsidRPr="00775A95" w:rsidRDefault="00245855" w:rsidP="00245855">
      <w:pPr>
        <w:pStyle w:val="Prrafodelista"/>
        <w:spacing w:line="276" w:lineRule="auto"/>
        <w:ind w:left="284"/>
        <w:rPr>
          <w:rFonts w:ascii="Calibri" w:hAnsi="Calibri" w:cs="Calibri"/>
          <w:lang w:val="es-NI"/>
        </w:rPr>
      </w:pPr>
    </w:p>
    <w:p w14:paraId="49F5E386"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Todo incremento en la ejecución del proyecto es asumido por la comunidad y la Alcaldía.</w:t>
      </w:r>
    </w:p>
    <w:p w14:paraId="79265C00" w14:textId="77777777" w:rsidR="00245855" w:rsidRPr="00775A95" w:rsidRDefault="00245855" w:rsidP="00245855">
      <w:pPr>
        <w:pStyle w:val="Prrafodelista"/>
        <w:spacing w:line="276" w:lineRule="auto"/>
        <w:ind w:left="284"/>
        <w:rPr>
          <w:rFonts w:ascii="Calibri" w:hAnsi="Calibri" w:cs="Calibri"/>
          <w:lang w:val="es-NI"/>
        </w:rPr>
      </w:pPr>
    </w:p>
    <w:p w14:paraId="4FA46169"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Las directrices cubren los aspectos relevantes para el suministro de materiales y la preparación de los servicios que se consideran necesarios, para llevar a cabo la construcción de las obras.</w:t>
      </w:r>
    </w:p>
    <w:p w14:paraId="7039EB42" w14:textId="77777777" w:rsidR="00245855" w:rsidRPr="00775A95" w:rsidRDefault="00245855" w:rsidP="00245855">
      <w:pPr>
        <w:pStyle w:val="Prrafodelista"/>
        <w:spacing w:line="276" w:lineRule="auto"/>
        <w:ind w:left="284"/>
        <w:rPr>
          <w:rFonts w:ascii="Calibri" w:hAnsi="Calibri" w:cs="Calibri"/>
          <w:lang w:val="es-NI"/>
        </w:rPr>
      </w:pPr>
    </w:p>
    <w:p w14:paraId="79033550"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no debe alegar omisiones debido a desconocimiento e interpretación errónea de los documentos relacionados al proyecto.</w:t>
      </w:r>
    </w:p>
    <w:p w14:paraId="0B214576" w14:textId="77777777" w:rsidR="00245855" w:rsidRPr="00775A95" w:rsidRDefault="00245855" w:rsidP="00245855">
      <w:pPr>
        <w:spacing w:line="276" w:lineRule="auto"/>
        <w:ind w:left="284"/>
        <w:contextualSpacing/>
        <w:rPr>
          <w:rFonts w:ascii="Calibri" w:hAnsi="Calibri" w:cs="Calibri"/>
          <w:lang w:val="es-NI"/>
        </w:rPr>
      </w:pPr>
    </w:p>
    <w:p w14:paraId="16727C0A"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debe realizar todas las artes aplicables en la sana práctica de la ingeniería para lograr buena calidad de las obras.</w:t>
      </w:r>
    </w:p>
    <w:p w14:paraId="410D39A4" w14:textId="77777777" w:rsidR="00245855" w:rsidRPr="00775A95" w:rsidRDefault="00245855" w:rsidP="00245855">
      <w:pPr>
        <w:pStyle w:val="Prrafodelista"/>
        <w:spacing w:line="276" w:lineRule="auto"/>
        <w:ind w:left="284"/>
        <w:rPr>
          <w:rFonts w:ascii="Calibri" w:hAnsi="Calibri" w:cs="Calibri"/>
          <w:lang w:val="es-NI"/>
        </w:rPr>
      </w:pPr>
    </w:p>
    <w:p w14:paraId="33691049"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Se indica tener especial cuidado con la deposición de los materiales construcción y de los embalajes de cemento cartón, bolsas plásticas para evitar que no se rieguen ya sea por la acción de animales o las persona debido a que no existe un lugar establecido para este tipo de desechos.</w:t>
      </w:r>
    </w:p>
    <w:p w14:paraId="60A293D7" w14:textId="77777777" w:rsidR="00245855" w:rsidRPr="00775A95" w:rsidRDefault="00245855" w:rsidP="00245855">
      <w:pPr>
        <w:pStyle w:val="Prrafodelista"/>
        <w:spacing w:line="276" w:lineRule="auto"/>
        <w:ind w:left="284"/>
        <w:rPr>
          <w:rFonts w:ascii="Calibri" w:hAnsi="Calibri" w:cs="Calibri"/>
          <w:lang w:val="es-NI"/>
        </w:rPr>
      </w:pPr>
    </w:p>
    <w:p w14:paraId="580E7858"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Si se toma la decisión de quemar los desechos tener especial cuidado de no provocar un incendio que circunda el lugar de construcción por lo está acción requiere vigilancia especial.</w:t>
      </w:r>
    </w:p>
    <w:p w14:paraId="3E2BAE9F" w14:textId="77777777" w:rsidR="00245855" w:rsidRPr="00775A95" w:rsidRDefault="00245855" w:rsidP="00245855">
      <w:pPr>
        <w:pStyle w:val="Prrafodelista"/>
        <w:spacing w:line="276" w:lineRule="auto"/>
        <w:ind w:left="284"/>
        <w:rPr>
          <w:rFonts w:ascii="Calibri" w:hAnsi="Calibri" w:cs="Calibri"/>
          <w:lang w:val="es-NI"/>
        </w:rPr>
      </w:pPr>
    </w:p>
    <w:p w14:paraId="2CD6DDC2"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La tierra sobrante de la excavación de los fosos para letrina parte de ella puede ser utilizada como talud en el perímetro del foso de la letrina, sirviendo, así como bordillo natural de protección a la escorrentía y evitando la erosión del foso.</w:t>
      </w:r>
    </w:p>
    <w:p w14:paraId="4A0626B4" w14:textId="77777777" w:rsidR="00245855" w:rsidRPr="00775A95" w:rsidRDefault="00245855" w:rsidP="00245855">
      <w:pPr>
        <w:pStyle w:val="Prrafodelista"/>
        <w:spacing w:line="276" w:lineRule="auto"/>
        <w:ind w:left="284"/>
        <w:rPr>
          <w:rFonts w:ascii="Calibri" w:hAnsi="Calibri" w:cs="Calibri"/>
          <w:lang w:val="es-NI"/>
        </w:rPr>
      </w:pPr>
    </w:p>
    <w:p w14:paraId="6907AF50"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El contratista no debe obviar la naturaleza social del proyecto por lo que se recomienda contratar la mayor cantidad de mano de obra local posible.</w:t>
      </w:r>
    </w:p>
    <w:p w14:paraId="66DD8DCA" w14:textId="77777777" w:rsidR="00245855" w:rsidRPr="00775A95" w:rsidRDefault="00245855" w:rsidP="00245855">
      <w:pPr>
        <w:pStyle w:val="Prrafodelista"/>
        <w:spacing w:line="276" w:lineRule="auto"/>
        <w:ind w:left="284"/>
        <w:rPr>
          <w:rFonts w:ascii="Calibri" w:hAnsi="Calibri" w:cs="Calibri"/>
          <w:lang w:val="es-NI"/>
        </w:rPr>
      </w:pPr>
    </w:p>
    <w:p w14:paraId="5C9576A4"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lastRenderedPageBreak/>
        <w:t>Al momento de la ejecución tanto el Contratista como el Supervisor deben regirse por lo indicado en los planos, alcances, especificaciones técnicas y ambientales y las cláusulas contractuales.</w:t>
      </w:r>
    </w:p>
    <w:p w14:paraId="6CF55FDF" w14:textId="77777777" w:rsidR="00245855" w:rsidRPr="00775A95" w:rsidRDefault="00245855" w:rsidP="00245855">
      <w:pPr>
        <w:pStyle w:val="Prrafodelista"/>
        <w:spacing w:line="276" w:lineRule="auto"/>
        <w:ind w:left="284"/>
        <w:rPr>
          <w:rFonts w:ascii="Calibri" w:hAnsi="Calibri" w:cs="Calibri"/>
          <w:lang w:val="es-NI"/>
        </w:rPr>
      </w:pPr>
    </w:p>
    <w:p w14:paraId="1C6BD63D" w14:textId="77777777" w:rsidR="00245855" w:rsidRPr="00775A95" w:rsidRDefault="00245855" w:rsidP="00245855">
      <w:pPr>
        <w:pStyle w:val="Prrafodelista"/>
        <w:numPr>
          <w:ilvl w:val="0"/>
          <w:numId w:val="206"/>
        </w:numPr>
        <w:spacing w:after="160" w:line="276" w:lineRule="auto"/>
        <w:ind w:left="284"/>
        <w:contextualSpacing/>
        <w:rPr>
          <w:rFonts w:ascii="Calibri" w:hAnsi="Calibri" w:cs="Calibri"/>
          <w:lang w:val="es-NI"/>
        </w:rPr>
      </w:pPr>
      <w:r w:rsidRPr="00775A95">
        <w:rPr>
          <w:rFonts w:ascii="Calibri" w:hAnsi="Calibri" w:cs="Calibri"/>
          <w:lang w:val="es-NI"/>
        </w:rPr>
        <w:t>Todos los componentes del proyecto se ejecutan con la participación directa de la comunidad, la Alcaldía y FISE. Esta participación requiere del aporte de cada actor ya sea en especies o efectivo y El contratista debe estar estrechamente coordinado con la Alcaldía y la Comunidad en cuanto a los aportes de la ejecución del proyecto se refiere</w:t>
      </w:r>
    </w:p>
    <w:p w14:paraId="7006AF1C" w14:textId="77777777" w:rsidR="00003780" w:rsidRDefault="00003780" w:rsidP="000C6174">
      <w:pPr>
        <w:jc w:val="center"/>
        <w:rPr>
          <w:rFonts w:asciiTheme="minorHAnsi" w:hAnsiTheme="minorHAnsi"/>
          <w:b/>
          <w:color w:val="000000" w:themeColor="text1"/>
          <w:sz w:val="28"/>
          <w:szCs w:val="24"/>
          <w:lang w:val="es-MX"/>
        </w:rPr>
      </w:pPr>
    </w:p>
    <w:p w14:paraId="4B78B3EA" w14:textId="77777777" w:rsidR="00245855" w:rsidRPr="00ED0A00" w:rsidRDefault="00245855" w:rsidP="00245855">
      <w:pPr>
        <w:rPr>
          <w:b/>
        </w:rPr>
      </w:pPr>
      <w:r w:rsidRPr="00245855">
        <w:rPr>
          <w:b/>
          <w:highlight w:val="yellow"/>
        </w:rPr>
        <w:t>INFORME DE INVESTIGACÓN DE ZONA DE OBRAS</w:t>
      </w:r>
    </w:p>
    <w:p w14:paraId="709B03D4" w14:textId="77777777" w:rsidR="00245855" w:rsidRPr="00ED0A00" w:rsidRDefault="00245855" w:rsidP="00245855">
      <w:pPr>
        <w:rPr>
          <w:b/>
        </w:rPr>
      </w:pPr>
    </w:p>
    <w:p w14:paraId="05EEC478" w14:textId="77777777" w:rsidR="00245855" w:rsidRPr="00E2736C" w:rsidRDefault="00245855" w:rsidP="00245855">
      <w:pPr>
        <w:pStyle w:val="Ttulo1"/>
        <w:jc w:val="both"/>
        <w:rPr>
          <w:bCs/>
          <w:iCs/>
          <w:sz w:val="22"/>
          <w:szCs w:val="22"/>
        </w:rPr>
      </w:pPr>
      <w:r w:rsidRPr="00E2736C">
        <w:rPr>
          <w:sz w:val="22"/>
          <w:szCs w:val="22"/>
        </w:rPr>
        <w:t>INFORMACION GENERAL</w:t>
      </w:r>
    </w:p>
    <w:tbl>
      <w:tblPr>
        <w:tblStyle w:val="Tablaconcuadrcula"/>
        <w:tblW w:w="0" w:type="auto"/>
        <w:tblInd w:w="108" w:type="dxa"/>
        <w:tblBorders>
          <w:insideH w:val="single" w:sz="4" w:space="0" w:color="FFFFFF"/>
          <w:insideV w:val="none" w:sz="0" w:space="0" w:color="auto"/>
        </w:tblBorders>
        <w:tblLook w:val="01E0" w:firstRow="1" w:lastRow="1" w:firstColumn="1" w:lastColumn="1" w:noHBand="0" w:noVBand="0"/>
      </w:tblPr>
      <w:tblGrid>
        <w:gridCol w:w="2050"/>
        <w:gridCol w:w="338"/>
        <w:gridCol w:w="6854"/>
      </w:tblGrid>
      <w:tr w:rsidR="00245855" w:rsidRPr="00E2736C" w14:paraId="475E90DA" w14:textId="77777777" w:rsidTr="00245855">
        <w:tc>
          <w:tcPr>
            <w:tcW w:w="2100" w:type="dxa"/>
            <w:vAlign w:val="center"/>
          </w:tcPr>
          <w:p w14:paraId="33F3EB2A"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Código del proyecto</w:t>
            </w:r>
          </w:p>
        </w:tc>
        <w:tc>
          <w:tcPr>
            <w:tcW w:w="345" w:type="dxa"/>
            <w:vAlign w:val="center"/>
          </w:tcPr>
          <w:p w14:paraId="2F916D3F"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7918CC32"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CodigoProyecto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19886</w:t>
            </w:r>
            <w:r w:rsidRPr="00E2736C">
              <w:rPr>
                <w:rFonts w:ascii="Times New Roman" w:hAnsi="Times New Roman" w:cs="Times New Roman"/>
                <w:b w:val="0"/>
                <w:sz w:val="22"/>
                <w:szCs w:val="22"/>
              </w:rPr>
              <w:fldChar w:fldCharType="end"/>
            </w:r>
          </w:p>
        </w:tc>
      </w:tr>
      <w:tr w:rsidR="00245855" w:rsidRPr="00E2736C" w14:paraId="75A14F93" w14:textId="77777777" w:rsidTr="00245855">
        <w:tc>
          <w:tcPr>
            <w:tcW w:w="2100" w:type="dxa"/>
            <w:vAlign w:val="center"/>
          </w:tcPr>
          <w:p w14:paraId="11E7CA3F"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Nombre del proyecto</w:t>
            </w:r>
          </w:p>
        </w:tc>
        <w:tc>
          <w:tcPr>
            <w:tcW w:w="345" w:type="dxa"/>
            <w:vAlign w:val="center"/>
          </w:tcPr>
          <w:p w14:paraId="04469E91"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243DE5B0"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NombreProyecto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Ag</w:t>
            </w:r>
            <w:r w:rsidRPr="009678D3">
              <w:rPr>
                <w:rFonts w:ascii="Times New Roman" w:hAnsi="Times New Roman" w:cs="Times New Roman"/>
                <w:b w:val="0"/>
                <w:sz w:val="22"/>
                <w:szCs w:val="22"/>
                <w:highlight w:val="yellow"/>
              </w:rPr>
              <w:t>ua y Saneamiento Comunidad  La Concepción</w:t>
            </w:r>
            <w:r w:rsidRPr="00E2736C">
              <w:rPr>
                <w:rFonts w:ascii="Times New Roman" w:hAnsi="Times New Roman" w:cs="Times New Roman"/>
                <w:b w:val="0"/>
                <w:sz w:val="22"/>
                <w:szCs w:val="22"/>
              </w:rPr>
              <w:fldChar w:fldCharType="end"/>
            </w:r>
          </w:p>
        </w:tc>
      </w:tr>
      <w:tr w:rsidR="00245855" w:rsidRPr="00E2736C" w14:paraId="07A7931D" w14:textId="77777777" w:rsidTr="00245855">
        <w:tc>
          <w:tcPr>
            <w:tcW w:w="2100" w:type="dxa"/>
            <w:vAlign w:val="center"/>
          </w:tcPr>
          <w:p w14:paraId="4876B4E9"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Departamento</w:t>
            </w:r>
          </w:p>
        </w:tc>
        <w:tc>
          <w:tcPr>
            <w:tcW w:w="345" w:type="dxa"/>
            <w:vAlign w:val="center"/>
          </w:tcPr>
          <w:p w14:paraId="0D0727E3"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6691EFC0"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Depto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Madriz</w:t>
            </w:r>
            <w:r w:rsidRPr="00E2736C">
              <w:rPr>
                <w:rFonts w:ascii="Times New Roman" w:hAnsi="Times New Roman" w:cs="Times New Roman"/>
                <w:b w:val="0"/>
                <w:sz w:val="22"/>
                <w:szCs w:val="22"/>
              </w:rPr>
              <w:fldChar w:fldCharType="end"/>
            </w:r>
          </w:p>
        </w:tc>
      </w:tr>
      <w:tr w:rsidR="00245855" w:rsidRPr="00E2736C" w14:paraId="4230BB1F" w14:textId="77777777" w:rsidTr="00245855">
        <w:tc>
          <w:tcPr>
            <w:tcW w:w="2100" w:type="dxa"/>
            <w:vAlign w:val="center"/>
          </w:tcPr>
          <w:p w14:paraId="42C36466"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Municipio</w:t>
            </w:r>
          </w:p>
        </w:tc>
        <w:tc>
          <w:tcPr>
            <w:tcW w:w="345" w:type="dxa"/>
            <w:vAlign w:val="center"/>
          </w:tcPr>
          <w:p w14:paraId="5CEF84FB"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6BCD688C"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Munic</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Palacagüina</w:t>
            </w:r>
            <w:r w:rsidRPr="00E2736C">
              <w:rPr>
                <w:rFonts w:ascii="Times New Roman" w:hAnsi="Times New Roman" w:cs="Times New Roman"/>
                <w:b w:val="0"/>
                <w:sz w:val="22"/>
                <w:szCs w:val="22"/>
              </w:rPr>
              <w:fldChar w:fldCharType="end"/>
            </w:r>
          </w:p>
        </w:tc>
      </w:tr>
      <w:tr w:rsidR="00245855" w:rsidRPr="00E2736C" w14:paraId="775221EC" w14:textId="77777777" w:rsidTr="00245855">
        <w:tc>
          <w:tcPr>
            <w:tcW w:w="2100" w:type="dxa"/>
            <w:vAlign w:val="center"/>
          </w:tcPr>
          <w:p w14:paraId="62875C44"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Barrio/Comarca</w:t>
            </w:r>
          </w:p>
        </w:tc>
        <w:tc>
          <w:tcPr>
            <w:tcW w:w="345" w:type="dxa"/>
            <w:vAlign w:val="center"/>
          </w:tcPr>
          <w:p w14:paraId="7DEB8BE5"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5062BF4F"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BarrioCom</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La Concepción</w:t>
            </w:r>
            <w:r w:rsidRPr="00E2736C">
              <w:rPr>
                <w:rFonts w:ascii="Times New Roman" w:hAnsi="Times New Roman" w:cs="Times New Roman"/>
                <w:b w:val="0"/>
                <w:sz w:val="22"/>
                <w:szCs w:val="22"/>
              </w:rPr>
              <w:fldChar w:fldCharType="end"/>
            </w:r>
          </w:p>
        </w:tc>
      </w:tr>
    </w:tbl>
    <w:p w14:paraId="24EC4DFA" w14:textId="77777777" w:rsidR="00245855" w:rsidRPr="00E2736C" w:rsidRDefault="00245855" w:rsidP="00245855">
      <w:pPr>
        <w:pStyle w:val="TITULOGENERAL"/>
        <w:spacing w:before="0" w:after="0"/>
        <w:jc w:val="both"/>
        <w:rPr>
          <w:rFonts w:ascii="Times New Roman" w:hAnsi="Times New Roman" w:cs="Times New Roman"/>
          <w:b w:val="0"/>
          <w:sz w:val="16"/>
          <w:szCs w:val="16"/>
        </w:rPr>
      </w:pPr>
    </w:p>
    <w:p w14:paraId="18783163" w14:textId="77777777" w:rsidR="00245855" w:rsidRPr="00E2736C" w:rsidRDefault="00245855" w:rsidP="00245855">
      <w:pPr>
        <w:pStyle w:val="Ttulo1"/>
        <w:jc w:val="both"/>
        <w:rPr>
          <w:bCs/>
          <w:iCs/>
          <w:sz w:val="22"/>
          <w:szCs w:val="22"/>
        </w:rPr>
      </w:pPr>
      <w:r w:rsidRPr="00E2736C">
        <w:rPr>
          <w:sz w:val="22"/>
          <w:szCs w:val="22"/>
        </w:rPr>
        <w:t xml:space="preserve">RESULTADOS DE </w:t>
      </w:r>
      <w:smartTag w:uri="urn:schemas-microsoft-com:office:smarttags" w:element="PersonName">
        <w:smartTagPr>
          <w:attr w:name="ProductID" w:val="LA EVALUACION DEL"/>
        </w:smartTagPr>
        <w:smartTag w:uri="urn:schemas-microsoft-com:office:smarttags" w:element="PersonName">
          <w:r w:rsidRPr="00E2736C">
            <w:rPr>
              <w:sz w:val="22"/>
              <w:szCs w:val="22"/>
            </w:rPr>
            <w:t>LA EVALUACION</w:t>
          </w:r>
        </w:smartTag>
        <w:r w:rsidRPr="00E2736C">
          <w:rPr>
            <w:sz w:val="22"/>
            <w:szCs w:val="22"/>
          </w:rPr>
          <w:t xml:space="preserve"> DEL</w:t>
        </w:r>
      </w:smartTag>
      <w:r w:rsidRPr="00E2736C">
        <w:rPr>
          <w:sz w:val="22"/>
          <w:szCs w:val="22"/>
        </w:rPr>
        <w:t xml:space="preserve"> EMPLAZAMIENTO DEL PROYECTO</w:t>
      </w:r>
    </w:p>
    <w:tbl>
      <w:tblPr>
        <w:tblStyle w:val="Tablaconcuadrcula"/>
        <w:tblW w:w="9960" w:type="dxa"/>
        <w:tblInd w:w="108" w:type="dxa"/>
        <w:tblLook w:val="01E0" w:firstRow="1" w:lastRow="1" w:firstColumn="1" w:lastColumn="1" w:noHBand="0" w:noVBand="0"/>
      </w:tblPr>
      <w:tblGrid>
        <w:gridCol w:w="5160"/>
        <w:gridCol w:w="1600"/>
        <w:gridCol w:w="1600"/>
        <w:gridCol w:w="1600"/>
      </w:tblGrid>
      <w:tr w:rsidR="00245855" w:rsidRPr="00E2736C" w14:paraId="334194C7" w14:textId="77777777" w:rsidTr="00245855">
        <w:tc>
          <w:tcPr>
            <w:tcW w:w="5160" w:type="dxa"/>
            <w:vMerge w:val="restart"/>
            <w:tcBorders>
              <w:top w:val="single" w:sz="4" w:space="0" w:color="auto"/>
              <w:left w:val="single" w:sz="4" w:space="0" w:color="auto"/>
            </w:tcBorders>
            <w:vAlign w:val="bottom"/>
          </w:tcPr>
          <w:p w14:paraId="560B53F8" w14:textId="77777777" w:rsidR="00245855" w:rsidRPr="00E2736C" w:rsidRDefault="00245855" w:rsidP="00245855">
            <w:pPr>
              <w:rPr>
                <w:sz w:val="22"/>
                <w:szCs w:val="22"/>
              </w:rPr>
            </w:pPr>
            <w:r w:rsidRPr="00E2736C">
              <w:rPr>
                <w:sz w:val="22"/>
                <w:szCs w:val="22"/>
              </w:rPr>
              <w:t>¿El Proyecto Presenta Evaluación del Emplazamiento?</w:t>
            </w:r>
          </w:p>
        </w:tc>
        <w:tc>
          <w:tcPr>
            <w:tcW w:w="1600" w:type="dxa"/>
            <w:vAlign w:val="center"/>
          </w:tcPr>
          <w:p w14:paraId="0BA122FE" w14:textId="77777777" w:rsidR="00245855" w:rsidRPr="00E2736C" w:rsidRDefault="00245855" w:rsidP="00245855">
            <w:pPr>
              <w:rPr>
                <w:b/>
                <w:sz w:val="22"/>
                <w:szCs w:val="22"/>
              </w:rPr>
            </w:pPr>
            <w:r w:rsidRPr="00E2736C">
              <w:rPr>
                <w:b/>
                <w:sz w:val="22"/>
                <w:szCs w:val="22"/>
              </w:rPr>
              <w:t>SI</w:t>
            </w:r>
          </w:p>
        </w:tc>
        <w:tc>
          <w:tcPr>
            <w:tcW w:w="1600" w:type="dxa"/>
            <w:vAlign w:val="center"/>
          </w:tcPr>
          <w:p w14:paraId="3FC83234" w14:textId="77777777" w:rsidR="00245855" w:rsidRPr="00E2736C" w:rsidRDefault="00245855" w:rsidP="00245855">
            <w:pPr>
              <w:rPr>
                <w:b/>
                <w:sz w:val="22"/>
                <w:szCs w:val="22"/>
              </w:rPr>
            </w:pPr>
            <w:r w:rsidRPr="00E2736C">
              <w:rPr>
                <w:b/>
                <w:sz w:val="22"/>
                <w:szCs w:val="22"/>
              </w:rPr>
              <w:t>NO</w:t>
            </w:r>
          </w:p>
        </w:tc>
        <w:tc>
          <w:tcPr>
            <w:tcW w:w="1600" w:type="dxa"/>
            <w:vAlign w:val="center"/>
          </w:tcPr>
          <w:p w14:paraId="7E3ADD1D" w14:textId="77777777" w:rsidR="00245855" w:rsidRPr="00E2736C" w:rsidRDefault="00245855" w:rsidP="00245855">
            <w:pPr>
              <w:rPr>
                <w:b/>
                <w:sz w:val="22"/>
                <w:szCs w:val="22"/>
              </w:rPr>
            </w:pPr>
            <w:r w:rsidRPr="00E2736C">
              <w:rPr>
                <w:b/>
                <w:sz w:val="22"/>
                <w:szCs w:val="22"/>
              </w:rPr>
              <w:t>NO APLICA</w:t>
            </w:r>
          </w:p>
        </w:tc>
      </w:tr>
      <w:tr w:rsidR="00245855" w:rsidRPr="00E2736C" w14:paraId="6C0EC8AE" w14:textId="77777777" w:rsidTr="00245855">
        <w:tc>
          <w:tcPr>
            <w:tcW w:w="5160" w:type="dxa"/>
            <w:vMerge/>
            <w:tcBorders>
              <w:left w:val="single" w:sz="4" w:space="0" w:color="auto"/>
              <w:bottom w:val="single" w:sz="4" w:space="0" w:color="auto"/>
            </w:tcBorders>
          </w:tcPr>
          <w:p w14:paraId="75F557DA" w14:textId="77777777" w:rsidR="00245855" w:rsidRPr="00E2736C" w:rsidRDefault="00245855" w:rsidP="00245855">
            <w:pPr>
              <w:rPr>
                <w:sz w:val="22"/>
                <w:szCs w:val="22"/>
              </w:rPr>
            </w:pPr>
          </w:p>
        </w:tc>
        <w:tc>
          <w:tcPr>
            <w:tcW w:w="1600" w:type="dxa"/>
            <w:vAlign w:val="center"/>
          </w:tcPr>
          <w:p w14:paraId="603843EC" w14:textId="77777777" w:rsidR="00245855" w:rsidRPr="00E2736C" w:rsidRDefault="00245855" w:rsidP="00245855">
            <w:pPr>
              <w:rPr>
                <w:sz w:val="22"/>
                <w:szCs w:val="22"/>
              </w:rPr>
            </w:pPr>
            <w:bookmarkStart w:id="1809" w:name="PresentaEmpSI"/>
            <w:bookmarkEnd w:id="1809"/>
            <w:r>
              <w:rPr>
                <w:sz w:val="22"/>
                <w:szCs w:val="22"/>
              </w:rPr>
              <w:sym w:font="Wingdings" w:char="F0FC"/>
            </w:r>
          </w:p>
        </w:tc>
        <w:tc>
          <w:tcPr>
            <w:tcW w:w="1600" w:type="dxa"/>
            <w:vAlign w:val="center"/>
          </w:tcPr>
          <w:p w14:paraId="6992AD24" w14:textId="77777777" w:rsidR="00245855" w:rsidRPr="00E2736C" w:rsidRDefault="00245855" w:rsidP="00245855">
            <w:pPr>
              <w:rPr>
                <w:sz w:val="22"/>
                <w:szCs w:val="22"/>
              </w:rPr>
            </w:pPr>
            <w:bookmarkStart w:id="1810" w:name="PresentaEmpNO"/>
            <w:bookmarkEnd w:id="1810"/>
          </w:p>
        </w:tc>
        <w:tc>
          <w:tcPr>
            <w:tcW w:w="1600" w:type="dxa"/>
            <w:vAlign w:val="center"/>
          </w:tcPr>
          <w:p w14:paraId="3B093A4F" w14:textId="77777777" w:rsidR="00245855" w:rsidRPr="00E2736C" w:rsidRDefault="00245855" w:rsidP="00245855">
            <w:pPr>
              <w:rPr>
                <w:sz w:val="22"/>
                <w:szCs w:val="22"/>
              </w:rPr>
            </w:pPr>
            <w:bookmarkStart w:id="1811" w:name="PresentaEmpNA"/>
            <w:bookmarkEnd w:id="1811"/>
          </w:p>
        </w:tc>
      </w:tr>
    </w:tbl>
    <w:p w14:paraId="0E35AF34" w14:textId="77777777" w:rsidR="00245855" w:rsidRPr="00E2736C" w:rsidRDefault="00245855" w:rsidP="00245855">
      <w:pPr>
        <w:rPr>
          <w:sz w:val="16"/>
          <w:szCs w:val="16"/>
        </w:rPr>
      </w:pPr>
    </w:p>
    <w:tbl>
      <w:tblPr>
        <w:tblStyle w:val="Tablaconcuadrcula"/>
        <w:tblW w:w="9960" w:type="dxa"/>
        <w:tblInd w:w="108" w:type="dxa"/>
        <w:tblLook w:val="01E0" w:firstRow="1" w:lastRow="1" w:firstColumn="1" w:lastColumn="1" w:noHBand="0" w:noVBand="0"/>
      </w:tblPr>
      <w:tblGrid>
        <w:gridCol w:w="389"/>
        <w:gridCol w:w="9571"/>
      </w:tblGrid>
      <w:tr w:rsidR="00245855" w:rsidRPr="00E2736C" w14:paraId="6E6BA39E" w14:textId="77777777" w:rsidTr="00245855">
        <w:tc>
          <w:tcPr>
            <w:tcW w:w="360" w:type="dxa"/>
            <w:shd w:val="clear" w:color="auto" w:fill="00FFFF"/>
            <w:vAlign w:val="center"/>
          </w:tcPr>
          <w:p w14:paraId="3C8F1843" w14:textId="77777777" w:rsidR="00245855" w:rsidRPr="00E2736C" w:rsidRDefault="00245855" w:rsidP="00245855">
            <w:pPr>
              <w:pStyle w:val="TITULOGENERAL"/>
              <w:spacing w:before="0" w:after="0"/>
              <w:jc w:val="both"/>
              <w:rPr>
                <w:rFonts w:ascii="Times New Roman" w:hAnsi="Times New Roman" w:cs="Times New Roman"/>
                <w:sz w:val="22"/>
                <w:szCs w:val="22"/>
              </w:rPr>
            </w:pPr>
          </w:p>
        </w:tc>
        <w:tc>
          <w:tcPr>
            <w:tcW w:w="9600" w:type="dxa"/>
            <w:shd w:val="clear" w:color="auto" w:fill="00FFFF"/>
            <w:vAlign w:val="center"/>
          </w:tcPr>
          <w:p w14:paraId="58A288EC" w14:textId="77777777" w:rsidR="00245855" w:rsidRPr="00E2736C" w:rsidRDefault="00245855" w:rsidP="00245855">
            <w:pPr>
              <w:pStyle w:val="TITULOGENERAL"/>
              <w:spacing w:before="0" w:after="0"/>
              <w:jc w:val="both"/>
              <w:rPr>
                <w:rFonts w:ascii="Times New Roman" w:hAnsi="Times New Roman" w:cs="Times New Roman"/>
                <w:sz w:val="22"/>
                <w:szCs w:val="22"/>
              </w:rPr>
            </w:pPr>
            <w:r w:rsidRPr="00E2736C">
              <w:rPr>
                <w:rFonts w:ascii="Times New Roman" w:hAnsi="Times New Roman" w:cs="Times New Roman"/>
                <w:sz w:val="22"/>
                <w:szCs w:val="22"/>
              </w:rPr>
              <w:t xml:space="preserve">Resultados de </w:t>
            </w:r>
            <w:smartTag w:uri="urn:schemas-microsoft-com:office:smarttags" w:element="PersonName">
              <w:smartTagPr>
                <w:attr w:name="ProductID" w:val="la Evaluaci￳n"/>
              </w:smartTagPr>
              <w:r w:rsidRPr="00E2736C">
                <w:rPr>
                  <w:rFonts w:ascii="Times New Roman" w:hAnsi="Times New Roman" w:cs="Times New Roman"/>
                  <w:sz w:val="22"/>
                  <w:szCs w:val="22"/>
                </w:rPr>
                <w:t>la Evaluación</w:t>
              </w:r>
            </w:smartTag>
            <w:r w:rsidRPr="00E2736C">
              <w:rPr>
                <w:rFonts w:ascii="Times New Roman" w:hAnsi="Times New Roman" w:cs="Times New Roman"/>
                <w:sz w:val="22"/>
                <w:szCs w:val="22"/>
              </w:rPr>
              <w:t xml:space="preserve"> del Emplazamiento</w:t>
            </w:r>
          </w:p>
        </w:tc>
      </w:tr>
      <w:tr w:rsidR="00245855" w:rsidRPr="00E2736C" w14:paraId="730A7D6D" w14:textId="77777777" w:rsidTr="00245855">
        <w:tc>
          <w:tcPr>
            <w:tcW w:w="360" w:type="dxa"/>
            <w:vAlign w:val="center"/>
          </w:tcPr>
          <w:p w14:paraId="3270D517" w14:textId="77777777" w:rsidR="00245855" w:rsidRPr="00E2736C" w:rsidRDefault="00245855" w:rsidP="00245855">
            <w:pPr>
              <w:pStyle w:val="TITULOGENERAL"/>
              <w:spacing w:before="0" w:after="0"/>
              <w:jc w:val="both"/>
              <w:rPr>
                <w:rFonts w:ascii="Times New Roman" w:hAnsi="Times New Roman" w:cs="Times New Roman"/>
                <w:b w:val="0"/>
                <w:sz w:val="22"/>
                <w:szCs w:val="22"/>
              </w:rPr>
            </w:pPr>
            <w:bookmarkStart w:id="1812" w:name="ResultadosEmp"/>
            <w:bookmarkEnd w:id="1812"/>
          </w:p>
        </w:tc>
        <w:tc>
          <w:tcPr>
            <w:tcW w:w="9600" w:type="dxa"/>
            <w:vAlign w:val="center"/>
          </w:tcPr>
          <w:p w14:paraId="2DABB464"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2F341C6C" w14:textId="77777777" w:rsidR="00245855" w:rsidRDefault="00245855" w:rsidP="00245855">
            <w:pPr>
              <w:pStyle w:val="TITULOGENERAL"/>
              <w:spacing w:before="0" w:after="0"/>
              <w:jc w:val="both"/>
              <w:rPr>
                <w:rFonts w:ascii="Times New Roman" w:hAnsi="Times New Roman" w:cs="Times New Roman"/>
                <w:b w:val="0"/>
                <w:sz w:val="22"/>
                <w:szCs w:val="22"/>
              </w:rPr>
            </w:pPr>
          </w:p>
          <w:p w14:paraId="7D3328A2"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2EAAC10B" w14:textId="77777777" w:rsidR="00245855" w:rsidRDefault="00245855" w:rsidP="00245855">
            <w:pPr>
              <w:pStyle w:val="TITULOGENERAL"/>
              <w:spacing w:before="0" w:after="0"/>
              <w:jc w:val="both"/>
              <w:rPr>
                <w:rFonts w:ascii="Times New Roman" w:hAnsi="Times New Roman" w:cs="Times New Roman"/>
                <w:b w:val="0"/>
                <w:sz w:val="22"/>
                <w:szCs w:val="22"/>
              </w:rPr>
            </w:pPr>
          </w:p>
          <w:p w14:paraId="67BC95F1"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 xml:space="preserve">  Sismicidad</w:t>
            </w:r>
          </w:p>
          <w:p w14:paraId="48D11B50"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 xml:space="preserve">  Deslizamientos</w:t>
            </w:r>
          </w:p>
          <w:p w14:paraId="1911A0F5"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 xml:space="preserve">  Vulcanismo</w:t>
            </w:r>
          </w:p>
          <w:p w14:paraId="5458A920"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 xml:space="preserve">  Mar y lagos</w:t>
            </w:r>
          </w:p>
          <w:p w14:paraId="685D0D76"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 xml:space="preserve">  Fuentes de contaminación</w:t>
            </w:r>
          </w:p>
          <w:p w14:paraId="54DA43BA"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 xml:space="preserve">  Marco legal(Legalidad del Terreno)</w:t>
            </w:r>
          </w:p>
          <w:p w14:paraId="54652AEF" w14:textId="77777777" w:rsidR="00245855" w:rsidRDefault="00245855" w:rsidP="00245855">
            <w:pPr>
              <w:pStyle w:val="TITULOGENERAL"/>
              <w:spacing w:before="0" w:after="0"/>
              <w:jc w:val="both"/>
              <w:rPr>
                <w:rFonts w:ascii="Times New Roman" w:hAnsi="Times New Roman" w:cs="Times New Roman"/>
                <w:b w:val="0"/>
                <w:sz w:val="22"/>
                <w:szCs w:val="22"/>
              </w:rPr>
            </w:pPr>
          </w:p>
          <w:p w14:paraId="482CF009"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lastRenderedPageBreak/>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p>
          <w:p w14:paraId="7F01619B" w14:textId="77777777" w:rsidR="00245855" w:rsidRPr="00E2736C" w:rsidRDefault="00245855" w:rsidP="00245855">
            <w:pPr>
              <w:pStyle w:val="TITULOGENERAL"/>
              <w:spacing w:before="0" w:after="0"/>
              <w:jc w:val="both"/>
              <w:rPr>
                <w:rFonts w:ascii="Times New Roman" w:hAnsi="Times New Roman" w:cs="Times New Roman"/>
                <w:b w:val="0"/>
                <w:sz w:val="22"/>
                <w:szCs w:val="22"/>
              </w:rPr>
            </w:pPr>
          </w:p>
        </w:tc>
      </w:tr>
      <w:tr w:rsidR="00245855" w:rsidRPr="00E2736C" w14:paraId="3C59F5F7" w14:textId="77777777" w:rsidTr="00245855">
        <w:tc>
          <w:tcPr>
            <w:tcW w:w="360" w:type="dxa"/>
            <w:vAlign w:val="center"/>
          </w:tcPr>
          <w:p w14:paraId="747AC431" w14:textId="77777777" w:rsidR="00245855" w:rsidRPr="00E2736C"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24C586E9"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48D55CE7" w14:textId="77777777" w:rsidR="00245855" w:rsidRDefault="00245855" w:rsidP="00245855">
            <w:pPr>
              <w:pStyle w:val="TITULOGENERAL"/>
              <w:spacing w:before="0" w:after="0"/>
              <w:jc w:val="both"/>
              <w:rPr>
                <w:rFonts w:ascii="Times New Roman" w:hAnsi="Times New Roman" w:cs="Times New Roman"/>
                <w:b w:val="0"/>
                <w:sz w:val="22"/>
                <w:szCs w:val="22"/>
              </w:rPr>
            </w:pPr>
          </w:p>
        </w:tc>
      </w:tr>
      <w:tr w:rsidR="00245855" w:rsidRPr="00E2736C" w14:paraId="6446BCD2" w14:textId="77777777" w:rsidTr="00245855">
        <w:tc>
          <w:tcPr>
            <w:tcW w:w="360" w:type="dxa"/>
            <w:vAlign w:val="center"/>
          </w:tcPr>
          <w:p w14:paraId="623DDBB8"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sym w:font="Wingdings" w:char="F0FC"/>
            </w:r>
          </w:p>
        </w:tc>
        <w:tc>
          <w:tcPr>
            <w:tcW w:w="9600" w:type="dxa"/>
            <w:vAlign w:val="center"/>
          </w:tcPr>
          <w:p w14:paraId="7A231D9F"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30345FAA" w14:textId="77777777" w:rsidR="00245855" w:rsidRDefault="00245855" w:rsidP="00245855">
            <w:pPr>
              <w:pStyle w:val="TITULOGENERAL"/>
              <w:spacing w:before="0" w:after="0"/>
              <w:jc w:val="both"/>
              <w:rPr>
                <w:rFonts w:ascii="Times New Roman" w:hAnsi="Times New Roman" w:cs="Times New Roman"/>
                <w:b w:val="0"/>
                <w:sz w:val="22"/>
                <w:szCs w:val="22"/>
              </w:rPr>
            </w:pPr>
          </w:p>
        </w:tc>
      </w:tr>
      <w:tr w:rsidR="00245855" w:rsidRPr="00E2736C" w14:paraId="0DFFA9AD" w14:textId="77777777" w:rsidTr="00245855">
        <w:tc>
          <w:tcPr>
            <w:tcW w:w="360" w:type="dxa"/>
            <w:vAlign w:val="center"/>
          </w:tcPr>
          <w:p w14:paraId="08C6A9BF"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486AB59D"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40C62ED6" w14:textId="77777777" w:rsidR="00245855" w:rsidRDefault="00245855" w:rsidP="00245855">
            <w:pPr>
              <w:pStyle w:val="TITULOGENERAL"/>
              <w:spacing w:before="0" w:after="0"/>
              <w:jc w:val="both"/>
              <w:rPr>
                <w:rFonts w:ascii="Times New Roman" w:hAnsi="Times New Roman" w:cs="Times New Roman"/>
                <w:b w:val="0"/>
                <w:sz w:val="22"/>
                <w:szCs w:val="22"/>
              </w:rPr>
            </w:pPr>
          </w:p>
        </w:tc>
      </w:tr>
    </w:tbl>
    <w:p w14:paraId="241D14D6" w14:textId="77777777" w:rsidR="00245855" w:rsidRPr="00E2736C" w:rsidRDefault="00245855" w:rsidP="00245855">
      <w:pPr>
        <w:rPr>
          <w:sz w:val="16"/>
          <w:szCs w:val="16"/>
        </w:rPr>
      </w:pPr>
    </w:p>
    <w:p w14:paraId="0AB5180F" w14:textId="77777777" w:rsidR="00245855" w:rsidRPr="00E2736C" w:rsidRDefault="00245855" w:rsidP="00245855">
      <w:pPr>
        <w:rPr>
          <w:b/>
          <w:sz w:val="22"/>
          <w:szCs w:val="22"/>
        </w:rPr>
      </w:pPr>
      <w:r w:rsidRPr="00E2736C">
        <w:rPr>
          <w:b/>
          <w:sz w:val="22"/>
          <w:szCs w:val="22"/>
        </w:rPr>
        <w:t xml:space="preserve">Fuentes de Riesgos con Valor 1 en </w:t>
      </w:r>
      <w:smartTag w:uri="urn:schemas-microsoft-com:office:smarttags" w:element="PersonName">
        <w:smartTagPr>
          <w:attr w:name="ProductID" w:val="la Evaluaci￳n"/>
        </w:smartTagPr>
        <w:r w:rsidRPr="00E2736C">
          <w:rPr>
            <w:b/>
            <w:sz w:val="22"/>
            <w:szCs w:val="22"/>
          </w:rPr>
          <w:t>la Evaluación</w:t>
        </w:r>
      </w:smartTag>
      <w:r w:rsidRPr="00E2736C">
        <w:rPr>
          <w:b/>
          <w:sz w:val="22"/>
          <w:szCs w:val="22"/>
        </w:rPr>
        <w:t xml:space="preserve"> del Emplazamiento:</w:t>
      </w:r>
    </w:p>
    <w:p w14:paraId="6068A168" w14:textId="77777777" w:rsidR="00245855" w:rsidRPr="00E2736C" w:rsidRDefault="00245855" w:rsidP="00245855">
      <w:pPr>
        <w:rPr>
          <w:sz w:val="16"/>
          <w:szCs w:val="16"/>
        </w:rPr>
      </w:pPr>
    </w:p>
    <w:tbl>
      <w:tblPr>
        <w:tblStyle w:val="Tablaconcuadrcula"/>
        <w:tblW w:w="9960" w:type="dxa"/>
        <w:tblInd w:w="108" w:type="dxa"/>
        <w:tblLook w:val="01E0" w:firstRow="1" w:lastRow="1" w:firstColumn="1" w:lastColumn="1" w:noHBand="0" w:noVBand="0"/>
      </w:tblPr>
      <w:tblGrid>
        <w:gridCol w:w="389"/>
        <w:gridCol w:w="9571"/>
      </w:tblGrid>
      <w:tr w:rsidR="00245855" w:rsidRPr="00E2736C" w14:paraId="583CF07A" w14:textId="77777777" w:rsidTr="00245855">
        <w:tc>
          <w:tcPr>
            <w:tcW w:w="360" w:type="dxa"/>
            <w:shd w:val="clear" w:color="auto" w:fill="00FFFF"/>
            <w:vAlign w:val="center"/>
          </w:tcPr>
          <w:p w14:paraId="29050832" w14:textId="77777777" w:rsidR="00245855" w:rsidRPr="00E2736C" w:rsidRDefault="00245855" w:rsidP="00245855">
            <w:pPr>
              <w:pStyle w:val="TITULOGENERAL"/>
              <w:spacing w:before="0" w:after="0"/>
              <w:jc w:val="both"/>
              <w:rPr>
                <w:rFonts w:ascii="Times New Roman" w:hAnsi="Times New Roman" w:cs="Times New Roman"/>
                <w:sz w:val="22"/>
                <w:szCs w:val="22"/>
              </w:rPr>
            </w:pPr>
          </w:p>
        </w:tc>
        <w:tc>
          <w:tcPr>
            <w:tcW w:w="9600" w:type="dxa"/>
            <w:shd w:val="clear" w:color="auto" w:fill="00FFFF"/>
            <w:vAlign w:val="center"/>
          </w:tcPr>
          <w:p w14:paraId="411831D8" w14:textId="77777777" w:rsidR="00245855" w:rsidRPr="00E2736C" w:rsidRDefault="00245855" w:rsidP="00245855">
            <w:pPr>
              <w:pStyle w:val="TITULOGENERAL"/>
              <w:spacing w:before="0" w:after="0"/>
              <w:jc w:val="both"/>
              <w:rPr>
                <w:rFonts w:ascii="Times New Roman" w:hAnsi="Times New Roman" w:cs="Times New Roman"/>
                <w:sz w:val="22"/>
                <w:szCs w:val="22"/>
              </w:rPr>
            </w:pPr>
            <w:r w:rsidRPr="00E2736C">
              <w:rPr>
                <w:rFonts w:ascii="Times New Roman" w:hAnsi="Times New Roman" w:cs="Times New Roman"/>
                <w:sz w:val="22"/>
                <w:szCs w:val="22"/>
              </w:rPr>
              <w:t>Fuentes de Riesgos</w:t>
            </w:r>
          </w:p>
        </w:tc>
      </w:tr>
      <w:tr w:rsidR="00245855" w:rsidRPr="00E2736C" w14:paraId="3AC1F5C6" w14:textId="77777777" w:rsidTr="00245855">
        <w:tc>
          <w:tcPr>
            <w:tcW w:w="360" w:type="dxa"/>
            <w:vAlign w:val="center"/>
          </w:tcPr>
          <w:p w14:paraId="34E25D53" w14:textId="77777777" w:rsidR="00245855" w:rsidRPr="00E2736C" w:rsidRDefault="00245855" w:rsidP="00245855">
            <w:pPr>
              <w:pStyle w:val="TITULOGENERAL"/>
              <w:spacing w:before="0" w:after="0"/>
              <w:jc w:val="both"/>
              <w:rPr>
                <w:rFonts w:ascii="Times New Roman" w:hAnsi="Times New Roman" w:cs="Times New Roman"/>
                <w:b w:val="0"/>
                <w:sz w:val="22"/>
                <w:szCs w:val="22"/>
              </w:rPr>
            </w:pPr>
            <w:bookmarkStart w:id="1813" w:name="FRiesgoEmp"/>
            <w:bookmarkEnd w:id="1813"/>
            <w:r>
              <w:rPr>
                <w:rFonts w:ascii="Times New Roman" w:hAnsi="Times New Roman" w:cs="Times New Roman"/>
                <w:b w:val="0"/>
                <w:sz w:val="22"/>
                <w:szCs w:val="22"/>
              </w:rPr>
              <w:sym w:font="Wingdings" w:char="F0FC"/>
            </w:r>
          </w:p>
        </w:tc>
        <w:tc>
          <w:tcPr>
            <w:tcW w:w="9600" w:type="dxa"/>
            <w:vAlign w:val="center"/>
          </w:tcPr>
          <w:p w14:paraId="6B230D4B"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Ninguna</w:t>
            </w:r>
          </w:p>
        </w:tc>
      </w:tr>
      <w:tr w:rsidR="00245855" w:rsidRPr="00E2736C" w14:paraId="4827E5CD" w14:textId="77777777" w:rsidTr="00245855">
        <w:tc>
          <w:tcPr>
            <w:tcW w:w="360" w:type="dxa"/>
            <w:vAlign w:val="center"/>
          </w:tcPr>
          <w:p w14:paraId="3DFE8CC3"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696AFAE4"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Sismicidad</w:t>
            </w:r>
          </w:p>
        </w:tc>
      </w:tr>
      <w:tr w:rsidR="00245855" w:rsidRPr="00E2736C" w14:paraId="6BD24DE5" w14:textId="77777777" w:rsidTr="00245855">
        <w:tc>
          <w:tcPr>
            <w:tcW w:w="360" w:type="dxa"/>
            <w:vAlign w:val="center"/>
          </w:tcPr>
          <w:p w14:paraId="3DA7D5AB"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6ABCE60C"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Deslizamientos</w:t>
            </w:r>
          </w:p>
        </w:tc>
      </w:tr>
      <w:tr w:rsidR="00245855" w:rsidRPr="00E2736C" w14:paraId="7F5B6E16" w14:textId="77777777" w:rsidTr="00245855">
        <w:tc>
          <w:tcPr>
            <w:tcW w:w="360" w:type="dxa"/>
            <w:vAlign w:val="center"/>
          </w:tcPr>
          <w:p w14:paraId="7E034DD6"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5FCE107D"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Mar y Lagos</w:t>
            </w:r>
          </w:p>
        </w:tc>
      </w:tr>
      <w:tr w:rsidR="00245855" w:rsidRPr="00E2736C" w14:paraId="32FD2DDA" w14:textId="77777777" w:rsidTr="00245855">
        <w:tc>
          <w:tcPr>
            <w:tcW w:w="360" w:type="dxa"/>
            <w:vAlign w:val="center"/>
          </w:tcPr>
          <w:p w14:paraId="719B4AA9"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6D8C1B38"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Fuentes de Contaminación</w:t>
            </w:r>
          </w:p>
        </w:tc>
      </w:tr>
      <w:tr w:rsidR="00245855" w:rsidRPr="00E2736C" w14:paraId="256737D1" w14:textId="77777777" w:rsidTr="00245855">
        <w:tc>
          <w:tcPr>
            <w:tcW w:w="360" w:type="dxa"/>
            <w:vAlign w:val="center"/>
          </w:tcPr>
          <w:p w14:paraId="35D4DD70"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423FD1FA"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Inundación</w:t>
            </w:r>
          </w:p>
        </w:tc>
      </w:tr>
      <w:tr w:rsidR="00245855" w:rsidRPr="00E2736C" w14:paraId="76680815" w14:textId="77777777" w:rsidTr="00245855">
        <w:tc>
          <w:tcPr>
            <w:tcW w:w="360" w:type="dxa"/>
            <w:vAlign w:val="center"/>
          </w:tcPr>
          <w:p w14:paraId="03D51828" w14:textId="77777777" w:rsidR="00245855" w:rsidRDefault="00245855" w:rsidP="00245855">
            <w:pPr>
              <w:pStyle w:val="TITULOGENERAL"/>
              <w:spacing w:before="0" w:after="0"/>
              <w:jc w:val="both"/>
              <w:rPr>
                <w:rFonts w:ascii="Times New Roman" w:hAnsi="Times New Roman" w:cs="Times New Roman"/>
                <w:b w:val="0"/>
                <w:sz w:val="22"/>
                <w:szCs w:val="22"/>
              </w:rPr>
            </w:pPr>
          </w:p>
        </w:tc>
        <w:tc>
          <w:tcPr>
            <w:tcW w:w="9600" w:type="dxa"/>
            <w:vAlign w:val="center"/>
          </w:tcPr>
          <w:p w14:paraId="210C7819"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Otras (Especifique)</w:t>
            </w:r>
          </w:p>
        </w:tc>
      </w:tr>
    </w:tbl>
    <w:p w14:paraId="100B05E4" w14:textId="77777777" w:rsidR="00245855" w:rsidRPr="00E2736C" w:rsidRDefault="00245855" w:rsidP="00245855">
      <w:pPr>
        <w:rPr>
          <w:sz w:val="16"/>
          <w:szCs w:val="16"/>
        </w:rPr>
      </w:pPr>
    </w:p>
    <w:p w14:paraId="11EDC3D6" w14:textId="77777777" w:rsidR="00245855" w:rsidRPr="00E2736C" w:rsidRDefault="00245855" w:rsidP="00245855">
      <w:pPr>
        <w:rPr>
          <w:b/>
          <w:sz w:val="22"/>
          <w:szCs w:val="22"/>
        </w:rPr>
      </w:pPr>
      <w:r w:rsidRPr="00E2736C">
        <w:rPr>
          <w:b/>
          <w:sz w:val="22"/>
          <w:szCs w:val="22"/>
        </w:rPr>
        <w:t xml:space="preserve">Especificación de Otras Fuentes de Riesgos: </w:t>
      </w:r>
    </w:p>
    <w:p w14:paraId="697EB192" w14:textId="77777777" w:rsidR="00245855" w:rsidRPr="00E2736C" w:rsidRDefault="00245855" w:rsidP="00245855">
      <w:pPr>
        <w:pStyle w:val="Ttulo1"/>
        <w:jc w:val="both"/>
        <w:rPr>
          <w:bCs/>
          <w:iCs/>
          <w:sz w:val="22"/>
          <w:szCs w:val="22"/>
        </w:rPr>
      </w:pPr>
      <w:r w:rsidRPr="00E2736C">
        <w:rPr>
          <w:sz w:val="22"/>
          <w:szCs w:val="22"/>
        </w:rPr>
        <w:t>ACCESOS Y MEDIOS DE TRANSPORTE DE MANAGUA AL PROYECTO</w:t>
      </w:r>
    </w:p>
    <w:tbl>
      <w:tblPr>
        <w:tblStyle w:val="Tablaconcuadrcula"/>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245855" w:rsidRPr="00E2736C" w14:paraId="02343130" w14:textId="77777777" w:rsidTr="00245855">
        <w:tc>
          <w:tcPr>
            <w:tcW w:w="2760" w:type="dxa"/>
            <w:vMerge w:val="restart"/>
            <w:shd w:val="clear" w:color="auto" w:fill="00FFFF"/>
            <w:vAlign w:val="center"/>
          </w:tcPr>
          <w:p w14:paraId="3C6F1D29" w14:textId="77777777" w:rsidR="00245855" w:rsidRPr="00076698" w:rsidRDefault="00245855" w:rsidP="00245855">
            <w:pPr>
              <w:rPr>
                <w:b/>
              </w:rPr>
            </w:pPr>
            <w:r w:rsidRPr="00076698">
              <w:rPr>
                <w:b/>
              </w:rPr>
              <w:t>Tipos de Accesos</w:t>
            </w:r>
          </w:p>
        </w:tc>
        <w:tc>
          <w:tcPr>
            <w:tcW w:w="1080" w:type="dxa"/>
            <w:vMerge w:val="restart"/>
            <w:shd w:val="clear" w:color="auto" w:fill="00FFFF"/>
            <w:vAlign w:val="center"/>
          </w:tcPr>
          <w:p w14:paraId="0DBE6FAF" w14:textId="77777777" w:rsidR="00245855" w:rsidRPr="00076698" w:rsidRDefault="00245855" w:rsidP="00245855">
            <w:pPr>
              <w:rPr>
                <w:b/>
              </w:rPr>
            </w:pPr>
            <w:r w:rsidRPr="00076698">
              <w:rPr>
                <w:b/>
              </w:rPr>
              <w:t>Distancia (Kms)</w:t>
            </w:r>
          </w:p>
        </w:tc>
        <w:tc>
          <w:tcPr>
            <w:tcW w:w="1080" w:type="dxa"/>
            <w:vMerge w:val="restart"/>
            <w:shd w:val="clear" w:color="auto" w:fill="00FFFF"/>
            <w:vAlign w:val="center"/>
          </w:tcPr>
          <w:p w14:paraId="5DCF527B" w14:textId="77777777" w:rsidR="00245855" w:rsidRPr="00076698" w:rsidRDefault="00245855" w:rsidP="00245855">
            <w:pPr>
              <w:rPr>
                <w:b/>
              </w:rPr>
            </w:pPr>
            <w:r w:rsidRPr="00076698">
              <w:rPr>
                <w:b/>
              </w:rPr>
              <w:t>Tiempo (Hrs)</w:t>
            </w:r>
          </w:p>
        </w:tc>
        <w:tc>
          <w:tcPr>
            <w:tcW w:w="5160" w:type="dxa"/>
            <w:gridSpan w:val="5"/>
            <w:shd w:val="clear" w:color="auto" w:fill="00FFFF"/>
          </w:tcPr>
          <w:p w14:paraId="759C2494" w14:textId="77777777" w:rsidR="00245855" w:rsidRPr="00076698" w:rsidRDefault="00245855" w:rsidP="00245855">
            <w:pPr>
              <w:rPr>
                <w:b/>
              </w:rPr>
            </w:pPr>
            <w:r w:rsidRPr="00076698">
              <w:rPr>
                <w:b/>
              </w:rPr>
              <w:t>Medios de transporte  (Marcar con una X)</w:t>
            </w:r>
          </w:p>
        </w:tc>
      </w:tr>
      <w:tr w:rsidR="00245855" w:rsidRPr="00E2736C" w14:paraId="25D4ADCB" w14:textId="77777777" w:rsidTr="00245855">
        <w:tc>
          <w:tcPr>
            <w:tcW w:w="2760" w:type="dxa"/>
            <w:vMerge/>
            <w:shd w:val="clear" w:color="auto" w:fill="00FFFF"/>
          </w:tcPr>
          <w:p w14:paraId="274FB5D0" w14:textId="77777777" w:rsidR="00245855" w:rsidRPr="00076698" w:rsidRDefault="00245855" w:rsidP="00245855">
            <w:pPr>
              <w:rPr>
                <w:b/>
              </w:rPr>
            </w:pPr>
          </w:p>
        </w:tc>
        <w:tc>
          <w:tcPr>
            <w:tcW w:w="1080" w:type="dxa"/>
            <w:vMerge/>
            <w:shd w:val="clear" w:color="auto" w:fill="00FFFF"/>
          </w:tcPr>
          <w:p w14:paraId="37FEA8F5" w14:textId="77777777" w:rsidR="00245855" w:rsidRPr="00076698" w:rsidRDefault="00245855" w:rsidP="00245855">
            <w:pPr>
              <w:rPr>
                <w:b/>
              </w:rPr>
            </w:pPr>
          </w:p>
        </w:tc>
        <w:tc>
          <w:tcPr>
            <w:tcW w:w="1080" w:type="dxa"/>
            <w:vMerge/>
            <w:shd w:val="clear" w:color="auto" w:fill="00FFFF"/>
          </w:tcPr>
          <w:p w14:paraId="3FA498EB" w14:textId="77777777" w:rsidR="00245855" w:rsidRPr="00076698" w:rsidRDefault="00245855" w:rsidP="00245855">
            <w:pPr>
              <w:rPr>
                <w:b/>
              </w:rPr>
            </w:pPr>
          </w:p>
        </w:tc>
        <w:tc>
          <w:tcPr>
            <w:tcW w:w="1032" w:type="dxa"/>
            <w:shd w:val="clear" w:color="auto" w:fill="00FFFF"/>
            <w:vAlign w:val="center"/>
          </w:tcPr>
          <w:p w14:paraId="288B4803" w14:textId="77777777" w:rsidR="00245855" w:rsidRPr="00076698" w:rsidRDefault="00245855" w:rsidP="00245855">
            <w:pPr>
              <w:rPr>
                <w:b/>
              </w:rPr>
            </w:pPr>
            <w:r w:rsidRPr="00076698">
              <w:rPr>
                <w:b/>
              </w:rPr>
              <w:t>Vehículo</w:t>
            </w:r>
          </w:p>
        </w:tc>
        <w:tc>
          <w:tcPr>
            <w:tcW w:w="1032" w:type="dxa"/>
            <w:shd w:val="clear" w:color="auto" w:fill="00FFFF"/>
            <w:vAlign w:val="center"/>
          </w:tcPr>
          <w:p w14:paraId="0256705D" w14:textId="77777777" w:rsidR="00245855" w:rsidRPr="00076698" w:rsidRDefault="00245855" w:rsidP="00245855">
            <w:pPr>
              <w:rPr>
                <w:b/>
              </w:rPr>
            </w:pPr>
            <w:r w:rsidRPr="00076698">
              <w:rPr>
                <w:b/>
              </w:rPr>
              <w:t xml:space="preserve">Aéreo </w:t>
            </w:r>
          </w:p>
        </w:tc>
        <w:tc>
          <w:tcPr>
            <w:tcW w:w="1032" w:type="dxa"/>
            <w:shd w:val="clear" w:color="auto" w:fill="00FFFF"/>
            <w:vAlign w:val="center"/>
          </w:tcPr>
          <w:p w14:paraId="49214805" w14:textId="77777777" w:rsidR="00245855" w:rsidRPr="00076698" w:rsidRDefault="00245855" w:rsidP="00245855">
            <w:pPr>
              <w:rPr>
                <w:b/>
              </w:rPr>
            </w:pPr>
            <w:r w:rsidRPr="00076698">
              <w:rPr>
                <w:b/>
              </w:rPr>
              <w:t xml:space="preserve">Acuático </w:t>
            </w:r>
          </w:p>
        </w:tc>
        <w:tc>
          <w:tcPr>
            <w:tcW w:w="1032" w:type="dxa"/>
            <w:shd w:val="clear" w:color="auto" w:fill="00FFFF"/>
            <w:vAlign w:val="center"/>
          </w:tcPr>
          <w:p w14:paraId="1CD4D66A" w14:textId="77777777" w:rsidR="00245855" w:rsidRPr="00076698" w:rsidRDefault="00245855" w:rsidP="00245855">
            <w:pPr>
              <w:rPr>
                <w:b/>
              </w:rPr>
            </w:pPr>
            <w:r w:rsidRPr="00076698">
              <w:rPr>
                <w:b/>
              </w:rPr>
              <w:t>A pie</w:t>
            </w:r>
          </w:p>
        </w:tc>
        <w:tc>
          <w:tcPr>
            <w:tcW w:w="1032" w:type="dxa"/>
            <w:shd w:val="clear" w:color="auto" w:fill="00FFFF"/>
            <w:vAlign w:val="center"/>
          </w:tcPr>
          <w:p w14:paraId="2C326EE2" w14:textId="77777777" w:rsidR="00245855" w:rsidRPr="00076698" w:rsidRDefault="00245855" w:rsidP="00245855">
            <w:pPr>
              <w:rPr>
                <w:b/>
              </w:rPr>
            </w:pPr>
            <w:r w:rsidRPr="00076698">
              <w:rPr>
                <w:b/>
              </w:rPr>
              <w:t>En bestia</w:t>
            </w:r>
          </w:p>
        </w:tc>
      </w:tr>
      <w:tr w:rsidR="00245855" w:rsidRPr="00E2736C" w14:paraId="38B6828E" w14:textId="77777777" w:rsidTr="00245855">
        <w:tc>
          <w:tcPr>
            <w:tcW w:w="2760" w:type="dxa"/>
            <w:vAlign w:val="center"/>
          </w:tcPr>
          <w:p w14:paraId="6B1C087B" w14:textId="77777777" w:rsidR="00245855" w:rsidRPr="00076698" w:rsidRDefault="00245855" w:rsidP="00245855">
            <w:bookmarkStart w:id="1814" w:name="ViasAcceso"/>
            <w:bookmarkEnd w:id="1814"/>
            <w:r>
              <w:t>Adoquín</w:t>
            </w:r>
          </w:p>
        </w:tc>
        <w:tc>
          <w:tcPr>
            <w:tcW w:w="1080" w:type="dxa"/>
            <w:vAlign w:val="center"/>
          </w:tcPr>
          <w:p w14:paraId="2D7E3851" w14:textId="77777777" w:rsidR="00245855" w:rsidRPr="00076698" w:rsidRDefault="00245855" w:rsidP="00245855">
            <w:r>
              <w:t>7.50</w:t>
            </w:r>
          </w:p>
        </w:tc>
        <w:tc>
          <w:tcPr>
            <w:tcW w:w="1080" w:type="dxa"/>
            <w:vAlign w:val="center"/>
          </w:tcPr>
          <w:p w14:paraId="5E4348FA" w14:textId="77777777" w:rsidR="00245855" w:rsidRPr="00076698" w:rsidRDefault="00245855" w:rsidP="00245855">
            <w:r>
              <w:t>0.30</w:t>
            </w:r>
          </w:p>
        </w:tc>
        <w:tc>
          <w:tcPr>
            <w:tcW w:w="1032" w:type="dxa"/>
            <w:vAlign w:val="center"/>
          </w:tcPr>
          <w:p w14:paraId="56537895" w14:textId="77777777" w:rsidR="00245855" w:rsidRPr="00076698" w:rsidRDefault="00245855" w:rsidP="00245855">
            <w:r>
              <w:t>X</w:t>
            </w:r>
          </w:p>
        </w:tc>
        <w:tc>
          <w:tcPr>
            <w:tcW w:w="1032" w:type="dxa"/>
            <w:vAlign w:val="center"/>
          </w:tcPr>
          <w:p w14:paraId="5B45DD32" w14:textId="77777777" w:rsidR="00245855" w:rsidRPr="00076698" w:rsidRDefault="00245855" w:rsidP="00245855"/>
        </w:tc>
        <w:tc>
          <w:tcPr>
            <w:tcW w:w="1032" w:type="dxa"/>
            <w:vAlign w:val="center"/>
          </w:tcPr>
          <w:p w14:paraId="2243A4AD" w14:textId="77777777" w:rsidR="00245855" w:rsidRPr="00076698" w:rsidRDefault="00245855" w:rsidP="00245855"/>
        </w:tc>
        <w:tc>
          <w:tcPr>
            <w:tcW w:w="1032" w:type="dxa"/>
            <w:vAlign w:val="center"/>
          </w:tcPr>
          <w:p w14:paraId="18114EB3" w14:textId="77777777" w:rsidR="00245855" w:rsidRPr="00076698" w:rsidRDefault="00245855" w:rsidP="00245855"/>
        </w:tc>
        <w:tc>
          <w:tcPr>
            <w:tcW w:w="1032" w:type="dxa"/>
            <w:vAlign w:val="center"/>
          </w:tcPr>
          <w:p w14:paraId="6B04F84D" w14:textId="77777777" w:rsidR="00245855" w:rsidRPr="00076698" w:rsidRDefault="00245855" w:rsidP="00245855"/>
        </w:tc>
      </w:tr>
      <w:tr w:rsidR="00245855" w:rsidRPr="00E2736C" w14:paraId="6A4F11D2" w14:textId="77777777" w:rsidTr="00245855">
        <w:tc>
          <w:tcPr>
            <w:tcW w:w="2760" w:type="dxa"/>
            <w:vAlign w:val="center"/>
          </w:tcPr>
          <w:p w14:paraId="4CBB60AB" w14:textId="77777777" w:rsidR="00245855" w:rsidRDefault="00245855" w:rsidP="00245855">
            <w:r>
              <w:t>Adoquín</w:t>
            </w:r>
          </w:p>
        </w:tc>
        <w:tc>
          <w:tcPr>
            <w:tcW w:w="1080" w:type="dxa"/>
            <w:vAlign w:val="center"/>
          </w:tcPr>
          <w:p w14:paraId="4B786D37" w14:textId="77777777" w:rsidR="00245855" w:rsidRDefault="00245855" w:rsidP="00245855">
            <w:r>
              <w:t>3.50</w:t>
            </w:r>
          </w:p>
        </w:tc>
        <w:tc>
          <w:tcPr>
            <w:tcW w:w="1080" w:type="dxa"/>
            <w:vAlign w:val="center"/>
          </w:tcPr>
          <w:p w14:paraId="6602C2CD" w14:textId="77777777" w:rsidR="00245855" w:rsidRDefault="00245855" w:rsidP="00245855">
            <w:r>
              <w:t>0.20</w:t>
            </w:r>
          </w:p>
        </w:tc>
        <w:tc>
          <w:tcPr>
            <w:tcW w:w="1032" w:type="dxa"/>
            <w:vAlign w:val="center"/>
          </w:tcPr>
          <w:p w14:paraId="12F81AED" w14:textId="77777777" w:rsidR="00245855" w:rsidRDefault="00245855" w:rsidP="00245855">
            <w:r>
              <w:t>X</w:t>
            </w:r>
          </w:p>
        </w:tc>
        <w:tc>
          <w:tcPr>
            <w:tcW w:w="1032" w:type="dxa"/>
            <w:vAlign w:val="center"/>
          </w:tcPr>
          <w:p w14:paraId="532DB184" w14:textId="77777777" w:rsidR="00245855" w:rsidRPr="00076698" w:rsidRDefault="00245855" w:rsidP="00245855"/>
        </w:tc>
        <w:tc>
          <w:tcPr>
            <w:tcW w:w="1032" w:type="dxa"/>
            <w:vAlign w:val="center"/>
          </w:tcPr>
          <w:p w14:paraId="1AFFF05E" w14:textId="77777777" w:rsidR="00245855" w:rsidRPr="00076698" w:rsidRDefault="00245855" w:rsidP="00245855"/>
        </w:tc>
        <w:tc>
          <w:tcPr>
            <w:tcW w:w="1032" w:type="dxa"/>
            <w:vAlign w:val="center"/>
          </w:tcPr>
          <w:p w14:paraId="67B510B3" w14:textId="77777777" w:rsidR="00245855" w:rsidRPr="00076698" w:rsidRDefault="00245855" w:rsidP="00245855"/>
        </w:tc>
        <w:tc>
          <w:tcPr>
            <w:tcW w:w="1032" w:type="dxa"/>
            <w:vAlign w:val="center"/>
          </w:tcPr>
          <w:p w14:paraId="284E98F7" w14:textId="77777777" w:rsidR="00245855" w:rsidRPr="00076698" w:rsidRDefault="00245855" w:rsidP="00245855"/>
        </w:tc>
      </w:tr>
      <w:tr w:rsidR="00245855" w:rsidRPr="00E2736C" w14:paraId="22775D5A" w14:textId="77777777" w:rsidTr="00245855">
        <w:tc>
          <w:tcPr>
            <w:tcW w:w="2760" w:type="dxa"/>
            <w:vAlign w:val="center"/>
          </w:tcPr>
          <w:p w14:paraId="766B9A2D" w14:textId="77777777" w:rsidR="00245855" w:rsidRDefault="00245855" w:rsidP="00245855">
            <w:r>
              <w:t>Pavimento</w:t>
            </w:r>
          </w:p>
        </w:tc>
        <w:tc>
          <w:tcPr>
            <w:tcW w:w="1080" w:type="dxa"/>
            <w:vAlign w:val="center"/>
          </w:tcPr>
          <w:p w14:paraId="190697FA" w14:textId="77777777" w:rsidR="00245855" w:rsidRDefault="00245855" w:rsidP="00245855">
            <w:r>
              <w:t>193.50</w:t>
            </w:r>
          </w:p>
        </w:tc>
        <w:tc>
          <w:tcPr>
            <w:tcW w:w="1080" w:type="dxa"/>
            <w:vAlign w:val="center"/>
          </w:tcPr>
          <w:p w14:paraId="2D010D64" w14:textId="77777777" w:rsidR="00245855" w:rsidRDefault="00245855" w:rsidP="00245855">
            <w:r>
              <w:t>4.00</w:t>
            </w:r>
          </w:p>
        </w:tc>
        <w:tc>
          <w:tcPr>
            <w:tcW w:w="1032" w:type="dxa"/>
            <w:vAlign w:val="center"/>
          </w:tcPr>
          <w:p w14:paraId="1C6B7851" w14:textId="77777777" w:rsidR="00245855" w:rsidRDefault="00245855" w:rsidP="00245855">
            <w:r>
              <w:t>X</w:t>
            </w:r>
          </w:p>
        </w:tc>
        <w:tc>
          <w:tcPr>
            <w:tcW w:w="1032" w:type="dxa"/>
            <w:vAlign w:val="center"/>
          </w:tcPr>
          <w:p w14:paraId="61F37DBC" w14:textId="77777777" w:rsidR="00245855" w:rsidRPr="00076698" w:rsidRDefault="00245855" w:rsidP="00245855"/>
        </w:tc>
        <w:tc>
          <w:tcPr>
            <w:tcW w:w="1032" w:type="dxa"/>
            <w:vAlign w:val="center"/>
          </w:tcPr>
          <w:p w14:paraId="552B8BFB" w14:textId="77777777" w:rsidR="00245855" w:rsidRPr="00076698" w:rsidRDefault="00245855" w:rsidP="00245855"/>
        </w:tc>
        <w:tc>
          <w:tcPr>
            <w:tcW w:w="1032" w:type="dxa"/>
            <w:vAlign w:val="center"/>
          </w:tcPr>
          <w:p w14:paraId="02A6119A" w14:textId="77777777" w:rsidR="00245855" w:rsidRPr="00076698" w:rsidRDefault="00245855" w:rsidP="00245855"/>
        </w:tc>
        <w:tc>
          <w:tcPr>
            <w:tcW w:w="1032" w:type="dxa"/>
            <w:vAlign w:val="center"/>
          </w:tcPr>
          <w:p w14:paraId="37FDE643" w14:textId="77777777" w:rsidR="00245855" w:rsidRPr="00076698" w:rsidRDefault="00245855" w:rsidP="00245855"/>
        </w:tc>
      </w:tr>
    </w:tbl>
    <w:p w14:paraId="58451B56" w14:textId="77777777" w:rsidR="00245855" w:rsidRPr="00C84F94" w:rsidRDefault="00245855" w:rsidP="00245855">
      <w:pPr>
        <w:rPr>
          <w:sz w:val="16"/>
          <w:szCs w:val="16"/>
        </w:rPr>
      </w:pPr>
      <w:r w:rsidRPr="00C84F94">
        <w:rPr>
          <w:sz w:val="16"/>
          <w:szCs w:val="16"/>
        </w:rPr>
        <w:t xml:space="preserve"> </w:t>
      </w:r>
    </w:p>
    <w:p w14:paraId="6E36A3AE" w14:textId="77777777" w:rsidR="00245855" w:rsidRPr="00E2736C" w:rsidRDefault="00245855" w:rsidP="00245855">
      <w:pPr>
        <w:pStyle w:val="Ttulo1"/>
        <w:jc w:val="both"/>
        <w:rPr>
          <w:bCs/>
          <w:iCs/>
          <w:sz w:val="22"/>
          <w:szCs w:val="22"/>
        </w:rPr>
      </w:pPr>
      <w:r w:rsidRPr="00E2736C">
        <w:rPr>
          <w:sz w:val="22"/>
          <w:szCs w:val="22"/>
        </w:rPr>
        <w:t>SERVICIOS DISPONIBLES EN EL ÁREA DE INFLUENCIA DEL PROYECTO</w:t>
      </w:r>
    </w:p>
    <w:tbl>
      <w:tblPr>
        <w:tblStyle w:val="Tablaconcuadrcula"/>
        <w:tblW w:w="0" w:type="auto"/>
        <w:tblInd w:w="108" w:type="dxa"/>
        <w:tblLook w:val="01E0" w:firstRow="1" w:lastRow="1" w:firstColumn="1" w:lastColumn="1" w:noHBand="0" w:noVBand="0"/>
      </w:tblPr>
      <w:tblGrid>
        <w:gridCol w:w="4920"/>
        <w:gridCol w:w="960"/>
      </w:tblGrid>
      <w:tr w:rsidR="00245855" w:rsidRPr="00E2736C" w14:paraId="1AE6EFC1" w14:textId="77777777" w:rsidTr="00245855">
        <w:tc>
          <w:tcPr>
            <w:tcW w:w="4920" w:type="dxa"/>
            <w:shd w:val="clear" w:color="auto" w:fill="00FFFF"/>
            <w:vAlign w:val="center"/>
          </w:tcPr>
          <w:p w14:paraId="41324A90" w14:textId="77777777" w:rsidR="00245855" w:rsidRPr="00E2736C" w:rsidRDefault="00245855" w:rsidP="00245855">
            <w:pPr>
              <w:pStyle w:val="TITULOGENERAL"/>
              <w:spacing w:before="0" w:after="0"/>
              <w:jc w:val="both"/>
              <w:rPr>
                <w:rFonts w:ascii="Times New Roman" w:hAnsi="Times New Roman" w:cs="Times New Roman"/>
                <w:sz w:val="22"/>
                <w:szCs w:val="22"/>
              </w:rPr>
            </w:pPr>
            <w:r w:rsidRPr="00E2736C">
              <w:rPr>
                <w:rFonts w:ascii="Times New Roman" w:hAnsi="Times New Roman" w:cs="Times New Roman"/>
                <w:sz w:val="22"/>
                <w:szCs w:val="22"/>
              </w:rPr>
              <w:t>Servicios disponibles</w:t>
            </w:r>
          </w:p>
        </w:tc>
        <w:tc>
          <w:tcPr>
            <w:tcW w:w="960" w:type="dxa"/>
            <w:shd w:val="clear" w:color="auto" w:fill="00FFFF"/>
            <w:vAlign w:val="center"/>
          </w:tcPr>
          <w:p w14:paraId="416355FF" w14:textId="77777777" w:rsidR="00245855" w:rsidRPr="00E2736C" w:rsidRDefault="00245855" w:rsidP="00245855">
            <w:pPr>
              <w:pStyle w:val="TITULOGENERAL"/>
              <w:spacing w:before="0" w:after="0"/>
              <w:jc w:val="both"/>
              <w:rPr>
                <w:rFonts w:ascii="Times New Roman" w:hAnsi="Times New Roman" w:cs="Times New Roman"/>
                <w:sz w:val="22"/>
                <w:szCs w:val="22"/>
              </w:rPr>
            </w:pPr>
            <w:r w:rsidRPr="00E2736C">
              <w:rPr>
                <w:rFonts w:ascii="Times New Roman" w:hAnsi="Times New Roman" w:cs="Times New Roman"/>
                <w:sz w:val="22"/>
                <w:szCs w:val="22"/>
              </w:rPr>
              <w:t>(S / N)</w:t>
            </w:r>
          </w:p>
        </w:tc>
      </w:tr>
      <w:tr w:rsidR="00245855" w:rsidRPr="00E2736C" w14:paraId="3D0A0E52" w14:textId="77777777" w:rsidTr="00245855">
        <w:tc>
          <w:tcPr>
            <w:tcW w:w="4920" w:type="dxa"/>
            <w:vAlign w:val="center"/>
          </w:tcPr>
          <w:p w14:paraId="288889F8" w14:textId="77777777" w:rsidR="00245855" w:rsidRPr="00E2736C" w:rsidRDefault="00245855" w:rsidP="00245855">
            <w:pPr>
              <w:pStyle w:val="TITULOGENERAL"/>
              <w:spacing w:before="0" w:after="0"/>
              <w:jc w:val="both"/>
              <w:rPr>
                <w:rFonts w:ascii="Times New Roman" w:hAnsi="Times New Roman" w:cs="Times New Roman"/>
                <w:b w:val="0"/>
                <w:sz w:val="22"/>
                <w:szCs w:val="22"/>
              </w:rPr>
            </w:pPr>
            <w:bookmarkStart w:id="1815" w:name="TablaSB"/>
            <w:bookmarkEnd w:id="1815"/>
            <w:r>
              <w:rPr>
                <w:rFonts w:ascii="Times New Roman" w:hAnsi="Times New Roman" w:cs="Times New Roman"/>
                <w:b w:val="0"/>
                <w:sz w:val="22"/>
                <w:szCs w:val="22"/>
              </w:rPr>
              <w:t>Escuela Primaria</w:t>
            </w:r>
          </w:p>
        </w:tc>
        <w:tc>
          <w:tcPr>
            <w:tcW w:w="960" w:type="dxa"/>
            <w:vAlign w:val="center"/>
          </w:tcPr>
          <w:p w14:paraId="1921B42E"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S</w:t>
            </w:r>
          </w:p>
        </w:tc>
      </w:tr>
      <w:tr w:rsidR="00245855" w:rsidRPr="00E2736C" w14:paraId="0E18799C" w14:textId="77777777" w:rsidTr="00245855">
        <w:tc>
          <w:tcPr>
            <w:tcW w:w="4920" w:type="dxa"/>
            <w:vAlign w:val="center"/>
          </w:tcPr>
          <w:p w14:paraId="45D42FD0"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Puesto de Salud</w:t>
            </w:r>
          </w:p>
        </w:tc>
        <w:tc>
          <w:tcPr>
            <w:tcW w:w="960" w:type="dxa"/>
            <w:vAlign w:val="center"/>
          </w:tcPr>
          <w:p w14:paraId="783B1819"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39CE2218" w14:textId="77777777" w:rsidTr="00245855">
        <w:tc>
          <w:tcPr>
            <w:tcW w:w="4920" w:type="dxa"/>
            <w:vAlign w:val="center"/>
          </w:tcPr>
          <w:p w14:paraId="5BFE1955"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Agua Potable</w:t>
            </w:r>
          </w:p>
        </w:tc>
        <w:tc>
          <w:tcPr>
            <w:tcW w:w="960" w:type="dxa"/>
            <w:vAlign w:val="center"/>
          </w:tcPr>
          <w:p w14:paraId="3E1EAC8B"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0A5EC8FB" w14:textId="77777777" w:rsidTr="00245855">
        <w:tc>
          <w:tcPr>
            <w:tcW w:w="4920" w:type="dxa"/>
            <w:vAlign w:val="center"/>
          </w:tcPr>
          <w:p w14:paraId="33FEC524"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lastRenderedPageBreak/>
              <w:t>Alcantarillado Sanitario</w:t>
            </w:r>
          </w:p>
        </w:tc>
        <w:tc>
          <w:tcPr>
            <w:tcW w:w="960" w:type="dxa"/>
            <w:vAlign w:val="center"/>
          </w:tcPr>
          <w:p w14:paraId="4FDDC86C"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771E79A7" w14:textId="77777777" w:rsidTr="00245855">
        <w:tc>
          <w:tcPr>
            <w:tcW w:w="4920" w:type="dxa"/>
            <w:vAlign w:val="center"/>
          </w:tcPr>
          <w:p w14:paraId="7150EE51"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Energía Eléctrica</w:t>
            </w:r>
          </w:p>
        </w:tc>
        <w:tc>
          <w:tcPr>
            <w:tcW w:w="960" w:type="dxa"/>
            <w:vAlign w:val="center"/>
          </w:tcPr>
          <w:p w14:paraId="48D38EEA"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S</w:t>
            </w:r>
          </w:p>
        </w:tc>
      </w:tr>
      <w:tr w:rsidR="00245855" w:rsidRPr="00E2736C" w14:paraId="20B1F41E" w14:textId="77777777" w:rsidTr="00245855">
        <w:tc>
          <w:tcPr>
            <w:tcW w:w="4920" w:type="dxa"/>
            <w:vAlign w:val="center"/>
          </w:tcPr>
          <w:p w14:paraId="672DE2EB"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Teléfono</w:t>
            </w:r>
          </w:p>
        </w:tc>
        <w:tc>
          <w:tcPr>
            <w:tcW w:w="960" w:type="dxa"/>
            <w:vAlign w:val="center"/>
          </w:tcPr>
          <w:p w14:paraId="666736E6"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58B48D59" w14:textId="77777777" w:rsidTr="00245855">
        <w:tc>
          <w:tcPr>
            <w:tcW w:w="4920" w:type="dxa"/>
            <w:vAlign w:val="center"/>
          </w:tcPr>
          <w:p w14:paraId="65EEDF37"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Transporte Colectivo</w:t>
            </w:r>
          </w:p>
        </w:tc>
        <w:tc>
          <w:tcPr>
            <w:tcW w:w="960" w:type="dxa"/>
            <w:vAlign w:val="center"/>
          </w:tcPr>
          <w:p w14:paraId="17F6234A"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1549C2D8" w14:textId="77777777" w:rsidTr="00245855">
        <w:tc>
          <w:tcPr>
            <w:tcW w:w="4920" w:type="dxa"/>
            <w:vAlign w:val="center"/>
          </w:tcPr>
          <w:p w14:paraId="219F6367"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Botadero Autorizado</w:t>
            </w:r>
          </w:p>
        </w:tc>
        <w:tc>
          <w:tcPr>
            <w:tcW w:w="960" w:type="dxa"/>
            <w:vAlign w:val="center"/>
          </w:tcPr>
          <w:p w14:paraId="7AB5389C"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bl>
    <w:p w14:paraId="49C489D9" w14:textId="77777777" w:rsidR="00245855" w:rsidRPr="00C84F94" w:rsidRDefault="00245855" w:rsidP="00245855">
      <w:pPr>
        <w:rPr>
          <w:sz w:val="16"/>
          <w:szCs w:val="16"/>
        </w:rPr>
      </w:pPr>
    </w:p>
    <w:p w14:paraId="13E91836"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sidRPr="00E2736C">
        <w:rPr>
          <w:rFonts w:ascii="Times New Roman" w:hAnsi="Times New Roman" w:cs="Times New Roman"/>
          <w:b w:val="0"/>
          <w:sz w:val="22"/>
          <w:szCs w:val="22"/>
        </w:rPr>
        <w:t xml:space="preserve">Distancia del Proyecto al botadero autorizado:  </w:t>
      </w: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BancoDesechos</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3.00</w:t>
      </w:r>
      <w:r w:rsidRPr="00E2736C">
        <w:rPr>
          <w:rFonts w:ascii="Times New Roman" w:hAnsi="Times New Roman" w:cs="Times New Roman"/>
          <w:b w:val="0"/>
          <w:sz w:val="22"/>
          <w:szCs w:val="22"/>
        </w:rPr>
        <w:fldChar w:fldCharType="end"/>
      </w:r>
      <w:r w:rsidRPr="00E2736C">
        <w:rPr>
          <w:rFonts w:ascii="Times New Roman" w:hAnsi="Times New Roman" w:cs="Times New Roman"/>
          <w:b w:val="0"/>
          <w:sz w:val="22"/>
          <w:szCs w:val="22"/>
        </w:rPr>
        <w:t xml:space="preserve">  Km</w:t>
      </w:r>
    </w:p>
    <w:p w14:paraId="705282F1" w14:textId="77777777" w:rsidR="00245855" w:rsidRPr="00E2736C" w:rsidRDefault="00245855" w:rsidP="00245855">
      <w:pPr>
        <w:pStyle w:val="Ttulo1"/>
        <w:jc w:val="both"/>
        <w:rPr>
          <w:bCs/>
          <w:iCs/>
          <w:sz w:val="22"/>
          <w:szCs w:val="22"/>
        </w:rPr>
      </w:pPr>
      <w:r w:rsidRPr="00E2736C">
        <w:rPr>
          <w:sz w:val="22"/>
          <w:szCs w:val="22"/>
        </w:rPr>
        <w:t>MATERIALES LOCALES DISPONIBLES EN EL ÁREA DE INFLUENCIA DEL  PROYECTO</w:t>
      </w:r>
    </w:p>
    <w:tbl>
      <w:tblPr>
        <w:tblStyle w:val="Tablaconcuadrcula"/>
        <w:tblW w:w="0" w:type="auto"/>
        <w:tblInd w:w="108" w:type="dxa"/>
        <w:tblLook w:val="01E0" w:firstRow="1" w:lastRow="1" w:firstColumn="1" w:lastColumn="1" w:noHBand="0" w:noVBand="0"/>
      </w:tblPr>
      <w:tblGrid>
        <w:gridCol w:w="5880"/>
        <w:gridCol w:w="1320"/>
      </w:tblGrid>
      <w:tr w:rsidR="00245855" w:rsidRPr="00E2736C" w14:paraId="2463EAAA" w14:textId="77777777" w:rsidTr="00245855">
        <w:tc>
          <w:tcPr>
            <w:tcW w:w="5880" w:type="dxa"/>
            <w:shd w:val="clear" w:color="auto" w:fill="00FFFF"/>
            <w:vAlign w:val="center"/>
          </w:tcPr>
          <w:p w14:paraId="287641A7" w14:textId="77777777" w:rsidR="00245855" w:rsidRPr="00E2736C" w:rsidRDefault="00245855" w:rsidP="00245855">
            <w:pPr>
              <w:pStyle w:val="TITULOGENERAL"/>
              <w:spacing w:before="0" w:after="0"/>
              <w:jc w:val="both"/>
              <w:rPr>
                <w:rFonts w:ascii="Times New Roman" w:hAnsi="Times New Roman" w:cs="Times New Roman"/>
                <w:sz w:val="22"/>
                <w:szCs w:val="22"/>
              </w:rPr>
            </w:pPr>
            <w:r w:rsidRPr="00E2736C">
              <w:rPr>
                <w:rFonts w:ascii="Times New Roman" w:hAnsi="Times New Roman" w:cs="Times New Roman"/>
                <w:sz w:val="22"/>
                <w:szCs w:val="22"/>
              </w:rPr>
              <w:t>Materiales locales disponibles</w:t>
            </w:r>
          </w:p>
        </w:tc>
        <w:tc>
          <w:tcPr>
            <w:tcW w:w="1320" w:type="dxa"/>
            <w:shd w:val="clear" w:color="auto" w:fill="00FFFF"/>
            <w:vAlign w:val="center"/>
          </w:tcPr>
          <w:p w14:paraId="5BC15EEF" w14:textId="77777777" w:rsidR="00245855" w:rsidRPr="00E2736C" w:rsidRDefault="00245855" w:rsidP="00245855">
            <w:pPr>
              <w:pStyle w:val="TITULOGENERAL"/>
              <w:spacing w:before="0" w:after="0"/>
              <w:jc w:val="both"/>
              <w:rPr>
                <w:rFonts w:ascii="Times New Roman" w:hAnsi="Times New Roman" w:cs="Times New Roman"/>
                <w:sz w:val="22"/>
                <w:szCs w:val="22"/>
              </w:rPr>
            </w:pPr>
            <w:r w:rsidRPr="00E2736C">
              <w:rPr>
                <w:rFonts w:ascii="Times New Roman" w:hAnsi="Times New Roman" w:cs="Times New Roman"/>
                <w:sz w:val="22"/>
                <w:szCs w:val="22"/>
              </w:rPr>
              <w:t>(S / N)</w:t>
            </w:r>
          </w:p>
        </w:tc>
      </w:tr>
      <w:tr w:rsidR="00245855" w:rsidRPr="00E2736C" w14:paraId="73B3D547" w14:textId="77777777" w:rsidTr="00245855">
        <w:tc>
          <w:tcPr>
            <w:tcW w:w="5880" w:type="dxa"/>
            <w:vAlign w:val="center"/>
          </w:tcPr>
          <w:p w14:paraId="282E4E8E" w14:textId="77777777" w:rsidR="00245855" w:rsidRPr="00E2736C" w:rsidRDefault="00245855" w:rsidP="00245855">
            <w:pPr>
              <w:pStyle w:val="TITULOGENERAL"/>
              <w:spacing w:before="0" w:after="0"/>
              <w:jc w:val="both"/>
              <w:rPr>
                <w:rFonts w:ascii="Times New Roman" w:hAnsi="Times New Roman" w:cs="Times New Roman"/>
                <w:b w:val="0"/>
                <w:sz w:val="22"/>
                <w:szCs w:val="22"/>
              </w:rPr>
            </w:pPr>
            <w:bookmarkStart w:id="1816" w:name="MatConst"/>
            <w:bookmarkEnd w:id="1816"/>
            <w:r>
              <w:rPr>
                <w:rFonts w:ascii="Times New Roman" w:hAnsi="Times New Roman" w:cs="Times New Roman"/>
                <w:b w:val="0"/>
                <w:sz w:val="22"/>
                <w:szCs w:val="22"/>
              </w:rPr>
              <w:t>Arena</w:t>
            </w:r>
          </w:p>
        </w:tc>
        <w:tc>
          <w:tcPr>
            <w:tcW w:w="1320" w:type="dxa"/>
            <w:vAlign w:val="center"/>
          </w:tcPr>
          <w:p w14:paraId="13886C6A" w14:textId="77777777" w:rsidR="00245855" w:rsidRPr="00E2736C"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0894BE30" w14:textId="77777777" w:rsidTr="00245855">
        <w:tc>
          <w:tcPr>
            <w:tcW w:w="5880" w:type="dxa"/>
            <w:vAlign w:val="center"/>
          </w:tcPr>
          <w:p w14:paraId="5509FC87"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Bloque de Mortero</w:t>
            </w:r>
          </w:p>
        </w:tc>
        <w:tc>
          <w:tcPr>
            <w:tcW w:w="1320" w:type="dxa"/>
            <w:vAlign w:val="center"/>
          </w:tcPr>
          <w:p w14:paraId="7B29AB12"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0C4AD32D" w14:textId="77777777" w:rsidTr="00245855">
        <w:tc>
          <w:tcPr>
            <w:tcW w:w="5880" w:type="dxa"/>
            <w:vAlign w:val="center"/>
          </w:tcPr>
          <w:p w14:paraId="4D50F999"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Ladrillo Cuarterón</w:t>
            </w:r>
          </w:p>
        </w:tc>
        <w:tc>
          <w:tcPr>
            <w:tcW w:w="1320" w:type="dxa"/>
            <w:vAlign w:val="center"/>
          </w:tcPr>
          <w:p w14:paraId="36844B55"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6120814C" w14:textId="77777777" w:rsidTr="00245855">
        <w:tc>
          <w:tcPr>
            <w:tcW w:w="5880" w:type="dxa"/>
            <w:vAlign w:val="center"/>
          </w:tcPr>
          <w:p w14:paraId="2D9409EA"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Piedra Triturada</w:t>
            </w:r>
          </w:p>
        </w:tc>
        <w:tc>
          <w:tcPr>
            <w:tcW w:w="1320" w:type="dxa"/>
            <w:vAlign w:val="center"/>
          </w:tcPr>
          <w:p w14:paraId="234D2210"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7C9DE1F6" w14:textId="77777777" w:rsidTr="00245855">
        <w:tc>
          <w:tcPr>
            <w:tcW w:w="5880" w:type="dxa"/>
            <w:vAlign w:val="center"/>
          </w:tcPr>
          <w:p w14:paraId="370D375F"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Piedra Cantera</w:t>
            </w:r>
          </w:p>
        </w:tc>
        <w:tc>
          <w:tcPr>
            <w:tcW w:w="1320" w:type="dxa"/>
            <w:vAlign w:val="center"/>
          </w:tcPr>
          <w:p w14:paraId="11120D88"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4B4A8719" w14:textId="77777777" w:rsidTr="00245855">
        <w:tc>
          <w:tcPr>
            <w:tcW w:w="5880" w:type="dxa"/>
            <w:vAlign w:val="center"/>
          </w:tcPr>
          <w:p w14:paraId="4FF2861D"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Piedra Bolón</w:t>
            </w:r>
          </w:p>
        </w:tc>
        <w:tc>
          <w:tcPr>
            <w:tcW w:w="1320" w:type="dxa"/>
            <w:vAlign w:val="center"/>
          </w:tcPr>
          <w:p w14:paraId="260FE82B"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03E89B74" w14:textId="77777777" w:rsidTr="00245855">
        <w:tc>
          <w:tcPr>
            <w:tcW w:w="5880" w:type="dxa"/>
            <w:vAlign w:val="center"/>
          </w:tcPr>
          <w:p w14:paraId="052D9CE2"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Agua</w:t>
            </w:r>
          </w:p>
        </w:tc>
        <w:tc>
          <w:tcPr>
            <w:tcW w:w="1320" w:type="dxa"/>
            <w:vAlign w:val="center"/>
          </w:tcPr>
          <w:p w14:paraId="41E83290"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S</w:t>
            </w:r>
          </w:p>
        </w:tc>
      </w:tr>
      <w:tr w:rsidR="00245855" w:rsidRPr="00E2736C" w14:paraId="6DD97548" w14:textId="77777777" w:rsidTr="00245855">
        <w:tc>
          <w:tcPr>
            <w:tcW w:w="5880" w:type="dxa"/>
            <w:vAlign w:val="center"/>
          </w:tcPr>
          <w:p w14:paraId="0DA05C27"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Madera de Pino (Blanca)</w:t>
            </w:r>
          </w:p>
        </w:tc>
        <w:tc>
          <w:tcPr>
            <w:tcW w:w="1320" w:type="dxa"/>
            <w:vAlign w:val="center"/>
          </w:tcPr>
          <w:p w14:paraId="5BFC01AF"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r w:rsidR="00245855" w:rsidRPr="00E2736C" w14:paraId="51007AB8" w14:textId="77777777" w:rsidTr="00245855">
        <w:tc>
          <w:tcPr>
            <w:tcW w:w="5880" w:type="dxa"/>
            <w:vAlign w:val="center"/>
          </w:tcPr>
          <w:p w14:paraId="4A753BC6"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Madera Roja</w:t>
            </w:r>
          </w:p>
        </w:tc>
        <w:tc>
          <w:tcPr>
            <w:tcW w:w="1320" w:type="dxa"/>
            <w:vAlign w:val="center"/>
          </w:tcPr>
          <w:p w14:paraId="0E82F512" w14:textId="77777777" w:rsidR="00245855" w:rsidRDefault="00245855" w:rsidP="00245855">
            <w:pPr>
              <w:pStyle w:val="TITULOGENERAL"/>
              <w:spacing w:before="0" w:after="0"/>
              <w:jc w:val="both"/>
              <w:rPr>
                <w:rFonts w:ascii="Times New Roman" w:hAnsi="Times New Roman" w:cs="Times New Roman"/>
                <w:b w:val="0"/>
                <w:sz w:val="22"/>
                <w:szCs w:val="22"/>
              </w:rPr>
            </w:pPr>
            <w:r>
              <w:rPr>
                <w:rFonts w:ascii="Times New Roman" w:hAnsi="Times New Roman" w:cs="Times New Roman"/>
                <w:b w:val="0"/>
                <w:sz w:val="22"/>
                <w:szCs w:val="22"/>
              </w:rPr>
              <w:t>N</w:t>
            </w:r>
          </w:p>
        </w:tc>
      </w:tr>
    </w:tbl>
    <w:p w14:paraId="1A70D41D" w14:textId="77777777" w:rsidR="00245855" w:rsidRPr="00C84F94" w:rsidRDefault="00245855" w:rsidP="00245855">
      <w:pPr>
        <w:rPr>
          <w:sz w:val="16"/>
          <w:szCs w:val="16"/>
        </w:rPr>
      </w:pPr>
    </w:p>
    <w:p w14:paraId="75862C42" w14:textId="77777777" w:rsidR="00245855" w:rsidRPr="00E2736C" w:rsidRDefault="00245855" w:rsidP="00245855">
      <w:pPr>
        <w:pStyle w:val="Ttulo1"/>
        <w:jc w:val="both"/>
        <w:rPr>
          <w:bCs/>
          <w:iCs/>
          <w:sz w:val="22"/>
          <w:szCs w:val="22"/>
        </w:rPr>
      </w:pPr>
      <w:r w:rsidRPr="00E2736C">
        <w:rPr>
          <w:sz w:val="22"/>
          <w:szCs w:val="22"/>
        </w:rPr>
        <w:t>NIVEL FREÁTICO Y PRECIPITACIÓN</w:t>
      </w:r>
    </w:p>
    <w:tbl>
      <w:tblPr>
        <w:tblStyle w:val="Tablaconcuadrcula"/>
        <w:tblW w:w="0" w:type="auto"/>
        <w:tblInd w:w="108" w:type="dxa"/>
        <w:tblLook w:val="01E0" w:firstRow="1" w:lastRow="1" w:firstColumn="1" w:lastColumn="1" w:noHBand="0" w:noVBand="0"/>
      </w:tblPr>
      <w:tblGrid>
        <w:gridCol w:w="5880"/>
        <w:gridCol w:w="1320"/>
      </w:tblGrid>
      <w:tr w:rsidR="00245855" w:rsidRPr="00E2736C" w14:paraId="102BDFFA" w14:textId="77777777" w:rsidTr="00245855">
        <w:tc>
          <w:tcPr>
            <w:tcW w:w="5880" w:type="dxa"/>
            <w:vAlign w:val="bottom"/>
          </w:tcPr>
          <w:p w14:paraId="375CC402" w14:textId="77777777" w:rsidR="00245855" w:rsidRPr="00E2736C" w:rsidRDefault="00245855" w:rsidP="00245855">
            <w:pPr>
              <w:rPr>
                <w:sz w:val="22"/>
                <w:szCs w:val="22"/>
              </w:rPr>
            </w:pPr>
            <w:r w:rsidRPr="00E2736C">
              <w:rPr>
                <w:sz w:val="22"/>
                <w:szCs w:val="22"/>
              </w:rPr>
              <w:t>Profundidad del nivel freático en invierno  (m)</w:t>
            </w:r>
          </w:p>
        </w:tc>
        <w:tc>
          <w:tcPr>
            <w:tcW w:w="1320" w:type="dxa"/>
            <w:vAlign w:val="bottom"/>
          </w:tcPr>
          <w:p w14:paraId="7CD84715" w14:textId="77777777" w:rsidR="00245855" w:rsidRPr="00E2736C" w:rsidRDefault="00245855" w:rsidP="00245855">
            <w:pPr>
              <w:rPr>
                <w:sz w:val="22"/>
                <w:szCs w:val="22"/>
              </w:rPr>
            </w:pPr>
            <w:r w:rsidRPr="00E2736C">
              <w:rPr>
                <w:sz w:val="22"/>
                <w:szCs w:val="22"/>
              </w:rPr>
              <w:fldChar w:fldCharType="begin"/>
            </w:r>
            <w:r w:rsidRPr="00E2736C">
              <w:rPr>
                <w:sz w:val="22"/>
                <w:szCs w:val="22"/>
              </w:rPr>
              <w:instrText xml:space="preserve"> DOCVARIABLE  ProfNFInv</w:instrText>
            </w:r>
            <w:r w:rsidRPr="00E2736C">
              <w:rPr>
                <w:sz w:val="22"/>
                <w:szCs w:val="22"/>
              </w:rPr>
              <w:fldChar w:fldCharType="separate"/>
            </w:r>
            <w:r>
              <w:rPr>
                <w:sz w:val="22"/>
                <w:szCs w:val="22"/>
              </w:rPr>
              <w:t>0.00</w:t>
            </w:r>
            <w:r w:rsidRPr="00E2736C">
              <w:rPr>
                <w:sz w:val="22"/>
                <w:szCs w:val="22"/>
              </w:rPr>
              <w:fldChar w:fldCharType="end"/>
            </w:r>
          </w:p>
        </w:tc>
      </w:tr>
      <w:tr w:rsidR="00245855" w:rsidRPr="00E2736C" w14:paraId="6D38AE11" w14:textId="77777777" w:rsidTr="00245855">
        <w:tc>
          <w:tcPr>
            <w:tcW w:w="5880" w:type="dxa"/>
            <w:vAlign w:val="bottom"/>
          </w:tcPr>
          <w:p w14:paraId="7E3C2A4C" w14:textId="77777777" w:rsidR="00245855" w:rsidRPr="00E2736C" w:rsidRDefault="00245855" w:rsidP="00245855">
            <w:pPr>
              <w:rPr>
                <w:sz w:val="22"/>
                <w:szCs w:val="22"/>
              </w:rPr>
            </w:pPr>
            <w:r w:rsidRPr="00E2736C">
              <w:rPr>
                <w:sz w:val="22"/>
                <w:szCs w:val="22"/>
              </w:rPr>
              <w:t>Duración del invierno en la zona del proyecto (meses)</w:t>
            </w:r>
          </w:p>
        </w:tc>
        <w:tc>
          <w:tcPr>
            <w:tcW w:w="1320" w:type="dxa"/>
            <w:vAlign w:val="bottom"/>
          </w:tcPr>
          <w:p w14:paraId="652F9374" w14:textId="77777777" w:rsidR="00245855" w:rsidRPr="00E2736C" w:rsidRDefault="00245855" w:rsidP="00245855">
            <w:pPr>
              <w:rPr>
                <w:sz w:val="22"/>
                <w:szCs w:val="22"/>
              </w:rPr>
            </w:pPr>
            <w:r w:rsidRPr="00E2736C">
              <w:rPr>
                <w:sz w:val="22"/>
                <w:szCs w:val="22"/>
              </w:rPr>
              <w:fldChar w:fldCharType="begin"/>
            </w:r>
            <w:r w:rsidRPr="00E2736C">
              <w:rPr>
                <w:sz w:val="22"/>
                <w:szCs w:val="22"/>
              </w:rPr>
              <w:instrText xml:space="preserve"> DOCVARIABLE  DuraInv</w:instrText>
            </w:r>
            <w:r w:rsidRPr="00E2736C">
              <w:rPr>
                <w:sz w:val="22"/>
                <w:szCs w:val="22"/>
              </w:rPr>
              <w:fldChar w:fldCharType="separate"/>
            </w:r>
            <w:r>
              <w:rPr>
                <w:sz w:val="22"/>
                <w:szCs w:val="22"/>
              </w:rPr>
              <w:t>0.00</w:t>
            </w:r>
            <w:r w:rsidRPr="00E2736C">
              <w:rPr>
                <w:sz w:val="22"/>
                <w:szCs w:val="22"/>
              </w:rPr>
              <w:fldChar w:fldCharType="end"/>
            </w:r>
          </w:p>
        </w:tc>
      </w:tr>
      <w:tr w:rsidR="00245855" w:rsidRPr="00E2736C" w14:paraId="38A1A041" w14:textId="77777777" w:rsidTr="00245855">
        <w:tc>
          <w:tcPr>
            <w:tcW w:w="5880" w:type="dxa"/>
            <w:vAlign w:val="bottom"/>
          </w:tcPr>
          <w:p w14:paraId="327AB5B7" w14:textId="77777777" w:rsidR="00245855" w:rsidRPr="00E2736C" w:rsidRDefault="00245855" w:rsidP="00245855">
            <w:pPr>
              <w:rPr>
                <w:sz w:val="22"/>
                <w:szCs w:val="22"/>
              </w:rPr>
            </w:pPr>
            <w:r w:rsidRPr="00E2736C">
              <w:rPr>
                <w:sz w:val="22"/>
                <w:szCs w:val="22"/>
              </w:rPr>
              <w:t>Precipitación anual estimada (mm)</w:t>
            </w:r>
          </w:p>
        </w:tc>
        <w:tc>
          <w:tcPr>
            <w:tcW w:w="1320" w:type="dxa"/>
            <w:vAlign w:val="bottom"/>
          </w:tcPr>
          <w:p w14:paraId="289A0AEB" w14:textId="77777777" w:rsidR="00245855" w:rsidRPr="00E2736C" w:rsidRDefault="00245855" w:rsidP="00245855">
            <w:pPr>
              <w:rPr>
                <w:sz w:val="22"/>
                <w:szCs w:val="22"/>
              </w:rPr>
            </w:pPr>
            <w:r w:rsidRPr="00E2736C">
              <w:rPr>
                <w:sz w:val="22"/>
                <w:szCs w:val="22"/>
              </w:rPr>
              <w:fldChar w:fldCharType="begin"/>
            </w:r>
            <w:r w:rsidRPr="00E2736C">
              <w:rPr>
                <w:sz w:val="22"/>
                <w:szCs w:val="22"/>
              </w:rPr>
              <w:instrText xml:space="preserve"> DOCVARIABLE  PrecipAnual</w:instrText>
            </w:r>
            <w:r w:rsidRPr="00E2736C">
              <w:rPr>
                <w:sz w:val="22"/>
                <w:szCs w:val="22"/>
              </w:rPr>
              <w:fldChar w:fldCharType="separate"/>
            </w:r>
            <w:r>
              <w:rPr>
                <w:sz w:val="22"/>
                <w:szCs w:val="22"/>
              </w:rPr>
              <w:t>0.00</w:t>
            </w:r>
            <w:r w:rsidRPr="00E2736C">
              <w:rPr>
                <w:sz w:val="22"/>
                <w:szCs w:val="22"/>
              </w:rPr>
              <w:fldChar w:fldCharType="end"/>
            </w:r>
          </w:p>
        </w:tc>
      </w:tr>
    </w:tbl>
    <w:p w14:paraId="2B8DB103" w14:textId="77777777" w:rsidR="00245855" w:rsidRPr="00C84F94" w:rsidRDefault="00245855" w:rsidP="00245855">
      <w:pPr>
        <w:rPr>
          <w:sz w:val="16"/>
          <w:szCs w:val="16"/>
        </w:rPr>
      </w:pPr>
    </w:p>
    <w:p w14:paraId="75CC79EE" w14:textId="77777777" w:rsidR="00245855" w:rsidRPr="00E2736C" w:rsidRDefault="00245855" w:rsidP="00245855">
      <w:pPr>
        <w:pStyle w:val="Ttulo1"/>
        <w:jc w:val="both"/>
        <w:rPr>
          <w:bCs/>
          <w:iCs/>
          <w:sz w:val="22"/>
          <w:szCs w:val="22"/>
        </w:rPr>
      </w:pPr>
      <w:r w:rsidRPr="00E2736C">
        <w:rPr>
          <w:sz w:val="22"/>
          <w:szCs w:val="22"/>
        </w:rPr>
        <w:t>BANCO</w:t>
      </w:r>
      <w:r>
        <w:rPr>
          <w:sz w:val="22"/>
          <w:szCs w:val="22"/>
        </w:rPr>
        <w:t>S</w:t>
      </w:r>
      <w:r w:rsidRPr="00E2736C">
        <w:rPr>
          <w:sz w:val="22"/>
          <w:szCs w:val="22"/>
        </w:rPr>
        <w:t xml:space="preserve"> DE MATERIALES</w:t>
      </w:r>
    </w:p>
    <w:tbl>
      <w:tblPr>
        <w:tblStyle w:val="Tablaconcuadrcula"/>
        <w:tblpPr w:leftFromText="141" w:rightFromText="141" w:vertAnchor="text" w:horzAnchor="margin" w:tblpX="108" w:tblpY="60"/>
        <w:tblW w:w="10068" w:type="dxa"/>
        <w:tblLook w:val="01E0" w:firstRow="1" w:lastRow="1" w:firstColumn="1" w:lastColumn="1" w:noHBand="0" w:noVBand="0"/>
      </w:tblPr>
      <w:tblGrid>
        <w:gridCol w:w="3732"/>
        <w:gridCol w:w="2112"/>
        <w:gridCol w:w="2112"/>
        <w:gridCol w:w="2112"/>
      </w:tblGrid>
      <w:tr w:rsidR="00245855" w:rsidRPr="00E2736C" w14:paraId="7B55B53C" w14:textId="77777777" w:rsidTr="00245855">
        <w:tc>
          <w:tcPr>
            <w:tcW w:w="3732" w:type="dxa"/>
            <w:shd w:val="clear" w:color="auto" w:fill="00FFFF"/>
          </w:tcPr>
          <w:p w14:paraId="406EA85B" w14:textId="77777777" w:rsidR="00245855" w:rsidRPr="00E2736C" w:rsidRDefault="00245855" w:rsidP="00245855">
            <w:pPr>
              <w:rPr>
                <w:b/>
                <w:sz w:val="22"/>
                <w:szCs w:val="22"/>
              </w:rPr>
            </w:pPr>
            <w:r w:rsidRPr="00E2736C">
              <w:rPr>
                <w:b/>
                <w:sz w:val="22"/>
                <w:szCs w:val="22"/>
              </w:rPr>
              <w:t>Características del Banco</w:t>
            </w:r>
          </w:p>
        </w:tc>
        <w:tc>
          <w:tcPr>
            <w:tcW w:w="2112" w:type="dxa"/>
            <w:shd w:val="clear" w:color="auto" w:fill="00FFFF"/>
          </w:tcPr>
          <w:p w14:paraId="703D7F80" w14:textId="77777777" w:rsidR="00245855" w:rsidRPr="00E2736C" w:rsidRDefault="00245855" w:rsidP="00245855">
            <w:pPr>
              <w:rPr>
                <w:b/>
                <w:sz w:val="22"/>
                <w:szCs w:val="22"/>
              </w:rPr>
            </w:pPr>
            <w:r w:rsidRPr="00E2736C">
              <w:rPr>
                <w:b/>
                <w:sz w:val="22"/>
                <w:szCs w:val="22"/>
              </w:rPr>
              <w:t xml:space="preserve">Banco </w:t>
            </w:r>
            <w:r>
              <w:rPr>
                <w:b/>
                <w:sz w:val="22"/>
                <w:szCs w:val="22"/>
              </w:rPr>
              <w:t xml:space="preserve"># </w:t>
            </w:r>
            <w:r w:rsidRPr="00E2736C">
              <w:rPr>
                <w:b/>
                <w:sz w:val="22"/>
                <w:szCs w:val="22"/>
              </w:rPr>
              <w:t>1</w:t>
            </w:r>
          </w:p>
        </w:tc>
        <w:tc>
          <w:tcPr>
            <w:tcW w:w="2112" w:type="dxa"/>
            <w:shd w:val="clear" w:color="auto" w:fill="00FFFF"/>
          </w:tcPr>
          <w:p w14:paraId="0251468B" w14:textId="77777777" w:rsidR="00245855" w:rsidRPr="00E2736C" w:rsidRDefault="00245855" w:rsidP="00245855">
            <w:pPr>
              <w:rPr>
                <w:b/>
                <w:sz w:val="22"/>
                <w:szCs w:val="22"/>
              </w:rPr>
            </w:pPr>
            <w:r w:rsidRPr="00E2736C">
              <w:rPr>
                <w:b/>
                <w:sz w:val="22"/>
                <w:szCs w:val="22"/>
              </w:rPr>
              <w:t>Banco</w:t>
            </w:r>
            <w:r>
              <w:rPr>
                <w:b/>
                <w:sz w:val="22"/>
                <w:szCs w:val="22"/>
              </w:rPr>
              <w:t xml:space="preserve"> #</w:t>
            </w:r>
            <w:r w:rsidRPr="00E2736C">
              <w:rPr>
                <w:b/>
                <w:sz w:val="22"/>
                <w:szCs w:val="22"/>
              </w:rPr>
              <w:t xml:space="preserve"> 2</w:t>
            </w:r>
          </w:p>
        </w:tc>
        <w:tc>
          <w:tcPr>
            <w:tcW w:w="2112" w:type="dxa"/>
            <w:shd w:val="clear" w:color="auto" w:fill="00FFFF"/>
          </w:tcPr>
          <w:p w14:paraId="030BEB7C" w14:textId="77777777" w:rsidR="00245855" w:rsidRPr="00E2736C" w:rsidRDefault="00245855" w:rsidP="00245855">
            <w:pPr>
              <w:rPr>
                <w:b/>
                <w:sz w:val="22"/>
                <w:szCs w:val="22"/>
              </w:rPr>
            </w:pPr>
            <w:r w:rsidRPr="00E2736C">
              <w:rPr>
                <w:b/>
                <w:sz w:val="22"/>
                <w:szCs w:val="22"/>
              </w:rPr>
              <w:t>Banco</w:t>
            </w:r>
            <w:r>
              <w:rPr>
                <w:b/>
                <w:sz w:val="22"/>
                <w:szCs w:val="22"/>
              </w:rPr>
              <w:t xml:space="preserve"> #</w:t>
            </w:r>
            <w:r w:rsidRPr="00E2736C">
              <w:rPr>
                <w:b/>
                <w:sz w:val="22"/>
                <w:szCs w:val="22"/>
              </w:rPr>
              <w:t xml:space="preserve"> 3</w:t>
            </w:r>
          </w:p>
        </w:tc>
      </w:tr>
      <w:tr w:rsidR="00245855" w:rsidRPr="00E2736C" w14:paraId="274ED221" w14:textId="77777777" w:rsidTr="00245855">
        <w:trPr>
          <w:trHeight w:val="495"/>
        </w:trPr>
        <w:tc>
          <w:tcPr>
            <w:tcW w:w="3732" w:type="dxa"/>
            <w:vAlign w:val="center"/>
          </w:tcPr>
          <w:p w14:paraId="2216B0AF" w14:textId="77777777" w:rsidR="00245855" w:rsidRPr="00E2736C" w:rsidRDefault="00245855" w:rsidP="00245855">
            <w:pPr>
              <w:rPr>
                <w:sz w:val="22"/>
                <w:szCs w:val="22"/>
              </w:rPr>
            </w:pPr>
            <w:r w:rsidRPr="00E2736C">
              <w:rPr>
                <w:sz w:val="22"/>
                <w:szCs w:val="22"/>
              </w:rPr>
              <w:t xml:space="preserve">Nombre  del  Banco de Materiales   </w:t>
            </w:r>
          </w:p>
        </w:tc>
        <w:tc>
          <w:tcPr>
            <w:tcW w:w="2112" w:type="dxa"/>
            <w:vAlign w:val="center"/>
          </w:tcPr>
          <w:p w14:paraId="5B84FF84" w14:textId="77777777" w:rsidR="00245855" w:rsidRPr="00E2736C" w:rsidRDefault="00245855" w:rsidP="00245855">
            <w:pPr>
              <w:rPr>
                <w:sz w:val="22"/>
                <w:szCs w:val="22"/>
              </w:rPr>
            </w:pPr>
            <w:bookmarkStart w:id="1817" w:name="Banco1"/>
            <w:bookmarkEnd w:id="1817"/>
          </w:p>
        </w:tc>
        <w:tc>
          <w:tcPr>
            <w:tcW w:w="2112" w:type="dxa"/>
            <w:vAlign w:val="center"/>
          </w:tcPr>
          <w:p w14:paraId="184B51E8" w14:textId="77777777" w:rsidR="00245855" w:rsidRPr="00E2736C" w:rsidRDefault="00245855" w:rsidP="00245855">
            <w:pPr>
              <w:rPr>
                <w:sz w:val="22"/>
                <w:szCs w:val="22"/>
              </w:rPr>
            </w:pPr>
            <w:bookmarkStart w:id="1818" w:name="Banco2"/>
            <w:bookmarkEnd w:id="1818"/>
          </w:p>
        </w:tc>
        <w:tc>
          <w:tcPr>
            <w:tcW w:w="2112" w:type="dxa"/>
            <w:vAlign w:val="center"/>
          </w:tcPr>
          <w:p w14:paraId="1C91FACA" w14:textId="77777777" w:rsidR="00245855" w:rsidRPr="00E2736C" w:rsidRDefault="00245855" w:rsidP="00245855">
            <w:pPr>
              <w:rPr>
                <w:sz w:val="22"/>
                <w:szCs w:val="22"/>
              </w:rPr>
            </w:pPr>
            <w:bookmarkStart w:id="1819" w:name="Banco3"/>
            <w:bookmarkEnd w:id="1819"/>
          </w:p>
        </w:tc>
      </w:tr>
      <w:tr w:rsidR="00245855" w:rsidRPr="00E2736C" w14:paraId="4A8EAC9A" w14:textId="77777777" w:rsidTr="00245855">
        <w:trPr>
          <w:trHeight w:val="495"/>
        </w:trPr>
        <w:tc>
          <w:tcPr>
            <w:tcW w:w="3732" w:type="dxa"/>
            <w:vAlign w:val="center"/>
          </w:tcPr>
          <w:p w14:paraId="15DFFF0D" w14:textId="77777777" w:rsidR="00245855" w:rsidRPr="00E2736C" w:rsidRDefault="00245855" w:rsidP="00245855">
            <w:pPr>
              <w:rPr>
                <w:sz w:val="22"/>
                <w:szCs w:val="22"/>
              </w:rPr>
            </w:pPr>
            <w:r w:rsidRPr="00E2736C">
              <w:rPr>
                <w:sz w:val="22"/>
                <w:szCs w:val="22"/>
              </w:rPr>
              <w:t>Tipo de Tenencia (</w:t>
            </w:r>
            <w:r w:rsidRPr="00E2736C">
              <w:rPr>
                <w:i/>
                <w:sz w:val="22"/>
                <w:szCs w:val="22"/>
              </w:rPr>
              <w:t>Pública o Privada</w:t>
            </w:r>
            <w:r w:rsidRPr="00E2736C">
              <w:rPr>
                <w:sz w:val="22"/>
                <w:szCs w:val="22"/>
              </w:rPr>
              <w:t>)</w:t>
            </w:r>
          </w:p>
        </w:tc>
        <w:tc>
          <w:tcPr>
            <w:tcW w:w="2112" w:type="dxa"/>
            <w:vAlign w:val="center"/>
          </w:tcPr>
          <w:p w14:paraId="4D485F01" w14:textId="77777777" w:rsidR="00245855" w:rsidRPr="00E2736C" w:rsidRDefault="00245855" w:rsidP="00245855">
            <w:pPr>
              <w:rPr>
                <w:sz w:val="22"/>
                <w:szCs w:val="22"/>
              </w:rPr>
            </w:pPr>
          </w:p>
        </w:tc>
        <w:tc>
          <w:tcPr>
            <w:tcW w:w="2112" w:type="dxa"/>
            <w:vAlign w:val="center"/>
          </w:tcPr>
          <w:p w14:paraId="6C717590" w14:textId="77777777" w:rsidR="00245855" w:rsidRPr="00E2736C" w:rsidRDefault="00245855" w:rsidP="00245855">
            <w:pPr>
              <w:rPr>
                <w:sz w:val="22"/>
                <w:szCs w:val="22"/>
              </w:rPr>
            </w:pPr>
          </w:p>
        </w:tc>
        <w:tc>
          <w:tcPr>
            <w:tcW w:w="2112" w:type="dxa"/>
            <w:vAlign w:val="center"/>
          </w:tcPr>
          <w:p w14:paraId="57B80B19" w14:textId="77777777" w:rsidR="00245855" w:rsidRPr="00E2736C" w:rsidRDefault="00245855" w:rsidP="00245855">
            <w:pPr>
              <w:rPr>
                <w:sz w:val="22"/>
                <w:szCs w:val="22"/>
              </w:rPr>
            </w:pPr>
          </w:p>
        </w:tc>
      </w:tr>
      <w:tr w:rsidR="00245855" w:rsidRPr="00E2736C" w14:paraId="57980CAA" w14:textId="77777777" w:rsidTr="00245855">
        <w:trPr>
          <w:trHeight w:val="495"/>
        </w:trPr>
        <w:tc>
          <w:tcPr>
            <w:tcW w:w="3732" w:type="dxa"/>
            <w:vAlign w:val="center"/>
          </w:tcPr>
          <w:p w14:paraId="5E8066B6" w14:textId="77777777" w:rsidR="00245855" w:rsidRPr="00E2736C" w:rsidRDefault="00245855" w:rsidP="00245855">
            <w:pPr>
              <w:rPr>
                <w:sz w:val="22"/>
                <w:szCs w:val="22"/>
              </w:rPr>
            </w:pPr>
            <w:r w:rsidRPr="00E2736C">
              <w:rPr>
                <w:sz w:val="22"/>
                <w:szCs w:val="22"/>
              </w:rPr>
              <w:t>Nombre del Dueño</w:t>
            </w:r>
          </w:p>
        </w:tc>
        <w:tc>
          <w:tcPr>
            <w:tcW w:w="2112" w:type="dxa"/>
            <w:vAlign w:val="center"/>
          </w:tcPr>
          <w:p w14:paraId="7EF13AFD" w14:textId="77777777" w:rsidR="00245855" w:rsidRPr="00E2736C" w:rsidRDefault="00245855" w:rsidP="00245855">
            <w:pPr>
              <w:rPr>
                <w:sz w:val="22"/>
                <w:szCs w:val="22"/>
              </w:rPr>
            </w:pPr>
          </w:p>
        </w:tc>
        <w:tc>
          <w:tcPr>
            <w:tcW w:w="2112" w:type="dxa"/>
            <w:vAlign w:val="center"/>
          </w:tcPr>
          <w:p w14:paraId="07710B2D" w14:textId="77777777" w:rsidR="00245855" w:rsidRPr="00E2736C" w:rsidRDefault="00245855" w:rsidP="00245855">
            <w:pPr>
              <w:rPr>
                <w:sz w:val="22"/>
                <w:szCs w:val="22"/>
              </w:rPr>
            </w:pPr>
          </w:p>
        </w:tc>
        <w:tc>
          <w:tcPr>
            <w:tcW w:w="2112" w:type="dxa"/>
            <w:vAlign w:val="center"/>
          </w:tcPr>
          <w:p w14:paraId="16C67C37" w14:textId="77777777" w:rsidR="00245855" w:rsidRPr="00E2736C" w:rsidRDefault="00245855" w:rsidP="00245855">
            <w:pPr>
              <w:rPr>
                <w:sz w:val="22"/>
                <w:szCs w:val="22"/>
              </w:rPr>
            </w:pPr>
          </w:p>
        </w:tc>
      </w:tr>
      <w:tr w:rsidR="00245855" w:rsidRPr="00E2736C" w14:paraId="76D09453" w14:textId="77777777" w:rsidTr="00245855">
        <w:trPr>
          <w:trHeight w:val="495"/>
        </w:trPr>
        <w:tc>
          <w:tcPr>
            <w:tcW w:w="3732" w:type="dxa"/>
            <w:vAlign w:val="center"/>
          </w:tcPr>
          <w:p w14:paraId="7F2AC8EB" w14:textId="77777777" w:rsidR="00245855" w:rsidRPr="00E2736C" w:rsidRDefault="00245855" w:rsidP="00245855">
            <w:pPr>
              <w:rPr>
                <w:sz w:val="22"/>
                <w:szCs w:val="22"/>
              </w:rPr>
            </w:pPr>
            <w:r w:rsidRPr="00E2736C">
              <w:rPr>
                <w:sz w:val="22"/>
                <w:szCs w:val="22"/>
              </w:rPr>
              <w:t>Estado de la vía de Acceso al Banco de Materiales (</w:t>
            </w:r>
            <w:r w:rsidRPr="00E2736C">
              <w:rPr>
                <w:i/>
                <w:sz w:val="22"/>
                <w:szCs w:val="22"/>
              </w:rPr>
              <w:t>Buena, Regular, Mala</w:t>
            </w:r>
            <w:r w:rsidRPr="00E2736C">
              <w:rPr>
                <w:sz w:val="22"/>
                <w:szCs w:val="22"/>
              </w:rPr>
              <w:t>)</w:t>
            </w:r>
          </w:p>
        </w:tc>
        <w:tc>
          <w:tcPr>
            <w:tcW w:w="2112" w:type="dxa"/>
            <w:vAlign w:val="center"/>
          </w:tcPr>
          <w:p w14:paraId="276AE68B" w14:textId="77777777" w:rsidR="00245855" w:rsidRPr="00E2736C" w:rsidRDefault="00245855" w:rsidP="00245855">
            <w:pPr>
              <w:rPr>
                <w:sz w:val="22"/>
                <w:szCs w:val="22"/>
              </w:rPr>
            </w:pPr>
          </w:p>
        </w:tc>
        <w:tc>
          <w:tcPr>
            <w:tcW w:w="2112" w:type="dxa"/>
            <w:vAlign w:val="center"/>
          </w:tcPr>
          <w:p w14:paraId="4B1B300C" w14:textId="77777777" w:rsidR="00245855" w:rsidRPr="00E2736C" w:rsidRDefault="00245855" w:rsidP="00245855">
            <w:pPr>
              <w:rPr>
                <w:sz w:val="22"/>
                <w:szCs w:val="22"/>
              </w:rPr>
            </w:pPr>
          </w:p>
        </w:tc>
        <w:tc>
          <w:tcPr>
            <w:tcW w:w="2112" w:type="dxa"/>
            <w:vAlign w:val="center"/>
          </w:tcPr>
          <w:p w14:paraId="6D0F161F" w14:textId="77777777" w:rsidR="00245855" w:rsidRPr="00E2736C" w:rsidRDefault="00245855" w:rsidP="00245855">
            <w:pPr>
              <w:rPr>
                <w:sz w:val="22"/>
                <w:szCs w:val="22"/>
              </w:rPr>
            </w:pPr>
          </w:p>
        </w:tc>
      </w:tr>
      <w:tr w:rsidR="00245855" w:rsidRPr="00E2736C" w14:paraId="4FAD0AA5" w14:textId="77777777" w:rsidTr="00245855">
        <w:trPr>
          <w:trHeight w:val="495"/>
        </w:trPr>
        <w:tc>
          <w:tcPr>
            <w:tcW w:w="3732" w:type="dxa"/>
            <w:vAlign w:val="center"/>
          </w:tcPr>
          <w:p w14:paraId="3AD7381A" w14:textId="77777777" w:rsidR="00245855" w:rsidRPr="00E2736C" w:rsidRDefault="00245855" w:rsidP="00245855">
            <w:pPr>
              <w:rPr>
                <w:sz w:val="22"/>
                <w:szCs w:val="22"/>
              </w:rPr>
            </w:pPr>
            <w:r w:rsidRPr="00E2736C">
              <w:rPr>
                <w:sz w:val="22"/>
                <w:szCs w:val="22"/>
              </w:rPr>
              <w:t>Distancia entre el Banco de Materiales y el Proyecto (Km)</w:t>
            </w:r>
          </w:p>
        </w:tc>
        <w:tc>
          <w:tcPr>
            <w:tcW w:w="2112" w:type="dxa"/>
            <w:vAlign w:val="center"/>
          </w:tcPr>
          <w:p w14:paraId="6D901256" w14:textId="77777777" w:rsidR="00245855" w:rsidRPr="00E2736C" w:rsidRDefault="00245855" w:rsidP="00245855">
            <w:pPr>
              <w:rPr>
                <w:sz w:val="22"/>
                <w:szCs w:val="22"/>
              </w:rPr>
            </w:pPr>
          </w:p>
        </w:tc>
        <w:tc>
          <w:tcPr>
            <w:tcW w:w="2112" w:type="dxa"/>
            <w:vAlign w:val="center"/>
          </w:tcPr>
          <w:p w14:paraId="4B1C65BA" w14:textId="77777777" w:rsidR="00245855" w:rsidRPr="00E2736C" w:rsidRDefault="00245855" w:rsidP="00245855">
            <w:pPr>
              <w:rPr>
                <w:sz w:val="22"/>
                <w:szCs w:val="22"/>
              </w:rPr>
            </w:pPr>
          </w:p>
        </w:tc>
        <w:tc>
          <w:tcPr>
            <w:tcW w:w="2112" w:type="dxa"/>
            <w:vAlign w:val="center"/>
          </w:tcPr>
          <w:p w14:paraId="1B776D69" w14:textId="77777777" w:rsidR="00245855" w:rsidRPr="00E2736C" w:rsidRDefault="00245855" w:rsidP="00245855">
            <w:pPr>
              <w:rPr>
                <w:sz w:val="22"/>
                <w:szCs w:val="22"/>
              </w:rPr>
            </w:pPr>
          </w:p>
        </w:tc>
      </w:tr>
      <w:tr w:rsidR="00245855" w:rsidRPr="00E2736C" w14:paraId="348B13B0" w14:textId="77777777" w:rsidTr="00245855">
        <w:trPr>
          <w:trHeight w:val="495"/>
        </w:trPr>
        <w:tc>
          <w:tcPr>
            <w:tcW w:w="3732" w:type="dxa"/>
            <w:vAlign w:val="center"/>
          </w:tcPr>
          <w:p w14:paraId="3C7E29F1" w14:textId="77777777" w:rsidR="00245855" w:rsidRPr="00E2736C" w:rsidRDefault="00245855" w:rsidP="00245855">
            <w:pPr>
              <w:rPr>
                <w:i/>
                <w:sz w:val="22"/>
                <w:szCs w:val="22"/>
              </w:rPr>
            </w:pPr>
            <w:r w:rsidRPr="00E2736C">
              <w:rPr>
                <w:sz w:val="22"/>
                <w:szCs w:val="22"/>
              </w:rPr>
              <w:t>Estado del Banco (</w:t>
            </w:r>
            <w:r w:rsidRPr="00E2736C">
              <w:rPr>
                <w:i/>
                <w:sz w:val="22"/>
                <w:szCs w:val="22"/>
              </w:rPr>
              <w:t>En explotación,</w:t>
            </w:r>
          </w:p>
          <w:p w14:paraId="4F1BDFC3" w14:textId="77777777" w:rsidR="00245855" w:rsidRPr="00E2736C" w:rsidRDefault="00245855" w:rsidP="00245855">
            <w:pPr>
              <w:rPr>
                <w:sz w:val="22"/>
                <w:szCs w:val="22"/>
              </w:rPr>
            </w:pPr>
            <w:r w:rsidRPr="00E2736C">
              <w:rPr>
                <w:i/>
                <w:sz w:val="22"/>
                <w:szCs w:val="22"/>
              </w:rPr>
              <w:t xml:space="preserve"> A descapotar, Contaminado, Agotado</w:t>
            </w:r>
            <w:r w:rsidRPr="00E2736C">
              <w:rPr>
                <w:sz w:val="22"/>
                <w:szCs w:val="22"/>
              </w:rPr>
              <w:t xml:space="preserve">) </w:t>
            </w:r>
          </w:p>
        </w:tc>
        <w:tc>
          <w:tcPr>
            <w:tcW w:w="2112" w:type="dxa"/>
            <w:vAlign w:val="center"/>
          </w:tcPr>
          <w:p w14:paraId="7B64142D" w14:textId="77777777" w:rsidR="00245855" w:rsidRPr="00E2736C" w:rsidRDefault="00245855" w:rsidP="00245855">
            <w:pPr>
              <w:rPr>
                <w:sz w:val="22"/>
                <w:szCs w:val="22"/>
              </w:rPr>
            </w:pPr>
          </w:p>
        </w:tc>
        <w:tc>
          <w:tcPr>
            <w:tcW w:w="2112" w:type="dxa"/>
            <w:vAlign w:val="center"/>
          </w:tcPr>
          <w:p w14:paraId="49670878" w14:textId="77777777" w:rsidR="00245855" w:rsidRPr="00E2736C" w:rsidRDefault="00245855" w:rsidP="00245855">
            <w:pPr>
              <w:rPr>
                <w:sz w:val="22"/>
                <w:szCs w:val="22"/>
              </w:rPr>
            </w:pPr>
          </w:p>
        </w:tc>
        <w:tc>
          <w:tcPr>
            <w:tcW w:w="2112" w:type="dxa"/>
            <w:vAlign w:val="center"/>
          </w:tcPr>
          <w:p w14:paraId="10BCC2D5" w14:textId="77777777" w:rsidR="00245855" w:rsidRPr="00E2736C" w:rsidRDefault="00245855" w:rsidP="00245855">
            <w:pPr>
              <w:rPr>
                <w:sz w:val="22"/>
                <w:szCs w:val="22"/>
              </w:rPr>
            </w:pPr>
          </w:p>
        </w:tc>
      </w:tr>
      <w:tr w:rsidR="00245855" w:rsidRPr="00E2736C" w14:paraId="24ACC335" w14:textId="77777777" w:rsidTr="00245855">
        <w:trPr>
          <w:trHeight w:val="495"/>
        </w:trPr>
        <w:tc>
          <w:tcPr>
            <w:tcW w:w="3732" w:type="dxa"/>
            <w:vAlign w:val="center"/>
          </w:tcPr>
          <w:p w14:paraId="567F0427" w14:textId="77777777" w:rsidR="00245855" w:rsidRPr="00E2736C" w:rsidRDefault="00245855" w:rsidP="00245855">
            <w:pPr>
              <w:rPr>
                <w:sz w:val="22"/>
                <w:szCs w:val="22"/>
              </w:rPr>
            </w:pPr>
            <w:r w:rsidRPr="00E2736C">
              <w:rPr>
                <w:sz w:val="22"/>
                <w:szCs w:val="22"/>
              </w:rPr>
              <w:t xml:space="preserve">Tipo de material </w:t>
            </w:r>
            <w:r w:rsidRPr="00E2736C">
              <w:rPr>
                <w:i/>
                <w:sz w:val="22"/>
                <w:szCs w:val="22"/>
              </w:rPr>
              <w:t>(Material Selecto, Arena, Bolón, Cantera</w:t>
            </w:r>
            <w:r w:rsidRPr="00E2736C">
              <w:rPr>
                <w:sz w:val="22"/>
                <w:szCs w:val="22"/>
              </w:rPr>
              <w:t>)</w:t>
            </w:r>
          </w:p>
        </w:tc>
        <w:tc>
          <w:tcPr>
            <w:tcW w:w="2112" w:type="dxa"/>
            <w:vAlign w:val="center"/>
          </w:tcPr>
          <w:p w14:paraId="61CF355E" w14:textId="77777777" w:rsidR="00245855" w:rsidRPr="00E2736C" w:rsidRDefault="00245855" w:rsidP="00245855">
            <w:pPr>
              <w:rPr>
                <w:sz w:val="22"/>
                <w:szCs w:val="22"/>
              </w:rPr>
            </w:pPr>
          </w:p>
        </w:tc>
        <w:tc>
          <w:tcPr>
            <w:tcW w:w="2112" w:type="dxa"/>
            <w:vAlign w:val="center"/>
          </w:tcPr>
          <w:p w14:paraId="653F31E2" w14:textId="77777777" w:rsidR="00245855" w:rsidRPr="00E2736C" w:rsidRDefault="00245855" w:rsidP="00245855">
            <w:pPr>
              <w:rPr>
                <w:sz w:val="22"/>
                <w:szCs w:val="22"/>
              </w:rPr>
            </w:pPr>
          </w:p>
        </w:tc>
        <w:tc>
          <w:tcPr>
            <w:tcW w:w="2112" w:type="dxa"/>
            <w:vAlign w:val="center"/>
          </w:tcPr>
          <w:p w14:paraId="4469AA08" w14:textId="77777777" w:rsidR="00245855" w:rsidRPr="00E2736C" w:rsidRDefault="00245855" w:rsidP="00245855">
            <w:pPr>
              <w:rPr>
                <w:sz w:val="22"/>
                <w:szCs w:val="22"/>
              </w:rPr>
            </w:pPr>
          </w:p>
        </w:tc>
      </w:tr>
    </w:tbl>
    <w:p w14:paraId="12C99AFA" w14:textId="77777777" w:rsidR="00245855" w:rsidRPr="00C84F94" w:rsidRDefault="00245855" w:rsidP="00245855">
      <w:pPr>
        <w:rPr>
          <w:sz w:val="16"/>
          <w:szCs w:val="16"/>
        </w:rPr>
      </w:pPr>
    </w:p>
    <w:p w14:paraId="5B4B30AD" w14:textId="77777777" w:rsidR="00245855" w:rsidRPr="00C84F94" w:rsidRDefault="00245855" w:rsidP="00245855">
      <w:pPr>
        <w:rPr>
          <w:b/>
          <w:sz w:val="16"/>
          <w:szCs w:val="16"/>
        </w:rPr>
      </w:pPr>
    </w:p>
    <w:p w14:paraId="6E973E1A" w14:textId="77777777" w:rsidR="00245855" w:rsidRPr="00E2736C" w:rsidRDefault="00245855" w:rsidP="00245855">
      <w:pPr>
        <w:pStyle w:val="Ttulo1"/>
        <w:jc w:val="both"/>
        <w:rPr>
          <w:bCs/>
          <w:iCs/>
          <w:sz w:val="22"/>
          <w:szCs w:val="22"/>
        </w:rPr>
      </w:pPr>
      <w:r w:rsidRPr="00C84F94">
        <w:rPr>
          <w:b w:val="0"/>
          <w:sz w:val="16"/>
          <w:szCs w:val="16"/>
        </w:rPr>
        <w:br w:type="page"/>
      </w:r>
      <w:r w:rsidRPr="00E2736C">
        <w:rPr>
          <w:sz w:val="22"/>
          <w:szCs w:val="22"/>
        </w:rPr>
        <w:lastRenderedPageBreak/>
        <w:t>INSTRUCCIONES ADICIONALES AL CONTRATISTA</w:t>
      </w:r>
    </w:p>
    <w:p w14:paraId="3B3662CF" w14:textId="77777777" w:rsidR="00245855" w:rsidRPr="00C84F94" w:rsidRDefault="00245855" w:rsidP="00245855">
      <w:pPr>
        <w:rPr>
          <w:sz w:val="16"/>
          <w:szCs w:val="16"/>
        </w:rPr>
      </w:pPr>
    </w:p>
    <w:p w14:paraId="30796050" w14:textId="77777777" w:rsidR="00245855" w:rsidRPr="00C84F94" w:rsidRDefault="00245855" w:rsidP="00245855">
      <w:pPr>
        <w:rPr>
          <w:sz w:val="16"/>
          <w:szCs w:val="16"/>
        </w:rPr>
      </w:pPr>
    </w:p>
    <w:p w14:paraId="3B70B0FC" w14:textId="77777777" w:rsidR="00245855" w:rsidRPr="00AE16B9" w:rsidRDefault="00245855" w:rsidP="00245855">
      <w:pPr>
        <w:pBdr>
          <w:top w:val="single" w:sz="4" w:space="1" w:color="auto"/>
          <w:left w:val="single" w:sz="4" w:space="4" w:color="auto"/>
          <w:bottom w:val="single" w:sz="4" w:space="1" w:color="auto"/>
          <w:right w:val="single" w:sz="4" w:space="4" w:color="auto"/>
        </w:pBdr>
        <w:rPr>
          <w:b/>
          <w:sz w:val="22"/>
          <w:szCs w:val="22"/>
        </w:rPr>
      </w:pPr>
      <w:r w:rsidRPr="00E2736C">
        <w:rPr>
          <w:sz w:val="22"/>
          <w:szCs w:val="22"/>
        </w:rPr>
        <w:fldChar w:fldCharType="begin"/>
      </w:r>
      <w:r w:rsidRPr="00E2736C">
        <w:rPr>
          <w:sz w:val="22"/>
          <w:szCs w:val="22"/>
        </w:rPr>
        <w:instrText xml:space="preserve"> DOCVARIABLE  InstCtista</w:instrText>
      </w:r>
      <w:r w:rsidRPr="00E2736C">
        <w:rPr>
          <w:sz w:val="22"/>
          <w:szCs w:val="22"/>
        </w:rPr>
        <w:fldChar w:fldCharType="separate"/>
      </w:r>
      <w:r w:rsidRPr="00AE16B9">
        <w:rPr>
          <w:b/>
          <w:sz w:val="22"/>
          <w:szCs w:val="22"/>
        </w:rPr>
        <w:t>I</w:t>
      </w:r>
      <w:r w:rsidRPr="00AE16B9">
        <w:rPr>
          <w:b/>
          <w:sz w:val="22"/>
          <w:szCs w:val="22"/>
        </w:rPr>
        <w:tab/>
        <w:t>ANTES DE</w:t>
      </w:r>
      <w:r>
        <w:rPr>
          <w:b/>
          <w:sz w:val="22"/>
          <w:szCs w:val="22"/>
        </w:rPr>
        <w:t xml:space="preserve"> DAR INICIO A LOS TRABAJOS DEBE</w:t>
      </w:r>
    </w:p>
    <w:p w14:paraId="6D4277CE"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29FB05E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w:t>
      </w:r>
      <w:r>
        <w:rPr>
          <w:sz w:val="22"/>
          <w:szCs w:val="22"/>
        </w:rPr>
        <w:tab/>
        <w:t>El Contratista debe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w:t>
      </w:r>
    </w:p>
    <w:p w14:paraId="1E1D863F"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6DB3DBE0"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2.</w:t>
      </w:r>
      <w:r>
        <w:rPr>
          <w:sz w:val="22"/>
          <w:szCs w:val="22"/>
        </w:rPr>
        <w:tab/>
        <w:t>El Contratista debe identificar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28071B09"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33A4E915"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3.</w:t>
      </w:r>
      <w:r>
        <w:rPr>
          <w:sz w:val="22"/>
          <w:szCs w:val="22"/>
        </w:rPr>
        <w:tab/>
        <w:t>El Contratista debe leer y prestar especial atención a lo establecido en el Informe de Investigación de Zona de Obras, en las especificaciones ambientales generales, en las especificaciones técnicas generales y especificaciones técnicas particulares, de las características tecnológicas (catálogos) y cotizaciones de equipos, tuberías, y demás instalaciones a establecerse,</w:t>
      </w:r>
      <w:r w:rsidRPr="008E79AC">
        <w:rPr>
          <w:sz w:val="22"/>
          <w:szCs w:val="22"/>
        </w:rPr>
        <w:t xml:space="preserve"> </w:t>
      </w:r>
      <w:r>
        <w:rPr>
          <w:sz w:val="22"/>
          <w:szCs w:val="22"/>
        </w:rPr>
        <w:t>adjuntas en las especificaciones técnicas que forman parte de los documentos contractuales., para:</w:t>
      </w:r>
    </w:p>
    <w:p w14:paraId="588EA90A"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a.</w:t>
      </w:r>
      <w:r>
        <w:rPr>
          <w:sz w:val="22"/>
          <w:szCs w:val="22"/>
        </w:rPr>
        <w:tab/>
        <w:t>Construir y dejar operando satisfactoriamente el sistema de suministro de agua potable constituido por el Mini acueducto por bombeo eléctrico (MABE). La caseta de control y vigilancia con acabado de paredes con pintura interior y exterior. Incluye cielo raso conforme especificaciones técnicas.</w:t>
      </w:r>
    </w:p>
    <w:p w14:paraId="73F7B960"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b.</w:t>
      </w:r>
      <w:r>
        <w:rPr>
          <w:sz w:val="22"/>
          <w:szCs w:val="22"/>
        </w:rPr>
        <w:tab/>
        <w:t>Construir y dejar funcionando satisfactoriamente cada unidad unifamiliar de saneamiento integral seleccionada Letrina sencilla Semi elevada (LS-3).</w:t>
      </w:r>
    </w:p>
    <w:p w14:paraId="018F826D"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c.</w:t>
      </w:r>
      <w:r>
        <w:rPr>
          <w:sz w:val="22"/>
          <w:szCs w:val="22"/>
        </w:rPr>
        <w:tab/>
        <w:t>Suministrar, instalar y dejar funcionando satisfactoriamente cada lavadero con sistema de eliminación inocua de aguas grises (Pozo de Absorción), en cada unidad unifamiliar de saneamiento integral, para garantizar la promoción de la higiene.</w:t>
      </w:r>
    </w:p>
    <w:p w14:paraId="798B4E7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04DEDEA"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4.</w:t>
      </w:r>
      <w:r>
        <w:rPr>
          <w:sz w:val="22"/>
          <w:szCs w:val="22"/>
        </w:rPr>
        <w:tab/>
        <w:t>El Contratista debe cumplir con lo establecido en el Reglamento Nacional de la Construcción (RNC) vigente, como salvaguarda de la calidad de los procesos constructivos para garantizar la funcionalidad, sostenibilidad y durabilidad de las obras.</w:t>
      </w:r>
    </w:p>
    <w:p w14:paraId="78AD28B5"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25FFADF4"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5.</w:t>
      </w:r>
      <w:r>
        <w:rPr>
          <w:sz w:val="22"/>
          <w:szCs w:val="22"/>
        </w:rPr>
        <w:tab/>
        <w:t>Por ningún motivo se permitirá que el contratista ejecute obras fuera de lo establecido en los términos contractuales; solamente en casos que la supervisión determine la necesidad de adicionar alguna obra que conlleve a mejorar el funcionamiento del Sistema se deben de incluir siempre y cuando estén avalados por la alcaldía Municipal (Alcalde) y el gestorterritorial del FISE.</w:t>
      </w:r>
    </w:p>
    <w:p w14:paraId="5CC12967"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95E445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6.</w:t>
      </w:r>
      <w:r>
        <w:rPr>
          <w:sz w:val="22"/>
          <w:szCs w:val="22"/>
        </w:rPr>
        <w:tab/>
        <w:t>Todo incremento en la ejecución del proyecto correrá por cuenta de la comunidad y de la alcaldía municipal.</w:t>
      </w:r>
    </w:p>
    <w:p w14:paraId="30716580"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094F9E85"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7.</w:t>
      </w:r>
      <w:r>
        <w:rPr>
          <w:sz w:val="22"/>
          <w:szCs w:val="22"/>
        </w:rPr>
        <w:tab/>
        <w:t>Las directrices cubren los aspectos relevantes para el suministro de materiales y la preparación de los servicios que se consideran necesarios, para llevar a cabo la construcción de las obras.</w:t>
      </w:r>
    </w:p>
    <w:p w14:paraId="4E80FE9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45B3385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8.</w:t>
      </w:r>
      <w:r>
        <w:rPr>
          <w:sz w:val="22"/>
          <w:szCs w:val="22"/>
        </w:rPr>
        <w:tab/>
        <w:t>El Contratista no debe alegar omisiones debido a desconocimiento e interpretación errónea de los documentos relacionados al proyecto.</w:t>
      </w:r>
    </w:p>
    <w:p w14:paraId="0784A9B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076F71A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9.</w:t>
      </w:r>
      <w:r>
        <w:rPr>
          <w:sz w:val="22"/>
          <w:szCs w:val="22"/>
        </w:rPr>
        <w:tab/>
        <w:t>El contratista debe realizar todas las artes aplicables en la sana práctica de la ingeniería para lograr buena calidad de las obras.</w:t>
      </w:r>
    </w:p>
    <w:p w14:paraId="5966DE0A"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5A611A7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10</w:t>
      </w:r>
      <w:r>
        <w:rPr>
          <w:sz w:val="22"/>
          <w:szCs w:val="22"/>
        </w:rPr>
        <w:tab/>
        <w:t>Se indica tener especial cuidado con la deposición de los materiales construcción y de los embalajes de cemento cartón, bolsas plásticas a fin de que no se rieguen ya sea por la acción de animales o las persona debido a que no existe un lugar establecido para este tipo de desechos.</w:t>
      </w:r>
    </w:p>
    <w:p w14:paraId="5A40681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3E5608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11</w:t>
      </w:r>
      <w:r>
        <w:rPr>
          <w:sz w:val="22"/>
          <w:szCs w:val="22"/>
        </w:rPr>
        <w:tab/>
        <w:t>Si se toma la decisión de quemar los desechos tener especial cuidado de no provocar un incendio que circunda el lugar de construcción por lo está acción requiere vigilancia especial.</w:t>
      </w:r>
    </w:p>
    <w:p w14:paraId="41B489F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461D6C5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12</w:t>
      </w:r>
      <w:r>
        <w:rPr>
          <w:sz w:val="22"/>
          <w:szCs w:val="22"/>
        </w:rPr>
        <w:tab/>
        <w:t>La tierra sobrante de la excavación de los fosos para letrina parte de ella puede ser utilizada como talud en el perímetro del foso de la letrina, sirviendo, así como bordillo natural de protección a la escorrentía y evitando la erosión del foso.</w:t>
      </w:r>
    </w:p>
    <w:p w14:paraId="71D16A57"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09E982A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13</w:t>
      </w:r>
      <w:r>
        <w:rPr>
          <w:sz w:val="22"/>
          <w:szCs w:val="22"/>
        </w:rPr>
        <w:tab/>
        <w:t>El contratista no debe obviar la naturaleza social del proyecto por lo que se recomienda contratar la mayor cantidad de mano de obra local posible.</w:t>
      </w:r>
    </w:p>
    <w:p w14:paraId="5E46A5B9"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57508E9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14</w:t>
      </w:r>
      <w:r>
        <w:rPr>
          <w:sz w:val="22"/>
          <w:szCs w:val="22"/>
        </w:rPr>
        <w:tab/>
        <w:t>Al momento de la ejecución tanto el Contratista como el Supervisor deben regirse por lo indicado en los planos, alcances, especificaciones técnicas y ambientales y las cláusulas contractuales.</w:t>
      </w:r>
    </w:p>
    <w:p w14:paraId="487BDFC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534568E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15</w:t>
      </w:r>
      <w:r>
        <w:rPr>
          <w:sz w:val="22"/>
          <w:szCs w:val="22"/>
        </w:rPr>
        <w:tab/>
        <w:t>Todos los componentes del proyecto se ejecutan con la participación directa de la comunidad, la Alcaldía y FISE. Esta participación requiere del aporte de cada actor ya sea en especies o efectivo y El contratista debe estar estrechamente coordinado con la Alcaldía y la Comunidad en cuanto a los aportes de la ejecución del proyecto se refiere</w:t>
      </w:r>
    </w:p>
    <w:p w14:paraId="28D55C6D"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1C478F87" w14:textId="77777777" w:rsidR="00245855" w:rsidRPr="00AE16B9" w:rsidRDefault="00245855" w:rsidP="00245855">
      <w:pPr>
        <w:pBdr>
          <w:top w:val="single" w:sz="4" w:space="1" w:color="auto"/>
          <w:left w:val="single" w:sz="4" w:space="4" w:color="auto"/>
          <w:bottom w:val="single" w:sz="4" w:space="1" w:color="auto"/>
          <w:right w:val="single" w:sz="4" w:space="4" w:color="auto"/>
        </w:pBdr>
        <w:rPr>
          <w:b/>
          <w:sz w:val="22"/>
          <w:szCs w:val="22"/>
        </w:rPr>
      </w:pPr>
      <w:r>
        <w:rPr>
          <w:b/>
          <w:sz w:val="22"/>
          <w:szCs w:val="22"/>
        </w:rPr>
        <w:t>I</w:t>
      </w:r>
      <w:r w:rsidRPr="00AE16B9">
        <w:rPr>
          <w:b/>
          <w:sz w:val="22"/>
          <w:szCs w:val="22"/>
        </w:rPr>
        <w:t>I</w:t>
      </w:r>
      <w:r w:rsidRPr="00AE16B9">
        <w:rPr>
          <w:b/>
          <w:sz w:val="22"/>
          <w:szCs w:val="22"/>
        </w:rPr>
        <w:tab/>
      </w:r>
      <w:r>
        <w:rPr>
          <w:b/>
          <w:sz w:val="22"/>
          <w:szCs w:val="22"/>
        </w:rPr>
        <w:t>ALCANCES GENERALES DE LOS SERVICIOS</w:t>
      </w:r>
    </w:p>
    <w:p w14:paraId="0059DDED"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12A3833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w:t>
      </w:r>
      <w:r>
        <w:rPr>
          <w:sz w:val="22"/>
          <w:szCs w:val="22"/>
        </w:rPr>
        <w:tab/>
        <w:t>Se debe iniciar el proyecto con las actividades de perforación del pozo, hasta que se hayan finalizado las actividades de construcción del pozo incluidas las pruebas de bombeo y se hayan obtenido los resultados de calidad del agua como apta para el consumo humano se autorizara al contratista iniciar la construcción de otras obras del sistema.</w:t>
      </w:r>
    </w:p>
    <w:p w14:paraId="25ECF48D"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0E6E8FD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2</w:t>
      </w:r>
      <w:r>
        <w:rPr>
          <w:sz w:val="22"/>
          <w:szCs w:val="22"/>
        </w:rPr>
        <w:tab/>
        <w:t>El rotulo alusivo al proyecto debe colocarse desde el inicio de la ejecución y en sitio donde el CAPS establezca, el cual debe ser de uso comunal para evitar problemas con los dueños de terrenos o se debe contar con el visto bueno del dueño.</w:t>
      </w:r>
    </w:p>
    <w:p w14:paraId="4290BCCA"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45A76620"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3</w:t>
      </w:r>
      <w:r>
        <w:rPr>
          <w:sz w:val="22"/>
          <w:szCs w:val="22"/>
        </w:rPr>
        <w:tab/>
        <w:t>El Contratista, debe realizar el replanteo topográfico, tanto de la línea de conducción, como de las redes de distribución, tanque de almacenamiento; con la finalidad de verificar las elevaciones, como su correcta localización. En el caso que se presenten incongruencias significativas comprobadas se debe consensuar la situación presentada a la supervisión del proyecto, municipalidad y El gestor territorial FISE.</w:t>
      </w:r>
    </w:p>
    <w:p w14:paraId="4205C42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243B10F"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4</w:t>
      </w:r>
      <w:r>
        <w:rPr>
          <w:sz w:val="22"/>
          <w:szCs w:val="22"/>
        </w:rPr>
        <w:tab/>
      </w:r>
      <w:r w:rsidRPr="006E5114">
        <w:rPr>
          <w:sz w:val="22"/>
          <w:szCs w:val="22"/>
        </w:rPr>
        <w:t>Se le indica al Contratista que la actividad Código 95990 BOMBA C/MOTOR SUMERGIBLE DE 20 HP, Q=35 GPM, CTD=1,210 ', 3/60/230 V, se debe considerar una CTD DE 1286.05 PIES y una</w:t>
      </w:r>
      <w:r>
        <w:rPr>
          <w:sz w:val="22"/>
          <w:szCs w:val="22"/>
        </w:rPr>
        <w:t xml:space="preserve"> Bomba de 20 HP, </w:t>
      </w:r>
      <w:r w:rsidRPr="006E5114">
        <w:rPr>
          <w:sz w:val="22"/>
          <w:szCs w:val="22"/>
        </w:rPr>
        <w:t>Q=35 GPM,</w:t>
      </w:r>
      <w:r>
        <w:rPr>
          <w:sz w:val="22"/>
          <w:szCs w:val="22"/>
        </w:rPr>
        <w:t xml:space="preserve"> </w:t>
      </w:r>
      <w:r w:rsidRPr="006E5114">
        <w:rPr>
          <w:sz w:val="22"/>
          <w:szCs w:val="22"/>
        </w:rPr>
        <w:t>3/60/460 V.</w:t>
      </w:r>
    </w:p>
    <w:p w14:paraId="29EC8DED"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30D922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5</w:t>
      </w:r>
      <w:r>
        <w:rPr>
          <w:sz w:val="22"/>
          <w:szCs w:val="22"/>
        </w:rPr>
        <w:tab/>
        <w:t>El Contratista debe incluir todos los accesorios requeridos para la instalación de las tuberías según los diámetros requeridos</w:t>
      </w:r>
      <w:r w:rsidRPr="009566F6">
        <w:rPr>
          <w:sz w:val="22"/>
          <w:szCs w:val="22"/>
        </w:rPr>
        <w:t xml:space="preserve"> </w:t>
      </w:r>
      <w:r>
        <w:rPr>
          <w:sz w:val="22"/>
          <w:szCs w:val="22"/>
        </w:rPr>
        <w:t>para el buen funcionamiento del sistema. Los costos derivados de los accesorios deben ser incluidos en los renglones de costo del diámetro de tubería PVC correspondiente.</w:t>
      </w:r>
    </w:p>
    <w:p w14:paraId="6AAC4F2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6F64C675"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6</w:t>
      </w:r>
      <w:r>
        <w:rPr>
          <w:sz w:val="22"/>
          <w:szCs w:val="22"/>
        </w:rPr>
        <w:tab/>
        <w:t>El Contratista debe verificar que la ubicación de las cajas rompe presión a instalarse en la red de distribución no causen ninguna afectación al abastecimiento continuo de las viviendas cercanas.</w:t>
      </w:r>
    </w:p>
    <w:p w14:paraId="081E610E"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107E14F4"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lastRenderedPageBreak/>
        <w:t>7</w:t>
      </w:r>
      <w:r>
        <w:rPr>
          <w:sz w:val="22"/>
          <w:szCs w:val="22"/>
        </w:rPr>
        <w:tab/>
        <w:t xml:space="preserve">La excavación de zanjas para tuberías se debe de programar en cuadrillas de trabajo que permitan un avance significativo, cada 300 metros de tubería se debe realizar inmediatamente la prueba hidrostática, no se debe de permitir tapar la tubería si ésta no ha sido sometida a dicha prueba. </w:t>
      </w:r>
    </w:p>
    <w:p w14:paraId="4FF6975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42183E5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8</w:t>
      </w:r>
      <w:r>
        <w:rPr>
          <w:sz w:val="22"/>
          <w:szCs w:val="22"/>
        </w:rPr>
        <w:tab/>
        <w:t>El Contratista está obligado a realizar todas las pruebas de laboratorio requeridas, como la resistencia del concreto, el hierro, las pruebas referidas a la calidad del agua etc. El Contratista debe coordinar con la supervisión la ejecución de actividades claves como la colada del concreto, las pruebas hidrostáticas, etc.</w:t>
      </w:r>
    </w:p>
    <w:p w14:paraId="371B8A3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3692ED59"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9</w:t>
      </w:r>
      <w:r>
        <w:rPr>
          <w:sz w:val="22"/>
          <w:szCs w:val="22"/>
        </w:rPr>
        <w:tab/>
        <w:t>Las conexiones domiciliares se realizan finalizada la prueba hidróstatica. El medidor es aporte del beneficiario.</w:t>
      </w:r>
    </w:p>
    <w:p w14:paraId="3DA84919"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C090EC8"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10</w:t>
      </w:r>
      <w:r>
        <w:rPr>
          <w:sz w:val="22"/>
          <w:szCs w:val="22"/>
        </w:rPr>
        <w:tab/>
        <w:t>El Contratista debe cumplir con las medidas Ambientales de mitigación establecidas en el Análisis Ambiental, con el objetivo de no causar afectaciones al medio ambiente. El Supervisor en coordinación con el CAPS y UMAS vigilan para que dichas recomendaciones se cumplan.</w:t>
      </w:r>
    </w:p>
    <w:p w14:paraId="02891289"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5F98B94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11</w:t>
      </w:r>
      <w:r>
        <w:rPr>
          <w:sz w:val="22"/>
          <w:szCs w:val="22"/>
        </w:rPr>
        <w:tab/>
        <w:t>El contratista debe colocar señales de prevención de accidentes, tanto peatonales como vehiculares.</w:t>
      </w:r>
    </w:p>
    <w:p w14:paraId="0107E84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2765D6D6" w14:textId="77777777" w:rsidR="00245855" w:rsidRPr="00953CA8" w:rsidRDefault="00245855" w:rsidP="00245855">
      <w:pPr>
        <w:pBdr>
          <w:top w:val="single" w:sz="4" w:space="1" w:color="auto"/>
          <w:left w:val="single" w:sz="4" w:space="4" w:color="auto"/>
          <w:bottom w:val="single" w:sz="4" w:space="1" w:color="auto"/>
          <w:right w:val="single" w:sz="4" w:space="4" w:color="auto"/>
        </w:pBdr>
        <w:rPr>
          <w:b/>
          <w:sz w:val="22"/>
          <w:szCs w:val="22"/>
        </w:rPr>
      </w:pPr>
      <w:r>
        <w:rPr>
          <w:b/>
          <w:sz w:val="22"/>
          <w:szCs w:val="22"/>
        </w:rPr>
        <w:t>III</w:t>
      </w:r>
      <w:r>
        <w:rPr>
          <w:b/>
          <w:sz w:val="22"/>
          <w:szCs w:val="22"/>
        </w:rPr>
        <w:tab/>
      </w:r>
      <w:r w:rsidRPr="00953CA8">
        <w:rPr>
          <w:b/>
          <w:sz w:val="22"/>
          <w:szCs w:val="22"/>
        </w:rPr>
        <w:t xml:space="preserve">CARACTERÍSTICAS TECNOLÓGICAS </w:t>
      </w:r>
    </w:p>
    <w:p w14:paraId="08EFA5B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6CB41D0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w:t>
      </w:r>
      <w:r>
        <w:rPr>
          <w:sz w:val="22"/>
          <w:szCs w:val="22"/>
        </w:rPr>
        <w:tab/>
        <w:t>Las válvulas, accesorios, medidores y llaves de chorro deben ser de la mejor calidad, avalados y aprobados por el supervisor antes de que estos lleguen al sitio del proyecto.</w:t>
      </w:r>
    </w:p>
    <w:p w14:paraId="54CA6DB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74DF274B"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2</w:t>
      </w:r>
      <w:r>
        <w:rPr>
          <w:sz w:val="22"/>
          <w:szCs w:val="22"/>
        </w:rPr>
        <w:tab/>
        <w:t>Todas las válvulas del sistema deben ser de hierro fundido, de cuadrante y el contratista debe suministrar el maneral para su manipulación.</w:t>
      </w:r>
    </w:p>
    <w:p w14:paraId="2FF35C1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26208AF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3</w:t>
      </w:r>
      <w:r>
        <w:rPr>
          <w:sz w:val="22"/>
          <w:szCs w:val="22"/>
        </w:rPr>
        <w:tab/>
        <w:t>En el caso de las válvulas a instalarse en la línea de conducción y sarta se debe prestar especial atención a lo indicado en las especificaciones técnicas.</w:t>
      </w:r>
    </w:p>
    <w:p w14:paraId="497EF5F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26AE402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4</w:t>
      </w:r>
      <w:r>
        <w:rPr>
          <w:sz w:val="22"/>
          <w:szCs w:val="22"/>
        </w:rPr>
        <w:tab/>
        <w:t>Las tuberías de Hierro Fundido Dúctil deben ser Cédula C40 y cumplir con las Normas AWWA C151/ ANSI A21.51, AWWA C 150 / ANSI A21.50, AWWA C104 / ANSI A21.4, ISO 8179-, ISO 8179-2.</w:t>
      </w:r>
    </w:p>
    <w:p w14:paraId="05E0AA1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16EAAAA6"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5</w:t>
      </w:r>
      <w:r>
        <w:rPr>
          <w:sz w:val="22"/>
          <w:szCs w:val="22"/>
        </w:rPr>
        <w:tab/>
        <w:t>Los accesorios de Junta Estándar de Hierro Fundido Dúctil deben ser cédula C40 y cumplir con las Normas AWWA C110 / ANIS A-21.10, AWWA C111/ A 21.11, AWWA C104 / ANSI A21.4, ISO 8179 -1, ISO 8179-2</w:t>
      </w:r>
    </w:p>
    <w:p w14:paraId="43A157CE"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1FB247D7"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6</w:t>
      </w:r>
      <w:r>
        <w:rPr>
          <w:sz w:val="22"/>
          <w:szCs w:val="22"/>
        </w:rPr>
        <w:tab/>
        <w:t>Las tuberías de HG serán del tipo Standard (cédula 40) y deben ajustarse a las especificaciones siguientes:</w:t>
      </w:r>
    </w:p>
    <w:p w14:paraId="157AB9F5"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1)</w:t>
      </w:r>
      <w:r>
        <w:rPr>
          <w:sz w:val="22"/>
          <w:szCs w:val="22"/>
        </w:rPr>
        <w:tab/>
        <w:t>Que se ajuste en todos los aspectos con la especificación ASTM-120-65 y que cumpla con el proceso de Galvanización de acuerdo a la especificación ASTM A-90-39.</w:t>
      </w:r>
    </w:p>
    <w:p w14:paraId="203C9DFC"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2)</w:t>
      </w:r>
      <w:r>
        <w:rPr>
          <w:sz w:val="22"/>
          <w:szCs w:val="22"/>
        </w:rPr>
        <w:tab/>
        <w:t>Un acoplamiento deberá ser suministrado con cada longitud Standard. El acoplamiento consistirá en una camisa de Hierro Galvanizado con Rosca Standard para roscarse en el extremo del tubo.</w:t>
      </w:r>
    </w:p>
    <w:p w14:paraId="508585F1"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2D704DA3"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7</w:t>
      </w:r>
      <w:r>
        <w:rPr>
          <w:sz w:val="22"/>
          <w:szCs w:val="22"/>
        </w:rPr>
        <w:tab/>
        <w:t>Los accesorios de material de hierro galvanizado deben ajustarse a las especificaciones ASTM, tendrán rosca hembra del tipo Iron Pipe (I.P) y deben ser diseñados para acoplarse a la tubería de HFD y PVC a ser suministrada. Las tuberías y los accesorios, deben de cumplir con El Certificado de Calidad ISO-90.</w:t>
      </w:r>
    </w:p>
    <w:p w14:paraId="485F2CF2"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064C2BBD" w14:textId="77777777" w:rsidR="00245855" w:rsidRPr="00632B64" w:rsidRDefault="00245855" w:rsidP="00245855">
      <w:pPr>
        <w:pBdr>
          <w:top w:val="single" w:sz="4" w:space="1" w:color="auto"/>
          <w:left w:val="single" w:sz="4" w:space="4" w:color="auto"/>
          <w:bottom w:val="single" w:sz="4" w:space="1" w:color="auto"/>
          <w:right w:val="single" w:sz="4" w:space="4" w:color="auto"/>
        </w:pBdr>
        <w:rPr>
          <w:b/>
          <w:sz w:val="22"/>
          <w:szCs w:val="22"/>
        </w:rPr>
      </w:pPr>
      <w:r>
        <w:rPr>
          <w:b/>
          <w:sz w:val="22"/>
          <w:szCs w:val="22"/>
        </w:rPr>
        <w:t>IV</w:t>
      </w:r>
      <w:r>
        <w:rPr>
          <w:b/>
          <w:sz w:val="22"/>
          <w:szCs w:val="22"/>
        </w:rPr>
        <w:tab/>
      </w:r>
      <w:r w:rsidRPr="00632B64">
        <w:rPr>
          <w:b/>
          <w:sz w:val="22"/>
          <w:szCs w:val="22"/>
        </w:rPr>
        <w:t>APORTE DE LA COMUNIDAD</w:t>
      </w:r>
    </w:p>
    <w:p w14:paraId="3336B3BF"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p w14:paraId="549A882B"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Pr>
          <w:sz w:val="22"/>
          <w:szCs w:val="22"/>
        </w:rPr>
        <w:t>Los Beneficiarios del Proyecto tienen compromiso en la Asamblea de Concertación a realizar las actividades de Excavación, Relleno y Compactación en la Línea de Conducción y Red de Distribución, que se considera como aporte en Especie y la compra del Medidor de agua potable de 1/2" por vivienda, como Aporte en efectivo de acuerdo al siguiente detalle:</w:t>
      </w:r>
    </w:p>
    <w:p w14:paraId="4766B509"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4133"/>
        <w:gridCol w:w="1081"/>
        <w:gridCol w:w="29"/>
        <w:gridCol w:w="1705"/>
      </w:tblGrid>
      <w:tr w:rsidR="00245855" w14:paraId="43D51E27"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3BE4D3"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r>
              <w:rPr>
                <w:rFonts w:ascii="Calibri" w:hAnsi="Calibri" w:cs="Calibri"/>
                <w:b/>
                <w:bCs/>
                <w:sz w:val="22"/>
                <w:szCs w:val="22"/>
                <w:lang w:eastAsia="es-NI"/>
              </w:rPr>
              <w:t>CODIGO</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64239"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r>
              <w:rPr>
                <w:rFonts w:ascii="Calibri" w:hAnsi="Calibri" w:cs="Calibri"/>
                <w:b/>
                <w:bCs/>
                <w:sz w:val="22"/>
                <w:szCs w:val="22"/>
                <w:lang w:eastAsia="es-NI"/>
              </w:rPr>
              <w:t>DESCRIPCION</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E7812A"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r>
              <w:rPr>
                <w:rFonts w:ascii="Calibri" w:hAnsi="Calibri" w:cs="Calibri"/>
                <w:b/>
                <w:bCs/>
                <w:sz w:val="22"/>
                <w:szCs w:val="22"/>
                <w:lang w:eastAsia="es-NI"/>
              </w:rPr>
              <w:t>U.M</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2F6DD"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r>
              <w:rPr>
                <w:rFonts w:ascii="Calibri" w:hAnsi="Calibri" w:cs="Calibri"/>
                <w:b/>
                <w:bCs/>
                <w:sz w:val="22"/>
                <w:szCs w:val="22"/>
                <w:lang w:eastAsia="es-NI"/>
              </w:rPr>
              <w:t>CANTIDAD</w:t>
            </w:r>
          </w:p>
        </w:tc>
      </w:tr>
      <w:tr w:rsidR="00245855" w14:paraId="12430A9F" w14:textId="77777777" w:rsidTr="00245855">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F29BE7"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r>
              <w:rPr>
                <w:rFonts w:ascii="Calibri" w:hAnsi="Calibri" w:cs="Calibri"/>
                <w:b/>
                <w:bCs/>
                <w:sz w:val="22"/>
                <w:szCs w:val="22"/>
                <w:lang w:eastAsia="es-NI"/>
              </w:rPr>
              <w:t>PRELIMINARES</w:t>
            </w:r>
          </w:p>
        </w:tc>
        <w:tc>
          <w:tcPr>
            <w:tcW w:w="11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53E6AD"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p>
        </w:tc>
        <w:tc>
          <w:tcPr>
            <w:tcW w:w="1705" w:type="dxa"/>
            <w:tcBorders>
              <w:top w:val="single" w:sz="4" w:space="0" w:color="auto"/>
              <w:left w:val="single" w:sz="4" w:space="0" w:color="auto"/>
              <w:bottom w:val="single" w:sz="4" w:space="0" w:color="auto"/>
              <w:right w:val="single" w:sz="4" w:space="0" w:color="auto"/>
            </w:tcBorders>
            <w:shd w:val="clear" w:color="auto" w:fill="auto"/>
            <w:vAlign w:val="bottom"/>
          </w:tcPr>
          <w:p w14:paraId="34C55B0E"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b/>
                <w:bCs/>
                <w:sz w:val="22"/>
                <w:szCs w:val="22"/>
                <w:lang w:eastAsia="es-NI"/>
              </w:rPr>
            </w:pPr>
          </w:p>
        </w:tc>
      </w:tr>
      <w:tr w:rsidR="00245855" w14:paraId="453B1A90"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B23C5"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92224</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80446"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LIMPIEZA MANUAL INICIAL</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E8C4C0"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M2</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D0D2FD"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225</w:t>
            </w:r>
          </w:p>
        </w:tc>
      </w:tr>
      <w:tr w:rsidR="00245855" w14:paraId="5533EF5D"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76DA76"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03412</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A793AA"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TALA MANUAL DE ARBOLES (INCL. UN VIAJE DE BOTAR ESCOMBROS A 1 Km CON CAMION PLATAFORMA DE 8 m3)</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8E6CE"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C/U</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1B4506"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2</w:t>
            </w:r>
          </w:p>
        </w:tc>
      </w:tr>
      <w:tr w:rsidR="00245855" w14:paraId="2C04DB9D"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2AA1C"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92107</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F4E084"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TROCHA (Ancho=3.00m ) ELABORADA CON MACHETE Y RASTRILLO</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1AD2"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KM</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4FAF4D"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2.361</w:t>
            </w:r>
          </w:p>
        </w:tc>
      </w:tr>
      <w:tr w:rsidR="00245855" w14:paraId="6B9E1B90" w14:textId="77777777" w:rsidTr="00245855">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69EA2E"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b/>
                <w:bCs/>
                <w:sz w:val="22"/>
                <w:szCs w:val="22"/>
                <w:lang w:eastAsia="es-NI"/>
              </w:rPr>
              <w:t>LINEA DE CONDUCCION</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9BFE0"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52D410"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r>
      <w:tr w:rsidR="00245855" w14:paraId="50AD779C"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45488"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93285</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BAA90"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EXCAVACIÓN MANUAL EN TERRENO MATERIAL MIXTO (ARCILLAS, LIMOS Y BOLONES)</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B4941"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M3</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460EAB"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5,100.00</w:t>
            </w:r>
          </w:p>
        </w:tc>
      </w:tr>
      <w:tr w:rsidR="00245855" w14:paraId="7281659B" w14:textId="77777777" w:rsidTr="00245855">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D26C12"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b/>
                <w:bCs/>
                <w:sz w:val="22"/>
                <w:szCs w:val="22"/>
                <w:lang w:eastAsia="es-NI"/>
              </w:rPr>
              <w:t>RED DE DISTRIBUCION</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8C48F"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E96983"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r>
      <w:tr w:rsidR="00245855" w14:paraId="7CE34788"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3F327"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93285</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41C13"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EXCAVACIÓN MANUAL EN TERRENO MATERIAL MIXTO (ARCILLAS, LIMOS Y BOLONES)</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5D6E0"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M3</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B11E46"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6,770.00</w:t>
            </w:r>
          </w:p>
        </w:tc>
      </w:tr>
      <w:tr w:rsidR="00245855" w14:paraId="40F9C279" w14:textId="77777777" w:rsidTr="00245855">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3C2006"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b/>
                <w:bCs/>
                <w:sz w:val="22"/>
                <w:szCs w:val="22"/>
                <w:lang w:eastAsia="es-NI"/>
              </w:rPr>
              <w:t>MEDIDORES DE AGUA POTABLE</w:t>
            </w:r>
            <w:r>
              <w:rPr>
                <w:rFonts w:ascii="Calibri" w:hAnsi="Calibri" w:cs="Calibri"/>
                <w:sz w:val="22"/>
                <w:szCs w:val="22"/>
                <w:lang w:eastAsia="es-NI"/>
              </w:rPr>
              <w:t xml:space="preserve">                                   </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54425"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342199"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r>
      <w:tr w:rsidR="00245855" w14:paraId="03DB516D"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67845"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92728</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60C084"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MEDIDOR DE BRONCE PARA AGUA POTABLE Diám.=½" (Tipo volumétrico, Clase C, CON 2 ADAPTADORES DE PVC Diám.=½") (NO INCL. CAJA) PARA USO DOMICILIAR</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64C70"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C/U</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6F3F46"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217</w:t>
            </w:r>
          </w:p>
        </w:tc>
      </w:tr>
      <w:tr w:rsidR="00245855" w14:paraId="5E04990C" w14:textId="77777777" w:rsidTr="00245855">
        <w:trPr>
          <w:trHeight w:val="300"/>
        </w:trPr>
        <w:tc>
          <w:tcPr>
            <w:tcW w:w="502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CF72C8"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b/>
                <w:bCs/>
                <w:sz w:val="22"/>
                <w:szCs w:val="22"/>
                <w:lang w:eastAsia="es-NI"/>
              </w:rPr>
              <w:t>LIMPIEZA FINAL</w:t>
            </w:r>
            <w:r>
              <w:rPr>
                <w:rFonts w:ascii="Calibri" w:hAnsi="Calibri" w:cs="Calibri"/>
                <w:sz w:val="22"/>
                <w:szCs w:val="22"/>
                <w:lang w:eastAsia="es-NI"/>
              </w:rPr>
              <w:t xml:space="preserve">                                              </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730E44"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F7159A"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p>
        </w:tc>
      </w:tr>
      <w:tr w:rsidR="00245855" w14:paraId="715742EB" w14:textId="77777777" w:rsidTr="00245855">
        <w:trPr>
          <w:trHeight w:val="300"/>
        </w:trPr>
        <w:tc>
          <w:tcPr>
            <w:tcW w:w="8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054F9"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92225</w:t>
            </w:r>
          </w:p>
        </w:tc>
        <w:tc>
          <w:tcPr>
            <w:tcW w:w="41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8B8B5"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LIMPIEZA MANUAL FINAL</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2F975"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M2</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38C12A" w14:textId="77777777" w:rsidR="00245855" w:rsidRDefault="00245855" w:rsidP="00245855">
            <w:pPr>
              <w:pBdr>
                <w:top w:val="single" w:sz="4" w:space="1" w:color="auto"/>
                <w:left w:val="single" w:sz="4" w:space="4" w:color="auto"/>
                <w:bottom w:val="single" w:sz="4" w:space="1" w:color="auto"/>
                <w:right w:val="single" w:sz="4" w:space="4" w:color="auto"/>
              </w:pBdr>
              <w:rPr>
                <w:rFonts w:ascii="Calibri" w:hAnsi="Calibri" w:cs="Calibri"/>
                <w:sz w:val="22"/>
                <w:szCs w:val="22"/>
                <w:lang w:eastAsia="es-NI"/>
              </w:rPr>
            </w:pPr>
            <w:r>
              <w:rPr>
                <w:rFonts w:ascii="Calibri" w:hAnsi="Calibri" w:cs="Calibri"/>
                <w:sz w:val="22"/>
                <w:szCs w:val="22"/>
                <w:lang w:eastAsia="es-NI"/>
              </w:rPr>
              <w:t>225</w:t>
            </w:r>
          </w:p>
        </w:tc>
      </w:tr>
    </w:tbl>
    <w:p w14:paraId="3BAF2955" w14:textId="77777777" w:rsidR="00245855" w:rsidRDefault="00245855" w:rsidP="00245855">
      <w:pPr>
        <w:pBdr>
          <w:top w:val="single" w:sz="4" w:space="1" w:color="auto"/>
          <w:left w:val="single" w:sz="4" w:space="4" w:color="auto"/>
          <w:bottom w:val="single" w:sz="4" w:space="1" w:color="auto"/>
          <w:right w:val="single" w:sz="4" w:space="4" w:color="auto"/>
        </w:pBdr>
        <w:rPr>
          <w:sz w:val="22"/>
          <w:szCs w:val="22"/>
        </w:rPr>
      </w:pPr>
      <w:r w:rsidRPr="00E2736C">
        <w:rPr>
          <w:sz w:val="22"/>
          <w:szCs w:val="22"/>
        </w:rPr>
        <w:fldChar w:fldCharType="end"/>
      </w:r>
    </w:p>
    <w:p w14:paraId="49D17460" w14:textId="77777777" w:rsidR="00003780" w:rsidRDefault="00003780" w:rsidP="000C6174">
      <w:pPr>
        <w:jc w:val="center"/>
        <w:rPr>
          <w:rFonts w:asciiTheme="minorHAnsi" w:hAnsiTheme="minorHAnsi"/>
          <w:b/>
          <w:color w:val="000000" w:themeColor="text1"/>
          <w:sz w:val="28"/>
          <w:szCs w:val="24"/>
          <w:lang w:val="es-MX"/>
        </w:rPr>
      </w:pPr>
    </w:p>
    <w:p w14:paraId="036A6032" w14:textId="77777777" w:rsidR="009678D3" w:rsidRDefault="009678D3" w:rsidP="009678D3">
      <w:pPr>
        <w:rPr>
          <w:rFonts w:asciiTheme="minorHAnsi" w:hAnsiTheme="minorHAnsi"/>
          <w:b/>
          <w:color w:val="000000" w:themeColor="text1"/>
          <w:sz w:val="28"/>
          <w:szCs w:val="24"/>
          <w:lang w:val="es-MX"/>
        </w:rPr>
      </w:pPr>
    </w:p>
    <w:p w14:paraId="22F8FF0F" w14:textId="77777777" w:rsidR="009678D3" w:rsidRDefault="009678D3">
      <w:pPr>
        <w:jc w:val="left"/>
        <w:rPr>
          <w:rFonts w:asciiTheme="minorHAnsi" w:hAnsiTheme="minorHAnsi"/>
          <w:b/>
          <w:color w:val="000000" w:themeColor="text1"/>
          <w:sz w:val="28"/>
          <w:szCs w:val="24"/>
          <w:lang w:val="es-MX"/>
        </w:rPr>
      </w:pPr>
      <w:r>
        <w:rPr>
          <w:rFonts w:asciiTheme="minorHAnsi" w:hAnsiTheme="minorHAnsi"/>
          <w:b/>
          <w:color w:val="000000" w:themeColor="text1"/>
          <w:sz w:val="28"/>
          <w:szCs w:val="24"/>
          <w:lang w:val="es-MX"/>
        </w:rPr>
        <w:br w:type="page"/>
      </w:r>
    </w:p>
    <w:p w14:paraId="455DB253"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bookmarkStart w:id="1820" w:name="InicioDoc"/>
      <w:bookmarkEnd w:id="1820"/>
      <w:r w:rsidRPr="00E2736C">
        <w:rPr>
          <w:sz w:val="22"/>
          <w:szCs w:val="22"/>
        </w:rPr>
        <w:lastRenderedPageBreak/>
        <w:t>INFORMACION GENERAL</w:t>
      </w:r>
    </w:p>
    <w:tbl>
      <w:tblPr>
        <w:tblStyle w:val="Tablaconcuadrcula"/>
        <w:tblW w:w="0" w:type="auto"/>
        <w:tblInd w:w="108" w:type="dxa"/>
        <w:tblBorders>
          <w:insideH w:val="single" w:sz="4" w:space="0" w:color="FFFFFF"/>
          <w:insideV w:val="none" w:sz="0" w:space="0" w:color="auto"/>
        </w:tblBorders>
        <w:tblLook w:val="01E0" w:firstRow="1" w:lastRow="1" w:firstColumn="1" w:lastColumn="1" w:noHBand="0" w:noVBand="0"/>
      </w:tblPr>
      <w:tblGrid>
        <w:gridCol w:w="2050"/>
        <w:gridCol w:w="338"/>
        <w:gridCol w:w="6854"/>
      </w:tblGrid>
      <w:tr w:rsidR="009678D3" w:rsidRPr="00E2736C" w14:paraId="254CE90A" w14:textId="77777777" w:rsidTr="009678D3">
        <w:tc>
          <w:tcPr>
            <w:tcW w:w="2100" w:type="dxa"/>
            <w:vAlign w:val="center"/>
          </w:tcPr>
          <w:p w14:paraId="368EE5C2"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Código del proyecto</w:t>
            </w:r>
          </w:p>
        </w:tc>
        <w:tc>
          <w:tcPr>
            <w:tcW w:w="345" w:type="dxa"/>
            <w:vAlign w:val="center"/>
          </w:tcPr>
          <w:p w14:paraId="23110185"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5E740E13"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CodigoProyecto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19962</w:t>
            </w:r>
            <w:r w:rsidRPr="00E2736C">
              <w:rPr>
                <w:rFonts w:ascii="Times New Roman" w:hAnsi="Times New Roman" w:cs="Times New Roman"/>
                <w:b w:val="0"/>
                <w:sz w:val="22"/>
                <w:szCs w:val="22"/>
              </w:rPr>
              <w:fldChar w:fldCharType="end"/>
            </w:r>
          </w:p>
        </w:tc>
      </w:tr>
      <w:tr w:rsidR="009678D3" w:rsidRPr="00E2736C" w14:paraId="68533BED" w14:textId="77777777" w:rsidTr="009678D3">
        <w:tc>
          <w:tcPr>
            <w:tcW w:w="2100" w:type="dxa"/>
            <w:vAlign w:val="center"/>
          </w:tcPr>
          <w:p w14:paraId="1294DAF5"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Nombre del proyecto</w:t>
            </w:r>
          </w:p>
        </w:tc>
        <w:tc>
          <w:tcPr>
            <w:tcW w:w="345" w:type="dxa"/>
            <w:vAlign w:val="center"/>
          </w:tcPr>
          <w:p w14:paraId="73A0B6ED"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77969EB3"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NombreProyecto</w:instrText>
            </w:r>
            <w:r w:rsidRPr="00E2736C">
              <w:rPr>
                <w:rFonts w:ascii="Times New Roman" w:hAnsi="Times New Roman" w:cs="Times New Roman"/>
                <w:b w:val="0"/>
                <w:sz w:val="22"/>
                <w:szCs w:val="22"/>
              </w:rPr>
              <w:fldChar w:fldCharType="separate"/>
            </w:r>
            <w:r w:rsidRPr="009678D3">
              <w:rPr>
                <w:rFonts w:ascii="Times New Roman" w:hAnsi="Times New Roman" w:cs="Times New Roman"/>
                <w:b w:val="0"/>
                <w:sz w:val="22"/>
                <w:szCs w:val="22"/>
                <w:highlight w:val="yellow"/>
              </w:rPr>
              <w:t>Agua y Saneamiento Comunidad Naranjo Norte</w:t>
            </w:r>
            <w:r w:rsidRPr="00E2736C">
              <w:rPr>
                <w:rFonts w:ascii="Times New Roman" w:hAnsi="Times New Roman" w:cs="Times New Roman"/>
                <w:b w:val="0"/>
                <w:sz w:val="22"/>
                <w:szCs w:val="22"/>
              </w:rPr>
              <w:fldChar w:fldCharType="end"/>
            </w:r>
          </w:p>
        </w:tc>
      </w:tr>
      <w:tr w:rsidR="009678D3" w:rsidRPr="00E2736C" w14:paraId="07175E5B" w14:textId="77777777" w:rsidTr="009678D3">
        <w:tc>
          <w:tcPr>
            <w:tcW w:w="2100" w:type="dxa"/>
            <w:vAlign w:val="center"/>
          </w:tcPr>
          <w:p w14:paraId="5C2ED986"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Departamento</w:t>
            </w:r>
          </w:p>
        </w:tc>
        <w:tc>
          <w:tcPr>
            <w:tcW w:w="345" w:type="dxa"/>
            <w:vAlign w:val="center"/>
          </w:tcPr>
          <w:p w14:paraId="0C5BCF23"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392622F2"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Depto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Madriz</w:t>
            </w:r>
            <w:r w:rsidRPr="00E2736C">
              <w:rPr>
                <w:rFonts w:ascii="Times New Roman" w:hAnsi="Times New Roman" w:cs="Times New Roman"/>
                <w:b w:val="0"/>
                <w:sz w:val="22"/>
                <w:szCs w:val="22"/>
              </w:rPr>
              <w:fldChar w:fldCharType="end"/>
            </w:r>
          </w:p>
        </w:tc>
      </w:tr>
      <w:tr w:rsidR="009678D3" w:rsidRPr="00E2736C" w14:paraId="054E882E" w14:textId="77777777" w:rsidTr="009678D3">
        <w:tc>
          <w:tcPr>
            <w:tcW w:w="2100" w:type="dxa"/>
            <w:vAlign w:val="center"/>
          </w:tcPr>
          <w:p w14:paraId="268B84A1"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Municipio</w:t>
            </w:r>
          </w:p>
        </w:tc>
        <w:tc>
          <w:tcPr>
            <w:tcW w:w="345" w:type="dxa"/>
            <w:vAlign w:val="center"/>
          </w:tcPr>
          <w:p w14:paraId="516BD779"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313625A2"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Munic</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Telpaneca</w:t>
            </w:r>
            <w:r w:rsidRPr="00E2736C">
              <w:rPr>
                <w:rFonts w:ascii="Times New Roman" w:hAnsi="Times New Roman" w:cs="Times New Roman"/>
                <w:b w:val="0"/>
                <w:sz w:val="22"/>
                <w:szCs w:val="22"/>
              </w:rPr>
              <w:fldChar w:fldCharType="end"/>
            </w:r>
          </w:p>
        </w:tc>
      </w:tr>
      <w:tr w:rsidR="009678D3" w:rsidRPr="00E2736C" w14:paraId="6EEC9F69" w14:textId="77777777" w:rsidTr="009678D3">
        <w:tc>
          <w:tcPr>
            <w:tcW w:w="2100" w:type="dxa"/>
            <w:vAlign w:val="center"/>
          </w:tcPr>
          <w:p w14:paraId="30CAF566"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Barrio/Comarca</w:t>
            </w:r>
          </w:p>
        </w:tc>
        <w:tc>
          <w:tcPr>
            <w:tcW w:w="345" w:type="dxa"/>
            <w:vAlign w:val="center"/>
          </w:tcPr>
          <w:p w14:paraId="753515BB"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108F924F"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BarrioCom</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Naranjo Norte</w:t>
            </w:r>
            <w:r w:rsidRPr="00E2736C">
              <w:rPr>
                <w:rFonts w:ascii="Times New Roman" w:hAnsi="Times New Roman" w:cs="Times New Roman"/>
                <w:b w:val="0"/>
                <w:sz w:val="22"/>
                <w:szCs w:val="22"/>
              </w:rPr>
              <w:fldChar w:fldCharType="end"/>
            </w:r>
          </w:p>
        </w:tc>
      </w:tr>
    </w:tbl>
    <w:p w14:paraId="06AC80A0" w14:textId="77777777" w:rsidR="009678D3" w:rsidRPr="00E2736C" w:rsidRDefault="009678D3" w:rsidP="009678D3">
      <w:pPr>
        <w:pStyle w:val="TITULOGENERAL"/>
        <w:spacing w:before="0" w:after="0"/>
        <w:jc w:val="both"/>
        <w:rPr>
          <w:rFonts w:ascii="Times New Roman" w:hAnsi="Times New Roman" w:cs="Times New Roman"/>
          <w:b w:val="0"/>
          <w:sz w:val="16"/>
          <w:szCs w:val="16"/>
        </w:rPr>
      </w:pPr>
    </w:p>
    <w:p w14:paraId="22CF28CF"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 xml:space="preserve">RESULTADOS DE </w:t>
      </w:r>
      <w:smartTag w:uri="urn:schemas-microsoft-com:office:smarttags" w:element="PersonName">
        <w:smartTagPr>
          <w:attr w:name="ProductID" w:val="LA EVALUACION DEL"/>
        </w:smartTagPr>
        <w:smartTag w:uri="urn:schemas-microsoft-com:office:smarttags" w:element="PersonName">
          <w:r w:rsidRPr="00E2736C">
            <w:rPr>
              <w:sz w:val="22"/>
              <w:szCs w:val="22"/>
            </w:rPr>
            <w:t>LA EVALUACION</w:t>
          </w:r>
        </w:smartTag>
        <w:r w:rsidRPr="00E2736C">
          <w:rPr>
            <w:sz w:val="22"/>
            <w:szCs w:val="22"/>
          </w:rPr>
          <w:t xml:space="preserve"> DEL</w:t>
        </w:r>
      </w:smartTag>
      <w:r w:rsidRPr="00E2736C">
        <w:rPr>
          <w:sz w:val="22"/>
          <w:szCs w:val="22"/>
        </w:rPr>
        <w:t xml:space="preserve"> EMPLAZAMIENTO DEL PROYECTO</w:t>
      </w:r>
    </w:p>
    <w:tbl>
      <w:tblPr>
        <w:tblStyle w:val="Tablaconcuadrcula"/>
        <w:tblW w:w="9960" w:type="dxa"/>
        <w:tblInd w:w="108" w:type="dxa"/>
        <w:tblLook w:val="01E0" w:firstRow="1" w:lastRow="1" w:firstColumn="1" w:lastColumn="1" w:noHBand="0" w:noVBand="0"/>
      </w:tblPr>
      <w:tblGrid>
        <w:gridCol w:w="5160"/>
        <w:gridCol w:w="1600"/>
        <w:gridCol w:w="1600"/>
        <w:gridCol w:w="1600"/>
      </w:tblGrid>
      <w:tr w:rsidR="009678D3" w:rsidRPr="00E2736C" w14:paraId="3DE8B9C9" w14:textId="77777777" w:rsidTr="009678D3">
        <w:tc>
          <w:tcPr>
            <w:tcW w:w="5160" w:type="dxa"/>
            <w:vMerge w:val="restart"/>
            <w:tcBorders>
              <w:top w:val="single" w:sz="4" w:space="0" w:color="auto"/>
              <w:left w:val="single" w:sz="4" w:space="0" w:color="auto"/>
            </w:tcBorders>
            <w:vAlign w:val="bottom"/>
          </w:tcPr>
          <w:p w14:paraId="005D46E6" w14:textId="77777777" w:rsidR="009678D3" w:rsidRPr="00E2736C" w:rsidRDefault="009678D3" w:rsidP="009678D3">
            <w:pPr>
              <w:jc w:val="right"/>
              <w:rPr>
                <w:sz w:val="22"/>
                <w:szCs w:val="22"/>
              </w:rPr>
            </w:pPr>
            <w:r w:rsidRPr="00E2736C">
              <w:rPr>
                <w:sz w:val="22"/>
                <w:szCs w:val="22"/>
              </w:rPr>
              <w:t>¿El Proyecto Presenta Evaluación del Emplazamiento?</w:t>
            </w:r>
          </w:p>
        </w:tc>
        <w:tc>
          <w:tcPr>
            <w:tcW w:w="1600" w:type="dxa"/>
            <w:vAlign w:val="center"/>
          </w:tcPr>
          <w:p w14:paraId="157593CA" w14:textId="77777777" w:rsidR="009678D3" w:rsidRPr="00E2736C" w:rsidRDefault="009678D3" w:rsidP="009678D3">
            <w:pPr>
              <w:jc w:val="center"/>
              <w:rPr>
                <w:b/>
                <w:sz w:val="22"/>
                <w:szCs w:val="22"/>
              </w:rPr>
            </w:pPr>
            <w:r w:rsidRPr="00E2736C">
              <w:rPr>
                <w:b/>
                <w:sz w:val="22"/>
                <w:szCs w:val="22"/>
              </w:rPr>
              <w:t>SI</w:t>
            </w:r>
          </w:p>
        </w:tc>
        <w:tc>
          <w:tcPr>
            <w:tcW w:w="1600" w:type="dxa"/>
            <w:vAlign w:val="center"/>
          </w:tcPr>
          <w:p w14:paraId="5AB362A2" w14:textId="77777777" w:rsidR="009678D3" w:rsidRPr="00E2736C" w:rsidRDefault="009678D3" w:rsidP="009678D3">
            <w:pPr>
              <w:jc w:val="center"/>
              <w:rPr>
                <w:b/>
                <w:sz w:val="22"/>
                <w:szCs w:val="22"/>
              </w:rPr>
            </w:pPr>
            <w:r w:rsidRPr="00E2736C">
              <w:rPr>
                <w:b/>
                <w:sz w:val="22"/>
                <w:szCs w:val="22"/>
              </w:rPr>
              <w:t>NO</w:t>
            </w:r>
          </w:p>
        </w:tc>
        <w:tc>
          <w:tcPr>
            <w:tcW w:w="1600" w:type="dxa"/>
            <w:vAlign w:val="center"/>
          </w:tcPr>
          <w:p w14:paraId="2EDBB62D" w14:textId="77777777" w:rsidR="009678D3" w:rsidRPr="00E2736C" w:rsidRDefault="009678D3" w:rsidP="009678D3">
            <w:pPr>
              <w:jc w:val="center"/>
              <w:rPr>
                <w:b/>
                <w:sz w:val="22"/>
                <w:szCs w:val="22"/>
              </w:rPr>
            </w:pPr>
            <w:r w:rsidRPr="00E2736C">
              <w:rPr>
                <w:b/>
                <w:sz w:val="22"/>
                <w:szCs w:val="22"/>
              </w:rPr>
              <w:t>NO APLICA</w:t>
            </w:r>
          </w:p>
        </w:tc>
      </w:tr>
      <w:tr w:rsidR="009678D3" w:rsidRPr="00E2736C" w14:paraId="2B646AF4" w14:textId="77777777" w:rsidTr="009678D3">
        <w:tc>
          <w:tcPr>
            <w:tcW w:w="5160" w:type="dxa"/>
            <w:vMerge/>
            <w:tcBorders>
              <w:left w:val="single" w:sz="4" w:space="0" w:color="auto"/>
              <w:bottom w:val="single" w:sz="4" w:space="0" w:color="auto"/>
            </w:tcBorders>
          </w:tcPr>
          <w:p w14:paraId="242C1AE7" w14:textId="77777777" w:rsidR="009678D3" w:rsidRPr="00E2736C" w:rsidRDefault="009678D3" w:rsidP="009678D3">
            <w:pPr>
              <w:rPr>
                <w:sz w:val="22"/>
                <w:szCs w:val="22"/>
              </w:rPr>
            </w:pPr>
          </w:p>
        </w:tc>
        <w:tc>
          <w:tcPr>
            <w:tcW w:w="1600" w:type="dxa"/>
            <w:vAlign w:val="center"/>
          </w:tcPr>
          <w:p w14:paraId="4B10E350" w14:textId="77777777" w:rsidR="009678D3" w:rsidRPr="00E2736C" w:rsidRDefault="009678D3" w:rsidP="009678D3">
            <w:pPr>
              <w:jc w:val="center"/>
              <w:rPr>
                <w:sz w:val="22"/>
                <w:szCs w:val="22"/>
              </w:rPr>
            </w:pPr>
            <w:r>
              <w:rPr>
                <w:sz w:val="22"/>
                <w:szCs w:val="22"/>
              </w:rPr>
              <w:sym w:font="Wingdings" w:char="F0FC"/>
            </w:r>
          </w:p>
        </w:tc>
        <w:tc>
          <w:tcPr>
            <w:tcW w:w="1600" w:type="dxa"/>
            <w:vAlign w:val="center"/>
          </w:tcPr>
          <w:p w14:paraId="61ED5445" w14:textId="77777777" w:rsidR="009678D3" w:rsidRPr="00E2736C" w:rsidRDefault="009678D3" w:rsidP="009678D3">
            <w:pPr>
              <w:jc w:val="center"/>
              <w:rPr>
                <w:sz w:val="22"/>
                <w:szCs w:val="22"/>
              </w:rPr>
            </w:pPr>
          </w:p>
        </w:tc>
        <w:tc>
          <w:tcPr>
            <w:tcW w:w="1600" w:type="dxa"/>
            <w:vAlign w:val="center"/>
          </w:tcPr>
          <w:p w14:paraId="68C6BD98" w14:textId="77777777" w:rsidR="009678D3" w:rsidRPr="00E2736C" w:rsidRDefault="009678D3" w:rsidP="009678D3">
            <w:pPr>
              <w:jc w:val="center"/>
              <w:rPr>
                <w:sz w:val="22"/>
                <w:szCs w:val="22"/>
              </w:rPr>
            </w:pPr>
          </w:p>
        </w:tc>
      </w:tr>
    </w:tbl>
    <w:p w14:paraId="4667DA59" w14:textId="77777777" w:rsidR="009678D3" w:rsidRPr="00E2736C" w:rsidRDefault="009678D3" w:rsidP="009678D3">
      <w:pPr>
        <w:rPr>
          <w:sz w:val="16"/>
          <w:szCs w:val="16"/>
        </w:rPr>
      </w:pPr>
    </w:p>
    <w:tbl>
      <w:tblPr>
        <w:tblStyle w:val="Tablaconcuadrcula"/>
        <w:tblW w:w="9960" w:type="dxa"/>
        <w:tblInd w:w="108" w:type="dxa"/>
        <w:tblLook w:val="01E0" w:firstRow="1" w:lastRow="1" w:firstColumn="1" w:lastColumn="1" w:noHBand="0" w:noVBand="0"/>
      </w:tblPr>
      <w:tblGrid>
        <w:gridCol w:w="389"/>
        <w:gridCol w:w="9571"/>
      </w:tblGrid>
      <w:tr w:rsidR="009678D3" w:rsidRPr="00E2736C" w14:paraId="763220EE" w14:textId="77777777" w:rsidTr="009678D3">
        <w:tc>
          <w:tcPr>
            <w:tcW w:w="360" w:type="dxa"/>
            <w:shd w:val="clear" w:color="auto" w:fill="00FFFF"/>
            <w:vAlign w:val="center"/>
          </w:tcPr>
          <w:p w14:paraId="19305BA8" w14:textId="77777777" w:rsidR="009678D3" w:rsidRPr="00E2736C" w:rsidRDefault="009678D3" w:rsidP="009678D3">
            <w:pPr>
              <w:pStyle w:val="TITULOGENERAL"/>
              <w:spacing w:before="0" w:after="0"/>
              <w:rPr>
                <w:rFonts w:ascii="Times New Roman" w:hAnsi="Times New Roman" w:cs="Times New Roman"/>
                <w:sz w:val="22"/>
                <w:szCs w:val="22"/>
              </w:rPr>
            </w:pPr>
          </w:p>
        </w:tc>
        <w:tc>
          <w:tcPr>
            <w:tcW w:w="9600" w:type="dxa"/>
            <w:shd w:val="clear" w:color="auto" w:fill="00FFFF"/>
            <w:vAlign w:val="center"/>
          </w:tcPr>
          <w:p w14:paraId="6F38EEE8"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 xml:space="preserve">Resultados de </w:t>
            </w:r>
            <w:smartTag w:uri="urn:schemas-microsoft-com:office:smarttags" w:element="PersonName">
              <w:smartTagPr>
                <w:attr w:name="ProductID" w:val="la Evaluaci￳n"/>
              </w:smartTagPr>
              <w:r w:rsidRPr="00E2736C">
                <w:rPr>
                  <w:rFonts w:ascii="Times New Roman" w:hAnsi="Times New Roman" w:cs="Times New Roman"/>
                  <w:sz w:val="22"/>
                  <w:szCs w:val="22"/>
                </w:rPr>
                <w:t>la Evaluación</w:t>
              </w:r>
            </w:smartTag>
            <w:r w:rsidRPr="00E2736C">
              <w:rPr>
                <w:rFonts w:ascii="Times New Roman" w:hAnsi="Times New Roman" w:cs="Times New Roman"/>
                <w:sz w:val="22"/>
                <w:szCs w:val="22"/>
              </w:rPr>
              <w:t xml:space="preserve"> del Emplazamiento</w:t>
            </w:r>
          </w:p>
        </w:tc>
      </w:tr>
      <w:tr w:rsidR="009678D3" w:rsidRPr="00E2736C" w14:paraId="0B1E70EA" w14:textId="77777777" w:rsidTr="009678D3">
        <w:tc>
          <w:tcPr>
            <w:tcW w:w="360" w:type="dxa"/>
            <w:vAlign w:val="center"/>
          </w:tcPr>
          <w:p w14:paraId="7C2644F7"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6330B755"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5EF61E9B" w14:textId="77777777" w:rsidR="009678D3" w:rsidRDefault="009678D3" w:rsidP="009678D3">
            <w:pPr>
              <w:pStyle w:val="TITULOGENERAL"/>
              <w:spacing w:before="0" w:after="0"/>
              <w:jc w:val="left"/>
              <w:rPr>
                <w:rFonts w:ascii="Times New Roman" w:hAnsi="Times New Roman" w:cs="Times New Roman"/>
                <w:b w:val="0"/>
                <w:sz w:val="22"/>
                <w:szCs w:val="22"/>
              </w:rPr>
            </w:pPr>
          </w:p>
          <w:p w14:paraId="2300FB4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77B47389" w14:textId="77777777" w:rsidR="009678D3" w:rsidRDefault="009678D3" w:rsidP="009678D3">
            <w:pPr>
              <w:pStyle w:val="TITULOGENERAL"/>
              <w:spacing w:before="0" w:after="0"/>
              <w:jc w:val="left"/>
              <w:rPr>
                <w:rFonts w:ascii="Times New Roman" w:hAnsi="Times New Roman" w:cs="Times New Roman"/>
                <w:b w:val="0"/>
                <w:sz w:val="22"/>
                <w:szCs w:val="22"/>
              </w:rPr>
            </w:pPr>
          </w:p>
          <w:p w14:paraId="60C1371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Sismicidad</w:t>
            </w:r>
          </w:p>
          <w:p w14:paraId="6F6A8162"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Deslizamientos</w:t>
            </w:r>
          </w:p>
          <w:p w14:paraId="63F2704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Vulcanismo</w:t>
            </w:r>
          </w:p>
          <w:p w14:paraId="66C95DEE"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Mar y lagos</w:t>
            </w:r>
          </w:p>
          <w:p w14:paraId="56255804"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Fuentes de contaminación</w:t>
            </w:r>
          </w:p>
          <w:p w14:paraId="71AE622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Marco legal(Legalidad del Terreno)</w:t>
            </w:r>
          </w:p>
          <w:p w14:paraId="49F83DB2" w14:textId="77777777" w:rsidR="009678D3" w:rsidRDefault="009678D3" w:rsidP="009678D3">
            <w:pPr>
              <w:pStyle w:val="TITULOGENERAL"/>
              <w:spacing w:before="0" w:after="0"/>
              <w:jc w:val="left"/>
              <w:rPr>
                <w:rFonts w:ascii="Times New Roman" w:hAnsi="Times New Roman" w:cs="Times New Roman"/>
                <w:b w:val="0"/>
                <w:sz w:val="22"/>
                <w:szCs w:val="22"/>
              </w:rPr>
            </w:pPr>
          </w:p>
          <w:p w14:paraId="5363B319"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p>
          <w:p w14:paraId="32DAB354" w14:textId="77777777" w:rsidR="009678D3" w:rsidRPr="00E2736C"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5D110341" w14:textId="77777777" w:rsidTr="009678D3">
        <w:tc>
          <w:tcPr>
            <w:tcW w:w="360" w:type="dxa"/>
            <w:vAlign w:val="center"/>
          </w:tcPr>
          <w:p w14:paraId="29DE7ADB"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571BDFBA"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6362B6F0" w14:textId="77777777" w:rsidR="009678D3"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755949E9" w14:textId="77777777" w:rsidTr="009678D3">
        <w:tc>
          <w:tcPr>
            <w:tcW w:w="360" w:type="dxa"/>
            <w:vAlign w:val="center"/>
          </w:tcPr>
          <w:p w14:paraId="70B6CE4B"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301512DA"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3380F58F" w14:textId="77777777" w:rsidR="009678D3"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1A77E9E9" w14:textId="77777777" w:rsidTr="009678D3">
        <w:tc>
          <w:tcPr>
            <w:tcW w:w="360" w:type="dxa"/>
            <w:vAlign w:val="center"/>
          </w:tcPr>
          <w:p w14:paraId="7D755D1D" w14:textId="77777777" w:rsidR="009678D3" w:rsidRPr="00E2736C"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sym w:font="Wingdings" w:char="F0FC"/>
            </w:r>
          </w:p>
        </w:tc>
        <w:tc>
          <w:tcPr>
            <w:tcW w:w="9600" w:type="dxa"/>
            <w:vAlign w:val="center"/>
          </w:tcPr>
          <w:p w14:paraId="1A8209EA"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09C30A89" w14:textId="77777777" w:rsidR="009678D3" w:rsidRDefault="009678D3" w:rsidP="009678D3">
            <w:pPr>
              <w:pStyle w:val="TITULOGENERAL"/>
              <w:spacing w:before="0" w:after="0"/>
              <w:jc w:val="left"/>
              <w:rPr>
                <w:rFonts w:ascii="Times New Roman" w:hAnsi="Times New Roman" w:cs="Times New Roman"/>
                <w:b w:val="0"/>
                <w:sz w:val="22"/>
                <w:szCs w:val="22"/>
              </w:rPr>
            </w:pPr>
          </w:p>
        </w:tc>
      </w:tr>
    </w:tbl>
    <w:p w14:paraId="055555B5" w14:textId="77777777" w:rsidR="009678D3" w:rsidRPr="00E2736C" w:rsidRDefault="009678D3" w:rsidP="009678D3">
      <w:pPr>
        <w:rPr>
          <w:sz w:val="16"/>
          <w:szCs w:val="16"/>
        </w:rPr>
      </w:pPr>
    </w:p>
    <w:p w14:paraId="35C5ADDD" w14:textId="77777777" w:rsidR="009678D3" w:rsidRPr="00E2736C" w:rsidRDefault="009678D3" w:rsidP="009678D3">
      <w:pPr>
        <w:rPr>
          <w:b/>
          <w:sz w:val="22"/>
          <w:szCs w:val="22"/>
        </w:rPr>
      </w:pPr>
      <w:r w:rsidRPr="00E2736C">
        <w:rPr>
          <w:b/>
          <w:sz w:val="22"/>
          <w:szCs w:val="22"/>
        </w:rPr>
        <w:t xml:space="preserve">Fuentes de Riesgos con Valor 1 en </w:t>
      </w:r>
      <w:smartTag w:uri="urn:schemas-microsoft-com:office:smarttags" w:element="PersonName">
        <w:smartTagPr>
          <w:attr w:name="ProductID" w:val="la Evaluaci￳n"/>
        </w:smartTagPr>
        <w:r w:rsidRPr="00E2736C">
          <w:rPr>
            <w:b/>
            <w:sz w:val="22"/>
            <w:szCs w:val="22"/>
          </w:rPr>
          <w:t>la Evaluación</w:t>
        </w:r>
      </w:smartTag>
      <w:r w:rsidRPr="00E2736C">
        <w:rPr>
          <w:b/>
          <w:sz w:val="22"/>
          <w:szCs w:val="22"/>
        </w:rPr>
        <w:t xml:space="preserve"> del Emplazamiento:</w:t>
      </w:r>
    </w:p>
    <w:p w14:paraId="7BABB818" w14:textId="77777777" w:rsidR="009678D3" w:rsidRPr="00E2736C" w:rsidRDefault="009678D3" w:rsidP="009678D3">
      <w:pPr>
        <w:rPr>
          <w:sz w:val="16"/>
          <w:szCs w:val="16"/>
        </w:rPr>
      </w:pPr>
    </w:p>
    <w:tbl>
      <w:tblPr>
        <w:tblStyle w:val="Tablaconcuadrcula"/>
        <w:tblW w:w="9960" w:type="dxa"/>
        <w:tblInd w:w="108" w:type="dxa"/>
        <w:tblLook w:val="01E0" w:firstRow="1" w:lastRow="1" w:firstColumn="1" w:lastColumn="1" w:noHBand="0" w:noVBand="0"/>
      </w:tblPr>
      <w:tblGrid>
        <w:gridCol w:w="389"/>
        <w:gridCol w:w="9571"/>
      </w:tblGrid>
      <w:tr w:rsidR="009678D3" w:rsidRPr="00E2736C" w14:paraId="0BB8AD81" w14:textId="77777777" w:rsidTr="009678D3">
        <w:tc>
          <w:tcPr>
            <w:tcW w:w="360" w:type="dxa"/>
            <w:shd w:val="clear" w:color="auto" w:fill="00FFFF"/>
            <w:vAlign w:val="center"/>
          </w:tcPr>
          <w:p w14:paraId="05C2757F" w14:textId="77777777" w:rsidR="009678D3" w:rsidRPr="00E2736C" w:rsidRDefault="009678D3" w:rsidP="009678D3">
            <w:pPr>
              <w:pStyle w:val="TITULOGENERAL"/>
              <w:spacing w:before="0" w:after="0"/>
              <w:rPr>
                <w:rFonts w:ascii="Times New Roman" w:hAnsi="Times New Roman" w:cs="Times New Roman"/>
                <w:sz w:val="22"/>
                <w:szCs w:val="22"/>
              </w:rPr>
            </w:pPr>
          </w:p>
        </w:tc>
        <w:tc>
          <w:tcPr>
            <w:tcW w:w="9600" w:type="dxa"/>
            <w:shd w:val="clear" w:color="auto" w:fill="00FFFF"/>
            <w:vAlign w:val="center"/>
          </w:tcPr>
          <w:p w14:paraId="10223785"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Fuentes de Riesgos</w:t>
            </w:r>
          </w:p>
        </w:tc>
      </w:tr>
      <w:tr w:rsidR="009678D3" w:rsidRPr="00E2736C" w14:paraId="6A11C0C8" w14:textId="77777777" w:rsidTr="009678D3">
        <w:tc>
          <w:tcPr>
            <w:tcW w:w="360" w:type="dxa"/>
            <w:vAlign w:val="center"/>
          </w:tcPr>
          <w:p w14:paraId="46E4EC94" w14:textId="77777777" w:rsidR="009678D3" w:rsidRPr="00E2736C"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sym w:font="Wingdings" w:char="F0FC"/>
            </w:r>
          </w:p>
        </w:tc>
        <w:tc>
          <w:tcPr>
            <w:tcW w:w="9600" w:type="dxa"/>
            <w:vAlign w:val="center"/>
          </w:tcPr>
          <w:p w14:paraId="5754C4E1"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Ninguna</w:t>
            </w:r>
          </w:p>
        </w:tc>
      </w:tr>
      <w:tr w:rsidR="009678D3" w:rsidRPr="00E2736C" w14:paraId="40C9AA84" w14:textId="77777777" w:rsidTr="009678D3">
        <w:tc>
          <w:tcPr>
            <w:tcW w:w="360" w:type="dxa"/>
            <w:vAlign w:val="center"/>
          </w:tcPr>
          <w:p w14:paraId="461D98B7" w14:textId="77777777" w:rsidR="009678D3"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78787912"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Sismicidad</w:t>
            </w:r>
          </w:p>
        </w:tc>
      </w:tr>
      <w:tr w:rsidR="009678D3" w:rsidRPr="00E2736C" w14:paraId="48CB89D0" w14:textId="77777777" w:rsidTr="009678D3">
        <w:tc>
          <w:tcPr>
            <w:tcW w:w="360" w:type="dxa"/>
            <w:vAlign w:val="center"/>
          </w:tcPr>
          <w:p w14:paraId="139F50EA" w14:textId="77777777" w:rsidR="009678D3"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61EFD502"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Deslizamientos</w:t>
            </w:r>
          </w:p>
        </w:tc>
      </w:tr>
      <w:tr w:rsidR="009678D3" w:rsidRPr="00E2736C" w14:paraId="2F848F84" w14:textId="77777777" w:rsidTr="009678D3">
        <w:tc>
          <w:tcPr>
            <w:tcW w:w="360" w:type="dxa"/>
            <w:vAlign w:val="center"/>
          </w:tcPr>
          <w:p w14:paraId="4372D378" w14:textId="77777777" w:rsidR="009678D3"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2727737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Mar y Lagos</w:t>
            </w:r>
          </w:p>
        </w:tc>
      </w:tr>
      <w:tr w:rsidR="009678D3" w:rsidRPr="00E2736C" w14:paraId="0C9C9A0B" w14:textId="77777777" w:rsidTr="009678D3">
        <w:tc>
          <w:tcPr>
            <w:tcW w:w="360" w:type="dxa"/>
            <w:vAlign w:val="center"/>
          </w:tcPr>
          <w:p w14:paraId="0B829026" w14:textId="77777777" w:rsidR="009678D3"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2AE0C97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Fuentes de Contaminación</w:t>
            </w:r>
          </w:p>
        </w:tc>
      </w:tr>
      <w:tr w:rsidR="009678D3" w:rsidRPr="00E2736C" w14:paraId="0EBA94D1" w14:textId="77777777" w:rsidTr="009678D3">
        <w:tc>
          <w:tcPr>
            <w:tcW w:w="360" w:type="dxa"/>
            <w:vAlign w:val="center"/>
          </w:tcPr>
          <w:p w14:paraId="6ECE4EFE" w14:textId="77777777" w:rsidR="009678D3"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7BB94C8C"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Inundación</w:t>
            </w:r>
          </w:p>
        </w:tc>
      </w:tr>
      <w:tr w:rsidR="009678D3" w:rsidRPr="00E2736C" w14:paraId="335BB2B9" w14:textId="77777777" w:rsidTr="009678D3">
        <w:tc>
          <w:tcPr>
            <w:tcW w:w="360" w:type="dxa"/>
            <w:vAlign w:val="center"/>
          </w:tcPr>
          <w:p w14:paraId="26EBD671" w14:textId="77777777" w:rsidR="009678D3"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408E6F9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Otras (Especifique)</w:t>
            </w:r>
          </w:p>
        </w:tc>
      </w:tr>
    </w:tbl>
    <w:p w14:paraId="5FE425E4" w14:textId="77777777" w:rsidR="009678D3" w:rsidRPr="00E2736C" w:rsidRDefault="009678D3" w:rsidP="009678D3">
      <w:pPr>
        <w:rPr>
          <w:sz w:val="16"/>
          <w:szCs w:val="16"/>
        </w:rPr>
      </w:pPr>
    </w:p>
    <w:p w14:paraId="4E8E8EFE" w14:textId="77777777" w:rsidR="009678D3" w:rsidRPr="00E2736C" w:rsidRDefault="009678D3" w:rsidP="009678D3">
      <w:pPr>
        <w:rPr>
          <w:b/>
          <w:sz w:val="22"/>
          <w:szCs w:val="22"/>
        </w:rPr>
      </w:pPr>
      <w:r w:rsidRPr="00E2736C">
        <w:rPr>
          <w:b/>
          <w:sz w:val="22"/>
          <w:szCs w:val="22"/>
        </w:rPr>
        <w:t xml:space="preserve">Especificación de Otras Fuentes de Riesgos: </w:t>
      </w:r>
    </w:p>
    <w:tbl>
      <w:tblPr>
        <w:tblStyle w:val="Tablaconcuadrcula"/>
        <w:tblW w:w="9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60"/>
      </w:tblGrid>
      <w:tr w:rsidR="009678D3" w:rsidRPr="00E2736C" w14:paraId="6736872C" w14:textId="77777777" w:rsidTr="009678D3">
        <w:tc>
          <w:tcPr>
            <w:tcW w:w="9960" w:type="dxa"/>
          </w:tcPr>
          <w:p w14:paraId="4E108715" w14:textId="77777777" w:rsidR="009678D3" w:rsidRPr="00C84F94" w:rsidRDefault="009678D3" w:rsidP="009678D3">
            <w:pPr>
              <w:rPr>
                <w:sz w:val="16"/>
                <w:szCs w:val="16"/>
              </w:rPr>
            </w:pPr>
          </w:p>
          <w:p w14:paraId="6B1AFE2D" w14:textId="77777777" w:rsidR="009678D3" w:rsidRPr="00E2736C" w:rsidRDefault="009678D3" w:rsidP="009678D3">
            <w:pPr>
              <w:rPr>
                <w:sz w:val="22"/>
                <w:szCs w:val="22"/>
              </w:rPr>
            </w:pPr>
            <w:r w:rsidRPr="00E2736C">
              <w:rPr>
                <w:sz w:val="22"/>
                <w:szCs w:val="22"/>
              </w:rPr>
              <w:fldChar w:fldCharType="begin"/>
            </w:r>
            <w:r w:rsidRPr="00E2736C">
              <w:rPr>
                <w:sz w:val="22"/>
                <w:szCs w:val="22"/>
              </w:rPr>
              <w:instrText xml:space="preserve"> DOCVARIABLE  OtrasFuentesRiesgo</w:instrText>
            </w:r>
            <w:r w:rsidRPr="00E2736C">
              <w:rPr>
                <w:sz w:val="22"/>
                <w:szCs w:val="22"/>
              </w:rPr>
              <w:fldChar w:fldCharType="separate"/>
            </w:r>
            <w:r>
              <w:rPr>
                <w:sz w:val="22"/>
                <w:szCs w:val="22"/>
              </w:rPr>
              <w:t xml:space="preserve"> </w:t>
            </w:r>
            <w:r w:rsidRPr="00E2736C">
              <w:rPr>
                <w:sz w:val="22"/>
                <w:szCs w:val="22"/>
              </w:rPr>
              <w:fldChar w:fldCharType="end"/>
            </w:r>
          </w:p>
          <w:p w14:paraId="0596047B" w14:textId="77777777" w:rsidR="009678D3" w:rsidRPr="00C84F94" w:rsidRDefault="009678D3" w:rsidP="009678D3">
            <w:pPr>
              <w:rPr>
                <w:sz w:val="16"/>
                <w:szCs w:val="16"/>
              </w:rPr>
            </w:pPr>
          </w:p>
        </w:tc>
      </w:tr>
    </w:tbl>
    <w:p w14:paraId="31EC8E6F"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ACCESOS Y MEDIOS DE TRANSPORTE DE MANAGUA AL PROYECTO</w:t>
      </w:r>
    </w:p>
    <w:tbl>
      <w:tblPr>
        <w:tblStyle w:val="Tablaconcuadrcula"/>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9678D3" w:rsidRPr="00E2736C" w14:paraId="213FE35C" w14:textId="77777777" w:rsidTr="009678D3">
        <w:tc>
          <w:tcPr>
            <w:tcW w:w="2760" w:type="dxa"/>
            <w:vMerge w:val="restart"/>
            <w:shd w:val="clear" w:color="auto" w:fill="00FFFF"/>
            <w:vAlign w:val="center"/>
          </w:tcPr>
          <w:p w14:paraId="5B20FDEE" w14:textId="77777777" w:rsidR="009678D3" w:rsidRPr="00076698" w:rsidRDefault="009678D3" w:rsidP="009678D3">
            <w:pPr>
              <w:jc w:val="center"/>
              <w:rPr>
                <w:b/>
              </w:rPr>
            </w:pPr>
            <w:r w:rsidRPr="00076698">
              <w:rPr>
                <w:b/>
              </w:rPr>
              <w:t>Tipos de Accesos</w:t>
            </w:r>
          </w:p>
        </w:tc>
        <w:tc>
          <w:tcPr>
            <w:tcW w:w="1080" w:type="dxa"/>
            <w:vMerge w:val="restart"/>
            <w:shd w:val="clear" w:color="auto" w:fill="00FFFF"/>
            <w:vAlign w:val="center"/>
          </w:tcPr>
          <w:p w14:paraId="1BBA89DA" w14:textId="77777777" w:rsidR="009678D3" w:rsidRPr="00076698" w:rsidRDefault="009678D3" w:rsidP="009678D3">
            <w:pPr>
              <w:jc w:val="center"/>
              <w:rPr>
                <w:b/>
              </w:rPr>
            </w:pPr>
            <w:r w:rsidRPr="00076698">
              <w:rPr>
                <w:b/>
              </w:rPr>
              <w:t>Distancia (Kms)</w:t>
            </w:r>
          </w:p>
        </w:tc>
        <w:tc>
          <w:tcPr>
            <w:tcW w:w="1080" w:type="dxa"/>
            <w:vMerge w:val="restart"/>
            <w:shd w:val="clear" w:color="auto" w:fill="00FFFF"/>
            <w:vAlign w:val="center"/>
          </w:tcPr>
          <w:p w14:paraId="5E47235F" w14:textId="77777777" w:rsidR="009678D3" w:rsidRPr="00076698" w:rsidRDefault="009678D3" w:rsidP="009678D3">
            <w:pPr>
              <w:jc w:val="center"/>
              <w:rPr>
                <w:b/>
              </w:rPr>
            </w:pPr>
            <w:r w:rsidRPr="00076698">
              <w:rPr>
                <w:b/>
              </w:rPr>
              <w:t>Tiempo (Hrs)</w:t>
            </w:r>
          </w:p>
        </w:tc>
        <w:tc>
          <w:tcPr>
            <w:tcW w:w="5160" w:type="dxa"/>
            <w:gridSpan w:val="5"/>
            <w:shd w:val="clear" w:color="auto" w:fill="00FFFF"/>
          </w:tcPr>
          <w:p w14:paraId="6A24CFAC" w14:textId="77777777" w:rsidR="009678D3" w:rsidRPr="00076698" w:rsidRDefault="009678D3" w:rsidP="009678D3">
            <w:pPr>
              <w:jc w:val="center"/>
              <w:rPr>
                <w:b/>
              </w:rPr>
            </w:pPr>
            <w:r w:rsidRPr="00076698">
              <w:rPr>
                <w:b/>
              </w:rPr>
              <w:t>Medios de transporte  (Marcar con una X)</w:t>
            </w:r>
          </w:p>
        </w:tc>
      </w:tr>
      <w:tr w:rsidR="009678D3" w:rsidRPr="00E2736C" w14:paraId="574FBA04" w14:textId="77777777" w:rsidTr="009678D3">
        <w:tc>
          <w:tcPr>
            <w:tcW w:w="2760" w:type="dxa"/>
            <w:vMerge/>
            <w:shd w:val="clear" w:color="auto" w:fill="00FFFF"/>
          </w:tcPr>
          <w:p w14:paraId="2B020D26" w14:textId="77777777" w:rsidR="009678D3" w:rsidRPr="00076698" w:rsidRDefault="009678D3" w:rsidP="009678D3">
            <w:pPr>
              <w:rPr>
                <w:b/>
              </w:rPr>
            </w:pPr>
          </w:p>
        </w:tc>
        <w:tc>
          <w:tcPr>
            <w:tcW w:w="1080" w:type="dxa"/>
            <w:vMerge/>
            <w:shd w:val="clear" w:color="auto" w:fill="00FFFF"/>
          </w:tcPr>
          <w:p w14:paraId="08BF44A6" w14:textId="77777777" w:rsidR="009678D3" w:rsidRPr="00076698" w:rsidRDefault="009678D3" w:rsidP="009678D3">
            <w:pPr>
              <w:rPr>
                <w:b/>
              </w:rPr>
            </w:pPr>
          </w:p>
        </w:tc>
        <w:tc>
          <w:tcPr>
            <w:tcW w:w="1080" w:type="dxa"/>
            <w:vMerge/>
            <w:shd w:val="clear" w:color="auto" w:fill="00FFFF"/>
          </w:tcPr>
          <w:p w14:paraId="2CB93F9D" w14:textId="77777777" w:rsidR="009678D3" w:rsidRPr="00076698" w:rsidRDefault="009678D3" w:rsidP="009678D3">
            <w:pPr>
              <w:rPr>
                <w:b/>
              </w:rPr>
            </w:pPr>
          </w:p>
        </w:tc>
        <w:tc>
          <w:tcPr>
            <w:tcW w:w="1032" w:type="dxa"/>
            <w:shd w:val="clear" w:color="auto" w:fill="00FFFF"/>
            <w:vAlign w:val="center"/>
          </w:tcPr>
          <w:p w14:paraId="59CA436C" w14:textId="77777777" w:rsidR="009678D3" w:rsidRPr="00076698" w:rsidRDefault="009678D3" w:rsidP="009678D3">
            <w:pPr>
              <w:jc w:val="center"/>
              <w:rPr>
                <w:b/>
              </w:rPr>
            </w:pPr>
            <w:r w:rsidRPr="00076698">
              <w:rPr>
                <w:b/>
              </w:rPr>
              <w:t>Vehículo</w:t>
            </w:r>
          </w:p>
        </w:tc>
        <w:tc>
          <w:tcPr>
            <w:tcW w:w="1032" w:type="dxa"/>
            <w:shd w:val="clear" w:color="auto" w:fill="00FFFF"/>
            <w:vAlign w:val="center"/>
          </w:tcPr>
          <w:p w14:paraId="3F897AD3" w14:textId="77777777" w:rsidR="009678D3" w:rsidRPr="00076698" w:rsidRDefault="009678D3" w:rsidP="009678D3">
            <w:pPr>
              <w:jc w:val="center"/>
              <w:rPr>
                <w:b/>
              </w:rPr>
            </w:pPr>
            <w:r w:rsidRPr="00076698">
              <w:rPr>
                <w:b/>
              </w:rPr>
              <w:t xml:space="preserve">Aéreo </w:t>
            </w:r>
          </w:p>
        </w:tc>
        <w:tc>
          <w:tcPr>
            <w:tcW w:w="1032" w:type="dxa"/>
            <w:shd w:val="clear" w:color="auto" w:fill="00FFFF"/>
            <w:vAlign w:val="center"/>
          </w:tcPr>
          <w:p w14:paraId="1839BC68" w14:textId="77777777" w:rsidR="009678D3" w:rsidRPr="00076698" w:rsidRDefault="009678D3" w:rsidP="009678D3">
            <w:pPr>
              <w:jc w:val="center"/>
              <w:rPr>
                <w:b/>
              </w:rPr>
            </w:pPr>
            <w:r w:rsidRPr="00076698">
              <w:rPr>
                <w:b/>
              </w:rPr>
              <w:t xml:space="preserve">Acuático </w:t>
            </w:r>
          </w:p>
        </w:tc>
        <w:tc>
          <w:tcPr>
            <w:tcW w:w="1032" w:type="dxa"/>
            <w:shd w:val="clear" w:color="auto" w:fill="00FFFF"/>
            <w:vAlign w:val="center"/>
          </w:tcPr>
          <w:p w14:paraId="79FDADC1" w14:textId="77777777" w:rsidR="009678D3" w:rsidRPr="00076698" w:rsidRDefault="009678D3" w:rsidP="009678D3">
            <w:pPr>
              <w:jc w:val="center"/>
              <w:rPr>
                <w:b/>
              </w:rPr>
            </w:pPr>
            <w:r w:rsidRPr="00076698">
              <w:rPr>
                <w:b/>
              </w:rPr>
              <w:t>A pie</w:t>
            </w:r>
          </w:p>
        </w:tc>
        <w:tc>
          <w:tcPr>
            <w:tcW w:w="1032" w:type="dxa"/>
            <w:shd w:val="clear" w:color="auto" w:fill="00FFFF"/>
            <w:vAlign w:val="center"/>
          </w:tcPr>
          <w:p w14:paraId="13FFCC5D" w14:textId="77777777" w:rsidR="009678D3" w:rsidRPr="00076698" w:rsidRDefault="009678D3" w:rsidP="009678D3">
            <w:pPr>
              <w:jc w:val="center"/>
              <w:rPr>
                <w:b/>
              </w:rPr>
            </w:pPr>
            <w:r w:rsidRPr="00076698">
              <w:rPr>
                <w:b/>
              </w:rPr>
              <w:t>En bestia</w:t>
            </w:r>
          </w:p>
        </w:tc>
      </w:tr>
      <w:tr w:rsidR="009678D3" w:rsidRPr="00E2736C" w14:paraId="13BB6C2A" w14:textId="77777777" w:rsidTr="009678D3">
        <w:tc>
          <w:tcPr>
            <w:tcW w:w="2760" w:type="dxa"/>
            <w:vAlign w:val="center"/>
          </w:tcPr>
          <w:p w14:paraId="28A00811" w14:textId="77777777" w:rsidR="009678D3" w:rsidRPr="00076698" w:rsidRDefault="009678D3" w:rsidP="009678D3">
            <w:r>
              <w:t>Adoquín</w:t>
            </w:r>
          </w:p>
        </w:tc>
        <w:tc>
          <w:tcPr>
            <w:tcW w:w="1080" w:type="dxa"/>
            <w:vAlign w:val="center"/>
          </w:tcPr>
          <w:p w14:paraId="1E623B23" w14:textId="77777777" w:rsidR="009678D3" w:rsidRPr="00076698" w:rsidRDefault="009678D3" w:rsidP="009678D3">
            <w:pPr>
              <w:jc w:val="right"/>
            </w:pPr>
            <w:r>
              <w:t>24.00</w:t>
            </w:r>
          </w:p>
        </w:tc>
        <w:tc>
          <w:tcPr>
            <w:tcW w:w="1080" w:type="dxa"/>
            <w:vAlign w:val="center"/>
          </w:tcPr>
          <w:p w14:paraId="398361B7" w14:textId="77777777" w:rsidR="009678D3" w:rsidRPr="00076698" w:rsidRDefault="009678D3" w:rsidP="009678D3">
            <w:pPr>
              <w:jc w:val="right"/>
            </w:pPr>
            <w:r>
              <w:t>1.00</w:t>
            </w:r>
          </w:p>
        </w:tc>
        <w:tc>
          <w:tcPr>
            <w:tcW w:w="1032" w:type="dxa"/>
            <w:vAlign w:val="center"/>
          </w:tcPr>
          <w:p w14:paraId="00488592" w14:textId="77777777" w:rsidR="009678D3" w:rsidRPr="00076698" w:rsidRDefault="009678D3" w:rsidP="009678D3">
            <w:pPr>
              <w:jc w:val="center"/>
            </w:pPr>
            <w:r>
              <w:t>X</w:t>
            </w:r>
          </w:p>
        </w:tc>
        <w:tc>
          <w:tcPr>
            <w:tcW w:w="1032" w:type="dxa"/>
            <w:vAlign w:val="center"/>
          </w:tcPr>
          <w:p w14:paraId="7938EE94" w14:textId="77777777" w:rsidR="009678D3" w:rsidRPr="00076698" w:rsidRDefault="009678D3" w:rsidP="009678D3">
            <w:pPr>
              <w:jc w:val="center"/>
            </w:pPr>
          </w:p>
        </w:tc>
        <w:tc>
          <w:tcPr>
            <w:tcW w:w="1032" w:type="dxa"/>
            <w:vAlign w:val="center"/>
          </w:tcPr>
          <w:p w14:paraId="18259AFB" w14:textId="77777777" w:rsidR="009678D3" w:rsidRPr="00076698" w:rsidRDefault="009678D3" w:rsidP="009678D3">
            <w:pPr>
              <w:jc w:val="center"/>
            </w:pPr>
          </w:p>
        </w:tc>
        <w:tc>
          <w:tcPr>
            <w:tcW w:w="1032" w:type="dxa"/>
            <w:vAlign w:val="center"/>
          </w:tcPr>
          <w:p w14:paraId="75B750BE" w14:textId="77777777" w:rsidR="009678D3" w:rsidRPr="00076698" w:rsidRDefault="009678D3" w:rsidP="009678D3">
            <w:pPr>
              <w:jc w:val="center"/>
            </w:pPr>
          </w:p>
        </w:tc>
        <w:tc>
          <w:tcPr>
            <w:tcW w:w="1032" w:type="dxa"/>
            <w:vAlign w:val="center"/>
          </w:tcPr>
          <w:p w14:paraId="14A186C2" w14:textId="77777777" w:rsidR="009678D3" w:rsidRPr="00076698" w:rsidRDefault="009678D3" w:rsidP="009678D3">
            <w:pPr>
              <w:jc w:val="center"/>
            </w:pPr>
          </w:p>
        </w:tc>
      </w:tr>
      <w:tr w:rsidR="009678D3" w:rsidRPr="00E2736C" w14:paraId="52AFC15F" w14:textId="77777777" w:rsidTr="009678D3">
        <w:tc>
          <w:tcPr>
            <w:tcW w:w="2760" w:type="dxa"/>
            <w:vAlign w:val="center"/>
          </w:tcPr>
          <w:p w14:paraId="183136C4" w14:textId="77777777" w:rsidR="009678D3" w:rsidRDefault="009678D3" w:rsidP="009678D3">
            <w:r>
              <w:t>Macadán</w:t>
            </w:r>
          </w:p>
        </w:tc>
        <w:tc>
          <w:tcPr>
            <w:tcW w:w="1080" w:type="dxa"/>
            <w:vAlign w:val="center"/>
          </w:tcPr>
          <w:p w14:paraId="330EB6D3" w14:textId="77777777" w:rsidR="009678D3" w:rsidRDefault="009678D3" w:rsidP="009678D3">
            <w:pPr>
              <w:jc w:val="right"/>
            </w:pPr>
            <w:r>
              <w:t>14.00</w:t>
            </w:r>
          </w:p>
        </w:tc>
        <w:tc>
          <w:tcPr>
            <w:tcW w:w="1080" w:type="dxa"/>
            <w:vAlign w:val="center"/>
          </w:tcPr>
          <w:p w14:paraId="56888A47" w14:textId="77777777" w:rsidR="009678D3" w:rsidRDefault="009678D3" w:rsidP="009678D3">
            <w:pPr>
              <w:jc w:val="right"/>
            </w:pPr>
            <w:r>
              <w:t>1.00</w:t>
            </w:r>
          </w:p>
        </w:tc>
        <w:tc>
          <w:tcPr>
            <w:tcW w:w="1032" w:type="dxa"/>
            <w:vAlign w:val="center"/>
          </w:tcPr>
          <w:p w14:paraId="4F2DA686" w14:textId="77777777" w:rsidR="009678D3" w:rsidRDefault="009678D3" w:rsidP="009678D3">
            <w:pPr>
              <w:jc w:val="center"/>
            </w:pPr>
            <w:r>
              <w:t>X</w:t>
            </w:r>
          </w:p>
        </w:tc>
        <w:tc>
          <w:tcPr>
            <w:tcW w:w="1032" w:type="dxa"/>
            <w:vAlign w:val="center"/>
          </w:tcPr>
          <w:p w14:paraId="255A4FA1" w14:textId="77777777" w:rsidR="009678D3" w:rsidRPr="00076698" w:rsidRDefault="009678D3" w:rsidP="009678D3">
            <w:pPr>
              <w:jc w:val="center"/>
            </w:pPr>
          </w:p>
        </w:tc>
        <w:tc>
          <w:tcPr>
            <w:tcW w:w="1032" w:type="dxa"/>
            <w:vAlign w:val="center"/>
          </w:tcPr>
          <w:p w14:paraId="14AD8B03" w14:textId="77777777" w:rsidR="009678D3" w:rsidRPr="00076698" w:rsidRDefault="009678D3" w:rsidP="009678D3">
            <w:pPr>
              <w:jc w:val="center"/>
            </w:pPr>
          </w:p>
        </w:tc>
        <w:tc>
          <w:tcPr>
            <w:tcW w:w="1032" w:type="dxa"/>
            <w:vAlign w:val="center"/>
          </w:tcPr>
          <w:p w14:paraId="60BABC6B" w14:textId="77777777" w:rsidR="009678D3" w:rsidRPr="00076698" w:rsidRDefault="009678D3" w:rsidP="009678D3">
            <w:pPr>
              <w:jc w:val="center"/>
            </w:pPr>
          </w:p>
        </w:tc>
        <w:tc>
          <w:tcPr>
            <w:tcW w:w="1032" w:type="dxa"/>
            <w:vAlign w:val="center"/>
          </w:tcPr>
          <w:p w14:paraId="76DB35E6" w14:textId="77777777" w:rsidR="009678D3" w:rsidRPr="00076698" w:rsidRDefault="009678D3" w:rsidP="009678D3">
            <w:pPr>
              <w:jc w:val="center"/>
            </w:pPr>
          </w:p>
        </w:tc>
      </w:tr>
      <w:tr w:rsidR="009678D3" w:rsidRPr="00E2736C" w14:paraId="673D71B0" w14:textId="77777777" w:rsidTr="009678D3">
        <w:tc>
          <w:tcPr>
            <w:tcW w:w="2760" w:type="dxa"/>
            <w:vAlign w:val="center"/>
          </w:tcPr>
          <w:p w14:paraId="3B9A4D6D" w14:textId="77777777" w:rsidR="009678D3" w:rsidRDefault="009678D3" w:rsidP="009678D3">
            <w:r>
              <w:t>Pavimento</w:t>
            </w:r>
          </w:p>
        </w:tc>
        <w:tc>
          <w:tcPr>
            <w:tcW w:w="1080" w:type="dxa"/>
            <w:vAlign w:val="center"/>
          </w:tcPr>
          <w:p w14:paraId="2999285D" w14:textId="77777777" w:rsidR="009678D3" w:rsidRDefault="009678D3" w:rsidP="009678D3">
            <w:pPr>
              <w:jc w:val="right"/>
            </w:pPr>
            <w:r>
              <w:t>193.50</w:t>
            </w:r>
          </w:p>
        </w:tc>
        <w:tc>
          <w:tcPr>
            <w:tcW w:w="1080" w:type="dxa"/>
            <w:vAlign w:val="center"/>
          </w:tcPr>
          <w:p w14:paraId="73AE427C" w14:textId="77777777" w:rsidR="009678D3" w:rsidRDefault="009678D3" w:rsidP="009678D3">
            <w:pPr>
              <w:jc w:val="right"/>
            </w:pPr>
            <w:r>
              <w:t>4.00</w:t>
            </w:r>
          </w:p>
        </w:tc>
        <w:tc>
          <w:tcPr>
            <w:tcW w:w="1032" w:type="dxa"/>
            <w:vAlign w:val="center"/>
          </w:tcPr>
          <w:p w14:paraId="7F3992EB" w14:textId="77777777" w:rsidR="009678D3" w:rsidRDefault="009678D3" w:rsidP="009678D3">
            <w:pPr>
              <w:jc w:val="center"/>
            </w:pPr>
            <w:r>
              <w:t>X</w:t>
            </w:r>
          </w:p>
        </w:tc>
        <w:tc>
          <w:tcPr>
            <w:tcW w:w="1032" w:type="dxa"/>
            <w:vAlign w:val="center"/>
          </w:tcPr>
          <w:p w14:paraId="5EC63595" w14:textId="77777777" w:rsidR="009678D3" w:rsidRPr="00076698" w:rsidRDefault="009678D3" w:rsidP="009678D3">
            <w:pPr>
              <w:jc w:val="center"/>
            </w:pPr>
          </w:p>
        </w:tc>
        <w:tc>
          <w:tcPr>
            <w:tcW w:w="1032" w:type="dxa"/>
            <w:vAlign w:val="center"/>
          </w:tcPr>
          <w:p w14:paraId="75028AD7" w14:textId="77777777" w:rsidR="009678D3" w:rsidRPr="00076698" w:rsidRDefault="009678D3" w:rsidP="009678D3">
            <w:pPr>
              <w:jc w:val="center"/>
            </w:pPr>
          </w:p>
        </w:tc>
        <w:tc>
          <w:tcPr>
            <w:tcW w:w="1032" w:type="dxa"/>
            <w:vAlign w:val="center"/>
          </w:tcPr>
          <w:p w14:paraId="7D9541A7" w14:textId="77777777" w:rsidR="009678D3" w:rsidRPr="00076698" w:rsidRDefault="009678D3" w:rsidP="009678D3">
            <w:pPr>
              <w:jc w:val="center"/>
            </w:pPr>
          </w:p>
        </w:tc>
        <w:tc>
          <w:tcPr>
            <w:tcW w:w="1032" w:type="dxa"/>
            <w:vAlign w:val="center"/>
          </w:tcPr>
          <w:p w14:paraId="6204A511" w14:textId="77777777" w:rsidR="009678D3" w:rsidRPr="00076698" w:rsidRDefault="009678D3" w:rsidP="009678D3">
            <w:pPr>
              <w:jc w:val="center"/>
            </w:pPr>
          </w:p>
        </w:tc>
      </w:tr>
    </w:tbl>
    <w:p w14:paraId="3B3F5816" w14:textId="77777777" w:rsidR="009678D3" w:rsidRPr="00C84F94" w:rsidRDefault="009678D3" w:rsidP="009678D3">
      <w:pPr>
        <w:rPr>
          <w:sz w:val="16"/>
          <w:szCs w:val="16"/>
        </w:rPr>
      </w:pPr>
      <w:r w:rsidRPr="00C84F94">
        <w:rPr>
          <w:sz w:val="16"/>
          <w:szCs w:val="16"/>
        </w:rPr>
        <w:t xml:space="preserve"> </w:t>
      </w:r>
    </w:p>
    <w:p w14:paraId="08231418"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SERVICIOS DISPONIBLES EN EL ÁREA DE INFLUENCIA DEL PROYECTO</w:t>
      </w:r>
    </w:p>
    <w:tbl>
      <w:tblPr>
        <w:tblStyle w:val="Tablaconcuadrcula"/>
        <w:tblW w:w="0" w:type="auto"/>
        <w:tblInd w:w="108" w:type="dxa"/>
        <w:tblLook w:val="01E0" w:firstRow="1" w:lastRow="1" w:firstColumn="1" w:lastColumn="1" w:noHBand="0" w:noVBand="0"/>
      </w:tblPr>
      <w:tblGrid>
        <w:gridCol w:w="4920"/>
        <w:gridCol w:w="960"/>
      </w:tblGrid>
      <w:tr w:rsidR="009678D3" w:rsidRPr="00E2736C" w14:paraId="53F97E66" w14:textId="77777777" w:rsidTr="009678D3">
        <w:tc>
          <w:tcPr>
            <w:tcW w:w="4920" w:type="dxa"/>
            <w:shd w:val="clear" w:color="auto" w:fill="00FFFF"/>
            <w:vAlign w:val="center"/>
          </w:tcPr>
          <w:p w14:paraId="44C696DD"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Servicios disponibles</w:t>
            </w:r>
          </w:p>
        </w:tc>
        <w:tc>
          <w:tcPr>
            <w:tcW w:w="960" w:type="dxa"/>
            <w:shd w:val="clear" w:color="auto" w:fill="00FFFF"/>
            <w:vAlign w:val="center"/>
          </w:tcPr>
          <w:p w14:paraId="11967454"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(S / N)</w:t>
            </w:r>
          </w:p>
        </w:tc>
      </w:tr>
      <w:tr w:rsidR="009678D3" w:rsidRPr="00E2736C" w14:paraId="3A9D6DF8" w14:textId="77777777" w:rsidTr="009678D3">
        <w:tc>
          <w:tcPr>
            <w:tcW w:w="4920" w:type="dxa"/>
            <w:vAlign w:val="center"/>
          </w:tcPr>
          <w:p w14:paraId="2572FEA0"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Escuela Primaria</w:t>
            </w:r>
          </w:p>
        </w:tc>
        <w:tc>
          <w:tcPr>
            <w:tcW w:w="960" w:type="dxa"/>
            <w:vAlign w:val="center"/>
          </w:tcPr>
          <w:p w14:paraId="479F055C" w14:textId="77777777" w:rsidR="009678D3" w:rsidRPr="00E2736C"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604387E0" w14:textId="77777777" w:rsidTr="009678D3">
        <w:tc>
          <w:tcPr>
            <w:tcW w:w="4920" w:type="dxa"/>
            <w:vAlign w:val="center"/>
          </w:tcPr>
          <w:p w14:paraId="44908AE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Puesto de Salud</w:t>
            </w:r>
          </w:p>
        </w:tc>
        <w:tc>
          <w:tcPr>
            <w:tcW w:w="960" w:type="dxa"/>
            <w:vAlign w:val="center"/>
          </w:tcPr>
          <w:p w14:paraId="782C8DA9"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3BA9C5D1" w14:textId="77777777" w:rsidTr="009678D3">
        <w:tc>
          <w:tcPr>
            <w:tcW w:w="4920" w:type="dxa"/>
            <w:vAlign w:val="center"/>
          </w:tcPr>
          <w:p w14:paraId="19C08367"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Agua Potable</w:t>
            </w:r>
          </w:p>
        </w:tc>
        <w:tc>
          <w:tcPr>
            <w:tcW w:w="960" w:type="dxa"/>
            <w:vAlign w:val="center"/>
          </w:tcPr>
          <w:p w14:paraId="097DD6E5"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2209C989" w14:textId="77777777" w:rsidTr="009678D3">
        <w:tc>
          <w:tcPr>
            <w:tcW w:w="4920" w:type="dxa"/>
            <w:vAlign w:val="center"/>
          </w:tcPr>
          <w:p w14:paraId="7B16A65C"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Alcantarillado Sanitario</w:t>
            </w:r>
          </w:p>
        </w:tc>
        <w:tc>
          <w:tcPr>
            <w:tcW w:w="960" w:type="dxa"/>
            <w:vAlign w:val="center"/>
          </w:tcPr>
          <w:p w14:paraId="2EF9038B"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091CD1B7" w14:textId="77777777" w:rsidTr="009678D3">
        <w:tc>
          <w:tcPr>
            <w:tcW w:w="4920" w:type="dxa"/>
            <w:vAlign w:val="center"/>
          </w:tcPr>
          <w:p w14:paraId="6C853EAB"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Energía Eléctrica</w:t>
            </w:r>
          </w:p>
        </w:tc>
        <w:tc>
          <w:tcPr>
            <w:tcW w:w="960" w:type="dxa"/>
            <w:vAlign w:val="center"/>
          </w:tcPr>
          <w:p w14:paraId="4EC22546"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6CA1867E" w14:textId="77777777" w:rsidTr="009678D3">
        <w:tc>
          <w:tcPr>
            <w:tcW w:w="4920" w:type="dxa"/>
            <w:vAlign w:val="center"/>
          </w:tcPr>
          <w:p w14:paraId="31A60072"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Teléfono</w:t>
            </w:r>
          </w:p>
        </w:tc>
        <w:tc>
          <w:tcPr>
            <w:tcW w:w="960" w:type="dxa"/>
            <w:vAlign w:val="center"/>
          </w:tcPr>
          <w:p w14:paraId="486BDA46"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0E6D1A52" w14:textId="77777777" w:rsidTr="009678D3">
        <w:tc>
          <w:tcPr>
            <w:tcW w:w="4920" w:type="dxa"/>
            <w:vAlign w:val="center"/>
          </w:tcPr>
          <w:p w14:paraId="0BB19287"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Transporte Colectivo</w:t>
            </w:r>
          </w:p>
        </w:tc>
        <w:tc>
          <w:tcPr>
            <w:tcW w:w="960" w:type="dxa"/>
            <w:vAlign w:val="center"/>
          </w:tcPr>
          <w:p w14:paraId="364EF72C"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109B91A4" w14:textId="77777777" w:rsidTr="009678D3">
        <w:tc>
          <w:tcPr>
            <w:tcW w:w="4920" w:type="dxa"/>
            <w:vAlign w:val="center"/>
          </w:tcPr>
          <w:p w14:paraId="0A976C45"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Botadero Autorizado</w:t>
            </w:r>
          </w:p>
        </w:tc>
        <w:tc>
          <w:tcPr>
            <w:tcW w:w="960" w:type="dxa"/>
            <w:vAlign w:val="center"/>
          </w:tcPr>
          <w:p w14:paraId="6E215A8C"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bl>
    <w:p w14:paraId="3B2EFFE5" w14:textId="77777777" w:rsidR="009678D3" w:rsidRPr="00C84F94" w:rsidRDefault="009678D3" w:rsidP="009678D3">
      <w:pPr>
        <w:rPr>
          <w:sz w:val="16"/>
          <w:szCs w:val="16"/>
        </w:rPr>
      </w:pPr>
    </w:p>
    <w:p w14:paraId="151BBA54"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 xml:space="preserve">Distancia del Proyecto al botadero autorizado:  </w:t>
      </w: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BancoDesechos</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14.00</w:t>
      </w:r>
      <w:r w:rsidRPr="00E2736C">
        <w:rPr>
          <w:rFonts w:ascii="Times New Roman" w:hAnsi="Times New Roman" w:cs="Times New Roman"/>
          <w:b w:val="0"/>
          <w:sz w:val="22"/>
          <w:szCs w:val="22"/>
        </w:rPr>
        <w:fldChar w:fldCharType="end"/>
      </w:r>
      <w:r w:rsidRPr="00E2736C">
        <w:rPr>
          <w:rFonts w:ascii="Times New Roman" w:hAnsi="Times New Roman" w:cs="Times New Roman"/>
          <w:b w:val="0"/>
          <w:sz w:val="22"/>
          <w:szCs w:val="22"/>
        </w:rPr>
        <w:t xml:space="preserve">  Km</w:t>
      </w:r>
    </w:p>
    <w:p w14:paraId="63C7DC97"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MATERIALES LOCALES DISPONIBLES EN EL ÁREA DE INFLUENCIA DEL  PROYECTO</w:t>
      </w:r>
    </w:p>
    <w:tbl>
      <w:tblPr>
        <w:tblStyle w:val="Tablaconcuadrcula"/>
        <w:tblW w:w="0" w:type="auto"/>
        <w:tblInd w:w="108" w:type="dxa"/>
        <w:tblLook w:val="01E0" w:firstRow="1" w:lastRow="1" w:firstColumn="1" w:lastColumn="1" w:noHBand="0" w:noVBand="0"/>
      </w:tblPr>
      <w:tblGrid>
        <w:gridCol w:w="5880"/>
        <w:gridCol w:w="1320"/>
      </w:tblGrid>
      <w:tr w:rsidR="009678D3" w:rsidRPr="00E2736C" w14:paraId="41AF792F" w14:textId="77777777" w:rsidTr="009678D3">
        <w:tc>
          <w:tcPr>
            <w:tcW w:w="5880" w:type="dxa"/>
            <w:shd w:val="clear" w:color="auto" w:fill="00FFFF"/>
            <w:vAlign w:val="center"/>
          </w:tcPr>
          <w:p w14:paraId="05666FEA"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Materiales locales disponibles</w:t>
            </w:r>
          </w:p>
        </w:tc>
        <w:tc>
          <w:tcPr>
            <w:tcW w:w="1320" w:type="dxa"/>
            <w:shd w:val="clear" w:color="auto" w:fill="00FFFF"/>
            <w:vAlign w:val="center"/>
          </w:tcPr>
          <w:p w14:paraId="45E01C6E"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(S / N)</w:t>
            </w:r>
          </w:p>
        </w:tc>
      </w:tr>
      <w:tr w:rsidR="009678D3" w:rsidRPr="00E2736C" w14:paraId="58B1E549" w14:textId="77777777" w:rsidTr="009678D3">
        <w:tc>
          <w:tcPr>
            <w:tcW w:w="5880" w:type="dxa"/>
            <w:vAlign w:val="center"/>
          </w:tcPr>
          <w:p w14:paraId="03C8D605"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Arena</w:t>
            </w:r>
          </w:p>
        </w:tc>
        <w:tc>
          <w:tcPr>
            <w:tcW w:w="1320" w:type="dxa"/>
            <w:vAlign w:val="center"/>
          </w:tcPr>
          <w:p w14:paraId="4AC73E67" w14:textId="77777777" w:rsidR="009678D3" w:rsidRPr="00E2736C"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309BF381" w14:textId="77777777" w:rsidTr="009678D3">
        <w:tc>
          <w:tcPr>
            <w:tcW w:w="5880" w:type="dxa"/>
            <w:vAlign w:val="center"/>
          </w:tcPr>
          <w:p w14:paraId="3BB602A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Bloque de Mortero</w:t>
            </w:r>
          </w:p>
        </w:tc>
        <w:tc>
          <w:tcPr>
            <w:tcW w:w="1320" w:type="dxa"/>
            <w:vAlign w:val="center"/>
          </w:tcPr>
          <w:p w14:paraId="508F9D8C"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6CB49319" w14:textId="77777777" w:rsidTr="009678D3">
        <w:tc>
          <w:tcPr>
            <w:tcW w:w="5880" w:type="dxa"/>
            <w:vAlign w:val="center"/>
          </w:tcPr>
          <w:p w14:paraId="69D9681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Ladrillo Cuarterón</w:t>
            </w:r>
          </w:p>
        </w:tc>
        <w:tc>
          <w:tcPr>
            <w:tcW w:w="1320" w:type="dxa"/>
            <w:vAlign w:val="center"/>
          </w:tcPr>
          <w:p w14:paraId="547A2399"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49C84B6A" w14:textId="77777777" w:rsidTr="009678D3">
        <w:tc>
          <w:tcPr>
            <w:tcW w:w="5880" w:type="dxa"/>
            <w:vAlign w:val="center"/>
          </w:tcPr>
          <w:p w14:paraId="667C233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Piedra Triturada</w:t>
            </w:r>
          </w:p>
        </w:tc>
        <w:tc>
          <w:tcPr>
            <w:tcW w:w="1320" w:type="dxa"/>
            <w:vAlign w:val="center"/>
          </w:tcPr>
          <w:p w14:paraId="435FB5A5"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6DE7FA28" w14:textId="77777777" w:rsidTr="009678D3">
        <w:tc>
          <w:tcPr>
            <w:tcW w:w="5880" w:type="dxa"/>
            <w:vAlign w:val="center"/>
          </w:tcPr>
          <w:p w14:paraId="2401FE7F"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Piedra Cantera</w:t>
            </w:r>
          </w:p>
        </w:tc>
        <w:tc>
          <w:tcPr>
            <w:tcW w:w="1320" w:type="dxa"/>
            <w:vAlign w:val="center"/>
          </w:tcPr>
          <w:p w14:paraId="7B8D1192"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6655464E" w14:textId="77777777" w:rsidTr="009678D3">
        <w:tc>
          <w:tcPr>
            <w:tcW w:w="5880" w:type="dxa"/>
            <w:vAlign w:val="center"/>
          </w:tcPr>
          <w:p w14:paraId="7774D4ED"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Piedra Bolón</w:t>
            </w:r>
          </w:p>
        </w:tc>
        <w:tc>
          <w:tcPr>
            <w:tcW w:w="1320" w:type="dxa"/>
            <w:vAlign w:val="center"/>
          </w:tcPr>
          <w:p w14:paraId="581986CD"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39DF0D76" w14:textId="77777777" w:rsidTr="009678D3">
        <w:tc>
          <w:tcPr>
            <w:tcW w:w="5880" w:type="dxa"/>
            <w:vAlign w:val="center"/>
          </w:tcPr>
          <w:p w14:paraId="70770463"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Agua</w:t>
            </w:r>
          </w:p>
        </w:tc>
        <w:tc>
          <w:tcPr>
            <w:tcW w:w="1320" w:type="dxa"/>
            <w:vAlign w:val="center"/>
          </w:tcPr>
          <w:p w14:paraId="20F032F1"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11BFAC9F" w14:textId="77777777" w:rsidTr="009678D3">
        <w:tc>
          <w:tcPr>
            <w:tcW w:w="5880" w:type="dxa"/>
            <w:vAlign w:val="center"/>
          </w:tcPr>
          <w:p w14:paraId="3D142D67"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Madera de Pino (Blanca)</w:t>
            </w:r>
          </w:p>
        </w:tc>
        <w:tc>
          <w:tcPr>
            <w:tcW w:w="1320" w:type="dxa"/>
            <w:vAlign w:val="center"/>
          </w:tcPr>
          <w:p w14:paraId="4A1E9179"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4322E1ED" w14:textId="77777777" w:rsidTr="009678D3">
        <w:tc>
          <w:tcPr>
            <w:tcW w:w="5880" w:type="dxa"/>
            <w:vAlign w:val="center"/>
          </w:tcPr>
          <w:p w14:paraId="014E053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Madera Roja</w:t>
            </w:r>
          </w:p>
        </w:tc>
        <w:tc>
          <w:tcPr>
            <w:tcW w:w="1320" w:type="dxa"/>
            <w:vAlign w:val="center"/>
          </w:tcPr>
          <w:p w14:paraId="2929C979"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bl>
    <w:p w14:paraId="2C422491" w14:textId="77777777" w:rsidR="009678D3" w:rsidRPr="00C84F94" w:rsidRDefault="009678D3" w:rsidP="009678D3">
      <w:pPr>
        <w:rPr>
          <w:sz w:val="16"/>
          <w:szCs w:val="16"/>
        </w:rPr>
      </w:pPr>
    </w:p>
    <w:p w14:paraId="00819A35"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lastRenderedPageBreak/>
        <w:t>NIVEL FREÁTICO Y PRECIPITACIÓN</w:t>
      </w:r>
    </w:p>
    <w:tbl>
      <w:tblPr>
        <w:tblStyle w:val="Tablaconcuadrcula"/>
        <w:tblW w:w="0" w:type="auto"/>
        <w:tblInd w:w="108" w:type="dxa"/>
        <w:tblLook w:val="01E0" w:firstRow="1" w:lastRow="1" w:firstColumn="1" w:lastColumn="1" w:noHBand="0" w:noVBand="0"/>
      </w:tblPr>
      <w:tblGrid>
        <w:gridCol w:w="5880"/>
        <w:gridCol w:w="1320"/>
      </w:tblGrid>
      <w:tr w:rsidR="009678D3" w:rsidRPr="00E2736C" w14:paraId="4338DAF4" w14:textId="77777777" w:rsidTr="009678D3">
        <w:tc>
          <w:tcPr>
            <w:tcW w:w="5880" w:type="dxa"/>
            <w:vAlign w:val="bottom"/>
          </w:tcPr>
          <w:p w14:paraId="07059A54" w14:textId="77777777" w:rsidR="009678D3" w:rsidRPr="00E2736C" w:rsidRDefault="009678D3" w:rsidP="009678D3">
            <w:pPr>
              <w:rPr>
                <w:sz w:val="22"/>
                <w:szCs w:val="22"/>
              </w:rPr>
            </w:pPr>
            <w:r w:rsidRPr="00E2736C">
              <w:rPr>
                <w:sz w:val="22"/>
                <w:szCs w:val="22"/>
              </w:rPr>
              <w:t>Profundidad del nivel freático en invierno  (m)</w:t>
            </w:r>
          </w:p>
        </w:tc>
        <w:tc>
          <w:tcPr>
            <w:tcW w:w="1320" w:type="dxa"/>
            <w:vAlign w:val="bottom"/>
          </w:tcPr>
          <w:p w14:paraId="7CFE4F65" w14:textId="77777777" w:rsidR="009678D3" w:rsidRPr="00E2736C" w:rsidRDefault="009678D3" w:rsidP="009678D3">
            <w:pPr>
              <w:jc w:val="right"/>
              <w:rPr>
                <w:sz w:val="22"/>
                <w:szCs w:val="22"/>
              </w:rPr>
            </w:pPr>
            <w:r w:rsidRPr="00E2736C">
              <w:rPr>
                <w:sz w:val="22"/>
                <w:szCs w:val="22"/>
              </w:rPr>
              <w:fldChar w:fldCharType="begin"/>
            </w:r>
            <w:r w:rsidRPr="00E2736C">
              <w:rPr>
                <w:sz w:val="22"/>
                <w:szCs w:val="22"/>
              </w:rPr>
              <w:instrText xml:space="preserve"> DOCVARIABLE  ProfNFInv</w:instrText>
            </w:r>
            <w:r w:rsidRPr="00E2736C">
              <w:rPr>
                <w:sz w:val="22"/>
                <w:szCs w:val="22"/>
              </w:rPr>
              <w:fldChar w:fldCharType="separate"/>
            </w:r>
            <w:r>
              <w:rPr>
                <w:sz w:val="22"/>
                <w:szCs w:val="22"/>
              </w:rPr>
              <w:t>8.00</w:t>
            </w:r>
            <w:r w:rsidRPr="00E2736C">
              <w:rPr>
                <w:sz w:val="22"/>
                <w:szCs w:val="22"/>
              </w:rPr>
              <w:fldChar w:fldCharType="end"/>
            </w:r>
          </w:p>
        </w:tc>
      </w:tr>
      <w:tr w:rsidR="009678D3" w:rsidRPr="00E2736C" w14:paraId="592C1598" w14:textId="77777777" w:rsidTr="009678D3">
        <w:tc>
          <w:tcPr>
            <w:tcW w:w="5880" w:type="dxa"/>
            <w:vAlign w:val="bottom"/>
          </w:tcPr>
          <w:p w14:paraId="77348B3E" w14:textId="77777777" w:rsidR="009678D3" w:rsidRPr="00E2736C" w:rsidRDefault="009678D3" w:rsidP="009678D3">
            <w:pPr>
              <w:rPr>
                <w:sz w:val="22"/>
                <w:szCs w:val="22"/>
              </w:rPr>
            </w:pPr>
            <w:r w:rsidRPr="00E2736C">
              <w:rPr>
                <w:sz w:val="22"/>
                <w:szCs w:val="22"/>
              </w:rPr>
              <w:t>Duración del invierno en la zona del proyecto (meses)</w:t>
            </w:r>
          </w:p>
        </w:tc>
        <w:tc>
          <w:tcPr>
            <w:tcW w:w="1320" w:type="dxa"/>
            <w:vAlign w:val="bottom"/>
          </w:tcPr>
          <w:p w14:paraId="35CECA1A" w14:textId="77777777" w:rsidR="009678D3" w:rsidRPr="00E2736C" w:rsidRDefault="009678D3" w:rsidP="009678D3">
            <w:pPr>
              <w:jc w:val="right"/>
              <w:rPr>
                <w:sz w:val="22"/>
                <w:szCs w:val="22"/>
              </w:rPr>
            </w:pPr>
            <w:r w:rsidRPr="00E2736C">
              <w:rPr>
                <w:sz w:val="22"/>
                <w:szCs w:val="22"/>
              </w:rPr>
              <w:fldChar w:fldCharType="begin"/>
            </w:r>
            <w:r w:rsidRPr="00E2736C">
              <w:rPr>
                <w:sz w:val="22"/>
                <w:szCs w:val="22"/>
              </w:rPr>
              <w:instrText xml:space="preserve"> DOCVARIABLE  DuraInv</w:instrText>
            </w:r>
            <w:r w:rsidRPr="00E2736C">
              <w:rPr>
                <w:sz w:val="22"/>
                <w:szCs w:val="22"/>
              </w:rPr>
              <w:fldChar w:fldCharType="separate"/>
            </w:r>
            <w:r>
              <w:rPr>
                <w:sz w:val="22"/>
                <w:szCs w:val="22"/>
              </w:rPr>
              <w:t>6.00</w:t>
            </w:r>
            <w:r w:rsidRPr="00E2736C">
              <w:rPr>
                <w:sz w:val="22"/>
                <w:szCs w:val="22"/>
              </w:rPr>
              <w:fldChar w:fldCharType="end"/>
            </w:r>
          </w:p>
        </w:tc>
      </w:tr>
      <w:tr w:rsidR="009678D3" w:rsidRPr="00E2736C" w14:paraId="66B50A64" w14:textId="77777777" w:rsidTr="009678D3">
        <w:tc>
          <w:tcPr>
            <w:tcW w:w="5880" w:type="dxa"/>
            <w:vAlign w:val="bottom"/>
          </w:tcPr>
          <w:p w14:paraId="0B45535F" w14:textId="77777777" w:rsidR="009678D3" w:rsidRPr="00E2736C" w:rsidRDefault="009678D3" w:rsidP="009678D3">
            <w:pPr>
              <w:rPr>
                <w:sz w:val="22"/>
                <w:szCs w:val="22"/>
              </w:rPr>
            </w:pPr>
            <w:r w:rsidRPr="00E2736C">
              <w:rPr>
                <w:sz w:val="22"/>
                <w:szCs w:val="22"/>
              </w:rPr>
              <w:t>Precipitación anual estimada (mm)</w:t>
            </w:r>
          </w:p>
        </w:tc>
        <w:tc>
          <w:tcPr>
            <w:tcW w:w="1320" w:type="dxa"/>
            <w:vAlign w:val="bottom"/>
          </w:tcPr>
          <w:p w14:paraId="7D9C0D3E" w14:textId="77777777" w:rsidR="009678D3" w:rsidRPr="00E2736C" w:rsidRDefault="009678D3" w:rsidP="009678D3">
            <w:pPr>
              <w:jc w:val="right"/>
              <w:rPr>
                <w:sz w:val="22"/>
                <w:szCs w:val="22"/>
              </w:rPr>
            </w:pPr>
            <w:r w:rsidRPr="00E2736C">
              <w:rPr>
                <w:sz w:val="22"/>
                <w:szCs w:val="22"/>
              </w:rPr>
              <w:fldChar w:fldCharType="begin"/>
            </w:r>
            <w:r w:rsidRPr="00E2736C">
              <w:rPr>
                <w:sz w:val="22"/>
                <w:szCs w:val="22"/>
              </w:rPr>
              <w:instrText xml:space="preserve"> DOCVARIABLE  PrecipAnual</w:instrText>
            </w:r>
            <w:r w:rsidRPr="00E2736C">
              <w:rPr>
                <w:sz w:val="22"/>
                <w:szCs w:val="22"/>
              </w:rPr>
              <w:fldChar w:fldCharType="separate"/>
            </w:r>
            <w:r>
              <w:rPr>
                <w:sz w:val="22"/>
                <w:szCs w:val="22"/>
              </w:rPr>
              <w:t>1000.00</w:t>
            </w:r>
            <w:r w:rsidRPr="00E2736C">
              <w:rPr>
                <w:sz w:val="22"/>
                <w:szCs w:val="22"/>
              </w:rPr>
              <w:fldChar w:fldCharType="end"/>
            </w:r>
          </w:p>
        </w:tc>
      </w:tr>
    </w:tbl>
    <w:p w14:paraId="4A5C9CBB" w14:textId="77777777" w:rsidR="009678D3" w:rsidRPr="00C84F94" w:rsidRDefault="009678D3" w:rsidP="009678D3">
      <w:pPr>
        <w:rPr>
          <w:sz w:val="16"/>
          <w:szCs w:val="16"/>
        </w:rPr>
      </w:pPr>
    </w:p>
    <w:p w14:paraId="5DF59C2E"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BANCO</w:t>
      </w:r>
      <w:r>
        <w:rPr>
          <w:sz w:val="22"/>
          <w:szCs w:val="22"/>
        </w:rPr>
        <w:t>S</w:t>
      </w:r>
      <w:r w:rsidRPr="00E2736C">
        <w:rPr>
          <w:sz w:val="22"/>
          <w:szCs w:val="22"/>
        </w:rPr>
        <w:t xml:space="preserve"> DE MATERIALES</w:t>
      </w:r>
    </w:p>
    <w:tbl>
      <w:tblPr>
        <w:tblStyle w:val="Tablaconcuadrcula"/>
        <w:tblpPr w:leftFromText="141" w:rightFromText="141" w:vertAnchor="text" w:horzAnchor="margin" w:tblpX="108" w:tblpY="60"/>
        <w:tblW w:w="10068" w:type="dxa"/>
        <w:tblLook w:val="01E0" w:firstRow="1" w:lastRow="1" w:firstColumn="1" w:lastColumn="1" w:noHBand="0" w:noVBand="0"/>
      </w:tblPr>
      <w:tblGrid>
        <w:gridCol w:w="3732"/>
        <w:gridCol w:w="2112"/>
        <w:gridCol w:w="2112"/>
        <w:gridCol w:w="2112"/>
      </w:tblGrid>
      <w:tr w:rsidR="009678D3" w:rsidRPr="00E2736C" w14:paraId="6262FFD1" w14:textId="77777777" w:rsidTr="009678D3">
        <w:tc>
          <w:tcPr>
            <w:tcW w:w="3732" w:type="dxa"/>
            <w:shd w:val="clear" w:color="auto" w:fill="00FFFF"/>
          </w:tcPr>
          <w:p w14:paraId="32758048" w14:textId="77777777" w:rsidR="009678D3" w:rsidRPr="00E2736C" w:rsidRDefault="009678D3" w:rsidP="009678D3">
            <w:pPr>
              <w:jc w:val="center"/>
              <w:rPr>
                <w:b/>
                <w:sz w:val="22"/>
                <w:szCs w:val="22"/>
              </w:rPr>
            </w:pPr>
            <w:r w:rsidRPr="00E2736C">
              <w:rPr>
                <w:b/>
                <w:sz w:val="22"/>
                <w:szCs w:val="22"/>
              </w:rPr>
              <w:t>Características del Banco</w:t>
            </w:r>
          </w:p>
        </w:tc>
        <w:tc>
          <w:tcPr>
            <w:tcW w:w="2112" w:type="dxa"/>
            <w:shd w:val="clear" w:color="auto" w:fill="00FFFF"/>
          </w:tcPr>
          <w:p w14:paraId="60C70F63" w14:textId="77777777" w:rsidR="009678D3" w:rsidRPr="00E2736C" w:rsidRDefault="009678D3" w:rsidP="009678D3">
            <w:pPr>
              <w:jc w:val="center"/>
              <w:rPr>
                <w:b/>
                <w:sz w:val="22"/>
                <w:szCs w:val="22"/>
              </w:rPr>
            </w:pPr>
            <w:r w:rsidRPr="00E2736C">
              <w:rPr>
                <w:b/>
                <w:sz w:val="22"/>
                <w:szCs w:val="22"/>
              </w:rPr>
              <w:t xml:space="preserve">Banco </w:t>
            </w:r>
            <w:r>
              <w:rPr>
                <w:b/>
                <w:sz w:val="22"/>
                <w:szCs w:val="22"/>
              </w:rPr>
              <w:t xml:space="preserve"># </w:t>
            </w:r>
            <w:r w:rsidRPr="00E2736C">
              <w:rPr>
                <w:b/>
                <w:sz w:val="22"/>
                <w:szCs w:val="22"/>
              </w:rPr>
              <w:t>1</w:t>
            </w:r>
          </w:p>
        </w:tc>
        <w:tc>
          <w:tcPr>
            <w:tcW w:w="2112" w:type="dxa"/>
            <w:shd w:val="clear" w:color="auto" w:fill="00FFFF"/>
          </w:tcPr>
          <w:p w14:paraId="4FA642DF" w14:textId="77777777" w:rsidR="009678D3" w:rsidRPr="00E2736C" w:rsidRDefault="009678D3" w:rsidP="009678D3">
            <w:pPr>
              <w:jc w:val="center"/>
              <w:rPr>
                <w:b/>
                <w:sz w:val="22"/>
                <w:szCs w:val="22"/>
              </w:rPr>
            </w:pPr>
            <w:r w:rsidRPr="00E2736C">
              <w:rPr>
                <w:b/>
                <w:sz w:val="22"/>
                <w:szCs w:val="22"/>
              </w:rPr>
              <w:t>Banco</w:t>
            </w:r>
            <w:r>
              <w:rPr>
                <w:b/>
                <w:sz w:val="22"/>
                <w:szCs w:val="22"/>
              </w:rPr>
              <w:t xml:space="preserve"> #</w:t>
            </w:r>
            <w:r w:rsidRPr="00E2736C">
              <w:rPr>
                <w:b/>
                <w:sz w:val="22"/>
                <w:szCs w:val="22"/>
              </w:rPr>
              <w:t xml:space="preserve"> 2</w:t>
            </w:r>
          </w:p>
        </w:tc>
        <w:tc>
          <w:tcPr>
            <w:tcW w:w="2112" w:type="dxa"/>
            <w:shd w:val="clear" w:color="auto" w:fill="00FFFF"/>
          </w:tcPr>
          <w:p w14:paraId="38605328" w14:textId="77777777" w:rsidR="009678D3" w:rsidRPr="00E2736C" w:rsidRDefault="009678D3" w:rsidP="009678D3">
            <w:pPr>
              <w:jc w:val="center"/>
              <w:rPr>
                <w:b/>
                <w:sz w:val="22"/>
                <w:szCs w:val="22"/>
              </w:rPr>
            </w:pPr>
            <w:r w:rsidRPr="00E2736C">
              <w:rPr>
                <w:b/>
                <w:sz w:val="22"/>
                <w:szCs w:val="22"/>
              </w:rPr>
              <w:t>Banco</w:t>
            </w:r>
            <w:r>
              <w:rPr>
                <w:b/>
                <w:sz w:val="22"/>
                <w:szCs w:val="22"/>
              </w:rPr>
              <w:t xml:space="preserve"> #</w:t>
            </w:r>
            <w:r w:rsidRPr="00E2736C">
              <w:rPr>
                <w:b/>
                <w:sz w:val="22"/>
                <w:szCs w:val="22"/>
              </w:rPr>
              <w:t xml:space="preserve"> 3</w:t>
            </w:r>
          </w:p>
        </w:tc>
      </w:tr>
      <w:tr w:rsidR="009678D3" w:rsidRPr="00E2736C" w14:paraId="0A83B565" w14:textId="77777777" w:rsidTr="009678D3">
        <w:trPr>
          <w:trHeight w:val="495"/>
        </w:trPr>
        <w:tc>
          <w:tcPr>
            <w:tcW w:w="3732" w:type="dxa"/>
            <w:vAlign w:val="center"/>
          </w:tcPr>
          <w:p w14:paraId="0AFCF069" w14:textId="77777777" w:rsidR="009678D3" w:rsidRPr="00E2736C" w:rsidRDefault="009678D3" w:rsidP="009678D3">
            <w:pPr>
              <w:rPr>
                <w:sz w:val="22"/>
                <w:szCs w:val="22"/>
              </w:rPr>
            </w:pPr>
            <w:r w:rsidRPr="00E2736C">
              <w:rPr>
                <w:sz w:val="22"/>
                <w:szCs w:val="22"/>
              </w:rPr>
              <w:t xml:space="preserve">Nombre  del  Banco de Materiales   </w:t>
            </w:r>
          </w:p>
        </w:tc>
        <w:tc>
          <w:tcPr>
            <w:tcW w:w="2112" w:type="dxa"/>
            <w:vAlign w:val="center"/>
          </w:tcPr>
          <w:p w14:paraId="249FACCF" w14:textId="77777777" w:rsidR="009678D3" w:rsidRPr="00E2736C" w:rsidRDefault="009678D3" w:rsidP="009678D3">
            <w:pPr>
              <w:rPr>
                <w:sz w:val="22"/>
                <w:szCs w:val="22"/>
              </w:rPr>
            </w:pPr>
            <w:r>
              <w:rPr>
                <w:sz w:val="22"/>
                <w:szCs w:val="22"/>
              </w:rPr>
              <w:t>La Confianza</w:t>
            </w:r>
          </w:p>
        </w:tc>
        <w:tc>
          <w:tcPr>
            <w:tcW w:w="2112" w:type="dxa"/>
            <w:vAlign w:val="center"/>
          </w:tcPr>
          <w:p w14:paraId="1CB551AD" w14:textId="77777777" w:rsidR="009678D3" w:rsidRPr="00E2736C" w:rsidRDefault="009678D3" w:rsidP="009678D3">
            <w:pPr>
              <w:rPr>
                <w:sz w:val="22"/>
                <w:szCs w:val="22"/>
              </w:rPr>
            </w:pPr>
          </w:p>
        </w:tc>
        <w:tc>
          <w:tcPr>
            <w:tcW w:w="2112" w:type="dxa"/>
            <w:vAlign w:val="center"/>
          </w:tcPr>
          <w:p w14:paraId="730B1078" w14:textId="77777777" w:rsidR="009678D3" w:rsidRPr="00E2736C" w:rsidRDefault="009678D3" w:rsidP="009678D3">
            <w:pPr>
              <w:rPr>
                <w:sz w:val="22"/>
                <w:szCs w:val="22"/>
              </w:rPr>
            </w:pPr>
          </w:p>
        </w:tc>
      </w:tr>
      <w:tr w:rsidR="009678D3" w:rsidRPr="00E2736C" w14:paraId="00CE1FA0" w14:textId="77777777" w:rsidTr="009678D3">
        <w:trPr>
          <w:trHeight w:val="495"/>
        </w:trPr>
        <w:tc>
          <w:tcPr>
            <w:tcW w:w="3732" w:type="dxa"/>
            <w:vAlign w:val="center"/>
          </w:tcPr>
          <w:p w14:paraId="79D2A972" w14:textId="77777777" w:rsidR="009678D3" w:rsidRPr="00E2736C" w:rsidRDefault="009678D3" w:rsidP="009678D3">
            <w:pPr>
              <w:rPr>
                <w:sz w:val="22"/>
                <w:szCs w:val="22"/>
              </w:rPr>
            </w:pPr>
            <w:r w:rsidRPr="00E2736C">
              <w:rPr>
                <w:sz w:val="22"/>
                <w:szCs w:val="22"/>
              </w:rPr>
              <w:t>Tipo de Tenencia (</w:t>
            </w:r>
            <w:r w:rsidRPr="00E2736C">
              <w:rPr>
                <w:i/>
                <w:sz w:val="22"/>
                <w:szCs w:val="22"/>
              </w:rPr>
              <w:t>Pública o Privada</w:t>
            </w:r>
            <w:r w:rsidRPr="00E2736C">
              <w:rPr>
                <w:sz w:val="22"/>
                <w:szCs w:val="22"/>
              </w:rPr>
              <w:t>)</w:t>
            </w:r>
          </w:p>
        </w:tc>
        <w:tc>
          <w:tcPr>
            <w:tcW w:w="2112" w:type="dxa"/>
            <w:vAlign w:val="center"/>
          </w:tcPr>
          <w:p w14:paraId="21BB7EBD" w14:textId="77777777" w:rsidR="009678D3" w:rsidRPr="00E2736C" w:rsidRDefault="009678D3" w:rsidP="009678D3">
            <w:pPr>
              <w:rPr>
                <w:sz w:val="22"/>
                <w:szCs w:val="22"/>
              </w:rPr>
            </w:pPr>
            <w:r>
              <w:rPr>
                <w:sz w:val="22"/>
                <w:szCs w:val="22"/>
              </w:rPr>
              <w:t>Privada</w:t>
            </w:r>
          </w:p>
        </w:tc>
        <w:tc>
          <w:tcPr>
            <w:tcW w:w="2112" w:type="dxa"/>
            <w:vAlign w:val="center"/>
          </w:tcPr>
          <w:p w14:paraId="30F9EA1C" w14:textId="77777777" w:rsidR="009678D3" w:rsidRPr="00E2736C" w:rsidRDefault="009678D3" w:rsidP="009678D3">
            <w:pPr>
              <w:rPr>
                <w:sz w:val="22"/>
                <w:szCs w:val="22"/>
              </w:rPr>
            </w:pPr>
          </w:p>
        </w:tc>
        <w:tc>
          <w:tcPr>
            <w:tcW w:w="2112" w:type="dxa"/>
            <w:vAlign w:val="center"/>
          </w:tcPr>
          <w:p w14:paraId="7E96F8A7" w14:textId="77777777" w:rsidR="009678D3" w:rsidRPr="00E2736C" w:rsidRDefault="009678D3" w:rsidP="009678D3">
            <w:pPr>
              <w:rPr>
                <w:sz w:val="22"/>
                <w:szCs w:val="22"/>
              </w:rPr>
            </w:pPr>
          </w:p>
        </w:tc>
      </w:tr>
      <w:tr w:rsidR="009678D3" w:rsidRPr="00E2736C" w14:paraId="4667750D" w14:textId="77777777" w:rsidTr="009678D3">
        <w:trPr>
          <w:trHeight w:val="495"/>
        </w:trPr>
        <w:tc>
          <w:tcPr>
            <w:tcW w:w="3732" w:type="dxa"/>
            <w:vAlign w:val="center"/>
          </w:tcPr>
          <w:p w14:paraId="7E9FE176" w14:textId="77777777" w:rsidR="009678D3" w:rsidRPr="00E2736C" w:rsidRDefault="009678D3" w:rsidP="009678D3">
            <w:pPr>
              <w:rPr>
                <w:sz w:val="22"/>
                <w:szCs w:val="22"/>
              </w:rPr>
            </w:pPr>
            <w:r w:rsidRPr="00E2736C">
              <w:rPr>
                <w:sz w:val="22"/>
                <w:szCs w:val="22"/>
              </w:rPr>
              <w:t>Nombre del Dueño</w:t>
            </w:r>
          </w:p>
        </w:tc>
        <w:tc>
          <w:tcPr>
            <w:tcW w:w="2112" w:type="dxa"/>
            <w:vAlign w:val="center"/>
          </w:tcPr>
          <w:p w14:paraId="56996FBE" w14:textId="77777777" w:rsidR="009678D3" w:rsidRPr="00E2736C" w:rsidRDefault="009678D3" w:rsidP="009678D3">
            <w:pPr>
              <w:rPr>
                <w:sz w:val="22"/>
                <w:szCs w:val="22"/>
              </w:rPr>
            </w:pPr>
            <w:r>
              <w:rPr>
                <w:sz w:val="22"/>
                <w:szCs w:val="22"/>
              </w:rPr>
              <w:t>Dominga Sarmiento</w:t>
            </w:r>
          </w:p>
        </w:tc>
        <w:tc>
          <w:tcPr>
            <w:tcW w:w="2112" w:type="dxa"/>
            <w:vAlign w:val="center"/>
          </w:tcPr>
          <w:p w14:paraId="5760A569" w14:textId="77777777" w:rsidR="009678D3" w:rsidRPr="00E2736C" w:rsidRDefault="009678D3" w:rsidP="009678D3">
            <w:pPr>
              <w:rPr>
                <w:sz w:val="22"/>
                <w:szCs w:val="22"/>
              </w:rPr>
            </w:pPr>
          </w:p>
        </w:tc>
        <w:tc>
          <w:tcPr>
            <w:tcW w:w="2112" w:type="dxa"/>
            <w:vAlign w:val="center"/>
          </w:tcPr>
          <w:p w14:paraId="31B6A1BC" w14:textId="77777777" w:rsidR="009678D3" w:rsidRPr="00E2736C" w:rsidRDefault="009678D3" w:rsidP="009678D3">
            <w:pPr>
              <w:rPr>
                <w:sz w:val="22"/>
                <w:szCs w:val="22"/>
              </w:rPr>
            </w:pPr>
          </w:p>
        </w:tc>
      </w:tr>
      <w:tr w:rsidR="009678D3" w:rsidRPr="00E2736C" w14:paraId="692EEDFE" w14:textId="77777777" w:rsidTr="009678D3">
        <w:trPr>
          <w:trHeight w:val="495"/>
        </w:trPr>
        <w:tc>
          <w:tcPr>
            <w:tcW w:w="3732" w:type="dxa"/>
            <w:vAlign w:val="center"/>
          </w:tcPr>
          <w:p w14:paraId="0A023FB4" w14:textId="77777777" w:rsidR="009678D3" w:rsidRPr="00E2736C" w:rsidRDefault="009678D3" w:rsidP="009678D3">
            <w:pPr>
              <w:rPr>
                <w:sz w:val="22"/>
                <w:szCs w:val="22"/>
              </w:rPr>
            </w:pPr>
            <w:r w:rsidRPr="00E2736C">
              <w:rPr>
                <w:sz w:val="22"/>
                <w:szCs w:val="22"/>
              </w:rPr>
              <w:t>Estado de la vía de Acceso al Banco de Materiales (</w:t>
            </w:r>
            <w:r w:rsidRPr="00E2736C">
              <w:rPr>
                <w:i/>
                <w:sz w:val="22"/>
                <w:szCs w:val="22"/>
              </w:rPr>
              <w:t>Buena, Regular, Mala</w:t>
            </w:r>
            <w:r w:rsidRPr="00E2736C">
              <w:rPr>
                <w:sz w:val="22"/>
                <w:szCs w:val="22"/>
              </w:rPr>
              <w:t>)</w:t>
            </w:r>
          </w:p>
        </w:tc>
        <w:tc>
          <w:tcPr>
            <w:tcW w:w="2112" w:type="dxa"/>
            <w:vAlign w:val="center"/>
          </w:tcPr>
          <w:p w14:paraId="135296EA" w14:textId="77777777" w:rsidR="009678D3" w:rsidRPr="00E2736C" w:rsidRDefault="009678D3" w:rsidP="009678D3">
            <w:pPr>
              <w:rPr>
                <w:sz w:val="22"/>
                <w:szCs w:val="22"/>
              </w:rPr>
            </w:pPr>
            <w:r>
              <w:rPr>
                <w:sz w:val="22"/>
                <w:szCs w:val="22"/>
              </w:rPr>
              <w:t>Regular</w:t>
            </w:r>
          </w:p>
        </w:tc>
        <w:tc>
          <w:tcPr>
            <w:tcW w:w="2112" w:type="dxa"/>
            <w:vAlign w:val="center"/>
          </w:tcPr>
          <w:p w14:paraId="62743D29" w14:textId="77777777" w:rsidR="009678D3" w:rsidRPr="00E2736C" w:rsidRDefault="009678D3" w:rsidP="009678D3">
            <w:pPr>
              <w:rPr>
                <w:sz w:val="22"/>
                <w:szCs w:val="22"/>
              </w:rPr>
            </w:pPr>
          </w:p>
        </w:tc>
        <w:tc>
          <w:tcPr>
            <w:tcW w:w="2112" w:type="dxa"/>
            <w:vAlign w:val="center"/>
          </w:tcPr>
          <w:p w14:paraId="205B49E7" w14:textId="77777777" w:rsidR="009678D3" w:rsidRPr="00E2736C" w:rsidRDefault="009678D3" w:rsidP="009678D3">
            <w:pPr>
              <w:rPr>
                <w:sz w:val="22"/>
                <w:szCs w:val="22"/>
              </w:rPr>
            </w:pPr>
          </w:p>
        </w:tc>
      </w:tr>
      <w:tr w:rsidR="009678D3" w:rsidRPr="00E2736C" w14:paraId="16A4F031" w14:textId="77777777" w:rsidTr="009678D3">
        <w:trPr>
          <w:trHeight w:val="495"/>
        </w:trPr>
        <w:tc>
          <w:tcPr>
            <w:tcW w:w="3732" w:type="dxa"/>
            <w:vAlign w:val="center"/>
          </w:tcPr>
          <w:p w14:paraId="486D29A0" w14:textId="77777777" w:rsidR="009678D3" w:rsidRPr="00E2736C" w:rsidRDefault="009678D3" w:rsidP="009678D3">
            <w:pPr>
              <w:rPr>
                <w:sz w:val="22"/>
                <w:szCs w:val="22"/>
              </w:rPr>
            </w:pPr>
            <w:r w:rsidRPr="00E2736C">
              <w:rPr>
                <w:sz w:val="22"/>
                <w:szCs w:val="22"/>
              </w:rPr>
              <w:t>Distancia entre el Banco de Materiales y el Proyecto (Km)</w:t>
            </w:r>
          </w:p>
        </w:tc>
        <w:tc>
          <w:tcPr>
            <w:tcW w:w="2112" w:type="dxa"/>
            <w:vAlign w:val="center"/>
          </w:tcPr>
          <w:p w14:paraId="1EE2BEBC" w14:textId="77777777" w:rsidR="009678D3" w:rsidRPr="00E2736C" w:rsidRDefault="009678D3" w:rsidP="009678D3">
            <w:pPr>
              <w:rPr>
                <w:sz w:val="22"/>
                <w:szCs w:val="22"/>
              </w:rPr>
            </w:pPr>
            <w:r>
              <w:rPr>
                <w:sz w:val="22"/>
                <w:szCs w:val="22"/>
              </w:rPr>
              <w:t>0.70</w:t>
            </w:r>
          </w:p>
        </w:tc>
        <w:tc>
          <w:tcPr>
            <w:tcW w:w="2112" w:type="dxa"/>
            <w:vAlign w:val="center"/>
          </w:tcPr>
          <w:p w14:paraId="7BBC0371" w14:textId="77777777" w:rsidR="009678D3" w:rsidRPr="00E2736C" w:rsidRDefault="009678D3" w:rsidP="009678D3">
            <w:pPr>
              <w:rPr>
                <w:sz w:val="22"/>
                <w:szCs w:val="22"/>
              </w:rPr>
            </w:pPr>
          </w:p>
        </w:tc>
        <w:tc>
          <w:tcPr>
            <w:tcW w:w="2112" w:type="dxa"/>
            <w:vAlign w:val="center"/>
          </w:tcPr>
          <w:p w14:paraId="76DCFB63" w14:textId="77777777" w:rsidR="009678D3" w:rsidRPr="00E2736C" w:rsidRDefault="009678D3" w:rsidP="009678D3">
            <w:pPr>
              <w:rPr>
                <w:sz w:val="22"/>
                <w:szCs w:val="22"/>
              </w:rPr>
            </w:pPr>
          </w:p>
        </w:tc>
      </w:tr>
      <w:tr w:rsidR="009678D3" w:rsidRPr="00E2736C" w14:paraId="132E911B" w14:textId="77777777" w:rsidTr="009678D3">
        <w:trPr>
          <w:trHeight w:val="495"/>
        </w:trPr>
        <w:tc>
          <w:tcPr>
            <w:tcW w:w="3732" w:type="dxa"/>
            <w:vAlign w:val="center"/>
          </w:tcPr>
          <w:p w14:paraId="509F3894" w14:textId="77777777" w:rsidR="009678D3" w:rsidRPr="00E2736C" w:rsidRDefault="009678D3" w:rsidP="009678D3">
            <w:pPr>
              <w:rPr>
                <w:i/>
                <w:sz w:val="22"/>
                <w:szCs w:val="22"/>
              </w:rPr>
            </w:pPr>
            <w:r w:rsidRPr="00E2736C">
              <w:rPr>
                <w:sz w:val="22"/>
                <w:szCs w:val="22"/>
              </w:rPr>
              <w:t>Estado del Banco (</w:t>
            </w:r>
            <w:r w:rsidRPr="00E2736C">
              <w:rPr>
                <w:i/>
                <w:sz w:val="22"/>
                <w:szCs w:val="22"/>
              </w:rPr>
              <w:t>En explotación,</w:t>
            </w:r>
          </w:p>
          <w:p w14:paraId="074A6920" w14:textId="77777777" w:rsidR="009678D3" w:rsidRPr="00E2736C" w:rsidRDefault="009678D3" w:rsidP="009678D3">
            <w:pPr>
              <w:rPr>
                <w:sz w:val="22"/>
                <w:szCs w:val="22"/>
              </w:rPr>
            </w:pPr>
            <w:r w:rsidRPr="00E2736C">
              <w:rPr>
                <w:i/>
                <w:sz w:val="22"/>
                <w:szCs w:val="22"/>
              </w:rPr>
              <w:t xml:space="preserve"> A descapotar, Contaminado, Agotado</w:t>
            </w:r>
            <w:r w:rsidRPr="00E2736C">
              <w:rPr>
                <w:sz w:val="22"/>
                <w:szCs w:val="22"/>
              </w:rPr>
              <w:t xml:space="preserve">) </w:t>
            </w:r>
          </w:p>
        </w:tc>
        <w:tc>
          <w:tcPr>
            <w:tcW w:w="2112" w:type="dxa"/>
            <w:vAlign w:val="center"/>
          </w:tcPr>
          <w:p w14:paraId="4CAF9E8E" w14:textId="77777777" w:rsidR="009678D3" w:rsidRPr="00E2736C" w:rsidRDefault="009678D3" w:rsidP="009678D3">
            <w:pPr>
              <w:rPr>
                <w:sz w:val="22"/>
                <w:szCs w:val="22"/>
              </w:rPr>
            </w:pPr>
            <w:r>
              <w:rPr>
                <w:sz w:val="22"/>
                <w:szCs w:val="22"/>
              </w:rPr>
              <w:t>A descapotar</w:t>
            </w:r>
          </w:p>
        </w:tc>
        <w:tc>
          <w:tcPr>
            <w:tcW w:w="2112" w:type="dxa"/>
            <w:vAlign w:val="center"/>
          </w:tcPr>
          <w:p w14:paraId="086294B1" w14:textId="77777777" w:rsidR="009678D3" w:rsidRPr="00E2736C" w:rsidRDefault="009678D3" w:rsidP="009678D3">
            <w:pPr>
              <w:rPr>
                <w:sz w:val="22"/>
                <w:szCs w:val="22"/>
              </w:rPr>
            </w:pPr>
          </w:p>
        </w:tc>
        <w:tc>
          <w:tcPr>
            <w:tcW w:w="2112" w:type="dxa"/>
            <w:vAlign w:val="center"/>
          </w:tcPr>
          <w:p w14:paraId="48EEFB61" w14:textId="77777777" w:rsidR="009678D3" w:rsidRPr="00E2736C" w:rsidRDefault="009678D3" w:rsidP="009678D3">
            <w:pPr>
              <w:rPr>
                <w:sz w:val="22"/>
                <w:szCs w:val="22"/>
              </w:rPr>
            </w:pPr>
          </w:p>
        </w:tc>
      </w:tr>
      <w:tr w:rsidR="009678D3" w:rsidRPr="00E2736C" w14:paraId="03267BBE" w14:textId="77777777" w:rsidTr="009678D3">
        <w:trPr>
          <w:trHeight w:val="495"/>
        </w:trPr>
        <w:tc>
          <w:tcPr>
            <w:tcW w:w="3732" w:type="dxa"/>
            <w:vAlign w:val="center"/>
          </w:tcPr>
          <w:p w14:paraId="7C817C9E" w14:textId="77777777" w:rsidR="009678D3" w:rsidRPr="00E2736C" w:rsidRDefault="009678D3" w:rsidP="009678D3">
            <w:pPr>
              <w:rPr>
                <w:sz w:val="22"/>
                <w:szCs w:val="22"/>
              </w:rPr>
            </w:pPr>
            <w:r w:rsidRPr="00E2736C">
              <w:rPr>
                <w:sz w:val="22"/>
                <w:szCs w:val="22"/>
              </w:rPr>
              <w:t xml:space="preserve">Tipo de material </w:t>
            </w:r>
            <w:r w:rsidRPr="00E2736C">
              <w:rPr>
                <w:i/>
                <w:sz w:val="22"/>
                <w:szCs w:val="22"/>
              </w:rPr>
              <w:t>(Material Selecto, Arena, Bolón, Cantera</w:t>
            </w:r>
            <w:r w:rsidRPr="00E2736C">
              <w:rPr>
                <w:sz w:val="22"/>
                <w:szCs w:val="22"/>
              </w:rPr>
              <w:t>)</w:t>
            </w:r>
          </w:p>
        </w:tc>
        <w:tc>
          <w:tcPr>
            <w:tcW w:w="2112" w:type="dxa"/>
            <w:vAlign w:val="center"/>
          </w:tcPr>
          <w:p w14:paraId="0E96A200" w14:textId="77777777" w:rsidR="009678D3" w:rsidRPr="00E2736C" w:rsidRDefault="009678D3" w:rsidP="009678D3">
            <w:pPr>
              <w:rPr>
                <w:sz w:val="22"/>
                <w:szCs w:val="22"/>
              </w:rPr>
            </w:pPr>
            <w:r>
              <w:rPr>
                <w:sz w:val="22"/>
                <w:szCs w:val="22"/>
              </w:rPr>
              <w:t>Material Selecto</w:t>
            </w:r>
          </w:p>
        </w:tc>
        <w:tc>
          <w:tcPr>
            <w:tcW w:w="2112" w:type="dxa"/>
            <w:vAlign w:val="center"/>
          </w:tcPr>
          <w:p w14:paraId="43D1A35B" w14:textId="77777777" w:rsidR="009678D3" w:rsidRPr="00E2736C" w:rsidRDefault="009678D3" w:rsidP="009678D3">
            <w:pPr>
              <w:rPr>
                <w:sz w:val="22"/>
                <w:szCs w:val="22"/>
              </w:rPr>
            </w:pPr>
          </w:p>
        </w:tc>
        <w:tc>
          <w:tcPr>
            <w:tcW w:w="2112" w:type="dxa"/>
            <w:vAlign w:val="center"/>
          </w:tcPr>
          <w:p w14:paraId="5C74AD3A" w14:textId="77777777" w:rsidR="009678D3" w:rsidRPr="00E2736C" w:rsidRDefault="009678D3" w:rsidP="009678D3">
            <w:pPr>
              <w:rPr>
                <w:sz w:val="22"/>
                <w:szCs w:val="22"/>
              </w:rPr>
            </w:pPr>
          </w:p>
        </w:tc>
      </w:tr>
    </w:tbl>
    <w:p w14:paraId="7665CA30" w14:textId="77777777" w:rsidR="009678D3" w:rsidRPr="00C84F94" w:rsidRDefault="009678D3" w:rsidP="009678D3">
      <w:pPr>
        <w:rPr>
          <w:sz w:val="16"/>
          <w:szCs w:val="16"/>
        </w:rPr>
      </w:pPr>
    </w:p>
    <w:p w14:paraId="3A0A8D0D" w14:textId="77777777" w:rsidR="009678D3" w:rsidRPr="00C84F94" w:rsidRDefault="009678D3" w:rsidP="009678D3">
      <w:pPr>
        <w:rPr>
          <w:b/>
          <w:sz w:val="16"/>
          <w:szCs w:val="16"/>
        </w:rPr>
      </w:pPr>
    </w:p>
    <w:p w14:paraId="41D1EEA2"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INSTRUCCIONES ADICIONALES AL CONTRATISTA</w:t>
      </w:r>
    </w:p>
    <w:p w14:paraId="2DBC9E8F" w14:textId="77777777" w:rsidR="009678D3" w:rsidRPr="00C84F94" w:rsidRDefault="009678D3" w:rsidP="009678D3">
      <w:pPr>
        <w:rPr>
          <w:sz w:val="16"/>
          <w:szCs w:val="16"/>
        </w:rPr>
      </w:pPr>
    </w:p>
    <w:p w14:paraId="381BA865" w14:textId="77777777" w:rsidR="009678D3" w:rsidRDefault="009678D3" w:rsidP="009678D3">
      <w:pPr>
        <w:rPr>
          <w:rFonts w:ascii="Arial Narrow" w:hAnsi="Arial Narrow"/>
          <w:b/>
        </w:rPr>
      </w:pPr>
      <w:r>
        <w:rPr>
          <w:rFonts w:ascii="Arial Narrow" w:hAnsi="Arial Narrow"/>
          <w:b/>
        </w:rPr>
        <w:t>Deberes del Contratista:</w:t>
      </w:r>
    </w:p>
    <w:p w14:paraId="1817F95E" w14:textId="77777777" w:rsidR="009678D3" w:rsidRDefault="009678D3" w:rsidP="009678D3">
      <w:pPr>
        <w:rPr>
          <w:rFonts w:ascii="Arial Narrow" w:hAnsi="Arial Narrow"/>
        </w:rPr>
      </w:pPr>
    </w:p>
    <w:p w14:paraId="6AC65A58" w14:textId="77777777" w:rsidR="009678D3" w:rsidRDefault="009678D3" w:rsidP="009678D3">
      <w:pPr>
        <w:pStyle w:val="Prrafodelista"/>
        <w:numPr>
          <w:ilvl w:val="0"/>
          <w:numId w:val="203"/>
        </w:numPr>
        <w:spacing w:after="160" w:line="256" w:lineRule="auto"/>
        <w:contextualSpacing/>
        <w:rPr>
          <w:rFonts w:ascii="Arial Narrow" w:hAnsi="Arial Narrow"/>
          <w:b/>
        </w:rPr>
      </w:pPr>
      <w:r>
        <w:rPr>
          <w:rFonts w:ascii="Arial Narrow" w:hAnsi="Arial Narrow"/>
          <w:b/>
        </w:rPr>
        <w:t>Previo a la entrega de Ofertas</w:t>
      </w:r>
    </w:p>
    <w:p w14:paraId="5684E1F2"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El Contratista debe leer y prestar especial atención a lo establecido en el Informe de Investigación de Zona de Obras, en las especificaciones técnicas, alcances y planos constructivos del proyecto.</w:t>
      </w:r>
    </w:p>
    <w:p w14:paraId="42DCE40B"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Los oferentes deberán de realizar la visita al sitio del proyecto para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 De encontrar inconsistencia entre los documentos contractuales, debe de hacer las consultas en el periodo de tiempo estipulado en el documento base de licitación para su debida aclaración.</w:t>
      </w:r>
    </w:p>
    <w:p w14:paraId="2F255FC0"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Los conceptos de obra de las diferentes partes constructivas del proyecto, deberán incluir todas las actividades necesarias para que estas se ejecuten y puedan ser recepcionadas por EL FISE y la Municipalidad de forma completa y en estado de funcionamiento óptimo en conjunto con el resto de obras del proyecto.</w:t>
      </w:r>
    </w:p>
    <w:p w14:paraId="47D715DA"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EL CONTRATISTA no podrá alegar desconocimiento de causa sobre este último aspecto en particular y en caso de duda deberá hacer las consultas por escrito al FISE previo a la presentación de la Oferta de esta Licitación. La presentación de la Oferta significa la aceptación de su parte sobre el contenido conceptual de cada parte de obra y se someterá entonces a la interpretación que de ésta haga EL FISE, a la luz de lo establecido en estas Especificaciones, Planos y Forma de Oferta.</w:t>
      </w:r>
    </w:p>
    <w:p w14:paraId="216E2284" w14:textId="77777777" w:rsidR="009678D3" w:rsidRDefault="009678D3" w:rsidP="009678D3">
      <w:pPr>
        <w:pStyle w:val="Prrafodelista"/>
        <w:numPr>
          <w:ilvl w:val="0"/>
          <w:numId w:val="203"/>
        </w:numPr>
        <w:spacing w:after="160" w:line="256" w:lineRule="auto"/>
        <w:contextualSpacing/>
        <w:rPr>
          <w:rFonts w:ascii="Arial Narrow" w:hAnsi="Arial Narrow"/>
          <w:b/>
        </w:rPr>
      </w:pPr>
      <w:r>
        <w:rPr>
          <w:rFonts w:ascii="Arial Narrow" w:hAnsi="Arial Narrow"/>
          <w:b/>
        </w:rPr>
        <w:lastRenderedPageBreak/>
        <w:t>Previo al inicio de las obras del proyecto</w:t>
      </w:r>
    </w:p>
    <w:p w14:paraId="192EDF06"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Una vez pasada la entrega del sitio del proyecto por el Supervisor encargado del seguimiento, el Contratista debe verificar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362E9E14" w14:textId="77777777" w:rsidR="009678D3" w:rsidRDefault="009678D3" w:rsidP="009678D3">
      <w:pPr>
        <w:pStyle w:val="Prrafodelista"/>
        <w:numPr>
          <w:ilvl w:val="0"/>
          <w:numId w:val="203"/>
        </w:numPr>
        <w:spacing w:after="160" w:line="256" w:lineRule="auto"/>
        <w:contextualSpacing/>
        <w:rPr>
          <w:rFonts w:ascii="Arial Narrow" w:hAnsi="Arial Narrow"/>
          <w:b/>
        </w:rPr>
      </w:pPr>
      <w:r>
        <w:rPr>
          <w:rFonts w:ascii="Arial Narrow" w:hAnsi="Arial Narrow"/>
          <w:b/>
        </w:rPr>
        <w:t xml:space="preserve">Durante la construcción de las obras </w:t>
      </w:r>
    </w:p>
    <w:p w14:paraId="3573483F"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El Contratista debe cumplir con lo establecido en el Reglamento Nacional de la Construcción (RNC) vigente, como salvaguarda de la calidad de los procesos constructivos para garantizar la funcionalidad, sostenibilidad y durabilidad de las obras.</w:t>
      </w:r>
    </w:p>
    <w:p w14:paraId="22A770B4"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El Contratista está obligado a realizar todas las pruebas de laboratorio requeridas, como la resistencia del concreto, el hierro, las pruebas referidas a la calidad del agua y otras pruebas que requieran el servicio de laboratorios autorizados.</w:t>
      </w:r>
    </w:p>
    <w:p w14:paraId="0C9B7EBD"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Queda entendido que la mezcla y el proceso de construcción de las estructuras de concreto, se deberán ceñir a todas las normas pertinentes de la ASTM, AASHTO, ACI y demás normas reconocidas internacionalmente.</w:t>
      </w:r>
    </w:p>
    <w:p w14:paraId="4459C7DD"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Los laboratorios de materiales para los diseños, análisis y pruebas de calidad de materiales y/o de ejecución de trabajos, deberá ser aprobado por El Supervisor. Para esto EL CONTRATISTA, someterá a la aprobación del Supervisor una terna de laboratorios de materiales reconocidos, con sus respectivos Brochures.</w:t>
      </w:r>
    </w:p>
    <w:p w14:paraId="435553C2"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 xml:space="preserve">El Contratista deberá coordinar con la supervisión la ejecución de actividades claves como la colada del concreto, las pruebas hidrostáticas y toma de muestras para análisis de laboratorio entre otras.   </w:t>
      </w:r>
    </w:p>
    <w:p w14:paraId="3B7B1796"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El contratista debe de incluir en sus costos todos los controles de calidad tales como, pruebas de estanqueidad en tanques, pruebas de resistencia del concreto, pruebas de compactación de suelos indicadas por el Supervisor en las ubicaciones que el considere necesarias para garantizar la calidad de los trabajos, pruebas de revenimiento, desinfección de tubería y otros tipos de pruebas indicados en las especificaciones técnicas.</w:t>
      </w:r>
    </w:p>
    <w:p w14:paraId="7C44B4B9"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 xml:space="preserve">Garantizar la realización de los procesos sociales durante la etapa de ejecución del proyecto de acuerdo a lo establecido en los alcances y especificaciones sociales. </w:t>
      </w:r>
    </w:p>
    <w:p w14:paraId="72D6183D" w14:textId="77777777" w:rsidR="009678D3" w:rsidRDefault="009678D3" w:rsidP="009678D3">
      <w:pPr>
        <w:pStyle w:val="Prrafodelista"/>
        <w:rPr>
          <w:rFonts w:ascii="Arial Narrow" w:hAnsi="Arial Narrow"/>
        </w:rPr>
      </w:pPr>
    </w:p>
    <w:p w14:paraId="1A6CBFE4" w14:textId="77777777" w:rsidR="009678D3" w:rsidRDefault="009678D3" w:rsidP="009678D3">
      <w:pPr>
        <w:pStyle w:val="Prrafodelista"/>
        <w:numPr>
          <w:ilvl w:val="0"/>
          <w:numId w:val="203"/>
        </w:numPr>
        <w:spacing w:after="160" w:line="256" w:lineRule="auto"/>
        <w:contextualSpacing/>
        <w:rPr>
          <w:rFonts w:ascii="Arial Narrow" w:hAnsi="Arial Narrow"/>
          <w:b/>
        </w:rPr>
      </w:pPr>
      <w:r>
        <w:rPr>
          <w:rFonts w:ascii="Arial Narrow" w:hAnsi="Arial Narrow"/>
          <w:b/>
        </w:rPr>
        <w:t>En la entrega Final el Contratista debe:</w:t>
      </w:r>
    </w:p>
    <w:p w14:paraId="590A5EAD"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Dejar operando satisfactoriamente el sistema de suministro de agua potable constituido por el Mini acueducto por gravedad (MAG).</w:t>
      </w:r>
    </w:p>
    <w:p w14:paraId="7DDEEC4F"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Dejar funcionando satisfactoriamente cada unidad unifamiliar de saneamiento integral seleccionada Letrina sencilla Semi elevada (LS-3).</w:t>
      </w:r>
    </w:p>
    <w:p w14:paraId="6C1C8E41"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Dejar funcionando satisfactoriamente cada lavadero con sistema de eliminación inocua de aguas grises (Pozo de Absorción), en cada unidad unifamiliar de saneamiento integral, para garantizar la promoción de la higiene.</w:t>
      </w:r>
    </w:p>
    <w:p w14:paraId="1E8A41AF"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t>EL CONTRATISTA deberá entregar los Planos Finales o Como Construido (As Built) del Sistema Construido objeto del contrato, deben presentarse en formato A1, digital (CD) utilizando AUTOCAD versión 2007, así como tres (3) copias duras de los mismos en formato 60 x 40 cm.</w:t>
      </w:r>
    </w:p>
    <w:p w14:paraId="3906A9F8" w14:textId="77777777" w:rsidR="009678D3" w:rsidRDefault="009678D3" w:rsidP="009678D3">
      <w:pPr>
        <w:pStyle w:val="Prrafodelista"/>
        <w:numPr>
          <w:ilvl w:val="0"/>
          <w:numId w:val="204"/>
        </w:numPr>
        <w:spacing w:after="160" w:line="256" w:lineRule="auto"/>
        <w:contextualSpacing/>
        <w:rPr>
          <w:rFonts w:ascii="Arial Narrow" w:hAnsi="Arial Narrow"/>
        </w:rPr>
      </w:pPr>
      <w:r>
        <w:rPr>
          <w:rFonts w:ascii="Arial Narrow" w:hAnsi="Arial Narrow"/>
        </w:rPr>
        <w:lastRenderedPageBreak/>
        <w:t>Garantizar el acompañamiento, la capacitación y la asistencia técnica social a la comunidad y a los Comités de Agua Potable y Saneamiento (CAPS) en la etapa de post obra de acuerdo a lo estipulado en los alcances del proyecto y las especificaciones sociales.</w:t>
      </w:r>
    </w:p>
    <w:p w14:paraId="4FB36F4D" w14:textId="77777777" w:rsidR="009678D3" w:rsidRPr="00B62B50" w:rsidRDefault="009678D3" w:rsidP="009678D3">
      <w:pPr>
        <w:spacing w:line="256" w:lineRule="auto"/>
        <w:rPr>
          <w:rFonts w:ascii="Arial Narrow" w:hAnsi="Arial Narrow"/>
          <w:b/>
        </w:rPr>
      </w:pPr>
      <w:r w:rsidRPr="00B62B50">
        <w:rPr>
          <w:rFonts w:ascii="Arial Narrow" w:hAnsi="Arial Narrow"/>
          <w:b/>
        </w:rPr>
        <w:t>Se debe prestar atención a lo siguiente:</w:t>
      </w:r>
    </w:p>
    <w:p w14:paraId="31C1BF81" w14:textId="77777777" w:rsidR="009678D3" w:rsidRPr="00B62B50" w:rsidRDefault="009678D3" w:rsidP="009678D3">
      <w:pPr>
        <w:spacing w:line="256" w:lineRule="auto"/>
        <w:rPr>
          <w:rFonts w:ascii="Arial Narrow" w:hAnsi="Arial Narrow"/>
        </w:rPr>
      </w:pPr>
    </w:p>
    <w:p w14:paraId="70DC8C3B" w14:textId="77777777" w:rsidR="009678D3" w:rsidRPr="00B62B50" w:rsidRDefault="009678D3" w:rsidP="009678D3">
      <w:pPr>
        <w:spacing w:line="256" w:lineRule="auto"/>
        <w:rPr>
          <w:rFonts w:ascii="Arial Narrow" w:hAnsi="Arial Narrow"/>
        </w:rPr>
      </w:pPr>
      <w:r w:rsidRPr="00B62B50">
        <w:rPr>
          <w:rFonts w:ascii="Arial Narrow" w:hAnsi="Arial Narrow"/>
        </w:rPr>
        <w:t xml:space="preserve">1. Para la obra de captación, se construirá un dique toma con prefiltro de flujo vertical  de concreto ciclópeo con dimensiones de 2.6 m de ancho por 6.0 m de largo. La obra incluye la proyección horizontal de 02 aletones de 1.71 m de longitud. El área de filtración será de 15.6 m2 y será cubierta de 03 capas de material granular tipo grava de diferente granulometría con espesor total de 0.80 m. La primera cubierta de grava será de canto redondo Diám.= 5-10 mm espesor 0.5m, la segunda cubierta será de grava de canto redondo Diám.= 10-15 mm espesor 0.2m, y la última capa de grava será de DIám.= 15-25 mm espesor 0.10m. En la parte inferior del lecho filtrante se ubicarán los drenes que llevarán el agua hasta una caja de captación, dicha caja tendrá dimensiones típicas de 1m x 1m y altura 1.1m. El sistema de drenaje estará compuesto por 05 drenes laterales de PVC SDR-17 de Diám.= 3" los que serán perforados con 72 orificios de 8 mm colocados en 03 hileras a cada 10 cm para un total de orificios de 361. La longitud de cada dren lateral será de 2.30 m. Los drenes laterales conducirán el agua hacia la tuberia principal de 5.90 m de longitud de PVC SDR-17 Diám.= 4", esta será dirigida a una pila de captación que permitirá la salida del flujo por la linea de conducción. </w:t>
      </w:r>
    </w:p>
    <w:p w14:paraId="57FCA181" w14:textId="77777777" w:rsidR="009678D3" w:rsidRPr="00B62B50" w:rsidRDefault="009678D3" w:rsidP="009678D3">
      <w:pPr>
        <w:spacing w:line="256" w:lineRule="auto"/>
        <w:rPr>
          <w:rFonts w:ascii="Arial Narrow" w:hAnsi="Arial Narrow"/>
        </w:rPr>
      </w:pPr>
    </w:p>
    <w:p w14:paraId="11CCA543" w14:textId="77777777" w:rsidR="009678D3" w:rsidRPr="00B62B50" w:rsidRDefault="009678D3" w:rsidP="009678D3">
      <w:pPr>
        <w:spacing w:line="256" w:lineRule="auto"/>
        <w:rPr>
          <w:rFonts w:ascii="Arial Narrow" w:hAnsi="Arial Narrow"/>
        </w:rPr>
      </w:pPr>
      <w:r w:rsidRPr="00B62B50">
        <w:rPr>
          <w:rFonts w:ascii="Arial Narrow" w:hAnsi="Arial Narrow"/>
        </w:rPr>
        <w:t xml:space="preserve">2. En la línea de conducción se instalarán 1,360 m de longitud, Diám= 2" PVC SDR-26. Además, se deberá instalar el primer tramo de tubería de 30 m (est 0+000 a la 0+030) con una pendiente del 6% a una profundidad de 02 metros. Se recomienda a los oferentes incluir en sus costos los accesorios que conforman la linea de conducción. Además se instalarán 02 cajas (pilas rompe presión) de concreto en los PI 15 y PI 164. Ver lámina de planos número 08/27 y 09/27. </w:t>
      </w:r>
    </w:p>
    <w:p w14:paraId="72ECB52F" w14:textId="77777777" w:rsidR="009678D3" w:rsidRPr="00B62B50" w:rsidRDefault="009678D3" w:rsidP="009678D3">
      <w:pPr>
        <w:spacing w:line="256" w:lineRule="auto"/>
        <w:rPr>
          <w:rFonts w:ascii="Arial Narrow" w:hAnsi="Arial Narrow"/>
        </w:rPr>
      </w:pPr>
    </w:p>
    <w:p w14:paraId="7DEFAE9A" w14:textId="77777777" w:rsidR="009678D3" w:rsidRPr="00B62B50" w:rsidRDefault="009678D3" w:rsidP="009678D3">
      <w:pPr>
        <w:spacing w:line="256" w:lineRule="auto"/>
        <w:rPr>
          <w:rFonts w:ascii="Arial Narrow" w:hAnsi="Arial Narrow"/>
        </w:rPr>
      </w:pPr>
      <w:r w:rsidRPr="00B62B50">
        <w:rPr>
          <w:rFonts w:ascii="Arial Narrow" w:hAnsi="Arial Narrow"/>
        </w:rPr>
        <w:t xml:space="preserve">3. En las válvulas de pase de gaveta de bronce de Diám.=2" ubicadas en la linea de conducción,  ya van incluidos el protector de tubo de hierro galvanizado. </w:t>
      </w:r>
    </w:p>
    <w:p w14:paraId="6F0A44C0" w14:textId="77777777" w:rsidR="009678D3" w:rsidRPr="00B62B50" w:rsidRDefault="009678D3" w:rsidP="009678D3">
      <w:pPr>
        <w:spacing w:line="256" w:lineRule="auto"/>
        <w:rPr>
          <w:rFonts w:ascii="Arial Narrow" w:hAnsi="Arial Narrow"/>
        </w:rPr>
      </w:pPr>
    </w:p>
    <w:p w14:paraId="77FC6EDC" w14:textId="77777777" w:rsidR="009678D3" w:rsidRPr="00B62B50" w:rsidRDefault="009678D3" w:rsidP="009678D3">
      <w:pPr>
        <w:spacing w:line="256" w:lineRule="auto"/>
        <w:rPr>
          <w:rFonts w:ascii="Arial Narrow" w:hAnsi="Arial Narrow"/>
        </w:rPr>
      </w:pPr>
      <w:r w:rsidRPr="00B62B50">
        <w:rPr>
          <w:rFonts w:ascii="Arial Narrow" w:hAnsi="Arial Narrow"/>
        </w:rPr>
        <w:t xml:space="preserve">4. Los cruces bajo lecho de cauces en la línea de conducción será con tubería de hierro galvanizados serán de 2" de diámetros. Ver detalles específicos en la lámina 21/27. </w:t>
      </w:r>
    </w:p>
    <w:p w14:paraId="2A35EA87" w14:textId="77777777" w:rsidR="009678D3" w:rsidRPr="00B62B50" w:rsidRDefault="009678D3" w:rsidP="009678D3">
      <w:pPr>
        <w:spacing w:line="256" w:lineRule="auto"/>
        <w:rPr>
          <w:rFonts w:ascii="Arial Narrow" w:hAnsi="Arial Narrow"/>
        </w:rPr>
      </w:pPr>
    </w:p>
    <w:p w14:paraId="71731994" w14:textId="77777777" w:rsidR="009678D3" w:rsidRPr="00B62B50" w:rsidRDefault="009678D3" w:rsidP="009678D3">
      <w:pPr>
        <w:spacing w:line="256" w:lineRule="auto"/>
        <w:rPr>
          <w:rFonts w:ascii="Arial Narrow" w:hAnsi="Arial Narrow"/>
        </w:rPr>
      </w:pPr>
      <w:r w:rsidRPr="00B62B50">
        <w:rPr>
          <w:rFonts w:ascii="Arial Narrow" w:hAnsi="Arial Narrow"/>
        </w:rPr>
        <w:t>5. Para la red de distribución se instalarán 4,224.65m de longitud de tubería con los diámetros siguientes: Ø 1½ PVC SDR 26 Long.= 470.15m, Ø 2" PVC SDR 26 Long.= 3,541.56m y Ø 3" PVC SDR 26 Long.= 212.94m. Ver lámina de planos número 10/27, 11/27, 12/27 y 13/27 para su buena construcción y funcionamiento. Se recomienda a los oferentes incluir en sus costos los accesorios que conforman la red de distribución.</w:t>
      </w:r>
    </w:p>
    <w:p w14:paraId="67A9291E" w14:textId="77777777" w:rsidR="009678D3" w:rsidRPr="00B62B50" w:rsidRDefault="009678D3" w:rsidP="009678D3">
      <w:pPr>
        <w:spacing w:line="256" w:lineRule="auto"/>
        <w:rPr>
          <w:rFonts w:ascii="Arial Narrow" w:hAnsi="Arial Narrow"/>
        </w:rPr>
      </w:pPr>
    </w:p>
    <w:p w14:paraId="5F9B4288" w14:textId="77777777" w:rsidR="009678D3" w:rsidRPr="00B62B50" w:rsidRDefault="009678D3" w:rsidP="009678D3">
      <w:pPr>
        <w:spacing w:line="256" w:lineRule="auto"/>
        <w:rPr>
          <w:rFonts w:ascii="Arial Narrow" w:hAnsi="Arial Narrow"/>
        </w:rPr>
      </w:pPr>
      <w:r w:rsidRPr="00B62B50">
        <w:rPr>
          <w:rFonts w:ascii="Arial Narrow" w:hAnsi="Arial Narrow"/>
        </w:rPr>
        <w:t xml:space="preserve">6. Se instalarán 06 válvulas reguladoras de presión en la red de distribución. Los detalles de los accesorios de las válvulas se encuentran en la lámina de plano número 21/27. </w:t>
      </w:r>
    </w:p>
    <w:p w14:paraId="6254450E" w14:textId="77777777" w:rsidR="009678D3" w:rsidRPr="00B62B50" w:rsidRDefault="009678D3" w:rsidP="009678D3">
      <w:pPr>
        <w:spacing w:line="256" w:lineRule="auto"/>
        <w:rPr>
          <w:rFonts w:ascii="Arial Narrow" w:hAnsi="Arial Narrow"/>
        </w:rPr>
      </w:pPr>
    </w:p>
    <w:p w14:paraId="55EA0845" w14:textId="77777777" w:rsidR="009678D3" w:rsidRPr="00B62B50" w:rsidRDefault="009678D3" w:rsidP="009678D3">
      <w:pPr>
        <w:spacing w:line="256" w:lineRule="auto"/>
        <w:rPr>
          <w:rFonts w:ascii="Arial Narrow" w:hAnsi="Arial Narrow"/>
        </w:rPr>
      </w:pPr>
      <w:r w:rsidRPr="00B62B50">
        <w:rPr>
          <w:rFonts w:ascii="Arial Narrow" w:hAnsi="Arial Narrow"/>
        </w:rPr>
        <w:t xml:space="preserve">7. En la etapa 360_PLANTA DE PURIFICACIÓN, la sub etapa 36008_OBRAS VARIAS pertenece a las obras de sedimentador. </w:t>
      </w:r>
    </w:p>
    <w:p w14:paraId="0E4C2546" w14:textId="77777777" w:rsidR="009678D3" w:rsidRPr="00B62B50" w:rsidRDefault="009678D3" w:rsidP="009678D3">
      <w:pPr>
        <w:spacing w:line="256" w:lineRule="auto"/>
        <w:rPr>
          <w:rFonts w:ascii="Arial Narrow" w:hAnsi="Arial Narrow"/>
        </w:rPr>
      </w:pPr>
    </w:p>
    <w:p w14:paraId="1A3E989E" w14:textId="77777777" w:rsidR="009678D3" w:rsidRPr="00B62B50" w:rsidRDefault="009678D3" w:rsidP="009678D3">
      <w:pPr>
        <w:spacing w:line="256" w:lineRule="auto"/>
        <w:rPr>
          <w:rFonts w:ascii="Arial Narrow" w:hAnsi="Arial Narrow"/>
        </w:rPr>
      </w:pPr>
      <w:r w:rsidRPr="00B62B50">
        <w:rPr>
          <w:rFonts w:ascii="Arial Narrow" w:hAnsi="Arial Narrow"/>
        </w:rPr>
        <w:lastRenderedPageBreak/>
        <w:t>8. En el sistema de tratamiento de filtración lenta, la tapa de la cámara de salida del filtro lento será de concreto de 3,000 PSI de 0.60mx0.60m, Esp.= 0.05m, a como se indica en el presupuesto. Dicha actividad corresponde a la etapa 360_PLANTA DE PURIFICACIÓN, sub etapa 36015_FILTRACIÓN LENTA y la actividad 04123_TAPA CUADRADA DE CONCRETO DE 3,000 PSI, REF.#2@0.10m EN A/D, DE 0.60mx0.60m,Esp.=0.05m CON REPELLO y FINO CORRIENTE.</w:t>
      </w:r>
    </w:p>
    <w:p w14:paraId="6E71A2FD" w14:textId="77777777" w:rsidR="009678D3" w:rsidRPr="00C84F94" w:rsidRDefault="009678D3" w:rsidP="009678D3">
      <w:pPr>
        <w:rPr>
          <w:sz w:val="16"/>
          <w:szCs w:val="16"/>
        </w:rPr>
      </w:pPr>
    </w:p>
    <w:p w14:paraId="1886A997" w14:textId="77777777" w:rsidR="009678D3" w:rsidRPr="00C84F94" w:rsidRDefault="009678D3" w:rsidP="009678D3">
      <w:pPr>
        <w:rPr>
          <w:sz w:val="16"/>
          <w:szCs w:val="16"/>
        </w:rPr>
      </w:pPr>
    </w:p>
    <w:p w14:paraId="0124CC11" w14:textId="77777777" w:rsidR="00003780" w:rsidRDefault="00003780" w:rsidP="000C6174">
      <w:pPr>
        <w:jc w:val="center"/>
        <w:rPr>
          <w:rFonts w:asciiTheme="minorHAnsi" w:hAnsiTheme="minorHAnsi"/>
          <w:b/>
          <w:color w:val="000000" w:themeColor="text1"/>
          <w:sz w:val="28"/>
          <w:szCs w:val="24"/>
          <w:lang w:val="es-MX"/>
        </w:rPr>
      </w:pPr>
    </w:p>
    <w:p w14:paraId="7BB56337" w14:textId="77777777" w:rsidR="009678D3" w:rsidRPr="009C0A23" w:rsidRDefault="009678D3" w:rsidP="009678D3"/>
    <w:p w14:paraId="78AC3A47" w14:textId="77777777" w:rsidR="009678D3" w:rsidRPr="009C0A23" w:rsidRDefault="009678D3" w:rsidP="009678D3">
      <w:pPr>
        <w:jc w:val="center"/>
        <w:rPr>
          <w:b/>
          <w:sz w:val="20"/>
        </w:rPr>
      </w:pPr>
    </w:p>
    <w:p w14:paraId="0244A092"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INFORMACION GENERAL</w:t>
      </w:r>
    </w:p>
    <w:tbl>
      <w:tblPr>
        <w:tblStyle w:val="Tablaconcuadrcula"/>
        <w:tblW w:w="0" w:type="auto"/>
        <w:tblInd w:w="108" w:type="dxa"/>
        <w:tblBorders>
          <w:insideH w:val="single" w:sz="4" w:space="0" w:color="FFFFFF"/>
          <w:insideV w:val="none" w:sz="0" w:space="0" w:color="auto"/>
        </w:tblBorders>
        <w:tblLook w:val="01E0" w:firstRow="1" w:lastRow="1" w:firstColumn="1" w:lastColumn="1" w:noHBand="0" w:noVBand="0"/>
      </w:tblPr>
      <w:tblGrid>
        <w:gridCol w:w="2050"/>
        <w:gridCol w:w="338"/>
        <w:gridCol w:w="6854"/>
      </w:tblGrid>
      <w:tr w:rsidR="009678D3" w:rsidRPr="00E2736C" w14:paraId="6614A9D9" w14:textId="77777777" w:rsidTr="009678D3">
        <w:tc>
          <w:tcPr>
            <w:tcW w:w="2100" w:type="dxa"/>
            <w:vAlign w:val="center"/>
          </w:tcPr>
          <w:p w14:paraId="1DD0AE60"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Código del proyecto</w:t>
            </w:r>
          </w:p>
        </w:tc>
        <w:tc>
          <w:tcPr>
            <w:tcW w:w="345" w:type="dxa"/>
            <w:vAlign w:val="center"/>
          </w:tcPr>
          <w:p w14:paraId="69BE483B"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43E5E87C"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CodigoProyecto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19842</w:t>
            </w:r>
            <w:r w:rsidRPr="00E2736C">
              <w:rPr>
                <w:rFonts w:ascii="Times New Roman" w:hAnsi="Times New Roman" w:cs="Times New Roman"/>
                <w:b w:val="0"/>
                <w:sz w:val="22"/>
                <w:szCs w:val="22"/>
              </w:rPr>
              <w:fldChar w:fldCharType="end"/>
            </w:r>
          </w:p>
        </w:tc>
      </w:tr>
      <w:tr w:rsidR="009678D3" w:rsidRPr="00E2736C" w14:paraId="616090D1" w14:textId="77777777" w:rsidTr="009678D3">
        <w:tc>
          <w:tcPr>
            <w:tcW w:w="2100" w:type="dxa"/>
            <w:vAlign w:val="center"/>
          </w:tcPr>
          <w:p w14:paraId="41C4CAA4"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Nombre del proyecto</w:t>
            </w:r>
          </w:p>
        </w:tc>
        <w:tc>
          <w:tcPr>
            <w:tcW w:w="345" w:type="dxa"/>
            <w:vAlign w:val="center"/>
          </w:tcPr>
          <w:p w14:paraId="359EC321"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26B0A2C1"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9678D3">
              <w:rPr>
                <w:rFonts w:ascii="Times New Roman" w:hAnsi="Times New Roman" w:cs="Times New Roman"/>
                <w:b w:val="0"/>
                <w:sz w:val="22"/>
                <w:szCs w:val="22"/>
                <w:highlight w:val="yellow"/>
              </w:rPr>
              <w:fldChar w:fldCharType="begin"/>
            </w:r>
            <w:r w:rsidRPr="009678D3">
              <w:rPr>
                <w:rFonts w:ascii="Times New Roman" w:hAnsi="Times New Roman" w:cs="Times New Roman"/>
                <w:b w:val="0"/>
                <w:sz w:val="22"/>
                <w:szCs w:val="22"/>
                <w:highlight w:val="yellow"/>
              </w:rPr>
              <w:instrText xml:space="preserve"> DOCVARIABLE  NombreProyecto</w:instrText>
            </w:r>
            <w:r w:rsidRPr="009678D3">
              <w:rPr>
                <w:rFonts w:ascii="Times New Roman" w:hAnsi="Times New Roman" w:cs="Times New Roman"/>
                <w:b w:val="0"/>
                <w:sz w:val="22"/>
                <w:szCs w:val="22"/>
                <w:highlight w:val="yellow"/>
              </w:rPr>
              <w:fldChar w:fldCharType="separate"/>
            </w:r>
            <w:r w:rsidRPr="009678D3">
              <w:rPr>
                <w:rFonts w:ascii="Times New Roman" w:hAnsi="Times New Roman" w:cs="Times New Roman"/>
                <w:b w:val="0"/>
                <w:sz w:val="22"/>
                <w:szCs w:val="22"/>
                <w:highlight w:val="yellow"/>
              </w:rPr>
              <w:t>Agua y Saneamiento Comunidad Zacatera</w:t>
            </w:r>
            <w:r w:rsidRPr="009678D3">
              <w:rPr>
                <w:rFonts w:ascii="Times New Roman" w:hAnsi="Times New Roman" w:cs="Times New Roman"/>
                <w:b w:val="0"/>
                <w:sz w:val="22"/>
                <w:szCs w:val="22"/>
                <w:highlight w:val="yellow"/>
              </w:rPr>
              <w:fldChar w:fldCharType="end"/>
            </w:r>
          </w:p>
        </w:tc>
      </w:tr>
      <w:tr w:rsidR="009678D3" w:rsidRPr="00E2736C" w14:paraId="1E28205E" w14:textId="77777777" w:rsidTr="009678D3">
        <w:tc>
          <w:tcPr>
            <w:tcW w:w="2100" w:type="dxa"/>
            <w:vAlign w:val="center"/>
          </w:tcPr>
          <w:p w14:paraId="50A07F70"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Departamento</w:t>
            </w:r>
          </w:p>
        </w:tc>
        <w:tc>
          <w:tcPr>
            <w:tcW w:w="345" w:type="dxa"/>
            <w:vAlign w:val="center"/>
          </w:tcPr>
          <w:p w14:paraId="3845B98A"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65EBB268"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Depto</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Nueva Segovia</w:t>
            </w:r>
            <w:r w:rsidRPr="00E2736C">
              <w:rPr>
                <w:rFonts w:ascii="Times New Roman" w:hAnsi="Times New Roman" w:cs="Times New Roman"/>
                <w:b w:val="0"/>
                <w:sz w:val="22"/>
                <w:szCs w:val="22"/>
              </w:rPr>
              <w:fldChar w:fldCharType="end"/>
            </w:r>
          </w:p>
        </w:tc>
      </w:tr>
      <w:tr w:rsidR="009678D3" w:rsidRPr="00E2736C" w14:paraId="214BE9B8" w14:textId="77777777" w:rsidTr="009678D3">
        <w:tc>
          <w:tcPr>
            <w:tcW w:w="2100" w:type="dxa"/>
            <w:vAlign w:val="center"/>
          </w:tcPr>
          <w:p w14:paraId="046E6ECC"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Municipio</w:t>
            </w:r>
          </w:p>
        </w:tc>
        <w:tc>
          <w:tcPr>
            <w:tcW w:w="345" w:type="dxa"/>
            <w:vAlign w:val="center"/>
          </w:tcPr>
          <w:p w14:paraId="1B9D47E0"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7BDB25F4"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Munic</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Wiwilí de Nueva Segovia</w:t>
            </w:r>
            <w:r w:rsidRPr="00E2736C">
              <w:rPr>
                <w:rFonts w:ascii="Times New Roman" w:hAnsi="Times New Roman" w:cs="Times New Roman"/>
                <w:b w:val="0"/>
                <w:sz w:val="22"/>
                <w:szCs w:val="22"/>
              </w:rPr>
              <w:fldChar w:fldCharType="end"/>
            </w:r>
          </w:p>
        </w:tc>
      </w:tr>
      <w:tr w:rsidR="009678D3" w:rsidRPr="00E2736C" w14:paraId="781D2380" w14:textId="77777777" w:rsidTr="009678D3">
        <w:tc>
          <w:tcPr>
            <w:tcW w:w="2100" w:type="dxa"/>
            <w:vAlign w:val="center"/>
          </w:tcPr>
          <w:p w14:paraId="7851F6DB"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Barrio/Comarca</w:t>
            </w:r>
          </w:p>
        </w:tc>
        <w:tc>
          <w:tcPr>
            <w:tcW w:w="345" w:type="dxa"/>
            <w:vAlign w:val="center"/>
          </w:tcPr>
          <w:p w14:paraId="7B78268B"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w:t>
            </w:r>
          </w:p>
        </w:tc>
        <w:tc>
          <w:tcPr>
            <w:tcW w:w="7515" w:type="dxa"/>
            <w:vAlign w:val="center"/>
          </w:tcPr>
          <w:p w14:paraId="4B6B8D6B"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BarrioCom</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Zacatera</w:t>
            </w:r>
            <w:r w:rsidRPr="00E2736C">
              <w:rPr>
                <w:rFonts w:ascii="Times New Roman" w:hAnsi="Times New Roman" w:cs="Times New Roman"/>
                <w:b w:val="0"/>
                <w:sz w:val="22"/>
                <w:szCs w:val="22"/>
              </w:rPr>
              <w:fldChar w:fldCharType="end"/>
            </w:r>
          </w:p>
        </w:tc>
      </w:tr>
    </w:tbl>
    <w:p w14:paraId="10E7D958" w14:textId="77777777" w:rsidR="009678D3" w:rsidRPr="00E2736C" w:rsidRDefault="009678D3" w:rsidP="009678D3">
      <w:pPr>
        <w:pStyle w:val="TITULOGENERAL"/>
        <w:spacing w:before="0" w:after="0"/>
        <w:jc w:val="both"/>
        <w:rPr>
          <w:rFonts w:ascii="Times New Roman" w:hAnsi="Times New Roman" w:cs="Times New Roman"/>
          <w:b w:val="0"/>
          <w:sz w:val="16"/>
          <w:szCs w:val="16"/>
        </w:rPr>
      </w:pPr>
    </w:p>
    <w:p w14:paraId="2989B18E"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 xml:space="preserve">RESULTADOS DE </w:t>
      </w:r>
      <w:smartTag w:uri="urn:schemas-microsoft-com:office:smarttags" w:element="PersonName">
        <w:smartTagPr>
          <w:attr w:name="ProductID" w:val="LA EVALUACION DEL"/>
        </w:smartTagPr>
        <w:smartTag w:uri="urn:schemas-microsoft-com:office:smarttags" w:element="PersonName">
          <w:r w:rsidRPr="00E2736C">
            <w:rPr>
              <w:sz w:val="22"/>
              <w:szCs w:val="22"/>
            </w:rPr>
            <w:t>LA EVALUACION</w:t>
          </w:r>
        </w:smartTag>
        <w:r w:rsidRPr="00E2736C">
          <w:rPr>
            <w:sz w:val="22"/>
            <w:szCs w:val="22"/>
          </w:rPr>
          <w:t xml:space="preserve"> DEL</w:t>
        </w:r>
      </w:smartTag>
      <w:r w:rsidRPr="00E2736C">
        <w:rPr>
          <w:sz w:val="22"/>
          <w:szCs w:val="22"/>
        </w:rPr>
        <w:t xml:space="preserve"> EMPLAZAMIENTO DEL PROYECTO</w:t>
      </w:r>
    </w:p>
    <w:tbl>
      <w:tblPr>
        <w:tblStyle w:val="Tablaconcuadrcula"/>
        <w:tblW w:w="9960" w:type="dxa"/>
        <w:tblInd w:w="108" w:type="dxa"/>
        <w:tblLook w:val="01E0" w:firstRow="1" w:lastRow="1" w:firstColumn="1" w:lastColumn="1" w:noHBand="0" w:noVBand="0"/>
      </w:tblPr>
      <w:tblGrid>
        <w:gridCol w:w="5160"/>
        <w:gridCol w:w="1600"/>
        <w:gridCol w:w="1600"/>
        <w:gridCol w:w="1600"/>
      </w:tblGrid>
      <w:tr w:rsidR="009678D3" w:rsidRPr="00E2736C" w14:paraId="400B633A" w14:textId="77777777" w:rsidTr="009678D3">
        <w:tc>
          <w:tcPr>
            <w:tcW w:w="5160" w:type="dxa"/>
            <w:vMerge w:val="restart"/>
            <w:tcBorders>
              <w:top w:val="single" w:sz="4" w:space="0" w:color="auto"/>
              <w:left w:val="single" w:sz="4" w:space="0" w:color="auto"/>
            </w:tcBorders>
            <w:vAlign w:val="bottom"/>
          </w:tcPr>
          <w:p w14:paraId="226D4AFC" w14:textId="77777777" w:rsidR="009678D3" w:rsidRPr="00E2736C" w:rsidRDefault="009678D3" w:rsidP="009678D3">
            <w:pPr>
              <w:jc w:val="right"/>
              <w:rPr>
                <w:sz w:val="22"/>
                <w:szCs w:val="22"/>
              </w:rPr>
            </w:pPr>
            <w:r w:rsidRPr="00E2736C">
              <w:rPr>
                <w:sz w:val="22"/>
                <w:szCs w:val="22"/>
              </w:rPr>
              <w:t>¿El Proyecto Presenta Evaluación del Emplazamiento?</w:t>
            </w:r>
          </w:p>
        </w:tc>
        <w:tc>
          <w:tcPr>
            <w:tcW w:w="1600" w:type="dxa"/>
            <w:vAlign w:val="center"/>
          </w:tcPr>
          <w:p w14:paraId="55E27A71" w14:textId="77777777" w:rsidR="009678D3" w:rsidRPr="00E2736C" w:rsidRDefault="009678D3" w:rsidP="009678D3">
            <w:pPr>
              <w:jc w:val="center"/>
              <w:rPr>
                <w:b/>
                <w:sz w:val="22"/>
                <w:szCs w:val="22"/>
              </w:rPr>
            </w:pPr>
            <w:r w:rsidRPr="00E2736C">
              <w:rPr>
                <w:b/>
                <w:sz w:val="22"/>
                <w:szCs w:val="22"/>
              </w:rPr>
              <w:t>SI</w:t>
            </w:r>
          </w:p>
        </w:tc>
        <w:tc>
          <w:tcPr>
            <w:tcW w:w="1600" w:type="dxa"/>
            <w:vAlign w:val="center"/>
          </w:tcPr>
          <w:p w14:paraId="6C80132B" w14:textId="77777777" w:rsidR="009678D3" w:rsidRPr="00E2736C" w:rsidRDefault="009678D3" w:rsidP="009678D3">
            <w:pPr>
              <w:jc w:val="center"/>
              <w:rPr>
                <w:b/>
                <w:sz w:val="22"/>
                <w:szCs w:val="22"/>
              </w:rPr>
            </w:pPr>
            <w:r w:rsidRPr="00E2736C">
              <w:rPr>
                <w:b/>
                <w:sz w:val="22"/>
                <w:szCs w:val="22"/>
              </w:rPr>
              <w:t>NO</w:t>
            </w:r>
          </w:p>
        </w:tc>
        <w:tc>
          <w:tcPr>
            <w:tcW w:w="1600" w:type="dxa"/>
            <w:vAlign w:val="center"/>
          </w:tcPr>
          <w:p w14:paraId="086C5BD3" w14:textId="77777777" w:rsidR="009678D3" w:rsidRPr="00E2736C" w:rsidRDefault="009678D3" w:rsidP="009678D3">
            <w:pPr>
              <w:jc w:val="center"/>
              <w:rPr>
                <w:b/>
                <w:sz w:val="22"/>
                <w:szCs w:val="22"/>
              </w:rPr>
            </w:pPr>
            <w:r w:rsidRPr="00E2736C">
              <w:rPr>
                <w:b/>
                <w:sz w:val="22"/>
                <w:szCs w:val="22"/>
              </w:rPr>
              <w:t>NO APLICA</w:t>
            </w:r>
          </w:p>
        </w:tc>
      </w:tr>
      <w:tr w:rsidR="009678D3" w:rsidRPr="00E2736C" w14:paraId="53D66E03" w14:textId="77777777" w:rsidTr="009678D3">
        <w:tc>
          <w:tcPr>
            <w:tcW w:w="5160" w:type="dxa"/>
            <w:vMerge/>
            <w:tcBorders>
              <w:left w:val="single" w:sz="4" w:space="0" w:color="auto"/>
              <w:bottom w:val="single" w:sz="4" w:space="0" w:color="auto"/>
            </w:tcBorders>
          </w:tcPr>
          <w:p w14:paraId="0FEA7D0B" w14:textId="77777777" w:rsidR="009678D3" w:rsidRPr="00E2736C" w:rsidRDefault="009678D3" w:rsidP="009678D3">
            <w:pPr>
              <w:rPr>
                <w:sz w:val="22"/>
                <w:szCs w:val="22"/>
              </w:rPr>
            </w:pPr>
          </w:p>
        </w:tc>
        <w:tc>
          <w:tcPr>
            <w:tcW w:w="1600" w:type="dxa"/>
            <w:vAlign w:val="center"/>
          </w:tcPr>
          <w:p w14:paraId="31CBC1B9" w14:textId="77777777" w:rsidR="009678D3" w:rsidRPr="00E2736C" w:rsidRDefault="009678D3" w:rsidP="009678D3">
            <w:pPr>
              <w:jc w:val="center"/>
              <w:rPr>
                <w:sz w:val="22"/>
                <w:szCs w:val="22"/>
              </w:rPr>
            </w:pPr>
          </w:p>
        </w:tc>
        <w:tc>
          <w:tcPr>
            <w:tcW w:w="1600" w:type="dxa"/>
            <w:vAlign w:val="center"/>
          </w:tcPr>
          <w:p w14:paraId="70D3AEEB" w14:textId="77777777" w:rsidR="009678D3" w:rsidRPr="00E2736C" w:rsidRDefault="009678D3" w:rsidP="009678D3">
            <w:pPr>
              <w:jc w:val="center"/>
              <w:rPr>
                <w:sz w:val="22"/>
                <w:szCs w:val="22"/>
              </w:rPr>
            </w:pPr>
          </w:p>
        </w:tc>
        <w:tc>
          <w:tcPr>
            <w:tcW w:w="1600" w:type="dxa"/>
            <w:vAlign w:val="center"/>
          </w:tcPr>
          <w:p w14:paraId="03EA6FFA" w14:textId="77777777" w:rsidR="009678D3" w:rsidRPr="00E2736C" w:rsidRDefault="009678D3" w:rsidP="009678D3">
            <w:pPr>
              <w:jc w:val="center"/>
              <w:rPr>
                <w:sz w:val="22"/>
                <w:szCs w:val="22"/>
              </w:rPr>
            </w:pPr>
          </w:p>
        </w:tc>
      </w:tr>
    </w:tbl>
    <w:p w14:paraId="644738A9" w14:textId="77777777" w:rsidR="009678D3" w:rsidRPr="00E2736C" w:rsidRDefault="009678D3" w:rsidP="009678D3">
      <w:pPr>
        <w:rPr>
          <w:sz w:val="16"/>
          <w:szCs w:val="16"/>
        </w:rPr>
      </w:pPr>
    </w:p>
    <w:tbl>
      <w:tblPr>
        <w:tblStyle w:val="Tablaconcuadrcula"/>
        <w:tblW w:w="9960" w:type="dxa"/>
        <w:tblInd w:w="108" w:type="dxa"/>
        <w:tblLook w:val="01E0" w:firstRow="1" w:lastRow="1" w:firstColumn="1" w:lastColumn="1" w:noHBand="0" w:noVBand="0"/>
      </w:tblPr>
      <w:tblGrid>
        <w:gridCol w:w="360"/>
        <w:gridCol w:w="9600"/>
      </w:tblGrid>
      <w:tr w:rsidR="009678D3" w:rsidRPr="00E2736C" w14:paraId="062E8E79" w14:textId="77777777" w:rsidTr="009678D3">
        <w:tc>
          <w:tcPr>
            <w:tcW w:w="360" w:type="dxa"/>
            <w:shd w:val="clear" w:color="auto" w:fill="00FFFF"/>
            <w:vAlign w:val="center"/>
          </w:tcPr>
          <w:p w14:paraId="1B55A7DA" w14:textId="77777777" w:rsidR="009678D3" w:rsidRPr="00E2736C" w:rsidRDefault="009678D3" w:rsidP="009678D3">
            <w:pPr>
              <w:pStyle w:val="TITULOGENERAL"/>
              <w:spacing w:before="0" w:after="0"/>
              <w:rPr>
                <w:rFonts w:ascii="Times New Roman" w:hAnsi="Times New Roman" w:cs="Times New Roman"/>
                <w:sz w:val="22"/>
                <w:szCs w:val="22"/>
              </w:rPr>
            </w:pPr>
          </w:p>
        </w:tc>
        <w:tc>
          <w:tcPr>
            <w:tcW w:w="9600" w:type="dxa"/>
            <w:shd w:val="clear" w:color="auto" w:fill="00FFFF"/>
            <w:vAlign w:val="center"/>
          </w:tcPr>
          <w:p w14:paraId="401524B8"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 xml:space="preserve">Resultados de </w:t>
            </w:r>
            <w:smartTag w:uri="urn:schemas-microsoft-com:office:smarttags" w:element="PersonName">
              <w:smartTagPr>
                <w:attr w:name="ProductID" w:val="la Evaluaci￳n"/>
              </w:smartTagPr>
              <w:r w:rsidRPr="00E2736C">
                <w:rPr>
                  <w:rFonts w:ascii="Times New Roman" w:hAnsi="Times New Roman" w:cs="Times New Roman"/>
                  <w:sz w:val="22"/>
                  <w:szCs w:val="22"/>
                </w:rPr>
                <w:t>la Evaluación</w:t>
              </w:r>
            </w:smartTag>
            <w:r w:rsidRPr="00E2736C">
              <w:rPr>
                <w:rFonts w:ascii="Times New Roman" w:hAnsi="Times New Roman" w:cs="Times New Roman"/>
                <w:sz w:val="22"/>
                <w:szCs w:val="22"/>
              </w:rPr>
              <w:t xml:space="preserve"> del Emplazamiento</w:t>
            </w:r>
          </w:p>
        </w:tc>
      </w:tr>
      <w:tr w:rsidR="009678D3" w:rsidRPr="00E2736C" w14:paraId="13B977FC" w14:textId="77777777" w:rsidTr="009678D3">
        <w:tc>
          <w:tcPr>
            <w:tcW w:w="360" w:type="dxa"/>
            <w:vAlign w:val="center"/>
          </w:tcPr>
          <w:p w14:paraId="431C7373"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3585E529"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6CB51C53" w14:textId="77777777" w:rsidR="009678D3" w:rsidRDefault="009678D3" w:rsidP="009678D3">
            <w:pPr>
              <w:pStyle w:val="TITULOGENERAL"/>
              <w:spacing w:before="0" w:after="0"/>
              <w:jc w:val="left"/>
              <w:rPr>
                <w:rFonts w:ascii="Times New Roman" w:hAnsi="Times New Roman" w:cs="Times New Roman"/>
                <w:b w:val="0"/>
                <w:sz w:val="22"/>
                <w:szCs w:val="22"/>
              </w:rPr>
            </w:pPr>
          </w:p>
          <w:p w14:paraId="7B0C927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2C5BB1E1" w14:textId="77777777" w:rsidR="009678D3" w:rsidRDefault="009678D3" w:rsidP="009678D3">
            <w:pPr>
              <w:pStyle w:val="TITULOGENERAL"/>
              <w:spacing w:before="0" w:after="0"/>
              <w:jc w:val="left"/>
              <w:rPr>
                <w:rFonts w:ascii="Times New Roman" w:hAnsi="Times New Roman" w:cs="Times New Roman"/>
                <w:b w:val="0"/>
                <w:sz w:val="22"/>
                <w:szCs w:val="22"/>
              </w:rPr>
            </w:pPr>
          </w:p>
          <w:p w14:paraId="54C3C5B3"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Sismicidad</w:t>
            </w:r>
          </w:p>
          <w:p w14:paraId="7584505F"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Deslizamientos</w:t>
            </w:r>
          </w:p>
          <w:p w14:paraId="700C3F6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Vulcanismo</w:t>
            </w:r>
          </w:p>
          <w:p w14:paraId="20E8314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Mar y lagos</w:t>
            </w:r>
          </w:p>
          <w:p w14:paraId="06B622F8"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Fuentes de contaminación</w:t>
            </w:r>
          </w:p>
          <w:p w14:paraId="146838D9"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  Marco legal(Legalidad del Terreno)</w:t>
            </w:r>
          </w:p>
          <w:p w14:paraId="7D598B82" w14:textId="77777777" w:rsidR="009678D3" w:rsidRDefault="009678D3" w:rsidP="009678D3">
            <w:pPr>
              <w:pStyle w:val="TITULOGENERAL"/>
              <w:spacing w:before="0" w:after="0"/>
              <w:jc w:val="left"/>
              <w:rPr>
                <w:rFonts w:ascii="Times New Roman" w:hAnsi="Times New Roman" w:cs="Times New Roman"/>
                <w:b w:val="0"/>
                <w:sz w:val="22"/>
                <w:szCs w:val="22"/>
              </w:rPr>
            </w:pPr>
          </w:p>
          <w:p w14:paraId="6F4A00A5"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p>
          <w:p w14:paraId="0507B50D" w14:textId="77777777" w:rsidR="009678D3" w:rsidRPr="00E2736C"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67D386FD" w14:textId="77777777" w:rsidTr="009678D3">
        <w:tc>
          <w:tcPr>
            <w:tcW w:w="360" w:type="dxa"/>
            <w:vAlign w:val="center"/>
          </w:tcPr>
          <w:p w14:paraId="4D3CC43B"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2F40E26D"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 xml:space="preserve">Valores entre 1.6 y 2.0 significa que el sitio donde se propone emplazar el proyecto es peligroso ya que tiene algunos riesgos a desastres y/o existen limitaciones ambientales que pueden eventualmente lesionar </w:t>
            </w:r>
            <w:r>
              <w:rPr>
                <w:rFonts w:ascii="Times New Roman" w:hAnsi="Times New Roman" w:cs="Times New Roman"/>
                <w:b w:val="0"/>
                <w:sz w:val="22"/>
                <w:szCs w:val="22"/>
              </w:rPr>
              <w:lastRenderedPageBreak/>
              <w:t>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673B4504" w14:textId="77777777" w:rsidR="009678D3"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23BBC637" w14:textId="77777777" w:rsidTr="009678D3">
        <w:tc>
          <w:tcPr>
            <w:tcW w:w="360" w:type="dxa"/>
            <w:vAlign w:val="center"/>
          </w:tcPr>
          <w:p w14:paraId="38EE7E43"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306EAED3"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2135B05E" w14:textId="77777777" w:rsidR="009678D3"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31D67043" w14:textId="77777777" w:rsidTr="009678D3">
        <w:tc>
          <w:tcPr>
            <w:tcW w:w="360" w:type="dxa"/>
            <w:vAlign w:val="center"/>
          </w:tcPr>
          <w:p w14:paraId="75AFEB11"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78D9E92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5AD17DDD" w14:textId="77777777" w:rsidR="009678D3" w:rsidRDefault="009678D3" w:rsidP="009678D3">
            <w:pPr>
              <w:pStyle w:val="TITULOGENERAL"/>
              <w:spacing w:before="0" w:after="0"/>
              <w:jc w:val="left"/>
              <w:rPr>
                <w:rFonts w:ascii="Times New Roman" w:hAnsi="Times New Roman" w:cs="Times New Roman"/>
                <w:b w:val="0"/>
                <w:sz w:val="22"/>
                <w:szCs w:val="22"/>
              </w:rPr>
            </w:pPr>
          </w:p>
        </w:tc>
      </w:tr>
    </w:tbl>
    <w:p w14:paraId="0A9D802D" w14:textId="77777777" w:rsidR="009678D3" w:rsidRPr="00E2736C" w:rsidRDefault="009678D3" w:rsidP="009678D3">
      <w:pPr>
        <w:rPr>
          <w:sz w:val="16"/>
          <w:szCs w:val="16"/>
        </w:rPr>
      </w:pPr>
    </w:p>
    <w:p w14:paraId="574AFCE9" w14:textId="77777777" w:rsidR="009678D3" w:rsidRPr="00E2736C" w:rsidRDefault="009678D3" w:rsidP="009678D3">
      <w:pPr>
        <w:rPr>
          <w:b/>
          <w:sz w:val="22"/>
          <w:szCs w:val="22"/>
        </w:rPr>
      </w:pPr>
      <w:r w:rsidRPr="00E2736C">
        <w:rPr>
          <w:b/>
          <w:sz w:val="22"/>
          <w:szCs w:val="22"/>
        </w:rPr>
        <w:t xml:space="preserve">Fuentes de Riesgos con Valor 1 en </w:t>
      </w:r>
      <w:smartTag w:uri="urn:schemas-microsoft-com:office:smarttags" w:element="PersonName">
        <w:smartTagPr>
          <w:attr w:name="ProductID" w:val="la Evaluaci￳n"/>
        </w:smartTagPr>
        <w:r w:rsidRPr="00E2736C">
          <w:rPr>
            <w:b/>
            <w:sz w:val="22"/>
            <w:szCs w:val="22"/>
          </w:rPr>
          <w:t>la Evaluación</w:t>
        </w:r>
      </w:smartTag>
      <w:r w:rsidRPr="00E2736C">
        <w:rPr>
          <w:b/>
          <w:sz w:val="22"/>
          <w:szCs w:val="22"/>
        </w:rPr>
        <w:t xml:space="preserve"> del Emplazamiento:</w:t>
      </w:r>
    </w:p>
    <w:p w14:paraId="72D56A2E" w14:textId="77777777" w:rsidR="009678D3" w:rsidRPr="00E2736C" w:rsidRDefault="009678D3" w:rsidP="009678D3">
      <w:pPr>
        <w:rPr>
          <w:sz w:val="16"/>
          <w:szCs w:val="16"/>
        </w:rPr>
      </w:pPr>
    </w:p>
    <w:tbl>
      <w:tblPr>
        <w:tblStyle w:val="Tablaconcuadrcula"/>
        <w:tblW w:w="9960" w:type="dxa"/>
        <w:tblInd w:w="108" w:type="dxa"/>
        <w:tblLook w:val="01E0" w:firstRow="1" w:lastRow="1" w:firstColumn="1" w:lastColumn="1" w:noHBand="0" w:noVBand="0"/>
      </w:tblPr>
      <w:tblGrid>
        <w:gridCol w:w="360"/>
        <w:gridCol w:w="9600"/>
      </w:tblGrid>
      <w:tr w:rsidR="009678D3" w:rsidRPr="00E2736C" w14:paraId="4CAF0371" w14:textId="77777777" w:rsidTr="009678D3">
        <w:tc>
          <w:tcPr>
            <w:tcW w:w="360" w:type="dxa"/>
            <w:shd w:val="clear" w:color="auto" w:fill="00FFFF"/>
            <w:vAlign w:val="center"/>
          </w:tcPr>
          <w:p w14:paraId="00576A5D" w14:textId="77777777" w:rsidR="009678D3" w:rsidRPr="00E2736C" w:rsidRDefault="009678D3" w:rsidP="009678D3">
            <w:pPr>
              <w:pStyle w:val="TITULOGENERAL"/>
              <w:spacing w:before="0" w:after="0"/>
              <w:rPr>
                <w:rFonts w:ascii="Times New Roman" w:hAnsi="Times New Roman" w:cs="Times New Roman"/>
                <w:sz w:val="22"/>
                <w:szCs w:val="22"/>
              </w:rPr>
            </w:pPr>
          </w:p>
        </w:tc>
        <w:tc>
          <w:tcPr>
            <w:tcW w:w="9600" w:type="dxa"/>
            <w:shd w:val="clear" w:color="auto" w:fill="00FFFF"/>
            <w:vAlign w:val="center"/>
          </w:tcPr>
          <w:p w14:paraId="34982ACE"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Fuentes de Riesgos</w:t>
            </w:r>
          </w:p>
        </w:tc>
      </w:tr>
      <w:tr w:rsidR="009678D3" w:rsidRPr="00E2736C" w14:paraId="78B65BDB" w14:textId="77777777" w:rsidTr="009678D3">
        <w:tc>
          <w:tcPr>
            <w:tcW w:w="360" w:type="dxa"/>
            <w:vAlign w:val="center"/>
          </w:tcPr>
          <w:p w14:paraId="7123EFC6"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0AB26416"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Ninguna</w:t>
            </w:r>
          </w:p>
        </w:tc>
      </w:tr>
      <w:tr w:rsidR="009678D3" w:rsidRPr="00E2736C" w14:paraId="00437366" w14:textId="77777777" w:rsidTr="009678D3">
        <w:tc>
          <w:tcPr>
            <w:tcW w:w="360" w:type="dxa"/>
            <w:vAlign w:val="center"/>
          </w:tcPr>
          <w:p w14:paraId="06EEE5C9"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15F2020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Sismicidad</w:t>
            </w:r>
          </w:p>
        </w:tc>
      </w:tr>
      <w:tr w:rsidR="009678D3" w:rsidRPr="00E2736C" w14:paraId="7D207D62" w14:textId="77777777" w:rsidTr="009678D3">
        <w:tc>
          <w:tcPr>
            <w:tcW w:w="360" w:type="dxa"/>
            <w:vAlign w:val="center"/>
          </w:tcPr>
          <w:p w14:paraId="36AEC8C7"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6A59410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Deslizamientos</w:t>
            </w:r>
          </w:p>
        </w:tc>
      </w:tr>
      <w:tr w:rsidR="009678D3" w:rsidRPr="00E2736C" w14:paraId="08670C0A" w14:textId="77777777" w:rsidTr="009678D3">
        <w:tc>
          <w:tcPr>
            <w:tcW w:w="360" w:type="dxa"/>
            <w:vAlign w:val="center"/>
          </w:tcPr>
          <w:p w14:paraId="6277229E"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0F77F7B8"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Mar y Lagos</w:t>
            </w:r>
          </w:p>
        </w:tc>
      </w:tr>
      <w:tr w:rsidR="009678D3" w:rsidRPr="00E2736C" w14:paraId="3F6F1F33" w14:textId="77777777" w:rsidTr="009678D3">
        <w:tc>
          <w:tcPr>
            <w:tcW w:w="360" w:type="dxa"/>
            <w:vAlign w:val="center"/>
          </w:tcPr>
          <w:p w14:paraId="744585F7"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2A3146A0"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Fuentes de Contaminación</w:t>
            </w:r>
          </w:p>
        </w:tc>
      </w:tr>
      <w:tr w:rsidR="009678D3" w:rsidRPr="00E2736C" w14:paraId="77261F56" w14:textId="77777777" w:rsidTr="009678D3">
        <w:tc>
          <w:tcPr>
            <w:tcW w:w="360" w:type="dxa"/>
            <w:vAlign w:val="center"/>
          </w:tcPr>
          <w:p w14:paraId="250CAE69"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728BC589"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Inundación</w:t>
            </w:r>
          </w:p>
        </w:tc>
      </w:tr>
      <w:tr w:rsidR="009678D3" w:rsidRPr="00E2736C" w14:paraId="4702C192" w14:textId="77777777" w:rsidTr="009678D3">
        <w:tc>
          <w:tcPr>
            <w:tcW w:w="360" w:type="dxa"/>
            <w:vAlign w:val="center"/>
          </w:tcPr>
          <w:p w14:paraId="0C8D2F24" w14:textId="77777777" w:rsidR="009678D3" w:rsidRPr="00E2736C" w:rsidRDefault="009678D3" w:rsidP="009678D3">
            <w:pPr>
              <w:pStyle w:val="TITULOGENERAL"/>
              <w:spacing w:before="0" w:after="0"/>
              <w:rPr>
                <w:rFonts w:ascii="Times New Roman" w:hAnsi="Times New Roman" w:cs="Times New Roman"/>
                <w:b w:val="0"/>
                <w:sz w:val="22"/>
                <w:szCs w:val="22"/>
              </w:rPr>
            </w:pPr>
          </w:p>
        </w:tc>
        <w:tc>
          <w:tcPr>
            <w:tcW w:w="9600" w:type="dxa"/>
            <w:vAlign w:val="center"/>
          </w:tcPr>
          <w:p w14:paraId="1F562629"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Otras (Especifique)</w:t>
            </w:r>
          </w:p>
        </w:tc>
      </w:tr>
    </w:tbl>
    <w:p w14:paraId="4FC8CD3D" w14:textId="77777777" w:rsidR="009678D3" w:rsidRPr="00E2736C" w:rsidRDefault="009678D3" w:rsidP="009678D3">
      <w:pPr>
        <w:rPr>
          <w:sz w:val="16"/>
          <w:szCs w:val="16"/>
        </w:rPr>
      </w:pPr>
    </w:p>
    <w:tbl>
      <w:tblPr>
        <w:tblStyle w:val="Tablaconcuadrcula"/>
        <w:tblW w:w="9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60"/>
      </w:tblGrid>
      <w:tr w:rsidR="009678D3" w:rsidRPr="00E2736C" w14:paraId="0CB76D10" w14:textId="77777777" w:rsidTr="009678D3">
        <w:tc>
          <w:tcPr>
            <w:tcW w:w="9960" w:type="dxa"/>
          </w:tcPr>
          <w:p w14:paraId="657676C6" w14:textId="77777777" w:rsidR="009678D3" w:rsidRPr="00C84F94" w:rsidRDefault="009678D3" w:rsidP="009678D3">
            <w:pPr>
              <w:rPr>
                <w:sz w:val="16"/>
                <w:szCs w:val="16"/>
              </w:rPr>
            </w:pPr>
            <w:r w:rsidRPr="00E2736C">
              <w:rPr>
                <w:b/>
                <w:sz w:val="22"/>
                <w:szCs w:val="22"/>
              </w:rPr>
              <w:t xml:space="preserve">Especificación de Otras Fuentes de Riesgos: </w:t>
            </w:r>
          </w:p>
        </w:tc>
      </w:tr>
    </w:tbl>
    <w:p w14:paraId="73DFBE33" w14:textId="77777777" w:rsidR="009678D3" w:rsidRPr="00E2736C" w:rsidRDefault="009678D3" w:rsidP="009678D3">
      <w:pPr>
        <w:rPr>
          <w:sz w:val="16"/>
          <w:szCs w:val="16"/>
        </w:rPr>
      </w:pPr>
    </w:p>
    <w:p w14:paraId="69909DFD"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ACCESOS Y MEDIOS DE TRANSPORTE DE MANAGUA AL PROYECTO</w:t>
      </w:r>
    </w:p>
    <w:tbl>
      <w:tblPr>
        <w:tblStyle w:val="Tablaconcuadrcula"/>
        <w:tblW w:w="10080" w:type="dxa"/>
        <w:tblInd w:w="108" w:type="dxa"/>
        <w:tblLayout w:type="fixed"/>
        <w:tblLook w:val="01E0" w:firstRow="1" w:lastRow="1" w:firstColumn="1" w:lastColumn="1" w:noHBand="0" w:noVBand="0"/>
      </w:tblPr>
      <w:tblGrid>
        <w:gridCol w:w="2760"/>
        <w:gridCol w:w="1080"/>
        <w:gridCol w:w="1080"/>
        <w:gridCol w:w="1032"/>
        <w:gridCol w:w="1032"/>
        <w:gridCol w:w="1032"/>
        <w:gridCol w:w="1032"/>
        <w:gridCol w:w="1032"/>
      </w:tblGrid>
      <w:tr w:rsidR="009678D3" w:rsidRPr="00E2736C" w14:paraId="4E7DC166" w14:textId="77777777" w:rsidTr="009678D3">
        <w:tc>
          <w:tcPr>
            <w:tcW w:w="2760" w:type="dxa"/>
            <w:vMerge w:val="restart"/>
            <w:shd w:val="clear" w:color="auto" w:fill="00FFFF"/>
            <w:vAlign w:val="center"/>
          </w:tcPr>
          <w:p w14:paraId="6C09EFAA" w14:textId="77777777" w:rsidR="009678D3" w:rsidRPr="00076698" w:rsidRDefault="009678D3" w:rsidP="009678D3">
            <w:pPr>
              <w:jc w:val="center"/>
              <w:rPr>
                <w:b/>
              </w:rPr>
            </w:pPr>
            <w:r w:rsidRPr="00076698">
              <w:rPr>
                <w:b/>
              </w:rPr>
              <w:t>Tipos de Accesos</w:t>
            </w:r>
          </w:p>
        </w:tc>
        <w:tc>
          <w:tcPr>
            <w:tcW w:w="1080" w:type="dxa"/>
            <w:vMerge w:val="restart"/>
            <w:shd w:val="clear" w:color="auto" w:fill="00FFFF"/>
            <w:vAlign w:val="center"/>
          </w:tcPr>
          <w:p w14:paraId="543C3728" w14:textId="77777777" w:rsidR="009678D3" w:rsidRPr="00076698" w:rsidRDefault="009678D3" w:rsidP="009678D3">
            <w:pPr>
              <w:jc w:val="center"/>
              <w:rPr>
                <w:b/>
              </w:rPr>
            </w:pPr>
            <w:r w:rsidRPr="00076698">
              <w:rPr>
                <w:b/>
              </w:rPr>
              <w:t>Distancia (Kms)</w:t>
            </w:r>
          </w:p>
        </w:tc>
        <w:tc>
          <w:tcPr>
            <w:tcW w:w="1080" w:type="dxa"/>
            <w:vMerge w:val="restart"/>
            <w:shd w:val="clear" w:color="auto" w:fill="00FFFF"/>
            <w:vAlign w:val="center"/>
          </w:tcPr>
          <w:p w14:paraId="251CD0AD" w14:textId="77777777" w:rsidR="009678D3" w:rsidRPr="00076698" w:rsidRDefault="009678D3" w:rsidP="009678D3">
            <w:pPr>
              <w:jc w:val="center"/>
              <w:rPr>
                <w:b/>
              </w:rPr>
            </w:pPr>
            <w:r w:rsidRPr="00076698">
              <w:rPr>
                <w:b/>
              </w:rPr>
              <w:t>Tiempo (Hrs)</w:t>
            </w:r>
          </w:p>
        </w:tc>
        <w:tc>
          <w:tcPr>
            <w:tcW w:w="5160" w:type="dxa"/>
            <w:gridSpan w:val="5"/>
            <w:shd w:val="clear" w:color="auto" w:fill="00FFFF"/>
          </w:tcPr>
          <w:p w14:paraId="5D7E39D6" w14:textId="77777777" w:rsidR="009678D3" w:rsidRPr="00076698" w:rsidRDefault="009678D3" w:rsidP="009678D3">
            <w:pPr>
              <w:jc w:val="center"/>
              <w:rPr>
                <w:b/>
              </w:rPr>
            </w:pPr>
            <w:r w:rsidRPr="00076698">
              <w:rPr>
                <w:b/>
              </w:rPr>
              <w:t>Medios de transporte  (Marcar con una X)</w:t>
            </w:r>
          </w:p>
        </w:tc>
      </w:tr>
      <w:tr w:rsidR="009678D3" w:rsidRPr="00E2736C" w14:paraId="7FF2353A" w14:textId="77777777" w:rsidTr="009678D3">
        <w:tc>
          <w:tcPr>
            <w:tcW w:w="2760" w:type="dxa"/>
            <w:vMerge/>
            <w:shd w:val="clear" w:color="auto" w:fill="00FFFF"/>
          </w:tcPr>
          <w:p w14:paraId="49714D28" w14:textId="77777777" w:rsidR="009678D3" w:rsidRPr="00076698" w:rsidRDefault="009678D3" w:rsidP="009678D3">
            <w:pPr>
              <w:rPr>
                <w:b/>
              </w:rPr>
            </w:pPr>
          </w:p>
        </w:tc>
        <w:tc>
          <w:tcPr>
            <w:tcW w:w="1080" w:type="dxa"/>
            <w:vMerge/>
            <w:shd w:val="clear" w:color="auto" w:fill="00FFFF"/>
          </w:tcPr>
          <w:p w14:paraId="1AA9CEFA" w14:textId="77777777" w:rsidR="009678D3" w:rsidRPr="00076698" w:rsidRDefault="009678D3" w:rsidP="009678D3">
            <w:pPr>
              <w:rPr>
                <w:b/>
              </w:rPr>
            </w:pPr>
          </w:p>
        </w:tc>
        <w:tc>
          <w:tcPr>
            <w:tcW w:w="1080" w:type="dxa"/>
            <w:vMerge/>
            <w:shd w:val="clear" w:color="auto" w:fill="00FFFF"/>
          </w:tcPr>
          <w:p w14:paraId="7F75FF52" w14:textId="77777777" w:rsidR="009678D3" w:rsidRPr="00076698" w:rsidRDefault="009678D3" w:rsidP="009678D3">
            <w:pPr>
              <w:rPr>
                <w:b/>
              </w:rPr>
            </w:pPr>
          </w:p>
        </w:tc>
        <w:tc>
          <w:tcPr>
            <w:tcW w:w="1032" w:type="dxa"/>
            <w:shd w:val="clear" w:color="auto" w:fill="00FFFF"/>
            <w:vAlign w:val="center"/>
          </w:tcPr>
          <w:p w14:paraId="6CD0D6F6" w14:textId="77777777" w:rsidR="009678D3" w:rsidRPr="00076698" w:rsidRDefault="009678D3" w:rsidP="009678D3">
            <w:pPr>
              <w:jc w:val="center"/>
              <w:rPr>
                <w:b/>
              </w:rPr>
            </w:pPr>
            <w:r w:rsidRPr="00076698">
              <w:rPr>
                <w:b/>
              </w:rPr>
              <w:t>Vehículo</w:t>
            </w:r>
          </w:p>
        </w:tc>
        <w:tc>
          <w:tcPr>
            <w:tcW w:w="1032" w:type="dxa"/>
            <w:shd w:val="clear" w:color="auto" w:fill="00FFFF"/>
            <w:vAlign w:val="center"/>
          </w:tcPr>
          <w:p w14:paraId="22D3840B" w14:textId="77777777" w:rsidR="009678D3" w:rsidRPr="00076698" w:rsidRDefault="009678D3" w:rsidP="009678D3">
            <w:pPr>
              <w:jc w:val="center"/>
              <w:rPr>
                <w:b/>
              </w:rPr>
            </w:pPr>
            <w:r w:rsidRPr="00076698">
              <w:rPr>
                <w:b/>
              </w:rPr>
              <w:t xml:space="preserve">Aéreo </w:t>
            </w:r>
          </w:p>
        </w:tc>
        <w:tc>
          <w:tcPr>
            <w:tcW w:w="1032" w:type="dxa"/>
            <w:shd w:val="clear" w:color="auto" w:fill="00FFFF"/>
            <w:vAlign w:val="center"/>
          </w:tcPr>
          <w:p w14:paraId="277D6A65" w14:textId="77777777" w:rsidR="009678D3" w:rsidRPr="00076698" w:rsidRDefault="009678D3" w:rsidP="009678D3">
            <w:pPr>
              <w:jc w:val="center"/>
              <w:rPr>
                <w:b/>
              </w:rPr>
            </w:pPr>
            <w:r w:rsidRPr="00076698">
              <w:rPr>
                <w:b/>
              </w:rPr>
              <w:t xml:space="preserve">Acuático </w:t>
            </w:r>
          </w:p>
        </w:tc>
        <w:tc>
          <w:tcPr>
            <w:tcW w:w="1032" w:type="dxa"/>
            <w:shd w:val="clear" w:color="auto" w:fill="00FFFF"/>
            <w:vAlign w:val="center"/>
          </w:tcPr>
          <w:p w14:paraId="11677AB6" w14:textId="77777777" w:rsidR="009678D3" w:rsidRPr="00076698" w:rsidRDefault="009678D3" w:rsidP="009678D3">
            <w:pPr>
              <w:jc w:val="center"/>
              <w:rPr>
                <w:b/>
              </w:rPr>
            </w:pPr>
            <w:r w:rsidRPr="00076698">
              <w:rPr>
                <w:b/>
              </w:rPr>
              <w:t>A pie</w:t>
            </w:r>
          </w:p>
        </w:tc>
        <w:tc>
          <w:tcPr>
            <w:tcW w:w="1032" w:type="dxa"/>
            <w:shd w:val="clear" w:color="auto" w:fill="00FFFF"/>
            <w:vAlign w:val="center"/>
          </w:tcPr>
          <w:p w14:paraId="49DB5FAC" w14:textId="77777777" w:rsidR="009678D3" w:rsidRPr="00076698" w:rsidRDefault="009678D3" w:rsidP="009678D3">
            <w:pPr>
              <w:jc w:val="center"/>
              <w:rPr>
                <w:b/>
              </w:rPr>
            </w:pPr>
            <w:r w:rsidRPr="00076698">
              <w:rPr>
                <w:b/>
              </w:rPr>
              <w:t>En bestia</w:t>
            </w:r>
          </w:p>
        </w:tc>
      </w:tr>
      <w:tr w:rsidR="009678D3" w:rsidRPr="00E2736C" w14:paraId="36000F28" w14:textId="77777777" w:rsidTr="009678D3">
        <w:tc>
          <w:tcPr>
            <w:tcW w:w="2760" w:type="dxa"/>
            <w:vAlign w:val="center"/>
          </w:tcPr>
          <w:p w14:paraId="09F0F9EB" w14:textId="77777777" w:rsidR="009678D3" w:rsidRPr="00076698" w:rsidRDefault="009678D3" w:rsidP="009678D3">
            <w:r>
              <w:t>Combinada</w:t>
            </w:r>
          </w:p>
        </w:tc>
        <w:tc>
          <w:tcPr>
            <w:tcW w:w="1080" w:type="dxa"/>
            <w:vAlign w:val="center"/>
          </w:tcPr>
          <w:p w14:paraId="7CB06BFB" w14:textId="77777777" w:rsidR="009678D3" w:rsidRPr="00076698" w:rsidRDefault="009678D3" w:rsidP="009678D3">
            <w:pPr>
              <w:jc w:val="right"/>
            </w:pPr>
            <w:r>
              <w:t>50.00</w:t>
            </w:r>
          </w:p>
        </w:tc>
        <w:tc>
          <w:tcPr>
            <w:tcW w:w="1080" w:type="dxa"/>
            <w:vAlign w:val="center"/>
          </w:tcPr>
          <w:p w14:paraId="172B848E" w14:textId="77777777" w:rsidR="009678D3" w:rsidRPr="00076698" w:rsidRDefault="009678D3" w:rsidP="009678D3">
            <w:pPr>
              <w:jc w:val="right"/>
            </w:pPr>
            <w:r>
              <w:t>1.50</w:t>
            </w:r>
          </w:p>
        </w:tc>
        <w:tc>
          <w:tcPr>
            <w:tcW w:w="1032" w:type="dxa"/>
            <w:vAlign w:val="center"/>
          </w:tcPr>
          <w:p w14:paraId="7B890589" w14:textId="77777777" w:rsidR="009678D3" w:rsidRPr="00076698" w:rsidRDefault="009678D3" w:rsidP="009678D3">
            <w:pPr>
              <w:jc w:val="center"/>
            </w:pPr>
            <w:r>
              <w:t>X</w:t>
            </w:r>
          </w:p>
        </w:tc>
        <w:tc>
          <w:tcPr>
            <w:tcW w:w="1032" w:type="dxa"/>
            <w:vAlign w:val="center"/>
          </w:tcPr>
          <w:p w14:paraId="52A663B0" w14:textId="77777777" w:rsidR="009678D3" w:rsidRPr="00076698" w:rsidRDefault="009678D3" w:rsidP="009678D3">
            <w:pPr>
              <w:jc w:val="center"/>
            </w:pPr>
          </w:p>
        </w:tc>
        <w:tc>
          <w:tcPr>
            <w:tcW w:w="1032" w:type="dxa"/>
            <w:vAlign w:val="center"/>
          </w:tcPr>
          <w:p w14:paraId="544B27C9" w14:textId="77777777" w:rsidR="009678D3" w:rsidRPr="00076698" w:rsidRDefault="009678D3" w:rsidP="009678D3">
            <w:pPr>
              <w:jc w:val="center"/>
            </w:pPr>
          </w:p>
        </w:tc>
        <w:tc>
          <w:tcPr>
            <w:tcW w:w="1032" w:type="dxa"/>
            <w:vAlign w:val="center"/>
          </w:tcPr>
          <w:p w14:paraId="6242237B" w14:textId="77777777" w:rsidR="009678D3" w:rsidRPr="00076698" w:rsidRDefault="009678D3" w:rsidP="009678D3">
            <w:pPr>
              <w:jc w:val="center"/>
            </w:pPr>
          </w:p>
        </w:tc>
        <w:tc>
          <w:tcPr>
            <w:tcW w:w="1032" w:type="dxa"/>
            <w:vAlign w:val="center"/>
          </w:tcPr>
          <w:p w14:paraId="1E58213E" w14:textId="77777777" w:rsidR="009678D3" w:rsidRPr="00076698" w:rsidRDefault="009678D3" w:rsidP="009678D3">
            <w:pPr>
              <w:jc w:val="center"/>
            </w:pPr>
          </w:p>
        </w:tc>
      </w:tr>
      <w:tr w:rsidR="009678D3" w:rsidRPr="00E2736C" w14:paraId="4019BF90" w14:textId="77777777" w:rsidTr="009678D3">
        <w:tc>
          <w:tcPr>
            <w:tcW w:w="2760" w:type="dxa"/>
            <w:vAlign w:val="center"/>
          </w:tcPr>
          <w:p w14:paraId="3B523DE2" w14:textId="77777777" w:rsidR="009678D3" w:rsidRDefault="009678D3" w:rsidP="009678D3">
            <w:r>
              <w:t>Combinada</w:t>
            </w:r>
          </w:p>
        </w:tc>
        <w:tc>
          <w:tcPr>
            <w:tcW w:w="1080" w:type="dxa"/>
            <w:vAlign w:val="center"/>
          </w:tcPr>
          <w:p w14:paraId="5D1CE476" w14:textId="77777777" w:rsidR="009678D3" w:rsidRDefault="009678D3" w:rsidP="009678D3">
            <w:pPr>
              <w:jc w:val="right"/>
            </w:pPr>
            <w:r>
              <w:t>300.00</w:t>
            </w:r>
          </w:p>
        </w:tc>
        <w:tc>
          <w:tcPr>
            <w:tcW w:w="1080" w:type="dxa"/>
            <w:vAlign w:val="center"/>
          </w:tcPr>
          <w:p w14:paraId="38756925" w14:textId="77777777" w:rsidR="009678D3" w:rsidRDefault="009678D3" w:rsidP="009678D3">
            <w:pPr>
              <w:jc w:val="right"/>
            </w:pPr>
            <w:r>
              <w:t>5.00</w:t>
            </w:r>
          </w:p>
        </w:tc>
        <w:tc>
          <w:tcPr>
            <w:tcW w:w="1032" w:type="dxa"/>
            <w:vAlign w:val="center"/>
          </w:tcPr>
          <w:p w14:paraId="0B4F87F6" w14:textId="77777777" w:rsidR="009678D3" w:rsidRDefault="009678D3" w:rsidP="009678D3">
            <w:pPr>
              <w:jc w:val="center"/>
            </w:pPr>
            <w:r>
              <w:t>X</w:t>
            </w:r>
          </w:p>
        </w:tc>
        <w:tc>
          <w:tcPr>
            <w:tcW w:w="1032" w:type="dxa"/>
            <w:vAlign w:val="center"/>
          </w:tcPr>
          <w:p w14:paraId="051FA1D7" w14:textId="77777777" w:rsidR="009678D3" w:rsidRPr="00076698" w:rsidRDefault="009678D3" w:rsidP="009678D3">
            <w:pPr>
              <w:jc w:val="center"/>
            </w:pPr>
          </w:p>
        </w:tc>
        <w:tc>
          <w:tcPr>
            <w:tcW w:w="1032" w:type="dxa"/>
            <w:vAlign w:val="center"/>
          </w:tcPr>
          <w:p w14:paraId="299074CC" w14:textId="77777777" w:rsidR="009678D3" w:rsidRPr="00076698" w:rsidRDefault="009678D3" w:rsidP="009678D3">
            <w:pPr>
              <w:jc w:val="center"/>
            </w:pPr>
          </w:p>
        </w:tc>
        <w:tc>
          <w:tcPr>
            <w:tcW w:w="1032" w:type="dxa"/>
            <w:vAlign w:val="center"/>
          </w:tcPr>
          <w:p w14:paraId="25DD78B9" w14:textId="77777777" w:rsidR="009678D3" w:rsidRPr="00076698" w:rsidRDefault="009678D3" w:rsidP="009678D3">
            <w:pPr>
              <w:jc w:val="center"/>
            </w:pPr>
          </w:p>
        </w:tc>
        <w:tc>
          <w:tcPr>
            <w:tcW w:w="1032" w:type="dxa"/>
            <w:vAlign w:val="center"/>
          </w:tcPr>
          <w:p w14:paraId="3C6D170A" w14:textId="77777777" w:rsidR="009678D3" w:rsidRPr="00076698" w:rsidRDefault="009678D3" w:rsidP="009678D3">
            <w:pPr>
              <w:jc w:val="center"/>
            </w:pPr>
          </w:p>
        </w:tc>
      </w:tr>
      <w:tr w:rsidR="009678D3" w:rsidRPr="00E2736C" w14:paraId="0C79597E" w14:textId="77777777" w:rsidTr="009678D3">
        <w:tc>
          <w:tcPr>
            <w:tcW w:w="2760" w:type="dxa"/>
            <w:vAlign w:val="center"/>
          </w:tcPr>
          <w:p w14:paraId="36D6C47D" w14:textId="77777777" w:rsidR="009678D3" w:rsidRDefault="009678D3" w:rsidP="009678D3">
            <w:r>
              <w:t>Macadán</w:t>
            </w:r>
          </w:p>
        </w:tc>
        <w:tc>
          <w:tcPr>
            <w:tcW w:w="1080" w:type="dxa"/>
            <w:vAlign w:val="center"/>
          </w:tcPr>
          <w:p w14:paraId="683CCCB2" w14:textId="77777777" w:rsidR="009678D3" w:rsidRDefault="009678D3" w:rsidP="009678D3">
            <w:pPr>
              <w:jc w:val="right"/>
            </w:pPr>
            <w:r>
              <w:t>12.00</w:t>
            </w:r>
          </w:p>
        </w:tc>
        <w:tc>
          <w:tcPr>
            <w:tcW w:w="1080" w:type="dxa"/>
            <w:vAlign w:val="center"/>
          </w:tcPr>
          <w:p w14:paraId="7F85A7F8" w14:textId="77777777" w:rsidR="009678D3" w:rsidRDefault="009678D3" w:rsidP="009678D3">
            <w:pPr>
              <w:jc w:val="right"/>
            </w:pPr>
            <w:r>
              <w:t>0.30</w:t>
            </w:r>
          </w:p>
        </w:tc>
        <w:tc>
          <w:tcPr>
            <w:tcW w:w="1032" w:type="dxa"/>
            <w:vAlign w:val="center"/>
          </w:tcPr>
          <w:p w14:paraId="4589D718" w14:textId="77777777" w:rsidR="009678D3" w:rsidRDefault="009678D3" w:rsidP="009678D3">
            <w:pPr>
              <w:jc w:val="center"/>
            </w:pPr>
            <w:r>
              <w:t>X</w:t>
            </w:r>
          </w:p>
        </w:tc>
        <w:tc>
          <w:tcPr>
            <w:tcW w:w="1032" w:type="dxa"/>
            <w:vAlign w:val="center"/>
          </w:tcPr>
          <w:p w14:paraId="540D9340" w14:textId="77777777" w:rsidR="009678D3" w:rsidRPr="00076698" w:rsidRDefault="009678D3" w:rsidP="009678D3">
            <w:pPr>
              <w:jc w:val="center"/>
            </w:pPr>
          </w:p>
        </w:tc>
        <w:tc>
          <w:tcPr>
            <w:tcW w:w="1032" w:type="dxa"/>
            <w:vAlign w:val="center"/>
          </w:tcPr>
          <w:p w14:paraId="27D6EECB" w14:textId="77777777" w:rsidR="009678D3" w:rsidRPr="00076698" w:rsidRDefault="009678D3" w:rsidP="009678D3">
            <w:pPr>
              <w:jc w:val="center"/>
            </w:pPr>
          </w:p>
        </w:tc>
        <w:tc>
          <w:tcPr>
            <w:tcW w:w="1032" w:type="dxa"/>
            <w:vAlign w:val="center"/>
          </w:tcPr>
          <w:p w14:paraId="7B93B4D7" w14:textId="77777777" w:rsidR="009678D3" w:rsidRPr="00076698" w:rsidRDefault="009678D3" w:rsidP="009678D3">
            <w:pPr>
              <w:jc w:val="center"/>
            </w:pPr>
          </w:p>
        </w:tc>
        <w:tc>
          <w:tcPr>
            <w:tcW w:w="1032" w:type="dxa"/>
            <w:vAlign w:val="center"/>
          </w:tcPr>
          <w:p w14:paraId="6C8D86CD" w14:textId="77777777" w:rsidR="009678D3" w:rsidRPr="00076698" w:rsidRDefault="009678D3" w:rsidP="009678D3">
            <w:pPr>
              <w:jc w:val="center"/>
            </w:pPr>
          </w:p>
        </w:tc>
      </w:tr>
    </w:tbl>
    <w:p w14:paraId="266AE35C" w14:textId="77777777" w:rsidR="009678D3" w:rsidRPr="00C84F94" w:rsidRDefault="009678D3" w:rsidP="009678D3">
      <w:pPr>
        <w:rPr>
          <w:sz w:val="16"/>
          <w:szCs w:val="16"/>
        </w:rPr>
      </w:pPr>
      <w:r w:rsidRPr="00C84F94">
        <w:rPr>
          <w:sz w:val="16"/>
          <w:szCs w:val="16"/>
        </w:rPr>
        <w:t xml:space="preserve"> </w:t>
      </w:r>
    </w:p>
    <w:p w14:paraId="6DA0F6D1"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SERVICIOS DISPONIBLES EN EL ÁREA DE INFLUENCIA DEL PROYECTO</w:t>
      </w:r>
    </w:p>
    <w:tbl>
      <w:tblPr>
        <w:tblStyle w:val="Tablaconcuadrcula"/>
        <w:tblW w:w="0" w:type="auto"/>
        <w:tblInd w:w="108" w:type="dxa"/>
        <w:tblLook w:val="01E0" w:firstRow="1" w:lastRow="1" w:firstColumn="1" w:lastColumn="1" w:noHBand="0" w:noVBand="0"/>
      </w:tblPr>
      <w:tblGrid>
        <w:gridCol w:w="4920"/>
        <w:gridCol w:w="960"/>
      </w:tblGrid>
      <w:tr w:rsidR="009678D3" w:rsidRPr="00E2736C" w14:paraId="0812C6E0" w14:textId="77777777" w:rsidTr="009678D3">
        <w:tc>
          <w:tcPr>
            <w:tcW w:w="4920" w:type="dxa"/>
            <w:shd w:val="clear" w:color="auto" w:fill="00FFFF"/>
            <w:vAlign w:val="center"/>
          </w:tcPr>
          <w:p w14:paraId="5329AB2F"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Servicios disponibles</w:t>
            </w:r>
          </w:p>
        </w:tc>
        <w:tc>
          <w:tcPr>
            <w:tcW w:w="960" w:type="dxa"/>
            <w:shd w:val="clear" w:color="auto" w:fill="00FFFF"/>
            <w:vAlign w:val="center"/>
          </w:tcPr>
          <w:p w14:paraId="0098FC46"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(S / N)</w:t>
            </w:r>
          </w:p>
        </w:tc>
      </w:tr>
      <w:tr w:rsidR="009678D3" w:rsidRPr="00E2736C" w14:paraId="6DB71335" w14:textId="77777777" w:rsidTr="009678D3">
        <w:tc>
          <w:tcPr>
            <w:tcW w:w="4920" w:type="dxa"/>
            <w:vAlign w:val="center"/>
          </w:tcPr>
          <w:p w14:paraId="536430C1"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Escuela Primaria</w:t>
            </w:r>
          </w:p>
        </w:tc>
        <w:tc>
          <w:tcPr>
            <w:tcW w:w="960" w:type="dxa"/>
            <w:vAlign w:val="center"/>
          </w:tcPr>
          <w:p w14:paraId="45AF35FD" w14:textId="77777777" w:rsidR="009678D3" w:rsidRPr="00E2736C"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5D41AA5A" w14:textId="77777777" w:rsidTr="009678D3">
        <w:tc>
          <w:tcPr>
            <w:tcW w:w="4920" w:type="dxa"/>
            <w:vAlign w:val="center"/>
          </w:tcPr>
          <w:p w14:paraId="2368D277"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Puesto de Salud</w:t>
            </w:r>
          </w:p>
        </w:tc>
        <w:tc>
          <w:tcPr>
            <w:tcW w:w="960" w:type="dxa"/>
            <w:vAlign w:val="center"/>
          </w:tcPr>
          <w:p w14:paraId="075EDC9A"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5F94342C" w14:textId="77777777" w:rsidTr="009678D3">
        <w:tc>
          <w:tcPr>
            <w:tcW w:w="4920" w:type="dxa"/>
            <w:vAlign w:val="center"/>
          </w:tcPr>
          <w:p w14:paraId="3B31378E"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Agua Potable</w:t>
            </w:r>
          </w:p>
        </w:tc>
        <w:tc>
          <w:tcPr>
            <w:tcW w:w="960" w:type="dxa"/>
            <w:vAlign w:val="center"/>
          </w:tcPr>
          <w:p w14:paraId="6A2D1BE6"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43527B1A" w14:textId="77777777" w:rsidTr="009678D3">
        <w:tc>
          <w:tcPr>
            <w:tcW w:w="4920" w:type="dxa"/>
            <w:vAlign w:val="center"/>
          </w:tcPr>
          <w:p w14:paraId="53A27238"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Alcantarillado Sanitario</w:t>
            </w:r>
          </w:p>
        </w:tc>
        <w:tc>
          <w:tcPr>
            <w:tcW w:w="960" w:type="dxa"/>
            <w:vAlign w:val="center"/>
          </w:tcPr>
          <w:p w14:paraId="1A04C050"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197B6AE3" w14:textId="77777777" w:rsidTr="009678D3">
        <w:tc>
          <w:tcPr>
            <w:tcW w:w="4920" w:type="dxa"/>
            <w:vAlign w:val="center"/>
          </w:tcPr>
          <w:p w14:paraId="4E497D92"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Energía Eléctrica</w:t>
            </w:r>
          </w:p>
        </w:tc>
        <w:tc>
          <w:tcPr>
            <w:tcW w:w="960" w:type="dxa"/>
            <w:vAlign w:val="center"/>
          </w:tcPr>
          <w:p w14:paraId="74631DCE"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62B66564" w14:textId="77777777" w:rsidTr="009678D3">
        <w:tc>
          <w:tcPr>
            <w:tcW w:w="4920" w:type="dxa"/>
            <w:vAlign w:val="center"/>
          </w:tcPr>
          <w:p w14:paraId="2EC05477"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Teléfono</w:t>
            </w:r>
          </w:p>
        </w:tc>
        <w:tc>
          <w:tcPr>
            <w:tcW w:w="960" w:type="dxa"/>
            <w:vAlign w:val="center"/>
          </w:tcPr>
          <w:p w14:paraId="23753671"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00151A01" w14:textId="77777777" w:rsidTr="009678D3">
        <w:tc>
          <w:tcPr>
            <w:tcW w:w="4920" w:type="dxa"/>
            <w:vAlign w:val="center"/>
          </w:tcPr>
          <w:p w14:paraId="0A5C8D17"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Transporte Colectivo</w:t>
            </w:r>
          </w:p>
        </w:tc>
        <w:tc>
          <w:tcPr>
            <w:tcW w:w="960" w:type="dxa"/>
            <w:vAlign w:val="center"/>
          </w:tcPr>
          <w:p w14:paraId="1B9D6414"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0A115F10" w14:textId="77777777" w:rsidTr="009678D3">
        <w:tc>
          <w:tcPr>
            <w:tcW w:w="4920" w:type="dxa"/>
            <w:vAlign w:val="center"/>
          </w:tcPr>
          <w:p w14:paraId="44933775"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Botadero Autorizado</w:t>
            </w:r>
          </w:p>
        </w:tc>
        <w:tc>
          <w:tcPr>
            <w:tcW w:w="960" w:type="dxa"/>
            <w:vAlign w:val="center"/>
          </w:tcPr>
          <w:p w14:paraId="5EC36BF4"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bl>
    <w:p w14:paraId="5778A01C" w14:textId="77777777" w:rsidR="009678D3" w:rsidRPr="00C84F94" w:rsidRDefault="009678D3" w:rsidP="009678D3">
      <w:pPr>
        <w:rPr>
          <w:sz w:val="16"/>
          <w:szCs w:val="16"/>
        </w:rPr>
      </w:pPr>
    </w:p>
    <w:p w14:paraId="49A32DF5"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 xml:space="preserve">Distancia del Proyecto al botadero autorizado:  </w:t>
      </w: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BancoDesechos</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0.00</w:t>
      </w:r>
      <w:r w:rsidRPr="00E2736C">
        <w:rPr>
          <w:rFonts w:ascii="Times New Roman" w:hAnsi="Times New Roman" w:cs="Times New Roman"/>
          <w:b w:val="0"/>
          <w:sz w:val="22"/>
          <w:szCs w:val="22"/>
        </w:rPr>
        <w:fldChar w:fldCharType="end"/>
      </w:r>
      <w:r w:rsidRPr="00E2736C">
        <w:rPr>
          <w:rFonts w:ascii="Times New Roman" w:hAnsi="Times New Roman" w:cs="Times New Roman"/>
          <w:b w:val="0"/>
          <w:sz w:val="22"/>
          <w:szCs w:val="22"/>
        </w:rPr>
        <w:t xml:space="preserve">  Km</w:t>
      </w:r>
    </w:p>
    <w:p w14:paraId="1426FD67"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MATERIALES LOCALES DISPONIBLES EN EL ÁREA DE INFLUENCIA DEL  PROYECTO</w:t>
      </w:r>
    </w:p>
    <w:tbl>
      <w:tblPr>
        <w:tblStyle w:val="Tablaconcuadrcula"/>
        <w:tblW w:w="0" w:type="auto"/>
        <w:tblInd w:w="108" w:type="dxa"/>
        <w:tblLook w:val="01E0" w:firstRow="1" w:lastRow="1" w:firstColumn="1" w:lastColumn="1" w:noHBand="0" w:noVBand="0"/>
      </w:tblPr>
      <w:tblGrid>
        <w:gridCol w:w="5880"/>
        <w:gridCol w:w="1320"/>
      </w:tblGrid>
      <w:tr w:rsidR="009678D3" w:rsidRPr="00E2736C" w14:paraId="5B7651BD" w14:textId="77777777" w:rsidTr="009678D3">
        <w:tc>
          <w:tcPr>
            <w:tcW w:w="5880" w:type="dxa"/>
            <w:shd w:val="clear" w:color="auto" w:fill="00FFFF"/>
            <w:vAlign w:val="center"/>
          </w:tcPr>
          <w:p w14:paraId="36D41363"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Materiales locales disponibles</w:t>
            </w:r>
          </w:p>
        </w:tc>
        <w:tc>
          <w:tcPr>
            <w:tcW w:w="1320" w:type="dxa"/>
            <w:shd w:val="clear" w:color="auto" w:fill="00FFFF"/>
            <w:vAlign w:val="center"/>
          </w:tcPr>
          <w:p w14:paraId="00F894EF" w14:textId="77777777" w:rsidR="009678D3" w:rsidRPr="00E2736C" w:rsidRDefault="009678D3" w:rsidP="009678D3">
            <w:pPr>
              <w:pStyle w:val="TITULOGENERAL"/>
              <w:spacing w:before="0" w:after="0"/>
              <w:rPr>
                <w:rFonts w:ascii="Times New Roman" w:hAnsi="Times New Roman" w:cs="Times New Roman"/>
                <w:sz w:val="22"/>
                <w:szCs w:val="22"/>
              </w:rPr>
            </w:pPr>
            <w:r w:rsidRPr="00E2736C">
              <w:rPr>
                <w:rFonts w:ascii="Times New Roman" w:hAnsi="Times New Roman" w:cs="Times New Roman"/>
                <w:sz w:val="22"/>
                <w:szCs w:val="22"/>
              </w:rPr>
              <w:t>(S / N)</w:t>
            </w:r>
          </w:p>
        </w:tc>
      </w:tr>
      <w:tr w:rsidR="009678D3" w:rsidRPr="00E2736C" w14:paraId="5CB712DD" w14:textId="77777777" w:rsidTr="009678D3">
        <w:tc>
          <w:tcPr>
            <w:tcW w:w="5880" w:type="dxa"/>
            <w:vAlign w:val="center"/>
          </w:tcPr>
          <w:p w14:paraId="652AB359"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Arena</w:t>
            </w:r>
          </w:p>
        </w:tc>
        <w:tc>
          <w:tcPr>
            <w:tcW w:w="1320" w:type="dxa"/>
            <w:vAlign w:val="center"/>
          </w:tcPr>
          <w:p w14:paraId="322F5405" w14:textId="77777777" w:rsidR="009678D3" w:rsidRPr="00E2736C"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2B76F2C2" w14:textId="77777777" w:rsidTr="009678D3">
        <w:tc>
          <w:tcPr>
            <w:tcW w:w="5880" w:type="dxa"/>
            <w:vAlign w:val="center"/>
          </w:tcPr>
          <w:p w14:paraId="765B9A53"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lastRenderedPageBreak/>
              <w:t>Bloque de Mortero</w:t>
            </w:r>
          </w:p>
        </w:tc>
        <w:tc>
          <w:tcPr>
            <w:tcW w:w="1320" w:type="dxa"/>
            <w:vAlign w:val="center"/>
          </w:tcPr>
          <w:p w14:paraId="333C4D87"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11B5A79E" w14:textId="77777777" w:rsidTr="009678D3">
        <w:tc>
          <w:tcPr>
            <w:tcW w:w="5880" w:type="dxa"/>
            <w:vAlign w:val="center"/>
          </w:tcPr>
          <w:p w14:paraId="0D4BD798"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Ladrillo Cuarterón</w:t>
            </w:r>
          </w:p>
        </w:tc>
        <w:tc>
          <w:tcPr>
            <w:tcW w:w="1320" w:type="dxa"/>
            <w:vAlign w:val="center"/>
          </w:tcPr>
          <w:p w14:paraId="319A90E6"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68CD4B67" w14:textId="77777777" w:rsidTr="009678D3">
        <w:tc>
          <w:tcPr>
            <w:tcW w:w="5880" w:type="dxa"/>
            <w:vAlign w:val="center"/>
          </w:tcPr>
          <w:p w14:paraId="00EC06A2"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Piedra Triturada</w:t>
            </w:r>
          </w:p>
        </w:tc>
        <w:tc>
          <w:tcPr>
            <w:tcW w:w="1320" w:type="dxa"/>
            <w:vAlign w:val="center"/>
          </w:tcPr>
          <w:p w14:paraId="79C72B19"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7B8744FA" w14:textId="77777777" w:rsidTr="009678D3">
        <w:tc>
          <w:tcPr>
            <w:tcW w:w="5880" w:type="dxa"/>
            <w:vAlign w:val="center"/>
          </w:tcPr>
          <w:p w14:paraId="26D29466"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Piedra Cantera</w:t>
            </w:r>
          </w:p>
        </w:tc>
        <w:tc>
          <w:tcPr>
            <w:tcW w:w="1320" w:type="dxa"/>
            <w:vAlign w:val="center"/>
          </w:tcPr>
          <w:p w14:paraId="7793C8B2"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083032B7" w14:textId="77777777" w:rsidTr="009678D3">
        <w:tc>
          <w:tcPr>
            <w:tcW w:w="5880" w:type="dxa"/>
            <w:vAlign w:val="center"/>
          </w:tcPr>
          <w:p w14:paraId="0F6E35D1"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Piedra Bolón</w:t>
            </w:r>
          </w:p>
        </w:tc>
        <w:tc>
          <w:tcPr>
            <w:tcW w:w="1320" w:type="dxa"/>
            <w:vAlign w:val="center"/>
          </w:tcPr>
          <w:p w14:paraId="1213444F"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122CAB75" w14:textId="77777777" w:rsidTr="009678D3">
        <w:tc>
          <w:tcPr>
            <w:tcW w:w="5880" w:type="dxa"/>
            <w:vAlign w:val="center"/>
          </w:tcPr>
          <w:p w14:paraId="3C1649CF"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Agua</w:t>
            </w:r>
          </w:p>
        </w:tc>
        <w:tc>
          <w:tcPr>
            <w:tcW w:w="1320" w:type="dxa"/>
            <w:vAlign w:val="center"/>
          </w:tcPr>
          <w:p w14:paraId="3E1A4DEF"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S</w:t>
            </w:r>
          </w:p>
        </w:tc>
      </w:tr>
      <w:tr w:rsidR="009678D3" w:rsidRPr="00E2736C" w14:paraId="4507D302" w14:textId="77777777" w:rsidTr="009678D3">
        <w:tc>
          <w:tcPr>
            <w:tcW w:w="5880" w:type="dxa"/>
            <w:vAlign w:val="center"/>
          </w:tcPr>
          <w:p w14:paraId="56BA74FB"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Madera de Pino (Blanca)</w:t>
            </w:r>
          </w:p>
        </w:tc>
        <w:tc>
          <w:tcPr>
            <w:tcW w:w="1320" w:type="dxa"/>
            <w:vAlign w:val="center"/>
          </w:tcPr>
          <w:p w14:paraId="4A2693FB"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r w:rsidR="009678D3" w:rsidRPr="00E2736C" w14:paraId="36E933E9" w14:textId="77777777" w:rsidTr="009678D3">
        <w:tc>
          <w:tcPr>
            <w:tcW w:w="5880" w:type="dxa"/>
            <w:vAlign w:val="center"/>
          </w:tcPr>
          <w:p w14:paraId="5836D0DC" w14:textId="77777777" w:rsidR="009678D3" w:rsidRDefault="009678D3" w:rsidP="009678D3">
            <w:pPr>
              <w:pStyle w:val="TITULOGENERAL"/>
              <w:spacing w:before="0" w:after="0"/>
              <w:jc w:val="left"/>
              <w:rPr>
                <w:rFonts w:ascii="Times New Roman" w:hAnsi="Times New Roman" w:cs="Times New Roman"/>
                <w:b w:val="0"/>
                <w:sz w:val="22"/>
                <w:szCs w:val="22"/>
              </w:rPr>
            </w:pPr>
            <w:r>
              <w:rPr>
                <w:rFonts w:ascii="Times New Roman" w:hAnsi="Times New Roman" w:cs="Times New Roman"/>
                <w:b w:val="0"/>
                <w:sz w:val="22"/>
                <w:szCs w:val="22"/>
              </w:rPr>
              <w:t>Madera Roja</w:t>
            </w:r>
          </w:p>
        </w:tc>
        <w:tc>
          <w:tcPr>
            <w:tcW w:w="1320" w:type="dxa"/>
            <w:vAlign w:val="center"/>
          </w:tcPr>
          <w:p w14:paraId="49F77FA8" w14:textId="77777777" w:rsidR="009678D3" w:rsidRDefault="009678D3" w:rsidP="009678D3">
            <w:pPr>
              <w:pStyle w:val="TITULOGENERAL"/>
              <w:spacing w:before="0" w:after="0"/>
              <w:rPr>
                <w:rFonts w:ascii="Times New Roman" w:hAnsi="Times New Roman" w:cs="Times New Roman"/>
                <w:b w:val="0"/>
                <w:sz w:val="22"/>
                <w:szCs w:val="22"/>
              </w:rPr>
            </w:pPr>
            <w:r>
              <w:rPr>
                <w:rFonts w:ascii="Times New Roman" w:hAnsi="Times New Roman" w:cs="Times New Roman"/>
                <w:b w:val="0"/>
                <w:sz w:val="22"/>
                <w:szCs w:val="22"/>
              </w:rPr>
              <w:t>N</w:t>
            </w:r>
          </w:p>
        </w:tc>
      </w:tr>
    </w:tbl>
    <w:p w14:paraId="2B79505B" w14:textId="77777777" w:rsidR="009678D3" w:rsidRPr="00C84F94" w:rsidRDefault="009678D3" w:rsidP="009678D3">
      <w:pPr>
        <w:rPr>
          <w:sz w:val="16"/>
          <w:szCs w:val="16"/>
        </w:rPr>
      </w:pPr>
    </w:p>
    <w:p w14:paraId="680C7D4F"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NIVEL FREÁTICO Y PRECIPITACIÓN</w:t>
      </w:r>
    </w:p>
    <w:tbl>
      <w:tblPr>
        <w:tblStyle w:val="Tablaconcuadrcula"/>
        <w:tblW w:w="0" w:type="auto"/>
        <w:tblInd w:w="108" w:type="dxa"/>
        <w:tblLook w:val="01E0" w:firstRow="1" w:lastRow="1" w:firstColumn="1" w:lastColumn="1" w:noHBand="0" w:noVBand="0"/>
      </w:tblPr>
      <w:tblGrid>
        <w:gridCol w:w="5880"/>
        <w:gridCol w:w="1320"/>
      </w:tblGrid>
      <w:tr w:rsidR="009678D3" w:rsidRPr="00E2736C" w14:paraId="681081EA" w14:textId="77777777" w:rsidTr="009678D3">
        <w:tc>
          <w:tcPr>
            <w:tcW w:w="5880" w:type="dxa"/>
            <w:vAlign w:val="bottom"/>
          </w:tcPr>
          <w:p w14:paraId="42304020" w14:textId="77777777" w:rsidR="009678D3" w:rsidRPr="00E2736C" w:rsidRDefault="009678D3" w:rsidP="009678D3">
            <w:pPr>
              <w:rPr>
                <w:sz w:val="22"/>
                <w:szCs w:val="22"/>
              </w:rPr>
            </w:pPr>
            <w:r w:rsidRPr="00E2736C">
              <w:rPr>
                <w:sz w:val="22"/>
                <w:szCs w:val="22"/>
              </w:rPr>
              <w:t>Profundidad del nivel freático en invierno  (m)</w:t>
            </w:r>
          </w:p>
        </w:tc>
        <w:tc>
          <w:tcPr>
            <w:tcW w:w="1320" w:type="dxa"/>
            <w:vAlign w:val="bottom"/>
          </w:tcPr>
          <w:p w14:paraId="5018F234" w14:textId="77777777" w:rsidR="009678D3" w:rsidRPr="00E2736C" w:rsidRDefault="009678D3" w:rsidP="009678D3">
            <w:pPr>
              <w:jc w:val="right"/>
              <w:rPr>
                <w:sz w:val="22"/>
                <w:szCs w:val="22"/>
              </w:rPr>
            </w:pPr>
            <w:r w:rsidRPr="00E2736C">
              <w:rPr>
                <w:sz w:val="22"/>
                <w:szCs w:val="22"/>
              </w:rPr>
              <w:fldChar w:fldCharType="begin"/>
            </w:r>
            <w:r w:rsidRPr="00E2736C">
              <w:rPr>
                <w:sz w:val="22"/>
                <w:szCs w:val="22"/>
              </w:rPr>
              <w:instrText xml:space="preserve"> DOCVARIABLE  ProfNFInv</w:instrText>
            </w:r>
            <w:r w:rsidRPr="00E2736C">
              <w:rPr>
                <w:sz w:val="22"/>
                <w:szCs w:val="22"/>
              </w:rPr>
              <w:fldChar w:fldCharType="separate"/>
            </w:r>
            <w:r>
              <w:rPr>
                <w:sz w:val="22"/>
                <w:szCs w:val="22"/>
              </w:rPr>
              <w:t>10.00</w:t>
            </w:r>
            <w:r w:rsidRPr="00E2736C">
              <w:rPr>
                <w:sz w:val="22"/>
                <w:szCs w:val="22"/>
              </w:rPr>
              <w:fldChar w:fldCharType="end"/>
            </w:r>
          </w:p>
        </w:tc>
      </w:tr>
      <w:tr w:rsidR="009678D3" w:rsidRPr="00E2736C" w14:paraId="02298A95" w14:textId="77777777" w:rsidTr="009678D3">
        <w:tc>
          <w:tcPr>
            <w:tcW w:w="5880" w:type="dxa"/>
            <w:vAlign w:val="bottom"/>
          </w:tcPr>
          <w:p w14:paraId="5C54E3B8" w14:textId="77777777" w:rsidR="009678D3" w:rsidRPr="00E2736C" w:rsidRDefault="009678D3" w:rsidP="009678D3">
            <w:pPr>
              <w:rPr>
                <w:sz w:val="22"/>
                <w:szCs w:val="22"/>
              </w:rPr>
            </w:pPr>
            <w:r w:rsidRPr="00E2736C">
              <w:rPr>
                <w:sz w:val="22"/>
                <w:szCs w:val="22"/>
              </w:rPr>
              <w:t>Duración del invierno en la zona del proyecto (meses)</w:t>
            </w:r>
          </w:p>
        </w:tc>
        <w:tc>
          <w:tcPr>
            <w:tcW w:w="1320" w:type="dxa"/>
            <w:vAlign w:val="bottom"/>
          </w:tcPr>
          <w:p w14:paraId="3FB0F165" w14:textId="77777777" w:rsidR="009678D3" w:rsidRPr="00E2736C" w:rsidRDefault="009678D3" w:rsidP="009678D3">
            <w:pPr>
              <w:jc w:val="right"/>
              <w:rPr>
                <w:sz w:val="22"/>
                <w:szCs w:val="22"/>
              </w:rPr>
            </w:pPr>
            <w:r w:rsidRPr="00E2736C">
              <w:rPr>
                <w:sz w:val="22"/>
                <w:szCs w:val="22"/>
              </w:rPr>
              <w:fldChar w:fldCharType="begin"/>
            </w:r>
            <w:r w:rsidRPr="00E2736C">
              <w:rPr>
                <w:sz w:val="22"/>
                <w:szCs w:val="22"/>
              </w:rPr>
              <w:instrText xml:space="preserve"> DOCVARIABLE  DuraInv</w:instrText>
            </w:r>
            <w:r w:rsidRPr="00E2736C">
              <w:rPr>
                <w:sz w:val="22"/>
                <w:szCs w:val="22"/>
              </w:rPr>
              <w:fldChar w:fldCharType="separate"/>
            </w:r>
            <w:r>
              <w:rPr>
                <w:sz w:val="22"/>
                <w:szCs w:val="22"/>
              </w:rPr>
              <w:t>6.00</w:t>
            </w:r>
            <w:r w:rsidRPr="00E2736C">
              <w:rPr>
                <w:sz w:val="22"/>
                <w:szCs w:val="22"/>
              </w:rPr>
              <w:fldChar w:fldCharType="end"/>
            </w:r>
          </w:p>
        </w:tc>
      </w:tr>
      <w:tr w:rsidR="009678D3" w:rsidRPr="00E2736C" w14:paraId="3DB3A519" w14:textId="77777777" w:rsidTr="009678D3">
        <w:tc>
          <w:tcPr>
            <w:tcW w:w="5880" w:type="dxa"/>
            <w:vAlign w:val="bottom"/>
          </w:tcPr>
          <w:p w14:paraId="0EB63645" w14:textId="77777777" w:rsidR="009678D3" w:rsidRPr="00E2736C" w:rsidRDefault="009678D3" w:rsidP="009678D3">
            <w:pPr>
              <w:rPr>
                <w:sz w:val="22"/>
                <w:szCs w:val="22"/>
              </w:rPr>
            </w:pPr>
            <w:r w:rsidRPr="00E2736C">
              <w:rPr>
                <w:sz w:val="22"/>
                <w:szCs w:val="22"/>
              </w:rPr>
              <w:t>Precipitación anual estimada (mm)</w:t>
            </w:r>
          </w:p>
        </w:tc>
        <w:tc>
          <w:tcPr>
            <w:tcW w:w="1320" w:type="dxa"/>
            <w:vAlign w:val="bottom"/>
          </w:tcPr>
          <w:p w14:paraId="7F4CBB20" w14:textId="77777777" w:rsidR="009678D3" w:rsidRPr="00E2736C" w:rsidRDefault="009678D3" w:rsidP="009678D3">
            <w:pPr>
              <w:jc w:val="right"/>
              <w:rPr>
                <w:sz w:val="22"/>
                <w:szCs w:val="22"/>
              </w:rPr>
            </w:pPr>
            <w:r w:rsidRPr="00E2736C">
              <w:rPr>
                <w:sz w:val="22"/>
                <w:szCs w:val="22"/>
              </w:rPr>
              <w:fldChar w:fldCharType="begin"/>
            </w:r>
            <w:r w:rsidRPr="00E2736C">
              <w:rPr>
                <w:sz w:val="22"/>
                <w:szCs w:val="22"/>
              </w:rPr>
              <w:instrText xml:space="preserve"> DOCVARIABLE  PrecipAnual</w:instrText>
            </w:r>
            <w:r w:rsidRPr="00E2736C">
              <w:rPr>
                <w:sz w:val="22"/>
                <w:szCs w:val="22"/>
              </w:rPr>
              <w:fldChar w:fldCharType="separate"/>
            </w:r>
            <w:r>
              <w:rPr>
                <w:sz w:val="22"/>
                <w:szCs w:val="22"/>
              </w:rPr>
              <w:t>1373.00</w:t>
            </w:r>
            <w:r w:rsidRPr="00E2736C">
              <w:rPr>
                <w:sz w:val="22"/>
                <w:szCs w:val="22"/>
              </w:rPr>
              <w:fldChar w:fldCharType="end"/>
            </w:r>
          </w:p>
        </w:tc>
      </w:tr>
    </w:tbl>
    <w:p w14:paraId="2FD18E45" w14:textId="77777777" w:rsidR="009678D3" w:rsidRPr="00C84F94" w:rsidRDefault="009678D3" w:rsidP="009678D3">
      <w:pPr>
        <w:rPr>
          <w:sz w:val="16"/>
          <w:szCs w:val="16"/>
        </w:rPr>
      </w:pPr>
    </w:p>
    <w:p w14:paraId="154BACE9" w14:textId="77777777" w:rsidR="009678D3" w:rsidRPr="00E2736C" w:rsidRDefault="009678D3" w:rsidP="009678D3">
      <w:pPr>
        <w:pStyle w:val="Ttulo1"/>
        <w:keepNext/>
        <w:tabs>
          <w:tab w:val="num" w:pos="432"/>
        </w:tabs>
        <w:suppressAutoHyphens w:val="0"/>
        <w:spacing w:before="120" w:after="120"/>
        <w:ind w:left="432" w:hanging="432"/>
        <w:jc w:val="left"/>
        <w:rPr>
          <w:bCs/>
          <w:iCs/>
          <w:sz w:val="22"/>
          <w:szCs w:val="22"/>
        </w:rPr>
      </w:pPr>
      <w:r w:rsidRPr="00E2736C">
        <w:rPr>
          <w:sz w:val="22"/>
          <w:szCs w:val="22"/>
        </w:rPr>
        <w:t>BANCO</w:t>
      </w:r>
      <w:r>
        <w:rPr>
          <w:sz w:val="22"/>
          <w:szCs w:val="22"/>
        </w:rPr>
        <w:t>S</w:t>
      </w:r>
      <w:r w:rsidRPr="00E2736C">
        <w:rPr>
          <w:sz w:val="22"/>
          <w:szCs w:val="22"/>
        </w:rPr>
        <w:t xml:space="preserve"> DE MATERIALES</w:t>
      </w:r>
    </w:p>
    <w:tbl>
      <w:tblPr>
        <w:tblStyle w:val="Tablaconcuadrcula"/>
        <w:tblpPr w:leftFromText="141" w:rightFromText="141" w:vertAnchor="text" w:horzAnchor="margin" w:tblpX="108" w:tblpY="60"/>
        <w:tblW w:w="10068" w:type="dxa"/>
        <w:tblLook w:val="01E0" w:firstRow="1" w:lastRow="1" w:firstColumn="1" w:lastColumn="1" w:noHBand="0" w:noVBand="0"/>
      </w:tblPr>
      <w:tblGrid>
        <w:gridCol w:w="3732"/>
        <w:gridCol w:w="2112"/>
        <w:gridCol w:w="2112"/>
        <w:gridCol w:w="2112"/>
      </w:tblGrid>
      <w:tr w:rsidR="009678D3" w:rsidRPr="00E2736C" w14:paraId="31ABA91F" w14:textId="77777777" w:rsidTr="009678D3">
        <w:tc>
          <w:tcPr>
            <w:tcW w:w="3732" w:type="dxa"/>
            <w:shd w:val="clear" w:color="auto" w:fill="00FFFF"/>
          </w:tcPr>
          <w:p w14:paraId="133510D5" w14:textId="77777777" w:rsidR="009678D3" w:rsidRPr="00E2736C" w:rsidRDefault="009678D3" w:rsidP="009678D3">
            <w:pPr>
              <w:jc w:val="center"/>
              <w:rPr>
                <w:b/>
                <w:sz w:val="22"/>
                <w:szCs w:val="22"/>
              </w:rPr>
            </w:pPr>
            <w:r w:rsidRPr="00E2736C">
              <w:rPr>
                <w:b/>
                <w:sz w:val="22"/>
                <w:szCs w:val="22"/>
              </w:rPr>
              <w:t>Características del Banco</w:t>
            </w:r>
          </w:p>
        </w:tc>
        <w:tc>
          <w:tcPr>
            <w:tcW w:w="2112" w:type="dxa"/>
            <w:shd w:val="clear" w:color="auto" w:fill="00FFFF"/>
          </w:tcPr>
          <w:p w14:paraId="75D378F8" w14:textId="77777777" w:rsidR="009678D3" w:rsidRPr="00E2736C" w:rsidRDefault="009678D3" w:rsidP="009678D3">
            <w:pPr>
              <w:jc w:val="center"/>
              <w:rPr>
                <w:b/>
                <w:sz w:val="22"/>
                <w:szCs w:val="22"/>
              </w:rPr>
            </w:pPr>
            <w:r w:rsidRPr="00E2736C">
              <w:rPr>
                <w:b/>
                <w:sz w:val="22"/>
                <w:szCs w:val="22"/>
              </w:rPr>
              <w:t xml:space="preserve">Banco </w:t>
            </w:r>
            <w:r>
              <w:rPr>
                <w:b/>
                <w:sz w:val="22"/>
                <w:szCs w:val="22"/>
              </w:rPr>
              <w:t xml:space="preserve"># </w:t>
            </w:r>
            <w:r w:rsidRPr="00E2736C">
              <w:rPr>
                <w:b/>
                <w:sz w:val="22"/>
                <w:szCs w:val="22"/>
              </w:rPr>
              <w:t>1</w:t>
            </w:r>
          </w:p>
        </w:tc>
        <w:tc>
          <w:tcPr>
            <w:tcW w:w="2112" w:type="dxa"/>
            <w:shd w:val="clear" w:color="auto" w:fill="00FFFF"/>
          </w:tcPr>
          <w:p w14:paraId="4CD4A7C5" w14:textId="77777777" w:rsidR="009678D3" w:rsidRPr="00E2736C" w:rsidRDefault="009678D3" w:rsidP="009678D3">
            <w:pPr>
              <w:jc w:val="center"/>
              <w:rPr>
                <w:b/>
                <w:sz w:val="22"/>
                <w:szCs w:val="22"/>
              </w:rPr>
            </w:pPr>
            <w:r w:rsidRPr="00E2736C">
              <w:rPr>
                <w:b/>
                <w:sz w:val="22"/>
                <w:szCs w:val="22"/>
              </w:rPr>
              <w:t>Banco</w:t>
            </w:r>
            <w:r>
              <w:rPr>
                <w:b/>
                <w:sz w:val="22"/>
                <w:szCs w:val="22"/>
              </w:rPr>
              <w:t xml:space="preserve"> #</w:t>
            </w:r>
            <w:r w:rsidRPr="00E2736C">
              <w:rPr>
                <w:b/>
                <w:sz w:val="22"/>
                <w:szCs w:val="22"/>
              </w:rPr>
              <w:t xml:space="preserve"> 2</w:t>
            </w:r>
          </w:p>
        </w:tc>
        <w:tc>
          <w:tcPr>
            <w:tcW w:w="2112" w:type="dxa"/>
            <w:shd w:val="clear" w:color="auto" w:fill="00FFFF"/>
          </w:tcPr>
          <w:p w14:paraId="15351D24" w14:textId="77777777" w:rsidR="009678D3" w:rsidRPr="00E2736C" w:rsidRDefault="009678D3" w:rsidP="009678D3">
            <w:pPr>
              <w:jc w:val="center"/>
              <w:rPr>
                <w:b/>
                <w:sz w:val="22"/>
                <w:szCs w:val="22"/>
              </w:rPr>
            </w:pPr>
            <w:r w:rsidRPr="00E2736C">
              <w:rPr>
                <w:b/>
                <w:sz w:val="22"/>
                <w:szCs w:val="22"/>
              </w:rPr>
              <w:t>Banco</w:t>
            </w:r>
            <w:r>
              <w:rPr>
                <w:b/>
                <w:sz w:val="22"/>
                <w:szCs w:val="22"/>
              </w:rPr>
              <w:t xml:space="preserve"> #</w:t>
            </w:r>
            <w:r w:rsidRPr="00E2736C">
              <w:rPr>
                <w:b/>
                <w:sz w:val="22"/>
                <w:szCs w:val="22"/>
              </w:rPr>
              <w:t xml:space="preserve"> 3</w:t>
            </w:r>
          </w:p>
        </w:tc>
      </w:tr>
      <w:tr w:rsidR="009678D3" w:rsidRPr="00E2736C" w14:paraId="50C13305" w14:textId="77777777" w:rsidTr="009678D3">
        <w:trPr>
          <w:trHeight w:val="495"/>
        </w:trPr>
        <w:tc>
          <w:tcPr>
            <w:tcW w:w="3732" w:type="dxa"/>
            <w:vAlign w:val="center"/>
          </w:tcPr>
          <w:p w14:paraId="2183E933" w14:textId="77777777" w:rsidR="009678D3" w:rsidRPr="00E2736C" w:rsidRDefault="009678D3" w:rsidP="009678D3">
            <w:pPr>
              <w:rPr>
                <w:sz w:val="22"/>
                <w:szCs w:val="22"/>
              </w:rPr>
            </w:pPr>
            <w:r w:rsidRPr="00E2736C">
              <w:rPr>
                <w:sz w:val="22"/>
                <w:szCs w:val="22"/>
              </w:rPr>
              <w:t xml:space="preserve">Nombre  del  Banco de Materiales   </w:t>
            </w:r>
          </w:p>
        </w:tc>
        <w:tc>
          <w:tcPr>
            <w:tcW w:w="2112" w:type="dxa"/>
            <w:vAlign w:val="center"/>
          </w:tcPr>
          <w:p w14:paraId="5C960252" w14:textId="77777777" w:rsidR="009678D3" w:rsidRPr="00E2736C" w:rsidRDefault="009678D3" w:rsidP="009678D3">
            <w:pPr>
              <w:rPr>
                <w:sz w:val="22"/>
                <w:szCs w:val="22"/>
              </w:rPr>
            </w:pPr>
            <w:r>
              <w:rPr>
                <w:sz w:val="22"/>
                <w:szCs w:val="22"/>
              </w:rPr>
              <w:t>Socorro Osorio</w:t>
            </w:r>
          </w:p>
        </w:tc>
        <w:tc>
          <w:tcPr>
            <w:tcW w:w="2112" w:type="dxa"/>
            <w:vAlign w:val="center"/>
          </w:tcPr>
          <w:p w14:paraId="01E3F7DB" w14:textId="77777777" w:rsidR="009678D3" w:rsidRPr="00E2736C" w:rsidRDefault="009678D3" w:rsidP="009678D3">
            <w:pPr>
              <w:rPr>
                <w:sz w:val="22"/>
                <w:szCs w:val="22"/>
              </w:rPr>
            </w:pPr>
            <w:r>
              <w:rPr>
                <w:sz w:val="22"/>
                <w:szCs w:val="22"/>
              </w:rPr>
              <w:t>Quebrada El Jobo</w:t>
            </w:r>
          </w:p>
        </w:tc>
        <w:tc>
          <w:tcPr>
            <w:tcW w:w="2112" w:type="dxa"/>
            <w:vAlign w:val="center"/>
          </w:tcPr>
          <w:p w14:paraId="21A84DE6" w14:textId="77777777" w:rsidR="009678D3" w:rsidRPr="00E2736C" w:rsidRDefault="009678D3" w:rsidP="009678D3">
            <w:pPr>
              <w:rPr>
                <w:sz w:val="22"/>
                <w:szCs w:val="22"/>
              </w:rPr>
            </w:pPr>
          </w:p>
        </w:tc>
      </w:tr>
      <w:tr w:rsidR="009678D3" w:rsidRPr="00E2736C" w14:paraId="7ED6BBFA" w14:textId="77777777" w:rsidTr="009678D3">
        <w:trPr>
          <w:trHeight w:val="495"/>
        </w:trPr>
        <w:tc>
          <w:tcPr>
            <w:tcW w:w="3732" w:type="dxa"/>
            <w:vAlign w:val="center"/>
          </w:tcPr>
          <w:p w14:paraId="1ECF15B8" w14:textId="77777777" w:rsidR="009678D3" w:rsidRPr="00E2736C" w:rsidRDefault="009678D3" w:rsidP="009678D3">
            <w:pPr>
              <w:rPr>
                <w:sz w:val="22"/>
                <w:szCs w:val="22"/>
              </w:rPr>
            </w:pPr>
            <w:r w:rsidRPr="00E2736C">
              <w:rPr>
                <w:sz w:val="22"/>
                <w:szCs w:val="22"/>
              </w:rPr>
              <w:t>Tipo de Tenencia (</w:t>
            </w:r>
            <w:r w:rsidRPr="00E2736C">
              <w:rPr>
                <w:i/>
                <w:sz w:val="22"/>
                <w:szCs w:val="22"/>
              </w:rPr>
              <w:t>Pública o Privada</w:t>
            </w:r>
            <w:r w:rsidRPr="00E2736C">
              <w:rPr>
                <w:sz w:val="22"/>
                <w:szCs w:val="22"/>
              </w:rPr>
              <w:t>)</w:t>
            </w:r>
          </w:p>
        </w:tc>
        <w:tc>
          <w:tcPr>
            <w:tcW w:w="2112" w:type="dxa"/>
            <w:vAlign w:val="center"/>
          </w:tcPr>
          <w:p w14:paraId="0980F197" w14:textId="77777777" w:rsidR="009678D3" w:rsidRPr="00E2736C" w:rsidRDefault="009678D3" w:rsidP="009678D3">
            <w:pPr>
              <w:rPr>
                <w:sz w:val="22"/>
                <w:szCs w:val="22"/>
              </w:rPr>
            </w:pPr>
            <w:r>
              <w:rPr>
                <w:sz w:val="22"/>
                <w:szCs w:val="22"/>
              </w:rPr>
              <w:t>Privada</w:t>
            </w:r>
          </w:p>
        </w:tc>
        <w:tc>
          <w:tcPr>
            <w:tcW w:w="2112" w:type="dxa"/>
            <w:vAlign w:val="center"/>
          </w:tcPr>
          <w:p w14:paraId="32C0D4BF" w14:textId="77777777" w:rsidR="009678D3" w:rsidRPr="00E2736C" w:rsidRDefault="009678D3" w:rsidP="009678D3">
            <w:pPr>
              <w:rPr>
                <w:sz w:val="22"/>
                <w:szCs w:val="22"/>
              </w:rPr>
            </w:pPr>
            <w:r>
              <w:rPr>
                <w:sz w:val="22"/>
                <w:szCs w:val="22"/>
              </w:rPr>
              <w:t>Privada</w:t>
            </w:r>
          </w:p>
        </w:tc>
        <w:tc>
          <w:tcPr>
            <w:tcW w:w="2112" w:type="dxa"/>
            <w:vAlign w:val="center"/>
          </w:tcPr>
          <w:p w14:paraId="2AAE6147" w14:textId="77777777" w:rsidR="009678D3" w:rsidRPr="00E2736C" w:rsidRDefault="009678D3" w:rsidP="009678D3">
            <w:pPr>
              <w:rPr>
                <w:sz w:val="22"/>
                <w:szCs w:val="22"/>
              </w:rPr>
            </w:pPr>
          </w:p>
        </w:tc>
      </w:tr>
      <w:tr w:rsidR="009678D3" w:rsidRPr="00E2736C" w14:paraId="0E82694D" w14:textId="77777777" w:rsidTr="009678D3">
        <w:trPr>
          <w:trHeight w:val="495"/>
        </w:trPr>
        <w:tc>
          <w:tcPr>
            <w:tcW w:w="3732" w:type="dxa"/>
            <w:vAlign w:val="center"/>
          </w:tcPr>
          <w:p w14:paraId="0EF66833" w14:textId="77777777" w:rsidR="009678D3" w:rsidRPr="00E2736C" w:rsidRDefault="009678D3" w:rsidP="009678D3">
            <w:pPr>
              <w:rPr>
                <w:sz w:val="22"/>
                <w:szCs w:val="22"/>
              </w:rPr>
            </w:pPr>
            <w:r w:rsidRPr="00E2736C">
              <w:rPr>
                <w:sz w:val="22"/>
                <w:szCs w:val="22"/>
              </w:rPr>
              <w:t>Nombre del Dueño</w:t>
            </w:r>
          </w:p>
        </w:tc>
        <w:tc>
          <w:tcPr>
            <w:tcW w:w="2112" w:type="dxa"/>
            <w:vAlign w:val="center"/>
          </w:tcPr>
          <w:p w14:paraId="1E08221A" w14:textId="77777777" w:rsidR="009678D3" w:rsidRPr="00E2736C" w:rsidRDefault="009678D3" w:rsidP="009678D3">
            <w:pPr>
              <w:rPr>
                <w:sz w:val="22"/>
                <w:szCs w:val="22"/>
              </w:rPr>
            </w:pPr>
            <w:r>
              <w:rPr>
                <w:sz w:val="22"/>
                <w:szCs w:val="22"/>
              </w:rPr>
              <w:t>Socorro Osorio</w:t>
            </w:r>
          </w:p>
        </w:tc>
        <w:tc>
          <w:tcPr>
            <w:tcW w:w="2112" w:type="dxa"/>
            <w:vAlign w:val="center"/>
          </w:tcPr>
          <w:p w14:paraId="3911146A" w14:textId="77777777" w:rsidR="009678D3" w:rsidRPr="00E2736C" w:rsidRDefault="009678D3" w:rsidP="009678D3">
            <w:pPr>
              <w:rPr>
                <w:sz w:val="22"/>
                <w:szCs w:val="22"/>
              </w:rPr>
            </w:pPr>
            <w:r>
              <w:rPr>
                <w:sz w:val="22"/>
                <w:szCs w:val="22"/>
              </w:rPr>
              <w:t>Sergio Aguirri Centeno</w:t>
            </w:r>
          </w:p>
        </w:tc>
        <w:tc>
          <w:tcPr>
            <w:tcW w:w="2112" w:type="dxa"/>
            <w:vAlign w:val="center"/>
          </w:tcPr>
          <w:p w14:paraId="5F48FF99" w14:textId="77777777" w:rsidR="009678D3" w:rsidRPr="00E2736C" w:rsidRDefault="009678D3" w:rsidP="009678D3">
            <w:pPr>
              <w:rPr>
                <w:sz w:val="22"/>
                <w:szCs w:val="22"/>
              </w:rPr>
            </w:pPr>
          </w:p>
        </w:tc>
      </w:tr>
      <w:tr w:rsidR="009678D3" w:rsidRPr="00E2736C" w14:paraId="15A9DF65" w14:textId="77777777" w:rsidTr="009678D3">
        <w:trPr>
          <w:trHeight w:val="495"/>
        </w:trPr>
        <w:tc>
          <w:tcPr>
            <w:tcW w:w="3732" w:type="dxa"/>
            <w:vAlign w:val="center"/>
          </w:tcPr>
          <w:p w14:paraId="3C0E64D9" w14:textId="77777777" w:rsidR="009678D3" w:rsidRPr="00E2736C" w:rsidRDefault="009678D3" w:rsidP="009678D3">
            <w:pPr>
              <w:rPr>
                <w:sz w:val="22"/>
                <w:szCs w:val="22"/>
              </w:rPr>
            </w:pPr>
            <w:r w:rsidRPr="00E2736C">
              <w:rPr>
                <w:sz w:val="22"/>
                <w:szCs w:val="22"/>
              </w:rPr>
              <w:t>Estado de la vía de Acceso al Banco de Materiales (</w:t>
            </w:r>
            <w:r w:rsidRPr="00E2736C">
              <w:rPr>
                <w:i/>
                <w:sz w:val="22"/>
                <w:szCs w:val="22"/>
              </w:rPr>
              <w:t>Buena, Regular, Mala</w:t>
            </w:r>
            <w:r w:rsidRPr="00E2736C">
              <w:rPr>
                <w:sz w:val="22"/>
                <w:szCs w:val="22"/>
              </w:rPr>
              <w:t>)</w:t>
            </w:r>
          </w:p>
        </w:tc>
        <w:tc>
          <w:tcPr>
            <w:tcW w:w="2112" w:type="dxa"/>
            <w:vAlign w:val="center"/>
          </w:tcPr>
          <w:p w14:paraId="0F3FA350" w14:textId="77777777" w:rsidR="009678D3" w:rsidRPr="00E2736C" w:rsidRDefault="009678D3" w:rsidP="009678D3">
            <w:pPr>
              <w:rPr>
                <w:sz w:val="22"/>
                <w:szCs w:val="22"/>
              </w:rPr>
            </w:pPr>
            <w:r>
              <w:rPr>
                <w:sz w:val="22"/>
                <w:szCs w:val="22"/>
              </w:rPr>
              <w:t>Buena</w:t>
            </w:r>
          </w:p>
        </w:tc>
        <w:tc>
          <w:tcPr>
            <w:tcW w:w="2112" w:type="dxa"/>
            <w:vAlign w:val="center"/>
          </w:tcPr>
          <w:p w14:paraId="1768FCAC" w14:textId="77777777" w:rsidR="009678D3" w:rsidRPr="00E2736C" w:rsidRDefault="009678D3" w:rsidP="009678D3">
            <w:pPr>
              <w:rPr>
                <w:sz w:val="22"/>
                <w:szCs w:val="22"/>
              </w:rPr>
            </w:pPr>
            <w:r>
              <w:rPr>
                <w:sz w:val="22"/>
                <w:szCs w:val="22"/>
              </w:rPr>
              <w:t>Buena</w:t>
            </w:r>
          </w:p>
        </w:tc>
        <w:tc>
          <w:tcPr>
            <w:tcW w:w="2112" w:type="dxa"/>
            <w:vAlign w:val="center"/>
          </w:tcPr>
          <w:p w14:paraId="31B20656" w14:textId="77777777" w:rsidR="009678D3" w:rsidRPr="00E2736C" w:rsidRDefault="009678D3" w:rsidP="009678D3">
            <w:pPr>
              <w:rPr>
                <w:sz w:val="22"/>
                <w:szCs w:val="22"/>
              </w:rPr>
            </w:pPr>
          </w:p>
        </w:tc>
      </w:tr>
      <w:tr w:rsidR="009678D3" w:rsidRPr="00E2736C" w14:paraId="33433E0B" w14:textId="77777777" w:rsidTr="009678D3">
        <w:trPr>
          <w:trHeight w:val="495"/>
        </w:trPr>
        <w:tc>
          <w:tcPr>
            <w:tcW w:w="3732" w:type="dxa"/>
            <w:vAlign w:val="center"/>
          </w:tcPr>
          <w:p w14:paraId="30EBEA7A" w14:textId="77777777" w:rsidR="009678D3" w:rsidRPr="00E2736C" w:rsidRDefault="009678D3" w:rsidP="009678D3">
            <w:pPr>
              <w:rPr>
                <w:sz w:val="22"/>
                <w:szCs w:val="22"/>
              </w:rPr>
            </w:pPr>
            <w:r w:rsidRPr="00E2736C">
              <w:rPr>
                <w:sz w:val="22"/>
                <w:szCs w:val="22"/>
              </w:rPr>
              <w:t>Distancia entre el Banco de Materiales y el Proyecto (Km)</w:t>
            </w:r>
          </w:p>
        </w:tc>
        <w:tc>
          <w:tcPr>
            <w:tcW w:w="2112" w:type="dxa"/>
            <w:vAlign w:val="center"/>
          </w:tcPr>
          <w:p w14:paraId="658F1A6B" w14:textId="77777777" w:rsidR="009678D3" w:rsidRPr="00E2736C" w:rsidRDefault="009678D3" w:rsidP="009678D3">
            <w:pPr>
              <w:rPr>
                <w:sz w:val="22"/>
                <w:szCs w:val="22"/>
              </w:rPr>
            </w:pPr>
            <w:r>
              <w:rPr>
                <w:sz w:val="22"/>
                <w:szCs w:val="22"/>
              </w:rPr>
              <w:t>5.00</w:t>
            </w:r>
          </w:p>
        </w:tc>
        <w:tc>
          <w:tcPr>
            <w:tcW w:w="2112" w:type="dxa"/>
            <w:vAlign w:val="center"/>
          </w:tcPr>
          <w:p w14:paraId="3DF55B61" w14:textId="77777777" w:rsidR="009678D3" w:rsidRPr="00E2736C" w:rsidRDefault="009678D3" w:rsidP="009678D3">
            <w:pPr>
              <w:rPr>
                <w:sz w:val="22"/>
                <w:szCs w:val="22"/>
              </w:rPr>
            </w:pPr>
            <w:r>
              <w:rPr>
                <w:sz w:val="22"/>
                <w:szCs w:val="22"/>
              </w:rPr>
              <w:t>3.50</w:t>
            </w:r>
          </w:p>
        </w:tc>
        <w:tc>
          <w:tcPr>
            <w:tcW w:w="2112" w:type="dxa"/>
            <w:vAlign w:val="center"/>
          </w:tcPr>
          <w:p w14:paraId="08BF7048" w14:textId="77777777" w:rsidR="009678D3" w:rsidRPr="00E2736C" w:rsidRDefault="009678D3" w:rsidP="009678D3">
            <w:pPr>
              <w:rPr>
                <w:sz w:val="22"/>
                <w:szCs w:val="22"/>
              </w:rPr>
            </w:pPr>
          </w:p>
        </w:tc>
      </w:tr>
      <w:tr w:rsidR="009678D3" w:rsidRPr="00E2736C" w14:paraId="5A607EE4" w14:textId="77777777" w:rsidTr="009678D3">
        <w:trPr>
          <w:trHeight w:val="495"/>
        </w:trPr>
        <w:tc>
          <w:tcPr>
            <w:tcW w:w="3732" w:type="dxa"/>
            <w:vAlign w:val="center"/>
          </w:tcPr>
          <w:p w14:paraId="35AFF534" w14:textId="77777777" w:rsidR="009678D3" w:rsidRPr="00E2736C" w:rsidRDefault="009678D3" w:rsidP="009678D3">
            <w:pPr>
              <w:rPr>
                <w:i/>
                <w:sz w:val="22"/>
                <w:szCs w:val="22"/>
              </w:rPr>
            </w:pPr>
            <w:r w:rsidRPr="00E2736C">
              <w:rPr>
                <w:sz w:val="22"/>
                <w:szCs w:val="22"/>
              </w:rPr>
              <w:t>Estado del Banco (</w:t>
            </w:r>
            <w:r w:rsidRPr="00E2736C">
              <w:rPr>
                <w:i/>
                <w:sz w:val="22"/>
                <w:szCs w:val="22"/>
              </w:rPr>
              <w:t>En explotación,</w:t>
            </w:r>
          </w:p>
          <w:p w14:paraId="3A5E9120" w14:textId="77777777" w:rsidR="009678D3" w:rsidRPr="00E2736C" w:rsidRDefault="009678D3" w:rsidP="009678D3">
            <w:pPr>
              <w:rPr>
                <w:sz w:val="22"/>
                <w:szCs w:val="22"/>
              </w:rPr>
            </w:pPr>
            <w:r w:rsidRPr="00E2736C">
              <w:rPr>
                <w:i/>
                <w:sz w:val="22"/>
                <w:szCs w:val="22"/>
              </w:rPr>
              <w:t xml:space="preserve"> A descapotar, Contaminado, Agotado</w:t>
            </w:r>
            <w:r w:rsidRPr="00E2736C">
              <w:rPr>
                <w:sz w:val="22"/>
                <w:szCs w:val="22"/>
              </w:rPr>
              <w:t xml:space="preserve">) </w:t>
            </w:r>
          </w:p>
        </w:tc>
        <w:tc>
          <w:tcPr>
            <w:tcW w:w="2112" w:type="dxa"/>
            <w:vAlign w:val="center"/>
          </w:tcPr>
          <w:p w14:paraId="58F24C2B" w14:textId="77777777" w:rsidR="009678D3" w:rsidRPr="00E2736C" w:rsidRDefault="009678D3" w:rsidP="009678D3">
            <w:pPr>
              <w:rPr>
                <w:sz w:val="22"/>
                <w:szCs w:val="22"/>
              </w:rPr>
            </w:pPr>
            <w:r>
              <w:rPr>
                <w:sz w:val="22"/>
                <w:szCs w:val="22"/>
              </w:rPr>
              <w:t>En explotación</w:t>
            </w:r>
          </w:p>
        </w:tc>
        <w:tc>
          <w:tcPr>
            <w:tcW w:w="2112" w:type="dxa"/>
            <w:vAlign w:val="center"/>
          </w:tcPr>
          <w:p w14:paraId="6260FBC4" w14:textId="77777777" w:rsidR="009678D3" w:rsidRPr="00E2736C" w:rsidRDefault="009678D3" w:rsidP="009678D3">
            <w:pPr>
              <w:rPr>
                <w:sz w:val="22"/>
                <w:szCs w:val="22"/>
              </w:rPr>
            </w:pPr>
            <w:r>
              <w:rPr>
                <w:sz w:val="22"/>
                <w:szCs w:val="22"/>
              </w:rPr>
              <w:t>En explotación</w:t>
            </w:r>
          </w:p>
        </w:tc>
        <w:tc>
          <w:tcPr>
            <w:tcW w:w="2112" w:type="dxa"/>
            <w:vAlign w:val="center"/>
          </w:tcPr>
          <w:p w14:paraId="3DA7687E" w14:textId="77777777" w:rsidR="009678D3" w:rsidRPr="00E2736C" w:rsidRDefault="009678D3" w:rsidP="009678D3">
            <w:pPr>
              <w:rPr>
                <w:sz w:val="22"/>
                <w:szCs w:val="22"/>
              </w:rPr>
            </w:pPr>
          </w:p>
        </w:tc>
      </w:tr>
      <w:tr w:rsidR="009678D3" w:rsidRPr="00E2736C" w14:paraId="69E8A23F" w14:textId="77777777" w:rsidTr="009678D3">
        <w:trPr>
          <w:trHeight w:val="495"/>
        </w:trPr>
        <w:tc>
          <w:tcPr>
            <w:tcW w:w="3732" w:type="dxa"/>
            <w:vAlign w:val="center"/>
          </w:tcPr>
          <w:p w14:paraId="42F0D7DB" w14:textId="77777777" w:rsidR="009678D3" w:rsidRPr="00E2736C" w:rsidRDefault="009678D3" w:rsidP="009678D3">
            <w:pPr>
              <w:rPr>
                <w:sz w:val="22"/>
                <w:szCs w:val="22"/>
              </w:rPr>
            </w:pPr>
            <w:r w:rsidRPr="00E2736C">
              <w:rPr>
                <w:sz w:val="22"/>
                <w:szCs w:val="22"/>
              </w:rPr>
              <w:t xml:space="preserve">Tipo de material </w:t>
            </w:r>
            <w:r w:rsidRPr="00E2736C">
              <w:rPr>
                <w:i/>
                <w:sz w:val="22"/>
                <w:szCs w:val="22"/>
              </w:rPr>
              <w:t>(Material Selecto, Arena, Bolón, Cantera</w:t>
            </w:r>
            <w:r w:rsidRPr="00E2736C">
              <w:rPr>
                <w:sz w:val="22"/>
                <w:szCs w:val="22"/>
              </w:rPr>
              <w:t>)</w:t>
            </w:r>
          </w:p>
        </w:tc>
        <w:tc>
          <w:tcPr>
            <w:tcW w:w="2112" w:type="dxa"/>
            <w:vAlign w:val="center"/>
          </w:tcPr>
          <w:p w14:paraId="2C95BD08" w14:textId="77777777" w:rsidR="009678D3" w:rsidRPr="00E2736C" w:rsidRDefault="009678D3" w:rsidP="009678D3">
            <w:pPr>
              <w:rPr>
                <w:sz w:val="22"/>
                <w:szCs w:val="22"/>
              </w:rPr>
            </w:pPr>
            <w:r>
              <w:rPr>
                <w:sz w:val="22"/>
                <w:szCs w:val="22"/>
              </w:rPr>
              <w:t>Material Selecto</w:t>
            </w:r>
          </w:p>
        </w:tc>
        <w:tc>
          <w:tcPr>
            <w:tcW w:w="2112" w:type="dxa"/>
            <w:vAlign w:val="center"/>
          </w:tcPr>
          <w:p w14:paraId="0781B8E5" w14:textId="77777777" w:rsidR="009678D3" w:rsidRPr="00E2736C" w:rsidRDefault="009678D3" w:rsidP="009678D3">
            <w:pPr>
              <w:rPr>
                <w:sz w:val="22"/>
                <w:szCs w:val="22"/>
              </w:rPr>
            </w:pPr>
            <w:r>
              <w:rPr>
                <w:sz w:val="22"/>
                <w:szCs w:val="22"/>
              </w:rPr>
              <w:t>Bolón</w:t>
            </w:r>
          </w:p>
        </w:tc>
        <w:tc>
          <w:tcPr>
            <w:tcW w:w="2112" w:type="dxa"/>
            <w:vAlign w:val="center"/>
          </w:tcPr>
          <w:p w14:paraId="169EECA1" w14:textId="77777777" w:rsidR="009678D3" w:rsidRPr="00E2736C" w:rsidRDefault="009678D3" w:rsidP="009678D3">
            <w:pPr>
              <w:rPr>
                <w:sz w:val="22"/>
                <w:szCs w:val="22"/>
              </w:rPr>
            </w:pPr>
          </w:p>
        </w:tc>
      </w:tr>
    </w:tbl>
    <w:p w14:paraId="1CA528D9" w14:textId="77777777" w:rsidR="009678D3" w:rsidRPr="00C84F94" w:rsidRDefault="009678D3" w:rsidP="009678D3">
      <w:pPr>
        <w:rPr>
          <w:sz w:val="16"/>
          <w:szCs w:val="16"/>
        </w:rPr>
      </w:pPr>
    </w:p>
    <w:p w14:paraId="071CDE22" w14:textId="77777777" w:rsidR="009678D3" w:rsidRPr="0064701C" w:rsidRDefault="009678D3" w:rsidP="009678D3">
      <w:pPr>
        <w:pStyle w:val="Ttulo1"/>
        <w:keepNext/>
        <w:tabs>
          <w:tab w:val="num" w:pos="432"/>
        </w:tabs>
        <w:suppressAutoHyphens w:val="0"/>
        <w:spacing w:before="0" w:after="0"/>
        <w:jc w:val="left"/>
        <w:rPr>
          <w:bCs/>
          <w:iCs/>
          <w:sz w:val="22"/>
          <w:szCs w:val="22"/>
        </w:rPr>
      </w:pPr>
      <w:r w:rsidRPr="0064701C">
        <w:rPr>
          <w:sz w:val="22"/>
          <w:szCs w:val="22"/>
        </w:rPr>
        <w:t>INSTRUCCIONES ADICIONALES AL CONTRATISTA</w:t>
      </w:r>
    </w:p>
    <w:p w14:paraId="798274E5" w14:textId="77777777" w:rsidR="009678D3" w:rsidRPr="00C84F94" w:rsidRDefault="009678D3" w:rsidP="009678D3">
      <w:pPr>
        <w:rPr>
          <w:sz w:val="16"/>
          <w:szCs w:val="16"/>
        </w:rPr>
      </w:pPr>
    </w:p>
    <w:p w14:paraId="1CCB7E63" w14:textId="77777777" w:rsidR="009678D3" w:rsidRDefault="009678D3" w:rsidP="009678D3">
      <w:pPr>
        <w:rPr>
          <w:bCs/>
          <w:sz w:val="22"/>
          <w:szCs w:val="22"/>
          <w:lang w:val="es-419"/>
        </w:rPr>
      </w:pPr>
      <w:r>
        <w:rPr>
          <w:sz w:val="22"/>
          <w:szCs w:val="22"/>
        </w:rPr>
        <w:t>1</w:t>
      </w:r>
      <w:r w:rsidRPr="00A81924">
        <w:rPr>
          <w:sz w:val="22"/>
          <w:szCs w:val="22"/>
        </w:rPr>
        <w:t xml:space="preserve">.- </w:t>
      </w:r>
      <w:r>
        <w:rPr>
          <w:sz w:val="22"/>
          <w:szCs w:val="22"/>
        </w:rPr>
        <w:t xml:space="preserve">La municipalidad de Wiwili de Nueva Segovia previo a la ejecución del proyecto debe solicitar al MARENA la </w:t>
      </w:r>
      <w:r w:rsidRPr="00A81924">
        <w:rPr>
          <w:b/>
          <w:bCs/>
          <w:sz w:val="22"/>
          <w:szCs w:val="22"/>
          <w:lang w:val="es-419"/>
        </w:rPr>
        <w:t>Autorización Ambiental del proyecto</w:t>
      </w:r>
      <w:r>
        <w:rPr>
          <w:b/>
          <w:bCs/>
          <w:sz w:val="22"/>
          <w:szCs w:val="22"/>
          <w:lang w:val="es-419"/>
        </w:rPr>
        <w:t xml:space="preserve"> </w:t>
      </w:r>
      <w:r w:rsidRPr="004B457C">
        <w:rPr>
          <w:b/>
          <w:bCs/>
          <w:sz w:val="22"/>
          <w:szCs w:val="22"/>
          <w:lang w:val="es-419"/>
        </w:rPr>
        <w:t>para construir</w:t>
      </w:r>
      <w:r>
        <w:rPr>
          <w:bCs/>
          <w:sz w:val="22"/>
          <w:szCs w:val="22"/>
          <w:lang w:val="es-419"/>
        </w:rPr>
        <w:t xml:space="preserve"> y asumir el costo del permiso, en el caso que tenga un valor.</w:t>
      </w:r>
    </w:p>
    <w:p w14:paraId="45BC65EB" w14:textId="77777777" w:rsidR="009678D3" w:rsidRPr="00A81924" w:rsidRDefault="009678D3" w:rsidP="009678D3">
      <w:pPr>
        <w:rPr>
          <w:sz w:val="22"/>
          <w:szCs w:val="22"/>
        </w:rPr>
      </w:pPr>
    </w:p>
    <w:p w14:paraId="679ECCEC" w14:textId="77777777" w:rsidR="009678D3" w:rsidRDefault="009678D3" w:rsidP="009678D3">
      <w:pPr>
        <w:rPr>
          <w:sz w:val="22"/>
          <w:szCs w:val="22"/>
        </w:rPr>
      </w:pPr>
      <w:r w:rsidRPr="00E2736C">
        <w:rPr>
          <w:sz w:val="22"/>
          <w:szCs w:val="22"/>
        </w:rPr>
        <w:fldChar w:fldCharType="begin"/>
      </w:r>
      <w:r w:rsidRPr="00E2736C">
        <w:rPr>
          <w:sz w:val="22"/>
          <w:szCs w:val="22"/>
        </w:rPr>
        <w:instrText xml:space="preserve"> DOCVARIABLE  InstCtista</w:instrText>
      </w:r>
      <w:r w:rsidRPr="00E2736C">
        <w:rPr>
          <w:sz w:val="22"/>
          <w:szCs w:val="22"/>
        </w:rPr>
        <w:fldChar w:fldCharType="separate"/>
      </w:r>
      <w:r>
        <w:rPr>
          <w:sz w:val="22"/>
          <w:szCs w:val="22"/>
        </w:rPr>
        <w:t xml:space="preserve">2.- El Contratista, debe realizar el replanteo topográfico de la fuente donde estará la obra de captación, línea de conducción, de aducción y de la red de distribución, PTAP, tanque de almacenamiento 1 y 2, sitios donde estarán las pilas rompe presión y válvulas reguladoras de presión, con la finalidad de verificar las elevaciones, como su correcta localización.  En el caso que se presenten incongruencias significativas comprobadas se deberá consensuar la situación presentada a la supervisión del proyecto, municipalidad y El técnico territorial FISE. </w:t>
      </w:r>
    </w:p>
    <w:p w14:paraId="522870CB" w14:textId="77777777" w:rsidR="009678D3" w:rsidRDefault="009678D3" w:rsidP="009678D3">
      <w:pPr>
        <w:rPr>
          <w:sz w:val="22"/>
          <w:szCs w:val="22"/>
        </w:rPr>
      </w:pPr>
    </w:p>
    <w:p w14:paraId="747C0DA2" w14:textId="77777777" w:rsidR="009678D3" w:rsidRDefault="009678D3" w:rsidP="009678D3">
      <w:pPr>
        <w:rPr>
          <w:sz w:val="22"/>
          <w:szCs w:val="22"/>
        </w:rPr>
      </w:pPr>
      <w:r>
        <w:rPr>
          <w:sz w:val="22"/>
          <w:szCs w:val="22"/>
        </w:rPr>
        <w:t>3.- El contratista debe construir letrinas sencillas provisionales para uso del personal involucrado en la ejecución del proyecto, la cual deberá demoler y sellar al finalizar las obras.</w:t>
      </w:r>
    </w:p>
    <w:p w14:paraId="562403A6" w14:textId="77777777" w:rsidR="009678D3" w:rsidRDefault="009678D3" w:rsidP="009678D3">
      <w:pPr>
        <w:rPr>
          <w:sz w:val="22"/>
          <w:szCs w:val="22"/>
        </w:rPr>
      </w:pPr>
    </w:p>
    <w:p w14:paraId="3EACE4A0" w14:textId="77777777" w:rsidR="009678D3" w:rsidRDefault="009678D3" w:rsidP="009678D3">
      <w:pPr>
        <w:rPr>
          <w:sz w:val="22"/>
          <w:szCs w:val="22"/>
        </w:rPr>
      </w:pPr>
      <w:r>
        <w:rPr>
          <w:sz w:val="22"/>
          <w:szCs w:val="22"/>
        </w:rPr>
        <w:t>4.- El contratista debe colocar señales de prevención de accidentes, tanto peatonales como vehiculares.</w:t>
      </w:r>
    </w:p>
    <w:p w14:paraId="09CBA87E" w14:textId="77777777" w:rsidR="009678D3" w:rsidRDefault="009678D3" w:rsidP="009678D3">
      <w:pPr>
        <w:rPr>
          <w:sz w:val="22"/>
          <w:szCs w:val="22"/>
        </w:rPr>
      </w:pPr>
    </w:p>
    <w:p w14:paraId="650B9F7F" w14:textId="77777777" w:rsidR="009678D3" w:rsidRDefault="009678D3" w:rsidP="009678D3">
      <w:pPr>
        <w:rPr>
          <w:sz w:val="22"/>
          <w:szCs w:val="22"/>
        </w:rPr>
      </w:pPr>
      <w:r>
        <w:rPr>
          <w:sz w:val="22"/>
          <w:szCs w:val="22"/>
        </w:rPr>
        <w:t>5.- El rotulo alusivo al proyecto debe colocarse desde el inicio de la ejecución.</w:t>
      </w:r>
    </w:p>
    <w:p w14:paraId="09F2AE0C" w14:textId="77777777" w:rsidR="009678D3" w:rsidRDefault="009678D3" w:rsidP="009678D3">
      <w:pPr>
        <w:rPr>
          <w:sz w:val="22"/>
          <w:szCs w:val="22"/>
        </w:rPr>
      </w:pPr>
    </w:p>
    <w:p w14:paraId="3E0BACD8" w14:textId="77777777" w:rsidR="009678D3" w:rsidRDefault="009678D3" w:rsidP="009678D3">
      <w:pPr>
        <w:rPr>
          <w:sz w:val="22"/>
          <w:szCs w:val="22"/>
        </w:rPr>
      </w:pPr>
      <w:r>
        <w:rPr>
          <w:sz w:val="22"/>
          <w:szCs w:val="22"/>
        </w:rPr>
        <w:t>6.- El contratista debe revisar antes de iniciar la ejecución de las obras, la legalidad de predios y servidumbres de pase, donde se edificará la infraestructura del proyecto.</w:t>
      </w:r>
    </w:p>
    <w:p w14:paraId="60F2B3EE" w14:textId="77777777" w:rsidR="009678D3" w:rsidRDefault="009678D3" w:rsidP="009678D3">
      <w:pPr>
        <w:rPr>
          <w:sz w:val="22"/>
          <w:szCs w:val="22"/>
        </w:rPr>
      </w:pPr>
    </w:p>
    <w:p w14:paraId="59EDAD04" w14:textId="77777777" w:rsidR="009678D3" w:rsidRDefault="009678D3" w:rsidP="009678D3">
      <w:pPr>
        <w:rPr>
          <w:sz w:val="22"/>
          <w:szCs w:val="22"/>
        </w:rPr>
      </w:pPr>
      <w:r>
        <w:rPr>
          <w:sz w:val="22"/>
          <w:szCs w:val="22"/>
        </w:rPr>
        <w:t>7.- Las obras del proyecto deben construirse conforme especificaciones dadas en los planos constructivos.</w:t>
      </w:r>
    </w:p>
    <w:p w14:paraId="0E136074" w14:textId="77777777" w:rsidR="009678D3" w:rsidRDefault="009678D3" w:rsidP="009678D3">
      <w:pPr>
        <w:rPr>
          <w:sz w:val="22"/>
          <w:szCs w:val="22"/>
        </w:rPr>
      </w:pPr>
    </w:p>
    <w:p w14:paraId="1867E822" w14:textId="77777777" w:rsidR="009678D3" w:rsidRDefault="009678D3" w:rsidP="009678D3">
      <w:pPr>
        <w:rPr>
          <w:sz w:val="22"/>
          <w:szCs w:val="22"/>
        </w:rPr>
      </w:pPr>
      <w:r>
        <w:rPr>
          <w:sz w:val="22"/>
          <w:szCs w:val="22"/>
        </w:rPr>
        <w:t>8.- Al momento de inicio de la ejecución se deberá ratificar el listado de los beneficiarios tanto de las conexiones domiciliares como del saneamiento.</w:t>
      </w:r>
    </w:p>
    <w:p w14:paraId="65411759" w14:textId="77777777" w:rsidR="009678D3" w:rsidRDefault="009678D3" w:rsidP="009678D3">
      <w:pPr>
        <w:rPr>
          <w:sz w:val="22"/>
          <w:szCs w:val="22"/>
        </w:rPr>
      </w:pPr>
    </w:p>
    <w:p w14:paraId="0D29979D" w14:textId="77777777" w:rsidR="009678D3" w:rsidRDefault="009678D3" w:rsidP="009678D3">
      <w:pPr>
        <w:rPr>
          <w:sz w:val="22"/>
          <w:szCs w:val="22"/>
        </w:rPr>
      </w:pPr>
      <w:r>
        <w:rPr>
          <w:sz w:val="22"/>
          <w:szCs w:val="22"/>
        </w:rPr>
        <w:t>9.- El proyecto deberá ser ejecutado de acuerdo a los alcances establecidos en el detalle de presupuesto y conforme lo descrito en los planos constructivos y según las indicaciones descritas en las especificaciones técnicas; por ningún motivo se permitirá que el contratista ejecute obras fuera de lo establecido en los términos contractuales; solamente en casos que la supervisión determine la necesidad de adicionar alguna obra que conlleve a mejorar el funcionamiento del Sistema.</w:t>
      </w:r>
    </w:p>
    <w:p w14:paraId="0FAA1331" w14:textId="77777777" w:rsidR="009678D3" w:rsidRDefault="009678D3" w:rsidP="009678D3">
      <w:pPr>
        <w:rPr>
          <w:sz w:val="22"/>
          <w:szCs w:val="22"/>
        </w:rPr>
      </w:pPr>
    </w:p>
    <w:p w14:paraId="0AAEF846" w14:textId="77777777" w:rsidR="009678D3" w:rsidRDefault="009678D3" w:rsidP="009678D3">
      <w:pPr>
        <w:rPr>
          <w:sz w:val="22"/>
          <w:szCs w:val="22"/>
        </w:rPr>
      </w:pPr>
      <w:r>
        <w:rPr>
          <w:sz w:val="22"/>
          <w:szCs w:val="22"/>
        </w:rPr>
        <w:t xml:space="preserve">10.- La tierra sobrante de la excavación de los fosos para letrina parte de ella podrá ser utilizada como talud en el perímetro del foso de la letrina, sirviendo, así como bordillo natural de protección a la escorrentía y evitando la erosión del foso. </w:t>
      </w:r>
    </w:p>
    <w:p w14:paraId="7577551E" w14:textId="77777777" w:rsidR="009678D3" w:rsidRDefault="009678D3" w:rsidP="009678D3">
      <w:pPr>
        <w:rPr>
          <w:sz w:val="22"/>
          <w:szCs w:val="22"/>
        </w:rPr>
      </w:pPr>
    </w:p>
    <w:p w14:paraId="7E0948DF" w14:textId="77777777" w:rsidR="009678D3" w:rsidRDefault="009678D3" w:rsidP="009678D3">
      <w:pPr>
        <w:rPr>
          <w:sz w:val="22"/>
          <w:szCs w:val="22"/>
        </w:rPr>
      </w:pPr>
      <w:r>
        <w:rPr>
          <w:sz w:val="22"/>
          <w:szCs w:val="22"/>
        </w:rPr>
        <w:t>11.- No se deben realizar conexiones en las líneas de conducción y de aducción.</w:t>
      </w:r>
    </w:p>
    <w:p w14:paraId="453D7F48" w14:textId="77777777" w:rsidR="009678D3" w:rsidRDefault="009678D3" w:rsidP="009678D3">
      <w:pPr>
        <w:rPr>
          <w:sz w:val="22"/>
          <w:szCs w:val="22"/>
        </w:rPr>
      </w:pPr>
    </w:p>
    <w:p w14:paraId="6348D920" w14:textId="77777777" w:rsidR="009678D3" w:rsidRDefault="009678D3" w:rsidP="009678D3">
      <w:pPr>
        <w:rPr>
          <w:sz w:val="22"/>
          <w:szCs w:val="22"/>
        </w:rPr>
      </w:pPr>
      <w:r>
        <w:rPr>
          <w:sz w:val="22"/>
          <w:szCs w:val="22"/>
        </w:rPr>
        <w:t xml:space="preserve">12 - Con respecto a la fuente y obra de captación, se construirá un dique - toma más un prefiltro con las dimensiones y características establecidas en los planos. Con respecto al prefiltro, las capas de grava que lo conforman deberán de cumplir con los siguientes tipos de granulometría: </w:t>
      </w:r>
    </w:p>
    <w:p w14:paraId="7CBE9702" w14:textId="77777777" w:rsidR="009678D3" w:rsidRDefault="009678D3" w:rsidP="009678D3">
      <w:pPr>
        <w:rPr>
          <w:sz w:val="22"/>
          <w:szCs w:val="22"/>
        </w:rPr>
      </w:pPr>
    </w:p>
    <w:p w14:paraId="36B427A1" w14:textId="77777777" w:rsidR="009678D3" w:rsidRDefault="009678D3" w:rsidP="009678D3">
      <w:pPr>
        <w:rPr>
          <w:sz w:val="22"/>
          <w:szCs w:val="22"/>
        </w:rPr>
      </w:pPr>
      <w:r>
        <w:rPr>
          <w:sz w:val="22"/>
          <w:szCs w:val="22"/>
        </w:rPr>
        <w:t>- Capa No.1 (Fondo): Diám de 3 a 6 mm, espesor 20 cm.</w:t>
      </w:r>
    </w:p>
    <w:p w14:paraId="386127BA" w14:textId="77777777" w:rsidR="009678D3" w:rsidRDefault="009678D3" w:rsidP="009678D3">
      <w:pPr>
        <w:rPr>
          <w:sz w:val="22"/>
          <w:szCs w:val="22"/>
        </w:rPr>
      </w:pPr>
      <w:r>
        <w:rPr>
          <w:sz w:val="22"/>
          <w:szCs w:val="22"/>
        </w:rPr>
        <w:t>- Capa No. 2: Diám de 6 a 13 mm, espesor 20 cm.</w:t>
      </w:r>
    </w:p>
    <w:p w14:paraId="023DD50E" w14:textId="77777777" w:rsidR="009678D3" w:rsidRDefault="009678D3" w:rsidP="009678D3">
      <w:pPr>
        <w:rPr>
          <w:sz w:val="22"/>
          <w:szCs w:val="22"/>
        </w:rPr>
      </w:pPr>
      <w:r>
        <w:rPr>
          <w:sz w:val="22"/>
          <w:szCs w:val="22"/>
        </w:rPr>
        <w:t xml:space="preserve">- Capa No. 3: Diám de 13 a 25 mm, espesor 20 cm. </w:t>
      </w:r>
    </w:p>
    <w:p w14:paraId="19231C55" w14:textId="77777777" w:rsidR="009678D3" w:rsidRDefault="009678D3" w:rsidP="009678D3">
      <w:pPr>
        <w:rPr>
          <w:sz w:val="22"/>
          <w:szCs w:val="22"/>
        </w:rPr>
      </w:pPr>
      <w:r>
        <w:rPr>
          <w:sz w:val="22"/>
          <w:szCs w:val="22"/>
        </w:rPr>
        <w:t xml:space="preserve">- Capa No. 4 (capa superior): Diám de 50 mm, espesor 20 cm. </w:t>
      </w:r>
    </w:p>
    <w:p w14:paraId="73029CBB" w14:textId="77777777" w:rsidR="009678D3" w:rsidRDefault="009678D3" w:rsidP="009678D3">
      <w:pPr>
        <w:rPr>
          <w:sz w:val="22"/>
          <w:szCs w:val="22"/>
        </w:rPr>
      </w:pPr>
    </w:p>
    <w:p w14:paraId="46439716" w14:textId="77777777" w:rsidR="009678D3" w:rsidRDefault="009678D3" w:rsidP="009678D3">
      <w:pPr>
        <w:rPr>
          <w:sz w:val="22"/>
          <w:szCs w:val="22"/>
        </w:rPr>
      </w:pPr>
      <w:r>
        <w:rPr>
          <w:sz w:val="22"/>
          <w:szCs w:val="22"/>
        </w:rPr>
        <w:t xml:space="preserve">Además, se instalarán tubos recolectores de 2" y 3" de diámetro SDR 26 ubicadas sobre el material granular. Los tubos de 3" llevarán perforaciones de diámetro 0.5" según se muestra en los planos constructivos. </w:t>
      </w:r>
    </w:p>
    <w:p w14:paraId="2A08093A" w14:textId="77777777" w:rsidR="009678D3" w:rsidRDefault="009678D3" w:rsidP="009678D3">
      <w:pPr>
        <w:rPr>
          <w:sz w:val="22"/>
          <w:szCs w:val="22"/>
        </w:rPr>
      </w:pPr>
    </w:p>
    <w:p w14:paraId="1156AE92" w14:textId="77777777" w:rsidR="009678D3" w:rsidRDefault="009678D3" w:rsidP="009678D3">
      <w:pPr>
        <w:rPr>
          <w:sz w:val="22"/>
          <w:szCs w:val="22"/>
        </w:rPr>
      </w:pPr>
      <w:r>
        <w:rPr>
          <w:sz w:val="22"/>
          <w:szCs w:val="22"/>
        </w:rPr>
        <w:t>13.- En la instalación de la PTAP por medio de FPR no incluir el último proceso de cloración con pastillas, este debe aplicarse de otra forma en el tanque de almacenamiento mediante un hipoclorador de carga constante, ver el detalle en planos, en consecuencia, debe ser restado del costo en la PTAP para no pagarse.</w:t>
      </w:r>
    </w:p>
    <w:p w14:paraId="4573C8DE" w14:textId="77777777" w:rsidR="009678D3" w:rsidRDefault="009678D3" w:rsidP="009678D3">
      <w:pPr>
        <w:rPr>
          <w:sz w:val="22"/>
          <w:szCs w:val="22"/>
        </w:rPr>
      </w:pPr>
    </w:p>
    <w:p w14:paraId="05EDBE79" w14:textId="77777777" w:rsidR="009678D3" w:rsidRPr="009E7367" w:rsidRDefault="009678D3" w:rsidP="009678D3">
      <w:r>
        <w:rPr>
          <w:sz w:val="22"/>
          <w:szCs w:val="22"/>
        </w:rPr>
        <w:t xml:space="preserve">14- El hipoclorador de carga constante será instalado sobre el tanque de almacenamiento No. 1. Se le construirá una caseta de tubos de hierro galvanizado de diámetro 2", lámina de zinc ondulado cal# 26 con perlín de 1" x 3" de dimensión. El hipoclorador se colocará sobre </w:t>
      </w:r>
      <w:r w:rsidRPr="009E7367">
        <w:t>una plataforma de madera para que si se da un derrame de solución no caiga directamente sobre el tanque</w:t>
      </w:r>
      <w:r>
        <w:t>,</w:t>
      </w:r>
      <w:r w:rsidRPr="009E7367">
        <w:t xml:space="preserve"> interactuando con la p</w:t>
      </w:r>
      <w:r>
        <w:t xml:space="preserve">intura de impermeabilización. Todo esto según se indica en los planos constructivos. </w:t>
      </w:r>
    </w:p>
    <w:p w14:paraId="0CB0E8EC" w14:textId="77777777" w:rsidR="009678D3" w:rsidRDefault="009678D3" w:rsidP="009678D3">
      <w:pPr>
        <w:rPr>
          <w:sz w:val="22"/>
          <w:szCs w:val="22"/>
        </w:rPr>
      </w:pPr>
    </w:p>
    <w:p w14:paraId="79E46BB7" w14:textId="77777777" w:rsidR="009678D3" w:rsidRDefault="009678D3" w:rsidP="009678D3">
      <w:pPr>
        <w:rPr>
          <w:sz w:val="22"/>
          <w:szCs w:val="22"/>
        </w:rPr>
      </w:pPr>
      <w:r>
        <w:rPr>
          <w:sz w:val="22"/>
          <w:szCs w:val="22"/>
        </w:rPr>
        <w:t>15.- El proyecto contempla la instalación de 2 PRP y 1 VRP en la línea de conducción, 3 PRP en la línea de aducción y 9 PRP y 3 VRP en la red, y la instalación de otras válvulas y accesorios para garantizar el buen funcionamiento hidráulico de las tuberías, ver planos.</w:t>
      </w:r>
    </w:p>
    <w:p w14:paraId="4B053E58" w14:textId="77777777" w:rsidR="009678D3" w:rsidRDefault="009678D3" w:rsidP="009678D3">
      <w:pPr>
        <w:rPr>
          <w:sz w:val="22"/>
          <w:szCs w:val="22"/>
        </w:rPr>
      </w:pPr>
    </w:p>
    <w:p w14:paraId="2335A158" w14:textId="77777777" w:rsidR="009678D3" w:rsidRDefault="009678D3" w:rsidP="009678D3">
      <w:pPr>
        <w:rPr>
          <w:sz w:val="22"/>
          <w:szCs w:val="22"/>
        </w:rPr>
      </w:pPr>
      <w:r>
        <w:rPr>
          <w:sz w:val="22"/>
          <w:szCs w:val="22"/>
        </w:rPr>
        <w:lastRenderedPageBreak/>
        <w:t>16.- La VRP que se instalara en la entrada de la PTAT se regulara en 30 m de presión para garantizar el adecuado funcionamiento hidráulico de la planta de tratamiento y de los procesos de retrolavados, según el oferente (Válvulas y Filtración) la planta demanda una presión mínima de 20 psi y máxima de 70 psi (14 y 49m).</w:t>
      </w:r>
    </w:p>
    <w:p w14:paraId="5B7B6B9C" w14:textId="77777777" w:rsidR="009678D3" w:rsidRDefault="009678D3" w:rsidP="009678D3">
      <w:pPr>
        <w:rPr>
          <w:sz w:val="22"/>
          <w:szCs w:val="22"/>
        </w:rPr>
      </w:pPr>
    </w:p>
    <w:p w14:paraId="28DC13D1" w14:textId="77777777" w:rsidR="009678D3" w:rsidRDefault="009678D3" w:rsidP="009678D3">
      <w:pPr>
        <w:rPr>
          <w:sz w:val="22"/>
          <w:szCs w:val="22"/>
        </w:rPr>
      </w:pPr>
      <w:r>
        <w:rPr>
          <w:sz w:val="22"/>
          <w:szCs w:val="22"/>
        </w:rPr>
        <w:t>17.- El costo de la tubería PVC incluye accesorios.</w:t>
      </w:r>
    </w:p>
    <w:p w14:paraId="1DF11218" w14:textId="77777777" w:rsidR="009678D3" w:rsidRDefault="009678D3" w:rsidP="009678D3">
      <w:pPr>
        <w:rPr>
          <w:sz w:val="22"/>
          <w:szCs w:val="22"/>
        </w:rPr>
      </w:pPr>
    </w:p>
    <w:p w14:paraId="444FDC0A" w14:textId="77777777" w:rsidR="009678D3" w:rsidRDefault="009678D3" w:rsidP="009678D3">
      <w:pPr>
        <w:rPr>
          <w:sz w:val="22"/>
          <w:szCs w:val="22"/>
        </w:rPr>
      </w:pPr>
      <w:r>
        <w:rPr>
          <w:sz w:val="22"/>
          <w:szCs w:val="22"/>
        </w:rPr>
        <w:t>18.- Las válvulas de hierro fundido en la red, deben ser de cuadrante, se aclara que el contratista debe proporcionar la extensión para la operación de las válvulas de cuadrante.</w:t>
      </w:r>
      <w:r w:rsidRPr="00E2736C">
        <w:rPr>
          <w:sz w:val="22"/>
          <w:szCs w:val="22"/>
        </w:rPr>
        <w:fldChar w:fldCharType="end"/>
      </w:r>
    </w:p>
    <w:p w14:paraId="46B943C0" w14:textId="77777777" w:rsidR="009678D3" w:rsidRDefault="009678D3" w:rsidP="009678D3">
      <w:pPr>
        <w:rPr>
          <w:sz w:val="22"/>
          <w:szCs w:val="22"/>
        </w:rPr>
      </w:pPr>
    </w:p>
    <w:p w14:paraId="4C68E79A" w14:textId="77777777" w:rsidR="009678D3" w:rsidRDefault="009678D3" w:rsidP="009678D3">
      <w:pPr>
        <w:rPr>
          <w:sz w:val="22"/>
          <w:szCs w:val="22"/>
        </w:rPr>
      </w:pPr>
      <w:r>
        <w:rPr>
          <w:sz w:val="22"/>
          <w:szCs w:val="22"/>
        </w:rPr>
        <w:t xml:space="preserve">19.- El plan de medidas ambientales que establece el PGA en la ejecución del proyecto es responsabilidad del contratista, CAPS y alcaldía municipal, </w:t>
      </w:r>
      <w:r w:rsidRPr="004B457C">
        <w:rPr>
          <w:sz w:val="22"/>
          <w:szCs w:val="22"/>
        </w:rPr>
        <w:t>ver informe del PGA</w:t>
      </w:r>
      <w:r>
        <w:rPr>
          <w:sz w:val="22"/>
          <w:szCs w:val="22"/>
        </w:rPr>
        <w:t xml:space="preserve"> en Anexo 5 de la factibilidad del proyecto. </w:t>
      </w:r>
    </w:p>
    <w:p w14:paraId="6F89EA64" w14:textId="77777777" w:rsidR="009678D3" w:rsidRDefault="009678D3" w:rsidP="009678D3">
      <w:pPr>
        <w:tabs>
          <w:tab w:val="left" w:pos="1134"/>
        </w:tabs>
        <w:rPr>
          <w:sz w:val="22"/>
          <w:szCs w:val="22"/>
        </w:rPr>
      </w:pPr>
    </w:p>
    <w:p w14:paraId="18F1EA4D" w14:textId="77777777" w:rsidR="009678D3" w:rsidRDefault="009678D3" w:rsidP="009678D3">
      <w:pPr>
        <w:tabs>
          <w:tab w:val="left" w:pos="1134"/>
        </w:tabs>
        <w:rPr>
          <w:sz w:val="22"/>
          <w:szCs w:val="22"/>
        </w:rPr>
      </w:pPr>
      <w:r>
        <w:rPr>
          <w:sz w:val="22"/>
          <w:szCs w:val="22"/>
        </w:rPr>
        <w:t>20- Para las tuberías PVC, s</w:t>
      </w:r>
      <w:r w:rsidRPr="00514700">
        <w:rPr>
          <w:sz w:val="22"/>
          <w:szCs w:val="22"/>
        </w:rPr>
        <w:t>u forma de pago será por metro de tubería instalada, conforme a los precios unitarios que se estipulan en la Oferta. Se procederá a pagar la tubería instalada hasta que se haya realizado sus respectivas prueba hidrostática y prueba de compactación aprobadas por el SUPERVISOR.</w:t>
      </w:r>
    </w:p>
    <w:p w14:paraId="13B65C13" w14:textId="77777777" w:rsidR="009678D3" w:rsidRPr="00514700" w:rsidRDefault="009678D3" w:rsidP="009678D3">
      <w:pPr>
        <w:tabs>
          <w:tab w:val="left" w:pos="1134"/>
        </w:tabs>
        <w:rPr>
          <w:sz w:val="22"/>
          <w:szCs w:val="22"/>
        </w:rPr>
      </w:pPr>
    </w:p>
    <w:p w14:paraId="55F6FF0C" w14:textId="77777777" w:rsidR="009678D3" w:rsidRDefault="009678D3" w:rsidP="009678D3">
      <w:pPr>
        <w:tabs>
          <w:tab w:val="left" w:pos="1134"/>
        </w:tabs>
        <w:rPr>
          <w:sz w:val="22"/>
          <w:szCs w:val="22"/>
        </w:rPr>
      </w:pPr>
      <w:r>
        <w:rPr>
          <w:sz w:val="22"/>
          <w:szCs w:val="22"/>
        </w:rPr>
        <w:t>21</w:t>
      </w:r>
      <w:r w:rsidRPr="00514700">
        <w:rPr>
          <w:sz w:val="22"/>
          <w:szCs w:val="22"/>
        </w:rPr>
        <w:t>- El Contratista suministrará a los comunitarios las herramientas y equipos necesarios para realizar efectivamente la excavación, estos costos (herramientas y equipos) deberán incluirlos en los costos indirectos. El Contratista debe asegurar que las excavaciones cumplan con la horizontalidad, verticalidad y profundidad de acuerdo a planos y especificaciones, así mismo el Contratista, a través del componente social deberá asegurar la organización de la comunidad para garantizar los trabajos de excavación en los plazos establecidos dentro del cronograma de ejecución, todo lo anterior deberá quedar registrado y evidenciado en los instrumentos correspondientes.</w:t>
      </w:r>
    </w:p>
    <w:p w14:paraId="7FA34766" w14:textId="77777777" w:rsidR="009678D3" w:rsidRPr="00514700" w:rsidRDefault="009678D3" w:rsidP="009678D3">
      <w:pPr>
        <w:tabs>
          <w:tab w:val="left" w:pos="1134"/>
        </w:tabs>
        <w:rPr>
          <w:sz w:val="22"/>
          <w:szCs w:val="22"/>
        </w:rPr>
      </w:pPr>
    </w:p>
    <w:p w14:paraId="35F6FE4E" w14:textId="77777777" w:rsidR="009678D3" w:rsidRDefault="009678D3" w:rsidP="009678D3">
      <w:pPr>
        <w:rPr>
          <w:sz w:val="22"/>
          <w:szCs w:val="22"/>
        </w:rPr>
      </w:pPr>
      <w:r>
        <w:rPr>
          <w:sz w:val="22"/>
          <w:szCs w:val="22"/>
        </w:rPr>
        <w:t>22</w:t>
      </w:r>
      <w:r w:rsidRPr="00514700">
        <w:rPr>
          <w:sz w:val="22"/>
          <w:szCs w:val="22"/>
        </w:rPr>
        <w:t>- La prueba de la tubería se hace a medida que la obra progresa, y en tramos no mayores de 300 metros de longitud, a criterio del Supervisor de Obras, por razones prácticas tales como las facilidades de aislamiento por válvulas y los tiempos de llenado y vaciado de las tuberías. Para la realización de esta prueba deben de estar todas las conexiones y accesorios del tramo instalados.</w:t>
      </w:r>
    </w:p>
    <w:p w14:paraId="5F86BFB0" w14:textId="77777777" w:rsidR="009678D3" w:rsidRDefault="009678D3" w:rsidP="009678D3">
      <w:pPr>
        <w:rPr>
          <w:sz w:val="22"/>
          <w:szCs w:val="22"/>
        </w:rPr>
      </w:pPr>
    </w:p>
    <w:p w14:paraId="4F74BC78" w14:textId="77777777" w:rsidR="009678D3" w:rsidRDefault="009678D3" w:rsidP="009678D3">
      <w:pPr>
        <w:rPr>
          <w:sz w:val="22"/>
          <w:szCs w:val="22"/>
        </w:rPr>
      </w:pPr>
      <w:r>
        <w:rPr>
          <w:sz w:val="22"/>
          <w:szCs w:val="22"/>
        </w:rPr>
        <w:t>23</w:t>
      </w:r>
      <w:r w:rsidRPr="00514700">
        <w:rPr>
          <w:sz w:val="22"/>
          <w:szCs w:val="22"/>
        </w:rPr>
        <w:t xml:space="preserve">- La restauración de superficies es responsabilidad del contratista, por lo que se </w:t>
      </w:r>
      <w:r>
        <w:rPr>
          <w:sz w:val="22"/>
          <w:szCs w:val="22"/>
        </w:rPr>
        <w:t xml:space="preserve">deberá restaurar a su condición </w:t>
      </w:r>
      <w:r w:rsidRPr="00514700">
        <w:rPr>
          <w:sz w:val="22"/>
          <w:szCs w:val="22"/>
        </w:rPr>
        <w:t>original, toda superficie removida o perturbada por él durante la ejecución de la obra, incluyendo restauración de aceras, cunetas, calles, etc.</w:t>
      </w:r>
    </w:p>
    <w:p w14:paraId="4C6F3942" w14:textId="77777777" w:rsidR="009678D3" w:rsidRPr="00514700" w:rsidRDefault="009678D3" w:rsidP="009678D3">
      <w:pPr>
        <w:rPr>
          <w:sz w:val="22"/>
          <w:szCs w:val="22"/>
        </w:rPr>
      </w:pPr>
    </w:p>
    <w:p w14:paraId="61F487DE" w14:textId="77777777" w:rsidR="009678D3" w:rsidRDefault="009678D3" w:rsidP="009678D3">
      <w:pPr>
        <w:rPr>
          <w:sz w:val="22"/>
          <w:szCs w:val="22"/>
        </w:rPr>
      </w:pPr>
      <w:r>
        <w:rPr>
          <w:sz w:val="22"/>
          <w:szCs w:val="22"/>
        </w:rPr>
        <w:t>24</w:t>
      </w:r>
      <w:r w:rsidRPr="00C5006B">
        <w:rPr>
          <w:sz w:val="22"/>
          <w:szCs w:val="22"/>
        </w:rPr>
        <w:t xml:space="preserve">- </w:t>
      </w:r>
      <w:r>
        <w:rPr>
          <w:sz w:val="22"/>
          <w:szCs w:val="22"/>
        </w:rPr>
        <w:t xml:space="preserve">El cerramiento de malla ciclón de hierro galvanizado Cal.#12 se ubicará en el cobertizo para la planta de tratamiento, según como se muestran en los planos constructivos. </w:t>
      </w:r>
    </w:p>
    <w:p w14:paraId="7D0D4941" w14:textId="77777777" w:rsidR="009678D3" w:rsidRDefault="009678D3" w:rsidP="009678D3">
      <w:pPr>
        <w:rPr>
          <w:sz w:val="22"/>
          <w:szCs w:val="22"/>
        </w:rPr>
      </w:pPr>
    </w:p>
    <w:p w14:paraId="01C03B41" w14:textId="77777777" w:rsidR="009678D3" w:rsidRDefault="009678D3" w:rsidP="009678D3">
      <w:pPr>
        <w:rPr>
          <w:sz w:val="22"/>
          <w:szCs w:val="22"/>
        </w:rPr>
      </w:pPr>
      <w:r>
        <w:rPr>
          <w:sz w:val="22"/>
          <w:szCs w:val="22"/>
        </w:rPr>
        <w:t xml:space="preserve">25- El perímetro de los predios del tanque No. 1 y No. 2 será cercado con postes de concreto pretensado Alt.= 2.55 m a cada 2.50 m con 7 hiladas de alambre de púas cal.# 13 ½” con bases de concreto, según se indican en los planos constructivos. </w:t>
      </w:r>
    </w:p>
    <w:p w14:paraId="46ADCACF" w14:textId="77777777" w:rsidR="009678D3" w:rsidRPr="00C5006B" w:rsidRDefault="009678D3" w:rsidP="009678D3">
      <w:pPr>
        <w:rPr>
          <w:sz w:val="22"/>
          <w:szCs w:val="22"/>
        </w:rPr>
      </w:pPr>
    </w:p>
    <w:p w14:paraId="144A48C3" w14:textId="77777777" w:rsidR="009678D3" w:rsidRPr="00C5006B" w:rsidRDefault="009678D3" w:rsidP="009678D3">
      <w:pPr>
        <w:rPr>
          <w:sz w:val="22"/>
          <w:szCs w:val="22"/>
        </w:rPr>
      </w:pPr>
      <w:r>
        <w:rPr>
          <w:sz w:val="22"/>
          <w:szCs w:val="22"/>
        </w:rPr>
        <w:t>24- La planta de tratamiento de agua potable para este proyecto contará con las siguientes características:</w:t>
      </w:r>
    </w:p>
    <w:p w14:paraId="00D617FE" w14:textId="77777777" w:rsidR="009678D3" w:rsidRPr="00C5006B" w:rsidRDefault="009678D3" w:rsidP="009678D3">
      <w:pPr>
        <w:rPr>
          <w:sz w:val="22"/>
          <w:szCs w:val="22"/>
        </w:rPr>
      </w:pPr>
    </w:p>
    <w:p w14:paraId="306312C3" w14:textId="77777777" w:rsidR="009678D3" w:rsidRPr="00203500" w:rsidRDefault="009678D3" w:rsidP="009678D3">
      <w:pPr>
        <w:rPr>
          <w:b/>
        </w:rPr>
      </w:pPr>
      <w:r w:rsidRPr="00203500">
        <w:rPr>
          <w:b/>
        </w:rPr>
        <w:t>DATOS DE DISEÑO</w:t>
      </w:r>
    </w:p>
    <w:p w14:paraId="63D3921D" w14:textId="77777777" w:rsidR="009678D3" w:rsidRPr="00203500" w:rsidRDefault="009678D3" w:rsidP="009678D3">
      <w:r w:rsidRPr="00203500">
        <w:t xml:space="preserve">Caudal </w:t>
      </w:r>
      <w:r>
        <w:t>Nominal: 9.54</w:t>
      </w:r>
      <w:r w:rsidRPr="00203500">
        <w:t xml:space="preserve"> m³/hr</w:t>
      </w:r>
    </w:p>
    <w:p w14:paraId="46994E9F" w14:textId="77777777" w:rsidR="009678D3" w:rsidRPr="00203500" w:rsidRDefault="009678D3" w:rsidP="009678D3">
      <w:r>
        <w:t>Velocidad de Filtrado: 5.0</w:t>
      </w:r>
      <w:r w:rsidRPr="00203500">
        <w:t xml:space="preserve"> m/hr</w:t>
      </w:r>
    </w:p>
    <w:p w14:paraId="0269F119" w14:textId="77777777" w:rsidR="009678D3" w:rsidRPr="00203500" w:rsidRDefault="009678D3" w:rsidP="009678D3">
      <w:r>
        <w:t>Caudal de Retrolavado: 9.54 m</w:t>
      </w:r>
      <w:r>
        <w:rPr>
          <w:rFonts w:ascii="Calibri" w:hAnsi="Calibri"/>
        </w:rPr>
        <w:t>³</w:t>
      </w:r>
      <w:r>
        <w:t>/h</w:t>
      </w:r>
    </w:p>
    <w:p w14:paraId="3552FC90" w14:textId="77777777" w:rsidR="009678D3" w:rsidRPr="00203500" w:rsidRDefault="009678D3" w:rsidP="009678D3">
      <w:r w:rsidRPr="00203500">
        <w:t>Presión</w:t>
      </w:r>
      <w:r>
        <w:t xml:space="preserve"> mínima_Operación requerida:  20</w:t>
      </w:r>
      <w:r w:rsidRPr="00203500">
        <w:t xml:space="preserve"> PSI</w:t>
      </w:r>
    </w:p>
    <w:p w14:paraId="4BAFE7CC" w14:textId="77777777" w:rsidR="009678D3" w:rsidRPr="00203500" w:rsidRDefault="009678D3" w:rsidP="009678D3">
      <w:r w:rsidRPr="00203500">
        <w:t>Presión</w:t>
      </w:r>
      <w:r>
        <w:t xml:space="preserve"> máxima_Operación requerida:  70</w:t>
      </w:r>
      <w:r w:rsidRPr="00203500">
        <w:t xml:space="preserve"> PSI</w:t>
      </w:r>
    </w:p>
    <w:p w14:paraId="365C5287" w14:textId="77777777" w:rsidR="009678D3" w:rsidRPr="00203500" w:rsidRDefault="009678D3" w:rsidP="009678D3"/>
    <w:p w14:paraId="0ED6E195" w14:textId="77777777" w:rsidR="009678D3" w:rsidRPr="00092540" w:rsidRDefault="009678D3" w:rsidP="009678D3">
      <w:pPr>
        <w:rPr>
          <w:b/>
        </w:rPr>
      </w:pPr>
      <w:r w:rsidRPr="00092540">
        <w:rPr>
          <w:b/>
        </w:rPr>
        <w:t>COMPONENTES DEL SISTEMA</w:t>
      </w:r>
    </w:p>
    <w:p w14:paraId="6498D11E" w14:textId="77777777" w:rsidR="009678D3" w:rsidRDefault="009678D3" w:rsidP="009678D3">
      <w:r>
        <w:t>La planta de tratamiento contempla los siguientes componentes:</w:t>
      </w:r>
    </w:p>
    <w:p w14:paraId="559B4A62" w14:textId="77777777" w:rsidR="009678D3" w:rsidRDefault="009678D3" w:rsidP="009678D3"/>
    <w:p w14:paraId="41816D50" w14:textId="77777777" w:rsidR="009678D3" w:rsidRDefault="009678D3" w:rsidP="009678D3">
      <w:pPr>
        <w:pStyle w:val="Prrafodelista"/>
        <w:numPr>
          <w:ilvl w:val="0"/>
          <w:numId w:val="200"/>
        </w:numPr>
        <w:contextualSpacing/>
      </w:pPr>
      <w:r>
        <w:t>03 filtros de media de diámetro 36”.</w:t>
      </w:r>
    </w:p>
    <w:p w14:paraId="1D4B7C7E" w14:textId="77777777" w:rsidR="009678D3" w:rsidRDefault="009678D3" w:rsidP="009678D3">
      <w:pPr>
        <w:pStyle w:val="Prrafodelista"/>
        <w:numPr>
          <w:ilvl w:val="0"/>
          <w:numId w:val="200"/>
        </w:numPr>
        <w:contextualSpacing/>
      </w:pPr>
      <w:r>
        <w:t>Válvulas de diámetro 2”.</w:t>
      </w:r>
    </w:p>
    <w:p w14:paraId="73F3ACDC" w14:textId="77777777" w:rsidR="009678D3" w:rsidRDefault="009678D3" w:rsidP="009678D3">
      <w:pPr>
        <w:pStyle w:val="Prrafodelista"/>
        <w:numPr>
          <w:ilvl w:val="0"/>
          <w:numId w:val="200"/>
        </w:numPr>
        <w:contextualSpacing/>
      </w:pPr>
      <w:r>
        <w:t xml:space="preserve">Lote de accesorios de PVC. </w:t>
      </w:r>
    </w:p>
    <w:p w14:paraId="663B71E0" w14:textId="77777777" w:rsidR="009678D3" w:rsidRDefault="009678D3" w:rsidP="009678D3">
      <w:pPr>
        <w:pStyle w:val="Prrafodelista"/>
        <w:numPr>
          <w:ilvl w:val="0"/>
          <w:numId w:val="200"/>
        </w:numPr>
        <w:contextualSpacing/>
      </w:pPr>
      <w:r>
        <w:t>Manómetro Entrada/Salida.</w:t>
      </w:r>
    </w:p>
    <w:p w14:paraId="118C8541" w14:textId="77777777" w:rsidR="009678D3" w:rsidRDefault="009678D3" w:rsidP="009678D3">
      <w:pPr>
        <w:pStyle w:val="Prrafodelista"/>
        <w:numPr>
          <w:ilvl w:val="0"/>
          <w:numId w:val="200"/>
        </w:numPr>
        <w:contextualSpacing/>
      </w:pPr>
      <w:r>
        <w:t>Ventosa.</w:t>
      </w:r>
    </w:p>
    <w:p w14:paraId="56E0D126" w14:textId="77777777" w:rsidR="009678D3" w:rsidRDefault="009678D3" w:rsidP="009678D3">
      <w:pPr>
        <w:pStyle w:val="Prrafodelista"/>
        <w:numPr>
          <w:ilvl w:val="0"/>
          <w:numId w:val="200"/>
        </w:numPr>
        <w:contextualSpacing/>
      </w:pPr>
      <w:r>
        <w:t>Niplería PVC SDR 17.</w:t>
      </w:r>
    </w:p>
    <w:p w14:paraId="09C48409" w14:textId="77777777" w:rsidR="009678D3" w:rsidRDefault="009678D3" w:rsidP="009678D3">
      <w:pPr>
        <w:pStyle w:val="Prrafodelista"/>
        <w:numPr>
          <w:ilvl w:val="0"/>
          <w:numId w:val="200"/>
        </w:numPr>
        <w:contextualSpacing/>
      </w:pPr>
      <w:r>
        <w:t xml:space="preserve">Bomba dosificadora de sulfato de aluminio. </w:t>
      </w:r>
    </w:p>
    <w:p w14:paraId="530A0FF4" w14:textId="77777777" w:rsidR="009678D3" w:rsidRDefault="009678D3" w:rsidP="009678D3">
      <w:pPr>
        <w:pStyle w:val="Prrafodelista"/>
        <w:numPr>
          <w:ilvl w:val="0"/>
          <w:numId w:val="200"/>
        </w:numPr>
        <w:contextualSpacing/>
      </w:pPr>
      <w:r>
        <w:t>Hipoclorador de plástico de capacidad 33 galones.</w:t>
      </w:r>
    </w:p>
    <w:p w14:paraId="4412F6CE" w14:textId="77777777" w:rsidR="009678D3" w:rsidRDefault="009678D3" w:rsidP="009678D3">
      <w:pPr>
        <w:pStyle w:val="Prrafodelista"/>
        <w:numPr>
          <w:ilvl w:val="0"/>
          <w:numId w:val="200"/>
        </w:numPr>
        <w:contextualSpacing/>
      </w:pPr>
      <w:r>
        <w:t>20 kg de sulfato de aluminio.</w:t>
      </w:r>
    </w:p>
    <w:p w14:paraId="26931DA5" w14:textId="77777777" w:rsidR="009678D3" w:rsidRDefault="009678D3" w:rsidP="009678D3">
      <w:pPr>
        <w:pStyle w:val="Prrafodelista"/>
        <w:numPr>
          <w:ilvl w:val="0"/>
          <w:numId w:val="200"/>
        </w:numPr>
        <w:contextualSpacing/>
      </w:pPr>
      <w:r>
        <w:t xml:space="preserve">Medias filtrantes: </w:t>
      </w:r>
      <m:oMath>
        <m:sSup>
          <m:sSupPr>
            <m:ctrlPr>
              <w:rPr>
                <w:rFonts w:ascii="Cambria Math" w:hAnsi="Cambria Math"/>
                <w:i/>
              </w:rPr>
            </m:ctrlPr>
          </m:sSupPr>
          <m:e>
            <m:r>
              <w:rPr>
                <w:rFonts w:ascii="Cambria Math" w:hAnsi="Cambria Math"/>
              </w:rPr>
              <m:t>Micro-Z</m:t>
            </m:r>
          </m:e>
          <m:sup>
            <m:r>
              <w:rPr>
                <w:rFonts w:ascii="Cambria Math" w:hAnsi="Cambria Math"/>
              </w:rPr>
              <m:t>TM</m:t>
            </m:r>
          </m:sup>
        </m:sSup>
      </m:oMath>
      <w:r>
        <w:t xml:space="preserve"> más </w:t>
      </w:r>
      <m:oMath>
        <m:sSup>
          <m:sSupPr>
            <m:ctrlPr>
              <w:rPr>
                <w:rFonts w:ascii="Cambria Math" w:hAnsi="Cambria Math"/>
                <w:i/>
              </w:rPr>
            </m:ctrlPr>
          </m:sSupPr>
          <m:e>
            <m:r>
              <w:rPr>
                <w:rFonts w:ascii="Cambria Math" w:hAnsi="Cambria Math"/>
              </w:rPr>
              <m:t>Filox-R</m:t>
            </m:r>
          </m:e>
          <m:sup>
            <m:r>
              <w:rPr>
                <w:rFonts w:ascii="Cambria Math" w:hAnsi="Cambria Math"/>
              </w:rPr>
              <m:t>TM</m:t>
            </m:r>
          </m:sup>
        </m:sSup>
      </m:oMath>
      <w:r>
        <w:t xml:space="preserve"> más Arena Soporte.</w:t>
      </w:r>
    </w:p>
    <w:p w14:paraId="74E5107D" w14:textId="77777777" w:rsidR="009678D3" w:rsidRPr="00812DEB" w:rsidRDefault="009678D3" w:rsidP="009678D3">
      <w:pPr>
        <w:ind w:left="360"/>
      </w:pPr>
    </w:p>
    <w:p w14:paraId="12B68B8A" w14:textId="77777777" w:rsidR="009678D3" w:rsidRPr="00FD0648" w:rsidRDefault="009678D3" w:rsidP="009678D3">
      <w:pPr>
        <w:rPr>
          <w:b/>
          <w:lang w:eastAsia="en-GB"/>
        </w:rPr>
      </w:pPr>
      <w:r>
        <w:rPr>
          <w:b/>
          <w:lang w:eastAsia="en-GB"/>
        </w:rPr>
        <w:t>Hipoclorador de carga constante</w:t>
      </w:r>
      <w:r w:rsidRPr="00FD0648">
        <w:rPr>
          <w:b/>
          <w:lang w:eastAsia="en-GB"/>
        </w:rPr>
        <w:t xml:space="preserve"> y sulfato de aluminio.</w:t>
      </w:r>
    </w:p>
    <w:p w14:paraId="0013F7FE" w14:textId="77777777" w:rsidR="009678D3" w:rsidRDefault="009678D3" w:rsidP="009678D3">
      <w:pPr>
        <w:rPr>
          <w:lang w:eastAsia="en-GB"/>
        </w:rPr>
      </w:pPr>
      <w:r w:rsidRPr="00FD0648">
        <w:rPr>
          <w:lang w:eastAsia="en-GB"/>
        </w:rPr>
        <w:t xml:space="preserve">Estos dosificadores van a inyectar los productos químicos necesarios para la coagulación/ floculación y desinfección final del agua tratada. </w:t>
      </w:r>
    </w:p>
    <w:p w14:paraId="191D69FF" w14:textId="77777777" w:rsidR="009678D3" w:rsidRDefault="009678D3" w:rsidP="009678D3">
      <w:pPr>
        <w:rPr>
          <w:b/>
          <w:lang w:eastAsia="en-GB"/>
        </w:rPr>
      </w:pPr>
    </w:p>
    <w:p w14:paraId="18782140" w14:textId="77777777" w:rsidR="009678D3" w:rsidRDefault="009678D3" w:rsidP="009678D3">
      <w:pPr>
        <w:rPr>
          <w:b/>
          <w:lang w:eastAsia="en-GB"/>
        </w:rPr>
      </w:pPr>
      <w:r w:rsidRPr="00320EA4">
        <w:rPr>
          <w:b/>
          <w:lang w:eastAsia="en-GB"/>
        </w:rPr>
        <w:t>Prefiltros</w:t>
      </w:r>
    </w:p>
    <w:p w14:paraId="53A04B91" w14:textId="77777777" w:rsidR="009678D3" w:rsidRPr="00320EA4" w:rsidRDefault="009678D3" w:rsidP="009678D3">
      <w:pPr>
        <w:rPr>
          <w:b/>
          <w:lang w:eastAsia="en-GB"/>
        </w:rPr>
      </w:pPr>
    </w:p>
    <w:p w14:paraId="477FCD9D" w14:textId="77777777" w:rsidR="009678D3" w:rsidRPr="00181F97" w:rsidRDefault="009678D3" w:rsidP="009678D3">
      <w:pPr>
        <w:pStyle w:val="HTMLconformatoprevio"/>
        <w:shd w:val="clear" w:color="auto" w:fill="F8F9FA"/>
        <w:jc w:val="both"/>
        <w:rPr>
          <w:rFonts w:ascii="Times New Roman" w:hAnsi="Times New Roman" w:cs="Times New Roman"/>
          <w:sz w:val="24"/>
          <w:lang w:val="es-NI" w:eastAsia="en-GB"/>
        </w:rPr>
      </w:pPr>
      <w:r w:rsidRPr="00181F97">
        <w:rPr>
          <w:rFonts w:ascii="Times New Roman" w:hAnsi="Times New Roman" w:cs="Times New Roman"/>
          <w:sz w:val="24"/>
          <w:lang w:val="es-NI" w:eastAsia="en-GB"/>
        </w:rPr>
        <w:t xml:space="preserve">Está compuesto por 3 filtros de acero, los cuales utilizan un diseño único de una cámara de doble fondo, dividida por una placa de acero reforzada soldada. La cámara superior contiene los medios de grava (o arena), la cámara inferior está vacía y recoge el agua filtrada. La placa está cubierta por difusores de "hongos" que son unidades cónicas de plástico ranuradas. Ellos dispersan el agua de manera uniforme, utilizando eficazmente todo el volumen de medios evitando la ocurrencia de canalización o apelmazamiento cuando se opera correctamente. </w:t>
      </w:r>
    </w:p>
    <w:p w14:paraId="0CFFE2CB" w14:textId="77777777" w:rsidR="009678D3" w:rsidRPr="00181F97" w:rsidRDefault="009678D3" w:rsidP="009678D3">
      <w:pPr>
        <w:pStyle w:val="HTMLconformatoprevio"/>
        <w:shd w:val="clear" w:color="auto" w:fill="F8F9FA"/>
        <w:jc w:val="both"/>
        <w:rPr>
          <w:rFonts w:ascii="Times New Roman" w:hAnsi="Times New Roman" w:cs="Times New Roman"/>
          <w:sz w:val="24"/>
          <w:lang w:val="es-NI" w:eastAsia="en-GB"/>
        </w:rPr>
      </w:pPr>
    </w:p>
    <w:p w14:paraId="4FAC48A8" w14:textId="77777777" w:rsidR="009678D3" w:rsidRPr="00181F97" w:rsidRDefault="009678D3" w:rsidP="009678D3">
      <w:pPr>
        <w:pStyle w:val="HTMLconformatoprevio"/>
        <w:shd w:val="clear" w:color="auto" w:fill="F8F9FA"/>
        <w:jc w:val="both"/>
        <w:rPr>
          <w:rFonts w:ascii="Times New Roman" w:hAnsi="Times New Roman" w:cs="Times New Roman"/>
          <w:sz w:val="24"/>
          <w:lang w:val="es-NI" w:eastAsia="en-GB"/>
        </w:rPr>
      </w:pPr>
      <w:r w:rsidRPr="00181F97">
        <w:rPr>
          <w:rFonts w:ascii="Times New Roman" w:hAnsi="Times New Roman" w:cs="Times New Roman"/>
          <w:sz w:val="24"/>
          <w:lang w:val="es-NI" w:eastAsia="en-GB"/>
        </w:rPr>
        <w:t xml:space="preserve">Este filtro es particularmente adecuado para retrolavado - un proceso que involucra la inversión del flujo de agua, causando una expansión turbulenta de los medios como lecho fluidizado. Esto elimina los escombros atrapados de manera efectiva. </w:t>
      </w:r>
    </w:p>
    <w:p w14:paraId="1F6C36BD" w14:textId="77777777" w:rsidR="009678D3" w:rsidRPr="00320EA4" w:rsidRDefault="009678D3" w:rsidP="009678D3">
      <w:pPr>
        <w:rPr>
          <w:lang w:eastAsia="en-GB"/>
        </w:rPr>
      </w:pPr>
    </w:p>
    <w:p w14:paraId="157CC51B" w14:textId="77777777" w:rsidR="009678D3" w:rsidRPr="00320EA4" w:rsidRDefault="009678D3" w:rsidP="009678D3">
      <w:pPr>
        <w:rPr>
          <w:lang w:eastAsia="en-GB"/>
        </w:rPr>
      </w:pPr>
      <w:r>
        <w:rPr>
          <w:lang w:eastAsia="en-GB"/>
        </w:rPr>
        <w:t xml:space="preserve">Estos filtros estarán compuestos por una media filtrante granular permitiendo que las partículas penetren profundamente en la cama de filtración para proveer una filtración superior al aumentar la velocidad del flujo removiendo la turbidez, color y solidos suspendidos (Micro – Z); y una media filtrante para remover el hierro, sulfato de hidrógeno y manganeso (Filox – R).  </w:t>
      </w:r>
    </w:p>
    <w:p w14:paraId="6EA26B7B" w14:textId="77777777" w:rsidR="009678D3" w:rsidRDefault="009678D3" w:rsidP="009678D3">
      <w:pPr>
        <w:rPr>
          <w:lang w:eastAsia="en-GB"/>
        </w:rPr>
      </w:pPr>
    </w:p>
    <w:p w14:paraId="6802433E" w14:textId="77777777" w:rsidR="009678D3" w:rsidRDefault="009678D3" w:rsidP="009678D3">
      <w:pPr>
        <w:rPr>
          <w:lang w:eastAsia="en-GB"/>
        </w:rPr>
      </w:pPr>
      <w:r>
        <w:rPr>
          <w:lang w:eastAsia="en-GB"/>
        </w:rPr>
        <w:t>Los filtros operan</w:t>
      </w:r>
      <w:r w:rsidRPr="00320EA4">
        <w:rPr>
          <w:lang w:eastAsia="en-GB"/>
        </w:rPr>
        <w:t xml:space="preserve"> de acuerdo con los siguientes parámetros: </w:t>
      </w:r>
    </w:p>
    <w:p w14:paraId="39DAA194" w14:textId="77777777" w:rsidR="009678D3" w:rsidRPr="00320EA4" w:rsidRDefault="009678D3" w:rsidP="009678D3">
      <w:pPr>
        <w:rPr>
          <w:lang w:eastAsia="en-GB"/>
        </w:rPr>
      </w:pPr>
    </w:p>
    <w:p w14:paraId="13756E81" w14:textId="77777777" w:rsidR="009678D3" w:rsidRPr="005914B3" w:rsidRDefault="009678D3" w:rsidP="009678D3">
      <w:pPr>
        <w:pStyle w:val="Prrafodelista"/>
        <w:numPr>
          <w:ilvl w:val="0"/>
          <w:numId w:val="199"/>
        </w:numPr>
        <w:contextualSpacing/>
        <w:jc w:val="left"/>
        <w:rPr>
          <w:rFonts w:eastAsiaTheme="minorHAnsi"/>
          <w:lang w:val="es-ES" w:eastAsia="en-GB"/>
        </w:rPr>
      </w:pPr>
      <w:r w:rsidRPr="00320EA4">
        <w:rPr>
          <w:rFonts w:eastAsiaTheme="minorHAnsi"/>
          <w:lang w:val="es-ES" w:eastAsia="en-GB"/>
        </w:rPr>
        <w:t>Diámetro de acopl</w:t>
      </w:r>
      <w:r>
        <w:rPr>
          <w:rFonts w:eastAsiaTheme="minorHAnsi"/>
          <w:lang w:val="es-ES" w:eastAsia="en-GB"/>
        </w:rPr>
        <w:t>e: 3”</w:t>
      </w:r>
    </w:p>
    <w:p w14:paraId="1B1D0622" w14:textId="77777777" w:rsidR="009678D3" w:rsidRDefault="009678D3" w:rsidP="009678D3">
      <w:pPr>
        <w:pStyle w:val="Prrafodelista"/>
        <w:numPr>
          <w:ilvl w:val="0"/>
          <w:numId w:val="200"/>
        </w:numPr>
        <w:contextualSpacing/>
      </w:pPr>
      <w:r>
        <w:rPr>
          <w:rFonts w:eastAsiaTheme="minorHAnsi"/>
          <w:lang w:val="es-ES" w:eastAsia="en-GB"/>
        </w:rPr>
        <w:t xml:space="preserve">Medio filtrante: </w:t>
      </w:r>
      <m:oMath>
        <m:sSup>
          <m:sSupPr>
            <m:ctrlPr>
              <w:rPr>
                <w:rFonts w:ascii="Cambria Math" w:hAnsi="Cambria Math"/>
                <w:i/>
              </w:rPr>
            </m:ctrlPr>
          </m:sSupPr>
          <m:e>
            <m:r>
              <w:rPr>
                <w:rFonts w:ascii="Cambria Math" w:hAnsi="Cambria Math"/>
              </w:rPr>
              <m:t>Micro-Z</m:t>
            </m:r>
          </m:e>
          <m:sup>
            <m:r>
              <w:rPr>
                <w:rFonts w:ascii="Cambria Math" w:hAnsi="Cambria Math"/>
              </w:rPr>
              <m:t>TM</m:t>
            </m:r>
          </m:sup>
        </m:sSup>
      </m:oMath>
      <w:r>
        <w:t xml:space="preserve"> más </w:t>
      </w:r>
      <m:oMath>
        <m:sSup>
          <m:sSupPr>
            <m:ctrlPr>
              <w:rPr>
                <w:rFonts w:ascii="Cambria Math" w:hAnsi="Cambria Math"/>
                <w:i/>
              </w:rPr>
            </m:ctrlPr>
          </m:sSupPr>
          <m:e>
            <m:r>
              <w:rPr>
                <w:rFonts w:ascii="Cambria Math" w:hAnsi="Cambria Math"/>
              </w:rPr>
              <m:t>Filox-R</m:t>
            </m:r>
          </m:e>
          <m:sup>
            <m:r>
              <w:rPr>
                <w:rFonts w:ascii="Cambria Math" w:hAnsi="Cambria Math"/>
              </w:rPr>
              <m:t>TM</m:t>
            </m:r>
          </m:sup>
        </m:sSup>
      </m:oMath>
      <w:r>
        <w:t xml:space="preserve"> más Arena Soporte.</w:t>
      </w:r>
    </w:p>
    <w:p w14:paraId="438113D4" w14:textId="77777777" w:rsidR="009678D3" w:rsidRDefault="009678D3" w:rsidP="009678D3">
      <w:pPr>
        <w:pStyle w:val="Prrafodelista"/>
        <w:numPr>
          <w:ilvl w:val="0"/>
          <w:numId w:val="200"/>
        </w:numPr>
        <w:contextualSpacing/>
      </w:pPr>
      <w:r>
        <w:t>Dimensiones de los filtros:</w:t>
      </w:r>
    </w:p>
    <w:p w14:paraId="49E27ED0" w14:textId="77777777" w:rsidR="009678D3" w:rsidRDefault="009678D3" w:rsidP="009678D3"/>
    <w:p w14:paraId="1127C064" w14:textId="77777777" w:rsidR="009678D3" w:rsidRPr="005914B3" w:rsidRDefault="009678D3" w:rsidP="009678D3">
      <w:pPr>
        <w:jc w:val="center"/>
      </w:pPr>
      <w:r>
        <w:rPr>
          <w:noProof/>
          <w:lang w:val="es-MX" w:eastAsia="es-MX"/>
        </w:rPr>
        <w:drawing>
          <wp:inline distT="0" distB="0" distL="0" distR="0" wp14:anchorId="371EDE98" wp14:editId="364E2B56">
            <wp:extent cx="5474524" cy="507313"/>
            <wp:effectExtent l="0" t="0" r="0" b="7620"/>
            <wp:docPr id="21574" name="Imagen 2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0526" cy="511576"/>
                    </a:xfrm>
                    <a:prstGeom prst="rect">
                      <a:avLst/>
                    </a:prstGeom>
                  </pic:spPr>
                </pic:pic>
              </a:graphicData>
            </a:graphic>
          </wp:inline>
        </w:drawing>
      </w:r>
    </w:p>
    <w:p w14:paraId="3D0C731A" w14:textId="77777777" w:rsidR="009678D3" w:rsidRDefault="009678D3" w:rsidP="009678D3">
      <w:pPr>
        <w:jc w:val="center"/>
        <w:rPr>
          <w:lang w:eastAsia="en-GB"/>
        </w:rPr>
      </w:pPr>
      <w:r>
        <w:rPr>
          <w:noProof/>
          <w:lang w:val="es-MX" w:eastAsia="es-MX"/>
        </w:rPr>
        <w:lastRenderedPageBreak/>
        <w:drawing>
          <wp:inline distT="0" distB="0" distL="0" distR="0" wp14:anchorId="6FE14BF8" wp14:editId="312C5F1B">
            <wp:extent cx="5480462" cy="253002"/>
            <wp:effectExtent l="0" t="0" r="0" b="0"/>
            <wp:docPr id="21575" name="Imagen 2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8151" cy="254742"/>
                    </a:xfrm>
                    <a:prstGeom prst="rect">
                      <a:avLst/>
                    </a:prstGeom>
                  </pic:spPr>
                </pic:pic>
              </a:graphicData>
            </a:graphic>
          </wp:inline>
        </w:drawing>
      </w:r>
    </w:p>
    <w:p w14:paraId="21A87DD2" w14:textId="77777777" w:rsidR="009678D3" w:rsidRDefault="009678D3" w:rsidP="009678D3">
      <w:pPr>
        <w:jc w:val="center"/>
        <w:rPr>
          <w:lang w:eastAsia="en-GB"/>
        </w:rPr>
      </w:pPr>
    </w:p>
    <w:p w14:paraId="57EF9ECE" w14:textId="77777777" w:rsidR="009678D3" w:rsidRDefault="009678D3" w:rsidP="009678D3">
      <w:pPr>
        <w:rPr>
          <w:lang w:eastAsia="en-GB"/>
        </w:rPr>
      </w:pPr>
      <w:r>
        <w:rPr>
          <w:lang w:eastAsia="en-GB"/>
        </w:rPr>
        <w:br w:type="page"/>
      </w:r>
    </w:p>
    <w:p w14:paraId="1EAC238C" w14:textId="77777777" w:rsidR="009678D3" w:rsidRDefault="009678D3" w:rsidP="009678D3">
      <w:pPr>
        <w:jc w:val="center"/>
        <w:rPr>
          <w:lang w:eastAsia="en-GB"/>
        </w:rPr>
      </w:pPr>
    </w:p>
    <w:p w14:paraId="4CDC7C1D" w14:textId="77777777" w:rsidR="009678D3" w:rsidRDefault="009678D3" w:rsidP="009678D3">
      <w:pPr>
        <w:jc w:val="center"/>
        <w:rPr>
          <w:lang w:eastAsia="en-GB"/>
        </w:rPr>
      </w:pPr>
    </w:p>
    <w:p w14:paraId="41923E99" w14:textId="77777777" w:rsidR="009678D3" w:rsidRPr="005D3FD3" w:rsidRDefault="009678D3" w:rsidP="009678D3">
      <w:pPr>
        <w:jc w:val="center"/>
        <w:rPr>
          <w:lang w:eastAsia="en-GB"/>
        </w:rPr>
      </w:pPr>
    </w:p>
    <w:p w14:paraId="22785A29" w14:textId="77777777" w:rsidR="009678D3" w:rsidRDefault="009678D3" w:rsidP="009678D3">
      <w:pPr>
        <w:jc w:val="center"/>
        <w:rPr>
          <w:lang w:eastAsia="en-GB"/>
        </w:rPr>
      </w:pPr>
      <w:r>
        <w:rPr>
          <w:noProof/>
          <w:lang w:val="es-MX" w:eastAsia="es-MX"/>
        </w:rPr>
        <w:drawing>
          <wp:inline distT="0" distB="0" distL="0" distR="0" wp14:anchorId="0E496BF3" wp14:editId="31BEF44A">
            <wp:extent cx="1984905" cy="2860158"/>
            <wp:effectExtent l="0" t="0" r="0" b="0"/>
            <wp:docPr id="21576" name="Imagen 2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293" t="2688" r="6310" b="3554"/>
                    <a:stretch/>
                  </pic:blipFill>
                  <pic:spPr bwMode="auto">
                    <a:xfrm>
                      <a:off x="0" y="0"/>
                      <a:ext cx="2006623" cy="2891452"/>
                    </a:xfrm>
                    <a:prstGeom prst="rect">
                      <a:avLst/>
                    </a:prstGeom>
                    <a:ln>
                      <a:noFill/>
                    </a:ln>
                    <a:extLst>
                      <a:ext uri="{53640926-AAD7-44D8-BBD7-CCE9431645EC}">
                        <a14:shadowObscured xmlns:a14="http://schemas.microsoft.com/office/drawing/2010/main"/>
                      </a:ext>
                    </a:extLst>
                  </pic:spPr>
                </pic:pic>
              </a:graphicData>
            </a:graphic>
          </wp:inline>
        </w:drawing>
      </w:r>
    </w:p>
    <w:p w14:paraId="7E27A3EB" w14:textId="77777777" w:rsidR="009678D3" w:rsidRDefault="009678D3" w:rsidP="009678D3">
      <w:pPr>
        <w:rPr>
          <w:lang w:eastAsia="en-GB"/>
        </w:rPr>
      </w:pPr>
    </w:p>
    <w:p w14:paraId="51C86415" w14:textId="77777777" w:rsidR="009678D3" w:rsidRDefault="009678D3" w:rsidP="009678D3">
      <w:pPr>
        <w:jc w:val="center"/>
        <w:rPr>
          <w:lang w:eastAsia="en-GB"/>
        </w:rPr>
      </w:pPr>
    </w:p>
    <w:p w14:paraId="0FB46142" w14:textId="77777777" w:rsidR="009678D3" w:rsidRPr="00320EA4" w:rsidRDefault="009678D3" w:rsidP="009678D3">
      <w:pPr>
        <w:pStyle w:val="Prrafodelista"/>
        <w:numPr>
          <w:ilvl w:val="0"/>
          <w:numId w:val="199"/>
        </w:numPr>
        <w:contextualSpacing/>
        <w:jc w:val="left"/>
        <w:rPr>
          <w:rFonts w:eastAsiaTheme="minorHAnsi"/>
          <w:lang w:val="es-ES" w:eastAsia="en-GB"/>
        </w:rPr>
      </w:pPr>
      <w:r>
        <w:rPr>
          <w:rFonts w:eastAsiaTheme="minorHAnsi"/>
          <w:lang w:val="es-ES" w:eastAsia="en-GB"/>
        </w:rPr>
        <w:t>Tasa de flujo recomendada:</w:t>
      </w:r>
      <w:r w:rsidRPr="00320EA4">
        <w:rPr>
          <w:rFonts w:eastAsiaTheme="minorHAnsi"/>
          <w:lang w:val="es-ES" w:eastAsia="en-GB"/>
        </w:rPr>
        <w:t xml:space="preserve"> </w:t>
      </w:r>
    </w:p>
    <w:p w14:paraId="1603DC79" w14:textId="77777777" w:rsidR="009678D3" w:rsidRDefault="009678D3" w:rsidP="009678D3">
      <w:pPr>
        <w:jc w:val="center"/>
        <w:rPr>
          <w:lang w:eastAsia="en-GB"/>
        </w:rPr>
      </w:pPr>
      <w:r>
        <w:rPr>
          <w:noProof/>
          <w:lang w:val="es-MX" w:eastAsia="es-MX"/>
        </w:rPr>
        <w:drawing>
          <wp:inline distT="0" distB="0" distL="0" distR="0" wp14:anchorId="05AE7867" wp14:editId="114DBFC4">
            <wp:extent cx="5612130" cy="1023620"/>
            <wp:effectExtent l="0" t="0" r="7620" b="5080"/>
            <wp:docPr id="21577" name="Imagen 2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1023620"/>
                    </a:xfrm>
                    <a:prstGeom prst="rect">
                      <a:avLst/>
                    </a:prstGeom>
                  </pic:spPr>
                </pic:pic>
              </a:graphicData>
            </a:graphic>
          </wp:inline>
        </w:drawing>
      </w:r>
    </w:p>
    <w:p w14:paraId="2D2DC9FA" w14:textId="77777777" w:rsidR="009678D3" w:rsidRDefault="009678D3" w:rsidP="009678D3">
      <w:pPr>
        <w:jc w:val="center"/>
        <w:rPr>
          <w:lang w:eastAsia="en-GB"/>
        </w:rPr>
      </w:pPr>
      <w:r>
        <w:rPr>
          <w:noProof/>
          <w:lang w:val="es-MX" w:eastAsia="es-MX"/>
        </w:rPr>
        <w:drawing>
          <wp:inline distT="0" distB="0" distL="0" distR="0" wp14:anchorId="6EC28C74" wp14:editId="38933E92">
            <wp:extent cx="5612130" cy="156845"/>
            <wp:effectExtent l="0" t="0" r="7620" b="0"/>
            <wp:docPr id="21578" name="Imagen 2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156845"/>
                    </a:xfrm>
                    <a:prstGeom prst="rect">
                      <a:avLst/>
                    </a:prstGeom>
                  </pic:spPr>
                </pic:pic>
              </a:graphicData>
            </a:graphic>
          </wp:inline>
        </w:drawing>
      </w:r>
    </w:p>
    <w:p w14:paraId="50AA4241" w14:textId="77777777" w:rsidR="009678D3" w:rsidRDefault="009678D3" w:rsidP="009678D3">
      <w:pPr>
        <w:rPr>
          <w:lang w:eastAsia="en-GB"/>
        </w:rPr>
      </w:pPr>
    </w:p>
    <w:p w14:paraId="2EBC8790" w14:textId="77777777" w:rsidR="009678D3" w:rsidRPr="00E87DC9" w:rsidRDefault="009678D3" w:rsidP="009678D3">
      <w:pPr>
        <w:rPr>
          <w:rFonts w:eastAsiaTheme="minorEastAsia"/>
          <w:b/>
        </w:rPr>
      </w:pPr>
      <w:r w:rsidRPr="00E87DC9">
        <w:rPr>
          <w:b/>
          <w:lang w:eastAsia="en-GB"/>
        </w:rPr>
        <w:t xml:space="preserve">Propiedades físicas y condiciones </w:t>
      </w:r>
      <w:r>
        <w:rPr>
          <w:b/>
          <w:lang w:eastAsia="en-GB"/>
        </w:rPr>
        <w:t>de operación del</w:t>
      </w:r>
      <w:r w:rsidRPr="00E87DC9">
        <w:rPr>
          <w:b/>
        </w:rPr>
        <w:t xml:space="preserve"> </w:t>
      </w:r>
      <m:oMath>
        <m:sSup>
          <m:sSupPr>
            <m:ctrlPr>
              <w:rPr>
                <w:rFonts w:ascii="Cambria Math" w:hAnsi="Cambria Math"/>
                <w:b/>
                <w:i/>
              </w:rPr>
            </m:ctrlPr>
          </m:sSupPr>
          <m:e>
            <m:r>
              <m:rPr>
                <m:sty m:val="bi"/>
              </m:rPr>
              <w:rPr>
                <w:rFonts w:ascii="Cambria Math" w:hAnsi="Cambria Math"/>
              </w:rPr>
              <m:t>Micro-Z</m:t>
            </m:r>
          </m:e>
          <m:sup>
            <m:r>
              <m:rPr>
                <m:sty m:val="bi"/>
              </m:rPr>
              <w:rPr>
                <w:rFonts w:ascii="Cambria Math" w:hAnsi="Cambria Math"/>
              </w:rPr>
              <m:t>TM</m:t>
            </m:r>
          </m:sup>
        </m:sSup>
      </m:oMath>
    </w:p>
    <w:p w14:paraId="11A971E3" w14:textId="77777777" w:rsidR="009678D3" w:rsidRPr="00E87DC9" w:rsidRDefault="009678D3" w:rsidP="009678D3">
      <w:pPr>
        <w:rPr>
          <w:rFonts w:eastAsiaTheme="minorEastAsia"/>
          <w:b/>
        </w:rPr>
      </w:pPr>
    </w:p>
    <w:p w14:paraId="2C82CB63" w14:textId="77777777" w:rsidR="009678D3" w:rsidRDefault="009678D3" w:rsidP="009678D3">
      <w:pPr>
        <w:jc w:val="center"/>
        <w:rPr>
          <w:lang w:eastAsia="en-GB"/>
        </w:rPr>
      </w:pPr>
      <w:r>
        <w:rPr>
          <w:noProof/>
          <w:lang w:val="es-MX" w:eastAsia="es-MX"/>
        </w:rPr>
        <w:drawing>
          <wp:inline distT="0" distB="0" distL="0" distR="0" wp14:anchorId="03D42768" wp14:editId="7CF87561">
            <wp:extent cx="3182587" cy="1523955"/>
            <wp:effectExtent l="0" t="0" r="0" b="635"/>
            <wp:docPr id="21579" name="Imagen 2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46305" cy="1554466"/>
                    </a:xfrm>
                    <a:prstGeom prst="rect">
                      <a:avLst/>
                    </a:prstGeom>
                  </pic:spPr>
                </pic:pic>
              </a:graphicData>
            </a:graphic>
          </wp:inline>
        </w:drawing>
      </w:r>
    </w:p>
    <w:p w14:paraId="30C1581A" w14:textId="77777777" w:rsidR="009678D3" w:rsidRDefault="009678D3" w:rsidP="009678D3">
      <w:pPr>
        <w:rPr>
          <w:b/>
          <w:lang w:eastAsia="en-GB"/>
        </w:rPr>
      </w:pPr>
      <w:r>
        <w:rPr>
          <w:b/>
          <w:lang w:eastAsia="en-GB"/>
        </w:rPr>
        <w:br w:type="page"/>
      </w:r>
    </w:p>
    <w:p w14:paraId="045DADB3" w14:textId="77777777" w:rsidR="009678D3" w:rsidRDefault="009678D3" w:rsidP="009678D3">
      <w:pPr>
        <w:rPr>
          <w:b/>
          <w:lang w:eastAsia="en-GB"/>
        </w:rPr>
      </w:pPr>
    </w:p>
    <w:p w14:paraId="18DD4DBF" w14:textId="77777777" w:rsidR="009678D3" w:rsidRDefault="009678D3" w:rsidP="009678D3">
      <w:pPr>
        <w:rPr>
          <w:b/>
          <w:lang w:eastAsia="en-GB"/>
        </w:rPr>
      </w:pPr>
    </w:p>
    <w:p w14:paraId="7CFC682F" w14:textId="77777777" w:rsidR="009678D3" w:rsidRPr="00E87DC9" w:rsidRDefault="009678D3" w:rsidP="009678D3">
      <w:pPr>
        <w:rPr>
          <w:b/>
          <w:lang w:eastAsia="en-GB"/>
        </w:rPr>
      </w:pPr>
      <w:r w:rsidRPr="00E87DC9">
        <w:rPr>
          <w:b/>
          <w:lang w:eastAsia="en-GB"/>
        </w:rPr>
        <w:t xml:space="preserve">Condiciones de Operación: </w:t>
      </w:r>
    </w:p>
    <w:p w14:paraId="7A35BE12" w14:textId="77777777" w:rsidR="009678D3" w:rsidRDefault="009678D3" w:rsidP="009678D3">
      <w:pPr>
        <w:pStyle w:val="Prrafodelista"/>
        <w:numPr>
          <w:ilvl w:val="0"/>
          <w:numId w:val="199"/>
        </w:numPr>
        <w:contextualSpacing/>
        <w:rPr>
          <w:lang w:eastAsia="en-GB"/>
        </w:rPr>
      </w:pPr>
      <w:r>
        <w:rPr>
          <w:lang w:eastAsia="en-GB"/>
        </w:rPr>
        <w:t>Profundidad de la cama: 36” – 48”.</w:t>
      </w:r>
    </w:p>
    <w:p w14:paraId="7AC9A110" w14:textId="77777777" w:rsidR="009678D3" w:rsidRDefault="009678D3" w:rsidP="009678D3">
      <w:pPr>
        <w:pStyle w:val="Prrafodelista"/>
        <w:numPr>
          <w:ilvl w:val="0"/>
          <w:numId w:val="199"/>
        </w:numPr>
        <w:contextualSpacing/>
        <w:rPr>
          <w:lang w:eastAsia="en-GB"/>
        </w:rPr>
      </w:pPr>
      <w:r>
        <w:rPr>
          <w:lang w:eastAsia="en-GB"/>
        </w:rPr>
        <w:t>Area de Expasión: 50% de la profundidad de la cama.</w:t>
      </w:r>
    </w:p>
    <w:p w14:paraId="2434CBA4" w14:textId="77777777" w:rsidR="009678D3" w:rsidRDefault="009678D3" w:rsidP="009678D3">
      <w:pPr>
        <w:pStyle w:val="Prrafodelista"/>
        <w:numPr>
          <w:ilvl w:val="0"/>
          <w:numId w:val="199"/>
        </w:numPr>
        <w:contextualSpacing/>
        <w:rPr>
          <w:lang w:eastAsia="en-GB"/>
        </w:rPr>
      </w:pPr>
      <w:r>
        <w:rPr>
          <w:lang w:eastAsia="en-GB"/>
        </w:rPr>
        <w:t>Flujo de servicio: 12 – 20 gpm/Ft ² área.</w:t>
      </w:r>
    </w:p>
    <w:p w14:paraId="18750A8D" w14:textId="77777777" w:rsidR="009678D3" w:rsidRDefault="009678D3" w:rsidP="009678D3">
      <w:pPr>
        <w:pStyle w:val="Prrafodelista"/>
        <w:numPr>
          <w:ilvl w:val="0"/>
          <w:numId w:val="199"/>
        </w:numPr>
        <w:contextualSpacing/>
        <w:rPr>
          <w:lang w:eastAsia="en-GB"/>
        </w:rPr>
      </w:pPr>
      <w:r>
        <w:rPr>
          <w:lang w:eastAsia="en-GB"/>
        </w:rPr>
        <w:t>Flujo de retrolavado: 12 – 16 gpm/Ft ² área.</w:t>
      </w:r>
    </w:p>
    <w:p w14:paraId="5D2290FF" w14:textId="77777777" w:rsidR="009678D3" w:rsidRDefault="009678D3" w:rsidP="009678D3">
      <w:pPr>
        <w:pStyle w:val="Prrafodelista"/>
        <w:numPr>
          <w:ilvl w:val="0"/>
          <w:numId w:val="199"/>
        </w:numPr>
        <w:contextualSpacing/>
        <w:rPr>
          <w:lang w:eastAsia="en-GB"/>
        </w:rPr>
      </w:pPr>
      <w:r>
        <w:rPr>
          <w:lang w:eastAsia="en-GB"/>
        </w:rPr>
        <w:t>Expansión de la cama durante el retro lavado: 30 – 40%.</w:t>
      </w:r>
    </w:p>
    <w:p w14:paraId="1221754F" w14:textId="77777777" w:rsidR="009678D3" w:rsidRPr="00650EB1" w:rsidRDefault="009678D3" w:rsidP="009678D3">
      <w:pPr>
        <w:pStyle w:val="Prrafodelista"/>
        <w:numPr>
          <w:ilvl w:val="0"/>
          <w:numId w:val="199"/>
        </w:numPr>
        <w:contextualSpacing/>
        <w:rPr>
          <w:lang w:eastAsia="en-GB"/>
        </w:rPr>
      </w:pPr>
      <w:r>
        <w:rPr>
          <w:lang w:eastAsia="en-GB"/>
        </w:rPr>
        <w:t xml:space="preserve">Se debe de mantener en remojo, la noche anterior antes del retro lavado inicial. </w:t>
      </w:r>
    </w:p>
    <w:p w14:paraId="289E160B" w14:textId="77777777" w:rsidR="009678D3" w:rsidRDefault="009678D3" w:rsidP="009678D3">
      <w:pPr>
        <w:rPr>
          <w:b/>
          <w:lang w:eastAsia="en-GB"/>
        </w:rPr>
      </w:pPr>
    </w:p>
    <w:p w14:paraId="53C05C44" w14:textId="77777777" w:rsidR="009678D3" w:rsidRDefault="009678D3" w:rsidP="009678D3">
      <w:pPr>
        <w:rPr>
          <w:rFonts w:eastAsiaTheme="minorEastAsia"/>
          <w:b/>
        </w:rPr>
      </w:pPr>
      <w:r>
        <w:rPr>
          <w:b/>
          <w:lang w:eastAsia="en-GB"/>
        </w:rPr>
        <w:t>C</w:t>
      </w:r>
      <w:r w:rsidRPr="00E87DC9">
        <w:rPr>
          <w:b/>
          <w:lang w:eastAsia="en-GB"/>
        </w:rPr>
        <w:t>ondiciones de operación del</w:t>
      </w:r>
      <w:r w:rsidRPr="00E87DC9">
        <w:rPr>
          <w:b/>
        </w:rPr>
        <w:t xml:space="preserve"> </w:t>
      </w:r>
      <m:oMath>
        <m:sSup>
          <m:sSupPr>
            <m:ctrlPr>
              <w:rPr>
                <w:rFonts w:ascii="Cambria Math" w:hAnsi="Cambria Math"/>
                <w:b/>
                <w:i/>
              </w:rPr>
            </m:ctrlPr>
          </m:sSupPr>
          <m:e>
            <m:r>
              <m:rPr>
                <m:sty m:val="bi"/>
              </m:rPr>
              <w:rPr>
                <w:rFonts w:ascii="Cambria Math" w:hAnsi="Cambria Math"/>
              </w:rPr>
              <m:t>Filox-R</m:t>
            </m:r>
          </m:e>
          <m:sup>
            <m:r>
              <m:rPr>
                <m:sty m:val="bi"/>
              </m:rPr>
              <w:rPr>
                <w:rFonts w:ascii="Cambria Math" w:hAnsi="Cambria Math"/>
              </w:rPr>
              <m:t>TM</m:t>
            </m:r>
          </m:sup>
        </m:sSup>
      </m:oMath>
    </w:p>
    <w:p w14:paraId="15A0865B" w14:textId="77777777" w:rsidR="009678D3" w:rsidRPr="00E87DC9" w:rsidRDefault="009678D3" w:rsidP="009678D3">
      <w:pPr>
        <w:rPr>
          <w:rFonts w:eastAsiaTheme="minorEastAsia"/>
        </w:rPr>
      </w:pPr>
    </w:p>
    <w:p w14:paraId="4A4F08E1" w14:textId="77777777" w:rsidR="009678D3" w:rsidRDefault="009678D3" w:rsidP="009678D3">
      <w:pPr>
        <w:jc w:val="center"/>
        <w:rPr>
          <w:lang w:eastAsia="en-GB"/>
        </w:rPr>
      </w:pPr>
      <w:r>
        <w:rPr>
          <w:noProof/>
          <w:lang w:val="es-MX" w:eastAsia="es-MX"/>
        </w:rPr>
        <w:drawing>
          <wp:inline distT="0" distB="0" distL="0" distR="0" wp14:anchorId="62BBF7B5" wp14:editId="601AC321">
            <wp:extent cx="3402280" cy="1711148"/>
            <wp:effectExtent l="0" t="0" r="8255" b="3810"/>
            <wp:docPr id="21580" name="Imagen 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1816" cy="1736062"/>
                    </a:xfrm>
                    <a:prstGeom prst="rect">
                      <a:avLst/>
                    </a:prstGeom>
                  </pic:spPr>
                </pic:pic>
              </a:graphicData>
            </a:graphic>
          </wp:inline>
        </w:drawing>
      </w:r>
    </w:p>
    <w:p w14:paraId="551485F1" w14:textId="77777777" w:rsidR="009678D3" w:rsidRDefault="009678D3" w:rsidP="009678D3">
      <w:pPr>
        <w:jc w:val="center"/>
        <w:rPr>
          <w:lang w:eastAsia="en-GB"/>
        </w:rPr>
      </w:pPr>
      <w:r>
        <w:rPr>
          <w:noProof/>
          <w:lang w:val="es-MX" w:eastAsia="es-MX"/>
        </w:rPr>
        <w:drawing>
          <wp:inline distT="0" distB="0" distL="0" distR="0" wp14:anchorId="7DBCA3CC" wp14:editId="48E4CF02">
            <wp:extent cx="2523506" cy="1009402"/>
            <wp:effectExtent l="0" t="0" r="0" b="635"/>
            <wp:docPr id="21581" name="Imagen 2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2731" cy="1025092"/>
                    </a:xfrm>
                    <a:prstGeom prst="rect">
                      <a:avLst/>
                    </a:prstGeom>
                  </pic:spPr>
                </pic:pic>
              </a:graphicData>
            </a:graphic>
          </wp:inline>
        </w:drawing>
      </w:r>
    </w:p>
    <w:p w14:paraId="0F633F1A" w14:textId="77777777" w:rsidR="009678D3" w:rsidRPr="00207FE2" w:rsidRDefault="009678D3" w:rsidP="009678D3">
      <w:pPr>
        <w:rPr>
          <w:b/>
          <w:lang w:eastAsia="en-GB"/>
        </w:rPr>
      </w:pPr>
    </w:p>
    <w:p w14:paraId="6D788609" w14:textId="77777777" w:rsidR="009678D3" w:rsidRPr="00207FE2" w:rsidRDefault="009678D3" w:rsidP="009678D3">
      <w:pPr>
        <w:rPr>
          <w:b/>
          <w:lang w:eastAsia="en-GB"/>
        </w:rPr>
      </w:pPr>
      <w:r w:rsidRPr="00207FE2">
        <w:rPr>
          <w:b/>
          <w:lang w:eastAsia="en-GB"/>
        </w:rPr>
        <w:t xml:space="preserve">ESPECIFICACIONES TÉCNICAS DE SISTEMA DE PANELES SOLARES DE 100 W. </w:t>
      </w:r>
    </w:p>
    <w:p w14:paraId="43BAECF3" w14:textId="77777777" w:rsidR="009678D3" w:rsidRDefault="009678D3" w:rsidP="009678D3">
      <w:pPr>
        <w:rPr>
          <w:lang w:eastAsia="en-GB"/>
        </w:rPr>
      </w:pPr>
    </w:p>
    <w:p w14:paraId="7520EC7B" w14:textId="77777777" w:rsidR="009678D3" w:rsidRDefault="009678D3" w:rsidP="009678D3">
      <w:pPr>
        <w:rPr>
          <w:lang w:eastAsia="en-GB"/>
        </w:rPr>
      </w:pPr>
      <w:r>
        <w:rPr>
          <w:lang w:eastAsia="en-GB"/>
        </w:rPr>
        <w:t xml:space="preserve">Comprende el suministro y la instalación de paneles solares de 100 W – Fotovoltaico más Batería, Inversor, controlador y estructura. </w:t>
      </w:r>
    </w:p>
    <w:p w14:paraId="0B1D3275" w14:textId="77777777" w:rsidR="009678D3" w:rsidRDefault="009678D3" w:rsidP="009678D3">
      <w:pPr>
        <w:rPr>
          <w:lang w:eastAsia="en-GB"/>
        </w:rPr>
      </w:pPr>
    </w:p>
    <w:p w14:paraId="7A256B12" w14:textId="77777777" w:rsidR="009678D3" w:rsidRDefault="009678D3" w:rsidP="009678D3">
      <w:pPr>
        <w:rPr>
          <w:lang w:eastAsia="en-GB"/>
        </w:rPr>
      </w:pPr>
      <w:r>
        <w:rPr>
          <w:lang w:eastAsia="en-GB"/>
        </w:rPr>
        <w:t xml:space="preserve">Sus especificaciones del serán las siguientes: </w:t>
      </w:r>
    </w:p>
    <w:p w14:paraId="08899711" w14:textId="77777777" w:rsidR="009678D3" w:rsidRDefault="009678D3" w:rsidP="009678D3">
      <w:pPr>
        <w:rPr>
          <w:lang w:eastAsia="en-GB"/>
        </w:rPr>
      </w:pPr>
    </w:p>
    <w:p w14:paraId="21750EAA" w14:textId="77777777" w:rsidR="009678D3" w:rsidRDefault="009678D3" w:rsidP="009678D3">
      <w:pPr>
        <w:rPr>
          <w:lang w:eastAsia="en-GB"/>
        </w:rPr>
      </w:pPr>
      <w:r>
        <w:rPr>
          <w:lang w:eastAsia="en-GB"/>
        </w:rPr>
        <w:br w:type="page"/>
      </w:r>
    </w:p>
    <w:p w14:paraId="22C05F09" w14:textId="77777777" w:rsidR="009678D3" w:rsidRDefault="009678D3" w:rsidP="009678D3">
      <w:pPr>
        <w:rPr>
          <w:lang w:eastAsia="en-GB"/>
        </w:rPr>
      </w:pPr>
    </w:p>
    <w:p w14:paraId="490A967D" w14:textId="77777777" w:rsidR="009678D3" w:rsidRDefault="009678D3" w:rsidP="009678D3">
      <w:pPr>
        <w:rPr>
          <w:lang w:eastAsia="en-GB"/>
        </w:rPr>
      </w:pPr>
      <w:r>
        <w:rPr>
          <w:noProof/>
          <w:lang w:val="es-MX" w:eastAsia="es-MX"/>
        </w:rPr>
        <w:drawing>
          <wp:anchor distT="0" distB="0" distL="114300" distR="114300" simplePos="0" relativeHeight="251673600" behindDoc="0" locked="0" layoutInCell="1" allowOverlap="1" wp14:anchorId="0CE649FC" wp14:editId="79B0FC3F">
            <wp:simplePos x="0" y="0"/>
            <wp:positionH relativeFrom="column">
              <wp:posOffset>3721735</wp:posOffset>
            </wp:positionH>
            <wp:positionV relativeFrom="paragraph">
              <wp:posOffset>163195</wp:posOffset>
            </wp:positionV>
            <wp:extent cx="1009498" cy="2143005"/>
            <wp:effectExtent l="0" t="0" r="635" b="0"/>
            <wp:wrapNone/>
            <wp:docPr id="21582" name="Imagen 2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r="3240"/>
                    <a:stretch/>
                  </pic:blipFill>
                  <pic:spPr bwMode="auto">
                    <a:xfrm>
                      <a:off x="0" y="0"/>
                      <a:ext cx="1009498" cy="214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C186C" w14:textId="77777777" w:rsidR="009678D3" w:rsidRDefault="009678D3" w:rsidP="009678D3">
      <w:pPr>
        <w:jc w:val="center"/>
        <w:rPr>
          <w:lang w:eastAsia="en-GB"/>
        </w:rPr>
      </w:pPr>
      <w:r>
        <w:rPr>
          <w:noProof/>
          <w:lang w:val="es-MX" w:eastAsia="es-MX"/>
        </w:rPr>
        <w:drawing>
          <wp:inline distT="0" distB="0" distL="0" distR="0" wp14:anchorId="15C9E377" wp14:editId="7D281954">
            <wp:extent cx="2019098" cy="2160790"/>
            <wp:effectExtent l="0" t="0" r="635" b="0"/>
            <wp:docPr id="21583" name="Imagen 2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9098" cy="2160790"/>
                    </a:xfrm>
                    <a:prstGeom prst="rect">
                      <a:avLst/>
                    </a:prstGeom>
                  </pic:spPr>
                </pic:pic>
              </a:graphicData>
            </a:graphic>
          </wp:inline>
        </w:drawing>
      </w:r>
    </w:p>
    <w:p w14:paraId="3A81A700" w14:textId="77777777" w:rsidR="009678D3" w:rsidRDefault="009678D3" w:rsidP="009678D3">
      <w:pPr>
        <w:jc w:val="center"/>
        <w:rPr>
          <w:lang w:eastAsia="en-GB"/>
        </w:rPr>
      </w:pPr>
    </w:p>
    <w:p w14:paraId="1AF07495" w14:textId="77777777" w:rsidR="009678D3" w:rsidRDefault="009678D3" w:rsidP="009678D3">
      <w:pPr>
        <w:jc w:val="center"/>
        <w:rPr>
          <w:lang w:eastAsia="en-GB"/>
        </w:rPr>
      </w:pPr>
      <w:r>
        <w:rPr>
          <w:noProof/>
          <w:lang w:val="es-MX" w:eastAsia="es-MX"/>
        </w:rPr>
        <w:drawing>
          <wp:inline distT="0" distB="0" distL="0" distR="0" wp14:anchorId="0660A833" wp14:editId="45216998">
            <wp:extent cx="1931212" cy="1293222"/>
            <wp:effectExtent l="0" t="0" r="0" b="2540"/>
            <wp:docPr id="21584" name="Imagen 2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4489" cy="1308809"/>
                    </a:xfrm>
                    <a:prstGeom prst="rect">
                      <a:avLst/>
                    </a:prstGeom>
                  </pic:spPr>
                </pic:pic>
              </a:graphicData>
            </a:graphic>
          </wp:inline>
        </w:drawing>
      </w:r>
      <w:r>
        <w:rPr>
          <w:noProof/>
          <w:lang w:val="es-MX" w:eastAsia="es-MX"/>
        </w:rPr>
        <w:drawing>
          <wp:inline distT="0" distB="0" distL="0" distR="0" wp14:anchorId="2DDCC77C" wp14:editId="09DD9CAB">
            <wp:extent cx="967740" cy="1265728"/>
            <wp:effectExtent l="0" t="0" r="3810" b="0"/>
            <wp:docPr id="21585" name="Imagen 2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933" t="2758"/>
                    <a:stretch/>
                  </pic:blipFill>
                  <pic:spPr bwMode="auto">
                    <a:xfrm>
                      <a:off x="0" y="0"/>
                      <a:ext cx="993198" cy="1299026"/>
                    </a:xfrm>
                    <a:prstGeom prst="rect">
                      <a:avLst/>
                    </a:prstGeom>
                    <a:ln>
                      <a:noFill/>
                    </a:ln>
                    <a:extLst>
                      <a:ext uri="{53640926-AAD7-44D8-BBD7-CCE9431645EC}">
                        <a14:shadowObscured xmlns:a14="http://schemas.microsoft.com/office/drawing/2010/main"/>
                      </a:ext>
                    </a:extLst>
                  </pic:spPr>
                </pic:pic>
              </a:graphicData>
            </a:graphic>
          </wp:inline>
        </w:drawing>
      </w:r>
    </w:p>
    <w:p w14:paraId="15B539D8" w14:textId="77777777" w:rsidR="009678D3" w:rsidRDefault="009678D3" w:rsidP="009678D3">
      <w:pPr>
        <w:jc w:val="center"/>
        <w:rPr>
          <w:lang w:eastAsia="en-GB"/>
        </w:rPr>
      </w:pPr>
    </w:p>
    <w:p w14:paraId="6478D268" w14:textId="77777777" w:rsidR="009678D3" w:rsidRDefault="009678D3" w:rsidP="009678D3">
      <w:pPr>
        <w:jc w:val="center"/>
        <w:rPr>
          <w:lang w:eastAsia="en-GB"/>
        </w:rPr>
      </w:pPr>
      <w:r>
        <w:rPr>
          <w:noProof/>
          <w:lang w:val="es-MX" w:eastAsia="es-MX"/>
        </w:rPr>
        <w:drawing>
          <wp:anchor distT="0" distB="0" distL="114300" distR="114300" simplePos="0" relativeHeight="251675648" behindDoc="0" locked="0" layoutInCell="1" allowOverlap="1" wp14:anchorId="15CFFD94" wp14:editId="673FC5BE">
            <wp:simplePos x="0" y="0"/>
            <wp:positionH relativeFrom="column">
              <wp:posOffset>3557702</wp:posOffset>
            </wp:positionH>
            <wp:positionV relativeFrom="paragraph">
              <wp:posOffset>2413991</wp:posOffset>
            </wp:positionV>
            <wp:extent cx="777012" cy="138988"/>
            <wp:effectExtent l="0" t="0" r="4445" b="0"/>
            <wp:wrapNone/>
            <wp:docPr id="21586" name="Imagen 2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9136" t="30544" r="38968" b="21124"/>
                    <a:stretch/>
                  </pic:blipFill>
                  <pic:spPr bwMode="auto">
                    <a:xfrm>
                      <a:off x="0" y="0"/>
                      <a:ext cx="782850" cy="1400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74624" behindDoc="0" locked="0" layoutInCell="1" allowOverlap="1" wp14:anchorId="149205F5" wp14:editId="40FB4C1D">
            <wp:simplePos x="0" y="0"/>
            <wp:positionH relativeFrom="column">
              <wp:posOffset>3527095</wp:posOffset>
            </wp:positionH>
            <wp:positionV relativeFrom="paragraph">
              <wp:posOffset>0</wp:posOffset>
            </wp:positionV>
            <wp:extent cx="739002" cy="2414016"/>
            <wp:effectExtent l="0" t="0" r="4445" b="5715"/>
            <wp:wrapNone/>
            <wp:docPr id="21587" name="Imagen 2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72" r="4465"/>
                    <a:stretch/>
                  </pic:blipFill>
                  <pic:spPr bwMode="auto">
                    <a:xfrm>
                      <a:off x="0" y="0"/>
                      <a:ext cx="739002" cy="2414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03A3D2A6" wp14:editId="3ED4E32D">
            <wp:extent cx="1536192" cy="2590042"/>
            <wp:effectExtent l="0" t="0" r="6985" b="1270"/>
            <wp:docPr id="21588" name="Imagen 2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98" t="476" r="1"/>
                    <a:stretch/>
                  </pic:blipFill>
                  <pic:spPr bwMode="auto">
                    <a:xfrm>
                      <a:off x="0" y="0"/>
                      <a:ext cx="1565896" cy="2640123"/>
                    </a:xfrm>
                    <a:prstGeom prst="rect">
                      <a:avLst/>
                    </a:prstGeom>
                    <a:ln>
                      <a:noFill/>
                    </a:ln>
                    <a:extLst>
                      <a:ext uri="{53640926-AAD7-44D8-BBD7-CCE9431645EC}">
                        <a14:shadowObscured xmlns:a14="http://schemas.microsoft.com/office/drawing/2010/main"/>
                      </a:ext>
                    </a:extLst>
                  </pic:spPr>
                </pic:pic>
              </a:graphicData>
            </a:graphic>
          </wp:inline>
        </w:drawing>
      </w:r>
    </w:p>
    <w:p w14:paraId="0A2CCFCD" w14:textId="77777777" w:rsidR="009678D3" w:rsidRDefault="009678D3" w:rsidP="009678D3">
      <w:pPr>
        <w:rPr>
          <w:lang w:eastAsia="en-GB"/>
        </w:rPr>
      </w:pPr>
      <w:r>
        <w:rPr>
          <w:lang w:eastAsia="en-GB"/>
        </w:rPr>
        <w:br w:type="page"/>
      </w:r>
    </w:p>
    <w:p w14:paraId="742CB426" w14:textId="77777777" w:rsidR="009678D3" w:rsidRDefault="009678D3" w:rsidP="009678D3">
      <w:pPr>
        <w:jc w:val="center"/>
        <w:rPr>
          <w:lang w:eastAsia="en-GB"/>
        </w:rPr>
      </w:pPr>
    </w:p>
    <w:p w14:paraId="72081D59" w14:textId="77777777" w:rsidR="009678D3" w:rsidRDefault="009678D3" w:rsidP="009678D3">
      <w:pPr>
        <w:jc w:val="center"/>
        <w:rPr>
          <w:lang w:eastAsia="en-GB"/>
        </w:rPr>
      </w:pPr>
    </w:p>
    <w:p w14:paraId="3C5ACFCD" w14:textId="77777777" w:rsidR="009678D3" w:rsidRDefault="009678D3" w:rsidP="009678D3">
      <w:pPr>
        <w:jc w:val="center"/>
        <w:rPr>
          <w:lang w:eastAsia="en-GB"/>
        </w:rPr>
      </w:pPr>
    </w:p>
    <w:p w14:paraId="02E2B7AE" w14:textId="77777777" w:rsidR="009678D3" w:rsidRDefault="009678D3" w:rsidP="009678D3">
      <w:pPr>
        <w:jc w:val="center"/>
        <w:rPr>
          <w:lang w:eastAsia="en-GB"/>
        </w:rPr>
      </w:pPr>
      <w:r>
        <w:rPr>
          <w:noProof/>
          <w:lang w:val="es-MX" w:eastAsia="es-MX"/>
        </w:rPr>
        <w:drawing>
          <wp:inline distT="0" distB="0" distL="0" distR="0" wp14:anchorId="081C0A05" wp14:editId="36B91F09">
            <wp:extent cx="4129473" cy="3320013"/>
            <wp:effectExtent l="0" t="0" r="4445" b="0"/>
            <wp:docPr id="21589" name="Imagen 2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89" b="3639"/>
                    <a:stretch/>
                  </pic:blipFill>
                  <pic:spPr bwMode="auto">
                    <a:xfrm>
                      <a:off x="0" y="0"/>
                      <a:ext cx="4148644" cy="3335426"/>
                    </a:xfrm>
                    <a:prstGeom prst="rect">
                      <a:avLst/>
                    </a:prstGeom>
                    <a:ln>
                      <a:noFill/>
                    </a:ln>
                    <a:extLst>
                      <a:ext uri="{53640926-AAD7-44D8-BBD7-CCE9431645EC}">
                        <a14:shadowObscured xmlns:a14="http://schemas.microsoft.com/office/drawing/2010/main"/>
                      </a:ext>
                    </a:extLst>
                  </pic:spPr>
                </pic:pic>
              </a:graphicData>
            </a:graphic>
          </wp:inline>
        </w:drawing>
      </w:r>
    </w:p>
    <w:p w14:paraId="4EAD3745" w14:textId="77777777" w:rsidR="009678D3" w:rsidRDefault="009678D3" w:rsidP="009678D3">
      <w:pPr>
        <w:rPr>
          <w:lang w:eastAsia="en-GB"/>
        </w:rPr>
      </w:pPr>
    </w:p>
    <w:p w14:paraId="662E4096" w14:textId="77777777" w:rsidR="009678D3" w:rsidRPr="007F0F70" w:rsidRDefault="009678D3" w:rsidP="009678D3">
      <w:pPr>
        <w:rPr>
          <w:b/>
          <w:lang w:eastAsia="en-GB"/>
        </w:rPr>
      </w:pPr>
      <w:r w:rsidRPr="007F0F70">
        <w:rPr>
          <w:b/>
          <w:lang w:eastAsia="en-GB"/>
        </w:rPr>
        <w:t>Batería</w:t>
      </w:r>
    </w:p>
    <w:p w14:paraId="1770A844" w14:textId="77777777" w:rsidR="009678D3" w:rsidRDefault="009678D3" w:rsidP="009678D3">
      <w:pPr>
        <w:rPr>
          <w:lang w:eastAsia="en-GB"/>
        </w:rPr>
      </w:pPr>
    </w:p>
    <w:tbl>
      <w:tblPr>
        <w:tblW w:w="8688" w:type="dxa"/>
        <w:jc w:val="center"/>
        <w:tblCellSpacing w:w="0" w:type="dxa"/>
        <w:tblBorders>
          <w:top w:val="single" w:sz="6" w:space="0" w:color="47677C"/>
          <w:left w:val="single" w:sz="6" w:space="0" w:color="47677C"/>
          <w:bottom w:val="single" w:sz="6" w:space="0" w:color="47677C"/>
          <w:right w:val="single" w:sz="6" w:space="0" w:color="47677C"/>
        </w:tblBorders>
        <w:shd w:val="clear" w:color="auto" w:fill="FFFFFF"/>
        <w:tblCellMar>
          <w:left w:w="0" w:type="dxa"/>
          <w:right w:w="0" w:type="dxa"/>
        </w:tblCellMar>
        <w:tblLook w:val="04A0" w:firstRow="1" w:lastRow="0" w:firstColumn="1" w:lastColumn="0" w:noHBand="0" w:noVBand="1"/>
      </w:tblPr>
      <w:tblGrid>
        <w:gridCol w:w="641"/>
        <w:gridCol w:w="3129"/>
        <w:gridCol w:w="837"/>
        <w:gridCol w:w="1196"/>
        <w:gridCol w:w="525"/>
        <w:gridCol w:w="399"/>
        <w:gridCol w:w="1961"/>
      </w:tblGrid>
      <w:tr w:rsidR="009678D3" w:rsidRPr="00984DD8" w14:paraId="1E0F3DA2" w14:textId="77777777" w:rsidTr="009678D3">
        <w:trPr>
          <w:trHeight w:val="448"/>
          <w:tblCellSpacing w:w="0" w:type="dxa"/>
          <w:jc w:val="center"/>
        </w:trPr>
        <w:tc>
          <w:tcPr>
            <w:tcW w:w="0" w:type="auto"/>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7F3F026" w14:textId="77777777" w:rsidR="009678D3" w:rsidRPr="00984DD8" w:rsidRDefault="009678D3" w:rsidP="009678D3">
            <w:pPr>
              <w:jc w:val="center"/>
              <w:rPr>
                <w:sz w:val="20"/>
              </w:rPr>
            </w:pPr>
            <w:r w:rsidRPr="00984DD8">
              <w:rPr>
                <w:sz w:val="20"/>
              </w:rPr>
              <w:t>TIPO</w:t>
            </w:r>
          </w:p>
        </w:tc>
        <w:tc>
          <w:tcPr>
            <w:tcW w:w="3130" w:type="dxa"/>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450CB87" w14:textId="77777777" w:rsidR="009678D3" w:rsidRPr="00984DD8" w:rsidRDefault="009678D3" w:rsidP="009678D3">
            <w:pPr>
              <w:jc w:val="center"/>
              <w:rPr>
                <w:sz w:val="20"/>
              </w:rPr>
            </w:pPr>
            <w:r w:rsidRPr="00984DD8">
              <w:rPr>
                <w:sz w:val="20"/>
              </w:rPr>
              <w:t>Capacidad Ah en C100 a 25º y tensión final del elemento de 1,80V</w:t>
            </w:r>
          </w:p>
        </w:tc>
        <w:tc>
          <w:tcPr>
            <w:tcW w:w="837" w:type="dxa"/>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A9CDF32" w14:textId="77777777" w:rsidR="009678D3" w:rsidRPr="00984DD8" w:rsidRDefault="009678D3" w:rsidP="009678D3">
            <w:pPr>
              <w:jc w:val="center"/>
              <w:rPr>
                <w:sz w:val="20"/>
              </w:rPr>
            </w:pPr>
            <w:r w:rsidRPr="00984DD8">
              <w:rPr>
                <w:sz w:val="20"/>
              </w:rPr>
              <w:t>Tensión</w:t>
            </w:r>
          </w:p>
        </w:tc>
        <w:tc>
          <w:tcPr>
            <w:tcW w:w="2139" w:type="dxa"/>
            <w:gridSpan w:val="3"/>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F2B633F" w14:textId="77777777" w:rsidR="009678D3" w:rsidRPr="00984DD8" w:rsidRDefault="009678D3" w:rsidP="009678D3">
            <w:pPr>
              <w:jc w:val="center"/>
              <w:rPr>
                <w:sz w:val="20"/>
              </w:rPr>
            </w:pPr>
            <w:r w:rsidRPr="00984DD8">
              <w:rPr>
                <w:sz w:val="20"/>
              </w:rPr>
              <w:t>Dimensiones por elemento (mm)</w:t>
            </w:r>
          </w:p>
        </w:tc>
        <w:tc>
          <w:tcPr>
            <w:tcW w:w="0" w:type="auto"/>
            <w:vMerge w:val="restart"/>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E8B38CF" w14:textId="77777777" w:rsidR="009678D3" w:rsidRPr="00984DD8" w:rsidRDefault="009678D3" w:rsidP="009678D3">
            <w:pPr>
              <w:jc w:val="center"/>
              <w:rPr>
                <w:sz w:val="20"/>
              </w:rPr>
            </w:pPr>
            <w:r w:rsidRPr="00984DD8">
              <w:rPr>
                <w:sz w:val="20"/>
              </w:rPr>
              <w:t>Peso (kg. pot elemento con ácido)</w:t>
            </w:r>
          </w:p>
        </w:tc>
      </w:tr>
      <w:tr w:rsidR="009678D3" w:rsidRPr="00984DD8" w14:paraId="6475CFEC" w14:textId="77777777" w:rsidTr="009678D3">
        <w:trPr>
          <w:trHeight w:val="228"/>
          <w:tblCellSpacing w:w="0" w:type="dxa"/>
          <w:jc w:val="center"/>
        </w:trPr>
        <w:tc>
          <w:tcPr>
            <w:tcW w:w="0" w:type="auto"/>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9BC40EC" w14:textId="77777777" w:rsidR="009678D3" w:rsidRPr="00984DD8" w:rsidRDefault="009678D3" w:rsidP="009678D3">
            <w:pPr>
              <w:jc w:val="center"/>
              <w:rPr>
                <w:sz w:val="20"/>
              </w:rPr>
            </w:pPr>
          </w:p>
        </w:tc>
        <w:tc>
          <w:tcPr>
            <w:tcW w:w="3130" w:type="dxa"/>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6138C1A" w14:textId="77777777" w:rsidR="009678D3" w:rsidRPr="00984DD8" w:rsidRDefault="009678D3" w:rsidP="009678D3">
            <w:pPr>
              <w:jc w:val="center"/>
              <w:rPr>
                <w:sz w:val="20"/>
              </w:rPr>
            </w:pPr>
          </w:p>
        </w:tc>
        <w:tc>
          <w:tcPr>
            <w:tcW w:w="837" w:type="dxa"/>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6F2B0A4" w14:textId="77777777" w:rsidR="009678D3" w:rsidRPr="00984DD8" w:rsidRDefault="009678D3" w:rsidP="009678D3">
            <w:pPr>
              <w:jc w:val="center"/>
              <w:rPr>
                <w:sz w:val="20"/>
              </w:rPr>
            </w:pP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76F4C55" w14:textId="77777777" w:rsidR="009678D3" w:rsidRPr="00984DD8" w:rsidRDefault="009678D3" w:rsidP="009678D3">
            <w:pPr>
              <w:jc w:val="center"/>
              <w:rPr>
                <w:sz w:val="20"/>
              </w:rPr>
            </w:pPr>
            <w:r w:rsidRPr="00984DD8">
              <w:rPr>
                <w:sz w:val="20"/>
              </w:rPr>
              <w:t>Ancho</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3D04108" w14:textId="77777777" w:rsidR="009678D3" w:rsidRPr="00984DD8" w:rsidRDefault="009678D3" w:rsidP="009678D3">
            <w:pPr>
              <w:jc w:val="center"/>
              <w:rPr>
                <w:sz w:val="20"/>
              </w:rPr>
            </w:pPr>
            <w:r w:rsidRPr="00984DD8">
              <w:rPr>
                <w:sz w:val="20"/>
              </w:rPr>
              <w:t>Largo</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75B95D0" w14:textId="77777777" w:rsidR="009678D3" w:rsidRPr="00984DD8" w:rsidRDefault="009678D3" w:rsidP="009678D3">
            <w:pPr>
              <w:jc w:val="center"/>
              <w:rPr>
                <w:sz w:val="20"/>
              </w:rPr>
            </w:pPr>
            <w:r w:rsidRPr="00984DD8">
              <w:rPr>
                <w:sz w:val="20"/>
              </w:rPr>
              <w:t>Alto</w:t>
            </w:r>
          </w:p>
        </w:tc>
        <w:tc>
          <w:tcPr>
            <w:tcW w:w="0" w:type="auto"/>
            <w:vMerge/>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F8F3875" w14:textId="77777777" w:rsidR="009678D3" w:rsidRPr="00984DD8" w:rsidRDefault="009678D3" w:rsidP="009678D3">
            <w:pPr>
              <w:jc w:val="center"/>
              <w:rPr>
                <w:sz w:val="20"/>
              </w:rPr>
            </w:pPr>
          </w:p>
        </w:tc>
      </w:tr>
      <w:tr w:rsidR="009678D3" w:rsidRPr="00984DD8" w14:paraId="1C1A3FD6" w14:textId="77777777" w:rsidTr="009678D3">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6B66E79" w14:textId="77777777" w:rsidR="009678D3" w:rsidRPr="00984DD8" w:rsidRDefault="009678D3" w:rsidP="009678D3">
            <w:pPr>
              <w:jc w:val="center"/>
              <w:rPr>
                <w:sz w:val="20"/>
              </w:rPr>
            </w:pPr>
            <w:r w:rsidRPr="00984DD8">
              <w:rPr>
                <w:sz w:val="20"/>
              </w:rPr>
              <w:t>EW75</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FB8D459" w14:textId="77777777" w:rsidR="009678D3" w:rsidRPr="00984DD8" w:rsidRDefault="009678D3" w:rsidP="009678D3">
            <w:pPr>
              <w:jc w:val="center"/>
              <w:rPr>
                <w:sz w:val="20"/>
              </w:rPr>
            </w:pPr>
            <w:r w:rsidRPr="00984DD8">
              <w:rPr>
                <w:sz w:val="20"/>
              </w:rPr>
              <w:t>85</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0B7439C" w14:textId="77777777" w:rsidR="009678D3" w:rsidRPr="00984DD8" w:rsidRDefault="009678D3" w:rsidP="009678D3">
            <w:pPr>
              <w:jc w:val="center"/>
              <w:rPr>
                <w:sz w:val="20"/>
              </w:rPr>
            </w:pPr>
            <w:r w:rsidRPr="00984DD8">
              <w:rPr>
                <w:sz w:val="20"/>
              </w:rPr>
              <w:t>12 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1A97317" w14:textId="77777777" w:rsidR="009678D3" w:rsidRPr="00984DD8" w:rsidRDefault="009678D3" w:rsidP="009678D3">
            <w:pPr>
              <w:jc w:val="center"/>
              <w:rPr>
                <w:sz w:val="20"/>
              </w:rPr>
            </w:pPr>
            <w:r w:rsidRPr="00984DD8">
              <w:rPr>
                <w:sz w:val="20"/>
              </w:rPr>
              <w:t>275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CB114C4" w14:textId="77777777" w:rsidR="009678D3" w:rsidRPr="00984DD8" w:rsidRDefault="009678D3" w:rsidP="009678D3">
            <w:pPr>
              <w:jc w:val="center"/>
              <w:rPr>
                <w:sz w:val="20"/>
              </w:rPr>
            </w:pPr>
            <w:r w:rsidRPr="00984DD8">
              <w:rPr>
                <w:sz w:val="20"/>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076941F" w14:textId="77777777" w:rsidR="009678D3" w:rsidRPr="00984DD8" w:rsidRDefault="009678D3" w:rsidP="009678D3">
            <w:pPr>
              <w:jc w:val="center"/>
              <w:rPr>
                <w:sz w:val="20"/>
              </w:rPr>
            </w:pPr>
            <w:r w:rsidRPr="00984DD8">
              <w:rPr>
                <w:sz w:val="20"/>
              </w:rPr>
              <w:t>190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01D38D6" w14:textId="77777777" w:rsidR="009678D3" w:rsidRPr="00984DD8" w:rsidRDefault="009678D3" w:rsidP="009678D3">
            <w:pPr>
              <w:jc w:val="center"/>
              <w:rPr>
                <w:sz w:val="20"/>
              </w:rPr>
            </w:pPr>
            <w:r w:rsidRPr="00984DD8">
              <w:rPr>
                <w:sz w:val="20"/>
              </w:rPr>
              <w:t>20,7</w:t>
            </w:r>
          </w:p>
        </w:tc>
      </w:tr>
      <w:tr w:rsidR="009678D3" w:rsidRPr="00984DD8" w14:paraId="0E896B72" w14:textId="77777777" w:rsidTr="009678D3">
        <w:trPr>
          <w:trHeight w:val="202"/>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60FC345" w14:textId="77777777" w:rsidR="009678D3" w:rsidRPr="00984DD8" w:rsidRDefault="009678D3" w:rsidP="009678D3">
            <w:pPr>
              <w:jc w:val="center"/>
              <w:rPr>
                <w:sz w:val="20"/>
                <w:highlight w:val="yellow"/>
              </w:rPr>
            </w:pPr>
            <w:r w:rsidRPr="00984DD8">
              <w:rPr>
                <w:sz w:val="20"/>
                <w:highlight w:val="yellow"/>
              </w:rPr>
              <w:t>EW90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5C2EF55" w14:textId="77777777" w:rsidR="009678D3" w:rsidRPr="00984DD8" w:rsidRDefault="009678D3" w:rsidP="009678D3">
            <w:pPr>
              <w:jc w:val="center"/>
              <w:rPr>
                <w:sz w:val="20"/>
                <w:highlight w:val="yellow"/>
              </w:rPr>
            </w:pPr>
            <w:r w:rsidRPr="00984DD8">
              <w:rPr>
                <w:sz w:val="20"/>
                <w:highlight w:val="yellow"/>
              </w:rPr>
              <w:t>100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2644B5F" w14:textId="77777777" w:rsidR="009678D3" w:rsidRPr="00984DD8" w:rsidRDefault="009678D3" w:rsidP="009678D3">
            <w:pPr>
              <w:jc w:val="center"/>
              <w:rPr>
                <w:sz w:val="20"/>
                <w:highlight w:val="yellow"/>
              </w:rPr>
            </w:pPr>
            <w:r w:rsidRPr="00984DD8">
              <w:rPr>
                <w:sz w:val="20"/>
                <w:highlight w:val="yellow"/>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CAC5DE5" w14:textId="77777777" w:rsidR="009678D3" w:rsidRPr="00984DD8" w:rsidRDefault="009678D3" w:rsidP="009678D3">
            <w:pPr>
              <w:jc w:val="center"/>
              <w:rPr>
                <w:sz w:val="20"/>
                <w:highlight w:val="yellow"/>
              </w:rPr>
            </w:pPr>
            <w:r w:rsidRPr="00984DD8">
              <w:rPr>
                <w:sz w:val="20"/>
                <w:highlight w:val="yellow"/>
              </w:rPr>
              <w:t>353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B9AE0B3" w14:textId="77777777" w:rsidR="009678D3" w:rsidRPr="00984DD8" w:rsidRDefault="009678D3" w:rsidP="009678D3">
            <w:pPr>
              <w:jc w:val="center"/>
              <w:rPr>
                <w:sz w:val="20"/>
                <w:highlight w:val="yellow"/>
              </w:rPr>
            </w:pPr>
            <w:r w:rsidRPr="00984DD8">
              <w:rPr>
                <w:sz w:val="20"/>
                <w:highlight w:val="yellow"/>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FAB09F3" w14:textId="77777777" w:rsidR="009678D3" w:rsidRPr="00984DD8" w:rsidRDefault="009678D3" w:rsidP="009678D3">
            <w:pPr>
              <w:jc w:val="center"/>
              <w:rPr>
                <w:sz w:val="20"/>
                <w:highlight w:val="yellow"/>
              </w:rPr>
            </w:pPr>
            <w:r w:rsidRPr="00984DD8">
              <w:rPr>
                <w:sz w:val="20"/>
                <w:highlight w:val="yellow"/>
              </w:rPr>
              <w:t>190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FA9575E" w14:textId="77777777" w:rsidR="009678D3" w:rsidRPr="00984DD8" w:rsidRDefault="009678D3" w:rsidP="009678D3">
            <w:pPr>
              <w:jc w:val="center"/>
              <w:rPr>
                <w:sz w:val="20"/>
                <w:highlight w:val="yellow"/>
              </w:rPr>
            </w:pPr>
            <w:r w:rsidRPr="00984DD8">
              <w:rPr>
                <w:sz w:val="20"/>
                <w:highlight w:val="yellow"/>
              </w:rPr>
              <w:t>26,1</w:t>
            </w:r>
          </w:p>
        </w:tc>
      </w:tr>
      <w:tr w:rsidR="009678D3" w:rsidRPr="00984DD8" w14:paraId="03FFBCA8" w14:textId="77777777" w:rsidTr="009678D3">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8EBB407" w14:textId="77777777" w:rsidR="009678D3" w:rsidRPr="00984DD8" w:rsidRDefault="009678D3" w:rsidP="009678D3">
            <w:pPr>
              <w:jc w:val="center"/>
              <w:rPr>
                <w:sz w:val="20"/>
              </w:rPr>
            </w:pPr>
            <w:r w:rsidRPr="00984DD8">
              <w:rPr>
                <w:sz w:val="20"/>
              </w:rPr>
              <w:t>EW100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566528D" w14:textId="77777777" w:rsidR="009678D3" w:rsidRPr="00984DD8" w:rsidRDefault="009678D3" w:rsidP="009678D3">
            <w:pPr>
              <w:jc w:val="center"/>
              <w:rPr>
                <w:sz w:val="20"/>
              </w:rPr>
            </w:pPr>
            <w:r w:rsidRPr="00984DD8">
              <w:rPr>
                <w:sz w:val="20"/>
              </w:rPr>
              <w:t>110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179B52E" w14:textId="77777777" w:rsidR="009678D3" w:rsidRPr="00984DD8" w:rsidRDefault="009678D3" w:rsidP="009678D3">
            <w:pPr>
              <w:jc w:val="center"/>
              <w:rPr>
                <w:sz w:val="20"/>
              </w:rPr>
            </w:pPr>
            <w:r w:rsidRPr="00984DD8">
              <w:rPr>
                <w:sz w:val="20"/>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52863E8" w14:textId="77777777" w:rsidR="009678D3" w:rsidRPr="00984DD8" w:rsidRDefault="009678D3" w:rsidP="009678D3">
            <w:pPr>
              <w:jc w:val="center"/>
              <w:rPr>
                <w:sz w:val="20"/>
              </w:rPr>
            </w:pPr>
            <w:r w:rsidRPr="00984DD8">
              <w:rPr>
                <w:sz w:val="20"/>
              </w:rPr>
              <w:t>309</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98D659D" w14:textId="77777777" w:rsidR="009678D3" w:rsidRPr="00984DD8" w:rsidRDefault="009678D3" w:rsidP="009678D3">
            <w:pPr>
              <w:jc w:val="center"/>
              <w:rPr>
                <w:sz w:val="20"/>
              </w:rPr>
            </w:pPr>
            <w:r w:rsidRPr="00984DD8">
              <w:rPr>
                <w:sz w:val="20"/>
              </w:rPr>
              <w:t>175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08029ED" w14:textId="77777777" w:rsidR="009678D3" w:rsidRPr="00984DD8" w:rsidRDefault="009678D3" w:rsidP="009678D3">
            <w:pPr>
              <w:jc w:val="center"/>
              <w:rPr>
                <w:sz w:val="20"/>
              </w:rPr>
            </w:pPr>
            <w:r w:rsidRPr="00984DD8">
              <w:rPr>
                <w:sz w:val="20"/>
              </w:rPr>
              <w:t>215</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FD54689" w14:textId="77777777" w:rsidR="009678D3" w:rsidRPr="00984DD8" w:rsidRDefault="009678D3" w:rsidP="009678D3">
            <w:pPr>
              <w:jc w:val="center"/>
              <w:rPr>
                <w:sz w:val="20"/>
              </w:rPr>
            </w:pPr>
            <w:r w:rsidRPr="00984DD8">
              <w:rPr>
                <w:sz w:val="20"/>
              </w:rPr>
              <w:t>27,9</w:t>
            </w:r>
          </w:p>
        </w:tc>
      </w:tr>
      <w:tr w:rsidR="009678D3" w:rsidRPr="00984DD8" w14:paraId="4D1D7B2A" w14:textId="77777777" w:rsidTr="009678D3">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4F52611" w14:textId="77777777" w:rsidR="009678D3" w:rsidRPr="00984DD8" w:rsidRDefault="009678D3" w:rsidP="009678D3">
            <w:pPr>
              <w:jc w:val="center"/>
              <w:rPr>
                <w:sz w:val="20"/>
              </w:rPr>
            </w:pPr>
            <w:r w:rsidRPr="00984DD8">
              <w:rPr>
                <w:sz w:val="20"/>
              </w:rPr>
              <w:t>EW140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BC21405" w14:textId="77777777" w:rsidR="009678D3" w:rsidRPr="00984DD8" w:rsidRDefault="009678D3" w:rsidP="009678D3">
            <w:pPr>
              <w:jc w:val="center"/>
              <w:rPr>
                <w:sz w:val="20"/>
              </w:rPr>
            </w:pPr>
            <w:r w:rsidRPr="00984DD8">
              <w:rPr>
                <w:sz w:val="20"/>
              </w:rPr>
              <w:t>155</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F86E658" w14:textId="77777777" w:rsidR="009678D3" w:rsidRPr="00984DD8" w:rsidRDefault="009678D3" w:rsidP="009678D3">
            <w:pPr>
              <w:jc w:val="center"/>
              <w:rPr>
                <w:sz w:val="20"/>
              </w:rPr>
            </w:pPr>
            <w:r w:rsidRPr="00984DD8">
              <w:rPr>
                <w:sz w:val="20"/>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253FB8B4" w14:textId="77777777" w:rsidR="009678D3" w:rsidRPr="00984DD8" w:rsidRDefault="009678D3" w:rsidP="009678D3">
            <w:pPr>
              <w:jc w:val="center"/>
              <w:rPr>
                <w:sz w:val="20"/>
              </w:rPr>
            </w:pPr>
            <w:r w:rsidRPr="00984DD8">
              <w:rPr>
                <w:sz w:val="20"/>
              </w:rPr>
              <w:t>510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89D9940" w14:textId="77777777" w:rsidR="009678D3" w:rsidRPr="00984DD8" w:rsidRDefault="009678D3" w:rsidP="009678D3">
            <w:pPr>
              <w:jc w:val="center"/>
              <w:rPr>
                <w:sz w:val="20"/>
              </w:rPr>
            </w:pPr>
            <w:r w:rsidRPr="00984DD8">
              <w:rPr>
                <w:sz w:val="20"/>
              </w:rPr>
              <w:t>189</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10CE724" w14:textId="77777777" w:rsidR="009678D3" w:rsidRPr="00984DD8" w:rsidRDefault="009678D3" w:rsidP="009678D3">
            <w:pPr>
              <w:jc w:val="center"/>
              <w:rPr>
                <w:sz w:val="20"/>
              </w:rPr>
            </w:pPr>
            <w:r w:rsidRPr="00984DD8">
              <w:rPr>
                <w:sz w:val="20"/>
              </w:rPr>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70C4771" w14:textId="77777777" w:rsidR="009678D3" w:rsidRPr="00984DD8" w:rsidRDefault="009678D3" w:rsidP="009678D3">
            <w:pPr>
              <w:jc w:val="center"/>
              <w:rPr>
                <w:sz w:val="20"/>
              </w:rPr>
            </w:pPr>
            <w:r w:rsidRPr="00984DD8">
              <w:rPr>
                <w:sz w:val="20"/>
              </w:rPr>
              <w:t>41,4</w:t>
            </w:r>
          </w:p>
        </w:tc>
      </w:tr>
      <w:tr w:rsidR="009678D3" w:rsidRPr="00984DD8" w14:paraId="49573070" w14:textId="77777777" w:rsidTr="009678D3">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F0ACE2D" w14:textId="77777777" w:rsidR="009678D3" w:rsidRPr="00984DD8" w:rsidRDefault="009678D3" w:rsidP="009678D3">
            <w:pPr>
              <w:jc w:val="center"/>
              <w:rPr>
                <w:sz w:val="20"/>
              </w:rPr>
            </w:pPr>
            <w:r w:rsidRPr="00984DD8">
              <w:rPr>
                <w:sz w:val="20"/>
              </w:rPr>
              <w:t>EW180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C947EF8" w14:textId="77777777" w:rsidR="009678D3" w:rsidRPr="00984DD8" w:rsidRDefault="009678D3" w:rsidP="009678D3">
            <w:pPr>
              <w:jc w:val="center"/>
              <w:rPr>
                <w:sz w:val="20"/>
              </w:rPr>
            </w:pPr>
            <w:r w:rsidRPr="00984DD8">
              <w:rPr>
                <w:sz w:val="20"/>
              </w:rPr>
              <w:t>200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7D7DC37" w14:textId="77777777" w:rsidR="009678D3" w:rsidRPr="00984DD8" w:rsidRDefault="009678D3" w:rsidP="009678D3">
            <w:pPr>
              <w:jc w:val="center"/>
              <w:rPr>
                <w:sz w:val="20"/>
              </w:rPr>
            </w:pPr>
            <w:r w:rsidRPr="00984DD8">
              <w:rPr>
                <w:sz w:val="20"/>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F2807F1" w14:textId="77777777" w:rsidR="009678D3" w:rsidRPr="00984DD8" w:rsidRDefault="009678D3" w:rsidP="009678D3">
            <w:pPr>
              <w:jc w:val="center"/>
              <w:rPr>
                <w:sz w:val="20"/>
              </w:rPr>
            </w:pPr>
            <w:r w:rsidRPr="00984DD8">
              <w:rPr>
                <w:sz w:val="20"/>
              </w:rPr>
              <w:t>513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7DC579D8" w14:textId="77777777" w:rsidR="009678D3" w:rsidRPr="00984DD8" w:rsidRDefault="009678D3" w:rsidP="009678D3">
            <w:pPr>
              <w:jc w:val="center"/>
              <w:rPr>
                <w:sz w:val="20"/>
              </w:rPr>
            </w:pPr>
            <w:r w:rsidRPr="00984DD8">
              <w:rPr>
                <w:sz w:val="20"/>
              </w:rPr>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BE056BF" w14:textId="77777777" w:rsidR="009678D3" w:rsidRPr="00984DD8" w:rsidRDefault="009678D3" w:rsidP="009678D3">
            <w:pPr>
              <w:jc w:val="center"/>
              <w:rPr>
                <w:sz w:val="20"/>
              </w:rPr>
            </w:pPr>
            <w:r w:rsidRPr="00984DD8">
              <w:rPr>
                <w:sz w:val="20"/>
              </w:rPr>
              <w:t>223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86C99DC" w14:textId="77777777" w:rsidR="009678D3" w:rsidRPr="00984DD8" w:rsidRDefault="009678D3" w:rsidP="009678D3">
            <w:pPr>
              <w:jc w:val="center"/>
              <w:rPr>
                <w:sz w:val="20"/>
              </w:rPr>
            </w:pPr>
            <w:r w:rsidRPr="00984DD8">
              <w:rPr>
                <w:sz w:val="20"/>
              </w:rPr>
              <w:t>49,1</w:t>
            </w:r>
          </w:p>
        </w:tc>
      </w:tr>
      <w:tr w:rsidR="009678D3" w:rsidRPr="00984DD8" w14:paraId="246B21A3" w14:textId="77777777" w:rsidTr="009678D3">
        <w:trPr>
          <w:trHeight w:val="210"/>
          <w:tblCellSpacing w:w="0" w:type="dxa"/>
          <w:jc w:val="center"/>
        </w:trPr>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30EA1646" w14:textId="77777777" w:rsidR="009678D3" w:rsidRPr="00984DD8" w:rsidRDefault="009678D3" w:rsidP="009678D3">
            <w:pPr>
              <w:jc w:val="center"/>
              <w:rPr>
                <w:sz w:val="20"/>
              </w:rPr>
            </w:pPr>
            <w:r w:rsidRPr="00984DD8">
              <w:rPr>
                <w:sz w:val="20"/>
              </w:rPr>
              <w:t>EW230</w:t>
            </w:r>
          </w:p>
        </w:tc>
        <w:tc>
          <w:tcPr>
            <w:tcW w:w="3130"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1F655040" w14:textId="77777777" w:rsidR="009678D3" w:rsidRPr="00984DD8" w:rsidRDefault="009678D3" w:rsidP="009678D3">
            <w:pPr>
              <w:jc w:val="center"/>
              <w:rPr>
                <w:sz w:val="20"/>
              </w:rPr>
            </w:pPr>
            <w:r w:rsidRPr="00984DD8">
              <w:rPr>
                <w:sz w:val="20"/>
              </w:rPr>
              <w:t>260</w:t>
            </w:r>
          </w:p>
        </w:tc>
        <w:tc>
          <w:tcPr>
            <w:tcW w:w="837"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CC47268" w14:textId="77777777" w:rsidR="009678D3" w:rsidRPr="00984DD8" w:rsidRDefault="009678D3" w:rsidP="009678D3">
            <w:pPr>
              <w:jc w:val="center"/>
              <w:rPr>
                <w:sz w:val="20"/>
              </w:rPr>
            </w:pPr>
            <w:r w:rsidRPr="00984DD8">
              <w:rPr>
                <w:sz w:val="20"/>
              </w:rPr>
              <w:t>12V</w:t>
            </w:r>
          </w:p>
        </w:tc>
        <w:tc>
          <w:tcPr>
            <w:tcW w:w="1134" w:type="dxa"/>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6765BA60" w14:textId="77777777" w:rsidR="009678D3" w:rsidRPr="00984DD8" w:rsidRDefault="009678D3" w:rsidP="009678D3">
            <w:pPr>
              <w:jc w:val="center"/>
              <w:rPr>
                <w:sz w:val="20"/>
              </w:rPr>
            </w:pPr>
            <w:r w:rsidRPr="00984DD8">
              <w:rPr>
                <w:sz w:val="20"/>
              </w:rPr>
              <w:t>518</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44ABD05D" w14:textId="77777777" w:rsidR="009678D3" w:rsidRPr="00984DD8" w:rsidRDefault="009678D3" w:rsidP="009678D3">
            <w:pPr>
              <w:jc w:val="center"/>
              <w:rPr>
                <w:sz w:val="20"/>
              </w:rPr>
            </w:pPr>
            <w:r w:rsidRPr="00984DD8">
              <w:rPr>
                <w:sz w:val="20"/>
              </w:rPr>
              <w:t>273</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0E65514F" w14:textId="77777777" w:rsidR="009678D3" w:rsidRPr="00984DD8" w:rsidRDefault="009678D3" w:rsidP="009678D3">
            <w:pPr>
              <w:jc w:val="center"/>
              <w:rPr>
                <w:sz w:val="20"/>
              </w:rPr>
            </w:pPr>
            <w:r w:rsidRPr="00984DD8">
              <w:rPr>
                <w:sz w:val="20"/>
              </w:rPr>
              <w:t>240</w:t>
            </w:r>
          </w:p>
        </w:tc>
        <w:tc>
          <w:tcPr>
            <w:tcW w:w="0" w:type="auto"/>
            <w:tcBorders>
              <w:top w:val="single" w:sz="6" w:space="0" w:color="47677C"/>
              <w:left w:val="single" w:sz="6" w:space="0" w:color="47677C"/>
              <w:bottom w:val="single" w:sz="6" w:space="0" w:color="47677C"/>
              <w:right w:val="single" w:sz="6" w:space="0" w:color="47677C"/>
            </w:tcBorders>
            <w:shd w:val="clear" w:color="auto" w:fill="FFFFFF"/>
            <w:vAlign w:val="center"/>
            <w:hideMark/>
          </w:tcPr>
          <w:p w14:paraId="5FED0F26" w14:textId="77777777" w:rsidR="009678D3" w:rsidRPr="00984DD8" w:rsidRDefault="009678D3" w:rsidP="009678D3">
            <w:pPr>
              <w:jc w:val="center"/>
              <w:rPr>
                <w:sz w:val="20"/>
              </w:rPr>
            </w:pPr>
            <w:r w:rsidRPr="00984DD8">
              <w:rPr>
                <w:sz w:val="20"/>
              </w:rPr>
              <w:t>64,4</w:t>
            </w:r>
          </w:p>
        </w:tc>
      </w:tr>
    </w:tbl>
    <w:p w14:paraId="3CF63538" w14:textId="77777777" w:rsidR="009678D3" w:rsidRDefault="009678D3" w:rsidP="009678D3">
      <w:pPr>
        <w:jc w:val="center"/>
        <w:rPr>
          <w:lang w:eastAsia="en-GB"/>
        </w:rPr>
      </w:pPr>
    </w:p>
    <w:p w14:paraId="4C64785D" w14:textId="77777777" w:rsidR="009678D3" w:rsidRDefault="009678D3">
      <w:pPr>
        <w:jc w:val="left"/>
        <w:rPr>
          <w:sz w:val="16"/>
          <w:szCs w:val="16"/>
        </w:rPr>
      </w:pPr>
      <w:r>
        <w:rPr>
          <w:sz w:val="16"/>
          <w:szCs w:val="16"/>
        </w:rPr>
        <w:br w:type="page"/>
      </w:r>
    </w:p>
    <w:p w14:paraId="456A6B84" w14:textId="77777777" w:rsidR="009678D3" w:rsidRPr="00E2736C" w:rsidRDefault="009678D3" w:rsidP="009678D3">
      <w:pPr>
        <w:pStyle w:val="Ttulo1"/>
        <w:rPr>
          <w:bCs/>
          <w:iCs/>
          <w:sz w:val="22"/>
          <w:szCs w:val="22"/>
        </w:rPr>
      </w:pPr>
      <w:r w:rsidRPr="00E2736C">
        <w:rPr>
          <w:sz w:val="22"/>
          <w:szCs w:val="22"/>
        </w:rPr>
        <w:lastRenderedPageBreak/>
        <w:t>INFORMACION GENERAL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FFFFFF"/>
        </w:tblBorders>
        <w:tblLook w:val="01E0" w:firstRow="1" w:lastRow="1" w:firstColumn="1" w:lastColumn="1" w:noHBand="0" w:noVBand="0"/>
      </w:tblPr>
      <w:tblGrid>
        <w:gridCol w:w="2050"/>
        <w:gridCol w:w="338"/>
        <w:gridCol w:w="6854"/>
      </w:tblGrid>
      <w:tr w:rsidR="009678D3" w:rsidRPr="00E2736C" w14:paraId="08646F09" w14:textId="77777777" w:rsidTr="009678D3">
        <w:tc>
          <w:tcPr>
            <w:tcW w:w="2100" w:type="dxa"/>
            <w:shd w:val="clear" w:color="auto" w:fill="auto"/>
            <w:vAlign w:val="center"/>
          </w:tcPr>
          <w:p w14:paraId="1EAB77BA"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Código del proyecto</w:t>
            </w:r>
          </w:p>
        </w:tc>
        <w:tc>
          <w:tcPr>
            <w:tcW w:w="345" w:type="dxa"/>
            <w:shd w:val="clear" w:color="auto" w:fill="auto"/>
            <w:vAlign w:val="center"/>
          </w:tcPr>
          <w:p w14:paraId="331CED11"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w:t>
            </w:r>
          </w:p>
        </w:tc>
        <w:tc>
          <w:tcPr>
            <w:tcW w:w="7515" w:type="dxa"/>
            <w:shd w:val="clear" w:color="auto" w:fill="auto"/>
            <w:vAlign w:val="center"/>
          </w:tcPr>
          <w:p w14:paraId="77BF7E7D"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fldChar w:fldCharType="begin"/>
            </w:r>
            <w:r w:rsidRPr="002969C4">
              <w:rPr>
                <w:rFonts w:ascii="Times New Roman" w:hAnsi="Times New Roman" w:cs="Times New Roman"/>
                <w:b w:val="0"/>
                <w:sz w:val="22"/>
                <w:szCs w:val="22"/>
              </w:rPr>
              <w:instrText xml:space="preserve"> DOCVARIABLE  CodigoProyecto</w:instrText>
            </w:r>
            <w:r w:rsidRPr="002969C4">
              <w:rPr>
                <w:rFonts w:ascii="Times New Roman" w:hAnsi="Times New Roman" w:cs="Times New Roman"/>
                <w:b w:val="0"/>
                <w:sz w:val="22"/>
                <w:szCs w:val="22"/>
              </w:rPr>
              <w:fldChar w:fldCharType="separate"/>
            </w:r>
            <w:r w:rsidRPr="002969C4">
              <w:rPr>
                <w:rFonts w:ascii="Times New Roman" w:hAnsi="Times New Roman" w:cs="Times New Roman"/>
                <w:b w:val="0"/>
                <w:sz w:val="22"/>
                <w:szCs w:val="22"/>
              </w:rPr>
              <w:t>19892</w:t>
            </w:r>
            <w:r w:rsidRPr="002969C4">
              <w:rPr>
                <w:rFonts w:ascii="Times New Roman" w:hAnsi="Times New Roman" w:cs="Times New Roman"/>
                <w:b w:val="0"/>
                <w:sz w:val="22"/>
                <w:szCs w:val="22"/>
              </w:rPr>
              <w:fldChar w:fldCharType="end"/>
            </w:r>
          </w:p>
        </w:tc>
      </w:tr>
      <w:tr w:rsidR="009678D3" w:rsidRPr="00E2736C" w14:paraId="3C23F791" w14:textId="77777777" w:rsidTr="009678D3">
        <w:tc>
          <w:tcPr>
            <w:tcW w:w="2100" w:type="dxa"/>
            <w:shd w:val="clear" w:color="auto" w:fill="auto"/>
            <w:vAlign w:val="center"/>
          </w:tcPr>
          <w:p w14:paraId="100455DC"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Nombre del proyecto</w:t>
            </w:r>
          </w:p>
        </w:tc>
        <w:tc>
          <w:tcPr>
            <w:tcW w:w="345" w:type="dxa"/>
            <w:shd w:val="clear" w:color="auto" w:fill="auto"/>
            <w:vAlign w:val="center"/>
          </w:tcPr>
          <w:p w14:paraId="115E852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w:t>
            </w:r>
          </w:p>
        </w:tc>
        <w:tc>
          <w:tcPr>
            <w:tcW w:w="7515" w:type="dxa"/>
            <w:shd w:val="clear" w:color="auto" w:fill="auto"/>
            <w:vAlign w:val="center"/>
          </w:tcPr>
          <w:p w14:paraId="72262345" w14:textId="77777777" w:rsidR="009678D3" w:rsidRPr="009678D3" w:rsidRDefault="009678D3" w:rsidP="009678D3">
            <w:pPr>
              <w:pStyle w:val="TITULOGENERAL"/>
              <w:spacing w:before="0" w:after="0"/>
              <w:jc w:val="left"/>
              <w:rPr>
                <w:rFonts w:ascii="Times New Roman" w:hAnsi="Times New Roman" w:cs="Times New Roman"/>
                <w:b w:val="0"/>
                <w:sz w:val="22"/>
                <w:szCs w:val="22"/>
                <w:highlight w:val="yellow"/>
              </w:rPr>
            </w:pPr>
            <w:r w:rsidRPr="009678D3">
              <w:rPr>
                <w:rFonts w:ascii="Times New Roman" w:hAnsi="Times New Roman" w:cs="Times New Roman"/>
                <w:b w:val="0"/>
                <w:sz w:val="22"/>
                <w:szCs w:val="22"/>
                <w:highlight w:val="yellow"/>
              </w:rPr>
              <w:fldChar w:fldCharType="begin"/>
            </w:r>
            <w:r w:rsidRPr="009678D3">
              <w:rPr>
                <w:rFonts w:ascii="Times New Roman" w:hAnsi="Times New Roman" w:cs="Times New Roman"/>
                <w:b w:val="0"/>
                <w:sz w:val="22"/>
                <w:szCs w:val="22"/>
                <w:highlight w:val="yellow"/>
              </w:rPr>
              <w:instrText xml:space="preserve"> DOCVARIABLE  NombreProyecto</w:instrText>
            </w:r>
            <w:r w:rsidRPr="009678D3">
              <w:rPr>
                <w:rFonts w:ascii="Times New Roman" w:hAnsi="Times New Roman" w:cs="Times New Roman"/>
                <w:b w:val="0"/>
                <w:sz w:val="22"/>
                <w:szCs w:val="22"/>
                <w:highlight w:val="yellow"/>
              </w:rPr>
              <w:fldChar w:fldCharType="separate"/>
            </w:r>
            <w:r w:rsidRPr="009678D3">
              <w:rPr>
                <w:rFonts w:ascii="Times New Roman" w:hAnsi="Times New Roman" w:cs="Times New Roman"/>
                <w:b w:val="0"/>
                <w:sz w:val="22"/>
                <w:szCs w:val="22"/>
                <w:highlight w:val="yellow"/>
              </w:rPr>
              <w:t>Agua y Saneamiento Comunidad Bálsamo Abajo</w:t>
            </w:r>
            <w:r w:rsidRPr="009678D3">
              <w:rPr>
                <w:rFonts w:ascii="Times New Roman" w:hAnsi="Times New Roman" w:cs="Times New Roman"/>
                <w:b w:val="0"/>
                <w:sz w:val="22"/>
                <w:szCs w:val="22"/>
                <w:highlight w:val="yellow"/>
              </w:rPr>
              <w:fldChar w:fldCharType="end"/>
            </w:r>
          </w:p>
        </w:tc>
      </w:tr>
      <w:tr w:rsidR="009678D3" w:rsidRPr="00E2736C" w14:paraId="4642CF39" w14:textId="77777777" w:rsidTr="009678D3">
        <w:tc>
          <w:tcPr>
            <w:tcW w:w="2100" w:type="dxa"/>
            <w:shd w:val="clear" w:color="auto" w:fill="auto"/>
            <w:vAlign w:val="center"/>
          </w:tcPr>
          <w:p w14:paraId="4ADD45EC"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Departamento</w:t>
            </w:r>
          </w:p>
        </w:tc>
        <w:tc>
          <w:tcPr>
            <w:tcW w:w="345" w:type="dxa"/>
            <w:shd w:val="clear" w:color="auto" w:fill="auto"/>
            <w:vAlign w:val="center"/>
          </w:tcPr>
          <w:p w14:paraId="25D05D2E"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w:t>
            </w:r>
          </w:p>
        </w:tc>
        <w:tc>
          <w:tcPr>
            <w:tcW w:w="7515" w:type="dxa"/>
            <w:shd w:val="clear" w:color="auto" w:fill="auto"/>
            <w:vAlign w:val="center"/>
          </w:tcPr>
          <w:p w14:paraId="45937D8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fldChar w:fldCharType="begin"/>
            </w:r>
            <w:r w:rsidRPr="002969C4">
              <w:rPr>
                <w:rFonts w:ascii="Times New Roman" w:hAnsi="Times New Roman" w:cs="Times New Roman"/>
                <w:b w:val="0"/>
                <w:sz w:val="22"/>
                <w:szCs w:val="22"/>
              </w:rPr>
              <w:instrText xml:space="preserve"> DOCVARIABLE  Depto</w:instrText>
            </w:r>
            <w:r w:rsidRPr="002969C4">
              <w:rPr>
                <w:rFonts w:ascii="Times New Roman" w:hAnsi="Times New Roman" w:cs="Times New Roman"/>
                <w:b w:val="0"/>
                <w:sz w:val="22"/>
                <w:szCs w:val="22"/>
              </w:rPr>
              <w:fldChar w:fldCharType="separate"/>
            </w:r>
            <w:r w:rsidRPr="002969C4">
              <w:rPr>
                <w:rFonts w:ascii="Times New Roman" w:hAnsi="Times New Roman" w:cs="Times New Roman"/>
                <w:b w:val="0"/>
                <w:sz w:val="22"/>
                <w:szCs w:val="22"/>
              </w:rPr>
              <w:t>Madriz</w:t>
            </w:r>
            <w:r w:rsidRPr="002969C4">
              <w:rPr>
                <w:rFonts w:ascii="Times New Roman" w:hAnsi="Times New Roman" w:cs="Times New Roman"/>
                <w:b w:val="0"/>
                <w:sz w:val="22"/>
                <w:szCs w:val="22"/>
              </w:rPr>
              <w:fldChar w:fldCharType="end"/>
            </w:r>
          </w:p>
        </w:tc>
      </w:tr>
      <w:tr w:rsidR="009678D3" w:rsidRPr="00E2736C" w14:paraId="27CAF914" w14:textId="77777777" w:rsidTr="009678D3">
        <w:tc>
          <w:tcPr>
            <w:tcW w:w="2100" w:type="dxa"/>
            <w:shd w:val="clear" w:color="auto" w:fill="auto"/>
            <w:vAlign w:val="center"/>
          </w:tcPr>
          <w:p w14:paraId="0C14A63C"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Municipio</w:t>
            </w:r>
          </w:p>
        </w:tc>
        <w:tc>
          <w:tcPr>
            <w:tcW w:w="345" w:type="dxa"/>
            <w:shd w:val="clear" w:color="auto" w:fill="auto"/>
            <w:vAlign w:val="center"/>
          </w:tcPr>
          <w:p w14:paraId="0F3A0E30"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w:t>
            </w:r>
          </w:p>
        </w:tc>
        <w:tc>
          <w:tcPr>
            <w:tcW w:w="7515" w:type="dxa"/>
            <w:shd w:val="clear" w:color="auto" w:fill="auto"/>
            <w:vAlign w:val="center"/>
          </w:tcPr>
          <w:p w14:paraId="413EF85E"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fldChar w:fldCharType="begin"/>
            </w:r>
            <w:r w:rsidRPr="002969C4">
              <w:rPr>
                <w:rFonts w:ascii="Times New Roman" w:hAnsi="Times New Roman" w:cs="Times New Roman"/>
                <w:b w:val="0"/>
                <w:sz w:val="22"/>
                <w:szCs w:val="22"/>
              </w:rPr>
              <w:instrText xml:space="preserve"> DOCVARIABLE  Munic</w:instrText>
            </w:r>
            <w:r w:rsidRPr="002969C4">
              <w:rPr>
                <w:rFonts w:ascii="Times New Roman" w:hAnsi="Times New Roman" w:cs="Times New Roman"/>
                <w:b w:val="0"/>
                <w:sz w:val="22"/>
                <w:szCs w:val="22"/>
              </w:rPr>
              <w:fldChar w:fldCharType="separate"/>
            </w:r>
            <w:r w:rsidRPr="002969C4">
              <w:rPr>
                <w:rFonts w:ascii="Times New Roman" w:hAnsi="Times New Roman" w:cs="Times New Roman"/>
                <w:b w:val="0"/>
                <w:sz w:val="22"/>
                <w:szCs w:val="22"/>
              </w:rPr>
              <w:t>San Juan del Río Coco</w:t>
            </w:r>
            <w:r w:rsidRPr="002969C4">
              <w:rPr>
                <w:rFonts w:ascii="Times New Roman" w:hAnsi="Times New Roman" w:cs="Times New Roman"/>
                <w:b w:val="0"/>
                <w:sz w:val="22"/>
                <w:szCs w:val="22"/>
              </w:rPr>
              <w:fldChar w:fldCharType="end"/>
            </w:r>
          </w:p>
        </w:tc>
      </w:tr>
      <w:tr w:rsidR="009678D3" w:rsidRPr="00E2736C" w14:paraId="5C6534D1" w14:textId="77777777" w:rsidTr="009678D3">
        <w:tc>
          <w:tcPr>
            <w:tcW w:w="2100" w:type="dxa"/>
            <w:shd w:val="clear" w:color="auto" w:fill="auto"/>
            <w:vAlign w:val="center"/>
          </w:tcPr>
          <w:p w14:paraId="30C2405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Barrio/Comarca</w:t>
            </w:r>
          </w:p>
        </w:tc>
        <w:tc>
          <w:tcPr>
            <w:tcW w:w="345" w:type="dxa"/>
            <w:shd w:val="clear" w:color="auto" w:fill="auto"/>
            <w:vAlign w:val="center"/>
          </w:tcPr>
          <w:p w14:paraId="272A4B47"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w:t>
            </w:r>
          </w:p>
        </w:tc>
        <w:tc>
          <w:tcPr>
            <w:tcW w:w="7515" w:type="dxa"/>
            <w:shd w:val="clear" w:color="auto" w:fill="auto"/>
            <w:vAlign w:val="center"/>
          </w:tcPr>
          <w:p w14:paraId="1C96B33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fldChar w:fldCharType="begin"/>
            </w:r>
            <w:r w:rsidRPr="002969C4">
              <w:rPr>
                <w:rFonts w:ascii="Times New Roman" w:hAnsi="Times New Roman" w:cs="Times New Roman"/>
                <w:b w:val="0"/>
                <w:sz w:val="22"/>
                <w:szCs w:val="22"/>
              </w:rPr>
              <w:instrText xml:space="preserve"> DOCVARIABLE  BarrioCom</w:instrText>
            </w:r>
            <w:r w:rsidRPr="002969C4">
              <w:rPr>
                <w:rFonts w:ascii="Times New Roman" w:hAnsi="Times New Roman" w:cs="Times New Roman"/>
                <w:b w:val="0"/>
                <w:sz w:val="22"/>
                <w:szCs w:val="22"/>
              </w:rPr>
              <w:fldChar w:fldCharType="separate"/>
            </w:r>
            <w:r w:rsidRPr="002969C4">
              <w:rPr>
                <w:rFonts w:ascii="Times New Roman" w:hAnsi="Times New Roman" w:cs="Times New Roman"/>
                <w:b w:val="0"/>
                <w:sz w:val="22"/>
                <w:szCs w:val="22"/>
              </w:rPr>
              <w:t>El Bálsamo</w:t>
            </w:r>
            <w:r w:rsidRPr="002969C4">
              <w:rPr>
                <w:rFonts w:ascii="Times New Roman" w:hAnsi="Times New Roman" w:cs="Times New Roman"/>
                <w:b w:val="0"/>
                <w:sz w:val="22"/>
                <w:szCs w:val="22"/>
              </w:rPr>
              <w:fldChar w:fldCharType="end"/>
            </w:r>
          </w:p>
        </w:tc>
      </w:tr>
    </w:tbl>
    <w:p w14:paraId="31A823D9" w14:textId="77777777" w:rsidR="009678D3" w:rsidRPr="00E2736C" w:rsidRDefault="009678D3" w:rsidP="009678D3">
      <w:pPr>
        <w:pStyle w:val="TITULOGENERAL"/>
        <w:spacing w:before="0" w:after="0"/>
        <w:jc w:val="both"/>
        <w:rPr>
          <w:rFonts w:ascii="Times New Roman" w:hAnsi="Times New Roman" w:cs="Times New Roman"/>
          <w:b w:val="0"/>
          <w:sz w:val="16"/>
          <w:szCs w:val="16"/>
        </w:rPr>
      </w:pPr>
    </w:p>
    <w:p w14:paraId="1A740138" w14:textId="77777777" w:rsidR="009678D3" w:rsidRPr="00E2736C" w:rsidRDefault="009678D3" w:rsidP="009678D3">
      <w:pPr>
        <w:pStyle w:val="Ttulo1"/>
        <w:rPr>
          <w:bCs/>
          <w:iCs/>
          <w:sz w:val="22"/>
          <w:szCs w:val="22"/>
        </w:rPr>
      </w:pPr>
      <w:r w:rsidRPr="00E2736C">
        <w:rPr>
          <w:sz w:val="22"/>
          <w:szCs w:val="22"/>
        </w:rPr>
        <w:t xml:space="preserve">RESULTADOS DE </w:t>
      </w:r>
      <w:smartTag w:uri="urn:schemas-microsoft-com:office:smarttags" w:element="PersonName">
        <w:smartTagPr>
          <w:attr w:name="ProductID" w:val="LA EVALUACION DEL"/>
        </w:smartTagPr>
        <w:smartTag w:uri="urn:schemas-microsoft-com:office:smarttags" w:element="PersonName">
          <w:r w:rsidRPr="00E2736C">
            <w:rPr>
              <w:sz w:val="22"/>
              <w:szCs w:val="22"/>
            </w:rPr>
            <w:t>LA EVALUACION</w:t>
          </w:r>
        </w:smartTag>
        <w:r w:rsidRPr="00E2736C">
          <w:rPr>
            <w:sz w:val="22"/>
            <w:szCs w:val="22"/>
          </w:rPr>
          <w:t xml:space="preserve"> DEL</w:t>
        </w:r>
      </w:smartTag>
      <w:r w:rsidRPr="00E2736C">
        <w:rPr>
          <w:sz w:val="22"/>
          <w:szCs w:val="22"/>
        </w:rPr>
        <w:t xml:space="preserve"> EMPLAZAMIENTO DEL PROYECTO</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1600"/>
        <w:gridCol w:w="1600"/>
        <w:gridCol w:w="1600"/>
      </w:tblGrid>
      <w:tr w:rsidR="009678D3" w:rsidRPr="00E2736C" w14:paraId="4C98FBEE" w14:textId="77777777" w:rsidTr="009678D3">
        <w:tc>
          <w:tcPr>
            <w:tcW w:w="5160" w:type="dxa"/>
            <w:vMerge w:val="restart"/>
            <w:tcBorders>
              <w:top w:val="single" w:sz="4" w:space="0" w:color="auto"/>
              <w:left w:val="single" w:sz="4" w:space="0" w:color="auto"/>
            </w:tcBorders>
            <w:shd w:val="clear" w:color="auto" w:fill="auto"/>
            <w:vAlign w:val="bottom"/>
          </w:tcPr>
          <w:p w14:paraId="6F5F7C76" w14:textId="77777777" w:rsidR="009678D3" w:rsidRPr="002969C4" w:rsidRDefault="009678D3" w:rsidP="009678D3">
            <w:pPr>
              <w:jc w:val="right"/>
              <w:rPr>
                <w:sz w:val="22"/>
                <w:szCs w:val="22"/>
              </w:rPr>
            </w:pPr>
            <w:r w:rsidRPr="002969C4">
              <w:rPr>
                <w:sz w:val="22"/>
                <w:szCs w:val="22"/>
              </w:rPr>
              <w:t>¿El Proyecto Presenta Evaluación del Emplazamiento?</w:t>
            </w:r>
          </w:p>
        </w:tc>
        <w:tc>
          <w:tcPr>
            <w:tcW w:w="1600" w:type="dxa"/>
            <w:shd w:val="clear" w:color="auto" w:fill="auto"/>
            <w:vAlign w:val="center"/>
          </w:tcPr>
          <w:p w14:paraId="3D36A0C5" w14:textId="77777777" w:rsidR="009678D3" w:rsidRPr="002969C4" w:rsidRDefault="009678D3" w:rsidP="009678D3">
            <w:pPr>
              <w:jc w:val="center"/>
              <w:rPr>
                <w:b/>
                <w:sz w:val="22"/>
                <w:szCs w:val="22"/>
              </w:rPr>
            </w:pPr>
            <w:r w:rsidRPr="002969C4">
              <w:rPr>
                <w:b/>
                <w:sz w:val="22"/>
                <w:szCs w:val="22"/>
              </w:rPr>
              <w:t>SI</w:t>
            </w:r>
          </w:p>
        </w:tc>
        <w:tc>
          <w:tcPr>
            <w:tcW w:w="1600" w:type="dxa"/>
            <w:shd w:val="clear" w:color="auto" w:fill="auto"/>
            <w:vAlign w:val="center"/>
          </w:tcPr>
          <w:p w14:paraId="73C2809A" w14:textId="77777777" w:rsidR="009678D3" w:rsidRPr="002969C4" w:rsidRDefault="009678D3" w:rsidP="009678D3">
            <w:pPr>
              <w:jc w:val="center"/>
              <w:rPr>
                <w:b/>
                <w:sz w:val="22"/>
                <w:szCs w:val="22"/>
              </w:rPr>
            </w:pPr>
            <w:r w:rsidRPr="002969C4">
              <w:rPr>
                <w:b/>
                <w:sz w:val="22"/>
                <w:szCs w:val="22"/>
              </w:rPr>
              <w:t>NO</w:t>
            </w:r>
          </w:p>
        </w:tc>
        <w:tc>
          <w:tcPr>
            <w:tcW w:w="1600" w:type="dxa"/>
            <w:shd w:val="clear" w:color="auto" w:fill="auto"/>
            <w:vAlign w:val="center"/>
          </w:tcPr>
          <w:p w14:paraId="07CC8863" w14:textId="77777777" w:rsidR="009678D3" w:rsidRPr="002969C4" w:rsidRDefault="009678D3" w:rsidP="009678D3">
            <w:pPr>
              <w:jc w:val="center"/>
              <w:rPr>
                <w:b/>
                <w:sz w:val="22"/>
                <w:szCs w:val="22"/>
              </w:rPr>
            </w:pPr>
            <w:r w:rsidRPr="002969C4">
              <w:rPr>
                <w:b/>
                <w:sz w:val="22"/>
                <w:szCs w:val="22"/>
              </w:rPr>
              <w:t>NO APLICA</w:t>
            </w:r>
          </w:p>
        </w:tc>
      </w:tr>
      <w:tr w:rsidR="009678D3" w:rsidRPr="00E2736C" w14:paraId="7BFD0D97" w14:textId="77777777" w:rsidTr="009678D3">
        <w:tc>
          <w:tcPr>
            <w:tcW w:w="5160" w:type="dxa"/>
            <w:vMerge/>
            <w:tcBorders>
              <w:left w:val="single" w:sz="4" w:space="0" w:color="auto"/>
              <w:bottom w:val="single" w:sz="4" w:space="0" w:color="auto"/>
            </w:tcBorders>
            <w:shd w:val="clear" w:color="auto" w:fill="auto"/>
          </w:tcPr>
          <w:p w14:paraId="2405BB9E" w14:textId="77777777" w:rsidR="009678D3" w:rsidRPr="002969C4" w:rsidRDefault="009678D3" w:rsidP="009678D3">
            <w:pPr>
              <w:rPr>
                <w:sz w:val="22"/>
                <w:szCs w:val="22"/>
              </w:rPr>
            </w:pPr>
          </w:p>
        </w:tc>
        <w:tc>
          <w:tcPr>
            <w:tcW w:w="1600" w:type="dxa"/>
            <w:shd w:val="clear" w:color="auto" w:fill="auto"/>
            <w:vAlign w:val="center"/>
          </w:tcPr>
          <w:p w14:paraId="0AFB744B" w14:textId="77777777" w:rsidR="009678D3" w:rsidRPr="002969C4" w:rsidRDefault="009678D3" w:rsidP="009678D3">
            <w:pPr>
              <w:jc w:val="center"/>
              <w:rPr>
                <w:sz w:val="22"/>
                <w:szCs w:val="22"/>
              </w:rPr>
            </w:pPr>
            <w:r w:rsidRPr="002969C4">
              <w:rPr>
                <w:sz w:val="22"/>
                <w:szCs w:val="22"/>
              </w:rPr>
              <w:sym w:font="Wingdings" w:char="F0FC"/>
            </w:r>
          </w:p>
        </w:tc>
        <w:tc>
          <w:tcPr>
            <w:tcW w:w="1600" w:type="dxa"/>
            <w:shd w:val="clear" w:color="auto" w:fill="auto"/>
            <w:vAlign w:val="center"/>
          </w:tcPr>
          <w:p w14:paraId="6BA91731" w14:textId="77777777" w:rsidR="009678D3" w:rsidRPr="002969C4" w:rsidRDefault="009678D3" w:rsidP="009678D3">
            <w:pPr>
              <w:jc w:val="center"/>
              <w:rPr>
                <w:sz w:val="22"/>
                <w:szCs w:val="22"/>
              </w:rPr>
            </w:pPr>
          </w:p>
        </w:tc>
        <w:tc>
          <w:tcPr>
            <w:tcW w:w="1600" w:type="dxa"/>
            <w:shd w:val="clear" w:color="auto" w:fill="auto"/>
            <w:vAlign w:val="center"/>
          </w:tcPr>
          <w:p w14:paraId="50EBAA9C" w14:textId="77777777" w:rsidR="009678D3" w:rsidRPr="002969C4" w:rsidRDefault="009678D3" w:rsidP="009678D3">
            <w:pPr>
              <w:jc w:val="center"/>
              <w:rPr>
                <w:sz w:val="22"/>
                <w:szCs w:val="22"/>
              </w:rPr>
            </w:pPr>
          </w:p>
        </w:tc>
      </w:tr>
    </w:tbl>
    <w:p w14:paraId="35FF61C7" w14:textId="77777777" w:rsidR="009678D3" w:rsidRPr="00E2736C" w:rsidRDefault="009678D3" w:rsidP="009678D3">
      <w:pPr>
        <w:rPr>
          <w:sz w:val="16"/>
          <w:szCs w:val="16"/>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9571"/>
      </w:tblGrid>
      <w:tr w:rsidR="009678D3" w:rsidRPr="00E2736C" w14:paraId="0123CE90" w14:textId="77777777" w:rsidTr="009678D3">
        <w:tc>
          <w:tcPr>
            <w:tcW w:w="360" w:type="dxa"/>
            <w:shd w:val="clear" w:color="auto" w:fill="00FFFF"/>
            <w:vAlign w:val="center"/>
          </w:tcPr>
          <w:p w14:paraId="2156D5F4" w14:textId="77777777" w:rsidR="009678D3" w:rsidRPr="002969C4" w:rsidRDefault="009678D3" w:rsidP="009678D3">
            <w:pPr>
              <w:pStyle w:val="TITULOGENERAL"/>
              <w:spacing w:before="0" w:after="0"/>
              <w:rPr>
                <w:rFonts w:ascii="Times New Roman" w:hAnsi="Times New Roman" w:cs="Times New Roman"/>
                <w:sz w:val="22"/>
                <w:szCs w:val="22"/>
              </w:rPr>
            </w:pPr>
          </w:p>
        </w:tc>
        <w:tc>
          <w:tcPr>
            <w:tcW w:w="9600" w:type="dxa"/>
            <w:shd w:val="clear" w:color="auto" w:fill="00FFFF"/>
            <w:vAlign w:val="center"/>
          </w:tcPr>
          <w:p w14:paraId="1B5AB022" w14:textId="77777777" w:rsidR="009678D3" w:rsidRPr="002969C4" w:rsidRDefault="009678D3" w:rsidP="009678D3">
            <w:pPr>
              <w:pStyle w:val="TITULOGENERAL"/>
              <w:spacing w:before="0" w:after="0"/>
              <w:rPr>
                <w:rFonts w:ascii="Times New Roman" w:hAnsi="Times New Roman" w:cs="Times New Roman"/>
                <w:sz w:val="22"/>
                <w:szCs w:val="22"/>
              </w:rPr>
            </w:pPr>
            <w:r w:rsidRPr="002969C4">
              <w:rPr>
                <w:rFonts w:ascii="Times New Roman" w:hAnsi="Times New Roman" w:cs="Times New Roman"/>
                <w:sz w:val="22"/>
                <w:szCs w:val="22"/>
              </w:rPr>
              <w:t xml:space="preserve">Resultados de </w:t>
            </w:r>
            <w:smartTag w:uri="urn:schemas-microsoft-com:office:smarttags" w:element="PersonName">
              <w:smartTagPr>
                <w:attr w:name="ProductID" w:val="la Evaluaci￳n"/>
              </w:smartTagPr>
              <w:r w:rsidRPr="002969C4">
                <w:rPr>
                  <w:rFonts w:ascii="Times New Roman" w:hAnsi="Times New Roman" w:cs="Times New Roman"/>
                  <w:sz w:val="22"/>
                  <w:szCs w:val="22"/>
                </w:rPr>
                <w:t>la Evaluación</w:t>
              </w:r>
            </w:smartTag>
            <w:r w:rsidRPr="002969C4">
              <w:rPr>
                <w:rFonts w:ascii="Times New Roman" w:hAnsi="Times New Roman" w:cs="Times New Roman"/>
                <w:sz w:val="22"/>
                <w:szCs w:val="22"/>
              </w:rPr>
              <w:t xml:space="preserve"> del Emplazamiento</w:t>
            </w:r>
          </w:p>
        </w:tc>
      </w:tr>
      <w:tr w:rsidR="009678D3" w:rsidRPr="00E2736C" w14:paraId="683A60F7" w14:textId="77777777" w:rsidTr="009678D3">
        <w:tc>
          <w:tcPr>
            <w:tcW w:w="360" w:type="dxa"/>
            <w:shd w:val="clear" w:color="auto" w:fill="auto"/>
            <w:vAlign w:val="center"/>
          </w:tcPr>
          <w:p w14:paraId="55B8255B"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147DF2FF"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Valores entre 1 y 1.5 significa que el sitio donde se propone emplazar el proyecto es muy peligroso, con alto componente de riesgo a desastres y/o con un severo deterioro de la calidad ambiental pudiendo dar lugar a la pérdida de la inversión o lesionar la salud de las personas que utilizarán el servicio. Por lo que el Nuevo FISE recomienda no elegible el sitio para el desarrollo de inversiones y se recomienda  la búsqueda de una mejor alternativa de localización.</w:t>
            </w:r>
          </w:p>
          <w:p w14:paraId="3EDFE4E6"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p w14:paraId="2E5D113D"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Si no se diera la posibilidad de encontrar otro terreno y se buscara la forma de hacer elegible el sitio, el Nuevo FISE considera además esta alternativa de sitio elegible siempre y cuando no se obtengan calificaciones de 1 en   algunos de los siguientes aspectos:</w:t>
            </w:r>
          </w:p>
          <w:p w14:paraId="436B2827"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p w14:paraId="00F03597"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 xml:space="preserve">  Sismicidad</w:t>
            </w:r>
          </w:p>
          <w:p w14:paraId="1A449808"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 xml:space="preserve">  Deslizamientos</w:t>
            </w:r>
          </w:p>
          <w:p w14:paraId="54892AE5"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 xml:space="preserve">  Vulcanismo</w:t>
            </w:r>
          </w:p>
          <w:p w14:paraId="2D3F7D2E"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 xml:space="preserve">  Mar y lagos</w:t>
            </w:r>
          </w:p>
          <w:p w14:paraId="77B211BE"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 xml:space="preserve">  Fuentes de contaminación</w:t>
            </w:r>
          </w:p>
          <w:p w14:paraId="055FA388"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 xml:space="preserve">  Marco legal(Legalidad del Terreno)</w:t>
            </w:r>
          </w:p>
          <w:p w14:paraId="41115579"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p w14:paraId="5108DE38"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En el caso de obtener la calificación de 1 en cualquiera de las variables anteriores y de no presentarse otra alternativa de terreno, el Nuevo FISE estudiará de forma detallada la elegibilidad del sitio, buscando dar solución técnica con medidas de mitigacion para que se desarrolle el proyecto. Los porcentajes máximos establecidos  para las obras  de mitigación ambiental y las obras exteriores no deben exceder del 30% del monto total de la obra física, de lo contrario definitivamente hay que buscarse otro terreno.</w:t>
            </w:r>
          </w:p>
          <w:p w14:paraId="5C41ED53"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319C9B2E" w14:textId="77777777" w:rsidTr="009678D3">
        <w:tc>
          <w:tcPr>
            <w:tcW w:w="360" w:type="dxa"/>
            <w:shd w:val="clear" w:color="auto" w:fill="auto"/>
            <w:vAlign w:val="center"/>
          </w:tcPr>
          <w:p w14:paraId="22A6DF70"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76D6A141"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Valores entre 1.6 y 2.0 significa que el sitio donde se propone emplazar el proyecto es peligroso ya que tiene algunos riesgos a desastres y/o existen limitaciones ambientales que pueden eventualmente lesionar la salud de las personas que utilizan el sitio. Por lo que el Nuevo FISE sugiere la búsqueda de una mejor alternativa de localización. . En el caso de obtener la calificación de 1 en cualquiera de las variables, aplican las condiciones del primer caso (Rango 1 y 1.5)</w:t>
            </w:r>
          </w:p>
          <w:p w14:paraId="22F52517"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5F6BF0FE" w14:textId="77777777" w:rsidTr="009678D3">
        <w:tc>
          <w:tcPr>
            <w:tcW w:w="360" w:type="dxa"/>
            <w:shd w:val="clear" w:color="auto" w:fill="auto"/>
            <w:vAlign w:val="center"/>
          </w:tcPr>
          <w:p w14:paraId="5FF9F38C"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sym w:font="Wingdings" w:char="F0FC"/>
            </w:r>
          </w:p>
        </w:tc>
        <w:tc>
          <w:tcPr>
            <w:tcW w:w="9600" w:type="dxa"/>
            <w:shd w:val="clear" w:color="auto" w:fill="auto"/>
            <w:vAlign w:val="center"/>
          </w:tcPr>
          <w:p w14:paraId="130138C6"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Valores entre 2.1 y 2.5 significa que el sitio es poco peligroso, con muy bajo componente de riesgo a desastres y/o bajo deterioro de la calidad ambiental a pesar de limitaciones aisladas. En el caso de obtener la calificación de 1 en cualquiera de las variables, aplican las condiciones del primer caso (Rango 1 y 1.5)</w:t>
            </w:r>
          </w:p>
          <w:p w14:paraId="30EBC186"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tc>
      </w:tr>
      <w:tr w:rsidR="009678D3" w:rsidRPr="00E2736C" w14:paraId="00E268A9" w14:textId="77777777" w:rsidTr="009678D3">
        <w:tc>
          <w:tcPr>
            <w:tcW w:w="360" w:type="dxa"/>
            <w:shd w:val="clear" w:color="auto" w:fill="auto"/>
            <w:vAlign w:val="center"/>
          </w:tcPr>
          <w:p w14:paraId="4B092CC5"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3A075C01"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Valores superiores a 2.6 significa que el sitio no es peligroso, muy bajo riesgo y/o buena calidad ambiental para el emplazamiento del proyecto. . En el caso de obtener la calificación de 1 en cualquiera de las variables, aplican las condiciones del primer caso (Rango 1 y 1.5)</w:t>
            </w:r>
          </w:p>
          <w:p w14:paraId="4761756B" w14:textId="77777777" w:rsidR="009678D3" w:rsidRPr="002969C4" w:rsidRDefault="009678D3" w:rsidP="009678D3">
            <w:pPr>
              <w:pStyle w:val="TITULOGENERAL"/>
              <w:spacing w:before="0" w:after="0"/>
              <w:jc w:val="left"/>
              <w:rPr>
                <w:rFonts w:ascii="Times New Roman" w:hAnsi="Times New Roman" w:cs="Times New Roman"/>
                <w:b w:val="0"/>
                <w:sz w:val="22"/>
                <w:szCs w:val="22"/>
              </w:rPr>
            </w:pPr>
          </w:p>
        </w:tc>
      </w:tr>
    </w:tbl>
    <w:p w14:paraId="08D5C642" w14:textId="77777777" w:rsidR="009678D3" w:rsidRPr="00E2736C" w:rsidRDefault="009678D3" w:rsidP="009678D3">
      <w:pPr>
        <w:rPr>
          <w:sz w:val="16"/>
          <w:szCs w:val="16"/>
        </w:rPr>
      </w:pPr>
    </w:p>
    <w:p w14:paraId="0C238190" w14:textId="77777777" w:rsidR="009678D3" w:rsidRPr="00E2736C" w:rsidRDefault="009678D3" w:rsidP="009678D3">
      <w:pPr>
        <w:rPr>
          <w:b/>
          <w:sz w:val="22"/>
          <w:szCs w:val="22"/>
        </w:rPr>
      </w:pPr>
      <w:r w:rsidRPr="00E2736C">
        <w:rPr>
          <w:b/>
          <w:sz w:val="22"/>
          <w:szCs w:val="22"/>
        </w:rPr>
        <w:t xml:space="preserve">Fuentes de Riesgos con Valor 1 en </w:t>
      </w:r>
      <w:smartTag w:uri="urn:schemas-microsoft-com:office:smarttags" w:element="PersonName">
        <w:smartTagPr>
          <w:attr w:name="ProductID" w:val="la Evaluaci￳n"/>
        </w:smartTagPr>
        <w:r w:rsidRPr="00E2736C">
          <w:rPr>
            <w:b/>
            <w:sz w:val="22"/>
            <w:szCs w:val="22"/>
          </w:rPr>
          <w:t>la Evaluación</w:t>
        </w:r>
      </w:smartTag>
      <w:r w:rsidRPr="00E2736C">
        <w:rPr>
          <w:b/>
          <w:sz w:val="22"/>
          <w:szCs w:val="22"/>
        </w:rPr>
        <w:t xml:space="preserve"> del Emplazamiento:</w:t>
      </w:r>
    </w:p>
    <w:p w14:paraId="492E170A" w14:textId="77777777" w:rsidR="009678D3" w:rsidRPr="00E2736C" w:rsidRDefault="009678D3" w:rsidP="009678D3">
      <w:pPr>
        <w:rPr>
          <w:sz w:val="16"/>
          <w:szCs w:val="16"/>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9571"/>
      </w:tblGrid>
      <w:tr w:rsidR="009678D3" w:rsidRPr="00E2736C" w14:paraId="7E1DB645" w14:textId="77777777" w:rsidTr="009678D3">
        <w:tc>
          <w:tcPr>
            <w:tcW w:w="360" w:type="dxa"/>
            <w:shd w:val="clear" w:color="auto" w:fill="00FFFF"/>
            <w:vAlign w:val="center"/>
          </w:tcPr>
          <w:p w14:paraId="0836B2CA" w14:textId="77777777" w:rsidR="009678D3" w:rsidRPr="002969C4" w:rsidRDefault="009678D3" w:rsidP="009678D3">
            <w:pPr>
              <w:pStyle w:val="TITULOGENERAL"/>
              <w:spacing w:before="0" w:after="0"/>
              <w:rPr>
                <w:rFonts w:ascii="Times New Roman" w:hAnsi="Times New Roman" w:cs="Times New Roman"/>
                <w:sz w:val="22"/>
                <w:szCs w:val="22"/>
              </w:rPr>
            </w:pPr>
          </w:p>
        </w:tc>
        <w:tc>
          <w:tcPr>
            <w:tcW w:w="9600" w:type="dxa"/>
            <w:shd w:val="clear" w:color="auto" w:fill="00FFFF"/>
            <w:vAlign w:val="center"/>
          </w:tcPr>
          <w:p w14:paraId="3575AA94" w14:textId="77777777" w:rsidR="009678D3" w:rsidRPr="002969C4" w:rsidRDefault="009678D3" w:rsidP="009678D3">
            <w:pPr>
              <w:pStyle w:val="TITULOGENERAL"/>
              <w:spacing w:before="0" w:after="0"/>
              <w:rPr>
                <w:rFonts w:ascii="Times New Roman" w:hAnsi="Times New Roman" w:cs="Times New Roman"/>
                <w:sz w:val="22"/>
                <w:szCs w:val="22"/>
              </w:rPr>
            </w:pPr>
            <w:r w:rsidRPr="002969C4">
              <w:rPr>
                <w:rFonts w:ascii="Times New Roman" w:hAnsi="Times New Roman" w:cs="Times New Roman"/>
                <w:sz w:val="22"/>
                <w:szCs w:val="22"/>
              </w:rPr>
              <w:t>Fuentes de Riesgos</w:t>
            </w:r>
          </w:p>
        </w:tc>
      </w:tr>
      <w:tr w:rsidR="009678D3" w:rsidRPr="00E2736C" w14:paraId="2E1B6F51" w14:textId="77777777" w:rsidTr="009678D3">
        <w:tc>
          <w:tcPr>
            <w:tcW w:w="360" w:type="dxa"/>
            <w:shd w:val="clear" w:color="auto" w:fill="auto"/>
            <w:vAlign w:val="center"/>
          </w:tcPr>
          <w:p w14:paraId="54E67258"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sym w:font="Wingdings" w:char="F0FC"/>
            </w:r>
          </w:p>
        </w:tc>
        <w:tc>
          <w:tcPr>
            <w:tcW w:w="9600" w:type="dxa"/>
            <w:shd w:val="clear" w:color="auto" w:fill="auto"/>
            <w:vAlign w:val="center"/>
          </w:tcPr>
          <w:p w14:paraId="27BD8EC9"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Ninguna</w:t>
            </w:r>
          </w:p>
        </w:tc>
      </w:tr>
      <w:tr w:rsidR="009678D3" w:rsidRPr="00E2736C" w14:paraId="67270088" w14:textId="77777777" w:rsidTr="009678D3">
        <w:tc>
          <w:tcPr>
            <w:tcW w:w="360" w:type="dxa"/>
            <w:shd w:val="clear" w:color="auto" w:fill="auto"/>
            <w:vAlign w:val="center"/>
          </w:tcPr>
          <w:p w14:paraId="6D8A360A"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6A47FFA3"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Sismicidad</w:t>
            </w:r>
          </w:p>
        </w:tc>
      </w:tr>
      <w:tr w:rsidR="009678D3" w:rsidRPr="00E2736C" w14:paraId="2FC2BAB4" w14:textId="77777777" w:rsidTr="009678D3">
        <w:tc>
          <w:tcPr>
            <w:tcW w:w="360" w:type="dxa"/>
            <w:shd w:val="clear" w:color="auto" w:fill="auto"/>
            <w:vAlign w:val="center"/>
          </w:tcPr>
          <w:p w14:paraId="5E4C45F5"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2F24BF11"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Deslizamientos</w:t>
            </w:r>
          </w:p>
        </w:tc>
      </w:tr>
      <w:tr w:rsidR="009678D3" w:rsidRPr="00E2736C" w14:paraId="5A6271F3" w14:textId="77777777" w:rsidTr="009678D3">
        <w:tc>
          <w:tcPr>
            <w:tcW w:w="360" w:type="dxa"/>
            <w:shd w:val="clear" w:color="auto" w:fill="auto"/>
            <w:vAlign w:val="center"/>
          </w:tcPr>
          <w:p w14:paraId="5C8168D3"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6B9F53E5"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Mar y Lagos</w:t>
            </w:r>
          </w:p>
        </w:tc>
      </w:tr>
      <w:tr w:rsidR="009678D3" w:rsidRPr="00E2736C" w14:paraId="520AF606" w14:textId="77777777" w:rsidTr="009678D3">
        <w:tc>
          <w:tcPr>
            <w:tcW w:w="360" w:type="dxa"/>
            <w:shd w:val="clear" w:color="auto" w:fill="auto"/>
            <w:vAlign w:val="center"/>
          </w:tcPr>
          <w:p w14:paraId="0DBA5790"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40BDF273"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Fuentes de Contaminación</w:t>
            </w:r>
          </w:p>
        </w:tc>
      </w:tr>
      <w:tr w:rsidR="009678D3" w:rsidRPr="00E2736C" w14:paraId="79298FBB" w14:textId="77777777" w:rsidTr="009678D3">
        <w:tc>
          <w:tcPr>
            <w:tcW w:w="360" w:type="dxa"/>
            <w:shd w:val="clear" w:color="auto" w:fill="auto"/>
            <w:vAlign w:val="center"/>
          </w:tcPr>
          <w:p w14:paraId="098D32A1"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08DBF3ED"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Inundación</w:t>
            </w:r>
          </w:p>
        </w:tc>
      </w:tr>
      <w:tr w:rsidR="009678D3" w:rsidRPr="00E2736C" w14:paraId="494F2AC6" w14:textId="77777777" w:rsidTr="009678D3">
        <w:tc>
          <w:tcPr>
            <w:tcW w:w="360" w:type="dxa"/>
            <w:shd w:val="clear" w:color="auto" w:fill="auto"/>
            <w:vAlign w:val="center"/>
          </w:tcPr>
          <w:p w14:paraId="4A7BE175" w14:textId="77777777" w:rsidR="009678D3" w:rsidRPr="002969C4" w:rsidRDefault="009678D3" w:rsidP="009678D3">
            <w:pPr>
              <w:pStyle w:val="TITULOGENERAL"/>
              <w:spacing w:before="0" w:after="0"/>
              <w:rPr>
                <w:rFonts w:ascii="Times New Roman" w:hAnsi="Times New Roman" w:cs="Times New Roman"/>
                <w:b w:val="0"/>
                <w:sz w:val="22"/>
                <w:szCs w:val="22"/>
              </w:rPr>
            </w:pPr>
          </w:p>
        </w:tc>
        <w:tc>
          <w:tcPr>
            <w:tcW w:w="9600" w:type="dxa"/>
            <w:shd w:val="clear" w:color="auto" w:fill="auto"/>
            <w:vAlign w:val="center"/>
          </w:tcPr>
          <w:p w14:paraId="0D852E55"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Otras (Especifique)</w:t>
            </w:r>
          </w:p>
        </w:tc>
      </w:tr>
    </w:tbl>
    <w:p w14:paraId="7D28DB19" w14:textId="77777777" w:rsidR="009678D3" w:rsidRPr="00E2736C" w:rsidRDefault="009678D3" w:rsidP="009678D3">
      <w:pPr>
        <w:rPr>
          <w:sz w:val="16"/>
          <w:szCs w:val="16"/>
        </w:rPr>
      </w:pPr>
    </w:p>
    <w:p w14:paraId="236A40E0" w14:textId="77777777" w:rsidR="009678D3" w:rsidRPr="00E2736C" w:rsidRDefault="009678D3" w:rsidP="009678D3">
      <w:pPr>
        <w:rPr>
          <w:b/>
          <w:sz w:val="22"/>
          <w:szCs w:val="22"/>
        </w:rPr>
      </w:pPr>
      <w:r w:rsidRPr="00E2736C">
        <w:rPr>
          <w:b/>
          <w:sz w:val="22"/>
          <w:szCs w:val="22"/>
        </w:rPr>
        <w:t xml:space="preserve">Especificación de Otras Fuentes de Riesgos: </w:t>
      </w:r>
    </w:p>
    <w:tbl>
      <w:tblPr>
        <w:tblW w:w="9960" w:type="dxa"/>
        <w:tblInd w:w="108" w:type="dxa"/>
        <w:tblLook w:val="01E0" w:firstRow="1" w:lastRow="1" w:firstColumn="1" w:lastColumn="1" w:noHBand="0" w:noVBand="0"/>
      </w:tblPr>
      <w:tblGrid>
        <w:gridCol w:w="9960"/>
      </w:tblGrid>
      <w:tr w:rsidR="009678D3" w:rsidRPr="00E2736C" w14:paraId="5A52DEC3" w14:textId="77777777" w:rsidTr="009678D3">
        <w:tc>
          <w:tcPr>
            <w:tcW w:w="9960" w:type="dxa"/>
            <w:shd w:val="clear" w:color="auto" w:fill="auto"/>
          </w:tcPr>
          <w:p w14:paraId="3E478F57" w14:textId="77777777" w:rsidR="009678D3" w:rsidRPr="002969C4" w:rsidRDefault="009678D3" w:rsidP="009678D3">
            <w:pPr>
              <w:rPr>
                <w:sz w:val="16"/>
                <w:szCs w:val="16"/>
              </w:rPr>
            </w:pPr>
          </w:p>
        </w:tc>
      </w:tr>
    </w:tbl>
    <w:p w14:paraId="3838B6BB" w14:textId="77777777" w:rsidR="009678D3" w:rsidRPr="00E2736C" w:rsidRDefault="009678D3" w:rsidP="009678D3">
      <w:pPr>
        <w:pStyle w:val="Ttulo1"/>
        <w:rPr>
          <w:bCs/>
          <w:iCs/>
          <w:sz w:val="22"/>
          <w:szCs w:val="22"/>
        </w:rPr>
      </w:pPr>
      <w:r w:rsidRPr="00E2736C">
        <w:rPr>
          <w:sz w:val="22"/>
          <w:szCs w:val="22"/>
        </w:rPr>
        <w:t>ACCESOS Y MEDIOS DE TRANSPORTE DE MANAGUA AL PROYECTO</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1080"/>
        <w:gridCol w:w="1080"/>
        <w:gridCol w:w="1032"/>
        <w:gridCol w:w="1032"/>
        <w:gridCol w:w="1032"/>
        <w:gridCol w:w="1032"/>
        <w:gridCol w:w="1032"/>
      </w:tblGrid>
      <w:tr w:rsidR="009678D3" w:rsidRPr="00E2736C" w14:paraId="59A6546A" w14:textId="77777777" w:rsidTr="009678D3">
        <w:tc>
          <w:tcPr>
            <w:tcW w:w="2760" w:type="dxa"/>
            <w:vMerge w:val="restart"/>
            <w:shd w:val="clear" w:color="auto" w:fill="00FFFF"/>
            <w:vAlign w:val="center"/>
          </w:tcPr>
          <w:p w14:paraId="72C7003E" w14:textId="77777777" w:rsidR="009678D3" w:rsidRPr="002969C4" w:rsidRDefault="009678D3" w:rsidP="009678D3">
            <w:pPr>
              <w:jc w:val="center"/>
              <w:rPr>
                <w:b/>
                <w:sz w:val="20"/>
              </w:rPr>
            </w:pPr>
            <w:r w:rsidRPr="002969C4">
              <w:rPr>
                <w:b/>
                <w:sz w:val="20"/>
              </w:rPr>
              <w:t>Tipos de Accesos</w:t>
            </w:r>
          </w:p>
        </w:tc>
        <w:tc>
          <w:tcPr>
            <w:tcW w:w="1080" w:type="dxa"/>
            <w:vMerge w:val="restart"/>
            <w:shd w:val="clear" w:color="auto" w:fill="00FFFF"/>
            <w:vAlign w:val="center"/>
          </w:tcPr>
          <w:p w14:paraId="57614255" w14:textId="77777777" w:rsidR="009678D3" w:rsidRPr="002969C4" w:rsidRDefault="009678D3" w:rsidP="009678D3">
            <w:pPr>
              <w:jc w:val="center"/>
              <w:rPr>
                <w:b/>
                <w:sz w:val="20"/>
              </w:rPr>
            </w:pPr>
            <w:r w:rsidRPr="002969C4">
              <w:rPr>
                <w:b/>
                <w:sz w:val="20"/>
              </w:rPr>
              <w:t>Distancia (Kms)</w:t>
            </w:r>
          </w:p>
        </w:tc>
        <w:tc>
          <w:tcPr>
            <w:tcW w:w="1080" w:type="dxa"/>
            <w:vMerge w:val="restart"/>
            <w:shd w:val="clear" w:color="auto" w:fill="00FFFF"/>
            <w:vAlign w:val="center"/>
          </w:tcPr>
          <w:p w14:paraId="493AA1CD" w14:textId="77777777" w:rsidR="009678D3" w:rsidRPr="002969C4" w:rsidRDefault="009678D3" w:rsidP="009678D3">
            <w:pPr>
              <w:jc w:val="center"/>
              <w:rPr>
                <w:b/>
                <w:sz w:val="20"/>
              </w:rPr>
            </w:pPr>
            <w:r w:rsidRPr="002969C4">
              <w:rPr>
                <w:b/>
                <w:sz w:val="20"/>
              </w:rPr>
              <w:t>Tiempo (Hrs)</w:t>
            </w:r>
          </w:p>
        </w:tc>
        <w:tc>
          <w:tcPr>
            <w:tcW w:w="5160" w:type="dxa"/>
            <w:gridSpan w:val="5"/>
            <w:shd w:val="clear" w:color="auto" w:fill="00FFFF"/>
          </w:tcPr>
          <w:p w14:paraId="695E1707" w14:textId="77777777" w:rsidR="009678D3" w:rsidRPr="002969C4" w:rsidRDefault="009678D3" w:rsidP="009678D3">
            <w:pPr>
              <w:jc w:val="center"/>
              <w:rPr>
                <w:b/>
                <w:sz w:val="20"/>
              </w:rPr>
            </w:pPr>
            <w:r w:rsidRPr="002969C4">
              <w:rPr>
                <w:b/>
                <w:sz w:val="20"/>
              </w:rPr>
              <w:t>Medios de transporte  (Marcar con una X)</w:t>
            </w:r>
          </w:p>
        </w:tc>
      </w:tr>
      <w:tr w:rsidR="009678D3" w:rsidRPr="00E2736C" w14:paraId="69E95248" w14:textId="77777777" w:rsidTr="009678D3">
        <w:tc>
          <w:tcPr>
            <w:tcW w:w="2760" w:type="dxa"/>
            <w:vMerge/>
            <w:shd w:val="clear" w:color="auto" w:fill="00FFFF"/>
          </w:tcPr>
          <w:p w14:paraId="5D013D6C" w14:textId="77777777" w:rsidR="009678D3" w:rsidRPr="002969C4" w:rsidRDefault="009678D3" w:rsidP="009678D3">
            <w:pPr>
              <w:rPr>
                <w:b/>
                <w:sz w:val="20"/>
              </w:rPr>
            </w:pPr>
          </w:p>
        </w:tc>
        <w:tc>
          <w:tcPr>
            <w:tcW w:w="1080" w:type="dxa"/>
            <w:vMerge/>
            <w:shd w:val="clear" w:color="auto" w:fill="00FFFF"/>
          </w:tcPr>
          <w:p w14:paraId="139E4D0D" w14:textId="77777777" w:rsidR="009678D3" w:rsidRPr="002969C4" w:rsidRDefault="009678D3" w:rsidP="009678D3">
            <w:pPr>
              <w:rPr>
                <w:b/>
                <w:sz w:val="20"/>
              </w:rPr>
            </w:pPr>
          </w:p>
        </w:tc>
        <w:tc>
          <w:tcPr>
            <w:tcW w:w="1080" w:type="dxa"/>
            <w:vMerge/>
            <w:shd w:val="clear" w:color="auto" w:fill="00FFFF"/>
          </w:tcPr>
          <w:p w14:paraId="3AFEA604" w14:textId="77777777" w:rsidR="009678D3" w:rsidRPr="002969C4" w:rsidRDefault="009678D3" w:rsidP="009678D3">
            <w:pPr>
              <w:rPr>
                <w:b/>
                <w:sz w:val="20"/>
              </w:rPr>
            </w:pPr>
          </w:p>
        </w:tc>
        <w:tc>
          <w:tcPr>
            <w:tcW w:w="1032" w:type="dxa"/>
            <w:shd w:val="clear" w:color="auto" w:fill="00FFFF"/>
            <w:vAlign w:val="center"/>
          </w:tcPr>
          <w:p w14:paraId="5633CD6E" w14:textId="77777777" w:rsidR="009678D3" w:rsidRPr="002969C4" w:rsidRDefault="009678D3" w:rsidP="009678D3">
            <w:pPr>
              <w:jc w:val="center"/>
              <w:rPr>
                <w:b/>
                <w:sz w:val="20"/>
              </w:rPr>
            </w:pPr>
            <w:r w:rsidRPr="002969C4">
              <w:rPr>
                <w:b/>
                <w:sz w:val="20"/>
              </w:rPr>
              <w:t>Vehículo</w:t>
            </w:r>
          </w:p>
        </w:tc>
        <w:tc>
          <w:tcPr>
            <w:tcW w:w="1032" w:type="dxa"/>
            <w:shd w:val="clear" w:color="auto" w:fill="00FFFF"/>
            <w:vAlign w:val="center"/>
          </w:tcPr>
          <w:p w14:paraId="1C5CD6F8" w14:textId="77777777" w:rsidR="009678D3" w:rsidRPr="002969C4" w:rsidRDefault="009678D3" w:rsidP="009678D3">
            <w:pPr>
              <w:jc w:val="center"/>
              <w:rPr>
                <w:b/>
                <w:sz w:val="20"/>
              </w:rPr>
            </w:pPr>
            <w:r w:rsidRPr="002969C4">
              <w:rPr>
                <w:b/>
                <w:sz w:val="20"/>
              </w:rPr>
              <w:t xml:space="preserve">Aéreo </w:t>
            </w:r>
          </w:p>
        </w:tc>
        <w:tc>
          <w:tcPr>
            <w:tcW w:w="1032" w:type="dxa"/>
            <w:shd w:val="clear" w:color="auto" w:fill="00FFFF"/>
            <w:vAlign w:val="center"/>
          </w:tcPr>
          <w:p w14:paraId="30AFB20D" w14:textId="77777777" w:rsidR="009678D3" w:rsidRPr="002969C4" w:rsidRDefault="009678D3" w:rsidP="009678D3">
            <w:pPr>
              <w:jc w:val="center"/>
              <w:rPr>
                <w:b/>
                <w:sz w:val="20"/>
              </w:rPr>
            </w:pPr>
            <w:r w:rsidRPr="002969C4">
              <w:rPr>
                <w:b/>
                <w:sz w:val="20"/>
              </w:rPr>
              <w:t xml:space="preserve">Acuático </w:t>
            </w:r>
          </w:p>
        </w:tc>
        <w:tc>
          <w:tcPr>
            <w:tcW w:w="1032" w:type="dxa"/>
            <w:shd w:val="clear" w:color="auto" w:fill="00FFFF"/>
            <w:vAlign w:val="center"/>
          </w:tcPr>
          <w:p w14:paraId="5F4E5AE9" w14:textId="77777777" w:rsidR="009678D3" w:rsidRPr="002969C4" w:rsidRDefault="009678D3" w:rsidP="009678D3">
            <w:pPr>
              <w:jc w:val="center"/>
              <w:rPr>
                <w:b/>
                <w:sz w:val="20"/>
              </w:rPr>
            </w:pPr>
            <w:r w:rsidRPr="002969C4">
              <w:rPr>
                <w:b/>
                <w:sz w:val="20"/>
              </w:rPr>
              <w:t>A pie</w:t>
            </w:r>
          </w:p>
        </w:tc>
        <w:tc>
          <w:tcPr>
            <w:tcW w:w="1032" w:type="dxa"/>
            <w:shd w:val="clear" w:color="auto" w:fill="00FFFF"/>
            <w:vAlign w:val="center"/>
          </w:tcPr>
          <w:p w14:paraId="5C0293B4" w14:textId="77777777" w:rsidR="009678D3" w:rsidRPr="002969C4" w:rsidRDefault="009678D3" w:rsidP="009678D3">
            <w:pPr>
              <w:jc w:val="center"/>
              <w:rPr>
                <w:b/>
                <w:sz w:val="20"/>
              </w:rPr>
            </w:pPr>
            <w:r w:rsidRPr="002969C4">
              <w:rPr>
                <w:b/>
                <w:sz w:val="20"/>
              </w:rPr>
              <w:t>En bestia</w:t>
            </w:r>
          </w:p>
        </w:tc>
      </w:tr>
      <w:tr w:rsidR="009678D3" w:rsidRPr="00E2736C" w14:paraId="1A7B5E58" w14:textId="77777777" w:rsidTr="009678D3">
        <w:tc>
          <w:tcPr>
            <w:tcW w:w="2760" w:type="dxa"/>
            <w:shd w:val="clear" w:color="auto" w:fill="auto"/>
            <w:vAlign w:val="center"/>
          </w:tcPr>
          <w:p w14:paraId="37067198" w14:textId="77777777" w:rsidR="009678D3" w:rsidRPr="002969C4" w:rsidRDefault="009678D3" w:rsidP="009678D3">
            <w:pPr>
              <w:rPr>
                <w:sz w:val="20"/>
              </w:rPr>
            </w:pPr>
            <w:r w:rsidRPr="002969C4">
              <w:rPr>
                <w:sz w:val="20"/>
              </w:rPr>
              <w:t>Asfalto</w:t>
            </w:r>
          </w:p>
        </w:tc>
        <w:tc>
          <w:tcPr>
            <w:tcW w:w="1080" w:type="dxa"/>
            <w:shd w:val="clear" w:color="auto" w:fill="auto"/>
            <w:vAlign w:val="center"/>
          </w:tcPr>
          <w:p w14:paraId="0D409B1B" w14:textId="77777777" w:rsidR="009678D3" w:rsidRPr="002969C4" w:rsidRDefault="009678D3" w:rsidP="009678D3">
            <w:pPr>
              <w:jc w:val="right"/>
              <w:rPr>
                <w:sz w:val="20"/>
              </w:rPr>
            </w:pPr>
            <w:r w:rsidRPr="002969C4">
              <w:rPr>
                <w:sz w:val="20"/>
              </w:rPr>
              <w:t>241.00</w:t>
            </w:r>
          </w:p>
        </w:tc>
        <w:tc>
          <w:tcPr>
            <w:tcW w:w="1080" w:type="dxa"/>
            <w:shd w:val="clear" w:color="auto" w:fill="auto"/>
            <w:vAlign w:val="center"/>
          </w:tcPr>
          <w:p w14:paraId="028B07D8" w14:textId="77777777" w:rsidR="009678D3" w:rsidRPr="002969C4" w:rsidRDefault="009678D3" w:rsidP="009678D3">
            <w:pPr>
              <w:jc w:val="right"/>
              <w:rPr>
                <w:sz w:val="20"/>
              </w:rPr>
            </w:pPr>
            <w:r w:rsidRPr="002969C4">
              <w:rPr>
                <w:sz w:val="20"/>
              </w:rPr>
              <w:t>3.45</w:t>
            </w:r>
          </w:p>
        </w:tc>
        <w:tc>
          <w:tcPr>
            <w:tcW w:w="1032" w:type="dxa"/>
            <w:shd w:val="clear" w:color="auto" w:fill="auto"/>
            <w:vAlign w:val="center"/>
          </w:tcPr>
          <w:p w14:paraId="2AB8A351" w14:textId="77777777" w:rsidR="009678D3" w:rsidRPr="002969C4" w:rsidRDefault="009678D3" w:rsidP="009678D3">
            <w:pPr>
              <w:jc w:val="center"/>
              <w:rPr>
                <w:sz w:val="20"/>
              </w:rPr>
            </w:pPr>
            <w:r w:rsidRPr="002969C4">
              <w:rPr>
                <w:sz w:val="20"/>
              </w:rPr>
              <w:t>X</w:t>
            </w:r>
          </w:p>
        </w:tc>
        <w:tc>
          <w:tcPr>
            <w:tcW w:w="1032" w:type="dxa"/>
            <w:shd w:val="clear" w:color="auto" w:fill="auto"/>
            <w:vAlign w:val="center"/>
          </w:tcPr>
          <w:p w14:paraId="085E1699" w14:textId="77777777" w:rsidR="009678D3" w:rsidRPr="002969C4" w:rsidRDefault="009678D3" w:rsidP="009678D3">
            <w:pPr>
              <w:jc w:val="center"/>
              <w:rPr>
                <w:sz w:val="20"/>
              </w:rPr>
            </w:pPr>
          </w:p>
        </w:tc>
        <w:tc>
          <w:tcPr>
            <w:tcW w:w="1032" w:type="dxa"/>
            <w:shd w:val="clear" w:color="auto" w:fill="auto"/>
            <w:vAlign w:val="center"/>
          </w:tcPr>
          <w:p w14:paraId="1C95B098" w14:textId="77777777" w:rsidR="009678D3" w:rsidRPr="002969C4" w:rsidRDefault="009678D3" w:rsidP="009678D3">
            <w:pPr>
              <w:jc w:val="center"/>
              <w:rPr>
                <w:sz w:val="20"/>
              </w:rPr>
            </w:pPr>
          </w:p>
        </w:tc>
        <w:tc>
          <w:tcPr>
            <w:tcW w:w="1032" w:type="dxa"/>
            <w:shd w:val="clear" w:color="auto" w:fill="auto"/>
            <w:vAlign w:val="center"/>
          </w:tcPr>
          <w:p w14:paraId="35A475DC" w14:textId="77777777" w:rsidR="009678D3" w:rsidRPr="002969C4" w:rsidRDefault="009678D3" w:rsidP="009678D3">
            <w:pPr>
              <w:jc w:val="center"/>
              <w:rPr>
                <w:sz w:val="20"/>
              </w:rPr>
            </w:pPr>
          </w:p>
        </w:tc>
        <w:tc>
          <w:tcPr>
            <w:tcW w:w="1032" w:type="dxa"/>
            <w:shd w:val="clear" w:color="auto" w:fill="auto"/>
            <w:vAlign w:val="center"/>
          </w:tcPr>
          <w:p w14:paraId="014A4D12" w14:textId="77777777" w:rsidR="009678D3" w:rsidRPr="002969C4" w:rsidRDefault="009678D3" w:rsidP="009678D3">
            <w:pPr>
              <w:jc w:val="center"/>
              <w:rPr>
                <w:sz w:val="20"/>
              </w:rPr>
            </w:pPr>
          </w:p>
        </w:tc>
      </w:tr>
      <w:tr w:rsidR="009678D3" w:rsidRPr="00E2736C" w14:paraId="3C513A80" w14:textId="77777777" w:rsidTr="009678D3">
        <w:tc>
          <w:tcPr>
            <w:tcW w:w="2760" w:type="dxa"/>
            <w:shd w:val="clear" w:color="auto" w:fill="auto"/>
            <w:vAlign w:val="center"/>
          </w:tcPr>
          <w:p w14:paraId="09DF0F4B" w14:textId="77777777" w:rsidR="009678D3" w:rsidRPr="002969C4" w:rsidRDefault="009678D3" w:rsidP="009678D3">
            <w:pPr>
              <w:rPr>
                <w:sz w:val="20"/>
              </w:rPr>
            </w:pPr>
            <w:r w:rsidRPr="002969C4">
              <w:rPr>
                <w:sz w:val="20"/>
              </w:rPr>
              <w:t>Macadán</w:t>
            </w:r>
          </w:p>
        </w:tc>
        <w:tc>
          <w:tcPr>
            <w:tcW w:w="1080" w:type="dxa"/>
            <w:shd w:val="clear" w:color="auto" w:fill="auto"/>
            <w:vAlign w:val="center"/>
          </w:tcPr>
          <w:p w14:paraId="4D5A6D80" w14:textId="77777777" w:rsidR="009678D3" w:rsidRPr="002969C4" w:rsidRDefault="009678D3" w:rsidP="009678D3">
            <w:pPr>
              <w:jc w:val="right"/>
              <w:rPr>
                <w:sz w:val="20"/>
              </w:rPr>
            </w:pPr>
            <w:r w:rsidRPr="002969C4">
              <w:rPr>
                <w:sz w:val="20"/>
              </w:rPr>
              <w:t>7.00</w:t>
            </w:r>
          </w:p>
        </w:tc>
        <w:tc>
          <w:tcPr>
            <w:tcW w:w="1080" w:type="dxa"/>
            <w:shd w:val="clear" w:color="auto" w:fill="auto"/>
            <w:vAlign w:val="center"/>
          </w:tcPr>
          <w:p w14:paraId="2127A101" w14:textId="77777777" w:rsidR="009678D3" w:rsidRPr="002969C4" w:rsidRDefault="009678D3" w:rsidP="009678D3">
            <w:pPr>
              <w:jc w:val="right"/>
              <w:rPr>
                <w:sz w:val="20"/>
              </w:rPr>
            </w:pPr>
            <w:r w:rsidRPr="002969C4">
              <w:rPr>
                <w:sz w:val="20"/>
              </w:rPr>
              <w:t>0.50</w:t>
            </w:r>
          </w:p>
        </w:tc>
        <w:tc>
          <w:tcPr>
            <w:tcW w:w="1032" w:type="dxa"/>
            <w:shd w:val="clear" w:color="auto" w:fill="auto"/>
            <w:vAlign w:val="center"/>
          </w:tcPr>
          <w:p w14:paraId="085868E7" w14:textId="77777777" w:rsidR="009678D3" w:rsidRPr="002969C4" w:rsidRDefault="009678D3" w:rsidP="009678D3">
            <w:pPr>
              <w:jc w:val="center"/>
              <w:rPr>
                <w:sz w:val="20"/>
              </w:rPr>
            </w:pPr>
            <w:r w:rsidRPr="002969C4">
              <w:rPr>
                <w:sz w:val="20"/>
              </w:rPr>
              <w:t>X</w:t>
            </w:r>
          </w:p>
        </w:tc>
        <w:tc>
          <w:tcPr>
            <w:tcW w:w="1032" w:type="dxa"/>
            <w:shd w:val="clear" w:color="auto" w:fill="auto"/>
            <w:vAlign w:val="center"/>
          </w:tcPr>
          <w:p w14:paraId="42BD089C" w14:textId="77777777" w:rsidR="009678D3" w:rsidRPr="002969C4" w:rsidRDefault="009678D3" w:rsidP="009678D3">
            <w:pPr>
              <w:jc w:val="center"/>
              <w:rPr>
                <w:sz w:val="20"/>
              </w:rPr>
            </w:pPr>
          </w:p>
        </w:tc>
        <w:tc>
          <w:tcPr>
            <w:tcW w:w="1032" w:type="dxa"/>
            <w:shd w:val="clear" w:color="auto" w:fill="auto"/>
            <w:vAlign w:val="center"/>
          </w:tcPr>
          <w:p w14:paraId="69002654" w14:textId="77777777" w:rsidR="009678D3" w:rsidRPr="002969C4" w:rsidRDefault="009678D3" w:rsidP="009678D3">
            <w:pPr>
              <w:jc w:val="center"/>
              <w:rPr>
                <w:sz w:val="20"/>
              </w:rPr>
            </w:pPr>
          </w:p>
        </w:tc>
        <w:tc>
          <w:tcPr>
            <w:tcW w:w="1032" w:type="dxa"/>
            <w:shd w:val="clear" w:color="auto" w:fill="auto"/>
            <w:vAlign w:val="center"/>
          </w:tcPr>
          <w:p w14:paraId="45CB66AB" w14:textId="77777777" w:rsidR="009678D3" w:rsidRPr="002969C4" w:rsidRDefault="009678D3" w:rsidP="009678D3">
            <w:pPr>
              <w:jc w:val="center"/>
              <w:rPr>
                <w:sz w:val="20"/>
              </w:rPr>
            </w:pPr>
          </w:p>
        </w:tc>
        <w:tc>
          <w:tcPr>
            <w:tcW w:w="1032" w:type="dxa"/>
            <w:shd w:val="clear" w:color="auto" w:fill="auto"/>
            <w:vAlign w:val="center"/>
          </w:tcPr>
          <w:p w14:paraId="272E7528" w14:textId="77777777" w:rsidR="009678D3" w:rsidRPr="002969C4" w:rsidRDefault="009678D3" w:rsidP="009678D3">
            <w:pPr>
              <w:jc w:val="center"/>
              <w:rPr>
                <w:sz w:val="20"/>
              </w:rPr>
            </w:pPr>
          </w:p>
        </w:tc>
      </w:tr>
    </w:tbl>
    <w:p w14:paraId="133E1878" w14:textId="77777777" w:rsidR="009678D3" w:rsidRPr="00C84F94" w:rsidRDefault="009678D3" w:rsidP="009678D3">
      <w:pPr>
        <w:rPr>
          <w:sz w:val="16"/>
          <w:szCs w:val="16"/>
        </w:rPr>
      </w:pPr>
      <w:r w:rsidRPr="00C84F94">
        <w:rPr>
          <w:sz w:val="16"/>
          <w:szCs w:val="16"/>
        </w:rPr>
        <w:t xml:space="preserve"> </w:t>
      </w:r>
    </w:p>
    <w:p w14:paraId="503D7083" w14:textId="77777777" w:rsidR="009678D3" w:rsidRPr="00E2736C" w:rsidRDefault="009678D3" w:rsidP="009678D3">
      <w:pPr>
        <w:pStyle w:val="Ttulo1"/>
        <w:rPr>
          <w:bCs/>
          <w:iCs/>
          <w:sz w:val="22"/>
          <w:szCs w:val="22"/>
        </w:rPr>
      </w:pPr>
      <w:r w:rsidRPr="00E2736C">
        <w:rPr>
          <w:sz w:val="22"/>
          <w:szCs w:val="22"/>
        </w:rPr>
        <w:t>SERVICIOS DISPONIBLES EN EL ÁREA DE INFLUENCIA DEL PROYECTO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960"/>
      </w:tblGrid>
      <w:tr w:rsidR="009678D3" w:rsidRPr="00E2736C" w14:paraId="4B4BC880" w14:textId="77777777" w:rsidTr="009678D3">
        <w:tc>
          <w:tcPr>
            <w:tcW w:w="4920" w:type="dxa"/>
            <w:shd w:val="clear" w:color="auto" w:fill="00FFFF"/>
            <w:vAlign w:val="center"/>
          </w:tcPr>
          <w:p w14:paraId="60121EEA" w14:textId="77777777" w:rsidR="009678D3" w:rsidRPr="002969C4" w:rsidRDefault="009678D3" w:rsidP="009678D3">
            <w:pPr>
              <w:pStyle w:val="TITULOGENERAL"/>
              <w:spacing w:before="0" w:after="0"/>
              <w:rPr>
                <w:rFonts w:ascii="Times New Roman" w:hAnsi="Times New Roman" w:cs="Times New Roman"/>
                <w:sz w:val="22"/>
                <w:szCs w:val="22"/>
              </w:rPr>
            </w:pPr>
            <w:r w:rsidRPr="002969C4">
              <w:rPr>
                <w:rFonts w:ascii="Times New Roman" w:hAnsi="Times New Roman" w:cs="Times New Roman"/>
                <w:sz w:val="22"/>
                <w:szCs w:val="22"/>
              </w:rPr>
              <w:t>Servicios disponibles</w:t>
            </w:r>
          </w:p>
        </w:tc>
        <w:tc>
          <w:tcPr>
            <w:tcW w:w="960" w:type="dxa"/>
            <w:shd w:val="clear" w:color="auto" w:fill="00FFFF"/>
            <w:vAlign w:val="center"/>
          </w:tcPr>
          <w:p w14:paraId="3238E23B" w14:textId="77777777" w:rsidR="009678D3" w:rsidRPr="002969C4" w:rsidRDefault="009678D3" w:rsidP="009678D3">
            <w:pPr>
              <w:pStyle w:val="TITULOGENERAL"/>
              <w:spacing w:before="0" w:after="0"/>
              <w:rPr>
                <w:rFonts w:ascii="Times New Roman" w:hAnsi="Times New Roman" w:cs="Times New Roman"/>
                <w:sz w:val="22"/>
                <w:szCs w:val="22"/>
              </w:rPr>
            </w:pPr>
            <w:r w:rsidRPr="002969C4">
              <w:rPr>
                <w:rFonts w:ascii="Times New Roman" w:hAnsi="Times New Roman" w:cs="Times New Roman"/>
                <w:sz w:val="22"/>
                <w:szCs w:val="22"/>
              </w:rPr>
              <w:t>(S / N)</w:t>
            </w:r>
          </w:p>
        </w:tc>
      </w:tr>
      <w:tr w:rsidR="009678D3" w:rsidRPr="00E2736C" w14:paraId="5E214C77" w14:textId="77777777" w:rsidTr="009678D3">
        <w:tc>
          <w:tcPr>
            <w:tcW w:w="4920" w:type="dxa"/>
            <w:shd w:val="clear" w:color="auto" w:fill="auto"/>
            <w:vAlign w:val="center"/>
          </w:tcPr>
          <w:p w14:paraId="3557B2E3"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Escuela Primaria</w:t>
            </w:r>
          </w:p>
        </w:tc>
        <w:tc>
          <w:tcPr>
            <w:tcW w:w="960" w:type="dxa"/>
            <w:shd w:val="clear" w:color="auto" w:fill="auto"/>
            <w:vAlign w:val="center"/>
          </w:tcPr>
          <w:p w14:paraId="007686E2"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S</w:t>
            </w:r>
          </w:p>
        </w:tc>
      </w:tr>
      <w:tr w:rsidR="009678D3" w:rsidRPr="00E2736C" w14:paraId="3678C895" w14:textId="77777777" w:rsidTr="009678D3">
        <w:tc>
          <w:tcPr>
            <w:tcW w:w="4920" w:type="dxa"/>
            <w:shd w:val="clear" w:color="auto" w:fill="auto"/>
            <w:vAlign w:val="center"/>
          </w:tcPr>
          <w:p w14:paraId="3E7F4C3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Puesto de Salud</w:t>
            </w:r>
          </w:p>
        </w:tc>
        <w:tc>
          <w:tcPr>
            <w:tcW w:w="960" w:type="dxa"/>
            <w:shd w:val="clear" w:color="auto" w:fill="auto"/>
            <w:vAlign w:val="center"/>
          </w:tcPr>
          <w:p w14:paraId="349AECBC"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00B04FBA" w14:textId="77777777" w:rsidTr="009678D3">
        <w:tc>
          <w:tcPr>
            <w:tcW w:w="4920" w:type="dxa"/>
            <w:shd w:val="clear" w:color="auto" w:fill="auto"/>
            <w:vAlign w:val="center"/>
          </w:tcPr>
          <w:p w14:paraId="52B3BF44"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Agua Potable</w:t>
            </w:r>
          </w:p>
        </w:tc>
        <w:tc>
          <w:tcPr>
            <w:tcW w:w="960" w:type="dxa"/>
            <w:shd w:val="clear" w:color="auto" w:fill="auto"/>
            <w:vAlign w:val="center"/>
          </w:tcPr>
          <w:p w14:paraId="54BD63F3"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34820673" w14:textId="77777777" w:rsidTr="009678D3">
        <w:tc>
          <w:tcPr>
            <w:tcW w:w="4920" w:type="dxa"/>
            <w:shd w:val="clear" w:color="auto" w:fill="auto"/>
            <w:vAlign w:val="center"/>
          </w:tcPr>
          <w:p w14:paraId="06EF3C0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Alcantarillado Sanitario</w:t>
            </w:r>
          </w:p>
        </w:tc>
        <w:tc>
          <w:tcPr>
            <w:tcW w:w="960" w:type="dxa"/>
            <w:shd w:val="clear" w:color="auto" w:fill="auto"/>
            <w:vAlign w:val="center"/>
          </w:tcPr>
          <w:p w14:paraId="22DDDD5D"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7D33AFE2" w14:textId="77777777" w:rsidTr="009678D3">
        <w:tc>
          <w:tcPr>
            <w:tcW w:w="4920" w:type="dxa"/>
            <w:shd w:val="clear" w:color="auto" w:fill="auto"/>
            <w:vAlign w:val="center"/>
          </w:tcPr>
          <w:p w14:paraId="7B3E3ACF"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Energía Eléctrica</w:t>
            </w:r>
          </w:p>
        </w:tc>
        <w:tc>
          <w:tcPr>
            <w:tcW w:w="960" w:type="dxa"/>
            <w:shd w:val="clear" w:color="auto" w:fill="auto"/>
            <w:vAlign w:val="center"/>
          </w:tcPr>
          <w:p w14:paraId="1D631545"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S</w:t>
            </w:r>
          </w:p>
        </w:tc>
      </w:tr>
      <w:tr w:rsidR="009678D3" w:rsidRPr="00E2736C" w14:paraId="4D0F5913" w14:textId="77777777" w:rsidTr="009678D3">
        <w:tc>
          <w:tcPr>
            <w:tcW w:w="4920" w:type="dxa"/>
            <w:shd w:val="clear" w:color="auto" w:fill="auto"/>
            <w:vAlign w:val="center"/>
          </w:tcPr>
          <w:p w14:paraId="42EF7DAB"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Teléfono</w:t>
            </w:r>
          </w:p>
        </w:tc>
        <w:tc>
          <w:tcPr>
            <w:tcW w:w="960" w:type="dxa"/>
            <w:shd w:val="clear" w:color="auto" w:fill="auto"/>
            <w:vAlign w:val="center"/>
          </w:tcPr>
          <w:p w14:paraId="78B4D9AA"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03B71590" w14:textId="77777777" w:rsidTr="009678D3">
        <w:tc>
          <w:tcPr>
            <w:tcW w:w="4920" w:type="dxa"/>
            <w:shd w:val="clear" w:color="auto" w:fill="auto"/>
            <w:vAlign w:val="center"/>
          </w:tcPr>
          <w:p w14:paraId="60D913BA"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Transporte Colectivo</w:t>
            </w:r>
          </w:p>
        </w:tc>
        <w:tc>
          <w:tcPr>
            <w:tcW w:w="960" w:type="dxa"/>
            <w:shd w:val="clear" w:color="auto" w:fill="auto"/>
            <w:vAlign w:val="center"/>
          </w:tcPr>
          <w:p w14:paraId="02D6C102"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2C779542" w14:textId="77777777" w:rsidTr="009678D3">
        <w:tc>
          <w:tcPr>
            <w:tcW w:w="4920" w:type="dxa"/>
            <w:shd w:val="clear" w:color="auto" w:fill="auto"/>
            <w:vAlign w:val="center"/>
          </w:tcPr>
          <w:p w14:paraId="21C2F2C2"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Botadero Autorizado</w:t>
            </w:r>
          </w:p>
        </w:tc>
        <w:tc>
          <w:tcPr>
            <w:tcW w:w="960" w:type="dxa"/>
            <w:shd w:val="clear" w:color="auto" w:fill="auto"/>
            <w:vAlign w:val="center"/>
          </w:tcPr>
          <w:p w14:paraId="4EE7C4D9"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bl>
    <w:p w14:paraId="02A5CDA9" w14:textId="77777777" w:rsidR="009678D3" w:rsidRPr="00C84F94" w:rsidRDefault="009678D3" w:rsidP="009678D3">
      <w:pPr>
        <w:rPr>
          <w:sz w:val="16"/>
          <w:szCs w:val="16"/>
        </w:rPr>
      </w:pPr>
    </w:p>
    <w:p w14:paraId="2DCF8737" w14:textId="77777777" w:rsidR="009678D3" w:rsidRPr="00E2736C" w:rsidRDefault="009678D3" w:rsidP="009678D3">
      <w:pPr>
        <w:pStyle w:val="TITULOGENERAL"/>
        <w:spacing w:before="0" w:after="0"/>
        <w:jc w:val="left"/>
        <w:rPr>
          <w:rFonts w:ascii="Times New Roman" w:hAnsi="Times New Roman" w:cs="Times New Roman"/>
          <w:b w:val="0"/>
          <w:sz w:val="22"/>
          <w:szCs w:val="22"/>
        </w:rPr>
      </w:pPr>
      <w:r w:rsidRPr="00E2736C">
        <w:rPr>
          <w:rFonts w:ascii="Times New Roman" w:hAnsi="Times New Roman" w:cs="Times New Roman"/>
          <w:b w:val="0"/>
          <w:sz w:val="22"/>
          <w:szCs w:val="22"/>
        </w:rPr>
        <w:t xml:space="preserve">Distancia del Proyecto al botadero autorizado:  </w:t>
      </w:r>
      <w:r w:rsidRPr="00E2736C">
        <w:rPr>
          <w:rFonts w:ascii="Times New Roman" w:hAnsi="Times New Roman" w:cs="Times New Roman"/>
          <w:b w:val="0"/>
          <w:sz w:val="22"/>
          <w:szCs w:val="22"/>
        </w:rPr>
        <w:fldChar w:fldCharType="begin"/>
      </w:r>
      <w:r w:rsidRPr="00E2736C">
        <w:rPr>
          <w:rFonts w:ascii="Times New Roman" w:hAnsi="Times New Roman" w:cs="Times New Roman"/>
          <w:b w:val="0"/>
          <w:sz w:val="22"/>
          <w:szCs w:val="22"/>
        </w:rPr>
        <w:instrText xml:space="preserve"> DOCVARIABLE  BancoDesechos</w:instrText>
      </w:r>
      <w:r w:rsidRPr="00E2736C">
        <w:rPr>
          <w:rFonts w:ascii="Times New Roman" w:hAnsi="Times New Roman" w:cs="Times New Roman"/>
          <w:b w:val="0"/>
          <w:sz w:val="22"/>
          <w:szCs w:val="22"/>
        </w:rPr>
        <w:fldChar w:fldCharType="separate"/>
      </w:r>
      <w:r>
        <w:rPr>
          <w:rFonts w:ascii="Times New Roman" w:hAnsi="Times New Roman" w:cs="Times New Roman"/>
          <w:b w:val="0"/>
          <w:sz w:val="22"/>
          <w:szCs w:val="22"/>
        </w:rPr>
        <w:t>4.00</w:t>
      </w:r>
      <w:r w:rsidRPr="00E2736C">
        <w:rPr>
          <w:rFonts w:ascii="Times New Roman" w:hAnsi="Times New Roman" w:cs="Times New Roman"/>
          <w:b w:val="0"/>
          <w:sz w:val="22"/>
          <w:szCs w:val="22"/>
        </w:rPr>
        <w:fldChar w:fldCharType="end"/>
      </w:r>
      <w:r w:rsidRPr="00E2736C">
        <w:rPr>
          <w:rFonts w:ascii="Times New Roman" w:hAnsi="Times New Roman" w:cs="Times New Roman"/>
          <w:b w:val="0"/>
          <w:sz w:val="22"/>
          <w:szCs w:val="22"/>
        </w:rPr>
        <w:t xml:space="preserve">  Km</w:t>
      </w:r>
    </w:p>
    <w:p w14:paraId="0D831304" w14:textId="77777777" w:rsidR="009678D3" w:rsidRPr="00E2736C" w:rsidRDefault="009678D3" w:rsidP="009678D3">
      <w:pPr>
        <w:pStyle w:val="Ttulo1"/>
        <w:rPr>
          <w:bCs/>
          <w:iCs/>
          <w:sz w:val="22"/>
          <w:szCs w:val="22"/>
        </w:rPr>
      </w:pPr>
      <w:r w:rsidRPr="00C84F94">
        <w:rPr>
          <w:sz w:val="22"/>
          <w:szCs w:val="22"/>
        </w:rPr>
        <w:br w:type="page"/>
      </w:r>
      <w:r w:rsidRPr="00E2736C">
        <w:rPr>
          <w:sz w:val="22"/>
          <w:szCs w:val="22"/>
        </w:rPr>
        <w:lastRenderedPageBreak/>
        <w:t>MATERIALES LOCALES DISPONIBLES EN EL ÁREA DE INFLUENCIA DEL  PROYECTO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1320"/>
      </w:tblGrid>
      <w:tr w:rsidR="009678D3" w:rsidRPr="00E2736C" w14:paraId="1E91DB6E" w14:textId="77777777" w:rsidTr="009678D3">
        <w:tc>
          <w:tcPr>
            <w:tcW w:w="5880" w:type="dxa"/>
            <w:shd w:val="clear" w:color="auto" w:fill="00FFFF"/>
            <w:vAlign w:val="center"/>
          </w:tcPr>
          <w:p w14:paraId="787D3640" w14:textId="77777777" w:rsidR="009678D3" w:rsidRPr="002969C4" w:rsidRDefault="009678D3" w:rsidP="009678D3">
            <w:pPr>
              <w:pStyle w:val="TITULOGENERAL"/>
              <w:spacing w:before="0" w:after="0"/>
              <w:rPr>
                <w:rFonts w:ascii="Times New Roman" w:hAnsi="Times New Roman" w:cs="Times New Roman"/>
                <w:sz w:val="22"/>
                <w:szCs w:val="22"/>
              </w:rPr>
            </w:pPr>
            <w:r w:rsidRPr="002969C4">
              <w:rPr>
                <w:rFonts w:ascii="Times New Roman" w:hAnsi="Times New Roman" w:cs="Times New Roman"/>
                <w:sz w:val="22"/>
                <w:szCs w:val="22"/>
              </w:rPr>
              <w:t>Materiales locales disponibles</w:t>
            </w:r>
          </w:p>
        </w:tc>
        <w:tc>
          <w:tcPr>
            <w:tcW w:w="1320" w:type="dxa"/>
            <w:shd w:val="clear" w:color="auto" w:fill="00FFFF"/>
            <w:vAlign w:val="center"/>
          </w:tcPr>
          <w:p w14:paraId="76971F1F" w14:textId="77777777" w:rsidR="009678D3" w:rsidRPr="002969C4" w:rsidRDefault="009678D3" w:rsidP="009678D3">
            <w:pPr>
              <w:pStyle w:val="TITULOGENERAL"/>
              <w:spacing w:before="0" w:after="0"/>
              <w:rPr>
                <w:rFonts w:ascii="Times New Roman" w:hAnsi="Times New Roman" w:cs="Times New Roman"/>
                <w:sz w:val="22"/>
                <w:szCs w:val="22"/>
              </w:rPr>
            </w:pPr>
            <w:r w:rsidRPr="002969C4">
              <w:rPr>
                <w:rFonts w:ascii="Times New Roman" w:hAnsi="Times New Roman" w:cs="Times New Roman"/>
                <w:sz w:val="22"/>
                <w:szCs w:val="22"/>
              </w:rPr>
              <w:t>(S / N)</w:t>
            </w:r>
          </w:p>
        </w:tc>
      </w:tr>
      <w:tr w:rsidR="009678D3" w:rsidRPr="00E2736C" w14:paraId="4B20A489" w14:textId="77777777" w:rsidTr="009678D3">
        <w:tc>
          <w:tcPr>
            <w:tcW w:w="5880" w:type="dxa"/>
            <w:shd w:val="clear" w:color="auto" w:fill="auto"/>
            <w:vAlign w:val="center"/>
          </w:tcPr>
          <w:p w14:paraId="5C9BC57B"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Arena</w:t>
            </w:r>
          </w:p>
        </w:tc>
        <w:tc>
          <w:tcPr>
            <w:tcW w:w="1320" w:type="dxa"/>
            <w:shd w:val="clear" w:color="auto" w:fill="auto"/>
            <w:vAlign w:val="center"/>
          </w:tcPr>
          <w:p w14:paraId="5EF3D433"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6F1213E5" w14:textId="77777777" w:rsidTr="009678D3">
        <w:tc>
          <w:tcPr>
            <w:tcW w:w="5880" w:type="dxa"/>
            <w:shd w:val="clear" w:color="auto" w:fill="auto"/>
            <w:vAlign w:val="center"/>
          </w:tcPr>
          <w:p w14:paraId="3E54E6D9"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Bloque de Mortero</w:t>
            </w:r>
          </w:p>
        </w:tc>
        <w:tc>
          <w:tcPr>
            <w:tcW w:w="1320" w:type="dxa"/>
            <w:shd w:val="clear" w:color="auto" w:fill="auto"/>
            <w:vAlign w:val="center"/>
          </w:tcPr>
          <w:p w14:paraId="5A28ECD2"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4BBB49BA" w14:textId="77777777" w:rsidTr="009678D3">
        <w:tc>
          <w:tcPr>
            <w:tcW w:w="5880" w:type="dxa"/>
            <w:shd w:val="clear" w:color="auto" w:fill="auto"/>
            <w:vAlign w:val="center"/>
          </w:tcPr>
          <w:p w14:paraId="23922FB4"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Ladrillo Cuarterón</w:t>
            </w:r>
          </w:p>
        </w:tc>
        <w:tc>
          <w:tcPr>
            <w:tcW w:w="1320" w:type="dxa"/>
            <w:shd w:val="clear" w:color="auto" w:fill="auto"/>
            <w:vAlign w:val="center"/>
          </w:tcPr>
          <w:p w14:paraId="3A3CDB71"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S</w:t>
            </w:r>
          </w:p>
        </w:tc>
      </w:tr>
      <w:tr w:rsidR="009678D3" w:rsidRPr="00E2736C" w14:paraId="5F14DCBB" w14:textId="77777777" w:rsidTr="009678D3">
        <w:tc>
          <w:tcPr>
            <w:tcW w:w="5880" w:type="dxa"/>
            <w:shd w:val="clear" w:color="auto" w:fill="auto"/>
            <w:vAlign w:val="center"/>
          </w:tcPr>
          <w:p w14:paraId="6B084FF1"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Piedra Triturada</w:t>
            </w:r>
          </w:p>
        </w:tc>
        <w:tc>
          <w:tcPr>
            <w:tcW w:w="1320" w:type="dxa"/>
            <w:shd w:val="clear" w:color="auto" w:fill="auto"/>
            <w:vAlign w:val="center"/>
          </w:tcPr>
          <w:p w14:paraId="38EFB58E"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43AA0052" w14:textId="77777777" w:rsidTr="009678D3">
        <w:tc>
          <w:tcPr>
            <w:tcW w:w="5880" w:type="dxa"/>
            <w:shd w:val="clear" w:color="auto" w:fill="auto"/>
            <w:vAlign w:val="center"/>
          </w:tcPr>
          <w:p w14:paraId="3E64CB19"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Piedra Cantera</w:t>
            </w:r>
          </w:p>
        </w:tc>
        <w:tc>
          <w:tcPr>
            <w:tcW w:w="1320" w:type="dxa"/>
            <w:shd w:val="clear" w:color="auto" w:fill="auto"/>
            <w:vAlign w:val="center"/>
          </w:tcPr>
          <w:p w14:paraId="3BD05DC4"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614DA94D" w14:textId="77777777" w:rsidTr="009678D3">
        <w:tc>
          <w:tcPr>
            <w:tcW w:w="5880" w:type="dxa"/>
            <w:shd w:val="clear" w:color="auto" w:fill="auto"/>
            <w:vAlign w:val="center"/>
          </w:tcPr>
          <w:p w14:paraId="6BDB14A4"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Piedra Bolón</w:t>
            </w:r>
          </w:p>
        </w:tc>
        <w:tc>
          <w:tcPr>
            <w:tcW w:w="1320" w:type="dxa"/>
            <w:shd w:val="clear" w:color="auto" w:fill="auto"/>
            <w:vAlign w:val="center"/>
          </w:tcPr>
          <w:p w14:paraId="4EB3C306"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r w:rsidR="009678D3" w:rsidRPr="00E2736C" w14:paraId="34888840" w14:textId="77777777" w:rsidTr="009678D3">
        <w:tc>
          <w:tcPr>
            <w:tcW w:w="5880" w:type="dxa"/>
            <w:shd w:val="clear" w:color="auto" w:fill="auto"/>
            <w:vAlign w:val="center"/>
          </w:tcPr>
          <w:p w14:paraId="7B64CCEE"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Agua</w:t>
            </w:r>
          </w:p>
        </w:tc>
        <w:tc>
          <w:tcPr>
            <w:tcW w:w="1320" w:type="dxa"/>
            <w:shd w:val="clear" w:color="auto" w:fill="auto"/>
            <w:vAlign w:val="center"/>
          </w:tcPr>
          <w:p w14:paraId="6516BE1F"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S</w:t>
            </w:r>
          </w:p>
        </w:tc>
      </w:tr>
      <w:tr w:rsidR="009678D3" w:rsidRPr="00E2736C" w14:paraId="7BC74DB2" w14:textId="77777777" w:rsidTr="009678D3">
        <w:tc>
          <w:tcPr>
            <w:tcW w:w="5880" w:type="dxa"/>
            <w:shd w:val="clear" w:color="auto" w:fill="auto"/>
            <w:vAlign w:val="center"/>
          </w:tcPr>
          <w:p w14:paraId="74DFC2AF"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Madera de Pino (Blanca)</w:t>
            </w:r>
          </w:p>
        </w:tc>
        <w:tc>
          <w:tcPr>
            <w:tcW w:w="1320" w:type="dxa"/>
            <w:shd w:val="clear" w:color="auto" w:fill="auto"/>
            <w:vAlign w:val="center"/>
          </w:tcPr>
          <w:p w14:paraId="473C9FB2"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S</w:t>
            </w:r>
          </w:p>
        </w:tc>
      </w:tr>
      <w:tr w:rsidR="009678D3" w:rsidRPr="00E2736C" w14:paraId="4C88BE37" w14:textId="77777777" w:rsidTr="009678D3">
        <w:tc>
          <w:tcPr>
            <w:tcW w:w="5880" w:type="dxa"/>
            <w:shd w:val="clear" w:color="auto" w:fill="auto"/>
            <w:vAlign w:val="center"/>
          </w:tcPr>
          <w:p w14:paraId="27FCA44B" w14:textId="77777777" w:rsidR="009678D3" w:rsidRPr="002969C4" w:rsidRDefault="009678D3" w:rsidP="009678D3">
            <w:pPr>
              <w:pStyle w:val="TITULOGENERAL"/>
              <w:spacing w:before="0" w:after="0"/>
              <w:jc w:val="left"/>
              <w:rPr>
                <w:rFonts w:ascii="Times New Roman" w:hAnsi="Times New Roman" w:cs="Times New Roman"/>
                <w:b w:val="0"/>
                <w:sz w:val="22"/>
                <w:szCs w:val="22"/>
              </w:rPr>
            </w:pPr>
            <w:r w:rsidRPr="002969C4">
              <w:rPr>
                <w:rFonts w:ascii="Times New Roman" w:hAnsi="Times New Roman" w:cs="Times New Roman"/>
                <w:b w:val="0"/>
                <w:sz w:val="22"/>
                <w:szCs w:val="22"/>
              </w:rPr>
              <w:t>Madera Roja</w:t>
            </w:r>
          </w:p>
        </w:tc>
        <w:tc>
          <w:tcPr>
            <w:tcW w:w="1320" w:type="dxa"/>
            <w:shd w:val="clear" w:color="auto" w:fill="auto"/>
            <w:vAlign w:val="center"/>
          </w:tcPr>
          <w:p w14:paraId="2237AA30" w14:textId="77777777" w:rsidR="009678D3" w:rsidRPr="002969C4" w:rsidRDefault="009678D3" w:rsidP="009678D3">
            <w:pPr>
              <w:pStyle w:val="TITULOGENERAL"/>
              <w:spacing w:before="0" w:after="0"/>
              <w:rPr>
                <w:rFonts w:ascii="Times New Roman" w:hAnsi="Times New Roman" w:cs="Times New Roman"/>
                <w:b w:val="0"/>
                <w:sz w:val="22"/>
                <w:szCs w:val="22"/>
              </w:rPr>
            </w:pPr>
            <w:r w:rsidRPr="002969C4">
              <w:rPr>
                <w:rFonts w:ascii="Times New Roman" w:hAnsi="Times New Roman" w:cs="Times New Roman"/>
                <w:b w:val="0"/>
                <w:sz w:val="22"/>
                <w:szCs w:val="22"/>
              </w:rPr>
              <w:t>N</w:t>
            </w:r>
          </w:p>
        </w:tc>
      </w:tr>
    </w:tbl>
    <w:p w14:paraId="34F62876" w14:textId="77777777" w:rsidR="009678D3" w:rsidRPr="00E2736C" w:rsidRDefault="009678D3" w:rsidP="009678D3">
      <w:pPr>
        <w:pStyle w:val="Ttulo1"/>
        <w:rPr>
          <w:bCs/>
          <w:iCs/>
          <w:sz w:val="22"/>
          <w:szCs w:val="22"/>
        </w:rPr>
      </w:pPr>
      <w:r w:rsidRPr="00E2736C">
        <w:rPr>
          <w:sz w:val="22"/>
          <w:szCs w:val="22"/>
        </w:rPr>
        <w:t>NIVEL FREÁTICO Y PRECIPITACIÓN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1320"/>
      </w:tblGrid>
      <w:tr w:rsidR="009678D3" w:rsidRPr="00E2736C" w14:paraId="66B25D7E" w14:textId="77777777" w:rsidTr="009678D3">
        <w:tc>
          <w:tcPr>
            <w:tcW w:w="5880" w:type="dxa"/>
            <w:shd w:val="clear" w:color="auto" w:fill="auto"/>
            <w:vAlign w:val="bottom"/>
          </w:tcPr>
          <w:p w14:paraId="627B0098" w14:textId="77777777" w:rsidR="009678D3" w:rsidRPr="002969C4" w:rsidRDefault="009678D3" w:rsidP="009678D3">
            <w:pPr>
              <w:rPr>
                <w:sz w:val="22"/>
                <w:szCs w:val="22"/>
              </w:rPr>
            </w:pPr>
            <w:r w:rsidRPr="002969C4">
              <w:rPr>
                <w:sz w:val="22"/>
                <w:szCs w:val="22"/>
              </w:rPr>
              <w:t>Profundidad del nivel freático en invierno  (m)</w:t>
            </w:r>
          </w:p>
        </w:tc>
        <w:tc>
          <w:tcPr>
            <w:tcW w:w="1320" w:type="dxa"/>
            <w:shd w:val="clear" w:color="auto" w:fill="auto"/>
            <w:vAlign w:val="bottom"/>
          </w:tcPr>
          <w:p w14:paraId="23D2BD3C" w14:textId="77777777" w:rsidR="009678D3" w:rsidRPr="002969C4" w:rsidRDefault="009678D3" w:rsidP="009678D3">
            <w:pPr>
              <w:jc w:val="right"/>
              <w:rPr>
                <w:sz w:val="22"/>
                <w:szCs w:val="22"/>
              </w:rPr>
            </w:pPr>
            <w:r w:rsidRPr="002969C4">
              <w:rPr>
                <w:sz w:val="22"/>
                <w:szCs w:val="22"/>
              </w:rPr>
              <w:fldChar w:fldCharType="begin"/>
            </w:r>
            <w:r w:rsidRPr="002969C4">
              <w:rPr>
                <w:sz w:val="22"/>
                <w:szCs w:val="22"/>
              </w:rPr>
              <w:instrText xml:space="preserve"> DOCVARIABLE  ProfNFInv</w:instrText>
            </w:r>
            <w:r w:rsidRPr="002969C4">
              <w:rPr>
                <w:sz w:val="22"/>
                <w:szCs w:val="22"/>
              </w:rPr>
              <w:fldChar w:fldCharType="separate"/>
            </w:r>
            <w:r w:rsidRPr="002969C4">
              <w:rPr>
                <w:sz w:val="22"/>
                <w:szCs w:val="22"/>
              </w:rPr>
              <w:t>30.00</w:t>
            </w:r>
            <w:r w:rsidRPr="002969C4">
              <w:rPr>
                <w:sz w:val="22"/>
                <w:szCs w:val="22"/>
              </w:rPr>
              <w:fldChar w:fldCharType="end"/>
            </w:r>
          </w:p>
        </w:tc>
      </w:tr>
      <w:tr w:rsidR="009678D3" w:rsidRPr="00E2736C" w14:paraId="6BB327AF" w14:textId="77777777" w:rsidTr="009678D3">
        <w:tc>
          <w:tcPr>
            <w:tcW w:w="5880" w:type="dxa"/>
            <w:shd w:val="clear" w:color="auto" w:fill="auto"/>
            <w:vAlign w:val="bottom"/>
          </w:tcPr>
          <w:p w14:paraId="63B99B8A" w14:textId="77777777" w:rsidR="009678D3" w:rsidRPr="002969C4" w:rsidRDefault="009678D3" w:rsidP="009678D3">
            <w:pPr>
              <w:rPr>
                <w:sz w:val="22"/>
                <w:szCs w:val="22"/>
              </w:rPr>
            </w:pPr>
            <w:r w:rsidRPr="002969C4">
              <w:rPr>
                <w:sz w:val="22"/>
                <w:szCs w:val="22"/>
              </w:rPr>
              <w:t>Duración del invierno en la zona del proyecto (meses)</w:t>
            </w:r>
          </w:p>
        </w:tc>
        <w:tc>
          <w:tcPr>
            <w:tcW w:w="1320" w:type="dxa"/>
            <w:shd w:val="clear" w:color="auto" w:fill="auto"/>
            <w:vAlign w:val="bottom"/>
          </w:tcPr>
          <w:p w14:paraId="6290E522" w14:textId="77777777" w:rsidR="009678D3" w:rsidRPr="002969C4" w:rsidRDefault="009678D3" w:rsidP="009678D3">
            <w:pPr>
              <w:jc w:val="right"/>
              <w:rPr>
                <w:sz w:val="22"/>
                <w:szCs w:val="22"/>
              </w:rPr>
            </w:pPr>
            <w:r w:rsidRPr="002969C4">
              <w:rPr>
                <w:sz w:val="22"/>
                <w:szCs w:val="22"/>
              </w:rPr>
              <w:fldChar w:fldCharType="begin"/>
            </w:r>
            <w:r w:rsidRPr="002969C4">
              <w:rPr>
                <w:sz w:val="22"/>
                <w:szCs w:val="22"/>
              </w:rPr>
              <w:instrText xml:space="preserve"> DOCVARIABLE  DuraInv</w:instrText>
            </w:r>
            <w:r w:rsidRPr="002969C4">
              <w:rPr>
                <w:sz w:val="22"/>
                <w:szCs w:val="22"/>
              </w:rPr>
              <w:fldChar w:fldCharType="separate"/>
            </w:r>
            <w:r w:rsidRPr="002969C4">
              <w:rPr>
                <w:sz w:val="22"/>
                <w:szCs w:val="22"/>
              </w:rPr>
              <w:t>9.00</w:t>
            </w:r>
            <w:r w:rsidRPr="002969C4">
              <w:rPr>
                <w:sz w:val="22"/>
                <w:szCs w:val="22"/>
              </w:rPr>
              <w:fldChar w:fldCharType="end"/>
            </w:r>
          </w:p>
        </w:tc>
      </w:tr>
      <w:tr w:rsidR="009678D3" w:rsidRPr="00E2736C" w14:paraId="7776BF76" w14:textId="77777777" w:rsidTr="009678D3">
        <w:tc>
          <w:tcPr>
            <w:tcW w:w="5880" w:type="dxa"/>
            <w:shd w:val="clear" w:color="auto" w:fill="auto"/>
            <w:vAlign w:val="bottom"/>
          </w:tcPr>
          <w:p w14:paraId="530658B6" w14:textId="77777777" w:rsidR="009678D3" w:rsidRPr="002969C4" w:rsidRDefault="009678D3" w:rsidP="009678D3">
            <w:pPr>
              <w:rPr>
                <w:sz w:val="22"/>
                <w:szCs w:val="22"/>
              </w:rPr>
            </w:pPr>
            <w:r w:rsidRPr="002969C4">
              <w:rPr>
                <w:sz w:val="22"/>
                <w:szCs w:val="22"/>
              </w:rPr>
              <w:t>Precipitación anual estimada (mm)</w:t>
            </w:r>
          </w:p>
        </w:tc>
        <w:tc>
          <w:tcPr>
            <w:tcW w:w="1320" w:type="dxa"/>
            <w:shd w:val="clear" w:color="auto" w:fill="auto"/>
            <w:vAlign w:val="bottom"/>
          </w:tcPr>
          <w:p w14:paraId="35862CF0" w14:textId="77777777" w:rsidR="009678D3" w:rsidRPr="002969C4" w:rsidRDefault="009678D3" w:rsidP="009678D3">
            <w:pPr>
              <w:jc w:val="right"/>
              <w:rPr>
                <w:sz w:val="22"/>
                <w:szCs w:val="22"/>
              </w:rPr>
            </w:pPr>
            <w:r w:rsidRPr="002969C4">
              <w:rPr>
                <w:sz w:val="22"/>
                <w:szCs w:val="22"/>
              </w:rPr>
              <w:fldChar w:fldCharType="begin"/>
            </w:r>
            <w:r w:rsidRPr="002969C4">
              <w:rPr>
                <w:sz w:val="22"/>
                <w:szCs w:val="22"/>
              </w:rPr>
              <w:instrText xml:space="preserve"> DOCVARIABLE  PrecipAnual</w:instrText>
            </w:r>
            <w:r w:rsidRPr="002969C4">
              <w:rPr>
                <w:sz w:val="22"/>
                <w:szCs w:val="22"/>
              </w:rPr>
              <w:fldChar w:fldCharType="separate"/>
            </w:r>
            <w:r w:rsidRPr="002969C4">
              <w:rPr>
                <w:sz w:val="22"/>
                <w:szCs w:val="22"/>
              </w:rPr>
              <w:t>1600.00</w:t>
            </w:r>
            <w:r w:rsidRPr="002969C4">
              <w:rPr>
                <w:sz w:val="22"/>
                <w:szCs w:val="22"/>
              </w:rPr>
              <w:fldChar w:fldCharType="end"/>
            </w:r>
          </w:p>
        </w:tc>
      </w:tr>
    </w:tbl>
    <w:p w14:paraId="219C0EA0" w14:textId="77777777" w:rsidR="009678D3" w:rsidRPr="00E2736C" w:rsidRDefault="009678D3" w:rsidP="009678D3">
      <w:pPr>
        <w:pStyle w:val="Ttulo1"/>
        <w:rPr>
          <w:bCs/>
          <w:iCs/>
          <w:sz w:val="22"/>
          <w:szCs w:val="22"/>
        </w:rPr>
      </w:pPr>
      <w:r w:rsidRPr="00E2736C">
        <w:rPr>
          <w:sz w:val="22"/>
          <w:szCs w:val="22"/>
        </w:rPr>
        <w:t>BANCO</w:t>
      </w:r>
      <w:r>
        <w:rPr>
          <w:sz w:val="22"/>
          <w:szCs w:val="22"/>
        </w:rPr>
        <w:t>S</w:t>
      </w:r>
      <w:r w:rsidRPr="00E2736C">
        <w:rPr>
          <w:sz w:val="22"/>
          <w:szCs w:val="22"/>
        </w:rPr>
        <w:t xml:space="preserve"> DE MATERIALES</w:t>
      </w:r>
    </w:p>
    <w:tbl>
      <w:tblPr>
        <w:tblpPr w:leftFromText="141" w:rightFromText="141" w:vertAnchor="text" w:horzAnchor="margin" w:tblpX="108" w:tblpY="60"/>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2"/>
        <w:gridCol w:w="2112"/>
        <w:gridCol w:w="2112"/>
        <w:gridCol w:w="2112"/>
      </w:tblGrid>
      <w:tr w:rsidR="009678D3" w:rsidRPr="00E2736C" w14:paraId="769D9949" w14:textId="77777777" w:rsidTr="009678D3">
        <w:tc>
          <w:tcPr>
            <w:tcW w:w="3732" w:type="dxa"/>
            <w:shd w:val="clear" w:color="auto" w:fill="00FFFF"/>
          </w:tcPr>
          <w:p w14:paraId="7AE9D43B" w14:textId="77777777" w:rsidR="009678D3" w:rsidRPr="002969C4" w:rsidRDefault="009678D3" w:rsidP="009678D3">
            <w:pPr>
              <w:jc w:val="center"/>
              <w:rPr>
                <w:b/>
                <w:sz w:val="22"/>
                <w:szCs w:val="22"/>
              </w:rPr>
            </w:pPr>
            <w:r w:rsidRPr="002969C4">
              <w:rPr>
                <w:b/>
                <w:sz w:val="22"/>
                <w:szCs w:val="22"/>
              </w:rPr>
              <w:t>Características del Banco</w:t>
            </w:r>
          </w:p>
        </w:tc>
        <w:tc>
          <w:tcPr>
            <w:tcW w:w="2112" w:type="dxa"/>
            <w:shd w:val="clear" w:color="auto" w:fill="00FFFF"/>
          </w:tcPr>
          <w:p w14:paraId="777FDFE7" w14:textId="77777777" w:rsidR="009678D3" w:rsidRPr="002969C4" w:rsidRDefault="009678D3" w:rsidP="009678D3">
            <w:pPr>
              <w:jc w:val="center"/>
              <w:rPr>
                <w:b/>
                <w:sz w:val="22"/>
                <w:szCs w:val="22"/>
              </w:rPr>
            </w:pPr>
            <w:r w:rsidRPr="002969C4">
              <w:rPr>
                <w:b/>
                <w:sz w:val="22"/>
                <w:szCs w:val="22"/>
              </w:rPr>
              <w:t>Banco # 1</w:t>
            </w:r>
          </w:p>
        </w:tc>
        <w:tc>
          <w:tcPr>
            <w:tcW w:w="2112" w:type="dxa"/>
            <w:shd w:val="clear" w:color="auto" w:fill="00FFFF"/>
          </w:tcPr>
          <w:p w14:paraId="7FBDA683" w14:textId="77777777" w:rsidR="009678D3" w:rsidRPr="002969C4" w:rsidRDefault="009678D3" w:rsidP="009678D3">
            <w:pPr>
              <w:jc w:val="center"/>
              <w:rPr>
                <w:b/>
                <w:sz w:val="22"/>
                <w:szCs w:val="22"/>
              </w:rPr>
            </w:pPr>
            <w:r w:rsidRPr="002969C4">
              <w:rPr>
                <w:b/>
                <w:sz w:val="22"/>
                <w:szCs w:val="22"/>
              </w:rPr>
              <w:t>Banco # 2</w:t>
            </w:r>
          </w:p>
        </w:tc>
        <w:tc>
          <w:tcPr>
            <w:tcW w:w="2112" w:type="dxa"/>
            <w:shd w:val="clear" w:color="auto" w:fill="00FFFF"/>
          </w:tcPr>
          <w:p w14:paraId="29A9EAB3" w14:textId="77777777" w:rsidR="009678D3" w:rsidRPr="002969C4" w:rsidRDefault="009678D3" w:rsidP="009678D3">
            <w:pPr>
              <w:jc w:val="center"/>
              <w:rPr>
                <w:b/>
                <w:sz w:val="22"/>
                <w:szCs w:val="22"/>
              </w:rPr>
            </w:pPr>
            <w:r w:rsidRPr="002969C4">
              <w:rPr>
                <w:b/>
                <w:sz w:val="22"/>
                <w:szCs w:val="22"/>
              </w:rPr>
              <w:t>Banco # 3</w:t>
            </w:r>
          </w:p>
        </w:tc>
      </w:tr>
      <w:tr w:rsidR="009678D3" w:rsidRPr="00E2736C" w14:paraId="46333BE1" w14:textId="77777777" w:rsidTr="009678D3">
        <w:trPr>
          <w:trHeight w:val="495"/>
        </w:trPr>
        <w:tc>
          <w:tcPr>
            <w:tcW w:w="3732" w:type="dxa"/>
            <w:shd w:val="clear" w:color="auto" w:fill="auto"/>
            <w:vAlign w:val="center"/>
          </w:tcPr>
          <w:p w14:paraId="170E7192" w14:textId="77777777" w:rsidR="009678D3" w:rsidRPr="002969C4" w:rsidRDefault="009678D3" w:rsidP="009678D3">
            <w:pPr>
              <w:rPr>
                <w:sz w:val="22"/>
                <w:szCs w:val="22"/>
              </w:rPr>
            </w:pPr>
            <w:r w:rsidRPr="002969C4">
              <w:rPr>
                <w:sz w:val="22"/>
                <w:szCs w:val="22"/>
              </w:rPr>
              <w:t xml:space="preserve">Nombre  del  Banco de Materiales   </w:t>
            </w:r>
          </w:p>
        </w:tc>
        <w:tc>
          <w:tcPr>
            <w:tcW w:w="2112" w:type="dxa"/>
            <w:shd w:val="clear" w:color="auto" w:fill="auto"/>
            <w:vAlign w:val="center"/>
          </w:tcPr>
          <w:p w14:paraId="20279ED2" w14:textId="77777777" w:rsidR="009678D3" w:rsidRPr="002969C4" w:rsidRDefault="009678D3" w:rsidP="009678D3">
            <w:pPr>
              <w:rPr>
                <w:sz w:val="22"/>
                <w:szCs w:val="22"/>
              </w:rPr>
            </w:pPr>
            <w:r w:rsidRPr="002969C4">
              <w:rPr>
                <w:sz w:val="22"/>
                <w:szCs w:val="22"/>
              </w:rPr>
              <w:t>Raúl Molina</w:t>
            </w:r>
          </w:p>
        </w:tc>
        <w:tc>
          <w:tcPr>
            <w:tcW w:w="2112" w:type="dxa"/>
            <w:shd w:val="clear" w:color="auto" w:fill="auto"/>
            <w:vAlign w:val="center"/>
          </w:tcPr>
          <w:p w14:paraId="2B049B48" w14:textId="77777777" w:rsidR="009678D3" w:rsidRPr="002969C4" w:rsidRDefault="009678D3" w:rsidP="009678D3">
            <w:pPr>
              <w:rPr>
                <w:sz w:val="22"/>
                <w:szCs w:val="22"/>
              </w:rPr>
            </w:pPr>
            <w:r w:rsidRPr="002969C4">
              <w:rPr>
                <w:sz w:val="22"/>
                <w:szCs w:val="22"/>
              </w:rPr>
              <w:t>Agustín Fortín</w:t>
            </w:r>
          </w:p>
        </w:tc>
        <w:tc>
          <w:tcPr>
            <w:tcW w:w="2112" w:type="dxa"/>
            <w:shd w:val="clear" w:color="auto" w:fill="auto"/>
            <w:vAlign w:val="center"/>
          </w:tcPr>
          <w:p w14:paraId="6AC5ED73" w14:textId="77777777" w:rsidR="009678D3" w:rsidRPr="002969C4" w:rsidRDefault="009678D3" w:rsidP="009678D3">
            <w:pPr>
              <w:rPr>
                <w:sz w:val="22"/>
                <w:szCs w:val="22"/>
              </w:rPr>
            </w:pPr>
          </w:p>
        </w:tc>
      </w:tr>
      <w:tr w:rsidR="009678D3" w:rsidRPr="00E2736C" w14:paraId="4D1267B8" w14:textId="77777777" w:rsidTr="009678D3">
        <w:trPr>
          <w:trHeight w:val="495"/>
        </w:trPr>
        <w:tc>
          <w:tcPr>
            <w:tcW w:w="3732" w:type="dxa"/>
            <w:shd w:val="clear" w:color="auto" w:fill="auto"/>
            <w:vAlign w:val="center"/>
          </w:tcPr>
          <w:p w14:paraId="368CFE2E" w14:textId="77777777" w:rsidR="009678D3" w:rsidRPr="002969C4" w:rsidRDefault="009678D3" w:rsidP="009678D3">
            <w:pPr>
              <w:rPr>
                <w:sz w:val="22"/>
                <w:szCs w:val="22"/>
              </w:rPr>
            </w:pPr>
            <w:r w:rsidRPr="002969C4">
              <w:rPr>
                <w:sz w:val="22"/>
                <w:szCs w:val="22"/>
              </w:rPr>
              <w:t>Tipo de Tenencia (</w:t>
            </w:r>
            <w:r w:rsidRPr="002969C4">
              <w:rPr>
                <w:i/>
                <w:sz w:val="22"/>
                <w:szCs w:val="22"/>
              </w:rPr>
              <w:t>Pública o Privada</w:t>
            </w:r>
            <w:r w:rsidRPr="002969C4">
              <w:rPr>
                <w:sz w:val="22"/>
                <w:szCs w:val="22"/>
              </w:rPr>
              <w:t>)</w:t>
            </w:r>
          </w:p>
        </w:tc>
        <w:tc>
          <w:tcPr>
            <w:tcW w:w="2112" w:type="dxa"/>
            <w:shd w:val="clear" w:color="auto" w:fill="auto"/>
            <w:vAlign w:val="center"/>
          </w:tcPr>
          <w:p w14:paraId="5A000393" w14:textId="77777777" w:rsidR="009678D3" w:rsidRPr="002969C4" w:rsidRDefault="009678D3" w:rsidP="009678D3">
            <w:pPr>
              <w:rPr>
                <w:sz w:val="22"/>
                <w:szCs w:val="22"/>
              </w:rPr>
            </w:pPr>
            <w:r w:rsidRPr="002969C4">
              <w:rPr>
                <w:sz w:val="22"/>
                <w:szCs w:val="22"/>
              </w:rPr>
              <w:t>Privada</w:t>
            </w:r>
          </w:p>
        </w:tc>
        <w:tc>
          <w:tcPr>
            <w:tcW w:w="2112" w:type="dxa"/>
            <w:shd w:val="clear" w:color="auto" w:fill="auto"/>
            <w:vAlign w:val="center"/>
          </w:tcPr>
          <w:p w14:paraId="4D960893" w14:textId="77777777" w:rsidR="009678D3" w:rsidRPr="002969C4" w:rsidRDefault="009678D3" w:rsidP="009678D3">
            <w:pPr>
              <w:rPr>
                <w:sz w:val="22"/>
                <w:szCs w:val="22"/>
              </w:rPr>
            </w:pPr>
            <w:r w:rsidRPr="002969C4">
              <w:rPr>
                <w:sz w:val="22"/>
                <w:szCs w:val="22"/>
              </w:rPr>
              <w:t>Privada</w:t>
            </w:r>
          </w:p>
        </w:tc>
        <w:tc>
          <w:tcPr>
            <w:tcW w:w="2112" w:type="dxa"/>
            <w:shd w:val="clear" w:color="auto" w:fill="auto"/>
            <w:vAlign w:val="center"/>
          </w:tcPr>
          <w:p w14:paraId="0FD3D801" w14:textId="77777777" w:rsidR="009678D3" w:rsidRPr="002969C4" w:rsidRDefault="009678D3" w:rsidP="009678D3">
            <w:pPr>
              <w:rPr>
                <w:sz w:val="22"/>
                <w:szCs w:val="22"/>
              </w:rPr>
            </w:pPr>
          </w:p>
        </w:tc>
      </w:tr>
      <w:tr w:rsidR="009678D3" w:rsidRPr="00E2736C" w14:paraId="7731EDCD" w14:textId="77777777" w:rsidTr="009678D3">
        <w:trPr>
          <w:trHeight w:val="495"/>
        </w:trPr>
        <w:tc>
          <w:tcPr>
            <w:tcW w:w="3732" w:type="dxa"/>
            <w:shd w:val="clear" w:color="auto" w:fill="auto"/>
            <w:vAlign w:val="center"/>
          </w:tcPr>
          <w:p w14:paraId="5621D103" w14:textId="77777777" w:rsidR="009678D3" w:rsidRPr="002969C4" w:rsidRDefault="009678D3" w:rsidP="009678D3">
            <w:pPr>
              <w:rPr>
                <w:sz w:val="22"/>
                <w:szCs w:val="22"/>
              </w:rPr>
            </w:pPr>
            <w:r w:rsidRPr="002969C4">
              <w:rPr>
                <w:sz w:val="22"/>
                <w:szCs w:val="22"/>
              </w:rPr>
              <w:t>Nombre del Dueño</w:t>
            </w:r>
          </w:p>
        </w:tc>
        <w:tc>
          <w:tcPr>
            <w:tcW w:w="2112" w:type="dxa"/>
            <w:shd w:val="clear" w:color="auto" w:fill="auto"/>
            <w:vAlign w:val="center"/>
          </w:tcPr>
          <w:p w14:paraId="6A5C51C1" w14:textId="77777777" w:rsidR="009678D3" w:rsidRPr="002969C4" w:rsidRDefault="009678D3" w:rsidP="009678D3">
            <w:pPr>
              <w:rPr>
                <w:sz w:val="22"/>
                <w:szCs w:val="22"/>
              </w:rPr>
            </w:pPr>
            <w:r w:rsidRPr="002969C4">
              <w:rPr>
                <w:sz w:val="22"/>
                <w:szCs w:val="22"/>
              </w:rPr>
              <w:t>Raúl Molina</w:t>
            </w:r>
          </w:p>
        </w:tc>
        <w:tc>
          <w:tcPr>
            <w:tcW w:w="2112" w:type="dxa"/>
            <w:shd w:val="clear" w:color="auto" w:fill="auto"/>
            <w:vAlign w:val="center"/>
          </w:tcPr>
          <w:p w14:paraId="72B94801" w14:textId="77777777" w:rsidR="009678D3" w:rsidRPr="002969C4" w:rsidRDefault="009678D3" w:rsidP="009678D3">
            <w:pPr>
              <w:rPr>
                <w:sz w:val="22"/>
                <w:szCs w:val="22"/>
              </w:rPr>
            </w:pPr>
            <w:r w:rsidRPr="002969C4">
              <w:rPr>
                <w:sz w:val="22"/>
                <w:szCs w:val="22"/>
              </w:rPr>
              <w:t>Agustín Fortín</w:t>
            </w:r>
          </w:p>
        </w:tc>
        <w:tc>
          <w:tcPr>
            <w:tcW w:w="2112" w:type="dxa"/>
            <w:shd w:val="clear" w:color="auto" w:fill="auto"/>
            <w:vAlign w:val="center"/>
          </w:tcPr>
          <w:p w14:paraId="490C47F9" w14:textId="77777777" w:rsidR="009678D3" w:rsidRPr="002969C4" w:rsidRDefault="009678D3" w:rsidP="009678D3">
            <w:pPr>
              <w:rPr>
                <w:sz w:val="22"/>
                <w:szCs w:val="22"/>
              </w:rPr>
            </w:pPr>
          </w:p>
        </w:tc>
      </w:tr>
      <w:tr w:rsidR="009678D3" w:rsidRPr="00E2736C" w14:paraId="2B0E5A21" w14:textId="77777777" w:rsidTr="009678D3">
        <w:trPr>
          <w:trHeight w:val="495"/>
        </w:trPr>
        <w:tc>
          <w:tcPr>
            <w:tcW w:w="3732" w:type="dxa"/>
            <w:shd w:val="clear" w:color="auto" w:fill="auto"/>
            <w:vAlign w:val="center"/>
          </w:tcPr>
          <w:p w14:paraId="517CC337" w14:textId="77777777" w:rsidR="009678D3" w:rsidRPr="002969C4" w:rsidRDefault="009678D3" w:rsidP="009678D3">
            <w:pPr>
              <w:rPr>
                <w:sz w:val="22"/>
                <w:szCs w:val="22"/>
              </w:rPr>
            </w:pPr>
            <w:r w:rsidRPr="002969C4">
              <w:rPr>
                <w:sz w:val="22"/>
                <w:szCs w:val="22"/>
              </w:rPr>
              <w:t>Estado de la vía de Acceso al Banco de Materiales (</w:t>
            </w:r>
            <w:r w:rsidRPr="002969C4">
              <w:rPr>
                <w:i/>
                <w:sz w:val="22"/>
                <w:szCs w:val="22"/>
              </w:rPr>
              <w:t>Buena, Regular, Mala</w:t>
            </w:r>
            <w:r w:rsidRPr="002969C4">
              <w:rPr>
                <w:sz w:val="22"/>
                <w:szCs w:val="22"/>
              </w:rPr>
              <w:t>)</w:t>
            </w:r>
          </w:p>
        </w:tc>
        <w:tc>
          <w:tcPr>
            <w:tcW w:w="2112" w:type="dxa"/>
            <w:shd w:val="clear" w:color="auto" w:fill="auto"/>
            <w:vAlign w:val="center"/>
          </w:tcPr>
          <w:p w14:paraId="3A59E4A1" w14:textId="77777777" w:rsidR="009678D3" w:rsidRPr="002969C4" w:rsidRDefault="009678D3" w:rsidP="009678D3">
            <w:pPr>
              <w:rPr>
                <w:sz w:val="22"/>
                <w:szCs w:val="22"/>
              </w:rPr>
            </w:pPr>
            <w:r w:rsidRPr="002969C4">
              <w:rPr>
                <w:sz w:val="22"/>
                <w:szCs w:val="22"/>
              </w:rPr>
              <w:t>Buena</w:t>
            </w:r>
          </w:p>
        </w:tc>
        <w:tc>
          <w:tcPr>
            <w:tcW w:w="2112" w:type="dxa"/>
            <w:shd w:val="clear" w:color="auto" w:fill="auto"/>
            <w:vAlign w:val="center"/>
          </w:tcPr>
          <w:p w14:paraId="25A4D18D" w14:textId="77777777" w:rsidR="009678D3" w:rsidRPr="002969C4" w:rsidRDefault="009678D3" w:rsidP="009678D3">
            <w:pPr>
              <w:rPr>
                <w:sz w:val="22"/>
                <w:szCs w:val="22"/>
              </w:rPr>
            </w:pPr>
            <w:r w:rsidRPr="002969C4">
              <w:rPr>
                <w:sz w:val="22"/>
                <w:szCs w:val="22"/>
              </w:rPr>
              <w:t>Buena</w:t>
            </w:r>
          </w:p>
        </w:tc>
        <w:tc>
          <w:tcPr>
            <w:tcW w:w="2112" w:type="dxa"/>
            <w:shd w:val="clear" w:color="auto" w:fill="auto"/>
            <w:vAlign w:val="center"/>
          </w:tcPr>
          <w:p w14:paraId="3F07D8A0" w14:textId="77777777" w:rsidR="009678D3" w:rsidRPr="002969C4" w:rsidRDefault="009678D3" w:rsidP="009678D3">
            <w:pPr>
              <w:rPr>
                <w:sz w:val="22"/>
                <w:szCs w:val="22"/>
              </w:rPr>
            </w:pPr>
          </w:p>
        </w:tc>
      </w:tr>
      <w:tr w:rsidR="009678D3" w:rsidRPr="00E2736C" w14:paraId="05C311FE" w14:textId="77777777" w:rsidTr="009678D3">
        <w:trPr>
          <w:trHeight w:val="495"/>
        </w:trPr>
        <w:tc>
          <w:tcPr>
            <w:tcW w:w="3732" w:type="dxa"/>
            <w:shd w:val="clear" w:color="auto" w:fill="auto"/>
            <w:vAlign w:val="center"/>
          </w:tcPr>
          <w:p w14:paraId="60A45BF5" w14:textId="77777777" w:rsidR="009678D3" w:rsidRPr="002969C4" w:rsidRDefault="009678D3" w:rsidP="009678D3">
            <w:pPr>
              <w:rPr>
                <w:sz w:val="22"/>
                <w:szCs w:val="22"/>
              </w:rPr>
            </w:pPr>
            <w:r w:rsidRPr="002969C4">
              <w:rPr>
                <w:sz w:val="22"/>
                <w:szCs w:val="22"/>
              </w:rPr>
              <w:t>Distancia entre el Banco de Materiales y el Proyecto (Km)</w:t>
            </w:r>
          </w:p>
        </w:tc>
        <w:tc>
          <w:tcPr>
            <w:tcW w:w="2112" w:type="dxa"/>
            <w:shd w:val="clear" w:color="auto" w:fill="auto"/>
            <w:vAlign w:val="center"/>
          </w:tcPr>
          <w:p w14:paraId="1C68BA25" w14:textId="77777777" w:rsidR="009678D3" w:rsidRPr="002969C4" w:rsidRDefault="009678D3" w:rsidP="009678D3">
            <w:pPr>
              <w:rPr>
                <w:sz w:val="22"/>
                <w:szCs w:val="22"/>
              </w:rPr>
            </w:pPr>
            <w:r w:rsidRPr="002969C4">
              <w:rPr>
                <w:sz w:val="22"/>
                <w:szCs w:val="22"/>
              </w:rPr>
              <w:t>3.00</w:t>
            </w:r>
          </w:p>
        </w:tc>
        <w:tc>
          <w:tcPr>
            <w:tcW w:w="2112" w:type="dxa"/>
            <w:shd w:val="clear" w:color="auto" w:fill="auto"/>
            <w:vAlign w:val="center"/>
          </w:tcPr>
          <w:p w14:paraId="78B9E5BE" w14:textId="77777777" w:rsidR="009678D3" w:rsidRPr="002969C4" w:rsidRDefault="009678D3" w:rsidP="009678D3">
            <w:pPr>
              <w:rPr>
                <w:sz w:val="22"/>
                <w:szCs w:val="22"/>
              </w:rPr>
            </w:pPr>
            <w:r w:rsidRPr="002969C4">
              <w:rPr>
                <w:sz w:val="22"/>
                <w:szCs w:val="22"/>
              </w:rPr>
              <w:t>4.00</w:t>
            </w:r>
          </w:p>
        </w:tc>
        <w:tc>
          <w:tcPr>
            <w:tcW w:w="2112" w:type="dxa"/>
            <w:shd w:val="clear" w:color="auto" w:fill="auto"/>
            <w:vAlign w:val="center"/>
          </w:tcPr>
          <w:p w14:paraId="0EAFB518" w14:textId="77777777" w:rsidR="009678D3" w:rsidRPr="002969C4" w:rsidRDefault="009678D3" w:rsidP="009678D3">
            <w:pPr>
              <w:rPr>
                <w:sz w:val="22"/>
                <w:szCs w:val="22"/>
              </w:rPr>
            </w:pPr>
          </w:p>
        </w:tc>
      </w:tr>
      <w:tr w:rsidR="009678D3" w:rsidRPr="00E2736C" w14:paraId="2EC1FC04" w14:textId="77777777" w:rsidTr="009678D3">
        <w:trPr>
          <w:trHeight w:val="495"/>
        </w:trPr>
        <w:tc>
          <w:tcPr>
            <w:tcW w:w="3732" w:type="dxa"/>
            <w:shd w:val="clear" w:color="auto" w:fill="auto"/>
            <w:vAlign w:val="center"/>
          </w:tcPr>
          <w:p w14:paraId="27960090" w14:textId="77777777" w:rsidR="009678D3" w:rsidRPr="002969C4" w:rsidRDefault="009678D3" w:rsidP="009678D3">
            <w:pPr>
              <w:rPr>
                <w:i/>
                <w:sz w:val="22"/>
                <w:szCs w:val="22"/>
              </w:rPr>
            </w:pPr>
            <w:r w:rsidRPr="002969C4">
              <w:rPr>
                <w:sz w:val="22"/>
                <w:szCs w:val="22"/>
              </w:rPr>
              <w:t>Estado del Banco (</w:t>
            </w:r>
            <w:r w:rsidRPr="002969C4">
              <w:rPr>
                <w:i/>
                <w:sz w:val="22"/>
                <w:szCs w:val="22"/>
              </w:rPr>
              <w:t>En explotación,</w:t>
            </w:r>
          </w:p>
          <w:p w14:paraId="40A04C22" w14:textId="77777777" w:rsidR="009678D3" w:rsidRPr="002969C4" w:rsidRDefault="009678D3" w:rsidP="009678D3">
            <w:pPr>
              <w:rPr>
                <w:sz w:val="22"/>
                <w:szCs w:val="22"/>
              </w:rPr>
            </w:pPr>
            <w:r w:rsidRPr="002969C4">
              <w:rPr>
                <w:i/>
                <w:sz w:val="22"/>
                <w:szCs w:val="22"/>
              </w:rPr>
              <w:t xml:space="preserve"> A descapotar, Contaminado, Agotado</w:t>
            </w:r>
            <w:r w:rsidRPr="002969C4">
              <w:rPr>
                <w:sz w:val="22"/>
                <w:szCs w:val="22"/>
              </w:rPr>
              <w:t xml:space="preserve">) </w:t>
            </w:r>
          </w:p>
        </w:tc>
        <w:tc>
          <w:tcPr>
            <w:tcW w:w="2112" w:type="dxa"/>
            <w:shd w:val="clear" w:color="auto" w:fill="auto"/>
            <w:vAlign w:val="center"/>
          </w:tcPr>
          <w:p w14:paraId="60959A8D" w14:textId="77777777" w:rsidR="009678D3" w:rsidRPr="002969C4" w:rsidRDefault="009678D3" w:rsidP="009678D3">
            <w:pPr>
              <w:rPr>
                <w:sz w:val="22"/>
                <w:szCs w:val="22"/>
              </w:rPr>
            </w:pPr>
            <w:r w:rsidRPr="002969C4">
              <w:rPr>
                <w:sz w:val="22"/>
                <w:szCs w:val="22"/>
              </w:rPr>
              <w:t>En explotación</w:t>
            </w:r>
          </w:p>
        </w:tc>
        <w:tc>
          <w:tcPr>
            <w:tcW w:w="2112" w:type="dxa"/>
            <w:shd w:val="clear" w:color="auto" w:fill="auto"/>
            <w:vAlign w:val="center"/>
          </w:tcPr>
          <w:p w14:paraId="66570A22" w14:textId="77777777" w:rsidR="009678D3" w:rsidRPr="002969C4" w:rsidRDefault="009678D3" w:rsidP="009678D3">
            <w:pPr>
              <w:rPr>
                <w:sz w:val="22"/>
                <w:szCs w:val="22"/>
              </w:rPr>
            </w:pPr>
            <w:r w:rsidRPr="002969C4">
              <w:rPr>
                <w:sz w:val="22"/>
                <w:szCs w:val="22"/>
              </w:rPr>
              <w:t>En explotación</w:t>
            </w:r>
          </w:p>
        </w:tc>
        <w:tc>
          <w:tcPr>
            <w:tcW w:w="2112" w:type="dxa"/>
            <w:shd w:val="clear" w:color="auto" w:fill="auto"/>
            <w:vAlign w:val="center"/>
          </w:tcPr>
          <w:p w14:paraId="342C9E4F" w14:textId="77777777" w:rsidR="009678D3" w:rsidRPr="002969C4" w:rsidRDefault="009678D3" w:rsidP="009678D3">
            <w:pPr>
              <w:rPr>
                <w:sz w:val="22"/>
                <w:szCs w:val="22"/>
              </w:rPr>
            </w:pPr>
          </w:p>
        </w:tc>
      </w:tr>
      <w:tr w:rsidR="009678D3" w:rsidRPr="00E2736C" w14:paraId="6DFBA5E1" w14:textId="77777777" w:rsidTr="009678D3">
        <w:trPr>
          <w:trHeight w:val="495"/>
        </w:trPr>
        <w:tc>
          <w:tcPr>
            <w:tcW w:w="3732" w:type="dxa"/>
            <w:shd w:val="clear" w:color="auto" w:fill="auto"/>
            <w:vAlign w:val="center"/>
          </w:tcPr>
          <w:p w14:paraId="62EDEB96" w14:textId="77777777" w:rsidR="009678D3" w:rsidRPr="002969C4" w:rsidRDefault="009678D3" w:rsidP="009678D3">
            <w:pPr>
              <w:rPr>
                <w:sz w:val="22"/>
                <w:szCs w:val="22"/>
              </w:rPr>
            </w:pPr>
            <w:r w:rsidRPr="002969C4">
              <w:rPr>
                <w:sz w:val="22"/>
                <w:szCs w:val="22"/>
              </w:rPr>
              <w:t xml:space="preserve">Tipo de material </w:t>
            </w:r>
            <w:r w:rsidRPr="002969C4">
              <w:rPr>
                <w:i/>
                <w:sz w:val="22"/>
                <w:szCs w:val="22"/>
              </w:rPr>
              <w:t>(Material Selecto, Arena, Bolón, Cantera</w:t>
            </w:r>
            <w:r w:rsidRPr="002969C4">
              <w:rPr>
                <w:sz w:val="22"/>
                <w:szCs w:val="22"/>
              </w:rPr>
              <w:t>)</w:t>
            </w:r>
          </w:p>
        </w:tc>
        <w:tc>
          <w:tcPr>
            <w:tcW w:w="2112" w:type="dxa"/>
            <w:shd w:val="clear" w:color="auto" w:fill="auto"/>
            <w:vAlign w:val="center"/>
          </w:tcPr>
          <w:p w14:paraId="5C73B3EE" w14:textId="77777777" w:rsidR="009678D3" w:rsidRPr="002969C4" w:rsidRDefault="009678D3" w:rsidP="009678D3">
            <w:pPr>
              <w:rPr>
                <w:sz w:val="22"/>
                <w:szCs w:val="22"/>
              </w:rPr>
            </w:pPr>
            <w:r w:rsidRPr="002969C4">
              <w:rPr>
                <w:sz w:val="22"/>
                <w:szCs w:val="22"/>
              </w:rPr>
              <w:t>Material Selecto</w:t>
            </w:r>
          </w:p>
        </w:tc>
        <w:tc>
          <w:tcPr>
            <w:tcW w:w="2112" w:type="dxa"/>
            <w:shd w:val="clear" w:color="auto" w:fill="auto"/>
            <w:vAlign w:val="center"/>
          </w:tcPr>
          <w:p w14:paraId="5DCA9484" w14:textId="77777777" w:rsidR="009678D3" w:rsidRPr="002969C4" w:rsidRDefault="009678D3" w:rsidP="009678D3">
            <w:pPr>
              <w:rPr>
                <w:sz w:val="22"/>
                <w:szCs w:val="22"/>
              </w:rPr>
            </w:pPr>
            <w:r w:rsidRPr="002969C4">
              <w:rPr>
                <w:sz w:val="22"/>
                <w:szCs w:val="22"/>
              </w:rPr>
              <w:t>Material Selecto</w:t>
            </w:r>
          </w:p>
        </w:tc>
        <w:tc>
          <w:tcPr>
            <w:tcW w:w="2112" w:type="dxa"/>
            <w:shd w:val="clear" w:color="auto" w:fill="auto"/>
            <w:vAlign w:val="center"/>
          </w:tcPr>
          <w:p w14:paraId="3FB06ABD" w14:textId="77777777" w:rsidR="009678D3" w:rsidRPr="002969C4" w:rsidRDefault="009678D3" w:rsidP="009678D3">
            <w:pPr>
              <w:rPr>
                <w:sz w:val="22"/>
                <w:szCs w:val="22"/>
              </w:rPr>
            </w:pPr>
          </w:p>
        </w:tc>
      </w:tr>
    </w:tbl>
    <w:p w14:paraId="6A17A50B" w14:textId="77777777" w:rsidR="009678D3" w:rsidRPr="00C84F94" w:rsidRDefault="009678D3" w:rsidP="009678D3">
      <w:pPr>
        <w:rPr>
          <w:sz w:val="16"/>
          <w:szCs w:val="16"/>
        </w:rPr>
      </w:pPr>
    </w:p>
    <w:p w14:paraId="28237E06" w14:textId="77777777" w:rsidR="009678D3" w:rsidRPr="00C84F94" w:rsidRDefault="009678D3" w:rsidP="009678D3">
      <w:pPr>
        <w:rPr>
          <w:b/>
          <w:sz w:val="16"/>
          <w:szCs w:val="16"/>
        </w:rPr>
      </w:pPr>
    </w:p>
    <w:p w14:paraId="74A67CA6" w14:textId="77777777" w:rsidR="009678D3" w:rsidRPr="00E2736C" w:rsidRDefault="009678D3" w:rsidP="009678D3">
      <w:pPr>
        <w:pStyle w:val="Ttulo1"/>
        <w:rPr>
          <w:bCs/>
          <w:iCs/>
          <w:sz w:val="22"/>
          <w:szCs w:val="22"/>
        </w:rPr>
      </w:pPr>
      <w:r w:rsidRPr="00C84F94">
        <w:rPr>
          <w:b w:val="0"/>
          <w:sz w:val="16"/>
          <w:szCs w:val="16"/>
        </w:rPr>
        <w:br w:type="page"/>
      </w:r>
      <w:r w:rsidRPr="00E2736C">
        <w:rPr>
          <w:sz w:val="22"/>
          <w:szCs w:val="22"/>
        </w:rPr>
        <w:lastRenderedPageBreak/>
        <w:t>INSTRUCCIONES ADICIONALES AL CONTRATISTA</w:t>
      </w:r>
    </w:p>
    <w:p w14:paraId="3208EFA8" w14:textId="77777777" w:rsidR="009678D3" w:rsidRPr="00C84F94" w:rsidRDefault="009678D3" w:rsidP="009678D3">
      <w:pPr>
        <w:rPr>
          <w:sz w:val="16"/>
          <w:szCs w:val="16"/>
        </w:rPr>
      </w:pPr>
    </w:p>
    <w:p w14:paraId="1BDEC38B" w14:textId="77777777" w:rsidR="009678D3" w:rsidRPr="00C84F94" w:rsidRDefault="009678D3" w:rsidP="009678D3">
      <w:pPr>
        <w:pBdr>
          <w:top w:val="single" w:sz="4" w:space="1" w:color="auto"/>
          <w:left w:val="single" w:sz="4" w:space="0" w:color="auto"/>
          <w:bottom w:val="single" w:sz="4" w:space="0" w:color="auto"/>
          <w:right w:val="single" w:sz="4" w:space="4" w:color="auto"/>
        </w:pBdr>
        <w:rPr>
          <w:sz w:val="16"/>
          <w:szCs w:val="16"/>
        </w:rPr>
      </w:pPr>
    </w:p>
    <w:p w14:paraId="4C007839"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r w:rsidRPr="00E2736C">
        <w:rPr>
          <w:sz w:val="22"/>
          <w:szCs w:val="22"/>
        </w:rPr>
        <w:fldChar w:fldCharType="begin"/>
      </w:r>
      <w:r w:rsidRPr="00E2736C">
        <w:rPr>
          <w:sz w:val="22"/>
          <w:szCs w:val="22"/>
        </w:rPr>
        <w:instrText xml:space="preserve"> DOCVARIABLE  InstCtista</w:instrText>
      </w:r>
      <w:r w:rsidRPr="00E2736C">
        <w:rPr>
          <w:sz w:val="22"/>
          <w:szCs w:val="22"/>
        </w:rPr>
        <w:fldChar w:fldCharType="separate"/>
      </w:r>
      <w:r>
        <w:rPr>
          <w:sz w:val="22"/>
          <w:szCs w:val="22"/>
        </w:rPr>
        <w:t>En caso de que existan contradicciones en los planos y especificaciones técnicas, el Ingeniero supervisor decidirá tal incongruencia, dejando por escrito en el libro de Bitácora del proyecto, la solución correcta. El contratista debe solicitar por escrito tal decisión antes de empezar cualquier actividad, ya que, si ocurre en obra defectuosas, que castiguen la calidad y seguridad estructural y se compruebe mal intención de su parte, será responsabilidad suya demoler y construir sin costo adicional para elúdelo.</w:t>
      </w:r>
    </w:p>
    <w:p w14:paraId="4910FC8C"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2BB55888"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El contratista no tomará ventaja con cualquier contradicción que hubiere en los planos y en las especificaciones, en este caso el supervisor decidirá la manera más técnica de resolver el caso a favor de la buena ejecución de la obra.</w:t>
      </w:r>
    </w:p>
    <w:p w14:paraId="671232CB"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40338A56"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 xml:space="preserve">El contratista deberá tomar todas las precauciones necesarias para prevenir daños a las estructuras sobre o bajo la tierra y para proteger y preservar la propiedad dentro y adyacente al trabajo. Todo daño causado a terceros e infraestructuras que sea ocasionado por el contratista cuando efectúa los trabajos correrán por cuenta de él. Para evitar estos daños, debe prevenirlos con señales adecuadas, en zanjas con señales luminosas (sean con iluminación mecánica o mechones) estas se encenderán cuando no haya personal trabajando, y cuando no haya visibilidad por oscuridad apangándolas cuando se inicien los trabajos o cuando sea de día.   </w:t>
      </w:r>
    </w:p>
    <w:p w14:paraId="144ED0FF"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2EB4929E"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Además, pondrán señales de prevención con rótulos y letreros que indiquen que hay obreros trabajando. En el caso de la construcción sean edificios se protegerán con cercas provisionales los frentes de las áreas de los predios, para protección de los peatones que transiten por el lugar.  Estas cercas deben de construirse antes de empezar los trabajos y dar seguridad tanto a los obreros como a los peatones.</w:t>
      </w:r>
    </w:p>
    <w:p w14:paraId="606971EA"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484418E4"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A medida que el trabajo progresa, el Contratista deberá quitar del lugar del trabajo toda clase de desperdicios y materiales sobrantes con la finalidad de mantener el área limpia y en condiciones originales. En dicha limpieza el contratista dará prioridad a los requerimientos que el supervisor decida. Al hacer la limpieza y haya que botar materiales de desechos, estos se tienen que botar en los botaderos municipales, siempre y cuando no queden en la orilla de caminos y carreteras, en este caso el lugar lo decidirá el supervisor tomando el consentimiento de la Alcaldía municipal.</w:t>
      </w:r>
    </w:p>
    <w:p w14:paraId="777BB878"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6060C509"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El contratista es responsable por daños de infraestructuras existentes, calles, andenes, tuberías, etc.</w:t>
      </w:r>
    </w:p>
    <w:p w14:paraId="7B73C468"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2342B754"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debe inspeccionar por sus propios medios el tipo y configuración de la localidad, los sitios de la construcción y sus vecindades con el objeto de familiarizarse con todas las condiciones topográficas, suelo, vías de acceso, así como de las condiciones generales que puedan afectar el costo de los trabajos.</w:t>
      </w:r>
    </w:p>
    <w:p w14:paraId="517FDA92"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30F0F0B3"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debe identificar los sitios seleccionados para el emplazamiento de las obras y la disponibilidad de uso de los mismos, si los resultados cumplen con lo establecido en los estudios, se procede a dar continuidad a la ejecución de los trabajos, de lo contrario se suspenderán dándose por entendido la suspensión del contrato.</w:t>
      </w:r>
    </w:p>
    <w:p w14:paraId="264EDED1"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3AC6BEF5"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debe leer y prestar especial atención a lo establecido en el Informe de Investigación de Zona de Obras, en las especificaciones ambientales generales, en las especificaciones técnicas generales y especificaciones técnicas particulares, de las características tecnológicas (catálogos) y cotizaciones de equipos, tuberías, y demás instalaciones a establecerse, adjuntas en las especificaciones técnicas que forman parte de los documentos contractuales., para:</w:t>
      </w:r>
    </w:p>
    <w:p w14:paraId="75989E55"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lastRenderedPageBreak/>
        <w:t xml:space="preserve">a. </w:t>
      </w:r>
      <w:r w:rsidRPr="009C43DE">
        <w:rPr>
          <w:sz w:val="22"/>
          <w:szCs w:val="22"/>
        </w:rPr>
        <w:t>Construir y dejar operando satisfactoriamente el sistema de suministro de agua potable constituido por el Mini acueducto por bombeo eléctrico (MABE). La caseta de control y vigilancia con acabado de paredes con pintura interior y exterior. Incluye cielo raso conforme especificaciones técnicas.</w:t>
      </w:r>
    </w:p>
    <w:p w14:paraId="7AFF2134"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 xml:space="preserve">b. </w:t>
      </w:r>
      <w:r w:rsidRPr="009C43DE">
        <w:rPr>
          <w:sz w:val="22"/>
          <w:szCs w:val="22"/>
        </w:rPr>
        <w:t>Construir y dejar funcionando satisfactoriamente cada unidad unifamiliar de saneamiento integral seleccionada Letrina sencilla.</w:t>
      </w:r>
    </w:p>
    <w:p w14:paraId="28A9D1AF"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Pr>
          <w:sz w:val="22"/>
          <w:szCs w:val="22"/>
        </w:rPr>
        <w:t xml:space="preserve">c. </w:t>
      </w:r>
      <w:r w:rsidRPr="009C43DE">
        <w:rPr>
          <w:sz w:val="22"/>
          <w:szCs w:val="22"/>
        </w:rPr>
        <w:t>Suministrar, instalar y dejar funcionando satisfactoriamente cada lavadero con sistema de eliminación inocua de aguas grises (Pozo de Absorción), en cada unidad unifamiliar de saneamiento integral, para garantizar la promoción de la higiene.</w:t>
      </w:r>
    </w:p>
    <w:p w14:paraId="15DE01EA"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00FC3199"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debe cumplir con lo establecido en el Reglamento Nacional de la Construcción (RNC) vigente, como salvaguarda de la calidad de los procesos constructivos para garantizar la funcionalidad, sostenibilidad y durabilidad de las obras.</w:t>
      </w:r>
    </w:p>
    <w:p w14:paraId="660767E9"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452A51BA"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Por ningún motivo se permitirá que el contratista ejecute obras fuera de lo establecido en los términos contractuales; solamente en casos que la supervisión determine la necesidad de adicionar alguna obra que conlleve a mejorar el funcionamiento del Sistema se deben de incluir siempre y cuando estén avalados por la alcaldía Municipal (Alcalde) y el técnico territorial del FISE.</w:t>
      </w:r>
    </w:p>
    <w:p w14:paraId="038E2A16"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7FF1357A"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Todo incremento en la ejecución del proyecto es asumido por la comunidad y la Alcaldía.</w:t>
      </w:r>
    </w:p>
    <w:p w14:paraId="639D7EF5"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2C1C5DBD"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Las directrices cubren los aspectos relevantes para el suministro de materiales y la preparación de los servicios que se consideran necesarios, para llevar a cabo la construcción de las obras.</w:t>
      </w:r>
    </w:p>
    <w:p w14:paraId="5744E23E"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08A8426A"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no debe alegar omisiones debido a desconocimiento e interpretación errónea de los documentos relacionados al proyecto.</w:t>
      </w:r>
    </w:p>
    <w:p w14:paraId="3A088079"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733582FD"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debe realizar todas las artes aplicables en la sana práctica de la ingeniería para lograr buena calidad de las obras.</w:t>
      </w:r>
    </w:p>
    <w:p w14:paraId="66EF065D" w14:textId="77777777" w:rsidR="009678D3" w:rsidRDefault="009678D3" w:rsidP="009678D3">
      <w:pPr>
        <w:pBdr>
          <w:top w:val="single" w:sz="4" w:space="1" w:color="auto"/>
          <w:left w:val="single" w:sz="4" w:space="0" w:color="auto"/>
          <w:bottom w:val="single" w:sz="4" w:space="0" w:color="auto"/>
          <w:right w:val="single" w:sz="4" w:space="4" w:color="auto"/>
        </w:pBdr>
        <w:rPr>
          <w:sz w:val="22"/>
          <w:szCs w:val="22"/>
        </w:rPr>
      </w:pPr>
    </w:p>
    <w:p w14:paraId="7AD411B2"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Se indica tener especial cuidado con la deposición de los materiales construcción y de los embalajes de cemento cartón, bolsas plásticas para evitar que no se rieguen ya sea por la acción de animales o las persona debido a que no existe un lugar establecido para este tipo de desechos.</w:t>
      </w:r>
    </w:p>
    <w:p w14:paraId="34B7D9CB"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0C2B0B9A"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Si se toma la decisión de quemar los desechos tener especial cuidado de no provocar un incendio que circunda el lugar de construcción por lo está acción requiere vigilancia especial.</w:t>
      </w:r>
    </w:p>
    <w:p w14:paraId="6A68D807"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53347084"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La tierra sobrante de la excavación de los fosos para letrina parte de ella puede ser utilizada como talud en el perímetro del foso de la letrina, sirviendo, así como bordillo natural de protección a la escorrentía y evitando la erosión del foso.</w:t>
      </w:r>
    </w:p>
    <w:p w14:paraId="1DCD47FB"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674F1B5C"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El contratista no debe obviar la naturaleza social del proyecto por lo que se recomienda contratar la mayor cantidad de mano de obra local posible.</w:t>
      </w:r>
    </w:p>
    <w:p w14:paraId="60D97495"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115A6201"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Al momento de la ejecución tanto el Contratista como el Supervisor deben regirse por lo indicado en los planos, alcances, especificaciones técnicas y ambientales y las cláusulas contractuales.</w:t>
      </w:r>
    </w:p>
    <w:p w14:paraId="536E8D17"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p>
    <w:p w14:paraId="53278532" w14:textId="77777777" w:rsidR="009678D3" w:rsidRPr="009C43DE" w:rsidRDefault="009678D3" w:rsidP="009678D3">
      <w:pPr>
        <w:pBdr>
          <w:top w:val="single" w:sz="4" w:space="1" w:color="auto"/>
          <w:left w:val="single" w:sz="4" w:space="0" w:color="auto"/>
          <w:bottom w:val="single" w:sz="4" w:space="0" w:color="auto"/>
          <w:right w:val="single" w:sz="4" w:space="4" w:color="auto"/>
        </w:pBdr>
        <w:rPr>
          <w:sz w:val="22"/>
          <w:szCs w:val="22"/>
        </w:rPr>
      </w:pPr>
      <w:r w:rsidRPr="009C43DE">
        <w:rPr>
          <w:sz w:val="22"/>
          <w:szCs w:val="22"/>
        </w:rPr>
        <w:t>Todos los componentes del proyecto se ejecutan con la participación directa de la comunidad, la Alcaldía y FISE. Esta participación requiere del aporte de cada actor ya sea en especies o efectivo y El contratista debe estar estrechamente coordinado con la Alcaldía y la Comunidad en cuanto a los aportes de la ejecución del proyecto se refiere</w:t>
      </w:r>
      <w:r w:rsidRPr="00E2736C">
        <w:rPr>
          <w:sz w:val="22"/>
          <w:szCs w:val="22"/>
        </w:rPr>
        <w:fldChar w:fldCharType="end"/>
      </w:r>
    </w:p>
    <w:p w14:paraId="2E2DA0D6" w14:textId="77777777" w:rsidR="009678D3" w:rsidRPr="0019755A" w:rsidRDefault="009678D3" w:rsidP="009678D3">
      <w:pPr>
        <w:pStyle w:val="Ttulo2"/>
        <w:jc w:val="both"/>
        <w:rPr>
          <w:rFonts w:eastAsia="Calibri" w:cs="Arial"/>
          <w:color w:val="1F3864" w:themeColor="accent1" w:themeShade="80"/>
          <w:sz w:val="22"/>
          <w:szCs w:val="22"/>
        </w:rPr>
      </w:pPr>
      <w:r w:rsidRPr="0019755A">
        <w:rPr>
          <w:rFonts w:eastAsia="Calibri" w:cs="Arial"/>
          <w:color w:val="1F3864" w:themeColor="accent1" w:themeShade="80"/>
          <w:sz w:val="22"/>
          <w:szCs w:val="22"/>
        </w:rPr>
        <w:lastRenderedPageBreak/>
        <w:t>INDICE DE PLANOS</w:t>
      </w:r>
    </w:p>
    <w:p w14:paraId="27800B22" w14:textId="77777777" w:rsidR="009678D3" w:rsidRPr="00FA7485" w:rsidRDefault="009678D3" w:rsidP="009678D3">
      <w:pPr>
        <w:jc w:val="center"/>
        <w:rPr>
          <w:b/>
          <w:i/>
          <w:szCs w:val="24"/>
        </w:rPr>
      </w:pPr>
      <w:r w:rsidRPr="00FA7485">
        <w:rPr>
          <w:b/>
          <w:i/>
          <w:szCs w:val="24"/>
        </w:rPr>
        <w:t>Proyecto 19886 Agua y Saneamiento Comunidad La Concepción</w:t>
      </w:r>
    </w:p>
    <w:p w14:paraId="7637E593" w14:textId="77777777" w:rsidR="009678D3" w:rsidRDefault="009678D3" w:rsidP="009678D3">
      <w:r>
        <w:rPr>
          <w:noProof/>
          <w:lang w:val="es-MX" w:eastAsia="es-MX"/>
        </w:rPr>
        <w:drawing>
          <wp:anchor distT="0" distB="0" distL="114300" distR="114300" simplePos="0" relativeHeight="251677696" behindDoc="0" locked="0" layoutInCell="1" allowOverlap="1" wp14:anchorId="76E85F1A" wp14:editId="4B95698C">
            <wp:simplePos x="0" y="0"/>
            <wp:positionH relativeFrom="margin">
              <wp:align>left</wp:align>
            </wp:positionH>
            <wp:positionV relativeFrom="paragraph">
              <wp:posOffset>163195</wp:posOffset>
            </wp:positionV>
            <wp:extent cx="5327650" cy="7358380"/>
            <wp:effectExtent l="0" t="0" r="6350" b="0"/>
            <wp:wrapSquare wrapText="bothSides"/>
            <wp:docPr id="21590" name="Imagen 2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327650" cy="735838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596F2A84" w14:textId="77777777" w:rsidR="009678D3" w:rsidRPr="00027DFE" w:rsidRDefault="009678D3" w:rsidP="009678D3">
      <w:pPr>
        <w:jc w:val="center"/>
        <w:rPr>
          <w:b/>
          <w:szCs w:val="24"/>
        </w:rPr>
      </w:pPr>
      <w:r w:rsidRPr="00027DFE">
        <w:rPr>
          <w:b/>
          <w:szCs w:val="24"/>
        </w:rPr>
        <w:lastRenderedPageBreak/>
        <w:t>Proyecto 19962 Agua y Saneamiento comunidad Naranjo Norte</w:t>
      </w:r>
    </w:p>
    <w:p w14:paraId="18BEFC5F" w14:textId="77777777" w:rsidR="009678D3" w:rsidRDefault="009678D3" w:rsidP="009678D3">
      <w:pPr>
        <w:jc w:val="cente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987"/>
        <w:gridCol w:w="6096"/>
      </w:tblGrid>
      <w:tr w:rsidR="009678D3" w:rsidRPr="00247837" w14:paraId="678EF265" w14:textId="77777777" w:rsidTr="009678D3">
        <w:trPr>
          <w:trHeight w:val="432"/>
          <w:jc w:val="center"/>
        </w:trPr>
        <w:tc>
          <w:tcPr>
            <w:tcW w:w="7792" w:type="dxa"/>
            <w:gridSpan w:val="3"/>
            <w:shd w:val="clear" w:color="auto" w:fill="auto"/>
            <w:noWrap/>
            <w:vAlign w:val="bottom"/>
            <w:hideMark/>
          </w:tcPr>
          <w:p w14:paraId="71E489FF" w14:textId="77777777" w:rsidR="009678D3" w:rsidRPr="00247837" w:rsidRDefault="009678D3" w:rsidP="009678D3">
            <w:pPr>
              <w:jc w:val="center"/>
              <w:rPr>
                <w:rFonts w:ascii="Calibri" w:hAnsi="Calibri"/>
                <w:b/>
                <w:bCs/>
                <w:color w:val="000000"/>
                <w:sz w:val="32"/>
                <w:szCs w:val="32"/>
                <w:lang w:eastAsia="es-NI"/>
              </w:rPr>
            </w:pPr>
            <w:r w:rsidRPr="00247837">
              <w:rPr>
                <w:rFonts w:ascii="Calibri" w:hAnsi="Calibri"/>
                <w:b/>
                <w:bCs/>
                <w:color w:val="000000"/>
                <w:sz w:val="32"/>
                <w:szCs w:val="32"/>
                <w:lang w:eastAsia="es-NI"/>
              </w:rPr>
              <w:t>INDICE DE PLANOS</w:t>
            </w:r>
          </w:p>
        </w:tc>
      </w:tr>
      <w:tr w:rsidR="009678D3" w:rsidRPr="00247837" w14:paraId="05A40F25" w14:textId="77777777" w:rsidTr="009678D3">
        <w:trPr>
          <w:trHeight w:val="300"/>
          <w:jc w:val="center"/>
        </w:trPr>
        <w:tc>
          <w:tcPr>
            <w:tcW w:w="1696" w:type="dxa"/>
            <w:gridSpan w:val="2"/>
            <w:shd w:val="clear" w:color="auto" w:fill="auto"/>
            <w:noWrap/>
            <w:vAlign w:val="bottom"/>
            <w:hideMark/>
          </w:tcPr>
          <w:p w14:paraId="71F60925" w14:textId="77777777" w:rsidR="009678D3" w:rsidRPr="00247837" w:rsidRDefault="009678D3" w:rsidP="009678D3">
            <w:pPr>
              <w:jc w:val="center"/>
              <w:rPr>
                <w:rFonts w:ascii="Calibri" w:hAnsi="Calibri"/>
                <w:b/>
                <w:bCs/>
                <w:color w:val="000000"/>
                <w:lang w:eastAsia="es-NI"/>
              </w:rPr>
            </w:pPr>
            <w:r w:rsidRPr="00247837">
              <w:rPr>
                <w:rFonts w:ascii="Calibri" w:hAnsi="Calibri"/>
                <w:b/>
                <w:bCs/>
                <w:color w:val="000000"/>
                <w:lang w:eastAsia="es-NI"/>
              </w:rPr>
              <w:t>Consecutivo</w:t>
            </w:r>
          </w:p>
        </w:tc>
        <w:tc>
          <w:tcPr>
            <w:tcW w:w="6096" w:type="dxa"/>
            <w:shd w:val="clear" w:color="auto" w:fill="auto"/>
            <w:noWrap/>
            <w:vAlign w:val="bottom"/>
            <w:hideMark/>
          </w:tcPr>
          <w:p w14:paraId="06C9C555" w14:textId="77777777" w:rsidR="009678D3" w:rsidRPr="00247837" w:rsidRDefault="009678D3" w:rsidP="009678D3">
            <w:pPr>
              <w:jc w:val="center"/>
              <w:rPr>
                <w:rFonts w:ascii="Calibri" w:hAnsi="Calibri"/>
                <w:b/>
                <w:bCs/>
                <w:color w:val="000000"/>
                <w:lang w:eastAsia="es-NI"/>
              </w:rPr>
            </w:pPr>
            <w:r w:rsidRPr="00247837">
              <w:rPr>
                <w:rFonts w:ascii="Calibri" w:hAnsi="Calibri"/>
                <w:b/>
                <w:bCs/>
                <w:color w:val="000000"/>
                <w:lang w:eastAsia="es-NI"/>
              </w:rPr>
              <w:t>Contenido</w:t>
            </w:r>
          </w:p>
        </w:tc>
      </w:tr>
      <w:tr w:rsidR="009678D3" w:rsidRPr="00247837" w14:paraId="5C3FE9E3" w14:textId="77777777" w:rsidTr="009678D3">
        <w:trPr>
          <w:trHeight w:val="288"/>
          <w:jc w:val="center"/>
        </w:trPr>
        <w:tc>
          <w:tcPr>
            <w:tcW w:w="709" w:type="dxa"/>
            <w:shd w:val="clear" w:color="auto" w:fill="auto"/>
            <w:noWrap/>
            <w:hideMark/>
          </w:tcPr>
          <w:p w14:paraId="01E5B9F0"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w:t>
            </w:r>
          </w:p>
        </w:tc>
        <w:tc>
          <w:tcPr>
            <w:tcW w:w="987" w:type="dxa"/>
            <w:shd w:val="clear" w:color="auto" w:fill="auto"/>
            <w:noWrap/>
            <w:hideMark/>
          </w:tcPr>
          <w:p w14:paraId="651AE834" w14:textId="77777777" w:rsidR="009678D3" w:rsidRPr="00247837" w:rsidRDefault="009678D3" w:rsidP="009678D3">
            <w:pPr>
              <w:jc w:val="center"/>
              <w:rPr>
                <w:rFonts w:ascii="Calibri" w:hAnsi="Calibri"/>
                <w:color w:val="000000"/>
                <w:lang w:eastAsia="es-NI"/>
              </w:rPr>
            </w:pPr>
            <w:r>
              <w:rPr>
                <w:rFonts w:ascii="Calibri" w:hAnsi="Calibri"/>
                <w:color w:val="000000"/>
                <w:lang w:eastAsia="es-NI"/>
              </w:rPr>
              <w:t>28</w:t>
            </w:r>
          </w:p>
        </w:tc>
        <w:tc>
          <w:tcPr>
            <w:tcW w:w="6096" w:type="dxa"/>
            <w:shd w:val="clear" w:color="auto" w:fill="auto"/>
            <w:noWrap/>
            <w:vAlign w:val="bottom"/>
            <w:hideMark/>
          </w:tcPr>
          <w:p w14:paraId="544AFFB0"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Carátula</w:t>
            </w:r>
          </w:p>
        </w:tc>
      </w:tr>
      <w:tr w:rsidR="009678D3" w:rsidRPr="00247837" w14:paraId="4E9ED7BD" w14:textId="77777777" w:rsidTr="009678D3">
        <w:trPr>
          <w:trHeight w:val="288"/>
          <w:jc w:val="center"/>
        </w:trPr>
        <w:tc>
          <w:tcPr>
            <w:tcW w:w="709" w:type="dxa"/>
            <w:shd w:val="clear" w:color="auto" w:fill="auto"/>
            <w:noWrap/>
            <w:hideMark/>
          </w:tcPr>
          <w:p w14:paraId="1AFC9956"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w:t>
            </w:r>
          </w:p>
        </w:tc>
        <w:tc>
          <w:tcPr>
            <w:tcW w:w="987" w:type="dxa"/>
            <w:shd w:val="clear" w:color="auto" w:fill="auto"/>
            <w:noWrap/>
            <w:hideMark/>
          </w:tcPr>
          <w:p w14:paraId="679332FC"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1517D6F9"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 xml:space="preserve">Plano Situación sin Proyecto </w:t>
            </w:r>
          </w:p>
        </w:tc>
      </w:tr>
      <w:tr w:rsidR="009678D3" w:rsidRPr="00247837" w14:paraId="562C9C45" w14:textId="77777777" w:rsidTr="009678D3">
        <w:trPr>
          <w:trHeight w:val="288"/>
          <w:jc w:val="center"/>
        </w:trPr>
        <w:tc>
          <w:tcPr>
            <w:tcW w:w="709" w:type="dxa"/>
            <w:shd w:val="clear" w:color="auto" w:fill="auto"/>
            <w:noWrap/>
            <w:hideMark/>
          </w:tcPr>
          <w:p w14:paraId="3EC739DD"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3</w:t>
            </w:r>
          </w:p>
        </w:tc>
        <w:tc>
          <w:tcPr>
            <w:tcW w:w="987" w:type="dxa"/>
            <w:shd w:val="clear" w:color="auto" w:fill="auto"/>
            <w:noWrap/>
            <w:hideMark/>
          </w:tcPr>
          <w:p w14:paraId="7C03A2B5"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3285E846"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 xml:space="preserve">Plano Situación con proyecto </w:t>
            </w:r>
          </w:p>
        </w:tc>
      </w:tr>
      <w:tr w:rsidR="009678D3" w:rsidRPr="00247837" w14:paraId="68D57245" w14:textId="77777777" w:rsidTr="009678D3">
        <w:trPr>
          <w:trHeight w:val="288"/>
          <w:jc w:val="center"/>
        </w:trPr>
        <w:tc>
          <w:tcPr>
            <w:tcW w:w="709" w:type="dxa"/>
            <w:shd w:val="clear" w:color="auto" w:fill="auto"/>
            <w:noWrap/>
            <w:hideMark/>
          </w:tcPr>
          <w:p w14:paraId="0873F0EA"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4</w:t>
            </w:r>
          </w:p>
        </w:tc>
        <w:tc>
          <w:tcPr>
            <w:tcW w:w="987" w:type="dxa"/>
            <w:shd w:val="clear" w:color="auto" w:fill="auto"/>
            <w:noWrap/>
            <w:hideMark/>
          </w:tcPr>
          <w:p w14:paraId="62EDFF6C"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5F6CB7D6"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topográfico</w:t>
            </w:r>
          </w:p>
        </w:tc>
      </w:tr>
      <w:tr w:rsidR="009678D3" w:rsidRPr="00247837" w14:paraId="31F63EE8" w14:textId="77777777" w:rsidTr="009678D3">
        <w:trPr>
          <w:trHeight w:val="288"/>
          <w:jc w:val="center"/>
        </w:trPr>
        <w:tc>
          <w:tcPr>
            <w:tcW w:w="709" w:type="dxa"/>
            <w:shd w:val="clear" w:color="auto" w:fill="auto"/>
            <w:noWrap/>
            <w:hideMark/>
          </w:tcPr>
          <w:p w14:paraId="5F8D9FA0"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5</w:t>
            </w:r>
          </w:p>
        </w:tc>
        <w:tc>
          <w:tcPr>
            <w:tcW w:w="987" w:type="dxa"/>
            <w:shd w:val="clear" w:color="auto" w:fill="auto"/>
            <w:noWrap/>
            <w:hideMark/>
          </w:tcPr>
          <w:p w14:paraId="57319FCE"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25CC8425"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topográfico</w:t>
            </w:r>
          </w:p>
        </w:tc>
      </w:tr>
      <w:tr w:rsidR="009678D3" w:rsidRPr="00247837" w14:paraId="78370897" w14:textId="77777777" w:rsidTr="009678D3">
        <w:trPr>
          <w:trHeight w:val="288"/>
          <w:jc w:val="center"/>
        </w:trPr>
        <w:tc>
          <w:tcPr>
            <w:tcW w:w="709" w:type="dxa"/>
            <w:shd w:val="clear" w:color="auto" w:fill="auto"/>
            <w:noWrap/>
            <w:hideMark/>
          </w:tcPr>
          <w:p w14:paraId="4ED81E5A"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6</w:t>
            </w:r>
          </w:p>
        </w:tc>
        <w:tc>
          <w:tcPr>
            <w:tcW w:w="987" w:type="dxa"/>
            <w:shd w:val="clear" w:color="auto" w:fill="auto"/>
            <w:noWrap/>
            <w:hideMark/>
          </w:tcPr>
          <w:p w14:paraId="541134E4"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3326F2A2"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topográfico</w:t>
            </w:r>
          </w:p>
        </w:tc>
      </w:tr>
      <w:tr w:rsidR="009678D3" w:rsidRPr="00247837" w14:paraId="54296585" w14:textId="77777777" w:rsidTr="009678D3">
        <w:trPr>
          <w:trHeight w:val="288"/>
          <w:jc w:val="center"/>
        </w:trPr>
        <w:tc>
          <w:tcPr>
            <w:tcW w:w="709" w:type="dxa"/>
            <w:shd w:val="clear" w:color="auto" w:fill="auto"/>
            <w:noWrap/>
            <w:hideMark/>
          </w:tcPr>
          <w:p w14:paraId="72517D97"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7</w:t>
            </w:r>
          </w:p>
        </w:tc>
        <w:tc>
          <w:tcPr>
            <w:tcW w:w="987" w:type="dxa"/>
            <w:shd w:val="clear" w:color="auto" w:fill="auto"/>
            <w:noWrap/>
            <w:hideMark/>
          </w:tcPr>
          <w:p w14:paraId="3B4C0A0F"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6F2AB332"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topográfico</w:t>
            </w:r>
          </w:p>
        </w:tc>
      </w:tr>
      <w:tr w:rsidR="009678D3" w:rsidRPr="00247837" w14:paraId="3B361706" w14:textId="77777777" w:rsidTr="009678D3">
        <w:trPr>
          <w:trHeight w:val="288"/>
          <w:jc w:val="center"/>
        </w:trPr>
        <w:tc>
          <w:tcPr>
            <w:tcW w:w="709" w:type="dxa"/>
            <w:shd w:val="clear" w:color="auto" w:fill="auto"/>
            <w:noWrap/>
            <w:hideMark/>
          </w:tcPr>
          <w:p w14:paraId="53288FEF"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8</w:t>
            </w:r>
          </w:p>
        </w:tc>
        <w:tc>
          <w:tcPr>
            <w:tcW w:w="987" w:type="dxa"/>
            <w:shd w:val="clear" w:color="auto" w:fill="auto"/>
            <w:noWrap/>
            <w:hideMark/>
          </w:tcPr>
          <w:p w14:paraId="56269DE3"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2283F40B"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línea de conducción</w:t>
            </w:r>
          </w:p>
        </w:tc>
      </w:tr>
      <w:tr w:rsidR="009678D3" w:rsidRPr="00247837" w14:paraId="4842CE4F" w14:textId="77777777" w:rsidTr="009678D3">
        <w:trPr>
          <w:trHeight w:val="288"/>
          <w:jc w:val="center"/>
        </w:trPr>
        <w:tc>
          <w:tcPr>
            <w:tcW w:w="709" w:type="dxa"/>
            <w:shd w:val="clear" w:color="auto" w:fill="auto"/>
            <w:noWrap/>
            <w:hideMark/>
          </w:tcPr>
          <w:p w14:paraId="251E1088"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9</w:t>
            </w:r>
          </w:p>
        </w:tc>
        <w:tc>
          <w:tcPr>
            <w:tcW w:w="987" w:type="dxa"/>
            <w:shd w:val="clear" w:color="auto" w:fill="auto"/>
            <w:noWrap/>
            <w:hideMark/>
          </w:tcPr>
          <w:p w14:paraId="0D6CF299"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27A38C1C"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línea de conducción</w:t>
            </w:r>
          </w:p>
        </w:tc>
      </w:tr>
      <w:tr w:rsidR="009678D3" w:rsidRPr="00247837" w14:paraId="72AC5E94" w14:textId="77777777" w:rsidTr="009678D3">
        <w:trPr>
          <w:trHeight w:val="288"/>
          <w:jc w:val="center"/>
        </w:trPr>
        <w:tc>
          <w:tcPr>
            <w:tcW w:w="709" w:type="dxa"/>
            <w:shd w:val="clear" w:color="auto" w:fill="auto"/>
            <w:noWrap/>
            <w:hideMark/>
          </w:tcPr>
          <w:p w14:paraId="45F1991F"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10</w:t>
            </w:r>
          </w:p>
        </w:tc>
        <w:tc>
          <w:tcPr>
            <w:tcW w:w="987" w:type="dxa"/>
            <w:shd w:val="clear" w:color="auto" w:fill="auto"/>
            <w:noWrap/>
            <w:hideMark/>
          </w:tcPr>
          <w:p w14:paraId="608C0DBB"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77F7A61B"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 xml:space="preserve">Plano de Red de Distribución </w:t>
            </w:r>
          </w:p>
        </w:tc>
      </w:tr>
      <w:tr w:rsidR="009678D3" w:rsidRPr="00247837" w14:paraId="23BABB8C" w14:textId="77777777" w:rsidTr="009678D3">
        <w:trPr>
          <w:trHeight w:val="288"/>
          <w:jc w:val="center"/>
        </w:trPr>
        <w:tc>
          <w:tcPr>
            <w:tcW w:w="709" w:type="dxa"/>
            <w:shd w:val="clear" w:color="auto" w:fill="auto"/>
            <w:noWrap/>
            <w:hideMark/>
          </w:tcPr>
          <w:p w14:paraId="59B54EDF"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11</w:t>
            </w:r>
          </w:p>
        </w:tc>
        <w:tc>
          <w:tcPr>
            <w:tcW w:w="987" w:type="dxa"/>
            <w:shd w:val="clear" w:color="auto" w:fill="auto"/>
            <w:noWrap/>
            <w:hideMark/>
          </w:tcPr>
          <w:p w14:paraId="1B9FABA3"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578851E6"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Red de Distribución</w:t>
            </w:r>
          </w:p>
        </w:tc>
      </w:tr>
      <w:tr w:rsidR="009678D3" w:rsidRPr="00247837" w14:paraId="69A46A21" w14:textId="77777777" w:rsidTr="009678D3">
        <w:trPr>
          <w:trHeight w:val="288"/>
          <w:jc w:val="center"/>
        </w:trPr>
        <w:tc>
          <w:tcPr>
            <w:tcW w:w="709" w:type="dxa"/>
            <w:shd w:val="clear" w:color="auto" w:fill="auto"/>
            <w:noWrap/>
            <w:hideMark/>
          </w:tcPr>
          <w:p w14:paraId="4DB9BF47"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12</w:t>
            </w:r>
          </w:p>
        </w:tc>
        <w:tc>
          <w:tcPr>
            <w:tcW w:w="987" w:type="dxa"/>
            <w:shd w:val="clear" w:color="auto" w:fill="auto"/>
            <w:noWrap/>
            <w:hideMark/>
          </w:tcPr>
          <w:p w14:paraId="69EBE354"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197CF3DF"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Red de Distribución</w:t>
            </w:r>
          </w:p>
        </w:tc>
      </w:tr>
      <w:tr w:rsidR="009678D3" w:rsidRPr="00247837" w14:paraId="45749DA0" w14:textId="77777777" w:rsidTr="009678D3">
        <w:trPr>
          <w:trHeight w:val="288"/>
          <w:jc w:val="center"/>
        </w:trPr>
        <w:tc>
          <w:tcPr>
            <w:tcW w:w="709" w:type="dxa"/>
            <w:shd w:val="clear" w:color="auto" w:fill="auto"/>
            <w:noWrap/>
            <w:hideMark/>
          </w:tcPr>
          <w:p w14:paraId="63887610"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13</w:t>
            </w:r>
          </w:p>
        </w:tc>
        <w:tc>
          <w:tcPr>
            <w:tcW w:w="987" w:type="dxa"/>
            <w:shd w:val="clear" w:color="auto" w:fill="auto"/>
            <w:noWrap/>
            <w:hideMark/>
          </w:tcPr>
          <w:p w14:paraId="05262A3E"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242F4B9D"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Red de Distribución</w:t>
            </w:r>
          </w:p>
        </w:tc>
      </w:tr>
      <w:tr w:rsidR="009678D3" w:rsidRPr="00247837" w14:paraId="6604B780" w14:textId="77777777" w:rsidTr="009678D3">
        <w:trPr>
          <w:trHeight w:val="288"/>
          <w:jc w:val="center"/>
        </w:trPr>
        <w:tc>
          <w:tcPr>
            <w:tcW w:w="709" w:type="dxa"/>
            <w:shd w:val="clear" w:color="auto" w:fill="auto"/>
            <w:noWrap/>
            <w:hideMark/>
          </w:tcPr>
          <w:p w14:paraId="25CFE9EE"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14</w:t>
            </w:r>
          </w:p>
        </w:tc>
        <w:tc>
          <w:tcPr>
            <w:tcW w:w="987" w:type="dxa"/>
            <w:shd w:val="clear" w:color="auto" w:fill="auto"/>
            <w:noWrap/>
            <w:hideMark/>
          </w:tcPr>
          <w:p w14:paraId="344E0B08"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hideMark/>
          </w:tcPr>
          <w:p w14:paraId="3109F4E5"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Predio de captación</w:t>
            </w:r>
          </w:p>
        </w:tc>
      </w:tr>
      <w:tr w:rsidR="009678D3" w:rsidRPr="00247837" w14:paraId="5D45625D" w14:textId="77777777" w:rsidTr="009678D3">
        <w:trPr>
          <w:trHeight w:val="235"/>
          <w:jc w:val="center"/>
        </w:trPr>
        <w:tc>
          <w:tcPr>
            <w:tcW w:w="709" w:type="dxa"/>
            <w:shd w:val="clear" w:color="auto" w:fill="auto"/>
            <w:noWrap/>
            <w:hideMark/>
          </w:tcPr>
          <w:p w14:paraId="5E00A02F"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15</w:t>
            </w:r>
          </w:p>
        </w:tc>
        <w:tc>
          <w:tcPr>
            <w:tcW w:w="987" w:type="dxa"/>
            <w:shd w:val="clear" w:color="auto" w:fill="auto"/>
            <w:noWrap/>
            <w:hideMark/>
          </w:tcPr>
          <w:p w14:paraId="590E207C"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vAlign w:val="bottom"/>
            <w:hideMark/>
          </w:tcPr>
          <w:p w14:paraId="0E012717"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predio de Planta de tratamiento y Tanque de almacenamiento</w:t>
            </w:r>
          </w:p>
        </w:tc>
      </w:tr>
      <w:tr w:rsidR="009678D3" w:rsidRPr="00247837" w14:paraId="3595DBF1" w14:textId="77777777" w:rsidTr="009678D3">
        <w:trPr>
          <w:trHeight w:val="288"/>
          <w:jc w:val="center"/>
        </w:trPr>
        <w:tc>
          <w:tcPr>
            <w:tcW w:w="709" w:type="dxa"/>
            <w:shd w:val="clear" w:color="auto" w:fill="auto"/>
            <w:noWrap/>
          </w:tcPr>
          <w:p w14:paraId="49DB6ECA"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16</w:t>
            </w:r>
          </w:p>
        </w:tc>
        <w:tc>
          <w:tcPr>
            <w:tcW w:w="987" w:type="dxa"/>
            <w:shd w:val="clear" w:color="auto" w:fill="auto"/>
            <w:noWrap/>
          </w:tcPr>
          <w:p w14:paraId="02360F88"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6EFE8735" w14:textId="77777777" w:rsidR="009678D3" w:rsidRPr="00247837" w:rsidRDefault="009678D3" w:rsidP="009678D3">
            <w:pPr>
              <w:rPr>
                <w:rFonts w:ascii="Calibri" w:hAnsi="Calibri"/>
                <w:color w:val="000000"/>
                <w:lang w:eastAsia="es-NI"/>
              </w:rPr>
            </w:pPr>
            <w:r>
              <w:rPr>
                <w:rFonts w:ascii="Calibri" w:hAnsi="Calibri"/>
                <w:color w:val="000000"/>
                <w:lang w:eastAsia="es-NI"/>
              </w:rPr>
              <w:t>Plano de tanque</w:t>
            </w:r>
          </w:p>
        </w:tc>
      </w:tr>
      <w:tr w:rsidR="009678D3" w:rsidRPr="00247837" w14:paraId="31518D53" w14:textId="77777777" w:rsidTr="009678D3">
        <w:trPr>
          <w:trHeight w:val="288"/>
          <w:jc w:val="center"/>
        </w:trPr>
        <w:tc>
          <w:tcPr>
            <w:tcW w:w="709" w:type="dxa"/>
            <w:shd w:val="clear" w:color="auto" w:fill="auto"/>
            <w:noWrap/>
          </w:tcPr>
          <w:p w14:paraId="5123754E"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17</w:t>
            </w:r>
          </w:p>
        </w:tc>
        <w:tc>
          <w:tcPr>
            <w:tcW w:w="987" w:type="dxa"/>
            <w:shd w:val="clear" w:color="auto" w:fill="auto"/>
            <w:noWrap/>
          </w:tcPr>
          <w:p w14:paraId="5858197C"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vAlign w:val="bottom"/>
          </w:tcPr>
          <w:p w14:paraId="46D69651"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Obra de Captación</w:t>
            </w:r>
          </w:p>
        </w:tc>
      </w:tr>
      <w:tr w:rsidR="009678D3" w:rsidRPr="00247837" w14:paraId="545D0D24" w14:textId="77777777" w:rsidTr="009678D3">
        <w:trPr>
          <w:trHeight w:val="288"/>
          <w:jc w:val="center"/>
        </w:trPr>
        <w:tc>
          <w:tcPr>
            <w:tcW w:w="709" w:type="dxa"/>
            <w:shd w:val="clear" w:color="auto" w:fill="auto"/>
            <w:noWrap/>
          </w:tcPr>
          <w:p w14:paraId="20A77236"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18</w:t>
            </w:r>
          </w:p>
        </w:tc>
        <w:tc>
          <w:tcPr>
            <w:tcW w:w="987" w:type="dxa"/>
            <w:shd w:val="clear" w:color="auto" w:fill="auto"/>
            <w:noWrap/>
          </w:tcPr>
          <w:p w14:paraId="52D538EA"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vAlign w:val="bottom"/>
          </w:tcPr>
          <w:p w14:paraId="58F544CB"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PTAP-Plano de Conjunto</w:t>
            </w:r>
          </w:p>
        </w:tc>
      </w:tr>
      <w:tr w:rsidR="009678D3" w:rsidRPr="00247837" w14:paraId="3862FF78" w14:textId="77777777" w:rsidTr="009678D3">
        <w:trPr>
          <w:trHeight w:val="288"/>
          <w:jc w:val="center"/>
        </w:trPr>
        <w:tc>
          <w:tcPr>
            <w:tcW w:w="709" w:type="dxa"/>
            <w:shd w:val="clear" w:color="auto" w:fill="auto"/>
            <w:noWrap/>
          </w:tcPr>
          <w:p w14:paraId="10CDFF6A"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19</w:t>
            </w:r>
          </w:p>
        </w:tc>
        <w:tc>
          <w:tcPr>
            <w:tcW w:w="987" w:type="dxa"/>
            <w:shd w:val="clear" w:color="auto" w:fill="auto"/>
            <w:noWrap/>
          </w:tcPr>
          <w:p w14:paraId="49CC371C"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vAlign w:val="bottom"/>
          </w:tcPr>
          <w:p w14:paraId="3A6B1074"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PTAP-Torre de aireación</w:t>
            </w:r>
          </w:p>
        </w:tc>
      </w:tr>
      <w:tr w:rsidR="009678D3" w:rsidRPr="00247837" w14:paraId="34F694FF" w14:textId="77777777" w:rsidTr="009678D3">
        <w:trPr>
          <w:trHeight w:val="288"/>
          <w:jc w:val="center"/>
        </w:trPr>
        <w:tc>
          <w:tcPr>
            <w:tcW w:w="709" w:type="dxa"/>
            <w:shd w:val="clear" w:color="auto" w:fill="auto"/>
            <w:noWrap/>
          </w:tcPr>
          <w:p w14:paraId="48EF6374"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20</w:t>
            </w:r>
          </w:p>
        </w:tc>
        <w:tc>
          <w:tcPr>
            <w:tcW w:w="987" w:type="dxa"/>
            <w:shd w:val="clear" w:color="auto" w:fill="auto"/>
            <w:noWrap/>
          </w:tcPr>
          <w:p w14:paraId="22C73036"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vAlign w:val="bottom"/>
          </w:tcPr>
          <w:p w14:paraId="4E913DA4"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PTAP-Detalles de Decantador</w:t>
            </w:r>
          </w:p>
        </w:tc>
      </w:tr>
      <w:tr w:rsidR="009678D3" w:rsidRPr="00247837" w14:paraId="211FECC9" w14:textId="77777777" w:rsidTr="009678D3">
        <w:trPr>
          <w:trHeight w:val="288"/>
          <w:jc w:val="center"/>
        </w:trPr>
        <w:tc>
          <w:tcPr>
            <w:tcW w:w="709" w:type="dxa"/>
            <w:shd w:val="clear" w:color="auto" w:fill="auto"/>
            <w:noWrap/>
          </w:tcPr>
          <w:p w14:paraId="72BEBAFF"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21</w:t>
            </w:r>
          </w:p>
        </w:tc>
        <w:tc>
          <w:tcPr>
            <w:tcW w:w="987" w:type="dxa"/>
            <w:shd w:val="clear" w:color="auto" w:fill="auto"/>
            <w:noWrap/>
          </w:tcPr>
          <w:p w14:paraId="1A18C9F7"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4408CFFD"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PTAP-Detalles de FLA</w:t>
            </w:r>
          </w:p>
        </w:tc>
      </w:tr>
      <w:tr w:rsidR="009678D3" w:rsidRPr="00247837" w14:paraId="4E241D72" w14:textId="77777777" w:rsidTr="009678D3">
        <w:trPr>
          <w:trHeight w:val="288"/>
          <w:jc w:val="center"/>
        </w:trPr>
        <w:tc>
          <w:tcPr>
            <w:tcW w:w="709" w:type="dxa"/>
            <w:shd w:val="clear" w:color="auto" w:fill="auto"/>
            <w:noWrap/>
          </w:tcPr>
          <w:p w14:paraId="60CBA69F"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22</w:t>
            </w:r>
          </w:p>
        </w:tc>
        <w:tc>
          <w:tcPr>
            <w:tcW w:w="987" w:type="dxa"/>
            <w:shd w:val="clear" w:color="auto" w:fill="auto"/>
            <w:noWrap/>
          </w:tcPr>
          <w:p w14:paraId="7FC40629"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1E2D6262"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Detalles Generales</w:t>
            </w:r>
          </w:p>
        </w:tc>
      </w:tr>
      <w:tr w:rsidR="009678D3" w:rsidRPr="00247837" w14:paraId="2274676F" w14:textId="77777777" w:rsidTr="009678D3">
        <w:trPr>
          <w:trHeight w:val="288"/>
          <w:jc w:val="center"/>
        </w:trPr>
        <w:tc>
          <w:tcPr>
            <w:tcW w:w="709" w:type="dxa"/>
            <w:shd w:val="clear" w:color="auto" w:fill="auto"/>
            <w:noWrap/>
          </w:tcPr>
          <w:p w14:paraId="5A8A8211"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23</w:t>
            </w:r>
          </w:p>
        </w:tc>
        <w:tc>
          <w:tcPr>
            <w:tcW w:w="987" w:type="dxa"/>
            <w:shd w:val="clear" w:color="auto" w:fill="auto"/>
            <w:noWrap/>
          </w:tcPr>
          <w:p w14:paraId="0EACB659"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12DC2497"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Puesto Público</w:t>
            </w:r>
          </w:p>
        </w:tc>
      </w:tr>
      <w:tr w:rsidR="009678D3" w:rsidRPr="00247837" w14:paraId="74ED96A9" w14:textId="77777777" w:rsidTr="009678D3">
        <w:trPr>
          <w:trHeight w:val="288"/>
          <w:jc w:val="center"/>
        </w:trPr>
        <w:tc>
          <w:tcPr>
            <w:tcW w:w="709" w:type="dxa"/>
            <w:shd w:val="clear" w:color="auto" w:fill="auto"/>
            <w:noWrap/>
          </w:tcPr>
          <w:p w14:paraId="66B0D81A"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24</w:t>
            </w:r>
          </w:p>
        </w:tc>
        <w:tc>
          <w:tcPr>
            <w:tcW w:w="987" w:type="dxa"/>
            <w:shd w:val="clear" w:color="auto" w:fill="auto"/>
            <w:noWrap/>
          </w:tcPr>
          <w:p w14:paraId="295F41ED"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4670EAD4"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Lavadero y Cerco</w:t>
            </w:r>
          </w:p>
        </w:tc>
      </w:tr>
      <w:tr w:rsidR="009678D3" w:rsidRPr="00247837" w14:paraId="1A072817" w14:textId="77777777" w:rsidTr="009678D3">
        <w:trPr>
          <w:trHeight w:val="288"/>
          <w:jc w:val="center"/>
        </w:trPr>
        <w:tc>
          <w:tcPr>
            <w:tcW w:w="709" w:type="dxa"/>
            <w:shd w:val="clear" w:color="auto" w:fill="auto"/>
            <w:noWrap/>
          </w:tcPr>
          <w:p w14:paraId="59B9D4D1"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25</w:t>
            </w:r>
          </w:p>
        </w:tc>
        <w:tc>
          <w:tcPr>
            <w:tcW w:w="987" w:type="dxa"/>
            <w:shd w:val="clear" w:color="auto" w:fill="auto"/>
            <w:noWrap/>
          </w:tcPr>
          <w:p w14:paraId="492646D8"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5C789C0B"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Letrinas con revestimiento</w:t>
            </w:r>
          </w:p>
        </w:tc>
      </w:tr>
      <w:tr w:rsidR="009678D3" w:rsidRPr="00247837" w14:paraId="6D2821F5" w14:textId="77777777" w:rsidTr="009678D3">
        <w:trPr>
          <w:trHeight w:val="288"/>
          <w:jc w:val="center"/>
        </w:trPr>
        <w:tc>
          <w:tcPr>
            <w:tcW w:w="709" w:type="dxa"/>
            <w:shd w:val="clear" w:color="auto" w:fill="auto"/>
            <w:noWrap/>
          </w:tcPr>
          <w:p w14:paraId="1F99C8E2" w14:textId="77777777" w:rsidR="009678D3" w:rsidRPr="00247837" w:rsidRDefault="009678D3" w:rsidP="009678D3">
            <w:pPr>
              <w:jc w:val="center"/>
              <w:rPr>
                <w:rFonts w:ascii="Calibri" w:hAnsi="Calibri"/>
                <w:color w:val="000000"/>
                <w:lang w:eastAsia="es-NI"/>
              </w:rPr>
            </w:pPr>
            <w:r w:rsidRPr="00247837">
              <w:rPr>
                <w:rFonts w:ascii="Calibri" w:hAnsi="Calibri"/>
                <w:color w:val="000000"/>
                <w:lang w:eastAsia="es-NI"/>
              </w:rPr>
              <w:t>26</w:t>
            </w:r>
          </w:p>
        </w:tc>
        <w:tc>
          <w:tcPr>
            <w:tcW w:w="987" w:type="dxa"/>
            <w:shd w:val="clear" w:color="auto" w:fill="auto"/>
            <w:noWrap/>
          </w:tcPr>
          <w:p w14:paraId="69BC475D"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770A9CA3"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Ubicación de Beneficiarios 1/2</w:t>
            </w:r>
          </w:p>
        </w:tc>
      </w:tr>
      <w:tr w:rsidR="009678D3" w:rsidRPr="00247837" w14:paraId="305DBE37" w14:textId="77777777" w:rsidTr="009678D3">
        <w:trPr>
          <w:trHeight w:val="57"/>
          <w:jc w:val="center"/>
        </w:trPr>
        <w:tc>
          <w:tcPr>
            <w:tcW w:w="709" w:type="dxa"/>
            <w:shd w:val="clear" w:color="auto" w:fill="auto"/>
            <w:noWrap/>
          </w:tcPr>
          <w:p w14:paraId="37ABA0E0" w14:textId="77777777" w:rsidR="009678D3" w:rsidRPr="00247837" w:rsidRDefault="009678D3" w:rsidP="009678D3">
            <w:pPr>
              <w:jc w:val="center"/>
              <w:rPr>
                <w:rFonts w:ascii="Calibri" w:hAnsi="Calibri"/>
                <w:color w:val="000000"/>
                <w:lang w:eastAsia="es-NI"/>
              </w:rPr>
            </w:pPr>
            <w:r>
              <w:rPr>
                <w:rFonts w:ascii="Calibri" w:hAnsi="Calibri"/>
                <w:color w:val="000000"/>
                <w:lang w:eastAsia="es-NI"/>
              </w:rPr>
              <w:t>27</w:t>
            </w:r>
          </w:p>
        </w:tc>
        <w:tc>
          <w:tcPr>
            <w:tcW w:w="987" w:type="dxa"/>
            <w:shd w:val="clear" w:color="auto" w:fill="auto"/>
            <w:noWrap/>
          </w:tcPr>
          <w:p w14:paraId="4E47885E" w14:textId="77777777" w:rsidR="009678D3" w:rsidRPr="00431EFE" w:rsidRDefault="009678D3" w:rsidP="009678D3">
            <w:pPr>
              <w:jc w:val="center"/>
              <w:rPr>
                <w:rFonts w:ascii="Calibri" w:hAnsi="Calibri"/>
                <w:color w:val="000000"/>
                <w:lang w:eastAsia="es-NI"/>
              </w:rPr>
            </w:pPr>
            <w:r w:rsidRPr="00B3511A">
              <w:rPr>
                <w:rFonts w:ascii="Calibri" w:hAnsi="Calibri"/>
                <w:color w:val="000000"/>
                <w:lang w:eastAsia="es-NI"/>
              </w:rPr>
              <w:t>28</w:t>
            </w:r>
          </w:p>
        </w:tc>
        <w:tc>
          <w:tcPr>
            <w:tcW w:w="6096" w:type="dxa"/>
            <w:shd w:val="clear" w:color="auto" w:fill="auto"/>
            <w:noWrap/>
            <w:vAlign w:val="bottom"/>
          </w:tcPr>
          <w:p w14:paraId="29475392" w14:textId="77777777" w:rsidR="009678D3" w:rsidRPr="00247837" w:rsidRDefault="009678D3" w:rsidP="009678D3">
            <w:pPr>
              <w:rPr>
                <w:rFonts w:ascii="Calibri" w:hAnsi="Calibri"/>
                <w:color w:val="000000"/>
                <w:lang w:eastAsia="es-NI"/>
              </w:rPr>
            </w:pPr>
            <w:r w:rsidRPr="00247837">
              <w:rPr>
                <w:rFonts w:ascii="Calibri" w:hAnsi="Calibri"/>
                <w:color w:val="000000"/>
                <w:lang w:eastAsia="es-NI"/>
              </w:rPr>
              <w:t>Plano de Ubicación de Beneficiarios  2/2</w:t>
            </w:r>
          </w:p>
        </w:tc>
      </w:tr>
    </w:tbl>
    <w:p w14:paraId="175703F9" w14:textId="77777777" w:rsidR="009678D3" w:rsidRDefault="009678D3" w:rsidP="009678D3"/>
    <w:p w14:paraId="00401F95" w14:textId="77777777" w:rsidR="009678D3" w:rsidRDefault="009678D3">
      <w:pPr>
        <w:jc w:val="left"/>
      </w:pPr>
      <w:r>
        <w:br w:type="page"/>
      </w:r>
    </w:p>
    <w:p w14:paraId="37084C7B" w14:textId="77777777" w:rsidR="009678D3" w:rsidRPr="009678D3" w:rsidRDefault="009678D3" w:rsidP="009678D3">
      <w:pPr>
        <w:rPr>
          <w:b/>
          <w:sz w:val="22"/>
          <w:szCs w:val="22"/>
        </w:rPr>
      </w:pPr>
      <w:r w:rsidRPr="009678D3">
        <w:rPr>
          <w:rFonts w:ascii="Arial" w:hAnsi="Arial" w:cs="Arial"/>
          <w:b/>
          <w:sz w:val="22"/>
          <w:szCs w:val="22"/>
          <w:lang w:val="es-ES"/>
        </w:rPr>
        <w:lastRenderedPageBreak/>
        <w:t>Proyecto 19842 Agua y Saneamiento Comunidad Zacatera</w:t>
      </w:r>
    </w:p>
    <w:p w14:paraId="546ACABF" w14:textId="77777777" w:rsidR="00003780" w:rsidRDefault="00003780" w:rsidP="000C6174">
      <w:pPr>
        <w:jc w:val="center"/>
        <w:rPr>
          <w:rFonts w:asciiTheme="minorHAnsi" w:hAnsiTheme="minorHAnsi"/>
          <w:b/>
          <w:color w:val="000000" w:themeColor="text1"/>
          <w:sz w:val="28"/>
          <w:szCs w:val="24"/>
          <w:lang w:val="es-MX"/>
        </w:rPr>
      </w:pPr>
    </w:p>
    <w:tbl>
      <w:tblPr>
        <w:tblW w:w="10640" w:type="dxa"/>
        <w:tblCellMar>
          <w:left w:w="70" w:type="dxa"/>
          <w:right w:w="70" w:type="dxa"/>
        </w:tblCellMar>
        <w:tblLook w:val="04A0" w:firstRow="1" w:lastRow="0" w:firstColumn="1" w:lastColumn="0" w:noHBand="0" w:noVBand="1"/>
      </w:tblPr>
      <w:tblGrid>
        <w:gridCol w:w="504"/>
        <w:gridCol w:w="1085"/>
        <w:gridCol w:w="9282"/>
      </w:tblGrid>
      <w:tr w:rsidR="009678D3" w:rsidRPr="00E31118" w14:paraId="79FC84DD" w14:textId="77777777" w:rsidTr="009678D3">
        <w:trPr>
          <w:trHeight w:val="816"/>
        </w:trPr>
        <w:tc>
          <w:tcPr>
            <w:tcW w:w="10640"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14:paraId="1FF0F53A" w14:textId="77777777" w:rsidR="009678D3" w:rsidRPr="00E31118" w:rsidRDefault="009678D3" w:rsidP="009678D3">
            <w:pPr>
              <w:jc w:val="center"/>
              <w:rPr>
                <w:b/>
                <w:bCs/>
                <w:color w:val="000000"/>
                <w:sz w:val="32"/>
                <w:szCs w:val="32"/>
                <w:lang w:eastAsia="es-NI"/>
              </w:rPr>
            </w:pPr>
            <w:r w:rsidRPr="00E31118">
              <w:rPr>
                <w:b/>
                <w:bCs/>
                <w:color w:val="000000"/>
                <w:sz w:val="32"/>
                <w:szCs w:val="32"/>
                <w:lang w:eastAsia="es-NI"/>
              </w:rPr>
              <w:t>I N D I C E    D E     P L A N O S</w:t>
            </w:r>
          </w:p>
        </w:tc>
      </w:tr>
      <w:tr w:rsidR="009678D3" w:rsidRPr="00E31118" w14:paraId="0C6F8C18" w14:textId="77777777" w:rsidTr="009678D3">
        <w:trPr>
          <w:trHeight w:val="300"/>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820779" w14:textId="77777777" w:rsidR="009678D3" w:rsidRPr="00E31118" w:rsidRDefault="009678D3" w:rsidP="009678D3">
            <w:pPr>
              <w:jc w:val="center"/>
              <w:rPr>
                <w:rFonts w:ascii="Calibri" w:hAnsi="Calibri"/>
                <w:b/>
                <w:bCs/>
                <w:color w:val="000000"/>
                <w:lang w:eastAsia="es-NI"/>
              </w:rPr>
            </w:pPr>
            <w:r w:rsidRPr="00E31118">
              <w:rPr>
                <w:rFonts w:ascii="Calibri" w:hAnsi="Calibri"/>
                <w:b/>
                <w:bCs/>
                <w:color w:val="000000"/>
                <w:lang w:val="es-MX" w:eastAsia="es-NI"/>
              </w:rPr>
              <w:t>CONSECUTIVO</w:t>
            </w:r>
          </w:p>
        </w:tc>
        <w:tc>
          <w:tcPr>
            <w:tcW w:w="9282" w:type="dxa"/>
            <w:tcBorders>
              <w:top w:val="nil"/>
              <w:left w:val="nil"/>
              <w:bottom w:val="single" w:sz="8" w:space="0" w:color="auto"/>
              <w:right w:val="single" w:sz="8" w:space="0" w:color="auto"/>
            </w:tcBorders>
            <w:shd w:val="clear" w:color="auto" w:fill="auto"/>
            <w:vAlign w:val="center"/>
            <w:hideMark/>
          </w:tcPr>
          <w:p w14:paraId="02658A19" w14:textId="77777777" w:rsidR="009678D3" w:rsidRPr="00E31118" w:rsidRDefault="009678D3" w:rsidP="009678D3">
            <w:pPr>
              <w:jc w:val="center"/>
              <w:rPr>
                <w:rFonts w:ascii="Calibri" w:hAnsi="Calibri"/>
                <w:b/>
                <w:bCs/>
                <w:color w:val="000000"/>
                <w:lang w:eastAsia="es-NI"/>
              </w:rPr>
            </w:pPr>
            <w:r w:rsidRPr="00E31118">
              <w:rPr>
                <w:rFonts w:ascii="Calibri" w:hAnsi="Calibri"/>
                <w:b/>
                <w:bCs/>
                <w:color w:val="000000"/>
                <w:lang w:val="es-MX" w:eastAsia="es-NI"/>
              </w:rPr>
              <w:t>CONTENIDO</w:t>
            </w:r>
          </w:p>
        </w:tc>
      </w:tr>
      <w:tr w:rsidR="009678D3" w:rsidRPr="00E31118" w14:paraId="313B9B0B" w14:textId="77777777" w:rsidTr="009678D3">
        <w:trPr>
          <w:trHeight w:val="36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2E5E323D"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w:t>
            </w:r>
          </w:p>
        </w:tc>
        <w:tc>
          <w:tcPr>
            <w:tcW w:w="927" w:type="dxa"/>
            <w:tcBorders>
              <w:top w:val="nil"/>
              <w:left w:val="nil"/>
              <w:bottom w:val="single" w:sz="8" w:space="0" w:color="auto"/>
              <w:right w:val="single" w:sz="8" w:space="0" w:color="auto"/>
            </w:tcBorders>
            <w:shd w:val="clear" w:color="auto" w:fill="auto"/>
            <w:noWrap/>
            <w:vAlign w:val="center"/>
            <w:hideMark/>
          </w:tcPr>
          <w:p w14:paraId="6EBA1D7F"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750A8FCD"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CARÁTULA E INDICE DE PLANOS</w:t>
            </w:r>
          </w:p>
        </w:tc>
      </w:tr>
      <w:tr w:rsidR="009678D3" w:rsidRPr="00E31118" w14:paraId="1C0F9E39"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56B7BA4E"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w:t>
            </w:r>
          </w:p>
        </w:tc>
        <w:tc>
          <w:tcPr>
            <w:tcW w:w="927" w:type="dxa"/>
            <w:tcBorders>
              <w:top w:val="nil"/>
              <w:left w:val="nil"/>
              <w:bottom w:val="single" w:sz="8" w:space="0" w:color="auto"/>
              <w:right w:val="single" w:sz="8" w:space="0" w:color="auto"/>
            </w:tcBorders>
            <w:shd w:val="clear" w:color="auto" w:fill="auto"/>
            <w:noWrap/>
            <w:vAlign w:val="center"/>
            <w:hideMark/>
          </w:tcPr>
          <w:p w14:paraId="61731CD9"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18269AD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CONJUNTO SIN PROYECTO</w:t>
            </w:r>
          </w:p>
        </w:tc>
      </w:tr>
      <w:tr w:rsidR="009678D3" w:rsidRPr="00E31118" w14:paraId="0A111A09"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1E35C24E"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3</w:t>
            </w:r>
          </w:p>
        </w:tc>
        <w:tc>
          <w:tcPr>
            <w:tcW w:w="927" w:type="dxa"/>
            <w:tcBorders>
              <w:top w:val="nil"/>
              <w:left w:val="nil"/>
              <w:bottom w:val="single" w:sz="8" w:space="0" w:color="auto"/>
              <w:right w:val="single" w:sz="8" w:space="0" w:color="auto"/>
            </w:tcBorders>
            <w:shd w:val="clear" w:color="auto" w:fill="auto"/>
            <w:noWrap/>
            <w:vAlign w:val="center"/>
            <w:hideMark/>
          </w:tcPr>
          <w:p w14:paraId="0F6BFCC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3CCC70D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CONJUNTO CON PROYECTO</w:t>
            </w:r>
          </w:p>
        </w:tc>
      </w:tr>
      <w:tr w:rsidR="009678D3" w:rsidRPr="00E31118" w14:paraId="5F1EB16C"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4D207468"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eastAsia="es-NI"/>
              </w:rPr>
              <w:t>4</w:t>
            </w:r>
          </w:p>
        </w:tc>
        <w:tc>
          <w:tcPr>
            <w:tcW w:w="927" w:type="dxa"/>
            <w:tcBorders>
              <w:top w:val="nil"/>
              <w:left w:val="nil"/>
              <w:bottom w:val="single" w:sz="8" w:space="0" w:color="auto"/>
              <w:right w:val="single" w:sz="8" w:space="0" w:color="auto"/>
            </w:tcBorders>
            <w:shd w:val="clear" w:color="auto" w:fill="auto"/>
            <w:noWrap/>
            <w:vAlign w:val="center"/>
            <w:hideMark/>
          </w:tcPr>
          <w:p w14:paraId="711E88E7"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3B76FEEE"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TOPOGRÁFICO</w:t>
            </w:r>
          </w:p>
        </w:tc>
      </w:tr>
      <w:tr w:rsidR="009678D3" w:rsidRPr="00E31118" w14:paraId="3B65240E"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7896895"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eastAsia="es-NI"/>
              </w:rPr>
              <w:t>5</w:t>
            </w:r>
          </w:p>
        </w:tc>
        <w:tc>
          <w:tcPr>
            <w:tcW w:w="927" w:type="dxa"/>
            <w:tcBorders>
              <w:top w:val="nil"/>
              <w:left w:val="nil"/>
              <w:bottom w:val="single" w:sz="8" w:space="0" w:color="auto"/>
              <w:right w:val="single" w:sz="8" w:space="0" w:color="auto"/>
            </w:tcBorders>
            <w:shd w:val="clear" w:color="auto" w:fill="auto"/>
            <w:noWrap/>
            <w:vAlign w:val="center"/>
            <w:hideMark/>
          </w:tcPr>
          <w:p w14:paraId="2D7DE8A2"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525253C9"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TOPOGRÁFICO</w:t>
            </w:r>
          </w:p>
        </w:tc>
      </w:tr>
      <w:tr w:rsidR="009678D3" w:rsidRPr="00E31118" w14:paraId="4A63F1F8"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225055A"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6</w:t>
            </w:r>
          </w:p>
        </w:tc>
        <w:tc>
          <w:tcPr>
            <w:tcW w:w="927" w:type="dxa"/>
            <w:tcBorders>
              <w:top w:val="nil"/>
              <w:left w:val="nil"/>
              <w:bottom w:val="single" w:sz="8" w:space="0" w:color="auto"/>
              <w:right w:val="single" w:sz="8" w:space="0" w:color="auto"/>
            </w:tcBorders>
            <w:shd w:val="clear" w:color="auto" w:fill="auto"/>
            <w:noWrap/>
            <w:vAlign w:val="center"/>
            <w:hideMark/>
          </w:tcPr>
          <w:p w14:paraId="514B267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4B104640"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TOPOGRÁFICO</w:t>
            </w:r>
          </w:p>
        </w:tc>
      </w:tr>
      <w:tr w:rsidR="009678D3" w:rsidRPr="00E31118" w14:paraId="27569269"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7746A66F"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7</w:t>
            </w:r>
          </w:p>
        </w:tc>
        <w:tc>
          <w:tcPr>
            <w:tcW w:w="927" w:type="dxa"/>
            <w:tcBorders>
              <w:top w:val="nil"/>
              <w:left w:val="nil"/>
              <w:bottom w:val="single" w:sz="8" w:space="0" w:color="auto"/>
              <w:right w:val="single" w:sz="8" w:space="0" w:color="auto"/>
            </w:tcBorders>
            <w:shd w:val="clear" w:color="auto" w:fill="auto"/>
            <w:noWrap/>
            <w:vAlign w:val="center"/>
            <w:hideMark/>
          </w:tcPr>
          <w:p w14:paraId="6C6BED61"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037E823A"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PREDIOS DE CAPTACION, SEDIMENTADORES, PLANTA PRESURIZADA Y TANQUES</w:t>
            </w:r>
          </w:p>
        </w:tc>
      </w:tr>
      <w:tr w:rsidR="009678D3" w:rsidRPr="00E31118" w14:paraId="1D8DC938"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F3B877B"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8</w:t>
            </w:r>
          </w:p>
        </w:tc>
        <w:tc>
          <w:tcPr>
            <w:tcW w:w="927" w:type="dxa"/>
            <w:tcBorders>
              <w:top w:val="nil"/>
              <w:left w:val="nil"/>
              <w:bottom w:val="single" w:sz="8" w:space="0" w:color="auto"/>
              <w:right w:val="single" w:sz="8" w:space="0" w:color="auto"/>
            </w:tcBorders>
            <w:shd w:val="clear" w:color="auto" w:fill="auto"/>
            <w:noWrap/>
            <w:vAlign w:val="center"/>
            <w:hideMark/>
          </w:tcPr>
          <w:p w14:paraId="69C96282"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6DD4F37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CALICATAS</w:t>
            </w:r>
          </w:p>
        </w:tc>
      </w:tr>
      <w:tr w:rsidR="009678D3" w:rsidRPr="00E31118" w14:paraId="6C797F80"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636D35D8"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9</w:t>
            </w:r>
          </w:p>
        </w:tc>
        <w:tc>
          <w:tcPr>
            <w:tcW w:w="927" w:type="dxa"/>
            <w:tcBorders>
              <w:top w:val="nil"/>
              <w:left w:val="nil"/>
              <w:bottom w:val="single" w:sz="8" w:space="0" w:color="auto"/>
              <w:right w:val="single" w:sz="8" w:space="0" w:color="auto"/>
            </w:tcBorders>
            <w:shd w:val="clear" w:color="auto" w:fill="auto"/>
            <w:noWrap/>
            <w:vAlign w:val="center"/>
            <w:hideMark/>
          </w:tcPr>
          <w:p w14:paraId="6FB78AC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6F535F3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PLANTA PERFIL DE LINEA DE CONDUCCIÓN</w:t>
            </w:r>
          </w:p>
        </w:tc>
      </w:tr>
      <w:tr w:rsidR="009678D3" w:rsidRPr="00E31118" w14:paraId="1F6F866A"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0C1D3156"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eastAsia="es-NI"/>
              </w:rPr>
              <w:t>10</w:t>
            </w:r>
          </w:p>
        </w:tc>
        <w:tc>
          <w:tcPr>
            <w:tcW w:w="927" w:type="dxa"/>
            <w:tcBorders>
              <w:top w:val="nil"/>
              <w:left w:val="nil"/>
              <w:bottom w:val="single" w:sz="8" w:space="0" w:color="auto"/>
              <w:right w:val="single" w:sz="8" w:space="0" w:color="auto"/>
            </w:tcBorders>
            <w:shd w:val="clear" w:color="auto" w:fill="auto"/>
            <w:noWrap/>
            <w:vAlign w:val="center"/>
            <w:hideMark/>
          </w:tcPr>
          <w:p w14:paraId="56FA7001"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60A7C64E"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PLANO-PLANTA PERFIL DE LINEA DE CONDUCCIÓN</w:t>
            </w:r>
          </w:p>
        </w:tc>
      </w:tr>
      <w:tr w:rsidR="009678D3" w:rsidRPr="00E31118" w14:paraId="632F5E8B"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14844F73"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eastAsia="es-NI"/>
              </w:rPr>
              <w:t>11</w:t>
            </w:r>
          </w:p>
        </w:tc>
        <w:tc>
          <w:tcPr>
            <w:tcW w:w="927" w:type="dxa"/>
            <w:tcBorders>
              <w:top w:val="nil"/>
              <w:left w:val="nil"/>
              <w:bottom w:val="single" w:sz="8" w:space="0" w:color="auto"/>
              <w:right w:val="single" w:sz="8" w:space="0" w:color="auto"/>
            </w:tcBorders>
            <w:shd w:val="clear" w:color="auto" w:fill="auto"/>
            <w:noWrap/>
            <w:vAlign w:val="center"/>
            <w:hideMark/>
          </w:tcPr>
          <w:p w14:paraId="32E8B86F"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24F84302"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PLANTA-PERFIL DE LINEA DE CONDUCCIÓN</w:t>
            </w:r>
          </w:p>
        </w:tc>
      </w:tr>
      <w:tr w:rsidR="009678D3" w:rsidRPr="00E31118" w14:paraId="1022DE77"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2B4AEAE4"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12</w:t>
            </w:r>
          </w:p>
        </w:tc>
        <w:tc>
          <w:tcPr>
            <w:tcW w:w="927" w:type="dxa"/>
            <w:tcBorders>
              <w:top w:val="nil"/>
              <w:left w:val="nil"/>
              <w:bottom w:val="single" w:sz="8" w:space="0" w:color="auto"/>
              <w:right w:val="single" w:sz="8" w:space="0" w:color="auto"/>
            </w:tcBorders>
            <w:shd w:val="clear" w:color="auto" w:fill="auto"/>
            <w:noWrap/>
            <w:vAlign w:val="center"/>
            <w:hideMark/>
          </w:tcPr>
          <w:p w14:paraId="7421F1F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554D437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PLANTA-PERFIL DE LINEA DE CONDUCCIÓN</w:t>
            </w:r>
          </w:p>
        </w:tc>
      </w:tr>
      <w:tr w:rsidR="009678D3" w:rsidRPr="00E31118" w14:paraId="3E4A230E"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24BD3CB8"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eastAsia="es-NI"/>
              </w:rPr>
              <w:t>13</w:t>
            </w:r>
          </w:p>
        </w:tc>
        <w:tc>
          <w:tcPr>
            <w:tcW w:w="927" w:type="dxa"/>
            <w:tcBorders>
              <w:top w:val="nil"/>
              <w:left w:val="nil"/>
              <w:bottom w:val="single" w:sz="8" w:space="0" w:color="auto"/>
              <w:right w:val="single" w:sz="8" w:space="0" w:color="auto"/>
            </w:tcBorders>
            <w:shd w:val="clear" w:color="auto" w:fill="auto"/>
            <w:noWrap/>
            <w:vAlign w:val="center"/>
            <w:hideMark/>
          </w:tcPr>
          <w:p w14:paraId="0ACF2F3F"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4954338A"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PLANTA-PERFIL DE LINEA DE ADUCCIÓN</w:t>
            </w:r>
          </w:p>
        </w:tc>
      </w:tr>
      <w:tr w:rsidR="009678D3" w:rsidRPr="00E31118" w14:paraId="6AD22DDF"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D2F9578"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eastAsia="es-NI"/>
              </w:rPr>
              <w:t>14</w:t>
            </w:r>
          </w:p>
        </w:tc>
        <w:tc>
          <w:tcPr>
            <w:tcW w:w="927" w:type="dxa"/>
            <w:tcBorders>
              <w:top w:val="nil"/>
              <w:left w:val="nil"/>
              <w:bottom w:val="single" w:sz="8" w:space="0" w:color="auto"/>
              <w:right w:val="single" w:sz="8" w:space="0" w:color="auto"/>
            </w:tcBorders>
            <w:shd w:val="clear" w:color="auto" w:fill="auto"/>
            <w:noWrap/>
            <w:vAlign w:val="center"/>
            <w:hideMark/>
          </w:tcPr>
          <w:p w14:paraId="6585FE1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607104CE"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PLANTA-PERFIL DE LINEA DE ADUCCIÓN</w:t>
            </w:r>
          </w:p>
        </w:tc>
      </w:tr>
      <w:tr w:rsidR="009678D3" w:rsidRPr="00E31118" w14:paraId="509EACC5"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1C36B874"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15</w:t>
            </w:r>
          </w:p>
        </w:tc>
        <w:tc>
          <w:tcPr>
            <w:tcW w:w="927" w:type="dxa"/>
            <w:tcBorders>
              <w:top w:val="nil"/>
              <w:left w:val="nil"/>
              <w:bottom w:val="single" w:sz="8" w:space="0" w:color="auto"/>
              <w:right w:val="single" w:sz="8" w:space="0" w:color="auto"/>
            </w:tcBorders>
            <w:shd w:val="clear" w:color="auto" w:fill="auto"/>
            <w:noWrap/>
            <w:vAlign w:val="center"/>
            <w:hideMark/>
          </w:tcPr>
          <w:p w14:paraId="7A4EF81A"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429105F7"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PLANTA-PERFIL DE LINEA DE ADUCCIÓN</w:t>
            </w:r>
          </w:p>
        </w:tc>
      </w:tr>
      <w:tr w:rsidR="009678D3" w:rsidRPr="00E31118" w14:paraId="764C40E8"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7256EBD0"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16</w:t>
            </w:r>
          </w:p>
        </w:tc>
        <w:tc>
          <w:tcPr>
            <w:tcW w:w="927" w:type="dxa"/>
            <w:tcBorders>
              <w:top w:val="nil"/>
              <w:left w:val="nil"/>
              <w:bottom w:val="single" w:sz="8" w:space="0" w:color="auto"/>
              <w:right w:val="single" w:sz="8" w:space="0" w:color="auto"/>
            </w:tcBorders>
            <w:shd w:val="clear" w:color="auto" w:fill="auto"/>
            <w:noWrap/>
            <w:vAlign w:val="center"/>
            <w:hideMark/>
          </w:tcPr>
          <w:p w14:paraId="0BA17A22"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4CD72FA9"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RED DE DISTRIBUCIÓN RAMAL ALTO Y CUMBRE</w:t>
            </w:r>
          </w:p>
        </w:tc>
      </w:tr>
      <w:tr w:rsidR="009678D3" w:rsidRPr="00E31118" w14:paraId="51DAE00B"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6662EE4E"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17</w:t>
            </w:r>
          </w:p>
        </w:tc>
        <w:tc>
          <w:tcPr>
            <w:tcW w:w="927" w:type="dxa"/>
            <w:tcBorders>
              <w:top w:val="nil"/>
              <w:left w:val="nil"/>
              <w:bottom w:val="single" w:sz="8" w:space="0" w:color="auto"/>
              <w:right w:val="single" w:sz="8" w:space="0" w:color="auto"/>
            </w:tcBorders>
            <w:shd w:val="clear" w:color="auto" w:fill="auto"/>
            <w:noWrap/>
            <w:vAlign w:val="center"/>
            <w:hideMark/>
          </w:tcPr>
          <w:p w14:paraId="7C5D0112"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16FF0E78"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PLANTA DE RED DE DISTRIBUCIÓN RAMAL 1, 1-1, 1-2</w:t>
            </w:r>
          </w:p>
        </w:tc>
      </w:tr>
      <w:tr w:rsidR="009678D3" w:rsidRPr="00E31118" w14:paraId="26A84D3C"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54D1E6A7"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18</w:t>
            </w:r>
          </w:p>
        </w:tc>
        <w:tc>
          <w:tcPr>
            <w:tcW w:w="927" w:type="dxa"/>
            <w:tcBorders>
              <w:top w:val="nil"/>
              <w:left w:val="nil"/>
              <w:bottom w:val="single" w:sz="8" w:space="0" w:color="auto"/>
              <w:right w:val="single" w:sz="8" w:space="0" w:color="auto"/>
            </w:tcBorders>
            <w:shd w:val="clear" w:color="auto" w:fill="auto"/>
            <w:noWrap/>
            <w:vAlign w:val="center"/>
            <w:hideMark/>
          </w:tcPr>
          <w:p w14:paraId="138A7AA6"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428FEDF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PLANTA DE RED DE DISTRIBUCIÓN RAMAL 1, 1-3, 1-4,1-5</w:t>
            </w:r>
          </w:p>
        </w:tc>
      </w:tr>
      <w:tr w:rsidR="009678D3" w:rsidRPr="00E31118" w14:paraId="72CD0BF6"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21A7B4FD"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19</w:t>
            </w:r>
          </w:p>
        </w:tc>
        <w:tc>
          <w:tcPr>
            <w:tcW w:w="927" w:type="dxa"/>
            <w:tcBorders>
              <w:top w:val="nil"/>
              <w:left w:val="nil"/>
              <w:bottom w:val="single" w:sz="8" w:space="0" w:color="auto"/>
              <w:right w:val="single" w:sz="8" w:space="0" w:color="auto"/>
            </w:tcBorders>
            <w:shd w:val="clear" w:color="auto" w:fill="auto"/>
            <w:noWrap/>
            <w:vAlign w:val="center"/>
            <w:hideMark/>
          </w:tcPr>
          <w:p w14:paraId="39D71E9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0CBE1234"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PLANTA DE RED DE DISTRIBUCIÓN RAMAL HACIA QUILALI</w:t>
            </w:r>
          </w:p>
        </w:tc>
      </w:tr>
      <w:tr w:rsidR="009678D3" w:rsidRPr="00E31118" w14:paraId="7D8B2AEE"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F50C99D"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20</w:t>
            </w:r>
          </w:p>
        </w:tc>
        <w:tc>
          <w:tcPr>
            <w:tcW w:w="927" w:type="dxa"/>
            <w:tcBorders>
              <w:top w:val="nil"/>
              <w:left w:val="nil"/>
              <w:bottom w:val="single" w:sz="8" w:space="0" w:color="auto"/>
              <w:right w:val="single" w:sz="8" w:space="0" w:color="auto"/>
            </w:tcBorders>
            <w:shd w:val="clear" w:color="auto" w:fill="auto"/>
            <w:noWrap/>
            <w:vAlign w:val="center"/>
            <w:hideMark/>
          </w:tcPr>
          <w:p w14:paraId="19535F95"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2E869EE9"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PLANTA DE RED DE DISTRIBUCIÓN RAMAL HACIA WIWILI</w:t>
            </w:r>
          </w:p>
        </w:tc>
      </w:tr>
      <w:tr w:rsidR="009678D3" w:rsidRPr="00E31118" w14:paraId="724EEE25"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5EFAE7F1"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21</w:t>
            </w:r>
          </w:p>
        </w:tc>
        <w:tc>
          <w:tcPr>
            <w:tcW w:w="927" w:type="dxa"/>
            <w:tcBorders>
              <w:top w:val="nil"/>
              <w:left w:val="nil"/>
              <w:bottom w:val="single" w:sz="8" w:space="0" w:color="auto"/>
              <w:right w:val="single" w:sz="8" w:space="0" w:color="auto"/>
            </w:tcBorders>
            <w:shd w:val="clear" w:color="auto" w:fill="auto"/>
            <w:noWrap/>
            <w:vAlign w:val="center"/>
            <w:hideMark/>
          </w:tcPr>
          <w:p w14:paraId="5AA0EF9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6B13D13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PLANTA DE RED DE DISTRIBUCIÓN RAMAL HACIA WIWILI</w:t>
            </w:r>
          </w:p>
        </w:tc>
      </w:tr>
      <w:tr w:rsidR="009678D3" w:rsidRPr="00E31118" w14:paraId="1B45394B"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5912EB50"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22</w:t>
            </w:r>
          </w:p>
        </w:tc>
        <w:tc>
          <w:tcPr>
            <w:tcW w:w="927" w:type="dxa"/>
            <w:tcBorders>
              <w:top w:val="nil"/>
              <w:left w:val="nil"/>
              <w:bottom w:val="single" w:sz="8" w:space="0" w:color="auto"/>
              <w:right w:val="single" w:sz="8" w:space="0" w:color="auto"/>
            </w:tcBorders>
            <w:shd w:val="clear" w:color="auto" w:fill="auto"/>
            <w:noWrap/>
            <w:vAlign w:val="center"/>
            <w:hideMark/>
          </w:tcPr>
          <w:p w14:paraId="45DA4F3A"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631E44E0"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CAPTACIÓN (PREFILTRO)</w:t>
            </w:r>
          </w:p>
        </w:tc>
      </w:tr>
      <w:tr w:rsidR="009678D3" w:rsidRPr="00E31118" w14:paraId="6056B002"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49B3A5A6"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23</w:t>
            </w:r>
          </w:p>
        </w:tc>
        <w:tc>
          <w:tcPr>
            <w:tcW w:w="927" w:type="dxa"/>
            <w:tcBorders>
              <w:top w:val="nil"/>
              <w:left w:val="nil"/>
              <w:bottom w:val="single" w:sz="8" w:space="0" w:color="auto"/>
              <w:right w:val="single" w:sz="8" w:space="0" w:color="auto"/>
            </w:tcBorders>
            <w:shd w:val="clear" w:color="auto" w:fill="auto"/>
            <w:noWrap/>
            <w:vAlign w:val="center"/>
            <w:hideMark/>
          </w:tcPr>
          <w:p w14:paraId="0BE69C0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28FBD63D"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PLANTA DE TRATAMIENTO Y TANQUE DE ALMACENAMIENTO</w:t>
            </w:r>
          </w:p>
        </w:tc>
      </w:tr>
      <w:tr w:rsidR="009678D3" w:rsidRPr="00E31118" w14:paraId="08440F88"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78AB325C"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24</w:t>
            </w:r>
          </w:p>
        </w:tc>
        <w:tc>
          <w:tcPr>
            <w:tcW w:w="927" w:type="dxa"/>
            <w:tcBorders>
              <w:top w:val="nil"/>
              <w:left w:val="nil"/>
              <w:bottom w:val="single" w:sz="8" w:space="0" w:color="auto"/>
              <w:right w:val="single" w:sz="8" w:space="0" w:color="auto"/>
            </w:tcBorders>
            <w:shd w:val="clear" w:color="auto" w:fill="auto"/>
            <w:noWrap/>
            <w:vAlign w:val="center"/>
            <w:hideMark/>
          </w:tcPr>
          <w:p w14:paraId="5AB7FA5E"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5F0CC73B"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TANQUE DE ALMACENAMIENTO #2 Y  DETALLES ESTRUCTURALES</w:t>
            </w:r>
          </w:p>
        </w:tc>
      </w:tr>
      <w:tr w:rsidR="009678D3" w:rsidRPr="00E31118" w14:paraId="1D8DA3AE"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61499DE"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25</w:t>
            </w:r>
          </w:p>
        </w:tc>
        <w:tc>
          <w:tcPr>
            <w:tcW w:w="927" w:type="dxa"/>
            <w:tcBorders>
              <w:top w:val="nil"/>
              <w:left w:val="nil"/>
              <w:bottom w:val="single" w:sz="8" w:space="0" w:color="auto"/>
              <w:right w:val="single" w:sz="8" w:space="0" w:color="auto"/>
            </w:tcBorders>
            <w:shd w:val="clear" w:color="auto" w:fill="auto"/>
            <w:noWrap/>
            <w:vAlign w:val="center"/>
            <w:hideMark/>
          </w:tcPr>
          <w:p w14:paraId="4F5F9BBC"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21E65D15"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 xml:space="preserve">PLANO DE DETALLES GENERALES </w:t>
            </w:r>
          </w:p>
        </w:tc>
      </w:tr>
      <w:tr w:rsidR="009678D3" w:rsidRPr="00E31118" w14:paraId="21402E7E"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5DCD14C3"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26</w:t>
            </w:r>
          </w:p>
        </w:tc>
        <w:tc>
          <w:tcPr>
            <w:tcW w:w="927" w:type="dxa"/>
            <w:tcBorders>
              <w:top w:val="nil"/>
              <w:left w:val="nil"/>
              <w:bottom w:val="single" w:sz="8" w:space="0" w:color="auto"/>
              <w:right w:val="single" w:sz="8" w:space="0" w:color="auto"/>
            </w:tcBorders>
            <w:shd w:val="clear" w:color="auto" w:fill="auto"/>
            <w:noWrap/>
            <w:vAlign w:val="center"/>
            <w:hideMark/>
          </w:tcPr>
          <w:p w14:paraId="1FA272C7"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361A126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 xml:space="preserve">PLANO DE DETALLES GENERALES </w:t>
            </w:r>
          </w:p>
        </w:tc>
      </w:tr>
      <w:tr w:rsidR="009678D3" w:rsidRPr="00E31118" w14:paraId="24E6593C"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6445909"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27</w:t>
            </w:r>
          </w:p>
        </w:tc>
        <w:tc>
          <w:tcPr>
            <w:tcW w:w="927" w:type="dxa"/>
            <w:tcBorders>
              <w:top w:val="nil"/>
              <w:left w:val="nil"/>
              <w:bottom w:val="single" w:sz="8" w:space="0" w:color="auto"/>
              <w:right w:val="single" w:sz="8" w:space="0" w:color="auto"/>
            </w:tcBorders>
            <w:shd w:val="clear" w:color="auto" w:fill="auto"/>
            <w:noWrap/>
            <w:vAlign w:val="center"/>
            <w:hideMark/>
          </w:tcPr>
          <w:p w14:paraId="7718901F"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045DFE0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 xml:space="preserve">PLANO DE CERCO, CRUCE AEREO Y COBERTIZO </w:t>
            </w:r>
          </w:p>
        </w:tc>
      </w:tr>
      <w:tr w:rsidR="009678D3" w:rsidRPr="00E31118" w14:paraId="3AA83AE0"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3FA29B7"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28</w:t>
            </w:r>
          </w:p>
        </w:tc>
        <w:tc>
          <w:tcPr>
            <w:tcW w:w="927" w:type="dxa"/>
            <w:tcBorders>
              <w:top w:val="nil"/>
              <w:left w:val="nil"/>
              <w:bottom w:val="single" w:sz="8" w:space="0" w:color="auto"/>
              <w:right w:val="single" w:sz="8" w:space="0" w:color="auto"/>
            </w:tcBorders>
            <w:shd w:val="clear" w:color="auto" w:fill="auto"/>
            <w:noWrap/>
            <w:vAlign w:val="center"/>
            <w:hideMark/>
          </w:tcPr>
          <w:p w14:paraId="1F1F1FEF"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0818CE1F"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PLANOS DE BENEFICIARIOS</w:t>
            </w:r>
          </w:p>
        </w:tc>
      </w:tr>
      <w:tr w:rsidR="009678D3" w:rsidRPr="00E31118" w14:paraId="4E58CBC6"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62E78561"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29</w:t>
            </w:r>
          </w:p>
        </w:tc>
        <w:tc>
          <w:tcPr>
            <w:tcW w:w="927" w:type="dxa"/>
            <w:tcBorders>
              <w:top w:val="nil"/>
              <w:left w:val="nil"/>
              <w:bottom w:val="single" w:sz="8" w:space="0" w:color="auto"/>
              <w:right w:val="single" w:sz="8" w:space="0" w:color="auto"/>
            </w:tcBorders>
            <w:shd w:val="clear" w:color="auto" w:fill="auto"/>
            <w:noWrap/>
            <w:vAlign w:val="center"/>
            <w:hideMark/>
          </w:tcPr>
          <w:p w14:paraId="66F4CA8E"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580B8E23"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LETRINA Y LAVADERO</w:t>
            </w:r>
          </w:p>
        </w:tc>
      </w:tr>
      <w:tr w:rsidR="009678D3" w:rsidRPr="00E31118" w14:paraId="46BE0C89" w14:textId="77777777" w:rsidTr="009678D3">
        <w:trPr>
          <w:trHeight w:val="300"/>
        </w:trPr>
        <w:tc>
          <w:tcPr>
            <w:tcW w:w="431" w:type="dxa"/>
            <w:tcBorders>
              <w:top w:val="nil"/>
              <w:left w:val="single" w:sz="8" w:space="0" w:color="auto"/>
              <w:bottom w:val="single" w:sz="8" w:space="0" w:color="auto"/>
              <w:right w:val="single" w:sz="8" w:space="0" w:color="auto"/>
            </w:tcBorders>
            <w:shd w:val="clear" w:color="auto" w:fill="auto"/>
            <w:noWrap/>
            <w:vAlign w:val="center"/>
            <w:hideMark/>
          </w:tcPr>
          <w:p w14:paraId="3F8E5CD2" w14:textId="77777777" w:rsidR="009678D3" w:rsidRPr="00E31118" w:rsidRDefault="009678D3" w:rsidP="009678D3">
            <w:pPr>
              <w:jc w:val="center"/>
              <w:rPr>
                <w:rFonts w:ascii="Calibri" w:hAnsi="Calibri"/>
                <w:color w:val="000000"/>
                <w:lang w:eastAsia="es-NI"/>
              </w:rPr>
            </w:pPr>
            <w:r w:rsidRPr="00E31118">
              <w:rPr>
                <w:rFonts w:ascii="Calibri" w:hAnsi="Calibri"/>
                <w:color w:val="000000"/>
                <w:lang w:val="es-MX" w:eastAsia="es-NI"/>
              </w:rPr>
              <w:t>30</w:t>
            </w:r>
          </w:p>
        </w:tc>
        <w:tc>
          <w:tcPr>
            <w:tcW w:w="927" w:type="dxa"/>
            <w:tcBorders>
              <w:top w:val="nil"/>
              <w:left w:val="nil"/>
              <w:bottom w:val="single" w:sz="8" w:space="0" w:color="auto"/>
              <w:right w:val="single" w:sz="8" w:space="0" w:color="auto"/>
            </w:tcBorders>
            <w:shd w:val="clear" w:color="auto" w:fill="auto"/>
            <w:noWrap/>
            <w:vAlign w:val="center"/>
            <w:hideMark/>
          </w:tcPr>
          <w:p w14:paraId="538BC1B9"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DE 30</w:t>
            </w:r>
          </w:p>
        </w:tc>
        <w:tc>
          <w:tcPr>
            <w:tcW w:w="9282" w:type="dxa"/>
            <w:tcBorders>
              <w:top w:val="nil"/>
              <w:left w:val="nil"/>
              <w:bottom w:val="single" w:sz="8" w:space="0" w:color="auto"/>
              <w:right w:val="single" w:sz="8" w:space="0" w:color="auto"/>
            </w:tcBorders>
            <w:shd w:val="clear" w:color="auto" w:fill="auto"/>
            <w:noWrap/>
            <w:vAlign w:val="center"/>
            <w:hideMark/>
          </w:tcPr>
          <w:p w14:paraId="3393C374" w14:textId="77777777" w:rsidR="009678D3" w:rsidRPr="00E31118" w:rsidRDefault="009678D3" w:rsidP="009678D3">
            <w:pPr>
              <w:rPr>
                <w:rFonts w:ascii="Calibri" w:hAnsi="Calibri"/>
                <w:color w:val="000000"/>
                <w:lang w:eastAsia="es-NI"/>
              </w:rPr>
            </w:pPr>
            <w:r w:rsidRPr="00E31118">
              <w:rPr>
                <w:rFonts w:ascii="Calibri" w:hAnsi="Calibri"/>
                <w:color w:val="000000"/>
                <w:lang w:val="es-MX" w:eastAsia="es-NI"/>
              </w:rPr>
              <w:t>PLANO DE RÓTULO Y PLACA</w:t>
            </w:r>
          </w:p>
        </w:tc>
      </w:tr>
    </w:tbl>
    <w:p w14:paraId="03F3C3FB" w14:textId="77777777" w:rsidR="00003780" w:rsidRDefault="00003780" w:rsidP="000C6174">
      <w:pPr>
        <w:jc w:val="center"/>
        <w:rPr>
          <w:rFonts w:asciiTheme="minorHAnsi" w:hAnsiTheme="minorHAnsi"/>
          <w:b/>
          <w:color w:val="000000" w:themeColor="text1"/>
          <w:sz w:val="28"/>
          <w:szCs w:val="24"/>
          <w:lang w:val="es-MX"/>
        </w:rPr>
      </w:pPr>
    </w:p>
    <w:p w14:paraId="39B2305A" w14:textId="77777777" w:rsidR="009678D3" w:rsidRDefault="009678D3" w:rsidP="000C6174">
      <w:pPr>
        <w:jc w:val="center"/>
        <w:rPr>
          <w:rFonts w:asciiTheme="minorHAnsi" w:hAnsiTheme="minorHAnsi"/>
          <w:b/>
          <w:color w:val="000000" w:themeColor="text1"/>
          <w:sz w:val="28"/>
          <w:szCs w:val="24"/>
          <w:lang w:val="es-MX"/>
        </w:rPr>
      </w:pPr>
    </w:p>
    <w:p w14:paraId="03F5C112" w14:textId="77777777" w:rsidR="009678D3" w:rsidRDefault="009678D3" w:rsidP="000C6174">
      <w:pPr>
        <w:jc w:val="center"/>
        <w:rPr>
          <w:rFonts w:asciiTheme="minorHAnsi" w:hAnsiTheme="minorHAnsi"/>
          <w:b/>
          <w:color w:val="000000" w:themeColor="text1"/>
          <w:sz w:val="28"/>
          <w:szCs w:val="24"/>
          <w:lang w:val="es-MX"/>
        </w:rPr>
      </w:pPr>
    </w:p>
    <w:p w14:paraId="05FC70E3" w14:textId="77777777" w:rsidR="009678D3" w:rsidRDefault="009678D3" w:rsidP="009678D3">
      <w:pPr>
        <w:jc w:val="center"/>
        <w:rPr>
          <w:sz w:val="32"/>
          <w:szCs w:val="32"/>
        </w:rPr>
      </w:pPr>
    </w:p>
    <w:p w14:paraId="4083616C" w14:textId="77777777" w:rsidR="009678D3" w:rsidRPr="00093808" w:rsidRDefault="009678D3" w:rsidP="009678D3">
      <w:pPr>
        <w:jc w:val="center"/>
        <w:rPr>
          <w:b/>
          <w:i/>
          <w:szCs w:val="24"/>
        </w:rPr>
      </w:pPr>
      <w:r w:rsidRPr="00093808">
        <w:rPr>
          <w:b/>
          <w:i/>
          <w:szCs w:val="24"/>
        </w:rPr>
        <w:t>Proyecto 19892 Agua y Saneamiento comunidad Bálsamo Abajo</w:t>
      </w:r>
    </w:p>
    <w:p w14:paraId="0B3D457A" w14:textId="77777777" w:rsidR="009678D3" w:rsidRDefault="009678D3" w:rsidP="009678D3">
      <w:r>
        <w:rPr>
          <w:noProof/>
          <w:lang w:val="es-MX" w:eastAsia="es-MX"/>
        </w:rPr>
        <w:drawing>
          <wp:anchor distT="0" distB="0" distL="114300" distR="114300" simplePos="0" relativeHeight="251679744" behindDoc="0" locked="0" layoutInCell="1" allowOverlap="1" wp14:anchorId="3DFEF880" wp14:editId="79901BC4">
            <wp:simplePos x="0" y="0"/>
            <wp:positionH relativeFrom="column">
              <wp:posOffset>514350</wp:posOffset>
            </wp:positionH>
            <wp:positionV relativeFrom="paragraph">
              <wp:posOffset>478155</wp:posOffset>
            </wp:positionV>
            <wp:extent cx="4681855" cy="3964305"/>
            <wp:effectExtent l="0" t="0" r="4445" b="0"/>
            <wp:wrapSquare wrapText="bothSides"/>
            <wp:docPr id="21591" name="Imagen 2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681855" cy="3964305"/>
                    </a:xfrm>
                    <a:prstGeom prst="rect">
                      <a:avLst/>
                    </a:prstGeom>
                  </pic:spPr>
                </pic:pic>
              </a:graphicData>
            </a:graphic>
            <wp14:sizeRelH relativeFrom="margin">
              <wp14:pctWidth>0</wp14:pctWidth>
            </wp14:sizeRelH>
            <wp14:sizeRelV relativeFrom="margin">
              <wp14:pctHeight>0</wp14:pctHeight>
            </wp14:sizeRelV>
          </wp:anchor>
        </w:drawing>
      </w:r>
    </w:p>
    <w:p w14:paraId="489F199C" w14:textId="77777777" w:rsidR="009678D3" w:rsidRDefault="009678D3">
      <w:pPr>
        <w:jc w:val="left"/>
        <w:rPr>
          <w:rFonts w:ascii="Arial" w:hAnsi="Arial" w:cs="Arial"/>
          <w:b/>
          <w:sz w:val="28"/>
          <w:szCs w:val="28"/>
          <w:lang w:val="es-ES"/>
        </w:rPr>
      </w:pPr>
      <w:bookmarkStart w:id="1821" w:name="_Toc74048226"/>
      <w:bookmarkStart w:id="1822" w:name="_Toc74520012"/>
      <w:bookmarkStart w:id="1823" w:name="_Toc74781386"/>
      <w:bookmarkStart w:id="1824" w:name="_Toc74894073"/>
      <w:bookmarkStart w:id="1825" w:name="_Toc364779460"/>
      <w:bookmarkStart w:id="1826" w:name="_Toc47916949"/>
    </w:p>
    <w:p w14:paraId="1AA649AB" w14:textId="77777777" w:rsidR="009678D3" w:rsidRDefault="009678D3">
      <w:pPr>
        <w:jc w:val="left"/>
        <w:rPr>
          <w:rFonts w:ascii="Arial" w:hAnsi="Arial" w:cs="Arial"/>
          <w:b/>
          <w:sz w:val="28"/>
          <w:szCs w:val="28"/>
          <w:lang w:val="es-ES"/>
        </w:rPr>
      </w:pPr>
      <w:r>
        <w:br w:type="page"/>
      </w:r>
    </w:p>
    <w:tbl>
      <w:tblPr>
        <w:tblW w:w="5838" w:type="pct"/>
        <w:jc w:val="center"/>
        <w:tblCellMar>
          <w:left w:w="70" w:type="dxa"/>
          <w:right w:w="70" w:type="dxa"/>
        </w:tblCellMar>
        <w:tblLook w:val="04A0" w:firstRow="1" w:lastRow="0" w:firstColumn="1" w:lastColumn="0" w:noHBand="0" w:noVBand="1"/>
      </w:tblPr>
      <w:tblGrid>
        <w:gridCol w:w="565"/>
        <w:gridCol w:w="4972"/>
        <w:gridCol w:w="339"/>
        <w:gridCol w:w="881"/>
        <w:gridCol w:w="338"/>
        <w:gridCol w:w="729"/>
        <w:gridCol w:w="301"/>
        <w:gridCol w:w="763"/>
        <w:gridCol w:w="1112"/>
        <w:gridCol w:w="492"/>
        <w:gridCol w:w="437"/>
      </w:tblGrid>
      <w:tr w:rsidR="00367191" w:rsidRPr="00367191" w14:paraId="53656E42" w14:textId="77777777" w:rsidTr="00367191">
        <w:trPr>
          <w:gridBefore w:val="1"/>
          <w:wBefore w:w="259" w:type="pct"/>
          <w:trHeight w:val="300"/>
          <w:jc w:val="center"/>
        </w:trPr>
        <w:tc>
          <w:tcPr>
            <w:tcW w:w="4741" w:type="pct"/>
            <w:gridSpan w:val="10"/>
            <w:tcBorders>
              <w:top w:val="nil"/>
              <w:left w:val="nil"/>
              <w:bottom w:val="nil"/>
              <w:right w:val="nil"/>
            </w:tcBorders>
            <w:shd w:val="clear" w:color="auto" w:fill="auto"/>
            <w:vAlign w:val="center"/>
            <w:hideMark/>
          </w:tcPr>
          <w:p w14:paraId="7864F059"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lastRenderedPageBreak/>
              <w:t>Lote N°1: Proyecto 19886 Agua y Saneamiento Comunidad  La Concepción</w:t>
            </w:r>
          </w:p>
        </w:tc>
      </w:tr>
      <w:tr w:rsidR="00367191" w:rsidRPr="00367191" w14:paraId="67F52CE4" w14:textId="77777777" w:rsidTr="00367191">
        <w:trPr>
          <w:gridBefore w:val="1"/>
          <w:wBefore w:w="259" w:type="pct"/>
          <w:trHeight w:val="300"/>
          <w:jc w:val="center"/>
        </w:trPr>
        <w:tc>
          <w:tcPr>
            <w:tcW w:w="2429" w:type="pct"/>
            <w:gridSpan w:val="2"/>
            <w:tcBorders>
              <w:top w:val="nil"/>
              <w:left w:val="nil"/>
              <w:bottom w:val="single" w:sz="4" w:space="0" w:color="auto"/>
              <w:right w:val="nil"/>
            </w:tcBorders>
            <w:shd w:val="clear" w:color="auto" w:fill="auto"/>
            <w:noWrap/>
            <w:vAlign w:val="center"/>
            <w:hideMark/>
          </w:tcPr>
          <w:p w14:paraId="7543B16A" w14:textId="77777777" w:rsidR="00367191" w:rsidRPr="00367191" w:rsidRDefault="00367191" w:rsidP="00367191">
            <w:pPr>
              <w:jc w:val="center"/>
              <w:rPr>
                <w:rFonts w:ascii="Arial" w:hAnsi="Arial" w:cs="Arial"/>
                <w:b/>
                <w:bCs/>
                <w:sz w:val="28"/>
                <w:szCs w:val="28"/>
                <w:lang w:val="es-MX" w:eastAsia="es-MX"/>
              </w:rPr>
            </w:pPr>
          </w:p>
        </w:tc>
        <w:tc>
          <w:tcPr>
            <w:tcW w:w="558" w:type="pct"/>
            <w:gridSpan w:val="2"/>
            <w:tcBorders>
              <w:top w:val="nil"/>
              <w:left w:val="nil"/>
              <w:bottom w:val="single" w:sz="4" w:space="0" w:color="auto"/>
              <w:right w:val="nil"/>
            </w:tcBorders>
            <w:shd w:val="clear" w:color="auto" w:fill="auto"/>
            <w:noWrap/>
            <w:vAlign w:val="center"/>
            <w:hideMark/>
          </w:tcPr>
          <w:p w14:paraId="40FA2EBD" w14:textId="77777777" w:rsidR="00367191" w:rsidRPr="00367191" w:rsidRDefault="00367191" w:rsidP="00367191">
            <w:pPr>
              <w:jc w:val="left"/>
              <w:rPr>
                <w:sz w:val="20"/>
                <w:lang w:val="es-MX" w:eastAsia="es-MX"/>
              </w:rPr>
            </w:pPr>
          </w:p>
        </w:tc>
        <w:tc>
          <w:tcPr>
            <w:tcW w:w="471" w:type="pct"/>
            <w:gridSpan w:val="2"/>
            <w:tcBorders>
              <w:top w:val="nil"/>
              <w:left w:val="nil"/>
              <w:bottom w:val="single" w:sz="4" w:space="0" w:color="auto"/>
              <w:right w:val="nil"/>
            </w:tcBorders>
            <w:shd w:val="clear" w:color="auto" w:fill="auto"/>
            <w:noWrap/>
            <w:vAlign w:val="center"/>
            <w:hideMark/>
          </w:tcPr>
          <w:p w14:paraId="58DFCC9E" w14:textId="77777777" w:rsidR="00367191" w:rsidRPr="00367191" w:rsidRDefault="00367191" w:rsidP="00367191">
            <w:pPr>
              <w:jc w:val="center"/>
              <w:rPr>
                <w:sz w:val="20"/>
                <w:lang w:val="es-MX" w:eastAsia="es-MX"/>
              </w:rPr>
            </w:pPr>
          </w:p>
        </w:tc>
        <w:tc>
          <w:tcPr>
            <w:tcW w:w="857" w:type="pct"/>
            <w:gridSpan w:val="2"/>
            <w:tcBorders>
              <w:top w:val="nil"/>
              <w:left w:val="nil"/>
              <w:bottom w:val="single" w:sz="4" w:space="0" w:color="auto"/>
              <w:right w:val="nil"/>
            </w:tcBorders>
            <w:shd w:val="clear" w:color="auto" w:fill="auto"/>
            <w:noWrap/>
            <w:vAlign w:val="center"/>
            <w:hideMark/>
          </w:tcPr>
          <w:p w14:paraId="1CB9BFF0" w14:textId="77777777" w:rsidR="00367191" w:rsidRPr="00367191" w:rsidRDefault="00367191" w:rsidP="00367191">
            <w:pPr>
              <w:jc w:val="left"/>
              <w:rPr>
                <w:sz w:val="20"/>
                <w:lang w:val="es-MX" w:eastAsia="es-MX"/>
              </w:rPr>
            </w:pPr>
          </w:p>
        </w:tc>
        <w:tc>
          <w:tcPr>
            <w:tcW w:w="425" w:type="pct"/>
            <w:gridSpan w:val="2"/>
            <w:tcBorders>
              <w:top w:val="nil"/>
              <w:left w:val="nil"/>
              <w:bottom w:val="single" w:sz="4" w:space="0" w:color="auto"/>
              <w:right w:val="nil"/>
            </w:tcBorders>
            <w:shd w:val="clear" w:color="auto" w:fill="auto"/>
            <w:noWrap/>
            <w:vAlign w:val="center"/>
            <w:hideMark/>
          </w:tcPr>
          <w:p w14:paraId="1D051B4D" w14:textId="77777777" w:rsidR="00367191" w:rsidRPr="00367191" w:rsidRDefault="00367191" w:rsidP="00367191">
            <w:pPr>
              <w:jc w:val="left"/>
              <w:rPr>
                <w:sz w:val="20"/>
                <w:lang w:val="es-MX" w:eastAsia="es-MX"/>
              </w:rPr>
            </w:pPr>
          </w:p>
        </w:tc>
      </w:tr>
      <w:tr w:rsidR="00367191" w:rsidRPr="00367191" w14:paraId="6D5254D2" w14:textId="77777777" w:rsidTr="00367191">
        <w:trPr>
          <w:gridBefore w:val="1"/>
          <w:wBefore w:w="259" w:type="pct"/>
          <w:trHeight w:val="360"/>
          <w:jc w:val="center"/>
        </w:trPr>
        <w:tc>
          <w:tcPr>
            <w:tcW w:w="4741"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3C81174"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Fondo de Inversión Social de Emergencia (FISE)</w:t>
            </w:r>
          </w:p>
        </w:tc>
      </w:tr>
      <w:tr w:rsidR="00367191" w:rsidRPr="00367191" w14:paraId="5D52046F" w14:textId="77777777" w:rsidTr="00367191">
        <w:trPr>
          <w:gridBefore w:val="1"/>
          <w:wBefore w:w="259" w:type="pct"/>
          <w:trHeight w:val="360"/>
          <w:jc w:val="center"/>
        </w:trPr>
        <w:tc>
          <w:tcPr>
            <w:tcW w:w="4741"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8CF9A6"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Detalle de Presupuesto (Costos en C$)</w:t>
            </w:r>
          </w:p>
        </w:tc>
      </w:tr>
      <w:tr w:rsidR="00367191" w:rsidRPr="00367191" w14:paraId="24FD1C40" w14:textId="77777777" w:rsidTr="00367191">
        <w:trPr>
          <w:gridBefore w:val="1"/>
          <w:wBefore w:w="259" w:type="pct"/>
          <w:trHeight w:val="360"/>
          <w:jc w:val="center"/>
        </w:trPr>
        <w:tc>
          <w:tcPr>
            <w:tcW w:w="4741"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E80F9D5"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(Formato de Oferta)</w:t>
            </w:r>
          </w:p>
        </w:tc>
      </w:tr>
      <w:tr w:rsidR="00367191" w:rsidRPr="00367191" w14:paraId="0E652695" w14:textId="77777777" w:rsidTr="00367191">
        <w:trPr>
          <w:gridBefore w:val="1"/>
          <w:wBefore w:w="259" w:type="pct"/>
          <w:trHeight w:val="319"/>
          <w:jc w:val="center"/>
        </w:trPr>
        <w:tc>
          <w:tcPr>
            <w:tcW w:w="474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7BC0"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Proyecto: 19886 Agua y Saneamiento Comunidad  La Concepción</w:t>
            </w:r>
          </w:p>
        </w:tc>
      </w:tr>
      <w:tr w:rsidR="00367191" w:rsidRPr="00367191" w14:paraId="7D2CDAD1" w14:textId="77777777" w:rsidTr="00367191">
        <w:trPr>
          <w:gridBefore w:val="1"/>
          <w:wBefore w:w="259" w:type="pct"/>
          <w:trHeight w:val="319"/>
          <w:jc w:val="center"/>
        </w:trPr>
        <w:tc>
          <w:tcPr>
            <w:tcW w:w="474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5CD96"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Departamento: Madriz</w:t>
            </w:r>
          </w:p>
        </w:tc>
      </w:tr>
      <w:tr w:rsidR="00367191" w:rsidRPr="00367191" w14:paraId="1686FA16" w14:textId="77777777" w:rsidTr="00367191">
        <w:trPr>
          <w:gridBefore w:val="1"/>
          <w:wBefore w:w="259" w:type="pct"/>
          <w:trHeight w:val="319"/>
          <w:jc w:val="center"/>
        </w:trPr>
        <w:tc>
          <w:tcPr>
            <w:tcW w:w="474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37046"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Municipio: Palacagüina</w:t>
            </w:r>
          </w:p>
        </w:tc>
      </w:tr>
      <w:tr w:rsidR="00367191" w:rsidRPr="00367191" w14:paraId="397FB2CD" w14:textId="77777777" w:rsidTr="00367191">
        <w:trPr>
          <w:gridBefore w:val="1"/>
          <w:wBefore w:w="259" w:type="pct"/>
          <w:trHeight w:val="300"/>
          <w:jc w:val="center"/>
        </w:trPr>
        <w:tc>
          <w:tcPr>
            <w:tcW w:w="2429" w:type="pct"/>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34CA80"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ETAPA \ SUBETAPA \ ACTIVIDAD</w:t>
            </w:r>
          </w:p>
        </w:tc>
        <w:tc>
          <w:tcPr>
            <w:tcW w:w="558"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2B49664B"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U.M</w:t>
            </w:r>
          </w:p>
        </w:tc>
        <w:tc>
          <w:tcPr>
            <w:tcW w:w="471"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39E62443"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Cantidad</w:t>
            </w:r>
          </w:p>
        </w:tc>
        <w:tc>
          <w:tcPr>
            <w:tcW w:w="857"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4D09F016"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Precio Unitario C$</w:t>
            </w:r>
          </w:p>
        </w:tc>
        <w:tc>
          <w:tcPr>
            <w:tcW w:w="425" w:type="pct"/>
            <w:gridSpan w:val="2"/>
            <w:tcBorders>
              <w:top w:val="single" w:sz="4" w:space="0" w:color="auto"/>
              <w:left w:val="nil"/>
              <w:bottom w:val="single" w:sz="4" w:space="0" w:color="auto"/>
              <w:right w:val="single" w:sz="4" w:space="0" w:color="auto"/>
            </w:tcBorders>
            <w:shd w:val="clear" w:color="000000" w:fill="C0C0C0"/>
            <w:noWrap/>
            <w:vAlign w:val="center"/>
            <w:hideMark/>
          </w:tcPr>
          <w:p w14:paraId="114C5C5A"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Total C$</w:t>
            </w:r>
          </w:p>
        </w:tc>
      </w:tr>
      <w:tr w:rsidR="00367191" w:rsidRPr="00367191" w14:paraId="29379267" w14:textId="77777777" w:rsidTr="00367191">
        <w:trPr>
          <w:gridBefore w:val="1"/>
          <w:wBefore w:w="259" w:type="pct"/>
          <w:trHeight w:val="300"/>
          <w:jc w:val="center"/>
        </w:trPr>
        <w:tc>
          <w:tcPr>
            <w:tcW w:w="4741" w:type="pct"/>
            <w:gridSpan w:val="10"/>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72FB2E99"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1: Construcción de Miniacueducto por Bombeo Eléctrico (MABE)</w:t>
            </w:r>
          </w:p>
        </w:tc>
      </w:tr>
      <w:tr w:rsidR="00367191" w:rsidRPr="00367191" w14:paraId="769973ED" w14:textId="77777777" w:rsidTr="00367191">
        <w:trPr>
          <w:gridBefore w:val="1"/>
          <w:wBefore w:w="259" w:type="pct"/>
          <w:trHeight w:val="300"/>
          <w:jc w:val="center"/>
        </w:trPr>
        <w:tc>
          <w:tcPr>
            <w:tcW w:w="4741" w:type="pct"/>
            <w:gridSpan w:val="10"/>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3F845C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Agua y Saneamiento -MABE o MAG</w:t>
            </w:r>
          </w:p>
        </w:tc>
      </w:tr>
      <w:tr w:rsidR="00367191" w:rsidRPr="00367191" w14:paraId="27BB471C" w14:textId="77777777" w:rsidTr="00367191">
        <w:trPr>
          <w:gridBefore w:val="1"/>
          <w:wBefore w:w="259" w:type="pct"/>
          <w:trHeight w:val="255"/>
          <w:jc w:val="center"/>
        </w:trPr>
        <w:tc>
          <w:tcPr>
            <w:tcW w:w="431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1315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310 - PRELIMINARES</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D00777"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7BEEEE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A3BFB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31002 - TRAZO Y NIVELACIÓN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2FE67FB"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4E7F13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11,972.00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11E579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13696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198661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DF07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96768 - REPLANTEO DEL TRAZO Y NIVELACION PARA TUBERIAS DE AGUA POTABLE(INCL. ESTACAS DE MADERA+MANO DE OBRA+EQUIPO DETOPOGRAFIA)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12FAA9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CAF5A3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11,972.00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E23B1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5533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D8166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2458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31005 - RÓTULO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82CBA0"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0CA82B5"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4051B7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FB898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9191AD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E11C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04277 - RÓTULO TIPO FISE DE 1.22m x 2.44m (ESTRUCTURA DE ACERO+FORRO DE ZINC LISO) CON BASES DE CONCRETO REF.DE 2,500 PSI(INCL. PINT. ANTICORROSIVA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906B12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0C5F09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4ABB4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2A70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FA61BF" w14:textId="77777777" w:rsidTr="00367191">
        <w:trPr>
          <w:gridBefore w:val="1"/>
          <w:wBefore w:w="259" w:type="pct"/>
          <w:trHeight w:val="840"/>
          <w:jc w:val="center"/>
        </w:trPr>
        <w:tc>
          <w:tcPr>
            <w:tcW w:w="4316"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3281AA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320 - LÍNEA DE CONDUCCIÓN</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9248A9"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63B74E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84BAD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32017 - TUBERIA DE 3"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901D8BA"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6E417A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5,008.00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76B874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33292E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8C9096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007D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7DAE76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3EBF65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3,591.00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E5744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4EAA5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9F483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A9F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95230 - TUBERIA SECCIÓN CIRCULAR DE HIERRO FUNDIDO DÚCTIL Diám.=80mm(3") ISO 2531:2009,Clase C,Espesor de pared=4.4 mm,C40,Presión de trabajo=40 Bar(NO INCL.E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250ED6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5AFC31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1,417.00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2DCE2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EE3DC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EEAB45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A230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95545 - CINTA DE PLÁSTICO PARA ADVERTENCIA DE PELIGRO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43846E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E04D87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1,000.00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AF24C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5BF5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92CD6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1671A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32023 - PRUEBAS HIDROSTÁTICAS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1132F60"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80D143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16.00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8CD97D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246DCD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DB610C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DE52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93282 - PRUEBA HIDROSTÁTICA (DE PRESIÓN y DE ESTANQUEIDAD)(CON BOMBA MANUAL) EN TUBERIA y ACCESORIOS PVC Diám.=4" L=HASTA 300 m PARA PROYECTOS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90B90B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BBC3D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FA0D8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916A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A72E3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AEFA1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32025 - VÁLVULAS Y ACCESORIOS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BCFCA1"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0346FC6"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6B0DD1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1F87B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6B2609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A48B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02271 - VALVULA DE HIERRO FUNDIDO Diám. = 3" (INCL. EXCAVACION Y BLOQUE DE REACCION)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17D55E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05677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044CC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4A63EE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E4C65A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3078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03354 - CAJA PARA PROTECCION DE VALVULA HECHA DE TUBO DE CONCRETO SIN REF. Diám.=8" (NO INCL.EXCAVACION)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2895CF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AC1633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80871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F9F5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E93FE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480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033B6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AEC5C1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89666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CE07B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7DC41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565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93847 - CODO DE HIERRO GALVANIZADO DE 3"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E5B43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E306D3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2DB5A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42A15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6CDB8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D874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93854 - CODO DE HIERRO FUNDIDO DE 3"X 45°</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70023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B686AF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FDC8D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B2786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5AE2A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2E49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93862 - VALVULA DE CHECK DE HIERRO FUNDIDO Diám.=3" EXTREMOS BRIDADOS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FB603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4B1BF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21949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F1C64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3AB8F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B505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93869 - CODO DE HIERRO GALVANIZADO DE 3" X 45°</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79226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CD98F1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15387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C9355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75509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D6BC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94311 - VALVULA DE AIRE Y VACIO DE HIERRO FUNDIDO Diám.=½"+ ABRAZADERA DE HIERRO GALVANIZADO+UNION DE BRONCE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708E7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BB1F47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4FBAA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5B9AED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C800A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A071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95229 - CODO DE HIERRO FUNDIDO DE 3"X90°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3745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36ABAA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08728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C3156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B99495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D706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325 - PILAS ROMPE PRESION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E5E6E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7BD00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8C97E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51256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6BF1A6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9EADD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32503 - PILA ROMPE PRESION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81311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345C4A2"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6953D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65284D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92A270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64A3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05377 - CAJA (PILA ROMPE PRESION) DE CONCRETO DE 3,000 PSI REF. Ancho=0.70m,Largo=1.05m,Alt.=1.00m CON COLUMNA DE CONCRETO DE 0.15mx0.15m(INCL. REPELLO Y FINO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BD8CE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764F0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67233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61B87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30785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28C06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32505 - TUBERIAS, VALVULAS Y ACCESORIOS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36A802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7C3CD68"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DAC07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BAF67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A7221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850F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02099 - BLOQUE DE REACCION DE CONCRETO DE 3,000 PSI REF. PARA VALVULAS (NO INCL. EXCAVACION, NI ACARREO)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CB810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C4CD4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A8531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2BF30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E5BAA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D358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03306 - CAJA PARA PROTECCION DE VALVULA HECHA DE TUBO DE CONCRETO SIN REF. Diám.=6" Alt.=1.20(NO INCL EXC NI ACABADOS) (NO INCL. VALVULA)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7EE24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5F4C5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A56B7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BD22B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F52C2D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722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92847 - UNION LISA DE PVC Diám.=2"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E3107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9F2861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80F0E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4A37F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35BFA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924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DA26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E0058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E4540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1C928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3F102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0588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94C26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97F451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28982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06532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A1E0C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5B1D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94305 - CODO DE HIERRO GALVANIZADO DE 1 ½" x 90º</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599E5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BF4E66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D3816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D522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7A255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384C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94310 - VALVULA DE BOYA (FLOTADOR) DE CONTROL DE NIVEL DE HIERRO FUNDIDO Diám.=1½"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DD1B1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088DBA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D5F90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644C6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E7C98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843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95558 - VALVULA (o LLAVE) DE PASE DE HIERRO FUNDIDO Diám.=2" EXTREMOS BRIDADOS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6386E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E0445E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4FB68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BD34A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63372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2AD3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95850 - TUBERIA SECCIÓN CIRCULAR DE HIERRO GALVANIZADO Diám.=1½" (NO INCL. 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BFEBE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6D8E81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A4CCE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F978F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95A0C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489E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96161 - VALVULA DE BOYA (FLOTADOR) DE CONTROL DE NIVEL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5E717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D72F19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DAB59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1879C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072A0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45FE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96166 - TUBERIA DE PVC Diám.=1½"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D40AF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58AE44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C6310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F73D0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5FC50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E3AE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96193 - CODO LISO DE PVC Diám.=1½",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39ADC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7038E4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E7561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82E32C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8AC0F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58B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96486 - VALVULA (o LLAVE) DE PASE DE HIERRO FUNDIDO Diám.=1½" EXTREMOS ROSCA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DA152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0F52A9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86F23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A9F33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849D6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194B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97110 - UNION LISA DE PVC Diám.=1½"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61EA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65EA4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7EB50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96BD9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082E15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9678D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330 - LÍNEA DE DISTRIBUCIÓN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AA5B6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2687D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DB63A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2ED9B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0EFD1D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C443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33014 - TUBERIA DE 1 ½"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9A2AC6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0BBE55E"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6,482.00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35B49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01216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CA8C4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52BE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96171 - TUBERIA DE PVC Diám.=1½" (SDR-26) (ASTM D2241) (JUNTA CEMENTADA) PRECIO DE MATERIALES MAYORISTA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075B02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DF288A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6,482.00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C713E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F6507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68364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7359C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33015 - TUBERIA DE 2"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E47072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5EAF675"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482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1FDA7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B0E6C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708F6E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F6BA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74A70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DB8E18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8B11D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DC7DA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6CF33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451C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33022 - PRUEBAS HIDROSTÁTICAS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0F348E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04032BC"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24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9E743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80E5F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2E0B9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BC22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93282 - PRUEBA HIDROSTÁTICA (DE PRESIÓN y DE ESTANQUEIDAD)(CON BOMBA MANUAL) EN TUBERIA y ACCESORIOS PVC Diám.=4" L=HASTA 300 m PARA PROYECTOS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C745E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76AF8D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DD896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90399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2D468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7FFD4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33023 - VÁLVULAS Y ACCESORIOS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24103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28FDBA2"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28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3E9D0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E292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8E9494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F699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03070 - CAJA DE REGISTRO DE CONCRETO DE 2,500 PSI REF.+CONCRETO DE 3,000 PSI DE Ancho=1.00m,Largo=2.00m,Alt.=0.50m CON REPELLO y FINO CORRIENTE(INCL.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4793B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9FEC25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D7303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056B1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DB973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ACEFD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03145 - VALVULA DE COMPUERTA DE HIERRO FUNDIDO Diám.=2" (INCL. 1 BLOQUE DE REACCION)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D7952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271658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35036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73539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A46BB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4623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03354 - CAJA PARA PROTECCION DE VALVULA HECHA DE TUBO DE CONCRETO SIN REF. Diám.=8" (NO INCL.EXCAVACION)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D485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31B52D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A46D2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A103A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5188E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C593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AE6E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1DB31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1177F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D8458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67FA4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FCBF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94006 - TEE LISA DE PVC Diám.=2"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4BB8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1F834D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A0EEE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9E05D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CD6807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FA90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94008 - VALVULA REGULADORA DE PRESION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18281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6BD730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CF18D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9DA0A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DC0D1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AC4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94017 - VALVULA REGULADORA DE PRESION DE HIERRO FUNDIDO Diám.=1½"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196F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ED75DE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739A5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9A06F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72E70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EECC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94293 - UNION MALEABLE DE HIERRO GALVANIZADO Diám.=1½"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22A02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0B2D5C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7C08C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0D2A7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78905B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15B5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94366 - UNION MALEABLE DE HIERRO GALVANIZADO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EDB5E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0CA99B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777B6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6A809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26500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AD61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C70F7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4C86AD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7B6C77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A0EFD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46AB3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D809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95104 - MANOMETRO HIDRÁULICO TUBO BOURDON ¼"(Carcasa de ACERO INOXIDABLE) Presion de trabajo=De 0 a 100 PSI con dial circular Diám.=2",lectura en doble escala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EFB37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694171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A473B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9B61B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9EF59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250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95558 - VALVULA (o LLAVE) DE PASE DE HIERRO FUNDIDO Diám.=2" EXTREMOS BRIDADOS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36576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677A28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6A26D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04365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B7CAB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027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96193 - CODO LISO DE PVC Diám.=1½",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525FF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DC6AD2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9EEBC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6C07E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9D0A6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E9BA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96199 - VALVULA DE LIMPIEZA DE HIERRO FUNDIDO Diám.=1½"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B92AB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4B841E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BC5E9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2A658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BA601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A5C3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96486 - VALVULA (o LLAVE) DE PASE DE HIERRO FUNDIDO Diám.=1½" EXTREMOS ROSCA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555E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529459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B5F37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EEB8E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7471C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522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96984 - TEE LISA DE PVC Diám.=1½"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A1BBB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4FE499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A599FA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4E07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20DFAB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3EA62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33025 - CRUCES BAJO LECHO DE CAUCES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77825F6"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75556BC"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FED5A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FBA1D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F1F21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57A4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04066 - CRUCE (BAJO LECHO) DE CAUCE CON TUBERIA SECCIÓN CIRCULAR DE HIERRO GALVANIZADO Diám.=1½" CON CONCRETO DE 3,000 PSI SIN REF.</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65C3A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B46C5B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51CFC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418BC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C13DF7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E15A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92586 - DESINSTALACIÓN MANUAL DE ADOQUINADO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74F8FA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245F99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185EB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9BABD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9814A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1D4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95959 - INSTALACION DE ADOQUINADO Ancho=0.22m, Long.=0.24m, Alto=0.10m(INCL. COLOCADA DE ARENA) (NO INCL. EQ</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6FD38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B6A8EC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1F458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5FB1D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8153F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5D634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335 - TANQUE DE ALMACENAMIENTO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FB734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266D1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D790C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7D06A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EEBF6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7EB2A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33501 - MOVIMIENTO DE TIERRA PARA TANQUE DE ALMACENAMIENTO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99541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13AD304"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168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8BDF4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A6641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76AC2A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32B1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4D74E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2E8B3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39.27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4303C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987BD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4B02D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BB55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92287 - CORTE MANUAL DE TERRENO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ECF6D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6A9AE8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69A67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C85A6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D929EF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B8C4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93278 - RELLENO Y COMPACTACIÓN (CON VIBRO-COMPACTADORA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15B21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017CE9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7.87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C5D93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CEEBB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E2B9BD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E8D7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94390 - BOTAR (MANUAL) MATERIAL SOBRANTE DE EXCAVACION A 0.10 KM (100 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BA104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B2AEE2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157.12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8FFD9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A3714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931BC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05B68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33507 - OTRO TIPO DE OBRAS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8395BA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B7EB984"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79FC3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711BD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1A8D8D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9E40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03114 - VALVULA DE COMPUERTA DE HIERRO FUNDIDO Diám.=3" (INCL. 1 BLOQUE DE REACCION)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E22C4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6CAAC5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84309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EDA242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CDA454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9445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03474 - CAJA DE REGISTRO DE CONCRETO DE 2,000 PSI REF.+PARED DE LADRILLO CUARTERON DE Ancho 1=0.60m,Ancho 2=0.60m,Alt.=0.90m(INCL.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4916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2E6EBA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FEBB9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1491C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0B70A2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0F4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04905 - LOSA DE CONCRETO DE 3,000 PSI Esp.=0.07m, REF.#3 @0.20m EN A/D(NO INCL. EXCAVACION, NI ACABADOS)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5D1FE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422AF8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1B468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110E8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DCAEF3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D16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6330BE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F5D75A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F77CA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19435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988CAC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475E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5FD7E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8E3CEA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67BC5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55CF0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6B2753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D6F5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48D64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F5E715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52FDA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7D663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0B47B4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47A6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93847 - CODO DE HIERRO GALVANIZADO DE 3"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2CC8A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BE245B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29A9C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07E84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40540C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EAF1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93854 - CODO DE HIERRO FUNDIDO DE 3"X 45°</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E2D21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46D557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175CE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F74EF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F5F97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9258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93873 - RESPIRADERO DE TUBO DE Ho. Go. Diám. = 3"</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6944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E68426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0C8C9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1F3A4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946E4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7087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94567 - UNION DRESSER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168C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508B57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A26FD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4E4BF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C4498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57FB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5195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5DA091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89A6C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75375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EEB43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64A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96455 - TEE DE HIERRO GALVANIZADO Diám.=2"x 2" x 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3B2D3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E613B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323CB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F53FB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CA7E7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859C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97136 - MEDIDOR MAESTRO DE HIERRO FUNDIDO Diám.=3"</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C407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A597A0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5AB42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63427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9D3BD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62F1F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33508 - CERCAS PERIMETRALES Y PORTONES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6E9CDA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28249BF"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223.5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B53D6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A6A8C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8BB92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E18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03064 - CERCO (A) DE POSTES DE CONCRETO PRETENSADO Alt.=2.55m CON 9 HILADAS DE ALAMBRE DE PÚAS Cal.#13½(INCL. BASES DE CONCRETO DE 2,500 PSI y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AC430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384962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59.8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08059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6FE80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F2B018" w14:textId="77777777" w:rsidTr="00367191">
        <w:trPr>
          <w:gridBefore w:val="1"/>
          <w:wBefore w:w="259" w:type="pct"/>
          <w:trHeight w:val="102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AB7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03586 - PORTÓN DE POSTES DE MADERA DE PINO Diám.=0.25m(10")Alt.=2.00m y POSTES DE MADERA PINO Diám.=0.125m(5")CON FORRO DE ALAMBRE DE PÚAS L=4.25m,Alt.=1.40m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8773B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11F668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CAC7E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08045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BA7A6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5A6D5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33511 - TANQUE DE ALMACENAMIENTO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821C6F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2DC128F"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44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FC0BD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02C47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8ED5C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F67D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92137 -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C2898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C797BC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54.4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B8D92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12D93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370686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AD53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92147 - PINTURA DE ACEITE (COLOR DE LÍNEA) CALIDAD STANDARD (INCL. 2 MANOS)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671B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08E249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81FB9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42250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0309C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11E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CD26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B43949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75.67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AA75F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21544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6CC7A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9BCA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3A320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427740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34.18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89B7C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FFB5E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9F568C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3333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92345 - FORMALETA DE MADERA DE PINO PARA VIGAS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053F7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04DCB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29.68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38596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6EF00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EBA4EC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C0A9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8260C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6B54BC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102.4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4285A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B36C1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2458C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6E07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92387 - FORMALETA DE MADERA DE PINO PARA FONDO DE ENTREPISO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10A1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D189AD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3F9B8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E22F5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17794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6D87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92589 - PINTURA IMPERMEABILIZANTE ELASTOMÉRICO MONOCMPONENTE EN SUPERFICIE DE LOSA DE CONCRETO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ED89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2C44B2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54.4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F842D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CD442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66FD3A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9364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92854 - ANDEN DE CONCRETO (CON MEZCLADORA) Espesor= 0.10m REF. #3 A CADA 0.25 m EN AMBAS DIRECCIONES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A7875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A3758A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34.54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8515C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468E0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55A8B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16ECA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93411 - PINTURA EPOXICA BLANCA (INCL. CATALIZADOR EPÓXICO BLANCO) SOBRE PAREDES DE TANQUES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80C3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BCDEFF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54.4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67ADE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2A44E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E27C3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3764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93622 - ACABADO FINO LLANEADO EN LOSA DE CONCRETO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1E31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64B3D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15.81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F72B4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E829D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17923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C435F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94356 - HIERRO (EN VARILLAS) CORRUGADO (GRADO 60) Diám. &gt; AL No. 4 (NO INCL. 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56A1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LBS</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284D04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2378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C37E6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79D1A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71E696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50FB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95110 - CONCRETO DE 4,000 PSI (CON MEZCLADORA)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DC8A9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613F2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34.18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6583C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21CD4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EA492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BEE6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95309 - HIERRO (EN VARILLAS) CORRUGADO (GRADO 60) Diám. &lt;= AL No. 4 (NO INCL. 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9E3C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LBS</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373BB4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2215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9E4A8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4158D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2B67A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04FB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95518 - FORMALETA DE MADERA DE PINO PARA LOSA AEREA @ Alt.=2.40m (INCL. BARULES DE PINO DE 4" x 4")</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642FF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349459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CFFFE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3E116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97ED8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46D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95522 - TAPA DE ACERO (A-36) DE 0.70mx0.70m,Esp.=1/8" CON 2 CANDADOS MEDIANOS (INCLUYE PINTURA ANTICORR)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75D713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6CCC3F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885A5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A1EAB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D9985D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8014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96221 - IMPERMEABILIZANTE (MORTERO CEMENTICIO CON BASE AGUA) PARA REC. TIPO SIKA-101 O SIMILAR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C8D55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511B90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54.4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3F4A6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A540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B05BE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B0FC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96235 - CURADO DE CONCRETO (ROCIAR AGUA CONTINUA y SUAVEMENTE SOBRE LA SUPERFICIE) CON MANGUERA JARDIN Diám.=½"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1E3C5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A28EC3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34.2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EFA0B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9854B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2910A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C38F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96973 - PINTURA BASE SELLADOR COLOR BLANCO (A BASE DE AGUA) (UNA MANO)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252EA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1E8799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E8C68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B9397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BD682B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6FAA4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340 - FUENTE Y OBRAS DE TOMA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8E381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AED63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013B8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F9B17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57FF7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1188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34019 - POZOS (PERFORADOS Y/O EXCAVADOS)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F76E9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159F4B0"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30CE4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0A1E1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76024C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F19A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04286 - SELLO CON MATERIAL BENTONITA (ARCILLA COLOIDAL) Y MORTERO PROPORCION 1:1 PARA POZO PERFORADO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6BA77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PIE</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A8C6A0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7CB6E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25238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70C0E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010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40046 - PRUEBA DE BOMBEO ESCALONADA(INCL. ALQUILER BOMBA SUMERGIBLE,SONDA MANUAL y BOMBA DE SUCCION)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C3CBF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HRS</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1782A0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9F156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A863A2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23B868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551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40552 - PRUEBA DE BOMBEO CONSTANTE (INCL. ALQUILER DE BOMBA SUMERGIBLE,VÁLVULAS PARA DETERMINAR EL CAUDAL DEL POZO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B3892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HRS</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45A428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5B7D8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8EE8A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5BCB5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A4E6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138EB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FB6F5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901FB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C1428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13B0C0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93FA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92620 - LIMPIEZA Y DESARROLLO (POR MEDIO DE PRESION DE AIRE) EN TUBO PARA ESTABILIZAR PAREDES EN POZOS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001E2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HRS</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365B7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035B1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6EF31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862F1F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487B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93514 - TAPON HEMBRA LISO DE PVC Diám.=1½"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4BA72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FC2B15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B1AB9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B564A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2ECF8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981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93618 - GRAVILLA DE RIO (CANTO RODADO DE 10 a 15 mm) (CONS. COMPRA)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719CD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3DF960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3.41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38C3E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6467C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B1ADD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DCBF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94029 - TAPON HEMBRA LISO DE PVC Diám.=8"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B5AB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28EA88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5E437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F28AE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2D976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66A3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94308 - TAPON HEMBRA CON ROSCA DE PVC Diám.=2" (SCH 40) (ASTM D2466)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96F3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6F8A9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C83B0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31E0E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D5643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15C6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95018 - PERFORACION DE POZO CON MAQUINA ROTATIVA Diám. de Perforación=14" EN TERRENO COMBINADO(NATURAL Y DURO)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9680B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PIE</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79575B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196.85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BD0F2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A0055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C96414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21B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68474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27158A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161AC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B14EB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49F2B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5309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96166 - TUBERIA DE PVC Diám.=1½"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96A8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DCC197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9F8A1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2610D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EC4B0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F01E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97122 - TUBERIA SECCIÓN CIRCULAR CIEGA (o SIN RANURA) DE PVC Diám.=8" (SDR-21) (ASTM F480) PARA ADEME EN POZO CON MAQUINA ROTATIVA CON MARTILLO(Hidráulica)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9C4A4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7E8F3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EC737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AB33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4A386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7FB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97123 - TUBERIA RANURADA DE PVC Diám.=8" (SDR-21) SLOT 60 (Abertura)=1.5 mm (ASTM F480)ADEME EN POZO CON MAQUINA ROTATIVA CON MARTILLO(Hidráulic cap.perf=320m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A4660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8FC027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6F699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D77CE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8DC1E1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63C82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34020 - ANÁLISIS DE CALIDAD DEL AGUA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0335B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B2FD536"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3</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51379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73720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612E96" w14:textId="77777777" w:rsidTr="00367191">
        <w:trPr>
          <w:gridBefore w:val="1"/>
          <w:wBefore w:w="259" w:type="pct"/>
          <w:trHeight w:val="102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7B74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40020 - ANÁLISIS FÍSICO-QUÍMICO(20 PARÁMETROS:Color,olor,durez,turbieda+CIANUROS y GASES DISUELTOS:NITROG.y Comp.),AMONÍACO y METANO)DE 1(UNA) MUESTRA DE AGUA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E2E87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A11877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D8739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7C219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C336C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517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40021 - ANÁLISIS BIOLÓGICOS-BACTERIOLÓGICO COMPLETO(Bacterias coliformes fecales y totales, Escherichia Coli) DE 1(UNA) MUESTRA DE AGUA PARA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A9D9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F0B0B2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5B79B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FCFB0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10466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989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40089 - ANÁLISIS QUÍMICO DEL AGUA (ARSÉNICO) DE 1(UNA) MUESTRA DE AGUA PARA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FC91E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197529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547D4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FAE34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BD7B3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A535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345 - ESTACIÓN DE BOMBEO -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A0BC3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04EC3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8BFF6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756DF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A17DC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2D0F6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34501 - CASETA DE CONTROL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B59AA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2FA81D0"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11.26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F52C2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4F052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F9F20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62686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04275 - CASETA DE MAMPOSTERIA CONFINADA DE PARED DE BLOQUE DE MORTERO+CUBIERTA DE TECHO DE ZINC+PUERTA DE TUBO,Área=3.95 mx2.85m P/CLORACION Y CONTROLES ELECT</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24CD5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898D09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98711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DC613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930DB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C5FE9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34503 - EQUIPOS, TUBERÍA Y ACCESORIOS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C47B6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BBE55F7"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FF4A5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78843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66AF3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8151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03532 - BLOQUE DE REACCION DE CONCRETO DE 3,000 PSI REF. DE 0.50 m C/ANCLAJE DE VARILLAS DE HIERRO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91A2A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BE7182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B95D1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D8E47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F7ADD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5D90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04825 - LOSA DE CONCRETO DE 3,000 PSI Esp.=0.075m, REF. CON MALLA ELECTROSOLDADA,Esp.=4.88mm CON ACABADO FINO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7C5F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A6B80B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935BF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DEF36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809B9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5C7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92009 - CONCRETO DE 3,000 PSI (MEZCLADO A MANO)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8549A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0C56CF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0.52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0F337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D9C3A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ED9BB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E60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92236 - PINTURA ANTICORROSIVA (INCL. 2 MANOS: 1 DE TALLER y 1 INSTALADO)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32CBE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6A643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3709E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27740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FAA61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7C54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C6D2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77E571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0.52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4E10B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89101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B9913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C187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93598 - BLOQUE DE REACCION DE CONCRETO C/ANCLAJE P/ACCESORIOS DE TUBOS (USANDO MADERA DE PINO)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27B3B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CB28ED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91F17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8D300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52046C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03C1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93828 - SARTA DE TUBERIA DE HIERRO FUNDIDO Diám.=3"(INCL. 3 VALVULAS DE HIERRO FUNDIDO DE 3"y2") CON MEDIDOR Diám.=3" +MANOMETRO HIDRAUL PARA EQUIPO DE BOMBEO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6119E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CF40CD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99CF4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564BF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5CB3B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4889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94525 - PLATINA CUADRADA DE HIERRO FUNDIDO DE 16" CON 1(UN) ORIFICIO AL CENTRO Diám.=3",Espesor=¼" PARA SOPORTE DE EQUIPO DE BOMBEO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3C63C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707573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FAA9E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F93FC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45E43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6897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94889 - VALVULA ANTICIPADORA DE ONDAS DE HIERRO FUNDIDO Diám.= 3"</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8FBA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DE9843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2811C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E2966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156D1D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503E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95230 - TUBERIA SECCIÓN CIRCULAR DE HIERRO FUNDIDO DÚCTIL Diám.=80mm(3") ISO 2531:2009,Clase C,Espesor de pared=4.4 mm,C40,Presión de trabajo=40 Bar(NO INCL.E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280B3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E7FD58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48.57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92EC1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1D487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1490E3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BCE2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95990 - BOMBA C/MOTOR SUMERGIBLE DE 20 HP, Q=35 GPM, CTD=1,210 ', 3/60/230 V</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3D8D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3636CB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84F62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87D12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F58E6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B2FF5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34504 - INSTALACIONES ELÉCTRICAS -MEDIA TENSIÓN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FFB732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C7D1C8B"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6BCF2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9C29C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1E7DD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65C2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92802 - TRANSFORMADOR DE 10 KVA, 14.4/24.9 KV, 120/240 v (NO INCL. ESTRUCTURA)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6D5B1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EF60E9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09BCD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4358A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D4BB29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CD49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93562 - CABLE ELECTRICO ACSR(Aluminum Conductor Steel Reinforced-Conductor de Aluminio con Refuerzo de Acero) #1/0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78536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C9AF0C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370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F1317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A7749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CCFC6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EB4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93906 - POSTE TRONCOCONICO DE CONCRETO PRETENSADO, Alto=40' (12.20 m), Diám.=4"(NO INCL. ESTRUCTURA ELECTRIC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B1C54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8EFAB1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D82D23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EC676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845FB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FBA5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94431 - ESTRUCTURA ELECTRICA PR-101 C TIERRA 14.4/24.9 KV (MEDIA TENSION)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90A09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1093B5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A3664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3C311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F1D4C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5859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94433 - ESTRUCTURA ELECTRICA HA-100 b/C VIENTO SENCILLO MEDIA TENSIÓN 14.4/24.9 KV</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A66C1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325C5B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B1EDB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9C6EF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C440E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D2A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94585 - ESTRUCTURA ELECTRICA MT-807/C: MONTAJE TRIFASICO - FIN DE LINEA (HORIZONTAL)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BCE27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EBE953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07036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BF9EB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6256A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A17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95199 - ESTRUCTURA ELECTRICA MT-810/C: MONTAJE TRIFASICO,ALINEAMIENTO C/DERIVACION TRIFASI</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163D3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DC04A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4E640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0519F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858C2A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A36F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95592 - ESTRUCTURA ELECTRICA TR2-305: BANCO DE TRANSFORMACION TRIFASICO (NO INC. TRANSFOR.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0AC6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A671A1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060F0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1F8FE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E51963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08AD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34506 - CERCAS PERIMETRALES Y PORTONES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14B0B7D"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704626C"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359.6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E40A2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0B72D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888E91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CEB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03064 - CERCO (A) DE POSTES DE CONCRETO PRETENSADO Alt.=2.55m CON 9 HILADAS DE ALAMBRE DE PÚAS Cal.#13½(INCL. BASES DE CONCRETO DE 2,500 PSI y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3F056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633133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79.16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075E1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557E8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D49BFE" w14:textId="77777777" w:rsidTr="00367191">
        <w:trPr>
          <w:gridBefore w:val="1"/>
          <w:wBefore w:w="259" w:type="pct"/>
          <w:trHeight w:val="102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2DB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03586 - PORTÓN DE POSTES DE MADERA DE PINO Diám.=0.25m(10")Alt.=2.00m y POSTES DE MADERA PINO Diám.=0.125m(5")CON FORRO DE ALAMBRE DE PÚAS L=4.25m,Alt.=1.40m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67903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B79677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B8445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C6D51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FBC57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71088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34508 - INSTALACIONES ELÉCTRICAS -BAJA TENSIÓN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E62330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84BC47E"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DBDFD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CBD73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D5960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D3C7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92197 - APAGADOR DOBLE DE 15 AMP/120V CON PLACA METALICA DE 2 HOYOS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2AC19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F5F7AA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CF1DB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588F2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85FC1A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E962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63B9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1C7E53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CB10B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F089C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B2E2A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9431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92266 - CAJA DE REGISTRO DE ACERO (Rolado en frío) GALVANIZADO DE 4" x 4",46mm(1-3/16"),Esp.=1.5 mm con perforaciones para salida y entrada de ½"y 3/4" P/ELEC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29B6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757C25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CC6C5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09EB5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6DE25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F04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92268 - CANALIZACION CON TUBO CONDUIT DE PVC Diám.=½" (INCL. BRIDAS DE EMT)</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549B3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78834E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F628F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331D9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DFAFB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9003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92270 - CABLE ELECTRICO DE COBRE THHN Cal.#12 AWG</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3D420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BE8806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1935D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D69FB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B9270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6594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92506 - LAMPARA (ó LUMINARIA) FLUORESCENTE DE 1x20 WATTS CON 1 TUBO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ED2E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6117F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8604E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1C370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EAEEEE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AE9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92550 - TUBO DE EMT Diám.=1½" L= 5.00 m CON CALAVERA DE EMT Diám. = 1½"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E71F3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49AD76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34735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DE8FF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077F1B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0F08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92558 - BREAKER DE 1 POLO x 20 AMPERIOS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3B3C9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34F1F4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D704C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83767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1A159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80336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92650 - CABLE ELECTRICO DE COBRE THHN Cal.#6 AWG</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4196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0354F9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83ADB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503853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302FB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BA81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92698 - BREAKER DE 2 POLOS x 20 AMPERIOS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00C57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47B5D6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BBC2D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D29E4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39F26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A417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92732 - APAGADOR SENCILLO CONMUTADO DE 15 AMP/120V, 1 VIA CON PLACA METALICA DE 1 HOYO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2028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8BE32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3B68C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D3898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AE62F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15A3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92734 - BREAKER DE 2 POLOS x 30 AMPERIOS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21CFB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CF38A8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61584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27F82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97686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17FA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92793 - CABLE ELECTRICO DE COBRE THHN Cal.#2 AWG</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BF682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AFD03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77CDA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BCEFB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2E83B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C7A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92867 - POSTE TRONCOCONICO DE CONCRETO PRETENSADO, Alto=30' (9.15 m) (NO INCL. ESTRUCTURA ELECTRICA)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38E7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310F01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BD889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D10EB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67020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8020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92941 - TUBERIA DE PVC Diám.=1"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6430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0B2A68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0AAB3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FB6F8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524F8C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C609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93036 - MAIN BREAKER DE 3 POLOS x 150 AMPERIOS SIN CAJA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B6A6B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CB2927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9A989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81DAA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91914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68D9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93418 - CAJA DE ACERO PARA DISTRIBUCIÓN ELÉCTRICA Ancho=180mm,Long.=500mm,Alto=700mm,Esp.=1.20mm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6979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C61FE6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66903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5C159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90216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7F3E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93452 - CABLE ELECTRICO DE COBRE TSJ (Thermoplastic Screened Jacket) 2x14 AWG</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88758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B5B695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CE406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2CA8D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06701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5D3A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93456 - VARILLA POLO A TIERRA SÓLIDA DE COBRE Diám.=16mm(5/8"),L=2.44m(8') CON 10m DE CABLE ELECTRICO DE COBRE Cal.#8 AWG+ 5m DE TUBO DE PVC Diám.=3/4"(SDR-17</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EA431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C05C30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417B7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CD4D5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468C0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7DD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93687 - TOMACORRIENTE DOBLE POLARIZADO DE 15 AMP/120 V CON PLACA DE BAQUELITA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EC0D7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71209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A0A59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A2269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97A46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75D3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94097 - CABLE ELECTRICO AAC(All Aluminum Conductor) CUADRUPLEX Cal.#1/0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93498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1BB32D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59990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F410C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AD6E8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89B6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94110 - PANEL (o TABLERO) MONOFASICO 12 ESPACIOS, 120/208 VOLTIOS, BARRA DE 125 AMPERIOS CON MAIN BREAKER DE 2x60 AMP</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7363A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67E696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A9DE1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5D11F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F907BF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771E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94414 - BOMBILLO FLUORESCENTE DE 32 WATTS + CEPO DE PORCELANA REDONDO (NO INCL. CAJA DE REGISTRO)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EE435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3E90AB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E4E04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21EB8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AC71F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F1B7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94527 - TRANSFORMADOR SECO MONOFASICO DE 5 KVA, 240/120 V (NO INCL. ESTRUCTURA)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81242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F8137C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B4489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F5082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017A49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9C49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94819 - HACER BALANCE DE CARGA EN PANELES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EB2EB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0F3F4E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A075B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75D44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014C5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1283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94914 - TAPA CIEGA DE ALUMINIO DE 4"x4"</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F5D29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41ED78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E3EE2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D8088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88669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DBC9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95033 - CABLE ELECTRICO DE COBRE SUMERGIBLE #14X2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5C870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59703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D8035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A9566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9BECC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D502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95164 - CABLE ELECTRICO DE COBRE TSJ (Thermoplastic Screened Jacket) 3x14 AWG</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5CBF4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C6372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E3E10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E0E9C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0017A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D6BC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95298 - ARRANCADOR AUTO-TRANSFORMADOR P/MOTOR DE 20 HP</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0EFA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B9B99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B69B4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1304C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0BF31F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97B2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95345 - CABLE ELECTRICO DE COBRE SUMERGIBLE #3X8 AWG</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997E9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3D5A47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61361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08747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3EE34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EBDC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95429 - ESTRUCTURA ELECTRICA TR-105/C: TRANSFORMADOR EN ESTRUCTURA FIN DE LINEA MONOFASICO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7D58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3A997F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C37B3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FE473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9BD26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A1A8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95493 - BREAKER DE 3 POLOS x 70 AMPERIOS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BEC0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5E9519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2EC03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36018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9BD4F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E3EE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95554 - ESTRUCTURA ELECTRICA BT-104/C: RED EN CABLE, FIN DE LINEA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F423F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B7CB4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A2642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8DFC5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5E605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5F9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95555 - ESTRUCTURA ELECTRICA BT-103/C: RED EN CABLE LINEA EN ANGULO DE 61° A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8066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7E765A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332A4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8CF93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D537A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A220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95697 - ESTRUCTURA ELECTRICA PR-101: INSTALACION DE CONDUCTOR Y ELECTRODO PUESTA A TIERRA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7D036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9D52AC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1D5F4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8164E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BD1BBC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C52F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95893 - PANEL (o TABLERO) TRIFASICO 12 ESPACIOS, 240/480 VOLTIOS, BARRA DE 200 AMPERIOS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7AAEB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326D3C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3973B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BBF7A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07B991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1D89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96128 - EXCAVACIÓN MANUAL DE ZANJA EN TERRENO NATURAL Ancho=0.40m,Prof.=0.50m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042F6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3FCBB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1B614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14A0A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086FF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C56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97001 - SUPRESOR DE PICO TRIFÁSICO 80KA 120/240 V PARA REGULAR ENERGÍA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E73DC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DE8077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972C5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3132F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76A0A4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BC6AC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360 - PLANTA DE PURIFICACIÓN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F599E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C17DE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AC1AC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2F621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2883D5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183EE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36003 - EQUIPO DE CLORINACIÓN (COMPLETO)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F32BF5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8E47EF9"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0E7D9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99C0C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0C48CA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A650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04755 - CASETA DE COLUMNAS DE TUBERIA DE HIERRO GALVANIZADO Diám.=2"+CUBIERTA DE ZINC ONDULADO CAL.26 DE 1.10mx1.10m,Alto=1.14m(NO INCL.FUNDACIONES,NI PISO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61AE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05ED36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0E211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BC572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7035BB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54CB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29538 - GUIA DE SUERO (20 GOTAS x 1ML) PARA ADMINISTRACION DE SOLUCIONES INTRAVENOSAS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3125E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2CFB87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5E4AF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11AAA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6758F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E2EB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29643 - REGULADOR DE GOTEO DE 1 ml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5F3A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24385C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370EB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E00D7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79461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CDB1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92236 - PINTURA ANTICORROSIVA (INCL. 2 MANOS: 1 DE TALLER y 1 INSTALADO)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22D17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6EB1D0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4C68B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FE5C9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AB483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8349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92445 - HIPOCLORADOR DE PLASTICO Cap.=33 GALONES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7ABAA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FB15AD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1F792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1C2A7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411626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FE7E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93531 - FLOTADOR PARA TANQUE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A51D7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0BE9F4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BF191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D612D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F869EB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F8590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350 - CONEXIONES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77BBB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0CB8D6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BFD35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C0539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303DC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3FCC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35001 - CONEXIONES DOMICILIARES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485CCA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C0881B3"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217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D648C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57CD6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B6B39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BFE5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97354 - CONEXIÓN DOMICILIAR DE PATIO DE 1½"x½", DE TUBO PVC ½"(SDR-13.5)(NO INC. MEDIDOR)(NO INCL.EXC)+ LLAVE DE PASE. Diám ½"+LLAVE DE CHORR,Long=12m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6C5B5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9D37DA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182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18935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7CEDB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14EEC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14FD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97356 - CONEXIÓN DOMICILIAR DE PATIO CON ABRAZADERA 2"x½",DE TUBO PVC ½"(SDR-13.5)(NO INC. MEDIDOR)(SIN.EXC)+ LLAVE DE PASE. Diám ½"+LLAVE DE CHORR,Long=12m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93BC6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539A3A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F4881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A990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DB2EB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19D0D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35009 - MEDIDORES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6E967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F8E2399"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217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AF887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B6FB7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83E9E6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B6B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94191 - CAJA PREFABRICADA DE CONCRETO PARA MEDIDOR DE AGUA POTABLE PARA USO DOMICILIAR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B82C0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2304C2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1E6E2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17B74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C5BEA5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4F79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96206 - INSTALACION DE MEDIDOR DE AGUA POTABLE Diám.=½" (SOLO MANO DE OBRA)(INCL. EL COSTO DE 2 ADAPTADORES)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EDA5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BFD106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217</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66BA5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ACB17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251F4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3AA6B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370 - LIMPIEZA FINAL Y ENTREGA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E196A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019A1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251C1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5832B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6D8EA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2CF5B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37003 - PLACA CONMEMORATIVA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DBB6B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9FE464D"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ADBE9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19941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F4CE05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05D4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03392 - PEDESTAL DE CONCRETO DE 2,500 PSI REF. CON REPELLO y FINO CORRIENTE (INCL. EXC.) PARA PLACA CONMEMORATIVA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FBF22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28C890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470B6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31107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4EE186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47AD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04189 - PLACA CONMEMORATIVA DE ALUMINIO DE 0.65m x 0.42m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D987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71E408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E9D85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C1F39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90317B"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2A0726"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2: Saneamiento e Higiene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06102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4A38C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1580D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9F9AD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A5BB00"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C723F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Proyectos de Saneamiento- Letrinas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ABC4E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51835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CDBCE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78829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B8101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03E02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504 - LETRINAS SEMI-ELEVADAS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BAA9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1079CA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C128E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EFF6A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9AAC63"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4E85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50412 - ENCHAPE DE FOSO (INC. EXCAVACION Y GRADAS)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E54C6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55AB11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34774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74B3E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A4F10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D421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04295 - POZO RECOLECTOR DE ORINA DE 0.30mx0.30m,Prof.=0.50m(UNO DE ESTA MEDIDA)PARA LETRINA SENCILLA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90C01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CABB50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24CDA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95554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80508B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C099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04429 - FOSO PARA LETRINA SENCILLA SEMI- ELEVADA ENCHAPE DE BLOQUES DE MORTERO DE 0.15m(6") CON GRADAS DE BLOQUE y REPELLO ARENILLADO (INCL. ACARREO)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2C6EC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47C2FE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B4617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B124C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FE862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B8A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93783 - REPELLO ARENILLADO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576CB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M2</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9747D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612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51048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CBC972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0D2F7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6D9D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93845 - PASAMANOS DE TUBO REDONDO DE HIERRO NEGRO Diám.=1"</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C2FB5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D3F855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298.8</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8EB00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A8E24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93F083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E330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96583 - TAPON HEMBRA LISO DE PVC Diám.=1"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4BD80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4E8424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D43A0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65EAD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6B265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2ADE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50413 - LOSA (PLANCHA) Y BANCO (TAZA)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1B705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563DCC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318C1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7CB54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7D0CBB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AB89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94473 - LOSA Y BANCO DE FIBRA DE VIDRIO PARA LETRINA SENCILLA FIJACION A ESTRUCTURA METALICA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2D3BE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0439D9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D028C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5D1AC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3F201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24A1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94560 - SEPARADOR DE FIBRA DE VIDRIO PARA ORINA PARA ASIENTO DE LETRINA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8591E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DFDFC0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3BB57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507E0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D77B5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C032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95095 - MANGUERA DE PLÁSTICO (POLIETILENO) Diám.=5/8"(16 mm)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258B8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0B9783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286.5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644AB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36975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EBED8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A315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50414 - CASETA DE LETRINA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38C88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14B3C1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E4D76D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CD484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E9B71D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340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03960 - ESTRUCTURA DE ACERO (A-36) Y TUBO RECTANGULAR DE HIERRO DE 1"x1½" P/CASETA LETRINA SENCILLA De 0.82mx1.01(INCL.TUBO PVC Diám.=1½"(SDR-26)P/VEN)(INCL.P</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DD01D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59C192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07DBF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33475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716FD0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6A10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94401 - FORRO DE LÁMINA LISA DE ZINC CAL.28,1 CARA SOBRE ESTRUCTURA METÁLICA P/PAREDES DE CASETA DE LETRINA SENCILLA En planta,Ancho=0.82m,Long.=1.01m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0BCE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BF21D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2634A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62D68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38E6D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F546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94474 - RÓTULO LEYENDA(SOLAMENTE PINTADO CON PINTURA DE ACEITE) PARA PROYECTOS DE LETRINAS(ANTES NOV 2008)</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79840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6FB30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D8BD5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89055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94B93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FD0E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95904 - CUBIERTA DE TECHO DE LÁMINA ONDULADA DE ZINC CAL.28 SOBRE ESTRUCTURA METÁLICA P/CASETA DE LETRINA SENCILLA,Área d techo:Ancho=0.97m,Long.=1.47m=1.43m2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81AFA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DF914D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7A0E6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2A477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02EBA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92EA6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499 - SISTEMA DE SANEAMIENTO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36F5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087C7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409A6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136BD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FAF25E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17AD9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49928 - LAVADEROS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26AD1E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7040555"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04D43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F104E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A9B36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4E7E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05204 - POZO DE ABSORCIÓN SIN REVESTIR DE 1.00mx1.00m, Prof.=1.00m CON RELLENO DE PIEDRA BOLÓN(CONS.DERECHO DE EXPLOTACIÓN DEL SITIO(INCL. CODO LISO SAN y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767A8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ECA743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7D9ED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E7B06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729FB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5497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92003 - CONCRETO DE 2,500 PSI (MEZCLADO A MANO)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4B2A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7A67C7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95.5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902EE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07BE0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0AF5D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672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92023 - EXCAVACIÓN MANUAL DE ZANJA EN TERRENO NATURAL Ancho=0.30m,Prof.=0.50m PARA TUBERIA DE Diám.=Desde mayor que 3" hasta menores o iguales a 4"</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03B8B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75AE91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690</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5AC66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1DC8C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ED479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8629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5F898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CFB6BC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103.61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46197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F080D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ACD22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DF5A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AA265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M3</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30FB2B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95.5</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C488BC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627DF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BB125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5E5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93142 - VALVULA (o LLAVE) DE CHORRO DE BRONCE Diám.=½",Presión máxima de trabajo=125 PSI CON 1 m DE TUBO SECCIÓN CIRCULAR DE HIERRO GALVANIZADO Diám.=½"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4ACA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C4FBD8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A269F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6AF0E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FFB5B0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C6D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93448 - TUBERIA DE PVC Diám.=2" (SDR-41) (ASTM D2665) PARA DWV(Drain-Waste-Vent) DRENAJE-DESECHOS-VENTILACIÓN)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2C0A6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ML</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3B409D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445.66</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CEAD3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7C29C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2626C6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E0FF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93801 - LAVADERO SENCILLO DE CONCRETO REF. Ancho=0.63m,Alto=0.83m,L=1.0(De 2 partes:1 fondo estriado y 1 pileta)DE FABRICACIÓN NACIONAL(NO INCL.LLAVE DE CHORR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B7B6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4F0CC7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4E066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FD250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64215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E5C3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96809 - CODO LISO SANITARIO DE PVC Diám.=2", 90°  (ASTM D2665) PARA DWV(Drain-Waste-Vent) DRENAJE-DESECHOS-VENTILACIÓN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87DB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FF538F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D966E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F10CB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6DC014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5FFC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97014 - TEE REDUCTORA LISA DE PVC DE 2" a ½"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59D7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0A5DBC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5EE02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6EC00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113D21"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2A8F8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3: Acompañamiento Social a Comunidad Organizada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8D052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AF354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3EF5A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065D7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52088A"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62F6E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Procesos Sociales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A7B7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626E0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C7669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5B9E9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A77CAC"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1E857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1058 - EJECUCIÓN DEL PROYECTO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3F370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D1D03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D08DD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82C5A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053E9A"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66B3E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xml:space="preserve">  02 - EJECUCIÓN DE OBRAS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B1010C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25FE814"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456F5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717C5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A641B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3F6B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60274 - Elaborar Informe de Planificación y Realización de Asamblea general comunitaria para entrega de sitio del proyecto a contratista y dar a conocer Plan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61065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E1DC4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70C77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44E79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D49EC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3404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60301 - Elaborar Cronograma de trabajo y Plan metodológico para la intervencion social en la(s) comunidad(es) - Etapa de Ejecución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9559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INFORME</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C99922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A8895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4D90D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47A67C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DB1F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60389 - Planificar y Realizar Talleres de capacitación (No. 5 y6) dirigido a beneficiarios (Módulo III:Compendio metodol:Primera parte(Contrataciones y gestió</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94957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DA6E20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63A74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BA358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1093F9"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ECF8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60390 - Planificar y Realizar Talleres de capacitación (No. 7 y8) dirigido a beneficiarios (Módulo III:Compendio metodol:Segunda parte(Administración de servi</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123F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31AAF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1C7A1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29786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47CAF8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9BA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60391 - Planificar y Realizar Talleres de capacitación (No. 9 y10) dirigido a beneficiarios (Módulo IV:Compendio metodl(En correspondencia del tipo de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4D7A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86B7B1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E5DB2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B8ABC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174CB4"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577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60406 - Planificar y Realizar Taller de capacitación dirigido al Comité sobre elabo del Reglamen interno del Sist.Agua potable-SAP(Incl.material,loca,refriger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B867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E6082C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7865C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489B0B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97358B"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E69A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60407 - Elaborar Informe de Planificación y Realización de Asamblea general comunitaria para dar a conocer el Reglamento interno del Sistema d Agua Potabl-SAP</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8CEF0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5FD0D6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7F93F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00BCB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084F8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DF1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60423 - Elaborar y Realizar el Levantamiento de Ficha de finiquito del proyecto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16263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FICHA</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6959B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4866E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45C11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4CB6D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E00C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60454 - Planificar y Realizar Asamblea general comunitaria para entrega de sitio y dar a conocer el Plan de Ejecución Física (Apertura de bitácora social)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655A4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ASAMBLEA</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E84389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17B71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7B030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29668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0FEA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60455 - Realizar reunión de coordinación con actores claves del proyecto en la etapa de ejecución y post obra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4B5E5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REUNIÓN</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13D4A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77235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378AA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0FD91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4ED8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60456 - Planificar y Realizar Taller de capacitación a promotores(as) sociales comunitarios para implementación del FCSA (Incl. materiale, local y refrigerios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D0CA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DEEA30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6F010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2B75A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D27CA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946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60457 - Elaborar informe de la Promoción y aseguramiento del cumplimiento de los aportes comunitarios del fondo social comunitario (FSC) cuota No.3 y No.4</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4F531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D82648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E563C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D5B9E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49BF1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04DB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60458 - Elaborar Informe de Promoción y aseguramiento del cumplimiento de los aportes comunitarios del fondo social comunitario (FSC) cuota No.5 y No.6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15726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77C424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508BB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AFE85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D5406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339D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60459 - Elaborar Informe de Promoción y aseguramiento del cumplimiento de los aportes comunitarios para la compra de medidor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81EFB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7B2F11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6D7B1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BD1E8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D502BD"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55F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60460 - Elaborar informe de metodología FCSA -Primera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F6E9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75BCD5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7E08D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C9B38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3D2C0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D6E9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60461 - Elaborar informe de metodología FCSA -Segunda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EBD09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522EB7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7AF03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02526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C2F938"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EE0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60462 - Elaborar informe de metodología FCSA -Tercera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887BE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AA44E8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C6662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EDB86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1943D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FBF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60463 - Elaborar informe de metodología FCSA -Cuarta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2CCCE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6086D6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C5A15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6FAD7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957F23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4DB1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60464 - Planificar y Realizar Asamblea general comunitaria para presentación y aprobación del Reglamento Interno del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3A546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ASAMBLEA</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689FA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66D95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512B2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6C761F"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F3BD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60465 - Planificar y Realizar Asamblea general comunitaria para dar a conocer Plan de Operaci y Manteni del Sist.y firma de acta de recepción final del proyec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AAD9D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ASAMBLEA</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17D20E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8645A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D02AB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6F0E6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C48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60471 - Elaborar Informe de Planificación y Realización de Taller de capacitación del Módulo III(Taller No. 5,6,7 y 8): Compendio Metodológico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26D64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9A4DAA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46644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267FD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50274E"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8791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60472 - Elaborar Informe de Planificación y Realización de Taller de capacitación (Talleres No.9 y 10) del Módulo IV: Compendio Metodológico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8DD3C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A59FC4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92F6A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B14F0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5742A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08D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60473 - Elaborar Informe de Planifica y Realizac de Asamblea General comunit para dar a conocer Plan de Opera y Manteni del Sist.y firma de acta de recep fina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3456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1D7249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5A3A1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16C14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FB3DA00"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A3EF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60477 - Elaborar Informe de Planificación y Realización de Taller de capacitación dirigido a promotores(as) sociales comunitarios para implementación del FCSA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2634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0BC83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B1E44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325E4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2B1C92"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BF1A26"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1059 - POST- OBRA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B5B1039"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F8A548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8DA19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20F89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638A48E" w14:textId="77777777" w:rsidTr="00367191">
        <w:trPr>
          <w:gridBefore w:val="1"/>
          <w:wBefore w:w="259" w:type="pct"/>
          <w:trHeight w:val="255"/>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F3CDD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xml:space="preserve">  01 - POST- OBRA  Y SOSTENIBILIDAD</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2D029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GLB</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1AC9C90E"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A32E2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D1F56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CCE3CE6" w14:textId="77777777" w:rsidTr="00367191">
        <w:trPr>
          <w:gridBefore w:val="1"/>
          <w:wBefore w:w="259" w:type="pct"/>
          <w:trHeight w:val="453"/>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0DB0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60290 - Elaborar Informe final de la consultoria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63DF0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141FF7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BF1E1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96E70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9CD65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0346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60291 - Elaborar Informe de Planificación y Realización de Asamblea general comunitaria de cierre y evaluacion final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BA177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C6C42C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704AEE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5A73B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3873F6"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D6CD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60392 - Planificar y Realizar Taller de capacitación dirigido al Comité para reforzamiento sobre la Ley No.722 y el Reglamento(Incl. Material,Local y refriger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D9572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9470C7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5B4F8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AC09C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B5524A"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C57D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60395 - Planificar y Realizar Taller de capacitación dirigido al Comité para Cálculo de tarifa para pago de agua (Incl. Tema de lectura de medidores)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622A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3A0964E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157108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2C4CBB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E1A4EE2"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22A9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60466 - Elaborar informe de metodología FCSA -Quinta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CA1A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D71306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6A5A0A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B4CD8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5CEFDC" w14:textId="77777777" w:rsidTr="00367191">
        <w:trPr>
          <w:gridBefore w:val="1"/>
          <w:wBefore w:w="259" w:type="pct"/>
          <w:trHeight w:val="612"/>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5130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60467 - Elaborar informe de metodología FCSA -Sexta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FC38C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0BF1AF3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1DBC2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76B023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B38EABA" w14:textId="77777777" w:rsidTr="00367191">
        <w:trPr>
          <w:gridBefore w:val="1"/>
          <w:wBefore w:w="259" w:type="pct"/>
          <w:trHeight w:val="692"/>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6AC0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60468 - Elaborar informe final de resultados en la implementación de FCSA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06CEE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E02C0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4A9856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1483C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60168F" w14:textId="77777777" w:rsidTr="00367191">
        <w:trPr>
          <w:gridBefore w:val="1"/>
          <w:wBefore w:w="259" w:type="pct"/>
          <w:trHeight w:val="656"/>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91C8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60469 - Planificar y Realizar Taller de capacitación para la Operación y Mantenimiento del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0CF25C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65E9D7D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70AB0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502B4E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CE2F01"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4E40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60470 - Planificar y Realizar Asamblea general comunitaria para la presentación del informe final del componente social del proyec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A2030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ASAMBLEA</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5FEB017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55A45B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1D59B7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B1B2FC"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EDEF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60474 - Elaborar Informe de Realización de Taller de capacitación dirigido al Comité para reforzamiento sobre la Ley No. 722 y el Reglamento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FFA01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7527A56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0D0139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031668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678B45"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C31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60475 - Elaborar Informe de Planifica y Realizac de Taller de capacit dirigido al Comité para Cálculo de tarifa para pago de agua(Incl.Tema de lectu d medidor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B79EF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4FD834A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3469FA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60AA0A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5EB6097" w14:textId="77777777" w:rsidTr="00367191">
        <w:trPr>
          <w:gridBefore w:val="1"/>
          <w:wBefore w:w="259" w:type="pct"/>
          <w:trHeight w:val="840"/>
          <w:jc w:val="center"/>
        </w:trPr>
        <w:tc>
          <w:tcPr>
            <w:tcW w:w="24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6D7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60476 - Elaborar Informe de Planificación y Realización de Taller de capacitación para la Operación y Mantenimiento del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7A064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C/U</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14:paraId="2F31DFC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w:t>
            </w:r>
          </w:p>
        </w:tc>
        <w:tc>
          <w:tcPr>
            <w:tcW w:w="857" w:type="pct"/>
            <w:gridSpan w:val="2"/>
            <w:tcBorders>
              <w:top w:val="single" w:sz="4" w:space="0" w:color="auto"/>
              <w:left w:val="nil"/>
              <w:bottom w:val="single" w:sz="4" w:space="0" w:color="auto"/>
              <w:right w:val="single" w:sz="4" w:space="0" w:color="auto"/>
            </w:tcBorders>
            <w:shd w:val="clear" w:color="auto" w:fill="auto"/>
            <w:vAlign w:val="center"/>
            <w:hideMark/>
          </w:tcPr>
          <w:p w14:paraId="2763E0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425" w:type="pct"/>
            <w:gridSpan w:val="2"/>
            <w:tcBorders>
              <w:top w:val="single" w:sz="4" w:space="0" w:color="auto"/>
              <w:left w:val="nil"/>
              <w:bottom w:val="single" w:sz="4" w:space="0" w:color="auto"/>
              <w:right w:val="single" w:sz="4" w:space="0" w:color="auto"/>
            </w:tcBorders>
            <w:shd w:val="clear" w:color="auto" w:fill="auto"/>
            <w:vAlign w:val="center"/>
            <w:hideMark/>
          </w:tcPr>
          <w:p w14:paraId="3DB28D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D51EDB" w14:textId="77777777" w:rsidTr="00367191">
        <w:trPr>
          <w:gridBefore w:val="1"/>
          <w:wBefore w:w="259" w:type="pct"/>
          <w:trHeight w:val="300"/>
          <w:jc w:val="center"/>
        </w:trPr>
        <w:tc>
          <w:tcPr>
            <w:tcW w:w="4316" w:type="pct"/>
            <w:gridSpan w:val="8"/>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31E52259"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Total:</w:t>
            </w:r>
          </w:p>
        </w:tc>
        <w:tc>
          <w:tcPr>
            <w:tcW w:w="425" w:type="pct"/>
            <w:gridSpan w:val="2"/>
            <w:tcBorders>
              <w:top w:val="single" w:sz="4" w:space="0" w:color="auto"/>
              <w:left w:val="nil"/>
              <w:bottom w:val="single" w:sz="4" w:space="0" w:color="auto"/>
              <w:right w:val="single" w:sz="4" w:space="0" w:color="auto"/>
            </w:tcBorders>
            <w:shd w:val="clear" w:color="000000" w:fill="FFFF99"/>
            <w:noWrap/>
            <w:vAlign w:val="center"/>
            <w:hideMark/>
          </w:tcPr>
          <w:p w14:paraId="3E639197"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0AD85289" w14:textId="77777777" w:rsidTr="00367191">
        <w:tblPrEx>
          <w:jc w:val="left"/>
        </w:tblPrEx>
        <w:trPr>
          <w:gridAfter w:val="1"/>
          <w:wAfter w:w="200" w:type="pct"/>
          <w:trHeight w:val="300"/>
        </w:trPr>
        <w:tc>
          <w:tcPr>
            <w:tcW w:w="4800" w:type="pct"/>
            <w:gridSpan w:val="10"/>
            <w:tcBorders>
              <w:top w:val="nil"/>
              <w:left w:val="nil"/>
              <w:bottom w:val="nil"/>
              <w:right w:val="nil"/>
            </w:tcBorders>
            <w:shd w:val="clear" w:color="auto" w:fill="auto"/>
            <w:vAlign w:val="center"/>
            <w:hideMark/>
          </w:tcPr>
          <w:p w14:paraId="670D7898"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highlight w:val="yellow"/>
                <w:lang w:val="es-MX" w:eastAsia="es-MX"/>
              </w:rPr>
              <w:lastRenderedPageBreak/>
              <w:t>Lote N°2: Proyecto 19962 Agua y Saneamiento Comunidad Naranjo Norte</w:t>
            </w:r>
          </w:p>
        </w:tc>
      </w:tr>
      <w:tr w:rsidR="00367191" w:rsidRPr="00367191" w14:paraId="79A6FF39" w14:textId="77777777" w:rsidTr="00367191">
        <w:tblPrEx>
          <w:jc w:val="left"/>
        </w:tblPrEx>
        <w:trPr>
          <w:gridAfter w:val="1"/>
          <w:wAfter w:w="200" w:type="pct"/>
          <w:trHeight w:val="300"/>
        </w:trPr>
        <w:tc>
          <w:tcPr>
            <w:tcW w:w="2533" w:type="pct"/>
            <w:gridSpan w:val="2"/>
            <w:tcBorders>
              <w:top w:val="nil"/>
              <w:left w:val="nil"/>
              <w:bottom w:val="single" w:sz="4" w:space="0" w:color="auto"/>
              <w:right w:val="nil"/>
            </w:tcBorders>
            <w:shd w:val="clear" w:color="auto" w:fill="auto"/>
            <w:vAlign w:val="center"/>
            <w:hideMark/>
          </w:tcPr>
          <w:p w14:paraId="27E31A27" w14:textId="77777777" w:rsidR="00367191" w:rsidRPr="00367191" w:rsidRDefault="00367191" w:rsidP="00367191">
            <w:pPr>
              <w:jc w:val="center"/>
              <w:rPr>
                <w:rFonts w:ascii="Arial" w:hAnsi="Arial" w:cs="Arial"/>
                <w:b/>
                <w:bCs/>
                <w:sz w:val="28"/>
                <w:szCs w:val="28"/>
                <w:lang w:val="es-MX" w:eastAsia="es-MX"/>
              </w:rPr>
            </w:pPr>
          </w:p>
        </w:tc>
        <w:tc>
          <w:tcPr>
            <w:tcW w:w="558" w:type="pct"/>
            <w:gridSpan w:val="2"/>
            <w:tcBorders>
              <w:top w:val="nil"/>
              <w:left w:val="nil"/>
              <w:bottom w:val="single" w:sz="4" w:space="0" w:color="auto"/>
              <w:right w:val="nil"/>
            </w:tcBorders>
            <w:shd w:val="clear" w:color="auto" w:fill="auto"/>
            <w:vAlign w:val="center"/>
            <w:hideMark/>
          </w:tcPr>
          <w:p w14:paraId="4E6F0F7A" w14:textId="77777777" w:rsidR="00367191" w:rsidRPr="00367191" w:rsidRDefault="00367191" w:rsidP="00367191">
            <w:pPr>
              <w:jc w:val="left"/>
              <w:rPr>
                <w:sz w:val="20"/>
                <w:lang w:val="es-MX" w:eastAsia="es-MX"/>
              </w:rPr>
            </w:pPr>
          </w:p>
        </w:tc>
        <w:tc>
          <w:tcPr>
            <w:tcW w:w="488" w:type="pct"/>
            <w:gridSpan w:val="2"/>
            <w:tcBorders>
              <w:top w:val="nil"/>
              <w:left w:val="nil"/>
              <w:bottom w:val="single" w:sz="4" w:space="0" w:color="auto"/>
              <w:right w:val="nil"/>
            </w:tcBorders>
            <w:shd w:val="clear" w:color="auto" w:fill="auto"/>
            <w:vAlign w:val="center"/>
            <w:hideMark/>
          </w:tcPr>
          <w:p w14:paraId="15B195D6" w14:textId="77777777" w:rsidR="00367191" w:rsidRPr="00367191" w:rsidRDefault="00367191" w:rsidP="00367191">
            <w:pPr>
              <w:jc w:val="center"/>
              <w:rPr>
                <w:sz w:val="20"/>
                <w:lang w:val="es-MX" w:eastAsia="es-MX"/>
              </w:rPr>
            </w:pPr>
          </w:p>
        </w:tc>
        <w:tc>
          <w:tcPr>
            <w:tcW w:w="487" w:type="pct"/>
            <w:gridSpan w:val="2"/>
            <w:tcBorders>
              <w:top w:val="nil"/>
              <w:left w:val="nil"/>
              <w:bottom w:val="single" w:sz="4" w:space="0" w:color="auto"/>
              <w:right w:val="nil"/>
            </w:tcBorders>
            <w:shd w:val="clear" w:color="auto" w:fill="auto"/>
            <w:vAlign w:val="center"/>
            <w:hideMark/>
          </w:tcPr>
          <w:p w14:paraId="58CDF667" w14:textId="77777777" w:rsidR="00367191" w:rsidRPr="00367191" w:rsidRDefault="00367191" w:rsidP="00367191">
            <w:pPr>
              <w:jc w:val="left"/>
              <w:rPr>
                <w:sz w:val="20"/>
                <w:lang w:val="es-MX" w:eastAsia="es-MX"/>
              </w:rPr>
            </w:pPr>
          </w:p>
        </w:tc>
        <w:tc>
          <w:tcPr>
            <w:tcW w:w="734" w:type="pct"/>
            <w:gridSpan w:val="2"/>
            <w:tcBorders>
              <w:top w:val="nil"/>
              <w:left w:val="nil"/>
              <w:bottom w:val="single" w:sz="4" w:space="0" w:color="auto"/>
              <w:right w:val="nil"/>
            </w:tcBorders>
            <w:shd w:val="clear" w:color="auto" w:fill="auto"/>
            <w:vAlign w:val="center"/>
            <w:hideMark/>
          </w:tcPr>
          <w:p w14:paraId="7072A814" w14:textId="77777777" w:rsidR="00367191" w:rsidRPr="00367191" w:rsidRDefault="00367191" w:rsidP="00367191">
            <w:pPr>
              <w:jc w:val="left"/>
              <w:rPr>
                <w:sz w:val="20"/>
                <w:lang w:val="es-MX" w:eastAsia="es-MX"/>
              </w:rPr>
            </w:pPr>
          </w:p>
        </w:tc>
      </w:tr>
      <w:tr w:rsidR="00367191" w:rsidRPr="00367191" w14:paraId="32C66211" w14:textId="77777777" w:rsidTr="00367191">
        <w:tblPrEx>
          <w:jc w:val="left"/>
        </w:tblPrEx>
        <w:trPr>
          <w:gridAfter w:val="1"/>
          <w:wAfter w:w="200" w:type="pct"/>
          <w:trHeight w:val="360"/>
        </w:trPr>
        <w:tc>
          <w:tcPr>
            <w:tcW w:w="48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69A2692"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Fondo de Inversión Social de Emergencia (FISE)</w:t>
            </w:r>
          </w:p>
        </w:tc>
      </w:tr>
      <w:tr w:rsidR="00367191" w:rsidRPr="00367191" w14:paraId="2928DF2C" w14:textId="77777777" w:rsidTr="00367191">
        <w:tblPrEx>
          <w:jc w:val="left"/>
        </w:tblPrEx>
        <w:trPr>
          <w:gridAfter w:val="1"/>
          <w:wAfter w:w="200" w:type="pct"/>
          <w:trHeight w:val="360"/>
        </w:trPr>
        <w:tc>
          <w:tcPr>
            <w:tcW w:w="48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FACF466"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Detalle de Presupuesto (Costos en C$)</w:t>
            </w:r>
          </w:p>
        </w:tc>
      </w:tr>
      <w:tr w:rsidR="00367191" w:rsidRPr="00367191" w14:paraId="30ABAC1F" w14:textId="77777777" w:rsidTr="00367191">
        <w:tblPrEx>
          <w:jc w:val="left"/>
        </w:tblPrEx>
        <w:trPr>
          <w:gridAfter w:val="1"/>
          <w:wAfter w:w="200" w:type="pct"/>
          <w:trHeight w:val="360"/>
        </w:trPr>
        <w:tc>
          <w:tcPr>
            <w:tcW w:w="48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006670A"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(Formato de Oferta)</w:t>
            </w:r>
          </w:p>
        </w:tc>
      </w:tr>
      <w:tr w:rsidR="00367191" w:rsidRPr="00367191" w14:paraId="50A1B669" w14:textId="77777777" w:rsidTr="00367191">
        <w:tblPrEx>
          <w:jc w:val="left"/>
        </w:tblPrEx>
        <w:trPr>
          <w:gridAfter w:val="1"/>
          <w:wAfter w:w="200" w:type="pct"/>
          <w:trHeight w:val="319"/>
        </w:trPr>
        <w:tc>
          <w:tcPr>
            <w:tcW w:w="48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4F6F1A9"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Proyecto: 19962 Agua y Saneamiento Comunidad Naranjo Norte</w:t>
            </w:r>
          </w:p>
        </w:tc>
      </w:tr>
      <w:tr w:rsidR="00367191" w:rsidRPr="00367191" w14:paraId="320AF990" w14:textId="77777777" w:rsidTr="00367191">
        <w:tblPrEx>
          <w:jc w:val="left"/>
        </w:tblPrEx>
        <w:trPr>
          <w:gridAfter w:val="1"/>
          <w:wAfter w:w="200" w:type="pct"/>
          <w:trHeight w:val="319"/>
        </w:trPr>
        <w:tc>
          <w:tcPr>
            <w:tcW w:w="48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6DFC810"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Departamento: Madriz</w:t>
            </w:r>
          </w:p>
        </w:tc>
      </w:tr>
      <w:tr w:rsidR="00367191" w:rsidRPr="00367191" w14:paraId="39C095DD" w14:textId="77777777" w:rsidTr="00367191">
        <w:tblPrEx>
          <w:jc w:val="left"/>
        </w:tblPrEx>
        <w:trPr>
          <w:gridAfter w:val="1"/>
          <w:wAfter w:w="200" w:type="pct"/>
          <w:trHeight w:val="319"/>
        </w:trPr>
        <w:tc>
          <w:tcPr>
            <w:tcW w:w="48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A14C46E"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Municipio: Telpaneca</w:t>
            </w:r>
          </w:p>
        </w:tc>
      </w:tr>
      <w:tr w:rsidR="00367191" w:rsidRPr="00367191" w14:paraId="096B5007" w14:textId="77777777" w:rsidTr="00367191">
        <w:tblPrEx>
          <w:jc w:val="left"/>
        </w:tblPrEx>
        <w:trPr>
          <w:gridAfter w:val="1"/>
          <w:wAfter w:w="200" w:type="pct"/>
          <w:trHeight w:val="300"/>
        </w:trPr>
        <w:tc>
          <w:tcPr>
            <w:tcW w:w="2533" w:type="pct"/>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2C421A53"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ETAPA \ SUBETAPA \ ACTIVIDAD</w:t>
            </w:r>
          </w:p>
        </w:tc>
        <w:tc>
          <w:tcPr>
            <w:tcW w:w="558" w:type="pct"/>
            <w:gridSpan w:val="2"/>
            <w:tcBorders>
              <w:top w:val="single" w:sz="4" w:space="0" w:color="auto"/>
              <w:left w:val="nil"/>
              <w:bottom w:val="single" w:sz="4" w:space="0" w:color="auto"/>
              <w:right w:val="single" w:sz="4" w:space="0" w:color="auto"/>
            </w:tcBorders>
            <w:shd w:val="clear" w:color="000000" w:fill="C0C0C0"/>
            <w:vAlign w:val="center"/>
            <w:hideMark/>
          </w:tcPr>
          <w:p w14:paraId="7EF8B039"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U.M</w:t>
            </w:r>
          </w:p>
        </w:tc>
        <w:tc>
          <w:tcPr>
            <w:tcW w:w="488" w:type="pct"/>
            <w:gridSpan w:val="2"/>
            <w:tcBorders>
              <w:top w:val="single" w:sz="4" w:space="0" w:color="auto"/>
              <w:left w:val="nil"/>
              <w:bottom w:val="single" w:sz="4" w:space="0" w:color="auto"/>
              <w:right w:val="single" w:sz="4" w:space="0" w:color="auto"/>
            </w:tcBorders>
            <w:shd w:val="clear" w:color="000000" w:fill="C0C0C0"/>
            <w:vAlign w:val="center"/>
            <w:hideMark/>
          </w:tcPr>
          <w:p w14:paraId="258D8540"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Cantidad</w:t>
            </w:r>
          </w:p>
        </w:tc>
        <w:tc>
          <w:tcPr>
            <w:tcW w:w="487" w:type="pct"/>
            <w:gridSpan w:val="2"/>
            <w:tcBorders>
              <w:top w:val="single" w:sz="4" w:space="0" w:color="auto"/>
              <w:left w:val="nil"/>
              <w:bottom w:val="single" w:sz="4" w:space="0" w:color="auto"/>
              <w:right w:val="single" w:sz="4" w:space="0" w:color="auto"/>
            </w:tcBorders>
            <w:shd w:val="clear" w:color="000000" w:fill="C0C0C0"/>
            <w:vAlign w:val="center"/>
            <w:hideMark/>
          </w:tcPr>
          <w:p w14:paraId="413DBC8B"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Precio Unitario C$</w:t>
            </w:r>
          </w:p>
        </w:tc>
        <w:tc>
          <w:tcPr>
            <w:tcW w:w="734" w:type="pct"/>
            <w:gridSpan w:val="2"/>
            <w:tcBorders>
              <w:top w:val="single" w:sz="4" w:space="0" w:color="auto"/>
              <w:left w:val="nil"/>
              <w:bottom w:val="single" w:sz="4" w:space="0" w:color="auto"/>
              <w:right w:val="single" w:sz="4" w:space="0" w:color="auto"/>
            </w:tcBorders>
            <w:shd w:val="clear" w:color="000000" w:fill="C0C0C0"/>
            <w:vAlign w:val="center"/>
            <w:hideMark/>
          </w:tcPr>
          <w:p w14:paraId="78770798"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Total C$</w:t>
            </w:r>
          </w:p>
        </w:tc>
      </w:tr>
      <w:tr w:rsidR="00367191" w:rsidRPr="00367191" w14:paraId="48BBA30A" w14:textId="77777777" w:rsidTr="00367191">
        <w:tblPrEx>
          <w:jc w:val="left"/>
        </w:tblPrEx>
        <w:trPr>
          <w:gridAfter w:val="1"/>
          <w:wAfter w:w="200" w:type="pct"/>
          <w:trHeight w:val="300"/>
        </w:trPr>
        <w:tc>
          <w:tcPr>
            <w:tcW w:w="4800" w:type="pct"/>
            <w:gridSpan w:val="10"/>
            <w:tcBorders>
              <w:top w:val="single" w:sz="4" w:space="0" w:color="auto"/>
              <w:left w:val="single" w:sz="4" w:space="0" w:color="auto"/>
              <w:bottom w:val="single" w:sz="4" w:space="0" w:color="auto"/>
              <w:right w:val="single" w:sz="4" w:space="0" w:color="auto"/>
            </w:tcBorders>
            <w:shd w:val="clear" w:color="000000" w:fill="FFCC99"/>
            <w:vAlign w:val="center"/>
            <w:hideMark/>
          </w:tcPr>
          <w:p w14:paraId="74E9CF1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1: Construcción de Miniacueducto por Gravedad (MAG)</w:t>
            </w:r>
          </w:p>
        </w:tc>
      </w:tr>
      <w:tr w:rsidR="00367191" w:rsidRPr="00367191" w14:paraId="51D33101" w14:textId="77777777" w:rsidTr="00367191">
        <w:tblPrEx>
          <w:jc w:val="left"/>
        </w:tblPrEx>
        <w:trPr>
          <w:gridAfter w:val="1"/>
          <w:wAfter w:w="200" w:type="pct"/>
          <w:trHeight w:val="300"/>
        </w:trPr>
        <w:tc>
          <w:tcPr>
            <w:tcW w:w="4800" w:type="pct"/>
            <w:gridSpan w:val="10"/>
            <w:tcBorders>
              <w:top w:val="single" w:sz="4" w:space="0" w:color="auto"/>
              <w:left w:val="single" w:sz="4" w:space="0" w:color="auto"/>
              <w:bottom w:val="single" w:sz="4" w:space="0" w:color="auto"/>
              <w:right w:val="single" w:sz="4" w:space="0" w:color="auto"/>
            </w:tcBorders>
            <w:shd w:val="clear" w:color="000000" w:fill="CCFFCC"/>
            <w:vAlign w:val="center"/>
            <w:hideMark/>
          </w:tcPr>
          <w:p w14:paraId="616A9B4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Agua y Saneamiento -MABE o MAG</w:t>
            </w:r>
          </w:p>
        </w:tc>
      </w:tr>
      <w:tr w:rsidR="00367191" w:rsidRPr="00367191" w14:paraId="668E159E" w14:textId="77777777" w:rsidTr="00367191">
        <w:tblPrEx>
          <w:jc w:val="left"/>
        </w:tblPrEx>
        <w:trPr>
          <w:gridAfter w:val="1"/>
          <w:wAfter w:w="200" w:type="pct"/>
          <w:trHeight w:val="255"/>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E0BE12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310 - PRELIMINARES</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8C8B32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DC8327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E0338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31002 - TRAZO Y NIVELACIÓN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B268A4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094A356"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5,584.66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14ADB5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FCE05F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C6A504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4405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96768 - REPLANTEO DEL TRAZO Y NIVELACION PARA TUBERIAS DE AGUA POTABLE(INCL. ESTACAS DE MADERA+MANO DE OBRA+EQUIPO DETOPOGRAFIA)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084671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273195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5,584.66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49F3B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BB3D1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C7C3D7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97831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31005 - RÓTULO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08D29DB"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28B6CE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9DCE80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ABE2AC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28AA4A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4F77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04277 - RÓTULO TIPO FISE DE 1.22m x 2.44m (ESTRUCTURA DE ACERO+FORRO DE ZINC LISO) CON BASES DE CONCRETO REF.DE 2,500 PSI(INCL. PINT. ANTICORROSIVA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497A9D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95C18D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D32BC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E6778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E30B12"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BDB8C69"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320 - LÍNEA DE CONDUCCIÓN</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0A667A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233831B" w14:textId="77777777" w:rsidTr="00367191">
        <w:tblPrEx>
          <w:jc w:val="left"/>
        </w:tblPrEx>
        <w:trPr>
          <w:gridAfter w:val="1"/>
          <w:wAfter w:w="200" w:type="pct"/>
          <w:trHeight w:val="255"/>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2C7B1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32001 - EXCAVACION PARA TUBERIA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7C15FA"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F63D6C3"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432C07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A0F90D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22EED86" w14:textId="77777777" w:rsidTr="00367191">
        <w:tblPrEx>
          <w:jc w:val="left"/>
        </w:tblPrEx>
        <w:trPr>
          <w:gridAfter w:val="1"/>
          <w:wAfter w:w="200" w:type="pct"/>
          <w:trHeight w:val="255"/>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3993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92227 - EXCAVACIÓN MANUAL EN TERRENO NATURAL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4D0F70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FA27A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816.00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73AA7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04716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7BF60B" w14:textId="77777777" w:rsidTr="00367191">
        <w:tblPrEx>
          <w:jc w:val="left"/>
        </w:tblPrEx>
        <w:trPr>
          <w:gridAfter w:val="1"/>
          <w:wAfter w:w="200" w:type="pct"/>
          <w:trHeight w:val="255"/>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B02F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32011 - RELLENO Y COMPACTACIÓN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78CF2E1"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54E6A0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C470CB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CBF0DA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A49646F" w14:textId="77777777" w:rsidTr="00367191">
        <w:tblPrEx>
          <w:jc w:val="left"/>
        </w:tblPrEx>
        <w:trPr>
          <w:gridAfter w:val="1"/>
          <w:wAfter w:w="200" w:type="pct"/>
          <w:trHeight w:val="255"/>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9AE2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EE3E4E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7D1B58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1,185.00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32EEC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A354FF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61315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9EEF0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32015 - TUBERIA DE 2"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844F7A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8DD6AC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1,360.00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1572FF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8D7C30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CA9462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AEBB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16E832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7AAF38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44DFD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EF1C8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F9EC0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47B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96165 - TUBERIA DE PVC Diám.=2"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225DAF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14F08D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1,360.00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01397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AA5BA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4B2EE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E1B78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32023 - PRUEBAS HIDROSTÁTICAS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64B1CE7"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AA0866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B504DD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2C7350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254C9E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5345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93282 - PRUEBA HIDROSTÁTICA (DE PRESIÓN y DE ESTANQUEIDAD)(CON BOMBA MANUAL) EN TUBERIA y ACCESORIOS PVC Diám.=4" L=HASTA 300 m PARA PROYECTOS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F9B944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E9469A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EA5B0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57270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CCDC5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D3A13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32025 - VÁLVULAS Y ACCESORIOS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DC1763"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47A2673"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D2202C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CD1C05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F27D97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2CDC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03306 - CAJA PARA PROTECCION DE VALVULA HECHA DE TUBO DE CONCRETO SIN REF. Diám.=6" Alt.=1.20(NO INCL EXC NI ACABADOS) (NO INCL. VALVULA)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703BE2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5A21A8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6DFC6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1C50A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404C4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CFD4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04162 - CAJA PARA PROTECCION DE VALVULA HECHA DE TUBO DE PVC Diám.= 6"(SDR-41)(NO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E1AEA7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9A2842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AB444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0C414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AF44E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BBC2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04221 - CAJA (PILA ROMPE PRESION) DE CONCRETO DE 3,000 PSI REF. Ancho=1.20m,Largo=1.80m,Alt.=1.25m(INCL.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2809C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70B706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CE4153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50E5A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07098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F385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92847 - UNION LISA DE PVC Diám.=2"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56283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151AB3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521F9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365F2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E5767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527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6BEDC3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3125B3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242C3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663E8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5EBC8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FF06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94311 - VALVULA DE AIRE Y VACIO DE HIERRO FUNDIDO Diám.=½"+ ABRAZADERA DE HIERRO GALVANIZADO+UNION DE BRONCE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4B8AAE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B822C3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BE776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9BFA6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5E423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73EA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97277 - VALVULA DE LIMPIEZA DE BRONCE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EAA2E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6791FE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FC90D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F12E1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39C04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1E7C3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32027 - CRUCES BAJO LECHO DE CAUCES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D8F193A"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5C78D1A"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37CFFC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D6D4D4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A5819E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9171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04043 - CRUCE (BAJO LECHO) DE CAUCE CON TUBERIA SECCIÓN CIRCULAR DE HIERRO GALVANIZADO Diám.=2" CON CONCRETO DE 3,000 PSI SIN REF.</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DB4823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0F38F3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ACAA6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B745E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8EDA71"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0E6684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lastRenderedPageBreak/>
              <w:t>330 - LÍNEA DE DISTRIBUCIÓN</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23ADF2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B5258B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5EF8C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33001 - EXCAVACION PARA TUBERIA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7B521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20A48F3"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F9D7C6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7B9508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271DD6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21C4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92227 - EXCAVACIÓN MANUAL EN TERRENO NATURAL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770344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691CB7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2,407.26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237D8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380E2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69880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48427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33009 - RELLENO Y COMPACTACIÓN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02B8F7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22BFB8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C5D83C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A95F87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B14D71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955B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F645F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FE6B46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4,647.00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0A48D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3C4AC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A2517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8CFB8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33014 - TUBERIA DE 1 ½"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9B3AC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E2A7CC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470.15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F0260C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9483EE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C26DCB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1B9C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F570C1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976B2E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9B93F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2BC48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AAEFF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EE5F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96166 - TUBERIA DE PVC Diám.=1½"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8CFB7A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3C67B4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470.15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0754B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ED125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5B726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C4B23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33015 - TUBERIA DE 2"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4F5DFD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79A131A"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3,541.56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CDBAE6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2BEF22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63A7C7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04C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2B3A5C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0ECCA6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71E4B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03040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9AB24A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C57E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F885C3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D46D8C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3,541.56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1F78E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11B26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9BFCB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A96F9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33017 - TUBERIA DE 3" DE DIÁMETRO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02A966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CD896C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212.94</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C1D345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76D1A6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067588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A39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AC9CCA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ABC79D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B9ABA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9EF67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07D30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BB8F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96164 - TUBERIA DE PVC Diám.=3"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175648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F9E439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212.94</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592F8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247C2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2C7C1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7E79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33022 - PRUEBAS HIDROSTÁTICAS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BC9E91"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B1BED2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966C2A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64611F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35DDA8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A130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93282 - PRUEBA HIDROSTÁTICA (DE PRESIÓN y DE ESTANQUEIDAD)(CON BOMBA MANUAL) EN TUBERIA y ACCESORIOS PVC Diám.=4" L=HASTA 300 m PARA PROYECTOS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4D94BD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F4023A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AA439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94EE9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45BB4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9473E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33023 - VÁLVULAS Y ACCESORIOS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42E8A0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872222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D953CC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149C63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070007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2DFB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03070 - CAJA DE REGISTRO DE CONCRETO DE 2,500 PSI REF.+CONCRETO DE 3,000 PSI DE Ancho=1.00m,Largo=2.00m,Alt.=0.50m CON REPELLO y FINO CORRIENTE(INCL.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B1B978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C91AF1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BF738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64858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46DAA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CF09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03306 - CAJA PARA PROTECCION DE VALVULA HECHA DE TUBO DE CONCRETO SIN REF. Diám.=6" Alt.=1.20(NO INCL EXC NI ACABADOS) (NO INCL. VALVULA)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8BAFA8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82A7F5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164D6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4896D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780EF6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3EBF3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94006 - TEE LISA DE PVC Diám.=2"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63966B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326188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787C6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EDD36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CA8D1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6CCB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94008 - VALVULA REGULADORA DE PRESION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0BBAD9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AFEE8F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03D5D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D38A9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6EC5D4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9317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94293 - UNION MALEABLE DE HIERRO GALVANIZADO Diám.=1½"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F95E2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C9E7B3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6E93C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CCB86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09A12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C2C8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F7FA11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E5390D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6E8B6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89E61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E8F5CB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78E8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95104 - MANOMETRO HIDRÁULICO TUBO BOURDON ¼"(Carcasa de ACERO INOXIDABLE) Presion de trabajo=De 0 a 100 PSI con dial circular Diám.=2",lectura en doble escala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C8BD08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ACC2A2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57AFD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A63B7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E95B2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E57E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95558 - VALVULA (o LLAVE) DE PASE DE HIERRO FUNDIDO Diám.=2" EXTREMOS BRIDADOS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B3884F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250D4D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201F4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FFD71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AE692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5B87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96486 - VALVULA (o LLAVE) DE PASE DE HIERRO FUNDIDO Diám.=1½" EXTREMOS ROSCA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16CA4C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FF9939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49F33D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A9567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E18D2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547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97277 - VALVULA DE LIMPIEZA DE BRONCE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B9C76E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C89F30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33C2F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6FAF0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3F7BC9E"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F08FB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lastRenderedPageBreak/>
              <w:t>335 - TANQUE DE ALMACENAMIENTO</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DC75AE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18CEAE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BCBA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33502 - TANQUE DE ALMACENAMIENTO DE MAMPOSTERIA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9149E5"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5CCA9D0"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79B5F5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EA4563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210000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1D69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03547 - CAJA DE CONCRETO DE 3,000 PSI REF.+PARED DE LADRILLO CUARTERON DE BARRO Ancho=1.00m,Largo=1.00m(NO INCL.EXC)(INCL. REPELLO y FINO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6BFB0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68AD61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74455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3968F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C17A8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DDFA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04721 - MAMPOSTERIA DE PIEDRA BOLÓN CLASIFICADA (CONS. COMPRA DE P. BOLÓN) CON MORTERO PROPORCIÓN 1:3 , INCL. FUNDIDA DE CONCRETO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0E9EC1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913631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43.50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7CCFA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DC4A3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CB24A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86983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05017 - TAPA DE CONCRETO DE 3,000 PSI, REF.#3@0.14m EN A/D, Espesor de tapa=0.075m CON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E8928A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EEA5A6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3.63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F99F3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01CCC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4BFDAC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4A99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92021 - NIVELETA SENCILLA DE MADERA PINO L=1.10m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800D35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2B8CF8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6FE51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596C9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4720CB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38DD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92022 - NIVELETA DOBLE DE PINO DE 1.50m x 1.50m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3A8D04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E4B3B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74181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71FA7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4AF1C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5FB9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92137 -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14DF43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69FAC6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6A639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2003D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37ABB0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2A80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92147 - PINTURA DE ACEITE (COLOR DE LÍNEA) CALIDAD STANDARD (INCL. 2 MANOS)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5A35A0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6C0A80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7FA58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A149A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1C6EC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664C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A393F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76F7A3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AAF64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59CF2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CC662C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D2B8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0F59DB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9B1633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22.20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537B2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4BF5F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AC6DE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C8AB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92345 - FORMALETA DE MADERA DE PINO PARA VIGAS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A5FE97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C8B1F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0561C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27CFA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3B8E3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1A6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B4AB28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BAFE5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60033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0BCE2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CB456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CC7E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92388 - FORMALETA DE MADERA DE PINO PARA FUNDACIONES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2BFA2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E281BB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3BBC6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5B7E4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AB623E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31D0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92848 - VALVULA DE COMPUERTA DE HIERRO FUNDIDO Diám.=2" CON 2 BRIDAS (o FLANGES)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91FD51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53EB57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1C35A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E77F3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A6727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B5D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57FC40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18F231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13.60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B431E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8E49E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FEA65C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81E8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93352 - HIERRO (EN VARILLAS) LISO DE CONSTRUCCION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D04C5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10E8E6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67936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32A7C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071168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4F22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F86EA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1B96FE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4,200.00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207DB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8DAE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331B8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7B04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93411 - PINTURA EPOXICA BLANCA (INCL. CATALIZADOR EPÓXICO BLANCO) SOBRE PAREDES DE TANQUES DE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36F387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CD5079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39008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797E4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4ECB5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B38A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93873 - RESPIRADERO DE TUBO DE Ho. Go. Diám. = 3"</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AC681B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C6ACA4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7DFEC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4716C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76C5EE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DAB0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94979 - CODO DE HIERRO GALVANIZADO DE 2"X90° EXTREMOS ROSCABLES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3A9631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44A63C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4E1E8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9A0C3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BDB9A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8292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95110 - CONCRETO DE 4,000 PSI (CON MEZCLADORA)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32E875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B0BCB6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22.20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E873F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5A3BE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DDBB7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8834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95561 - FORMALETA DE MADERA DE PINO PARA LOSA AEREA @ Alt.=1.70m (INCL. BARULES)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665379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412242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15.50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7028C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7C356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7A2D77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6DB1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96221 - IMPERMEABILIZANTE (MORTERO CEMENTICIO CON BASE AGUA) PARA REC. TIPO SIKA-101 O SIMILAR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F41489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68A7EB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A2C96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B9329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60F03B"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D31C2A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340 - FUENTE Y OBRAS DE TOMA</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906791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4EEBB1D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ECBEC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34008 - CERCAS PERIMETRALES Y PORTONES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60C797"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DD5D52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F5E34B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C18651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EB29C6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12A1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04441 - CERCO (A) DE POSTES DE CONCRETO PRETENSADO Alt.=2.55m y MADERA CON 7 HILADAS DE ALAMBRE GALVANIZADO Cal.#13(INCL. BASES DE CONCRETO CICLOPEO) (CONS.CO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BE494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B0D6A3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CB119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12EE2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F39DB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2756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93056 - PUERTA DE MARCO DE MADERA BLANCA Y FORRO DE ALAMBRE DE PÚAS CAL. # 13½  (NO INCL. HERRAJES)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1262F5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0F23FD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88820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94A2E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1BB7A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F5298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34011 - PREFILTROS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946E98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07A80F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6B26D2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61260E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F77301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60B3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92009 - CONCRETO DE 3,000 PSI (MEZCLADO A MANO)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CD3BDD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227011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7.87</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D612E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44328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D753B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DBD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92021 - NIVELETA SENCILLA DE MADERA PINO L=1.10m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E15F7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5187A7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71E71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5EF99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B1F08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36C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44D6A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7EBE41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F9B1A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C5E3F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FEEFD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6492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92277 - CONFORMACION MANUAL DE TERRENO CON CORTES Y RELLENOS De 0 HASTA 5 cms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459F77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A76726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D10D1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9470E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57508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42B2D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9D499E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C20459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7.87</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D1AD7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9D959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1E3068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B884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3B2F95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413DC9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16.99</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90254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97E6B3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686AC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7E26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9FDA7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E8D434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1,110.87</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C5BB7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5A1D4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6D0DB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D539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93618 - GRAVILLA DE RIO (CANTO RODADO DE 10 a 15 mm) (CONS. COMPRA)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AFE2D0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411AD7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0.20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539C0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38A51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B355E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480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93619 - GRAVILLA DE RIO (CANTO RODADO DE 15 a 30 mm) (CONS. COMPRA)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DA9BFE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4336C1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0.23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3C675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F8998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069B3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F361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93986 - TUBERIA DE PVC Diám.=4" (SDR-17)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1DFEDC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6B2610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4424D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EB335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1A6EF9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7DA4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94165 - TUBERIA DE PVC Diám.=3" (SDR-17)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3164DC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9B2E9F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FC784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42670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7A7DDE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42F1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96197 - CODO LISO DE PVC Diám.=4",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39FCA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E9E564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B5FCF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5A0DF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B9D2F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F956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96479 - GRAVILLA DE RIO (CANTO RODADO DE 5 a 20 mm) (CONS.COMPRA)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16E422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DEC531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0.33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E3B93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EA623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3EDF3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DFEC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97029 - TEE REDUCTORA LISA DE PVC DE 4" a 3"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67A4A1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C799D6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097C5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99092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4315D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66EE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34015 - DIQUES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6D8EAE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AB99EF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E13BF1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696EE5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BFB68A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8B6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A7FD28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4BBA89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E3F30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93186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6F4371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EBDA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94046 - TEE LISA DE PVC Diám.=4"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127E50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289744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E3E15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ED7C6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FE188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F259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94214 - TUBERIA DE PVC Diám.=3" (SDR-41) (ASTM D2665) PARA DWV (Drain-Waste-Vent) DRENAJE-DESECHOS-VENTILACIÓN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95C9B6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0C2E09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3.13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F2DD0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BB1FB3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3216FF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0101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94375 - ADAPTADOR HEMBRA DE PVC Diám.=3" (SCH 40) (ASTM D2466)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1A996D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20BDBB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BF9DF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C047C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2973D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D10F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96026 - CODO LISO SANITARIO DE PVC Diám.=3", 90º  (ASTM D2665) PARA DWV(Drain-Waste-Vent) DRENAJE-DESECHOS-VENTILACIÓN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35EBAF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4378B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1DEF6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199BE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E69270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4EE3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96076 - VALVULA DE COMPUERTA DE HIERRO FUNDIDO Diám.=4" CON FLANGE DE PVC (2 C/U) + PERNOS + TUERCAS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736D5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3362B5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029AB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999DA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EAB7F2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0C05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96077 - VALVULA DE COMPUERTA DE HIERRO FUNDIDO Diàm.=3" CON BRIDA (o FLANGE) DE PVC (2 C/U) + PERNOS +TUERCAS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F4A287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AFDFDC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CFE3B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04DAB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FC62E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B18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96629 - CONCRETO CICLÓPEO:60% CONCRETO DE 2,500 PSI+40% PIEDRA BOLÓN (CONSIDERANDO PIEDRA BOLÓN DEL SITIO) MAYOR A 2",HECHURA CON MEZCLADORA(NO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2F50C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43B0C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10.40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86DCA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6FDAD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F0E32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6BBD7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34020 - ANÁLISIS DE CALIDAD DEL AGUA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55168B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F2BC59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D48352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62B15D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8678CE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47C63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40020 - ANÁLISIS FÍSICO-QUÍMICO(20 PARÁMETROS:Color,olor,durez,turbieda+CIANUROS y GASES DISUELTOS:NITROG.y Comp.),AMONÍACO y METANO)DE 1(UNA) MUESTRA DE AGUA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8BB42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B8AE7E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AF04B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F9DEB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A70B4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96B0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40021 - ANÁLISIS BIOLÓGICOS-BACTERIOLÓGICO COMPLETO(Bacterias coliformes fecales y totales, Escherichia Coli) DE 1(UNA) MUESTRA DE AGUA PARA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FA116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67A2F7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87B2D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89B3E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81975A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864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40089 - ANÁLISIS QUÍMICO DEL AGUA (ARSÉNICO) DE 1(UNA) MUESTRA DE AGUA PARA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CF2ED8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E8EE2B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A9CEA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0DC8C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1334865"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C2E31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360 - PLANTA DE PURIFICACIÓN</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68F441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01A6EA8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6D2D1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36003 - EQUIPO DE CLORINACIÓN (COMPLETO)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266F857"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351CB3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3ECE96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2C1D8C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DEA57F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80A7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92445 - HIPOCLORADOR DE PLASTICO Cap.=33 GALONES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1A9540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80A24C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832C1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E368D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C2B56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3EB4C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36006 - CERCAS PERIMETRALES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A9A8F5"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9C38C1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DE2BE2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EA4B50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C552C6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B6DA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04441 - CERCO (A) DE POSTES DE CONCRETO PRETENSADO Alt.=2.55m y MADERA CON 7 HILADAS DE ALAMBRE GALVANIZADO Cal.#13(INCL. BASES DE CONCRETO CICLOPEO) (CONS.CO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0DD10E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BDEEB1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1EE15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5B0D7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1B148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5F2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93056 - PUERTA DE MARCO DE MADERA BLANCA Y FORRO DE ALAMBRE DE PÚAS CAL. # 13½  (NO INCL. HERRAJES)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5849BA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B53FAE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FCD7A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8EB54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F36943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F08AE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36008 - OBRAS VARIAS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0D179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04F79CA"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400041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FAA9C2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70855E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E0AC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5949C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D70A91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4.90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613C7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FEB75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12F1B5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D3FF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02557 - CAJA DE REGISTRO DE CONCRETO DE 2,500 PSI REF.+PARED DE LADRILLO CUARTERON DE Ancho 1=1.00m,Ancho 2=1.00m,Alt.=1.00m CON REPELLO CORRIENTE(INCL.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0F2D6B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F232BD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35625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ADF3C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F991E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38BA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03828 - VERTEDERO TRIANGULAR DE ACERO Espesor=¼" Ancho=0.45 m, Alto=0.30m (INCL. PINTURA ANTICORROSIVA)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661A2E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AB27BF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C4B62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2FFDE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83880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5EEC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92005 - CONCRETO DE 3,000 PSI (CON MEZCLADORA)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9D798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D4C2B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4.20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E2E9A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CF1E2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845B6C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554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92022 - NIVELETA DOBLE DE PINO DE 1.50m x 1.50m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A8D265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403CC5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0C1FF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D7623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D9FE34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8164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92091 - PARED DE BLOQUE DE MORTERO DE 0.15m(6")x0.20m(8")x0.40m(16") DE 3 HOYOS SIN SISAR (USANDO GUIAS DE MADERA ROJA)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FF4BBA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ACFA40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19.30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AD54A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3A78B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05ED4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DEE7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92137 -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767930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B80411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10.80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24E0F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7B4D2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ED5CDC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6BF1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510B41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CD91D7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22.40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04D08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64E24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B184F2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442E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1BA1AC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BA2B7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4.20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C73D6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30252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D59ED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A2A4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92345 - FORMALETA DE MADERA DE PINO PARA VIGAS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07C68C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FCD77C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8782D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58614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96CA85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BDA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92346 - FORMALETA DE MADERA DE PINO PARA COLUMNAS (AREA DE CONTACTO)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28074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EACD6C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3.40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7B7BC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ED697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68D73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389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92388 - FORMALETA DE MADERA DE PINO PARA FUNDACIONES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93D955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A96EEC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4.20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B53A0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23FA9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4AB60F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5AC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E79599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06EA30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F717E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00B82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805E4A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B3E8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93070 - ANDEN DE CONCRETO (CON MEZCLADORA) SIN REF. Espesor=0.10m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9F9D10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FD5234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75.60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EB65E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550CE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88EE0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21F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90E38F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1AD717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1,291.19</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5E6D2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32549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B7FB2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2178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93783 - REPELLO ARENILLADO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713432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9031D6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51.90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78CFA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65FA1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9EB3F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2A773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93847 - CODO DE HIERRO GALVANIZADO DE 3"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62C120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3BBA3D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088D2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BF9EA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A49A6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6AC7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76E792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42A7C2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CE993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7C78E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2602D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C412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93869 - CODO DE HIERRO GALVANIZADO DE 3" X 45°</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2F52BC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29D4DD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7BFA4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E119F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C60EE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4899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94147 - TEE DE HIERRO GALVANIZADO Diám.=3"x 3" x 3"</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229125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CB24A7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EE042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C69BE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A1EDC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35A1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94214 - TUBERIA DE PVC Diám.=3" (SDR-41) (ASTM D2665) PARA DWV (Drain-Waste-Vent) DRENAJE-DESECHOS-VENTILACIÓN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81D4E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FD1E30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15.28</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1FEA0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070EF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2DB999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2CB0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96077 - VALVULA DE COMPUERTA DE HIERRO FUNDIDO Diàm.=3" CON BRIDA (o FLANGE) DE PVC (2 C/U) + PERNOS +TUERCAS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7E24A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552130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8B102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9B43E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3C024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A02D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96221 - IMPERMEABILIZANTE (MORTERO CEMENTICIO CON BASE AGUA) PARA REC. TIPO SIKA-101 O SIMILAR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5079D7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03127C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30.10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8D03B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78317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A3AE2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302E9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36011 - OBRAS CIVILES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B77432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958C84C"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E08F93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94E1C6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386399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5DAE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92227 - EXCAVACIÓN MANUAL EN TERRENO NATURAL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2F3503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B58AB2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296.52</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3AA4C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738A7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CEF9E6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5C65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94594 - BOTAR (CON CAMION VOLQUETE) TIERRA A 11 KMS (INCL. CARGA CON EQUIPO)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6B1545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BFDD10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218.87</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3487B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EC4BF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6A2A9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9C80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95399 - COMPACTACION DE TERRENO (CON VIBRO COMPACTADORA MANUAL, PLANCHA DE 11"X13", PESO DEL EQUIPO 145 LBS)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FD793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4202FE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940.00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1D9E9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FDD3C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1FF8DF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F0FC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96129 - RELLENO MANUAL CON MATERIAL SELECTO DEBAJO DE FUNDACIONES (INCL. COSTO DE MATERIAL)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205BA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068310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77.65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82E28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DDCFD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7D5B26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F6D1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96174 - MEZCLA MANUAL DE SUELO-CEMENTO PROPORCION 1:6 (C:S) (1 DE CEMENTO Y 6 DE SUELO)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EC50E8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8CC842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135.63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8F69D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814FA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31BA0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9F37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36012 - AIREACION CON BANDEJAS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06E9C43"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E6D837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A585C5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ADC659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9BD425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BA81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807C98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DC9E27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12.63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5025E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6E6A7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2B40A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5FC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02557 - CAJA DE REGISTRO DE CONCRETO DE 2,500 PSI REF.+PARED DE LADRILLO CUARTERON DE Ancho 1=1.00m,Ancho 2=1.00m,Alt.=1.00m CON REPELLO CORRIENTE(INCL.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6DAB41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F3AAD8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9207E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E98EF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1ED08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5B27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05311 - PLATINA RECTANGULAR DE ACERO (A-36) Ancho=2"(0.05m),Desarrollo=8.90"(0.23m),Esp.=1/8", Incluye hacer 2 perforaciones, Diám.=3/8" (NO INCL. ANCLAS)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E109A4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DFAC7F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8D563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D688E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F9DB4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33C2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22235 - PERNO DE ACERO Diám.=3/8", Long.=4"(0.10m) GRADO 8-SAE(Society of Automotive Engineers) (Sociedad de Ingenieros Automotrices) CON TUERCA Y ARANDELA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8AB776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511922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E2097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36D08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AF215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D25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92009 - CONCRETO DE 3,000 PSI (MEZCLADO A MANO)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47C431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E273F0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2AA79D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110F5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2539D6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9E9F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92121 - ESTRUCTURAS DE ACERO (A-36) (NO INCL. PINTURA ANTICORROSIVA)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747D7F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A35D5E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236.57</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E5C0C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C5F62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1A3981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CB23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92170 - BLOQUE DE REACCION DE CONCRETO PARA ACCESORIOS MENORES A 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82D55C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E4136C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6DEFE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3CBEF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5455BA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DB4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92236 - PINTURA ANTICORROSIVA (INCL. 2 MANOS: 1 DE TALLER y 1 INSTALADO)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4D7EA1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A3B888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22.50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8F1BB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C9FB0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F58F0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DAF4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AD39E1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36533A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C7C1A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00F03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9EA829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7BB5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92346 - FORMALETA DE MADERA DE PINO PARA COLUMNAS (AREA DE CONTACTO)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9DEEEC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87AFD5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155E3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7065B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6C3349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A032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0B7435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1A01CE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680B2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2439B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A512C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C540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93352 - HIERRO (EN VARILLAS) LISO DE CONSTRUCCION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F5697C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80AB02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80.16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D1474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4C167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8906B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CDFD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E93A90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1C7ED9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245.14</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DF1E23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37F37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3083EB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3DD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3E8E9C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95CAAA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30B36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03241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0859E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5AE3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FD84F5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869BD5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B9268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AAEE8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51498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6E4C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94972 - ADAPTADOR HEMBRA DE PVC Diám.=2" (SCH 40) (ASTM D2466)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C6BA44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88AB95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CF464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6B0B6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CFCB0B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7FAD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95372 - LAMINA ANTIDERRAPANTE DE ACERO, Esp.=1/8" SOLDADA A ESTRUCTURA METALICA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63A289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0343AB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11.25</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EBE57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7337A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1DA09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1568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95558 - VALVULA (o LLAVE) DE PASE DE HIERRO FUNDIDO Diám.=2" EXTREMOS BRIDADOS (NO 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144A9E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2363F0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61D00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1A467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76759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A5AF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95779 - CUARTON DE MADERA ROJA DE 3"x3" (NO INCL.PRESERVANTE)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144A6B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1BBF1C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28.80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23817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CFC69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6056C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8AED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96061 - VALVULA (o LLAVE) DE PASE DE HIERRO FUNDIDO Diám.=3"</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C88BD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9AACCB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87B84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59B14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F7A63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EE2F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96455 - TEE DE HIERRO GALVANIZADO Diám.=2"x 2" x 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F9634C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073DAC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79C39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F4BCC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D60F4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093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96637 - PERNO DE ACERO Diám.=3/8", L=1 ½" CON TUERCA Y 2 ARANDELAS PLANAS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D29AB4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29D558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8E805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821FC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E8D07E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14879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36015 - FILTRACION LENTA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A23DD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A2B2B5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52B427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7A275C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1EF6DB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74A3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02557 - CAJA DE REGISTRO DE CONCRETO DE 2,500 PSI REF.+PARED DE LADRILLO CUARTERON DE Ancho 1=1.00m,Ancho 2=1.00m,Alt.=1.00m CON REPELLO CORRIENTE(INCL.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A982E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E0FF87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5BCB7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3CAB0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D2CF2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4FF8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03460 - ARENA DE RIO CRIBADA PARA FILTRO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018CA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27DEFE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23.33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46980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E6A29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9E1641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60F2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03828 - VERTEDERO TRIANGULAR DE ACERO Espesor=¼" Ancho=0.45 m, Alto=0.30m (INCL. PINTURA ANTICORROSIVA)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37128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4CF3DC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D82E3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15D78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60C43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C950D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04123 - TAPA CUADRADA DE CONCRETO DE 3,000 PSI, REF.#2@0.10m EN A/D, DE 0.60mx0.60m,Esp.=0.05m CON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42F645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928E00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02659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A3188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AFD3B7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53A9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92009 - CONCRETO DE 3,000 PSI (MEZCLADO A MANO)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48FE19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ECE880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30.86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444EE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3861C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5132B8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E40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92137 - REPELLO Y FINO CORRIENTE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C60689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9989E1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172.24</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EF534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FEA92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ED2826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A5C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92147 - PINTURA DE ACEITE (COLOR DE LÍNEA) CALIDAD STANDARD (INCL. 2 MANOS)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02BF47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14D3FE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226.21</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B9A86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1731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B38A2D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E12B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4C643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EAD8DD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300.33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3272E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12609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0C730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CBA4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92178 - TUBERIA DE PVC Diám.=4"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740FF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89605E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E6D09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81E78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C9304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A60D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92244 - VÁLVULA (o LLAVE) DE CHORRO DE BRONCE Diám.=½",Presión máxima de trabajo=125 PSI PARA AGUA POTABLE</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950152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0473F3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85041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9EB9B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3D2D9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4D1C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43D1B1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74634C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30.86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B6378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21F42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3BEEA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0A2D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37504B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B42149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153.41</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11C4B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58A6B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6D9D0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407D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92387 - FORMALETA DE MADERA DE PINO PARA FONDO DE ENTREPISO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D188DD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207849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82.50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5769A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20A69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03E09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2CCB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92587 - PINTURA EPOXICA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77ECC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CC3435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226.21</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9FB51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97351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71746A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CB58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92941 - TUBERIA DE PVC Diám.=1" (SDR-26)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F02519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7021F1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76FCF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788D3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F2741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FEC6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31C335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BEA0D7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2,396.00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D1329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32EF8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5C48A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B74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93505 - FINO PIZARRA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29A31E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07A44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300.33</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DB37D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9F4FB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81F4F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BD9A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93847 - CODO DE HIERRO GALVANIZADO DE 3" X 90°</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7BAA5B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E74AF4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D7527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75C1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14E73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A01C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94046 - TEE LISA DE PVC Diám.=4"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764A4E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B17670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BD805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95FB0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77503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F63F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94165 - TUBERIA DE PVC Diám.=3" (SDR-17) (ASTM D2241)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CEE351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97874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D2599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66EDF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235FCC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4C85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94214 - TUBERIA DE PVC Diám.=3" (SDR-41) (ASTM D2665) PARA DWV (Drain-Waste-Vent) DRENAJE-DESECHOS-VENTILACIÓN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4BC8C4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05F66E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50.22</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6FC5C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A8101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2F633C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2F75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94340 - CODO RADIO LARGO (ó CURVA) DE PVC Diám.=3/4", 90º, TIPO LIVIANO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3BE57F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841E7E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36ACA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2E8AB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96385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2CA2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94372 - TAPON HEMBRA LISO DE PVC Diám.=3"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582B2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A7BD40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B81E33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0F58F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DE66E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FB4C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94388 - VALVULA DE MARIPOSA DE HIERRO FUNDIDO Diám.=4" (ACCION RAPIDA)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BA15EB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8BC9EE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729C6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8A7BB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E51521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1F45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95773 - CODO LISO DE PVC Diám.=1",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BCEA1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C6CB44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14D6F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2BA40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73F7C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C743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95774 - TEE LISA DE PVC Diám.=1"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77EFF4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E14418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A229F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D575C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60D0C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574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95936 - VALVULA DE COMPUERTA DE BRONCE Diám.=1"</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570BEC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153C5C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5D6B2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87FC2C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61606B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633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96077 - VALVULA DE COMPUERTA DE HIERRO FUNDIDO Diàm.=3" CON BRIDA (o FLANGE) DE PVC (2 C/U) + PERNOS +TUERCAS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B626D0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9FD498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4F9E1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14383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436BDF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0CD9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96197 - CODO LISO DE PVC Diám.=4", 90°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FCF10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3B669D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80712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26192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8B79A8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234B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96268 - FILTRO DE PIEDRA TRITURADA (GRAVA) TAMAÑO DE ½"(13 mm) y 3/4"(19 mm) (CONSTRUIDO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C21EC3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C6F199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7.78</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D36D2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B35C4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249D1A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B10D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96729 - COMPUERTA DE FIBRA DE VIDRIO Ancho= 0.16m,Alto=0.47m,Espesor=1/4"(INCL.HALADERA, 2 RIELES Ancho=0.08m, Alto=0.40m)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15A38B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D3FC55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28164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8F1E0C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0E4DEC2"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4FC712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350 - CONEXIONES</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38C855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730E676"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42852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35001 - CONEXIONES DOMICILIARES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DFA15D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E256EB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137.00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D153B7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29848E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DCF043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0606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05497 - CONEXIÓN DOMICILIAR DE TUBERÍA DE PVC Diám.=½"(SDR-13.5) CON ABRAZADERA 2"x½"(NO INC.MEDIDOR)(INCL.EXC)+LLAVE DE PASE Diám=½"+LLAVE DE CHORRO,Long=12m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04464A9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7A824F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98.00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89E4A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B9EFF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59DD4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E1AF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05498 - CONEXIÓN DOMICILIAR DE TUBERÍA DE PVC Diám.=½"(SDR-13.5) CON ABRAZADERA 3"x½"(NO INC.MEDIDOR)(INCL.EXC)+LLAVE DE PASE Diám=½"+LLAVE DE CHORRO,Long=12m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2160B7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2C3229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31291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A55B6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8E90AB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89DC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97353 - CONEXIÓN DOMICILIAR DE PATIO DE 1½"x½", DE TUBO PVC ½"(SDR-13.5)(NO INC. MEDIDOR)(NO </w:t>
            </w:r>
            <w:r w:rsidRPr="00367191">
              <w:rPr>
                <w:rFonts w:ascii="Arial" w:hAnsi="Arial" w:cs="Arial"/>
                <w:sz w:val="20"/>
                <w:lang w:val="es-MX" w:eastAsia="es-MX"/>
              </w:rPr>
              <w:lastRenderedPageBreak/>
              <w:t>INCL.EXC)+ LLAVE DE PASE. Diám ½"+LLAVE DE CHORR,Long=3.6m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D0BB2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lastRenderedPageBreak/>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4A9D83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2D762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BE345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B5C450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4D6AC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35002 - OTRO TIPO DE CONEXIONES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805E24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4C7A2E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9C1463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6AFA51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02D827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125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02105 - PUESTO PUBLICO DE CONCRETO CICLOPEO (TIPICO PARA AGUA POTABLE) (CONS. COMPRA DE PIEDRA BOLON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B8B8D4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3B6DE0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9700C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A98BA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9C6549"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F1D91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370 - LIMPIEZA FINAL Y ENTREGA</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521BEA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7A52807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E6801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37001 - LIMPIEZA FINAL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1CC61F2"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8D6634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3AC210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D7C72F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338227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17F5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92225 - LIMPIEZA MANUAL FINAL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42B811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404269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6,184.66</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E4899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3054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817DA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8F9C9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37003 - PLACA CONMEMORATIVA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F77AA91"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CD768CC"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EDC381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15FDBD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ACCD72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BE52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03392 - PEDESTAL DE CONCRETO DE 2,500 PSI REF. CON REPELLO y FINO CORRIENTE (INCL. EXC.) PARA PLACA CONMEMORATIVA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76FC26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580E0D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C3DD3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AE694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B8EE9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5E8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04189 - PLACA CONMEMORATIVA DE ALUMINIO DE 0.65m x 0.42m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39461E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E7D46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711AC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C03E0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BF52543" w14:textId="77777777" w:rsidTr="00367191">
        <w:tblPrEx>
          <w:jc w:val="left"/>
        </w:tblPrEx>
        <w:trPr>
          <w:gridAfter w:val="1"/>
          <w:wAfter w:w="200" w:type="pct"/>
          <w:trHeight w:val="255"/>
        </w:trPr>
        <w:tc>
          <w:tcPr>
            <w:tcW w:w="48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70A5994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2: Saneamiento e Higiene</w:t>
            </w:r>
          </w:p>
        </w:tc>
      </w:tr>
      <w:tr w:rsidR="00367191" w:rsidRPr="00367191" w14:paraId="5F4D4251" w14:textId="77777777" w:rsidTr="00367191">
        <w:tblPrEx>
          <w:jc w:val="left"/>
        </w:tblPrEx>
        <w:trPr>
          <w:gridAfter w:val="1"/>
          <w:wAfter w:w="200" w:type="pct"/>
          <w:trHeight w:val="255"/>
        </w:trPr>
        <w:tc>
          <w:tcPr>
            <w:tcW w:w="48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6A33C4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Saneamiento- Letrinas</w:t>
            </w:r>
          </w:p>
        </w:tc>
      </w:tr>
      <w:tr w:rsidR="00367191" w:rsidRPr="00367191" w14:paraId="571B0CBF"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1F6104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504 - LETRINAS SEMI-ELEVADAS</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7DBD22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E3476A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C4D3A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50412 - ENCHAPE DE FOSO (INC. EXCAVACION Y GRADAS)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0F88675"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94B19B6"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126217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EDF0E4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994671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B937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04295 - POZO RECOLECTOR DE ORINA DE 0.30mx0.30m,Prof.=0.50m(UNO DE ESTA MEDIDA)PARA LETRINA SENCILLA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59961C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848F42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1CB1C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7FE80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50C42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42FC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04429 - FOSO PARA LETRINA SENCILLA SEMI- ELEVADA ENCHAPE DE BLOQUES DE MORTERO DE 0.15m(6") CON GRADAS DE BLOQUE y REPELLO ARENILLADO (INCL. ACARREO)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E52CB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BF1C34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4DD16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0C407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40551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824B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93783 - REPELLO ARENILLADO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59E5CE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75EEC2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96.00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F964C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407ED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F4998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0D87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93845 - PASAMANOS DE TUBO REDONDO DE HIERRO NEGRO Diám.=1"</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108D2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202F77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47.00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6DD61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5FD1A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1A495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B31C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96583 - TAPON HEMBRA LISO DE PVC Diám.=1"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516F4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827685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ADB82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2F92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05922B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7D6B2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50413 - LOSA (PLANCHA) Y BANCO (TAZA)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85508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46F00E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18301D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9EAD0C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9A6A3B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9488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94473 - LOSA Y BANCO DE FIBRA DE VIDRIO PARA LETRINA SENCILLA FIJACION A ESTRUCTURA METALICA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B359F2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326F82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90BB6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175A7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A2107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E37B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94560 - SEPARADOR DE FIBRA DE VIDRIO PARA ORINA PARA ASIENTO DE LETRINA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9F6B83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906D88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6AE4B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78AA3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B611D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5F9F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95095 - MANGUERA DE PLÁSTICO (POLIETILENO) Diám.=5/8"(16 mm)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F6CF5D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21F738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45.00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B9EB2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23DDF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4779E1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D6FF5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50414 - CASETA DE LETRINA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40E298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E5C357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27B5DF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1D0707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F6CDE0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F87A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03960 - ESTRUCTURA DE ACERO (A-36) Y TUBO RECTANGULAR DE HIERRO DE 1"x1½" P/CASETA LETRINA SENCILLA De 0.82mx1.01(INCL.TUBO PVC Diám.=1½"(SDR-26)P/VEN)(INCL.P</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7E5A2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854815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CF319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5300C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48DB0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F7F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94401 - FORRO DE LÁMINA LISA DE ZINC CAL.28,1 CARA SOBRE ESTRUCTURA METÁLICA P/PAREDES DE CASETA DE LETRINA SENCILLA En planta,Ancho=0.82m,Long.=1.01m</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21C199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B0F5F0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7BD2B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F3A51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D78F2F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067C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94474 - RÓTULO LEYENDA(SOLAMENTE PINTADO CON PINTURA DE ACEITE) PARA PROYECTOS DE LETRINAS(ANTES NOV 2008)</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4F32F1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063736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24E36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D7FDE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E1264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0E1E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95904 - CUBIERTA DE TECHO DE LÁMINA ONDULADA DE ZINC CAL.28 SOBRE ESTRUCTURA METÁLICA P/CASETA DE LETRINA SENCILLA,Área d techo:Ancho=0.97m,Long.=1.47m=1.43m2</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BFE72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914813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2AEDD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9733C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E7DF23"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C85F048"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499 - SISTEMA DE SANEAMIENTO</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95FF93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792982B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6811B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49928 - LAVADEROS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E7D5933"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9D3D5B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EB9AAD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3DABA4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E75CB0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88C4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92003 - CONCRETO DE 2,500 PSI (MEZCLADO A MANO) (NO INCL. FUNDIDA)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1F5C54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C9E10F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49.80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6FD4A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E2076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4124C6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FB83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92023 - EXCAVACIÓN MANUAL DE ZANJA EN TERRENO NATURAL Ancho=0.30m,Prof.=0.50m PARA TUBERIA DE Diám.=Desde mayor que 3" hasta menores o iguales a 4"</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EC931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CD35AD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3514F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15C7C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F3B8C8"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0959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AB6381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B9305D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16.50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2535B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E359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99F08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4AB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2D3A6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F25BA6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49.80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56C3A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405DA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FA333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AE20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93142 - VALVULA (o LLAVE) DE CHORRO DE BRONCE Diám.=½",Presión máxima de trabajo=125 PSI CON 1 m DE TUBO SECCIÓN CIRCULAR DE HIERRO GALVANIZADO Diám.=½"</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61BC8F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2FA061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CC7C5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70098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84104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8AE6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93448 - TUBERIA DE PVC Diám.=2" (SDR-41) (ASTM D2665) PARA DWV(Drain-Waste-Vent) DRENAJE-DESECHOS-VENTILACIÓN) (JUNTA CEMENTADA) (NO INCL. EXCAVACIÓN)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CC20D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B94FC6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DA3A3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9C46C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8E5CF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71EF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93801 - LAVADERO SENCILLO DE CONCRETO REF. Ancho=0.63m,Alto=0.83m,L=1.0(De 2 partes:1 fondo estriado y 1 pileta)DE FABRICACIÓN NACIONAL(NO INCL.LLAVE DE CHORR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5F45A9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A43513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39015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98D44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4F76E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90EAA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96079 - TEE SANITARIA LISA DE PVC Diám.=2"(ASTM D2665) JUNTA CEMENTADA PARED GRUESA PARA DWV(Drain-Waste-Vent) DRENAJE-DESECHOS-VENTILACIÓN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5863B9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9A8071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E25AA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6079E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20C2F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91AB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96809 - CODO LISO SANITARIO DE PVC Diám.=2", 90°  (ASTM D2665) PARA DWV(Drain-Waste-Vent) DRENAJE-DESECHOS-VENTILACIÓN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B60B1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78EA78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6BE9F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9FB70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A53061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E3B8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97014 - TEE REDUCTORA LISA DE PVC DE 2" a ½" (SCH 40) (ASTM D2466) JUNTA CEMENTADA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02120A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1EEB4F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DA0F2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281D8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7FC70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1E7D1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49906 - POZOS DE ABSORCIÓN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2B10304"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BCD8460"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65C1B2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689D36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A8899F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3EC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05064 - POZO DE ABSORCIÓN SIN REVESTIR DE 1.00mx1.00m, Prof.=1.00m CON RELLENO DE PIEDRA BOLÓN(CONS.COMPRA DE PIEDRA )(INCL. CODO LISO SANIATRIO y EXC.)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E9F6AD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4D22D7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E262D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9AC85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FB1C09" w14:textId="77777777" w:rsidTr="00367191">
        <w:tblPrEx>
          <w:jc w:val="left"/>
        </w:tblPrEx>
        <w:trPr>
          <w:gridAfter w:val="1"/>
          <w:wAfter w:w="200" w:type="pct"/>
          <w:trHeight w:val="255"/>
        </w:trPr>
        <w:tc>
          <w:tcPr>
            <w:tcW w:w="48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586947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3: Atención Social de Comunidad Organizada</w:t>
            </w:r>
          </w:p>
        </w:tc>
      </w:tr>
      <w:tr w:rsidR="00367191" w:rsidRPr="00367191" w14:paraId="5A19EF73" w14:textId="77777777" w:rsidTr="00367191">
        <w:tblPrEx>
          <w:jc w:val="left"/>
        </w:tblPrEx>
        <w:trPr>
          <w:gridAfter w:val="1"/>
          <w:wAfter w:w="200" w:type="pct"/>
          <w:trHeight w:val="255"/>
        </w:trPr>
        <w:tc>
          <w:tcPr>
            <w:tcW w:w="48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A6F479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Procesos Sociales</w:t>
            </w:r>
          </w:p>
        </w:tc>
      </w:tr>
      <w:tr w:rsidR="00367191" w:rsidRPr="00367191" w14:paraId="14BD0EB2" w14:textId="77777777" w:rsidTr="00367191">
        <w:tblPrEx>
          <w:jc w:val="left"/>
        </w:tblPrEx>
        <w:trPr>
          <w:gridAfter w:val="1"/>
          <w:wAfter w:w="200" w:type="pct"/>
          <w:trHeight w:val="900"/>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004043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lastRenderedPageBreak/>
              <w:t>1058 - EJECUCIÓN DEL PROYECTO</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521977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7340954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E9814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02 - EJECUCIÓN DE OBRAS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012617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C3284D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91F588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293982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48ADA0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AB12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60274 - Elaborar Informe de Planificación y Realización de Asamblea general comunitaria para entrega de sitio del proyecto a contratista y dar a conocer Plan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0F8071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63580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D93A6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464A7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09C06F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B41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60301 - Elaborar Cronograma de trabajo y Plan metodológico para la intervencion social en la(s) comunidad(es) - Etapa de Ejecución</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F78D1C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INFORME</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913C95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72085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5B3DF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B65F765"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C51F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60389 - Planificar y Realizar Talleres de capacitación (No. 5 y6) dirigido a beneficiarios (Módulo III:Compendio metodol:Primera parte(Contrataciones y gestió</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14BF5E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A263BD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7D3AB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E62B2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B7617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0A7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60390 - Planificar y Realizar Talleres de capacitación (No. 7 y8) dirigido a beneficiarios (Módulo III:Compendio metodol:Segunda parte(Administración de servi</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CC7C8F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776056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5B9E7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77E2DF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AFED5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2234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60391 - Planificar y Realizar Talleres de capacitación (No. 9 y10) dirigido a beneficiarios (Módulo IV:Compendio metodl(En correspondencia del tipo de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3EFD5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988F54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63576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C1326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33F7C6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323A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60406 - Planificar y Realizar Taller de capacitación dirigido al Comité sobre elabo del Reglamen interno del Sist.Agua potable-SAP(Incl.material,loca,refriger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6F02E9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73926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68DE5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CB9E9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F306B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94A8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60407 - Elaborar Informe de Planificación y Realización de Asamblea general comunitaria para dar a conocer el Reglamento interno del Sistema d Agua Potabl-SAP</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31F865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B70D5A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2C218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B2657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4B469F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54A8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60423 - Elaborar y Realizar el Levantamiento de Ficha de finiquito del proyecto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0C0600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FICHA</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F2FD95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9B088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46FEB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DC325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51DF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60454 - Planificar y Realizar Asamblea general comunitaria para entrega de sitio y dar a conocer el Plan de Ejecución Física (Apertura de bitácora social)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7ECA9C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D391F1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36B78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D040F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FDD21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839F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60455 - Realizar reunión de coordinación con actores claves del proyecto en la etapa de ejecución y post obra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D8E9DC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REUNIÓN</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6346C18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C7BAF7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00724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F5E48B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70D8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60456 - Planificar y Realizar Taller de capacitación a promotores(as) sociales comunitarios para implementación del FCSA (Incl. materiale, local y refrigerios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43BF4A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B25226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AA68A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2101E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4EADD7"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188C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60457 - Elaborar informe de la Promoción y aseguramiento del cumplimiento de los aportes comunitarios del fondo social comunitario (FSC) cuota No.3 y No.4</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BDEFCD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4960EC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BC0F5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49FC4D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E0139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6FED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60458 - Elaborar Informe de Promoción y aseguramiento del cumplimiento de los aportes comunitarios del fondo social comunitario (FSC) cuota No.5 y No.6</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1E873D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DB0ADC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E07D8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DF94BD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4C3B2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5D15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60459 - Elaborar Informe de Promoción y aseguramiento del cumplimiento de los aportes comunitarios para la compra de medidor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81264D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4B2CF3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AC34A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11BE5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E14D13"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84F6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60460 - Elaborar informe de metodología FCSA -Primera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902695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C90BC8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79C38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F294F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20C7EC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6AD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60461 - Elaborar informe de metodología FCSA -Segunda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C4986B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BC22E8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3803A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96350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A08EE1B"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6771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60462 - Elaborar informe de metodología FCSA -Tercera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4F746F3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0DBBC4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8D25F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9A214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C9B630"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A37C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60463 - Elaborar informe de metodología FCSA -Cuarta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1E228B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C40FEB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478DD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BE64A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3627DF"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F36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60464 - Planificar y Realizar Asamblea general comunitaria para presentación y aprobación del Reglamento Interno del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A8047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4C0B20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F7AC4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3D277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BE85C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A46A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60465 - Planificar y Realizar Asamblea general comunitaria para dar a conocer Plan de Operaci y Manteni del Sist.y firma de acta de recepción final del proyec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291F94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5161F0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CB0DC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7F6EB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1D9C02"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2009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60471 - Elaborar Informe de Planificación y Realización de Taller de capacitación del Módulo III(Taller No. 5,6,7 y 8): Compendio Metodológico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60624A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14BA25B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444C2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CD93D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4BDEB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6C8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60472 - Elaborar Informe de Planificación y Realización de Taller de capacitación (Talleres No.9 y 10) del Módulo IV: Compendio Metodológico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580474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53BBE1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FF975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029A2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71CB54"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CFB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60473 - Elaborar Informe de Planifica y Realizac de Asamblea General comunit para dar a conocer Plan de Opera y Manteni del Sist.y firma de acta de recep fina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438A36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BE2959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E90B7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0C9D8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7AF7DA"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922B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60477 - Elaborar Informe de Planificación y Realización de Taller de capacitación dirigido a promotores(as) sociales comunitarios para implementación del FCSA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4917A4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C0DF68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EB84E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FA83E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FB4F02" w14:textId="77777777" w:rsidTr="00367191">
        <w:tblPrEx>
          <w:jc w:val="left"/>
        </w:tblPrEx>
        <w:trPr>
          <w:gridAfter w:val="1"/>
          <w:wAfter w:w="200" w:type="pct"/>
          <w:trHeight w:val="508"/>
        </w:trPr>
        <w:tc>
          <w:tcPr>
            <w:tcW w:w="406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C834C5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1059 - POST- OBRA</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413D5B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0CD18C96" w14:textId="77777777" w:rsidTr="00367191">
        <w:tblPrEx>
          <w:jc w:val="left"/>
        </w:tblPrEx>
        <w:trPr>
          <w:gridAfter w:val="1"/>
          <w:wAfter w:w="200" w:type="pct"/>
          <w:trHeight w:val="699"/>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2E50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01 - POST- OBRA  Y SOSTENIBILIDAD</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2E92D8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685B5FD"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2A3B29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D07BC5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16A86A5" w14:textId="77777777" w:rsidTr="00367191">
        <w:tblPrEx>
          <w:jc w:val="left"/>
        </w:tblPrEx>
        <w:trPr>
          <w:gridAfter w:val="1"/>
          <w:wAfter w:w="200" w:type="pct"/>
          <w:trHeight w:val="485"/>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0B10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60290 - Elaborar Informe final de la consultoria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97E95C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844A1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BECCE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6C1BC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7EBC5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BC4E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60291 - Elaborar Informe de Planificación y Realización de Asamblea general comunitaria de cierre y evaluacion final</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91FF13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7975964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2F1337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0F33C0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E618AFD"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0D26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60392 - Planificar y Realizar Taller de capacitación dirigido al Comité para reforzamiento sobre la Ley No.722 y el Reglamento(Incl. Material,Local y refriger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2F8D0F9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19B22C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479275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8B477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7A1D2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1DC7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60395 - Planificar y Realizar Taller de capacitación dirigido al Comité para Cálculo de tarifa para pago de agua (Incl. Tema de lectura de medidores)</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485FC2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3273C5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34367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BDC9C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CFA4967" w14:textId="77777777" w:rsidTr="00367191">
        <w:tblPrEx>
          <w:jc w:val="left"/>
        </w:tblPrEx>
        <w:trPr>
          <w:gridAfter w:val="1"/>
          <w:wAfter w:w="200" w:type="pct"/>
          <w:trHeight w:val="679"/>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E51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60466 - Elaborar informe de metodología FCSA -Quinta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7C3E8D3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6BC2F7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7C7633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5DA8BA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65578F" w14:textId="77777777" w:rsidTr="00367191">
        <w:tblPrEx>
          <w:jc w:val="left"/>
        </w:tblPrEx>
        <w:trPr>
          <w:gridAfter w:val="1"/>
          <w:wAfter w:w="200" w:type="pct"/>
          <w:trHeight w:val="621"/>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DEC9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60467 - Elaborar informe de metodología FCSA -Sexta visita casa a casa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5D5349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4F4EAE3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87F34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31D34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453DFF" w14:textId="77777777" w:rsidTr="00367191">
        <w:tblPrEx>
          <w:jc w:val="left"/>
        </w:tblPrEx>
        <w:trPr>
          <w:gridAfter w:val="1"/>
          <w:wAfter w:w="200" w:type="pct"/>
          <w:trHeight w:val="719"/>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DD02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60468 - Elaborar informe final de resultados en la implementación de FCSA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1DA3DB2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21A3BE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33781E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2278C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6DADD9"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684E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60469 - Planificar y Realizar Taller de capacitación para la Operación y Mantenimiento del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D93CAE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09DC272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DD713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1F1609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884EF81"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B330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60470 - Planificar y Realizar Asamblea general comunitaria para la presentación del informe final del componente social del proyec</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A4EFFF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3BE4BB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566CAD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2257AC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3F1B0C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E4E8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60474 - Elaborar Informe de Realización de Taller de capacitación dirigido al Comité para reforzamiento sobre la Ley No. 722 y el Reglamento</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6EC1F32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2199099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071290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6E41F8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F9241FE"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187F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60475 - Elaborar Informe de Planifica y Realizac de Taller de capacit dirigido al Comité para Cálculo de tarifa para pago de agua(Incl.Tema de lectu d medidor</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38DECDB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568715B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1758C9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44313A3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7C5FDC" w14:textId="77777777" w:rsidTr="00367191">
        <w:tblPrEx>
          <w:jc w:val="left"/>
        </w:tblPrEx>
        <w:trPr>
          <w:gridAfter w:val="1"/>
          <w:wAfter w:w="200" w:type="pct"/>
          <w:trHeight w:val="900"/>
        </w:trPr>
        <w:tc>
          <w:tcPr>
            <w:tcW w:w="25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FA7F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60476 - Elaborar Informe de Planificación y Realización de Taller de capacitación para la Operación y Mantenimiento del Sistema</w:t>
            </w:r>
          </w:p>
        </w:tc>
        <w:tc>
          <w:tcPr>
            <w:tcW w:w="558" w:type="pct"/>
            <w:gridSpan w:val="2"/>
            <w:tcBorders>
              <w:top w:val="single" w:sz="4" w:space="0" w:color="auto"/>
              <w:left w:val="nil"/>
              <w:bottom w:val="single" w:sz="4" w:space="0" w:color="auto"/>
              <w:right w:val="single" w:sz="4" w:space="0" w:color="auto"/>
            </w:tcBorders>
            <w:shd w:val="clear" w:color="auto" w:fill="auto"/>
            <w:vAlign w:val="center"/>
            <w:hideMark/>
          </w:tcPr>
          <w:p w14:paraId="5CEAA30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88" w:type="pct"/>
            <w:gridSpan w:val="2"/>
            <w:tcBorders>
              <w:top w:val="single" w:sz="4" w:space="0" w:color="auto"/>
              <w:left w:val="nil"/>
              <w:bottom w:val="single" w:sz="4" w:space="0" w:color="auto"/>
              <w:right w:val="single" w:sz="4" w:space="0" w:color="auto"/>
            </w:tcBorders>
            <w:shd w:val="clear" w:color="auto" w:fill="auto"/>
            <w:vAlign w:val="center"/>
            <w:hideMark/>
          </w:tcPr>
          <w:p w14:paraId="307DC95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87" w:type="pct"/>
            <w:gridSpan w:val="2"/>
            <w:tcBorders>
              <w:top w:val="single" w:sz="4" w:space="0" w:color="auto"/>
              <w:left w:val="nil"/>
              <w:bottom w:val="single" w:sz="4" w:space="0" w:color="auto"/>
              <w:right w:val="single" w:sz="4" w:space="0" w:color="auto"/>
            </w:tcBorders>
            <w:shd w:val="clear" w:color="auto" w:fill="auto"/>
            <w:vAlign w:val="center"/>
            <w:hideMark/>
          </w:tcPr>
          <w:p w14:paraId="64A201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734" w:type="pct"/>
            <w:gridSpan w:val="2"/>
            <w:tcBorders>
              <w:top w:val="single" w:sz="4" w:space="0" w:color="auto"/>
              <w:left w:val="nil"/>
              <w:bottom w:val="single" w:sz="4" w:space="0" w:color="auto"/>
              <w:right w:val="single" w:sz="4" w:space="0" w:color="auto"/>
            </w:tcBorders>
            <w:shd w:val="clear" w:color="auto" w:fill="auto"/>
            <w:vAlign w:val="center"/>
            <w:hideMark/>
          </w:tcPr>
          <w:p w14:paraId="361F43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2DB294B" w14:textId="77777777" w:rsidTr="00367191">
        <w:tblPrEx>
          <w:jc w:val="left"/>
        </w:tblPrEx>
        <w:trPr>
          <w:gridAfter w:val="1"/>
          <w:wAfter w:w="200" w:type="pct"/>
          <w:trHeight w:val="300"/>
        </w:trPr>
        <w:tc>
          <w:tcPr>
            <w:tcW w:w="4065" w:type="pct"/>
            <w:gridSpan w:val="8"/>
            <w:tcBorders>
              <w:top w:val="single" w:sz="4" w:space="0" w:color="auto"/>
              <w:left w:val="single" w:sz="4" w:space="0" w:color="auto"/>
              <w:bottom w:val="single" w:sz="4" w:space="0" w:color="auto"/>
              <w:right w:val="single" w:sz="4" w:space="0" w:color="auto"/>
            </w:tcBorders>
            <w:shd w:val="clear" w:color="000000" w:fill="FFFF99"/>
            <w:vAlign w:val="center"/>
            <w:hideMark/>
          </w:tcPr>
          <w:p w14:paraId="0676798E"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Total:</w:t>
            </w:r>
          </w:p>
        </w:tc>
        <w:tc>
          <w:tcPr>
            <w:tcW w:w="734" w:type="pct"/>
            <w:gridSpan w:val="2"/>
            <w:tcBorders>
              <w:top w:val="single" w:sz="4" w:space="0" w:color="auto"/>
              <w:left w:val="nil"/>
              <w:bottom w:val="single" w:sz="4" w:space="0" w:color="auto"/>
              <w:right w:val="single" w:sz="4" w:space="0" w:color="auto"/>
            </w:tcBorders>
            <w:shd w:val="clear" w:color="000000" w:fill="FFFF99"/>
            <w:vAlign w:val="center"/>
            <w:hideMark/>
          </w:tcPr>
          <w:p w14:paraId="0A21EF0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bl>
    <w:p w14:paraId="3CCC0EF8" w14:textId="77777777" w:rsidR="008756A9" w:rsidRDefault="008756A9" w:rsidP="00C2353B">
      <w:pPr>
        <w:pStyle w:val="INDGEN1"/>
      </w:pPr>
    </w:p>
    <w:p w14:paraId="7B670912" w14:textId="77777777" w:rsidR="00367191" w:rsidRDefault="00367191">
      <w:pPr>
        <w:jc w:val="left"/>
        <w:rPr>
          <w:rFonts w:ascii="Arial" w:hAnsi="Arial" w:cs="Arial"/>
          <w:b/>
          <w:sz w:val="28"/>
          <w:szCs w:val="28"/>
          <w:lang w:val="es-ES"/>
        </w:rPr>
      </w:pPr>
      <w:r>
        <w:br w:type="page"/>
      </w:r>
    </w:p>
    <w:tbl>
      <w:tblPr>
        <w:tblW w:w="5784" w:type="pct"/>
        <w:tblInd w:w="-851" w:type="dxa"/>
        <w:tblCellMar>
          <w:left w:w="70" w:type="dxa"/>
          <w:right w:w="70" w:type="dxa"/>
        </w:tblCellMar>
        <w:tblLook w:val="04A0" w:firstRow="1" w:lastRow="0" w:firstColumn="1" w:lastColumn="0" w:noHBand="0" w:noVBand="1"/>
      </w:tblPr>
      <w:tblGrid>
        <w:gridCol w:w="7064"/>
        <w:gridCol w:w="1219"/>
        <w:gridCol w:w="1030"/>
        <w:gridCol w:w="897"/>
        <w:gridCol w:w="618"/>
      </w:tblGrid>
      <w:tr w:rsidR="00367191" w:rsidRPr="00367191" w14:paraId="705B4B33" w14:textId="77777777" w:rsidTr="00367191">
        <w:trPr>
          <w:trHeight w:val="300"/>
        </w:trPr>
        <w:tc>
          <w:tcPr>
            <w:tcW w:w="5000" w:type="pct"/>
            <w:gridSpan w:val="5"/>
            <w:tcBorders>
              <w:top w:val="nil"/>
              <w:left w:val="nil"/>
              <w:bottom w:val="nil"/>
              <w:right w:val="nil"/>
            </w:tcBorders>
            <w:shd w:val="clear" w:color="auto" w:fill="auto"/>
            <w:vAlign w:val="center"/>
            <w:hideMark/>
          </w:tcPr>
          <w:p w14:paraId="3AD3F498"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lastRenderedPageBreak/>
              <w:t>Lote N° 3: Proyecto 19842 Agua y Saneamiento Comunidad Zacatera</w:t>
            </w:r>
          </w:p>
        </w:tc>
      </w:tr>
      <w:tr w:rsidR="00367191" w:rsidRPr="00367191" w14:paraId="1195D395" w14:textId="77777777" w:rsidTr="00367191">
        <w:trPr>
          <w:trHeight w:val="300"/>
        </w:trPr>
        <w:tc>
          <w:tcPr>
            <w:tcW w:w="3262" w:type="pct"/>
            <w:tcBorders>
              <w:top w:val="nil"/>
              <w:left w:val="nil"/>
              <w:bottom w:val="single" w:sz="4" w:space="0" w:color="auto"/>
              <w:right w:val="nil"/>
            </w:tcBorders>
            <w:shd w:val="clear" w:color="auto" w:fill="auto"/>
            <w:vAlign w:val="center"/>
            <w:hideMark/>
          </w:tcPr>
          <w:p w14:paraId="7960D783" w14:textId="77777777" w:rsidR="00367191" w:rsidRPr="00367191" w:rsidRDefault="00367191" w:rsidP="00367191">
            <w:pPr>
              <w:jc w:val="center"/>
              <w:rPr>
                <w:rFonts w:ascii="Arial" w:hAnsi="Arial" w:cs="Arial"/>
                <w:b/>
                <w:bCs/>
                <w:sz w:val="28"/>
                <w:szCs w:val="28"/>
                <w:lang w:val="es-MX" w:eastAsia="es-MX"/>
              </w:rPr>
            </w:pPr>
          </w:p>
        </w:tc>
        <w:tc>
          <w:tcPr>
            <w:tcW w:w="563" w:type="pct"/>
            <w:tcBorders>
              <w:top w:val="nil"/>
              <w:left w:val="nil"/>
              <w:bottom w:val="single" w:sz="4" w:space="0" w:color="auto"/>
              <w:right w:val="nil"/>
            </w:tcBorders>
            <w:shd w:val="clear" w:color="auto" w:fill="auto"/>
            <w:vAlign w:val="center"/>
            <w:hideMark/>
          </w:tcPr>
          <w:p w14:paraId="1338C3B0" w14:textId="77777777" w:rsidR="00367191" w:rsidRPr="00367191" w:rsidRDefault="00367191" w:rsidP="00367191">
            <w:pPr>
              <w:jc w:val="left"/>
              <w:rPr>
                <w:sz w:val="20"/>
                <w:lang w:val="es-MX" w:eastAsia="es-MX"/>
              </w:rPr>
            </w:pPr>
          </w:p>
        </w:tc>
        <w:tc>
          <w:tcPr>
            <w:tcW w:w="476" w:type="pct"/>
            <w:tcBorders>
              <w:top w:val="nil"/>
              <w:left w:val="nil"/>
              <w:bottom w:val="single" w:sz="4" w:space="0" w:color="auto"/>
              <w:right w:val="nil"/>
            </w:tcBorders>
            <w:shd w:val="clear" w:color="auto" w:fill="auto"/>
            <w:vAlign w:val="center"/>
            <w:hideMark/>
          </w:tcPr>
          <w:p w14:paraId="03B7FD99" w14:textId="77777777" w:rsidR="00367191" w:rsidRPr="00367191" w:rsidRDefault="00367191" w:rsidP="00367191">
            <w:pPr>
              <w:jc w:val="center"/>
              <w:rPr>
                <w:sz w:val="20"/>
                <w:lang w:val="es-MX" w:eastAsia="es-MX"/>
              </w:rPr>
            </w:pPr>
          </w:p>
        </w:tc>
        <w:tc>
          <w:tcPr>
            <w:tcW w:w="414" w:type="pct"/>
            <w:tcBorders>
              <w:top w:val="nil"/>
              <w:left w:val="nil"/>
              <w:bottom w:val="single" w:sz="4" w:space="0" w:color="auto"/>
              <w:right w:val="nil"/>
            </w:tcBorders>
            <w:shd w:val="clear" w:color="auto" w:fill="auto"/>
            <w:vAlign w:val="center"/>
            <w:hideMark/>
          </w:tcPr>
          <w:p w14:paraId="44889513" w14:textId="77777777" w:rsidR="00367191" w:rsidRPr="00367191" w:rsidRDefault="00367191" w:rsidP="00367191">
            <w:pPr>
              <w:jc w:val="left"/>
              <w:rPr>
                <w:sz w:val="20"/>
                <w:lang w:val="es-MX" w:eastAsia="es-MX"/>
              </w:rPr>
            </w:pPr>
          </w:p>
        </w:tc>
        <w:tc>
          <w:tcPr>
            <w:tcW w:w="285" w:type="pct"/>
            <w:tcBorders>
              <w:top w:val="nil"/>
              <w:left w:val="nil"/>
              <w:bottom w:val="single" w:sz="4" w:space="0" w:color="auto"/>
              <w:right w:val="nil"/>
            </w:tcBorders>
            <w:shd w:val="clear" w:color="auto" w:fill="auto"/>
            <w:vAlign w:val="center"/>
            <w:hideMark/>
          </w:tcPr>
          <w:p w14:paraId="46CBC01C" w14:textId="77777777" w:rsidR="00367191" w:rsidRPr="00367191" w:rsidRDefault="00367191" w:rsidP="00367191">
            <w:pPr>
              <w:jc w:val="left"/>
              <w:rPr>
                <w:sz w:val="20"/>
                <w:lang w:val="es-MX" w:eastAsia="es-MX"/>
              </w:rPr>
            </w:pPr>
          </w:p>
        </w:tc>
      </w:tr>
      <w:tr w:rsidR="00367191" w:rsidRPr="00367191" w14:paraId="0314B931" w14:textId="77777777" w:rsidTr="00367191">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E2B3B3"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Fondo de Inversión Social de Emergencia (FISE)</w:t>
            </w:r>
          </w:p>
        </w:tc>
      </w:tr>
      <w:tr w:rsidR="00367191" w:rsidRPr="00367191" w14:paraId="280A0A6B" w14:textId="77777777" w:rsidTr="00367191">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D113423"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Detalle de Presupuesto (Costos en C$)</w:t>
            </w:r>
          </w:p>
        </w:tc>
      </w:tr>
      <w:tr w:rsidR="00367191" w:rsidRPr="00367191" w14:paraId="0D67AC70" w14:textId="77777777" w:rsidTr="00367191">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43E8456"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(Formato de Oferta)</w:t>
            </w:r>
          </w:p>
        </w:tc>
      </w:tr>
      <w:tr w:rsidR="00367191" w:rsidRPr="00367191" w14:paraId="3C987224" w14:textId="77777777" w:rsidTr="00367191">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4F0C51"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Lote N° 2: Proyecto 19842 Agua y Saneamiento Comunidad Zacatera</w:t>
            </w:r>
          </w:p>
        </w:tc>
      </w:tr>
      <w:tr w:rsidR="00367191" w:rsidRPr="00367191" w14:paraId="54672AF7" w14:textId="77777777" w:rsidTr="00367191">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5FAC70"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Departamento: Nueva Segovia</w:t>
            </w:r>
          </w:p>
        </w:tc>
      </w:tr>
      <w:tr w:rsidR="00367191" w:rsidRPr="00367191" w14:paraId="27B6D9B9" w14:textId="77777777" w:rsidTr="00367191">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4E81D40"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Municipio: Wiwilí de Nueva Segovia</w:t>
            </w:r>
          </w:p>
        </w:tc>
      </w:tr>
      <w:tr w:rsidR="00367191" w:rsidRPr="00367191" w14:paraId="46D2E1EA" w14:textId="77777777" w:rsidTr="00367191">
        <w:trPr>
          <w:trHeight w:val="300"/>
        </w:trPr>
        <w:tc>
          <w:tcPr>
            <w:tcW w:w="3262"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2CCB4DE6"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ETAPA \ SUBETAPA \ ACTIVIDAD</w:t>
            </w:r>
          </w:p>
        </w:tc>
        <w:tc>
          <w:tcPr>
            <w:tcW w:w="563" w:type="pct"/>
            <w:tcBorders>
              <w:top w:val="single" w:sz="4" w:space="0" w:color="auto"/>
              <w:left w:val="nil"/>
              <w:bottom w:val="single" w:sz="4" w:space="0" w:color="auto"/>
              <w:right w:val="single" w:sz="4" w:space="0" w:color="auto"/>
            </w:tcBorders>
            <w:shd w:val="clear" w:color="000000" w:fill="C0C0C0"/>
            <w:vAlign w:val="center"/>
            <w:hideMark/>
          </w:tcPr>
          <w:p w14:paraId="0E78332B"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U.M</w:t>
            </w:r>
          </w:p>
        </w:tc>
        <w:tc>
          <w:tcPr>
            <w:tcW w:w="476" w:type="pct"/>
            <w:tcBorders>
              <w:top w:val="single" w:sz="4" w:space="0" w:color="auto"/>
              <w:left w:val="nil"/>
              <w:bottom w:val="single" w:sz="4" w:space="0" w:color="auto"/>
              <w:right w:val="single" w:sz="4" w:space="0" w:color="auto"/>
            </w:tcBorders>
            <w:shd w:val="clear" w:color="000000" w:fill="C0C0C0"/>
            <w:vAlign w:val="center"/>
            <w:hideMark/>
          </w:tcPr>
          <w:p w14:paraId="344FBE75"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Cantidad</w:t>
            </w:r>
          </w:p>
        </w:tc>
        <w:tc>
          <w:tcPr>
            <w:tcW w:w="414" w:type="pct"/>
            <w:tcBorders>
              <w:top w:val="single" w:sz="4" w:space="0" w:color="auto"/>
              <w:left w:val="nil"/>
              <w:bottom w:val="single" w:sz="4" w:space="0" w:color="auto"/>
              <w:right w:val="single" w:sz="4" w:space="0" w:color="auto"/>
            </w:tcBorders>
            <w:shd w:val="clear" w:color="000000" w:fill="C0C0C0"/>
            <w:vAlign w:val="center"/>
            <w:hideMark/>
          </w:tcPr>
          <w:p w14:paraId="724A4D11"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Precio Unitario C$</w:t>
            </w:r>
          </w:p>
        </w:tc>
        <w:tc>
          <w:tcPr>
            <w:tcW w:w="285" w:type="pct"/>
            <w:tcBorders>
              <w:top w:val="single" w:sz="4" w:space="0" w:color="auto"/>
              <w:left w:val="nil"/>
              <w:bottom w:val="single" w:sz="4" w:space="0" w:color="auto"/>
              <w:right w:val="single" w:sz="4" w:space="0" w:color="auto"/>
            </w:tcBorders>
            <w:shd w:val="clear" w:color="000000" w:fill="C0C0C0"/>
            <w:vAlign w:val="center"/>
            <w:hideMark/>
          </w:tcPr>
          <w:p w14:paraId="277B78B8"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Total C$</w:t>
            </w:r>
          </w:p>
        </w:tc>
      </w:tr>
      <w:tr w:rsidR="00367191" w:rsidRPr="00367191" w14:paraId="45E98002" w14:textId="77777777" w:rsidTr="0036719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2331BB4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1: Construcción de Miniacueducto por Gravedad (MAG)</w:t>
            </w:r>
          </w:p>
        </w:tc>
      </w:tr>
      <w:tr w:rsidR="00367191" w:rsidRPr="00367191" w14:paraId="2B572F5B" w14:textId="77777777" w:rsidTr="0036719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CCFFCC"/>
            <w:vAlign w:val="center"/>
            <w:hideMark/>
          </w:tcPr>
          <w:p w14:paraId="29E0ACF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Agua y Saneamiento -MABE o MAG</w:t>
            </w:r>
          </w:p>
        </w:tc>
      </w:tr>
      <w:tr w:rsidR="00367191" w:rsidRPr="00367191" w14:paraId="19C82472" w14:textId="77777777" w:rsidTr="00367191">
        <w:trPr>
          <w:trHeight w:val="300"/>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08A6D"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310 - PRELIMINARES</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78B65A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907CCD4"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ADC4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31002 - TRAZO Y NIVELACIÓN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D51E98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A7900C5"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16,363.65</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F1F2A6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9ABA5E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2254BC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9D9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96768 - REPLANTEO DEL TRAZO Y NIVELACION PARA TUBERIAS DE AGUA POTABLE(INCL. ESTACAS DE MADERA+MANO DE OBRA+EQUIPO DETOPOGRAFIA)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2140B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5BCE16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16,363.65</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A212C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5AC68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28442EC"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A064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31005 - RÓTULO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630004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A886563"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DA6518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0922AE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4F2573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826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04277 - RÓTULO TIPO FISE DE 1.22m x 2.44m (ESTRUCTURA DE ACERO+FORRO DE ZINC LISO) CON BASES DE CONCRETO REF.DE 2,500 PSI(INCL. PINT. ANTICORROSIVA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EB0999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8018AC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E36BC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4F7E3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E556E68"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08F848"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320 - LÍNEA DE CONDUCCIÓN</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299C1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254A9FDE"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9437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32011 - RELLENO Y COMPACTACIÓN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D1D916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2601B93"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2,395.43</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C0E933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6339E3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B1A87A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3DE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2D58F8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5EF81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2,395.43</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04C22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D55B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E573FB"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316F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32015 - TUBERIA DE 2" DE DIÁMETRO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424E0E3"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5D4588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2,749.58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E551AD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1F2B3B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DB933B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F51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A0F3BF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57D369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2,749.58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FA35AD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8E03E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6BD8AC"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0E54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32023 - PRUEBAS HIDROSTÁTICAS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E6844F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12B44DF"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3FE0A3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3DB76D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8B6769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416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96930 - PRUEBA HIDROSTÁTICA (DE PRESIÓN y DE ESTANQUEIDAD)(CON BOMBA MANUAL) EN TUBERIA y ACCESORIOS PVC Diám.&lt;=2" L=HASTA 300m PARA PROYECTOS DE AGUA POTABLE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BCF5C4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D14111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5E199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AC593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E5CA4C"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1957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32025 - VÁLVULAS Y ACCESORIOS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100D38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7C0745C"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D3CA05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9E14A2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3FC7B9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EBE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02099 - BLOQUE DE REACCION DE CONCRETO DE 3,000 PSI REF. PARA VALVULAS (NO INCL. EXCAVACION, NI ACARREO)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330BAE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F800D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96E8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E67ED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A692F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DE7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02269 - VALVULA DE PASE DE GAVETA DE BRONCE Diám.=2" (INCL.1.00m TUBERIA SECCIÓN CIRCULAR DE HIERRO GALVANIZADO Y 4 BLOQUES DE REACCION) PARA LIMPIEZA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E50D52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E0DB3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EB969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A1982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4F5BBC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0CC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03070 - CAJA DE REGISTRO DE CONCRETO DE 2,500 PSI REF.+CONCRETO DE 3,000 PSI DE Ancho=1.00m,Largo=2.00m,Alt.=0.50m CON REPELLO y FINO CORRIENTE(INCL.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098AC2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C10A9C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64D58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04F15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900388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0CE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03113 - CAJA DE CONCRETO DE 2,500 PSI SIN REF. Ancho 1=0.50m,Ancho 2=0.50m,Alt.=0.50m+TAPA DE LAMINA DE ACERO Esp.=3/16"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55DBAF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7DB55D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47858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7E00A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3FDFC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667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03354 - CAJA PARA PROTECCION DE VALVULA HECHA DE TUBO DE CONCRETO SIN REF. Diám.=8" (NO INCL.EXCAVACION)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7499AA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DBF282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97423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77298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15383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879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3D9599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44FFED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BF0E6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3BA7B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DF04D3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B0E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1F78BD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0BBFBF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6BEE6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4A4B6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B46E9B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F88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94006 - TEE LISA DE PVC Diám.=2"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BC4B0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C979CD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F67E4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FA796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F6AF35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143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94008 - VALVULA REGULADORA DE PRESION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16219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813C50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97A33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024D0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1B52A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5D9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94311 - VALVULA DE AIRE Y VACIO DE HIERRO FUNDIDO Diám.=½"+ ABRAZADERA DE HIERRO GALVANIZADO+UNION DE BRONCE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C82345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A1DD7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5F34F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23D34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7D3BA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F91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94366 - UNION MALEABLE DE HIERRO GALVANIZADO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1C6BFC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0B8E18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FB100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463EC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79FFB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5D2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95104 - MANOMETRO HIDRÁULICO TUBO BOURDON ¼"(Carcasa de ACERO INOXIDABLE) Presion de trabajo=De 0 a 100 PSI con dial circular Diám.=2",lectura en doble escala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84A57B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712E24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A7F10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7AFFC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90F98F"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4585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32027 - CRUCES BAJO LECHO DE CAUCES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2CEC0C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0C74A3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87726B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E14A87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0D321C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2D2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04043 - CRUCE (BAJO LECHO) DE CAUCE CON TUBERIA SECCIÓN CIRCULAR DE HIERRO GALVANIZADO Diám.=2" CON CONCRETO DE 3,000 PSI SIN REF.</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215DD6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BDC47A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CB5E6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95A85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A126B5"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C404E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lastRenderedPageBreak/>
              <w:t>325 - PILAS ROMPE PRESION</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0FD9099"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70A17448"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6C19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32501 - TRAZO Y NIVELACIÓN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24DEE3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2B963F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D3CD15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1381C4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D71CA0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6D9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02099 - BLOQUE DE REACCION DE CONCRETO DE 3,000 PSI REF. PARA VALVULAS (NO INCL. EXCAVACION, NI ACARREO)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06D51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228CB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208AE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229EC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13739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6081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02269 - VALVULA DE PASE DE GAVETA DE BRONCE Diám.=2" (INCL.1.00m TUBERIA SECCIÓN CIRCULAR DE HIERRO GALVANIZADO Y 4 BLOQUES DE REACCION) PARA LIMPIEZA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E59C68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522A02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C66FA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59DE2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D376E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772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04162 - CAJA PARA PROTECCION DE VALVULA HECHA DE TUBO DE PVC Diám.= 6"(SDR-41)(NO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E092CD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10A748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924FD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B1F6E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3004C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5C7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05377 - CAJA (PILA ROMPE PRESION) DE CONCRETO DE 3,000 PSI REF. Ancho=0.70m,Largo=1.05m,Alt.=1.00m CON COLUMNA DE CONCRETO DE 0.15mx0.15m(INCL. REPELLO Y FINO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4060F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9D4986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BE79BE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F55E4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64029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3DA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E41E2F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0AC21C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6997E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9A35E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393972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505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F6EBA0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5E3BA0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C6427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95EC4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7FFCF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9FB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FE351C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EC4F11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46304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5A080F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EC1446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942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94370 - TAPON HEMBRA DE HIERRO GALVANIZADO Diám. = 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A15A17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ADF4A1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32A06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E3EEA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24670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A36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0B9BBE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06B040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48682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750AD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193B7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01C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94972 - ADAPTADOR HEMBRA DE PVC Diám.=2" (SCH 40) (ASTM D2466)</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BA6233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FA235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CE74E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0CB3E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76292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A1E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96161 - VALVULA DE BOYA (FLOTADOR) DE CONTROL DE NIVEL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2F4F9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00E4AC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F56DB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22884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02DDC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67E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96455 - TEE DE HIERRO GALVANIZADO Diám.=2"x 2" x 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909E06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AF26F9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1AEBE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7C4AB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5C3545" w14:textId="77777777" w:rsidTr="00367191">
        <w:trPr>
          <w:trHeight w:val="1020"/>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02587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330 - LÍNEA DE DISTRIBUCIÓN</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108597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125B3E8"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45D2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33014 - TUBERIA DE 1 ½" DE DIÁMETRO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2666C7"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F41B06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3,576.58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618CCD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07705C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08509C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394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96166 - TUBERIA DE PVC Diám.=1½" (SDR-26)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31444A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B9A417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3,576.58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7CF20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012E9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997FF4"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4B26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33015 - TUBERIA DE 2" DE DIÁMETRO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CCD834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331CF9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8,942.71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8F583B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DCA2FD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A88B2A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E86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96170 - TUBERIA DE PVC Diám.=2" (SDR-26) (ASTM D2241) (JUNTA CEMENTADA) PRECIO DE MATERIALES MAYORISTA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D08458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15F8FB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8,942.71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A19A3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4B338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285B4F"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B3AB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33022 - PRUEBAS HIDROSTÁTICAS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0493EBA"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4F825C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42.00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ECE5D0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DD464B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367FE2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39A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96930 - PRUEBA HIDROSTÁTICA (DE PRESIÓN y DE ESTANQUEIDAD)(CON BOMBA MANUAL) EN TUBERIA y ACCESORIOS PVC Diám.&lt;=2" L=HASTA 300m PARA PROYECTOS DE AGUA POTABLE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8622F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7F7A87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30664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752ED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B5DA323"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EA71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33023 - VÁLVULAS Y ACCESORIOS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ADE82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8B06AED"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87.00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302CDA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D986B6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38D3F4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869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02099 - BLOQUE DE REACCION DE CONCRETO DE 3,000 PSI REF. PARA VALVULAS (NO INCL. EXCAVACION, NI ACARREO)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063F8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DC0212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EC55A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42E69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62B62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036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02269 - VALVULA DE PASE DE GAVETA DE BRONCE Diám.=2" (INCL.1.00m TUBERIA SECCIÓN CIRCULAR DE HIERRO GALVANIZADO Y 4 BLOQUES DE REACCION) PARA LIMPIEZA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4FD1AD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CFBFE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A7198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2ECE0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55DC4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319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03070 - CAJA DE REGISTRO DE CONCRETO DE 2,500 PSI REF.+CONCRETO DE 3,000 PSI DE Ancho=1.00m,Largo=2.00m,Alt.=0.50m CON REPELLO y FINO CORRIENTE(INCL.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E20CFC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BD04B6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0E992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B988C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0BB33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FCF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03113 - CAJA DE CONCRETO DE 2,500 PSI SIN REF. Ancho 1=0.50m,Ancho 2=0.50m,Alt.=0.50m+TAPA DE LAMINA DE ACERO Esp.=3/16"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8FE274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93611D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A56EA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3804C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7CA11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626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03942 - VÁLVULA DE PASE DE MARIPOSA DE BRONCE Diám.=1½" CON 1mTUBO DE HIERRO GALVANIZADO Diám.=1½("INC.EXCAVACION Y BLOQUE DE REACCIÓN DE CONCR) PARA LIMPIEZA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36B9C0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24DA7A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825E6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10A4E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A75D58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D2B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04162 - CAJA PARA PROTECCION DE VALVULA HECHA DE TUBO DE PVC Diám.= 6"(SDR-41)(NO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8BAAB2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C451F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2DD43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D7772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3B271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E2F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05377 - CAJA (PILA ROMPE PRESION) DE CONCRETO DE 3,000 PSI REF. Ancho=0.70m,Largo=1.05m,Alt.=1.00m CON COLUMNA DE CONCRETO DE 0.15mx0.15m(INCL. REPELLO Y FINO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ACEAFC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63A99F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130B0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EA6B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00E3FB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63A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A16AD1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2FBF1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67EBF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78122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03FD4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005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E2639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C13B04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33.52</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A5DBF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9829E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40268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7A2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4AF79E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AE35AF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F25B8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52BBE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DCCE6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3F8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94008 - VALVULA REGULADORA DE PRESION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B368A5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666E30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41F99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B571C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F65AE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74C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94292 - TAPON HEMBRA DE HIERRO GALVANIZADO Diám. = 1½"</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07D89E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B1FB91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B0D33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47E79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946ABA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A74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94304 - TEE DE HIERRO GALVANIZADO Diám.=1 ½"x 1 ½" x 1 ½"</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C1728B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F824DB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4EB95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CD743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C00BC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3C0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94305 - CODO DE HIERRO GALVANIZADO DE 1 ½" x 90º</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7751C4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2CA839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E263F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C5436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6FA06A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012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94310 - VALVULA DE BOYA (FLOTADOR) DE CONTROL DE NIVEL DE HIERRO FUNDIDO Diám.=1½"</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92E2FF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BF218D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1B037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03C5E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79EF4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F64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94311 - VALVULA DE AIRE Y VACIO DE HIERRO FUNDIDO Diám.=½"+ ABRAZADERA DE HIERRO GALVANIZADO+UNION DE BRONCE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521748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F8029D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2D141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0D4EC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722BF9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C94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94366 - UNION MALEABLE DE HIERRO GALVANIZADO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4280E0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FAF574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4B3D0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14ECD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C3FD6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E03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94370 - TAPON HEMBRA DE HIERRO GALVANIZADO Diám. = 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9676D0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FCE699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CB529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D158C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E80F61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C55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94966 - CODO LISO DE PVC Diám.=2", 90°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2BE1D2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271833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7C490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AF11A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54DEF5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E49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94972 - ADAPTADOR HEMBRA DE PVC Diám.=2" (SCH 40) (ASTM D2466)</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5F4FFA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301007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87C8C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D1AB9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AA042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43D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95104 - MANOMETRO HIDRÁULICO TUBO BOURDON ¼"(Carcasa de ACERO INOXIDABLE) Presion de trabajo=De 0 a 100 PSI con dial circular Diám.=2",lectura en doble escala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111C4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F77819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6B2C8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3CE6F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B1566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D8F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95293 - ADAPTADOR HEMBRA DE PVC Diám.=1 ½" (SCH 40) (ASTM D2466)</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023305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10276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67DD2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3F128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FC379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B74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95850 - TUBERIA SECCIÓN CIRCULAR DE HIERRO GALVANIZADO Diám.=1½" (NO INCL. 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CB57B6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94C05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4.19</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46B57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509ED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5AEC2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C66A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96072 - VALVULA DE COMPUERTA DE BRONCE Diàm.=1½"</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E2BF31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71A412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5434A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1925F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B81EB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2C9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96161 - VALVULA DE BOYA (FLOTADOR) DE CONTROL DE NIVEL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F95F69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723090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61F29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4754A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DBC52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F22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96193 - CODO LISO DE PVC Diám.=1½", 90°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469E7C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DECDC1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2C507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BC9E1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F758C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786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96455 - TEE DE HIERRO GALVANIZADO Diám.=2"x 2" x 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35D811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52DC8E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8817B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A5F09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F6BAD8B"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E16A1C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331 - LÍNEA DE ADUCCIÓN</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548A84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49650326"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D5E8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33103 - INSTALACION DE TUBERIA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D4F266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080DEFD"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1,703.70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AF751C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D08E5C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EFA9EA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6B7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94014 - TUBERIA DE PVC Diám.=2" (SDR-17)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2C618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2A678E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350.00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779B9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3CA32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7BA3B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565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731E57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03DB7C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1,353.70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AC08F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85CA0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9554A60"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48AB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33104 - PRUEBAS HIDROSTÁTICAS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E8B0D50"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78A86C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860B25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0A79D9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6A54E7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318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96930 - PRUEBA HIDROSTÁTICA (DE PRESIÓN y DE ESTANQUEIDAD)(CON BOMBA MANUAL) EN TUBERIA y ACCESORIOS PVC Diám.&lt;=2" L=HASTA 300m PARA PROYECTOS DE AGUA POTABLE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F96EF4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C6632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7BDDB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9A3A9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6699784"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02AD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33105 - VÁLVULAS Y ACCESORIOS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D38140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B654AE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7F74B2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50AB25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804DCD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674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02099 - BLOQUE DE REACCION DE CONCRETO DE 3,000 PSI REF. PARA VALVULAS (NO INCL. EXCAVACION, NI ACARREO)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31D972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13B8ED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4E40E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BFCB0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EA9120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97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02269 - VALVULA DE PASE DE GAVETA DE BRONCE Diám.=2" (INCL.1.00m TUBERIA SECCIÓN CIRCULAR DE HIERRO GALVANIZADO Y 4 BLOQUES DE REACCION) PARA LIMPIEZA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85D753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46661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6B821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0E650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FD62C5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6B1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03113 - CAJA DE CONCRETO DE 2,500 PSI SIN REF. Ancho 1=0.50m,Ancho 2=0.50m,Alt.=0.50m+TAPA DE LAMINA DE ACERO Esp.=3/16"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80C67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14AA2C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75303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6B599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9CD47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0B8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03354 - CAJA PARA PROTECCION DE VALVULA HECHA DE TUBO DE CONCRETO SIN REF. Diám.=8" (NO INCL.EXCAVACION)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60738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83E0AB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F2EF4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757D5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86B3B9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089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05377 - CAJA (PILA ROMPE PRESION) DE CONCRETO DE 3,000 PSI REF. Ancho=0.70m,Largo=1.05m,Alt.=1.00m CON COLUMNA DE CONCRETO DE 0.15mx0.15m(INCL. REPELLO Y FINO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A09986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D279E4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3F0BA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52ADC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5FF2C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98C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8FAC3B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7328B3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91360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76F85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42CEA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2BB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600AE5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32DD81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12.57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0C6B3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1D0FB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83CAE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F2D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93848 - CODO DE HIERRO GALVANIZADO DE 2" X 90°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2811D8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E56AD7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499D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93A66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18D88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CF2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94370 - TAPON HEMBRA DE HIERRO GALVANIZADO Diám. = 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AC9142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F17E22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24CE4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AF0F5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2D1DE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683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B59561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D4917C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8233D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AF7BD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741CA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026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94972 - ADAPTADOR HEMBRA DE PVC Diám.=2" (SCH 40) (ASTM D2466)</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03FDC3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CF0852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230C1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38586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4DE8A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7CFA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96161 - VALVULA DE BOYA (FLOTADOR) DE CONTROL DE NIVEL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90CEE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C5F925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97E2C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89092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17D517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39A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96448 - VALVULA DE AIRE Y VACIO DE BRONCE Diám. = 3/4" EXTREMOS CON ROSCA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B56FA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98A203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3025B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C7D64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71D130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AE8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96455 - TEE DE HIERRO GALVANIZADO Diám.=2"x 2" x 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AB8487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AC1A78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24477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7A66F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40D6B4"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7096F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335 - TANQUE DE ALMACENAMIENTO</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75B5E6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171054F" w14:textId="77777777" w:rsidTr="00367191">
        <w:trPr>
          <w:trHeight w:val="51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98FF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33501 - MOVIMIENTO DE TIERRA PARA TANQUE DE ALMACENAMIENTO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B94784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9D81B2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88.50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295B64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47D995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094DDF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E58B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40080 - REALIZAR ENSAYO GEOTÉCNICO DE PENETRACIÓN ESTANDAR-SPT(INCLUY:EQUIPOS,HONORARIOS DEL PERSONAL TÉCNICO Y ESPECIALISTAS+ELABORACIÓN D INFORME)ASTM D1586</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36EAD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PIE</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1DBA31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19.68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20CFF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7ACF0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67DD43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412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40209 - ELABORACION DE PRUEBAS DE GRANULOMETRÍA y LIMITES DE ATTERBERG</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19033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D9E2EC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87546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61534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7E3F0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42A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92021 - NIVELETA SENCILLA DE MADERA PINO L=1.10m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62C253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69B8D4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88804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51270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1077B4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44E6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92022 - NIVELETA DOBLE DE PINO DE 1.50m x 1.50m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C817A7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E453E3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1719D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EBE99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08DEF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095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23E79A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1CD1C5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4C45D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C464D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28A71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5DD7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92227 - EXCAVACIÓN MANUAL EN TERRENO NATURAL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E1F92C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C4E85A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88.50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B6A3B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58108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A9D9E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E5E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93398 - EXPLOTACIÓN O CORTE (MANUAL) EN BANCO DE PRÉSTAMO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2A4720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9B6E4A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86E0B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0B235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8AE85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A98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95256 - MEZCLA MANUAL DE SUELO-CEMENTO PROPORCION 1:7 (C:S) (1 DE CEMENTO Y 7 DE SUELO)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1498FB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E1BEFE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65.50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0CFF5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5021F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25D47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04E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95777 - ACARREO (CON CAMION VOLQUETE) DE TIERRA A 0.50 KM, INCL. CARGA MANUAL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7DF28E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73179B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9.10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01834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BA6FC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81971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5D4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95950 - ACARREO (CON CAMION VOLQUETE) DE MAT.SELECTO A 4 KMS CARGA MANUAL (INCL. DERECHO DE EXPLOTACIÓN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5C3D7C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538E5B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2D2BA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93AA9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50BCF7"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8EB39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33502 - TANQUE DE ALMACENAMIENTO DE MAMPOSTERIA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8D487B"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822643C"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40.00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A6C2B9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2CFFE0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7CA788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E1D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F71AC6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6EFCC2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877BA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44435A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EA451A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F4D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02711 - CANAL DE DRENAJE PLUVIAL RECT. DE CONCRETO DE 3,000 PSI SIN REF. Ancho=0.20m,Alt.=0.25m,Esp.=0.04m (INCL. EXC.) (NO INCL. ACABADOS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7CE168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841F9E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61CDE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C9A18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02DB6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CD5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03106 - ANDEN DE CONCRETO DE 2,500 PSI SIN REF.,Espesor=0.075m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FC14E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BBA70C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A8474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67A25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2AAA8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885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03547 - CAJA DE CONCRETO DE 3,000 PSI REF.+PARED DE LADRILLO CUARTERON DE BARRO Ancho=1.00m,Largo=1.00m(NO INCL.EXC)(INCL. REPELLO y FINO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31EA24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943A39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2E74A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E19FD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31D045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C6C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03830 - PELDAÑO DE VARILLA DE HIERRO CORRUGADO GRADO 40,Diám.=5/8", Ancho de peldaño=0.30m, Desarrollo=0.90m  (INCL. PINTURA ANTICORROSIVA)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C3205C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61583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2750D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F8DEF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26EEBD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B33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92006 - CONCRETO DE 3,500 PSI (MEZCLADO A MANO) (NO INCL. FUNDIDA)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93A39A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9C3AD2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32.01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2D60B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87A99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DDF9FA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5B6F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92137 - REPELLO Y FINO CORRIENTE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2E1AD7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6C97ED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B12A2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4EAC6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96EAEF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CFD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92147 - PINTURA DE ACEITE (COLOR DE LÍNEA) CALIDAD STANDARD (INCL. 2 MANOS)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295C89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73CAEA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0440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4317B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156734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C19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AA8F5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EE75C7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CD282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2D49B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2B8A3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114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DBBF0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D3D4D7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32.01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3D165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32B3F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874CD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129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92371 - FORMALETA DE MADERA DE PINO PARA MUROS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C7D6C3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2AC7AA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DEB27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1638F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DF6B9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BE9E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92388 - FORMALETA DE MADERA DE PINO PARA FUNDACIONES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068872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514B29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10.80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61313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4D78A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B669B1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FCF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2C088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250F83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74E4A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17A49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2060F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8D5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92853 - TUBERIA SECCIÓN CIRCULAR DE HIERRO GALVANIZADO Diám.=2" (NO INCL. EXCAVACION)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CF49AD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EE60E9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ACB80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C0670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5E6A1D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507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C6E7C1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59A709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6,877.89</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0DE37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8072A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68438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B03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93847 - CODO DE HIERRO GALVANIZADO DE 3" X 90°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C337B7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E1527C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CA3CE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32534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84C36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3EA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93849 - CODO DE HIERRO GALVANIZADO DE 2" X 45°</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788B3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6819E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5B75A2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60944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456201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8F2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93873 - RESPIRADERO DE TUBO DE Ho. Go. Diám. = 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590C46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DCBB34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AA9A1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8A1DAD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41AAF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9B0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94979 - CODO DE HIERRO GALVANIZADO DE 2"X90° EXTREMOS ROSCABLES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F9CB29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97C5CD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30191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E3696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C12FA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801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95518 - FORMALETA DE MADERA DE PINO PARA LOSA AEREA @ Alt.=2.40m (INCL. BARULES DE PINO DE 4" x 4")</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66A66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AF3715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84F0D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BC25E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54B4CB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EB7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95522 - TAPA DE ACERO (A-36) DE 0.70mx0.70m,Esp.=1/8" CON 2 CANDADOS MEDIANOS (INCLUYE PINTURA ANTICORR)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6E061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911600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A9DCF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295F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4AB32B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A43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95548 - IMPERMEABILIZACION DE PAREDES DE TANQUE DE CONCRETO CON EPOXICO TIPO SIKADUR-32T</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E9C86D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5EE5C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45B6A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21397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CE7E7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4FB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96161 - VALVULA DE BOYA (FLOTADOR) DE CONTROL DE NIVEL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FA14B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DF8A96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78701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158F5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CA1C38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7AF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96198 - VALVULA DE LIMPIEZA DE HIERRO FUNDIDO Diám.=3"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584A5C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CD8DA9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64608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7D334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30341D"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7200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33508 - CERCAS PERIMETRALES Y PORTONES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BF4B4C3"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5C77F39"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127.20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168742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F3C590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0DB659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C1C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03692 - CERRAMIENTO DE MALLA CICLÓN DE ALAMBRE DE ACERO GALVANIZADO Cal.#12(Diám.del alambre=2.5908mmCON ESQUELETO DE CAJAS DE ACERO(A-36) DE 4"X4",Esp =3/32"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7FA676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C5E90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125.00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2E79C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A7B8C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A247D8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4AF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92067 - CERCO (A) DE POSTES DE CONCRETO PRETENSADO Alt.=2.55m @2.50m CON 7 HILADAS DE ALAMBRE DE PÚAS CAL.# 13½ CON BASE DE CONCRETO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964775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E43D3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55.00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B11B4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1508C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DBD27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FBB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92468 - PORTÓN DE MARCO DE TUBO SECCIÓN CIRCU DE HIERRO GALVANIZADO Diám.=1½" CON FORRO DE MALLA CICLÓN DE ALAMBRE DE ACERO GALVANIZADO CAL #12 CON PINT ANTIC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08079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B1856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8.10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FB724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FEEEB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7A4B8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5A3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93056 - PUERTA DE MARCO DE MADERA BLANCA Y FORRO DE ALAMBRE DE PÚAS CAL. # 13½  (NO INCL. HERRAJES)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DFE4CE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FD906D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3E961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B4A25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1EF5B80"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AFCA9D"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340 - FUENTE Y OBRAS DE TOMA</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EFCC3C7"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698B64DB"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5E57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34001 - OBRAS DE CAPTACIÓN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F8FCC6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AA1A00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584014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43111F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1842AA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918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02146 - TUBERIA DE HIERRO GALVANIZADO Diám.=2" (NO INCL. EXCAVACION) (INCL. BLOQUE DE REACCION)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92C11C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AB204C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A6E6D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96CE4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1CAEB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40D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02272 - VALVULA DE HIERRO FUNDIDO Diám. = 4" (INCL. EXCAVACION Y BLOQUE DE REACCION)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76F44A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2A8A6D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B152B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62413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2337E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720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03028 - TUBERIA DE HIERRO GALVANIZADO Diám.=4" (NO INCL. EXCAVACION) (INCL.BLOQUE DE REACCION)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349868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6BAEDB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C3F5F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64DE3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01C2F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3DE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04311 - CAJA DE CONCRETO DE 2,500 PSI REF.+PARED DE LADRILLO CUARTERON SOLIDO DE BARRO Ancho 1=1.00m,Ancho 2=1.00 m,Alt.=0.50mCON REPELLO y FINO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21AAE1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4954BA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E83E7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5678F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051CF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142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92021 - NIVELETA SENCILLA DE MADERA PINO L=1.10m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8FF16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12CEEB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3CD89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F2059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27C45A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60A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92022 - NIVELETA DOBLE DE PINO DE 1.50m x 1.50m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64BFB9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C00470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1B253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143D6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0490C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7FD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92137 - REPELLO Y FINO CORRIENTE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01C3EB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69F2DB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63.48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3AA0F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E1B3D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C9FA1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3C7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573175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B5444E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63.48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AE4C8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5DBB5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E46BA9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D2D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92227 - EXCAVACIÓN MANUAL EN TERRENO NATURAL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E14E1A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222885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29.45</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1D500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38487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28388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1CA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92278 - ACARREO MANUAL DE TIERRA SUELTA CON CARRETILLA A Dist.=De 0 a 20 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A69533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5AA4DF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17D75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52157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DDEF0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E56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E27F7E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E5DACD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22.94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ABD55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C7C76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1C07C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86C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92848 - VALVULA DE COMPUERTA DE HIERRO FUNDIDO Diám.=2" CON 2 BRIDAS (o FLANGES) DE HIERRO FUNDIDO Diám.=2"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7DE60C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934493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5EAFF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35CB1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9A74B0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39F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93383 - HIERRO (EN VARILLAS) CORRUGADO (GRADO 40) Diám. &gt; AL No. 4+TACOS SEPARADORES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4EDF0B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7398C2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3,274.44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5C299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597BF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E2E76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761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93849 - CODO DE HIERRO GALVANIZADO DE 2" X 45°</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A72CFF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1A272F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021DF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E77B8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4DD027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D52B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95485 - CONFORMACION Y COMPACTACION MANUAL DE TERRENO Espesor=De 0 HASTA 10 cms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F08F0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BAAE3F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5F95D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A90EC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7BA45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400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95809 - CONCRETO DE 4,000 PSI (MEZCLADO A MANO) (NO INCL. FUNDIDA)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7A3E2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5AEA8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22.94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8950D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9311E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31E1B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C73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BC1093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78ABF6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0DD65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8926B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94F82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C09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96174 - MEZCLA MANUAL DE SUELO-CEMENTO PROPORCION 1:6 (C:S) (1 DE CEMENTO Y 6 DE SUELO)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B06E0D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1ED1E2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0A9B9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A3D168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94A96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188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96629 - CONCRETO CICLÓPEO:60% CONCRETO DE 2,500 PSI+40% PIEDRA BOLÓN (CONSIDERANDO PIEDRA BOLÓN DEL SITIO) MAYOR A 2",HECHURA CON MEZCLADORA(NO INCL. FUNDIDA)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FD4201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7DFF85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19.80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646B6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1E2EC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B627FF"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48B4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34008 - CERCAS PERIMETRALES Y PORTONES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5D0AE22"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1B55226"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211.00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41D692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756CAF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D849AC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944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92067 - CERCO (A) DE POSTES DE CONCRETO PRETENSADO Alt.=2.55m @2.50m CON 7 HILADAS DE ALAMBRE DE PÚAS CAL.# 13½ CON BASE DE CONCRETO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3A393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8B1C85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75F04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344B29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C4313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2C6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93056 - PUERTA DE MARCO DE MADERA BLANCA Y FORRO DE ALAMBRE DE PÚAS CAL. # 13½  (NO INCL. HERRAJES)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F6AA5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AF0C2A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167BF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42C8A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F48ABC"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06C9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34011 - PREFILTROS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5718D87"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04F5D3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FB8EE4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49958E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C7AA9A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B08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02348 - FILTRO DE GRAVILLA DE RIO (CANTO RODADO MENOR DE 0.05 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C056ED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779C36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6.30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54976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E63FA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8C5BBC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BCC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92178 - TUBERIA DE PVC Diám.=4" (SDR-26)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D7234D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16278E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9C5B4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0AB5A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D210B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108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C6741F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05A871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16.40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BFD0F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639A7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C5E301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783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93899 - TEE REDUCTORA LISA DE PVC DE 4" a 2"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3E3B68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1DF214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80D7E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8B46A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3D6A9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887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94372 - TAPON HEMBRA LISO DE PVC Diám.=3"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9307C6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4215CE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F5C97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63E68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3ED9E6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E47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96126 - TAPON HEMBRA LISO DE PVC Diám.=4"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86F039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5E88B7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53A6F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DE6A2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C298A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25F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96164 - TUBERIA DE PVC Diám.=3" (SDR-26) (ASTM D2241)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077D24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FC9C60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ABEE0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7A9D0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ECCBD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721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97029 - TEE REDUCTORA LISA DE PVC DE 4" a 3"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7735B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75473E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DEFA7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E0B34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3B17A7"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D54A1D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360 - PLANTA DE PURIFICACIÓN</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2D096E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68FBDC9"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750C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36016 - PLANTA DE TRATAMIENTO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0B3172B"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18CB8E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E9DEEB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BDC1EA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D6A293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0A3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04755 - CASETA DE COLUMNAS DE TUBERIA DE HIERRO GALVANIZADO Diám.=2"+CUBIERTA DE ZINC ONDULADO CAL.26 DE 1.10mx1.10m,Alto=1.14m(NO INCL.FUNDACIONES,NI PISO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349033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30DCFC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3E86A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63DD6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066F84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D1A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22662 - MANGUERA DE HULE Diám.=¼"</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B7E87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PIE</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35D868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3.28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5FEC1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9536C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BEBC1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FF6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29240 - LAMINA DE POROPLAST DE 2' x 4', Espesor= 3/4"</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AB328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1BFA3E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0002D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1DFBF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AE219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1B6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40639 - SUM. E INST. DE PLANTA PRESURIZADA P/ AGUA POT (PTAP)  DE FILTROS LENTOS Cap.=9.54 m3/HR(3 CUERPOS DE ACERO)+CLORADOR+BOMBA INY.DE SULFATO DE ALUMINIO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AFDE4A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938BB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08FFD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F0B39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89E433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A6F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40640 - CAPACITACION A TRES(3)PERSONAS POR VEINTE (20) HRS PARA MANEJO DE PLANTA COMPACTA PRESURIZADA(PTAP) RURAL Q=9.54m3/h,Dist.=MANAG-WIWILI/COM ZACA 272Km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5B2A0B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0CB88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B4488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F277A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2287F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578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40641 - TRANSPORTE TERRESTRE DE PLANTA PRESURIZADA DE TRATAMIENTO DE AGUA POTABLE(PTAP) COMPACTA,CAUDAL=9.54 m3/HR (De MANAG-WIWILI/COM. ZACATERA) Dist.=372km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D778EC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EAC9D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F1820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BAA2A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37E72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74F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40642 - SUM. E INST. DE SISTEMA DE PANELES SOLARES 100 W-FOTOVOLTAICO)+BATERIA+INVERSOR+CONTROLADOR+ESTRUCTURA EN NVA SEGOVIA,WIWILI/COM.ZACATERA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E3CC95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D05535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05C16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7D97A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63FD7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C75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92445 - HIPOCLORADOR DE PLASTICO Cap.=33 GALONES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71DD22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E15378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F0029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450B6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024A83"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0813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36017 - COBERTIZO PARA PLANTA DE TRATAMIENTO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86B29B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22D78C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50.00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57E3AF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6A8C7B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626874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162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92009 - CONCRETO DE 3,000 PSI (MEZCLADO A MANO) (NO INCL. FUNDIDA)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5634D9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DA4129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7.21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A69EC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CB3BB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F9D2C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112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92119 - CUBIERTA DE TECHO DE LÁMINA ONDULADA DE ZINC CAL.26 SOBRE ESTRUCTURA METÁLICA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2DB120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9502C7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41.40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3C62C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4AC74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85A52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719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92121 - ESTRUCTURAS DE ACERO (A-36) (NO INCL. PINTURA ANTICORROSIVA)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633252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324EBD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1,420.51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A7934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6E314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D3189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D55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92227 - EXCAVACIÓN MANUAL EN TERRENO NATURAL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A671B1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088508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22.81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88508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2B64D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BD891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373B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92236 - PINTURA ANTICORROSIVA (INCL. 2 MANOS: 1 DE TALLER y 1 INSTALADO)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15BCF1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A24460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C9F35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2D4C6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8600A9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0A7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5CF3B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CFE15B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7.21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A94A2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338E2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0EB853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2FB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92388 - FORMALETA DE MADERA DE PINO PARA FUNDACIONES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6FFFA3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52FF70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15.24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C24FE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23C5D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72B88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36D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93353 - HIERRO (EN VARILLAS) CORRUGADO (GRADO 40) Diám. &lt;= AL No. 4+TACOS SEPARADORES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7DC64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72BE10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753.48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96426D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2334F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026511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E4B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95256 - MEZCLA MANUAL DE SUELO-CEMENTO PROPORCION 1:7 (C:S) (1 DE CEMENTO Y 7 DE SUELO)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E43E86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E38D03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4991C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0D82C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13EE8A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0CD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95777 - ACARREO (CON CAMION VOLQUETE) DE TIERRA A 0.50 KM, INCL. CARGA MANUAL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ED75BB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6E5931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7.67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0494BA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6E8EF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246CE6"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6F583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350 - CONEXIONES</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B97BC6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6E247837"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2A27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35001 - CONEXIONES DOMICILIARES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CEE905"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7CE5D7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2E3EF8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D69C7D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961A2D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4D2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05497 - CONEXIÓN DOMICILIAR DE TUBERÍA DE PVC Diám.=½"(SDR-13.5) CON ABRAZADERA 2"x½"(NO INC.MEDIDOR)(INCL.EXC)+LLAVE DE PASE Diám=½"+LLAVE DE CHORRO,Long=12m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7ACC13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97DE5E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DE89C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FC37B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9FC369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0E1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05506 - CONEXIÓN DOMICILIAR DE TUBERÍA DE PVC Diám.=½"(SDR-13.5) DE 1-½"x½"(NO INCL. MEDIDOR)(INCL.EXC)+1 LLAVE DE PASE Diám.=½"+LLAVE DE CHORRO B,Long=12.00m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9B7A75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59B7DB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93379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6D950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2B0E4A"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7DC7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35009 - MEDIDORES DE AGUA POTABLE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62446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DE72F0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90348D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E0EA70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8370BF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F6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94191 - CAJA PREFABRICADA DE CONCRETO PARA MEDIDOR DE AGUA POTABLE PARA USO DOMICILIAR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3D544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9D7B84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3C67A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04EC0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2C40CA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42F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96206 - INSTALACION DE MEDIDOR DE AGUA POTABLE Diám.=½" (SOLO MANO DE OBRA)(INCL. EL COSTO DE 2 ADAPTADORES)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13983A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67BF3B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C414B6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FF5C6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A2A4A8"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251B8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370 - LIMPIEZA FINAL Y ENTREGA</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89D2BB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66B447F4"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39C1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37003 - PLACA CONMEMORATIVA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BD72C9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8D7673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A9F7D3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92EDA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9546D7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95A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03392 - PEDESTAL DE CONCRETO DE 2,500 PSI REF. CON REPELLO y FINO CORRIENTE (INCL. EXC.) PARA PLACA CONMEMORATIVA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C57413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A6D833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64FC3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D0EBC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2F8C7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87D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04389 - PLACA CONMEMORATIVA DE ALUMINIO DE 0.65m x 0.42m  (PGC)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6018F5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4E56A8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033A5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8626E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AA8AD8"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2DAF4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2: Construcción de Sistemas de Saneamiento</w:t>
            </w:r>
          </w:p>
        </w:tc>
      </w:tr>
      <w:tr w:rsidR="00367191" w:rsidRPr="00367191" w14:paraId="441DD9BE"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9D359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Saneamiento- Letrinas</w:t>
            </w:r>
          </w:p>
        </w:tc>
      </w:tr>
      <w:tr w:rsidR="00367191" w:rsidRPr="00367191" w14:paraId="1BA49763"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37197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504 - LETRINAS SEMI-ELEVADAS</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4D933C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1812C903"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083F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50412 - ENCHAPE DE FOSO (INC. EXCAVACION Y GRADAS)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E43E4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235FA91"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BDA5F5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387B40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5F270D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648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04295 - POZO RECOLECTOR DE ORINA DE 0.30mx0.30m,Prof.=0.50m(UNO DE ESTA MEDIDA)PARA LETRINA SENCILLA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310590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534B63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23E3C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89C79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37E5A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015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04877 - FOSO PARA LETRINA SENCILLA SEMI- ELEVADA ENCHAPE DE BLOQUES DE MORTERO DE 0.15m(6") CON GRADAS DE BLOQUE y REPELLO ARENILLADO)(NO INCL.MONC)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FA8224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0371BD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D34B7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A74E3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B412F66"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145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93783 - REPELLO ARENILLADO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C7A9A7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683B40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59D1A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70A8F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7367A4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438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93845 - PASAMANOS DE TUBO REDONDO DE HIERRO NEGRO Diám.=1"</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8C75EB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3887A4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240.00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5C8B9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07518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3E28B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D61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96583 - TAPON HEMBRA LISO DE PVC Diám.=1"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69D493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B0DA9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624DA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ED6671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81A8D7F"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CA6E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50413 - LOSA (PLANCHA) Y BANCO (TAZA)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B8BF58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35862A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0CCF27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17D89C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0D6765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33F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94473 - LOSA Y BANCO DE FIBRA DE VIDRIO PARA LETRINA SENCILLA FIJACION A ESTRUCTURA METALICA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0A7DAB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27F394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5C486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F66AB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215FBC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64F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94560 - SEPARADOR DE FIBRA DE VIDRIO PARA ORINA PARA ASIENTO DE LETRINA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195897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0C6643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5FFFD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8A94D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923BC4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8EC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95095 - MANGUERA DE PLÁSTICO (POLIETILENO) Diám.=5/8"(16 mm)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454BA5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17EBCA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369.00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61853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E4145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BF76D75"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BF32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50414 - CASETA DE LETRINA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EACBBF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3B402E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BDFD0F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45FD83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59FFCA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EFE6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03960 - ESTRUCTURA DE ACERO (A-36) Y TUBO RECTANGULAR DE HIERRO DE 1"x1½" P/CASETA LETRINA SENCILLA De 0.82mx1.01(INCL.TUBO PVC Diám.=1½"(SDR-26)P/VEN)(INCL.P</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BE30B5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036D27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235BC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29267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BE6550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BDA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94401 - FORRO DE LÁMINA LISA DE ZINC CAL.28,1 CARA SOBRE ESTRUCTURA METÁLICA P/PAREDES DE CASETA DE LETRINA SENCILLA En planta,Ancho=0.82m,Long.=1.01m</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CDDA57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E21E47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5470E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1F62B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82F28C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89D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94474 - RÓTULO LEYENDA(SOLAMENTE PINTADO CON PINTURA DE ACEITE) PARA PROYECTOS DE LETRINAS(ANTES NOV 2008)</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88DB55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F72BEA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0098D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9929A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C8CA9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CEE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95904 - CUBIERTA DE TECHO DE LÁMINA ONDULADA DE ZINC CAL.28 SOBRE ESTRUCTURA METÁLICA P/CASETA DE LETRINA SENCILLA,Área d techo:Ancho=0.97m,Long.=1.47m=1.43m2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099443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2DA980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707C2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FB6CC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BE2E506"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10DF2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499 - SISTEMA DE SANEAMIENTO</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E4E461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8FDC996"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78F1C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49928 - LAVADEROS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CDFDD31"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3359DB5"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AEFFAC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375605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6D41ED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B73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04720 - VALVULA (o LLAVE) DE CHORRO DE BRONCE Diám.=½" CON PEDESTAL DE CONCRETO DE 2,500 PSI SIN REF.(NO INCL.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CFA166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13ACD7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7E8B9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614CB9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31E9F6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F67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05204 - POZO DE ABSORCIÓN SIN REVESTIR DE 1.00mx1.00m, Prof.=1.00m CON RELLENO DE PIEDRA BOLÓN(CONS.DERECHO DE EXPLOTACIÓN DEL SITIO(INCL. CODO LISO SAN y EXC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E30294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8AC782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B89C4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F40C6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DC2B8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5A4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92003 - CONCRETO DE 2,500 PSI (MEZCLADO A MANO) (NO INCL. FUNDIDA)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70B453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66BA66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24.40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ADB79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0C5E48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B9AE20"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7F1E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92023 - EXCAVACIÓN MANUAL DE ZANJA EN TERRENO NATURAL Ancho=0.30m,Prof.=0.50m PARA TUBERIA DE Diám.=Desde mayor que 3" hasta menores o iguales a 4"</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EC4FE9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668BEA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369.00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B65E8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F8412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8F5359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9C5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CFDDBA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1E0F03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68.08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D6D01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9E7B4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925CFE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4D9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4EE138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C6F657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24.40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895C2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44D00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7020C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6D4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93448 - TUBERIA DE PVC Diám.=2" (SDR-41) (ASTM D2665) PARA DWV(Drain-Waste-Vent) DRENAJE-DESECHOS-VENTILACIÓN) (JUNTA CEMENTADA) (NO INCL. EXCAVACIÓN)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33E43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AC6A2B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454.00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15C273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75809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CE9A37"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73B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93801 - LAVADERO SENCILLO DE CONCRETO REF. Ancho=0.63m,Alto=0.83m,L=1.0(De 2 partes:1 fondo estriado y 1 pileta)DE FABRICACIÓN NACIONAL(NO INCL.LLAVE DE CHORR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18F69B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5D8190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440E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3F428D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41E1B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F03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96809 - CODO LISO SANITARIO DE PVC Diám.=2", 90°  (ASTM D2665) PARA DWV(Drain-Waste-Vent) DRENAJE-DESECHOS-VENTILACIÓN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A48590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48D094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246.00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1AA0C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BD32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B7AAD9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D1D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97014 - TEE REDUCTORA LISA DE PVC DE 2" a ½" (SCH 40) (ASTM D2466) JUNTA CEMENTADA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8D7C5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8C8D06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123.00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AF0C25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15D18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ADE26A"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63909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3: Acompañamiento de los Procesos Sociales del Proyecto.</w:t>
            </w:r>
          </w:p>
        </w:tc>
      </w:tr>
      <w:tr w:rsidR="00367191" w:rsidRPr="00367191" w14:paraId="34DAD794"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D3F13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Procesos Sociales</w:t>
            </w:r>
          </w:p>
        </w:tc>
      </w:tr>
      <w:tr w:rsidR="00367191" w:rsidRPr="00367191" w14:paraId="56B221D4"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8D0C8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1058 - EJECUCIÓN DEL PROYECTO</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0256C2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1FDC414A"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894D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02 - EJECUCIÓN DE OBRAS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C01BE63"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9F1B919"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956EBD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6A194F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556E90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175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60274 - Elaborar Informe de Planificación y Realización de Asamblea general comunitaria para entrega de sitio del proyecto a contratista y dar a conocer Plan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BD4AD0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8FDDEE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E5CE7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D32EA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71D979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67E3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60301 - Elaborar Cronograma de trabajo y Plan metodológico para la intervencion social en la(s) comunidad(es) - Etapa de Ejecución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94170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INFORME</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F448A3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37720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C294A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86CFA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DD8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60389 - Planificar y Realizar Talleres de capacitación (No. 5 y6) dirigido a beneficiarios (Módulo III:Compendio metodol:Primera parte(Contrataciones y gestió</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6727DC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150A0F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D3B59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8ED16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2DB456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814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60390 - Planificar y Realizar Talleres de capacitación (No. 7 y8) dirigido a beneficiarios (Módulo III:Compendio metodol:Segunda parte(Administración de servi</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C842CE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5BB58C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F49D9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F31C1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71F7F5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2013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60391 - Planificar y Realizar Talleres de capacitación (No. 9 y10) dirigido a beneficiarios (Módulo IV:Compendio metodl(En correspondencia del tipo de sistema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F6814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FCABE9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FFE5E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C691A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A3082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4A1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60406 - Planificar y Realizar Taller de capacitación dirigido al Comité sobre elabo del Reglamen interno del Sist.Agua potable-SAP(Incl.material,loca,refriger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583E41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FD1205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4D189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5942D8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CD548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BB8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60407 - Elaborar Informe de Planificación y Realización de Asamblea general comunitaria para dar a conocer el Reglamento interno del Sistema d Agua Potabl-SAP</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A60D5A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FF1E78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E4CCB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32093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BA01EB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141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60423 - Elaborar y Realizar el Levantamiento de Ficha de finiquito del proyecto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7A6A4E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FICHA</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F11B46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543600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4C81A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00E18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61B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60454 - Planificar y Realizar Asamblea general comunitaria para entrega de sitio y dar a conocer el Plan de Ejecución Física (Apertura de bitácora social)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31CEE3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7EB413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732C7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20E34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DDF96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9A9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60455 - Realizar reunión de coordinación con actores claves del proyecto en la etapa de ejecución y post obra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B5AA7C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REUNIÓN</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FE41DF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D5F6D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103DA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89A5D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5E4C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60456 - Planificar y Realizar Taller de capacitación a promotores(as) sociales comunitarios para implementación del FCSA (Incl. materiale, local y refrigerios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616392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7D9C447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EFC8B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9719C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7EFF7F8"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BBF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60457 - Elaborar informe de la Promoción y aseguramiento del cumplimiento de los aportes comunitarios del fondo social comunitario (FSC) cuota No.3 y No.4</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E7639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3E47E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FE754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89F72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49E8B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8A7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60458 - Elaborar Informe de Promoción y aseguramiento del cumplimiento de los aportes comunitarios del fondo social comunitario (FSC) cuota No.5 y No.6</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308313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C559DF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B99FE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DC157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8769F4"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26C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60459 - Elaborar Informe de Promoción y aseguramiento del cumplimiento de los aportes comunitarios para la compra de medidor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BC9D13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86CBE6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ED1DD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42FF2E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7F8D4CF"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899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60460 - Elaborar informe de metodología FCSA -Primera visita casa a casa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B1802A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32B5F5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1F58B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3E875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A87DF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8CF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60461 - Elaborar informe de metodología FCSA -Segunda visita casa a casa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03EA7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A45FE9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A44C5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B50967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683BD69"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52B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60462 - Elaborar informe de metodología FCSA -Tercera visita casa a casa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908F9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7E1E2F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FCCAC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A136E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529989B"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617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60463 - Elaborar informe de metodología FCSA -Cuarta visita casa a casa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FC03F6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D4C105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A1C3B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829C2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38BB93"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05D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60464 - Planificar y Realizar Asamblea general comunitaria para presentación y aprobación del Reglamento Interno del sistema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F9E219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07BF17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DEAC7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2E819F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20B75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80BBA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60465 - Planificar y Realizar Asamblea general comunitaria para dar a conocer Plan de Operaci y Manteni del Sist.y firma de acta de recepción final del proyec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9AB2FC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75413B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F8474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78652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97E588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62B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60471 - Elaborar Informe de Planificación y Realización de Taller de capacitación del Módulo III(Taller No. 5,6,7 y 8): Compendio Metodológico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C53E58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999F12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1C5D9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E27D76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D8031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777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60472 - Elaborar Informe de Planificación y Realización de Taller de capacitación (Talleres No.9 y 10) del Módulo IV: Compendio Metodológico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259135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E485C6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90DCD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18484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21A2BD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FC43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60473 - Elaborar Informe de Planifica y Realizac de Asamblea General comunit para dar a conocer Plan de Opera y Manteni del Sist.y firma de acta de recep fina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8A3648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F54E08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63709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86A53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7FC4E4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065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60477 - Elaborar Informe de Planificación y Realización de Taller de capacitación dirigido a promotores(as) sociales comunitarios para implementación del FCSA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D1267D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6259CF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0C0444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AB6F5B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B920DF2"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531458"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1059 - POST- OBRA</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F4029D7"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0421BB1D" w14:textId="77777777" w:rsidTr="00367191">
        <w:trPr>
          <w:trHeight w:val="255"/>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DEC0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01 - POST- OBRA  Y SOSTENIBILIDAD</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5C4D70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B7B205B"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D952EF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F37360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F6ADC2A"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3FD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60290 - Elaborar Informe final de la consultoria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E1F02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0C66E2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77D40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B19FF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D816F2"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8CFF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60291 - Elaborar Informe de Planificación y Realización de Asamblea general comunitaria de cierre y evaluacion final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9409B8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E9A4BA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05515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B3810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D0AA3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542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60392 - Planificar y Realizar Taller de capacitación dirigido al Comité para reforzamiento sobre la Ley No.722 y el Reglamento(Incl. Material,Local y refriger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7FEEA5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97099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1FCABA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F6481B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08F21CD"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FA3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60395 - Planificar y Realizar Taller de capacitación dirigido al Comité para Cálculo de tarifa para pago de agua (Incl. Tema de lectura de medidores)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CE62F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1B6B48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9389E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C1F87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061DF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08D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60466 - Elaborar informe de metodología FCSA -Quinta visita casa a casa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C03657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95923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3BC452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590833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EBC560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91A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60467 - Elaborar informe de metodología FCSA -Sexta visita casa a casa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D2B0AD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74BF18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77DF2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5C4820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9570A1"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C1E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60468 - Elaborar informe final de resultados en la implementación de FCSA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6E192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DC739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F02DD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BE6FD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1D4E0FC"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0E9A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60469 - Planificar y Realizar Taller de capacitación para la Operación y Mantenimiento del Sistema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A3C461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255AF47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2D6083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A9F71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91FF3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7C9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60470 - Planificar y Realizar Asamblea general comunitaria para la presentación del informe final del componente social del proyec</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17A2AE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6CCF5E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00351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4A52C66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7A89A4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891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60474 - Elaborar Informe de Realización de Taller de capacitación dirigido al Comité para reforzamiento sobre la Ley No. 722 y el Reglamento</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DEE437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89F883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6B39B1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F5E17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FFB6415"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491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60475 - Elaborar Informe de Planifica y Realizac de Taller de capacit dirigido al Comité para Cálculo de tarifa para pago de agua(Incl.Tema de lectu d medidor</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AE981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5E0D6C7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44060C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372CE2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B57A2E" w14:textId="77777777" w:rsidTr="00367191">
        <w:trPr>
          <w:trHeight w:val="10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B49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60476 - Elaborar Informe de Planificación y Realización de Taller de capacitación para la Operación y Mantenimiento del Sistema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F90E4B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4A2260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5B9AB3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58D44D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7E42B9" w14:textId="77777777" w:rsidTr="00367191">
        <w:trPr>
          <w:trHeight w:val="255"/>
        </w:trPr>
        <w:tc>
          <w:tcPr>
            <w:tcW w:w="4715" w:type="pct"/>
            <w:gridSpan w:val="4"/>
            <w:tcBorders>
              <w:top w:val="single" w:sz="4" w:space="0" w:color="auto"/>
              <w:left w:val="single" w:sz="4" w:space="0" w:color="auto"/>
              <w:bottom w:val="single" w:sz="4" w:space="0" w:color="auto"/>
              <w:right w:val="single" w:sz="4" w:space="0" w:color="auto"/>
            </w:tcBorders>
            <w:shd w:val="clear" w:color="000000" w:fill="FFFF99"/>
            <w:vAlign w:val="center"/>
            <w:hideMark/>
          </w:tcPr>
          <w:p w14:paraId="441D32B8"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Total:</w:t>
            </w:r>
          </w:p>
        </w:tc>
        <w:tc>
          <w:tcPr>
            <w:tcW w:w="285" w:type="pct"/>
            <w:tcBorders>
              <w:top w:val="single" w:sz="4" w:space="0" w:color="auto"/>
              <w:left w:val="nil"/>
              <w:bottom w:val="single" w:sz="4" w:space="0" w:color="auto"/>
              <w:right w:val="single" w:sz="4" w:space="0" w:color="auto"/>
            </w:tcBorders>
            <w:shd w:val="clear" w:color="000000" w:fill="FFFF99"/>
            <w:vAlign w:val="center"/>
            <w:hideMark/>
          </w:tcPr>
          <w:p w14:paraId="2F2F87E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bl>
    <w:p w14:paraId="7FD292D0" w14:textId="77777777" w:rsidR="008756A9" w:rsidRDefault="008756A9" w:rsidP="00C2353B">
      <w:pPr>
        <w:pStyle w:val="INDGEN1"/>
      </w:pPr>
    </w:p>
    <w:tbl>
      <w:tblPr>
        <w:tblW w:w="5755" w:type="pct"/>
        <w:tblInd w:w="-851" w:type="dxa"/>
        <w:tblCellMar>
          <w:left w:w="70" w:type="dxa"/>
          <w:right w:w="70" w:type="dxa"/>
        </w:tblCellMar>
        <w:tblLook w:val="04A0" w:firstRow="1" w:lastRow="0" w:firstColumn="1" w:lastColumn="0" w:noHBand="0" w:noVBand="1"/>
      </w:tblPr>
      <w:tblGrid>
        <w:gridCol w:w="5383"/>
        <w:gridCol w:w="1220"/>
        <w:gridCol w:w="1213"/>
        <w:gridCol w:w="1207"/>
        <w:gridCol w:w="1750"/>
      </w:tblGrid>
      <w:tr w:rsidR="00367191" w:rsidRPr="00367191" w14:paraId="476900F4" w14:textId="77777777" w:rsidTr="00367191">
        <w:trPr>
          <w:trHeight w:val="300"/>
        </w:trPr>
        <w:tc>
          <w:tcPr>
            <w:tcW w:w="5000" w:type="pct"/>
            <w:gridSpan w:val="5"/>
            <w:tcBorders>
              <w:top w:val="nil"/>
              <w:left w:val="nil"/>
              <w:bottom w:val="nil"/>
              <w:right w:val="nil"/>
            </w:tcBorders>
            <w:shd w:val="clear" w:color="auto" w:fill="auto"/>
            <w:vAlign w:val="center"/>
            <w:hideMark/>
          </w:tcPr>
          <w:p w14:paraId="4C572D13" w14:textId="77777777" w:rsidR="00367191" w:rsidRPr="00367191" w:rsidRDefault="00367191" w:rsidP="00367191">
            <w:pPr>
              <w:jc w:val="center"/>
              <w:rPr>
                <w:rFonts w:ascii="Arial" w:hAnsi="Arial" w:cs="Arial"/>
                <w:b/>
                <w:bCs/>
                <w:sz w:val="28"/>
                <w:szCs w:val="28"/>
                <w:highlight w:val="yellow"/>
                <w:lang w:val="es-MX" w:eastAsia="es-MX"/>
              </w:rPr>
            </w:pPr>
            <w:r w:rsidRPr="00367191">
              <w:rPr>
                <w:rFonts w:ascii="Arial" w:hAnsi="Arial" w:cs="Arial"/>
                <w:b/>
                <w:bCs/>
                <w:sz w:val="28"/>
                <w:szCs w:val="28"/>
                <w:highlight w:val="yellow"/>
                <w:lang w:val="es-MX" w:eastAsia="es-MX"/>
              </w:rPr>
              <w:t>Lote N°4: Proyecto 19892 Agua y Saneamiento Comunidad Bálsamo Abajo</w:t>
            </w:r>
          </w:p>
        </w:tc>
      </w:tr>
      <w:tr w:rsidR="00367191" w:rsidRPr="00367191" w14:paraId="44A9778F" w14:textId="77777777" w:rsidTr="00367191">
        <w:trPr>
          <w:trHeight w:val="300"/>
        </w:trPr>
        <w:tc>
          <w:tcPr>
            <w:tcW w:w="2499" w:type="pct"/>
            <w:tcBorders>
              <w:top w:val="nil"/>
              <w:left w:val="nil"/>
              <w:bottom w:val="single" w:sz="4" w:space="0" w:color="auto"/>
              <w:right w:val="nil"/>
            </w:tcBorders>
            <w:shd w:val="clear" w:color="auto" w:fill="auto"/>
            <w:vAlign w:val="center"/>
            <w:hideMark/>
          </w:tcPr>
          <w:p w14:paraId="22565C52" w14:textId="77777777" w:rsidR="00367191" w:rsidRPr="00367191" w:rsidRDefault="00367191" w:rsidP="00367191">
            <w:pPr>
              <w:jc w:val="center"/>
              <w:rPr>
                <w:rFonts w:ascii="Arial" w:hAnsi="Arial" w:cs="Arial"/>
                <w:b/>
                <w:bCs/>
                <w:sz w:val="28"/>
                <w:szCs w:val="28"/>
                <w:lang w:val="es-MX" w:eastAsia="es-MX"/>
              </w:rPr>
            </w:pPr>
          </w:p>
        </w:tc>
        <w:tc>
          <w:tcPr>
            <w:tcW w:w="566" w:type="pct"/>
            <w:tcBorders>
              <w:top w:val="nil"/>
              <w:left w:val="nil"/>
              <w:bottom w:val="single" w:sz="4" w:space="0" w:color="auto"/>
              <w:right w:val="nil"/>
            </w:tcBorders>
            <w:shd w:val="clear" w:color="auto" w:fill="auto"/>
            <w:vAlign w:val="center"/>
            <w:hideMark/>
          </w:tcPr>
          <w:p w14:paraId="66207ACC" w14:textId="77777777" w:rsidR="00367191" w:rsidRPr="00367191" w:rsidRDefault="00367191" w:rsidP="00367191">
            <w:pPr>
              <w:jc w:val="left"/>
              <w:rPr>
                <w:sz w:val="20"/>
                <w:lang w:val="es-MX" w:eastAsia="es-MX"/>
              </w:rPr>
            </w:pPr>
          </w:p>
        </w:tc>
        <w:tc>
          <w:tcPr>
            <w:tcW w:w="563" w:type="pct"/>
            <w:tcBorders>
              <w:top w:val="nil"/>
              <w:left w:val="nil"/>
              <w:bottom w:val="single" w:sz="4" w:space="0" w:color="auto"/>
              <w:right w:val="nil"/>
            </w:tcBorders>
            <w:shd w:val="clear" w:color="auto" w:fill="auto"/>
            <w:vAlign w:val="center"/>
            <w:hideMark/>
          </w:tcPr>
          <w:p w14:paraId="0713C91E" w14:textId="77777777" w:rsidR="00367191" w:rsidRPr="00367191" w:rsidRDefault="00367191" w:rsidP="00367191">
            <w:pPr>
              <w:jc w:val="center"/>
              <w:rPr>
                <w:sz w:val="20"/>
                <w:lang w:val="es-MX" w:eastAsia="es-MX"/>
              </w:rPr>
            </w:pPr>
          </w:p>
        </w:tc>
        <w:tc>
          <w:tcPr>
            <w:tcW w:w="560" w:type="pct"/>
            <w:tcBorders>
              <w:top w:val="nil"/>
              <w:left w:val="nil"/>
              <w:bottom w:val="single" w:sz="4" w:space="0" w:color="auto"/>
              <w:right w:val="nil"/>
            </w:tcBorders>
            <w:shd w:val="clear" w:color="auto" w:fill="auto"/>
            <w:vAlign w:val="center"/>
            <w:hideMark/>
          </w:tcPr>
          <w:p w14:paraId="1D1731AF" w14:textId="77777777" w:rsidR="00367191" w:rsidRPr="00367191" w:rsidRDefault="00367191" w:rsidP="00367191">
            <w:pPr>
              <w:jc w:val="left"/>
              <w:rPr>
                <w:sz w:val="20"/>
                <w:lang w:val="es-MX" w:eastAsia="es-MX"/>
              </w:rPr>
            </w:pPr>
          </w:p>
        </w:tc>
        <w:tc>
          <w:tcPr>
            <w:tcW w:w="813" w:type="pct"/>
            <w:tcBorders>
              <w:top w:val="nil"/>
              <w:left w:val="nil"/>
              <w:bottom w:val="single" w:sz="4" w:space="0" w:color="auto"/>
              <w:right w:val="nil"/>
            </w:tcBorders>
            <w:shd w:val="clear" w:color="auto" w:fill="auto"/>
            <w:vAlign w:val="center"/>
            <w:hideMark/>
          </w:tcPr>
          <w:p w14:paraId="1DD9B961" w14:textId="77777777" w:rsidR="00367191" w:rsidRPr="00367191" w:rsidRDefault="00367191" w:rsidP="00367191">
            <w:pPr>
              <w:jc w:val="left"/>
              <w:rPr>
                <w:sz w:val="20"/>
                <w:lang w:val="es-MX" w:eastAsia="es-MX"/>
              </w:rPr>
            </w:pPr>
          </w:p>
        </w:tc>
      </w:tr>
      <w:tr w:rsidR="00367191" w:rsidRPr="00367191" w14:paraId="5BD03407" w14:textId="77777777" w:rsidTr="00367191">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5C8111"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Fondo de Inversión Social de Emergencia (FISE)</w:t>
            </w:r>
          </w:p>
        </w:tc>
      </w:tr>
      <w:tr w:rsidR="00367191" w:rsidRPr="00367191" w14:paraId="1ACC64E2" w14:textId="77777777" w:rsidTr="00367191">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68DBFD"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Detalle de Presupuesto (Costos en C$)</w:t>
            </w:r>
          </w:p>
        </w:tc>
      </w:tr>
      <w:tr w:rsidR="00367191" w:rsidRPr="00367191" w14:paraId="75295F29" w14:textId="77777777" w:rsidTr="00367191">
        <w:trPr>
          <w:trHeight w:val="36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470220" w14:textId="77777777" w:rsidR="00367191" w:rsidRPr="00367191" w:rsidRDefault="00367191" w:rsidP="00367191">
            <w:pPr>
              <w:jc w:val="center"/>
              <w:rPr>
                <w:rFonts w:ascii="Arial" w:hAnsi="Arial" w:cs="Arial"/>
                <w:b/>
                <w:bCs/>
                <w:sz w:val="28"/>
                <w:szCs w:val="28"/>
                <w:lang w:val="es-MX" w:eastAsia="es-MX"/>
              </w:rPr>
            </w:pPr>
            <w:r w:rsidRPr="00367191">
              <w:rPr>
                <w:rFonts w:ascii="Arial" w:hAnsi="Arial" w:cs="Arial"/>
                <w:b/>
                <w:bCs/>
                <w:sz w:val="28"/>
                <w:szCs w:val="28"/>
                <w:lang w:val="es-MX" w:eastAsia="es-MX"/>
              </w:rPr>
              <w:t>(Formato de Oferta)</w:t>
            </w:r>
          </w:p>
        </w:tc>
      </w:tr>
      <w:tr w:rsidR="00367191" w:rsidRPr="00367191" w14:paraId="327AB4E5" w14:textId="77777777" w:rsidTr="00367191">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F34AA6B"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Proyecto: 19892 Agua y Saneamiento Comunidad Bálsamo Abajo</w:t>
            </w:r>
          </w:p>
        </w:tc>
      </w:tr>
      <w:tr w:rsidR="00367191" w:rsidRPr="00367191" w14:paraId="00ED9629" w14:textId="77777777" w:rsidTr="00367191">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7A8FDB"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Departamento: Madriz</w:t>
            </w:r>
          </w:p>
        </w:tc>
      </w:tr>
      <w:tr w:rsidR="00367191" w:rsidRPr="00367191" w14:paraId="482FB8FD" w14:textId="77777777" w:rsidTr="00367191">
        <w:trPr>
          <w:trHeight w:val="31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A64EF4" w14:textId="77777777" w:rsidR="00367191" w:rsidRPr="00367191" w:rsidRDefault="00367191" w:rsidP="00367191">
            <w:pPr>
              <w:jc w:val="left"/>
              <w:rPr>
                <w:rFonts w:ascii="Arial" w:hAnsi="Arial" w:cs="Arial"/>
                <w:b/>
                <w:bCs/>
                <w:szCs w:val="24"/>
                <w:lang w:val="es-MX" w:eastAsia="es-MX"/>
              </w:rPr>
            </w:pPr>
            <w:r w:rsidRPr="00367191">
              <w:rPr>
                <w:rFonts w:ascii="Arial" w:hAnsi="Arial" w:cs="Arial"/>
                <w:b/>
                <w:bCs/>
                <w:szCs w:val="24"/>
                <w:lang w:val="es-MX" w:eastAsia="es-MX"/>
              </w:rPr>
              <w:t>Municipio: San Juan del Río Coco</w:t>
            </w:r>
          </w:p>
        </w:tc>
      </w:tr>
      <w:tr w:rsidR="00367191" w:rsidRPr="00367191" w14:paraId="39CAB193" w14:textId="77777777" w:rsidTr="00367191">
        <w:trPr>
          <w:trHeight w:val="300"/>
        </w:trPr>
        <w:tc>
          <w:tcPr>
            <w:tcW w:w="2499"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69D898C0"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ETAPA \ SUBETAPA \ ACTIVIDAD</w:t>
            </w:r>
          </w:p>
        </w:tc>
        <w:tc>
          <w:tcPr>
            <w:tcW w:w="566" w:type="pct"/>
            <w:tcBorders>
              <w:top w:val="single" w:sz="4" w:space="0" w:color="auto"/>
              <w:left w:val="nil"/>
              <w:bottom w:val="single" w:sz="4" w:space="0" w:color="auto"/>
              <w:right w:val="single" w:sz="4" w:space="0" w:color="auto"/>
            </w:tcBorders>
            <w:shd w:val="clear" w:color="000000" w:fill="C0C0C0"/>
            <w:vAlign w:val="center"/>
            <w:hideMark/>
          </w:tcPr>
          <w:p w14:paraId="3568EB99"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U.M</w:t>
            </w:r>
          </w:p>
        </w:tc>
        <w:tc>
          <w:tcPr>
            <w:tcW w:w="563" w:type="pct"/>
            <w:tcBorders>
              <w:top w:val="single" w:sz="4" w:space="0" w:color="auto"/>
              <w:left w:val="nil"/>
              <w:bottom w:val="single" w:sz="4" w:space="0" w:color="auto"/>
              <w:right w:val="single" w:sz="4" w:space="0" w:color="auto"/>
            </w:tcBorders>
            <w:shd w:val="clear" w:color="000000" w:fill="C0C0C0"/>
            <w:vAlign w:val="center"/>
            <w:hideMark/>
          </w:tcPr>
          <w:p w14:paraId="15230B00"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Cantidad</w:t>
            </w:r>
          </w:p>
        </w:tc>
        <w:tc>
          <w:tcPr>
            <w:tcW w:w="560" w:type="pct"/>
            <w:tcBorders>
              <w:top w:val="single" w:sz="4" w:space="0" w:color="auto"/>
              <w:left w:val="nil"/>
              <w:bottom w:val="single" w:sz="4" w:space="0" w:color="auto"/>
              <w:right w:val="single" w:sz="4" w:space="0" w:color="auto"/>
            </w:tcBorders>
            <w:shd w:val="clear" w:color="000000" w:fill="C0C0C0"/>
            <w:vAlign w:val="center"/>
            <w:hideMark/>
          </w:tcPr>
          <w:p w14:paraId="7C69BE3C"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Precio Unitario C$</w:t>
            </w:r>
          </w:p>
        </w:tc>
        <w:tc>
          <w:tcPr>
            <w:tcW w:w="813" w:type="pct"/>
            <w:tcBorders>
              <w:top w:val="single" w:sz="4" w:space="0" w:color="auto"/>
              <w:left w:val="nil"/>
              <w:bottom w:val="single" w:sz="4" w:space="0" w:color="auto"/>
              <w:right w:val="single" w:sz="4" w:space="0" w:color="auto"/>
            </w:tcBorders>
            <w:shd w:val="clear" w:color="000000" w:fill="C0C0C0"/>
            <w:vAlign w:val="center"/>
            <w:hideMark/>
          </w:tcPr>
          <w:p w14:paraId="7FB40FAF" w14:textId="77777777" w:rsidR="00367191" w:rsidRPr="00367191" w:rsidRDefault="00367191" w:rsidP="00367191">
            <w:pPr>
              <w:jc w:val="center"/>
              <w:rPr>
                <w:rFonts w:ascii="Arial" w:hAnsi="Arial" w:cs="Arial"/>
                <w:b/>
                <w:bCs/>
                <w:sz w:val="20"/>
                <w:lang w:val="es-MX" w:eastAsia="es-MX"/>
              </w:rPr>
            </w:pPr>
            <w:r w:rsidRPr="00367191">
              <w:rPr>
                <w:rFonts w:ascii="Arial" w:hAnsi="Arial" w:cs="Arial"/>
                <w:b/>
                <w:bCs/>
                <w:sz w:val="20"/>
                <w:lang w:val="es-MX" w:eastAsia="es-MX"/>
              </w:rPr>
              <w:t>Total C$</w:t>
            </w:r>
          </w:p>
        </w:tc>
      </w:tr>
      <w:tr w:rsidR="00367191" w:rsidRPr="00367191" w14:paraId="349B78FE" w14:textId="77777777" w:rsidTr="0036719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FCC99"/>
            <w:vAlign w:val="center"/>
            <w:hideMark/>
          </w:tcPr>
          <w:p w14:paraId="300B17C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1: Construcción de Miniacueducto por Gravedad  (MAG)</w:t>
            </w:r>
          </w:p>
        </w:tc>
      </w:tr>
      <w:tr w:rsidR="00367191" w:rsidRPr="00367191" w14:paraId="2A3195FC" w14:textId="77777777" w:rsidTr="0036719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CCFFCC"/>
            <w:vAlign w:val="center"/>
            <w:hideMark/>
          </w:tcPr>
          <w:p w14:paraId="4B7D8A5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Agua y Saneamiento -MABE o MAG</w:t>
            </w:r>
          </w:p>
        </w:tc>
      </w:tr>
      <w:tr w:rsidR="00367191" w:rsidRPr="00367191" w14:paraId="2461BDF7" w14:textId="77777777" w:rsidTr="00367191">
        <w:trPr>
          <w:trHeight w:val="3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539E9E"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310 - PRELIMINARES</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1F8E478"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49E76E68" w14:textId="77777777" w:rsidTr="00367191">
        <w:trPr>
          <w:trHeight w:val="3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1758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31002 - TRAZO Y NIVELACIÓN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CC7DE12"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A9F1A5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14,305.92</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4C1CE6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A18F12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913216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369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96768 - REPLANTEO DEL TRAZO Y NIVELACION PARA TUBERIAS DE AGUA POTABLE(INCL. ESTACAS DE MADERA+MANO DE OBRA+EQUIPO DETOPOGRAFIA)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270EFD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1ADD22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14,305.92</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4636A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4E826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5B538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66CA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31005 - RÓTULO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1B3078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C349D1D"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97C178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8A0A15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17C58A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FA3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04277 - RÓTULO TIPO FISE DE 1.22m x 2.44m (ESTRUCTURA DE ACERO+FORRO DE ZINC LISO) CON BASES DE CONCRETO REF.DE 2,500 PSI(INCL. PINT. ANTICORROSIVA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65245B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D487F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156EA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E7534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CDC681"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615ED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320 - LÍNEA DE CONDUCCIÓN</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47F96E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2A21D683" w14:textId="77777777" w:rsidTr="00367191">
        <w:trPr>
          <w:trHeight w:val="255"/>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53CD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32011 - RELLENO Y COMPACTACIÓN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D3C1F9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946D4C"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731D21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D5612F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8D5549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18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CBBDC2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FAC8F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3,989.17</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8FCC07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3705E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3D5D29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A26D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32017 - TUBERIA DE 3" DE DIÁMETRO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55058E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67041B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5,632.59</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B958CC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34687D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491E2A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DC1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E039D5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BB8133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858.95</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FC4C0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A0F35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69A75A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127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94165 - TUBERIA DE PVC Diám.=3" (SDR-17)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646B12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107CF3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2,295.05</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3A5FA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174BD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2D81D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F77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96164 - TUBERIA DE PVC Diám.=3"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6C84D0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D4023D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2,478.59</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0ACCE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06A5A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D8AB3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B1677"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32023 - PRUEBAS HIDROSTÁTICAS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EF9C05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E55E80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19.00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0B36DD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E89E9B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74BEED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D0F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97138 - PRUEBA HIDROSTÁTICA (DE PRESIÓN y DE ESTANQUEIDAD)(CON BOMBA MANUAL) EN TUBERIA y ACCESORIOS PVC Diám.=3" L=HASTA 300 m PARA PROYECTOS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5AF2C4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C413B7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D93F2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FD05B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B07E3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5B13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32025 - VÁLVULAS Y ACCESORIOS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63BD33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023793D"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BEF0E3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D0089B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9B1D02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5B4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83F14A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707CB3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10AFB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D4E23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32C252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C7A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03113 - CAJA DE CONCRETO DE 2,500 PSI SIN REF. Ancho 1=0.50m,Ancho 2=0.50m,Alt.=0.50m+TAPA DE LAMINA DE ACERO Esp.=3/16" (INCL.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93B8D7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CAF1DB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513EF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8DC36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C5639D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95F9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04162 - CAJA PARA PROTECCION DE VALVULA HECHA DE TUBO DE PVC Diám.= 6"(SDR-41)(NO INCL.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9F526A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CD9C09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8BE69D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BEE9E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23030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680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05377 - CAJA (PILA ROMPE PRESION) DE CONCRETO DE 3,000 PSI REF. Ancho=0.70m,Largo=1.05m,Alt.=1.00m CON COLUMNA DE CONCRETO DE 0.15mx0.15m(INCL. REPELLO Y FINO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5B6C2D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5E3BB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D26253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B6D7B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58D5B6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794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93847 - CODO DE HIERRO GALVANIZADO DE 3" X 90°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3595E8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68D543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6E57C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CD8D5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C3823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855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94311 - VALVULA DE AIRE Y VACIO DE HIERRO FUNDIDO Diám.=½"+ ABRAZADERA DE HIERRO GALVANIZADO+UNION DE BRONCE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3FFD1E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824EC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B8A2E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F1B27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BF7F4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681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94568 - UNION DRESSER DE HIERRO FUNDIDO Diám.=3"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9867E5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7AA569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CC941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FD7AAC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6DDE6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3226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94602 - VALVULA DE BOYA (FLOTADOR) DE CONTROL DE NIVEL DE HIERRO FUNDIDO Diám.=3"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1CBD89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44190A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256D7C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8A1560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559258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9CE1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76321F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119E42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951AE1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D8F81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47F93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281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96077 - VALVULA DE COMPUERTA DE HIERRO FUNDIDO Diàm.=3" CON BRIDA (o FLANGE) DE PVC (2 C/U) + PERNOS +TUERCAS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328CEC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F90AE6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7ED1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837E4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05D7D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1C1A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EDFD0E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B5D291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FFD6F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8AB8B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45361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645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96199 - VALVULA DE LIMPIEZA DE HIERRO FUNDIDO Diám.=1½"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40D478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C7EEF5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B115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08841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BD3131"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382C5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330 - LÍNEA DE DISTRIBUCIÓN</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E09598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1479A2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4FCC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33014 - TUBERIA DE 1 ½" DE DIÁMETRO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031CE7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1CB385F"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5,748.15</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3E7FB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4B7265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5E45C1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262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96166 - TUBERIA DE PVC Diám.=1½"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7B5C9C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40AD89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5,748.15</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F2512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C51B6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5933B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EF4F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33015 - TUBERIA DE 2" DE DIÁMETRO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6F9850C"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71EFDA"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317.52</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70B7DD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EE8C1A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FD709F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232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1EBA66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85B0D1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317.52</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811FF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5754B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605A9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7052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33017 - TUBERIA DE 3" DE DIÁMETRO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D7D85B4"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37F30B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870.96</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17DC78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15BA1F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09B8B03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11E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96164 - TUBERIA DE PVC Diám.=3"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E7E58E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02445B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870.96</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A92909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3C28D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ED920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D268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33018 - TUBERIA DE 4" DE DIÁMETRO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3CC5FEF"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28951E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1,468.79</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918E5D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B361C6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7DC708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92B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92178 - TUBERIA DE PVC Diám.=4"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8C6921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4DFE89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1,468.79</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EB513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A9742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7285F5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664A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33022 - PRUEBAS HIDROSTÁTICAS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1DF500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0EDB5C"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27.00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802540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C5F82C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945A31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E40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93282 - PRUEBA HIDROSTÁTICA (DE PRESIÓN y DE ESTANQUEIDAD)(CON BOMBA MANUAL) EN TUBERIA y ACCESORIOS PVC Diám.=4" L=HASTA 300 m PARA PROYECTOS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364365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6858D5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C8CCF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1021E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534F06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D9E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96930 - PRUEBA HIDROSTÁTICA (DE PRESIÓN y DE ESTANQUEIDAD)(CON BOMBA MANUAL) EN TUBERIA y ACCESORIOS PVC Diám.&lt;=2" L=HASTA 300m PARA PROYECTOS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7041D2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3DE712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7A7A9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62A05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EB94BB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6DD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97138 - PRUEBA HIDROSTÁTICA (DE PRESIÓN y DE ESTANQUEIDAD)(CON BOMBA MANUAL) EN TUBERIA y ACCESORIOS PVC Diám.=3" L=HASTA 300 m PARA PROYECTOS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B92F7E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03D4B5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A7FE3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7504D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40D121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9A71C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33023 - VÁLVULAS Y ACCESORIOS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10B2E5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4FE8E8A"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33.00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4AEF51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6FC31B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DE8784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B4AC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02145 - TUBERIA DE HIERRO GALVANIZADO Diám. =½" (NO INCL. EXCAVACION) (INCL.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8EF9E8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A0DD9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56271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C9EA9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805A81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B1D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02146 - TUBERIA DE HIERRO GALVANIZADO Diám.=2" (NO INCL. EXCAVACION) (INCL.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48A6BD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D56FB7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FA6D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E3E53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75B08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D557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02418 - TUBERIA DE HIERRO GALVANIZADO Diám.=3" (NO INCL. EXCAVACION) (INCL.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6938B9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56015C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22F29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64CDA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5158E4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2B7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03028 - TUBERIA DE HIERRO GALVANIZADO Diám.=4" (NO INCL. EXCAVACION) (INCL.BLOQUE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E3E4FD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78A19F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813D6F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C2A12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7569E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EF2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03070 - CAJA DE REGISTRO DE CONCRETO DE 2,500 PSI REF.+CONCRETO DE 3,000 PSI DE Ancho=1.00m,Largo=2.00m,Alt.=0.50m CON REPELLO y FINO CORRIENTE(INCL.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DA9529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3D258F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7AD2F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FBFF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76B15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C68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04162 - CAJA PARA PROTECCION DE VALVULA HECHA DE TUBO DE PVC Diám.= 6"(SDR-41)(NO INCL.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C0169A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D3E9ED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6610F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48C2B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9BC93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E8C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05377 - CAJA (PILA ROMPE PRESION) DE CONCRETO DE 3,000 PSI REF. Ancho=0.70m,Largo=1.05m,Alt.=1.00m CON COLUMNA DE CONCRETO DE 0.15mx0.15m(INCL. REPELLO Y FINO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5D9789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2F4BE3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231C0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9AB74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326C20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2E3A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93852 - CODO DE HIERRO GALVANIZADO DE 4" X 90°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86438A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DD9D4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BE6B0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C1BD7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E4FA7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D9A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94006 - TEE LISA DE PVC Diám.=2"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644374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09CCC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D01BF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71461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6CA89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9BC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94008 - VALVULA REGULADORA DE PRESION DE HIERRO FUNDIDO Diám.=2"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D6DFAC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F3AC76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D00F18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83F38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3B443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BBD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94017 - VALVULA REGULADORA DE PRESION DE HIERRO FUNDIDO Diám.=1½"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EEB4CF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3F510A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B8BA2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6F8AE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5C9F6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554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94293 - UNION MALEABLE DE HIERRO GALVANIZADO Diám.=1½"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8829C8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5BCBEE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4F3F95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EB211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2566A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BAA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94311 - VALVULA DE AIRE Y VACIO DE HIERRO FUNDIDO Diám.=½"+ ABRAZADERA DE HIERRO GALVANIZADO+UNION DE BRONCE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3997B1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1309E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F709F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E9AC9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8ACF6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090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94313 - VALVULA REGULADORA DE PRESION DE HIERRO FUNDIDO Diám.=3" +BRIDA (o FLANGE) DE HIERRO FUNDIDO Diám.=3"+LAMINA DE HULE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E0EAB8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3D855C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D5FA26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8E67E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9FD5A9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2F0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94366 - UNION MALEABLE DE HIERRO GALVANIZADO Diám.=2"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01A728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1A8862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92F54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7D24D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FFBDF4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A757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94367 - UNION MALEABLE DE HIERRO GALVANIZADO Diám.=3"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5C9C2D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84516D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D8AE4D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478F9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1545AD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0AB6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94966 - CODO LISO DE PVC Diám.=2", 90°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0ABC8A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93DD12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38EF7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EB7EE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21F14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D1A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94968 - CODO LISO DE PVC Diám.=3", 90°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968509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1E912C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581B5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C1C06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6E10B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2EE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95104 - MANOMETRO HIDRÁULICO TUBO BOURDON ¼"(Carcasa de ACERO INOXIDABLE) Presion de trabajo=De 0 a 100 PSI con dial circular Diám.=2",lectura en doble escala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3E5B1F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DE92BF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549A9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5EF17B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D02F8D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4F8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95313 - VALVULA DE AIRE Y VACIO DE HIERRO FUNDIDO Diám.=2" (NO INCL. EXCAVACION)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D30D3A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5354FB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93FFE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71007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DD2CB4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077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95378 - TEE LISA DE PVC Diám.=3"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0D80DB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B93C38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EC20BC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549DD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8ED3B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C12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96076 - VALVULA DE COMPUERTA DE HIERRO FUNDIDO Diám.=4" CON FLANGE DE PVC (2 C/U) + PERNOS + TUERCAS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1DFE7C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5CAD5A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173D2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3704E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42582A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D2CD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96077 - VALVULA DE COMPUERTA DE HIERRO FUNDIDO Diàm.=3" CON BRIDA (o FLANGE) DE PVC (2 C/U) + PERNOS +TUERCAS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18EC6C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6D2F8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0C59A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7B775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BB336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238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96163 - VALVULA DE BOYA (FLOTADOR) DE CONTROL DE NIVEL DE HIERRO FUNDIDO Diám.=4"</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BFF2BD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740B9C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92310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1328F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1DF98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FBB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96164 - TUBERIA DE PVC Diám.=3"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BCA543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0CEE7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72574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2E5FC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7D92D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AE7E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96165 - TUBERIA DE PVC Diám.=2"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89FF27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B25C61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32DAB7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A189E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4A5CC3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621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96166 - TUBERIA DE PVC Diám.=1½" (SDR-26)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FE2F57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0EEB7D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10F40A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130B5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609848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71D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96193 - CODO LISO DE PVC Diám.=1½", 90°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B6350A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C191A5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A152E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A9114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DCC00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DE2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96199 - VALVULA DE LIMPIEZA DE HIERRO FUNDIDO Diám.=1½"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957D9F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A5298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DA990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D10A0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49B058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F87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96202 - VALVULA DE AIRE Y VACIO DE HIERRO FUNDIDO Diám.=3"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ABBA4A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BA9B4F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890A7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0811F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FB15C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2FA7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96486 - VALVULA (o LLAVE) DE PASE DE HIERRO FUNDIDO Diám.=1½" EXTREMOS ROSCA (NO INCL.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143EBF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5C0FDF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27.00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7DB90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D537D4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2361E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FDB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96612 - UNION DRESSER DE HIERRO FUNDIDO Diám.=4"</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90EAD9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3254B0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8BCEE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307B7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6A2D5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FD5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96984 - TEE LISA DE PVC Diám.=1½"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F670F3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C0B31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EA32C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4F5F9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C525C62"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59E35C"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335 - TANQUE DE ALMACENAMIENTO</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A73ECD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6F5B5F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EF8B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33501 - MOVIMIENTO DE TIERRA PARA TANQUE DE ALMACENAMIENTO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9893C08"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0D0E2CA"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86.00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89917BA"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4302B3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FB2714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52A3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03625 - MEZCLA DE SUELO CEMENTO PROPORCION 1:4 C:S(INCL. ACARREO CON CAMION VOLQUETE DE MAT.SELECTO A 3 KMS)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C4F309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06E69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181.80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4CA213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969822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52377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06E3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93278 - RELLENO Y COMPACTACIÓN (CON VIBRO-COMPACTADORA MANUAL)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A81CB8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06A3B8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679C3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85DD2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90A178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25B7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93285 - EXCAVACIÓN MANUAL EN TERRENO MATERIAL MIXTO (ARCILLAS, LIMOS Y BOLONES)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CFE88D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D485E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86.00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322F5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F4304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F7EEB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590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95391 - BOTAR (CON CAMION VOLQUETE) TIERRA SOBRANTE DE EXCAVACION A 2.5 KMS (INCL. CARGA CON EQUIPO)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8F18AA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560C3D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C46F3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8E5B2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A9111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D383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33502 - TANQUE DE ALMACENAMIENTO DE MAMPOSTERIA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CB2AB7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68B61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52.00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51E839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EAB45F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C2C0B5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093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02418 - TUBERIA DE HIERRO GALVANIZADO Diám.=3" (NO INCL. EXCAVACION) (INCL.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120519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E7969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2887B7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8F64E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587644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BA4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03028 - TUBERIA DE HIERRO GALVANIZADO Diám.=4" (NO INCL. EXCAVACION) (INCL.BLOQUE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9992C6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44A312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D4BAF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B99C7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FD4AD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EA50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03106 - ANDEN DE CONCRETO DE 2,500 PSI SIN REF.,Espesor=0.075m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0AEB27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901A22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26.40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EB57B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3411CD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26D9F3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DCE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03114 - VALVULA DE COMPUERTA DE HIERRO FUNDIDO Diám.=3" (INCL. 1 BLOQUE DE REACCION)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355637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DD5E90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25A9E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8305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6B1B25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23D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03547 - CAJA DE CONCRETO DE 3,000 PSI REF.+PARED DE LADRILLO CUARTERON DE BARRO Ancho=1.00m,Largo=1.00m(NO INCL.EXC)(INCL. REPELLO y FINO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97B51C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AFCBDD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D0CDC8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17593B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1E7AF6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4B1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05017 - TAPA DE CONCRETO DE 3,000 PSI, REF.#3@0.14m EN A/D, Espesor de tapa=0.075m CON REPELLO y FINO CORRIENTE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6F9475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3230A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1.21</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480D6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DA72FF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EC94E6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0133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92007 - CONCRETO DE 3,500 PSI (CON MEZCLADORA) (NO INCL. FUNDIDA)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52E5CA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EA4850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40.01</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89101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DE6800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7C7A69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092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92021 - NIVELETA SENCILLA DE MADERA PINO L=1.10m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B93886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5E505C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E1B70C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DC208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073AA9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F8B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92022 - NIVELETA DOBLE DE PINO DE 1.50m x 1.50m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3B3559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1E6A6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87DC6D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C414E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75AA3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382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92066 - CERCO (A) DE POSTES DE MADERA (Azadirachta,conocido como nim o neem) RÚSTICA,Diám.=4",Alt.=2.20m @2.50m CON 7 HILADAS DE ALAMBRE DE PÚAS Cal.#13½</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4950B9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4EA263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5C943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52BB9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5582CC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F161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92137 - REPELLO Y FINO CORRIENTE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7CFF0C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F54325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222.27</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C1C3B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21331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98A5A4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BB5A5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92147 - PINTURA DE ACEITE (COLOR DE LÍNEA) CALIDAD STANDARD (INCL. 2 MANOS)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884957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167C1D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110.13</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48512E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032022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CCD1F9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63F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92160 - PIQUETEO TOTAL EN CONCRETO FRESCO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9A130C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7D82C7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99.08</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B2D93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E8985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4324DB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2AF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D44C6B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288833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100.63</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A1ED7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C35BA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B110B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C5B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92345 - FORMALETA DE MADERA DE PINO PARA VIGAS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8AECDD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51B552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19.77</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49E54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91A51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47F5F8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C11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591A83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EF4AF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152.62</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A1C42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2ED3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76003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F5BA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92388 - FORMALETA DE MADERA DE PINO PARA FUNDACIONES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1ED2C8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2D21CD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10.56</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1AA6B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1DAD6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4998A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28B0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93056 - PUERTA DE MARCO DE MADERA BLANCA Y FORRO DE ALAMBRE DE PÚAS CAL. # 13½  (NO INCL. HERRAJES)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3CC49F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F3E21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D9C1C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90B1C4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108799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220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93352 - HIERRO (EN VARILLAS) LISO DE CONSTRUCCION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967D64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F94829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237.51</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F62AD3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79B6F4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BB9A85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C7EC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93847 - CODO DE HIERRO GALVANIZADO DE 3" X 90°</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F09511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379D32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3A63E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BB221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BB0E16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D008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93873 - RESPIRADERO DE TUBO DE Ho. Go. Diám. = 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28A27D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927330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FDE72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3E1777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C3E51F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315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94356 - HIERRO (EN VARILLAS) CORRUGADO (GRADO 60) Diám. &gt; AL No. 4 (NO INCL. TACOS SEPARADORES)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611A3B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DC1866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4,316.44</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44F0E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7EF8E9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A27E78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AFD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95309 - HIERRO (EN VARILLAS) CORRUGADO (GRADO 60) Diám. &lt;= AL No. 4 (NO INCL. TACOS SEPARADORES)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543597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3CC5F8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2,734.05</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27ABA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94A15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C341F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A14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95518 - FORMALETA DE MADERA DE PINO PARA LOSA AEREA @ Alt.=2.40m (INCL. BARULES DE PINO DE 4" x 4")</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A320E6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D608A9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BB1D3F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01E8AE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467E0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590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96221 - IMPERMEABILIZANTE (MORTERO CEMENTICIO CON BASE AGUA) PARA REC. TIPO SIKA-101 O SIMILAR</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D4DC6B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BCD85E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111.64</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69752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6499E3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168627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D2C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96414 - VALVULA DE COMPUERTA DE HIERRO FUNDIDO Diám.=4" EXTREMOS BRIDADOS (INCL. 2 C/U BRIDA o FLANGES Diám.=4" +KIT PARA FLANGES)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9803A0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3F2C7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D995F6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FED65D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7297B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536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97328 - CONCRETO CICLÓPEO:60% CONCRETO DE 3,000 PSI+40% PIEDRA BOLÓN (CONSIDERANDO COMPRA DE PIEDRA BOLÓN) MAYOR A 2",HECHURA CON MEZCLADORA(NO INCL.FUNDIDA)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34E639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14EFF0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101.20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E9B914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1213E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D1994B" w14:textId="77777777" w:rsidTr="00025C59">
        <w:trPr>
          <w:trHeight w:val="511"/>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33E4A8"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340 - FUENTE Y OBRAS DE TOMA</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7D7E74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78EED41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292A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34001 - OBRAS DE CAPTACIÓN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BF22582"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395AF3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06F934C"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372749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7C0484F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B42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03619 - VALVULA DE COMPUERTA DE HIERRO FUNDIDO Diám.=4" +3.00m DE TUBO SECCIÓN CIRCULAR DE HIERRO FUNDIDO DÚCTILDiám.=4" Y 2 BLOQUES DE REACCION) PAR LIMPIEZA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B31186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583009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DBB59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774EF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9D4F64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EDC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04441 - CERCO (A) DE POSTES DE CONCRETO PRETENSADO Alt.=2.55m y MADERA CON 7 HILADAS DE ALAMBRE GALVANIZADO Cal.#13(INCL. BASES DE CONCRETO CICLOPEO) (CONS.CO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C20B22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5F264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64C872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0E8B0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D49C0C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806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92007 - CONCRETO DE 3,500 PSI (CON MEZCLADORA) (NO INCL. FUNDIDA)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B2836F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0D075B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84005B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B27B4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549D3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5A4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92021 - NIVELETA SENCILLA DE MADERA PINO L=1.10m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92B252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73D5D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83F90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98F23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273B8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1F0B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20F285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A8B523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9.80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DDD20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72395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2B7A84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288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92277 - CONFORMACION MANUAL DE TERRENO CON CORTES Y RELLENOS De 0 HASTA 5 cms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6D598E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B58605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24.50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875A6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47AB6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5EC6B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0C2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FFE261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407FE3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36.37</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1B192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4437E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0BFDA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AA3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92371 - FORMALETA DE MADERA DE PINO PARA MUROS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C571FE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70C36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49.45</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2052D5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BAA5F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3D82D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E204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93056 - PUERTA DE MARCO DE MADERA BLANCA Y FORRO DE ALAMBRE DE PÚAS CAL. # 13½  (NO INCL. HERRAJES)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5F7D60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FDB56F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CA30C9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626E5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44532B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2051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93986 - TUBERIA DE PVC Diám.=4" (SDR-17)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31A352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F76AF8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738A01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26268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493B13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67E0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94165 - TUBERIA DE PVC Diám.=3" (SDR-17) (ASTM D2241)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D0CADB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A7094D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0B4D7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8A748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C0D725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3008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94356 - HIERRO (EN VARILLAS) CORRUGADO (GRADO 60) Diám. &gt; AL No. 4 (NO INCL. TACOS SEPARADORES)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B37D14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765286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1,885.99</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ECCB2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DF99D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7BDA5D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984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95159 - FILTRO DE PIEDRA BOLÓN CLASIFICADA Diám.=MAYOR DE 0.05m a 0.10m (MANUAL) (CONS.COMPRA DE P. BOLÓN)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B91A6F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DC0594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72EE8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DAA42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2B4765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0E3B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95309 - HIERRO (EN VARILLAS) CORRUGADO (GRADO 60) Diám. &lt;= AL No. 4 (NO INCL. TACOS SEPARADORES)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E7D4B9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LBS</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CA6ED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678.96</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C0C3A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C31EF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A9B346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DC1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95569 - EXCAVACIÓN MANUAL EN TERRENO NATURAL Prof.=De 0.00 a 1.00m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65B8A9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0DFD71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19.60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64C1F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15C3C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E145E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561F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96076 - VALVULA DE COMPUERTA DE HIERRO FUNDIDO Diám.=4" CON FLANGE DE PVC (2 C/U) + PERNOS + TUERCAS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DFC8D8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CD9E5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73FB7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27A67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3EE6E5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4B0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96126 - TAPON HEMBRA LISO DE PVC Diám.=4"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B39AD7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EBF997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77087F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31DA9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D7262C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BFC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96197 - CODO LISO DE PVC Diám.=4", 90°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FE2FF9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273063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1C229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0C76B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F1AEB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3A4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97029 - TEE REDUCTORA LISA DE PVC DE 4" a 3"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61C4E3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F0FCC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61D46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C17A3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41F5AD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8F5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97328 - CONCRETO CICLÓPEO:60% CONCRETO DE 3,000 PSI+40% PIEDRA BOLÓN (CONSIDERANDO COMPRA DE PIEDRA BOLÓN) MAYOR A 2",HECHURA CON MEZCLADORA(NO INCL.FUNDIDA)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B78769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76AB8A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46.62</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43BB0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0F578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B5809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C05B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34004 - OTRO TIPO DE OBRAS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6A394F2"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C95D77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B78AC81"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F7E9F64"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DC59AA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302B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03625 - MEZCLA DE SUELO CEMENTO PROPORCION 1:4 C:S(INCL. ACARREO CON CAMION VOLQUETE DE MAT.SELECTO A 3 KMS)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95BE28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50D0EE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102B6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02A9C9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63C463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ADE0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92008 - CONCRETO CICLÓPEO:20% CONCRETO DE 1,500 PSI+80% PIEDRA BOLÓN (CONSIDERANDO COMPRA DE PIEDRA BOLÓN) HECHURA CON MEZCLADORA(NO INCL.CLASIFIC,NI FUNDIDA)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1B5430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1DA61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6.80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1ED914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1EA57E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7FFBCB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D7BA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93278 - RELLENO Y COMPACTACIÓN (CON VIBRO-COMPACTADORA MANUAL)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A5E665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886D2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7.20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6CF18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1EACE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37959C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8951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93630 - BOTAR (MANUAL) TIERRA SOBRANTE DE EXCAVACION A 0.50 KM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37DA6C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673AB9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23.81</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E8B438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FAB8E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05357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587B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95569 - EXCAVACIÓN MANUAL EN TERRENO NATURAL Prof.=De 0.00 a 1.00m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4E5988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71973D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31.01</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67E088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C19DB7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537AC9"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E07914"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360 - PLANTA DE PURIFICACIÓN</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792019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D3AF91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A39B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36003 - EQUIPO DE CLORINACIÓN (COMPLETO)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FA46935"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16506A6"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BBCD37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60948C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619E84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3346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04755 - CASETA DE COLUMNAS DE TUBERIA DE HIERRO GALVANIZADO Diám.=2"+CUBIERTA DE ZINC ONDULADO CAL.26 DE 1.10mx1.10m,Alto=1.14m(NO INCL.FUNDACIONES,NI PISO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0AF65E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3E652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609E98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54FEB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E98455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143E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92236 - PINTURA ANTICORROSIVA (INCL. 2 MANOS: 1 DE TALLER y 1 INSTALADO)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4C62F9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21D4CD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9198D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45366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0AC1C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8B9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92445 - HIPOCLORADOR DE PLASTICO Cap.=33 GALONES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DDA912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4FE48A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A35F8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3986FE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8E327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97B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93531 - FLOTADOR PARA TANQUE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BCDBAB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E80ADE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99C9CA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832D1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0E3F0D6"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31BCCB"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350 - CONEXIONES</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12483D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6C44BAC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AE7A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35001 - CONEXIONES DOMICILIARES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8B5EE6D"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6889B18"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223.00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1B2DD3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5DD0CE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3063A2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F56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97354 - CONEXIÓN DOMICILIAR DE PATIO DE 1½"x½", DE TUBO PVC ½"(SDR-13.5)(NO INC. MEDIDOR)(NO INCL.EXC)+ LLAVE DE PASE. Diám ½"+LLAVE DE CHORR,Long=12m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E5B4CA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F997AB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E0682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AB9BF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3543D0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0BDD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97356 - CONEXIÓN DOMICILIAR DE PATIO CON ABRAZADERA 2"x½",DE TUBO PVC ½"(SDR-13.5)(NO INC. MEDIDOR)(SIN.EXC)+ LLAVE DE PASE. Diám ½"+LLAVE DE CHORR,Long=12m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EAF76E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C719D0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61.00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DA16A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47839F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8C1185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510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97358 - CONEXIÓN DOMICILIAR DE PATIO CON ABRAZADERA 3"x½",DE TUBO PVC ½"(SDR-13.5)(NO INC. MEDIDOR)(SIN.EXC)+ LLAVE DE PASE. Diám ½"+LLAVE DE CHORR,Long=12m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A430C5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93E60F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91AD65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59ED0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AE4C6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EB29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97360 - CONEXIÓN DOMICILIAR DE PATIO CON ABRAZADERA 4"x½",DE TUBO PVC ½"(SDR-13.5)(NO INC. MEDIDOR)(SIN.EXC)+ LLAVE DE PASE. Diám ½"+LLAVE DE CHORR,Long=12m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EA5480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5C92F3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17.00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2249E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1E65DE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A32409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5D63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35002 - OTRO TIPO DE CONEXIONES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4E737B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517BD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208B37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2D96CD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1928B90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3ABD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02105 - PUESTO PUBLICO DE CONCRETO CICLOPEO (TIPICO PARA AGUA POTABLE) (CONS. COMPRA DE PIEDRA BOLON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D43C3D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BBD41E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69564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C2D19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A1D1E1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E75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04245 - CERCO (A) DE POSTES DE MADERA DURA CON 7 HILADAS DE ALAMBRE GALVANIZADO Cal.#13 (INCL.BASES DE CONCRETO CICLÓPEO (CONS. COMPRA DE P. BOLÓN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EF86ED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BC1C91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38.00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44D132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BE5CE0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0B4715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6FE8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96718 - PUERTA DE MARCO DE MADERA BLANCA Y FORRO DE ALAMBRE LISO GALVANIZADO CAL. # 13½  (NO INCL. HERRAJES)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F2FCCD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D27D1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114E61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9CBF6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EF4CFA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CE52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lastRenderedPageBreak/>
              <w:t xml:space="preserve">  35009 - MEDIDORES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D9F0A9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9670AE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223.00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119AF3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163710D"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0E2C18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FCC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96036 - CAJA TRONCO-CÓNICA DE PLÁSTICO DE 0.25mx0.50m, Alto=0.30m PARA PROTEGER MEDIDOR DE AGUA POTABLE</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ED4158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94A606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560A4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78D402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ECF46E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73C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96206 - INSTALACION DE MEDIDOR DE AGUA POTABLE Diám.=½" (SOLO MANO DE OBRA)(INCL. EL COSTO DE 2 ADAPTADORES)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A386B2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174D29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223.00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9C020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AA5342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BDD685F"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E04B1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370 - LIMPIEZA FINAL Y ENTREGA</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7AC664D"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3984662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9E5F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37003 - PLACA CONMEMORATIVA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8F92740"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963A44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EA141E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B6B2C0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24243B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FB1B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03392 - PEDESTAL DE CONCRETO DE 2,500 PSI REF. CON REPELLO y FINO CORRIENTE (INCL. EXC.) PARA PLACA CONMEMORATIVA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760D71A"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928C75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C73B4E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DF02E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4C8A65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D0AF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04189 - PLACA CONMEMORATIVA DE ALUMINIO DE 0.65m x 0.42m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209874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296C24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CA8B6D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F7BA0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73ECBE2"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0A223A8"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2: Saneamiento e Higiene</w:t>
            </w:r>
          </w:p>
        </w:tc>
      </w:tr>
      <w:tr w:rsidR="00367191" w:rsidRPr="00367191" w14:paraId="0A159D85"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F206D8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Proyectos de Saneamiento- Letrinas</w:t>
            </w:r>
          </w:p>
        </w:tc>
      </w:tr>
      <w:tr w:rsidR="00367191" w:rsidRPr="00367191" w14:paraId="5526601B"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48BED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504 - LETRINAS SEMI-ELEVADAS</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3CF5CC2"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12D6883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1DFA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50412 - ENCHAPE DE FOSO (INC. EXCAVACION Y GRADAS)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62DB61A"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2AFD245"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E227E3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C50624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6C0D4F6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4AB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04295 - POZO RECOLECTOR DE ORINA DE 0.30mx0.30m,Prof.=0.50m(UNO DE ESTA MEDIDA)PARA LETRINA SENCILLA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E93025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8CD9DAC"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3268FB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963930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C7CD4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D3C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04877 - FOSO PARA LETRINA SENCILLA SEMI- ELEVADA ENCHAPE DE BLOQUES DE MORTERO DE 0.15m(6") CON GRADAS DE BLOQUE y REPELLO ARENILLADO)(NO INCL.MONC)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205386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D52089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F2020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E8A0AA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A3383B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B45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93783 - REPELLO ARENILLADO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D55ADB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M2</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AF56C6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44C134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58CEB8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BA4A4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1B5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93845 - PASAMANOS DE TUBO REDONDO DE HIERRO NEGRO Diám.=1"</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AA3AFB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499F52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215.00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15E86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25D92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C24BAA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0826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96583 - TAPON HEMBRA LISO DE PVC Diám.=1"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F575F8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5F82A5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C7D07D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3A2EB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3F95DD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9269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50413 - LOSA (PLANCHA) Y BANCO (TAZA)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7EADA0E"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7BC2B72"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8DB7E8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791807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AFD0A0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3004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94473 - LOSA Y BANCO DE FIBRA DE VIDRIO PARA LETRINA SENCILLA FIJACION A ESTRUCTURA METALICA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27EED4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A6180D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9981C2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B7D24E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69E02D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7A30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94560 - SEPARADOR DE FIBRA DE VIDRIO PARA ORINA PARA ASIENTO DE LETRINA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0B5817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E34376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43E325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11E689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D5830E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F406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95095 - MANGUERA DE PLÁSTICO (POLIETILENO) Diám.=5/8"(16 mm)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DB790E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63E35A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B9CEB6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DFFE7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B961BE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840B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50414 - CASETA DE LETRINA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3B88F91"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A687FA6"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5F5D235"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28DF8F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49DBCE6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8B7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03960 - ESTRUCTURA DE ACERO (A-36) Y TUBO RECTANGULAR DE HIERRO DE 1"x1½" P/CASETA LETRINA SENCILLA De 0.82mx1.01(INCL.TUBO PVC Diám.=1½"(SDR-26)P/VEN)(INCL.P</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16CE90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A34B3E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2E71A4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6E9292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91C0A0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AF39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94401 - FORRO DE LÁMINA LISA DE ZINC CAL.28,1 CARA SOBRE ESTRUCTURA METÁLICA P/PAREDES DE CASETA DE LETRINA SENCILLA En planta,Ancho=0.82m,Long.=1.01m</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DB04A2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F190FD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F81468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D7B95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19D730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B9CB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94474 - RÓTULO LEYENDA(SOLAMENTE PINTADO CON PINTURA DE ACEITE) PARA PROYECTOS DE LETRINAS(ANTES NOV 2008)</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9B8D5C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2EE5C2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D533A9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CFB594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1FC44C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53AD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95904 - CUBIERTA DE TECHO DE LÁMINA ONDULADA DE ZINC CAL.28 SOBRE ESTRUCTURA METÁLICA P/CASETA DE LETRINA SENCILLA,Área d techo:Ancho=0.97m,Long.=1.47m=1.43m2</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5391FF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8CAAE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E84A3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1937BA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7473A1"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E6A70F"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499 - SISTEMA DE SANEAMIENTO</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CA3C97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4F91FC2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4D78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49928 - LAVADEROS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B4C5EE9"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BE1CB7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0475E4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CF7F57F"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5F4B133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337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04720 - VALVULA (o LLAVE) DE CHORRO DE BRONCE Diám.=½" CON PEDESTAL DE CONCRETO DE 2,500 PSI SIN REF.(NO INCL.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AE6304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BD7A88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B682F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6E236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F5D292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D62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92003 - CONCRETO DE 2,500 PSI (MEZCLADO A MANO) (NO INCL. FUNDIDA)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E21E43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53CF88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F1852F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334102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B2A78D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158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92023 - EXCAVACIÓN MANUAL DE ZANJA EN TERRENO NATURAL Ancho=0.30m,Prof.=0.50m PARA TUBERIA DE Diám.=Desde mayor que 3" hasta menores o iguales a 4"</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29AAC4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2CF1DC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486.00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EB6C8F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5488B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645ADA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AF55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92226 - RELLENO Y COMPACTACIÓN MANUAL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D52387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4DC3E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060C9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C17C0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39B579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430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92282 - FUNDIR CONCRETO EN CUALQUIER ELEMENTO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953F56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M3</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4F96C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70.00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FD175C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1A149D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F6ADF1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BE7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93448 - TUBERIA DE PVC Diám.=2" (SDR-41) (ASTM D2665) PARA DWV(Drain-Waste-Vent) DRENAJE-DESECHOS-VENTILACIÓN) (JUNTA CEMENTADA) (NO INCL. EXCAVACIÓN)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15D2FC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ML</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EFEB7A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311.00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CD7D9F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FD1670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7CC68C9"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C99B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93801 - LAVADERO SENCILLO DE CONCRETO REF. Ancho=0.63m,Alto=0.83m,L=1.0(De 2 partes:1 fondo estriado y 1 pileta)DE FABRICACIÓN NACIONAL(NO INCL.LLAVE DE CHORR</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2A1FC0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B4FD1F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0360C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48C5CA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DE8EAF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CBE3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96079 - TEE SANITARIA LISA DE PVC Diám.=2"(ASTM D2665) JUNTA CEMENTADA PARED GRUESA PARA DWV(Drain-Waste-Vent) DRENAJE-DESECHOS-VENTILACIÓN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A7AEE1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90DEB6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60DE8C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EA8D4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FB8ABF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A586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96809 - CODO LISO SANITARIO DE PVC Diám.=2", 90°  (ASTM D2665) PARA DWV(Drain-Waste-Vent) DRENAJE-DESECHOS-VENTILACIÓN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56E1F05"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CA8ADC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E1E7BA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27AE53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53D11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966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97014 - TEE REDUCTORA LISA DE PVC DE 2" a ½" (SCH 40) (ASTM D2466) JUNTA CEMENTADA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FDC011B"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62333F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F8D45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9A95CA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841E28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99DE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49906 - POZOS DE ABSORCIÓN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57B5707"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7C64C2E"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D657A18"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09CE72"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3EC71DC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D0D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05064 - POZO DE ABSORCIÓN SIN REVESTIR DE 1.00mx1.00m, Prof.=1.00m CON RELLENO DE PIEDRA BOLÓN(CONS.COMPRA DE PIEDRA )(INCL. CODO LISO SANIATRIO y EXC.)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E29E4E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83F30E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135.00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B4511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3BB2D5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C71FF19"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7CF07FA"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Componente 3: Atención Social de Comunidad Organizada</w:t>
            </w:r>
          </w:p>
        </w:tc>
      </w:tr>
      <w:tr w:rsidR="00367191" w:rsidRPr="00367191" w14:paraId="6A966FD9" w14:textId="77777777" w:rsidTr="00367191">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C5456E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Procesos Sociales</w:t>
            </w:r>
          </w:p>
        </w:tc>
      </w:tr>
      <w:tr w:rsidR="00367191" w:rsidRPr="00367191" w14:paraId="0AE40B36"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4DBDD0"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1058 - EJECUCIÓN DEL PROYECTO</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9779035"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5868ECC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ED4CE"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02 - EJECUCIÓN DE OBRAS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786D9E6"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B621814"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D42BB10"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40F4223"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814EA6B"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0E47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60274 - Elaborar Informe de Planificación y Realización de Asamblea general comunitaria para entrega de sitio del proyecto a contratista y dar a conocer Plan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6587B7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B85A22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0AB94A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172B1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13D6A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1D38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60301 - Elaborar Cronograma de trabajo y Plan metodológico para la intervencion social en la(s) comunidad(es) - Etapa de Ejecución</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ACDB4E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INFORME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0A20100"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20D12D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A99E5D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03A59A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DB0B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60389 - Planificar y Realizar Talleres de capacitación (No. 5 y6) dirigido a beneficiarios (Módulo III:Compendio metodol:Primera parte(Contrataciones y gestió</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7100D74"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DE0F9D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ADDEA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E7817E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67533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D455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60390 - Planificar y Realizar Talleres de capacitación (No. 7 y8) dirigido a beneficiarios (Módulo III:Compendio metodol:Segunda parte(Administración de servi</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BAACC6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26FD65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77FBD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A8CFA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20C74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032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60391 - Planificar y Realizar Talleres de capacitación (No. 9 y10) dirigido a beneficiarios (Módulo IV:Compendio metodl(En correspondencia del tipo de sistema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CDDC486"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GLB</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2C9252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2.00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9A2B57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218527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A59FC2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A723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60406 - Planificar y Realizar Taller de capacitación dirigido al Comité sobre elabo del Reglamen interno del Sist.Agua potable-SAP(Incl.material,loca,refriger</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84BBBDC"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C72BCA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8BBB1A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39A1D1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111FAB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A47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60407 - Elaborar Informe de Planificación y Realización de Asamblea general comunitaria para dar a conocer el Reglamento interno del Sistema d Agua Potabl-SAP</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6058DE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E20DA2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D5E468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4C4E85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172E1E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D1A2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60423 - Elaborar y Realizar el Levantamiento de Ficha de finiquito del proyecto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C70F67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FICHA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4AB810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281CEE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8EC046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00041E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52259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60454 - Planificar y Realizar Asamblea general comunitaria para entrega de sitio y dar a conocer el Plan de Ejecución Física (Apertura de bitácora social)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D78688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F4D9FC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FF7BF1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E6A530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110FA76"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D3F9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60455 - Realizar reunión de coordinación con actores claves del proyecto en la etapa de ejecución y post obra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CAE5E4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REUNIÓN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38628C8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7B5D14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529D6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E2523D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54A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60456 - Planificar y Realizar Taller de capacitación a promotores(as) sociales comunitarios para implementación del FCSA (Incl. materiale, local y refrigerios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FE5DF7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0BBA3B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9846D2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85BA06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441FAF1"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E127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60457 - Elaborar informe de la Promoción y aseguramiento del cumplimiento de los aportes comunitarios del fondo social comunitario (FSC) cuota No.3 y No.4</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F77C4E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0C907E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B407DF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42E035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659CD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44B21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60458 - Elaborar Informe de Promoción y aseguramiento del cumplimiento de los aportes comunitarios del fondo social comunitario (FSC) cuota No.5 y No.6</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070DB3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496DC66"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A91DB7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89E5D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279037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E10A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60459 - Elaborar Informe de Promoción y aseguramiento del cumplimiento de los aportes comunitarios para la compra de medidor</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71109B7"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3AE9CC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CC15C5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0FFDAC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C24267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60F9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60460 - Elaborar informe de metodología FCSA -Primera visita casa a casa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D120D1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88E273E"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0844C3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E6CB9E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F4E726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547E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60461 - Elaborar informe de metodología FCSA -Segunda visita casa a casa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4042F1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F90C00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F23D1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C36044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3B00B00"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7C1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60462 - Elaborar informe de metodología FCSA -Tercera visita casa a casa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60884B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FD88B8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16E214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8FF42B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0F520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2DD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60463 - Elaborar informe de metodología FCSA -Cuarta visita casa a casa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A1D798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7CB01AF"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20C7C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41BAED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63D899F"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BEF4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60464 - Planificar y Realizar Asamblea general comunitaria para presentación y aprobación del Reglamento Interno del sistema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5A74AD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DEFD27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746A9C7C"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39023F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EA01DF7"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553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60465 - Planificar y Realizar Asamblea general comunitaria para dar a conocer Plan de Operaci y Manteni del Sist.y firma de acta de recepción final del proyec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FE0261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52115D2"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14EE33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A70A61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7E33B8"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A63B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60471 - Elaborar Informe de Planificación y Realización de Taller de capacitación del Módulo III(Taller No. 5,6,7 y 8): Compendio Metodológico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6C085A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2D327A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9A564C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16D1D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D9381A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326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60472 - Elaborar Informe de Planificación y Realización de Taller de capacitación (Talleres No.9 y 10) del Módulo IV: Compendio Metodológico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F3DFA6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7BB39C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4A529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F410CC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7BAEF5A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11A2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60473 - Elaborar Informe de Planifica y Realizac de Asamblea General comunit para dar a conocer Plan de Opera y Manteni del Sist.y firma de acta de recep fina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CB58FE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C5E782B"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F34EE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CC1A3A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FD449AC"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141C2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60477 - Elaborar Informe de Planificación y Realización de Taller de capacitación dirigido a promotores(as) sociales comunitarios para implementación del FCSA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8880B0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1B309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C23A15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DF15E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52E11663" w14:textId="77777777" w:rsidTr="00367191">
        <w:trPr>
          <w:trHeight w:val="900"/>
        </w:trPr>
        <w:tc>
          <w:tcPr>
            <w:tcW w:w="418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1B2A91"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1059 - POST- OBRA</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33CE9C7"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r w:rsidR="00367191" w:rsidRPr="00367191" w14:paraId="17BF61C2"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4BC6B"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xml:space="preserve">  01 - POST- OBRA  Y SOSTENIBILIDAD</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C5D274B" w14:textId="77777777" w:rsidR="00367191" w:rsidRPr="00367191" w:rsidRDefault="00367191" w:rsidP="00367191">
            <w:pPr>
              <w:jc w:val="center"/>
              <w:rPr>
                <w:rFonts w:ascii="Arial" w:hAnsi="Arial" w:cs="Arial"/>
                <w:b/>
                <w:bCs/>
                <w:i/>
                <w:iCs/>
                <w:sz w:val="20"/>
                <w:lang w:val="es-MX" w:eastAsia="es-MX"/>
              </w:rPr>
            </w:pPr>
            <w:r w:rsidRPr="00367191">
              <w:rPr>
                <w:rFonts w:ascii="Arial" w:hAnsi="Arial" w:cs="Arial"/>
                <w:b/>
                <w:bCs/>
                <w:i/>
                <w:iCs/>
                <w:sz w:val="20"/>
                <w:lang w:val="es-MX" w:eastAsia="es-MX"/>
              </w:rPr>
              <w:t>GLB</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CB93A97" w14:textId="77777777" w:rsidR="00367191" w:rsidRPr="00367191" w:rsidRDefault="00367191" w:rsidP="00367191">
            <w:pPr>
              <w:jc w:val="right"/>
              <w:rPr>
                <w:rFonts w:ascii="Arial" w:hAnsi="Arial" w:cs="Arial"/>
                <w:b/>
                <w:bCs/>
                <w:i/>
                <w:iCs/>
                <w:sz w:val="20"/>
                <w:lang w:val="es-MX" w:eastAsia="es-MX"/>
              </w:rPr>
            </w:pPr>
            <w:r w:rsidRPr="00367191">
              <w:rPr>
                <w:rFonts w:ascii="Arial" w:hAnsi="Arial" w:cs="Arial"/>
                <w:b/>
                <w:bCs/>
                <w:i/>
                <w:iCs/>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909A499"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1FC5116" w14:textId="77777777" w:rsidR="00367191" w:rsidRPr="00367191" w:rsidRDefault="00367191" w:rsidP="00367191">
            <w:pPr>
              <w:jc w:val="left"/>
              <w:rPr>
                <w:rFonts w:ascii="Arial" w:hAnsi="Arial" w:cs="Arial"/>
                <w:b/>
                <w:bCs/>
                <w:i/>
                <w:iCs/>
                <w:sz w:val="20"/>
                <w:lang w:val="es-MX" w:eastAsia="es-MX"/>
              </w:rPr>
            </w:pPr>
            <w:r w:rsidRPr="00367191">
              <w:rPr>
                <w:rFonts w:ascii="Arial" w:hAnsi="Arial" w:cs="Arial"/>
                <w:b/>
                <w:bCs/>
                <w:i/>
                <w:iCs/>
                <w:sz w:val="20"/>
                <w:lang w:val="es-MX" w:eastAsia="es-MX"/>
              </w:rPr>
              <w:t> </w:t>
            </w:r>
          </w:p>
        </w:tc>
      </w:tr>
      <w:tr w:rsidR="00367191" w:rsidRPr="00367191" w14:paraId="2DAD33C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5FBC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60290 - Elaborar Informe final de la consultoria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A6828B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8EF4CF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5F67D6F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DAF005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3A363D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7D37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60291 - Elaborar Informe de Planificación y Realización de Asamblea general comunitaria de cierre y evaluacion final</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967B62D"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AC49631"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2C2B85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326695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E1FD1E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398B3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lastRenderedPageBreak/>
              <w:t xml:space="preserve">    60392 - Planificar y Realizar Taller de capacitación dirigido al Comité para reforzamiento sobre la Ley No.722 y el Reglamento(Incl. Material,Local y refriger</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09E969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0F04285A"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D8CC429"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C4E2CF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44E379E"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554E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60395 - Planificar y Realizar Taller de capacitación dirigido al Comité para Cálculo de tarifa para pago de agua (Incl. Tema de lectura de medidores)</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E56F9A9"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9B496C4"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2008DD4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0F1CF0CA"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28320E0D"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8981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60466 - Elaborar informe de metodología FCSA -Quinta visita casa a casa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6FB08A11"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2AD9FD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39D9EA1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7F5B51D"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10934684"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1CD9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60467 - Elaborar informe de metodología FCSA -Sexta visita casa a casa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448A433"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1CFEE8D"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0FF6FA3"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426AA6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5C1515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4FD0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60468 - Elaborar informe final de resultados en la implementación de FCSA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36D10C0"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A286998"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B67CF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89E8E2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4D2B937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9DC75"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60469 - Planificar y Realizar Taller de capacitación para la Operación y Mantenimiento del Sistema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466B3F48"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B6791A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F4AE3F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27178A91"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3A07D2D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4742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60470 - Planificar y Realizar Asamblea general comunitaria para la presentación del informe final del componente social del proyec</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AA8B9AF"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ASAMBLEA</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15E84D49"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0BE9B3C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1FA28CFF"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C658B55"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0C23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60474 - Elaborar Informe de Realización de Taller de capacitación dirigido al Comité para reforzamiento sobre la Ley No. 722 y el Reglamento</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E97D40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1AF04A3"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1251BC1B"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64AA17F2"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057C5803"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F35B7"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60475 - Elaborar Informe de Planifica y Realizac de Taller de capacit dirigido al Comité para Cálculo de tarifa para pago de agua(Incl.Tema de lectu d medidor</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0CDC6E72"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F85D165"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BBF028E"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D1ECF4"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2B1E05A" w14:textId="77777777" w:rsidTr="00367191">
        <w:trPr>
          <w:trHeight w:val="90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918E0"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xml:space="preserve">    60476 - Elaborar Informe de Planificación y Realización de Taller de capacitación para la Operación y Mantenimiento del Sistema</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254BFC2E" w14:textId="77777777" w:rsidR="00367191" w:rsidRPr="00367191" w:rsidRDefault="00367191" w:rsidP="00367191">
            <w:pPr>
              <w:jc w:val="center"/>
              <w:rPr>
                <w:rFonts w:ascii="Arial" w:hAnsi="Arial" w:cs="Arial"/>
                <w:sz w:val="20"/>
                <w:lang w:val="es-MX" w:eastAsia="es-MX"/>
              </w:rPr>
            </w:pPr>
            <w:r w:rsidRPr="00367191">
              <w:rPr>
                <w:rFonts w:ascii="Arial" w:hAnsi="Arial" w:cs="Arial"/>
                <w:sz w:val="20"/>
                <w:lang w:val="es-MX" w:eastAsia="es-MX"/>
              </w:rPr>
              <w:t>C/U</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6F162A07" w14:textId="77777777" w:rsidR="00367191" w:rsidRPr="00367191" w:rsidRDefault="00367191" w:rsidP="00367191">
            <w:pPr>
              <w:jc w:val="right"/>
              <w:rPr>
                <w:rFonts w:ascii="Arial" w:hAnsi="Arial" w:cs="Arial"/>
                <w:sz w:val="20"/>
                <w:lang w:val="es-MX" w:eastAsia="es-MX"/>
              </w:rPr>
            </w:pPr>
            <w:r w:rsidRPr="00367191">
              <w:rPr>
                <w:rFonts w:ascii="Arial" w:hAnsi="Arial" w:cs="Arial"/>
                <w:sz w:val="20"/>
                <w:lang w:val="es-MX" w:eastAsia="es-MX"/>
              </w:rPr>
              <w:t>1.00</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40574D06"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032AA08" w14:textId="77777777" w:rsidR="00367191" w:rsidRPr="00367191" w:rsidRDefault="00367191" w:rsidP="00367191">
            <w:pPr>
              <w:jc w:val="left"/>
              <w:rPr>
                <w:rFonts w:ascii="Arial" w:hAnsi="Arial" w:cs="Arial"/>
                <w:sz w:val="20"/>
                <w:lang w:val="es-MX" w:eastAsia="es-MX"/>
              </w:rPr>
            </w:pPr>
            <w:r w:rsidRPr="00367191">
              <w:rPr>
                <w:rFonts w:ascii="Arial" w:hAnsi="Arial" w:cs="Arial"/>
                <w:sz w:val="20"/>
                <w:lang w:val="es-MX" w:eastAsia="es-MX"/>
              </w:rPr>
              <w:t> </w:t>
            </w:r>
          </w:p>
        </w:tc>
      </w:tr>
      <w:tr w:rsidR="00367191" w:rsidRPr="00367191" w14:paraId="6C32F0C2" w14:textId="77777777" w:rsidTr="00367191">
        <w:trPr>
          <w:trHeight w:val="300"/>
        </w:trPr>
        <w:tc>
          <w:tcPr>
            <w:tcW w:w="4187" w:type="pct"/>
            <w:gridSpan w:val="4"/>
            <w:tcBorders>
              <w:top w:val="single" w:sz="4" w:space="0" w:color="auto"/>
              <w:left w:val="single" w:sz="4" w:space="0" w:color="auto"/>
              <w:bottom w:val="single" w:sz="4" w:space="0" w:color="auto"/>
              <w:right w:val="single" w:sz="4" w:space="0" w:color="auto"/>
            </w:tcBorders>
            <w:shd w:val="clear" w:color="000000" w:fill="FFFF99"/>
            <w:vAlign w:val="center"/>
            <w:hideMark/>
          </w:tcPr>
          <w:p w14:paraId="5CF8C8D1" w14:textId="77777777" w:rsidR="00367191" w:rsidRPr="00367191" w:rsidRDefault="00367191" w:rsidP="00367191">
            <w:pPr>
              <w:jc w:val="right"/>
              <w:rPr>
                <w:rFonts w:ascii="Arial" w:hAnsi="Arial" w:cs="Arial"/>
                <w:b/>
                <w:bCs/>
                <w:sz w:val="20"/>
                <w:lang w:val="es-MX" w:eastAsia="es-MX"/>
              </w:rPr>
            </w:pPr>
            <w:r w:rsidRPr="00367191">
              <w:rPr>
                <w:rFonts w:ascii="Arial" w:hAnsi="Arial" w:cs="Arial"/>
                <w:b/>
                <w:bCs/>
                <w:sz w:val="20"/>
                <w:lang w:val="es-MX" w:eastAsia="es-MX"/>
              </w:rPr>
              <w:t>Total:</w:t>
            </w:r>
          </w:p>
        </w:tc>
        <w:tc>
          <w:tcPr>
            <w:tcW w:w="813" w:type="pct"/>
            <w:tcBorders>
              <w:top w:val="single" w:sz="4" w:space="0" w:color="auto"/>
              <w:left w:val="nil"/>
              <w:bottom w:val="single" w:sz="4" w:space="0" w:color="auto"/>
              <w:right w:val="single" w:sz="4" w:space="0" w:color="auto"/>
            </w:tcBorders>
            <w:shd w:val="clear" w:color="000000" w:fill="FFFF99"/>
            <w:vAlign w:val="center"/>
            <w:hideMark/>
          </w:tcPr>
          <w:p w14:paraId="4F3CD7E3" w14:textId="77777777" w:rsidR="00367191" w:rsidRPr="00367191" w:rsidRDefault="00367191" w:rsidP="00367191">
            <w:pPr>
              <w:jc w:val="left"/>
              <w:rPr>
                <w:rFonts w:ascii="Arial" w:hAnsi="Arial" w:cs="Arial"/>
                <w:b/>
                <w:bCs/>
                <w:sz w:val="20"/>
                <w:lang w:val="es-MX" w:eastAsia="es-MX"/>
              </w:rPr>
            </w:pPr>
            <w:r w:rsidRPr="00367191">
              <w:rPr>
                <w:rFonts w:ascii="Arial" w:hAnsi="Arial" w:cs="Arial"/>
                <w:b/>
                <w:bCs/>
                <w:sz w:val="20"/>
                <w:lang w:val="es-MX" w:eastAsia="es-MX"/>
              </w:rPr>
              <w:t> </w:t>
            </w:r>
          </w:p>
        </w:tc>
      </w:tr>
    </w:tbl>
    <w:p w14:paraId="794B45BF" w14:textId="77777777" w:rsidR="008756A9" w:rsidRDefault="008756A9" w:rsidP="00C2353B">
      <w:pPr>
        <w:pStyle w:val="INDGEN1"/>
      </w:pPr>
    </w:p>
    <w:p w14:paraId="57BFB994" w14:textId="77777777" w:rsidR="008756A9" w:rsidRDefault="008756A9" w:rsidP="00C2353B">
      <w:pPr>
        <w:pStyle w:val="INDGEN1"/>
      </w:pPr>
    </w:p>
    <w:p w14:paraId="713F5315" w14:textId="77777777" w:rsidR="00025C59" w:rsidRDefault="00025C59">
      <w:pPr>
        <w:jc w:val="left"/>
        <w:rPr>
          <w:rFonts w:ascii="Arial" w:hAnsi="Arial" w:cs="Arial"/>
          <w:b/>
          <w:sz w:val="28"/>
          <w:szCs w:val="28"/>
          <w:lang w:val="es-ES"/>
        </w:rPr>
      </w:pPr>
      <w:r>
        <w:br w:type="page"/>
      </w:r>
    </w:p>
    <w:p w14:paraId="2563312F" w14:textId="77777777" w:rsidR="008756A9" w:rsidRDefault="008756A9" w:rsidP="00C2353B">
      <w:pPr>
        <w:pStyle w:val="INDGEN1"/>
      </w:pPr>
    </w:p>
    <w:p w14:paraId="6962A8EB" w14:textId="77777777" w:rsidR="008756A9" w:rsidRDefault="008756A9" w:rsidP="00C2353B">
      <w:pPr>
        <w:pStyle w:val="INDGEN1"/>
      </w:pPr>
    </w:p>
    <w:p w14:paraId="08F73F34" w14:textId="77777777" w:rsidR="00D656B3" w:rsidRPr="00C807F2" w:rsidRDefault="00D656B3" w:rsidP="00C2353B">
      <w:pPr>
        <w:pStyle w:val="INDGEN1"/>
      </w:pPr>
      <w:r w:rsidRPr="00C807F2">
        <w:t>TERCERA PARTE: CONDICIONES CONTRACTUALES</w:t>
      </w:r>
      <w:bookmarkEnd w:id="1821"/>
      <w:bookmarkEnd w:id="1822"/>
      <w:bookmarkEnd w:id="1823"/>
      <w:bookmarkEnd w:id="1824"/>
    </w:p>
    <w:p w14:paraId="10405CB9" w14:textId="77777777" w:rsidR="00D656B3" w:rsidRDefault="00D656B3" w:rsidP="000C6174">
      <w:pPr>
        <w:pStyle w:val="Subttulo"/>
        <w:outlineLvl w:val="3"/>
        <w:rPr>
          <w:rFonts w:asciiTheme="minorHAnsi" w:hAnsiTheme="minorHAnsi" w:cstheme="minorHAnsi"/>
          <w:sz w:val="24"/>
          <w:lang w:val="es-ES"/>
        </w:rPr>
      </w:pPr>
    </w:p>
    <w:p w14:paraId="1031ECD7" w14:textId="77777777" w:rsidR="00F60BA6" w:rsidRDefault="00F60BA6" w:rsidP="000C6174">
      <w:pPr>
        <w:pStyle w:val="Subttulo"/>
        <w:outlineLvl w:val="3"/>
        <w:rPr>
          <w:rFonts w:asciiTheme="minorHAnsi" w:hAnsiTheme="minorHAnsi" w:cstheme="minorHAnsi"/>
          <w:sz w:val="24"/>
          <w:lang w:val="es-ES"/>
        </w:rPr>
      </w:pPr>
    </w:p>
    <w:p w14:paraId="6657C075" w14:textId="77777777" w:rsidR="00F60BA6" w:rsidRDefault="00F60BA6" w:rsidP="000C6174">
      <w:pPr>
        <w:pStyle w:val="Subttulo"/>
        <w:outlineLvl w:val="3"/>
        <w:rPr>
          <w:rFonts w:asciiTheme="minorHAnsi" w:hAnsiTheme="minorHAnsi" w:cstheme="minorHAnsi"/>
          <w:sz w:val="24"/>
          <w:lang w:val="es-ES"/>
        </w:rPr>
      </w:pPr>
    </w:p>
    <w:p w14:paraId="4F7F25DD" w14:textId="77777777" w:rsidR="00F60BA6" w:rsidRDefault="00F60BA6" w:rsidP="000C6174">
      <w:pPr>
        <w:pStyle w:val="Subttulo"/>
        <w:outlineLvl w:val="3"/>
        <w:rPr>
          <w:rFonts w:asciiTheme="minorHAnsi" w:hAnsiTheme="minorHAnsi" w:cstheme="minorHAnsi"/>
          <w:sz w:val="24"/>
          <w:lang w:val="es-ES"/>
        </w:rPr>
      </w:pPr>
    </w:p>
    <w:p w14:paraId="5BDC7590" w14:textId="77777777" w:rsidR="00F60BA6" w:rsidRDefault="00F60BA6" w:rsidP="000C6174">
      <w:pPr>
        <w:pStyle w:val="Subttulo"/>
        <w:outlineLvl w:val="3"/>
        <w:rPr>
          <w:rFonts w:asciiTheme="minorHAnsi" w:hAnsiTheme="minorHAnsi" w:cstheme="minorHAnsi"/>
          <w:sz w:val="24"/>
          <w:lang w:val="es-ES"/>
        </w:rPr>
      </w:pPr>
    </w:p>
    <w:p w14:paraId="3396ECD4" w14:textId="77777777" w:rsidR="00F60BA6" w:rsidRDefault="00F60BA6" w:rsidP="000C6174">
      <w:pPr>
        <w:pStyle w:val="Subttulo"/>
        <w:outlineLvl w:val="3"/>
        <w:rPr>
          <w:rFonts w:asciiTheme="minorHAnsi" w:hAnsiTheme="minorHAnsi" w:cstheme="minorHAnsi"/>
          <w:sz w:val="24"/>
          <w:lang w:val="es-ES"/>
        </w:rPr>
      </w:pPr>
    </w:p>
    <w:p w14:paraId="400860D9" w14:textId="77777777" w:rsidR="00F60BA6" w:rsidRDefault="00F60BA6" w:rsidP="000C6174">
      <w:pPr>
        <w:pStyle w:val="Subttulo"/>
        <w:outlineLvl w:val="3"/>
        <w:rPr>
          <w:rFonts w:asciiTheme="minorHAnsi" w:hAnsiTheme="minorHAnsi" w:cstheme="minorHAnsi"/>
          <w:sz w:val="24"/>
          <w:lang w:val="es-ES"/>
        </w:rPr>
      </w:pPr>
    </w:p>
    <w:p w14:paraId="1C784AE3" w14:textId="77777777" w:rsidR="00F60BA6" w:rsidRDefault="00F60BA6" w:rsidP="000C6174">
      <w:pPr>
        <w:pStyle w:val="Subttulo"/>
        <w:outlineLvl w:val="3"/>
        <w:rPr>
          <w:rFonts w:asciiTheme="minorHAnsi" w:hAnsiTheme="minorHAnsi" w:cstheme="minorHAnsi"/>
          <w:sz w:val="24"/>
          <w:lang w:val="es-ES"/>
        </w:rPr>
      </w:pPr>
    </w:p>
    <w:p w14:paraId="4DDDA913" w14:textId="77777777" w:rsidR="00F60BA6" w:rsidRDefault="00F60BA6" w:rsidP="000C6174">
      <w:pPr>
        <w:pStyle w:val="Subttulo"/>
        <w:outlineLvl w:val="3"/>
        <w:rPr>
          <w:rFonts w:asciiTheme="minorHAnsi" w:hAnsiTheme="minorHAnsi" w:cstheme="minorHAnsi"/>
          <w:sz w:val="24"/>
          <w:lang w:val="es-ES"/>
        </w:rPr>
      </w:pPr>
    </w:p>
    <w:p w14:paraId="4BAC2A19" w14:textId="77777777" w:rsidR="00F60BA6" w:rsidRDefault="00F60BA6" w:rsidP="000C6174">
      <w:pPr>
        <w:pStyle w:val="Subttulo"/>
        <w:outlineLvl w:val="3"/>
        <w:rPr>
          <w:rFonts w:asciiTheme="minorHAnsi" w:hAnsiTheme="minorHAnsi" w:cstheme="minorHAnsi"/>
          <w:sz w:val="24"/>
          <w:lang w:val="es-ES"/>
        </w:rPr>
      </w:pPr>
    </w:p>
    <w:p w14:paraId="26D7E603" w14:textId="77777777" w:rsidR="00F60BA6" w:rsidRDefault="00F60BA6" w:rsidP="000C6174">
      <w:pPr>
        <w:pStyle w:val="Subttulo"/>
        <w:outlineLvl w:val="3"/>
        <w:rPr>
          <w:rFonts w:asciiTheme="minorHAnsi" w:hAnsiTheme="minorHAnsi" w:cstheme="minorHAnsi"/>
          <w:sz w:val="24"/>
          <w:lang w:val="es-ES"/>
        </w:rPr>
      </w:pPr>
    </w:p>
    <w:p w14:paraId="439FCE44" w14:textId="77777777" w:rsidR="00F60BA6" w:rsidRDefault="00F60BA6" w:rsidP="000C6174">
      <w:pPr>
        <w:pStyle w:val="Subttulo"/>
        <w:outlineLvl w:val="3"/>
        <w:rPr>
          <w:rFonts w:asciiTheme="minorHAnsi" w:hAnsiTheme="minorHAnsi" w:cstheme="minorHAnsi"/>
          <w:sz w:val="24"/>
          <w:lang w:val="es-ES"/>
        </w:rPr>
      </w:pPr>
    </w:p>
    <w:p w14:paraId="64B8E3FD" w14:textId="77777777" w:rsidR="00F60BA6" w:rsidRDefault="00F60BA6" w:rsidP="000C6174">
      <w:pPr>
        <w:pStyle w:val="Subttulo"/>
        <w:outlineLvl w:val="3"/>
        <w:rPr>
          <w:rFonts w:asciiTheme="minorHAnsi" w:hAnsiTheme="minorHAnsi" w:cstheme="minorHAnsi"/>
          <w:sz w:val="24"/>
          <w:lang w:val="es-ES"/>
        </w:rPr>
      </w:pPr>
    </w:p>
    <w:p w14:paraId="240F4039" w14:textId="77777777" w:rsidR="00F60BA6" w:rsidRDefault="00F60BA6" w:rsidP="000C6174">
      <w:pPr>
        <w:pStyle w:val="Subttulo"/>
        <w:outlineLvl w:val="3"/>
        <w:rPr>
          <w:rFonts w:asciiTheme="minorHAnsi" w:hAnsiTheme="minorHAnsi" w:cstheme="minorHAnsi"/>
          <w:sz w:val="24"/>
          <w:lang w:val="es-ES"/>
        </w:rPr>
      </w:pPr>
    </w:p>
    <w:p w14:paraId="781F7FFA" w14:textId="77777777" w:rsidR="00F60BA6" w:rsidRDefault="00F60BA6" w:rsidP="000C6174">
      <w:pPr>
        <w:pStyle w:val="Subttulo"/>
        <w:outlineLvl w:val="3"/>
        <w:rPr>
          <w:rFonts w:asciiTheme="minorHAnsi" w:hAnsiTheme="minorHAnsi" w:cstheme="minorHAnsi"/>
          <w:sz w:val="24"/>
          <w:lang w:val="es-ES"/>
        </w:rPr>
      </w:pPr>
    </w:p>
    <w:p w14:paraId="6B7D9FA4" w14:textId="77777777" w:rsidR="00F60BA6" w:rsidRDefault="00F60BA6" w:rsidP="000C6174">
      <w:pPr>
        <w:pStyle w:val="Subttulo"/>
        <w:outlineLvl w:val="3"/>
        <w:rPr>
          <w:rFonts w:asciiTheme="minorHAnsi" w:hAnsiTheme="minorHAnsi" w:cstheme="minorHAnsi"/>
          <w:sz w:val="24"/>
          <w:lang w:val="es-ES"/>
        </w:rPr>
      </w:pPr>
    </w:p>
    <w:p w14:paraId="4D62404D" w14:textId="77777777" w:rsidR="00F60BA6" w:rsidRDefault="00F60BA6" w:rsidP="000C6174">
      <w:pPr>
        <w:pStyle w:val="Subttulo"/>
        <w:outlineLvl w:val="3"/>
        <w:rPr>
          <w:rFonts w:asciiTheme="minorHAnsi" w:hAnsiTheme="minorHAnsi" w:cstheme="minorHAnsi"/>
          <w:sz w:val="24"/>
          <w:lang w:val="es-ES"/>
        </w:rPr>
      </w:pPr>
    </w:p>
    <w:p w14:paraId="4D49AF33" w14:textId="77777777" w:rsidR="00F60BA6" w:rsidRDefault="00F60BA6" w:rsidP="000C6174">
      <w:pPr>
        <w:pStyle w:val="Subttulo"/>
        <w:outlineLvl w:val="3"/>
        <w:rPr>
          <w:rFonts w:asciiTheme="minorHAnsi" w:hAnsiTheme="minorHAnsi" w:cstheme="minorHAnsi"/>
          <w:sz w:val="24"/>
          <w:lang w:val="es-ES"/>
        </w:rPr>
      </w:pPr>
    </w:p>
    <w:p w14:paraId="1ED32094" w14:textId="77777777" w:rsidR="00F60BA6" w:rsidRDefault="00F60BA6" w:rsidP="000C6174">
      <w:pPr>
        <w:pStyle w:val="Subttulo"/>
        <w:outlineLvl w:val="3"/>
        <w:rPr>
          <w:rFonts w:asciiTheme="minorHAnsi" w:hAnsiTheme="minorHAnsi" w:cstheme="minorHAnsi"/>
          <w:sz w:val="24"/>
          <w:lang w:val="es-ES"/>
        </w:rPr>
      </w:pPr>
    </w:p>
    <w:p w14:paraId="24959A92" w14:textId="77777777" w:rsidR="00F60BA6" w:rsidRDefault="00F60BA6" w:rsidP="000C6174">
      <w:pPr>
        <w:pStyle w:val="Subttulo"/>
        <w:outlineLvl w:val="3"/>
        <w:rPr>
          <w:rFonts w:asciiTheme="minorHAnsi" w:hAnsiTheme="minorHAnsi" w:cstheme="minorHAnsi"/>
          <w:sz w:val="24"/>
          <w:lang w:val="es-ES"/>
        </w:rPr>
      </w:pPr>
    </w:p>
    <w:p w14:paraId="1A578D7C" w14:textId="77777777" w:rsidR="00F60BA6" w:rsidRDefault="00F60BA6" w:rsidP="000C6174">
      <w:pPr>
        <w:pStyle w:val="Subttulo"/>
        <w:outlineLvl w:val="3"/>
        <w:rPr>
          <w:rFonts w:asciiTheme="minorHAnsi" w:hAnsiTheme="minorHAnsi" w:cstheme="minorHAnsi"/>
          <w:sz w:val="24"/>
          <w:lang w:val="es-ES"/>
        </w:rPr>
      </w:pPr>
    </w:p>
    <w:p w14:paraId="2BDB9B99" w14:textId="77777777" w:rsidR="00F60BA6" w:rsidRDefault="00F60BA6" w:rsidP="000C6174">
      <w:pPr>
        <w:pStyle w:val="Subttulo"/>
        <w:outlineLvl w:val="3"/>
        <w:rPr>
          <w:rFonts w:asciiTheme="minorHAnsi" w:hAnsiTheme="minorHAnsi" w:cstheme="minorHAnsi"/>
          <w:sz w:val="24"/>
          <w:lang w:val="es-ES"/>
        </w:rPr>
      </w:pPr>
    </w:p>
    <w:p w14:paraId="22ED1659" w14:textId="77777777" w:rsidR="00F60BA6" w:rsidRDefault="00F60BA6" w:rsidP="000C6174">
      <w:pPr>
        <w:pStyle w:val="Subttulo"/>
        <w:outlineLvl w:val="3"/>
        <w:rPr>
          <w:rFonts w:asciiTheme="minorHAnsi" w:hAnsiTheme="minorHAnsi" w:cstheme="minorHAnsi"/>
          <w:sz w:val="24"/>
          <w:lang w:val="es-ES"/>
        </w:rPr>
      </w:pPr>
    </w:p>
    <w:p w14:paraId="7C7F1F08" w14:textId="77777777" w:rsidR="00F60BA6" w:rsidRDefault="00F60BA6" w:rsidP="000C6174">
      <w:pPr>
        <w:pStyle w:val="Subttulo"/>
        <w:outlineLvl w:val="3"/>
        <w:rPr>
          <w:rFonts w:asciiTheme="minorHAnsi" w:hAnsiTheme="minorHAnsi" w:cstheme="minorHAnsi"/>
          <w:sz w:val="24"/>
          <w:lang w:val="es-ES"/>
        </w:rPr>
      </w:pPr>
    </w:p>
    <w:p w14:paraId="33D679C8" w14:textId="77777777" w:rsidR="00F60BA6" w:rsidRDefault="00F60BA6" w:rsidP="000C6174">
      <w:pPr>
        <w:pStyle w:val="Subttulo"/>
        <w:outlineLvl w:val="3"/>
        <w:rPr>
          <w:rFonts w:asciiTheme="minorHAnsi" w:hAnsiTheme="minorHAnsi" w:cstheme="minorHAnsi"/>
          <w:sz w:val="24"/>
          <w:lang w:val="es-ES"/>
        </w:rPr>
      </w:pPr>
    </w:p>
    <w:p w14:paraId="460ABB82" w14:textId="77777777" w:rsidR="00F60BA6" w:rsidRDefault="00F60BA6" w:rsidP="000C6174">
      <w:pPr>
        <w:pStyle w:val="Subttulo"/>
        <w:outlineLvl w:val="3"/>
        <w:rPr>
          <w:rFonts w:asciiTheme="minorHAnsi" w:hAnsiTheme="minorHAnsi" w:cstheme="minorHAnsi"/>
          <w:sz w:val="24"/>
          <w:lang w:val="es-ES"/>
        </w:rPr>
      </w:pPr>
    </w:p>
    <w:p w14:paraId="24C83981" w14:textId="77777777" w:rsidR="00F60BA6" w:rsidRDefault="00F60BA6" w:rsidP="000C6174">
      <w:pPr>
        <w:pStyle w:val="Subttulo"/>
        <w:outlineLvl w:val="3"/>
        <w:rPr>
          <w:rFonts w:asciiTheme="minorHAnsi" w:hAnsiTheme="minorHAnsi" w:cstheme="minorHAnsi"/>
          <w:sz w:val="24"/>
          <w:lang w:val="es-ES"/>
        </w:rPr>
      </w:pPr>
    </w:p>
    <w:p w14:paraId="3052C415" w14:textId="77777777" w:rsidR="00F60BA6" w:rsidRDefault="00F60BA6" w:rsidP="000C6174">
      <w:pPr>
        <w:pStyle w:val="Subttulo"/>
        <w:outlineLvl w:val="3"/>
        <w:rPr>
          <w:rFonts w:asciiTheme="minorHAnsi" w:hAnsiTheme="minorHAnsi" w:cstheme="minorHAnsi"/>
          <w:sz w:val="24"/>
          <w:lang w:val="es-ES"/>
        </w:rPr>
      </w:pPr>
    </w:p>
    <w:p w14:paraId="723938A3" w14:textId="77777777" w:rsidR="00F60BA6" w:rsidRDefault="00F60BA6" w:rsidP="000C6174">
      <w:pPr>
        <w:pStyle w:val="Subttulo"/>
        <w:outlineLvl w:val="3"/>
        <w:rPr>
          <w:rFonts w:asciiTheme="minorHAnsi" w:hAnsiTheme="minorHAnsi" w:cstheme="minorHAnsi"/>
          <w:sz w:val="24"/>
          <w:lang w:val="es-ES"/>
        </w:rPr>
      </w:pPr>
    </w:p>
    <w:p w14:paraId="183EAB58" w14:textId="77777777" w:rsidR="00F60BA6" w:rsidRDefault="00F60BA6" w:rsidP="000C6174">
      <w:pPr>
        <w:pStyle w:val="Subttulo"/>
        <w:outlineLvl w:val="3"/>
        <w:rPr>
          <w:rFonts w:asciiTheme="minorHAnsi" w:hAnsiTheme="minorHAnsi" w:cstheme="minorHAnsi"/>
          <w:sz w:val="24"/>
          <w:lang w:val="es-ES"/>
        </w:rPr>
      </w:pPr>
    </w:p>
    <w:p w14:paraId="374018A0" w14:textId="77777777" w:rsidR="00F60BA6" w:rsidRDefault="00F60BA6" w:rsidP="000C6174">
      <w:pPr>
        <w:pStyle w:val="Subttulo"/>
        <w:outlineLvl w:val="3"/>
        <w:rPr>
          <w:rFonts w:asciiTheme="minorHAnsi" w:hAnsiTheme="minorHAnsi" w:cstheme="minorHAnsi"/>
          <w:sz w:val="24"/>
          <w:lang w:val="es-ES"/>
        </w:rPr>
      </w:pPr>
    </w:p>
    <w:p w14:paraId="30FD7ACF" w14:textId="77777777" w:rsidR="00F60BA6" w:rsidRDefault="00F60BA6" w:rsidP="000C6174">
      <w:pPr>
        <w:pStyle w:val="Subttulo"/>
        <w:outlineLvl w:val="3"/>
        <w:rPr>
          <w:rFonts w:asciiTheme="minorHAnsi" w:hAnsiTheme="minorHAnsi" w:cstheme="minorHAnsi"/>
          <w:sz w:val="24"/>
          <w:lang w:val="es-ES"/>
        </w:rPr>
      </w:pPr>
    </w:p>
    <w:p w14:paraId="075D1206" w14:textId="77777777" w:rsidR="00F60BA6" w:rsidRDefault="00F60BA6" w:rsidP="000C6174">
      <w:pPr>
        <w:pStyle w:val="Subttulo"/>
        <w:outlineLvl w:val="3"/>
        <w:rPr>
          <w:rFonts w:asciiTheme="minorHAnsi" w:hAnsiTheme="minorHAnsi" w:cstheme="minorHAnsi"/>
          <w:sz w:val="24"/>
          <w:lang w:val="es-ES"/>
        </w:rPr>
      </w:pPr>
    </w:p>
    <w:p w14:paraId="188913D9" w14:textId="77777777" w:rsidR="00F60BA6" w:rsidRDefault="00F60BA6" w:rsidP="000C6174">
      <w:pPr>
        <w:pStyle w:val="Subttulo"/>
        <w:outlineLvl w:val="3"/>
        <w:rPr>
          <w:rFonts w:asciiTheme="minorHAnsi" w:hAnsiTheme="minorHAnsi" w:cstheme="minorHAnsi"/>
          <w:sz w:val="24"/>
          <w:lang w:val="es-ES"/>
        </w:rPr>
      </w:pPr>
    </w:p>
    <w:p w14:paraId="5DCB30FD" w14:textId="77777777" w:rsidR="00F60BA6" w:rsidRDefault="00F60BA6" w:rsidP="000C6174">
      <w:pPr>
        <w:pStyle w:val="Subttulo"/>
        <w:outlineLvl w:val="3"/>
        <w:rPr>
          <w:rFonts w:asciiTheme="minorHAnsi" w:hAnsiTheme="minorHAnsi" w:cstheme="minorHAnsi"/>
          <w:sz w:val="24"/>
          <w:lang w:val="es-ES"/>
        </w:rPr>
      </w:pPr>
    </w:p>
    <w:p w14:paraId="57234CD9" w14:textId="77777777" w:rsidR="00F60BA6" w:rsidRDefault="00F60BA6" w:rsidP="000C6174">
      <w:pPr>
        <w:pStyle w:val="Subttulo"/>
        <w:outlineLvl w:val="3"/>
        <w:rPr>
          <w:rFonts w:asciiTheme="minorHAnsi" w:hAnsiTheme="minorHAnsi" w:cstheme="minorHAnsi"/>
          <w:sz w:val="24"/>
          <w:lang w:val="es-ES"/>
        </w:rPr>
      </w:pPr>
    </w:p>
    <w:p w14:paraId="0048131A" w14:textId="77777777" w:rsidR="00F60BA6" w:rsidRDefault="00F60BA6" w:rsidP="000C6174">
      <w:pPr>
        <w:pStyle w:val="Subttulo"/>
        <w:outlineLvl w:val="3"/>
        <w:rPr>
          <w:rFonts w:asciiTheme="minorHAnsi" w:hAnsiTheme="minorHAnsi" w:cstheme="minorHAnsi"/>
          <w:sz w:val="24"/>
          <w:lang w:val="es-ES"/>
        </w:rPr>
      </w:pPr>
    </w:p>
    <w:p w14:paraId="68117FFE" w14:textId="77777777" w:rsidR="00F60BA6" w:rsidRDefault="00F60BA6" w:rsidP="000C6174">
      <w:pPr>
        <w:pStyle w:val="Subttulo"/>
        <w:outlineLvl w:val="3"/>
        <w:rPr>
          <w:rFonts w:asciiTheme="minorHAnsi" w:hAnsiTheme="minorHAnsi" w:cstheme="minorHAnsi"/>
          <w:sz w:val="24"/>
          <w:lang w:val="es-ES"/>
        </w:rPr>
      </w:pPr>
    </w:p>
    <w:p w14:paraId="02683248" w14:textId="77777777" w:rsidR="00F7749D" w:rsidRPr="00C807F2" w:rsidRDefault="00F7749D" w:rsidP="00F7749D">
      <w:pPr>
        <w:pStyle w:val="INDGEN1"/>
      </w:pPr>
      <w:bookmarkStart w:id="1827" w:name="_Toc74930814"/>
      <w:bookmarkStart w:id="1828" w:name="_Toc74048227"/>
      <w:bookmarkStart w:id="1829" w:name="_Toc74520013"/>
      <w:r w:rsidRPr="00C807F2">
        <w:lastRenderedPageBreak/>
        <w:t>TERCERA PARTE: CONDICIONES CONTRACTUALES</w:t>
      </w:r>
      <w:bookmarkEnd w:id="1827"/>
    </w:p>
    <w:p w14:paraId="725DB172" w14:textId="77777777" w:rsidR="00F7749D" w:rsidRDefault="00F7749D" w:rsidP="00F7749D">
      <w:pPr>
        <w:pStyle w:val="INDGEN2"/>
      </w:pPr>
      <w:bookmarkStart w:id="1830" w:name="_Toc74781387"/>
      <w:bookmarkStart w:id="1831" w:name="_Toc74930815"/>
      <w:r w:rsidRPr="00F60BA6">
        <w:t xml:space="preserve">Sección VI. </w:t>
      </w:r>
      <w:bookmarkStart w:id="1832" w:name="_Toc365893482"/>
      <w:r w:rsidRPr="00F60BA6">
        <w:t>Modelo de Contrato</w:t>
      </w:r>
      <w:bookmarkEnd w:id="1830"/>
      <w:bookmarkEnd w:id="1831"/>
      <w:bookmarkEnd w:id="1832"/>
    </w:p>
    <w:p w14:paraId="0F6D5296" w14:textId="77777777" w:rsidR="00F7749D" w:rsidRPr="009D5C6A" w:rsidRDefault="00F7749D" w:rsidP="00F7749D">
      <w:pPr>
        <w:pStyle w:val="INDGEN2"/>
      </w:pPr>
      <w:r w:rsidRPr="00872DAF">
        <w:rPr>
          <w:color w:val="FF0000"/>
        </w:rPr>
        <w:t xml:space="preserve">NOTA: </w:t>
      </w:r>
      <w:r>
        <w:rPr>
          <w:color w:val="FF0000"/>
        </w:rPr>
        <w:t xml:space="preserve">la adjudicación es por Lote, </w:t>
      </w:r>
      <w:r w:rsidRPr="00872DAF">
        <w:rPr>
          <w:color w:val="FF0000"/>
        </w:rPr>
        <w:t>se firmará un contrato</w:t>
      </w:r>
      <w:r>
        <w:rPr>
          <w:color w:val="FF0000"/>
        </w:rPr>
        <w:t xml:space="preserve"> por cada lote adjudicado, incorporando el contrato lo referido cada proyecto (ver </w:t>
      </w:r>
      <w:r w:rsidRPr="009D5C6A">
        <w:rPr>
          <w:color w:val="FF0000"/>
        </w:rPr>
        <w:t>IAO 41.5)</w:t>
      </w:r>
    </w:p>
    <w:p w14:paraId="70060BBF" w14:textId="77777777" w:rsidR="00F7749D" w:rsidRPr="00065ECF" w:rsidRDefault="00F7749D" w:rsidP="00F7749D">
      <w:pPr>
        <w:ind w:right="-34"/>
        <w:jc w:val="center"/>
        <w:rPr>
          <w:rFonts w:asciiTheme="minorHAnsi" w:hAnsiTheme="minorHAnsi" w:cstheme="minorHAnsi"/>
          <w:b/>
          <w:bCs/>
          <w:color w:val="000000" w:themeColor="text1"/>
          <w:szCs w:val="24"/>
          <w:lang w:val="es-NI"/>
        </w:rPr>
      </w:pPr>
      <w:r w:rsidRPr="009D5C6A">
        <w:rPr>
          <w:rFonts w:asciiTheme="minorHAnsi" w:hAnsiTheme="minorHAnsi" w:cstheme="minorHAnsi"/>
          <w:b/>
          <w:bCs/>
          <w:color w:val="000000" w:themeColor="text1"/>
          <w:szCs w:val="24"/>
          <w:lang w:val="es-NI"/>
        </w:rPr>
        <w:t xml:space="preserve">LICITACIÓN PÚBLICA </w:t>
      </w:r>
      <w:r w:rsidRPr="009D5C6A">
        <w:rPr>
          <w:rFonts w:asciiTheme="minorHAnsi" w:hAnsiTheme="minorHAnsi" w:cstheme="minorHAnsi"/>
          <w:b/>
          <w:bCs/>
          <w:color w:val="000000" w:themeColor="text1"/>
          <w:szCs w:val="24"/>
          <w:lang w:val="es-NI"/>
        </w:rPr>
        <w:tab/>
        <w:t>INTERNACIONAL</w:t>
      </w:r>
      <w:r w:rsidRPr="00065ECF">
        <w:rPr>
          <w:rFonts w:asciiTheme="minorHAnsi" w:hAnsiTheme="minorHAnsi" w:cstheme="minorHAnsi"/>
          <w:b/>
          <w:bCs/>
          <w:color w:val="000000" w:themeColor="text1"/>
          <w:szCs w:val="24"/>
          <w:lang w:val="es-NI"/>
        </w:rPr>
        <w:t xml:space="preserve"> </w:t>
      </w:r>
    </w:p>
    <w:p w14:paraId="32FD94A0" w14:textId="77777777" w:rsidR="00F7749D" w:rsidRPr="00065ECF" w:rsidRDefault="00F7749D" w:rsidP="00F7749D">
      <w:pPr>
        <w:ind w:right="-34"/>
        <w:jc w:val="center"/>
        <w:rPr>
          <w:rFonts w:asciiTheme="minorHAnsi" w:hAnsiTheme="minorHAnsi" w:cstheme="minorHAnsi"/>
          <w:b/>
          <w:bCs/>
          <w:szCs w:val="24"/>
          <w:lang w:val="es-NI"/>
        </w:rPr>
      </w:pPr>
      <w:r w:rsidRPr="00065ECF">
        <w:rPr>
          <w:rFonts w:asciiTheme="minorHAnsi" w:hAnsiTheme="minorHAnsi" w:cstheme="minorHAnsi"/>
          <w:b/>
          <w:bCs/>
          <w:szCs w:val="24"/>
          <w:lang w:val="es-NI"/>
        </w:rPr>
        <w:t xml:space="preserve">BCIE Proceso N° </w:t>
      </w:r>
      <w:r>
        <w:rPr>
          <w:rFonts w:asciiTheme="minorHAnsi" w:hAnsiTheme="minorHAnsi" w:cstheme="minorHAnsi"/>
          <w:b/>
          <w:bCs/>
          <w:szCs w:val="24"/>
          <w:lang w:val="es-NI"/>
        </w:rPr>
        <w:t>40-2022</w:t>
      </w:r>
    </w:p>
    <w:p w14:paraId="453B89E1" w14:textId="77777777" w:rsidR="00F7749D" w:rsidRDefault="00F7749D" w:rsidP="00F7749D">
      <w:pPr>
        <w:ind w:right="-34"/>
        <w:jc w:val="center"/>
        <w:rPr>
          <w:rFonts w:asciiTheme="minorHAnsi" w:hAnsiTheme="minorHAnsi" w:cstheme="minorHAnsi"/>
          <w:b/>
          <w:bCs/>
          <w:szCs w:val="24"/>
          <w:lang w:val="es-NI"/>
        </w:rPr>
      </w:pPr>
      <w:r w:rsidRPr="00BB5519">
        <w:rPr>
          <w:rFonts w:ascii="Arial" w:hAnsi="Arial" w:cs="Arial"/>
          <w:b/>
          <w:sz w:val="22"/>
          <w:szCs w:val="22"/>
        </w:rPr>
        <w:t>Construcción de Sistemas de Agua y Saneamiento en la Región</w:t>
      </w:r>
      <w:r>
        <w:rPr>
          <w:rFonts w:ascii="Arial" w:hAnsi="Arial" w:cs="Arial"/>
          <w:b/>
          <w:sz w:val="22"/>
          <w:szCs w:val="22"/>
        </w:rPr>
        <w:t xml:space="preserve"> </w:t>
      </w:r>
      <w:r w:rsidRPr="00BB5519">
        <w:rPr>
          <w:rFonts w:ascii="Arial" w:hAnsi="Arial" w:cs="Arial"/>
          <w:b/>
          <w:sz w:val="22"/>
          <w:szCs w:val="22"/>
        </w:rPr>
        <w:t>I – Grupo B”</w:t>
      </w:r>
      <w:r w:rsidRPr="00065ECF">
        <w:rPr>
          <w:rFonts w:asciiTheme="minorHAnsi" w:hAnsiTheme="minorHAnsi" w:cstheme="minorHAnsi"/>
          <w:b/>
          <w:bCs/>
          <w:szCs w:val="24"/>
          <w:lang w:val="es-NI"/>
        </w:rPr>
        <w:t xml:space="preserve"> </w:t>
      </w:r>
    </w:p>
    <w:p w14:paraId="182548B8" w14:textId="77777777" w:rsidR="00F7749D" w:rsidRDefault="00F7749D" w:rsidP="00F7749D">
      <w:pPr>
        <w:ind w:right="-34"/>
        <w:jc w:val="center"/>
      </w:pPr>
      <w:r>
        <w:rPr>
          <w:rFonts w:asciiTheme="minorHAnsi" w:hAnsiTheme="minorHAnsi" w:cstheme="minorHAnsi"/>
          <w:b/>
          <w:bCs/>
          <w:szCs w:val="24"/>
          <w:lang w:val="es-NI"/>
        </w:rPr>
        <w:t>Lote _____, proyecto No. __________</w:t>
      </w:r>
    </w:p>
    <w:p w14:paraId="6963755C" w14:textId="77777777" w:rsidR="00F7749D" w:rsidRPr="00004F70" w:rsidRDefault="00F7749D" w:rsidP="00F7749D">
      <w:pPr>
        <w:pStyle w:val="INDGEN2"/>
        <w:jc w:val="right"/>
        <w:rPr>
          <w:sz w:val="24"/>
          <w:szCs w:val="24"/>
        </w:rPr>
      </w:pPr>
      <w:r w:rsidRPr="00004F70">
        <w:rPr>
          <w:sz w:val="24"/>
          <w:szCs w:val="24"/>
        </w:rPr>
        <w:t xml:space="preserve">                                             CONTRATO No.____________</w:t>
      </w:r>
    </w:p>
    <w:p w14:paraId="279A454E" w14:textId="77777777" w:rsidR="00F7749D" w:rsidRPr="002733FE" w:rsidRDefault="00F7749D" w:rsidP="00F7749D">
      <w:pPr>
        <w:pStyle w:val="Subttulo"/>
        <w:jc w:val="both"/>
        <w:rPr>
          <w:rFonts w:ascii="Arial" w:hAnsi="Arial" w:cs="Arial"/>
          <w:bCs/>
          <w:sz w:val="22"/>
          <w:szCs w:val="22"/>
        </w:rPr>
      </w:pPr>
      <w:r w:rsidRPr="003C5A36">
        <w:rPr>
          <w:rFonts w:asciiTheme="minorHAnsi" w:hAnsiTheme="minorHAnsi" w:cstheme="minorHAnsi"/>
          <w:b w:val="0"/>
          <w:sz w:val="24"/>
          <w:szCs w:val="24"/>
          <w:lang w:val="es-ES"/>
        </w:rPr>
        <w:tab/>
      </w:r>
      <w:r w:rsidRPr="003C5A36">
        <w:rPr>
          <w:rFonts w:asciiTheme="minorHAnsi" w:hAnsiTheme="minorHAnsi" w:cstheme="minorHAnsi"/>
          <w:b w:val="0"/>
          <w:sz w:val="24"/>
          <w:szCs w:val="24"/>
          <w:lang w:val="es-ES"/>
        </w:rPr>
        <w:tab/>
      </w:r>
      <w:r w:rsidRPr="002733FE">
        <w:rPr>
          <w:rFonts w:ascii="Arial" w:hAnsi="Arial" w:cs="Arial"/>
          <w:bCs/>
          <w:sz w:val="22"/>
          <w:szCs w:val="22"/>
        </w:rPr>
        <w:t>CONTRATO DE CONSTRUCCIÓN DE OBRA (PRECIOS UNITARIOS)</w:t>
      </w:r>
    </w:p>
    <w:p w14:paraId="646196FA" w14:textId="77777777" w:rsidR="00F7749D" w:rsidRPr="008E4F0B" w:rsidRDefault="00F7749D" w:rsidP="00F7749D">
      <w:pPr>
        <w:jc w:val="center"/>
        <w:rPr>
          <w:rFonts w:ascii="Arial" w:hAnsi="Arial" w:cs="Arial"/>
          <w:b/>
          <w:bCs/>
          <w:sz w:val="22"/>
          <w:szCs w:val="22"/>
        </w:rPr>
      </w:pPr>
    </w:p>
    <w:p w14:paraId="0EE9E644" w14:textId="77777777" w:rsidR="00F7749D" w:rsidRPr="008E4F0B" w:rsidRDefault="00F7749D" w:rsidP="00F7749D">
      <w:pPr>
        <w:rPr>
          <w:rFonts w:ascii="Arial" w:hAnsi="Arial" w:cs="Arial"/>
          <w:b/>
          <w:bCs/>
          <w:sz w:val="22"/>
          <w:szCs w:val="22"/>
        </w:rPr>
      </w:pPr>
    </w:p>
    <w:p w14:paraId="3E337254" w14:textId="77777777" w:rsidR="00F7749D" w:rsidRPr="00BB5519" w:rsidRDefault="00F7749D" w:rsidP="00F7749D">
      <w:pPr>
        <w:rPr>
          <w:rFonts w:ascii="Arial" w:hAnsi="Arial" w:cs="Arial"/>
          <w:b/>
          <w:bCs/>
          <w:sz w:val="22"/>
          <w:szCs w:val="22"/>
        </w:rPr>
      </w:pPr>
    </w:p>
    <w:p w14:paraId="56B5E020" w14:textId="77777777" w:rsidR="00F7749D" w:rsidRPr="00BB5519" w:rsidRDefault="00F7749D" w:rsidP="00F7749D">
      <w:pPr>
        <w:pStyle w:val="Textoindependiente"/>
        <w:rPr>
          <w:rFonts w:ascii="Arial" w:hAnsi="Arial" w:cs="Arial"/>
          <w:sz w:val="22"/>
          <w:szCs w:val="22"/>
        </w:rPr>
      </w:pPr>
      <w:r w:rsidRPr="00BB5519">
        <w:rPr>
          <w:rFonts w:ascii="Arial" w:hAnsi="Arial" w:cs="Arial"/>
          <w:sz w:val="22"/>
          <w:szCs w:val="22"/>
        </w:rPr>
        <w:t xml:space="preserve">El presente </w:t>
      </w:r>
      <w:r w:rsidRPr="00BB5519">
        <w:rPr>
          <w:rFonts w:ascii="Arial" w:hAnsi="Arial" w:cs="Arial"/>
          <w:b/>
          <w:sz w:val="22"/>
          <w:szCs w:val="22"/>
        </w:rPr>
        <w:t xml:space="preserve">Contrato de construcción de obra </w:t>
      </w:r>
      <w:r w:rsidRPr="00BB5519">
        <w:rPr>
          <w:rFonts w:ascii="Arial" w:hAnsi="Arial" w:cs="Arial"/>
          <w:bCs/>
          <w:sz w:val="22"/>
          <w:szCs w:val="22"/>
        </w:rPr>
        <w:t>s</w:t>
      </w:r>
      <w:r w:rsidRPr="00BB5519">
        <w:rPr>
          <w:rFonts w:ascii="Arial" w:hAnsi="Arial" w:cs="Arial"/>
          <w:sz w:val="22"/>
          <w:szCs w:val="22"/>
        </w:rPr>
        <w:t xml:space="preserve">e celebra en </w:t>
      </w:r>
      <w:r>
        <w:rPr>
          <w:rFonts w:ascii="Arial" w:hAnsi="Arial" w:cs="Arial"/>
          <w:sz w:val="22"/>
          <w:szCs w:val="22"/>
        </w:rPr>
        <w:t xml:space="preserve">la ciudad de </w:t>
      </w:r>
      <w:r w:rsidRPr="00BB5519">
        <w:rPr>
          <w:rFonts w:ascii="Arial" w:hAnsi="Arial" w:cs="Arial"/>
          <w:sz w:val="22"/>
          <w:szCs w:val="22"/>
        </w:rPr>
        <w:t xml:space="preserve">Managua, Nicaragua </w:t>
      </w:r>
      <w:r>
        <w:rPr>
          <w:rFonts w:ascii="Arial" w:hAnsi="Arial" w:cs="Arial"/>
          <w:sz w:val="22"/>
          <w:szCs w:val="22"/>
        </w:rPr>
        <w:t xml:space="preserve">a los </w:t>
      </w:r>
      <w:r w:rsidRPr="00BB5519">
        <w:rPr>
          <w:rFonts w:ascii="Arial" w:hAnsi="Arial" w:cs="Arial"/>
          <w:sz w:val="22"/>
          <w:szCs w:val="22"/>
        </w:rPr>
        <w:t xml:space="preserve"> </w:t>
      </w:r>
      <w:r>
        <w:rPr>
          <w:rFonts w:ascii="Arial" w:hAnsi="Arial" w:cs="Arial"/>
          <w:sz w:val="22"/>
          <w:szCs w:val="22"/>
        </w:rPr>
        <w:t>____</w:t>
      </w:r>
      <w:r w:rsidR="00F367C9">
        <w:rPr>
          <w:rFonts w:ascii="Arial" w:hAnsi="Arial" w:cs="Arial"/>
          <w:sz w:val="22"/>
          <w:szCs w:val="22"/>
        </w:rPr>
        <w:t>días</w:t>
      </w:r>
      <w:r>
        <w:rPr>
          <w:rFonts w:ascii="Arial" w:hAnsi="Arial" w:cs="Arial"/>
          <w:sz w:val="22"/>
          <w:szCs w:val="22"/>
        </w:rPr>
        <w:t xml:space="preserve"> del  mes _________ del año dos mil </w:t>
      </w:r>
      <w:r w:rsidRPr="002F5CD6">
        <w:rPr>
          <w:rFonts w:ascii="Arial" w:hAnsi="Arial" w:cs="Arial"/>
          <w:sz w:val="22"/>
          <w:szCs w:val="22"/>
          <w:lang w:val="es-NI"/>
        </w:rPr>
        <w:t>veintidós</w:t>
      </w:r>
      <w:r w:rsidRPr="002F5CD6">
        <w:rPr>
          <w:rFonts w:ascii="Arial" w:hAnsi="Arial" w:cs="Arial"/>
          <w:sz w:val="22"/>
          <w:szCs w:val="22"/>
        </w:rPr>
        <w:t xml:space="preserve"> </w:t>
      </w:r>
      <w:r>
        <w:rPr>
          <w:rFonts w:ascii="Arial" w:hAnsi="Arial" w:cs="Arial"/>
          <w:sz w:val="22"/>
          <w:szCs w:val="22"/>
        </w:rPr>
        <w:t xml:space="preserve">, </w:t>
      </w:r>
      <w:r w:rsidRPr="00BB5519">
        <w:rPr>
          <w:rFonts w:ascii="Arial" w:hAnsi="Arial" w:cs="Arial"/>
          <w:sz w:val="22"/>
          <w:szCs w:val="22"/>
        </w:rPr>
        <w:t xml:space="preserve">entre </w:t>
      </w:r>
      <w:r w:rsidRPr="00BB5519">
        <w:rPr>
          <w:rFonts w:ascii="Arial" w:hAnsi="Arial" w:cs="Arial"/>
          <w:b/>
          <w:sz w:val="22"/>
          <w:szCs w:val="22"/>
        </w:rPr>
        <w:t>FONDO DE INVERSION SOCIAL DE EMERGENCIA (FISE)</w:t>
      </w:r>
      <w:r w:rsidRPr="00BB5519">
        <w:rPr>
          <w:rFonts w:ascii="Arial" w:hAnsi="Arial" w:cs="Arial"/>
          <w:sz w:val="22"/>
          <w:szCs w:val="22"/>
        </w:rPr>
        <w:t>, en adelante el</w:t>
      </w:r>
      <w:r w:rsidRPr="00BB5519">
        <w:rPr>
          <w:rFonts w:ascii="Arial" w:hAnsi="Arial" w:cs="Arial"/>
          <w:b/>
          <w:bCs/>
          <w:sz w:val="22"/>
          <w:szCs w:val="22"/>
        </w:rPr>
        <w:t xml:space="preserve"> Contratante, </w:t>
      </w:r>
      <w:r w:rsidRPr="00BB5519">
        <w:rPr>
          <w:rFonts w:ascii="Arial" w:hAnsi="Arial" w:cs="Arial"/>
          <w:sz w:val="22"/>
          <w:szCs w:val="22"/>
        </w:rPr>
        <w:t xml:space="preserve">representado por </w:t>
      </w:r>
      <w:r>
        <w:rPr>
          <w:rFonts w:ascii="Arial" w:hAnsi="Arial" w:cs="Arial"/>
          <w:sz w:val="22"/>
          <w:szCs w:val="22"/>
        </w:rPr>
        <w:t xml:space="preserve"> el señor </w:t>
      </w:r>
      <w:r w:rsidRPr="00BB5519">
        <w:rPr>
          <w:rFonts w:ascii="Arial" w:hAnsi="Arial" w:cs="Arial"/>
          <w:sz w:val="22"/>
          <w:szCs w:val="22"/>
          <w:lang w:val="es-CO"/>
        </w:rPr>
        <w:t>Virgilio Antonio Bravo Plata</w:t>
      </w:r>
      <w:r w:rsidRPr="00BB5519">
        <w:rPr>
          <w:rFonts w:ascii="Arial" w:hAnsi="Arial" w:cs="Arial"/>
          <w:sz w:val="22"/>
          <w:szCs w:val="22"/>
        </w:rPr>
        <w:t xml:space="preserve">, </w:t>
      </w:r>
      <w:r w:rsidRPr="00DA473C">
        <w:rPr>
          <w:rFonts w:ascii="Arial" w:hAnsi="Arial" w:cs="Arial"/>
          <w:sz w:val="22"/>
          <w:szCs w:val="22"/>
          <w:lang w:val="es-CO"/>
        </w:rPr>
        <w:t xml:space="preserve">mayor de edad, casado, Licenciado en Pedagogía y con domicilio y residencia en la ciudad de Managua, identificado con cédula de identidad ciudadana emitida por el Consejo Supremo Electoral número uno, dos, tres, guion, cero, ocho, cero, cuatro, seis, cuatro, guion, cero, cero, cero, dos, Letra M (123-080464-0002M, </w:t>
      </w:r>
      <w:r w:rsidRPr="00DA473C">
        <w:rPr>
          <w:rFonts w:ascii="Arial" w:hAnsi="Arial" w:cs="Arial"/>
          <w:sz w:val="22"/>
          <w:szCs w:val="22"/>
        </w:rPr>
        <w:t xml:space="preserve">en su condición de Administrador Fiduciario y </w:t>
      </w:r>
      <w:r w:rsidRPr="002F5CD6">
        <w:rPr>
          <w:rFonts w:ascii="Arial" w:hAnsi="Arial" w:cs="Arial"/>
          <w:i/>
          <w:iCs/>
          <w:color w:val="FF0000"/>
          <w:sz w:val="22"/>
          <w:szCs w:val="22"/>
        </w:rPr>
        <w:t>(indicar el nombre completo del contratista)</w:t>
      </w:r>
      <w:r w:rsidRPr="00DA473C">
        <w:rPr>
          <w:rFonts w:ascii="Arial" w:hAnsi="Arial" w:cs="Arial"/>
          <w:sz w:val="22"/>
          <w:szCs w:val="22"/>
        </w:rPr>
        <w:t xml:space="preserve">, </w:t>
      </w:r>
      <w:r w:rsidRPr="00BB5519">
        <w:rPr>
          <w:rFonts w:ascii="Arial" w:hAnsi="Arial" w:cs="Arial"/>
          <w:sz w:val="22"/>
          <w:szCs w:val="22"/>
        </w:rPr>
        <w:t>en adelante el</w:t>
      </w:r>
      <w:r w:rsidRPr="00BB5519">
        <w:rPr>
          <w:rFonts w:ascii="Arial" w:hAnsi="Arial" w:cs="Arial"/>
          <w:b/>
          <w:bCs/>
          <w:sz w:val="22"/>
          <w:szCs w:val="22"/>
        </w:rPr>
        <w:t xml:space="preserve"> Contratista</w:t>
      </w:r>
      <w:r w:rsidRPr="00BB5519">
        <w:rPr>
          <w:rFonts w:ascii="Arial" w:hAnsi="Arial" w:cs="Arial"/>
          <w:sz w:val="22"/>
          <w:szCs w:val="22"/>
        </w:rPr>
        <w:t>, representado por</w:t>
      </w:r>
      <w:r>
        <w:rPr>
          <w:rFonts w:ascii="Arial" w:hAnsi="Arial" w:cs="Arial"/>
          <w:sz w:val="22"/>
          <w:szCs w:val="22"/>
        </w:rPr>
        <w:t xml:space="preserve"> el señor ___________</w:t>
      </w:r>
      <w:r w:rsidRPr="00BB5519">
        <w:rPr>
          <w:rFonts w:ascii="Arial" w:hAnsi="Arial" w:cs="Arial"/>
          <w:sz w:val="22"/>
          <w:szCs w:val="22"/>
        </w:rPr>
        <w:t xml:space="preserve"> </w:t>
      </w:r>
      <w:r w:rsidRPr="00BB5519">
        <w:rPr>
          <w:rFonts w:ascii="Arial" w:hAnsi="Arial" w:cs="Arial"/>
          <w:i/>
          <w:iCs/>
          <w:color w:val="FF0000"/>
          <w:sz w:val="22"/>
          <w:szCs w:val="22"/>
        </w:rPr>
        <w:t>(indicar el nombre completo del representante legal del contratista</w:t>
      </w:r>
      <w:r>
        <w:rPr>
          <w:rFonts w:ascii="Arial" w:hAnsi="Arial" w:cs="Arial"/>
          <w:i/>
          <w:iCs/>
          <w:color w:val="FF0000"/>
          <w:sz w:val="22"/>
          <w:szCs w:val="22"/>
        </w:rPr>
        <w:t>, generales de ley y acreditaciones legales correspondientes</w:t>
      </w:r>
      <w:r w:rsidRPr="00BB5519">
        <w:rPr>
          <w:rFonts w:ascii="Arial" w:hAnsi="Arial" w:cs="Arial"/>
          <w:i/>
          <w:iCs/>
          <w:color w:val="FF0000"/>
          <w:sz w:val="22"/>
          <w:szCs w:val="22"/>
        </w:rPr>
        <w:t>)</w:t>
      </w:r>
      <w:r w:rsidRPr="00BB5519">
        <w:rPr>
          <w:rFonts w:ascii="Arial" w:hAnsi="Arial" w:cs="Arial"/>
          <w:sz w:val="22"/>
          <w:szCs w:val="22"/>
        </w:rPr>
        <w:t xml:space="preserve">. Ambos, en adelante y de forma conjunta, se denominarán las </w:t>
      </w:r>
      <w:r w:rsidRPr="00BB5519">
        <w:rPr>
          <w:rFonts w:ascii="Arial" w:hAnsi="Arial" w:cs="Arial"/>
          <w:b/>
          <w:bCs/>
          <w:sz w:val="22"/>
          <w:szCs w:val="22"/>
        </w:rPr>
        <w:t>Partes</w:t>
      </w:r>
      <w:r w:rsidRPr="00BB5519">
        <w:rPr>
          <w:rFonts w:ascii="Arial" w:hAnsi="Arial" w:cs="Arial"/>
          <w:sz w:val="22"/>
          <w:szCs w:val="22"/>
        </w:rPr>
        <w:t>.</w:t>
      </w:r>
    </w:p>
    <w:p w14:paraId="1A63FCC6" w14:textId="77777777" w:rsidR="00F7749D" w:rsidRPr="00BB5519" w:rsidRDefault="00F7749D" w:rsidP="00F7749D">
      <w:pPr>
        <w:spacing w:before="120" w:after="160" w:line="259" w:lineRule="auto"/>
        <w:rPr>
          <w:rFonts w:ascii="Arial" w:hAnsi="Arial" w:cs="Arial"/>
          <w:i/>
          <w:iCs/>
          <w:sz w:val="22"/>
          <w:szCs w:val="22"/>
        </w:rPr>
      </w:pPr>
      <w:r w:rsidRPr="00BB5519">
        <w:rPr>
          <w:rFonts w:ascii="Arial" w:hAnsi="Arial" w:cs="Arial"/>
          <w:sz w:val="22"/>
          <w:szCs w:val="22"/>
        </w:rPr>
        <w:t>DECLARA EL CONTRATANTE</w:t>
      </w:r>
      <w:r w:rsidRPr="00BB5519">
        <w:rPr>
          <w:rFonts w:ascii="Arial" w:hAnsi="Arial" w:cs="Arial"/>
          <w:i/>
          <w:iCs/>
          <w:sz w:val="22"/>
          <w:szCs w:val="22"/>
        </w:rPr>
        <w:t xml:space="preserve">: </w:t>
      </w:r>
    </w:p>
    <w:p w14:paraId="08E506E8" w14:textId="77777777" w:rsidR="00F7749D" w:rsidRPr="00BB5519" w:rsidRDefault="00F7749D" w:rsidP="00F7749D">
      <w:pPr>
        <w:numPr>
          <w:ilvl w:val="1"/>
          <w:numId w:val="76"/>
        </w:numPr>
        <w:tabs>
          <w:tab w:val="clear" w:pos="1440"/>
          <w:tab w:val="num" w:pos="862"/>
        </w:tabs>
        <w:suppressAutoHyphens/>
        <w:spacing w:before="240" w:after="240"/>
        <w:ind w:left="720"/>
        <w:rPr>
          <w:rFonts w:ascii="Arial" w:hAnsi="Arial" w:cs="Arial"/>
          <w:b/>
          <w:sz w:val="22"/>
          <w:szCs w:val="22"/>
        </w:rPr>
      </w:pPr>
      <w:r w:rsidRPr="00BB5519">
        <w:rPr>
          <w:rFonts w:ascii="Arial" w:hAnsi="Arial" w:cs="Arial"/>
          <w:sz w:val="22"/>
          <w:szCs w:val="22"/>
        </w:rPr>
        <w:t xml:space="preserve">El </w:t>
      </w:r>
      <w:r w:rsidRPr="00BB5519">
        <w:rPr>
          <w:rFonts w:ascii="Arial" w:hAnsi="Arial" w:cs="Arial"/>
          <w:b/>
          <w:sz w:val="22"/>
          <w:szCs w:val="22"/>
        </w:rPr>
        <w:t xml:space="preserve">Fondo de Inversión Social de Emergencia (FISE) </w:t>
      </w:r>
      <w:r w:rsidRPr="00BB5519">
        <w:rPr>
          <w:rFonts w:ascii="Arial" w:hAnsi="Arial" w:cs="Arial"/>
          <w:sz w:val="22"/>
          <w:szCs w:val="22"/>
        </w:rPr>
        <w:t xml:space="preserve">fue creado en 1990 mediante Decreto Ejecutivo N° 59-90, </w:t>
      </w:r>
      <w:r w:rsidRPr="00BB5519">
        <w:rPr>
          <w:rFonts w:ascii="Arial" w:hAnsi="Arial" w:cs="Arial"/>
          <w:sz w:val="22"/>
          <w:szCs w:val="22"/>
          <w:lang w:val="es-CO"/>
        </w:rPr>
        <w:t xml:space="preserve">del día veintiuno de noviembre de 1990, publicado en La Gaceta, Diario Oficial No. 240 del trece de diciembre de 1990, </w:t>
      </w:r>
      <w:r w:rsidRPr="00BB5519">
        <w:rPr>
          <w:rFonts w:ascii="Arial" w:hAnsi="Arial" w:cs="Arial"/>
          <w:sz w:val="22"/>
          <w:szCs w:val="22"/>
        </w:rPr>
        <w:t>con el propósito de construir obras de infraestructura de emergencia en el país. El Gobierno de Reconciliación y Unidad Nacional, ha ratificado en su competencia al FISE como el actor principal del Estado en el sector agua y saneamiento rural, para el cumplimiento de las metas nacionales y sectoriales, sobre el abastecimiento de agua y saneamiento adecuado en las áreas rurales del país.</w:t>
      </w:r>
    </w:p>
    <w:p w14:paraId="5546B6FD" w14:textId="77777777" w:rsidR="00F7749D" w:rsidRPr="00BB5519" w:rsidRDefault="00F7749D" w:rsidP="00F7749D">
      <w:pPr>
        <w:numPr>
          <w:ilvl w:val="1"/>
          <w:numId w:val="76"/>
        </w:numPr>
        <w:tabs>
          <w:tab w:val="clear" w:pos="1440"/>
          <w:tab w:val="num" w:pos="862"/>
        </w:tabs>
        <w:suppressAutoHyphens/>
        <w:spacing w:before="240" w:after="240"/>
        <w:ind w:left="720"/>
        <w:rPr>
          <w:rFonts w:ascii="Arial" w:hAnsi="Arial" w:cs="Arial"/>
          <w:b/>
          <w:sz w:val="22"/>
          <w:szCs w:val="22"/>
        </w:rPr>
      </w:pPr>
      <w:r w:rsidRPr="00BB5519">
        <w:rPr>
          <w:rFonts w:ascii="Arial" w:hAnsi="Arial" w:cs="Arial"/>
          <w:color w:val="000000"/>
          <w:sz w:val="22"/>
          <w:szCs w:val="22"/>
          <w:shd w:val="clear" w:color="auto" w:fill="FFFFFF"/>
        </w:rPr>
        <w:t>Que es un ente autónomo del Estado, con personalidad jurídica, patrimonio propio, y plena capacidad para adquirir derechos y contraer obligaciones.</w:t>
      </w:r>
    </w:p>
    <w:p w14:paraId="14E6F768" w14:textId="77777777" w:rsidR="00F7749D" w:rsidRPr="00A76AD7" w:rsidRDefault="00F7749D" w:rsidP="00F7749D">
      <w:pPr>
        <w:numPr>
          <w:ilvl w:val="1"/>
          <w:numId w:val="76"/>
        </w:numPr>
        <w:tabs>
          <w:tab w:val="clear" w:pos="1440"/>
          <w:tab w:val="num" w:pos="862"/>
        </w:tabs>
        <w:suppressAutoHyphens/>
        <w:spacing w:before="240" w:after="240"/>
        <w:ind w:left="720"/>
        <w:rPr>
          <w:rFonts w:ascii="Arial" w:hAnsi="Arial" w:cs="Arial"/>
          <w:i/>
          <w:iCs/>
          <w:color w:val="FF0000"/>
          <w:sz w:val="22"/>
          <w:szCs w:val="22"/>
        </w:rPr>
      </w:pPr>
      <w:r w:rsidRPr="00A76AD7">
        <w:rPr>
          <w:rFonts w:ascii="Arial" w:hAnsi="Arial" w:cs="Arial"/>
          <w:sz w:val="22"/>
          <w:szCs w:val="22"/>
          <w:lang w:val="es-CO"/>
        </w:rPr>
        <w:t xml:space="preserve">Que el Señor </w:t>
      </w:r>
      <w:r w:rsidRPr="00A76AD7">
        <w:rPr>
          <w:rFonts w:ascii="Arial" w:hAnsi="Arial" w:cs="Arial"/>
          <w:b/>
          <w:sz w:val="22"/>
          <w:szCs w:val="22"/>
          <w:lang w:val="es-CO"/>
        </w:rPr>
        <w:t>Virgilio Antonio Bravo Plata</w:t>
      </w:r>
      <w:r w:rsidRPr="00A76AD7">
        <w:rPr>
          <w:rFonts w:ascii="Arial" w:hAnsi="Arial" w:cs="Arial"/>
          <w:sz w:val="22"/>
          <w:szCs w:val="22"/>
          <w:lang w:val="es-CO"/>
        </w:rPr>
        <w:t xml:space="preserve">, actúa en su calidad de  Administrador Fiduciario con las más amplias </w:t>
      </w:r>
      <w:r w:rsidRPr="00A76AD7">
        <w:rPr>
          <w:rFonts w:ascii="Arial" w:hAnsi="Arial" w:cs="Arial"/>
          <w:color w:val="000000"/>
          <w:sz w:val="22"/>
          <w:szCs w:val="22"/>
          <w:shd w:val="clear" w:color="auto" w:fill="FFFFFF"/>
        </w:rPr>
        <w:t>facultades</w:t>
      </w:r>
      <w:r w:rsidRPr="00A76AD7">
        <w:rPr>
          <w:rFonts w:ascii="Arial" w:hAnsi="Arial" w:cs="Arial"/>
          <w:sz w:val="22"/>
          <w:szCs w:val="22"/>
          <w:lang w:val="es-CO"/>
        </w:rPr>
        <w:t xml:space="preserve"> de representación legal, administrativa, financiera y fiduciarias del Fondo de Inversión Social de Emergencia (FISE), acreditando tal condición según Acuerdo Presidencial No. 27-2017,</w:t>
      </w:r>
      <w:r w:rsidRPr="00A76AD7">
        <w:rPr>
          <w:rFonts w:ascii="Arial" w:hAnsi="Arial" w:cs="Arial"/>
          <w:sz w:val="22"/>
          <w:szCs w:val="22"/>
        </w:rPr>
        <w:t xml:space="preserve"> </w:t>
      </w:r>
      <w:r w:rsidRPr="00A76AD7">
        <w:rPr>
          <w:rFonts w:ascii="Arial" w:hAnsi="Arial" w:cs="Arial"/>
          <w:sz w:val="22"/>
          <w:szCs w:val="22"/>
          <w:lang w:val="es-CO"/>
        </w:rPr>
        <w:t xml:space="preserve">emitido por el Ministerio de Hacienda y Crédito Público de Nicaragua, y dado en la ciudad de Managua, el día uno del mes de diciembre del año dos mil diecisiete; y según las facultades legales que me confieren: A)Decreto Ejecutivo No. 59-90, del día veintiuno de Noviembre de 1990, </w:t>
      </w:r>
      <w:r w:rsidRPr="00A76AD7">
        <w:rPr>
          <w:rFonts w:ascii="Arial" w:hAnsi="Arial" w:cs="Arial"/>
          <w:sz w:val="22"/>
          <w:szCs w:val="22"/>
          <w:lang w:val="es-CO"/>
        </w:rPr>
        <w:lastRenderedPageBreak/>
        <w:t>publicado en La Gaceta, Diario Oficial No. 240 del trece de Diciembre de 1990; B) Decreto Ejecutivo No. 43-94 del día veintiocho de Octubre de 1994, publicado en La Gaceta, Diario Oficial No. 203 del treinta y uno de Octubre de 1994; C) Artículo 12 del Decreto Ejecutivo No. 57-98 del día veintiocho de Agosto de 1998, publicado en la Gaceta Diario Oficial No. 167 del cuatro de Septiembre de 1998; D) Decreto Ejecutivo No. 37-2003, del día veinticuatro de abril del 2003, publicado en la Gaceta  Diario Oficial No. 80 del treinta de abril del 2003; E) Decreto No. 109-2004, del día veintiocho de septiembre del 2004, publicado en La Gaceta Diario Oficial No. 191 del primero de octubre del 2004; F) Decreto No. 12-2007 del día veinticinco de enero del 2007, publicado en la Gaceta Diario Oficial No. 21 del treinta de enero del 2007; G) Decreto No. 111-2007 del día veintiocho de noviembre del 2007, publicado en la Gaceta Diario Oficial No. 233 del cuatro de diciembre del 2007, y H) Ley No. 737 “Ley de Contrataciones Administrativas del Sector Público” publicada en La Gaceta, Diario Oficial, No. 213 y 214 del 8 y 9 de noviembre del año 2010, I) Decreto 75-2010, Reglamento General a la Ley 737, publicado en La Gaceta, Diario Oficial, No.239 y 240 del 15 y 16 de diciembre del año 2010.</w:t>
      </w:r>
    </w:p>
    <w:p w14:paraId="7BAE0F0B" w14:textId="77777777" w:rsidR="00F7749D" w:rsidRPr="00A76AD7" w:rsidRDefault="00F7749D" w:rsidP="00F7749D">
      <w:pPr>
        <w:numPr>
          <w:ilvl w:val="1"/>
          <w:numId w:val="76"/>
        </w:numPr>
        <w:tabs>
          <w:tab w:val="clear" w:pos="1440"/>
          <w:tab w:val="num" w:pos="862"/>
        </w:tabs>
        <w:suppressAutoHyphens/>
        <w:spacing w:before="240" w:after="240"/>
        <w:ind w:left="720"/>
        <w:rPr>
          <w:rFonts w:ascii="Arial" w:hAnsi="Arial" w:cs="Arial"/>
          <w:sz w:val="22"/>
          <w:szCs w:val="22"/>
        </w:rPr>
      </w:pPr>
      <w:r w:rsidRPr="00A76AD7">
        <w:rPr>
          <w:rFonts w:ascii="Arial" w:hAnsi="Arial" w:cs="Arial"/>
          <w:sz w:val="22"/>
          <w:szCs w:val="22"/>
        </w:rPr>
        <w:t xml:space="preserve">Que convocó a licitación respecto de las Obras consistentes en la Construcción de tres (03) proyectos de mini acueducto por gravedad (MAG), (19962 Agua y saneamiento comunidad Naranjo Norte, 19842 Agua y Saneamiento comunidad Zacatera, 19892 Agua y Saneamiento Bálsamo Abajo) y 1 proyecto de mini acueducto por bombeo Eléctrico (MABE), 19886 Agua y saneamiento comunidad La Concepcion) y la ejecución del componente de saneamiento e Higiene, de acuerdo a las especificaciones Técnicas y Planos para el proyecto </w:t>
      </w:r>
      <w:r w:rsidRPr="00A76AD7">
        <w:rPr>
          <w:rFonts w:ascii="Arial" w:hAnsi="Arial" w:cs="Arial"/>
          <w:sz w:val="22"/>
          <w:szCs w:val="22"/>
          <w:lang w:eastAsia="es-ES"/>
        </w:rPr>
        <w:t xml:space="preserve">financiado por el Banco Centro Americano de Integración Económica (BCIE) mediante el préstamo 2141 </w:t>
      </w:r>
      <w:r w:rsidRPr="00A76AD7">
        <w:rPr>
          <w:rFonts w:ascii="Arial" w:hAnsi="Arial" w:cs="Arial"/>
          <w:sz w:val="22"/>
          <w:szCs w:val="22"/>
          <w:lang w:val="es-HN"/>
        </w:rPr>
        <w:t>Programa de Sostenibilidad del Sector Agua y Saneamiento Rural;</w:t>
      </w:r>
      <w:r w:rsidRPr="00A76AD7">
        <w:rPr>
          <w:rFonts w:ascii="Arial" w:hAnsi="Arial" w:cs="Arial"/>
          <w:sz w:val="22"/>
          <w:szCs w:val="22"/>
        </w:rPr>
        <w:t xml:space="preserve"> y que ha aceptado la oferta del </w:t>
      </w:r>
      <w:r w:rsidRPr="00A76AD7">
        <w:rPr>
          <w:rFonts w:ascii="Arial" w:hAnsi="Arial" w:cs="Arial"/>
          <w:b/>
          <w:bCs/>
          <w:sz w:val="22"/>
          <w:szCs w:val="22"/>
        </w:rPr>
        <w:t xml:space="preserve">Contratista </w:t>
      </w:r>
      <w:r w:rsidRPr="00A76AD7">
        <w:rPr>
          <w:rFonts w:ascii="Arial" w:hAnsi="Arial" w:cs="Arial"/>
          <w:sz w:val="22"/>
          <w:szCs w:val="22"/>
        </w:rPr>
        <w:t>para la ejecución de la obra  “</w:t>
      </w:r>
      <w:r w:rsidRPr="00A76AD7">
        <w:rPr>
          <w:rFonts w:ascii="Arial" w:hAnsi="Arial" w:cs="Arial"/>
          <w:b/>
          <w:sz w:val="22"/>
          <w:szCs w:val="22"/>
        </w:rPr>
        <w:t>Construcción de Sistemas de Agua y Saneamiento en la Región I – Grupo B; Lote _____ Proyecto No ______ (</w:t>
      </w:r>
      <w:r w:rsidRPr="00A76AD7">
        <w:rPr>
          <w:rFonts w:ascii="Arial" w:hAnsi="Arial" w:cs="Arial"/>
          <w:color w:val="FF0000"/>
          <w:sz w:val="22"/>
          <w:szCs w:val="22"/>
        </w:rPr>
        <w:t>indicar nombre del proyecto según Lote Adjudicado</w:t>
      </w:r>
      <w:r w:rsidRPr="00A76AD7">
        <w:rPr>
          <w:rFonts w:ascii="Arial" w:hAnsi="Arial" w:cs="Arial"/>
          <w:b/>
          <w:sz w:val="22"/>
          <w:szCs w:val="22"/>
        </w:rPr>
        <w:t xml:space="preserve">)”, </w:t>
      </w:r>
      <w:r w:rsidRPr="00A76AD7">
        <w:rPr>
          <w:rFonts w:ascii="Arial" w:hAnsi="Arial" w:cs="Arial"/>
          <w:sz w:val="22"/>
          <w:szCs w:val="22"/>
        </w:rPr>
        <w:t xml:space="preserve">que consiste en la </w:t>
      </w:r>
      <w:r>
        <w:rPr>
          <w:rFonts w:ascii="Arial" w:hAnsi="Arial" w:cs="Arial"/>
          <w:sz w:val="22"/>
          <w:szCs w:val="22"/>
        </w:rPr>
        <w:t xml:space="preserve">construcción </w:t>
      </w:r>
      <w:r w:rsidRPr="00A76AD7">
        <w:rPr>
          <w:rFonts w:ascii="Arial" w:hAnsi="Arial" w:cs="Arial"/>
          <w:sz w:val="22"/>
          <w:szCs w:val="22"/>
          <w:lang w:val="es-ES" w:eastAsia="es-ES"/>
        </w:rPr>
        <w:t>de un (01) proyecto de mini-acueducto por ___________</w:t>
      </w:r>
      <w:r w:rsidRPr="00A76AD7">
        <w:rPr>
          <w:rFonts w:ascii="Arial" w:hAnsi="Arial" w:cs="Arial"/>
          <w:color w:val="FF0000"/>
          <w:sz w:val="22"/>
          <w:szCs w:val="22"/>
          <w:lang w:val="es-ES" w:eastAsia="es-ES"/>
        </w:rPr>
        <w:t>(indicar la descripción según el tipo de proyecto</w:t>
      </w:r>
      <w:r w:rsidRPr="00A76AD7">
        <w:rPr>
          <w:rFonts w:ascii="Arial" w:hAnsi="Arial" w:cs="Arial"/>
          <w:sz w:val="22"/>
          <w:szCs w:val="22"/>
          <w:lang w:val="es-ES" w:eastAsia="es-ES"/>
        </w:rPr>
        <w:t xml:space="preserve"> </w:t>
      </w:r>
      <w:r w:rsidRPr="00A76AD7">
        <w:rPr>
          <w:rFonts w:ascii="Arial" w:hAnsi="Arial" w:cs="Arial"/>
          <w:color w:val="FF0000"/>
          <w:sz w:val="22"/>
          <w:szCs w:val="22"/>
          <w:lang w:val="es-ES" w:eastAsia="es-ES"/>
        </w:rPr>
        <w:t>MABE O MAG</w:t>
      </w:r>
      <w:r w:rsidRPr="00A76AD7">
        <w:rPr>
          <w:rFonts w:ascii="Arial" w:hAnsi="Arial" w:cs="Arial"/>
          <w:sz w:val="22"/>
          <w:szCs w:val="22"/>
          <w:lang w:val="es-ES" w:eastAsia="es-ES"/>
        </w:rPr>
        <w:t>) y ejecución del componente de saneamiento, de acuerdo a las especificaciones técnicas y planos para el proyecto,</w:t>
      </w:r>
      <w:r w:rsidRPr="00A76AD7">
        <w:rPr>
          <w:rFonts w:ascii="Arial" w:hAnsi="Arial" w:cs="Arial"/>
          <w:sz w:val="22"/>
          <w:szCs w:val="22"/>
        </w:rPr>
        <w:t xml:space="preserve"> dichas Obras, por el monto de </w:t>
      </w:r>
      <w:r w:rsidRPr="00A76AD7">
        <w:rPr>
          <w:rFonts w:ascii="Arial" w:hAnsi="Arial" w:cs="Arial"/>
          <w:i/>
          <w:color w:val="FF0000"/>
          <w:sz w:val="22"/>
          <w:szCs w:val="22"/>
        </w:rPr>
        <w:t xml:space="preserve">(indicar el Precio del Contrato expresado en letra </w:t>
      </w:r>
      <w:r>
        <w:rPr>
          <w:rFonts w:ascii="Arial" w:hAnsi="Arial" w:cs="Arial"/>
          <w:i/>
          <w:color w:val="FF0000"/>
          <w:sz w:val="22"/>
          <w:szCs w:val="22"/>
        </w:rPr>
        <w:t xml:space="preserve">y </w:t>
      </w:r>
      <w:r w:rsidRPr="00A76AD7">
        <w:rPr>
          <w:rFonts w:ascii="Arial" w:hAnsi="Arial" w:cs="Arial"/>
          <w:i/>
          <w:color w:val="FF0000"/>
          <w:sz w:val="22"/>
          <w:szCs w:val="22"/>
        </w:rPr>
        <w:t xml:space="preserve">número </w:t>
      </w:r>
      <w:r>
        <w:rPr>
          <w:rFonts w:ascii="Arial" w:hAnsi="Arial" w:cs="Arial"/>
          <w:i/>
          <w:color w:val="FF0000"/>
          <w:sz w:val="22"/>
          <w:szCs w:val="22"/>
        </w:rPr>
        <w:t xml:space="preserve">de la </w:t>
      </w:r>
      <w:r w:rsidRPr="00A76AD7">
        <w:rPr>
          <w:rFonts w:ascii="Arial" w:hAnsi="Arial" w:cs="Arial"/>
          <w:i/>
          <w:color w:val="FF0000"/>
          <w:sz w:val="22"/>
          <w:szCs w:val="22"/>
        </w:rPr>
        <w:t>monedas de la oferta)</w:t>
      </w:r>
      <w:r w:rsidRPr="00A76AD7">
        <w:rPr>
          <w:rFonts w:ascii="Arial" w:hAnsi="Arial" w:cs="Arial"/>
          <w:color w:val="FF0000"/>
          <w:sz w:val="22"/>
          <w:szCs w:val="22"/>
        </w:rPr>
        <w:t xml:space="preserve"> </w:t>
      </w:r>
      <w:r w:rsidRPr="00A76AD7">
        <w:rPr>
          <w:rFonts w:ascii="Arial" w:hAnsi="Arial" w:cs="Arial"/>
          <w:sz w:val="22"/>
          <w:szCs w:val="22"/>
        </w:rPr>
        <w:t>(en adelante el “Precio del Contrato”).</w:t>
      </w:r>
    </w:p>
    <w:p w14:paraId="5F841706" w14:textId="77777777" w:rsidR="00F7749D" w:rsidRDefault="00F7749D" w:rsidP="00F7749D">
      <w:pPr>
        <w:spacing w:after="160" w:line="259" w:lineRule="auto"/>
        <w:rPr>
          <w:rFonts w:ascii="Arial" w:hAnsi="Arial" w:cs="Arial"/>
          <w:sz w:val="22"/>
          <w:szCs w:val="22"/>
        </w:rPr>
      </w:pPr>
      <w:r w:rsidRPr="00BB5519">
        <w:rPr>
          <w:rFonts w:ascii="Arial" w:hAnsi="Arial" w:cs="Arial"/>
          <w:sz w:val="22"/>
          <w:szCs w:val="22"/>
        </w:rPr>
        <w:t xml:space="preserve">DECLARA EL CONTRATISTA: </w:t>
      </w:r>
    </w:p>
    <w:p w14:paraId="69742F19" w14:textId="77777777" w:rsidR="00F7749D" w:rsidRPr="00BB5519" w:rsidRDefault="00F7749D" w:rsidP="00F7749D">
      <w:pPr>
        <w:spacing w:after="160" w:line="259" w:lineRule="auto"/>
        <w:rPr>
          <w:rFonts w:ascii="Arial" w:hAnsi="Arial" w:cs="Arial"/>
          <w:sz w:val="22"/>
          <w:szCs w:val="22"/>
        </w:rPr>
      </w:pPr>
    </w:p>
    <w:p w14:paraId="293FBDD5" w14:textId="77777777" w:rsidR="00F7749D" w:rsidRPr="00D957F6" w:rsidRDefault="00F7749D" w:rsidP="00F7749D">
      <w:pPr>
        <w:pStyle w:val="Prrafodelista"/>
        <w:numPr>
          <w:ilvl w:val="0"/>
          <w:numId w:val="83"/>
        </w:numPr>
        <w:tabs>
          <w:tab w:val="clear" w:pos="720"/>
        </w:tabs>
        <w:spacing w:after="160" w:line="259" w:lineRule="auto"/>
        <w:ind w:left="360" w:hanging="360"/>
        <w:contextualSpacing/>
        <w:rPr>
          <w:rFonts w:ascii="Arial" w:hAnsi="Arial" w:cs="Arial"/>
          <w:iCs/>
          <w:sz w:val="22"/>
          <w:szCs w:val="22"/>
        </w:rPr>
      </w:pPr>
      <w:r w:rsidRPr="00D957F6">
        <w:rPr>
          <w:rFonts w:ascii="Arial" w:hAnsi="Arial" w:cs="Arial"/>
          <w:iCs/>
          <w:sz w:val="22"/>
          <w:szCs w:val="22"/>
        </w:rPr>
        <w:t>El señor ______________ actuando en nombre y representación de la _________ (sociedad S.A) con numero RUC _____________lo que demuestra con los siguientes documentos:  1. (Detallar los documentos legales de acreditación de la representación. 2 (detallar el documento legal de la constitución de la Sociedad y/o APCA, entre otros que requiera la legislación aplicable)</w:t>
      </w:r>
    </w:p>
    <w:p w14:paraId="0D624F80" w14:textId="77777777" w:rsidR="00F7749D" w:rsidRPr="00BB5519" w:rsidRDefault="00F7749D" w:rsidP="00F7749D">
      <w:pPr>
        <w:pStyle w:val="Prrafodelista"/>
        <w:spacing w:after="160" w:line="259" w:lineRule="auto"/>
        <w:ind w:left="360"/>
        <w:contextualSpacing/>
        <w:rPr>
          <w:rFonts w:ascii="Arial" w:hAnsi="Arial" w:cs="Arial"/>
          <w:i/>
          <w:iCs/>
          <w:color w:val="FF0000"/>
          <w:sz w:val="22"/>
          <w:szCs w:val="22"/>
        </w:rPr>
      </w:pPr>
    </w:p>
    <w:p w14:paraId="0F90A10B" w14:textId="77777777" w:rsidR="00F7749D" w:rsidRPr="008D533B" w:rsidRDefault="00F7749D" w:rsidP="00F7749D">
      <w:pPr>
        <w:pStyle w:val="Prrafodelista"/>
        <w:numPr>
          <w:ilvl w:val="0"/>
          <w:numId w:val="83"/>
        </w:numPr>
        <w:tabs>
          <w:tab w:val="clear" w:pos="720"/>
          <w:tab w:val="num" w:pos="360"/>
        </w:tabs>
        <w:spacing w:after="160" w:line="259" w:lineRule="auto"/>
        <w:ind w:left="360" w:hanging="360"/>
        <w:contextualSpacing/>
        <w:rPr>
          <w:rFonts w:ascii="Arial" w:hAnsi="Arial" w:cs="Arial"/>
          <w:i/>
          <w:iCs/>
          <w:color w:val="FF0000"/>
          <w:sz w:val="22"/>
          <w:szCs w:val="22"/>
        </w:rPr>
      </w:pPr>
      <w:r>
        <w:rPr>
          <w:rFonts w:ascii="Arial" w:hAnsi="Arial" w:cs="Arial"/>
          <w:sz w:val="22"/>
          <w:szCs w:val="22"/>
        </w:rPr>
        <w:t xml:space="preserve">Que ha aceptado la adjudicación notificada por el Contratante la que expresa en su carta de  </w:t>
      </w:r>
      <w:r w:rsidRPr="00D957F6">
        <w:rPr>
          <w:rFonts w:ascii="Arial" w:hAnsi="Arial" w:cs="Arial"/>
          <w:b/>
          <w:sz w:val="22"/>
          <w:szCs w:val="22"/>
          <w:lang w:val="es-ES"/>
        </w:rPr>
        <w:t>Carta de Aceptación</w:t>
      </w:r>
      <w:r w:rsidRPr="00B2159C">
        <w:rPr>
          <w:rFonts w:ascii="Arial" w:hAnsi="Arial" w:cs="Arial"/>
          <w:color w:val="FF0000"/>
          <w:sz w:val="22"/>
          <w:szCs w:val="22"/>
        </w:rPr>
        <w:t xml:space="preserve">  </w:t>
      </w:r>
      <w:r>
        <w:rPr>
          <w:rFonts w:ascii="Arial" w:hAnsi="Arial" w:cs="Arial"/>
          <w:sz w:val="22"/>
          <w:szCs w:val="22"/>
        </w:rPr>
        <w:t>de fecha __________</w:t>
      </w:r>
      <w:r w:rsidRPr="00BB5519">
        <w:rPr>
          <w:rFonts w:ascii="Arial" w:hAnsi="Arial" w:cs="Arial"/>
          <w:sz w:val="22"/>
          <w:szCs w:val="22"/>
        </w:rPr>
        <w:t>para la ejecución de las Obras</w:t>
      </w:r>
      <w:r w:rsidRPr="00BB5519">
        <w:rPr>
          <w:rFonts w:ascii="Arial" w:hAnsi="Arial" w:cs="Arial"/>
          <w:i/>
          <w:iCs/>
          <w:sz w:val="22"/>
          <w:szCs w:val="22"/>
        </w:rPr>
        <w:t xml:space="preserve"> </w:t>
      </w:r>
      <w:r w:rsidRPr="00BB5519">
        <w:rPr>
          <w:rFonts w:ascii="Arial" w:hAnsi="Arial" w:cs="Arial"/>
          <w:sz w:val="22"/>
          <w:szCs w:val="22"/>
        </w:rPr>
        <w:t>“</w:t>
      </w:r>
      <w:r w:rsidRPr="00BB5519">
        <w:rPr>
          <w:rFonts w:ascii="Arial" w:hAnsi="Arial" w:cs="Arial"/>
          <w:b/>
          <w:sz w:val="22"/>
          <w:szCs w:val="22"/>
        </w:rPr>
        <w:t>Construcción de Sistemas de A</w:t>
      </w:r>
      <w:r>
        <w:rPr>
          <w:rFonts w:ascii="Arial" w:hAnsi="Arial" w:cs="Arial"/>
          <w:b/>
          <w:sz w:val="22"/>
          <w:szCs w:val="22"/>
        </w:rPr>
        <w:t xml:space="preserve">gua y Saneamiento en la Región </w:t>
      </w:r>
      <w:r w:rsidRPr="00BB5519">
        <w:rPr>
          <w:rFonts w:ascii="Arial" w:hAnsi="Arial" w:cs="Arial"/>
          <w:b/>
          <w:sz w:val="22"/>
          <w:szCs w:val="22"/>
        </w:rPr>
        <w:t xml:space="preserve">I – Grupo B”, </w:t>
      </w:r>
      <w:r w:rsidRPr="00BB5519">
        <w:rPr>
          <w:rFonts w:ascii="Arial" w:hAnsi="Arial" w:cs="Arial"/>
          <w:sz w:val="22"/>
          <w:szCs w:val="22"/>
        </w:rPr>
        <w:t>que consiste en</w:t>
      </w:r>
      <w:r w:rsidRPr="00BB5519">
        <w:rPr>
          <w:rFonts w:ascii="Arial" w:hAnsi="Arial" w:cs="Arial"/>
          <w:b/>
          <w:sz w:val="22"/>
          <w:szCs w:val="22"/>
        </w:rPr>
        <w:t xml:space="preserve"> </w:t>
      </w:r>
      <w:r w:rsidRPr="00BB5519">
        <w:rPr>
          <w:rFonts w:ascii="Arial" w:hAnsi="Arial" w:cs="Arial"/>
          <w:sz w:val="22"/>
          <w:szCs w:val="22"/>
        </w:rPr>
        <w:t xml:space="preserve">la </w:t>
      </w:r>
      <w:r>
        <w:rPr>
          <w:rFonts w:ascii="Arial" w:hAnsi="Arial" w:cs="Arial"/>
          <w:sz w:val="22"/>
          <w:szCs w:val="22"/>
        </w:rPr>
        <w:t>CONSTRUCCIO</w:t>
      </w:r>
      <w:r w:rsidRPr="00BB5519">
        <w:rPr>
          <w:rFonts w:ascii="Arial" w:hAnsi="Arial" w:cs="Arial"/>
          <w:sz w:val="22"/>
          <w:szCs w:val="22"/>
          <w:lang w:val="es-ES" w:eastAsia="es-ES"/>
        </w:rPr>
        <w:t xml:space="preserve"> de un (01) proyecto de mini-acueducto por </w:t>
      </w:r>
      <w:r w:rsidRPr="00D957F6">
        <w:rPr>
          <w:rFonts w:ascii="Arial" w:hAnsi="Arial" w:cs="Arial"/>
          <w:color w:val="FF0000"/>
          <w:sz w:val="22"/>
          <w:szCs w:val="22"/>
          <w:lang w:val="es-ES" w:eastAsia="es-ES"/>
        </w:rPr>
        <w:t xml:space="preserve">(indicar la descripción según el tipo de proyecto MABE O MAG) </w:t>
      </w:r>
      <w:r w:rsidRPr="00D957F6">
        <w:rPr>
          <w:rFonts w:ascii="Arial" w:hAnsi="Arial" w:cs="Arial"/>
          <w:sz w:val="22"/>
          <w:szCs w:val="22"/>
          <w:lang w:val="es-ES" w:eastAsia="es-ES"/>
        </w:rPr>
        <w:t xml:space="preserve">y ejecución del componente de saneamiento, de acuerdo a las especificaciones técnicas y planos para el proyecto </w:t>
      </w:r>
      <w:r w:rsidRPr="00D957F6">
        <w:rPr>
          <w:rFonts w:ascii="Arial" w:hAnsi="Arial" w:cs="Arial"/>
          <w:color w:val="FF0000"/>
          <w:sz w:val="22"/>
          <w:szCs w:val="22"/>
          <w:lang w:val="es-ES" w:eastAsia="es-ES"/>
        </w:rPr>
        <w:t>_______(indicar número y nombre del proyecto</w:t>
      </w:r>
      <w:r w:rsidRPr="00D957F6">
        <w:rPr>
          <w:rFonts w:ascii="Arial" w:hAnsi="Arial" w:cs="Arial"/>
          <w:color w:val="FF0000"/>
          <w:sz w:val="22"/>
          <w:szCs w:val="22"/>
        </w:rPr>
        <w:t>)</w:t>
      </w:r>
      <w:r w:rsidRPr="00D957F6">
        <w:rPr>
          <w:rFonts w:ascii="Arial" w:hAnsi="Arial" w:cs="Arial"/>
          <w:sz w:val="22"/>
          <w:szCs w:val="22"/>
        </w:rPr>
        <w:t xml:space="preserve"> y que el Precio del Contrato corresponde a su oferta por dichas Obras.</w:t>
      </w:r>
    </w:p>
    <w:p w14:paraId="3A7ED7AC" w14:textId="77777777" w:rsidR="00F7749D" w:rsidRPr="008D533B" w:rsidRDefault="00F7749D" w:rsidP="00F7749D">
      <w:pPr>
        <w:pStyle w:val="Prrafodelista"/>
        <w:rPr>
          <w:rFonts w:ascii="Arial" w:hAnsi="Arial" w:cs="Arial"/>
          <w:i/>
          <w:iCs/>
          <w:color w:val="FF0000"/>
          <w:sz w:val="22"/>
          <w:szCs w:val="22"/>
        </w:rPr>
      </w:pPr>
    </w:p>
    <w:p w14:paraId="2F24AF90" w14:textId="77777777" w:rsidR="00F7749D" w:rsidRPr="00BB5519" w:rsidRDefault="00F7749D" w:rsidP="00F7749D">
      <w:pPr>
        <w:pStyle w:val="Prrafodelista"/>
        <w:autoSpaceDE w:val="0"/>
        <w:autoSpaceDN w:val="0"/>
        <w:adjustRightInd w:val="0"/>
        <w:jc w:val="left"/>
        <w:rPr>
          <w:rFonts w:ascii="Arial" w:eastAsiaTheme="minorHAnsi" w:hAnsi="Arial" w:cs="Arial"/>
          <w:color w:val="000000"/>
          <w:sz w:val="22"/>
          <w:szCs w:val="22"/>
          <w:lang w:val="es-NI"/>
        </w:rPr>
      </w:pPr>
    </w:p>
    <w:p w14:paraId="2D6FE521" w14:textId="77777777" w:rsidR="00F7749D" w:rsidRDefault="00F7749D" w:rsidP="00F7749D">
      <w:pPr>
        <w:spacing w:after="160" w:line="259" w:lineRule="auto"/>
        <w:jc w:val="left"/>
        <w:rPr>
          <w:rFonts w:ascii="Arial" w:hAnsi="Arial" w:cs="Arial"/>
          <w:sz w:val="22"/>
          <w:szCs w:val="22"/>
        </w:rPr>
      </w:pPr>
    </w:p>
    <w:p w14:paraId="38B5F735" w14:textId="77777777" w:rsidR="00F7749D" w:rsidRDefault="00F7749D" w:rsidP="00F7749D">
      <w:pPr>
        <w:spacing w:after="160" w:line="259" w:lineRule="auto"/>
        <w:jc w:val="left"/>
        <w:rPr>
          <w:rFonts w:ascii="Arial" w:hAnsi="Arial" w:cs="Arial"/>
          <w:sz w:val="22"/>
          <w:szCs w:val="22"/>
        </w:rPr>
      </w:pPr>
    </w:p>
    <w:p w14:paraId="37D98C63" w14:textId="77777777" w:rsidR="00F7749D" w:rsidRPr="00BB5519" w:rsidRDefault="00F7749D" w:rsidP="00F7749D">
      <w:pPr>
        <w:spacing w:after="160" w:line="259" w:lineRule="auto"/>
        <w:jc w:val="left"/>
        <w:rPr>
          <w:rFonts w:ascii="Arial" w:hAnsi="Arial" w:cs="Arial"/>
          <w:sz w:val="22"/>
          <w:szCs w:val="22"/>
        </w:rPr>
      </w:pPr>
      <w:r w:rsidRPr="00BB5519">
        <w:rPr>
          <w:rFonts w:ascii="Arial" w:hAnsi="Arial" w:cs="Arial"/>
          <w:sz w:val="22"/>
          <w:szCs w:val="22"/>
        </w:rPr>
        <w:t>LAS PARTES CONVIENEN LO SIGUIENTE:</w:t>
      </w:r>
    </w:p>
    <w:p w14:paraId="2FEB8D87" w14:textId="77777777" w:rsidR="00F7749D" w:rsidRPr="00BB5519" w:rsidRDefault="00F7749D" w:rsidP="00F7749D">
      <w:pPr>
        <w:pStyle w:val="Prrafodelista"/>
        <w:numPr>
          <w:ilvl w:val="0"/>
          <w:numId w:val="84"/>
        </w:numPr>
        <w:tabs>
          <w:tab w:val="clear" w:pos="720"/>
          <w:tab w:val="num" w:pos="360"/>
        </w:tabs>
        <w:spacing w:after="160" w:line="259" w:lineRule="auto"/>
        <w:jc w:val="left"/>
        <w:rPr>
          <w:rFonts w:ascii="Arial" w:hAnsi="Arial" w:cs="Arial"/>
          <w:b/>
          <w:bCs/>
          <w:sz w:val="22"/>
          <w:szCs w:val="22"/>
        </w:rPr>
      </w:pPr>
      <w:r w:rsidRPr="00BB5519">
        <w:rPr>
          <w:rFonts w:ascii="Arial" w:hAnsi="Arial" w:cs="Arial"/>
          <w:b/>
          <w:bCs/>
          <w:sz w:val="22"/>
          <w:szCs w:val="22"/>
        </w:rPr>
        <w:t>Interpretación</w:t>
      </w:r>
    </w:p>
    <w:p w14:paraId="7AA14C88" w14:textId="77777777" w:rsidR="00F7749D" w:rsidRPr="00BB5519" w:rsidRDefault="00F7749D" w:rsidP="00F7749D">
      <w:pPr>
        <w:pStyle w:val="Prrafodelista"/>
        <w:numPr>
          <w:ilvl w:val="0"/>
          <w:numId w:val="85"/>
        </w:numPr>
        <w:spacing w:after="160"/>
        <w:ind w:left="720"/>
        <w:contextualSpacing/>
        <w:jc w:val="left"/>
        <w:rPr>
          <w:rFonts w:ascii="Arial" w:hAnsi="Arial" w:cs="Arial"/>
          <w:sz w:val="22"/>
          <w:szCs w:val="22"/>
        </w:rPr>
      </w:pPr>
      <w:r w:rsidRPr="00BB5519">
        <w:rPr>
          <w:rFonts w:ascii="Arial" w:hAnsi="Arial" w:cs="Arial"/>
          <w:sz w:val="22"/>
          <w:szCs w:val="22"/>
        </w:rPr>
        <w:t>En este Contrato las palabras y expresiones tendrán el mismo significado que se les asigne en las respectivas condiciones del Contrato a que se refieran.</w:t>
      </w:r>
    </w:p>
    <w:p w14:paraId="1901EB1B" w14:textId="77777777" w:rsidR="00F7749D" w:rsidRPr="00BB5519" w:rsidRDefault="00F7749D" w:rsidP="00F7749D">
      <w:pPr>
        <w:pStyle w:val="Prrafodelista"/>
        <w:numPr>
          <w:ilvl w:val="0"/>
          <w:numId w:val="85"/>
        </w:numPr>
        <w:spacing w:after="160"/>
        <w:ind w:left="720"/>
        <w:contextualSpacing/>
        <w:jc w:val="left"/>
        <w:rPr>
          <w:rFonts w:ascii="Arial" w:hAnsi="Arial" w:cs="Arial"/>
          <w:sz w:val="22"/>
          <w:szCs w:val="22"/>
        </w:rPr>
      </w:pPr>
      <w:r w:rsidRPr="00BB5519">
        <w:rPr>
          <w:rStyle w:val="normaltextrun"/>
          <w:rFonts w:ascii="Arial" w:hAnsi="Arial" w:cs="Arial"/>
          <w:color w:val="000000"/>
          <w:sz w:val="22"/>
          <w:szCs w:val="22"/>
          <w:bdr w:val="none" w:sz="0" w:space="0" w:color="auto" w:frame="1"/>
          <w:lang w:val="es-HN"/>
        </w:rPr>
        <w:t>Adicionalmente a lo dispuesto en el inciso 1, la interpretación del Contrato se regirá por lo dispuesto en las Condiciones Generales del Contrato.</w:t>
      </w:r>
    </w:p>
    <w:p w14:paraId="79A51B49" w14:textId="77777777" w:rsidR="00F7749D" w:rsidRPr="00BB5519" w:rsidRDefault="00F7749D" w:rsidP="00F7749D">
      <w:pPr>
        <w:pStyle w:val="Prrafodelista"/>
        <w:numPr>
          <w:ilvl w:val="0"/>
          <w:numId w:val="84"/>
        </w:numPr>
        <w:tabs>
          <w:tab w:val="clear" w:pos="720"/>
          <w:tab w:val="num" w:pos="360"/>
        </w:tabs>
        <w:spacing w:before="240" w:after="240"/>
        <w:jc w:val="left"/>
        <w:rPr>
          <w:rFonts w:ascii="Arial" w:hAnsi="Arial" w:cs="Arial"/>
          <w:b/>
          <w:bCs/>
          <w:sz w:val="22"/>
          <w:szCs w:val="22"/>
        </w:rPr>
      </w:pPr>
      <w:r w:rsidRPr="00BB5519">
        <w:rPr>
          <w:rFonts w:ascii="Arial" w:hAnsi="Arial" w:cs="Arial"/>
          <w:b/>
          <w:bCs/>
          <w:sz w:val="22"/>
          <w:szCs w:val="22"/>
        </w:rPr>
        <w:t>Orden de Prelación de los documentos contractuales</w:t>
      </w:r>
    </w:p>
    <w:p w14:paraId="4E14AD5D" w14:textId="77777777" w:rsidR="00F7749D" w:rsidRPr="00BB5519" w:rsidRDefault="00F7749D" w:rsidP="00F7749D">
      <w:pPr>
        <w:pStyle w:val="Prrafodelista"/>
        <w:numPr>
          <w:ilvl w:val="0"/>
          <w:numId w:val="87"/>
        </w:numPr>
        <w:spacing w:after="160" w:line="259" w:lineRule="auto"/>
        <w:ind w:left="720"/>
        <w:contextualSpacing/>
        <w:rPr>
          <w:rFonts w:ascii="Arial" w:hAnsi="Arial" w:cs="Arial"/>
          <w:sz w:val="22"/>
          <w:szCs w:val="22"/>
        </w:rPr>
      </w:pPr>
      <w:r w:rsidRPr="00BB5519">
        <w:rPr>
          <w:rFonts w:ascii="Arial" w:hAnsi="Arial" w:cs="Arial"/>
          <w:sz w:val="22"/>
          <w:szCs w:val="22"/>
        </w:rPr>
        <w:t>Los siguientes documentos constituyen el Contrato entre el Contratante y el Contratista, y serán leídos e interpretados como parte integral del Contrato:</w:t>
      </w:r>
    </w:p>
    <w:p w14:paraId="0A4BADB8" w14:textId="77777777" w:rsidR="00F7749D" w:rsidRPr="00BB5519"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BB5519">
        <w:rPr>
          <w:rFonts w:ascii="Arial" w:hAnsi="Arial" w:cs="Arial"/>
          <w:spacing w:val="-3"/>
          <w:sz w:val="22"/>
          <w:szCs w:val="22"/>
        </w:rPr>
        <w:t xml:space="preserve">Contrato, </w:t>
      </w:r>
    </w:p>
    <w:p w14:paraId="145412A9" w14:textId="77777777" w:rsidR="00F7749D" w:rsidRPr="00BB5519"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BB5519">
        <w:rPr>
          <w:rFonts w:ascii="Arial" w:hAnsi="Arial" w:cs="Arial"/>
          <w:spacing w:val="-3"/>
          <w:sz w:val="22"/>
          <w:szCs w:val="22"/>
        </w:rPr>
        <w:t>Carta de Aceptación,</w:t>
      </w:r>
    </w:p>
    <w:p w14:paraId="785C9450" w14:textId="77777777" w:rsidR="00F7749D" w:rsidRPr="00BB5519"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BB5519">
        <w:rPr>
          <w:rFonts w:ascii="Arial" w:hAnsi="Arial" w:cs="Arial"/>
          <w:spacing w:val="-3"/>
          <w:sz w:val="22"/>
          <w:szCs w:val="22"/>
        </w:rPr>
        <w:t>Oferta del Contratista,</w:t>
      </w:r>
    </w:p>
    <w:p w14:paraId="12B2C6BD" w14:textId="77777777" w:rsidR="00F7749D" w:rsidRPr="00BB5519"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BB5519">
        <w:rPr>
          <w:rFonts w:ascii="Arial" w:hAnsi="Arial" w:cs="Arial"/>
          <w:spacing w:val="-3"/>
          <w:sz w:val="22"/>
          <w:szCs w:val="22"/>
        </w:rPr>
        <w:t>Condiciones Particulares del Contrato,</w:t>
      </w:r>
    </w:p>
    <w:p w14:paraId="6F7EF5EE" w14:textId="77777777" w:rsidR="00F7749D" w:rsidRPr="00BB5519"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BB5519">
        <w:rPr>
          <w:rFonts w:ascii="Arial" w:hAnsi="Arial" w:cs="Arial"/>
          <w:spacing w:val="-3"/>
          <w:sz w:val="22"/>
          <w:szCs w:val="22"/>
        </w:rPr>
        <w:t>Condiciones Generales del Contrato,</w:t>
      </w:r>
    </w:p>
    <w:p w14:paraId="74ADB148" w14:textId="77777777" w:rsidR="00F7749D" w:rsidRPr="00BB5519"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BB5519">
        <w:rPr>
          <w:rFonts w:ascii="Arial" w:hAnsi="Arial" w:cs="Arial"/>
          <w:spacing w:val="-3"/>
          <w:sz w:val="22"/>
          <w:szCs w:val="22"/>
        </w:rPr>
        <w:t>Especificaciones y planos,</w:t>
      </w:r>
    </w:p>
    <w:p w14:paraId="467700E1" w14:textId="77777777" w:rsidR="00F7749D" w:rsidRPr="0025311F"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spacing w:val="-3"/>
          <w:sz w:val="22"/>
          <w:szCs w:val="22"/>
        </w:rPr>
      </w:pPr>
      <w:r w:rsidRPr="0025311F">
        <w:rPr>
          <w:rFonts w:ascii="Arial" w:hAnsi="Arial" w:cs="Arial"/>
          <w:spacing w:val="-3"/>
          <w:sz w:val="22"/>
          <w:szCs w:val="22"/>
        </w:rPr>
        <w:t>Lista de cantidades</w:t>
      </w:r>
      <w:r w:rsidRPr="0025311F">
        <w:rPr>
          <w:rFonts w:ascii="Arial" w:hAnsi="Arial" w:cs="Arial"/>
          <w:spacing w:val="-3"/>
          <w:sz w:val="22"/>
          <w:szCs w:val="22"/>
          <w:vertAlign w:val="superscript"/>
        </w:rPr>
        <w:t xml:space="preserve"> </w:t>
      </w:r>
      <w:r w:rsidRPr="0025311F">
        <w:rPr>
          <w:rFonts w:ascii="Arial" w:hAnsi="Arial" w:cs="Arial"/>
          <w:spacing w:val="-3"/>
          <w:sz w:val="22"/>
          <w:szCs w:val="22"/>
        </w:rPr>
        <w:t>y precios unitarios</w:t>
      </w:r>
    </w:p>
    <w:p w14:paraId="5E699CF7" w14:textId="77777777" w:rsidR="00F7749D" w:rsidRPr="0025311F"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i/>
          <w:spacing w:val="-3"/>
          <w:sz w:val="22"/>
          <w:szCs w:val="22"/>
        </w:rPr>
      </w:pPr>
      <w:r w:rsidRPr="0025311F">
        <w:rPr>
          <w:rFonts w:ascii="Arial" w:hAnsi="Arial" w:cs="Arial"/>
          <w:i/>
          <w:spacing w:val="-3"/>
          <w:sz w:val="22"/>
          <w:szCs w:val="22"/>
        </w:rPr>
        <w:t>Garantía de Cumplimiento de Contrato</w:t>
      </w:r>
    </w:p>
    <w:p w14:paraId="14B798C8" w14:textId="77777777" w:rsidR="00F7749D" w:rsidRPr="0025311F"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i/>
          <w:spacing w:val="-3"/>
          <w:sz w:val="22"/>
          <w:szCs w:val="22"/>
        </w:rPr>
      </w:pPr>
      <w:r w:rsidRPr="0025311F">
        <w:rPr>
          <w:rFonts w:ascii="Arial" w:hAnsi="Arial" w:cs="Arial"/>
          <w:i/>
          <w:spacing w:val="-3"/>
          <w:sz w:val="22"/>
          <w:szCs w:val="22"/>
        </w:rPr>
        <w:t xml:space="preserve">Garantía de Vicios Ocultos </w:t>
      </w:r>
    </w:p>
    <w:p w14:paraId="626CFD75" w14:textId="77777777" w:rsidR="00F7749D" w:rsidRPr="0025311F"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i/>
          <w:spacing w:val="-3"/>
          <w:sz w:val="22"/>
          <w:szCs w:val="22"/>
        </w:rPr>
      </w:pPr>
      <w:r w:rsidRPr="0025311F">
        <w:rPr>
          <w:rFonts w:ascii="Arial" w:hAnsi="Arial" w:cs="Arial"/>
          <w:i/>
          <w:spacing w:val="-3"/>
          <w:sz w:val="22"/>
          <w:szCs w:val="22"/>
        </w:rPr>
        <w:t>Póliza de Todo Riesgo de Construcción</w:t>
      </w:r>
    </w:p>
    <w:p w14:paraId="0A445251" w14:textId="77777777" w:rsidR="00F7749D" w:rsidRDefault="00F7749D" w:rsidP="00F7749D">
      <w:pPr>
        <w:pStyle w:val="Prrafodelista"/>
        <w:numPr>
          <w:ilvl w:val="0"/>
          <w:numId w:val="86"/>
        </w:numPr>
        <w:tabs>
          <w:tab w:val="clear" w:pos="1800"/>
          <w:tab w:val="num" w:pos="1710"/>
        </w:tabs>
        <w:suppressAutoHyphens/>
        <w:spacing w:after="140"/>
        <w:ind w:left="1080" w:hanging="360"/>
        <w:contextualSpacing/>
        <w:rPr>
          <w:rFonts w:ascii="Arial" w:hAnsi="Arial" w:cs="Arial"/>
          <w:i/>
          <w:spacing w:val="-3"/>
          <w:sz w:val="22"/>
          <w:szCs w:val="22"/>
        </w:rPr>
      </w:pPr>
      <w:r w:rsidRPr="0025311F">
        <w:rPr>
          <w:rFonts w:ascii="Arial" w:hAnsi="Arial" w:cs="Arial"/>
          <w:i/>
          <w:spacing w:val="-3"/>
          <w:sz w:val="22"/>
          <w:szCs w:val="22"/>
        </w:rPr>
        <w:t>Póliza de Responsabilidad Civil por daños a la propiedad o bienes de terceros</w:t>
      </w:r>
    </w:p>
    <w:p w14:paraId="7A16949C" w14:textId="77777777" w:rsidR="006537B2" w:rsidRPr="00B65DEE" w:rsidRDefault="006537B2" w:rsidP="00F7749D">
      <w:pPr>
        <w:pStyle w:val="Prrafodelista"/>
        <w:numPr>
          <w:ilvl w:val="0"/>
          <w:numId w:val="86"/>
        </w:numPr>
        <w:tabs>
          <w:tab w:val="clear" w:pos="1800"/>
          <w:tab w:val="num" w:pos="1710"/>
        </w:tabs>
        <w:suppressAutoHyphens/>
        <w:spacing w:after="140"/>
        <w:ind w:left="1080" w:hanging="360"/>
        <w:contextualSpacing/>
        <w:rPr>
          <w:rFonts w:ascii="Arial" w:hAnsi="Arial" w:cs="Arial"/>
          <w:i/>
          <w:spacing w:val="-3"/>
          <w:sz w:val="22"/>
          <w:szCs w:val="22"/>
          <w:highlight w:val="yellow"/>
        </w:rPr>
      </w:pPr>
      <w:r w:rsidRPr="00B65DEE">
        <w:rPr>
          <w:rFonts w:ascii="Arial" w:hAnsi="Arial" w:cs="Arial"/>
          <w:i/>
          <w:spacing w:val="-3"/>
          <w:sz w:val="22"/>
          <w:szCs w:val="22"/>
          <w:highlight w:val="yellow"/>
        </w:rPr>
        <w:t>Las comunicaciones entre las partes y las Adendas convenidas entre las partes.</w:t>
      </w:r>
    </w:p>
    <w:p w14:paraId="4F5024CC" w14:textId="77777777" w:rsidR="00F7749D" w:rsidRPr="00BB5519" w:rsidRDefault="00F7749D" w:rsidP="00F7749D">
      <w:pPr>
        <w:pStyle w:val="Prrafodelista"/>
        <w:suppressAutoHyphens/>
        <w:spacing w:after="140"/>
        <w:ind w:left="1080"/>
        <w:contextualSpacing/>
        <w:rPr>
          <w:rFonts w:ascii="Arial" w:hAnsi="Arial" w:cs="Arial"/>
          <w:i/>
          <w:color w:val="FF0000"/>
          <w:spacing w:val="-3"/>
          <w:sz w:val="22"/>
          <w:szCs w:val="22"/>
        </w:rPr>
      </w:pPr>
    </w:p>
    <w:p w14:paraId="50A09753" w14:textId="77777777" w:rsidR="00F7749D" w:rsidRPr="00BB5519" w:rsidRDefault="00F7749D" w:rsidP="00F7749D">
      <w:pPr>
        <w:pStyle w:val="Prrafodelista"/>
        <w:numPr>
          <w:ilvl w:val="0"/>
          <w:numId w:val="87"/>
        </w:numPr>
        <w:spacing w:before="120" w:after="120"/>
        <w:ind w:left="720"/>
        <w:rPr>
          <w:rFonts w:ascii="Arial" w:hAnsi="Arial" w:cs="Arial"/>
          <w:sz w:val="22"/>
          <w:szCs w:val="22"/>
        </w:rPr>
      </w:pPr>
      <w:r w:rsidRPr="00BB5519">
        <w:rPr>
          <w:rFonts w:ascii="Arial" w:hAnsi="Arial" w:cs="Arial"/>
          <w:sz w:val="22"/>
          <w:szCs w:val="22"/>
        </w:rPr>
        <w:t>Este Contrato prevalecerá sobre todos los otros documentos contractuales. En caso de alguna discrepancia o inconsistencia entre los documentos del Contrato, los documentos prevalecerán en el orden enunciado anteriormente.</w:t>
      </w:r>
    </w:p>
    <w:p w14:paraId="3BDA369A" w14:textId="77777777" w:rsidR="00F7749D" w:rsidRPr="00BB5519" w:rsidRDefault="00F7749D" w:rsidP="00F7749D">
      <w:pPr>
        <w:pStyle w:val="Prrafodelista"/>
        <w:numPr>
          <w:ilvl w:val="0"/>
          <w:numId w:val="87"/>
        </w:numPr>
        <w:spacing w:before="120" w:after="120"/>
        <w:ind w:left="720"/>
        <w:rPr>
          <w:rFonts w:ascii="Arial" w:hAnsi="Arial" w:cs="Arial"/>
          <w:sz w:val="22"/>
          <w:szCs w:val="22"/>
        </w:rPr>
      </w:pPr>
      <w:r w:rsidRPr="00BB5519">
        <w:rPr>
          <w:rFonts w:ascii="Arial" w:hAnsi="Arial" w:cs="Arial"/>
          <w:sz w:val="22"/>
          <w:szCs w:val="22"/>
        </w:rPr>
        <w:t>Sujeto al orden de prelación establecido, todos los documentos que forman parte integral del Contrato son correlativos, complementarios y mutuamente explicativos. El contrato debe leerse en su conjunto de manera integral.</w:t>
      </w:r>
    </w:p>
    <w:p w14:paraId="3D6D778E" w14:textId="77777777" w:rsidR="00F7749D" w:rsidRPr="00FE0CC3" w:rsidRDefault="00F7749D" w:rsidP="00F7749D">
      <w:pPr>
        <w:pStyle w:val="Prrafodelista"/>
        <w:numPr>
          <w:ilvl w:val="0"/>
          <w:numId w:val="84"/>
        </w:numPr>
        <w:tabs>
          <w:tab w:val="clear" w:pos="720"/>
          <w:tab w:val="num" w:pos="360"/>
        </w:tabs>
        <w:spacing w:before="120" w:after="120"/>
        <w:jc w:val="left"/>
        <w:rPr>
          <w:rFonts w:ascii="Arial" w:hAnsi="Arial" w:cs="Arial"/>
          <w:b/>
          <w:bCs/>
          <w:sz w:val="22"/>
          <w:szCs w:val="22"/>
        </w:rPr>
      </w:pPr>
      <w:r w:rsidRPr="00FE0CC3">
        <w:rPr>
          <w:rFonts w:ascii="Arial" w:hAnsi="Arial" w:cs="Arial"/>
          <w:b/>
          <w:bCs/>
          <w:sz w:val="22"/>
          <w:szCs w:val="22"/>
        </w:rPr>
        <w:t>Obligaciones del Contratista y del Contratante</w:t>
      </w:r>
    </w:p>
    <w:p w14:paraId="2B90529C" w14:textId="77777777" w:rsidR="00F7749D" w:rsidRPr="00FE0CC3" w:rsidRDefault="00F7749D" w:rsidP="00F7749D">
      <w:pPr>
        <w:pStyle w:val="Prrafodelista"/>
        <w:numPr>
          <w:ilvl w:val="0"/>
          <w:numId w:val="88"/>
        </w:numPr>
        <w:tabs>
          <w:tab w:val="clear" w:pos="720"/>
        </w:tabs>
        <w:spacing w:after="160" w:line="259" w:lineRule="auto"/>
        <w:ind w:hanging="360"/>
        <w:contextualSpacing/>
        <w:rPr>
          <w:rFonts w:ascii="Arial" w:hAnsi="Arial" w:cs="Arial"/>
          <w:sz w:val="22"/>
          <w:szCs w:val="22"/>
        </w:rPr>
      </w:pPr>
      <w:r w:rsidRPr="00FE0CC3">
        <w:rPr>
          <w:rFonts w:ascii="Arial" w:hAnsi="Arial" w:cs="Arial"/>
          <w:sz w:val="22"/>
          <w:szCs w:val="22"/>
        </w:rPr>
        <w:t>En razón a los pagos que el Contratante hará al Contratista conforme a lo estipulado en este Contrato, el Contratista se obliga a ejecutar las Obras para el Contratante y a subsanar cualquier vicio o defecto de ésta de conformidad en todo respecto con las disposiciones del Contrato.</w:t>
      </w:r>
    </w:p>
    <w:p w14:paraId="5ABE0436" w14:textId="77777777" w:rsidR="00F7749D" w:rsidRPr="008E4F0B" w:rsidRDefault="00F7749D" w:rsidP="00F7749D">
      <w:pPr>
        <w:pStyle w:val="Prrafodelista"/>
        <w:numPr>
          <w:ilvl w:val="0"/>
          <w:numId w:val="88"/>
        </w:numPr>
        <w:tabs>
          <w:tab w:val="clear" w:pos="720"/>
        </w:tabs>
        <w:spacing w:after="160" w:line="259" w:lineRule="auto"/>
        <w:ind w:hanging="360"/>
        <w:contextualSpacing/>
        <w:rPr>
          <w:rFonts w:ascii="Arial" w:hAnsi="Arial" w:cs="Arial"/>
          <w:sz w:val="22"/>
          <w:szCs w:val="22"/>
        </w:rPr>
      </w:pPr>
      <w:bookmarkStart w:id="1833" w:name="_Hlk22310415"/>
      <w:r w:rsidRPr="008E4F0B">
        <w:rPr>
          <w:rFonts w:ascii="Arial" w:hAnsi="Arial" w:cs="Arial"/>
          <w:sz w:val="22"/>
          <w:szCs w:val="22"/>
        </w:rPr>
        <w:t>El Contratante se compromete a pagar al Contratista como remuneración</w:t>
      </w:r>
      <w:r w:rsidRPr="008E4F0B" w:rsidDel="006E1CDD">
        <w:rPr>
          <w:rFonts w:ascii="Arial" w:hAnsi="Arial" w:cs="Arial"/>
          <w:sz w:val="22"/>
          <w:szCs w:val="22"/>
        </w:rPr>
        <w:t xml:space="preserve"> </w:t>
      </w:r>
      <w:r w:rsidRPr="008E4F0B">
        <w:rPr>
          <w:rFonts w:ascii="Arial" w:hAnsi="Arial" w:cs="Arial"/>
          <w:sz w:val="22"/>
          <w:szCs w:val="22"/>
        </w:rPr>
        <w:t xml:space="preserve">de la ejecución de las Obras, incluido cualquier subsanación de sus defectos, el Precio del Contrato </w:t>
      </w:r>
      <w:bookmarkEnd w:id="1833"/>
      <w:r w:rsidRPr="008E4F0B">
        <w:rPr>
          <w:rFonts w:ascii="Arial" w:hAnsi="Arial" w:cs="Arial"/>
          <w:sz w:val="22"/>
          <w:szCs w:val="22"/>
        </w:rPr>
        <w:t xml:space="preserve">o las sumas que resulten pagaderas de conformidad con lo dispuesto en el Contrato en el plazo y en la forma prescritos en éste. </w:t>
      </w:r>
    </w:p>
    <w:p w14:paraId="46B467C7" w14:textId="77777777" w:rsidR="00F7749D" w:rsidRPr="008E4F0B" w:rsidRDefault="00F7749D" w:rsidP="00F7749D">
      <w:pPr>
        <w:pStyle w:val="Prrafodelista"/>
        <w:numPr>
          <w:ilvl w:val="0"/>
          <w:numId w:val="88"/>
        </w:numPr>
        <w:tabs>
          <w:tab w:val="clear" w:pos="720"/>
        </w:tabs>
        <w:spacing w:after="160" w:line="259" w:lineRule="auto"/>
        <w:ind w:hanging="360"/>
        <w:contextualSpacing/>
        <w:rPr>
          <w:rFonts w:ascii="Arial" w:hAnsi="Arial" w:cs="Arial"/>
          <w:sz w:val="22"/>
          <w:szCs w:val="22"/>
        </w:rPr>
      </w:pPr>
      <w:r w:rsidRPr="008E4F0B">
        <w:rPr>
          <w:rFonts w:ascii="Arial" w:hAnsi="Arial" w:cs="Arial"/>
          <w:sz w:val="22"/>
          <w:szCs w:val="22"/>
        </w:rPr>
        <w:t>Las Partes se comprometen a actuar de buena fe en cuanto a los derechos de la otra Parte en virtud de este Contrato y a adoptar todas las medidas razonables para asegurar el cumplimiento de los objetivos de este Contrato.</w:t>
      </w:r>
    </w:p>
    <w:p w14:paraId="11FE272B" w14:textId="77777777" w:rsidR="00F7749D" w:rsidRPr="008E4F0B" w:rsidRDefault="00F7749D" w:rsidP="00F7749D">
      <w:pPr>
        <w:spacing w:after="160" w:line="259" w:lineRule="auto"/>
        <w:rPr>
          <w:rFonts w:ascii="Arial" w:hAnsi="Arial" w:cs="Arial"/>
          <w:sz w:val="22"/>
          <w:szCs w:val="22"/>
        </w:rPr>
      </w:pPr>
      <w:r w:rsidRPr="008E4F0B">
        <w:rPr>
          <w:rFonts w:ascii="Arial" w:hAnsi="Arial" w:cs="Arial"/>
          <w:b/>
          <w:bCs/>
          <w:sz w:val="22"/>
          <w:szCs w:val="22"/>
        </w:rPr>
        <w:lastRenderedPageBreak/>
        <w:t>Enteradas de su contenido y alcance</w:t>
      </w:r>
      <w:r w:rsidRPr="008E4F0B">
        <w:rPr>
          <w:rFonts w:ascii="Arial" w:hAnsi="Arial" w:cs="Arial"/>
          <w:sz w:val="22"/>
          <w:szCs w:val="22"/>
        </w:rPr>
        <w:t>, las Partes suscriben el presente Contrato de conformidad con la legislación aplicable definida en las Condiciones Generales del Contrato en el día, mes y año antes indicados.</w:t>
      </w:r>
    </w:p>
    <w:p w14:paraId="5E316959" w14:textId="77777777" w:rsidR="00F7749D" w:rsidRPr="008E4F0B" w:rsidRDefault="00F7749D" w:rsidP="00F7749D">
      <w:pPr>
        <w:spacing w:after="160" w:line="259" w:lineRule="auto"/>
        <w:rPr>
          <w:rFonts w:ascii="Arial" w:hAnsi="Arial" w:cs="Arial"/>
          <w:sz w:val="22"/>
          <w:szCs w:val="22"/>
        </w:rPr>
      </w:pPr>
    </w:p>
    <w:tbl>
      <w:tblPr>
        <w:tblW w:w="0" w:type="auto"/>
        <w:tblLook w:val="04A0" w:firstRow="1" w:lastRow="0" w:firstColumn="1" w:lastColumn="0" w:noHBand="0" w:noVBand="1"/>
      </w:tblPr>
      <w:tblGrid>
        <w:gridCol w:w="4414"/>
        <w:gridCol w:w="4414"/>
      </w:tblGrid>
      <w:tr w:rsidR="00F7749D" w:rsidRPr="008E4F0B" w14:paraId="28D8F96A" w14:textId="77777777" w:rsidTr="00D23A40">
        <w:tc>
          <w:tcPr>
            <w:tcW w:w="4414" w:type="dxa"/>
          </w:tcPr>
          <w:p w14:paraId="28A3552C" w14:textId="77777777" w:rsidR="00F7749D" w:rsidRPr="008E4F0B" w:rsidRDefault="00F7749D" w:rsidP="00D23A40">
            <w:pPr>
              <w:spacing w:line="259" w:lineRule="auto"/>
              <w:jc w:val="center"/>
              <w:rPr>
                <w:rFonts w:ascii="Arial" w:hAnsi="Arial" w:cs="Arial"/>
                <w:b/>
                <w:bCs/>
                <w:sz w:val="22"/>
                <w:szCs w:val="22"/>
              </w:rPr>
            </w:pPr>
            <w:r w:rsidRPr="008E4F0B">
              <w:rPr>
                <w:rFonts w:ascii="Arial" w:hAnsi="Arial" w:cs="Arial"/>
                <w:sz w:val="22"/>
                <w:szCs w:val="22"/>
              </w:rPr>
              <w:t xml:space="preserve">Por y en nombre del </w:t>
            </w:r>
            <w:r w:rsidRPr="008E4F0B">
              <w:rPr>
                <w:rFonts w:ascii="Arial" w:hAnsi="Arial" w:cs="Arial"/>
                <w:b/>
                <w:bCs/>
                <w:sz w:val="22"/>
                <w:szCs w:val="22"/>
              </w:rPr>
              <w:t>Contratante</w:t>
            </w:r>
          </w:p>
          <w:p w14:paraId="1D074AA9" w14:textId="77777777" w:rsidR="00F7749D" w:rsidRPr="001D1228" w:rsidRDefault="00F7749D" w:rsidP="00D23A40">
            <w:pPr>
              <w:spacing w:line="259" w:lineRule="auto"/>
              <w:jc w:val="center"/>
              <w:rPr>
                <w:rFonts w:ascii="Calibri" w:hAnsi="Calibri" w:cs="Calibri"/>
                <w:b/>
                <w:szCs w:val="24"/>
                <w:lang w:val="es-CO"/>
              </w:rPr>
            </w:pPr>
            <w:r w:rsidRPr="001D1228">
              <w:rPr>
                <w:rFonts w:ascii="Calibri" w:hAnsi="Calibri" w:cs="Calibri"/>
                <w:b/>
                <w:szCs w:val="24"/>
                <w:lang w:val="es-CO"/>
              </w:rPr>
              <w:t>Virgilio Antonio Bravo Plata</w:t>
            </w:r>
          </w:p>
          <w:p w14:paraId="3BC7E86C" w14:textId="77777777" w:rsidR="00F7749D" w:rsidRPr="008E4F0B" w:rsidRDefault="00F7749D" w:rsidP="00D23A40">
            <w:pPr>
              <w:spacing w:line="259" w:lineRule="auto"/>
              <w:jc w:val="center"/>
              <w:rPr>
                <w:rFonts w:ascii="Arial" w:hAnsi="Arial" w:cs="Arial"/>
                <w:i/>
                <w:iCs/>
                <w:sz w:val="22"/>
                <w:szCs w:val="22"/>
              </w:rPr>
            </w:pPr>
            <w:r w:rsidRPr="001D1228">
              <w:rPr>
                <w:rFonts w:ascii="Calibri" w:hAnsi="Calibri" w:cs="Calibri"/>
                <w:b/>
                <w:szCs w:val="24"/>
                <w:lang w:val="es-CO"/>
              </w:rPr>
              <w:t>Administrador Fiduciario (FISE)</w:t>
            </w:r>
            <w:r w:rsidRPr="008E4F0B">
              <w:rPr>
                <w:rFonts w:ascii="Arial" w:hAnsi="Arial" w:cs="Arial"/>
                <w:i/>
                <w:iCs/>
                <w:color w:val="FF0000"/>
                <w:sz w:val="22"/>
                <w:szCs w:val="22"/>
              </w:rPr>
              <w:t xml:space="preserve"> </w:t>
            </w:r>
          </w:p>
        </w:tc>
        <w:tc>
          <w:tcPr>
            <w:tcW w:w="4414" w:type="dxa"/>
          </w:tcPr>
          <w:p w14:paraId="7F2C4575" w14:textId="77777777" w:rsidR="00F7749D" w:rsidRPr="008E4F0B" w:rsidRDefault="00F7749D" w:rsidP="00D23A40">
            <w:pPr>
              <w:spacing w:line="259" w:lineRule="auto"/>
              <w:jc w:val="center"/>
              <w:rPr>
                <w:rFonts w:ascii="Arial" w:hAnsi="Arial" w:cs="Arial"/>
                <w:b/>
                <w:bCs/>
                <w:sz w:val="22"/>
                <w:szCs w:val="22"/>
              </w:rPr>
            </w:pPr>
            <w:r w:rsidRPr="008E4F0B">
              <w:rPr>
                <w:rFonts w:ascii="Arial" w:hAnsi="Arial" w:cs="Arial"/>
                <w:sz w:val="22"/>
                <w:szCs w:val="22"/>
              </w:rPr>
              <w:t>Por y en nombre del</w:t>
            </w:r>
            <w:r w:rsidRPr="008E4F0B">
              <w:rPr>
                <w:rFonts w:ascii="Arial" w:hAnsi="Arial" w:cs="Arial"/>
                <w:b/>
                <w:bCs/>
                <w:sz w:val="22"/>
                <w:szCs w:val="22"/>
              </w:rPr>
              <w:t xml:space="preserve"> Contratista</w:t>
            </w:r>
          </w:p>
          <w:p w14:paraId="60718B9E" w14:textId="77777777" w:rsidR="00F7749D" w:rsidRPr="008E4F0B" w:rsidRDefault="00F7749D" w:rsidP="00D23A40">
            <w:pPr>
              <w:spacing w:line="259" w:lineRule="auto"/>
              <w:jc w:val="center"/>
              <w:rPr>
                <w:rFonts w:ascii="Arial" w:hAnsi="Arial" w:cs="Arial"/>
                <w:i/>
                <w:iCs/>
                <w:color w:val="FF0000"/>
                <w:sz w:val="22"/>
                <w:szCs w:val="22"/>
              </w:rPr>
            </w:pPr>
            <w:r w:rsidRPr="008E4F0B">
              <w:rPr>
                <w:rFonts w:ascii="Arial" w:hAnsi="Arial" w:cs="Arial"/>
                <w:i/>
                <w:iCs/>
                <w:color w:val="FF0000"/>
                <w:sz w:val="22"/>
                <w:szCs w:val="22"/>
              </w:rPr>
              <w:t>(indicar nombre del representante autorizado del Contratista)</w:t>
            </w:r>
          </w:p>
          <w:p w14:paraId="7F061ECF" w14:textId="77777777" w:rsidR="00F7749D" w:rsidRPr="008E4F0B" w:rsidRDefault="00F7749D" w:rsidP="00D23A40">
            <w:pPr>
              <w:spacing w:line="259" w:lineRule="auto"/>
              <w:jc w:val="center"/>
              <w:rPr>
                <w:rFonts w:ascii="Arial" w:hAnsi="Arial" w:cs="Arial"/>
                <w:sz w:val="22"/>
                <w:szCs w:val="22"/>
              </w:rPr>
            </w:pPr>
          </w:p>
        </w:tc>
      </w:tr>
      <w:tr w:rsidR="00F7749D" w:rsidRPr="008E4F0B" w14:paraId="3982B650" w14:textId="77777777" w:rsidTr="00D23A40">
        <w:tc>
          <w:tcPr>
            <w:tcW w:w="4414" w:type="dxa"/>
          </w:tcPr>
          <w:p w14:paraId="26E5280F" w14:textId="77777777" w:rsidR="00F7749D" w:rsidRPr="008E4F0B" w:rsidRDefault="00F7749D" w:rsidP="00D23A40">
            <w:pPr>
              <w:spacing w:line="259" w:lineRule="auto"/>
              <w:jc w:val="center"/>
              <w:rPr>
                <w:rFonts w:ascii="Arial" w:hAnsi="Arial" w:cs="Arial"/>
                <w:sz w:val="22"/>
                <w:szCs w:val="22"/>
              </w:rPr>
            </w:pPr>
            <w:r w:rsidRPr="008E4F0B">
              <w:rPr>
                <w:rFonts w:ascii="Arial" w:hAnsi="Arial" w:cs="Arial"/>
                <w:sz w:val="22"/>
                <w:szCs w:val="22"/>
              </w:rPr>
              <w:t>Firma</w:t>
            </w:r>
          </w:p>
        </w:tc>
        <w:tc>
          <w:tcPr>
            <w:tcW w:w="4414" w:type="dxa"/>
          </w:tcPr>
          <w:p w14:paraId="403E850A" w14:textId="77777777" w:rsidR="00F7749D" w:rsidRPr="008E4F0B" w:rsidRDefault="00F7749D" w:rsidP="00D23A40">
            <w:pPr>
              <w:spacing w:line="259" w:lineRule="auto"/>
              <w:jc w:val="center"/>
              <w:rPr>
                <w:rFonts w:ascii="Arial" w:hAnsi="Arial" w:cs="Arial"/>
                <w:sz w:val="22"/>
                <w:szCs w:val="22"/>
              </w:rPr>
            </w:pPr>
            <w:r w:rsidRPr="008E4F0B">
              <w:rPr>
                <w:rFonts w:ascii="Arial" w:hAnsi="Arial" w:cs="Arial"/>
                <w:sz w:val="22"/>
                <w:szCs w:val="22"/>
              </w:rPr>
              <w:t>Firma</w:t>
            </w:r>
          </w:p>
        </w:tc>
      </w:tr>
    </w:tbl>
    <w:p w14:paraId="6698E131" w14:textId="77777777" w:rsidR="00F7749D" w:rsidRPr="008E4F0B" w:rsidRDefault="00F7749D" w:rsidP="00F7749D">
      <w:pPr>
        <w:spacing w:before="120" w:after="120"/>
        <w:rPr>
          <w:rFonts w:ascii="Arial" w:hAnsi="Arial" w:cs="Arial"/>
          <w:sz w:val="22"/>
          <w:szCs w:val="22"/>
          <w:lang w:val="es-419"/>
        </w:rPr>
      </w:pPr>
      <w:r w:rsidRPr="008E4F0B">
        <w:rPr>
          <w:rFonts w:ascii="Arial" w:hAnsi="Arial" w:cs="Arial"/>
          <w:i/>
          <w:sz w:val="22"/>
          <w:szCs w:val="22"/>
        </w:rPr>
        <w:t xml:space="preserve">(Si se trata de una APCA, deben firmar todos los integrantes o únicamente el integrante principal, en cuyo caso se deberá adjuntar el poder que lo faculta a firmar en nombre de todos los demás miembros). </w:t>
      </w:r>
    </w:p>
    <w:p w14:paraId="1204159B" w14:textId="77777777" w:rsidR="00F7749D" w:rsidRPr="008E4F0B" w:rsidRDefault="00F7749D" w:rsidP="00F7749D">
      <w:pPr>
        <w:spacing w:before="120" w:after="120"/>
        <w:rPr>
          <w:rFonts w:ascii="Arial" w:hAnsi="Arial" w:cs="Arial"/>
          <w:sz w:val="22"/>
          <w:szCs w:val="22"/>
        </w:rPr>
      </w:pPr>
      <w:r w:rsidRPr="008E4F0B">
        <w:rPr>
          <w:rFonts w:ascii="Arial" w:hAnsi="Arial" w:cs="Arial"/>
          <w:sz w:val="22"/>
          <w:szCs w:val="22"/>
        </w:rPr>
        <w:t>Por y en representación de cada integrante del Consultor (</w:t>
      </w:r>
      <w:r w:rsidRPr="008E4F0B">
        <w:rPr>
          <w:rFonts w:ascii="Arial" w:hAnsi="Arial" w:cs="Arial"/>
          <w:i/>
          <w:sz w:val="22"/>
          <w:szCs w:val="22"/>
        </w:rPr>
        <w:t>inserte el nombre de la APCA)</w:t>
      </w:r>
    </w:p>
    <w:p w14:paraId="41BD9800" w14:textId="77777777" w:rsidR="00F7749D" w:rsidRPr="008E4F0B" w:rsidRDefault="00F7749D" w:rsidP="00F7749D">
      <w:pPr>
        <w:spacing w:before="120" w:after="120"/>
        <w:rPr>
          <w:rFonts w:ascii="Arial" w:hAnsi="Arial" w:cs="Arial"/>
          <w:i/>
          <w:color w:val="FF0000"/>
          <w:sz w:val="22"/>
          <w:szCs w:val="22"/>
        </w:rPr>
      </w:pPr>
      <w:r w:rsidRPr="008E4F0B">
        <w:rPr>
          <w:rFonts w:ascii="Arial" w:hAnsi="Arial" w:cs="Arial"/>
          <w:i/>
          <w:color w:val="FF0000"/>
          <w:sz w:val="22"/>
          <w:szCs w:val="22"/>
        </w:rPr>
        <w:t>(Nombre del integrante principal)</w:t>
      </w:r>
    </w:p>
    <w:p w14:paraId="217D16C9" w14:textId="77777777" w:rsidR="00F7749D" w:rsidRPr="008E4F0B" w:rsidRDefault="00F7749D" w:rsidP="00F7749D">
      <w:pPr>
        <w:tabs>
          <w:tab w:val="left" w:pos="5760"/>
        </w:tabs>
        <w:spacing w:before="120" w:after="120"/>
        <w:rPr>
          <w:rFonts w:ascii="Arial" w:hAnsi="Arial" w:cs="Arial"/>
          <w:i/>
          <w:color w:val="FF0000"/>
          <w:sz w:val="22"/>
          <w:szCs w:val="22"/>
        </w:rPr>
      </w:pPr>
      <w:r w:rsidRPr="008E4F0B">
        <w:rPr>
          <w:rFonts w:ascii="Arial" w:hAnsi="Arial" w:cs="Arial"/>
          <w:i/>
          <w:color w:val="FF0000"/>
          <w:sz w:val="22"/>
          <w:szCs w:val="22"/>
        </w:rPr>
        <w:t>_____________________________</w:t>
      </w:r>
      <w:r w:rsidRPr="008E4F0B">
        <w:rPr>
          <w:rFonts w:ascii="Arial" w:hAnsi="Arial" w:cs="Arial"/>
          <w:i/>
          <w:color w:val="FF0000"/>
          <w:sz w:val="22"/>
          <w:szCs w:val="22"/>
        </w:rPr>
        <w:tab/>
      </w:r>
    </w:p>
    <w:p w14:paraId="56DFEE3E" w14:textId="77777777" w:rsidR="00F7749D" w:rsidRPr="008E4F0B" w:rsidRDefault="00F7749D" w:rsidP="00F7749D">
      <w:pPr>
        <w:spacing w:before="120" w:after="120"/>
        <w:rPr>
          <w:rFonts w:ascii="Arial" w:hAnsi="Arial" w:cs="Arial"/>
          <w:i/>
          <w:color w:val="FF0000"/>
          <w:sz w:val="22"/>
          <w:szCs w:val="22"/>
        </w:rPr>
      </w:pPr>
      <w:r w:rsidRPr="008E4F0B">
        <w:rPr>
          <w:rFonts w:ascii="Arial" w:hAnsi="Arial" w:cs="Arial"/>
          <w:i/>
          <w:color w:val="FF0000"/>
          <w:sz w:val="22"/>
          <w:szCs w:val="22"/>
        </w:rPr>
        <w:t>(Representante autorizado que actúa en nombre de la APCA)</w:t>
      </w:r>
    </w:p>
    <w:p w14:paraId="67C39677" w14:textId="77777777" w:rsidR="00F7749D" w:rsidRPr="008E4F0B" w:rsidRDefault="00F7749D" w:rsidP="00F7749D">
      <w:pPr>
        <w:spacing w:before="120" w:after="120"/>
        <w:rPr>
          <w:rFonts w:ascii="Arial" w:hAnsi="Arial" w:cs="Arial"/>
          <w:b/>
          <w:bCs/>
          <w:sz w:val="22"/>
          <w:szCs w:val="22"/>
        </w:rPr>
      </w:pPr>
      <w:r w:rsidRPr="008E4F0B">
        <w:rPr>
          <w:rFonts w:ascii="Arial" w:hAnsi="Arial" w:cs="Arial"/>
          <w:i/>
          <w:color w:val="FF0000"/>
          <w:sz w:val="22"/>
          <w:szCs w:val="22"/>
        </w:rPr>
        <w:t>(Agregue espacios para las firmas de cada integrante si firman todos)</w:t>
      </w:r>
      <w:bookmarkStart w:id="1834" w:name="_Hlk16759284"/>
    </w:p>
    <w:p w14:paraId="55703A2E" w14:textId="77777777" w:rsidR="00F7749D" w:rsidRPr="00967E3D" w:rsidRDefault="00F7749D" w:rsidP="00F7749D">
      <w:pPr>
        <w:jc w:val="center"/>
        <w:rPr>
          <w:rFonts w:asciiTheme="minorHAnsi" w:hAnsiTheme="minorHAnsi" w:cstheme="minorHAnsi"/>
          <w:b/>
          <w:bCs/>
          <w:sz w:val="40"/>
          <w:szCs w:val="40"/>
        </w:rPr>
      </w:pPr>
    </w:p>
    <w:p w14:paraId="4D74E694" w14:textId="77777777" w:rsidR="00F7749D" w:rsidRPr="00967E3D" w:rsidRDefault="00F7749D" w:rsidP="00F7749D">
      <w:pPr>
        <w:jc w:val="center"/>
        <w:rPr>
          <w:rFonts w:asciiTheme="minorHAnsi" w:hAnsiTheme="minorHAnsi" w:cstheme="minorHAnsi"/>
          <w:b/>
          <w:bCs/>
          <w:sz w:val="40"/>
          <w:szCs w:val="40"/>
        </w:rPr>
      </w:pPr>
    </w:p>
    <w:p w14:paraId="18BE9CE0" w14:textId="77777777" w:rsidR="00F7749D" w:rsidRPr="00967E3D" w:rsidRDefault="00F7749D" w:rsidP="00F7749D">
      <w:pPr>
        <w:jc w:val="center"/>
        <w:rPr>
          <w:rFonts w:asciiTheme="minorHAnsi" w:hAnsiTheme="minorHAnsi" w:cstheme="minorHAnsi"/>
          <w:b/>
          <w:bCs/>
          <w:sz w:val="40"/>
          <w:szCs w:val="40"/>
        </w:rPr>
      </w:pPr>
    </w:p>
    <w:p w14:paraId="6395006F" w14:textId="77777777" w:rsidR="00F7749D" w:rsidRDefault="00F7749D" w:rsidP="00F7749D">
      <w:pPr>
        <w:jc w:val="center"/>
        <w:rPr>
          <w:rFonts w:asciiTheme="minorHAnsi" w:hAnsiTheme="minorHAnsi" w:cstheme="minorHAnsi"/>
          <w:b/>
          <w:bCs/>
          <w:sz w:val="40"/>
          <w:szCs w:val="40"/>
        </w:rPr>
      </w:pPr>
    </w:p>
    <w:p w14:paraId="663E91F7" w14:textId="77777777" w:rsidR="00F7749D" w:rsidRDefault="00F7749D" w:rsidP="00F7749D">
      <w:pPr>
        <w:jc w:val="center"/>
        <w:rPr>
          <w:rFonts w:asciiTheme="minorHAnsi" w:hAnsiTheme="minorHAnsi" w:cstheme="minorHAnsi"/>
          <w:b/>
          <w:bCs/>
          <w:sz w:val="40"/>
          <w:szCs w:val="40"/>
        </w:rPr>
      </w:pPr>
    </w:p>
    <w:p w14:paraId="0972A34D" w14:textId="77777777" w:rsidR="00F7749D" w:rsidRDefault="00F7749D" w:rsidP="00F7749D">
      <w:pPr>
        <w:jc w:val="center"/>
        <w:rPr>
          <w:rFonts w:asciiTheme="minorHAnsi" w:hAnsiTheme="minorHAnsi" w:cstheme="minorHAnsi"/>
          <w:b/>
          <w:bCs/>
          <w:sz w:val="40"/>
          <w:szCs w:val="40"/>
        </w:rPr>
      </w:pPr>
    </w:p>
    <w:p w14:paraId="0DEF6A09" w14:textId="77777777" w:rsidR="00F7749D" w:rsidRDefault="00F7749D" w:rsidP="00F7749D">
      <w:pPr>
        <w:jc w:val="center"/>
        <w:rPr>
          <w:rFonts w:asciiTheme="minorHAnsi" w:hAnsiTheme="minorHAnsi" w:cstheme="minorHAnsi"/>
          <w:b/>
          <w:bCs/>
          <w:sz w:val="40"/>
          <w:szCs w:val="40"/>
        </w:rPr>
      </w:pPr>
    </w:p>
    <w:p w14:paraId="34C3A36D" w14:textId="77777777" w:rsidR="00F7749D" w:rsidRDefault="00F7749D" w:rsidP="00F7749D">
      <w:pPr>
        <w:jc w:val="center"/>
        <w:rPr>
          <w:rFonts w:asciiTheme="minorHAnsi" w:hAnsiTheme="minorHAnsi" w:cstheme="minorHAnsi"/>
          <w:b/>
          <w:bCs/>
          <w:sz w:val="40"/>
          <w:szCs w:val="40"/>
        </w:rPr>
      </w:pPr>
    </w:p>
    <w:p w14:paraId="5061635D" w14:textId="77777777" w:rsidR="00F7749D" w:rsidRDefault="00F7749D" w:rsidP="00F7749D">
      <w:pPr>
        <w:jc w:val="center"/>
        <w:rPr>
          <w:rFonts w:asciiTheme="minorHAnsi" w:hAnsiTheme="minorHAnsi" w:cstheme="minorHAnsi"/>
          <w:b/>
          <w:bCs/>
          <w:sz w:val="40"/>
          <w:szCs w:val="40"/>
        </w:rPr>
      </w:pPr>
    </w:p>
    <w:p w14:paraId="432DCDA9" w14:textId="77777777" w:rsidR="00F7749D" w:rsidRDefault="00F7749D" w:rsidP="00F7749D">
      <w:pPr>
        <w:jc w:val="center"/>
        <w:rPr>
          <w:rFonts w:asciiTheme="minorHAnsi" w:hAnsiTheme="minorHAnsi" w:cstheme="minorHAnsi"/>
          <w:b/>
          <w:bCs/>
          <w:sz w:val="40"/>
          <w:szCs w:val="40"/>
        </w:rPr>
      </w:pPr>
    </w:p>
    <w:p w14:paraId="4F37B54B" w14:textId="77777777" w:rsidR="00F7749D" w:rsidRDefault="00F7749D" w:rsidP="00F7749D">
      <w:pPr>
        <w:jc w:val="center"/>
        <w:rPr>
          <w:rFonts w:asciiTheme="minorHAnsi" w:hAnsiTheme="minorHAnsi" w:cstheme="minorHAnsi"/>
          <w:b/>
          <w:bCs/>
          <w:sz w:val="40"/>
          <w:szCs w:val="40"/>
        </w:rPr>
      </w:pPr>
    </w:p>
    <w:p w14:paraId="2732E37A" w14:textId="77777777" w:rsidR="00F7749D" w:rsidRDefault="00F7749D" w:rsidP="00F7749D">
      <w:pPr>
        <w:jc w:val="center"/>
        <w:rPr>
          <w:rFonts w:asciiTheme="minorHAnsi" w:hAnsiTheme="minorHAnsi" w:cstheme="minorHAnsi"/>
          <w:b/>
          <w:bCs/>
          <w:sz w:val="40"/>
          <w:szCs w:val="40"/>
        </w:rPr>
      </w:pPr>
    </w:p>
    <w:p w14:paraId="664D8201" w14:textId="77777777" w:rsidR="00F7749D" w:rsidRDefault="00F7749D" w:rsidP="00F7749D">
      <w:pPr>
        <w:jc w:val="center"/>
        <w:rPr>
          <w:rFonts w:asciiTheme="minorHAnsi" w:hAnsiTheme="minorHAnsi" w:cstheme="minorHAnsi"/>
          <w:b/>
          <w:bCs/>
          <w:sz w:val="40"/>
          <w:szCs w:val="40"/>
        </w:rPr>
      </w:pPr>
    </w:p>
    <w:p w14:paraId="46815387" w14:textId="77777777" w:rsidR="00F7749D" w:rsidRDefault="00F7749D" w:rsidP="00F7749D">
      <w:pPr>
        <w:jc w:val="center"/>
        <w:rPr>
          <w:rFonts w:asciiTheme="minorHAnsi" w:hAnsiTheme="minorHAnsi" w:cstheme="minorHAnsi"/>
          <w:b/>
          <w:bCs/>
          <w:sz w:val="40"/>
          <w:szCs w:val="40"/>
        </w:rPr>
      </w:pPr>
    </w:p>
    <w:p w14:paraId="6A6E42D9" w14:textId="77777777" w:rsidR="00F7749D" w:rsidRDefault="00F7749D" w:rsidP="00F7749D">
      <w:pPr>
        <w:jc w:val="center"/>
        <w:rPr>
          <w:rFonts w:asciiTheme="minorHAnsi" w:hAnsiTheme="minorHAnsi" w:cstheme="minorHAnsi"/>
          <w:b/>
          <w:bCs/>
          <w:sz w:val="40"/>
          <w:szCs w:val="40"/>
        </w:rPr>
      </w:pPr>
    </w:p>
    <w:p w14:paraId="230772C0" w14:textId="77777777" w:rsidR="00F7749D" w:rsidRDefault="00F7749D" w:rsidP="00F7749D">
      <w:pPr>
        <w:jc w:val="center"/>
        <w:rPr>
          <w:rFonts w:asciiTheme="minorHAnsi" w:hAnsiTheme="minorHAnsi" w:cstheme="minorHAnsi"/>
          <w:b/>
          <w:bCs/>
          <w:sz w:val="40"/>
          <w:szCs w:val="40"/>
        </w:rPr>
      </w:pPr>
    </w:p>
    <w:p w14:paraId="6FC9E326" w14:textId="77777777" w:rsidR="00F7749D" w:rsidRDefault="00F7749D" w:rsidP="00F7749D">
      <w:pPr>
        <w:jc w:val="center"/>
        <w:rPr>
          <w:rFonts w:asciiTheme="minorHAnsi" w:hAnsiTheme="minorHAnsi" w:cstheme="minorHAnsi"/>
          <w:b/>
          <w:bCs/>
          <w:sz w:val="40"/>
          <w:szCs w:val="40"/>
        </w:rPr>
      </w:pPr>
    </w:p>
    <w:p w14:paraId="2F1C19DF" w14:textId="77777777" w:rsidR="00F7749D" w:rsidRDefault="00F7749D" w:rsidP="00F7749D">
      <w:pPr>
        <w:jc w:val="center"/>
        <w:rPr>
          <w:rFonts w:asciiTheme="minorHAnsi" w:hAnsiTheme="minorHAnsi" w:cstheme="minorHAnsi"/>
          <w:b/>
          <w:bCs/>
          <w:sz w:val="40"/>
          <w:szCs w:val="40"/>
        </w:rPr>
      </w:pPr>
    </w:p>
    <w:p w14:paraId="64195D98" w14:textId="77777777" w:rsidR="00F7749D" w:rsidRPr="00967E3D" w:rsidRDefault="00F7749D" w:rsidP="00F7749D">
      <w:pPr>
        <w:jc w:val="center"/>
        <w:rPr>
          <w:rFonts w:asciiTheme="minorHAnsi" w:hAnsiTheme="minorHAnsi" w:cstheme="minorHAnsi"/>
          <w:b/>
          <w:bCs/>
          <w:sz w:val="40"/>
          <w:szCs w:val="40"/>
        </w:rPr>
      </w:pPr>
    </w:p>
    <w:p w14:paraId="3C288B67" w14:textId="77777777" w:rsidR="00F7749D" w:rsidRDefault="00F7749D" w:rsidP="00F7749D">
      <w:pPr>
        <w:jc w:val="center"/>
        <w:rPr>
          <w:rFonts w:ascii="Arial" w:hAnsi="Arial" w:cs="Arial"/>
          <w:b/>
          <w:bCs/>
          <w:sz w:val="32"/>
          <w:szCs w:val="32"/>
        </w:rPr>
      </w:pPr>
    </w:p>
    <w:p w14:paraId="7A78B991" w14:textId="77777777" w:rsidR="00F7749D" w:rsidRDefault="00F7749D" w:rsidP="00F7749D">
      <w:pPr>
        <w:jc w:val="center"/>
        <w:rPr>
          <w:rFonts w:ascii="Arial" w:hAnsi="Arial" w:cs="Arial"/>
          <w:b/>
          <w:bCs/>
          <w:sz w:val="32"/>
          <w:szCs w:val="32"/>
        </w:rPr>
      </w:pPr>
    </w:p>
    <w:p w14:paraId="0473F700" w14:textId="77777777" w:rsidR="00F7749D" w:rsidRDefault="00F7749D" w:rsidP="00F7749D">
      <w:pPr>
        <w:jc w:val="center"/>
        <w:rPr>
          <w:rFonts w:ascii="Arial" w:hAnsi="Arial" w:cs="Arial"/>
          <w:b/>
          <w:bCs/>
          <w:sz w:val="32"/>
          <w:szCs w:val="32"/>
        </w:rPr>
      </w:pPr>
    </w:p>
    <w:p w14:paraId="6FD77045" w14:textId="77777777" w:rsidR="00F7749D" w:rsidRDefault="00F7749D" w:rsidP="00F7749D">
      <w:pPr>
        <w:jc w:val="center"/>
        <w:rPr>
          <w:rFonts w:ascii="Arial" w:hAnsi="Arial" w:cs="Arial"/>
          <w:b/>
          <w:bCs/>
          <w:sz w:val="32"/>
          <w:szCs w:val="32"/>
        </w:rPr>
      </w:pPr>
    </w:p>
    <w:p w14:paraId="36FB0CE4" w14:textId="77777777" w:rsidR="00F7749D" w:rsidRPr="00263A31" w:rsidRDefault="00F7749D" w:rsidP="00F7749D">
      <w:pPr>
        <w:jc w:val="center"/>
        <w:rPr>
          <w:rFonts w:ascii="Arial" w:hAnsi="Arial" w:cs="Arial"/>
          <w:b/>
          <w:bCs/>
          <w:sz w:val="32"/>
          <w:szCs w:val="32"/>
        </w:rPr>
      </w:pPr>
      <w:r w:rsidRPr="00263A31">
        <w:rPr>
          <w:rFonts w:ascii="Arial" w:hAnsi="Arial" w:cs="Arial"/>
          <w:b/>
          <w:bCs/>
          <w:sz w:val="32"/>
          <w:szCs w:val="32"/>
        </w:rPr>
        <w:t>Condiciones Generales del Contrato</w:t>
      </w:r>
    </w:p>
    <w:p w14:paraId="582A4A30" w14:textId="77777777" w:rsidR="00F7749D" w:rsidRPr="00452F01" w:rsidRDefault="00F7749D" w:rsidP="00F7749D">
      <w:pPr>
        <w:jc w:val="center"/>
        <w:rPr>
          <w:b/>
          <w:bCs/>
          <w:sz w:val="40"/>
          <w:szCs w:val="40"/>
        </w:rPr>
      </w:pPr>
    </w:p>
    <w:p w14:paraId="696CF897" w14:textId="77777777" w:rsidR="00F7749D" w:rsidRPr="00452F01" w:rsidRDefault="00F7749D" w:rsidP="00F7749D">
      <w:pPr>
        <w:jc w:val="center"/>
        <w:rPr>
          <w:b/>
          <w:bCs/>
          <w:sz w:val="40"/>
          <w:szCs w:val="40"/>
        </w:rPr>
      </w:pPr>
    </w:p>
    <w:p w14:paraId="14899AF1" w14:textId="77777777" w:rsidR="00F7749D" w:rsidRPr="00452F01" w:rsidRDefault="00F7749D" w:rsidP="00F7749D">
      <w:pPr>
        <w:jc w:val="center"/>
        <w:rPr>
          <w:b/>
          <w:bCs/>
          <w:sz w:val="40"/>
          <w:szCs w:val="40"/>
        </w:rPr>
      </w:pPr>
    </w:p>
    <w:p w14:paraId="7E09BA1B" w14:textId="77777777" w:rsidR="00F7749D" w:rsidRPr="00452F01" w:rsidRDefault="00F7749D" w:rsidP="00F7749D">
      <w:pPr>
        <w:jc w:val="center"/>
        <w:rPr>
          <w:b/>
          <w:bCs/>
          <w:sz w:val="40"/>
          <w:szCs w:val="40"/>
        </w:rPr>
      </w:pPr>
    </w:p>
    <w:p w14:paraId="5635A49B" w14:textId="77777777" w:rsidR="00F7749D" w:rsidRPr="00452F01" w:rsidRDefault="00F7749D" w:rsidP="00F7749D">
      <w:pPr>
        <w:jc w:val="center"/>
        <w:rPr>
          <w:b/>
          <w:bCs/>
          <w:sz w:val="40"/>
          <w:szCs w:val="40"/>
        </w:rPr>
      </w:pPr>
    </w:p>
    <w:p w14:paraId="62F89F74" w14:textId="77777777" w:rsidR="00F7749D" w:rsidRDefault="00F7749D" w:rsidP="00F7749D">
      <w:pPr>
        <w:jc w:val="center"/>
        <w:rPr>
          <w:b/>
          <w:bCs/>
          <w:sz w:val="32"/>
          <w:szCs w:val="32"/>
        </w:rPr>
        <w:sectPr w:rsidR="00F7749D" w:rsidSect="00D52575">
          <w:footerReference w:type="even" r:id="rId72"/>
          <w:footerReference w:type="first" r:id="rId73"/>
          <w:pgSz w:w="12240" w:h="15840" w:code="1"/>
          <w:pgMar w:top="1152" w:right="1440" w:bottom="1440" w:left="1440" w:header="720" w:footer="720" w:gutter="0"/>
          <w:cols w:space="720"/>
          <w:docGrid w:linePitch="360"/>
        </w:sectPr>
      </w:pPr>
    </w:p>
    <w:p w14:paraId="770A1A7A" w14:textId="77777777" w:rsidR="00F7749D" w:rsidRPr="00796E3C" w:rsidRDefault="00F7749D" w:rsidP="00F7749D">
      <w:pPr>
        <w:jc w:val="center"/>
        <w:rPr>
          <w:rFonts w:ascii="Arial" w:hAnsi="Arial" w:cs="Arial"/>
          <w:b/>
          <w:bCs/>
          <w:sz w:val="28"/>
          <w:szCs w:val="28"/>
        </w:rPr>
      </w:pPr>
      <w:r w:rsidRPr="00266788">
        <w:rPr>
          <w:rFonts w:ascii="Arial" w:hAnsi="Arial" w:cs="Arial"/>
          <w:b/>
          <w:bCs/>
          <w:sz w:val="28"/>
          <w:szCs w:val="28"/>
        </w:rPr>
        <w:lastRenderedPageBreak/>
        <w:t>Índice de cláusulas Condiciones Generales del Contrato</w:t>
      </w:r>
    </w:p>
    <w:p w14:paraId="59A6A564" w14:textId="77777777" w:rsidR="00F7749D" w:rsidRPr="00967E3D" w:rsidRDefault="00F7749D" w:rsidP="00F7749D">
      <w:pPr>
        <w:jc w:val="center"/>
        <w:rPr>
          <w:rFonts w:asciiTheme="minorHAnsi" w:hAnsiTheme="minorHAnsi" w:cstheme="minorHAnsi"/>
          <w:b/>
          <w:bCs/>
          <w:sz w:val="32"/>
          <w:szCs w:val="32"/>
        </w:rPr>
      </w:pPr>
    </w:p>
    <w:p w14:paraId="6923DCE5" w14:textId="77777777" w:rsidR="00F7749D" w:rsidRDefault="00F7749D" w:rsidP="00F7749D">
      <w:pPr>
        <w:pStyle w:val="TDC1"/>
        <w:rPr>
          <w:rFonts w:asciiTheme="minorHAnsi" w:eastAsiaTheme="minorEastAsia" w:hAnsiTheme="minorHAnsi" w:cstheme="minorBidi"/>
          <w:b w:val="0"/>
          <w:noProof/>
          <w:sz w:val="22"/>
          <w:szCs w:val="22"/>
          <w:lang w:val="en-US"/>
        </w:rPr>
      </w:pPr>
      <w:r>
        <w:rPr>
          <w:b w:val="0"/>
          <w:bCs/>
          <w:sz w:val="32"/>
          <w:szCs w:val="32"/>
        </w:rPr>
        <w:fldChar w:fldCharType="begin"/>
      </w:r>
      <w:r>
        <w:rPr>
          <w:b w:val="0"/>
          <w:bCs/>
          <w:sz w:val="32"/>
          <w:szCs w:val="32"/>
        </w:rPr>
        <w:instrText xml:space="preserve"> TOC \h \z \t "Heading 1,1,Heading 2,2" </w:instrText>
      </w:r>
      <w:r>
        <w:rPr>
          <w:b w:val="0"/>
          <w:bCs/>
          <w:sz w:val="32"/>
          <w:szCs w:val="32"/>
        </w:rPr>
        <w:fldChar w:fldCharType="separate"/>
      </w:r>
      <w:hyperlink w:anchor="_Toc74930901" w:history="1">
        <w:r w:rsidRPr="0093776D">
          <w:rPr>
            <w:rStyle w:val="Hipervnculo"/>
            <w:rFonts w:cs="Arial"/>
          </w:rPr>
          <w:t>A.</w:t>
        </w:r>
        <w:r>
          <w:rPr>
            <w:rFonts w:asciiTheme="minorHAnsi" w:eastAsiaTheme="minorEastAsia" w:hAnsiTheme="minorHAnsi" w:cstheme="minorBidi"/>
            <w:b w:val="0"/>
            <w:noProof/>
            <w:sz w:val="22"/>
            <w:szCs w:val="22"/>
            <w:lang w:val="en-US"/>
          </w:rPr>
          <w:tab/>
        </w:r>
        <w:r w:rsidRPr="0093776D">
          <w:rPr>
            <w:rStyle w:val="Hipervnculo"/>
            <w:rFonts w:cs="Arial"/>
            <w:lang w:val="es-419"/>
          </w:rPr>
          <w:t>Disposiciones generales</w:t>
        </w:r>
        <w:r>
          <w:rPr>
            <w:noProof/>
            <w:webHidden/>
          </w:rPr>
          <w:tab/>
        </w:r>
        <w:r>
          <w:rPr>
            <w:noProof/>
            <w:webHidden/>
          </w:rPr>
          <w:fldChar w:fldCharType="begin"/>
        </w:r>
        <w:r>
          <w:rPr>
            <w:noProof/>
            <w:webHidden/>
          </w:rPr>
          <w:instrText xml:space="preserve"> PAGEREF _Toc74930901 \h </w:instrText>
        </w:r>
        <w:r>
          <w:rPr>
            <w:noProof/>
            <w:webHidden/>
          </w:rPr>
        </w:r>
        <w:r>
          <w:rPr>
            <w:noProof/>
            <w:webHidden/>
          </w:rPr>
          <w:fldChar w:fldCharType="separate"/>
        </w:r>
        <w:r>
          <w:rPr>
            <w:noProof/>
            <w:webHidden/>
          </w:rPr>
          <w:t>89</w:t>
        </w:r>
        <w:r>
          <w:rPr>
            <w:noProof/>
            <w:webHidden/>
          </w:rPr>
          <w:fldChar w:fldCharType="end"/>
        </w:r>
      </w:hyperlink>
    </w:p>
    <w:p w14:paraId="1FDE28CA"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2" w:history="1">
        <w:r w:rsidR="00F7749D" w:rsidRPr="0093776D">
          <w:rPr>
            <w:rStyle w:val="Hipervnculo"/>
            <w:rFonts w:cs="Arial"/>
          </w:rPr>
          <w:t>1</w:t>
        </w:r>
        <w:r w:rsidR="00F7749D">
          <w:rPr>
            <w:rFonts w:asciiTheme="minorHAnsi" w:eastAsiaTheme="minorEastAsia" w:hAnsiTheme="minorHAnsi" w:cstheme="minorBidi"/>
            <w:noProof/>
            <w:sz w:val="22"/>
            <w:szCs w:val="22"/>
            <w:lang w:val="en-US"/>
          </w:rPr>
          <w:tab/>
        </w:r>
        <w:r w:rsidR="00F7749D" w:rsidRPr="0093776D">
          <w:rPr>
            <w:rStyle w:val="Hipervnculo"/>
            <w:rFonts w:cs="Arial"/>
            <w:lang w:val="es-419"/>
          </w:rPr>
          <w:t>Definiciones</w:t>
        </w:r>
        <w:r w:rsidR="00F7749D">
          <w:rPr>
            <w:noProof/>
            <w:webHidden/>
          </w:rPr>
          <w:tab/>
        </w:r>
        <w:r w:rsidR="00F7749D">
          <w:rPr>
            <w:noProof/>
            <w:webHidden/>
          </w:rPr>
          <w:fldChar w:fldCharType="begin"/>
        </w:r>
        <w:r w:rsidR="00F7749D">
          <w:rPr>
            <w:noProof/>
            <w:webHidden/>
          </w:rPr>
          <w:instrText xml:space="preserve"> PAGEREF _Toc74930902 \h </w:instrText>
        </w:r>
        <w:r w:rsidR="00F7749D">
          <w:rPr>
            <w:noProof/>
            <w:webHidden/>
          </w:rPr>
        </w:r>
        <w:r w:rsidR="00F7749D">
          <w:rPr>
            <w:noProof/>
            <w:webHidden/>
          </w:rPr>
          <w:fldChar w:fldCharType="separate"/>
        </w:r>
        <w:r w:rsidR="00F7749D">
          <w:rPr>
            <w:noProof/>
            <w:webHidden/>
          </w:rPr>
          <w:t>89</w:t>
        </w:r>
        <w:r w:rsidR="00F7749D">
          <w:rPr>
            <w:noProof/>
            <w:webHidden/>
          </w:rPr>
          <w:fldChar w:fldCharType="end"/>
        </w:r>
      </w:hyperlink>
    </w:p>
    <w:p w14:paraId="28CFA0EE"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3" w:history="1">
        <w:r w:rsidR="00F7749D" w:rsidRPr="0093776D">
          <w:rPr>
            <w:rStyle w:val="Hipervnculo"/>
            <w:rFonts w:cs="Arial"/>
          </w:rPr>
          <w:t>2</w:t>
        </w:r>
        <w:r w:rsidR="00F7749D">
          <w:rPr>
            <w:rFonts w:asciiTheme="minorHAnsi" w:eastAsiaTheme="minorEastAsia" w:hAnsiTheme="minorHAnsi" w:cstheme="minorBidi"/>
            <w:noProof/>
            <w:sz w:val="22"/>
            <w:szCs w:val="22"/>
            <w:lang w:val="en-US"/>
          </w:rPr>
          <w:tab/>
        </w:r>
        <w:r w:rsidR="00F7749D" w:rsidRPr="0093776D">
          <w:rPr>
            <w:rStyle w:val="Hipervnculo"/>
            <w:rFonts w:cs="Arial"/>
            <w:lang w:val="es-419"/>
          </w:rPr>
          <w:t>Interpretación</w:t>
        </w:r>
        <w:r w:rsidR="00F7749D">
          <w:rPr>
            <w:noProof/>
            <w:webHidden/>
          </w:rPr>
          <w:tab/>
        </w:r>
        <w:r w:rsidR="00F7749D">
          <w:rPr>
            <w:noProof/>
            <w:webHidden/>
          </w:rPr>
          <w:fldChar w:fldCharType="begin"/>
        </w:r>
        <w:r w:rsidR="00F7749D">
          <w:rPr>
            <w:noProof/>
            <w:webHidden/>
          </w:rPr>
          <w:instrText xml:space="preserve"> PAGEREF _Toc74930903 \h </w:instrText>
        </w:r>
        <w:r w:rsidR="00F7749D">
          <w:rPr>
            <w:noProof/>
            <w:webHidden/>
          </w:rPr>
        </w:r>
        <w:r w:rsidR="00F7749D">
          <w:rPr>
            <w:noProof/>
            <w:webHidden/>
          </w:rPr>
          <w:fldChar w:fldCharType="separate"/>
        </w:r>
        <w:r w:rsidR="00F7749D">
          <w:rPr>
            <w:b/>
            <w:bCs/>
            <w:noProof/>
            <w:webHidden/>
            <w:lang w:val="es-ES"/>
          </w:rPr>
          <w:t>¡Error! Marcador no definido.</w:t>
        </w:r>
        <w:r w:rsidR="00F7749D">
          <w:rPr>
            <w:noProof/>
            <w:webHidden/>
          </w:rPr>
          <w:fldChar w:fldCharType="end"/>
        </w:r>
      </w:hyperlink>
    </w:p>
    <w:p w14:paraId="405D923E"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4" w:history="1">
        <w:r w:rsidR="00F7749D" w:rsidRPr="0093776D">
          <w:rPr>
            <w:rStyle w:val="Hipervnculo"/>
            <w:rFonts w:cs="Arial"/>
          </w:rPr>
          <w:t>3</w:t>
        </w:r>
        <w:r w:rsidR="00F7749D">
          <w:rPr>
            <w:rFonts w:asciiTheme="minorHAnsi" w:eastAsiaTheme="minorEastAsia" w:hAnsiTheme="minorHAnsi" w:cstheme="minorBidi"/>
            <w:noProof/>
            <w:sz w:val="22"/>
            <w:szCs w:val="22"/>
            <w:lang w:val="en-US"/>
          </w:rPr>
          <w:tab/>
        </w:r>
        <w:r w:rsidR="00F7749D" w:rsidRPr="0093776D">
          <w:rPr>
            <w:rStyle w:val="Hipervnculo"/>
            <w:rFonts w:cs="Arial"/>
            <w:lang w:val="es-419"/>
          </w:rPr>
          <w:t>Divisibilidad</w:t>
        </w:r>
        <w:r w:rsidR="00F7749D">
          <w:rPr>
            <w:noProof/>
            <w:webHidden/>
          </w:rPr>
          <w:tab/>
        </w:r>
        <w:r w:rsidR="00F7749D">
          <w:rPr>
            <w:noProof/>
            <w:webHidden/>
          </w:rPr>
          <w:fldChar w:fldCharType="begin"/>
        </w:r>
        <w:r w:rsidR="00F7749D">
          <w:rPr>
            <w:noProof/>
            <w:webHidden/>
          </w:rPr>
          <w:instrText xml:space="preserve"> PAGEREF _Toc74930904 \h </w:instrText>
        </w:r>
        <w:r w:rsidR="00F7749D">
          <w:rPr>
            <w:noProof/>
            <w:webHidden/>
          </w:rPr>
        </w:r>
        <w:r w:rsidR="00F7749D">
          <w:rPr>
            <w:noProof/>
            <w:webHidden/>
          </w:rPr>
          <w:fldChar w:fldCharType="separate"/>
        </w:r>
        <w:r w:rsidR="00F7749D">
          <w:rPr>
            <w:noProof/>
            <w:webHidden/>
          </w:rPr>
          <w:t>93</w:t>
        </w:r>
        <w:r w:rsidR="00F7749D">
          <w:rPr>
            <w:noProof/>
            <w:webHidden/>
          </w:rPr>
          <w:fldChar w:fldCharType="end"/>
        </w:r>
      </w:hyperlink>
    </w:p>
    <w:p w14:paraId="60C02ECF"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5" w:history="1">
        <w:r w:rsidR="00F7749D" w:rsidRPr="0093776D">
          <w:rPr>
            <w:rStyle w:val="Hipervnculo"/>
            <w:rFonts w:cs="Arial"/>
          </w:rPr>
          <w:t>4</w:t>
        </w:r>
        <w:r w:rsidR="00F7749D">
          <w:rPr>
            <w:rFonts w:asciiTheme="minorHAnsi" w:eastAsiaTheme="minorEastAsia" w:hAnsiTheme="minorHAnsi" w:cstheme="minorBidi"/>
            <w:noProof/>
            <w:sz w:val="22"/>
            <w:szCs w:val="22"/>
            <w:lang w:val="en-US"/>
          </w:rPr>
          <w:tab/>
        </w:r>
        <w:r w:rsidR="00F7749D" w:rsidRPr="0093776D">
          <w:rPr>
            <w:rStyle w:val="Hipervnculo"/>
            <w:rFonts w:cs="Arial"/>
            <w:lang w:val="es-419"/>
          </w:rPr>
          <w:t>Disposiciones de integridad</w:t>
        </w:r>
        <w:r w:rsidR="00F7749D">
          <w:rPr>
            <w:noProof/>
            <w:webHidden/>
          </w:rPr>
          <w:tab/>
        </w:r>
        <w:r w:rsidR="00F7749D">
          <w:rPr>
            <w:noProof/>
            <w:webHidden/>
          </w:rPr>
          <w:fldChar w:fldCharType="begin"/>
        </w:r>
        <w:r w:rsidR="00F7749D">
          <w:rPr>
            <w:noProof/>
            <w:webHidden/>
          </w:rPr>
          <w:instrText xml:space="preserve"> PAGEREF _Toc74930905 \h </w:instrText>
        </w:r>
        <w:r w:rsidR="00F7749D">
          <w:rPr>
            <w:noProof/>
            <w:webHidden/>
          </w:rPr>
        </w:r>
        <w:r w:rsidR="00F7749D">
          <w:rPr>
            <w:noProof/>
            <w:webHidden/>
          </w:rPr>
          <w:fldChar w:fldCharType="separate"/>
        </w:r>
        <w:r w:rsidR="00F7749D">
          <w:rPr>
            <w:noProof/>
            <w:webHidden/>
          </w:rPr>
          <w:t>93</w:t>
        </w:r>
        <w:r w:rsidR="00F7749D">
          <w:rPr>
            <w:noProof/>
            <w:webHidden/>
          </w:rPr>
          <w:fldChar w:fldCharType="end"/>
        </w:r>
      </w:hyperlink>
    </w:p>
    <w:p w14:paraId="47D0B6AE"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6" w:history="1">
        <w:r w:rsidR="00F7749D" w:rsidRPr="0093776D">
          <w:rPr>
            <w:rStyle w:val="Hipervnculo"/>
            <w:rFonts w:cs="Arial"/>
          </w:rPr>
          <w:t>5</w:t>
        </w:r>
        <w:r w:rsidR="00F7749D">
          <w:rPr>
            <w:rFonts w:asciiTheme="minorHAnsi" w:eastAsiaTheme="minorEastAsia" w:hAnsiTheme="minorHAnsi" w:cstheme="minorBidi"/>
            <w:noProof/>
            <w:sz w:val="22"/>
            <w:szCs w:val="22"/>
            <w:lang w:val="en-US"/>
          </w:rPr>
          <w:tab/>
        </w:r>
        <w:r w:rsidR="00F7749D" w:rsidRPr="0093776D">
          <w:rPr>
            <w:rStyle w:val="Hipervnculo"/>
            <w:rFonts w:cs="Arial"/>
            <w:lang w:val="es-419"/>
          </w:rPr>
          <w:t>Idioma</w:t>
        </w:r>
        <w:r w:rsidR="00F7749D">
          <w:rPr>
            <w:noProof/>
            <w:webHidden/>
          </w:rPr>
          <w:tab/>
        </w:r>
        <w:r w:rsidR="00F7749D">
          <w:rPr>
            <w:noProof/>
            <w:webHidden/>
          </w:rPr>
          <w:fldChar w:fldCharType="begin"/>
        </w:r>
        <w:r w:rsidR="00F7749D">
          <w:rPr>
            <w:noProof/>
            <w:webHidden/>
          </w:rPr>
          <w:instrText xml:space="preserve"> PAGEREF _Toc74930906 \h </w:instrText>
        </w:r>
        <w:r w:rsidR="00F7749D">
          <w:rPr>
            <w:noProof/>
            <w:webHidden/>
          </w:rPr>
        </w:r>
        <w:r w:rsidR="00F7749D">
          <w:rPr>
            <w:noProof/>
            <w:webHidden/>
          </w:rPr>
          <w:fldChar w:fldCharType="separate"/>
        </w:r>
        <w:r w:rsidR="00F7749D">
          <w:rPr>
            <w:noProof/>
            <w:webHidden/>
          </w:rPr>
          <w:t>93</w:t>
        </w:r>
        <w:r w:rsidR="00F7749D">
          <w:rPr>
            <w:noProof/>
            <w:webHidden/>
          </w:rPr>
          <w:fldChar w:fldCharType="end"/>
        </w:r>
      </w:hyperlink>
    </w:p>
    <w:p w14:paraId="2CFD183D"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7" w:history="1">
        <w:r w:rsidR="00F7749D" w:rsidRPr="0093776D">
          <w:rPr>
            <w:rStyle w:val="Hipervnculo"/>
            <w:rFonts w:cs="Arial"/>
          </w:rPr>
          <w:t>6</w:t>
        </w:r>
        <w:r w:rsidR="00F7749D">
          <w:rPr>
            <w:rFonts w:asciiTheme="minorHAnsi" w:eastAsiaTheme="minorEastAsia" w:hAnsiTheme="minorHAnsi" w:cstheme="minorBidi"/>
            <w:noProof/>
            <w:sz w:val="22"/>
            <w:szCs w:val="22"/>
            <w:lang w:val="en-US"/>
          </w:rPr>
          <w:tab/>
        </w:r>
        <w:r w:rsidR="00F7749D" w:rsidRPr="0093776D">
          <w:rPr>
            <w:rStyle w:val="Hipervnculo"/>
            <w:rFonts w:cs="Arial"/>
            <w:lang w:val="es-419"/>
          </w:rPr>
          <w:t>Ley aplicable</w:t>
        </w:r>
        <w:r w:rsidR="00F7749D">
          <w:rPr>
            <w:noProof/>
            <w:webHidden/>
          </w:rPr>
          <w:tab/>
        </w:r>
        <w:r w:rsidR="00F7749D">
          <w:rPr>
            <w:noProof/>
            <w:webHidden/>
          </w:rPr>
          <w:fldChar w:fldCharType="begin"/>
        </w:r>
        <w:r w:rsidR="00F7749D">
          <w:rPr>
            <w:noProof/>
            <w:webHidden/>
          </w:rPr>
          <w:instrText xml:space="preserve"> PAGEREF _Toc74930907 \h </w:instrText>
        </w:r>
        <w:r w:rsidR="00F7749D">
          <w:rPr>
            <w:noProof/>
            <w:webHidden/>
          </w:rPr>
        </w:r>
        <w:r w:rsidR="00F7749D">
          <w:rPr>
            <w:noProof/>
            <w:webHidden/>
          </w:rPr>
          <w:fldChar w:fldCharType="separate"/>
        </w:r>
        <w:r w:rsidR="00F7749D">
          <w:rPr>
            <w:noProof/>
            <w:webHidden/>
          </w:rPr>
          <w:t>94</w:t>
        </w:r>
        <w:r w:rsidR="00F7749D">
          <w:rPr>
            <w:noProof/>
            <w:webHidden/>
          </w:rPr>
          <w:fldChar w:fldCharType="end"/>
        </w:r>
      </w:hyperlink>
    </w:p>
    <w:p w14:paraId="0497ACA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8" w:history="1">
        <w:r w:rsidR="00F7749D" w:rsidRPr="0093776D">
          <w:rPr>
            <w:rStyle w:val="Hipervnculo"/>
            <w:rFonts w:cs="Arial"/>
          </w:rPr>
          <w:t>7</w:t>
        </w:r>
        <w:r w:rsidR="00F7749D">
          <w:rPr>
            <w:rFonts w:asciiTheme="minorHAnsi" w:eastAsiaTheme="minorEastAsia" w:hAnsiTheme="minorHAnsi" w:cstheme="minorBidi"/>
            <w:noProof/>
            <w:sz w:val="22"/>
            <w:szCs w:val="22"/>
            <w:lang w:val="en-US"/>
          </w:rPr>
          <w:tab/>
        </w:r>
        <w:r w:rsidR="00F7749D" w:rsidRPr="0093776D">
          <w:rPr>
            <w:rStyle w:val="Hipervnculo"/>
            <w:rFonts w:cs="Arial"/>
            <w:bdr w:val="none" w:sz="0" w:space="0" w:color="auto" w:frame="1"/>
            <w:lang w:val="es-HN"/>
          </w:rPr>
          <w:t>Asociación en Participación, Consorcio o Asociación (</w:t>
        </w:r>
        <w:r w:rsidR="00F7749D" w:rsidRPr="0093776D">
          <w:rPr>
            <w:rStyle w:val="Hipervnculo"/>
            <w:rFonts w:cs="Arial"/>
          </w:rPr>
          <w:t>APCA)</w:t>
        </w:r>
        <w:r w:rsidR="00F7749D">
          <w:rPr>
            <w:noProof/>
            <w:webHidden/>
          </w:rPr>
          <w:tab/>
        </w:r>
        <w:r w:rsidR="00F7749D">
          <w:rPr>
            <w:noProof/>
            <w:webHidden/>
          </w:rPr>
          <w:fldChar w:fldCharType="begin"/>
        </w:r>
        <w:r w:rsidR="00F7749D">
          <w:rPr>
            <w:noProof/>
            <w:webHidden/>
          </w:rPr>
          <w:instrText xml:space="preserve"> PAGEREF _Toc74930908 \h </w:instrText>
        </w:r>
        <w:r w:rsidR="00F7749D">
          <w:rPr>
            <w:noProof/>
            <w:webHidden/>
          </w:rPr>
        </w:r>
        <w:r w:rsidR="00F7749D">
          <w:rPr>
            <w:noProof/>
            <w:webHidden/>
          </w:rPr>
          <w:fldChar w:fldCharType="separate"/>
        </w:r>
        <w:r w:rsidR="00F7749D">
          <w:rPr>
            <w:noProof/>
            <w:webHidden/>
          </w:rPr>
          <w:t>94</w:t>
        </w:r>
        <w:r w:rsidR="00F7749D">
          <w:rPr>
            <w:noProof/>
            <w:webHidden/>
          </w:rPr>
          <w:fldChar w:fldCharType="end"/>
        </w:r>
      </w:hyperlink>
    </w:p>
    <w:p w14:paraId="49C69FD6"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09" w:history="1">
        <w:r w:rsidR="00F7749D" w:rsidRPr="0093776D">
          <w:rPr>
            <w:rStyle w:val="Hipervnculo"/>
            <w:rFonts w:cs="Arial"/>
          </w:rPr>
          <w:t>8</w:t>
        </w:r>
        <w:r w:rsidR="00F7749D">
          <w:rPr>
            <w:rFonts w:asciiTheme="minorHAnsi" w:eastAsiaTheme="minorEastAsia" w:hAnsiTheme="minorHAnsi" w:cstheme="minorBidi"/>
            <w:noProof/>
            <w:sz w:val="22"/>
            <w:szCs w:val="22"/>
            <w:lang w:val="en-US"/>
          </w:rPr>
          <w:tab/>
        </w:r>
        <w:r w:rsidR="00F7749D" w:rsidRPr="0093776D">
          <w:rPr>
            <w:rStyle w:val="Hipervnculo"/>
            <w:rFonts w:cs="Arial"/>
          </w:rPr>
          <w:t>Origen del Subcontratista, materiales, equipos y servicios</w:t>
        </w:r>
        <w:r w:rsidR="00F7749D">
          <w:rPr>
            <w:noProof/>
            <w:webHidden/>
          </w:rPr>
          <w:tab/>
        </w:r>
        <w:r w:rsidR="00F7749D">
          <w:rPr>
            <w:noProof/>
            <w:webHidden/>
          </w:rPr>
          <w:fldChar w:fldCharType="begin"/>
        </w:r>
        <w:r w:rsidR="00F7749D">
          <w:rPr>
            <w:noProof/>
            <w:webHidden/>
          </w:rPr>
          <w:instrText xml:space="preserve"> PAGEREF _Toc74930909 \h </w:instrText>
        </w:r>
        <w:r w:rsidR="00F7749D">
          <w:rPr>
            <w:noProof/>
            <w:webHidden/>
          </w:rPr>
        </w:r>
        <w:r w:rsidR="00F7749D">
          <w:rPr>
            <w:noProof/>
            <w:webHidden/>
          </w:rPr>
          <w:fldChar w:fldCharType="separate"/>
        </w:r>
        <w:r w:rsidR="00F7749D">
          <w:rPr>
            <w:noProof/>
            <w:webHidden/>
          </w:rPr>
          <w:t>94</w:t>
        </w:r>
        <w:r w:rsidR="00F7749D">
          <w:rPr>
            <w:noProof/>
            <w:webHidden/>
          </w:rPr>
          <w:fldChar w:fldCharType="end"/>
        </w:r>
      </w:hyperlink>
    </w:p>
    <w:p w14:paraId="63EEBE8A"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0" w:history="1">
        <w:r w:rsidR="00F7749D" w:rsidRPr="0093776D">
          <w:rPr>
            <w:rStyle w:val="Hipervnculo"/>
            <w:rFonts w:cs="Arial"/>
          </w:rPr>
          <w:t>9</w:t>
        </w:r>
        <w:r w:rsidR="00F7749D">
          <w:rPr>
            <w:rFonts w:asciiTheme="minorHAnsi" w:eastAsiaTheme="minorEastAsia" w:hAnsiTheme="minorHAnsi" w:cstheme="minorBidi"/>
            <w:noProof/>
            <w:sz w:val="22"/>
            <w:szCs w:val="22"/>
            <w:lang w:val="en-US"/>
          </w:rPr>
          <w:tab/>
        </w:r>
        <w:r w:rsidR="00F7749D" w:rsidRPr="0093776D">
          <w:rPr>
            <w:rStyle w:val="Hipervnculo"/>
            <w:rFonts w:cs="Arial"/>
          </w:rPr>
          <w:t>Confidencialidad</w:t>
        </w:r>
        <w:r w:rsidR="00F7749D">
          <w:rPr>
            <w:noProof/>
            <w:webHidden/>
          </w:rPr>
          <w:tab/>
        </w:r>
        <w:r w:rsidR="00F7749D">
          <w:rPr>
            <w:noProof/>
            <w:webHidden/>
          </w:rPr>
          <w:fldChar w:fldCharType="begin"/>
        </w:r>
        <w:r w:rsidR="00F7749D">
          <w:rPr>
            <w:noProof/>
            <w:webHidden/>
          </w:rPr>
          <w:instrText xml:space="preserve"> PAGEREF _Toc74930910 \h </w:instrText>
        </w:r>
        <w:r w:rsidR="00F7749D">
          <w:rPr>
            <w:noProof/>
            <w:webHidden/>
          </w:rPr>
        </w:r>
        <w:r w:rsidR="00F7749D">
          <w:rPr>
            <w:noProof/>
            <w:webHidden/>
          </w:rPr>
          <w:fldChar w:fldCharType="separate"/>
        </w:r>
        <w:r w:rsidR="00F7749D">
          <w:rPr>
            <w:noProof/>
            <w:webHidden/>
          </w:rPr>
          <w:t>94</w:t>
        </w:r>
        <w:r w:rsidR="00F7749D">
          <w:rPr>
            <w:noProof/>
            <w:webHidden/>
          </w:rPr>
          <w:fldChar w:fldCharType="end"/>
        </w:r>
      </w:hyperlink>
    </w:p>
    <w:p w14:paraId="5910A041"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1" w:history="1">
        <w:r w:rsidR="00F7749D" w:rsidRPr="0093776D">
          <w:rPr>
            <w:rStyle w:val="Hipervnculo"/>
            <w:rFonts w:cs="Arial"/>
          </w:rPr>
          <w:t>10</w:t>
        </w:r>
        <w:r w:rsidR="00F7749D">
          <w:rPr>
            <w:rFonts w:asciiTheme="minorHAnsi" w:eastAsiaTheme="minorEastAsia" w:hAnsiTheme="minorHAnsi" w:cstheme="minorBidi"/>
            <w:noProof/>
            <w:sz w:val="22"/>
            <w:szCs w:val="22"/>
            <w:lang w:val="en-US"/>
          </w:rPr>
          <w:tab/>
        </w:r>
        <w:r w:rsidR="00F7749D" w:rsidRPr="0093776D">
          <w:rPr>
            <w:rStyle w:val="Hipervnculo"/>
            <w:rFonts w:cs="Arial"/>
          </w:rPr>
          <w:t>Conflicto</w:t>
        </w:r>
        <w:r w:rsidR="00F7749D" w:rsidRPr="0093776D">
          <w:rPr>
            <w:rStyle w:val="Hipervnculo"/>
            <w:rFonts w:cs="Arial"/>
            <w:lang w:val="es-419"/>
          </w:rPr>
          <w:t xml:space="preserve"> de interés</w:t>
        </w:r>
        <w:r w:rsidR="00F7749D">
          <w:rPr>
            <w:noProof/>
            <w:webHidden/>
          </w:rPr>
          <w:tab/>
        </w:r>
        <w:r w:rsidR="00F7749D">
          <w:rPr>
            <w:noProof/>
            <w:webHidden/>
          </w:rPr>
          <w:fldChar w:fldCharType="begin"/>
        </w:r>
        <w:r w:rsidR="00F7749D">
          <w:rPr>
            <w:noProof/>
            <w:webHidden/>
          </w:rPr>
          <w:instrText xml:space="preserve"> PAGEREF _Toc74930911 \h </w:instrText>
        </w:r>
        <w:r w:rsidR="00F7749D">
          <w:rPr>
            <w:noProof/>
            <w:webHidden/>
          </w:rPr>
        </w:r>
        <w:r w:rsidR="00F7749D">
          <w:rPr>
            <w:noProof/>
            <w:webHidden/>
          </w:rPr>
          <w:fldChar w:fldCharType="separate"/>
        </w:r>
        <w:r w:rsidR="00F7749D">
          <w:rPr>
            <w:noProof/>
            <w:webHidden/>
          </w:rPr>
          <w:t>95</w:t>
        </w:r>
        <w:r w:rsidR="00F7749D">
          <w:rPr>
            <w:noProof/>
            <w:webHidden/>
          </w:rPr>
          <w:fldChar w:fldCharType="end"/>
        </w:r>
      </w:hyperlink>
    </w:p>
    <w:p w14:paraId="6DE0BB92"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2" w:history="1">
        <w:r w:rsidR="00F7749D" w:rsidRPr="0093776D">
          <w:rPr>
            <w:rStyle w:val="Hipervnculo"/>
            <w:rFonts w:cs="Arial"/>
          </w:rPr>
          <w:t>11</w:t>
        </w:r>
        <w:r w:rsidR="00F7749D">
          <w:rPr>
            <w:rFonts w:asciiTheme="minorHAnsi" w:eastAsiaTheme="minorEastAsia" w:hAnsiTheme="minorHAnsi" w:cstheme="minorBidi"/>
            <w:noProof/>
            <w:sz w:val="22"/>
            <w:szCs w:val="22"/>
            <w:lang w:val="en-US"/>
          </w:rPr>
          <w:tab/>
        </w:r>
        <w:r w:rsidR="00F7749D" w:rsidRPr="0093776D">
          <w:rPr>
            <w:rStyle w:val="Hipervnculo"/>
            <w:rFonts w:cs="Arial"/>
          </w:rPr>
          <w:t>Representantes autorizados</w:t>
        </w:r>
        <w:r w:rsidR="00F7749D">
          <w:rPr>
            <w:noProof/>
            <w:webHidden/>
          </w:rPr>
          <w:tab/>
        </w:r>
        <w:r w:rsidR="00F7749D">
          <w:rPr>
            <w:noProof/>
            <w:webHidden/>
          </w:rPr>
          <w:fldChar w:fldCharType="begin"/>
        </w:r>
        <w:r w:rsidR="00F7749D">
          <w:rPr>
            <w:noProof/>
            <w:webHidden/>
          </w:rPr>
          <w:instrText xml:space="preserve"> PAGEREF _Toc74930912 \h </w:instrText>
        </w:r>
        <w:r w:rsidR="00F7749D">
          <w:rPr>
            <w:noProof/>
            <w:webHidden/>
          </w:rPr>
        </w:r>
        <w:r w:rsidR="00F7749D">
          <w:rPr>
            <w:noProof/>
            <w:webHidden/>
          </w:rPr>
          <w:fldChar w:fldCharType="separate"/>
        </w:r>
        <w:r w:rsidR="00F7749D">
          <w:rPr>
            <w:noProof/>
            <w:webHidden/>
          </w:rPr>
          <w:t>95</w:t>
        </w:r>
        <w:r w:rsidR="00F7749D">
          <w:rPr>
            <w:noProof/>
            <w:webHidden/>
          </w:rPr>
          <w:fldChar w:fldCharType="end"/>
        </w:r>
      </w:hyperlink>
    </w:p>
    <w:p w14:paraId="6188C7B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3" w:history="1">
        <w:r w:rsidR="00F7749D" w:rsidRPr="0093776D">
          <w:rPr>
            <w:rStyle w:val="Hipervnculo"/>
            <w:rFonts w:cs="Arial"/>
          </w:rPr>
          <w:t>12</w:t>
        </w:r>
        <w:r w:rsidR="00F7749D">
          <w:rPr>
            <w:rFonts w:asciiTheme="minorHAnsi" w:eastAsiaTheme="minorEastAsia" w:hAnsiTheme="minorHAnsi" w:cstheme="minorBidi"/>
            <w:noProof/>
            <w:sz w:val="22"/>
            <w:szCs w:val="22"/>
            <w:lang w:val="en-US"/>
          </w:rPr>
          <w:tab/>
        </w:r>
        <w:r w:rsidR="00F7749D" w:rsidRPr="0093776D">
          <w:rPr>
            <w:rStyle w:val="Hipervnculo"/>
            <w:rFonts w:cs="Arial"/>
          </w:rPr>
          <w:t>Decisiones del Gerente de Obras</w:t>
        </w:r>
        <w:r w:rsidR="00F7749D">
          <w:rPr>
            <w:noProof/>
            <w:webHidden/>
          </w:rPr>
          <w:tab/>
        </w:r>
        <w:r w:rsidR="00F7749D">
          <w:rPr>
            <w:noProof/>
            <w:webHidden/>
          </w:rPr>
          <w:fldChar w:fldCharType="begin"/>
        </w:r>
        <w:r w:rsidR="00F7749D">
          <w:rPr>
            <w:noProof/>
            <w:webHidden/>
          </w:rPr>
          <w:instrText xml:space="preserve"> PAGEREF _Toc74930913 \h </w:instrText>
        </w:r>
        <w:r w:rsidR="00F7749D">
          <w:rPr>
            <w:noProof/>
            <w:webHidden/>
          </w:rPr>
        </w:r>
        <w:r w:rsidR="00F7749D">
          <w:rPr>
            <w:noProof/>
            <w:webHidden/>
          </w:rPr>
          <w:fldChar w:fldCharType="separate"/>
        </w:r>
        <w:r w:rsidR="00F7749D">
          <w:rPr>
            <w:b/>
            <w:bCs/>
            <w:noProof/>
            <w:webHidden/>
            <w:lang w:val="es-ES"/>
          </w:rPr>
          <w:t>¡Error! Marcador no definido.</w:t>
        </w:r>
        <w:r w:rsidR="00F7749D">
          <w:rPr>
            <w:noProof/>
            <w:webHidden/>
          </w:rPr>
          <w:fldChar w:fldCharType="end"/>
        </w:r>
      </w:hyperlink>
    </w:p>
    <w:p w14:paraId="5761FB0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4" w:history="1">
        <w:r w:rsidR="00F7749D" w:rsidRPr="0093776D">
          <w:rPr>
            <w:rStyle w:val="Hipervnculo"/>
            <w:rFonts w:cs="Arial"/>
          </w:rPr>
          <w:t>13</w:t>
        </w:r>
        <w:r w:rsidR="00F7749D">
          <w:rPr>
            <w:rFonts w:asciiTheme="minorHAnsi" w:eastAsiaTheme="minorEastAsia" w:hAnsiTheme="minorHAnsi" w:cstheme="minorBidi"/>
            <w:noProof/>
            <w:sz w:val="22"/>
            <w:szCs w:val="22"/>
            <w:lang w:val="en-US"/>
          </w:rPr>
          <w:tab/>
        </w:r>
        <w:r w:rsidR="00F7749D" w:rsidRPr="0093776D">
          <w:rPr>
            <w:rStyle w:val="Hipervnculo"/>
            <w:rFonts w:cs="Arial"/>
          </w:rPr>
          <w:t>Delegación de funciones del Gerente de Obras</w:t>
        </w:r>
        <w:r w:rsidR="00F7749D">
          <w:rPr>
            <w:noProof/>
            <w:webHidden/>
          </w:rPr>
          <w:tab/>
        </w:r>
        <w:r w:rsidR="00F7749D">
          <w:rPr>
            <w:noProof/>
            <w:webHidden/>
          </w:rPr>
          <w:fldChar w:fldCharType="begin"/>
        </w:r>
        <w:r w:rsidR="00F7749D">
          <w:rPr>
            <w:noProof/>
            <w:webHidden/>
          </w:rPr>
          <w:instrText xml:space="preserve"> PAGEREF _Toc74930914 \h </w:instrText>
        </w:r>
        <w:r w:rsidR="00F7749D">
          <w:rPr>
            <w:noProof/>
            <w:webHidden/>
          </w:rPr>
        </w:r>
        <w:r w:rsidR="00F7749D">
          <w:rPr>
            <w:noProof/>
            <w:webHidden/>
          </w:rPr>
          <w:fldChar w:fldCharType="separate"/>
        </w:r>
        <w:r w:rsidR="00F7749D">
          <w:rPr>
            <w:noProof/>
            <w:webHidden/>
          </w:rPr>
          <w:t>96</w:t>
        </w:r>
        <w:r w:rsidR="00F7749D">
          <w:rPr>
            <w:noProof/>
            <w:webHidden/>
          </w:rPr>
          <w:fldChar w:fldCharType="end"/>
        </w:r>
      </w:hyperlink>
    </w:p>
    <w:p w14:paraId="64E78BE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5" w:history="1">
        <w:r w:rsidR="00F7749D" w:rsidRPr="0093776D">
          <w:rPr>
            <w:rStyle w:val="Hipervnculo"/>
            <w:rFonts w:cs="Arial"/>
          </w:rPr>
          <w:t>14</w:t>
        </w:r>
        <w:r w:rsidR="00F7749D">
          <w:rPr>
            <w:rFonts w:asciiTheme="minorHAnsi" w:eastAsiaTheme="minorEastAsia" w:hAnsiTheme="minorHAnsi" w:cstheme="minorBidi"/>
            <w:noProof/>
            <w:sz w:val="22"/>
            <w:szCs w:val="22"/>
            <w:lang w:val="en-US"/>
          </w:rPr>
          <w:tab/>
        </w:r>
        <w:r w:rsidR="00F7749D" w:rsidRPr="0093776D">
          <w:rPr>
            <w:rStyle w:val="Hipervnculo"/>
            <w:rFonts w:cs="Arial"/>
          </w:rPr>
          <w:t>Superintendente de construcción</w:t>
        </w:r>
        <w:r w:rsidR="00F7749D">
          <w:rPr>
            <w:noProof/>
            <w:webHidden/>
          </w:rPr>
          <w:tab/>
        </w:r>
        <w:r w:rsidR="00F7749D">
          <w:rPr>
            <w:noProof/>
            <w:webHidden/>
          </w:rPr>
          <w:fldChar w:fldCharType="begin"/>
        </w:r>
        <w:r w:rsidR="00F7749D">
          <w:rPr>
            <w:noProof/>
            <w:webHidden/>
          </w:rPr>
          <w:instrText xml:space="preserve"> PAGEREF _Toc74930915 \h </w:instrText>
        </w:r>
        <w:r w:rsidR="00F7749D">
          <w:rPr>
            <w:noProof/>
            <w:webHidden/>
          </w:rPr>
        </w:r>
        <w:r w:rsidR="00F7749D">
          <w:rPr>
            <w:noProof/>
            <w:webHidden/>
          </w:rPr>
          <w:fldChar w:fldCharType="separate"/>
        </w:r>
        <w:r w:rsidR="00F7749D">
          <w:rPr>
            <w:noProof/>
            <w:webHidden/>
          </w:rPr>
          <w:t>96</w:t>
        </w:r>
        <w:r w:rsidR="00F7749D">
          <w:rPr>
            <w:noProof/>
            <w:webHidden/>
          </w:rPr>
          <w:fldChar w:fldCharType="end"/>
        </w:r>
      </w:hyperlink>
    </w:p>
    <w:p w14:paraId="21EE6F97"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6" w:history="1">
        <w:r w:rsidR="00F7749D" w:rsidRPr="0093776D">
          <w:rPr>
            <w:rStyle w:val="Hipervnculo"/>
            <w:rFonts w:cs="Arial"/>
          </w:rPr>
          <w:t>15</w:t>
        </w:r>
        <w:r w:rsidR="00F7749D">
          <w:rPr>
            <w:rFonts w:asciiTheme="minorHAnsi" w:eastAsiaTheme="minorEastAsia" w:hAnsiTheme="minorHAnsi" w:cstheme="minorBidi"/>
            <w:noProof/>
            <w:sz w:val="22"/>
            <w:szCs w:val="22"/>
            <w:lang w:val="en-US"/>
          </w:rPr>
          <w:tab/>
        </w:r>
        <w:r w:rsidR="00F7749D" w:rsidRPr="0093776D">
          <w:rPr>
            <w:rStyle w:val="Hipervnculo"/>
            <w:rFonts w:cs="Arial"/>
          </w:rPr>
          <w:t>Notificaciones y Comunicaciones entre las Partes</w:t>
        </w:r>
        <w:r w:rsidR="00F7749D">
          <w:rPr>
            <w:noProof/>
            <w:webHidden/>
          </w:rPr>
          <w:tab/>
        </w:r>
        <w:r w:rsidR="00F7749D">
          <w:rPr>
            <w:noProof/>
            <w:webHidden/>
          </w:rPr>
          <w:fldChar w:fldCharType="begin"/>
        </w:r>
        <w:r w:rsidR="00F7749D">
          <w:rPr>
            <w:noProof/>
            <w:webHidden/>
          </w:rPr>
          <w:instrText xml:space="preserve"> PAGEREF _Toc74930916 \h </w:instrText>
        </w:r>
        <w:r w:rsidR="00F7749D">
          <w:rPr>
            <w:noProof/>
            <w:webHidden/>
          </w:rPr>
        </w:r>
        <w:r w:rsidR="00F7749D">
          <w:rPr>
            <w:noProof/>
            <w:webHidden/>
          </w:rPr>
          <w:fldChar w:fldCharType="separate"/>
        </w:r>
        <w:r w:rsidR="00F7749D">
          <w:rPr>
            <w:noProof/>
            <w:webHidden/>
          </w:rPr>
          <w:t>96</w:t>
        </w:r>
        <w:r w:rsidR="00F7749D">
          <w:rPr>
            <w:noProof/>
            <w:webHidden/>
          </w:rPr>
          <w:fldChar w:fldCharType="end"/>
        </w:r>
      </w:hyperlink>
    </w:p>
    <w:p w14:paraId="533BAB74"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7" w:history="1">
        <w:r w:rsidR="00F7749D" w:rsidRPr="0093776D">
          <w:rPr>
            <w:rStyle w:val="Hipervnculo"/>
            <w:rFonts w:cs="Arial"/>
          </w:rPr>
          <w:t>16</w:t>
        </w:r>
        <w:r w:rsidR="00F7749D">
          <w:rPr>
            <w:rFonts w:asciiTheme="minorHAnsi" w:eastAsiaTheme="minorEastAsia" w:hAnsiTheme="minorHAnsi" w:cstheme="minorBidi"/>
            <w:noProof/>
            <w:sz w:val="22"/>
            <w:szCs w:val="22"/>
            <w:lang w:val="en-US"/>
          </w:rPr>
          <w:tab/>
        </w:r>
        <w:r w:rsidR="00F7749D" w:rsidRPr="0093776D">
          <w:rPr>
            <w:rStyle w:val="Hipervnculo"/>
            <w:rFonts w:cs="Arial"/>
          </w:rPr>
          <w:t>Subcontratos</w:t>
        </w:r>
        <w:r w:rsidR="00F7749D">
          <w:rPr>
            <w:noProof/>
            <w:webHidden/>
          </w:rPr>
          <w:tab/>
        </w:r>
        <w:r w:rsidR="00F7749D">
          <w:rPr>
            <w:noProof/>
            <w:webHidden/>
          </w:rPr>
          <w:fldChar w:fldCharType="begin"/>
        </w:r>
        <w:r w:rsidR="00F7749D">
          <w:rPr>
            <w:noProof/>
            <w:webHidden/>
          </w:rPr>
          <w:instrText xml:space="preserve"> PAGEREF _Toc74930917 \h </w:instrText>
        </w:r>
        <w:r w:rsidR="00F7749D">
          <w:rPr>
            <w:noProof/>
            <w:webHidden/>
          </w:rPr>
        </w:r>
        <w:r w:rsidR="00F7749D">
          <w:rPr>
            <w:noProof/>
            <w:webHidden/>
          </w:rPr>
          <w:fldChar w:fldCharType="separate"/>
        </w:r>
        <w:r w:rsidR="00F7749D">
          <w:rPr>
            <w:noProof/>
            <w:webHidden/>
          </w:rPr>
          <w:t>97</w:t>
        </w:r>
        <w:r w:rsidR="00F7749D">
          <w:rPr>
            <w:noProof/>
            <w:webHidden/>
          </w:rPr>
          <w:fldChar w:fldCharType="end"/>
        </w:r>
      </w:hyperlink>
    </w:p>
    <w:p w14:paraId="332D5270"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8" w:history="1">
        <w:r w:rsidR="00F7749D" w:rsidRPr="0093776D">
          <w:rPr>
            <w:rStyle w:val="Hipervnculo"/>
            <w:rFonts w:cs="Arial"/>
          </w:rPr>
          <w:t>17</w:t>
        </w:r>
        <w:r w:rsidR="00F7749D">
          <w:rPr>
            <w:rFonts w:asciiTheme="minorHAnsi" w:eastAsiaTheme="minorEastAsia" w:hAnsiTheme="minorHAnsi" w:cstheme="minorBidi"/>
            <w:noProof/>
            <w:sz w:val="22"/>
            <w:szCs w:val="22"/>
            <w:lang w:val="en-US"/>
          </w:rPr>
          <w:tab/>
        </w:r>
        <w:r w:rsidR="00F7749D" w:rsidRPr="0093776D">
          <w:rPr>
            <w:rStyle w:val="Hipervnculo"/>
            <w:rFonts w:cs="Arial"/>
          </w:rPr>
          <w:t>Cesión</w:t>
        </w:r>
        <w:r w:rsidR="00F7749D">
          <w:rPr>
            <w:noProof/>
            <w:webHidden/>
          </w:rPr>
          <w:tab/>
        </w:r>
        <w:r w:rsidR="00F7749D">
          <w:rPr>
            <w:noProof/>
            <w:webHidden/>
          </w:rPr>
          <w:fldChar w:fldCharType="begin"/>
        </w:r>
        <w:r w:rsidR="00F7749D">
          <w:rPr>
            <w:noProof/>
            <w:webHidden/>
          </w:rPr>
          <w:instrText xml:space="preserve"> PAGEREF _Toc74930918 \h </w:instrText>
        </w:r>
        <w:r w:rsidR="00F7749D">
          <w:rPr>
            <w:noProof/>
            <w:webHidden/>
          </w:rPr>
        </w:r>
        <w:r w:rsidR="00F7749D">
          <w:rPr>
            <w:noProof/>
            <w:webHidden/>
          </w:rPr>
          <w:fldChar w:fldCharType="separate"/>
        </w:r>
        <w:r w:rsidR="00F7749D">
          <w:rPr>
            <w:noProof/>
            <w:webHidden/>
          </w:rPr>
          <w:t>97</w:t>
        </w:r>
        <w:r w:rsidR="00F7749D">
          <w:rPr>
            <w:noProof/>
            <w:webHidden/>
          </w:rPr>
          <w:fldChar w:fldCharType="end"/>
        </w:r>
      </w:hyperlink>
    </w:p>
    <w:p w14:paraId="6CC06F99"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19" w:history="1">
        <w:r w:rsidR="00F7749D" w:rsidRPr="0093776D">
          <w:rPr>
            <w:rStyle w:val="Hipervnculo"/>
            <w:rFonts w:cs="Arial"/>
          </w:rPr>
          <w:t>18</w:t>
        </w:r>
        <w:r w:rsidR="00F7749D">
          <w:rPr>
            <w:rFonts w:asciiTheme="minorHAnsi" w:eastAsiaTheme="minorEastAsia" w:hAnsiTheme="minorHAnsi" w:cstheme="minorBidi"/>
            <w:noProof/>
            <w:sz w:val="22"/>
            <w:szCs w:val="22"/>
            <w:lang w:val="en-US"/>
          </w:rPr>
          <w:tab/>
        </w:r>
        <w:r w:rsidR="00F7749D" w:rsidRPr="0093776D">
          <w:rPr>
            <w:rStyle w:val="Hipervnculo"/>
            <w:rFonts w:cs="Arial"/>
          </w:rPr>
          <w:t>Otros Contratistas</w:t>
        </w:r>
        <w:r w:rsidR="00F7749D">
          <w:rPr>
            <w:noProof/>
            <w:webHidden/>
          </w:rPr>
          <w:tab/>
        </w:r>
        <w:r w:rsidR="00F7749D">
          <w:rPr>
            <w:noProof/>
            <w:webHidden/>
          </w:rPr>
          <w:fldChar w:fldCharType="begin"/>
        </w:r>
        <w:r w:rsidR="00F7749D">
          <w:rPr>
            <w:noProof/>
            <w:webHidden/>
          </w:rPr>
          <w:instrText xml:space="preserve"> PAGEREF _Toc74930919 \h </w:instrText>
        </w:r>
        <w:r w:rsidR="00F7749D">
          <w:rPr>
            <w:noProof/>
            <w:webHidden/>
          </w:rPr>
        </w:r>
        <w:r w:rsidR="00F7749D">
          <w:rPr>
            <w:noProof/>
            <w:webHidden/>
          </w:rPr>
          <w:fldChar w:fldCharType="separate"/>
        </w:r>
        <w:r w:rsidR="00F7749D">
          <w:rPr>
            <w:noProof/>
            <w:webHidden/>
          </w:rPr>
          <w:t>97</w:t>
        </w:r>
        <w:r w:rsidR="00F7749D">
          <w:rPr>
            <w:noProof/>
            <w:webHidden/>
          </w:rPr>
          <w:fldChar w:fldCharType="end"/>
        </w:r>
      </w:hyperlink>
    </w:p>
    <w:p w14:paraId="2D86236A"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0" w:history="1">
        <w:r w:rsidR="00F7749D" w:rsidRPr="0093776D">
          <w:rPr>
            <w:rStyle w:val="Hipervnculo"/>
            <w:rFonts w:cs="Arial"/>
          </w:rPr>
          <w:t>19</w:t>
        </w:r>
        <w:r w:rsidR="00F7749D">
          <w:rPr>
            <w:rFonts w:asciiTheme="minorHAnsi" w:eastAsiaTheme="minorEastAsia" w:hAnsiTheme="minorHAnsi" w:cstheme="minorBidi"/>
            <w:noProof/>
            <w:sz w:val="22"/>
            <w:szCs w:val="22"/>
            <w:lang w:val="en-US"/>
          </w:rPr>
          <w:tab/>
        </w:r>
        <w:r w:rsidR="00F7749D" w:rsidRPr="0093776D">
          <w:rPr>
            <w:rStyle w:val="Hipervnculo"/>
            <w:rFonts w:cs="Arial"/>
          </w:rPr>
          <w:t>Personal del Contratista</w:t>
        </w:r>
        <w:r w:rsidR="00F7749D">
          <w:rPr>
            <w:noProof/>
            <w:webHidden/>
          </w:rPr>
          <w:tab/>
        </w:r>
        <w:r w:rsidR="00F7749D">
          <w:rPr>
            <w:noProof/>
            <w:webHidden/>
          </w:rPr>
          <w:fldChar w:fldCharType="begin"/>
        </w:r>
        <w:r w:rsidR="00F7749D">
          <w:rPr>
            <w:noProof/>
            <w:webHidden/>
          </w:rPr>
          <w:instrText xml:space="preserve"> PAGEREF _Toc74930920 \h </w:instrText>
        </w:r>
        <w:r w:rsidR="00F7749D">
          <w:rPr>
            <w:noProof/>
            <w:webHidden/>
          </w:rPr>
        </w:r>
        <w:r w:rsidR="00F7749D">
          <w:rPr>
            <w:noProof/>
            <w:webHidden/>
          </w:rPr>
          <w:fldChar w:fldCharType="separate"/>
        </w:r>
        <w:r w:rsidR="00F7749D">
          <w:rPr>
            <w:noProof/>
            <w:webHidden/>
          </w:rPr>
          <w:t>97</w:t>
        </w:r>
        <w:r w:rsidR="00F7749D">
          <w:rPr>
            <w:noProof/>
            <w:webHidden/>
          </w:rPr>
          <w:fldChar w:fldCharType="end"/>
        </w:r>
      </w:hyperlink>
    </w:p>
    <w:p w14:paraId="0E096377"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1" w:history="1">
        <w:r w:rsidR="00F7749D" w:rsidRPr="0093776D">
          <w:rPr>
            <w:rStyle w:val="Hipervnculo"/>
            <w:rFonts w:cs="Arial"/>
          </w:rPr>
          <w:t>20</w:t>
        </w:r>
        <w:r w:rsidR="00F7749D">
          <w:rPr>
            <w:rFonts w:asciiTheme="minorHAnsi" w:eastAsiaTheme="minorEastAsia" w:hAnsiTheme="minorHAnsi" w:cstheme="minorBidi"/>
            <w:noProof/>
            <w:sz w:val="22"/>
            <w:szCs w:val="22"/>
            <w:lang w:val="en-US"/>
          </w:rPr>
          <w:tab/>
        </w:r>
        <w:r w:rsidR="00F7749D" w:rsidRPr="0093776D">
          <w:rPr>
            <w:rStyle w:val="Hipervnculo"/>
            <w:rFonts w:cs="Arial"/>
          </w:rPr>
          <w:t>Riesgos</w:t>
        </w:r>
        <w:r w:rsidR="00F7749D">
          <w:rPr>
            <w:noProof/>
            <w:webHidden/>
          </w:rPr>
          <w:tab/>
        </w:r>
        <w:r w:rsidR="00F7749D">
          <w:rPr>
            <w:noProof/>
            <w:webHidden/>
          </w:rPr>
          <w:fldChar w:fldCharType="begin"/>
        </w:r>
        <w:r w:rsidR="00F7749D">
          <w:rPr>
            <w:noProof/>
            <w:webHidden/>
          </w:rPr>
          <w:instrText xml:space="preserve"> PAGEREF _Toc74930921 \h </w:instrText>
        </w:r>
        <w:r w:rsidR="00F7749D">
          <w:rPr>
            <w:noProof/>
            <w:webHidden/>
          </w:rPr>
        </w:r>
        <w:r w:rsidR="00F7749D">
          <w:rPr>
            <w:noProof/>
            <w:webHidden/>
          </w:rPr>
          <w:fldChar w:fldCharType="separate"/>
        </w:r>
        <w:r w:rsidR="00F7749D">
          <w:rPr>
            <w:noProof/>
            <w:webHidden/>
          </w:rPr>
          <w:t>98</w:t>
        </w:r>
        <w:r w:rsidR="00F7749D">
          <w:rPr>
            <w:noProof/>
            <w:webHidden/>
          </w:rPr>
          <w:fldChar w:fldCharType="end"/>
        </w:r>
      </w:hyperlink>
    </w:p>
    <w:p w14:paraId="19398A6C"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2" w:history="1">
        <w:r w:rsidR="00F7749D" w:rsidRPr="0093776D">
          <w:rPr>
            <w:rStyle w:val="Hipervnculo"/>
            <w:rFonts w:cs="Arial"/>
          </w:rPr>
          <w:t>21</w:t>
        </w:r>
        <w:r w:rsidR="00F7749D">
          <w:rPr>
            <w:rFonts w:asciiTheme="minorHAnsi" w:eastAsiaTheme="minorEastAsia" w:hAnsiTheme="minorHAnsi" w:cstheme="minorBidi"/>
            <w:noProof/>
            <w:sz w:val="22"/>
            <w:szCs w:val="22"/>
            <w:lang w:val="en-US"/>
          </w:rPr>
          <w:tab/>
        </w:r>
        <w:r w:rsidR="00F7749D" w:rsidRPr="0093776D">
          <w:rPr>
            <w:rStyle w:val="Hipervnculo"/>
            <w:rFonts w:cs="Arial"/>
          </w:rPr>
          <w:t>Seguros</w:t>
        </w:r>
        <w:r w:rsidR="00F7749D">
          <w:rPr>
            <w:noProof/>
            <w:webHidden/>
          </w:rPr>
          <w:tab/>
        </w:r>
        <w:r w:rsidR="00F7749D">
          <w:rPr>
            <w:noProof/>
            <w:webHidden/>
          </w:rPr>
          <w:fldChar w:fldCharType="begin"/>
        </w:r>
        <w:r w:rsidR="00F7749D">
          <w:rPr>
            <w:noProof/>
            <w:webHidden/>
          </w:rPr>
          <w:instrText xml:space="preserve"> PAGEREF _Toc74930922 \h </w:instrText>
        </w:r>
        <w:r w:rsidR="00F7749D">
          <w:rPr>
            <w:noProof/>
            <w:webHidden/>
          </w:rPr>
        </w:r>
        <w:r w:rsidR="00F7749D">
          <w:rPr>
            <w:noProof/>
            <w:webHidden/>
          </w:rPr>
          <w:fldChar w:fldCharType="separate"/>
        </w:r>
        <w:r w:rsidR="00F7749D">
          <w:rPr>
            <w:noProof/>
            <w:webHidden/>
          </w:rPr>
          <w:t>99</w:t>
        </w:r>
        <w:r w:rsidR="00F7749D">
          <w:rPr>
            <w:noProof/>
            <w:webHidden/>
          </w:rPr>
          <w:fldChar w:fldCharType="end"/>
        </w:r>
      </w:hyperlink>
    </w:p>
    <w:p w14:paraId="4F8021EE"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3" w:history="1">
        <w:r w:rsidR="00F7749D" w:rsidRPr="0093776D">
          <w:rPr>
            <w:rStyle w:val="Hipervnculo"/>
            <w:rFonts w:cs="Arial"/>
          </w:rPr>
          <w:t>22</w:t>
        </w:r>
        <w:r w:rsidR="00F7749D">
          <w:rPr>
            <w:rFonts w:asciiTheme="minorHAnsi" w:eastAsiaTheme="minorEastAsia" w:hAnsiTheme="minorHAnsi" w:cstheme="minorBidi"/>
            <w:noProof/>
            <w:sz w:val="22"/>
            <w:szCs w:val="22"/>
            <w:lang w:val="en-US"/>
          </w:rPr>
          <w:tab/>
        </w:r>
        <w:r w:rsidR="00F7749D" w:rsidRPr="0093776D">
          <w:rPr>
            <w:rStyle w:val="Hipervnculo"/>
            <w:rFonts w:cs="Arial"/>
          </w:rPr>
          <w:t>Informes de investigación del Sitio de las Obras</w:t>
        </w:r>
        <w:r w:rsidR="00F7749D">
          <w:rPr>
            <w:noProof/>
            <w:webHidden/>
          </w:rPr>
          <w:tab/>
        </w:r>
        <w:r w:rsidR="00F7749D">
          <w:rPr>
            <w:noProof/>
            <w:webHidden/>
          </w:rPr>
          <w:fldChar w:fldCharType="begin"/>
        </w:r>
        <w:r w:rsidR="00F7749D">
          <w:rPr>
            <w:noProof/>
            <w:webHidden/>
          </w:rPr>
          <w:instrText xml:space="preserve"> PAGEREF _Toc74930923 \h </w:instrText>
        </w:r>
        <w:r w:rsidR="00F7749D">
          <w:rPr>
            <w:noProof/>
            <w:webHidden/>
          </w:rPr>
        </w:r>
        <w:r w:rsidR="00F7749D">
          <w:rPr>
            <w:noProof/>
            <w:webHidden/>
          </w:rPr>
          <w:fldChar w:fldCharType="separate"/>
        </w:r>
        <w:r w:rsidR="00F7749D">
          <w:rPr>
            <w:noProof/>
            <w:webHidden/>
          </w:rPr>
          <w:t>100</w:t>
        </w:r>
        <w:r w:rsidR="00F7749D">
          <w:rPr>
            <w:noProof/>
            <w:webHidden/>
          </w:rPr>
          <w:fldChar w:fldCharType="end"/>
        </w:r>
      </w:hyperlink>
    </w:p>
    <w:p w14:paraId="01A2995B"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4" w:history="1">
        <w:r w:rsidR="00F7749D" w:rsidRPr="0093776D">
          <w:rPr>
            <w:rStyle w:val="Hipervnculo"/>
            <w:rFonts w:cs="Arial"/>
          </w:rPr>
          <w:t>23</w:t>
        </w:r>
        <w:r w:rsidR="00F7749D">
          <w:rPr>
            <w:rFonts w:asciiTheme="minorHAnsi" w:eastAsiaTheme="minorEastAsia" w:hAnsiTheme="minorHAnsi" w:cstheme="minorBidi"/>
            <w:noProof/>
            <w:sz w:val="22"/>
            <w:szCs w:val="22"/>
            <w:lang w:val="en-US"/>
          </w:rPr>
          <w:tab/>
        </w:r>
        <w:r w:rsidR="00F7749D" w:rsidRPr="0093776D">
          <w:rPr>
            <w:rStyle w:val="Hipervnculo"/>
            <w:rFonts w:cs="Arial"/>
          </w:rPr>
          <w:t>Construcción de las Obras por el Contratista</w:t>
        </w:r>
        <w:r w:rsidR="00F7749D">
          <w:rPr>
            <w:noProof/>
            <w:webHidden/>
          </w:rPr>
          <w:tab/>
        </w:r>
        <w:r w:rsidR="00F7749D">
          <w:rPr>
            <w:noProof/>
            <w:webHidden/>
          </w:rPr>
          <w:fldChar w:fldCharType="begin"/>
        </w:r>
        <w:r w:rsidR="00F7749D">
          <w:rPr>
            <w:noProof/>
            <w:webHidden/>
          </w:rPr>
          <w:instrText xml:space="preserve"> PAGEREF _Toc74930924 \h </w:instrText>
        </w:r>
        <w:r w:rsidR="00F7749D">
          <w:rPr>
            <w:noProof/>
            <w:webHidden/>
          </w:rPr>
        </w:r>
        <w:r w:rsidR="00F7749D">
          <w:rPr>
            <w:noProof/>
            <w:webHidden/>
          </w:rPr>
          <w:fldChar w:fldCharType="separate"/>
        </w:r>
        <w:r w:rsidR="00F7749D">
          <w:rPr>
            <w:noProof/>
            <w:webHidden/>
          </w:rPr>
          <w:t>100</w:t>
        </w:r>
        <w:r w:rsidR="00F7749D">
          <w:rPr>
            <w:noProof/>
            <w:webHidden/>
          </w:rPr>
          <w:fldChar w:fldCharType="end"/>
        </w:r>
      </w:hyperlink>
    </w:p>
    <w:p w14:paraId="55E1EF21"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5" w:history="1">
        <w:r w:rsidR="00F7749D" w:rsidRPr="0093776D">
          <w:rPr>
            <w:rStyle w:val="Hipervnculo"/>
            <w:rFonts w:cs="Arial"/>
          </w:rPr>
          <w:t>24</w:t>
        </w:r>
        <w:r w:rsidR="00F7749D">
          <w:rPr>
            <w:rFonts w:asciiTheme="minorHAnsi" w:eastAsiaTheme="minorEastAsia" w:hAnsiTheme="minorHAnsi" w:cstheme="minorBidi"/>
            <w:noProof/>
            <w:sz w:val="22"/>
            <w:szCs w:val="22"/>
            <w:lang w:val="en-US"/>
          </w:rPr>
          <w:tab/>
        </w:r>
        <w:r w:rsidR="00F7749D" w:rsidRPr="0093776D">
          <w:rPr>
            <w:rStyle w:val="Hipervnculo"/>
            <w:rFonts w:cs="Arial"/>
          </w:rPr>
          <w:t>Garantía de cumplimiento</w:t>
        </w:r>
        <w:r w:rsidR="00F7749D">
          <w:rPr>
            <w:noProof/>
            <w:webHidden/>
          </w:rPr>
          <w:tab/>
        </w:r>
        <w:r w:rsidR="00F7749D">
          <w:rPr>
            <w:noProof/>
            <w:webHidden/>
          </w:rPr>
          <w:fldChar w:fldCharType="begin"/>
        </w:r>
        <w:r w:rsidR="00F7749D">
          <w:rPr>
            <w:noProof/>
            <w:webHidden/>
          </w:rPr>
          <w:instrText xml:space="preserve"> PAGEREF _Toc74930925 \h </w:instrText>
        </w:r>
        <w:r w:rsidR="00F7749D">
          <w:rPr>
            <w:noProof/>
            <w:webHidden/>
          </w:rPr>
        </w:r>
        <w:r w:rsidR="00F7749D">
          <w:rPr>
            <w:noProof/>
            <w:webHidden/>
          </w:rPr>
          <w:fldChar w:fldCharType="separate"/>
        </w:r>
        <w:r w:rsidR="00F7749D">
          <w:rPr>
            <w:noProof/>
            <w:webHidden/>
          </w:rPr>
          <w:t>100</w:t>
        </w:r>
        <w:r w:rsidR="00F7749D">
          <w:rPr>
            <w:noProof/>
            <w:webHidden/>
          </w:rPr>
          <w:fldChar w:fldCharType="end"/>
        </w:r>
      </w:hyperlink>
    </w:p>
    <w:p w14:paraId="579FB23C"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6" w:history="1">
        <w:r w:rsidR="00F7749D" w:rsidRPr="0093776D">
          <w:rPr>
            <w:rStyle w:val="Hipervnculo"/>
            <w:rFonts w:cs="Arial"/>
          </w:rPr>
          <w:t>25</w:t>
        </w:r>
        <w:r w:rsidR="00F7749D">
          <w:rPr>
            <w:rFonts w:asciiTheme="minorHAnsi" w:eastAsiaTheme="minorEastAsia" w:hAnsiTheme="minorHAnsi" w:cstheme="minorBidi"/>
            <w:noProof/>
            <w:sz w:val="22"/>
            <w:szCs w:val="22"/>
            <w:lang w:val="en-US"/>
          </w:rPr>
          <w:tab/>
        </w:r>
        <w:r w:rsidR="00F7749D" w:rsidRPr="0093776D">
          <w:rPr>
            <w:rStyle w:val="Hipervnculo"/>
            <w:rFonts w:cs="Arial"/>
          </w:rPr>
          <w:t>Toma de posesión del Sitio de las Obras</w:t>
        </w:r>
        <w:r w:rsidR="00F7749D">
          <w:rPr>
            <w:noProof/>
            <w:webHidden/>
          </w:rPr>
          <w:tab/>
        </w:r>
        <w:r w:rsidR="00F7749D">
          <w:rPr>
            <w:noProof/>
            <w:webHidden/>
          </w:rPr>
          <w:fldChar w:fldCharType="begin"/>
        </w:r>
        <w:r w:rsidR="00F7749D">
          <w:rPr>
            <w:noProof/>
            <w:webHidden/>
          </w:rPr>
          <w:instrText xml:space="preserve"> PAGEREF _Toc74930926 \h </w:instrText>
        </w:r>
        <w:r w:rsidR="00F7749D">
          <w:rPr>
            <w:noProof/>
            <w:webHidden/>
          </w:rPr>
        </w:r>
        <w:r w:rsidR="00F7749D">
          <w:rPr>
            <w:noProof/>
            <w:webHidden/>
          </w:rPr>
          <w:fldChar w:fldCharType="separate"/>
        </w:r>
        <w:r w:rsidR="00F7749D">
          <w:rPr>
            <w:noProof/>
            <w:webHidden/>
          </w:rPr>
          <w:t>100</w:t>
        </w:r>
        <w:r w:rsidR="00F7749D">
          <w:rPr>
            <w:noProof/>
            <w:webHidden/>
          </w:rPr>
          <w:fldChar w:fldCharType="end"/>
        </w:r>
      </w:hyperlink>
    </w:p>
    <w:p w14:paraId="248586A8"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7" w:history="1">
        <w:r w:rsidR="00F7749D" w:rsidRPr="0093776D">
          <w:rPr>
            <w:rStyle w:val="Hipervnculo"/>
            <w:rFonts w:cs="Arial"/>
          </w:rPr>
          <w:t>26</w:t>
        </w:r>
        <w:r w:rsidR="00F7749D">
          <w:rPr>
            <w:rFonts w:asciiTheme="minorHAnsi" w:eastAsiaTheme="minorEastAsia" w:hAnsiTheme="minorHAnsi" w:cstheme="minorBidi"/>
            <w:noProof/>
            <w:sz w:val="22"/>
            <w:szCs w:val="22"/>
            <w:lang w:val="en-US"/>
          </w:rPr>
          <w:tab/>
        </w:r>
        <w:r w:rsidR="00F7749D" w:rsidRPr="0093776D">
          <w:rPr>
            <w:rStyle w:val="Hipervnculo"/>
            <w:rFonts w:cs="Arial"/>
          </w:rPr>
          <w:t>Acceso al Sitio de las Obras</w:t>
        </w:r>
        <w:r w:rsidR="00F7749D">
          <w:rPr>
            <w:noProof/>
            <w:webHidden/>
          </w:rPr>
          <w:tab/>
        </w:r>
        <w:r w:rsidR="00F7749D">
          <w:rPr>
            <w:noProof/>
            <w:webHidden/>
          </w:rPr>
          <w:fldChar w:fldCharType="begin"/>
        </w:r>
        <w:r w:rsidR="00F7749D">
          <w:rPr>
            <w:noProof/>
            <w:webHidden/>
          </w:rPr>
          <w:instrText xml:space="preserve"> PAGEREF _Toc74930927 \h </w:instrText>
        </w:r>
        <w:r w:rsidR="00F7749D">
          <w:rPr>
            <w:noProof/>
            <w:webHidden/>
          </w:rPr>
        </w:r>
        <w:r w:rsidR="00F7749D">
          <w:rPr>
            <w:noProof/>
            <w:webHidden/>
          </w:rPr>
          <w:fldChar w:fldCharType="separate"/>
        </w:r>
        <w:r w:rsidR="00F7749D">
          <w:rPr>
            <w:noProof/>
            <w:webHidden/>
          </w:rPr>
          <w:t>101</w:t>
        </w:r>
        <w:r w:rsidR="00F7749D">
          <w:rPr>
            <w:noProof/>
            <w:webHidden/>
          </w:rPr>
          <w:fldChar w:fldCharType="end"/>
        </w:r>
      </w:hyperlink>
    </w:p>
    <w:p w14:paraId="318BB339"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8" w:history="1">
        <w:r w:rsidR="00F7749D" w:rsidRPr="0093776D">
          <w:rPr>
            <w:rStyle w:val="Hipervnculo"/>
            <w:rFonts w:cs="Arial"/>
          </w:rPr>
          <w:t>27</w:t>
        </w:r>
        <w:r w:rsidR="00F7749D">
          <w:rPr>
            <w:rFonts w:asciiTheme="minorHAnsi" w:eastAsiaTheme="minorEastAsia" w:hAnsiTheme="minorHAnsi" w:cstheme="minorBidi"/>
            <w:noProof/>
            <w:sz w:val="22"/>
            <w:szCs w:val="22"/>
            <w:lang w:val="en-US"/>
          </w:rPr>
          <w:tab/>
        </w:r>
        <w:r w:rsidR="00F7749D" w:rsidRPr="0093776D">
          <w:rPr>
            <w:rStyle w:val="Hipervnculo"/>
            <w:rFonts w:cs="Arial"/>
          </w:rPr>
          <w:t>Sustentabilidad ambiental y social</w:t>
        </w:r>
        <w:r w:rsidR="00F7749D">
          <w:rPr>
            <w:noProof/>
            <w:webHidden/>
          </w:rPr>
          <w:tab/>
        </w:r>
        <w:r w:rsidR="00F7749D">
          <w:rPr>
            <w:noProof/>
            <w:webHidden/>
          </w:rPr>
          <w:fldChar w:fldCharType="begin"/>
        </w:r>
        <w:r w:rsidR="00F7749D">
          <w:rPr>
            <w:noProof/>
            <w:webHidden/>
          </w:rPr>
          <w:instrText xml:space="preserve"> PAGEREF _Toc74930928 \h </w:instrText>
        </w:r>
        <w:r w:rsidR="00F7749D">
          <w:rPr>
            <w:noProof/>
            <w:webHidden/>
          </w:rPr>
        </w:r>
        <w:r w:rsidR="00F7749D">
          <w:rPr>
            <w:noProof/>
            <w:webHidden/>
          </w:rPr>
          <w:fldChar w:fldCharType="separate"/>
        </w:r>
        <w:r w:rsidR="00F7749D">
          <w:rPr>
            <w:noProof/>
            <w:webHidden/>
          </w:rPr>
          <w:t>101</w:t>
        </w:r>
        <w:r w:rsidR="00F7749D">
          <w:rPr>
            <w:noProof/>
            <w:webHidden/>
          </w:rPr>
          <w:fldChar w:fldCharType="end"/>
        </w:r>
      </w:hyperlink>
    </w:p>
    <w:p w14:paraId="57676387"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29" w:history="1">
        <w:r w:rsidR="00F7749D" w:rsidRPr="0093776D">
          <w:rPr>
            <w:rStyle w:val="Hipervnculo"/>
            <w:rFonts w:cs="Arial"/>
          </w:rPr>
          <w:t>28</w:t>
        </w:r>
        <w:r w:rsidR="00F7749D">
          <w:rPr>
            <w:rFonts w:asciiTheme="minorHAnsi" w:eastAsiaTheme="minorEastAsia" w:hAnsiTheme="minorHAnsi" w:cstheme="minorBidi"/>
            <w:noProof/>
            <w:sz w:val="22"/>
            <w:szCs w:val="22"/>
            <w:lang w:val="en-US"/>
          </w:rPr>
          <w:tab/>
        </w:r>
        <w:r w:rsidR="00F7749D" w:rsidRPr="0093776D">
          <w:rPr>
            <w:rStyle w:val="Hipervnculo"/>
            <w:rFonts w:cs="Arial"/>
          </w:rPr>
          <w:t>Seguridad</w:t>
        </w:r>
        <w:r w:rsidR="00F7749D">
          <w:rPr>
            <w:noProof/>
            <w:webHidden/>
          </w:rPr>
          <w:tab/>
        </w:r>
        <w:r w:rsidR="00F7749D">
          <w:rPr>
            <w:noProof/>
            <w:webHidden/>
          </w:rPr>
          <w:fldChar w:fldCharType="begin"/>
        </w:r>
        <w:r w:rsidR="00F7749D">
          <w:rPr>
            <w:noProof/>
            <w:webHidden/>
          </w:rPr>
          <w:instrText xml:space="preserve"> PAGEREF _Toc74930929 \h </w:instrText>
        </w:r>
        <w:r w:rsidR="00F7749D">
          <w:rPr>
            <w:noProof/>
            <w:webHidden/>
          </w:rPr>
        </w:r>
        <w:r w:rsidR="00F7749D">
          <w:rPr>
            <w:noProof/>
            <w:webHidden/>
          </w:rPr>
          <w:fldChar w:fldCharType="separate"/>
        </w:r>
        <w:r w:rsidR="00F7749D">
          <w:rPr>
            <w:noProof/>
            <w:webHidden/>
          </w:rPr>
          <w:t>101</w:t>
        </w:r>
        <w:r w:rsidR="00F7749D">
          <w:rPr>
            <w:noProof/>
            <w:webHidden/>
          </w:rPr>
          <w:fldChar w:fldCharType="end"/>
        </w:r>
      </w:hyperlink>
    </w:p>
    <w:p w14:paraId="3462195F"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0" w:history="1">
        <w:r w:rsidR="00F7749D" w:rsidRPr="0093776D">
          <w:rPr>
            <w:rStyle w:val="Hipervnculo"/>
            <w:rFonts w:cs="Arial"/>
          </w:rPr>
          <w:t>29</w:t>
        </w:r>
        <w:r w:rsidR="00F7749D">
          <w:rPr>
            <w:rFonts w:asciiTheme="minorHAnsi" w:eastAsiaTheme="minorEastAsia" w:hAnsiTheme="minorHAnsi" w:cstheme="minorBidi"/>
            <w:noProof/>
            <w:sz w:val="22"/>
            <w:szCs w:val="22"/>
            <w:lang w:val="en-US"/>
          </w:rPr>
          <w:tab/>
        </w:r>
        <w:r w:rsidR="00F7749D" w:rsidRPr="0093776D">
          <w:rPr>
            <w:rStyle w:val="Hipervnculo"/>
            <w:rFonts w:cs="Arial"/>
          </w:rPr>
          <w:t>Descubrimientos de valor o interés</w:t>
        </w:r>
        <w:r w:rsidR="00F7749D">
          <w:rPr>
            <w:noProof/>
            <w:webHidden/>
          </w:rPr>
          <w:tab/>
        </w:r>
        <w:r w:rsidR="00F7749D">
          <w:rPr>
            <w:noProof/>
            <w:webHidden/>
          </w:rPr>
          <w:fldChar w:fldCharType="begin"/>
        </w:r>
        <w:r w:rsidR="00F7749D">
          <w:rPr>
            <w:noProof/>
            <w:webHidden/>
          </w:rPr>
          <w:instrText xml:space="preserve"> PAGEREF _Toc74930930 \h </w:instrText>
        </w:r>
        <w:r w:rsidR="00F7749D">
          <w:rPr>
            <w:noProof/>
            <w:webHidden/>
          </w:rPr>
        </w:r>
        <w:r w:rsidR="00F7749D">
          <w:rPr>
            <w:noProof/>
            <w:webHidden/>
          </w:rPr>
          <w:fldChar w:fldCharType="separate"/>
        </w:r>
        <w:r w:rsidR="00F7749D">
          <w:rPr>
            <w:noProof/>
            <w:webHidden/>
          </w:rPr>
          <w:t>101</w:t>
        </w:r>
        <w:r w:rsidR="00F7749D">
          <w:rPr>
            <w:noProof/>
            <w:webHidden/>
          </w:rPr>
          <w:fldChar w:fldCharType="end"/>
        </w:r>
      </w:hyperlink>
    </w:p>
    <w:p w14:paraId="3274177F"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1" w:history="1">
        <w:r w:rsidR="00F7749D" w:rsidRPr="0093776D">
          <w:rPr>
            <w:rStyle w:val="Hipervnculo"/>
            <w:rFonts w:cs="Arial"/>
          </w:rPr>
          <w:t>30</w:t>
        </w:r>
        <w:r w:rsidR="00F7749D">
          <w:rPr>
            <w:rFonts w:asciiTheme="minorHAnsi" w:eastAsiaTheme="minorEastAsia" w:hAnsiTheme="minorHAnsi" w:cstheme="minorBidi"/>
            <w:noProof/>
            <w:sz w:val="22"/>
            <w:szCs w:val="22"/>
            <w:lang w:val="en-US"/>
          </w:rPr>
          <w:tab/>
        </w:r>
        <w:r w:rsidR="00F7749D" w:rsidRPr="0093776D">
          <w:rPr>
            <w:rStyle w:val="Hipervnculo"/>
            <w:rFonts w:cs="Arial"/>
          </w:rPr>
          <w:t>Conclusión de las Obras en la fecha prevista</w:t>
        </w:r>
        <w:r w:rsidR="00F7749D">
          <w:rPr>
            <w:noProof/>
            <w:webHidden/>
          </w:rPr>
          <w:tab/>
        </w:r>
        <w:r w:rsidR="00F7749D">
          <w:rPr>
            <w:noProof/>
            <w:webHidden/>
          </w:rPr>
          <w:fldChar w:fldCharType="begin"/>
        </w:r>
        <w:r w:rsidR="00F7749D">
          <w:rPr>
            <w:noProof/>
            <w:webHidden/>
          </w:rPr>
          <w:instrText xml:space="preserve"> PAGEREF _Toc74930931 \h </w:instrText>
        </w:r>
        <w:r w:rsidR="00F7749D">
          <w:rPr>
            <w:noProof/>
            <w:webHidden/>
          </w:rPr>
        </w:r>
        <w:r w:rsidR="00F7749D">
          <w:rPr>
            <w:noProof/>
            <w:webHidden/>
          </w:rPr>
          <w:fldChar w:fldCharType="separate"/>
        </w:r>
        <w:r w:rsidR="00F7749D">
          <w:rPr>
            <w:noProof/>
            <w:webHidden/>
          </w:rPr>
          <w:t>101</w:t>
        </w:r>
        <w:r w:rsidR="00F7749D">
          <w:rPr>
            <w:noProof/>
            <w:webHidden/>
          </w:rPr>
          <w:fldChar w:fldCharType="end"/>
        </w:r>
      </w:hyperlink>
    </w:p>
    <w:p w14:paraId="2AB62FA4"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2" w:history="1">
        <w:r w:rsidR="00F7749D" w:rsidRPr="0093776D">
          <w:rPr>
            <w:rStyle w:val="Hipervnculo"/>
            <w:rFonts w:cs="Arial"/>
          </w:rPr>
          <w:t>31</w:t>
        </w:r>
        <w:r w:rsidR="00F7749D">
          <w:rPr>
            <w:rFonts w:asciiTheme="minorHAnsi" w:eastAsiaTheme="minorEastAsia" w:hAnsiTheme="minorHAnsi" w:cstheme="minorBidi"/>
            <w:noProof/>
            <w:sz w:val="22"/>
            <w:szCs w:val="22"/>
            <w:lang w:val="en-US"/>
          </w:rPr>
          <w:tab/>
        </w:r>
        <w:r w:rsidR="00F7749D" w:rsidRPr="0093776D">
          <w:rPr>
            <w:rStyle w:val="Hipervnculo"/>
            <w:rFonts w:cs="Arial"/>
          </w:rPr>
          <w:t>Consultas, instrucciones y aprobaciones por el Gerente de Obras</w:t>
        </w:r>
        <w:r w:rsidR="00F7749D">
          <w:rPr>
            <w:noProof/>
            <w:webHidden/>
          </w:rPr>
          <w:tab/>
        </w:r>
        <w:r w:rsidR="00F7749D">
          <w:rPr>
            <w:noProof/>
            <w:webHidden/>
          </w:rPr>
          <w:fldChar w:fldCharType="begin"/>
        </w:r>
        <w:r w:rsidR="00F7749D">
          <w:rPr>
            <w:noProof/>
            <w:webHidden/>
          </w:rPr>
          <w:instrText xml:space="preserve"> PAGEREF _Toc74930932 \h </w:instrText>
        </w:r>
        <w:r w:rsidR="00F7749D">
          <w:rPr>
            <w:noProof/>
            <w:webHidden/>
          </w:rPr>
        </w:r>
        <w:r w:rsidR="00F7749D">
          <w:rPr>
            <w:noProof/>
            <w:webHidden/>
          </w:rPr>
          <w:fldChar w:fldCharType="separate"/>
        </w:r>
        <w:r w:rsidR="00F7749D">
          <w:rPr>
            <w:noProof/>
            <w:webHidden/>
          </w:rPr>
          <w:t>102</w:t>
        </w:r>
        <w:r w:rsidR="00F7749D">
          <w:rPr>
            <w:noProof/>
            <w:webHidden/>
          </w:rPr>
          <w:fldChar w:fldCharType="end"/>
        </w:r>
      </w:hyperlink>
    </w:p>
    <w:p w14:paraId="2A4E6B84"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3" w:history="1">
        <w:r w:rsidR="00F7749D" w:rsidRPr="0093776D">
          <w:rPr>
            <w:rStyle w:val="Hipervnculo"/>
            <w:rFonts w:cs="Arial"/>
          </w:rPr>
          <w:t>32</w:t>
        </w:r>
        <w:r w:rsidR="00F7749D">
          <w:rPr>
            <w:rFonts w:asciiTheme="minorHAnsi" w:eastAsiaTheme="minorEastAsia" w:hAnsiTheme="minorHAnsi" w:cstheme="minorBidi"/>
            <w:noProof/>
            <w:sz w:val="22"/>
            <w:szCs w:val="22"/>
            <w:lang w:val="en-US"/>
          </w:rPr>
          <w:tab/>
        </w:r>
        <w:r w:rsidR="00F7749D" w:rsidRPr="0093776D">
          <w:rPr>
            <w:rStyle w:val="Hipervnculo"/>
            <w:rFonts w:cs="Arial"/>
          </w:rPr>
          <w:t>Inspecciones y auditorías por parte del Banco</w:t>
        </w:r>
        <w:r w:rsidR="00F7749D">
          <w:rPr>
            <w:noProof/>
            <w:webHidden/>
          </w:rPr>
          <w:tab/>
        </w:r>
        <w:r w:rsidR="00F7749D">
          <w:rPr>
            <w:noProof/>
            <w:webHidden/>
          </w:rPr>
          <w:fldChar w:fldCharType="begin"/>
        </w:r>
        <w:r w:rsidR="00F7749D">
          <w:rPr>
            <w:noProof/>
            <w:webHidden/>
          </w:rPr>
          <w:instrText xml:space="preserve"> PAGEREF _Toc74930933 \h </w:instrText>
        </w:r>
        <w:r w:rsidR="00F7749D">
          <w:rPr>
            <w:noProof/>
            <w:webHidden/>
          </w:rPr>
        </w:r>
        <w:r w:rsidR="00F7749D">
          <w:rPr>
            <w:noProof/>
            <w:webHidden/>
          </w:rPr>
          <w:fldChar w:fldCharType="separate"/>
        </w:r>
        <w:r w:rsidR="00F7749D">
          <w:rPr>
            <w:noProof/>
            <w:webHidden/>
          </w:rPr>
          <w:t>102</w:t>
        </w:r>
        <w:r w:rsidR="00F7749D">
          <w:rPr>
            <w:noProof/>
            <w:webHidden/>
          </w:rPr>
          <w:fldChar w:fldCharType="end"/>
        </w:r>
      </w:hyperlink>
    </w:p>
    <w:p w14:paraId="1D7F5EA1"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4" w:history="1">
        <w:r w:rsidR="00F7749D" w:rsidRPr="0093776D">
          <w:rPr>
            <w:rStyle w:val="Hipervnculo"/>
            <w:rFonts w:cs="Arial"/>
          </w:rPr>
          <w:t>33</w:t>
        </w:r>
        <w:r w:rsidR="00F7749D">
          <w:rPr>
            <w:rFonts w:asciiTheme="minorHAnsi" w:eastAsiaTheme="minorEastAsia" w:hAnsiTheme="minorHAnsi" w:cstheme="minorBidi"/>
            <w:noProof/>
            <w:sz w:val="22"/>
            <w:szCs w:val="22"/>
            <w:lang w:val="en-US"/>
          </w:rPr>
          <w:tab/>
        </w:r>
        <w:r w:rsidR="00F7749D" w:rsidRPr="0093776D">
          <w:rPr>
            <w:rStyle w:val="Hipervnculo"/>
            <w:rFonts w:cs="Arial"/>
          </w:rPr>
          <w:t>Resolución</w:t>
        </w:r>
        <w:r w:rsidR="00F7749D" w:rsidRPr="0093776D">
          <w:rPr>
            <w:rStyle w:val="Hipervnculo"/>
            <w:rFonts w:cs="Arial"/>
            <w:lang w:val="es-419"/>
          </w:rPr>
          <w:t xml:space="preserve"> de controversias</w:t>
        </w:r>
        <w:r w:rsidR="00F7749D">
          <w:rPr>
            <w:noProof/>
            <w:webHidden/>
          </w:rPr>
          <w:tab/>
        </w:r>
        <w:r w:rsidR="00F7749D">
          <w:rPr>
            <w:noProof/>
            <w:webHidden/>
          </w:rPr>
          <w:fldChar w:fldCharType="begin"/>
        </w:r>
        <w:r w:rsidR="00F7749D">
          <w:rPr>
            <w:noProof/>
            <w:webHidden/>
          </w:rPr>
          <w:instrText xml:space="preserve"> PAGEREF _Toc74930934 \h </w:instrText>
        </w:r>
        <w:r w:rsidR="00F7749D">
          <w:rPr>
            <w:noProof/>
            <w:webHidden/>
          </w:rPr>
        </w:r>
        <w:r w:rsidR="00F7749D">
          <w:rPr>
            <w:noProof/>
            <w:webHidden/>
          </w:rPr>
          <w:fldChar w:fldCharType="separate"/>
        </w:r>
        <w:r w:rsidR="00F7749D">
          <w:rPr>
            <w:noProof/>
            <w:webHidden/>
          </w:rPr>
          <w:t>102</w:t>
        </w:r>
        <w:r w:rsidR="00F7749D">
          <w:rPr>
            <w:noProof/>
            <w:webHidden/>
          </w:rPr>
          <w:fldChar w:fldCharType="end"/>
        </w:r>
      </w:hyperlink>
    </w:p>
    <w:p w14:paraId="3A5DF864"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35" w:history="1">
        <w:r w:rsidR="00F7749D" w:rsidRPr="0093776D">
          <w:rPr>
            <w:rStyle w:val="Hipervnculo"/>
            <w:rFonts w:cs="Arial"/>
          </w:rPr>
          <w:t>B.</w:t>
        </w:r>
        <w:r w:rsidR="00F7749D">
          <w:rPr>
            <w:rFonts w:asciiTheme="minorHAnsi" w:eastAsiaTheme="minorEastAsia" w:hAnsiTheme="minorHAnsi" w:cstheme="minorBidi"/>
            <w:b w:val="0"/>
            <w:noProof/>
            <w:sz w:val="22"/>
            <w:szCs w:val="22"/>
            <w:lang w:val="en-US"/>
          </w:rPr>
          <w:tab/>
        </w:r>
        <w:r w:rsidR="00F7749D" w:rsidRPr="0093776D">
          <w:rPr>
            <w:rStyle w:val="Hipervnculo"/>
            <w:rFonts w:cs="Arial"/>
            <w:lang w:val="es-419"/>
          </w:rPr>
          <w:t>Control de Plazos</w:t>
        </w:r>
        <w:r w:rsidR="00F7749D">
          <w:rPr>
            <w:noProof/>
            <w:webHidden/>
          </w:rPr>
          <w:tab/>
        </w:r>
        <w:r w:rsidR="00F7749D">
          <w:rPr>
            <w:noProof/>
            <w:webHidden/>
          </w:rPr>
          <w:fldChar w:fldCharType="begin"/>
        </w:r>
        <w:r w:rsidR="00F7749D">
          <w:rPr>
            <w:noProof/>
            <w:webHidden/>
          </w:rPr>
          <w:instrText xml:space="preserve"> PAGEREF _Toc74930935 \h </w:instrText>
        </w:r>
        <w:r w:rsidR="00F7749D">
          <w:rPr>
            <w:noProof/>
            <w:webHidden/>
          </w:rPr>
        </w:r>
        <w:r w:rsidR="00F7749D">
          <w:rPr>
            <w:noProof/>
            <w:webHidden/>
          </w:rPr>
          <w:fldChar w:fldCharType="separate"/>
        </w:r>
        <w:r w:rsidR="00F7749D">
          <w:rPr>
            <w:b w:val="0"/>
            <w:bCs/>
            <w:noProof/>
            <w:webHidden/>
            <w:lang w:val="es-ES"/>
          </w:rPr>
          <w:t>¡Error! Marcador no definido.</w:t>
        </w:r>
        <w:r w:rsidR="00F7749D">
          <w:rPr>
            <w:noProof/>
            <w:webHidden/>
          </w:rPr>
          <w:fldChar w:fldCharType="end"/>
        </w:r>
      </w:hyperlink>
    </w:p>
    <w:p w14:paraId="420EED1E"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6" w:history="1">
        <w:r w:rsidR="00F7749D" w:rsidRPr="0093776D">
          <w:rPr>
            <w:rStyle w:val="Hipervnculo"/>
            <w:rFonts w:cs="Arial"/>
          </w:rPr>
          <w:t>34</w:t>
        </w:r>
        <w:r w:rsidR="00F7749D">
          <w:rPr>
            <w:rFonts w:asciiTheme="minorHAnsi" w:eastAsiaTheme="minorEastAsia" w:hAnsiTheme="minorHAnsi" w:cstheme="minorBidi"/>
            <w:noProof/>
            <w:sz w:val="22"/>
            <w:szCs w:val="22"/>
            <w:lang w:val="en-US"/>
          </w:rPr>
          <w:tab/>
        </w:r>
        <w:r w:rsidR="00F7749D" w:rsidRPr="0093776D">
          <w:rPr>
            <w:rStyle w:val="Hipervnculo"/>
            <w:rFonts w:cs="Arial"/>
          </w:rPr>
          <w:t>Programa</w:t>
        </w:r>
        <w:r w:rsidR="00F7749D">
          <w:rPr>
            <w:noProof/>
            <w:webHidden/>
          </w:rPr>
          <w:tab/>
        </w:r>
        <w:r w:rsidR="00F7749D">
          <w:rPr>
            <w:noProof/>
            <w:webHidden/>
          </w:rPr>
          <w:fldChar w:fldCharType="begin"/>
        </w:r>
        <w:r w:rsidR="00F7749D">
          <w:rPr>
            <w:noProof/>
            <w:webHidden/>
          </w:rPr>
          <w:instrText xml:space="preserve"> PAGEREF _Toc74930936 \h </w:instrText>
        </w:r>
        <w:r w:rsidR="00F7749D">
          <w:rPr>
            <w:noProof/>
            <w:webHidden/>
          </w:rPr>
        </w:r>
        <w:r w:rsidR="00F7749D">
          <w:rPr>
            <w:noProof/>
            <w:webHidden/>
          </w:rPr>
          <w:fldChar w:fldCharType="separate"/>
        </w:r>
        <w:r w:rsidR="00F7749D">
          <w:rPr>
            <w:noProof/>
            <w:webHidden/>
          </w:rPr>
          <w:t>103</w:t>
        </w:r>
        <w:r w:rsidR="00F7749D">
          <w:rPr>
            <w:noProof/>
            <w:webHidden/>
          </w:rPr>
          <w:fldChar w:fldCharType="end"/>
        </w:r>
      </w:hyperlink>
    </w:p>
    <w:p w14:paraId="51AB7B1A"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7" w:history="1">
        <w:r w:rsidR="00F7749D" w:rsidRPr="0093776D">
          <w:rPr>
            <w:rStyle w:val="Hipervnculo"/>
            <w:rFonts w:cs="Arial"/>
          </w:rPr>
          <w:t>35</w:t>
        </w:r>
        <w:r w:rsidR="00F7749D">
          <w:rPr>
            <w:rFonts w:asciiTheme="minorHAnsi" w:eastAsiaTheme="minorEastAsia" w:hAnsiTheme="minorHAnsi" w:cstheme="minorBidi"/>
            <w:noProof/>
            <w:sz w:val="22"/>
            <w:szCs w:val="22"/>
            <w:lang w:val="en-US"/>
          </w:rPr>
          <w:tab/>
        </w:r>
        <w:r w:rsidR="00F7749D" w:rsidRPr="0093776D">
          <w:rPr>
            <w:rStyle w:val="Hipervnculo"/>
            <w:rFonts w:cs="Arial"/>
          </w:rPr>
          <w:t>Reuniones administrativas en el Sitio de las Obras</w:t>
        </w:r>
        <w:r w:rsidR="00F7749D">
          <w:rPr>
            <w:noProof/>
            <w:webHidden/>
          </w:rPr>
          <w:tab/>
        </w:r>
        <w:r w:rsidR="00F7749D">
          <w:rPr>
            <w:noProof/>
            <w:webHidden/>
          </w:rPr>
          <w:fldChar w:fldCharType="begin"/>
        </w:r>
        <w:r w:rsidR="00F7749D">
          <w:rPr>
            <w:noProof/>
            <w:webHidden/>
          </w:rPr>
          <w:instrText xml:space="preserve"> PAGEREF _Toc74930937 \h </w:instrText>
        </w:r>
        <w:r w:rsidR="00F7749D">
          <w:rPr>
            <w:noProof/>
            <w:webHidden/>
          </w:rPr>
        </w:r>
        <w:r w:rsidR="00F7749D">
          <w:rPr>
            <w:noProof/>
            <w:webHidden/>
          </w:rPr>
          <w:fldChar w:fldCharType="separate"/>
        </w:r>
        <w:r w:rsidR="00F7749D">
          <w:rPr>
            <w:noProof/>
            <w:webHidden/>
          </w:rPr>
          <w:t>104</w:t>
        </w:r>
        <w:r w:rsidR="00F7749D">
          <w:rPr>
            <w:noProof/>
            <w:webHidden/>
          </w:rPr>
          <w:fldChar w:fldCharType="end"/>
        </w:r>
      </w:hyperlink>
    </w:p>
    <w:p w14:paraId="3A9E812B"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8" w:history="1">
        <w:r w:rsidR="00F7749D" w:rsidRPr="0093776D">
          <w:rPr>
            <w:rStyle w:val="Hipervnculo"/>
            <w:rFonts w:cs="Arial"/>
          </w:rPr>
          <w:t>36</w:t>
        </w:r>
        <w:r w:rsidR="00F7749D">
          <w:rPr>
            <w:rFonts w:asciiTheme="minorHAnsi" w:eastAsiaTheme="minorEastAsia" w:hAnsiTheme="minorHAnsi" w:cstheme="minorBidi"/>
            <w:noProof/>
            <w:sz w:val="22"/>
            <w:szCs w:val="22"/>
            <w:lang w:val="en-US"/>
          </w:rPr>
          <w:tab/>
        </w:r>
        <w:r w:rsidR="00F7749D" w:rsidRPr="0093776D">
          <w:rPr>
            <w:rStyle w:val="Hipervnculo"/>
            <w:rFonts w:cs="Arial"/>
          </w:rPr>
          <w:t>Prórroga de la Fecha Prevista de Terminación</w:t>
        </w:r>
        <w:r w:rsidR="00F7749D">
          <w:rPr>
            <w:noProof/>
            <w:webHidden/>
          </w:rPr>
          <w:tab/>
        </w:r>
        <w:r w:rsidR="00F7749D">
          <w:rPr>
            <w:noProof/>
            <w:webHidden/>
          </w:rPr>
          <w:fldChar w:fldCharType="begin"/>
        </w:r>
        <w:r w:rsidR="00F7749D">
          <w:rPr>
            <w:noProof/>
            <w:webHidden/>
          </w:rPr>
          <w:instrText xml:space="preserve"> PAGEREF _Toc74930938 \h </w:instrText>
        </w:r>
        <w:r w:rsidR="00F7749D">
          <w:rPr>
            <w:noProof/>
            <w:webHidden/>
          </w:rPr>
        </w:r>
        <w:r w:rsidR="00F7749D">
          <w:rPr>
            <w:noProof/>
            <w:webHidden/>
          </w:rPr>
          <w:fldChar w:fldCharType="separate"/>
        </w:r>
        <w:r w:rsidR="00F7749D">
          <w:rPr>
            <w:noProof/>
            <w:webHidden/>
          </w:rPr>
          <w:t>104</w:t>
        </w:r>
        <w:r w:rsidR="00F7749D">
          <w:rPr>
            <w:noProof/>
            <w:webHidden/>
          </w:rPr>
          <w:fldChar w:fldCharType="end"/>
        </w:r>
      </w:hyperlink>
    </w:p>
    <w:p w14:paraId="6DCE1799"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39" w:history="1">
        <w:r w:rsidR="00F7749D" w:rsidRPr="0093776D">
          <w:rPr>
            <w:rStyle w:val="Hipervnculo"/>
            <w:rFonts w:cs="Arial"/>
          </w:rPr>
          <w:t>37</w:t>
        </w:r>
        <w:r w:rsidR="00F7749D">
          <w:rPr>
            <w:rFonts w:asciiTheme="minorHAnsi" w:eastAsiaTheme="minorEastAsia" w:hAnsiTheme="minorHAnsi" w:cstheme="minorBidi"/>
            <w:noProof/>
            <w:sz w:val="22"/>
            <w:szCs w:val="22"/>
            <w:lang w:val="en-US"/>
          </w:rPr>
          <w:tab/>
        </w:r>
        <w:r w:rsidR="00F7749D" w:rsidRPr="0093776D">
          <w:rPr>
            <w:rStyle w:val="Hipervnculo"/>
            <w:rFonts w:cs="Arial"/>
          </w:rPr>
          <w:t>Aceleración de las Obras</w:t>
        </w:r>
        <w:r w:rsidR="00F7749D">
          <w:rPr>
            <w:noProof/>
            <w:webHidden/>
          </w:rPr>
          <w:tab/>
        </w:r>
        <w:r w:rsidR="00F7749D">
          <w:rPr>
            <w:noProof/>
            <w:webHidden/>
          </w:rPr>
          <w:fldChar w:fldCharType="begin"/>
        </w:r>
        <w:r w:rsidR="00F7749D">
          <w:rPr>
            <w:noProof/>
            <w:webHidden/>
          </w:rPr>
          <w:instrText xml:space="preserve"> PAGEREF _Toc74930939 \h </w:instrText>
        </w:r>
        <w:r w:rsidR="00F7749D">
          <w:rPr>
            <w:noProof/>
            <w:webHidden/>
          </w:rPr>
        </w:r>
        <w:r w:rsidR="00F7749D">
          <w:rPr>
            <w:noProof/>
            <w:webHidden/>
          </w:rPr>
          <w:fldChar w:fldCharType="separate"/>
        </w:r>
        <w:r w:rsidR="00F7749D">
          <w:rPr>
            <w:noProof/>
            <w:webHidden/>
          </w:rPr>
          <w:t>104</w:t>
        </w:r>
        <w:r w:rsidR="00F7749D">
          <w:rPr>
            <w:noProof/>
            <w:webHidden/>
          </w:rPr>
          <w:fldChar w:fldCharType="end"/>
        </w:r>
      </w:hyperlink>
    </w:p>
    <w:p w14:paraId="166C45A4"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0" w:history="1">
        <w:r w:rsidR="00F7749D" w:rsidRPr="0093776D">
          <w:rPr>
            <w:rStyle w:val="Hipervnculo"/>
            <w:rFonts w:cs="Arial"/>
          </w:rPr>
          <w:t>38</w:t>
        </w:r>
        <w:r w:rsidR="00F7749D">
          <w:rPr>
            <w:rFonts w:asciiTheme="minorHAnsi" w:eastAsiaTheme="minorEastAsia" w:hAnsiTheme="minorHAnsi" w:cstheme="minorBidi"/>
            <w:noProof/>
            <w:sz w:val="22"/>
            <w:szCs w:val="22"/>
            <w:lang w:val="en-US"/>
          </w:rPr>
          <w:tab/>
        </w:r>
        <w:r w:rsidR="00F7749D" w:rsidRPr="0093776D">
          <w:rPr>
            <w:rStyle w:val="Hipervnculo"/>
            <w:rFonts w:cs="Arial"/>
          </w:rPr>
          <w:t>Demoras ordenadas por el Gerente de Obras</w:t>
        </w:r>
        <w:r w:rsidR="00F7749D">
          <w:rPr>
            <w:noProof/>
            <w:webHidden/>
          </w:rPr>
          <w:tab/>
        </w:r>
        <w:r w:rsidR="00F7749D">
          <w:rPr>
            <w:noProof/>
            <w:webHidden/>
          </w:rPr>
          <w:fldChar w:fldCharType="begin"/>
        </w:r>
        <w:r w:rsidR="00F7749D">
          <w:rPr>
            <w:noProof/>
            <w:webHidden/>
          </w:rPr>
          <w:instrText xml:space="preserve"> PAGEREF _Toc74930940 \h </w:instrText>
        </w:r>
        <w:r w:rsidR="00F7749D">
          <w:rPr>
            <w:noProof/>
            <w:webHidden/>
          </w:rPr>
        </w:r>
        <w:r w:rsidR="00F7749D">
          <w:rPr>
            <w:noProof/>
            <w:webHidden/>
          </w:rPr>
          <w:fldChar w:fldCharType="separate"/>
        </w:r>
        <w:r w:rsidR="00F7749D">
          <w:rPr>
            <w:noProof/>
            <w:webHidden/>
          </w:rPr>
          <w:t>105</w:t>
        </w:r>
        <w:r w:rsidR="00F7749D">
          <w:rPr>
            <w:noProof/>
            <w:webHidden/>
          </w:rPr>
          <w:fldChar w:fldCharType="end"/>
        </w:r>
      </w:hyperlink>
    </w:p>
    <w:p w14:paraId="52B85E32"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1" w:history="1">
        <w:r w:rsidR="00F7749D" w:rsidRPr="0093776D">
          <w:rPr>
            <w:rStyle w:val="Hipervnculo"/>
            <w:rFonts w:cs="Arial"/>
          </w:rPr>
          <w:t>39</w:t>
        </w:r>
        <w:r w:rsidR="00F7749D">
          <w:rPr>
            <w:rFonts w:asciiTheme="minorHAnsi" w:eastAsiaTheme="minorEastAsia" w:hAnsiTheme="minorHAnsi" w:cstheme="minorBidi"/>
            <w:noProof/>
            <w:sz w:val="22"/>
            <w:szCs w:val="22"/>
            <w:lang w:val="en-US"/>
          </w:rPr>
          <w:tab/>
        </w:r>
        <w:r w:rsidR="00F7749D" w:rsidRPr="0093776D">
          <w:rPr>
            <w:rStyle w:val="Hipervnculo"/>
            <w:rFonts w:cs="Arial"/>
          </w:rPr>
          <w:t>Advertencia anticipada</w:t>
        </w:r>
        <w:r w:rsidR="00F7749D">
          <w:rPr>
            <w:noProof/>
            <w:webHidden/>
          </w:rPr>
          <w:tab/>
        </w:r>
        <w:r w:rsidR="00F7749D">
          <w:rPr>
            <w:noProof/>
            <w:webHidden/>
          </w:rPr>
          <w:fldChar w:fldCharType="begin"/>
        </w:r>
        <w:r w:rsidR="00F7749D">
          <w:rPr>
            <w:noProof/>
            <w:webHidden/>
          </w:rPr>
          <w:instrText xml:space="preserve"> PAGEREF _Toc74930941 \h </w:instrText>
        </w:r>
        <w:r w:rsidR="00F7749D">
          <w:rPr>
            <w:noProof/>
            <w:webHidden/>
          </w:rPr>
        </w:r>
        <w:r w:rsidR="00F7749D">
          <w:rPr>
            <w:noProof/>
            <w:webHidden/>
          </w:rPr>
          <w:fldChar w:fldCharType="separate"/>
        </w:r>
        <w:r w:rsidR="00F7749D">
          <w:rPr>
            <w:noProof/>
            <w:webHidden/>
          </w:rPr>
          <w:t>105</w:t>
        </w:r>
        <w:r w:rsidR="00F7749D">
          <w:rPr>
            <w:noProof/>
            <w:webHidden/>
          </w:rPr>
          <w:fldChar w:fldCharType="end"/>
        </w:r>
      </w:hyperlink>
    </w:p>
    <w:p w14:paraId="06029828"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2" w:history="1">
        <w:r w:rsidR="00F7749D" w:rsidRPr="0093776D">
          <w:rPr>
            <w:rStyle w:val="Hipervnculo"/>
            <w:rFonts w:cs="Arial"/>
          </w:rPr>
          <w:t>40</w:t>
        </w:r>
        <w:r w:rsidR="00F7749D">
          <w:rPr>
            <w:rFonts w:asciiTheme="minorHAnsi" w:eastAsiaTheme="minorEastAsia" w:hAnsiTheme="minorHAnsi" w:cstheme="minorBidi"/>
            <w:noProof/>
            <w:sz w:val="22"/>
            <w:szCs w:val="22"/>
            <w:lang w:val="en-US"/>
          </w:rPr>
          <w:tab/>
        </w:r>
        <w:r w:rsidR="00F7749D" w:rsidRPr="0093776D">
          <w:rPr>
            <w:rStyle w:val="Hipervnculo"/>
            <w:rFonts w:cs="Arial"/>
          </w:rPr>
          <w:t>Caso fortuito o fuerza mayor</w:t>
        </w:r>
        <w:r w:rsidR="00F7749D">
          <w:rPr>
            <w:noProof/>
            <w:webHidden/>
          </w:rPr>
          <w:tab/>
        </w:r>
        <w:r w:rsidR="00F7749D">
          <w:rPr>
            <w:noProof/>
            <w:webHidden/>
          </w:rPr>
          <w:fldChar w:fldCharType="begin"/>
        </w:r>
        <w:r w:rsidR="00F7749D">
          <w:rPr>
            <w:noProof/>
            <w:webHidden/>
          </w:rPr>
          <w:instrText xml:space="preserve"> PAGEREF _Toc74930942 \h </w:instrText>
        </w:r>
        <w:r w:rsidR="00F7749D">
          <w:rPr>
            <w:noProof/>
            <w:webHidden/>
          </w:rPr>
        </w:r>
        <w:r w:rsidR="00F7749D">
          <w:rPr>
            <w:noProof/>
            <w:webHidden/>
          </w:rPr>
          <w:fldChar w:fldCharType="separate"/>
        </w:r>
        <w:r w:rsidR="00F7749D">
          <w:rPr>
            <w:noProof/>
            <w:webHidden/>
          </w:rPr>
          <w:t>105</w:t>
        </w:r>
        <w:r w:rsidR="00F7749D">
          <w:rPr>
            <w:noProof/>
            <w:webHidden/>
          </w:rPr>
          <w:fldChar w:fldCharType="end"/>
        </w:r>
      </w:hyperlink>
    </w:p>
    <w:p w14:paraId="2C93F0E7"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3" w:history="1">
        <w:r w:rsidR="00F7749D" w:rsidRPr="0093776D">
          <w:rPr>
            <w:rStyle w:val="Hipervnculo"/>
            <w:rFonts w:cs="Arial"/>
          </w:rPr>
          <w:t>41</w:t>
        </w:r>
        <w:r w:rsidR="00F7749D">
          <w:rPr>
            <w:rFonts w:asciiTheme="minorHAnsi" w:eastAsiaTheme="minorEastAsia" w:hAnsiTheme="minorHAnsi" w:cstheme="minorBidi"/>
            <w:noProof/>
            <w:sz w:val="22"/>
            <w:szCs w:val="22"/>
            <w:lang w:val="en-US"/>
          </w:rPr>
          <w:tab/>
        </w:r>
        <w:r w:rsidR="00F7749D" w:rsidRPr="0093776D">
          <w:rPr>
            <w:rStyle w:val="Hipervnculo"/>
            <w:rFonts w:cs="Arial"/>
          </w:rPr>
          <w:t>Suspensión temporal de la ejecución de las Obras</w:t>
        </w:r>
        <w:r w:rsidR="00F7749D">
          <w:rPr>
            <w:noProof/>
            <w:webHidden/>
          </w:rPr>
          <w:tab/>
        </w:r>
        <w:r w:rsidR="00F7749D">
          <w:rPr>
            <w:noProof/>
            <w:webHidden/>
          </w:rPr>
          <w:fldChar w:fldCharType="begin"/>
        </w:r>
        <w:r w:rsidR="00F7749D">
          <w:rPr>
            <w:noProof/>
            <w:webHidden/>
          </w:rPr>
          <w:instrText xml:space="preserve"> PAGEREF _Toc74930943 \h </w:instrText>
        </w:r>
        <w:r w:rsidR="00F7749D">
          <w:rPr>
            <w:noProof/>
            <w:webHidden/>
          </w:rPr>
        </w:r>
        <w:r w:rsidR="00F7749D">
          <w:rPr>
            <w:noProof/>
            <w:webHidden/>
          </w:rPr>
          <w:fldChar w:fldCharType="separate"/>
        </w:r>
        <w:r w:rsidR="00F7749D">
          <w:rPr>
            <w:noProof/>
            <w:webHidden/>
          </w:rPr>
          <w:t>106</w:t>
        </w:r>
        <w:r w:rsidR="00F7749D">
          <w:rPr>
            <w:noProof/>
            <w:webHidden/>
          </w:rPr>
          <w:fldChar w:fldCharType="end"/>
        </w:r>
      </w:hyperlink>
    </w:p>
    <w:p w14:paraId="428D9480"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44" w:history="1">
        <w:r w:rsidR="00F7749D" w:rsidRPr="0093776D">
          <w:rPr>
            <w:rStyle w:val="Hipervnculo"/>
            <w:rFonts w:cs="Arial"/>
          </w:rPr>
          <w:t>C.</w:t>
        </w:r>
        <w:r w:rsidR="00F7749D">
          <w:rPr>
            <w:rFonts w:asciiTheme="minorHAnsi" w:eastAsiaTheme="minorEastAsia" w:hAnsiTheme="minorHAnsi" w:cstheme="minorBidi"/>
            <w:b w:val="0"/>
            <w:noProof/>
            <w:sz w:val="22"/>
            <w:szCs w:val="22"/>
            <w:lang w:val="en-US"/>
          </w:rPr>
          <w:tab/>
        </w:r>
        <w:r w:rsidR="00F7749D" w:rsidRPr="0093776D">
          <w:rPr>
            <w:rStyle w:val="Hipervnculo"/>
            <w:rFonts w:cs="Arial"/>
            <w:lang w:val="es-419"/>
          </w:rPr>
          <w:t>Control de Calidad</w:t>
        </w:r>
        <w:r w:rsidR="00F7749D">
          <w:rPr>
            <w:noProof/>
            <w:webHidden/>
          </w:rPr>
          <w:tab/>
        </w:r>
        <w:r w:rsidR="00F7749D">
          <w:rPr>
            <w:noProof/>
            <w:webHidden/>
          </w:rPr>
          <w:fldChar w:fldCharType="begin"/>
        </w:r>
        <w:r w:rsidR="00F7749D">
          <w:rPr>
            <w:noProof/>
            <w:webHidden/>
          </w:rPr>
          <w:instrText xml:space="preserve"> PAGEREF _Toc74930944 \h </w:instrText>
        </w:r>
        <w:r w:rsidR="00F7749D">
          <w:rPr>
            <w:noProof/>
            <w:webHidden/>
          </w:rPr>
        </w:r>
        <w:r w:rsidR="00F7749D">
          <w:rPr>
            <w:noProof/>
            <w:webHidden/>
          </w:rPr>
          <w:fldChar w:fldCharType="separate"/>
        </w:r>
        <w:r w:rsidR="00F7749D">
          <w:rPr>
            <w:noProof/>
            <w:webHidden/>
          </w:rPr>
          <w:t>107</w:t>
        </w:r>
        <w:r w:rsidR="00F7749D">
          <w:rPr>
            <w:noProof/>
            <w:webHidden/>
          </w:rPr>
          <w:fldChar w:fldCharType="end"/>
        </w:r>
      </w:hyperlink>
    </w:p>
    <w:p w14:paraId="4C86D062"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5" w:history="1">
        <w:r w:rsidR="00F7749D" w:rsidRPr="0093776D">
          <w:rPr>
            <w:rStyle w:val="Hipervnculo"/>
            <w:rFonts w:cs="Arial"/>
          </w:rPr>
          <w:t>42</w:t>
        </w:r>
        <w:r w:rsidR="00F7749D">
          <w:rPr>
            <w:rFonts w:asciiTheme="minorHAnsi" w:eastAsiaTheme="minorEastAsia" w:hAnsiTheme="minorHAnsi" w:cstheme="minorBidi"/>
            <w:noProof/>
            <w:sz w:val="22"/>
            <w:szCs w:val="22"/>
            <w:lang w:val="en-US"/>
          </w:rPr>
          <w:tab/>
        </w:r>
        <w:r w:rsidR="00F7749D" w:rsidRPr="0093776D">
          <w:rPr>
            <w:rStyle w:val="Hipervnculo"/>
            <w:rFonts w:cs="Arial"/>
          </w:rPr>
          <w:t>Identificación de defectos y pruebas</w:t>
        </w:r>
        <w:r w:rsidR="00F7749D">
          <w:rPr>
            <w:noProof/>
            <w:webHidden/>
          </w:rPr>
          <w:tab/>
        </w:r>
        <w:r w:rsidR="00F7749D">
          <w:rPr>
            <w:noProof/>
            <w:webHidden/>
          </w:rPr>
          <w:fldChar w:fldCharType="begin"/>
        </w:r>
        <w:r w:rsidR="00F7749D">
          <w:rPr>
            <w:noProof/>
            <w:webHidden/>
          </w:rPr>
          <w:instrText xml:space="preserve"> PAGEREF _Toc74930945 \h </w:instrText>
        </w:r>
        <w:r w:rsidR="00F7749D">
          <w:rPr>
            <w:noProof/>
            <w:webHidden/>
          </w:rPr>
        </w:r>
        <w:r w:rsidR="00F7749D">
          <w:rPr>
            <w:noProof/>
            <w:webHidden/>
          </w:rPr>
          <w:fldChar w:fldCharType="separate"/>
        </w:r>
        <w:r w:rsidR="00F7749D">
          <w:rPr>
            <w:noProof/>
            <w:webHidden/>
          </w:rPr>
          <w:t>107</w:t>
        </w:r>
        <w:r w:rsidR="00F7749D">
          <w:rPr>
            <w:noProof/>
            <w:webHidden/>
          </w:rPr>
          <w:fldChar w:fldCharType="end"/>
        </w:r>
      </w:hyperlink>
    </w:p>
    <w:p w14:paraId="6AF5304B"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6" w:history="1">
        <w:r w:rsidR="00F7749D" w:rsidRPr="0093776D">
          <w:rPr>
            <w:rStyle w:val="Hipervnculo"/>
            <w:rFonts w:cs="Arial"/>
          </w:rPr>
          <w:t>43</w:t>
        </w:r>
        <w:r w:rsidR="00F7749D">
          <w:rPr>
            <w:rFonts w:asciiTheme="minorHAnsi" w:eastAsiaTheme="minorEastAsia" w:hAnsiTheme="minorHAnsi" w:cstheme="minorBidi"/>
            <w:noProof/>
            <w:sz w:val="22"/>
            <w:szCs w:val="22"/>
            <w:lang w:val="en-US"/>
          </w:rPr>
          <w:tab/>
        </w:r>
        <w:r w:rsidR="00F7749D" w:rsidRPr="0093776D">
          <w:rPr>
            <w:rStyle w:val="Hipervnculo"/>
            <w:rFonts w:cs="Arial"/>
          </w:rPr>
          <w:t>Corrección de defectos y defectos no corregidos</w:t>
        </w:r>
        <w:r w:rsidR="00F7749D">
          <w:rPr>
            <w:noProof/>
            <w:webHidden/>
          </w:rPr>
          <w:tab/>
        </w:r>
        <w:r w:rsidR="00F7749D">
          <w:rPr>
            <w:noProof/>
            <w:webHidden/>
          </w:rPr>
          <w:fldChar w:fldCharType="begin"/>
        </w:r>
        <w:r w:rsidR="00F7749D">
          <w:rPr>
            <w:noProof/>
            <w:webHidden/>
          </w:rPr>
          <w:instrText xml:space="preserve"> PAGEREF _Toc74930946 \h </w:instrText>
        </w:r>
        <w:r w:rsidR="00F7749D">
          <w:rPr>
            <w:noProof/>
            <w:webHidden/>
          </w:rPr>
        </w:r>
        <w:r w:rsidR="00F7749D">
          <w:rPr>
            <w:noProof/>
            <w:webHidden/>
          </w:rPr>
          <w:fldChar w:fldCharType="separate"/>
        </w:r>
        <w:r w:rsidR="00F7749D">
          <w:rPr>
            <w:noProof/>
            <w:webHidden/>
          </w:rPr>
          <w:t>107</w:t>
        </w:r>
        <w:r w:rsidR="00F7749D">
          <w:rPr>
            <w:noProof/>
            <w:webHidden/>
          </w:rPr>
          <w:fldChar w:fldCharType="end"/>
        </w:r>
      </w:hyperlink>
    </w:p>
    <w:p w14:paraId="5B4A8E47"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47" w:history="1">
        <w:r w:rsidR="00F7749D" w:rsidRPr="0093776D">
          <w:rPr>
            <w:rStyle w:val="Hipervnculo"/>
            <w:rFonts w:cs="Arial"/>
          </w:rPr>
          <w:t>D.</w:t>
        </w:r>
        <w:r w:rsidR="00F7749D">
          <w:rPr>
            <w:rFonts w:asciiTheme="minorHAnsi" w:eastAsiaTheme="minorEastAsia" w:hAnsiTheme="minorHAnsi" w:cstheme="minorBidi"/>
            <w:b w:val="0"/>
            <w:noProof/>
            <w:sz w:val="22"/>
            <w:szCs w:val="22"/>
            <w:lang w:val="en-US"/>
          </w:rPr>
          <w:tab/>
        </w:r>
        <w:r w:rsidR="00F7749D" w:rsidRPr="0093776D">
          <w:rPr>
            <w:rStyle w:val="Hipervnculo"/>
            <w:rFonts w:cs="Arial"/>
            <w:lang w:val="es-419"/>
          </w:rPr>
          <w:t>Control de Costos</w:t>
        </w:r>
        <w:r w:rsidR="00F7749D">
          <w:rPr>
            <w:noProof/>
            <w:webHidden/>
          </w:rPr>
          <w:tab/>
        </w:r>
        <w:r w:rsidR="00F7749D">
          <w:rPr>
            <w:noProof/>
            <w:webHidden/>
          </w:rPr>
          <w:fldChar w:fldCharType="begin"/>
        </w:r>
        <w:r w:rsidR="00F7749D">
          <w:rPr>
            <w:noProof/>
            <w:webHidden/>
          </w:rPr>
          <w:instrText xml:space="preserve"> PAGEREF _Toc74930947 \h </w:instrText>
        </w:r>
        <w:r w:rsidR="00F7749D">
          <w:rPr>
            <w:noProof/>
            <w:webHidden/>
          </w:rPr>
        </w:r>
        <w:r w:rsidR="00F7749D">
          <w:rPr>
            <w:noProof/>
            <w:webHidden/>
          </w:rPr>
          <w:fldChar w:fldCharType="separate"/>
        </w:r>
        <w:r w:rsidR="00F7749D">
          <w:rPr>
            <w:b w:val="0"/>
            <w:bCs/>
            <w:noProof/>
            <w:webHidden/>
            <w:lang w:val="es-ES"/>
          </w:rPr>
          <w:t>¡Error! Marcador no definido.</w:t>
        </w:r>
        <w:r w:rsidR="00F7749D">
          <w:rPr>
            <w:noProof/>
            <w:webHidden/>
          </w:rPr>
          <w:fldChar w:fldCharType="end"/>
        </w:r>
      </w:hyperlink>
    </w:p>
    <w:p w14:paraId="56411C5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8" w:history="1">
        <w:r w:rsidR="00F7749D" w:rsidRPr="0093776D">
          <w:rPr>
            <w:rStyle w:val="Hipervnculo"/>
            <w:rFonts w:cs="Arial"/>
          </w:rPr>
          <w:t>44</w:t>
        </w:r>
        <w:r w:rsidR="00F7749D">
          <w:rPr>
            <w:rFonts w:asciiTheme="minorHAnsi" w:eastAsiaTheme="minorEastAsia" w:hAnsiTheme="minorHAnsi" w:cstheme="minorBidi"/>
            <w:noProof/>
            <w:sz w:val="22"/>
            <w:szCs w:val="22"/>
            <w:lang w:val="en-US"/>
          </w:rPr>
          <w:tab/>
        </w:r>
        <w:r w:rsidR="00F7749D" w:rsidRPr="0093776D">
          <w:rPr>
            <w:rStyle w:val="Hipervnculo"/>
            <w:rFonts w:cs="Arial"/>
          </w:rPr>
          <w:t>Lista de cantidades con precios unitarios y precio del Contrato</w:t>
        </w:r>
        <w:r w:rsidR="00F7749D">
          <w:rPr>
            <w:noProof/>
            <w:webHidden/>
          </w:rPr>
          <w:tab/>
        </w:r>
        <w:r w:rsidR="00F7749D">
          <w:rPr>
            <w:noProof/>
            <w:webHidden/>
          </w:rPr>
          <w:fldChar w:fldCharType="begin"/>
        </w:r>
        <w:r w:rsidR="00F7749D">
          <w:rPr>
            <w:noProof/>
            <w:webHidden/>
          </w:rPr>
          <w:instrText xml:space="preserve"> PAGEREF _Toc74930948 \h </w:instrText>
        </w:r>
        <w:r w:rsidR="00F7749D">
          <w:rPr>
            <w:noProof/>
            <w:webHidden/>
          </w:rPr>
        </w:r>
        <w:r w:rsidR="00F7749D">
          <w:rPr>
            <w:noProof/>
            <w:webHidden/>
          </w:rPr>
          <w:fldChar w:fldCharType="separate"/>
        </w:r>
        <w:r w:rsidR="00F7749D">
          <w:rPr>
            <w:noProof/>
            <w:webHidden/>
          </w:rPr>
          <w:t>108</w:t>
        </w:r>
        <w:r w:rsidR="00F7749D">
          <w:rPr>
            <w:noProof/>
            <w:webHidden/>
          </w:rPr>
          <w:fldChar w:fldCharType="end"/>
        </w:r>
      </w:hyperlink>
    </w:p>
    <w:p w14:paraId="1AE87086"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49" w:history="1">
        <w:r w:rsidR="00F7749D" w:rsidRPr="0093776D">
          <w:rPr>
            <w:rStyle w:val="Hipervnculo"/>
            <w:rFonts w:cs="Arial"/>
          </w:rPr>
          <w:t>45</w:t>
        </w:r>
        <w:r w:rsidR="00F7749D">
          <w:rPr>
            <w:rFonts w:asciiTheme="minorHAnsi" w:eastAsiaTheme="minorEastAsia" w:hAnsiTheme="minorHAnsi" w:cstheme="minorBidi"/>
            <w:noProof/>
            <w:sz w:val="22"/>
            <w:szCs w:val="22"/>
            <w:lang w:val="en-US"/>
          </w:rPr>
          <w:tab/>
        </w:r>
        <w:r w:rsidR="00F7749D" w:rsidRPr="0093776D">
          <w:rPr>
            <w:rStyle w:val="Hipervnculo"/>
            <w:rFonts w:cs="Arial"/>
          </w:rPr>
          <w:t>Modificaciones del Precio del Contrato.</w:t>
        </w:r>
        <w:r w:rsidR="00F7749D">
          <w:rPr>
            <w:noProof/>
            <w:webHidden/>
          </w:rPr>
          <w:tab/>
        </w:r>
        <w:r w:rsidR="00F7749D">
          <w:rPr>
            <w:noProof/>
            <w:webHidden/>
          </w:rPr>
          <w:fldChar w:fldCharType="begin"/>
        </w:r>
        <w:r w:rsidR="00F7749D">
          <w:rPr>
            <w:noProof/>
            <w:webHidden/>
          </w:rPr>
          <w:instrText xml:space="preserve"> PAGEREF _Toc74930949 \h </w:instrText>
        </w:r>
        <w:r w:rsidR="00F7749D">
          <w:rPr>
            <w:noProof/>
            <w:webHidden/>
          </w:rPr>
        </w:r>
        <w:r w:rsidR="00F7749D">
          <w:rPr>
            <w:noProof/>
            <w:webHidden/>
          </w:rPr>
          <w:fldChar w:fldCharType="separate"/>
        </w:r>
        <w:r w:rsidR="00F7749D">
          <w:rPr>
            <w:noProof/>
            <w:webHidden/>
          </w:rPr>
          <w:t>108</w:t>
        </w:r>
        <w:r w:rsidR="00F7749D">
          <w:rPr>
            <w:noProof/>
            <w:webHidden/>
          </w:rPr>
          <w:fldChar w:fldCharType="end"/>
        </w:r>
      </w:hyperlink>
    </w:p>
    <w:p w14:paraId="62318C62"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0" w:history="1">
        <w:r w:rsidR="00F7749D" w:rsidRPr="0093776D">
          <w:rPr>
            <w:rStyle w:val="Hipervnculo"/>
            <w:rFonts w:cs="Arial"/>
          </w:rPr>
          <w:t>46</w:t>
        </w:r>
        <w:r w:rsidR="00F7749D">
          <w:rPr>
            <w:rFonts w:asciiTheme="minorHAnsi" w:eastAsiaTheme="minorEastAsia" w:hAnsiTheme="minorHAnsi" w:cstheme="minorBidi"/>
            <w:noProof/>
            <w:sz w:val="22"/>
            <w:szCs w:val="22"/>
            <w:lang w:val="en-US"/>
          </w:rPr>
          <w:tab/>
        </w:r>
        <w:r w:rsidR="00F7749D" w:rsidRPr="0093776D">
          <w:rPr>
            <w:rStyle w:val="Hipervnculo"/>
            <w:rFonts w:cs="Arial"/>
          </w:rPr>
          <w:t>Variaciones (Órdenes de cambio)</w:t>
        </w:r>
        <w:r w:rsidR="00F7749D">
          <w:rPr>
            <w:noProof/>
            <w:webHidden/>
          </w:rPr>
          <w:tab/>
        </w:r>
        <w:r w:rsidR="00F7749D">
          <w:rPr>
            <w:noProof/>
            <w:webHidden/>
          </w:rPr>
          <w:fldChar w:fldCharType="begin"/>
        </w:r>
        <w:r w:rsidR="00F7749D">
          <w:rPr>
            <w:noProof/>
            <w:webHidden/>
          </w:rPr>
          <w:instrText xml:space="preserve"> PAGEREF _Toc74930950 \h </w:instrText>
        </w:r>
        <w:r w:rsidR="00F7749D">
          <w:rPr>
            <w:noProof/>
            <w:webHidden/>
          </w:rPr>
        </w:r>
        <w:r w:rsidR="00F7749D">
          <w:rPr>
            <w:noProof/>
            <w:webHidden/>
          </w:rPr>
          <w:fldChar w:fldCharType="separate"/>
        </w:r>
        <w:r w:rsidR="00F7749D">
          <w:rPr>
            <w:noProof/>
            <w:webHidden/>
          </w:rPr>
          <w:t>108</w:t>
        </w:r>
        <w:r w:rsidR="00F7749D">
          <w:rPr>
            <w:noProof/>
            <w:webHidden/>
          </w:rPr>
          <w:fldChar w:fldCharType="end"/>
        </w:r>
      </w:hyperlink>
    </w:p>
    <w:p w14:paraId="21E3854A"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1" w:history="1">
        <w:r w:rsidR="00F7749D" w:rsidRPr="0093776D">
          <w:rPr>
            <w:rStyle w:val="Hipervnculo"/>
            <w:rFonts w:cs="Arial"/>
          </w:rPr>
          <w:t>47</w:t>
        </w:r>
        <w:r w:rsidR="00F7749D">
          <w:rPr>
            <w:rFonts w:asciiTheme="minorHAnsi" w:eastAsiaTheme="minorEastAsia" w:hAnsiTheme="minorHAnsi" w:cstheme="minorBidi"/>
            <w:noProof/>
            <w:sz w:val="22"/>
            <w:szCs w:val="22"/>
            <w:lang w:val="en-US"/>
          </w:rPr>
          <w:tab/>
        </w:r>
        <w:r w:rsidR="00F7749D" w:rsidRPr="0093776D">
          <w:rPr>
            <w:rStyle w:val="Hipervnculo"/>
            <w:rFonts w:cs="Arial"/>
          </w:rPr>
          <w:t>Proyecciones de flujo de efectivo</w:t>
        </w:r>
        <w:r w:rsidR="00F7749D">
          <w:rPr>
            <w:noProof/>
            <w:webHidden/>
          </w:rPr>
          <w:tab/>
        </w:r>
        <w:r w:rsidR="00F7749D">
          <w:rPr>
            <w:noProof/>
            <w:webHidden/>
          </w:rPr>
          <w:fldChar w:fldCharType="begin"/>
        </w:r>
        <w:r w:rsidR="00F7749D">
          <w:rPr>
            <w:noProof/>
            <w:webHidden/>
          </w:rPr>
          <w:instrText xml:space="preserve"> PAGEREF _Toc74930951 \h </w:instrText>
        </w:r>
        <w:r w:rsidR="00F7749D">
          <w:rPr>
            <w:noProof/>
            <w:webHidden/>
          </w:rPr>
        </w:r>
        <w:r w:rsidR="00F7749D">
          <w:rPr>
            <w:noProof/>
            <w:webHidden/>
          </w:rPr>
          <w:fldChar w:fldCharType="separate"/>
        </w:r>
        <w:r w:rsidR="00F7749D">
          <w:rPr>
            <w:noProof/>
            <w:webHidden/>
          </w:rPr>
          <w:t>109</w:t>
        </w:r>
        <w:r w:rsidR="00F7749D">
          <w:rPr>
            <w:noProof/>
            <w:webHidden/>
          </w:rPr>
          <w:fldChar w:fldCharType="end"/>
        </w:r>
      </w:hyperlink>
    </w:p>
    <w:p w14:paraId="307D1AC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2" w:history="1">
        <w:r w:rsidR="00F7749D" w:rsidRPr="0093776D">
          <w:rPr>
            <w:rStyle w:val="Hipervnculo"/>
            <w:rFonts w:cs="Arial"/>
          </w:rPr>
          <w:t>48</w:t>
        </w:r>
        <w:r w:rsidR="00F7749D">
          <w:rPr>
            <w:rFonts w:asciiTheme="minorHAnsi" w:eastAsiaTheme="minorEastAsia" w:hAnsiTheme="minorHAnsi" w:cstheme="minorBidi"/>
            <w:noProof/>
            <w:sz w:val="22"/>
            <w:szCs w:val="22"/>
            <w:lang w:val="en-US"/>
          </w:rPr>
          <w:tab/>
        </w:r>
        <w:r w:rsidR="00F7749D" w:rsidRPr="0093776D">
          <w:rPr>
            <w:rStyle w:val="Hipervnculo"/>
            <w:rFonts w:cs="Arial"/>
          </w:rPr>
          <w:t>Pago de anticipo</w:t>
        </w:r>
        <w:r w:rsidR="00F7749D">
          <w:rPr>
            <w:noProof/>
            <w:webHidden/>
          </w:rPr>
          <w:tab/>
        </w:r>
        <w:r w:rsidR="00F7749D">
          <w:rPr>
            <w:noProof/>
            <w:webHidden/>
          </w:rPr>
          <w:fldChar w:fldCharType="begin"/>
        </w:r>
        <w:r w:rsidR="00F7749D">
          <w:rPr>
            <w:noProof/>
            <w:webHidden/>
          </w:rPr>
          <w:instrText xml:space="preserve"> PAGEREF _Toc74930952 \h </w:instrText>
        </w:r>
        <w:r w:rsidR="00F7749D">
          <w:rPr>
            <w:noProof/>
            <w:webHidden/>
          </w:rPr>
        </w:r>
        <w:r w:rsidR="00F7749D">
          <w:rPr>
            <w:noProof/>
            <w:webHidden/>
          </w:rPr>
          <w:fldChar w:fldCharType="separate"/>
        </w:r>
        <w:r w:rsidR="00F7749D">
          <w:rPr>
            <w:noProof/>
            <w:webHidden/>
          </w:rPr>
          <w:t>109</w:t>
        </w:r>
        <w:r w:rsidR="00F7749D">
          <w:rPr>
            <w:noProof/>
            <w:webHidden/>
          </w:rPr>
          <w:fldChar w:fldCharType="end"/>
        </w:r>
      </w:hyperlink>
    </w:p>
    <w:p w14:paraId="4A786B21"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3" w:history="1">
        <w:r w:rsidR="00F7749D" w:rsidRPr="0093776D">
          <w:rPr>
            <w:rStyle w:val="Hipervnculo"/>
            <w:rFonts w:cs="Arial"/>
          </w:rPr>
          <w:t>49</w:t>
        </w:r>
        <w:r w:rsidR="00F7749D">
          <w:rPr>
            <w:rFonts w:asciiTheme="minorHAnsi" w:eastAsiaTheme="minorEastAsia" w:hAnsiTheme="minorHAnsi" w:cstheme="minorBidi"/>
            <w:noProof/>
            <w:sz w:val="22"/>
            <w:szCs w:val="22"/>
            <w:lang w:val="en-US"/>
          </w:rPr>
          <w:tab/>
        </w:r>
        <w:r w:rsidR="00F7749D" w:rsidRPr="0093776D">
          <w:rPr>
            <w:rStyle w:val="Hipervnculo"/>
            <w:rFonts w:cs="Arial"/>
          </w:rPr>
          <w:t>Certificados de pago</w:t>
        </w:r>
        <w:r w:rsidR="00F7749D">
          <w:rPr>
            <w:noProof/>
            <w:webHidden/>
          </w:rPr>
          <w:tab/>
        </w:r>
        <w:r w:rsidR="00F7749D">
          <w:rPr>
            <w:noProof/>
            <w:webHidden/>
          </w:rPr>
          <w:fldChar w:fldCharType="begin"/>
        </w:r>
        <w:r w:rsidR="00F7749D">
          <w:rPr>
            <w:noProof/>
            <w:webHidden/>
          </w:rPr>
          <w:instrText xml:space="preserve"> PAGEREF _Toc74930953 \h </w:instrText>
        </w:r>
        <w:r w:rsidR="00F7749D">
          <w:rPr>
            <w:noProof/>
            <w:webHidden/>
          </w:rPr>
        </w:r>
        <w:r w:rsidR="00F7749D">
          <w:rPr>
            <w:noProof/>
            <w:webHidden/>
          </w:rPr>
          <w:fldChar w:fldCharType="separate"/>
        </w:r>
        <w:r w:rsidR="00F7749D">
          <w:rPr>
            <w:noProof/>
            <w:webHidden/>
          </w:rPr>
          <w:t>110</w:t>
        </w:r>
        <w:r w:rsidR="00F7749D">
          <w:rPr>
            <w:noProof/>
            <w:webHidden/>
          </w:rPr>
          <w:fldChar w:fldCharType="end"/>
        </w:r>
      </w:hyperlink>
    </w:p>
    <w:p w14:paraId="08B2A4FD"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4" w:history="1">
        <w:r w:rsidR="00F7749D" w:rsidRPr="0093776D">
          <w:rPr>
            <w:rStyle w:val="Hipervnculo"/>
            <w:rFonts w:cs="Arial"/>
          </w:rPr>
          <w:t>50</w:t>
        </w:r>
        <w:r w:rsidR="00F7749D">
          <w:rPr>
            <w:rFonts w:asciiTheme="minorHAnsi" w:eastAsiaTheme="minorEastAsia" w:hAnsiTheme="minorHAnsi" w:cstheme="minorBidi"/>
            <w:noProof/>
            <w:sz w:val="22"/>
            <w:szCs w:val="22"/>
            <w:lang w:val="en-US"/>
          </w:rPr>
          <w:tab/>
        </w:r>
        <w:r w:rsidR="00F7749D" w:rsidRPr="0093776D">
          <w:rPr>
            <w:rStyle w:val="Hipervnculo"/>
            <w:rFonts w:cs="Arial"/>
          </w:rPr>
          <w:t>Pagos</w:t>
        </w:r>
        <w:r w:rsidR="00F7749D">
          <w:rPr>
            <w:noProof/>
            <w:webHidden/>
          </w:rPr>
          <w:tab/>
        </w:r>
        <w:r w:rsidR="00F7749D">
          <w:rPr>
            <w:noProof/>
            <w:webHidden/>
          </w:rPr>
          <w:fldChar w:fldCharType="begin"/>
        </w:r>
        <w:r w:rsidR="00F7749D">
          <w:rPr>
            <w:noProof/>
            <w:webHidden/>
          </w:rPr>
          <w:instrText xml:space="preserve"> PAGEREF _Toc74930954 \h </w:instrText>
        </w:r>
        <w:r w:rsidR="00F7749D">
          <w:rPr>
            <w:noProof/>
            <w:webHidden/>
          </w:rPr>
        </w:r>
        <w:r w:rsidR="00F7749D">
          <w:rPr>
            <w:noProof/>
            <w:webHidden/>
          </w:rPr>
          <w:fldChar w:fldCharType="separate"/>
        </w:r>
        <w:r w:rsidR="00F7749D">
          <w:rPr>
            <w:noProof/>
            <w:webHidden/>
          </w:rPr>
          <w:t>110</w:t>
        </w:r>
        <w:r w:rsidR="00F7749D">
          <w:rPr>
            <w:noProof/>
            <w:webHidden/>
          </w:rPr>
          <w:fldChar w:fldCharType="end"/>
        </w:r>
      </w:hyperlink>
    </w:p>
    <w:p w14:paraId="487022C6"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5" w:history="1">
        <w:r w:rsidR="00F7749D" w:rsidRPr="0093776D">
          <w:rPr>
            <w:rStyle w:val="Hipervnculo"/>
            <w:rFonts w:cs="Arial"/>
          </w:rPr>
          <w:t>51</w:t>
        </w:r>
        <w:r w:rsidR="00F7749D">
          <w:rPr>
            <w:rFonts w:asciiTheme="minorHAnsi" w:eastAsiaTheme="minorEastAsia" w:hAnsiTheme="minorHAnsi" w:cstheme="minorBidi"/>
            <w:noProof/>
            <w:sz w:val="22"/>
            <w:szCs w:val="22"/>
            <w:lang w:val="en-US"/>
          </w:rPr>
          <w:tab/>
        </w:r>
        <w:r w:rsidR="00F7749D" w:rsidRPr="0093776D">
          <w:rPr>
            <w:rStyle w:val="Hipervnculo"/>
            <w:rFonts w:cs="Arial"/>
          </w:rPr>
          <w:t>Monedas</w:t>
        </w:r>
        <w:r w:rsidR="00F7749D">
          <w:rPr>
            <w:noProof/>
            <w:webHidden/>
          </w:rPr>
          <w:tab/>
        </w:r>
        <w:r w:rsidR="00F7749D">
          <w:rPr>
            <w:noProof/>
            <w:webHidden/>
          </w:rPr>
          <w:fldChar w:fldCharType="begin"/>
        </w:r>
        <w:r w:rsidR="00F7749D">
          <w:rPr>
            <w:noProof/>
            <w:webHidden/>
          </w:rPr>
          <w:instrText xml:space="preserve"> PAGEREF _Toc74930955 \h </w:instrText>
        </w:r>
        <w:r w:rsidR="00F7749D">
          <w:rPr>
            <w:noProof/>
            <w:webHidden/>
          </w:rPr>
        </w:r>
        <w:r w:rsidR="00F7749D">
          <w:rPr>
            <w:noProof/>
            <w:webHidden/>
          </w:rPr>
          <w:fldChar w:fldCharType="separate"/>
        </w:r>
        <w:r w:rsidR="00F7749D">
          <w:rPr>
            <w:noProof/>
            <w:webHidden/>
          </w:rPr>
          <w:t>110</w:t>
        </w:r>
        <w:r w:rsidR="00F7749D">
          <w:rPr>
            <w:noProof/>
            <w:webHidden/>
          </w:rPr>
          <w:fldChar w:fldCharType="end"/>
        </w:r>
      </w:hyperlink>
    </w:p>
    <w:p w14:paraId="10F2EDDC"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6" w:history="1">
        <w:r w:rsidR="00F7749D" w:rsidRPr="0093776D">
          <w:rPr>
            <w:rStyle w:val="Hipervnculo"/>
            <w:rFonts w:cs="Arial"/>
          </w:rPr>
          <w:t>52</w:t>
        </w:r>
        <w:r w:rsidR="00F7749D">
          <w:rPr>
            <w:rFonts w:asciiTheme="minorHAnsi" w:eastAsiaTheme="minorEastAsia" w:hAnsiTheme="minorHAnsi" w:cstheme="minorBidi"/>
            <w:noProof/>
            <w:sz w:val="22"/>
            <w:szCs w:val="22"/>
            <w:lang w:val="en-US"/>
          </w:rPr>
          <w:tab/>
        </w:r>
        <w:r w:rsidR="00F7749D" w:rsidRPr="0093776D">
          <w:rPr>
            <w:rStyle w:val="Hipervnculo"/>
            <w:rFonts w:cs="Arial"/>
          </w:rPr>
          <w:t>Eventos Compensables</w:t>
        </w:r>
        <w:r w:rsidR="00F7749D">
          <w:rPr>
            <w:noProof/>
            <w:webHidden/>
          </w:rPr>
          <w:tab/>
        </w:r>
        <w:r w:rsidR="00F7749D">
          <w:rPr>
            <w:noProof/>
            <w:webHidden/>
          </w:rPr>
          <w:fldChar w:fldCharType="begin"/>
        </w:r>
        <w:r w:rsidR="00F7749D">
          <w:rPr>
            <w:noProof/>
            <w:webHidden/>
          </w:rPr>
          <w:instrText xml:space="preserve"> PAGEREF _Toc74930956 \h </w:instrText>
        </w:r>
        <w:r w:rsidR="00F7749D">
          <w:rPr>
            <w:noProof/>
            <w:webHidden/>
          </w:rPr>
        </w:r>
        <w:r w:rsidR="00F7749D">
          <w:rPr>
            <w:noProof/>
            <w:webHidden/>
          </w:rPr>
          <w:fldChar w:fldCharType="separate"/>
        </w:r>
        <w:r w:rsidR="00F7749D">
          <w:rPr>
            <w:noProof/>
            <w:webHidden/>
          </w:rPr>
          <w:t>111</w:t>
        </w:r>
        <w:r w:rsidR="00F7749D">
          <w:rPr>
            <w:noProof/>
            <w:webHidden/>
          </w:rPr>
          <w:fldChar w:fldCharType="end"/>
        </w:r>
      </w:hyperlink>
    </w:p>
    <w:p w14:paraId="529BC1ED"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7" w:history="1">
        <w:r w:rsidR="00F7749D" w:rsidRPr="0093776D">
          <w:rPr>
            <w:rStyle w:val="Hipervnculo"/>
            <w:rFonts w:cs="Arial"/>
          </w:rPr>
          <w:t>53</w:t>
        </w:r>
        <w:r w:rsidR="00F7749D">
          <w:rPr>
            <w:rFonts w:asciiTheme="minorHAnsi" w:eastAsiaTheme="minorEastAsia" w:hAnsiTheme="minorHAnsi" w:cstheme="minorBidi"/>
            <w:noProof/>
            <w:sz w:val="22"/>
            <w:szCs w:val="22"/>
            <w:lang w:val="en-US"/>
          </w:rPr>
          <w:tab/>
        </w:r>
        <w:r w:rsidR="00F7749D" w:rsidRPr="0093776D">
          <w:rPr>
            <w:rStyle w:val="Hipervnculo"/>
            <w:rFonts w:cs="Arial"/>
          </w:rPr>
          <w:t>Disposiciones tributarias</w:t>
        </w:r>
        <w:r w:rsidR="00F7749D">
          <w:rPr>
            <w:noProof/>
            <w:webHidden/>
          </w:rPr>
          <w:tab/>
        </w:r>
        <w:r w:rsidR="00F7749D">
          <w:rPr>
            <w:noProof/>
            <w:webHidden/>
          </w:rPr>
          <w:fldChar w:fldCharType="begin"/>
        </w:r>
        <w:r w:rsidR="00F7749D">
          <w:rPr>
            <w:noProof/>
            <w:webHidden/>
          </w:rPr>
          <w:instrText xml:space="preserve"> PAGEREF _Toc74930957 \h </w:instrText>
        </w:r>
        <w:r w:rsidR="00F7749D">
          <w:rPr>
            <w:noProof/>
            <w:webHidden/>
          </w:rPr>
        </w:r>
        <w:r w:rsidR="00F7749D">
          <w:rPr>
            <w:noProof/>
            <w:webHidden/>
          </w:rPr>
          <w:fldChar w:fldCharType="separate"/>
        </w:r>
        <w:r w:rsidR="00F7749D">
          <w:rPr>
            <w:noProof/>
            <w:webHidden/>
          </w:rPr>
          <w:t>112</w:t>
        </w:r>
        <w:r w:rsidR="00F7749D">
          <w:rPr>
            <w:noProof/>
            <w:webHidden/>
          </w:rPr>
          <w:fldChar w:fldCharType="end"/>
        </w:r>
      </w:hyperlink>
    </w:p>
    <w:p w14:paraId="3C6B72FF"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8" w:history="1">
        <w:r w:rsidR="00F7749D" w:rsidRPr="0093776D">
          <w:rPr>
            <w:rStyle w:val="Hipervnculo"/>
            <w:rFonts w:cs="Arial"/>
          </w:rPr>
          <w:t>54</w:t>
        </w:r>
        <w:r w:rsidR="00F7749D">
          <w:rPr>
            <w:rFonts w:asciiTheme="minorHAnsi" w:eastAsiaTheme="minorEastAsia" w:hAnsiTheme="minorHAnsi" w:cstheme="minorBidi"/>
            <w:noProof/>
            <w:sz w:val="22"/>
            <w:szCs w:val="22"/>
            <w:lang w:val="en-US"/>
          </w:rPr>
          <w:tab/>
        </w:r>
        <w:r w:rsidR="00F7749D" w:rsidRPr="0093776D">
          <w:rPr>
            <w:rStyle w:val="Hipervnculo"/>
            <w:rFonts w:cs="Arial"/>
          </w:rPr>
          <w:t>Ajustes de Precios</w:t>
        </w:r>
        <w:r w:rsidR="00F7749D">
          <w:rPr>
            <w:noProof/>
            <w:webHidden/>
          </w:rPr>
          <w:tab/>
        </w:r>
        <w:r w:rsidR="00F7749D">
          <w:rPr>
            <w:noProof/>
            <w:webHidden/>
          </w:rPr>
          <w:fldChar w:fldCharType="begin"/>
        </w:r>
        <w:r w:rsidR="00F7749D">
          <w:rPr>
            <w:noProof/>
            <w:webHidden/>
          </w:rPr>
          <w:instrText xml:space="preserve"> PAGEREF _Toc74930958 \h </w:instrText>
        </w:r>
        <w:r w:rsidR="00F7749D">
          <w:rPr>
            <w:noProof/>
            <w:webHidden/>
          </w:rPr>
        </w:r>
        <w:r w:rsidR="00F7749D">
          <w:rPr>
            <w:noProof/>
            <w:webHidden/>
          </w:rPr>
          <w:fldChar w:fldCharType="separate"/>
        </w:r>
        <w:r w:rsidR="00F7749D">
          <w:rPr>
            <w:noProof/>
            <w:webHidden/>
          </w:rPr>
          <w:t>112</w:t>
        </w:r>
        <w:r w:rsidR="00F7749D">
          <w:rPr>
            <w:noProof/>
            <w:webHidden/>
          </w:rPr>
          <w:fldChar w:fldCharType="end"/>
        </w:r>
      </w:hyperlink>
    </w:p>
    <w:p w14:paraId="01276892"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59" w:history="1">
        <w:r w:rsidR="00F7749D" w:rsidRPr="0093776D">
          <w:rPr>
            <w:rStyle w:val="Hipervnculo"/>
            <w:rFonts w:cs="Arial"/>
          </w:rPr>
          <w:t>55</w:t>
        </w:r>
        <w:r w:rsidR="00F7749D">
          <w:rPr>
            <w:rFonts w:asciiTheme="minorHAnsi" w:eastAsiaTheme="minorEastAsia" w:hAnsiTheme="minorHAnsi" w:cstheme="minorBidi"/>
            <w:noProof/>
            <w:sz w:val="22"/>
            <w:szCs w:val="22"/>
            <w:lang w:val="en-US"/>
          </w:rPr>
          <w:tab/>
        </w:r>
        <w:r w:rsidR="00F7749D" w:rsidRPr="0093776D">
          <w:rPr>
            <w:rStyle w:val="Hipervnculo"/>
            <w:rFonts w:cs="Arial"/>
          </w:rPr>
          <w:t>Retenciones</w:t>
        </w:r>
        <w:r w:rsidR="00F7749D">
          <w:rPr>
            <w:noProof/>
            <w:webHidden/>
          </w:rPr>
          <w:tab/>
        </w:r>
        <w:r w:rsidR="00F7749D">
          <w:rPr>
            <w:noProof/>
            <w:webHidden/>
          </w:rPr>
          <w:fldChar w:fldCharType="begin"/>
        </w:r>
        <w:r w:rsidR="00F7749D">
          <w:rPr>
            <w:noProof/>
            <w:webHidden/>
          </w:rPr>
          <w:instrText xml:space="preserve"> PAGEREF _Toc74930959 \h </w:instrText>
        </w:r>
        <w:r w:rsidR="00F7749D">
          <w:rPr>
            <w:noProof/>
            <w:webHidden/>
          </w:rPr>
        </w:r>
        <w:r w:rsidR="00F7749D">
          <w:rPr>
            <w:noProof/>
            <w:webHidden/>
          </w:rPr>
          <w:fldChar w:fldCharType="separate"/>
        </w:r>
        <w:r w:rsidR="00F7749D">
          <w:rPr>
            <w:noProof/>
            <w:webHidden/>
          </w:rPr>
          <w:t>113</w:t>
        </w:r>
        <w:r w:rsidR="00F7749D">
          <w:rPr>
            <w:noProof/>
            <w:webHidden/>
          </w:rPr>
          <w:fldChar w:fldCharType="end"/>
        </w:r>
      </w:hyperlink>
    </w:p>
    <w:p w14:paraId="5FE36AE6"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0" w:history="1">
        <w:r w:rsidR="00F7749D" w:rsidRPr="0093776D">
          <w:rPr>
            <w:rStyle w:val="Hipervnculo"/>
            <w:rFonts w:cs="Arial"/>
          </w:rPr>
          <w:t>56</w:t>
        </w:r>
        <w:r w:rsidR="00F7749D">
          <w:rPr>
            <w:rFonts w:asciiTheme="minorHAnsi" w:eastAsiaTheme="minorEastAsia" w:hAnsiTheme="minorHAnsi" w:cstheme="minorBidi"/>
            <w:noProof/>
            <w:sz w:val="22"/>
            <w:szCs w:val="22"/>
            <w:lang w:val="en-US"/>
          </w:rPr>
          <w:tab/>
        </w:r>
        <w:r w:rsidR="00F7749D" w:rsidRPr="0093776D">
          <w:rPr>
            <w:rStyle w:val="Hipervnculo"/>
            <w:rFonts w:cs="Arial"/>
          </w:rPr>
          <w:t>Penalizaciones, multa o deducciones al pago</w:t>
        </w:r>
        <w:r w:rsidR="00F7749D">
          <w:rPr>
            <w:noProof/>
            <w:webHidden/>
          </w:rPr>
          <w:tab/>
        </w:r>
        <w:r w:rsidR="00F7749D">
          <w:rPr>
            <w:noProof/>
            <w:webHidden/>
          </w:rPr>
          <w:fldChar w:fldCharType="begin"/>
        </w:r>
        <w:r w:rsidR="00F7749D">
          <w:rPr>
            <w:noProof/>
            <w:webHidden/>
          </w:rPr>
          <w:instrText xml:space="preserve"> PAGEREF _Toc74930960 \h </w:instrText>
        </w:r>
        <w:r w:rsidR="00F7749D">
          <w:rPr>
            <w:noProof/>
            <w:webHidden/>
          </w:rPr>
        </w:r>
        <w:r w:rsidR="00F7749D">
          <w:rPr>
            <w:noProof/>
            <w:webHidden/>
          </w:rPr>
          <w:fldChar w:fldCharType="separate"/>
        </w:r>
        <w:r w:rsidR="00F7749D">
          <w:rPr>
            <w:noProof/>
            <w:webHidden/>
          </w:rPr>
          <w:t>113</w:t>
        </w:r>
        <w:r w:rsidR="00F7749D">
          <w:rPr>
            <w:noProof/>
            <w:webHidden/>
          </w:rPr>
          <w:fldChar w:fldCharType="end"/>
        </w:r>
      </w:hyperlink>
    </w:p>
    <w:p w14:paraId="3288ECCC"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1" w:history="1">
        <w:r w:rsidR="00F7749D" w:rsidRPr="0093776D">
          <w:rPr>
            <w:rStyle w:val="Hipervnculo"/>
            <w:rFonts w:cs="Arial"/>
          </w:rPr>
          <w:t>57</w:t>
        </w:r>
        <w:r w:rsidR="00F7749D">
          <w:rPr>
            <w:rFonts w:asciiTheme="minorHAnsi" w:eastAsiaTheme="minorEastAsia" w:hAnsiTheme="minorHAnsi" w:cstheme="minorBidi"/>
            <w:noProof/>
            <w:sz w:val="22"/>
            <w:szCs w:val="22"/>
            <w:lang w:val="en-US"/>
          </w:rPr>
          <w:tab/>
        </w:r>
        <w:r w:rsidR="00F7749D" w:rsidRPr="0093776D">
          <w:rPr>
            <w:rStyle w:val="Hipervnculo"/>
            <w:rFonts w:cs="Arial"/>
          </w:rPr>
          <w:t>Bonificaciones</w:t>
        </w:r>
        <w:r w:rsidR="00F7749D">
          <w:rPr>
            <w:noProof/>
            <w:webHidden/>
          </w:rPr>
          <w:tab/>
        </w:r>
        <w:r w:rsidR="00F7749D">
          <w:rPr>
            <w:noProof/>
            <w:webHidden/>
          </w:rPr>
          <w:fldChar w:fldCharType="begin"/>
        </w:r>
        <w:r w:rsidR="00F7749D">
          <w:rPr>
            <w:noProof/>
            <w:webHidden/>
          </w:rPr>
          <w:instrText xml:space="preserve"> PAGEREF _Toc74930961 \h </w:instrText>
        </w:r>
        <w:r w:rsidR="00F7749D">
          <w:rPr>
            <w:noProof/>
            <w:webHidden/>
          </w:rPr>
        </w:r>
        <w:r w:rsidR="00F7749D">
          <w:rPr>
            <w:noProof/>
            <w:webHidden/>
          </w:rPr>
          <w:fldChar w:fldCharType="separate"/>
        </w:r>
        <w:r w:rsidR="00F7749D">
          <w:rPr>
            <w:noProof/>
            <w:webHidden/>
          </w:rPr>
          <w:t>114</w:t>
        </w:r>
        <w:r w:rsidR="00F7749D">
          <w:rPr>
            <w:noProof/>
            <w:webHidden/>
          </w:rPr>
          <w:fldChar w:fldCharType="end"/>
        </w:r>
      </w:hyperlink>
    </w:p>
    <w:p w14:paraId="49F11AFC"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2" w:history="1">
        <w:r w:rsidR="00F7749D" w:rsidRPr="0093776D">
          <w:rPr>
            <w:rStyle w:val="Hipervnculo"/>
            <w:rFonts w:cs="Arial"/>
          </w:rPr>
          <w:t>58</w:t>
        </w:r>
        <w:r w:rsidR="00F7749D">
          <w:rPr>
            <w:rFonts w:asciiTheme="minorHAnsi" w:eastAsiaTheme="minorEastAsia" w:hAnsiTheme="minorHAnsi" w:cstheme="minorBidi"/>
            <w:noProof/>
            <w:sz w:val="22"/>
            <w:szCs w:val="22"/>
            <w:lang w:val="en-US"/>
          </w:rPr>
          <w:tab/>
        </w:r>
        <w:r w:rsidR="00F7749D" w:rsidRPr="0093776D">
          <w:rPr>
            <w:rStyle w:val="Hipervnculo"/>
            <w:rFonts w:cs="Arial"/>
          </w:rPr>
          <w:t>Trabajos por administración</w:t>
        </w:r>
        <w:r w:rsidR="00F7749D">
          <w:rPr>
            <w:noProof/>
            <w:webHidden/>
          </w:rPr>
          <w:tab/>
        </w:r>
        <w:r w:rsidR="00F7749D">
          <w:rPr>
            <w:noProof/>
            <w:webHidden/>
          </w:rPr>
          <w:fldChar w:fldCharType="begin"/>
        </w:r>
        <w:r w:rsidR="00F7749D">
          <w:rPr>
            <w:noProof/>
            <w:webHidden/>
          </w:rPr>
          <w:instrText xml:space="preserve"> PAGEREF _Toc74930962 \h </w:instrText>
        </w:r>
        <w:r w:rsidR="00F7749D">
          <w:rPr>
            <w:noProof/>
            <w:webHidden/>
          </w:rPr>
        </w:r>
        <w:r w:rsidR="00F7749D">
          <w:rPr>
            <w:noProof/>
            <w:webHidden/>
          </w:rPr>
          <w:fldChar w:fldCharType="separate"/>
        </w:r>
        <w:r w:rsidR="00F7749D">
          <w:rPr>
            <w:noProof/>
            <w:webHidden/>
          </w:rPr>
          <w:t>114</w:t>
        </w:r>
        <w:r w:rsidR="00F7749D">
          <w:rPr>
            <w:noProof/>
            <w:webHidden/>
          </w:rPr>
          <w:fldChar w:fldCharType="end"/>
        </w:r>
      </w:hyperlink>
    </w:p>
    <w:p w14:paraId="41A51D5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3" w:history="1">
        <w:r w:rsidR="00F7749D" w:rsidRPr="0093776D">
          <w:rPr>
            <w:rStyle w:val="Hipervnculo"/>
            <w:rFonts w:cs="Arial"/>
          </w:rPr>
          <w:t>59</w:t>
        </w:r>
        <w:r w:rsidR="00F7749D">
          <w:rPr>
            <w:rFonts w:asciiTheme="minorHAnsi" w:eastAsiaTheme="minorEastAsia" w:hAnsiTheme="minorHAnsi" w:cstheme="minorBidi"/>
            <w:noProof/>
            <w:sz w:val="22"/>
            <w:szCs w:val="22"/>
            <w:lang w:val="en-US"/>
          </w:rPr>
          <w:tab/>
        </w:r>
        <w:r w:rsidR="00F7749D" w:rsidRPr="0093776D">
          <w:rPr>
            <w:rStyle w:val="Hipervnculo"/>
            <w:rFonts w:cs="Arial"/>
          </w:rPr>
          <w:t>Costo de reparaciones</w:t>
        </w:r>
        <w:r w:rsidR="00F7749D">
          <w:rPr>
            <w:noProof/>
            <w:webHidden/>
          </w:rPr>
          <w:tab/>
        </w:r>
        <w:r w:rsidR="00F7749D">
          <w:rPr>
            <w:noProof/>
            <w:webHidden/>
          </w:rPr>
          <w:fldChar w:fldCharType="begin"/>
        </w:r>
        <w:r w:rsidR="00F7749D">
          <w:rPr>
            <w:noProof/>
            <w:webHidden/>
          </w:rPr>
          <w:instrText xml:space="preserve"> PAGEREF _Toc74930963 \h </w:instrText>
        </w:r>
        <w:r w:rsidR="00F7749D">
          <w:rPr>
            <w:noProof/>
            <w:webHidden/>
          </w:rPr>
        </w:r>
        <w:r w:rsidR="00F7749D">
          <w:rPr>
            <w:noProof/>
            <w:webHidden/>
          </w:rPr>
          <w:fldChar w:fldCharType="separate"/>
        </w:r>
        <w:r w:rsidR="00F7749D">
          <w:rPr>
            <w:noProof/>
            <w:webHidden/>
          </w:rPr>
          <w:t>114</w:t>
        </w:r>
        <w:r w:rsidR="00F7749D">
          <w:rPr>
            <w:noProof/>
            <w:webHidden/>
          </w:rPr>
          <w:fldChar w:fldCharType="end"/>
        </w:r>
      </w:hyperlink>
    </w:p>
    <w:p w14:paraId="7662C294"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64" w:history="1">
        <w:r w:rsidR="00F7749D" w:rsidRPr="0093776D">
          <w:rPr>
            <w:rStyle w:val="Hipervnculo"/>
            <w:rFonts w:cs="Arial"/>
          </w:rPr>
          <w:t>E.</w:t>
        </w:r>
        <w:r w:rsidR="00F7749D">
          <w:rPr>
            <w:rFonts w:asciiTheme="minorHAnsi" w:eastAsiaTheme="minorEastAsia" w:hAnsiTheme="minorHAnsi" w:cstheme="minorBidi"/>
            <w:b w:val="0"/>
            <w:noProof/>
            <w:sz w:val="22"/>
            <w:szCs w:val="22"/>
            <w:lang w:val="en-US"/>
          </w:rPr>
          <w:tab/>
        </w:r>
        <w:r w:rsidR="00F7749D" w:rsidRPr="0093776D">
          <w:rPr>
            <w:rStyle w:val="Hipervnculo"/>
            <w:rFonts w:cs="Arial"/>
            <w:lang w:val="es-419"/>
          </w:rPr>
          <w:t>Finalización del Contrato</w:t>
        </w:r>
        <w:r w:rsidR="00F7749D">
          <w:rPr>
            <w:noProof/>
            <w:webHidden/>
          </w:rPr>
          <w:tab/>
        </w:r>
        <w:r w:rsidR="00F7749D">
          <w:rPr>
            <w:noProof/>
            <w:webHidden/>
          </w:rPr>
          <w:fldChar w:fldCharType="begin"/>
        </w:r>
        <w:r w:rsidR="00F7749D">
          <w:rPr>
            <w:noProof/>
            <w:webHidden/>
          </w:rPr>
          <w:instrText xml:space="preserve"> PAGEREF _Toc74930964 \h </w:instrText>
        </w:r>
        <w:r w:rsidR="00F7749D">
          <w:rPr>
            <w:noProof/>
            <w:webHidden/>
          </w:rPr>
        </w:r>
        <w:r w:rsidR="00F7749D">
          <w:rPr>
            <w:noProof/>
            <w:webHidden/>
          </w:rPr>
          <w:fldChar w:fldCharType="separate"/>
        </w:r>
        <w:r w:rsidR="00F7749D">
          <w:rPr>
            <w:b w:val="0"/>
            <w:bCs/>
            <w:noProof/>
            <w:webHidden/>
            <w:lang w:val="es-ES"/>
          </w:rPr>
          <w:t>¡Error! Marcador no definido.</w:t>
        </w:r>
        <w:r w:rsidR="00F7749D">
          <w:rPr>
            <w:noProof/>
            <w:webHidden/>
          </w:rPr>
          <w:fldChar w:fldCharType="end"/>
        </w:r>
      </w:hyperlink>
    </w:p>
    <w:p w14:paraId="45CFA845"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5" w:history="1">
        <w:r w:rsidR="00F7749D" w:rsidRPr="0093776D">
          <w:rPr>
            <w:rStyle w:val="Hipervnculo"/>
            <w:rFonts w:cs="Arial"/>
          </w:rPr>
          <w:t>60</w:t>
        </w:r>
        <w:r w:rsidR="00F7749D">
          <w:rPr>
            <w:rFonts w:asciiTheme="minorHAnsi" w:eastAsiaTheme="minorEastAsia" w:hAnsiTheme="minorHAnsi" w:cstheme="minorBidi"/>
            <w:noProof/>
            <w:sz w:val="22"/>
            <w:szCs w:val="22"/>
            <w:lang w:val="en-US"/>
          </w:rPr>
          <w:tab/>
        </w:r>
        <w:r w:rsidR="00F7749D" w:rsidRPr="0093776D">
          <w:rPr>
            <w:rStyle w:val="Hipervnculo"/>
            <w:rFonts w:cs="Arial"/>
          </w:rPr>
          <w:t>Terminación de las Obras</w:t>
        </w:r>
        <w:r w:rsidR="00F7749D">
          <w:rPr>
            <w:noProof/>
            <w:webHidden/>
          </w:rPr>
          <w:tab/>
        </w:r>
        <w:r w:rsidR="00F7749D">
          <w:rPr>
            <w:noProof/>
            <w:webHidden/>
          </w:rPr>
          <w:fldChar w:fldCharType="begin"/>
        </w:r>
        <w:r w:rsidR="00F7749D">
          <w:rPr>
            <w:noProof/>
            <w:webHidden/>
          </w:rPr>
          <w:instrText xml:space="preserve"> PAGEREF _Toc74930965 \h </w:instrText>
        </w:r>
        <w:r w:rsidR="00F7749D">
          <w:rPr>
            <w:noProof/>
            <w:webHidden/>
          </w:rPr>
        </w:r>
        <w:r w:rsidR="00F7749D">
          <w:rPr>
            <w:noProof/>
            <w:webHidden/>
          </w:rPr>
          <w:fldChar w:fldCharType="separate"/>
        </w:r>
        <w:r w:rsidR="00F7749D">
          <w:rPr>
            <w:noProof/>
            <w:webHidden/>
          </w:rPr>
          <w:t>114</w:t>
        </w:r>
        <w:r w:rsidR="00F7749D">
          <w:rPr>
            <w:noProof/>
            <w:webHidden/>
          </w:rPr>
          <w:fldChar w:fldCharType="end"/>
        </w:r>
      </w:hyperlink>
    </w:p>
    <w:p w14:paraId="4A772653"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6" w:history="1">
        <w:r w:rsidR="00F7749D" w:rsidRPr="0093776D">
          <w:rPr>
            <w:rStyle w:val="Hipervnculo"/>
            <w:rFonts w:cs="Arial"/>
          </w:rPr>
          <w:t>61</w:t>
        </w:r>
        <w:r w:rsidR="00F7749D">
          <w:rPr>
            <w:rFonts w:asciiTheme="minorHAnsi" w:eastAsiaTheme="minorEastAsia" w:hAnsiTheme="minorHAnsi" w:cstheme="minorBidi"/>
            <w:noProof/>
            <w:sz w:val="22"/>
            <w:szCs w:val="22"/>
            <w:lang w:val="en-US"/>
          </w:rPr>
          <w:tab/>
        </w:r>
        <w:r w:rsidR="00F7749D" w:rsidRPr="0093776D">
          <w:rPr>
            <w:rStyle w:val="Hipervnculo"/>
            <w:rFonts w:cs="Arial"/>
          </w:rPr>
          <w:t>Recepción de las Obras</w:t>
        </w:r>
        <w:r w:rsidR="00F7749D">
          <w:rPr>
            <w:noProof/>
            <w:webHidden/>
          </w:rPr>
          <w:tab/>
        </w:r>
        <w:r w:rsidR="00F7749D">
          <w:rPr>
            <w:noProof/>
            <w:webHidden/>
          </w:rPr>
          <w:fldChar w:fldCharType="begin"/>
        </w:r>
        <w:r w:rsidR="00F7749D">
          <w:rPr>
            <w:noProof/>
            <w:webHidden/>
          </w:rPr>
          <w:instrText xml:space="preserve"> PAGEREF _Toc74930966 \h </w:instrText>
        </w:r>
        <w:r w:rsidR="00F7749D">
          <w:rPr>
            <w:noProof/>
            <w:webHidden/>
          </w:rPr>
        </w:r>
        <w:r w:rsidR="00F7749D">
          <w:rPr>
            <w:noProof/>
            <w:webHidden/>
          </w:rPr>
          <w:fldChar w:fldCharType="separate"/>
        </w:r>
        <w:r w:rsidR="00F7749D">
          <w:rPr>
            <w:noProof/>
            <w:webHidden/>
          </w:rPr>
          <w:t>115</w:t>
        </w:r>
        <w:r w:rsidR="00F7749D">
          <w:rPr>
            <w:noProof/>
            <w:webHidden/>
          </w:rPr>
          <w:fldChar w:fldCharType="end"/>
        </w:r>
      </w:hyperlink>
    </w:p>
    <w:p w14:paraId="58060E06"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7" w:history="1">
        <w:r w:rsidR="00F7749D" w:rsidRPr="0093776D">
          <w:rPr>
            <w:rStyle w:val="Hipervnculo"/>
            <w:rFonts w:cs="Arial"/>
          </w:rPr>
          <w:t>62</w:t>
        </w:r>
        <w:r w:rsidR="00F7749D">
          <w:rPr>
            <w:rFonts w:asciiTheme="minorHAnsi" w:eastAsiaTheme="minorEastAsia" w:hAnsiTheme="minorHAnsi" w:cstheme="minorBidi"/>
            <w:noProof/>
            <w:sz w:val="22"/>
            <w:szCs w:val="22"/>
            <w:lang w:val="en-US"/>
          </w:rPr>
          <w:tab/>
        </w:r>
        <w:r w:rsidR="00F7749D" w:rsidRPr="0093776D">
          <w:rPr>
            <w:rStyle w:val="Hipervnculo"/>
            <w:rFonts w:cs="Arial"/>
          </w:rPr>
          <w:t>Liquidación final</w:t>
        </w:r>
        <w:r w:rsidR="00F7749D">
          <w:rPr>
            <w:noProof/>
            <w:webHidden/>
          </w:rPr>
          <w:tab/>
        </w:r>
        <w:r w:rsidR="00F7749D">
          <w:rPr>
            <w:noProof/>
            <w:webHidden/>
          </w:rPr>
          <w:fldChar w:fldCharType="begin"/>
        </w:r>
        <w:r w:rsidR="00F7749D">
          <w:rPr>
            <w:noProof/>
            <w:webHidden/>
          </w:rPr>
          <w:instrText xml:space="preserve"> PAGEREF _Toc74930967 \h </w:instrText>
        </w:r>
        <w:r w:rsidR="00F7749D">
          <w:rPr>
            <w:noProof/>
            <w:webHidden/>
          </w:rPr>
        </w:r>
        <w:r w:rsidR="00F7749D">
          <w:rPr>
            <w:noProof/>
            <w:webHidden/>
          </w:rPr>
          <w:fldChar w:fldCharType="separate"/>
        </w:r>
        <w:r w:rsidR="00F7749D">
          <w:rPr>
            <w:noProof/>
            <w:webHidden/>
          </w:rPr>
          <w:t>115</w:t>
        </w:r>
        <w:r w:rsidR="00F7749D">
          <w:rPr>
            <w:noProof/>
            <w:webHidden/>
          </w:rPr>
          <w:fldChar w:fldCharType="end"/>
        </w:r>
      </w:hyperlink>
    </w:p>
    <w:p w14:paraId="7B54EE24"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8" w:history="1">
        <w:r w:rsidR="00F7749D" w:rsidRPr="0093776D">
          <w:rPr>
            <w:rStyle w:val="Hipervnculo"/>
            <w:rFonts w:cs="Arial"/>
          </w:rPr>
          <w:t>63</w:t>
        </w:r>
        <w:r w:rsidR="00F7749D">
          <w:rPr>
            <w:rFonts w:asciiTheme="minorHAnsi" w:eastAsiaTheme="minorEastAsia" w:hAnsiTheme="minorHAnsi" w:cstheme="minorBidi"/>
            <w:noProof/>
            <w:sz w:val="22"/>
            <w:szCs w:val="22"/>
            <w:lang w:val="en-US"/>
          </w:rPr>
          <w:tab/>
        </w:r>
        <w:r w:rsidR="00F7749D" w:rsidRPr="0093776D">
          <w:rPr>
            <w:rStyle w:val="Hipervnculo"/>
            <w:rFonts w:cs="Arial"/>
          </w:rPr>
          <w:t>Manuales de Operación y de Mantenimiento</w:t>
        </w:r>
        <w:r w:rsidR="00F7749D">
          <w:rPr>
            <w:noProof/>
            <w:webHidden/>
          </w:rPr>
          <w:tab/>
        </w:r>
        <w:r w:rsidR="00F7749D">
          <w:rPr>
            <w:noProof/>
            <w:webHidden/>
          </w:rPr>
          <w:fldChar w:fldCharType="begin"/>
        </w:r>
        <w:r w:rsidR="00F7749D">
          <w:rPr>
            <w:noProof/>
            <w:webHidden/>
          </w:rPr>
          <w:instrText xml:space="preserve"> PAGEREF _Toc74930968 \h </w:instrText>
        </w:r>
        <w:r w:rsidR="00F7749D">
          <w:rPr>
            <w:noProof/>
            <w:webHidden/>
          </w:rPr>
        </w:r>
        <w:r w:rsidR="00F7749D">
          <w:rPr>
            <w:noProof/>
            <w:webHidden/>
          </w:rPr>
          <w:fldChar w:fldCharType="separate"/>
        </w:r>
        <w:r w:rsidR="00F7749D">
          <w:rPr>
            <w:noProof/>
            <w:webHidden/>
          </w:rPr>
          <w:t>115</w:t>
        </w:r>
        <w:r w:rsidR="00F7749D">
          <w:rPr>
            <w:noProof/>
            <w:webHidden/>
          </w:rPr>
          <w:fldChar w:fldCharType="end"/>
        </w:r>
      </w:hyperlink>
    </w:p>
    <w:p w14:paraId="0440E5D9"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69" w:history="1">
        <w:r w:rsidR="00F7749D" w:rsidRPr="0093776D">
          <w:rPr>
            <w:rStyle w:val="Hipervnculo"/>
            <w:rFonts w:cs="Arial"/>
          </w:rPr>
          <w:t>64</w:t>
        </w:r>
        <w:r w:rsidR="00F7749D">
          <w:rPr>
            <w:rFonts w:asciiTheme="minorHAnsi" w:eastAsiaTheme="minorEastAsia" w:hAnsiTheme="minorHAnsi" w:cstheme="minorBidi"/>
            <w:noProof/>
            <w:sz w:val="22"/>
            <w:szCs w:val="22"/>
            <w:lang w:val="en-US"/>
          </w:rPr>
          <w:tab/>
        </w:r>
        <w:r w:rsidR="00F7749D" w:rsidRPr="0093776D">
          <w:rPr>
            <w:rStyle w:val="Hipervnculo"/>
            <w:rFonts w:cs="Arial"/>
          </w:rPr>
          <w:t>Terminación</w:t>
        </w:r>
        <w:r w:rsidR="00F7749D" w:rsidRPr="0093776D">
          <w:rPr>
            <w:rStyle w:val="Hipervnculo"/>
            <w:rFonts w:cs="Arial"/>
            <w:lang w:val="es-419"/>
          </w:rPr>
          <w:t xml:space="preserve"> anticipada del Contrato</w:t>
        </w:r>
        <w:r w:rsidR="00F7749D">
          <w:rPr>
            <w:noProof/>
            <w:webHidden/>
          </w:rPr>
          <w:tab/>
        </w:r>
        <w:r w:rsidR="00F7749D">
          <w:rPr>
            <w:noProof/>
            <w:webHidden/>
          </w:rPr>
          <w:fldChar w:fldCharType="begin"/>
        </w:r>
        <w:r w:rsidR="00F7749D">
          <w:rPr>
            <w:noProof/>
            <w:webHidden/>
          </w:rPr>
          <w:instrText xml:space="preserve"> PAGEREF _Toc74930969 \h </w:instrText>
        </w:r>
        <w:r w:rsidR="00F7749D">
          <w:rPr>
            <w:noProof/>
            <w:webHidden/>
          </w:rPr>
        </w:r>
        <w:r w:rsidR="00F7749D">
          <w:rPr>
            <w:noProof/>
            <w:webHidden/>
          </w:rPr>
          <w:fldChar w:fldCharType="separate"/>
        </w:r>
        <w:r w:rsidR="00F7749D">
          <w:rPr>
            <w:noProof/>
            <w:webHidden/>
          </w:rPr>
          <w:t>115</w:t>
        </w:r>
        <w:r w:rsidR="00F7749D">
          <w:rPr>
            <w:noProof/>
            <w:webHidden/>
          </w:rPr>
          <w:fldChar w:fldCharType="end"/>
        </w:r>
      </w:hyperlink>
    </w:p>
    <w:p w14:paraId="48BE7898"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70" w:history="1">
        <w:r w:rsidR="00F7749D" w:rsidRPr="0093776D">
          <w:rPr>
            <w:rStyle w:val="Hipervnculo"/>
            <w:rFonts w:cs="Arial"/>
          </w:rPr>
          <w:t>65</w:t>
        </w:r>
        <w:r w:rsidR="00F7749D">
          <w:rPr>
            <w:rFonts w:asciiTheme="minorHAnsi" w:eastAsiaTheme="minorEastAsia" w:hAnsiTheme="minorHAnsi" w:cstheme="minorBidi"/>
            <w:noProof/>
            <w:sz w:val="22"/>
            <w:szCs w:val="22"/>
            <w:lang w:val="en-US"/>
          </w:rPr>
          <w:tab/>
        </w:r>
        <w:r w:rsidR="00F7749D" w:rsidRPr="0093776D">
          <w:rPr>
            <w:rStyle w:val="Hipervnculo"/>
            <w:rFonts w:cs="Arial"/>
          </w:rPr>
          <w:t>Derechos de propiedad después de la terminación por incumplimiento del Contratista</w:t>
        </w:r>
        <w:r w:rsidR="00F7749D">
          <w:rPr>
            <w:noProof/>
            <w:webHidden/>
          </w:rPr>
          <w:tab/>
        </w:r>
        <w:r w:rsidR="00F7749D">
          <w:rPr>
            <w:noProof/>
            <w:webHidden/>
          </w:rPr>
          <w:fldChar w:fldCharType="begin"/>
        </w:r>
        <w:r w:rsidR="00F7749D">
          <w:rPr>
            <w:noProof/>
            <w:webHidden/>
          </w:rPr>
          <w:instrText xml:space="preserve"> PAGEREF _Toc74930970 \h </w:instrText>
        </w:r>
        <w:r w:rsidR="00F7749D">
          <w:rPr>
            <w:noProof/>
            <w:webHidden/>
          </w:rPr>
        </w:r>
        <w:r w:rsidR="00F7749D">
          <w:rPr>
            <w:noProof/>
            <w:webHidden/>
          </w:rPr>
          <w:fldChar w:fldCharType="separate"/>
        </w:r>
        <w:r w:rsidR="00F7749D">
          <w:rPr>
            <w:noProof/>
            <w:webHidden/>
          </w:rPr>
          <w:t>117</w:t>
        </w:r>
        <w:r w:rsidR="00F7749D">
          <w:rPr>
            <w:noProof/>
            <w:webHidden/>
          </w:rPr>
          <w:fldChar w:fldCharType="end"/>
        </w:r>
      </w:hyperlink>
    </w:p>
    <w:p w14:paraId="4E2532FD"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71" w:history="1">
        <w:r w:rsidR="00F7749D" w:rsidRPr="0093776D">
          <w:rPr>
            <w:rStyle w:val="Hipervnculo"/>
            <w:rFonts w:cs="Arial"/>
          </w:rPr>
          <w:t>66</w:t>
        </w:r>
        <w:r w:rsidR="00F7749D">
          <w:rPr>
            <w:rFonts w:asciiTheme="minorHAnsi" w:eastAsiaTheme="minorEastAsia" w:hAnsiTheme="minorHAnsi" w:cstheme="minorBidi"/>
            <w:noProof/>
            <w:sz w:val="22"/>
            <w:szCs w:val="22"/>
            <w:lang w:val="en-US"/>
          </w:rPr>
          <w:tab/>
        </w:r>
        <w:r w:rsidR="00F7749D" w:rsidRPr="0093776D">
          <w:rPr>
            <w:rStyle w:val="Hipervnculo"/>
            <w:rFonts w:cs="Arial"/>
          </w:rPr>
          <w:t>Pagos posteriores a la terminación anticipada del Contrato</w:t>
        </w:r>
        <w:r w:rsidR="00F7749D">
          <w:rPr>
            <w:noProof/>
            <w:webHidden/>
          </w:rPr>
          <w:tab/>
        </w:r>
        <w:r w:rsidR="00F7749D">
          <w:rPr>
            <w:noProof/>
            <w:webHidden/>
          </w:rPr>
          <w:fldChar w:fldCharType="begin"/>
        </w:r>
        <w:r w:rsidR="00F7749D">
          <w:rPr>
            <w:noProof/>
            <w:webHidden/>
          </w:rPr>
          <w:instrText xml:space="preserve"> PAGEREF _Toc74930971 \h </w:instrText>
        </w:r>
        <w:r w:rsidR="00F7749D">
          <w:rPr>
            <w:noProof/>
            <w:webHidden/>
          </w:rPr>
        </w:r>
        <w:r w:rsidR="00F7749D">
          <w:rPr>
            <w:noProof/>
            <w:webHidden/>
          </w:rPr>
          <w:fldChar w:fldCharType="separate"/>
        </w:r>
        <w:r w:rsidR="00F7749D">
          <w:rPr>
            <w:noProof/>
            <w:webHidden/>
          </w:rPr>
          <w:t>117</w:t>
        </w:r>
        <w:r w:rsidR="00F7749D">
          <w:rPr>
            <w:noProof/>
            <w:webHidden/>
          </w:rPr>
          <w:fldChar w:fldCharType="end"/>
        </w:r>
      </w:hyperlink>
    </w:p>
    <w:p w14:paraId="0421F09A" w14:textId="77777777" w:rsidR="00F7749D" w:rsidRDefault="004B50CC" w:rsidP="00F7749D">
      <w:pPr>
        <w:pStyle w:val="TDC2"/>
        <w:tabs>
          <w:tab w:val="left" w:pos="1440"/>
        </w:tabs>
        <w:rPr>
          <w:rFonts w:asciiTheme="minorHAnsi" w:eastAsiaTheme="minorEastAsia" w:hAnsiTheme="minorHAnsi" w:cstheme="minorBidi"/>
          <w:noProof/>
          <w:sz w:val="22"/>
          <w:szCs w:val="22"/>
          <w:lang w:val="en-US"/>
        </w:rPr>
      </w:pPr>
      <w:hyperlink w:anchor="_Toc74930972" w:history="1">
        <w:r w:rsidR="00F7749D" w:rsidRPr="0093776D">
          <w:rPr>
            <w:rStyle w:val="Hipervnculo"/>
            <w:rFonts w:cs="Arial"/>
          </w:rPr>
          <w:t>67</w:t>
        </w:r>
        <w:r w:rsidR="00F7749D">
          <w:rPr>
            <w:rFonts w:asciiTheme="minorHAnsi" w:eastAsiaTheme="minorEastAsia" w:hAnsiTheme="minorHAnsi" w:cstheme="minorBidi"/>
            <w:noProof/>
            <w:sz w:val="22"/>
            <w:szCs w:val="22"/>
            <w:lang w:val="en-US"/>
          </w:rPr>
          <w:tab/>
        </w:r>
        <w:r w:rsidR="00F7749D" w:rsidRPr="0093776D">
          <w:rPr>
            <w:rStyle w:val="Hipervnculo"/>
            <w:rFonts w:cs="Arial"/>
          </w:rPr>
          <w:t>Responsabilidad por vicios ocultos posterior a la emisión del Certificado de corrección de defectos</w:t>
        </w:r>
        <w:r w:rsidR="00F7749D">
          <w:rPr>
            <w:noProof/>
            <w:webHidden/>
          </w:rPr>
          <w:tab/>
        </w:r>
        <w:r w:rsidR="00F7749D">
          <w:rPr>
            <w:noProof/>
            <w:webHidden/>
          </w:rPr>
          <w:fldChar w:fldCharType="begin"/>
        </w:r>
        <w:r w:rsidR="00F7749D">
          <w:rPr>
            <w:noProof/>
            <w:webHidden/>
          </w:rPr>
          <w:instrText xml:space="preserve"> PAGEREF _Toc74930972 \h </w:instrText>
        </w:r>
        <w:r w:rsidR="00F7749D">
          <w:rPr>
            <w:noProof/>
            <w:webHidden/>
          </w:rPr>
        </w:r>
        <w:r w:rsidR="00F7749D">
          <w:rPr>
            <w:noProof/>
            <w:webHidden/>
          </w:rPr>
          <w:fldChar w:fldCharType="separate"/>
        </w:r>
        <w:r w:rsidR="00F7749D">
          <w:rPr>
            <w:noProof/>
            <w:webHidden/>
          </w:rPr>
          <w:t>117</w:t>
        </w:r>
        <w:r w:rsidR="00F7749D">
          <w:rPr>
            <w:noProof/>
            <w:webHidden/>
          </w:rPr>
          <w:fldChar w:fldCharType="end"/>
        </w:r>
      </w:hyperlink>
    </w:p>
    <w:p w14:paraId="2517EB82"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73" w:history="1">
        <w:r w:rsidR="00F7749D" w:rsidRPr="0093776D">
          <w:rPr>
            <w:rStyle w:val="Hipervnculo"/>
            <w:rFonts w:cs="Arial"/>
            <w:lang w:val="es-ES"/>
          </w:rPr>
          <w:t>Apéndice 1: Disposiciones de integridad</w:t>
        </w:r>
        <w:r w:rsidR="00F7749D">
          <w:rPr>
            <w:noProof/>
            <w:webHidden/>
          </w:rPr>
          <w:tab/>
        </w:r>
        <w:r w:rsidR="00F7749D">
          <w:rPr>
            <w:noProof/>
            <w:webHidden/>
          </w:rPr>
          <w:fldChar w:fldCharType="begin"/>
        </w:r>
        <w:r w:rsidR="00F7749D">
          <w:rPr>
            <w:noProof/>
            <w:webHidden/>
          </w:rPr>
          <w:instrText xml:space="preserve"> PAGEREF _Toc74930973 \h </w:instrText>
        </w:r>
        <w:r w:rsidR="00F7749D">
          <w:rPr>
            <w:noProof/>
            <w:webHidden/>
          </w:rPr>
        </w:r>
        <w:r w:rsidR="00F7749D">
          <w:rPr>
            <w:noProof/>
            <w:webHidden/>
          </w:rPr>
          <w:fldChar w:fldCharType="separate"/>
        </w:r>
        <w:r w:rsidR="00F7749D">
          <w:rPr>
            <w:noProof/>
            <w:webHidden/>
          </w:rPr>
          <w:t>128</w:t>
        </w:r>
        <w:r w:rsidR="00F7749D">
          <w:rPr>
            <w:noProof/>
            <w:webHidden/>
          </w:rPr>
          <w:fldChar w:fldCharType="end"/>
        </w:r>
      </w:hyperlink>
    </w:p>
    <w:p w14:paraId="21B2B079"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74" w:history="1">
        <w:r w:rsidR="00F7749D" w:rsidRPr="0093776D">
          <w:rPr>
            <w:rStyle w:val="Hipervnculo"/>
            <w:rFonts w:cs="Arial"/>
            <w:lang w:val="es-ES"/>
          </w:rPr>
          <w:t>Apéndice 2: Disposiciones Ambientales y Sociales del Banco</w:t>
        </w:r>
        <w:r w:rsidR="00F7749D">
          <w:rPr>
            <w:noProof/>
            <w:webHidden/>
          </w:rPr>
          <w:tab/>
        </w:r>
        <w:r w:rsidR="00F7749D">
          <w:rPr>
            <w:noProof/>
            <w:webHidden/>
          </w:rPr>
          <w:fldChar w:fldCharType="begin"/>
        </w:r>
        <w:r w:rsidR="00F7749D">
          <w:rPr>
            <w:noProof/>
            <w:webHidden/>
          </w:rPr>
          <w:instrText xml:space="preserve"> PAGEREF _Toc74930974 \h </w:instrText>
        </w:r>
        <w:r w:rsidR="00F7749D">
          <w:rPr>
            <w:noProof/>
            <w:webHidden/>
          </w:rPr>
        </w:r>
        <w:r w:rsidR="00F7749D">
          <w:rPr>
            <w:noProof/>
            <w:webHidden/>
          </w:rPr>
          <w:fldChar w:fldCharType="separate"/>
        </w:r>
        <w:r w:rsidR="00F7749D">
          <w:rPr>
            <w:noProof/>
            <w:webHidden/>
          </w:rPr>
          <w:t>131</w:t>
        </w:r>
        <w:r w:rsidR="00F7749D">
          <w:rPr>
            <w:noProof/>
            <w:webHidden/>
          </w:rPr>
          <w:fldChar w:fldCharType="end"/>
        </w:r>
      </w:hyperlink>
    </w:p>
    <w:p w14:paraId="5F28C80E"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75" w:history="1">
        <w:r w:rsidR="00F7749D" w:rsidRPr="0093776D">
          <w:rPr>
            <w:rStyle w:val="Hipervnculo"/>
            <w:rFonts w:cs="Arial"/>
            <w:lang w:val="es-ES"/>
          </w:rPr>
          <w:t>Apéndice 3: Formularios de Garantías</w:t>
        </w:r>
        <w:r w:rsidR="00F7749D">
          <w:rPr>
            <w:noProof/>
            <w:webHidden/>
          </w:rPr>
          <w:tab/>
        </w:r>
        <w:r w:rsidR="00F7749D">
          <w:rPr>
            <w:noProof/>
            <w:webHidden/>
          </w:rPr>
          <w:fldChar w:fldCharType="begin"/>
        </w:r>
        <w:r w:rsidR="00F7749D">
          <w:rPr>
            <w:noProof/>
            <w:webHidden/>
          </w:rPr>
          <w:instrText xml:space="preserve"> PAGEREF _Toc74930975 \h </w:instrText>
        </w:r>
        <w:r w:rsidR="00F7749D">
          <w:rPr>
            <w:noProof/>
            <w:webHidden/>
          </w:rPr>
        </w:r>
        <w:r w:rsidR="00F7749D">
          <w:rPr>
            <w:noProof/>
            <w:webHidden/>
          </w:rPr>
          <w:fldChar w:fldCharType="separate"/>
        </w:r>
        <w:r w:rsidR="00F7749D">
          <w:rPr>
            <w:noProof/>
            <w:webHidden/>
          </w:rPr>
          <w:t>139</w:t>
        </w:r>
        <w:r w:rsidR="00F7749D">
          <w:rPr>
            <w:noProof/>
            <w:webHidden/>
          </w:rPr>
          <w:fldChar w:fldCharType="end"/>
        </w:r>
      </w:hyperlink>
    </w:p>
    <w:p w14:paraId="3A8FA078" w14:textId="77777777" w:rsidR="00F7749D" w:rsidRDefault="004B50CC" w:rsidP="00F7749D">
      <w:pPr>
        <w:pStyle w:val="TDC1"/>
        <w:rPr>
          <w:rFonts w:asciiTheme="minorHAnsi" w:eastAsiaTheme="minorEastAsia" w:hAnsiTheme="minorHAnsi" w:cstheme="minorBidi"/>
          <w:b w:val="0"/>
          <w:noProof/>
          <w:sz w:val="22"/>
          <w:szCs w:val="22"/>
          <w:lang w:val="en-US"/>
        </w:rPr>
      </w:pPr>
      <w:hyperlink w:anchor="_Toc74930976" w:history="1">
        <w:r w:rsidR="00F7749D" w:rsidRPr="0093776D">
          <w:rPr>
            <w:rStyle w:val="Hipervnculo"/>
            <w:rFonts w:cs="Arial"/>
            <w:lang w:val="es-ES"/>
          </w:rPr>
          <w:t>Carta de Aceptación</w:t>
        </w:r>
        <w:r w:rsidR="00F7749D">
          <w:rPr>
            <w:noProof/>
            <w:webHidden/>
          </w:rPr>
          <w:tab/>
        </w:r>
        <w:r w:rsidR="00F7749D">
          <w:rPr>
            <w:noProof/>
            <w:webHidden/>
          </w:rPr>
          <w:fldChar w:fldCharType="begin"/>
        </w:r>
        <w:r w:rsidR="00F7749D">
          <w:rPr>
            <w:noProof/>
            <w:webHidden/>
          </w:rPr>
          <w:instrText xml:space="preserve"> PAGEREF _Toc74930976 \h </w:instrText>
        </w:r>
        <w:r w:rsidR="00F7749D">
          <w:rPr>
            <w:noProof/>
            <w:webHidden/>
          </w:rPr>
        </w:r>
        <w:r w:rsidR="00F7749D">
          <w:rPr>
            <w:noProof/>
            <w:webHidden/>
          </w:rPr>
          <w:fldChar w:fldCharType="separate"/>
        </w:r>
        <w:r w:rsidR="00F7749D">
          <w:rPr>
            <w:noProof/>
            <w:webHidden/>
          </w:rPr>
          <w:t>147</w:t>
        </w:r>
        <w:r w:rsidR="00F7749D">
          <w:rPr>
            <w:noProof/>
            <w:webHidden/>
          </w:rPr>
          <w:fldChar w:fldCharType="end"/>
        </w:r>
      </w:hyperlink>
    </w:p>
    <w:p w14:paraId="330BFE33" w14:textId="77777777" w:rsidR="00F7749D" w:rsidRDefault="00F7749D" w:rsidP="00F7749D">
      <w:pPr>
        <w:rPr>
          <w:b/>
          <w:bCs/>
          <w:sz w:val="32"/>
          <w:szCs w:val="32"/>
        </w:rPr>
      </w:pPr>
      <w:r>
        <w:rPr>
          <w:b/>
          <w:bCs/>
          <w:sz w:val="32"/>
          <w:szCs w:val="32"/>
        </w:rPr>
        <w:fldChar w:fldCharType="end"/>
      </w:r>
    </w:p>
    <w:p w14:paraId="6E23C5DD" w14:textId="77777777" w:rsidR="00F7749D" w:rsidRDefault="00F7749D" w:rsidP="00F7749D">
      <w:pPr>
        <w:jc w:val="center"/>
        <w:rPr>
          <w:b/>
          <w:bCs/>
          <w:sz w:val="32"/>
          <w:szCs w:val="32"/>
        </w:rPr>
      </w:pPr>
    </w:p>
    <w:p w14:paraId="6D6A993B" w14:textId="77777777" w:rsidR="00F7749D" w:rsidRDefault="00F7749D" w:rsidP="00F7749D">
      <w:pPr>
        <w:jc w:val="left"/>
        <w:rPr>
          <w:b/>
          <w:bCs/>
          <w:sz w:val="32"/>
          <w:szCs w:val="32"/>
        </w:rPr>
      </w:pPr>
      <w:r>
        <w:rPr>
          <w:b/>
          <w:bCs/>
          <w:sz w:val="32"/>
          <w:szCs w:val="32"/>
        </w:rPr>
        <w:br w:type="page"/>
      </w:r>
    </w:p>
    <w:p w14:paraId="2D8566A5" w14:textId="77777777" w:rsidR="00F7749D" w:rsidRDefault="00F7749D" w:rsidP="00F7749D">
      <w:pPr>
        <w:jc w:val="center"/>
        <w:rPr>
          <w:b/>
          <w:bCs/>
          <w:sz w:val="32"/>
          <w:szCs w:val="32"/>
        </w:rPr>
        <w:sectPr w:rsidR="00F7749D" w:rsidSect="00D52575">
          <w:pgSz w:w="12240" w:h="15840" w:code="1"/>
          <w:pgMar w:top="1152" w:right="1440" w:bottom="1440" w:left="1440" w:header="720" w:footer="720" w:gutter="0"/>
          <w:cols w:space="708"/>
          <w:docGrid w:linePitch="360"/>
        </w:sectPr>
      </w:pPr>
    </w:p>
    <w:p w14:paraId="71BF854E" w14:textId="77777777" w:rsidR="00F7749D" w:rsidRPr="00D55B2B" w:rsidRDefault="00F7749D" w:rsidP="00F7749D">
      <w:pPr>
        <w:jc w:val="center"/>
        <w:rPr>
          <w:rFonts w:ascii="Arial" w:hAnsi="Arial" w:cs="Arial"/>
          <w:b/>
          <w:bCs/>
          <w:sz w:val="22"/>
          <w:szCs w:val="22"/>
        </w:rPr>
      </w:pPr>
      <w:r w:rsidRPr="00D55B2B">
        <w:rPr>
          <w:rFonts w:ascii="Arial" w:hAnsi="Arial" w:cs="Arial"/>
          <w:b/>
          <w:bCs/>
          <w:sz w:val="22"/>
          <w:szCs w:val="22"/>
        </w:rPr>
        <w:lastRenderedPageBreak/>
        <w:t>Condiciones Generales del Contrato</w:t>
      </w:r>
    </w:p>
    <w:p w14:paraId="5B69F878" w14:textId="77777777" w:rsidR="00F7749D" w:rsidRPr="00D55B2B" w:rsidRDefault="00F7749D" w:rsidP="00F7749D">
      <w:pPr>
        <w:rPr>
          <w:rFonts w:ascii="Arial" w:hAnsi="Arial" w:cs="Arial"/>
          <w:sz w:val="22"/>
          <w:szCs w:val="22"/>
        </w:rPr>
      </w:pPr>
    </w:p>
    <w:p w14:paraId="0B6E0C9B" w14:textId="77777777" w:rsidR="00F7749D" w:rsidRDefault="00F7749D" w:rsidP="00F7749D">
      <w:pPr>
        <w:rPr>
          <w:rFonts w:ascii="Arial" w:hAnsi="Arial" w:cs="Arial"/>
          <w:sz w:val="22"/>
          <w:szCs w:val="22"/>
        </w:rPr>
      </w:pPr>
      <w:r w:rsidRPr="00D55B2B">
        <w:rPr>
          <w:rFonts w:ascii="Arial" w:hAnsi="Arial" w:cs="Arial"/>
          <w:sz w:val="22"/>
          <w:szCs w:val="22"/>
        </w:rPr>
        <w:t>El Contrato, las siguientes Condiciones Generales del Contrato (CGC), juntamente con las Condiciones Particulares del Contrato (CPC) y demás documentos enlistados en el contrato, constituyen un documento completo que establece los derechos y obligaciones de las Partes.</w:t>
      </w:r>
    </w:p>
    <w:p w14:paraId="17E65733" w14:textId="77777777" w:rsidR="00F7749D" w:rsidRDefault="00F7749D" w:rsidP="00F7749D">
      <w:pPr>
        <w:rPr>
          <w:rFonts w:ascii="Arial" w:hAnsi="Arial" w:cs="Arial"/>
          <w:sz w:val="22"/>
          <w:szCs w:val="22"/>
        </w:rPr>
      </w:pPr>
    </w:p>
    <w:p w14:paraId="7AABFE8A" w14:textId="77777777" w:rsidR="00F7749D" w:rsidRPr="00D55B2B" w:rsidRDefault="00F7749D" w:rsidP="00F7749D">
      <w:pPr>
        <w:rPr>
          <w:rFonts w:ascii="Arial" w:hAnsi="Arial" w:cs="Arial"/>
          <w:sz w:val="22"/>
          <w:szCs w:val="22"/>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F7749D" w:rsidRPr="00D55B2B" w14:paraId="4258C8D2" w14:textId="77777777" w:rsidTr="00D23A40">
        <w:trPr>
          <w:trHeight w:val="576"/>
          <w:tblHeader/>
          <w:jc w:val="center"/>
        </w:trPr>
        <w:tc>
          <w:tcPr>
            <w:tcW w:w="9355" w:type="dxa"/>
            <w:gridSpan w:val="2"/>
            <w:shd w:val="clear" w:color="auto" w:fill="002060"/>
            <w:vAlign w:val="center"/>
          </w:tcPr>
          <w:p w14:paraId="3350EB1F" w14:textId="77777777" w:rsidR="00F7749D" w:rsidRPr="00D55B2B" w:rsidRDefault="00F7749D" w:rsidP="00D23A40">
            <w:pPr>
              <w:framePr w:hSpace="187" w:wrap="around" w:vAnchor="text" w:hAnchor="text" w:xAlign="center" w:y="1"/>
              <w:spacing w:before="60" w:after="60"/>
              <w:suppressOverlap/>
              <w:jc w:val="center"/>
              <w:rPr>
                <w:rFonts w:ascii="Arial" w:hAnsi="Arial" w:cs="Arial"/>
                <w:b/>
                <w:sz w:val="22"/>
                <w:szCs w:val="22"/>
              </w:rPr>
            </w:pPr>
            <w:r w:rsidRPr="00D55B2B">
              <w:rPr>
                <w:rFonts w:ascii="Arial" w:hAnsi="Arial" w:cs="Arial"/>
                <w:b/>
                <w:sz w:val="22"/>
                <w:szCs w:val="22"/>
              </w:rPr>
              <w:t>Condiciones Generales del Contrato (CGC)</w:t>
            </w:r>
          </w:p>
        </w:tc>
      </w:tr>
      <w:tr w:rsidR="00F7749D" w:rsidRPr="00D55B2B" w14:paraId="6ADCA856" w14:textId="77777777" w:rsidTr="00D23A40">
        <w:trPr>
          <w:trHeight w:val="20"/>
          <w:jc w:val="center"/>
        </w:trPr>
        <w:tc>
          <w:tcPr>
            <w:tcW w:w="9355" w:type="dxa"/>
            <w:gridSpan w:val="2"/>
            <w:shd w:val="clear" w:color="auto" w:fill="00B050"/>
          </w:tcPr>
          <w:p w14:paraId="631D01D8" w14:textId="77777777" w:rsidR="00F7749D" w:rsidRPr="00D55B2B" w:rsidRDefault="00F7749D" w:rsidP="00F7749D">
            <w:pPr>
              <w:pStyle w:val="Ttulo1"/>
              <w:framePr w:hSpace="187" w:wrap="around" w:vAnchor="text" w:hAnchor="text" w:xAlign="center" w:y="1"/>
              <w:numPr>
                <w:ilvl w:val="0"/>
                <w:numId w:val="89"/>
              </w:numPr>
              <w:tabs>
                <w:tab w:val="right" w:leader="dot" w:pos="9000"/>
              </w:tabs>
              <w:spacing w:before="60" w:after="60"/>
              <w:ind w:right="720"/>
              <w:suppressOverlap/>
              <w:rPr>
                <w:rFonts w:ascii="Arial" w:hAnsi="Arial" w:cs="Arial"/>
                <w:color w:val="FFFFFF" w:themeColor="background1"/>
                <w:sz w:val="22"/>
                <w:szCs w:val="22"/>
              </w:rPr>
            </w:pPr>
            <w:bookmarkStart w:id="1835" w:name="_Toc17376464"/>
            <w:bookmarkStart w:id="1836" w:name="_Toc47916950"/>
            <w:bookmarkStart w:id="1837" w:name="_Toc74048228"/>
            <w:bookmarkStart w:id="1838" w:name="_Toc74518468"/>
            <w:bookmarkStart w:id="1839" w:name="_Toc74519198"/>
            <w:bookmarkStart w:id="1840" w:name="_Toc74781388"/>
            <w:bookmarkStart w:id="1841" w:name="_Toc74930901"/>
            <w:r w:rsidRPr="00D55B2B">
              <w:rPr>
                <w:rFonts w:ascii="Arial" w:hAnsi="Arial" w:cs="Arial"/>
                <w:color w:val="FFFFFF" w:themeColor="background1"/>
                <w:sz w:val="22"/>
                <w:szCs w:val="22"/>
                <w:lang w:val="es-419"/>
              </w:rPr>
              <w:t>Disposiciones generales</w:t>
            </w:r>
            <w:bookmarkEnd w:id="1835"/>
            <w:bookmarkEnd w:id="1836"/>
            <w:bookmarkEnd w:id="1837"/>
            <w:bookmarkEnd w:id="1838"/>
            <w:bookmarkEnd w:id="1839"/>
            <w:bookmarkEnd w:id="1840"/>
            <w:bookmarkEnd w:id="1841"/>
          </w:p>
        </w:tc>
      </w:tr>
      <w:tr w:rsidR="00F7749D" w:rsidRPr="00D55B2B" w14:paraId="720F2B20" w14:textId="77777777" w:rsidTr="00D23A40">
        <w:trPr>
          <w:trHeight w:val="20"/>
          <w:jc w:val="center"/>
        </w:trPr>
        <w:tc>
          <w:tcPr>
            <w:tcW w:w="9355" w:type="dxa"/>
            <w:gridSpan w:val="2"/>
            <w:tcBorders>
              <w:bottom w:val="single" w:sz="4" w:space="0" w:color="auto"/>
            </w:tcBorders>
            <w:shd w:val="clear" w:color="auto" w:fill="auto"/>
          </w:tcPr>
          <w:p w14:paraId="2E32E886" w14:textId="77777777" w:rsidR="00F7749D" w:rsidRPr="00D55B2B" w:rsidRDefault="00F7749D" w:rsidP="00F7749D">
            <w:pPr>
              <w:pStyle w:val="Ttulo2"/>
              <w:keepNext w:val="0"/>
              <w:framePr w:hSpace="187" w:wrap="around" w:vAnchor="text" w:hAnchor="text" w:xAlign="center" w:y="1"/>
              <w:numPr>
                <w:ilvl w:val="0"/>
                <w:numId w:val="90"/>
              </w:numPr>
              <w:spacing w:before="60" w:after="60"/>
              <w:suppressOverlap/>
              <w:jc w:val="both"/>
              <w:rPr>
                <w:rFonts w:cs="Arial"/>
                <w:sz w:val="22"/>
                <w:szCs w:val="22"/>
                <w:lang w:val="es-419"/>
              </w:rPr>
            </w:pPr>
            <w:bookmarkStart w:id="1842" w:name="_Toc17376465"/>
            <w:bookmarkStart w:id="1843" w:name="_Toc47916951"/>
            <w:bookmarkStart w:id="1844" w:name="_Toc74048229"/>
            <w:bookmarkStart w:id="1845" w:name="_Toc74518469"/>
            <w:bookmarkStart w:id="1846" w:name="_Toc74519199"/>
            <w:bookmarkStart w:id="1847" w:name="_Toc74781389"/>
            <w:bookmarkStart w:id="1848" w:name="_Toc74930902"/>
            <w:r w:rsidRPr="00D55B2B">
              <w:rPr>
                <w:rFonts w:cs="Arial"/>
                <w:sz w:val="22"/>
                <w:szCs w:val="22"/>
                <w:lang w:val="es-419"/>
              </w:rPr>
              <w:t>Definiciones</w:t>
            </w:r>
            <w:bookmarkEnd w:id="1842"/>
            <w:bookmarkEnd w:id="1843"/>
            <w:bookmarkEnd w:id="1844"/>
            <w:bookmarkEnd w:id="1845"/>
            <w:bookmarkEnd w:id="1846"/>
            <w:bookmarkEnd w:id="1847"/>
            <w:bookmarkEnd w:id="1848"/>
          </w:p>
        </w:tc>
      </w:tr>
      <w:tr w:rsidR="00F7749D" w:rsidRPr="00D55B2B" w14:paraId="2966551F" w14:textId="77777777" w:rsidTr="00D23A40">
        <w:trPr>
          <w:cantSplit/>
          <w:trHeight w:val="20"/>
          <w:jc w:val="center"/>
        </w:trPr>
        <w:tc>
          <w:tcPr>
            <w:tcW w:w="805" w:type="dxa"/>
            <w:tcBorders>
              <w:right w:val="nil"/>
            </w:tcBorders>
            <w:shd w:val="clear" w:color="auto" w:fill="auto"/>
          </w:tcPr>
          <w:p w14:paraId="4AF671A5" w14:textId="77777777" w:rsidR="00F7749D" w:rsidRPr="00D55B2B" w:rsidRDefault="00F7749D" w:rsidP="00D23A40">
            <w:pPr>
              <w:pStyle w:val="Numeraciondeartculos"/>
              <w:framePr w:hSpace="187" w:wrap="around" w:hAnchor="text" w:xAlign="center" w:y="1"/>
              <w:suppressOverlap/>
              <w:rPr>
                <w:rFonts w:cs="Arial"/>
                <w:sz w:val="22"/>
                <w:szCs w:val="22"/>
              </w:rPr>
            </w:pPr>
          </w:p>
        </w:tc>
        <w:tc>
          <w:tcPr>
            <w:tcW w:w="8550" w:type="dxa"/>
            <w:tcBorders>
              <w:left w:val="nil"/>
            </w:tcBorders>
            <w:shd w:val="clear" w:color="auto" w:fill="auto"/>
          </w:tcPr>
          <w:p w14:paraId="6B72AD11" w14:textId="77777777" w:rsidR="00F7749D" w:rsidRPr="002509F0" w:rsidRDefault="00F7749D" w:rsidP="00D23A40">
            <w:pPr>
              <w:framePr w:hSpace="187" w:wrap="around" w:vAnchor="text" w:hAnchor="text" w:xAlign="center" w:y="1"/>
              <w:spacing w:before="60" w:after="60"/>
              <w:suppressOverlap/>
              <w:rPr>
                <w:rFonts w:ascii="Arial" w:hAnsi="Arial" w:cs="Arial"/>
                <w:sz w:val="22"/>
                <w:szCs w:val="22"/>
              </w:rPr>
            </w:pPr>
            <w:r w:rsidRPr="00D55B2B">
              <w:rPr>
                <w:rFonts w:ascii="Arial" w:hAnsi="Arial" w:cs="Arial"/>
                <w:sz w:val="22"/>
                <w:szCs w:val="22"/>
              </w:rPr>
              <w:t>En las Condiciones del Contrato que incluyen estas Condiciones Generales y las Condiciones Particulares- las palabras y expresiones subsecuentes tendrán los siguientes significados:</w:t>
            </w:r>
          </w:p>
        </w:tc>
      </w:tr>
    </w:tbl>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805"/>
        <w:gridCol w:w="8550"/>
      </w:tblGrid>
      <w:tr w:rsidR="00F7749D" w:rsidRPr="00D55B2B" w14:paraId="7C992B4B" w14:textId="77777777" w:rsidTr="00D23A40">
        <w:trPr>
          <w:cantSplit/>
          <w:trHeight w:val="20"/>
          <w:jc w:val="center"/>
        </w:trPr>
        <w:tc>
          <w:tcPr>
            <w:tcW w:w="805" w:type="dxa"/>
            <w:tcBorders>
              <w:right w:val="nil"/>
            </w:tcBorders>
            <w:shd w:val="clear" w:color="auto" w:fill="auto"/>
          </w:tcPr>
          <w:p w14:paraId="55DC481F" w14:textId="77777777" w:rsidR="00F7749D" w:rsidRDefault="00F7749D" w:rsidP="00D23A40">
            <w:pPr>
              <w:pStyle w:val="Numeraciondeartculos"/>
              <w:framePr w:hSpace="0" w:wrap="auto" w:vAnchor="margin" w:hAnchor="text" w:xAlign="left" w:yAlign="inline"/>
              <w:numPr>
                <w:ilvl w:val="0"/>
                <w:numId w:val="0"/>
              </w:numPr>
              <w:rPr>
                <w:rFonts w:cs="Arial"/>
                <w:sz w:val="22"/>
                <w:szCs w:val="22"/>
              </w:rPr>
            </w:pPr>
          </w:p>
          <w:p w14:paraId="7EC7C07F"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030D646" w14:textId="77777777" w:rsidR="00F7749D" w:rsidRPr="00C5051D" w:rsidRDefault="00F7749D" w:rsidP="00F7749D">
            <w:pPr>
              <w:pStyle w:val="Prrafodelista"/>
              <w:numPr>
                <w:ilvl w:val="7"/>
                <w:numId w:val="45"/>
              </w:numPr>
              <w:spacing w:before="60" w:after="60"/>
              <w:ind w:left="330"/>
              <w:rPr>
                <w:rFonts w:ascii="Arial" w:hAnsi="Arial" w:cs="Arial"/>
                <w:sz w:val="22"/>
                <w:szCs w:val="22"/>
              </w:rPr>
            </w:pPr>
            <w:r w:rsidRPr="00C5051D">
              <w:rPr>
                <w:rFonts w:ascii="Arial" w:hAnsi="Arial" w:cs="Arial"/>
                <w:b/>
                <w:bCs/>
                <w:sz w:val="22"/>
                <w:szCs w:val="22"/>
                <w:lang w:val="es-HN"/>
              </w:rPr>
              <w:t xml:space="preserve">APCA:  </w:t>
            </w:r>
            <w:r w:rsidRPr="00C5051D">
              <w:rPr>
                <w:rFonts w:ascii="Arial" w:hAnsi="Arial" w:cs="Arial"/>
                <w:bCs/>
                <w:sz w:val="22"/>
                <w:szCs w:val="22"/>
                <w:lang w:val="es-HN"/>
              </w:rPr>
              <w:t>se refiere a oferentes que se unen temporalmente al amparo de un convenio como uno solo, con el propósito de ofrecer el servicio de la ejecución de las Obras y que son conjunta y solidariamente responsables por el cumplimiento del Contrato.</w:t>
            </w:r>
          </w:p>
        </w:tc>
      </w:tr>
      <w:tr w:rsidR="00F7749D" w:rsidRPr="00D55B2B" w14:paraId="6B4BA98F" w14:textId="77777777" w:rsidTr="00D23A40">
        <w:trPr>
          <w:cantSplit/>
          <w:trHeight w:val="20"/>
          <w:jc w:val="center"/>
        </w:trPr>
        <w:tc>
          <w:tcPr>
            <w:tcW w:w="805" w:type="dxa"/>
            <w:tcBorders>
              <w:right w:val="nil"/>
            </w:tcBorders>
            <w:shd w:val="clear" w:color="auto" w:fill="auto"/>
          </w:tcPr>
          <w:p w14:paraId="1B1EE3B8" w14:textId="77777777" w:rsidR="00F7749D" w:rsidRPr="00D55B2B" w:rsidRDefault="00F7749D" w:rsidP="00D23A40">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0B12CCE8" w14:textId="77777777" w:rsidR="00F7749D" w:rsidRPr="0050745A" w:rsidRDefault="00F7749D" w:rsidP="00F7749D">
            <w:pPr>
              <w:pStyle w:val="Prrafodelista"/>
              <w:numPr>
                <w:ilvl w:val="7"/>
                <w:numId w:val="45"/>
              </w:numPr>
              <w:spacing w:before="60" w:after="60"/>
              <w:ind w:left="330"/>
              <w:rPr>
                <w:rFonts w:ascii="Arial" w:hAnsi="Arial" w:cs="Arial"/>
                <w:b/>
                <w:bCs/>
                <w:sz w:val="22"/>
                <w:szCs w:val="22"/>
                <w:lang w:val="es-HN"/>
              </w:rPr>
            </w:pPr>
            <w:r>
              <w:rPr>
                <w:rFonts w:ascii="Arial" w:hAnsi="Arial" w:cs="Arial"/>
                <w:b/>
                <w:bCs/>
                <w:sz w:val="22"/>
                <w:szCs w:val="22"/>
                <w:lang w:val="es-HN"/>
              </w:rPr>
              <w:t xml:space="preserve">b. </w:t>
            </w:r>
            <w:r w:rsidRPr="00D55B2B">
              <w:rPr>
                <w:rFonts w:ascii="Arial" w:hAnsi="Arial" w:cs="Arial"/>
                <w:b/>
                <w:bCs/>
                <w:sz w:val="22"/>
                <w:szCs w:val="22"/>
                <w:lang w:val="es-HN"/>
              </w:rPr>
              <w:t xml:space="preserve">Asociado: </w:t>
            </w:r>
            <w:r w:rsidRPr="00BB0567">
              <w:rPr>
                <w:rFonts w:ascii="Arial" w:hAnsi="Arial" w:cs="Arial"/>
                <w:sz w:val="22"/>
                <w:szCs w:val="22"/>
                <w:lang w:val="es-HN"/>
              </w:rPr>
              <w:t>se refiere a cada uno de los miembros integrantes de un APCA, en caso de que el Contratista sea un APCA</w:t>
            </w:r>
            <w:r>
              <w:rPr>
                <w:rFonts w:ascii="Arial" w:hAnsi="Arial" w:cs="Arial"/>
                <w:sz w:val="22"/>
                <w:szCs w:val="22"/>
                <w:lang w:val="es-HN"/>
              </w:rPr>
              <w:t>.</w:t>
            </w:r>
          </w:p>
        </w:tc>
      </w:tr>
      <w:tr w:rsidR="00F7749D" w:rsidRPr="00D55B2B" w14:paraId="21D6385A" w14:textId="77777777" w:rsidTr="00D23A40">
        <w:trPr>
          <w:cantSplit/>
          <w:trHeight w:val="20"/>
          <w:jc w:val="center"/>
        </w:trPr>
        <w:tc>
          <w:tcPr>
            <w:tcW w:w="805" w:type="dxa"/>
            <w:tcBorders>
              <w:right w:val="nil"/>
            </w:tcBorders>
            <w:shd w:val="clear" w:color="auto" w:fill="auto"/>
          </w:tcPr>
          <w:p w14:paraId="50B4C584" w14:textId="77777777" w:rsidR="00F7749D" w:rsidRDefault="00F7749D" w:rsidP="00D23A40">
            <w:pPr>
              <w:pStyle w:val="Numeraciondeartculos"/>
              <w:framePr w:hSpace="0" w:wrap="auto" w:vAnchor="margin" w:hAnchor="text" w:xAlign="left" w:yAlign="inline"/>
              <w:numPr>
                <w:ilvl w:val="0"/>
                <w:numId w:val="0"/>
              </w:numPr>
              <w:ind w:left="216" w:hanging="216"/>
              <w:rPr>
                <w:rFonts w:cs="Arial"/>
                <w:sz w:val="22"/>
                <w:szCs w:val="22"/>
              </w:rPr>
            </w:pPr>
          </w:p>
          <w:p w14:paraId="420A2874" w14:textId="77777777" w:rsidR="00F7749D" w:rsidRPr="00D55B2B" w:rsidRDefault="00F7749D" w:rsidP="00D23A40">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1ABEB944" w14:textId="77777777" w:rsidR="00F7749D" w:rsidRPr="0050745A" w:rsidRDefault="00F7749D" w:rsidP="00F7749D">
            <w:pPr>
              <w:pStyle w:val="Prrafodelista"/>
              <w:numPr>
                <w:ilvl w:val="7"/>
                <w:numId w:val="45"/>
              </w:numPr>
              <w:spacing w:before="60" w:after="60"/>
              <w:ind w:left="330"/>
              <w:rPr>
                <w:rFonts w:ascii="Arial" w:hAnsi="Arial" w:cs="Arial"/>
                <w:b/>
                <w:bCs/>
                <w:sz w:val="22"/>
                <w:szCs w:val="22"/>
                <w:lang w:val="es-HN"/>
              </w:rPr>
            </w:pPr>
            <w:r w:rsidRPr="00D55B2B">
              <w:rPr>
                <w:rFonts w:ascii="Arial" w:hAnsi="Arial" w:cs="Arial"/>
                <w:b/>
                <w:bCs/>
                <w:sz w:val="22"/>
                <w:szCs w:val="22"/>
                <w:lang w:val="es-HN"/>
              </w:rPr>
              <w:t>Asociado responsable</w:t>
            </w:r>
            <w:r w:rsidRPr="0050745A">
              <w:rPr>
                <w:rFonts w:ascii="Arial" w:hAnsi="Arial" w:cs="Arial"/>
                <w:b/>
                <w:bCs/>
                <w:sz w:val="22"/>
                <w:szCs w:val="22"/>
                <w:lang w:val="es-HN"/>
              </w:rPr>
              <w:t xml:space="preserve"> </w:t>
            </w:r>
            <w:r w:rsidRPr="00BB0567">
              <w:rPr>
                <w:rFonts w:ascii="Arial" w:hAnsi="Arial" w:cs="Arial"/>
                <w:sz w:val="22"/>
                <w:szCs w:val="22"/>
                <w:lang w:val="es-HN"/>
              </w:rPr>
              <w:t xml:space="preserve">significa el integrante del APCA, indicado en la cláusula 7.1 las </w:t>
            </w:r>
            <w:r w:rsidRPr="00BB0567">
              <w:rPr>
                <w:rFonts w:ascii="Arial" w:hAnsi="Arial" w:cs="Arial"/>
                <w:b/>
                <w:bCs/>
                <w:sz w:val="22"/>
                <w:szCs w:val="22"/>
                <w:lang w:val="es-HN"/>
              </w:rPr>
              <w:t>CPC</w:t>
            </w:r>
            <w:r w:rsidRPr="00BB0567">
              <w:rPr>
                <w:rFonts w:ascii="Arial" w:hAnsi="Arial" w:cs="Arial"/>
                <w:sz w:val="22"/>
                <w:szCs w:val="22"/>
                <w:lang w:val="es-HN"/>
              </w:rPr>
              <w:t>, para actuar en nombre del APCA y ejercitar los derechos y obligaciones del Contratista para con el Contratante derivadas del Contrato.</w:t>
            </w:r>
          </w:p>
        </w:tc>
      </w:tr>
      <w:tr w:rsidR="00F7749D" w:rsidRPr="00D55B2B" w14:paraId="07F3FDDA" w14:textId="77777777" w:rsidTr="00D23A40">
        <w:trPr>
          <w:cantSplit/>
          <w:trHeight w:val="20"/>
          <w:jc w:val="center"/>
        </w:trPr>
        <w:tc>
          <w:tcPr>
            <w:tcW w:w="805" w:type="dxa"/>
            <w:tcBorders>
              <w:right w:val="nil"/>
            </w:tcBorders>
            <w:shd w:val="clear" w:color="auto" w:fill="auto"/>
          </w:tcPr>
          <w:p w14:paraId="323C9596" w14:textId="77777777" w:rsidR="00F7749D" w:rsidRPr="00D55B2B" w:rsidRDefault="00F7749D" w:rsidP="00D23A40">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59435A81"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Banco</w:t>
            </w:r>
            <w:r w:rsidRPr="00BB0567">
              <w:rPr>
                <w:rFonts w:ascii="Arial" w:hAnsi="Arial" w:cs="Arial"/>
                <w:sz w:val="22"/>
                <w:szCs w:val="22"/>
                <w:lang w:val="es-HN"/>
              </w:rPr>
              <w:t xml:space="preserve">: es el Banco Centroamericano de Integración Económica. </w:t>
            </w:r>
          </w:p>
        </w:tc>
      </w:tr>
      <w:tr w:rsidR="00F7749D" w:rsidRPr="00D55B2B" w14:paraId="2CCF1DFE" w14:textId="77777777" w:rsidTr="00D23A40">
        <w:trPr>
          <w:cantSplit/>
          <w:trHeight w:val="20"/>
          <w:jc w:val="center"/>
        </w:trPr>
        <w:tc>
          <w:tcPr>
            <w:tcW w:w="805" w:type="dxa"/>
            <w:tcBorders>
              <w:right w:val="nil"/>
            </w:tcBorders>
            <w:shd w:val="clear" w:color="auto" w:fill="auto"/>
          </w:tcPr>
          <w:p w14:paraId="365E58C1"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C7FC5AB"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Certificado de corrección de defectos</w:t>
            </w:r>
            <w:r w:rsidRPr="00BB0567">
              <w:rPr>
                <w:rFonts w:ascii="Arial" w:hAnsi="Arial" w:cs="Arial"/>
                <w:sz w:val="22"/>
                <w:szCs w:val="22"/>
                <w:lang w:val="es-HN"/>
              </w:rPr>
              <w:t>: es el certificado de aceptación emitido por el Gerente de Obras una vez que el Contratista ha corregido los defectos.</w:t>
            </w:r>
          </w:p>
        </w:tc>
      </w:tr>
      <w:tr w:rsidR="00F7749D" w:rsidRPr="00D55B2B" w14:paraId="4D4235E8" w14:textId="77777777" w:rsidTr="00D23A40">
        <w:trPr>
          <w:cantSplit/>
          <w:trHeight w:val="20"/>
          <w:jc w:val="center"/>
        </w:trPr>
        <w:tc>
          <w:tcPr>
            <w:tcW w:w="805" w:type="dxa"/>
            <w:tcBorders>
              <w:right w:val="nil"/>
            </w:tcBorders>
            <w:shd w:val="clear" w:color="auto" w:fill="auto"/>
          </w:tcPr>
          <w:p w14:paraId="20BE7031" w14:textId="77777777" w:rsidR="00F7749D" w:rsidRPr="00D55B2B" w:rsidRDefault="00F7749D" w:rsidP="00D23A40">
            <w:pPr>
              <w:pStyle w:val="Numeraciondeartculos"/>
              <w:framePr w:hSpace="0" w:wrap="auto" w:vAnchor="margin" w:hAnchor="text" w:xAlign="left" w:yAlign="inline"/>
              <w:numPr>
                <w:ilvl w:val="0"/>
                <w:numId w:val="0"/>
              </w:numPr>
              <w:ind w:left="216" w:hanging="216"/>
              <w:rPr>
                <w:rFonts w:cs="Arial"/>
                <w:sz w:val="22"/>
                <w:szCs w:val="22"/>
              </w:rPr>
            </w:pPr>
          </w:p>
        </w:tc>
        <w:tc>
          <w:tcPr>
            <w:tcW w:w="8550" w:type="dxa"/>
            <w:tcBorders>
              <w:left w:val="nil"/>
            </w:tcBorders>
            <w:shd w:val="clear" w:color="auto" w:fill="auto"/>
          </w:tcPr>
          <w:p w14:paraId="44E2D640"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00187B">
              <w:rPr>
                <w:rFonts w:ascii="Arial" w:hAnsi="Arial" w:cs="Arial"/>
                <w:b/>
                <w:bCs/>
                <w:sz w:val="22"/>
                <w:szCs w:val="22"/>
                <w:lang w:val="es-HN"/>
              </w:rPr>
              <w:t>Conciliador</w:t>
            </w:r>
            <w:r w:rsidRPr="0000187B">
              <w:rPr>
                <w:rFonts w:ascii="Arial" w:hAnsi="Arial" w:cs="Arial"/>
                <w:sz w:val="22"/>
                <w:szCs w:val="22"/>
                <w:lang w:val="es-HN"/>
              </w:rPr>
              <w:t>: Es un tercero imparcial y neutral, nombrado por las partes para coadyuvar en la resolución en primera instancia de cualquier controversia mediante un acuerdo conciliatorio, de conformidad con lo dispuesto en la cláusula 33 de las CPC.</w:t>
            </w:r>
          </w:p>
        </w:tc>
      </w:tr>
      <w:tr w:rsidR="00F7749D" w:rsidRPr="00D55B2B" w14:paraId="1D57A181" w14:textId="77777777" w:rsidTr="00D23A40">
        <w:trPr>
          <w:cantSplit/>
          <w:trHeight w:val="20"/>
          <w:jc w:val="center"/>
        </w:trPr>
        <w:tc>
          <w:tcPr>
            <w:tcW w:w="805" w:type="dxa"/>
            <w:tcBorders>
              <w:right w:val="nil"/>
            </w:tcBorders>
            <w:shd w:val="clear" w:color="auto" w:fill="auto"/>
          </w:tcPr>
          <w:p w14:paraId="001AEB43"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3C024FC"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Contratante</w:t>
            </w:r>
            <w:r w:rsidRPr="00BB0567">
              <w:rPr>
                <w:rFonts w:ascii="Arial" w:hAnsi="Arial" w:cs="Arial"/>
                <w:sz w:val="22"/>
                <w:szCs w:val="22"/>
                <w:lang w:val="es-HN"/>
              </w:rPr>
              <w:t xml:space="preserve">: es la entidad que contrata la ejecución de las Obras y que </w:t>
            </w:r>
            <w:r w:rsidRPr="00BB0567">
              <w:rPr>
                <w:rFonts w:ascii="Arial" w:hAnsi="Arial" w:cs="Arial"/>
                <w:b/>
                <w:bCs/>
                <w:sz w:val="22"/>
                <w:szCs w:val="22"/>
                <w:lang w:val="es-HN"/>
              </w:rPr>
              <w:t>se indica en las Condiciones Particulares del Contrato (CPC).</w:t>
            </w:r>
          </w:p>
        </w:tc>
      </w:tr>
      <w:tr w:rsidR="00F7749D" w:rsidRPr="00D55B2B" w14:paraId="3DAF0A8E" w14:textId="77777777" w:rsidTr="00D23A40">
        <w:trPr>
          <w:cantSplit/>
          <w:trHeight w:val="20"/>
          <w:jc w:val="center"/>
        </w:trPr>
        <w:tc>
          <w:tcPr>
            <w:tcW w:w="805" w:type="dxa"/>
            <w:tcBorders>
              <w:right w:val="nil"/>
            </w:tcBorders>
            <w:shd w:val="clear" w:color="auto" w:fill="auto"/>
          </w:tcPr>
          <w:p w14:paraId="45DB9E71"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55A20F5"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Contratista</w:t>
            </w:r>
            <w:r w:rsidRPr="00BB0567">
              <w:rPr>
                <w:rFonts w:ascii="Arial" w:hAnsi="Arial" w:cs="Arial"/>
                <w:sz w:val="22"/>
                <w:szCs w:val="22"/>
                <w:lang w:val="es-HN"/>
              </w:rPr>
              <w:t>: Persona natural o jurídica, pública o privada, cuya oferta para la ejecución de las Obras ha sido aceptada por el Contratante.</w:t>
            </w:r>
          </w:p>
        </w:tc>
      </w:tr>
      <w:tr w:rsidR="00F7749D" w:rsidRPr="00D55B2B" w14:paraId="3575D85B" w14:textId="77777777" w:rsidTr="00D23A40">
        <w:trPr>
          <w:cantSplit/>
          <w:trHeight w:val="20"/>
          <w:jc w:val="center"/>
        </w:trPr>
        <w:tc>
          <w:tcPr>
            <w:tcW w:w="805" w:type="dxa"/>
            <w:tcBorders>
              <w:right w:val="nil"/>
            </w:tcBorders>
            <w:shd w:val="clear" w:color="auto" w:fill="auto"/>
          </w:tcPr>
          <w:p w14:paraId="7F34C239"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60C0057"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Contrato</w:t>
            </w:r>
            <w:r w:rsidRPr="00BB0567">
              <w:rPr>
                <w:rFonts w:ascii="Arial" w:hAnsi="Arial" w:cs="Arial"/>
                <w:sz w:val="22"/>
                <w:szCs w:val="22"/>
                <w:lang w:val="es-HN"/>
              </w:rPr>
              <w:t xml:space="preserve">: Acuerdo celebrado entre el Contratante y el Contratista para ejecutar, terminar, reparar si fuese necesario, y mantener las Obras y que incluye los documentos enumerados en el contrato. </w:t>
            </w:r>
          </w:p>
        </w:tc>
      </w:tr>
      <w:tr w:rsidR="00F7749D" w:rsidRPr="00D55B2B" w14:paraId="62035ED1" w14:textId="77777777" w:rsidTr="00D23A40">
        <w:trPr>
          <w:cantSplit/>
          <w:trHeight w:val="20"/>
          <w:jc w:val="center"/>
        </w:trPr>
        <w:tc>
          <w:tcPr>
            <w:tcW w:w="805" w:type="dxa"/>
            <w:tcBorders>
              <w:right w:val="nil"/>
            </w:tcBorders>
            <w:shd w:val="clear" w:color="auto" w:fill="auto"/>
          </w:tcPr>
          <w:p w14:paraId="04F9F13B"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3A81391"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CGC</w:t>
            </w:r>
            <w:r w:rsidRPr="00BB0567">
              <w:rPr>
                <w:rFonts w:ascii="Arial" w:hAnsi="Arial" w:cs="Arial"/>
                <w:sz w:val="22"/>
                <w:szCs w:val="22"/>
                <w:lang w:val="es-HN"/>
              </w:rPr>
              <w:t>: significa las Condiciones Generales del Contrato.</w:t>
            </w:r>
          </w:p>
        </w:tc>
      </w:tr>
      <w:tr w:rsidR="00F7749D" w:rsidRPr="00D55B2B" w14:paraId="075DC786" w14:textId="77777777" w:rsidTr="00D23A40">
        <w:trPr>
          <w:cantSplit/>
          <w:trHeight w:val="20"/>
          <w:jc w:val="center"/>
        </w:trPr>
        <w:tc>
          <w:tcPr>
            <w:tcW w:w="805" w:type="dxa"/>
            <w:tcBorders>
              <w:right w:val="nil"/>
            </w:tcBorders>
            <w:shd w:val="clear" w:color="auto" w:fill="auto"/>
          </w:tcPr>
          <w:p w14:paraId="36595A28"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CE48F65"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CPC</w:t>
            </w:r>
            <w:r w:rsidRPr="00BB0567">
              <w:rPr>
                <w:rFonts w:ascii="Arial" w:hAnsi="Arial" w:cs="Arial"/>
                <w:sz w:val="22"/>
                <w:szCs w:val="22"/>
                <w:lang w:val="es-HN"/>
              </w:rPr>
              <w:t>:  significa las Condiciones Particulares del Contrato</w:t>
            </w:r>
          </w:p>
        </w:tc>
      </w:tr>
      <w:tr w:rsidR="00F7749D" w:rsidRPr="00D55B2B" w14:paraId="4A0DDCFB" w14:textId="77777777" w:rsidTr="00D23A40">
        <w:trPr>
          <w:cantSplit/>
          <w:trHeight w:val="20"/>
          <w:jc w:val="center"/>
        </w:trPr>
        <w:tc>
          <w:tcPr>
            <w:tcW w:w="805" w:type="dxa"/>
            <w:tcBorders>
              <w:right w:val="nil"/>
            </w:tcBorders>
            <w:shd w:val="clear" w:color="auto" w:fill="auto"/>
          </w:tcPr>
          <w:p w14:paraId="33BC0B24"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004250A"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Defecto</w:t>
            </w:r>
            <w:r w:rsidRPr="00BB0567">
              <w:rPr>
                <w:rFonts w:ascii="Arial" w:hAnsi="Arial" w:cs="Arial"/>
                <w:sz w:val="22"/>
                <w:szCs w:val="22"/>
                <w:lang w:val="es-HN"/>
              </w:rPr>
              <w:t>: Cualquier parte de la Obras que no haya sido terminada conforme al Contrato</w:t>
            </w:r>
          </w:p>
        </w:tc>
      </w:tr>
      <w:tr w:rsidR="00F7749D" w:rsidRPr="00D55B2B" w14:paraId="4AFD1A0C" w14:textId="77777777" w:rsidTr="00D23A40">
        <w:trPr>
          <w:cantSplit/>
          <w:trHeight w:val="20"/>
          <w:jc w:val="center"/>
        </w:trPr>
        <w:tc>
          <w:tcPr>
            <w:tcW w:w="805" w:type="dxa"/>
            <w:tcBorders>
              <w:right w:val="nil"/>
            </w:tcBorders>
            <w:shd w:val="clear" w:color="auto" w:fill="auto"/>
          </w:tcPr>
          <w:p w14:paraId="10E355B0"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C5B05DE"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Día</w:t>
            </w:r>
            <w:r w:rsidRPr="00BB0567">
              <w:rPr>
                <w:rFonts w:ascii="Arial" w:hAnsi="Arial" w:cs="Arial"/>
                <w:sz w:val="22"/>
                <w:szCs w:val="22"/>
                <w:lang w:val="es-HN"/>
              </w:rPr>
              <w:t xml:space="preserve">: se entenderá que los plazos expresados en días se refieren a días calendario; excepto cuando se especifique “días hábiles”. </w:t>
            </w:r>
          </w:p>
        </w:tc>
      </w:tr>
      <w:tr w:rsidR="00F7749D" w:rsidRPr="00D55B2B" w14:paraId="67D6EE40" w14:textId="77777777" w:rsidTr="00D23A40">
        <w:trPr>
          <w:cantSplit/>
          <w:trHeight w:val="20"/>
          <w:jc w:val="center"/>
        </w:trPr>
        <w:tc>
          <w:tcPr>
            <w:tcW w:w="805" w:type="dxa"/>
            <w:tcBorders>
              <w:right w:val="nil"/>
            </w:tcBorders>
            <w:shd w:val="clear" w:color="auto" w:fill="auto"/>
          </w:tcPr>
          <w:p w14:paraId="6ADD16B3"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EBCB0C9"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Equipos</w:t>
            </w:r>
            <w:r w:rsidRPr="00BB0567">
              <w:rPr>
                <w:rFonts w:ascii="Arial" w:hAnsi="Arial" w:cs="Arial"/>
                <w:sz w:val="22"/>
                <w:szCs w:val="22"/>
                <w:lang w:val="es-HN"/>
              </w:rPr>
              <w:t>: significa todo el equipo móvil, maquinaria, herramientas, artículos, y aparatos que sean propiedad o arrendados por el Contratista, excluyendo los materiales y los equipos que sean de instalación permanente, que han sido trasladados transitoriamente al Sitio de las Obras y son requeridos para la ejecución de las Obras.</w:t>
            </w:r>
          </w:p>
        </w:tc>
      </w:tr>
      <w:tr w:rsidR="00F7749D" w:rsidRPr="00D55B2B" w14:paraId="6E16367E" w14:textId="77777777" w:rsidTr="00D23A40">
        <w:trPr>
          <w:cantSplit/>
          <w:trHeight w:val="20"/>
          <w:jc w:val="center"/>
        </w:trPr>
        <w:tc>
          <w:tcPr>
            <w:tcW w:w="805" w:type="dxa"/>
            <w:tcBorders>
              <w:right w:val="nil"/>
            </w:tcBorders>
            <w:shd w:val="clear" w:color="auto" w:fill="auto"/>
          </w:tcPr>
          <w:p w14:paraId="3B7F0848"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36D95BD"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Especificaciones</w:t>
            </w:r>
            <w:r w:rsidRPr="00BB0567">
              <w:rPr>
                <w:rFonts w:ascii="Arial" w:hAnsi="Arial" w:cs="Arial"/>
                <w:sz w:val="22"/>
                <w:szCs w:val="22"/>
                <w:lang w:val="es-HN"/>
              </w:rPr>
              <w:t>: son las especificaciones técnicas de las Obras mencionadas en el Contrato, además de cualesquiera modificaciones o incorporaciones a dichos documentos que sean suministradas por el Gerente de Obras o presentadas por el Contratista y que hayan sido aprobadas por escrito por el Gerente de Obras, conforme a lo estipulado en el Contrato.</w:t>
            </w:r>
          </w:p>
        </w:tc>
      </w:tr>
      <w:tr w:rsidR="00F7749D" w:rsidRPr="00D55B2B" w14:paraId="552770B8" w14:textId="77777777" w:rsidTr="00D23A40">
        <w:trPr>
          <w:cantSplit/>
          <w:trHeight w:val="20"/>
          <w:jc w:val="center"/>
        </w:trPr>
        <w:tc>
          <w:tcPr>
            <w:tcW w:w="805" w:type="dxa"/>
            <w:tcBorders>
              <w:right w:val="nil"/>
            </w:tcBorders>
            <w:shd w:val="clear" w:color="auto" w:fill="auto"/>
          </w:tcPr>
          <w:p w14:paraId="653580DF"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09DEA04"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Eventos Compensables</w:t>
            </w:r>
            <w:r w:rsidRPr="00BB0567">
              <w:rPr>
                <w:rFonts w:ascii="Arial" w:hAnsi="Arial" w:cs="Arial"/>
                <w:sz w:val="22"/>
                <w:szCs w:val="22"/>
                <w:lang w:val="es-HN"/>
              </w:rPr>
              <w:t>: son los definidos en la cláusula 53 de estas CGC.</w:t>
            </w:r>
          </w:p>
        </w:tc>
      </w:tr>
      <w:tr w:rsidR="00F7749D" w:rsidRPr="00D55B2B" w14:paraId="3B3701B2" w14:textId="77777777" w:rsidTr="00D23A40">
        <w:trPr>
          <w:cantSplit/>
          <w:trHeight w:val="20"/>
          <w:jc w:val="center"/>
        </w:trPr>
        <w:tc>
          <w:tcPr>
            <w:tcW w:w="805" w:type="dxa"/>
            <w:tcBorders>
              <w:right w:val="nil"/>
            </w:tcBorders>
            <w:shd w:val="clear" w:color="auto" w:fill="auto"/>
          </w:tcPr>
          <w:p w14:paraId="651C37CE"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695C86F"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Fecha de Inicio</w:t>
            </w:r>
            <w:r w:rsidRPr="00BB0567">
              <w:rPr>
                <w:rFonts w:ascii="Arial" w:hAnsi="Arial" w:cs="Arial"/>
                <w:sz w:val="22"/>
                <w:szCs w:val="22"/>
                <w:lang w:val="es-HN"/>
              </w:rPr>
              <w:t xml:space="preserve">: es la fecha más tardía en la que el Contratista deberá empezar la ejecución de las Obras y que está </w:t>
            </w:r>
            <w:r w:rsidRPr="00BB0567">
              <w:rPr>
                <w:rFonts w:ascii="Arial" w:hAnsi="Arial" w:cs="Arial"/>
                <w:b/>
                <w:bCs/>
                <w:sz w:val="22"/>
                <w:szCs w:val="22"/>
                <w:lang w:val="es-HN"/>
              </w:rPr>
              <w:t>estipulada en las CPC</w:t>
            </w:r>
            <w:r w:rsidRPr="00BB0567">
              <w:rPr>
                <w:rFonts w:ascii="Arial" w:hAnsi="Arial" w:cs="Arial"/>
                <w:sz w:val="22"/>
                <w:szCs w:val="22"/>
                <w:lang w:val="es-HN"/>
              </w:rPr>
              <w:t>. No coincide necesariamente con alguna de las fechas de toma de posesión del Sitio de las Obras.</w:t>
            </w:r>
          </w:p>
        </w:tc>
      </w:tr>
      <w:tr w:rsidR="00F7749D" w:rsidRPr="00D55B2B" w14:paraId="6BFFA325" w14:textId="77777777" w:rsidTr="00D23A40">
        <w:trPr>
          <w:cantSplit/>
          <w:trHeight w:val="20"/>
          <w:jc w:val="center"/>
        </w:trPr>
        <w:tc>
          <w:tcPr>
            <w:tcW w:w="805" w:type="dxa"/>
            <w:tcBorders>
              <w:right w:val="nil"/>
            </w:tcBorders>
            <w:shd w:val="clear" w:color="auto" w:fill="auto"/>
          </w:tcPr>
          <w:p w14:paraId="4848EC6B"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0A2AE26"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Fecha de terminación</w:t>
            </w:r>
            <w:r w:rsidRPr="00BB0567">
              <w:rPr>
                <w:rFonts w:ascii="Arial" w:hAnsi="Arial" w:cs="Arial"/>
                <w:sz w:val="22"/>
                <w:szCs w:val="22"/>
                <w:lang w:val="es-HN"/>
              </w:rPr>
              <w:t>: es la fecha de terminación de las Obras certificada por el Gerente de Obras de acuerdo con la subcláusula 60.2 de estas CGC.</w:t>
            </w:r>
          </w:p>
        </w:tc>
      </w:tr>
      <w:tr w:rsidR="00F7749D" w:rsidRPr="00D55B2B" w14:paraId="5A23492B" w14:textId="77777777" w:rsidTr="00D23A40">
        <w:trPr>
          <w:cantSplit/>
          <w:trHeight w:val="20"/>
          <w:jc w:val="center"/>
        </w:trPr>
        <w:tc>
          <w:tcPr>
            <w:tcW w:w="805" w:type="dxa"/>
            <w:tcBorders>
              <w:right w:val="nil"/>
            </w:tcBorders>
            <w:shd w:val="clear" w:color="auto" w:fill="auto"/>
          </w:tcPr>
          <w:p w14:paraId="4922BD40"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4C30F00"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Plazo de ejecución y Fecha prevista de terminación</w:t>
            </w:r>
            <w:r w:rsidRPr="00BB0567">
              <w:rPr>
                <w:rFonts w:ascii="Arial" w:hAnsi="Arial" w:cs="Arial"/>
                <w:sz w:val="22"/>
                <w:szCs w:val="22"/>
                <w:lang w:val="es-HN"/>
              </w:rPr>
              <w:t>: es el plazo de ejecución del contrato y la fecha en que se prevé que el Contratista termine las Obras. Está especificada en las CPC y podrá ser modificada únicamente por el Gerente de Obras mediante una prórroga del plazo o una orden de acelerar los trabajos.</w:t>
            </w:r>
          </w:p>
        </w:tc>
      </w:tr>
      <w:tr w:rsidR="00F7749D" w:rsidRPr="00D55B2B" w14:paraId="747F59DC" w14:textId="77777777" w:rsidTr="00D23A40">
        <w:trPr>
          <w:cantSplit/>
          <w:trHeight w:val="20"/>
          <w:jc w:val="center"/>
        </w:trPr>
        <w:tc>
          <w:tcPr>
            <w:tcW w:w="805" w:type="dxa"/>
            <w:tcBorders>
              <w:right w:val="nil"/>
            </w:tcBorders>
            <w:shd w:val="clear" w:color="auto" w:fill="auto"/>
          </w:tcPr>
          <w:p w14:paraId="16BACC1E"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735580B"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Gerente de Obras</w:t>
            </w:r>
            <w:r w:rsidRPr="00BB0567">
              <w:rPr>
                <w:rFonts w:ascii="Arial" w:hAnsi="Arial" w:cs="Arial"/>
                <w:sz w:val="22"/>
                <w:szCs w:val="22"/>
                <w:lang w:val="es-HN"/>
              </w:rPr>
              <w:t xml:space="preserve">: es la persona cuyo nombre se </w:t>
            </w:r>
            <w:r w:rsidRPr="00BB0567">
              <w:rPr>
                <w:rFonts w:ascii="Arial" w:hAnsi="Arial" w:cs="Arial"/>
                <w:b/>
                <w:bCs/>
                <w:sz w:val="22"/>
                <w:szCs w:val="22"/>
                <w:lang w:val="es-HN"/>
              </w:rPr>
              <w:t>indica en las CPC</w:t>
            </w:r>
            <w:r w:rsidRPr="00BB0567">
              <w:rPr>
                <w:rFonts w:ascii="Arial" w:hAnsi="Arial" w:cs="Arial"/>
                <w:sz w:val="22"/>
                <w:szCs w:val="22"/>
                <w:lang w:val="es-HN"/>
              </w:rPr>
              <w:t xml:space="preserve"> (o cualquier otra persona competente nombrada por el Contratante con notificación al Contratista, para actuar en reemplazo del Gerente de Obras), responsable de supervisar la ejecución de las Obras y de administrar el Contrato.</w:t>
            </w:r>
          </w:p>
        </w:tc>
      </w:tr>
      <w:tr w:rsidR="00F7749D" w:rsidRPr="00D55B2B" w14:paraId="5874316A" w14:textId="77777777" w:rsidTr="00D23A40">
        <w:trPr>
          <w:cantSplit/>
          <w:trHeight w:val="20"/>
          <w:jc w:val="center"/>
        </w:trPr>
        <w:tc>
          <w:tcPr>
            <w:tcW w:w="805" w:type="dxa"/>
            <w:tcBorders>
              <w:right w:val="nil"/>
            </w:tcBorders>
            <w:shd w:val="clear" w:color="auto" w:fill="auto"/>
          </w:tcPr>
          <w:p w14:paraId="54A75225"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2072DC8"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Gobierno</w:t>
            </w:r>
            <w:r w:rsidRPr="00BB0567">
              <w:rPr>
                <w:rFonts w:ascii="Arial" w:hAnsi="Arial" w:cs="Arial"/>
                <w:sz w:val="22"/>
                <w:szCs w:val="22"/>
                <w:lang w:val="es-HN"/>
              </w:rPr>
              <w:t xml:space="preserve">: Se entiende el Gobierno </w:t>
            </w:r>
            <w:r>
              <w:rPr>
                <w:rFonts w:ascii="Arial" w:hAnsi="Arial" w:cs="Arial"/>
                <w:sz w:val="22"/>
                <w:szCs w:val="22"/>
                <w:lang w:val="es-HN"/>
              </w:rPr>
              <w:t>de la Republica de Nicaragua</w:t>
            </w:r>
          </w:p>
        </w:tc>
      </w:tr>
      <w:tr w:rsidR="00F7749D" w:rsidRPr="00D55B2B" w14:paraId="24A70D1A" w14:textId="77777777" w:rsidTr="00D23A40">
        <w:trPr>
          <w:cantSplit/>
          <w:trHeight w:val="20"/>
          <w:jc w:val="center"/>
        </w:trPr>
        <w:tc>
          <w:tcPr>
            <w:tcW w:w="805" w:type="dxa"/>
            <w:tcBorders>
              <w:right w:val="nil"/>
            </w:tcBorders>
            <w:shd w:val="clear" w:color="auto" w:fill="auto"/>
          </w:tcPr>
          <w:p w14:paraId="7C988E97"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3A323F4"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Informes de investigación del Sitio de las Obras</w:t>
            </w:r>
            <w:r w:rsidRPr="00BB0567">
              <w:rPr>
                <w:rFonts w:ascii="Arial" w:hAnsi="Arial" w:cs="Arial"/>
                <w:sz w:val="22"/>
                <w:szCs w:val="22"/>
                <w:lang w:val="es-HN"/>
              </w:rPr>
              <w:t>: son los informes incluidos en los documentos de licitación, de tipo interpretativo, basados en hechos, y que se refieren a las condiciones de la superficie y en el subsuelo del Sitio de las Obras.</w:t>
            </w:r>
          </w:p>
        </w:tc>
      </w:tr>
      <w:tr w:rsidR="00F7749D" w:rsidRPr="00D55B2B" w14:paraId="7AE4C3D9" w14:textId="77777777" w:rsidTr="00D23A40">
        <w:trPr>
          <w:cantSplit/>
          <w:trHeight w:val="20"/>
          <w:jc w:val="center"/>
        </w:trPr>
        <w:tc>
          <w:tcPr>
            <w:tcW w:w="805" w:type="dxa"/>
            <w:tcBorders>
              <w:right w:val="nil"/>
            </w:tcBorders>
            <w:shd w:val="clear" w:color="auto" w:fill="auto"/>
          </w:tcPr>
          <w:p w14:paraId="37AE6088"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7BA2330" w14:textId="77777777" w:rsidR="00F7749D" w:rsidRPr="00BB0567" w:rsidRDefault="00F7749D" w:rsidP="00F7749D">
            <w:pPr>
              <w:pStyle w:val="Prrafodelista"/>
              <w:numPr>
                <w:ilvl w:val="7"/>
                <w:numId w:val="45"/>
              </w:numPr>
              <w:spacing w:before="60" w:after="60"/>
              <w:ind w:left="342"/>
              <w:rPr>
                <w:rFonts w:ascii="Arial" w:hAnsi="Arial" w:cs="Arial"/>
                <w:sz w:val="22"/>
                <w:szCs w:val="22"/>
                <w:lang w:val="es-HN"/>
              </w:rPr>
            </w:pPr>
            <w:r w:rsidRPr="00BB0567">
              <w:rPr>
                <w:rFonts w:ascii="Arial" w:hAnsi="Arial" w:cs="Arial"/>
                <w:b/>
                <w:bCs/>
                <w:sz w:val="22"/>
                <w:szCs w:val="22"/>
                <w:lang w:val="es-HN"/>
              </w:rPr>
              <w:t>Legislación/Ley Aplicable</w:t>
            </w:r>
            <w:r w:rsidRPr="00BB0567">
              <w:rPr>
                <w:rFonts w:ascii="Arial" w:hAnsi="Arial" w:cs="Arial"/>
                <w:sz w:val="22"/>
                <w:szCs w:val="22"/>
                <w:lang w:val="es-HN"/>
              </w:rPr>
              <w:t>: Se entiende las leyes y otros instrumentos que tengan fuerza de ley conforme lo especificado en la cláusula 8 de las CGC, que se dicten y entren en vigor oportunamente.</w:t>
            </w:r>
          </w:p>
        </w:tc>
      </w:tr>
      <w:tr w:rsidR="00F7749D" w:rsidRPr="00D55B2B" w14:paraId="2E36F31E" w14:textId="77777777" w:rsidTr="00D23A40">
        <w:trPr>
          <w:cantSplit/>
          <w:trHeight w:val="20"/>
          <w:jc w:val="center"/>
        </w:trPr>
        <w:tc>
          <w:tcPr>
            <w:tcW w:w="805" w:type="dxa"/>
            <w:tcBorders>
              <w:right w:val="nil"/>
            </w:tcBorders>
            <w:shd w:val="clear" w:color="auto" w:fill="auto"/>
          </w:tcPr>
          <w:p w14:paraId="353A4CC0"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89F3167"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BB0567">
              <w:rPr>
                <w:rFonts w:ascii="Arial" w:hAnsi="Arial" w:cs="Arial"/>
                <w:b/>
                <w:bCs/>
                <w:sz w:val="22"/>
                <w:szCs w:val="22"/>
                <w:lang w:val="es-HN"/>
              </w:rPr>
              <w:t xml:space="preserve">Lista de cantidades con precios unitarios: </w:t>
            </w:r>
            <w:r w:rsidRPr="00BB0567">
              <w:rPr>
                <w:rFonts w:ascii="Arial" w:hAnsi="Arial" w:cs="Arial"/>
                <w:sz w:val="22"/>
                <w:szCs w:val="22"/>
                <w:lang w:val="es-HN"/>
              </w:rPr>
              <w:t xml:space="preserve">es el documento en el que el Contratista indica el costo de las Obras sobre la base de las cantidades estimadas de trabajo y los precios fijos unitarios que son aplicables a este. </w:t>
            </w:r>
          </w:p>
        </w:tc>
      </w:tr>
      <w:tr w:rsidR="00F7749D" w:rsidRPr="00D55B2B" w14:paraId="2C3B4BCB" w14:textId="77777777" w:rsidTr="00D23A40">
        <w:trPr>
          <w:cantSplit/>
          <w:trHeight w:val="20"/>
          <w:jc w:val="center"/>
        </w:trPr>
        <w:tc>
          <w:tcPr>
            <w:tcW w:w="805" w:type="dxa"/>
            <w:tcBorders>
              <w:right w:val="nil"/>
            </w:tcBorders>
            <w:shd w:val="clear" w:color="auto" w:fill="auto"/>
          </w:tcPr>
          <w:p w14:paraId="0D19904E"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28C1C1FA"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BB0567">
              <w:rPr>
                <w:rFonts w:ascii="Arial" w:hAnsi="Arial" w:cs="Arial"/>
                <w:b/>
                <w:bCs/>
                <w:sz w:val="22"/>
                <w:szCs w:val="22"/>
                <w:lang w:val="es-HN"/>
              </w:rPr>
              <w:t xml:space="preserve">Materiales: </w:t>
            </w:r>
            <w:r w:rsidRPr="00BB0567">
              <w:rPr>
                <w:rFonts w:ascii="Arial" w:hAnsi="Arial" w:cs="Arial"/>
                <w:sz w:val="22"/>
                <w:szCs w:val="22"/>
                <w:lang w:val="es-HN"/>
              </w:rPr>
              <w:t>son todos los suministros, inclusive bienes consumibles, utilizados por el Contratista para ser incorporados en las Obras.</w:t>
            </w:r>
          </w:p>
        </w:tc>
      </w:tr>
      <w:tr w:rsidR="00F7749D" w:rsidRPr="00D55B2B" w14:paraId="1C8FCC54" w14:textId="77777777" w:rsidTr="00D23A40">
        <w:trPr>
          <w:cantSplit/>
          <w:trHeight w:val="20"/>
          <w:jc w:val="center"/>
        </w:trPr>
        <w:tc>
          <w:tcPr>
            <w:tcW w:w="805" w:type="dxa"/>
            <w:tcBorders>
              <w:right w:val="nil"/>
            </w:tcBorders>
            <w:shd w:val="clear" w:color="auto" w:fill="auto"/>
          </w:tcPr>
          <w:p w14:paraId="79D77885"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A3774FC"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BB0567">
              <w:rPr>
                <w:rFonts w:ascii="Arial" w:hAnsi="Arial" w:cs="Arial"/>
                <w:b/>
                <w:bCs/>
                <w:sz w:val="22"/>
                <w:szCs w:val="22"/>
                <w:lang w:val="es-HN"/>
              </w:rPr>
              <w:t xml:space="preserve">Meses: </w:t>
            </w:r>
            <w:r w:rsidRPr="00BB0567">
              <w:rPr>
                <w:rFonts w:ascii="Arial" w:hAnsi="Arial" w:cs="Arial"/>
                <w:sz w:val="22"/>
                <w:szCs w:val="22"/>
                <w:lang w:val="es-HN"/>
              </w:rPr>
              <w:t>se entenderá que los plazos expresados en meses se refieren a meses calendario.</w:t>
            </w:r>
          </w:p>
        </w:tc>
      </w:tr>
      <w:tr w:rsidR="00F7749D" w:rsidRPr="00D55B2B" w14:paraId="1E301824" w14:textId="77777777" w:rsidTr="00D23A40">
        <w:trPr>
          <w:cantSplit/>
          <w:trHeight w:val="20"/>
          <w:jc w:val="center"/>
        </w:trPr>
        <w:tc>
          <w:tcPr>
            <w:tcW w:w="805" w:type="dxa"/>
            <w:tcBorders>
              <w:right w:val="nil"/>
            </w:tcBorders>
            <w:shd w:val="clear" w:color="auto" w:fill="auto"/>
          </w:tcPr>
          <w:p w14:paraId="539E71C1"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07EDEA5"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sz w:val="22"/>
                <w:szCs w:val="22"/>
              </w:rPr>
              <w:t>Moneda extranjera:</w:t>
            </w:r>
            <w:r w:rsidRPr="00D55B2B">
              <w:rPr>
                <w:rFonts w:ascii="Arial" w:hAnsi="Arial" w:cs="Arial"/>
                <w:sz w:val="22"/>
                <w:szCs w:val="22"/>
              </w:rPr>
              <w:t xml:space="preserve"> es cualquier moneda que no sea la del país del Contratante.</w:t>
            </w:r>
          </w:p>
        </w:tc>
      </w:tr>
      <w:tr w:rsidR="00F7749D" w:rsidRPr="00D55B2B" w14:paraId="52FB2D93" w14:textId="77777777" w:rsidTr="00D23A40">
        <w:trPr>
          <w:cantSplit/>
          <w:trHeight w:val="20"/>
          <w:jc w:val="center"/>
        </w:trPr>
        <w:tc>
          <w:tcPr>
            <w:tcW w:w="805" w:type="dxa"/>
            <w:tcBorders>
              <w:right w:val="nil"/>
            </w:tcBorders>
            <w:shd w:val="clear" w:color="auto" w:fill="auto"/>
          </w:tcPr>
          <w:p w14:paraId="361AD966"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F12E580"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sz w:val="22"/>
                <w:szCs w:val="22"/>
              </w:rPr>
              <w:t>Moneda nacional:</w:t>
            </w:r>
            <w:r w:rsidRPr="00D55B2B">
              <w:rPr>
                <w:rFonts w:ascii="Arial" w:hAnsi="Arial" w:cs="Arial"/>
                <w:sz w:val="22"/>
                <w:szCs w:val="22"/>
              </w:rPr>
              <w:t xml:space="preserve"> es la moneda del país del Contratante</w:t>
            </w:r>
            <w:r>
              <w:rPr>
                <w:rFonts w:ascii="Arial" w:hAnsi="Arial" w:cs="Arial"/>
                <w:sz w:val="22"/>
                <w:szCs w:val="22"/>
              </w:rPr>
              <w:t xml:space="preserve"> en este caso el Córdoba</w:t>
            </w:r>
            <w:r w:rsidRPr="00D55B2B">
              <w:rPr>
                <w:rFonts w:ascii="Arial" w:hAnsi="Arial" w:cs="Arial"/>
                <w:sz w:val="22"/>
                <w:szCs w:val="22"/>
              </w:rPr>
              <w:t>.</w:t>
            </w:r>
          </w:p>
        </w:tc>
      </w:tr>
      <w:tr w:rsidR="00F7749D" w:rsidRPr="00D55B2B" w14:paraId="0AC92278" w14:textId="77777777" w:rsidTr="00D23A40">
        <w:trPr>
          <w:cantSplit/>
          <w:trHeight w:val="20"/>
          <w:jc w:val="center"/>
        </w:trPr>
        <w:tc>
          <w:tcPr>
            <w:tcW w:w="805" w:type="dxa"/>
            <w:tcBorders>
              <w:right w:val="nil"/>
            </w:tcBorders>
            <w:shd w:val="clear" w:color="auto" w:fill="auto"/>
          </w:tcPr>
          <w:p w14:paraId="09104496"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023DC59"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noProof/>
                <w:sz w:val="22"/>
                <w:szCs w:val="22"/>
              </w:rPr>
              <w:t>Monto Aceptado del Contrato:</w:t>
            </w:r>
            <w:r w:rsidRPr="00D55B2B">
              <w:rPr>
                <w:rFonts w:ascii="Arial" w:hAnsi="Arial" w:cs="Arial"/>
                <w:noProof/>
                <w:sz w:val="22"/>
                <w:szCs w:val="22"/>
              </w:rPr>
              <w:t xml:space="preserve"> Monto aceptado en la Carta de Aceptación para la ejecución y terminación de las Obras contratadas y la corrección de cualquier defecto.</w:t>
            </w:r>
          </w:p>
        </w:tc>
      </w:tr>
      <w:tr w:rsidR="00F7749D" w:rsidRPr="00D55B2B" w14:paraId="076B797F" w14:textId="77777777" w:rsidTr="00D23A40">
        <w:trPr>
          <w:cantSplit/>
          <w:trHeight w:val="20"/>
          <w:jc w:val="center"/>
        </w:trPr>
        <w:tc>
          <w:tcPr>
            <w:tcW w:w="805" w:type="dxa"/>
            <w:tcBorders>
              <w:right w:val="nil"/>
            </w:tcBorders>
            <w:shd w:val="clear" w:color="auto" w:fill="auto"/>
          </w:tcPr>
          <w:p w14:paraId="613C0ACB"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776E63C"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Obligaciones ambientales, sociales y de seguridad y salud laboral</w:t>
            </w:r>
            <w:r w:rsidRPr="00D55B2B">
              <w:rPr>
                <w:rFonts w:ascii="Arial" w:hAnsi="Arial" w:cs="Arial"/>
                <w:sz w:val="22"/>
                <w:szCs w:val="22"/>
                <w:lang w:val="es-MX"/>
              </w:rPr>
              <w:t>: son los requisitos del país del Contratante en esos temas, los contenidos en las normas y políticas del Banco, así como en las Especificaciones.</w:t>
            </w:r>
          </w:p>
        </w:tc>
      </w:tr>
      <w:tr w:rsidR="00F7749D" w:rsidRPr="00D55B2B" w14:paraId="36059585" w14:textId="77777777" w:rsidTr="00D23A40">
        <w:trPr>
          <w:cantSplit/>
          <w:trHeight w:val="20"/>
          <w:jc w:val="center"/>
        </w:trPr>
        <w:tc>
          <w:tcPr>
            <w:tcW w:w="805" w:type="dxa"/>
            <w:tcBorders>
              <w:right w:val="nil"/>
            </w:tcBorders>
            <w:shd w:val="clear" w:color="auto" w:fill="auto"/>
          </w:tcPr>
          <w:p w14:paraId="4120AD9E"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DB14DE2"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rPr>
              <w:t>Obras:</w:t>
            </w:r>
            <w:r w:rsidRPr="00D55B2B">
              <w:rPr>
                <w:rFonts w:ascii="Arial" w:hAnsi="Arial" w:cs="Arial"/>
                <w:sz w:val="22"/>
                <w:szCs w:val="22"/>
              </w:rPr>
              <w:t xml:space="preserve"> </w:t>
            </w:r>
            <w:r w:rsidRPr="00D55B2B">
              <w:rPr>
                <w:rFonts w:ascii="Arial" w:hAnsi="Arial" w:cs="Arial"/>
                <w:sz w:val="22"/>
                <w:szCs w:val="22"/>
                <w:lang w:val="es-MX"/>
              </w:rPr>
              <w:t>son los trabajos que</w:t>
            </w:r>
            <w:r w:rsidRPr="00D55B2B">
              <w:rPr>
                <w:rFonts w:ascii="Arial" w:hAnsi="Arial" w:cs="Arial"/>
                <w:sz w:val="22"/>
                <w:szCs w:val="22"/>
              </w:rPr>
              <w:t xml:space="preserve"> el Contrato exige al Contratista construir, instalar y entregar al Contratante como se </w:t>
            </w:r>
            <w:r w:rsidRPr="00D55B2B">
              <w:rPr>
                <w:rFonts w:ascii="Arial" w:hAnsi="Arial" w:cs="Arial"/>
                <w:b/>
                <w:bCs/>
                <w:sz w:val="22"/>
                <w:szCs w:val="22"/>
              </w:rPr>
              <w:t>define en las</w:t>
            </w:r>
            <w:r w:rsidRPr="00D55B2B">
              <w:rPr>
                <w:rFonts w:ascii="Arial" w:hAnsi="Arial" w:cs="Arial"/>
                <w:sz w:val="22"/>
                <w:szCs w:val="22"/>
              </w:rPr>
              <w:t xml:space="preserve"> </w:t>
            </w:r>
            <w:r w:rsidRPr="00D55B2B">
              <w:rPr>
                <w:rFonts w:ascii="Arial" w:hAnsi="Arial" w:cs="Arial"/>
                <w:b/>
                <w:bCs/>
                <w:sz w:val="22"/>
                <w:szCs w:val="22"/>
              </w:rPr>
              <w:t>CPC.</w:t>
            </w:r>
          </w:p>
        </w:tc>
      </w:tr>
      <w:tr w:rsidR="00F7749D" w:rsidRPr="00D55B2B" w14:paraId="420E4E18" w14:textId="77777777" w:rsidTr="00D23A40">
        <w:trPr>
          <w:cantSplit/>
          <w:trHeight w:val="20"/>
          <w:jc w:val="center"/>
        </w:trPr>
        <w:tc>
          <w:tcPr>
            <w:tcW w:w="805" w:type="dxa"/>
            <w:tcBorders>
              <w:right w:val="nil"/>
            </w:tcBorders>
            <w:shd w:val="clear" w:color="auto" w:fill="auto"/>
          </w:tcPr>
          <w:p w14:paraId="0F45CE8F"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412031E"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Obras Provisionales:</w:t>
            </w:r>
            <w:r w:rsidRPr="00D55B2B">
              <w:rPr>
                <w:rFonts w:ascii="Arial" w:hAnsi="Arial" w:cs="Arial"/>
                <w:sz w:val="22"/>
                <w:szCs w:val="22"/>
                <w:lang w:val="es-MX"/>
              </w:rPr>
              <w:t xml:space="preserve"> son obras que el Contratista debe diseñar, construir, instalar y retirar e incluirán todos los ítems que se han de construir sin intención de que sean permanentes, pero que son necesarios para la construcción, montaje o instalación de las Obras.</w:t>
            </w:r>
          </w:p>
        </w:tc>
      </w:tr>
      <w:tr w:rsidR="00F7749D" w:rsidRPr="00D55B2B" w14:paraId="13AF6741" w14:textId="77777777" w:rsidTr="00D23A40">
        <w:trPr>
          <w:cantSplit/>
          <w:trHeight w:val="20"/>
          <w:jc w:val="center"/>
        </w:trPr>
        <w:tc>
          <w:tcPr>
            <w:tcW w:w="805" w:type="dxa"/>
            <w:tcBorders>
              <w:right w:val="nil"/>
            </w:tcBorders>
            <w:shd w:val="clear" w:color="auto" w:fill="auto"/>
          </w:tcPr>
          <w:p w14:paraId="39D6D166"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12C185D"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HN"/>
              </w:rPr>
              <w:t>País del Contratante:</w:t>
            </w:r>
            <w:r w:rsidRPr="00D55B2B">
              <w:rPr>
                <w:rFonts w:ascii="Arial" w:hAnsi="Arial" w:cs="Arial"/>
                <w:sz w:val="22"/>
                <w:szCs w:val="22"/>
                <w:lang w:val="es-HN"/>
              </w:rPr>
              <w:t xml:space="preserve"> </w:t>
            </w:r>
            <w:r w:rsidRPr="00D55B2B">
              <w:rPr>
                <w:rFonts w:ascii="Arial" w:hAnsi="Arial" w:cs="Arial"/>
                <w:sz w:val="22"/>
                <w:szCs w:val="22"/>
                <w:lang w:val="es-ES"/>
              </w:rPr>
              <w:t xml:space="preserve">es el país </w:t>
            </w:r>
            <w:r w:rsidRPr="00D55B2B">
              <w:rPr>
                <w:rFonts w:ascii="Arial" w:hAnsi="Arial" w:cs="Arial"/>
                <w:b/>
                <w:sz w:val="22"/>
                <w:szCs w:val="22"/>
                <w:lang w:val="es-ES"/>
              </w:rPr>
              <w:t>especificado en las CPC</w:t>
            </w:r>
            <w:r w:rsidRPr="00D55B2B">
              <w:rPr>
                <w:rFonts w:ascii="Arial" w:hAnsi="Arial" w:cs="Arial"/>
                <w:sz w:val="22"/>
                <w:szCs w:val="22"/>
                <w:lang w:val="es-ES"/>
              </w:rPr>
              <w:t>.</w:t>
            </w:r>
          </w:p>
        </w:tc>
      </w:tr>
      <w:tr w:rsidR="00F7749D" w:rsidRPr="00D55B2B" w14:paraId="258AB88A" w14:textId="77777777" w:rsidTr="00D23A40">
        <w:trPr>
          <w:cantSplit/>
          <w:trHeight w:val="20"/>
          <w:jc w:val="center"/>
        </w:trPr>
        <w:tc>
          <w:tcPr>
            <w:tcW w:w="805" w:type="dxa"/>
            <w:tcBorders>
              <w:right w:val="nil"/>
            </w:tcBorders>
            <w:shd w:val="clear" w:color="auto" w:fill="auto"/>
          </w:tcPr>
          <w:p w14:paraId="4B18D652"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2E2E57D"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Período de Responsabilidad por Defectos:</w:t>
            </w:r>
            <w:r w:rsidRPr="00D55B2B">
              <w:rPr>
                <w:rFonts w:ascii="Arial" w:hAnsi="Arial" w:cs="Arial"/>
                <w:sz w:val="22"/>
                <w:szCs w:val="22"/>
                <w:lang w:val="es-MX"/>
              </w:rPr>
              <w:t xml:space="preserve"> es el período estipulado en la subcláusula 43.1 de las CPC y calculado a partir de la Fecha de terminación.</w:t>
            </w:r>
          </w:p>
        </w:tc>
      </w:tr>
      <w:tr w:rsidR="00F7749D" w:rsidRPr="00D55B2B" w14:paraId="07F7C5BF" w14:textId="77777777" w:rsidTr="00D23A40">
        <w:trPr>
          <w:cantSplit/>
          <w:trHeight w:val="20"/>
          <w:jc w:val="center"/>
        </w:trPr>
        <w:tc>
          <w:tcPr>
            <w:tcW w:w="805" w:type="dxa"/>
            <w:tcBorders>
              <w:right w:val="nil"/>
            </w:tcBorders>
            <w:shd w:val="clear" w:color="auto" w:fill="auto"/>
          </w:tcPr>
          <w:p w14:paraId="55D64E96"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1991C323"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rPr>
              <w:t xml:space="preserve">Planos: </w:t>
            </w:r>
            <w:r w:rsidRPr="00D55B2B">
              <w:rPr>
                <w:rFonts w:ascii="Arial" w:hAnsi="Arial" w:cs="Arial"/>
                <w:sz w:val="22"/>
                <w:szCs w:val="22"/>
              </w:rPr>
              <w:t xml:space="preserve"> son documentos gráficos, incluidos en el Contrato, que definen el trabajo a realizar, y cualquier otro plano adicional o modificado emitido por el Contratante (o en su nombre), de acuerdo con lo establecido en el Contrato, incluidos los cálculos y otra información proporcionada o aprobada por el Gerente de Obras para la ejecución del Contrato.</w:t>
            </w:r>
          </w:p>
        </w:tc>
      </w:tr>
      <w:tr w:rsidR="00F7749D" w:rsidRPr="00D55B2B" w14:paraId="1ADF083C" w14:textId="77777777" w:rsidTr="00D23A40">
        <w:trPr>
          <w:cantSplit/>
          <w:trHeight w:val="20"/>
          <w:jc w:val="center"/>
        </w:trPr>
        <w:tc>
          <w:tcPr>
            <w:tcW w:w="805" w:type="dxa"/>
            <w:tcBorders>
              <w:right w:val="nil"/>
            </w:tcBorders>
            <w:shd w:val="clear" w:color="auto" w:fill="auto"/>
          </w:tcPr>
          <w:p w14:paraId="4769F46C"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6D2AA60"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Planta:</w:t>
            </w:r>
            <w:r w:rsidRPr="00D55B2B">
              <w:rPr>
                <w:rFonts w:ascii="Arial" w:hAnsi="Arial" w:cs="Arial"/>
                <w:sz w:val="22"/>
                <w:szCs w:val="22"/>
                <w:lang w:val="es-MX"/>
              </w:rPr>
              <w:t xml:space="preserve"> es cualquier parte integral de las Obras que tenga una función mecánica, eléctrica, química o biológica.</w:t>
            </w:r>
          </w:p>
        </w:tc>
      </w:tr>
      <w:tr w:rsidR="00F7749D" w:rsidRPr="00D55B2B" w14:paraId="3B37F6ED" w14:textId="77777777" w:rsidTr="00D23A40">
        <w:trPr>
          <w:cantSplit/>
          <w:trHeight w:val="20"/>
          <w:jc w:val="center"/>
        </w:trPr>
        <w:tc>
          <w:tcPr>
            <w:tcW w:w="805" w:type="dxa"/>
            <w:tcBorders>
              <w:right w:val="nil"/>
            </w:tcBorders>
            <w:shd w:val="clear" w:color="auto" w:fill="auto"/>
          </w:tcPr>
          <w:p w14:paraId="794B93BA"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636F2DAB"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Precio del Contrato</w:t>
            </w:r>
            <w:r w:rsidRPr="00D55B2B">
              <w:rPr>
                <w:rFonts w:ascii="Arial" w:hAnsi="Arial" w:cs="Arial"/>
                <w:sz w:val="22"/>
                <w:szCs w:val="22"/>
                <w:lang w:val="es-MX"/>
              </w:rPr>
              <w:t>: es el precio establecido en la Carta de Aceptación y subsecuentemente, según sea ajustado de conformidad con las disposiciones del Contrato.</w:t>
            </w:r>
          </w:p>
        </w:tc>
      </w:tr>
      <w:tr w:rsidR="00F7749D" w:rsidRPr="00D55B2B" w14:paraId="32ECEBCF" w14:textId="77777777" w:rsidTr="00D23A40">
        <w:trPr>
          <w:cantSplit/>
          <w:trHeight w:val="20"/>
          <w:jc w:val="center"/>
        </w:trPr>
        <w:tc>
          <w:tcPr>
            <w:tcW w:w="805" w:type="dxa"/>
            <w:tcBorders>
              <w:right w:val="nil"/>
            </w:tcBorders>
            <w:shd w:val="clear" w:color="auto" w:fill="auto"/>
          </w:tcPr>
          <w:p w14:paraId="6D08BAF6"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02F9598B"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Precio inicial del Contrato:</w:t>
            </w:r>
            <w:r w:rsidRPr="00D55B2B">
              <w:rPr>
                <w:rFonts w:ascii="Arial" w:hAnsi="Arial" w:cs="Arial"/>
                <w:sz w:val="22"/>
                <w:szCs w:val="22"/>
                <w:lang w:val="es-MX"/>
              </w:rPr>
              <w:t xml:space="preserve"> es el Precio del Contrato indicado en la Carta de Aceptación del Contratante.</w:t>
            </w:r>
          </w:p>
        </w:tc>
      </w:tr>
      <w:tr w:rsidR="00F7749D" w:rsidRPr="00D55B2B" w14:paraId="3F2394E9" w14:textId="77777777" w:rsidTr="00D23A40">
        <w:trPr>
          <w:cantSplit/>
          <w:trHeight w:val="20"/>
          <w:jc w:val="center"/>
        </w:trPr>
        <w:tc>
          <w:tcPr>
            <w:tcW w:w="805" w:type="dxa"/>
            <w:tcBorders>
              <w:right w:val="nil"/>
            </w:tcBorders>
            <w:shd w:val="clear" w:color="auto" w:fill="auto"/>
          </w:tcPr>
          <w:p w14:paraId="461F3486"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62EDEBC"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Precios unitarios</w:t>
            </w:r>
            <w:r w:rsidRPr="00D55B2B">
              <w:rPr>
                <w:rFonts w:ascii="Arial" w:hAnsi="Arial" w:cs="Arial"/>
                <w:sz w:val="22"/>
                <w:szCs w:val="22"/>
                <w:lang w:val="es-MX"/>
              </w:rPr>
              <w:t>: es el precio por unidad de medida de cada actividad, concepto o partida que conforman el proyecto de obra integrado considerando los elementos de costos directos, costos indirectos, costo por financiamiento, cargo por la utilidad y cargos adicionales.</w:t>
            </w:r>
          </w:p>
        </w:tc>
      </w:tr>
      <w:tr w:rsidR="00F7749D" w:rsidRPr="00D55B2B" w14:paraId="76CAD16C" w14:textId="77777777" w:rsidTr="00D23A40">
        <w:trPr>
          <w:cantSplit/>
          <w:trHeight w:val="20"/>
          <w:jc w:val="center"/>
        </w:trPr>
        <w:tc>
          <w:tcPr>
            <w:tcW w:w="805" w:type="dxa"/>
            <w:tcBorders>
              <w:right w:val="nil"/>
            </w:tcBorders>
            <w:shd w:val="clear" w:color="auto" w:fill="auto"/>
          </w:tcPr>
          <w:p w14:paraId="5314747A"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2C5513F"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sz w:val="22"/>
                <w:szCs w:val="22"/>
              </w:rPr>
              <w:t>Prestatario/Beneficiario:</w:t>
            </w:r>
            <w:r w:rsidRPr="00D55B2B">
              <w:rPr>
                <w:rFonts w:ascii="Arial" w:hAnsi="Arial" w:cs="Arial"/>
                <w:sz w:val="22"/>
                <w:szCs w:val="22"/>
              </w:rPr>
              <w:t xml:space="preserve"> persona jurídica pública, </w:t>
            </w:r>
            <w:r w:rsidRPr="00D55B2B">
              <w:rPr>
                <w:rFonts w:ascii="Arial" w:hAnsi="Arial" w:cs="Arial"/>
                <w:b/>
                <w:bCs/>
                <w:sz w:val="22"/>
                <w:szCs w:val="22"/>
              </w:rPr>
              <w:t>indicada en las CPC,</w:t>
            </w:r>
            <w:r w:rsidRPr="00D55B2B">
              <w:rPr>
                <w:rFonts w:ascii="Arial" w:hAnsi="Arial" w:cs="Arial"/>
                <w:sz w:val="22"/>
                <w:szCs w:val="22"/>
              </w:rPr>
              <w:t xml:space="preserve"> que ha suscrito un contrato o convenio para el financiamiento de una operación con el Banco y que generalmente nombra un organismo ejecutor para su ejecución.</w:t>
            </w:r>
          </w:p>
        </w:tc>
      </w:tr>
      <w:tr w:rsidR="00F7749D" w:rsidRPr="00D55B2B" w14:paraId="193C77A8" w14:textId="77777777" w:rsidTr="00D23A40">
        <w:trPr>
          <w:cantSplit/>
          <w:trHeight w:val="20"/>
          <w:jc w:val="center"/>
        </w:trPr>
        <w:tc>
          <w:tcPr>
            <w:tcW w:w="805" w:type="dxa"/>
            <w:tcBorders>
              <w:right w:val="nil"/>
            </w:tcBorders>
            <w:shd w:val="clear" w:color="auto" w:fill="auto"/>
          </w:tcPr>
          <w:p w14:paraId="5DD11FE2"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AC1007C"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rPr>
              <w:t xml:space="preserve">Sitio de las Obras: </w:t>
            </w:r>
            <w:r w:rsidRPr="00D55B2B">
              <w:rPr>
                <w:rFonts w:ascii="Arial" w:hAnsi="Arial" w:cs="Arial"/>
                <w:sz w:val="22"/>
                <w:szCs w:val="22"/>
              </w:rPr>
              <w:t xml:space="preserve"> es el terreno y otros lugares sobre, debajo de, en o a través de los cuales se construirá(n) la Obra y las Obras Provisionales y </w:t>
            </w:r>
            <w:r w:rsidRPr="00D55B2B">
              <w:rPr>
                <w:rFonts w:ascii="Arial" w:hAnsi="Arial" w:cs="Arial"/>
                <w:b/>
                <w:bCs/>
                <w:sz w:val="22"/>
                <w:szCs w:val="22"/>
              </w:rPr>
              <w:t>definido como tal en las</w:t>
            </w:r>
            <w:r w:rsidRPr="00D55B2B">
              <w:rPr>
                <w:rFonts w:ascii="Arial" w:hAnsi="Arial" w:cs="Arial"/>
                <w:sz w:val="22"/>
                <w:szCs w:val="22"/>
              </w:rPr>
              <w:t xml:space="preserve"> </w:t>
            </w:r>
            <w:r w:rsidRPr="00D55B2B">
              <w:rPr>
                <w:rFonts w:ascii="Arial" w:hAnsi="Arial" w:cs="Arial"/>
                <w:b/>
                <w:bCs/>
                <w:sz w:val="22"/>
                <w:szCs w:val="22"/>
              </w:rPr>
              <w:t>CPC.</w:t>
            </w:r>
          </w:p>
        </w:tc>
      </w:tr>
      <w:tr w:rsidR="00F7749D" w:rsidRPr="00D55B2B" w14:paraId="15F665C3" w14:textId="77777777" w:rsidTr="00D23A40">
        <w:trPr>
          <w:cantSplit/>
          <w:trHeight w:val="20"/>
          <w:jc w:val="center"/>
        </w:trPr>
        <w:tc>
          <w:tcPr>
            <w:tcW w:w="805" w:type="dxa"/>
            <w:tcBorders>
              <w:right w:val="nil"/>
            </w:tcBorders>
            <w:shd w:val="clear" w:color="auto" w:fill="auto"/>
          </w:tcPr>
          <w:p w14:paraId="3FC71D02"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4B09950"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rPr>
              <w:t>Subcontratista</w:t>
            </w:r>
            <w:r w:rsidRPr="00D55B2B">
              <w:rPr>
                <w:rFonts w:ascii="Arial" w:hAnsi="Arial" w:cs="Arial"/>
                <w:sz w:val="22"/>
                <w:szCs w:val="22"/>
              </w:rPr>
              <w:t xml:space="preserve">: se refiere a cualquier persona natural o jurídica, con quienes el Contratista ha subcontratado la ejecución de cualquier parte de las Obras, </w:t>
            </w:r>
            <w:r w:rsidRPr="00D55B2B">
              <w:rPr>
                <w:rFonts w:ascii="Arial" w:hAnsi="Arial" w:cs="Arial"/>
                <w:sz w:val="22"/>
                <w:szCs w:val="22"/>
                <w:lang w:val="es-MX"/>
              </w:rPr>
              <w:t>y que incluye trabajos en el Sitio de las Obras.</w:t>
            </w:r>
          </w:p>
        </w:tc>
      </w:tr>
      <w:tr w:rsidR="00F7749D" w:rsidRPr="00D55B2B" w14:paraId="7D3D1E7B" w14:textId="77777777" w:rsidTr="00D23A40">
        <w:trPr>
          <w:cantSplit/>
          <w:trHeight w:val="20"/>
          <w:jc w:val="center"/>
        </w:trPr>
        <w:tc>
          <w:tcPr>
            <w:tcW w:w="805" w:type="dxa"/>
            <w:tcBorders>
              <w:right w:val="nil"/>
            </w:tcBorders>
            <w:shd w:val="clear" w:color="auto" w:fill="auto"/>
          </w:tcPr>
          <w:p w14:paraId="28AA9932"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33C3E536"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00187B">
              <w:rPr>
                <w:rFonts w:ascii="Arial" w:hAnsi="Arial" w:cs="Arial"/>
                <w:b/>
                <w:bCs/>
                <w:sz w:val="22"/>
                <w:szCs w:val="22"/>
                <w:lang w:val="es-MX"/>
              </w:rPr>
              <w:t>Superintendente de construcción:</w:t>
            </w:r>
            <w:r w:rsidRPr="00D55B2B">
              <w:rPr>
                <w:rFonts w:ascii="Arial" w:hAnsi="Arial" w:cs="Arial"/>
                <w:b/>
                <w:bCs/>
                <w:sz w:val="22"/>
                <w:szCs w:val="22"/>
                <w:lang w:val="es-MX"/>
              </w:rPr>
              <w:t xml:space="preserve"> </w:t>
            </w:r>
            <w:r w:rsidRPr="00D55B2B">
              <w:rPr>
                <w:rFonts w:ascii="Arial" w:hAnsi="Arial" w:cs="Arial"/>
                <w:sz w:val="22"/>
                <w:szCs w:val="22"/>
                <w:lang w:val="es-MX"/>
              </w:rPr>
              <w:t xml:space="preserve">es la persona nombrada por el Contratista, de conformidad con la cláusula 14 de las CGC, cuyo nombre </w:t>
            </w:r>
            <w:r w:rsidRPr="00D55B2B">
              <w:rPr>
                <w:rFonts w:ascii="Arial" w:hAnsi="Arial" w:cs="Arial"/>
                <w:b/>
                <w:bCs/>
                <w:sz w:val="22"/>
                <w:szCs w:val="22"/>
                <w:lang w:val="es-MX"/>
              </w:rPr>
              <w:t>se indica en las CPC</w:t>
            </w:r>
            <w:r w:rsidRPr="00D55B2B">
              <w:rPr>
                <w:rFonts w:ascii="Arial" w:hAnsi="Arial" w:cs="Arial"/>
                <w:sz w:val="22"/>
                <w:szCs w:val="22"/>
                <w:lang w:val="es-MX"/>
              </w:rPr>
              <w:t xml:space="preserve"> y que será el representante permanente del Contratista en el Sitio de las Obras para actuar en nombre y representación del Contratista y para recibir notificaciones del Contratante.</w:t>
            </w:r>
          </w:p>
        </w:tc>
      </w:tr>
      <w:tr w:rsidR="00F7749D" w:rsidRPr="00D55B2B" w14:paraId="3EEF9502" w14:textId="77777777" w:rsidTr="00D23A40">
        <w:trPr>
          <w:cantSplit/>
          <w:trHeight w:val="20"/>
          <w:jc w:val="center"/>
        </w:trPr>
        <w:tc>
          <w:tcPr>
            <w:tcW w:w="805" w:type="dxa"/>
            <w:tcBorders>
              <w:right w:val="nil"/>
            </w:tcBorders>
            <w:shd w:val="clear" w:color="auto" w:fill="auto"/>
          </w:tcPr>
          <w:p w14:paraId="2CC75B08"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76FC0F9B"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 xml:space="preserve">Tercero: </w:t>
            </w:r>
            <w:r w:rsidRPr="00D55B2B">
              <w:rPr>
                <w:rFonts w:ascii="Arial" w:hAnsi="Arial" w:cs="Arial"/>
                <w:bCs/>
                <w:sz w:val="22"/>
                <w:szCs w:val="22"/>
                <w:lang w:val="es-MX"/>
              </w:rPr>
              <w:t>se entiende cualquier persona o entidad que no sea el Prestatario/Beneficiario, el Contratante, el Contratista o un Subcontratista.</w:t>
            </w:r>
          </w:p>
        </w:tc>
      </w:tr>
      <w:tr w:rsidR="00F7749D" w:rsidRPr="00D55B2B" w14:paraId="40E884DB" w14:textId="77777777" w:rsidTr="00D23A40">
        <w:trPr>
          <w:cantSplit/>
          <w:trHeight w:val="20"/>
          <w:jc w:val="center"/>
        </w:trPr>
        <w:tc>
          <w:tcPr>
            <w:tcW w:w="805" w:type="dxa"/>
            <w:tcBorders>
              <w:right w:val="nil"/>
            </w:tcBorders>
            <w:shd w:val="clear" w:color="auto" w:fill="auto"/>
          </w:tcPr>
          <w:p w14:paraId="0834568E"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AE93D7B"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Trabajos por administración:</w:t>
            </w:r>
            <w:r w:rsidRPr="00D55B2B">
              <w:rPr>
                <w:rFonts w:ascii="Arial" w:hAnsi="Arial" w:cs="Arial"/>
                <w:sz w:val="22"/>
                <w:szCs w:val="22"/>
                <w:lang w:val="es-MX"/>
              </w:rPr>
              <w:t xml:space="preserve"> son una variedad de trabajos que se pagan en base al tiempo utilizado por los empleados y los equipos del Contratista, además de los pagos por concepto de los materiales y los bienes de planta conexos.</w:t>
            </w:r>
          </w:p>
        </w:tc>
      </w:tr>
      <w:tr w:rsidR="00F7749D" w:rsidRPr="00D55B2B" w14:paraId="5FC2F788" w14:textId="77777777" w:rsidTr="00D23A40">
        <w:trPr>
          <w:cantSplit/>
          <w:trHeight w:val="20"/>
          <w:jc w:val="center"/>
        </w:trPr>
        <w:tc>
          <w:tcPr>
            <w:tcW w:w="805" w:type="dxa"/>
            <w:tcBorders>
              <w:right w:val="nil"/>
            </w:tcBorders>
            <w:shd w:val="clear" w:color="auto" w:fill="auto"/>
          </w:tcPr>
          <w:p w14:paraId="333D91FD"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5C1654E0"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Variación:</w:t>
            </w:r>
            <w:r w:rsidRPr="00D55B2B">
              <w:rPr>
                <w:rFonts w:ascii="Arial" w:hAnsi="Arial" w:cs="Arial"/>
                <w:sz w:val="22"/>
                <w:szCs w:val="22"/>
                <w:lang w:val="es-MX"/>
              </w:rPr>
              <w:t xml:space="preserve"> es una instrucción impartida por el Gerente de Obras que modifica las Obras.</w:t>
            </w:r>
          </w:p>
        </w:tc>
      </w:tr>
      <w:tr w:rsidR="00F7749D" w:rsidRPr="00D55B2B" w14:paraId="2C4AA62F" w14:textId="77777777" w:rsidTr="00D23A40">
        <w:trPr>
          <w:cantSplit/>
          <w:trHeight w:val="20"/>
          <w:jc w:val="center"/>
        </w:trPr>
        <w:tc>
          <w:tcPr>
            <w:tcW w:w="805" w:type="dxa"/>
            <w:tcBorders>
              <w:right w:val="nil"/>
            </w:tcBorders>
            <w:shd w:val="clear" w:color="auto" w:fill="auto"/>
          </w:tcPr>
          <w:p w14:paraId="559EF44C" w14:textId="77777777" w:rsidR="00F7749D" w:rsidRPr="00D55B2B" w:rsidRDefault="00F7749D" w:rsidP="00D23A40">
            <w:pPr>
              <w:pStyle w:val="Numeraciondeartculos"/>
              <w:framePr w:hSpace="0" w:wrap="auto" w:vAnchor="margin" w:hAnchor="text" w:xAlign="left" w:yAlign="inline"/>
              <w:numPr>
                <w:ilvl w:val="0"/>
                <w:numId w:val="0"/>
              </w:numPr>
              <w:rPr>
                <w:rFonts w:cs="Arial"/>
                <w:sz w:val="22"/>
                <w:szCs w:val="22"/>
              </w:rPr>
            </w:pPr>
          </w:p>
        </w:tc>
        <w:tc>
          <w:tcPr>
            <w:tcW w:w="8550" w:type="dxa"/>
            <w:tcBorders>
              <w:left w:val="nil"/>
            </w:tcBorders>
            <w:shd w:val="clear" w:color="auto" w:fill="auto"/>
          </w:tcPr>
          <w:p w14:paraId="4E0EE3EC" w14:textId="77777777" w:rsidR="00F7749D" w:rsidRPr="00BB0567" w:rsidRDefault="00F7749D" w:rsidP="00F7749D">
            <w:pPr>
              <w:pStyle w:val="Prrafodelista"/>
              <w:numPr>
                <w:ilvl w:val="7"/>
                <w:numId w:val="45"/>
              </w:numPr>
              <w:spacing w:before="60" w:after="60"/>
              <w:ind w:left="342"/>
              <w:rPr>
                <w:rFonts w:ascii="Arial" w:hAnsi="Arial" w:cs="Arial"/>
                <w:b/>
                <w:bCs/>
                <w:sz w:val="22"/>
                <w:szCs w:val="22"/>
                <w:lang w:val="es-HN"/>
              </w:rPr>
            </w:pPr>
            <w:r w:rsidRPr="00D55B2B">
              <w:rPr>
                <w:rFonts w:ascii="Arial" w:hAnsi="Arial" w:cs="Arial"/>
                <w:b/>
                <w:bCs/>
                <w:sz w:val="22"/>
                <w:szCs w:val="22"/>
                <w:lang w:val="es-MX"/>
              </w:rPr>
              <w:t xml:space="preserve">Vicios ocultos: </w:t>
            </w:r>
            <w:r w:rsidRPr="00D55B2B">
              <w:rPr>
                <w:rFonts w:ascii="Arial" w:hAnsi="Arial" w:cs="Arial"/>
                <w:sz w:val="22"/>
                <w:szCs w:val="22"/>
                <w:lang w:val="es-MX"/>
              </w:rPr>
              <w:t xml:space="preserve">defectos constructivos o errores en el proyecto de las Obras a los que se refiere la cláusula 67 de las CGC que no pudieron ser detectados durante la ejecución y recepción de las Obras y que se hacen evidentes en fechas posteriores a la emisión del </w:t>
            </w:r>
            <w:r>
              <w:rPr>
                <w:rFonts w:ascii="Arial" w:hAnsi="Arial" w:cs="Arial"/>
                <w:sz w:val="22"/>
                <w:szCs w:val="22"/>
                <w:lang w:val="es-MX"/>
              </w:rPr>
              <w:t>Garantía de Vicios Ocultos</w:t>
            </w:r>
            <w:r w:rsidRPr="00D55B2B">
              <w:rPr>
                <w:rFonts w:ascii="Arial" w:hAnsi="Arial" w:cs="Arial"/>
                <w:sz w:val="22"/>
                <w:szCs w:val="22"/>
                <w:lang w:val="es-MX"/>
              </w:rPr>
              <w:t xml:space="preserve"> de defectos y de terminación de las Obras.</w:t>
            </w:r>
          </w:p>
        </w:tc>
      </w:tr>
      <w:tr w:rsidR="00F7749D" w:rsidRPr="00D55B2B" w14:paraId="61CB65C2" w14:textId="77777777" w:rsidTr="00D23A40">
        <w:trPr>
          <w:cantSplit/>
          <w:trHeight w:val="423"/>
          <w:jc w:val="center"/>
        </w:trPr>
        <w:tc>
          <w:tcPr>
            <w:tcW w:w="805" w:type="dxa"/>
            <w:tcBorders>
              <w:right w:val="nil"/>
            </w:tcBorders>
            <w:shd w:val="clear" w:color="auto" w:fill="auto"/>
          </w:tcPr>
          <w:p w14:paraId="46D61D8F"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1F38D18A" w14:textId="77777777" w:rsidR="00F7749D" w:rsidRPr="009B3159" w:rsidRDefault="00F7749D" w:rsidP="00D23A40">
            <w:pPr>
              <w:spacing w:before="60" w:after="60"/>
              <w:rPr>
                <w:rFonts w:ascii="Arial" w:hAnsi="Arial" w:cs="Arial"/>
                <w:b/>
                <w:bCs/>
                <w:sz w:val="22"/>
                <w:szCs w:val="22"/>
                <w:lang w:val="es-MX"/>
              </w:rPr>
            </w:pPr>
            <w:r w:rsidRPr="009B3159">
              <w:rPr>
                <w:rFonts w:ascii="Arial" w:hAnsi="Arial" w:cs="Arial"/>
                <w:b/>
                <w:bCs/>
                <w:sz w:val="22"/>
                <w:szCs w:val="22"/>
                <w:lang w:val="es-MX"/>
              </w:rPr>
              <w:t>Interpretación</w:t>
            </w:r>
          </w:p>
        </w:tc>
      </w:tr>
      <w:tr w:rsidR="00F7749D" w:rsidRPr="00D55B2B" w14:paraId="19983411" w14:textId="77777777" w:rsidTr="00D23A40">
        <w:trPr>
          <w:cantSplit/>
          <w:trHeight w:val="423"/>
          <w:jc w:val="center"/>
        </w:trPr>
        <w:tc>
          <w:tcPr>
            <w:tcW w:w="805" w:type="dxa"/>
            <w:tcBorders>
              <w:right w:val="nil"/>
            </w:tcBorders>
            <w:shd w:val="clear" w:color="auto" w:fill="auto"/>
          </w:tcPr>
          <w:p w14:paraId="530BC062" w14:textId="77777777" w:rsidR="00F7749D" w:rsidRPr="00D55B2B" w:rsidRDefault="00F7749D" w:rsidP="00D23A40">
            <w:pPr>
              <w:pStyle w:val="Numeraciondeartculos"/>
              <w:framePr w:hSpace="0" w:wrap="auto" w:vAnchor="margin" w:hAnchor="text" w:xAlign="left" w:yAlign="inline"/>
              <w:rPr>
                <w:rFonts w:cs="Arial"/>
                <w:sz w:val="22"/>
                <w:szCs w:val="22"/>
              </w:rPr>
            </w:pPr>
            <w:r>
              <w:rPr>
                <w:rFonts w:cs="Arial"/>
                <w:sz w:val="22"/>
                <w:szCs w:val="22"/>
              </w:rPr>
              <w:t>2</w:t>
            </w:r>
          </w:p>
        </w:tc>
        <w:tc>
          <w:tcPr>
            <w:tcW w:w="8550" w:type="dxa"/>
            <w:tcBorders>
              <w:left w:val="nil"/>
            </w:tcBorders>
            <w:shd w:val="clear" w:color="auto" w:fill="auto"/>
          </w:tcPr>
          <w:p w14:paraId="04E04194" w14:textId="77777777" w:rsidR="00F7749D" w:rsidRPr="00D55B2B" w:rsidRDefault="00F7749D" w:rsidP="00D23A40">
            <w:pPr>
              <w:spacing w:before="60" w:after="60"/>
              <w:rPr>
                <w:rFonts w:ascii="Arial" w:hAnsi="Arial" w:cs="Arial"/>
                <w:sz w:val="22"/>
                <w:szCs w:val="22"/>
                <w:lang w:val="es-HN"/>
              </w:rPr>
            </w:pPr>
            <w:r w:rsidRPr="00D55B2B">
              <w:rPr>
                <w:rFonts w:ascii="Arial" w:hAnsi="Arial" w:cs="Arial"/>
                <w:sz w:val="22"/>
                <w:szCs w:val="22"/>
                <w:lang w:val="es-HN"/>
              </w:rPr>
              <w:t>Excepto cuando el contexto exija lo contrario:</w:t>
            </w:r>
          </w:p>
          <w:p w14:paraId="2A40734E" w14:textId="77777777" w:rsidR="00F7749D" w:rsidRPr="00D55B2B" w:rsidRDefault="00F7749D" w:rsidP="00F7749D">
            <w:pPr>
              <w:pStyle w:val="Prrafodelista"/>
              <w:numPr>
                <w:ilvl w:val="0"/>
                <w:numId w:val="103"/>
              </w:numPr>
              <w:spacing w:before="60" w:after="60"/>
              <w:ind w:left="511" w:hanging="450"/>
              <w:rPr>
                <w:rFonts w:ascii="Arial" w:hAnsi="Arial" w:cs="Arial"/>
                <w:sz w:val="22"/>
                <w:szCs w:val="22"/>
                <w:lang w:val="es-HN"/>
              </w:rPr>
            </w:pPr>
            <w:r w:rsidRPr="00D55B2B">
              <w:rPr>
                <w:rFonts w:ascii="Arial" w:hAnsi="Arial" w:cs="Arial"/>
                <w:sz w:val="22"/>
                <w:szCs w:val="22"/>
                <w:lang w:val="es-HN"/>
              </w:rPr>
              <w:t>palabras que indican el singular también incluyen el plural y las palabras que indican el plural también incluyen el singular;</w:t>
            </w:r>
          </w:p>
          <w:p w14:paraId="05943515" w14:textId="77777777" w:rsidR="00F7749D" w:rsidRPr="00D55B2B" w:rsidRDefault="00F7749D" w:rsidP="00F7749D">
            <w:pPr>
              <w:pStyle w:val="Prrafodelista"/>
              <w:numPr>
                <w:ilvl w:val="0"/>
                <w:numId w:val="103"/>
              </w:numPr>
              <w:spacing w:before="60" w:after="60"/>
              <w:ind w:left="511" w:hanging="450"/>
              <w:rPr>
                <w:rFonts w:ascii="Arial" w:hAnsi="Arial" w:cs="Arial"/>
                <w:sz w:val="22"/>
                <w:szCs w:val="22"/>
                <w:lang w:val="es-HN"/>
              </w:rPr>
            </w:pPr>
            <w:r w:rsidRPr="00D55B2B">
              <w:rPr>
                <w:rFonts w:ascii="Arial" w:hAnsi="Arial" w:cs="Arial"/>
                <w:sz w:val="22"/>
                <w:szCs w:val="22"/>
                <w:lang w:val="es-HN"/>
              </w:rPr>
              <w:t>palabras indicando un género incluyen todos los géneros</w:t>
            </w:r>
          </w:p>
          <w:p w14:paraId="21C50D85" w14:textId="77777777" w:rsidR="00F7749D" w:rsidRPr="00D55B2B" w:rsidRDefault="00F7749D" w:rsidP="00F7749D">
            <w:pPr>
              <w:pStyle w:val="Prrafodelista"/>
              <w:numPr>
                <w:ilvl w:val="0"/>
                <w:numId w:val="103"/>
              </w:numPr>
              <w:spacing w:before="60" w:after="60"/>
              <w:ind w:left="511" w:hanging="450"/>
              <w:rPr>
                <w:rFonts w:ascii="Arial" w:hAnsi="Arial" w:cs="Arial"/>
                <w:sz w:val="22"/>
                <w:szCs w:val="22"/>
                <w:lang w:val="es-HN"/>
              </w:rPr>
            </w:pPr>
            <w:r w:rsidRPr="00D55B2B">
              <w:rPr>
                <w:rFonts w:ascii="Arial" w:hAnsi="Arial" w:cs="Arial"/>
                <w:sz w:val="22"/>
                <w:szCs w:val="22"/>
                <w:lang w:val="es-HN"/>
              </w:rPr>
              <w:t>disposiciones que incluyen la palabra "aceptar", "acordado" o "acuerdo" requieren que el acuerdo se registre por escrito; y firmadas por ambas Partes;</w:t>
            </w:r>
          </w:p>
          <w:p w14:paraId="1FA46536" w14:textId="77777777" w:rsidR="00F7749D" w:rsidRPr="00D55B2B" w:rsidRDefault="00F7749D" w:rsidP="00F7749D">
            <w:pPr>
              <w:pStyle w:val="Prrafodelista"/>
              <w:numPr>
                <w:ilvl w:val="0"/>
                <w:numId w:val="103"/>
              </w:numPr>
              <w:spacing w:before="60" w:after="60"/>
              <w:ind w:left="511" w:hanging="450"/>
              <w:rPr>
                <w:rFonts w:ascii="Arial" w:hAnsi="Arial" w:cs="Arial"/>
                <w:sz w:val="22"/>
                <w:szCs w:val="22"/>
                <w:lang w:val="es-HN"/>
              </w:rPr>
            </w:pPr>
            <w:r w:rsidRPr="00D55B2B">
              <w:rPr>
                <w:rFonts w:ascii="Arial" w:hAnsi="Arial" w:cs="Arial"/>
                <w:sz w:val="22"/>
                <w:szCs w:val="22"/>
                <w:lang w:val="es-HN"/>
              </w:rPr>
              <w:t>"escrito" o "por escrito" significa escrito a mano, escrito a máquina, impreso o producido electrónicamente siempre que dé como resultado un registro permanente;</w:t>
            </w:r>
          </w:p>
          <w:p w14:paraId="00CB7D72" w14:textId="77777777" w:rsidR="00F7749D" w:rsidRPr="009B3159" w:rsidRDefault="00F7749D" w:rsidP="00D23A40">
            <w:pPr>
              <w:spacing w:before="60" w:after="60"/>
              <w:rPr>
                <w:rFonts w:ascii="Arial" w:hAnsi="Arial" w:cs="Arial"/>
                <w:b/>
                <w:bCs/>
                <w:sz w:val="22"/>
                <w:szCs w:val="22"/>
                <w:lang w:val="es-MX"/>
              </w:rPr>
            </w:pPr>
            <w:r w:rsidRPr="00D55B2B">
              <w:rPr>
                <w:rFonts w:ascii="Arial" w:hAnsi="Arial" w:cs="Arial"/>
                <w:sz w:val="22"/>
                <w:szCs w:val="22"/>
                <w:lang w:val="es-HN"/>
              </w:rPr>
              <w:t>la palabra "propuesta" es sinónimo de "oferta" y "ofertante" con "proponente" y las palabras "bases de licitación" con "documentos de licitación".</w:t>
            </w:r>
          </w:p>
        </w:tc>
      </w:tr>
      <w:tr w:rsidR="00F7749D" w:rsidRPr="00D55B2B" w14:paraId="6D6AA71E" w14:textId="77777777" w:rsidTr="00D23A40">
        <w:trPr>
          <w:cantSplit/>
          <w:trHeight w:val="423"/>
          <w:jc w:val="center"/>
        </w:trPr>
        <w:tc>
          <w:tcPr>
            <w:tcW w:w="805" w:type="dxa"/>
            <w:tcBorders>
              <w:right w:val="nil"/>
            </w:tcBorders>
            <w:shd w:val="clear" w:color="auto" w:fill="auto"/>
          </w:tcPr>
          <w:p w14:paraId="7F1225B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3F1738" w14:textId="77777777" w:rsidR="00F7749D" w:rsidRPr="009B3159" w:rsidRDefault="00F7749D" w:rsidP="00D23A40">
            <w:pPr>
              <w:spacing w:before="60" w:after="60"/>
              <w:rPr>
                <w:rFonts w:ascii="Arial" w:hAnsi="Arial" w:cs="Arial"/>
                <w:b/>
                <w:bCs/>
                <w:sz w:val="22"/>
                <w:szCs w:val="22"/>
                <w:lang w:val="es-MX"/>
              </w:rPr>
            </w:pPr>
            <w:r w:rsidRPr="00D55B2B">
              <w:rPr>
                <w:rFonts w:ascii="Arial" w:hAnsi="Arial" w:cs="Arial"/>
                <w:sz w:val="22"/>
                <w:szCs w:val="22"/>
                <w:lang w:val="es-MX"/>
              </w:rPr>
              <w:t>Los encabezamientos o títulos de las cláusulas no tienen relevancia por sí mismos. Las palabras que se usan en el Contrato tienen su significado habitual a menos que se las defina específicamente.  El Gerente de Obras será responsable de proporcionar las aclaraciones pertinentes a las consultas sobre estas CGC.</w:t>
            </w:r>
          </w:p>
        </w:tc>
      </w:tr>
      <w:tr w:rsidR="00F7749D" w:rsidRPr="00D55B2B" w14:paraId="0A6780FF" w14:textId="77777777" w:rsidTr="00D23A40">
        <w:trPr>
          <w:cantSplit/>
          <w:trHeight w:val="423"/>
          <w:jc w:val="center"/>
        </w:trPr>
        <w:tc>
          <w:tcPr>
            <w:tcW w:w="805" w:type="dxa"/>
            <w:tcBorders>
              <w:right w:val="nil"/>
            </w:tcBorders>
            <w:shd w:val="clear" w:color="auto" w:fill="auto"/>
          </w:tcPr>
          <w:p w14:paraId="2F9A19C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5DB5563" w14:textId="77777777" w:rsidR="00F7749D" w:rsidRPr="00302355" w:rsidRDefault="00F7749D" w:rsidP="00D23A40">
            <w:pPr>
              <w:spacing w:before="60" w:after="60"/>
              <w:rPr>
                <w:rFonts w:ascii="Arial" w:hAnsi="Arial" w:cs="Arial"/>
                <w:sz w:val="22"/>
                <w:szCs w:val="22"/>
                <w:lang w:val="es-MX"/>
              </w:rPr>
            </w:pPr>
            <w:r w:rsidRPr="00D55B2B">
              <w:rPr>
                <w:rFonts w:ascii="Arial" w:hAnsi="Arial" w:cs="Arial"/>
                <w:b/>
                <w:bCs/>
                <w:sz w:val="22"/>
                <w:szCs w:val="22"/>
                <w:lang w:val="es-MX"/>
              </w:rPr>
              <w:t>Si las CPC estipulan</w:t>
            </w:r>
            <w:r w:rsidRPr="00D55B2B">
              <w:rPr>
                <w:rFonts w:ascii="Arial" w:hAnsi="Arial" w:cs="Arial"/>
                <w:sz w:val="22"/>
                <w:szCs w:val="22"/>
                <w:lang w:val="es-MX"/>
              </w:rPr>
              <w:t xml:space="preserve"> 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tc>
      </w:tr>
      <w:tr w:rsidR="00F7749D" w:rsidRPr="00D55B2B" w14:paraId="2452E605" w14:textId="77777777" w:rsidTr="00D23A40">
        <w:trPr>
          <w:cantSplit/>
          <w:trHeight w:val="423"/>
          <w:jc w:val="center"/>
        </w:trPr>
        <w:tc>
          <w:tcPr>
            <w:tcW w:w="805" w:type="dxa"/>
            <w:tcBorders>
              <w:right w:val="nil"/>
            </w:tcBorders>
            <w:shd w:val="clear" w:color="auto" w:fill="auto"/>
          </w:tcPr>
          <w:p w14:paraId="3FCC7BC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2B60DB0"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b/>
                <w:bCs/>
                <w:sz w:val="22"/>
                <w:szCs w:val="22"/>
                <w:lang w:val="es-MX"/>
              </w:rPr>
              <w:t>Totalidad del acuerdo</w:t>
            </w:r>
          </w:p>
          <w:p w14:paraId="3D37E4D7"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bCs/>
                <w:sz w:val="22"/>
                <w:szCs w:val="22"/>
                <w:lang w:val="es-MX"/>
              </w:rPr>
              <w:t>El Contrato constituye la totalidad de lo acordado entre Contratante y Contratista y sustituye todas las comunicaciones, negociaciones y acuerdos (escritos o verbales) realizados entre las partes con anterioridad a la fecha de celebración del Contrato.</w:t>
            </w:r>
          </w:p>
        </w:tc>
      </w:tr>
      <w:tr w:rsidR="00F7749D" w:rsidRPr="00D55B2B" w14:paraId="10673EA4" w14:textId="77777777" w:rsidTr="00D23A40">
        <w:trPr>
          <w:cantSplit/>
          <w:trHeight w:val="423"/>
          <w:jc w:val="center"/>
        </w:trPr>
        <w:tc>
          <w:tcPr>
            <w:tcW w:w="805" w:type="dxa"/>
            <w:tcBorders>
              <w:right w:val="nil"/>
            </w:tcBorders>
            <w:shd w:val="clear" w:color="auto" w:fill="auto"/>
          </w:tcPr>
          <w:p w14:paraId="1B4F267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6832BC6"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b/>
                <w:bCs/>
                <w:sz w:val="22"/>
                <w:szCs w:val="22"/>
                <w:lang w:val="es-MX"/>
              </w:rPr>
              <w:t>Enmienda</w:t>
            </w:r>
          </w:p>
          <w:p w14:paraId="31331988"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bCs/>
                <w:sz w:val="22"/>
                <w:szCs w:val="22"/>
                <w:lang w:val="es-MX"/>
              </w:rPr>
              <w:t>Ninguna enmienda u otra variación al Contrato será válida a menos que sea hecha por escrito, esté fechada, se refiera expresamente al Contrato y esté firmada por un representante de cada una de las partes debidamente autorizado.</w:t>
            </w:r>
          </w:p>
        </w:tc>
      </w:tr>
      <w:tr w:rsidR="00F7749D" w:rsidRPr="00D55B2B" w14:paraId="7FE21850" w14:textId="77777777" w:rsidTr="00D23A40">
        <w:trPr>
          <w:cantSplit/>
          <w:trHeight w:val="423"/>
          <w:jc w:val="center"/>
        </w:trPr>
        <w:tc>
          <w:tcPr>
            <w:tcW w:w="805" w:type="dxa"/>
            <w:tcBorders>
              <w:right w:val="nil"/>
            </w:tcBorders>
            <w:shd w:val="clear" w:color="auto" w:fill="auto"/>
          </w:tcPr>
          <w:p w14:paraId="63DAD0F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8EDD08"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b/>
                <w:bCs/>
                <w:sz w:val="22"/>
                <w:szCs w:val="22"/>
                <w:lang w:val="es-MX"/>
              </w:rPr>
              <w:t>Limitaciones de dispensas</w:t>
            </w:r>
          </w:p>
          <w:p w14:paraId="6FC2652E" w14:textId="77777777" w:rsidR="00F7749D" w:rsidRPr="00D55B2B" w:rsidRDefault="00F7749D" w:rsidP="00F7749D">
            <w:pPr>
              <w:pStyle w:val="Prrafodelista"/>
              <w:numPr>
                <w:ilvl w:val="0"/>
                <w:numId w:val="104"/>
              </w:numPr>
              <w:spacing w:after="160" w:line="259" w:lineRule="auto"/>
              <w:ind w:left="331"/>
              <w:contextualSpacing/>
              <w:rPr>
                <w:rFonts w:ascii="Arial" w:hAnsi="Arial" w:cs="Arial"/>
                <w:sz w:val="22"/>
                <w:szCs w:val="22"/>
              </w:rPr>
            </w:pPr>
            <w:r w:rsidRPr="00D55B2B">
              <w:rPr>
                <w:rFonts w:ascii="Arial" w:hAnsi="Arial" w:cs="Arial"/>
                <w:sz w:val="22"/>
                <w:szCs w:val="22"/>
              </w:rPr>
              <w:t>Con sujeción a l indicado en la subcláusula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 considerará dispensa para incumplimientos posteriores o continuos del Contrato.</w:t>
            </w:r>
          </w:p>
          <w:p w14:paraId="0FB0776C"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sz w:val="22"/>
                <w:szCs w:val="22"/>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tc>
      </w:tr>
      <w:tr w:rsidR="00F7749D" w:rsidRPr="00D55B2B" w14:paraId="145F314D" w14:textId="77777777" w:rsidTr="00D23A40">
        <w:trPr>
          <w:cantSplit/>
          <w:trHeight w:val="423"/>
          <w:jc w:val="center"/>
        </w:trPr>
        <w:tc>
          <w:tcPr>
            <w:tcW w:w="805" w:type="dxa"/>
            <w:tcBorders>
              <w:right w:val="nil"/>
            </w:tcBorders>
            <w:shd w:val="clear" w:color="auto" w:fill="auto"/>
          </w:tcPr>
          <w:p w14:paraId="1FCBAA1A"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634976CB" w14:textId="77777777" w:rsidR="00F7749D" w:rsidRPr="00D55B2B" w:rsidRDefault="00F7749D" w:rsidP="00D23A40">
            <w:pPr>
              <w:spacing w:before="60" w:after="60"/>
              <w:rPr>
                <w:rFonts w:ascii="Arial" w:hAnsi="Arial" w:cs="Arial"/>
                <w:b/>
                <w:bCs/>
                <w:sz w:val="22"/>
                <w:szCs w:val="22"/>
                <w:lang w:val="es-MX"/>
              </w:rPr>
            </w:pPr>
            <w:bookmarkStart w:id="1849" w:name="_Toc74048231"/>
            <w:bookmarkStart w:id="1850" w:name="_Toc74518471"/>
            <w:bookmarkStart w:id="1851" w:name="_Toc74519201"/>
            <w:bookmarkStart w:id="1852" w:name="_Toc74781391"/>
            <w:bookmarkStart w:id="1853" w:name="_Toc74930904"/>
            <w:r w:rsidRPr="0037032F">
              <w:rPr>
                <w:rFonts w:ascii="Arial" w:hAnsi="Arial" w:cs="Arial"/>
                <w:b/>
                <w:bCs/>
                <w:sz w:val="22"/>
                <w:szCs w:val="22"/>
                <w:lang w:val="es-MX"/>
              </w:rPr>
              <w:t>Divisibilidad</w:t>
            </w:r>
            <w:bookmarkEnd w:id="1849"/>
            <w:bookmarkEnd w:id="1850"/>
            <w:bookmarkEnd w:id="1851"/>
            <w:bookmarkEnd w:id="1852"/>
            <w:bookmarkEnd w:id="1853"/>
          </w:p>
        </w:tc>
      </w:tr>
      <w:tr w:rsidR="00F7749D" w:rsidRPr="00D55B2B" w14:paraId="480572A3" w14:textId="77777777" w:rsidTr="00D23A40">
        <w:trPr>
          <w:cantSplit/>
          <w:trHeight w:val="423"/>
          <w:jc w:val="center"/>
        </w:trPr>
        <w:tc>
          <w:tcPr>
            <w:tcW w:w="805" w:type="dxa"/>
            <w:tcBorders>
              <w:right w:val="nil"/>
            </w:tcBorders>
            <w:shd w:val="clear" w:color="auto" w:fill="auto"/>
          </w:tcPr>
          <w:p w14:paraId="22F30B80"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10CEDA3"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bCs/>
                <w:sz w:val="22"/>
                <w:szCs w:val="22"/>
                <w:lang w:val="es-MX"/>
              </w:rPr>
              <w:t>Si cualquier disposición o condición del Contrato fuese prohibida, declarada nula, inválida o fuese inejecutable, dicha prohibición, nulidad, invalidez o falta de ejecución no afectará la validez o el cumplimiento de las otras disposiciones o condiciones del Contrato.</w:t>
            </w:r>
          </w:p>
        </w:tc>
      </w:tr>
      <w:tr w:rsidR="00F7749D" w:rsidRPr="00D55B2B" w14:paraId="76CABE28" w14:textId="77777777" w:rsidTr="00D23A40">
        <w:trPr>
          <w:cantSplit/>
          <w:trHeight w:val="423"/>
          <w:jc w:val="center"/>
        </w:trPr>
        <w:tc>
          <w:tcPr>
            <w:tcW w:w="805" w:type="dxa"/>
            <w:tcBorders>
              <w:right w:val="nil"/>
            </w:tcBorders>
            <w:shd w:val="clear" w:color="auto" w:fill="auto"/>
          </w:tcPr>
          <w:p w14:paraId="140BAAB0"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1E9FE2C1" w14:textId="77777777" w:rsidR="00F7749D" w:rsidRPr="00D55B2B" w:rsidRDefault="00F7749D" w:rsidP="00D23A40">
            <w:pPr>
              <w:spacing w:before="60" w:after="60"/>
              <w:rPr>
                <w:rFonts w:ascii="Arial" w:hAnsi="Arial" w:cs="Arial"/>
                <w:b/>
                <w:bCs/>
                <w:sz w:val="22"/>
                <w:szCs w:val="22"/>
                <w:lang w:val="es-MX"/>
              </w:rPr>
            </w:pPr>
            <w:bookmarkStart w:id="1854" w:name="_Toc74048232"/>
            <w:bookmarkStart w:id="1855" w:name="_Toc74518472"/>
            <w:bookmarkStart w:id="1856" w:name="_Toc74519202"/>
            <w:bookmarkStart w:id="1857" w:name="_Toc74781392"/>
            <w:bookmarkStart w:id="1858" w:name="_Toc74930905"/>
            <w:r w:rsidRPr="009E7261">
              <w:rPr>
                <w:rFonts w:ascii="Arial" w:hAnsi="Arial" w:cs="Arial"/>
                <w:b/>
                <w:bCs/>
                <w:sz w:val="22"/>
                <w:szCs w:val="22"/>
                <w:lang w:val="es-MX"/>
              </w:rPr>
              <w:t>Disposiciones de integridad</w:t>
            </w:r>
            <w:bookmarkEnd w:id="1854"/>
            <w:bookmarkEnd w:id="1855"/>
            <w:bookmarkEnd w:id="1856"/>
            <w:bookmarkEnd w:id="1857"/>
            <w:bookmarkEnd w:id="1858"/>
          </w:p>
        </w:tc>
      </w:tr>
      <w:tr w:rsidR="00F7749D" w:rsidRPr="00D55B2B" w14:paraId="5DC7CFCA" w14:textId="77777777" w:rsidTr="00D23A40">
        <w:trPr>
          <w:cantSplit/>
          <w:trHeight w:val="423"/>
          <w:jc w:val="center"/>
        </w:trPr>
        <w:tc>
          <w:tcPr>
            <w:tcW w:w="805" w:type="dxa"/>
            <w:tcBorders>
              <w:right w:val="nil"/>
            </w:tcBorders>
            <w:shd w:val="clear" w:color="auto" w:fill="auto"/>
          </w:tcPr>
          <w:p w14:paraId="5AEDFFA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774FAD6"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sz w:val="22"/>
                <w:szCs w:val="22"/>
                <w:lang w:val="es-HN"/>
              </w:rPr>
              <w:t>El prestatario / Beneficiario, el contratante, el contratista y todas las personas naturales o jurídicas que participen o presten servicios en proyectos u operaciones financiadas directa o indirectamente por el Banco y bajo cualquier condición, estarán sujetos al cumplimiento de las disposiciones establecidas en el Apéndice 1 (Disposiciones de Integridad).</w:t>
            </w:r>
          </w:p>
        </w:tc>
      </w:tr>
      <w:tr w:rsidR="00F7749D" w:rsidRPr="00D55B2B" w14:paraId="72FC4C90" w14:textId="77777777" w:rsidTr="00D23A40">
        <w:trPr>
          <w:cantSplit/>
          <w:trHeight w:val="423"/>
          <w:jc w:val="center"/>
        </w:trPr>
        <w:tc>
          <w:tcPr>
            <w:tcW w:w="805" w:type="dxa"/>
            <w:tcBorders>
              <w:right w:val="nil"/>
            </w:tcBorders>
            <w:shd w:val="clear" w:color="auto" w:fill="auto"/>
          </w:tcPr>
          <w:p w14:paraId="557B4F8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A6AB08"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sz w:val="22"/>
                <w:szCs w:val="22"/>
                <w:lang w:val="es-HN"/>
              </w:rPr>
              <w:t>El Contratante exige al Contratista que proporcione información sobre comisiones u honorarios, si los hubiere, pagados o pagaderos a agentes o terceros en relación con el proceso de selección o la ejecución del Contrato. La información suministrada deberá incluir por lo menos el nombre y la dirección del agente o tercero, la cantidad y moneda, y el propósito de la comisión, la gratificación o los honorarios. El incumplimiento de este requisito podrá dar lugar a la rescisión del Contrato o a sanciones impuestas por el Banco</w:t>
            </w:r>
          </w:p>
        </w:tc>
      </w:tr>
      <w:tr w:rsidR="00F7749D" w:rsidRPr="00D55B2B" w14:paraId="551BF4E5" w14:textId="77777777" w:rsidTr="00D23A40">
        <w:tblPrEx>
          <w:jc w:val="left"/>
        </w:tblPrEx>
        <w:trPr>
          <w:trHeight w:val="20"/>
        </w:trPr>
        <w:tc>
          <w:tcPr>
            <w:tcW w:w="9355" w:type="dxa"/>
            <w:gridSpan w:val="2"/>
            <w:shd w:val="clear" w:color="auto" w:fill="auto"/>
          </w:tcPr>
          <w:p w14:paraId="5412177D" w14:textId="77777777" w:rsidR="00F7749D" w:rsidRPr="00D55B2B" w:rsidRDefault="00F7749D" w:rsidP="00F7749D">
            <w:pPr>
              <w:pStyle w:val="Ttulo2"/>
              <w:keepNext w:val="0"/>
              <w:numPr>
                <w:ilvl w:val="0"/>
                <w:numId w:val="90"/>
              </w:numPr>
              <w:spacing w:before="60" w:after="60"/>
              <w:jc w:val="both"/>
              <w:rPr>
                <w:rFonts w:cs="Arial"/>
                <w:sz w:val="22"/>
                <w:szCs w:val="22"/>
              </w:rPr>
            </w:pPr>
            <w:bookmarkStart w:id="1859" w:name="_Toc17494796"/>
            <w:bookmarkStart w:id="1860" w:name="_Toc47916955"/>
            <w:bookmarkStart w:id="1861" w:name="_Toc74048233"/>
            <w:bookmarkStart w:id="1862" w:name="_Toc74518473"/>
            <w:bookmarkStart w:id="1863" w:name="_Toc74519203"/>
            <w:bookmarkStart w:id="1864" w:name="_Toc74781393"/>
            <w:bookmarkStart w:id="1865" w:name="_Toc74930906"/>
            <w:r w:rsidRPr="00D55B2B">
              <w:rPr>
                <w:rFonts w:cs="Arial"/>
                <w:sz w:val="22"/>
                <w:szCs w:val="22"/>
                <w:lang w:val="es-419"/>
              </w:rPr>
              <w:t>Idioma</w:t>
            </w:r>
            <w:bookmarkEnd w:id="1859"/>
            <w:bookmarkEnd w:id="1860"/>
            <w:bookmarkEnd w:id="1861"/>
            <w:bookmarkEnd w:id="1862"/>
            <w:bookmarkEnd w:id="1863"/>
            <w:bookmarkEnd w:id="1864"/>
            <w:bookmarkEnd w:id="1865"/>
          </w:p>
        </w:tc>
      </w:tr>
      <w:tr w:rsidR="00F7749D" w:rsidRPr="00D55B2B" w14:paraId="24A6596C" w14:textId="77777777" w:rsidTr="00D23A40">
        <w:tblPrEx>
          <w:jc w:val="left"/>
        </w:tblPrEx>
        <w:trPr>
          <w:trHeight w:val="20"/>
        </w:trPr>
        <w:tc>
          <w:tcPr>
            <w:tcW w:w="805" w:type="dxa"/>
            <w:tcBorders>
              <w:right w:val="nil"/>
            </w:tcBorders>
            <w:shd w:val="clear" w:color="auto" w:fill="auto"/>
          </w:tcPr>
          <w:p w14:paraId="2C8ED0E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DF11457" w14:textId="77777777" w:rsidR="00F7749D" w:rsidRPr="00D55B2B" w:rsidRDefault="00F7749D" w:rsidP="00D23A40">
            <w:pPr>
              <w:spacing w:before="60" w:after="60"/>
              <w:rPr>
                <w:rFonts w:ascii="Arial" w:hAnsi="Arial" w:cs="Arial"/>
                <w:sz w:val="22"/>
                <w:szCs w:val="22"/>
                <w:lang w:val="es-HN"/>
              </w:rPr>
            </w:pPr>
            <w:r w:rsidRPr="00D55B2B">
              <w:rPr>
                <w:rFonts w:ascii="Arial" w:hAnsi="Arial" w:cs="Arial"/>
                <w:sz w:val="22"/>
                <w:szCs w:val="22"/>
              </w:rPr>
              <w:t xml:space="preserve">El idioma que rige el Contrato y las comunicaciones entre las Partes será el idioma </w:t>
            </w:r>
            <w:r>
              <w:rPr>
                <w:rFonts w:ascii="Arial" w:hAnsi="Arial" w:cs="Arial"/>
                <w:sz w:val="22"/>
                <w:szCs w:val="22"/>
              </w:rPr>
              <w:t xml:space="preserve">Español como idioma </w:t>
            </w:r>
            <w:r w:rsidRPr="00D55B2B">
              <w:rPr>
                <w:rFonts w:ascii="Arial" w:hAnsi="Arial" w:cs="Arial"/>
                <w:sz w:val="22"/>
                <w:szCs w:val="22"/>
              </w:rPr>
              <w:t>oficial del contratante, detallado en las CPC</w:t>
            </w:r>
          </w:p>
        </w:tc>
      </w:tr>
      <w:tr w:rsidR="00F7749D" w:rsidRPr="00D55B2B" w14:paraId="2B94DBDB" w14:textId="77777777" w:rsidTr="00D23A40">
        <w:tblPrEx>
          <w:jc w:val="left"/>
        </w:tblPrEx>
        <w:trPr>
          <w:trHeight w:val="20"/>
        </w:trPr>
        <w:tc>
          <w:tcPr>
            <w:tcW w:w="805" w:type="dxa"/>
            <w:tcBorders>
              <w:right w:val="nil"/>
            </w:tcBorders>
            <w:shd w:val="clear" w:color="auto" w:fill="auto"/>
          </w:tcPr>
          <w:p w14:paraId="1CC15BF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0F25432"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Los documentos relativos al Contrato y toda la documentación impresa que forme parte del Contrato podrán estar en otro idioma siempre que vayan acompañados de una traducción precisa de los contenidos pertinentes al idioma oficial detallado en la cláusula 5.1 de los CPC. En caso de conflictos de interpretación prevalecerá la traducción.</w:t>
            </w:r>
          </w:p>
        </w:tc>
      </w:tr>
      <w:tr w:rsidR="00F7749D" w:rsidRPr="00D55B2B" w14:paraId="5630AF37" w14:textId="77777777" w:rsidTr="00D23A40">
        <w:tblPrEx>
          <w:jc w:val="left"/>
        </w:tblPrEx>
        <w:trPr>
          <w:trHeight w:val="20"/>
        </w:trPr>
        <w:tc>
          <w:tcPr>
            <w:tcW w:w="805" w:type="dxa"/>
            <w:tcBorders>
              <w:right w:val="nil"/>
            </w:tcBorders>
            <w:shd w:val="clear" w:color="auto" w:fill="auto"/>
          </w:tcPr>
          <w:p w14:paraId="08C3244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15432E1"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Contratista asumirá todos los costos de la traducción (al idioma oficial detallado en la cláusula 5.1 de las CPC) de la documentación que proporcione en otro idioma, así como los riesgos derivados de las posibles imprecisiones de dichos documentos.</w:t>
            </w:r>
          </w:p>
        </w:tc>
      </w:tr>
      <w:tr w:rsidR="00F7749D" w:rsidRPr="00D55B2B" w14:paraId="409DD81E" w14:textId="77777777" w:rsidTr="00D23A40">
        <w:tblPrEx>
          <w:jc w:val="left"/>
        </w:tblPrEx>
        <w:trPr>
          <w:trHeight w:val="20"/>
        </w:trPr>
        <w:tc>
          <w:tcPr>
            <w:tcW w:w="9355" w:type="dxa"/>
            <w:gridSpan w:val="2"/>
            <w:shd w:val="clear" w:color="auto" w:fill="auto"/>
          </w:tcPr>
          <w:p w14:paraId="24BEA3C7" w14:textId="77777777" w:rsidR="00F7749D" w:rsidRPr="00D55B2B" w:rsidRDefault="00F7749D" w:rsidP="00F7749D">
            <w:pPr>
              <w:pStyle w:val="Ttulo2"/>
              <w:keepNext w:val="0"/>
              <w:numPr>
                <w:ilvl w:val="0"/>
                <w:numId w:val="90"/>
              </w:numPr>
              <w:spacing w:before="60" w:after="60"/>
              <w:jc w:val="both"/>
              <w:rPr>
                <w:rFonts w:cs="Arial"/>
                <w:sz w:val="22"/>
                <w:szCs w:val="22"/>
                <w:lang w:val="es-419"/>
              </w:rPr>
            </w:pPr>
            <w:bookmarkStart w:id="1866" w:name="_Toc17494795"/>
            <w:bookmarkStart w:id="1867" w:name="_Toc47916956"/>
            <w:bookmarkStart w:id="1868" w:name="_Toc74048234"/>
            <w:bookmarkStart w:id="1869" w:name="_Toc74518474"/>
            <w:bookmarkStart w:id="1870" w:name="_Toc74519204"/>
            <w:bookmarkStart w:id="1871" w:name="_Toc74781394"/>
            <w:bookmarkStart w:id="1872" w:name="_Toc74930907"/>
            <w:r w:rsidRPr="00D55B2B">
              <w:rPr>
                <w:rFonts w:cs="Arial"/>
                <w:sz w:val="22"/>
                <w:szCs w:val="22"/>
                <w:lang w:val="es-419"/>
              </w:rPr>
              <w:t>Ley aplicable</w:t>
            </w:r>
            <w:bookmarkEnd w:id="1866"/>
            <w:bookmarkEnd w:id="1867"/>
            <w:bookmarkEnd w:id="1868"/>
            <w:bookmarkEnd w:id="1869"/>
            <w:bookmarkEnd w:id="1870"/>
            <w:bookmarkEnd w:id="1871"/>
            <w:bookmarkEnd w:id="1872"/>
          </w:p>
        </w:tc>
      </w:tr>
      <w:tr w:rsidR="00F7749D" w:rsidRPr="00D55B2B" w14:paraId="5AE92D75" w14:textId="77777777" w:rsidTr="00D23A40">
        <w:tblPrEx>
          <w:jc w:val="left"/>
        </w:tblPrEx>
        <w:trPr>
          <w:trHeight w:val="20"/>
        </w:trPr>
        <w:tc>
          <w:tcPr>
            <w:tcW w:w="805" w:type="dxa"/>
            <w:tcBorders>
              <w:right w:val="nil"/>
            </w:tcBorders>
            <w:shd w:val="clear" w:color="auto" w:fill="auto"/>
          </w:tcPr>
          <w:p w14:paraId="0278D40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6B2EA4" w14:textId="77777777" w:rsidR="00F7749D" w:rsidRPr="00D55B2B" w:rsidRDefault="00F7749D" w:rsidP="00D23A40">
            <w:pPr>
              <w:spacing w:before="60" w:after="60"/>
              <w:rPr>
                <w:rFonts w:ascii="Arial" w:hAnsi="Arial" w:cs="Arial"/>
                <w:sz w:val="22"/>
                <w:szCs w:val="22"/>
                <w:highlight w:val="yellow"/>
                <w:lang w:val="es-ES"/>
              </w:rPr>
            </w:pPr>
            <w:r w:rsidRPr="00D55B2B">
              <w:rPr>
                <w:rFonts w:ascii="Arial" w:hAnsi="Arial" w:cs="Arial"/>
                <w:sz w:val="22"/>
                <w:szCs w:val="22"/>
              </w:rPr>
              <w:t xml:space="preserve">El Contrato se regirá por las leyes del País del Contratante y se interpretará conforme a dichas leyes a menos que en las </w:t>
            </w:r>
            <w:r w:rsidRPr="00D55B2B">
              <w:rPr>
                <w:rFonts w:ascii="Arial" w:hAnsi="Arial" w:cs="Arial"/>
                <w:b/>
                <w:sz w:val="22"/>
                <w:szCs w:val="22"/>
              </w:rPr>
              <w:t xml:space="preserve">CPC </w:t>
            </w:r>
            <w:r w:rsidRPr="00D55B2B">
              <w:rPr>
                <w:rFonts w:ascii="Arial" w:hAnsi="Arial" w:cs="Arial"/>
                <w:sz w:val="22"/>
                <w:szCs w:val="22"/>
              </w:rPr>
              <w:t>se indique otra cosa.</w:t>
            </w:r>
          </w:p>
        </w:tc>
      </w:tr>
      <w:tr w:rsidR="00F7749D" w:rsidRPr="00D55B2B" w14:paraId="162A4089" w14:textId="77777777" w:rsidTr="00D23A40">
        <w:tblPrEx>
          <w:jc w:val="left"/>
        </w:tblPrEx>
        <w:trPr>
          <w:trHeight w:val="20"/>
        </w:trPr>
        <w:tc>
          <w:tcPr>
            <w:tcW w:w="9355" w:type="dxa"/>
            <w:gridSpan w:val="2"/>
            <w:shd w:val="clear" w:color="auto" w:fill="auto"/>
          </w:tcPr>
          <w:p w14:paraId="3E81D737" w14:textId="77777777" w:rsidR="00F7749D" w:rsidRPr="00D55B2B" w:rsidRDefault="00F7749D" w:rsidP="00F7749D">
            <w:pPr>
              <w:pStyle w:val="Ttulo2"/>
              <w:keepNext w:val="0"/>
              <w:numPr>
                <w:ilvl w:val="0"/>
                <w:numId w:val="90"/>
              </w:numPr>
              <w:spacing w:before="60" w:after="60"/>
              <w:jc w:val="both"/>
              <w:rPr>
                <w:rFonts w:cs="Arial"/>
                <w:sz w:val="22"/>
                <w:szCs w:val="22"/>
              </w:rPr>
            </w:pPr>
            <w:bookmarkStart w:id="1873" w:name="_Toc20126147"/>
            <w:bookmarkStart w:id="1874" w:name="_Toc47916957"/>
            <w:bookmarkStart w:id="1875" w:name="_Toc74048235"/>
            <w:bookmarkStart w:id="1876" w:name="_Toc74518475"/>
            <w:bookmarkStart w:id="1877" w:name="_Toc74519205"/>
            <w:bookmarkStart w:id="1878" w:name="_Toc74781395"/>
            <w:bookmarkStart w:id="1879" w:name="_Toc74930908"/>
            <w:r w:rsidRPr="00D55B2B">
              <w:rPr>
                <w:rStyle w:val="normaltextrun"/>
                <w:rFonts w:cs="Arial"/>
                <w:color w:val="000000"/>
                <w:sz w:val="22"/>
                <w:szCs w:val="22"/>
                <w:bdr w:val="none" w:sz="0" w:space="0" w:color="auto" w:frame="1"/>
                <w:lang w:val="es-HN"/>
              </w:rPr>
              <w:t>Asociación en Participación, Consorcio o Asociación (</w:t>
            </w:r>
            <w:r w:rsidRPr="00D55B2B">
              <w:rPr>
                <w:rFonts w:cs="Arial"/>
                <w:sz w:val="22"/>
                <w:szCs w:val="22"/>
              </w:rPr>
              <w:t>APCA</w:t>
            </w:r>
            <w:bookmarkEnd w:id="1873"/>
            <w:bookmarkEnd w:id="1874"/>
            <w:r w:rsidRPr="00D55B2B">
              <w:rPr>
                <w:rFonts w:cs="Arial"/>
                <w:sz w:val="22"/>
                <w:szCs w:val="22"/>
              </w:rPr>
              <w:t>)</w:t>
            </w:r>
            <w:bookmarkEnd w:id="1875"/>
            <w:bookmarkEnd w:id="1876"/>
            <w:bookmarkEnd w:id="1877"/>
            <w:bookmarkEnd w:id="1878"/>
            <w:bookmarkEnd w:id="1879"/>
          </w:p>
        </w:tc>
      </w:tr>
      <w:tr w:rsidR="00F7749D" w:rsidRPr="00D55B2B" w14:paraId="53579ECF" w14:textId="77777777" w:rsidTr="00D23A40">
        <w:tblPrEx>
          <w:jc w:val="left"/>
        </w:tblPrEx>
        <w:trPr>
          <w:trHeight w:val="20"/>
        </w:trPr>
        <w:tc>
          <w:tcPr>
            <w:tcW w:w="805" w:type="dxa"/>
            <w:tcBorders>
              <w:right w:val="nil"/>
            </w:tcBorders>
            <w:shd w:val="clear" w:color="auto" w:fill="auto"/>
          </w:tcPr>
          <w:p w14:paraId="6DFA7C4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D7F2FC0"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Si el Contratista es una APCA, los integrantes autorizan al integrante </w:t>
            </w:r>
            <w:r w:rsidRPr="00D55B2B">
              <w:rPr>
                <w:rFonts w:ascii="Arial" w:hAnsi="Arial" w:cs="Arial"/>
                <w:b/>
                <w:sz w:val="22"/>
                <w:szCs w:val="22"/>
                <w:lang w:val="es-ES"/>
              </w:rPr>
              <w:t>indicado en las CPC</w:t>
            </w:r>
            <w:r w:rsidRPr="00D55B2B">
              <w:rPr>
                <w:rFonts w:ascii="Arial" w:hAnsi="Arial" w:cs="Arial"/>
                <w:sz w:val="22"/>
                <w:szCs w:val="22"/>
                <w:lang w:val="es-ES"/>
              </w:rPr>
              <w:t xml:space="preserve"> para que ejerza en su nombre todos los derechos y cumpla todas las obligaciones del </w:t>
            </w:r>
            <w:r w:rsidRPr="00D55B2B">
              <w:rPr>
                <w:rFonts w:ascii="Arial" w:hAnsi="Arial" w:cs="Arial"/>
                <w:sz w:val="22"/>
                <w:szCs w:val="22"/>
              </w:rPr>
              <w:t>Contratista</w:t>
            </w:r>
            <w:r w:rsidRPr="00D55B2B">
              <w:rPr>
                <w:rFonts w:ascii="Arial" w:hAnsi="Arial" w:cs="Arial"/>
                <w:sz w:val="22"/>
                <w:szCs w:val="22"/>
                <w:lang w:val="es-ES"/>
              </w:rPr>
              <w:t xml:space="preserve"> frente al Contratante en virtud de este Contrato, incluso, entre otras cosas, recibir instrucciones y percibir pagos de este último. La composición o constitución del APCA no podrá ser alterada sin el previo consentimiento por escrito del Contratante.</w:t>
            </w:r>
          </w:p>
        </w:tc>
      </w:tr>
      <w:tr w:rsidR="00F7749D" w:rsidRPr="00D55B2B" w14:paraId="7D950D4B" w14:textId="77777777" w:rsidTr="00D23A40">
        <w:tblPrEx>
          <w:jc w:val="left"/>
        </w:tblPrEx>
        <w:trPr>
          <w:trHeight w:val="20"/>
        </w:trPr>
        <w:tc>
          <w:tcPr>
            <w:tcW w:w="9355" w:type="dxa"/>
            <w:gridSpan w:val="2"/>
            <w:shd w:val="clear" w:color="auto" w:fill="auto"/>
          </w:tcPr>
          <w:p w14:paraId="63743EAB" w14:textId="77777777" w:rsidR="00F7749D" w:rsidRPr="00D55B2B" w:rsidRDefault="00F7749D" w:rsidP="00F7749D">
            <w:pPr>
              <w:pStyle w:val="Ttulo2"/>
              <w:keepNext w:val="0"/>
              <w:numPr>
                <w:ilvl w:val="0"/>
                <w:numId w:val="90"/>
              </w:numPr>
              <w:spacing w:before="60" w:after="60"/>
              <w:jc w:val="both"/>
              <w:rPr>
                <w:rFonts w:cs="Arial"/>
                <w:sz w:val="22"/>
                <w:szCs w:val="22"/>
              </w:rPr>
            </w:pPr>
            <w:bookmarkStart w:id="1880" w:name="_Toc20126148"/>
            <w:bookmarkStart w:id="1881" w:name="_Toc47916958"/>
            <w:bookmarkStart w:id="1882" w:name="_Toc74048236"/>
            <w:bookmarkStart w:id="1883" w:name="_Toc74518476"/>
            <w:bookmarkStart w:id="1884" w:name="_Toc74519206"/>
            <w:bookmarkStart w:id="1885" w:name="_Toc74781396"/>
            <w:bookmarkStart w:id="1886" w:name="_Toc74930909"/>
            <w:r w:rsidRPr="00D55B2B">
              <w:rPr>
                <w:rFonts w:cs="Arial"/>
                <w:sz w:val="22"/>
                <w:szCs w:val="22"/>
              </w:rPr>
              <w:t>Origen del Subcontratista, materiales, equipos y servicios</w:t>
            </w:r>
            <w:bookmarkEnd w:id="1880"/>
            <w:bookmarkEnd w:id="1881"/>
            <w:bookmarkEnd w:id="1882"/>
            <w:bookmarkEnd w:id="1883"/>
            <w:bookmarkEnd w:id="1884"/>
            <w:bookmarkEnd w:id="1885"/>
            <w:bookmarkEnd w:id="1886"/>
          </w:p>
        </w:tc>
      </w:tr>
      <w:tr w:rsidR="00F7749D" w:rsidRPr="00D55B2B" w14:paraId="7CE02F7E" w14:textId="77777777" w:rsidTr="00D23A40">
        <w:tblPrEx>
          <w:jc w:val="left"/>
        </w:tblPrEx>
        <w:trPr>
          <w:trHeight w:val="20"/>
        </w:trPr>
        <w:tc>
          <w:tcPr>
            <w:tcW w:w="805" w:type="dxa"/>
            <w:tcBorders>
              <w:right w:val="nil"/>
            </w:tcBorders>
            <w:shd w:val="clear" w:color="auto" w:fill="auto"/>
          </w:tcPr>
          <w:p w14:paraId="5A2BFB0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449C38F"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Los subcontratistas podrán ser originarios de cualquier país, a menos que se especifique diferente en las</w:t>
            </w:r>
            <w:r w:rsidRPr="00D55B2B">
              <w:rPr>
                <w:rFonts w:ascii="Arial" w:hAnsi="Arial" w:cs="Arial"/>
                <w:b/>
                <w:sz w:val="22"/>
                <w:szCs w:val="22"/>
              </w:rPr>
              <w:t xml:space="preserve"> CPC</w:t>
            </w:r>
            <w:r w:rsidRPr="00D55B2B">
              <w:rPr>
                <w:rFonts w:ascii="Arial" w:hAnsi="Arial" w:cs="Arial"/>
                <w:sz w:val="22"/>
                <w:szCs w:val="22"/>
              </w:rPr>
              <w:t>.</w:t>
            </w:r>
          </w:p>
        </w:tc>
      </w:tr>
      <w:tr w:rsidR="00F7749D" w:rsidRPr="00D55B2B" w14:paraId="169662A3" w14:textId="77777777" w:rsidTr="00D23A40">
        <w:tblPrEx>
          <w:jc w:val="left"/>
        </w:tblPrEx>
        <w:trPr>
          <w:trHeight w:val="20"/>
        </w:trPr>
        <w:tc>
          <w:tcPr>
            <w:tcW w:w="805" w:type="dxa"/>
            <w:tcBorders>
              <w:right w:val="nil"/>
            </w:tcBorders>
            <w:shd w:val="clear" w:color="auto" w:fill="auto"/>
          </w:tcPr>
          <w:p w14:paraId="3F8B003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94192B"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Los materiales, equipos y servicios que se suministrarán en virtud del Contrato pueden tener origen en cualquier país, </w:t>
            </w:r>
            <w:r w:rsidRPr="00D55B2B">
              <w:rPr>
                <w:rFonts w:ascii="Arial" w:hAnsi="Arial" w:cs="Arial"/>
                <w:bCs/>
                <w:sz w:val="22"/>
                <w:szCs w:val="22"/>
              </w:rPr>
              <w:t>a menos que se especifique diferente en las</w:t>
            </w:r>
            <w:r w:rsidRPr="00D55B2B">
              <w:rPr>
                <w:rFonts w:ascii="Arial" w:hAnsi="Arial" w:cs="Arial"/>
                <w:b/>
                <w:bCs/>
                <w:sz w:val="22"/>
                <w:szCs w:val="22"/>
              </w:rPr>
              <w:t xml:space="preserve"> CPC.</w:t>
            </w:r>
            <w:r w:rsidRPr="00D55B2B">
              <w:rPr>
                <w:rFonts w:ascii="Arial" w:hAnsi="Arial" w:cs="Arial"/>
                <w:sz w:val="22"/>
                <w:szCs w:val="22"/>
              </w:rPr>
              <w:t xml:space="preserve"> En dicho caso, a solicitud del Contratante, se podrá pedir al Contratista que presente evidencias del origen de los materiales, equipos y servicios.</w:t>
            </w:r>
          </w:p>
        </w:tc>
      </w:tr>
      <w:tr w:rsidR="00F7749D" w:rsidRPr="00D55B2B" w14:paraId="5B21665A" w14:textId="77777777" w:rsidTr="00D23A40">
        <w:tblPrEx>
          <w:jc w:val="left"/>
        </w:tblPrEx>
        <w:trPr>
          <w:trHeight w:val="20"/>
        </w:trPr>
        <w:tc>
          <w:tcPr>
            <w:tcW w:w="9355" w:type="dxa"/>
            <w:gridSpan w:val="2"/>
            <w:shd w:val="clear" w:color="auto" w:fill="auto"/>
          </w:tcPr>
          <w:p w14:paraId="2252BCCA" w14:textId="77777777" w:rsidR="00F7749D" w:rsidRPr="00D55B2B" w:rsidRDefault="00F7749D" w:rsidP="00F7749D">
            <w:pPr>
              <w:pStyle w:val="Ttulo2"/>
              <w:keepNext w:val="0"/>
              <w:numPr>
                <w:ilvl w:val="0"/>
                <w:numId w:val="90"/>
              </w:numPr>
              <w:spacing w:before="60" w:after="60"/>
              <w:jc w:val="both"/>
              <w:rPr>
                <w:rFonts w:cs="Arial"/>
                <w:sz w:val="22"/>
                <w:szCs w:val="22"/>
                <w:lang w:val="es-419"/>
              </w:rPr>
            </w:pPr>
            <w:bookmarkStart w:id="1887" w:name="_Toc20759369"/>
            <w:bookmarkStart w:id="1888" w:name="_Toc47916959"/>
            <w:bookmarkStart w:id="1889" w:name="_Toc74048237"/>
            <w:bookmarkStart w:id="1890" w:name="_Toc74518477"/>
            <w:bookmarkStart w:id="1891" w:name="_Toc74519207"/>
            <w:bookmarkStart w:id="1892" w:name="_Toc74781397"/>
            <w:bookmarkStart w:id="1893" w:name="_Toc74930910"/>
            <w:r w:rsidRPr="00D55B2B">
              <w:rPr>
                <w:rFonts w:cs="Arial"/>
                <w:sz w:val="22"/>
                <w:szCs w:val="22"/>
              </w:rPr>
              <w:t>Confidencialidad</w:t>
            </w:r>
            <w:bookmarkEnd w:id="1887"/>
            <w:bookmarkEnd w:id="1888"/>
            <w:bookmarkEnd w:id="1889"/>
            <w:bookmarkEnd w:id="1890"/>
            <w:bookmarkEnd w:id="1891"/>
            <w:bookmarkEnd w:id="1892"/>
            <w:bookmarkEnd w:id="1893"/>
          </w:p>
        </w:tc>
      </w:tr>
      <w:tr w:rsidR="00F7749D" w:rsidRPr="00D55B2B" w14:paraId="258A1840" w14:textId="77777777" w:rsidTr="00D23A40">
        <w:tblPrEx>
          <w:jc w:val="left"/>
        </w:tblPrEx>
        <w:trPr>
          <w:trHeight w:val="20"/>
        </w:trPr>
        <w:tc>
          <w:tcPr>
            <w:tcW w:w="805" w:type="dxa"/>
            <w:tcBorders>
              <w:right w:val="nil"/>
            </w:tcBorders>
            <w:shd w:val="clear" w:color="auto" w:fill="auto"/>
          </w:tcPr>
          <w:p w14:paraId="2B6063C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E0EEBC" w14:textId="77777777" w:rsidR="00F7749D" w:rsidRPr="00D55B2B" w:rsidRDefault="00F7749D" w:rsidP="00D23A40">
            <w:pPr>
              <w:tabs>
                <w:tab w:val="left" w:pos="0"/>
              </w:tabs>
              <w:autoSpaceDE w:val="0"/>
              <w:autoSpaceDN w:val="0"/>
              <w:adjustRightInd w:val="0"/>
              <w:spacing w:before="60" w:after="60"/>
              <w:rPr>
                <w:rFonts w:ascii="Arial" w:hAnsi="Arial" w:cs="Arial"/>
                <w:sz w:val="22"/>
                <w:szCs w:val="22"/>
              </w:rPr>
            </w:pPr>
            <w:r w:rsidRPr="00D55B2B">
              <w:rPr>
                <w:rFonts w:ascii="Arial" w:hAnsi="Arial" w:cs="Arial"/>
                <w:sz w:val="22"/>
                <w:szCs w:val="22"/>
              </w:rPr>
              <w:t>Las Partes mantendrán la más estricta confidencialidad respecto de toda la información a la que tendrán o han tenido acceso en virtud de la suscripción del Contrato y que incluye la información que haya sido proporcionada por una Parte a la otra de manera escrita, ya sea por medio electrónico y/o impreso, o aquella información a la que hayan tenido acceso.</w:t>
            </w:r>
          </w:p>
          <w:p w14:paraId="6F337E88" w14:textId="77777777" w:rsidR="00F7749D" w:rsidRPr="00D55B2B" w:rsidRDefault="00F7749D" w:rsidP="00D23A40">
            <w:pPr>
              <w:tabs>
                <w:tab w:val="left" w:pos="0"/>
              </w:tabs>
              <w:autoSpaceDE w:val="0"/>
              <w:autoSpaceDN w:val="0"/>
              <w:adjustRightInd w:val="0"/>
              <w:spacing w:before="60" w:after="60"/>
              <w:rPr>
                <w:rFonts w:ascii="Arial" w:hAnsi="Arial" w:cs="Arial"/>
                <w:sz w:val="22"/>
                <w:szCs w:val="22"/>
              </w:rPr>
            </w:pPr>
            <w:r w:rsidRPr="00D55B2B">
              <w:rPr>
                <w:rFonts w:ascii="Arial" w:hAnsi="Arial" w:cs="Arial"/>
                <w:sz w:val="22"/>
                <w:szCs w:val="22"/>
              </w:rPr>
              <w:t>Esta obligación de confidencialidad se hace extensiva a todos los subcontratistas y funcionarios que las Partes utilicen o estén vinculados con la ejecución de las Obras objeto del Contrato.</w:t>
            </w:r>
          </w:p>
        </w:tc>
      </w:tr>
      <w:tr w:rsidR="00F7749D" w:rsidRPr="00D55B2B" w14:paraId="2ED67BDD" w14:textId="77777777" w:rsidTr="00D23A40">
        <w:tblPrEx>
          <w:jc w:val="left"/>
        </w:tblPrEx>
        <w:trPr>
          <w:trHeight w:val="20"/>
        </w:trPr>
        <w:tc>
          <w:tcPr>
            <w:tcW w:w="805" w:type="dxa"/>
            <w:tcBorders>
              <w:right w:val="nil"/>
            </w:tcBorders>
            <w:shd w:val="clear" w:color="auto" w:fill="auto"/>
          </w:tcPr>
          <w:p w14:paraId="3DD118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992C684" w14:textId="77777777" w:rsidR="00F7749D" w:rsidRPr="00D55B2B" w:rsidRDefault="00F7749D" w:rsidP="00D23A40">
            <w:pPr>
              <w:tabs>
                <w:tab w:val="left" w:pos="0"/>
              </w:tabs>
              <w:autoSpaceDE w:val="0"/>
              <w:autoSpaceDN w:val="0"/>
              <w:adjustRightInd w:val="0"/>
              <w:spacing w:before="60" w:after="60"/>
              <w:rPr>
                <w:rFonts w:ascii="Arial" w:hAnsi="Arial" w:cs="Arial"/>
                <w:sz w:val="22"/>
                <w:szCs w:val="22"/>
              </w:rPr>
            </w:pPr>
            <w:r w:rsidRPr="00D55B2B">
              <w:rPr>
                <w:rFonts w:ascii="Arial" w:hAnsi="Arial" w:cs="Arial"/>
                <w:sz w:val="22"/>
                <w:szCs w:val="22"/>
              </w:rPr>
              <w:t>Toda información que el Contratante proporcione al Contratista en relación con el Contrato, incluyendo mapas, dibujos técnicos, fotografías, planos, informes, recomendaciones, estimaciones presupuestarias, documentos o cualquier otra información técnica, comercial y de otra índole, así como toda información desarrollada por el Contratista que refleje dicha información, será propiedad exclusiva del Contratante. El Contratista no podrá usar dicha información para cualquier otro propósito que no sea el del cumplimiento de sus obligaciones de conformidad con el Contrato. El Contratista debe mantener y tratar dicha información como propiedad confidencial del Contratante y abstenerse de divulgar dicha información a cualquier tercero, a menos que cuente con el consentimiento previo y por escrito del Contratante.</w:t>
            </w:r>
          </w:p>
        </w:tc>
      </w:tr>
      <w:tr w:rsidR="00F7749D" w:rsidRPr="00D55B2B" w14:paraId="351D7826" w14:textId="77777777" w:rsidTr="00D23A40">
        <w:tblPrEx>
          <w:jc w:val="left"/>
        </w:tblPrEx>
        <w:trPr>
          <w:trHeight w:val="20"/>
        </w:trPr>
        <w:tc>
          <w:tcPr>
            <w:tcW w:w="805" w:type="dxa"/>
            <w:tcBorders>
              <w:right w:val="nil"/>
            </w:tcBorders>
            <w:shd w:val="clear" w:color="auto" w:fill="auto"/>
          </w:tcPr>
          <w:p w14:paraId="755A92D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EBF4B58"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No obstante lo estipulado en la subcláusula 9.2, el Contratista tendrá el derecho de divulgar, en su caso, a los Subcontratistas o proveedores la información que pueda ser necesaria para el cumplimiento de sus obligaciones de conformidad con el Contrato, siempre y cuando el Subcontratista o proveedor de Equipos y Materiales </w:t>
            </w:r>
            <w:r w:rsidRPr="00D55B2B">
              <w:rPr>
                <w:rFonts w:ascii="Arial" w:hAnsi="Arial" w:cs="Arial"/>
                <w:sz w:val="22"/>
                <w:szCs w:val="22"/>
              </w:rPr>
              <w:lastRenderedPageBreak/>
              <w:t xml:space="preserve">correspondiente haya celebrado un convenio de confidencialidad con el Contratista en términos substancialmente similares a los establecidos en las subcláusulas 9.1 y 9.2. </w:t>
            </w:r>
          </w:p>
          <w:p w14:paraId="7BBA4CB3"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Contratista asumirá responsabilidad por cualquier mal uso o divulgación por los Subcontratistas o proveedores en cuestión de dicha información o por cualquier incumplimiento de los mismos con sus respectivos convenios de confidencialidad.</w:t>
            </w:r>
          </w:p>
        </w:tc>
      </w:tr>
      <w:tr w:rsidR="00F7749D" w:rsidRPr="00D55B2B" w14:paraId="35A3445A" w14:textId="77777777" w:rsidTr="00D23A40">
        <w:trPr>
          <w:cantSplit/>
          <w:trHeight w:val="423"/>
          <w:jc w:val="center"/>
        </w:trPr>
        <w:tc>
          <w:tcPr>
            <w:tcW w:w="805" w:type="dxa"/>
            <w:tcBorders>
              <w:right w:val="nil"/>
            </w:tcBorders>
            <w:shd w:val="clear" w:color="auto" w:fill="auto"/>
          </w:tcPr>
          <w:p w14:paraId="46970CD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BD569EE" w14:textId="77777777" w:rsidR="00F7749D" w:rsidRPr="00D55B2B" w:rsidRDefault="00F7749D" w:rsidP="00D23A40">
            <w:pPr>
              <w:tabs>
                <w:tab w:val="left" w:pos="0"/>
              </w:tabs>
              <w:autoSpaceDE w:val="0"/>
              <w:autoSpaceDN w:val="0"/>
              <w:adjustRightInd w:val="0"/>
              <w:spacing w:before="60" w:after="60"/>
              <w:rPr>
                <w:rFonts w:ascii="Arial" w:hAnsi="Arial" w:cs="Arial"/>
                <w:sz w:val="22"/>
                <w:szCs w:val="22"/>
              </w:rPr>
            </w:pPr>
            <w:r w:rsidRPr="00D55B2B">
              <w:rPr>
                <w:rFonts w:ascii="Arial" w:hAnsi="Arial" w:cs="Arial"/>
                <w:sz w:val="22"/>
                <w:szCs w:val="22"/>
              </w:rPr>
              <w:t>La obligación de las Partes de conformidad con las subcláusulas 9.1 a 9.3 de las CGC arriba mencionadas, no aplicará a información que:</w:t>
            </w:r>
          </w:p>
          <w:p w14:paraId="354D9BAA" w14:textId="77777777" w:rsidR="00F7749D" w:rsidRPr="00D55B2B" w:rsidRDefault="00F7749D" w:rsidP="00F7749D">
            <w:pPr>
              <w:pStyle w:val="Prrafodelista"/>
              <w:numPr>
                <w:ilvl w:val="0"/>
                <w:numId w:val="105"/>
              </w:numPr>
              <w:tabs>
                <w:tab w:val="left" w:pos="0"/>
              </w:tabs>
              <w:autoSpaceDE w:val="0"/>
              <w:autoSpaceDN w:val="0"/>
              <w:adjustRightInd w:val="0"/>
              <w:spacing w:before="60" w:after="60"/>
              <w:ind w:left="331"/>
              <w:rPr>
                <w:rFonts w:ascii="Arial" w:hAnsi="Arial" w:cs="Arial"/>
                <w:sz w:val="22"/>
                <w:szCs w:val="22"/>
              </w:rPr>
            </w:pPr>
            <w:r w:rsidRPr="00D55B2B">
              <w:rPr>
                <w:rFonts w:ascii="Arial" w:hAnsi="Arial" w:cs="Arial"/>
                <w:sz w:val="22"/>
                <w:szCs w:val="22"/>
              </w:rPr>
              <w:t xml:space="preserve">el Contratante o el Contratista requieran compartir con el Banco u otras instituciones que participan en el financiamiento del Contrato; </w:t>
            </w:r>
          </w:p>
          <w:p w14:paraId="7D59982E" w14:textId="77777777" w:rsidR="00F7749D" w:rsidRPr="00D55B2B" w:rsidRDefault="00F7749D" w:rsidP="00F7749D">
            <w:pPr>
              <w:pStyle w:val="Prrafodelista"/>
              <w:numPr>
                <w:ilvl w:val="0"/>
                <w:numId w:val="105"/>
              </w:numPr>
              <w:tabs>
                <w:tab w:val="left" w:pos="0"/>
              </w:tabs>
              <w:autoSpaceDE w:val="0"/>
              <w:autoSpaceDN w:val="0"/>
              <w:adjustRightInd w:val="0"/>
              <w:spacing w:before="60" w:after="60"/>
              <w:ind w:left="331"/>
              <w:rPr>
                <w:rFonts w:ascii="Arial" w:hAnsi="Arial" w:cs="Arial"/>
                <w:sz w:val="22"/>
                <w:szCs w:val="22"/>
              </w:rPr>
            </w:pPr>
            <w:r w:rsidRPr="00D55B2B">
              <w:rPr>
                <w:rFonts w:ascii="Arial" w:hAnsi="Arial" w:cs="Arial"/>
                <w:sz w:val="22"/>
                <w:szCs w:val="22"/>
              </w:rPr>
              <w:t>actualmente o en el futuro se hace de dominio público sin infracción de ninguna de las Partes;</w:t>
            </w:r>
          </w:p>
          <w:p w14:paraId="71300B3A" w14:textId="77777777" w:rsidR="00F7749D" w:rsidRPr="00D55B2B" w:rsidRDefault="00F7749D" w:rsidP="00F7749D">
            <w:pPr>
              <w:pStyle w:val="Prrafodelista"/>
              <w:numPr>
                <w:ilvl w:val="0"/>
                <w:numId w:val="105"/>
              </w:numPr>
              <w:tabs>
                <w:tab w:val="left" w:pos="0"/>
              </w:tabs>
              <w:autoSpaceDE w:val="0"/>
              <w:autoSpaceDN w:val="0"/>
              <w:adjustRightInd w:val="0"/>
              <w:spacing w:before="60" w:after="60"/>
              <w:ind w:left="331"/>
              <w:rPr>
                <w:rFonts w:ascii="Arial" w:hAnsi="Arial" w:cs="Arial"/>
                <w:sz w:val="22"/>
                <w:szCs w:val="22"/>
              </w:rPr>
            </w:pPr>
            <w:r w:rsidRPr="00D55B2B">
              <w:rPr>
                <w:rFonts w:ascii="Arial" w:hAnsi="Arial" w:cs="Arial"/>
                <w:sz w:val="22"/>
                <w:szCs w:val="22"/>
              </w:rPr>
              <w:t xml:space="preserve">puede comprobarse que estaba en posesión de esa Parte en el momento que fue divulgada y no fue obtenida previamente directa o indirectamente de la otra Parte; o  </w:t>
            </w:r>
          </w:p>
          <w:p w14:paraId="5B2BAD46"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sz w:val="22"/>
                <w:szCs w:val="22"/>
              </w:rPr>
              <w:t>de otra manera fue legalmente puesta a la disponibilidad de esa Parte por una tercera parte que no tenía obligación de confidencialidad.</w:t>
            </w:r>
          </w:p>
        </w:tc>
      </w:tr>
      <w:tr w:rsidR="00F7749D" w:rsidRPr="00D55B2B" w14:paraId="58D60B4A" w14:textId="77777777" w:rsidTr="00D23A40">
        <w:trPr>
          <w:cantSplit/>
          <w:trHeight w:val="423"/>
          <w:jc w:val="center"/>
        </w:trPr>
        <w:tc>
          <w:tcPr>
            <w:tcW w:w="805" w:type="dxa"/>
            <w:tcBorders>
              <w:right w:val="nil"/>
            </w:tcBorders>
            <w:shd w:val="clear" w:color="auto" w:fill="auto"/>
          </w:tcPr>
          <w:p w14:paraId="5381F614"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CA3EBF"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sz w:val="22"/>
                <w:szCs w:val="22"/>
              </w:rPr>
              <w:t xml:space="preserve">Las obligaciones de confidencialidad asumidas por las Partes en virtud de las disposiciones contenidas en la cláusula 9 subsistirán ininterrumpida y permanentemente con toda fuerza y vigor aún después de terminado o vencido el plazo del Contrato, en el país del Contratante o en el extranjero. </w:t>
            </w:r>
          </w:p>
        </w:tc>
      </w:tr>
      <w:tr w:rsidR="00F7749D" w:rsidRPr="00D55B2B" w14:paraId="698CF860" w14:textId="77777777" w:rsidTr="00D23A40">
        <w:trPr>
          <w:cantSplit/>
          <w:trHeight w:val="423"/>
          <w:jc w:val="center"/>
        </w:trPr>
        <w:tc>
          <w:tcPr>
            <w:tcW w:w="805" w:type="dxa"/>
            <w:tcBorders>
              <w:right w:val="nil"/>
            </w:tcBorders>
            <w:shd w:val="clear" w:color="auto" w:fill="auto"/>
          </w:tcPr>
          <w:p w14:paraId="267BF0E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BD65BCE" w14:textId="77777777" w:rsidR="00F7749D" w:rsidRPr="00D55B2B" w:rsidRDefault="00F7749D" w:rsidP="00D23A40">
            <w:pPr>
              <w:spacing w:before="60" w:after="60"/>
              <w:rPr>
                <w:rFonts w:ascii="Arial" w:hAnsi="Arial" w:cs="Arial"/>
                <w:b/>
                <w:bCs/>
                <w:sz w:val="22"/>
                <w:szCs w:val="22"/>
                <w:lang w:val="es-MX"/>
              </w:rPr>
            </w:pPr>
            <w:r w:rsidRPr="00D55B2B">
              <w:rPr>
                <w:rFonts w:ascii="Arial" w:hAnsi="Arial" w:cs="Arial"/>
                <w:sz w:val="22"/>
                <w:szCs w:val="22"/>
              </w:rPr>
              <w:t xml:space="preserve">Cualquier uso indebido de la información confidencial a que tuviere acceso el Contratista será considerado una violación a las obligaciones de confidencialidad y, por tanto. se hará acreedor a las penas, sanciones y responsabilidad civil respecto de la reparación del daño material o la indemnización por daños y perjuicios, de conformidad con lo previsto en la ley aplicable. </w:t>
            </w:r>
          </w:p>
        </w:tc>
      </w:tr>
      <w:tr w:rsidR="00F7749D" w:rsidRPr="00D55B2B" w14:paraId="5F8D57AB" w14:textId="77777777" w:rsidTr="00D23A40">
        <w:trPr>
          <w:cantSplit/>
          <w:trHeight w:val="423"/>
          <w:jc w:val="center"/>
        </w:trPr>
        <w:tc>
          <w:tcPr>
            <w:tcW w:w="805" w:type="dxa"/>
            <w:tcBorders>
              <w:right w:val="nil"/>
            </w:tcBorders>
            <w:shd w:val="clear" w:color="auto" w:fill="auto"/>
          </w:tcPr>
          <w:p w14:paraId="60217588"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7EA6C981" w14:textId="77777777" w:rsidR="00F7749D" w:rsidRPr="00D55B2B" w:rsidRDefault="00F7749D" w:rsidP="00D23A40">
            <w:pPr>
              <w:pStyle w:val="Ttulo2"/>
              <w:keepNext w:val="0"/>
              <w:spacing w:before="60" w:after="60"/>
              <w:ind w:left="0" w:firstLine="0"/>
              <w:jc w:val="both"/>
              <w:rPr>
                <w:rFonts w:cs="Arial"/>
                <w:b w:val="0"/>
                <w:bCs/>
                <w:sz w:val="22"/>
                <w:szCs w:val="22"/>
                <w:lang w:val="es-MX"/>
              </w:rPr>
            </w:pPr>
            <w:bookmarkStart w:id="1894" w:name="_Toc47916960"/>
            <w:bookmarkStart w:id="1895" w:name="_Toc74048238"/>
            <w:bookmarkStart w:id="1896" w:name="_Toc74518478"/>
            <w:bookmarkStart w:id="1897" w:name="_Toc74519208"/>
            <w:bookmarkStart w:id="1898" w:name="_Toc74781398"/>
            <w:bookmarkStart w:id="1899" w:name="_Toc74930911"/>
            <w:r w:rsidRPr="00D55B2B">
              <w:rPr>
                <w:rFonts w:cs="Arial"/>
                <w:sz w:val="22"/>
                <w:szCs w:val="22"/>
              </w:rPr>
              <w:t>Conflicto</w:t>
            </w:r>
            <w:r w:rsidRPr="000E0C97">
              <w:rPr>
                <w:rFonts w:cs="Arial"/>
                <w:sz w:val="22"/>
                <w:szCs w:val="22"/>
              </w:rPr>
              <w:t xml:space="preserve"> de interés</w:t>
            </w:r>
            <w:bookmarkEnd w:id="1894"/>
            <w:bookmarkEnd w:id="1895"/>
            <w:bookmarkEnd w:id="1896"/>
            <w:bookmarkEnd w:id="1897"/>
            <w:bookmarkEnd w:id="1898"/>
            <w:bookmarkEnd w:id="1899"/>
          </w:p>
        </w:tc>
      </w:tr>
      <w:tr w:rsidR="00F7749D" w:rsidRPr="00D55B2B" w14:paraId="2F0CA956" w14:textId="77777777" w:rsidTr="00D23A40">
        <w:trPr>
          <w:cantSplit/>
          <w:trHeight w:val="423"/>
          <w:jc w:val="center"/>
        </w:trPr>
        <w:tc>
          <w:tcPr>
            <w:tcW w:w="805" w:type="dxa"/>
            <w:tcBorders>
              <w:right w:val="nil"/>
            </w:tcBorders>
            <w:shd w:val="clear" w:color="auto" w:fill="auto"/>
          </w:tcPr>
          <w:p w14:paraId="4C69140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6337497" w14:textId="77777777" w:rsidR="00F7749D" w:rsidRPr="00D55B2B" w:rsidRDefault="00F7749D" w:rsidP="00D23A40">
            <w:pPr>
              <w:tabs>
                <w:tab w:val="left" w:pos="0"/>
              </w:tabs>
              <w:autoSpaceDE w:val="0"/>
              <w:autoSpaceDN w:val="0"/>
              <w:adjustRightInd w:val="0"/>
              <w:spacing w:before="60" w:after="60"/>
              <w:rPr>
                <w:rFonts w:cs="Arial"/>
                <w:sz w:val="22"/>
                <w:szCs w:val="22"/>
              </w:rPr>
            </w:pPr>
            <w:r w:rsidRPr="00D55B2B">
              <w:rPr>
                <w:rFonts w:ascii="Arial" w:hAnsi="Arial" w:cs="Arial"/>
                <w:sz w:val="22"/>
                <w:szCs w:val="22"/>
              </w:rPr>
              <w:t xml:space="preserve">El Contratista adoptará todas las medidas necesarias para evitar cualquier situación de conflicto de intereses y comunicará estas obligaciones a sus subcontratistas, a su personal y a toda persona autorizada para representarle o tomar decisiones a su nombre.  </w:t>
            </w:r>
          </w:p>
        </w:tc>
      </w:tr>
      <w:tr w:rsidR="00F7749D" w:rsidRPr="00D55B2B" w14:paraId="5D620077" w14:textId="77777777" w:rsidTr="00D23A40">
        <w:trPr>
          <w:cantSplit/>
          <w:trHeight w:val="423"/>
          <w:jc w:val="center"/>
        </w:trPr>
        <w:tc>
          <w:tcPr>
            <w:tcW w:w="805" w:type="dxa"/>
            <w:tcBorders>
              <w:right w:val="nil"/>
            </w:tcBorders>
            <w:shd w:val="clear" w:color="auto" w:fill="auto"/>
          </w:tcPr>
          <w:p w14:paraId="13C9120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3C62CFB"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Durante la vigencia del Contrato, ni el Contratista, incluyendo a todo su personal, ni sus subcontratistas podrán:</w:t>
            </w:r>
          </w:p>
          <w:p w14:paraId="04B84BC4" w14:textId="77777777" w:rsidR="00F7749D" w:rsidRPr="00D55B2B" w:rsidRDefault="00F7749D" w:rsidP="00F7749D">
            <w:pPr>
              <w:pStyle w:val="Prrafodelista"/>
              <w:numPr>
                <w:ilvl w:val="0"/>
                <w:numId w:val="77"/>
              </w:numPr>
              <w:tabs>
                <w:tab w:val="clear" w:pos="720"/>
              </w:tabs>
              <w:spacing w:before="60" w:after="60"/>
              <w:ind w:left="430" w:hanging="360"/>
              <w:rPr>
                <w:rFonts w:ascii="Arial" w:hAnsi="Arial" w:cs="Arial"/>
                <w:sz w:val="22"/>
                <w:szCs w:val="22"/>
              </w:rPr>
            </w:pPr>
            <w:r w:rsidRPr="00D55B2B">
              <w:rPr>
                <w:rFonts w:ascii="Arial" w:hAnsi="Arial" w:cs="Arial"/>
                <w:sz w:val="22"/>
                <w:szCs w:val="22"/>
              </w:rPr>
              <w:t xml:space="preserve">Participar directa o indirectamente en actividades comerciales o profesionales en el País del Contratante que sean incompatibles con sus obligaciones en virtud del Contrato, </w:t>
            </w:r>
          </w:p>
          <w:p w14:paraId="2D3F429F" w14:textId="77777777" w:rsidR="00F7749D" w:rsidRPr="00D55B2B" w:rsidRDefault="00F7749D" w:rsidP="00F7749D">
            <w:pPr>
              <w:pStyle w:val="Prrafodelista"/>
              <w:numPr>
                <w:ilvl w:val="0"/>
                <w:numId w:val="77"/>
              </w:numPr>
              <w:tabs>
                <w:tab w:val="clear" w:pos="720"/>
              </w:tabs>
              <w:spacing w:before="60" w:after="60"/>
              <w:ind w:left="430" w:hanging="360"/>
              <w:rPr>
                <w:rFonts w:ascii="Arial" w:hAnsi="Arial" w:cs="Arial"/>
                <w:sz w:val="22"/>
                <w:szCs w:val="22"/>
              </w:rPr>
            </w:pPr>
            <w:r w:rsidRPr="00D55B2B">
              <w:rPr>
                <w:rFonts w:ascii="Arial" w:hAnsi="Arial" w:cs="Arial"/>
                <w:sz w:val="22"/>
                <w:szCs w:val="22"/>
              </w:rPr>
              <w:t>Contratar a empleados públicos en actividad o en cualquier tipo de licencia para que realicen actividades en virtud de este Contrato,</w:t>
            </w:r>
          </w:p>
          <w:p w14:paraId="6EEB8BE0" w14:textId="77777777" w:rsidR="00F7749D" w:rsidRPr="0040377E" w:rsidRDefault="00F7749D" w:rsidP="00D23A40">
            <w:pPr>
              <w:tabs>
                <w:tab w:val="left" w:pos="0"/>
              </w:tabs>
              <w:autoSpaceDE w:val="0"/>
              <w:autoSpaceDN w:val="0"/>
              <w:adjustRightInd w:val="0"/>
              <w:spacing w:before="60" w:after="60"/>
              <w:rPr>
                <w:rFonts w:cs="Arial"/>
                <w:sz w:val="22"/>
                <w:szCs w:val="22"/>
              </w:rPr>
            </w:pPr>
            <w:r w:rsidRPr="00D55B2B">
              <w:rPr>
                <w:rFonts w:ascii="Arial" w:hAnsi="Arial" w:cs="Arial"/>
                <w:sz w:val="22"/>
                <w:szCs w:val="22"/>
              </w:rPr>
              <w:t xml:space="preserve">Cualquier otra actividad adicional que </w:t>
            </w:r>
            <w:r w:rsidRPr="00D55B2B">
              <w:rPr>
                <w:rFonts w:ascii="Arial" w:hAnsi="Arial" w:cs="Arial"/>
                <w:bCs/>
                <w:sz w:val="22"/>
                <w:szCs w:val="22"/>
              </w:rPr>
              <w:t>se especifique en las</w:t>
            </w:r>
            <w:r w:rsidRPr="00D55B2B">
              <w:rPr>
                <w:rFonts w:ascii="Arial" w:hAnsi="Arial" w:cs="Arial"/>
                <w:b/>
                <w:bCs/>
                <w:sz w:val="22"/>
                <w:szCs w:val="22"/>
              </w:rPr>
              <w:t xml:space="preserve"> CPC</w:t>
            </w:r>
            <w:r w:rsidRPr="00D55B2B">
              <w:rPr>
                <w:rFonts w:ascii="Arial" w:hAnsi="Arial" w:cs="Arial"/>
                <w:sz w:val="22"/>
                <w:szCs w:val="22"/>
              </w:rPr>
              <w:t>.</w:t>
            </w:r>
          </w:p>
        </w:tc>
      </w:tr>
      <w:tr w:rsidR="00F7749D" w:rsidRPr="00D55B2B" w14:paraId="1AEFD2E6" w14:textId="77777777" w:rsidTr="00D23A40">
        <w:trPr>
          <w:cantSplit/>
          <w:trHeight w:val="423"/>
          <w:jc w:val="center"/>
        </w:trPr>
        <w:tc>
          <w:tcPr>
            <w:tcW w:w="805" w:type="dxa"/>
            <w:tcBorders>
              <w:right w:val="nil"/>
            </w:tcBorders>
            <w:shd w:val="clear" w:color="auto" w:fill="auto"/>
          </w:tcPr>
          <w:p w14:paraId="13B8CB3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359E696" w14:textId="77777777" w:rsidR="00F7749D" w:rsidRPr="0040377E" w:rsidRDefault="00F7749D" w:rsidP="00D23A40">
            <w:pPr>
              <w:tabs>
                <w:tab w:val="left" w:pos="0"/>
              </w:tabs>
              <w:autoSpaceDE w:val="0"/>
              <w:autoSpaceDN w:val="0"/>
              <w:adjustRightInd w:val="0"/>
              <w:spacing w:before="60" w:after="60"/>
              <w:rPr>
                <w:rFonts w:cs="Arial"/>
                <w:sz w:val="22"/>
                <w:szCs w:val="22"/>
              </w:rPr>
            </w:pPr>
            <w:r w:rsidRPr="00D55B2B">
              <w:rPr>
                <w:rFonts w:ascii="Arial" w:hAnsi="Arial" w:cs="Arial"/>
                <w:sz w:val="22"/>
                <w:szCs w:val="22"/>
              </w:rPr>
              <w:t xml:space="preserve">De ser aplicable, al concluir el Contrato ni el Contratista ni sus subcontratistas podrán realizar las actividades que se </w:t>
            </w:r>
            <w:r w:rsidRPr="00D55B2B">
              <w:rPr>
                <w:rFonts w:ascii="Arial" w:hAnsi="Arial" w:cs="Arial"/>
                <w:bCs/>
                <w:sz w:val="22"/>
                <w:szCs w:val="22"/>
              </w:rPr>
              <w:t>especifican en las</w:t>
            </w:r>
            <w:r w:rsidRPr="00D55B2B">
              <w:rPr>
                <w:rFonts w:ascii="Arial" w:hAnsi="Arial" w:cs="Arial"/>
                <w:b/>
                <w:bCs/>
                <w:sz w:val="22"/>
                <w:szCs w:val="22"/>
              </w:rPr>
              <w:t xml:space="preserve"> CPC.</w:t>
            </w:r>
          </w:p>
        </w:tc>
      </w:tr>
      <w:tr w:rsidR="00F7749D" w:rsidRPr="00D55B2B" w14:paraId="26558591" w14:textId="77777777" w:rsidTr="00D23A40">
        <w:trPr>
          <w:cantSplit/>
          <w:trHeight w:val="423"/>
          <w:jc w:val="center"/>
        </w:trPr>
        <w:tc>
          <w:tcPr>
            <w:tcW w:w="805" w:type="dxa"/>
            <w:tcBorders>
              <w:right w:val="nil"/>
            </w:tcBorders>
            <w:shd w:val="clear" w:color="auto" w:fill="auto"/>
          </w:tcPr>
          <w:p w14:paraId="7D7A8330"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6007CD22" w14:textId="77777777" w:rsidR="00F7749D" w:rsidRPr="0040377E" w:rsidRDefault="00F7749D" w:rsidP="00D23A40">
            <w:pPr>
              <w:pStyle w:val="Ttulo2"/>
              <w:keepNext w:val="0"/>
              <w:spacing w:before="60" w:after="60"/>
              <w:ind w:left="0" w:firstLine="0"/>
              <w:jc w:val="both"/>
              <w:rPr>
                <w:rFonts w:ascii="Times New Roman" w:hAnsi="Times New Roman" w:cs="Arial"/>
                <w:sz w:val="22"/>
                <w:szCs w:val="22"/>
              </w:rPr>
            </w:pPr>
            <w:bookmarkStart w:id="1900" w:name="_Toc20319591"/>
            <w:bookmarkStart w:id="1901" w:name="_Toc47916961"/>
            <w:bookmarkStart w:id="1902" w:name="_Toc74048239"/>
            <w:bookmarkStart w:id="1903" w:name="_Toc74518479"/>
            <w:bookmarkStart w:id="1904" w:name="_Toc74519209"/>
            <w:bookmarkStart w:id="1905" w:name="_Toc74781399"/>
            <w:bookmarkStart w:id="1906" w:name="_Toc74930912"/>
            <w:r w:rsidRPr="00D55B2B">
              <w:rPr>
                <w:rFonts w:cs="Arial"/>
                <w:sz w:val="22"/>
                <w:szCs w:val="22"/>
              </w:rPr>
              <w:t>Representantes autorizados</w:t>
            </w:r>
            <w:bookmarkEnd w:id="1900"/>
            <w:bookmarkEnd w:id="1901"/>
            <w:bookmarkEnd w:id="1902"/>
            <w:bookmarkEnd w:id="1903"/>
            <w:bookmarkEnd w:id="1904"/>
            <w:bookmarkEnd w:id="1905"/>
            <w:bookmarkEnd w:id="1906"/>
          </w:p>
        </w:tc>
      </w:tr>
      <w:tr w:rsidR="00F7749D" w:rsidRPr="00D55B2B" w14:paraId="7DF9AA96" w14:textId="77777777" w:rsidTr="00D23A40">
        <w:trPr>
          <w:cantSplit/>
          <w:trHeight w:val="423"/>
          <w:jc w:val="center"/>
        </w:trPr>
        <w:tc>
          <w:tcPr>
            <w:tcW w:w="805" w:type="dxa"/>
            <w:tcBorders>
              <w:right w:val="nil"/>
            </w:tcBorders>
            <w:shd w:val="clear" w:color="auto" w:fill="auto"/>
          </w:tcPr>
          <w:p w14:paraId="39F1DAF3" w14:textId="77777777" w:rsidR="00F7749D" w:rsidRPr="0000187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697CDD" w14:textId="77777777" w:rsidR="00F7749D" w:rsidRPr="0000187B" w:rsidRDefault="00F7749D" w:rsidP="00D23A40">
            <w:pPr>
              <w:spacing w:before="60" w:after="60"/>
              <w:rPr>
                <w:rFonts w:ascii="Arial" w:hAnsi="Arial" w:cs="Arial"/>
                <w:sz w:val="22"/>
                <w:szCs w:val="22"/>
              </w:rPr>
            </w:pPr>
            <w:r w:rsidRPr="0000187B">
              <w:rPr>
                <w:rFonts w:ascii="Arial" w:hAnsi="Arial" w:cs="Arial"/>
                <w:sz w:val="22"/>
                <w:szCs w:val="22"/>
              </w:rPr>
              <w:t>El representante autorizado del Contratante para la administración del Contrato es el Gerente de Obras, definido en la subcláusula 1.1 t) de las CPC.</w:t>
            </w:r>
          </w:p>
          <w:p w14:paraId="7FE7E2ED" w14:textId="77777777" w:rsidR="00F7749D" w:rsidRPr="0000187B" w:rsidRDefault="00F7749D" w:rsidP="00D23A40">
            <w:pPr>
              <w:tabs>
                <w:tab w:val="left" w:pos="0"/>
              </w:tabs>
              <w:autoSpaceDE w:val="0"/>
              <w:autoSpaceDN w:val="0"/>
              <w:adjustRightInd w:val="0"/>
              <w:spacing w:before="60" w:after="60"/>
              <w:rPr>
                <w:rFonts w:cs="Arial"/>
                <w:sz w:val="22"/>
                <w:szCs w:val="22"/>
              </w:rPr>
            </w:pPr>
            <w:r w:rsidRPr="0000187B">
              <w:rPr>
                <w:rFonts w:ascii="Arial" w:hAnsi="Arial" w:cs="Arial"/>
                <w:sz w:val="22"/>
                <w:szCs w:val="22"/>
              </w:rPr>
              <w:t>El representante autorizado del Contratista en el Sitio de las Obras es el Superintendente de Construcción, nombrado en la subcláusula 1.1 qq) de las CPC.</w:t>
            </w:r>
          </w:p>
        </w:tc>
      </w:tr>
      <w:tr w:rsidR="00F7749D" w:rsidRPr="00D55B2B" w14:paraId="705D2631" w14:textId="77777777" w:rsidTr="00D23A40">
        <w:trPr>
          <w:cantSplit/>
          <w:trHeight w:val="423"/>
          <w:jc w:val="center"/>
        </w:trPr>
        <w:tc>
          <w:tcPr>
            <w:tcW w:w="805" w:type="dxa"/>
            <w:tcBorders>
              <w:right w:val="nil"/>
            </w:tcBorders>
            <w:shd w:val="clear" w:color="auto" w:fill="auto"/>
          </w:tcPr>
          <w:p w14:paraId="6E122C8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426658"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Salvo cuando se especifique otra cosa, las personas designadas como representantes autorizados podrán adoptar cualquier medida que el Contratante o el Contratista deba o pueda adoptar en virtud de este Contrato, y podrán firmar en nombre de éstos cualquier documento que conforme a este Contrato deba o pueda firmarse.</w:t>
            </w:r>
          </w:p>
        </w:tc>
      </w:tr>
      <w:tr w:rsidR="00F7749D" w:rsidRPr="00D55B2B" w14:paraId="0F775152" w14:textId="77777777" w:rsidTr="00D23A40">
        <w:trPr>
          <w:cantSplit/>
          <w:trHeight w:val="423"/>
          <w:jc w:val="center"/>
        </w:trPr>
        <w:tc>
          <w:tcPr>
            <w:tcW w:w="805" w:type="dxa"/>
            <w:tcBorders>
              <w:right w:val="nil"/>
            </w:tcBorders>
            <w:shd w:val="clear" w:color="auto" w:fill="auto"/>
          </w:tcPr>
          <w:p w14:paraId="408F190A"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4CC07C8F" w14:textId="77777777" w:rsidR="00F7749D" w:rsidRPr="00D55B2B" w:rsidRDefault="00F7749D" w:rsidP="00D23A40">
            <w:pPr>
              <w:pStyle w:val="Ttulo2"/>
              <w:keepNext w:val="0"/>
              <w:spacing w:before="60" w:after="60"/>
              <w:ind w:left="0" w:firstLine="0"/>
              <w:jc w:val="both"/>
              <w:rPr>
                <w:rFonts w:cs="Arial"/>
                <w:sz w:val="22"/>
                <w:szCs w:val="22"/>
              </w:rPr>
            </w:pPr>
            <w:r w:rsidRPr="00D55B2B">
              <w:rPr>
                <w:rFonts w:cs="Arial"/>
                <w:sz w:val="22"/>
                <w:szCs w:val="22"/>
              </w:rPr>
              <w:t>Decisiones del Gerente de Obras</w:t>
            </w:r>
          </w:p>
        </w:tc>
      </w:tr>
      <w:tr w:rsidR="00F7749D" w:rsidRPr="00D55B2B" w14:paraId="36FA3970" w14:textId="77777777" w:rsidTr="00D23A40">
        <w:trPr>
          <w:cantSplit/>
          <w:trHeight w:val="423"/>
          <w:jc w:val="center"/>
        </w:trPr>
        <w:tc>
          <w:tcPr>
            <w:tcW w:w="805" w:type="dxa"/>
            <w:tcBorders>
              <w:right w:val="nil"/>
            </w:tcBorders>
            <w:shd w:val="clear" w:color="auto" w:fill="auto"/>
          </w:tcPr>
          <w:p w14:paraId="6F77625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03D215"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Salvo cuando se especifique otra cosa, el Gerente de Obras, en representación del Contratante, decidirá sobre cuestiones contractuales que se presenten entre el Contratante y el Contratista.</w:t>
            </w:r>
          </w:p>
          <w:p w14:paraId="779F57DA"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Gerente de Obras interpretará los requisitos establecidos en los documentos del Contrato y juzgará si el Contratista cumple con los mismos. Toda interpretación u orden por parte del Gerente de Obras habrá de ser compatible con la intención de los documentos del Contrato y la hará por escrito o en forma de planos.</w:t>
            </w:r>
          </w:p>
        </w:tc>
      </w:tr>
      <w:tr w:rsidR="00F7749D" w:rsidRPr="00D55B2B" w14:paraId="601CEC4B" w14:textId="77777777" w:rsidTr="00D23A40">
        <w:trPr>
          <w:cantSplit/>
          <w:trHeight w:val="423"/>
          <w:jc w:val="center"/>
        </w:trPr>
        <w:tc>
          <w:tcPr>
            <w:tcW w:w="805" w:type="dxa"/>
            <w:tcBorders>
              <w:right w:val="nil"/>
            </w:tcBorders>
            <w:shd w:val="clear" w:color="auto" w:fill="auto"/>
          </w:tcPr>
          <w:p w14:paraId="387A3F40"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44D9519E" w14:textId="77777777" w:rsidR="00F7749D" w:rsidRPr="00D55B2B" w:rsidRDefault="00F7749D" w:rsidP="00D23A40">
            <w:pPr>
              <w:pStyle w:val="Ttulo2"/>
              <w:keepNext w:val="0"/>
              <w:spacing w:before="60" w:after="60"/>
              <w:ind w:left="0" w:firstLine="0"/>
              <w:jc w:val="both"/>
              <w:rPr>
                <w:rFonts w:cs="Arial"/>
                <w:sz w:val="22"/>
                <w:szCs w:val="22"/>
              </w:rPr>
            </w:pPr>
            <w:bookmarkStart w:id="1907" w:name="_Toc47916963"/>
            <w:bookmarkStart w:id="1908" w:name="_Toc74048241"/>
            <w:bookmarkStart w:id="1909" w:name="_Toc74518481"/>
            <w:bookmarkStart w:id="1910" w:name="_Toc74519211"/>
            <w:bookmarkStart w:id="1911" w:name="_Toc74781401"/>
            <w:bookmarkStart w:id="1912" w:name="_Toc74930914"/>
            <w:r w:rsidRPr="00D55B2B">
              <w:rPr>
                <w:rFonts w:cs="Arial"/>
                <w:sz w:val="22"/>
                <w:szCs w:val="22"/>
              </w:rPr>
              <w:t>Delegación de funciones del Gerente de Obras</w:t>
            </w:r>
            <w:bookmarkEnd w:id="1907"/>
            <w:bookmarkEnd w:id="1908"/>
            <w:bookmarkEnd w:id="1909"/>
            <w:bookmarkEnd w:id="1910"/>
            <w:bookmarkEnd w:id="1911"/>
            <w:bookmarkEnd w:id="1912"/>
          </w:p>
        </w:tc>
      </w:tr>
      <w:tr w:rsidR="00F7749D" w:rsidRPr="00D55B2B" w14:paraId="223B734D" w14:textId="77777777" w:rsidTr="00D23A40">
        <w:trPr>
          <w:cantSplit/>
          <w:trHeight w:val="423"/>
          <w:jc w:val="center"/>
        </w:trPr>
        <w:tc>
          <w:tcPr>
            <w:tcW w:w="805" w:type="dxa"/>
            <w:tcBorders>
              <w:right w:val="nil"/>
            </w:tcBorders>
            <w:shd w:val="clear" w:color="auto" w:fill="auto"/>
          </w:tcPr>
          <w:p w14:paraId="50A1E78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E3C815B"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Salvo cuando </w:t>
            </w:r>
            <w:r w:rsidRPr="00D55B2B">
              <w:rPr>
                <w:rFonts w:ascii="Arial" w:hAnsi="Arial" w:cs="Arial"/>
                <w:b/>
                <w:bCs/>
                <w:sz w:val="22"/>
                <w:szCs w:val="22"/>
              </w:rPr>
              <w:t>se especifique otra cosa en las CPC</w:t>
            </w:r>
            <w:r w:rsidRPr="00D55B2B">
              <w:rPr>
                <w:rFonts w:ascii="Arial" w:hAnsi="Arial" w:cs="Arial"/>
                <w:sz w:val="22"/>
                <w:szCs w:val="22"/>
              </w:rPr>
              <w:t>, el Gerente de Obras, después de notificar al Contratista, podrá delegar en otras personas cualquiera de sus deberes y responsabilidades o, asimismo, después de notificar al Contratista podrá cancelar cualquier delegación de funciones.</w:t>
            </w:r>
          </w:p>
        </w:tc>
      </w:tr>
      <w:tr w:rsidR="00F7749D" w:rsidRPr="00D55B2B" w14:paraId="7ABEB59C" w14:textId="77777777" w:rsidTr="00D23A40">
        <w:trPr>
          <w:cantSplit/>
          <w:trHeight w:val="423"/>
          <w:jc w:val="center"/>
        </w:trPr>
        <w:tc>
          <w:tcPr>
            <w:tcW w:w="805" w:type="dxa"/>
            <w:tcBorders>
              <w:right w:val="nil"/>
            </w:tcBorders>
            <w:shd w:val="clear" w:color="auto" w:fill="auto"/>
          </w:tcPr>
          <w:p w14:paraId="5DC31289"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1FAAE923" w14:textId="77777777" w:rsidR="00F7749D" w:rsidRPr="00D55B2B" w:rsidRDefault="00F7749D" w:rsidP="00D23A40">
            <w:pPr>
              <w:pStyle w:val="Ttulo2"/>
              <w:keepNext w:val="0"/>
              <w:spacing w:before="60" w:after="60"/>
              <w:ind w:left="0" w:firstLine="0"/>
              <w:jc w:val="both"/>
              <w:rPr>
                <w:rFonts w:cs="Arial"/>
                <w:sz w:val="22"/>
                <w:szCs w:val="22"/>
              </w:rPr>
            </w:pPr>
            <w:bookmarkStart w:id="1913" w:name="_Toc47916964"/>
            <w:bookmarkStart w:id="1914" w:name="_Toc74048242"/>
            <w:bookmarkStart w:id="1915" w:name="_Toc74518482"/>
            <w:bookmarkStart w:id="1916" w:name="_Toc74519212"/>
            <w:bookmarkStart w:id="1917" w:name="_Toc74781402"/>
            <w:bookmarkStart w:id="1918" w:name="_Toc74930915"/>
            <w:r w:rsidRPr="00D55B2B">
              <w:rPr>
                <w:rFonts w:cs="Arial"/>
                <w:sz w:val="22"/>
                <w:szCs w:val="22"/>
              </w:rPr>
              <w:t>Superintendente de construcción</w:t>
            </w:r>
            <w:bookmarkEnd w:id="1913"/>
            <w:bookmarkEnd w:id="1914"/>
            <w:bookmarkEnd w:id="1915"/>
            <w:bookmarkEnd w:id="1916"/>
            <w:bookmarkEnd w:id="1917"/>
            <w:bookmarkEnd w:id="1918"/>
          </w:p>
        </w:tc>
      </w:tr>
      <w:tr w:rsidR="00F7749D" w:rsidRPr="00D55B2B" w14:paraId="1E781005" w14:textId="77777777" w:rsidTr="00D23A40">
        <w:trPr>
          <w:cantSplit/>
          <w:trHeight w:val="423"/>
          <w:jc w:val="center"/>
        </w:trPr>
        <w:tc>
          <w:tcPr>
            <w:tcW w:w="805" w:type="dxa"/>
            <w:tcBorders>
              <w:right w:val="nil"/>
            </w:tcBorders>
            <w:shd w:val="clear" w:color="auto" w:fill="auto"/>
          </w:tcPr>
          <w:p w14:paraId="014A0FF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535EF5"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Sin perjuicio de otro personal técnico clave que haya sido requerido como parte de la oferta del Contratista y a fin de supervisar el adecuado cumplimiento de sus obligaciones en el Sitio de las Obras, el Contratista establecerá, anticipadamente al inicio de los trabajos, un representante permanente que actuará como su Superintendente de construcción y cuyo nombre se indica en la subcláusula 1.1 de las CPC. El Superintendente de construcción deberá tener poder amplio y suficiente para actuar en nombre y representación del Contratista en el Sitio de las Obras y para recibir las notificaciones del Contratante a través del Gerente de Obras.</w:t>
            </w:r>
          </w:p>
          <w:p w14:paraId="466EA9E2"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Superintendente de Construcción del Contratista dedicará tiempo laboral completo a todas las actividades y acciones relacionadas con la ejecución de las Obras.</w:t>
            </w:r>
          </w:p>
        </w:tc>
      </w:tr>
      <w:tr w:rsidR="00F7749D" w:rsidRPr="00D55B2B" w14:paraId="4CF0CF59" w14:textId="77777777" w:rsidTr="00D23A40">
        <w:trPr>
          <w:cantSplit/>
          <w:trHeight w:val="423"/>
          <w:jc w:val="center"/>
        </w:trPr>
        <w:tc>
          <w:tcPr>
            <w:tcW w:w="805" w:type="dxa"/>
            <w:tcBorders>
              <w:right w:val="nil"/>
            </w:tcBorders>
            <w:shd w:val="clear" w:color="auto" w:fill="auto"/>
          </w:tcPr>
          <w:p w14:paraId="7F0B419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DF48E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Salvo que el Superintendente de construcción deje de ser empleado del </w:t>
            </w:r>
            <w:r w:rsidRPr="00D55B2B">
              <w:rPr>
                <w:rFonts w:ascii="Arial" w:hAnsi="Arial" w:cs="Arial"/>
                <w:sz w:val="22"/>
                <w:szCs w:val="22"/>
              </w:rPr>
              <w:t>Contratista</w:t>
            </w:r>
            <w:r w:rsidRPr="00D55B2B">
              <w:rPr>
                <w:rFonts w:ascii="Arial" w:hAnsi="Arial" w:cs="Arial"/>
                <w:spacing w:val="-3"/>
                <w:sz w:val="22"/>
                <w:szCs w:val="22"/>
              </w:rPr>
              <w:t xml:space="preserve">, este no podrá reemplazarlo sin el consentimiento previo y por escrito del Contratante, el cual no podrá ser negado injustificadamente. </w:t>
            </w:r>
          </w:p>
          <w:p w14:paraId="29FC3E5A"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 xml:space="preserve">En el caso de que, en cualquier momento durante la ejecución de las Obras, a juicio del Contratante, el Superintendente de Construcción no desempeñe sus funciones a </w:t>
            </w:r>
            <w:r w:rsidRPr="00D55B2B">
              <w:rPr>
                <w:rFonts w:ascii="Arial" w:hAnsi="Arial" w:cs="Arial"/>
                <w:sz w:val="22"/>
                <w:szCs w:val="22"/>
              </w:rPr>
              <w:t>satisfacción</w:t>
            </w:r>
            <w:r w:rsidRPr="00D55B2B">
              <w:rPr>
                <w:rFonts w:ascii="Arial" w:hAnsi="Arial" w:cs="Arial"/>
                <w:spacing w:val="-3"/>
                <w:sz w:val="22"/>
                <w:szCs w:val="22"/>
              </w:rPr>
              <w:t xml:space="preserve"> del Contratante o si el Contratante tiene cualesquiera otras razones justificadas, podrá solicitar la sustitución del Superintendente de construcción. En dicho caso, el Contratista deberá nombrar por escrito al nuevo Superintendente de Construcción, con </w:t>
            </w:r>
            <w:r w:rsidRPr="00D55B2B">
              <w:rPr>
                <w:rFonts w:ascii="Arial" w:hAnsi="Arial" w:cs="Arial"/>
                <w:sz w:val="22"/>
                <w:szCs w:val="22"/>
                <w:lang w:val="es-HN"/>
              </w:rPr>
              <w:t>calificaciones</w:t>
            </w:r>
            <w:r w:rsidRPr="00D55B2B">
              <w:rPr>
                <w:rFonts w:ascii="Arial" w:hAnsi="Arial" w:cs="Arial"/>
                <w:sz w:val="22"/>
                <w:szCs w:val="22"/>
              </w:rPr>
              <w:t xml:space="preserve"> sustancialmente equivalentes o superiores al reemplazado,</w:t>
            </w:r>
            <w:r w:rsidRPr="00D55B2B">
              <w:rPr>
                <w:rFonts w:ascii="Arial" w:hAnsi="Arial" w:cs="Arial"/>
                <w:spacing w:val="-3"/>
                <w:sz w:val="22"/>
                <w:szCs w:val="22"/>
              </w:rPr>
              <w:t xml:space="preserve"> dentro de los diez (10) días siguientes a la solicitud de Contratante.</w:t>
            </w:r>
          </w:p>
        </w:tc>
      </w:tr>
      <w:tr w:rsidR="00F7749D" w:rsidRPr="00D55B2B" w14:paraId="6FA06E96" w14:textId="77777777" w:rsidTr="00D23A40">
        <w:trPr>
          <w:cantSplit/>
          <w:trHeight w:val="423"/>
          <w:jc w:val="center"/>
        </w:trPr>
        <w:tc>
          <w:tcPr>
            <w:tcW w:w="805" w:type="dxa"/>
            <w:tcBorders>
              <w:right w:val="nil"/>
            </w:tcBorders>
            <w:shd w:val="clear" w:color="auto" w:fill="auto"/>
          </w:tcPr>
          <w:p w14:paraId="4D4F5C34"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78910CAE" w14:textId="77777777" w:rsidR="00F7749D" w:rsidRPr="00D55B2B" w:rsidRDefault="00F7749D" w:rsidP="00D23A40">
            <w:pPr>
              <w:pStyle w:val="Ttulo2"/>
              <w:keepNext w:val="0"/>
              <w:spacing w:before="60" w:after="60"/>
              <w:ind w:left="0" w:firstLine="0"/>
              <w:jc w:val="both"/>
              <w:rPr>
                <w:rFonts w:cs="Arial"/>
                <w:spacing w:val="-3"/>
                <w:sz w:val="22"/>
                <w:szCs w:val="22"/>
              </w:rPr>
            </w:pPr>
            <w:bookmarkStart w:id="1919" w:name="_Toc47916965"/>
            <w:bookmarkStart w:id="1920" w:name="_Toc74048243"/>
            <w:bookmarkStart w:id="1921" w:name="_Toc74518483"/>
            <w:bookmarkStart w:id="1922" w:name="_Toc74519213"/>
            <w:bookmarkStart w:id="1923" w:name="_Toc74781403"/>
            <w:bookmarkStart w:id="1924" w:name="_Toc74930916"/>
            <w:r w:rsidRPr="00D55B2B">
              <w:rPr>
                <w:rFonts w:cs="Arial"/>
                <w:sz w:val="22"/>
                <w:szCs w:val="22"/>
              </w:rPr>
              <w:t>Notificaciones y Comunicaciones entre las Partes</w:t>
            </w:r>
            <w:bookmarkEnd w:id="1919"/>
            <w:bookmarkEnd w:id="1920"/>
            <w:bookmarkEnd w:id="1921"/>
            <w:bookmarkEnd w:id="1922"/>
            <w:bookmarkEnd w:id="1923"/>
            <w:bookmarkEnd w:id="1924"/>
          </w:p>
        </w:tc>
      </w:tr>
      <w:tr w:rsidR="00F7749D" w:rsidRPr="00D55B2B" w14:paraId="0373A664" w14:textId="77777777" w:rsidTr="00D23A40">
        <w:trPr>
          <w:cantSplit/>
          <w:trHeight w:val="423"/>
          <w:jc w:val="center"/>
        </w:trPr>
        <w:tc>
          <w:tcPr>
            <w:tcW w:w="805" w:type="dxa"/>
            <w:tcBorders>
              <w:right w:val="nil"/>
            </w:tcBorders>
            <w:shd w:val="clear" w:color="auto" w:fill="auto"/>
          </w:tcPr>
          <w:p w14:paraId="78BF689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21CBC60"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Cualquier notificación o comunicación, ya sea notificación, consentimiento, aprobación, certificado o determinación, que debe cursarse entre las Partes de conformidad con el Contrato será por escrito en el idioma especificado en la subcláusula 5.1. de las CGC. </w:t>
            </w:r>
          </w:p>
        </w:tc>
      </w:tr>
      <w:tr w:rsidR="00F7749D" w:rsidRPr="00D55B2B" w14:paraId="071EEF79" w14:textId="77777777" w:rsidTr="00D23A40">
        <w:trPr>
          <w:cantSplit/>
          <w:trHeight w:val="423"/>
          <w:jc w:val="center"/>
        </w:trPr>
        <w:tc>
          <w:tcPr>
            <w:tcW w:w="805" w:type="dxa"/>
            <w:tcBorders>
              <w:right w:val="nil"/>
            </w:tcBorders>
            <w:shd w:val="clear" w:color="auto" w:fill="auto"/>
          </w:tcPr>
          <w:p w14:paraId="06C2F2F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FEECC42"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La dirección física y electrónica para la recepción de notificaciones entre las partes será la especificada en las </w:t>
            </w:r>
            <w:r w:rsidRPr="00D55B2B">
              <w:rPr>
                <w:rFonts w:ascii="Arial" w:hAnsi="Arial" w:cs="Arial"/>
                <w:b/>
                <w:sz w:val="22"/>
                <w:szCs w:val="22"/>
              </w:rPr>
              <w:t>CPC</w:t>
            </w:r>
            <w:r w:rsidRPr="00D55B2B">
              <w:rPr>
                <w:rFonts w:ascii="Arial" w:hAnsi="Arial" w:cs="Arial"/>
                <w:sz w:val="22"/>
                <w:szCs w:val="22"/>
              </w:rPr>
              <w:t>. Esta dirección podrá cambiarse siempre y cuando la parte que modifique su dirección informe a la otra Parte por escrito sobre dicho cambio de dirección.</w:t>
            </w:r>
          </w:p>
        </w:tc>
      </w:tr>
      <w:tr w:rsidR="00F7749D" w:rsidRPr="00D55B2B" w14:paraId="205C4F49" w14:textId="77777777" w:rsidTr="00D23A40">
        <w:trPr>
          <w:cantSplit/>
          <w:trHeight w:val="423"/>
          <w:jc w:val="center"/>
        </w:trPr>
        <w:tc>
          <w:tcPr>
            <w:tcW w:w="805" w:type="dxa"/>
            <w:tcBorders>
              <w:right w:val="nil"/>
            </w:tcBorders>
            <w:shd w:val="clear" w:color="auto" w:fill="auto"/>
          </w:tcPr>
          <w:p w14:paraId="48D5B33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949695F"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Una comunicación será efectiva en la fecha de entrega de esta al representante autorizado de las Partes, contra la firma que certifique el acuse de recibo, la que no se interpretará como una aceptación del contenido de la comunicación.</w:t>
            </w:r>
          </w:p>
        </w:tc>
      </w:tr>
      <w:tr w:rsidR="00F7749D" w:rsidRPr="00D55B2B" w14:paraId="16D20A4C" w14:textId="77777777" w:rsidTr="00D23A40">
        <w:trPr>
          <w:cantSplit/>
          <w:trHeight w:val="423"/>
          <w:jc w:val="center"/>
        </w:trPr>
        <w:tc>
          <w:tcPr>
            <w:tcW w:w="805" w:type="dxa"/>
            <w:tcBorders>
              <w:right w:val="nil"/>
            </w:tcBorders>
            <w:shd w:val="clear" w:color="auto" w:fill="auto"/>
          </w:tcPr>
          <w:p w14:paraId="105A5AF8" w14:textId="77777777" w:rsidR="00F7749D" w:rsidRPr="00D55B2B" w:rsidRDefault="00F7749D" w:rsidP="00F7749D">
            <w:pPr>
              <w:pStyle w:val="Ttulo2"/>
              <w:keepNext w:val="0"/>
              <w:numPr>
                <w:ilvl w:val="0"/>
                <w:numId w:val="90"/>
              </w:numPr>
              <w:spacing w:before="60" w:after="60"/>
              <w:jc w:val="both"/>
              <w:rPr>
                <w:rFonts w:cs="Arial"/>
                <w:sz w:val="22"/>
                <w:szCs w:val="22"/>
              </w:rPr>
            </w:pPr>
          </w:p>
        </w:tc>
        <w:tc>
          <w:tcPr>
            <w:tcW w:w="8550" w:type="dxa"/>
            <w:tcBorders>
              <w:left w:val="nil"/>
            </w:tcBorders>
            <w:shd w:val="clear" w:color="auto" w:fill="auto"/>
          </w:tcPr>
          <w:p w14:paraId="75609F74" w14:textId="77777777" w:rsidR="00F7749D" w:rsidRPr="00D55B2B" w:rsidRDefault="00F7749D" w:rsidP="00D23A40">
            <w:pPr>
              <w:pStyle w:val="Ttulo2"/>
              <w:keepNext w:val="0"/>
              <w:spacing w:before="60" w:after="60"/>
              <w:ind w:left="0" w:firstLine="0"/>
              <w:jc w:val="both"/>
              <w:rPr>
                <w:rFonts w:cs="Arial"/>
                <w:sz w:val="22"/>
                <w:szCs w:val="22"/>
              </w:rPr>
            </w:pPr>
            <w:bookmarkStart w:id="1925" w:name="_Toc47916966"/>
            <w:bookmarkStart w:id="1926" w:name="_Toc74048244"/>
            <w:bookmarkStart w:id="1927" w:name="_Toc74518484"/>
            <w:bookmarkStart w:id="1928" w:name="_Toc74519214"/>
            <w:bookmarkStart w:id="1929" w:name="_Toc74781404"/>
            <w:bookmarkStart w:id="1930" w:name="_Toc74930917"/>
            <w:r w:rsidRPr="00D55B2B">
              <w:rPr>
                <w:rFonts w:cs="Arial"/>
                <w:sz w:val="22"/>
                <w:szCs w:val="22"/>
              </w:rPr>
              <w:t>Subcontratos</w:t>
            </w:r>
            <w:bookmarkEnd w:id="1925"/>
            <w:bookmarkEnd w:id="1926"/>
            <w:bookmarkEnd w:id="1927"/>
            <w:bookmarkEnd w:id="1928"/>
            <w:bookmarkEnd w:id="1929"/>
            <w:bookmarkEnd w:id="1930"/>
          </w:p>
        </w:tc>
      </w:tr>
      <w:tr w:rsidR="00F7749D" w:rsidRPr="00D55B2B" w14:paraId="12EC70E8" w14:textId="77777777" w:rsidTr="00D23A40">
        <w:trPr>
          <w:cantSplit/>
          <w:trHeight w:val="423"/>
          <w:jc w:val="center"/>
        </w:trPr>
        <w:tc>
          <w:tcPr>
            <w:tcW w:w="805" w:type="dxa"/>
            <w:tcBorders>
              <w:right w:val="nil"/>
            </w:tcBorders>
            <w:shd w:val="clear" w:color="auto" w:fill="auto"/>
          </w:tcPr>
          <w:p w14:paraId="12E1C17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9C8442D"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En caso de que el Contratista requiera de los servicios de subcontratistas diferentes a los previstos en su Oferta deberá obtener la aprobación previa por escrito del Gerente de Obras.</w:t>
            </w:r>
          </w:p>
        </w:tc>
      </w:tr>
      <w:tr w:rsidR="00F7749D" w:rsidRPr="00D55B2B" w14:paraId="1A3825C9" w14:textId="77777777" w:rsidTr="00D23A40">
        <w:trPr>
          <w:cantSplit/>
          <w:trHeight w:val="423"/>
          <w:jc w:val="center"/>
        </w:trPr>
        <w:tc>
          <w:tcPr>
            <w:tcW w:w="805" w:type="dxa"/>
            <w:tcBorders>
              <w:right w:val="nil"/>
            </w:tcBorders>
            <w:shd w:val="clear" w:color="auto" w:fill="auto"/>
          </w:tcPr>
          <w:p w14:paraId="13B41FD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0355CDC"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La subcontratación con aprobación del Contratante no eximirá al Contratista del cumplimiento ni alterará ninguna de las obligaciones contraídas en virtud del Contrato. Las condiciones de cualquier subcontrato deberán sujetarse a las disposiciones del Contrato.</w:t>
            </w:r>
          </w:p>
        </w:tc>
      </w:tr>
      <w:tr w:rsidR="00F7749D" w:rsidRPr="00D55B2B" w14:paraId="7D0EB355" w14:textId="77777777" w:rsidTr="00D23A40">
        <w:tblPrEx>
          <w:jc w:val="left"/>
        </w:tblPrEx>
        <w:trPr>
          <w:trHeight w:val="20"/>
        </w:trPr>
        <w:tc>
          <w:tcPr>
            <w:tcW w:w="9355" w:type="dxa"/>
            <w:gridSpan w:val="2"/>
            <w:shd w:val="clear" w:color="auto" w:fill="auto"/>
          </w:tcPr>
          <w:p w14:paraId="770E5CE5" w14:textId="77777777" w:rsidR="00F7749D" w:rsidRPr="00D55B2B" w:rsidRDefault="00F7749D" w:rsidP="00F7749D">
            <w:pPr>
              <w:pStyle w:val="Ttulo2"/>
              <w:keepNext w:val="0"/>
              <w:numPr>
                <w:ilvl w:val="0"/>
                <w:numId w:val="90"/>
              </w:numPr>
              <w:spacing w:before="60" w:after="60"/>
              <w:jc w:val="both"/>
              <w:rPr>
                <w:rFonts w:cs="Arial"/>
                <w:sz w:val="22"/>
                <w:szCs w:val="22"/>
              </w:rPr>
            </w:pPr>
            <w:bookmarkStart w:id="1931" w:name="_Toc47916967"/>
            <w:bookmarkStart w:id="1932" w:name="_Toc74048245"/>
            <w:bookmarkStart w:id="1933" w:name="_Toc74518485"/>
            <w:bookmarkStart w:id="1934" w:name="_Toc74519215"/>
            <w:bookmarkStart w:id="1935" w:name="_Toc74781405"/>
            <w:bookmarkStart w:id="1936" w:name="_Toc74930918"/>
            <w:r w:rsidRPr="00D55B2B">
              <w:rPr>
                <w:rFonts w:cs="Arial"/>
                <w:sz w:val="22"/>
                <w:szCs w:val="22"/>
              </w:rPr>
              <w:t>Cesión</w:t>
            </w:r>
            <w:bookmarkEnd w:id="1931"/>
            <w:bookmarkEnd w:id="1932"/>
            <w:bookmarkEnd w:id="1933"/>
            <w:bookmarkEnd w:id="1934"/>
            <w:bookmarkEnd w:id="1935"/>
            <w:bookmarkEnd w:id="1936"/>
          </w:p>
        </w:tc>
      </w:tr>
      <w:tr w:rsidR="00F7749D" w:rsidRPr="00D55B2B" w14:paraId="627C41B1" w14:textId="77777777" w:rsidTr="00D23A40">
        <w:tblPrEx>
          <w:jc w:val="left"/>
        </w:tblPrEx>
        <w:trPr>
          <w:trHeight w:val="20"/>
        </w:trPr>
        <w:tc>
          <w:tcPr>
            <w:tcW w:w="805" w:type="dxa"/>
            <w:tcBorders>
              <w:right w:val="nil"/>
            </w:tcBorders>
            <w:shd w:val="clear" w:color="auto" w:fill="auto"/>
          </w:tcPr>
          <w:p w14:paraId="3802B6B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298265"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w:t>
            </w:r>
            <w:r w:rsidRPr="00D55B2B">
              <w:rPr>
                <w:rFonts w:ascii="Arial" w:hAnsi="Arial" w:cs="Arial"/>
                <w:spacing w:val="-3"/>
                <w:sz w:val="22"/>
                <w:szCs w:val="22"/>
              </w:rPr>
              <w:t>Contratista</w:t>
            </w:r>
            <w:r w:rsidRPr="00D55B2B">
              <w:rPr>
                <w:rFonts w:ascii="Arial" w:hAnsi="Arial" w:cs="Arial"/>
                <w:sz w:val="22"/>
                <w:szCs w:val="22"/>
              </w:rPr>
              <w:t xml:space="preserve"> no cederá, transferirá, comprometerá ni dispondrá del Contrato o de una parte de este o de los derechos, títulos o deberes en virtud del presente Contrato. El incumplimiento de esta obligación será causal para la terminación del contrato. </w:t>
            </w:r>
          </w:p>
        </w:tc>
      </w:tr>
      <w:tr w:rsidR="00F7749D" w:rsidRPr="00D55B2B" w14:paraId="6411675D" w14:textId="77777777" w:rsidTr="00D23A40">
        <w:tblPrEx>
          <w:jc w:val="left"/>
        </w:tblPrEx>
        <w:trPr>
          <w:trHeight w:val="20"/>
        </w:trPr>
        <w:tc>
          <w:tcPr>
            <w:tcW w:w="9355" w:type="dxa"/>
            <w:gridSpan w:val="2"/>
            <w:shd w:val="clear" w:color="auto" w:fill="auto"/>
          </w:tcPr>
          <w:p w14:paraId="53F11DCF" w14:textId="77777777" w:rsidR="00F7749D" w:rsidRPr="00D55B2B" w:rsidRDefault="00F7749D" w:rsidP="00F7749D">
            <w:pPr>
              <w:pStyle w:val="Ttulo2"/>
              <w:keepNext w:val="0"/>
              <w:numPr>
                <w:ilvl w:val="0"/>
                <w:numId w:val="90"/>
              </w:numPr>
              <w:spacing w:before="60" w:after="60"/>
              <w:jc w:val="both"/>
              <w:rPr>
                <w:rFonts w:cs="Arial"/>
                <w:sz w:val="22"/>
                <w:szCs w:val="22"/>
              </w:rPr>
            </w:pPr>
            <w:bookmarkStart w:id="1937" w:name="_Toc47916968"/>
            <w:bookmarkStart w:id="1938" w:name="_Toc74048246"/>
            <w:bookmarkStart w:id="1939" w:name="_Toc74518486"/>
            <w:bookmarkStart w:id="1940" w:name="_Toc74519216"/>
            <w:bookmarkStart w:id="1941" w:name="_Toc74781406"/>
            <w:bookmarkStart w:id="1942" w:name="_Toc74930919"/>
            <w:r w:rsidRPr="00D55B2B">
              <w:rPr>
                <w:rFonts w:cs="Arial"/>
                <w:sz w:val="22"/>
                <w:szCs w:val="22"/>
              </w:rPr>
              <w:t>Otros Contratistas</w:t>
            </w:r>
            <w:bookmarkEnd w:id="1937"/>
            <w:bookmarkEnd w:id="1938"/>
            <w:bookmarkEnd w:id="1939"/>
            <w:bookmarkEnd w:id="1940"/>
            <w:bookmarkEnd w:id="1941"/>
            <w:bookmarkEnd w:id="1942"/>
          </w:p>
        </w:tc>
      </w:tr>
      <w:tr w:rsidR="00F7749D" w:rsidRPr="00D55B2B" w14:paraId="0DFEB28B" w14:textId="77777777" w:rsidTr="00D23A40">
        <w:tblPrEx>
          <w:jc w:val="left"/>
        </w:tblPrEx>
        <w:trPr>
          <w:trHeight w:val="20"/>
        </w:trPr>
        <w:tc>
          <w:tcPr>
            <w:tcW w:w="805" w:type="dxa"/>
            <w:tcBorders>
              <w:right w:val="nil"/>
            </w:tcBorders>
            <w:shd w:val="clear" w:color="auto" w:fill="auto"/>
          </w:tcPr>
          <w:p w14:paraId="0AB73A7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24AE5B6"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El Contratista deberá cooperar y compartir el Sitio de las Obras con otros contratistas, autoridades públicas, empresas de servicios públicos y el Contratante en las fechas señaladas en la Lista de Otros Contratistas </w:t>
            </w:r>
            <w:r w:rsidRPr="00D55B2B">
              <w:rPr>
                <w:rFonts w:ascii="Arial" w:hAnsi="Arial" w:cs="Arial"/>
                <w:b/>
                <w:bCs/>
                <w:spacing w:val="-3"/>
                <w:sz w:val="22"/>
                <w:szCs w:val="22"/>
              </w:rPr>
              <w:t>indicada en las CPC</w:t>
            </w:r>
            <w:r w:rsidRPr="00D55B2B">
              <w:rPr>
                <w:rFonts w:ascii="Arial" w:hAnsi="Arial" w:cs="Arial"/>
                <w:spacing w:val="-3"/>
                <w:sz w:val="22"/>
                <w:szCs w:val="22"/>
              </w:rPr>
              <w:t xml:space="preserve">.  </w:t>
            </w:r>
          </w:p>
          <w:p w14:paraId="7E5B41F8"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El Contratista brindará todas las oportunidades razonables para que éstos puedan realizar su trabajo y deberá proporcionarles las instalaciones y servicios que se describen en dicha Lista.  El Contratante podrá modificar la Lista de Otros Contratistas y previamente deberá notificar al respecto al Contratista.</w:t>
            </w:r>
          </w:p>
        </w:tc>
      </w:tr>
      <w:tr w:rsidR="00F7749D" w:rsidRPr="00D55B2B" w14:paraId="478B4F93" w14:textId="77777777" w:rsidTr="00D23A40">
        <w:tblPrEx>
          <w:jc w:val="left"/>
        </w:tblPrEx>
        <w:trPr>
          <w:trHeight w:val="20"/>
        </w:trPr>
        <w:tc>
          <w:tcPr>
            <w:tcW w:w="9355" w:type="dxa"/>
            <w:gridSpan w:val="2"/>
            <w:shd w:val="clear" w:color="auto" w:fill="auto"/>
          </w:tcPr>
          <w:p w14:paraId="7F14444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43" w:name="_Toc47916969"/>
            <w:bookmarkStart w:id="1944" w:name="_Toc74048247"/>
            <w:bookmarkStart w:id="1945" w:name="_Toc74518487"/>
            <w:bookmarkStart w:id="1946" w:name="_Toc74519217"/>
            <w:bookmarkStart w:id="1947" w:name="_Toc74781407"/>
            <w:bookmarkStart w:id="1948" w:name="_Toc74930920"/>
            <w:r w:rsidRPr="00D55B2B">
              <w:rPr>
                <w:rFonts w:cs="Arial"/>
                <w:sz w:val="22"/>
                <w:szCs w:val="22"/>
                <w:lang w:val="es-ES_tradnl"/>
              </w:rPr>
              <w:t xml:space="preserve">Personal </w:t>
            </w:r>
            <w:r w:rsidRPr="00D55B2B">
              <w:rPr>
                <w:rFonts w:cs="Arial"/>
                <w:sz w:val="22"/>
                <w:szCs w:val="22"/>
              </w:rPr>
              <w:t>del</w:t>
            </w:r>
            <w:r w:rsidRPr="00D55B2B">
              <w:rPr>
                <w:rFonts w:cs="Arial"/>
                <w:sz w:val="22"/>
                <w:szCs w:val="22"/>
                <w:lang w:val="es-ES_tradnl"/>
              </w:rPr>
              <w:t xml:space="preserve"> Contratista</w:t>
            </w:r>
            <w:bookmarkEnd w:id="1943"/>
            <w:bookmarkEnd w:id="1944"/>
            <w:bookmarkEnd w:id="1945"/>
            <w:bookmarkEnd w:id="1946"/>
            <w:bookmarkEnd w:id="1947"/>
            <w:bookmarkEnd w:id="1948"/>
          </w:p>
        </w:tc>
      </w:tr>
      <w:tr w:rsidR="00F7749D" w:rsidRPr="00D55B2B" w14:paraId="416663CD" w14:textId="77777777" w:rsidTr="00D23A40">
        <w:tblPrEx>
          <w:jc w:val="left"/>
        </w:tblPrEx>
        <w:trPr>
          <w:trHeight w:val="20"/>
        </w:trPr>
        <w:tc>
          <w:tcPr>
            <w:tcW w:w="805" w:type="dxa"/>
            <w:tcBorders>
              <w:right w:val="nil"/>
            </w:tcBorders>
            <w:shd w:val="clear" w:color="auto" w:fill="auto"/>
          </w:tcPr>
          <w:p w14:paraId="46788BD9" w14:textId="77777777" w:rsidR="00F7749D" w:rsidRPr="00D55B2B" w:rsidRDefault="00F7749D" w:rsidP="00D23A40">
            <w:pPr>
              <w:pStyle w:val="Numeraciondeartculos"/>
              <w:framePr w:hSpace="0" w:wrap="auto" w:vAnchor="margin" w:hAnchor="text" w:xAlign="left" w:yAlign="inline"/>
              <w:rPr>
                <w:rFonts w:cs="Arial"/>
                <w:sz w:val="22"/>
                <w:szCs w:val="22"/>
              </w:rPr>
            </w:pPr>
            <w:bookmarkStart w:id="1949" w:name="_Hlk20822117"/>
          </w:p>
        </w:tc>
        <w:tc>
          <w:tcPr>
            <w:tcW w:w="8550" w:type="dxa"/>
            <w:tcBorders>
              <w:left w:val="nil"/>
            </w:tcBorders>
            <w:shd w:val="clear" w:color="auto" w:fill="auto"/>
          </w:tcPr>
          <w:p w14:paraId="1999EEAF"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Contratista es responsable de la competencia profesional y técnica de su personal y seleccionará para trabajar en la ejecución del Contrato a personas fiables que desempeñarán con eficacia su trabajo, </w:t>
            </w:r>
            <w:r w:rsidRPr="00D55B2B">
              <w:rPr>
                <w:rFonts w:ascii="Arial" w:hAnsi="Arial" w:cs="Arial"/>
                <w:sz w:val="22"/>
                <w:szCs w:val="22"/>
                <w:lang w:val="es-HN"/>
              </w:rPr>
              <w:t>respetarán</w:t>
            </w:r>
            <w:r w:rsidRPr="00D55B2B">
              <w:rPr>
                <w:rFonts w:ascii="Arial" w:hAnsi="Arial" w:cs="Arial"/>
                <w:sz w:val="22"/>
                <w:szCs w:val="22"/>
              </w:rPr>
              <w:t xml:space="preserve"> las costumbres del lugar y observarán una adecuada conducta moral y ética. </w:t>
            </w:r>
          </w:p>
        </w:tc>
      </w:tr>
      <w:tr w:rsidR="00F7749D" w:rsidRPr="00D55B2B" w14:paraId="7B4174E1" w14:textId="77777777" w:rsidTr="00D23A40">
        <w:trPr>
          <w:cantSplit/>
          <w:trHeight w:val="423"/>
          <w:jc w:val="center"/>
        </w:trPr>
        <w:tc>
          <w:tcPr>
            <w:tcW w:w="805" w:type="dxa"/>
            <w:tcBorders>
              <w:right w:val="nil"/>
            </w:tcBorders>
            <w:shd w:val="clear" w:color="auto" w:fill="auto"/>
          </w:tcPr>
          <w:p w14:paraId="100F7A1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CC0DFD"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lang w:val="es-HN"/>
              </w:rPr>
              <w:t>P</w:t>
            </w:r>
            <w:r w:rsidRPr="00D55B2B">
              <w:rPr>
                <w:rFonts w:ascii="Arial" w:hAnsi="Arial" w:cs="Arial"/>
                <w:sz w:val="22"/>
                <w:szCs w:val="22"/>
              </w:rPr>
              <w:t>ara la ejecución y terminación de las Obras y para la reparación de cualquier defecto de la misma de conformidad con el Contrato,</w:t>
            </w:r>
            <w:r w:rsidRPr="00D55B2B">
              <w:rPr>
                <w:rFonts w:ascii="Arial" w:hAnsi="Arial" w:cs="Arial"/>
                <w:color w:val="FF0000"/>
                <w:sz w:val="22"/>
                <w:szCs w:val="22"/>
                <w:lang w:val="es-MX"/>
              </w:rPr>
              <w:t xml:space="preserve"> </w:t>
            </w:r>
            <w:r w:rsidRPr="00D55B2B">
              <w:rPr>
                <w:rFonts w:ascii="Arial" w:hAnsi="Arial" w:cs="Arial"/>
                <w:sz w:val="22"/>
                <w:szCs w:val="22"/>
                <w:lang w:val="es-HN"/>
              </w:rPr>
              <w:t xml:space="preserve">el Contratista </w:t>
            </w:r>
            <w:r w:rsidRPr="00D55B2B">
              <w:rPr>
                <w:rFonts w:ascii="Arial" w:hAnsi="Arial" w:cs="Arial"/>
                <w:sz w:val="22"/>
                <w:szCs w:val="22"/>
              </w:rPr>
              <w:t>proveerá y empleará en el Sitio de las Obras</w:t>
            </w:r>
            <w:r w:rsidRPr="00D55B2B">
              <w:rPr>
                <w:rFonts w:ascii="Arial" w:hAnsi="Arial" w:cs="Arial"/>
                <w:sz w:val="22"/>
                <w:szCs w:val="22"/>
                <w:lang w:val="es-HN"/>
              </w:rPr>
              <w:t xml:space="preserve"> un número adecuado de empleados competentes, ya sean profesionales, técnicos, supervisores u obreros, con amplia experiencia en trabajos similares a los previstos en el Contrato, considerando el personal clave indicado en su Oferta.</w:t>
            </w:r>
          </w:p>
        </w:tc>
      </w:tr>
      <w:tr w:rsidR="00F7749D" w:rsidRPr="00D55B2B" w14:paraId="484A7B98" w14:textId="77777777" w:rsidTr="00D23A40">
        <w:trPr>
          <w:cantSplit/>
          <w:trHeight w:val="423"/>
          <w:jc w:val="center"/>
        </w:trPr>
        <w:tc>
          <w:tcPr>
            <w:tcW w:w="805" w:type="dxa"/>
            <w:tcBorders>
              <w:right w:val="nil"/>
            </w:tcBorders>
            <w:shd w:val="clear" w:color="auto" w:fill="auto"/>
          </w:tcPr>
          <w:p w14:paraId="192DD1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DB7D12F" w14:textId="77777777" w:rsidR="00F7749D" w:rsidRPr="00D55B2B" w:rsidRDefault="00F7749D" w:rsidP="00D23A40">
            <w:pPr>
              <w:spacing w:before="60" w:after="60"/>
              <w:rPr>
                <w:rFonts w:ascii="Arial" w:hAnsi="Arial" w:cs="Arial"/>
                <w:b/>
                <w:bCs/>
                <w:sz w:val="22"/>
                <w:szCs w:val="22"/>
              </w:rPr>
            </w:pPr>
            <w:r w:rsidRPr="00D55B2B">
              <w:rPr>
                <w:rFonts w:ascii="Arial" w:hAnsi="Arial" w:cs="Arial"/>
                <w:sz w:val="22"/>
                <w:szCs w:val="22"/>
              </w:rPr>
              <w:t xml:space="preserve">El personal profesional clave del Contratista, su profesión, cargo y el porcentaje aproximado que cada uno dedicará al proyecto son los </w:t>
            </w:r>
            <w:r w:rsidRPr="00D55B2B">
              <w:rPr>
                <w:rFonts w:ascii="Arial" w:hAnsi="Arial" w:cs="Arial"/>
                <w:spacing w:val="-3"/>
                <w:sz w:val="22"/>
                <w:szCs w:val="22"/>
              </w:rPr>
              <w:t>establecidos en la Oferta del Contratista.</w:t>
            </w:r>
          </w:p>
          <w:p w14:paraId="5FE0A5EE"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Gerente de Obras aprobará cualquier oferta de reemplazo de personal clave solo si sus </w:t>
            </w:r>
            <w:r w:rsidRPr="00D55B2B">
              <w:rPr>
                <w:rFonts w:ascii="Arial" w:hAnsi="Arial" w:cs="Arial"/>
                <w:sz w:val="22"/>
                <w:szCs w:val="22"/>
                <w:lang w:val="es-HN"/>
              </w:rPr>
              <w:t>calificaciones</w:t>
            </w:r>
            <w:r w:rsidRPr="00D55B2B">
              <w:rPr>
                <w:rFonts w:ascii="Arial" w:hAnsi="Arial" w:cs="Arial"/>
                <w:sz w:val="22"/>
                <w:szCs w:val="22"/>
              </w:rPr>
              <w:t xml:space="preserve"> son sustancialmente equivalentes o superiores a las </w:t>
            </w:r>
            <w:r w:rsidRPr="00D55B2B">
              <w:rPr>
                <w:rFonts w:ascii="Arial" w:hAnsi="Arial" w:cs="Arial"/>
                <w:sz w:val="22"/>
                <w:szCs w:val="22"/>
                <w:lang w:val="es-HN"/>
              </w:rPr>
              <w:t>ofertas</w:t>
            </w:r>
            <w:r w:rsidRPr="00D55B2B">
              <w:rPr>
                <w:rFonts w:ascii="Arial" w:hAnsi="Arial" w:cs="Arial"/>
                <w:sz w:val="22"/>
                <w:szCs w:val="22"/>
              </w:rPr>
              <w:t xml:space="preserve"> en la Oferta.</w:t>
            </w:r>
          </w:p>
        </w:tc>
      </w:tr>
      <w:tr w:rsidR="00F7749D" w:rsidRPr="00D55B2B" w14:paraId="4F39986D" w14:textId="77777777" w:rsidTr="00D23A40">
        <w:trPr>
          <w:cantSplit/>
          <w:trHeight w:val="423"/>
          <w:jc w:val="center"/>
        </w:trPr>
        <w:tc>
          <w:tcPr>
            <w:tcW w:w="805" w:type="dxa"/>
            <w:tcBorders>
              <w:right w:val="nil"/>
            </w:tcBorders>
            <w:shd w:val="clear" w:color="auto" w:fill="auto"/>
          </w:tcPr>
          <w:p w14:paraId="6C7451C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5723E26"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A solicitud por escrito del Gerente de Obras, el Contratista retirará de las Obras o sustituirá a cualquier integrante del personal o el equipo de trabajo del Contratista que no cumpla con lo establecido en las subcláusulas 19.1 y 19.2. </w:t>
            </w:r>
          </w:p>
          <w:p w14:paraId="4AC6FF36"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Contratista se asegurará de que dicha persona se retire del Sitio de las Obras dentro de los siete (7) días siguientes y no tenga ninguna otra participación en los trabajos relacionados con el Contrato.</w:t>
            </w:r>
          </w:p>
        </w:tc>
      </w:tr>
      <w:tr w:rsidR="00F7749D" w:rsidRPr="00D55B2B" w14:paraId="658424C8" w14:textId="77777777" w:rsidTr="00D23A40">
        <w:trPr>
          <w:cantSplit/>
          <w:trHeight w:val="423"/>
          <w:jc w:val="center"/>
        </w:trPr>
        <w:tc>
          <w:tcPr>
            <w:tcW w:w="805" w:type="dxa"/>
            <w:tcBorders>
              <w:right w:val="nil"/>
            </w:tcBorders>
            <w:shd w:val="clear" w:color="auto" w:fill="auto"/>
          </w:tcPr>
          <w:p w14:paraId="6F99775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8369F1"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Todos los costos y gastos adicionales derivados del retiro o la sustitución por cualesquiera razones de algún miembro del personal del Contratista correrán por cuenta del Contratista.</w:t>
            </w:r>
          </w:p>
        </w:tc>
      </w:tr>
      <w:tr w:rsidR="00F7749D" w:rsidRPr="00D55B2B" w14:paraId="7E056A26" w14:textId="77777777" w:rsidTr="00D23A40">
        <w:trPr>
          <w:cantSplit/>
          <w:trHeight w:val="423"/>
          <w:jc w:val="center"/>
        </w:trPr>
        <w:tc>
          <w:tcPr>
            <w:tcW w:w="805" w:type="dxa"/>
            <w:tcBorders>
              <w:right w:val="nil"/>
            </w:tcBorders>
            <w:shd w:val="clear" w:color="auto" w:fill="auto"/>
          </w:tcPr>
          <w:p w14:paraId="1983EB9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4F1DF03"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Si el Contratante, el Gerente de Obras o el Contratista determinan que algún empleado del Contratista ha participado en actos de fraude o corrupción durante la ejecución de las Obras, el empleado en cuestión será removido inmediatamente conforme a lo dispuesto en la subcláusula 19.4 antedicha.</w:t>
            </w:r>
          </w:p>
        </w:tc>
      </w:tr>
      <w:tr w:rsidR="00F7749D" w:rsidRPr="00D55B2B" w14:paraId="40DCAA6B" w14:textId="77777777" w:rsidTr="00D23A40">
        <w:tblPrEx>
          <w:jc w:val="left"/>
        </w:tblPrEx>
        <w:trPr>
          <w:trHeight w:val="20"/>
        </w:trPr>
        <w:tc>
          <w:tcPr>
            <w:tcW w:w="9355" w:type="dxa"/>
            <w:gridSpan w:val="2"/>
            <w:shd w:val="clear" w:color="auto" w:fill="auto"/>
          </w:tcPr>
          <w:p w14:paraId="30C641F2"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50" w:name="_Toc47916970"/>
            <w:bookmarkStart w:id="1951" w:name="_Toc74048248"/>
            <w:bookmarkStart w:id="1952" w:name="_Toc74518488"/>
            <w:bookmarkStart w:id="1953" w:name="_Toc74519218"/>
            <w:bookmarkStart w:id="1954" w:name="_Toc74781408"/>
            <w:bookmarkStart w:id="1955" w:name="_Toc74930921"/>
            <w:r w:rsidRPr="00D55B2B">
              <w:rPr>
                <w:rFonts w:cs="Arial"/>
                <w:sz w:val="22"/>
                <w:szCs w:val="22"/>
                <w:lang w:val="es-ES_tradnl"/>
              </w:rPr>
              <w:t>Riesgos</w:t>
            </w:r>
            <w:bookmarkEnd w:id="1950"/>
            <w:bookmarkEnd w:id="1951"/>
            <w:bookmarkEnd w:id="1952"/>
            <w:bookmarkEnd w:id="1953"/>
            <w:bookmarkEnd w:id="1954"/>
            <w:bookmarkEnd w:id="1955"/>
          </w:p>
        </w:tc>
      </w:tr>
      <w:tr w:rsidR="00F7749D" w:rsidRPr="00D55B2B" w14:paraId="367A5D3E" w14:textId="77777777" w:rsidTr="00D23A40">
        <w:tblPrEx>
          <w:jc w:val="left"/>
        </w:tblPrEx>
        <w:trPr>
          <w:trHeight w:val="20"/>
        </w:trPr>
        <w:tc>
          <w:tcPr>
            <w:tcW w:w="805" w:type="dxa"/>
            <w:tcBorders>
              <w:right w:val="nil"/>
            </w:tcBorders>
            <w:shd w:val="clear" w:color="auto" w:fill="auto"/>
          </w:tcPr>
          <w:p w14:paraId="6C82ABF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0C7F3E"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Son riesgos del Contratante los que en este Contrato se estipulen que corresponden al Contratante y son riesgos del Contratista los que en este Contrato se estipulen que corresponden al Contratista.</w:t>
            </w:r>
          </w:p>
        </w:tc>
      </w:tr>
      <w:tr w:rsidR="00F7749D" w:rsidRPr="00D55B2B" w14:paraId="7FF9E634" w14:textId="77777777" w:rsidTr="00D23A40">
        <w:tblPrEx>
          <w:jc w:val="left"/>
        </w:tblPrEx>
        <w:trPr>
          <w:trHeight w:val="20"/>
        </w:trPr>
        <w:tc>
          <w:tcPr>
            <w:tcW w:w="805" w:type="dxa"/>
            <w:tcBorders>
              <w:right w:val="nil"/>
            </w:tcBorders>
            <w:shd w:val="clear" w:color="auto" w:fill="auto"/>
          </w:tcPr>
          <w:p w14:paraId="0F57E6C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3CE5D7" w14:textId="77777777" w:rsidR="00F7749D" w:rsidRPr="00D55B2B" w:rsidRDefault="00F7749D" w:rsidP="00D23A40">
            <w:pPr>
              <w:spacing w:before="60" w:after="60"/>
              <w:rPr>
                <w:rFonts w:ascii="Arial" w:hAnsi="Arial" w:cs="Arial"/>
                <w:spacing w:val="-3"/>
                <w:sz w:val="22"/>
                <w:szCs w:val="22"/>
                <w:u w:val="single"/>
              </w:rPr>
            </w:pPr>
            <w:r w:rsidRPr="00D55B2B">
              <w:rPr>
                <w:rFonts w:ascii="Arial" w:hAnsi="Arial" w:cs="Arial"/>
                <w:spacing w:val="-3"/>
                <w:sz w:val="22"/>
                <w:szCs w:val="22"/>
                <w:u w:val="single"/>
              </w:rPr>
              <w:t xml:space="preserve">Riesgos del Contratante </w:t>
            </w:r>
          </w:p>
          <w:p w14:paraId="4D4A2D84" w14:textId="77777777" w:rsidR="00F7749D" w:rsidRPr="00947540" w:rsidRDefault="00F7749D" w:rsidP="00F7749D">
            <w:pPr>
              <w:pStyle w:val="Prrafodelista"/>
              <w:numPr>
                <w:ilvl w:val="0"/>
                <w:numId w:val="91"/>
              </w:numPr>
              <w:spacing w:before="60" w:after="60"/>
              <w:rPr>
                <w:rFonts w:ascii="Arial" w:hAnsi="Arial" w:cs="Arial"/>
                <w:spacing w:val="-3"/>
                <w:sz w:val="22"/>
                <w:szCs w:val="22"/>
              </w:rPr>
            </w:pPr>
            <w:r w:rsidRPr="00D55B2B">
              <w:rPr>
                <w:rFonts w:ascii="Arial" w:hAnsi="Arial" w:cs="Arial"/>
                <w:spacing w:val="-3"/>
                <w:sz w:val="22"/>
                <w:szCs w:val="22"/>
              </w:rPr>
              <w:t xml:space="preserve">Desde la fecha de Inicio de las Obras hasta la fecha de emisión del </w:t>
            </w:r>
            <w:r w:rsidRPr="00947540">
              <w:rPr>
                <w:rFonts w:ascii="Arial" w:hAnsi="Arial" w:cs="Arial"/>
                <w:spacing w:val="-3"/>
                <w:sz w:val="22"/>
                <w:szCs w:val="22"/>
              </w:rPr>
              <w:t>Garantía de Vicios Oculto, son riesgos del Contratante:</w:t>
            </w:r>
          </w:p>
          <w:p w14:paraId="31C0F493" w14:textId="77777777" w:rsidR="00F7749D" w:rsidRPr="00D55B2B" w:rsidRDefault="00F7749D" w:rsidP="00F7749D">
            <w:pPr>
              <w:pStyle w:val="Prrafodelista"/>
              <w:numPr>
                <w:ilvl w:val="0"/>
                <w:numId w:val="92"/>
              </w:numPr>
              <w:suppressAutoHyphens/>
              <w:spacing w:before="60" w:after="60"/>
              <w:rPr>
                <w:rFonts w:ascii="Arial" w:hAnsi="Arial" w:cs="Arial"/>
                <w:spacing w:val="-3"/>
                <w:sz w:val="22"/>
                <w:szCs w:val="22"/>
              </w:rPr>
            </w:pPr>
            <w:r w:rsidRPr="00D55B2B">
              <w:rPr>
                <w:rFonts w:ascii="Arial" w:hAnsi="Arial" w:cs="Arial"/>
                <w:spacing w:val="-3"/>
                <w:sz w:val="22"/>
                <w:szCs w:val="22"/>
              </w:rPr>
              <w:t>Los riesgos de muerte o lesiones personales y de pérdida o daños a la propiedad solamente en la medida en que éstos hayan sido consecuencia de:</w:t>
            </w:r>
          </w:p>
          <w:p w14:paraId="52737A27" w14:textId="77777777" w:rsidR="00F7749D" w:rsidRPr="00D55B2B" w:rsidRDefault="00F7749D" w:rsidP="00F7749D">
            <w:pPr>
              <w:pStyle w:val="Prrafodelista"/>
              <w:numPr>
                <w:ilvl w:val="0"/>
                <w:numId w:val="93"/>
              </w:numPr>
              <w:suppressAutoHyphens/>
              <w:spacing w:before="60" w:after="60"/>
              <w:ind w:left="1060" w:hanging="200"/>
              <w:rPr>
                <w:rFonts w:ascii="Arial" w:hAnsi="Arial" w:cs="Arial"/>
                <w:spacing w:val="-3"/>
                <w:sz w:val="22"/>
                <w:szCs w:val="22"/>
              </w:rPr>
            </w:pPr>
            <w:r w:rsidRPr="00D55B2B">
              <w:rPr>
                <w:rFonts w:ascii="Arial" w:hAnsi="Arial" w:cs="Arial"/>
                <w:spacing w:val="-3"/>
                <w:sz w:val="22"/>
                <w:szCs w:val="22"/>
              </w:rPr>
              <w:t>la negligencia, o la violación de los deberes establecidos por la ley aplicable, o interferencia con los derechos legales por parte del Contratante o cualquiera persona empleada o contratada por él, excepto el Contratista; y</w:t>
            </w:r>
          </w:p>
          <w:p w14:paraId="33220056" w14:textId="77777777" w:rsidR="00F7749D" w:rsidRPr="00D55B2B" w:rsidRDefault="00F7749D" w:rsidP="00F7749D">
            <w:pPr>
              <w:pStyle w:val="Prrafodelista"/>
              <w:numPr>
                <w:ilvl w:val="0"/>
                <w:numId w:val="93"/>
              </w:numPr>
              <w:suppressAutoHyphens/>
              <w:spacing w:before="60" w:after="60"/>
              <w:ind w:left="1060" w:hanging="200"/>
              <w:rPr>
                <w:rFonts w:ascii="Arial" w:hAnsi="Arial" w:cs="Arial"/>
                <w:spacing w:val="-3"/>
                <w:sz w:val="22"/>
                <w:szCs w:val="22"/>
              </w:rPr>
            </w:pPr>
            <w:r w:rsidRPr="00D55B2B">
              <w:rPr>
                <w:rFonts w:ascii="Arial" w:hAnsi="Arial" w:cs="Arial"/>
                <w:spacing w:val="-3"/>
                <w:sz w:val="22"/>
                <w:szCs w:val="22"/>
              </w:rPr>
              <w:t>el uso u ocupación del Sitio de las Obras por las Obras, o con el objeto de realizar las Obras como resultado inevitable de las Obras.</w:t>
            </w:r>
          </w:p>
          <w:p w14:paraId="3A73B8BC" w14:textId="77777777" w:rsidR="00F7749D" w:rsidRPr="00D55B2B" w:rsidRDefault="00F7749D" w:rsidP="00F7749D">
            <w:pPr>
              <w:pStyle w:val="Prrafodelista"/>
              <w:numPr>
                <w:ilvl w:val="0"/>
                <w:numId w:val="92"/>
              </w:numPr>
              <w:suppressAutoHyphens/>
              <w:spacing w:before="60" w:after="60"/>
              <w:rPr>
                <w:rFonts w:ascii="Arial" w:hAnsi="Arial" w:cs="Arial"/>
                <w:spacing w:val="-3"/>
                <w:sz w:val="22"/>
                <w:szCs w:val="22"/>
              </w:rPr>
            </w:pPr>
            <w:r w:rsidRPr="00D55B2B">
              <w:rPr>
                <w:rFonts w:ascii="Arial" w:hAnsi="Arial" w:cs="Arial"/>
                <w:spacing w:val="-3"/>
                <w:sz w:val="22"/>
                <w:szCs w:val="22"/>
              </w:rPr>
              <w:t>El riesgo de pérdida o daño a las Obras, Planta, Materiales y Equipos, únicamente si ello se debe a fallas del Contratante o en el diseño hecho por el Contratante, o a una guerra o contaminación radioactiva que afecte directamente al país donde se han de realizar las Obras.</w:t>
            </w:r>
          </w:p>
          <w:p w14:paraId="0482E7CE" w14:textId="77777777" w:rsidR="00F7749D" w:rsidRPr="00D55B2B" w:rsidRDefault="00F7749D" w:rsidP="00F7749D">
            <w:pPr>
              <w:pStyle w:val="Prrafodelista"/>
              <w:numPr>
                <w:ilvl w:val="0"/>
                <w:numId w:val="91"/>
              </w:numPr>
              <w:spacing w:before="60" w:after="60"/>
              <w:rPr>
                <w:rFonts w:ascii="Arial" w:hAnsi="Arial" w:cs="Arial"/>
                <w:spacing w:val="-3"/>
                <w:sz w:val="22"/>
                <w:szCs w:val="22"/>
              </w:rPr>
            </w:pPr>
            <w:r w:rsidRPr="00D55B2B">
              <w:rPr>
                <w:rFonts w:ascii="Arial" w:hAnsi="Arial" w:cs="Arial"/>
                <w:spacing w:val="-3"/>
                <w:sz w:val="22"/>
                <w:szCs w:val="22"/>
              </w:rPr>
              <w:t>Desde la Fecha de terminación hasta la fecha de emisión del Certificado de Corrección de Defectos, son riesgos del Contratante:</w:t>
            </w:r>
          </w:p>
          <w:p w14:paraId="2D0385B5" w14:textId="77777777" w:rsidR="00F7749D" w:rsidRPr="00D55B2B" w:rsidRDefault="00F7749D" w:rsidP="00F7749D">
            <w:pPr>
              <w:pStyle w:val="Prrafodelista"/>
              <w:numPr>
                <w:ilvl w:val="0"/>
                <w:numId w:val="100"/>
              </w:numPr>
              <w:suppressAutoHyphens/>
              <w:spacing w:before="60" w:after="60"/>
              <w:rPr>
                <w:rFonts w:ascii="Arial" w:hAnsi="Arial" w:cs="Arial"/>
                <w:spacing w:val="-3"/>
                <w:sz w:val="22"/>
                <w:szCs w:val="22"/>
              </w:rPr>
            </w:pPr>
            <w:r w:rsidRPr="00D55B2B">
              <w:rPr>
                <w:rFonts w:ascii="Arial" w:hAnsi="Arial" w:cs="Arial"/>
                <w:spacing w:val="-3"/>
                <w:sz w:val="22"/>
                <w:szCs w:val="22"/>
              </w:rPr>
              <w:t xml:space="preserve"> las pérdida o daño de las Obras, Planta y Materiales que:</w:t>
            </w:r>
          </w:p>
          <w:p w14:paraId="7B2D293F" w14:textId="77777777" w:rsidR="00F7749D" w:rsidRPr="00D55B2B" w:rsidRDefault="00F7749D" w:rsidP="00F7749D">
            <w:pPr>
              <w:pStyle w:val="Prrafodelista"/>
              <w:numPr>
                <w:ilvl w:val="2"/>
                <w:numId w:val="74"/>
              </w:numPr>
              <w:suppressAutoHyphens/>
              <w:spacing w:before="60" w:after="60"/>
              <w:ind w:left="1150"/>
              <w:rPr>
                <w:rFonts w:ascii="Arial" w:hAnsi="Arial" w:cs="Arial"/>
                <w:spacing w:val="-3"/>
                <w:sz w:val="22"/>
                <w:szCs w:val="22"/>
              </w:rPr>
            </w:pPr>
            <w:r w:rsidRPr="00D55B2B">
              <w:rPr>
                <w:rFonts w:ascii="Arial" w:hAnsi="Arial" w:cs="Arial"/>
                <w:spacing w:val="-3"/>
                <w:sz w:val="22"/>
                <w:szCs w:val="22"/>
              </w:rPr>
              <w:t>No sean consecuencia de un defecto que existía en la Fecha de terminación;</w:t>
            </w:r>
          </w:p>
          <w:p w14:paraId="0E945472" w14:textId="77777777" w:rsidR="00F7749D" w:rsidRPr="00D55B2B" w:rsidRDefault="00F7749D" w:rsidP="00F7749D">
            <w:pPr>
              <w:pStyle w:val="Prrafodelista"/>
              <w:numPr>
                <w:ilvl w:val="2"/>
                <w:numId w:val="74"/>
              </w:numPr>
              <w:suppressAutoHyphens/>
              <w:spacing w:before="60" w:after="60"/>
              <w:ind w:left="1150"/>
              <w:rPr>
                <w:rFonts w:ascii="Arial" w:hAnsi="Arial" w:cs="Arial"/>
                <w:spacing w:val="-3"/>
                <w:sz w:val="22"/>
                <w:szCs w:val="22"/>
              </w:rPr>
            </w:pPr>
            <w:r w:rsidRPr="00D55B2B">
              <w:rPr>
                <w:rFonts w:ascii="Arial" w:hAnsi="Arial" w:cs="Arial"/>
                <w:spacing w:val="-3"/>
                <w:sz w:val="22"/>
                <w:szCs w:val="22"/>
              </w:rPr>
              <w:t>No sean consecuencia de las actividades del Contratista en el Sitio de las Obras después de la Fecha de terminación; o</w:t>
            </w:r>
          </w:p>
          <w:p w14:paraId="6B7844F2" w14:textId="77777777" w:rsidR="00F7749D" w:rsidRPr="00D55B2B" w:rsidRDefault="00F7749D" w:rsidP="00F7749D">
            <w:pPr>
              <w:pStyle w:val="Prrafodelista"/>
              <w:numPr>
                <w:ilvl w:val="2"/>
                <w:numId w:val="74"/>
              </w:numPr>
              <w:suppressAutoHyphens/>
              <w:spacing w:before="60" w:after="60"/>
              <w:ind w:left="1150"/>
              <w:rPr>
                <w:rFonts w:ascii="Arial" w:hAnsi="Arial" w:cs="Arial"/>
                <w:spacing w:val="-3"/>
                <w:sz w:val="22"/>
                <w:szCs w:val="22"/>
              </w:rPr>
            </w:pPr>
            <w:r w:rsidRPr="00D55B2B">
              <w:rPr>
                <w:rFonts w:ascii="Arial" w:hAnsi="Arial" w:cs="Arial"/>
                <w:spacing w:val="-3"/>
                <w:sz w:val="22"/>
                <w:szCs w:val="22"/>
              </w:rPr>
              <w:lastRenderedPageBreak/>
              <w:t>Sea consecuencia de un evento que constituía un riesgo del Contratante y que ocurrió antes de la Fecha de terminación.</w:t>
            </w:r>
          </w:p>
        </w:tc>
      </w:tr>
      <w:tr w:rsidR="00F7749D" w:rsidRPr="00D55B2B" w14:paraId="77ADA5F7" w14:textId="77777777" w:rsidTr="00D23A40">
        <w:trPr>
          <w:cantSplit/>
          <w:trHeight w:val="423"/>
          <w:jc w:val="center"/>
        </w:trPr>
        <w:tc>
          <w:tcPr>
            <w:tcW w:w="805" w:type="dxa"/>
            <w:tcBorders>
              <w:right w:val="nil"/>
            </w:tcBorders>
            <w:shd w:val="clear" w:color="auto" w:fill="auto"/>
          </w:tcPr>
          <w:p w14:paraId="3101677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DEBA6A3" w14:textId="77777777" w:rsidR="00F7749D" w:rsidRPr="00D55B2B" w:rsidRDefault="00F7749D" w:rsidP="00D23A40">
            <w:pPr>
              <w:suppressAutoHyphens/>
              <w:spacing w:before="60" w:after="60"/>
              <w:rPr>
                <w:rFonts w:ascii="Arial" w:hAnsi="Arial" w:cs="Arial"/>
                <w:spacing w:val="-3"/>
                <w:sz w:val="22"/>
                <w:szCs w:val="22"/>
                <w:u w:val="single"/>
              </w:rPr>
            </w:pPr>
            <w:r w:rsidRPr="00D55B2B">
              <w:rPr>
                <w:rFonts w:ascii="Arial" w:hAnsi="Arial" w:cs="Arial"/>
                <w:spacing w:val="-3"/>
                <w:sz w:val="22"/>
                <w:szCs w:val="22"/>
                <w:u w:val="single"/>
              </w:rPr>
              <w:t>Riegos del Contratista</w:t>
            </w:r>
          </w:p>
          <w:p w14:paraId="74648398" w14:textId="77777777" w:rsidR="00F7749D" w:rsidRPr="00D55B2B" w:rsidRDefault="00F7749D" w:rsidP="00D23A40">
            <w:pPr>
              <w:suppressAutoHyphens/>
              <w:spacing w:before="60" w:after="60"/>
              <w:rPr>
                <w:rFonts w:ascii="Arial" w:hAnsi="Arial" w:cs="Arial"/>
                <w:spacing w:val="-3"/>
                <w:sz w:val="22"/>
                <w:szCs w:val="22"/>
              </w:rPr>
            </w:pPr>
            <w:r w:rsidRPr="00D55B2B">
              <w:rPr>
                <w:rFonts w:ascii="Arial" w:hAnsi="Arial" w:cs="Arial"/>
                <w:spacing w:val="-3"/>
                <w:sz w:val="22"/>
                <w:szCs w:val="22"/>
              </w:rPr>
              <w:t>Cuando no sean riesgos del Contratante, de conformidad con la subcláusula 20.2 anterior, serán riesgos del Contratista:</w:t>
            </w:r>
          </w:p>
          <w:p w14:paraId="4F1949E4" w14:textId="77777777" w:rsidR="00F7749D" w:rsidRPr="00D55B2B" w:rsidRDefault="00F7749D" w:rsidP="00F7749D">
            <w:pPr>
              <w:pStyle w:val="Prrafodelista"/>
              <w:numPr>
                <w:ilvl w:val="0"/>
                <w:numId w:val="75"/>
              </w:numPr>
              <w:suppressAutoHyphens/>
              <w:spacing w:before="60" w:after="60"/>
              <w:ind w:left="360"/>
              <w:rPr>
                <w:rFonts w:ascii="Arial" w:hAnsi="Arial" w:cs="Arial"/>
                <w:spacing w:val="-3"/>
                <w:sz w:val="22"/>
                <w:szCs w:val="22"/>
              </w:rPr>
            </w:pPr>
            <w:r w:rsidRPr="00D55B2B">
              <w:rPr>
                <w:rFonts w:ascii="Arial" w:hAnsi="Arial" w:cs="Arial"/>
                <w:spacing w:val="-3"/>
                <w:sz w:val="22"/>
                <w:szCs w:val="22"/>
              </w:rPr>
              <w:t xml:space="preserve">Desde la Fecha de Inicio de las Obras hasta la fecha de emisión del Certificado de Corrección de Defectos: </w:t>
            </w:r>
          </w:p>
          <w:p w14:paraId="18348A6B" w14:textId="77777777" w:rsidR="00F7749D" w:rsidRPr="00D55B2B" w:rsidRDefault="00F7749D" w:rsidP="00F7749D">
            <w:pPr>
              <w:pStyle w:val="Prrafodelista"/>
              <w:numPr>
                <w:ilvl w:val="0"/>
                <w:numId w:val="73"/>
              </w:numPr>
              <w:suppressAutoHyphens/>
              <w:spacing w:before="60" w:after="60"/>
              <w:ind w:left="641" w:hanging="357"/>
              <w:rPr>
                <w:rFonts w:ascii="Arial" w:hAnsi="Arial" w:cs="Arial"/>
                <w:spacing w:val="-3"/>
                <w:sz w:val="22"/>
                <w:szCs w:val="22"/>
              </w:rPr>
            </w:pPr>
            <w:r w:rsidRPr="00D55B2B">
              <w:rPr>
                <w:rFonts w:ascii="Arial" w:hAnsi="Arial" w:cs="Arial"/>
                <w:spacing w:val="-3"/>
                <w:sz w:val="22"/>
                <w:szCs w:val="22"/>
              </w:rPr>
              <w:t>El riesgo de pérdida o daños a las Obras, Planta y Materiales;</w:t>
            </w:r>
          </w:p>
          <w:p w14:paraId="32AEF580" w14:textId="77777777" w:rsidR="00F7749D" w:rsidRPr="00D55B2B" w:rsidRDefault="00F7749D" w:rsidP="00F7749D">
            <w:pPr>
              <w:pStyle w:val="Prrafodelista"/>
              <w:numPr>
                <w:ilvl w:val="0"/>
                <w:numId w:val="73"/>
              </w:numPr>
              <w:suppressAutoHyphens/>
              <w:spacing w:before="60" w:after="60"/>
              <w:ind w:left="641" w:hanging="357"/>
              <w:rPr>
                <w:rFonts w:ascii="Arial" w:hAnsi="Arial" w:cs="Arial"/>
                <w:spacing w:val="-3"/>
                <w:sz w:val="22"/>
                <w:szCs w:val="22"/>
              </w:rPr>
            </w:pPr>
            <w:r w:rsidRPr="00D55B2B">
              <w:rPr>
                <w:rFonts w:ascii="Arial" w:hAnsi="Arial" w:cs="Arial"/>
                <w:spacing w:val="-3"/>
                <w:sz w:val="22"/>
                <w:szCs w:val="22"/>
              </w:rPr>
              <w:t>El riesgo de pérdida o daños a los Equipos; y</w:t>
            </w:r>
          </w:p>
          <w:p w14:paraId="7D0D060A"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El riesgo por muerte, lesión o daño físico que pudiera ocurrir a cualquier persona, incluido un empleado del Contratante, y el riesgo por daño material o pérdida de cualquier propiedad, incluida la del Contratante, derivados de la ejecución de la Obra o en la ejecución del Contrato.</w:t>
            </w:r>
          </w:p>
        </w:tc>
      </w:tr>
      <w:tr w:rsidR="00F7749D" w:rsidRPr="00D55B2B" w14:paraId="2C575932" w14:textId="77777777" w:rsidTr="00D23A40">
        <w:tblPrEx>
          <w:jc w:val="left"/>
        </w:tblPrEx>
        <w:trPr>
          <w:trHeight w:val="20"/>
        </w:trPr>
        <w:tc>
          <w:tcPr>
            <w:tcW w:w="9355" w:type="dxa"/>
            <w:gridSpan w:val="2"/>
            <w:shd w:val="clear" w:color="auto" w:fill="auto"/>
          </w:tcPr>
          <w:p w14:paraId="5BC4EA24"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56" w:name="_Toc47916971"/>
            <w:bookmarkStart w:id="1957" w:name="_Toc74048249"/>
            <w:bookmarkStart w:id="1958" w:name="_Toc74518489"/>
            <w:bookmarkStart w:id="1959" w:name="_Toc74519219"/>
            <w:bookmarkStart w:id="1960" w:name="_Toc74781409"/>
            <w:bookmarkStart w:id="1961" w:name="_Toc74930922"/>
            <w:r w:rsidRPr="00D55B2B">
              <w:rPr>
                <w:rFonts w:cs="Arial"/>
                <w:sz w:val="22"/>
                <w:szCs w:val="22"/>
                <w:lang w:val="es-ES_tradnl"/>
              </w:rPr>
              <w:t>Seguros</w:t>
            </w:r>
            <w:bookmarkEnd w:id="1956"/>
            <w:bookmarkEnd w:id="1957"/>
            <w:bookmarkEnd w:id="1958"/>
            <w:bookmarkEnd w:id="1959"/>
            <w:bookmarkEnd w:id="1960"/>
            <w:bookmarkEnd w:id="1961"/>
          </w:p>
        </w:tc>
      </w:tr>
      <w:tr w:rsidR="00F7749D" w:rsidRPr="00D55B2B" w14:paraId="027DA084" w14:textId="77777777" w:rsidTr="00D23A40">
        <w:tblPrEx>
          <w:jc w:val="left"/>
        </w:tblPrEx>
        <w:trPr>
          <w:trHeight w:val="20"/>
        </w:trPr>
        <w:tc>
          <w:tcPr>
            <w:tcW w:w="805" w:type="dxa"/>
            <w:tcBorders>
              <w:right w:val="nil"/>
            </w:tcBorders>
            <w:shd w:val="clear" w:color="auto" w:fill="auto"/>
          </w:tcPr>
          <w:p w14:paraId="2E059F2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B708F6"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Inmediatamente después de la firma del Contrato, el Contratista deberá suscribir seguros emitidos en el nombre conjunto del Contratista y del Contratante por los montos totales y los montos deducibles </w:t>
            </w:r>
            <w:r w:rsidRPr="00D55B2B">
              <w:rPr>
                <w:rFonts w:ascii="Arial" w:hAnsi="Arial" w:cs="Arial"/>
                <w:b/>
                <w:bCs/>
                <w:spacing w:val="-3"/>
                <w:sz w:val="22"/>
                <w:szCs w:val="22"/>
              </w:rPr>
              <w:t xml:space="preserve">estipulados en las CPC, </w:t>
            </w:r>
            <w:r w:rsidRPr="00D55B2B">
              <w:rPr>
                <w:rFonts w:ascii="Arial" w:hAnsi="Arial" w:cs="Arial"/>
                <w:spacing w:val="-3"/>
                <w:sz w:val="22"/>
                <w:szCs w:val="22"/>
              </w:rPr>
              <w:t>por los siguientes eventos que constituyen riesgos del Contratista:</w:t>
            </w:r>
          </w:p>
          <w:p w14:paraId="10DF99E4" w14:textId="77777777" w:rsidR="00F7749D" w:rsidRPr="00D55B2B" w:rsidRDefault="00F7749D" w:rsidP="00F7749D">
            <w:pPr>
              <w:pStyle w:val="Prrafodelista"/>
              <w:numPr>
                <w:ilvl w:val="0"/>
                <w:numId w:val="71"/>
              </w:numPr>
              <w:suppressAutoHyphens/>
              <w:spacing w:before="60" w:after="60"/>
              <w:ind w:left="246" w:hanging="246"/>
              <w:rPr>
                <w:rFonts w:ascii="Arial" w:hAnsi="Arial" w:cs="Arial"/>
                <w:spacing w:val="-3"/>
                <w:sz w:val="22"/>
                <w:szCs w:val="22"/>
              </w:rPr>
            </w:pPr>
            <w:r w:rsidRPr="00D55B2B">
              <w:rPr>
                <w:rFonts w:ascii="Arial" w:hAnsi="Arial" w:cs="Arial"/>
                <w:spacing w:val="-3"/>
                <w:sz w:val="22"/>
                <w:szCs w:val="22"/>
              </w:rPr>
              <w:t>Pérdida o daños a las Obras, Planta y Materiales;</w:t>
            </w:r>
          </w:p>
          <w:p w14:paraId="6D1F6F1B" w14:textId="77777777" w:rsidR="00F7749D" w:rsidRPr="00D55B2B" w:rsidRDefault="00F7749D" w:rsidP="00F7749D">
            <w:pPr>
              <w:pStyle w:val="Prrafodelista"/>
              <w:numPr>
                <w:ilvl w:val="0"/>
                <w:numId w:val="71"/>
              </w:numPr>
              <w:suppressAutoHyphens/>
              <w:spacing w:before="60" w:after="60"/>
              <w:ind w:left="246" w:hanging="246"/>
              <w:rPr>
                <w:rFonts w:ascii="Arial" w:hAnsi="Arial" w:cs="Arial"/>
                <w:spacing w:val="-3"/>
                <w:sz w:val="22"/>
                <w:szCs w:val="22"/>
              </w:rPr>
            </w:pPr>
            <w:r w:rsidRPr="00D55B2B">
              <w:rPr>
                <w:rFonts w:ascii="Arial" w:hAnsi="Arial" w:cs="Arial"/>
                <w:spacing w:val="-3"/>
                <w:sz w:val="22"/>
                <w:szCs w:val="22"/>
              </w:rPr>
              <w:t>Pérdida o daños a los Equipos; y</w:t>
            </w:r>
          </w:p>
          <w:p w14:paraId="69F6503F" w14:textId="77777777" w:rsidR="00F7749D" w:rsidRPr="00D55B2B" w:rsidRDefault="00F7749D" w:rsidP="00F7749D">
            <w:pPr>
              <w:pStyle w:val="Prrafodelista"/>
              <w:numPr>
                <w:ilvl w:val="0"/>
                <w:numId w:val="71"/>
              </w:numPr>
              <w:suppressAutoHyphens/>
              <w:spacing w:before="60" w:after="60"/>
              <w:ind w:left="246" w:hanging="246"/>
              <w:rPr>
                <w:rFonts w:ascii="Arial" w:hAnsi="Arial" w:cs="Arial"/>
                <w:spacing w:val="-3"/>
                <w:sz w:val="22"/>
                <w:szCs w:val="22"/>
              </w:rPr>
            </w:pPr>
            <w:r w:rsidRPr="00D55B2B">
              <w:rPr>
                <w:rFonts w:ascii="Arial" w:hAnsi="Arial" w:cs="Arial"/>
                <w:spacing w:val="-3"/>
                <w:sz w:val="22"/>
                <w:szCs w:val="22"/>
              </w:rPr>
              <w:t>Responsabilidad civil por muerte, lesión o daño físico que pudiera ocurrir a cualquier otra persona, incluido un empleado del Contratante, y el riesgo por daño material o pérdida de cualquier propiedad, incluida la del Contratante, derivados de la ejecución de la Obra o en la ejecución del Contrato</w:t>
            </w:r>
          </w:p>
          <w:p w14:paraId="29718164" w14:textId="77777777" w:rsidR="00F7749D" w:rsidRPr="00D55B2B" w:rsidRDefault="00F7749D" w:rsidP="00D23A40">
            <w:pPr>
              <w:spacing w:before="60" w:after="60"/>
              <w:rPr>
                <w:rFonts w:ascii="Arial" w:hAnsi="Arial" w:cs="Arial"/>
                <w:color w:val="00B050"/>
                <w:sz w:val="22"/>
                <w:szCs w:val="22"/>
              </w:rPr>
            </w:pPr>
            <w:r w:rsidRPr="00D55B2B">
              <w:rPr>
                <w:rFonts w:ascii="Arial" w:hAnsi="Arial" w:cs="Arial"/>
                <w:spacing w:val="-3"/>
                <w:sz w:val="22"/>
                <w:szCs w:val="22"/>
              </w:rPr>
              <w:t>Estos seguros deben cubrir el período comprendido entre la Fecha de Inicio y el vencimiento del Período de Responsabilidad por Defectos.</w:t>
            </w:r>
          </w:p>
        </w:tc>
      </w:tr>
      <w:tr w:rsidR="00F7749D" w:rsidRPr="00D55B2B" w14:paraId="11D267F5" w14:textId="77777777" w:rsidTr="00D23A40">
        <w:trPr>
          <w:cantSplit/>
          <w:trHeight w:val="423"/>
          <w:jc w:val="center"/>
        </w:trPr>
        <w:tc>
          <w:tcPr>
            <w:tcW w:w="805" w:type="dxa"/>
            <w:tcBorders>
              <w:right w:val="nil"/>
            </w:tcBorders>
            <w:shd w:val="clear" w:color="auto" w:fill="auto"/>
          </w:tcPr>
          <w:p w14:paraId="28838A7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964F9DD"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tc>
      </w:tr>
      <w:tr w:rsidR="00F7749D" w:rsidRPr="00D55B2B" w14:paraId="2258BF3D" w14:textId="77777777" w:rsidTr="00D23A40">
        <w:trPr>
          <w:cantSplit/>
          <w:trHeight w:val="423"/>
          <w:jc w:val="center"/>
        </w:trPr>
        <w:tc>
          <w:tcPr>
            <w:tcW w:w="805" w:type="dxa"/>
            <w:tcBorders>
              <w:right w:val="nil"/>
            </w:tcBorders>
            <w:shd w:val="clear" w:color="auto" w:fill="auto"/>
          </w:tcPr>
          <w:p w14:paraId="4FEADF3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082508C"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Las condiciones del seguro no podrán modificarse sin la aprobación del Gerente de Obras.</w:t>
            </w:r>
          </w:p>
        </w:tc>
      </w:tr>
      <w:tr w:rsidR="00F7749D" w:rsidRPr="00D55B2B" w14:paraId="68CB21E6" w14:textId="77777777" w:rsidTr="00D23A40">
        <w:trPr>
          <w:cantSplit/>
          <w:trHeight w:val="423"/>
          <w:jc w:val="center"/>
        </w:trPr>
        <w:tc>
          <w:tcPr>
            <w:tcW w:w="805" w:type="dxa"/>
            <w:tcBorders>
              <w:right w:val="nil"/>
            </w:tcBorders>
            <w:shd w:val="clear" w:color="auto" w:fill="auto"/>
          </w:tcPr>
          <w:p w14:paraId="41AD395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D7E7E97"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Ambas partes deberán cumplir con todas las condiciones de las pólizas de seguro.</w:t>
            </w:r>
          </w:p>
        </w:tc>
      </w:tr>
      <w:tr w:rsidR="00F7749D" w:rsidRPr="00D55B2B" w14:paraId="0BE1CBBE" w14:textId="77777777" w:rsidTr="00D23A40">
        <w:trPr>
          <w:cantSplit/>
          <w:trHeight w:val="423"/>
          <w:jc w:val="center"/>
        </w:trPr>
        <w:tc>
          <w:tcPr>
            <w:tcW w:w="805" w:type="dxa"/>
            <w:tcBorders>
              <w:right w:val="nil"/>
            </w:tcBorders>
            <w:shd w:val="clear" w:color="auto" w:fill="auto"/>
          </w:tcPr>
          <w:p w14:paraId="53E0537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FEFC191"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Si el Contratista no contratara o no mantuviera vigente alguno de los seguros exigidos, el Contratante podrá contratar y mantener vigente cualquiera de esos seguros y pagar la prima que sea necesaria a dichos efectos, y podrá recuperar las primas pagadas por el Contratante de los pagos que se adeuden al Contratista, o bien, si no se le adeudara nada, considerarlas una deuda del Contratista.</w:t>
            </w:r>
          </w:p>
        </w:tc>
      </w:tr>
      <w:tr w:rsidR="00F7749D" w:rsidRPr="00D55B2B" w14:paraId="66667A38" w14:textId="77777777" w:rsidTr="00D23A40">
        <w:trPr>
          <w:cantSplit/>
          <w:trHeight w:val="423"/>
          <w:jc w:val="center"/>
        </w:trPr>
        <w:tc>
          <w:tcPr>
            <w:tcW w:w="805" w:type="dxa"/>
            <w:tcBorders>
              <w:right w:val="nil"/>
            </w:tcBorders>
            <w:shd w:val="clear" w:color="auto" w:fill="auto"/>
          </w:tcPr>
          <w:p w14:paraId="7051F95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3D82740"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lang w:val="es-HN"/>
              </w:rPr>
              <w:t>La</w:t>
            </w:r>
            <w:r w:rsidRPr="00D55B2B">
              <w:rPr>
                <w:rFonts w:ascii="Arial" w:hAnsi="Arial" w:cs="Arial"/>
                <w:spacing w:val="-3"/>
                <w:sz w:val="22"/>
                <w:szCs w:val="22"/>
                <w:lang w:val="es-MX"/>
              </w:rPr>
              <w:t xml:space="preserve"> invalidación, cancelación, anulación o el término de la vigencia de cualquiera de las coberturas de los seguros por causas imputables al Contratista, no liberará al Contratista de su obligación de responder por la totalidad de las pérdidas o daños y/o perjuicios que se ocasionen en caso de algún siniestro.</w:t>
            </w:r>
          </w:p>
        </w:tc>
      </w:tr>
      <w:tr w:rsidR="00F7749D" w:rsidRPr="00D55B2B" w14:paraId="6857A466" w14:textId="77777777" w:rsidTr="00D23A40">
        <w:trPr>
          <w:cantSplit/>
          <w:trHeight w:val="423"/>
          <w:jc w:val="center"/>
        </w:trPr>
        <w:tc>
          <w:tcPr>
            <w:tcW w:w="805" w:type="dxa"/>
            <w:tcBorders>
              <w:right w:val="nil"/>
            </w:tcBorders>
            <w:shd w:val="clear" w:color="auto" w:fill="auto"/>
          </w:tcPr>
          <w:p w14:paraId="046BAA7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1781F5B" w14:textId="77777777" w:rsidR="00F7749D" w:rsidRPr="00D55B2B" w:rsidRDefault="00F7749D" w:rsidP="00D23A40">
            <w:pPr>
              <w:spacing w:before="60" w:after="60"/>
              <w:rPr>
                <w:rFonts w:ascii="Arial" w:hAnsi="Arial" w:cs="Arial"/>
                <w:spacing w:val="-3"/>
                <w:sz w:val="22"/>
                <w:szCs w:val="22"/>
                <w:lang w:val="es-HN"/>
              </w:rPr>
            </w:pPr>
            <w:r w:rsidRPr="00D55B2B">
              <w:rPr>
                <w:rFonts w:ascii="Arial" w:hAnsi="Arial" w:cs="Arial"/>
                <w:spacing w:val="-3"/>
                <w:sz w:val="22"/>
                <w:szCs w:val="22"/>
              </w:rPr>
              <w:t>En caso de presentarse algún siniestro cubierto por los seguros contratados, el Contratista deberá proporcionar a las aseguradoras toda la asistencia necesaria para documentar los reclamos que sean presentados, así como efectuar las gestiones legales que se pudieran requerir. Los errores, omisiones o falsedad de información que pudiera invalidar cualquiera de las coberturas o prevenir la oportuna recuperación del seguro no liberarán al Contratista de responder por los daños resultantes.</w:t>
            </w:r>
          </w:p>
        </w:tc>
      </w:tr>
      <w:tr w:rsidR="00F7749D" w:rsidRPr="00D55B2B" w14:paraId="1F0F3897" w14:textId="77777777" w:rsidTr="00D23A40">
        <w:tblPrEx>
          <w:jc w:val="left"/>
        </w:tblPrEx>
        <w:trPr>
          <w:trHeight w:val="20"/>
        </w:trPr>
        <w:tc>
          <w:tcPr>
            <w:tcW w:w="9355" w:type="dxa"/>
            <w:gridSpan w:val="2"/>
            <w:shd w:val="clear" w:color="auto" w:fill="auto"/>
          </w:tcPr>
          <w:p w14:paraId="054ABBB1"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62" w:name="_Toc47916973"/>
            <w:bookmarkStart w:id="1963" w:name="_Toc74048250"/>
            <w:bookmarkStart w:id="1964" w:name="_Toc74518490"/>
            <w:bookmarkStart w:id="1965" w:name="_Toc74519220"/>
            <w:bookmarkStart w:id="1966" w:name="_Toc74781410"/>
            <w:bookmarkStart w:id="1967" w:name="_Toc74930923"/>
            <w:r w:rsidRPr="00D55B2B">
              <w:rPr>
                <w:rFonts w:cs="Arial"/>
                <w:sz w:val="22"/>
                <w:szCs w:val="22"/>
                <w:lang w:val="es-ES_tradnl"/>
              </w:rPr>
              <w:t>Informes de investigación del Sitio de las Obras</w:t>
            </w:r>
            <w:bookmarkEnd w:id="1962"/>
            <w:bookmarkEnd w:id="1963"/>
            <w:bookmarkEnd w:id="1964"/>
            <w:bookmarkEnd w:id="1965"/>
            <w:bookmarkEnd w:id="1966"/>
            <w:bookmarkEnd w:id="1967"/>
          </w:p>
        </w:tc>
      </w:tr>
      <w:tr w:rsidR="00F7749D" w:rsidRPr="00D55B2B" w14:paraId="18F39CE5" w14:textId="77777777" w:rsidTr="00D23A40">
        <w:tblPrEx>
          <w:jc w:val="left"/>
        </w:tblPrEx>
        <w:trPr>
          <w:trHeight w:val="20"/>
        </w:trPr>
        <w:tc>
          <w:tcPr>
            <w:tcW w:w="805" w:type="dxa"/>
            <w:tcBorders>
              <w:right w:val="nil"/>
            </w:tcBorders>
            <w:shd w:val="clear" w:color="auto" w:fill="auto"/>
          </w:tcPr>
          <w:p w14:paraId="25FAB0A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D58C30D"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Se considerará que el Contratista ha inspeccionado y examinado el Sitio de las Obras y sus </w:t>
            </w:r>
            <w:r w:rsidRPr="00D55B2B">
              <w:rPr>
                <w:rFonts w:ascii="Arial" w:hAnsi="Arial" w:cs="Arial"/>
                <w:spacing w:val="-3"/>
                <w:sz w:val="22"/>
                <w:szCs w:val="22"/>
              </w:rPr>
              <w:t>alrededores</w:t>
            </w:r>
            <w:r w:rsidRPr="00D55B2B">
              <w:rPr>
                <w:rFonts w:ascii="Arial" w:hAnsi="Arial" w:cs="Arial"/>
                <w:sz w:val="22"/>
                <w:szCs w:val="22"/>
              </w:rPr>
              <w:t xml:space="preserve"> y </w:t>
            </w:r>
            <w:r w:rsidRPr="00D55B2B">
              <w:rPr>
                <w:rFonts w:ascii="Arial" w:hAnsi="Arial" w:cs="Arial"/>
                <w:sz w:val="22"/>
                <w:szCs w:val="22"/>
                <w:lang w:val="es-ES"/>
              </w:rPr>
              <w:t xml:space="preserve">todos los informes de investigación </w:t>
            </w:r>
            <w:r w:rsidRPr="00D55B2B">
              <w:rPr>
                <w:rFonts w:ascii="Arial" w:hAnsi="Arial" w:cs="Arial"/>
                <w:spacing w:val="-3"/>
                <w:sz w:val="22"/>
                <w:szCs w:val="22"/>
              </w:rPr>
              <w:t>sobre</w:t>
            </w:r>
            <w:r w:rsidRPr="00D55B2B">
              <w:rPr>
                <w:rFonts w:ascii="Arial" w:hAnsi="Arial" w:cs="Arial"/>
                <w:sz w:val="22"/>
                <w:szCs w:val="22"/>
                <w:lang w:val="es-ES"/>
              </w:rPr>
              <w:t xml:space="preserve"> el Sitio de las Obras </w:t>
            </w:r>
            <w:r w:rsidRPr="00D55B2B">
              <w:rPr>
                <w:rFonts w:ascii="Arial" w:hAnsi="Arial" w:cs="Arial"/>
                <w:b/>
                <w:bCs/>
                <w:sz w:val="22"/>
                <w:szCs w:val="22"/>
                <w:lang w:val="es-ES"/>
              </w:rPr>
              <w:t xml:space="preserve">mencionados en las CPC, </w:t>
            </w:r>
            <w:r w:rsidRPr="00D55B2B">
              <w:rPr>
                <w:rFonts w:ascii="Arial" w:hAnsi="Arial" w:cs="Arial"/>
                <w:sz w:val="22"/>
                <w:szCs w:val="22"/>
              </w:rPr>
              <w:t>además</w:t>
            </w:r>
            <w:r w:rsidRPr="00D55B2B">
              <w:rPr>
                <w:rFonts w:ascii="Arial" w:hAnsi="Arial" w:cs="Arial"/>
                <w:sz w:val="22"/>
                <w:szCs w:val="22"/>
                <w:lang w:val="es-ES"/>
              </w:rPr>
              <w:t xml:space="preserve"> de cualquier otra información a su disposición y que </w:t>
            </w:r>
            <w:r w:rsidRPr="00D55B2B">
              <w:rPr>
                <w:rFonts w:ascii="Arial" w:hAnsi="Arial" w:cs="Arial"/>
                <w:sz w:val="22"/>
                <w:szCs w:val="22"/>
              </w:rPr>
              <w:t>ha quedado conforme antes de presentar su Oferta y de firmar el Contrato en lo que respecta a todo asunto relativo a, entre otros:</w:t>
            </w:r>
          </w:p>
          <w:p w14:paraId="713F9A45" w14:textId="77777777" w:rsidR="00F7749D" w:rsidRPr="00D55B2B" w:rsidRDefault="00F7749D" w:rsidP="00F7749D">
            <w:pPr>
              <w:pStyle w:val="Prrafodelista"/>
              <w:numPr>
                <w:ilvl w:val="0"/>
                <w:numId w:val="77"/>
              </w:numPr>
              <w:tabs>
                <w:tab w:val="clear" w:pos="720"/>
                <w:tab w:val="num" w:pos="246"/>
                <w:tab w:val="num" w:pos="360"/>
              </w:tabs>
              <w:spacing w:before="60" w:after="60"/>
              <w:rPr>
                <w:rFonts w:ascii="Arial" w:hAnsi="Arial" w:cs="Arial"/>
                <w:sz w:val="22"/>
                <w:szCs w:val="22"/>
              </w:rPr>
            </w:pPr>
            <w:r w:rsidRPr="00D55B2B">
              <w:rPr>
                <w:rFonts w:ascii="Arial" w:hAnsi="Arial" w:cs="Arial"/>
                <w:sz w:val="22"/>
                <w:szCs w:val="22"/>
              </w:rPr>
              <w:t xml:space="preserve">la naturaleza del terreno y su subsuelo, </w:t>
            </w:r>
          </w:p>
          <w:p w14:paraId="300E2D06" w14:textId="77777777" w:rsidR="00F7749D" w:rsidRPr="00D55B2B" w:rsidRDefault="00F7749D" w:rsidP="00F7749D">
            <w:pPr>
              <w:pStyle w:val="Prrafodelista"/>
              <w:numPr>
                <w:ilvl w:val="0"/>
                <w:numId w:val="77"/>
              </w:numPr>
              <w:tabs>
                <w:tab w:val="clear" w:pos="720"/>
                <w:tab w:val="num" w:pos="246"/>
                <w:tab w:val="num" w:pos="360"/>
              </w:tabs>
              <w:spacing w:before="60" w:after="60"/>
              <w:rPr>
                <w:rFonts w:ascii="Arial" w:hAnsi="Arial" w:cs="Arial"/>
                <w:sz w:val="22"/>
                <w:szCs w:val="22"/>
              </w:rPr>
            </w:pPr>
            <w:r w:rsidRPr="00D55B2B">
              <w:rPr>
                <w:rFonts w:ascii="Arial" w:hAnsi="Arial" w:cs="Arial"/>
                <w:sz w:val="22"/>
                <w:szCs w:val="22"/>
              </w:rPr>
              <w:t xml:space="preserve">la forma y las condiciones del lugar, </w:t>
            </w:r>
          </w:p>
          <w:p w14:paraId="2AE1FEA5" w14:textId="77777777" w:rsidR="00F7749D" w:rsidRPr="00D55B2B" w:rsidRDefault="00F7749D" w:rsidP="00F7749D">
            <w:pPr>
              <w:pStyle w:val="Prrafodelista"/>
              <w:numPr>
                <w:ilvl w:val="0"/>
                <w:numId w:val="77"/>
              </w:numPr>
              <w:tabs>
                <w:tab w:val="clear" w:pos="720"/>
                <w:tab w:val="num" w:pos="246"/>
              </w:tabs>
              <w:spacing w:before="60" w:after="60"/>
              <w:ind w:left="340" w:hanging="360"/>
              <w:rPr>
                <w:rFonts w:ascii="Arial" w:hAnsi="Arial" w:cs="Arial"/>
                <w:sz w:val="22"/>
                <w:szCs w:val="22"/>
              </w:rPr>
            </w:pPr>
            <w:r w:rsidRPr="00D55B2B">
              <w:rPr>
                <w:rFonts w:ascii="Arial" w:hAnsi="Arial" w:cs="Arial"/>
                <w:sz w:val="22"/>
                <w:szCs w:val="22"/>
              </w:rPr>
              <w:t xml:space="preserve">los detalles y los niveles de tuberías, conductos, alcantarillado, drenajes, cables u otros servicios existentes, </w:t>
            </w:r>
          </w:p>
          <w:p w14:paraId="3AF2D403" w14:textId="77777777" w:rsidR="00F7749D" w:rsidRPr="00D55B2B" w:rsidRDefault="00F7749D" w:rsidP="00F7749D">
            <w:pPr>
              <w:pStyle w:val="Prrafodelista"/>
              <w:numPr>
                <w:ilvl w:val="0"/>
                <w:numId w:val="77"/>
              </w:numPr>
              <w:tabs>
                <w:tab w:val="clear" w:pos="720"/>
                <w:tab w:val="num" w:pos="246"/>
                <w:tab w:val="num" w:pos="360"/>
              </w:tabs>
              <w:spacing w:before="60" w:after="60"/>
              <w:rPr>
                <w:rFonts w:ascii="Arial" w:hAnsi="Arial" w:cs="Arial"/>
                <w:sz w:val="22"/>
                <w:szCs w:val="22"/>
              </w:rPr>
            </w:pPr>
            <w:r w:rsidRPr="00D55B2B">
              <w:rPr>
                <w:rFonts w:ascii="Arial" w:hAnsi="Arial" w:cs="Arial"/>
                <w:sz w:val="22"/>
                <w:szCs w:val="22"/>
              </w:rPr>
              <w:t xml:space="preserve">las cantidades y la índole de los trabajos y los materiales necesarios para completar las Obras, </w:t>
            </w:r>
          </w:p>
          <w:p w14:paraId="10BC494A" w14:textId="77777777" w:rsidR="00F7749D" w:rsidRPr="00D55B2B" w:rsidRDefault="00F7749D" w:rsidP="00F7749D">
            <w:pPr>
              <w:pStyle w:val="Prrafodelista"/>
              <w:numPr>
                <w:ilvl w:val="0"/>
                <w:numId w:val="77"/>
              </w:numPr>
              <w:tabs>
                <w:tab w:val="clear" w:pos="720"/>
                <w:tab w:val="num" w:pos="246"/>
                <w:tab w:val="num" w:pos="360"/>
              </w:tabs>
              <w:spacing w:before="60" w:after="60"/>
              <w:rPr>
                <w:rFonts w:ascii="Arial" w:hAnsi="Arial" w:cs="Arial"/>
                <w:sz w:val="22"/>
                <w:szCs w:val="22"/>
              </w:rPr>
            </w:pPr>
            <w:r w:rsidRPr="00D55B2B">
              <w:rPr>
                <w:rFonts w:ascii="Arial" w:hAnsi="Arial" w:cs="Arial"/>
                <w:sz w:val="22"/>
                <w:szCs w:val="22"/>
              </w:rPr>
              <w:t>los medios de acceso al Sitio de las Obras y las adaptaciones que pueda requerir.</w:t>
            </w:r>
          </w:p>
          <w:p w14:paraId="22545953"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Contratista reconoce que ha obtenido la información necesaria en cuanto a posibilidades de riesgo, condiciones climáticas, hidrológicas y naturales y otras circunstancias que podrían influir en la ejecución o afectarla. No se considerará ningún reclamo en relación con lo anterior contra el Contratante. </w:t>
            </w:r>
          </w:p>
        </w:tc>
      </w:tr>
      <w:tr w:rsidR="00F7749D" w:rsidRPr="00D55B2B" w14:paraId="4F4C535D" w14:textId="77777777" w:rsidTr="00D23A40">
        <w:tblPrEx>
          <w:jc w:val="left"/>
        </w:tblPrEx>
        <w:trPr>
          <w:trHeight w:val="20"/>
        </w:trPr>
        <w:tc>
          <w:tcPr>
            <w:tcW w:w="9355" w:type="dxa"/>
            <w:gridSpan w:val="2"/>
            <w:shd w:val="clear" w:color="auto" w:fill="auto"/>
          </w:tcPr>
          <w:p w14:paraId="54D6CB91"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68" w:name="_Toc20767739"/>
            <w:bookmarkStart w:id="1969" w:name="_Toc21003109"/>
            <w:bookmarkStart w:id="1970" w:name="_Toc47916974"/>
            <w:bookmarkStart w:id="1971" w:name="_Toc74048251"/>
            <w:bookmarkStart w:id="1972" w:name="_Toc74518491"/>
            <w:bookmarkStart w:id="1973" w:name="_Toc74519221"/>
            <w:bookmarkStart w:id="1974" w:name="_Toc74781411"/>
            <w:bookmarkStart w:id="1975" w:name="_Toc74930924"/>
            <w:r w:rsidRPr="00D55B2B">
              <w:rPr>
                <w:rFonts w:cs="Arial"/>
                <w:sz w:val="22"/>
                <w:szCs w:val="22"/>
                <w:lang w:val="es-ES_tradnl"/>
              </w:rPr>
              <w:t>Construcción de las Obras por el Contratista</w:t>
            </w:r>
            <w:bookmarkEnd w:id="1968"/>
            <w:bookmarkEnd w:id="1969"/>
            <w:bookmarkEnd w:id="1970"/>
            <w:bookmarkEnd w:id="1971"/>
            <w:bookmarkEnd w:id="1972"/>
            <w:bookmarkEnd w:id="1973"/>
            <w:bookmarkEnd w:id="1974"/>
            <w:bookmarkEnd w:id="1975"/>
          </w:p>
        </w:tc>
      </w:tr>
      <w:tr w:rsidR="00F7749D" w:rsidRPr="00D55B2B" w14:paraId="031D5CC7" w14:textId="77777777" w:rsidTr="00D23A40">
        <w:tblPrEx>
          <w:jc w:val="left"/>
        </w:tblPrEx>
        <w:trPr>
          <w:trHeight w:val="20"/>
        </w:trPr>
        <w:tc>
          <w:tcPr>
            <w:tcW w:w="805" w:type="dxa"/>
            <w:tcBorders>
              <w:right w:val="nil"/>
            </w:tcBorders>
            <w:shd w:val="clear" w:color="auto" w:fill="auto"/>
          </w:tcPr>
          <w:p w14:paraId="3E2700E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959BFBB"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El </w:t>
            </w:r>
            <w:r w:rsidRPr="00D55B2B">
              <w:rPr>
                <w:rFonts w:ascii="Arial" w:hAnsi="Arial" w:cs="Arial"/>
                <w:spacing w:val="-3"/>
                <w:sz w:val="22"/>
                <w:szCs w:val="22"/>
              </w:rPr>
              <w:t>Contratista</w:t>
            </w:r>
            <w:r w:rsidRPr="00D55B2B">
              <w:rPr>
                <w:rFonts w:ascii="Arial" w:hAnsi="Arial" w:cs="Arial"/>
                <w:sz w:val="22"/>
                <w:szCs w:val="22"/>
                <w:lang w:val="es-ES"/>
              </w:rPr>
              <w:t xml:space="preserve"> deberá construir e instalar las Obras de conformidad con las Especificaciones y los Planos. El Contratista puede iniciar la construcción de las Obras en la Fecha de Inicio y deberá ejecutarlas de acuerdo con el Programa que hubiera presentado, con las actualizaciones que el Gerente de Obras hubiera aprobado.</w:t>
            </w:r>
          </w:p>
        </w:tc>
      </w:tr>
      <w:tr w:rsidR="00F7749D" w:rsidRPr="00D55B2B" w14:paraId="0B4B7024" w14:textId="77777777" w:rsidTr="00D23A40">
        <w:tblPrEx>
          <w:jc w:val="left"/>
        </w:tblPrEx>
        <w:trPr>
          <w:trHeight w:val="20"/>
        </w:trPr>
        <w:tc>
          <w:tcPr>
            <w:tcW w:w="9355" w:type="dxa"/>
            <w:gridSpan w:val="2"/>
            <w:shd w:val="clear" w:color="auto" w:fill="auto"/>
          </w:tcPr>
          <w:p w14:paraId="187CEAE1"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76" w:name="_Toc47916975"/>
            <w:bookmarkStart w:id="1977" w:name="_Toc74048252"/>
            <w:bookmarkStart w:id="1978" w:name="_Toc74518492"/>
            <w:bookmarkStart w:id="1979" w:name="_Toc74519222"/>
            <w:bookmarkStart w:id="1980" w:name="_Toc74781412"/>
            <w:bookmarkStart w:id="1981" w:name="_Toc74930925"/>
            <w:r w:rsidRPr="00D55B2B">
              <w:rPr>
                <w:rFonts w:cs="Arial"/>
                <w:sz w:val="22"/>
                <w:szCs w:val="22"/>
                <w:lang w:val="es-ES_tradnl"/>
              </w:rPr>
              <w:t>Garantía de cumplimiento</w:t>
            </w:r>
            <w:bookmarkEnd w:id="1976"/>
            <w:bookmarkEnd w:id="1977"/>
            <w:bookmarkEnd w:id="1978"/>
            <w:bookmarkEnd w:id="1979"/>
            <w:bookmarkEnd w:id="1980"/>
            <w:bookmarkEnd w:id="1981"/>
          </w:p>
        </w:tc>
      </w:tr>
      <w:tr w:rsidR="00F7749D" w:rsidRPr="00D55B2B" w14:paraId="535F8A04" w14:textId="77777777" w:rsidTr="00D23A40">
        <w:tblPrEx>
          <w:jc w:val="left"/>
        </w:tblPrEx>
        <w:trPr>
          <w:trHeight w:val="20"/>
        </w:trPr>
        <w:tc>
          <w:tcPr>
            <w:tcW w:w="805" w:type="dxa"/>
            <w:tcBorders>
              <w:right w:val="nil"/>
            </w:tcBorders>
            <w:shd w:val="clear" w:color="auto" w:fill="auto"/>
          </w:tcPr>
          <w:p w14:paraId="6819DA9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2E48217"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Contratista deberá proporcionar al Contratante la Garantía de Cumplimiento a más tardar en la fecha definida en la Carta de Aceptación y por el monto </w:t>
            </w:r>
            <w:r w:rsidRPr="00D55B2B">
              <w:rPr>
                <w:rFonts w:ascii="Arial" w:hAnsi="Arial" w:cs="Arial"/>
                <w:b/>
                <w:bCs/>
                <w:sz w:val="22"/>
                <w:szCs w:val="22"/>
                <w:lang w:val="es-MX"/>
              </w:rPr>
              <w:t>estipulado</w:t>
            </w:r>
            <w:r w:rsidRPr="00D55B2B">
              <w:rPr>
                <w:rFonts w:ascii="Arial" w:hAnsi="Arial" w:cs="Arial"/>
                <w:b/>
                <w:bCs/>
                <w:sz w:val="22"/>
                <w:szCs w:val="22"/>
              </w:rPr>
              <w:t xml:space="preserve"> en las CPC</w:t>
            </w:r>
            <w:r w:rsidRPr="00D55B2B">
              <w:rPr>
                <w:rFonts w:ascii="Arial" w:hAnsi="Arial" w:cs="Arial"/>
                <w:sz w:val="22"/>
                <w:szCs w:val="22"/>
              </w:rPr>
              <w:t>, emitida por una compañía aseguradora o afianzadora reconocida o por un banco acreditado aceptables para el Contratante en los formatos contenido en el Apéndice I y expresada en los tipos y proporciones de monedas en que deba pagarse el Precio del Contrato.  La validez de la Garantía de Cumplimiento excederá en treinta (30) días la fecha de emisión del Certificado de Terminación de las Obras en el caso de una garantía bancaria, y excederá en un año dicha fecha en el caso de una Fianza de Cumplimiento.</w:t>
            </w:r>
          </w:p>
        </w:tc>
      </w:tr>
      <w:tr w:rsidR="00F7749D" w:rsidRPr="00D55B2B" w14:paraId="633CEC8E" w14:textId="77777777" w:rsidTr="00D23A40">
        <w:tblPrEx>
          <w:jc w:val="left"/>
        </w:tblPrEx>
        <w:trPr>
          <w:trHeight w:val="20"/>
        </w:trPr>
        <w:tc>
          <w:tcPr>
            <w:tcW w:w="9355" w:type="dxa"/>
            <w:gridSpan w:val="2"/>
            <w:shd w:val="clear" w:color="auto" w:fill="auto"/>
          </w:tcPr>
          <w:p w14:paraId="133E973E"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82" w:name="_Toc20767817"/>
            <w:bookmarkStart w:id="1983" w:name="_Toc21003117"/>
            <w:bookmarkStart w:id="1984" w:name="_Toc47916976"/>
            <w:bookmarkStart w:id="1985" w:name="_Toc74048253"/>
            <w:bookmarkStart w:id="1986" w:name="_Toc74518493"/>
            <w:bookmarkStart w:id="1987" w:name="_Toc74519223"/>
            <w:bookmarkStart w:id="1988" w:name="_Toc74781413"/>
            <w:bookmarkStart w:id="1989" w:name="_Toc74930926"/>
            <w:r w:rsidRPr="00D55B2B">
              <w:rPr>
                <w:rFonts w:cs="Arial"/>
                <w:sz w:val="22"/>
                <w:szCs w:val="22"/>
                <w:lang w:val="es-ES_tradnl"/>
              </w:rPr>
              <w:t>Toma de posesión del Sitio de las Obras</w:t>
            </w:r>
            <w:bookmarkEnd w:id="1982"/>
            <w:bookmarkEnd w:id="1983"/>
            <w:bookmarkEnd w:id="1984"/>
            <w:bookmarkEnd w:id="1985"/>
            <w:bookmarkEnd w:id="1986"/>
            <w:bookmarkEnd w:id="1987"/>
            <w:bookmarkEnd w:id="1988"/>
            <w:bookmarkEnd w:id="1989"/>
          </w:p>
        </w:tc>
      </w:tr>
      <w:tr w:rsidR="00F7749D" w:rsidRPr="00D55B2B" w14:paraId="07B33D87" w14:textId="77777777" w:rsidTr="00D23A40">
        <w:tblPrEx>
          <w:jc w:val="left"/>
        </w:tblPrEx>
        <w:trPr>
          <w:trHeight w:val="20"/>
        </w:trPr>
        <w:tc>
          <w:tcPr>
            <w:tcW w:w="805" w:type="dxa"/>
            <w:tcBorders>
              <w:right w:val="nil"/>
            </w:tcBorders>
            <w:shd w:val="clear" w:color="auto" w:fill="auto"/>
          </w:tcPr>
          <w:p w14:paraId="334BE4E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99E357"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lang w:val="es-ES"/>
              </w:rPr>
              <w:t xml:space="preserve">El Contratante traspasará al Contratista la posesión de la totalidad del Sitio de las Obras.  Si no se traspasara la posesión de alguna parte en la fecha </w:t>
            </w:r>
            <w:r w:rsidRPr="00D55B2B">
              <w:rPr>
                <w:rFonts w:ascii="Arial" w:hAnsi="Arial" w:cs="Arial"/>
                <w:bCs/>
                <w:spacing w:val="-3"/>
                <w:sz w:val="22"/>
                <w:szCs w:val="22"/>
                <w:lang w:val="es-ES"/>
              </w:rPr>
              <w:t>estipulada</w:t>
            </w:r>
            <w:r w:rsidRPr="00D55B2B">
              <w:rPr>
                <w:rFonts w:ascii="Arial" w:hAnsi="Arial" w:cs="Arial"/>
                <w:b/>
                <w:bCs/>
                <w:spacing w:val="-3"/>
                <w:sz w:val="22"/>
                <w:szCs w:val="22"/>
                <w:lang w:val="es-ES"/>
              </w:rPr>
              <w:t xml:space="preserve"> </w:t>
            </w:r>
            <w:r w:rsidRPr="00D55B2B">
              <w:rPr>
                <w:rFonts w:ascii="Arial" w:hAnsi="Arial" w:cs="Arial"/>
                <w:bCs/>
                <w:spacing w:val="-3"/>
                <w:sz w:val="22"/>
                <w:szCs w:val="22"/>
                <w:lang w:val="es-ES"/>
              </w:rPr>
              <w:t>en</w:t>
            </w:r>
            <w:r w:rsidRPr="00D55B2B">
              <w:rPr>
                <w:rFonts w:ascii="Arial" w:hAnsi="Arial" w:cs="Arial"/>
                <w:spacing w:val="-3"/>
                <w:sz w:val="22"/>
                <w:szCs w:val="22"/>
                <w:lang w:val="es-ES"/>
              </w:rPr>
              <w:t xml:space="preserve"> </w:t>
            </w:r>
            <w:r w:rsidRPr="00D55B2B">
              <w:rPr>
                <w:rFonts w:ascii="Arial" w:hAnsi="Arial" w:cs="Arial"/>
                <w:bCs/>
                <w:spacing w:val="-3"/>
                <w:sz w:val="22"/>
                <w:szCs w:val="22"/>
                <w:lang w:val="es-ES"/>
              </w:rPr>
              <w:t>las</w:t>
            </w:r>
            <w:r w:rsidRPr="00D55B2B">
              <w:rPr>
                <w:rFonts w:ascii="Arial" w:hAnsi="Arial" w:cs="Arial"/>
                <w:b/>
                <w:bCs/>
                <w:spacing w:val="-3"/>
                <w:sz w:val="22"/>
                <w:szCs w:val="22"/>
                <w:lang w:val="es-ES"/>
              </w:rPr>
              <w:t xml:space="preserve"> CPC</w:t>
            </w:r>
            <w:r w:rsidRPr="00D55B2B">
              <w:rPr>
                <w:rFonts w:ascii="Arial" w:hAnsi="Arial" w:cs="Arial"/>
                <w:spacing w:val="-3"/>
                <w:sz w:val="22"/>
                <w:szCs w:val="22"/>
                <w:lang w:val="es-ES"/>
              </w:rPr>
              <w:t xml:space="preserve">, se considerará que el Contratante ha demorado el inicio de las actividades </w:t>
            </w:r>
            <w:r w:rsidRPr="00D55B2B">
              <w:rPr>
                <w:rFonts w:ascii="Arial" w:hAnsi="Arial" w:cs="Arial"/>
                <w:spacing w:val="-3"/>
                <w:sz w:val="22"/>
                <w:szCs w:val="22"/>
              </w:rPr>
              <w:t>pertinentes</w:t>
            </w:r>
            <w:r w:rsidRPr="00D55B2B">
              <w:rPr>
                <w:rFonts w:ascii="Arial" w:hAnsi="Arial" w:cs="Arial"/>
                <w:spacing w:val="-3"/>
                <w:sz w:val="22"/>
                <w:szCs w:val="22"/>
                <w:lang w:val="es-ES"/>
              </w:rPr>
              <w:t xml:space="preserve"> y que ello constituye un evento compensable en cuanto afecten la ruta crítica de las Obras.</w:t>
            </w:r>
          </w:p>
        </w:tc>
      </w:tr>
      <w:tr w:rsidR="00F7749D" w:rsidRPr="00D55B2B" w14:paraId="6B18DC84" w14:textId="77777777" w:rsidTr="00D23A40">
        <w:trPr>
          <w:cantSplit/>
          <w:trHeight w:val="423"/>
          <w:jc w:val="center"/>
        </w:trPr>
        <w:tc>
          <w:tcPr>
            <w:tcW w:w="805" w:type="dxa"/>
            <w:tcBorders>
              <w:right w:val="nil"/>
            </w:tcBorders>
            <w:shd w:val="clear" w:color="auto" w:fill="auto"/>
          </w:tcPr>
          <w:p w14:paraId="024C0B0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4F1C16"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En su caso, si el Sitio de las Obras no está contiguo a una vía pública o si el Contratista requiera el uso de un terreno que exceda el Sitio de las Obras, deberá obtener el acceso o uso por su propia cuenta dentro del plazo estipulado en las</w:t>
            </w:r>
            <w:r w:rsidRPr="00D55B2B">
              <w:rPr>
                <w:rFonts w:ascii="Arial" w:hAnsi="Arial" w:cs="Arial"/>
                <w:b/>
                <w:spacing w:val="-3"/>
                <w:sz w:val="22"/>
                <w:szCs w:val="22"/>
              </w:rPr>
              <w:t xml:space="preserve"> CPC</w:t>
            </w:r>
            <w:r w:rsidRPr="00D55B2B">
              <w:rPr>
                <w:rFonts w:ascii="Arial" w:hAnsi="Arial" w:cs="Arial"/>
                <w:spacing w:val="-3"/>
                <w:sz w:val="22"/>
                <w:szCs w:val="22"/>
              </w:rPr>
              <w:t xml:space="preserve"> y antes de tomar posesión de este, proporcionará al Gerente de Obras una copia de los permisos necesarios. </w:t>
            </w:r>
            <w:r w:rsidRPr="00D55B2B">
              <w:rPr>
                <w:rFonts w:ascii="Arial" w:hAnsi="Arial" w:cs="Arial"/>
                <w:sz w:val="22"/>
                <w:szCs w:val="22"/>
              </w:rPr>
              <w:t>El Contratista asumirá todos los gastos y cargos por los permisos de entrada especiales temporales que requiera en conexión con el acceso al Sitio de las Obras.</w:t>
            </w:r>
          </w:p>
          <w:p w14:paraId="07F55DB7"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El incumplimiento de estas disposiciones conllevará la aplicación del artículo 64.3 de las CGC.  </w:t>
            </w:r>
          </w:p>
        </w:tc>
      </w:tr>
      <w:tr w:rsidR="00F7749D" w:rsidRPr="00D55B2B" w14:paraId="6682AC63" w14:textId="77777777" w:rsidTr="00D23A40">
        <w:tblPrEx>
          <w:jc w:val="left"/>
        </w:tblPrEx>
        <w:trPr>
          <w:trHeight w:val="20"/>
        </w:trPr>
        <w:tc>
          <w:tcPr>
            <w:tcW w:w="9355" w:type="dxa"/>
            <w:gridSpan w:val="2"/>
            <w:shd w:val="clear" w:color="auto" w:fill="auto"/>
          </w:tcPr>
          <w:p w14:paraId="33D0A625"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90" w:name="_Toc20767818"/>
            <w:bookmarkStart w:id="1991" w:name="_Toc21003118"/>
            <w:bookmarkStart w:id="1992" w:name="_Toc47916977"/>
            <w:bookmarkStart w:id="1993" w:name="_Toc74048254"/>
            <w:bookmarkStart w:id="1994" w:name="_Toc74518494"/>
            <w:bookmarkStart w:id="1995" w:name="_Toc74519224"/>
            <w:bookmarkStart w:id="1996" w:name="_Toc74781414"/>
            <w:bookmarkStart w:id="1997" w:name="_Toc74930927"/>
            <w:r w:rsidRPr="00D55B2B">
              <w:rPr>
                <w:rFonts w:cs="Arial"/>
                <w:sz w:val="22"/>
                <w:szCs w:val="22"/>
                <w:lang w:val="es-ES_tradnl"/>
              </w:rPr>
              <w:t>Acceso al Sitio de las Obras</w:t>
            </w:r>
            <w:bookmarkEnd w:id="1990"/>
            <w:bookmarkEnd w:id="1991"/>
            <w:bookmarkEnd w:id="1992"/>
            <w:bookmarkEnd w:id="1993"/>
            <w:bookmarkEnd w:id="1994"/>
            <w:bookmarkEnd w:id="1995"/>
            <w:bookmarkEnd w:id="1996"/>
            <w:bookmarkEnd w:id="1997"/>
          </w:p>
        </w:tc>
      </w:tr>
      <w:tr w:rsidR="00F7749D" w:rsidRPr="00D55B2B" w14:paraId="67B6295A" w14:textId="77777777" w:rsidTr="00D23A40">
        <w:tblPrEx>
          <w:jc w:val="left"/>
        </w:tblPrEx>
        <w:trPr>
          <w:trHeight w:val="20"/>
        </w:trPr>
        <w:tc>
          <w:tcPr>
            <w:tcW w:w="805" w:type="dxa"/>
            <w:tcBorders>
              <w:right w:val="nil"/>
            </w:tcBorders>
            <w:shd w:val="clear" w:color="auto" w:fill="auto"/>
          </w:tcPr>
          <w:p w14:paraId="3E1C2EBA" w14:textId="77777777" w:rsidR="00F7749D" w:rsidRPr="00D55B2B" w:rsidRDefault="00F7749D" w:rsidP="00D23A40">
            <w:pPr>
              <w:pStyle w:val="Numeraciondeartculos"/>
              <w:framePr w:hSpace="0" w:wrap="auto" w:vAnchor="margin" w:hAnchor="text" w:xAlign="left" w:yAlign="inline"/>
              <w:rPr>
                <w:rFonts w:cs="Arial"/>
                <w:sz w:val="22"/>
                <w:szCs w:val="22"/>
              </w:rPr>
            </w:pPr>
            <w:bookmarkStart w:id="1998" w:name="_Hlk20919436"/>
          </w:p>
        </w:tc>
        <w:tc>
          <w:tcPr>
            <w:tcW w:w="8550" w:type="dxa"/>
            <w:tcBorders>
              <w:left w:val="nil"/>
            </w:tcBorders>
            <w:shd w:val="clear" w:color="auto" w:fill="auto"/>
          </w:tcPr>
          <w:p w14:paraId="5A396A76"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El Contratista permitirá al Gerente de Obras, y a cualquier persona autorizada por éste, el acceso al Sitio de las Obras y a cualquier lugar donde se estén realizando o se prevea realizar trabajos relacionados con el Contrato. El Contratista brindará facilidades y asistencia para dicho acceso de manera que el Gerente de Obras pueda desempeñar sus funciones conforme al Contrato.</w:t>
            </w:r>
          </w:p>
        </w:tc>
      </w:tr>
      <w:tr w:rsidR="00F7749D" w:rsidRPr="00D55B2B" w14:paraId="5E34C344" w14:textId="77777777" w:rsidTr="00D23A40">
        <w:tblPrEx>
          <w:jc w:val="left"/>
        </w:tblPrEx>
        <w:trPr>
          <w:trHeight w:val="20"/>
        </w:trPr>
        <w:tc>
          <w:tcPr>
            <w:tcW w:w="9355" w:type="dxa"/>
            <w:gridSpan w:val="2"/>
            <w:shd w:val="clear" w:color="auto" w:fill="auto"/>
          </w:tcPr>
          <w:p w14:paraId="525D3E88"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1999" w:name="_Toc21003114"/>
            <w:bookmarkStart w:id="2000" w:name="_Toc47916978"/>
            <w:bookmarkStart w:id="2001" w:name="_Toc74048255"/>
            <w:bookmarkStart w:id="2002" w:name="_Toc74518495"/>
            <w:bookmarkStart w:id="2003" w:name="_Toc74519225"/>
            <w:bookmarkStart w:id="2004" w:name="_Toc74781415"/>
            <w:bookmarkStart w:id="2005" w:name="_Toc74930928"/>
            <w:r w:rsidRPr="00D55B2B">
              <w:rPr>
                <w:rFonts w:cs="Arial"/>
                <w:sz w:val="22"/>
                <w:szCs w:val="22"/>
                <w:lang w:val="es-ES_tradnl"/>
              </w:rPr>
              <w:t>Sustentabilidad ambiental y social</w:t>
            </w:r>
            <w:bookmarkEnd w:id="1999"/>
            <w:bookmarkEnd w:id="2000"/>
            <w:bookmarkEnd w:id="2001"/>
            <w:bookmarkEnd w:id="2002"/>
            <w:bookmarkEnd w:id="2003"/>
            <w:bookmarkEnd w:id="2004"/>
            <w:bookmarkEnd w:id="2005"/>
          </w:p>
        </w:tc>
      </w:tr>
      <w:tr w:rsidR="00F7749D" w:rsidRPr="00D55B2B" w14:paraId="257D2319" w14:textId="77777777" w:rsidTr="00D23A40">
        <w:tblPrEx>
          <w:jc w:val="left"/>
        </w:tblPrEx>
        <w:trPr>
          <w:trHeight w:val="620"/>
        </w:trPr>
        <w:tc>
          <w:tcPr>
            <w:tcW w:w="805" w:type="dxa"/>
            <w:tcBorders>
              <w:right w:val="nil"/>
            </w:tcBorders>
            <w:shd w:val="clear" w:color="auto" w:fill="auto"/>
          </w:tcPr>
          <w:p w14:paraId="2933FC1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59F563"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pacing w:val="-3"/>
                <w:sz w:val="22"/>
                <w:szCs w:val="22"/>
              </w:rPr>
              <w:t xml:space="preserve">El Contratista deberá tomar todas las medidas razonables para proteger el medio ambiente (tanto dentro como fuera del Sitio) y limitar el daño y las molestias a las personas y las propiedades resultantes de la contaminación, el ruido y otros resultados de sus operaciones, descritas conforme a lo indicado en las </w:t>
            </w:r>
            <w:r w:rsidRPr="00D55B2B">
              <w:rPr>
                <w:rFonts w:ascii="Arial" w:hAnsi="Arial" w:cs="Arial"/>
                <w:b/>
                <w:bCs/>
                <w:spacing w:val="-3"/>
                <w:sz w:val="22"/>
                <w:szCs w:val="22"/>
              </w:rPr>
              <w:t>CPC.</w:t>
            </w:r>
          </w:p>
          <w:p w14:paraId="7827AF4D"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pacing w:val="-3"/>
                <w:sz w:val="22"/>
                <w:szCs w:val="22"/>
                <w:lang w:val="es-ES"/>
              </w:rPr>
              <w:t xml:space="preserve">El Contratista será responsable por las obligaciones en materia ambiental, social y de </w:t>
            </w:r>
            <w:r w:rsidRPr="00D55B2B" w:rsidDel="00D03989">
              <w:rPr>
                <w:rFonts w:ascii="Arial" w:hAnsi="Arial" w:cs="Arial"/>
                <w:spacing w:val="-3"/>
                <w:sz w:val="22"/>
                <w:szCs w:val="22"/>
              </w:rPr>
              <w:t>seguridad</w:t>
            </w:r>
            <w:r w:rsidRPr="00D55B2B">
              <w:rPr>
                <w:rFonts w:ascii="Arial" w:hAnsi="Arial" w:cs="Arial"/>
                <w:spacing w:val="-3"/>
                <w:sz w:val="22"/>
                <w:szCs w:val="22"/>
                <w:lang w:val="es-ES"/>
              </w:rPr>
              <w:t xml:space="preserve"> y salud laboral de todas las actividades en el Sitio de las Obras, de conformidad con el Apéndice 2 (Regulaciones Ambientales y Sociales del Banco), las regulaciones del País del Contratante, y demás estipulaciones contractuales relacionadas a la materia.</w:t>
            </w:r>
          </w:p>
        </w:tc>
      </w:tr>
      <w:tr w:rsidR="00F7749D" w:rsidRPr="00D55B2B" w14:paraId="50EE1B4F" w14:textId="77777777" w:rsidTr="00D23A40">
        <w:tblPrEx>
          <w:jc w:val="left"/>
        </w:tblPrEx>
        <w:trPr>
          <w:trHeight w:val="20"/>
        </w:trPr>
        <w:tc>
          <w:tcPr>
            <w:tcW w:w="9355" w:type="dxa"/>
            <w:gridSpan w:val="2"/>
            <w:shd w:val="clear" w:color="auto" w:fill="auto"/>
          </w:tcPr>
          <w:p w14:paraId="4CB82EF4"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06" w:name="_Toc21003115"/>
            <w:bookmarkStart w:id="2007" w:name="_Toc47916979"/>
            <w:bookmarkStart w:id="2008" w:name="_Toc74048256"/>
            <w:bookmarkStart w:id="2009" w:name="_Toc74518496"/>
            <w:bookmarkStart w:id="2010" w:name="_Toc74519226"/>
            <w:bookmarkStart w:id="2011" w:name="_Toc74781416"/>
            <w:bookmarkStart w:id="2012" w:name="_Toc74930929"/>
            <w:r w:rsidRPr="00D55B2B">
              <w:rPr>
                <w:rFonts w:cs="Arial"/>
                <w:sz w:val="22"/>
                <w:szCs w:val="22"/>
                <w:lang w:val="es-ES_tradnl"/>
              </w:rPr>
              <w:t>Seguridad</w:t>
            </w:r>
            <w:bookmarkEnd w:id="2006"/>
            <w:bookmarkEnd w:id="2007"/>
            <w:bookmarkEnd w:id="2008"/>
            <w:bookmarkEnd w:id="2009"/>
            <w:bookmarkEnd w:id="2010"/>
            <w:bookmarkEnd w:id="2011"/>
            <w:bookmarkEnd w:id="2012"/>
            <w:r w:rsidRPr="00D55B2B">
              <w:rPr>
                <w:rFonts w:cs="Arial"/>
                <w:sz w:val="22"/>
                <w:szCs w:val="22"/>
                <w:lang w:val="es-ES_tradnl"/>
              </w:rPr>
              <w:t xml:space="preserve"> </w:t>
            </w:r>
          </w:p>
        </w:tc>
      </w:tr>
      <w:tr w:rsidR="00F7749D" w:rsidRPr="00D55B2B" w14:paraId="1A035804" w14:textId="77777777" w:rsidTr="00D23A40">
        <w:tblPrEx>
          <w:jc w:val="left"/>
        </w:tblPrEx>
        <w:trPr>
          <w:trHeight w:val="20"/>
        </w:trPr>
        <w:tc>
          <w:tcPr>
            <w:tcW w:w="805" w:type="dxa"/>
            <w:tcBorders>
              <w:right w:val="nil"/>
            </w:tcBorders>
            <w:shd w:val="clear" w:color="auto" w:fill="auto"/>
          </w:tcPr>
          <w:p w14:paraId="599A894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89151FF"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asumirá todos los riesgos y las responsabilidades relacionados con la seguridad en la realización de todas las actividades en el Sitio de las Obras.</w:t>
            </w:r>
          </w:p>
        </w:tc>
      </w:tr>
      <w:tr w:rsidR="00F7749D" w:rsidRPr="00D55B2B" w14:paraId="44C7599A" w14:textId="77777777" w:rsidTr="00D23A40">
        <w:tblPrEx>
          <w:jc w:val="left"/>
        </w:tblPrEx>
        <w:trPr>
          <w:trHeight w:val="20"/>
        </w:trPr>
        <w:tc>
          <w:tcPr>
            <w:tcW w:w="805" w:type="dxa"/>
            <w:tcBorders>
              <w:right w:val="nil"/>
            </w:tcBorders>
            <w:shd w:val="clear" w:color="auto" w:fill="auto"/>
          </w:tcPr>
          <w:p w14:paraId="0D5443A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4B4525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deberá adoptar un plan apropiado de seguridad en el Sitio de las Obras, valorando para ello la situación de seguridad en el país en el cual se ejecutarán las Obras.</w:t>
            </w:r>
          </w:p>
        </w:tc>
      </w:tr>
      <w:tr w:rsidR="00F7749D" w:rsidRPr="00D55B2B" w14:paraId="5DEE09BA" w14:textId="77777777" w:rsidTr="00D23A40">
        <w:tblPrEx>
          <w:jc w:val="left"/>
        </w:tblPrEx>
        <w:trPr>
          <w:trHeight w:val="20"/>
        </w:trPr>
        <w:tc>
          <w:tcPr>
            <w:tcW w:w="9355" w:type="dxa"/>
            <w:gridSpan w:val="2"/>
            <w:shd w:val="clear" w:color="auto" w:fill="auto"/>
          </w:tcPr>
          <w:p w14:paraId="2EC530CE"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13" w:name="_Toc21003116"/>
            <w:bookmarkStart w:id="2014" w:name="_Toc47916980"/>
            <w:bookmarkStart w:id="2015" w:name="_Toc74048257"/>
            <w:bookmarkStart w:id="2016" w:name="_Toc74518497"/>
            <w:bookmarkStart w:id="2017" w:name="_Toc74519227"/>
            <w:bookmarkStart w:id="2018" w:name="_Toc74781417"/>
            <w:bookmarkStart w:id="2019" w:name="_Toc74930930"/>
            <w:r w:rsidRPr="00D55B2B">
              <w:rPr>
                <w:rFonts w:cs="Arial"/>
                <w:sz w:val="22"/>
                <w:szCs w:val="22"/>
                <w:lang w:val="es-ES_tradnl"/>
              </w:rPr>
              <w:t>Descubrimientos de valor o interés</w:t>
            </w:r>
            <w:bookmarkEnd w:id="2013"/>
            <w:bookmarkEnd w:id="2014"/>
            <w:bookmarkEnd w:id="2015"/>
            <w:bookmarkEnd w:id="2016"/>
            <w:bookmarkEnd w:id="2017"/>
            <w:bookmarkEnd w:id="2018"/>
            <w:bookmarkEnd w:id="2019"/>
          </w:p>
        </w:tc>
      </w:tr>
      <w:tr w:rsidR="00F7749D" w:rsidRPr="00D55B2B" w14:paraId="14C5AB8B" w14:textId="77777777" w:rsidTr="00D23A40">
        <w:tblPrEx>
          <w:jc w:val="left"/>
        </w:tblPrEx>
        <w:trPr>
          <w:trHeight w:val="20"/>
        </w:trPr>
        <w:tc>
          <w:tcPr>
            <w:tcW w:w="805" w:type="dxa"/>
            <w:tcBorders>
              <w:right w:val="nil"/>
            </w:tcBorders>
            <w:shd w:val="clear" w:color="auto" w:fill="auto"/>
          </w:tcPr>
          <w:p w14:paraId="0FF81BE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5460DD" w14:textId="77777777" w:rsidR="00F7749D" w:rsidRPr="00D55B2B" w:rsidRDefault="00F7749D" w:rsidP="00D23A40">
            <w:pPr>
              <w:spacing w:before="120" w:after="120"/>
              <w:rPr>
                <w:rFonts w:ascii="Arial" w:hAnsi="Arial" w:cs="Arial"/>
                <w:sz w:val="22"/>
                <w:szCs w:val="22"/>
                <w:lang w:val="es-ES"/>
              </w:rPr>
            </w:pPr>
            <w:r w:rsidRPr="00D55B2B">
              <w:rPr>
                <w:rFonts w:ascii="Arial" w:hAnsi="Arial" w:cs="Arial"/>
                <w:sz w:val="22"/>
                <w:szCs w:val="22"/>
                <w:lang w:val="es-ES"/>
              </w:rPr>
              <w:t xml:space="preserve">Las formas tangibles de patrimonio cultural, tales como objetos tangibles muebles o inmuebles, estructuras o grupos de estructuras que tienen valor arqueológico (prehistórico), paleontológico, histórico, cultural, que se encuentren en el Lugar de las Obras quedarán bajo el cuidado y la autoridad del Contratante. El Contratista tomará precauciones razonables para evitar que su Personal u otras personas retiren o dañen cualquiera de esos objetos encontrados. </w:t>
            </w:r>
          </w:p>
          <w:p w14:paraId="0C14CB3D"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ES"/>
              </w:rPr>
              <w:t>Al descubrirse cualquiera de esos objetos, el Contratista lo notificará prontamente al Gerente de Obras y acatará las instrucciones al respecto que este imparta</w:t>
            </w:r>
          </w:p>
        </w:tc>
      </w:tr>
      <w:tr w:rsidR="00F7749D" w:rsidRPr="00D55B2B" w14:paraId="46889159" w14:textId="77777777" w:rsidTr="00D23A40">
        <w:tblPrEx>
          <w:jc w:val="left"/>
        </w:tblPrEx>
        <w:trPr>
          <w:trHeight w:val="20"/>
        </w:trPr>
        <w:tc>
          <w:tcPr>
            <w:tcW w:w="9355" w:type="dxa"/>
            <w:gridSpan w:val="2"/>
            <w:shd w:val="clear" w:color="auto" w:fill="auto"/>
          </w:tcPr>
          <w:p w14:paraId="7E52B8CD"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20" w:name="_Toc47916981"/>
            <w:bookmarkStart w:id="2021" w:name="_Toc74048258"/>
            <w:bookmarkStart w:id="2022" w:name="_Toc74518498"/>
            <w:bookmarkStart w:id="2023" w:name="_Toc74519228"/>
            <w:bookmarkStart w:id="2024" w:name="_Toc74781418"/>
            <w:bookmarkStart w:id="2025" w:name="_Toc74930931"/>
            <w:r w:rsidRPr="00D55B2B">
              <w:rPr>
                <w:rFonts w:cs="Arial"/>
                <w:sz w:val="22"/>
                <w:szCs w:val="22"/>
                <w:lang w:val="es-ES_tradnl"/>
              </w:rPr>
              <w:t>Conclusión de las Obras en la fecha prevista</w:t>
            </w:r>
            <w:bookmarkEnd w:id="2020"/>
            <w:bookmarkEnd w:id="2021"/>
            <w:bookmarkEnd w:id="2022"/>
            <w:bookmarkEnd w:id="2023"/>
            <w:bookmarkEnd w:id="2024"/>
            <w:bookmarkEnd w:id="2025"/>
          </w:p>
        </w:tc>
      </w:tr>
      <w:tr w:rsidR="00F7749D" w:rsidRPr="00D55B2B" w14:paraId="602508CE" w14:textId="77777777" w:rsidTr="00D23A40">
        <w:tblPrEx>
          <w:jc w:val="left"/>
        </w:tblPrEx>
        <w:trPr>
          <w:trHeight w:val="20"/>
        </w:trPr>
        <w:tc>
          <w:tcPr>
            <w:tcW w:w="805" w:type="dxa"/>
            <w:tcBorders>
              <w:right w:val="nil"/>
            </w:tcBorders>
            <w:shd w:val="clear" w:color="auto" w:fill="auto"/>
          </w:tcPr>
          <w:p w14:paraId="003CED5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6A96B9"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ES"/>
              </w:rPr>
              <w:t>Sujeto</w:t>
            </w:r>
            <w:r w:rsidRPr="00D55B2B">
              <w:rPr>
                <w:rFonts w:ascii="Arial" w:hAnsi="Arial" w:cs="Arial"/>
                <w:spacing w:val="-3"/>
                <w:sz w:val="22"/>
                <w:szCs w:val="22"/>
              </w:rPr>
              <w:t xml:space="preserve"> a los requisitos del Contrato con respecto a la conclusión de cualquier sección de las Obras antes de la conclusión de su totalidad, las Obras completas deberán concluirse en la Fecha Prevista de Terminación.</w:t>
            </w:r>
          </w:p>
        </w:tc>
      </w:tr>
      <w:tr w:rsidR="00F7749D" w:rsidRPr="00D55B2B" w14:paraId="445F327E" w14:textId="77777777" w:rsidTr="00D23A40">
        <w:tblPrEx>
          <w:jc w:val="left"/>
        </w:tblPrEx>
        <w:trPr>
          <w:trHeight w:val="20"/>
        </w:trPr>
        <w:tc>
          <w:tcPr>
            <w:tcW w:w="9355" w:type="dxa"/>
            <w:gridSpan w:val="2"/>
            <w:shd w:val="clear" w:color="auto" w:fill="auto"/>
          </w:tcPr>
          <w:p w14:paraId="07CFA7A6"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26" w:name="_Toc21003111"/>
            <w:bookmarkStart w:id="2027" w:name="_Toc47916982"/>
            <w:bookmarkStart w:id="2028" w:name="_Toc74048259"/>
            <w:bookmarkStart w:id="2029" w:name="_Toc74518499"/>
            <w:bookmarkStart w:id="2030" w:name="_Toc74519229"/>
            <w:bookmarkStart w:id="2031" w:name="_Toc74781419"/>
            <w:bookmarkStart w:id="2032" w:name="_Toc74930932"/>
            <w:r w:rsidRPr="00D55B2B">
              <w:rPr>
                <w:rFonts w:cs="Arial"/>
                <w:sz w:val="22"/>
                <w:szCs w:val="22"/>
                <w:lang w:val="es-ES_tradnl"/>
              </w:rPr>
              <w:t>Consultas, instrucciones y aprobaciones por el Gerente de Obras</w:t>
            </w:r>
            <w:bookmarkEnd w:id="2026"/>
            <w:bookmarkEnd w:id="2027"/>
            <w:bookmarkEnd w:id="2028"/>
            <w:bookmarkEnd w:id="2029"/>
            <w:bookmarkEnd w:id="2030"/>
            <w:bookmarkEnd w:id="2031"/>
            <w:bookmarkEnd w:id="2032"/>
          </w:p>
        </w:tc>
      </w:tr>
      <w:tr w:rsidR="00F7749D" w:rsidRPr="00D55B2B" w14:paraId="170A5441" w14:textId="77777777" w:rsidTr="00D23A40">
        <w:tblPrEx>
          <w:jc w:val="left"/>
        </w:tblPrEx>
        <w:trPr>
          <w:trHeight w:val="20"/>
        </w:trPr>
        <w:tc>
          <w:tcPr>
            <w:tcW w:w="805" w:type="dxa"/>
            <w:tcBorders>
              <w:right w:val="nil"/>
            </w:tcBorders>
            <w:shd w:val="clear" w:color="auto" w:fill="auto"/>
          </w:tcPr>
          <w:p w14:paraId="1320E58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12A9D5"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Gerente de Obras responderá a las consultas sobre las CPC.</w:t>
            </w:r>
          </w:p>
        </w:tc>
      </w:tr>
      <w:tr w:rsidR="00F7749D" w:rsidRPr="00D55B2B" w14:paraId="60BF9072" w14:textId="77777777" w:rsidTr="00D23A40">
        <w:tblPrEx>
          <w:jc w:val="left"/>
        </w:tblPrEx>
        <w:trPr>
          <w:trHeight w:val="20"/>
        </w:trPr>
        <w:tc>
          <w:tcPr>
            <w:tcW w:w="805" w:type="dxa"/>
            <w:tcBorders>
              <w:right w:val="nil"/>
            </w:tcBorders>
            <w:shd w:val="clear" w:color="auto" w:fill="auto"/>
          </w:tcPr>
          <w:p w14:paraId="024F0F7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E111782"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lang w:val="es-CO"/>
              </w:rPr>
              <w:t>El Contratista deberá cumplir todas las instrucciones del Gerente de Obras que se ajusten a la ley aplicable en el Sitio de las Obras.</w:t>
            </w:r>
          </w:p>
        </w:tc>
      </w:tr>
      <w:tr w:rsidR="00F7749D" w:rsidRPr="00D55B2B" w14:paraId="3420BACD" w14:textId="77777777" w:rsidTr="00D23A40">
        <w:tblPrEx>
          <w:jc w:val="left"/>
        </w:tblPrEx>
        <w:trPr>
          <w:trHeight w:val="20"/>
        </w:trPr>
        <w:tc>
          <w:tcPr>
            <w:tcW w:w="805" w:type="dxa"/>
            <w:tcBorders>
              <w:right w:val="nil"/>
            </w:tcBorders>
            <w:shd w:val="clear" w:color="auto" w:fill="auto"/>
          </w:tcPr>
          <w:p w14:paraId="30155B6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E6141A9"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deberá proporcionar al Gerente de Obras las Especificaciones y los Planos que muestren las Obras Provisionales, quien deberá aprobarlas si dichas obras cumplen con las Especificaciones y los Planos previstos.</w:t>
            </w:r>
            <w:r w:rsidRPr="00D55B2B">
              <w:rPr>
                <w:rFonts w:ascii="Arial" w:hAnsi="Arial" w:cs="Arial"/>
                <w:spacing w:val="-3"/>
                <w:sz w:val="22"/>
                <w:szCs w:val="22"/>
              </w:rPr>
              <w:tab/>
            </w:r>
          </w:p>
        </w:tc>
      </w:tr>
      <w:tr w:rsidR="00F7749D" w:rsidRPr="00D55B2B" w14:paraId="50DB8500" w14:textId="77777777" w:rsidTr="00D23A40">
        <w:tblPrEx>
          <w:jc w:val="left"/>
        </w:tblPrEx>
        <w:trPr>
          <w:trHeight w:val="20"/>
        </w:trPr>
        <w:tc>
          <w:tcPr>
            <w:tcW w:w="805" w:type="dxa"/>
            <w:tcBorders>
              <w:right w:val="nil"/>
            </w:tcBorders>
            <w:shd w:val="clear" w:color="auto" w:fill="auto"/>
          </w:tcPr>
          <w:p w14:paraId="66AB0C1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AFC6C82"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será responsable por el diseño de las Obras Provisionales. La aprobación del Gerente de Obras no liberará al Contratista de responsabilidad en cuanto al diseño de las Obras Provisionales.</w:t>
            </w:r>
          </w:p>
        </w:tc>
      </w:tr>
      <w:tr w:rsidR="00F7749D" w:rsidRPr="00D55B2B" w14:paraId="3DD0E84A" w14:textId="77777777" w:rsidTr="00D23A40">
        <w:tblPrEx>
          <w:jc w:val="left"/>
        </w:tblPrEx>
        <w:trPr>
          <w:trHeight w:val="20"/>
        </w:trPr>
        <w:tc>
          <w:tcPr>
            <w:tcW w:w="805" w:type="dxa"/>
            <w:tcBorders>
              <w:right w:val="nil"/>
            </w:tcBorders>
            <w:shd w:val="clear" w:color="auto" w:fill="auto"/>
          </w:tcPr>
          <w:p w14:paraId="108A3FA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2B967D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deberá obtener las aprobaciones del diseño de las Obras Provisionales por parte de terceros cuando sean necesarias.</w:t>
            </w:r>
          </w:p>
        </w:tc>
      </w:tr>
      <w:tr w:rsidR="00F7749D" w:rsidRPr="00D55B2B" w14:paraId="78EA2A09" w14:textId="77777777" w:rsidTr="00D23A40">
        <w:tblPrEx>
          <w:jc w:val="left"/>
        </w:tblPrEx>
        <w:trPr>
          <w:trHeight w:val="20"/>
        </w:trPr>
        <w:tc>
          <w:tcPr>
            <w:tcW w:w="805" w:type="dxa"/>
            <w:tcBorders>
              <w:right w:val="nil"/>
            </w:tcBorders>
            <w:shd w:val="clear" w:color="auto" w:fill="auto"/>
          </w:tcPr>
          <w:p w14:paraId="126C222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967A9CE"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Todos los planos preparados por el Contratista para la ejecución de las Obras Provisionales o definitivas deberán ser aprobados previamente por el Gerente de Obras antes de su utilización.</w:t>
            </w:r>
          </w:p>
        </w:tc>
      </w:tr>
      <w:tr w:rsidR="00F7749D" w:rsidRPr="00D55B2B" w14:paraId="3603D2BE" w14:textId="77777777" w:rsidTr="00D23A40">
        <w:tblPrEx>
          <w:jc w:val="left"/>
        </w:tblPrEx>
        <w:trPr>
          <w:trHeight w:val="20"/>
        </w:trPr>
        <w:tc>
          <w:tcPr>
            <w:tcW w:w="9355" w:type="dxa"/>
            <w:gridSpan w:val="2"/>
            <w:shd w:val="clear" w:color="auto" w:fill="auto"/>
          </w:tcPr>
          <w:p w14:paraId="4A5B922E"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33" w:name="_Toc21003113"/>
            <w:bookmarkStart w:id="2034" w:name="_Toc47916983"/>
            <w:bookmarkStart w:id="2035" w:name="_Toc74048260"/>
            <w:bookmarkStart w:id="2036" w:name="_Toc74518500"/>
            <w:bookmarkStart w:id="2037" w:name="_Toc74519230"/>
            <w:bookmarkStart w:id="2038" w:name="_Toc74781420"/>
            <w:bookmarkStart w:id="2039" w:name="_Toc74930933"/>
            <w:r w:rsidRPr="00D55B2B">
              <w:rPr>
                <w:rFonts w:cs="Arial"/>
                <w:sz w:val="22"/>
                <w:szCs w:val="22"/>
                <w:lang w:val="es-ES_tradnl"/>
              </w:rPr>
              <w:t>Inspecciones y auditorías por parte del Banco</w:t>
            </w:r>
            <w:bookmarkEnd w:id="2033"/>
            <w:bookmarkEnd w:id="2034"/>
            <w:bookmarkEnd w:id="2035"/>
            <w:bookmarkEnd w:id="2036"/>
            <w:bookmarkEnd w:id="2037"/>
            <w:bookmarkEnd w:id="2038"/>
            <w:bookmarkEnd w:id="2039"/>
          </w:p>
        </w:tc>
      </w:tr>
      <w:tr w:rsidR="00F7749D" w:rsidRPr="00D55B2B" w14:paraId="01AFE9EF" w14:textId="77777777" w:rsidTr="00D23A40">
        <w:tblPrEx>
          <w:jc w:val="left"/>
        </w:tblPrEx>
        <w:trPr>
          <w:trHeight w:val="20"/>
        </w:trPr>
        <w:tc>
          <w:tcPr>
            <w:tcW w:w="805" w:type="dxa"/>
            <w:tcBorders>
              <w:right w:val="nil"/>
            </w:tcBorders>
            <w:shd w:val="clear" w:color="auto" w:fill="auto"/>
          </w:tcPr>
          <w:p w14:paraId="4BB8894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785DB7"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lang w:val="es-ES"/>
              </w:rPr>
              <w:t xml:space="preserve">El Contratista llevará, y hará todo lo razonablemente posible porque sus </w:t>
            </w:r>
            <w:r w:rsidRPr="00D55B2B">
              <w:rPr>
                <w:rFonts w:ascii="Arial" w:hAnsi="Arial" w:cs="Arial"/>
                <w:sz w:val="22"/>
                <w:szCs w:val="22"/>
              </w:rPr>
              <w:t>subcontratistas</w:t>
            </w:r>
            <w:r w:rsidRPr="00D55B2B">
              <w:rPr>
                <w:rFonts w:ascii="Arial" w:hAnsi="Arial" w:cs="Arial"/>
                <w:sz w:val="22"/>
                <w:szCs w:val="22"/>
                <w:lang w:val="es-ES"/>
              </w:rPr>
              <w:t xml:space="preserve"> lleven, cuentas y registros exactos y sistemáticos de las Obras de la manera y con el detalle que permitan identificar claramente los cambios pertinentes en plazos y fechas, y los costos.</w:t>
            </w:r>
          </w:p>
        </w:tc>
      </w:tr>
      <w:tr w:rsidR="00F7749D" w:rsidRPr="00D55B2B" w14:paraId="77246834" w14:textId="77777777" w:rsidTr="00D23A40">
        <w:tblPrEx>
          <w:jc w:val="left"/>
        </w:tblPrEx>
        <w:trPr>
          <w:trHeight w:val="20"/>
        </w:trPr>
        <w:tc>
          <w:tcPr>
            <w:tcW w:w="805" w:type="dxa"/>
            <w:tcBorders>
              <w:right w:val="nil"/>
            </w:tcBorders>
            <w:shd w:val="clear" w:color="auto" w:fill="auto"/>
          </w:tcPr>
          <w:p w14:paraId="54AE2EF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4DC251" w14:textId="77777777" w:rsidR="00F7749D" w:rsidRPr="00D55B2B" w:rsidRDefault="00F7749D" w:rsidP="00D23A40">
            <w:pPr>
              <w:spacing w:before="60" w:after="60"/>
              <w:rPr>
                <w:rFonts w:ascii="Arial" w:hAnsi="Arial" w:cs="Arial"/>
                <w:color w:val="00B050"/>
                <w:sz w:val="22"/>
                <w:szCs w:val="22"/>
                <w:lang w:val="es-ES"/>
              </w:rPr>
            </w:pPr>
            <w:r w:rsidRPr="00D55B2B">
              <w:rPr>
                <w:rFonts w:ascii="Arial" w:hAnsi="Arial" w:cs="Arial"/>
                <w:sz w:val="22"/>
                <w:szCs w:val="22"/>
              </w:rPr>
              <w:t>El Contratista permitirá y realizará todas las gestiones para que sus Subcontratistas permitan que el Banco y/o las personas designadas por el Banco realicen supervisiones conforme a los procedimientos del Banco vigentes en la materia y revisen las cuentas y registros contables del Contratista y sus subcontratistas relacionados con el proceso de licitación y la ejecución del contrato y, si así se requiere, lleve a cabo auditorías por medio de auditores designados por el Banco.</w:t>
            </w:r>
          </w:p>
        </w:tc>
      </w:tr>
      <w:tr w:rsidR="00F7749D" w:rsidRPr="00D55B2B" w14:paraId="0D34970C" w14:textId="77777777" w:rsidTr="00D23A40">
        <w:tblPrEx>
          <w:jc w:val="left"/>
        </w:tblPrEx>
        <w:trPr>
          <w:trHeight w:val="20"/>
        </w:trPr>
        <w:tc>
          <w:tcPr>
            <w:tcW w:w="805" w:type="dxa"/>
            <w:tcBorders>
              <w:right w:val="nil"/>
            </w:tcBorders>
            <w:shd w:val="clear" w:color="auto" w:fill="auto"/>
          </w:tcPr>
          <w:p w14:paraId="4ABE775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7F64152"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pacing w:val="-3"/>
                <w:sz w:val="22"/>
                <w:szCs w:val="22"/>
              </w:rPr>
              <w:t xml:space="preserve">Para estos efectos, el Contratista deberá compilar y conservar todos los documentos y registros relacionados con el proyecto financiado por el Banco por el periodo </w:t>
            </w:r>
            <w:r w:rsidRPr="00D55B2B">
              <w:rPr>
                <w:rFonts w:ascii="Arial" w:hAnsi="Arial" w:cs="Arial"/>
                <w:b/>
                <w:bCs/>
                <w:spacing w:val="-3"/>
                <w:sz w:val="22"/>
                <w:szCs w:val="22"/>
              </w:rPr>
              <w:t>indicado en las CPC</w:t>
            </w:r>
            <w:r w:rsidRPr="00D55B2B">
              <w:rPr>
                <w:rFonts w:ascii="Arial" w:hAnsi="Arial" w:cs="Arial"/>
                <w:spacing w:val="-3"/>
                <w:sz w:val="22"/>
                <w:szCs w:val="22"/>
              </w:rPr>
              <w:t xml:space="preserve">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p>
        </w:tc>
      </w:tr>
      <w:tr w:rsidR="00F7749D" w:rsidRPr="00D55B2B" w14:paraId="78F3E635" w14:textId="77777777" w:rsidTr="00D23A40">
        <w:tblPrEx>
          <w:jc w:val="left"/>
        </w:tblPrEx>
        <w:trPr>
          <w:trHeight w:val="20"/>
        </w:trPr>
        <w:tc>
          <w:tcPr>
            <w:tcW w:w="805" w:type="dxa"/>
            <w:tcBorders>
              <w:right w:val="nil"/>
            </w:tcBorders>
            <w:shd w:val="clear" w:color="auto" w:fill="auto"/>
          </w:tcPr>
          <w:p w14:paraId="359359F0" w14:textId="77777777" w:rsidR="00F7749D" w:rsidRPr="00D55B2B" w:rsidRDefault="00F7749D" w:rsidP="00D23A40">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70EE16F7"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rPr>
              <w:t>El Contratistas y sus subcontratistas deberán considerar lo indicado en subcláusula CGC 4.1 que establece que las acciones encaminadas a impedir el ejercicio de los derechos del Banco de realizar auditorías y supervisiones constituyen una práctica prohibida sujeta a la rescisión del contrato (además de la determinación de inelegibilidad, con arreglo a los procedimientos de sanciones vigentes del Banco).</w:t>
            </w:r>
          </w:p>
        </w:tc>
      </w:tr>
      <w:tr w:rsidR="00F7749D" w:rsidRPr="00D55B2B" w14:paraId="2D6658EE" w14:textId="77777777" w:rsidTr="00D23A40">
        <w:tblPrEx>
          <w:jc w:val="left"/>
        </w:tblPrEx>
        <w:trPr>
          <w:trHeight w:val="20"/>
        </w:trPr>
        <w:tc>
          <w:tcPr>
            <w:tcW w:w="9355" w:type="dxa"/>
            <w:gridSpan w:val="2"/>
            <w:shd w:val="clear" w:color="auto" w:fill="auto"/>
          </w:tcPr>
          <w:p w14:paraId="3FD36F6C" w14:textId="77777777" w:rsidR="00F7749D" w:rsidRPr="00D55B2B" w:rsidRDefault="00F7749D" w:rsidP="00F7749D">
            <w:pPr>
              <w:pStyle w:val="Ttulo2"/>
              <w:keepNext w:val="0"/>
              <w:numPr>
                <w:ilvl w:val="0"/>
                <w:numId w:val="90"/>
              </w:numPr>
              <w:spacing w:before="60" w:after="60"/>
              <w:jc w:val="both"/>
              <w:rPr>
                <w:rFonts w:cs="Arial"/>
                <w:sz w:val="22"/>
                <w:szCs w:val="22"/>
                <w:lang w:val="es-419"/>
              </w:rPr>
            </w:pPr>
            <w:bookmarkStart w:id="2040" w:name="_Toc21003112"/>
            <w:bookmarkStart w:id="2041" w:name="_Toc47916984"/>
            <w:bookmarkStart w:id="2042" w:name="_Toc74048261"/>
            <w:bookmarkStart w:id="2043" w:name="_Toc74518501"/>
            <w:bookmarkStart w:id="2044" w:name="_Toc74519231"/>
            <w:bookmarkStart w:id="2045" w:name="_Toc74781421"/>
            <w:bookmarkStart w:id="2046" w:name="_Toc74930934"/>
            <w:r w:rsidRPr="00D55B2B">
              <w:rPr>
                <w:rFonts w:cs="Arial"/>
                <w:sz w:val="22"/>
                <w:szCs w:val="22"/>
                <w:lang w:val="es-ES_tradnl"/>
              </w:rPr>
              <w:t>Resolución</w:t>
            </w:r>
            <w:r w:rsidRPr="00D55B2B">
              <w:rPr>
                <w:rFonts w:cs="Arial"/>
                <w:sz w:val="22"/>
                <w:szCs w:val="22"/>
                <w:lang w:val="es-419"/>
              </w:rPr>
              <w:t xml:space="preserve"> de controversias</w:t>
            </w:r>
            <w:bookmarkEnd w:id="2040"/>
            <w:bookmarkEnd w:id="2041"/>
            <w:bookmarkEnd w:id="2042"/>
            <w:bookmarkEnd w:id="2043"/>
            <w:bookmarkEnd w:id="2044"/>
            <w:bookmarkEnd w:id="2045"/>
            <w:bookmarkEnd w:id="2046"/>
          </w:p>
        </w:tc>
      </w:tr>
      <w:tr w:rsidR="00F7749D" w:rsidRPr="00D55B2B" w14:paraId="6E3FB774" w14:textId="77777777" w:rsidTr="00D23A40">
        <w:tblPrEx>
          <w:jc w:val="left"/>
        </w:tblPrEx>
        <w:trPr>
          <w:trHeight w:val="20"/>
        </w:trPr>
        <w:tc>
          <w:tcPr>
            <w:tcW w:w="805" w:type="dxa"/>
            <w:tcBorders>
              <w:right w:val="nil"/>
            </w:tcBorders>
            <w:shd w:val="clear" w:color="auto" w:fill="auto"/>
          </w:tcPr>
          <w:p w14:paraId="4A6E5C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6CC7F63"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Para fines de esta cláusula se entenderá como controversia cualquier discrepancia sobre aspectos técnicos, financieros, administrativos, legales, ambientales o de cualquier otra índole que surjan entre el Contratista y el Contratante, incluyendo las decisiones del Gerente de Obras, como resultado de la ejecución de las Obras.   </w:t>
            </w:r>
          </w:p>
        </w:tc>
      </w:tr>
      <w:tr w:rsidR="00F7749D" w:rsidRPr="00D55B2B" w14:paraId="0E1BCF7D" w14:textId="77777777" w:rsidTr="00D23A40">
        <w:tblPrEx>
          <w:jc w:val="left"/>
        </w:tblPrEx>
        <w:trPr>
          <w:trHeight w:val="20"/>
        </w:trPr>
        <w:tc>
          <w:tcPr>
            <w:tcW w:w="805" w:type="dxa"/>
            <w:tcBorders>
              <w:right w:val="nil"/>
            </w:tcBorders>
            <w:shd w:val="clear" w:color="auto" w:fill="auto"/>
          </w:tcPr>
          <w:p w14:paraId="1D6DC9B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7E02C9A" w14:textId="77777777" w:rsidR="00F7749D" w:rsidRPr="00D55B2B" w:rsidRDefault="00F7749D" w:rsidP="00D23A40">
            <w:pPr>
              <w:spacing w:before="120" w:after="120"/>
              <w:rPr>
                <w:rFonts w:ascii="Arial" w:hAnsi="Arial" w:cs="Arial"/>
                <w:sz w:val="22"/>
                <w:szCs w:val="22"/>
              </w:rPr>
            </w:pPr>
            <w:r w:rsidRPr="00D55B2B">
              <w:rPr>
                <w:rFonts w:ascii="Arial" w:hAnsi="Arial" w:cs="Arial"/>
                <w:sz w:val="22"/>
                <w:szCs w:val="22"/>
              </w:rPr>
              <w:t>En caso de cualquier diferencia o reclamación que surja de este Contrato o que guarde relación con él o con su incumplimiento, las Partes harán todo lo posible por consultarse y negociar entre ellas y, reconociendo sus intereses en común, tratarán de alcanzar una solución satisfactoria a la controversia. En su caso, la resolución que adopten sobre el particular deberá constar por escrito y suscribirse por ambas Partes.</w:t>
            </w:r>
          </w:p>
        </w:tc>
      </w:tr>
      <w:tr w:rsidR="00F7749D" w:rsidRPr="00D55B2B" w14:paraId="0266DD5C" w14:textId="77777777" w:rsidTr="00D23A40">
        <w:tblPrEx>
          <w:jc w:val="left"/>
        </w:tblPrEx>
        <w:trPr>
          <w:trHeight w:val="1433"/>
        </w:trPr>
        <w:tc>
          <w:tcPr>
            <w:tcW w:w="805" w:type="dxa"/>
            <w:tcBorders>
              <w:right w:val="nil"/>
            </w:tcBorders>
            <w:shd w:val="clear" w:color="auto" w:fill="auto"/>
          </w:tcPr>
          <w:p w14:paraId="5BF3A31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C45112"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Si no se concreta un acuerdo conforme la subcláusula CGC 33.2 la controversia se someterá a mecanismos de conciliación, mediación, amigable composición u otra alternativa de resolución extrajudicial de conflicto conforme </w:t>
            </w:r>
            <w:r w:rsidRPr="00D55B2B">
              <w:rPr>
                <w:rFonts w:ascii="Arial" w:hAnsi="Arial" w:cs="Arial"/>
                <w:bCs/>
                <w:sz w:val="22"/>
                <w:szCs w:val="22"/>
              </w:rPr>
              <w:t>se indica en las</w:t>
            </w:r>
            <w:r w:rsidRPr="00D55B2B">
              <w:rPr>
                <w:rFonts w:ascii="Arial" w:hAnsi="Arial" w:cs="Arial"/>
                <w:b/>
                <w:bCs/>
                <w:sz w:val="22"/>
                <w:szCs w:val="22"/>
              </w:rPr>
              <w:t xml:space="preserve"> CPC</w:t>
            </w:r>
            <w:r w:rsidRPr="00D55B2B">
              <w:rPr>
                <w:rFonts w:ascii="Arial" w:hAnsi="Arial" w:cs="Arial"/>
                <w:sz w:val="22"/>
                <w:szCs w:val="22"/>
              </w:rPr>
              <w:t xml:space="preserve">. En su caso, estos mecanismos serán previos al arbitraje. </w:t>
            </w:r>
          </w:p>
        </w:tc>
      </w:tr>
      <w:tr w:rsidR="00F7749D" w:rsidRPr="00D55B2B" w14:paraId="4FCD4D3B" w14:textId="77777777" w:rsidTr="00D23A40">
        <w:tblPrEx>
          <w:jc w:val="left"/>
        </w:tblPrEx>
        <w:trPr>
          <w:trHeight w:val="20"/>
        </w:trPr>
        <w:tc>
          <w:tcPr>
            <w:tcW w:w="805" w:type="dxa"/>
            <w:tcBorders>
              <w:right w:val="nil"/>
            </w:tcBorders>
            <w:shd w:val="clear" w:color="auto" w:fill="auto"/>
          </w:tcPr>
          <w:p w14:paraId="3F46C04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84B43EE"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Si las partes no han podido resolver la controversia o diferencia dentro del plazo indicado en las </w:t>
            </w:r>
            <w:r w:rsidRPr="00D55B2B">
              <w:rPr>
                <w:rFonts w:ascii="Arial" w:hAnsi="Arial" w:cs="Arial"/>
                <w:b/>
                <w:sz w:val="22"/>
                <w:szCs w:val="22"/>
              </w:rPr>
              <w:t>CPC</w:t>
            </w:r>
            <w:r w:rsidRPr="00D55B2B">
              <w:rPr>
                <w:rFonts w:ascii="Arial" w:hAnsi="Arial" w:cs="Arial"/>
                <w:sz w:val="22"/>
                <w:szCs w:val="22"/>
              </w:rPr>
              <w:t xml:space="preserve"> mediante las negociaciones establecidas en la Sub Cláusula 33.2 de las CGC y el procedimiento indicado en la Sub Cláusula 33.3. de las CGC, cualquiera de las Partes podrá notificar a la otra Parte de su intención de iniciar el arbitraje sobre el asunto en disputa. No podrá iniciarse ningún arbitraje con respecto a dicho asunto a menos que se dé esta notificación.</w:t>
            </w:r>
          </w:p>
          <w:p w14:paraId="1A79CDAA" w14:textId="77777777" w:rsidR="00F7749D" w:rsidRPr="00D55B2B" w:rsidRDefault="00F7749D" w:rsidP="00D23A40">
            <w:pPr>
              <w:rPr>
                <w:ins w:id="2047" w:author="Xiomara Hernandez" w:date="2021-06-01T16:42:00Z"/>
                <w:rFonts w:ascii="Arial" w:hAnsi="Arial" w:cs="Arial"/>
                <w:sz w:val="22"/>
                <w:szCs w:val="22"/>
              </w:rPr>
            </w:pPr>
            <w:r w:rsidRPr="00D55B2B">
              <w:rPr>
                <w:rFonts w:ascii="Arial" w:hAnsi="Arial" w:cs="Arial"/>
                <w:sz w:val="22"/>
                <w:szCs w:val="22"/>
              </w:rPr>
              <w:t xml:space="preserve">Cualquier disputa con respecto a la cual se haya dado un aviso de intención para iniciar un arbitraje de acuerdo con esta Cláusula se resolverá finalmente por arbitraje.  El arbitraje podrá iniciarse antes o después de la terminación de las Obras. Los procedimientos de arbitraje se llevarán a cabo de conformidad con las normas de procedimiento </w:t>
            </w:r>
            <w:r w:rsidRPr="00D55B2B">
              <w:rPr>
                <w:rFonts w:ascii="Arial" w:hAnsi="Arial" w:cs="Arial"/>
                <w:bCs/>
                <w:sz w:val="22"/>
                <w:szCs w:val="22"/>
              </w:rPr>
              <w:t>especificadas en las</w:t>
            </w:r>
            <w:r w:rsidRPr="00D55B2B">
              <w:rPr>
                <w:rFonts w:ascii="Arial" w:hAnsi="Arial" w:cs="Arial"/>
                <w:b/>
                <w:bCs/>
                <w:sz w:val="22"/>
                <w:szCs w:val="22"/>
              </w:rPr>
              <w:t xml:space="preserve"> CPC.</w:t>
            </w:r>
          </w:p>
          <w:p w14:paraId="4DD3C22E" w14:textId="77777777" w:rsidR="00F7749D" w:rsidRPr="00D55B2B" w:rsidRDefault="00F7749D" w:rsidP="00D23A40">
            <w:pPr>
              <w:spacing w:before="60" w:after="60"/>
              <w:rPr>
                <w:rFonts w:ascii="Arial" w:hAnsi="Arial" w:cs="Arial"/>
                <w:sz w:val="22"/>
                <w:szCs w:val="22"/>
              </w:rPr>
            </w:pPr>
          </w:p>
        </w:tc>
      </w:tr>
      <w:tr w:rsidR="00F7749D" w:rsidRPr="00D55B2B" w14:paraId="3EF6FDCB" w14:textId="77777777" w:rsidTr="00D23A40">
        <w:tblPrEx>
          <w:jc w:val="left"/>
        </w:tblPrEx>
        <w:trPr>
          <w:trHeight w:val="20"/>
        </w:trPr>
        <w:tc>
          <w:tcPr>
            <w:tcW w:w="805" w:type="dxa"/>
            <w:tcBorders>
              <w:right w:val="nil"/>
            </w:tcBorders>
            <w:shd w:val="clear" w:color="auto" w:fill="auto"/>
          </w:tcPr>
          <w:p w14:paraId="1218A734" w14:textId="77777777" w:rsidR="00F7749D" w:rsidRPr="00D55B2B" w:rsidRDefault="00F7749D" w:rsidP="00D23A40">
            <w:pPr>
              <w:pStyle w:val="Numeraciondeartculos"/>
              <w:framePr w:hSpace="0" w:wrap="auto" w:vAnchor="margin" w:hAnchor="text" w:xAlign="left" w:yAlign="inline"/>
              <w:ind w:left="0" w:firstLine="0"/>
              <w:rPr>
                <w:rFonts w:cs="Arial"/>
                <w:sz w:val="22"/>
                <w:szCs w:val="22"/>
              </w:rPr>
            </w:pPr>
          </w:p>
        </w:tc>
        <w:tc>
          <w:tcPr>
            <w:tcW w:w="8550" w:type="dxa"/>
            <w:tcBorders>
              <w:left w:val="nil"/>
            </w:tcBorders>
            <w:shd w:val="clear" w:color="auto" w:fill="auto"/>
          </w:tcPr>
          <w:p w14:paraId="56D33667"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A pesar de cualquier referencia al arbitraje o cualquier otro mecanismo de solución de controversias en este documento,</w:t>
            </w:r>
          </w:p>
          <w:p w14:paraId="7FDAF650" w14:textId="77777777" w:rsidR="00F7749D" w:rsidRPr="00D55B2B" w:rsidRDefault="00F7749D" w:rsidP="00F7749D">
            <w:pPr>
              <w:pStyle w:val="Prrafodelista"/>
              <w:numPr>
                <w:ilvl w:val="0"/>
                <w:numId w:val="106"/>
              </w:numPr>
              <w:spacing w:before="60" w:after="60"/>
              <w:ind w:left="421"/>
              <w:rPr>
                <w:rFonts w:ascii="Arial" w:hAnsi="Arial" w:cs="Arial"/>
                <w:sz w:val="22"/>
                <w:szCs w:val="22"/>
              </w:rPr>
            </w:pPr>
            <w:r w:rsidRPr="00D55B2B">
              <w:rPr>
                <w:rFonts w:ascii="Arial" w:hAnsi="Arial" w:cs="Arial"/>
                <w:sz w:val="22"/>
                <w:szCs w:val="22"/>
              </w:rPr>
              <w:t>las Partes continuarán cumpliendo con sus respectivas obligaciones en virtud del Contrato a menos que acuerden otra cosa; y</w:t>
            </w:r>
          </w:p>
          <w:p w14:paraId="0E2866A8" w14:textId="77777777" w:rsidR="00F7749D" w:rsidRPr="00D55B2B" w:rsidRDefault="00F7749D" w:rsidP="00F7749D">
            <w:pPr>
              <w:pStyle w:val="Prrafodelista"/>
              <w:numPr>
                <w:ilvl w:val="0"/>
                <w:numId w:val="106"/>
              </w:numPr>
              <w:spacing w:before="60" w:after="60"/>
              <w:ind w:left="421"/>
              <w:rPr>
                <w:rFonts w:ascii="Arial" w:hAnsi="Arial" w:cs="Arial"/>
                <w:sz w:val="22"/>
                <w:szCs w:val="22"/>
              </w:rPr>
            </w:pPr>
            <w:r w:rsidRPr="00D55B2B">
              <w:rPr>
                <w:rFonts w:ascii="Arial" w:hAnsi="Arial" w:cs="Arial"/>
                <w:sz w:val="22"/>
                <w:szCs w:val="22"/>
              </w:rPr>
              <w:t>el Contratante deberá pagar al Contratista cualquier dinero que se le adeude que no sea parte del objeto de la disputa.</w:t>
            </w:r>
          </w:p>
        </w:tc>
      </w:tr>
      <w:tr w:rsidR="00F7749D" w:rsidRPr="00D55B2B" w14:paraId="70E62CA3" w14:textId="77777777" w:rsidTr="00D23A40">
        <w:trPr>
          <w:cantSplit/>
          <w:trHeight w:val="423"/>
          <w:jc w:val="center"/>
        </w:trPr>
        <w:tc>
          <w:tcPr>
            <w:tcW w:w="9355" w:type="dxa"/>
            <w:gridSpan w:val="2"/>
            <w:shd w:val="clear" w:color="auto" w:fill="00B050"/>
          </w:tcPr>
          <w:p w14:paraId="24732885" w14:textId="77777777" w:rsidR="00F7749D" w:rsidRPr="00620AB5" w:rsidRDefault="00F7749D" w:rsidP="00F7749D">
            <w:pPr>
              <w:pStyle w:val="Ttulo1"/>
              <w:numPr>
                <w:ilvl w:val="0"/>
                <w:numId w:val="89"/>
              </w:numPr>
              <w:tabs>
                <w:tab w:val="right" w:leader="dot" w:pos="9000"/>
              </w:tabs>
              <w:spacing w:before="60" w:after="60"/>
              <w:ind w:right="720"/>
              <w:rPr>
                <w:rFonts w:ascii="Arial" w:hAnsi="Arial" w:cs="Arial"/>
                <w:color w:val="FFFFFF" w:themeColor="background1"/>
                <w:spacing w:val="-3"/>
                <w:sz w:val="22"/>
                <w:szCs w:val="22"/>
              </w:rPr>
            </w:pPr>
            <w:r w:rsidRPr="00620AB5">
              <w:rPr>
                <w:rFonts w:ascii="Arial" w:hAnsi="Arial" w:cs="Arial"/>
                <w:color w:val="FFFFFF" w:themeColor="background1"/>
                <w:sz w:val="22"/>
                <w:szCs w:val="22"/>
                <w:lang w:val="es-419"/>
              </w:rPr>
              <w:t>CONTROL DE PLAZOS</w:t>
            </w:r>
          </w:p>
        </w:tc>
      </w:tr>
      <w:tr w:rsidR="00F7749D" w:rsidRPr="00D55B2B" w14:paraId="6B4EF41A" w14:textId="77777777" w:rsidTr="00D23A40">
        <w:tblPrEx>
          <w:jc w:val="left"/>
        </w:tblPrEx>
        <w:trPr>
          <w:trHeight w:val="20"/>
        </w:trPr>
        <w:tc>
          <w:tcPr>
            <w:tcW w:w="9355" w:type="dxa"/>
            <w:gridSpan w:val="2"/>
            <w:shd w:val="clear" w:color="auto" w:fill="auto"/>
          </w:tcPr>
          <w:p w14:paraId="494B5D81"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48" w:name="_Toc47916986"/>
            <w:bookmarkStart w:id="2049" w:name="_Toc74048263"/>
            <w:bookmarkStart w:id="2050" w:name="_Toc74518503"/>
            <w:bookmarkStart w:id="2051" w:name="_Toc74519233"/>
            <w:bookmarkStart w:id="2052" w:name="_Toc74781423"/>
            <w:bookmarkStart w:id="2053" w:name="_Toc74930936"/>
            <w:r w:rsidRPr="00D55B2B">
              <w:rPr>
                <w:rFonts w:cs="Arial"/>
                <w:sz w:val="22"/>
                <w:szCs w:val="22"/>
                <w:lang w:val="es-ES_tradnl"/>
              </w:rPr>
              <w:t>Programa</w:t>
            </w:r>
            <w:bookmarkEnd w:id="2048"/>
            <w:bookmarkEnd w:id="2049"/>
            <w:bookmarkEnd w:id="2050"/>
            <w:bookmarkEnd w:id="2051"/>
            <w:bookmarkEnd w:id="2052"/>
            <w:bookmarkEnd w:id="2053"/>
          </w:p>
        </w:tc>
      </w:tr>
      <w:tr w:rsidR="00F7749D" w:rsidRPr="00D55B2B" w14:paraId="1B4F6820" w14:textId="77777777" w:rsidTr="00D23A40">
        <w:tblPrEx>
          <w:jc w:val="left"/>
        </w:tblPrEx>
        <w:trPr>
          <w:trHeight w:val="20"/>
        </w:trPr>
        <w:tc>
          <w:tcPr>
            <w:tcW w:w="805" w:type="dxa"/>
            <w:tcBorders>
              <w:right w:val="nil"/>
            </w:tcBorders>
            <w:shd w:val="clear" w:color="auto" w:fill="auto"/>
          </w:tcPr>
          <w:p w14:paraId="4EF78C4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CD129B"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Dentro del plazo </w:t>
            </w:r>
            <w:r w:rsidRPr="00D55B2B">
              <w:rPr>
                <w:rFonts w:ascii="Arial" w:hAnsi="Arial" w:cs="Arial"/>
                <w:b/>
                <w:bCs/>
                <w:sz w:val="22"/>
                <w:szCs w:val="22"/>
                <w:lang w:val="es-ES"/>
              </w:rPr>
              <w:t>especificado en las CPC</w:t>
            </w:r>
            <w:r w:rsidRPr="00D55B2B">
              <w:rPr>
                <w:rFonts w:ascii="Arial" w:hAnsi="Arial" w:cs="Arial"/>
                <w:sz w:val="22"/>
                <w:szCs w:val="22"/>
                <w:lang w:val="es-ES"/>
              </w:rPr>
              <w:t xml:space="preserve"> y después de la fecha de la Carta de Aceptación, el Contratista presentará al Gerente de Obras para su aprobación un Programa en el que se indique el orden de procedimiento (organización, secuencia y el calendario de ejecución) y el método que propone para ejecutar todas las actividades relativas a las Obras. En la preparación de su Programa de trabajo el Contratista deberá otorgar la debida consideración a la prioridad que requieran ciertos trabajos.</w:t>
            </w:r>
          </w:p>
        </w:tc>
      </w:tr>
      <w:tr w:rsidR="00F7749D" w:rsidRPr="00D55B2B" w14:paraId="69AD2025" w14:textId="77777777" w:rsidTr="00D23A40">
        <w:tblPrEx>
          <w:jc w:val="left"/>
        </w:tblPrEx>
        <w:trPr>
          <w:trHeight w:val="20"/>
        </w:trPr>
        <w:tc>
          <w:tcPr>
            <w:tcW w:w="805" w:type="dxa"/>
            <w:tcBorders>
              <w:right w:val="nil"/>
            </w:tcBorders>
            <w:shd w:val="clear" w:color="auto" w:fill="auto"/>
          </w:tcPr>
          <w:p w14:paraId="505A66B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7238B8B"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El Contratista actualizará el Programa en intervalos iguales que no excedan el periodo </w:t>
            </w:r>
            <w:r w:rsidRPr="00D55B2B">
              <w:rPr>
                <w:rFonts w:ascii="Arial" w:hAnsi="Arial" w:cs="Arial"/>
                <w:b/>
                <w:bCs/>
                <w:sz w:val="22"/>
                <w:szCs w:val="22"/>
                <w:lang w:val="es-ES"/>
              </w:rPr>
              <w:t>establecido en las CPC</w:t>
            </w:r>
            <w:r w:rsidRPr="00D55B2B">
              <w:rPr>
                <w:rFonts w:ascii="Arial" w:hAnsi="Arial" w:cs="Arial"/>
                <w:sz w:val="22"/>
                <w:szCs w:val="22"/>
                <w:lang w:val="es-ES"/>
              </w:rPr>
              <w:t xml:space="preserve"> para reflejar los avances reales logrados en cada actividad y los efectos de tales avances en el calendario de ejecución de las tareas pendientes, </w:t>
            </w:r>
            <w:r w:rsidRPr="00D55B2B">
              <w:rPr>
                <w:rFonts w:ascii="Arial" w:hAnsi="Arial" w:cs="Arial"/>
                <w:sz w:val="22"/>
                <w:szCs w:val="22"/>
                <w:lang w:val="es-ES"/>
              </w:rPr>
              <w:lastRenderedPageBreak/>
              <w:t>incluida cualquier modificación en la secuencia de las actividades, y se presentará al Gerente de Obras para su aprobación</w:t>
            </w:r>
          </w:p>
        </w:tc>
      </w:tr>
      <w:tr w:rsidR="00F7749D" w:rsidRPr="00D55B2B" w14:paraId="53652A98" w14:textId="77777777" w:rsidTr="00D23A40">
        <w:tblPrEx>
          <w:jc w:val="left"/>
        </w:tblPrEx>
        <w:trPr>
          <w:trHeight w:val="20"/>
        </w:trPr>
        <w:tc>
          <w:tcPr>
            <w:tcW w:w="805" w:type="dxa"/>
            <w:tcBorders>
              <w:right w:val="nil"/>
            </w:tcBorders>
            <w:shd w:val="clear" w:color="auto" w:fill="auto"/>
          </w:tcPr>
          <w:p w14:paraId="31B724A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A06D6A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Si el Contratista no presenta dicho Programa actualizado dentro del plazo señalado en la CGC 35.2, el Gerente de Obras podrá retener el monto </w:t>
            </w:r>
            <w:r w:rsidRPr="00D55B2B">
              <w:rPr>
                <w:rFonts w:ascii="Arial" w:hAnsi="Arial" w:cs="Arial"/>
                <w:b/>
                <w:bCs/>
                <w:spacing w:val="-3"/>
                <w:sz w:val="22"/>
                <w:szCs w:val="22"/>
              </w:rPr>
              <w:t>especificado en las CPC</w:t>
            </w:r>
            <w:r w:rsidRPr="00D55B2B">
              <w:rPr>
                <w:rFonts w:ascii="Arial" w:hAnsi="Arial" w:cs="Arial"/>
                <w:spacing w:val="-3"/>
                <w:sz w:val="22"/>
                <w:szCs w:val="22"/>
              </w:rPr>
              <w:t xml:space="preserve"> del próximo certificado de pago y continuar reteniendo dicho monto hasta el pago que prosiga a la fecha en la cual el Contratista haya presentado el Programa atrasado.</w:t>
            </w:r>
          </w:p>
        </w:tc>
      </w:tr>
      <w:tr w:rsidR="00F7749D" w:rsidRPr="00D55B2B" w14:paraId="29FC3A9C" w14:textId="77777777" w:rsidTr="00D23A40">
        <w:tblPrEx>
          <w:jc w:val="left"/>
        </w:tblPrEx>
        <w:trPr>
          <w:trHeight w:val="20"/>
        </w:trPr>
        <w:tc>
          <w:tcPr>
            <w:tcW w:w="805" w:type="dxa"/>
            <w:tcBorders>
              <w:right w:val="nil"/>
            </w:tcBorders>
            <w:shd w:val="clear" w:color="auto" w:fill="auto"/>
          </w:tcPr>
          <w:p w14:paraId="6B1FDAF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0201617"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La aprobación del Programa por el Gerente de Obras no modificará de manera alguna las obligaciones del Contratista.  El Contratista podrá modificar el Programa y presentarlo nuevamente al Gerente de Obras en cualquier momento.  El Programa modificado deberá contemplar los efectos de las Variaciones y de los Eventos Compensables.</w:t>
            </w:r>
          </w:p>
        </w:tc>
      </w:tr>
      <w:tr w:rsidR="00F7749D" w:rsidRPr="00D55B2B" w14:paraId="4BC9AEE0" w14:textId="77777777" w:rsidTr="00D23A40">
        <w:tblPrEx>
          <w:jc w:val="left"/>
        </w:tblPrEx>
        <w:trPr>
          <w:trHeight w:val="20"/>
        </w:trPr>
        <w:tc>
          <w:tcPr>
            <w:tcW w:w="9355" w:type="dxa"/>
            <w:gridSpan w:val="2"/>
            <w:shd w:val="clear" w:color="auto" w:fill="auto"/>
          </w:tcPr>
          <w:p w14:paraId="4C614CBC"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54" w:name="_Toc47916987"/>
            <w:bookmarkStart w:id="2055" w:name="_Toc74048264"/>
            <w:bookmarkStart w:id="2056" w:name="_Toc74518504"/>
            <w:bookmarkStart w:id="2057" w:name="_Toc74519234"/>
            <w:bookmarkStart w:id="2058" w:name="_Toc74781424"/>
            <w:bookmarkStart w:id="2059" w:name="_Toc74930937"/>
            <w:r w:rsidRPr="00D55B2B">
              <w:rPr>
                <w:rFonts w:cs="Arial"/>
                <w:sz w:val="22"/>
                <w:szCs w:val="22"/>
                <w:lang w:val="es-ES_tradnl"/>
              </w:rPr>
              <w:t>Reuniones administrativas en el Sitio de las Obras</w:t>
            </w:r>
            <w:bookmarkEnd w:id="2054"/>
            <w:bookmarkEnd w:id="2055"/>
            <w:bookmarkEnd w:id="2056"/>
            <w:bookmarkEnd w:id="2057"/>
            <w:bookmarkEnd w:id="2058"/>
            <w:bookmarkEnd w:id="2059"/>
          </w:p>
        </w:tc>
      </w:tr>
      <w:tr w:rsidR="00F7749D" w:rsidRPr="00D55B2B" w14:paraId="4F4F00C1" w14:textId="77777777" w:rsidTr="00D23A40">
        <w:tblPrEx>
          <w:jc w:val="left"/>
        </w:tblPrEx>
        <w:trPr>
          <w:trHeight w:val="20"/>
        </w:trPr>
        <w:tc>
          <w:tcPr>
            <w:tcW w:w="805" w:type="dxa"/>
            <w:tcBorders>
              <w:right w:val="nil"/>
            </w:tcBorders>
            <w:shd w:val="clear" w:color="auto" w:fill="auto"/>
          </w:tcPr>
          <w:p w14:paraId="1346946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5B802C5"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Tanto el Gerente de Obras como el Contratista podrán solicitar a la otra Parte que asista a reuniones administrativas en el Sitio de las Obras.  Los objetivos de dichas reuniones serán verificar que las Obras avanzan normalmente y se ejecutan con arreglo al Contrato, revisar la programación de los trabajos pendientes y resolver, en su caso, los asuntos planteados conforme el procedimiento de advertencia anticipada descrito en la Cláusula CGC 39.</w:t>
            </w:r>
          </w:p>
        </w:tc>
      </w:tr>
      <w:tr w:rsidR="00F7749D" w:rsidRPr="00D55B2B" w14:paraId="4236E7EC" w14:textId="77777777" w:rsidTr="00D23A40">
        <w:tblPrEx>
          <w:jc w:val="left"/>
        </w:tblPrEx>
        <w:trPr>
          <w:trHeight w:val="20"/>
        </w:trPr>
        <w:tc>
          <w:tcPr>
            <w:tcW w:w="805" w:type="dxa"/>
            <w:tcBorders>
              <w:right w:val="nil"/>
            </w:tcBorders>
            <w:shd w:val="clear" w:color="auto" w:fill="auto"/>
          </w:tcPr>
          <w:p w14:paraId="24DCC7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4CB3180"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Gerente de Obras llevará un registro de lo tratado en las reuniones administrativas y suministrará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F7749D" w:rsidRPr="00D55B2B" w14:paraId="0182DE12" w14:textId="77777777" w:rsidTr="00D23A40">
        <w:tblPrEx>
          <w:jc w:val="left"/>
        </w:tblPrEx>
        <w:trPr>
          <w:trHeight w:val="20"/>
        </w:trPr>
        <w:tc>
          <w:tcPr>
            <w:tcW w:w="9355" w:type="dxa"/>
            <w:gridSpan w:val="2"/>
            <w:shd w:val="clear" w:color="auto" w:fill="auto"/>
          </w:tcPr>
          <w:p w14:paraId="4F6C1C34"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60" w:name="_Toc47916988"/>
            <w:bookmarkStart w:id="2061" w:name="_Toc74048265"/>
            <w:bookmarkStart w:id="2062" w:name="_Toc74518505"/>
            <w:bookmarkStart w:id="2063" w:name="_Toc74519235"/>
            <w:bookmarkStart w:id="2064" w:name="_Toc74781425"/>
            <w:bookmarkStart w:id="2065" w:name="_Toc74930938"/>
            <w:r w:rsidRPr="00D55B2B">
              <w:rPr>
                <w:rFonts w:cs="Arial"/>
                <w:sz w:val="22"/>
                <w:szCs w:val="22"/>
                <w:lang w:val="es-ES_tradnl"/>
              </w:rPr>
              <w:t>Prórroga de la Fecha Prevista de Terminación</w:t>
            </w:r>
            <w:bookmarkEnd w:id="2060"/>
            <w:bookmarkEnd w:id="2061"/>
            <w:bookmarkEnd w:id="2062"/>
            <w:bookmarkEnd w:id="2063"/>
            <w:bookmarkEnd w:id="2064"/>
            <w:bookmarkEnd w:id="2065"/>
          </w:p>
        </w:tc>
      </w:tr>
      <w:tr w:rsidR="00F7749D" w:rsidRPr="00D55B2B" w14:paraId="29FE36D9" w14:textId="77777777" w:rsidTr="00D23A40">
        <w:tblPrEx>
          <w:jc w:val="left"/>
        </w:tblPrEx>
        <w:trPr>
          <w:trHeight w:val="20"/>
        </w:trPr>
        <w:tc>
          <w:tcPr>
            <w:tcW w:w="805" w:type="dxa"/>
            <w:tcBorders>
              <w:right w:val="nil"/>
            </w:tcBorders>
            <w:shd w:val="clear" w:color="auto" w:fill="auto"/>
          </w:tcPr>
          <w:p w14:paraId="148E109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91F1F3D"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El Contratista podrá solicitar una prórroga de la Fecha Prevista de Terminación cuando se produzca un Evento Compensable o se ordene una Variación que imposibilite la terminación de las Obras en esa fecha.</w:t>
            </w:r>
            <w:r w:rsidRPr="00D55B2B">
              <w:rPr>
                <w:rFonts w:ascii="Arial" w:hAnsi="Arial" w:cs="Arial"/>
                <w:spacing w:val="-3"/>
                <w:sz w:val="22"/>
                <w:szCs w:val="22"/>
              </w:rPr>
              <w:t xml:space="preserve"> La solicitud de dicha extensión debe realizarse antes de que el Contratista lleve a cabo las modificaciones o las adiciones en las Obras ordenadas a través de una Variación.</w:t>
            </w:r>
          </w:p>
        </w:tc>
      </w:tr>
      <w:tr w:rsidR="00F7749D" w:rsidRPr="00D55B2B" w14:paraId="5F080D20" w14:textId="77777777" w:rsidTr="00D23A40">
        <w:tblPrEx>
          <w:jc w:val="left"/>
        </w:tblPrEx>
        <w:trPr>
          <w:trHeight w:val="20"/>
        </w:trPr>
        <w:tc>
          <w:tcPr>
            <w:tcW w:w="805" w:type="dxa"/>
            <w:tcBorders>
              <w:right w:val="nil"/>
            </w:tcBorders>
            <w:shd w:val="clear" w:color="auto" w:fill="auto"/>
          </w:tcPr>
          <w:p w14:paraId="188AF03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52D89B1"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Dentro de los veintiún (21) días siguientes a la fecha en que el Contratista solicite al Gerente de Obras una decisión sobre los efectos de una Variación o de un Evento Compensable y proporcione toda la información que lo sustente, el Gerente de Obras determinará si debe prorrogarse la Fecha Prevista de Terminación y por cuánto tiempo. Esta prórroga será</w:t>
            </w:r>
            <w:r w:rsidRPr="00D55B2B">
              <w:rPr>
                <w:rFonts w:ascii="Arial" w:hAnsi="Arial" w:cs="Arial"/>
                <w:sz w:val="22"/>
                <w:szCs w:val="22"/>
                <w:lang w:val="es-ES"/>
              </w:rPr>
              <w:t xml:space="preserve"> sin que el Contratista adopte medidas para acelerar el ritmo de ejecución de los trabajos restantes, lo que le generaría costos adicionales.</w:t>
            </w:r>
          </w:p>
        </w:tc>
      </w:tr>
      <w:tr w:rsidR="00F7749D" w:rsidRPr="00D55B2B" w14:paraId="79FA3C61" w14:textId="77777777" w:rsidTr="00D23A40">
        <w:tblPrEx>
          <w:jc w:val="left"/>
        </w:tblPrEx>
        <w:trPr>
          <w:trHeight w:val="20"/>
        </w:trPr>
        <w:tc>
          <w:tcPr>
            <w:tcW w:w="805" w:type="dxa"/>
            <w:tcBorders>
              <w:right w:val="nil"/>
            </w:tcBorders>
            <w:shd w:val="clear" w:color="auto" w:fill="auto"/>
          </w:tcPr>
          <w:p w14:paraId="52EC613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159B825" w14:textId="77777777" w:rsidR="00F7749D" w:rsidRPr="00D55B2B" w:rsidRDefault="00F7749D" w:rsidP="00D23A40">
            <w:pPr>
              <w:spacing w:before="60" w:after="60"/>
              <w:rPr>
                <w:rFonts w:ascii="Arial" w:hAnsi="Arial" w:cs="Arial"/>
                <w:color w:val="00B050"/>
                <w:sz w:val="22"/>
                <w:szCs w:val="22"/>
              </w:rPr>
            </w:pPr>
            <w:r w:rsidRPr="00D55B2B">
              <w:rPr>
                <w:rFonts w:ascii="Arial" w:hAnsi="Arial" w:cs="Arial"/>
                <w:sz w:val="22"/>
                <w:szCs w:val="22"/>
                <w:lang w:val="es-ES"/>
              </w:rPr>
              <w:t xml:space="preserve">El Gerente de Obras prorrogará la Fecha Prevista de Terminación cuando se </w:t>
            </w:r>
            <w:r w:rsidRPr="00D55B2B">
              <w:rPr>
                <w:rFonts w:ascii="Arial" w:hAnsi="Arial" w:cs="Arial"/>
                <w:spacing w:val="-3"/>
                <w:sz w:val="22"/>
                <w:szCs w:val="22"/>
              </w:rPr>
              <w:t>produzca</w:t>
            </w:r>
            <w:r w:rsidRPr="00D55B2B">
              <w:rPr>
                <w:rFonts w:ascii="Arial" w:hAnsi="Arial" w:cs="Arial"/>
                <w:sz w:val="22"/>
                <w:szCs w:val="22"/>
                <w:lang w:val="es-ES"/>
              </w:rPr>
              <w:t xml:space="preserve"> un Evento Compensable o se ordene una Variación que haga imposible terminar las Obras en esa fecha. </w:t>
            </w:r>
          </w:p>
        </w:tc>
      </w:tr>
      <w:tr w:rsidR="00F7749D" w:rsidRPr="00D55B2B" w14:paraId="72BAAB50" w14:textId="77777777" w:rsidTr="00D23A40">
        <w:tblPrEx>
          <w:jc w:val="left"/>
        </w:tblPrEx>
        <w:trPr>
          <w:trHeight w:val="20"/>
        </w:trPr>
        <w:tc>
          <w:tcPr>
            <w:tcW w:w="805" w:type="dxa"/>
            <w:tcBorders>
              <w:right w:val="nil"/>
            </w:tcBorders>
            <w:shd w:val="clear" w:color="auto" w:fill="auto"/>
          </w:tcPr>
          <w:p w14:paraId="0FEB4662" w14:textId="77777777" w:rsidR="00F7749D" w:rsidRPr="00D55B2B" w:rsidRDefault="00F7749D" w:rsidP="00D23A40">
            <w:pPr>
              <w:pStyle w:val="Prrafodelista"/>
              <w:tabs>
                <w:tab w:val="num" w:pos="1440"/>
              </w:tabs>
              <w:spacing w:before="60" w:after="60"/>
              <w:ind w:left="0" w:right="-114"/>
              <w:jc w:val="left"/>
              <w:rPr>
                <w:rFonts w:ascii="Arial" w:hAnsi="Arial" w:cs="Arial"/>
                <w:b/>
                <w:bCs/>
                <w:sz w:val="22"/>
                <w:szCs w:val="22"/>
                <w:lang w:val="es-HN"/>
              </w:rPr>
            </w:pPr>
            <w:r w:rsidRPr="00D55B2B">
              <w:rPr>
                <w:rFonts w:ascii="Arial" w:hAnsi="Arial" w:cs="Arial"/>
                <w:b/>
                <w:bCs/>
                <w:sz w:val="22"/>
                <w:szCs w:val="22"/>
                <w:lang w:val="es-HN"/>
              </w:rPr>
              <w:t>36.4</w:t>
            </w:r>
          </w:p>
        </w:tc>
        <w:tc>
          <w:tcPr>
            <w:tcW w:w="8550" w:type="dxa"/>
            <w:tcBorders>
              <w:left w:val="nil"/>
            </w:tcBorders>
            <w:shd w:val="clear" w:color="auto" w:fill="auto"/>
          </w:tcPr>
          <w:p w14:paraId="4FF7DBDE" w14:textId="77777777" w:rsidR="00F7749D" w:rsidRPr="00D55B2B" w:rsidRDefault="00F7749D" w:rsidP="00D23A40">
            <w:pPr>
              <w:spacing w:before="60" w:after="60"/>
              <w:ind w:left="-24" w:firstLine="24"/>
              <w:rPr>
                <w:rFonts w:ascii="Arial" w:hAnsi="Arial" w:cs="Arial"/>
                <w:sz w:val="22"/>
                <w:szCs w:val="22"/>
                <w:lang w:val="es-ES"/>
              </w:rPr>
            </w:pPr>
            <w:r w:rsidRPr="00D55B2B">
              <w:rPr>
                <w:rFonts w:ascii="Arial" w:hAnsi="Arial" w:cs="Arial"/>
                <w:spacing w:val="-3"/>
                <w:sz w:val="22"/>
                <w:szCs w:val="22"/>
              </w:rPr>
              <w:t>Si el Contratista no hubiere dado aviso oportuno acerca de una demora o no hubiere cooperado para resolverla, la demora debida a esa falla no será considerada para determinar la nueva Fecha Prevista de Terminación.</w:t>
            </w:r>
          </w:p>
        </w:tc>
      </w:tr>
      <w:tr w:rsidR="00F7749D" w:rsidRPr="00D55B2B" w14:paraId="1FC50E44" w14:textId="77777777" w:rsidTr="00D23A40">
        <w:tblPrEx>
          <w:jc w:val="left"/>
        </w:tblPrEx>
        <w:trPr>
          <w:trHeight w:val="20"/>
        </w:trPr>
        <w:tc>
          <w:tcPr>
            <w:tcW w:w="9355" w:type="dxa"/>
            <w:gridSpan w:val="2"/>
            <w:shd w:val="clear" w:color="auto" w:fill="auto"/>
          </w:tcPr>
          <w:p w14:paraId="7E4B09D4"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66" w:name="_Toc47916989"/>
            <w:bookmarkStart w:id="2067" w:name="_Toc74048266"/>
            <w:bookmarkStart w:id="2068" w:name="_Toc74518506"/>
            <w:bookmarkStart w:id="2069" w:name="_Toc74519236"/>
            <w:bookmarkStart w:id="2070" w:name="_Toc74781426"/>
            <w:bookmarkStart w:id="2071" w:name="_Toc74930939"/>
            <w:r w:rsidRPr="00D55B2B">
              <w:rPr>
                <w:rFonts w:cs="Arial"/>
                <w:sz w:val="22"/>
                <w:szCs w:val="22"/>
                <w:lang w:val="es-ES_tradnl"/>
              </w:rPr>
              <w:t>Aceleración de las Obras</w:t>
            </w:r>
            <w:bookmarkEnd w:id="2066"/>
            <w:bookmarkEnd w:id="2067"/>
            <w:bookmarkEnd w:id="2068"/>
            <w:bookmarkEnd w:id="2069"/>
            <w:bookmarkEnd w:id="2070"/>
            <w:bookmarkEnd w:id="2071"/>
          </w:p>
        </w:tc>
      </w:tr>
      <w:tr w:rsidR="00F7749D" w:rsidRPr="00D55B2B" w14:paraId="11898389" w14:textId="77777777" w:rsidTr="00D23A40">
        <w:tblPrEx>
          <w:jc w:val="left"/>
        </w:tblPrEx>
        <w:trPr>
          <w:trHeight w:val="20"/>
        </w:trPr>
        <w:tc>
          <w:tcPr>
            <w:tcW w:w="805" w:type="dxa"/>
            <w:tcBorders>
              <w:right w:val="nil"/>
            </w:tcBorders>
            <w:shd w:val="clear" w:color="auto" w:fill="auto"/>
          </w:tcPr>
          <w:p w14:paraId="65C1111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ABA20CF"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Si el Gerente de Obras considera que el ritmo de ejecución de las Obras o de parte de ella es demasiado lento para asegurar la terminación total de las Obras en la </w:t>
            </w:r>
            <w:r w:rsidRPr="00D55B2B">
              <w:rPr>
                <w:rFonts w:ascii="Arial" w:hAnsi="Arial" w:cs="Arial"/>
                <w:spacing w:val="-3"/>
                <w:sz w:val="22"/>
                <w:szCs w:val="22"/>
              </w:rPr>
              <w:t>Fecha Prevista de Terminación</w:t>
            </w:r>
            <w:r w:rsidRPr="00D55B2B">
              <w:rPr>
                <w:rFonts w:ascii="Arial" w:hAnsi="Arial" w:cs="Arial"/>
                <w:sz w:val="22"/>
                <w:szCs w:val="22"/>
              </w:rPr>
              <w:t xml:space="preserve"> o en la fecha de cualquier prórroga a ésta, el Gerente de </w:t>
            </w:r>
            <w:r w:rsidRPr="00D55B2B">
              <w:rPr>
                <w:rFonts w:ascii="Arial" w:hAnsi="Arial" w:cs="Arial"/>
                <w:sz w:val="22"/>
                <w:szCs w:val="22"/>
              </w:rPr>
              <w:lastRenderedPageBreak/>
              <w:t xml:space="preserve">Obras notificará al Contratista por escrito y el Contratista adoptará de inmediato las medidas que considere necesarias, y que el Gerente de Obras apruebe, para reprogramar la ejecución de las Obras de manera que quede terminada totalmente en la </w:t>
            </w:r>
            <w:r w:rsidRPr="00D55B2B">
              <w:rPr>
                <w:rFonts w:ascii="Arial" w:hAnsi="Arial" w:cs="Arial"/>
                <w:spacing w:val="-3"/>
                <w:sz w:val="22"/>
                <w:szCs w:val="22"/>
              </w:rPr>
              <w:t>Fecha Prevista de Terminación</w:t>
            </w:r>
            <w:r w:rsidRPr="00D55B2B">
              <w:rPr>
                <w:rFonts w:ascii="Arial" w:hAnsi="Arial" w:cs="Arial"/>
                <w:sz w:val="22"/>
                <w:szCs w:val="22"/>
              </w:rPr>
              <w:t xml:space="preserve"> o en la fecha de cualquier prórroga a ésta.</w:t>
            </w:r>
          </w:p>
        </w:tc>
      </w:tr>
      <w:tr w:rsidR="00F7749D" w:rsidRPr="00D55B2B" w14:paraId="0C3D52F7" w14:textId="77777777" w:rsidTr="00D23A40">
        <w:tblPrEx>
          <w:jc w:val="left"/>
        </w:tblPrEx>
        <w:trPr>
          <w:trHeight w:val="20"/>
        </w:trPr>
        <w:tc>
          <w:tcPr>
            <w:tcW w:w="805" w:type="dxa"/>
            <w:tcBorders>
              <w:right w:val="nil"/>
            </w:tcBorders>
            <w:shd w:val="clear" w:color="auto" w:fill="auto"/>
          </w:tcPr>
          <w:p w14:paraId="6387EC8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8A7F2A"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Cuando el Contratante quiera que el Contratista finalice las Obras antes de la Fecha Prevista de Terminación, el Gerente de Obras deberá solicitar al Contratista ofertas valoradas para conseguir la necesaria aceleración de la ejecución de los trabajos.  Si el Contratante aceptara dichas ofertas, la Fecha Prevista de Terminación será modificada como corresponda y ratificada por el Contratante y el Contratista.</w:t>
            </w:r>
          </w:p>
        </w:tc>
      </w:tr>
      <w:tr w:rsidR="00F7749D" w:rsidRPr="00D55B2B" w14:paraId="6A87997D" w14:textId="77777777" w:rsidTr="00D23A40">
        <w:tblPrEx>
          <w:jc w:val="left"/>
        </w:tblPrEx>
        <w:trPr>
          <w:trHeight w:val="20"/>
        </w:trPr>
        <w:tc>
          <w:tcPr>
            <w:tcW w:w="805" w:type="dxa"/>
            <w:tcBorders>
              <w:right w:val="nil"/>
            </w:tcBorders>
            <w:shd w:val="clear" w:color="auto" w:fill="auto"/>
          </w:tcPr>
          <w:p w14:paraId="27A486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B597A5" w14:textId="77777777" w:rsidR="00F7749D" w:rsidRPr="00D55B2B" w:rsidRDefault="00F7749D" w:rsidP="00D23A40">
            <w:pPr>
              <w:spacing w:before="60" w:after="60"/>
              <w:rPr>
                <w:rFonts w:ascii="Arial" w:hAnsi="Arial" w:cs="Arial"/>
                <w:color w:val="00B050"/>
                <w:spacing w:val="-3"/>
                <w:sz w:val="22"/>
                <w:szCs w:val="22"/>
              </w:rPr>
            </w:pPr>
            <w:r w:rsidRPr="00D55B2B">
              <w:rPr>
                <w:rFonts w:ascii="Arial" w:hAnsi="Arial" w:cs="Arial"/>
                <w:spacing w:val="-3"/>
                <w:sz w:val="22"/>
                <w:szCs w:val="22"/>
              </w:rPr>
              <w:t xml:space="preserve">Si las ofertas con precios del Contratista para acelerar la ejecución de los trabajos son aceptadas por el Contratante, dichas ofertas se tratarán como Variaciones y los precios de las </w:t>
            </w:r>
            <w:del w:id="2072" w:author="Xiomara Hernandez" w:date="2021-05-18T16:17:00Z">
              <w:r w:rsidRPr="00D55B2B" w:rsidDel="00B64454">
                <w:rPr>
                  <w:rFonts w:ascii="Arial" w:hAnsi="Arial" w:cs="Arial"/>
                  <w:spacing w:val="-3"/>
                  <w:sz w:val="22"/>
                  <w:szCs w:val="22"/>
                </w:rPr>
                <w:delText xml:space="preserve"> </w:delText>
              </w:r>
            </w:del>
            <w:r w:rsidRPr="00D55B2B">
              <w:rPr>
                <w:rFonts w:ascii="Arial" w:hAnsi="Arial" w:cs="Arial"/>
                <w:spacing w:val="-3"/>
                <w:sz w:val="22"/>
                <w:szCs w:val="22"/>
              </w:rPr>
              <w:t>mismas se incorporarán al Precio del Contrato.</w:t>
            </w:r>
          </w:p>
        </w:tc>
      </w:tr>
      <w:tr w:rsidR="00F7749D" w:rsidRPr="00D55B2B" w14:paraId="2E67A2FA" w14:textId="77777777" w:rsidTr="00D23A40">
        <w:tblPrEx>
          <w:jc w:val="left"/>
        </w:tblPrEx>
        <w:trPr>
          <w:trHeight w:val="20"/>
        </w:trPr>
        <w:tc>
          <w:tcPr>
            <w:tcW w:w="805" w:type="dxa"/>
            <w:tcBorders>
              <w:right w:val="nil"/>
            </w:tcBorders>
            <w:shd w:val="clear" w:color="auto" w:fill="auto"/>
          </w:tcPr>
          <w:p w14:paraId="6F1836A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F6D575"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Cualquier recuperación de ritmo de ejecución debido o atribuible a retrasos del Contratista conforme al Programa no son considerados aceleración.</w:t>
            </w:r>
          </w:p>
        </w:tc>
      </w:tr>
      <w:tr w:rsidR="00F7749D" w:rsidRPr="00D55B2B" w14:paraId="405A3434" w14:textId="77777777" w:rsidTr="00D23A40">
        <w:tblPrEx>
          <w:jc w:val="left"/>
        </w:tblPrEx>
        <w:trPr>
          <w:trHeight w:val="20"/>
        </w:trPr>
        <w:tc>
          <w:tcPr>
            <w:tcW w:w="9355" w:type="dxa"/>
            <w:gridSpan w:val="2"/>
            <w:shd w:val="clear" w:color="auto" w:fill="auto"/>
          </w:tcPr>
          <w:p w14:paraId="58E41082"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73" w:name="_Toc47916990"/>
            <w:bookmarkStart w:id="2074" w:name="_Toc74048267"/>
            <w:bookmarkStart w:id="2075" w:name="_Toc74518507"/>
            <w:bookmarkStart w:id="2076" w:name="_Toc74519237"/>
            <w:bookmarkStart w:id="2077" w:name="_Toc74781427"/>
            <w:bookmarkStart w:id="2078" w:name="_Toc74930940"/>
            <w:r w:rsidRPr="00D55B2B">
              <w:rPr>
                <w:rFonts w:cs="Arial"/>
                <w:sz w:val="22"/>
                <w:szCs w:val="22"/>
                <w:lang w:val="es-ES_tradnl"/>
              </w:rPr>
              <w:t>Demoras ordenadas por el Gerente de Obras</w:t>
            </w:r>
            <w:bookmarkEnd w:id="2073"/>
            <w:bookmarkEnd w:id="2074"/>
            <w:bookmarkEnd w:id="2075"/>
            <w:bookmarkEnd w:id="2076"/>
            <w:bookmarkEnd w:id="2077"/>
            <w:bookmarkEnd w:id="2078"/>
          </w:p>
        </w:tc>
      </w:tr>
      <w:tr w:rsidR="00F7749D" w:rsidRPr="00D55B2B" w14:paraId="781F85E3" w14:textId="77777777" w:rsidTr="00D23A40">
        <w:tblPrEx>
          <w:jc w:val="left"/>
        </w:tblPrEx>
        <w:trPr>
          <w:trHeight w:val="20"/>
        </w:trPr>
        <w:tc>
          <w:tcPr>
            <w:tcW w:w="805" w:type="dxa"/>
            <w:tcBorders>
              <w:right w:val="nil"/>
            </w:tcBorders>
            <w:shd w:val="clear" w:color="auto" w:fill="auto"/>
          </w:tcPr>
          <w:p w14:paraId="5F9174B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A37C222"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Gerente de Obras podrá ordenar al Contratista que demore la iniciación o el avance de cualquier actividad comprendida en las Obras. Esta orden debe quedar documentada y será comunicada por escrito, debiendo incluir las razones que la justifican.</w:t>
            </w:r>
          </w:p>
        </w:tc>
      </w:tr>
      <w:tr w:rsidR="00F7749D" w:rsidRPr="00D55B2B" w14:paraId="47478CEB" w14:textId="77777777" w:rsidTr="00D23A40">
        <w:tblPrEx>
          <w:jc w:val="left"/>
        </w:tblPrEx>
        <w:trPr>
          <w:trHeight w:val="20"/>
        </w:trPr>
        <w:tc>
          <w:tcPr>
            <w:tcW w:w="9355" w:type="dxa"/>
            <w:gridSpan w:val="2"/>
            <w:shd w:val="clear" w:color="auto" w:fill="auto"/>
          </w:tcPr>
          <w:p w14:paraId="6C60591D"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79" w:name="_Toc47916991"/>
            <w:bookmarkStart w:id="2080" w:name="_Toc74048268"/>
            <w:bookmarkStart w:id="2081" w:name="_Toc74518508"/>
            <w:bookmarkStart w:id="2082" w:name="_Toc74519238"/>
            <w:bookmarkStart w:id="2083" w:name="_Toc74781428"/>
            <w:bookmarkStart w:id="2084" w:name="_Toc74930941"/>
            <w:r w:rsidRPr="00D55B2B">
              <w:rPr>
                <w:rFonts w:cs="Arial"/>
                <w:sz w:val="22"/>
                <w:szCs w:val="22"/>
                <w:lang w:val="es-ES_tradnl"/>
              </w:rPr>
              <w:t>Advertencia anticipada</w:t>
            </w:r>
            <w:bookmarkEnd w:id="2079"/>
            <w:bookmarkEnd w:id="2080"/>
            <w:bookmarkEnd w:id="2081"/>
            <w:bookmarkEnd w:id="2082"/>
            <w:bookmarkEnd w:id="2083"/>
            <w:bookmarkEnd w:id="2084"/>
          </w:p>
        </w:tc>
      </w:tr>
      <w:tr w:rsidR="00F7749D" w:rsidRPr="00D55B2B" w14:paraId="12CB7960" w14:textId="77777777" w:rsidTr="00D23A40">
        <w:tblPrEx>
          <w:jc w:val="left"/>
        </w:tblPrEx>
        <w:trPr>
          <w:trHeight w:val="20"/>
        </w:trPr>
        <w:tc>
          <w:tcPr>
            <w:tcW w:w="805" w:type="dxa"/>
            <w:tcBorders>
              <w:right w:val="nil"/>
            </w:tcBorders>
            <w:shd w:val="clear" w:color="auto" w:fill="auto"/>
          </w:tcPr>
          <w:p w14:paraId="1EF5F60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ED3307"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deberá advertir al Gerente de Obras lo antes posible sobre futuros posibles eventos o circunstancias específicas que puedan perjudicar la calidad de los trabajos, elevar el Precio del Contrato o demorar o alterar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tc>
      </w:tr>
      <w:tr w:rsidR="00F7749D" w:rsidRPr="00D55B2B" w14:paraId="71130EF4" w14:textId="77777777" w:rsidTr="00D23A40">
        <w:tblPrEx>
          <w:jc w:val="left"/>
        </w:tblPrEx>
        <w:trPr>
          <w:trHeight w:val="20"/>
        </w:trPr>
        <w:tc>
          <w:tcPr>
            <w:tcW w:w="805" w:type="dxa"/>
            <w:tcBorders>
              <w:right w:val="nil"/>
            </w:tcBorders>
            <w:shd w:val="clear" w:color="auto" w:fill="auto"/>
          </w:tcPr>
          <w:p w14:paraId="22FC059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96EF753"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r w:rsidR="00F7749D" w:rsidRPr="00D55B2B" w14:paraId="228A01D7" w14:textId="77777777" w:rsidTr="00D23A40">
        <w:tblPrEx>
          <w:jc w:val="left"/>
        </w:tblPrEx>
        <w:trPr>
          <w:trHeight w:val="20"/>
        </w:trPr>
        <w:tc>
          <w:tcPr>
            <w:tcW w:w="9355" w:type="dxa"/>
            <w:gridSpan w:val="2"/>
            <w:shd w:val="clear" w:color="auto" w:fill="auto"/>
          </w:tcPr>
          <w:p w14:paraId="0331A4C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85" w:name="_Toc47916992"/>
            <w:bookmarkStart w:id="2086" w:name="_Toc74048269"/>
            <w:bookmarkStart w:id="2087" w:name="_Toc74518509"/>
            <w:bookmarkStart w:id="2088" w:name="_Toc74519239"/>
            <w:bookmarkStart w:id="2089" w:name="_Toc74781429"/>
            <w:bookmarkStart w:id="2090" w:name="_Toc74930942"/>
            <w:r w:rsidRPr="00D55B2B">
              <w:rPr>
                <w:rFonts w:cs="Arial"/>
                <w:sz w:val="22"/>
                <w:szCs w:val="22"/>
              </w:rPr>
              <w:t>Caso fortuito o fuerza mayor</w:t>
            </w:r>
            <w:bookmarkEnd w:id="2085"/>
            <w:bookmarkEnd w:id="2086"/>
            <w:bookmarkEnd w:id="2087"/>
            <w:bookmarkEnd w:id="2088"/>
            <w:bookmarkEnd w:id="2089"/>
            <w:bookmarkEnd w:id="2090"/>
            <w:r w:rsidRPr="00D55B2B">
              <w:rPr>
                <w:rFonts w:cs="Arial"/>
                <w:sz w:val="22"/>
                <w:szCs w:val="22"/>
              </w:rPr>
              <w:t xml:space="preserve"> </w:t>
            </w:r>
          </w:p>
        </w:tc>
      </w:tr>
      <w:tr w:rsidR="00F7749D" w:rsidRPr="00D55B2B" w14:paraId="6819402B" w14:textId="77777777" w:rsidTr="00D23A40">
        <w:tblPrEx>
          <w:jc w:val="left"/>
        </w:tblPrEx>
        <w:trPr>
          <w:trHeight w:val="20"/>
        </w:trPr>
        <w:tc>
          <w:tcPr>
            <w:tcW w:w="805" w:type="dxa"/>
            <w:tcBorders>
              <w:right w:val="nil"/>
            </w:tcBorders>
            <w:shd w:val="clear" w:color="auto" w:fill="auto"/>
          </w:tcPr>
          <w:p w14:paraId="23754F6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73F908"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Para los efectos de este Contrato se entiende indistintamente como caso fortuito o de fuerza mayor a un acontecimiento que no podía haber sido previsto - pero aunque lo hubiera sido, no habría podido evitarse o resistirse, que es ajeno a la voluntad de las Partes y que no se origina por descuido o negligencia de alguna de las Partes.  Los eventos de fuerza mayor o caso fortuito hacen imposible o muy poco viable el cumplimiento de las obligaciones contractuales aun cuando se haya actuado con la mayor diligencia posible y a pesar de ello ha sucedido el hecho imprevisible que imposibilita el cumplimiento.  </w:t>
            </w:r>
          </w:p>
          <w:p w14:paraId="0A25A737" w14:textId="77777777" w:rsidR="00F7749D" w:rsidRPr="00D55B2B" w:rsidRDefault="00F7749D" w:rsidP="00D23A40">
            <w:pPr>
              <w:spacing w:before="60" w:after="60"/>
              <w:ind w:right="18"/>
              <w:rPr>
                <w:rFonts w:ascii="Arial" w:hAnsi="Arial" w:cs="Arial"/>
                <w:sz w:val="22"/>
                <w:szCs w:val="22"/>
              </w:rPr>
            </w:pPr>
            <w:r w:rsidRPr="00D55B2B">
              <w:rPr>
                <w:rFonts w:ascii="Arial" w:hAnsi="Arial" w:cs="Arial"/>
                <w:sz w:val="22"/>
                <w:szCs w:val="22"/>
              </w:rPr>
              <w:t xml:space="preserve">Sin ser limitativos, tales eventos pueden incluir: actos y </w:t>
            </w:r>
            <w:r w:rsidRPr="00D55B2B">
              <w:rPr>
                <w:rFonts w:ascii="Arial" w:hAnsi="Arial" w:cs="Arial"/>
                <w:spacing w:val="-3"/>
                <w:sz w:val="22"/>
                <w:szCs w:val="22"/>
              </w:rPr>
              <w:t>resoluciones gubernamentales en su calidad soberana</w:t>
            </w:r>
            <w:r w:rsidRPr="00D55B2B">
              <w:rPr>
                <w:rFonts w:ascii="Arial" w:hAnsi="Arial" w:cs="Arial"/>
                <w:sz w:val="22"/>
                <w:szCs w:val="22"/>
              </w:rPr>
              <w:t xml:space="preserve">, guerras o revoluciones, toma de rehenes, toma de instalaciones o del sitio del proyecto, crisis, actos terroristas, sabotaje, bloqueos, incendios, inundaciones, terremotos, explosiones, huracanes, epidemias, </w:t>
            </w:r>
            <w:r w:rsidRPr="00D55B2B">
              <w:rPr>
                <w:rFonts w:ascii="Arial" w:hAnsi="Arial" w:cs="Arial"/>
                <w:sz w:val="22"/>
                <w:szCs w:val="22"/>
              </w:rPr>
              <w:lastRenderedPageBreak/>
              <w:t>restricciones de cuarentena, embargos de cargamentos y otras causas reconocidas como fuerza mayor o caso fortuito.</w:t>
            </w:r>
          </w:p>
          <w:p w14:paraId="618C8D65" w14:textId="77777777" w:rsidR="00F7749D" w:rsidRPr="00D55B2B" w:rsidRDefault="00F7749D" w:rsidP="00D23A40">
            <w:pPr>
              <w:spacing w:before="60" w:after="60"/>
              <w:ind w:right="18"/>
              <w:rPr>
                <w:rFonts w:ascii="Arial" w:hAnsi="Arial" w:cs="Arial"/>
                <w:sz w:val="22"/>
                <w:szCs w:val="22"/>
                <w:lang w:val="es-MX"/>
              </w:rPr>
            </w:pPr>
            <w:r w:rsidRPr="00D55B2B">
              <w:rPr>
                <w:rFonts w:ascii="Arial" w:hAnsi="Arial" w:cs="Arial"/>
                <w:sz w:val="22"/>
                <w:szCs w:val="22"/>
                <w:lang w:val="es-MX"/>
              </w:rPr>
              <w:t xml:space="preserve">En </w:t>
            </w:r>
            <w:r w:rsidRPr="00D55B2B">
              <w:rPr>
                <w:rFonts w:ascii="Arial" w:hAnsi="Arial" w:cs="Arial"/>
                <w:b/>
                <w:bCs/>
                <w:sz w:val="22"/>
                <w:szCs w:val="22"/>
                <w:lang w:val="es-MX"/>
              </w:rPr>
              <w:t>las CPC se define</w:t>
            </w:r>
            <w:r w:rsidRPr="00D55B2B">
              <w:rPr>
                <w:rFonts w:ascii="Arial" w:hAnsi="Arial" w:cs="Arial"/>
                <w:sz w:val="22"/>
                <w:szCs w:val="22"/>
                <w:lang w:val="es-MX"/>
              </w:rPr>
              <w:t>, de ser aplicable, el umbral de las inclemencias del tiempo y otros fenómenos naturales, así como los conflictos sociales o políticos que se consideran fuerza mayor para los efectos del Contrato.</w:t>
            </w:r>
          </w:p>
        </w:tc>
      </w:tr>
      <w:tr w:rsidR="00F7749D" w:rsidRPr="00D55B2B" w14:paraId="63EA040C" w14:textId="77777777" w:rsidTr="00D23A40">
        <w:trPr>
          <w:cantSplit/>
          <w:trHeight w:val="423"/>
          <w:jc w:val="center"/>
        </w:trPr>
        <w:tc>
          <w:tcPr>
            <w:tcW w:w="805" w:type="dxa"/>
            <w:tcBorders>
              <w:right w:val="nil"/>
            </w:tcBorders>
            <w:shd w:val="clear" w:color="auto" w:fill="auto"/>
          </w:tcPr>
          <w:p w14:paraId="2BBFA1B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1ABB920"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En caso de que ocurriera alguno de los eventos que constituyen caso fortuito o causa de fuerza mayor o de tener conocimiento de la posibilidad de la ocurrencia de un evento que pueda considerarse como caso fortuito o fuerza mayor y, tan pronto como sea posible después, el Contratista notificará por escrito con detalles completos al Gerente de Obras si por dicha razón se ve total o parcialmente imposibilitado de cumplir con sus obligaciones y responsabilidades contraídas en virtud del Contrato e indicará, en su caso, el tiempo </w:t>
            </w:r>
            <w:r w:rsidRPr="00D55B2B">
              <w:rPr>
                <w:rFonts w:ascii="Arial" w:hAnsi="Arial" w:cs="Arial"/>
                <w:spacing w:val="-3"/>
                <w:sz w:val="22"/>
                <w:szCs w:val="22"/>
              </w:rPr>
              <w:t>que</w:t>
            </w:r>
            <w:r w:rsidRPr="00D55B2B">
              <w:rPr>
                <w:rFonts w:ascii="Arial" w:hAnsi="Arial" w:cs="Arial"/>
                <w:sz w:val="22"/>
                <w:szCs w:val="22"/>
              </w:rPr>
              <w:t xml:space="preserve"> considera será necesario suspender los trabajos en el Sitio de las Obras.  El Gerente de Obras deberá certificar la suspensión del Contrato.</w:t>
            </w:r>
          </w:p>
        </w:tc>
      </w:tr>
      <w:tr w:rsidR="00F7749D" w:rsidRPr="00D55B2B" w14:paraId="237F2C3E" w14:textId="77777777" w:rsidTr="00D23A40">
        <w:trPr>
          <w:cantSplit/>
          <w:trHeight w:val="423"/>
          <w:jc w:val="center"/>
        </w:trPr>
        <w:tc>
          <w:tcPr>
            <w:tcW w:w="805" w:type="dxa"/>
            <w:tcBorders>
              <w:right w:val="nil"/>
            </w:tcBorders>
            <w:shd w:val="clear" w:color="auto" w:fill="auto"/>
          </w:tcPr>
          <w:p w14:paraId="23AA314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331405E"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El Contratista deberá disponer las medidas de seguridad necesarias en el Sitio de las </w:t>
            </w:r>
            <w:r w:rsidRPr="00D55B2B">
              <w:rPr>
                <w:rFonts w:ascii="Arial" w:hAnsi="Arial" w:cs="Arial"/>
                <w:spacing w:val="-3"/>
                <w:sz w:val="22"/>
                <w:szCs w:val="22"/>
              </w:rPr>
              <w:t>Obras</w:t>
            </w:r>
            <w:r w:rsidRPr="00D55B2B">
              <w:rPr>
                <w:rFonts w:ascii="Arial" w:hAnsi="Arial" w:cs="Arial"/>
                <w:sz w:val="22"/>
                <w:szCs w:val="22"/>
              </w:rPr>
              <w:t xml:space="preserve"> y suspender los trabajos a la brevedad posible después de recibir este certificado.</w:t>
            </w:r>
          </w:p>
        </w:tc>
      </w:tr>
      <w:tr w:rsidR="00F7749D" w:rsidRPr="00D55B2B" w14:paraId="29C62968" w14:textId="77777777" w:rsidTr="00D23A40">
        <w:trPr>
          <w:cantSplit/>
          <w:trHeight w:val="423"/>
          <w:jc w:val="center"/>
        </w:trPr>
        <w:tc>
          <w:tcPr>
            <w:tcW w:w="805" w:type="dxa"/>
            <w:tcBorders>
              <w:right w:val="nil"/>
            </w:tcBorders>
            <w:shd w:val="clear" w:color="auto" w:fill="auto"/>
          </w:tcPr>
          <w:p w14:paraId="60D1150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2154FC"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Cuando las Obras se vean interrumpidas por un caso fortuito o de fuerza mayor, el </w:t>
            </w:r>
            <w:r w:rsidRPr="00D55B2B">
              <w:rPr>
                <w:rFonts w:ascii="Arial" w:hAnsi="Arial" w:cs="Arial"/>
                <w:spacing w:val="-3"/>
                <w:sz w:val="22"/>
                <w:szCs w:val="22"/>
              </w:rPr>
              <w:t>plazo</w:t>
            </w:r>
            <w:r w:rsidRPr="00D55B2B">
              <w:rPr>
                <w:rFonts w:ascii="Arial" w:hAnsi="Arial" w:cs="Arial"/>
                <w:sz w:val="22"/>
                <w:szCs w:val="22"/>
              </w:rPr>
              <w:t xml:space="preserve"> de ejecución de las Obras se prorrogará por el mismo tiempo que la imposibilidad de cumplimiento continúe.  </w:t>
            </w:r>
          </w:p>
        </w:tc>
      </w:tr>
      <w:tr w:rsidR="00F7749D" w:rsidRPr="00D55B2B" w14:paraId="7A9FC03A" w14:textId="77777777" w:rsidTr="00D23A40">
        <w:trPr>
          <w:cantSplit/>
          <w:trHeight w:val="423"/>
          <w:jc w:val="center"/>
        </w:trPr>
        <w:tc>
          <w:tcPr>
            <w:tcW w:w="805" w:type="dxa"/>
            <w:tcBorders>
              <w:right w:val="nil"/>
            </w:tcBorders>
            <w:shd w:val="clear" w:color="auto" w:fill="auto"/>
          </w:tcPr>
          <w:p w14:paraId="322F36C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8561CE7"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En caso de que el acontecimiento de cualquier hecho que constituya caso fortuito o fuerza mayor interrumpa o suspenda el cumplimiento de cualquiera de las obligaciones sustanciales de cualquiera de las Partes por un periodo </w:t>
            </w:r>
            <w:r w:rsidRPr="00D55B2B">
              <w:rPr>
                <w:rFonts w:ascii="Arial" w:hAnsi="Arial" w:cs="Arial"/>
                <w:sz w:val="22"/>
                <w:szCs w:val="22"/>
                <w:lang w:val="es-ES"/>
              </w:rPr>
              <w:t>continuo</w:t>
            </w:r>
            <w:r w:rsidRPr="00D55B2B">
              <w:rPr>
                <w:rFonts w:ascii="Arial" w:hAnsi="Arial" w:cs="Arial"/>
                <w:sz w:val="22"/>
                <w:szCs w:val="22"/>
              </w:rPr>
              <w:t xml:space="preserve"> de noventa (90) días, y las Partes no pudieren llegar a un acuerdo para modificar los términos del Contrato durante dicho período el Contratista tendrá el derecho de solicitar la terminación del Contrato y el Contratante resolverá y, en su caso, dará por terminado el Contrato.</w:t>
            </w:r>
          </w:p>
        </w:tc>
      </w:tr>
      <w:tr w:rsidR="00F7749D" w:rsidRPr="00D55B2B" w14:paraId="696DCB2E" w14:textId="77777777" w:rsidTr="00D23A40">
        <w:trPr>
          <w:cantSplit/>
          <w:trHeight w:val="423"/>
          <w:jc w:val="center"/>
        </w:trPr>
        <w:tc>
          <w:tcPr>
            <w:tcW w:w="805" w:type="dxa"/>
            <w:tcBorders>
              <w:right w:val="nil"/>
            </w:tcBorders>
            <w:shd w:val="clear" w:color="auto" w:fill="auto"/>
          </w:tcPr>
          <w:p w14:paraId="5D9E6A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15588CC"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En caso de terminación del Contrato deberán </w:t>
            </w:r>
            <w:r w:rsidRPr="00D55B2B">
              <w:rPr>
                <w:rFonts w:ascii="Arial" w:hAnsi="Arial" w:cs="Arial"/>
                <w:sz w:val="22"/>
                <w:szCs w:val="22"/>
                <w:lang w:val="es-MX"/>
              </w:rPr>
              <w:t>pagarse</w:t>
            </w:r>
            <w:r w:rsidRPr="00D55B2B">
              <w:rPr>
                <w:rFonts w:ascii="Arial" w:hAnsi="Arial" w:cs="Arial"/>
                <w:sz w:val="22"/>
                <w:szCs w:val="22"/>
              </w:rPr>
              <w:t xml:space="preserve"> al Contratista todos los trabajos realizados antes de la recepción del certificado, así como cualesquiera trabajos ejecutados posteriormente sobre los cuales se hubieran adquirido compromisos.</w:t>
            </w:r>
          </w:p>
        </w:tc>
      </w:tr>
      <w:tr w:rsidR="00F7749D" w:rsidRPr="00D55B2B" w14:paraId="2DA8F876" w14:textId="77777777" w:rsidTr="00D23A40">
        <w:tblPrEx>
          <w:jc w:val="left"/>
        </w:tblPrEx>
        <w:trPr>
          <w:trHeight w:val="20"/>
        </w:trPr>
        <w:tc>
          <w:tcPr>
            <w:tcW w:w="9355" w:type="dxa"/>
            <w:gridSpan w:val="2"/>
            <w:shd w:val="clear" w:color="auto" w:fill="auto"/>
          </w:tcPr>
          <w:p w14:paraId="34189215"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091" w:name="_Toc47916993"/>
            <w:bookmarkStart w:id="2092" w:name="_Toc74048270"/>
            <w:bookmarkStart w:id="2093" w:name="_Toc74518510"/>
            <w:bookmarkStart w:id="2094" w:name="_Toc74519240"/>
            <w:bookmarkStart w:id="2095" w:name="_Toc74781430"/>
            <w:bookmarkStart w:id="2096" w:name="_Toc74930943"/>
            <w:r w:rsidRPr="00D55B2B">
              <w:rPr>
                <w:rFonts w:cs="Arial"/>
                <w:sz w:val="22"/>
                <w:szCs w:val="22"/>
                <w:lang w:val="es-ES_tradnl"/>
              </w:rPr>
              <w:t>Suspensión temporal de la ejecución de las Obras</w:t>
            </w:r>
            <w:bookmarkEnd w:id="2091"/>
            <w:bookmarkEnd w:id="2092"/>
            <w:bookmarkEnd w:id="2093"/>
            <w:bookmarkEnd w:id="2094"/>
            <w:bookmarkEnd w:id="2095"/>
            <w:bookmarkEnd w:id="2096"/>
          </w:p>
        </w:tc>
      </w:tr>
      <w:tr w:rsidR="00F7749D" w:rsidRPr="00D55B2B" w14:paraId="7AB08555" w14:textId="77777777" w:rsidTr="00D23A40">
        <w:tblPrEx>
          <w:jc w:val="left"/>
        </w:tblPrEx>
        <w:trPr>
          <w:trHeight w:val="20"/>
        </w:trPr>
        <w:tc>
          <w:tcPr>
            <w:tcW w:w="805" w:type="dxa"/>
            <w:tcBorders>
              <w:right w:val="nil"/>
            </w:tcBorders>
            <w:shd w:val="clear" w:color="auto" w:fill="auto"/>
          </w:tcPr>
          <w:p w14:paraId="46508F9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BA2AEEA"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Gerente de Obras podrá, por escrito, ordenar al Contratista la suspensión temporal de la ejecución de las Obras por el tiempo y en la forma en que lo determine por cualquier causa justificada sin que ello implique la terminación del Contrato y sin perjuicio de lo establecido en la sub-cláusula 64.2 del presente documento. La notificación deberá incluir las causas que motivan y justifican dicha suspensión, así como la fecha de su inicio y el plazo para la probable reanudación de las Obras.</w:t>
            </w:r>
          </w:p>
          <w:p w14:paraId="4B1D0CEA"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Si la fecha estimada de reanudación de las Obras está ligada a un hecho o acto de realización cierto, pero de fecha indeterminada, el periodo de suspensión estará sujeto a la actualización de ese evento.</w:t>
            </w:r>
          </w:p>
          <w:p w14:paraId="348558E8"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Cada parte debe en todo momento usar todos los esfuerzos razonables para minimizar cualquier retraso en la ejecución del Contrato.</w:t>
            </w:r>
          </w:p>
        </w:tc>
      </w:tr>
      <w:tr w:rsidR="00F7749D" w:rsidRPr="00D55B2B" w14:paraId="7DB4F486" w14:textId="77777777" w:rsidTr="00D23A40">
        <w:trPr>
          <w:cantSplit/>
          <w:trHeight w:val="423"/>
          <w:jc w:val="center"/>
        </w:trPr>
        <w:tc>
          <w:tcPr>
            <w:tcW w:w="805" w:type="dxa"/>
            <w:tcBorders>
              <w:right w:val="nil"/>
            </w:tcBorders>
            <w:shd w:val="clear" w:color="auto" w:fill="auto"/>
          </w:tcPr>
          <w:p w14:paraId="60F811E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7D3A6DB"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 Una vez notificada la suspensión temporal, el Contratista tomará todas las acciones necesarias en lo relativo a su personal, así como las medidas para proteger y asegurar físicamente los trabajos ejecutados y el Equipo y Planta que se encuentre en el Sitio de las Obras durante el periodo de suspensión. </w:t>
            </w:r>
          </w:p>
        </w:tc>
      </w:tr>
      <w:tr w:rsidR="00F7749D" w:rsidRPr="00D55B2B" w14:paraId="2E424D49" w14:textId="77777777" w:rsidTr="00D23A40">
        <w:trPr>
          <w:cantSplit/>
          <w:trHeight w:val="423"/>
          <w:jc w:val="center"/>
        </w:trPr>
        <w:tc>
          <w:tcPr>
            <w:tcW w:w="805" w:type="dxa"/>
            <w:tcBorders>
              <w:right w:val="nil"/>
            </w:tcBorders>
            <w:shd w:val="clear" w:color="auto" w:fill="auto"/>
          </w:tcPr>
          <w:p w14:paraId="2215B82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45C92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El Superintendente de Obras elaborará y presentará al Gerente de Obras para su certificación un informe sobre el estado de ejecución al momento de la suspensión que incluya la descripción de los conceptos de obra ejecutados y de los materiales que se encuentran almacenados. </w:t>
            </w:r>
          </w:p>
        </w:tc>
      </w:tr>
      <w:tr w:rsidR="00F7749D" w:rsidRPr="00D55B2B" w14:paraId="1D7C508A" w14:textId="77777777" w:rsidTr="00D23A40">
        <w:trPr>
          <w:cantSplit/>
          <w:trHeight w:val="423"/>
          <w:jc w:val="center"/>
        </w:trPr>
        <w:tc>
          <w:tcPr>
            <w:tcW w:w="805" w:type="dxa"/>
            <w:tcBorders>
              <w:right w:val="nil"/>
            </w:tcBorders>
            <w:shd w:val="clear" w:color="auto" w:fill="auto"/>
          </w:tcPr>
          <w:p w14:paraId="409BAFE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FB713B8"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MX"/>
              </w:rPr>
              <w:t xml:space="preserve">Antes del vencimiento del plazo de suspensión, el Gerente de Obras notificará por escrito al Contratista que ya desapareció la causa que dio origen a la suspensión y la fecha en la que deberá reanudar los trabajos. </w:t>
            </w:r>
          </w:p>
        </w:tc>
      </w:tr>
      <w:tr w:rsidR="00F7749D" w:rsidRPr="00D55B2B" w14:paraId="2DB36D81" w14:textId="77777777" w:rsidTr="00D23A40">
        <w:trPr>
          <w:cantSplit/>
          <w:trHeight w:val="423"/>
          <w:jc w:val="center"/>
        </w:trPr>
        <w:tc>
          <w:tcPr>
            <w:tcW w:w="805" w:type="dxa"/>
            <w:tcBorders>
              <w:right w:val="nil"/>
            </w:tcBorders>
            <w:shd w:val="clear" w:color="auto" w:fill="auto"/>
          </w:tcPr>
          <w:p w14:paraId="452A77A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3E14DF"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MX"/>
              </w:rPr>
              <w:t>La Fecha Prevista de Terminación se prorrogará por el mismo periodo que dure la suspensión considerando lo establecido en la subcláusula 36.4 de estas CGC.</w:t>
            </w:r>
          </w:p>
        </w:tc>
      </w:tr>
      <w:tr w:rsidR="00F7749D" w:rsidRPr="00D55B2B" w14:paraId="4D78DDD9" w14:textId="77777777" w:rsidTr="00D23A40">
        <w:trPr>
          <w:cantSplit/>
          <w:trHeight w:val="423"/>
          <w:jc w:val="center"/>
        </w:trPr>
        <w:tc>
          <w:tcPr>
            <w:tcW w:w="805" w:type="dxa"/>
            <w:tcBorders>
              <w:right w:val="nil"/>
            </w:tcBorders>
            <w:shd w:val="clear" w:color="auto" w:fill="auto"/>
          </w:tcPr>
          <w:p w14:paraId="577CB41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614F7F2"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En caso de suspensión de las Obras por instrucción del Contratante se pagará al Contratista las Obras ejecutadas hasta el momento de la suspensión, así como el monto fundamentado de los gastos no recuperables en que incurra el Contratista por los días posteriores a la suspensión hasta la reanudación de las Obras </w:t>
            </w:r>
            <w:r w:rsidRPr="00D55B2B">
              <w:rPr>
                <w:rFonts w:ascii="Arial" w:hAnsi="Arial" w:cs="Arial"/>
                <w:b/>
                <w:bCs/>
                <w:sz w:val="22"/>
                <w:szCs w:val="22"/>
              </w:rPr>
              <w:t>conforme se describe en las CPC.</w:t>
            </w:r>
          </w:p>
        </w:tc>
      </w:tr>
      <w:tr w:rsidR="00F7749D" w:rsidRPr="00D55B2B" w14:paraId="56388D28" w14:textId="77777777" w:rsidTr="00D23A40">
        <w:trPr>
          <w:cantSplit/>
          <w:trHeight w:val="423"/>
          <w:jc w:val="center"/>
        </w:trPr>
        <w:tc>
          <w:tcPr>
            <w:tcW w:w="805" w:type="dxa"/>
            <w:tcBorders>
              <w:right w:val="nil"/>
            </w:tcBorders>
            <w:shd w:val="clear" w:color="auto" w:fill="auto"/>
          </w:tcPr>
          <w:p w14:paraId="30E3ACF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97059FA"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Cuando la suspensión de las Obras se derive de un caso fortuito o fuerza mayor de conformidad con la subcláusula 40.2, aplicará lo indicado en la subcláusula 41.3 supra, pero el informe deberá incluir las causas de fuerza mayor o caso fortuito que impiden la ejecución de las Obras, el dictamen técnico en que se sustenta la suspensión de los trabajos, la temporalidad de la suspensión prevista y la fecha estimada de reinicio de las Obras.</w:t>
            </w:r>
          </w:p>
        </w:tc>
      </w:tr>
      <w:tr w:rsidR="00F7749D" w:rsidRPr="00D55B2B" w14:paraId="06850D9A" w14:textId="77777777" w:rsidTr="00D23A40">
        <w:trPr>
          <w:cantSplit/>
          <w:trHeight w:val="423"/>
          <w:jc w:val="center"/>
        </w:trPr>
        <w:tc>
          <w:tcPr>
            <w:tcW w:w="805" w:type="dxa"/>
            <w:tcBorders>
              <w:right w:val="nil"/>
            </w:tcBorders>
            <w:shd w:val="clear" w:color="auto" w:fill="auto"/>
          </w:tcPr>
          <w:p w14:paraId="528C205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4C22151"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En caso de suspensión de las Obras por caso fortuito o fuerza mayor se pagará al Contratista las Obras ejecutadas hasta el momento de la suspensión y los gastos fundamentados de mantenimiento del Equipo del Contratista en el Sitio de la Obra, así como los correspondientes al personal permanente del Contratista mínimo indispensable que tenga una función específica durante la suspensión.</w:t>
            </w:r>
          </w:p>
        </w:tc>
      </w:tr>
      <w:tr w:rsidR="00F7749D" w:rsidRPr="00D55B2B" w14:paraId="2340133E" w14:textId="77777777" w:rsidTr="00D23A40">
        <w:trPr>
          <w:cantSplit/>
          <w:trHeight w:val="423"/>
          <w:jc w:val="center"/>
        </w:trPr>
        <w:tc>
          <w:tcPr>
            <w:tcW w:w="805" w:type="dxa"/>
            <w:tcBorders>
              <w:right w:val="nil"/>
            </w:tcBorders>
            <w:shd w:val="clear" w:color="auto" w:fill="auto"/>
          </w:tcPr>
          <w:p w14:paraId="3967730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B3F80E"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Durante el período de suspensión de las Obras por cualquier causa no imputable al Contratista, El Contratista tendrá derecho al pago del valor de plantas y materiales que no han sido entregadas en el sitio pero que estaban programados para éste período si: (i) Las obras han sido suspendidas por más de 28 días y el contratista provee evidencia que esta planta y materiales cumplen con la calidad y especificaciones requeridas por el contrato; (ii) El Contratista ha marcado la planta y materiales como propiedad del contratante, de acuerdo a las instrucciones del gerente de obras.  </w:t>
            </w:r>
          </w:p>
        </w:tc>
      </w:tr>
      <w:tr w:rsidR="00F7749D" w:rsidRPr="00D55B2B" w14:paraId="1A6460BD" w14:textId="77777777" w:rsidTr="00D23A40">
        <w:trPr>
          <w:cantSplit/>
          <w:trHeight w:val="423"/>
          <w:jc w:val="center"/>
        </w:trPr>
        <w:tc>
          <w:tcPr>
            <w:tcW w:w="805" w:type="dxa"/>
            <w:tcBorders>
              <w:right w:val="nil"/>
            </w:tcBorders>
            <w:shd w:val="clear" w:color="auto" w:fill="auto"/>
          </w:tcPr>
          <w:p w14:paraId="6C2F096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38903D1"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En cualquier caso, de suspensión temporal de las Obras, el Contratista deberá extender el plazo de la Garantía de cumplimiento en el mismo plazo de la duración de la suspensión y presentar al Gerente de Obras la correspondiente garantía extendida.</w:t>
            </w:r>
          </w:p>
        </w:tc>
      </w:tr>
      <w:tr w:rsidR="00F7749D" w:rsidRPr="00D55B2B" w14:paraId="06192109" w14:textId="77777777" w:rsidTr="00D23A40">
        <w:trPr>
          <w:cantSplit/>
          <w:trHeight w:val="423"/>
          <w:jc w:val="center"/>
        </w:trPr>
        <w:tc>
          <w:tcPr>
            <w:tcW w:w="9355" w:type="dxa"/>
            <w:gridSpan w:val="2"/>
            <w:shd w:val="clear" w:color="auto" w:fill="00B050"/>
          </w:tcPr>
          <w:p w14:paraId="17DFF726" w14:textId="77777777" w:rsidR="00F7749D" w:rsidRPr="00616ED1" w:rsidRDefault="00F7749D" w:rsidP="00F7749D">
            <w:pPr>
              <w:pStyle w:val="Ttulo1"/>
              <w:numPr>
                <w:ilvl w:val="0"/>
                <w:numId w:val="89"/>
              </w:numPr>
              <w:tabs>
                <w:tab w:val="right" w:leader="dot" w:pos="9000"/>
              </w:tabs>
              <w:spacing w:before="60" w:after="60"/>
              <w:ind w:right="720"/>
              <w:rPr>
                <w:rFonts w:ascii="Arial" w:hAnsi="Arial" w:cs="Arial"/>
                <w:color w:val="FFFFFF" w:themeColor="background1"/>
                <w:sz w:val="22"/>
                <w:szCs w:val="22"/>
              </w:rPr>
            </w:pPr>
            <w:bookmarkStart w:id="2097" w:name="_Toc47916994"/>
            <w:bookmarkStart w:id="2098" w:name="_Toc74048271"/>
            <w:bookmarkStart w:id="2099" w:name="_Toc74518511"/>
            <w:bookmarkStart w:id="2100" w:name="_Toc74519241"/>
            <w:bookmarkStart w:id="2101" w:name="_Toc74781431"/>
            <w:bookmarkStart w:id="2102" w:name="_Toc74930944"/>
            <w:r w:rsidRPr="00D55B2B">
              <w:rPr>
                <w:rFonts w:ascii="Arial" w:hAnsi="Arial" w:cs="Arial"/>
                <w:color w:val="FFFFFF" w:themeColor="background1"/>
                <w:sz w:val="22"/>
                <w:szCs w:val="22"/>
                <w:lang w:val="es-419"/>
              </w:rPr>
              <w:t>Control de Calidad</w:t>
            </w:r>
            <w:bookmarkEnd w:id="2097"/>
            <w:bookmarkEnd w:id="2098"/>
            <w:bookmarkEnd w:id="2099"/>
            <w:bookmarkEnd w:id="2100"/>
            <w:bookmarkEnd w:id="2101"/>
            <w:bookmarkEnd w:id="2102"/>
          </w:p>
        </w:tc>
      </w:tr>
      <w:tr w:rsidR="00F7749D" w:rsidRPr="00D55B2B" w14:paraId="78DC304F" w14:textId="77777777" w:rsidTr="00D23A40">
        <w:tblPrEx>
          <w:jc w:val="left"/>
        </w:tblPrEx>
        <w:trPr>
          <w:trHeight w:val="20"/>
        </w:trPr>
        <w:tc>
          <w:tcPr>
            <w:tcW w:w="9355" w:type="dxa"/>
            <w:gridSpan w:val="2"/>
            <w:shd w:val="clear" w:color="auto" w:fill="auto"/>
          </w:tcPr>
          <w:p w14:paraId="0D14FA8A"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03" w:name="_Toc47916995"/>
            <w:bookmarkStart w:id="2104" w:name="_Toc74048272"/>
            <w:bookmarkStart w:id="2105" w:name="_Toc74518512"/>
            <w:bookmarkStart w:id="2106" w:name="_Toc74519242"/>
            <w:bookmarkStart w:id="2107" w:name="_Toc74781432"/>
            <w:bookmarkStart w:id="2108" w:name="_Toc74930945"/>
            <w:r w:rsidRPr="00D55B2B">
              <w:rPr>
                <w:rFonts w:cs="Arial"/>
                <w:sz w:val="22"/>
                <w:szCs w:val="22"/>
                <w:lang w:val="es-ES_tradnl"/>
              </w:rPr>
              <w:t>Identificación de defectos y pruebas</w:t>
            </w:r>
            <w:bookmarkEnd w:id="2103"/>
            <w:bookmarkEnd w:id="2104"/>
            <w:bookmarkEnd w:id="2105"/>
            <w:bookmarkEnd w:id="2106"/>
            <w:bookmarkEnd w:id="2107"/>
            <w:bookmarkEnd w:id="2108"/>
          </w:p>
        </w:tc>
      </w:tr>
      <w:tr w:rsidR="00F7749D" w:rsidRPr="00D55B2B" w14:paraId="03481478" w14:textId="77777777" w:rsidTr="00D23A40">
        <w:tblPrEx>
          <w:jc w:val="left"/>
        </w:tblPrEx>
        <w:trPr>
          <w:trHeight w:val="20"/>
        </w:trPr>
        <w:tc>
          <w:tcPr>
            <w:tcW w:w="805" w:type="dxa"/>
            <w:tcBorders>
              <w:right w:val="nil"/>
            </w:tcBorders>
            <w:shd w:val="clear" w:color="auto" w:fill="auto"/>
          </w:tcPr>
          <w:p w14:paraId="32363F09" w14:textId="77777777" w:rsidR="00F7749D" w:rsidRPr="00D55B2B" w:rsidRDefault="00F7749D" w:rsidP="00D23A40">
            <w:pPr>
              <w:pStyle w:val="Numeraciondeartculos"/>
              <w:framePr w:hSpace="0" w:wrap="auto" w:vAnchor="margin" w:hAnchor="text" w:xAlign="left" w:yAlign="inline"/>
              <w:jc w:val="center"/>
              <w:rPr>
                <w:rFonts w:cs="Arial"/>
                <w:sz w:val="22"/>
                <w:szCs w:val="22"/>
              </w:rPr>
            </w:pPr>
          </w:p>
        </w:tc>
        <w:tc>
          <w:tcPr>
            <w:tcW w:w="8550" w:type="dxa"/>
            <w:tcBorders>
              <w:left w:val="nil"/>
            </w:tcBorders>
            <w:shd w:val="clear" w:color="auto" w:fill="auto"/>
          </w:tcPr>
          <w:p w14:paraId="661D0B51" w14:textId="77777777" w:rsidR="00F7749D" w:rsidRPr="00D55B2B" w:rsidRDefault="00F7749D" w:rsidP="00D23A40">
            <w:pPr>
              <w:spacing w:before="60" w:after="60"/>
              <w:rPr>
                <w:rFonts w:ascii="Arial" w:hAnsi="Arial" w:cs="Arial"/>
                <w:color w:val="00B050"/>
                <w:spacing w:val="-3"/>
                <w:sz w:val="22"/>
                <w:szCs w:val="22"/>
              </w:rPr>
            </w:pPr>
            <w:r w:rsidRPr="00D55B2B">
              <w:rPr>
                <w:rFonts w:ascii="Arial" w:hAnsi="Arial" w:cs="Arial"/>
                <w:spacing w:val="-3"/>
                <w:sz w:val="22"/>
                <w:szCs w:val="22"/>
              </w:rPr>
              <w:t xml:space="preserve">El Gerente de Obras controlará el trabajo del Contratista y le notificará de cualquier defecto que </w:t>
            </w:r>
            <w:r w:rsidRPr="00D55B2B">
              <w:rPr>
                <w:rFonts w:ascii="Arial" w:hAnsi="Arial" w:cs="Arial"/>
                <w:sz w:val="22"/>
                <w:szCs w:val="22"/>
              </w:rPr>
              <w:t>encuentre</w:t>
            </w:r>
            <w:r w:rsidRPr="00D55B2B">
              <w:rPr>
                <w:rFonts w:ascii="Arial" w:hAnsi="Arial" w:cs="Arial"/>
                <w:spacing w:val="-3"/>
                <w:sz w:val="22"/>
                <w:szCs w:val="22"/>
              </w:rPr>
              <w:t xml:space="preserve">.  Dicho control no modificará de manera alguna las obligaciones del Contratista.  </w:t>
            </w:r>
          </w:p>
        </w:tc>
      </w:tr>
      <w:tr w:rsidR="00F7749D" w:rsidRPr="00D55B2B" w14:paraId="68FF917F" w14:textId="77777777" w:rsidTr="00D23A40">
        <w:tblPrEx>
          <w:jc w:val="left"/>
        </w:tblPrEx>
        <w:trPr>
          <w:trHeight w:val="20"/>
        </w:trPr>
        <w:tc>
          <w:tcPr>
            <w:tcW w:w="805" w:type="dxa"/>
            <w:tcBorders>
              <w:right w:val="nil"/>
            </w:tcBorders>
            <w:shd w:val="clear" w:color="auto" w:fill="auto"/>
          </w:tcPr>
          <w:p w14:paraId="7F46049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C2B6CF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Gerente de Obras podrá ordenar al Contratista que localice un defecto y que ponga al descubierto y someta a prueba cualquier trabajo que considere pudiera tener algún defecto, inclusive si la prueba no está contemplada en las Especificaciones. Si la prueba revela que sí existe el defecto, el Contratista pagará el costo de la prueba y de las muestras.  Si no se encuentra ningún defecto, la prueba se considerará un Evento Compensable.</w:t>
            </w:r>
          </w:p>
        </w:tc>
      </w:tr>
      <w:tr w:rsidR="00F7749D" w:rsidRPr="00D55B2B" w14:paraId="04384111" w14:textId="77777777" w:rsidTr="00D23A40">
        <w:tblPrEx>
          <w:jc w:val="left"/>
        </w:tblPrEx>
        <w:trPr>
          <w:trHeight w:val="20"/>
        </w:trPr>
        <w:tc>
          <w:tcPr>
            <w:tcW w:w="9355" w:type="dxa"/>
            <w:gridSpan w:val="2"/>
            <w:shd w:val="clear" w:color="auto" w:fill="auto"/>
          </w:tcPr>
          <w:p w14:paraId="2F7DB291"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09" w:name="_Toc47916996"/>
            <w:bookmarkStart w:id="2110" w:name="_Toc74048273"/>
            <w:bookmarkStart w:id="2111" w:name="_Toc74518513"/>
            <w:bookmarkStart w:id="2112" w:name="_Toc74519243"/>
            <w:bookmarkStart w:id="2113" w:name="_Toc74781433"/>
            <w:bookmarkStart w:id="2114" w:name="_Toc74930946"/>
            <w:r w:rsidRPr="00D55B2B">
              <w:rPr>
                <w:rFonts w:cs="Arial"/>
                <w:sz w:val="22"/>
                <w:szCs w:val="22"/>
                <w:lang w:val="es-ES_tradnl"/>
              </w:rPr>
              <w:t>Corrección de defectos y defectos no corregidos</w:t>
            </w:r>
            <w:bookmarkEnd w:id="2109"/>
            <w:bookmarkEnd w:id="2110"/>
            <w:bookmarkEnd w:id="2111"/>
            <w:bookmarkEnd w:id="2112"/>
            <w:bookmarkEnd w:id="2113"/>
            <w:bookmarkEnd w:id="2114"/>
          </w:p>
        </w:tc>
      </w:tr>
      <w:tr w:rsidR="00F7749D" w:rsidRPr="00D55B2B" w14:paraId="030C3B27" w14:textId="77777777" w:rsidTr="00D23A40">
        <w:tblPrEx>
          <w:jc w:val="left"/>
        </w:tblPrEx>
        <w:trPr>
          <w:trHeight w:val="20"/>
        </w:trPr>
        <w:tc>
          <w:tcPr>
            <w:tcW w:w="805" w:type="dxa"/>
            <w:tcBorders>
              <w:right w:val="nil"/>
            </w:tcBorders>
            <w:shd w:val="clear" w:color="auto" w:fill="auto"/>
          </w:tcPr>
          <w:p w14:paraId="7D24DB3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9FB26CD"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El Gerente de Obras notificará al Contratista todos los defectos de que tenga conocimiento antes de que finalice el Período de Responsabilidad por Defectos, que inicia en la Fecha de terminación y </w:t>
            </w:r>
            <w:r w:rsidRPr="00D55B2B">
              <w:rPr>
                <w:rFonts w:ascii="Arial" w:hAnsi="Arial" w:cs="Arial"/>
                <w:b/>
                <w:bCs/>
                <w:spacing w:val="-3"/>
                <w:sz w:val="22"/>
                <w:szCs w:val="22"/>
              </w:rPr>
              <w:t>se define en las CPC</w:t>
            </w:r>
            <w:r w:rsidRPr="00D55B2B">
              <w:rPr>
                <w:rFonts w:ascii="Arial" w:hAnsi="Arial" w:cs="Arial"/>
                <w:spacing w:val="-3"/>
                <w:sz w:val="22"/>
                <w:szCs w:val="22"/>
              </w:rPr>
              <w:t>.  El Período de Responsabilidad por Defectos se prorrogará mientras queden defectos por corregir.</w:t>
            </w:r>
          </w:p>
        </w:tc>
      </w:tr>
      <w:tr w:rsidR="00F7749D" w:rsidRPr="00D55B2B" w14:paraId="4EBE4F95" w14:textId="77777777" w:rsidTr="00D23A40">
        <w:tblPrEx>
          <w:jc w:val="left"/>
        </w:tblPrEx>
        <w:trPr>
          <w:trHeight w:val="20"/>
        </w:trPr>
        <w:tc>
          <w:tcPr>
            <w:tcW w:w="805" w:type="dxa"/>
            <w:tcBorders>
              <w:right w:val="nil"/>
            </w:tcBorders>
            <w:shd w:val="clear" w:color="auto" w:fill="auto"/>
          </w:tcPr>
          <w:p w14:paraId="0745EEE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0EA11EC"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Cada vez que se notifique un defecto, el Contratista deberá corregirlo dentro del plazo especificado en la notificación del Gerente de Obras.</w:t>
            </w:r>
          </w:p>
        </w:tc>
      </w:tr>
      <w:tr w:rsidR="00F7749D" w:rsidRPr="00D55B2B" w14:paraId="098A04D9" w14:textId="77777777" w:rsidTr="00D23A40">
        <w:tblPrEx>
          <w:jc w:val="left"/>
        </w:tblPrEx>
        <w:trPr>
          <w:trHeight w:val="20"/>
        </w:trPr>
        <w:tc>
          <w:tcPr>
            <w:tcW w:w="805" w:type="dxa"/>
            <w:tcBorders>
              <w:right w:val="nil"/>
            </w:tcBorders>
            <w:shd w:val="clear" w:color="auto" w:fill="auto"/>
          </w:tcPr>
          <w:p w14:paraId="75FFF54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772C8B0"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Si el Contratista no corrige un defecto dentro del plazo especificado en la notificación mencionada en la subcláusula 43.2, el Gerente de Obras estimará el precio de la corrección del defecto y el Contratista deberá pagar dicho monto a valores de mercado más una penalización conforme se indica en la subcláusula CGC 56.2, siendo el precio de la actividad que el Contratista ha previsto meramente referencial. El Contratante tendrá derecho a emplear y pagar a otras personas para ejecutar este trabajo de corrección y todos los gastos en que se incurra o que se deriven de esto podrán deducirse de cualquier suma adeudada o que se pueda adeudar al Contratista.</w:t>
            </w:r>
          </w:p>
        </w:tc>
      </w:tr>
      <w:tr w:rsidR="00F7749D" w:rsidRPr="00D55B2B" w14:paraId="0DFC31D3" w14:textId="77777777" w:rsidTr="00D23A40">
        <w:trPr>
          <w:cantSplit/>
          <w:trHeight w:val="423"/>
          <w:jc w:val="center"/>
        </w:trPr>
        <w:tc>
          <w:tcPr>
            <w:tcW w:w="9355" w:type="dxa"/>
            <w:gridSpan w:val="2"/>
            <w:shd w:val="clear" w:color="auto" w:fill="00B050"/>
          </w:tcPr>
          <w:p w14:paraId="0EE8A485" w14:textId="77777777" w:rsidR="00F7749D" w:rsidRPr="009C47D2" w:rsidRDefault="00F7749D" w:rsidP="00F7749D">
            <w:pPr>
              <w:pStyle w:val="Ttulo1"/>
              <w:numPr>
                <w:ilvl w:val="0"/>
                <w:numId w:val="89"/>
              </w:numPr>
              <w:tabs>
                <w:tab w:val="right" w:leader="dot" w:pos="9000"/>
              </w:tabs>
              <w:spacing w:before="60" w:after="60"/>
              <w:ind w:right="720"/>
              <w:rPr>
                <w:rFonts w:ascii="Arial" w:hAnsi="Arial" w:cs="Arial"/>
                <w:color w:val="FFFFFF" w:themeColor="background1"/>
                <w:sz w:val="22"/>
                <w:szCs w:val="22"/>
              </w:rPr>
            </w:pPr>
            <w:r w:rsidRPr="00D55B2B">
              <w:rPr>
                <w:rFonts w:ascii="Arial" w:hAnsi="Arial" w:cs="Arial"/>
                <w:color w:val="FFFFFF" w:themeColor="background1"/>
                <w:sz w:val="22"/>
                <w:szCs w:val="22"/>
                <w:lang w:val="es-419"/>
              </w:rPr>
              <w:t>Control de Costos</w:t>
            </w:r>
          </w:p>
        </w:tc>
      </w:tr>
      <w:tr w:rsidR="00F7749D" w:rsidRPr="00D55B2B" w14:paraId="4972BC0E" w14:textId="77777777" w:rsidTr="00D23A40">
        <w:tblPrEx>
          <w:jc w:val="left"/>
        </w:tblPrEx>
        <w:trPr>
          <w:trHeight w:val="20"/>
        </w:trPr>
        <w:tc>
          <w:tcPr>
            <w:tcW w:w="9355" w:type="dxa"/>
            <w:gridSpan w:val="2"/>
            <w:shd w:val="clear" w:color="auto" w:fill="auto"/>
          </w:tcPr>
          <w:p w14:paraId="1F102546"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15" w:name="_Toc47916998"/>
            <w:bookmarkStart w:id="2116" w:name="_Toc74048275"/>
            <w:bookmarkStart w:id="2117" w:name="_Toc74518515"/>
            <w:bookmarkStart w:id="2118" w:name="_Toc74519245"/>
            <w:bookmarkStart w:id="2119" w:name="_Toc74781435"/>
            <w:bookmarkStart w:id="2120" w:name="_Toc74930948"/>
            <w:r w:rsidRPr="00D55B2B">
              <w:rPr>
                <w:rFonts w:cs="Arial"/>
                <w:sz w:val="22"/>
                <w:szCs w:val="22"/>
                <w:lang w:val="es-ES_tradnl"/>
              </w:rPr>
              <w:t>Lista de cantidades con precios unitarios y precio del Contrato</w:t>
            </w:r>
            <w:bookmarkEnd w:id="2115"/>
            <w:bookmarkEnd w:id="2116"/>
            <w:bookmarkEnd w:id="2117"/>
            <w:bookmarkEnd w:id="2118"/>
            <w:bookmarkEnd w:id="2119"/>
            <w:bookmarkEnd w:id="2120"/>
          </w:p>
        </w:tc>
      </w:tr>
      <w:tr w:rsidR="00F7749D" w:rsidRPr="00D55B2B" w14:paraId="305470E3" w14:textId="77777777" w:rsidTr="00D23A40">
        <w:tblPrEx>
          <w:jc w:val="left"/>
        </w:tblPrEx>
        <w:trPr>
          <w:trHeight w:val="20"/>
        </w:trPr>
        <w:tc>
          <w:tcPr>
            <w:tcW w:w="805" w:type="dxa"/>
            <w:tcBorders>
              <w:right w:val="nil"/>
            </w:tcBorders>
            <w:shd w:val="clear" w:color="auto" w:fill="auto"/>
          </w:tcPr>
          <w:p w14:paraId="51A545D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744FDF" w14:textId="77777777" w:rsidR="00F7749D" w:rsidRPr="00D55B2B" w:rsidRDefault="00F7749D" w:rsidP="00D23A40">
            <w:pPr>
              <w:spacing w:before="60" w:after="60"/>
              <w:rPr>
                <w:rFonts w:ascii="Arial" w:hAnsi="Arial" w:cs="Arial"/>
                <w:spacing w:val="-2"/>
                <w:sz w:val="22"/>
                <w:szCs w:val="22"/>
              </w:rPr>
            </w:pPr>
            <w:r w:rsidRPr="00D55B2B">
              <w:rPr>
                <w:rFonts w:ascii="Arial" w:hAnsi="Arial" w:cs="Arial"/>
                <w:sz w:val="22"/>
                <w:szCs w:val="22"/>
                <w:lang w:val="es-ES"/>
              </w:rPr>
              <w:t xml:space="preserve">La Lista de cantidades con precios unitarios debe contener los rubros, con los respectivos precios unitarios, de </w:t>
            </w:r>
            <w:r w:rsidRPr="00D55B2B">
              <w:rPr>
                <w:rFonts w:ascii="Arial" w:hAnsi="Arial" w:cs="Arial"/>
                <w:spacing w:val="-3"/>
                <w:sz w:val="22"/>
                <w:szCs w:val="22"/>
              </w:rPr>
              <w:t>las</w:t>
            </w:r>
            <w:r w:rsidRPr="00D55B2B">
              <w:rPr>
                <w:rFonts w:ascii="Arial" w:hAnsi="Arial" w:cs="Arial"/>
                <w:sz w:val="22"/>
                <w:szCs w:val="22"/>
                <w:lang w:val="es-ES"/>
              </w:rPr>
              <w:t xml:space="preserve"> Obras que va a ejecutar el Contratista. </w:t>
            </w:r>
            <w:r w:rsidRPr="00D55B2B">
              <w:rPr>
                <w:rFonts w:ascii="Arial" w:hAnsi="Arial" w:cs="Arial"/>
                <w:sz w:val="22"/>
                <w:szCs w:val="22"/>
              </w:rPr>
              <w:t>El precio del Contrato estará determinado de acuerdo con el volumen real del trabajo y los materiales utilizados en la ejecución total y satisfactoria de las Obras según lo certificado por el Gerente de Obras y los precios unitarios contenidos en la oferta del Contratista.</w:t>
            </w:r>
            <w:r w:rsidRPr="00D55B2B">
              <w:rPr>
                <w:rFonts w:ascii="Arial" w:hAnsi="Arial" w:cs="Arial"/>
                <w:spacing w:val="-2"/>
                <w:sz w:val="22"/>
                <w:szCs w:val="22"/>
              </w:rPr>
              <w:t xml:space="preserve"> </w:t>
            </w:r>
          </w:p>
          <w:p w14:paraId="2528FBE6" w14:textId="77777777" w:rsidR="00F7749D" w:rsidRPr="00D55B2B" w:rsidRDefault="00F7749D" w:rsidP="00D23A40">
            <w:pPr>
              <w:spacing w:before="60" w:after="60"/>
              <w:rPr>
                <w:rFonts w:ascii="Arial" w:hAnsi="Arial" w:cs="Arial"/>
                <w:spacing w:val="-2"/>
                <w:sz w:val="22"/>
                <w:szCs w:val="22"/>
              </w:rPr>
            </w:pPr>
            <w:r w:rsidRPr="00D55B2B">
              <w:rPr>
                <w:rFonts w:ascii="Arial" w:hAnsi="Arial" w:cs="Arial"/>
                <w:spacing w:val="-2"/>
                <w:sz w:val="22"/>
                <w:szCs w:val="22"/>
              </w:rPr>
              <w:t xml:space="preserve">En caso de que la lista de cantidades incluya sumas provisionales o reservas para imprevistos, el alcance y mecanismo de autorización para el uso de estas estará definido en las </w:t>
            </w:r>
            <w:r w:rsidRPr="00D55B2B">
              <w:rPr>
                <w:rFonts w:ascii="Arial" w:hAnsi="Arial" w:cs="Arial"/>
                <w:b/>
                <w:spacing w:val="-2"/>
                <w:sz w:val="22"/>
                <w:szCs w:val="22"/>
              </w:rPr>
              <w:t>CPC.</w:t>
            </w:r>
          </w:p>
        </w:tc>
      </w:tr>
      <w:tr w:rsidR="00F7749D" w:rsidRPr="00D55B2B" w14:paraId="44634DCF" w14:textId="77777777" w:rsidTr="00D23A40">
        <w:tblPrEx>
          <w:jc w:val="left"/>
        </w:tblPrEx>
        <w:trPr>
          <w:trHeight w:val="285"/>
        </w:trPr>
        <w:tc>
          <w:tcPr>
            <w:tcW w:w="9355" w:type="dxa"/>
            <w:gridSpan w:val="2"/>
            <w:shd w:val="clear" w:color="auto" w:fill="auto"/>
          </w:tcPr>
          <w:p w14:paraId="327B6F23"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21" w:name="_Toc47916999"/>
            <w:bookmarkStart w:id="2122" w:name="_Toc74048276"/>
            <w:bookmarkStart w:id="2123" w:name="_Toc74518516"/>
            <w:bookmarkStart w:id="2124" w:name="_Toc74519246"/>
            <w:bookmarkStart w:id="2125" w:name="_Toc74781436"/>
            <w:bookmarkStart w:id="2126" w:name="_Toc74930949"/>
            <w:r w:rsidRPr="00D55B2B">
              <w:rPr>
                <w:rFonts w:cs="Arial"/>
                <w:sz w:val="22"/>
                <w:szCs w:val="22"/>
                <w:lang w:val="es-ES_tradnl"/>
              </w:rPr>
              <w:t>Modificaciones del Precio del Contrato</w:t>
            </w:r>
            <w:bookmarkEnd w:id="2121"/>
            <w:r w:rsidRPr="00D55B2B">
              <w:rPr>
                <w:rFonts w:cs="Arial"/>
                <w:sz w:val="22"/>
                <w:szCs w:val="22"/>
                <w:lang w:val="es-ES_tradnl"/>
              </w:rPr>
              <w:t>.</w:t>
            </w:r>
            <w:bookmarkEnd w:id="2122"/>
            <w:bookmarkEnd w:id="2123"/>
            <w:bookmarkEnd w:id="2124"/>
            <w:bookmarkEnd w:id="2125"/>
            <w:bookmarkEnd w:id="2126"/>
            <w:r w:rsidRPr="00D55B2B">
              <w:rPr>
                <w:rFonts w:cs="Arial"/>
                <w:sz w:val="22"/>
                <w:szCs w:val="22"/>
                <w:lang w:val="es-ES_tradnl"/>
              </w:rPr>
              <w:t xml:space="preserve"> </w:t>
            </w:r>
          </w:p>
        </w:tc>
      </w:tr>
      <w:tr w:rsidR="00F7749D" w:rsidRPr="00D55B2B" w14:paraId="08D6E4E1" w14:textId="77777777" w:rsidTr="00D23A40">
        <w:tblPrEx>
          <w:jc w:val="left"/>
        </w:tblPrEx>
        <w:trPr>
          <w:trHeight w:val="20"/>
        </w:trPr>
        <w:tc>
          <w:tcPr>
            <w:tcW w:w="805" w:type="dxa"/>
            <w:tcBorders>
              <w:right w:val="nil"/>
            </w:tcBorders>
            <w:shd w:val="clear" w:color="auto" w:fill="auto"/>
          </w:tcPr>
          <w:p w14:paraId="30ACCB9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0B9EC5"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rPr>
              <w:t xml:space="preserve">Si el Contratista previera que el precio final del Contrato pudiera exceder el precio inicial del Contrato contemplado de conformidad con la cláusula 45 de estas CGC, deberá informarlo sin demora al Gerente de Obras de modo que decida, según lo considere, aumentar el precio estimado del Contrato como resultado de una cantidad mayor de trabajo/materiales o reducir la cantidad de trabajo que ha de realizarse o los materiales que han de utilizarse.  </w:t>
            </w:r>
          </w:p>
        </w:tc>
      </w:tr>
      <w:tr w:rsidR="00F7749D" w:rsidRPr="00D55B2B" w14:paraId="38CA55AF" w14:textId="77777777" w:rsidTr="00D23A40">
        <w:tblPrEx>
          <w:jc w:val="left"/>
        </w:tblPrEx>
        <w:trPr>
          <w:trHeight w:val="20"/>
        </w:trPr>
        <w:tc>
          <w:tcPr>
            <w:tcW w:w="805" w:type="dxa"/>
            <w:tcBorders>
              <w:right w:val="nil"/>
            </w:tcBorders>
            <w:shd w:val="clear" w:color="auto" w:fill="auto"/>
          </w:tcPr>
          <w:p w14:paraId="3717423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253ED7B"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Si para un rubro en particular la cantidad final de los trabajos a ser ejecutados difiere en más de veinticinco por ciento (25%) de la especificada en la Lista de cantidades </w:t>
            </w:r>
            <w:r w:rsidRPr="00D55B2B">
              <w:rPr>
                <w:rFonts w:ascii="Arial" w:hAnsi="Arial" w:cs="Arial"/>
                <w:sz w:val="22"/>
                <w:szCs w:val="22"/>
                <w:lang w:val="es-ES"/>
              </w:rPr>
              <w:lastRenderedPageBreak/>
              <w:t>con precios unitarios y siempre que la diferencia exceda uno por ciento (1%) del precio Inicial del Contrato, el Gerente de Obras ajustará los precios para reflejar el cambio. El Gerente de Obras no ajustará los precios debido a diferencias en las cantidades si con ello se excede el precio Inicial del Contrato en más de quince por ciento (15%), a menos que cuente con la aprobación previa del Contratante</w:t>
            </w:r>
            <w:ins w:id="2127" w:author="Ana Rodriguez" w:date="2021-04-30T15:36:00Z">
              <w:r w:rsidRPr="00D55B2B">
                <w:rPr>
                  <w:rFonts w:ascii="Arial" w:hAnsi="Arial" w:cs="Arial"/>
                  <w:sz w:val="22"/>
                  <w:szCs w:val="22"/>
                  <w:lang w:val="es-ES"/>
                </w:rPr>
                <w:t>.</w:t>
              </w:r>
            </w:ins>
          </w:p>
        </w:tc>
      </w:tr>
      <w:tr w:rsidR="00F7749D" w:rsidRPr="00D55B2B" w14:paraId="2EAA532E" w14:textId="77777777" w:rsidTr="00D23A40">
        <w:tblPrEx>
          <w:jc w:val="left"/>
        </w:tblPrEx>
        <w:trPr>
          <w:trHeight w:val="20"/>
        </w:trPr>
        <w:tc>
          <w:tcPr>
            <w:tcW w:w="805" w:type="dxa"/>
            <w:tcBorders>
              <w:right w:val="nil"/>
            </w:tcBorders>
            <w:shd w:val="clear" w:color="auto" w:fill="auto"/>
          </w:tcPr>
          <w:p w14:paraId="4545F7C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3FB25D"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pacing w:val="-3"/>
                <w:sz w:val="22"/>
                <w:szCs w:val="22"/>
              </w:rPr>
              <w:t>Si el Gerente de Obras lo solicita, el Contratista deberá proporcionarle un desglose de los costos correspondientes a cualquier precio que conste en la Lista de cantidades con precios unitarios.</w:t>
            </w:r>
          </w:p>
        </w:tc>
      </w:tr>
      <w:tr w:rsidR="00F7749D" w:rsidRPr="00D55B2B" w14:paraId="304D5AD8" w14:textId="77777777" w:rsidTr="00D23A40">
        <w:tblPrEx>
          <w:jc w:val="left"/>
        </w:tblPrEx>
        <w:trPr>
          <w:trHeight w:val="20"/>
        </w:trPr>
        <w:tc>
          <w:tcPr>
            <w:tcW w:w="9355" w:type="dxa"/>
            <w:gridSpan w:val="2"/>
            <w:shd w:val="clear" w:color="auto" w:fill="auto"/>
          </w:tcPr>
          <w:p w14:paraId="5745EACB"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28" w:name="_Toc47917000"/>
            <w:bookmarkStart w:id="2129" w:name="_Toc74048277"/>
            <w:bookmarkStart w:id="2130" w:name="_Toc74518517"/>
            <w:bookmarkStart w:id="2131" w:name="_Toc74519247"/>
            <w:bookmarkStart w:id="2132" w:name="_Toc74781437"/>
            <w:bookmarkStart w:id="2133" w:name="_Toc74930950"/>
            <w:r w:rsidRPr="00D55B2B">
              <w:rPr>
                <w:rFonts w:cs="Arial"/>
                <w:sz w:val="22"/>
                <w:szCs w:val="22"/>
                <w:lang w:val="es-ES_tradnl"/>
              </w:rPr>
              <w:t>Variaciones (Órdenes de cambio)</w:t>
            </w:r>
            <w:bookmarkEnd w:id="2128"/>
            <w:bookmarkEnd w:id="2129"/>
            <w:bookmarkEnd w:id="2130"/>
            <w:bookmarkEnd w:id="2131"/>
            <w:bookmarkEnd w:id="2132"/>
            <w:bookmarkEnd w:id="2133"/>
          </w:p>
        </w:tc>
      </w:tr>
      <w:tr w:rsidR="00F7749D" w:rsidRPr="00D55B2B" w14:paraId="7FDB55A3" w14:textId="77777777" w:rsidTr="00D23A40">
        <w:tblPrEx>
          <w:jc w:val="left"/>
        </w:tblPrEx>
        <w:trPr>
          <w:trHeight w:val="20"/>
        </w:trPr>
        <w:tc>
          <w:tcPr>
            <w:tcW w:w="805" w:type="dxa"/>
            <w:tcBorders>
              <w:right w:val="nil"/>
            </w:tcBorders>
            <w:shd w:val="clear" w:color="auto" w:fill="auto"/>
          </w:tcPr>
          <w:p w14:paraId="22A2D5E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BF5CD8C"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El Gerente de Obras puede solicitar al Contratista, mediante órdenes de cambio, introducir cualquier Variación a la forma, el tipo o la calidad de las Obras o de cualquier parte de éstas que considere necesaria. </w:t>
            </w:r>
          </w:p>
        </w:tc>
      </w:tr>
      <w:tr w:rsidR="00F7749D" w:rsidRPr="00D55B2B" w14:paraId="764BCD96" w14:textId="77777777" w:rsidTr="00D23A40">
        <w:tblPrEx>
          <w:jc w:val="left"/>
        </w:tblPrEx>
        <w:trPr>
          <w:trHeight w:val="20"/>
        </w:trPr>
        <w:tc>
          <w:tcPr>
            <w:tcW w:w="805" w:type="dxa"/>
            <w:tcBorders>
              <w:right w:val="nil"/>
            </w:tcBorders>
            <w:shd w:val="clear" w:color="auto" w:fill="auto"/>
          </w:tcPr>
          <w:p w14:paraId="1C714FFE" w14:textId="77777777" w:rsidR="00F7749D" w:rsidRPr="00D55B2B" w:rsidRDefault="00F7749D" w:rsidP="00D23A40">
            <w:pPr>
              <w:pStyle w:val="Numeraciondeartculos"/>
              <w:framePr w:hSpace="0" w:wrap="auto" w:vAnchor="margin" w:hAnchor="text" w:xAlign="left" w:yAlign="inline"/>
              <w:rPr>
                <w:rFonts w:cs="Arial"/>
                <w:sz w:val="22"/>
                <w:szCs w:val="22"/>
                <w:lang w:val="es-ES_tradnl"/>
              </w:rPr>
            </w:pPr>
            <w:bookmarkStart w:id="2134" w:name="_Hlk21171289"/>
          </w:p>
        </w:tc>
        <w:tc>
          <w:tcPr>
            <w:tcW w:w="8550" w:type="dxa"/>
            <w:tcBorders>
              <w:left w:val="nil"/>
            </w:tcBorders>
            <w:shd w:val="clear" w:color="auto" w:fill="auto"/>
          </w:tcPr>
          <w:p w14:paraId="42168DD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ES"/>
              </w:rPr>
              <w:t>Dentro de los siete (7) días siguientes a la solicitud, o dentro de un plazo mayor si el Gerente de Obras así lo hubiera determinado, el Contratista deberá presentar la cotización para la ejecución de la Variación. Antes de ordenar la Variación, el Gerente de Obras analizará la cotización que presente el Contratista.</w:t>
            </w:r>
          </w:p>
        </w:tc>
      </w:tr>
      <w:tr w:rsidR="00F7749D" w:rsidRPr="00D55B2B" w14:paraId="0B2BCDD5" w14:textId="77777777" w:rsidTr="00D23A40">
        <w:trPr>
          <w:cantSplit/>
          <w:trHeight w:val="423"/>
          <w:jc w:val="center"/>
        </w:trPr>
        <w:tc>
          <w:tcPr>
            <w:tcW w:w="805" w:type="dxa"/>
            <w:tcBorders>
              <w:right w:val="nil"/>
            </w:tcBorders>
            <w:shd w:val="clear" w:color="auto" w:fill="auto"/>
          </w:tcPr>
          <w:p w14:paraId="551AEFF2"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740BE2"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Cuando los trabajos correspondientes a la Variación coincidan con un rubro descrito en la Lista de cantidades con precios unitarios y si, a juicio del Gerente de Obras, la cantidad de trabajo por encima del límite establecido en la subcláusula 45.2 o su calendario de ejecución no producen cambios en el costo unitario de la cantidad de trabajo, para calcular el valor de la Variación se usará el precio indicado en la Lista de cantidades con precios unitarios. </w:t>
            </w:r>
          </w:p>
          <w:p w14:paraId="4FF87EF8"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lang w:val="es-ES"/>
              </w:rPr>
              <w:t>Si el costo unitario de la cantidad se modificara o si la naturaleza o el calendario de ejecución de los trabajos correspondientes a la Variación no coincidieran con los rubros de la Lista de cantidades con precios unitarios, el Contratista deberá proporcionar una cotización con nuevos precios para los rubros pertinentes de los trabajos.</w:t>
            </w:r>
          </w:p>
        </w:tc>
      </w:tr>
      <w:tr w:rsidR="00F7749D" w:rsidRPr="00D55B2B" w14:paraId="13482FD1" w14:textId="77777777" w:rsidTr="00D23A40">
        <w:trPr>
          <w:cantSplit/>
          <w:trHeight w:val="423"/>
          <w:jc w:val="center"/>
        </w:trPr>
        <w:tc>
          <w:tcPr>
            <w:tcW w:w="805" w:type="dxa"/>
            <w:tcBorders>
              <w:right w:val="nil"/>
            </w:tcBorders>
            <w:shd w:val="clear" w:color="auto" w:fill="auto"/>
          </w:tcPr>
          <w:p w14:paraId="2A8420C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9EA0ED8"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tc>
      </w:tr>
      <w:tr w:rsidR="00F7749D" w:rsidRPr="00D55B2B" w14:paraId="348DF89E" w14:textId="77777777" w:rsidTr="00D23A40">
        <w:trPr>
          <w:cantSplit/>
          <w:trHeight w:val="423"/>
          <w:jc w:val="center"/>
        </w:trPr>
        <w:tc>
          <w:tcPr>
            <w:tcW w:w="805" w:type="dxa"/>
            <w:tcBorders>
              <w:right w:val="nil"/>
            </w:tcBorders>
            <w:shd w:val="clear" w:color="auto" w:fill="auto"/>
          </w:tcPr>
          <w:p w14:paraId="535F130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1690268"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Si el Gerente de Obras decide que la urgencia de la Variación no permite obtener y analizar una cotización sin demorar los trabajos, no se solicitará cotización alguna y la Variación se considerará como un Evento Compensable.</w:t>
            </w:r>
          </w:p>
        </w:tc>
      </w:tr>
      <w:tr w:rsidR="00F7749D" w:rsidRPr="00D55B2B" w14:paraId="44499B48" w14:textId="77777777" w:rsidTr="00D23A40">
        <w:trPr>
          <w:cantSplit/>
          <w:trHeight w:val="423"/>
          <w:jc w:val="center"/>
        </w:trPr>
        <w:tc>
          <w:tcPr>
            <w:tcW w:w="805" w:type="dxa"/>
            <w:tcBorders>
              <w:right w:val="nil"/>
            </w:tcBorders>
            <w:shd w:val="clear" w:color="auto" w:fill="auto"/>
          </w:tcPr>
          <w:p w14:paraId="45879F04"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EEC24B8"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El Contratista no tendrá derecho al pago de costos adicionales que podrían haberse evitado si hubiese hecho la Advertencia Anticipada pertinente.</w:t>
            </w:r>
          </w:p>
        </w:tc>
      </w:tr>
      <w:tr w:rsidR="00F7749D" w:rsidRPr="00D55B2B" w14:paraId="4BC282C8" w14:textId="77777777" w:rsidTr="00D23A40">
        <w:trPr>
          <w:cantSplit/>
          <w:trHeight w:val="423"/>
          <w:jc w:val="center"/>
        </w:trPr>
        <w:tc>
          <w:tcPr>
            <w:tcW w:w="805" w:type="dxa"/>
            <w:tcBorders>
              <w:right w:val="nil"/>
            </w:tcBorders>
            <w:shd w:val="clear" w:color="auto" w:fill="auto"/>
          </w:tcPr>
          <w:p w14:paraId="56D6FD7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0C76035" w14:textId="77777777" w:rsidR="00F7749D" w:rsidRPr="00D55B2B" w:rsidRDefault="00F7749D" w:rsidP="00D23A40">
            <w:pPr>
              <w:spacing w:before="60" w:after="60"/>
              <w:rPr>
                <w:rFonts w:ascii="Arial" w:hAnsi="Arial" w:cs="Arial"/>
                <w:sz w:val="22"/>
                <w:szCs w:val="22"/>
              </w:rPr>
            </w:pPr>
            <w:r w:rsidRPr="00D55B2B">
              <w:rPr>
                <w:rFonts w:ascii="Arial" w:hAnsi="Arial" w:cs="Arial"/>
                <w:spacing w:val="-3"/>
                <w:sz w:val="22"/>
                <w:szCs w:val="22"/>
              </w:rPr>
              <w:t>Todas las Variaciones autorizadas deberán incluirse en los Programas actualizados que presente el Contratista.</w:t>
            </w:r>
          </w:p>
        </w:tc>
      </w:tr>
      <w:tr w:rsidR="00F7749D" w:rsidRPr="00D55B2B" w14:paraId="68EB118A" w14:textId="77777777" w:rsidTr="00D23A40">
        <w:tblPrEx>
          <w:jc w:val="left"/>
        </w:tblPrEx>
        <w:trPr>
          <w:trHeight w:val="20"/>
        </w:trPr>
        <w:tc>
          <w:tcPr>
            <w:tcW w:w="9355" w:type="dxa"/>
            <w:gridSpan w:val="2"/>
            <w:shd w:val="clear" w:color="auto" w:fill="auto"/>
          </w:tcPr>
          <w:p w14:paraId="00200EF9"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35" w:name="_Toc47917001"/>
            <w:bookmarkStart w:id="2136" w:name="_Toc74048278"/>
            <w:bookmarkStart w:id="2137" w:name="_Toc74518518"/>
            <w:bookmarkStart w:id="2138" w:name="_Toc74519248"/>
            <w:bookmarkStart w:id="2139" w:name="_Toc74781438"/>
            <w:bookmarkStart w:id="2140" w:name="_Toc74930951"/>
            <w:r w:rsidRPr="00D55B2B">
              <w:rPr>
                <w:rFonts w:cs="Arial"/>
                <w:sz w:val="22"/>
                <w:szCs w:val="22"/>
                <w:lang w:val="es-ES_tradnl"/>
              </w:rPr>
              <w:t>Proyecciones de flujo de efectivo</w:t>
            </w:r>
            <w:bookmarkEnd w:id="2135"/>
            <w:bookmarkEnd w:id="2136"/>
            <w:bookmarkEnd w:id="2137"/>
            <w:bookmarkEnd w:id="2138"/>
            <w:bookmarkEnd w:id="2139"/>
            <w:bookmarkEnd w:id="2140"/>
          </w:p>
        </w:tc>
      </w:tr>
      <w:tr w:rsidR="00F7749D" w:rsidRPr="00D55B2B" w14:paraId="33C945BB" w14:textId="77777777" w:rsidTr="00D23A40">
        <w:tblPrEx>
          <w:jc w:val="left"/>
        </w:tblPrEx>
        <w:trPr>
          <w:trHeight w:val="20"/>
        </w:trPr>
        <w:tc>
          <w:tcPr>
            <w:tcW w:w="805" w:type="dxa"/>
            <w:tcBorders>
              <w:right w:val="nil"/>
            </w:tcBorders>
            <w:shd w:val="clear" w:color="auto" w:fill="auto"/>
          </w:tcPr>
          <w:p w14:paraId="1D0CC5F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141729" w14:textId="77777777" w:rsidR="00F7749D" w:rsidRPr="00D55B2B" w:rsidRDefault="00F7749D" w:rsidP="00D23A40">
            <w:pPr>
              <w:spacing w:before="60" w:after="60"/>
              <w:rPr>
                <w:rFonts w:ascii="Arial" w:hAnsi="Arial" w:cs="Arial"/>
                <w:color w:val="00B050"/>
                <w:spacing w:val="-3"/>
                <w:sz w:val="22"/>
                <w:szCs w:val="22"/>
              </w:rPr>
            </w:pPr>
            <w:r w:rsidRPr="00D55B2B">
              <w:rPr>
                <w:rFonts w:ascii="Arial" w:hAnsi="Arial" w:cs="Arial"/>
                <w:spacing w:val="-3"/>
                <w:sz w:val="22"/>
                <w:szCs w:val="22"/>
              </w:rPr>
              <w:t>Cuando se actualice el Programa, el Contratista deberá proporcionar al Gerente de Obras una proyección actualizada del flujo de efectivo. Dicha proyección podrá incluir las diferentes monedas que, en su caso, se estipulen en el Contrato, convertidas según sea necesario utilizando las tasas de cambio del Contrato.</w:t>
            </w:r>
          </w:p>
        </w:tc>
      </w:tr>
      <w:tr w:rsidR="00F7749D" w:rsidRPr="00D55B2B" w14:paraId="41FF5CAD" w14:textId="77777777" w:rsidTr="00D23A40">
        <w:tblPrEx>
          <w:jc w:val="left"/>
        </w:tblPrEx>
        <w:trPr>
          <w:trHeight w:val="20"/>
        </w:trPr>
        <w:tc>
          <w:tcPr>
            <w:tcW w:w="9355" w:type="dxa"/>
            <w:gridSpan w:val="2"/>
            <w:shd w:val="clear" w:color="auto" w:fill="auto"/>
          </w:tcPr>
          <w:p w14:paraId="4B84D58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41" w:name="_Toc47917002"/>
            <w:bookmarkStart w:id="2142" w:name="_Toc74048279"/>
            <w:bookmarkStart w:id="2143" w:name="_Toc74518519"/>
            <w:bookmarkStart w:id="2144" w:name="_Toc74519249"/>
            <w:bookmarkStart w:id="2145" w:name="_Toc74781439"/>
            <w:bookmarkStart w:id="2146" w:name="_Toc74930952"/>
            <w:r w:rsidRPr="00D55B2B">
              <w:rPr>
                <w:rFonts w:cs="Arial"/>
                <w:sz w:val="22"/>
                <w:szCs w:val="22"/>
                <w:lang w:val="es-ES_tradnl"/>
              </w:rPr>
              <w:t>Pago de anticipo</w:t>
            </w:r>
            <w:bookmarkEnd w:id="2141"/>
            <w:bookmarkEnd w:id="2142"/>
            <w:bookmarkEnd w:id="2143"/>
            <w:bookmarkEnd w:id="2144"/>
            <w:bookmarkEnd w:id="2145"/>
            <w:bookmarkEnd w:id="2146"/>
          </w:p>
        </w:tc>
      </w:tr>
      <w:tr w:rsidR="00F7749D" w:rsidRPr="00D55B2B" w14:paraId="63CA5008" w14:textId="77777777" w:rsidTr="00D23A40">
        <w:tblPrEx>
          <w:jc w:val="left"/>
        </w:tblPrEx>
        <w:trPr>
          <w:trHeight w:val="20"/>
        </w:trPr>
        <w:tc>
          <w:tcPr>
            <w:tcW w:w="805" w:type="dxa"/>
            <w:tcBorders>
              <w:right w:val="nil"/>
            </w:tcBorders>
            <w:shd w:val="clear" w:color="auto" w:fill="auto"/>
          </w:tcPr>
          <w:p w14:paraId="7C93362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9095A9"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Contratante pagará al Contratista un anticipo por el monto </w:t>
            </w:r>
            <w:r w:rsidRPr="00D55B2B">
              <w:rPr>
                <w:rFonts w:ascii="Arial" w:hAnsi="Arial" w:cs="Arial"/>
                <w:b/>
                <w:bCs/>
                <w:sz w:val="22"/>
                <w:szCs w:val="22"/>
              </w:rPr>
              <w:t>estipulado en las CPC</w:t>
            </w:r>
            <w:r w:rsidRPr="00D55B2B">
              <w:rPr>
                <w:rFonts w:ascii="Arial" w:hAnsi="Arial" w:cs="Arial"/>
                <w:sz w:val="22"/>
                <w:szCs w:val="22"/>
              </w:rPr>
              <w:t xml:space="preserve"> en la fecha </w:t>
            </w:r>
            <w:r w:rsidRPr="00D55B2B">
              <w:rPr>
                <w:rFonts w:ascii="Arial" w:hAnsi="Arial" w:cs="Arial"/>
                <w:b/>
                <w:bCs/>
                <w:sz w:val="22"/>
                <w:szCs w:val="22"/>
              </w:rPr>
              <w:t>establecida en las CPC</w:t>
            </w:r>
            <w:r w:rsidRPr="00D55B2B">
              <w:rPr>
                <w:rFonts w:ascii="Arial" w:hAnsi="Arial" w:cs="Arial"/>
                <w:sz w:val="22"/>
                <w:szCs w:val="22"/>
              </w:rPr>
              <w:t>, contra la presentación por el Contratista de una garantía bancaria, fianza o cualquier otro tipo de instrumento financiero de fácil ejecución emitida por instituciones financieras o aseguradoras, aceptable para el Contratante en los mismos montos y monedas del anticipo basada en los formatos incluidos en el Apéndice I. La garantía deberá permanecer vigente hasta que el anticipo pagado haya sido reembolsado; no obstante, el monto de la garantía será reducido progresivamente en las cantidades reembolsadas por el Contratista. El anticipo no devengará intereses.</w:t>
            </w:r>
          </w:p>
        </w:tc>
      </w:tr>
      <w:tr w:rsidR="00F7749D" w:rsidRPr="00D55B2B" w14:paraId="70DB27A3" w14:textId="77777777" w:rsidTr="00D23A40">
        <w:tblPrEx>
          <w:jc w:val="left"/>
        </w:tblPrEx>
        <w:trPr>
          <w:trHeight w:val="20"/>
        </w:trPr>
        <w:tc>
          <w:tcPr>
            <w:tcW w:w="805" w:type="dxa"/>
            <w:tcBorders>
              <w:right w:val="nil"/>
            </w:tcBorders>
            <w:shd w:val="clear" w:color="auto" w:fill="auto"/>
          </w:tcPr>
          <w:p w14:paraId="636D225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CCC335B"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al Gerente de Obras de copias de las facturas correspondientes u otros documentos.</w:t>
            </w:r>
          </w:p>
        </w:tc>
      </w:tr>
      <w:tr w:rsidR="00F7749D" w:rsidRPr="00D55B2B" w14:paraId="49464FAF" w14:textId="77777777" w:rsidTr="00D23A40">
        <w:tblPrEx>
          <w:jc w:val="left"/>
        </w:tblPrEx>
        <w:trPr>
          <w:trHeight w:val="20"/>
        </w:trPr>
        <w:tc>
          <w:tcPr>
            <w:tcW w:w="805" w:type="dxa"/>
            <w:tcBorders>
              <w:right w:val="nil"/>
            </w:tcBorders>
            <w:shd w:val="clear" w:color="auto" w:fill="auto"/>
          </w:tcPr>
          <w:p w14:paraId="228C828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378B863"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o liquidación por daños y perjuicios.</w:t>
            </w:r>
          </w:p>
        </w:tc>
      </w:tr>
      <w:tr w:rsidR="00F7749D" w:rsidRPr="00D55B2B" w14:paraId="25267383" w14:textId="77777777" w:rsidTr="00D23A40">
        <w:tblPrEx>
          <w:jc w:val="left"/>
        </w:tblPrEx>
        <w:trPr>
          <w:trHeight w:val="20"/>
        </w:trPr>
        <w:tc>
          <w:tcPr>
            <w:tcW w:w="9355" w:type="dxa"/>
            <w:gridSpan w:val="2"/>
            <w:shd w:val="clear" w:color="auto" w:fill="auto"/>
          </w:tcPr>
          <w:p w14:paraId="296BBC6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47" w:name="_Toc47917003"/>
            <w:bookmarkStart w:id="2148" w:name="_Toc74048280"/>
            <w:bookmarkStart w:id="2149" w:name="_Toc74518520"/>
            <w:bookmarkStart w:id="2150" w:name="_Toc74519250"/>
            <w:bookmarkStart w:id="2151" w:name="_Toc74781440"/>
            <w:bookmarkStart w:id="2152" w:name="_Toc74930953"/>
            <w:r w:rsidRPr="00D55B2B">
              <w:rPr>
                <w:rFonts w:cs="Arial"/>
                <w:sz w:val="22"/>
                <w:szCs w:val="22"/>
                <w:lang w:val="es-ES_tradnl"/>
              </w:rPr>
              <w:t>Certificados de pago</w:t>
            </w:r>
            <w:bookmarkEnd w:id="2147"/>
            <w:bookmarkEnd w:id="2148"/>
            <w:bookmarkEnd w:id="2149"/>
            <w:bookmarkEnd w:id="2150"/>
            <w:bookmarkEnd w:id="2151"/>
            <w:bookmarkEnd w:id="2152"/>
          </w:p>
        </w:tc>
      </w:tr>
      <w:tr w:rsidR="00F7749D" w:rsidRPr="00D55B2B" w14:paraId="483535CB" w14:textId="77777777" w:rsidTr="00D23A40">
        <w:tblPrEx>
          <w:jc w:val="left"/>
        </w:tblPrEx>
        <w:trPr>
          <w:trHeight w:val="20"/>
        </w:trPr>
        <w:tc>
          <w:tcPr>
            <w:tcW w:w="805" w:type="dxa"/>
            <w:tcBorders>
              <w:right w:val="nil"/>
            </w:tcBorders>
            <w:shd w:val="clear" w:color="auto" w:fill="auto"/>
          </w:tcPr>
          <w:p w14:paraId="4F2A2AC0"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FB6F081"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Contratista presentará al Gerente de Obras facturas mensuales por el valor estimado de los trabajos ejecutados menos las sumas acumuladas previamente certificadas por el Gerente de Obras de conformidad con la subcláusula 49.5.</w:t>
            </w:r>
          </w:p>
        </w:tc>
      </w:tr>
      <w:tr w:rsidR="00F7749D" w:rsidRPr="00D55B2B" w14:paraId="66CDA667" w14:textId="77777777" w:rsidTr="00D23A40">
        <w:tblPrEx>
          <w:jc w:val="left"/>
        </w:tblPrEx>
        <w:trPr>
          <w:trHeight w:val="20"/>
        </w:trPr>
        <w:tc>
          <w:tcPr>
            <w:tcW w:w="805" w:type="dxa"/>
            <w:tcBorders>
              <w:right w:val="nil"/>
            </w:tcBorders>
            <w:shd w:val="clear" w:color="auto" w:fill="auto"/>
          </w:tcPr>
          <w:p w14:paraId="3C5D77A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8C4F3E6"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lang w:val="es-HN"/>
              </w:rPr>
              <w:t xml:space="preserve">Dentro del plazo </w:t>
            </w:r>
            <w:r w:rsidRPr="00D55B2B">
              <w:rPr>
                <w:rFonts w:ascii="Arial" w:hAnsi="Arial" w:cs="Arial"/>
                <w:b/>
                <w:bCs/>
                <w:spacing w:val="-3"/>
                <w:sz w:val="22"/>
                <w:szCs w:val="22"/>
                <w:lang w:val="es-HN"/>
              </w:rPr>
              <w:t>determinado en las CPC</w:t>
            </w:r>
            <w:r w:rsidRPr="00D55B2B">
              <w:rPr>
                <w:rFonts w:ascii="Arial" w:hAnsi="Arial" w:cs="Arial"/>
                <w:spacing w:val="-3"/>
                <w:sz w:val="22"/>
                <w:szCs w:val="22"/>
                <w:lang w:val="es-HN"/>
              </w:rPr>
              <w:t xml:space="preserve">, </w:t>
            </w:r>
            <w:r w:rsidRPr="00D55B2B">
              <w:rPr>
                <w:rFonts w:ascii="Arial" w:hAnsi="Arial" w:cs="Arial"/>
                <w:spacing w:val="-3"/>
                <w:sz w:val="22"/>
                <w:szCs w:val="22"/>
              </w:rPr>
              <w:t xml:space="preserve">el Gerente de Obras verificará las facturas mensuales del Contratista y certificará la suma que deberá pagársele sobre la base de una evaluación de los documentos presentados por el Contratista junto con las facturas. </w:t>
            </w:r>
          </w:p>
        </w:tc>
      </w:tr>
      <w:tr w:rsidR="00F7749D" w:rsidRPr="00D55B2B" w14:paraId="373DB37E" w14:textId="77777777" w:rsidTr="00D23A40">
        <w:tblPrEx>
          <w:jc w:val="left"/>
        </w:tblPrEx>
        <w:trPr>
          <w:trHeight w:val="20"/>
        </w:trPr>
        <w:tc>
          <w:tcPr>
            <w:tcW w:w="805" w:type="dxa"/>
            <w:tcBorders>
              <w:right w:val="nil"/>
            </w:tcBorders>
            <w:shd w:val="clear" w:color="auto" w:fill="auto"/>
          </w:tcPr>
          <w:p w14:paraId="7A75B42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08E1EBB"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ES"/>
              </w:rPr>
              <w:t xml:space="preserve">El </w:t>
            </w:r>
            <w:r w:rsidRPr="00D55B2B">
              <w:rPr>
                <w:rFonts w:ascii="Arial" w:hAnsi="Arial" w:cs="Arial"/>
                <w:spacing w:val="-3"/>
                <w:sz w:val="22"/>
                <w:szCs w:val="22"/>
              </w:rPr>
              <w:t>Gerente</w:t>
            </w:r>
            <w:r w:rsidRPr="00D55B2B">
              <w:rPr>
                <w:rFonts w:ascii="Arial" w:hAnsi="Arial" w:cs="Arial"/>
                <w:sz w:val="22"/>
                <w:szCs w:val="22"/>
                <w:lang w:val="es-ES"/>
              </w:rPr>
              <w:t xml:space="preserve"> del Obras determinará el valor de los trabajos ejecutados, </w:t>
            </w:r>
            <w:r w:rsidRPr="00D55B2B">
              <w:rPr>
                <w:rFonts w:ascii="Arial" w:hAnsi="Arial" w:cs="Arial"/>
                <w:spacing w:val="-3"/>
                <w:sz w:val="22"/>
                <w:szCs w:val="22"/>
              </w:rPr>
              <w:t>precisará los montos adeudados al Contratista y emitirá los certificados de pago correspondientes.</w:t>
            </w:r>
          </w:p>
        </w:tc>
      </w:tr>
      <w:tr w:rsidR="00F7749D" w:rsidRPr="00D55B2B" w14:paraId="525A56FE" w14:textId="77777777" w:rsidTr="00D23A40">
        <w:tblPrEx>
          <w:jc w:val="left"/>
        </w:tblPrEx>
        <w:trPr>
          <w:trHeight w:val="20"/>
        </w:trPr>
        <w:tc>
          <w:tcPr>
            <w:tcW w:w="805" w:type="dxa"/>
            <w:tcBorders>
              <w:right w:val="nil"/>
            </w:tcBorders>
            <w:shd w:val="clear" w:color="auto" w:fill="auto"/>
          </w:tcPr>
          <w:p w14:paraId="551BAE2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1F5160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valor de los trabajos ejecutados comprenderá el valor de las cantidades terminadas de los rubros incluidos en la Lista de cantidades con precios unitarios e incluirá, en su caso, la estimación de las Variaciones y de los Eventos Compensables.</w:t>
            </w:r>
          </w:p>
        </w:tc>
      </w:tr>
      <w:tr w:rsidR="00F7749D" w:rsidRPr="00D55B2B" w14:paraId="79A3130A" w14:textId="77777777" w:rsidTr="00D23A40">
        <w:tblPrEx>
          <w:jc w:val="left"/>
        </w:tblPrEx>
        <w:trPr>
          <w:trHeight w:val="20"/>
        </w:trPr>
        <w:tc>
          <w:tcPr>
            <w:tcW w:w="805" w:type="dxa"/>
            <w:tcBorders>
              <w:right w:val="nil"/>
            </w:tcBorders>
            <w:shd w:val="clear" w:color="auto" w:fill="auto"/>
          </w:tcPr>
          <w:p w14:paraId="6EC8294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FE5B024"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pacing w:val="-3"/>
                <w:sz w:val="22"/>
                <w:szCs w:val="22"/>
                <w:lang w:val="es-ES"/>
              </w:rPr>
              <w:t>En consideración de información más reciente</w:t>
            </w:r>
            <w:r w:rsidRPr="00D55B2B">
              <w:rPr>
                <w:rFonts w:ascii="Arial" w:hAnsi="Arial" w:cs="Arial"/>
                <w:sz w:val="22"/>
                <w:szCs w:val="22"/>
                <w:lang w:val="es-ES"/>
              </w:rPr>
              <w:t xml:space="preserve">, el Gerente de Obras puede </w:t>
            </w:r>
            <w:r w:rsidRPr="00D55B2B">
              <w:rPr>
                <w:rFonts w:ascii="Arial" w:hAnsi="Arial" w:cs="Arial"/>
                <w:spacing w:val="-3"/>
                <w:sz w:val="22"/>
                <w:szCs w:val="22"/>
                <w:lang w:val="es-ES"/>
              </w:rPr>
              <w:t>excluir cualquier rubro incluido en un certificado anterior o reducir la proporción de cualquier rubro que se hubiera certificado anteriormente</w:t>
            </w:r>
            <w:r w:rsidRPr="00D55B2B">
              <w:rPr>
                <w:rFonts w:ascii="Arial" w:hAnsi="Arial" w:cs="Arial"/>
                <w:sz w:val="22"/>
                <w:szCs w:val="22"/>
                <w:lang w:val="es-ES"/>
              </w:rPr>
              <w:t>.</w:t>
            </w:r>
          </w:p>
        </w:tc>
      </w:tr>
      <w:tr w:rsidR="00F7749D" w:rsidRPr="00D55B2B" w14:paraId="17D6F282" w14:textId="77777777" w:rsidTr="00D23A40">
        <w:tblPrEx>
          <w:jc w:val="left"/>
        </w:tblPrEx>
        <w:trPr>
          <w:trHeight w:val="20"/>
        </w:trPr>
        <w:tc>
          <w:tcPr>
            <w:tcW w:w="805" w:type="dxa"/>
            <w:tcBorders>
              <w:right w:val="nil"/>
            </w:tcBorders>
            <w:shd w:val="clear" w:color="auto" w:fill="auto"/>
          </w:tcPr>
          <w:p w14:paraId="001E6F2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A9B0336" w14:textId="77777777" w:rsidR="00F7749D" w:rsidRPr="00D55B2B" w:rsidRDefault="00F7749D" w:rsidP="00D23A40">
            <w:pPr>
              <w:spacing w:before="60" w:after="60"/>
              <w:rPr>
                <w:rFonts w:ascii="Arial" w:hAnsi="Arial" w:cs="Arial"/>
                <w:spacing w:val="-3"/>
                <w:sz w:val="22"/>
                <w:szCs w:val="22"/>
                <w:lang w:val="es-ES"/>
              </w:rPr>
            </w:pPr>
            <w:r w:rsidRPr="00D55B2B">
              <w:rPr>
                <w:rFonts w:ascii="Arial" w:hAnsi="Arial" w:cs="Arial"/>
                <w:spacing w:val="-3"/>
                <w:sz w:val="22"/>
                <w:szCs w:val="22"/>
              </w:rPr>
              <w:t>Se entenderá que los rubros de las Obras para los cuales el Contratista no indicó precio están cubiertos en otros precios en el Contrato, por lo que no serán considerados para el pago.</w:t>
            </w:r>
          </w:p>
        </w:tc>
      </w:tr>
      <w:tr w:rsidR="00F7749D" w:rsidRPr="00D55B2B" w14:paraId="32C446F2" w14:textId="77777777" w:rsidTr="00D23A40">
        <w:tblPrEx>
          <w:jc w:val="left"/>
        </w:tblPrEx>
        <w:trPr>
          <w:trHeight w:val="20"/>
        </w:trPr>
        <w:tc>
          <w:tcPr>
            <w:tcW w:w="9355" w:type="dxa"/>
            <w:gridSpan w:val="2"/>
            <w:shd w:val="clear" w:color="auto" w:fill="auto"/>
          </w:tcPr>
          <w:p w14:paraId="2C221675"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53" w:name="_Toc47917004"/>
            <w:bookmarkStart w:id="2154" w:name="_Toc74048281"/>
            <w:bookmarkStart w:id="2155" w:name="_Toc74518521"/>
            <w:bookmarkStart w:id="2156" w:name="_Toc74519251"/>
            <w:bookmarkStart w:id="2157" w:name="_Toc74781441"/>
            <w:bookmarkStart w:id="2158" w:name="_Toc74930954"/>
            <w:r w:rsidRPr="00D55B2B">
              <w:rPr>
                <w:rFonts w:cs="Arial"/>
                <w:sz w:val="22"/>
                <w:szCs w:val="22"/>
                <w:lang w:val="es-ES_tradnl"/>
              </w:rPr>
              <w:t>Pagos</w:t>
            </w:r>
            <w:bookmarkEnd w:id="2153"/>
            <w:bookmarkEnd w:id="2154"/>
            <w:bookmarkEnd w:id="2155"/>
            <w:bookmarkEnd w:id="2156"/>
            <w:bookmarkEnd w:id="2157"/>
            <w:bookmarkEnd w:id="2158"/>
          </w:p>
        </w:tc>
      </w:tr>
      <w:tr w:rsidR="00F7749D" w:rsidRPr="00D55B2B" w14:paraId="69C1A894" w14:textId="77777777" w:rsidTr="00D23A40">
        <w:tblPrEx>
          <w:jc w:val="left"/>
        </w:tblPrEx>
        <w:trPr>
          <w:trHeight w:val="20"/>
        </w:trPr>
        <w:tc>
          <w:tcPr>
            <w:tcW w:w="805" w:type="dxa"/>
            <w:tcBorders>
              <w:right w:val="nil"/>
            </w:tcBorders>
            <w:shd w:val="clear" w:color="auto" w:fill="auto"/>
          </w:tcPr>
          <w:p w14:paraId="2EE26D7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8EF108"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Los pagos se ajustarán para deducir los pagos de anticipo y las retenciones. </w:t>
            </w:r>
            <w:r w:rsidRPr="00D55B2B">
              <w:rPr>
                <w:rFonts w:ascii="Arial" w:hAnsi="Arial" w:cs="Arial"/>
                <w:spacing w:val="-3"/>
                <w:sz w:val="22"/>
                <w:szCs w:val="22"/>
              </w:rPr>
              <w:t xml:space="preserve">Salvo que se establezca otra cosa </w:t>
            </w:r>
            <w:r w:rsidRPr="00D55B2B">
              <w:rPr>
                <w:rFonts w:ascii="Arial" w:hAnsi="Arial" w:cs="Arial"/>
                <w:b/>
                <w:bCs/>
                <w:spacing w:val="-3"/>
                <w:sz w:val="22"/>
                <w:szCs w:val="22"/>
              </w:rPr>
              <w:t>en las CPC</w:t>
            </w:r>
            <w:r w:rsidRPr="00D55B2B">
              <w:rPr>
                <w:rFonts w:ascii="Arial" w:hAnsi="Arial" w:cs="Arial"/>
                <w:spacing w:val="-3"/>
                <w:sz w:val="22"/>
                <w:szCs w:val="22"/>
              </w:rPr>
              <w:t>, todos los pagos y deducciones se efectuarán en las proporciones de las monedas en que está expresado el Precio del Contrato.</w:t>
            </w:r>
          </w:p>
        </w:tc>
      </w:tr>
      <w:tr w:rsidR="00F7749D" w:rsidRPr="00D55B2B" w14:paraId="60857C7A" w14:textId="77777777" w:rsidTr="00D23A40">
        <w:tblPrEx>
          <w:jc w:val="left"/>
        </w:tblPrEx>
        <w:trPr>
          <w:trHeight w:val="20"/>
        </w:trPr>
        <w:tc>
          <w:tcPr>
            <w:tcW w:w="805" w:type="dxa"/>
            <w:tcBorders>
              <w:right w:val="nil"/>
            </w:tcBorders>
            <w:shd w:val="clear" w:color="auto" w:fill="auto"/>
          </w:tcPr>
          <w:p w14:paraId="456D2C74"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84F2D32" w14:textId="77777777" w:rsidR="00F7749D" w:rsidRPr="00D55B2B" w:rsidRDefault="00F7749D" w:rsidP="00D23A40">
            <w:pPr>
              <w:spacing w:before="60" w:after="60"/>
              <w:rPr>
                <w:rFonts w:ascii="Arial" w:hAnsi="Arial" w:cs="Arial"/>
                <w:color w:val="00B050"/>
                <w:spacing w:val="-3"/>
                <w:sz w:val="22"/>
                <w:szCs w:val="22"/>
              </w:rPr>
            </w:pPr>
            <w:r w:rsidRPr="00D55B2B">
              <w:rPr>
                <w:rFonts w:ascii="Arial" w:hAnsi="Arial" w:cs="Arial"/>
                <w:sz w:val="22"/>
                <w:szCs w:val="22"/>
                <w:lang w:val="es-ES"/>
              </w:rPr>
              <w:t xml:space="preserve">El Contratante pagará al Contratista los montos certificados por el Gerente de Obras dentro del plazo </w:t>
            </w:r>
            <w:r w:rsidRPr="00D55B2B">
              <w:rPr>
                <w:rFonts w:ascii="Arial" w:hAnsi="Arial" w:cs="Arial"/>
                <w:b/>
                <w:bCs/>
                <w:sz w:val="22"/>
                <w:szCs w:val="22"/>
                <w:lang w:val="es-ES"/>
              </w:rPr>
              <w:t>indicado en las CPC</w:t>
            </w:r>
            <w:r w:rsidRPr="00D55B2B">
              <w:rPr>
                <w:rFonts w:ascii="Arial" w:hAnsi="Arial" w:cs="Arial"/>
                <w:sz w:val="22"/>
                <w:szCs w:val="22"/>
                <w:lang w:val="es-ES"/>
              </w:rPr>
              <w:t xml:space="preserve"> a partir de la fecha de cada certificado.</w:t>
            </w:r>
          </w:p>
        </w:tc>
      </w:tr>
      <w:tr w:rsidR="00F7749D" w:rsidRPr="00D55B2B" w14:paraId="12EDDA7C" w14:textId="77777777" w:rsidTr="00D23A40">
        <w:tblPrEx>
          <w:jc w:val="left"/>
        </w:tblPrEx>
        <w:trPr>
          <w:trHeight w:val="20"/>
        </w:trPr>
        <w:tc>
          <w:tcPr>
            <w:tcW w:w="805" w:type="dxa"/>
            <w:tcBorders>
              <w:right w:val="nil"/>
            </w:tcBorders>
            <w:shd w:val="clear" w:color="auto" w:fill="auto"/>
          </w:tcPr>
          <w:p w14:paraId="7C053FB0"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694E4D"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Si el Contratante efectúa un pago atrasado, en el pago siguiente deberá pagar al Contratista intereses sobre el pago atrasado. Los intereses se calcularán desde la fecha en que el pago atrasado debería haberse efectuado hasta la fecha en que este se cancele a la tasa de interés </w:t>
            </w:r>
            <w:r w:rsidRPr="00D55B2B">
              <w:rPr>
                <w:rFonts w:ascii="Arial" w:hAnsi="Arial" w:cs="Arial"/>
                <w:b/>
                <w:bCs/>
                <w:sz w:val="22"/>
                <w:szCs w:val="22"/>
                <w:lang w:val="es-ES"/>
              </w:rPr>
              <w:t>que se especifica en las CPC</w:t>
            </w:r>
            <w:r w:rsidRPr="00D55B2B">
              <w:rPr>
                <w:rFonts w:ascii="Arial" w:hAnsi="Arial" w:cs="Arial"/>
                <w:sz w:val="22"/>
                <w:szCs w:val="22"/>
                <w:lang w:val="es-ES"/>
              </w:rPr>
              <w:t xml:space="preserve"> para cada una de las monedas de pago.</w:t>
            </w:r>
          </w:p>
        </w:tc>
      </w:tr>
      <w:tr w:rsidR="00F7749D" w:rsidRPr="00D55B2B" w14:paraId="60AB5EF5" w14:textId="77777777" w:rsidTr="00D23A40">
        <w:tblPrEx>
          <w:jc w:val="left"/>
        </w:tblPrEx>
        <w:trPr>
          <w:trHeight w:val="20"/>
        </w:trPr>
        <w:tc>
          <w:tcPr>
            <w:tcW w:w="805" w:type="dxa"/>
            <w:tcBorders>
              <w:right w:val="nil"/>
            </w:tcBorders>
            <w:shd w:val="clear" w:color="auto" w:fill="auto"/>
          </w:tcPr>
          <w:p w14:paraId="49E379E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6C93963"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ES"/>
              </w:rPr>
              <w:t>Si un monto certificado se ve incrementado en un certificado posterior o como resultado de un acuerdo alcanzado entre las partes previo al arbitraje o de un laudo arbitral, se pagarán intereses al Contratista sobre el pago demorado, como se establece en la subcláusula 50.3. Los intereses se calcularán a partir de la fecha en que debería haberse certificado dicho incremento si no hubiera habido controversia.</w:t>
            </w:r>
          </w:p>
        </w:tc>
      </w:tr>
      <w:tr w:rsidR="00F7749D" w:rsidRPr="00D55B2B" w14:paraId="68108524" w14:textId="77777777" w:rsidTr="00D23A40">
        <w:tblPrEx>
          <w:jc w:val="left"/>
        </w:tblPrEx>
        <w:trPr>
          <w:trHeight w:val="20"/>
        </w:trPr>
        <w:tc>
          <w:tcPr>
            <w:tcW w:w="9355" w:type="dxa"/>
            <w:gridSpan w:val="2"/>
            <w:shd w:val="clear" w:color="auto" w:fill="auto"/>
          </w:tcPr>
          <w:p w14:paraId="2966CE99"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59" w:name="_Toc47917005"/>
            <w:bookmarkStart w:id="2160" w:name="_Toc74048282"/>
            <w:bookmarkStart w:id="2161" w:name="_Toc74518522"/>
            <w:bookmarkStart w:id="2162" w:name="_Toc74519252"/>
            <w:bookmarkStart w:id="2163" w:name="_Toc74781442"/>
            <w:bookmarkStart w:id="2164" w:name="_Toc74930955"/>
            <w:r w:rsidRPr="00D55B2B">
              <w:rPr>
                <w:rFonts w:cs="Arial"/>
                <w:sz w:val="22"/>
                <w:szCs w:val="22"/>
                <w:lang w:val="es-ES_tradnl"/>
              </w:rPr>
              <w:t>Monedas</w:t>
            </w:r>
            <w:bookmarkEnd w:id="2159"/>
            <w:bookmarkEnd w:id="2160"/>
            <w:bookmarkEnd w:id="2161"/>
            <w:bookmarkEnd w:id="2162"/>
            <w:bookmarkEnd w:id="2163"/>
            <w:bookmarkEnd w:id="2164"/>
          </w:p>
        </w:tc>
      </w:tr>
      <w:tr w:rsidR="00F7749D" w:rsidRPr="00D55B2B" w14:paraId="7CEB2D03" w14:textId="77777777" w:rsidTr="00D23A40">
        <w:tblPrEx>
          <w:jc w:val="left"/>
        </w:tblPrEx>
        <w:trPr>
          <w:trHeight w:val="20"/>
        </w:trPr>
        <w:tc>
          <w:tcPr>
            <w:tcW w:w="805" w:type="dxa"/>
            <w:tcBorders>
              <w:right w:val="nil"/>
            </w:tcBorders>
            <w:shd w:val="clear" w:color="auto" w:fill="auto"/>
          </w:tcPr>
          <w:p w14:paraId="5CD0B3C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D8EDE18" w14:textId="77777777" w:rsidR="00F7749D" w:rsidRPr="00D55B2B" w:rsidRDefault="00F7749D" w:rsidP="00D23A40">
            <w:pPr>
              <w:spacing w:before="60" w:after="60"/>
              <w:rPr>
                <w:rFonts w:ascii="Arial" w:hAnsi="Arial" w:cs="Arial"/>
                <w:color w:val="00B050"/>
                <w:sz w:val="22"/>
                <w:szCs w:val="22"/>
              </w:rPr>
            </w:pPr>
            <w:r w:rsidRPr="00D55B2B">
              <w:rPr>
                <w:rFonts w:ascii="Arial" w:hAnsi="Arial" w:cs="Arial"/>
                <w:spacing w:val="-3"/>
                <w:sz w:val="22"/>
                <w:szCs w:val="22"/>
              </w:rPr>
              <w:t xml:space="preserve">Cuando los pagos se deban hacer en monedas diferentes a la del país del Contratante </w:t>
            </w:r>
            <w:r w:rsidRPr="00D55B2B">
              <w:rPr>
                <w:rFonts w:ascii="Arial" w:hAnsi="Arial" w:cs="Arial"/>
                <w:bCs/>
                <w:spacing w:val="-3"/>
                <w:sz w:val="22"/>
                <w:szCs w:val="22"/>
              </w:rPr>
              <w:t>estipulada en las</w:t>
            </w:r>
            <w:r w:rsidRPr="00D55B2B">
              <w:rPr>
                <w:rFonts w:ascii="Arial" w:hAnsi="Arial" w:cs="Arial"/>
                <w:b/>
                <w:bCs/>
                <w:spacing w:val="-3"/>
                <w:sz w:val="22"/>
                <w:szCs w:val="22"/>
              </w:rPr>
              <w:t xml:space="preserve"> CPC</w:t>
            </w:r>
            <w:r w:rsidRPr="00D55B2B">
              <w:rPr>
                <w:rFonts w:ascii="Arial" w:hAnsi="Arial" w:cs="Arial"/>
                <w:spacing w:val="-3"/>
                <w:sz w:val="22"/>
                <w:szCs w:val="22"/>
              </w:rPr>
              <w:t>, las tasas de cambio que se utilizarán para calcular las sumas pagaderas serán las estipuladas en la Oferta.</w:t>
            </w:r>
          </w:p>
        </w:tc>
      </w:tr>
      <w:tr w:rsidR="00F7749D" w:rsidRPr="00D55B2B" w14:paraId="32545461" w14:textId="77777777" w:rsidTr="00D23A40">
        <w:tblPrEx>
          <w:jc w:val="left"/>
        </w:tblPrEx>
        <w:trPr>
          <w:trHeight w:val="20"/>
        </w:trPr>
        <w:tc>
          <w:tcPr>
            <w:tcW w:w="9355" w:type="dxa"/>
            <w:gridSpan w:val="2"/>
            <w:shd w:val="clear" w:color="auto" w:fill="auto"/>
          </w:tcPr>
          <w:p w14:paraId="652AB45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65" w:name="_Toc47917006"/>
            <w:bookmarkStart w:id="2166" w:name="_Toc74048283"/>
            <w:bookmarkStart w:id="2167" w:name="_Toc74518523"/>
            <w:bookmarkStart w:id="2168" w:name="_Toc74519253"/>
            <w:bookmarkStart w:id="2169" w:name="_Toc74781443"/>
            <w:bookmarkStart w:id="2170" w:name="_Toc74930956"/>
            <w:r w:rsidRPr="00D55B2B">
              <w:rPr>
                <w:rFonts w:cs="Arial"/>
                <w:sz w:val="22"/>
                <w:szCs w:val="22"/>
                <w:lang w:val="es-ES_tradnl"/>
              </w:rPr>
              <w:t>Eventos Compensables</w:t>
            </w:r>
            <w:bookmarkEnd w:id="2165"/>
            <w:bookmarkEnd w:id="2166"/>
            <w:bookmarkEnd w:id="2167"/>
            <w:bookmarkEnd w:id="2168"/>
            <w:bookmarkEnd w:id="2169"/>
            <w:bookmarkEnd w:id="2170"/>
          </w:p>
        </w:tc>
      </w:tr>
      <w:tr w:rsidR="00F7749D" w:rsidRPr="00D55B2B" w14:paraId="07E8B4B0" w14:textId="77777777" w:rsidTr="00D23A40">
        <w:tblPrEx>
          <w:jc w:val="left"/>
        </w:tblPrEx>
        <w:trPr>
          <w:trHeight w:val="20"/>
        </w:trPr>
        <w:tc>
          <w:tcPr>
            <w:tcW w:w="805" w:type="dxa"/>
            <w:tcBorders>
              <w:right w:val="nil"/>
            </w:tcBorders>
            <w:shd w:val="clear" w:color="auto" w:fill="auto"/>
          </w:tcPr>
          <w:p w14:paraId="6835D59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450FA11" w14:textId="77777777" w:rsidR="00F7749D" w:rsidRPr="00D55B2B" w:rsidRDefault="00F7749D" w:rsidP="00D23A40">
            <w:pPr>
              <w:suppressAutoHyphens/>
              <w:spacing w:before="60" w:after="60"/>
              <w:rPr>
                <w:rFonts w:ascii="Arial" w:hAnsi="Arial" w:cs="Arial"/>
                <w:spacing w:val="-3"/>
                <w:sz w:val="22"/>
                <w:szCs w:val="22"/>
              </w:rPr>
            </w:pPr>
            <w:r w:rsidRPr="00D55B2B">
              <w:rPr>
                <w:rFonts w:ascii="Arial" w:hAnsi="Arial" w:cs="Arial"/>
                <w:spacing w:val="-3"/>
                <w:sz w:val="22"/>
                <w:szCs w:val="22"/>
              </w:rPr>
              <w:t>Se considerarán Eventos Compensables los siguientes:</w:t>
            </w:r>
          </w:p>
          <w:p w14:paraId="61965F0D"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Contratante no permite acceso a una parte del Sitio de las Obras en la Fecha de Posesión del Sitio de las Obras de acuerdo con la subcláusula 25.1 de las CGC.</w:t>
            </w:r>
          </w:p>
          <w:p w14:paraId="60C95FBF"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Contratante modifica la Lista de Otros Contratistas de tal manera que afecta el trabajo del Contratista en virtud del Contrato.</w:t>
            </w:r>
          </w:p>
          <w:p w14:paraId="286AFD0D"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anticipo se paga con retraso.</w:t>
            </w:r>
          </w:p>
          <w:p w14:paraId="2B7AAD52"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 xml:space="preserve">Las condiciones del terreno son más desfavorables de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C57F536"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Gerente de Obras ordena una demora o no emite los Planos, las Especificaciones o las instrucciones necesarias para la ejecución oportuna de las Obras.</w:t>
            </w:r>
          </w:p>
          <w:p w14:paraId="7566EAF6"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Gerente de Obras ordena al Contratista que ponga al descubierto los trabajos o que realice pruebas adicionales a los trabajos y se comprueba posteriormente que los mismos no presentaban Defectos.</w:t>
            </w:r>
          </w:p>
          <w:p w14:paraId="0850D11D"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Gerente de Obras sin justificación desaprueba una subcontratación.</w:t>
            </w:r>
          </w:p>
          <w:p w14:paraId="1F72EED3"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Gerente de Obras imparte una instrucción para lidiar con una condición imprevista causada por el Contratante o de ejecutar trabajos adicionales que son necesarios por razones de seguridad u otros motivos.</w:t>
            </w:r>
          </w:p>
          <w:p w14:paraId="1740CB5A"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Otros contratistas, autoridades públicas, empresas de servicios públicos, o el Contratante no trabajan conforme a las fechas y otras limitaciones estipuladas en el Contrato, causando demoras o costos adicionales al Contratista.</w:t>
            </w:r>
          </w:p>
          <w:p w14:paraId="2BC6061A"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Contratista demuestra que ha cumplido en rigor con todos los requisitos impuestos por las autoridades ambientales o locales para obtener permisos, licencias y consentimientos y esas autoridades fallan en otorgar los permisos, licencias y consentimientos dentro de los plazos que se otorgan a otras solicitudes semejantes.</w:t>
            </w:r>
          </w:p>
          <w:p w14:paraId="66E4D515"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Los efectos sobre el Contratista de cualquiera de los riesgos del Contratante.</w:t>
            </w:r>
          </w:p>
          <w:p w14:paraId="73CF64F6"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lastRenderedPageBreak/>
              <w:t>Los efectos sobre el Contratista de un evento de caso fortuito o fuerza mayor conforme se definen en la cláusula CGC 41.</w:t>
            </w:r>
          </w:p>
          <w:p w14:paraId="76612581" w14:textId="77777777" w:rsidR="00F7749D" w:rsidRPr="00D55B2B" w:rsidRDefault="00F7749D" w:rsidP="00F7749D">
            <w:pPr>
              <w:pStyle w:val="Prrafodelista"/>
              <w:numPr>
                <w:ilvl w:val="0"/>
                <w:numId w:val="72"/>
              </w:numPr>
              <w:suppressAutoHyphens/>
              <w:spacing w:before="60" w:after="60"/>
              <w:ind w:left="424"/>
              <w:rPr>
                <w:rFonts w:ascii="Arial" w:hAnsi="Arial" w:cs="Arial"/>
                <w:spacing w:val="-3"/>
                <w:sz w:val="22"/>
                <w:szCs w:val="22"/>
              </w:rPr>
            </w:pPr>
            <w:r w:rsidRPr="00D55B2B">
              <w:rPr>
                <w:rFonts w:ascii="Arial" w:hAnsi="Arial" w:cs="Arial"/>
                <w:spacing w:val="-3"/>
                <w:sz w:val="22"/>
                <w:szCs w:val="22"/>
              </w:rPr>
              <w:t>El Gerente de Obras demora sin justificación alguna la emisión del Certificado de Terminación.</w:t>
            </w:r>
          </w:p>
        </w:tc>
      </w:tr>
      <w:tr w:rsidR="00F7749D" w:rsidRPr="00D55B2B" w14:paraId="55971CC8" w14:textId="77777777" w:rsidTr="00D23A40">
        <w:trPr>
          <w:cantSplit/>
          <w:trHeight w:val="423"/>
          <w:jc w:val="center"/>
        </w:trPr>
        <w:tc>
          <w:tcPr>
            <w:tcW w:w="805" w:type="dxa"/>
            <w:tcBorders>
              <w:right w:val="nil"/>
            </w:tcBorders>
            <w:shd w:val="clear" w:color="auto" w:fill="auto"/>
          </w:tcPr>
          <w:p w14:paraId="056869E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1B48676"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Si un evento compensable ocasiona costos adicionales y/o impide que los trabajos se terminen en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tc>
      </w:tr>
      <w:tr w:rsidR="00F7749D" w:rsidRPr="00D55B2B" w14:paraId="42E94EFA" w14:textId="77777777" w:rsidTr="00D23A40">
        <w:trPr>
          <w:cantSplit/>
          <w:trHeight w:val="423"/>
          <w:jc w:val="center"/>
        </w:trPr>
        <w:tc>
          <w:tcPr>
            <w:tcW w:w="805" w:type="dxa"/>
            <w:tcBorders>
              <w:right w:val="nil"/>
            </w:tcBorders>
            <w:shd w:val="clear" w:color="auto" w:fill="auto"/>
          </w:tcPr>
          <w:p w14:paraId="2137FC2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BD203D0"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w:t>
            </w:r>
          </w:p>
        </w:tc>
      </w:tr>
      <w:tr w:rsidR="00F7749D" w:rsidRPr="00D55B2B" w14:paraId="0E948E44" w14:textId="77777777" w:rsidTr="00D23A40">
        <w:trPr>
          <w:cantSplit/>
          <w:trHeight w:val="423"/>
          <w:jc w:val="center"/>
        </w:trPr>
        <w:tc>
          <w:tcPr>
            <w:tcW w:w="805" w:type="dxa"/>
            <w:tcBorders>
              <w:right w:val="nil"/>
            </w:tcBorders>
            <w:shd w:val="clear" w:color="auto" w:fill="auto"/>
          </w:tcPr>
          <w:p w14:paraId="0B87B5F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05BD8AE"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En los casos mencionados en la subcláusula 52.1 el Gerente de Obras supondrá que el Contratista reaccionará en forma competente y oportuna frente al evento. El Contratista no tendrá derecho al pago de ninguna compensación en la medida en que los intereses del Contratante se vieran perjudicados si el Contratista no hubiera dado aviso oportuno o no hubiera cooperado con el Gerente de Obras.</w:t>
            </w:r>
          </w:p>
        </w:tc>
      </w:tr>
      <w:tr w:rsidR="00F7749D" w:rsidRPr="00D55B2B" w14:paraId="67EFDCD0" w14:textId="77777777" w:rsidTr="00D23A40">
        <w:tblPrEx>
          <w:jc w:val="left"/>
        </w:tblPrEx>
        <w:trPr>
          <w:trHeight w:val="20"/>
        </w:trPr>
        <w:tc>
          <w:tcPr>
            <w:tcW w:w="9355" w:type="dxa"/>
            <w:gridSpan w:val="2"/>
            <w:shd w:val="clear" w:color="auto" w:fill="auto"/>
          </w:tcPr>
          <w:p w14:paraId="74226E56"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71" w:name="_Toc47917007"/>
            <w:bookmarkStart w:id="2172" w:name="_Toc74048284"/>
            <w:bookmarkStart w:id="2173" w:name="_Toc74518524"/>
            <w:bookmarkStart w:id="2174" w:name="_Toc74519254"/>
            <w:bookmarkStart w:id="2175" w:name="_Toc74781444"/>
            <w:bookmarkStart w:id="2176" w:name="_Toc74930957"/>
            <w:r w:rsidRPr="00D55B2B">
              <w:rPr>
                <w:rFonts w:cs="Arial"/>
                <w:sz w:val="22"/>
                <w:szCs w:val="22"/>
                <w:lang w:val="es-ES_tradnl"/>
              </w:rPr>
              <w:t>Disposiciones tributarias</w:t>
            </w:r>
            <w:bookmarkEnd w:id="2171"/>
            <w:bookmarkEnd w:id="2172"/>
            <w:bookmarkEnd w:id="2173"/>
            <w:bookmarkEnd w:id="2174"/>
            <w:bookmarkEnd w:id="2175"/>
            <w:bookmarkEnd w:id="2176"/>
          </w:p>
        </w:tc>
      </w:tr>
      <w:tr w:rsidR="00F7749D" w:rsidRPr="00D55B2B" w14:paraId="651DA419" w14:textId="77777777" w:rsidTr="00D23A40">
        <w:tblPrEx>
          <w:jc w:val="left"/>
        </w:tblPrEx>
        <w:trPr>
          <w:trHeight w:val="20"/>
        </w:trPr>
        <w:tc>
          <w:tcPr>
            <w:tcW w:w="805" w:type="dxa"/>
            <w:tcBorders>
              <w:right w:val="nil"/>
            </w:tcBorders>
            <w:shd w:val="clear" w:color="auto" w:fill="auto"/>
          </w:tcPr>
          <w:p w14:paraId="77F7164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D1E0E76"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las cláusulas 49 y 54 de las CGC.</w:t>
            </w:r>
          </w:p>
        </w:tc>
      </w:tr>
      <w:tr w:rsidR="00F7749D" w:rsidRPr="00D55B2B" w14:paraId="2C644BBC" w14:textId="77777777" w:rsidTr="00D23A40">
        <w:tblPrEx>
          <w:jc w:val="left"/>
        </w:tblPrEx>
        <w:trPr>
          <w:trHeight w:val="20"/>
        </w:trPr>
        <w:tc>
          <w:tcPr>
            <w:tcW w:w="805" w:type="dxa"/>
            <w:tcBorders>
              <w:right w:val="nil"/>
            </w:tcBorders>
            <w:shd w:val="clear" w:color="auto" w:fill="auto"/>
          </w:tcPr>
          <w:p w14:paraId="3D2D4E1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E1A921E"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Cada una de las Partes cumplirá con el pago de las contribuciones, derechos, impuestos y demás cargas fiscales que, conforme a la ley aplicable, tengan la obligación de cubrir durante la vigencia, ejecución y cumplimiento del presente Contrato.</w:t>
            </w:r>
          </w:p>
        </w:tc>
      </w:tr>
      <w:tr w:rsidR="00F7749D" w:rsidRPr="00D55B2B" w14:paraId="6A89A30A" w14:textId="77777777" w:rsidTr="00D23A40">
        <w:tblPrEx>
          <w:jc w:val="left"/>
        </w:tblPrEx>
        <w:trPr>
          <w:trHeight w:val="20"/>
        </w:trPr>
        <w:tc>
          <w:tcPr>
            <w:tcW w:w="805" w:type="dxa"/>
            <w:tcBorders>
              <w:right w:val="nil"/>
            </w:tcBorders>
            <w:shd w:val="clear" w:color="auto" w:fill="auto"/>
          </w:tcPr>
          <w:p w14:paraId="1EBA460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B1D9FD5"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pacing w:val="-3"/>
                <w:sz w:val="22"/>
                <w:szCs w:val="22"/>
              </w:rPr>
              <w:t>Es responsabilidad del Contratista realizar todas las consultas necesarias a este respecto y se considerará que ha quedado conforme respecto de la aplicación de todas las leyes fiscales pertinentes.</w:t>
            </w:r>
          </w:p>
        </w:tc>
      </w:tr>
      <w:tr w:rsidR="00F7749D" w:rsidRPr="00D55B2B" w14:paraId="75A4CD91" w14:textId="77777777" w:rsidTr="00D23A40">
        <w:tblPrEx>
          <w:jc w:val="left"/>
        </w:tblPrEx>
        <w:trPr>
          <w:trHeight w:val="20"/>
        </w:trPr>
        <w:tc>
          <w:tcPr>
            <w:tcW w:w="9355" w:type="dxa"/>
            <w:gridSpan w:val="2"/>
            <w:shd w:val="clear" w:color="auto" w:fill="auto"/>
          </w:tcPr>
          <w:p w14:paraId="3D40AFCB"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77" w:name="_Toc47917008"/>
            <w:bookmarkStart w:id="2178" w:name="_Toc74048285"/>
            <w:bookmarkStart w:id="2179" w:name="_Toc74518525"/>
            <w:bookmarkStart w:id="2180" w:name="_Toc74519255"/>
            <w:bookmarkStart w:id="2181" w:name="_Toc74781445"/>
            <w:bookmarkStart w:id="2182" w:name="_Toc74930958"/>
            <w:r w:rsidRPr="00D55B2B">
              <w:rPr>
                <w:rFonts w:cs="Arial"/>
                <w:sz w:val="22"/>
                <w:szCs w:val="22"/>
                <w:lang w:val="es-ES_tradnl"/>
              </w:rPr>
              <w:t>Ajustes de Precios</w:t>
            </w:r>
            <w:bookmarkEnd w:id="2177"/>
            <w:bookmarkEnd w:id="2178"/>
            <w:bookmarkEnd w:id="2179"/>
            <w:bookmarkEnd w:id="2180"/>
            <w:bookmarkEnd w:id="2181"/>
            <w:bookmarkEnd w:id="2182"/>
          </w:p>
        </w:tc>
      </w:tr>
      <w:tr w:rsidR="00F7749D" w:rsidRPr="00D55B2B" w14:paraId="3BDB28E9" w14:textId="77777777" w:rsidTr="00D23A40">
        <w:tblPrEx>
          <w:jc w:val="left"/>
        </w:tblPrEx>
        <w:trPr>
          <w:trHeight w:val="20"/>
        </w:trPr>
        <w:tc>
          <w:tcPr>
            <w:tcW w:w="805" w:type="dxa"/>
            <w:tcBorders>
              <w:right w:val="nil"/>
            </w:tcBorders>
            <w:shd w:val="clear" w:color="auto" w:fill="auto"/>
          </w:tcPr>
          <w:p w14:paraId="4E6F372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BA48ACC"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lang w:val="es-MX"/>
              </w:rPr>
              <w:t xml:space="preserve">Únicamente si así </w:t>
            </w:r>
            <w:r w:rsidRPr="00D55B2B">
              <w:rPr>
                <w:rFonts w:ascii="Arial" w:hAnsi="Arial" w:cs="Arial"/>
                <w:b/>
                <w:bCs/>
                <w:sz w:val="22"/>
                <w:szCs w:val="22"/>
                <w:lang w:val="es-MX"/>
              </w:rPr>
              <w:t xml:space="preserve">se estipula en las CPC, </w:t>
            </w:r>
            <w:r w:rsidRPr="00D55B2B">
              <w:rPr>
                <w:rFonts w:ascii="Arial" w:hAnsi="Arial" w:cs="Arial"/>
                <w:sz w:val="22"/>
                <w:szCs w:val="22"/>
                <w:lang w:val="es-MX"/>
              </w:rPr>
              <w:t xml:space="preserve">los precios se ajustarán para tener en cuenta las fluctuaciones del costo de los insumos. En tal caso, los montos autorizados en cada certificado de pago, antes de las deducciones por concepto de anticipo, se deberán ajustar aplicando el respectivo factor de ajuste de precios a los montos que deban pagarse se aplicará por separado una fórmula similar a la siguiente que </w:t>
            </w:r>
            <w:r w:rsidRPr="00D55B2B">
              <w:rPr>
                <w:rFonts w:ascii="Arial" w:hAnsi="Arial" w:cs="Arial"/>
                <w:b/>
                <w:bCs/>
                <w:sz w:val="22"/>
                <w:szCs w:val="22"/>
                <w:lang w:val="es-MX"/>
              </w:rPr>
              <w:t>se especifique en las CPC</w:t>
            </w:r>
            <w:r w:rsidRPr="00D55B2B">
              <w:rPr>
                <w:rFonts w:ascii="Arial" w:hAnsi="Arial" w:cs="Arial"/>
                <w:sz w:val="22"/>
                <w:szCs w:val="22"/>
                <w:lang w:val="es-MX"/>
              </w:rPr>
              <w:t xml:space="preserve">: </w:t>
            </w:r>
          </w:p>
          <w:p w14:paraId="126D7899" w14:textId="77777777" w:rsidR="00F7749D" w:rsidRPr="00D55B2B" w:rsidRDefault="00F7749D" w:rsidP="00D23A40">
            <w:pPr>
              <w:spacing w:before="60" w:after="60"/>
              <w:rPr>
                <w:rFonts w:ascii="Arial" w:hAnsi="Arial" w:cs="Arial"/>
                <w:sz w:val="22"/>
                <w:szCs w:val="22"/>
                <w:lang w:val="es-MX"/>
              </w:rPr>
            </w:pPr>
          </w:p>
          <w:p w14:paraId="0CB839CF" w14:textId="77777777" w:rsidR="00F7749D" w:rsidRPr="00D55B2B" w:rsidRDefault="00F7749D" w:rsidP="00D23A40">
            <w:pPr>
              <w:suppressAutoHyphens/>
              <w:spacing w:after="200"/>
              <w:ind w:left="-27"/>
              <w:jc w:val="left"/>
              <w:rPr>
                <w:rFonts w:ascii="Arial" w:hAnsi="Arial" w:cs="Arial"/>
                <w:sz w:val="22"/>
                <w:szCs w:val="22"/>
              </w:rPr>
            </w:pPr>
            <w:r w:rsidRPr="00D55B2B">
              <w:rPr>
                <w:rFonts w:ascii="Arial" w:hAnsi="Arial" w:cs="Arial"/>
                <w:b/>
                <w:spacing w:val="-3"/>
                <w:sz w:val="22"/>
                <w:szCs w:val="22"/>
                <w:lang w:val="es-MX"/>
              </w:rPr>
              <w:t>P</w:t>
            </w:r>
            <w:r w:rsidRPr="00D55B2B">
              <w:rPr>
                <w:rFonts w:ascii="Arial" w:hAnsi="Arial" w:cs="Arial"/>
                <w:b/>
                <w:spacing w:val="-3"/>
                <w:sz w:val="22"/>
                <w:szCs w:val="22"/>
                <w:vertAlign w:val="subscript"/>
                <w:lang w:val="es-MX"/>
              </w:rPr>
              <w:t xml:space="preserve">c </w:t>
            </w:r>
            <w:r w:rsidRPr="00D55B2B">
              <w:rPr>
                <w:rFonts w:ascii="Arial" w:hAnsi="Arial" w:cs="Arial"/>
                <w:b/>
                <w:spacing w:val="-3"/>
                <w:sz w:val="22"/>
                <w:szCs w:val="22"/>
                <w:lang w:val="es-MX"/>
              </w:rPr>
              <w:t>= A</w:t>
            </w:r>
            <w:r w:rsidRPr="00D55B2B">
              <w:rPr>
                <w:rFonts w:ascii="Arial" w:hAnsi="Arial" w:cs="Arial"/>
                <w:b/>
                <w:spacing w:val="-3"/>
                <w:sz w:val="22"/>
                <w:szCs w:val="22"/>
                <w:vertAlign w:val="subscript"/>
                <w:lang w:val="es-MX"/>
              </w:rPr>
              <w:t>c</w:t>
            </w:r>
            <w:r w:rsidRPr="00D55B2B">
              <w:rPr>
                <w:rFonts w:ascii="Arial" w:hAnsi="Arial" w:cs="Arial"/>
                <w:b/>
                <w:spacing w:val="-3"/>
                <w:sz w:val="22"/>
                <w:szCs w:val="22"/>
                <w:lang w:val="es-MX"/>
              </w:rPr>
              <w:t xml:space="preserve"> + B</w:t>
            </w:r>
            <w:r w:rsidRPr="00D55B2B">
              <w:rPr>
                <w:rFonts w:ascii="Arial" w:hAnsi="Arial" w:cs="Arial"/>
                <w:b/>
                <w:spacing w:val="-3"/>
                <w:sz w:val="22"/>
                <w:szCs w:val="22"/>
                <w:vertAlign w:val="subscript"/>
                <w:lang w:val="es-MX"/>
              </w:rPr>
              <w:t>c</w:t>
            </w:r>
            <w:r w:rsidRPr="00D55B2B">
              <w:rPr>
                <w:rFonts w:ascii="Arial" w:hAnsi="Arial" w:cs="Arial"/>
                <w:b/>
                <w:spacing w:val="-3"/>
                <w:sz w:val="22"/>
                <w:szCs w:val="22"/>
                <w:lang w:val="es-MX"/>
              </w:rPr>
              <w:t xml:space="preserve"> (Imc/Ioc)</w:t>
            </w:r>
            <w:r>
              <w:rPr>
                <w:rFonts w:ascii="Arial" w:hAnsi="Arial" w:cs="Arial"/>
                <w:b/>
                <w:spacing w:val="-3"/>
                <w:sz w:val="22"/>
                <w:szCs w:val="22"/>
                <w:lang w:val="es-MX"/>
              </w:rPr>
              <w:t xml:space="preserve"> </w:t>
            </w:r>
            <w:r w:rsidRPr="00D55B2B">
              <w:rPr>
                <w:rFonts w:ascii="Arial" w:hAnsi="Arial" w:cs="Arial"/>
                <w:b/>
                <w:spacing w:val="-3"/>
                <w:sz w:val="22"/>
                <w:szCs w:val="22"/>
                <w:lang w:val="es-MX"/>
              </w:rPr>
              <w:t>+ C</w:t>
            </w:r>
            <w:r w:rsidRPr="00D55B2B">
              <w:rPr>
                <w:rFonts w:ascii="Arial" w:hAnsi="Arial" w:cs="Arial"/>
                <w:b/>
                <w:spacing w:val="-3"/>
                <w:sz w:val="22"/>
                <w:szCs w:val="22"/>
                <w:vertAlign w:val="subscript"/>
                <w:lang w:val="es-MX"/>
              </w:rPr>
              <w:t>c</w:t>
            </w:r>
            <w:r w:rsidRPr="00D55B2B">
              <w:rPr>
                <w:rFonts w:ascii="Arial" w:hAnsi="Arial" w:cs="Arial"/>
                <w:b/>
                <w:spacing w:val="-3"/>
                <w:sz w:val="22"/>
                <w:szCs w:val="22"/>
                <w:lang w:val="es-MX"/>
              </w:rPr>
              <w:t xml:space="preserve"> (Enc/Eoc) + …</w:t>
            </w:r>
          </w:p>
          <w:p w14:paraId="128E84D5" w14:textId="77777777" w:rsidR="00F7749D" w:rsidRPr="00D55B2B" w:rsidRDefault="00F7749D" w:rsidP="00D23A40">
            <w:pPr>
              <w:suppressAutoHyphens/>
              <w:spacing w:before="60" w:after="60"/>
              <w:ind w:left="1247"/>
              <w:rPr>
                <w:rFonts w:ascii="Arial" w:hAnsi="Arial" w:cs="Arial"/>
                <w:b/>
                <w:spacing w:val="-3"/>
                <w:sz w:val="22"/>
                <w:szCs w:val="22"/>
                <w:vertAlign w:val="subscript"/>
                <w:lang w:val="es-MX"/>
              </w:rPr>
            </w:pPr>
            <w:r w:rsidRPr="00D55B2B">
              <w:rPr>
                <w:rFonts w:ascii="Arial" w:hAnsi="Arial" w:cs="Arial"/>
                <w:b/>
                <w:spacing w:val="-3"/>
                <w:sz w:val="22"/>
                <w:szCs w:val="22"/>
                <w:lang w:val="es-MX"/>
              </w:rPr>
              <w:t xml:space="preserve">          </w:t>
            </w:r>
          </w:p>
          <w:p w14:paraId="008A8F90" w14:textId="77777777" w:rsidR="00F7749D" w:rsidRPr="00D55B2B" w:rsidRDefault="00F7749D" w:rsidP="00D23A40">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before="60" w:after="60"/>
              <w:ind w:left="1812" w:hanging="1812"/>
              <w:rPr>
                <w:rFonts w:ascii="Arial" w:hAnsi="Arial" w:cs="Arial"/>
                <w:spacing w:val="-3"/>
                <w:sz w:val="22"/>
                <w:szCs w:val="22"/>
              </w:rPr>
            </w:pPr>
            <w:r w:rsidRPr="00D55B2B">
              <w:rPr>
                <w:rFonts w:ascii="Arial" w:hAnsi="Arial" w:cs="Arial"/>
                <w:spacing w:val="-3"/>
                <w:sz w:val="22"/>
                <w:szCs w:val="22"/>
              </w:rPr>
              <w:lastRenderedPageBreak/>
              <w:t>en la cual:</w:t>
            </w:r>
          </w:p>
          <w:p w14:paraId="5EB232EB" w14:textId="77777777" w:rsidR="00F7749D" w:rsidRPr="00D55B2B" w:rsidRDefault="00F7749D" w:rsidP="00D23A40">
            <w:pPr>
              <w:suppressAutoHyphens/>
              <w:spacing w:after="200"/>
              <w:ind w:left="710" w:hanging="710"/>
              <w:jc w:val="left"/>
              <w:rPr>
                <w:rFonts w:ascii="Arial" w:hAnsi="Arial" w:cs="Arial"/>
                <w:sz w:val="22"/>
                <w:szCs w:val="22"/>
              </w:rPr>
            </w:pPr>
            <w:r w:rsidRPr="00D55B2B">
              <w:rPr>
                <w:rFonts w:ascii="Arial" w:hAnsi="Arial" w:cs="Arial"/>
                <w:sz w:val="22"/>
                <w:szCs w:val="22"/>
              </w:rPr>
              <w:t>A</w:t>
            </w:r>
            <w:r w:rsidRPr="00D55B2B">
              <w:rPr>
                <w:rFonts w:ascii="Arial" w:hAnsi="Arial" w:cs="Arial"/>
                <w:sz w:val="22"/>
                <w:szCs w:val="22"/>
                <w:vertAlign w:val="subscript"/>
              </w:rPr>
              <w:t>c</w:t>
            </w:r>
            <w:r w:rsidRPr="00D55B2B">
              <w:rPr>
                <w:rFonts w:ascii="Arial" w:hAnsi="Arial" w:cs="Arial"/>
                <w:sz w:val="22"/>
                <w:szCs w:val="22"/>
              </w:rPr>
              <w:t xml:space="preserve">      es el coeficiente </w:t>
            </w:r>
            <w:r w:rsidRPr="00D55B2B">
              <w:rPr>
                <w:rFonts w:ascii="Arial" w:hAnsi="Arial" w:cs="Arial"/>
                <w:b/>
                <w:bCs/>
                <w:sz w:val="22"/>
                <w:szCs w:val="22"/>
              </w:rPr>
              <w:t xml:space="preserve">estipulado en los CPC </w:t>
            </w:r>
            <w:r w:rsidRPr="00D55B2B">
              <w:rPr>
                <w:rFonts w:ascii="Arial" w:hAnsi="Arial" w:cs="Arial"/>
                <w:sz w:val="22"/>
                <w:szCs w:val="22"/>
              </w:rPr>
              <w:t>que representa la porción no</w:t>
            </w:r>
            <w:r>
              <w:rPr>
                <w:rFonts w:ascii="Arial" w:hAnsi="Arial" w:cs="Arial"/>
                <w:sz w:val="22"/>
                <w:szCs w:val="22"/>
              </w:rPr>
              <w:t xml:space="preserve"> </w:t>
            </w:r>
            <w:r w:rsidRPr="00D55B2B">
              <w:rPr>
                <w:rFonts w:ascii="Arial" w:hAnsi="Arial" w:cs="Arial"/>
                <w:sz w:val="22"/>
                <w:szCs w:val="22"/>
              </w:rPr>
              <w:t>ajustable.</w:t>
            </w:r>
          </w:p>
          <w:p w14:paraId="755856A2" w14:textId="77777777" w:rsidR="00F7749D" w:rsidRPr="00D55B2B" w:rsidRDefault="00F7749D" w:rsidP="00D23A40">
            <w:pPr>
              <w:suppressAutoHyphens/>
              <w:spacing w:before="60" w:after="60"/>
              <w:ind w:left="656" w:hanging="656"/>
              <w:rPr>
                <w:rFonts w:ascii="Arial" w:hAnsi="Arial" w:cs="Arial"/>
                <w:sz w:val="22"/>
                <w:szCs w:val="22"/>
              </w:rPr>
            </w:pPr>
            <w:r w:rsidRPr="00D55B2B">
              <w:rPr>
                <w:rFonts w:ascii="Arial" w:hAnsi="Arial" w:cs="Arial"/>
                <w:sz w:val="22"/>
                <w:szCs w:val="22"/>
              </w:rPr>
              <w:t>P</w:t>
            </w:r>
            <w:r w:rsidRPr="00D55B2B">
              <w:rPr>
                <w:rFonts w:ascii="Arial" w:hAnsi="Arial" w:cs="Arial"/>
                <w:sz w:val="22"/>
                <w:szCs w:val="22"/>
                <w:vertAlign w:val="subscript"/>
              </w:rPr>
              <w:t>c</w:t>
            </w:r>
            <w:r w:rsidRPr="00D55B2B">
              <w:rPr>
                <w:rFonts w:ascii="Arial" w:hAnsi="Arial" w:cs="Arial"/>
                <w:sz w:val="22"/>
                <w:szCs w:val="22"/>
              </w:rPr>
              <w:t xml:space="preserve">     es el factor de ajuste;</w:t>
            </w:r>
          </w:p>
          <w:p w14:paraId="5900746B" w14:textId="77777777" w:rsidR="00F7749D" w:rsidRPr="00D55B2B" w:rsidRDefault="00F7749D" w:rsidP="00D23A40">
            <w:pPr>
              <w:suppressAutoHyphens/>
              <w:spacing w:before="60" w:after="60"/>
              <w:ind w:left="656" w:hanging="656"/>
              <w:rPr>
                <w:rFonts w:ascii="Arial" w:hAnsi="Arial" w:cs="Arial"/>
                <w:sz w:val="22"/>
                <w:szCs w:val="22"/>
              </w:rPr>
            </w:pPr>
            <w:r w:rsidRPr="00D55B2B">
              <w:rPr>
                <w:rFonts w:ascii="Arial" w:hAnsi="Arial" w:cs="Arial"/>
                <w:sz w:val="22"/>
                <w:szCs w:val="22"/>
              </w:rPr>
              <w:t>B</w:t>
            </w:r>
            <w:r w:rsidRPr="00D55B2B">
              <w:rPr>
                <w:rFonts w:ascii="Arial" w:hAnsi="Arial" w:cs="Arial"/>
                <w:sz w:val="22"/>
                <w:szCs w:val="22"/>
                <w:vertAlign w:val="subscript"/>
              </w:rPr>
              <w:t xml:space="preserve">c y </w:t>
            </w:r>
            <w:r w:rsidRPr="00D55B2B">
              <w:rPr>
                <w:rFonts w:ascii="Arial" w:hAnsi="Arial" w:cs="Arial"/>
                <w:sz w:val="22"/>
                <w:szCs w:val="22"/>
              </w:rPr>
              <w:t xml:space="preserve"> C</w:t>
            </w:r>
            <w:r w:rsidRPr="00D55B2B">
              <w:rPr>
                <w:rFonts w:ascii="Arial" w:hAnsi="Arial" w:cs="Arial"/>
                <w:sz w:val="22"/>
                <w:szCs w:val="22"/>
                <w:vertAlign w:val="subscript"/>
              </w:rPr>
              <w:t>c</w:t>
            </w:r>
            <w:r w:rsidRPr="00D55B2B">
              <w:rPr>
                <w:rFonts w:ascii="Arial" w:hAnsi="Arial" w:cs="Arial"/>
                <w:sz w:val="22"/>
                <w:szCs w:val="22"/>
              </w:rPr>
              <w:t xml:space="preserve"> … son coeficientes </w:t>
            </w:r>
            <w:r w:rsidRPr="00D55B2B">
              <w:rPr>
                <w:rFonts w:ascii="Arial" w:hAnsi="Arial" w:cs="Arial"/>
                <w:b/>
                <w:bCs/>
                <w:sz w:val="22"/>
                <w:szCs w:val="22"/>
              </w:rPr>
              <w:t>estipulados en las CPC</w:t>
            </w:r>
            <w:r w:rsidRPr="00D55B2B">
              <w:rPr>
                <w:rFonts w:ascii="Arial" w:hAnsi="Arial" w:cs="Arial"/>
                <w:sz w:val="22"/>
                <w:szCs w:val="22"/>
              </w:rPr>
              <w:t xml:space="preserve"> que representan las porciones ajustables del Precio del Contrato </w:t>
            </w:r>
          </w:p>
          <w:p w14:paraId="017F188C" w14:textId="77777777" w:rsidR="00F7749D" w:rsidRPr="00D55B2B" w:rsidRDefault="00F7749D" w:rsidP="00D23A40">
            <w:pPr>
              <w:suppressAutoHyphens/>
              <w:spacing w:before="60" w:after="60"/>
              <w:rPr>
                <w:rFonts w:ascii="Arial" w:hAnsi="Arial" w:cs="Arial"/>
                <w:sz w:val="22"/>
                <w:szCs w:val="22"/>
              </w:rPr>
            </w:pPr>
            <w:r w:rsidRPr="00D55B2B">
              <w:rPr>
                <w:rFonts w:ascii="Arial" w:hAnsi="Arial" w:cs="Arial"/>
                <w:sz w:val="22"/>
                <w:szCs w:val="22"/>
              </w:rPr>
              <w:t xml:space="preserve">Imc, </w:t>
            </w:r>
            <w:r w:rsidRPr="00D55B2B">
              <w:rPr>
                <w:rFonts w:ascii="Arial" w:hAnsi="Arial" w:cs="Arial"/>
                <w:b/>
                <w:spacing w:val="-3"/>
                <w:sz w:val="22"/>
                <w:szCs w:val="22"/>
                <w:lang w:val="es-MX"/>
              </w:rPr>
              <w:t xml:space="preserve"> Enc…</w:t>
            </w:r>
            <w:r w:rsidRPr="00D55B2B">
              <w:rPr>
                <w:rFonts w:ascii="Arial" w:hAnsi="Arial" w:cs="Arial"/>
                <w:sz w:val="22"/>
                <w:szCs w:val="22"/>
              </w:rPr>
              <w:tab/>
              <w:t>es el índice vigente al final del mes que se factura,</w:t>
            </w:r>
          </w:p>
          <w:p w14:paraId="03DD6703" w14:textId="77777777" w:rsidR="00F7749D" w:rsidRPr="00D55B2B" w:rsidRDefault="00F7749D" w:rsidP="00D23A40">
            <w:pPr>
              <w:suppressAutoHyphens/>
              <w:spacing w:before="60" w:after="60"/>
              <w:rPr>
                <w:rFonts w:ascii="Arial" w:hAnsi="Arial" w:cs="Arial"/>
                <w:sz w:val="22"/>
                <w:szCs w:val="22"/>
              </w:rPr>
            </w:pPr>
            <w:r w:rsidRPr="00D55B2B">
              <w:rPr>
                <w:rFonts w:ascii="Arial" w:hAnsi="Arial" w:cs="Arial"/>
                <w:sz w:val="22"/>
                <w:szCs w:val="22"/>
              </w:rPr>
              <w:t xml:space="preserve">Ioc, </w:t>
            </w:r>
            <w:r w:rsidRPr="00D55B2B">
              <w:rPr>
                <w:rFonts w:ascii="Arial" w:hAnsi="Arial" w:cs="Arial"/>
                <w:b/>
                <w:spacing w:val="-3"/>
                <w:sz w:val="22"/>
                <w:szCs w:val="22"/>
                <w:lang w:val="es-MX"/>
              </w:rPr>
              <w:t xml:space="preserve"> Eoc</w:t>
            </w:r>
            <w:r w:rsidRPr="00D55B2B">
              <w:rPr>
                <w:rFonts w:ascii="Arial" w:hAnsi="Arial" w:cs="Arial"/>
                <w:sz w:val="22"/>
                <w:szCs w:val="22"/>
              </w:rPr>
              <w:t xml:space="preserve"> … es el índice correspondiente a los insumos pagaderos, vigente 28 días antes de la apertura de las ofertas </w:t>
            </w:r>
          </w:p>
          <w:p w14:paraId="5FC5A1C0" w14:textId="77777777" w:rsidR="00F7749D" w:rsidRPr="00D55B2B" w:rsidRDefault="00F7749D" w:rsidP="00D23A40">
            <w:pPr>
              <w:suppressAutoHyphens/>
              <w:spacing w:before="60" w:after="60"/>
              <w:rPr>
                <w:rFonts w:ascii="Arial" w:hAnsi="Arial" w:cs="Arial"/>
                <w:spacing w:val="-3"/>
                <w:sz w:val="22"/>
                <w:szCs w:val="22"/>
                <w:lang w:val="es-MX"/>
              </w:rPr>
            </w:pPr>
            <w:r w:rsidRPr="00D55B2B">
              <w:rPr>
                <w:rFonts w:ascii="Arial" w:hAnsi="Arial" w:cs="Arial"/>
                <w:spacing w:val="-3"/>
                <w:sz w:val="22"/>
                <w:szCs w:val="22"/>
              </w:rPr>
              <w:t xml:space="preserve">La suma de los dos coeficientes, Ac, Bc, </w:t>
            </w:r>
            <w:r w:rsidRPr="00D55B2B">
              <w:rPr>
                <w:rFonts w:ascii="Arial" w:hAnsi="Arial" w:cs="Arial"/>
                <w:b/>
                <w:spacing w:val="-3"/>
                <w:sz w:val="22"/>
                <w:szCs w:val="22"/>
                <w:lang w:val="es-MX"/>
              </w:rPr>
              <w:t xml:space="preserve"> C</w:t>
            </w:r>
            <w:r w:rsidRPr="00D55B2B">
              <w:rPr>
                <w:rFonts w:ascii="Arial" w:hAnsi="Arial" w:cs="Arial"/>
                <w:b/>
                <w:spacing w:val="-3"/>
                <w:sz w:val="22"/>
                <w:szCs w:val="22"/>
                <w:vertAlign w:val="subscript"/>
                <w:lang w:val="es-MX"/>
              </w:rPr>
              <w:t>c</w:t>
            </w:r>
            <w:r w:rsidRPr="00D55B2B">
              <w:rPr>
                <w:rFonts w:ascii="Arial" w:hAnsi="Arial" w:cs="Arial"/>
                <w:spacing w:val="-3"/>
                <w:sz w:val="22"/>
                <w:szCs w:val="22"/>
              </w:rPr>
              <w:t xml:space="preserve"> …debe ser igual a 1 (uno) en la fórmula correspondiente a cada moneda.  el coeficiente A, relativo a la porción no ajustable de los pagos, por lo general representa una estimación aproximada (usualmente 0,15) que toma en cuenta los elementos fijos del costo u otros componentes no ajustables. La suma de los ajustes se agrega al Precio del Contrato.</w:t>
            </w:r>
          </w:p>
        </w:tc>
      </w:tr>
      <w:tr w:rsidR="00F7749D" w:rsidRPr="00D55B2B" w14:paraId="6D0A87FB" w14:textId="77777777" w:rsidTr="00D23A40">
        <w:tblPrEx>
          <w:jc w:val="left"/>
        </w:tblPrEx>
        <w:trPr>
          <w:trHeight w:val="20"/>
        </w:trPr>
        <w:tc>
          <w:tcPr>
            <w:tcW w:w="805" w:type="dxa"/>
            <w:tcBorders>
              <w:right w:val="nil"/>
            </w:tcBorders>
            <w:shd w:val="clear" w:color="auto" w:fill="auto"/>
          </w:tcPr>
          <w:p w14:paraId="61BD4B4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5FE04CA"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Si se modifica el valor del índice después de haberlo usado en un cálculo, dicho cálculo deberá corregirse y se deberá hacer un ajuste en el certificado de pago siguiente.  Se </w:t>
            </w:r>
            <w:r w:rsidRPr="00D55B2B">
              <w:rPr>
                <w:rFonts w:ascii="Arial" w:hAnsi="Arial" w:cs="Arial"/>
                <w:spacing w:val="-3"/>
                <w:sz w:val="22"/>
                <w:szCs w:val="22"/>
              </w:rPr>
              <w:t>considerará</w:t>
            </w:r>
            <w:r w:rsidRPr="00D55B2B">
              <w:rPr>
                <w:rFonts w:ascii="Arial" w:hAnsi="Arial" w:cs="Arial"/>
                <w:sz w:val="22"/>
                <w:szCs w:val="22"/>
              </w:rPr>
              <w:t xml:space="preserve"> que el valor del índice tiene en cuenta todos los cambios en el costo debido a las fluctuaciones en los precios.</w:t>
            </w:r>
          </w:p>
        </w:tc>
      </w:tr>
      <w:tr w:rsidR="00F7749D" w:rsidRPr="00D55B2B" w14:paraId="19182E08" w14:textId="77777777" w:rsidTr="00D23A40">
        <w:tblPrEx>
          <w:jc w:val="left"/>
        </w:tblPrEx>
        <w:trPr>
          <w:trHeight w:val="20"/>
        </w:trPr>
        <w:tc>
          <w:tcPr>
            <w:tcW w:w="9355" w:type="dxa"/>
            <w:gridSpan w:val="2"/>
            <w:shd w:val="clear" w:color="auto" w:fill="auto"/>
          </w:tcPr>
          <w:p w14:paraId="480F96C7"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83" w:name="_Toc47917009"/>
            <w:bookmarkStart w:id="2184" w:name="_Toc74048286"/>
            <w:bookmarkStart w:id="2185" w:name="_Toc74518526"/>
            <w:bookmarkStart w:id="2186" w:name="_Toc74519256"/>
            <w:bookmarkStart w:id="2187" w:name="_Toc74781446"/>
            <w:bookmarkStart w:id="2188" w:name="_Toc74930959"/>
            <w:r w:rsidRPr="00D55B2B">
              <w:rPr>
                <w:rFonts w:cs="Arial"/>
                <w:sz w:val="22"/>
                <w:szCs w:val="22"/>
                <w:lang w:val="es-ES_tradnl"/>
              </w:rPr>
              <w:t>Retenciones</w:t>
            </w:r>
            <w:bookmarkEnd w:id="2183"/>
            <w:bookmarkEnd w:id="2184"/>
            <w:bookmarkEnd w:id="2185"/>
            <w:bookmarkEnd w:id="2186"/>
            <w:bookmarkEnd w:id="2187"/>
            <w:bookmarkEnd w:id="2188"/>
          </w:p>
        </w:tc>
      </w:tr>
      <w:tr w:rsidR="00F7749D" w:rsidRPr="00D55B2B" w14:paraId="3216E8CF" w14:textId="77777777" w:rsidTr="00D23A40">
        <w:tblPrEx>
          <w:jc w:val="left"/>
        </w:tblPrEx>
        <w:trPr>
          <w:trHeight w:val="20"/>
        </w:trPr>
        <w:tc>
          <w:tcPr>
            <w:tcW w:w="805" w:type="dxa"/>
            <w:tcBorders>
              <w:right w:val="nil"/>
            </w:tcBorders>
            <w:shd w:val="clear" w:color="auto" w:fill="auto"/>
          </w:tcPr>
          <w:p w14:paraId="4FAAA54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0943DE2"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Hasta que las Obras estén terminadas totalmente, el Contratante retendrá de cada </w:t>
            </w:r>
            <w:r w:rsidRPr="00D55B2B">
              <w:rPr>
                <w:rFonts w:ascii="Arial" w:hAnsi="Arial" w:cs="Arial"/>
                <w:spacing w:val="-3"/>
                <w:sz w:val="22"/>
                <w:szCs w:val="22"/>
              </w:rPr>
              <w:t>pago</w:t>
            </w:r>
            <w:r w:rsidRPr="00D55B2B">
              <w:rPr>
                <w:rFonts w:ascii="Arial" w:hAnsi="Arial" w:cs="Arial"/>
                <w:sz w:val="22"/>
                <w:szCs w:val="22"/>
              </w:rPr>
              <w:t xml:space="preserve"> que se adeude al Contratista la proporción </w:t>
            </w:r>
            <w:r w:rsidRPr="00D55B2B">
              <w:rPr>
                <w:rFonts w:ascii="Arial" w:hAnsi="Arial" w:cs="Arial"/>
                <w:b/>
                <w:bCs/>
                <w:sz w:val="22"/>
                <w:szCs w:val="22"/>
              </w:rPr>
              <w:t>estipulada en las CPC</w:t>
            </w:r>
            <w:r w:rsidRPr="00D55B2B">
              <w:rPr>
                <w:rFonts w:ascii="Arial" w:hAnsi="Arial" w:cs="Arial"/>
                <w:sz w:val="22"/>
                <w:szCs w:val="22"/>
              </w:rPr>
              <w:t>.</w:t>
            </w:r>
          </w:p>
        </w:tc>
      </w:tr>
      <w:tr w:rsidR="00F7749D" w:rsidRPr="00D55B2B" w14:paraId="3D4BCD99" w14:textId="77777777" w:rsidTr="00D23A40">
        <w:tblPrEx>
          <w:jc w:val="left"/>
        </w:tblPrEx>
        <w:trPr>
          <w:trHeight w:val="20"/>
        </w:trPr>
        <w:tc>
          <w:tcPr>
            <w:tcW w:w="805" w:type="dxa"/>
            <w:tcBorders>
              <w:right w:val="nil"/>
            </w:tcBorders>
            <w:shd w:val="clear" w:color="auto" w:fill="auto"/>
          </w:tcPr>
          <w:p w14:paraId="33EE21A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18D859E"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Cuando las Obras estén totalmente terminadas y el Gerente de Obras haya emitido el Certificado de Terminación de las Obras de conformidad con la subcláusula 60.2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tc>
      </w:tr>
      <w:tr w:rsidR="00F7749D" w:rsidRPr="00D55B2B" w14:paraId="1D1CD4C4" w14:textId="77777777" w:rsidTr="00D23A40">
        <w:tblPrEx>
          <w:jc w:val="left"/>
        </w:tblPrEx>
        <w:trPr>
          <w:trHeight w:val="710"/>
        </w:trPr>
        <w:tc>
          <w:tcPr>
            <w:tcW w:w="805" w:type="dxa"/>
            <w:tcBorders>
              <w:right w:val="nil"/>
            </w:tcBorders>
            <w:shd w:val="clear" w:color="auto" w:fill="auto"/>
          </w:tcPr>
          <w:p w14:paraId="201B403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07AA14B"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rPr>
              <w:t xml:space="preserve">Cuando las Obras estén totalmente terminadas, el Contratista deberá sustituir la retención con una garantía de calidad de las Obras </w:t>
            </w:r>
            <w:r w:rsidRPr="00D55B2B">
              <w:rPr>
                <w:rFonts w:ascii="Arial" w:hAnsi="Arial" w:cs="Arial"/>
                <w:sz w:val="22"/>
                <w:szCs w:val="22"/>
                <w:lang w:val="es-ES"/>
              </w:rPr>
              <w:t xml:space="preserve">la cual deberá estar vigente, como mínimo, por doce (12) meses después de concluidas estas. </w:t>
            </w:r>
          </w:p>
          <w:p w14:paraId="0B8AA001" w14:textId="77777777" w:rsidR="00F7749D" w:rsidRPr="00D55B2B" w:rsidRDefault="00F7749D" w:rsidP="00D23A40">
            <w:pPr>
              <w:spacing w:before="60" w:after="60"/>
              <w:rPr>
                <w:rFonts w:ascii="Arial" w:hAnsi="Arial" w:cs="Arial"/>
                <w:sz w:val="22"/>
                <w:szCs w:val="22"/>
                <w:lang w:val="es-ES"/>
              </w:rPr>
            </w:pPr>
            <w:r w:rsidRPr="00D55B2B">
              <w:rPr>
                <w:rFonts w:ascii="Arial" w:hAnsi="Arial" w:cs="Arial"/>
                <w:sz w:val="22"/>
                <w:szCs w:val="22"/>
                <w:lang w:val="es-ES"/>
              </w:rPr>
              <w:t xml:space="preserve">La cuantía de esta garantía se define </w:t>
            </w:r>
            <w:r w:rsidRPr="00D55B2B">
              <w:rPr>
                <w:rFonts w:ascii="Arial" w:hAnsi="Arial" w:cs="Arial"/>
                <w:b/>
                <w:sz w:val="22"/>
                <w:szCs w:val="22"/>
                <w:lang w:val="es-ES"/>
              </w:rPr>
              <w:t>en los CPC</w:t>
            </w:r>
            <w:r w:rsidRPr="00D55B2B">
              <w:rPr>
                <w:rFonts w:ascii="Arial" w:hAnsi="Arial" w:cs="Arial"/>
                <w:sz w:val="22"/>
                <w:szCs w:val="22"/>
                <w:lang w:val="es-ES"/>
              </w:rPr>
              <w:t xml:space="preserve"> y deberá asegurar que cualquier defecto de ejecución pueda ser solventado dentro del período antes indicado.</w:t>
            </w:r>
          </w:p>
          <w:p w14:paraId="6028ED19"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lang w:val="es-ES"/>
              </w:rPr>
              <w:t>Esta garantía podrá ser tipo bancaria o fianza, emitida por instituciones financieras reguladas en el país del Contratante. Si la garantía o fianza es emitida por una institución financiera o aseguradora situada fuera del país del Contratante, la institución emisora deberá tener una institución financiera corresponsal regulada en el país del Contratante, que permita hacer efectiva la garantía incondicional y a primer requerimiento.</w:t>
            </w:r>
          </w:p>
        </w:tc>
      </w:tr>
      <w:tr w:rsidR="00F7749D" w:rsidRPr="00D55B2B" w14:paraId="09B1D255" w14:textId="77777777" w:rsidTr="00D23A40">
        <w:tblPrEx>
          <w:jc w:val="left"/>
        </w:tblPrEx>
        <w:trPr>
          <w:trHeight w:val="20"/>
        </w:trPr>
        <w:tc>
          <w:tcPr>
            <w:tcW w:w="9355" w:type="dxa"/>
            <w:gridSpan w:val="2"/>
            <w:shd w:val="clear" w:color="auto" w:fill="auto"/>
          </w:tcPr>
          <w:p w14:paraId="761B2044"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89" w:name="_Toc16502084"/>
            <w:bookmarkStart w:id="2190" w:name="_Toc20319625"/>
            <w:bookmarkStart w:id="2191" w:name="_Toc47917010"/>
            <w:bookmarkStart w:id="2192" w:name="_Toc74048287"/>
            <w:bookmarkStart w:id="2193" w:name="_Toc74518527"/>
            <w:bookmarkStart w:id="2194" w:name="_Toc74519257"/>
            <w:bookmarkStart w:id="2195" w:name="_Toc74781447"/>
            <w:bookmarkStart w:id="2196" w:name="_Toc74930960"/>
            <w:r w:rsidRPr="00D55B2B">
              <w:rPr>
                <w:rFonts w:cs="Arial"/>
                <w:sz w:val="22"/>
                <w:szCs w:val="22"/>
                <w:lang w:val="es-ES_tradnl"/>
              </w:rPr>
              <w:t>Penalizaciones, multa o deducciones al pago</w:t>
            </w:r>
            <w:bookmarkEnd w:id="2189"/>
            <w:bookmarkEnd w:id="2190"/>
            <w:bookmarkEnd w:id="2191"/>
            <w:bookmarkEnd w:id="2192"/>
            <w:bookmarkEnd w:id="2193"/>
            <w:bookmarkEnd w:id="2194"/>
            <w:bookmarkEnd w:id="2195"/>
            <w:bookmarkEnd w:id="2196"/>
          </w:p>
        </w:tc>
      </w:tr>
      <w:tr w:rsidR="00F7749D" w:rsidRPr="00D55B2B" w14:paraId="1C4A57C5" w14:textId="77777777" w:rsidTr="00D23A40">
        <w:tblPrEx>
          <w:jc w:val="left"/>
        </w:tblPrEx>
        <w:trPr>
          <w:trHeight w:val="20"/>
        </w:trPr>
        <w:tc>
          <w:tcPr>
            <w:tcW w:w="805" w:type="dxa"/>
            <w:tcBorders>
              <w:right w:val="nil"/>
            </w:tcBorders>
            <w:shd w:val="clear" w:color="auto" w:fill="auto"/>
          </w:tcPr>
          <w:p w14:paraId="05DEC3A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E0476B2" w14:textId="77777777" w:rsidR="00F7749D" w:rsidRPr="00D55B2B" w:rsidRDefault="00F7749D" w:rsidP="00D23A40">
            <w:pPr>
              <w:spacing w:before="60" w:after="60"/>
              <w:rPr>
                <w:rFonts w:ascii="Arial" w:hAnsi="Arial" w:cs="Arial"/>
                <w:color w:val="00B050"/>
                <w:sz w:val="22"/>
                <w:szCs w:val="22"/>
              </w:rPr>
            </w:pPr>
            <w:r w:rsidRPr="00D55B2B">
              <w:rPr>
                <w:rFonts w:ascii="Arial" w:hAnsi="Arial" w:cs="Arial"/>
                <w:sz w:val="22"/>
                <w:szCs w:val="22"/>
              </w:rPr>
              <w:t xml:space="preserve">En el caso de retrasos en la Fecha de terminación con respecto de la Fecha Prevista de Terminación o cualquier prórroga a la misma de conformidad con este Contrato, el Contratante podrá deducir de los pagos adeudados al Contratista una cantidad como indemnización por daños y perjuicios calculada utilizando el precio por día </w:t>
            </w:r>
            <w:r w:rsidRPr="00D55B2B">
              <w:rPr>
                <w:rFonts w:ascii="Arial" w:hAnsi="Arial" w:cs="Arial"/>
                <w:b/>
                <w:bCs/>
                <w:sz w:val="22"/>
                <w:szCs w:val="22"/>
              </w:rPr>
              <w:t>establecido en las CPC</w:t>
            </w:r>
            <w:r w:rsidRPr="00D55B2B">
              <w:rPr>
                <w:rFonts w:ascii="Arial" w:hAnsi="Arial" w:cs="Arial"/>
                <w:sz w:val="22"/>
                <w:szCs w:val="22"/>
              </w:rPr>
              <w:t xml:space="preserve">, por cada día de retraso de la Fecha de terminación con </w:t>
            </w:r>
            <w:r w:rsidRPr="00D55B2B">
              <w:rPr>
                <w:rFonts w:ascii="Arial" w:hAnsi="Arial" w:cs="Arial"/>
                <w:sz w:val="22"/>
                <w:szCs w:val="22"/>
              </w:rPr>
              <w:lastRenderedPageBreak/>
              <w:t xml:space="preserve">respecto a la Fecha Prevista de Terminación o cualquier prórroga a la misma.  El límite del monto total de daños y perjuicios no deberá exceder el monto </w:t>
            </w:r>
            <w:r w:rsidRPr="00D55B2B">
              <w:rPr>
                <w:rFonts w:ascii="Arial" w:hAnsi="Arial" w:cs="Arial"/>
                <w:b/>
                <w:bCs/>
                <w:sz w:val="22"/>
                <w:szCs w:val="22"/>
              </w:rPr>
              <w:t>estipulado en las CPC</w:t>
            </w:r>
            <w:r w:rsidRPr="00D55B2B">
              <w:rPr>
                <w:rFonts w:ascii="Arial" w:hAnsi="Arial" w:cs="Arial"/>
                <w:sz w:val="22"/>
                <w:szCs w:val="22"/>
              </w:rPr>
              <w:t>. El Contratante podrá deducir dicha indemnización de los pagos que se adeudaren al Contratista. El pago por daños y perjuicios no afectará las obligaciones del Contratista.</w:t>
            </w:r>
          </w:p>
        </w:tc>
      </w:tr>
      <w:tr w:rsidR="00F7749D" w:rsidRPr="00D55B2B" w14:paraId="33CBB7BA" w14:textId="77777777" w:rsidTr="00D23A40">
        <w:tblPrEx>
          <w:jc w:val="left"/>
        </w:tblPrEx>
        <w:trPr>
          <w:trHeight w:val="20"/>
        </w:trPr>
        <w:tc>
          <w:tcPr>
            <w:tcW w:w="805" w:type="dxa"/>
            <w:tcBorders>
              <w:right w:val="nil"/>
            </w:tcBorders>
            <w:shd w:val="clear" w:color="auto" w:fill="auto"/>
          </w:tcPr>
          <w:p w14:paraId="6B15D085" w14:textId="77777777" w:rsidR="00F7749D" w:rsidRPr="00D55B2B" w:rsidRDefault="00F7749D" w:rsidP="00D23A40">
            <w:pPr>
              <w:pStyle w:val="Numeraciondeartculos"/>
              <w:framePr w:hSpace="0" w:wrap="auto" w:vAnchor="margin" w:hAnchor="text" w:xAlign="left" w:yAlign="inline"/>
              <w:rPr>
                <w:rFonts w:cs="Arial"/>
                <w:sz w:val="22"/>
                <w:szCs w:val="22"/>
              </w:rPr>
            </w:pPr>
            <w:bookmarkStart w:id="2197" w:name="_Hlk22635280"/>
          </w:p>
        </w:tc>
        <w:tc>
          <w:tcPr>
            <w:tcW w:w="8550" w:type="dxa"/>
            <w:tcBorders>
              <w:left w:val="nil"/>
            </w:tcBorders>
            <w:shd w:val="clear" w:color="auto" w:fill="auto"/>
          </w:tcPr>
          <w:p w14:paraId="3EED61BF"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Sin perjuicio de lo establecido en la subcláusula 43.3 de estas CGC, en caso de que el Contratista no corrija un defecto detectado dentro del plazo especificado en la notificación del Gerente de Obras de conformidad con la subcláusula 43.1, deberá pagar una penalización por desempeño ineficiente. El monto de la penalización será equivalente a un porcentaje del costo de subsanar el defecto, de acuerdo con el procedimiento descrito en la subcláusula 43.3 y </w:t>
            </w:r>
            <w:r w:rsidRPr="00D55B2B">
              <w:rPr>
                <w:rFonts w:ascii="Arial" w:hAnsi="Arial" w:cs="Arial"/>
                <w:b/>
                <w:sz w:val="22"/>
                <w:szCs w:val="22"/>
              </w:rPr>
              <w:t>especificado en las CPC.</w:t>
            </w:r>
          </w:p>
        </w:tc>
      </w:tr>
      <w:tr w:rsidR="00F7749D" w:rsidRPr="00D55B2B" w14:paraId="2B495ECA" w14:textId="77777777" w:rsidTr="00D23A40">
        <w:tblPrEx>
          <w:jc w:val="left"/>
        </w:tblPrEx>
        <w:trPr>
          <w:trHeight w:val="20"/>
        </w:trPr>
        <w:tc>
          <w:tcPr>
            <w:tcW w:w="805" w:type="dxa"/>
            <w:tcBorders>
              <w:right w:val="nil"/>
            </w:tcBorders>
            <w:shd w:val="clear" w:color="auto" w:fill="auto"/>
          </w:tcPr>
          <w:p w14:paraId="29541E2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B15B83B"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Si la Fecha Prevista de Terminación se prorroga posteriormente a haber realizado la deducción por daños y perjuicios de conformidad con la subcláusula 56.1,   el Gerente de Obras deberá considerar en el siguiente certificado de pago las deducciones en exceso que se hubieren efectuado al Contratista por tal concepto más el pago de intereses sobre el monto deducido en exceso, calculados para el período entre la fecha de pago hasta la fecha de reembolso, a las tasas especificadas en la subcláusula 50.3 de las CGC.</w:t>
            </w:r>
          </w:p>
        </w:tc>
      </w:tr>
      <w:tr w:rsidR="00F7749D" w:rsidRPr="00D55B2B" w14:paraId="282F7AD5" w14:textId="77777777" w:rsidTr="00D23A40">
        <w:tblPrEx>
          <w:jc w:val="left"/>
        </w:tblPrEx>
        <w:trPr>
          <w:trHeight w:val="20"/>
        </w:trPr>
        <w:tc>
          <w:tcPr>
            <w:tcW w:w="9355" w:type="dxa"/>
            <w:gridSpan w:val="2"/>
            <w:shd w:val="clear" w:color="auto" w:fill="auto"/>
          </w:tcPr>
          <w:p w14:paraId="38C63D6E"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198" w:name="_Toc47917011"/>
            <w:bookmarkStart w:id="2199" w:name="_Toc74048288"/>
            <w:bookmarkStart w:id="2200" w:name="_Toc74518528"/>
            <w:bookmarkStart w:id="2201" w:name="_Toc74519258"/>
            <w:bookmarkStart w:id="2202" w:name="_Toc74781448"/>
            <w:bookmarkStart w:id="2203" w:name="_Toc74930961"/>
            <w:r w:rsidRPr="00D55B2B">
              <w:rPr>
                <w:rFonts w:cs="Arial"/>
                <w:sz w:val="22"/>
                <w:szCs w:val="22"/>
                <w:lang w:val="es-ES_tradnl"/>
              </w:rPr>
              <w:t>Bonificaciones</w:t>
            </w:r>
            <w:bookmarkEnd w:id="2198"/>
            <w:bookmarkEnd w:id="2199"/>
            <w:bookmarkEnd w:id="2200"/>
            <w:bookmarkEnd w:id="2201"/>
            <w:bookmarkEnd w:id="2202"/>
            <w:bookmarkEnd w:id="2203"/>
          </w:p>
        </w:tc>
      </w:tr>
      <w:tr w:rsidR="00F7749D" w:rsidRPr="00D55B2B" w14:paraId="23F2B882" w14:textId="77777777" w:rsidTr="00D23A40">
        <w:tblPrEx>
          <w:jc w:val="left"/>
        </w:tblPrEx>
        <w:trPr>
          <w:trHeight w:val="20"/>
        </w:trPr>
        <w:tc>
          <w:tcPr>
            <w:tcW w:w="805" w:type="dxa"/>
            <w:tcBorders>
              <w:right w:val="nil"/>
            </w:tcBorders>
            <w:shd w:val="clear" w:color="auto" w:fill="auto"/>
          </w:tcPr>
          <w:p w14:paraId="4087F700"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B1B88A0"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Si así se especifica </w:t>
            </w:r>
            <w:r w:rsidRPr="00D55B2B">
              <w:rPr>
                <w:rFonts w:ascii="Arial" w:hAnsi="Arial" w:cs="Arial"/>
                <w:b/>
                <w:bCs/>
                <w:sz w:val="22"/>
                <w:szCs w:val="22"/>
              </w:rPr>
              <w:t>en las CPC</w:t>
            </w:r>
            <w:r w:rsidRPr="00D55B2B">
              <w:rPr>
                <w:rFonts w:ascii="Arial" w:hAnsi="Arial" w:cs="Arial"/>
                <w:sz w:val="22"/>
                <w:szCs w:val="22"/>
              </w:rPr>
              <w:t xml:space="preserve">, se pagará al Contratista una bonificación por cada día que la Fecha de Terminación de la totalidad de las Obras sea anterior a la Fecha Prevista de Terminación. La bonificación se calculará a la tasa diaria </w:t>
            </w:r>
            <w:r w:rsidRPr="00D55B2B">
              <w:rPr>
                <w:rFonts w:ascii="Arial" w:hAnsi="Arial" w:cs="Arial"/>
                <w:b/>
                <w:bCs/>
                <w:sz w:val="22"/>
                <w:szCs w:val="22"/>
              </w:rPr>
              <w:t>establecida en las CPC</w:t>
            </w:r>
            <w:r w:rsidRPr="00D55B2B">
              <w:rPr>
                <w:rFonts w:ascii="Arial" w:hAnsi="Arial" w:cs="Arial"/>
                <w:sz w:val="22"/>
                <w:szCs w:val="22"/>
              </w:rPr>
              <w:t xml:space="preserve"> hasta el monto máximo </w:t>
            </w:r>
            <w:r w:rsidRPr="00D55B2B">
              <w:rPr>
                <w:rFonts w:ascii="Arial" w:hAnsi="Arial" w:cs="Arial"/>
                <w:b/>
                <w:bCs/>
                <w:sz w:val="22"/>
                <w:szCs w:val="22"/>
              </w:rPr>
              <w:t>determinado en las CPC.</w:t>
            </w:r>
          </w:p>
          <w:p w14:paraId="2A5542DC"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Para ello, el Gerente de Obras deberá certificar que se han terminado las Obras de conformidad con la Subcláusula 60.2 de las CGC aun cuando el plazo para terminarlas no estuviera vencido.</w:t>
            </w:r>
          </w:p>
        </w:tc>
      </w:tr>
      <w:tr w:rsidR="00F7749D" w:rsidRPr="00D55B2B" w14:paraId="70B23214" w14:textId="77777777" w:rsidTr="00D23A40">
        <w:tblPrEx>
          <w:jc w:val="left"/>
        </w:tblPrEx>
        <w:trPr>
          <w:trHeight w:val="20"/>
        </w:trPr>
        <w:tc>
          <w:tcPr>
            <w:tcW w:w="9355" w:type="dxa"/>
            <w:gridSpan w:val="2"/>
            <w:shd w:val="clear" w:color="auto" w:fill="auto"/>
          </w:tcPr>
          <w:p w14:paraId="319D0AC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04" w:name="_Toc47917012"/>
            <w:bookmarkStart w:id="2205" w:name="_Toc74048289"/>
            <w:bookmarkStart w:id="2206" w:name="_Toc74518529"/>
            <w:bookmarkStart w:id="2207" w:name="_Toc74519259"/>
            <w:bookmarkStart w:id="2208" w:name="_Toc74781449"/>
            <w:bookmarkStart w:id="2209" w:name="_Toc74930962"/>
            <w:r w:rsidRPr="00D55B2B">
              <w:rPr>
                <w:rFonts w:cs="Arial"/>
                <w:sz w:val="22"/>
                <w:szCs w:val="22"/>
                <w:lang w:val="es-ES_tradnl"/>
              </w:rPr>
              <w:t>Trabajos por administración</w:t>
            </w:r>
            <w:bookmarkEnd w:id="2204"/>
            <w:bookmarkEnd w:id="2205"/>
            <w:bookmarkEnd w:id="2206"/>
            <w:bookmarkEnd w:id="2207"/>
            <w:bookmarkEnd w:id="2208"/>
            <w:bookmarkEnd w:id="2209"/>
          </w:p>
        </w:tc>
      </w:tr>
      <w:tr w:rsidR="00F7749D" w:rsidRPr="00D55B2B" w14:paraId="45A98186" w14:textId="77777777" w:rsidTr="00D23A40">
        <w:tblPrEx>
          <w:jc w:val="left"/>
        </w:tblPrEx>
        <w:trPr>
          <w:trHeight w:val="20"/>
        </w:trPr>
        <w:tc>
          <w:tcPr>
            <w:tcW w:w="805" w:type="dxa"/>
            <w:tcBorders>
              <w:right w:val="nil"/>
            </w:tcBorders>
            <w:shd w:val="clear" w:color="auto" w:fill="auto"/>
          </w:tcPr>
          <w:p w14:paraId="7F380A4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3EFE824"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lang w:val="es-MX"/>
              </w:rPr>
              <w:t>Si corresponde, las tarifas para trabajos por administración indicadas en la oferta del Contratista se aplicarán solo cuando el Gerente del Obras haya instruido previamente por escrito que los trabajos adicionales se pagarán de esa manera.</w:t>
            </w:r>
          </w:p>
        </w:tc>
      </w:tr>
      <w:tr w:rsidR="00F7749D" w:rsidRPr="00D55B2B" w14:paraId="6E1EE797" w14:textId="77777777" w:rsidTr="00D23A40">
        <w:tblPrEx>
          <w:jc w:val="left"/>
        </w:tblPrEx>
        <w:trPr>
          <w:trHeight w:val="20"/>
        </w:trPr>
        <w:tc>
          <w:tcPr>
            <w:tcW w:w="805" w:type="dxa"/>
            <w:tcBorders>
              <w:right w:val="nil"/>
            </w:tcBorders>
            <w:shd w:val="clear" w:color="auto" w:fill="auto"/>
          </w:tcPr>
          <w:p w14:paraId="12DAC05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123241"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lang w:val="es-MX"/>
              </w:rPr>
              <w:t xml:space="preserve">El Contratista deberá dejar constancia, en formularios aprobados por el Gerente del Obras, de todo trabajo que deba pagarse como trabajos por administración. </w:t>
            </w:r>
            <w:r w:rsidRPr="00D55B2B">
              <w:rPr>
                <w:rFonts w:ascii="Arial" w:hAnsi="Arial" w:cs="Arial"/>
                <w:sz w:val="22"/>
                <w:szCs w:val="22"/>
              </w:rPr>
              <w:t xml:space="preserve">La información asentada en el formulario deberá ser verificada, autorizada y firmada por el Gerente de Obras </w:t>
            </w:r>
            <w:r w:rsidRPr="00D55B2B">
              <w:rPr>
                <w:rFonts w:ascii="Arial" w:hAnsi="Arial" w:cs="Arial"/>
                <w:sz w:val="22"/>
                <w:szCs w:val="22"/>
                <w:lang w:val="es-MX"/>
              </w:rPr>
              <w:t>dentro de los dos días después de haberse realizado el trabajo.</w:t>
            </w:r>
          </w:p>
        </w:tc>
      </w:tr>
      <w:tr w:rsidR="00F7749D" w:rsidRPr="00D55B2B" w14:paraId="7543F9F1" w14:textId="77777777" w:rsidTr="00D23A40">
        <w:tblPrEx>
          <w:jc w:val="left"/>
        </w:tblPrEx>
        <w:trPr>
          <w:trHeight w:val="20"/>
        </w:trPr>
        <w:tc>
          <w:tcPr>
            <w:tcW w:w="805" w:type="dxa"/>
            <w:tcBorders>
              <w:right w:val="nil"/>
            </w:tcBorders>
            <w:shd w:val="clear" w:color="auto" w:fill="auto"/>
          </w:tcPr>
          <w:p w14:paraId="32A76EF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C599F5F"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rPr>
              <w:t xml:space="preserve">Los pagos al Contratista por </w:t>
            </w:r>
            <w:r w:rsidRPr="00D55B2B">
              <w:rPr>
                <w:rFonts w:ascii="Arial" w:hAnsi="Arial" w:cs="Arial"/>
                <w:sz w:val="22"/>
                <w:szCs w:val="22"/>
                <w:lang w:val="es-MX"/>
              </w:rPr>
              <w:t>concepto</w:t>
            </w:r>
            <w:r w:rsidRPr="00D55B2B">
              <w:rPr>
                <w:rFonts w:ascii="Arial" w:hAnsi="Arial" w:cs="Arial"/>
                <w:sz w:val="22"/>
                <w:szCs w:val="22"/>
              </w:rPr>
              <w:t xml:space="preserve"> de trabajos por administración estarán supeditados a la presentación de los formularios mencionados en la subcláusula 58.2 de las CGC.</w:t>
            </w:r>
          </w:p>
        </w:tc>
      </w:tr>
      <w:tr w:rsidR="00F7749D" w:rsidRPr="00D55B2B" w14:paraId="4D5D950D" w14:textId="77777777" w:rsidTr="00D23A40">
        <w:tblPrEx>
          <w:jc w:val="left"/>
        </w:tblPrEx>
        <w:trPr>
          <w:trHeight w:val="20"/>
        </w:trPr>
        <w:tc>
          <w:tcPr>
            <w:tcW w:w="9355" w:type="dxa"/>
            <w:gridSpan w:val="2"/>
            <w:shd w:val="clear" w:color="auto" w:fill="auto"/>
          </w:tcPr>
          <w:p w14:paraId="4BD88B1C"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10" w:name="_Toc47917013"/>
            <w:bookmarkStart w:id="2211" w:name="_Toc74048290"/>
            <w:bookmarkStart w:id="2212" w:name="_Toc74518530"/>
            <w:bookmarkStart w:id="2213" w:name="_Toc74519260"/>
            <w:bookmarkStart w:id="2214" w:name="_Toc74781450"/>
            <w:bookmarkStart w:id="2215" w:name="_Toc74930963"/>
            <w:r w:rsidRPr="00D55B2B">
              <w:rPr>
                <w:rFonts w:cs="Arial"/>
                <w:sz w:val="22"/>
                <w:szCs w:val="22"/>
                <w:lang w:val="es-ES_tradnl"/>
              </w:rPr>
              <w:t>Costo de reparaciones</w:t>
            </w:r>
            <w:bookmarkEnd w:id="2210"/>
            <w:bookmarkEnd w:id="2211"/>
            <w:bookmarkEnd w:id="2212"/>
            <w:bookmarkEnd w:id="2213"/>
            <w:bookmarkEnd w:id="2214"/>
            <w:bookmarkEnd w:id="2215"/>
          </w:p>
        </w:tc>
      </w:tr>
      <w:tr w:rsidR="00F7749D" w:rsidRPr="00D55B2B" w14:paraId="5F0645D4" w14:textId="77777777" w:rsidTr="00D23A40">
        <w:tblPrEx>
          <w:jc w:val="left"/>
        </w:tblPrEx>
        <w:trPr>
          <w:trHeight w:val="1284"/>
        </w:trPr>
        <w:tc>
          <w:tcPr>
            <w:tcW w:w="805" w:type="dxa"/>
            <w:tcBorders>
              <w:right w:val="nil"/>
            </w:tcBorders>
            <w:shd w:val="clear" w:color="auto" w:fill="auto"/>
          </w:tcPr>
          <w:p w14:paraId="1A2BF26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3005695"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lang w:val="es-MX"/>
              </w:rPr>
              <w:t xml:space="preserve">En el caso de que entre la Fecha de Inicio de las Obras y el vencimiento del Período de Responsabilidad por Defecto, las Obras o cualquier parte de éstas o cualquiera de las Obras Provisionales o los Materiales que hayan de incorporarse a ellas, sufriera daño, pérdida o perjuicio alguno (a menos que obedezca a un evento de Caso Fortuito o Fuerza Mayor como se define en la cláusula 40 de las CGC), el Contratista realizará las reparaciones y pagará por cuenta propia las pérdidas o daños,  cuando tales </w:t>
            </w:r>
            <w:r w:rsidRPr="00D55B2B">
              <w:rPr>
                <w:rFonts w:ascii="Arial" w:hAnsi="Arial" w:cs="Arial"/>
                <w:sz w:val="22"/>
                <w:szCs w:val="22"/>
                <w:lang w:val="es-MX"/>
              </w:rPr>
              <w:lastRenderedPageBreak/>
              <w:t xml:space="preserve">pérdidas o daños sean ocasionados por sus propios actos u omisiones y así lo determinase el Gerente de Obra. </w:t>
            </w:r>
          </w:p>
        </w:tc>
      </w:tr>
      <w:tr w:rsidR="00F7749D" w:rsidRPr="00D55B2B" w14:paraId="4453A03C" w14:textId="77777777" w:rsidTr="00D23A40">
        <w:tblPrEx>
          <w:jc w:val="left"/>
        </w:tblPrEx>
        <w:trPr>
          <w:trHeight w:val="1518"/>
        </w:trPr>
        <w:tc>
          <w:tcPr>
            <w:tcW w:w="805" w:type="dxa"/>
            <w:tcBorders>
              <w:right w:val="nil"/>
            </w:tcBorders>
            <w:shd w:val="clear" w:color="auto" w:fill="auto"/>
          </w:tcPr>
          <w:p w14:paraId="0EB1BC9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39CE03F" w14:textId="77777777" w:rsidR="00F7749D" w:rsidRPr="00D55B2B" w:rsidRDefault="00F7749D" w:rsidP="00D23A40">
            <w:pPr>
              <w:rPr>
                <w:rFonts w:ascii="Arial" w:hAnsi="Arial" w:cs="Arial"/>
                <w:sz w:val="22"/>
                <w:szCs w:val="22"/>
                <w:lang w:val="es-MX" w:eastAsia="es-MX"/>
              </w:rPr>
            </w:pPr>
            <w:r w:rsidRPr="00D55B2B">
              <w:rPr>
                <w:rFonts w:ascii="Arial" w:hAnsi="Arial" w:cs="Arial"/>
                <w:sz w:val="22"/>
                <w:szCs w:val="22"/>
                <w:lang w:val="es-HN"/>
              </w:rPr>
              <w:t xml:space="preserve">En caso de </w:t>
            </w:r>
            <w:r w:rsidRPr="00D55B2B">
              <w:rPr>
                <w:rFonts w:ascii="Arial" w:hAnsi="Arial" w:cs="Arial"/>
                <w:sz w:val="22"/>
                <w:szCs w:val="22"/>
                <w:lang w:val="es-MX" w:eastAsia="es-MX"/>
              </w:rPr>
              <w:t>daños, pérdidas o perjuicios en las obras, parte de las obras, obras provisionales o materiales que hayan de incorporarse a las obras, que sean ocasionados por causas distintas de la responsabilidad del Contratista descrita en la subcláusula 59.1 el Gerente de Obras podrá solicitar al Contratista realizar las reparaciones necesarias. Si el Contratista no pudiese realizar las reparaciones y así lo notificara, el Gerente de Obras tendrá la facultad de determinar las medidas a tomar que garanticen la seguridad e integridad de las obras y del sitio de obras.</w:t>
            </w:r>
          </w:p>
        </w:tc>
      </w:tr>
      <w:tr w:rsidR="00F7749D" w:rsidRPr="00D55B2B" w14:paraId="74D50238" w14:textId="77777777" w:rsidTr="00D23A40">
        <w:trPr>
          <w:cantSplit/>
          <w:trHeight w:val="423"/>
          <w:jc w:val="center"/>
        </w:trPr>
        <w:tc>
          <w:tcPr>
            <w:tcW w:w="9355" w:type="dxa"/>
            <w:gridSpan w:val="2"/>
            <w:shd w:val="clear" w:color="auto" w:fill="00B050"/>
          </w:tcPr>
          <w:p w14:paraId="57370559" w14:textId="77777777" w:rsidR="00F7749D" w:rsidRPr="00B32C26" w:rsidRDefault="00F7749D" w:rsidP="00F7749D">
            <w:pPr>
              <w:pStyle w:val="Ttulo1"/>
              <w:numPr>
                <w:ilvl w:val="0"/>
                <w:numId w:val="89"/>
              </w:numPr>
              <w:tabs>
                <w:tab w:val="right" w:leader="dot" w:pos="9000"/>
              </w:tabs>
              <w:spacing w:before="60" w:after="60"/>
              <w:ind w:right="720"/>
              <w:rPr>
                <w:rFonts w:ascii="Arial" w:hAnsi="Arial" w:cs="Arial"/>
                <w:color w:val="FFFFFF" w:themeColor="background1"/>
                <w:spacing w:val="-3"/>
                <w:sz w:val="22"/>
                <w:szCs w:val="22"/>
              </w:rPr>
            </w:pPr>
            <w:r w:rsidRPr="00A51DF6">
              <w:rPr>
                <w:rFonts w:ascii="Arial" w:hAnsi="Arial" w:cs="Arial"/>
                <w:color w:val="FFFFFF" w:themeColor="background1"/>
                <w:sz w:val="22"/>
                <w:szCs w:val="22"/>
                <w:lang w:val="es-419"/>
              </w:rPr>
              <w:t>Finalización del Contrato</w:t>
            </w:r>
          </w:p>
        </w:tc>
      </w:tr>
      <w:tr w:rsidR="00F7749D" w:rsidRPr="00D55B2B" w14:paraId="169DBEE5" w14:textId="77777777" w:rsidTr="00D23A40">
        <w:tblPrEx>
          <w:jc w:val="left"/>
        </w:tblPrEx>
        <w:trPr>
          <w:trHeight w:val="20"/>
        </w:trPr>
        <w:tc>
          <w:tcPr>
            <w:tcW w:w="9355" w:type="dxa"/>
            <w:gridSpan w:val="2"/>
            <w:shd w:val="clear" w:color="auto" w:fill="auto"/>
          </w:tcPr>
          <w:p w14:paraId="2AC304D9"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16" w:name="_Toc47917015"/>
            <w:bookmarkStart w:id="2217" w:name="_Toc74048292"/>
            <w:bookmarkStart w:id="2218" w:name="_Toc74518532"/>
            <w:bookmarkStart w:id="2219" w:name="_Toc74519262"/>
            <w:bookmarkStart w:id="2220" w:name="_Toc74781452"/>
            <w:bookmarkStart w:id="2221" w:name="_Toc74930965"/>
            <w:r w:rsidRPr="00D55B2B">
              <w:rPr>
                <w:rFonts w:cs="Arial"/>
                <w:sz w:val="22"/>
                <w:szCs w:val="22"/>
                <w:lang w:val="es-ES_tradnl"/>
              </w:rPr>
              <w:t>Terminación de las Obras</w:t>
            </w:r>
            <w:bookmarkEnd w:id="2216"/>
            <w:bookmarkEnd w:id="2217"/>
            <w:bookmarkEnd w:id="2218"/>
            <w:bookmarkEnd w:id="2219"/>
            <w:bookmarkEnd w:id="2220"/>
            <w:bookmarkEnd w:id="2221"/>
          </w:p>
        </w:tc>
      </w:tr>
      <w:tr w:rsidR="00F7749D" w:rsidRPr="00D55B2B" w14:paraId="60EA036D" w14:textId="77777777" w:rsidTr="00D23A40">
        <w:tblPrEx>
          <w:jc w:val="left"/>
        </w:tblPrEx>
        <w:trPr>
          <w:trHeight w:val="20"/>
        </w:trPr>
        <w:tc>
          <w:tcPr>
            <w:tcW w:w="805" w:type="dxa"/>
            <w:tcBorders>
              <w:right w:val="nil"/>
            </w:tcBorders>
            <w:shd w:val="clear" w:color="auto" w:fill="auto"/>
          </w:tcPr>
          <w:p w14:paraId="3CB1044C"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FEBEC8"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rPr>
              <w:t xml:space="preserve">Cuando las Obras se hayan completado sustancialmente y se haya aprobado satisfactoriamente cualquier prueba prevista en el Contrato sobre su terminación, el Contratista solicitará que el Gerente de Obras emita el Certificado de </w:t>
            </w:r>
            <w:r w:rsidRPr="00D55B2B">
              <w:rPr>
                <w:rFonts w:ascii="Arial" w:hAnsi="Arial" w:cs="Arial"/>
                <w:sz w:val="22"/>
                <w:szCs w:val="22"/>
                <w:lang w:val="es-MX"/>
              </w:rPr>
              <w:t>Terminación</w:t>
            </w:r>
            <w:r w:rsidRPr="00D55B2B">
              <w:rPr>
                <w:rFonts w:ascii="Arial" w:hAnsi="Arial" w:cs="Arial"/>
                <w:sz w:val="22"/>
                <w:szCs w:val="22"/>
              </w:rPr>
              <w:t xml:space="preserve"> de las Obras. A partir de ese momento comenzará el </w:t>
            </w:r>
            <w:r w:rsidRPr="00D55B2B">
              <w:rPr>
                <w:rFonts w:ascii="Arial" w:hAnsi="Arial" w:cs="Arial"/>
                <w:spacing w:val="-3"/>
                <w:sz w:val="22"/>
                <w:szCs w:val="22"/>
              </w:rPr>
              <w:t>Período de Responsabilidad por Defectos de conformidad con la cláusula 43 de las CGC hasta que el Gerente de Obra emita el Certificado de Corrección de Defectos.</w:t>
            </w:r>
            <w:r w:rsidRPr="00D55B2B">
              <w:rPr>
                <w:rFonts w:ascii="Arial" w:hAnsi="Arial" w:cs="Arial"/>
                <w:sz w:val="22"/>
                <w:szCs w:val="22"/>
              </w:rPr>
              <w:t xml:space="preserve"> </w:t>
            </w:r>
          </w:p>
        </w:tc>
      </w:tr>
      <w:tr w:rsidR="00F7749D" w:rsidRPr="00D55B2B" w14:paraId="325E3244" w14:textId="77777777" w:rsidTr="00D23A40">
        <w:tblPrEx>
          <w:jc w:val="left"/>
        </w:tblPrEx>
        <w:trPr>
          <w:trHeight w:val="20"/>
        </w:trPr>
        <w:tc>
          <w:tcPr>
            <w:tcW w:w="805" w:type="dxa"/>
            <w:tcBorders>
              <w:right w:val="nil"/>
            </w:tcBorders>
            <w:shd w:val="clear" w:color="auto" w:fill="auto"/>
          </w:tcPr>
          <w:p w14:paraId="0C9267B5"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7A14EF0"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Una vez que el Gerente de Obras considere que las Obras están terminadas, los defectos detectados han sido corregidos y se ha presentado el seguro al que hace referencia la subcláusula 67.1, emitirá el Certificado de Corrección de defectos.</w:t>
            </w:r>
          </w:p>
        </w:tc>
      </w:tr>
      <w:tr w:rsidR="00F7749D" w:rsidRPr="00D55B2B" w14:paraId="4DFD7527" w14:textId="77777777" w:rsidTr="00D23A40">
        <w:tblPrEx>
          <w:jc w:val="left"/>
        </w:tblPrEx>
        <w:trPr>
          <w:trHeight w:val="20"/>
        </w:trPr>
        <w:tc>
          <w:tcPr>
            <w:tcW w:w="805" w:type="dxa"/>
            <w:tcBorders>
              <w:right w:val="nil"/>
            </w:tcBorders>
            <w:shd w:val="clear" w:color="auto" w:fill="auto"/>
          </w:tcPr>
          <w:p w14:paraId="62BB35D0"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30C67F8"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Las Obras se considerarán terminadas con la emisión de dicho Certificado, siempre que las disposiciones del Contrato que no se hayan cumplido aún y la disposición de resolución de controversias del Contrato permanezcan en vigor durante el tiempo que sea necesario para dirimir cualquier asunto o cuestión pendiente entre las Partes.</w:t>
            </w:r>
          </w:p>
        </w:tc>
      </w:tr>
      <w:tr w:rsidR="00F7749D" w:rsidRPr="00D55B2B" w14:paraId="5CDC6E73" w14:textId="77777777" w:rsidTr="00D23A40">
        <w:tblPrEx>
          <w:jc w:val="left"/>
        </w:tblPrEx>
        <w:trPr>
          <w:trHeight w:val="20"/>
        </w:trPr>
        <w:tc>
          <w:tcPr>
            <w:tcW w:w="9355" w:type="dxa"/>
            <w:gridSpan w:val="2"/>
            <w:shd w:val="clear" w:color="auto" w:fill="auto"/>
          </w:tcPr>
          <w:p w14:paraId="0F842DC4"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22" w:name="_Toc47917016"/>
            <w:bookmarkStart w:id="2223" w:name="_Toc74048293"/>
            <w:bookmarkStart w:id="2224" w:name="_Toc74518533"/>
            <w:bookmarkStart w:id="2225" w:name="_Toc74519263"/>
            <w:bookmarkStart w:id="2226" w:name="_Toc74781453"/>
            <w:bookmarkStart w:id="2227" w:name="_Toc74930966"/>
            <w:r w:rsidRPr="00D55B2B">
              <w:rPr>
                <w:rFonts w:cs="Arial"/>
                <w:sz w:val="22"/>
                <w:szCs w:val="22"/>
                <w:lang w:val="es-ES_tradnl"/>
              </w:rPr>
              <w:t>Recepción de las Obras</w:t>
            </w:r>
            <w:bookmarkEnd w:id="2222"/>
            <w:bookmarkEnd w:id="2223"/>
            <w:bookmarkEnd w:id="2224"/>
            <w:bookmarkEnd w:id="2225"/>
            <w:bookmarkEnd w:id="2226"/>
            <w:bookmarkEnd w:id="2227"/>
          </w:p>
        </w:tc>
      </w:tr>
      <w:tr w:rsidR="00F7749D" w:rsidRPr="00D55B2B" w14:paraId="3D0CDD80" w14:textId="77777777" w:rsidTr="00D23A40">
        <w:tblPrEx>
          <w:jc w:val="left"/>
        </w:tblPrEx>
        <w:trPr>
          <w:trHeight w:val="20"/>
        </w:trPr>
        <w:tc>
          <w:tcPr>
            <w:tcW w:w="805" w:type="dxa"/>
            <w:tcBorders>
              <w:right w:val="nil"/>
            </w:tcBorders>
            <w:shd w:val="clear" w:color="auto" w:fill="auto"/>
          </w:tcPr>
          <w:p w14:paraId="0F861F1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763DC73" w14:textId="77777777" w:rsidR="00F7749D" w:rsidRPr="00D55B2B" w:rsidRDefault="00F7749D" w:rsidP="00D23A40">
            <w:pPr>
              <w:spacing w:before="60" w:after="60"/>
              <w:rPr>
                <w:rFonts w:ascii="Arial" w:hAnsi="Arial" w:cs="Arial"/>
                <w:color w:val="00B050"/>
                <w:sz w:val="22"/>
                <w:szCs w:val="22"/>
              </w:rPr>
            </w:pPr>
            <w:r w:rsidRPr="00D55B2B">
              <w:rPr>
                <w:rFonts w:ascii="Arial" w:hAnsi="Arial" w:cs="Arial"/>
                <w:spacing w:val="-3"/>
                <w:sz w:val="22"/>
                <w:szCs w:val="22"/>
              </w:rPr>
              <w:t>El Contratante tomará posesión del Sitio de las Obras y de las Obras dentro de los siete (7) días siguientes a la fecha en que el Gerente de Obras emita el Certificado de Terminación de las Obras.</w:t>
            </w:r>
          </w:p>
        </w:tc>
      </w:tr>
      <w:tr w:rsidR="00F7749D" w:rsidRPr="00D55B2B" w14:paraId="098B18A2" w14:textId="77777777" w:rsidTr="00D23A40">
        <w:tblPrEx>
          <w:jc w:val="left"/>
        </w:tblPrEx>
        <w:trPr>
          <w:trHeight w:val="20"/>
        </w:trPr>
        <w:tc>
          <w:tcPr>
            <w:tcW w:w="9355" w:type="dxa"/>
            <w:gridSpan w:val="2"/>
            <w:shd w:val="clear" w:color="auto" w:fill="auto"/>
          </w:tcPr>
          <w:p w14:paraId="319A5A68"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28" w:name="_Toc47917017"/>
            <w:bookmarkStart w:id="2229" w:name="_Toc74048294"/>
            <w:bookmarkStart w:id="2230" w:name="_Toc74518534"/>
            <w:bookmarkStart w:id="2231" w:name="_Toc74519264"/>
            <w:bookmarkStart w:id="2232" w:name="_Toc74781454"/>
            <w:bookmarkStart w:id="2233" w:name="_Toc74930967"/>
            <w:r w:rsidRPr="00D55B2B">
              <w:rPr>
                <w:rFonts w:cs="Arial"/>
                <w:sz w:val="22"/>
                <w:szCs w:val="22"/>
                <w:lang w:val="es-ES_tradnl"/>
              </w:rPr>
              <w:t>Liquidación final</w:t>
            </w:r>
            <w:bookmarkEnd w:id="2228"/>
            <w:bookmarkEnd w:id="2229"/>
            <w:bookmarkEnd w:id="2230"/>
            <w:bookmarkEnd w:id="2231"/>
            <w:bookmarkEnd w:id="2232"/>
            <w:bookmarkEnd w:id="2233"/>
          </w:p>
        </w:tc>
      </w:tr>
      <w:tr w:rsidR="00F7749D" w:rsidRPr="00D55B2B" w14:paraId="5670835F" w14:textId="77777777" w:rsidTr="00D23A40">
        <w:tblPrEx>
          <w:jc w:val="left"/>
        </w:tblPrEx>
        <w:trPr>
          <w:trHeight w:val="20"/>
        </w:trPr>
        <w:tc>
          <w:tcPr>
            <w:tcW w:w="805" w:type="dxa"/>
            <w:tcBorders>
              <w:right w:val="nil"/>
            </w:tcBorders>
            <w:shd w:val="clear" w:color="auto" w:fill="auto"/>
          </w:tcPr>
          <w:p w14:paraId="383CB1F4"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B83B2D6"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Antes del vencimiento del Período de Responsabilidad por Defectos, el Contratista entregará al Gerente de Obras </w:t>
            </w:r>
            <w:r w:rsidRPr="00D55B2B">
              <w:rPr>
                <w:rFonts w:ascii="Arial" w:hAnsi="Arial" w:cs="Arial"/>
                <w:sz w:val="22"/>
                <w:szCs w:val="22"/>
                <w:lang w:val="es-MX"/>
              </w:rPr>
              <w:t>un</w:t>
            </w:r>
            <w:r w:rsidRPr="00D55B2B">
              <w:rPr>
                <w:rFonts w:ascii="Arial" w:hAnsi="Arial" w:cs="Arial"/>
                <w:sz w:val="22"/>
                <w:szCs w:val="22"/>
              </w:rPr>
              <w:t xml:space="preserve"> estado de cuenta detallado del monto total que el Contratista considere que se le adeuda en virtud del Contrato.  </w:t>
            </w:r>
          </w:p>
        </w:tc>
      </w:tr>
      <w:tr w:rsidR="00F7749D" w:rsidRPr="00D55B2B" w14:paraId="1F9B6E3E" w14:textId="77777777" w:rsidTr="00D23A40">
        <w:tblPrEx>
          <w:jc w:val="left"/>
        </w:tblPrEx>
        <w:trPr>
          <w:trHeight w:val="20"/>
        </w:trPr>
        <w:tc>
          <w:tcPr>
            <w:tcW w:w="805" w:type="dxa"/>
            <w:tcBorders>
              <w:right w:val="nil"/>
            </w:tcBorders>
            <w:shd w:val="clear" w:color="auto" w:fill="auto"/>
          </w:tcPr>
          <w:p w14:paraId="356CC63A"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8FD7C6F"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El Gerente de Obras emitirá un Certificado de Corrección de Defectos y certificará cualquier pago final que se adeude al Contratista dentro de los cincuenta y seis (56) días siguientes a haber recibido del Contratista el estado de cuenta detallado y éste estuviera correcto y completo a juicio del Gerente de Obras.  </w:t>
            </w:r>
          </w:p>
        </w:tc>
      </w:tr>
      <w:tr w:rsidR="00F7749D" w:rsidRPr="00D55B2B" w14:paraId="34114E44" w14:textId="77777777" w:rsidTr="00D23A40">
        <w:tblPrEx>
          <w:jc w:val="left"/>
        </w:tblPrEx>
        <w:trPr>
          <w:trHeight w:val="20"/>
        </w:trPr>
        <w:tc>
          <w:tcPr>
            <w:tcW w:w="805" w:type="dxa"/>
            <w:tcBorders>
              <w:right w:val="nil"/>
            </w:tcBorders>
            <w:shd w:val="clear" w:color="auto" w:fill="auto"/>
          </w:tcPr>
          <w:p w14:paraId="28E0F1A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8A459AE"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De no encontrarse el estado de cuenta correcto y completo, el Gerente de Obras deberá emitir, dentro del mismo plazo establecido en la CGC 62.2. una lista que establezca la naturaleza de las correcciones o adiciones que sean necesarias.  Si después de que el Contratista volviese a presentar el estado de cuenta final y éste </w:t>
            </w:r>
            <w:r w:rsidRPr="00D55B2B">
              <w:rPr>
                <w:rFonts w:ascii="Arial" w:hAnsi="Arial" w:cs="Arial"/>
                <w:sz w:val="22"/>
                <w:szCs w:val="22"/>
              </w:rPr>
              <w:lastRenderedPageBreak/>
              <w:t>aún no fuera satisfactorio a juicio del Gerente de Obras, el Gerente de Obras decidirá el monto que deberá pagarse al Contratista y emitirá el certificado de pago.</w:t>
            </w:r>
          </w:p>
        </w:tc>
      </w:tr>
      <w:tr w:rsidR="00F7749D" w:rsidRPr="00D55B2B" w14:paraId="34AD6E43" w14:textId="77777777" w:rsidTr="00D23A40">
        <w:tblPrEx>
          <w:jc w:val="left"/>
        </w:tblPrEx>
        <w:trPr>
          <w:trHeight w:val="20"/>
        </w:trPr>
        <w:tc>
          <w:tcPr>
            <w:tcW w:w="9355" w:type="dxa"/>
            <w:gridSpan w:val="2"/>
            <w:shd w:val="clear" w:color="auto" w:fill="auto"/>
          </w:tcPr>
          <w:p w14:paraId="16F44951"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34" w:name="_Toc47917018"/>
            <w:bookmarkStart w:id="2235" w:name="_Toc74048295"/>
            <w:bookmarkStart w:id="2236" w:name="_Toc74518535"/>
            <w:bookmarkStart w:id="2237" w:name="_Toc74519265"/>
            <w:bookmarkStart w:id="2238" w:name="_Toc74781455"/>
            <w:bookmarkStart w:id="2239" w:name="_Toc74930968"/>
            <w:r w:rsidRPr="00D55B2B">
              <w:rPr>
                <w:rFonts w:cs="Arial"/>
                <w:sz w:val="22"/>
                <w:szCs w:val="22"/>
                <w:lang w:val="es-ES_tradnl"/>
              </w:rPr>
              <w:lastRenderedPageBreak/>
              <w:t>Manuales de Operación y de Mantenimiento</w:t>
            </w:r>
            <w:bookmarkEnd w:id="2234"/>
            <w:bookmarkEnd w:id="2235"/>
            <w:bookmarkEnd w:id="2236"/>
            <w:bookmarkEnd w:id="2237"/>
            <w:bookmarkEnd w:id="2238"/>
            <w:bookmarkEnd w:id="2239"/>
          </w:p>
        </w:tc>
      </w:tr>
      <w:tr w:rsidR="00F7749D" w:rsidRPr="00D55B2B" w14:paraId="08CA40F1" w14:textId="77777777" w:rsidTr="00D23A40">
        <w:tblPrEx>
          <w:jc w:val="left"/>
        </w:tblPrEx>
        <w:trPr>
          <w:trHeight w:val="20"/>
        </w:trPr>
        <w:tc>
          <w:tcPr>
            <w:tcW w:w="805" w:type="dxa"/>
            <w:tcBorders>
              <w:right w:val="nil"/>
            </w:tcBorders>
            <w:shd w:val="clear" w:color="auto" w:fill="auto"/>
          </w:tcPr>
          <w:p w14:paraId="7C6BBEE7"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879775"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rPr>
              <w:t xml:space="preserve">En el caso de que las Especificaciones hayan solicitado la entrega al Contratante de los </w:t>
            </w:r>
            <w:r w:rsidRPr="00D55B2B">
              <w:rPr>
                <w:rFonts w:ascii="Arial" w:hAnsi="Arial" w:cs="Arial"/>
                <w:sz w:val="22"/>
                <w:szCs w:val="22"/>
                <w:lang w:val="es-MX"/>
              </w:rPr>
              <w:t xml:space="preserve">manuales de operación y mantenimiento actualizados, y de los planos finales el Contratista los entregará en las fechas </w:t>
            </w:r>
            <w:r w:rsidRPr="00D55B2B">
              <w:rPr>
                <w:rFonts w:ascii="Arial" w:hAnsi="Arial" w:cs="Arial"/>
                <w:b/>
                <w:bCs/>
                <w:sz w:val="22"/>
                <w:szCs w:val="22"/>
                <w:lang w:val="es-MX"/>
              </w:rPr>
              <w:t>estipuladas en las CPC</w:t>
            </w:r>
            <w:r w:rsidRPr="00D55B2B">
              <w:rPr>
                <w:rFonts w:ascii="Arial" w:hAnsi="Arial" w:cs="Arial"/>
                <w:sz w:val="22"/>
                <w:szCs w:val="22"/>
                <w:lang w:val="es-MX"/>
              </w:rPr>
              <w:t>.</w:t>
            </w:r>
          </w:p>
        </w:tc>
      </w:tr>
      <w:tr w:rsidR="00F7749D" w:rsidRPr="00D55B2B" w14:paraId="4FE4380D" w14:textId="77777777" w:rsidTr="00D23A40">
        <w:tblPrEx>
          <w:jc w:val="left"/>
        </w:tblPrEx>
        <w:trPr>
          <w:trHeight w:val="20"/>
        </w:trPr>
        <w:tc>
          <w:tcPr>
            <w:tcW w:w="805" w:type="dxa"/>
            <w:tcBorders>
              <w:right w:val="nil"/>
            </w:tcBorders>
            <w:shd w:val="clear" w:color="auto" w:fill="auto"/>
          </w:tcPr>
          <w:p w14:paraId="522A246F"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5C489B8"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lang w:val="es-MX"/>
              </w:rPr>
              <w:t>Si el Contratista no proporciona los planos finales actualizados y/o los manuales de operación y mantenimiento a más tardar en las fechas estipuladas en la subcláusula 63.1, o no son aprobados por el Gerente</w:t>
            </w:r>
            <w:r w:rsidRPr="00D55B2B">
              <w:rPr>
                <w:rFonts w:ascii="Arial" w:hAnsi="Arial" w:cs="Arial"/>
                <w:sz w:val="22"/>
                <w:szCs w:val="22"/>
              </w:rPr>
              <w:t xml:space="preserve"> de Obras, éste retendrá la suma </w:t>
            </w:r>
            <w:r w:rsidRPr="00D55B2B">
              <w:rPr>
                <w:rFonts w:ascii="Arial" w:hAnsi="Arial" w:cs="Arial"/>
                <w:b/>
                <w:bCs/>
                <w:sz w:val="22"/>
                <w:szCs w:val="22"/>
              </w:rPr>
              <w:t>estipulada en las CPC</w:t>
            </w:r>
            <w:r w:rsidRPr="00D55B2B">
              <w:rPr>
                <w:rFonts w:ascii="Arial" w:hAnsi="Arial" w:cs="Arial"/>
                <w:sz w:val="22"/>
                <w:szCs w:val="22"/>
              </w:rPr>
              <w:t xml:space="preserve"> de los pagos que se le adeuden al Contratista.</w:t>
            </w:r>
          </w:p>
        </w:tc>
      </w:tr>
      <w:tr w:rsidR="00F7749D" w:rsidRPr="00D55B2B" w14:paraId="229FEAFC" w14:textId="77777777" w:rsidTr="00D23A40">
        <w:tblPrEx>
          <w:jc w:val="left"/>
        </w:tblPrEx>
        <w:trPr>
          <w:trHeight w:val="20"/>
        </w:trPr>
        <w:tc>
          <w:tcPr>
            <w:tcW w:w="9355" w:type="dxa"/>
            <w:gridSpan w:val="2"/>
            <w:shd w:val="clear" w:color="auto" w:fill="auto"/>
          </w:tcPr>
          <w:p w14:paraId="01472D42" w14:textId="77777777" w:rsidR="00F7749D" w:rsidRPr="00D55B2B" w:rsidRDefault="00F7749D" w:rsidP="00F7749D">
            <w:pPr>
              <w:pStyle w:val="Ttulo2"/>
              <w:keepNext w:val="0"/>
              <w:numPr>
                <w:ilvl w:val="0"/>
                <w:numId w:val="90"/>
              </w:numPr>
              <w:spacing w:before="60" w:after="60"/>
              <w:jc w:val="both"/>
              <w:rPr>
                <w:rFonts w:cs="Arial"/>
                <w:sz w:val="22"/>
                <w:szCs w:val="22"/>
                <w:lang w:val="es-419"/>
              </w:rPr>
            </w:pPr>
            <w:bookmarkStart w:id="2240" w:name="_Toc20244423"/>
            <w:bookmarkStart w:id="2241" w:name="_Toc20319631"/>
            <w:bookmarkStart w:id="2242" w:name="_Toc47917019"/>
            <w:bookmarkStart w:id="2243" w:name="_Toc74048296"/>
            <w:bookmarkStart w:id="2244" w:name="_Toc74518536"/>
            <w:bookmarkStart w:id="2245" w:name="_Toc74519266"/>
            <w:bookmarkStart w:id="2246" w:name="_Toc74781456"/>
            <w:bookmarkStart w:id="2247" w:name="_Toc74930969"/>
            <w:r w:rsidRPr="00D55B2B">
              <w:rPr>
                <w:rFonts w:cs="Arial"/>
                <w:sz w:val="22"/>
                <w:szCs w:val="22"/>
                <w:lang w:val="es-ES_tradnl"/>
              </w:rPr>
              <w:t>Terminación</w:t>
            </w:r>
            <w:r w:rsidRPr="00D55B2B">
              <w:rPr>
                <w:rFonts w:cs="Arial"/>
                <w:sz w:val="22"/>
                <w:szCs w:val="22"/>
                <w:lang w:val="es-419"/>
              </w:rPr>
              <w:t xml:space="preserve"> anticipada del Contrato</w:t>
            </w:r>
            <w:bookmarkEnd w:id="2240"/>
            <w:bookmarkEnd w:id="2241"/>
            <w:bookmarkEnd w:id="2242"/>
            <w:bookmarkEnd w:id="2243"/>
            <w:bookmarkEnd w:id="2244"/>
            <w:bookmarkEnd w:id="2245"/>
            <w:bookmarkEnd w:id="2246"/>
            <w:bookmarkEnd w:id="2247"/>
          </w:p>
        </w:tc>
      </w:tr>
      <w:tr w:rsidR="00F7749D" w:rsidRPr="00D55B2B" w14:paraId="5438AF49" w14:textId="77777777" w:rsidTr="00D23A40">
        <w:tblPrEx>
          <w:jc w:val="left"/>
        </w:tblPrEx>
        <w:trPr>
          <w:trHeight w:val="20"/>
        </w:trPr>
        <w:tc>
          <w:tcPr>
            <w:tcW w:w="805" w:type="dxa"/>
            <w:tcBorders>
              <w:right w:val="nil"/>
            </w:tcBorders>
            <w:shd w:val="clear" w:color="auto" w:fill="auto"/>
          </w:tcPr>
          <w:p w14:paraId="6C068D41"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265D56F"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u w:val="single"/>
              </w:rPr>
              <w:t>Terminación por incumplimiento del Contratista</w:t>
            </w:r>
          </w:p>
          <w:p w14:paraId="27B9EB40"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rPr>
              <w:t xml:space="preserve">El Contratante podrá dar por terminado el Contrato si el Contratista incurre en incumplimiento fundamental del Contrato. </w:t>
            </w:r>
            <w:r w:rsidRPr="00D55B2B">
              <w:rPr>
                <w:rFonts w:ascii="Arial" w:hAnsi="Arial" w:cs="Arial"/>
                <w:sz w:val="22"/>
                <w:szCs w:val="22"/>
                <w:lang w:val="es-MX"/>
              </w:rPr>
              <w:t>Serán incumplimientos fundamentales del Contrato, entre otros, los siguientes hechos:</w:t>
            </w:r>
          </w:p>
          <w:p w14:paraId="2282CD9E" w14:textId="77777777" w:rsidR="00F7749D" w:rsidRPr="00D55B2B" w:rsidRDefault="00F7749D" w:rsidP="00F7749D">
            <w:pPr>
              <w:numPr>
                <w:ilvl w:val="0"/>
                <w:numId w:val="107"/>
              </w:numPr>
              <w:spacing w:before="60" w:after="60"/>
              <w:ind w:left="420"/>
              <w:rPr>
                <w:rFonts w:ascii="Arial" w:hAnsi="Arial" w:cs="Arial"/>
                <w:sz w:val="22"/>
                <w:szCs w:val="22"/>
              </w:rPr>
            </w:pPr>
            <w:r w:rsidRPr="00D55B2B">
              <w:rPr>
                <w:rFonts w:ascii="Arial" w:hAnsi="Arial" w:cs="Arial"/>
                <w:sz w:val="22"/>
                <w:szCs w:val="22"/>
              </w:rPr>
              <w:t xml:space="preserve"> 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F16F84C" w14:textId="77777777" w:rsidR="00F7749D" w:rsidRPr="00D55B2B" w:rsidRDefault="00F7749D" w:rsidP="00F7749D">
            <w:pPr>
              <w:numPr>
                <w:ilvl w:val="0"/>
                <w:numId w:val="107"/>
              </w:numPr>
              <w:spacing w:before="60" w:after="60"/>
              <w:ind w:left="420"/>
              <w:rPr>
                <w:rFonts w:ascii="Arial" w:hAnsi="Arial" w:cs="Arial"/>
                <w:sz w:val="22"/>
                <w:szCs w:val="22"/>
              </w:rPr>
            </w:pPr>
            <w:r w:rsidRPr="00D55B2B">
              <w:rPr>
                <w:rFonts w:ascii="Arial" w:hAnsi="Arial" w:cs="Arial"/>
                <w:sz w:val="22"/>
                <w:szCs w:val="22"/>
              </w:rPr>
              <w:t>El Contratista no mantiene una garantía que sea exigida en el Contrato.</w:t>
            </w:r>
          </w:p>
          <w:p w14:paraId="7F404389" w14:textId="77777777" w:rsidR="00F7749D" w:rsidRPr="00D55B2B" w:rsidRDefault="00F7749D" w:rsidP="00F7749D">
            <w:pPr>
              <w:numPr>
                <w:ilvl w:val="0"/>
                <w:numId w:val="107"/>
              </w:numPr>
              <w:spacing w:before="60" w:after="60"/>
              <w:ind w:left="420"/>
              <w:rPr>
                <w:rFonts w:ascii="Arial" w:hAnsi="Arial" w:cs="Arial"/>
                <w:sz w:val="22"/>
                <w:szCs w:val="22"/>
              </w:rPr>
            </w:pPr>
            <w:r w:rsidRPr="00D55B2B">
              <w:rPr>
                <w:rFonts w:ascii="Arial" w:hAnsi="Arial" w:cs="Arial"/>
                <w:sz w:val="22"/>
                <w:szCs w:val="22"/>
              </w:rPr>
              <w:t xml:space="preserve">El Contratista ha demorado la terminación de las Obras por el número de días para el cual se puede pagar el monto máximo por concepto de daños y perjuicios, según lo </w:t>
            </w:r>
            <w:r w:rsidRPr="00D55B2B">
              <w:rPr>
                <w:rFonts w:ascii="Arial" w:hAnsi="Arial" w:cs="Arial"/>
                <w:bCs/>
                <w:sz w:val="22"/>
                <w:szCs w:val="22"/>
              </w:rPr>
              <w:t>estipulado en las</w:t>
            </w:r>
            <w:r w:rsidRPr="00D55B2B">
              <w:rPr>
                <w:rFonts w:ascii="Arial" w:hAnsi="Arial" w:cs="Arial"/>
                <w:b/>
                <w:bCs/>
                <w:sz w:val="22"/>
                <w:szCs w:val="22"/>
              </w:rPr>
              <w:t xml:space="preserve"> CPC</w:t>
            </w:r>
            <w:r w:rsidRPr="00D55B2B">
              <w:rPr>
                <w:rFonts w:ascii="Arial" w:hAnsi="Arial" w:cs="Arial"/>
                <w:sz w:val="22"/>
                <w:szCs w:val="22"/>
              </w:rPr>
              <w:t>.</w:t>
            </w:r>
          </w:p>
          <w:p w14:paraId="5F6BED5B" w14:textId="77777777" w:rsidR="00F7749D" w:rsidRPr="00D55B2B" w:rsidRDefault="00F7749D" w:rsidP="00F7749D">
            <w:pPr>
              <w:numPr>
                <w:ilvl w:val="0"/>
                <w:numId w:val="107"/>
              </w:numPr>
              <w:spacing w:before="60" w:after="60"/>
              <w:ind w:left="420"/>
              <w:rPr>
                <w:rFonts w:ascii="Arial" w:hAnsi="Arial" w:cs="Arial"/>
                <w:sz w:val="22"/>
                <w:szCs w:val="22"/>
              </w:rPr>
            </w:pPr>
            <w:r w:rsidRPr="00D55B2B">
              <w:rPr>
                <w:rFonts w:ascii="Arial" w:hAnsi="Arial" w:cs="Arial"/>
                <w:sz w:val="22"/>
                <w:szCs w:val="22"/>
              </w:rPr>
              <w:t>El Contratista se retira de la Obra, en su totalidad o en parte, sin previa aprobación por escrito del Contratante.</w:t>
            </w:r>
          </w:p>
          <w:p w14:paraId="4A7DAF5F" w14:textId="77777777" w:rsidR="00F7749D" w:rsidRPr="00D55B2B" w:rsidRDefault="00F7749D" w:rsidP="00F7749D">
            <w:pPr>
              <w:numPr>
                <w:ilvl w:val="0"/>
                <w:numId w:val="107"/>
              </w:numPr>
              <w:spacing w:before="60" w:after="60"/>
              <w:ind w:left="420"/>
              <w:rPr>
                <w:rFonts w:ascii="Arial" w:hAnsi="Arial" w:cs="Arial"/>
                <w:sz w:val="22"/>
                <w:szCs w:val="22"/>
              </w:rPr>
            </w:pPr>
            <w:r w:rsidRPr="00D55B2B">
              <w:rPr>
                <w:rFonts w:ascii="Arial" w:hAnsi="Arial" w:cs="Arial"/>
                <w:sz w:val="22"/>
                <w:szCs w:val="22"/>
              </w:rPr>
              <w:t>El Contratista no otorga al Contratante o a quien éste designe por escrito las facilidades o los datos y documentos necesarios para la supervisión o inspección de la ejecución de las Obras.</w:t>
            </w:r>
          </w:p>
          <w:p w14:paraId="52BDBE41" w14:textId="77777777" w:rsidR="00F7749D" w:rsidRPr="00D55B2B" w:rsidRDefault="00F7749D" w:rsidP="00F7749D">
            <w:pPr>
              <w:numPr>
                <w:ilvl w:val="0"/>
                <w:numId w:val="107"/>
              </w:numPr>
              <w:spacing w:before="60" w:after="60"/>
              <w:ind w:left="420"/>
              <w:rPr>
                <w:rFonts w:ascii="Arial" w:hAnsi="Arial" w:cs="Arial"/>
                <w:sz w:val="22"/>
                <w:szCs w:val="22"/>
              </w:rPr>
            </w:pPr>
            <w:r w:rsidRPr="00D55B2B">
              <w:rPr>
                <w:rFonts w:ascii="Arial" w:hAnsi="Arial" w:cs="Arial"/>
                <w:sz w:val="22"/>
                <w:szCs w:val="22"/>
              </w:rPr>
              <w:t xml:space="preserve">El Contratista cede el Contrato a otros, en su totalidad o en parte según lo estipulado en la subcláusula 17.1 </w:t>
            </w:r>
          </w:p>
        </w:tc>
      </w:tr>
      <w:tr w:rsidR="00F7749D" w:rsidRPr="00D55B2B" w14:paraId="0FDA2D35" w14:textId="77777777" w:rsidTr="00D23A40">
        <w:trPr>
          <w:cantSplit/>
          <w:trHeight w:val="423"/>
          <w:jc w:val="center"/>
        </w:trPr>
        <w:tc>
          <w:tcPr>
            <w:tcW w:w="805" w:type="dxa"/>
            <w:tcBorders>
              <w:right w:val="nil"/>
            </w:tcBorders>
            <w:shd w:val="clear" w:color="auto" w:fill="auto"/>
          </w:tcPr>
          <w:p w14:paraId="1DA95E09"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58942EF" w14:textId="77777777" w:rsidR="00F7749D" w:rsidRPr="00D55B2B" w:rsidRDefault="00F7749D" w:rsidP="00D23A40">
            <w:pPr>
              <w:numPr>
                <w:ilvl w:val="12"/>
                <w:numId w:val="0"/>
              </w:numPr>
              <w:spacing w:before="60" w:after="60"/>
              <w:rPr>
                <w:rFonts w:ascii="Arial" w:hAnsi="Arial" w:cs="Arial"/>
                <w:sz w:val="22"/>
                <w:szCs w:val="22"/>
                <w:u w:val="single"/>
              </w:rPr>
            </w:pPr>
            <w:r w:rsidRPr="00D55B2B">
              <w:rPr>
                <w:rFonts w:ascii="Arial" w:hAnsi="Arial" w:cs="Arial"/>
                <w:sz w:val="22"/>
                <w:szCs w:val="22"/>
                <w:u w:val="single"/>
              </w:rPr>
              <w:t>Terminación por incumplimiento del Contratante</w:t>
            </w:r>
          </w:p>
          <w:p w14:paraId="7DD97F1F"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Contratista podrá dar por concluido el Contrato si:</w:t>
            </w:r>
          </w:p>
          <w:p w14:paraId="1BEEC039" w14:textId="77777777" w:rsidR="00F7749D" w:rsidRPr="00D55B2B" w:rsidRDefault="00F7749D" w:rsidP="00F7749D">
            <w:pPr>
              <w:numPr>
                <w:ilvl w:val="0"/>
                <w:numId w:val="77"/>
              </w:numPr>
              <w:tabs>
                <w:tab w:val="clear" w:pos="720"/>
              </w:tabs>
              <w:spacing w:before="60" w:after="60"/>
              <w:ind w:left="430" w:hanging="380"/>
              <w:rPr>
                <w:rFonts w:ascii="Arial" w:hAnsi="Arial" w:cs="Arial"/>
                <w:sz w:val="22"/>
                <w:szCs w:val="22"/>
              </w:rPr>
            </w:pPr>
            <w:r w:rsidRPr="00D55B2B">
              <w:rPr>
                <w:rFonts w:ascii="Arial" w:hAnsi="Arial" w:cs="Arial"/>
                <w:sz w:val="22"/>
                <w:szCs w:val="22"/>
              </w:rPr>
              <w:t>El Contratante no efectúa al Contratista un pago certificado por el Gerente de Obras, dentro de los ochenta y cuatro (84) días siguientes a la fecha de emisión del certificado por el Gerente de Obras;</w:t>
            </w:r>
          </w:p>
          <w:p w14:paraId="31511D34"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El Gerente de Obras ordena al Contratista detener el avance de las Obras conforme lo establecido en la cláusula 41, y no retira la orden dentro de los veintiocho (28) días siguientes.</w:t>
            </w:r>
          </w:p>
        </w:tc>
      </w:tr>
      <w:tr w:rsidR="00F7749D" w:rsidRPr="00D55B2B" w14:paraId="773506D4" w14:textId="77777777" w:rsidTr="00D23A40">
        <w:trPr>
          <w:cantSplit/>
          <w:trHeight w:val="423"/>
          <w:jc w:val="center"/>
        </w:trPr>
        <w:tc>
          <w:tcPr>
            <w:tcW w:w="805" w:type="dxa"/>
            <w:tcBorders>
              <w:right w:val="nil"/>
            </w:tcBorders>
            <w:shd w:val="clear" w:color="auto" w:fill="auto"/>
          </w:tcPr>
          <w:p w14:paraId="4005118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1D7D9E77"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 xml:space="preserve">Cuando cualquiera de las Partes del Contrato notifique al Gerente de Obras de un incumplimiento del </w:t>
            </w:r>
            <w:r w:rsidRPr="00D55B2B">
              <w:rPr>
                <w:rFonts w:ascii="Arial" w:hAnsi="Arial" w:cs="Arial"/>
                <w:sz w:val="22"/>
                <w:szCs w:val="22"/>
                <w:lang w:val="es-MX"/>
              </w:rPr>
              <w:t>Contrato</w:t>
            </w:r>
            <w:r w:rsidRPr="00D55B2B">
              <w:rPr>
                <w:rFonts w:ascii="Arial" w:hAnsi="Arial" w:cs="Arial"/>
                <w:sz w:val="22"/>
                <w:szCs w:val="22"/>
              </w:rPr>
              <w:t>, por una causa diferente a las indicadas en las subcláusulas 64.1 y 64.2 de las CGC, el Gerente de Obras deberá decidir si el incumplimiento es o no fundamental.</w:t>
            </w:r>
          </w:p>
        </w:tc>
      </w:tr>
      <w:tr w:rsidR="00F7749D" w:rsidRPr="00D55B2B" w14:paraId="5D500672" w14:textId="77777777" w:rsidTr="00D23A40">
        <w:trPr>
          <w:cantSplit/>
          <w:trHeight w:val="423"/>
          <w:jc w:val="center"/>
        </w:trPr>
        <w:tc>
          <w:tcPr>
            <w:tcW w:w="805" w:type="dxa"/>
            <w:tcBorders>
              <w:right w:val="nil"/>
            </w:tcBorders>
            <w:shd w:val="clear" w:color="auto" w:fill="auto"/>
          </w:tcPr>
          <w:p w14:paraId="4853FDC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593BCAC8"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u w:val="single"/>
              </w:rPr>
              <w:t>Terminación por insolvencia</w:t>
            </w:r>
          </w:p>
          <w:p w14:paraId="65DF2E6D"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El Contratante puede dar por terminado el Contrato si el Contratista es declarado por autoridad competente en concurso de acreedores, suspensión de pagos, quiebra o liquidación o en cualquier situación análoga que afecte su patrimonio por causas distintas de una reorganización o fusión de sociedades; o si el Contratista es una empresa o un miembro de una empresa que ha quedado disuelta por acción judicial.</w:t>
            </w:r>
          </w:p>
          <w:p w14:paraId="3E04E849" w14:textId="77777777" w:rsidR="00F7749D" w:rsidRPr="00D55B2B" w:rsidRDefault="00F7749D" w:rsidP="00D23A40">
            <w:pPr>
              <w:spacing w:before="60" w:after="60"/>
              <w:rPr>
                <w:rFonts w:ascii="Arial" w:hAnsi="Arial" w:cs="Arial"/>
                <w:spacing w:val="-3"/>
                <w:sz w:val="22"/>
                <w:szCs w:val="22"/>
              </w:rPr>
            </w:pPr>
            <w:r w:rsidRPr="00D55B2B">
              <w:rPr>
                <w:rFonts w:ascii="Arial" w:hAnsi="Arial" w:cs="Arial"/>
                <w:sz w:val="22"/>
                <w:szCs w:val="22"/>
              </w:rPr>
              <w:t>En tal caso, la terminación será sin indemnización alguna para el Contratista, siempre que ésta no perjudique o afecte algún derecho de acción o recurso que tenga o pudiera llegar a tener posteriormente hacia el Contratante.</w:t>
            </w:r>
          </w:p>
        </w:tc>
      </w:tr>
      <w:tr w:rsidR="00F7749D" w:rsidRPr="00D55B2B" w14:paraId="01B08C24" w14:textId="77777777" w:rsidTr="00D23A40">
        <w:trPr>
          <w:cantSplit/>
          <w:trHeight w:val="423"/>
          <w:jc w:val="center"/>
        </w:trPr>
        <w:tc>
          <w:tcPr>
            <w:tcW w:w="805" w:type="dxa"/>
            <w:tcBorders>
              <w:right w:val="nil"/>
            </w:tcBorders>
            <w:shd w:val="clear" w:color="auto" w:fill="auto"/>
          </w:tcPr>
          <w:p w14:paraId="621419A8"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8291E7E"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u w:val="single"/>
              </w:rPr>
              <w:t>Terminación por prácticas prohibidas</w:t>
            </w:r>
          </w:p>
          <w:p w14:paraId="1C83A729"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rPr>
              <w:t>El Contratante podrá, mediante notificación por escrito, unilateralmente dar por terminado el Contrato si a su juicio considera que el Contratista ha incurrido en prácticas prohibidas conforme a lo establecido en las políticas del Banco sobre Prácticas Prohibidas, tal como se definen en la cláusula CGC 4 al competir por el contrato o en su ejecución.</w:t>
            </w:r>
          </w:p>
        </w:tc>
      </w:tr>
      <w:tr w:rsidR="00F7749D" w:rsidRPr="00D55B2B" w14:paraId="14A28E99" w14:textId="77777777" w:rsidTr="00D23A40">
        <w:trPr>
          <w:cantSplit/>
          <w:trHeight w:val="423"/>
          <w:jc w:val="center"/>
        </w:trPr>
        <w:tc>
          <w:tcPr>
            <w:tcW w:w="805" w:type="dxa"/>
            <w:tcBorders>
              <w:right w:val="nil"/>
            </w:tcBorders>
            <w:shd w:val="clear" w:color="auto" w:fill="auto"/>
          </w:tcPr>
          <w:p w14:paraId="6CFCF60D"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F783AAD"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u w:val="single"/>
              </w:rPr>
              <w:t>Terminación por conveniencia</w:t>
            </w:r>
          </w:p>
          <w:p w14:paraId="026FC343"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rPr>
              <w:t>El Contratante podrá terminar anticipadamente el Contrato por causa o conveniencia que sea del interés del Contratante previa notificación por escrito al Contratista con no menos de catorce (14) días de antelación.</w:t>
            </w:r>
          </w:p>
        </w:tc>
      </w:tr>
      <w:tr w:rsidR="00F7749D" w:rsidRPr="00D55B2B" w14:paraId="15DB0D23" w14:textId="77777777" w:rsidTr="00D23A40">
        <w:trPr>
          <w:cantSplit/>
          <w:trHeight w:val="423"/>
          <w:jc w:val="center"/>
        </w:trPr>
        <w:tc>
          <w:tcPr>
            <w:tcW w:w="805" w:type="dxa"/>
            <w:tcBorders>
              <w:right w:val="nil"/>
            </w:tcBorders>
            <w:shd w:val="clear" w:color="auto" w:fill="auto"/>
          </w:tcPr>
          <w:p w14:paraId="3B455256"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6D74740C"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u w:val="single"/>
              </w:rPr>
              <w:t>Terminación del contrato por razones de caso fortuito o fuerza mayor</w:t>
            </w:r>
          </w:p>
          <w:p w14:paraId="2794E327"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rPr>
              <w:t>Cuando un acontecimiento de cualquier hecho que constituya caso fortuito o fuerza mayor interrumpe o suspende la posibilidad del cumplimiento de cualquiera de las obligaciones sustanciales de cualquiera de las Partes por un periodo continuo de noventa (90) días, y las Partes no pudieren llegar a un acuerdo para modificar los términos del Contrato durante dicho período el Contratista tendrá el derecho de solicitar la terminación del Contrato y el Contratante resolverá y, en su caso, podrá dar por terminado el Contrato.</w:t>
            </w:r>
          </w:p>
        </w:tc>
      </w:tr>
      <w:tr w:rsidR="00F7749D" w:rsidRPr="00D55B2B" w14:paraId="15400D37" w14:textId="77777777" w:rsidTr="00D23A40">
        <w:trPr>
          <w:cantSplit/>
          <w:trHeight w:val="423"/>
          <w:jc w:val="center"/>
        </w:trPr>
        <w:tc>
          <w:tcPr>
            <w:tcW w:w="805" w:type="dxa"/>
            <w:tcBorders>
              <w:right w:val="nil"/>
            </w:tcBorders>
            <w:shd w:val="clear" w:color="auto" w:fill="auto"/>
          </w:tcPr>
          <w:p w14:paraId="0F93B383"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305A5A1E" w14:textId="77777777" w:rsidR="00F7749D" w:rsidRPr="00D55B2B" w:rsidRDefault="00F7749D" w:rsidP="00D23A40">
            <w:pPr>
              <w:spacing w:before="60" w:after="60"/>
              <w:rPr>
                <w:rFonts w:ascii="Arial" w:hAnsi="Arial" w:cs="Arial"/>
                <w:sz w:val="22"/>
                <w:szCs w:val="22"/>
                <w:u w:val="single"/>
              </w:rPr>
            </w:pPr>
            <w:r w:rsidRPr="00D55B2B">
              <w:rPr>
                <w:rFonts w:ascii="Arial" w:hAnsi="Arial" w:cs="Arial"/>
                <w:sz w:val="22"/>
                <w:szCs w:val="22"/>
              </w:rPr>
              <w:t>Si el Contrato fuere terminado, el Contratista deberá suspender los trabajos inmediatamente, disponer las medidas de seguridad necesarias en el Sitio de las Obras y retirarse del lugar tan pronto como sea razonablemente posible.</w:t>
            </w:r>
          </w:p>
        </w:tc>
      </w:tr>
      <w:tr w:rsidR="00F7749D" w:rsidRPr="00D55B2B" w14:paraId="38212AA9" w14:textId="77777777" w:rsidTr="00D23A40">
        <w:tblPrEx>
          <w:jc w:val="left"/>
        </w:tblPrEx>
        <w:trPr>
          <w:trHeight w:val="20"/>
        </w:trPr>
        <w:tc>
          <w:tcPr>
            <w:tcW w:w="9355" w:type="dxa"/>
            <w:gridSpan w:val="2"/>
            <w:shd w:val="clear" w:color="auto" w:fill="auto"/>
          </w:tcPr>
          <w:p w14:paraId="5547A210"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48" w:name="_Toc47917020"/>
            <w:bookmarkStart w:id="2249" w:name="_Toc74048297"/>
            <w:bookmarkStart w:id="2250" w:name="_Toc74518537"/>
            <w:bookmarkStart w:id="2251" w:name="_Toc74519267"/>
            <w:bookmarkStart w:id="2252" w:name="_Toc74781457"/>
            <w:bookmarkStart w:id="2253" w:name="_Toc74930970"/>
            <w:r w:rsidRPr="00D55B2B">
              <w:rPr>
                <w:rFonts w:cs="Arial"/>
                <w:sz w:val="22"/>
                <w:szCs w:val="22"/>
                <w:lang w:val="es-ES_tradnl"/>
              </w:rPr>
              <w:t>Derechos de propiedad después de la terminación por incumplimiento del Contratista</w:t>
            </w:r>
            <w:bookmarkEnd w:id="2248"/>
            <w:bookmarkEnd w:id="2249"/>
            <w:bookmarkEnd w:id="2250"/>
            <w:bookmarkEnd w:id="2251"/>
            <w:bookmarkEnd w:id="2252"/>
            <w:bookmarkEnd w:id="2253"/>
          </w:p>
        </w:tc>
      </w:tr>
      <w:tr w:rsidR="00F7749D" w:rsidRPr="00D55B2B" w14:paraId="302D51E4" w14:textId="77777777" w:rsidTr="00D23A40">
        <w:tblPrEx>
          <w:jc w:val="left"/>
        </w:tblPrEx>
        <w:trPr>
          <w:trHeight w:val="20"/>
        </w:trPr>
        <w:tc>
          <w:tcPr>
            <w:tcW w:w="805" w:type="dxa"/>
            <w:tcBorders>
              <w:right w:val="nil"/>
            </w:tcBorders>
            <w:shd w:val="clear" w:color="auto" w:fill="auto"/>
          </w:tcPr>
          <w:p w14:paraId="6B6E6FFB"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06CAE12E"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Si el Contrato se termina por incumplimiento del Contratista, los equipos y planta que no han sido legalmente transferidos al Contratante serán propiedad del Contratista. Los materiales, obras provisionales y obras que se encuentren en el sitio de obras y que hayan sido debidamente pagados o que el Gerente de Obras determine e incluya en el certificado al que hace referencia la subcláusula 66.1, serán propiedad del contratante.</w:t>
            </w:r>
          </w:p>
        </w:tc>
      </w:tr>
      <w:tr w:rsidR="00F7749D" w:rsidRPr="00D55B2B" w14:paraId="2C06AC60" w14:textId="77777777" w:rsidTr="00D23A40">
        <w:tblPrEx>
          <w:jc w:val="left"/>
        </w:tblPrEx>
        <w:trPr>
          <w:trHeight w:val="20"/>
        </w:trPr>
        <w:tc>
          <w:tcPr>
            <w:tcW w:w="9355" w:type="dxa"/>
            <w:gridSpan w:val="2"/>
            <w:shd w:val="clear" w:color="auto" w:fill="auto"/>
          </w:tcPr>
          <w:p w14:paraId="55AB69CC"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54" w:name="_Toc47917021"/>
            <w:bookmarkStart w:id="2255" w:name="_Toc74048298"/>
            <w:bookmarkStart w:id="2256" w:name="_Toc74518538"/>
            <w:bookmarkStart w:id="2257" w:name="_Toc74519268"/>
            <w:bookmarkStart w:id="2258" w:name="_Toc74781458"/>
            <w:bookmarkStart w:id="2259" w:name="_Toc74930971"/>
            <w:r w:rsidRPr="00D55B2B">
              <w:rPr>
                <w:rFonts w:cs="Arial"/>
                <w:sz w:val="22"/>
                <w:szCs w:val="22"/>
                <w:lang w:val="es-ES_tradnl"/>
              </w:rPr>
              <w:t>Pagos posteriores a la terminación anticipada del Contrato</w:t>
            </w:r>
            <w:bookmarkEnd w:id="2254"/>
            <w:bookmarkEnd w:id="2255"/>
            <w:bookmarkEnd w:id="2256"/>
            <w:bookmarkEnd w:id="2257"/>
            <w:bookmarkEnd w:id="2258"/>
            <w:bookmarkEnd w:id="2259"/>
          </w:p>
        </w:tc>
      </w:tr>
      <w:tr w:rsidR="00F7749D" w:rsidRPr="00D55B2B" w14:paraId="66EF928F" w14:textId="77777777" w:rsidTr="00D23A40">
        <w:tblPrEx>
          <w:jc w:val="left"/>
        </w:tblPrEx>
        <w:trPr>
          <w:trHeight w:val="20"/>
        </w:trPr>
        <w:tc>
          <w:tcPr>
            <w:tcW w:w="805" w:type="dxa"/>
            <w:tcBorders>
              <w:right w:val="nil"/>
            </w:tcBorders>
            <w:shd w:val="clear" w:color="auto" w:fill="auto"/>
          </w:tcPr>
          <w:p w14:paraId="170F9C9E"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4CF826A6"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D55B2B">
              <w:rPr>
                <w:rFonts w:ascii="Arial" w:hAnsi="Arial" w:cs="Arial"/>
                <w:b/>
                <w:bCs/>
                <w:sz w:val="22"/>
                <w:szCs w:val="22"/>
              </w:rPr>
              <w:t>estipulado en las CPC</w:t>
            </w:r>
            <w:r w:rsidRPr="00D55B2B">
              <w:rPr>
                <w:rFonts w:ascii="Arial" w:hAnsi="Arial" w:cs="Arial"/>
                <w:sz w:val="22"/>
                <w:szCs w:val="22"/>
              </w:rPr>
              <w:t xml:space="preserve"> que haya que aplicar al valor de los trabajos que no se </w:t>
            </w:r>
            <w:r w:rsidRPr="00D55B2B">
              <w:rPr>
                <w:rFonts w:ascii="Arial" w:hAnsi="Arial" w:cs="Arial"/>
                <w:sz w:val="22"/>
                <w:szCs w:val="22"/>
              </w:rPr>
              <w:lastRenderedPageBreak/>
              <w:t>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tc>
      </w:tr>
      <w:tr w:rsidR="00F7749D" w:rsidRPr="00D55B2B" w14:paraId="38265882" w14:textId="77777777" w:rsidTr="00D23A40">
        <w:tblPrEx>
          <w:jc w:val="left"/>
        </w:tblPrEx>
        <w:trPr>
          <w:trHeight w:val="20"/>
        </w:trPr>
        <w:tc>
          <w:tcPr>
            <w:tcW w:w="805" w:type="dxa"/>
            <w:tcBorders>
              <w:right w:val="nil"/>
            </w:tcBorders>
            <w:shd w:val="clear" w:color="auto" w:fill="auto"/>
          </w:tcPr>
          <w:p w14:paraId="0FD65324"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2C4041BA" w14:textId="77777777" w:rsidR="00F7749D" w:rsidRPr="00D55B2B" w:rsidRDefault="00F7749D" w:rsidP="00D23A40">
            <w:pPr>
              <w:spacing w:before="60" w:after="60"/>
              <w:rPr>
                <w:rFonts w:ascii="Arial" w:hAnsi="Arial" w:cs="Arial"/>
                <w:sz w:val="22"/>
                <w:szCs w:val="22"/>
              </w:rPr>
            </w:pPr>
            <w:r w:rsidRPr="00D55B2B">
              <w:rPr>
                <w:rFonts w:ascii="Arial" w:hAnsi="Arial" w:cs="Arial"/>
                <w:sz w:val="22"/>
                <w:szCs w:val="22"/>
              </w:rPr>
              <w:t>Si el Contrato se termina por conveniencia del Contratante o por incumplimiento fundamental del Contrato por el Contratante, el Gerente de Obras deberá emitir un certificado por el valor de los trabajos realizados, los materiales ordenados, el costo razonable del retiro de los equipos y la repatriación, en su caso, del personal del Contratista ocupado exclusivamente en las Obras, y los costos en que el Contratista hubiera incurrido para el resguardo y seguridad de las Obras, menos los anticipos que hubiera recibido hasta la fecha de emisión de dicho certificado.</w:t>
            </w:r>
          </w:p>
        </w:tc>
      </w:tr>
      <w:tr w:rsidR="00F7749D" w:rsidRPr="00D55B2B" w14:paraId="4EC47F41" w14:textId="77777777" w:rsidTr="00D23A40">
        <w:tblPrEx>
          <w:jc w:val="left"/>
        </w:tblPrEx>
        <w:trPr>
          <w:trHeight w:val="20"/>
        </w:trPr>
        <w:tc>
          <w:tcPr>
            <w:tcW w:w="9355" w:type="dxa"/>
            <w:gridSpan w:val="2"/>
            <w:shd w:val="clear" w:color="auto" w:fill="auto"/>
          </w:tcPr>
          <w:p w14:paraId="321E4832" w14:textId="77777777" w:rsidR="00F7749D" w:rsidRPr="00D55B2B" w:rsidRDefault="00F7749D" w:rsidP="00F7749D">
            <w:pPr>
              <w:pStyle w:val="Ttulo2"/>
              <w:keepNext w:val="0"/>
              <w:numPr>
                <w:ilvl w:val="0"/>
                <w:numId w:val="90"/>
              </w:numPr>
              <w:spacing w:before="60" w:after="60"/>
              <w:jc w:val="both"/>
              <w:rPr>
                <w:rFonts w:cs="Arial"/>
                <w:sz w:val="22"/>
                <w:szCs w:val="22"/>
                <w:lang w:val="es-ES_tradnl"/>
              </w:rPr>
            </w:pPr>
            <w:bookmarkStart w:id="2260" w:name="_Toc74048299"/>
            <w:bookmarkStart w:id="2261" w:name="_Toc74518539"/>
            <w:bookmarkStart w:id="2262" w:name="_Toc74519269"/>
            <w:bookmarkStart w:id="2263" w:name="_Toc74781459"/>
            <w:bookmarkStart w:id="2264" w:name="_Toc74930972"/>
            <w:bookmarkStart w:id="2265" w:name="_Toc47917022"/>
            <w:r w:rsidRPr="00D55B2B">
              <w:rPr>
                <w:rFonts w:cs="Arial"/>
                <w:sz w:val="22"/>
                <w:szCs w:val="22"/>
                <w:lang w:val="es-ES_tradnl"/>
              </w:rPr>
              <w:t>Responsabilidad por vicios ocultos posterior a la emisión del Certificado de corrección de defectos</w:t>
            </w:r>
            <w:bookmarkEnd w:id="2260"/>
            <w:bookmarkEnd w:id="2261"/>
            <w:bookmarkEnd w:id="2262"/>
            <w:bookmarkEnd w:id="2263"/>
            <w:bookmarkEnd w:id="2264"/>
            <w:r w:rsidRPr="00D55B2B">
              <w:rPr>
                <w:rFonts w:cs="Arial"/>
                <w:sz w:val="22"/>
                <w:szCs w:val="22"/>
                <w:lang w:val="es-ES_tradnl"/>
              </w:rPr>
              <w:t xml:space="preserve"> </w:t>
            </w:r>
            <w:bookmarkEnd w:id="2265"/>
          </w:p>
        </w:tc>
      </w:tr>
      <w:tr w:rsidR="00F7749D" w:rsidRPr="00D55B2B" w14:paraId="5498CCF9" w14:textId="77777777" w:rsidTr="00D23A40">
        <w:tblPrEx>
          <w:jc w:val="left"/>
        </w:tblPrEx>
        <w:trPr>
          <w:trHeight w:val="20"/>
        </w:trPr>
        <w:tc>
          <w:tcPr>
            <w:tcW w:w="805" w:type="dxa"/>
            <w:tcBorders>
              <w:right w:val="nil"/>
            </w:tcBorders>
            <w:shd w:val="clear" w:color="auto" w:fill="auto"/>
          </w:tcPr>
          <w:p w14:paraId="6352B954" w14:textId="77777777" w:rsidR="00F7749D" w:rsidRPr="00D55B2B" w:rsidRDefault="00F7749D" w:rsidP="00D23A40">
            <w:pPr>
              <w:pStyle w:val="Numeraciondeartculos"/>
              <w:framePr w:hSpace="0" w:wrap="auto" w:vAnchor="margin" w:hAnchor="text" w:xAlign="left" w:yAlign="inline"/>
              <w:rPr>
                <w:rFonts w:cs="Arial"/>
                <w:sz w:val="22"/>
                <w:szCs w:val="22"/>
              </w:rPr>
            </w:pPr>
          </w:p>
        </w:tc>
        <w:tc>
          <w:tcPr>
            <w:tcW w:w="8550" w:type="dxa"/>
            <w:tcBorders>
              <w:left w:val="nil"/>
            </w:tcBorders>
            <w:shd w:val="clear" w:color="auto" w:fill="auto"/>
          </w:tcPr>
          <w:p w14:paraId="779CA7C0" w14:textId="77777777" w:rsidR="00F7749D" w:rsidRPr="00D55B2B" w:rsidRDefault="00F7749D" w:rsidP="00D23A40">
            <w:pPr>
              <w:spacing w:before="60" w:after="60"/>
              <w:rPr>
                <w:rFonts w:ascii="Arial" w:hAnsi="Arial" w:cs="Arial"/>
                <w:sz w:val="22"/>
                <w:szCs w:val="22"/>
                <w:lang w:val="es-MX"/>
              </w:rPr>
            </w:pPr>
            <w:r w:rsidRPr="00D55B2B">
              <w:rPr>
                <w:rFonts w:ascii="Arial" w:hAnsi="Arial" w:cs="Arial"/>
                <w:sz w:val="22"/>
                <w:szCs w:val="22"/>
                <w:lang w:val="es-MX"/>
              </w:rPr>
              <w:t xml:space="preserve">Una vez emitido el Certificado de corrección de defectos, cada una de las Partes continúa siendo legalmente responsable de cualquier obligación derivada de vicios en la ejecución de diseño y de la construcción que no hubiesen sido identificadas en el período de responsabilidad por defectos al que hace referencia la subcláusula 43.1. La responsabilidad del contratista derivadas de vicios en la ejecución de diseño y de la construcción continuará en vigencia por el plazo </w:t>
            </w:r>
            <w:r w:rsidRPr="00D55B2B">
              <w:rPr>
                <w:rFonts w:ascii="Arial" w:hAnsi="Arial" w:cs="Arial"/>
                <w:b/>
                <w:sz w:val="22"/>
                <w:szCs w:val="22"/>
                <w:lang w:val="es-MX"/>
              </w:rPr>
              <w:t>indicado en las CPC</w:t>
            </w:r>
            <w:r w:rsidRPr="00D55B2B">
              <w:rPr>
                <w:rFonts w:ascii="Arial" w:hAnsi="Arial" w:cs="Arial"/>
                <w:sz w:val="22"/>
                <w:szCs w:val="22"/>
                <w:lang w:val="es-MX"/>
              </w:rPr>
              <w:t>.</w:t>
            </w:r>
          </w:p>
          <w:p w14:paraId="4FDC6197" w14:textId="77777777" w:rsidR="00F7749D" w:rsidRPr="00D55B2B" w:rsidRDefault="00F7749D" w:rsidP="00D23A40">
            <w:pPr>
              <w:spacing w:before="60" w:after="60"/>
              <w:rPr>
                <w:rFonts w:ascii="Arial" w:hAnsi="Arial" w:cs="Arial"/>
                <w:color w:val="00B050"/>
                <w:sz w:val="22"/>
                <w:szCs w:val="22"/>
              </w:rPr>
            </w:pPr>
            <w:r w:rsidRPr="00D55B2B">
              <w:rPr>
                <w:rFonts w:ascii="Arial" w:hAnsi="Arial" w:cs="Arial"/>
                <w:sz w:val="22"/>
                <w:szCs w:val="22"/>
                <w:lang w:val="es-MX"/>
              </w:rPr>
              <w:t xml:space="preserve">En caso de que el contratante indique en las </w:t>
            </w:r>
            <w:r w:rsidRPr="00D55B2B">
              <w:rPr>
                <w:rFonts w:ascii="Arial" w:hAnsi="Arial" w:cs="Arial"/>
                <w:b/>
                <w:sz w:val="22"/>
                <w:szCs w:val="22"/>
                <w:lang w:val="es-MX"/>
              </w:rPr>
              <w:t xml:space="preserve">CPC </w:t>
            </w:r>
            <w:r w:rsidRPr="00D55B2B">
              <w:rPr>
                <w:rFonts w:ascii="Arial" w:hAnsi="Arial" w:cs="Arial"/>
                <w:sz w:val="22"/>
                <w:szCs w:val="22"/>
                <w:lang w:val="es-MX"/>
              </w:rPr>
              <w:t>que se requiere la contratación de un seguro para garantizar la cobertura de esta responsabilidad legal, la emisión del Certificado de corrección de defectos estará sujeta a la presentación de dicho seguro.</w:t>
            </w:r>
          </w:p>
        </w:tc>
      </w:tr>
      <w:bookmarkEnd w:id="1834"/>
      <w:bookmarkEnd w:id="1949"/>
      <w:bookmarkEnd w:id="1998"/>
      <w:bookmarkEnd w:id="2134"/>
      <w:bookmarkEnd w:id="2197"/>
    </w:tbl>
    <w:p w14:paraId="04FC549C" w14:textId="77777777" w:rsidR="00F7749D" w:rsidRPr="00D55B2B" w:rsidRDefault="00F7749D" w:rsidP="00F7749D">
      <w:pPr>
        <w:rPr>
          <w:rFonts w:ascii="Arial" w:hAnsi="Arial" w:cs="Arial"/>
          <w:sz w:val="22"/>
          <w:szCs w:val="22"/>
        </w:rPr>
        <w:sectPr w:rsidR="00F7749D" w:rsidRPr="00D55B2B" w:rsidSect="00D52575">
          <w:pgSz w:w="12240" w:h="15840" w:code="1"/>
          <w:pgMar w:top="1152" w:right="1440" w:bottom="1440" w:left="1440" w:header="720" w:footer="720" w:gutter="0"/>
          <w:cols w:space="708"/>
          <w:docGrid w:linePitch="360"/>
        </w:sectPr>
      </w:pPr>
    </w:p>
    <w:p w14:paraId="5F46AA94" w14:textId="77777777" w:rsidR="00F7749D" w:rsidRDefault="00F7749D" w:rsidP="00F7749D">
      <w:pPr>
        <w:jc w:val="center"/>
        <w:rPr>
          <w:b/>
          <w:bCs/>
          <w:sz w:val="40"/>
          <w:szCs w:val="40"/>
        </w:rPr>
      </w:pPr>
      <w:bookmarkStart w:id="2266" w:name="_Hlk20499818"/>
    </w:p>
    <w:p w14:paraId="350ADBAA" w14:textId="77777777" w:rsidR="00F7749D" w:rsidRDefault="00F7749D" w:rsidP="00F7749D">
      <w:pPr>
        <w:jc w:val="center"/>
        <w:rPr>
          <w:b/>
          <w:bCs/>
          <w:sz w:val="40"/>
          <w:szCs w:val="40"/>
        </w:rPr>
      </w:pPr>
    </w:p>
    <w:p w14:paraId="7C99D1CF" w14:textId="77777777" w:rsidR="00F7749D" w:rsidRDefault="00F7749D" w:rsidP="00F7749D">
      <w:pPr>
        <w:jc w:val="center"/>
        <w:rPr>
          <w:b/>
          <w:bCs/>
          <w:sz w:val="40"/>
          <w:szCs w:val="40"/>
        </w:rPr>
      </w:pPr>
    </w:p>
    <w:p w14:paraId="3412F639" w14:textId="77777777" w:rsidR="00F7749D" w:rsidRDefault="00F7749D" w:rsidP="00F7749D">
      <w:pPr>
        <w:jc w:val="center"/>
        <w:rPr>
          <w:b/>
          <w:bCs/>
          <w:sz w:val="40"/>
          <w:szCs w:val="40"/>
        </w:rPr>
      </w:pPr>
    </w:p>
    <w:p w14:paraId="567CC4A5" w14:textId="77777777" w:rsidR="00F7749D" w:rsidRDefault="00F7749D" w:rsidP="00F7749D">
      <w:pPr>
        <w:jc w:val="center"/>
        <w:rPr>
          <w:b/>
          <w:bCs/>
          <w:sz w:val="40"/>
          <w:szCs w:val="40"/>
        </w:rPr>
      </w:pPr>
    </w:p>
    <w:p w14:paraId="0B90C2EA" w14:textId="77777777" w:rsidR="00F7749D" w:rsidRDefault="00F7749D" w:rsidP="00F7749D">
      <w:pPr>
        <w:jc w:val="center"/>
        <w:rPr>
          <w:b/>
          <w:bCs/>
          <w:sz w:val="40"/>
          <w:szCs w:val="40"/>
        </w:rPr>
      </w:pPr>
    </w:p>
    <w:p w14:paraId="4B923DBC" w14:textId="77777777" w:rsidR="00F7749D" w:rsidRDefault="00F7749D" w:rsidP="00F7749D">
      <w:pPr>
        <w:jc w:val="center"/>
        <w:rPr>
          <w:b/>
          <w:bCs/>
          <w:sz w:val="40"/>
          <w:szCs w:val="40"/>
        </w:rPr>
      </w:pPr>
    </w:p>
    <w:p w14:paraId="44572E03" w14:textId="77777777" w:rsidR="00F7749D" w:rsidRDefault="00F7749D" w:rsidP="00F7749D">
      <w:pPr>
        <w:jc w:val="center"/>
        <w:rPr>
          <w:b/>
          <w:bCs/>
          <w:sz w:val="40"/>
          <w:szCs w:val="40"/>
        </w:rPr>
      </w:pPr>
    </w:p>
    <w:p w14:paraId="5F8D0553" w14:textId="77777777" w:rsidR="00F7749D" w:rsidRDefault="00F7749D" w:rsidP="00F7749D">
      <w:pPr>
        <w:jc w:val="center"/>
        <w:rPr>
          <w:b/>
          <w:bCs/>
          <w:sz w:val="40"/>
          <w:szCs w:val="40"/>
        </w:rPr>
      </w:pPr>
    </w:p>
    <w:p w14:paraId="401231FF" w14:textId="77777777" w:rsidR="00F7749D" w:rsidRDefault="00F7749D" w:rsidP="00F7749D">
      <w:pPr>
        <w:jc w:val="center"/>
        <w:rPr>
          <w:b/>
          <w:bCs/>
          <w:sz w:val="40"/>
          <w:szCs w:val="40"/>
        </w:rPr>
      </w:pPr>
    </w:p>
    <w:p w14:paraId="1514CC3F" w14:textId="77777777" w:rsidR="00F7749D" w:rsidRDefault="00F7749D" w:rsidP="00F7749D">
      <w:pPr>
        <w:jc w:val="center"/>
        <w:rPr>
          <w:b/>
          <w:bCs/>
          <w:sz w:val="40"/>
          <w:szCs w:val="40"/>
        </w:rPr>
      </w:pPr>
    </w:p>
    <w:p w14:paraId="59EC40BC" w14:textId="77777777" w:rsidR="00F7749D" w:rsidRDefault="00F7749D" w:rsidP="00F7749D">
      <w:pPr>
        <w:jc w:val="center"/>
        <w:rPr>
          <w:b/>
          <w:bCs/>
          <w:sz w:val="40"/>
          <w:szCs w:val="40"/>
        </w:rPr>
      </w:pPr>
    </w:p>
    <w:p w14:paraId="577C60CF" w14:textId="77777777" w:rsidR="00F7749D" w:rsidRDefault="00F7749D" w:rsidP="00F7749D">
      <w:pPr>
        <w:jc w:val="center"/>
        <w:rPr>
          <w:b/>
          <w:bCs/>
          <w:sz w:val="40"/>
          <w:szCs w:val="40"/>
        </w:rPr>
      </w:pPr>
    </w:p>
    <w:p w14:paraId="599AD058" w14:textId="77777777" w:rsidR="00F7749D" w:rsidRPr="00142AD5" w:rsidRDefault="00F7749D" w:rsidP="00F7749D">
      <w:pPr>
        <w:jc w:val="center"/>
        <w:rPr>
          <w:rFonts w:ascii="Arial" w:hAnsi="Arial" w:cs="Arial"/>
          <w:b/>
          <w:bCs/>
          <w:sz w:val="32"/>
          <w:szCs w:val="32"/>
        </w:rPr>
      </w:pPr>
      <w:r w:rsidRPr="00142AD5">
        <w:rPr>
          <w:rFonts w:ascii="Arial" w:hAnsi="Arial" w:cs="Arial"/>
          <w:b/>
          <w:bCs/>
          <w:sz w:val="32"/>
          <w:szCs w:val="32"/>
        </w:rPr>
        <w:t>Condiciones Particulares del Contrato</w:t>
      </w:r>
    </w:p>
    <w:p w14:paraId="2337B66F" w14:textId="77777777" w:rsidR="00F7749D" w:rsidRDefault="00F7749D" w:rsidP="00F7749D"/>
    <w:p w14:paraId="2B5E7A78" w14:textId="77777777" w:rsidR="00F7749D" w:rsidRDefault="00F7749D" w:rsidP="00F7749D"/>
    <w:p w14:paraId="628D25A2" w14:textId="77777777" w:rsidR="00F7749D" w:rsidRDefault="00F7749D" w:rsidP="00F7749D">
      <w:pPr>
        <w:spacing w:after="160" w:line="259" w:lineRule="auto"/>
        <w:jc w:val="left"/>
      </w:pPr>
      <w:r>
        <w:br w:type="page"/>
      </w:r>
    </w:p>
    <w:p w14:paraId="5BE9A219" w14:textId="77777777" w:rsidR="00F7749D" w:rsidRPr="003B10CD" w:rsidRDefault="00F7749D" w:rsidP="00F7749D">
      <w:pPr>
        <w:rPr>
          <w:szCs w:val="24"/>
        </w:rPr>
      </w:pPr>
    </w:p>
    <w:bookmarkEnd w:id="2266"/>
    <w:bookmarkEnd w:id="1825"/>
    <w:bookmarkEnd w:id="1826"/>
    <w:bookmarkEnd w:id="1828"/>
    <w:bookmarkEnd w:id="1829"/>
    <w:p w14:paraId="673CF72D" w14:textId="77777777" w:rsidR="004307E6" w:rsidRPr="00142AD5" w:rsidRDefault="004307E6" w:rsidP="004307E6">
      <w:pPr>
        <w:jc w:val="center"/>
        <w:rPr>
          <w:rFonts w:ascii="Arial" w:hAnsi="Arial" w:cs="Arial"/>
          <w:b/>
          <w:bCs/>
          <w:sz w:val="28"/>
          <w:szCs w:val="28"/>
        </w:rPr>
      </w:pPr>
      <w:r w:rsidRPr="00142AD5">
        <w:rPr>
          <w:rFonts w:ascii="Arial" w:hAnsi="Arial" w:cs="Arial"/>
          <w:b/>
          <w:bCs/>
          <w:sz w:val="28"/>
          <w:szCs w:val="28"/>
        </w:rPr>
        <w:t>Condiciones Particulares del Contrato</w:t>
      </w:r>
    </w:p>
    <w:p w14:paraId="28E37A00" w14:textId="77777777" w:rsidR="004307E6" w:rsidRPr="003B10CD" w:rsidRDefault="004307E6" w:rsidP="004307E6">
      <w:pPr>
        <w:rPr>
          <w:rFonts w:asciiTheme="minorHAnsi" w:hAnsiTheme="minorHAnsi" w:cstheme="minorHAnsi"/>
          <w:szCs w:val="24"/>
        </w:rPr>
      </w:pPr>
    </w:p>
    <w:p w14:paraId="39CC271F" w14:textId="77777777" w:rsidR="004307E6" w:rsidRPr="00142AD5" w:rsidRDefault="004307E6" w:rsidP="004307E6">
      <w:pPr>
        <w:spacing w:before="120" w:after="120"/>
        <w:rPr>
          <w:rFonts w:ascii="Arial" w:hAnsi="Arial" w:cs="Arial"/>
          <w:spacing w:val="-4"/>
          <w:sz w:val="22"/>
          <w:szCs w:val="22"/>
        </w:rPr>
      </w:pPr>
      <w:r w:rsidRPr="00142AD5">
        <w:rPr>
          <w:rFonts w:ascii="Arial" w:hAnsi="Arial" w:cs="Arial"/>
          <w:spacing w:val="-4"/>
          <w:sz w:val="22"/>
          <w:szCs w:val="22"/>
        </w:rPr>
        <w:t xml:space="preserve">Las siguientes Condiciones Particulares del Contrato (CPC) complementarán y/o variarán las Condiciones Generales del Contrato (CGC). En caso de haber conflicto, las provisiones aquí dispuestas prevalecerán sobre las de las CGC.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370"/>
      </w:tblGrid>
      <w:tr w:rsidR="004307E6" w:rsidRPr="00142AD5" w14:paraId="5FD75206" w14:textId="77777777" w:rsidTr="008F02F4">
        <w:trPr>
          <w:tblHeader/>
        </w:trPr>
        <w:tc>
          <w:tcPr>
            <w:tcW w:w="990" w:type="dxa"/>
            <w:shd w:val="clear" w:color="auto" w:fill="002060"/>
          </w:tcPr>
          <w:p w14:paraId="680590EC" w14:textId="77777777" w:rsidR="004307E6" w:rsidRPr="00EA5022" w:rsidRDefault="004307E6" w:rsidP="008F02F4">
            <w:pPr>
              <w:spacing w:before="60" w:after="60"/>
              <w:jc w:val="center"/>
              <w:rPr>
                <w:rFonts w:ascii="Arial" w:hAnsi="Arial" w:cs="Arial"/>
                <w:b/>
                <w:bCs/>
                <w:color w:val="FFFFFF" w:themeColor="background1"/>
                <w:sz w:val="22"/>
                <w:szCs w:val="22"/>
              </w:rPr>
            </w:pPr>
            <w:r>
              <w:rPr>
                <w:rFonts w:ascii="Arial" w:hAnsi="Arial" w:cs="Arial"/>
                <w:b/>
                <w:bCs/>
                <w:color w:val="FFFFFF" w:themeColor="background1"/>
                <w:sz w:val="22"/>
                <w:szCs w:val="22"/>
              </w:rPr>
              <w:t>Ref. en las CGC</w:t>
            </w:r>
          </w:p>
        </w:tc>
        <w:tc>
          <w:tcPr>
            <w:tcW w:w="8370" w:type="dxa"/>
            <w:shd w:val="clear" w:color="auto" w:fill="002060"/>
            <w:vAlign w:val="center"/>
          </w:tcPr>
          <w:p w14:paraId="3895A492" w14:textId="77777777" w:rsidR="004307E6" w:rsidRPr="00EA5022" w:rsidRDefault="004307E6" w:rsidP="008F02F4">
            <w:pPr>
              <w:spacing w:before="60" w:after="60"/>
              <w:jc w:val="center"/>
              <w:rPr>
                <w:rFonts w:ascii="Arial" w:hAnsi="Arial" w:cs="Arial"/>
                <w:b/>
                <w:bCs/>
                <w:color w:val="FFFFFF" w:themeColor="background1"/>
                <w:sz w:val="22"/>
                <w:szCs w:val="22"/>
              </w:rPr>
            </w:pPr>
            <w:r>
              <w:rPr>
                <w:rFonts w:ascii="Arial" w:hAnsi="Arial" w:cs="Arial"/>
                <w:b/>
                <w:bCs/>
                <w:color w:val="FFFFFF" w:themeColor="background1"/>
                <w:sz w:val="22"/>
                <w:szCs w:val="22"/>
              </w:rPr>
              <w:t>Condiciones Particulares del Contrato (CPC)</w:t>
            </w:r>
          </w:p>
        </w:tc>
      </w:tr>
      <w:tr w:rsidR="004307E6" w:rsidRPr="00142AD5" w14:paraId="6189F7F1" w14:textId="77777777" w:rsidTr="008F02F4">
        <w:tc>
          <w:tcPr>
            <w:tcW w:w="9360" w:type="dxa"/>
            <w:gridSpan w:val="2"/>
            <w:shd w:val="clear" w:color="auto" w:fill="00B050"/>
          </w:tcPr>
          <w:p w14:paraId="627299FA" w14:textId="77777777" w:rsidR="004307E6" w:rsidRPr="00EA5022" w:rsidRDefault="004307E6" w:rsidP="008F02F4">
            <w:pPr>
              <w:spacing w:before="60" w:after="60"/>
              <w:jc w:val="center"/>
              <w:rPr>
                <w:rFonts w:ascii="Arial" w:hAnsi="Arial" w:cs="Arial"/>
                <w:color w:val="FFFFFF" w:themeColor="background1"/>
                <w:sz w:val="22"/>
                <w:szCs w:val="22"/>
              </w:rPr>
            </w:pPr>
            <w:r w:rsidRPr="00EA5022">
              <w:rPr>
                <w:rFonts w:ascii="Arial" w:hAnsi="Arial" w:cs="Arial"/>
                <w:b/>
                <w:bCs/>
                <w:color w:val="FFFFFF" w:themeColor="background1"/>
                <w:sz w:val="22"/>
                <w:szCs w:val="22"/>
              </w:rPr>
              <w:t>A. Disposiciones Generales</w:t>
            </w:r>
          </w:p>
        </w:tc>
      </w:tr>
      <w:tr w:rsidR="004307E6" w:rsidRPr="00142AD5" w14:paraId="54523160" w14:textId="77777777" w:rsidTr="008F02F4">
        <w:tc>
          <w:tcPr>
            <w:tcW w:w="990" w:type="dxa"/>
          </w:tcPr>
          <w:p w14:paraId="04F9B684"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1.1 (g)</w:t>
            </w:r>
          </w:p>
        </w:tc>
        <w:tc>
          <w:tcPr>
            <w:tcW w:w="8370" w:type="dxa"/>
          </w:tcPr>
          <w:p w14:paraId="7ADB90E2" w14:textId="77777777" w:rsidR="004307E6" w:rsidRPr="00142AD5" w:rsidRDefault="004307E6" w:rsidP="008F02F4">
            <w:pPr>
              <w:spacing w:before="120" w:after="120"/>
              <w:rPr>
                <w:rFonts w:ascii="Arial" w:hAnsi="Arial" w:cs="Arial"/>
                <w:sz w:val="22"/>
                <w:szCs w:val="22"/>
              </w:rPr>
            </w:pPr>
            <w:r w:rsidRPr="00142AD5">
              <w:rPr>
                <w:rFonts w:ascii="Arial" w:hAnsi="Arial" w:cs="Arial"/>
                <w:sz w:val="22"/>
                <w:szCs w:val="22"/>
              </w:rPr>
              <w:t xml:space="preserve">El Contratante, organismo ejecutor es: </w:t>
            </w:r>
            <w:r>
              <w:rPr>
                <w:rFonts w:ascii="Arial" w:hAnsi="Arial" w:cs="Arial"/>
                <w:sz w:val="22"/>
                <w:szCs w:val="22"/>
              </w:rPr>
              <w:t>FONDO DE INVERSION SOCIAL DE EMERGENCIA (FISE)</w:t>
            </w:r>
          </w:p>
        </w:tc>
      </w:tr>
      <w:tr w:rsidR="004307E6" w:rsidRPr="005A54F3" w14:paraId="0977EB97" w14:textId="77777777" w:rsidTr="008F02F4">
        <w:tc>
          <w:tcPr>
            <w:tcW w:w="990" w:type="dxa"/>
            <w:shd w:val="clear" w:color="auto" w:fill="auto"/>
          </w:tcPr>
          <w:p w14:paraId="703D12B4" w14:textId="77777777" w:rsidR="004307E6" w:rsidRPr="008E619D" w:rsidRDefault="004307E6" w:rsidP="008F02F4">
            <w:pPr>
              <w:spacing w:before="60" w:after="60"/>
              <w:jc w:val="center"/>
              <w:rPr>
                <w:rFonts w:ascii="Arial" w:hAnsi="Arial" w:cs="Arial"/>
                <w:b/>
                <w:bCs/>
                <w:sz w:val="22"/>
                <w:szCs w:val="22"/>
                <w:highlight w:val="green"/>
              </w:rPr>
            </w:pPr>
            <w:r w:rsidRPr="008E619D">
              <w:rPr>
                <w:rFonts w:ascii="Arial" w:hAnsi="Arial" w:cs="Arial"/>
                <w:b/>
                <w:bCs/>
                <w:sz w:val="22"/>
                <w:szCs w:val="22"/>
                <w:highlight w:val="green"/>
              </w:rPr>
              <w:t>1.1 (q)</w:t>
            </w:r>
          </w:p>
        </w:tc>
        <w:tc>
          <w:tcPr>
            <w:tcW w:w="8370" w:type="dxa"/>
            <w:shd w:val="clear" w:color="auto" w:fill="auto"/>
          </w:tcPr>
          <w:p w14:paraId="720373A1" w14:textId="77777777" w:rsidR="004307E6" w:rsidRPr="008E619D" w:rsidRDefault="004307E6" w:rsidP="008F02F4">
            <w:pPr>
              <w:spacing w:before="120" w:after="120"/>
              <w:rPr>
                <w:rFonts w:ascii="Arial" w:hAnsi="Arial" w:cs="Arial"/>
                <w:spacing w:val="-3"/>
                <w:sz w:val="22"/>
                <w:szCs w:val="22"/>
                <w:highlight w:val="green"/>
              </w:rPr>
            </w:pPr>
            <w:r w:rsidRPr="00755FCC">
              <w:rPr>
                <w:rFonts w:ascii="Arial" w:hAnsi="Arial" w:cs="Arial"/>
                <w:spacing w:val="-3"/>
                <w:sz w:val="22"/>
                <w:szCs w:val="22"/>
                <w:highlight w:val="green"/>
              </w:rPr>
              <w:t>La Fecha de Inicio será  A partir de la toma de posesión del sitio de las Obra</w:t>
            </w:r>
          </w:p>
        </w:tc>
      </w:tr>
      <w:tr w:rsidR="004307E6" w:rsidRPr="00142AD5" w14:paraId="5C08BC97" w14:textId="77777777" w:rsidTr="008F02F4">
        <w:tc>
          <w:tcPr>
            <w:tcW w:w="990" w:type="dxa"/>
          </w:tcPr>
          <w:p w14:paraId="5895BC52" w14:textId="77777777" w:rsidR="004307E6" w:rsidRPr="00142AD5" w:rsidRDefault="004307E6" w:rsidP="008F02F4">
            <w:pPr>
              <w:spacing w:before="60" w:after="60"/>
              <w:jc w:val="center"/>
              <w:rPr>
                <w:rFonts w:ascii="Arial" w:hAnsi="Arial" w:cs="Arial"/>
                <w:b/>
                <w:bCs/>
                <w:sz w:val="22"/>
                <w:szCs w:val="22"/>
              </w:rPr>
            </w:pPr>
            <w:r w:rsidRPr="008E3288">
              <w:rPr>
                <w:rFonts w:ascii="Arial" w:hAnsi="Arial" w:cs="Arial"/>
                <w:b/>
                <w:bCs/>
                <w:sz w:val="22"/>
                <w:szCs w:val="22"/>
                <w:highlight w:val="green"/>
              </w:rPr>
              <w:t>1.1 (s)</w:t>
            </w:r>
          </w:p>
        </w:tc>
        <w:tc>
          <w:tcPr>
            <w:tcW w:w="8370" w:type="dxa"/>
          </w:tcPr>
          <w:p w14:paraId="03668609" w14:textId="77777777" w:rsidR="004307E6" w:rsidRPr="008E3288" w:rsidRDefault="004307E6" w:rsidP="008F02F4">
            <w:pPr>
              <w:spacing w:before="120" w:after="120"/>
              <w:rPr>
                <w:rFonts w:ascii="Arial" w:hAnsi="Arial" w:cs="Arial"/>
                <w:spacing w:val="-3"/>
                <w:sz w:val="22"/>
                <w:szCs w:val="22"/>
                <w:highlight w:val="green"/>
              </w:rPr>
            </w:pPr>
            <w:r w:rsidRPr="008E3288">
              <w:rPr>
                <w:rFonts w:ascii="Arial" w:hAnsi="Arial" w:cs="Arial"/>
                <w:spacing w:val="-3"/>
                <w:sz w:val="22"/>
                <w:szCs w:val="22"/>
                <w:highlight w:val="green"/>
              </w:rPr>
              <w:t xml:space="preserve">El plazo para la ejecución de las obras es de trescientos sesenta y cinco (365) días calendarios, contados a partir de la fecha de inicio del contratante.  </w:t>
            </w:r>
          </w:p>
          <w:p w14:paraId="0F30BE7F" w14:textId="77777777" w:rsidR="004307E6" w:rsidRPr="0015270E" w:rsidRDefault="004307E6" w:rsidP="008F02F4">
            <w:pPr>
              <w:spacing w:before="120" w:after="120"/>
              <w:rPr>
                <w:rFonts w:ascii="Arial" w:hAnsi="Arial" w:cs="Arial"/>
                <w:spacing w:val="-3"/>
                <w:sz w:val="22"/>
                <w:szCs w:val="22"/>
              </w:rPr>
            </w:pPr>
            <w:r w:rsidRPr="008E3288">
              <w:rPr>
                <w:rFonts w:ascii="Arial" w:hAnsi="Arial" w:cs="Arial"/>
                <w:spacing w:val="-3"/>
                <w:sz w:val="22"/>
                <w:szCs w:val="22"/>
                <w:highlight w:val="green"/>
              </w:rPr>
              <w:t>Siendo la fecha prevista de terminación de la obra, contabilizada a partir de la fecha de Inicio.</w:t>
            </w:r>
          </w:p>
        </w:tc>
      </w:tr>
      <w:tr w:rsidR="004307E6" w:rsidRPr="00142AD5" w14:paraId="0D09AE16" w14:textId="77777777" w:rsidTr="008F02F4">
        <w:tc>
          <w:tcPr>
            <w:tcW w:w="990" w:type="dxa"/>
          </w:tcPr>
          <w:p w14:paraId="5637DE5F" w14:textId="77777777" w:rsidR="004307E6" w:rsidRPr="008E3288" w:rsidRDefault="004307E6" w:rsidP="008F02F4">
            <w:pPr>
              <w:spacing w:before="60" w:after="60"/>
              <w:jc w:val="center"/>
              <w:rPr>
                <w:rFonts w:ascii="Arial" w:hAnsi="Arial" w:cs="Arial"/>
                <w:b/>
                <w:bCs/>
                <w:sz w:val="22"/>
                <w:szCs w:val="22"/>
                <w:highlight w:val="green"/>
              </w:rPr>
            </w:pPr>
            <w:r w:rsidRPr="008E3288">
              <w:rPr>
                <w:rFonts w:ascii="Arial" w:hAnsi="Arial" w:cs="Arial"/>
                <w:b/>
                <w:bCs/>
                <w:sz w:val="22"/>
                <w:szCs w:val="22"/>
                <w:highlight w:val="green"/>
              </w:rPr>
              <w:t>1.1 (t)</w:t>
            </w:r>
          </w:p>
        </w:tc>
        <w:tc>
          <w:tcPr>
            <w:tcW w:w="8370" w:type="dxa"/>
          </w:tcPr>
          <w:p w14:paraId="385AC378" w14:textId="77777777" w:rsidR="004307E6" w:rsidRPr="008E3288" w:rsidRDefault="004307E6" w:rsidP="008F02F4">
            <w:pPr>
              <w:spacing w:before="120" w:after="120"/>
              <w:rPr>
                <w:rFonts w:ascii="Arial" w:hAnsi="Arial" w:cs="Arial"/>
                <w:i/>
                <w:iCs/>
                <w:spacing w:val="-3"/>
                <w:sz w:val="22"/>
                <w:szCs w:val="22"/>
                <w:highlight w:val="green"/>
              </w:rPr>
            </w:pPr>
            <w:r w:rsidRPr="008E3288">
              <w:rPr>
                <w:rFonts w:ascii="Arial" w:hAnsi="Arial" w:cs="Arial"/>
                <w:spacing w:val="-3"/>
                <w:sz w:val="22"/>
                <w:szCs w:val="22"/>
                <w:highlight w:val="green"/>
              </w:rPr>
              <w:t xml:space="preserve">El Gerente de Obras:   Gestor Territorial de Proceso de la Dirección de Operaciones y Desarrollo Social </w:t>
            </w:r>
            <w:r w:rsidRPr="008E3288">
              <w:rPr>
                <w:rFonts w:ascii="Arial" w:hAnsi="Arial" w:cs="Arial"/>
                <w:color w:val="FF0000"/>
                <w:spacing w:val="-3"/>
                <w:sz w:val="22"/>
                <w:szCs w:val="22"/>
                <w:highlight w:val="green"/>
              </w:rPr>
              <w:t xml:space="preserve">[nombrado al momento de la adjudicación] </w:t>
            </w:r>
          </w:p>
        </w:tc>
      </w:tr>
      <w:tr w:rsidR="004307E6" w:rsidRPr="00142AD5" w14:paraId="3AB4CC1C" w14:textId="77777777" w:rsidTr="008F02F4">
        <w:tc>
          <w:tcPr>
            <w:tcW w:w="990" w:type="dxa"/>
          </w:tcPr>
          <w:p w14:paraId="47682D27" w14:textId="77777777" w:rsidR="004307E6" w:rsidRPr="00625452" w:rsidRDefault="004307E6" w:rsidP="008F02F4">
            <w:pPr>
              <w:spacing w:before="120" w:after="120"/>
              <w:rPr>
                <w:rFonts w:ascii="Arial" w:hAnsi="Arial" w:cs="Arial"/>
                <w:b/>
                <w:spacing w:val="-3"/>
                <w:sz w:val="22"/>
                <w:szCs w:val="22"/>
                <w:highlight w:val="green"/>
              </w:rPr>
            </w:pPr>
            <w:r w:rsidRPr="00625452">
              <w:rPr>
                <w:rFonts w:ascii="Arial" w:hAnsi="Arial" w:cs="Arial"/>
                <w:b/>
                <w:spacing w:val="-3"/>
                <w:sz w:val="22"/>
                <w:szCs w:val="22"/>
                <w:highlight w:val="green"/>
              </w:rPr>
              <w:t>1.1 (ee)</w:t>
            </w:r>
          </w:p>
        </w:tc>
        <w:tc>
          <w:tcPr>
            <w:tcW w:w="8370" w:type="dxa"/>
          </w:tcPr>
          <w:p w14:paraId="0298FCA0"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Las Obras consisten en la construcción de un (01) proyecto de mini acueducto por bombeo Eléctrico (MABE), 19886 Agua y saneamiento comunidad La Concepcion. Lote No. 1.  Y tres (03) proyectos de mini acueducto por gravedad (MAG):</w:t>
            </w:r>
          </w:p>
          <w:p w14:paraId="4220363B"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 xml:space="preserve">Lote, No. 2, Proyecto 19962 Agua y saneamiento comunidad Naranjo Norte, </w:t>
            </w:r>
          </w:p>
          <w:p w14:paraId="68CD4070"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 xml:space="preserve">Lote No. 3, proyecto 19842 Agua y Saneamiento comunidad Zacatera, </w:t>
            </w:r>
          </w:p>
          <w:p w14:paraId="252DF2B7"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 xml:space="preserve">Lote No. 4, proyecto 19892 Agua y Saneamiento Bálsamo Abajo. </w:t>
            </w:r>
          </w:p>
          <w:p w14:paraId="6EC50AC7" w14:textId="77777777" w:rsidR="004307E6" w:rsidRPr="009E66F5" w:rsidRDefault="004307E6" w:rsidP="008F02F4">
            <w:pPr>
              <w:spacing w:before="120" w:after="120" w:line="259" w:lineRule="auto"/>
              <w:contextualSpacing/>
              <w:rPr>
                <w:rFonts w:ascii="Arial" w:hAnsi="Arial" w:cs="Arial"/>
                <w:spacing w:val="-3"/>
                <w:sz w:val="22"/>
                <w:szCs w:val="22"/>
                <w:highlight w:val="green"/>
              </w:rPr>
            </w:pPr>
            <w:r w:rsidRPr="009E66F5">
              <w:rPr>
                <w:rFonts w:ascii="Arial" w:hAnsi="Arial" w:cs="Arial"/>
                <w:spacing w:val="-3"/>
                <w:sz w:val="22"/>
                <w:szCs w:val="22"/>
                <w:highlight w:val="green"/>
              </w:rPr>
              <w:t xml:space="preserve">Siendo la ejecución del componente de saneamiento, de acuerdo a las especificaciones técnicas y planos para cada proyecto.  </w:t>
            </w:r>
          </w:p>
          <w:p w14:paraId="183B6C42" w14:textId="77777777" w:rsidR="004307E6" w:rsidRPr="009E66F5" w:rsidRDefault="004307E6" w:rsidP="008F02F4">
            <w:pPr>
              <w:spacing w:before="120" w:after="120" w:line="259" w:lineRule="auto"/>
              <w:contextualSpacing/>
              <w:rPr>
                <w:rFonts w:ascii="Arial" w:hAnsi="Arial" w:cs="Arial"/>
                <w:spacing w:val="-3"/>
                <w:sz w:val="22"/>
                <w:szCs w:val="22"/>
                <w:highlight w:val="green"/>
              </w:rPr>
            </w:pPr>
          </w:p>
        </w:tc>
      </w:tr>
      <w:tr w:rsidR="004307E6" w:rsidRPr="00142AD5" w14:paraId="364D48FF" w14:textId="77777777" w:rsidTr="008F02F4">
        <w:tc>
          <w:tcPr>
            <w:tcW w:w="990" w:type="dxa"/>
          </w:tcPr>
          <w:p w14:paraId="4507277D" w14:textId="77777777" w:rsidR="004307E6" w:rsidRPr="00142AD5" w:rsidRDefault="004307E6" w:rsidP="008F02F4">
            <w:pPr>
              <w:spacing w:before="60" w:after="60"/>
              <w:jc w:val="center"/>
              <w:rPr>
                <w:rFonts w:ascii="Arial" w:hAnsi="Arial" w:cs="Arial"/>
                <w:b/>
                <w:sz w:val="22"/>
                <w:szCs w:val="22"/>
              </w:rPr>
            </w:pPr>
            <w:r w:rsidRPr="00142AD5">
              <w:rPr>
                <w:rFonts w:ascii="Arial" w:hAnsi="Arial" w:cs="Arial"/>
                <w:b/>
                <w:sz w:val="22"/>
                <w:szCs w:val="22"/>
              </w:rPr>
              <w:t>1.1 (gg)</w:t>
            </w:r>
          </w:p>
        </w:tc>
        <w:tc>
          <w:tcPr>
            <w:tcW w:w="8370" w:type="dxa"/>
          </w:tcPr>
          <w:p w14:paraId="3E82ADAB" w14:textId="0478BB24" w:rsidR="004307E6" w:rsidRPr="00C54376" w:rsidRDefault="00C54376" w:rsidP="008F02F4">
            <w:pPr>
              <w:spacing w:before="60" w:after="60"/>
              <w:rPr>
                <w:rFonts w:ascii="Arial" w:hAnsi="Arial" w:cs="Arial"/>
                <w:sz w:val="22"/>
                <w:szCs w:val="22"/>
                <w:highlight w:val="green"/>
              </w:rPr>
            </w:pPr>
            <w:r w:rsidRPr="00C54376">
              <w:rPr>
                <w:rFonts w:ascii="Arial" w:hAnsi="Arial" w:cs="Arial"/>
                <w:sz w:val="22"/>
                <w:szCs w:val="22"/>
                <w:highlight w:val="green"/>
              </w:rPr>
              <w:t>El país del Contratante es: Republica de Nicaragua</w:t>
            </w:r>
          </w:p>
        </w:tc>
      </w:tr>
      <w:tr w:rsidR="004307E6" w:rsidRPr="00142AD5" w14:paraId="27F48810" w14:textId="77777777" w:rsidTr="008F02F4">
        <w:tc>
          <w:tcPr>
            <w:tcW w:w="990" w:type="dxa"/>
          </w:tcPr>
          <w:p w14:paraId="4DF62A3D" w14:textId="77777777" w:rsidR="004307E6" w:rsidRPr="00625452" w:rsidRDefault="004307E6" w:rsidP="008F02F4">
            <w:pPr>
              <w:spacing w:before="120" w:after="120" w:line="259" w:lineRule="auto"/>
              <w:contextualSpacing/>
              <w:rPr>
                <w:rFonts w:ascii="Arial" w:hAnsi="Arial" w:cs="Arial"/>
                <w:b/>
                <w:spacing w:val="-3"/>
                <w:sz w:val="22"/>
                <w:szCs w:val="22"/>
                <w:highlight w:val="green"/>
              </w:rPr>
            </w:pPr>
            <w:r w:rsidRPr="00625452">
              <w:rPr>
                <w:rFonts w:ascii="Arial" w:hAnsi="Arial" w:cs="Arial"/>
                <w:b/>
                <w:spacing w:val="-3"/>
                <w:sz w:val="22"/>
                <w:szCs w:val="22"/>
                <w:highlight w:val="green"/>
              </w:rPr>
              <w:t>1.1(nn)</w:t>
            </w:r>
          </w:p>
        </w:tc>
        <w:tc>
          <w:tcPr>
            <w:tcW w:w="8370" w:type="dxa"/>
          </w:tcPr>
          <w:tbl>
            <w:tblPr>
              <w:tblW w:w="0" w:type="auto"/>
              <w:tblBorders>
                <w:top w:val="nil"/>
                <w:left w:val="nil"/>
                <w:bottom w:val="nil"/>
                <w:right w:val="nil"/>
              </w:tblBorders>
              <w:tblLayout w:type="fixed"/>
              <w:tblLook w:val="0000" w:firstRow="0" w:lastRow="0" w:firstColumn="0" w:lastColumn="0" w:noHBand="0" w:noVBand="0"/>
            </w:tblPr>
            <w:tblGrid>
              <w:gridCol w:w="7393"/>
            </w:tblGrid>
            <w:tr w:rsidR="004307E6" w:rsidRPr="009E66F5" w14:paraId="009C5F71" w14:textId="77777777" w:rsidTr="008F02F4">
              <w:trPr>
                <w:trHeight w:val="96"/>
              </w:trPr>
              <w:tc>
                <w:tcPr>
                  <w:tcW w:w="7393" w:type="dxa"/>
                </w:tcPr>
                <w:p w14:paraId="77BF4A90" w14:textId="77777777" w:rsidR="004307E6" w:rsidRPr="009E66F5" w:rsidRDefault="004307E6" w:rsidP="008F02F4">
                  <w:pPr>
                    <w:autoSpaceDE w:val="0"/>
                    <w:autoSpaceDN w:val="0"/>
                    <w:adjustRightInd w:val="0"/>
                    <w:spacing w:before="120" w:after="120" w:line="259" w:lineRule="auto"/>
                    <w:contextualSpacing/>
                    <w:rPr>
                      <w:rFonts w:ascii="Arial" w:hAnsi="Arial" w:cs="Arial"/>
                      <w:spacing w:val="-3"/>
                      <w:sz w:val="22"/>
                      <w:szCs w:val="22"/>
                      <w:highlight w:val="green"/>
                    </w:rPr>
                  </w:pPr>
                  <w:r w:rsidRPr="009E66F5">
                    <w:rPr>
                      <w:rFonts w:ascii="Arial" w:hAnsi="Arial" w:cs="Arial"/>
                      <w:spacing w:val="-3"/>
                      <w:sz w:val="22"/>
                      <w:szCs w:val="22"/>
                      <w:highlight w:val="green"/>
                    </w:rPr>
                    <w:t xml:space="preserve">El Prestatario/Beneficiario es la República de Nicaragua. </w:t>
                  </w:r>
                </w:p>
              </w:tc>
            </w:tr>
          </w:tbl>
          <w:p w14:paraId="0A061F89" w14:textId="77777777" w:rsidR="004307E6" w:rsidRPr="009E66F5" w:rsidRDefault="004307E6" w:rsidP="008F02F4">
            <w:pPr>
              <w:spacing w:before="120" w:after="120" w:line="259" w:lineRule="auto"/>
              <w:contextualSpacing/>
              <w:rPr>
                <w:rFonts w:ascii="Arial" w:hAnsi="Arial" w:cs="Arial"/>
                <w:spacing w:val="-3"/>
                <w:sz w:val="22"/>
                <w:szCs w:val="22"/>
                <w:highlight w:val="green"/>
              </w:rPr>
            </w:pPr>
            <w:r w:rsidRPr="009E66F5">
              <w:rPr>
                <w:rFonts w:ascii="Arial" w:hAnsi="Arial" w:cs="Arial"/>
                <w:spacing w:val="-3"/>
                <w:sz w:val="22"/>
                <w:szCs w:val="22"/>
                <w:highlight w:val="green"/>
              </w:rPr>
              <w:t xml:space="preserve"> </w:t>
            </w:r>
          </w:p>
        </w:tc>
      </w:tr>
      <w:tr w:rsidR="004307E6" w:rsidRPr="00142AD5" w14:paraId="0DAF018C" w14:textId="77777777" w:rsidTr="008F02F4">
        <w:tc>
          <w:tcPr>
            <w:tcW w:w="990" w:type="dxa"/>
            <w:shd w:val="clear" w:color="auto" w:fill="FFFFFF" w:themeFill="background1"/>
          </w:tcPr>
          <w:p w14:paraId="6B14A31E" w14:textId="77777777" w:rsidR="004307E6" w:rsidRPr="00A8663D" w:rsidRDefault="004307E6" w:rsidP="008F02F4">
            <w:pPr>
              <w:suppressAutoHyphens/>
              <w:spacing w:before="120" w:after="120"/>
              <w:ind w:right="-34"/>
              <w:rPr>
                <w:rFonts w:ascii="Arial" w:hAnsi="Arial" w:cs="Arial"/>
                <w:spacing w:val="-3"/>
                <w:sz w:val="22"/>
                <w:szCs w:val="22"/>
                <w:highlight w:val="green"/>
              </w:rPr>
            </w:pPr>
            <w:r w:rsidRPr="00625452">
              <w:rPr>
                <w:rFonts w:ascii="Arial" w:hAnsi="Arial" w:cs="Arial"/>
                <w:b/>
                <w:spacing w:val="-3"/>
                <w:sz w:val="22"/>
                <w:szCs w:val="22"/>
                <w:highlight w:val="green"/>
              </w:rPr>
              <w:t>1.1 (oo</w:t>
            </w:r>
            <w:r w:rsidRPr="00A8663D">
              <w:rPr>
                <w:rFonts w:ascii="Arial" w:hAnsi="Arial" w:cs="Arial"/>
                <w:spacing w:val="-3"/>
                <w:sz w:val="22"/>
                <w:szCs w:val="22"/>
                <w:highlight w:val="green"/>
              </w:rPr>
              <w:t>)</w:t>
            </w:r>
          </w:p>
        </w:tc>
        <w:tc>
          <w:tcPr>
            <w:tcW w:w="8370" w:type="dxa"/>
            <w:shd w:val="clear" w:color="auto" w:fill="FFFFFF" w:themeFill="background1"/>
          </w:tcPr>
          <w:p w14:paraId="11C29B2B" w14:textId="77777777" w:rsidR="004307E6" w:rsidRPr="00A8663D" w:rsidRDefault="004307E6" w:rsidP="008F02F4">
            <w:pPr>
              <w:suppressAutoHyphens/>
              <w:spacing w:before="120" w:after="120"/>
              <w:ind w:right="-34"/>
              <w:rPr>
                <w:rFonts w:ascii="Arial" w:hAnsi="Arial" w:cs="Arial"/>
                <w:spacing w:val="-3"/>
                <w:sz w:val="22"/>
                <w:szCs w:val="22"/>
                <w:highlight w:val="green"/>
              </w:rPr>
            </w:pPr>
            <w:r w:rsidRPr="00A8663D">
              <w:rPr>
                <w:rFonts w:ascii="Arial" w:hAnsi="Arial" w:cs="Arial"/>
                <w:spacing w:val="-3"/>
                <w:sz w:val="22"/>
                <w:szCs w:val="22"/>
                <w:highlight w:val="green"/>
              </w:rPr>
              <w:t xml:space="preserve">El Sitio de las Obras está ubicada en:  </w:t>
            </w:r>
          </w:p>
          <w:p w14:paraId="71C773A5" w14:textId="77777777" w:rsidR="004307E6"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19886 Agua y saneamiento comunidad La Concepcion. Lote No. 1</w:t>
            </w:r>
            <w:r>
              <w:rPr>
                <w:rFonts w:ascii="Arial" w:hAnsi="Arial" w:cs="Arial"/>
                <w:spacing w:val="-3"/>
                <w:sz w:val="22"/>
                <w:szCs w:val="22"/>
                <w:highlight w:val="green"/>
              </w:rPr>
              <w:t xml:space="preserve">, Departamento Madriz, municipio de Palaguina. </w:t>
            </w:r>
          </w:p>
          <w:p w14:paraId="0BAC7589"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 xml:space="preserve">19962 Agua y saneamiento comunidad Naranjo Norte, </w:t>
            </w:r>
            <w:r>
              <w:rPr>
                <w:rFonts w:ascii="Arial" w:hAnsi="Arial" w:cs="Arial"/>
                <w:spacing w:val="-3"/>
                <w:sz w:val="22"/>
                <w:szCs w:val="22"/>
                <w:highlight w:val="green"/>
              </w:rPr>
              <w:t>Lote No. 2, Departamento de Madriz, Municipio de Telpaneca.</w:t>
            </w:r>
          </w:p>
          <w:p w14:paraId="7225AE28"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lastRenderedPageBreak/>
              <w:t>19842 Agua y Saneamiento comunidad Zacatera, Lote No. 3,</w:t>
            </w:r>
            <w:r>
              <w:rPr>
                <w:rFonts w:ascii="Arial" w:hAnsi="Arial" w:cs="Arial"/>
                <w:spacing w:val="-3"/>
                <w:sz w:val="22"/>
                <w:szCs w:val="22"/>
                <w:highlight w:val="green"/>
              </w:rPr>
              <w:t xml:space="preserve"> Departamento de nueva Segovia, Municipio de Wiwili de Nueva Segovia. </w:t>
            </w:r>
          </w:p>
          <w:p w14:paraId="2A9726E0" w14:textId="77777777" w:rsidR="004307E6" w:rsidRPr="009E66F5" w:rsidRDefault="004307E6" w:rsidP="008F02F4">
            <w:pPr>
              <w:suppressAutoHyphens/>
              <w:spacing w:before="120" w:after="120"/>
              <w:ind w:right="-34"/>
              <w:rPr>
                <w:rFonts w:ascii="Arial" w:hAnsi="Arial" w:cs="Arial"/>
                <w:spacing w:val="-3"/>
                <w:sz w:val="22"/>
                <w:szCs w:val="22"/>
                <w:highlight w:val="green"/>
              </w:rPr>
            </w:pPr>
            <w:r w:rsidRPr="009E66F5">
              <w:rPr>
                <w:rFonts w:ascii="Arial" w:hAnsi="Arial" w:cs="Arial"/>
                <w:spacing w:val="-3"/>
                <w:sz w:val="22"/>
                <w:szCs w:val="22"/>
                <w:highlight w:val="green"/>
              </w:rPr>
              <w:t>19892 Agua y Saneamiento Bálsamo Abajo. Lote No. 4</w:t>
            </w:r>
            <w:r>
              <w:rPr>
                <w:rFonts w:ascii="Arial" w:hAnsi="Arial" w:cs="Arial"/>
                <w:spacing w:val="-3"/>
                <w:sz w:val="22"/>
                <w:szCs w:val="22"/>
                <w:highlight w:val="green"/>
              </w:rPr>
              <w:t xml:space="preserve">, Departamento de Madriz, municipio San juan de Rio Coco. </w:t>
            </w:r>
          </w:p>
          <w:p w14:paraId="03BB1A0C" w14:textId="77777777" w:rsidR="004307E6" w:rsidRPr="009E66F5" w:rsidRDefault="004307E6" w:rsidP="008F02F4">
            <w:pPr>
              <w:suppressAutoHyphens/>
              <w:spacing w:before="120" w:after="120" w:line="259" w:lineRule="auto"/>
              <w:ind w:right="-34"/>
              <w:contextualSpacing/>
              <w:rPr>
                <w:rFonts w:ascii="Arial" w:hAnsi="Arial" w:cs="Arial"/>
                <w:spacing w:val="-3"/>
                <w:sz w:val="22"/>
                <w:szCs w:val="22"/>
                <w:highlight w:val="green"/>
              </w:rPr>
            </w:pPr>
            <w:r w:rsidRPr="009E66F5">
              <w:rPr>
                <w:rFonts w:ascii="Arial" w:hAnsi="Arial" w:cs="Arial"/>
                <w:spacing w:val="-3"/>
                <w:sz w:val="22"/>
                <w:szCs w:val="22"/>
                <w:highlight w:val="green"/>
              </w:rPr>
              <w:t xml:space="preserve">Siendo la ejecución del componente de saneamiento, de acuerdo a las especificaciones técnicas y planos para cada proyecto.  </w:t>
            </w:r>
          </w:p>
          <w:p w14:paraId="3BE2FA74" w14:textId="77777777" w:rsidR="004307E6" w:rsidRPr="00A8663D" w:rsidRDefault="004307E6" w:rsidP="008F02F4">
            <w:pPr>
              <w:suppressAutoHyphens/>
              <w:spacing w:before="120" w:after="120"/>
              <w:ind w:right="-34"/>
              <w:rPr>
                <w:rFonts w:ascii="Arial" w:hAnsi="Arial" w:cs="Arial"/>
                <w:spacing w:val="-3"/>
                <w:sz w:val="22"/>
                <w:szCs w:val="22"/>
                <w:highlight w:val="green"/>
              </w:rPr>
            </w:pPr>
          </w:p>
        </w:tc>
      </w:tr>
      <w:tr w:rsidR="004307E6" w:rsidRPr="00142AD5" w14:paraId="03E997D9" w14:textId="77777777" w:rsidTr="008F02F4">
        <w:tc>
          <w:tcPr>
            <w:tcW w:w="990" w:type="dxa"/>
          </w:tcPr>
          <w:p w14:paraId="0DDAFD54"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lastRenderedPageBreak/>
              <w:t>1.1 (qq)</w:t>
            </w:r>
          </w:p>
        </w:tc>
        <w:tc>
          <w:tcPr>
            <w:tcW w:w="8370" w:type="dxa"/>
          </w:tcPr>
          <w:p w14:paraId="25352C1A" w14:textId="77777777" w:rsidR="004307E6" w:rsidRPr="00142AD5" w:rsidRDefault="004307E6" w:rsidP="008F02F4">
            <w:pPr>
              <w:spacing w:before="60" w:after="60"/>
              <w:rPr>
                <w:rFonts w:ascii="Arial" w:hAnsi="Arial" w:cs="Arial"/>
                <w:spacing w:val="-3"/>
                <w:sz w:val="22"/>
                <w:szCs w:val="22"/>
              </w:rPr>
            </w:pPr>
            <w:r w:rsidRPr="00142AD5">
              <w:rPr>
                <w:rFonts w:ascii="Arial" w:hAnsi="Arial" w:cs="Arial"/>
                <w:spacing w:val="-3"/>
                <w:sz w:val="22"/>
                <w:szCs w:val="22"/>
              </w:rPr>
              <w:t>El Superintendente de Construcción es</w:t>
            </w:r>
            <w:r w:rsidRPr="00142AD5">
              <w:rPr>
                <w:rFonts w:ascii="Arial" w:hAnsi="Arial" w:cs="Arial"/>
                <w:i/>
                <w:iCs/>
                <w:color w:val="FF0000"/>
                <w:spacing w:val="-3"/>
                <w:sz w:val="22"/>
                <w:szCs w:val="22"/>
              </w:rPr>
              <w:t>:</w:t>
            </w:r>
            <w:r>
              <w:rPr>
                <w:rFonts w:ascii="Arial" w:hAnsi="Arial" w:cs="Arial"/>
                <w:i/>
                <w:iCs/>
                <w:color w:val="FF0000"/>
                <w:spacing w:val="-3"/>
                <w:sz w:val="22"/>
                <w:szCs w:val="22"/>
              </w:rPr>
              <w:t xml:space="preserve"> </w:t>
            </w:r>
            <w:r w:rsidRPr="007174B2">
              <w:rPr>
                <w:rFonts w:ascii="Arial" w:hAnsi="Arial" w:cs="Arial"/>
                <w:i/>
                <w:iCs/>
                <w:color w:val="FF0000"/>
                <w:spacing w:val="-3"/>
                <w:sz w:val="22"/>
                <w:szCs w:val="22"/>
              </w:rPr>
              <w:t>Se incorporará una vez que el contratista  adjudicado lo designe.</w:t>
            </w:r>
          </w:p>
        </w:tc>
      </w:tr>
      <w:tr w:rsidR="004307E6" w:rsidRPr="00142AD5" w14:paraId="3539BC1E" w14:textId="77777777" w:rsidTr="008F02F4">
        <w:tc>
          <w:tcPr>
            <w:tcW w:w="990" w:type="dxa"/>
          </w:tcPr>
          <w:p w14:paraId="33730E5D"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2.3</w:t>
            </w:r>
          </w:p>
        </w:tc>
        <w:tc>
          <w:tcPr>
            <w:tcW w:w="8370" w:type="dxa"/>
          </w:tcPr>
          <w:p w14:paraId="5FFAD7E8" w14:textId="77777777" w:rsidR="004307E6" w:rsidRPr="00142AD5" w:rsidRDefault="004307E6" w:rsidP="008F02F4">
            <w:pPr>
              <w:spacing w:before="60" w:after="60"/>
              <w:rPr>
                <w:rFonts w:ascii="Arial" w:hAnsi="Arial" w:cs="Arial"/>
                <w:i/>
                <w:iCs/>
                <w:spacing w:val="-3"/>
                <w:sz w:val="22"/>
                <w:szCs w:val="22"/>
              </w:rPr>
            </w:pPr>
            <w:r w:rsidRPr="00142AD5">
              <w:rPr>
                <w:rFonts w:ascii="Arial" w:hAnsi="Arial" w:cs="Arial"/>
                <w:spacing w:val="-3"/>
                <w:sz w:val="22"/>
                <w:szCs w:val="22"/>
              </w:rPr>
              <w:t xml:space="preserve">Las secciones de las Obras con fechas de terminación distintas a las de la totalidad de las Obras son: </w:t>
            </w:r>
            <w:r w:rsidRPr="00DE2242">
              <w:rPr>
                <w:rFonts w:ascii="Arial" w:hAnsi="Arial" w:cs="Arial"/>
                <w:b/>
                <w:spacing w:val="-3"/>
                <w:sz w:val="22"/>
                <w:szCs w:val="22"/>
              </w:rPr>
              <w:t>No Aplica</w:t>
            </w:r>
          </w:p>
        </w:tc>
      </w:tr>
      <w:tr w:rsidR="004307E6" w:rsidRPr="00142AD5" w14:paraId="05679953" w14:textId="77777777" w:rsidTr="008F02F4">
        <w:tc>
          <w:tcPr>
            <w:tcW w:w="990" w:type="dxa"/>
          </w:tcPr>
          <w:p w14:paraId="02F2A6C4"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5.1</w:t>
            </w:r>
          </w:p>
        </w:tc>
        <w:tc>
          <w:tcPr>
            <w:tcW w:w="8370" w:type="dxa"/>
          </w:tcPr>
          <w:p w14:paraId="31F454D7" w14:textId="77777777" w:rsidR="004307E6" w:rsidRPr="00142AD5" w:rsidRDefault="004307E6" w:rsidP="008F02F4">
            <w:pPr>
              <w:spacing w:before="60" w:after="60"/>
              <w:rPr>
                <w:rFonts w:ascii="Arial" w:hAnsi="Arial" w:cs="Arial"/>
                <w:spacing w:val="-3"/>
                <w:sz w:val="22"/>
                <w:szCs w:val="22"/>
              </w:rPr>
            </w:pPr>
            <w:r w:rsidRPr="00142AD5">
              <w:rPr>
                <w:rFonts w:ascii="Arial" w:hAnsi="Arial" w:cs="Arial"/>
                <w:spacing w:val="-3"/>
                <w:sz w:val="22"/>
                <w:szCs w:val="22"/>
              </w:rPr>
              <w:t>El idioma oficial es:</w:t>
            </w:r>
            <w:r>
              <w:rPr>
                <w:rFonts w:ascii="Arial" w:hAnsi="Arial" w:cs="Arial"/>
                <w:spacing w:val="-3"/>
                <w:sz w:val="22"/>
                <w:szCs w:val="22"/>
              </w:rPr>
              <w:t xml:space="preserve"> Español</w:t>
            </w:r>
          </w:p>
        </w:tc>
      </w:tr>
      <w:tr w:rsidR="004307E6" w:rsidRPr="00142AD5" w14:paraId="1FA94EF6" w14:textId="77777777" w:rsidTr="008F02F4">
        <w:tc>
          <w:tcPr>
            <w:tcW w:w="990" w:type="dxa"/>
          </w:tcPr>
          <w:p w14:paraId="7271A7C4"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6.1</w:t>
            </w:r>
          </w:p>
        </w:tc>
        <w:tc>
          <w:tcPr>
            <w:tcW w:w="8370" w:type="dxa"/>
          </w:tcPr>
          <w:p w14:paraId="0D3E0743" w14:textId="77777777" w:rsidR="004307E6" w:rsidRPr="00142AD5" w:rsidRDefault="004307E6" w:rsidP="008F02F4">
            <w:pPr>
              <w:spacing w:before="60" w:after="60"/>
              <w:rPr>
                <w:rFonts w:ascii="Arial" w:hAnsi="Arial" w:cs="Arial"/>
                <w:i/>
                <w:iCs/>
                <w:spacing w:val="-3"/>
                <w:sz w:val="22"/>
                <w:szCs w:val="22"/>
              </w:rPr>
            </w:pPr>
            <w:r w:rsidRPr="00142AD5">
              <w:rPr>
                <w:rFonts w:ascii="Arial" w:hAnsi="Arial" w:cs="Arial"/>
                <w:spacing w:val="-3"/>
                <w:sz w:val="22"/>
                <w:szCs w:val="22"/>
              </w:rPr>
              <w:t xml:space="preserve">La ley aplicable que rige el Contrato es la ley de </w:t>
            </w:r>
            <w:r>
              <w:rPr>
                <w:rFonts w:ascii="Arial" w:hAnsi="Arial" w:cs="Arial"/>
                <w:spacing w:val="-3"/>
                <w:sz w:val="22"/>
                <w:szCs w:val="22"/>
              </w:rPr>
              <w:t>la República de Nicaragua.</w:t>
            </w:r>
          </w:p>
        </w:tc>
      </w:tr>
      <w:tr w:rsidR="004307E6" w:rsidRPr="00142AD5" w14:paraId="4FF9D495" w14:textId="77777777" w:rsidTr="008F02F4">
        <w:tc>
          <w:tcPr>
            <w:tcW w:w="990" w:type="dxa"/>
          </w:tcPr>
          <w:p w14:paraId="3D4700FE" w14:textId="77777777" w:rsidR="004307E6" w:rsidRPr="00142AD5" w:rsidRDefault="004307E6" w:rsidP="008F02F4">
            <w:pPr>
              <w:suppressAutoHyphens/>
              <w:spacing w:before="120" w:after="120" w:line="259" w:lineRule="auto"/>
              <w:ind w:right="-34"/>
              <w:contextualSpacing/>
              <w:rPr>
                <w:rFonts w:ascii="Arial" w:hAnsi="Arial" w:cs="Arial"/>
                <w:b/>
                <w:bCs/>
                <w:sz w:val="22"/>
                <w:szCs w:val="22"/>
              </w:rPr>
            </w:pPr>
            <w:r w:rsidRPr="005E2918">
              <w:rPr>
                <w:rFonts w:ascii="Arial" w:hAnsi="Arial" w:cs="Arial"/>
                <w:spacing w:val="-3"/>
                <w:sz w:val="22"/>
                <w:szCs w:val="22"/>
                <w:highlight w:val="green"/>
              </w:rPr>
              <w:t>7.1</w:t>
            </w:r>
          </w:p>
        </w:tc>
        <w:tc>
          <w:tcPr>
            <w:tcW w:w="8370" w:type="dxa"/>
          </w:tcPr>
          <w:p w14:paraId="67FDF101" w14:textId="77777777" w:rsidR="004307E6" w:rsidRPr="005E2918" w:rsidRDefault="004307E6" w:rsidP="008F02F4">
            <w:pPr>
              <w:suppressAutoHyphens/>
              <w:spacing w:before="120" w:after="120" w:line="259" w:lineRule="auto"/>
              <w:ind w:right="-34"/>
              <w:contextualSpacing/>
              <w:rPr>
                <w:rFonts w:ascii="Arial" w:hAnsi="Arial" w:cs="Arial"/>
                <w:i/>
                <w:color w:val="FF0000"/>
                <w:spacing w:val="-3"/>
                <w:sz w:val="22"/>
                <w:szCs w:val="22"/>
                <w:highlight w:val="green"/>
              </w:rPr>
            </w:pPr>
            <w:r w:rsidRPr="000A2401">
              <w:rPr>
                <w:rFonts w:ascii="Arial" w:hAnsi="Arial" w:cs="Arial"/>
                <w:spacing w:val="-3"/>
                <w:sz w:val="22"/>
                <w:szCs w:val="22"/>
                <w:highlight w:val="green"/>
              </w:rPr>
              <w:t xml:space="preserve">El Asociado responsable designado por el APCA para actuar como su representante para los fines del contrato es:  </w:t>
            </w:r>
            <w:r w:rsidRPr="005E2918">
              <w:rPr>
                <w:rFonts w:ascii="Arial" w:hAnsi="Arial" w:cs="Arial"/>
                <w:i/>
                <w:color w:val="FF0000"/>
                <w:spacing w:val="-3"/>
                <w:sz w:val="22"/>
                <w:szCs w:val="22"/>
                <w:highlight w:val="green"/>
              </w:rPr>
              <w:t>nombre del representante común del APCA, quién tiene las facultades para contraer obligaciones y recibir instrucciones para y en nombre de todos y cada uno de los integrantes del APCA.)</w:t>
            </w:r>
          </w:p>
          <w:p w14:paraId="1413A050" w14:textId="77777777" w:rsidR="004307E6" w:rsidRPr="00142AD5" w:rsidRDefault="004307E6" w:rsidP="008F02F4">
            <w:pPr>
              <w:pStyle w:val="Default"/>
              <w:jc w:val="both"/>
              <w:rPr>
                <w:rFonts w:ascii="Arial" w:hAnsi="Arial" w:cs="Arial"/>
                <w:spacing w:val="-3"/>
                <w:sz w:val="22"/>
                <w:szCs w:val="22"/>
              </w:rPr>
            </w:pPr>
            <w:r w:rsidRPr="00465EBA">
              <w:rPr>
                <w:rFonts w:ascii="Arial" w:eastAsia="Times New Roman" w:hAnsi="Arial" w:cs="Arial"/>
                <w:color w:val="auto"/>
                <w:spacing w:val="-3"/>
                <w:sz w:val="22"/>
                <w:szCs w:val="22"/>
                <w:lang w:val="es-ES_tradnl"/>
              </w:rPr>
              <w:t xml:space="preserve">En caso de que el adjudicado no sea APCA, se establecerá que No Aplica </w:t>
            </w:r>
          </w:p>
        </w:tc>
      </w:tr>
      <w:tr w:rsidR="004307E6" w:rsidRPr="00142AD5" w14:paraId="1CD1093F" w14:textId="77777777" w:rsidTr="008F02F4">
        <w:tc>
          <w:tcPr>
            <w:tcW w:w="990" w:type="dxa"/>
          </w:tcPr>
          <w:p w14:paraId="3E5D48D2"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8.1</w:t>
            </w:r>
          </w:p>
        </w:tc>
        <w:tc>
          <w:tcPr>
            <w:tcW w:w="8370" w:type="dxa"/>
          </w:tcPr>
          <w:p w14:paraId="1BBF8153" w14:textId="77777777" w:rsidR="004307E6" w:rsidRPr="008A12F0" w:rsidRDefault="004307E6" w:rsidP="008F02F4">
            <w:pPr>
              <w:spacing w:before="120" w:after="120"/>
              <w:rPr>
                <w:rFonts w:ascii="Arial" w:hAnsi="Arial" w:cs="Arial"/>
                <w:b/>
                <w:spacing w:val="-3"/>
                <w:sz w:val="22"/>
                <w:szCs w:val="22"/>
              </w:rPr>
            </w:pPr>
            <w:r w:rsidRPr="008A12F0">
              <w:rPr>
                <w:rFonts w:ascii="Arial" w:hAnsi="Arial" w:cs="Arial"/>
                <w:b/>
                <w:spacing w:val="-3"/>
                <w:sz w:val="22"/>
                <w:szCs w:val="22"/>
              </w:rPr>
              <w:t>No Aplica</w:t>
            </w:r>
          </w:p>
        </w:tc>
      </w:tr>
      <w:tr w:rsidR="004307E6" w:rsidRPr="00142AD5" w14:paraId="3ABB0E10" w14:textId="77777777" w:rsidTr="008F02F4">
        <w:tc>
          <w:tcPr>
            <w:tcW w:w="990" w:type="dxa"/>
          </w:tcPr>
          <w:p w14:paraId="1A5C834A"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8.2</w:t>
            </w:r>
          </w:p>
        </w:tc>
        <w:tc>
          <w:tcPr>
            <w:tcW w:w="8370" w:type="dxa"/>
          </w:tcPr>
          <w:p w14:paraId="6A2579B5" w14:textId="77777777" w:rsidR="004307E6" w:rsidRPr="00142AD5" w:rsidRDefault="004307E6" w:rsidP="008F02F4">
            <w:pPr>
              <w:spacing w:before="120" w:after="120"/>
              <w:rPr>
                <w:rFonts w:ascii="Arial" w:hAnsi="Arial" w:cs="Arial"/>
                <w:spacing w:val="-3"/>
                <w:sz w:val="22"/>
                <w:szCs w:val="22"/>
              </w:rPr>
            </w:pPr>
            <w:r w:rsidRPr="008A12F0">
              <w:rPr>
                <w:rFonts w:ascii="Arial" w:hAnsi="Arial" w:cs="Arial"/>
                <w:b/>
                <w:spacing w:val="-3"/>
                <w:sz w:val="22"/>
                <w:szCs w:val="22"/>
              </w:rPr>
              <w:t>No Aplica</w:t>
            </w:r>
          </w:p>
        </w:tc>
      </w:tr>
      <w:tr w:rsidR="004307E6" w:rsidRPr="00142AD5" w14:paraId="36B639BB" w14:textId="77777777" w:rsidTr="008F02F4">
        <w:tc>
          <w:tcPr>
            <w:tcW w:w="990" w:type="dxa"/>
          </w:tcPr>
          <w:p w14:paraId="35175893" w14:textId="77777777" w:rsidR="004307E6" w:rsidRPr="00142AD5" w:rsidRDefault="004307E6" w:rsidP="008F02F4">
            <w:pPr>
              <w:spacing w:before="60" w:after="60"/>
              <w:jc w:val="center"/>
              <w:rPr>
                <w:rFonts w:ascii="Arial" w:hAnsi="Arial" w:cs="Arial"/>
                <w:b/>
                <w:sz w:val="22"/>
                <w:szCs w:val="22"/>
              </w:rPr>
            </w:pPr>
            <w:r w:rsidRPr="00142AD5">
              <w:rPr>
                <w:rFonts w:ascii="Arial" w:hAnsi="Arial" w:cs="Arial"/>
                <w:b/>
                <w:sz w:val="22"/>
                <w:szCs w:val="22"/>
              </w:rPr>
              <w:t>10.2 (c)</w:t>
            </w:r>
          </w:p>
        </w:tc>
        <w:tc>
          <w:tcPr>
            <w:tcW w:w="8370" w:type="dxa"/>
          </w:tcPr>
          <w:p w14:paraId="5BADD44B" w14:textId="77777777" w:rsidR="004307E6" w:rsidRPr="00142AD5" w:rsidRDefault="004307E6" w:rsidP="008F02F4">
            <w:pPr>
              <w:spacing w:before="60" w:after="60"/>
              <w:rPr>
                <w:rFonts w:ascii="Arial" w:hAnsi="Arial" w:cs="Arial"/>
                <w:bCs/>
                <w:sz w:val="22"/>
                <w:szCs w:val="22"/>
              </w:rPr>
            </w:pPr>
            <w:r w:rsidRPr="00142AD5">
              <w:rPr>
                <w:rFonts w:ascii="Arial" w:hAnsi="Arial" w:cs="Arial"/>
                <w:bCs/>
                <w:sz w:val="22"/>
                <w:szCs w:val="22"/>
              </w:rPr>
              <w:t>Las actividades adicionales que se consideran en conflicto de intereses durante la ejecución del Contrato son:</w:t>
            </w:r>
            <w:r>
              <w:rPr>
                <w:rFonts w:ascii="Arial" w:hAnsi="Arial" w:cs="Arial"/>
                <w:bCs/>
                <w:i/>
                <w:iCs/>
                <w:color w:val="FF0000"/>
                <w:sz w:val="22"/>
                <w:szCs w:val="22"/>
              </w:rPr>
              <w:t xml:space="preserve"> </w:t>
            </w:r>
            <w:r w:rsidRPr="008A12F0">
              <w:rPr>
                <w:rFonts w:ascii="Arial" w:hAnsi="Arial" w:cs="Arial"/>
                <w:b/>
                <w:spacing w:val="-3"/>
                <w:sz w:val="22"/>
                <w:szCs w:val="22"/>
              </w:rPr>
              <w:t>No Aplica</w:t>
            </w:r>
          </w:p>
        </w:tc>
      </w:tr>
      <w:tr w:rsidR="004307E6" w:rsidRPr="00142AD5" w14:paraId="249E5B94" w14:textId="77777777" w:rsidTr="008F02F4">
        <w:tc>
          <w:tcPr>
            <w:tcW w:w="990" w:type="dxa"/>
          </w:tcPr>
          <w:p w14:paraId="07D197C6" w14:textId="77777777" w:rsidR="004307E6" w:rsidRPr="00142AD5" w:rsidRDefault="004307E6" w:rsidP="008F02F4">
            <w:pPr>
              <w:spacing w:before="60" w:after="60"/>
              <w:jc w:val="center"/>
              <w:rPr>
                <w:rFonts w:ascii="Arial" w:hAnsi="Arial" w:cs="Arial"/>
                <w:b/>
                <w:sz w:val="22"/>
                <w:szCs w:val="22"/>
              </w:rPr>
            </w:pPr>
            <w:r w:rsidRPr="00142AD5">
              <w:rPr>
                <w:rFonts w:ascii="Arial" w:hAnsi="Arial" w:cs="Arial"/>
                <w:b/>
                <w:sz w:val="22"/>
                <w:szCs w:val="22"/>
              </w:rPr>
              <w:t>10.3</w:t>
            </w:r>
          </w:p>
        </w:tc>
        <w:tc>
          <w:tcPr>
            <w:tcW w:w="8370" w:type="dxa"/>
          </w:tcPr>
          <w:p w14:paraId="0EB83C6F" w14:textId="77777777" w:rsidR="004307E6" w:rsidRPr="00142AD5" w:rsidRDefault="004307E6" w:rsidP="008F02F4">
            <w:pPr>
              <w:spacing w:before="60" w:after="60"/>
              <w:rPr>
                <w:rFonts w:ascii="Arial" w:hAnsi="Arial" w:cs="Arial"/>
                <w:b/>
                <w:i/>
                <w:sz w:val="22"/>
                <w:szCs w:val="22"/>
              </w:rPr>
            </w:pPr>
            <w:r w:rsidRPr="00142AD5">
              <w:rPr>
                <w:rFonts w:ascii="Arial" w:hAnsi="Arial" w:cs="Arial"/>
                <w:bCs/>
                <w:sz w:val="22"/>
                <w:szCs w:val="22"/>
              </w:rPr>
              <w:t xml:space="preserve">Las actividades prohibidas para el Contratista consideradas como conflicto de intereses después de terminado el contrato son: </w:t>
            </w:r>
            <w:r w:rsidRPr="008A12F0">
              <w:rPr>
                <w:rFonts w:ascii="Arial" w:hAnsi="Arial" w:cs="Arial"/>
                <w:b/>
                <w:spacing w:val="-3"/>
                <w:sz w:val="22"/>
                <w:szCs w:val="22"/>
              </w:rPr>
              <w:t>No Aplica</w:t>
            </w:r>
          </w:p>
          <w:p w14:paraId="4CF315F6" w14:textId="77777777" w:rsidR="004307E6" w:rsidRPr="00142AD5" w:rsidRDefault="004307E6" w:rsidP="008F02F4">
            <w:pPr>
              <w:spacing w:before="60" w:after="60"/>
              <w:rPr>
                <w:rFonts w:ascii="Arial" w:hAnsi="Arial" w:cs="Arial"/>
                <w:b/>
                <w:i/>
                <w:sz w:val="22"/>
                <w:szCs w:val="22"/>
                <w:highlight w:val="lightGray"/>
              </w:rPr>
            </w:pPr>
          </w:p>
        </w:tc>
      </w:tr>
      <w:tr w:rsidR="004307E6" w:rsidRPr="00142AD5" w14:paraId="064775C3" w14:textId="77777777" w:rsidTr="008F02F4">
        <w:tc>
          <w:tcPr>
            <w:tcW w:w="990" w:type="dxa"/>
          </w:tcPr>
          <w:p w14:paraId="6A2C151B"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13.1</w:t>
            </w:r>
          </w:p>
        </w:tc>
        <w:tc>
          <w:tcPr>
            <w:tcW w:w="8370" w:type="dxa"/>
          </w:tcPr>
          <w:p w14:paraId="38328C91" w14:textId="77777777" w:rsidR="004307E6" w:rsidRPr="00142AD5" w:rsidRDefault="004307E6" w:rsidP="008F02F4">
            <w:pPr>
              <w:spacing w:before="60" w:after="60"/>
              <w:rPr>
                <w:rFonts w:ascii="Arial" w:hAnsi="Arial" w:cs="Arial"/>
                <w:spacing w:val="-3"/>
                <w:sz w:val="22"/>
                <w:szCs w:val="22"/>
              </w:rPr>
            </w:pPr>
            <w:r w:rsidRPr="00142AD5">
              <w:rPr>
                <w:rFonts w:ascii="Arial" w:hAnsi="Arial" w:cs="Arial"/>
                <w:spacing w:val="-3"/>
                <w:sz w:val="22"/>
                <w:szCs w:val="22"/>
              </w:rPr>
              <w:t xml:space="preserve">El Gerente de Obras </w:t>
            </w:r>
            <w:r w:rsidRPr="00142AD5">
              <w:rPr>
                <w:rFonts w:ascii="Arial" w:hAnsi="Arial" w:cs="Arial"/>
                <w:i/>
                <w:iCs/>
                <w:color w:val="FF0000"/>
                <w:spacing w:val="-3"/>
                <w:sz w:val="22"/>
                <w:szCs w:val="22"/>
              </w:rPr>
              <w:t xml:space="preserve"> </w:t>
            </w:r>
            <w:r w:rsidRPr="008C5535">
              <w:rPr>
                <w:rFonts w:ascii="Arial" w:hAnsi="Arial" w:cs="Arial"/>
                <w:b/>
                <w:i/>
                <w:iCs/>
                <w:spacing w:val="-3"/>
                <w:sz w:val="22"/>
                <w:szCs w:val="22"/>
              </w:rPr>
              <w:t>no podrá</w:t>
            </w:r>
            <w:r w:rsidRPr="004533F3">
              <w:rPr>
                <w:rFonts w:ascii="Arial" w:hAnsi="Arial" w:cs="Arial"/>
                <w:spacing w:val="-3"/>
                <w:sz w:val="22"/>
                <w:szCs w:val="22"/>
              </w:rPr>
              <w:t xml:space="preserve"> </w:t>
            </w:r>
            <w:r w:rsidRPr="00142AD5">
              <w:rPr>
                <w:rFonts w:ascii="Arial" w:hAnsi="Arial" w:cs="Arial"/>
                <w:spacing w:val="-3"/>
                <w:sz w:val="22"/>
                <w:szCs w:val="22"/>
              </w:rPr>
              <w:t>delegar</w:t>
            </w:r>
            <w:r w:rsidRPr="00142AD5">
              <w:rPr>
                <w:rFonts w:ascii="Arial" w:hAnsi="Arial" w:cs="Arial"/>
                <w:sz w:val="22"/>
                <w:szCs w:val="22"/>
              </w:rPr>
              <w:t xml:space="preserve"> en otras personas cualquiera de sus deberes y responsabilidades.</w:t>
            </w:r>
          </w:p>
        </w:tc>
      </w:tr>
      <w:tr w:rsidR="004307E6" w:rsidRPr="00142AD5" w14:paraId="53890FD2" w14:textId="77777777" w:rsidTr="008F02F4">
        <w:tc>
          <w:tcPr>
            <w:tcW w:w="990" w:type="dxa"/>
          </w:tcPr>
          <w:p w14:paraId="7E7D8092"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15.2</w:t>
            </w:r>
          </w:p>
        </w:tc>
        <w:tc>
          <w:tcPr>
            <w:tcW w:w="8370" w:type="dxa"/>
          </w:tcPr>
          <w:tbl>
            <w:tblPr>
              <w:tblpPr w:leftFromText="141" w:rightFromText="141" w:vertAnchor="text" w:horzAnchor="margin" w:tblpY="-2597"/>
              <w:tblOverlap w:val="never"/>
              <w:tblW w:w="0" w:type="auto"/>
              <w:tblLayout w:type="fixed"/>
              <w:tblCellMar>
                <w:left w:w="105" w:type="dxa"/>
                <w:right w:w="105" w:type="dxa"/>
              </w:tblCellMar>
              <w:tblLook w:val="01E0" w:firstRow="1" w:lastRow="1" w:firstColumn="1" w:lastColumn="1" w:noHBand="0" w:noVBand="0"/>
            </w:tblPr>
            <w:tblGrid>
              <w:gridCol w:w="7797"/>
            </w:tblGrid>
            <w:tr w:rsidR="004307E6" w14:paraId="5C14C48C" w14:textId="77777777" w:rsidTr="008F02F4">
              <w:trPr>
                <w:trHeight w:val="106"/>
              </w:trPr>
              <w:tc>
                <w:tcPr>
                  <w:tcW w:w="7797" w:type="dxa"/>
                  <w:hideMark/>
                </w:tcPr>
                <w:p w14:paraId="2FBA4CDD" w14:textId="77777777" w:rsidR="004307E6" w:rsidRPr="0054242A" w:rsidRDefault="004307E6" w:rsidP="008F02F4">
                  <w:pPr>
                    <w:rPr>
                      <w:rFonts w:ascii="Arial" w:hAnsi="Arial" w:cs="Arial"/>
                      <w:sz w:val="22"/>
                      <w:szCs w:val="22"/>
                      <w:lang w:val="it-IT" w:eastAsia="es-ES"/>
                    </w:rPr>
                  </w:pPr>
                  <w:r w:rsidRPr="0054242A">
                    <w:rPr>
                      <w:rFonts w:ascii="Arial" w:hAnsi="Arial" w:cs="Arial"/>
                      <w:i/>
                      <w:spacing w:val="-3"/>
                      <w:sz w:val="22"/>
                      <w:szCs w:val="22"/>
                    </w:rPr>
                    <w:t xml:space="preserve">Por el Contratante: Fondo de Inversión Social de Emergencia (FISE), </w:t>
                  </w:r>
                  <w:r w:rsidRPr="0054242A">
                    <w:rPr>
                      <w:rFonts w:ascii="Arial" w:hAnsi="Arial" w:cs="Arial"/>
                      <w:sz w:val="22"/>
                      <w:szCs w:val="22"/>
                      <w:lang w:val="es-ES" w:eastAsia="es-ES"/>
                    </w:rPr>
                    <w:t>Contiguo a la Clínica Tiscapa, Altamira D´este.</w:t>
                  </w:r>
                  <w:r w:rsidRPr="0054242A">
                    <w:rPr>
                      <w:rFonts w:ascii="Arial" w:hAnsi="Arial" w:cs="Arial"/>
                      <w:i/>
                      <w:spacing w:val="-3"/>
                      <w:sz w:val="22"/>
                      <w:szCs w:val="22"/>
                    </w:rPr>
                    <w:t xml:space="preserve"> Managua, Nicaragua, Teléfono:  2278-1664 correos electrónicos:</w:t>
                  </w:r>
                  <w:r w:rsidRPr="0054242A">
                    <w:rPr>
                      <w:rFonts w:ascii="Arial" w:hAnsi="Arial" w:cs="Arial"/>
                      <w:sz w:val="22"/>
                      <w:szCs w:val="22"/>
                      <w:lang w:val="it-IT" w:eastAsia="es-ES"/>
                    </w:rPr>
                    <w:t xml:space="preserve"> </w:t>
                  </w:r>
                  <w:hyperlink r:id="rId74" w:history="1">
                    <w:r w:rsidRPr="0054242A">
                      <w:rPr>
                        <w:rStyle w:val="Hipervnculo"/>
                        <w:rFonts w:ascii="Arial" w:hAnsi="Arial" w:cs="Arial"/>
                        <w:color w:val="auto"/>
                        <w:sz w:val="22"/>
                        <w:szCs w:val="22"/>
                        <w:lang w:val="it-IT" w:eastAsia="es-ES"/>
                      </w:rPr>
                      <w:t>AJLacayo</w:t>
                    </w:r>
                    <w:r w:rsidRPr="0054242A">
                      <w:rPr>
                        <w:rStyle w:val="Hipervnculo"/>
                        <w:rFonts w:ascii="Arial" w:hAnsi="Arial" w:cs="Arial"/>
                        <w:color w:val="auto"/>
                        <w:sz w:val="22"/>
                        <w:szCs w:val="22"/>
                        <w:lang w:val="es-ES" w:eastAsia="es-ES"/>
                      </w:rPr>
                      <w:t>@fise.gob.ni</w:t>
                    </w:r>
                  </w:hyperlink>
                </w:p>
                <w:p w14:paraId="19237C73" w14:textId="77777777" w:rsidR="004307E6" w:rsidRPr="0054242A" w:rsidRDefault="004307E6" w:rsidP="008F02F4">
                  <w:pPr>
                    <w:rPr>
                      <w:rFonts w:ascii="Arial" w:hAnsi="Arial" w:cs="Arial"/>
                      <w:sz w:val="22"/>
                      <w:szCs w:val="22"/>
                      <w:lang w:val="it-IT" w:eastAsia="es-ES"/>
                    </w:rPr>
                  </w:pPr>
                </w:p>
                <w:p w14:paraId="016A0A2B" w14:textId="77777777" w:rsidR="004307E6" w:rsidRPr="0054242A" w:rsidRDefault="004307E6" w:rsidP="008F02F4">
                  <w:pPr>
                    <w:pStyle w:val="Default"/>
                    <w:jc w:val="both"/>
                    <w:rPr>
                      <w:rFonts w:ascii="Arial" w:hAnsi="Arial" w:cs="Arial"/>
                      <w:color w:val="auto"/>
                      <w:sz w:val="22"/>
                      <w:szCs w:val="22"/>
                      <w:lang w:val="es-ES" w:eastAsia="es-ES"/>
                    </w:rPr>
                  </w:pPr>
                  <w:r w:rsidRPr="0054242A">
                    <w:rPr>
                      <w:rFonts w:ascii="Arial" w:hAnsi="Arial" w:cs="Arial"/>
                      <w:color w:val="auto"/>
                      <w:sz w:val="22"/>
                      <w:szCs w:val="22"/>
                    </w:rPr>
                    <w:t xml:space="preserve">Por el Contratista: </w:t>
                  </w:r>
                  <w:r w:rsidRPr="007174B2">
                    <w:rPr>
                      <w:rFonts w:ascii="Arial" w:hAnsi="Arial" w:cs="Arial"/>
                      <w:color w:val="FF0000"/>
                      <w:sz w:val="22"/>
                      <w:szCs w:val="22"/>
                    </w:rPr>
                    <w:t>A incorporarse post adjudicación</w:t>
                  </w:r>
                  <w:r w:rsidRPr="0054242A">
                    <w:rPr>
                      <w:rFonts w:ascii="Arial" w:hAnsi="Arial" w:cs="Arial"/>
                      <w:color w:val="auto"/>
                      <w:sz w:val="22"/>
                      <w:szCs w:val="22"/>
                    </w:rPr>
                    <w:t xml:space="preserve">. </w:t>
                  </w:r>
                </w:p>
              </w:tc>
            </w:tr>
            <w:tr w:rsidR="004307E6" w14:paraId="5C6F4FAF" w14:textId="77777777" w:rsidTr="008F02F4">
              <w:trPr>
                <w:trHeight w:val="78"/>
              </w:trPr>
              <w:tc>
                <w:tcPr>
                  <w:tcW w:w="7797" w:type="dxa"/>
                </w:tcPr>
                <w:p w14:paraId="23C52027" w14:textId="77777777" w:rsidR="004307E6" w:rsidRPr="0054242A" w:rsidRDefault="004307E6" w:rsidP="008F02F4">
                  <w:pPr>
                    <w:rPr>
                      <w:rFonts w:ascii="Arial" w:hAnsi="Arial" w:cs="Arial"/>
                      <w:sz w:val="22"/>
                      <w:szCs w:val="22"/>
                      <w:lang w:val="es-ES" w:eastAsia="es-ES"/>
                    </w:rPr>
                  </w:pPr>
                </w:p>
              </w:tc>
            </w:tr>
            <w:tr w:rsidR="004307E6" w14:paraId="08C6E529" w14:textId="77777777" w:rsidTr="008F02F4">
              <w:trPr>
                <w:trHeight w:val="83"/>
              </w:trPr>
              <w:tc>
                <w:tcPr>
                  <w:tcW w:w="7797" w:type="dxa"/>
                </w:tcPr>
                <w:p w14:paraId="3550CC69" w14:textId="77777777" w:rsidR="004307E6" w:rsidRDefault="004307E6" w:rsidP="008F02F4">
                  <w:pPr>
                    <w:rPr>
                      <w:rFonts w:ascii="Courier New" w:hAnsi="Courier New" w:cs="Courier New"/>
                      <w:szCs w:val="24"/>
                      <w:lang w:val="es-ES" w:eastAsia="es-ES"/>
                    </w:rPr>
                  </w:pPr>
                </w:p>
                <w:p w14:paraId="77BE97D5" w14:textId="77777777" w:rsidR="004307E6" w:rsidRDefault="004307E6" w:rsidP="008F02F4">
                  <w:pPr>
                    <w:rPr>
                      <w:rFonts w:ascii="Courier New" w:hAnsi="Courier New" w:cs="Courier New"/>
                      <w:szCs w:val="24"/>
                      <w:lang w:val="es-ES" w:eastAsia="es-ES"/>
                    </w:rPr>
                  </w:pPr>
                </w:p>
                <w:p w14:paraId="65D3AF5A" w14:textId="77777777" w:rsidR="004307E6" w:rsidRDefault="004307E6" w:rsidP="008F02F4">
                  <w:pPr>
                    <w:rPr>
                      <w:rFonts w:ascii="Courier New" w:hAnsi="Courier New" w:cs="Courier New"/>
                      <w:szCs w:val="24"/>
                      <w:lang w:val="es-ES" w:eastAsia="es-ES"/>
                    </w:rPr>
                  </w:pPr>
                </w:p>
                <w:p w14:paraId="04FAFBF8" w14:textId="77777777" w:rsidR="004307E6" w:rsidRDefault="004307E6" w:rsidP="008F02F4">
                  <w:pPr>
                    <w:rPr>
                      <w:rFonts w:ascii="Courier New" w:hAnsi="Courier New" w:cs="Courier New"/>
                      <w:szCs w:val="24"/>
                      <w:lang w:val="es-ES" w:eastAsia="es-ES"/>
                    </w:rPr>
                  </w:pPr>
                </w:p>
                <w:p w14:paraId="2BA11EA1" w14:textId="77777777" w:rsidR="004307E6" w:rsidRDefault="004307E6" w:rsidP="008F02F4">
                  <w:pPr>
                    <w:rPr>
                      <w:rFonts w:ascii="Courier New" w:hAnsi="Courier New" w:cs="Courier New"/>
                      <w:szCs w:val="24"/>
                      <w:lang w:val="es-ES" w:eastAsia="es-ES"/>
                    </w:rPr>
                  </w:pPr>
                </w:p>
                <w:p w14:paraId="5F20CF8B" w14:textId="77777777" w:rsidR="004307E6" w:rsidRDefault="004307E6" w:rsidP="008F02F4">
                  <w:pPr>
                    <w:rPr>
                      <w:rFonts w:ascii="Courier New" w:hAnsi="Courier New" w:cs="Courier New"/>
                      <w:szCs w:val="24"/>
                      <w:lang w:val="es-ES" w:eastAsia="es-ES"/>
                    </w:rPr>
                  </w:pPr>
                </w:p>
              </w:tc>
            </w:tr>
          </w:tbl>
          <w:p w14:paraId="51520B51" w14:textId="77777777" w:rsidR="004307E6" w:rsidRPr="00142AD5" w:rsidRDefault="004307E6" w:rsidP="008F02F4">
            <w:pPr>
              <w:spacing w:before="60" w:after="60"/>
              <w:rPr>
                <w:rFonts w:ascii="Arial" w:hAnsi="Arial" w:cs="Arial"/>
                <w:i/>
                <w:color w:val="FF0000"/>
                <w:spacing w:val="-3"/>
                <w:sz w:val="22"/>
                <w:szCs w:val="22"/>
              </w:rPr>
            </w:pPr>
          </w:p>
        </w:tc>
      </w:tr>
      <w:tr w:rsidR="004307E6" w:rsidRPr="00142AD5" w14:paraId="3D253186" w14:textId="77777777" w:rsidTr="008F02F4">
        <w:tc>
          <w:tcPr>
            <w:tcW w:w="990" w:type="dxa"/>
            <w:shd w:val="clear" w:color="auto" w:fill="auto"/>
          </w:tcPr>
          <w:p w14:paraId="4C30CC9F" w14:textId="77777777" w:rsidR="004307E6" w:rsidRPr="00524546" w:rsidRDefault="004307E6" w:rsidP="008F02F4">
            <w:pPr>
              <w:spacing w:before="60" w:after="60"/>
              <w:jc w:val="center"/>
              <w:rPr>
                <w:rFonts w:ascii="Arial" w:hAnsi="Arial" w:cs="Arial"/>
                <w:b/>
                <w:bCs/>
                <w:sz w:val="22"/>
                <w:szCs w:val="22"/>
                <w:highlight w:val="green"/>
              </w:rPr>
            </w:pPr>
            <w:r w:rsidRPr="00524546">
              <w:rPr>
                <w:rFonts w:ascii="Arial" w:hAnsi="Arial" w:cs="Arial"/>
                <w:b/>
                <w:bCs/>
                <w:sz w:val="22"/>
                <w:szCs w:val="22"/>
                <w:highlight w:val="green"/>
              </w:rPr>
              <w:lastRenderedPageBreak/>
              <w:t>18.1</w:t>
            </w:r>
          </w:p>
        </w:tc>
        <w:tc>
          <w:tcPr>
            <w:tcW w:w="8370" w:type="dxa"/>
            <w:shd w:val="clear" w:color="auto" w:fill="auto"/>
          </w:tcPr>
          <w:p w14:paraId="0726C7BB" w14:textId="77777777" w:rsidR="004307E6" w:rsidRPr="00524546" w:rsidRDefault="004307E6" w:rsidP="008F02F4">
            <w:pPr>
              <w:spacing w:before="60" w:after="60"/>
              <w:rPr>
                <w:rFonts w:ascii="Arial" w:hAnsi="Arial" w:cs="Arial"/>
                <w:b/>
                <w:i/>
                <w:sz w:val="22"/>
                <w:szCs w:val="22"/>
                <w:highlight w:val="green"/>
              </w:rPr>
            </w:pPr>
            <w:r w:rsidRPr="00524546">
              <w:rPr>
                <w:rFonts w:ascii="Arial" w:hAnsi="Arial" w:cs="Arial"/>
                <w:spacing w:val="-3"/>
                <w:sz w:val="22"/>
                <w:szCs w:val="22"/>
                <w:highlight w:val="green"/>
              </w:rPr>
              <w:t xml:space="preserve">Lista de Otros Contratistas </w:t>
            </w:r>
            <w:r w:rsidRPr="00524546">
              <w:rPr>
                <w:rFonts w:ascii="Arial" w:hAnsi="Arial" w:cs="Arial"/>
                <w:b/>
                <w:spacing w:val="-3"/>
                <w:sz w:val="22"/>
                <w:szCs w:val="22"/>
                <w:highlight w:val="green"/>
              </w:rPr>
              <w:t>No Aplica</w:t>
            </w:r>
          </w:p>
          <w:p w14:paraId="75C90DD9" w14:textId="77777777" w:rsidR="004307E6" w:rsidRPr="00524546" w:rsidRDefault="004307E6" w:rsidP="008F02F4">
            <w:pPr>
              <w:spacing w:before="60" w:after="60"/>
              <w:rPr>
                <w:rFonts w:ascii="Arial" w:hAnsi="Arial" w:cs="Arial"/>
                <w:i/>
                <w:iCs/>
                <w:spacing w:val="-3"/>
                <w:sz w:val="22"/>
                <w:szCs w:val="22"/>
                <w:highlight w:val="green"/>
              </w:rPr>
            </w:pPr>
          </w:p>
        </w:tc>
      </w:tr>
      <w:tr w:rsidR="004307E6" w:rsidRPr="00142AD5" w14:paraId="125577DA" w14:textId="77777777" w:rsidTr="008F02F4">
        <w:tc>
          <w:tcPr>
            <w:tcW w:w="990" w:type="dxa"/>
          </w:tcPr>
          <w:p w14:paraId="56E9A68A"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21.1</w:t>
            </w:r>
          </w:p>
        </w:tc>
        <w:tc>
          <w:tcPr>
            <w:tcW w:w="8370" w:type="dxa"/>
          </w:tcPr>
          <w:p w14:paraId="5CA6D333" w14:textId="77777777" w:rsidR="004307E6" w:rsidRDefault="004307E6" w:rsidP="008F02F4">
            <w:pPr>
              <w:spacing w:before="60" w:after="60"/>
              <w:rPr>
                <w:rFonts w:ascii="Arial" w:hAnsi="Arial" w:cs="Arial"/>
                <w:spacing w:val="-3"/>
                <w:sz w:val="22"/>
                <w:szCs w:val="22"/>
              </w:rPr>
            </w:pPr>
            <w:r w:rsidRPr="00142AD5">
              <w:rPr>
                <w:rFonts w:ascii="Arial" w:hAnsi="Arial" w:cs="Arial"/>
                <w:spacing w:val="-3"/>
                <w:sz w:val="22"/>
                <w:szCs w:val="22"/>
              </w:rPr>
              <w:t xml:space="preserve">Las coberturas mínimas de seguros y los deducibles serán: </w:t>
            </w:r>
          </w:p>
          <w:p w14:paraId="070127EB" w14:textId="77777777" w:rsidR="004307E6" w:rsidRPr="00344818" w:rsidRDefault="004307E6" w:rsidP="008F02F4">
            <w:pPr>
              <w:numPr>
                <w:ilvl w:val="0"/>
                <w:numId w:val="111"/>
              </w:numPr>
              <w:spacing w:before="100" w:after="100"/>
              <w:rPr>
                <w:rFonts w:ascii="Arial" w:hAnsi="Arial" w:cs="Arial"/>
                <w:spacing w:val="-3"/>
                <w:sz w:val="22"/>
                <w:szCs w:val="22"/>
              </w:rPr>
            </w:pPr>
            <w:r w:rsidRPr="00344818">
              <w:rPr>
                <w:rFonts w:ascii="Arial" w:hAnsi="Arial" w:cs="Arial"/>
                <w:spacing w:val="-3"/>
                <w:sz w:val="22"/>
                <w:szCs w:val="22"/>
              </w:rPr>
              <w:t>Seguro de “Todo Riesgo de Construcción” con un monto total de suma asegurada del 100% del valor del contrato.</w:t>
            </w:r>
          </w:p>
          <w:p w14:paraId="5265146C" w14:textId="77777777" w:rsidR="004307E6" w:rsidRPr="00344818" w:rsidRDefault="004307E6" w:rsidP="008F02F4">
            <w:pPr>
              <w:numPr>
                <w:ilvl w:val="0"/>
                <w:numId w:val="111"/>
              </w:numPr>
              <w:spacing w:before="100" w:after="100"/>
              <w:rPr>
                <w:rFonts w:ascii="Arial" w:hAnsi="Arial" w:cs="Arial"/>
                <w:spacing w:val="-3"/>
                <w:sz w:val="22"/>
                <w:szCs w:val="22"/>
              </w:rPr>
            </w:pPr>
            <w:r w:rsidRPr="00344818">
              <w:rPr>
                <w:rFonts w:ascii="Arial" w:hAnsi="Arial" w:cs="Arial"/>
                <w:spacing w:val="-3"/>
                <w:sz w:val="22"/>
                <w:szCs w:val="22"/>
              </w:rPr>
              <w:t xml:space="preserve"> Seguro de “Responsabilidad Civil” con un monto total de suma asegurada del 5% del valor del contrato.</w:t>
            </w:r>
          </w:p>
          <w:p w14:paraId="0ACD59F7" w14:textId="77777777" w:rsidR="004307E6" w:rsidRPr="00344818" w:rsidRDefault="004307E6" w:rsidP="008F02F4">
            <w:pPr>
              <w:tabs>
                <w:tab w:val="left" w:pos="567"/>
              </w:tabs>
              <w:spacing w:before="100" w:after="100"/>
              <w:rPr>
                <w:rFonts w:ascii="Arial" w:hAnsi="Arial" w:cs="Arial"/>
                <w:spacing w:val="-3"/>
                <w:sz w:val="22"/>
                <w:szCs w:val="22"/>
                <w:lang w:val="es-CO"/>
              </w:rPr>
            </w:pPr>
            <w:r w:rsidRPr="00344818">
              <w:rPr>
                <w:rFonts w:ascii="Arial" w:hAnsi="Arial" w:cs="Arial"/>
                <w:spacing w:val="-3"/>
                <w:sz w:val="22"/>
                <w:szCs w:val="22"/>
                <w:lang w:val="es-CO"/>
              </w:rPr>
              <w:t xml:space="preserve">El Contratista deberá contratar conjuntamente, a nombre del Contratista y del Contratante, dichos seguros para cubrir pérdidas o daños materiales por una </w:t>
            </w:r>
            <w:r w:rsidRPr="00E47B7C">
              <w:rPr>
                <w:rFonts w:ascii="Arial" w:hAnsi="Arial" w:cs="Arial"/>
                <w:b/>
                <w:spacing w:val="-3"/>
                <w:sz w:val="22"/>
                <w:szCs w:val="22"/>
                <w:lang w:val="es-CO"/>
              </w:rPr>
              <w:t>vigencia de 500 días calendario contados a partir de la firma de contrato</w:t>
            </w:r>
            <w:r w:rsidRPr="00E47B7C">
              <w:rPr>
                <w:rFonts w:ascii="Arial" w:hAnsi="Arial" w:cs="Arial"/>
                <w:spacing w:val="-3"/>
                <w:sz w:val="22"/>
                <w:szCs w:val="22"/>
                <w:lang w:val="es-CO"/>
              </w:rPr>
              <w:t>.</w:t>
            </w:r>
            <w:r w:rsidRPr="00344818">
              <w:rPr>
                <w:rFonts w:ascii="Arial" w:hAnsi="Arial" w:cs="Arial"/>
                <w:spacing w:val="-3"/>
                <w:sz w:val="22"/>
                <w:szCs w:val="22"/>
                <w:lang w:val="es-CO"/>
              </w:rPr>
              <w:t xml:space="preserve"> Para el FISE no aplican los deducibles de los seguros.</w:t>
            </w:r>
          </w:p>
          <w:p w14:paraId="03010D56" w14:textId="77777777" w:rsidR="004307E6" w:rsidRPr="00142AD5" w:rsidRDefault="004307E6" w:rsidP="008F02F4">
            <w:pPr>
              <w:spacing w:before="60" w:after="60"/>
              <w:rPr>
                <w:rFonts w:ascii="Arial" w:hAnsi="Arial" w:cs="Arial"/>
                <w:spacing w:val="-3"/>
                <w:sz w:val="22"/>
                <w:szCs w:val="22"/>
              </w:rPr>
            </w:pPr>
            <w:r w:rsidRPr="00344818">
              <w:rPr>
                <w:rFonts w:ascii="Arial" w:hAnsi="Arial" w:cs="Arial"/>
                <w:spacing w:val="-3"/>
                <w:sz w:val="22"/>
                <w:szCs w:val="22"/>
              </w:rPr>
              <w:t>Estos seguros deberán permanecer vigentes durante la ejecución de la obra, pudiéndose prorrogar en caso necesario. Cuando haya variaciones en el monto del contrato, los Seguros deberán ser corregidos en la proporción correspondiente</w:t>
            </w:r>
          </w:p>
          <w:p w14:paraId="5A693CFC" w14:textId="77777777" w:rsidR="004307E6" w:rsidRPr="00142AD5" w:rsidRDefault="004307E6" w:rsidP="008F02F4">
            <w:pPr>
              <w:pStyle w:val="Outline"/>
              <w:spacing w:before="60" w:after="60"/>
              <w:ind w:left="432" w:hanging="432"/>
              <w:rPr>
                <w:rFonts w:ascii="Arial" w:hAnsi="Arial" w:cs="Arial"/>
                <w:i/>
                <w:iCs/>
                <w:spacing w:val="-3"/>
                <w:kern w:val="0"/>
                <w:sz w:val="22"/>
                <w:szCs w:val="22"/>
              </w:rPr>
            </w:pPr>
          </w:p>
        </w:tc>
      </w:tr>
      <w:tr w:rsidR="004307E6" w:rsidRPr="00142AD5" w14:paraId="27C0162E" w14:textId="77777777" w:rsidTr="008F02F4">
        <w:tc>
          <w:tcPr>
            <w:tcW w:w="990" w:type="dxa"/>
          </w:tcPr>
          <w:p w14:paraId="73E3AAAD" w14:textId="77777777" w:rsidR="004307E6" w:rsidRPr="005E2918" w:rsidRDefault="004307E6" w:rsidP="008F02F4">
            <w:pPr>
              <w:spacing w:before="60" w:after="60"/>
              <w:jc w:val="center"/>
              <w:rPr>
                <w:rFonts w:ascii="Arial" w:hAnsi="Arial" w:cs="Arial"/>
                <w:b/>
                <w:bCs/>
                <w:sz w:val="22"/>
                <w:szCs w:val="22"/>
                <w:highlight w:val="green"/>
              </w:rPr>
            </w:pPr>
            <w:r w:rsidRPr="005E2918">
              <w:rPr>
                <w:rFonts w:ascii="Arial" w:hAnsi="Arial" w:cs="Arial"/>
                <w:b/>
                <w:bCs/>
                <w:sz w:val="22"/>
                <w:szCs w:val="22"/>
                <w:highlight w:val="green"/>
              </w:rPr>
              <w:t>22.1</w:t>
            </w:r>
          </w:p>
        </w:tc>
        <w:tc>
          <w:tcPr>
            <w:tcW w:w="8370" w:type="dxa"/>
          </w:tcPr>
          <w:p w14:paraId="0017AFCE" w14:textId="77777777" w:rsidR="004307E6" w:rsidRPr="005E2918" w:rsidRDefault="004307E6" w:rsidP="008F02F4">
            <w:pPr>
              <w:spacing w:before="60" w:after="60"/>
              <w:rPr>
                <w:rFonts w:ascii="Arial" w:hAnsi="Arial" w:cs="Arial"/>
                <w:i/>
                <w:iCs/>
                <w:spacing w:val="-3"/>
                <w:sz w:val="22"/>
                <w:szCs w:val="22"/>
                <w:highlight w:val="green"/>
              </w:rPr>
            </w:pPr>
            <w:r w:rsidRPr="005E2918">
              <w:rPr>
                <w:rFonts w:ascii="Arial" w:hAnsi="Arial" w:cs="Arial"/>
                <w:spacing w:val="-3"/>
                <w:sz w:val="22"/>
                <w:szCs w:val="22"/>
                <w:highlight w:val="green"/>
              </w:rPr>
              <w:t xml:space="preserve">Los Informes de Investigación del Sitio de las Obras están contenida en el informe de investigación de zona de obras, contenidas en la Especificaciones Técnicas Particulares del Proyecto. </w:t>
            </w:r>
          </w:p>
        </w:tc>
      </w:tr>
      <w:tr w:rsidR="004307E6" w:rsidRPr="00142AD5" w14:paraId="299579DF" w14:textId="77777777" w:rsidTr="008F02F4">
        <w:tc>
          <w:tcPr>
            <w:tcW w:w="990" w:type="dxa"/>
            <w:shd w:val="clear" w:color="auto" w:fill="FFFFFF" w:themeFill="background1"/>
          </w:tcPr>
          <w:p w14:paraId="0F1F99DD" w14:textId="77777777" w:rsidR="004307E6" w:rsidRPr="004B7DC9" w:rsidRDefault="004307E6" w:rsidP="008F02F4">
            <w:pPr>
              <w:spacing w:before="120" w:after="120"/>
              <w:jc w:val="center"/>
              <w:rPr>
                <w:rFonts w:ascii="Arial" w:hAnsi="Arial" w:cs="Arial"/>
                <w:b/>
                <w:bCs/>
                <w:sz w:val="22"/>
                <w:szCs w:val="22"/>
                <w:highlight w:val="green"/>
                <w:lang w:val="es-HN"/>
              </w:rPr>
            </w:pPr>
            <w:r w:rsidRPr="004B7DC9">
              <w:rPr>
                <w:rFonts w:ascii="Arial" w:hAnsi="Arial" w:cs="Arial"/>
                <w:b/>
                <w:bCs/>
                <w:sz w:val="22"/>
                <w:szCs w:val="22"/>
                <w:highlight w:val="green"/>
                <w:lang w:val="es-HN"/>
              </w:rPr>
              <w:t>24.1</w:t>
            </w:r>
          </w:p>
        </w:tc>
        <w:tc>
          <w:tcPr>
            <w:tcW w:w="8370" w:type="dxa"/>
            <w:shd w:val="clear" w:color="auto" w:fill="FFFFFF" w:themeFill="background1"/>
          </w:tcPr>
          <w:p w14:paraId="4A5E6869" w14:textId="77777777" w:rsidR="004307E6" w:rsidRPr="004B7DC9" w:rsidRDefault="004307E6" w:rsidP="008F02F4">
            <w:pPr>
              <w:spacing w:before="120" w:after="120"/>
              <w:rPr>
                <w:rFonts w:ascii="Arial" w:hAnsi="Arial" w:cs="Arial"/>
                <w:color w:val="FF0000"/>
                <w:spacing w:val="-3"/>
                <w:sz w:val="22"/>
                <w:szCs w:val="22"/>
                <w:highlight w:val="green"/>
              </w:rPr>
            </w:pPr>
            <w:r>
              <w:rPr>
                <w:rFonts w:ascii="Arial" w:hAnsi="Arial" w:cs="Arial"/>
                <w:spacing w:val="-3"/>
                <w:sz w:val="22"/>
                <w:szCs w:val="22"/>
                <w:highlight w:val="green"/>
              </w:rPr>
              <w:t xml:space="preserve">El monto de la Garantía de Cumplimiento es: </w:t>
            </w:r>
            <w:r w:rsidRPr="004B7DC9">
              <w:rPr>
                <w:rFonts w:ascii="Arial" w:hAnsi="Arial" w:cs="Arial"/>
                <w:b/>
                <w:bCs/>
                <w:color w:val="FF0000"/>
                <w:spacing w:val="-3"/>
                <w:sz w:val="22"/>
                <w:szCs w:val="22"/>
                <w:highlight w:val="green"/>
              </w:rPr>
              <w:t>Nota:</w:t>
            </w:r>
            <w:r w:rsidRPr="004B7DC9">
              <w:rPr>
                <w:rFonts w:ascii="Arial" w:hAnsi="Arial" w:cs="Arial"/>
                <w:i/>
                <w:iCs/>
                <w:color w:val="FF0000"/>
                <w:spacing w:val="-3"/>
                <w:sz w:val="22"/>
                <w:szCs w:val="22"/>
                <w:highlight w:val="green"/>
              </w:rPr>
              <w:t xml:space="preserve"> </w:t>
            </w:r>
            <w:r w:rsidRPr="004B7DC9">
              <w:rPr>
                <w:rFonts w:ascii="Arial" w:hAnsi="Arial" w:cs="Arial"/>
                <w:color w:val="FF0000"/>
                <w:spacing w:val="-3"/>
                <w:sz w:val="22"/>
                <w:szCs w:val="22"/>
                <w:highlight w:val="green"/>
              </w:rPr>
              <w:t>Se incorporará una vez se determine el precio del contrato.</w:t>
            </w:r>
          </w:p>
          <w:p w14:paraId="22D855AB" w14:textId="77777777" w:rsidR="004307E6" w:rsidRDefault="004307E6" w:rsidP="008F02F4">
            <w:pPr>
              <w:spacing w:before="120" w:after="120"/>
              <w:rPr>
                <w:rFonts w:ascii="Arial" w:hAnsi="Arial" w:cs="Arial"/>
                <w:spacing w:val="-3"/>
                <w:sz w:val="22"/>
                <w:szCs w:val="22"/>
                <w:highlight w:val="green"/>
              </w:rPr>
            </w:pPr>
            <w:r>
              <w:rPr>
                <w:rFonts w:ascii="Arial" w:hAnsi="Arial" w:cs="Arial"/>
                <w:spacing w:val="-3"/>
                <w:sz w:val="22"/>
                <w:szCs w:val="22"/>
                <w:highlight w:val="green"/>
              </w:rPr>
              <w:t>Garantía Bancaria:  Diez por ciento del precio del contrato.</w:t>
            </w:r>
          </w:p>
          <w:p w14:paraId="605B4C92" w14:textId="77777777" w:rsidR="004307E6" w:rsidRPr="002A11D8" w:rsidRDefault="004307E6" w:rsidP="008F02F4">
            <w:pPr>
              <w:spacing w:before="120" w:after="120"/>
              <w:rPr>
                <w:rFonts w:ascii="Arial" w:hAnsi="Arial" w:cs="Arial"/>
                <w:sz w:val="22"/>
                <w:szCs w:val="22"/>
                <w:lang w:val="es-HN"/>
              </w:rPr>
            </w:pPr>
            <w:r>
              <w:rPr>
                <w:rFonts w:ascii="Arial" w:hAnsi="Arial" w:cs="Arial"/>
                <w:sz w:val="22"/>
                <w:szCs w:val="22"/>
                <w:highlight w:val="green"/>
                <w:lang w:val="es-ES"/>
              </w:rPr>
              <w:t xml:space="preserve">El Contratista, deberá presentar una Garantía de Ejecución/Cumplimiento por un porcentaje de </w:t>
            </w:r>
            <w:r>
              <w:rPr>
                <w:rFonts w:ascii="Arial" w:hAnsi="Arial" w:cs="Arial"/>
                <w:b/>
                <w:bCs/>
                <w:sz w:val="22"/>
                <w:szCs w:val="22"/>
                <w:highlight w:val="green"/>
                <w:lang w:val="es-HN"/>
              </w:rPr>
              <w:t>10% del precio del contrato</w:t>
            </w:r>
            <w:r>
              <w:rPr>
                <w:rFonts w:ascii="Arial" w:hAnsi="Arial" w:cs="Arial"/>
                <w:sz w:val="22"/>
                <w:szCs w:val="22"/>
                <w:highlight w:val="green"/>
                <w:lang w:val="es-ES"/>
              </w:rPr>
              <w:t xml:space="preserve"> y por un plazo de </w:t>
            </w:r>
            <w:r>
              <w:rPr>
                <w:rFonts w:ascii="Arial" w:hAnsi="Arial" w:cs="Arial"/>
                <w:b/>
                <w:bCs/>
                <w:sz w:val="22"/>
                <w:szCs w:val="22"/>
                <w:highlight w:val="green"/>
                <w:lang w:val="es-HN"/>
              </w:rPr>
              <w:t>500 días calendario contados a partir de la firma de contrato</w:t>
            </w:r>
            <w:r>
              <w:rPr>
                <w:rFonts w:ascii="Arial" w:hAnsi="Arial" w:cs="Arial"/>
                <w:sz w:val="22"/>
                <w:szCs w:val="22"/>
                <w:highlight w:val="green"/>
                <w:lang w:val="es-ES"/>
              </w:rPr>
              <w:t xml:space="preserve">. Esta garantía </w:t>
            </w:r>
            <w:r>
              <w:rPr>
                <w:rFonts w:ascii="Arial" w:hAnsi="Arial" w:cs="Arial"/>
                <w:b/>
                <w:bCs/>
                <w:sz w:val="22"/>
                <w:szCs w:val="22"/>
                <w:highlight w:val="green"/>
                <w:lang w:val="es-HN"/>
              </w:rPr>
              <w:t>deberá ser tipo “bancaria”</w:t>
            </w:r>
            <w:r>
              <w:rPr>
                <w:rFonts w:ascii="Arial" w:hAnsi="Arial" w:cs="Arial"/>
                <w:sz w:val="22"/>
                <w:szCs w:val="22"/>
                <w:highlight w:val="green"/>
                <w:lang w:val="es-HN"/>
              </w:rPr>
              <w:t xml:space="preserve">, a primer requerimiento y de fácil ejecución, que sea irrevocable, incondicional y de pago inmediato contra simple requerimiento del beneficiario, emitida por </w:t>
            </w:r>
            <w:r>
              <w:rPr>
                <w:rFonts w:ascii="Arial" w:hAnsi="Arial" w:cs="Arial"/>
                <w:sz w:val="22"/>
                <w:szCs w:val="22"/>
                <w:highlight w:val="green"/>
              </w:rPr>
              <w:t xml:space="preserve">una entidad autorizada por la Superintendencia de bancos y otras instituciones financieras (SIBOIF) </w:t>
            </w:r>
            <w:r>
              <w:rPr>
                <w:rFonts w:ascii="Arial" w:hAnsi="Arial" w:cs="Arial"/>
                <w:spacing w:val="-3"/>
                <w:sz w:val="22"/>
                <w:szCs w:val="22"/>
                <w:highlight w:val="green"/>
              </w:rPr>
              <w:t>y deberá ser presentada dentro</w:t>
            </w:r>
            <w:r>
              <w:rPr>
                <w:rFonts w:ascii="Arial" w:hAnsi="Arial" w:cs="Arial"/>
                <w:sz w:val="22"/>
                <w:szCs w:val="22"/>
                <w:highlight w:val="green"/>
                <w:lang w:val="es-ES"/>
              </w:rPr>
              <w:t xml:space="preserve"> de los 15 días hábiles posteriores a la recepción de la Carta de Aceptación, a más tardar el día de firma de contrato. de conformidad con el Clausula 24.1 de las CGC. La Garantía de Ejecución/Cumplimiento deberá permanecer vigente durante la ejecución de la obra, pudiéndose</w:t>
            </w:r>
            <w:r>
              <w:rPr>
                <w:rFonts w:ascii="Arial" w:hAnsi="Arial" w:cs="Arial"/>
                <w:sz w:val="22"/>
                <w:szCs w:val="22"/>
                <w:highlight w:val="green"/>
              </w:rPr>
              <w:t xml:space="preserve"> prorrogar en caso necesario. </w:t>
            </w:r>
            <w:r>
              <w:rPr>
                <w:rFonts w:ascii="Arial" w:hAnsi="Arial" w:cs="Arial"/>
                <w:sz w:val="22"/>
                <w:szCs w:val="22"/>
                <w:highlight w:val="green"/>
                <w:lang w:val="es-ES"/>
              </w:rPr>
              <w:t>Cuando haya variaciones en el monto del contrato, la garantía deberá ser enmendada en la proporción correspondiente.</w:t>
            </w:r>
          </w:p>
        </w:tc>
      </w:tr>
      <w:tr w:rsidR="004307E6" w:rsidRPr="00142AD5" w14:paraId="253DA4B6" w14:textId="77777777" w:rsidTr="008F02F4">
        <w:tc>
          <w:tcPr>
            <w:tcW w:w="990" w:type="dxa"/>
            <w:shd w:val="clear" w:color="auto" w:fill="auto"/>
          </w:tcPr>
          <w:p w14:paraId="66712B03" w14:textId="77777777" w:rsidR="004307E6" w:rsidRPr="00C003D4" w:rsidRDefault="004307E6" w:rsidP="008F02F4">
            <w:pPr>
              <w:spacing w:before="60" w:after="60"/>
              <w:jc w:val="center"/>
              <w:rPr>
                <w:rFonts w:ascii="Arial" w:hAnsi="Arial" w:cs="Arial"/>
                <w:b/>
                <w:bCs/>
                <w:sz w:val="22"/>
                <w:szCs w:val="22"/>
                <w:highlight w:val="green"/>
              </w:rPr>
            </w:pPr>
            <w:r w:rsidRPr="00C003D4">
              <w:rPr>
                <w:rFonts w:ascii="Arial" w:hAnsi="Arial" w:cs="Arial"/>
                <w:b/>
                <w:bCs/>
                <w:sz w:val="22"/>
                <w:szCs w:val="22"/>
                <w:highlight w:val="green"/>
              </w:rPr>
              <w:t>25.1</w:t>
            </w:r>
          </w:p>
        </w:tc>
        <w:tc>
          <w:tcPr>
            <w:tcW w:w="8370" w:type="dxa"/>
            <w:shd w:val="clear" w:color="auto" w:fill="auto"/>
          </w:tcPr>
          <w:p w14:paraId="1E8C0B7A" w14:textId="77777777" w:rsidR="004307E6" w:rsidRDefault="004307E6" w:rsidP="008F02F4">
            <w:pPr>
              <w:spacing w:before="60" w:after="60"/>
              <w:rPr>
                <w:rFonts w:ascii="Arial" w:hAnsi="Arial" w:cs="Arial"/>
                <w:spacing w:val="-3"/>
                <w:sz w:val="22"/>
                <w:szCs w:val="22"/>
                <w:highlight w:val="green"/>
              </w:rPr>
            </w:pPr>
            <w:r w:rsidRPr="00C003D4">
              <w:rPr>
                <w:rFonts w:ascii="Arial" w:hAnsi="Arial" w:cs="Arial"/>
                <w:spacing w:val="-3"/>
                <w:sz w:val="22"/>
                <w:szCs w:val="22"/>
                <w:highlight w:val="green"/>
              </w:rPr>
              <w:t xml:space="preserve">La (s) fecha (s) de Toma de Posesión del Sitio de las Obras será:  15 días calendario a partir de la firma del contrato.  </w:t>
            </w:r>
          </w:p>
          <w:p w14:paraId="7DA104AF" w14:textId="77777777" w:rsidR="004307E6" w:rsidRPr="00755FCC" w:rsidRDefault="004307E6" w:rsidP="008F02F4">
            <w:pPr>
              <w:spacing w:before="240" w:after="240"/>
              <w:rPr>
                <w:rFonts w:ascii="Arial" w:hAnsi="Arial" w:cs="Arial"/>
                <w:i/>
                <w:iCs/>
                <w:spacing w:val="-3"/>
                <w:sz w:val="22"/>
                <w:szCs w:val="22"/>
                <w:highlight w:val="green"/>
              </w:rPr>
            </w:pPr>
          </w:p>
        </w:tc>
      </w:tr>
      <w:tr w:rsidR="004307E6" w:rsidRPr="00142AD5" w14:paraId="1CA503BC" w14:textId="77777777" w:rsidTr="008F02F4">
        <w:tc>
          <w:tcPr>
            <w:tcW w:w="990" w:type="dxa"/>
          </w:tcPr>
          <w:p w14:paraId="48E4ACC3" w14:textId="77777777" w:rsidR="004307E6" w:rsidRPr="003F2BE2" w:rsidRDefault="004307E6" w:rsidP="008F02F4">
            <w:pPr>
              <w:spacing w:before="60" w:after="60"/>
              <w:jc w:val="center"/>
              <w:rPr>
                <w:rFonts w:ascii="Arial" w:hAnsi="Arial" w:cs="Arial"/>
                <w:b/>
                <w:bCs/>
                <w:sz w:val="22"/>
                <w:szCs w:val="22"/>
              </w:rPr>
            </w:pPr>
            <w:r w:rsidRPr="003F2BE2">
              <w:rPr>
                <w:rFonts w:ascii="Arial" w:hAnsi="Arial" w:cs="Arial"/>
                <w:b/>
                <w:bCs/>
                <w:sz w:val="22"/>
                <w:szCs w:val="22"/>
              </w:rPr>
              <w:lastRenderedPageBreak/>
              <w:t>25.2</w:t>
            </w:r>
          </w:p>
        </w:tc>
        <w:tc>
          <w:tcPr>
            <w:tcW w:w="8370" w:type="dxa"/>
          </w:tcPr>
          <w:p w14:paraId="07C49C18" w14:textId="77777777" w:rsidR="004307E6" w:rsidRPr="003F2BE2" w:rsidRDefault="004307E6" w:rsidP="008F02F4">
            <w:pPr>
              <w:spacing w:before="60" w:after="60"/>
              <w:rPr>
                <w:rFonts w:ascii="Arial" w:hAnsi="Arial" w:cs="Arial"/>
                <w:spacing w:val="-3"/>
                <w:sz w:val="22"/>
                <w:szCs w:val="22"/>
              </w:rPr>
            </w:pPr>
            <w:r w:rsidRPr="003F2BE2">
              <w:rPr>
                <w:rFonts w:ascii="Arial" w:hAnsi="Arial" w:cs="Arial"/>
                <w:spacing w:val="-3"/>
                <w:sz w:val="22"/>
                <w:szCs w:val="22"/>
              </w:rPr>
              <w:t xml:space="preserve">El plazo estipulado para la obtención del acceso a terrenos que excedan el sitio de la obra y no sean de carácter público, así como la presentación al Gerente de Obra de los </w:t>
            </w:r>
            <w:r w:rsidRPr="009204E2">
              <w:rPr>
                <w:rFonts w:ascii="Arial" w:hAnsi="Arial" w:cs="Arial"/>
                <w:spacing w:val="-3"/>
                <w:sz w:val="22"/>
                <w:szCs w:val="22"/>
              </w:rPr>
              <w:t>permisos correspondientes será de treinta días calendarios a partir de la firma del contrato.</w:t>
            </w:r>
            <w:r w:rsidRPr="003F2BE2">
              <w:rPr>
                <w:rFonts w:ascii="Arial" w:hAnsi="Arial" w:cs="Arial"/>
                <w:spacing w:val="-3"/>
                <w:sz w:val="22"/>
                <w:szCs w:val="22"/>
              </w:rPr>
              <w:t xml:space="preserve">  </w:t>
            </w:r>
          </w:p>
        </w:tc>
      </w:tr>
      <w:tr w:rsidR="004307E6" w:rsidRPr="00142AD5" w14:paraId="2C6B63CE" w14:textId="77777777" w:rsidTr="008F02F4">
        <w:tc>
          <w:tcPr>
            <w:tcW w:w="990" w:type="dxa"/>
          </w:tcPr>
          <w:p w14:paraId="018D13ED" w14:textId="77777777" w:rsidR="004307E6" w:rsidRPr="009204E2" w:rsidRDefault="004307E6" w:rsidP="008F02F4">
            <w:pPr>
              <w:spacing w:before="60" w:after="60"/>
              <w:jc w:val="center"/>
              <w:rPr>
                <w:rFonts w:ascii="Arial" w:hAnsi="Arial" w:cs="Arial"/>
                <w:b/>
                <w:bCs/>
                <w:sz w:val="22"/>
                <w:szCs w:val="22"/>
              </w:rPr>
            </w:pPr>
            <w:r w:rsidRPr="009204E2">
              <w:rPr>
                <w:rFonts w:ascii="Arial" w:hAnsi="Arial" w:cs="Arial"/>
                <w:b/>
                <w:bCs/>
                <w:sz w:val="22"/>
                <w:szCs w:val="22"/>
              </w:rPr>
              <w:t>27.1</w:t>
            </w:r>
          </w:p>
        </w:tc>
        <w:tc>
          <w:tcPr>
            <w:tcW w:w="8370" w:type="dxa"/>
          </w:tcPr>
          <w:p w14:paraId="1C42094C" w14:textId="77777777" w:rsidR="004307E6" w:rsidRPr="009204E2" w:rsidRDefault="004307E6" w:rsidP="008F02F4">
            <w:pPr>
              <w:spacing w:before="60" w:after="60"/>
              <w:rPr>
                <w:rFonts w:ascii="Arial" w:hAnsi="Arial" w:cs="Arial"/>
                <w:spacing w:val="-3"/>
                <w:sz w:val="22"/>
                <w:szCs w:val="22"/>
              </w:rPr>
            </w:pPr>
            <w:r w:rsidRPr="009204E2">
              <w:rPr>
                <w:rFonts w:ascii="Arial" w:hAnsi="Arial" w:cs="Arial"/>
                <w:spacing w:val="-3"/>
                <w:sz w:val="22"/>
                <w:szCs w:val="22"/>
              </w:rPr>
              <w:t>El Contratista deberá tomar todas las medidas requeridas para proteger el medio ambiente establecidas en</w:t>
            </w:r>
            <w:r w:rsidRPr="009204E2">
              <w:rPr>
                <w:rFonts w:ascii="Arial" w:hAnsi="Arial" w:cs="Arial"/>
                <w:sz w:val="22"/>
                <w:szCs w:val="22"/>
              </w:rPr>
              <w:t xml:space="preserve"> la Autorización Ambiental establecida en resolución administrativa emitida por autoridad correspondiente. </w:t>
            </w:r>
          </w:p>
        </w:tc>
      </w:tr>
      <w:tr w:rsidR="004307E6" w:rsidRPr="00142AD5" w14:paraId="18C014E8" w14:textId="77777777" w:rsidTr="008F02F4">
        <w:tc>
          <w:tcPr>
            <w:tcW w:w="990" w:type="dxa"/>
          </w:tcPr>
          <w:p w14:paraId="2EE0A7D9" w14:textId="77777777" w:rsidR="004307E6" w:rsidRPr="00DC5ECB" w:rsidRDefault="004307E6" w:rsidP="008F02F4">
            <w:pPr>
              <w:spacing w:before="60" w:after="60"/>
              <w:jc w:val="center"/>
              <w:rPr>
                <w:rFonts w:ascii="Arial" w:hAnsi="Arial" w:cs="Arial"/>
                <w:b/>
                <w:bCs/>
                <w:sz w:val="22"/>
                <w:szCs w:val="22"/>
              </w:rPr>
            </w:pPr>
            <w:r w:rsidRPr="00DC5ECB">
              <w:rPr>
                <w:rFonts w:ascii="Arial" w:hAnsi="Arial" w:cs="Arial"/>
                <w:b/>
                <w:bCs/>
                <w:sz w:val="22"/>
                <w:szCs w:val="22"/>
              </w:rPr>
              <w:t>32.3</w:t>
            </w:r>
          </w:p>
        </w:tc>
        <w:tc>
          <w:tcPr>
            <w:tcW w:w="8370" w:type="dxa"/>
          </w:tcPr>
          <w:p w14:paraId="7B93EF08" w14:textId="77777777" w:rsidR="004307E6" w:rsidRPr="00DC5ECB" w:rsidRDefault="004307E6" w:rsidP="008F02F4">
            <w:pPr>
              <w:spacing w:before="60" w:after="60"/>
              <w:rPr>
                <w:rFonts w:ascii="Arial" w:hAnsi="Arial" w:cs="Arial"/>
                <w:sz w:val="22"/>
                <w:szCs w:val="22"/>
              </w:rPr>
            </w:pPr>
            <w:r w:rsidRPr="00DC5ECB">
              <w:rPr>
                <w:rFonts w:ascii="Arial" w:hAnsi="Arial" w:cs="Arial"/>
                <w:sz w:val="22"/>
                <w:szCs w:val="22"/>
              </w:rPr>
              <w:t xml:space="preserve">El plazo mínimo durante el cual el Contratista y sus subcontratistas deben mantener los </w:t>
            </w:r>
            <w:r w:rsidRPr="009204E2">
              <w:rPr>
                <w:rFonts w:ascii="Arial" w:hAnsi="Arial" w:cs="Arial"/>
                <w:sz w:val="22"/>
                <w:szCs w:val="22"/>
              </w:rPr>
              <w:t>registros y documentos relacionados con el Contrato será de dos años contados a partir de la emisión del acta de recepción final.</w:t>
            </w:r>
            <w:r>
              <w:rPr>
                <w:rFonts w:ascii="Arial" w:hAnsi="Arial" w:cs="Arial"/>
                <w:sz w:val="22"/>
                <w:szCs w:val="22"/>
              </w:rPr>
              <w:t xml:space="preserve"> </w:t>
            </w:r>
            <w:r w:rsidRPr="00DC5ECB">
              <w:rPr>
                <w:rFonts w:ascii="Arial" w:hAnsi="Arial" w:cs="Arial"/>
                <w:sz w:val="22"/>
                <w:szCs w:val="22"/>
              </w:rPr>
              <w:t xml:space="preserve"> </w:t>
            </w:r>
          </w:p>
          <w:p w14:paraId="7545FB21" w14:textId="77777777" w:rsidR="004307E6" w:rsidRPr="00DC5ECB" w:rsidRDefault="004307E6" w:rsidP="008F02F4">
            <w:pPr>
              <w:spacing w:before="60" w:after="60"/>
              <w:rPr>
                <w:rFonts w:ascii="Arial" w:hAnsi="Arial" w:cs="Arial"/>
                <w:i/>
                <w:iCs/>
                <w:color w:val="FF0000"/>
                <w:sz w:val="22"/>
                <w:szCs w:val="22"/>
              </w:rPr>
            </w:pPr>
          </w:p>
        </w:tc>
      </w:tr>
      <w:tr w:rsidR="004307E6" w:rsidRPr="00142AD5" w14:paraId="6FEB0AA1" w14:textId="77777777" w:rsidTr="008F02F4">
        <w:tc>
          <w:tcPr>
            <w:tcW w:w="990" w:type="dxa"/>
          </w:tcPr>
          <w:p w14:paraId="1BEEBBC2"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33.3</w:t>
            </w:r>
          </w:p>
        </w:tc>
        <w:tc>
          <w:tcPr>
            <w:tcW w:w="8370" w:type="dxa"/>
          </w:tcPr>
          <w:p w14:paraId="30A5D326" w14:textId="77777777" w:rsidR="004307E6" w:rsidRPr="00934876" w:rsidRDefault="004307E6" w:rsidP="008F02F4">
            <w:pPr>
              <w:spacing w:before="120" w:after="120"/>
              <w:rPr>
                <w:rFonts w:ascii="Arial" w:hAnsi="Arial" w:cs="Arial"/>
                <w:i/>
                <w:iCs/>
                <w:sz w:val="22"/>
                <w:szCs w:val="22"/>
              </w:rPr>
            </w:pPr>
            <w:r w:rsidRPr="00934876">
              <w:rPr>
                <w:rFonts w:ascii="Arial" w:hAnsi="Arial" w:cs="Arial"/>
                <w:sz w:val="22"/>
                <w:szCs w:val="22"/>
              </w:rPr>
              <w:t>El proceso extrajudicial de resoluc</w:t>
            </w:r>
            <w:r>
              <w:rPr>
                <w:rFonts w:ascii="Arial" w:hAnsi="Arial" w:cs="Arial"/>
                <w:sz w:val="22"/>
                <w:szCs w:val="22"/>
              </w:rPr>
              <w:t>i</w:t>
            </w:r>
            <w:r w:rsidRPr="00934876">
              <w:rPr>
                <w:rFonts w:ascii="Arial" w:hAnsi="Arial" w:cs="Arial"/>
                <w:sz w:val="22"/>
                <w:szCs w:val="22"/>
              </w:rPr>
              <w:t>ón de conflictos al que pueden someterse las diferencias que puedan surgir entre las Partes con motivo de la ejecución del contrato será conforme a lo siguiente:</w:t>
            </w:r>
            <w:r w:rsidRPr="00934876">
              <w:rPr>
                <w:rFonts w:ascii="Arial" w:hAnsi="Arial" w:cs="Arial"/>
                <w:i/>
                <w:iCs/>
                <w:sz w:val="22"/>
                <w:szCs w:val="22"/>
              </w:rPr>
              <w:t xml:space="preserve"> </w:t>
            </w:r>
          </w:p>
          <w:p w14:paraId="64A23231" w14:textId="77777777" w:rsidR="004307E6" w:rsidRPr="009834A6" w:rsidRDefault="004307E6" w:rsidP="008F02F4">
            <w:pPr>
              <w:pStyle w:val="Default"/>
              <w:jc w:val="both"/>
              <w:rPr>
                <w:rFonts w:ascii="Arial" w:hAnsi="Arial" w:cs="Arial"/>
                <w:color w:val="auto"/>
                <w:sz w:val="22"/>
                <w:szCs w:val="22"/>
              </w:rPr>
            </w:pPr>
            <w:r w:rsidRPr="009834A6">
              <w:rPr>
                <w:rFonts w:ascii="Arial" w:hAnsi="Arial" w:cs="Arial"/>
                <w:color w:val="auto"/>
                <w:sz w:val="22"/>
                <w:szCs w:val="22"/>
              </w:rPr>
              <w:t xml:space="preserve">Las consultas y negociaciones entre las partes, señaladas en la sub clausula CGC 33.2, durarán como máximo veinte días contados a partir de que una de las partes notifique a la otra, la existencia de un conflicto o controversia. </w:t>
            </w:r>
          </w:p>
          <w:p w14:paraId="3D6C7664" w14:textId="77777777" w:rsidR="004307E6" w:rsidRPr="009834A6" w:rsidRDefault="004307E6" w:rsidP="008F02F4">
            <w:pPr>
              <w:pStyle w:val="Default"/>
              <w:jc w:val="both"/>
              <w:rPr>
                <w:rFonts w:ascii="Arial" w:hAnsi="Arial" w:cs="Arial"/>
                <w:color w:val="auto"/>
                <w:sz w:val="22"/>
                <w:szCs w:val="22"/>
              </w:rPr>
            </w:pPr>
          </w:p>
          <w:p w14:paraId="0506A616" w14:textId="77777777" w:rsidR="004307E6" w:rsidRPr="009834A6" w:rsidRDefault="004307E6" w:rsidP="008F02F4">
            <w:pPr>
              <w:pStyle w:val="Default"/>
              <w:jc w:val="both"/>
              <w:rPr>
                <w:rFonts w:ascii="Arial" w:hAnsi="Arial" w:cs="Arial"/>
                <w:color w:val="auto"/>
                <w:sz w:val="22"/>
                <w:szCs w:val="22"/>
              </w:rPr>
            </w:pPr>
            <w:r w:rsidRPr="009834A6">
              <w:rPr>
                <w:rFonts w:ascii="Arial" w:hAnsi="Arial" w:cs="Arial"/>
                <w:color w:val="auto"/>
                <w:sz w:val="22"/>
                <w:szCs w:val="22"/>
              </w:rPr>
              <w:t xml:space="preserve">La notificación señalada en el párrafo anterior, deberá ser acompañada de una exposición clara y detallada de los hechos que se consideran constitutivos del conflicto y los soportes documentales y técnicos en que se fundamenta. </w:t>
            </w:r>
          </w:p>
          <w:p w14:paraId="6B1E3F9B" w14:textId="77777777" w:rsidR="004307E6" w:rsidRPr="009834A6" w:rsidRDefault="004307E6" w:rsidP="008F02F4">
            <w:pPr>
              <w:pStyle w:val="Default"/>
              <w:jc w:val="both"/>
              <w:rPr>
                <w:rFonts w:ascii="Arial" w:hAnsi="Arial" w:cs="Arial"/>
                <w:color w:val="auto"/>
                <w:sz w:val="22"/>
                <w:szCs w:val="22"/>
              </w:rPr>
            </w:pPr>
          </w:p>
          <w:p w14:paraId="027AFE32" w14:textId="77777777" w:rsidR="004307E6" w:rsidRPr="009834A6" w:rsidRDefault="004307E6" w:rsidP="008F02F4">
            <w:pPr>
              <w:pStyle w:val="Default"/>
              <w:jc w:val="both"/>
              <w:rPr>
                <w:rFonts w:ascii="Arial" w:hAnsi="Arial" w:cs="Arial"/>
                <w:color w:val="auto"/>
                <w:sz w:val="22"/>
                <w:szCs w:val="22"/>
              </w:rPr>
            </w:pPr>
            <w:r w:rsidRPr="009834A6">
              <w:rPr>
                <w:rFonts w:ascii="Arial" w:hAnsi="Arial" w:cs="Arial"/>
                <w:color w:val="auto"/>
                <w:sz w:val="22"/>
                <w:szCs w:val="22"/>
              </w:rPr>
              <w:t xml:space="preserve">Dentro de los tres días calendario siguientes a la notificación, se deberá conformar una comisión de trabajo compuesta por no más de tres representantes por cada una de las partes, a fin de procurar un acuerdo que ponga fin al conflicto o controversia. La comisión de trabajo podrá apoyarse de asesores técnicos. </w:t>
            </w:r>
          </w:p>
          <w:p w14:paraId="43767265" w14:textId="77777777" w:rsidR="004307E6" w:rsidRPr="009834A6" w:rsidRDefault="004307E6" w:rsidP="008F02F4">
            <w:pPr>
              <w:pStyle w:val="Default"/>
              <w:jc w:val="both"/>
              <w:rPr>
                <w:rFonts w:ascii="Arial" w:hAnsi="Arial" w:cs="Arial"/>
                <w:color w:val="auto"/>
                <w:sz w:val="22"/>
                <w:szCs w:val="22"/>
              </w:rPr>
            </w:pPr>
          </w:p>
          <w:p w14:paraId="320F694E" w14:textId="77777777" w:rsidR="004307E6" w:rsidRPr="009834A6" w:rsidRDefault="004307E6" w:rsidP="008F02F4">
            <w:pPr>
              <w:pStyle w:val="Default"/>
              <w:jc w:val="both"/>
              <w:rPr>
                <w:rFonts w:ascii="Arial" w:hAnsi="Arial" w:cs="Arial"/>
                <w:color w:val="auto"/>
                <w:sz w:val="22"/>
                <w:szCs w:val="22"/>
              </w:rPr>
            </w:pPr>
            <w:r w:rsidRPr="009834A6">
              <w:rPr>
                <w:rFonts w:ascii="Arial" w:hAnsi="Arial" w:cs="Arial"/>
                <w:color w:val="auto"/>
                <w:sz w:val="22"/>
                <w:szCs w:val="22"/>
              </w:rPr>
              <w:t xml:space="preserve">Si no se concreta un acuerdo conforme la subcláusula CGC 33.2, las partes deberán tratar de resolver el conflicto a través de una mediación que se realizará en la Dirección de Resolución Alterna de Conflictos del Poder Judicial de Nicaragua, conforme la Ley número 540, Ley de Mediación y Arbitraje. </w:t>
            </w:r>
          </w:p>
          <w:p w14:paraId="1447B34D" w14:textId="77777777" w:rsidR="004307E6" w:rsidRPr="009834A6" w:rsidRDefault="004307E6" w:rsidP="008F02F4">
            <w:pPr>
              <w:pStyle w:val="Default"/>
              <w:jc w:val="both"/>
              <w:rPr>
                <w:rFonts w:ascii="Arial" w:hAnsi="Arial" w:cs="Arial"/>
                <w:color w:val="auto"/>
                <w:sz w:val="22"/>
                <w:szCs w:val="22"/>
              </w:rPr>
            </w:pPr>
          </w:p>
          <w:p w14:paraId="1DB63BE9" w14:textId="77777777" w:rsidR="004307E6" w:rsidRPr="009834A6" w:rsidRDefault="004307E6" w:rsidP="008F02F4">
            <w:pPr>
              <w:pStyle w:val="Default"/>
              <w:jc w:val="both"/>
              <w:rPr>
                <w:rFonts w:ascii="Arial" w:hAnsi="Arial" w:cs="Arial"/>
                <w:color w:val="auto"/>
                <w:sz w:val="22"/>
                <w:szCs w:val="22"/>
              </w:rPr>
            </w:pPr>
            <w:r w:rsidRPr="009834A6">
              <w:rPr>
                <w:rFonts w:ascii="Arial" w:hAnsi="Arial" w:cs="Arial"/>
                <w:color w:val="auto"/>
                <w:sz w:val="22"/>
                <w:szCs w:val="22"/>
              </w:rPr>
              <w:t xml:space="preserve">La parte que inste la mediación, deberá notificar por escrito a la contraria los puntos sobre los que recae el conflicto o controversia a resolver y de ser posible las soluciones propuestas. En el mismo acto de notificación, entregará la invitación para la realización del trámite de mediación. </w:t>
            </w:r>
          </w:p>
          <w:p w14:paraId="73251031" w14:textId="77777777" w:rsidR="004307E6" w:rsidRPr="000138A8" w:rsidRDefault="004307E6" w:rsidP="008F02F4">
            <w:pPr>
              <w:spacing w:before="120" w:after="120"/>
              <w:rPr>
                <w:rFonts w:ascii="Arial" w:hAnsi="Arial" w:cs="Arial"/>
                <w:color w:val="C00000"/>
                <w:sz w:val="22"/>
                <w:szCs w:val="22"/>
              </w:rPr>
            </w:pPr>
            <w:r w:rsidRPr="009834A6">
              <w:rPr>
                <w:rFonts w:ascii="Arial" w:hAnsi="Arial" w:cs="Arial"/>
                <w:sz w:val="22"/>
                <w:szCs w:val="22"/>
              </w:rPr>
              <w:t>El plazo máximo de duración del proceso de mediación será de treinta días calendario, contados a partir de la notificación e invitación señaladas en el párrafo anterior. Dicho plazo podrá ser ampliado por acuerdo común de las partes.</w:t>
            </w:r>
            <w:r w:rsidRPr="009834A6">
              <w:rPr>
                <w:sz w:val="22"/>
                <w:szCs w:val="22"/>
              </w:rPr>
              <w:t xml:space="preserve"> </w:t>
            </w:r>
          </w:p>
        </w:tc>
      </w:tr>
      <w:tr w:rsidR="004307E6" w:rsidRPr="00142AD5" w14:paraId="53598E41" w14:textId="77777777" w:rsidTr="008F02F4">
        <w:tc>
          <w:tcPr>
            <w:tcW w:w="990" w:type="dxa"/>
          </w:tcPr>
          <w:p w14:paraId="2703B2CF"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33.4</w:t>
            </w:r>
          </w:p>
        </w:tc>
        <w:tc>
          <w:tcPr>
            <w:tcW w:w="8370" w:type="dxa"/>
          </w:tcPr>
          <w:p w14:paraId="53EF6D77" w14:textId="77777777" w:rsidR="004307E6" w:rsidRPr="009834A6" w:rsidRDefault="004307E6" w:rsidP="008F02F4">
            <w:pPr>
              <w:spacing w:before="60" w:after="60"/>
              <w:ind w:left="57"/>
              <w:rPr>
                <w:rFonts w:ascii="Arial" w:hAnsi="Arial" w:cs="Arial"/>
                <w:sz w:val="22"/>
                <w:szCs w:val="22"/>
              </w:rPr>
            </w:pPr>
            <w:r w:rsidRPr="009834A6">
              <w:rPr>
                <w:rFonts w:ascii="Arial" w:hAnsi="Arial" w:cs="Arial"/>
                <w:sz w:val="22"/>
                <w:szCs w:val="22"/>
              </w:rPr>
              <w:t xml:space="preserve">El plazo dentro del cual las partes deberán resolver la controversia o diferencia antes de informar a la otra parte sobre intenciones de iniciar un proceso de arbitraje </w:t>
            </w:r>
            <w:r w:rsidRPr="009834A6">
              <w:rPr>
                <w:rFonts w:ascii="Arial" w:hAnsi="Arial" w:cs="Arial"/>
                <w:sz w:val="22"/>
                <w:szCs w:val="22"/>
              </w:rPr>
              <w:lastRenderedPageBreak/>
              <w:t xml:space="preserve">será de </w:t>
            </w:r>
            <w:r w:rsidRPr="009834A6">
              <w:rPr>
                <w:rFonts w:ascii="Arial" w:hAnsi="Arial" w:cs="Arial"/>
                <w:b/>
                <w:sz w:val="22"/>
                <w:szCs w:val="22"/>
              </w:rPr>
              <w:t>cincuenta días calendario</w:t>
            </w:r>
            <w:r w:rsidRPr="009834A6">
              <w:rPr>
                <w:rFonts w:ascii="Arial" w:hAnsi="Arial" w:cs="Arial"/>
                <w:sz w:val="22"/>
                <w:szCs w:val="22"/>
              </w:rPr>
              <w:t xml:space="preserve"> a partir de la fecha de la notificación de la controversia por cualquiera de las Partes.</w:t>
            </w:r>
          </w:p>
          <w:p w14:paraId="234745E6" w14:textId="77777777" w:rsidR="004307E6" w:rsidRPr="009834A6" w:rsidRDefault="004307E6" w:rsidP="008F02F4">
            <w:pPr>
              <w:spacing w:before="60" w:after="60"/>
              <w:ind w:left="57"/>
              <w:rPr>
                <w:rFonts w:ascii="Arial" w:hAnsi="Arial" w:cs="Arial"/>
                <w:sz w:val="22"/>
                <w:szCs w:val="22"/>
              </w:rPr>
            </w:pPr>
          </w:p>
          <w:p w14:paraId="00514FF7" w14:textId="77777777" w:rsidR="004307E6" w:rsidRPr="009834A6" w:rsidRDefault="004307E6" w:rsidP="008F02F4">
            <w:pPr>
              <w:spacing w:before="60" w:after="60"/>
              <w:ind w:left="57"/>
              <w:rPr>
                <w:rFonts w:ascii="Arial" w:hAnsi="Arial" w:cs="Arial"/>
                <w:sz w:val="22"/>
                <w:szCs w:val="22"/>
              </w:rPr>
            </w:pPr>
            <w:r w:rsidRPr="009834A6">
              <w:rPr>
                <w:rFonts w:ascii="Arial" w:hAnsi="Arial" w:cs="Arial"/>
                <w:sz w:val="22"/>
                <w:szCs w:val="22"/>
              </w:rPr>
              <w:t xml:space="preserve">Las normas de procedimiento para los procesos de arbitraje, de conformidad con la Cláusula 33.5 de las CGC, serán: </w:t>
            </w:r>
          </w:p>
          <w:p w14:paraId="4A756E2D" w14:textId="77777777" w:rsidR="004307E6" w:rsidRPr="009834A6" w:rsidRDefault="004307E6" w:rsidP="008F02F4">
            <w:pPr>
              <w:spacing w:before="60" w:after="60"/>
              <w:ind w:left="57"/>
              <w:rPr>
                <w:rFonts w:ascii="Arial" w:hAnsi="Arial" w:cs="Arial"/>
                <w:i/>
                <w:iCs/>
                <w:sz w:val="22"/>
                <w:szCs w:val="22"/>
              </w:rPr>
            </w:pPr>
            <w:r w:rsidRPr="009834A6">
              <w:rPr>
                <w:rFonts w:ascii="Arial" w:hAnsi="Arial" w:cs="Arial"/>
                <w:b/>
                <w:bCs/>
                <w:i/>
                <w:iCs/>
                <w:sz w:val="22"/>
                <w:szCs w:val="22"/>
              </w:rPr>
              <w:t>Si el contrato es con contratistas extranjeros, entre los reglamentos que rigen los procedimientos se podrá considerar:</w:t>
            </w:r>
          </w:p>
          <w:p w14:paraId="16109E13" w14:textId="77777777" w:rsidR="004307E6" w:rsidRPr="009834A6" w:rsidRDefault="004307E6" w:rsidP="008F02F4">
            <w:pPr>
              <w:pStyle w:val="Prrafodelista"/>
              <w:numPr>
                <w:ilvl w:val="0"/>
                <w:numId w:val="77"/>
              </w:numPr>
              <w:tabs>
                <w:tab w:val="clear" w:pos="720"/>
                <w:tab w:val="num" w:pos="429"/>
              </w:tabs>
              <w:spacing w:before="60" w:after="60"/>
              <w:ind w:left="429" w:hanging="360"/>
              <w:jc w:val="left"/>
              <w:rPr>
                <w:rFonts w:ascii="Arial" w:hAnsi="Arial" w:cs="Arial"/>
                <w:i/>
                <w:iCs/>
                <w:spacing w:val="-3"/>
                <w:sz w:val="22"/>
                <w:szCs w:val="22"/>
              </w:rPr>
            </w:pPr>
            <w:r w:rsidRPr="009834A6">
              <w:rPr>
                <w:rFonts w:ascii="Arial" w:hAnsi="Arial" w:cs="Arial"/>
                <w:i/>
                <w:iCs/>
                <w:sz w:val="22"/>
                <w:szCs w:val="22"/>
              </w:rPr>
              <w:t>El Reglamento de Arbitraje de 1976 de la Comisión de las Naciones Unidas para el Derecho Mercantil Internacional (CNUDMI</w:t>
            </w:r>
            <w:r w:rsidRPr="009834A6">
              <w:rPr>
                <w:rFonts w:ascii="Arial" w:hAnsi="Arial" w:cs="Arial"/>
                <w:sz w:val="22"/>
                <w:szCs w:val="22"/>
              </w:rPr>
              <w:t xml:space="preserve"> o </w:t>
            </w:r>
            <w:r w:rsidRPr="009834A6">
              <w:rPr>
                <w:rFonts w:ascii="Arial" w:hAnsi="Arial" w:cs="Arial"/>
                <w:i/>
                <w:iCs/>
                <w:sz w:val="22"/>
                <w:szCs w:val="22"/>
              </w:rPr>
              <w:t>UNCITRAL, por sus siglas en inglés),</w:t>
            </w:r>
          </w:p>
          <w:p w14:paraId="168D0C15" w14:textId="77777777" w:rsidR="004307E6" w:rsidRPr="009834A6" w:rsidRDefault="004307E6" w:rsidP="008F02F4">
            <w:pPr>
              <w:spacing w:before="60" w:after="60"/>
              <w:ind w:left="57"/>
              <w:rPr>
                <w:rFonts w:ascii="Arial" w:hAnsi="Arial" w:cs="Arial"/>
                <w:sz w:val="22"/>
                <w:szCs w:val="22"/>
              </w:rPr>
            </w:pPr>
            <w:r w:rsidRPr="009834A6">
              <w:rPr>
                <w:rFonts w:ascii="Arial" w:hAnsi="Arial" w:cs="Arial"/>
                <w:sz w:val="22"/>
                <w:szCs w:val="22"/>
              </w:rPr>
              <w:t>CGC 33.4a) - Cualquier disputa, controversia o reclamo generado por o en relación con este Contrato, o por incumplimiento, cesación, o anulación del mismo, deberán ser resueltos mediante arbitraje de conformidad con el Reglamento de Arbitraje vigente de la CNUDMI. Con el nuevo artículo 1, párrafo 4, aprobado en 2013)</w:t>
            </w:r>
          </w:p>
          <w:p w14:paraId="3C15388D" w14:textId="77777777" w:rsidR="004307E6" w:rsidRPr="009834A6" w:rsidRDefault="004307E6" w:rsidP="008F02F4">
            <w:pPr>
              <w:spacing w:before="60" w:after="60"/>
              <w:ind w:left="57"/>
              <w:rPr>
                <w:rFonts w:ascii="Arial" w:hAnsi="Arial" w:cs="Arial"/>
                <w:spacing w:val="-3"/>
                <w:sz w:val="22"/>
                <w:szCs w:val="22"/>
              </w:rPr>
            </w:pPr>
            <w:r w:rsidRPr="009834A6">
              <w:rPr>
                <w:rFonts w:ascii="Arial" w:hAnsi="Arial" w:cs="Arial"/>
                <w:spacing w:val="-3"/>
                <w:sz w:val="22"/>
                <w:szCs w:val="22"/>
              </w:rPr>
              <w:t>a) La Autoridad nominadora será un Juez de distrito civil de la ciudad de Managua.</w:t>
            </w:r>
          </w:p>
          <w:p w14:paraId="15275889" w14:textId="77777777" w:rsidR="004307E6" w:rsidRPr="009834A6" w:rsidRDefault="004307E6" w:rsidP="008F02F4">
            <w:pPr>
              <w:spacing w:before="60" w:after="60"/>
              <w:ind w:left="57"/>
              <w:rPr>
                <w:rFonts w:ascii="Arial" w:hAnsi="Arial" w:cs="Arial"/>
                <w:spacing w:val="-3"/>
                <w:sz w:val="22"/>
                <w:szCs w:val="22"/>
              </w:rPr>
            </w:pPr>
            <w:r w:rsidRPr="009834A6">
              <w:rPr>
                <w:rFonts w:ascii="Arial" w:hAnsi="Arial" w:cs="Arial"/>
                <w:spacing w:val="-3"/>
                <w:sz w:val="22"/>
                <w:szCs w:val="22"/>
              </w:rPr>
              <w:t>b) El número de árbitros será de tres.</w:t>
            </w:r>
          </w:p>
          <w:p w14:paraId="217C350C" w14:textId="77777777" w:rsidR="004307E6" w:rsidRDefault="004307E6" w:rsidP="008F02F4">
            <w:pPr>
              <w:spacing w:before="60" w:after="60"/>
              <w:ind w:left="57"/>
              <w:rPr>
                <w:rFonts w:ascii="Arial" w:hAnsi="Arial" w:cs="Arial"/>
                <w:spacing w:val="-3"/>
                <w:sz w:val="22"/>
                <w:szCs w:val="22"/>
              </w:rPr>
            </w:pPr>
            <w:r>
              <w:rPr>
                <w:rFonts w:ascii="Arial" w:hAnsi="Arial" w:cs="Arial"/>
                <w:spacing w:val="-3"/>
                <w:sz w:val="22"/>
                <w:szCs w:val="22"/>
              </w:rPr>
              <w:t>c) El lugar de arbitraje será Managua, Nicaragua.</w:t>
            </w:r>
          </w:p>
          <w:p w14:paraId="350BC675" w14:textId="77777777" w:rsidR="004307E6" w:rsidRDefault="004307E6" w:rsidP="008F02F4">
            <w:pPr>
              <w:spacing w:before="60" w:after="60"/>
              <w:ind w:left="57"/>
              <w:rPr>
                <w:rFonts w:ascii="Arial" w:hAnsi="Arial" w:cs="Arial"/>
                <w:spacing w:val="-3"/>
                <w:sz w:val="22"/>
                <w:szCs w:val="22"/>
              </w:rPr>
            </w:pPr>
            <w:r>
              <w:rPr>
                <w:rFonts w:ascii="Arial" w:hAnsi="Arial" w:cs="Arial"/>
                <w:spacing w:val="-3"/>
                <w:sz w:val="22"/>
                <w:szCs w:val="22"/>
              </w:rPr>
              <w:t>d) El idioma que se utilizará en el procedimiento arbitral será el Español.</w:t>
            </w:r>
          </w:p>
          <w:p w14:paraId="1FC939B8" w14:textId="77777777" w:rsidR="004307E6" w:rsidRDefault="004307E6" w:rsidP="008F02F4">
            <w:pPr>
              <w:spacing w:before="60" w:after="60"/>
              <w:ind w:left="57"/>
              <w:rPr>
                <w:rFonts w:ascii="Arial" w:hAnsi="Arial" w:cs="Arial"/>
                <w:spacing w:val="-3"/>
                <w:sz w:val="22"/>
                <w:szCs w:val="22"/>
              </w:rPr>
            </w:pPr>
            <w:r>
              <w:rPr>
                <w:rFonts w:ascii="Arial" w:hAnsi="Arial" w:cs="Arial"/>
                <w:spacing w:val="-3"/>
                <w:sz w:val="22"/>
                <w:szCs w:val="22"/>
              </w:rPr>
              <w:t>e) El derecho sustantivo aplicable será el de la Republica de Nicaragua.</w:t>
            </w:r>
          </w:p>
          <w:p w14:paraId="05B7F8B3" w14:textId="77777777" w:rsidR="004307E6" w:rsidRDefault="004307E6" w:rsidP="008F02F4">
            <w:pPr>
              <w:spacing w:before="60" w:after="60"/>
              <w:ind w:left="57"/>
              <w:rPr>
                <w:rFonts w:ascii="Arial" w:hAnsi="Arial" w:cs="Arial"/>
                <w:spacing w:val="-3"/>
                <w:sz w:val="22"/>
                <w:szCs w:val="22"/>
              </w:rPr>
            </w:pPr>
            <w:r>
              <w:rPr>
                <w:rFonts w:ascii="Arial" w:hAnsi="Arial" w:cs="Arial"/>
                <w:spacing w:val="-3"/>
                <w:sz w:val="22"/>
                <w:szCs w:val="22"/>
              </w:rPr>
              <w:t>f) El arbitraje será de derecho.</w:t>
            </w:r>
          </w:p>
          <w:p w14:paraId="7DCCAEFC" w14:textId="77777777" w:rsidR="004307E6" w:rsidRDefault="004307E6" w:rsidP="008F02F4">
            <w:pPr>
              <w:spacing w:before="60" w:after="60"/>
              <w:ind w:left="57"/>
              <w:rPr>
                <w:rFonts w:ascii="Arial" w:hAnsi="Arial" w:cs="Arial"/>
                <w:spacing w:val="-3"/>
                <w:sz w:val="22"/>
                <w:szCs w:val="22"/>
              </w:rPr>
            </w:pPr>
            <w:r>
              <w:rPr>
                <w:rFonts w:ascii="Arial" w:hAnsi="Arial" w:cs="Arial"/>
                <w:spacing w:val="-3"/>
                <w:sz w:val="22"/>
                <w:szCs w:val="22"/>
              </w:rPr>
              <w:t>g) Sera Ad hoc.</w:t>
            </w:r>
          </w:p>
          <w:p w14:paraId="3061F016" w14:textId="77777777" w:rsidR="004307E6" w:rsidRPr="00142AD5" w:rsidRDefault="004307E6" w:rsidP="008F02F4">
            <w:pPr>
              <w:spacing w:before="60" w:after="60"/>
              <w:ind w:left="57"/>
              <w:rPr>
                <w:rFonts w:ascii="Arial" w:hAnsi="Arial" w:cs="Arial"/>
                <w:spacing w:val="-3"/>
                <w:sz w:val="22"/>
                <w:szCs w:val="22"/>
              </w:rPr>
            </w:pPr>
          </w:p>
          <w:p w14:paraId="38443D41" w14:textId="77777777" w:rsidR="004307E6" w:rsidRPr="00EC2B65" w:rsidRDefault="004307E6" w:rsidP="008F02F4">
            <w:pPr>
              <w:spacing w:before="60" w:after="60"/>
              <w:ind w:left="57"/>
              <w:rPr>
                <w:rFonts w:ascii="Arial" w:hAnsi="Arial" w:cs="Arial"/>
                <w:b/>
                <w:bCs/>
                <w:i/>
                <w:iCs/>
                <w:color w:val="000000" w:themeColor="text1"/>
                <w:sz w:val="22"/>
                <w:szCs w:val="22"/>
              </w:rPr>
            </w:pPr>
            <w:r w:rsidRPr="00EC2B65">
              <w:rPr>
                <w:rFonts w:ascii="Arial" w:hAnsi="Arial" w:cs="Arial"/>
                <w:b/>
                <w:bCs/>
                <w:i/>
                <w:iCs/>
                <w:color w:val="000000" w:themeColor="text1"/>
                <w:sz w:val="22"/>
                <w:szCs w:val="22"/>
              </w:rPr>
              <w:t>Si el contrato es con contratistas nacionales, Toda controversia surgida entre ellos en relación con el Contrato deberá ser sometida al arbitraje de acuerdo con las leyes del País del Contratante.</w:t>
            </w:r>
          </w:p>
          <w:p w14:paraId="2CEEC879" w14:textId="77777777" w:rsidR="004307E6" w:rsidRPr="00DC5ECB" w:rsidRDefault="004307E6" w:rsidP="008F02F4">
            <w:pPr>
              <w:spacing w:before="60" w:after="60"/>
              <w:rPr>
                <w:rFonts w:ascii="Arial" w:hAnsi="Arial" w:cs="Arial"/>
                <w:sz w:val="22"/>
                <w:szCs w:val="22"/>
              </w:rPr>
            </w:pPr>
            <w:r w:rsidRPr="00DC5ECB">
              <w:rPr>
                <w:rFonts w:ascii="Arial" w:hAnsi="Arial" w:cs="Arial"/>
                <w:sz w:val="22"/>
                <w:szCs w:val="22"/>
              </w:rPr>
              <w:t>Las partes acuerdan someter toda controversia o reclamo que resulte del presente contrato, a un proceso arbitral, administrado por la Dirección de Resolución Alterna de Conflictos, adscrito a la Corte Suprema de Justicia, de conformidad con el Reglamento de Arbitraje de dicho Centro. El lugar del arbitraje será en las instalaciones de dicho centro, ante un tribunal arbitral constituido por un (01) Árbitro, elegido por el Centro de Arbitraje mencionado, quien decidirá conforme a equidad. El idioma que se utilizará es el español. El laudo arbitral deberá dictarse en un período máximo de un mes y siendo definitivo y obligatorio para las partes</w:t>
            </w:r>
          </w:p>
          <w:p w14:paraId="5F8D85F9" w14:textId="77777777" w:rsidR="004307E6" w:rsidRPr="00142AD5" w:rsidRDefault="004307E6" w:rsidP="008F02F4">
            <w:pPr>
              <w:spacing w:before="60" w:after="60"/>
              <w:rPr>
                <w:rFonts w:ascii="Arial" w:hAnsi="Arial" w:cs="Arial"/>
                <w:spacing w:val="-3"/>
                <w:sz w:val="22"/>
                <w:szCs w:val="22"/>
              </w:rPr>
            </w:pPr>
          </w:p>
        </w:tc>
      </w:tr>
      <w:tr w:rsidR="004307E6" w:rsidRPr="00142AD5" w14:paraId="4C681DE2" w14:textId="77777777" w:rsidTr="008F02F4">
        <w:trPr>
          <w:trHeight w:val="464"/>
        </w:trPr>
        <w:tc>
          <w:tcPr>
            <w:tcW w:w="9360" w:type="dxa"/>
            <w:gridSpan w:val="2"/>
            <w:shd w:val="clear" w:color="auto" w:fill="00B050"/>
            <w:vAlign w:val="center"/>
          </w:tcPr>
          <w:p w14:paraId="2DB32390" w14:textId="77777777" w:rsidR="004307E6" w:rsidRPr="00B16265" w:rsidRDefault="004307E6" w:rsidP="008F02F4">
            <w:pPr>
              <w:spacing w:before="60" w:after="60"/>
              <w:jc w:val="center"/>
              <w:rPr>
                <w:rFonts w:ascii="Arial" w:hAnsi="Arial" w:cs="Arial"/>
                <w:b/>
                <w:bCs/>
                <w:color w:val="FFFFFF" w:themeColor="background1"/>
                <w:sz w:val="22"/>
                <w:szCs w:val="22"/>
              </w:rPr>
            </w:pPr>
            <w:r w:rsidRPr="00B16265">
              <w:rPr>
                <w:rFonts w:ascii="Arial" w:hAnsi="Arial" w:cs="Arial"/>
                <w:b/>
                <w:bCs/>
                <w:color w:val="FFFFFF" w:themeColor="background1"/>
                <w:sz w:val="22"/>
                <w:szCs w:val="22"/>
              </w:rPr>
              <w:lastRenderedPageBreak/>
              <w:t>B. Control de Plazos</w:t>
            </w:r>
          </w:p>
        </w:tc>
      </w:tr>
      <w:tr w:rsidR="004307E6" w:rsidRPr="00142AD5" w14:paraId="647709B1" w14:textId="77777777" w:rsidTr="008F02F4">
        <w:tc>
          <w:tcPr>
            <w:tcW w:w="990" w:type="dxa"/>
          </w:tcPr>
          <w:p w14:paraId="514F4762" w14:textId="77777777" w:rsidR="004307E6" w:rsidRPr="00027B7E" w:rsidRDefault="004307E6" w:rsidP="008F02F4">
            <w:pPr>
              <w:spacing w:before="60" w:after="60"/>
              <w:jc w:val="center"/>
              <w:rPr>
                <w:rFonts w:ascii="Arial" w:hAnsi="Arial" w:cs="Arial"/>
                <w:b/>
                <w:bCs/>
                <w:sz w:val="22"/>
                <w:szCs w:val="22"/>
                <w:highlight w:val="green"/>
              </w:rPr>
            </w:pPr>
            <w:r w:rsidRPr="00027B7E">
              <w:rPr>
                <w:rFonts w:ascii="Arial" w:hAnsi="Arial" w:cs="Arial"/>
                <w:b/>
                <w:bCs/>
                <w:sz w:val="22"/>
                <w:szCs w:val="22"/>
                <w:highlight w:val="green"/>
              </w:rPr>
              <w:t>34.1</w:t>
            </w:r>
          </w:p>
        </w:tc>
        <w:tc>
          <w:tcPr>
            <w:tcW w:w="8370" w:type="dxa"/>
          </w:tcPr>
          <w:p w14:paraId="69726419" w14:textId="77777777" w:rsidR="004307E6" w:rsidRPr="00027B7E" w:rsidRDefault="004307E6" w:rsidP="008F02F4">
            <w:pPr>
              <w:spacing w:before="60" w:after="60"/>
              <w:rPr>
                <w:rFonts w:ascii="Arial" w:hAnsi="Arial" w:cs="Arial"/>
                <w:sz w:val="22"/>
                <w:szCs w:val="22"/>
                <w:highlight w:val="green"/>
              </w:rPr>
            </w:pPr>
            <w:r w:rsidRPr="00027B7E">
              <w:rPr>
                <w:rFonts w:ascii="Arial" w:hAnsi="Arial" w:cs="Arial"/>
                <w:sz w:val="22"/>
                <w:szCs w:val="22"/>
                <w:highlight w:val="green"/>
              </w:rPr>
              <w:t>El Contratista presentará un Programa para la aprobación del Gerente de Obras dentro de quince (15) días calendarios a partir de la Carta de Aceptación.</w:t>
            </w:r>
          </w:p>
        </w:tc>
      </w:tr>
      <w:tr w:rsidR="004307E6" w:rsidRPr="00142AD5" w14:paraId="7E948A11" w14:textId="77777777" w:rsidTr="008F02F4">
        <w:tc>
          <w:tcPr>
            <w:tcW w:w="990" w:type="dxa"/>
          </w:tcPr>
          <w:p w14:paraId="45BBB9BF" w14:textId="77777777" w:rsidR="004307E6" w:rsidRPr="00D957F6" w:rsidRDefault="004307E6" w:rsidP="008F02F4">
            <w:pPr>
              <w:spacing w:before="60" w:after="60"/>
              <w:jc w:val="center"/>
              <w:rPr>
                <w:rFonts w:ascii="Arial" w:hAnsi="Arial" w:cs="Arial"/>
                <w:b/>
                <w:bCs/>
                <w:sz w:val="22"/>
                <w:szCs w:val="22"/>
              </w:rPr>
            </w:pPr>
            <w:r w:rsidRPr="00D957F6">
              <w:rPr>
                <w:rFonts w:ascii="Arial" w:hAnsi="Arial" w:cs="Arial"/>
                <w:b/>
                <w:bCs/>
                <w:sz w:val="22"/>
                <w:szCs w:val="22"/>
              </w:rPr>
              <w:t>34.2</w:t>
            </w:r>
          </w:p>
        </w:tc>
        <w:tc>
          <w:tcPr>
            <w:tcW w:w="8370" w:type="dxa"/>
          </w:tcPr>
          <w:p w14:paraId="4DD1A42F" w14:textId="77777777" w:rsidR="004307E6" w:rsidRPr="00D957F6" w:rsidRDefault="004307E6" w:rsidP="008F02F4">
            <w:pPr>
              <w:spacing w:before="60" w:after="60"/>
              <w:rPr>
                <w:rFonts w:ascii="Arial" w:hAnsi="Arial" w:cs="Arial"/>
                <w:sz w:val="22"/>
                <w:szCs w:val="22"/>
              </w:rPr>
            </w:pPr>
            <w:r w:rsidRPr="00D957F6">
              <w:rPr>
                <w:rFonts w:ascii="Arial" w:hAnsi="Arial" w:cs="Arial"/>
                <w:sz w:val="22"/>
                <w:szCs w:val="22"/>
              </w:rPr>
              <w:t xml:space="preserve">Los plazos entre cada actualización del Programa serán de noventa (90) días calendarios. </w:t>
            </w:r>
          </w:p>
        </w:tc>
      </w:tr>
      <w:tr w:rsidR="004307E6" w:rsidRPr="00142AD5" w14:paraId="61AF0679" w14:textId="77777777" w:rsidTr="008F02F4">
        <w:tc>
          <w:tcPr>
            <w:tcW w:w="990" w:type="dxa"/>
          </w:tcPr>
          <w:p w14:paraId="2381BD11" w14:textId="77777777" w:rsidR="004307E6" w:rsidRPr="00D957F6" w:rsidRDefault="004307E6" w:rsidP="008F02F4">
            <w:pPr>
              <w:spacing w:before="60" w:after="60"/>
              <w:jc w:val="center"/>
              <w:rPr>
                <w:rFonts w:ascii="Arial" w:hAnsi="Arial" w:cs="Arial"/>
                <w:b/>
                <w:bCs/>
                <w:sz w:val="22"/>
                <w:szCs w:val="22"/>
              </w:rPr>
            </w:pPr>
            <w:r w:rsidRPr="00D957F6">
              <w:rPr>
                <w:rFonts w:ascii="Arial" w:hAnsi="Arial" w:cs="Arial"/>
                <w:b/>
                <w:bCs/>
                <w:sz w:val="22"/>
                <w:szCs w:val="22"/>
              </w:rPr>
              <w:lastRenderedPageBreak/>
              <w:t>34.3</w:t>
            </w:r>
          </w:p>
        </w:tc>
        <w:tc>
          <w:tcPr>
            <w:tcW w:w="8370" w:type="dxa"/>
          </w:tcPr>
          <w:p w14:paraId="433EF7A3" w14:textId="77777777" w:rsidR="004307E6" w:rsidRPr="00D957F6" w:rsidRDefault="004307E6" w:rsidP="008F02F4">
            <w:pPr>
              <w:spacing w:before="60" w:after="60"/>
              <w:rPr>
                <w:rFonts w:ascii="Arial" w:hAnsi="Arial" w:cs="Arial"/>
                <w:sz w:val="22"/>
                <w:szCs w:val="22"/>
              </w:rPr>
            </w:pPr>
            <w:r w:rsidRPr="00D957F6">
              <w:rPr>
                <w:rFonts w:ascii="Arial" w:hAnsi="Arial" w:cs="Arial"/>
                <w:sz w:val="22"/>
                <w:szCs w:val="22"/>
              </w:rPr>
              <w:t xml:space="preserve">El monto que será retenido por la presentación retrasada del Programa actualizado será </w:t>
            </w:r>
            <w:r w:rsidRPr="009204E2">
              <w:rPr>
                <w:rFonts w:ascii="Arial" w:hAnsi="Arial" w:cs="Arial"/>
                <w:sz w:val="22"/>
                <w:szCs w:val="22"/>
              </w:rPr>
              <w:t>de diez mil (C$10,000.00) del monto del avaluó del periodo correspondiente.</w:t>
            </w:r>
          </w:p>
        </w:tc>
      </w:tr>
      <w:tr w:rsidR="004307E6" w:rsidRPr="00142AD5" w14:paraId="69DA40F9" w14:textId="77777777" w:rsidTr="008F02F4">
        <w:tc>
          <w:tcPr>
            <w:tcW w:w="990" w:type="dxa"/>
            <w:shd w:val="clear" w:color="auto" w:fill="auto"/>
          </w:tcPr>
          <w:p w14:paraId="12983D21" w14:textId="77777777" w:rsidR="004307E6" w:rsidRPr="00F93E3D" w:rsidRDefault="004307E6" w:rsidP="008F02F4">
            <w:pPr>
              <w:spacing w:before="60" w:after="60"/>
              <w:jc w:val="center"/>
              <w:rPr>
                <w:rFonts w:ascii="Arial" w:hAnsi="Arial" w:cs="Arial"/>
                <w:b/>
                <w:bCs/>
                <w:sz w:val="22"/>
                <w:szCs w:val="22"/>
                <w:highlight w:val="green"/>
              </w:rPr>
            </w:pPr>
            <w:bookmarkStart w:id="2267" w:name="_Hlk22833748"/>
            <w:r w:rsidRPr="00F93E3D">
              <w:rPr>
                <w:rFonts w:ascii="Arial" w:hAnsi="Arial" w:cs="Arial"/>
                <w:b/>
                <w:bCs/>
                <w:sz w:val="22"/>
                <w:szCs w:val="22"/>
                <w:highlight w:val="green"/>
              </w:rPr>
              <w:t>40.1</w:t>
            </w:r>
          </w:p>
        </w:tc>
        <w:tc>
          <w:tcPr>
            <w:tcW w:w="8370" w:type="dxa"/>
            <w:shd w:val="clear" w:color="auto" w:fill="auto"/>
          </w:tcPr>
          <w:p w14:paraId="756DE76A" w14:textId="77777777" w:rsidR="004307E6" w:rsidRPr="00F93E3D" w:rsidRDefault="004307E6" w:rsidP="008F02F4">
            <w:pPr>
              <w:ind w:right="-34"/>
              <w:rPr>
                <w:rFonts w:ascii="Arial" w:hAnsi="Arial" w:cs="Arial"/>
                <w:bCs/>
                <w:color w:val="FF0000"/>
                <w:sz w:val="22"/>
                <w:szCs w:val="22"/>
                <w:highlight w:val="green"/>
                <w:lang w:val="es-NI"/>
              </w:rPr>
            </w:pPr>
            <w:r w:rsidRPr="00F93E3D">
              <w:rPr>
                <w:rFonts w:ascii="Arial" w:hAnsi="Arial" w:cs="Arial"/>
                <w:sz w:val="22"/>
                <w:szCs w:val="22"/>
                <w:highlight w:val="green"/>
                <w:lang w:val="es-MX"/>
              </w:rPr>
              <w:t xml:space="preserve">El umbral de las inclemencias del tiempo y otros fenómenos naturales, así como los conflictos sociales o políticos que se consideran caso fortuito o fuerza mayor para los efectos del Contrato son: </w:t>
            </w:r>
            <w:r w:rsidRPr="00F93E3D">
              <w:rPr>
                <w:rFonts w:ascii="Arial" w:hAnsi="Arial" w:cs="Arial"/>
                <w:color w:val="FF0000"/>
                <w:sz w:val="22"/>
                <w:szCs w:val="22"/>
                <w:highlight w:val="green"/>
                <w:lang w:val="es-MX"/>
              </w:rPr>
              <w:t xml:space="preserve">(En su caso, indicar, conforme las características del País del Contratante, cuál sería este umbral y cuáles serían los conflictos que se considerarían fuerza mayor o caso fortuito). </w:t>
            </w:r>
          </w:p>
          <w:p w14:paraId="1453B1D7" w14:textId="77777777" w:rsidR="004307E6" w:rsidRPr="00F93E3D" w:rsidRDefault="004307E6" w:rsidP="008F02F4">
            <w:pPr>
              <w:ind w:right="-34"/>
              <w:rPr>
                <w:rFonts w:ascii="Arial" w:hAnsi="Arial" w:cs="Arial"/>
                <w:color w:val="C00000"/>
                <w:sz w:val="22"/>
                <w:szCs w:val="22"/>
                <w:highlight w:val="green"/>
                <w:lang w:val="es-MX"/>
              </w:rPr>
            </w:pPr>
          </w:p>
        </w:tc>
      </w:tr>
      <w:bookmarkEnd w:id="2267"/>
      <w:tr w:rsidR="004307E6" w:rsidRPr="00142AD5" w14:paraId="13C18C9E" w14:textId="77777777" w:rsidTr="008F02F4">
        <w:tc>
          <w:tcPr>
            <w:tcW w:w="990" w:type="dxa"/>
            <w:shd w:val="clear" w:color="auto" w:fill="auto"/>
          </w:tcPr>
          <w:p w14:paraId="74FB6F50" w14:textId="77777777" w:rsidR="004307E6" w:rsidRPr="00EB5285" w:rsidRDefault="004307E6" w:rsidP="008F02F4">
            <w:pPr>
              <w:spacing w:before="60" w:after="60"/>
              <w:jc w:val="center"/>
              <w:rPr>
                <w:rFonts w:ascii="Arial" w:hAnsi="Arial" w:cs="Arial"/>
                <w:b/>
                <w:bCs/>
                <w:sz w:val="22"/>
                <w:szCs w:val="22"/>
                <w:highlight w:val="green"/>
              </w:rPr>
            </w:pPr>
            <w:r w:rsidRPr="00EB5285">
              <w:rPr>
                <w:rFonts w:ascii="Arial" w:hAnsi="Arial" w:cs="Arial"/>
                <w:b/>
                <w:bCs/>
                <w:sz w:val="22"/>
                <w:szCs w:val="22"/>
                <w:highlight w:val="green"/>
              </w:rPr>
              <w:t>41.6</w:t>
            </w:r>
          </w:p>
        </w:tc>
        <w:tc>
          <w:tcPr>
            <w:tcW w:w="8370" w:type="dxa"/>
            <w:shd w:val="clear" w:color="auto" w:fill="auto"/>
          </w:tcPr>
          <w:p w14:paraId="6CEA4E9D" w14:textId="77777777" w:rsidR="004307E6" w:rsidRPr="00EB5285" w:rsidRDefault="004307E6" w:rsidP="008F02F4">
            <w:pPr>
              <w:spacing w:before="60" w:after="60"/>
              <w:ind w:left="-18"/>
              <w:rPr>
                <w:rFonts w:ascii="Arial" w:hAnsi="Arial" w:cs="Arial"/>
                <w:i/>
                <w:iCs/>
                <w:sz w:val="22"/>
                <w:szCs w:val="22"/>
                <w:highlight w:val="green"/>
              </w:rPr>
            </w:pPr>
            <w:r w:rsidRPr="00EB5285">
              <w:rPr>
                <w:rFonts w:ascii="Arial" w:hAnsi="Arial" w:cs="Arial"/>
                <w:sz w:val="22"/>
                <w:szCs w:val="22"/>
                <w:highlight w:val="green"/>
              </w:rPr>
              <w:t>En caso de suspensión temporal de las Obras por instrucción del Contratante a través del Gerente de Obras se considerarán gastos no recuperables pagaderos al Contratista los siguientes:</w:t>
            </w:r>
            <w:r w:rsidRPr="00EB5285">
              <w:rPr>
                <w:rFonts w:ascii="Arial" w:hAnsi="Arial" w:cs="Arial"/>
                <w:i/>
                <w:iCs/>
                <w:sz w:val="22"/>
                <w:szCs w:val="22"/>
                <w:highlight w:val="green"/>
              </w:rPr>
              <w:t xml:space="preserve"> </w:t>
            </w:r>
            <w:r w:rsidRPr="00EB5285">
              <w:rPr>
                <w:rFonts w:ascii="Arial" w:hAnsi="Arial" w:cs="Arial"/>
                <w:b/>
                <w:i/>
                <w:sz w:val="22"/>
                <w:szCs w:val="22"/>
                <w:highlight w:val="green"/>
              </w:rPr>
              <w:t>No Aplica</w:t>
            </w:r>
          </w:p>
          <w:p w14:paraId="73D6D54B" w14:textId="77777777" w:rsidR="004307E6" w:rsidRPr="00EB5285" w:rsidRDefault="004307E6" w:rsidP="008F02F4">
            <w:pPr>
              <w:pStyle w:val="Prrafodelista"/>
              <w:spacing w:before="60" w:after="60"/>
              <w:ind w:left="339"/>
              <w:rPr>
                <w:rFonts w:ascii="Arial" w:hAnsi="Arial" w:cs="Arial"/>
                <w:i/>
                <w:iCs/>
                <w:sz w:val="22"/>
                <w:szCs w:val="22"/>
                <w:highlight w:val="green"/>
              </w:rPr>
            </w:pPr>
          </w:p>
        </w:tc>
      </w:tr>
      <w:tr w:rsidR="004307E6" w:rsidRPr="00142AD5" w14:paraId="3C2E4A0F" w14:textId="77777777" w:rsidTr="008F02F4">
        <w:trPr>
          <w:trHeight w:val="320"/>
        </w:trPr>
        <w:tc>
          <w:tcPr>
            <w:tcW w:w="9360" w:type="dxa"/>
            <w:gridSpan w:val="2"/>
            <w:shd w:val="clear" w:color="auto" w:fill="00B050"/>
          </w:tcPr>
          <w:p w14:paraId="033C524F" w14:textId="77777777" w:rsidR="004307E6" w:rsidRPr="00B16265" w:rsidRDefault="004307E6" w:rsidP="008F02F4">
            <w:pPr>
              <w:spacing w:before="60" w:after="60"/>
              <w:jc w:val="center"/>
              <w:rPr>
                <w:rFonts w:ascii="Arial" w:hAnsi="Arial" w:cs="Arial"/>
                <w:b/>
                <w:bCs/>
                <w:color w:val="FFFFFF" w:themeColor="background1"/>
                <w:sz w:val="22"/>
                <w:szCs w:val="22"/>
              </w:rPr>
            </w:pPr>
            <w:r w:rsidRPr="00B16265">
              <w:rPr>
                <w:rFonts w:ascii="Arial" w:hAnsi="Arial" w:cs="Arial"/>
                <w:b/>
                <w:bCs/>
                <w:color w:val="FFFFFF" w:themeColor="background1"/>
                <w:sz w:val="22"/>
                <w:szCs w:val="22"/>
              </w:rPr>
              <w:t>C. Control de la Calidad</w:t>
            </w:r>
          </w:p>
        </w:tc>
      </w:tr>
      <w:tr w:rsidR="004307E6" w:rsidRPr="00142AD5" w14:paraId="79C48C0D" w14:textId="77777777" w:rsidTr="008F02F4">
        <w:tc>
          <w:tcPr>
            <w:tcW w:w="990" w:type="dxa"/>
            <w:shd w:val="clear" w:color="auto" w:fill="auto"/>
          </w:tcPr>
          <w:p w14:paraId="56DC057B" w14:textId="77777777" w:rsidR="004307E6" w:rsidRPr="007E2743" w:rsidRDefault="004307E6" w:rsidP="008F02F4">
            <w:pPr>
              <w:spacing w:before="60" w:after="60"/>
              <w:jc w:val="center"/>
              <w:rPr>
                <w:rFonts w:ascii="Arial" w:hAnsi="Arial" w:cs="Arial"/>
                <w:b/>
                <w:bCs/>
                <w:sz w:val="22"/>
                <w:szCs w:val="22"/>
              </w:rPr>
            </w:pPr>
            <w:r w:rsidRPr="007E2743">
              <w:rPr>
                <w:rFonts w:ascii="Arial" w:hAnsi="Arial" w:cs="Arial"/>
                <w:b/>
                <w:bCs/>
                <w:sz w:val="22"/>
                <w:szCs w:val="22"/>
              </w:rPr>
              <w:t>43.1</w:t>
            </w:r>
          </w:p>
        </w:tc>
        <w:tc>
          <w:tcPr>
            <w:tcW w:w="8370" w:type="dxa"/>
            <w:shd w:val="clear" w:color="auto" w:fill="auto"/>
          </w:tcPr>
          <w:p w14:paraId="51CB1CF8" w14:textId="77777777" w:rsidR="004307E6" w:rsidRPr="007E2743" w:rsidRDefault="004307E6" w:rsidP="008F02F4">
            <w:pPr>
              <w:spacing w:before="60" w:after="60"/>
              <w:rPr>
                <w:rFonts w:ascii="Arial" w:hAnsi="Arial" w:cs="Arial"/>
                <w:sz w:val="22"/>
                <w:szCs w:val="22"/>
              </w:rPr>
            </w:pPr>
            <w:r w:rsidRPr="007E2743">
              <w:rPr>
                <w:rFonts w:ascii="Arial" w:hAnsi="Arial" w:cs="Arial"/>
                <w:sz w:val="22"/>
                <w:szCs w:val="22"/>
              </w:rPr>
              <w:t xml:space="preserve">El Período de Responsabilidad por Defectos es: doce meses contados a partir de la emisión del </w:t>
            </w:r>
            <w:r>
              <w:rPr>
                <w:rFonts w:ascii="Arial" w:hAnsi="Arial" w:cs="Arial"/>
                <w:sz w:val="22"/>
                <w:szCs w:val="22"/>
              </w:rPr>
              <w:t xml:space="preserve">Acta Recepción final </w:t>
            </w:r>
            <w:r w:rsidRPr="007E2743">
              <w:rPr>
                <w:rFonts w:ascii="Arial" w:hAnsi="Arial" w:cs="Arial"/>
                <w:sz w:val="22"/>
                <w:szCs w:val="22"/>
              </w:rPr>
              <w:t>de las obras.</w:t>
            </w:r>
          </w:p>
          <w:p w14:paraId="78233566" w14:textId="77777777" w:rsidR="004307E6" w:rsidRPr="007E2743" w:rsidRDefault="004307E6" w:rsidP="008F02F4">
            <w:pPr>
              <w:spacing w:before="60" w:after="60"/>
              <w:rPr>
                <w:rFonts w:ascii="Arial" w:hAnsi="Arial" w:cs="Arial"/>
                <w:i/>
                <w:iCs/>
                <w:sz w:val="22"/>
                <w:szCs w:val="22"/>
              </w:rPr>
            </w:pPr>
          </w:p>
        </w:tc>
      </w:tr>
      <w:tr w:rsidR="004307E6" w:rsidRPr="00142AD5" w14:paraId="5312A204" w14:textId="77777777" w:rsidTr="008F02F4">
        <w:tc>
          <w:tcPr>
            <w:tcW w:w="9360" w:type="dxa"/>
            <w:gridSpan w:val="2"/>
            <w:shd w:val="clear" w:color="auto" w:fill="00B050"/>
          </w:tcPr>
          <w:p w14:paraId="043DD4A0" w14:textId="77777777" w:rsidR="004307E6" w:rsidRPr="00B16265" w:rsidRDefault="004307E6" w:rsidP="008F02F4">
            <w:pPr>
              <w:spacing w:before="60" w:after="60"/>
              <w:jc w:val="center"/>
              <w:rPr>
                <w:rFonts w:ascii="Arial" w:hAnsi="Arial" w:cs="Arial"/>
                <w:b/>
                <w:bCs/>
                <w:color w:val="FFFFFF" w:themeColor="background1"/>
                <w:sz w:val="22"/>
                <w:szCs w:val="22"/>
              </w:rPr>
            </w:pPr>
            <w:r w:rsidRPr="00B16265">
              <w:rPr>
                <w:rFonts w:ascii="Arial" w:hAnsi="Arial" w:cs="Arial"/>
                <w:b/>
                <w:bCs/>
                <w:color w:val="FFFFFF" w:themeColor="background1"/>
                <w:sz w:val="22"/>
                <w:szCs w:val="22"/>
              </w:rPr>
              <w:t>D. Control de Costos</w:t>
            </w:r>
          </w:p>
        </w:tc>
      </w:tr>
      <w:tr w:rsidR="004307E6" w:rsidRPr="00142AD5" w14:paraId="7C37D96E" w14:textId="77777777" w:rsidTr="008F02F4">
        <w:tc>
          <w:tcPr>
            <w:tcW w:w="990" w:type="dxa"/>
          </w:tcPr>
          <w:p w14:paraId="0CDE4D85"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44.1</w:t>
            </w:r>
          </w:p>
        </w:tc>
        <w:tc>
          <w:tcPr>
            <w:tcW w:w="8370" w:type="dxa"/>
          </w:tcPr>
          <w:p w14:paraId="4750A788" w14:textId="77777777" w:rsidR="004307E6" w:rsidRPr="00C62DEC" w:rsidRDefault="004307E6" w:rsidP="008F02F4">
            <w:pPr>
              <w:pStyle w:val="Textocomentario"/>
              <w:spacing w:before="120" w:after="120"/>
              <w:ind w:left="360"/>
              <w:rPr>
                <w:rFonts w:ascii="Arial" w:hAnsi="Arial" w:cs="Arial"/>
                <w:b/>
                <w:i/>
                <w:color w:val="FF0000"/>
                <w:sz w:val="22"/>
                <w:szCs w:val="22"/>
              </w:rPr>
            </w:pPr>
            <w:r w:rsidRPr="00C62DEC">
              <w:rPr>
                <w:rFonts w:ascii="Arial" w:hAnsi="Arial" w:cs="Arial"/>
                <w:b/>
                <w:i/>
                <w:sz w:val="22"/>
                <w:szCs w:val="22"/>
              </w:rPr>
              <w:t>No Aplica</w:t>
            </w:r>
          </w:p>
        </w:tc>
      </w:tr>
      <w:tr w:rsidR="004307E6" w:rsidRPr="00142AD5" w14:paraId="376AE502" w14:textId="77777777" w:rsidTr="008F02F4">
        <w:tc>
          <w:tcPr>
            <w:tcW w:w="990" w:type="dxa"/>
          </w:tcPr>
          <w:p w14:paraId="059D46AD"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48.1</w:t>
            </w:r>
          </w:p>
        </w:tc>
        <w:tc>
          <w:tcPr>
            <w:tcW w:w="8370" w:type="dxa"/>
          </w:tcPr>
          <w:p w14:paraId="7DAD1C1B" w14:textId="77777777" w:rsidR="004307E6" w:rsidRPr="00727C7F" w:rsidRDefault="004307E6" w:rsidP="008F02F4">
            <w:pPr>
              <w:spacing w:before="60" w:after="60"/>
              <w:rPr>
                <w:rFonts w:ascii="Arial" w:hAnsi="Arial" w:cs="Arial"/>
                <w:i/>
                <w:iCs/>
                <w:spacing w:val="-3"/>
                <w:sz w:val="22"/>
                <w:szCs w:val="22"/>
              </w:rPr>
            </w:pPr>
            <w:r w:rsidRPr="00727C7F">
              <w:rPr>
                <w:rFonts w:ascii="Arial" w:hAnsi="Arial" w:cs="Arial"/>
                <w:spacing w:val="-3"/>
                <w:sz w:val="22"/>
                <w:szCs w:val="22"/>
              </w:rPr>
              <w:t xml:space="preserve">El pago (Los pagos) por anticipo será(n) de: Treinta por ciento (30%) del precio del contrato, únicamente cuando el contratista lo solicite y se pagará(n) al Contratista a más tardar treinta días después de que se presente la garantía bancaria de anticipo. </w:t>
            </w:r>
          </w:p>
          <w:p w14:paraId="751C4006" w14:textId="77777777" w:rsidR="004307E6" w:rsidRPr="00727C7F" w:rsidRDefault="004307E6" w:rsidP="008F02F4">
            <w:pPr>
              <w:spacing w:before="100" w:after="100"/>
              <w:ind w:right="74"/>
              <w:rPr>
                <w:rFonts w:ascii="Arial" w:hAnsi="Arial" w:cs="Arial"/>
                <w:b/>
                <w:sz w:val="22"/>
                <w:szCs w:val="22"/>
                <w:lang w:val="es-HN"/>
              </w:rPr>
            </w:pPr>
            <w:r w:rsidRPr="00727C7F">
              <w:rPr>
                <w:rFonts w:ascii="Arial" w:hAnsi="Arial" w:cs="Arial"/>
                <w:bCs/>
                <w:sz w:val="22"/>
                <w:szCs w:val="22"/>
                <w:lang w:val="es-NI"/>
              </w:rPr>
              <w:t>El contratista deberá entregar al contratante una garantía bancaria de anticipo, dentro de los quince días hábiles siguientes a partir de la vigencia del presente contrato, por el cien</w:t>
            </w:r>
            <w:r w:rsidRPr="00727C7F">
              <w:rPr>
                <w:rFonts w:ascii="Arial" w:hAnsi="Arial" w:cs="Arial"/>
                <w:sz w:val="22"/>
                <w:szCs w:val="22"/>
                <w:lang w:val="es-HN"/>
              </w:rPr>
              <w:t xml:space="preserve"> el 100% del monto otorgado, con una vigencia de </w:t>
            </w:r>
            <w:r w:rsidRPr="00727C7F">
              <w:rPr>
                <w:rFonts w:ascii="Arial" w:hAnsi="Arial" w:cs="Arial"/>
                <w:b/>
                <w:sz w:val="22"/>
                <w:szCs w:val="22"/>
                <w:lang w:val="es-HN"/>
              </w:rPr>
              <w:t>500 días calendario</w:t>
            </w:r>
            <w:r w:rsidRPr="00727C7F">
              <w:rPr>
                <w:rFonts w:ascii="Arial" w:hAnsi="Arial" w:cs="Arial"/>
                <w:sz w:val="22"/>
                <w:szCs w:val="22"/>
                <w:lang w:val="es-NI"/>
              </w:rPr>
              <w:t xml:space="preserve"> </w:t>
            </w:r>
            <w:r w:rsidRPr="00727C7F">
              <w:rPr>
                <w:rFonts w:ascii="Arial" w:hAnsi="Arial" w:cs="Arial"/>
                <w:b/>
                <w:sz w:val="22"/>
                <w:szCs w:val="22"/>
                <w:lang w:val="es-HN"/>
              </w:rPr>
              <w:t>contados a partir de la Orden de Inicio.</w:t>
            </w:r>
          </w:p>
          <w:p w14:paraId="57D12F13" w14:textId="77777777" w:rsidR="004307E6" w:rsidRPr="00727C7F" w:rsidRDefault="004307E6" w:rsidP="008F02F4">
            <w:pPr>
              <w:spacing w:before="100" w:after="100"/>
              <w:ind w:right="74"/>
              <w:rPr>
                <w:rFonts w:ascii="Arial" w:hAnsi="Arial" w:cs="Arial"/>
                <w:sz w:val="22"/>
                <w:szCs w:val="22"/>
                <w:lang w:val="es-NI"/>
              </w:rPr>
            </w:pPr>
            <w:r w:rsidRPr="00727C7F">
              <w:rPr>
                <w:rFonts w:ascii="Arial" w:hAnsi="Arial" w:cs="Arial"/>
                <w:sz w:val="22"/>
                <w:szCs w:val="22"/>
                <w:lang w:val="es-ES"/>
              </w:rPr>
              <w:t xml:space="preserve">Esta garantía deberá ser </w:t>
            </w:r>
            <w:r w:rsidRPr="00727C7F">
              <w:rPr>
                <w:rFonts w:ascii="Arial" w:hAnsi="Arial" w:cs="Arial"/>
                <w:b/>
                <w:sz w:val="22"/>
                <w:szCs w:val="22"/>
                <w:lang w:val="es-ES"/>
              </w:rPr>
              <w:t xml:space="preserve">tipo “Bancaria” </w:t>
            </w:r>
            <w:r w:rsidRPr="00727C7F">
              <w:rPr>
                <w:rFonts w:ascii="Arial" w:hAnsi="Arial" w:cs="Arial"/>
                <w:sz w:val="22"/>
                <w:szCs w:val="22"/>
                <w:lang w:val="es-HN"/>
              </w:rPr>
              <w:t>de fácil ejecución que sea incondicional y a primer requerimiento y</w:t>
            </w:r>
            <w:r w:rsidRPr="00727C7F">
              <w:rPr>
                <w:rFonts w:ascii="Arial" w:hAnsi="Arial" w:cs="Arial"/>
                <w:sz w:val="22"/>
                <w:szCs w:val="22"/>
                <w:lang w:val="es-ES"/>
              </w:rPr>
              <w:t xml:space="preserve"> </w:t>
            </w:r>
            <w:r w:rsidRPr="00727C7F">
              <w:rPr>
                <w:rFonts w:ascii="Arial" w:hAnsi="Arial" w:cs="Arial"/>
                <w:sz w:val="22"/>
                <w:szCs w:val="22"/>
                <w:lang w:val="es-HN"/>
              </w:rPr>
              <w:t xml:space="preserve">emitida por </w:t>
            </w:r>
            <w:r w:rsidRPr="00727C7F">
              <w:rPr>
                <w:rFonts w:ascii="Arial" w:hAnsi="Arial" w:cs="Arial"/>
                <w:sz w:val="22"/>
                <w:szCs w:val="22"/>
                <w:lang w:val="es-NI"/>
              </w:rPr>
              <w:t xml:space="preserve">una entidad autorizada por la Superintendencia de bancos y otras instituciones financieras (SIBOIF). </w:t>
            </w:r>
          </w:p>
          <w:p w14:paraId="0F07C05A" w14:textId="77777777" w:rsidR="004307E6" w:rsidRPr="00142AD5" w:rsidRDefault="004307E6" w:rsidP="008F02F4">
            <w:pPr>
              <w:spacing w:before="60" w:after="60"/>
              <w:rPr>
                <w:rFonts w:ascii="Arial" w:hAnsi="Arial" w:cs="Arial"/>
                <w:i/>
                <w:iCs/>
                <w:spacing w:val="-3"/>
                <w:sz w:val="22"/>
                <w:szCs w:val="22"/>
              </w:rPr>
            </w:pPr>
            <w:r w:rsidRPr="00727C7F">
              <w:rPr>
                <w:rFonts w:ascii="Arial" w:hAnsi="Arial" w:cs="Arial"/>
                <w:spacing w:val="-3"/>
                <w:sz w:val="22"/>
                <w:szCs w:val="22"/>
              </w:rPr>
              <w:t>La Garantía de Anticipo debe permanecer vigente hasta que el anticipo sea amortizado totalmente.  En caso que se requiera prorrogar, se podrá emitir por el monto pendiente de amortizar.</w:t>
            </w:r>
          </w:p>
        </w:tc>
      </w:tr>
      <w:tr w:rsidR="004307E6" w:rsidRPr="00142AD5" w14:paraId="0FBF9E40" w14:textId="77777777" w:rsidTr="008F02F4">
        <w:tc>
          <w:tcPr>
            <w:tcW w:w="990" w:type="dxa"/>
            <w:shd w:val="clear" w:color="auto" w:fill="auto"/>
          </w:tcPr>
          <w:p w14:paraId="1AE04CEE"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49.2</w:t>
            </w:r>
          </w:p>
        </w:tc>
        <w:tc>
          <w:tcPr>
            <w:tcW w:w="8370" w:type="dxa"/>
            <w:shd w:val="clear" w:color="auto" w:fill="auto"/>
          </w:tcPr>
          <w:p w14:paraId="29F3F9B7" w14:textId="77777777" w:rsidR="004307E6" w:rsidRPr="00142AD5" w:rsidRDefault="004307E6" w:rsidP="008F02F4">
            <w:pPr>
              <w:spacing w:before="60" w:after="60"/>
              <w:rPr>
                <w:rFonts w:ascii="Arial" w:hAnsi="Arial" w:cs="Arial"/>
                <w:spacing w:val="-3"/>
                <w:sz w:val="22"/>
                <w:szCs w:val="22"/>
              </w:rPr>
            </w:pPr>
            <w:r w:rsidRPr="009204E2">
              <w:rPr>
                <w:rFonts w:ascii="Arial" w:hAnsi="Arial" w:cs="Arial"/>
                <w:spacing w:val="-3"/>
                <w:sz w:val="22"/>
                <w:szCs w:val="22"/>
                <w:lang w:val="es-HN"/>
              </w:rPr>
              <w:t xml:space="preserve">El plazo para que </w:t>
            </w:r>
            <w:r w:rsidRPr="009204E2">
              <w:rPr>
                <w:rFonts w:ascii="Arial" w:hAnsi="Arial" w:cs="Arial"/>
                <w:spacing w:val="-3"/>
                <w:sz w:val="22"/>
                <w:szCs w:val="22"/>
              </w:rPr>
              <w:t>el Gerente de Obras verifique la solicitud de pago de Avaluó del Contratista y, en caso de aceptación, certifique la suma que deberá pagársele es de diez días calendarios.</w:t>
            </w:r>
          </w:p>
        </w:tc>
      </w:tr>
      <w:tr w:rsidR="004307E6" w:rsidRPr="00142AD5" w14:paraId="57B3CF79" w14:textId="77777777" w:rsidTr="008F02F4">
        <w:tc>
          <w:tcPr>
            <w:tcW w:w="990" w:type="dxa"/>
          </w:tcPr>
          <w:p w14:paraId="4526BCA4"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50.1</w:t>
            </w:r>
          </w:p>
        </w:tc>
        <w:tc>
          <w:tcPr>
            <w:tcW w:w="8370" w:type="dxa"/>
          </w:tcPr>
          <w:p w14:paraId="7A1FACAD" w14:textId="77777777" w:rsidR="004307E6" w:rsidRPr="00142AD5" w:rsidRDefault="004307E6" w:rsidP="008F02F4">
            <w:pPr>
              <w:spacing w:before="60" w:after="60"/>
              <w:rPr>
                <w:rFonts w:ascii="Arial" w:hAnsi="Arial" w:cs="Arial"/>
                <w:spacing w:val="-3"/>
                <w:sz w:val="22"/>
                <w:szCs w:val="22"/>
                <w:lang w:val="es-HN"/>
              </w:rPr>
            </w:pPr>
            <w:r>
              <w:rPr>
                <w:rFonts w:ascii="Arial" w:hAnsi="Arial" w:cs="Arial"/>
                <w:i/>
                <w:iCs/>
                <w:color w:val="FF0000"/>
                <w:spacing w:val="-3"/>
                <w:sz w:val="22"/>
                <w:szCs w:val="22"/>
              </w:rPr>
              <w:t>No Aplica</w:t>
            </w:r>
          </w:p>
          <w:p w14:paraId="2C306588" w14:textId="77777777" w:rsidR="004307E6" w:rsidRPr="00142AD5" w:rsidRDefault="004307E6" w:rsidP="008F02F4">
            <w:pPr>
              <w:spacing w:before="60" w:after="60"/>
              <w:rPr>
                <w:rFonts w:ascii="Arial" w:hAnsi="Arial" w:cs="Arial"/>
                <w:spacing w:val="-3"/>
                <w:sz w:val="22"/>
                <w:szCs w:val="22"/>
                <w:lang w:val="es-HN"/>
              </w:rPr>
            </w:pPr>
          </w:p>
        </w:tc>
      </w:tr>
      <w:tr w:rsidR="004307E6" w:rsidRPr="00142AD5" w14:paraId="56B6C2F8" w14:textId="77777777" w:rsidTr="008F02F4">
        <w:tc>
          <w:tcPr>
            <w:tcW w:w="990" w:type="dxa"/>
          </w:tcPr>
          <w:p w14:paraId="282B3039" w14:textId="77777777" w:rsidR="004307E6" w:rsidRPr="00C003D4" w:rsidRDefault="004307E6" w:rsidP="008F02F4">
            <w:pPr>
              <w:spacing w:before="60" w:after="60"/>
              <w:jc w:val="center"/>
              <w:rPr>
                <w:rFonts w:ascii="Arial" w:hAnsi="Arial" w:cs="Arial"/>
                <w:b/>
                <w:bCs/>
                <w:sz w:val="22"/>
                <w:szCs w:val="22"/>
                <w:highlight w:val="green"/>
              </w:rPr>
            </w:pPr>
            <w:r w:rsidRPr="00C003D4">
              <w:rPr>
                <w:rFonts w:ascii="Arial" w:hAnsi="Arial" w:cs="Arial"/>
                <w:b/>
                <w:bCs/>
                <w:sz w:val="22"/>
                <w:szCs w:val="22"/>
                <w:highlight w:val="green"/>
              </w:rPr>
              <w:t>50.2</w:t>
            </w:r>
          </w:p>
        </w:tc>
        <w:tc>
          <w:tcPr>
            <w:tcW w:w="8370" w:type="dxa"/>
          </w:tcPr>
          <w:p w14:paraId="1BE5B754" w14:textId="77777777" w:rsidR="004307E6" w:rsidRPr="00C003D4" w:rsidRDefault="004307E6" w:rsidP="008F02F4">
            <w:pPr>
              <w:spacing w:before="60" w:after="60"/>
              <w:rPr>
                <w:rFonts w:ascii="Arial" w:hAnsi="Arial" w:cs="Arial"/>
                <w:spacing w:val="-3"/>
                <w:sz w:val="22"/>
                <w:szCs w:val="22"/>
                <w:highlight w:val="green"/>
                <w:lang w:val="es-HN"/>
              </w:rPr>
            </w:pPr>
            <w:r w:rsidRPr="00C003D4">
              <w:rPr>
                <w:rFonts w:ascii="Arial" w:hAnsi="Arial" w:cs="Arial"/>
                <w:sz w:val="22"/>
                <w:szCs w:val="22"/>
                <w:highlight w:val="green"/>
                <w:lang w:val="es-ES"/>
              </w:rPr>
              <w:t xml:space="preserve"> El plazo para el pago al Contratista de los montos certificados por el Gerente de Obras es de treinta (30) días a partir de la fecha de cada certificado</w:t>
            </w:r>
          </w:p>
        </w:tc>
      </w:tr>
      <w:tr w:rsidR="004307E6" w:rsidRPr="00142AD5" w14:paraId="3DF30F16" w14:textId="77777777" w:rsidTr="008F02F4">
        <w:tc>
          <w:tcPr>
            <w:tcW w:w="990" w:type="dxa"/>
          </w:tcPr>
          <w:p w14:paraId="3C627970" w14:textId="77777777" w:rsidR="004307E6" w:rsidRPr="00DC1E05" w:rsidRDefault="004307E6" w:rsidP="008F02F4">
            <w:pPr>
              <w:spacing w:before="60" w:after="60"/>
              <w:jc w:val="center"/>
              <w:rPr>
                <w:rFonts w:ascii="Arial" w:hAnsi="Arial" w:cs="Arial"/>
                <w:b/>
                <w:bCs/>
                <w:sz w:val="22"/>
                <w:szCs w:val="22"/>
                <w:highlight w:val="green"/>
              </w:rPr>
            </w:pPr>
            <w:r w:rsidRPr="00DC1E05">
              <w:rPr>
                <w:rFonts w:ascii="Arial" w:hAnsi="Arial" w:cs="Arial"/>
                <w:b/>
                <w:bCs/>
                <w:sz w:val="22"/>
                <w:szCs w:val="22"/>
                <w:highlight w:val="green"/>
              </w:rPr>
              <w:lastRenderedPageBreak/>
              <w:t>50.3</w:t>
            </w:r>
          </w:p>
        </w:tc>
        <w:tc>
          <w:tcPr>
            <w:tcW w:w="8370" w:type="dxa"/>
          </w:tcPr>
          <w:p w14:paraId="28D99342" w14:textId="77777777" w:rsidR="004307E6" w:rsidRPr="00DC1E05" w:rsidRDefault="004307E6" w:rsidP="008F02F4">
            <w:pPr>
              <w:spacing w:before="60" w:after="60"/>
              <w:rPr>
                <w:rFonts w:ascii="Arial" w:hAnsi="Arial" w:cs="Arial"/>
                <w:spacing w:val="-3"/>
                <w:sz w:val="22"/>
                <w:szCs w:val="22"/>
                <w:highlight w:val="green"/>
                <w:lang w:val="es-HN"/>
              </w:rPr>
            </w:pPr>
            <w:r w:rsidRPr="00DC1E05">
              <w:rPr>
                <w:rFonts w:ascii="Arial" w:hAnsi="Arial" w:cs="Arial"/>
                <w:sz w:val="22"/>
                <w:szCs w:val="22"/>
                <w:highlight w:val="green"/>
                <w:lang w:val="es-ES"/>
              </w:rPr>
              <w:t xml:space="preserve">La tasa de interés para los pagos atrasados es: </w:t>
            </w:r>
            <w:r w:rsidRPr="00DC1E05">
              <w:rPr>
                <w:rFonts w:ascii="Arial" w:hAnsi="Arial" w:cs="Arial"/>
                <w:b/>
                <w:i/>
                <w:iCs/>
                <w:sz w:val="22"/>
                <w:szCs w:val="22"/>
                <w:highlight w:val="green"/>
                <w:lang w:val="es-ES"/>
              </w:rPr>
              <w:t>No aplica</w:t>
            </w:r>
            <w:r w:rsidRPr="00DC1E05">
              <w:rPr>
                <w:rFonts w:ascii="Arial" w:hAnsi="Arial" w:cs="Arial"/>
                <w:i/>
                <w:iCs/>
                <w:sz w:val="22"/>
                <w:szCs w:val="22"/>
                <w:highlight w:val="green"/>
                <w:lang w:val="es-ES"/>
              </w:rPr>
              <w:t xml:space="preserve"> </w:t>
            </w:r>
          </w:p>
        </w:tc>
      </w:tr>
      <w:tr w:rsidR="004307E6" w:rsidRPr="00142AD5" w14:paraId="50FCCDDA" w14:textId="77777777" w:rsidTr="008F02F4">
        <w:tc>
          <w:tcPr>
            <w:tcW w:w="990" w:type="dxa"/>
          </w:tcPr>
          <w:p w14:paraId="30969D1A"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51.1</w:t>
            </w:r>
          </w:p>
        </w:tc>
        <w:tc>
          <w:tcPr>
            <w:tcW w:w="8370" w:type="dxa"/>
          </w:tcPr>
          <w:p w14:paraId="1D15CDAE" w14:textId="77777777" w:rsidR="004307E6" w:rsidRDefault="004307E6" w:rsidP="008F02F4">
            <w:pPr>
              <w:spacing w:before="60" w:after="60"/>
            </w:pPr>
            <w:r w:rsidRPr="00142AD5">
              <w:rPr>
                <w:rFonts w:ascii="Arial" w:hAnsi="Arial" w:cs="Arial"/>
                <w:sz w:val="22"/>
                <w:szCs w:val="22"/>
              </w:rPr>
              <w:t xml:space="preserve">La moneda del país del Contratante es: </w:t>
            </w:r>
            <w:r w:rsidRPr="009A2402">
              <w:rPr>
                <w:rFonts w:ascii="Arial" w:hAnsi="Arial" w:cs="Arial"/>
                <w:sz w:val="22"/>
                <w:szCs w:val="22"/>
              </w:rPr>
              <w:t>Córdoba.</w:t>
            </w:r>
            <w:r>
              <w:t xml:space="preserve"> </w:t>
            </w:r>
          </w:p>
          <w:p w14:paraId="688060E1" w14:textId="77777777" w:rsidR="004307E6" w:rsidRDefault="004307E6" w:rsidP="008F02F4">
            <w:pPr>
              <w:spacing w:before="60" w:after="60"/>
              <w:rPr>
                <w:rFonts w:ascii="Arial" w:hAnsi="Arial" w:cs="Arial"/>
                <w:sz w:val="22"/>
                <w:szCs w:val="22"/>
                <w:lang w:val="es-NI"/>
              </w:rPr>
            </w:pPr>
            <w:r w:rsidRPr="008C0759">
              <w:rPr>
                <w:rFonts w:ascii="Arial" w:hAnsi="Arial" w:cs="Arial"/>
                <w:sz w:val="22"/>
                <w:szCs w:val="22"/>
                <w:lang w:val="es-NI"/>
              </w:rPr>
              <w:t>Se pagará el valor del Contrato, menos el impuesto directo d</w:t>
            </w:r>
            <w:r>
              <w:rPr>
                <w:rFonts w:ascii="Arial" w:hAnsi="Arial" w:cs="Arial"/>
                <w:sz w:val="22"/>
                <w:szCs w:val="22"/>
                <w:lang w:val="es-NI"/>
              </w:rPr>
              <w:t>e retenciones sobre la renta (I</w:t>
            </w:r>
            <w:r w:rsidRPr="008C0759">
              <w:rPr>
                <w:rFonts w:ascii="Arial" w:hAnsi="Arial" w:cs="Arial"/>
                <w:sz w:val="22"/>
                <w:szCs w:val="22"/>
                <w:lang w:val="es-NI"/>
              </w:rPr>
              <w:t>R), en moneda córdobas equivalentes   a dólares de los Estados Unidos de América al tipo de cambio oficial del Banco Central de Nicaragua a la fecha de emisión de cada cheque respectivo.</w:t>
            </w:r>
          </w:p>
          <w:p w14:paraId="20117B52" w14:textId="77777777" w:rsidR="004307E6" w:rsidRDefault="004307E6" w:rsidP="008F02F4">
            <w:pPr>
              <w:spacing w:before="60" w:after="60"/>
              <w:rPr>
                <w:rFonts w:ascii="Arial" w:hAnsi="Arial" w:cs="Arial"/>
                <w:sz w:val="22"/>
                <w:szCs w:val="22"/>
                <w:lang w:val="es-NI"/>
              </w:rPr>
            </w:pPr>
          </w:p>
          <w:p w14:paraId="59B4BBA0" w14:textId="77777777" w:rsidR="004307E6" w:rsidRDefault="004307E6" w:rsidP="008F02F4">
            <w:pPr>
              <w:spacing w:before="60" w:after="60"/>
              <w:rPr>
                <w:rFonts w:ascii="Arial" w:hAnsi="Arial" w:cs="Arial"/>
                <w:sz w:val="22"/>
                <w:szCs w:val="22"/>
                <w:lang w:val="es-NI"/>
              </w:rPr>
            </w:pPr>
            <w:r>
              <w:rPr>
                <w:rFonts w:ascii="Arial" w:hAnsi="Arial" w:cs="Arial"/>
                <w:sz w:val="22"/>
                <w:szCs w:val="22"/>
                <w:lang w:val="es-NI"/>
              </w:rPr>
              <w:t>Pagos por avance de obra, recibidos a plena satisfacción.</w:t>
            </w:r>
          </w:p>
          <w:p w14:paraId="058EC3DE" w14:textId="77777777" w:rsidR="004307E6" w:rsidRPr="00142AD5" w:rsidRDefault="004307E6" w:rsidP="008F02F4">
            <w:pPr>
              <w:spacing w:before="60" w:after="60"/>
              <w:rPr>
                <w:rFonts w:ascii="Arial" w:hAnsi="Arial" w:cs="Arial"/>
                <w:sz w:val="22"/>
                <w:szCs w:val="22"/>
              </w:rPr>
            </w:pPr>
          </w:p>
        </w:tc>
      </w:tr>
      <w:tr w:rsidR="004307E6" w:rsidRPr="00142AD5" w14:paraId="509B6C09" w14:textId="77777777" w:rsidTr="008F02F4">
        <w:tc>
          <w:tcPr>
            <w:tcW w:w="990" w:type="dxa"/>
            <w:shd w:val="clear" w:color="auto" w:fill="auto"/>
          </w:tcPr>
          <w:p w14:paraId="0D71F280"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54.1</w:t>
            </w:r>
          </w:p>
        </w:tc>
        <w:tc>
          <w:tcPr>
            <w:tcW w:w="8370" w:type="dxa"/>
            <w:shd w:val="clear" w:color="auto" w:fill="auto"/>
          </w:tcPr>
          <w:p w14:paraId="6770C4DB" w14:textId="77777777" w:rsidR="004307E6" w:rsidRPr="00E8097D" w:rsidRDefault="004307E6" w:rsidP="008F02F4">
            <w:pPr>
              <w:spacing w:before="60" w:after="60"/>
              <w:rPr>
                <w:rFonts w:ascii="Arial" w:hAnsi="Arial" w:cs="Arial"/>
                <w:i/>
                <w:iCs/>
                <w:color w:val="FF0000"/>
                <w:sz w:val="22"/>
                <w:szCs w:val="22"/>
              </w:rPr>
            </w:pPr>
            <w:r w:rsidRPr="00E8097D">
              <w:rPr>
                <w:rFonts w:ascii="Arial" w:hAnsi="Arial" w:cs="Arial"/>
                <w:sz w:val="22"/>
                <w:szCs w:val="22"/>
              </w:rPr>
              <w:t xml:space="preserve">El Contrato </w:t>
            </w:r>
            <w:r w:rsidRPr="00E8097D">
              <w:rPr>
                <w:rFonts w:ascii="Arial" w:hAnsi="Arial" w:cs="Arial"/>
                <w:i/>
                <w:iCs/>
                <w:color w:val="4472C4" w:themeColor="accent1"/>
                <w:sz w:val="22"/>
                <w:szCs w:val="22"/>
              </w:rPr>
              <w:t xml:space="preserve">no está  </w:t>
            </w:r>
            <w:r w:rsidRPr="00E8097D">
              <w:rPr>
                <w:rFonts w:ascii="Arial" w:hAnsi="Arial" w:cs="Arial"/>
                <w:sz w:val="22"/>
                <w:szCs w:val="22"/>
              </w:rPr>
              <w:t>sujeto a ajuste de precios de conformidad con la Cláusula 54 de las CGC, y consecuentemente la siguiente información en relación con los coeficientes</w:t>
            </w:r>
            <w:r w:rsidRPr="00E8097D">
              <w:rPr>
                <w:rFonts w:ascii="Arial" w:hAnsi="Arial" w:cs="Arial"/>
                <w:i/>
                <w:iCs/>
                <w:sz w:val="22"/>
                <w:szCs w:val="22"/>
              </w:rPr>
              <w:t xml:space="preserve"> (</w:t>
            </w:r>
            <w:r w:rsidRPr="00E8097D">
              <w:rPr>
                <w:rFonts w:ascii="Arial" w:hAnsi="Arial" w:cs="Arial"/>
                <w:i/>
                <w:iCs/>
                <w:color w:val="4472C4" w:themeColor="accent1"/>
                <w:sz w:val="22"/>
                <w:szCs w:val="22"/>
              </w:rPr>
              <w:t>no se aplica)</w:t>
            </w:r>
          </w:p>
          <w:p w14:paraId="6C3CF3C7" w14:textId="77777777" w:rsidR="004307E6" w:rsidRPr="00E8097D" w:rsidRDefault="004307E6" w:rsidP="008F02F4">
            <w:pPr>
              <w:spacing w:before="60" w:after="60"/>
              <w:rPr>
                <w:rFonts w:ascii="Arial" w:hAnsi="Arial" w:cs="Arial"/>
                <w:sz w:val="22"/>
                <w:szCs w:val="22"/>
              </w:rPr>
            </w:pPr>
            <w:r w:rsidRPr="00E8097D">
              <w:rPr>
                <w:rFonts w:ascii="Arial" w:hAnsi="Arial" w:cs="Arial"/>
                <w:sz w:val="22"/>
                <w:szCs w:val="22"/>
              </w:rPr>
              <w:t>Los coeficientes para el ajuste de precios son:</w:t>
            </w:r>
          </w:p>
          <w:p w14:paraId="7960FA8C" w14:textId="77777777" w:rsidR="004307E6" w:rsidRPr="00E8097D" w:rsidRDefault="004307E6" w:rsidP="008F02F4">
            <w:pPr>
              <w:numPr>
                <w:ilvl w:val="0"/>
                <w:numId w:val="77"/>
              </w:numPr>
              <w:tabs>
                <w:tab w:val="num" w:pos="360"/>
              </w:tabs>
              <w:spacing w:before="60" w:after="60"/>
              <w:jc w:val="left"/>
              <w:rPr>
                <w:rFonts w:ascii="Arial" w:hAnsi="Arial" w:cs="Arial"/>
                <w:i/>
                <w:iCs/>
                <w:sz w:val="22"/>
                <w:szCs w:val="22"/>
              </w:rPr>
            </w:pPr>
            <w:r w:rsidRPr="00E8097D">
              <w:rPr>
                <w:rFonts w:ascii="Arial" w:hAnsi="Arial" w:cs="Arial"/>
                <w:sz w:val="22"/>
                <w:szCs w:val="22"/>
              </w:rPr>
              <w:t>Para</w:t>
            </w:r>
            <w:r w:rsidRPr="00E8097D">
              <w:rPr>
                <w:rFonts w:ascii="Arial" w:hAnsi="Arial" w:cs="Arial"/>
                <w:color w:val="FF0000"/>
                <w:sz w:val="22"/>
                <w:szCs w:val="22"/>
              </w:rPr>
              <w:t xml:space="preserve"> (</w:t>
            </w:r>
            <w:r w:rsidRPr="00E8097D">
              <w:rPr>
                <w:rFonts w:ascii="Arial" w:hAnsi="Arial" w:cs="Arial"/>
                <w:i/>
                <w:iCs/>
                <w:color w:val="FF0000"/>
                <w:sz w:val="22"/>
                <w:szCs w:val="22"/>
              </w:rPr>
              <w:t>indique el nombre de la moneda):</w:t>
            </w:r>
          </w:p>
          <w:p w14:paraId="1878C45F" w14:textId="77777777" w:rsidR="004307E6" w:rsidRPr="00E8097D" w:rsidRDefault="004307E6" w:rsidP="008F02F4">
            <w:pPr>
              <w:spacing w:before="60" w:after="60"/>
              <w:ind w:left="789" w:hanging="450"/>
              <w:jc w:val="left"/>
              <w:rPr>
                <w:rFonts w:ascii="Arial" w:hAnsi="Arial" w:cs="Arial"/>
                <w:sz w:val="22"/>
                <w:szCs w:val="22"/>
              </w:rPr>
            </w:pPr>
            <w:r w:rsidRPr="00E8097D">
              <w:rPr>
                <w:rFonts w:ascii="Arial" w:hAnsi="Arial" w:cs="Arial"/>
                <w:sz w:val="22"/>
                <w:szCs w:val="22"/>
              </w:rPr>
              <w:t xml:space="preserve">(i) </w:t>
            </w:r>
            <w:r w:rsidRPr="00E8097D">
              <w:rPr>
                <w:rFonts w:ascii="Arial" w:hAnsi="Arial" w:cs="Arial"/>
                <w:sz w:val="22"/>
                <w:szCs w:val="22"/>
              </w:rPr>
              <w:tab/>
            </w:r>
            <w:r w:rsidRPr="00E8097D">
              <w:rPr>
                <w:rFonts w:ascii="Arial" w:hAnsi="Arial" w:cs="Arial"/>
                <w:i/>
                <w:iCs/>
                <w:color w:val="FF0000"/>
                <w:sz w:val="22"/>
                <w:szCs w:val="22"/>
              </w:rPr>
              <w:t xml:space="preserve">(indique el porcentaje) </w:t>
            </w:r>
            <w:r w:rsidRPr="00E8097D">
              <w:rPr>
                <w:rFonts w:ascii="Arial" w:hAnsi="Arial" w:cs="Arial"/>
                <w:sz w:val="22"/>
                <w:szCs w:val="22"/>
              </w:rPr>
              <w:t>% es la porción no ajustable (coeficiente A).</w:t>
            </w:r>
          </w:p>
          <w:p w14:paraId="6C123F8F" w14:textId="77777777" w:rsidR="004307E6" w:rsidRPr="00E8097D" w:rsidRDefault="004307E6" w:rsidP="008F02F4">
            <w:pPr>
              <w:spacing w:before="60" w:after="60"/>
              <w:ind w:left="789" w:hanging="450"/>
              <w:jc w:val="left"/>
              <w:rPr>
                <w:rFonts w:ascii="Arial" w:hAnsi="Arial" w:cs="Arial"/>
                <w:sz w:val="22"/>
                <w:szCs w:val="22"/>
              </w:rPr>
            </w:pPr>
            <w:r w:rsidRPr="00E8097D">
              <w:rPr>
                <w:rFonts w:ascii="Arial" w:hAnsi="Arial" w:cs="Arial"/>
                <w:sz w:val="22"/>
                <w:szCs w:val="22"/>
              </w:rPr>
              <w:t>(ii)</w:t>
            </w:r>
            <w:r w:rsidRPr="00E8097D">
              <w:rPr>
                <w:rFonts w:ascii="Arial" w:hAnsi="Arial" w:cs="Arial"/>
                <w:sz w:val="22"/>
                <w:szCs w:val="22"/>
              </w:rPr>
              <w:tab/>
            </w:r>
            <w:r w:rsidRPr="00E8097D">
              <w:rPr>
                <w:rFonts w:ascii="Arial" w:hAnsi="Arial" w:cs="Arial"/>
                <w:i/>
                <w:iCs/>
                <w:color w:val="FF0000"/>
                <w:sz w:val="22"/>
                <w:szCs w:val="22"/>
              </w:rPr>
              <w:t xml:space="preserve">(indique el porcentaje) </w:t>
            </w:r>
            <w:r w:rsidRPr="00E8097D">
              <w:rPr>
                <w:rFonts w:ascii="Arial" w:hAnsi="Arial" w:cs="Arial"/>
                <w:sz w:val="22"/>
                <w:szCs w:val="22"/>
              </w:rPr>
              <w:t>% es la porción ajustable (coeficiente B).</w:t>
            </w:r>
          </w:p>
          <w:p w14:paraId="131D42FE" w14:textId="77777777" w:rsidR="004307E6" w:rsidRPr="00E8097D" w:rsidRDefault="004307E6" w:rsidP="008F02F4">
            <w:pPr>
              <w:spacing w:before="60" w:after="60"/>
              <w:ind w:left="789" w:hanging="450"/>
              <w:jc w:val="left"/>
              <w:rPr>
                <w:rFonts w:ascii="Arial" w:hAnsi="Arial" w:cs="Arial"/>
                <w:sz w:val="22"/>
                <w:szCs w:val="22"/>
              </w:rPr>
            </w:pPr>
            <w:r w:rsidRPr="00E8097D">
              <w:rPr>
                <w:rFonts w:ascii="Arial" w:hAnsi="Arial" w:cs="Arial"/>
                <w:sz w:val="22"/>
                <w:szCs w:val="22"/>
              </w:rPr>
              <w:t>….</w:t>
            </w:r>
          </w:p>
          <w:p w14:paraId="649FCF6E" w14:textId="77777777" w:rsidR="004307E6" w:rsidRPr="00E8097D" w:rsidRDefault="004307E6" w:rsidP="008F02F4">
            <w:pPr>
              <w:numPr>
                <w:ilvl w:val="0"/>
                <w:numId w:val="77"/>
              </w:numPr>
              <w:tabs>
                <w:tab w:val="num" w:pos="360"/>
              </w:tabs>
              <w:spacing w:before="60" w:after="60"/>
              <w:jc w:val="left"/>
              <w:rPr>
                <w:rFonts w:ascii="Arial" w:hAnsi="Arial" w:cs="Arial"/>
                <w:i/>
                <w:iCs/>
                <w:sz w:val="22"/>
                <w:szCs w:val="22"/>
              </w:rPr>
            </w:pPr>
            <w:r w:rsidRPr="00E8097D">
              <w:rPr>
                <w:rFonts w:ascii="Arial" w:hAnsi="Arial" w:cs="Arial"/>
                <w:sz w:val="22"/>
                <w:szCs w:val="22"/>
              </w:rPr>
              <w:t xml:space="preserve">Para </w:t>
            </w:r>
            <w:r w:rsidRPr="00E8097D">
              <w:rPr>
                <w:rFonts w:ascii="Arial" w:hAnsi="Arial" w:cs="Arial"/>
                <w:i/>
                <w:iCs/>
                <w:color w:val="FF0000"/>
                <w:sz w:val="22"/>
                <w:szCs w:val="22"/>
              </w:rPr>
              <w:t>(indique el nombre de la moneda</w:t>
            </w:r>
            <w:r w:rsidRPr="00E8097D">
              <w:rPr>
                <w:rFonts w:ascii="Arial" w:hAnsi="Arial" w:cs="Arial"/>
                <w:i/>
                <w:iCs/>
                <w:sz w:val="22"/>
                <w:szCs w:val="22"/>
              </w:rPr>
              <w:t>):</w:t>
            </w:r>
          </w:p>
          <w:p w14:paraId="61E5A1E6" w14:textId="77777777" w:rsidR="004307E6" w:rsidRPr="00E8097D" w:rsidRDefault="004307E6" w:rsidP="008F02F4">
            <w:pPr>
              <w:spacing w:before="60" w:after="60"/>
              <w:ind w:left="789" w:hanging="450"/>
              <w:jc w:val="left"/>
              <w:rPr>
                <w:rFonts w:ascii="Arial" w:hAnsi="Arial" w:cs="Arial"/>
                <w:sz w:val="22"/>
                <w:szCs w:val="22"/>
              </w:rPr>
            </w:pPr>
            <w:r w:rsidRPr="00E8097D">
              <w:rPr>
                <w:rFonts w:ascii="Arial" w:hAnsi="Arial" w:cs="Arial"/>
                <w:sz w:val="22"/>
                <w:szCs w:val="22"/>
              </w:rPr>
              <w:t xml:space="preserve">(i) </w:t>
            </w:r>
            <w:r w:rsidRPr="00E8097D">
              <w:rPr>
                <w:rFonts w:ascii="Arial" w:hAnsi="Arial" w:cs="Arial"/>
                <w:sz w:val="22"/>
                <w:szCs w:val="22"/>
              </w:rPr>
              <w:tab/>
            </w:r>
            <w:r w:rsidRPr="00E8097D">
              <w:rPr>
                <w:rFonts w:ascii="Arial" w:hAnsi="Arial" w:cs="Arial"/>
                <w:i/>
                <w:iCs/>
                <w:color w:val="FF0000"/>
                <w:sz w:val="22"/>
                <w:szCs w:val="22"/>
              </w:rPr>
              <w:t xml:space="preserve">(indique el porcentaje) </w:t>
            </w:r>
            <w:r w:rsidRPr="00E8097D">
              <w:rPr>
                <w:rFonts w:ascii="Arial" w:hAnsi="Arial" w:cs="Arial"/>
                <w:sz w:val="22"/>
                <w:szCs w:val="22"/>
              </w:rPr>
              <w:t>% es la porción no ajustable (coeficiente A).</w:t>
            </w:r>
          </w:p>
          <w:p w14:paraId="4180E6D2" w14:textId="77777777" w:rsidR="004307E6" w:rsidRPr="00E8097D" w:rsidRDefault="004307E6" w:rsidP="008F02F4">
            <w:pPr>
              <w:spacing w:before="60" w:after="60"/>
              <w:ind w:left="789" w:hanging="450"/>
              <w:jc w:val="left"/>
              <w:rPr>
                <w:rFonts w:ascii="Arial" w:hAnsi="Arial" w:cs="Arial"/>
                <w:sz w:val="22"/>
                <w:szCs w:val="22"/>
              </w:rPr>
            </w:pPr>
            <w:r w:rsidRPr="00E8097D">
              <w:rPr>
                <w:rFonts w:ascii="Arial" w:hAnsi="Arial" w:cs="Arial"/>
                <w:sz w:val="22"/>
                <w:szCs w:val="22"/>
              </w:rPr>
              <w:t>(ii)</w:t>
            </w:r>
            <w:r w:rsidRPr="00E8097D">
              <w:rPr>
                <w:rFonts w:ascii="Arial" w:hAnsi="Arial" w:cs="Arial"/>
                <w:sz w:val="22"/>
                <w:szCs w:val="22"/>
              </w:rPr>
              <w:tab/>
            </w:r>
            <w:r w:rsidRPr="00E8097D">
              <w:rPr>
                <w:rFonts w:ascii="Arial" w:hAnsi="Arial" w:cs="Arial"/>
                <w:i/>
                <w:iCs/>
                <w:color w:val="FF0000"/>
                <w:sz w:val="22"/>
                <w:szCs w:val="22"/>
              </w:rPr>
              <w:t xml:space="preserve">(indique el porcentaje) </w:t>
            </w:r>
            <w:r w:rsidRPr="00E8097D">
              <w:rPr>
                <w:rFonts w:ascii="Arial" w:hAnsi="Arial" w:cs="Arial"/>
                <w:sz w:val="22"/>
                <w:szCs w:val="22"/>
              </w:rPr>
              <w:t>% es la porción ajustable (coeficiente B).</w:t>
            </w:r>
          </w:p>
          <w:p w14:paraId="0923E035" w14:textId="77777777" w:rsidR="004307E6" w:rsidRPr="00E8097D" w:rsidRDefault="004307E6" w:rsidP="008F02F4">
            <w:pPr>
              <w:spacing w:before="60" w:after="60"/>
              <w:ind w:left="789" w:hanging="450"/>
              <w:jc w:val="left"/>
              <w:rPr>
                <w:rFonts w:ascii="Arial" w:hAnsi="Arial" w:cs="Arial"/>
                <w:sz w:val="22"/>
                <w:szCs w:val="22"/>
              </w:rPr>
            </w:pPr>
          </w:p>
          <w:p w14:paraId="405D0388" w14:textId="77777777" w:rsidR="004307E6" w:rsidRPr="00E8097D" w:rsidRDefault="004307E6" w:rsidP="008F02F4">
            <w:pPr>
              <w:spacing w:before="60" w:after="60"/>
              <w:ind w:left="792" w:hanging="720"/>
              <w:jc w:val="left"/>
              <w:rPr>
                <w:rFonts w:ascii="Arial" w:hAnsi="Arial" w:cs="Arial"/>
                <w:i/>
                <w:iCs/>
                <w:sz w:val="22"/>
                <w:szCs w:val="22"/>
              </w:rPr>
            </w:pPr>
            <w:r w:rsidRPr="00E8097D">
              <w:rPr>
                <w:rFonts w:ascii="Arial" w:hAnsi="Arial" w:cs="Arial"/>
                <w:sz w:val="22"/>
                <w:szCs w:val="22"/>
              </w:rPr>
              <w:t xml:space="preserve">El índice I para la moneda local será </w:t>
            </w:r>
            <w:r w:rsidRPr="00E8097D">
              <w:rPr>
                <w:rFonts w:ascii="Arial" w:hAnsi="Arial" w:cs="Arial"/>
                <w:i/>
                <w:iCs/>
                <w:color w:val="FF0000"/>
                <w:sz w:val="22"/>
                <w:szCs w:val="22"/>
              </w:rPr>
              <w:t>(indique el índice).</w:t>
            </w:r>
          </w:p>
          <w:p w14:paraId="4B5D4DAD" w14:textId="77777777" w:rsidR="004307E6" w:rsidRPr="00E8097D" w:rsidRDefault="004307E6" w:rsidP="008F02F4">
            <w:pPr>
              <w:spacing w:before="60" w:after="60"/>
              <w:ind w:left="792" w:hanging="720"/>
              <w:jc w:val="left"/>
              <w:rPr>
                <w:rFonts w:ascii="Arial" w:hAnsi="Arial" w:cs="Arial"/>
                <w:i/>
                <w:iCs/>
                <w:sz w:val="22"/>
                <w:szCs w:val="22"/>
              </w:rPr>
            </w:pPr>
          </w:p>
          <w:p w14:paraId="5579B472" w14:textId="77777777" w:rsidR="004307E6" w:rsidRPr="00E8097D" w:rsidRDefault="004307E6" w:rsidP="008F02F4">
            <w:pPr>
              <w:spacing w:before="60" w:after="60"/>
              <w:ind w:left="792" w:hanging="720"/>
              <w:jc w:val="left"/>
              <w:rPr>
                <w:rFonts w:ascii="Arial" w:hAnsi="Arial" w:cs="Arial"/>
                <w:i/>
                <w:iCs/>
                <w:sz w:val="22"/>
                <w:szCs w:val="22"/>
              </w:rPr>
            </w:pPr>
            <w:r w:rsidRPr="00E8097D">
              <w:rPr>
                <w:rFonts w:ascii="Arial" w:hAnsi="Arial" w:cs="Arial"/>
                <w:sz w:val="22"/>
                <w:szCs w:val="22"/>
              </w:rPr>
              <w:t xml:space="preserve">El índice I para la moneda internacional indicada será </w:t>
            </w:r>
            <w:r w:rsidRPr="00E8097D">
              <w:rPr>
                <w:rFonts w:ascii="Arial" w:hAnsi="Arial" w:cs="Arial"/>
                <w:i/>
                <w:iCs/>
                <w:color w:val="FF0000"/>
                <w:sz w:val="22"/>
                <w:szCs w:val="22"/>
              </w:rPr>
              <w:t>(indique el índice)</w:t>
            </w:r>
            <w:r w:rsidRPr="00E8097D">
              <w:rPr>
                <w:rFonts w:ascii="Arial" w:hAnsi="Arial" w:cs="Arial"/>
                <w:i/>
                <w:iCs/>
                <w:sz w:val="22"/>
                <w:szCs w:val="22"/>
              </w:rPr>
              <w:t>.</w:t>
            </w:r>
          </w:p>
          <w:p w14:paraId="390C6802" w14:textId="77777777" w:rsidR="004307E6" w:rsidRPr="00E8097D" w:rsidRDefault="004307E6" w:rsidP="008F02F4">
            <w:pPr>
              <w:spacing w:before="60" w:after="60"/>
              <w:ind w:left="72"/>
              <w:jc w:val="left"/>
              <w:rPr>
                <w:rFonts w:ascii="Arial" w:hAnsi="Arial" w:cs="Arial"/>
                <w:i/>
                <w:iCs/>
                <w:color w:val="FF0000"/>
                <w:sz w:val="22"/>
                <w:szCs w:val="22"/>
              </w:rPr>
            </w:pPr>
            <w:r w:rsidRPr="00E8097D">
              <w:rPr>
                <w:rFonts w:ascii="Arial" w:hAnsi="Arial" w:cs="Arial"/>
                <w:i/>
                <w:iCs/>
                <w:color w:val="FF0000"/>
                <w:sz w:val="22"/>
                <w:szCs w:val="22"/>
              </w:rPr>
              <w:t>(Estos índices referenciales serán propuestos por el Contratista, sujetos a la aprobación del Contratante).</w:t>
            </w:r>
          </w:p>
          <w:p w14:paraId="2BFEF277" w14:textId="77777777" w:rsidR="004307E6" w:rsidRPr="00E8097D" w:rsidRDefault="004307E6" w:rsidP="008F02F4">
            <w:pPr>
              <w:spacing w:before="60" w:after="60"/>
              <w:ind w:left="72"/>
              <w:rPr>
                <w:rFonts w:ascii="Arial" w:hAnsi="Arial" w:cs="Arial"/>
                <w:i/>
                <w:iCs/>
                <w:sz w:val="22"/>
                <w:szCs w:val="22"/>
              </w:rPr>
            </w:pPr>
            <w:r w:rsidRPr="00E8097D">
              <w:rPr>
                <w:rFonts w:ascii="Arial" w:hAnsi="Arial" w:cs="Arial"/>
                <w:sz w:val="22"/>
                <w:szCs w:val="22"/>
              </w:rPr>
              <w:t xml:space="preserve">El índice I para todas las monedas, excepto para la moneda local y la moneda internacional indicada, será </w:t>
            </w:r>
            <w:r w:rsidRPr="00E8097D">
              <w:rPr>
                <w:rFonts w:ascii="Arial" w:hAnsi="Arial" w:cs="Arial"/>
                <w:i/>
                <w:iCs/>
                <w:color w:val="FF0000"/>
                <w:sz w:val="22"/>
                <w:szCs w:val="22"/>
              </w:rPr>
              <w:t>(indique el índice).</w:t>
            </w:r>
          </w:p>
          <w:p w14:paraId="6EA87B9F" w14:textId="77777777" w:rsidR="004307E6" w:rsidRPr="00142AD5" w:rsidRDefault="004307E6" w:rsidP="008F02F4">
            <w:pPr>
              <w:pStyle w:val="Outline"/>
              <w:spacing w:before="60" w:after="60"/>
              <w:ind w:left="72"/>
              <w:rPr>
                <w:rFonts w:ascii="Arial" w:hAnsi="Arial" w:cs="Arial"/>
                <w:kern w:val="0"/>
                <w:sz w:val="22"/>
                <w:szCs w:val="22"/>
              </w:rPr>
            </w:pPr>
            <w:r w:rsidRPr="00E8097D">
              <w:rPr>
                <w:rFonts w:ascii="Arial" w:hAnsi="Arial" w:cs="Arial"/>
                <w:i/>
                <w:iCs/>
                <w:color w:val="FF0000"/>
                <w:sz w:val="22"/>
                <w:szCs w:val="22"/>
              </w:rPr>
              <w:t>(Estos índices referenciales serán propuestos por el Contratista, sujetos a la aprobación del Contratante).</w:t>
            </w:r>
          </w:p>
        </w:tc>
      </w:tr>
      <w:tr w:rsidR="004307E6" w:rsidRPr="00B34315" w14:paraId="6A2B4E44" w14:textId="77777777" w:rsidTr="008F02F4">
        <w:tc>
          <w:tcPr>
            <w:tcW w:w="990" w:type="dxa"/>
          </w:tcPr>
          <w:p w14:paraId="758C770C" w14:textId="77777777" w:rsidR="004307E6" w:rsidRPr="00DC1E05" w:rsidRDefault="004307E6" w:rsidP="008F02F4">
            <w:pPr>
              <w:spacing w:before="60" w:after="60"/>
              <w:jc w:val="center"/>
              <w:rPr>
                <w:rFonts w:ascii="Arial" w:hAnsi="Arial" w:cs="Arial"/>
                <w:b/>
                <w:bCs/>
                <w:sz w:val="22"/>
                <w:szCs w:val="22"/>
                <w:highlight w:val="green"/>
              </w:rPr>
            </w:pPr>
            <w:r w:rsidRPr="00DC1E05">
              <w:rPr>
                <w:rFonts w:ascii="Arial" w:hAnsi="Arial" w:cs="Arial"/>
                <w:b/>
                <w:bCs/>
                <w:sz w:val="22"/>
                <w:szCs w:val="22"/>
                <w:highlight w:val="green"/>
              </w:rPr>
              <w:t>55.1</w:t>
            </w:r>
          </w:p>
        </w:tc>
        <w:tc>
          <w:tcPr>
            <w:tcW w:w="8370" w:type="dxa"/>
          </w:tcPr>
          <w:p w14:paraId="28C00923" w14:textId="77777777" w:rsidR="004307E6" w:rsidRPr="00DC1E05" w:rsidRDefault="004307E6" w:rsidP="008F02F4">
            <w:pPr>
              <w:spacing w:before="120" w:after="120"/>
              <w:rPr>
                <w:rFonts w:ascii="Arial" w:hAnsi="Arial" w:cs="Arial"/>
                <w:i/>
                <w:iCs/>
                <w:color w:val="FF0000"/>
                <w:sz w:val="22"/>
                <w:szCs w:val="22"/>
                <w:highlight w:val="green"/>
              </w:rPr>
            </w:pPr>
            <w:r w:rsidRPr="00DC1E05">
              <w:rPr>
                <w:rFonts w:ascii="Arial" w:hAnsi="Arial" w:cs="Arial"/>
                <w:sz w:val="22"/>
                <w:szCs w:val="22"/>
                <w:highlight w:val="green"/>
              </w:rPr>
              <w:t xml:space="preserve">La proporción que se retendrá de los de pagos es: </w:t>
            </w:r>
            <w:r w:rsidRPr="00DC1E05">
              <w:rPr>
                <w:rFonts w:ascii="Arial" w:hAnsi="Arial" w:cs="Arial"/>
                <w:i/>
                <w:iCs/>
                <w:sz w:val="22"/>
                <w:szCs w:val="22"/>
                <w:highlight w:val="green"/>
              </w:rPr>
              <w:t>No aplica.</w:t>
            </w:r>
          </w:p>
        </w:tc>
      </w:tr>
      <w:tr w:rsidR="004307E6" w:rsidRPr="00142AD5" w14:paraId="74524B79" w14:textId="77777777" w:rsidTr="008F02F4">
        <w:tc>
          <w:tcPr>
            <w:tcW w:w="990" w:type="dxa"/>
          </w:tcPr>
          <w:p w14:paraId="1A667CA5"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55.3</w:t>
            </w:r>
          </w:p>
        </w:tc>
        <w:tc>
          <w:tcPr>
            <w:tcW w:w="8370" w:type="dxa"/>
          </w:tcPr>
          <w:p w14:paraId="68C875AB" w14:textId="77777777" w:rsidR="004307E6" w:rsidRPr="00AD1FB3" w:rsidRDefault="004307E6" w:rsidP="008F02F4">
            <w:pPr>
              <w:spacing w:before="120" w:after="120"/>
              <w:rPr>
                <w:rFonts w:ascii="Arial" w:hAnsi="Arial" w:cs="Arial"/>
                <w:i/>
                <w:iCs/>
                <w:sz w:val="22"/>
                <w:szCs w:val="22"/>
              </w:rPr>
            </w:pPr>
            <w:r w:rsidRPr="00AD1FB3">
              <w:rPr>
                <w:rFonts w:ascii="Arial" w:hAnsi="Arial" w:cs="Arial"/>
                <w:sz w:val="22"/>
                <w:szCs w:val="22"/>
              </w:rPr>
              <w:t xml:space="preserve">La sustitución de la retención posterior a la Fecha de terminación de las Obras a la que se refiere la subcláusula 55.3 de las CGC será mediante la presentación de una garantía de calidad conforme a lo siguiente: </w:t>
            </w:r>
          </w:p>
          <w:p w14:paraId="6D571602" w14:textId="77777777" w:rsidR="004307E6" w:rsidRPr="00AD1FB3" w:rsidRDefault="004307E6" w:rsidP="008F02F4">
            <w:pPr>
              <w:spacing w:before="120" w:after="120"/>
              <w:rPr>
                <w:rFonts w:ascii="Arial" w:hAnsi="Arial" w:cs="Arial"/>
                <w:i/>
                <w:iCs/>
                <w:sz w:val="22"/>
                <w:szCs w:val="22"/>
              </w:rPr>
            </w:pPr>
            <w:r w:rsidRPr="00AD1FB3">
              <w:rPr>
                <w:rFonts w:ascii="Arial" w:hAnsi="Arial" w:cs="Arial"/>
                <w:iCs/>
                <w:sz w:val="22"/>
                <w:szCs w:val="22"/>
              </w:rPr>
              <w:t>Tipo de instrumento</w:t>
            </w:r>
            <w:r w:rsidRPr="00AD1FB3">
              <w:rPr>
                <w:rFonts w:ascii="Arial" w:hAnsi="Arial" w:cs="Arial"/>
                <w:i/>
                <w:iCs/>
                <w:sz w:val="22"/>
                <w:szCs w:val="22"/>
              </w:rPr>
              <w:t>: Garantía Bancaria de Vicios Oculto a primer requerimiento</w:t>
            </w:r>
          </w:p>
          <w:p w14:paraId="40F4325A" w14:textId="77777777" w:rsidR="004307E6" w:rsidRPr="00AD1FB3" w:rsidRDefault="004307E6" w:rsidP="008F02F4">
            <w:pPr>
              <w:spacing w:before="120" w:after="120"/>
              <w:rPr>
                <w:rFonts w:ascii="Arial" w:hAnsi="Arial" w:cs="Arial"/>
                <w:i/>
                <w:iCs/>
                <w:sz w:val="22"/>
                <w:szCs w:val="22"/>
              </w:rPr>
            </w:pPr>
            <w:r w:rsidRPr="00AD1FB3">
              <w:rPr>
                <w:rFonts w:ascii="Arial" w:hAnsi="Arial" w:cs="Arial"/>
                <w:iCs/>
                <w:sz w:val="22"/>
                <w:szCs w:val="22"/>
              </w:rPr>
              <w:t>Monto:</w:t>
            </w:r>
            <w:r w:rsidRPr="00AD1FB3">
              <w:rPr>
                <w:rFonts w:ascii="Arial" w:hAnsi="Arial" w:cs="Arial"/>
                <w:i/>
                <w:iCs/>
                <w:sz w:val="22"/>
                <w:szCs w:val="22"/>
              </w:rPr>
              <w:t xml:space="preserve">  Cinco por ciento (5%) del precio del Contrato, Moneda Dolar de los </w:t>
            </w:r>
            <w:r>
              <w:rPr>
                <w:rFonts w:ascii="Arial" w:hAnsi="Arial" w:cs="Arial"/>
                <w:i/>
                <w:iCs/>
                <w:sz w:val="22"/>
                <w:szCs w:val="22"/>
              </w:rPr>
              <w:t>Estados Unidos de Norte América.</w:t>
            </w:r>
          </w:p>
          <w:p w14:paraId="733C88A0" w14:textId="77777777" w:rsidR="004307E6" w:rsidRPr="00142AD5" w:rsidRDefault="004307E6" w:rsidP="008F02F4">
            <w:pPr>
              <w:spacing w:before="120" w:after="120"/>
              <w:rPr>
                <w:rFonts w:ascii="Arial" w:hAnsi="Arial" w:cs="Arial"/>
                <w:sz w:val="22"/>
                <w:szCs w:val="22"/>
              </w:rPr>
            </w:pPr>
            <w:r w:rsidRPr="00AD1FB3">
              <w:rPr>
                <w:rFonts w:ascii="Arial" w:hAnsi="Arial" w:cs="Arial"/>
                <w:iCs/>
                <w:sz w:val="22"/>
                <w:szCs w:val="22"/>
              </w:rPr>
              <w:lastRenderedPageBreak/>
              <w:t>Vigencia: Doce Meses  contados a partir de la fecha de emisión del Acta de Recepción Final de las obras</w:t>
            </w:r>
            <w:r w:rsidRPr="00AD1FB3">
              <w:rPr>
                <w:rFonts w:ascii="Arial" w:hAnsi="Arial" w:cs="Arial"/>
                <w:i/>
                <w:iCs/>
                <w:sz w:val="22"/>
                <w:szCs w:val="22"/>
              </w:rPr>
              <w:t xml:space="preserve"> </w:t>
            </w:r>
          </w:p>
        </w:tc>
      </w:tr>
      <w:tr w:rsidR="004307E6" w:rsidRPr="00142AD5" w14:paraId="20E4D408" w14:textId="77777777" w:rsidTr="008F02F4">
        <w:tc>
          <w:tcPr>
            <w:tcW w:w="990" w:type="dxa"/>
            <w:shd w:val="clear" w:color="auto" w:fill="auto"/>
          </w:tcPr>
          <w:p w14:paraId="142649C9" w14:textId="77777777" w:rsidR="004307E6" w:rsidRPr="00BD59D4" w:rsidRDefault="004307E6" w:rsidP="008F02F4">
            <w:pPr>
              <w:spacing w:before="120" w:after="120"/>
              <w:rPr>
                <w:rFonts w:ascii="Arial" w:hAnsi="Arial" w:cs="Arial"/>
                <w:sz w:val="22"/>
                <w:szCs w:val="22"/>
                <w:highlight w:val="green"/>
              </w:rPr>
            </w:pPr>
            <w:r w:rsidRPr="00BD59D4">
              <w:rPr>
                <w:rFonts w:ascii="Arial" w:hAnsi="Arial" w:cs="Arial"/>
                <w:sz w:val="22"/>
                <w:szCs w:val="22"/>
                <w:highlight w:val="green"/>
              </w:rPr>
              <w:lastRenderedPageBreak/>
              <w:t>56.1</w:t>
            </w:r>
          </w:p>
        </w:tc>
        <w:tc>
          <w:tcPr>
            <w:tcW w:w="8370" w:type="dxa"/>
            <w:shd w:val="clear" w:color="auto" w:fill="auto"/>
          </w:tcPr>
          <w:p w14:paraId="1BE95BFE" w14:textId="77777777" w:rsidR="004307E6" w:rsidRPr="00BD59D4" w:rsidRDefault="004307E6" w:rsidP="008F02F4">
            <w:pPr>
              <w:spacing w:before="120" w:after="120"/>
              <w:rPr>
                <w:rFonts w:ascii="Arial" w:hAnsi="Arial" w:cs="Arial"/>
                <w:sz w:val="22"/>
                <w:szCs w:val="22"/>
                <w:highlight w:val="green"/>
              </w:rPr>
            </w:pPr>
            <w:r w:rsidRPr="00BD59D4">
              <w:rPr>
                <w:rFonts w:ascii="Arial" w:hAnsi="Arial" w:cs="Arial"/>
                <w:sz w:val="22"/>
                <w:szCs w:val="22"/>
                <w:highlight w:val="green"/>
              </w:rPr>
              <w:t>El monto de la indemnización por daños y perjuicios para la totalidad de las Obras es del 0.05 y 0.10 por ciento por día. El monto máximo de la indemnización por daños y perjuicios para la totalidad de las Obras es 5 al 10 por ciento del precio final del Contrato.</w:t>
            </w:r>
          </w:p>
          <w:p w14:paraId="627AED0C" w14:textId="77777777" w:rsidR="004307E6" w:rsidRPr="00BD59D4" w:rsidRDefault="004307E6" w:rsidP="008F02F4">
            <w:pPr>
              <w:spacing w:before="120" w:after="120"/>
              <w:rPr>
                <w:rFonts w:ascii="Arial" w:hAnsi="Arial" w:cs="Arial"/>
                <w:sz w:val="22"/>
                <w:szCs w:val="22"/>
                <w:highlight w:val="green"/>
              </w:rPr>
            </w:pPr>
            <w:r w:rsidRPr="00BD59D4">
              <w:rPr>
                <w:rFonts w:ascii="Arial" w:hAnsi="Arial" w:cs="Arial"/>
                <w:sz w:val="22"/>
                <w:szCs w:val="22"/>
                <w:highlight w:val="green"/>
              </w:rPr>
              <w:t>(Generalmente la indemnización por daños y perjuicios se establece entre el 0.05 y 0.10 por ciento por día, y el monto total no deberá exceder del 5 al 10 por ciento del Precio del Contrato. Si se han acordado terminaciones por secciones e indemnizaciones por daños y perjuicio por secciones, aquí se deberá especificar el monto de estas últimas.)</w:t>
            </w:r>
          </w:p>
        </w:tc>
      </w:tr>
      <w:tr w:rsidR="004307E6" w:rsidRPr="00142AD5" w14:paraId="3FECE7F7" w14:textId="77777777" w:rsidTr="008F02F4">
        <w:tc>
          <w:tcPr>
            <w:tcW w:w="990" w:type="dxa"/>
          </w:tcPr>
          <w:p w14:paraId="05A6F540" w14:textId="77777777" w:rsidR="004307E6" w:rsidRPr="00BA78C9" w:rsidRDefault="004307E6" w:rsidP="008F02F4">
            <w:pPr>
              <w:spacing w:before="60" w:after="60"/>
              <w:jc w:val="center"/>
              <w:rPr>
                <w:rFonts w:ascii="Arial" w:hAnsi="Arial" w:cs="Arial"/>
                <w:b/>
                <w:bCs/>
                <w:sz w:val="22"/>
                <w:szCs w:val="22"/>
              </w:rPr>
            </w:pPr>
            <w:bookmarkStart w:id="2268" w:name="_Hlk23448785"/>
            <w:r w:rsidRPr="00BA78C9">
              <w:rPr>
                <w:rFonts w:ascii="Arial" w:hAnsi="Arial" w:cs="Arial"/>
                <w:b/>
                <w:bCs/>
                <w:sz w:val="22"/>
                <w:szCs w:val="22"/>
              </w:rPr>
              <w:t>56.2</w:t>
            </w:r>
          </w:p>
        </w:tc>
        <w:tc>
          <w:tcPr>
            <w:tcW w:w="8370" w:type="dxa"/>
          </w:tcPr>
          <w:p w14:paraId="711B5085" w14:textId="77777777" w:rsidR="004307E6" w:rsidRPr="00BA78C9" w:rsidRDefault="004307E6" w:rsidP="008F02F4">
            <w:pPr>
              <w:spacing w:before="120" w:after="120"/>
              <w:rPr>
                <w:rFonts w:ascii="Arial" w:hAnsi="Arial" w:cs="Arial"/>
                <w:spacing w:val="-3"/>
                <w:sz w:val="22"/>
                <w:szCs w:val="22"/>
              </w:rPr>
            </w:pPr>
            <w:r w:rsidRPr="00BA78C9">
              <w:rPr>
                <w:rFonts w:ascii="Arial" w:hAnsi="Arial" w:cs="Arial"/>
                <w:spacing w:val="-3"/>
                <w:sz w:val="22"/>
                <w:szCs w:val="22"/>
              </w:rPr>
              <w:t>La penalización por subsanar un defecto no corregido por el Contratista será del cien por ciento (100%) del costo de la corrección del defecto.</w:t>
            </w:r>
          </w:p>
        </w:tc>
      </w:tr>
      <w:bookmarkEnd w:id="2268"/>
      <w:tr w:rsidR="004307E6" w:rsidRPr="00337D42" w14:paraId="71D8C25B" w14:textId="77777777" w:rsidTr="008F02F4">
        <w:tc>
          <w:tcPr>
            <w:tcW w:w="990" w:type="dxa"/>
          </w:tcPr>
          <w:p w14:paraId="7E8BCD10" w14:textId="77777777" w:rsidR="004307E6" w:rsidRPr="00142AD5" w:rsidRDefault="004307E6" w:rsidP="008F02F4">
            <w:pPr>
              <w:spacing w:before="60" w:after="60"/>
              <w:jc w:val="center"/>
              <w:rPr>
                <w:rFonts w:ascii="Arial" w:hAnsi="Arial" w:cs="Arial"/>
                <w:b/>
                <w:bCs/>
                <w:sz w:val="22"/>
                <w:szCs w:val="22"/>
              </w:rPr>
            </w:pPr>
            <w:r w:rsidRPr="00142AD5">
              <w:rPr>
                <w:rFonts w:ascii="Arial" w:hAnsi="Arial" w:cs="Arial"/>
                <w:b/>
                <w:bCs/>
                <w:sz w:val="22"/>
                <w:szCs w:val="22"/>
              </w:rPr>
              <w:t>57.1</w:t>
            </w:r>
          </w:p>
        </w:tc>
        <w:tc>
          <w:tcPr>
            <w:tcW w:w="8370" w:type="dxa"/>
          </w:tcPr>
          <w:p w14:paraId="5446D2F3" w14:textId="77777777" w:rsidR="004307E6" w:rsidRPr="00337D42" w:rsidRDefault="004307E6" w:rsidP="008F02F4">
            <w:pPr>
              <w:pStyle w:val="Default"/>
              <w:jc w:val="both"/>
              <w:rPr>
                <w:rFonts w:ascii="Arial" w:hAnsi="Arial" w:cs="Arial"/>
                <w:sz w:val="22"/>
                <w:szCs w:val="22"/>
              </w:rPr>
            </w:pPr>
            <w:r w:rsidRPr="00337D42">
              <w:rPr>
                <w:rFonts w:ascii="Arial" w:hAnsi="Arial" w:cs="Arial"/>
                <w:sz w:val="22"/>
                <w:szCs w:val="22"/>
              </w:rPr>
              <w:t xml:space="preserve">La bonificación para la totalidad de las Obras es </w:t>
            </w:r>
            <w:r w:rsidRPr="000D5685">
              <w:rPr>
                <w:rFonts w:ascii="Arial" w:hAnsi="Arial" w:cs="Arial"/>
                <w:b/>
                <w:sz w:val="22"/>
                <w:szCs w:val="22"/>
              </w:rPr>
              <w:t>NO APLICA</w:t>
            </w:r>
            <w:r w:rsidRPr="00337D42">
              <w:rPr>
                <w:rFonts w:ascii="Arial" w:hAnsi="Arial" w:cs="Arial"/>
                <w:sz w:val="22"/>
                <w:szCs w:val="22"/>
              </w:rPr>
              <w:t xml:space="preserve">. </w:t>
            </w:r>
          </w:p>
          <w:p w14:paraId="3C17A319" w14:textId="77777777" w:rsidR="004307E6" w:rsidRPr="00337D42" w:rsidRDefault="004307E6" w:rsidP="008F02F4">
            <w:pPr>
              <w:pStyle w:val="Default"/>
              <w:jc w:val="both"/>
              <w:rPr>
                <w:rFonts w:ascii="Arial" w:hAnsi="Arial" w:cs="Arial"/>
                <w:spacing w:val="-3"/>
                <w:sz w:val="22"/>
                <w:szCs w:val="22"/>
              </w:rPr>
            </w:pPr>
            <w:r w:rsidRPr="00337D42">
              <w:rPr>
                <w:rFonts w:ascii="Arial" w:hAnsi="Arial" w:cs="Arial"/>
                <w:sz w:val="22"/>
                <w:szCs w:val="22"/>
              </w:rPr>
              <w:t xml:space="preserve">El monto máximo de la bonificación por la totalidad de las Obras es </w:t>
            </w:r>
            <w:r w:rsidRPr="000D5685">
              <w:rPr>
                <w:rFonts w:ascii="Arial" w:hAnsi="Arial" w:cs="Arial"/>
                <w:b/>
                <w:sz w:val="22"/>
                <w:szCs w:val="22"/>
              </w:rPr>
              <w:t>NO APLICA.</w:t>
            </w:r>
            <w:r w:rsidRPr="00337D42">
              <w:rPr>
                <w:rFonts w:ascii="Arial" w:hAnsi="Arial" w:cs="Arial"/>
                <w:sz w:val="22"/>
                <w:szCs w:val="22"/>
              </w:rPr>
              <w:t xml:space="preserve"> </w:t>
            </w:r>
          </w:p>
        </w:tc>
      </w:tr>
      <w:tr w:rsidR="004307E6" w:rsidRPr="00142AD5" w14:paraId="0FDC2B0A" w14:textId="77777777" w:rsidTr="008F02F4">
        <w:tc>
          <w:tcPr>
            <w:tcW w:w="9360" w:type="dxa"/>
            <w:gridSpan w:val="2"/>
            <w:shd w:val="clear" w:color="auto" w:fill="00B050"/>
          </w:tcPr>
          <w:p w14:paraId="23A519D1" w14:textId="77777777" w:rsidR="004307E6" w:rsidRPr="00B16265" w:rsidRDefault="004307E6" w:rsidP="008F02F4">
            <w:pPr>
              <w:spacing w:before="60" w:after="60"/>
              <w:jc w:val="center"/>
              <w:rPr>
                <w:rFonts w:ascii="Arial" w:hAnsi="Arial" w:cs="Arial"/>
                <w:b/>
                <w:bCs/>
                <w:color w:val="FFFFFF" w:themeColor="background1"/>
                <w:sz w:val="22"/>
                <w:szCs w:val="22"/>
              </w:rPr>
            </w:pPr>
            <w:r w:rsidRPr="00B16265">
              <w:rPr>
                <w:rFonts w:ascii="Arial" w:hAnsi="Arial" w:cs="Arial"/>
                <w:b/>
                <w:bCs/>
                <w:color w:val="FFFFFF" w:themeColor="background1"/>
                <w:sz w:val="22"/>
                <w:szCs w:val="22"/>
              </w:rPr>
              <w:t>E. Finalización del Contrato</w:t>
            </w:r>
          </w:p>
        </w:tc>
      </w:tr>
      <w:tr w:rsidR="004307E6" w:rsidRPr="00142AD5" w14:paraId="098011B5" w14:textId="77777777" w:rsidTr="008F02F4">
        <w:tc>
          <w:tcPr>
            <w:tcW w:w="990" w:type="dxa"/>
          </w:tcPr>
          <w:p w14:paraId="0C6BD662" w14:textId="77777777" w:rsidR="004307E6" w:rsidRPr="00DC1E05" w:rsidRDefault="004307E6" w:rsidP="008F02F4">
            <w:pPr>
              <w:spacing w:before="60" w:after="60"/>
              <w:jc w:val="center"/>
              <w:rPr>
                <w:rFonts w:ascii="Arial" w:hAnsi="Arial" w:cs="Arial"/>
                <w:b/>
                <w:bCs/>
                <w:sz w:val="22"/>
                <w:szCs w:val="22"/>
                <w:highlight w:val="green"/>
              </w:rPr>
            </w:pPr>
            <w:r w:rsidRPr="00DC1E05">
              <w:rPr>
                <w:rFonts w:ascii="Arial" w:hAnsi="Arial" w:cs="Arial"/>
                <w:b/>
                <w:bCs/>
                <w:sz w:val="22"/>
                <w:szCs w:val="22"/>
                <w:highlight w:val="green"/>
              </w:rPr>
              <w:t>63.1</w:t>
            </w:r>
          </w:p>
        </w:tc>
        <w:tc>
          <w:tcPr>
            <w:tcW w:w="8370" w:type="dxa"/>
          </w:tcPr>
          <w:p w14:paraId="200C2679" w14:textId="77777777" w:rsidR="004307E6" w:rsidRPr="00DC1E05" w:rsidRDefault="004307E6" w:rsidP="008F02F4">
            <w:pPr>
              <w:pStyle w:val="Default"/>
              <w:jc w:val="both"/>
              <w:rPr>
                <w:rFonts w:ascii="Arial" w:hAnsi="Arial" w:cs="Arial"/>
                <w:sz w:val="22"/>
                <w:szCs w:val="22"/>
                <w:highlight w:val="green"/>
              </w:rPr>
            </w:pPr>
            <w:r w:rsidRPr="00DC1E05">
              <w:rPr>
                <w:rFonts w:ascii="Arial" w:hAnsi="Arial" w:cs="Arial"/>
                <w:sz w:val="22"/>
                <w:szCs w:val="22"/>
                <w:highlight w:val="green"/>
              </w:rPr>
              <w:t xml:space="preserve">Los Manuales de operación y mantenimiento deberán presentarse a más tardar treinta (30) días calendario a partir del acta de recepción sustancial. </w:t>
            </w:r>
          </w:p>
          <w:p w14:paraId="0D2CC4A1" w14:textId="77777777" w:rsidR="004307E6" w:rsidRPr="00DC1E05" w:rsidRDefault="004307E6" w:rsidP="008F02F4">
            <w:pPr>
              <w:pStyle w:val="Default"/>
              <w:jc w:val="both"/>
              <w:rPr>
                <w:rFonts w:ascii="Arial" w:hAnsi="Arial" w:cs="Arial"/>
                <w:i/>
                <w:iCs/>
                <w:strike/>
                <w:spacing w:val="-3"/>
                <w:sz w:val="22"/>
                <w:szCs w:val="22"/>
                <w:highlight w:val="green"/>
              </w:rPr>
            </w:pPr>
            <w:r w:rsidRPr="00DC1E05">
              <w:rPr>
                <w:rFonts w:ascii="Arial" w:hAnsi="Arial" w:cs="Arial"/>
                <w:color w:val="0070C0"/>
                <w:spacing w:val="-3"/>
                <w:sz w:val="22"/>
                <w:szCs w:val="22"/>
                <w:highlight w:val="green"/>
              </w:rPr>
              <w:t>Los planos actualizados finales deberán presentarse a más tardar treinta (30) días calendarios a partir del acta de recepción sustancial</w:t>
            </w:r>
            <w:r w:rsidRPr="00DC1E05">
              <w:rPr>
                <w:rFonts w:ascii="Arial" w:hAnsi="Arial" w:cs="Arial"/>
                <w:i/>
                <w:iCs/>
                <w:color w:val="0070C0"/>
                <w:spacing w:val="-3"/>
                <w:sz w:val="22"/>
                <w:szCs w:val="22"/>
                <w:highlight w:val="green"/>
              </w:rPr>
              <w:t>.</w:t>
            </w:r>
          </w:p>
        </w:tc>
      </w:tr>
      <w:tr w:rsidR="004307E6" w:rsidRPr="00142AD5" w14:paraId="5D3C15C8" w14:textId="77777777" w:rsidTr="008F02F4">
        <w:tc>
          <w:tcPr>
            <w:tcW w:w="990" w:type="dxa"/>
          </w:tcPr>
          <w:p w14:paraId="11340F98" w14:textId="77777777" w:rsidR="004307E6" w:rsidRPr="00AD1FB3" w:rsidRDefault="004307E6" w:rsidP="008F02F4">
            <w:pPr>
              <w:spacing w:before="60" w:after="60"/>
              <w:jc w:val="center"/>
              <w:rPr>
                <w:rFonts w:ascii="Arial" w:hAnsi="Arial" w:cs="Arial"/>
                <w:b/>
                <w:bCs/>
                <w:sz w:val="22"/>
                <w:szCs w:val="22"/>
              </w:rPr>
            </w:pPr>
            <w:r w:rsidRPr="00AD1FB3">
              <w:rPr>
                <w:rFonts w:ascii="Arial" w:hAnsi="Arial" w:cs="Arial"/>
                <w:b/>
                <w:bCs/>
                <w:sz w:val="22"/>
                <w:szCs w:val="22"/>
              </w:rPr>
              <w:t>63.2</w:t>
            </w:r>
          </w:p>
        </w:tc>
        <w:tc>
          <w:tcPr>
            <w:tcW w:w="8370" w:type="dxa"/>
          </w:tcPr>
          <w:p w14:paraId="1546EE99" w14:textId="77777777" w:rsidR="004307E6" w:rsidRPr="009204E2" w:rsidRDefault="004307E6" w:rsidP="008F02F4">
            <w:pPr>
              <w:spacing w:before="60" w:after="60"/>
              <w:rPr>
                <w:rFonts w:ascii="Arial" w:hAnsi="Arial" w:cs="Arial"/>
                <w:i/>
                <w:iCs/>
                <w:spacing w:val="-3"/>
                <w:sz w:val="22"/>
                <w:szCs w:val="22"/>
              </w:rPr>
            </w:pPr>
            <w:r w:rsidRPr="009204E2">
              <w:rPr>
                <w:rFonts w:ascii="Arial" w:hAnsi="Arial" w:cs="Arial"/>
                <w:spacing w:val="-3"/>
                <w:sz w:val="22"/>
                <w:szCs w:val="22"/>
              </w:rPr>
              <w:t xml:space="preserve">La suma que se retendrá por no cumplir con la presentación de los planos finales y/o los manuales de operación y mantenimiento en la fecha establecida en las CGC 63.1 es de diez mil  (C$10,000.00) córdobas. </w:t>
            </w:r>
          </w:p>
        </w:tc>
      </w:tr>
      <w:tr w:rsidR="004307E6" w:rsidRPr="00142AD5" w14:paraId="17A91373" w14:textId="77777777" w:rsidTr="008F02F4">
        <w:tc>
          <w:tcPr>
            <w:tcW w:w="990" w:type="dxa"/>
            <w:shd w:val="clear" w:color="auto" w:fill="auto"/>
          </w:tcPr>
          <w:p w14:paraId="651C8E51" w14:textId="77777777" w:rsidR="004307E6" w:rsidRPr="00F93E3D" w:rsidRDefault="004307E6" w:rsidP="008F02F4">
            <w:pPr>
              <w:spacing w:before="60" w:after="60"/>
              <w:jc w:val="center"/>
              <w:rPr>
                <w:rFonts w:ascii="Arial" w:hAnsi="Arial" w:cs="Arial"/>
                <w:b/>
                <w:bCs/>
                <w:sz w:val="22"/>
                <w:szCs w:val="22"/>
                <w:highlight w:val="green"/>
              </w:rPr>
            </w:pPr>
            <w:r w:rsidRPr="00F93E3D">
              <w:rPr>
                <w:rFonts w:ascii="Arial" w:hAnsi="Arial" w:cs="Arial"/>
                <w:b/>
                <w:bCs/>
                <w:sz w:val="22"/>
                <w:szCs w:val="22"/>
                <w:highlight w:val="green"/>
              </w:rPr>
              <w:t>64.1 (c)</w:t>
            </w:r>
          </w:p>
        </w:tc>
        <w:tc>
          <w:tcPr>
            <w:tcW w:w="8370" w:type="dxa"/>
            <w:shd w:val="clear" w:color="auto" w:fill="auto"/>
          </w:tcPr>
          <w:p w14:paraId="138CB283" w14:textId="77777777" w:rsidR="004307E6" w:rsidRPr="00F93E3D" w:rsidRDefault="004307E6" w:rsidP="008F02F4">
            <w:pPr>
              <w:spacing w:before="60" w:after="60"/>
              <w:rPr>
                <w:rFonts w:ascii="Arial" w:hAnsi="Arial" w:cs="Arial"/>
                <w:i/>
                <w:iCs/>
                <w:spacing w:val="-3"/>
                <w:sz w:val="22"/>
                <w:szCs w:val="22"/>
                <w:highlight w:val="green"/>
              </w:rPr>
            </w:pPr>
            <w:r w:rsidRPr="00F93E3D">
              <w:rPr>
                <w:rFonts w:ascii="Arial" w:hAnsi="Arial" w:cs="Arial"/>
                <w:spacing w:val="-3"/>
                <w:sz w:val="22"/>
                <w:szCs w:val="22"/>
                <w:highlight w:val="green"/>
              </w:rPr>
              <w:t xml:space="preserve">El número máximo de días es </w:t>
            </w:r>
            <w:r w:rsidRPr="00F93E3D">
              <w:rPr>
                <w:rFonts w:ascii="Arial" w:hAnsi="Arial" w:cs="Arial"/>
                <w:i/>
                <w:iCs/>
                <w:color w:val="FF0000"/>
                <w:spacing w:val="-3"/>
                <w:sz w:val="22"/>
                <w:szCs w:val="22"/>
                <w:highlight w:val="green"/>
              </w:rPr>
              <w:t xml:space="preserve"> de 36;( consistente con la Subcláusula 56.1 sobre liquidación por daños y perjuicios).</w:t>
            </w:r>
          </w:p>
        </w:tc>
      </w:tr>
      <w:tr w:rsidR="004307E6" w:rsidRPr="00142AD5" w14:paraId="5BD7B615" w14:textId="77777777" w:rsidTr="008F02F4">
        <w:tc>
          <w:tcPr>
            <w:tcW w:w="990" w:type="dxa"/>
            <w:shd w:val="clear" w:color="auto" w:fill="auto"/>
          </w:tcPr>
          <w:p w14:paraId="4C5BDDAC" w14:textId="77777777" w:rsidR="004307E6" w:rsidRPr="00F93E3D" w:rsidRDefault="004307E6" w:rsidP="008F02F4">
            <w:pPr>
              <w:spacing w:before="60" w:after="60"/>
              <w:jc w:val="center"/>
              <w:rPr>
                <w:rFonts w:ascii="Arial" w:hAnsi="Arial" w:cs="Arial"/>
                <w:b/>
                <w:bCs/>
                <w:sz w:val="22"/>
                <w:szCs w:val="22"/>
                <w:highlight w:val="green"/>
              </w:rPr>
            </w:pPr>
            <w:r w:rsidRPr="00F93E3D">
              <w:rPr>
                <w:rFonts w:ascii="Arial" w:hAnsi="Arial" w:cs="Arial"/>
                <w:b/>
                <w:bCs/>
                <w:sz w:val="22"/>
                <w:szCs w:val="22"/>
                <w:highlight w:val="green"/>
              </w:rPr>
              <w:t>66.1</w:t>
            </w:r>
          </w:p>
        </w:tc>
        <w:tc>
          <w:tcPr>
            <w:tcW w:w="8370" w:type="dxa"/>
            <w:shd w:val="clear" w:color="auto" w:fill="auto"/>
          </w:tcPr>
          <w:p w14:paraId="7B53E07B" w14:textId="77777777" w:rsidR="004307E6" w:rsidRPr="00F93E3D" w:rsidRDefault="004307E6" w:rsidP="008F02F4">
            <w:pPr>
              <w:spacing w:before="60" w:after="60"/>
              <w:rPr>
                <w:rFonts w:ascii="Arial" w:hAnsi="Arial" w:cs="Arial"/>
                <w:i/>
                <w:iCs/>
                <w:spacing w:val="-3"/>
                <w:sz w:val="22"/>
                <w:szCs w:val="22"/>
                <w:highlight w:val="green"/>
              </w:rPr>
            </w:pPr>
            <w:r w:rsidRPr="00F93E3D">
              <w:rPr>
                <w:rFonts w:ascii="Arial" w:hAnsi="Arial" w:cs="Arial"/>
                <w:spacing w:val="-3"/>
                <w:sz w:val="22"/>
                <w:szCs w:val="22"/>
                <w:highlight w:val="green"/>
              </w:rPr>
              <w:t>El porcentaje que se aplicará al valor de las Obras no terminadas para fines de pago posteriores a la terminación anticipada se establecerá</w:t>
            </w:r>
            <w:r w:rsidRPr="00F93E3D">
              <w:rPr>
                <w:rFonts w:ascii="Arial" w:hAnsi="Arial" w:cs="Arial"/>
                <w:i/>
                <w:iCs/>
                <w:color w:val="FF0000"/>
                <w:spacing w:val="-3"/>
                <w:sz w:val="22"/>
                <w:szCs w:val="22"/>
                <w:highlight w:val="green"/>
              </w:rPr>
              <w:t xml:space="preserve"> en el informe de finiquito correspondiente.(En caso que aplique)</w:t>
            </w:r>
          </w:p>
        </w:tc>
      </w:tr>
      <w:tr w:rsidR="004307E6" w:rsidRPr="00142AD5" w14:paraId="73B0D3B3" w14:textId="77777777" w:rsidTr="008F02F4">
        <w:tc>
          <w:tcPr>
            <w:tcW w:w="990" w:type="dxa"/>
            <w:shd w:val="clear" w:color="auto" w:fill="FFFFFF" w:themeFill="background1"/>
          </w:tcPr>
          <w:p w14:paraId="7D7136F1" w14:textId="77777777" w:rsidR="004307E6" w:rsidRPr="00AD1FB3" w:rsidRDefault="004307E6" w:rsidP="008F02F4">
            <w:pPr>
              <w:spacing w:before="60" w:after="60"/>
              <w:jc w:val="center"/>
              <w:rPr>
                <w:rFonts w:ascii="Arial" w:hAnsi="Arial" w:cs="Arial"/>
                <w:b/>
                <w:bCs/>
                <w:sz w:val="22"/>
                <w:szCs w:val="22"/>
              </w:rPr>
            </w:pPr>
            <w:r w:rsidRPr="00AD1FB3">
              <w:rPr>
                <w:rFonts w:ascii="Arial" w:hAnsi="Arial" w:cs="Arial"/>
                <w:b/>
                <w:bCs/>
                <w:sz w:val="22"/>
                <w:szCs w:val="22"/>
              </w:rPr>
              <w:t>67.1</w:t>
            </w:r>
          </w:p>
        </w:tc>
        <w:tc>
          <w:tcPr>
            <w:tcW w:w="8370" w:type="dxa"/>
            <w:shd w:val="clear" w:color="auto" w:fill="FFFFFF" w:themeFill="background1"/>
          </w:tcPr>
          <w:p w14:paraId="2072EB12" w14:textId="2BE48446" w:rsidR="004307E6" w:rsidRPr="009204E2" w:rsidRDefault="00790883" w:rsidP="008F02F4">
            <w:pPr>
              <w:spacing w:before="60" w:after="60"/>
              <w:rPr>
                <w:rFonts w:ascii="Arial" w:hAnsi="Arial" w:cs="Arial"/>
                <w:sz w:val="22"/>
                <w:szCs w:val="22"/>
                <w:lang w:val="es-MX"/>
              </w:rPr>
            </w:pPr>
            <w:r w:rsidRPr="00790883">
              <w:rPr>
                <w:rFonts w:ascii="Arial" w:hAnsi="Arial" w:cs="Arial"/>
                <w:sz w:val="22"/>
                <w:szCs w:val="22"/>
                <w:highlight w:val="green"/>
                <w:lang w:val="es-MX"/>
              </w:rPr>
              <w:t xml:space="preserve">Los </w:t>
            </w:r>
            <w:r w:rsidRPr="00790883">
              <w:rPr>
                <w:rFonts w:ascii="Arial" w:hAnsi="Arial" w:cs="Arial"/>
                <w:sz w:val="22"/>
                <w:szCs w:val="22"/>
                <w:highlight w:val="green"/>
              </w:rPr>
              <w:t>plazos</w:t>
            </w:r>
            <w:r w:rsidRPr="00790883">
              <w:rPr>
                <w:rFonts w:ascii="Arial" w:hAnsi="Arial" w:cs="Arial"/>
                <w:sz w:val="22"/>
                <w:szCs w:val="22"/>
                <w:highlight w:val="green"/>
                <w:lang w:val="es-MX"/>
              </w:rPr>
              <w:t xml:space="preserve"> contractuales para responsabilidad por vicios ocultos posterior a la emisión del Certificado de corrección de defectos son: a </w:t>
            </w:r>
            <w:r w:rsidRPr="00790883">
              <w:rPr>
                <w:rFonts w:ascii="Arial" w:hAnsi="Arial" w:cs="Arial"/>
                <w:i/>
                <w:iCs/>
                <w:sz w:val="22"/>
                <w:szCs w:val="22"/>
                <w:highlight w:val="green"/>
                <w:lang w:val="es-MX"/>
              </w:rPr>
              <w:t>1 año</w:t>
            </w:r>
            <w:r w:rsidRPr="00790883">
              <w:rPr>
                <w:rFonts w:ascii="Arial" w:hAnsi="Arial" w:cs="Arial"/>
                <w:sz w:val="22"/>
                <w:szCs w:val="22"/>
                <w:highlight w:val="green"/>
                <w:lang w:val="es-MX"/>
              </w:rPr>
              <w:t xml:space="preserve"> en caso de fallas o defectos estructurales.</w:t>
            </w:r>
          </w:p>
        </w:tc>
      </w:tr>
    </w:tbl>
    <w:p w14:paraId="61B662C6" w14:textId="77777777" w:rsidR="004307E6" w:rsidRDefault="004307E6" w:rsidP="004307E6">
      <w:pPr>
        <w:spacing w:before="60" w:after="60"/>
        <w:rPr>
          <w:color w:val="FF0000"/>
        </w:rPr>
      </w:pPr>
    </w:p>
    <w:p w14:paraId="6E1F7CC5" w14:textId="77777777" w:rsidR="004307E6" w:rsidRDefault="004307E6" w:rsidP="004307E6"/>
    <w:p w14:paraId="49028E66" w14:textId="77777777" w:rsidR="004307E6" w:rsidRDefault="004307E6" w:rsidP="004307E6">
      <w:pPr>
        <w:spacing w:after="160" w:line="259" w:lineRule="auto"/>
        <w:jc w:val="left"/>
        <w:sectPr w:rsidR="004307E6" w:rsidSect="00D52575">
          <w:pgSz w:w="12240" w:h="15840" w:code="1"/>
          <w:pgMar w:top="1152" w:right="1440" w:bottom="1440" w:left="1440" w:header="720" w:footer="720" w:gutter="0"/>
          <w:cols w:space="708"/>
          <w:titlePg/>
          <w:docGrid w:linePitch="360"/>
        </w:sectPr>
      </w:pPr>
    </w:p>
    <w:p w14:paraId="021DAA36" w14:textId="77777777" w:rsidR="004307E6" w:rsidRPr="00673FD3" w:rsidRDefault="004307E6" w:rsidP="004307E6">
      <w:pPr>
        <w:pStyle w:val="Ttulo1"/>
        <w:keepNext/>
        <w:keepLines/>
        <w:suppressAutoHyphens w:val="0"/>
        <w:spacing w:before="120" w:after="120"/>
        <w:ind w:left="1620" w:firstLine="540"/>
        <w:jc w:val="both"/>
        <w:rPr>
          <w:rFonts w:ascii="Arial" w:hAnsi="Arial" w:cs="Arial"/>
          <w:smallCaps w:val="0"/>
          <w:sz w:val="22"/>
          <w:szCs w:val="22"/>
          <w:lang w:val="es-ES"/>
        </w:rPr>
      </w:pPr>
      <w:bookmarkStart w:id="2269" w:name="_Toc490206599"/>
      <w:bookmarkStart w:id="2270" w:name="_Toc74048300"/>
      <w:bookmarkStart w:id="2271" w:name="_Toc74518540"/>
      <w:bookmarkStart w:id="2272" w:name="_Toc74519270"/>
      <w:bookmarkStart w:id="2273" w:name="_Toc74781460"/>
      <w:bookmarkStart w:id="2274" w:name="_Toc74930973"/>
      <w:r w:rsidRPr="00673FD3">
        <w:rPr>
          <w:rFonts w:ascii="Arial" w:hAnsi="Arial" w:cs="Arial"/>
          <w:smallCaps w:val="0"/>
          <w:sz w:val="22"/>
          <w:szCs w:val="22"/>
          <w:lang w:val="es-ES"/>
        </w:rPr>
        <w:lastRenderedPageBreak/>
        <w:t>Apéndice 1</w:t>
      </w:r>
      <w:bookmarkEnd w:id="2269"/>
      <w:r w:rsidRPr="00673FD3">
        <w:rPr>
          <w:rFonts w:ascii="Arial" w:hAnsi="Arial" w:cs="Arial"/>
          <w:smallCaps w:val="0"/>
          <w:sz w:val="22"/>
          <w:szCs w:val="22"/>
          <w:lang w:val="es-ES"/>
        </w:rPr>
        <w:t>: Disposiciones de integridad</w:t>
      </w:r>
      <w:bookmarkEnd w:id="2270"/>
      <w:bookmarkEnd w:id="2271"/>
      <w:bookmarkEnd w:id="2272"/>
      <w:bookmarkEnd w:id="2273"/>
      <w:bookmarkEnd w:id="2274"/>
    </w:p>
    <w:p w14:paraId="47179436" w14:textId="77777777" w:rsidR="004307E6" w:rsidRPr="00673FD3" w:rsidRDefault="004307E6" w:rsidP="004307E6">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 xml:space="preserve">A. </w:t>
      </w:r>
      <w:r w:rsidRPr="00673FD3">
        <w:rPr>
          <w:rFonts w:ascii="Arial" w:hAnsi="Arial" w:cs="Arial"/>
          <w:b/>
          <w:sz w:val="22"/>
          <w:szCs w:val="22"/>
          <w:lang w:val="es-HN"/>
        </w:rPr>
        <w:tab/>
        <w:t>Contrapartes y sus Relacionados:</w:t>
      </w:r>
    </w:p>
    <w:p w14:paraId="6E9DB71B" w14:textId="77777777" w:rsidR="004307E6" w:rsidRPr="00673FD3" w:rsidRDefault="004307E6" w:rsidP="004307E6">
      <w:pPr>
        <w:spacing w:before="120" w:after="120"/>
        <w:ind w:left="446"/>
        <w:rPr>
          <w:rFonts w:ascii="Arial" w:hAnsi="Arial" w:cs="Arial"/>
          <w:sz w:val="22"/>
          <w:szCs w:val="22"/>
          <w:lang w:val="es-HN"/>
        </w:rPr>
      </w:pPr>
      <w:r w:rsidRPr="00673FD3">
        <w:rPr>
          <w:rFonts w:ascii="Arial" w:hAnsi="Arial" w:cs="Arial"/>
          <w:sz w:val="22"/>
          <w:szCs w:val="22"/>
          <w:lang w:val="es-HN"/>
        </w:rPr>
        <w:t xml:space="preserve">Todas las personas naturales o jurídicas que participen o presten servicios en proyectos u operaciones, ya sea en su condición de oferentes, prestatarios, subprestatarios, organismos ejecutores, coordinadores, supervisores, contratistas, subcontratistas, consultores, proveedores, beneficiarios de donaciones (y a todos sus empleados, representantes y agentes), así como cualquier otro tipo de relación análoga, en adelante referidos como Contrapartes y sus Relacionados, deberán abstenerse de realizar cualquier acto o acción que se enmarque o pueda catalogarse como Práctica Prohibida conforme lo establece el literal (B) del presente Apéndice. </w:t>
      </w:r>
    </w:p>
    <w:p w14:paraId="33866F56" w14:textId="77777777" w:rsidR="004307E6" w:rsidRPr="00673FD3" w:rsidRDefault="004307E6" w:rsidP="004307E6">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B.</w:t>
      </w:r>
      <w:r w:rsidRPr="00673FD3">
        <w:rPr>
          <w:rFonts w:ascii="Arial" w:hAnsi="Arial" w:cs="Arial"/>
          <w:b/>
          <w:sz w:val="22"/>
          <w:szCs w:val="22"/>
          <w:lang w:val="es-HN"/>
        </w:rPr>
        <w:tab/>
        <w:t>Prácticas Prohibidas:</w:t>
      </w:r>
    </w:p>
    <w:p w14:paraId="4769F8B4" w14:textId="77777777" w:rsidR="004307E6" w:rsidRPr="00673FD3" w:rsidRDefault="004307E6" w:rsidP="004307E6">
      <w:pPr>
        <w:spacing w:before="120" w:after="120"/>
        <w:ind w:left="450"/>
        <w:rPr>
          <w:rFonts w:ascii="Arial" w:hAnsi="Arial" w:cs="Arial"/>
          <w:sz w:val="22"/>
          <w:szCs w:val="22"/>
          <w:lang w:val="es-HN"/>
        </w:rPr>
      </w:pPr>
      <w:r w:rsidRPr="00673FD3">
        <w:rPr>
          <w:rFonts w:ascii="Arial" w:hAnsi="Arial" w:cs="Arial"/>
          <w:sz w:val="22"/>
          <w:szCs w:val="22"/>
          <w:lang w:val="es-HN"/>
        </w:rPr>
        <w:t xml:space="preserve">El BCIE ha establecido un Canal de Reportes como el mecanismo para denunciar e investigar irregularidades, así como la comisión de cualquier Práctica Prohibida, en el uso de los fondos del BCIE o de los fondos administrados por éste. </w:t>
      </w:r>
    </w:p>
    <w:p w14:paraId="4776EFA6" w14:textId="77777777" w:rsidR="004307E6" w:rsidRPr="00673FD3" w:rsidRDefault="004307E6" w:rsidP="004307E6">
      <w:pPr>
        <w:spacing w:before="120" w:after="120"/>
        <w:ind w:firstLine="450"/>
        <w:rPr>
          <w:rFonts w:ascii="Arial" w:hAnsi="Arial" w:cs="Arial"/>
          <w:sz w:val="22"/>
          <w:szCs w:val="22"/>
          <w:lang w:val="es-HN"/>
        </w:rPr>
      </w:pPr>
      <w:r w:rsidRPr="00673FD3">
        <w:rPr>
          <w:rFonts w:ascii="Arial" w:hAnsi="Arial" w:cs="Arial"/>
          <w:sz w:val="22"/>
          <w:szCs w:val="22"/>
          <w:lang w:val="es-HN"/>
        </w:rPr>
        <w:t xml:space="preserve">Para efectos del presente contrato, entiéndase por Prácticas Prohibidas las siguientes: </w:t>
      </w:r>
    </w:p>
    <w:p w14:paraId="38D4A07A" w14:textId="77777777" w:rsidR="004307E6" w:rsidRPr="00673FD3" w:rsidRDefault="004307E6" w:rsidP="004307E6">
      <w:pPr>
        <w:spacing w:before="120" w:after="120"/>
        <w:ind w:left="900" w:hanging="360"/>
        <w:rPr>
          <w:rFonts w:ascii="Arial" w:hAnsi="Arial" w:cs="Arial"/>
          <w:sz w:val="22"/>
          <w:szCs w:val="22"/>
          <w:lang w:val="es-HN"/>
        </w:rPr>
      </w:pPr>
      <w:r w:rsidRPr="00673FD3">
        <w:rPr>
          <w:rFonts w:ascii="Arial" w:hAnsi="Arial" w:cs="Arial"/>
          <w:sz w:val="22"/>
          <w:szCs w:val="22"/>
          <w:lang w:val="es-HN"/>
        </w:rPr>
        <w:t>i.</w:t>
      </w:r>
      <w:r w:rsidRPr="00673FD3">
        <w:rPr>
          <w:rFonts w:ascii="Arial" w:hAnsi="Arial" w:cs="Arial"/>
          <w:sz w:val="22"/>
          <w:szCs w:val="22"/>
          <w:lang w:val="es-HN"/>
        </w:rPr>
        <w:tab/>
      </w:r>
      <w:r w:rsidRPr="00673FD3">
        <w:rPr>
          <w:rFonts w:ascii="Arial" w:hAnsi="Arial" w:cs="Arial"/>
          <w:b/>
          <w:sz w:val="22"/>
          <w:szCs w:val="22"/>
          <w:lang w:val="es-HN"/>
        </w:rPr>
        <w:t>Práctica Fraudulenta</w:t>
      </w:r>
      <w:r w:rsidRPr="00673FD3">
        <w:rPr>
          <w:rFonts w:ascii="Arial" w:hAnsi="Arial" w:cs="Arial"/>
          <w:sz w:val="22"/>
          <w:szCs w:val="22"/>
          <w:lang w:val="es-HN"/>
        </w:rPr>
        <w:t xml:space="preserve">: Cualquier hecho u omisión, incluyendo la tergiversación de hechos y circunstancias, que deliberadamente o por negligencia, engañe o intente engañar a alguna parte para obtener un beneficio financiero o de otra índole, propio o de un tercero o para evadir una obligación a favor de otra parte. </w:t>
      </w:r>
    </w:p>
    <w:p w14:paraId="501D34BF" w14:textId="77777777" w:rsidR="004307E6" w:rsidRPr="00673FD3" w:rsidRDefault="004307E6" w:rsidP="004307E6">
      <w:pPr>
        <w:spacing w:before="120" w:after="120"/>
        <w:ind w:left="900" w:hanging="360"/>
        <w:rPr>
          <w:rFonts w:ascii="Arial" w:hAnsi="Arial" w:cs="Arial"/>
          <w:sz w:val="22"/>
          <w:szCs w:val="22"/>
          <w:lang w:val="es-HN"/>
        </w:rPr>
      </w:pPr>
      <w:r w:rsidRPr="00673FD3">
        <w:rPr>
          <w:rFonts w:ascii="Arial" w:hAnsi="Arial" w:cs="Arial"/>
          <w:sz w:val="22"/>
          <w:szCs w:val="22"/>
          <w:lang w:val="es-HN"/>
        </w:rPr>
        <w:t>ii.</w:t>
      </w:r>
      <w:r w:rsidRPr="00673FD3">
        <w:rPr>
          <w:rFonts w:ascii="Arial" w:hAnsi="Arial" w:cs="Arial"/>
          <w:sz w:val="22"/>
          <w:szCs w:val="22"/>
          <w:lang w:val="es-HN"/>
        </w:rPr>
        <w:tab/>
      </w:r>
      <w:r w:rsidRPr="00673FD3">
        <w:rPr>
          <w:rFonts w:ascii="Arial" w:hAnsi="Arial" w:cs="Arial"/>
          <w:b/>
          <w:sz w:val="22"/>
          <w:szCs w:val="22"/>
          <w:lang w:val="es-HN"/>
        </w:rPr>
        <w:t>Práctica Corruptiva</w:t>
      </w:r>
      <w:r w:rsidRPr="00673FD3">
        <w:rPr>
          <w:rFonts w:ascii="Arial" w:hAnsi="Arial" w:cs="Arial"/>
          <w:sz w:val="22"/>
          <w:szCs w:val="22"/>
          <w:lang w:val="es-HN"/>
        </w:rPr>
        <w:t>: Consiste en ofrecer, dar, recibir o solicitar, de manera directa o indirecta, algo de valor para influenciar indebidamente las acciones de otra parte.</w:t>
      </w:r>
    </w:p>
    <w:p w14:paraId="0B7D67B8" w14:textId="77777777" w:rsidR="004307E6" w:rsidRPr="00673FD3" w:rsidRDefault="004307E6" w:rsidP="004307E6">
      <w:pPr>
        <w:spacing w:before="120" w:after="120"/>
        <w:ind w:left="900" w:hanging="360"/>
        <w:rPr>
          <w:rFonts w:ascii="Arial" w:hAnsi="Arial" w:cs="Arial"/>
          <w:sz w:val="22"/>
          <w:szCs w:val="22"/>
          <w:lang w:val="es-HN"/>
        </w:rPr>
      </w:pPr>
      <w:r w:rsidRPr="00673FD3">
        <w:rPr>
          <w:rFonts w:ascii="Arial" w:hAnsi="Arial" w:cs="Arial"/>
          <w:sz w:val="22"/>
          <w:szCs w:val="22"/>
          <w:lang w:val="es-HN"/>
        </w:rPr>
        <w:t>iii.</w:t>
      </w:r>
      <w:r w:rsidRPr="00673FD3">
        <w:rPr>
          <w:rFonts w:ascii="Arial" w:hAnsi="Arial" w:cs="Arial"/>
          <w:sz w:val="22"/>
          <w:szCs w:val="22"/>
          <w:lang w:val="es-HN"/>
        </w:rPr>
        <w:tab/>
      </w:r>
      <w:r w:rsidRPr="00673FD3">
        <w:rPr>
          <w:rFonts w:ascii="Arial" w:hAnsi="Arial" w:cs="Arial"/>
          <w:b/>
          <w:sz w:val="22"/>
          <w:szCs w:val="22"/>
          <w:lang w:val="es-HN"/>
        </w:rPr>
        <w:t>Práctica Coercitiva</w:t>
      </w:r>
      <w:r w:rsidRPr="00673FD3">
        <w:rPr>
          <w:rFonts w:ascii="Arial" w:hAnsi="Arial" w:cs="Arial"/>
          <w:sz w:val="22"/>
          <w:szCs w:val="22"/>
          <w:lang w:val="es-HN"/>
        </w:rPr>
        <w:t>: Consiste en perjudicar o causar daño; o amenazar con perjudicar o causar daño, de manera directa o indirecta, a cualquier parte o a sus bienes para influenciar en forma indebida las acciones de una parte.</w:t>
      </w:r>
    </w:p>
    <w:p w14:paraId="6500B9A2" w14:textId="77777777" w:rsidR="004307E6" w:rsidRPr="00673FD3" w:rsidRDefault="004307E6" w:rsidP="004307E6">
      <w:pPr>
        <w:spacing w:before="120" w:after="120"/>
        <w:ind w:left="900" w:hanging="360"/>
        <w:rPr>
          <w:rFonts w:ascii="Arial" w:hAnsi="Arial" w:cs="Arial"/>
          <w:sz w:val="22"/>
          <w:szCs w:val="22"/>
          <w:lang w:val="es-HN"/>
        </w:rPr>
      </w:pPr>
      <w:r w:rsidRPr="00673FD3">
        <w:rPr>
          <w:rFonts w:ascii="Arial" w:hAnsi="Arial" w:cs="Arial"/>
          <w:sz w:val="22"/>
          <w:szCs w:val="22"/>
          <w:lang w:val="es-HN"/>
        </w:rPr>
        <w:t>iv.</w:t>
      </w:r>
      <w:r w:rsidRPr="00673FD3">
        <w:rPr>
          <w:rFonts w:ascii="Arial" w:hAnsi="Arial" w:cs="Arial"/>
          <w:sz w:val="22"/>
          <w:szCs w:val="22"/>
          <w:lang w:val="es-HN"/>
        </w:rPr>
        <w:tab/>
      </w:r>
      <w:r w:rsidRPr="00673FD3">
        <w:rPr>
          <w:rFonts w:ascii="Arial" w:hAnsi="Arial" w:cs="Arial"/>
          <w:b/>
          <w:sz w:val="22"/>
          <w:szCs w:val="22"/>
          <w:lang w:val="es-HN"/>
        </w:rPr>
        <w:t>Práctica Colusoria</w:t>
      </w:r>
      <w:r w:rsidRPr="00673FD3">
        <w:rPr>
          <w:rFonts w:ascii="Arial" w:hAnsi="Arial" w:cs="Arial"/>
          <w:sz w:val="22"/>
          <w:szCs w:val="22"/>
          <w:lang w:val="es-HN"/>
        </w:rPr>
        <w:t>: Acuerdo realizado entre dos o más partes con la intención de alcanzar un propósito indebido o influenciar indebidamente las acciones de otra parte.</w:t>
      </w:r>
    </w:p>
    <w:p w14:paraId="67DE7A1B" w14:textId="77777777" w:rsidR="004307E6" w:rsidRPr="00673FD3" w:rsidRDefault="004307E6" w:rsidP="004307E6">
      <w:pPr>
        <w:spacing w:before="120" w:after="120"/>
        <w:ind w:left="900" w:hanging="360"/>
        <w:rPr>
          <w:rFonts w:ascii="Arial" w:hAnsi="Arial" w:cs="Arial"/>
          <w:sz w:val="22"/>
          <w:szCs w:val="22"/>
          <w:lang w:val="es-HN"/>
        </w:rPr>
      </w:pPr>
      <w:r w:rsidRPr="00673FD3">
        <w:rPr>
          <w:rFonts w:ascii="Arial" w:hAnsi="Arial" w:cs="Arial"/>
          <w:sz w:val="22"/>
          <w:szCs w:val="22"/>
          <w:lang w:val="es-HN"/>
        </w:rPr>
        <w:t>v.</w:t>
      </w:r>
      <w:r w:rsidRPr="00673FD3">
        <w:rPr>
          <w:rFonts w:ascii="Arial" w:hAnsi="Arial" w:cs="Arial"/>
          <w:sz w:val="22"/>
          <w:szCs w:val="22"/>
          <w:lang w:val="es-HN"/>
        </w:rPr>
        <w:tab/>
      </w:r>
      <w:r w:rsidRPr="00673FD3">
        <w:rPr>
          <w:rFonts w:ascii="Arial" w:hAnsi="Arial" w:cs="Arial"/>
          <w:b/>
          <w:sz w:val="22"/>
          <w:szCs w:val="22"/>
          <w:lang w:val="es-HN"/>
        </w:rPr>
        <w:t>Práctica Obstructiva</w:t>
      </w:r>
      <w:r w:rsidRPr="00673FD3">
        <w:rPr>
          <w:rFonts w:ascii="Arial" w:hAnsi="Arial" w:cs="Arial"/>
          <w:sz w:val="22"/>
          <w:szCs w:val="22"/>
          <w:lang w:val="es-HN"/>
        </w:rPr>
        <w:t>: Consiste en: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que tiene el BCIE.</w:t>
      </w:r>
    </w:p>
    <w:p w14:paraId="5CFF3A1E" w14:textId="77777777" w:rsidR="004307E6" w:rsidRPr="00673FD3" w:rsidRDefault="004307E6" w:rsidP="004307E6">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C.</w:t>
      </w:r>
      <w:r w:rsidRPr="00673FD3">
        <w:rPr>
          <w:rFonts w:ascii="Arial" w:hAnsi="Arial" w:cs="Arial"/>
          <w:b/>
          <w:sz w:val="22"/>
          <w:szCs w:val="22"/>
          <w:lang w:val="es-HN"/>
        </w:rPr>
        <w:tab/>
        <w:t>Declaraciones y Obligaciones de las Contrapartes:</w:t>
      </w:r>
    </w:p>
    <w:p w14:paraId="466588B5" w14:textId="77777777" w:rsidR="004307E6" w:rsidRPr="00673FD3" w:rsidRDefault="004307E6" w:rsidP="004307E6">
      <w:pPr>
        <w:spacing w:before="120" w:after="120"/>
        <w:ind w:left="450"/>
        <w:rPr>
          <w:rFonts w:ascii="Arial" w:hAnsi="Arial" w:cs="Arial"/>
          <w:sz w:val="22"/>
          <w:szCs w:val="22"/>
          <w:lang w:val="es-HN"/>
        </w:rPr>
      </w:pPr>
      <w:r w:rsidRPr="00673FD3">
        <w:rPr>
          <w:rFonts w:ascii="Arial" w:hAnsi="Arial" w:cs="Arial"/>
          <w:sz w:val="22"/>
          <w:szCs w:val="22"/>
          <w:lang w:val="es-HN"/>
        </w:rPr>
        <w:t xml:space="preserve">La(s) Contraparte(s) trasladará(n) a sus Relacionados (subprestatarios, organismos ejecutores, coordinadores, supervisores, contratistas, subcontratistas, consultores, proveedores, oferentes, beneficiarios de donaciones y similares) las siguientes declaraciones debiendo establecerlas de forma expresa en la documentación contractual que rija la relación entre la(s) Contraparte(s) con sus Relacionado(s). Lo anterior será aplicable a operaciones financiadas con recursos del BCIE o administrados por éste, con el fin de prevenir que éstos incurran en la comisión de Prácticas Prohibidas, obligándose tanto la Contraparte como sus Relacionados a acatar las acciones y decisiones que el BCIE estime pertinentes, en caso de comprobarse la existencia de cualesquiera de las Prácticas Prohibidas descritas en el literal (B) del presente Apéndice. </w:t>
      </w:r>
    </w:p>
    <w:p w14:paraId="403A729A" w14:textId="77777777" w:rsidR="004307E6" w:rsidRPr="00673FD3" w:rsidRDefault="004307E6" w:rsidP="004307E6">
      <w:pPr>
        <w:spacing w:before="120" w:after="120"/>
        <w:ind w:left="450"/>
        <w:rPr>
          <w:rFonts w:ascii="Arial" w:hAnsi="Arial" w:cs="Arial"/>
          <w:sz w:val="22"/>
          <w:szCs w:val="22"/>
          <w:u w:val="single"/>
          <w:lang w:val="es-HN"/>
        </w:rPr>
      </w:pPr>
      <w:r w:rsidRPr="00673FD3">
        <w:rPr>
          <w:rFonts w:ascii="Arial" w:hAnsi="Arial" w:cs="Arial"/>
          <w:sz w:val="22"/>
          <w:szCs w:val="22"/>
          <w:u w:val="single"/>
          <w:lang w:val="es-HN"/>
        </w:rPr>
        <w:t>Declaraciones Particulares de las Contrapartes</w:t>
      </w:r>
    </w:p>
    <w:p w14:paraId="1D4B5889" w14:textId="77777777" w:rsidR="004307E6" w:rsidRPr="00673FD3" w:rsidRDefault="004307E6" w:rsidP="004307E6">
      <w:pPr>
        <w:spacing w:before="120" w:after="120"/>
        <w:ind w:firstLine="450"/>
        <w:rPr>
          <w:rFonts w:ascii="Arial" w:hAnsi="Arial" w:cs="Arial"/>
          <w:sz w:val="22"/>
          <w:szCs w:val="22"/>
          <w:lang w:val="es-HN"/>
        </w:rPr>
      </w:pPr>
      <w:r w:rsidRPr="00673FD3">
        <w:rPr>
          <w:rFonts w:ascii="Arial" w:hAnsi="Arial" w:cs="Arial"/>
          <w:sz w:val="22"/>
          <w:szCs w:val="22"/>
          <w:lang w:val="es-HN"/>
        </w:rPr>
        <w:lastRenderedPageBreak/>
        <w:t xml:space="preserve">Las Contrapartes declaran que: </w:t>
      </w:r>
    </w:p>
    <w:p w14:paraId="6E904A65" w14:textId="77777777" w:rsidR="004307E6" w:rsidRPr="00673FD3" w:rsidRDefault="004307E6" w:rsidP="004307E6">
      <w:pPr>
        <w:spacing w:before="120" w:after="120"/>
        <w:ind w:left="720" w:hanging="234"/>
        <w:rPr>
          <w:rFonts w:ascii="Arial" w:hAnsi="Arial" w:cs="Arial"/>
          <w:sz w:val="22"/>
          <w:szCs w:val="22"/>
          <w:lang w:val="es-HN"/>
        </w:rPr>
      </w:pPr>
      <w:r w:rsidRPr="00673FD3">
        <w:rPr>
          <w:rFonts w:ascii="Arial" w:hAnsi="Arial" w:cs="Arial"/>
          <w:sz w:val="22"/>
          <w:szCs w:val="22"/>
          <w:lang w:val="es-HN"/>
        </w:rPr>
        <w:t>i.</w:t>
      </w:r>
      <w:r w:rsidRPr="00673FD3">
        <w:rPr>
          <w:rFonts w:ascii="Arial" w:hAnsi="Arial" w:cs="Arial"/>
          <w:sz w:val="22"/>
          <w:szCs w:val="22"/>
          <w:lang w:val="es-HN"/>
        </w:rPr>
        <w:tab/>
        <w:t xml:space="preserve">Conocen el Canal de Reportes del BCIE, como un mecanismo para denunciar e investigar irregularidades o la comisión de cualquier Práctica Prohibida en el uso de los fondos del BCIE o de los fondos administrados por éste. </w:t>
      </w:r>
    </w:p>
    <w:p w14:paraId="30830199" w14:textId="77777777" w:rsidR="004307E6" w:rsidRPr="00673FD3" w:rsidRDefault="004307E6" w:rsidP="004307E6">
      <w:pPr>
        <w:spacing w:before="120" w:after="120"/>
        <w:ind w:left="720" w:hanging="234"/>
        <w:rPr>
          <w:rFonts w:ascii="Arial" w:hAnsi="Arial" w:cs="Arial"/>
          <w:sz w:val="22"/>
          <w:szCs w:val="22"/>
          <w:lang w:val="es-HN"/>
        </w:rPr>
      </w:pPr>
      <w:r w:rsidRPr="00673FD3">
        <w:rPr>
          <w:rFonts w:ascii="Arial" w:hAnsi="Arial" w:cs="Arial"/>
          <w:sz w:val="22"/>
          <w:szCs w:val="22"/>
          <w:lang w:val="es-HN"/>
        </w:rPr>
        <w:t>ii.</w:t>
      </w:r>
      <w:r w:rsidRPr="00673FD3">
        <w:rPr>
          <w:rFonts w:ascii="Arial" w:hAnsi="Arial" w:cs="Arial"/>
          <w:sz w:val="22"/>
          <w:szCs w:val="22"/>
          <w:lang w:val="es-HN"/>
        </w:rPr>
        <w:tab/>
        <w:t xml:space="preserve">Conservarán todos los documentos y registros relacionados con actividades financiadas por el BCIE por un período de diez (10) años, contados a partir de la finalización del presente contrato. </w:t>
      </w:r>
    </w:p>
    <w:p w14:paraId="2CE11CA1" w14:textId="77777777" w:rsidR="004307E6" w:rsidRPr="00673FD3" w:rsidRDefault="004307E6" w:rsidP="004307E6">
      <w:pPr>
        <w:spacing w:before="120" w:after="120"/>
        <w:ind w:left="720" w:hanging="234"/>
        <w:rPr>
          <w:rFonts w:ascii="Arial" w:hAnsi="Arial" w:cs="Arial"/>
          <w:sz w:val="22"/>
          <w:szCs w:val="22"/>
          <w:lang w:val="es-HN"/>
        </w:rPr>
      </w:pPr>
      <w:r w:rsidRPr="00673FD3">
        <w:rPr>
          <w:rFonts w:ascii="Arial" w:hAnsi="Arial" w:cs="Arial"/>
          <w:sz w:val="22"/>
          <w:szCs w:val="22"/>
          <w:lang w:val="es-HN"/>
        </w:rPr>
        <w:t>iii.</w:t>
      </w:r>
      <w:r w:rsidRPr="00673FD3">
        <w:rPr>
          <w:rFonts w:ascii="Arial" w:hAnsi="Arial" w:cs="Arial"/>
          <w:sz w:val="22"/>
          <w:szCs w:val="22"/>
          <w:lang w:val="es-HN"/>
        </w:rPr>
        <w:tab/>
        <w:t>A la fecha del presente contrato no se han cometido de forma propia ni a través de relacionados (empleados, representantes y agentes) o cualquier otro tipo de relación análoga, Prácticas Prohibidas.</w:t>
      </w:r>
    </w:p>
    <w:p w14:paraId="5314225B" w14:textId="77777777" w:rsidR="004307E6" w:rsidRPr="00673FD3" w:rsidRDefault="004307E6" w:rsidP="004307E6">
      <w:pPr>
        <w:spacing w:before="120" w:after="120"/>
        <w:ind w:left="720" w:hanging="234"/>
        <w:rPr>
          <w:rFonts w:ascii="Arial" w:hAnsi="Arial" w:cs="Arial"/>
          <w:sz w:val="22"/>
          <w:szCs w:val="22"/>
          <w:lang w:val="es-HN"/>
        </w:rPr>
      </w:pPr>
      <w:r w:rsidRPr="00673FD3">
        <w:rPr>
          <w:rFonts w:ascii="Arial" w:hAnsi="Arial" w:cs="Arial"/>
          <w:sz w:val="22"/>
          <w:szCs w:val="22"/>
          <w:lang w:val="es-HN"/>
        </w:rPr>
        <w:t>iv.</w:t>
      </w:r>
      <w:r w:rsidRPr="00673FD3">
        <w:rPr>
          <w:rFonts w:ascii="Arial" w:hAnsi="Arial" w:cs="Arial"/>
          <w:sz w:val="22"/>
          <w:szCs w:val="22"/>
          <w:lang w:val="es-HN"/>
        </w:rPr>
        <w:tab/>
        <w:t>Toda la información presentada es veraz y por tanto no ha tergiversado ni ocultado ningún hecho durante los procesos de elegibilidad, selección, negociación, licitación y ejecución del presente contrato.</w:t>
      </w:r>
    </w:p>
    <w:p w14:paraId="4676DD0B" w14:textId="77777777" w:rsidR="004307E6" w:rsidRPr="00673FD3" w:rsidRDefault="004307E6" w:rsidP="004307E6">
      <w:pPr>
        <w:spacing w:before="120" w:after="120"/>
        <w:ind w:left="720" w:hanging="234"/>
        <w:rPr>
          <w:rFonts w:ascii="Arial" w:hAnsi="Arial" w:cs="Arial"/>
          <w:sz w:val="22"/>
          <w:szCs w:val="22"/>
          <w:lang w:val="es-HN"/>
        </w:rPr>
      </w:pPr>
      <w:r w:rsidRPr="00673FD3">
        <w:rPr>
          <w:rFonts w:ascii="Arial" w:hAnsi="Arial" w:cs="Arial"/>
          <w:sz w:val="22"/>
          <w:szCs w:val="22"/>
          <w:lang w:val="es-HN"/>
        </w:rPr>
        <w:t>v.</w:t>
      </w:r>
      <w:r w:rsidRPr="00673FD3">
        <w:rPr>
          <w:rFonts w:ascii="Arial" w:hAnsi="Arial" w:cs="Arial"/>
          <w:sz w:val="22"/>
          <w:szCs w:val="22"/>
          <w:lang w:val="es-HN"/>
        </w:rPr>
        <w:tab/>
        <w:t xml:space="preserve">Ni ellos, ni sus directores, su personal, contratistas, consultores y supervisores de proyectos (i) se encuentran inhabilitados o declarados por una entidad como inelegibles para la obtención de recursos o la adjudicación de contratos financiados por cualquier otra entidad, o (ii) hayan sido declarados culpables de delitos vinculados con Prácticas Prohibidas por parte de la autoridad competente. </w:t>
      </w:r>
    </w:p>
    <w:p w14:paraId="590ABC9F" w14:textId="77777777" w:rsidR="004307E6" w:rsidRPr="00673FD3" w:rsidRDefault="004307E6" w:rsidP="004307E6">
      <w:pPr>
        <w:spacing w:before="120" w:after="120"/>
        <w:ind w:left="720" w:hanging="234"/>
        <w:rPr>
          <w:rFonts w:ascii="Arial" w:hAnsi="Arial" w:cs="Arial"/>
          <w:sz w:val="22"/>
          <w:szCs w:val="22"/>
          <w:lang w:val="es-HN"/>
        </w:rPr>
      </w:pPr>
      <w:r w:rsidRPr="00673FD3">
        <w:rPr>
          <w:rFonts w:ascii="Arial" w:hAnsi="Arial" w:cs="Arial"/>
          <w:sz w:val="22"/>
          <w:szCs w:val="22"/>
          <w:lang w:val="es-HN"/>
        </w:rPr>
        <w:t>vi.</w:t>
      </w:r>
      <w:r w:rsidRPr="00673FD3">
        <w:rPr>
          <w:rFonts w:ascii="Arial" w:hAnsi="Arial" w:cs="Arial"/>
          <w:sz w:val="22"/>
          <w:szCs w:val="22"/>
          <w:lang w:val="es-HN"/>
        </w:rPr>
        <w:tab/>
        <w:t>Ninguno de sus directores y funcionarios ha sido director, funcionario o accionista de una entidad (i) que se encuentre inhabilitada o declarada inelegible por cualquier otra entidad, (ii) o haya sido declarado culpable de un delito vinculado con Prácticas Prohibidas por parte de la autoridad competente.</w:t>
      </w:r>
    </w:p>
    <w:p w14:paraId="0BF3007F" w14:textId="77777777" w:rsidR="004307E6" w:rsidRPr="00673FD3" w:rsidRDefault="004307E6" w:rsidP="004307E6">
      <w:pPr>
        <w:spacing w:before="120" w:after="120"/>
        <w:ind w:left="450"/>
        <w:rPr>
          <w:rFonts w:ascii="Arial" w:hAnsi="Arial" w:cs="Arial"/>
          <w:sz w:val="22"/>
          <w:szCs w:val="22"/>
          <w:u w:val="single"/>
          <w:lang w:val="es-HN"/>
        </w:rPr>
      </w:pPr>
      <w:r w:rsidRPr="00673FD3">
        <w:rPr>
          <w:rFonts w:ascii="Arial" w:hAnsi="Arial" w:cs="Arial"/>
          <w:sz w:val="22"/>
          <w:szCs w:val="22"/>
          <w:u w:val="single"/>
          <w:lang w:val="es-HN"/>
        </w:rPr>
        <w:t>Obligaciones de las Contrapartes</w:t>
      </w:r>
    </w:p>
    <w:p w14:paraId="0466CEB9" w14:textId="77777777" w:rsidR="004307E6" w:rsidRPr="00673FD3" w:rsidRDefault="004307E6" w:rsidP="004307E6">
      <w:pPr>
        <w:spacing w:before="120" w:after="120"/>
        <w:ind w:left="567"/>
        <w:rPr>
          <w:rFonts w:ascii="Arial" w:hAnsi="Arial" w:cs="Arial"/>
          <w:sz w:val="22"/>
          <w:szCs w:val="22"/>
          <w:lang w:val="es-HN"/>
        </w:rPr>
      </w:pPr>
      <w:r w:rsidRPr="00673FD3">
        <w:rPr>
          <w:rFonts w:ascii="Arial" w:hAnsi="Arial" w:cs="Arial"/>
          <w:sz w:val="22"/>
          <w:szCs w:val="22"/>
          <w:lang w:val="es-HN"/>
        </w:rPr>
        <w:t>Son obligaciones de las Contrapartes las siguientes:</w:t>
      </w:r>
    </w:p>
    <w:p w14:paraId="771546BA" w14:textId="77777777" w:rsidR="004307E6" w:rsidRPr="00673FD3" w:rsidRDefault="004307E6" w:rsidP="004307E6">
      <w:pPr>
        <w:spacing w:before="120" w:after="120"/>
        <w:ind w:left="720" w:hanging="270"/>
        <w:rPr>
          <w:rFonts w:ascii="Arial" w:hAnsi="Arial" w:cs="Arial"/>
          <w:sz w:val="22"/>
          <w:szCs w:val="22"/>
          <w:lang w:val="es-HN"/>
        </w:rPr>
      </w:pPr>
      <w:r w:rsidRPr="00673FD3">
        <w:rPr>
          <w:rFonts w:ascii="Arial" w:hAnsi="Arial" w:cs="Arial"/>
          <w:sz w:val="22"/>
          <w:szCs w:val="22"/>
          <w:lang w:val="es-HN"/>
        </w:rPr>
        <w:t>i.</w:t>
      </w:r>
      <w:r w:rsidRPr="00673FD3">
        <w:rPr>
          <w:rFonts w:ascii="Arial" w:hAnsi="Arial" w:cs="Arial"/>
          <w:sz w:val="22"/>
          <w:szCs w:val="22"/>
          <w:lang w:val="es-HN"/>
        </w:rPr>
        <w:tab/>
        <w:t xml:space="preserve">No incurrir en ninguna Práctica Prohibida en los programas, proyectos u operaciones financiados con fondos propios del BCIE o fondos administrados por éste. </w:t>
      </w:r>
    </w:p>
    <w:p w14:paraId="06473E44" w14:textId="77777777" w:rsidR="004307E6" w:rsidRPr="00673FD3" w:rsidRDefault="004307E6" w:rsidP="004307E6">
      <w:pPr>
        <w:spacing w:before="120" w:after="120"/>
        <w:ind w:left="720" w:hanging="270"/>
        <w:rPr>
          <w:rFonts w:ascii="Arial" w:hAnsi="Arial" w:cs="Arial"/>
          <w:sz w:val="22"/>
          <w:szCs w:val="22"/>
          <w:lang w:val="es-HN"/>
        </w:rPr>
      </w:pPr>
      <w:r w:rsidRPr="00673FD3">
        <w:rPr>
          <w:rFonts w:ascii="Arial" w:hAnsi="Arial" w:cs="Arial"/>
          <w:sz w:val="22"/>
          <w:szCs w:val="22"/>
          <w:lang w:val="es-HN"/>
        </w:rPr>
        <w:t>ii.</w:t>
      </w:r>
      <w:r w:rsidRPr="00673FD3">
        <w:rPr>
          <w:rFonts w:ascii="Arial" w:hAnsi="Arial" w:cs="Arial"/>
          <w:sz w:val="22"/>
          <w:szCs w:val="22"/>
          <w:lang w:val="es-HN"/>
        </w:rPr>
        <w:tab/>
        <w:t>Reportar durante el proceso de selección, negociación y ejecución del contrato, por medio del Canal de Reportes, cualquier irregularidad o la comisión de cualquier Práctica Prohibida relacionada con los proyectos financiados por el BCIE o con los fondos administrados por éste.</w:t>
      </w:r>
    </w:p>
    <w:p w14:paraId="762C715E" w14:textId="77777777" w:rsidR="004307E6" w:rsidRPr="00673FD3" w:rsidRDefault="004307E6" w:rsidP="004307E6">
      <w:pPr>
        <w:spacing w:before="120" w:after="120"/>
        <w:ind w:left="720" w:hanging="270"/>
        <w:rPr>
          <w:rFonts w:ascii="Arial" w:hAnsi="Arial" w:cs="Arial"/>
          <w:sz w:val="22"/>
          <w:szCs w:val="22"/>
          <w:lang w:val="es-HN"/>
        </w:rPr>
      </w:pPr>
      <w:r w:rsidRPr="00673FD3">
        <w:rPr>
          <w:rFonts w:ascii="Arial" w:hAnsi="Arial" w:cs="Arial"/>
          <w:sz w:val="22"/>
          <w:szCs w:val="22"/>
          <w:lang w:val="es-HN"/>
        </w:rPr>
        <w:t>iii.</w:t>
      </w:r>
      <w:r w:rsidRPr="00673FD3">
        <w:rPr>
          <w:rFonts w:ascii="Arial" w:hAnsi="Arial" w:cs="Arial"/>
          <w:sz w:val="22"/>
          <w:szCs w:val="22"/>
          <w:lang w:val="es-HN"/>
        </w:rPr>
        <w:tab/>
        <w:t>Reembolsar, a solicitud del BCIE, los gastos o costos vinculados con las actividades e investigaciones efectuadas en relación con la comisión de Prácticas Prohibidas. Todos los gastos o costos antes referidos deberán ser debidamente documentados, obligándose a reembolsarlos a solo requerimiento del BCIE en un período no mayor a noventa (90) días naturales a partir de la recepción de la notificación de cobro.</w:t>
      </w:r>
    </w:p>
    <w:p w14:paraId="22062BF8" w14:textId="77777777" w:rsidR="004307E6" w:rsidRPr="00673FD3" w:rsidRDefault="004307E6" w:rsidP="004307E6">
      <w:pPr>
        <w:spacing w:before="120" w:after="120"/>
        <w:ind w:left="720" w:hanging="270"/>
        <w:rPr>
          <w:rFonts w:ascii="Arial" w:hAnsi="Arial" w:cs="Arial"/>
          <w:sz w:val="22"/>
          <w:szCs w:val="22"/>
          <w:lang w:val="es-HN"/>
        </w:rPr>
      </w:pPr>
      <w:r w:rsidRPr="00673FD3">
        <w:rPr>
          <w:rFonts w:ascii="Arial" w:hAnsi="Arial" w:cs="Arial"/>
          <w:sz w:val="22"/>
          <w:szCs w:val="22"/>
          <w:lang w:val="es-HN"/>
        </w:rPr>
        <w:t>iv.</w:t>
      </w:r>
      <w:r w:rsidRPr="00673FD3">
        <w:rPr>
          <w:rFonts w:ascii="Arial" w:hAnsi="Arial" w:cs="Arial"/>
          <w:sz w:val="22"/>
          <w:szCs w:val="22"/>
          <w:lang w:val="es-HN"/>
        </w:rPr>
        <w:tab/>
        <w:t xml:space="preserve">Otorgar el acceso irrestricto al BCIE o sus representantes debidamente autorizados para visitar o inspeccionar las oficinas o instalaciones físicas, utilizadas en relación con los proyectos financiados con fondos propios del BCIE o administrados por éste. Asimismo, permitirán y facilitarán la realización de entrevistas a sus accionistas, directivos, ejecutivos o empleados de cualquier estatus o relación salarial. De igual forma, permitirán el acceso a los archivos físicos y digitales relacionados con dichos proyectos u operaciones, debiendo prestar toda la colaboración y asistencia que fuese necesaria, a efectos que se ejecuten adecuadamente las actividades previstas, a discreción del BCIE.  </w:t>
      </w:r>
    </w:p>
    <w:p w14:paraId="61D196A5" w14:textId="77777777" w:rsidR="004307E6" w:rsidRPr="00673FD3" w:rsidRDefault="004307E6" w:rsidP="004307E6">
      <w:pPr>
        <w:spacing w:before="120" w:after="120"/>
        <w:ind w:left="720" w:hanging="270"/>
        <w:rPr>
          <w:rFonts w:ascii="Arial" w:hAnsi="Arial" w:cs="Arial"/>
          <w:sz w:val="22"/>
          <w:szCs w:val="22"/>
          <w:lang w:val="es-HN"/>
        </w:rPr>
      </w:pPr>
      <w:r w:rsidRPr="00673FD3">
        <w:rPr>
          <w:rFonts w:ascii="Arial" w:hAnsi="Arial" w:cs="Arial"/>
          <w:sz w:val="22"/>
          <w:szCs w:val="22"/>
          <w:lang w:val="es-HN"/>
        </w:rPr>
        <w:lastRenderedPageBreak/>
        <w:t>v.</w:t>
      </w:r>
      <w:r w:rsidRPr="00673FD3">
        <w:rPr>
          <w:rFonts w:ascii="Arial" w:hAnsi="Arial" w:cs="Arial"/>
          <w:sz w:val="22"/>
          <w:szCs w:val="22"/>
          <w:lang w:val="es-HN"/>
        </w:rPr>
        <w:tab/>
        <w:t>Atender en un plazo prudencial las consultas relacionadas con cualquier, indagación, inspección, auditoría o investigación proveniente del BCIE o de cualquier investigador, agente, auditor, o consultor apropiadamente designado, ya sea por medio escrito, virtual o verbal, sin ningún tipo de restricción.</w:t>
      </w:r>
    </w:p>
    <w:p w14:paraId="408D11B5" w14:textId="77777777" w:rsidR="004307E6" w:rsidRPr="00673FD3" w:rsidRDefault="004307E6" w:rsidP="004307E6">
      <w:pPr>
        <w:spacing w:before="120" w:after="120"/>
        <w:ind w:left="720" w:hanging="270"/>
        <w:rPr>
          <w:rFonts w:ascii="Arial" w:hAnsi="Arial" w:cs="Arial"/>
          <w:sz w:val="22"/>
          <w:szCs w:val="22"/>
          <w:lang w:val="es-HN"/>
        </w:rPr>
      </w:pPr>
      <w:r w:rsidRPr="00673FD3">
        <w:rPr>
          <w:rFonts w:ascii="Arial" w:hAnsi="Arial" w:cs="Arial"/>
          <w:sz w:val="22"/>
          <w:szCs w:val="22"/>
          <w:lang w:val="es-HN"/>
        </w:rPr>
        <w:t>vi.</w:t>
      </w:r>
      <w:r w:rsidRPr="00673FD3">
        <w:rPr>
          <w:rFonts w:ascii="Arial" w:hAnsi="Arial" w:cs="Arial"/>
          <w:sz w:val="22"/>
          <w:szCs w:val="22"/>
          <w:lang w:val="es-HN"/>
        </w:rPr>
        <w:tab/>
        <w:t xml:space="preserve">Atender y observar cualquier recomendación, requerimiento o solicitud emitida por el BCIE o a cualquier persona debidamente designada por éste, relacionada con cualesquiera de los aspectos vinculados a las operaciones financiadas por el BCIE, su ejecución y operatividad.  </w:t>
      </w:r>
    </w:p>
    <w:p w14:paraId="7EED1774" w14:textId="77777777" w:rsidR="004307E6" w:rsidRPr="00673FD3" w:rsidRDefault="004307E6" w:rsidP="004307E6">
      <w:pPr>
        <w:spacing w:before="120" w:after="120"/>
        <w:ind w:left="567"/>
        <w:rPr>
          <w:rFonts w:ascii="Arial" w:hAnsi="Arial" w:cs="Arial"/>
          <w:sz w:val="22"/>
          <w:szCs w:val="22"/>
          <w:lang w:val="es-HN"/>
        </w:rPr>
      </w:pPr>
      <w:r w:rsidRPr="00673FD3">
        <w:rPr>
          <w:rFonts w:ascii="Arial" w:hAnsi="Arial" w:cs="Arial"/>
          <w:sz w:val="22"/>
          <w:szCs w:val="22"/>
          <w:lang w:val="es-HN"/>
        </w:rPr>
        <w:t>Las Declaraciones y Obligaciones efectuadas por las Contrapartes contenidas en este literal C son veraces y permanecerán en vigencia desde la fecha de firma del presente contrato hasta la fecha en que las sumas adeudadas en virtud de él sean satisfechas en su totalidad.</w:t>
      </w:r>
    </w:p>
    <w:p w14:paraId="68A9C103" w14:textId="77777777" w:rsidR="004307E6" w:rsidRPr="00673FD3" w:rsidRDefault="004307E6" w:rsidP="004307E6">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D.</w:t>
      </w:r>
      <w:r w:rsidRPr="00673FD3">
        <w:rPr>
          <w:rFonts w:ascii="Arial" w:hAnsi="Arial" w:cs="Arial"/>
          <w:b/>
          <w:sz w:val="22"/>
          <w:szCs w:val="22"/>
          <w:lang w:val="es-HN"/>
        </w:rPr>
        <w:tab/>
        <w:t xml:space="preserve">Proceso de Auditoría e Investigación: </w:t>
      </w:r>
    </w:p>
    <w:p w14:paraId="535E844E" w14:textId="77777777" w:rsidR="004307E6" w:rsidRPr="00673FD3" w:rsidRDefault="004307E6" w:rsidP="004307E6">
      <w:pPr>
        <w:spacing w:before="120" w:after="120"/>
        <w:ind w:left="567"/>
        <w:rPr>
          <w:rFonts w:ascii="Arial" w:hAnsi="Arial" w:cs="Arial"/>
          <w:sz w:val="22"/>
          <w:szCs w:val="22"/>
          <w:lang w:val="es-HN"/>
        </w:rPr>
      </w:pPr>
      <w:r w:rsidRPr="00673FD3">
        <w:rPr>
          <w:rFonts w:ascii="Arial" w:hAnsi="Arial" w:cs="Arial"/>
          <w:sz w:val="22"/>
          <w:szCs w:val="22"/>
          <w:lang w:val="es-HN"/>
        </w:rPr>
        <w:t>Previamente a determinarse la existencia de irregularidades o la comisión de una Práctica Prohibida, el BCIE se reservará el derecho de ejecutar los procedimientos de auditoría e investigación que le asisten pudiendo emitir una notificación administrativa derivada de los análisis, evidencias, pruebas, resultados de las investigaciones y cualquier otro elemento disponible que se relaciona con el hecho o Práctica Prohibida.</w:t>
      </w:r>
    </w:p>
    <w:p w14:paraId="6C06739C" w14:textId="77777777" w:rsidR="004307E6" w:rsidRPr="00673FD3" w:rsidRDefault="004307E6" w:rsidP="004307E6">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E.</w:t>
      </w:r>
      <w:r w:rsidRPr="00673FD3">
        <w:rPr>
          <w:rFonts w:ascii="Arial" w:hAnsi="Arial" w:cs="Arial"/>
          <w:b/>
          <w:sz w:val="22"/>
          <w:szCs w:val="22"/>
          <w:lang w:val="es-HN"/>
        </w:rPr>
        <w:tab/>
        <w:t>Recomendaciones:</w:t>
      </w:r>
    </w:p>
    <w:p w14:paraId="4E8E0841" w14:textId="77777777" w:rsidR="004307E6" w:rsidRPr="00673FD3" w:rsidRDefault="004307E6" w:rsidP="004307E6">
      <w:pPr>
        <w:spacing w:before="120" w:after="120"/>
        <w:ind w:left="567"/>
        <w:rPr>
          <w:rFonts w:ascii="Arial" w:hAnsi="Arial" w:cs="Arial"/>
          <w:sz w:val="22"/>
          <w:szCs w:val="22"/>
          <w:lang w:val="es-HN"/>
        </w:rPr>
      </w:pPr>
      <w:r w:rsidRPr="00673FD3">
        <w:rPr>
          <w:rFonts w:ascii="Arial" w:hAnsi="Arial" w:cs="Arial"/>
          <w:sz w:val="22"/>
          <w:szCs w:val="22"/>
          <w:lang w:val="es-HN"/>
        </w:rPr>
        <w:t>Cuando se determine la existencia de irregularidades o la comisión de una Práctica Prohibida, el BCIE emitirá las acciones y recomendaciones que se enumeran a continuación, sin que sean limitativas, siendo éstas de observancia y cumplimiento obligatorio. Lo anterior, sin perjuicio de que el BCIE tenga la facultad de denunciar el caso correspondiente a las autoridades locales competentes:</w:t>
      </w:r>
    </w:p>
    <w:p w14:paraId="39DF84B3"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Emisión de una amonestación por escrito.</w:t>
      </w:r>
    </w:p>
    <w:p w14:paraId="4EF28DC2"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Adopción de medidas para mitigar los riesgos identificados.</w:t>
      </w:r>
    </w:p>
    <w:p w14:paraId="4A35374C"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Suspensión de desembolsos.</w:t>
      </w:r>
    </w:p>
    <w:p w14:paraId="7697470E"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Desobligación de recursos.</w:t>
      </w:r>
    </w:p>
    <w:p w14:paraId="248DEC3C"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Solicitar el pago anticipado de los recursos.</w:t>
      </w:r>
    </w:p>
    <w:p w14:paraId="73AC6EEB"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Cancelar el negocio o la relación contractual.</w:t>
      </w:r>
    </w:p>
    <w:p w14:paraId="39282542"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Suspensión de los procesos o de los procedimientos de contratación.</w:t>
      </w:r>
    </w:p>
    <w:p w14:paraId="542A206E"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Solicitud de garantías adicionales.</w:t>
      </w:r>
    </w:p>
    <w:p w14:paraId="6F2AF26D"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Ejecución de fianzas o garantías.</w:t>
      </w:r>
    </w:p>
    <w:p w14:paraId="5DA330F6" w14:textId="77777777" w:rsidR="004307E6" w:rsidRPr="00673FD3" w:rsidRDefault="004307E6" w:rsidP="004307E6">
      <w:pPr>
        <w:pStyle w:val="Prrafodelista"/>
        <w:numPr>
          <w:ilvl w:val="0"/>
          <w:numId w:val="99"/>
        </w:numPr>
        <w:autoSpaceDE w:val="0"/>
        <w:autoSpaceDN w:val="0"/>
        <w:adjustRightInd w:val="0"/>
        <w:spacing w:before="60" w:after="60"/>
        <w:ind w:left="900" w:hanging="180"/>
        <w:rPr>
          <w:rFonts w:ascii="Arial" w:hAnsi="Arial" w:cs="Arial"/>
          <w:sz w:val="22"/>
          <w:szCs w:val="22"/>
          <w:lang w:val="es-HN"/>
        </w:rPr>
      </w:pPr>
      <w:r w:rsidRPr="00673FD3">
        <w:rPr>
          <w:rFonts w:ascii="Arial" w:hAnsi="Arial" w:cs="Arial"/>
          <w:sz w:val="22"/>
          <w:szCs w:val="22"/>
          <w:lang w:val="es-HN"/>
        </w:rPr>
        <w:t xml:space="preserve">Cualquier otro curso de acción aplicable conforme el presente contrato. </w:t>
      </w:r>
    </w:p>
    <w:p w14:paraId="589A46D3" w14:textId="77777777" w:rsidR="004307E6" w:rsidRPr="00673FD3" w:rsidRDefault="004307E6" w:rsidP="004307E6">
      <w:pPr>
        <w:tabs>
          <w:tab w:val="left" w:pos="450"/>
        </w:tabs>
        <w:spacing w:before="120" w:after="120"/>
        <w:rPr>
          <w:rFonts w:ascii="Arial" w:hAnsi="Arial" w:cs="Arial"/>
          <w:b/>
          <w:sz w:val="22"/>
          <w:szCs w:val="22"/>
          <w:lang w:val="es-HN"/>
        </w:rPr>
      </w:pPr>
      <w:r w:rsidRPr="00673FD3">
        <w:rPr>
          <w:rFonts w:ascii="Arial" w:hAnsi="Arial" w:cs="Arial"/>
          <w:b/>
          <w:sz w:val="22"/>
          <w:szCs w:val="22"/>
          <w:lang w:val="es-HN"/>
        </w:rPr>
        <w:t>F.</w:t>
      </w:r>
      <w:r w:rsidRPr="00673FD3">
        <w:rPr>
          <w:rFonts w:ascii="Arial" w:hAnsi="Arial" w:cs="Arial"/>
          <w:b/>
          <w:sz w:val="22"/>
          <w:szCs w:val="22"/>
          <w:lang w:val="es-HN"/>
        </w:rPr>
        <w:tab/>
        <w:t>Lista de Contrapartes Prohibidas:</w:t>
      </w:r>
    </w:p>
    <w:p w14:paraId="319BF75A" w14:textId="77777777" w:rsidR="004307E6" w:rsidRPr="00673FD3" w:rsidRDefault="004307E6" w:rsidP="004307E6">
      <w:pPr>
        <w:spacing w:before="120" w:after="120"/>
        <w:ind w:left="450"/>
        <w:rPr>
          <w:rFonts w:ascii="Arial" w:hAnsi="Arial" w:cs="Arial"/>
          <w:sz w:val="22"/>
          <w:szCs w:val="22"/>
          <w:lang w:val="es-HN"/>
        </w:rPr>
      </w:pPr>
      <w:r w:rsidRPr="00673FD3">
        <w:rPr>
          <w:rFonts w:ascii="Arial" w:hAnsi="Arial" w:cs="Arial"/>
          <w:sz w:val="22"/>
          <w:szCs w:val="22"/>
          <w:lang w:val="es-HN"/>
        </w:rPr>
        <w:t>El BCIE podrá incorporar a las Contrapartes y sus Relacionados en la Lista de Contrapartes Prohibidas, que, para tal efecto, ha instituido. La inhabilitación de forma temporal o permanente en dicha Lista de Contrapartes Prohibidas será determinada caso por caso por el BCIE.</w:t>
      </w:r>
    </w:p>
    <w:p w14:paraId="476D0459" w14:textId="77777777" w:rsidR="004307E6" w:rsidRPr="00673FD3" w:rsidRDefault="004307E6" w:rsidP="004307E6">
      <w:pPr>
        <w:spacing w:before="120" w:after="120"/>
        <w:ind w:left="450"/>
        <w:rPr>
          <w:rFonts w:ascii="Arial" w:hAnsi="Arial" w:cs="Arial"/>
          <w:sz w:val="22"/>
          <w:szCs w:val="22"/>
          <w:lang w:val="es-HN"/>
        </w:rPr>
      </w:pPr>
      <w:r w:rsidRPr="00673FD3">
        <w:rPr>
          <w:rFonts w:ascii="Arial" w:hAnsi="Arial" w:cs="Arial"/>
          <w:sz w:val="22"/>
          <w:szCs w:val="22"/>
          <w:lang w:val="es-HN"/>
        </w:rPr>
        <w:t>El BCIE otorgará a las contrapartes y sus relacionados la oportunidad para presentar sus argumentos de descargo, a través de la realización de un procedimiento administrativo. Esto incluye, sin estar limitado solo a ello, el derecho del BCIE de compartir o hacer público el contenido de esa lista.</w:t>
      </w:r>
    </w:p>
    <w:p w14:paraId="3C4C9D34" w14:textId="77777777" w:rsidR="004307E6" w:rsidRPr="00673FD3" w:rsidRDefault="004307E6" w:rsidP="004307E6">
      <w:pPr>
        <w:spacing w:before="120" w:after="120"/>
        <w:rPr>
          <w:rFonts w:ascii="Arial" w:hAnsi="Arial" w:cs="Arial"/>
          <w:sz w:val="22"/>
          <w:szCs w:val="22"/>
          <w:lang w:val="es-HN"/>
        </w:rPr>
      </w:pPr>
      <w:r w:rsidRPr="00673FD3">
        <w:rPr>
          <w:rFonts w:ascii="Arial" w:hAnsi="Arial" w:cs="Arial"/>
          <w:sz w:val="22"/>
          <w:szCs w:val="22"/>
          <w:lang w:val="es-HN"/>
        </w:rPr>
        <w:lastRenderedPageBreak/>
        <w:t>Este Apéndice forma parte integral del presente contrato, por lo que la Contraparte acepta cada una de las disposiciones aquí estipuladas.</w:t>
      </w:r>
      <w:r w:rsidRPr="00673FD3">
        <w:rPr>
          <w:rFonts w:ascii="Arial" w:hAnsi="Arial" w:cs="Arial"/>
          <w:sz w:val="22"/>
          <w:szCs w:val="22"/>
          <w:lang w:val="es-HN"/>
        </w:rPr>
        <w:br w:type="page"/>
      </w:r>
    </w:p>
    <w:p w14:paraId="6237A9AF" w14:textId="77777777" w:rsidR="004307E6" w:rsidRPr="00673FD3" w:rsidRDefault="004307E6" w:rsidP="004307E6">
      <w:pPr>
        <w:pStyle w:val="Ttulo1"/>
        <w:keepNext/>
        <w:keepLines/>
        <w:suppressAutoHyphens w:val="0"/>
        <w:spacing w:before="120" w:after="120"/>
        <w:rPr>
          <w:rFonts w:ascii="Arial" w:hAnsi="Arial" w:cs="Arial"/>
          <w:smallCaps w:val="0"/>
          <w:sz w:val="22"/>
          <w:szCs w:val="22"/>
          <w:lang w:val="es-ES"/>
        </w:rPr>
      </w:pPr>
      <w:bookmarkStart w:id="2275" w:name="_Toc74048301"/>
      <w:bookmarkStart w:id="2276" w:name="_Toc74518541"/>
      <w:bookmarkStart w:id="2277" w:name="_Toc74519271"/>
      <w:bookmarkStart w:id="2278" w:name="_Toc74781461"/>
      <w:bookmarkStart w:id="2279" w:name="_Toc74930974"/>
      <w:r w:rsidRPr="00673FD3">
        <w:rPr>
          <w:rFonts w:ascii="Arial" w:hAnsi="Arial" w:cs="Arial"/>
          <w:smallCaps w:val="0"/>
          <w:sz w:val="22"/>
          <w:szCs w:val="22"/>
          <w:lang w:val="es-ES"/>
        </w:rPr>
        <w:lastRenderedPageBreak/>
        <w:t>Apéndice 2: Disposiciones Ambientales y Sociales del Banco</w:t>
      </w:r>
      <w:bookmarkEnd w:id="2275"/>
      <w:bookmarkEnd w:id="2276"/>
      <w:bookmarkEnd w:id="2277"/>
      <w:bookmarkEnd w:id="2278"/>
      <w:bookmarkEnd w:id="2279"/>
    </w:p>
    <w:p w14:paraId="0C757798" w14:textId="77777777" w:rsidR="004307E6" w:rsidRPr="00673FD3" w:rsidRDefault="004307E6" w:rsidP="004307E6">
      <w:pPr>
        <w:pStyle w:val="Ttulonormal"/>
      </w:pPr>
      <w:bookmarkStart w:id="2280" w:name="_Toc72792074"/>
      <w:bookmarkStart w:id="2281" w:name="_Toc74048302"/>
      <w:bookmarkStart w:id="2282" w:name="_Toc74518542"/>
      <w:bookmarkStart w:id="2283" w:name="_Toc74519272"/>
      <w:bookmarkStart w:id="2284" w:name="_Toc74781462"/>
      <w:r w:rsidRPr="00673FD3">
        <w:t>Gestión ambiental y social</w:t>
      </w:r>
      <w:bookmarkEnd w:id="2280"/>
      <w:bookmarkEnd w:id="2281"/>
      <w:bookmarkEnd w:id="2282"/>
      <w:bookmarkEnd w:id="2283"/>
      <w:bookmarkEnd w:id="2284"/>
    </w:p>
    <w:p w14:paraId="1179AD9B" w14:textId="77777777" w:rsidR="004307E6" w:rsidRPr="00673FD3" w:rsidRDefault="004307E6" w:rsidP="004307E6">
      <w:pPr>
        <w:pStyle w:val="Ttulonormal2"/>
      </w:pPr>
      <w:bookmarkStart w:id="2285" w:name="_Toc72792075"/>
      <w:bookmarkStart w:id="2286" w:name="_Toc74048303"/>
      <w:bookmarkStart w:id="2287" w:name="_Toc74518543"/>
      <w:bookmarkStart w:id="2288" w:name="_Toc74519273"/>
      <w:bookmarkStart w:id="2289" w:name="_Toc74781463"/>
      <w:bookmarkStart w:id="2290" w:name="_Toc248017698"/>
      <w:bookmarkStart w:id="2291" w:name="_Toc450039190"/>
      <w:bookmarkStart w:id="2292" w:name="_Toc450039488"/>
      <w:r w:rsidRPr="00673FD3">
        <w:t>1.1 General</w:t>
      </w:r>
      <w:bookmarkEnd w:id="2285"/>
      <w:bookmarkEnd w:id="2286"/>
      <w:bookmarkEnd w:id="2287"/>
      <w:bookmarkEnd w:id="2288"/>
      <w:bookmarkEnd w:id="2289"/>
    </w:p>
    <w:p w14:paraId="0405CD4F"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tomará todas las medidas razonables para proteger el medio ambiente (tanto dentro como fuera del Lugar de las Obras) y para limitar los daños y las molestias que puedan sufrir las personas y las propiedades como consecuencia de la contaminación, el ruido y otros resultados de sus operaciones.</w:t>
      </w:r>
      <w:bookmarkEnd w:id="2290"/>
      <w:bookmarkEnd w:id="2291"/>
      <w:bookmarkEnd w:id="2292"/>
      <w:r w:rsidRPr="00673FD3">
        <w:rPr>
          <w:rFonts w:ascii="Arial" w:hAnsi="Arial" w:cs="Arial"/>
          <w:sz w:val="22"/>
          <w:szCs w:val="22"/>
          <w:lang w:val="es-ES"/>
        </w:rPr>
        <w:t xml:space="preserve"> </w:t>
      </w:r>
    </w:p>
    <w:p w14:paraId="6DA1F370" w14:textId="77777777" w:rsidR="004307E6" w:rsidRPr="00673FD3" w:rsidRDefault="004307E6" w:rsidP="004307E6">
      <w:pPr>
        <w:pStyle w:val="Ttulonormal2"/>
      </w:pPr>
      <w:bookmarkStart w:id="2293" w:name="_Toc72792076"/>
      <w:bookmarkStart w:id="2294" w:name="_Toc74048304"/>
      <w:bookmarkStart w:id="2295" w:name="_Toc74518544"/>
      <w:bookmarkStart w:id="2296" w:name="_Toc74519274"/>
      <w:bookmarkStart w:id="2297" w:name="_Toc74781464"/>
      <w:r w:rsidRPr="00673FD3">
        <w:t>1.2 Informes</w:t>
      </w:r>
      <w:bookmarkEnd w:id="2293"/>
      <w:bookmarkEnd w:id="2294"/>
      <w:bookmarkEnd w:id="2295"/>
      <w:bookmarkEnd w:id="2296"/>
      <w:bookmarkEnd w:id="2297"/>
    </w:p>
    <w:p w14:paraId="7905022D"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incorporará como parte los informes de avance de las obras los indicadores ambientales, sociales, de higiene, salud y seguridad ocupacional establecidos en el Numeral 4.</w:t>
      </w:r>
    </w:p>
    <w:p w14:paraId="5031672A" w14:textId="77777777" w:rsidR="004307E6" w:rsidRPr="00673FD3" w:rsidRDefault="004307E6" w:rsidP="004307E6">
      <w:pPr>
        <w:pStyle w:val="Ttulonormal2"/>
      </w:pPr>
      <w:bookmarkStart w:id="2298" w:name="_Toc72792077"/>
      <w:bookmarkStart w:id="2299" w:name="_Toc74048305"/>
      <w:bookmarkStart w:id="2300" w:name="_Toc74518545"/>
      <w:bookmarkStart w:id="2301" w:name="_Toc74519275"/>
      <w:bookmarkStart w:id="2302" w:name="_Toc74781465"/>
      <w:r w:rsidRPr="00673FD3">
        <w:t>1.3 Instrumentos de gestión</w:t>
      </w:r>
      <w:bookmarkEnd w:id="2298"/>
      <w:bookmarkEnd w:id="2299"/>
      <w:bookmarkEnd w:id="2300"/>
      <w:bookmarkEnd w:id="2301"/>
      <w:bookmarkEnd w:id="2302"/>
    </w:p>
    <w:p w14:paraId="124FA8FA"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no podrá iniciar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Gerente de Obras exprese satisfacción sobre la adopción de las medidas para reducir los riesgos e impactos en materia ambiental, social, higiene, salud y seguridad en el trabajo. Para el inicio de esas actividades preliminares, como mínimo, el Contratista debe estar aplicando el Sistema de Gestión Ambiental y Social que se hubiese desarrollado para tales fines (SGAS), Plan de Gestión Social y Ambiental (PGAS del Contratista) y las Normas de Conducta en materia Ambiental, Social, de Salud y Seguridad Ocupacional, que fueron presentados en la oferta y/o contenidas en las </w:t>
      </w:r>
      <w:r w:rsidRPr="00673FD3">
        <w:rPr>
          <w:rFonts w:ascii="Arial" w:hAnsi="Arial" w:cs="Arial"/>
          <w:b/>
          <w:sz w:val="22"/>
          <w:szCs w:val="22"/>
          <w:lang w:val="es-ES"/>
        </w:rPr>
        <w:t>Especificaciones Técnicas</w:t>
      </w:r>
      <w:r w:rsidRPr="00673FD3">
        <w:rPr>
          <w:rFonts w:ascii="Arial" w:hAnsi="Arial" w:cs="Arial"/>
          <w:sz w:val="22"/>
          <w:szCs w:val="22"/>
          <w:lang w:val="es-ES"/>
        </w:rPr>
        <w:t>. El PGAS del Contratista debe ser aprobado antes del inicio de las actividades de construcción (tales como excavaciones, corte y relleno, puentes y estructuras, desvíos de caminos y vías de agua, extracción de materiales, producción de concretos y de asfalto). El PGAS del Contratista aprobado debe ser revisado por el Contratista periódicamente (al menos cada seis meses) y actualizado en forma oportuna cuando necesario a efecto de asegurar que el PGAS del Contratista contiene las disposiciones apropiadas para las actividades de las Obras que se están ejecutando. La actualización del PGAS del Contratista debe ser previamente aprobado por el Gerente de Obras.</w:t>
      </w:r>
    </w:p>
    <w:p w14:paraId="151235D2" w14:textId="77777777" w:rsidR="004307E6" w:rsidRPr="00673FD3" w:rsidRDefault="004307E6" w:rsidP="004307E6">
      <w:pPr>
        <w:pStyle w:val="Ttulonormal2"/>
      </w:pPr>
      <w:bookmarkStart w:id="2303" w:name="_Toc72792078"/>
      <w:bookmarkStart w:id="2304" w:name="_Toc74048306"/>
      <w:bookmarkStart w:id="2305" w:name="_Toc74518546"/>
      <w:bookmarkStart w:id="2306" w:name="_Toc74519276"/>
      <w:bookmarkStart w:id="2307" w:name="_Toc74781466"/>
      <w:r w:rsidRPr="00673FD3">
        <w:t>1.4 Prevención de la contaminación</w:t>
      </w:r>
      <w:bookmarkEnd w:id="2303"/>
      <w:bookmarkEnd w:id="2304"/>
      <w:bookmarkEnd w:id="2305"/>
      <w:bookmarkEnd w:id="2306"/>
      <w:bookmarkEnd w:id="2307"/>
    </w:p>
    <w:p w14:paraId="76A77933" w14:textId="77777777" w:rsidR="004307E6" w:rsidRPr="00673FD3" w:rsidRDefault="004307E6" w:rsidP="004307E6">
      <w:pPr>
        <w:spacing w:before="120" w:after="120"/>
        <w:ind w:left="180"/>
        <w:rPr>
          <w:rFonts w:ascii="Arial" w:hAnsi="Arial" w:cs="Arial"/>
          <w:b/>
          <w:sz w:val="22"/>
          <w:szCs w:val="22"/>
          <w:lang w:val="es-ES"/>
        </w:rPr>
      </w:pPr>
      <w:bookmarkStart w:id="2308" w:name="_Toc248017699"/>
      <w:bookmarkStart w:id="2309" w:name="_Toc450039191"/>
      <w:bookmarkStart w:id="2310" w:name="_Toc450039489"/>
      <w:r w:rsidRPr="00673FD3">
        <w:rPr>
          <w:rFonts w:ascii="Arial" w:hAnsi="Arial" w:cs="Arial"/>
          <w:sz w:val="22"/>
          <w:szCs w:val="22"/>
          <w:lang w:val="es-ES"/>
        </w:rPr>
        <w:t xml:space="preserve">El Contratista se cerciorará de que las emisiones y las descargas superficiales y los efluentes derivados de sus actividades no excedan los valores estipulados en las </w:t>
      </w:r>
      <w:r w:rsidRPr="00673FD3">
        <w:rPr>
          <w:rFonts w:ascii="Arial" w:hAnsi="Arial" w:cs="Arial"/>
          <w:b/>
          <w:sz w:val="22"/>
          <w:szCs w:val="22"/>
          <w:lang w:val="es-ES"/>
        </w:rPr>
        <w:t xml:space="preserve">Especificaciones Técnicas </w:t>
      </w:r>
      <w:r w:rsidRPr="00673FD3">
        <w:rPr>
          <w:rFonts w:ascii="Arial" w:hAnsi="Arial" w:cs="Arial"/>
          <w:sz w:val="22"/>
          <w:szCs w:val="22"/>
          <w:lang w:val="es-ES"/>
        </w:rPr>
        <w:t>o establecidos en las leyes aplicables.</w:t>
      </w:r>
      <w:bookmarkEnd w:id="2308"/>
      <w:bookmarkEnd w:id="2309"/>
      <w:bookmarkEnd w:id="2310"/>
      <w:r w:rsidRPr="00673FD3">
        <w:rPr>
          <w:rFonts w:ascii="Arial" w:hAnsi="Arial" w:cs="Arial"/>
          <w:b/>
          <w:sz w:val="22"/>
          <w:szCs w:val="22"/>
          <w:lang w:val="es-ES"/>
        </w:rPr>
        <w:t xml:space="preserve"> </w:t>
      </w:r>
    </w:p>
    <w:p w14:paraId="11E19769" w14:textId="77777777" w:rsidR="004307E6" w:rsidRPr="00673FD3" w:rsidRDefault="004307E6" w:rsidP="004307E6">
      <w:pPr>
        <w:pStyle w:val="Ttulonormal"/>
      </w:pPr>
      <w:bookmarkStart w:id="2311" w:name="_Toc72792079"/>
      <w:bookmarkStart w:id="2312" w:name="_Toc74048307"/>
      <w:bookmarkStart w:id="2313" w:name="_Toc74518547"/>
      <w:bookmarkStart w:id="2314" w:name="_Toc74519277"/>
      <w:bookmarkStart w:id="2315" w:name="_Toc74781467"/>
      <w:r w:rsidRPr="00673FD3">
        <w:t>Trabajo y condiciones laborales</w:t>
      </w:r>
      <w:bookmarkEnd w:id="2311"/>
      <w:bookmarkEnd w:id="2312"/>
      <w:bookmarkEnd w:id="2313"/>
      <w:bookmarkEnd w:id="2314"/>
      <w:bookmarkEnd w:id="2315"/>
    </w:p>
    <w:p w14:paraId="167A509E" w14:textId="77777777" w:rsidR="004307E6" w:rsidRPr="00673FD3" w:rsidRDefault="004307E6" w:rsidP="004307E6">
      <w:pPr>
        <w:pStyle w:val="Ttulonormal2"/>
      </w:pPr>
      <w:bookmarkStart w:id="2316" w:name="_Toc72792080"/>
      <w:bookmarkStart w:id="2317" w:name="_Toc74048308"/>
      <w:bookmarkStart w:id="2318" w:name="_Toc74518548"/>
      <w:bookmarkStart w:id="2319" w:name="_Toc74519278"/>
      <w:bookmarkStart w:id="2320" w:name="_Toc74781468"/>
      <w:r w:rsidRPr="00673FD3">
        <w:t>2.1 Leyes laborales</w:t>
      </w:r>
      <w:bookmarkEnd w:id="2316"/>
      <w:bookmarkEnd w:id="2317"/>
      <w:bookmarkEnd w:id="2318"/>
      <w:bookmarkEnd w:id="2319"/>
      <w:bookmarkEnd w:id="2320"/>
    </w:p>
    <w:p w14:paraId="6D737D16"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cumplirá todas las Leyes laborales pertinentes aplicables al Personal del Contratista, incluidas las Leyes en materia de empleo, higiene, salud, seguridad, bienestar social, inmigración y emigración, y permitirá que gocen de todos sus derechos legales. </w:t>
      </w:r>
    </w:p>
    <w:p w14:paraId="02929DF9" w14:textId="77777777" w:rsidR="004307E6" w:rsidRPr="00673FD3" w:rsidRDefault="004307E6" w:rsidP="004307E6">
      <w:pPr>
        <w:spacing w:before="120" w:after="120"/>
        <w:ind w:left="180"/>
        <w:rPr>
          <w:rFonts w:ascii="Arial" w:hAnsi="Arial" w:cs="Arial"/>
          <w:sz w:val="22"/>
          <w:szCs w:val="22"/>
          <w:lang w:val="es-ES"/>
        </w:rPr>
      </w:pPr>
      <w:bookmarkStart w:id="2321" w:name="_Toc248017720"/>
      <w:bookmarkStart w:id="2322" w:name="_Toc450039198"/>
      <w:bookmarkStart w:id="2323" w:name="_Toc450039496"/>
      <w:r w:rsidRPr="00673FD3">
        <w:rPr>
          <w:rFonts w:ascii="Arial" w:hAnsi="Arial" w:cs="Arial"/>
          <w:sz w:val="22"/>
          <w:szCs w:val="22"/>
          <w:lang w:val="es-ES"/>
        </w:rPr>
        <w:t>El Contratista exigirá a sus empleados que obedezcan las leyes aplicables, incluidas aquellas relacionadas con la seguridad en el lugar de trabajo.</w:t>
      </w:r>
      <w:bookmarkEnd w:id="2321"/>
      <w:bookmarkEnd w:id="2322"/>
      <w:bookmarkEnd w:id="2323"/>
    </w:p>
    <w:p w14:paraId="4DC2F900" w14:textId="77777777" w:rsidR="004307E6" w:rsidRPr="00673FD3" w:rsidRDefault="004307E6" w:rsidP="004307E6">
      <w:pPr>
        <w:pStyle w:val="Ttulonormal2"/>
      </w:pPr>
      <w:bookmarkStart w:id="2324" w:name="_Toc72792081"/>
      <w:bookmarkStart w:id="2325" w:name="_Toc74048309"/>
      <w:bookmarkStart w:id="2326" w:name="_Toc74518549"/>
      <w:bookmarkStart w:id="2327" w:name="_Toc74519279"/>
      <w:bookmarkStart w:id="2328" w:name="_Toc74781469"/>
      <w:r w:rsidRPr="00673FD3">
        <w:lastRenderedPageBreak/>
        <w:t>2.2 Contratación de personal y mano de obra</w:t>
      </w:r>
      <w:bookmarkEnd w:id="2324"/>
      <w:bookmarkEnd w:id="2325"/>
      <w:bookmarkEnd w:id="2326"/>
      <w:bookmarkEnd w:id="2327"/>
      <w:bookmarkEnd w:id="2328"/>
    </w:p>
    <w:p w14:paraId="4BD760E6" w14:textId="77777777" w:rsidR="004307E6" w:rsidRPr="00673FD3" w:rsidRDefault="004307E6" w:rsidP="004307E6">
      <w:pPr>
        <w:spacing w:before="120" w:after="120"/>
        <w:ind w:left="187"/>
        <w:rPr>
          <w:rFonts w:ascii="Arial" w:hAnsi="Arial" w:cs="Arial"/>
          <w:sz w:val="22"/>
          <w:szCs w:val="22"/>
          <w:lang w:val="es-ES"/>
        </w:rPr>
      </w:pPr>
      <w:r w:rsidRPr="00673FD3">
        <w:rPr>
          <w:rFonts w:ascii="Arial" w:hAnsi="Arial" w:cs="Arial"/>
          <w:sz w:val="22"/>
          <w:szCs w:val="22"/>
          <w:lang w:val="es-ES"/>
        </w:rPr>
        <w:t xml:space="preserve">Salvo disposición en contrario en las </w:t>
      </w:r>
      <w:r w:rsidRPr="00673FD3">
        <w:rPr>
          <w:rFonts w:ascii="Arial" w:hAnsi="Arial" w:cs="Arial"/>
          <w:b/>
          <w:sz w:val="22"/>
          <w:szCs w:val="22"/>
          <w:lang w:val="es-ES"/>
        </w:rPr>
        <w:t>Especificaciones Técnicas</w:t>
      </w:r>
      <w:r w:rsidRPr="00673FD3">
        <w:rPr>
          <w:rFonts w:ascii="Arial" w:hAnsi="Arial" w:cs="Arial"/>
          <w:sz w:val="22"/>
          <w:szCs w:val="22"/>
          <w:lang w:val="es-ES"/>
        </w:rPr>
        <w:t xml:space="preserve">, el Contratista deberá encargarse de contratar a todo el personal y la mano de obra, de origen nacional o de otra procedencia, así como de su remuneración, y cuando corresponda alimentación, transporte y alojamiento. </w:t>
      </w:r>
    </w:p>
    <w:p w14:paraId="20AD379D" w14:textId="77777777" w:rsidR="004307E6" w:rsidRPr="00673FD3" w:rsidRDefault="004307E6" w:rsidP="004307E6">
      <w:pPr>
        <w:spacing w:before="120" w:after="120"/>
        <w:ind w:left="187"/>
        <w:rPr>
          <w:rFonts w:ascii="Arial" w:hAnsi="Arial" w:cs="Arial"/>
          <w:b/>
          <w:sz w:val="22"/>
          <w:szCs w:val="22"/>
          <w:lang w:val="es-ES"/>
        </w:rPr>
      </w:pPr>
      <w:r w:rsidRPr="00673FD3">
        <w:rPr>
          <w:rFonts w:ascii="Arial" w:hAnsi="Arial" w:cs="Arial"/>
          <w:sz w:val="22"/>
          <w:szCs w:val="22"/>
          <w:lang w:val="es-ES"/>
        </w:rPr>
        <w:t>Se alentará al Contratista a contratar, en la medida de lo posible y razonable, personal y mano de obra con las calificaciones y la experiencia adecuadas que resida dentro del País.</w:t>
      </w:r>
      <w:r w:rsidRPr="00673FD3">
        <w:rPr>
          <w:rFonts w:ascii="Arial" w:hAnsi="Arial" w:cs="Arial"/>
          <w:b/>
          <w:sz w:val="22"/>
          <w:szCs w:val="22"/>
          <w:lang w:val="es-ES"/>
        </w:rPr>
        <w:t xml:space="preserve"> </w:t>
      </w:r>
    </w:p>
    <w:p w14:paraId="303B56A1" w14:textId="77777777" w:rsidR="004307E6" w:rsidRPr="00673FD3" w:rsidRDefault="004307E6" w:rsidP="004307E6">
      <w:pPr>
        <w:pStyle w:val="Ttulonormal2"/>
      </w:pPr>
      <w:bookmarkStart w:id="2329" w:name="_Toc72792082"/>
      <w:bookmarkStart w:id="2330" w:name="_Toc74048310"/>
      <w:bookmarkStart w:id="2331" w:name="_Toc74518550"/>
      <w:bookmarkStart w:id="2332" w:name="_Toc74519280"/>
      <w:bookmarkStart w:id="2333" w:name="_Toc74781470"/>
      <w:r w:rsidRPr="00673FD3">
        <w:t>2.3 Prohibición de trabajo forzoso u obligatorio</w:t>
      </w:r>
      <w:bookmarkEnd w:id="2329"/>
      <w:bookmarkEnd w:id="2330"/>
      <w:bookmarkEnd w:id="2331"/>
      <w:bookmarkEnd w:id="2332"/>
      <w:bookmarkEnd w:id="2333"/>
    </w:p>
    <w:p w14:paraId="6F773B19" w14:textId="77777777" w:rsidR="004307E6" w:rsidRPr="00673FD3" w:rsidRDefault="004307E6" w:rsidP="004307E6">
      <w:pPr>
        <w:spacing w:before="120" w:after="120"/>
        <w:ind w:left="180"/>
        <w:rPr>
          <w:rFonts w:ascii="Arial" w:hAnsi="Arial" w:cs="Arial"/>
          <w:sz w:val="22"/>
          <w:szCs w:val="22"/>
          <w:lang w:val="es-ES"/>
        </w:rPr>
      </w:pPr>
      <w:bookmarkStart w:id="2334" w:name="_Toc248017749"/>
      <w:bookmarkStart w:id="2335" w:name="_Toc450039211"/>
      <w:bookmarkStart w:id="2336" w:name="_Toc450039509"/>
      <w:r w:rsidRPr="00673FD3">
        <w:rPr>
          <w:rFonts w:ascii="Arial" w:hAnsi="Arial" w:cs="Arial"/>
          <w:sz w:val="22"/>
          <w:szCs w:val="22"/>
          <w:lang w:val="es-ES"/>
        </w:rPr>
        <w:t>El Contratista no empleará “trabajo forzoso”, entendido como todo trabajo o servicio, realizado de manera involuntaria, que se le exija a una persona bajo amenaza de fuerza o sanción, e incluye todo tipo de trabajo involuntario u obligatorio, como trabajo bajo contrato de cumplimiento forzoso, servidumbre por deudas u otros contratos de trabajo similares.</w:t>
      </w:r>
      <w:bookmarkEnd w:id="2334"/>
      <w:bookmarkEnd w:id="2335"/>
      <w:bookmarkEnd w:id="2336"/>
      <w:r w:rsidRPr="00673FD3">
        <w:rPr>
          <w:rFonts w:ascii="Arial" w:hAnsi="Arial" w:cs="Arial"/>
          <w:sz w:val="22"/>
          <w:szCs w:val="22"/>
          <w:lang w:val="es-ES"/>
        </w:rPr>
        <w:t xml:space="preserve"> El Contratista no empleará a personas traficadas.</w:t>
      </w:r>
    </w:p>
    <w:p w14:paraId="4C231B67" w14:textId="77777777" w:rsidR="004307E6" w:rsidRPr="00673FD3" w:rsidRDefault="004307E6" w:rsidP="004307E6">
      <w:pPr>
        <w:pStyle w:val="Ttulonormal2"/>
      </w:pPr>
      <w:bookmarkStart w:id="2337" w:name="_Toc72792083"/>
      <w:bookmarkStart w:id="2338" w:name="_Toc74048311"/>
      <w:bookmarkStart w:id="2339" w:name="_Toc74518551"/>
      <w:bookmarkStart w:id="2340" w:name="_Toc74519281"/>
      <w:bookmarkStart w:id="2341" w:name="_Toc74781471"/>
      <w:r w:rsidRPr="00673FD3">
        <w:t>2.4 Prohibición de trabajo infantil</w:t>
      </w:r>
      <w:bookmarkEnd w:id="2337"/>
      <w:bookmarkEnd w:id="2338"/>
      <w:bookmarkEnd w:id="2339"/>
      <w:bookmarkEnd w:id="2340"/>
      <w:bookmarkEnd w:id="2341"/>
      <w:r w:rsidRPr="00673FD3">
        <w:t xml:space="preserve"> </w:t>
      </w:r>
    </w:p>
    <w:p w14:paraId="79DF18DA" w14:textId="77777777" w:rsidR="004307E6" w:rsidRPr="00673FD3" w:rsidRDefault="004307E6" w:rsidP="004307E6">
      <w:pPr>
        <w:spacing w:before="120" w:after="120"/>
        <w:ind w:left="180"/>
        <w:rPr>
          <w:rFonts w:ascii="Arial" w:hAnsi="Arial" w:cs="Arial"/>
          <w:sz w:val="22"/>
          <w:szCs w:val="22"/>
          <w:lang w:val="es-ES"/>
        </w:rPr>
      </w:pPr>
      <w:bookmarkStart w:id="2342" w:name="_Toc248017751"/>
      <w:bookmarkStart w:id="2343" w:name="_Toc450039212"/>
      <w:bookmarkStart w:id="2344" w:name="_Toc450039510"/>
      <w:r w:rsidRPr="00673FD3">
        <w:rPr>
          <w:rFonts w:ascii="Arial" w:hAnsi="Arial" w:cs="Arial"/>
          <w:sz w:val="22"/>
          <w:szCs w:val="22"/>
          <w:lang w:val="es-ES"/>
        </w:rPr>
        <w:t>El Contratista no empleará niños en ninguna forma de trabajo que constituya una explotación económica, que pueda ser peligrosa o que interfiera con la educación del niño, o sea perjudicial para su salud o su desarrollo físico, mental, espiritual, moral o social.</w:t>
      </w:r>
      <w:bookmarkEnd w:id="2342"/>
      <w:r w:rsidRPr="00673FD3">
        <w:rPr>
          <w:rFonts w:ascii="Arial" w:hAnsi="Arial" w:cs="Arial"/>
          <w:sz w:val="22"/>
          <w:szCs w:val="22"/>
          <w:lang w:val="es-ES"/>
        </w:rPr>
        <w:t xml:space="preserve"> El Contratista identificará la presencia de todas las personas menores de 18 años. En los países donde las leyes laborales pertinentes incluyan disposiciones relativas al empleo de menores, el Contratista deberá seguir esas leyes en cuanto se apliquen a sus actividades. No se deberán contratar menores de 18 años para realizar trabajos peligrosos.</w:t>
      </w:r>
      <w:bookmarkEnd w:id="2343"/>
      <w:bookmarkEnd w:id="2344"/>
      <w:r w:rsidRPr="00673FD3">
        <w:rPr>
          <w:rFonts w:ascii="Arial" w:hAnsi="Arial" w:cs="Arial"/>
          <w:sz w:val="22"/>
          <w:szCs w:val="22"/>
          <w:lang w:val="es-ES"/>
        </w:rPr>
        <w:t xml:space="preserve"> Para todo trabajo desarrollado por personas menores de 18 años el Contratista deberá realizar una evaluación adecuada de los riesgos y controles periódicos de salud, condiciones de trabajo y jornada laboral para el personal contratado.</w:t>
      </w:r>
    </w:p>
    <w:p w14:paraId="7EC96C9C" w14:textId="77777777" w:rsidR="004307E6" w:rsidRPr="00673FD3" w:rsidRDefault="004307E6" w:rsidP="004307E6">
      <w:pPr>
        <w:pStyle w:val="Ttulonormal2"/>
      </w:pPr>
      <w:bookmarkStart w:id="2345" w:name="_Toc72792084"/>
      <w:bookmarkStart w:id="2346" w:name="_Toc74048312"/>
      <w:bookmarkStart w:id="2347" w:name="_Toc74518552"/>
      <w:bookmarkStart w:id="2348" w:name="_Toc74519282"/>
      <w:bookmarkStart w:id="2349" w:name="_Toc74781472"/>
      <w:r w:rsidRPr="00673FD3">
        <w:t>2.5 Registros laborales de los trabajadores</w:t>
      </w:r>
      <w:bookmarkEnd w:id="2345"/>
      <w:bookmarkEnd w:id="2346"/>
      <w:bookmarkEnd w:id="2347"/>
      <w:bookmarkEnd w:id="2348"/>
      <w:bookmarkEnd w:id="2349"/>
    </w:p>
    <w:p w14:paraId="1058A1F9" w14:textId="77777777" w:rsidR="004307E6" w:rsidRPr="00673FD3" w:rsidRDefault="004307E6" w:rsidP="004307E6">
      <w:pPr>
        <w:spacing w:before="120" w:after="120"/>
        <w:ind w:left="180"/>
        <w:rPr>
          <w:rFonts w:ascii="Arial" w:hAnsi="Arial" w:cs="Arial"/>
          <w:b/>
          <w:sz w:val="22"/>
          <w:szCs w:val="22"/>
          <w:lang w:val="es-ES"/>
        </w:rPr>
      </w:pPr>
      <w:bookmarkStart w:id="2350" w:name="_Toc248017753"/>
      <w:bookmarkStart w:id="2351" w:name="_Toc450039213"/>
      <w:bookmarkStart w:id="2352" w:name="_Toc450039511"/>
      <w:r w:rsidRPr="00673FD3">
        <w:rPr>
          <w:rFonts w:ascii="Arial" w:hAnsi="Arial" w:cs="Arial"/>
          <w:sz w:val="22"/>
          <w:szCs w:val="22"/>
          <w:lang w:val="es-ES"/>
        </w:rPr>
        <w:t>El Contratista mantendrá un registro completo y preciso sobre el empleo de trabajadores en el Lugar de las Obras. El registro incluirá el nombre, la edad, el sexo, las horas trabajadas y el salario de cada uno de los trabajadores. El registro se resumirá una vez al mes y se enviará al Gerente de Obras, y se incluirá en los informes detallados que debe presentar el Contratista</w:t>
      </w:r>
      <w:bookmarkEnd w:id="2350"/>
      <w:bookmarkEnd w:id="2351"/>
      <w:bookmarkEnd w:id="2352"/>
      <w:r w:rsidRPr="00673FD3">
        <w:rPr>
          <w:rFonts w:ascii="Arial" w:hAnsi="Arial" w:cs="Arial"/>
          <w:sz w:val="22"/>
          <w:szCs w:val="22"/>
          <w:lang w:val="es-ES"/>
        </w:rPr>
        <w:t>.</w:t>
      </w:r>
      <w:r w:rsidRPr="00673FD3">
        <w:rPr>
          <w:rFonts w:ascii="Arial" w:hAnsi="Arial" w:cs="Arial"/>
          <w:b/>
          <w:sz w:val="22"/>
          <w:szCs w:val="22"/>
          <w:lang w:val="es-ES"/>
        </w:rPr>
        <w:t xml:space="preserve"> </w:t>
      </w:r>
    </w:p>
    <w:p w14:paraId="334A8654" w14:textId="77777777" w:rsidR="004307E6" w:rsidRPr="00673FD3" w:rsidRDefault="004307E6" w:rsidP="004307E6">
      <w:pPr>
        <w:pStyle w:val="Ttulonormal2"/>
      </w:pPr>
      <w:bookmarkStart w:id="2353" w:name="_Toc72792085"/>
      <w:bookmarkStart w:id="2354" w:name="_Toc74048313"/>
      <w:bookmarkStart w:id="2355" w:name="_Toc74518553"/>
      <w:bookmarkStart w:id="2356" w:name="_Toc74519283"/>
      <w:bookmarkStart w:id="2357" w:name="_Toc74781473"/>
      <w:r w:rsidRPr="00673FD3">
        <w:t>2.6 Organizaciones de trabajadores</w:t>
      </w:r>
      <w:bookmarkEnd w:id="2353"/>
      <w:bookmarkEnd w:id="2354"/>
      <w:bookmarkEnd w:id="2355"/>
      <w:bookmarkEnd w:id="2356"/>
      <w:bookmarkEnd w:id="2357"/>
    </w:p>
    <w:p w14:paraId="4D10192F" w14:textId="77777777" w:rsidR="004307E6" w:rsidRPr="00673FD3" w:rsidRDefault="004307E6" w:rsidP="004307E6">
      <w:pPr>
        <w:spacing w:before="120" w:after="120"/>
        <w:ind w:left="180"/>
        <w:rPr>
          <w:rFonts w:ascii="Arial" w:hAnsi="Arial" w:cs="Arial"/>
          <w:sz w:val="22"/>
          <w:szCs w:val="22"/>
          <w:lang w:val="es-ES"/>
        </w:rPr>
      </w:pPr>
      <w:bookmarkStart w:id="2358" w:name="_Toc450039214"/>
      <w:bookmarkStart w:id="2359" w:name="_Toc450039512"/>
      <w:r w:rsidRPr="00673FD3">
        <w:rPr>
          <w:rFonts w:ascii="Arial" w:hAnsi="Arial" w:cs="Arial"/>
          <w:sz w:val="22"/>
          <w:szCs w:val="22"/>
          <w:lang w:val="es-ES"/>
        </w:rPr>
        <w:t>En países donde las leyes laborales pertinentes reconozcan el derecho de los trabajadores a establecer y adherirse sin interferencia a organizaciones de su elección, y el derecho de negociación colectiva, el Contratista cumplirá con dichas leyes. En los casos en que las leyes laborales pertinentes restrinjan sustancialmente las organizaciones de trabajadores, el Contratista establecerá medios alternativos para que su personal pueda expresar sus quejas y defender sus derechos en relación con las condiciones de trabajo y los términos de empleo. En cualquiera de los casos antes mencionados, y en los casos en que las leyes laborales pertinentes no se pronuncien al respecto, el Contratista no impedirá que su personal establezca o se adhiera a organizaciones de trabajadores de su elección o participe en negociaciones colectivas, y no discriminará ni tomará represalias contra del personal que participe, o trate de participar, en dichas organizaciones y negociaciones colectivas. El Contratista deberá interactuar con los representantes de esos trabajadores. Se espera que las organizaciones laborales representen con justicia a los trabajadores que componen la fuerza de trabajo.</w:t>
      </w:r>
      <w:bookmarkEnd w:id="2358"/>
      <w:bookmarkEnd w:id="2359"/>
    </w:p>
    <w:p w14:paraId="7DA303A7" w14:textId="77777777" w:rsidR="004307E6" w:rsidRPr="00673FD3" w:rsidRDefault="004307E6" w:rsidP="004307E6">
      <w:pPr>
        <w:pStyle w:val="Ttulonormal2"/>
      </w:pPr>
      <w:bookmarkStart w:id="2360" w:name="_Toc72792086"/>
      <w:bookmarkStart w:id="2361" w:name="_Toc74048314"/>
      <w:bookmarkStart w:id="2362" w:name="_Toc74518554"/>
      <w:bookmarkStart w:id="2363" w:name="_Toc74519284"/>
      <w:bookmarkStart w:id="2364" w:name="_Toc74781474"/>
      <w:r w:rsidRPr="00673FD3">
        <w:lastRenderedPageBreak/>
        <w:t>2.7 No discriminación e igualdad de oportunidades</w:t>
      </w:r>
      <w:bookmarkEnd w:id="2360"/>
      <w:bookmarkEnd w:id="2361"/>
      <w:bookmarkEnd w:id="2362"/>
      <w:bookmarkEnd w:id="2363"/>
      <w:bookmarkEnd w:id="2364"/>
    </w:p>
    <w:p w14:paraId="71D006DD" w14:textId="77777777" w:rsidR="004307E6" w:rsidRPr="00673FD3" w:rsidRDefault="004307E6" w:rsidP="004307E6">
      <w:pPr>
        <w:spacing w:before="120" w:after="120"/>
        <w:ind w:left="180"/>
        <w:rPr>
          <w:rFonts w:ascii="Arial" w:hAnsi="Arial" w:cs="Arial"/>
          <w:sz w:val="22"/>
          <w:szCs w:val="22"/>
          <w:lang w:val="es-ES"/>
        </w:rPr>
      </w:pPr>
      <w:bookmarkStart w:id="2365" w:name="_Toc450039215"/>
      <w:bookmarkStart w:id="2366" w:name="_Toc450039513"/>
      <w:r w:rsidRPr="00673FD3">
        <w:rPr>
          <w:rFonts w:ascii="Arial" w:hAnsi="Arial" w:cs="Arial"/>
          <w:sz w:val="22"/>
          <w:szCs w:val="22"/>
          <w:lang w:val="es-ES"/>
        </w:rPr>
        <w:t>El Contratante no deberá tomar decisiones laborales basándose en características personales no relacionadas con requisitos inherentes al trabajo. El Contratante deberá basar la relación laboral en el principio de igualdad de oportunidades y trato equitativo, y no deberá discriminar con respecto a aspectos de la relación de empleo, entre ellos el reclutamiento y la contratación, la remuneración (incluidos los salarios y beneficios), las condiciones de trabajo y los términos de empleo, el acceso a la capacitación, la promoción, el despido o la jubilación y la disciplina. En los países donde las leyes laborales pertinentes contienen disposiciones contra la discriminación en el empleo, el Contratista cumplirá con dichas leyes. Cuando las leyes laborales pertinentes no incluyan disposiciones contra la discriminación en el ámbito laboral, el Contratante deberá cumplir con los requisitos establecidos en esta cláusula. No se considerará discriminación la adopción de medidas especiales de protección o asistencia para remediar discriminaciones anteriores o la selección para un cargo basada en los requisitos inherentes al cargo.</w:t>
      </w:r>
      <w:bookmarkEnd w:id="2365"/>
      <w:bookmarkEnd w:id="2366"/>
    </w:p>
    <w:p w14:paraId="54A44D63"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deberá adoptar medidas para prevenir y enfrentar el acoso, la intimidación o la explotación, especialmente con respecto a las mujeres.</w:t>
      </w:r>
    </w:p>
    <w:p w14:paraId="3E39A79B" w14:textId="77777777" w:rsidR="004307E6" w:rsidRPr="00673FD3" w:rsidRDefault="004307E6" w:rsidP="004307E6">
      <w:pPr>
        <w:pStyle w:val="Ttulonormal2"/>
      </w:pPr>
      <w:bookmarkStart w:id="2367" w:name="_Toc72792087"/>
      <w:bookmarkStart w:id="2368" w:name="_Toc74048315"/>
      <w:bookmarkStart w:id="2369" w:name="_Toc74518555"/>
      <w:bookmarkStart w:id="2370" w:name="_Toc74519285"/>
      <w:bookmarkStart w:id="2371" w:name="_Toc74781475"/>
      <w:r w:rsidRPr="00673FD3">
        <w:t>2.8 Personal extranjero</w:t>
      </w:r>
      <w:bookmarkEnd w:id="2367"/>
      <w:bookmarkEnd w:id="2368"/>
      <w:bookmarkEnd w:id="2369"/>
      <w:bookmarkEnd w:id="2370"/>
      <w:bookmarkEnd w:id="2371"/>
    </w:p>
    <w:p w14:paraId="44DFBA94"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En la medida en que lo permitan las leyes aplicables, el Contratista podrá llevar al País el personal extranjero que sea necesario para la ejecución de las Obras. El Contratista se asegurará de que esas personas obtengan los visados de residencia y los permisos de trabajo necesarios. Si el Contratista así lo solicita, el Contratante hará todo lo posible para ayudarlo rápida y oportunamente a obtener los permisos locales, estatales, nacionales o gubernamentales que sean necesarios para llevar al País a dicho personal.</w:t>
      </w:r>
    </w:p>
    <w:p w14:paraId="56058E5D" w14:textId="77777777" w:rsidR="004307E6" w:rsidRPr="00673FD3" w:rsidRDefault="004307E6" w:rsidP="004307E6">
      <w:pPr>
        <w:spacing w:before="120" w:after="120"/>
        <w:ind w:left="180"/>
        <w:rPr>
          <w:rFonts w:ascii="Arial" w:hAnsi="Arial" w:cs="Arial"/>
          <w:sz w:val="22"/>
          <w:szCs w:val="22"/>
          <w:lang w:val="es-ES"/>
        </w:rPr>
      </w:pPr>
      <w:bookmarkStart w:id="2372" w:name="_Toc248017733"/>
      <w:bookmarkStart w:id="2373" w:name="_Toc450039203"/>
      <w:bookmarkStart w:id="2374" w:name="_Toc450039501"/>
      <w:r w:rsidRPr="00673FD3">
        <w:rPr>
          <w:rFonts w:ascii="Arial" w:hAnsi="Arial" w:cs="Arial"/>
          <w:sz w:val="22"/>
          <w:szCs w:val="22"/>
          <w:lang w:val="es-ES"/>
        </w:rPr>
        <w:t>El Contratista será responsable de que esos miembros del personal regresen a su lugar de contratación o a su domicilio. En el caso de que alguno de esos empleados o alguno de sus familiares fallezca en el País, el Contratista será igualmente responsable de hacer los arreglos necesarios para su regreso o entierro.</w:t>
      </w:r>
      <w:bookmarkEnd w:id="2372"/>
      <w:bookmarkEnd w:id="2373"/>
      <w:bookmarkEnd w:id="2374"/>
    </w:p>
    <w:p w14:paraId="2E337461" w14:textId="77777777" w:rsidR="004307E6" w:rsidRPr="00673FD3" w:rsidRDefault="004307E6" w:rsidP="004307E6">
      <w:pPr>
        <w:pStyle w:val="Ttulonormal2"/>
      </w:pPr>
      <w:bookmarkStart w:id="2375" w:name="_Toc72792088"/>
      <w:bookmarkStart w:id="2376" w:name="_Toc74048316"/>
      <w:bookmarkStart w:id="2377" w:name="_Toc74518556"/>
      <w:bookmarkStart w:id="2378" w:name="_Toc74519286"/>
      <w:bookmarkStart w:id="2379" w:name="_Toc74781476"/>
      <w:r w:rsidRPr="00673FD3">
        <w:t>2.9 Nivel salarial y condiciones de trabajo</w:t>
      </w:r>
      <w:bookmarkEnd w:id="2375"/>
      <w:bookmarkEnd w:id="2376"/>
      <w:bookmarkEnd w:id="2377"/>
      <w:bookmarkEnd w:id="2378"/>
      <w:bookmarkEnd w:id="2379"/>
    </w:p>
    <w:p w14:paraId="07048AFA"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deberá pagar niveles salariales y adoptar condiciones de trabajo que no sean inferiores a |los establecidos para la profesión o la industria donde se lleve a cabo el trabajo. De no haber niveles salariales ni condiciones laborales aplicables, el Contratista pagará niveles salariales y se ceñirá a condiciones que no resulten inferiores al nivel general de remuneraciones y condiciones observado localmente por Contratantes cuyo negocio o industria sean similares a los del Contratista.</w:t>
      </w:r>
    </w:p>
    <w:p w14:paraId="54545536"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informará a su Personal acerca de su obligación de pagar impuestos sobre la renta en el País respecto de sus sueldos, salarios, subsidios y cualquier otro beneficio gravable en virtud de las leyes del País vigentes en ese momento, y el Contratista cumplirá las obligaciones que por ley le correspondan en relación con las respectivas deducciones.</w:t>
      </w:r>
    </w:p>
    <w:p w14:paraId="4255E1E4" w14:textId="77777777" w:rsidR="004307E6" w:rsidRPr="00673FD3" w:rsidRDefault="004307E6" w:rsidP="004307E6">
      <w:pPr>
        <w:pStyle w:val="Ttulonormal2"/>
      </w:pPr>
      <w:bookmarkStart w:id="2380" w:name="_Toc136419453"/>
      <w:bookmarkStart w:id="2381" w:name="_Toc248017722"/>
      <w:bookmarkStart w:id="2382" w:name="_Toc450044451"/>
      <w:bookmarkStart w:id="2383" w:name="_Toc72792089"/>
      <w:bookmarkStart w:id="2384" w:name="_Toc74048317"/>
      <w:bookmarkStart w:id="2385" w:name="_Toc74518557"/>
      <w:bookmarkStart w:id="2386" w:name="_Toc74519287"/>
      <w:bookmarkStart w:id="2387" w:name="_Toc74781477"/>
      <w:r w:rsidRPr="00673FD3">
        <w:t>2.10 Instalaciones para el personal y la mano de obra</w:t>
      </w:r>
      <w:bookmarkEnd w:id="2380"/>
      <w:bookmarkEnd w:id="2381"/>
      <w:bookmarkEnd w:id="2382"/>
      <w:bookmarkEnd w:id="2383"/>
      <w:bookmarkEnd w:id="2384"/>
      <w:bookmarkEnd w:id="2385"/>
      <w:bookmarkEnd w:id="2386"/>
      <w:bookmarkEnd w:id="2387"/>
    </w:p>
    <w:p w14:paraId="73C7C988"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Salvo que se indique otra cosa en las </w:t>
      </w:r>
      <w:r w:rsidRPr="00673FD3">
        <w:rPr>
          <w:rFonts w:ascii="Arial" w:hAnsi="Arial" w:cs="Arial"/>
          <w:b/>
          <w:sz w:val="22"/>
          <w:szCs w:val="22"/>
          <w:lang w:val="es-ES"/>
        </w:rPr>
        <w:t>Especificaciones Técnicas</w:t>
      </w:r>
      <w:r w:rsidRPr="00673FD3">
        <w:rPr>
          <w:rFonts w:ascii="Arial" w:hAnsi="Arial" w:cs="Arial"/>
          <w:sz w:val="22"/>
          <w:szCs w:val="22"/>
          <w:lang w:val="es-ES"/>
        </w:rPr>
        <w:t xml:space="preserve">, el Contratista proporcionará y mantendrá todas las instalaciones para alojamiento y bienestar que sean necesarias para su personal. El Contratista también proporcionará instalaciones para el Personal del Contratante conforme se señala en las </w:t>
      </w:r>
      <w:r w:rsidRPr="00673FD3">
        <w:rPr>
          <w:rFonts w:ascii="Arial" w:hAnsi="Arial" w:cs="Arial"/>
          <w:b/>
          <w:sz w:val="22"/>
          <w:szCs w:val="22"/>
          <w:lang w:val="es-ES"/>
        </w:rPr>
        <w:t>Especificaciones Técnicas</w:t>
      </w:r>
      <w:r w:rsidRPr="00673FD3">
        <w:rPr>
          <w:rFonts w:ascii="Arial" w:hAnsi="Arial" w:cs="Arial"/>
          <w:sz w:val="22"/>
          <w:szCs w:val="22"/>
          <w:lang w:val="es-ES"/>
        </w:rPr>
        <w:t xml:space="preserve">. </w:t>
      </w:r>
    </w:p>
    <w:p w14:paraId="528B6137"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no permitirá que ningún integrante de su Personal resida temporal o permanentemente dentro de las estructuras que conforman las Obras Permanentes.</w:t>
      </w:r>
    </w:p>
    <w:p w14:paraId="481D49BB" w14:textId="77777777" w:rsidR="004307E6" w:rsidRPr="00673FD3" w:rsidRDefault="004307E6" w:rsidP="004307E6">
      <w:pPr>
        <w:pStyle w:val="Ttulonormal2"/>
      </w:pPr>
      <w:bookmarkStart w:id="2388" w:name="_Toc136419454"/>
      <w:bookmarkStart w:id="2389" w:name="_Toc248017723"/>
      <w:bookmarkStart w:id="2390" w:name="_Toc450044452"/>
      <w:bookmarkStart w:id="2391" w:name="_Toc72792090"/>
      <w:bookmarkStart w:id="2392" w:name="_Toc74048318"/>
      <w:bookmarkStart w:id="2393" w:name="_Toc74518558"/>
      <w:bookmarkStart w:id="2394" w:name="_Toc74519288"/>
      <w:bookmarkStart w:id="2395" w:name="_Toc74781478"/>
      <w:r w:rsidRPr="00673FD3">
        <w:lastRenderedPageBreak/>
        <w:t>2.11 Salud y seguridad</w:t>
      </w:r>
      <w:bookmarkEnd w:id="2388"/>
      <w:bookmarkEnd w:id="2389"/>
      <w:bookmarkEnd w:id="2390"/>
      <w:bookmarkEnd w:id="2391"/>
      <w:bookmarkEnd w:id="2392"/>
      <w:bookmarkEnd w:id="2393"/>
      <w:bookmarkEnd w:id="2394"/>
      <w:bookmarkEnd w:id="2395"/>
    </w:p>
    <w:p w14:paraId="26A2611A"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tomará, en todo momento, todas las precauciones razonables para preservar la salud y la seguridad del Personal del Contratista. En colaboración con las autoridades sanitarias locales, el Contratista se asegurará de que el Lugar de las Obras y cualquier lugar de alojamiento para el Personal del Contratista y el Personal del Contratante estén siempre provistos de personal médico, instalaciones de primeros auxilios, y de que se tomen medidas adecuadas para cumplir todos los requisitos en materia de bienestar e higiene, así como para prevenir contagio de enfermedades transmisibles.</w:t>
      </w:r>
    </w:p>
    <w:p w14:paraId="3E73F7F0"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necesite para ejercer esa responsabilidad y autoridad. </w:t>
      </w:r>
    </w:p>
    <w:p w14:paraId="01FB95B2" w14:textId="77777777" w:rsidR="004307E6" w:rsidRPr="00673FD3" w:rsidRDefault="004307E6" w:rsidP="004307E6">
      <w:pPr>
        <w:spacing w:before="120" w:after="120"/>
        <w:ind w:left="180"/>
        <w:rPr>
          <w:rFonts w:ascii="Arial" w:hAnsi="Arial" w:cs="Arial"/>
          <w:sz w:val="22"/>
          <w:szCs w:val="22"/>
          <w:lang w:val="es-ES"/>
        </w:rPr>
      </w:pPr>
      <w:bookmarkStart w:id="2396" w:name="_Toc248017724"/>
      <w:bookmarkStart w:id="2397" w:name="_Toc450039199"/>
      <w:bookmarkStart w:id="2398" w:name="_Toc450039497"/>
      <w:r w:rsidRPr="00673FD3">
        <w:rPr>
          <w:rFonts w:ascii="Arial" w:hAnsi="Arial" w:cs="Arial"/>
          <w:sz w:val="22"/>
          <w:szCs w:val="22"/>
          <w:lang w:val="es-ES"/>
        </w:rPr>
        <w:t>El Contratista enviará al Gerente de Obras, a la mayor brevedad posible, información detallada sobre cualquier accidente que ocurra. El Contratista mantendrá un registro y hará informes acerca de la salud, la seguridad y el bienestar de las personas, así como sobre los daños a la propiedad, según lo solicite razonablemente el Gerente de Obras.</w:t>
      </w:r>
      <w:bookmarkEnd w:id="2396"/>
      <w:bookmarkEnd w:id="2397"/>
      <w:bookmarkEnd w:id="2398"/>
    </w:p>
    <w:p w14:paraId="2BAA8989" w14:textId="77777777" w:rsidR="004307E6" w:rsidRPr="00673FD3" w:rsidRDefault="004307E6" w:rsidP="004307E6">
      <w:pPr>
        <w:spacing w:before="120" w:after="120"/>
        <w:ind w:left="180"/>
        <w:rPr>
          <w:rFonts w:ascii="Arial" w:hAnsi="Arial" w:cs="Arial"/>
          <w:b/>
          <w:sz w:val="22"/>
          <w:szCs w:val="22"/>
          <w:lang w:val="es-ES"/>
        </w:rPr>
      </w:pPr>
      <w:bookmarkStart w:id="2399" w:name="_Toc248017739"/>
      <w:bookmarkStart w:id="2400" w:name="_Toc450039206"/>
      <w:bookmarkStart w:id="2401" w:name="_Toc450039504"/>
      <w:r w:rsidRPr="00673FD3">
        <w:rPr>
          <w:rFonts w:ascii="Arial" w:hAnsi="Arial" w:cs="Arial"/>
          <w:sz w:val="22"/>
          <w:szCs w:val="22"/>
          <w:lang w:val="es-ES"/>
        </w:rPr>
        <w:t>El Contratista tomará, en todo momento, todas las precauciones necesarias para proteger a su Personal en el Lugar de las Obras contra plagas e insectos, y para disminuir los consiguientes peligros para la salud del Personal. El Contratista cumplirá todas las normativas de las autoridades sanitarias locales, incluido el uso de insecticidas adecuados.</w:t>
      </w:r>
      <w:bookmarkEnd w:id="2399"/>
      <w:bookmarkEnd w:id="2400"/>
      <w:bookmarkEnd w:id="2401"/>
    </w:p>
    <w:p w14:paraId="486B0545" w14:textId="77777777" w:rsidR="004307E6" w:rsidRPr="00673FD3" w:rsidRDefault="004307E6" w:rsidP="004307E6">
      <w:pPr>
        <w:pStyle w:val="Ttulonormal2"/>
      </w:pPr>
      <w:bookmarkStart w:id="2402" w:name="_Toc72792091"/>
      <w:bookmarkStart w:id="2403" w:name="_Toc74048319"/>
      <w:bookmarkStart w:id="2404" w:name="_Toc74518559"/>
      <w:bookmarkStart w:id="2405" w:name="_Toc74519289"/>
      <w:bookmarkStart w:id="2406" w:name="_Toc74781479"/>
      <w:r w:rsidRPr="00673FD3">
        <w:t>2.12 Suministro de alimentos y abastecimiento de agua</w:t>
      </w:r>
      <w:bookmarkEnd w:id="2402"/>
      <w:bookmarkEnd w:id="2403"/>
      <w:bookmarkEnd w:id="2404"/>
      <w:bookmarkEnd w:id="2405"/>
      <w:bookmarkEnd w:id="2406"/>
    </w:p>
    <w:p w14:paraId="4CB5F0E5" w14:textId="77777777" w:rsidR="004307E6" w:rsidRPr="00673FD3" w:rsidRDefault="004307E6" w:rsidP="004307E6">
      <w:pPr>
        <w:spacing w:before="120" w:after="120"/>
        <w:ind w:left="180"/>
        <w:rPr>
          <w:rFonts w:ascii="Arial" w:hAnsi="Arial" w:cs="Arial"/>
          <w:sz w:val="22"/>
          <w:szCs w:val="22"/>
          <w:lang w:val="es-ES"/>
        </w:rPr>
      </w:pPr>
      <w:bookmarkStart w:id="2407" w:name="_Toc248017735"/>
      <w:bookmarkStart w:id="2408" w:name="_Toc450039204"/>
      <w:bookmarkStart w:id="2409" w:name="_Toc450039502"/>
      <w:r w:rsidRPr="00673FD3">
        <w:rPr>
          <w:rFonts w:ascii="Arial" w:hAnsi="Arial" w:cs="Arial"/>
          <w:sz w:val="22"/>
          <w:szCs w:val="22"/>
          <w:lang w:val="es-ES"/>
        </w:rPr>
        <w:t>El Contratista se encargará de que se suministre al Personal del Contratista una cantidad suficiente de alimentos adecuados a precios razonables para los fines del Contrato o en relación con éste.</w:t>
      </w:r>
      <w:bookmarkEnd w:id="2407"/>
      <w:bookmarkEnd w:id="2408"/>
      <w:bookmarkEnd w:id="2409"/>
    </w:p>
    <w:p w14:paraId="7AE7704F" w14:textId="77777777" w:rsidR="004307E6" w:rsidRPr="00673FD3" w:rsidRDefault="004307E6" w:rsidP="004307E6">
      <w:pPr>
        <w:spacing w:before="120" w:after="120"/>
        <w:ind w:left="180"/>
        <w:rPr>
          <w:rFonts w:ascii="Arial" w:hAnsi="Arial" w:cs="Arial"/>
          <w:b/>
          <w:sz w:val="22"/>
          <w:szCs w:val="22"/>
          <w:lang w:val="es-ES"/>
        </w:rPr>
      </w:pPr>
      <w:bookmarkStart w:id="2410" w:name="_Toc248017737"/>
      <w:bookmarkStart w:id="2411" w:name="_Toc450039205"/>
      <w:bookmarkStart w:id="2412" w:name="_Toc450039503"/>
      <w:r w:rsidRPr="00673FD3">
        <w:rPr>
          <w:rFonts w:ascii="Arial" w:hAnsi="Arial" w:cs="Arial"/>
          <w:sz w:val="22"/>
          <w:szCs w:val="22"/>
          <w:lang w:val="es-ES"/>
        </w:rPr>
        <w:t>Tomando en cuenta las condiciones locales, el Contratista suministrará en el Lugar de las Obras una cantidad adecuada de agua potable para el consumo del Personal del Contratista.</w:t>
      </w:r>
      <w:bookmarkEnd w:id="2410"/>
      <w:bookmarkEnd w:id="2411"/>
      <w:bookmarkEnd w:id="2412"/>
      <w:r w:rsidRPr="00673FD3">
        <w:rPr>
          <w:rFonts w:ascii="Arial" w:hAnsi="Arial" w:cs="Arial"/>
          <w:b/>
          <w:sz w:val="22"/>
          <w:szCs w:val="22"/>
          <w:lang w:val="es-ES"/>
        </w:rPr>
        <w:t xml:space="preserve"> </w:t>
      </w:r>
    </w:p>
    <w:p w14:paraId="1BCC6EDA" w14:textId="77777777" w:rsidR="004307E6" w:rsidRPr="00673FD3" w:rsidRDefault="004307E6" w:rsidP="004307E6">
      <w:pPr>
        <w:pStyle w:val="Ttulonormal"/>
      </w:pPr>
      <w:bookmarkStart w:id="2413" w:name="_Toc72792092"/>
      <w:bookmarkStart w:id="2414" w:name="_Toc74048320"/>
      <w:bookmarkStart w:id="2415" w:name="_Toc74518560"/>
      <w:bookmarkStart w:id="2416" w:name="_Toc74519290"/>
      <w:bookmarkStart w:id="2417" w:name="_Toc74781480"/>
      <w:r w:rsidRPr="00673FD3">
        <w:t>Salud y seguridad de la comunidad</w:t>
      </w:r>
      <w:bookmarkEnd w:id="2413"/>
      <w:bookmarkEnd w:id="2414"/>
      <w:bookmarkEnd w:id="2415"/>
      <w:bookmarkEnd w:id="2416"/>
      <w:bookmarkEnd w:id="2417"/>
    </w:p>
    <w:p w14:paraId="0CC56742" w14:textId="77777777" w:rsidR="004307E6" w:rsidRPr="00673FD3" w:rsidRDefault="004307E6" w:rsidP="004307E6">
      <w:pPr>
        <w:pStyle w:val="Ttulonormal2"/>
      </w:pPr>
      <w:bookmarkStart w:id="2418" w:name="_Toc74048321"/>
      <w:bookmarkStart w:id="2419" w:name="_Toc74518561"/>
      <w:bookmarkStart w:id="2420" w:name="_Toc74519291"/>
      <w:bookmarkStart w:id="2421" w:name="_Toc74781481"/>
      <w:r w:rsidRPr="00673FD3">
        <w:t>3.1 General</w:t>
      </w:r>
      <w:bookmarkEnd w:id="2418"/>
      <w:bookmarkEnd w:id="2419"/>
      <w:bookmarkEnd w:id="2420"/>
      <w:bookmarkEnd w:id="2421"/>
    </w:p>
    <w:p w14:paraId="0C16FC16"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evaluará los riesgos e impactos para la salud y la seguridad de las Comunidades durante todo el ciclo del proyecto y establecerá medidas de prevención y control acordes cómo parte de su Plan de Gestión Ambiental y Social.</w:t>
      </w:r>
    </w:p>
    <w:p w14:paraId="68D198CE" w14:textId="77777777" w:rsidR="004307E6" w:rsidRPr="00673FD3" w:rsidRDefault="004307E6" w:rsidP="004307E6">
      <w:pPr>
        <w:pStyle w:val="Ttulonormal2"/>
      </w:pPr>
      <w:bookmarkStart w:id="2422" w:name="_Toc72792093"/>
      <w:bookmarkStart w:id="2423" w:name="_Toc74048322"/>
      <w:bookmarkStart w:id="2424" w:name="_Toc74518562"/>
      <w:bookmarkStart w:id="2425" w:name="_Toc74519292"/>
      <w:bookmarkStart w:id="2426" w:name="_Toc74781482"/>
      <w:r w:rsidRPr="00673FD3">
        <w:t>3.2 Materiales, sustancias, residuos o desechos peligrosos</w:t>
      </w:r>
      <w:bookmarkEnd w:id="2422"/>
      <w:bookmarkEnd w:id="2423"/>
      <w:bookmarkEnd w:id="2424"/>
      <w:bookmarkEnd w:id="2425"/>
      <w:bookmarkEnd w:id="2426"/>
    </w:p>
    <w:p w14:paraId="4BDFF53F"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evitará o minimizará las posibilidades de que la comunidad se vea expuesta a materiales, sustancias, residuos o desechos peligrosos que el proyecto pudiera generar. El Contratista realizará esfuerzos comercialmente razonables para controlar la seguridad de las entregas de materiales peligrosos, así como del transporte y la eliminación de desechos peligrosos, y aplicará medidas para evitar o controlar la exposición de la comunidad a plaguicidas. </w:t>
      </w:r>
    </w:p>
    <w:p w14:paraId="69D046A1" w14:textId="77777777" w:rsidR="004307E6" w:rsidRPr="00673FD3" w:rsidRDefault="004307E6" w:rsidP="004307E6">
      <w:pPr>
        <w:pStyle w:val="Ttulonormal2"/>
      </w:pPr>
      <w:bookmarkStart w:id="2427" w:name="_Toc72792094"/>
      <w:bookmarkStart w:id="2428" w:name="_Toc74048323"/>
      <w:bookmarkStart w:id="2429" w:name="_Toc74518563"/>
      <w:bookmarkStart w:id="2430" w:name="_Toc74519293"/>
      <w:bookmarkStart w:id="2431" w:name="_Toc74781483"/>
      <w:r w:rsidRPr="00673FD3">
        <w:t>3.3 Procedimientos de seguridad</w:t>
      </w:r>
      <w:bookmarkEnd w:id="2427"/>
      <w:bookmarkEnd w:id="2428"/>
      <w:bookmarkEnd w:id="2429"/>
      <w:bookmarkEnd w:id="2430"/>
      <w:bookmarkEnd w:id="2431"/>
    </w:p>
    <w:p w14:paraId="76327909"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deberá cumplir con todas las reglamentaciones aplicables en materia de seguridad; velar por la seguridad de todas las personas autorizadas a estar en el Lugar de las </w:t>
      </w:r>
      <w:r w:rsidRPr="00673FD3">
        <w:rPr>
          <w:rFonts w:ascii="Arial" w:hAnsi="Arial" w:cs="Arial"/>
          <w:sz w:val="22"/>
          <w:szCs w:val="22"/>
          <w:lang w:val="es-ES"/>
        </w:rPr>
        <w:lastRenderedPageBreak/>
        <w:t>Obras; hacer lo razonable para mantener el Lugar de las Obras y las propias Obras libres de obstrucciones innecesarias a fin de evitar situaciones peligrosas para dichas personas y proporcionar cercas, alumbrado, protección y vigilancia para las Obras hasta que éstas se terminen y entreguen como parte del proceso de recepción; y proporcionar las Obras Temporales (incluidos caminos, senderos, protecciones y cercas) que puedan ser necesarias a raíz de la ejecución de las Obras, para el uso y la protección del público y los propietarios y ocupantes de los terrenos adyacentes.</w:t>
      </w:r>
    </w:p>
    <w:p w14:paraId="095A335A" w14:textId="77777777" w:rsidR="004307E6" w:rsidRPr="00673FD3" w:rsidRDefault="004307E6" w:rsidP="004307E6">
      <w:pPr>
        <w:pStyle w:val="Ttulonormal2"/>
      </w:pPr>
      <w:bookmarkStart w:id="2432" w:name="_Toc72792095"/>
      <w:bookmarkStart w:id="2433" w:name="_Toc74048324"/>
      <w:bookmarkStart w:id="2434" w:name="_Toc74518564"/>
      <w:bookmarkStart w:id="2435" w:name="_Toc74519294"/>
      <w:bookmarkStart w:id="2436" w:name="_Toc74781484"/>
      <w:r>
        <w:t xml:space="preserve">3.4 </w:t>
      </w:r>
      <w:r w:rsidRPr="00673FD3">
        <w:t>Personal de seguridad</w:t>
      </w:r>
      <w:bookmarkEnd w:id="2432"/>
      <w:bookmarkEnd w:id="2433"/>
      <w:bookmarkEnd w:id="2434"/>
      <w:bookmarkEnd w:id="2435"/>
      <w:bookmarkEnd w:id="2436"/>
    </w:p>
    <w:p w14:paraId="6470B885"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En el caso de que el Contratista contrate directamente a empleados o contratistas para brindar seguridad a fin de proteger su personal y bienes, evaluará los riesgos que podrían implicar los arreglos de seguridad para quienes estén dentro o fuera del emplazamiento del proyecto. Al realizar dichos arreglos, el Contratista se guiará por los principios de proporcionalidad y las prácticas internacionales recomendadas en lo que se refiere a la contratación, normas de conducta, capacitación, equipamiento y supervisión de dicho personal, así como la legislación aplicable. El Contratista realizará investigaciones razonables para asegurarse de que los encargados de la seguridad no hayan estado implicados en abusos pasados, los capacitará adecuadamente en empleo de la fuerza (y, cuando corresponda, de armas de fuego), en conductas apropiadas hacia los trabajadores y las Comunidades, y les exigirá actuar conforme a la legislación aplicable. El Contratista no aprobará ningún uso de la fuerza, salvo cuando sea con fines preventivos y defensivos proporcionales a la naturaleza y alcance de la amenaza. El Contratista debe proporcionar un mecanismo de atención de quejas para que las Comunidades puedan expresar sus inquietudes con relación a los arreglos de seguridad y las acciones del personal de seguridad. </w:t>
      </w:r>
    </w:p>
    <w:p w14:paraId="5363A254"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considerará y, cuando corresponda, investigará toda denuncia de actos ilegales o abusivos del personal de seguridad, tomará medidas (o instará a las partes pertinentes a tomarlas) para evitar que esos actos se repitan e informará sobre dichos actos a las autoridades públicas. </w:t>
      </w:r>
    </w:p>
    <w:p w14:paraId="30574C74" w14:textId="77777777" w:rsidR="004307E6" w:rsidRPr="00673FD3" w:rsidRDefault="004307E6" w:rsidP="004307E6">
      <w:pPr>
        <w:pStyle w:val="Ttulonormal2"/>
      </w:pPr>
      <w:bookmarkStart w:id="2437" w:name="_Toc72792096"/>
      <w:bookmarkStart w:id="2438" w:name="_Toc74048325"/>
      <w:bookmarkStart w:id="2439" w:name="_Toc74518565"/>
      <w:bookmarkStart w:id="2440" w:name="_Toc74519295"/>
      <w:bookmarkStart w:id="2441" w:name="_Toc74781485"/>
      <w:r>
        <w:t xml:space="preserve">3.5 </w:t>
      </w:r>
      <w:r w:rsidRPr="00673FD3">
        <w:t>Salud</w:t>
      </w:r>
      <w:bookmarkEnd w:id="2437"/>
      <w:bookmarkEnd w:id="2438"/>
      <w:bookmarkEnd w:id="2439"/>
      <w:bookmarkEnd w:id="2440"/>
      <w:bookmarkEnd w:id="2441"/>
    </w:p>
    <w:p w14:paraId="201CD31D"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El Contratista procurará evitar o reducir al mínimo la transmisión de enfermedades contagiosas que pudiesen estar asociadas con la migración temporal o permanente de la fuerza laboral del proyecto.</w:t>
      </w:r>
    </w:p>
    <w:p w14:paraId="0CDBB244" w14:textId="77777777" w:rsidR="004307E6" w:rsidRPr="00673FD3" w:rsidRDefault="004307E6" w:rsidP="004307E6">
      <w:pPr>
        <w:spacing w:before="120" w:after="120"/>
        <w:ind w:firstLine="180"/>
        <w:rPr>
          <w:rFonts w:ascii="Arial" w:hAnsi="Arial" w:cs="Arial"/>
          <w:b/>
          <w:sz w:val="22"/>
          <w:szCs w:val="22"/>
          <w:lang w:val="es-ES"/>
        </w:rPr>
      </w:pPr>
      <w:r w:rsidRPr="00673FD3">
        <w:rPr>
          <w:rFonts w:ascii="Arial" w:hAnsi="Arial" w:cs="Arial"/>
          <w:b/>
          <w:sz w:val="22"/>
          <w:szCs w:val="22"/>
          <w:lang w:val="es-ES"/>
        </w:rPr>
        <w:t xml:space="preserve">Prevención del VIH/SIDA. </w:t>
      </w:r>
    </w:p>
    <w:p w14:paraId="63528D0E"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llevará a cabo un programa de concientización sobre el VIH/SIDA por medio de un proveedor de servicios aprobado, y tomará todas las demás medidas que se especifiquen en el Contrato para reducir el riesgo de transmisión del virus VIH entre el personal del Contratista y la comunidad local, promover diagnósticos oportunos y brindar asistencia a las personas afectadas. </w:t>
      </w:r>
    </w:p>
    <w:p w14:paraId="70FA2E52"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Durante la vigencia del Contrato, el Contratista i) realizará campañas de comunicación, información y educación, al menos cada dos meses, dirigidas a todo el personal y la mano de obra del Lugar de las Obras (incluidos todos los empleados del Contratista, todos los Subcontratistas y todo el personal del Contratista y del Contratante, así como personal de transporte y obreros que hagan entregas en el Lugar de las Obras para actividades de construcción) y a las comunidades locales adyacentes, sobre los riesgos, el peligro, el impacto y las medidas adecuadas para evitar las enfermedades de transmisión sexual, o infecciones transmitidas sexualmente en general y VIH/sida en particular; ii) suministrará preservativos masculinos o femeninos a todo el personal y la mano de obra del Lugar de las Obras según </w:t>
      </w:r>
      <w:r w:rsidRPr="00673FD3">
        <w:rPr>
          <w:rFonts w:ascii="Arial" w:hAnsi="Arial" w:cs="Arial"/>
          <w:sz w:val="22"/>
          <w:szCs w:val="22"/>
          <w:lang w:val="es-ES"/>
        </w:rPr>
        <w:lastRenderedPageBreak/>
        <w:t>corresponda, y iii) ofrecerá servicios de examen, diagnóstico, asesoramiento y envío de casos a un programa nacional exclusivo sobre infecciones transmitidas sexualmente y VIH/sida (salvo que se acuerde otra cosa), a todo el personal y la mano de obra del Lugar de las Obras.</w:t>
      </w:r>
    </w:p>
    <w:p w14:paraId="48CFF0A2" w14:textId="77777777" w:rsidR="004307E6" w:rsidRPr="00673FD3" w:rsidRDefault="004307E6" w:rsidP="004307E6">
      <w:pPr>
        <w:spacing w:before="120" w:after="120"/>
        <w:ind w:left="180"/>
        <w:rPr>
          <w:rFonts w:ascii="Arial" w:hAnsi="Arial" w:cs="Arial"/>
          <w:sz w:val="22"/>
          <w:szCs w:val="22"/>
          <w:lang w:val="es-ES"/>
        </w:rPr>
      </w:pPr>
      <w:r w:rsidRPr="00673FD3">
        <w:rPr>
          <w:rFonts w:ascii="Arial" w:hAnsi="Arial" w:cs="Arial"/>
          <w:sz w:val="22"/>
          <w:szCs w:val="22"/>
          <w:lang w:val="es-ES"/>
        </w:rPr>
        <w:t xml:space="preserve">El Contratista incluirá en el programa que se presentará para la ejecución de las Obras un programa paliativo para el personal y la mano de obra del Lugar de las Obras y sus familiares, sobre infecciones y enfermedades de transmisión sexual, incluido el VIH/sida. En dicho programa se indicará la fecha, la manera y el costo que el Contratista ha asignado para cumplir con este requisito. </w:t>
      </w:r>
    </w:p>
    <w:p w14:paraId="6C4F3F9B" w14:textId="77777777" w:rsidR="004307E6" w:rsidRPr="00673FD3" w:rsidRDefault="004307E6" w:rsidP="004307E6">
      <w:pPr>
        <w:pStyle w:val="Ttulonormal"/>
      </w:pPr>
      <w:bookmarkStart w:id="2442" w:name="_Toc72792097"/>
      <w:bookmarkStart w:id="2443" w:name="_Toc74048326"/>
      <w:bookmarkStart w:id="2444" w:name="_Toc74518566"/>
      <w:bookmarkStart w:id="2445" w:name="_Toc74519296"/>
      <w:bookmarkStart w:id="2446" w:name="_Toc74781486"/>
      <w:r w:rsidRPr="00673FD3">
        <w:t>Indicadores para los informes de progreso Ambientales, Sociales, de Higiene, Salud y Seguridad Ocupacional.</w:t>
      </w:r>
      <w:bookmarkEnd w:id="2442"/>
      <w:bookmarkEnd w:id="2443"/>
      <w:bookmarkEnd w:id="2444"/>
      <w:bookmarkEnd w:id="2445"/>
      <w:bookmarkEnd w:id="2446"/>
    </w:p>
    <w:p w14:paraId="37480576" w14:textId="77777777" w:rsidR="004307E6" w:rsidRPr="00673FD3" w:rsidRDefault="004307E6" w:rsidP="004307E6">
      <w:pPr>
        <w:spacing w:before="120" w:after="120"/>
        <w:ind w:firstLine="180"/>
        <w:rPr>
          <w:rFonts w:ascii="Arial" w:hAnsi="Arial" w:cs="Arial"/>
          <w:sz w:val="22"/>
          <w:szCs w:val="22"/>
          <w:lang w:val="es-ES"/>
        </w:rPr>
      </w:pPr>
      <w:r w:rsidRPr="00673FD3">
        <w:rPr>
          <w:rFonts w:ascii="Arial" w:hAnsi="Arial" w:cs="Arial"/>
          <w:sz w:val="22"/>
          <w:szCs w:val="22"/>
          <w:lang w:val="es-ES"/>
        </w:rPr>
        <w:t>Indicadores para los informes periódicos:</w:t>
      </w:r>
    </w:p>
    <w:p w14:paraId="610645EC"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a.</w:t>
      </w:r>
      <w:r w:rsidRPr="00673FD3">
        <w:rPr>
          <w:rFonts w:ascii="Arial" w:hAnsi="Arial" w:cs="Arial"/>
          <w:sz w:val="22"/>
          <w:szCs w:val="22"/>
          <w:lang w:val="es-ES"/>
        </w:rPr>
        <w:tab/>
        <w:t>Incidentes ambientales o incumplimientos con los requisitos del Contrato, incluyendo contaminación o daños al suministro de agua o de tierras;</w:t>
      </w:r>
    </w:p>
    <w:p w14:paraId="48B56891"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b.</w:t>
      </w:r>
      <w:r w:rsidRPr="00673FD3">
        <w:rPr>
          <w:rFonts w:ascii="Arial" w:hAnsi="Arial" w:cs="Arial"/>
          <w:sz w:val="22"/>
          <w:szCs w:val="22"/>
          <w:lang w:val="es-ES"/>
        </w:rPr>
        <w:tab/>
        <w:t>Incidentes de seguridad y salud en el trabajo, accidentes, lesiones que requieran tratamiento y muertes;</w:t>
      </w:r>
    </w:p>
    <w:p w14:paraId="727969D9"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c.</w:t>
      </w:r>
      <w:r w:rsidRPr="00673FD3">
        <w:rPr>
          <w:rFonts w:ascii="Arial" w:hAnsi="Arial" w:cs="Arial"/>
          <w:sz w:val="22"/>
          <w:szCs w:val="22"/>
          <w:lang w:val="es-ES"/>
        </w:rPr>
        <w:tab/>
        <w:t>Interacciones con los reguladores: identificar la agencia, las fechas, los sujetos, los resultados (informe negativo si no hay);</w:t>
      </w:r>
    </w:p>
    <w:p w14:paraId="36DEAE9B"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d.</w:t>
      </w:r>
      <w:r w:rsidRPr="00673FD3">
        <w:rPr>
          <w:rFonts w:ascii="Arial" w:hAnsi="Arial" w:cs="Arial"/>
          <w:sz w:val="22"/>
          <w:szCs w:val="22"/>
          <w:lang w:val="es-ES"/>
        </w:rPr>
        <w:tab/>
        <w:t>Estado de todos los permisos y acuerdos:</w:t>
      </w:r>
    </w:p>
    <w:p w14:paraId="17DD450E"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Permisos de trabajo: número requerido, número recibido, medidas adoptadas para las personas que no recibieron permiso;</w:t>
      </w:r>
    </w:p>
    <w:p w14:paraId="1EAEEE46"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Estado de los permisos y consentimientos:</w:t>
      </w:r>
    </w:p>
    <w:p w14:paraId="37F7B225" w14:textId="77777777" w:rsidR="004307E6" w:rsidRPr="00673FD3" w:rsidRDefault="004307E6" w:rsidP="004307E6">
      <w:pPr>
        <w:pStyle w:val="Prrafodelista"/>
        <w:numPr>
          <w:ilvl w:val="1"/>
          <w:numId w:val="102"/>
        </w:numPr>
        <w:spacing w:before="120" w:after="120"/>
        <w:ind w:left="990" w:hanging="270"/>
        <w:rPr>
          <w:rFonts w:ascii="Arial" w:hAnsi="Arial" w:cs="Arial"/>
          <w:sz w:val="22"/>
          <w:szCs w:val="22"/>
          <w:lang w:val="es-ES"/>
        </w:rPr>
      </w:pPr>
      <w:r w:rsidRPr="00673FD3">
        <w:rPr>
          <w:rFonts w:ascii="Arial" w:hAnsi="Arial" w:cs="Arial"/>
          <w:sz w:val="22"/>
          <w:szCs w:val="22"/>
          <w:lang w:val="es-ES"/>
        </w:rPr>
        <w:t>Lista de áreas / instalaciones con permisos requeridos (canteras, asfalto e instalaciones asociadas), fechas de aplicación, fechas de expedición (acciones de seguimiento si no se han emitido), fechas presentadas al Gerente de Obras residente (o equivalente), situación de los sitios (en espera de permisos, trabajando, abandonado sin recuperación, plan de desmantelamiento implementado, etc.);</w:t>
      </w:r>
    </w:p>
    <w:p w14:paraId="347A108E" w14:textId="77777777" w:rsidR="004307E6" w:rsidRPr="00673FD3" w:rsidRDefault="004307E6" w:rsidP="004307E6">
      <w:pPr>
        <w:pStyle w:val="Prrafodelista"/>
        <w:numPr>
          <w:ilvl w:val="1"/>
          <w:numId w:val="102"/>
        </w:numPr>
        <w:spacing w:before="120" w:after="120"/>
        <w:ind w:left="990" w:hanging="270"/>
        <w:rPr>
          <w:rFonts w:ascii="Arial" w:hAnsi="Arial" w:cs="Arial"/>
          <w:sz w:val="22"/>
          <w:szCs w:val="22"/>
          <w:lang w:val="es-ES"/>
        </w:rPr>
      </w:pPr>
      <w:r w:rsidRPr="00673FD3">
        <w:rPr>
          <w:rFonts w:ascii="Arial" w:hAnsi="Arial" w:cs="Arial"/>
          <w:sz w:val="22"/>
          <w:szCs w:val="22"/>
          <w:lang w:val="es-ES"/>
        </w:rPr>
        <w:t>Enumerar las áreas que tienen con acuerdos con propietarios (zonas de préstamo y de desecho, campamentos), fechas de los acuerdos, fechas presentadas al Gerente de Obras residente (o equivalente);</w:t>
      </w:r>
    </w:p>
    <w:p w14:paraId="49D9ECA1" w14:textId="77777777" w:rsidR="004307E6" w:rsidRPr="00673FD3" w:rsidRDefault="004307E6" w:rsidP="004307E6">
      <w:pPr>
        <w:pStyle w:val="Prrafodelista"/>
        <w:numPr>
          <w:ilvl w:val="1"/>
          <w:numId w:val="102"/>
        </w:numPr>
        <w:spacing w:before="120" w:after="120"/>
        <w:ind w:left="990" w:hanging="270"/>
        <w:rPr>
          <w:rFonts w:ascii="Arial" w:hAnsi="Arial" w:cs="Arial"/>
          <w:sz w:val="22"/>
          <w:szCs w:val="22"/>
          <w:lang w:val="es-ES"/>
        </w:rPr>
      </w:pPr>
      <w:r w:rsidRPr="00673FD3">
        <w:rPr>
          <w:rFonts w:ascii="Arial" w:hAnsi="Arial" w:cs="Arial"/>
          <w:sz w:val="22"/>
          <w:szCs w:val="22"/>
          <w:lang w:val="es-ES"/>
        </w:rPr>
        <w:t>Identificar las principales actividades emprendidas en cada área cada mes y los aspectos más destacados de la protección ambiental y social (limpieza de terrenos, demarcación de límites, recuperación del suelo vegetal, gestión del tráfico, planificación del desmantelamiento, implementación del desmantelamiento);</w:t>
      </w:r>
    </w:p>
    <w:p w14:paraId="4857BC8C" w14:textId="77777777" w:rsidR="004307E6" w:rsidRPr="00673FD3" w:rsidRDefault="004307E6" w:rsidP="004307E6">
      <w:pPr>
        <w:pStyle w:val="Prrafodelista"/>
        <w:numPr>
          <w:ilvl w:val="1"/>
          <w:numId w:val="102"/>
        </w:numPr>
        <w:spacing w:before="120" w:after="120"/>
        <w:ind w:left="990" w:hanging="270"/>
        <w:rPr>
          <w:rFonts w:ascii="Arial" w:hAnsi="Arial" w:cs="Arial"/>
          <w:sz w:val="22"/>
          <w:szCs w:val="22"/>
          <w:lang w:val="es-ES"/>
        </w:rPr>
      </w:pPr>
      <w:r w:rsidRPr="00673FD3">
        <w:rPr>
          <w:rFonts w:ascii="Arial" w:hAnsi="Arial" w:cs="Arial"/>
          <w:sz w:val="22"/>
          <w:szCs w:val="22"/>
          <w:lang w:val="es-ES"/>
        </w:rPr>
        <w:t>Para canteras: estado de reubicación y compensación (completado, o detalles de actividades mensuales y estado actual).</w:t>
      </w:r>
    </w:p>
    <w:p w14:paraId="68E91B74"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e.</w:t>
      </w:r>
      <w:r w:rsidRPr="00673FD3">
        <w:rPr>
          <w:rFonts w:ascii="Arial" w:hAnsi="Arial" w:cs="Arial"/>
          <w:sz w:val="22"/>
          <w:szCs w:val="22"/>
          <w:lang w:val="es-ES"/>
        </w:rPr>
        <w:tab/>
        <w:t>Supervisión de salud y seguridad:</w:t>
      </w:r>
    </w:p>
    <w:p w14:paraId="51CF0DC0" w14:textId="77777777" w:rsidR="004307E6" w:rsidRPr="00673FD3" w:rsidRDefault="004307E6" w:rsidP="004307E6">
      <w:pPr>
        <w:spacing w:before="120" w:after="120"/>
        <w:ind w:left="900" w:hanging="425"/>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Oficial de seguridad: número de días trabajados, número de inspecciones completadas e inspecciones parciales, informes para la construcción / gestión de proyectos;</w:t>
      </w:r>
    </w:p>
    <w:p w14:paraId="0F4F6C13" w14:textId="77777777" w:rsidR="004307E6" w:rsidRPr="00673FD3" w:rsidRDefault="004307E6" w:rsidP="004307E6">
      <w:pPr>
        <w:spacing w:before="120" w:after="120"/>
        <w:ind w:left="900" w:hanging="425"/>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 xml:space="preserve">Número de trabajadores, horas de trabajo, indicadores de uso de EPI – Equipo de Protección Individual (porcentaje de trabajadores con equipo completo de protección personal, parcial, etc.), violaciones de los trabajadores observadas (por tipo de </w:t>
      </w:r>
      <w:r w:rsidRPr="00673FD3">
        <w:rPr>
          <w:rFonts w:ascii="Arial" w:hAnsi="Arial" w:cs="Arial"/>
          <w:sz w:val="22"/>
          <w:szCs w:val="22"/>
          <w:lang w:val="es-ES"/>
        </w:rPr>
        <w:lastRenderedPageBreak/>
        <w:t>violación, EPI o de otro tipo), advertencias dadas, advertencias reincidentes y las medidas de seguimiento adoptadas (si las hubiere);</w:t>
      </w:r>
    </w:p>
    <w:p w14:paraId="74F1C8E6"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f.</w:t>
      </w:r>
      <w:r w:rsidRPr="00673FD3">
        <w:rPr>
          <w:rFonts w:ascii="Arial" w:hAnsi="Arial" w:cs="Arial"/>
          <w:sz w:val="22"/>
          <w:szCs w:val="22"/>
          <w:lang w:val="es-ES"/>
        </w:rPr>
        <w:tab/>
        <w:t>Alojamiento de los trabajadores</w:t>
      </w:r>
    </w:p>
    <w:p w14:paraId="7AB52200" w14:textId="77777777" w:rsidR="004307E6" w:rsidRPr="00673FD3" w:rsidRDefault="004307E6" w:rsidP="004307E6">
      <w:pPr>
        <w:spacing w:before="120" w:after="120"/>
        <w:ind w:left="990" w:hanging="415"/>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Número de expatriados alojados en alojamientos, número de trabajadores locales;</w:t>
      </w:r>
    </w:p>
    <w:p w14:paraId="11E66359" w14:textId="77777777" w:rsidR="004307E6" w:rsidRPr="00673FD3" w:rsidRDefault="004307E6" w:rsidP="004307E6">
      <w:pPr>
        <w:spacing w:before="120" w:after="120"/>
        <w:ind w:left="990" w:hanging="415"/>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La fecha de la última inspección y los aspectos más destacados de la inspección, incluido el estado del cumplimiento de las instalaciones con las leyes y las buenas prácticas nacionales y locales, incluidos el saneamiento, el tamaño de los espacios, etc.</w:t>
      </w:r>
    </w:p>
    <w:p w14:paraId="4E7DFEDC" w14:textId="77777777" w:rsidR="004307E6" w:rsidRPr="00673FD3" w:rsidRDefault="004307E6" w:rsidP="004307E6">
      <w:pPr>
        <w:spacing w:before="120" w:after="120"/>
        <w:ind w:left="990" w:hanging="415"/>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Medidas adoptadas para recomendar / exigir mejores condiciones o para mejorar las condiciones de alojamiento.</w:t>
      </w:r>
    </w:p>
    <w:p w14:paraId="52A71A3C"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g.</w:t>
      </w:r>
      <w:r w:rsidRPr="00673FD3">
        <w:rPr>
          <w:rFonts w:ascii="Arial" w:hAnsi="Arial" w:cs="Arial"/>
          <w:sz w:val="22"/>
          <w:szCs w:val="22"/>
          <w:lang w:val="es-ES"/>
        </w:rPr>
        <w:tab/>
        <w:t>VIH / SIDA: proveedor de servicios de salud, información y / o capacitación, ubicación de la clínica, número de tratamientos y diagnósticos de enfermedades que no sean de seguridad (sin nombres proporcionados);</w:t>
      </w:r>
    </w:p>
    <w:p w14:paraId="6FA6413E"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h.</w:t>
      </w:r>
      <w:r w:rsidRPr="00673FD3">
        <w:rPr>
          <w:rFonts w:ascii="Arial" w:hAnsi="Arial" w:cs="Arial"/>
          <w:sz w:val="22"/>
          <w:szCs w:val="22"/>
          <w:lang w:val="es-ES"/>
        </w:rPr>
        <w:tab/>
        <w:t>Género (para expatriados y locales por separado): número de trabajadoras, porcentaje de trabajadores, cuestiones de género planteadas y tratadas (quejas de género cruzado u otras clasificaciones según sea necesario);</w:t>
      </w:r>
    </w:p>
    <w:p w14:paraId="5821D25F"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Capacitación:</w:t>
      </w:r>
    </w:p>
    <w:p w14:paraId="24906140"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Número de nuevos trabajadores, número de personas que reciben formación de inducción, fechas de formación de inducción;</w:t>
      </w:r>
    </w:p>
    <w:p w14:paraId="51EFACD1"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Número y fechas de las conversaciones sobre los materiales de educación, número de trabajadores que reciben la capacitación en materia de higiene, salud y seguridad ocupacional (OHS), capacitación ambiental y social;</w:t>
      </w:r>
    </w:p>
    <w:p w14:paraId="72C59C39"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 xml:space="preserve">Número y fechas de la capacitación para la sensibilización sobre el VIH / SIDA, número de trabajadores que reciben formación (este mes y en el mes pasado); las mismas preguntas para la sensibilización de género, o formación de banderillero(a)s </w:t>
      </w:r>
    </w:p>
    <w:p w14:paraId="22072FCB"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j.</w:t>
      </w:r>
      <w:r w:rsidRPr="00673FD3">
        <w:rPr>
          <w:rFonts w:ascii="Arial" w:hAnsi="Arial" w:cs="Arial"/>
          <w:sz w:val="22"/>
          <w:szCs w:val="22"/>
          <w:lang w:val="es-ES"/>
        </w:rPr>
        <w:tab/>
        <w:t>Supervisión Ambiental y social:</w:t>
      </w:r>
    </w:p>
    <w:p w14:paraId="08C1469B"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Biólogos: días de trabajo, áreas inspeccionadas y número de inspecciones de cada uno (tramo de la carretera, campamento de trabajo, alojamiento, canteras, zonas de préstamo, áreas de desecho, pantanos, trillos de bosques, etc.), destaque de las actividades o hallazgos (incluyendo violaciones a las mejores prácticas ambientales o las mejores prácticas sociales, las medidas adoptadas), informes a especialistas ambientales y / o sociales / construcción / gestión del sitio;</w:t>
      </w:r>
    </w:p>
    <w:p w14:paraId="79BE6333"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Sociólogos: días trabajados, número de inspecciones parciales y completadas (por área: tramo de la carretera, campamento de trabajo, alojamiento, canteras, áreas de préstamo, áreas de desecho, clínica, centro de VIH / SIDA, centros comunitarios, etc.) Incluyendo las violaciones de los requisitos medioambientales y / o sociales observados, las medidas adoptadas), informes a especialistas ambientales y / o sociales / construcción / gestión del sitio; y</w:t>
      </w:r>
    </w:p>
    <w:p w14:paraId="17F092E4"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Oficial de relacionamiento comunitario: días trabajados (horas del centro comunitario abierto), número de personas atendidas, aspectos destacados de las actividades (cuestiones planteadas, etc.), informes a especialistas ambientales y / o sociales / construcción / administración del sitio.</w:t>
      </w:r>
    </w:p>
    <w:p w14:paraId="033FF5F2" w14:textId="77777777" w:rsidR="004307E6" w:rsidRPr="00673FD3" w:rsidRDefault="004307E6" w:rsidP="004307E6">
      <w:pPr>
        <w:spacing w:before="120" w:after="120"/>
        <w:ind w:left="461" w:hanging="274"/>
        <w:rPr>
          <w:rFonts w:ascii="Arial" w:hAnsi="Arial" w:cs="Arial"/>
          <w:color w:val="FF0000"/>
          <w:sz w:val="22"/>
          <w:szCs w:val="22"/>
          <w:lang w:val="es-ES"/>
        </w:rPr>
      </w:pPr>
      <w:r w:rsidRPr="00673FD3">
        <w:rPr>
          <w:rFonts w:ascii="Arial" w:hAnsi="Arial" w:cs="Arial"/>
          <w:sz w:val="22"/>
          <w:szCs w:val="22"/>
          <w:lang w:val="es-ES"/>
        </w:rPr>
        <w:lastRenderedPageBreak/>
        <w:t>k.</w:t>
      </w:r>
      <w:r w:rsidRPr="00673FD3">
        <w:rPr>
          <w:rFonts w:ascii="Arial" w:hAnsi="Arial" w:cs="Arial"/>
          <w:sz w:val="22"/>
          <w:szCs w:val="22"/>
          <w:lang w:val="es-ES"/>
        </w:rPr>
        <w:tab/>
        <w:t>Reclamos: lista de los agravios ocurridos en el periodo informado y no resueltos por fecha de recepción, denunciante, cómo se recibió, a quien se refirió para acción, resolución y fecha (si se completó), fecha de la resolución reportada al reclamante, cualquier acción de seguimiento requerido:</w:t>
      </w:r>
    </w:p>
    <w:p w14:paraId="47CAF278"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Quejas laborales (internas);</w:t>
      </w:r>
    </w:p>
    <w:p w14:paraId="4FC4D038"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Quejas de la comunidad</w:t>
      </w:r>
    </w:p>
    <w:p w14:paraId="4C74D108"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l.</w:t>
      </w:r>
      <w:r w:rsidRPr="00673FD3">
        <w:rPr>
          <w:rFonts w:ascii="Arial" w:hAnsi="Arial" w:cs="Arial"/>
          <w:sz w:val="22"/>
          <w:szCs w:val="22"/>
          <w:lang w:val="es-ES"/>
        </w:rPr>
        <w:tab/>
        <w:t>Tráfico y vehículos / equipo:</w:t>
      </w:r>
    </w:p>
    <w:p w14:paraId="3883EDD5"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Accidentes de tránsito que involucren vehículos y equipos de proyecto: proporcionar fecha, ubicación, daño, causa, seguimiento;</w:t>
      </w:r>
    </w:p>
    <w:p w14:paraId="3847DA9F"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Accidentes que involucren vehículos o bienes ajenos al proyecto (también reportados bajo indicadores inmediatos): proporcionar fecha, ubicación, daño, causa, seguimiento;</w:t>
      </w:r>
    </w:p>
    <w:p w14:paraId="379AE239" w14:textId="77777777" w:rsidR="004307E6" w:rsidRPr="00673FD3" w:rsidRDefault="004307E6" w:rsidP="004307E6">
      <w:pPr>
        <w:spacing w:before="120" w:after="120"/>
        <w:ind w:left="720" w:hanging="27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Estado general de los vehículos / equipo (juicio subjetivo por parte del ecologista); reparaciones y mantenimiento no rutinarios necesarios para mejorar la seguridad y / o el desempeño ambiental (para controlar el humo, etc.).</w:t>
      </w:r>
    </w:p>
    <w:p w14:paraId="4BE58417"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m.</w:t>
      </w:r>
      <w:r w:rsidRPr="00673FD3">
        <w:rPr>
          <w:rFonts w:ascii="Arial" w:hAnsi="Arial" w:cs="Arial"/>
          <w:sz w:val="22"/>
          <w:szCs w:val="22"/>
          <w:lang w:val="es-ES"/>
        </w:rPr>
        <w:tab/>
        <w:t>Mitigación y problemas ambientales (lo que se ha hecho):</w:t>
      </w:r>
    </w:p>
    <w:p w14:paraId="3F0948F6"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i.</w:t>
      </w:r>
      <w:r w:rsidRPr="00673FD3">
        <w:rPr>
          <w:rFonts w:ascii="Arial" w:hAnsi="Arial" w:cs="Arial"/>
          <w:sz w:val="22"/>
          <w:szCs w:val="22"/>
          <w:lang w:val="es-ES"/>
        </w:rPr>
        <w:tab/>
        <w:t>Polvo: número de camiones tanque regadores que trabajan, número de riegos / día, número de quejas, advertencias dadas por ambientalistas, acciones tomadas para resolver; aspectos destacados del control de polvo de cantera (cubiertas, pulverizadores, estado operativo); % de camiones de transporte de roca / roca desintegrada / desechos con cobertores, acciones tomadas para vehículos descubiertos;</w:t>
      </w:r>
    </w:p>
    <w:p w14:paraId="6240E0B4"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Control de la erosión: controles implementados por ubicación, estado de cruces de agua, inspecciones ambientalistas y sus resultados, acciones tomadas para resolver problemas, reparaciones de emergencia necesarias para controlar la erosión / sedimentación;</w:t>
      </w:r>
    </w:p>
    <w:p w14:paraId="6DF94356"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Áreas de préstamo, áreas de desecho, plantas de asfalto, plantas de concreto: identificar las principales actividades emprendidas este mes en cada uno, y los aspectos más destacados de la protección ambiental y social: desbroce, demarcación de límites, recuperación del suelo vegetal, gestión del tráfico, planificación del desmantelamiento;</w:t>
      </w:r>
    </w:p>
    <w:p w14:paraId="0E99344E"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iv.</w:t>
      </w:r>
      <w:r w:rsidRPr="00673FD3">
        <w:rPr>
          <w:rFonts w:ascii="Arial" w:hAnsi="Arial" w:cs="Arial"/>
          <w:sz w:val="22"/>
          <w:szCs w:val="22"/>
          <w:lang w:val="es-ES"/>
        </w:rPr>
        <w:tab/>
        <w:t>Voladura: número de explosiones (y ubicaciones), estado de implementación del plan de voladura (incluyendo avisos, evacuaciones, etc.), incidentes de daños o quejas fuera del sitio (referencia cruzada a otras secciones según sea necesario);</w:t>
      </w:r>
    </w:p>
    <w:p w14:paraId="267843C4"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v.</w:t>
      </w:r>
      <w:r w:rsidRPr="00673FD3">
        <w:rPr>
          <w:rFonts w:ascii="Arial" w:hAnsi="Arial" w:cs="Arial"/>
          <w:sz w:val="22"/>
          <w:szCs w:val="22"/>
          <w:lang w:val="es-ES"/>
        </w:rPr>
        <w:tab/>
        <w:t>Derrames, si hubiera: derrame de material, ubicación, cantidad, acciones tomadas, eliminación de materiales (informe todos los derrames que resulten en contaminación del agua o del suelo;</w:t>
      </w:r>
    </w:p>
    <w:p w14:paraId="6ECC8F37"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vi.</w:t>
      </w:r>
      <w:r w:rsidRPr="00673FD3">
        <w:rPr>
          <w:rFonts w:ascii="Arial" w:hAnsi="Arial" w:cs="Arial"/>
          <w:sz w:val="22"/>
          <w:szCs w:val="22"/>
          <w:lang w:val="es-ES"/>
        </w:rPr>
        <w:tab/>
        <w:t>Manejo de residuos: tipos y cantidades generados y gestionados, incluida la cantidad extraída del sitio (y por quién) o reutilizada / reciclada / dispuesta en el lugar;</w:t>
      </w:r>
    </w:p>
    <w:p w14:paraId="389F2917"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vii.</w:t>
      </w:r>
      <w:r w:rsidRPr="00673FD3">
        <w:rPr>
          <w:rFonts w:ascii="Arial" w:hAnsi="Arial" w:cs="Arial"/>
          <w:sz w:val="22"/>
          <w:szCs w:val="22"/>
          <w:lang w:val="es-ES"/>
        </w:rPr>
        <w:tab/>
        <w:t>Detalles sobre plantaciones de árboles y otras mitigaciones requeridas emprendidas este mes;</w:t>
      </w:r>
    </w:p>
    <w:p w14:paraId="4CF837CA" w14:textId="77777777" w:rsidR="004307E6" w:rsidRPr="00673FD3" w:rsidRDefault="004307E6" w:rsidP="004307E6">
      <w:pPr>
        <w:spacing w:before="120" w:after="120"/>
        <w:ind w:left="720" w:hanging="360"/>
        <w:rPr>
          <w:rFonts w:ascii="Arial" w:hAnsi="Arial" w:cs="Arial"/>
          <w:sz w:val="22"/>
          <w:szCs w:val="22"/>
          <w:lang w:val="es-ES"/>
        </w:rPr>
      </w:pPr>
      <w:r w:rsidRPr="00673FD3">
        <w:rPr>
          <w:rFonts w:ascii="Arial" w:hAnsi="Arial" w:cs="Arial"/>
          <w:sz w:val="22"/>
          <w:szCs w:val="22"/>
          <w:lang w:val="es-ES"/>
        </w:rPr>
        <w:t>viii.</w:t>
      </w:r>
      <w:r w:rsidRPr="00673FD3">
        <w:rPr>
          <w:rFonts w:ascii="Arial" w:hAnsi="Arial" w:cs="Arial"/>
          <w:sz w:val="22"/>
          <w:szCs w:val="22"/>
          <w:lang w:val="es-ES"/>
        </w:rPr>
        <w:tab/>
        <w:t>Detalles de las medidas de mitigación para la protección del agua y de pantanos requeridas emprendidas este mes.</w:t>
      </w:r>
    </w:p>
    <w:p w14:paraId="69811174" w14:textId="77777777" w:rsidR="004307E6" w:rsidRPr="00673FD3" w:rsidRDefault="004307E6" w:rsidP="004307E6">
      <w:pPr>
        <w:spacing w:before="120" w:after="120"/>
        <w:ind w:left="461" w:hanging="274"/>
        <w:rPr>
          <w:rFonts w:ascii="Arial" w:hAnsi="Arial" w:cs="Arial"/>
          <w:sz w:val="22"/>
          <w:szCs w:val="22"/>
          <w:lang w:val="es-ES"/>
        </w:rPr>
      </w:pPr>
      <w:r w:rsidRPr="00673FD3">
        <w:rPr>
          <w:rFonts w:ascii="Arial" w:hAnsi="Arial" w:cs="Arial"/>
          <w:sz w:val="22"/>
          <w:szCs w:val="22"/>
          <w:lang w:val="es-ES"/>
        </w:rPr>
        <w:t>n.</w:t>
      </w:r>
      <w:r w:rsidRPr="00673FD3">
        <w:rPr>
          <w:rFonts w:ascii="Arial" w:hAnsi="Arial" w:cs="Arial"/>
          <w:sz w:val="22"/>
          <w:szCs w:val="22"/>
          <w:lang w:val="es-ES"/>
        </w:rPr>
        <w:tab/>
        <w:t>Cumplimiento:</w:t>
      </w:r>
    </w:p>
    <w:p w14:paraId="17877D83" w14:textId="77777777" w:rsidR="004307E6" w:rsidRPr="00673FD3" w:rsidRDefault="004307E6" w:rsidP="004307E6">
      <w:pPr>
        <w:spacing w:before="120" w:after="120"/>
        <w:ind w:left="720" w:hanging="325"/>
        <w:rPr>
          <w:rFonts w:ascii="Arial" w:hAnsi="Arial" w:cs="Arial"/>
          <w:sz w:val="22"/>
          <w:szCs w:val="22"/>
          <w:lang w:val="es-ES"/>
        </w:rPr>
      </w:pPr>
      <w:r w:rsidRPr="00673FD3">
        <w:rPr>
          <w:rFonts w:ascii="Arial" w:hAnsi="Arial" w:cs="Arial"/>
          <w:sz w:val="22"/>
          <w:szCs w:val="22"/>
          <w:lang w:val="es-ES"/>
        </w:rPr>
        <w:lastRenderedPageBreak/>
        <w:t>i.</w:t>
      </w:r>
      <w:r w:rsidRPr="00673FD3">
        <w:rPr>
          <w:rFonts w:ascii="Arial" w:hAnsi="Arial" w:cs="Arial"/>
          <w:sz w:val="22"/>
          <w:szCs w:val="22"/>
          <w:lang w:val="es-ES"/>
        </w:rPr>
        <w:tab/>
        <w:t xml:space="preserve">Estado de cumplimiento de las condiciones de todos los consentimientos / permisos pertinentes a las Obras, incluidas las canteras, etc.: declaración de cumplimiento </w:t>
      </w:r>
      <w:r w:rsidRPr="00673FD3">
        <w:rPr>
          <w:rFonts w:ascii="Arial" w:hAnsi="Arial" w:cs="Arial"/>
          <w:sz w:val="22"/>
          <w:szCs w:val="22"/>
          <w:lang w:val="es-ES"/>
        </w:rPr>
        <w:br/>
        <w:t>o lista de cuestiones y medidas adoptadas (o por adoptar) para alcanzar el cumplimiento;</w:t>
      </w:r>
    </w:p>
    <w:p w14:paraId="43E6D36C" w14:textId="77777777" w:rsidR="004307E6" w:rsidRPr="00673FD3" w:rsidRDefault="004307E6" w:rsidP="004307E6">
      <w:pPr>
        <w:spacing w:before="120" w:after="120"/>
        <w:ind w:left="720" w:hanging="325"/>
        <w:rPr>
          <w:rFonts w:ascii="Arial" w:hAnsi="Arial" w:cs="Arial"/>
          <w:sz w:val="22"/>
          <w:szCs w:val="22"/>
          <w:lang w:val="es-ES"/>
        </w:rPr>
      </w:pPr>
      <w:r w:rsidRPr="00673FD3">
        <w:rPr>
          <w:rFonts w:ascii="Arial" w:hAnsi="Arial" w:cs="Arial"/>
          <w:sz w:val="22"/>
          <w:szCs w:val="22"/>
          <w:lang w:val="es-ES"/>
        </w:rPr>
        <w:t>ii.</w:t>
      </w:r>
      <w:r w:rsidRPr="00673FD3">
        <w:rPr>
          <w:rFonts w:ascii="Arial" w:hAnsi="Arial" w:cs="Arial"/>
          <w:sz w:val="22"/>
          <w:szCs w:val="22"/>
          <w:lang w:val="es-ES"/>
        </w:rPr>
        <w:tab/>
        <w:t>Cumplimiento de los requisitos del Sistema de Gestión Ambiental y Social y Plan de Gestión Ambiental y Social: declaración de cumplimiento o enumeración de las cuestiones y medidas adoptadas (o por adoptar) para alcanzar el cumplimiento;</w:t>
      </w:r>
    </w:p>
    <w:p w14:paraId="09499EFE" w14:textId="77777777" w:rsidR="004307E6" w:rsidRPr="00673FD3" w:rsidRDefault="004307E6" w:rsidP="004307E6">
      <w:pPr>
        <w:spacing w:before="120" w:after="120"/>
        <w:ind w:left="720" w:hanging="325"/>
        <w:rPr>
          <w:rFonts w:ascii="Arial" w:hAnsi="Arial" w:cs="Arial"/>
          <w:sz w:val="22"/>
          <w:szCs w:val="22"/>
          <w:lang w:val="es-ES"/>
        </w:rPr>
      </w:pPr>
      <w:r w:rsidRPr="00673FD3">
        <w:rPr>
          <w:rFonts w:ascii="Arial" w:hAnsi="Arial" w:cs="Arial"/>
          <w:sz w:val="22"/>
          <w:szCs w:val="22"/>
          <w:lang w:val="es-ES"/>
        </w:rPr>
        <w:t>iii.</w:t>
      </w:r>
      <w:r w:rsidRPr="00673FD3">
        <w:rPr>
          <w:rFonts w:ascii="Arial" w:hAnsi="Arial" w:cs="Arial"/>
          <w:sz w:val="22"/>
          <w:szCs w:val="22"/>
          <w:lang w:val="es-ES"/>
        </w:rPr>
        <w:tab/>
        <w:t xml:space="preserve">Otras cuestiones no resueltas de meses anteriores relacionadas con aspectos ambientales y sociales: violaciones continuas, fallas continuas en el equipo, falta continua de cobertores de vehículos, derrames no tratados, problemas de compensación continuos o problemas de voladura, etc. </w:t>
      </w:r>
    </w:p>
    <w:p w14:paraId="6865380F" w14:textId="77777777" w:rsidR="004307E6" w:rsidRPr="00673FD3" w:rsidRDefault="004307E6" w:rsidP="004307E6">
      <w:pPr>
        <w:rPr>
          <w:rFonts w:ascii="Arial" w:hAnsi="Arial" w:cs="Arial"/>
          <w:sz w:val="22"/>
          <w:szCs w:val="22"/>
          <w:lang w:val="es-ES"/>
        </w:rPr>
      </w:pPr>
    </w:p>
    <w:p w14:paraId="0E2483B9" w14:textId="77777777" w:rsidR="004307E6" w:rsidRPr="00673FD3" w:rsidRDefault="004307E6" w:rsidP="004307E6">
      <w:pPr>
        <w:jc w:val="left"/>
        <w:rPr>
          <w:rFonts w:ascii="Arial" w:hAnsi="Arial" w:cs="Arial"/>
          <w:b/>
          <w:bCs/>
          <w:sz w:val="22"/>
          <w:szCs w:val="22"/>
        </w:rPr>
      </w:pPr>
      <w:r w:rsidRPr="00673FD3">
        <w:rPr>
          <w:rFonts w:ascii="Arial" w:hAnsi="Arial" w:cs="Arial"/>
          <w:b/>
          <w:bCs/>
          <w:sz w:val="22"/>
          <w:szCs w:val="22"/>
        </w:rPr>
        <w:br w:type="page"/>
      </w:r>
    </w:p>
    <w:p w14:paraId="29DE15BE" w14:textId="77777777" w:rsidR="004307E6" w:rsidRPr="00673FD3" w:rsidRDefault="004307E6" w:rsidP="004307E6">
      <w:pPr>
        <w:pStyle w:val="Ttulo1"/>
        <w:keepNext/>
        <w:keepLines/>
        <w:suppressAutoHyphens w:val="0"/>
        <w:spacing w:before="120" w:after="120"/>
        <w:rPr>
          <w:rFonts w:ascii="Arial" w:hAnsi="Arial" w:cs="Arial"/>
          <w:smallCaps w:val="0"/>
          <w:sz w:val="22"/>
          <w:szCs w:val="22"/>
          <w:lang w:val="es-ES"/>
        </w:rPr>
      </w:pPr>
      <w:bookmarkStart w:id="2447" w:name="_Toc74048327"/>
      <w:bookmarkStart w:id="2448" w:name="_Toc74518567"/>
      <w:bookmarkStart w:id="2449" w:name="_Toc74519297"/>
      <w:bookmarkStart w:id="2450" w:name="_Toc74781487"/>
      <w:bookmarkStart w:id="2451" w:name="_Toc74930975"/>
      <w:r w:rsidRPr="00673FD3">
        <w:rPr>
          <w:rFonts w:ascii="Arial" w:hAnsi="Arial" w:cs="Arial"/>
          <w:smallCaps w:val="0"/>
          <w:sz w:val="22"/>
          <w:szCs w:val="22"/>
          <w:lang w:val="es-ES"/>
        </w:rPr>
        <w:lastRenderedPageBreak/>
        <w:t>Apéndice 3: Formularios de Garantías</w:t>
      </w:r>
      <w:bookmarkEnd w:id="2447"/>
      <w:bookmarkEnd w:id="2448"/>
      <w:bookmarkEnd w:id="2449"/>
      <w:bookmarkEnd w:id="2450"/>
      <w:bookmarkEnd w:id="2451"/>
    </w:p>
    <w:p w14:paraId="47F4E314" w14:textId="77777777" w:rsidR="004307E6" w:rsidRPr="00673FD3" w:rsidRDefault="004307E6" w:rsidP="004307E6">
      <w:pPr>
        <w:jc w:val="center"/>
        <w:rPr>
          <w:rFonts w:ascii="Arial" w:hAnsi="Arial" w:cs="Arial"/>
          <w:b/>
          <w:bCs/>
          <w:sz w:val="22"/>
          <w:szCs w:val="22"/>
        </w:rPr>
      </w:pPr>
    </w:p>
    <w:p w14:paraId="18B853EE" w14:textId="77777777" w:rsidR="004307E6" w:rsidRPr="00673FD3" w:rsidRDefault="004307E6" w:rsidP="004307E6">
      <w:pPr>
        <w:spacing w:before="120" w:after="120"/>
        <w:rPr>
          <w:rFonts w:ascii="Arial" w:hAnsi="Arial" w:cs="Arial"/>
          <w:sz w:val="22"/>
          <w:szCs w:val="22"/>
          <w:lang w:val="es-ES"/>
        </w:rPr>
      </w:pPr>
      <w:bookmarkStart w:id="2452" w:name="_Hlk23449096"/>
      <w:r w:rsidRPr="00673FD3">
        <w:rPr>
          <w:rFonts w:ascii="Arial" w:hAnsi="Arial" w:cs="Arial"/>
          <w:sz w:val="22"/>
          <w:szCs w:val="22"/>
          <w:lang w:val="es-ES"/>
        </w:rPr>
        <w:t xml:space="preserve">Este Apéndice a las Condiciones del Contrato contiene modelos de formularios que, una vez completados, formarán parte del Contrato. Deben ser completados únicamente por el Contratista, cuando se requieran, después de la adjudicación del Contrato. </w:t>
      </w:r>
    </w:p>
    <w:p w14:paraId="727886E2" w14:textId="77777777" w:rsidR="004307E6" w:rsidRPr="00673FD3" w:rsidRDefault="004307E6" w:rsidP="004307E6">
      <w:pPr>
        <w:spacing w:before="120" w:after="120"/>
        <w:rPr>
          <w:rFonts w:ascii="Arial" w:hAnsi="Arial" w:cs="Arial"/>
          <w:i/>
          <w:iCs/>
          <w:color w:val="FF0000"/>
          <w:sz w:val="22"/>
          <w:szCs w:val="22"/>
        </w:rPr>
      </w:pPr>
      <w:r w:rsidRPr="00673FD3">
        <w:rPr>
          <w:rFonts w:ascii="Arial" w:hAnsi="Arial" w:cs="Arial"/>
          <w:i/>
          <w:iCs/>
          <w:color w:val="FF0000"/>
          <w:sz w:val="22"/>
          <w:szCs w:val="22"/>
        </w:rPr>
        <w:t>Los formularios incluidos en este Apéndice son indicativos contienen las condiciones para la emisión de garantías. El Prestatario/Beneficiario podrá incluir en este Apéndice formularios de otros medios previstos para constituir</w:t>
      </w:r>
      <w:r w:rsidRPr="00673FD3">
        <w:rPr>
          <w:rFonts w:ascii="Arial" w:hAnsi="Arial" w:cs="Arial"/>
          <w:i/>
          <w:color w:val="FF0000"/>
          <w:sz w:val="22"/>
          <w:szCs w:val="22"/>
        </w:rPr>
        <w:t xml:space="preserve"> garantías como lo son </w:t>
      </w:r>
      <w:r w:rsidRPr="00673FD3">
        <w:rPr>
          <w:rFonts w:ascii="Arial" w:hAnsi="Arial" w:cs="Arial"/>
          <w:i/>
          <w:iCs/>
          <w:color w:val="FF0000"/>
          <w:sz w:val="22"/>
          <w:szCs w:val="22"/>
        </w:rPr>
        <w:t>otro tipo de instrumento financiero de fácil ejecución, emitido por instituciones financieras o aseguradoras aceptables para el Prestatario/Beneficiario y para el Banco y de acuerdo con la legislación local siempre y cuando se mantengan las condiciones de los presentes formularios.</w:t>
      </w:r>
    </w:p>
    <w:p w14:paraId="14DB7980" w14:textId="77777777" w:rsidR="004307E6" w:rsidRPr="00673FD3" w:rsidRDefault="004307E6" w:rsidP="004307E6">
      <w:pPr>
        <w:spacing w:before="120" w:after="120"/>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Para los formularios que indique el Prestatario/Beneficiario, es importante considerar el artículo 3 de las Reglas uniformes de la Cámara de Comercio Internacional (CCI) relativas a las garantías a primer requerimiento, que dispone:</w:t>
      </w:r>
    </w:p>
    <w:p w14:paraId="42D0DE78" w14:textId="77777777" w:rsidR="004307E6" w:rsidRPr="00673FD3" w:rsidRDefault="004307E6" w:rsidP="004307E6">
      <w:pPr>
        <w:spacing w:before="120" w:after="120"/>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“Todas las instrucciones para la emisión de Garantías y sus enmiendas y las propias Garantías y enmiendas deben ser claras y precisas, sin detalles excesivos. Así, todas las garantías deben especificar: </w:t>
      </w:r>
    </w:p>
    <w:p w14:paraId="61F3798F"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el Ordenante;</w:t>
      </w:r>
    </w:p>
    <w:p w14:paraId="548B463A"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el Beneficiario;</w:t>
      </w:r>
    </w:p>
    <w:p w14:paraId="7E1212C2"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el Garante;</w:t>
      </w:r>
    </w:p>
    <w:p w14:paraId="166687B4"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la transacción de base causa de la emisión de la Garantía;</w:t>
      </w:r>
    </w:p>
    <w:p w14:paraId="7670B52A"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la cantidad máxima por pagar y la moneda de pago;</w:t>
      </w:r>
    </w:p>
    <w:p w14:paraId="5CE315F9"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la fecha de expiración y/o el hecho que entrañe la expiración de la Garantía;</w:t>
      </w:r>
    </w:p>
    <w:p w14:paraId="0ECEEC45"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los términos del requerimiento de pago;</w:t>
      </w:r>
    </w:p>
    <w:p w14:paraId="334ABB61" w14:textId="77777777" w:rsidR="004307E6" w:rsidRPr="00673FD3" w:rsidRDefault="004307E6" w:rsidP="004307E6">
      <w:pPr>
        <w:numPr>
          <w:ilvl w:val="0"/>
          <w:numId w:val="77"/>
        </w:numPr>
        <w:tabs>
          <w:tab w:val="num" w:pos="360"/>
        </w:tabs>
        <w:ind w:left="714" w:hanging="714"/>
        <w:rPr>
          <w:rFonts w:ascii="Arial" w:hAnsi="Arial" w:cs="Arial"/>
          <w:i/>
          <w:iCs/>
          <w:color w:val="FF0000"/>
          <w:sz w:val="22"/>
          <w:szCs w:val="22"/>
          <w:lang w:val="es-MX" w:eastAsia="es-MX"/>
        </w:rPr>
      </w:pPr>
      <w:r w:rsidRPr="00673FD3">
        <w:rPr>
          <w:rFonts w:ascii="Arial" w:hAnsi="Arial" w:cs="Arial"/>
          <w:i/>
          <w:iCs/>
          <w:color w:val="FF0000"/>
          <w:sz w:val="22"/>
          <w:szCs w:val="22"/>
          <w:lang w:val="es-MX" w:eastAsia="es-MX"/>
        </w:rPr>
        <w:t>cualquier disposición para reducir el montante de la garantía”</w:t>
      </w:r>
    </w:p>
    <w:p w14:paraId="55034770" w14:textId="77777777" w:rsidR="004307E6" w:rsidRPr="00673FD3" w:rsidRDefault="004307E6" w:rsidP="004307E6">
      <w:pPr>
        <w:rPr>
          <w:rFonts w:ascii="Arial" w:hAnsi="Arial" w:cs="Arial"/>
          <w:sz w:val="22"/>
          <w:szCs w:val="22"/>
          <w:lang w:val="es-MX"/>
        </w:rPr>
      </w:pPr>
    </w:p>
    <w:bookmarkEnd w:id="2452"/>
    <w:p w14:paraId="79D86D4C" w14:textId="77777777" w:rsidR="004307E6" w:rsidRPr="00673FD3" w:rsidRDefault="004307E6" w:rsidP="004307E6">
      <w:pPr>
        <w:rPr>
          <w:rFonts w:ascii="Arial" w:hAnsi="Arial" w:cs="Arial"/>
          <w:sz w:val="22"/>
          <w:szCs w:val="22"/>
          <w:lang w:val="es-ES"/>
        </w:rPr>
      </w:pPr>
    </w:p>
    <w:p w14:paraId="7EE60619" w14:textId="77777777" w:rsidR="004307E6" w:rsidRPr="00673FD3" w:rsidRDefault="004307E6" w:rsidP="004307E6">
      <w:pPr>
        <w:spacing w:after="160" w:line="259" w:lineRule="auto"/>
        <w:jc w:val="left"/>
        <w:rPr>
          <w:rFonts w:ascii="Arial" w:hAnsi="Arial" w:cs="Arial"/>
          <w:sz w:val="22"/>
          <w:szCs w:val="22"/>
          <w:lang w:val="es-MX"/>
        </w:rPr>
      </w:pPr>
      <w:r w:rsidRPr="00673FD3">
        <w:rPr>
          <w:rFonts w:ascii="Arial" w:hAnsi="Arial" w:cs="Arial"/>
          <w:sz w:val="22"/>
          <w:szCs w:val="22"/>
          <w:lang w:val="es-ES"/>
        </w:rPr>
        <w:br w:type="page"/>
      </w:r>
    </w:p>
    <w:p w14:paraId="5984F946" w14:textId="77777777" w:rsidR="004307E6" w:rsidRPr="00673FD3" w:rsidRDefault="004307E6" w:rsidP="004307E6">
      <w:pPr>
        <w:jc w:val="center"/>
        <w:rPr>
          <w:rFonts w:ascii="Arial" w:hAnsi="Arial" w:cs="Arial"/>
          <w:b/>
          <w:bCs/>
          <w:sz w:val="22"/>
          <w:szCs w:val="22"/>
          <w:lang w:val="es-ES"/>
        </w:rPr>
      </w:pPr>
      <w:bookmarkStart w:id="2453" w:name="_Toc534709123"/>
      <w:bookmarkStart w:id="2454" w:name="_Toc534709122"/>
      <w:r w:rsidRPr="00673FD3">
        <w:rPr>
          <w:rFonts w:ascii="Arial" w:hAnsi="Arial" w:cs="Arial"/>
          <w:b/>
          <w:bCs/>
          <w:sz w:val="22"/>
          <w:szCs w:val="22"/>
          <w:lang w:val="es-ES"/>
        </w:rPr>
        <w:lastRenderedPageBreak/>
        <w:t>Formulario de Garantía de Cumplimiento (Fianza)</w:t>
      </w:r>
      <w:bookmarkEnd w:id="2453"/>
    </w:p>
    <w:p w14:paraId="5D5BC693" w14:textId="77777777" w:rsidR="004307E6" w:rsidRPr="00673FD3" w:rsidRDefault="004307E6" w:rsidP="004307E6">
      <w:pPr>
        <w:jc w:val="center"/>
        <w:rPr>
          <w:rFonts w:ascii="Arial" w:hAnsi="Arial" w:cs="Arial"/>
          <w:b/>
          <w:bCs/>
          <w:sz w:val="22"/>
          <w:szCs w:val="22"/>
          <w:lang w:val="es-ES"/>
        </w:rPr>
      </w:pPr>
      <w:bookmarkStart w:id="2455" w:name="_Hlk63244477"/>
      <w:r w:rsidRPr="00673FD3">
        <w:rPr>
          <w:rFonts w:ascii="Arial" w:hAnsi="Arial" w:cs="Arial"/>
          <w:b/>
          <w:bCs/>
          <w:sz w:val="22"/>
          <w:szCs w:val="22"/>
          <w:lang w:val="es-ES"/>
        </w:rPr>
        <w:t>A primer Requerimiento</w:t>
      </w:r>
    </w:p>
    <w:bookmarkEnd w:id="2455"/>
    <w:p w14:paraId="24DDCE92" w14:textId="77777777" w:rsidR="004307E6" w:rsidRPr="00673FD3" w:rsidRDefault="004307E6" w:rsidP="004307E6">
      <w:pPr>
        <w:jc w:val="center"/>
        <w:rPr>
          <w:rFonts w:ascii="Arial" w:hAnsi="Arial" w:cs="Arial"/>
          <w:b/>
          <w:bCs/>
          <w:sz w:val="22"/>
          <w:szCs w:val="22"/>
        </w:rPr>
      </w:pPr>
    </w:p>
    <w:p w14:paraId="6C4A705B" w14:textId="77777777" w:rsidR="004307E6" w:rsidRPr="00673FD3" w:rsidRDefault="004307E6" w:rsidP="004307E6">
      <w:pPr>
        <w:spacing w:before="120" w:after="120"/>
        <w:rPr>
          <w:rFonts w:ascii="Arial" w:hAnsi="Arial" w:cs="Arial"/>
          <w:i/>
          <w:iCs/>
          <w:color w:val="FF0000"/>
          <w:sz w:val="22"/>
          <w:szCs w:val="22"/>
          <w:lang w:val="es-ES"/>
        </w:rPr>
      </w:pPr>
      <w:r w:rsidRPr="00673FD3">
        <w:rPr>
          <w:rFonts w:ascii="Arial" w:hAnsi="Arial" w:cs="Arial"/>
          <w:i/>
          <w:iCs/>
          <w:color w:val="FF0000"/>
          <w:sz w:val="22"/>
          <w:szCs w:val="22"/>
          <w:lang w:val="es-ES"/>
        </w:rPr>
        <w:t>(</w:t>
      </w:r>
      <w:r w:rsidRPr="00673FD3">
        <w:rPr>
          <w:rFonts w:ascii="Arial" w:hAnsi="Arial" w:cs="Arial"/>
          <w:b/>
          <w:i/>
          <w:iCs/>
          <w:color w:val="FF0000"/>
          <w:sz w:val="22"/>
          <w:szCs w:val="22"/>
          <w:lang w:val="es-ES"/>
        </w:rPr>
        <w:t>El</w:t>
      </w:r>
      <w:r w:rsidRPr="00673FD3">
        <w:rPr>
          <w:rFonts w:ascii="Arial" w:hAnsi="Arial" w:cs="Arial"/>
          <w:b/>
          <w:bCs/>
          <w:i/>
          <w:iCs/>
          <w:color w:val="FF0000"/>
          <w:sz w:val="22"/>
          <w:szCs w:val="22"/>
          <w:lang w:val="es-ES"/>
        </w:rPr>
        <w:t xml:space="preserve"> Oferente seleccionado</w:t>
      </w:r>
      <w:r w:rsidRPr="00673FD3">
        <w:rPr>
          <w:rFonts w:ascii="Arial" w:hAnsi="Arial" w:cs="Arial"/>
          <w:i/>
          <w:iCs/>
          <w:color w:val="FF0000"/>
          <w:sz w:val="22"/>
          <w:szCs w:val="22"/>
          <w:lang w:val="es-ES"/>
        </w:rPr>
        <w:t xml:space="preserve"> deberá presentar está garantía de acuerdo con las instrucciones indicadas entre corchetes, si el Contratante solicita este tipo de garantía)</w:t>
      </w:r>
    </w:p>
    <w:p w14:paraId="7EC55189" w14:textId="77777777" w:rsidR="004307E6" w:rsidRPr="00673FD3" w:rsidRDefault="004307E6" w:rsidP="004307E6">
      <w:pPr>
        <w:autoSpaceDE w:val="0"/>
        <w:autoSpaceDN w:val="0"/>
        <w:adjustRightInd w:val="0"/>
        <w:spacing w:before="120" w:after="120" w:line="240" w:lineRule="atLeast"/>
        <w:rPr>
          <w:rFonts w:ascii="Arial" w:hAnsi="Arial" w:cs="Arial"/>
          <w:sz w:val="22"/>
          <w:szCs w:val="22"/>
          <w:lang w:val="es-ES"/>
        </w:rPr>
      </w:pPr>
      <w:r w:rsidRPr="00673FD3">
        <w:rPr>
          <w:rFonts w:ascii="Arial" w:hAnsi="Arial" w:cs="Arial"/>
          <w:sz w:val="22"/>
          <w:szCs w:val="22"/>
          <w:lang w:val="es-ES"/>
        </w:rPr>
        <w:t xml:space="preserve">No. De Fianza de Garantía de cumplimiento: </w:t>
      </w:r>
      <w:r w:rsidRPr="00673FD3">
        <w:rPr>
          <w:rFonts w:ascii="Arial" w:hAnsi="Arial" w:cs="Arial"/>
          <w:i/>
          <w:sz w:val="22"/>
          <w:szCs w:val="22"/>
          <w:lang w:val="es-ES"/>
        </w:rPr>
        <w:t>(Indicar el número de identificación de la Fianza)</w:t>
      </w:r>
      <w:r w:rsidRPr="00673FD3">
        <w:rPr>
          <w:rFonts w:ascii="Arial" w:hAnsi="Arial" w:cs="Arial"/>
          <w:sz w:val="22"/>
          <w:szCs w:val="22"/>
          <w:lang w:val="es-ES"/>
        </w:rPr>
        <w:t xml:space="preserve"> </w:t>
      </w:r>
    </w:p>
    <w:p w14:paraId="72D5E5FC" w14:textId="77777777" w:rsidR="004307E6" w:rsidRPr="00673FD3" w:rsidRDefault="004307E6" w:rsidP="004307E6">
      <w:pPr>
        <w:autoSpaceDE w:val="0"/>
        <w:autoSpaceDN w:val="0"/>
        <w:adjustRightInd w:val="0"/>
        <w:spacing w:before="120" w:after="120" w:line="240" w:lineRule="atLeast"/>
        <w:rPr>
          <w:rFonts w:ascii="Arial" w:hAnsi="Arial" w:cs="Arial"/>
          <w:color w:val="000000"/>
          <w:sz w:val="22"/>
          <w:szCs w:val="22"/>
          <w:lang w:val="es-ES"/>
        </w:rPr>
      </w:pPr>
      <w:r w:rsidRPr="00673FD3">
        <w:rPr>
          <w:rFonts w:ascii="Arial" w:hAnsi="Arial" w:cs="Arial"/>
          <w:sz w:val="22"/>
          <w:szCs w:val="22"/>
          <w:lang w:val="es-ES"/>
        </w:rPr>
        <w:t xml:space="preserve">Por esta Fianza </w:t>
      </w:r>
      <w:r w:rsidRPr="00673FD3">
        <w:rPr>
          <w:rFonts w:ascii="Arial" w:hAnsi="Arial" w:cs="Arial"/>
          <w:i/>
          <w:iCs/>
          <w:color w:val="FF0000"/>
          <w:sz w:val="22"/>
          <w:szCs w:val="22"/>
          <w:lang w:val="es-ES"/>
        </w:rPr>
        <w:t xml:space="preserve">(indique el nombre y dirección del Contratista) </w:t>
      </w:r>
      <w:r w:rsidRPr="00673FD3">
        <w:rPr>
          <w:rFonts w:ascii="Arial" w:hAnsi="Arial" w:cs="Arial"/>
          <w:sz w:val="22"/>
          <w:szCs w:val="22"/>
          <w:lang w:val="es-ES"/>
        </w:rPr>
        <w:t xml:space="preserve">en calidad de Obligado Principal (en lo sucesivo, “el Obligado Principal”) y </w:t>
      </w:r>
      <w:r w:rsidRPr="00673FD3">
        <w:rPr>
          <w:rFonts w:ascii="Arial" w:hAnsi="Arial" w:cs="Arial"/>
          <w:i/>
          <w:iCs/>
          <w:color w:val="FF0000"/>
          <w:sz w:val="22"/>
          <w:szCs w:val="22"/>
          <w:lang w:val="es-ES"/>
        </w:rPr>
        <w:t xml:space="preserve">(indique el nombre, título legal y dirección del garante, compañía afianzadora o aseguradora) </w:t>
      </w:r>
      <w:r w:rsidRPr="00673FD3">
        <w:rPr>
          <w:rFonts w:ascii="Arial" w:hAnsi="Arial" w:cs="Arial"/>
          <w:sz w:val="22"/>
          <w:szCs w:val="22"/>
          <w:lang w:val="es-ES"/>
        </w:rPr>
        <w:t xml:space="preserve">en calidad de Fiador (en adelante “el Fiador”) </w:t>
      </w:r>
      <w:r w:rsidRPr="00673FD3">
        <w:rPr>
          <w:rFonts w:ascii="Arial" w:hAnsi="Arial" w:cs="Arial"/>
          <w:color w:val="000000"/>
          <w:sz w:val="22"/>
          <w:szCs w:val="22"/>
          <w:lang w:val="es-ES"/>
        </w:rPr>
        <w:t xml:space="preserve">se obligan y firmemente se comprometen con </w:t>
      </w:r>
      <w:r w:rsidRPr="00673FD3">
        <w:rPr>
          <w:rFonts w:ascii="Arial" w:hAnsi="Arial" w:cs="Arial"/>
          <w:i/>
          <w:iCs/>
          <w:color w:val="FF0000"/>
          <w:sz w:val="22"/>
          <w:szCs w:val="22"/>
          <w:lang w:val="es-ES"/>
        </w:rPr>
        <w:t>(indique el nombre y dirección del Contratante)</w:t>
      </w:r>
      <w:r w:rsidRPr="00673FD3">
        <w:rPr>
          <w:rFonts w:ascii="Arial" w:hAnsi="Arial" w:cs="Arial"/>
          <w:color w:val="FF0000"/>
          <w:sz w:val="22"/>
          <w:szCs w:val="22"/>
          <w:lang w:val="es-ES"/>
        </w:rPr>
        <w:t xml:space="preserve"> </w:t>
      </w:r>
      <w:r w:rsidRPr="00673FD3">
        <w:rPr>
          <w:rFonts w:ascii="Arial" w:hAnsi="Arial" w:cs="Arial"/>
          <w:color w:val="000000"/>
          <w:sz w:val="22"/>
          <w:szCs w:val="22"/>
          <w:lang w:val="es-ES"/>
        </w:rPr>
        <w:t xml:space="preserve">en calidad de Contratante (en adelante “el Contratante”) por el monto </w:t>
      </w:r>
      <w:r w:rsidRPr="00673FD3">
        <w:rPr>
          <w:rFonts w:ascii="Arial" w:hAnsi="Arial" w:cs="Arial"/>
          <w:color w:val="FF0000"/>
          <w:sz w:val="22"/>
          <w:szCs w:val="22"/>
          <w:lang w:val="es-ES"/>
        </w:rPr>
        <w:t xml:space="preserve">de </w:t>
      </w:r>
      <w:r w:rsidRPr="00673FD3">
        <w:rPr>
          <w:rFonts w:ascii="Arial" w:hAnsi="Arial" w:cs="Arial"/>
          <w:i/>
          <w:iCs/>
          <w:color w:val="FF0000"/>
          <w:sz w:val="22"/>
          <w:szCs w:val="22"/>
          <w:lang w:val="es-ES"/>
        </w:rPr>
        <w:t>(indique el monto de fianza) (indique el monto de la fianza en palabras)</w:t>
      </w:r>
      <w:r w:rsidRPr="00673FD3">
        <w:rPr>
          <w:rStyle w:val="Refdenotaalpie"/>
          <w:rFonts w:ascii="Arial" w:hAnsi="Arial" w:cs="Arial"/>
          <w:i/>
          <w:iCs/>
          <w:color w:val="000000"/>
          <w:sz w:val="22"/>
          <w:szCs w:val="22"/>
          <w:lang w:val="es-ES"/>
        </w:rPr>
        <w:footnoteReference w:id="1"/>
      </w:r>
      <w:r w:rsidRPr="00673FD3">
        <w:rPr>
          <w:rFonts w:ascii="Arial" w:hAnsi="Arial" w:cs="Arial"/>
          <w:i/>
          <w:iCs/>
          <w:color w:val="000000"/>
          <w:sz w:val="22"/>
          <w:szCs w:val="22"/>
          <w:lang w:val="es-ES"/>
        </w:rPr>
        <w:t xml:space="preserve">, </w:t>
      </w:r>
      <w:r w:rsidRPr="00673FD3">
        <w:rPr>
          <w:rFonts w:ascii="Arial" w:hAnsi="Arial" w:cs="Arial"/>
          <w:color w:val="000000"/>
          <w:sz w:val="22"/>
          <w:szCs w:val="22"/>
          <w:lang w:val="es-ES"/>
        </w:rPr>
        <w:t xml:space="preserve">a cuyo pago en forma legal, en los tipos y proporciones de monedas en que deba pagarse el Precio del Contrato, nosotros, el Obligado Principal y el Fiador antes mencionados nos comprometemos y obligamos colectiva y solidariamente a nuestros herederos, albaceas, administradores, sucesores y cesionarios a estos términos a través de la presente. </w:t>
      </w:r>
    </w:p>
    <w:p w14:paraId="12E4E012" w14:textId="77777777" w:rsidR="004307E6" w:rsidRPr="00673FD3" w:rsidRDefault="004307E6" w:rsidP="004307E6">
      <w:pPr>
        <w:suppressAutoHyphens/>
        <w:spacing w:before="120" w:after="120"/>
        <w:rPr>
          <w:rFonts w:ascii="Arial" w:hAnsi="Arial" w:cs="Arial"/>
          <w:spacing w:val="-3"/>
          <w:sz w:val="22"/>
          <w:szCs w:val="22"/>
          <w:lang w:val="es-ES"/>
        </w:rPr>
      </w:pPr>
      <w:r w:rsidRPr="00673FD3">
        <w:rPr>
          <w:rFonts w:ascii="Arial" w:hAnsi="Arial" w:cs="Arial"/>
          <w:spacing w:val="-3"/>
          <w:sz w:val="22"/>
          <w:szCs w:val="22"/>
          <w:lang w:val="es-ES"/>
        </w:rPr>
        <w:t>Considerando que el Obligado principal ha recibido la Carta de Aceptación con fecha</w:t>
      </w:r>
      <w:r w:rsidRPr="00673FD3">
        <w:rPr>
          <w:rStyle w:val="Refdenotaalpie"/>
          <w:rFonts w:ascii="Arial" w:hAnsi="Arial" w:cs="Arial"/>
          <w:spacing w:val="-3"/>
          <w:sz w:val="22"/>
          <w:szCs w:val="22"/>
          <w:lang w:val="es-ES"/>
        </w:rPr>
        <w:footnoteReference w:id="2"/>
      </w:r>
      <w:r w:rsidRPr="00673FD3">
        <w:rPr>
          <w:rFonts w:ascii="Arial" w:hAnsi="Arial" w:cs="Arial"/>
          <w:spacing w:val="-3"/>
          <w:sz w:val="22"/>
          <w:szCs w:val="22"/>
          <w:lang w:val="es-ES"/>
        </w:rPr>
        <w:t xml:space="preserve"> del</w:t>
      </w:r>
      <w:r w:rsidRPr="00673FD3">
        <w:rPr>
          <w:rFonts w:ascii="Arial" w:hAnsi="Arial" w:cs="Arial"/>
          <w:spacing w:val="-3"/>
          <w:sz w:val="22"/>
          <w:szCs w:val="22"/>
          <w:vertAlign w:val="superscript"/>
          <w:lang w:val="es-ES"/>
        </w:rPr>
        <w:t xml:space="preserve"> </w:t>
      </w:r>
      <w:r w:rsidRPr="00673FD3">
        <w:rPr>
          <w:rFonts w:ascii="Arial" w:hAnsi="Arial" w:cs="Arial"/>
          <w:color w:val="FF0000"/>
          <w:spacing w:val="-3"/>
          <w:sz w:val="22"/>
          <w:szCs w:val="22"/>
          <w:lang w:val="es-ES"/>
        </w:rPr>
        <w:t>(</w:t>
      </w:r>
      <w:r w:rsidRPr="00673FD3">
        <w:rPr>
          <w:rFonts w:ascii="Arial" w:hAnsi="Arial" w:cs="Arial"/>
          <w:i/>
          <w:iCs/>
          <w:color w:val="FF0000"/>
          <w:spacing w:val="-3"/>
          <w:sz w:val="22"/>
          <w:szCs w:val="22"/>
          <w:lang w:val="es-ES"/>
        </w:rPr>
        <w:t xml:space="preserve">indique el número) </w:t>
      </w:r>
      <w:r w:rsidRPr="00673FD3">
        <w:rPr>
          <w:rFonts w:ascii="Arial" w:hAnsi="Arial" w:cs="Arial"/>
          <w:spacing w:val="-3"/>
          <w:sz w:val="22"/>
          <w:szCs w:val="22"/>
          <w:lang w:val="es-ES"/>
        </w:rPr>
        <w:t>días</w:t>
      </w:r>
      <w:r w:rsidRPr="00673FD3">
        <w:rPr>
          <w:rFonts w:ascii="Arial" w:hAnsi="Arial" w:cs="Arial"/>
          <w:i/>
          <w:iCs/>
          <w:spacing w:val="-3"/>
          <w:sz w:val="22"/>
          <w:szCs w:val="22"/>
          <w:lang w:val="es-ES"/>
        </w:rPr>
        <w:t xml:space="preserve"> </w:t>
      </w:r>
      <w:r w:rsidRPr="00673FD3">
        <w:rPr>
          <w:rFonts w:ascii="Arial" w:hAnsi="Arial" w:cs="Arial"/>
          <w:spacing w:val="-3"/>
          <w:sz w:val="22"/>
          <w:szCs w:val="22"/>
          <w:lang w:val="es-ES"/>
        </w:rPr>
        <w:t xml:space="preserve">de </w:t>
      </w:r>
      <w:r w:rsidRPr="00673FD3">
        <w:rPr>
          <w:rFonts w:ascii="Arial" w:hAnsi="Arial" w:cs="Arial"/>
          <w:i/>
          <w:iCs/>
          <w:color w:val="FF0000"/>
          <w:spacing w:val="-3"/>
          <w:sz w:val="22"/>
          <w:szCs w:val="22"/>
          <w:lang w:val="es-ES"/>
        </w:rPr>
        <w:t xml:space="preserve">(indique el mes) </w:t>
      </w:r>
      <w:r w:rsidRPr="00673FD3">
        <w:rPr>
          <w:rFonts w:ascii="Arial" w:hAnsi="Arial" w:cs="Arial"/>
          <w:spacing w:val="-3"/>
          <w:sz w:val="22"/>
          <w:szCs w:val="22"/>
          <w:lang w:val="es-ES"/>
        </w:rPr>
        <w:t xml:space="preserve">de </w:t>
      </w:r>
      <w:r w:rsidRPr="00673FD3">
        <w:rPr>
          <w:rFonts w:ascii="Arial" w:hAnsi="Arial" w:cs="Arial"/>
          <w:i/>
          <w:iCs/>
          <w:color w:val="FF0000"/>
          <w:spacing w:val="-3"/>
          <w:sz w:val="22"/>
          <w:szCs w:val="22"/>
          <w:lang w:val="es-ES"/>
        </w:rPr>
        <w:t xml:space="preserve">(indique el año) </w:t>
      </w:r>
      <w:r w:rsidRPr="00673FD3">
        <w:rPr>
          <w:rFonts w:ascii="Arial" w:hAnsi="Arial" w:cs="Arial"/>
          <w:spacing w:val="-3"/>
          <w:sz w:val="22"/>
          <w:szCs w:val="22"/>
          <w:lang w:val="es-ES"/>
        </w:rPr>
        <w:t xml:space="preserve">para </w:t>
      </w:r>
      <w:r w:rsidRPr="00673FD3">
        <w:rPr>
          <w:rFonts w:ascii="Arial" w:hAnsi="Arial" w:cs="Arial"/>
          <w:color w:val="FF0000"/>
          <w:spacing w:val="-3"/>
          <w:sz w:val="22"/>
          <w:szCs w:val="22"/>
          <w:lang w:val="es-ES"/>
        </w:rPr>
        <w:t>(</w:t>
      </w:r>
      <w:r w:rsidRPr="00673FD3">
        <w:rPr>
          <w:rFonts w:ascii="Arial" w:hAnsi="Arial" w:cs="Arial"/>
          <w:i/>
          <w:color w:val="FF0000"/>
          <w:spacing w:val="-3"/>
          <w:sz w:val="22"/>
          <w:szCs w:val="22"/>
          <w:lang w:val="es-ES"/>
        </w:rPr>
        <w:t>indique el nombre</w:t>
      </w:r>
      <w:r w:rsidRPr="00673FD3">
        <w:rPr>
          <w:rFonts w:ascii="Arial" w:hAnsi="Arial" w:cs="Arial"/>
          <w:color w:val="FF0000"/>
          <w:spacing w:val="-3"/>
          <w:sz w:val="22"/>
          <w:szCs w:val="22"/>
          <w:lang w:val="es-ES"/>
        </w:rPr>
        <w:t xml:space="preserve"> </w:t>
      </w:r>
      <w:r w:rsidRPr="00673FD3">
        <w:rPr>
          <w:rFonts w:ascii="Arial" w:hAnsi="Arial" w:cs="Arial"/>
          <w:i/>
          <w:color w:val="FF0000"/>
          <w:spacing w:val="-3"/>
          <w:sz w:val="22"/>
          <w:szCs w:val="22"/>
          <w:lang w:val="es-ES"/>
        </w:rPr>
        <w:t>del Contrato)</w:t>
      </w:r>
      <w:r w:rsidRPr="00673FD3">
        <w:rPr>
          <w:rFonts w:ascii="Arial" w:hAnsi="Arial" w:cs="Arial"/>
          <w:color w:val="FF0000"/>
          <w:spacing w:val="-3"/>
          <w:sz w:val="22"/>
          <w:szCs w:val="22"/>
          <w:lang w:val="es-ES"/>
        </w:rPr>
        <w:t xml:space="preserve"> </w:t>
      </w:r>
      <w:r w:rsidRPr="00673FD3">
        <w:rPr>
          <w:rFonts w:ascii="Arial" w:hAnsi="Arial" w:cs="Arial"/>
          <w:spacing w:val="-3"/>
          <w:sz w:val="22"/>
          <w:szCs w:val="22"/>
          <w:lang w:val="es-ES"/>
        </w:rPr>
        <w:t>de acuerdo con los documentos, planos, especificaciones y modificaciones de los mismos que, en la medida de lo estipulado en el presente documento, constituyen por referencia parte integrante de éste y se denominan, en adelante, el Contrato.</w:t>
      </w:r>
    </w:p>
    <w:p w14:paraId="7174DF30" w14:textId="77777777" w:rsidR="004307E6" w:rsidRPr="00673FD3" w:rsidRDefault="004307E6" w:rsidP="004307E6">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before="120" w:after="120"/>
        <w:rPr>
          <w:rFonts w:ascii="Arial" w:hAnsi="Arial" w:cs="Arial"/>
          <w:spacing w:val="-3"/>
          <w:sz w:val="22"/>
          <w:szCs w:val="22"/>
          <w:lang w:val="es-ES"/>
        </w:rPr>
      </w:pPr>
      <w:r w:rsidRPr="00673FD3">
        <w:rPr>
          <w:rFonts w:ascii="Arial" w:hAnsi="Arial" w:cs="Arial"/>
          <w:spacing w:val="-3"/>
          <w:sz w:val="22"/>
          <w:szCs w:val="22"/>
          <w:lang w:val="es-ES"/>
        </w:rPr>
        <w:t>Por lo tanto, la Condición de esta Obligación es tal que si el Obligado Principal diere pronto y fiel cumplimiento a dicho Contrato (incluida cualquier modificación del mismo), dicha obligación quedará anulada y, en caso contrario, tendrá plena vigencia y efecto.  En cualquier momento que el Obligado Principal esté en violación del Contrato, y que el Contratante así lo declare, cumpliendo por su parte con las obligaciones a su cargo, y previo envío de una primera solicitud por escrito, sin que el Contratante tenga que sustentar su solicitud, el Fiador deberá proceder de inmediato a pagar al Contratante el monto exigido por éste para llevar a cabo el Contrato de acuerdo con las condiciones del mismo, hasta un total que no exceda el monto de esta fianza.</w:t>
      </w:r>
    </w:p>
    <w:p w14:paraId="2BA32DAC" w14:textId="77777777" w:rsidR="004307E6" w:rsidRPr="00673FD3" w:rsidRDefault="004307E6" w:rsidP="004307E6">
      <w:pPr>
        <w:suppressAutoHyphens/>
        <w:spacing w:before="120" w:after="120"/>
        <w:rPr>
          <w:rFonts w:ascii="Arial" w:hAnsi="Arial" w:cs="Arial"/>
          <w:spacing w:val="-3"/>
          <w:sz w:val="22"/>
          <w:szCs w:val="22"/>
          <w:lang w:val="es-ES"/>
        </w:rPr>
      </w:pPr>
      <w:r w:rsidRPr="00673FD3">
        <w:rPr>
          <w:rFonts w:ascii="Arial" w:hAnsi="Arial" w:cs="Arial"/>
          <w:spacing w:val="-3"/>
          <w:sz w:val="22"/>
          <w:szCs w:val="22"/>
          <w:lang w:val="es-ES"/>
        </w:rPr>
        <w:t>El Fiador acepta, por la presente, que su obligación es irrevocable y permanecerá vigente y tendrá pleno efecto hasta un año a partir de la fecha de emisión del certificado de terminación de las obras. El Fiador no será responsable por una suma mayor que la penalización específica que constituye esta fianza.</w:t>
      </w:r>
    </w:p>
    <w:p w14:paraId="2E1BF56E" w14:textId="77777777" w:rsidR="004307E6" w:rsidRPr="00673FD3" w:rsidRDefault="004307E6" w:rsidP="004307E6">
      <w:pPr>
        <w:suppressAutoHyphens/>
        <w:spacing w:before="120" w:after="120"/>
        <w:rPr>
          <w:rFonts w:ascii="Arial" w:hAnsi="Arial" w:cs="Arial"/>
          <w:spacing w:val="-3"/>
          <w:sz w:val="22"/>
          <w:szCs w:val="22"/>
          <w:lang w:val="es-ES"/>
        </w:rPr>
      </w:pPr>
      <w:r w:rsidRPr="00673FD3">
        <w:rPr>
          <w:rFonts w:ascii="Arial" w:hAnsi="Arial" w:cs="Arial"/>
          <w:spacing w:val="-3"/>
          <w:sz w:val="22"/>
          <w:szCs w:val="22"/>
          <w:lang w:val="es-ES"/>
        </w:rPr>
        <w:t>Ninguna persona o empresa del Contratante mencionado en el presente documento o sus herederos, albaceas, administradores, sucesores y cesionarios podrá tener o ejercer derecho alguno en virtud de esta fianza.</w:t>
      </w:r>
    </w:p>
    <w:p w14:paraId="01A33D8E" w14:textId="77777777" w:rsidR="004307E6" w:rsidRPr="00673FD3" w:rsidRDefault="004307E6" w:rsidP="004307E6">
      <w:pPr>
        <w:suppressAutoHyphens/>
        <w:spacing w:before="120" w:after="120"/>
        <w:rPr>
          <w:rFonts w:ascii="Arial" w:hAnsi="Arial" w:cs="Arial"/>
          <w:i/>
          <w:iCs/>
          <w:spacing w:val="-3"/>
          <w:sz w:val="22"/>
          <w:szCs w:val="22"/>
          <w:lang w:val="es-ES"/>
        </w:rPr>
      </w:pPr>
      <w:r w:rsidRPr="00673FD3">
        <w:rPr>
          <w:rFonts w:ascii="Arial" w:hAnsi="Arial" w:cs="Arial"/>
          <w:spacing w:val="-3"/>
          <w:sz w:val="22"/>
          <w:szCs w:val="22"/>
          <w:lang w:val="es-ES"/>
        </w:rPr>
        <w:t xml:space="preserve">En fe de lo cual, el Obligado principal ha firmado y estampado su sello en este documento, y el Fiador ha hecho estampar su sello institucional en el presente documento, debidamente atestiguado por la firma de su representante legal, a los </w:t>
      </w:r>
      <w:r w:rsidRPr="00673FD3">
        <w:rPr>
          <w:rFonts w:ascii="Arial" w:hAnsi="Arial" w:cs="Arial"/>
          <w:i/>
          <w:iCs/>
          <w:color w:val="FF0000"/>
          <w:spacing w:val="-3"/>
          <w:sz w:val="22"/>
          <w:szCs w:val="22"/>
          <w:lang w:val="es-ES"/>
        </w:rPr>
        <w:t>(indique el número)</w:t>
      </w:r>
      <w:r w:rsidRPr="00673FD3">
        <w:rPr>
          <w:rFonts w:ascii="Arial" w:hAnsi="Arial" w:cs="Arial"/>
          <w:color w:val="FF0000"/>
          <w:spacing w:val="-3"/>
          <w:sz w:val="22"/>
          <w:szCs w:val="22"/>
          <w:lang w:val="es-ES"/>
        </w:rPr>
        <w:t xml:space="preserve"> </w:t>
      </w:r>
      <w:r w:rsidRPr="00673FD3">
        <w:rPr>
          <w:rFonts w:ascii="Arial" w:hAnsi="Arial" w:cs="Arial"/>
          <w:spacing w:val="-3"/>
          <w:sz w:val="22"/>
          <w:szCs w:val="22"/>
          <w:lang w:val="es-ES"/>
        </w:rPr>
        <w:t xml:space="preserve">días de </w:t>
      </w:r>
      <w:r w:rsidRPr="00673FD3">
        <w:rPr>
          <w:rFonts w:ascii="Arial" w:hAnsi="Arial" w:cs="Arial"/>
          <w:i/>
          <w:iCs/>
          <w:color w:val="FF0000"/>
          <w:spacing w:val="-3"/>
          <w:sz w:val="22"/>
          <w:szCs w:val="22"/>
          <w:lang w:val="es-ES"/>
        </w:rPr>
        <w:t xml:space="preserve">(indique el mes) </w:t>
      </w:r>
      <w:r w:rsidRPr="00673FD3">
        <w:rPr>
          <w:rFonts w:ascii="Arial" w:hAnsi="Arial" w:cs="Arial"/>
          <w:spacing w:val="-3"/>
          <w:sz w:val="22"/>
          <w:szCs w:val="22"/>
          <w:lang w:val="es-ES"/>
        </w:rPr>
        <w:t xml:space="preserve">de </w:t>
      </w:r>
      <w:r w:rsidRPr="00673FD3">
        <w:rPr>
          <w:rFonts w:ascii="Arial" w:hAnsi="Arial" w:cs="Arial"/>
          <w:i/>
          <w:iCs/>
          <w:color w:val="FF0000"/>
          <w:spacing w:val="-3"/>
          <w:sz w:val="22"/>
          <w:szCs w:val="22"/>
          <w:lang w:val="es-ES"/>
        </w:rPr>
        <w:t>(indique el año)</w:t>
      </w:r>
      <w:r w:rsidRPr="00673FD3">
        <w:rPr>
          <w:rFonts w:ascii="Arial" w:hAnsi="Arial" w:cs="Arial"/>
          <w:i/>
          <w:iCs/>
          <w:spacing w:val="-3"/>
          <w:sz w:val="22"/>
          <w:szCs w:val="22"/>
          <w:lang w:val="es-ES"/>
        </w:rPr>
        <w:t>.</w:t>
      </w:r>
    </w:p>
    <w:p w14:paraId="6E7D13BA" w14:textId="77777777" w:rsidR="004307E6" w:rsidRPr="00673FD3" w:rsidRDefault="004307E6" w:rsidP="004307E6">
      <w:pPr>
        <w:suppressAutoHyphens/>
        <w:rPr>
          <w:rFonts w:ascii="Arial" w:hAnsi="Arial" w:cs="Arial"/>
          <w:i/>
          <w:iCs/>
          <w:spacing w:val="-3"/>
          <w:sz w:val="22"/>
          <w:szCs w:val="22"/>
          <w:lang w:val="es-ES"/>
        </w:rPr>
      </w:pPr>
    </w:p>
    <w:p w14:paraId="4F6AA7AE" w14:textId="77777777" w:rsidR="004307E6" w:rsidRPr="00673FD3" w:rsidRDefault="004307E6" w:rsidP="004307E6">
      <w:pPr>
        <w:suppressAutoHyphens/>
        <w:rPr>
          <w:rFonts w:ascii="Arial" w:hAnsi="Arial" w:cs="Arial"/>
          <w:i/>
          <w:iCs/>
          <w:color w:val="FF0000"/>
          <w:spacing w:val="-3"/>
          <w:sz w:val="22"/>
          <w:szCs w:val="22"/>
          <w:lang w:val="es-ES"/>
        </w:rPr>
      </w:pPr>
      <w:r w:rsidRPr="00673FD3">
        <w:rPr>
          <w:rFonts w:ascii="Arial" w:hAnsi="Arial" w:cs="Arial"/>
          <w:spacing w:val="-3"/>
          <w:sz w:val="22"/>
          <w:szCs w:val="22"/>
          <w:lang w:val="es-ES"/>
        </w:rPr>
        <w:lastRenderedPageBreak/>
        <w:t xml:space="preserve">Firmado por </w:t>
      </w:r>
      <w:r w:rsidRPr="00673FD3">
        <w:rPr>
          <w:rFonts w:ascii="Arial" w:hAnsi="Arial" w:cs="Arial"/>
          <w:i/>
          <w:iCs/>
          <w:color w:val="FF0000"/>
          <w:spacing w:val="-3"/>
          <w:sz w:val="22"/>
          <w:szCs w:val="22"/>
          <w:lang w:val="es-ES"/>
        </w:rPr>
        <w:t xml:space="preserve">(indique la(s) firma(s) del (de los) representante(s) autorizado(s) </w:t>
      </w:r>
    </w:p>
    <w:p w14:paraId="49AF8CCF"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En nombre de </w:t>
      </w:r>
      <w:r w:rsidRPr="00673FD3">
        <w:rPr>
          <w:rFonts w:ascii="Arial" w:hAnsi="Arial" w:cs="Arial"/>
          <w:i/>
          <w:iCs/>
          <w:color w:val="FF0000"/>
          <w:spacing w:val="-3"/>
          <w:sz w:val="22"/>
          <w:szCs w:val="22"/>
          <w:lang w:val="es-ES" w:eastAsia="en-US"/>
        </w:rPr>
        <w:t xml:space="preserve">(nombre del Contratista) </w:t>
      </w:r>
      <w:r w:rsidRPr="00673FD3">
        <w:rPr>
          <w:rFonts w:ascii="Arial" w:hAnsi="Arial" w:cs="Arial"/>
          <w:spacing w:val="-3"/>
          <w:sz w:val="22"/>
          <w:szCs w:val="22"/>
          <w:lang w:val="es-ES" w:eastAsia="en-US"/>
        </w:rPr>
        <w:t xml:space="preserve">en calidad de </w:t>
      </w:r>
      <w:r w:rsidRPr="00673FD3">
        <w:rPr>
          <w:rFonts w:ascii="Arial" w:hAnsi="Arial" w:cs="Arial"/>
          <w:i/>
          <w:iCs/>
          <w:color w:val="FF0000"/>
          <w:spacing w:val="-3"/>
          <w:sz w:val="22"/>
          <w:szCs w:val="22"/>
          <w:lang w:val="es-ES" w:eastAsia="en-US"/>
        </w:rPr>
        <w:t>(indicar el cargo)</w:t>
      </w:r>
    </w:p>
    <w:p w14:paraId="6EB9CFCA"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p>
    <w:p w14:paraId="69657C7B"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En presencia de </w:t>
      </w:r>
      <w:r>
        <w:rPr>
          <w:rFonts w:ascii="Arial" w:hAnsi="Arial" w:cs="Arial"/>
          <w:spacing w:val="-3"/>
          <w:sz w:val="22"/>
          <w:szCs w:val="22"/>
          <w:lang w:val="es-ES" w:eastAsia="en-US"/>
        </w:rPr>
        <w:tab/>
      </w:r>
      <w:r w:rsidRPr="00673FD3">
        <w:rPr>
          <w:rFonts w:ascii="Arial" w:hAnsi="Arial" w:cs="Arial"/>
          <w:i/>
          <w:iCs/>
          <w:color w:val="FF0000"/>
          <w:spacing w:val="-3"/>
          <w:sz w:val="22"/>
          <w:szCs w:val="22"/>
          <w:lang w:val="es-ES" w:eastAsia="en-US"/>
        </w:rPr>
        <w:t>(indique el nombre y la firma del testigo)</w:t>
      </w:r>
    </w:p>
    <w:p w14:paraId="75655D83"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Fecha </w:t>
      </w:r>
      <w:r>
        <w:rPr>
          <w:rFonts w:ascii="Arial" w:hAnsi="Arial" w:cs="Arial"/>
          <w:spacing w:val="-3"/>
          <w:sz w:val="22"/>
          <w:szCs w:val="22"/>
          <w:lang w:val="es-ES" w:eastAsia="en-US"/>
        </w:rPr>
        <w:tab/>
      </w:r>
      <w:r>
        <w:rPr>
          <w:rFonts w:ascii="Arial" w:hAnsi="Arial" w:cs="Arial"/>
          <w:spacing w:val="-3"/>
          <w:sz w:val="22"/>
          <w:szCs w:val="22"/>
          <w:lang w:val="es-ES" w:eastAsia="en-US"/>
        </w:rPr>
        <w:tab/>
      </w:r>
      <w:r>
        <w:rPr>
          <w:rFonts w:ascii="Arial" w:hAnsi="Arial" w:cs="Arial"/>
          <w:spacing w:val="-3"/>
          <w:sz w:val="22"/>
          <w:szCs w:val="22"/>
          <w:lang w:val="es-ES" w:eastAsia="en-US"/>
        </w:rPr>
        <w:tab/>
      </w:r>
      <w:r w:rsidRPr="00673FD3">
        <w:rPr>
          <w:rFonts w:ascii="Arial" w:hAnsi="Arial" w:cs="Arial"/>
          <w:i/>
          <w:iCs/>
          <w:color w:val="FF0000"/>
          <w:spacing w:val="-3"/>
          <w:sz w:val="22"/>
          <w:szCs w:val="22"/>
          <w:lang w:val="es-ES" w:eastAsia="en-US"/>
        </w:rPr>
        <w:t>(indique la fecha)</w:t>
      </w:r>
    </w:p>
    <w:p w14:paraId="4CC15AD5"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p>
    <w:p w14:paraId="30C67B1E" w14:textId="77777777" w:rsidR="004307E6" w:rsidRPr="00673FD3" w:rsidRDefault="004307E6" w:rsidP="004307E6">
      <w:pPr>
        <w:suppressAutoHyphens/>
        <w:rPr>
          <w:rFonts w:ascii="Arial" w:hAnsi="Arial" w:cs="Arial"/>
          <w:i/>
          <w:iCs/>
          <w:color w:val="FF0000"/>
          <w:spacing w:val="-3"/>
          <w:sz w:val="22"/>
          <w:szCs w:val="22"/>
          <w:lang w:val="es-ES"/>
        </w:rPr>
      </w:pPr>
      <w:r w:rsidRPr="00673FD3">
        <w:rPr>
          <w:rFonts w:ascii="Arial" w:hAnsi="Arial" w:cs="Arial"/>
          <w:spacing w:val="-3"/>
          <w:sz w:val="22"/>
          <w:szCs w:val="22"/>
          <w:lang w:val="es-ES"/>
        </w:rPr>
        <w:t xml:space="preserve">Firmado por </w:t>
      </w:r>
      <w:r>
        <w:rPr>
          <w:rFonts w:ascii="Arial" w:hAnsi="Arial" w:cs="Arial"/>
          <w:spacing w:val="-3"/>
          <w:sz w:val="22"/>
          <w:szCs w:val="22"/>
          <w:lang w:val="es-ES"/>
        </w:rPr>
        <w:tab/>
      </w:r>
      <w:r>
        <w:rPr>
          <w:rFonts w:ascii="Arial" w:hAnsi="Arial" w:cs="Arial"/>
          <w:spacing w:val="-3"/>
          <w:sz w:val="22"/>
          <w:szCs w:val="22"/>
          <w:lang w:val="es-ES"/>
        </w:rPr>
        <w:tab/>
      </w:r>
      <w:r w:rsidRPr="00673FD3">
        <w:rPr>
          <w:rFonts w:ascii="Arial" w:hAnsi="Arial" w:cs="Arial"/>
          <w:i/>
          <w:iCs/>
          <w:color w:val="FF0000"/>
          <w:spacing w:val="-3"/>
          <w:sz w:val="22"/>
          <w:szCs w:val="22"/>
          <w:lang w:val="es-ES"/>
        </w:rPr>
        <w:t>(indique la(s) firma(s) del (de los) representante(s) autorizado(s) del Fiador)</w:t>
      </w:r>
    </w:p>
    <w:p w14:paraId="496DEA4A"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En nombre de</w:t>
      </w:r>
      <w:r>
        <w:rPr>
          <w:rFonts w:ascii="Arial" w:hAnsi="Arial" w:cs="Arial"/>
          <w:spacing w:val="-3"/>
          <w:sz w:val="22"/>
          <w:szCs w:val="22"/>
          <w:lang w:val="es-ES" w:eastAsia="en-US"/>
        </w:rPr>
        <w:tab/>
      </w:r>
      <w:r>
        <w:rPr>
          <w:rFonts w:ascii="Arial" w:hAnsi="Arial" w:cs="Arial"/>
          <w:spacing w:val="-3"/>
          <w:sz w:val="22"/>
          <w:szCs w:val="22"/>
          <w:lang w:val="es-ES" w:eastAsia="en-US"/>
        </w:rPr>
        <w:tab/>
      </w:r>
      <w:r w:rsidRPr="00673FD3">
        <w:rPr>
          <w:rFonts w:ascii="Arial" w:hAnsi="Arial" w:cs="Arial"/>
          <w:spacing w:val="-3"/>
          <w:sz w:val="22"/>
          <w:szCs w:val="22"/>
          <w:lang w:val="es-ES" w:eastAsia="en-US"/>
        </w:rPr>
        <w:t xml:space="preserve"> </w:t>
      </w:r>
      <w:r w:rsidRPr="00673FD3">
        <w:rPr>
          <w:rFonts w:ascii="Arial" w:hAnsi="Arial" w:cs="Arial"/>
          <w:i/>
          <w:iCs/>
          <w:color w:val="FF0000"/>
          <w:spacing w:val="-3"/>
          <w:sz w:val="22"/>
          <w:szCs w:val="22"/>
          <w:lang w:val="es-ES" w:eastAsia="en-US"/>
        </w:rPr>
        <w:t xml:space="preserve">(nombre del Fiador) </w:t>
      </w:r>
      <w:r w:rsidRPr="00673FD3">
        <w:rPr>
          <w:rFonts w:ascii="Arial" w:hAnsi="Arial" w:cs="Arial"/>
          <w:spacing w:val="-3"/>
          <w:sz w:val="22"/>
          <w:szCs w:val="22"/>
          <w:lang w:val="es-ES" w:eastAsia="en-US"/>
        </w:rPr>
        <w:t xml:space="preserve">en calidad de </w:t>
      </w:r>
      <w:r w:rsidRPr="00673FD3">
        <w:rPr>
          <w:rFonts w:ascii="Arial" w:hAnsi="Arial" w:cs="Arial"/>
          <w:i/>
          <w:iCs/>
          <w:color w:val="FF0000"/>
          <w:spacing w:val="-3"/>
          <w:sz w:val="22"/>
          <w:szCs w:val="22"/>
          <w:lang w:val="es-ES" w:eastAsia="en-US"/>
        </w:rPr>
        <w:t>(indicar el cargo)</w:t>
      </w:r>
    </w:p>
    <w:p w14:paraId="18C20229"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p>
    <w:p w14:paraId="65D99A3C"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En presencia de</w:t>
      </w:r>
      <w:r>
        <w:rPr>
          <w:rFonts w:ascii="Arial" w:hAnsi="Arial" w:cs="Arial"/>
          <w:spacing w:val="-3"/>
          <w:sz w:val="22"/>
          <w:szCs w:val="22"/>
          <w:lang w:val="es-ES" w:eastAsia="en-US"/>
        </w:rPr>
        <w:tab/>
      </w:r>
      <w:r w:rsidRPr="00673FD3">
        <w:rPr>
          <w:rFonts w:ascii="Arial" w:hAnsi="Arial" w:cs="Arial"/>
          <w:spacing w:val="-3"/>
          <w:sz w:val="22"/>
          <w:szCs w:val="22"/>
          <w:lang w:val="es-ES" w:eastAsia="en-US"/>
        </w:rPr>
        <w:t xml:space="preserve"> </w:t>
      </w:r>
      <w:r w:rsidRPr="00673FD3">
        <w:rPr>
          <w:rFonts w:ascii="Arial" w:hAnsi="Arial" w:cs="Arial"/>
          <w:i/>
          <w:iCs/>
          <w:color w:val="FF0000"/>
          <w:spacing w:val="-3"/>
          <w:sz w:val="22"/>
          <w:szCs w:val="22"/>
          <w:lang w:val="es-ES" w:eastAsia="en-US"/>
        </w:rPr>
        <w:t>(indique el nombre y la firma del testigo)</w:t>
      </w:r>
    </w:p>
    <w:p w14:paraId="67FEEA9A" w14:textId="77777777" w:rsidR="004307E6" w:rsidRPr="00673FD3" w:rsidRDefault="004307E6" w:rsidP="004307E6">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Fecha </w:t>
      </w:r>
      <w:r>
        <w:rPr>
          <w:rFonts w:ascii="Arial" w:hAnsi="Arial" w:cs="Arial"/>
          <w:spacing w:val="-3"/>
          <w:sz w:val="22"/>
          <w:szCs w:val="22"/>
          <w:lang w:val="es-ES" w:eastAsia="en-US"/>
        </w:rPr>
        <w:tab/>
      </w:r>
      <w:r>
        <w:rPr>
          <w:rFonts w:ascii="Arial" w:hAnsi="Arial" w:cs="Arial"/>
          <w:spacing w:val="-3"/>
          <w:sz w:val="22"/>
          <w:szCs w:val="22"/>
          <w:lang w:val="es-ES" w:eastAsia="en-US"/>
        </w:rPr>
        <w:tab/>
      </w:r>
      <w:r>
        <w:rPr>
          <w:rFonts w:ascii="Arial" w:hAnsi="Arial" w:cs="Arial"/>
          <w:spacing w:val="-3"/>
          <w:sz w:val="22"/>
          <w:szCs w:val="22"/>
          <w:lang w:val="es-ES" w:eastAsia="en-US"/>
        </w:rPr>
        <w:tab/>
      </w:r>
      <w:r>
        <w:rPr>
          <w:rFonts w:ascii="Arial" w:hAnsi="Arial" w:cs="Arial"/>
          <w:spacing w:val="-3"/>
          <w:sz w:val="22"/>
          <w:szCs w:val="22"/>
          <w:lang w:val="es-ES" w:eastAsia="en-US"/>
        </w:rPr>
        <w:tab/>
      </w:r>
      <w:r w:rsidRPr="00673FD3">
        <w:rPr>
          <w:rFonts w:ascii="Arial" w:hAnsi="Arial" w:cs="Arial"/>
          <w:i/>
          <w:iCs/>
          <w:color w:val="FF0000"/>
          <w:spacing w:val="-3"/>
          <w:sz w:val="22"/>
          <w:szCs w:val="22"/>
          <w:lang w:val="es-ES" w:eastAsia="en-US"/>
        </w:rPr>
        <w:t>(indique la fecha)</w:t>
      </w:r>
    </w:p>
    <w:p w14:paraId="397B0AFC" w14:textId="77777777" w:rsidR="004307E6" w:rsidRPr="00673FD3" w:rsidRDefault="004307E6" w:rsidP="004307E6">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Arial" w:hAnsi="Arial" w:cs="Arial"/>
          <w:i/>
          <w:iCs/>
          <w:spacing w:val="-3"/>
          <w:sz w:val="22"/>
          <w:szCs w:val="22"/>
          <w:lang w:val="es-ES" w:eastAsia="en-US"/>
        </w:rPr>
      </w:pPr>
    </w:p>
    <w:p w14:paraId="406134BF" w14:textId="77777777" w:rsidR="004307E6" w:rsidRPr="00673FD3" w:rsidRDefault="004307E6" w:rsidP="004307E6">
      <w:pPr>
        <w:spacing w:after="160" w:line="259" w:lineRule="auto"/>
        <w:jc w:val="left"/>
        <w:rPr>
          <w:rFonts w:ascii="Arial" w:hAnsi="Arial" w:cs="Arial"/>
          <w:b/>
          <w:bCs/>
          <w:sz w:val="22"/>
          <w:szCs w:val="22"/>
          <w:lang w:val="es-ES"/>
        </w:rPr>
      </w:pPr>
      <w:r w:rsidRPr="00673FD3">
        <w:rPr>
          <w:rFonts w:ascii="Arial" w:hAnsi="Arial" w:cs="Arial"/>
          <w:b/>
          <w:bCs/>
          <w:sz w:val="22"/>
          <w:szCs w:val="22"/>
          <w:lang w:val="es-ES"/>
        </w:rPr>
        <w:br w:type="page"/>
      </w:r>
    </w:p>
    <w:p w14:paraId="6C315D00" w14:textId="77777777" w:rsidR="004307E6" w:rsidRPr="00673FD3" w:rsidRDefault="004307E6" w:rsidP="004307E6">
      <w:pPr>
        <w:jc w:val="center"/>
        <w:rPr>
          <w:rFonts w:ascii="Arial" w:hAnsi="Arial" w:cs="Arial"/>
          <w:b/>
          <w:bCs/>
          <w:sz w:val="22"/>
          <w:szCs w:val="22"/>
          <w:lang w:val="es-ES"/>
        </w:rPr>
      </w:pPr>
      <w:r w:rsidRPr="00673FD3">
        <w:rPr>
          <w:rFonts w:ascii="Arial" w:hAnsi="Arial" w:cs="Arial"/>
          <w:b/>
          <w:bCs/>
          <w:sz w:val="22"/>
          <w:szCs w:val="22"/>
          <w:lang w:val="es-ES"/>
        </w:rPr>
        <w:lastRenderedPageBreak/>
        <w:t xml:space="preserve">Formulario de Garantía de Cumplimiento </w:t>
      </w:r>
    </w:p>
    <w:p w14:paraId="3CC9AC21" w14:textId="77777777" w:rsidR="004307E6" w:rsidRPr="00673FD3" w:rsidRDefault="004307E6" w:rsidP="004307E6">
      <w:pPr>
        <w:jc w:val="center"/>
        <w:rPr>
          <w:rFonts w:ascii="Arial" w:hAnsi="Arial" w:cs="Arial"/>
          <w:b/>
          <w:bCs/>
          <w:sz w:val="22"/>
          <w:szCs w:val="22"/>
          <w:lang w:val="es-ES"/>
        </w:rPr>
      </w:pPr>
      <w:r w:rsidRPr="00673FD3">
        <w:rPr>
          <w:rFonts w:ascii="Arial" w:hAnsi="Arial" w:cs="Arial"/>
          <w:b/>
          <w:bCs/>
          <w:sz w:val="22"/>
          <w:szCs w:val="22"/>
          <w:lang w:val="es-ES"/>
        </w:rPr>
        <w:t>(Garantía Bancaria - A primer Requerimiento)</w:t>
      </w:r>
      <w:bookmarkEnd w:id="2454"/>
    </w:p>
    <w:p w14:paraId="1FDD53D1" w14:textId="77777777" w:rsidR="004307E6" w:rsidRPr="00673FD3" w:rsidRDefault="004307E6" w:rsidP="004307E6">
      <w:pPr>
        <w:numPr>
          <w:ilvl w:val="12"/>
          <w:numId w:val="0"/>
        </w:numPr>
        <w:suppressAutoHyphens/>
        <w:jc w:val="center"/>
        <w:rPr>
          <w:rFonts w:ascii="Arial" w:hAnsi="Arial" w:cs="Arial"/>
          <w:sz w:val="22"/>
          <w:szCs w:val="22"/>
          <w:lang w:val="es-ES"/>
        </w:rPr>
      </w:pPr>
    </w:p>
    <w:p w14:paraId="08E54D00" w14:textId="77777777" w:rsidR="004307E6" w:rsidRPr="00673FD3" w:rsidRDefault="004307E6" w:rsidP="004307E6">
      <w:pPr>
        <w:spacing w:before="120" w:after="120"/>
        <w:rPr>
          <w:rFonts w:ascii="Arial" w:hAnsi="Arial" w:cs="Arial"/>
          <w:i/>
          <w:iCs/>
          <w:color w:val="FF0000"/>
          <w:sz w:val="22"/>
          <w:szCs w:val="22"/>
          <w:lang w:val="es-ES"/>
        </w:rPr>
      </w:pPr>
      <w:r w:rsidRPr="00673FD3">
        <w:rPr>
          <w:rFonts w:ascii="Arial" w:hAnsi="Arial" w:cs="Arial"/>
          <w:i/>
          <w:iCs/>
          <w:color w:val="FF0000"/>
          <w:sz w:val="22"/>
          <w:szCs w:val="22"/>
          <w:lang w:val="es-ES"/>
        </w:rPr>
        <w:t>(</w:t>
      </w:r>
      <w:r w:rsidRPr="00673FD3">
        <w:rPr>
          <w:rFonts w:ascii="Arial" w:hAnsi="Arial" w:cs="Arial"/>
          <w:b/>
          <w:i/>
          <w:iCs/>
          <w:color w:val="FF0000"/>
          <w:sz w:val="22"/>
          <w:szCs w:val="22"/>
          <w:lang w:val="es-ES"/>
        </w:rPr>
        <w:t>El</w:t>
      </w:r>
      <w:r w:rsidRPr="00673FD3">
        <w:rPr>
          <w:rFonts w:ascii="Arial" w:hAnsi="Arial" w:cs="Arial"/>
          <w:b/>
          <w:bCs/>
          <w:i/>
          <w:iCs/>
          <w:color w:val="FF0000"/>
          <w:sz w:val="22"/>
          <w:szCs w:val="22"/>
          <w:lang w:val="es-ES"/>
        </w:rPr>
        <w:t xml:space="preserve"> Oferente seleccionado</w:t>
      </w:r>
      <w:r w:rsidRPr="00673FD3">
        <w:rPr>
          <w:rFonts w:ascii="Arial" w:hAnsi="Arial" w:cs="Arial"/>
          <w:i/>
          <w:iCs/>
          <w:color w:val="FF0000"/>
          <w:sz w:val="22"/>
          <w:szCs w:val="22"/>
          <w:lang w:val="es-ES"/>
        </w:rPr>
        <w:t xml:space="preserve"> deberá presentar está garantía de acuerdo con las instrucciones indicadas entre corchetes, si el Contratante solicita este tipo de garantía)</w:t>
      </w:r>
    </w:p>
    <w:p w14:paraId="5FC7A4D5" w14:textId="77777777" w:rsidR="004307E6" w:rsidRPr="00673FD3" w:rsidRDefault="004307E6" w:rsidP="004307E6">
      <w:pPr>
        <w:numPr>
          <w:ilvl w:val="12"/>
          <w:numId w:val="0"/>
        </w:numPr>
        <w:suppressAutoHyphens/>
        <w:rPr>
          <w:rFonts w:ascii="Arial" w:hAnsi="Arial" w:cs="Arial"/>
          <w:i/>
          <w:iCs/>
          <w:sz w:val="22"/>
          <w:szCs w:val="22"/>
          <w:lang w:val="es-ES"/>
        </w:rPr>
      </w:pPr>
    </w:p>
    <w:p w14:paraId="090B6330" w14:textId="77777777" w:rsidR="004307E6" w:rsidRPr="00673FD3" w:rsidRDefault="004307E6" w:rsidP="004307E6">
      <w:pPr>
        <w:numPr>
          <w:ilvl w:val="12"/>
          <w:numId w:val="0"/>
        </w:numPr>
        <w:suppressAutoHyphens/>
        <w:rPr>
          <w:rFonts w:ascii="Arial" w:hAnsi="Arial" w:cs="Arial"/>
          <w:i/>
          <w:iCs/>
          <w:color w:val="FF0000"/>
          <w:sz w:val="22"/>
          <w:szCs w:val="22"/>
          <w:lang w:val="es-ES"/>
        </w:rPr>
      </w:pPr>
      <w:r w:rsidRPr="00673FD3">
        <w:rPr>
          <w:rFonts w:ascii="Arial" w:hAnsi="Arial" w:cs="Arial"/>
          <w:i/>
          <w:iCs/>
          <w:color w:val="FF0000"/>
          <w:sz w:val="22"/>
          <w:szCs w:val="22"/>
          <w:lang w:val="es-ES"/>
        </w:rPr>
        <w:t>(Membrete o Código de identificación SWIFT del Garante)</w:t>
      </w:r>
    </w:p>
    <w:p w14:paraId="14E8D9D1" w14:textId="77777777" w:rsidR="004307E6" w:rsidRPr="00673FD3" w:rsidRDefault="004307E6" w:rsidP="004307E6">
      <w:pPr>
        <w:numPr>
          <w:ilvl w:val="12"/>
          <w:numId w:val="0"/>
        </w:numPr>
        <w:suppressAutoHyphens/>
        <w:rPr>
          <w:rFonts w:ascii="Arial" w:hAnsi="Arial" w:cs="Arial"/>
          <w:i/>
          <w:iCs/>
          <w:sz w:val="22"/>
          <w:szCs w:val="22"/>
          <w:lang w:val="es-ES"/>
        </w:rPr>
      </w:pPr>
    </w:p>
    <w:p w14:paraId="43F8F54D" w14:textId="77777777" w:rsidR="004307E6" w:rsidRPr="00673FD3" w:rsidRDefault="004307E6" w:rsidP="004307E6">
      <w:pPr>
        <w:numPr>
          <w:ilvl w:val="12"/>
          <w:numId w:val="0"/>
        </w:numPr>
        <w:suppressAutoHyphens/>
        <w:rPr>
          <w:rFonts w:ascii="Arial" w:hAnsi="Arial" w:cs="Arial"/>
          <w:i/>
          <w:iCs/>
          <w:sz w:val="22"/>
          <w:szCs w:val="22"/>
          <w:lang w:val="es-ES"/>
        </w:rPr>
      </w:pPr>
      <w:r w:rsidRPr="00673FD3">
        <w:rPr>
          <w:rFonts w:ascii="Arial" w:hAnsi="Arial" w:cs="Arial"/>
          <w:i/>
          <w:iCs/>
          <w:color w:val="FF0000"/>
          <w:sz w:val="22"/>
          <w:szCs w:val="22"/>
          <w:lang w:val="es-ES"/>
        </w:rPr>
        <w:t>(Indique el Nombre del Banco, y la dirección de la sucursal u oficina que emite la garantía)</w:t>
      </w:r>
    </w:p>
    <w:p w14:paraId="40E764A9" w14:textId="77777777" w:rsidR="004307E6" w:rsidRPr="00673FD3" w:rsidRDefault="004307E6" w:rsidP="004307E6">
      <w:pPr>
        <w:numPr>
          <w:ilvl w:val="12"/>
          <w:numId w:val="0"/>
        </w:numPr>
        <w:suppressAutoHyphens/>
        <w:rPr>
          <w:rFonts w:ascii="Arial" w:hAnsi="Arial" w:cs="Arial"/>
          <w:i/>
          <w:iCs/>
          <w:color w:val="FF0000"/>
          <w:sz w:val="22"/>
          <w:szCs w:val="22"/>
          <w:lang w:val="es-ES"/>
        </w:rPr>
      </w:pPr>
      <w:r w:rsidRPr="00673FD3">
        <w:rPr>
          <w:rFonts w:ascii="Arial" w:hAnsi="Arial" w:cs="Arial"/>
          <w:b/>
          <w:bCs/>
          <w:sz w:val="22"/>
          <w:szCs w:val="22"/>
          <w:lang w:val="es-ES"/>
        </w:rPr>
        <w:t xml:space="preserve">Beneficiario: </w:t>
      </w:r>
      <w:r w:rsidRPr="00673FD3">
        <w:rPr>
          <w:rFonts w:ascii="Arial" w:hAnsi="Arial" w:cs="Arial"/>
          <w:i/>
          <w:iCs/>
          <w:color w:val="FF0000"/>
          <w:sz w:val="22"/>
          <w:szCs w:val="22"/>
          <w:lang w:val="es-ES"/>
        </w:rPr>
        <w:t>(indique el nombre y la dirección del Contratante)</w:t>
      </w:r>
    </w:p>
    <w:p w14:paraId="080D917F" w14:textId="77777777" w:rsidR="004307E6" w:rsidRPr="00673FD3" w:rsidRDefault="004307E6" w:rsidP="004307E6">
      <w:pPr>
        <w:numPr>
          <w:ilvl w:val="12"/>
          <w:numId w:val="0"/>
        </w:numPr>
        <w:suppressAutoHyphens/>
        <w:rPr>
          <w:rFonts w:ascii="Arial" w:hAnsi="Arial" w:cs="Arial"/>
          <w:i/>
          <w:iCs/>
          <w:sz w:val="22"/>
          <w:szCs w:val="22"/>
          <w:lang w:val="es-ES"/>
        </w:rPr>
      </w:pPr>
      <w:r w:rsidRPr="00673FD3">
        <w:rPr>
          <w:rFonts w:ascii="Arial" w:hAnsi="Arial" w:cs="Arial"/>
          <w:b/>
          <w:i/>
          <w:iCs/>
          <w:sz w:val="22"/>
          <w:szCs w:val="22"/>
          <w:lang w:val="es-ES"/>
        </w:rPr>
        <w:t xml:space="preserve">Llamado a Licitación No.: </w:t>
      </w:r>
      <w:r w:rsidRPr="00673FD3">
        <w:rPr>
          <w:rFonts w:ascii="Arial" w:hAnsi="Arial" w:cs="Arial"/>
          <w:i/>
          <w:iCs/>
          <w:sz w:val="22"/>
          <w:szCs w:val="22"/>
          <w:lang w:val="es-ES"/>
        </w:rPr>
        <w:t>(Indique número de referencia del Llamado a Licitación)</w:t>
      </w:r>
    </w:p>
    <w:p w14:paraId="0B937069" w14:textId="77777777" w:rsidR="004307E6" w:rsidRPr="00673FD3" w:rsidRDefault="004307E6" w:rsidP="004307E6">
      <w:pPr>
        <w:numPr>
          <w:ilvl w:val="12"/>
          <w:numId w:val="0"/>
        </w:numPr>
        <w:suppressAutoHyphens/>
        <w:rPr>
          <w:rFonts w:ascii="Arial" w:hAnsi="Arial" w:cs="Arial"/>
          <w:i/>
          <w:iCs/>
          <w:sz w:val="22"/>
          <w:szCs w:val="22"/>
          <w:lang w:val="es-ES"/>
        </w:rPr>
      </w:pPr>
      <w:r w:rsidRPr="00673FD3">
        <w:rPr>
          <w:rFonts w:ascii="Arial" w:hAnsi="Arial" w:cs="Arial"/>
          <w:b/>
          <w:bCs/>
          <w:sz w:val="22"/>
          <w:szCs w:val="22"/>
          <w:lang w:val="es-ES"/>
        </w:rPr>
        <w:t>Fecha:</w:t>
      </w:r>
      <w:r w:rsidRPr="00673FD3">
        <w:rPr>
          <w:rFonts w:ascii="Arial" w:hAnsi="Arial" w:cs="Arial"/>
          <w:i/>
          <w:iCs/>
          <w:sz w:val="22"/>
          <w:szCs w:val="22"/>
          <w:lang w:val="es-ES"/>
        </w:rPr>
        <w:t xml:space="preserve"> </w:t>
      </w:r>
      <w:r w:rsidRPr="00673FD3">
        <w:rPr>
          <w:rFonts w:ascii="Arial" w:hAnsi="Arial" w:cs="Arial"/>
          <w:i/>
          <w:iCs/>
          <w:color w:val="FF0000"/>
          <w:sz w:val="22"/>
          <w:szCs w:val="22"/>
          <w:lang w:val="es-ES"/>
        </w:rPr>
        <w:t>(indique la fecha de emisión)</w:t>
      </w:r>
    </w:p>
    <w:p w14:paraId="324C1342" w14:textId="77777777" w:rsidR="004307E6" w:rsidRPr="00673FD3" w:rsidRDefault="004307E6" w:rsidP="004307E6">
      <w:pPr>
        <w:numPr>
          <w:ilvl w:val="12"/>
          <w:numId w:val="0"/>
        </w:numPr>
        <w:suppressAutoHyphens/>
        <w:rPr>
          <w:rFonts w:ascii="Arial" w:hAnsi="Arial" w:cs="Arial"/>
          <w:i/>
          <w:iCs/>
          <w:sz w:val="22"/>
          <w:szCs w:val="22"/>
          <w:lang w:val="es-ES"/>
        </w:rPr>
      </w:pPr>
    </w:p>
    <w:p w14:paraId="2B8B9DC6" w14:textId="77777777" w:rsidR="004307E6" w:rsidRPr="00673FD3" w:rsidRDefault="004307E6" w:rsidP="004307E6">
      <w:pPr>
        <w:numPr>
          <w:ilvl w:val="12"/>
          <w:numId w:val="0"/>
        </w:numPr>
        <w:suppressAutoHyphens/>
        <w:rPr>
          <w:rFonts w:ascii="Arial" w:hAnsi="Arial" w:cs="Arial"/>
          <w:i/>
          <w:iCs/>
          <w:sz w:val="22"/>
          <w:szCs w:val="22"/>
          <w:lang w:val="es-ES"/>
        </w:rPr>
      </w:pPr>
      <w:r w:rsidRPr="00673FD3">
        <w:rPr>
          <w:rFonts w:ascii="Arial" w:hAnsi="Arial" w:cs="Arial"/>
          <w:b/>
          <w:bCs/>
          <w:sz w:val="22"/>
          <w:szCs w:val="22"/>
          <w:lang w:val="es-ES"/>
        </w:rPr>
        <w:t>GARANTÍA DE CUMPLIMIENTO No.</w:t>
      </w:r>
      <w:r w:rsidRPr="00673FD3">
        <w:rPr>
          <w:rFonts w:ascii="Arial" w:hAnsi="Arial" w:cs="Arial"/>
          <w:i/>
          <w:iCs/>
          <w:sz w:val="22"/>
          <w:szCs w:val="22"/>
          <w:lang w:val="es-ES"/>
        </w:rPr>
        <w:t xml:space="preserve">  </w:t>
      </w:r>
      <w:r w:rsidRPr="00673FD3">
        <w:rPr>
          <w:rFonts w:ascii="Arial" w:hAnsi="Arial" w:cs="Arial"/>
          <w:i/>
          <w:iCs/>
          <w:color w:val="FF0000"/>
          <w:sz w:val="22"/>
          <w:szCs w:val="22"/>
          <w:lang w:val="es-ES"/>
        </w:rPr>
        <w:t>(indique el número de referencia de la Garantía de Cumplimiento)</w:t>
      </w:r>
    </w:p>
    <w:p w14:paraId="263083C2" w14:textId="77777777" w:rsidR="004307E6" w:rsidRPr="00673FD3" w:rsidRDefault="004307E6" w:rsidP="004307E6">
      <w:pPr>
        <w:numPr>
          <w:ilvl w:val="12"/>
          <w:numId w:val="0"/>
        </w:numPr>
        <w:rPr>
          <w:rFonts w:ascii="Arial" w:hAnsi="Arial" w:cs="Arial"/>
          <w:sz w:val="22"/>
          <w:szCs w:val="22"/>
          <w:lang w:val="es-ES"/>
        </w:rPr>
      </w:pPr>
      <w:r w:rsidRPr="00673FD3">
        <w:rPr>
          <w:rFonts w:ascii="Arial" w:hAnsi="Arial" w:cs="Arial"/>
          <w:sz w:val="22"/>
          <w:szCs w:val="22"/>
          <w:lang w:val="es-ES"/>
        </w:rPr>
        <w:t xml:space="preserve">Se nos ha informado que </w:t>
      </w:r>
      <w:r w:rsidRPr="00673FD3">
        <w:rPr>
          <w:rFonts w:ascii="Arial" w:hAnsi="Arial" w:cs="Arial"/>
          <w:i/>
          <w:iCs/>
          <w:color w:val="FF0000"/>
          <w:sz w:val="22"/>
          <w:szCs w:val="22"/>
          <w:lang w:val="es-ES"/>
        </w:rPr>
        <w:t xml:space="preserve">(indique el nombre del Contratista, el cual en caso de APCA será el nombre de esta asociación (legalmente constituida o por constituir) o los nombres de sus miembros)) </w:t>
      </w:r>
      <w:r w:rsidRPr="00673FD3">
        <w:rPr>
          <w:rFonts w:ascii="Arial" w:hAnsi="Arial" w:cs="Arial"/>
          <w:sz w:val="22"/>
          <w:szCs w:val="22"/>
          <w:lang w:val="es-ES"/>
        </w:rPr>
        <w:t xml:space="preserve">(en adelante denominado “el Contratista”) ha recibido la Carta de Aceptación de fecha </w:t>
      </w:r>
      <w:r w:rsidRPr="00673FD3">
        <w:rPr>
          <w:rFonts w:ascii="Arial" w:hAnsi="Arial" w:cs="Arial"/>
          <w:i/>
          <w:iCs/>
          <w:color w:val="FF0000"/>
          <w:sz w:val="22"/>
          <w:szCs w:val="22"/>
          <w:lang w:val="es-ES"/>
        </w:rPr>
        <w:t xml:space="preserve">(indique la fecha) </w:t>
      </w:r>
      <w:r w:rsidRPr="00673FD3">
        <w:rPr>
          <w:rFonts w:ascii="Arial" w:hAnsi="Arial" w:cs="Arial"/>
          <w:sz w:val="22"/>
          <w:szCs w:val="22"/>
          <w:lang w:val="es-ES"/>
        </w:rPr>
        <w:t xml:space="preserve">con su entidad para la ejecución de </w:t>
      </w:r>
      <w:r w:rsidRPr="00673FD3">
        <w:rPr>
          <w:rFonts w:ascii="Arial" w:hAnsi="Arial" w:cs="Arial"/>
          <w:i/>
          <w:color w:val="FF0000"/>
          <w:sz w:val="22"/>
          <w:szCs w:val="22"/>
          <w:lang w:val="es-ES"/>
        </w:rPr>
        <w:t xml:space="preserve">(indique el nombre del Contrato y una breve descripción de las Obras) </w:t>
      </w:r>
      <w:r w:rsidRPr="00673FD3">
        <w:rPr>
          <w:rFonts w:ascii="Arial" w:hAnsi="Arial" w:cs="Arial"/>
          <w:iCs/>
          <w:sz w:val="22"/>
          <w:szCs w:val="22"/>
          <w:lang w:val="es-ES"/>
        </w:rPr>
        <w:t>en adelante “el Contrato”)</w:t>
      </w:r>
      <w:r w:rsidRPr="00673FD3">
        <w:rPr>
          <w:rFonts w:ascii="Arial" w:hAnsi="Arial" w:cs="Arial"/>
          <w:sz w:val="22"/>
          <w:szCs w:val="22"/>
          <w:lang w:val="es-ES"/>
        </w:rPr>
        <w:t>.</w:t>
      </w:r>
    </w:p>
    <w:p w14:paraId="2E3B6040" w14:textId="77777777" w:rsidR="004307E6" w:rsidRPr="00673FD3" w:rsidRDefault="004307E6" w:rsidP="004307E6">
      <w:pPr>
        <w:numPr>
          <w:ilvl w:val="12"/>
          <w:numId w:val="0"/>
        </w:numPr>
        <w:rPr>
          <w:rFonts w:ascii="Arial" w:hAnsi="Arial" w:cs="Arial"/>
          <w:sz w:val="22"/>
          <w:szCs w:val="22"/>
          <w:lang w:val="es-ES"/>
        </w:rPr>
      </w:pPr>
      <w:r w:rsidRPr="00673FD3">
        <w:rPr>
          <w:rFonts w:ascii="Arial" w:hAnsi="Arial" w:cs="Arial"/>
          <w:sz w:val="22"/>
          <w:szCs w:val="22"/>
          <w:lang w:val="es-ES"/>
        </w:rPr>
        <w:t xml:space="preserve">Así mismo, entendemos que, de acuerdo con las condiciones del Contrato, se requiere una Garantía de Cumplimiento. </w:t>
      </w:r>
    </w:p>
    <w:p w14:paraId="36E8489F" w14:textId="77777777" w:rsidR="004307E6" w:rsidRPr="00673FD3" w:rsidRDefault="004307E6" w:rsidP="004307E6">
      <w:pPr>
        <w:numPr>
          <w:ilvl w:val="12"/>
          <w:numId w:val="0"/>
        </w:numPr>
        <w:rPr>
          <w:rFonts w:ascii="Arial" w:hAnsi="Arial" w:cs="Arial"/>
          <w:sz w:val="22"/>
          <w:szCs w:val="22"/>
          <w:lang w:val="es-ES"/>
        </w:rPr>
      </w:pPr>
      <w:r w:rsidRPr="00673FD3">
        <w:rPr>
          <w:rFonts w:ascii="Arial" w:hAnsi="Arial" w:cs="Arial"/>
          <w:sz w:val="22"/>
          <w:szCs w:val="22"/>
          <w:lang w:val="es-ES"/>
        </w:rPr>
        <w:t xml:space="preserve">A solicitud del Contratista, nosotros </w:t>
      </w:r>
      <w:r w:rsidRPr="00673FD3">
        <w:rPr>
          <w:rFonts w:ascii="Arial" w:hAnsi="Arial" w:cs="Arial"/>
          <w:i/>
          <w:iCs/>
          <w:color w:val="FF0000"/>
          <w:sz w:val="22"/>
          <w:szCs w:val="22"/>
          <w:lang w:val="es-ES"/>
        </w:rPr>
        <w:t xml:space="preserve">(indique el nombre del Banco), en calidad de Garante, </w:t>
      </w:r>
      <w:r w:rsidRPr="00673FD3">
        <w:rPr>
          <w:rFonts w:ascii="Arial" w:hAnsi="Arial" w:cs="Arial"/>
          <w:sz w:val="22"/>
          <w:szCs w:val="22"/>
          <w:lang w:val="es-ES"/>
        </w:rPr>
        <w:t xml:space="preserve">por este medio nos obligamos irrevocablemente a pagar a su entidad una suma o sumas, que no exceda(n) un monto total de </w:t>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i/>
          <w:iCs/>
          <w:color w:val="FF0000"/>
          <w:sz w:val="22"/>
          <w:szCs w:val="22"/>
          <w:lang w:val="es-ES"/>
        </w:rPr>
        <w:t>(indique la cifra en números) (indique la cifra en palabras)</w:t>
      </w:r>
      <w:r w:rsidRPr="00673FD3">
        <w:rPr>
          <w:rFonts w:ascii="Arial" w:hAnsi="Arial" w:cs="Arial"/>
          <w:i/>
          <w:iCs/>
          <w:sz w:val="22"/>
          <w:szCs w:val="22"/>
          <w:lang w:val="es-ES"/>
        </w:rPr>
        <w:t>,</w:t>
      </w:r>
      <w:r w:rsidRPr="00673FD3">
        <w:rPr>
          <w:rStyle w:val="Refdenotaalpie"/>
          <w:rFonts w:ascii="Arial" w:hAnsi="Arial" w:cs="Arial"/>
          <w:i/>
          <w:iCs/>
          <w:sz w:val="22"/>
          <w:szCs w:val="22"/>
          <w:lang w:val="es-ES"/>
        </w:rPr>
        <w:footnoteReference w:id="3"/>
      </w:r>
      <w:r w:rsidRPr="00673FD3">
        <w:rPr>
          <w:rFonts w:ascii="Arial" w:hAnsi="Arial" w:cs="Arial"/>
          <w:i/>
          <w:iCs/>
          <w:sz w:val="22"/>
          <w:szCs w:val="22"/>
          <w:lang w:val="es-ES"/>
        </w:rPr>
        <w:t xml:space="preserve"> </w:t>
      </w:r>
      <w:r w:rsidRPr="00673FD3">
        <w:rPr>
          <w:rFonts w:ascii="Arial" w:hAnsi="Arial" w:cs="Arial"/>
          <w:sz w:val="22"/>
          <w:szCs w:val="22"/>
          <w:lang w:val="es-ES"/>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836DFA5" w14:textId="77777777" w:rsidR="004307E6" w:rsidRPr="00673FD3" w:rsidRDefault="004307E6" w:rsidP="004307E6">
      <w:pPr>
        <w:numPr>
          <w:ilvl w:val="12"/>
          <w:numId w:val="0"/>
        </w:numPr>
        <w:rPr>
          <w:rFonts w:ascii="Arial" w:hAnsi="Arial" w:cs="Arial"/>
          <w:sz w:val="22"/>
          <w:szCs w:val="22"/>
          <w:lang w:val="es-ES"/>
        </w:rPr>
      </w:pPr>
      <w:r w:rsidRPr="00673FD3">
        <w:rPr>
          <w:rFonts w:ascii="Arial" w:hAnsi="Arial" w:cs="Arial"/>
          <w:sz w:val="22"/>
          <w:szCs w:val="22"/>
          <w:lang w:val="es-ES"/>
        </w:rPr>
        <w:t xml:space="preserve">Esta Garantía expirará no más tarde de treinta días contados a partir de la fecha de la emisión del </w:t>
      </w:r>
      <w:r w:rsidRPr="00673FD3">
        <w:rPr>
          <w:rFonts w:ascii="Arial" w:hAnsi="Arial" w:cs="Arial"/>
          <w:spacing w:val="-3"/>
          <w:sz w:val="22"/>
          <w:szCs w:val="22"/>
          <w:lang w:val="es-ES"/>
        </w:rPr>
        <w:t>certificado de terminación de las obras</w:t>
      </w:r>
      <w:r w:rsidRPr="00673FD3">
        <w:rPr>
          <w:rFonts w:ascii="Arial" w:hAnsi="Arial" w:cs="Arial"/>
          <w:sz w:val="22"/>
          <w:szCs w:val="22"/>
          <w:lang w:val="es-ES"/>
        </w:rPr>
        <w:t xml:space="preserve">, calculados sobre la base de una copia de dicho Certificado que nos será proporcionado, o en el </w:t>
      </w:r>
      <w:r w:rsidRPr="00673FD3">
        <w:rPr>
          <w:rFonts w:ascii="Arial" w:hAnsi="Arial" w:cs="Arial"/>
          <w:i/>
          <w:iCs/>
          <w:color w:val="FF0000"/>
          <w:sz w:val="22"/>
          <w:szCs w:val="22"/>
          <w:lang w:val="es-ES"/>
        </w:rPr>
        <w:t xml:space="preserve">(indicar el día) </w:t>
      </w:r>
      <w:r w:rsidRPr="00673FD3">
        <w:rPr>
          <w:rFonts w:ascii="Arial" w:hAnsi="Arial" w:cs="Arial"/>
          <w:sz w:val="22"/>
          <w:szCs w:val="22"/>
          <w:lang w:val="es-ES"/>
        </w:rPr>
        <w:t xml:space="preserve">día del </w:t>
      </w:r>
      <w:r w:rsidRPr="00673FD3">
        <w:rPr>
          <w:rFonts w:ascii="Arial" w:hAnsi="Arial" w:cs="Arial"/>
          <w:i/>
          <w:iCs/>
          <w:color w:val="FF0000"/>
          <w:sz w:val="22"/>
          <w:szCs w:val="22"/>
          <w:lang w:val="es-ES"/>
        </w:rPr>
        <w:t xml:space="preserve">(indicar el mes) </w:t>
      </w:r>
      <w:r w:rsidRPr="00673FD3">
        <w:rPr>
          <w:rFonts w:ascii="Arial" w:hAnsi="Arial" w:cs="Arial"/>
          <w:sz w:val="22"/>
          <w:szCs w:val="22"/>
          <w:lang w:val="es-ES"/>
        </w:rPr>
        <w:t xml:space="preserve">mes del </w:t>
      </w:r>
      <w:r w:rsidRPr="00673FD3">
        <w:rPr>
          <w:rFonts w:ascii="Arial" w:hAnsi="Arial" w:cs="Arial"/>
          <w:i/>
          <w:iCs/>
          <w:color w:val="FF0000"/>
          <w:sz w:val="22"/>
          <w:szCs w:val="22"/>
          <w:lang w:val="es-ES"/>
        </w:rPr>
        <w:t>(indicar el año)</w:t>
      </w:r>
      <w:r w:rsidRPr="00673FD3">
        <w:rPr>
          <w:rFonts w:ascii="Arial" w:hAnsi="Arial" w:cs="Arial"/>
          <w:i/>
          <w:iCs/>
          <w:sz w:val="22"/>
          <w:szCs w:val="22"/>
          <w:lang w:val="es-ES"/>
        </w:rPr>
        <w:t>,</w:t>
      </w:r>
      <w:r w:rsidRPr="00673FD3">
        <w:rPr>
          <w:rStyle w:val="Refdenotaalpie"/>
          <w:rFonts w:ascii="Arial" w:hAnsi="Arial" w:cs="Arial"/>
          <w:i/>
          <w:iCs/>
          <w:sz w:val="22"/>
          <w:szCs w:val="22"/>
          <w:lang w:val="es-ES"/>
        </w:rPr>
        <w:footnoteReference w:id="4"/>
      </w:r>
      <w:r w:rsidRPr="00673FD3">
        <w:rPr>
          <w:rFonts w:ascii="Arial" w:hAnsi="Arial" w:cs="Arial"/>
          <w:sz w:val="22"/>
          <w:szCs w:val="22"/>
          <w:lang w:val="es-ES"/>
        </w:rPr>
        <w:t xml:space="preserve"> lo que ocurra primero. Consecuentemente, cualquier solicitud de pago bajo esta Garantía deberá recibirse en esta institución en o antes de esta fecha. </w:t>
      </w:r>
    </w:p>
    <w:p w14:paraId="3C2E754A" w14:textId="77777777" w:rsidR="004307E6" w:rsidRPr="00673FD3" w:rsidRDefault="004307E6" w:rsidP="004307E6">
      <w:pPr>
        <w:numPr>
          <w:ilvl w:val="12"/>
          <w:numId w:val="0"/>
        </w:numPr>
        <w:rPr>
          <w:rFonts w:ascii="Arial" w:hAnsi="Arial" w:cs="Arial"/>
          <w:sz w:val="22"/>
          <w:szCs w:val="22"/>
          <w:lang w:val="es-ES"/>
        </w:rPr>
      </w:pPr>
      <w:r w:rsidRPr="00673FD3">
        <w:rPr>
          <w:rFonts w:ascii="Arial" w:hAnsi="Arial" w:cs="Arial"/>
          <w:sz w:val="22"/>
          <w:szCs w:val="22"/>
          <w:lang w:val="es-ES"/>
        </w:rPr>
        <w:t>El Garante conviene en una sola extensión de esta Garantía por un plazo no superior a</w:t>
      </w:r>
      <w:r w:rsidRPr="00673FD3">
        <w:rPr>
          <w:rFonts w:ascii="Arial" w:hAnsi="Arial" w:cs="Arial"/>
          <w:i/>
          <w:iCs/>
          <w:color w:val="FF0000"/>
          <w:sz w:val="22"/>
          <w:szCs w:val="22"/>
          <w:lang w:val="es-ES"/>
        </w:rPr>
        <w:t xml:space="preserve"> (seis meses) / (un año)</w:t>
      </w:r>
      <w:r w:rsidRPr="00673FD3">
        <w:rPr>
          <w:rFonts w:ascii="Arial" w:hAnsi="Arial" w:cs="Arial"/>
          <w:sz w:val="22"/>
          <w:szCs w:val="22"/>
          <w:lang w:val="es-ES"/>
        </w:rPr>
        <w:t>, en respuesta a una solicitud por escrito del Contratante de dicha extensión, la que será presentada al Garante antes de que expire la Garantía.”</w:t>
      </w:r>
    </w:p>
    <w:p w14:paraId="5D566223" w14:textId="77777777" w:rsidR="004307E6" w:rsidRPr="00673FD3" w:rsidRDefault="004307E6" w:rsidP="004307E6">
      <w:pPr>
        <w:numPr>
          <w:ilvl w:val="12"/>
          <w:numId w:val="0"/>
        </w:numPr>
        <w:rPr>
          <w:rFonts w:ascii="Arial" w:hAnsi="Arial" w:cs="Arial"/>
          <w:i/>
          <w:iCs/>
          <w:sz w:val="22"/>
          <w:szCs w:val="22"/>
          <w:lang w:val="es-ES"/>
        </w:rPr>
      </w:pPr>
      <w:r w:rsidRPr="00673FD3">
        <w:rPr>
          <w:rFonts w:ascii="Arial" w:hAnsi="Arial" w:cs="Arial"/>
          <w:sz w:val="22"/>
          <w:szCs w:val="22"/>
          <w:lang w:val="es-ES"/>
        </w:rPr>
        <w:t xml:space="preserve">Esta Garantía está sujeta a las </w:t>
      </w:r>
      <w:r w:rsidRPr="00673FD3">
        <w:rPr>
          <w:rFonts w:ascii="Arial" w:hAnsi="Arial" w:cs="Arial"/>
          <w:i/>
          <w:iCs/>
          <w:sz w:val="22"/>
          <w:szCs w:val="22"/>
          <w:lang w:val="es-ES"/>
        </w:rPr>
        <w:t xml:space="preserve">Reglas uniformes de la CCI relativas a las garantías pagaderas contra primera solicitud </w:t>
      </w:r>
      <w:r w:rsidRPr="00673FD3">
        <w:rPr>
          <w:rFonts w:ascii="Arial" w:hAnsi="Arial" w:cs="Arial"/>
          <w:sz w:val="22"/>
          <w:szCs w:val="22"/>
          <w:lang w:val="es-ES"/>
        </w:rPr>
        <w:t>(</w:t>
      </w:r>
      <w:r w:rsidRPr="00673FD3">
        <w:rPr>
          <w:rFonts w:ascii="Arial" w:hAnsi="Arial" w:cs="Arial"/>
          <w:i/>
          <w:iCs/>
          <w:sz w:val="22"/>
          <w:szCs w:val="22"/>
          <w:lang w:val="es-ES"/>
        </w:rPr>
        <w:t>Uniform Rules for Demand Guarantees</w:t>
      </w:r>
      <w:r w:rsidRPr="00673FD3">
        <w:rPr>
          <w:rFonts w:ascii="Arial" w:hAnsi="Arial" w:cs="Arial"/>
          <w:sz w:val="22"/>
          <w:szCs w:val="22"/>
          <w:lang w:val="es-ES"/>
        </w:rPr>
        <w:t xml:space="preserve">), Publicación del CCI No. 758. </w:t>
      </w:r>
      <w:r w:rsidRPr="00673FD3">
        <w:rPr>
          <w:rFonts w:ascii="Arial" w:hAnsi="Arial" w:cs="Arial"/>
          <w:i/>
          <w:iCs/>
          <w:sz w:val="22"/>
          <w:szCs w:val="22"/>
          <w:lang w:val="es-ES"/>
        </w:rPr>
        <w:t>(ICC, por sus siglas en inglés), excepto que el subpárrafo (ii) del subartículo 20 (a) está aquí excluido.</w:t>
      </w:r>
    </w:p>
    <w:p w14:paraId="55FFB2C7" w14:textId="77777777" w:rsidR="004307E6" w:rsidRPr="00673FD3" w:rsidRDefault="004307E6" w:rsidP="004307E6">
      <w:pPr>
        <w:numPr>
          <w:ilvl w:val="12"/>
          <w:numId w:val="0"/>
        </w:numPr>
        <w:rPr>
          <w:rFonts w:ascii="Arial" w:hAnsi="Arial" w:cs="Arial"/>
          <w:sz w:val="22"/>
          <w:szCs w:val="22"/>
          <w:lang w:val="es-ES"/>
        </w:rPr>
      </w:pPr>
    </w:p>
    <w:p w14:paraId="4D7A62DF" w14:textId="77777777" w:rsidR="004307E6" w:rsidRPr="00673FD3" w:rsidRDefault="004307E6" w:rsidP="004307E6">
      <w:pPr>
        <w:numPr>
          <w:ilvl w:val="12"/>
          <w:numId w:val="0"/>
        </w:numPr>
        <w:rPr>
          <w:rFonts w:ascii="Arial" w:hAnsi="Arial" w:cs="Arial"/>
          <w:sz w:val="22"/>
          <w:szCs w:val="22"/>
          <w:lang w:val="es-ES"/>
        </w:rPr>
      </w:pPr>
    </w:p>
    <w:p w14:paraId="6B2FD209" w14:textId="77777777" w:rsidR="004307E6" w:rsidRPr="00673FD3" w:rsidRDefault="004307E6" w:rsidP="004307E6">
      <w:pPr>
        <w:numPr>
          <w:ilvl w:val="12"/>
          <w:numId w:val="0"/>
        </w:numPr>
        <w:rPr>
          <w:rFonts w:ascii="Arial" w:hAnsi="Arial" w:cs="Arial"/>
          <w:sz w:val="22"/>
          <w:szCs w:val="22"/>
          <w:lang w:val="es-ES"/>
        </w:rPr>
      </w:pP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p>
    <w:p w14:paraId="249998FC" w14:textId="77777777" w:rsidR="004307E6" w:rsidRPr="00673FD3" w:rsidRDefault="004307E6" w:rsidP="004307E6">
      <w:pPr>
        <w:numPr>
          <w:ilvl w:val="12"/>
          <w:numId w:val="0"/>
        </w:numPr>
        <w:tabs>
          <w:tab w:val="left" w:pos="8640"/>
        </w:tabs>
        <w:rPr>
          <w:rFonts w:ascii="Arial" w:hAnsi="Arial" w:cs="Arial"/>
          <w:i/>
          <w:iCs/>
          <w:sz w:val="22"/>
          <w:szCs w:val="22"/>
          <w:lang w:val="es-ES"/>
        </w:rPr>
      </w:pPr>
      <w:r w:rsidRPr="00673FD3">
        <w:rPr>
          <w:rFonts w:ascii="Arial" w:hAnsi="Arial" w:cs="Arial"/>
          <w:i/>
          <w:iCs/>
          <w:color w:val="FF0000"/>
          <w:sz w:val="22"/>
          <w:szCs w:val="22"/>
          <w:lang w:val="es-ES"/>
        </w:rPr>
        <w:lastRenderedPageBreak/>
        <w:t>(Firma(s) del (los) representante(s) autorizado(s) del banco)</w:t>
      </w:r>
      <w:r w:rsidRPr="00673FD3">
        <w:rPr>
          <w:rFonts w:ascii="Arial" w:hAnsi="Arial" w:cs="Arial"/>
          <w:i/>
          <w:iCs/>
          <w:sz w:val="22"/>
          <w:szCs w:val="22"/>
          <w:lang w:val="es-ES"/>
        </w:rPr>
        <w:br w:type="page"/>
      </w:r>
    </w:p>
    <w:p w14:paraId="338EBCCF" w14:textId="77777777" w:rsidR="004307E6" w:rsidRPr="00673FD3" w:rsidRDefault="004307E6" w:rsidP="004307E6">
      <w:pPr>
        <w:jc w:val="center"/>
        <w:rPr>
          <w:rFonts w:ascii="Arial" w:hAnsi="Arial" w:cs="Arial"/>
          <w:b/>
          <w:bCs/>
          <w:sz w:val="22"/>
          <w:szCs w:val="22"/>
        </w:rPr>
      </w:pPr>
      <w:bookmarkStart w:id="2456" w:name="_Toc534709124"/>
      <w:r w:rsidRPr="00673FD3">
        <w:rPr>
          <w:rFonts w:ascii="Arial" w:hAnsi="Arial" w:cs="Arial"/>
          <w:b/>
          <w:bCs/>
          <w:sz w:val="22"/>
          <w:szCs w:val="22"/>
        </w:rPr>
        <w:lastRenderedPageBreak/>
        <w:t>Formulario de Fianza por pago de anticipo</w:t>
      </w:r>
    </w:p>
    <w:p w14:paraId="05EE330F" w14:textId="77777777" w:rsidR="004307E6" w:rsidRPr="00673FD3" w:rsidRDefault="004307E6" w:rsidP="004307E6">
      <w:pPr>
        <w:jc w:val="center"/>
        <w:rPr>
          <w:rFonts w:ascii="Arial" w:hAnsi="Arial" w:cs="Arial"/>
          <w:b/>
          <w:bCs/>
          <w:sz w:val="22"/>
          <w:szCs w:val="22"/>
          <w:lang w:val="es-ES"/>
        </w:rPr>
      </w:pPr>
      <w:r w:rsidRPr="00673FD3">
        <w:rPr>
          <w:rFonts w:ascii="Arial" w:hAnsi="Arial" w:cs="Arial"/>
          <w:b/>
          <w:bCs/>
          <w:sz w:val="22"/>
          <w:szCs w:val="22"/>
          <w:lang w:val="es-ES"/>
        </w:rPr>
        <w:t>A primer Requerimiento</w:t>
      </w:r>
    </w:p>
    <w:p w14:paraId="1E298278" w14:textId="77777777" w:rsidR="004307E6" w:rsidRPr="00673FD3" w:rsidRDefault="004307E6" w:rsidP="004307E6">
      <w:pPr>
        <w:jc w:val="center"/>
        <w:rPr>
          <w:rFonts w:ascii="Arial" w:hAnsi="Arial" w:cs="Arial"/>
          <w:b/>
          <w:bCs/>
          <w:sz w:val="22"/>
          <w:szCs w:val="22"/>
          <w:lang w:val="es-ES"/>
        </w:rPr>
      </w:pPr>
    </w:p>
    <w:p w14:paraId="397EFC07" w14:textId="77777777" w:rsidR="004307E6" w:rsidRPr="00673FD3" w:rsidRDefault="004307E6" w:rsidP="004307E6">
      <w:pPr>
        <w:jc w:val="center"/>
        <w:rPr>
          <w:rFonts w:ascii="Arial" w:hAnsi="Arial" w:cs="Arial"/>
          <w:i/>
          <w:iCs/>
          <w:color w:val="FF0000"/>
          <w:sz w:val="22"/>
          <w:szCs w:val="22"/>
          <w:lang w:val="es-ES"/>
        </w:rPr>
      </w:pPr>
      <w:r w:rsidRPr="00673FD3">
        <w:rPr>
          <w:rFonts w:ascii="Arial" w:hAnsi="Arial" w:cs="Arial"/>
          <w:i/>
          <w:iCs/>
          <w:color w:val="FF0000"/>
          <w:sz w:val="22"/>
          <w:szCs w:val="22"/>
          <w:lang w:val="es-ES"/>
        </w:rPr>
        <w:t>(</w:t>
      </w:r>
      <w:r w:rsidRPr="00673FD3">
        <w:rPr>
          <w:rFonts w:ascii="Arial" w:hAnsi="Arial" w:cs="Arial"/>
          <w:b/>
          <w:i/>
          <w:iCs/>
          <w:color w:val="FF0000"/>
          <w:sz w:val="22"/>
          <w:szCs w:val="22"/>
          <w:lang w:val="es-ES"/>
        </w:rPr>
        <w:t>El</w:t>
      </w:r>
      <w:r w:rsidRPr="00673FD3">
        <w:rPr>
          <w:rFonts w:ascii="Arial" w:hAnsi="Arial" w:cs="Arial"/>
          <w:b/>
          <w:bCs/>
          <w:i/>
          <w:iCs/>
          <w:color w:val="FF0000"/>
          <w:sz w:val="22"/>
          <w:szCs w:val="22"/>
          <w:lang w:val="es-ES"/>
        </w:rPr>
        <w:t xml:space="preserve"> Oferente seleccionado</w:t>
      </w:r>
      <w:r w:rsidRPr="00673FD3">
        <w:rPr>
          <w:rFonts w:ascii="Arial" w:hAnsi="Arial" w:cs="Arial"/>
          <w:i/>
          <w:iCs/>
          <w:color w:val="FF0000"/>
          <w:sz w:val="22"/>
          <w:szCs w:val="22"/>
          <w:lang w:val="es-ES"/>
        </w:rPr>
        <w:t xml:space="preserve"> deberá presentar está garantía de acuerdo con las instrucciones indicadas entre corchetes, si el Contratante solicita este tipo de garantía)</w:t>
      </w:r>
    </w:p>
    <w:p w14:paraId="5797687E" w14:textId="77777777" w:rsidR="004307E6" w:rsidRPr="00673FD3" w:rsidRDefault="004307E6" w:rsidP="004307E6">
      <w:pPr>
        <w:pStyle w:val="NormalWeb"/>
        <w:rPr>
          <w:rFonts w:ascii="Arial" w:hAnsi="Arial" w:cs="Arial"/>
          <w:i/>
          <w:sz w:val="22"/>
          <w:szCs w:val="22"/>
          <w:lang w:val="es-ES"/>
        </w:rPr>
      </w:pPr>
      <w:r w:rsidRPr="00673FD3">
        <w:rPr>
          <w:rFonts w:ascii="Arial" w:hAnsi="Arial" w:cs="Arial"/>
          <w:b/>
          <w:sz w:val="22"/>
          <w:szCs w:val="22"/>
          <w:lang w:val="es-ES"/>
        </w:rPr>
        <w:t xml:space="preserve">Beneficiario: </w:t>
      </w:r>
      <w:r w:rsidRPr="00673FD3">
        <w:rPr>
          <w:rFonts w:ascii="Arial" w:hAnsi="Arial" w:cs="Arial"/>
          <w:i/>
          <w:color w:val="FF0000"/>
          <w:sz w:val="22"/>
          <w:szCs w:val="22"/>
          <w:lang w:val="es-ES"/>
        </w:rPr>
        <w:t>(indique el nombre y la dirección del Contratante)</w:t>
      </w:r>
      <w:r w:rsidRPr="00673FD3">
        <w:rPr>
          <w:rFonts w:ascii="Arial" w:hAnsi="Arial" w:cs="Arial"/>
          <w:i/>
          <w:sz w:val="22"/>
          <w:szCs w:val="22"/>
          <w:lang w:val="es-ES"/>
        </w:rPr>
        <w:tab/>
      </w:r>
      <w:r w:rsidRPr="00673FD3">
        <w:rPr>
          <w:rFonts w:ascii="Arial" w:hAnsi="Arial" w:cs="Arial"/>
          <w:i/>
          <w:sz w:val="22"/>
          <w:szCs w:val="22"/>
          <w:lang w:val="es-ES"/>
        </w:rPr>
        <w:tab/>
      </w:r>
    </w:p>
    <w:p w14:paraId="66907C58" w14:textId="77777777" w:rsidR="004307E6" w:rsidRPr="00673FD3" w:rsidRDefault="004307E6" w:rsidP="004307E6">
      <w:pPr>
        <w:pStyle w:val="NormalWeb"/>
        <w:rPr>
          <w:rFonts w:ascii="Arial" w:hAnsi="Arial" w:cs="Arial"/>
          <w:i/>
          <w:sz w:val="22"/>
          <w:szCs w:val="22"/>
          <w:lang w:val="es-ES"/>
        </w:rPr>
      </w:pPr>
      <w:r w:rsidRPr="00673FD3">
        <w:rPr>
          <w:rFonts w:ascii="Arial" w:hAnsi="Arial" w:cs="Arial"/>
          <w:b/>
          <w:sz w:val="22"/>
          <w:szCs w:val="22"/>
          <w:lang w:val="es-ES"/>
        </w:rPr>
        <w:t>Fecha:</w:t>
      </w:r>
      <w:r w:rsidRPr="00673FD3">
        <w:rPr>
          <w:rFonts w:ascii="Arial" w:hAnsi="Arial" w:cs="Arial"/>
          <w:sz w:val="22"/>
          <w:szCs w:val="22"/>
          <w:lang w:val="es-ES"/>
        </w:rPr>
        <w:tab/>
      </w:r>
      <w:r w:rsidRPr="00673FD3">
        <w:rPr>
          <w:rFonts w:ascii="Arial" w:hAnsi="Arial" w:cs="Arial"/>
          <w:i/>
          <w:color w:val="FF0000"/>
          <w:sz w:val="22"/>
          <w:szCs w:val="22"/>
          <w:lang w:val="es-ES"/>
        </w:rPr>
        <w:t>(indique la fecha de emisión)</w:t>
      </w:r>
    </w:p>
    <w:p w14:paraId="4FFF1C40" w14:textId="77777777" w:rsidR="004307E6" w:rsidRPr="00673FD3" w:rsidRDefault="004307E6" w:rsidP="004307E6">
      <w:pPr>
        <w:pStyle w:val="NormalWeb"/>
        <w:rPr>
          <w:rFonts w:ascii="Arial" w:hAnsi="Arial" w:cs="Arial"/>
          <w:color w:val="FF0000"/>
          <w:sz w:val="22"/>
          <w:szCs w:val="22"/>
          <w:lang w:val="es-ES"/>
        </w:rPr>
      </w:pPr>
      <w:r w:rsidRPr="00673FD3">
        <w:rPr>
          <w:rFonts w:ascii="Arial" w:hAnsi="Arial" w:cs="Arial"/>
          <w:b/>
          <w:sz w:val="22"/>
          <w:szCs w:val="22"/>
          <w:lang w:val="es-ES"/>
        </w:rPr>
        <w:t>GARANTÍA POR ANTICIPO N.</w:t>
      </w:r>
      <w:r w:rsidRPr="00673FD3">
        <w:rPr>
          <w:rFonts w:ascii="Arial" w:hAnsi="Arial" w:cs="Arial"/>
          <w:b/>
          <w:sz w:val="22"/>
          <w:szCs w:val="22"/>
          <w:vertAlign w:val="superscript"/>
          <w:lang w:val="es-ES"/>
        </w:rPr>
        <w:t>o</w:t>
      </w:r>
      <w:r w:rsidRPr="00673FD3">
        <w:rPr>
          <w:rFonts w:ascii="Arial" w:hAnsi="Arial" w:cs="Arial"/>
          <w:b/>
          <w:sz w:val="22"/>
          <w:szCs w:val="22"/>
          <w:lang w:val="es-ES"/>
        </w:rPr>
        <w:t>:</w:t>
      </w:r>
      <w:r w:rsidRPr="00673FD3">
        <w:rPr>
          <w:rFonts w:ascii="Arial" w:hAnsi="Arial" w:cs="Arial"/>
          <w:sz w:val="22"/>
          <w:szCs w:val="22"/>
          <w:lang w:val="es-ES"/>
        </w:rPr>
        <w:tab/>
      </w:r>
      <w:r w:rsidRPr="00673FD3">
        <w:rPr>
          <w:rFonts w:ascii="Arial" w:hAnsi="Arial" w:cs="Arial"/>
          <w:i/>
          <w:color w:val="FF0000"/>
          <w:sz w:val="22"/>
          <w:szCs w:val="22"/>
          <w:lang w:val="es-ES"/>
        </w:rPr>
        <w:t>(indique el número de referencia de la Fianza)</w:t>
      </w:r>
    </w:p>
    <w:p w14:paraId="08EBACC1" w14:textId="77777777" w:rsidR="004307E6" w:rsidRPr="00673FD3" w:rsidRDefault="004307E6" w:rsidP="004307E6">
      <w:pPr>
        <w:pStyle w:val="NormalWeb"/>
        <w:rPr>
          <w:rFonts w:ascii="Arial" w:hAnsi="Arial" w:cs="Arial"/>
          <w:i/>
          <w:sz w:val="22"/>
          <w:szCs w:val="22"/>
          <w:lang w:val="es-ES"/>
        </w:rPr>
      </w:pPr>
      <w:r w:rsidRPr="00673FD3">
        <w:rPr>
          <w:rFonts w:ascii="Arial" w:hAnsi="Arial" w:cs="Arial"/>
          <w:b/>
          <w:sz w:val="22"/>
          <w:szCs w:val="22"/>
          <w:lang w:val="es-ES"/>
        </w:rPr>
        <w:t>Afianzadora:</w:t>
      </w:r>
      <w:r w:rsidRPr="00673FD3">
        <w:rPr>
          <w:rFonts w:ascii="Arial" w:hAnsi="Arial" w:cs="Arial"/>
          <w:i/>
          <w:sz w:val="22"/>
          <w:szCs w:val="22"/>
          <w:lang w:val="es-ES"/>
        </w:rPr>
        <w:t xml:space="preserve"> </w:t>
      </w:r>
      <w:r w:rsidRPr="00673FD3">
        <w:rPr>
          <w:rFonts w:ascii="Arial" w:hAnsi="Arial" w:cs="Arial"/>
          <w:i/>
          <w:color w:val="FF0000"/>
          <w:sz w:val="22"/>
          <w:szCs w:val="22"/>
          <w:lang w:val="es-ES"/>
        </w:rPr>
        <w:t xml:space="preserve">(indique el nombre y la dirección del lugar de emisión, salvo que figure en </w:t>
      </w:r>
      <w:r w:rsidRPr="00673FD3">
        <w:rPr>
          <w:rFonts w:ascii="Arial" w:hAnsi="Arial" w:cs="Arial"/>
          <w:i/>
          <w:color w:val="FF0000"/>
          <w:sz w:val="22"/>
          <w:szCs w:val="22"/>
          <w:lang w:val="es-ES"/>
        </w:rPr>
        <w:br/>
        <w:t>el membrete)</w:t>
      </w:r>
    </w:p>
    <w:p w14:paraId="544F11FF" w14:textId="77777777" w:rsidR="004307E6" w:rsidRPr="00673FD3" w:rsidRDefault="004307E6" w:rsidP="004307E6">
      <w:pPr>
        <w:rPr>
          <w:rFonts w:ascii="Arial" w:hAnsi="Arial" w:cs="Arial"/>
          <w:sz w:val="22"/>
          <w:szCs w:val="22"/>
        </w:rPr>
      </w:pPr>
      <w:r w:rsidRPr="00673FD3">
        <w:rPr>
          <w:rFonts w:ascii="Arial" w:hAnsi="Arial" w:cs="Arial"/>
          <w:sz w:val="22"/>
          <w:szCs w:val="22"/>
        </w:rPr>
        <w:t xml:space="preserve">Fianza otorgada ante </w:t>
      </w:r>
      <w:r w:rsidRPr="00673FD3">
        <w:rPr>
          <w:rFonts w:ascii="Arial" w:hAnsi="Arial" w:cs="Arial"/>
          <w:i/>
          <w:iCs/>
          <w:color w:val="FF0000"/>
          <w:sz w:val="22"/>
          <w:szCs w:val="22"/>
        </w:rPr>
        <w:t xml:space="preserve">(indicar nombre del Contratante) </w:t>
      </w:r>
      <w:r w:rsidRPr="00673FD3">
        <w:rPr>
          <w:rFonts w:ascii="Arial" w:hAnsi="Arial" w:cs="Arial"/>
          <w:i/>
          <w:iCs/>
          <w:sz w:val="22"/>
          <w:szCs w:val="22"/>
        </w:rPr>
        <w:t xml:space="preserve">“El Contratante” </w:t>
      </w:r>
      <w:r w:rsidRPr="00673FD3">
        <w:rPr>
          <w:rFonts w:ascii="Arial" w:hAnsi="Arial" w:cs="Arial"/>
          <w:sz w:val="22"/>
          <w:szCs w:val="22"/>
        </w:rPr>
        <w:t xml:space="preserve">para garantizar por el Contratista: </w:t>
      </w:r>
      <w:r w:rsidRPr="00673FD3">
        <w:rPr>
          <w:rFonts w:ascii="Arial" w:hAnsi="Arial" w:cs="Arial"/>
          <w:color w:val="FF0000"/>
          <w:sz w:val="22"/>
          <w:szCs w:val="22"/>
        </w:rPr>
        <w:t>(</w:t>
      </w:r>
      <w:r w:rsidRPr="00673FD3">
        <w:rPr>
          <w:rFonts w:ascii="Arial" w:hAnsi="Arial" w:cs="Arial"/>
          <w:i/>
          <w:iCs/>
          <w:color w:val="FF0000"/>
          <w:sz w:val="22"/>
          <w:szCs w:val="22"/>
        </w:rPr>
        <w:t>nombre del Contratista)</w:t>
      </w:r>
      <w:r w:rsidRPr="00673FD3">
        <w:rPr>
          <w:rFonts w:ascii="Arial" w:hAnsi="Arial" w:cs="Arial"/>
          <w:sz w:val="22"/>
          <w:szCs w:val="22"/>
        </w:rPr>
        <w:t xml:space="preserve"> la debida y correcta aplicación o devolución del importe total o parcial en su caso, del anticipo otorgado hasta la cantidad de </w:t>
      </w:r>
      <w:r w:rsidRPr="00673FD3">
        <w:rPr>
          <w:rFonts w:ascii="Arial" w:hAnsi="Arial" w:cs="Arial"/>
          <w:i/>
          <w:iCs/>
          <w:color w:val="FF0000"/>
          <w:sz w:val="22"/>
          <w:szCs w:val="22"/>
        </w:rPr>
        <w:t xml:space="preserve">(indicar monto del anticipo en número y letra, en las diferentes monedas en las que se otorgue) </w:t>
      </w:r>
      <w:r w:rsidRPr="00673FD3">
        <w:rPr>
          <w:rFonts w:ascii="Arial" w:hAnsi="Arial" w:cs="Arial"/>
          <w:sz w:val="22"/>
          <w:szCs w:val="22"/>
        </w:rPr>
        <w:t xml:space="preserve">que equivale a </w:t>
      </w:r>
      <w:r w:rsidRPr="00673FD3">
        <w:rPr>
          <w:rFonts w:ascii="Arial" w:hAnsi="Arial" w:cs="Arial"/>
          <w:i/>
          <w:iCs/>
          <w:color w:val="FF0000"/>
          <w:sz w:val="22"/>
          <w:szCs w:val="22"/>
        </w:rPr>
        <w:t>(indicar porcentaje)</w:t>
      </w:r>
      <w:r w:rsidRPr="00673FD3">
        <w:rPr>
          <w:rFonts w:ascii="Arial" w:hAnsi="Arial" w:cs="Arial"/>
          <w:color w:val="FF0000"/>
          <w:sz w:val="22"/>
          <w:szCs w:val="22"/>
        </w:rPr>
        <w:t xml:space="preserve"> </w:t>
      </w:r>
      <w:r w:rsidRPr="00673FD3">
        <w:rPr>
          <w:rFonts w:ascii="Arial" w:hAnsi="Arial" w:cs="Arial"/>
          <w:sz w:val="22"/>
          <w:szCs w:val="22"/>
        </w:rPr>
        <w:t>del monto pactado mediante contrato de construcción de obra a precios unitarios del que deriva la presente garantía.</w:t>
      </w:r>
    </w:p>
    <w:p w14:paraId="78725214" w14:textId="77777777" w:rsidR="004307E6" w:rsidRPr="00673FD3" w:rsidRDefault="004307E6" w:rsidP="004307E6">
      <w:pPr>
        <w:rPr>
          <w:rFonts w:ascii="Arial" w:hAnsi="Arial" w:cs="Arial"/>
          <w:sz w:val="22"/>
          <w:szCs w:val="22"/>
        </w:rPr>
      </w:pPr>
    </w:p>
    <w:p w14:paraId="54C3BF6D" w14:textId="77777777" w:rsidR="004307E6" w:rsidRPr="00673FD3" w:rsidRDefault="004307E6" w:rsidP="004307E6">
      <w:pPr>
        <w:rPr>
          <w:rFonts w:ascii="Arial" w:hAnsi="Arial" w:cs="Arial"/>
          <w:sz w:val="22"/>
          <w:szCs w:val="22"/>
        </w:rPr>
      </w:pPr>
      <w:r w:rsidRPr="00673FD3">
        <w:rPr>
          <w:rFonts w:ascii="Arial" w:hAnsi="Arial" w:cs="Arial"/>
          <w:sz w:val="22"/>
          <w:szCs w:val="22"/>
        </w:rPr>
        <w:t xml:space="preserve">Dicho porcentaje será aplicado precisamente en los términos descritos en la Cláusula 49.2 del contrato número </w:t>
      </w:r>
      <w:r w:rsidRPr="00673FD3">
        <w:rPr>
          <w:rFonts w:ascii="Arial" w:hAnsi="Arial" w:cs="Arial"/>
          <w:i/>
          <w:iCs/>
          <w:color w:val="FF0000"/>
          <w:sz w:val="22"/>
          <w:szCs w:val="22"/>
        </w:rPr>
        <w:t xml:space="preserve">(indicar número de referencia del Contrato), </w:t>
      </w:r>
      <w:r w:rsidRPr="00673FD3">
        <w:rPr>
          <w:rFonts w:ascii="Arial" w:hAnsi="Arial" w:cs="Arial"/>
          <w:iCs/>
          <w:color w:val="FF0000"/>
          <w:sz w:val="22"/>
          <w:szCs w:val="22"/>
        </w:rPr>
        <w:t>denominado</w:t>
      </w:r>
      <w:r w:rsidRPr="00673FD3">
        <w:rPr>
          <w:rFonts w:ascii="Arial" w:hAnsi="Arial" w:cs="Arial"/>
          <w:color w:val="FF0000"/>
          <w:sz w:val="22"/>
          <w:szCs w:val="22"/>
        </w:rPr>
        <w:t xml:space="preserve"> </w:t>
      </w:r>
      <w:r w:rsidRPr="00673FD3">
        <w:rPr>
          <w:rFonts w:ascii="Arial" w:hAnsi="Arial" w:cs="Arial"/>
          <w:i/>
          <w:color w:val="FF0000"/>
          <w:sz w:val="22"/>
          <w:szCs w:val="22"/>
        </w:rPr>
        <w:t>(indicar nombre del contrato)</w:t>
      </w:r>
      <w:r w:rsidRPr="00673FD3">
        <w:rPr>
          <w:rFonts w:ascii="Arial" w:hAnsi="Arial" w:cs="Arial"/>
          <w:color w:val="FF0000"/>
          <w:sz w:val="22"/>
          <w:szCs w:val="22"/>
        </w:rPr>
        <w:t xml:space="preserve"> </w:t>
      </w:r>
      <w:r w:rsidRPr="00673FD3">
        <w:rPr>
          <w:rFonts w:ascii="Arial" w:hAnsi="Arial" w:cs="Arial"/>
          <w:sz w:val="22"/>
          <w:szCs w:val="22"/>
        </w:rPr>
        <w:t xml:space="preserve">de fecha </w:t>
      </w:r>
      <w:r w:rsidRPr="00673FD3">
        <w:rPr>
          <w:rFonts w:ascii="Arial" w:hAnsi="Arial" w:cs="Arial"/>
          <w:i/>
          <w:iCs/>
          <w:color w:val="FF0000"/>
          <w:sz w:val="22"/>
          <w:szCs w:val="22"/>
        </w:rPr>
        <w:t xml:space="preserve">(indicar fecha de celebración del Contrato) </w:t>
      </w:r>
      <w:r w:rsidRPr="00673FD3">
        <w:rPr>
          <w:rFonts w:ascii="Arial" w:hAnsi="Arial" w:cs="Arial"/>
          <w:sz w:val="22"/>
          <w:szCs w:val="22"/>
        </w:rPr>
        <w:t xml:space="preserve">relativo a: </w:t>
      </w:r>
      <w:r w:rsidRPr="00673FD3">
        <w:rPr>
          <w:rFonts w:ascii="Arial" w:hAnsi="Arial" w:cs="Arial"/>
          <w:i/>
          <w:iCs/>
          <w:color w:val="FF0000"/>
          <w:sz w:val="22"/>
          <w:szCs w:val="22"/>
        </w:rPr>
        <w:t>(insertar el objeto del contrato conforme se especifica en el propio contrato)</w:t>
      </w:r>
      <w:r w:rsidRPr="00673FD3">
        <w:rPr>
          <w:rFonts w:ascii="Arial" w:hAnsi="Arial" w:cs="Arial"/>
          <w:color w:val="FF0000"/>
          <w:sz w:val="22"/>
          <w:szCs w:val="22"/>
        </w:rPr>
        <w:t xml:space="preserve"> </w:t>
      </w:r>
      <w:r w:rsidRPr="00673FD3">
        <w:rPr>
          <w:rFonts w:ascii="Arial" w:hAnsi="Arial" w:cs="Arial"/>
          <w:sz w:val="22"/>
          <w:szCs w:val="22"/>
        </w:rPr>
        <w:t xml:space="preserve">con un importe total por la cantidad de </w:t>
      </w:r>
      <w:r w:rsidRPr="00673FD3">
        <w:rPr>
          <w:rFonts w:ascii="Arial" w:hAnsi="Arial" w:cs="Arial"/>
          <w:i/>
          <w:iCs/>
          <w:color w:val="FF0000"/>
          <w:sz w:val="22"/>
          <w:szCs w:val="22"/>
        </w:rPr>
        <w:t>(indicar precio del Contrato en número y letra expresado en las diferentes monedas de la oferta)</w:t>
      </w:r>
      <w:r w:rsidRPr="00673FD3">
        <w:rPr>
          <w:rFonts w:ascii="Arial" w:hAnsi="Arial" w:cs="Arial"/>
          <w:i/>
          <w:iCs/>
          <w:sz w:val="22"/>
          <w:szCs w:val="22"/>
        </w:rPr>
        <w:t>.</w:t>
      </w:r>
    </w:p>
    <w:p w14:paraId="7493A3AB" w14:textId="77777777" w:rsidR="004307E6" w:rsidRPr="00673FD3" w:rsidRDefault="004307E6" w:rsidP="004307E6">
      <w:pPr>
        <w:rPr>
          <w:rFonts w:ascii="Arial" w:eastAsia="Arial Unicode MS" w:hAnsi="Arial" w:cs="Arial"/>
          <w:b/>
          <w:sz w:val="22"/>
          <w:szCs w:val="22"/>
          <w:lang w:val="es-ES"/>
        </w:rPr>
      </w:pPr>
      <w:r w:rsidRPr="00673FD3">
        <w:rPr>
          <w:rFonts w:ascii="Arial" w:eastAsia="Arial Unicode MS" w:hAnsi="Arial" w:cs="Arial"/>
          <w:b/>
          <w:sz w:val="22"/>
          <w:szCs w:val="22"/>
          <w:lang w:val="es-ES"/>
        </w:rPr>
        <w:t xml:space="preserve">La Afianzadora manifiesta: </w:t>
      </w:r>
    </w:p>
    <w:p w14:paraId="5EFAC69D" w14:textId="77777777" w:rsidR="004307E6" w:rsidRPr="00673FD3" w:rsidRDefault="004307E6" w:rsidP="004307E6">
      <w:pPr>
        <w:rPr>
          <w:rFonts w:ascii="Arial" w:hAnsi="Arial" w:cs="Arial"/>
          <w:sz w:val="22"/>
          <w:szCs w:val="22"/>
        </w:rPr>
      </w:pPr>
    </w:p>
    <w:p w14:paraId="55A259AA" w14:textId="77777777" w:rsidR="004307E6" w:rsidRPr="00673FD3" w:rsidRDefault="004307E6" w:rsidP="004307E6">
      <w:pPr>
        <w:rPr>
          <w:rFonts w:ascii="Arial" w:hAnsi="Arial" w:cs="Arial"/>
          <w:sz w:val="22"/>
          <w:szCs w:val="22"/>
        </w:rPr>
      </w:pPr>
      <w:r w:rsidRPr="00673FD3">
        <w:rPr>
          <w:rFonts w:ascii="Arial" w:hAnsi="Arial" w:cs="Arial"/>
          <w:sz w:val="22"/>
          <w:szCs w:val="22"/>
        </w:rPr>
        <w:t xml:space="preserve">a). - La fianza se otorga de conformidad y atendiendo a todas las estipulaciones contenidas en el contrato, para garantizar la debida inversión del importe total del anticipo que </w:t>
      </w:r>
      <w:r w:rsidRPr="00673FD3">
        <w:rPr>
          <w:rFonts w:ascii="Arial" w:hAnsi="Arial" w:cs="Arial"/>
          <w:i/>
          <w:iCs/>
          <w:color w:val="FF0000"/>
          <w:sz w:val="22"/>
          <w:szCs w:val="22"/>
        </w:rPr>
        <w:t>(nombre del Contratante)</w:t>
      </w:r>
      <w:r w:rsidRPr="00673FD3">
        <w:rPr>
          <w:rFonts w:ascii="Arial" w:hAnsi="Arial" w:cs="Arial"/>
          <w:color w:val="FF0000"/>
          <w:sz w:val="22"/>
          <w:szCs w:val="22"/>
        </w:rPr>
        <w:t xml:space="preserve"> </w:t>
      </w:r>
      <w:r w:rsidRPr="00673FD3">
        <w:rPr>
          <w:rFonts w:ascii="Arial" w:hAnsi="Arial" w:cs="Arial"/>
          <w:sz w:val="22"/>
          <w:szCs w:val="22"/>
        </w:rPr>
        <w:t xml:space="preserve">otorga a </w:t>
      </w:r>
      <w:r w:rsidRPr="00673FD3">
        <w:rPr>
          <w:rFonts w:ascii="Arial" w:hAnsi="Arial" w:cs="Arial"/>
          <w:i/>
          <w:iCs/>
          <w:color w:val="FF0000"/>
          <w:sz w:val="22"/>
          <w:szCs w:val="22"/>
        </w:rPr>
        <w:t>(nombre del Contratista)</w:t>
      </w:r>
      <w:r w:rsidRPr="00673FD3">
        <w:rPr>
          <w:rFonts w:ascii="Arial" w:hAnsi="Arial" w:cs="Arial"/>
          <w:color w:val="FF0000"/>
          <w:sz w:val="22"/>
          <w:szCs w:val="22"/>
        </w:rPr>
        <w:t xml:space="preserve"> </w:t>
      </w:r>
      <w:r w:rsidRPr="00673FD3">
        <w:rPr>
          <w:rFonts w:ascii="Arial" w:hAnsi="Arial" w:cs="Arial"/>
          <w:sz w:val="22"/>
          <w:szCs w:val="22"/>
        </w:rPr>
        <w:t xml:space="preserve">y se compromete a pagar hasta la cantidad que importe esta fianza, en caso de que su fiado no cumpla con las obligaciones que se afianzan o sea rescindido el contrato. </w:t>
      </w:r>
    </w:p>
    <w:p w14:paraId="5056A66C" w14:textId="77777777" w:rsidR="004307E6" w:rsidRPr="00673FD3" w:rsidRDefault="004307E6" w:rsidP="004307E6">
      <w:pPr>
        <w:rPr>
          <w:rFonts w:ascii="Arial" w:hAnsi="Arial" w:cs="Arial"/>
          <w:sz w:val="22"/>
          <w:szCs w:val="22"/>
        </w:rPr>
      </w:pPr>
    </w:p>
    <w:p w14:paraId="273B6B02" w14:textId="77777777" w:rsidR="004307E6" w:rsidRPr="00673FD3" w:rsidRDefault="004307E6" w:rsidP="004307E6">
      <w:pPr>
        <w:rPr>
          <w:rFonts w:ascii="Arial" w:hAnsi="Arial" w:cs="Arial"/>
          <w:sz w:val="22"/>
          <w:szCs w:val="22"/>
        </w:rPr>
      </w:pPr>
      <w:r w:rsidRPr="00673FD3">
        <w:rPr>
          <w:rFonts w:ascii="Arial" w:hAnsi="Arial" w:cs="Arial"/>
          <w:sz w:val="22"/>
          <w:szCs w:val="22"/>
        </w:rPr>
        <w:t xml:space="preserve">b). – La fianza es emitida de manera irrevocable y será pagadera a favor de “El Contratante” al recibo de la primera solicitud por escrito del Contratante, sin que “El Contratante” tenga que sustentar su solicitud. </w:t>
      </w:r>
    </w:p>
    <w:p w14:paraId="2D84E32D" w14:textId="77777777" w:rsidR="004307E6" w:rsidRPr="00673FD3" w:rsidRDefault="004307E6" w:rsidP="004307E6">
      <w:pPr>
        <w:rPr>
          <w:rFonts w:ascii="Arial" w:hAnsi="Arial" w:cs="Arial"/>
          <w:sz w:val="22"/>
          <w:szCs w:val="22"/>
        </w:rPr>
      </w:pPr>
    </w:p>
    <w:p w14:paraId="5E0BF8B5" w14:textId="77777777" w:rsidR="004307E6" w:rsidRPr="00673FD3" w:rsidRDefault="004307E6" w:rsidP="004307E6">
      <w:pPr>
        <w:rPr>
          <w:rFonts w:ascii="Arial" w:hAnsi="Arial" w:cs="Arial"/>
          <w:sz w:val="22"/>
          <w:szCs w:val="22"/>
        </w:rPr>
      </w:pPr>
      <w:r w:rsidRPr="00673FD3">
        <w:rPr>
          <w:rFonts w:ascii="Arial" w:hAnsi="Arial" w:cs="Arial"/>
          <w:sz w:val="22"/>
          <w:szCs w:val="22"/>
        </w:rPr>
        <w:t>c). - En el caso de otorgamiento de prórrogas o esperas al Contratista derivadas de la formalización de convenios de ampliación al monto se deberá obtener la modificación de la póliza y para el caso de ampliación del plazo establecido para la terminación o ejecución de los trabajos o exista espera, su vigencia quedará automáticamente prorrogada en concordancia con dicha prórroga o espera, aun cuando hayan sido solicitadas y autorizadas extemporáneamente.</w:t>
      </w:r>
    </w:p>
    <w:p w14:paraId="0C511CE9" w14:textId="77777777" w:rsidR="004307E6" w:rsidRPr="00673FD3" w:rsidRDefault="004307E6" w:rsidP="004307E6">
      <w:pPr>
        <w:rPr>
          <w:rFonts w:ascii="Arial" w:hAnsi="Arial" w:cs="Arial"/>
          <w:sz w:val="22"/>
          <w:szCs w:val="22"/>
        </w:rPr>
      </w:pPr>
    </w:p>
    <w:p w14:paraId="1ECED25D" w14:textId="77777777" w:rsidR="004307E6" w:rsidRPr="00673FD3" w:rsidRDefault="004307E6" w:rsidP="004307E6">
      <w:pPr>
        <w:rPr>
          <w:rFonts w:ascii="Arial" w:hAnsi="Arial" w:cs="Arial"/>
          <w:sz w:val="22"/>
          <w:szCs w:val="22"/>
        </w:rPr>
      </w:pPr>
      <w:r w:rsidRPr="00673FD3">
        <w:rPr>
          <w:rFonts w:ascii="Arial" w:hAnsi="Arial" w:cs="Arial"/>
          <w:sz w:val="22"/>
          <w:szCs w:val="22"/>
        </w:rPr>
        <w:t xml:space="preserve">d). - Cuando al realizarse el finiquito resulten saldos a cargo del Contratista y este efectué la totalidad del pago en forma incondicional, el Contratante deberá liberar la fianza respectiva siempre y cuando sea procedente en los términos aquí estipulados </w:t>
      </w:r>
    </w:p>
    <w:p w14:paraId="7F690AB4" w14:textId="77777777" w:rsidR="004307E6" w:rsidRPr="00673FD3" w:rsidRDefault="004307E6" w:rsidP="004307E6">
      <w:pPr>
        <w:rPr>
          <w:rFonts w:ascii="Arial" w:hAnsi="Arial" w:cs="Arial"/>
          <w:sz w:val="22"/>
          <w:szCs w:val="22"/>
        </w:rPr>
      </w:pPr>
    </w:p>
    <w:p w14:paraId="7BCCA22F" w14:textId="77777777" w:rsidR="004307E6" w:rsidRPr="00673FD3" w:rsidRDefault="004307E6" w:rsidP="004307E6">
      <w:pPr>
        <w:rPr>
          <w:rFonts w:ascii="Arial" w:hAnsi="Arial" w:cs="Arial"/>
          <w:sz w:val="22"/>
          <w:szCs w:val="22"/>
        </w:rPr>
      </w:pPr>
      <w:r w:rsidRPr="00673FD3">
        <w:rPr>
          <w:rFonts w:ascii="Arial" w:hAnsi="Arial" w:cs="Arial"/>
          <w:sz w:val="22"/>
          <w:szCs w:val="22"/>
        </w:rPr>
        <w:lastRenderedPageBreak/>
        <w:t xml:space="preserve">e). - Para cancelar la fianza será requisito indispensable la autorización expresa y por escrito de </w:t>
      </w:r>
      <w:r w:rsidRPr="00673FD3">
        <w:rPr>
          <w:rFonts w:ascii="Arial" w:hAnsi="Arial" w:cs="Arial"/>
          <w:i/>
          <w:iCs/>
          <w:color w:val="FF0000"/>
          <w:sz w:val="22"/>
          <w:szCs w:val="22"/>
        </w:rPr>
        <w:t>(insertar nombre del Contratante)</w:t>
      </w:r>
      <w:r w:rsidRPr="00673FD3">
        <w:rPr>
          <w:rFonts w:ascii="Arial" w:hAnsi="Arial" w:cs="Arial"/>
          <w:i/>
          <w:iCs/>
          <w:sz w:val="22"/>
          <w:szCs w:val="22"/>
        </w:rPr>
        <w:t>,</w:t>
      </w:r>
      <w:r w:rsidRPr="00673FD3">
        <w:rPr>
          <w:rFonts w:ascii="Arial" w:hAnsi="Arial" w:cs="Arial"/>
          <w:sz w:val="22"/>
          <w:szCs w:val="22"/>
        </w:rPr>
        <w:t xml:space="preserve"> que la producirá cuando el importe del anticipo haya sido amortizado o devuelto en su totalidad.</w:t>
      </w:r>
    </w:p>
    <w:p w14:paraId="7476DC95" w14:textId="77777777" w:rsidR="004307E6" w:rsidRPr="00673FD3" w:rsidRDefault="004307E6" w:rsidP="004307E6">
      <w:pPr>
        <w:rPr>
          <w:rFonts w:ascii="Arial" w:hAnsi="Arial" w:cs="Arial"/>
          <w:sz w:val="22"/>
          <w:szCs w:val="22"/>
        </w:rPr>
      </w:pPr>
    </w:p>
    <w:p w14:paraId="0EF9358B" w14:textId="77777777" w:rsidR="004307E6" w:rsidRPr="00673FD3" w:rsidRDefault="004307E6" w:rsidP="004307E6">
      <w:pPr>
        <w:suppressAutoHyphens/>
        <w:rPr>
          <w:rFonts w:ascii="Arial" w:hAnsi="Arial" w:cs="Arial"/>
          <w:sz w:val="22"/>
          <w:szCs w:val="22"/>
        </w:rPr>
      </w:pPr>
      <w:r w:rsidRPr="00673FD3">
        <w:rPr>
          <w:rFonts w:ascii="Arial" w:hAnsi="Arial" w:cs="Arial"/>
          <w:sz w:val="22"/>
          <w:szCs w:val="22"/>
        </w:rPr>
        <w:t xml:space="preserve">f). -  Esta fianza estará vigente durante la sustanciación de todos los recursos legales o juicios que se interpongan y hasta que se dicte resolución definitiva por árbitro o autoridad competente. </w:t>
      </w:r>
    </w:p>
    <w:p w14:paraId="0987E141" w14:textId="77777777" w:rsidR="004307E6" w:rsidRPr="00673FD3" w:rsidRDefault="004307E6" w:rsidP="004307E6">
      <w:pPr>
        <w:suppressAutoHyphens/>
        <w:rPr>
          <w:rFonts w:ascii="Arial" w:hAnsi="Arial" w:cs="Arial"/>
          <w:sz w:val="22"/>
          <w:szCs w:val="22"/>
        </w:rPr>
      </w:pPr>
    </w:p>
    <w:p w14:paraId="3CD9203A" w14:textId="77777777" w:rsidR="004307E6" w:rsidRPr="00673FD3" w:rsidRDefault="004307E6" w:rsidP="004307E6">
      <w:pPr>
        <w:suppressAutoHyphens/>
        <w:rPr>
          <w:rFonts w:ascii="Arial" w:hAnsi="Arial" w:cs="Arial"/>
          <w:spacing w:val="-3"/>
          <w:sz w:val="22"/>
          <w:szCs w:val="22"/>
          <w:lang w:val="es-ES"/>
        </w:rPr>
      </w:pPr>
      <w:r w:rsidRPr="00673FD3">
        <w:rPr>
          <w:rFonts w:ascii="Arial" w:hAnsi="Arial" w:cs="Arial"/>
          <w:spacing w:val="-3"/>
          <w:sz w:val="22"/>
          <w:szCs w:val="22"/>
          <w:lang w:val="es-ES"/>
        </w:rPr>
        <w:t>g). - Cualquier juicio que se entable en virtud de esta fianza deberá iniciarse antes de transcurrido un año a partir de la fecha de emisión del certificado de terminación de las obras.</w:t>
      </w:r>
    </w:p>
    <w:p w14:paraId="70B631F3" w14:textId="77777777" w:rsidR="004307E6" w:rsidRPr="00673FD3" w:rsidRDefault="004307E6" w:rsidP="004307E6">
      <w:pPr>
        <w:suppressAutoHyphens/>
        <w:rPr>
          <w:rFonts w:ascii="Arial" w:hAnsi="Arial" w:cs="Arial"/>
          <w:spacing w:val="-3"/>
          <w:sz w:val="22"/>
          <w:szCs w:val="22"/>
          <w:lang w:val="es-ES"/>
        </w:rPr>
      </w:pPr>
    </w:p>
    <w:p w14:paraId="18A7322A" w14:textId="77777777" w:rsidR="004307E6" w:rsidRPr="00673FD3" w:rsidRDefault="004307E6" w:rsidP="004307E6">
      <w:pPr>
        <w:suppressAutoHyphens/>
        <w:rPr>
          <w:rFonts w:ascii="Arial" w:hAnsi="Arial" w:cs="Arial"/>
          <w:spacing w:val="-3"/>
          <w:sz w:val="22"/>
          <w:szCs w:val="22"/>
          <w:lang w:val="es-ES"/>
        </w:rPr>
      </w:pPr>
      <w:r w:rsidRPr="00673FD3">
        <w:rPr>
          <w:rFonts w:ascii="Arial" w:hAnsi="Arial" w:cs="Arial"/>
          <w:spacing w:val="-3"/>
          <w:sz w:val="22"/>
          <w:szCs w:val="22"/>
          <w:lang w:val="es-ES"/>
        </w:rPr>
        <w:t>h). - Ninguna persona o empresa del Contratante mencionado en el presente documento o sus herederos, albaceas, administradores, sucesores y cesionarios podrá tener o ejercer derecho alguno en virtud de esta fianza.</w:t>
      </w:r>
    </w:p>
    <w:p w14:paraId="613C2489" w14:textId="77777777" w:rsidR="004307E6" w:rsidRPr="00673FD3" w:rsidRDefault="004307E6" w:rsidP="004307E6">
      <w:pPr>
        <w:suppressAutoHyphens/>
        <w:rPr>
          <w:rFonts w:ascii="Arial" w:hAnsi="Arial" w:cs="Arial"/>
          <w:spacing w:val="-3"/>
          <w:sz w:val="22"/>
          <w:szCs w:val="22"/>
          <w:lang w:val="es-ES"/>
        </w:rPr>
      </w:pPr>
    </w:p>
    <w:p w14:paraId="5B528D36" w14:textId="77777777" w:rsidR="004307E6" w:rsidRPr="00673FD3" w:rsidRDefault="004307E6" w:rsidP="004307E6">
      <w:pPr>
        <w:suppressAutoHyphens/>
        <w:rPr>
          <w:rFonts w:ascii="Arial" w:hAnsi="Arial" w:cs="Arial"/>
          <w:i/>
          <w:iCs/>
          <w:spacing w:val="-3"/>
          <w:sz w:val="22"/>
          <w:szCs w:val="22"/>
          <w:lang w:val="es-ES"/>
        </w:rPr>
      </w:pPr>
      <w:r w:rsidRPr="00673FD3">
        <w:rPr>
          <w:rFonts w:ascii="Arial" w:hAnsi="Arial" w:cs="Arial"/>
          <w:spacing w:val="-3"/>
          <w:sz w:val="22"/>
          <w:szCs w:val="22"/>
          <w:lang w:val="es-ES"/>
        </w:rPr>
        <w:t xml:space="preserve">En fe de lo cual, el Contratista ha firmado y estampado su sello en este documento, y la Afianzadora ha hecho estampar su sello institucional en el presente documento, debidamente atestiguado por la firma de su representante legal, a los </w:t>
      </w:r>
      <w:r w:rsidRPr="00673FD3">
        <w:rPr>
          <w:rFonts w:ascii="Arial" w:hAnsi="Arial" w:cs="Arial"/>
          <w:i/>
          <w:iCs/>
          <w:color w:val="FF0000"/>
          <w:spacing w:val="-3"/>
          <w:sz w:val="22"/>
          <w:szCs w:val="22"/>
          <w:lang w:val="es-ES"/>
        </w:rPr>
        <w:t>(indique el número)</w:t>
      </w:r>
      <w:r w:rsidRPr="00673FD3">
        <w:rPr>
          <w:rFonts w:ascii="Arial" w:hAnsi="Arial" w:cs="Arial"/>
          <w:color w:val="FF0000"/>
          <w:spacing w:val="-3"/>
          <w:sz w:val="22"/>
          <w:szCs w:val="22"/>
          <w:lang w:val="es-ES"/>
        </w:rPr>
        <w:t xml:space="preserve"> </w:t>
      </w:r>
      <w:r w:rsidRPr="00673FD3">
        <w:rPr>
          <w:rFonts w:ascii="Arial" w:hAnsi="Arial" w:cs="Arial"/>
          <w:spacing w:val="-3"/>
          <w:sz w:val="22"/>
          <w:szCs w:val="22"/>
          <w:lang w:val="es-ES"/>
        </w:rPr>
        <w:t xml:space="preserve">días de </w:t>
      </w:r>
      <w:r w:rsidRPr="00673FD3">
        <w:rPr>
          <w:rFonts w:ascii="Arial" w:hAnsi="Arial" w:cs="Arial"/>
          <w:i/>
          <w:iCs/>
          <w:color w:val="FF0000"/>
          <w:spacing w:val="-3"/>
          <w:sz w:val="22"/>
          <w:szCs w:val="22"/>
          <w:lang w:val="es-ES"/>
        </w:rPr>
        <w:t xml:space="preserve">(indique el mes) </w:t>
      </w:r>
      <w:r w:rsidRPr="00673FD3">
        <w:rPr>
          <w:rFonts w:ascii="Arial" w:hAnsi="Arial" w:cs="Arial"/>
          <w:spacing w:val="-3"/>
          <w:sz w:val="22"/>
          <w:szCs w:val="22"/>
          <w:lang w:val="es-ES"/>
        </w:rPr>
        <w:t xml:space="preserve">de </w:t>
      </w:r>
      <w:r w:rsidRPr="00673FD3">
        <w:rPr>
          <w:rFonts w:ascii="Arial" w:hAnsi="Arial" w:cs="Arial"/>
          <w:i/>
          <w:iCs/>
          <w:color w:val="FF0000"/>
          <w:spacing w:val="-3"/>
          <w:sz w:val="22"/>
          <w:szCs w:val="22"/>
          <w:lang w:val="es-ES"/>
        </w:rPr>
        <w:t>(indique el año)</w:t>
      </w:r>
      <w:r w:rsidRPr="00673FD3">
        <w:rPr>
          <w:rFonts w:ascii="Arial" w:hAnsi="Arial" w:cs="Arial"/>
          <w:i/>
          <w:iCs/>
          <w:spacing w:val="-3"/>
          <w:sz w:val="22"/>
          <w:szCs w:val="22"/>
          <w:lang w:val="es-ES"/>
        </w:rPr>
        <w:t>.</w:t>
      </w:r>
    </w:p>
    <w:p w14:paraId="09002A9C" w14:textId="77777777" w:rsidR="004307E6" w:rsidRPr="00673FD3" w:rsidRDefault="004307E6" w:rsidP="004307E6">
      <w:pPr>
        <w:suppressAutoHyphens/>
        <w:rPr>
          <w:rFonts w:ascii="Arial" w:hAnsi="Arial" w:cs="Arial"/>
          <w:i/>
          <w:iCs/>
          <w:spacing w:val="-3"/>
          <w:sz w:val="22"/>
          <w:szCs w:val="22"/>
          <w:lang w:val="es-ES"/>
        </w:rPr>
      </w:pPr>
    </w:p>
    <w:p w14:paraId="666F5BEA" w14:textId="77777777" w:rsidR="004307E6" w:rsidRPr="00673FD3" w:rsidRDefault="004307E6" w:rsidP="004307E6">
      <w:pPr>
        <w:suppressAutoHyphens/>
        <w:rPr>
          <w:rFonts w:ascii="Arial" w:hAnsi="Arial" w:cs="Arial"/>
          <w:i/>
          <w:iCs/>
          <w:color w:val="FF0000"/>
          <w:spacing w:val="-3"/>
          <w:sz w:val="22"/>
          <w:szCs w:val="22"/>
          <w:lang w:val="es-ES"/>
        </w:rPr>
      </w:pPr>
      <w:r w:rsidRPr="00673FD3">
        <w:rPr>
          <w:rFonts w:ascii="Arial" w:hAnsi="Arial" w:cs="Arial"/>
          <w:spacing w:val="-3"/>
          <w:sz w:val="22"/>
          <w:szCs w:val="22"/>
          <w:lang w:val="es-ES"/>
        </w:rPr>
        <w:t xml:space="preserve">Firmado por </w:t>
      </w:r>
      <w:r w:rsidRPr="00673FD3">
        <w:rPr>
          <w:rFonts w:ascii="Arial" w:hAnsi="Arial" w:cs="Arial"/>
          <w:i/>
          <w:iCs/>
          <w:color w:val="FF0000"/>
          <w:spacing w:val="-3"/>
          <w:sz w:val="22"/>
          <w:szCs w:val="22"/>
          <w:lang w:val="es-ES"/>
        </w:rPr>
        <w:t xml:space="preserve">(indique la(s) firma(s) del (de los) representante(s) autorizado(s)) </w:t>
      </w:r>
    </w:p>
    <w:p w14:paraId="59261784"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En nombre de </w:t>
      </w:r>
      <w:r w:rsidRPr="00673FD3">
        <w:rPr>
          <w:rFonts w:ascii="Arial" w:hAnsi="Arial" w:cs="Arial"/>
          <w:i/>
          <w:iCs/>
          <w:color w:val="FF0000"/>
          <w:spacing w:val="-3"/>
          <w:sz w:val="22"/>
          <w:szCs w:val="22"/>
          <w:lang w:val="es-ES" w:eastAsia="en-US"/>
        </w:rPr>
        <w:t xml:space="preserve">(nombre del Contratista) </w:t>
      </w:r>
      <w:r w:rsidRPr="00673FD3">
        <w:rPr>
          <w:rFonts w:ascii="Arial" w:hAnsi="Arial" w:cs="Arial"/>
          <w:spacing w:val="-3"/>
          <w:sz w:val="22"/>
          <w:szCs w:val="22"/>
          <w:lang w:val="es-ES" w:eastAsia="en-US"/>
        </w:rPr>
        <w:t xml:space="preserve">en calidad de </w:t>
      </w:r>
      <w:r w:rsidRPr="00673FD3">
        <w:rPr>
          <w:rFonts w:ascii="Arial" w:hAnsi="Arial" w:cs="Arial"/>
          <w:i/>
          <w:iCs/>
          <w:color w:val="FF0000"/>
          <w:spacing w:val="-3"/>
          <w:sz w:val="22"/>
          <w:szCs w:val="22"/>
          <w:lang w:val="es-ES" w:eastAsia="en-US"/>
        </w:rPr>
        <w:t>(indicar el cargo)</w:t>
      </w:r>
    </w:p>
    <w:p w14:paraId="2561184B"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p>
    <w:p w14:paraId="18EDB9F5"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En presencia de </w:t>
      </w:r>
      <w:r w:rsidRPr="00673FD3">
        <w:rPr>
          <w:rFonts w:ascii="Arial" w:hAnsi="Arial" w:cs="Arial"/>
          <w:i/>
          <w:iCs/>
          <w:color w:val="FF0000"/>
          <w:spacing w:val="-3"/>
          <w:sz w:val="22"/>
          <w:szCs w:val="22"/>
          <w:lang w:val="es-ES" w:eastAsia="en-US"/>
        </w:rPr>
        <w:t>(indique el nombre y la firma del testigo)</w:t>
      </w:r>
    </w:p>
    <w:p w14:paraId="7303B522"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Fecha </w:t>
      </w:r>
      <w:r w:rsidRPr="00673FD3">
        <w:rPr>
          <w:rFonts w:ascii="Arial" w:hAnsi="Arial" w:cs="Arial"/>
          <w:i/>
          <w:iCs/>
          <w:color w:val="FF0000"/>
          <w:spacing w:val="-3"/>
          <w:sz w:val="22"/>
          <w:szCs w:val="22"/>
          <w:lang w:val="es-ES" w:eastAsia="en-US"/>
        </w:rPr>
        <w:t>(indique la fecha)</w:t>
      </w:r>
    </w:p>
    <w:p w14:paraId="7048BDFA"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p>
    <w:p w14:paraId="31AD1DED" w14:textId="77777777" w:rsidR="004307E6" w:rsidRPr="00673FD3" w:rsidRDefault="004307E6" w:rsidP="004307E6">
      <w:pPr>
        <w:suppressAutoHyphens/>
        <w:rPr>
          <w:rFonts w:ascii="Arial" w:hAnsi="Arial" w:cs="Arial"/>
          <w:i/>
          <w:iCs/>
          <w:color w:val="FF0000"/>
          <w:spacing w:val="-3"/>
          <w:sz w:val="22"/>
          <w:szCs w:val="22"/>
          <w:lang w:val="es-ES"/>
        </w:rPr>
      </w:pPr>
      <w:r w:rsidRPr="00673FD3">
        <w:rPr>
          <w:rFonts w:ascii="Arial" w:hAnsi="Arial" w:cs="Arial"/>
          <w:spacing w:val="-3"/>
          <w:sz w:val="22"/>
          <w:szCs w:val="22"/>
          <w:lang w:val="es-ES"/>
        </w:rPr>
        <w:t xml:space="preserve">Firmado por </w:t>
      </w:r>
      <w:r w:rsidRPr="00673FD3">
        <w:rPr>
          <w:rFonts w:ascii="Arial" w:hAnsi="Arial" w:cs="Arial"/>
          <w:i/>
          <w:iCs/>
          <w:color w:val="FF0000"/>
          <w:spacing w:val="-3"/>
          <w:sz w:val="22"/>
          <w:szCs w:val="22"/>
          <w:lang w:val="es-ES"/>
        </w:rPr>
        <w:t>(indique la(s) firma(s) del (de los) representante(s) autorizado(s) del Fiador)</w:t>
      </w:r>
    </w:p>
    <w:p w14:paraId="5961DB8C"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En nombre de </w:t>
      </w:r>
      <w:r w:rsidRPr="00673FD3">
        <w:rPr>
          <w:rFonts w:ascii="Arial" w:hAnsi="Arial" w:cs="Arial"/>
          <w:i/>
          <w:iCs/>
          <w:color w:val="FF0000"/>
          <w:spacing w:val="-3"/>
          <w:sz w:val="22"/>
          <w:szCs w:val="22"/>
          <w:lang w:val="es-ES" w:eastAsia="en-US"/>
        </w:rPr>
        <w:t xml:space="preserve">(nombre del Fiador) </w:t>
      </w:r>
      <w:r w:rsidRPr="00673FD3">
        <w:rPr>
          <w:rFonts w:ascii="Arial" w:hAnsi="Arial" w:cs="Arial"/>
          <w:spacing w:val="-3"/>
          <w:sz w:val="22"/>
          <w:szCs w:val="22"/>
          <w:lang w:val="es-ES" w:eastAsia="en-US"/>
        </w:rPr>
        <w:t xml:space="preserve">en calidad de </w:t>
      </w:r>
      <w:r w:rsidRPr="00673FD3">
        <w:rPr>
          <w:rFonts w:ascii="Arial" w:hAnsi="Arial" w:cs="Arial"/>
          <w:i/>
          <w:iCs/>
          <w:color w:val="FF0000"/>
          <w:spacing w:val="-3"/>
          <w:sz w:val="22"/>
          <w:szCs w:val="22"/>
          <w:lang w:val="es-ES" w:eastAsia="en-US"/>
        </w:rPr>
        <w:t>(indicar el cargo)</w:t>
      </w:r>
    </w:p>
    <w:p w14:paraId="1A306A85"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p>
    <w:p w14:paraId="4E732FEE" w14:textId="77777777" w:rsidR="004307E6" w:rsidRPr="00673FD3" w:rsidRDefault="004307E6" w:rsidP="004307E6">
      <w:pPr>
        <w:pStyle w:val="Normali"/>
        <w:keepLines w:val="0"/>
        <w:tabs>
          <w:tab w:val="clear" w:pos="1843"/>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En presencia de </w:t>
      </w:r>
      <w:r w:rsidRPr="00673FD3">
        <w:rPr>
          <w:rFonts w:ascii="Arial" w:hAnsi="Arial" w:cs="Arial"/>
          <w:i/>
          <w:iCs/>
          <w:color w:val="FF0000"/>
          <w:spacing w:val="-3"/>
          <w:sz w:val="22"/>
          <w:szCs w:val="22"/>
          <w:lang w:val="es-ES" w:eastAsia="en-US"/>
        </w:rPr>
        <w:t>(indique el nombre y la firma del testigo)</w:t>
      </w:r>
    </w:p>
    <w:p w14:paraId="34029F78" w14:textId="77777777" w:rsidR="004307E6" w:rsidRPr="00673FD3" w:rsidRDefault="004307E6" w:rsidP="004307E6">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Arial" w:hAnsi="Arial" w:cs="Arial"/>
          <w:i/>
          <w:iCs/>
          <w:spacing w:val="-3"/>
          <w:sz w:val="22"/>
          <w:szCs w:val="22"/>
          <w:lang w:val="es-ES" w:eastAsia="en-US"/>
        </w:rPr>
      </w:pPr>
      <w:r w:rsidRPr="00673FD3">
        <w:rPr>
          <w:rFonts w:ascii="Arial" w:hAnsi="Arial" w:cs="Arial"/>
          <w:spacing w:val="-3"/>
          <w:sz w:val="22"/>
          <w:szCs w:val="22"/>
          <w:lang w:val="es-ES" w:eastAsia="en-US"/>
        </w:rPr>
        <w:t xml:space="preserve">Fecha </w:t>
      </w:r>
      <w:r w:rsidRPr="00673FD3">
        <w:rPr>
          <w:rFonts w:ascii="Arial" w:hAnsi="Arial" w:cs="Arial"/>
          <w:i/>
          <w:iCs/>
          <w:color w:val="FF0000"/>
          <w:spacing w:val="-3"/>
          <w:sz w:val="22"/>
          <w:szCs w:val="22"/>
          <w:lang w:val="es-ES" w:eastAsia="en-US"/>
        </w:rPr>
        <w:t>(indique la fecha)</w:t>
      </w:r>
    </w:p>
    <w:p w14:paraId="63AC888C" w14:textId="77777777" w:rsidR="004307E6" w:rsidRPr="00673FD3" w:rsidRDefault="004307E6" w:rsidP="004307E6">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Arial" w:hAnsi="Arial" w:cs="Arial"/>
          <w:i/>
          <w:iCs/>
          <w:spacing w:val="-3"/>
          <w:sz w:val="22"/>
          <w:szCs w:val="22"/>
          <w:lang w:val="es-ES" w:eastAsia="en-US"/>
        </w:rPr>
      </w:pPr>
    </w:p>
    <w:p w14:paraId="6CFF4769" w14:textId="77777777" w:rsidR="004307E6" w:rsidRPr="00673FD3" w:rsidRDefault="004307E6" w:rsidP="004307E6">
      <w:pPr>
        <w:spacing w:after="160" w:line="259" w:lineRule="auto"/>
        <w:jc w:val="left"/>
        <w:rPr>
          <w:rFonts w:ascii="Arial" w:hAnsi="Arial" w:cs="Arial"/>
          <w:sz w:val="22"/>
          <w:szCs w:val="22"/>
        </w:rPr>
      </w:pPr>
      <w:r w:rsidRPr="00673FD3">
        <w:rPr>
          <w:rFonts w:ascii="Arial" w:hAnsi="Arial" w:cs="Arial"/>
          <w:sz w:val="22"/>
          <w:szCs w:val="22"/>
        </w:rPr>
        <w:br w:type="page"/>
      </w:r>
    </w:p>
    <w:p w14:paraId="18637E35" w14:textId="77777777" w:rsidR="004307E6" w:rsidRPr="00673FD3" w:rsidRDefault="004307E6" w:rsidP="004307E6">
      <w:pPr>
        <w:jc w:val="center"/>
        <w:rPr>
          <w:rFonts w:ascii="Arial" w:hAnsi="Arial" w:cs="Arial"/>
          <w:b/>
          <w:bCs/>
          <w:sz w:val="22"/>
          <w:szCs w:val="22"/>
          <w:lang w:val="es-ES"/>
        </w:rPr>
      </w:pPr>
      <w:r w:rsidRPr="00673FD3">
        <w:rPr>
          <w:rFonts w:ascii="Arial" w:hAnsi="Arial" w:cs="Arial"/>
          <w:b/>
          <w:bCs/>
          <w:sz w:val="22"/>
          <w:szCs w:val="22"/>
          <w:lang w:val="es-ES"/>
        </w:rPr>
        <w:lastRenderedPageBreak/>
        <w:t>Garantía Bancaria por Pago de Anticipo</w:t>
      </w:r>
      <w:bookmarkEnd w:id="2456"/>
    </w:p>
    <w:p w14:paraId="3BED82DB" w14:textId="77777777" w:rsidR="004307E6" w:rsidRPr="00673FD3" w:rsidRDefault="004307E6" w:rsidP="004307E6">
      <w:pPr>
        <w:jc w:val="center"/>
        <w:rPr>
          <w:rFonts w:ascii="Arial" w:hAnsi="Arial" w:cs="Arial"/>
          <w:b/>
          <w:bCs/>
          <w:sz w:val="22"/>
          <w:szCs w:val="22"/>
          <w:lang w:val="es-ES"/>
        </w:rPr>
      </w:pPr>
      <w:r w:rsidRPr="00673FD3">
        <w:rPr>
          <w:rFonts w:ascii="Arial" w:hAnsi="Arial" w:cs="Arial"/>
          <w:b/>
          <w:bCs/>
          <w:sz w:val="22"/>
          <w:szCs w:val="22"/>
          <w:lang w:val="es-ES"/>
        </w:rPr>
        <w:t>Garantía a primer requerimiento</w:t>
      </w:r>
    </w:p>
    <w:p w14:paraId="21C1EFF7" w14:textId="77777777" w:rsidR="004307E6" w:rsidRPr="00673FD3" w:rsidRDefault="004307E6" w:rsidP="004307E6">
      <w:pPr>
        <w:numPr>
          <w:ilvl w:val="12"/>
          <w:numId w:val="0"/>
        </w:numPr>
        <w:spacing w:before="120" w:after="120"/>
        <w:rPr>
          <w:rFonts w:ascii="Arial" w:hAnsi="Arial" w:cs="Arial"/>
          <w:i/>
          <w:iCs/>
          <w:color w:val="FF0000"/>
          <w:sz w:val="22"/>
          <w:szCs w:val="22"/>
          <w:lang w:val="es-ES"/>
        </w:rPr>
      </w:pPr>
      <w:r w:rsidRPr="00673FD3">
        <w:rPr>
          <w:rFonts w:ascii="Arial" w:hAnsi="Arial" w:cs="Arial"/>
          <w:i/>
          <w:iCs/>
          <w:color w:val="FF0000"/>
          <w:sz w:val="22"/>
          <w:szCs w:val="22"/>
          <w:lang w:val="es-ES"/>
        </w:rPr>
        <w:t xml:space="preserve">(El </w:t>
      </w:r>
      <w:r w:rsidRPr="00673FD3">
        <w:rPr>
          <w:rFonts w:ascii="Arial" w:hAnsi="Arial" w:cs="Arial"/>
          <w:b/>
          <w:bCs/>
          <w:i/>
          <w:iCs/>
          <w:color w:val="FF0000"/>
          <w:sz w:val="22"/>
          <w:szCs w:val="22"/>
          <w:lang w:val="es-ES"/>
        </w:rPr>
        <w:t>Banco / Oferente seleccionado</w:t>
      </w:r>
      <w:r w:rsidRPr="00673FD3">
        <w:rPr>
          <w:rFonts w:ascii="Arial" w:hAnsi="Arial" w:cs="Arial"/>
          <w:i/>
          <w:iCs/>
          <w:color w:val="FF0000"/>
          <w:sz w:val="22"/>
          <w:szCs w:val="22"/>
          <w:lang w:val="es-ES"/>
        </w:rPr>
        <w:t xml:space="preserve"> que presenta esta Garantía deberá completar este formulario de acuerdo con las instrucciones indicadas entre corchetes, si en virtud del Contrato se hará un pago anticipado)</w:t>
      </w:r>
    </w:p>
    <w:p w14:paraId="281F997E" w14:textId="77777777" w:rsidR="004307E6" w:rsidRPr="00673FD3" w:rsidRDefault="004307E6" w:rsidP="004307E6">
      <w:pPr>
        <w:numPr>
          <w:ilvl w:val="12"/>
          <w:numId w:val="0"/>
        </w:numPr>
        <w:spacing w:before="120" w:after="120"/>
        <w:ind w:left="3960" w:hanging="3960"/>
        <w:rPr>
          <w:rFonts w:ascii="Arial" w:hAnsi="Arial" w:cs="Arial"/>
          <w:i/>
          <w:iCs/>
          <w:color w:val="FF0000"/>
          <w:sz w:val="22"/>
          <w:szCs w:val="22"/>
          <w:lang w:val="es-ES"/>
        </w:rPr>
      </w:pPr>
      <w:r w:rsidRPr="00673FD3">
        <w:rPr>
          <w:rFonts w:ascii="Arial" w:hAnsi="Arial" w:cs="Arial"/>
          <w:i/>
          <w:iCs/>
          <w:color w:val="FF0000"/>
          <w:sz w:val="22"/>
          <w:szCs w:val="22"/>
          <w:lang w:val="es-ES"/>
        </w:rPr>
        <w:t>(Membrete o código de identificación SWIFT del Garante)</w:t>
      </w:r>
    </w:p>
    <w:p w14:paraId="5F504A8B" w14:textId="77777777" w:rsidR="004307E6" w:rsidRPr="00673FD3" w:rsidRDefault="004307E6" w:rsidP="004307E6">
      <w:pPr>
        <w:numPr>
          <w:ilvl w:val="12"/>
          <w:numId w:val="0"/>
        </w:numPr>
        <w:spacing w:before="120" w:after="120"/>
        <w:ind w:left="3960" w:hanging="3960"/>
        <w:rPr>
          <w:rFonts w:ascii="Arial" w:hAnsi="Arial" w:cs="Arial"/>
          <w:i/>
          <w:iCs/>
          <w:color w:val="FF0000"/>
          <w:sz w:val="22"/>
          <w:szCs w:val="22"/>
          <w:lang w:val="es-ES"/>
        </w:rPr>
      </w:pPr>
      <w:r w:rsidRPr="00673FD3">
        <w:rPr>
          <w:rFonts w:ascii="Arial" w:hAnsi="Arial" w:cs="Arial"/>
          <w:i/>
          <w:iCs/>
          <w:color w:val="FF0000"/>
          <w:sz w:val="22"/>
          <w:szCs w:val="22"/>
          <w:lang w:val="es-ES"/>
        </w:rPr>
        <w:t>(Indique el Nombre del Banco, y la dirección de la sucursal u oficina que emite la garantía)</w:t>
      </w:r>
    </w:p>
    <w:p w14:paraId="2648932F" w14:textId="77777777" w:rsidR="004307E6" w:rsidRPr="00673FD3" w:rsidRDefault="004307E6" w:rsidP="004307E6">
      <w:pPr>
        <w:numPr>
          <w:ilvl w:val="12"/>
          <w:numId w:val="0"/>
        </w:numPr>
        <w:spacing w:before="120" w:after="120"/>
        <w:rPr>
          <w:rFonts w:ascii="Arial" w:hAnsi="Arial" w:cs="Arial"/>
          <w:i/>
          <w:iCs/>
          <w:sz w:val="22"/>
          <w:szCs w:val="22"/>
          <w:lang w:val="es-ES"/>
        </w:rPr>
      </w:pPr>
      <w:r w:rsidRPr="00673FD3">
        <w:rPr>
          <w:rFonts w:ascii="Arial" w:hAnsi="Arial" w:cs="Arial"/>
          <w:b/>
          <w:bCs/>
          <w:sz w:val="22"/>
          <w:szCs w:val="22"/>
          <w:lang w:val="es-ES"/>
        </w:rPr>
        <w:t xml:space="preserve">Beneficiario: </w:t>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b/>
          <w:bCs/>
          <w:sz w:val="22"/>
          <w:szCs w:val="22"/>
          <w:lang w:val="es-ES"/>
        </w:rPr>
        <w:softHyphen/>
      </w:r>
      <w:r w:rsidRPr="00673FD3">
        <w:rPr>
          <w:rFonts w:ascii="Arial" w:hAnsi="Arial" w:cs="Arial"/>
          <w:i/>
          <w:iCs/>
          <w:sz w:val="22"/>
          <w:szCs w:val="22"/>
          <w:lang w:val="es-ES"/>
        </w:rPr>
        <w:t xml:space="preserve"> </w:t>
      </w:r>
      <w:r w:rsidRPr="00673FD3">
        <w:rPr>
          <w:rFonts w:ascii="Arial" w:hAnsi="Arial" w:cs="Arial"/>
          <w:i/>
          <w:iCs/>
          <w:color w:val="FF0000"/>
          <w:sz w:val="22"/>
          <w:szCs w:val="22"/>
          <w:lang w:val="es-ES"/>
        </w:rPr>
        <w:t>(indique el Nombre y dirección del Contratante)</w:t>
      </w:r>
    </w:p>
    <w:p w14:paraId="49434000" w14:textId="77777777" w:rsidR="004307E6" w:rsidRPr="00673FD3" w:rsidRDefault="004307E6" w:rsidP="004307E6">
      <w:pPr>
        <w:numPr>
          <w:ilvl w:val="12"/>
          <w:numId w:val="0"/>
        </w:numPr>
        <w:spacing w:before="120" w:after="120"/>
        <w:rPr>
          <w:rFonts w:ascii="Arial" w:hAnsi="Arial" w:cs="Arial"/>
          <w:bCs/>
          <w:i/>
          <w:sz w:val="22"/>
          <w:szCs w:val="22"/>
          <w:lang w:val="es-ES"/>
        </w:rPr>
      </w:pPr>
      <w:r w:rsidRPr="00673FD3">
        <w:rPr>
          <w:rFonts w:ascii="Arial" w:hAnsi="Arial" w:cs="Arial"/>
          <w:b/>
          <w:bCs/>
          <w:sz w:val="22"/>
          <w:szCs w:val="22"/>
          <w:lang w:val="es-ES"/>
        </w:rPr>
        <w:t xml:space="preserve">Llamado a Licitación SDO No.: </w:t>
      </w:r>
      <w:r w:rsidRPr="00673FD3">
        <w:rPr>
          <w:rFonts w:ascii="Arial" w:hAnsi="Arial" w:cs="Arial"/>
          <w:bCs/>
          <w:i/>
          <w:sz w:val="22"/>
          <w:szCs w:val="22"/>
          <w:lang w:val="es-ES"/>
        </w:rPr>
        <w:t>(indique número de referencia del Llamado a Licitación o del proceso de selección)</w:t>
      </w:r>
    </w:p>
    <w:p w14:paraId="33FB163E" w14:textId="77777777" w:rsidR="004307E6" w:rsidRPr="00673FD3" w:rsidRDefault="004307E6" w:rsidP="004307E6">
      <w:pPr>
        <w:numPr>
          <w:ilvl w:val="12"/>
          <w:numId w:val="0"/>
        </w:numPr>
        <w:spacing w:before="120" w:after="120"/>
        <w:rPr>
          <w:rFonts w:ascii="Arial" w:hAnsi="Arial" w:cs="Arial"/>
          <w:b/>
          <w:bCs/>
          <w:color w:val="FF0000"/>
          <w:sz w:val="22"/>
          <w:szCs w:val="22"/>
          <w:lang w:val="es-ES"/>
        </w:rPr>
      </w:pPr>
      <w:r w:rsidRPr="00673FD3">
        <w:rPr>
          <w:rFonts w:ascii="Arial" w:hAnsi="Arial" w:cs="Arial"/>
          <w:b/>
          <w:bCs/>
          <w:sz w:val="22"/>
          <w:szCs w:val="22"/>
          <w:lang w:val="es-ES"/>
        </w:rPr>
        <w:t>Fecha</w:t>
      </w:r>
      <w:r w:rsidRPr="00673FD3">
        <w:rPr>
          <w:rFonts w:ascii="Arial" w:hAnsi="Arial" w:cs="Arial"/>
          <w:sz w:val="22"/>
          <w:szCs w:val="22"/>
          <w:lang w:val="es-ES"/>
        </w:rPr>
        <w:t>:</w:t>
      </w:r>
      <w:r w:rsidRPr="00673FD3">
        <w:rPr>
          <w:rFonts w:ascii="Arial" w:hAnsi="Arial" w:cs="Arial"/>
          <w:color w:val="FF0000"/>
          <w:sz w:val="22"/>
          <w:szCs w:val="22"/>
          <w:lang w:val="es-ES"/>
        </w:rPr>
        <w:t xml:space="preserve"> </w:t>
      </w:r>
      <w:r w:rsidRPr="00673FD3">
        <w:rPr>
          <w:rFonts w:ascii="Arial" w:hAnsi="Arial" w:cs="Arial"/>
          <w:i/>
          <w:iCs/>
          <w:color w:val="FF0000"/>
          <w:sz w:val="22"/>
          <w:szCs w:val="22"/>
          <w:lang w:val="es-ES"/>
        </w:rPr>
        <w:t>(indique la fecha de emisión)</w:t>
      </w:r>
      <w:r w:rsidRPr="00673FD3">
        <w:rPr>
          <w:rFonts w:ascii="Arial" w:hAnsi="Arial" w:cs="Arial"/>
          <w:b/>
          <w:bCs/>
          <w:color w:val="FF0000"/>
          <w:sz w:val="22"/>
          <w:szCs w:val="22"/>
          <w:lang w:val="es-ES"/>
        </w:rPr>
        <w:t xml:space="preserve"> </w:t>
      </w:r>
    </w:p>
    <w:p w14:paraId="429124FC" w14:textId="77777777" w:rsidR="004307E6" w:rsidRPr="00673FD3" w:rsidRDefault="004307E6" w:rsidP="004307E6">
      <w:pPr>
        <w:numPr>
          <w:ilvl w:val="12"/>
          <w:numId w:val="0"/>
        </w:numPr>
        <w:spacing w:before="120" w:after="120"/>
        <w:rPr>
          <w:rFonts w:ascii="Arial" w:hAnsi="Arial" w:cs="Arial"/>
          <w:sz w:val="22"/>
          <w:szCs w:val="22"/>
          <w:lang w:val="es-ES"/>
        </w:rPr>
      </w:pPr>
      <w:r w:rsidRPr="00673FD3">
        <w:rPr>
          <w:rFonts w:ascii="Arial" w:hAnsi="Arial" w:cs="Arial"/>
          <w:b/>
          <w:iCs/>
          <w:sz w:val="22"/>
          <w:szCs w:val="22"/>
          <w:lang w:val="es-ES"/>
        </w:rPr>
        <w:t xml:space="preserve">Garante: </w:t>
      </w:r>
      <w:r w:rsidRPr="00673FD3">
        <w:rPr>
          <w:rFonts w:ascii="Arial" w:hAnsi="Arial" w:cs="Arial"/>
          <w:i/>
          <w:iCs/>
          <w:sz w:val="22"/>
          <w:szCs w:val="22"/>
          <w:lang w:val="es-ES"/>
        </w:rPr>
        <w:t>(Indique el nombre y la dirección del lugar de emisión salvo que esté indicado en el membrete)</w:t>
      </w:r>
    </w:p>
    <w:p w14:paraId="5544B6EE" w14:textId="77777777" w:rsidR="004307E6" w:rsidRPr="00673FD3" w:rsidRDefault="004307E6" w:rsidP="004307E6">
      <w:pPr>
        <w:numPr>
          <w:ilvl w:val="12"/>
          <w:numId w:val="0"/>
        </w:numPr>
        <w:spacing w:before="120" w:after="120"/>
        <w:rPr>
          <w:rFonts w:ascii="Arial" w:hAnsi="Arial" w:cs="Arial"/>
          <w:i/>
          <w:iCs/>
          <w:sz w:val="22"/>
          <w:szCs w:val="22"/>
          <w:lang w:val="es-ES"/>
        </w:rPr>
      </w:pPr>
      <w:r w:rsidRPr="00673FD3">
        <w:rPr>
          <w:rFonts w:ascii="Arial" w:hAnsi="Arial" w:cs="Arial"/>
          <w:b/>
          <w:bCs/>
          <w:sz w:val="22"/>
          <w:szCs w:val="22"/>
          <w:lang w:val="es-ES"/>
        </w:rPr>
        <w:t>GARANTÍA POR PAGO DE ANTICIPO No</w:t>
      </w:r>
      <w:r w:rsidRPr="00673FD3">
        <w:rPr>
          <w:rFonts w:ascii="Arial" w:hAnsi="Arial" w:cs="Arial"/>
          <w:sz w:val="22"/>
          <w:szCs w:val="22"/>
          <w:lang w:val="es-ES"/>
        </w:rPr>
        <w:t xml:space="preserve">.: </w:t>
      </w:r>
      <w:r w:rsidRPr="00673FD3">
        <w:rPr>
          <w:rFonts w:ascii="Arial" w:hAnsi="Arial" w:cs="Arial"/>
          <w:i/>
          <w:iCs/>
          <w:color w:val="FF0000"/>
          <w:sz w:val="22"/>
          <w:szCs w:val="22"/>
          <w:lang w:val="es-ES"/>
        </w:rPr>
        <w:t>(indique el número de referencia de la Garantía)</w:t>
      </w:r>
    </w:p>
    <w:p w14:paraId="482AAB11" w14:textId="77777777" w:rsidR="004307E6" w:rsidRPr="00673FD3" w:rsidRDefault="004307E6" w:rsidP="004307E6">
      <w:pPr>
        <w:numPr>
          <w:ilvl w:val="12"/>
          <w:numId w:val="0"/>
        </w:numPr>
        <w:spacing w:before="120" w:after="120"/>
        <w:rPr>
          <w:rFonts w:ascii="Arial" w:hAnsi="Arial" w:cs="Arial"/>
          <w:sz w:val="22"/>
          <w:szCs w:val="22"/>
          <w:lang w:val="es-ES"/>
        </w:rPr>
      </w:pPr>
      <w:r w:rsidRPr="00673FD3">
        <w:rPr>
          <w:rFonts w:ascii="Arial" w:hAnsi="Arial" w:cs="Arial"/>
          <w:i/>
          <w:iCs/>
          <w:sz w:val="22"/>
          <w:szCs w:val="22"/>
          <w:lang w:val="es-ES"/>
        </w:rPr>
        <w:t>S</w:t>
      </w:r>
      <w:r w:rsidRPr="00673FD3">
        <w:rPr>
          <w:rFonts w:ascii="Arial" w:hAnsi="Arial" w:cs="Arial"/>
          <w:sz w:val="22"/>
          <w:szCs w:val="22"/>
          <w:lang w:val="es-ES"/>
        </w:rPr>
        <w:t xml:space="preserve">e nos ha informado que </w:t>
      </w:r>
      <w:r w:rsidRPr="00673FD3">
        <w:rPr>
          <w:rFonts w:ascii="Arial" w:hAnsi="Arial" w:cs="Arial"/>
          <w:i/>
          <w:iCs/>
          <w:color w:val="FF0000"/>
          <w:sz w:val="22"/>
          <w:szCs w:val="22"/>
          <w:lang w:val="es-ES"/>
        </w:rPr>
        <w:t>(indique nombre del Contratista)</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(en adelante denominado “el Contratista”, (el cual en caso de APCA será el nombre de esta asociación si está legalmente constituida o por constituir, o los nombres de sus miembros)) ha celebrado con ustedes el contrato No. </w:t>
      </w:r>
      <w:r w:rsidRPr="00673FD3">
        <w:rPr>
          <w:rFonts w:ascii="Arial" w:hAnsi="Arial" w:cs="Arial"/>
          <w:i/>
          <w:iCs/>
          <w:color w:val="FF0000"/>
          <w:sz w:val="22"/>
          <w:szCs w:val="22"/>
          <w:lang w:val="es-ES"/>
        </w:rPr>
        <w:t xml:space="preserve">(número de referencia del contrato) </w:t>
      </w:r>
      <w:r w:rsidRPr="00673FD3">
        <w:rPr>
          <w:rFonts w:ascii="Arial" w:hAnsi="Arial" w:cs="Arial"/>
          <w:iCs/>
          <w:color w:val="FF0000"/>
          <w:sz w:val="22"/>
          <w:szCs w:val="22"/>
          <w:lang w:val="es-ES"/>
        </w:rPr>
        <w:t xml:space="preserve">denominado </w:t>
      </w:r>
      <w:r w:rsidRPr="00673FD3">
        <w:rPr>
          <w:rFonts w:ascii="Arial" w:hAnsi="Arial" w:cs="Arial"/>
          <w:i/>
          <w:iCs/>
          <w:color w:val="FF0000"/>
          <w:sz w:val="22"/>
          <w:szCs w:val="22"/>
          <w:lang w:val="es-ES"/>
        </w:rPr>
        <w:t xml:space="preserve">(indique el nombre del contrato, en caso de existir) </w:t>
      </w:r>
      <w:r w:rsidRPr="00673FD3">
        <w:rPr>
          <w:rFonts w:ascii="Arial" w:hAnsi="Arial" w:cs="Arial"/>
          <w:sz w:val="22"/>
          <w:szCs w:val="22"/>
          <w:lang w:val="es-ES"/>
        </w:rPr>
        <w:t xml:space="preserve">de fecha </w:t>
      </w:r>
      <w:r w:rsidRPr="00673FD3">
        <w:rPr>
          <w:rFonts w:ascii="Arial" w:hAnsi="Arial" w:cs="Arial"/>
          <w:color w:val="FF0000"/>
          <w:sz w:val="22"/>
          <w:szCs w:val="22"/>
          <w:lang w:val="es-ES"/>
        </w:rPr>
        <w:t>(</w:t>
      </w:r>
      <w:r w:rsidRPr="00673FD3">
        <w:rPr>
          <w:rFonts w:ascii="Arial" w:hAnsi="Arial" w:cs="Arial"/>
          <w:i/>
          <w:iCs/>
          <w:color w:val="FF0000"/>
          <w:sz w:val="22"/>
          <w:szCs w:val="22"/>
          <w:lang w:val="es-ES"/>
        </w:rPr>
        <w:t>indique la fecha del contrato)</w:t>
      </w:r>
      <w:r w:rsidRPr="00673FD3">
        <w:rPr>
          <w:rFonts w:ascii="Arial" w:hAnsi="Arial" w:cs="Arial"/>
          <w:sz w:val="22"/>
          <w:szCs w:val="22"/>
          <w:lang w:val="es-ES"/>
        </w:rPr>
        <w:t xml:space="preserve">, para la ejecución de </w:t>
      </w:r>
      <w:r w:rsidRPr="00673FD3">
        <w:rPr>
          <w:rFonts w:ascii="Arial" w:hAnsi="Arial" w:cs="Arial"/>
          <w:i/>
          <w:iCs/>
          <w:color w:val="FF0000"/>
          <w:sz w:val="22"/>
          <w:szCs w:val="22"/>
          <w:lang w:val="es-ES"/>
        </w:rPr>
        <w:t>(indique el nombre del contrato y una breve descripción de las Obras)</w:t>
      </w:r>
      <w:r w:rsidRPr="00673FD3">
        <w:rPr>
          <w:rFonts w:ascii="Arial" w:hAnsi="Arial" w:cs="Arial"/>
          <w:i/>
          <w:iCs/>
          <w:sz w:val="22"/>
          <w:szCs w:val="22"/>
          <w:lang w:val="es-ES"/>
        </w:rPr>
        <w:t xml:space="preserve"> </w:t>
      </w:r>
      <w:r w:rsidRPr="00673FD3">
        <w:rPr>
          <w:rFonts w:ascii="Arial" w:hAnsi="Arial" w:cs="Arial"/>
          <w:sz w:val="22"/>
          <w:szCs w:val="22"/>
          <w:lang w:val="es-ES"/>
        </w:rPr>
        <w:t>(en adelante denominado “el Contrato”).</w:t>
      </w:r>
    </w:p>
    <w:p w14:paraId="27F18684" w14:textId="77777777" w:rsidR="004307E6" w:rsidRPr="00673FD3" w:rsidRDefault="004307E6" w:rsidP="004307E6">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Así mismo, entendemos que, de acuerdo con las condiciones del Contrato, se dará al Contratista un anticipo contra una garantía por pago de anticipo por la suma o sumas indicada(s) a continuación.</w:t>
      </w:r>
    </w:p>
    <w:p w14:paraId="77C23989" w14:textId="77777777" w:rsidR="004307E6" w:rsidRPr="00673FD3" w:rsidRDefault="004307E6" w:rsidP="004307E6">
      <w:pPr>
        <w:numPr>
          <w:ilvl w:val="12"/>
          <w:numId w:val="0"/>
        </w:numPr>
        <w:spacing w:before="120" w:after="120"/>
        <w:rPr>
          <w:rFonts w:ascii="Arial" w:hAnsi="Arial" w:cs="Arial"/>
          <w:i/>
          <w:sz w:val="22"/>
          <w:szCs w:val="22"/>
          <w:lang w:val="es-ES"/>
        </w:rPr>
      </w:pPr>
      <w:r w:rsidRPr="00673FD3">
        <w:rPr>
          <w:rFonts w:ascii="Arial" w:hAnsi="Arial" w:cs="Arial"/>
          <w:sz w:val="22"/>
          <w:szCs w:val="22"/>
          <w:lang w:val="es-ES"/>
        </w:rPr>
        <w:t xml:space="preserve">A solicitud del Contratista, nosotros </w:t>
      </w:r>
      <w:r w:rsidRPr="00673FD3">
        <w:rPr>
          <w:rFonts w:ascii="Arial" w:hAnsi="Arial" w:cs="Arial"/>
          <w:i/>
          <w:iCs/>
          <w:color w:val="FF0000"/>
          <w:sz w:val="22"/>
          <w:szCs w:val="22"/>
          <w:lang w:val="es-ES"/>
        </w:rPr>
        <w:t xml:space="preserve">(indique el nombre del Banco) </w:t>
      </w:r>
      <w:r w:rsidRPr="00673FD3">
        <w:rPr>
          <w:rFonts w:ascii="Arial" w:hAnsi="Arial" w:cs="Arial"/>
          <w:sz w:val="22"/>
          <w:szCs w:val="22"/>
          <w:lang w:val="es-ES"/>
        </w:rPr>
        <w:t>por medio del presente instrumento nos obligamos irrevocablemente a pagarles a ustedes una suma o sumas, que no excedan en total</w:t>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r>
      <w:r w:rsidRPr="00673FD3">
        <w:rPr>
          <w:rFonts w:ascii="Arial" w:hAnsi="Arial" w:cs="Arial"/>
          <w:sz w:val="22"/>
          <w:szCs w:val="22"/>
          <w:lang w:val="es-ES"/>
        </w:rPr>
        <w:softHyphen/>
        <w:t xml:space="preserve"> </w:t>
      </w:r>
      <w:r w:rsidRPr="00673FD3">
        <w:rPr>
          <w:rFonts w:ascii="Arial" w:hAnsi="Arial" w:cs="Arial"/>
          <w:i/>
          <w:iCs/>
          <w:color w:val="FF0000"/>
          <w:sz w:val="22"/>
          <w:szCs w:val="22"/>
          <w:lang w:val="es-ES"/>
        </w:rPr>
        <w:t>(indique la(s) suma(s) en cifras y en palabras)</w:t>
      </w:r>
      <w:r w:rsidRPr="00673FD3">
        <w:rPr>
          <w:rStyle w:val="Refdenotaalpie"/>
          <w:rFonts w:ascii="Arial" w:hAnsi="Arial" w:cs="Arial"/>
          <w:i/>
          <w:iCs/>
          <w:sz w:val="22"/>
          <w:szCs w:val="22"/>
          <w:lang w:val="es-ES"/>
        </w:rPr>
        <w:footnoteReference w:id="5"/>
      </w:r>
      <w:r w:rsidRPr="00673FD3">
        <w:rPr>
          <w:rFonts w:ascii="Arial" w:hAnsi="Arial" w:cs="Arial"/>
          <w:sz w:val="22"/>
          <w:szCs w:val="22"/>
          <w:lang w:val="es-ES"/>
        </w:rPr>
        <w:t xml:space="preserve"> contra el recibo de su primera solicitud por escrito, declarando que el Contratista está en violación de sus obligaciones en virtud del Contrato, porque (i) el Contratista ha utilizado el pago de anticipo para otros fines a los estipulados para la ejecución de las Obras; o ii) no ha reembolsado el anticipo con arreglo a las condiciones del Contrato </w:t>
      </w:r>
    </w:p>
    <w:p w14:paraId="712636D3" w14:textId="77777777" w:rsidR="004307E6" w:rsidRPr="00673FD3" w:rsidRDefault="004307E6" w:rsidP="004307E6">
      <w:pPr>
        <w:numPr>
          <w:ilvl w:val="12"/>
          <w:numId w:val="0"/>
        </w:numPr>
        <w:spacing w:before="120" w:after="120"/>
        <w:rPr>
          <w:rFonts w:ascii="Arial" w:hAnsi="Arial" w:cs="Arial"/>
          <w:i/>
          <w:iCs/>
          <w:sz w:val="22"/>
          <w:szCs w:val="22"/>
          <w:lang w:val="es-ES"/>
        </w:rPr>
      </w:pPr>
      <w:r w:rsidRPr="00673FD3">
        <w:rPr>
          <w:rFonts w:ascii="Arial" w:hAnsi="Arial" w:cs="Arial"/>
          <w:sz w:val="22"/>
          <w:szCs w:val="22"/>
          <w:lang w:val="es-ES"/>
        </w:rPr>
        <w:t>Como condición para presentar cualquier reclamo y hacer efectiva esta garantía, el referido pago mencionado arriba</w:t>
      </w:r>
      <w:r w:rsidRPr="00673FD3">
        <w:rPr>
          <w:rFonts w:ascii="Arial" w:hAnsi="Arial" w:cs="Arial"/>
          <w:i/>
          <w:iCs/>
          <w:sz w:val="22"/>
          <w:szCs w:val="22"/>
          <w:lang w:val="es-ES"/>
        </w:rPr>
        <w:t xml:space="preserve"> </w:t>
      </w:r>
      <w:r w:rsidRPr="00673FD3">
        <w:rPr>
          <w:rFonts w:ascii="Arial" w:hAnsi="Arial" w:cs="Arial"/>
          <w:sz w:val="22"/>
          <w:szCs w:val="22"/>
          <w:lang w:val="es-ES"/>
        </w:rPr>
        <w:t xml:space="preserve">deber haber sido recibido por el Contratista en su cuenta número </w:t>
      </w:r>
      <w:r w:rsidRPr="00673FD3">
        <w:rPr>
          <w:rFonts w:ascii="Arial" w:hAnsi="Arial" w:cs="Arial"/>
          <w:i/>
          <w:iCs/>
          <w:color w:val="FF0000"/>
          <w:sz w:val="22"/>
          <w:szCs w:val="22"/>
          <w:lang w:val="es-ES"/>
        </w:rPr>
        <w:t xml:space="preserve">(indique número) </w:t>
      </w:r>
      <w:r w:rsidRPr="00673FD3">
        <w:rPr>
          <w:rFonts w:ascii="Arial" w:hAnsi="Arial" w:cs="Arial"/>
          <w:sz w:val="22"/>
          <w:szCs w:val="22"/>
          <w:lang w:val="es-ES"/>
        </w:rPr>
        <w:t xml:space="preserve">en el </w:t>
      </w:r>
      <w:r w:rsidRPr="00673FD3">
        <w:rPr>
          <w:rFonts w:ascii="Arial" w:hAnsi="Arial" w:cs="Arial"/>
          <w:i/>
          <w:iCs/>
          <w:color w:val="FF0000"/>
          <w:sz w:val="22"/>
          <w:szCs w:val="22"/>
          <w:lang w:val="es-ES"/>
        </w:rPr>
        <w:t>(indique el nombre y dirección del banco).</w:t>
      </w:r>
    </w:p>
    <w:p w14:paraId="621238CF" w14:textId="77777777" w:rsidR="004307E6" w:rsidRPr="00673FD3" w:rsidRDefault="004307E6" w:rsidP="004307E6">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cien (100) por ciento del Precio del Contrato ha sido certificado para pago, o en el </w:t>
      </w:r>
      <w:r w:rsidRPr="00673FD3">
        <w:rPr>
          <w:rFonts w:ascii="Arial" w:hAnsi="Arial" w:cs="Arial"/>
          <w:i/>
          <w:iCs/>
          <w:color w:val="FF0000"/>
          <w:sz w:val="22"/>
          <w:szCs w:val="22"/>
          <w:lang w:val="es-ES"/>
        </w:rPr>
        <w:t>(indique el número)</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día del </w:t>
      </w:r>
      <w:r w:rsidRPr="00673FD3">
        <w:rPr>
          <w:rFonts w:ascii="Arial" w:hAnsi="Arial" w:cs="Arial"/>
          <w:i/>
          <w:iCs/>
          <w:color w:val="FF0000"/>
          <w:sz w:val="22"/>
          <w:szCs w:val="22"/>
          <w:lang w:val="es-ES"/>
        </w:rPr>
        <w:t>(indique el mes)</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de </w:t>
      </w:r>
      <w:r w:rsidRPr="00673FD3">
        <w:rPr>
          <w:rFonts w:ascii="Arial" w:hAnsi="Arial" w:cs="Arial"/>
          <w:i/>
          <w:iCs/>
          <w:color w:val="FF0000"/>
          <w:sz w:val="22"/>
          <w:szCs w:val="22"/>
          <w:lang w:val="es-ES"/>
        </w:rPr>
        <w:t>(indique el año)</w:t>
      </w:r>
      <w:r w:rsidRPr="00673FD3">
        <w:rPr>
          <w:rFonts w:ascii="Arial" w:hAnsi="Arial" w:cs="Arial"/>
          <w:i/>
          <w:iCs/>
          <w:sz w:val="22"/>
          <w:szCs w:val="22"/>
          <w:lang w:val="es-ES"/>
        </w:rPr>
        <w:t>,</w:t>
      </w:r>
      <w:r w:rsidRPr="00673FD3">
        <w:rPr>
          <w:rFonts w:ascii="Arial" w:hAnsi="Arial" w:cs="Arial"/>
          <w:sz w:val="22"/>
          <w:szCs w:val="22"/>
          <w:lang w:val="es-ES"/>
        </w:rPr>
        <w:t xml:space="preserve"> lo que ocurra primero. Por lo </w:t>
      </w:r>
      <w:r w:rsidRPr="00673FD3">
        <w:rPr>
          <w:rFonts w:ascii="Arial" w:hAnsi="Arial" w:cs="Arial"/>
          <w:sz w:val="22"/>
          <w:szCs w:val="22"/>
          <w:lang w:val="es-ES"/>
        </w:rPr>
        <w:lastRenderedPageBreak/>
        <w:t xml:space="preserve">tanto, cualquier demanda de pago bajo esta garantía deberá recibirse en esta oficina en o antes de esta fecha. </w:t>
      </w:r>
    </w:p>
    <w:p w14:paraId="701A3649" w14:textId="77777777" w:rsidR="004307E6" w:rsidRPr="00673FD3" w:rsidRDefault="004307E6" w:rsidP="004307E6">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 xml:space="preserve">Nosotros convenimos en una sola extensión de esta Garantía por un plazo no superior a </w:t>
      </w:r>
      <w:r w:rsidRPr="00673FD3">
        <w:rPr>
          <w:rFonts w:ascii="Arial" w:hAnsi="Arial" w:cs="Arial"/>
          <w:i/>
          <w:iCs/>
          <w:color w:val="FF0000"/>
          <w:sz w:val="22"/>
          <w:szCs w:val="22"/>
          <w:lang w:val="es-ES"/>
        </w:rPr>
        <w:t xml:space="preserve">(seis meses o un año), </w:t>
      </w:r>
      <w:r w:rsidRPr="00673FD3">
        <w:rPr>
          <w:rFonts w:ascii="Arial" w:hAnsi="Arial" w:cs="Arial"/>
          <w:sz w:val="22"/>
          <w:szCs w:val="22"/>
          <w:lang w:val="es-ES"/>
        </w:rPr>
        <w:t>en respuesta a una solicitud por escrito del Contratante de dicha extensión, la que nos será presentada antes de que expire la Garantía.</w:t>
      </w:r>
    </w:p>
    <w:p w14:paraId="38A18D99" w14:textId="77777777" w:rsidR="004307E6" w:rsidRPr="00673FD3" w:rsidRDefault="004307E6" w:rsidP="004307E6">
      <w:pPr>
        <w:numPr>
          <w:ilvl w:val="12"/>
          <w:numId w:val="0"/>
        </w:numPr>
        <w:spacing w:before="120" w:after="120"/>
        <w:rPr>
          <w:rFonts w:ascii="Arial" w:hAnsi="Arial" w:cs="Arial"/>
          <w:sz w:val="22"/>
          <w:szCs w:val="22"/>
          <w:lang w:val="es-ES"/>
        </w:rPr>
      </w:pPr>
      <w:r w:rsidRPr="00673FD3">
        <w:rPr>
          <w:rFonts w:ascii="Arial" w:hAnsi="Arial" w:cs="Arial"/>
          <w:sz w:val="22"/>
          <w:szCs w:val="22"/>
          <w:lang w:val="es-ES"/>
        </w:rPr>
        <w:t xml:space="preserve">Esta garantía está sujeta a los </w:t>
      </w:r>
      <w:r w:rsidRPr="00673FD3">
        <w:rPr>
          <w:rFonts w:ascii="Arial" w:hAnsi="Arial" w:cs="Arial"/>
          <w:i/>
          <w:iCs/>
          <w:sz w:val="22"/>
          <w:szCs w:val="22"/>
          <w:lang w:val="es-ES"/>
        </w:rPr>
        <w:t>Reglas Uniformes de la CCI relativas a las garantías pagaderas contra primera solicitud</w:t>
      </w:r>
      <w:r w:rsidRPr="00673FD3">
        <w:rPr>
          <w:rFonts w:ascii="Arial" w:hAnsi="Arial" w:cs="Arial"/>
          <w:sz w:val="22"/>
          <w:szCs w:val="22"/>
          <w:lang w:val="es-ES"/>
        </w:rPr>
        <w:t xml:space="preserve"> (U</w:t>
      </w:r>
      <w:r w:rsidRPr="00673FD3">
        <w:rPr>
          <w:rFonts w:ascii="Arial" w:hAnsi="Arial" w:cs="Arial"/>
          <w:i/>
          <w:iCs/>
          <w:sz w:val="22"/>
          <w:szCs w:val="22"/>
          <w:lang w:val="es-ES"/>
        </w:rPr>
        <w:t>niform Rules for Demand Guarantees</w:t>
      </w:r>
      <w:r w:rsidRPr="00673FD3">
        <w:rPr>
          <w:rFonts w:ascii="Arial" w:hAnsi="Arial" w:cs="Arial"/>
          <w:sz w:val="22"/>
          <w:szCs w:val="22"/>
          <w:lang w:val="es-ES"/>
        </w:rPr>
        <w:t>), ICC Publicación No. 758.</w:t>
      </w:r>
    </w:p>
    <w:p w14:paraId="28C202D2" w14:textId="77777777" w:rsidR="004307E6" w:rsidRPr="00673FD3" w:rsidRDefault="004307E6" w:rsidP="004307E6">
      <w:pPr>
        <w:numPr>
          <w:ilvl w:val="12"/>
          <w:numId w:val="0"/>
        </w:numPr>
        <w:rPr>
          <w:rFonts w:ascii="Arial" w:hAnsi="Arial" w:cs="Arial"/>
          <w:sz w:val="22"/>
          <w:szCs w:val="22"/>
          <w:lang w:val="es-ES"/>
        </w:rPr>
      </w:pPr>
    </w:p>
    <w:p w14:paraId="35F2FCC5" w14:textId="77777777" w:rsidR="004307E6" w:rsidRPr="00673FD3" w:rsidRDefault="004307E6" w:rsidP="004307E6">
      <w:pPr>
        <w:numPr>
          <w:ilvl w:val="12"/>
          <w:numId w:val="0"/>
        </w:numPr>
        <w:rPr>
          <w:rFonts w:ascii="Arial" w:hAnsi="Arial" w:cs="Arial"/>
          <w:i/>
          <w:iCs/>
          <w:color w:val="FF0000"/>
          <w:sz w:val="22"/>
          <w:szCs w:val="22"/>
          <w:lang w:val="es-ES"/>
        </w:rPr>
      </w:pPr>
      <w:r w:rsidRPr="00673FD3">
        <w:rPr>
          <w:rFonts w:ascii="Arial" w:hAnsi="Arial" w:cs="Arial"/>
          <w:sz w:val="22"/>
          <w:szCs w:val="22"/>
          <w:lang w:val="es-ES"/>
        </w:rPr>
        <w:t xml:space="preserve"> </w:t>
      </w:r>
      <w:r w:rsidRPr="00673FD3">
        <w:rPr>
          <w:rFonts w:ascii="Arial" w:hAnsi="Arial" w:cs="Arial"/>
          <w:i/>
          <w:iCs/>
          <w:color w:val="FF0000"/>
          <w:sz w:val="22"/>
          <w:szCs w:val="22"/>
          <w:lang w:val="es-ES"/>
        </w:rPr>
        <w:t>(firma(s) del (de los) representante(s) autorizado(s) del Banco)</w:t>
      </w:r>
    </w:p>
    <w:p w14:paraId="45D7DA2C" w14:textId="77777777" w:rsidR="004307E6" w:rsidRPr="00673FD3" w:rsidDel="009B43BD" w:rsidRDefault="004307E6" w:rsidP="004307E6">
      <w:pPr>
        <w:numPr>
          <w:ilvl w:val="12"/>
          <w:numId w:val="0"/>
        </w:numPr>
        <w:rPr>
          <w:rFonts w:ascii="Arial" w:hAnsi="Arial" w:cs="Arial"/>
          <w:sz w:val="22"/>
          <w:szCs w:val="22"/>
          <w:u w:val="single"/>
          <w:lang w:val="es-ES"/>
        </w:rPr>
      </w:pP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r>
      <w:r w:rsidRPr="00673FD3">
        <w:rPr>
          <w:rFonts w:ascii="Arial" w:hAnsi="Arial" w:cs="Arial"/>
          <w:sz w:val="22"/>
          <w:szCs w:val="22"/>
          <w:u w:val="single"/>
          <w:lang w:val="es-ES"/>
        </w:rPr>
        <w:tab/>
        <w:t>______________________</w:t>
      </w:r>
    </w:p>
    <w:p w14:paraId="04D9A434" w14:textId="77777777" w:rsidR="004307E6" w:rsidRPr="00673FD3" w:rsidRDefault="004307E6" w:rsidP="00430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
          <w:sz w:val="22"/>
          <w:szCs w:val="22"/>
          <w:lang w:val="es-HN"/>
        </w:rPr>
      </w:pPr>
    </w:p>
    <w:p w14:paraId="2C7D06AE" w14:textId="77777777" w:rsidR="004307E6" w:rsidRPr="00673FD3" w:rsidRDefault="004307E6" w:rsidP="004307E6">
      <w:pPr>
        <w:jc w:val="left"/>
        <w:rPr>
          <w:rFonts w:ascii="Arial" w:hAnsi="Arial" w:cs="Arial"/>
          <w:b/>
          <w:bCs/>
          <w:sz w:val="22"/>
          <w:szCs w:val="22"/>
          <w:lang w:val="es-ES"/>
        </w:rPr>
      </w:pPr>
      <w:r w:rsidRPr="00673FD3">
        <w:rPr>
          <w:rFonts w:ascii="Arial" w:hAnsi="Arial" w:cs="Arial"/>
          <w:b/>
          <w:bCs/>
          <w:sz w:val="22"/>
          <w:szCs w:val="22"/>
          <w:lang w:val="es-ES"/>
        </w:rPr>
        <w:br w:type="page"/>
      </w:r>
    </w:p>
    <w:p w14:paraId="537605FF" w14:textId="77777777" w:rsidR="004307E6" w:rsidRPr="00673FD3" w:rsidRDefault="004307E6" w:rsidP="004307E6">
      <w:pPr>
        <w:pStyle w:val="Ttulo1"/>
        <w:spacing w:before="120" w:after="120"/>
        <w:rPr>
          <w:rFonts w:ascii="Arial" w:hAnsi="Arial" w:cs="Arial"/>
          <w:smallCaps w:val="0"/>
          <w:sz w:val="22"/>
          <w:szCs w:val="22"/>
          <w:lang w:val="es-ES"/>
        </w:rPr>
      </w:pPr>
      <w:bookmarkStart w:id="2457" w:name="_Toc74048328"/>
      <w:bookmarkStart w:id="2458" w:name="_Toc74518568"/>
      <w:bookmarkStart w:id="2459" w:name="_Toc74519298"/>
      <w:bookmarkStart w:id="2460" w:name="_Toc74781488"/>
      <w:bookmarkStart w:id="2461" w:name="_Toc74930976"/>
      <w:r w:rsidRPr="00673FD3">
        <w:rPr>
          <w:rFonts w:ascii="Arial" w:hAnsi="Arial" w:cs="Arial"/>
          <w:smallCaps w:val="0"/>
          <w:sz w:val="22"/>
          <w:szCs w:val="22"/>
          <w:lang w:val="es-ES"/>
        </w:rPr>
        <w:lastRenderedPageBreak/>
        <w:t>Carta de Aceptación</w:t>
      </w:r>
      <w:bookmarkEnd w:id="2457"/>
      <w:bookmarkEnd w:id="2458"/>
      <w:bookmarkEnd w:id="2459"/>
      <w:bookmarkEnd w:id="2460"/>
      <w:bookmarkEnd w:id="2461"/>
    </w:p>
    <w:p w14:paraId="71D0D7BB" w14:textId="77777777" w:rsidR="004307E6" w:rsidRPr="00673FD3" w:rsidRDefault="004307E6" w:rsidP="004307E6">
      <w:pPr>
        <w:spacing w:before="120" w:after="120"/>
        <w:jc w:val="center"/>
        <w:rPr>
          <w:rFonts w:ascii="Arial" w:hAnsi="Arial" w:cs="Arial"/>
          <w:i/>
          <w:color w:val="FF0000"/>
          <w:sz w:val="22"/>
          <w:szCs w:val="22"/>
          <w:lang w:val="es-ES"/>
        </w:rPr>
      </w:pPr>
      <w:r w:rsidRPr="00673FD3">
        <w:rPr>
          <w:rFonts w:ascii="Arial" w:hAnsi="Arial" w:cs="Arial"/>
          <w:i/>
          <w:color w:val="FF0000"/>
          <w:sz w:val="22"/>
          <w:szCs w:val="22"/>
          <w:lang w:val="es-ES"/>
        </w:rPr>
        <w:t>(Papel con membrete del Contratante)</w:t>
      </w:r>
    </w:p>
    <w:p w14:paraId="73F127CD" w14:textId="77777777" w:rsidR="004307E6" w:rsidRPr="00673FD3" w:rsidRDefault="004307E6" w:rsidP="004307E6">
      <w:pPr>
        <w:spacing w:before="120" w:after="120"/>
        <w:rPr>
          <w:rFonts w:ascii="Arial" w:hAnsi="Arial" w:cs="Arial"/>
          <w:sz w:val="22"/>
          <w:szCs w:val="22"/>
          <w:lang w:val="es-ES"/>
        </w:rPr>
      </w:pPr>
    </w:p>
    <w:p w14:paraId="0590E1E1" w14:textId="77777777" w:rsidR="004307E6" w:rsidRPr="00673FD3" w:rsidRDefault="004307E6" w:rsidP="004307E6">
      <w:pPr>
        <w:pStyle w:val="Textoindependiente"/>
        <w:ind w:left="180" w:right="288"/>
        <w:jc w:val="right"/>
        <w:rPr>
          <w:rFonts w:ascii="Arial" w:hAnsi="Arial" w:cs="Arial"/>
          <w:spacing w:val="0"/>
          <w:sz w:val="22"/>
          <w:szCs w:val="22"/>
          <w:lang w:val="es-ES"/>
        </w:rPr>
      </w:pPr>
      <w:r w:rsidRPr="00673FD3">
        <w:rPr>
          <w:rFonts w:ascii="Arial" w:hAnsi="Arial" w:cs="Arial"/>
          <w:spacing w:val="0"/>
          <w:sz w:val="22"/>
          <w:szCs w:val="22"/>
          <w:lang w:val="es-ES"/>
        </w:rPr>
        <w:t>. . . . . . . (fecha). . . . . ..</w:t>
      </w:r>
    </w:p>
    <w:p w14:paraId="223638B3" w14:textId="77777777" w:rsidR="004307E6" w:rsidRPr="00673FD3" w:rsidRDefault="004307E6" w:rsidP="004307E6">
      <w:pPr>
        <w:pStyle w:val="Textoindependiente"/>
        <w:ind w:left="180" w:right="288"/>
        <w:rPr>
          <w:rFonts w:ascii="Arial" w:hAnsi="Arial" w:cs="Arial"/>
          <w:spacing w:val="0"/>
          <w:sz w:val="22"/>
          <w:szCs w:val="22"/>
          <w:lang w:val="es-ES"/>
        </w:rPr>
      </w:pPr>
    </w:p>
    <w:p w14:paraId="1529FB34" w14:textId="77777777" w:rsidR="004307E6" w:rsidRPr="00673FD3" w:rsidRDefault="004307E6" w:rsidP="004307E6">
      <w:pPr>
        <w:pStyle w:val="Textoindependiente"/>
        <w:ind w:right="288"/>
        <w:rPr>
          <w:rFonts w:ascii="Arial" w:hAnsi="Arial" w:cs="Arial"/>
          <w:spacing w:val="0"/>
          <w:sz w:val="22"/>
          <w:szCs w:val="22"/>
          <w:lang w:val="es-ES"/>
        </w:rPr>
      </w:pPr>
      <w:r w:rsidRPr="00673FD3">
        <w:rPr>
          <w:rFonts w:ascii="Arial" w:hAnsi="Arial" w:cs="Arial"/>
          <w:spacing w:val="0"/>
          <w:sz w:val="22"/>
          <w:szCs w:val="22"/>
          <w:lang w:val="es-ES"/>
        </w:rPr>
        <w:t>Para:</w:t>
      </w:r>
      <w:r w:rsidRPr="00673FD3">
        <w:rPr>
          <w:rFonts w:ascii="Arial" w:hAnsi="Arial" w:cs="Arial"/>
          <w:spacing w:val="0"/>
          <w:sz w:val="22"/>
          <w:szCs w:val="22"/>
          <w:lang w:val="es-ES"/>
        </w:rPr>
        <w:tab/>
        <w:t xml:space="preserve">. . . . . . . . .. (nombre y dirección del Contratista) . . . . . . . . ..   </w:t>
      </w:r>
    </w:p>
    <w:p w14:paraId="0696BB02" w14:textId="77777777" w:rsidR="004307E6" w:rsidRPr="00673FD3" w:rsidRDefault="004307E6" w:rsidP="004307E6">
      <w:pPr>
        <w:pStyle w:val="Textoindependiente"/>
        <w:ind w:right="288"/>
        <w:rPr>
          <w:rFonts w:ascii="Arial" w:hAnsi="Arial" w:cs="Arial"/>
          <w:spacing w:val="0"/>
          <w:sz w:val="22"/>
          <w:szCs w:val="22"/>
          <w:lang w:val="es-ES"/>
        </w:rPr>
      </w:pPr>
    </w:p>
    <w:p w14:paraId="5F90E948" w14:textId="77777777" w:rsidR="004307E6" w:rsidRPr="00673FD3" w:rsidRDefault="004307E6" w:rsidP="004307E6">
      <w:pPr>
        <w:pStyle w:val="Textoindependiente"/>
        <w:ind w:right="288"/>
        <w:rPr>
          <w:rFonts w:ascii="Arial" w:hAnsi="Arial" w:cs="Arial"/>
          <w:spacing w:val="0"/>
          <w:sz w:val="22"/>
          <w:szCs w:val="22"/>
          <w:lang w:val="es-ES"/>
        </w:rPr>
      </w:pPr>
      <w:r w:rsidRPr="00673FD3">
        <w:rPr>
          <w:rFonts w:ascii="Arial" w:hAnsi="Arial" w:cs="Arial"/>
          <w:spacing w:val="0"/>
          <w:sz w:val="22"/>
          <w:szCs w:val="22"/>
          <w:lang w:val="es-ES"/>
        </w:rPr>
        <w:t xml:space="preserve">Asunto: . . . . . . . . ..  (Notificación de Adjudicación del Contrato No.) . . . . . . . . . .   </w:t>
      </w:r>
    </w:p>
    <w:p w14:paraId="555259C7" w14:textId="77777777" w:rsidR="004307E6" w:rsidRPr="00673FD3" w:rsidRDefault="004307E6" w:rsidP="004307E6">
      <w:pPr>
        <w:spacing w:before="120" w:after="120"/>
        <w:rPr>
          <w:rFonts w:ascii="Arial" w:hAnsi="Arial" w:cs="Arial"/>
          <w:sz w:val="22"/>
          <w:szCs w:val="22"/>
          <w:lang w:val="es-ES"/>
        </w:rPr>
      </w:pPr>
      <w:r w:rsidRPr="00673FD3">
        <w:rPr>
          <w:rFonts w:ascii="Arial" w:hAnsi="Arial" w:cs="Arial"/>
          <w:sz w:val="22"/>
          <w:szCs w:val="22"/>
          <w:lang w:val="es-ES"/>
        </w:rPr>
        <w:t xml:space="preserve">Por la presente le notificamos que su oferta de fecha </w:t>
      </w:r>
      <w:r w:rsidRPr="00673FD3">
        <w:rPr>
          <w:rFonts w:ascii="Arial" w:hAnsi="Arial" w:cs="Arial"/>
          <w:i/>
          <w:color w:val="FF0000"/>
          <w:sz w:val="22"/>
          <w:szCs w:val="22"/>
          <w:lang w:val="es-ES"/>
        </w:rPr>
        <w:t>(fecha de recepción de ofertas)</w:t>
      </w:r>
      <w:r w:rsidRPr="00673FD3">
        <w:rPr>
          <w:rFonts w:ascii="Arial" w:hAnsi="Arial" w:cs="Arial"/>
          <w:color w:val="FF0000"/>
          <w:sz w:val="22"/>
          <w:szCs w:val="22"/>
          <w:lang w:val="es-ES"/>
        </w:rPr>
        <w:t xml:space="preserve"> </w:t>
      </w:r>
      <w:r w:rsidRPr="00673FD3">
        <w:rPr>
          <w:rFonts w:ascii="Arial" w:hAnsi="Arial" w:cs="Arial"/>
          <w:sz w:val="22"/>
          <w:szCs w:val="22"/>
          <w:lang w:val="es-ES"/>
        </w:rPr>
        <w:t xml:space="preserve">para la ejecución de </w:t>
      </w:r>
      <w:r w:rsidRPr="00673FD3">
        <w:rPr>
          <w:rFonts w:ascii="Arial" w:hAnsi="Arial" w:cs="Arial"/>
          <w:i/>
          <w:color w:val="FF0000"/>
          <w:sz w:val="22"/>
          <w:szCs w:val="22"/>
          <w:lang w:val="es-ES"/>
        </w:rPr>
        <w:t>(nombre y número de identificación del proceso, de acuerdo con el contenido del numeral 1.1 de los DDL)</w:t>
      </w:r>
      <w:r w:rsidRPr="00673FD3">
        <w:rPr>
          <w:rFonts w:ascii="Arial" w:hAnsi="Arial" w:cs="Arial"/>
          <w:sz w:val="22"/>
          <w:szCs w:val="22"/>
          <w:lang w:val="es-ES"/>
        </w:rPr>
        <w:t xml:space="preserve"> por el monto aceptado de </w:t>
      </w:r>
      <w:r w:rsidRPr="00673FD3">
        <w:rPr>
          <w:rFonts w:ascii="Arial" w:hAnsi="Arial" w:cs="Arial"/>
          <w:i/>
          <w:color w:val="FF0000"/>
          <w:sz w:val="22"/>
          <w:szCs w:val="22"/>
          <w:lang w:val="es-ES"/>
        </w:rPr>
        <w:t>(monto en cifras y en palabras y moneda),</w:t>
      </w:r>
      <w:r w:rsidRPr="00673FD3">
        <w:rPr>
          <w:rFonts w:ascii="Arial" w:hAnsi="Arial" w:cs="Arial"/>
          <w:sz w:val="22"/>
          <w:szCs w:val="22"/>
          <w:lang w:val="es-ES"/>
        </w:rPr>
        <w:t xml:space="preserve"> con las rectificaciones y modificaciones que se hayan hecho de conformidad con las Instrucciones a los Oferentes, ha sido aceptada por nuestro representante.</w:t>
      </w:r>
    </w:p>
    <w:p w14:paraId="534B1357" w14:textId="77777777" w:rsidR="004307E6" w:rsidRPr="00673FD3" w:rsidRDefault="004307E6" w:rsidP="004307E6">
      <w:pPr>
        <w:pStyle w:val="Sangradetextonormal"/>
        <w:spacing w:before="120" w:after="120"/>
        <w:ind w:left="0" w:right="288" w:firstLine="0"/>
        <w:rPr>
          <w:rFonts w:ascii="Arial" w:hAnsi="Arial" w:cs="Arial"/>
          <w:iCs/>
          <w:sz w:val="22"/>
          <w:szCs w:val="22"/>
          <w:lang w:val="es-ES"/>
        </w:rPr>
      </w:pPr>
      <w:r w:rsidRPr="00673FD3">
        <w:rPr>
          <w:rFonts w:ascii="Arial" w:hAnsi="Arial" w:cs="Arial"/>
          <w:iCs/>
          <w:sz w:val="22"/>
          <w:szCs w:val="22"/>
          <w:lang w:val="es-ES"/>
        </w:rPr>
        <w:t>Le solicitamos presentar:</w:t>
      </w:r>
    </w:p>
    <w:p w14:paraId="0231C79A" w14:textId="77777777" w:rsidR="004307E6" w:rsidRPr="00673FD3" w:rsidRDefault="004307E6" w:rsidP="004307E6">
      <w:pPr>
        <w:pStyle w:val="Sangradetextonormal"/>
        <w:numPr>
          <w:ilvl w:val="8"/>
          <w:numId w:val="63"/>
        </w:numPr>
        <w:spacing w:before="120" w:after="120"/>
        <w:ind w:left="360" w:right="288"/>
        <w:rPr>
          <w:rFonts w:ascii="Arial" w:hAnsi="Arial" w:cs="Arial"/>
          <w:sz w:val="22"/>
          <w:szCs w:val="22"/>
          <w:lang w:val="es-ES"/>
        </w:rPr>
      </w:pPr>
      <w:r w:rsidRPr="00673FD3">
        <w:rPr>
          <w:rFonts w:ascii="Arial" w:hAnsi="Arial" w:cs="Arial"/>
          <w:iCs/>
          <w:sz w:val="22"/>
          <w:szCs w:val="22"/>
          <w:lang w:val="es-ES"/>
        </w:rPr>
        <w:t xml:space="preserve">Garantía de Ejecución y Cumplimiento de contrato </w:t>
      </w:r>
      <w:r w:rsidRPr="00673FD3">
        <w:rPr>
          <w:rFonts w:ascii="Arial" w:hAnsi="Arial" w:cs="Arial"/>
          <w:sz w:val="22"/>
          <w:szCs w:val="22"/>
          <w:lang w:val="es-ES"/>
        </w:rPr>
        <w:t>dentro de los próximos 28 días posteriores a la recepción de esta Carta de Aceptación de acuerdo con las condiciones del contrato utilizando el formulario de Garantía de Ejecución y Cumplimiento de Contrato.</w:t>
      </w:r>
    </w:p>
    <w:p w14:paraId="4AC30E00" w14:textId="77777777" w:rsidR="004307E6" w:rsidRPr="00673FD3" w:rsidRDefault="004307E6" w:rsidP="004307E6">
      <w:pPr>
        <w:pStyle w:val="Sangradetextonormal"/>
        <w:numPr>
          <w:ilvl w:val="8"/>
          <w:numId w:val="63"/>
        </w:numPr>
        <w:spacing w:before="120" w:after="120"/>
        <w:ind w:left="360" w:right="288"/>
        <w:rPr>
          <w:rFonts w:ascii="Arial" w:hAnsi="Arial" w:cs="Arial"/>
          <w:sz w:val="22"/>
          <w:szCs w:val="22"/>
          <w:lang w:val="es-ES"/>
        </w:rPr>
      </w:pPr>
      <w:r w:rsidRPr="00673FD3">
        <w:rPr>
          <w:rFonts w:ascii="Arial" w:hAnsi="Arial" w:cs="Arial"/>
          <w:sz w:val="22"/>
          <w:szCs w:val="22"/>
          <w:lang w:val="es-ES"/>
        </w:rPr>
        <w:t>Documentación conforme al numeral l 43.1 de los DDL</w:t>
      </w:r>
    </w:p>
    <w:p w14:paraId="37FCF28A" w14:textId="77777777" w:rsidR="004307E6" w:rsidRPr="00673FD3" w:rsidRDefault="004307E6" w:rsidP="004307E6">
      <w:pPr>
        <w:spacing w:before="120" w:after="120"/>
        <w:rPr>
          <w:rFonts w:ascii="Arial" w:hAnsi="Arial" w:cs="Arial"/>
          <w:sz w:val="22"/>
          <w:szCs w:val="22"/>
          <w:lang w:val="es-ES"/>
        </w:rPr>
      </w:pPr>
    </w:p>
    <w:p w14:paraId="7DF16F1F" w14:textId="77777777" w:rsidR="004307E6" w:rsidRPr="00673FD3" w:rsidRDefault="004307E6" w:rsidP="004307E6">
      <w:pPr>
        <w:pStyle w:val="Encabezadodelista"/>
        <w:tabs>
          <w:tab w:val="clear" w:pos="9000"/>
          <w:tab w:val="clear" w:pos="9360"/>
        </w:tabs>
        <w:suppressAutoHyphens w:val="0"/>
        <w:spacing w:before="120" w:after="120"/>
        <w:rPr>
          <w:rFonts w:ascii="Arial" w:hAnsi="Arial" w:cs="Arial"/>
          <w:sz w:val="22"/>
          <w:szCs w:val="22"/>
          <w:lang w:val="es-ES"/>
        </w:rPr>
      </w:pPr>
    </w:p>
    <w:p w14:paraId="3240F40B" w14:textId="77777777" w:rsidR="004307E6" w:rsidRPr="00673FD3" w:rsidRDefault="004307E6" w:rsidP="004307E6">
      <w:pPr>
        <w:tabs>
          <w:tab w:val="left" w:pos="9000"/>
        </w:tabs>
        <w:spacing w:before="120" w:after="120"/>
        <w:rPr>
          <w:rFonts w:ascii="Arial" w:hAnsi="Arial" w:cs="Arial"/>
          <w:sz w:val="22"/>
          <w:szCs w:val="22"/>
          <w:lang w:val="es-ES"/>
        </w:rPr>
      </w:pPr>
      <w:r w:rsidRPr="00673FD3">
        <w:rPr>
          <w:rFonts w:ascii="Arial" w:hAnsi="Arial" w:cs="Arial"/>
          <w:sz w:val="22"/>
          <w:szCs w:val="22"/>
          <w:lang w:val="es-ES"/>
        </w:rPr>
        <w:t>Firma autorizada: __________________________________________________________</w:t>
      </w:r>
    </w:p>
    <w:p w14:paraId="00DF2689" w14:textId="77777777" w:rsidR="004307E6" w:rsidRPr="00673FD3" w:rsidRDefault="004307E6" w:rsidP="004307E6">
      <w:pPr>
        <w:tabs>
          <w:tab w:val="left" w:pos="9000"/>
        </w:tabs>
        <w:spacing w:before="120" w:after="120"/>
        <w:rPr>
          <w:rFonts w:ascii="Arial" w:hAnsi="Arial" w:cs="Arial"/>
          <w:sz w:val="22"/>
          <w:szCs w:val="22"/>
          <w:lang w:val="es-ES"/>
        </w:rPr>
      </w:pPr>
      <w:r w:rsidRPr="00673FD3">
        <w:rPr>
          <w:rFonts w:ascii="Arial" w:hAnsi="Arial" w:cs="Arial"/>
          <w:sz w:val="22"/>
          <w:szCs w:val="22"/>
          <w:lang w:val="es-ES"/>
        </w:rPr>
        <w:t>Nombre y cargo del firmante: _________________________________________________</w:t>
      </w:r>
    </w:p>
    <w:p w14:paraId="0BD615C3" w14:textId="77777777" w:rsidR="004307E6" w:rsidRPr="00673FD3" w:rsidRDefault="004307E6" w:rsidP="004307E6">
      <w:pPr>
        <w:tabs>
          <w:tab w:val="left" w:pos="9000"/>
        </w:tabs>
        <w:spacing w:before="120" w:after="120"/>
        <w:rPr>
          <w:rFonts w:ascii="Arial" w:hAnsi="Arial" w:cs="Arial"/>
          <w:sz w:val="22"/>
          <w:szCs w:val="22"/>
          <w:lang w:val="es-ES"/>
        </w:rPr>
      </w:pPr>
      <w:r w:rsidRPr="00673FD3">
        <w:rPr>
          <w:rFonts w:ascii="Arial" w:hAnsi="Arial" w:cs="Arial"/>
          <w:sz w:val="22"/>
          <w:szCs w:val="22"/>
          <w:lang w:val="es-ES"/>
        </w:rPr>
        <w:t>Nombre del Contratante: _____________________________________________________</w:t>
      </w:r>
    </w:p>
    <w:p w14:paraId="2F0D91F7" w14:textId="77777777" w:rsidR="004307E6" w:rsidRPr="00673FD3" w:rsidRDefault="004307E6" w:rsidP="004307E6">
      <w:pPr>
        <w:spacing w:before="120" w:after="120"/>
        <w:rPr>
          <w:rFonts w:ascii="Arial" w:hAnsi="Arial" w:cs="Arial"/>
          <w:sz w:val="22"/>
          <w:szCs w:val="22"/>
          <w:lang w:val="es-ES"/>
        </w:rPr>
      </w:pPr>
    </w:p>
    <w:p w14:paraId="36A57195" w14:textId="77777777" w:rsidR="004307E6" w:rsidRPr="00673FD3" w:rsidRDefault="004307E6" w:rsidP="004307E6">
      <w:pPr>
        <w:spacing w:before="120" w:after="120"/>
        <w:rPr>
          <w:rFonts w:ascii="Arial" w:hAnsi="Arial" w:cs="Arial"/>
          <w:b/>
          <w:bCs/>
          <w:sz w:val="22"/>
          <w:szCs w:val="22"/>
          <w:lang w:val="es-ES"/>
        </w:rPr>
      </w:pPr>
      <w:r w:rsidRPr="00673FD3">
        <w:rPr>
          <w:rFonts w:ascii="Arial" w:hAnsi="Arial" w:cs="Arial"/>
          <w:b/>
          <w:bCs/>
          <w:sz w:val="22"/>
          <w:szCs w:val="22"/>
          <w:lang w:val="es-ES"/>
        </w:rPr>
        <w:t>Adjunto: Modelo de contrato</w:t>
      </w:r>
    </w:p>
    <w:p w14:paraId="04032FD8" w14:textId="77777777" w:rsidR="004307E6" w:rsidRPr="00673FD3" w:rsidRDefault="004307E6" w:rsidP="004307E6">
      <w:pPr>
        <w:jc w:val="left"/>
        <w:rPr>
          <w:rFonts w:ascii="Arial" w:hAnsi="Arial" w:cs="Arial"/>
          <w:b/>
          <w:bCs/>
          <w:sz w:val="22"/>
          <w:szCs w:val="22"/>
          <w:lang w:val="es-ES"/>
        </w:rPr>
      </w:pPr>
      <w:r w:rsidRPr="00673FD3">
        <w:rPr>
          <w:rFonts w:ascii="Arial" w:hAnsi="Arial" w:cs="Arial"/>
          <w:b/>
          <w:bCs/>
          <w:sz w:val="22"/>
          <w:szCs w:val="22"/>
          <w:lang w:val="es-ES"/>
        </w:rPr>
        <w:br w:type="page"/>
      </w:r>
    </w:p>
    <w:p w14:paraId="094F3103" w14:textId="77777777" w:rsidR="004307E6" w:rsidRPr="00673FD3" w:rsidRDefault="004307E6" w:rsidP="004307E6">
      <w:pPr>
        <w:pStyle w:val="Section10Header1"/>
        <w:spacing w:after="120"/>
        <w:rPr>
          <w:rFonts w:ascii="Arial" w:hAnsi="Arial" w:cs="Arial"/>
          <w:sz w:val="22"/>
          <w:szCs w:val="22"/>
        </w:rPr>
      </w:pPr>
      <w:bookmarkStart w:id="2462" w:name="_Toc34311407"/>
      <w:r w:rsidRPr="00673FD3">
        <w:rPr>
          <w:rFonts w:ascii="Arial" w:hAnsi="Arial" w:cs="Arial"/>
          <w:sz w:val="22"/>
          <w:szCs w:val="22"/>
        </w:rPr>
        <w:lastRenderedPageBreak/>
        <w:t>Notificación de Intención de Adjudicación</w:t>
      </w:r>
      <w:bookmarkEnd w:id="2462"/>
    </w:p>
    <w:p w14:paraId="3E17F4C4" w14:textId="77777777" w:rsidR="004307E6" w:rsidRPr="00673FD3" w:rsidRDefault="004307E6" w:rsidP="004307E6">
      <w:pPr>
        <w:spacing w:before="120" w:after="120"/>
        <w:rPr>
          <w:rFonts w:ascii="Arial" w:hAnsi="Arial" w:cs="Arial"/>
          <w:i/>
          <w:noProof/>
          <w:color w:val="FF0000"/>
          <w:sz w:val="22"/>
          <w:szCs w:val="22"/>
          <w:lang w:val="es-ES"/>
        </w:rPr>
      </w:pPr>
      <w:r w:rsidRPr="00673FD3">
        <w:rPr>
          <w:rFonts w:ascii="Arial" w:hAnsi="Arial" w:cs="Arial"/>
          <w:bCs/>
          <w:i/>
          <w:color w:val="FF0000"/>
          <w:sz w:val="22"/>
          <w:szCs w:val="22"/>
          <w:lang w:val="es-ES"/>
        </w:rPr>
        <w:t>(Esta Notificación de Intención de Adjudicación será enviada a cada Oferente que haya presentado una Oferta)</w:t>
      </w:r>
    </w:p>
    <w:p w14:paraId="3815D147" w14:textId="77777777" w:rsidR="004307E6" w:rsidRPr="00673FD3" w:rsidRDefault="004307E6" w:rsidP="004307E6">
      <w:pPr>
        <w:pStyle w:val="Outline"/>
        <w:suppressAutoHyphens/>
        <w:spacing w:before="120" w:after="120"/>
        <w:rPr>
          <w:rFonts w:ascii="Arial" w:hAnsi="Arial" w:cs="Arial"/>
          <w:noProof/>
          <w:sz w:val="22"/>
          <w:szCs w:val="22"/>
          <w:lang w:val="es-ES"/>
        </w:rPr>
      </w:pPr>
      <w:r w:rsidRPr="00673FD3">
        <w:rPr>
          <w:rFonts w:ascii="Arial" w:hAnsi="Arial" w:cs="Arial"/>
          <w:noProof/>
          <w:sz w:val="22"/>
          <w:szCs w:val="22"/>
          <w:lang w:val="es-ES"/>
        </w:rPr>
        <w:t>A la atención del Representante del oferente</w:t>
      </w:r>
    </w:p>
    <w:p w14:paraId="380A74F9" w14:textId="77777777" w:rsidR="004307E6" w:rsidRPr="00673FD3" w:rsidRDefault="004307E6" w:rsidP="004307E6">
      <w:pPr>
        <w:pStyle w:val="Outline"/>
        <w:suppressAutoHyphens/>
        <w:spacing w:before="120" w:after="120"/>
        <w:rPr>
          <w:rFonts w:ascii="Arial" w:hAnsi="Arial" w:cs="Arial"/>
          <w:noProof/>
          <w:sz w:val="22"/>
          <w:szCs w:val="22"/>
          <w:lang w:val="es-ES"/>
        </w:rPr>
      </w:pPr>
      <w:r w:rsidRPr="00673FD3">
        <w:rPr>
          <w:rFonts w:ascii="Arial" w:hAnsi="Arial" w:cs="Arial"/>
          <w:noProof/>
          <w:sz w:val="22"/>
          <w:szCs w:val="22"/>
          <w:lang w:val="es-ES"/>
        </w:rPr>
        <w:t xml:space="preserve">Nombre: </w:t>
      </w:r>
      <w:r w:rsidRPr="00673FD3">
        <w:rPr>
          <w:rFonts w:ascii="Arial" w:hAnsi="Arial" w:cs="Arial"/>
          <w:noProof/>
          <w:color w:val="FF0000"/>
          <w:sz w:val="22"/>
          <w:szCs w:val="22"/>
          <w:lang w:val="es-ES"/>
        </w:rPr>
        <w:t>(</w:t>
      </w:r>
      <w:r w:rsidRPr="00673FD3">
        <w:rPr>
          <w:rFonts w:ascii="Arial" w:hAnsi="Arial" w:cs="Arial"/>
          <w:i/>
          <w:noProof/>
          <w:color w:val="FF0000"/>
          <w:sz w:val="22"/>
          <w:szCs w:val="22"/>
          <w:lang w:val="es-ES"/>
        </w:rPr>
        <w:t>insértese el nombre del Representante del oferente)</w:t>
      </w:r>
    </w:p>
    <w:p w14:paraId="043648AE" w14:textId="77777777" w:rsidR="004307E6" w:rsidRPr="00673FD3" w:rsidRDefault="004307E6" w:rsidP="004307E6">
      <w:pPr>
        <w:pStyle w:val="Outline"/>
        <w:suppressAutoHyphens/>
        <w:spacing w:before="120" w:after="120"/>
        <w:rPr>
          <w:rFonts w:ascii="Arial" w:hAnsi="Arial" w:cs="Arial"/>
          <w:noProof/>
          <w:color w:val="FF0000"/>
          <w:sz w:val="22"/>
          <w:szCs w:val="22"/>
          <w:lang w:val="es-ES"/>
        </w:rPr>
      </w:pPr>
      <w:r w:rsidRPr="00673FD3">
        <w:rPr>
          <w:rFonts w:ascii="Arial" w:hAnsi="Arial" w:cs="Arial"/>
          <w:noProof/>
          <w:sz w:val="22"/>
          <w:szCs w:val="22"/>
          <w:lang w:val="es-ES"/>
        </w:rPr>
        <w:t xml:space="preserve">Dirección: </w:t>
      </w:r>
      <w:r w:rsidRPr="00673FD3">
        <w:rPr>
          <w:rFonts w:ascii="Arial" w:hAnsi="Arial" w:cs="Arial"/>
          <w:i/>
          <w:noProof/>
          <w:color w:val="FF0000"/>
          <w:sz w:val="22"/>
          <w:szCs w:val="22"/>
          <w:lang w:val="es-ES"/>
        </w:rPr>
        <w:t>(indicar la dirección del Representante Autorizado)</w:t>
      </w:r>
    </w:p>
    <w:p w14:paraId="318EF4FB" w14:textId="77777777" w:rsidR="004307E6" w:rsidRPr="00673FD3" w:rsidRDefault="004307E6" w:rsidP="004307E6">
      <w:pPr>
        <w:pStyle w:val="Outline"/>
        <w:suppressAutoHyphens/>
        <w:spacing w:before="120" w:after="120"/>
        <w:rPr>
          <w:rFonts w:ascii="Arial" w:hAnsi="Arial" w:cs="Arial"/>
          <w:i/>
          <w:noProof/>
          <w:color w:val="FF0000"/>
          <w:spacing w:val="-4"/>
          <w:sz w:val="22"/>
          <w:szCs w:val="22"/>
          <w:lang w:val="es-ES"/>
        </w:rPr>
      </w:pPr>
      <w:r w:rsidRPr="00673FD3">
        <w:rPr>
          <w:rFonts w:ascii="Arial" w:hAnsi="Arial" w:cs="Arial"/>
          <w:noProof/>
          <w:spacing w:val="-4"/>
          <w:sz w:val="22"/>
          <w:szCs w:val="22"/>
          <w:lang w:val="es-ES"/>
        </w:rPr>
        <w:t xml:space="preserve">Números de teléfono: </w:t>
      </w:r>
      <w:r w:rsidRPr="00673FD3">
        <w:rPr>
          <w:rFonts w:ascii="Arial" w:hAnsi="Arial" w:cs="Arial"/>
          <w:i/>
          <w:noProof/>
          <w:color w:val="FF0000"/>
          <w:spacing w:val="-4"/>
          <w:sz w:val="22"/>
          <w:szCs w:val="22"/>
          <w:lang w:val="es-ES"/>
        </w:rPr>
        <w:t>(insertar los números de teléfono / fax del Representante Autorizado)</w:t>
      </w:r>
    </w:p>
    <w:p w14:paraId="54591CBF" w14:textId="77777777" w:rsidR="004307E6" w:rsidRPr="00673FD3" w:rsidRDefault="004307E6" w:rsidP="004307E6">
      <w:pPr>
        <w:pStyle w:val="Outline"/>
        <w:suppressAutoHyphens/>
        <w:spacing w:before="120" w:after="120"/>
        <w:rPr>
          <w:rFonts w:ascii="Arial" w:hAnsi="Arial" w:cs="Arial"/>
          <w:i/>
          <w:noProof/>
          <w:color w:val="FF0000"/>
          <w:sz w:val="22"/>
          <w:szCs w:val="22"/>
          <w:lang w:val="es-ES"/>
        </w:rPr>
      </w:pPr>
      <w:r w:rsidRPr="00673FD3">
        <w:rPr>
          <w:rFonts w:ascii="Arial" w:hAnsi="Arial" w:cs="Arial"/>
          <w:noProof/>
          <w:sz w:val="22"/>
          <w:szCs w:val="22"/>
          <w:lang w:val="es-ES"/>
        </w:rPr>
        <w:t xml:space="preserve">Dirección de correo electrónico: </w:t>
      </w:r>
      <w:r w:rsidRPr="00673FD3">
        <w:rPr>
          <w:rFonts w:ascii="Arial" w:hAnsi="Arial" w:cs="Arial"/>
          <w:i/>
          <w:noProof/>
          <w:color w:val="FF0000"/>
          <w:sz w:val="22"/>
          <w:szCs w:val="22"/>
          <w:lang w:val="es-ES"/>
        </w:rPr>
        <w:t>(insertar dirección de correo electrónico del Representante Autorizado)</w:t>
      </w:r>
    </w:p>
    <w:p w14:paraId="79B0A3E0" w14:textId="77777777" w:rsidR="004307E6" w:rsidRPr="00673FD3" w:rsidRDefault="004307E6" w:rsidP="004307E6">
      <w:pPr>
        <w:spacing w:before="120" w:after="120"/>
        <w:rPr>
          <w:rFonts w:ascii="Arial" w:hAnsi="Arial" w:cs="Arial"/>
          <w:i/>
          <w:noProof/>
          <w:color w:val="FF0000"/>
          <w:sz w:val="22"/>
          <w:szCs w:val="22"/>
          <w:lang w:val="es-ES"/>
        </w:rPr>
      </w:pPr>
      <w:r w:rsidRPr="00673FD3">
        <w:rPr>
          <w:rFonts w:ascii="Arial" w:hAnsi="Arial" w:cs="Arial"/>
          <w:i/>
          <w:noProof/>
          <w:color w:val="FF0000"/>
          <w:sz w:val="22"/>
          <w:szCs w:val="22"/>
          <w:lang w:val="es-ES"/>
        </w:rPr>
        <w:t xml:space="preserve">(IMPORTANTE: insertar la fecha en que esta Notificación se transmite a los oferentes. </w:t>
      </w:r>
      <w:r w:rsidRPr="00673FD3">
        <w:rPr>
          <w:rFonts w:ascii="Arial" w:hAnsi="Arial" w:cs="Arial"/>
          <w:i/>
          <w:noProof/>
          <w:color w:val="FF0000"/>
          <w:sz w:val="22"/>
          <w:szCs w:val="22"/>
          <w:lang w:val="es-ES"/>
        </w:rPr>
        <w:br/>
        <w:t>La Notificación debe enviarse a todos los oferentes simultáneamente. Esto significa en la misma fecha y lo más cerca posible al mismo tiempo.)</w:t>
      </w:r>
    </w:p>
    <w:p w14:paraId="088BB613" w14:textId="77777777" w:rsidR="004307E6" w:rsidRPr="00673FD3" w:rsidRDefault="004307E6" w:rsidP="004307E6">
      <w:pPr>
        <w:spacing w:before="120" w:after="120"/>
        <w:rPr>
          <w:rFonts w:ascii="Arial" w:hAnsi="Arial" w:cs="Arial"/>
          <w:b/>
          <w:bCs/>
          <w:noProof/>
          <w:sz w:val="22"/>
          <w:szCs w:val="22"/>
          <w:lang w:val="es-ES"/>
        </w:rPr>
      </w:pPr>
      <w:r w:rsidRPr="00673FD3">
        <w:rPr>
          <w:rFonts w:ascii="Arial" w:hAnsi="Arial" w:cs="Arial"/>
          <w:b/>
          <w:bCs/>
          <w:noProof/>
          <w:kern w:val="28"/>
          <w:sz w:val="22"/>
          <w:szCs w:val="22"/>
          <w:lang w:val="es-ES"/>
        </w:rPr>
        <w:t>FECHA DE TRANSMISIÓN</w:t>
      </w:r>
      <w:r w:rsidRPr="00673FD3">
        <w:rPr>
          <w:rFonts w:ascii="Arial" w:hAnsi="Arial" w:cs="Arial"/>
          <w:b/>
          <w:bCs/>
          <w:sz w:val="22"/>
          <w:szCs w:val="22"/>
          <w:lang w:val="es-ES"/>
        </w:rPr>
        <w:t xml:space="preserve">: </w:t>
      </w:r>
      <w:r w:rsidRPr="00673FD3">
        <w:rPr>
          <w:rFonts w:ascii="Arial" w:hAnsi="Arial" w:cs="Arial"/>
          <w:noProof/>
          <w:kern w:val="28"/>
          <w:sz w:val="22"/>
          <w:szCs w:val="22"/>
          <w:lang w:val="es-ES"/>
        </w:rPr>
        <w:t xml:space="preserve">Esta notificación se envía por: </w:t>
      </w:r>
      <w:r w:rsidRPr="00673FD3">
        <w:rPr>
          <w:rFonts w:ascii="Arial" w:hAnsi="Arial" w:cs="Arial"/>
          <w:i/>
          <w:iCs/>
          <w:noProof/>
          <w:color w:val="FF0000"/>
          <w:kern w:val="28"/>
          <w:sz w:val="22"/>
          <w:szCs w:val="22"/>
          <w:lang w:val="es-ES"/>
        </w:rPr>
        <w:t xml:space="preserve">(correo electrónico) </w:t>
      </w:r>
      <w:r w:rsidRPr="00673FD3">
        <w:rPr>
          <w:rFonts w:ascii="Arial" w:hAnsi="Arial" w:cs="Arial"/>
          <w:noProof/>
          <w:color w:val="FF0000"/>
          <w:kern w:val="28"/>
          <w:sz w:val="22"/>
          <w:szCs w:val="22"/>
          <w:lang w:val="es-ES"/>
        </w:rPr>
        <w:t xml:space="preserve">el </w:t>
      </w:r>
      <w:r w:rsidRPr="00673FD3">
        <w:rPr>
          <w:rFonts w:ascii="Arial" w:hAnsi="Arial" w:cs="Arial"/>
          <w:i/>
          <w:iCs/>
          <w:noProof/>
          <w:color w:val="FF0000"/>
          <w:kern w:val="28"/>
          <w:sz w:val="22"/>
          <w:szCs w:val="22"/>
          <w:lang w:val="es-ES"/>
        </w:rPr>
        <w:t xml:space="preserve">(fecha) </w:t>
      </w:r>
      <w:r w:rsidRPr="00673FD3">
        <w:rPr>
          <w:rFonts w:ascii="Arial" w:hAnsi="Arial" w:cs="Arial"/>
          <w:noProof/>
          <w:color w:val="FF0000"/>
          <w:kern w:val="28"/>
          <w:sz w:val="22"/>
          <w:szCs w:val="22"/>
          <w:lang w:val="es-ES"/>
        </w:rPr>
        <w:t>(hora local)</w:t>
      </w:r>
    </w:p>
    <w:p w14:paraId="72D4A761" w14:textId="77777777" w:rsidR="004307E6" w:rsidRPr="00673FD3" w:rsidRDefault="004307E6" w:rsidP="004307E6">
      <w:pPr>
        <w:spacing w:before="120" w:after="120"/>
        <w:ind w:right="289"/>
        <w:rPr>
          <w:rFonts w:ascii="Arial" w:hAnsi="Arial" w:cs="Arial"/>
          <w:b/>
          <w:bCs/>
          <w:noProof/>
          <w:sz w:val="22"/>
          <w:szCs w:val="22"/>
          <w:lang w:val="es-ES"/>
        </w:rPr>
      </w:pPr>
      <w:r w:rsidRPr="00673FD3">
        <w:rPr>
          <w:rFonts w:ascii="Arial" w:hAnsi="Arial" w:cs="Arial"/>
          <w:b/>
          <w:bCs/>
          <w:noProof/>
          <w:sz w:val="22"/>
          <w:szCs w:val="22"/>
          <w:lang w:val="es-ES"/>
        </w:rPr>
        <w:t>Notificación de Intención de Adjudicación</w:t>
      </w:r>
    </w:p>
    <w:p w14:paraId="63262215" w14:textId="77777777" w:rsidR="004307E6" w:rsidRPr="00673FD3" w:rsidRDefault="004307E6" w:rsidP="004307E6">
      <w:pPr>
        <w:spacing w:before="120" w:after="120"/>
        <w:rPr>
          <w:rFonts w:ascii="Arial" w:hAnsi="Arial" w:cs="Arial"/>
          <w:i/>
          <w:sz w:val="22"/>
          <w:szCs w:val="22"/>
          <w:lang w:val="es-ES"/>
        </w:rPr>
      </w:pPr>
      <w:r w:rsidRPr="00673FD3">
        <w:rPr>
          <w:rFonts w:ascii="Arial" w:hAnsi="Arial" w:cs="Arial"/>
          <w:b/>
          <w:bCs/>
          <w:sz w:val="22"/>
          <w:szCs w:val="22"/>
          <w:lang w:val="es-ES"/>
        </w:rPr>
        <w:t xml:space="preserve">Contratante: </w:t>
      </w:r>
      <w:r w:rsidRPr="00673FD3">
        <w:rPr>
          <w:rFonts w:ascii="Arial" w:hAnsi="Arial" w:cs="Arial"/>
          <w:i/>
          <w:color w:val="FF0000"/>
          <w:sz w:val="22"/>
          <w:szCs w:val="22"/>
          <w:lang w:val="es-ES"/>
        </w:rPr>
        <w:t>(insertar el nombre del Contratante)</w:t>
      </w:r>
    </w:p>
    <w:p w14:paraId="48F6648F" w14:textId="77777777" w:rsidR="004307E6" w:rsidRPr="00673FD3" w:rsidRDefault="004307E6" w:rsidP="004307E6">
      <w:pPr>
        <w:spacing w:before="120" w:after="120"/>
        <w:rPr>
          <w:rFonts w:ascii="Arial" w:hAnsi="Arial" w:cs="Arial"/>
          <w:i/>
          <w:color w:val="FF0000"/>
          <w:sz w:val="22"/>
          <w:szCs w:val="22"/>
          <w:lang w:val="es-ES"/>
        </w:rPr>
      </w:pPr>
      <w:r w:rsidRPr="00673FD3">
        <w:rPr>
          <w:rFonts w:ascii="Arial" w:hAnsi="Arial" w:cs="Arial"/>
          <w:b/>
          <w:bCs/>
          <w:sz w:val="22"/>
          <w:szCs w:val="22"/>
          <w:lang w:val="es-ES"/>
        </w:rPr>
        <w:t xml:space="preserve">Proyecto: </w:t>
      </w:r>
      <w:r w:rsidRPr="00673FD3">
        <w:rPr>
          <w:rFonts w:ascii="Arial" w:hAnsi="Arial" w:cs="Arial"/>
          <w:i/>
          <w:color w:val="FF0000"/>
          <w:sz w:val="22"/>
          <w:szCs w:val="22"/>
          <w:lang w:val="es-ES"/>
        </w:rPr>
        <w:t>(insertar nombre del proyecto)</w:t>
      </w:r>
    </w:p>
    <w:p w14:paraId="2F7C8F20" w14:textId="77777777" w:rsidR="004307E6" w:rsidRPr="00673FD3" w:rsidRDefault="004307E6" w:rsidP="004307E6">
      <w:pPr>
        <w:spacing w:before="120" w:after="120"/>
        <w:rPr>
          <w:rFonts w:ascii="Arial" w:hAnsi="Arial" w:cs="Arial"/>
          <w:i/>
          <w:sz w:val="22"/>
          <w:szCs w:val="22"/>
          <w:lang w:val="es-ES"/>
        </w:rPr>
      </w:pPr>
      <w:r w:rsidRPr="00673FD3">
        <w:rPr>
          <w:rFonts w:ascii="Arial" w:hAnsi="Arial" w:cs="Arial"/>
          <w:b/>
          <w:bCs/>
          <w:sz w:val="22"/>
          <w:szCs w:val="22"/>
          <w:lang w:val="es-ES"/>
        </w:rPr>
        <w:t>Título del contrato:</w:t>
      </w:r>
      <w:r w:rsidRPr="00673FD3">
        <w:rPr>
          <w:rFonts w:ascii="Arial" w:hAnsi="Arial" w:cs="Arial"/>
          <w:sz w:val="22"/>
          <w:szCs w:val="22"/>
          <w:lang w:val="es-ES"/>
        </w:rPr>
        <w:t xml:space="preserve"> </w:t>
      </w:r>
      <w:r w:rsidRPr="00673FD3">
        <w:rPr>
          <w:rFonts w:ascii="Arial" w:hAnsi="Arial" w:cs="Arial"/>
          <w:i/>
          <w:color w:val="FF0000"/>
          <w:sz w:val="22"/>
          <w:szCs w:val="22"/>
          <w:lang w:val="es-ES"/>
        </w:rPr>
        <w:t>(indicar el nombre del contrato)</w:t>
      </w:r>
    </w:p>
    <w:p w14:paraId="588B9BE9" w14:textId="77777777" w:rsidR="004307E6" w:rsidRPr="00673FD3" w:rsidRDefault="004307E6" w:rsidP="004307E6">
      <w:pPr>
        <w:spacing w:before="120" w:after="120"/>
        <w:rPr>
          <w:rFonts w:ascii="Arial" w:hAnsi="Arial" w:cs="Arial"/>
          <w:i/>
          <w:color w:val="FF0000"/>
          <w:sz w:val="22"/>
          <w:szCs w:val="22"/>
          <w:lang w:val="es-ES"/>
        </w:rPr>
      </w:pPr>
      <w:r w:rsidRPr="00673FD3">
        <w:rPr>
          <w:rFonts w:ascii="Arial" w:hAnsi="Arial" w:cs="Arial"/>
          <w:b/>
          <w:bCs/>
          <w:sz w:val="22"/>
          <w:szCs w:val="22"/>
          <w:lang w:val="es-ES"/>
        </w:rPr>
        <w:t>País:</w:t>
      </w:r>
      <w:r w:rsidRPr="00673FD3">
        <w:rPr>
          <w:rFonts w:ascii="Arial" w:hAnsi="Arial" w:cs="Arial"/>
          <w:sz w:val="22"/>
          <w:szCs w:val="22"/>
          <w:lang w:val="es-ES"/>
        </w:rPr>
        <w:t xml:space="preserve"> </w:t>
      </w:r>
      <w:r w:rsidRPr="00673FD3">
        <w:rPr>
          <w:rFonts w:ascii="Arial" w:hAnsi="Arial" w:cs="Arial"/>
          <w:i/>
          <w:color w:val="FF0000"/>
          <w:sz w:val="22"/>
          <w:szCs w:val="22"/>
          <w:lang w:val="es-ES"/>
        </w:rPr>
        <w:t>(insertar el país donde se realiza la licitación)</w:t>
      </w:r>
    </w:p>
    <w:p w14:paraId="7EE918F3" w14:textId="77777777" w:rsidR="004307E6" w:rsidRPr="00673FD3" w:rsidRDefault="004307E6" w:rsidP="004307E6">
      <w:pPr>
        <w:spacing w:before="120" w:after="120"/>
        <w:rPr>
          <w:rFonts w:ascii="Arial" w:hAnsi="Arial" w:cs="Arial"/>
          <w:i/>
          <w:color w:val="FF0000"/>
          <w:sz w:val="22"/>
          <w:szCs w:val="22"/>
          <w:lang w:val="es-ES"/>
        </w:rPr>
      </w:pPr>
      <w:r w:rsidRPr="00673FD3">
        <w:rPr>
          <w:rFonts w:ascii="Arial" w:hAnsi="Arial" w:cs="Arial"/>
          <w:b/>
          <w:bCs/>
          <w:sz w:val="22"/>
          <w:szCs w:val="22"/>
          <w:lang w:val="es-ES"/>
        </w:rPr>
        <w:t>Número de préstamo / número de crédito / número de donación:</w:t>
      </w:r>
      <w:r w:rsidRPr="00673FD3">
        <w:rPr>
          <w:rFonts w:ascii="Arial" w:hAnsi="Arial" w:cs="Arial"/>
          <w:sz w:val="22"/>
          <w:szCs w:val="22"/>
          <w:lang w:val="es-ES"/>
        </w:rPr>
        <w:t xml:space="preserve"> </w:t>
      </w:r>
      <w:r w:rsidRPr="00673FD3">
        <w:rPr>
          <w:rFonts w:ascii="Arial" w:hAnsi="Arial" w:cs="Arial"/>
          <w:i/>
          <w:color w:val="FF0000"/>
          <w:sz w:val="22"/>
          <w:szCs w:val="22"/>
          <w:lang w:val="es-ES"/>
        </w:rPr>
        <w:t>(indicar el número de referencia del préstamo / crédito / donación)</w:t>
      </w:r>
    </w:p>
    <w:p w14:paraId="4F6F2447" w14:textId="77777777" w:rsidR="004307E6" w:rsidRPr="00673FD3" w:rsidRDefault="004307E6" w:rsidP="004307E6">
      <w:pPr>
        <w:spacing w:before="120" w:after="120"/>
        <w:rPr>
          <w:rFonts w:ascii="Arial" w:hAnsi="Arial" w:cs="Arial"/>
          <w:sz w:val="22"/>
          <w:szCs w:val="22"/>
          <w:lang w:val="es-ES"/>
        </w:rPr>
      </w:pPr>
      <w:r w:rsidRPr="00673FD3">
        <w:rPr>
          <w:rFonts w:ascii="Arial" w:hAnsi="Arial" w:cs="Arial"/>
          <w:b/>
          <w:bCs/>
          <w:sz w:val="22"/>
          <w:szCs w:val="22"/>
          <w:lang w:val="es-ES"/>
        </w:rPr>
        <w:t>Licitación No:</w:t>
      </w:r>
      <w:r w:rsidRPr="00673FD3">
        <w:rPr>
          <w:rFonts w:ascii="Arial" w:hAnsi="Arial" w:cs="Arial"/>
          <w:sz w:val="22"/>
          <w:szCs w:val="22"/>
          <w:lang w:val="es-ES"/>
        </w:rPr>
        <w:t xml:space="preserve"> </w:t>
      </w:r>
      <w:r w:rsidRPr="00673FD3">
        <w:rPr>
          <w:rFonts w:ascii="Arial" w:hAnsi="Arial" w:cs="Arial"/>
          <w:i/>
          <w:color w:val="FF0000"/>
          <w:sz w:val="22"/>
          <w:szCs w:val="22"/>
          <w:lang w:val="es-ES"/>
        </w:rPr>
        <w:t>(insertar número de referencia SDO del Plan de Adquisiciones)</w:t>
      </w:r>
    </w:p>
    <w:p w14:paraId="75CF9753" w14:textId="77777777" w:rsidR="004307E6" w:rsidRPr="00673FD3" w:rsidRDefault="004307E6" w:rsidP="004307E6">
      <w:pPr>
        <w:spacing w:before="120" w:after="120"/>
        <w:rPr>
          <w:rFonts w:ascii="Arial" w:hAnsi="Arial" w:cs="Arial"/>
          <w:b/>
          <w:sz w:val="22"/>
          <w:szCs w:val="22"/>
          <w:lang w:val="es-ES"/>
        </w:rPr>
      </w:pPr>
      <w:r w:rsidRPr="00673FD3">
        <w:rPr>
          <w:rFonts w:ascii="Arial" w:hAnsi="Arial" w:cs="Arial"/>
          <w:b/>
          <w:sz w:val="22"/>
          <w:szCs w:val="22"/>
          <w:lang w:val="es-ES"/>
        </w:rPr>
        <w:t>El resultado del proceso es</w:t>
      </w:r>
    </w:p>
    <w:p w14:paraId="37ED3BB2" w14:textId="77777777" w:rsidR="004307E6" w:rsidRPr="00673FD3" w:rsidRDefault="004307E6" w:rsidP="004307E6">
      <w:pPr>
        <w:pStyle w:val="Prrafodelista"/>
        <w:numPr>
          <w:ilvl w:val="0"/>
          <w:numId w:val="69"/>
        </w:numPr>
        <w:spacing w:before="120" w:after="120"/>
        <w:ind w:left="360"/>
        <w:rPr>
          <w:rFonts w:ascii="Arial" w:hAnsi="Arial" w:cs="Arial"/>
          <w:b/>
          <w:sz w:val="22"/>
          <w:szCs w:val="22"/>
          <w:lang w:val="es-ES"/>
        </w:rPr>
      </w:pPr>
      <w:r w:rsidRPr="00673FD3">
        <w:rPr>
          <w:rFonts w:ascii="Arial" w:hAnsi="Arial" w:cs="Arial"/>
          <w:b/>
          <w:sz w:val="22"/>
          <w:szCs w:val="22"/>
          <w:lang w:val="es-ES"/>
        </w:rPr>
        <w:t>Adjudicatario</w:t>
      </w:r>
    </w:p>
    <w:tbl>
      <w:tblPr>
        <w:tblStyle w:val="Tablaconcuadrcula"/>
        <w:tblW w:w="9360" w:type="dxa"/>
        <w:tblInd w:w="-5" w:type="dxa"/>
        <w:tblLayout w:type="fixed"/>
        <w:tblLook w:val="04A0" w:firstRow="1" w:lastRow="0" w:firstColumn="1" w:lastColumn="0" w:noHBand="0" w:noVBand="1"/>
      </w:tblPr>
      <w:tblGrid>
        <w:gridCol w:w="2785"/>
        <w:gridCol w:w="6575"/>
      </w:tblGrid>
      <w:tr w:rsidR="004307E6" w:rsidRPr="00673FD3" w14:paraId="5BEF25C7" w14:textId="77777777" w:rsidTr="008F02F4">
        <w:trPr>
          <w:trHeight w:val="20"/>
        </w:trPr>
        <w:tc>
          <w:tcPr>
            <w:tcW w:w="2785" w:type="dxa"/>
            <w:shd w:val="clear" w:color="auto" w:fill="00B050"/>
          </w:tcPr>
          <w:p w14:paraId="2317EEE9" w14:textId="77777777" w:rsidR="004307E6" w:rsidRPr="00B93B9A" w:rsidRDefault="004307E6" w:rsidP="008F02F4">
            <w:pPr>
              <w:pStyle w:val="Sangradetextonormal"/>
              <w:ind w:left="70" w:firstLine="0"/>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Nombre:</w:t>
            </w:r>
          </w:p>
        </w:tc>
        <w:tc>
          <w:tcPr>
            <w:tcW w:w="6575" w:type="dxa"/>
            <w:vAlign w:val="center"/>
          </w:tcPr>
          <w:p w14:paraId="683532EA" w14:textId="77777777" w:rsidR="004307E6" w:rsidRPr="00673FD3" w:rsidRDefault="004307E6" w:rsidP="008F02F4">
            <w:pPr>
              <w:pStyle w:val="Sangradetextonormal"/>
              <w:ind w:left="0" w:hanging="20"/>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ingresar el nombre del oferente seleccionado)</w:t>
            </w:r>
            <w:r w:rsidRPr="00673FD3">
              <w:rPr>
                <w:rFonts w:ascii="Arial" w:hAnsi="Arial" w:cs="Arial"/>
                <w:iCs/>
                <w:color w:val="FF0000"/>
                <w:sz w:val="22"/>
                <w:szCs w:val="22"/>
                <w:lang w:val="es-ES"/>
              </w:rPr>
              <w:t>)</w:t>
            </w:r>
          </w:p>
        </w:tc>
      </w:tr>
      <w:tr w:rsidR="004307E6" w:rsidRPr="00673FD3" w14:paraId="2E5BF9AB" w14:textId="77777777" w:rsidTr="008F02F4">
        <w:trPr>
          <w:trHeight w:val="20"/>
        </w:trPr>
        <w:tc>
          <w:tcPr>
            <w:tcW w:w="2785" w:type="dxa"/>
            <w:shd w:val="clear" w:color="auto" w:fill="00B050"/>
          </w:tcPr>
          <w:p w14:paraId="00893D48" w14:textId="77777777" w:rsidR="004307E6" w:rsidRPr="00B93B9A" w:rsidRDefault="004307E6" w:rsidP="008F02F4">
            <w:pPr>
              <w:pStyle w:val="Sangradetextonormal"/>
              <w:ind w:left="70" w:firstLine="0"/>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Dirección:</w:t>
            </w:r>
          </w:p>
        </w:tc>
        <w:tc>
          <w:tcPr>
            <w:tcW w:w="6575" w:type="dxa"/>
            <w:vAlign w:val="center"/>
          </w:tcPr>
          <w:p w14:paraId="2C009B8B" w14:textId="77777777" w:rsidR="004307E6" w:rsidRPr="00673FD3" w:rsidRDefault="004307E6" w:rsidP="008F02F4">
            <w:pPr>
              <w:pStyle w:val="Sangradetextonormal"/>
              <w:ind w:left="0" w:hanging="20"/>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ingresar la dirección del oferente seleccionado</w:t>
            </w:r>
            <w:r w:rsidRPr="00673FD3">
              <w:rPr>
                <w:rFonts w:ascii="Arial" w:hAnsi="Arial" w:cs="Arial"/>
                <w:iCs/>
                <w:color w:val="FF0000"/>
                <w:sz w:val="22"/>
                <w:szCs w:val="22"/>
                <w:lang w:val="es-ES"/>
              </w:rPr>
              <w:t>)</w:t>
            </w:r>
          </w:p>
        </w:tc>
      </w:tr>
      <w:tr w:rsidR="004307E6" w:rsidRPr="00673FD3" w14:paraId="6F63828F" w14:textId="77777777" w:rsidTr="008F02F4">
        <w:trPr>
          <w:trHeight w:val="20"/>
        </w:trPr>
        <w:tc>
          <w:tcPr>
            <w:tcW w:w="2785" w:type="dxa"/>
            <w:shd w:val="clear" w:color="auto" w:fill="00B050"/>
          </w:tcPr>
          <w:p w14:paraId="1985CFC1" w14:textId="77777777" w:rsidR="004307E6" w:rsidRPr="00B93B9A" w:rsidRDefault="004307E6" w:rsidP="008F02F4">
            <w:pPr>
              <w:pStyle w:val="Sangradetextonormal"/>
              <w:ind w:left="70" w:firstLine="0"/>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Precio del contrato:</w:t>
            </w:r>
          </w:p>
        </w:tc>
        <w:tc>
          <w:tcPr>
            <w:tcW w:w="6575" w:type="dxa"/>
            <w:vAlign w:val="center"/>
          </w:tcPr>
          <w:p w14:paraId="3D7FEAE7" w14:textId="77777777" w:rsidR="004307E6" w:rsidRPr="00673FD3" w:rsidRDefault="004307E6" w:rsidP="008F02F4">
            <w:pPr>
              <w:pStyle w:val="Sangradetextonormal"/>
              <w:ind w:left="0" w:hanging="20"/>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ingresar el precio de la oferente ganadora</w:t>
            </w:r>
            <w:r w:rsidRPr="00673FD3">
              <w:rPr>
                <w:rFonts w:ascii="Arial" w:hAnsi="Arial" w:cs="Arial"/>
                <w:iCs/>
                <w:color w:val="FF0000"/>
                <w:sz w:val="22"/>
                <w:szCs w:val="22"/>
                <w:lang w:val="es-ES"/>
              </w:rPr>
              <w:t>)</w:t>
            </w:r>
          </w:p>
        </w:tc>
      </w:tr>
    </w:tbl>
    <w:p w14:paraId="579499FD" w14:textId="77777777" w:rsidR="004307E6" w:rsidRPr="00B93B9A" w:rsidRDefault="004307E6" w:rsidP="004307E6">
      <w:pPr>
        <w:pStyle w:val="Prrafodelista"/>
        <w:numPr>
          <w:ilvl w:val="0"/>
          <w:numId w:val="69"/>
        </w:numPr>
        <w:spacing w:before="120" w:after="120"/>
        <w:ind w:left="360"/>
        <w:rPr>
          <w:rFonts w:ascii="Arial" w:hAnsi="Arial" w:cs="Arial"/>
          <w:b/>
          <w:color w:val="FFFFFF" w:themeColor="background1"/>
          <w:sz w:val="22"/>
          <w:szCs w:val="22"/>
          <w:lang w:val="es-ES"/>
        </w:rPr>
      </w:pPr>
      <w:r w:rsidRPr="00673FD3">
        <w:rPr>
          <w:rFonts w:ascii="Arial" w:hAnsi="Arial" w:cs="Arial"/>
          <w:b/>
          <w:bCs/>
          <w:sz w:val="22"/>
          <w:szCs w:val="22"/>
          <w:lang w:val="es-ES"/>
        </w:rPr>
        <w:t xml:space="preserve">Otros Oferentes </w:t>
      </w:r>
    </w:p>
    <w:tbl>
      <w:tblPr>
        <w:tblStyle w:val="Tablaconcuadrcula"/>
        <w:tblW w:w="9355" w:type="dxa"/>
        <w:tblLook w:val="04A0" w:firstRow="1" w:lastRow="0" w:firstColumn="1" w:lastColumn="0" w:noHBand="0" w:noVBand="1"/>
      </w:tblPr>
      <w:tblGrid>
        <w:gridCol w:w="3055"/>
        <w:gridCol w:w="3240"/>
        <w:gridCol w:w="3060"/>
      </w:tblGrid>
      <w:tr w:rsidR="004307E6" w:rsidRPr="00B93B9A" w14:paraId="45496250" w14:textId="77777777" w:rsidTr="008F02F4">
        <w:tc>
          <w:tcPr>
            <w:tcW w:w="3055" w:type="dxa"/>
            <w:shd w:val="clear" w:color="auto" w:fill="00B050"/>
            <w:vAlign w:val="center"/>
          </w:tcPr>
          <w:p w14:paraId="7AE46A6E" w14:textId="77777777" w:rsidR="004307E6" w:rsidRPr="00B93B9A" w:rsidRDefault="004307E6" w:rsidP="008F02F4">
            <w:pPr>
              <w:pStyle w:val="Sangradetextonormal"/>
              <w:ind w:left="0" w:right="33"/>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Nombre del Oferente</w:t>
            </w:r>
          </w:p>
        </w:tc>
        <w:tc>
          <w:tcPr>
            <w:tcW w:w="3240" w:type="dxa"/>
            <w:shd w:val="clear" w:color="auto" w:fill="00B050"/>
            <w:vAlign w:val="center"/>
          </w:tcPr>
          <w:p w14:paraId="27D3F0E7" w14:textId="77777777" w:rsidR="004307E6" w:rsidRPr="00B93B9A" w:rsidRDefault="004307E6" w:rsidP="008F02F4">
            <w:pPr>
              <w:pStyle w:val="Sangradetextonormal"/>
              <w:ind w:left="0" w:right="29"/>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Precio de la Oferta</w:t>
            </w:r>
          </w:p>
        </w:tc>
        <w:tc>
          <w:tcPr>
            <w:tcW w:w="3060" w:type="dxa"/>
            <w:shd w:val="clear" w:color="auto" w:fill="00B050"/>
            <w:vAlign w:val="center"/>
          </w:tcPr>
          <w:p w14:paraId="08CD99F9" w14:textId="77777777" w:rsidR="004307E6" w:rsidRPr="00B93B9A" w:rsidRDefault="004307E6" w:rsidP="008F02F4">
            <w:pPr>
              <w:pStyle w:val="Sangradetextonormal"/>
              <w:ind w:left="0"/>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Precio Evaluado</w:t>
            </w:r>
          </w:p>
          <w:p w14:paraId="5298A6F2" w14:textId="77777777" w:rsidR="004307E6" w:rsidRPr="00B93B9A" w:rsidRDefault="004307E6" w:rsidP="008F02F4">
            <w:pPr>
              <w:pStyle w:val="Sangradetextonormal"/>
              <w:ind w:left="0"/>
              <w:contextualSpacing/>
              <w:jc w:val="center"/>
              <w:rPr>
                <w:rFonts w:ascii="Arial" w:hAnsi="Arial" w:cs="Arial"/>
                <w:b/>
                <w:iCs/>
                <w:color w:val="FFFFFF" w:themeColor="background1"/>
                <w:sz w:val="22"/>
                <w:szCs w:val="22"/>
                <w:lang w:val="es-ES"/>
              </w:rPr>
            </w:pPr>
            <w:r w:rsidRPr="00B93B9A">
              <w:rPr>
                <w:rFonts w:ascii="Arial" w:hAnsi="Arial" w:cs="Arial"/>
                <w:b/>
                <w:iCs/>
                <w:color w:val="FFFFFF" w:themeColor="background1"/>
                <w:sz w:val="22"/>
                <w:szCs w:val="22"/>
                <w:lang w:val="es-ES"/>
              </w:rPr>
              <w:t xml:space="preserve"> (si aplica)</w:t>
            </w:r>
          </w:p>
        </w:tc>
      </w:tr>
      <w:tr w:rsidR="004307E6" w:rsidRPr="00673FD3" w14:paraId="6915EDC5" w14:textId="77777777" w:rsidTr="008F02F4">
        <w:tc>
          <w:tcPr>
            <w:tcW w:w="3055" w:type="dxa"/>
            <w:vAlign w:val="center"/>
          </w:tcPr>
          <w:p w14:paraId="2B4D6D15" w14:textId="77777777" w:rsidR="004307E6" w:rsidRPr="00673FD3" w:rsidRDefault="004307E6" w:rsidP="008F02F4">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545E862F" w14:textId="77777777" w:rsidR="004307E6" w:rsidRPr="00673FD3" w:rsidRDefault="004307E6" w:rsidP="008F02F4">
            <w:pPr>
              <w:pStyle w:val="Sangradetextonormal"/>
              <w:ind w:left="0" w:right="33" w:firstLine="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494EA4D2" w14:textId="77777777" w:rsidR="004307E6" w:rsidRPr="00673FD3" w:rsidRDefault="004307E6" w:rsidP="008F02F4">
            <w:pPr>
              <w:pStyle w:val="Sangradetextonormal"/>
              <w:tabs>
                <w:tab w:val="clear" w:pos="1080"/>
              </w:tabs>
              <w:ind w:left="70" w:hanging="2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4307E6" w:rsidRPr="00673FD3" w14:paraId="4B824647" w14:textId="77777777" w:rsidTr="008F02F4">
        <w:tc>
          <w:tcPr>
            <w:tcW w:w="3055" w:type="dxa"/>
            <w:vAlign w:val="center"/>
          </w:tcPr>
          <w:p w14:paraId="094F8479" w14:textId="77777777" w:rsidR="004307E6" w:rsidRPr="00673FD3" w:rsidRDefault="004307E6" w:rsidP="008F02F4">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4A99CAA2" w14:textId="77777777" w:rsidR="004307E6" w:rsidRPr="00673FD3" w:rsidRDefault="004307E6" w:rsidP="008F02F4">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08FF76EE" w14:textId="77777777" w:rsidR="004307E6" w:rsidRPr="00673FD3" w:rsidRDefault="004307E6" w:rsidP="008F02F4">
            <w:pPr>
              <w:pStyle w:val="Sangradetextonormal"/>
              <w:tabs>
                <w:tab w:val="clear" w:pos="1080"/>
              </w:tabs>
              <w:ind w:left="70" w:hanging="2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4307E6" w:rsidRPr="00673FD3" w14:paraId="3478E68F" w14:textId="77777777" w:rsidTr="008F02F4">
        <w:tc>
          <w:tcPr>
            <w:tcW w:w="3055" w:type="dxa"/>
            <w:vAlign w:val="center"/>
          </w:tcPr>
          <w:p w14:paraId="5FCEE603" w14:textId="77777777" w:rsidR="004307E6" w:rsidRPr="00673FD3" w:rsidRDefault="004307E6" w:rsidP="008F02F4">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1F5AE13A" w14:textId="77777777" w:rsidR="004307E6" w:rsidRPr="00673FD3" w:rsidRDefault="004307E6" w:rsidP="008F02F4">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7C7F2344" w14:textId="77777777" w:rsidR="004307E6" w:rsidRPr="00673FD3" w:rsidRDefault="004307E6" w:rsidP="008F02F4">
            <w:pPr>
              <w:pStyle w:val="Sangradetextonormal"/>
              <w:tabs>
                <w:tab w:val="clear" w:pos="1080"/>
              </w:tabs>
              <w:ind w:left="70" w:hanging="2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4307E6" w:rsidRPr="00673FD3" w14:paraId="595526AA" w14:textId="77777777" w:rsidTr="008F02F4">
        <w:tc>
          <w:tcPr>
            <w:tcW w:w="3055" w:type="dxa"/>
            <w:vAlign w:val="center"/>
          </w:tcPr>
          <w:p w14:paraId="1D31C35C" w14:textId="77777777" w:rsidR="004307E6" w:rsidRPr="00673FD3" w:rsidRDefault="004307E6" w:rsidP="008F02F4">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192057DF" w14:textId="77777777" w:rsidR="004307E6" w:rsidRPr="00673FD3" w:rsidRDefault="004307E6" w:rsidP="008F02F4">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08D7C960" w14:textId="77777777" w:rsidR="004307E6" w:rsidRPr="00673FD3" w:rsidRDefault="004307E6" w:rsidP="008F02F4">
            <w:pPr>
              <w:pStyle w:val="Sangradetextonormal"/>
              <w:ind w:left="0" w:firstLine="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r w:rsidR="004307E6" w:rsidRPr="00673FD3" w14:paraId="3DEFE1E5" w14:textId="77777777" w:rsidTr="008F02F4">
        <w:tc>
          <w:tcPr>
            <w:tcW w:w="3055" w:type="dxa"/>
            <w:vAlign w:val="center"/>
          </w:tcPr>
          <w:p w14:paraId="32B929D7" w14:textId="77777777" w:rsidR="004307E6" w:rsidRPr="00673FD3" w:rsidRDefault="004307E6" w:rsidP="008F02F4">
            <w:pPr>
              <w:contextualSpacing/>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nombre</w:t>
            </w:r>
            <w:r w:rsidRPr="00673FD3">
              <w:rPr>
                <w:rFonts w:ascii="Arial" w:hAnsi="Arial" w:cs="Arial"/>
                <w:iCs/>
                <w:color w:val="FF0000"/>
                <w:sz w:val="22"/>
                <w:szCs w:val="22"/>
                <w:lang w:val="es-ES"/>
              </w:rPr>
              <w:t>)</w:t>
            </w:r>
          </w:p>
        </w:tc>
        <w:tc>
          <w:tcPr>
            <w:tcW w:w="3240" w:type="dxa"/>
            <w:vAlign w:val="center"/>
          </w:tcPr>
          <w:p w14:paraId="0486EE08" w14:textId="77777777" w:rsidR="004307E6" w:rsidRPr="00673FD3" w:rsidRDefault="004307E6" w:rsidP="008F02F4">
            <w:pPr>
              <w:contextualSpacing/>
              <w:jc w:val="center"/>
              <w:rPr>
                <w:rFonts w:ascii="Arial" w:hAnsi="Arial" w:cs="Arial"/>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de la Oferta</w:t>
            </w:r>
            <w:r w:rsidRPr="00673FD3">
              <w:rPr>
                <w:rFonts w:ascii="Arial" w:hAnsi="Arial" w:cs="Arial"/>
                <w:iCs/>
                <w:color w:val="FF0000"/>
                <w:sz w:val="22"/>
                <w:szCs w:val="22"/>
                <w:lang w:val="es-ES"/>
              </w:rPr>
              <w:t>)</w:t>
            </w:r>
          </w:p>
        </w:tc>
        <w:tc>
          <w:tcPr>
            <w:tcW w:w="3060" w:type="dxa"/>
            <w:vAlign w:val="center"/>
          </w:tcPr>
          <w:p w14:paraId="476662FA" w14:textId="77777777" w:rsidR="004307E6" w:rsidRPr="00673FD3" w:rsidRDefault="004307E6" w:rsidP="008F02F4">
            <w:pPr>
              <w:pStyle w:val="Sangradetextonormal"/>
              <w:ind w:left="0" w:firstLine="0"/>
              <w:contextualSpacing/>
              <w:jc w:val="center"/>
              <w:rPr>
                <w:rFonts w:ascii="Arial" w:hAnsi="Arial" w:cs="Arial"/>
                <w:iCs/>
                <w:color w:val="FF0000"/>
                <w:sz w:val="22"/>
                <w:szCs w:val="22"/>
                <w:lang w:val="es-ES"/>
              </w:rPr>
            </w:pPr>
            <w:r w:rsidRPr="00673FD3">
              <w:rPr>
                <w:rFonts w:ascii="Arial" w:hAnsi="Arial" w:cs="Arial"/>
                <w:iCs/>
                <w:color w:val="FF0000"/>
                <w:sz w:val="22"/>
                <w:szCs w:val="22"/>
                <w:lang w:val="es-ES"/>
              </w:rPr>
              <w:t>(</w:t>
            </w:r>
            <w:r w:rsidRPr="00673FD3">
              <w:rPr>
                <w:rFonts w:ascii="Arial" w:hAnsi="Arial" w:cs="Arial"/>
                <w:i/>
                <w:iCs/>
                <w:color w:val="FF0000"/>
                <w:sz w:val="22"/>
                <w:szCs w:val="22"/>
                <w:lang w:val="es-ES"/>
              </w:rPr>
              <w:t>ingrese el precio evaluado</w:t>
            </w:r>
            <w:r w:rsidRPr="00673FD3">
              <w:rPr>
                <w:rFonts w:ascii="Arial" w:hAnsi="Arial" w:cs="Arial"/>
                <w:iCs/>
                <w:color w:val="FF0000"/>
                <w:sz w:val="22"/>
                <w:szCs w:val="22"/>
                <w:lang w:val="es-ES"/>
              </w:rPr>
              <w:t>)</w:t>
            </w:r>
          </w:p>
        </w:tc>
      </w:tr>
    </w:tbl>
    <w:p w14:paraId="36B9D633" w14:textId="77777777" w:rsidR="004307E6" w:rsidRPr="00673FD3" w:rsidRDefault="004307E6" w:rsidP="004307E6">
      <w:pPr>
        <w:spacing w:before="240" w:after="120"/>
        <w:rPr>
          <w:rFonts w:ascii="Arial" w:hAnsi="Arial" w:cs="Arial"/>
          <w:b/>
          <w:sz w:val="22"/>
          <w:szCs w:val="22"/>
          <w:lang w:val="es-ES"/>
        </w:rPr>
      </w:pPr>
      <w:r w:rsidRPr="00673FD3">
        <w:rPr>
          <w:rFonts w:ascii="Arial" w:hAnsi="Arial" w:cs="Arial"/>
          <w:b/>
          <w:sz w:val="22"/>
          <w:szCs w:val="22"/>
          <w:lang w:val="es-ES"/>
        </w:rPr>
        <w:t>3. Razón por la cual su oferta no tuvo éxito.</w:t>
      </w:r>
    </w:p>
    <w:tbl>
      <w:tblPr>
        <w:tblStyle w:val="Tablaconcuadrcula"/>
        <w:tblW w:w="0" w:type="auto"/>
        <w:tblLook w:val="04A0" w:firstRow="1" w:lastRow="0" w:firstColumn="1" w:lastColumn="0" w:noHBand="0" w:noVBand="1"/>
      </w:tblPr>
      <w:tblGrid>
        <w:gridCol w:w="9350"/>
      </w:tblGrid>
      <w:tr w:rsidR="004307E6" w:rsidRPr="00673FD3" w14:paraId="4E9B312D" w14:textId="77777777" w:rsidTr="008F02F4">
        <w:tc>
          <w:tcPr>
            <w:tcW w:w="10060" w:type="dxa"/>
          </w:tcPr>
          <w:p w14:paraId="125B2B5C" w14:textId="77777777" w:rsidR="004307E6" w:rsidRPr="00673FD3" w:rsidRDefault="004307E6" w:rsidP="008F02F4">
            <w:pPr>
              <w:spacing w:before="60" w:after="120"/>
              <w:rPr>
                <w:rFonts w:ascii="Arial" w:hAnsi="Arial" w:cs="Arial"/>
                <w:sz w:val="22"/>
                <w:szCs w:val="22"/>
                <w:lang w:val="es-ES"/>
              </w:rPr>
            </w:pPr>
            <w:r w:rsidRPr="00673FD3">
              <w:rPr>
                <w:rFonts w:ascii="Arial" w:hAnsi="Arial" w:cs="Arial"/>
                <w:color w:val="FF0000"/>
                <w:sz w:val="22"/>
                <w:szCs w:val="22"/>
                <w:lang w:val="es-ES"/>
              </w:rPr>
              <w:t>Indique la razón por la cual la Oferta de este Oferente no tuvo éxito.</w:t>
            </w:r>
          </w:p>
        </w:tc>
      </w:tr>
    </w:tbl>
    <w:p w14:paraId="32BA7380" w14:textId="77777777" w:rsidR="004307E6" w:rsidRPr="00673FD3" w:rsidRDefault="004307E6" w:rsidP="004307E6">
      <w:pPr>
        <w:spacing w:before="240" w:after="120"/>
        <w:rPr>
          <w:rFonts w:ascii="Arial" w:hAnsi="Arial" w:cs="Arial"/>
          <w:b/>
          <w:sz w:val="22"/>
          <w:szCs w:val="22"/>
          <w:lang w:val="es-ES"/>
        </w:rPr>
      </w:pPr>
      <w:r w:rsidRPr="00673FD3">
        <w:rPr>
          <w:rFonts w:ascii="Arial" w:hAnsi="Arial" w:cs="Arial"/>
          <w:b/>
          <w:sz w:val="22"/>
          <w:szCs w:val="22"/>
          <w:lang w:val="es-ES"/>
        </w:rPr>
        <w:lastRenderedPageBreak/>
        <w:t xml:space="preserve">4. Plazo para presentar protestas o quejas </w:t>
      </w:r>
    </w:p>
    <w:p w14:paraId="35EDBB69" w14:textId="77777777" w:rsidR="004307E6" w:rsidRPr="00673FD3" w:rsidRDefault="004307E6" w:rsidP="004307E6">
      <w:pPr>
        <w:spacing w:before="120" w:after="120"/>
        <w:rPr>
          <w:rFonts w:ascii="Arial" w:hAnsi="Arial" w:cs="Arial"/>
          <w:sz w:val="22"/>
          <w:szCs w:val="22"/>
          <w:lang w:val="es-ES"/>
        </w:rPr>
      </w:pPr>
      <w:r w:rsidRPr="00673FD3">
        <w:rPr>
          <w:rFonts w:ascii="Arial" w:hAnsi="Arial" w:cs="Arial"/>
          <w:sz w:val="22"/>
          <w:szCs w:val="22"/>
          <w:lang w:val="es-ES"/>
        </w:rPr>
        <w:t>Con esta Notificación de Intención de Adjudicación, se le notifica nuestra decisión de adjudicar el contrato anterior, con esta transmisión comienza el periodo durante el cual usted puede presentar protestas al resultado notificado, de conformidad con lo establecido en la subcláusula 37.2 de los DDL</w:t>
      </w:r>
    </w:p>
    <w:p w14:paraId="7C3B70AD" w14:textId="77777777" w:rsidR="004307E6" w:rsidRPr="00673FD3" w:rsidRDefault="004307E6" w:rsidP="004307E6">
      <w:pPr>
        <w:spacing w:before="240" w:after="240"/>
        <w:rPr>
          <w:rFonts w:ascii="Arial" w:hAnsi="Arial" w:cs="Arial"/>
          <w:spacing w:val="-4"/>
          <w:sz w:val="22"/>
          <w:szCs w:val="22"/>
          <w:lang w:val="es-ES"/>
        </w:rPr>
      </w:pPr>
      <w:r w:rsidRPr="00673FD3">
        <w:rPr>
          <w:rFonts w:ascii="Arial" w:hAnsi="Arial" w:cs="Arial"/>
          <w:spacing w:val="-4"/>
          <w:sz w:val="22"/>
          <w:szCs w:val="22"/>
          <w:lang w:val="es-ES"/>
        </w:rPr>
        <w:t>Si tiene alguna pregunta sobre esta Notificación, no dude en ponerse en contacto con nosotros.</w:t>
      </w:r>
    </w:p>
    <w:p w14:paraId="0F5E8C45" w14:textId="77777777" w:rsidR="004307E6" w:rsidRPr="00673FD3" w:rsidRDefault="004307E6" w:rsidP="004307E6">
      <w:pPr>
        <w:spacing w:before="240" w:after="240"/>
        <w:rPr>
          <w:rFonts w:ascii="Arial" w:hAnsi="Arial" w:cs="Arial"/>
          <w:sz w:val="22"/>
          <w:szCs w:val="22"/>
          <w:lang w:val="es-ES"/>
        </w:rPr>
      </w:pPr>
      <w:r w:rsidRPr="00673FD3">
        <w:rPr>
          <w:rFonts w:ascii="Arial" w:hAnsi="Arial" w:cs="Arial"/>
          <w:sz w:val="22"/>
          <w:szCs w:val="22"/>
          <w:lang w:val="es-ES"/>
        </w:rPr>
        <w:t>En nombre del Contratante:</w:t>
      </w:r>
    </w:p>
    <w:p w14:paraId="3937EA70" w14:textId="77777777" w:rsidR="004307E6" w:rsidRPr="00673FD3" w:rsidRDefault="004307E6" w:rsidP="004307E6">
      <w:pPr>
        <w:spacing w:before="240" w:after="240"/>
        <w:ind w:left="1701" w:hanging="1701"/>
        <w:rPr>
          <w:rFonts w:ascii="Arial" w:hAnsi="Arial" w:cs="Arial"/>
          <w:sz w:val="22"/>
          <w:szCs w:val="22"/>
          <w:lang w:val="es-ES"/>
        </w:rPr>
      </w:pPr>
      <w:r w:rsidRPr="00673FD3">
        <w:rPr>
          <w:rFonts w:ascii="Arial" w:hAnsi="Arial" w:cs="Arial"/>
          <w:b/>
          <w:bCs/>
          <w:sz w:val="22"/>
          <w:szCs w:val="22"/>
          <w:lang w:val="es-ES"/>
        </w:rPr>
        <w:t>Firma:</w:t>
      </w:r>
      <w:r w:rsidRPr="00673FD3">
        <w:rPr>
          <w:rFonts w:ascii="Arial" w:hAnsi="Arial" w:cs="Arial"/>
          <w:sz w:val="22"/>
          <w:szCs w:val="22"/>
          <w:lang w:val="es-ES"/>
        </w:rPr>
        <w:t xml:space="preserve"> </w:t>
      </w:r>
      <w:r w:rsidRPr="00673FD3">
        <w:rPr>
          <w:rFonts w:ascii="Arial" w:hAnsi="Arial" w:cs="Arial"/>
          <w:sz w:val="22"/>
          <w:szCs w:val="22"/>
          <w:lang w:val="es-ES"/>
        </w:rPr>
        <w:tab/>
        <w:t>______________________________________________</w:t>
      </w:r>
    </w:p>
    <w:p w14:paraId="3129AD72" w14:textId="77777777" w:rsidR="004307E6" w:rsidRPr="00673FD3" w:rsidRDefault="004307E6" w:rsidP="004307E6">
      <w:pPr>
        <w:spacing w:before="240" w:after="240"/>
        <w:ind w:left="1701" w:hanging="1701"/>
        <w:rPr>
          <w:rFonts w:ascii="Arial" w:hAnsi="Arial" w:cs="Arial"/>
          <w:sz w:val="22"/>
          <w:szCs w:val="22"/>
          <w:lang w:val="es-ES"/>
        </w:rPr>
      </w:pPr>
      <w:r w:rsidRPr="00673FD3">
        <w:rPr>
          <w:rFonts w:ascii="Arial" w:hAnsi="Arial" w:cs="Arial"/>
          <w:b/>
          <w:bCs/>
          <w:sz w:val="22"/>
          <w:szCs w:val="22"/>
          <w:lang w:val="es-ES"/>
        </w:rPr>
        <w:t>Nombre:</w:t>
      </w:r>
      <w:r w:rsidRPr="00673FD3">
        <w:rPr>
          <w:rFonts w:ascii="Arial" w:hAnsi="Arial" w:cs="Arial"/>
          <w:sz w:val="22"/>
          <w:szCs w:val="22"/>
          <w:lang w:val="es-ES"/>
        </w:rPr>
        <w:tab/>
        <w:t>______________________________________________</w:t>
      </w:r>
    </w:p>
    <w:p w14:paraId="26EFB154" w14:textId="77777777" w:rsidR="004307E6" w:rsidRPr="00673FD3" w:rsidRDefault="004307E6" w:rsidP="004307E6">
      <w:pPr>
        <w:spacing w:before="240" w:after="240"/>
        <w:ind w:left="1701" w:hanging="1701"/>
        <w:rPr>
          <w:rFonts w:ascii="Arial" w:hAnsi="Arial" w:cs="Arial"/>
          <w:sz w:val="22"/>
          <w:szCs w:val="22"/>
          <w:lang w:val="es-ES"/>
        </w:rPr>
      </w:pPr>
      <w:r w:rsidRPr="00673FD3">
        <w:rPr>
          <w:rFonts w:ascii="Arial" w:hAnsi="Arial" w:cs="Arial"/>
          <w:b/>
          <w:bCs/>
          <w:sz w:val="22"/>
          <w:szCs w:val="22"/>
          <w:lang w:val="es-ES"/>
        </w:rPr>
        <w:t>Título / cargo:</w:t>
      </w:r>
      <w:r w:rsidRPr="00673FD3">
        <w:rPr>
          <w:rFonts w:ascii="Arial" w:hAnsi="Arial" w:cs="Arial"/>
          <w:sz w:val="22"/>
          <w:szCs w:val="22"/>
          <w:lang w:val="es-ES"/>
        </w:rPr>
        <w:t xml:space="preserve"> </w:t>
      </w:r>
      <w:r w:rsidRPr="00673FD3">
        <w:rPr>
          <w:rFonts w:ascii="Arial" w:hAnsi="Arial" w:cs="Arial"/>
          <w:sz w:val="22"/>
          <w:szCs w:val="22"/>
          <w:lang w:val="es-ES"/>
        </w:rPr>
        <w:tab/>
        <w:t>______________________________________________</w:t>
      </w:r>
    </w:p>
    <w:p w14:paraId="54729EDC" w14:textId="77777777" w:rsidR="004307E6" w:rsidRPr="00673FD3" w:rsidRDefault="004307E6" w:rsidP="004307E6">
      <w:pPr>
        <w:spacing w:before="240" w:after="240"/>
        <w:ind w:left="1701" w:hanging="1701"/>
        <w:rPr>
          <w:rFonts w:ascii="Arial" w:hAnsi="Arial" w:cs="Arial"/>
          <w:sz w:val="22"/>
          <w:szCs w:val="22"/>
          <w:lang w:val="es-ES"/>
        </w:rPr>
      </w:pPr>
      <w:r w:rsidRPr="00673FD3">
        <w:rPr>
          <w:rFonts w:ascii="Arial" w:hAnsi="Arial" w:cs="Arial"/>
          <w:b/>
          <w:bCs/>
          <w:sz w:val="22"/>
          <w:szCs w:val="22"/>
          <w:lang w:val="es-ES"/>
        </w:rPr>
        <w:t>Teléfono:</w:t>
      </w:r>
      <w:r w:rsidRPr="00673FD3">
        <w:rPr>
          <w:rFonts w:ascii="Arial" w:hAnsi="Arial" w:cs="Arial"/>
          <w:sz w:val="22"/>
          <w:szCs w:val="22"/>
          <w:lang w:val="es-ES"/>
        </w:rPr>
        <w:t xml:space="preserve"> </w:t>
      </w:r>
      <w:r w:rsidRPr="00673FD3">
        <w:rPr>
          <w:rFonts w:ascii="Arial" w:hAnsi="Arial" w:cs="Arial"/>
          <w:sz w:val="22"/>
          <w:szCs w:val="22"/>
          <w:lang w:val="es-ES"/>
        </w:rPr>
        <w:tab/>
        <w:t>______________________________________________</w:t>
      </w:r>
    </w:p>
    <w:p w14:paraId="4C45325E" w14:textId="77777777" w:rsidR="004307E6" w:rsidRPr="00673FD3" w:rsidRDefault="004307E6" w:rsidP="004307E6">
      <w:pPr>
        <w:spacing w:before="240" w:after="240"/>
        <w:ind w:left="1701" w:hanging="1701"/>
        <w:rPr>
          <w:rFonts w:ascii="Arial" w:hAnsi="Arial" w:cs="Arial"/>
          <w:sz w:val="22"/>
          <w:szCs w:val="22"/>
          <w:lang w:val="es-ES"/>
        </w:rPr>
      </w:pPr>
      <w:r w:rsidRPr="00673FD3">
        <w:rPr>
          <w:rFonts w:ascii="Arial" w:hAnsi="Arial" w:cs="Arial"/>
          <w:b/>
          <w:bCs/>
          <w:sz w:val="22"/>
          <w:szCs w:val="22"/>
          <w:lang w:val="es-ES"/>
        </w:rPr>
        <w:t>Email:</w:t>
      </w:r>
      <w:r w:rsidRPr="00673FD3">
        <w:rPr>
          <w:rFonts w:ascii="Arial" w:hAnsi="Arial" w:cs="Arial"/>
          <w:sz w:val="22"/>
          <w:szCs w:val="22"/>
          <w:lang w:val="es-ES"/>
        </w:rPr>
        <w:tab/>
        <w:t>______________________________________________</w:t>
      </w:r>
    </w:p>
    <w:p w14:paraId="15AA0ED3" w14:textId="77777777" w:rsidR="004307E6" w:rsidRPr="00673FD3" w:rsidRDefault="004307E6" w:rsidP="004307E6">
      <w:pPr>
        <w:jc w:val="left"/>
        <w:rPr>
          <w:rFonts w:ascii="Arial" w:hAnsi="Arial" w:cs="Arial"/>
          <w:b/>
          <w:color w:val="000000" w:themeColor="text1"/>
          <w:sz w:val="22"/>
          <w:szCs w:val="22"/>
          <w:lang w:val="es-MX"/>
        </w:rPr>
      </w:pPr>
    </w:p>
    <w:p w14:paraId="380783DA" w14:textId="77777777" w:rsidR="004307E6" w:rsidRPr="00673FD3" w:rsidRDefault="004307E6" w:rsidP="004307E6">
      <w:pPr>
        <w:jc w:val="center"/>
        <w:rPr>
          <w:rFonts w:ascii="Arial" w:hAnsi="Arial" w:cs="Arial"/>
          <w:b/>
          <w:color w:val="000000" w:themeColor="text1"/>
          <w:sz w:val="22"/>
          <w:szCs w:val="22"/>
          <w:lang w:val="es-MX"/>
        </w:rPr>
      </w:pPr>
    </w:p>
    <w:p w14:paraId="135A1BD0" w14:textId="77777777" w:rsidR="004307E6" w:rsidRPr="00673FD3" w:rsidRDefault="004307E6" w:rsidP="004307E6">
      <w:pPr>
        <w:jc w:val="left"/>
        <w:rPr>
          <w:rFonts w:ascii="Arial" w:hAnsi="Arial" w:cs="Arial"/>
          <w:sz w:val="22"/>
          <w:szCs w:val="22"/>
          <w:lang w:val="es-ES"/>
        </w:rPr>
      </w:pPr>
    </w:p>
    <w:p w14:paraId="02E9B755" w14:textId="77777777" w:rsidR="004307E6" w:rsidRPr="00673FD3" w:rsidRDefault="004307E6" w:rsidP="004307E6">
      <w:pPr>
        <w:rPr>
          <w:rFonts w:ascii="Arial" w:hAnsi="Arial" w:cs="Arial"/>
          <w:sz w:val="22"/>
          <w:szCs w:val="22"/>
        </w:rPr>
      </w:pPr>
    </w:p>
    <w:p w14:paraId="4415865B" w14:textId="77777777" w:rsidR="00B07807" w:rsidRDefault="00B07807" w:rsidP="004307E6">
      <w:pPr>
        <w:jc w:val="center"/>
        <w:rPr>
          <w:rFonts w:ascii="Arial" w:hAnsi="Arial" w:cs="Arial"/>
          <w:b/>
          <w:sz w:val="28"/>
          <w:szCs w:val="28"/>
          <w:lang w:val="es-ES"/>
        </w:rPr>
      </w:pPr>
    </w:p>
    <w:sectPr w:rsidR="00B07807" w:rsidSect="004307E6">
      <w:headerReference w:type="even" r:id="rId75"/>
      <w:headerReference w:type="default" r:id="rId76"/>
      <w:headerReference w:type="first" r:id="rId77"/>
      <w:pgSz w:w="12240" w:h="15840" w:code="1"/>
      <w:pgMar w:top="1152"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E4332" w14:textId="77777777" w:rsidR="00AA5116" w:rsidRDefault="00AA5116" w:rsidP="00B65BDE">
      <w:r>
        <w:separator/>
      </w:r>
    </w:p>
  </w:endnote>
  <w:endnote w:type="continuationSeparator" w:id="0">
    <w:p w14:paraId="72211E2C" w14:textId="77777777" w:rsidR="00AA5116" w:rsidRDefault="00AA5116" w:rsidP="00B65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00000007" w:usb1="00000000" w:usb2="00000000" w:usb3="00000000" w:csb0="00000093" w:csb1="00000000"/>
  </w:font>
  <w:font w:name="Helvetica Neue">
    <w:altName w:val="Times New Roma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arajita">
    <w:altName w:val="Arial"/>
    <w:charset w:val="00"/>
    <w:family w:val="swiss"/>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E4761" w14:textId="77777777" w:rsidR="00AA5116" w:rsidRPr="00800AC2" w:rsidRDefault="00AA5116" w:rsidP="00C00B1F">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608C" w14:textId="77777777" w:rsidR="00AA5116" w:rsidRDefault="00AA5116" w:rsidP="00C00B1F">
    <w:pPr>
      <w:pStyle w:val="Piedepgina"/>
      <w:rPr>
        <w:lang w:val="es-HN"/>
      </w:rPr>
    </w:pPr>
    <w:r>
      <w:rPr>
        <w:noProof/>
        <w:lang w:val="es-MX" w:eastAsia="es-MX"/>
      </w:rPr>
      <mc:AlternateContent>
        <mc:Choice Requires="wps">
          <w:drawing>
            <wp:anchor distT="0" distB="0" distL="114300" distR="114300" simplePos="0" relativeHeight="251675135" behindDoc="0" locked="0" layoutInCell="0" allowOverlap="1" wp14:anchorId="34881096" wp14:editId="62F12D52">
              <wp:simplePos x="0" y="0"/>
              <wp:positionH relativeFrom="page">
                <wp:posOffset>0</wp:posOffset>
              </wp:positionH>
              <wp:positionV relativeFrom="page">
                <wp:posOffset>9615805</wp:posOffset>
              </wp:positionV>
              <wp:extent cx="7772400" cy="252095"/>
              <wp:effectExtent l="0" t="0" r="0" b="14605"/>
              <wp:wrapNone/>
              <wp:docPr id="3" name="MSIPCM01254a23bca53c2be0e9a7dd" descr="{&quot;HashCode&quot;:168357627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3541B" w14:textId="77777777" w:rsidR="00AA5116" w:rsidRPr="00D31844" w:rsidRDefault="00AA5116" w:rsidP="00D31844">
                          <w:pPr>
                            <w:jc w:val="center"/>
                            <w:rPr>
                              <w:rFonts w:ascii="Arial" w:hAnsi="Arial" w:cs="Arial"/>
                              <w:color w:val="317100"/>
                              <w:sz w:val="20"/>
                            </w:rPr>
                          </w:pPr>
                          <w:r w:rsidRPr="00D31844">
                            <w:rPr>
                              <w:rFonts w:ascii="Arial" w:hAnsi="Arial" w:cs="Arial"/>
                              <w:color w:val="317100"/>
                              <w:sz w:val="20"/>
                            </w:rPr>
                            <w:t>PÚBLICO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881096" id="_x0000_t202" coordsize="21600,21600" o:spt="202" path="m,l,21600r21600,l21600,xe">
              <v:stroke joinstyle="miter"/>
              <v:path gradientshapeok="t" o:connecttype="rect"/>
            </v:shapetype>
            <v:shape id="MSIPCM01254a23bca53c2be0e9a7dd" o:spid="_x0000_s1026" type="#_x0000_t202" alt="{&quot;HashCode&quot;:1683576279,&quot;Height&quot;:792.0,&quot;Width&quot;:612.0,&quot;Placement&quot;:&quot;Footer&quot;,&quot;Index&quot;:&quot;Primary&quot;,&quot;Section&quot;:1,&quot;Top&quot;:0.0,&quot;Left&quot;:0.0}" style="position:absolute;left:0;text-align:left;margin-left:0;margin-top:757.15pt;width:612pt;height:19.85pt;z-index:2516751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" o:allowincell="f" filled="f" stroked="f" strokeweight=".5pt">
              <v:textbox inset=",0,,0">
                <w:txbxContent>
                  <w:p w14:paraId="2083541B" w14:textId="77777777" w:rsidR="00AA5116" w:rsidRPr="00D31844" w:rsidRDefault="00AA5116" w:rsidP="00D31844">
                    <w:pPr>
                      <w:jc w:val="center"/>
                      <w:rPr>
                        <w:rFonts w:ascii="Arial" w:hAnsi="Arial" w:cs="Arial"/>
                        <w:color w:val="317100"/>
                        <w:sz w:val="20"/>
                      </w:rPr>
                    </w:pPr>
                    <w:r w:rsidRPr="00D31844">
                      <w:rPr>
                        <w:rFonts w:ascii="Arial" w:hAnsi="Arial" w:cs="Arial"/>
                        <w:color w:val="317100"/>
                        <w:sz w:val="20"/>
                      </w:rPr>
                      <w:t>PÚBLICO</w:t>
                    </w:r>
                  </w:p>
                </w:txbxContent>
              </v:textbox>
              <w10:wrap anchorx="page" anchory="page"/>
            </v:shape>
          </w:pict>
        </mc:Fallback>
      </mc:AlternateContent>
    </w:r>
    <w:r w:rsidDel="002F240D">
      <w:rPr>
        <w:lang w:val="es-HN"/>
      </w:rPr>
      <w:t xml:space="preserve"> </w:t>
    </w:r>
  </w:p>
  <w:p w14:paraId="78809839" w14:textId="1079D22E" w:rsidR="00AA5116" w:rsidRPr="00E30919" w:rsidRDefault="00AA5116" w:rsidP="009628C0">
    <w:pPr>
      <w:pStyle w:val="FooterOdd"/>
      <w:spacing w:after="0" w:line="240" w:lineRule="auto"/>
      <w:jc w:val="left"/>
      <w:rPr>
        <w:sz w:val="18"/>
        <w:szCs w:val="18"/>
        <w:lang w:val="es-HN"/>
      </w:rPr>
    </w:pPr>
    <w:r>
      <w:rPr>
        <w:sz w:val="18"/>
        <w:szCs w:val="18"/>
        <w:lang w:val="es-HN"/>
      </w:rPr>
      <w:t>Documento Estándar para Licitación Pública Internacional de Obras</w:t>
    </w:r>
    <w:r w:rsidRPr="008F49B4">
      <w:rPr>
        <w:sz w:val="18"/>
        <w:szCs w:val="18"/>
        <w:lang w:val="es-HN"/>
      </w:rPr>
      <w:tab/>
    </w:r>
    <w:r>
      <w:rPr>
        <w:sz w:val="18"/>
        <w:szCs w:val="18"/>
        <w:lang w:val="es-HN"/>
      </w:rPr>
      <w:t xml:space="preserve">          </w:t>
    </w:r>
    <w:r>
      <w:rPr>
        <w:sz w:val="18"/>
        <w:szCs w:val="18"/>
        <w:lang w:val="es-HN"/>
      </w:rPr>
      <w:tab/>
      <w:t xml:space="preserve">                                                              </w:t>
    </w:r>
    <w:r w:rsidRPr="008F49B4">
      <w:rPr>
        <w:sz w:val="18"/>
        <w:szCs w:val="18"/>
        <w:lang w:val="es-HN"/>
      </w:rPr>
      <w:t>P</w:t>
    </w:r>
    <w:r w:rsidRPr="00E30919">
      <w:rPr>
        <w:sz w:val="18"/>
        <w:szCs w:val="18"/>
        <w:lang w:val="es-HN"/>
      </w:rPr>
      <w:t>á</w:t>
    </w:r>
    <w:r w:rsidRPr="008F49B4">
      <w:rPr>
        <w:sz w:val="18"/>
        <w:szCs w:val="18"/>
        <w:lang w:val="es-HN"/>
      </w:rPr>
      <w:t xml:space="preserve">g. </w:t>
    </w:r>
    <w:r w:rsidRPr="00E30919">
      <w:rPr>
        <w:sz w:val="18"/>
        <w:szCs w:val="18"/>
        <w:lang w:val="es-HN"/>
      </w:rPr>
      <w:fldChar w:fldCharType="begin"/>
    </w:r>
    <w:r w:rsidRPr="008F49B4">
      <w:rPr>
        <w:sz w:val="18"/>
        <w:szCs w:val="18"/>
        <w:lang w:val="es-HN"/>
      </w:rPr>
      <w:instrText xml:space="preserve"> PAGE   \* MERGEFORMAT </w:instrText>
    </w:r>
    <w:r w:rsidRPr="00E30919">
      <w:rPr>
        <w:sz w:val="18"/>
        <w:szCs w:val="18"/>
        <w:lang w:val="es-HN"/>
      </w:rPr>
      <w:fldChar w:fldCharType="separate"/>
    </w:r>
    <w:r w:rsidR="004B50CC">
      <w:rPr>
        <w:noProof/>
        <w:sz w:val="18"/>
        <w:szCs w:val="18"/>
        <w:lang w:val="es-HN"/>
      </w:rPr>
      <w:t>58</w:t>
    </w:r>
    <w:r w:rsidRPr="00E30919">
      <w:rPr>
        <w:sz w:val="18"/>
        <w:szCs w:val="18"/>
        <w:lang w:val="es-HN"/>
      </w:rPr>
      <w:fldChar w:fldCharType="end"/>
    </w:r>
  </w:p>
  <w:p w14:paraId="785CB9D7" w14:textId="77777777" w:rsidR="00AA5116" w:rsidRPr="00E0610D" w:rsidRDefault="00AA5116" w:rsidP="009628C0">
    <w:pPr>
      <w:pStyle w:val="Piedepgina"/>
      <w:rPr>
        <w:rFonts w:asciiTheme="minorHAnsi" w:hAnsiTheme="minorHAnsi" w:cstheme="minorHAnsi"/>
        <w:color w:val="44546A" w:themeColor="text2"/>
        <w:lang w:val="es-HN"/>
      </w:rPr>
    </w:pPr>
    <w:r>
      <w:rPr>
        <w:rFonts w:asciiTheme="minorHAnsi" w:eastAsiaTheme="minorHAnsi" w:hAnsiTheme="minorHAnsi"/>
        <w:color w:val="44546A" w:themeColor="text2"/>
        <w:sz w:val="18"/>
        <w:szCs w:val="18"/>
        <w:lang w:val="es-HN" w:eastAsia="ja-JP"/>
      </w:rPr>
      <w:t>LPI 40-2022</w:t>
    </w:r>
    <w:r w:rsidRPr="00E0610D">
      <w:rPr>
        <w:rFonts w:asciiTheme="minorHAnsi" w:eastAsiaTheme="minorHAnsi" w:hAnsiTheme="minorHAnsi"/>
        <w:color w:val="44546A" w:themeColor="text2"/>
        <w:sz w:val="18"/>
        <w:szCs w:val="18"/>
        <w:lang w:val="es-HN" w:eastAsia="ja-JP"/>
      </w:rPr>
      <w:t xml:space="preserve">                                                                                                                                                                      </w:t>
    </w:r>
  </w:p>
  <w:p w14:paraId="1852661E" w14:textId="77777777" w:rsidR="00AA5116" w:rsidRDefault="00AA5116" w:rsidP="009628C0">
    <w:pPr>
      <w:pStyle w:val="Piedepgina"/>
      <w:rPr>
        <w:rFonts w:asciiTheme="minorHAnsi" w:hAnsiTheme="minorHAnsi" w:cstheme="minorHAnsi"/>
        <w:color w:val="BFBFBF" w:themeColor="background1" w:themeShade="BF"/>
      </w:rPr>
    </w:pPr>
  </w:p>
  <w:p w14:paraId="2C244DDD" w14:textId="77777777" w:rsidR="00AA5116" w:rsidRDefault="00AA5116" w:rsidP="009628C0">
    <w:pPr>
      <w:pStyle w:val="Piedepgina"/>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46C92" w14:textId="77777777" w:rsidR="00AA5116" w:rsidRDefault="00AA5116" w:rsidP="00C00B1F">
    <w:pPr>
      <w:pStyle w:val="Piedepgina"/>
      <w:rPr>
        <w:lang w:val="es-HN"/>
      </w:rPr>
    </w:pPr>
  </w:p>
  <w:p w14:paraId="65F5E1F9" w14:textId="77777777" w:rsidR="00AA5116" w:rsidRPr="00800AC2" w:rsidRDefault="00AA5116" w:rsidP="00C00B1F">
    <w:pPr>
      <w:pStyle w:val="Piedepgina"/>
      <w:jc w:val="center"/>
    </w:pPr>
    <w:r>
      <w:rPr>
        <w:noProof/>
        <w:lang w:val="es-MX" w:eastAsia="es-MX"/>
      </w:rPr>
      <mc:AlternateContent>
        <mc:Choice Requires="wps">
          <w:drawing>
            <wp:anchor distT="0" distB="0" distL="114300" distR="114300" simplePos="0" relativeHeight="251698688" behindDoc="0" locked="0" layoutInCell="0" allowOverlap="1" wp14:anchorId="59649308" wp14:editId="0269777F">
              <wp:simplePos x="0" y="0"/>
              <wp:positionH relativeFrom="page">
                <wp:posOffset>0</wp:posOffset>
              </wp:positionH>
              <wp:positionV relativeFrom="page">
                <wp:posOffset>9615805</wp:posOffset>
              </wp:positionV>
              <wp:extent cx="7772400" cy="252095"/>
              <wp:effectExtent l="0" t="0" r="0" b="14605"/>
              <wp:wrapNone/>
              <wp:docPr id="5" name="MSIPCMb4ed461894e2da0b58c0abbf" descr="{&quot;HashCode&quot;:1683576279,&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E0BD0F" w14:textId="77777777" w:rsidR="00AA5116" w:rsidRPr="00D31844" w:rsidRDefault="00AA5116" w:rsidP="00D31844">
                          <w:pPr>
                            <w:jc w:val="center"/>
                            <w:rPr>
                              <w:rFonts w:ascii="Arial" w:hAnsi="Arial" w:cs="Arial"/>
                              <w:color w:val="317100"/>
                              <w:sz w:val="20"/>
                            </w:rPr>
                          </w:pPr>
                          <w:r w:rsidRPr="00D31844">
                            <w:rPr>
                              <w:rFonts w:ascii="Arial" w:hAnsi="Arial" w:cs="Arial"/>
                              <w:color w:val="317100"/>
                              <w:sz w:val="20"/>
                            </w:rPr>
                            <w:t>PÚBLICO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649308" id="_x0000_t202" coordsize="21600,21600" o:spt="202" path="m,l,21600r21600,l21600,xe">
              <v:stroke joinstyle="miter"/>
              <v:path gradientshapeok="t" o:connecttype="rect"/>
            </v:shapetype>
            <v:shape id="MSIPCMb4ed461894e2da0b58c0abbf" o:spid="_x0000_s1027" type="#_x0000_t202" alt="{&quot;HashCode&quot;:1683576279,&quot;Height&quot;:792.0,&quot;Width&quot;:612.0,&quot;Placement&quot;:&quot;Footer&quot;,&quot;Index&quot;:&quot;FirstPage&quot;,&quot;Section&quot;:1,&quot;Top&quot;:0.0,&quot;Left&quot;:0.0}" style="position:absolute;left:0;text-align:left;margin-left:0;margin-top:757.15pt;width:612pt;height:19.85pt;z-index:2516986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" o:allowincell="f" filled="f" stroked="f" strokeweight=".5pt">
              <v:textbox inset=",0,,0">
                <w:txbxContent>
                  <w:p w14:paraId="19E0BD0F" w14:textId="77777777" w:rsidR="00AA5116" w:rsidRPr="00D31844" w:rsidRDefault="00AA5116" w:rsidP="00D31844">
                    <w:pPr>
                      <w:jc w:val="center"/>
                      <w:rPr>
                        <w:rFonts w:ascii="Arial" w:hAnsi="Arial" w:cs="Arial"/>
                        <w:color w:val="317100"/>
                        <w:sz w:val="20"/>
                      </w:rPr>
                    </w:pPr>
                    <w:r w:rsidRPr="00D31844">
                      <w:rPr>
                        <w:rFonts w:ascii="Arial" w:hAnsi="Arial" w:cs="Arial"/>
                        <w:color w:val="317100"/>
                        <w:sz w:val="20"/>
                      </w:rPr>
                      <w:t>PÚBLICO</w:t>
                    </w:r>
                  </w:p>
                </w:txbxContent>
              </v:textbox>
              <w10:wrap anchorx="page" anchory="page"/>
            </v:shape>
          </w:pict>
        </mc:Fallback>
      </mc:AlternateContent>
    </w:r>
    <w:r w:rsidDel="003000C0">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68933" w14:textId="77777777" w:rsidR="00AA5116" w:rsidRDefault="00AA5116">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FF6C7" w14:textId="77777777" w:rsidR="00AA5116" w:rsidRDefault="00AA5116">
    <w:pPr>
      <w:pStyle w:val="Piedepgina"/>
    </w:pPr>
    <w:r>
      <w:rPr>
        <w:noProof/>
        <w:lang w:val="es-MX" w:eastAsia="es-MX"/>
      </w:rPr>
      <mc:AlternateContent>
        <mc:Choice Requires="wps">
          <w:drawing>
            <wp:anchor distT="0" distB="0" distL="114300" distR="114300" simplePos="1" relativeHeight="251662848" behindDoc="0" locked="0" layoutInCell="0" allowOverlap="1" wp14:anchorId="2319F198" wp14:editId="35561F60">
              <wp:simplePos x="0" y="9615488"/>
              <wp:positionH relativeFrom="page">
                <wp:posOffset>0</wp:posOffset>
              </wp:positionH>
              <wp:positionV relativeFrom="page">
                <wp:posOffset>9615170</wp:posOffset>
              </wp:positionV>
              <wp:extent cx="7772400" cy="252095"/>
              <wp:effectExtent l="0" t="0" r="0" b="14605"/>
              <wp:wrapNone/>
              <wp:docPr id="15" name="MSIPCMfe664ae89b054eecd33e97dc" descr="{&quot;HashCode&quot;:1238689251,&quot;Height&quot;:792.0,&quot;Width&quot;:612.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BE424F" w14:textId="77777777" w:rsidR="00AA5116" w:rsidRPr="00C025D2" w:rsidRDefault="00AA5116" w:rsidP="00C025D2">
                          <w:pPr>
                            <w:jc w:val="center"/>
                            <w:rPr>
                              <w:rFonts w:ascii="Arial" w:hAnsi="Arial" w:cs="Arial"/>
                              <w:color w:val="EC6414"/>
                              <w:sz w:val="20"/>
                            </w:rPr>
                          </w:pPr>
                          <w:r w:rsidRPr="00C025D2">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19F198" id="_x0000_t202" coordsize="21600,21600" o:spt="202" path="m,l,21600r21600,l21600,xe">
              <v:stroke joinstyle="miter"/>
              <v:path gradientshapeok="t" o:connecttype="rect"/>
            </v:shapetype>
            <v:shape id="MSIPCMfe664ae89b054eecd33e97dc" o:spid="_x0000_s1028" type="#_x0000_t202" alt="{&quot;HashCode&quot;:1238689251,&quot;Height&quot;:792.0,&quot;Width&quot;:612.0,&quot;Placement&quot;:&quot;Footer&quot;,&quot;Index&quot;:&quot;FirstPage&quot;,&quot;Section&quot;:2,&quot;Top&quot;:0.0,&quot;Left&quot;:0.0}" style="position:absolute;left:0;text-align:left;margin-left:0;margin-top:757.1pt;width:612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" o:allowincell="f" filled="f" stroked="f" strokeweight=".5pt">
              <v:textbox inset=",0,,0">
                <w:txbxContent>
                  <w:p w14:paraId="67BE424F" w14:textId="77777777" w:rsidR="00AA5116" w:rsidRPr="00C025D2" w:rsidRDefault="00AA5116" w:rsidP="00C025D2">
                    <w:pPr>
                      <w:jc w:val="center"/>
                      <w:rPr>
                        <w:rFonts w:ascii="Arial" w:hAnsi="Arial" w:cs="Arial"/>
                        <w:color w:val="EC6414"/>
                        <w:sz w:val="20"/>
                      </w:rPr>
                    </w:pPr>
                    <w:r w:rsidRPr="00C025D2">
                      <w:rPr>
                        <w:rFonts w:ascii="Arial" w:hAnsi="Arial" w:cs="Arial"/>
                        <w:color w:val="EC6414"/>
                        <w:sz w:val="20"/>
                      </w:rPr>
                      <w:t>CONFIDENCIAL EXTERNO</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AF41" w14:textId="77777777" w:rsidR="00AA5116" w:rsidRPr="00800AC2" w:rsidRDefault="00AA5116" w:rsidP="000C6174">
    <w:pPr>
      <w:pStyle w:val="Piedepgina"/>
      <w:jc w:val="center"/>
    </w:pPr>
    <w:r>
      <w:rPr>
        <w:rFonts w:ascii="Arial" w:hAnsi="Arial" w:cs="Arial"/>
        <w:color w:val="305496"/>
      </w:rPr>
      <w:fldChar w:fldCharType="begin" w:fldLock="1"/>
    </w:r>
    <w:r>
      <w:rPr>
        <w:rFonts w:ascii="Arial" w:hAnsi="Arial" w:cs="Arial"/>
        <w:color w:val="305496"/>
      </w:rPr>
      <w:instrText xml:space="preserve"> DOCPROPERTY bjFooterEvenPageDocProperty \* MERGEFORMAT </w:instrText>
    </w:r>
    <w:r>
      <w:rPr>
        <w:rFonts w:ascii="Arial" w:hAnsi="Arial" w:cs="Arial"/>
        <w:color w:val="305496"/>
      </w:rPr>
      <w:fldChar w:fldCharType="separate"/>
    </w:r>
    <w:r w:rsidRPr="00800AC2">
      <w:rPr>
        <w:rFonts w:ascii="Arial" w:hAnsi="Arial" w:cs="Arial"/>
        <w:color w:val="305496"/>
      </w:rPr>
      <w:t>USO INTERNO</w:t>
    </w:r>
    <w:r>
      <w:rPr>
        <w:rFonts w:ascii="Arial" w:hAnsi="Arial" w:cs="Arial"/>
        <w:color w:val="305496"/>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40925" w14:textId="77777777" w:rsidR="00AA5116" w:rsidRDefault="00AA5116">
    <w:pPr>
      <w:pStyle w:val="Piedepgina"/>
    </w:pPr>
    <w:r>
      <w:rPr>
        <w:noProof/>
        <w:lang w:val="es-MX" w:eastAsia="es-MX"/>
      </w:rPr>
      <mc:AlternateContent>
        <mc:Choice Requires="wps">
          <w:drawing>
            <wp:anchor distT="0" distB="0" distL="114300" distR="114300" simplePos="0" relativeHeight="251700736" behindDoc="0" locked="0" layoutInCell="0" allowOverlap="1" wp14:anchorId="43FE7779" wp14:editId="143A2F62">
              <wp:simplePos x="0" y="0"/>
              <wp:positionH relativeFrom="page">
                <wp:posOffset>0</wp:posOffset>
              </wp:positionH>
              <wp:positionV relativeFrom="page">
                <wp:posOffset>9615170</wp:posOffset>
              </wp:positionV>
              <wp:extent cx="7772400" cy="252095"/>
              <wp:effectExtent l="0" t="0" r="0" b="14605"/>
              <wp:wrapNone/>
              <wp:docPr id="28" name="MSIPCMa45745eb9ae3b96f06906f7b" descr="{&quot;HashCode&quot;:1238689251,&quot;Height&quot;:792.0,&quot;Width&quot;:612.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76315" w14:textId="77777777" w:rsidR="00AA5116" w:rsidRPr="00D568DE" w:rsidRDefault="00AA5116" w:rsidP="00D568DE">
                          <w:pPr>
                            <w:jc w:val="center"/>
                            <w:rPr>
                              <w:rFonts w:ascii="Arial" w:hAnsi="Arial" w:cs="Arial"/>
                              <w:color w:val="EC6414"/>
                              <w:sz w:val="20"/>
                            </w:rPr>
                          </w:pPr>
                          <w:r w:rsidRPr="00D568DE">
                            <w:rPr>
                              <w:rFonts w:ascii="Arial" w:hAnsi="Arial" w:cs="Arial"/>
                              <w:color w:val="EC6414"/>
                              <w:sz w:val="20"/>
                            </w:rPr>
                            <w:t>CONFIDENCIAL EXTERNO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FE7779" id="_x0000_t202" coordsize="21600,21600" o:spt="202" path="m,l,21600r21600,l21600,xe">
              <v:stroke joinstyle="miter"/>
              <v:path gradientshapeok="t" o:connecttype="rect"/>
            </v:shapetype>
            <v:shape id="MSIPCMa45745eb9ae3b96f06906f7b" o:spid="_x0000_s1029" type="#_x0000_t202" alt="{&quot;HashCode&quot;:1238689251,&quot;Height&quot;:792.0,&quot;Width&quot;:612.0,&quot;Placement&quot;:&quot;Footer&quot;,&quot;Index&quot;:&quot;FirstPage&quot;,&quot;Section&quot;:4,&quot;Top&quot;:0.0,&quot;Left&quot;:0.0}" style="position:absolute;left:0;text-align:left;margin-left:0;margin-top:757.1pt;width:612pt;height:19.85pt;z-index:251700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" o:allowincell="f" filled="f" stroked="f" strokeweight=".5pt">
              <v:textbox inset=",0,,0">
                <w:txbxContent>
                  <w:p w14:paraId="4BC76315" w14:textId="77777777" w:rsidR="00AA5116" w:rsidRPr="00D568DE" w:rsidRDefault="00AA5116" w:rsidP="00D568DE">
                    <w:pPr>
                      <w:jc w:val="center"/>
                      <w:rPr>
                        <w:rFonts w:ascii="Arial" w:hAnsi="Arial" w:cs="Arial"/>
                        <w:color w:val="EC6414"/>
                        <w:sz w:val="20"/>
                      </w:rPr>
                    </w:pPr>
                    <w:r w:rsidRPr="00D568DE">
                      <w:rPr>
                        <w:rFonts w:ascii="Arial" w:hAnsi="Arial" w:cs="Arial"/>
                        <w:color w:val="EC6414"/>
                        <w:sz w:val="20"/>
                      </w:rPr>
                      <w:t>CONFIDENCIAL EXTERNO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3B8AD" w14:textId="77777777" w:rsidR="00AA5116" w:rsidRDefault="00AA5116" w:rsidP="00B65BDE">
      <w:r>
        <w:separator/>
      </w:r>
    </w:p>
  </w:footnote>
  <w:footnote w:type="continuationSeparator" w:id="0">
    <w:p w14:paraId="3207A2FE" w14:textId="77777777" w:rsidR="00AA5116" w:rsidRDefault="00AA5116" w:rsidP="00B65BDE">
      <w:r>
        <w:continuationSeparator/>
      </w:r>
    </w:p>
  </w:footnote>
  <w:footnote w:id="1">
    <w:p w14:paraId="5B2AF744" w14:textId="77777777" w:rsidR="00AA5116" w:rsidRPr="000A11FE" w:rsidRDefault="00AA5116" w:rsidP="004307E6">
      <w:pPr>
        <w:pStyle w:val="Textonotapie"/>
        <w:tabs>
          <w:tab w:val="clear" w:pos="360"/>
        </w:tabs>
        <w:ind w:left="180" w:hanging="90"/>
        <w:rPr>
          <w:rFonts w:asciiTheme="minorHAnsi" w:hAnsiTheme="minorHAnsi"/>
        </w:rPr>
      </w:pPr>
      <w:r w:rsidRPr="000A11FE">
        <w:rPr>
          <w:rStyle w:val="Refdenotaalpie"/>
          <w:rFonts w:asciiTheme="minorHAnsi" w:hAnsiTheme="minorHAnsi"/>
        </w:rPr>
        <w:footnoteRef/>
      </w:r>
      <w:r w:rsidRPr="000A11FE">
        <w:rPr>
          <w:rFonts w:asciiTheme="minorHAnsi" w:hAnsiTheme="minorHAnsi"/>
        </w:rPr>
        <w:t xml:space="preserve"> </w:t>
      </w:r>
      <w:r w:rsidRPr="000A11FE">
        <w:rPr>
          <w:rFonts w:asciiTheme="minorHAnsi" w:hAnsiTheme="minorHAnsi"/>
          <w:spacing w:val="-2"/>
        </w:rPr>
        <w:t>El Fiador debe indicar el monto equivalente al porcentaje del precio del Contrato especificado en las CPC, expresado en la(s) moneda(s) del Contrato</w:t>
      </w:r>
      <w:r>
        <w:rPr>
          <w:rFonts w:asciiTheme="minorHAnsi" w:hAnsiTheme="minorHAnsi"/>
          <w:spacing w:val="-2"/>
        </w:rPr>
        <w:t>.</w:t>
      </w:r>
    </w:p>
  </w:footnote>
  <w:footnote w:id="2">
    <w:p w14:paraId="1A5CDF2C" w14:textId="77777777" w:rsidR="00AA5116" w:rsidRPr="000A11FE" w:rsidRDefault="00AA5116" w:rsidP="004307E6">
      <w:pPr>
        <w:pStyle w:val="Textonotapie"/>
        <w:rPr>
          <w:rFonts w:asciiTheme="minorHAnsi" w:hAnsiTheme="minorHAnsi"/>
        </w:rPr>
      </w:pPr>
      <w:r w:rsidRPr="000A11FE">
        <w:rPr>
          <w:rStyle w:val="Refdenotaalpie"/>
          <w:rFonts w:asciiTheme="minorHAnsi" w:hAnsiTheme="minorHAnsi"/>
        </w:rPr>
        <w:footnoteRef/>
      </w:r>
      <w:r w:rsidRPr="000A11FE">
        <w:rPr>
          <w:rFonts w:asciiTheme="minorHAnsi" w:hAnsiTheme="minorHAnsi"/>
        </w:rPr>
        <w:t xml:space="preserve"> </w:t>
      </w:r>
      <w:r w:rsidRPr="000A11FE">
        <w:rPr>
          <w:rFonts w:asciiTheme="minorHAnsi" w:hAnsiTheme="minorHAnsi"/>
          <w:spacing w:val="-2"/>
        </w:rPr>
        <w:t>Fecha de la carta de aceptación o del Convenio.</w:t>
      </w:r>
    </w:p>
  </w:footnote>
  <w:footnote w:id="3">
    <w:p w14:paraId="77EA61F0" w14:textId="77777777" w:rsidR="00AA5116" w:rsidRPr="008A5FFD" w:rsidRDefault="00AA5116" w:rsidP="004307E6">
      <w:pPr>
        <w:pStyle w:val="Textonotapie"/>
        <w:rPr>
          <w:rFonts w:asciiTheme="minorHAnsi" w:hAnsiTheme="minorHAnsi" w:cstheme="minorHAnsi"/>
          <w:szCs w:val="18"/>
        </w:rPr>
      </w:pPr>
      <w:r w:rsidRPr="008A5FFD">
        <w:rPr>
          <w:rStyle w:val="Refdenotaalpie"/>
          <w:rFonts w:asciiTheme="minorHAnsi" w:hAnsiTheme="minorHAnsi" w:cstheme="minorHAnsi"/>
        </w:rPr>
        <w:footnoteRef/>
      </w:r>
      <w:r w:rsidRPr="008A5FFD">
        <w:rPr>
          <w:rFonts w:asciiTheme="minorHAnsi" w:hAnsiTheme="minorHAnsi" w:cstheme="minorHAnsi"/>
        </w:rPr>
        <w:t xml:space="preserve"> R</w:t>
      </w:r>
      <w:r w:rsidRPr="008A5FFD">
        <w:rPr>
          <w:rFonts w:asciiTheme="minorHAnsi" w:hAnsiTheme="minorHAnsi" w:cstheme="minorHAnsi"/>
          <w:szCs w:val="18"/>
        </w:rPr>
        <w:t>epresenta el porcentaje del Precio del Contrato estipulado en el Contrato y denominada en la(s) moneda(s) del Contrato.</w:t>
      </w:r>
    </w:p>
  </w:footnote>
  <w:footnote w:id="4">
    <w:p w14:paraId="75BC34E9" w14:textId="77777777" w:rsidR="00AA5116" w:rsidRPr="008A5FFD" w:rsidRDefault="00AA5116" w:rsidP="004307E6">
      <w:pPr>
        <w:pStyle w:val="Textonotapie"/>
        <w:rPr>
          <w:rFonts w:asciiTheme="minorHAnsi" w:hAnsiTheme="minorHAnsi" w:cstheme="minorHAnsi"/>
        </w:rPr>
      </w:pPr>
      <w:r w:rsidRPr="008A5FFD">
        <w:rPr>
          <w:rStyle w:val="Refdenotaalpie"/>
          <w:rFonts w:asciiTheme="minorHAnsi" w:hAnsiTheme="minorHAnsi" w:cstheme="minorHAnsi"/>
          <w:szCs w:val="18"/>
        </w:rPr>
        <w:footnoteRef/>
      </w:r>
      <w:r w:rsidRPr="008A5FFD">
        <w:rPr>
          <w:rFonts w:asciiTheme="minorHAnsi" w:hAnsiTheme="minorHAnsi" w:cstheme="minorHAnsi"/>
          <w:szCs w:val="18"/>
        </w:rPr>
        <w:t xml:space="preserve"> Indique la fecha que corresponda </w:t>
      </w:r>
      <w:r>
        <w:rPr>
          <w:rFonts w:asciiTheme="minorHAnsi" w:hAnsiTheme="minorHAnsi" w:cstheme="minorHAnsi"/>
          <w:szCs w:val="18"/>
        </w:rPr>
        <w:t>treinta</w:t>
      </w:r>
      <w:r w:rsidRPr="008A5FFD">
        <w:rPr>
          <w:rFonts w:asciiTheme="minorHAnsi" w:hAnsiTheme="minorHAnsi" w:cstheme="minorHAnsi"/>
          <w:szCs w:val="18"/>
        </w:rPr>
        <w:t xml:space="preserve"> días después de la Fecha de terminación Prevista.</w:t>
      </w:r>
    </w:p>
  </w:footnote>
  <w:footnote w:id="5">
    <w:p w14:paraId="5046D13E" w14:textId="77777777" w:rsidR="00AA5116" w:rsidRPr="00D36B83" w:rsidRDefault="00AA5116" w:rsidP="004307E6">
      <w:pPr>
        <w:pStyle w:val="Textonotapie"/>
        <w:ind w:right="-720"/>
        <w:rPr>
          <w:rFonts w:asciiTheme="minorHAnsi" w:hAnsiTheme="minorHAnsi"/>
          <w:szCs w:val="18"/>
        </w:rPr>
      </w:pPr>
      <w:r w:rsidRPr="00D36B83">
        <w:rPr>
          <w:rStyle w:val="Refdenotaalpie"/>
          <w:rFonts w:asciiTheme="minorHAnsi" w:hAnsiTheme="minorHAnsi"/>
          <w:szCs w:val="18"/>
        </w:rPr>
        <w:footnoteRef/>
      </w:r>
      <w:r w:rsidRPr="00D36B83">
        <w:rPr>
          <w:rFonts w:asciiTheme="minorHAnsi" w:hAnsiTheme="minorHAnsi"/>
          <w:szCs w:val="18"/>
        </w:rPr>
        <w:t xml:space="preserve"> </w:t>
      </w:r>
      <w:r w:rsidRPr="00D36B83">
        <w:rPr>
          <w:rFonts w:asciiTheme="minorHAnsi" w:hAnsiTheme="minorHAnsi"/>
          <w:szCs w:val="18"/>
        </w:rPr>
        <w:tab/>
        <w:t>El Garante deberá indique una suma representativa de la suma del Pago por Anticipo, y denominada en cualquiera de las monedas del Pago por Anticipo como se estipula en el Contrato.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9190A" w14:textId="77777777" w:rsidR="00AA5116" w:rsidRDefault="00AA511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CAB70" w14:textId="77777777" w:rsidR="00AA5116" w:rsidRDefault="00AA511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D83A" w14:textId="77777777" w:rsidR="00AA5116" w:rsidRDefault="00AA5116">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7FEA" w14:textId="77777777" w:rsidR="00AA5116" w:rsidRPr="0018594A" w:rsidRDefault="00AA5116" w:rsidP="00C00B1F">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B764" w14:textId="77777777" w:rsidR="00AA5116" w:rsidRPr="0018594A" w:rsidRDefault="00AA5116" w:rsidP="00C00B1F">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CC6A" w14:textId="77777777" w:rsidR="00AA5116" w:rsidRDefault="00AA511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F489B2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80CA6"/>
    <w:multiLevelType w:val="hybridMultilevel"/>
    <w:tmpl w:val="C72437B4"/>
    <w:lvl w:ilvl="0" w:tplc="0409001B">
      <w:start w:val="1"/>
      <w:numFmt w:val="lowerRoman"/>
      <w:lvlText w:val="%1."/>
      <w:lvlJc w:val="right"/>
      <w:pPr>
        <w:ind w:left="1854" w:hanging="360"/>
      </w:pPr>
      <w:rPr>
        <w:rFonts w:cs="Times New Roman"/>
      </w:rPr>
    </w:lvl>
    <w:lvl w:ilvl="1" w:tplc="480A0019">
      <w:start w:val="1"/>
      <w:numFmt w:val="lowerLetter"/>
      <w:lvlText w:val="%2."/>
      <w:lvlJc w:val="left"/>
      <w:pPr>
        <w:ind w:left="2574" w:hanging="360"/>
      </w:pPr>
    </w:lvl>
    <w:lvl w:ilvl="2" w:tplc="480A001B" w:tentative="1">
      <w:start w:val="1"/>
      <w:numFmt w:val="lowerRoman"/>
      <w:lvlText w:val="%3."/>
      <w:lvlJc w:val="right"/>
      <w:pPr>
        <w:ind w:left="3294" w:hanging="180"/>
      </w:pPr>
    </w:lvl>
    <w:lvl w:ilvl="3" w:tplc="480A000F" w:tentative="1">
      <w:start w:val="1"/>
      <w:numFmt w:val="decimal"/>
      <w:lvlText w:val="%4."/>
      <w:lvlJc w:val="left"/>
      <w:pPr>
        <w:ind w:left="4014" w:hanging="360"/>
      </w:pPr>
    </w:lvl>
    <w:lvl w:ilvl="4" w:tplc="480A0019" w:tentative="1">
      <w:start w:val="1"/>
      <w:numFmt w:val="lowerLetter"/>
      <w:lvlText w:val="%5."/>
      <w:lvlJc w:val="left"/>
      <w:pPr>
        <w:ind w:left="4734" w:hanging="360"/>
      </w:pPr>
    </w:lvl>
    <w:lvl w:ilvl="5" w:tplc="480A001B" w:tentative="1">
      <w:start w:val="1"/>
      <w:numFmt w:val="lowerRoman"/>
      <w:lvlText w:val="%6."/>
      <w:lvlJc w:val="right"/>
      <w:pPr>
        <w:ind w:left="5454" w:hanging="180"/>
      </w:pPr>
    </w:lvl>
    <w:lvl w:ilvl="6" w:tplc="480A000F" w:tentative="1">
      <w:start w:val="1"/>
      <w:numFmt w:val="decimal"/>
      <w:lvlText w:val="%7."/>
      <w:lvlJc w:val="left"/>
      <w:pPr>
        <w:ind w:left="6174" w:hanging="360"/>
      </w:pPr>
    </w:lvl>
    <w:lvl w:ilvl="7" w:tplc="480A0019" w:tentative="1">
      <w:start w:val="1"/>
      <w:numFmt w:val="lowerLetter"/>
      <w:lvlText w:val="%8."/>
      <w:lvlJc w:val="left"/>
      <w:pPr>
        <w:ind w:left="6894" w:hanging="360"/>
      </w:pPr>
    </w:lvl>
    <w:lvl w:ilvl="8" w:tplc="480A001B" w:tentative="1">
      <w:start w:val="1"/>
      <w:numFmt w:val="lowerRoman"/>
      <w:lvlText w:val="%9."/>
      <w:lvlJc w:val="right"/>
      <w:pPr>
        <w:ind w:left="7614" w:hanging="180"/>
      </w:pPr>
    </w:lvl>
  </w:abstractNum>
  <w:abstractNum w:abstractNumId="2" w15:restartNumberingAfterBreak="0">
    <w:nsid w:val="00F55F61"/>
    <w:multiLevelType w:val="hybridMultilevel"/>
    <w:tmpl w:val="80C81886"/>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abstractNum w:abstractNumId="3" w15:restartNumberingAfterBreak="0">
    <w:nsid w:val="022854BC"/>
    <w:multiLevelType w:val="hybridMultilevel"/>
    <w:tmpl w:val="9878C6EE"/>
    <w:lvl w:ilvl="0" w:tplc="DDC2EFA8">
      <w:start w:val="1"/>
      <w:numFmt w:val="decimal"/>
      <w:lvlText w:val="%1."/>
      <w:lvlJc w:val="left"/>
      <w:pPr>
        <w:ind w:left="720" w:hanging="360"/>
      </w:pPr>
      <w:rPr>
        <w:rFonts w:ascii="Times New Roman" w:hAnsi="Times New Roman" w:cs="Times New Roman" w:hint="default"/>
        <w:sz w:val="24"/>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02297D06"/>
    <w:multiLevelType w:val="hybridMultilevel"/>
    <w:tmpl w:val="628E445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02E547F9"/>
    <w:multiLevelType w:val="hybridMultilevel"/>
    <w:tmpl w:val="E4CE58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CD53C5"/>
    <w:multiLevelType w:val="hybridMultilevel"/>
    <w:tmpl w:val="7D186E86"/>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 w15:restartNumberingAfterBreak="0">
    <w:nsid w:val="04DC1CF8"/>
    <w:multiLevelType w:val="hybridMultilevel"/>
    <w:tmpl w:val="4972F0F2"/>
    <w:lvl w:ilvl="0" w:tplc="194238F6">
      <w:start w:val="1"/>
      <w:numFmt w:val="decimal"/>
      <w:pStyle w:val="Figuras"/>
      <w:lvlText w:val="Figura No. %1:"/>
      <w:lvlJc w:val="left"/>
      <w:pPr>
        <w:ind w:left="2062" w:hanging="360"/>
      </w:pPr>
      <w:rPr>
        <w:rFonts w:cs="Times New Roman" w:hint="default"/>
        <w:bCs w:val="0"/>
        <w:i w:val="0"/>
        <w:iCs w:val="0"/>
        <w:caps w:val="0"/>
        <w:smallCaps w:val="0"/>
        <w:strike w:val="0"/>
        <w:dstrike w:val="0"/>
        <w:vanish w:val="0"/>
        <w:spacing w:val="0"/>
        <w:kern w:val="0"/>
        <w:position w:val="0"/>
        <w:u w:val="none"/>
        <w:vertAlign w:val="base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05B04F04"/>
    <w:multiLevelType w:val="hybridMultilevel"/>
    <w:tmpl w:val="766C74C2"/>
    <w:lvl w:ilvl="0" w:tplc="A5B49CBC">
      <w:start w:val="1"/>
      <w:numFmt w:val="lowerLetter"/>
      <w:lvlText w:val="%1."/>
      <w:lvlJc w:val="left"/>
      <w:pPr>
        <w:ind w:left="-270" w:hanging="360"/>
      </w:pPr>
      <w:rPr>
        <w:rFonts w:hint="default"/>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9" w15:restartNumberingAfterBreak="0">
    <w:nsid w:val="064C4FE0"/>
    <w:multiLevelType w:val="hybridMultilevel"/>
    <w:tmpl w:val="13C239C4"/>
    <w:lvl w:ilvl="0" w:tplc="8D741E38">
      <w:start w:val="1"/>
      <w:numFmt w:val="lowerLetter"/>
      <w:lvlText w:val="%1."/>
      <w:lvlJc w:val="left"/>
      <w:pPr>
        <w:ind w:left="1440" w:hanging="360"/>
      </w:pPr>
      <w:rPr>
        <w:rFonts w:hint="default"/>
        <w:b w:val="0"/>
        <w:i w:val="0"/>
        <w:color w:val="auto"/>
      </w:rPr>
    </w:lvl>
    <w:lvl w:ilvl="1" w:tplc="80083BF6">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069B0827"/>
    <w:multiLevelType w:val="hybridMultilevel"/>
    <w:tmpl w:val="EBA6F1A4"/>
    <w:lvl w:ilvl="0" w:tplc="480A001B">
      <w:start w:val="1"/>
      <w:numFmt w:val="lowerRoman"/>
      <w:lvlText w:val="%1."/>
      <w:lvlJc w:val="right"/>
      <w:pPr>
        <w:ind w:left="61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07ED355B"/>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3" w15:restartNumberingAfterBreak="0">
    <w:nsid w:val="09274C1F"/>
    <w:multiLevelType w:val="hybridMultilevel"/>
    <w:tmpl w:val="06F069A6"/>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340000"/>
    <w:multiLevelType w:val="multilevel"/>
    <w:tmpl w:val="670A80AA"/>
    <w:lvl w:ilvl="0">
      <w:start w:val="1"/>
      <w:numFmt w:val="upperLetter"/>
      <w:lvlText w:val="%1."/>
      <w:lvlJc w:val="left"/>
      <w:pPr>
        <w:tabs>
          <w:tab w:val="num" w:pos="720"/>
        </w:tabs>
        <w:ind w:left="720" w:hanging="720"/>
      </w:pPr>
      <w:rPr>
        <w:lang w:val="es-ES_tradn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B52735C"/>
    <w:multiLevelType w:val="multilevel"/>
    <w:tmpl w:val="09F422B6"/>
    <w:lvl w:ilvl="0">
      <w:start w:val="1"/>
      <w:numFmt w:val="lowerLetter"/>
      <w:lvlText w:val="%1."/>
      <w:lvlJc w:val="left"/>
      <w:pPr>
        <w:ind w:left="720" w:hanging="360"/>
      </w:pPr>
      <w:rPr>
        <w:rFonts w:ascii="Arial" w:eastAsia="Times New Roman" w:hAnsi="Arial" w:cs="Arial"/>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BCF3218"/>
    <w:multiLevelType w:val="hybridMultilevel"/>
    <w:tmpl w:val="48264006"/>
    <w:lvl w:ilvl="0" w:tplc="70722BC6">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D051C25"/>
    <w:multiLevelType w:val="hybridMultilevel"/>
    <w:tmpl w:val="C272280E"/>
    <w:lvl w:ilvl="0" w:tplc="480A0019">
      <w:start w:val="1"/>
      <w:numFmt w:val="lowerLetter"/>
      <w:lvlText w:val="%1."/>
      <w:lvlJc w:val="left"/>
      <w:pPr>
        <w:ind w:left="720" w:hanging="360"/>
      </w:pPr>
      <w:rPr>
        <w:rFonts w:hint="default"/>
        <w:i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0E60235D"/>
    <w:multiLevelType w:val="hybridMultilevel"/>
    <w:tmpl w:val="7848D658"/>
    <w:lvl w:ilvl="0" w:tplc="F20EC3FE">
      <w:start w:val="1"/>
      <w:numFmt w:val="decimal"/>
      <w:lvlText w:val="%1-"/>
      <w:lvlJc w:val="left"/>
      <w:pPr>
        <w:ind w:left="720" w:hanging="360"/>
      </w:pPr>
      <w:rPr>
        <w:rFonts w:hint="default"/>
        <w:b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 w15:restartNumberingAfterBreak="0">
    <w:nsid w:val="0F530709"/>
    <w:multiLevelType w:val="hybridMultilevel"/>
    <w:tmpl w:val="2E7A55E4"/>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1" w15:restartNumberingAfterBreak="0">
    <w:nsid w:val="0FE624DC"/>
    <w:multiLevelType w:val="hybridMultilevel"/>
    <w:tmpl w:val="8BD02FE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2" w15:restartNumberingAfterBreak="0">
    <w:nsid w:val="0FFD090F"/>
    <w:multiLevelType w:val="hybridMultilevel"/>
    <w:tmpl w:val="059453BA"/>
    <w:lvl w:ilvl="0" w:tplc="D01427BE">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06A77F4"/>
    <w:multiLevelType w:val="hybridMultilevel"/>
    <w:tmpl w:val="EC3AECBC"/>
    <w:lvl w:ilvl="0" w:tplc="4EFC71DA">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745299"/>
    <w:multiLevelType w:val="hybridMultilevel"/>
    <w:tmpl w:val="DDE4F6BA"/>
    <w:lvl w:ilvl="0" w:tplc="095A0810">
      <w:start w:val="1"/>
      <w:numFmt w:val="upperLetter"/>
      <w:lvlText w:val="%1."/>
      <w:lvlJc w:val="left"/>
      <w:pPr>
        <w:ind w:left="180" w:hanging="360"/>
      </w:pPr>
      <w:rPr>
        <w:rFonts w:asciiTheme="minorHAnsi" w:hAnsiTheme="minorHAnsi"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11A807DB"/>
    <w:multiLevelType w:val="hybridMultilevel"/>
    <w:tmpl w:val="F5B4BD24"/>
    <w:lvl w:ilvl="0" w:tplc="A5CAC5C8">
      <w:start w:val="1"/>
      <w:numFmt w:val="decimal"/>
      <w:lvlText w:val="%1."/>
      <w:lvlJc w:val="left"/>
      <w:pPr>
        <w:tabs>
          <w:tab w:val="num" w:pos="720"/>
        </w:tabs>
        <w:ind w:left="720" w:hanging="360"/>
      </w:pPr>
    </w:lvl>
    <w:lvl w:ilvl="1" w:tplc="21809E04" w:tentative="1">
      <w:start w:val="1"/>
      <w:numFmt w:val="lowerLetter"/>
      <w:lvlText w:val="%2."/>
      <w:lvlJc w:val="left"/>
      <w:pPr>
        <w:tabs>
          <w:tab w:val="num" w:pos="1440"/>
        </w:tabs>
        <w:ind w:left="1440" w:hanging="360"/>
      </w:pPr>
    </w:lvl>
    <w:lvl w:ilvl="2" w:tplc="A4E453C8" w:tentative="1">
      <w:start w:val="1"/>
      <w:numFmt w:val="lowerRoman"/>
      <w:lvlText w:val="%3."/>
      <w:lvlJc w:val="right"/>
      <w:pPr>
        <w:tabs>
          <w:tab w:val="num" w:pos="2160"/>
        </w:tabs>
        <w:ind w:left="2160" w:hanging="180"/>
      </w:pPr>
    </w:lvl>
    <w:lvl w:ilvl="3" w:tplc="B16AC4DE" w:tentative="1">
      <w:start w:val="1"/>
      <w:numFmt w:val="decimal"/>
      <w:lvlText w:val="%4."/>
      <w:lvlJc w:val="left"/>
      <w:pPr>
        <w:tabs>
          <w:tab w:val="num" w:pos="2880"/>
        </w:tabs>
        <w:ind w:left="2880" w:hanging="360"/>
      </w:pPr>
    </w:lvl>
    <w:lvl w:ilvl="4" w:tplc="328A281C" w:tentative="1">
      <w:start w:val="1"/>
      <w:numFmt w:val="lowerLetter"/>
      <w:lvlText w:val="%5."/>
      <w:lvlJc w:val="left"/>
      <w:pPr>
        <w:tabs>
          <w:tab w:val="num" w:pos="3600"/>
        </w:tabs>
        <w:ind w:left="3600" w:hanging="360"/>
      </w:pPr>
    </w:lvl>
    <w:lvl w:ilvl="5" w:tplc="1D98B41A" w:tentative="1">
      <w:start w:val="1"/>
      <w:numFmt w:val="lowerRoman"/>
      <w:lvlText w:val="%6."/>
      <w:lvlJc w:val="right"/>
      <w:pPr>
        <w:tabs>
          <w:tab w:val="num" w:pos="4320"/>
        </w:tabs>
        <w:ind w:left="4320" w:hanging="180"/>
      </w:pPr>
    </w:lvl>
    <w:lvl w:ilvl="6" w:tplc="DC4CF478" w:tentative="1">
      <w:start w:val="1"/>
      <w:numFmt w:val="decimal"/>
      <w:lvlText w:val="%7."/>
      <w:lvlJc w:val="left"/>
      <w:pPr>
        <w:tabs>
          <w:tab w:val="num" w:pos="5040"/>
        </w:tabs>
        <w:ind w:left="5040" w:hanging="360"/>
      </w:pPr>
    </w:lvl>
    <w:lvl w:ilvl="7" w:tplc="20DE4012" w:tentative="1">
      <w:start w:val="1"/>
      <w:numFmt w:val="lowerLetter"/>
      <w:lvlText w:val="%8."/>
      <w:lvlJc w:val="left"/>
      <w:pPr>
        <w:tabs>
          <w:tab w:val="num" w:pos="5760"/>
        </w:tabs>
        <w:ind w:left="5760" w:hanging="360"/>
      </w:pPr>
    </w:lvl>
    <w:lvl w:ilvl="8" w:tplc="61EAE398" w:tentative="1">
      <w:start w:val="1"/>
      <w:numFmt w:val="lowerRoman"/>
      <w:lvlText w:val="%9."/>
      <w:lvlJc w:val="right"/>
      <w:pPr>
        <w:tabs>
          <w:tab w:val="num" w:pos="6480"/>
        </w:tabs>
        <w:ind w:left="6480" w:hanging="180"/>
      </w:pPr>
    </w:lvl>
  </w:abstractNum>
  <w:abstractNum w:abstractNumId="26" w15:restartNumberingAfterBreak="0">
    <w:nsid w:val="11D07F78"/>
    <w:multiLevelType w:val="hybridMultilevel"/>
    <w:tmpl w:val="366A0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2BE2994"/>
    <w:multiLevelType w:val="hybridMultilevel"/>
    <w:tmpl w:val="2314157C"/>
    <w:lvl w:ilvl="0" w:tplc="AF26F322">
      <w:start w:val="1"/>
      <w:numFmt w:val="lowerLetter"/>
      <w:lvlText w:val="%1."/>
      <w:lvlJc w:val="left"/>
      <w:pPr>
        <w:ind w:left="900" w:hanging="360"/>
      </w:pPr>
      <w:rPr>
        <w:rFonts w:hint="default"/>
        <w:sz w:val="22"/>
        <w:szCs w:val="22"/>
      </w:rPr>
    </w:lvl>
    <w:lvl w:ilvl="1" w:tplc="0C240454">
      <w:start w:val="1"/>
      <w:numFmt w:val="lowerRoman"/>
      <w:lvlText w:val="(%2)"/>
      <w:lvlJc w:val="left"/>
      <w:pPr>
        <w:ind w:left="1779" w:hanging="720"/>
      </w:pPr>
      <w:rPr>
        <w:rFonts w:hint="default"/>
      </w:rPr>
    </w:lvl>
    <w:lvl w:ilvl="2" w:tplc="480A001B" w:tentative="1">
      <w:start w:val="1"/>
      <w:numFmt w:val="lowerRoman"/>
      <w:lvlText w:val="%3."/>
      <w:lvlJc w:val="right"/>
      <w:pPr>
        <w:ind w:left="2139" w:hanging="180"/>
      </w:pPr>
    </w:lvl>
    <w:lvl w:ilvl="3" w:tplc="480A000F" w:tentative="1">
      <w:start w:val="1"/>
      <w:numFmt w:val="decimal"/>
      <w:lvlText w:val="%4."/>
      <w:lvlJc w:val="left"/>
      <w:pPr>
        <w:ind w:left="2859" w:hanging="360"/>
      </w:pPr>
    </w:lvl>
    <w:lvl w:ilvl="4" w:tplc="480A0019" w:tentative="1">
      <w:start w:val="1"/>
      <w:numFmt w:val="lowerLetter"/>
      <w:lvlText w:val="%5."/>
      <w:lvlJc w:val="left"/>
      <w:pPr>
        <w:ind w:left="3579" w:hanging="360"/>
      </w:pPr>
    </w:lvl>
    <w:lvl w:ilvl="5" w:tplc="480A001B" w:tentative="1">
      <w:start w:val="1"/>
      <w:numFmt w:val="lowerRoman"/>
      <w:lvlText w:val="%6."/>
      <w:lvlJc w:val="right"/>
      <w:pPr>
        <w:ind w:left="4299" w:hanging="180"/>
      </w:pPr>
    </w:lvl>
    <w:lvl w:ilvl="6" w:tplc="480A000F" w:tentative="1">
      <w:start w:val="1"/>
      <w:numFmt w:val="decimal"/>
      <w:lvlText w:val="%7."/>
      <w:lvlJc w:val="left"/>
      <w:pPr>
        <w:ind w:left="5019" w:hanging="360"/>
      </w:pPr>
    </w:lvl>
    <w:lvl w:ilvl="7" w:tplc="480A0019" w:tentative="1">
      <w:start w:val="1"/>
      <w:numFmt w:val="lowerLetter"/>
      <w:lvlText w:val="%8."/>
      <w:lvlJc w:val="left"/>
      <w:pPr>
        <w:ind w:left="5739" w:hanging="360"/>
      </w:pPr>
    </w:lvl>
    <w:lvl w:ilvl="8" w:tplc="480A001B" w:tentative="1">
      <w:start w:val="1"/>
      <w:numFmt w:val="lowerRoman"/>
      <w:lvlText w:val="%9."/>
      <w:lvlJc w:val="right"/>
      <w:pPr>
        <w:ind w:left="6459" w:hanging="180"/>
      </w:pPr>
    </w:lvl>
  </w:abstractNum>
  <w:abstractNum w:abstractNumId="28" w15:restartNumberingAfterBreak="0">
    <w:nsid w:val="157F63EB"/>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C236AB"/>
    <w:multiLevelType w:val="hybridMultilevel"/>
    <w:tmpl w:val="D8608090"/>
    <w:lvl w:ilvl="0" w:tplc="906C2084">
      <w:start w:val="1"/>
      <w:numFmt w:val="bullet"/>
      <w:lvlText w:val=""/>
      <w:lvlJc w:val="left"/>
      <w:pPr>
        <w:ind w:left="502"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0" w15:restartNumberingAfterBreak="0">
    <w:nsid w:val="16EF7BB0"/>
    <w:multiLevelType w:val="hybridMultilevel"/>
    <w:tmpl w:val="CE50782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15:restartNumberingAfterBreak="0">
    <w:nsid w:val="190A3FA5"/>
    <w:multiLevelType w:val="hybridMultilevel"/>
    <w:tmpl w:val="BF549BD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15:restartNumberingAfterBreak="0">
    <w:nsid w:val="1B304203"/>
    <w:multiLevelType w:val="hybridMultilevel"/>
    <w:tmpl w:val="48B6DA1C"/>
    <w:lvl w:ilvl="0" w:tplc="86FE56E0">
      <w:start w:val="1"/>
      <w:numFmt w:val="decimal"/>
      <w:lvlText w:val="%1."/>
      <w:lvlJc w:val="left"/>
      <w:pPr>
        <w:tabs>
          <w:tab w:val="num" w:pos="720"/>
        </w:tabs>
        <w:ind w:left="720" w:hanging="360"/>
      </w:pPr>
    </w:lvl>
    <w:lvl w:ilvl="1" w:tplc="3432B230" w:tentative="1">
      <w:start w:val="1"/>
      <w:numFmt w:val="lowerLetter"/>
      <w:lvlText w:val="%2."/>
      <w:lvlJc w:val="left"/>
      <w:pPr>
        <w:tabs>
          <w:tab w:val="num" w:pos="1440"/>
        </w:tabs>
        <w:ind w:left="1440" w:hanging="360"/>
      </w:pPr>
    </w:lvl>
    <w:lvl w:ilvl="2" w:tplc="5108329C" w:tentative="1">
      <w:start w:val="1"/>
      <w:numFmt w:val="lowerRoman"/>
      <w:lvlText w:val="%3."/>
      <w:lvlJc w:val="right"/>
      <w:pPr>
        <w:tabs>
          <w:tab w:val="num" w:pos="2160"/>
        </w:tabs>
        <w:ind w:left="2160" w:hanging="180"/>
      </w:pPr>
    </w:lvl>
    <w:lvl w:ilvl="3" w:tplc="DCD4514E" w:tentative="1">
      <w:start w:val="1"/>
      <w:numFmt w:val="decimal"/>
      <w:lvlText w:val="%4."/>
      <w:lvlJc w:val="left"/>
      <w:pPr>
        <w:tabs>
          <w:tab w:val="num" w:pos="2880"/>
        </w:tabs>
        <w:ind w:left="2880" w:hanging="360"/>
      </w:pPr>
    </w:lvl>
    <w:lvl w:ilvl="4" w:tplc="9A645752" w:tentative="1">
      <w:start w:val="1"/>
      <w:numFmt w:val="lowerLetter"/>
      <w:lvlText w:val="%5."/>
      <w:lvlJc w:val="left"/>
      <w:pPr>
        <w:tabs>
          <w:tab w:val="num" w:pos="3600"/>
        </w:tabs>
        <w:ind w:left="3600" w:hanging="360"/>
      </w:pPr>
    </w:lvl>
    <w:lvl w:ilvl="5" w:tplc="3F9A68C4" w:tentative="1">
      <w:start w:val="1"/>
      <w:numFmt w:val="lowerRoman"/>
      <w:lvlText w:val="%6."/>
      <w:lvlJc w:val="right"/>
      <w:pPr>
        <w:tabs>
          <w:tab w:val="num" w:pos="4320"/>
        </w:tabs>
        <w:ind w:left="4320" w:hanging="180"/>
      </w:pPr>
    </w:lvl>
    <w:lvl w:ilvl="6" w:tplc="AF3051D0" w:tentative="1">
      <w:start w:val="1"/>
      <w:numFmt w:val="decimal"/>
      <w:lvlText w:val="%7."/>
      <w:lvlJc w:val="left"/>
      <w:pPr>
        <w:tabs>
          <w:tab w:val="num" w:pos="5040"/>
        </w:tabs>
        <w:ind w:left="5040" w:hanging="360"/>
      </w:pPr>
    </w:lvl>
    <w:lvl w:ilvl="7" w:tplc="F4749F82" w:tentative="1">
      <w:start w:val="1"/>
      <w:numFmt w:val="lowerLetter"/>
      <w:lvlText w:val="%8."/>
      <w:lvlJc w:val="left"/>
      <w:pPr>
        <w:tabs>
          <w:tab w:val="num" w:pos="5760"/>
        </w:tabs>
        <w:ind w:left="5760" w:hanging="360"/>
      </w:pPr>
    </w:lvl>
    <w:lvl w:ilvl="8" w:tplc="E6AA8462" w:tentative="1">
      <w:start w:val="1"/>
      <w:numFmt w:val="lowerRoman"/>
      <w:lvlText w:val="%9."/>
      <w:lvlJc w:val="right"/>
      <w:pPr>
        <w:tabs>
          <w:tab w:val="num" w:pos="6480"/>
        </w:tabs>
        <w:ind w:left="6480" w:hanging="180"/>
      </w:pPr>
    </w:lvl>
  </w:abstractNum>
  <w:abstractNum w:abstractNumId="33" w15:restartNumberingAfterBreak="0">
    <w:nsid w:val="1B3460A3"/>
    <w:multiLevelType w:val="multilevel"/>
    <w:tmpl w:val="0409001D"/>
    <w:styleLink w:val="Style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B401671"/>
    <w:multiLevelType w:val="hybridMultilevel"/>
    <w:tmpl w:val="70FAA6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1C867660"/>
    <w:multiLevelType w:val="hybridMultilevel"/>
    <w:tmpl w:val="320C80D6"/>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36" w15:restartNumberingAfterBreak="0">
    <w:nsid w:val="1CEC5345"/>
    <w:multiLevelType w:val="hybridMultilevel"/>
    <w:tmpl w:val="1E18E8FC"/>
    <w:lvl w:ilvl="0" w:tplc="A5A42F1C">
      <w:start w:val="1"/>
      <w:numFmt w:val="decimal"/>
      <w:lvlText w:val="%1."/>
      <w:lvlJc w:val="left"/>
      <w:pPr>
        <w:ind w:left="360" w:hanging="360"/>
      </w:pPr>
      <w:rPr>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1E3641BD"/>
    <w:multiLevelType w:val="hybridMultilevel"/>
    <w:tmpl w:val="7F30F3C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39" w15:restartNumberingAfterBreak="0">
    <w:nsid w:val="1FB10BF7"/>
    <w:multiLevelType w:val="multilevel"/>
    <w:tmpl w:val="579201DE"/>
    <w:lvl w:ilvl="0">
      <w:start w:val="1"/>
      <w:numFmt w:val="decimal"/>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right"/>
      <w:pPr>
        <w:tabs>
          <w:tab w:val="num" w:pos="1512"/>
        </w:tabs>
        <w:ind w:left="1512" w:hanging="648"/>
      </w:pPr>
      <w:rPr>
        <w:rFonts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15:restartNumberingAfterBreak="0">
    <w:nsid w:val="1FF4021B"/>
    <w:multiLevelType w:val="multilevel"/>
    <w:tmpl w:val="21A2B98A"/>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502" w:hanging="360"/>
      </w:pPr>
      <w:rPr>
        <w:rFonts w:hint="default"/>
        <w:b w:val="0"/>
        <w:i w:val="0"/>
        <w:iCs w:val="0"/>
        <w:color w:val="auto"/>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1" w15:restartNumberingAfterBreak="0">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42" w15:restartNumberingAfterBreak="0">
    <w:nsid w:val="2083034D"/>
    <w:multiLevelType w:val="hybridMultilevel"/>
    <w:tmpl w:val="907ED24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3" w15:restartNumberingAfterBreak="0">
    <w:nsid w:val="212B13C5"/>
    <w:multiLevelType w:val="hybridMultilevel"/>
    <w:tmpl w:val="1C24F970"/>
    <w:lvl w:ilvl="0" w:tplc="D638DA86">
      <w:start w:val="1"/>
      <w:numFmt w:val="bullet"/>
      <w:lvlText w:val=""/>
      <w:lvlJc w:val="left"/>
      <w:pPr>
        <w:ind w:left="11" w:hanging="360"/>
      </w:pPr>
      <w:rPr>
        <w:rFonts w:ascii="Symbol" w:hAnsi="Symbol" w:hint="default"/>
        <w:color w:val="FF0000"/>
      </w:rPr>
    </w:lvl>
    <w:lvl w:ilvl="1" w:tplc="480A0003" w:tentative="1">
      <w:start w:val="1"/>
      <w:numFmt w:val="bullet"/>
      <w:lvlText w:val="o"/>
      <w:lvlJc w:val="left"/>
      <w:pPr>
        <w:ind w:left="731" w:hanging="360"/>
      </w:pPr>
      <w:rPr>
        <w:rFonts w:ascii="Courier New" w:hAnsi="Courier New" w:cs="Courier New" w:hint="default"/>
      </w:rPr>
    </w:lvl>
    <w:lvl w:ilvl="2" w:tplc="480A0005" w:tentative="1">
      <w:start w:val="1"/>
      <w:numFmt w:val="bullet"/>
      <w:lvlText w:val=""/>
      <w:lvlJc w:val="left"/>
      <w:pPr>
        <w:ind w:left="1451" w:hanging="360"/>
      </w:pPr>
      <w:rPr>
        <w:rFonts w:ascii="Wingdings" w:hAnsi="Wingdings" w:hint="default"/>
      </w:rPr>
    </w:lvl>
    <w:lvl w:ilvl="3" w:tplc="480A0001" w:tentative="1">
      <w:start w:val="1"/>
      <w:numFmt w:val="bullet"/>
      <w:lvlText w:val=""/>
      <w:lvlJc w:val="left"/>
      <w:pPr>
        <w:ind w:left="2171" w:hanging="360"/>
      </w:pPr>
      <w:rPr>
        <w:rFonts w:ascii="Symbol" w:hAnsi="Symbol" w:hint="default"/>
      </w:rPr>
    </w:lvl>
    <w:lvl w:ilvl="4" w:tplc="480A0003" w:tentative="1">
      <w:start w:val="1"/>
      <w:numFmt w:val="bullet"/>
      <w:lvlText w:val="o"/>
      <w:lvlJc w:val="left"/>
      <w:pPr>
        <w:ind w:left="2891" w:hanging="360"/>
      </w:pPr>
      <w:rPr>
        <w:rFonts w:ascii="Courier New" w:hAnsi="Courier New" w:cs="Courier New" w:hint="default"/>
      </w:rPr>
    </w:lvl>
    <w:lvl w:ilvl="5" w:tplc="480A0005" w:tentative="1">
      <w:start w:val="1"/>
      <w:numFmt w:val="bullet"/>
      <w:lvlText w:val=""/>
      <w:lvlJc w:val="left"/>
      <w:pPr>
        <w:ind w:left="3611" w:hanging="360"/>
      </w:pPr>
      <w:rPr>
        <w:rFonts w:ascii="Wingdings" w:hAnsi="Wingdings" w:hint="default"/>
      </w:rPr>
    </w:lvl>
    <w:lvl w:ilvl="6" w:tplc="480A0001" w:tentative="1">
      <w:start w:val="1"/>
      <w:numFmt w:val="bullet"/>
      <w:lvlText w:val=""/>
      <w:lvlJc w:val="left"/>
      <w:pPr>
        <w:ind w:left="4331" w:hanging="360"/>
      </w:pPr>
      <w:rPr>
        <w:rFonts w:ascii="Symbol" w:hAnsi="Symbol" w:hint="default"/>
      </w:rPr>
    </w:lvl>
    <w:lvl w:ilvl="7" w:tplc="480A0003" w:tentative="1">
      <w:start w:val="1"/>
      <w:numFmt w:val="bullet"/>
      <w:lvlText w:val="o"/>
      <w:lvlJc w:val="left"/>
      <w:pPr>
        <w:ind w:left="5051" w:hanging="360"/>
      </w:pPr>
      <w:rPr>
        <w:rFonts w:ascii="Courier New" w:hAnsi="Courier New" w:cs="Courier New" w:hint="default"/>
      </w:rPr>
    </w:lvl>
    <w:lvl w:ilvl="8" w:tplc="480A0005" w:tentative="1">
      <w:start w:val="1"/>
      <w:numFmt w:val="bullet"/>
      <w:lvlText w:val=""/>
      <w:lvlJc w:val="left"/>
      <w:pPr>
        <w:ind w:left="5771" w:hanging="360"/>
      </w:pPr>
      <w:rPr>
        <w:rFonts w:ascii="Wingdings" w:hAnsi="Wingdings" w:hint="default"/>
      </w:rPr>
    </w:lvl>
  </w:abstractNum>
  <w:abstractNum w:abstractNumId="44" w15:restartNumberingAfterBreak="0">
    <w:nsid w:val="21B13875"/>
    <w:multiLevelType w:val="multilevel"/>
    <w:tmpl w:val="63A4F6C6"/>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2ED105D"/>
    <w:multiLevelType w:val="hybridMultilevel"/>
    <w:tmpl w:val="8DDA7A02"/>
    <w:lvl w:ilvl="0" w:tplc="230A8480">
      <w:start w:val="1"/>
      <w:numFmt w:val="decimal"/>
      <w:pStyle w:val="Cita"/>
      <w:lvlText w:val="Tabla No.%1:"/>
      <w:lvlJc w:val="left"/>
      <w:pPr>
        <w:ind w:left="360" w:hanging="360"/>
      </w:pPr>
      <w:rPr>
        <w:rFonts w:hint="default"/>
        <w:lang w:val="es-E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236D55B2"/>
    <w:multiLevelType w:val="multilevel"/>
    <w:tmpl w:val="1D022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23AA60E8"/>
    <w:multiLevelType w:val="multilevel"/>
    <w:tmpl w:val="9EC0DA60"/>
    <w:lvl w:ilvl="0">
      <w:start w:val="1"/>
      <w:numFmt w:val="decimal"/>
      <w:lvlText w:val="%1."/>
      <w:lvlJc w:val="left"/>
      <w:pPr>
        <w:ind w:left="720" w:hanging="360"/>
      </w:pPr>
      <w:rPr>
        <w:rFonts w:hint="default"/>
      </w:rPr>
    </w:lvl>
    <w:lvl w:ilvl="1">
      <w:start w:val="2"/>
      <w:numFmt w:val="decimal"/>
      <w:isLgl/>
      <w:lvlText w:val="%1.%2"/>
      <w:lvlJc w:val="left"/>
      <w:pPr>
        <w:ind w:left="1770" w:hanging="1410"/>
      </w:pPr>
      <w:rPr>
        <w:rFonts w:hint="default"/>
      </w:rPr>
    </w:lvl>
    <w:lvl w:ilvl="2">
      <w:start w:val="2"/>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4882B7F"/>
    <w:multiLevelType w:val="hybridMultilevel"/>
    <w:tmpl w:val="944EE85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9"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50" w15:restartNumberingAfterBreak="0">
    <w:nsid w:val="24A47305"/>
    <w:multiLevelType w:val="hybridMultilevel"/>
    <w:tmpl w:val="CF5A4CC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1" w15:restartNumberingAfterBreak="0">
    <w:nsid w:val="25695EA6"/>
    <w:multiLevelType w:val="hybridMultilevel"/>
    <w:tmpl w:val="65409E6A"/>
    <w:lvl w:ilvl="0" w:tplc="AEA45906">
      <w:start w:val="1"/>
      <w:numFmt w:val="lowerLetter"/>
      <w:lvlText w:val="%1."/>
      <w:lvlJc w:val="left"/>
      <w:pPr>
        <w:ind w:left="1080" w:hanging="360"/>
      </w:pPr>
      <w:rPr>
        <w:rFonts w:hint="default"/>
        <w:b w:val="0"/>
        <w:i w:val="0"/>
        <w:color w:val="auto"/>
        <w:sz w:val="22"/>
        <w:szCs w:val="22"/>
        <w:u w:val="none"/>
      </w:rPr>
    </w:lvl>
    <w:lvl w:ilvl="1" w:tplc="2C0A0019" w:tentative="1">
      <w:start w:val="1"/>
      <w:numFmt w:val="lowerLetter"/>
      <w:lvlText w:val="%2."/>
      <w:lvlJc w:val="left"/>
      <w:pPr>
        <w:ind w:left="684" w:hanging="360"/>
      </w:pPr>
    </w:lvl>
    <w:lvl w:ilvl="2" w:tplc="2C0A001B" w:tentative="1">
      <w:start w:val="1"/>
      <w:numFmt w:val="lowerRoman"/>
      <w:lvlText w:val="%3."/>
      <w:lvlJc w:val="right"/>
      <w:pPr>
        <w:ind w:left="1404" w:hanging="180"/>
      </w:pPr>
    </w:lvl>
    <w:lvl w:ilvl="3" w:tplc="2C0A000F" w:tentative="1">
      <w:start w:val="1"/>
      <w:numFmt w:val="decimal"/>
      <w:lvlText w:val="%4."/>
      <w:lvlJc w:val="left"/>
      <w:pPr>
        <w:ind w:left="2124" w:hanging="360"/>
      </w:pPr>
    </w:lvl>
    <w:lvl w:ilvl="4" w:tplc="2C0A0019" w:tentative="1">
      <w:start w:val="1"/>
      <w:numFmt w:val="lowerLetter"/>
      <w:lvlText w:val="%5."/>
      <w:lvlJc w:val="left"/>
      <w:pPr>
        <w:ind w:left="2844" w:hanging="360"/>
      </w:pPr>
    </w:lvl>
    <w:lvl w:ilvl="5" w:tplc="2C0A001B" w:tentative="1">
      <w:start w:val="1"/>
      <w:numFmt w:val="lowerRoman"/>
      <w:lvlText w:val="%6."/>
      <w:lvlJc w:val="right"/>
      <w:pPr>
        <w:ind w:left="3564" w:hanging="180"/>
      </w:pPr>
    </w:lvl>
    <w:lvl w:ilvl="6" w:tplc="2C0A000F" w:tentative="1">
      <w:start w:val="1"/>
      <w:numFmt w:val="decimal"/>
      <w:lvlText w:val="%7."/>
      <w:lvlJc w:val="left"/>
      <w:pPr>
        <w:ind w:left="4284" w:hanging="360"/>
      </w:pPr>
    </w:lvl>
    <w:lvl w:ilvl="7" w:tplc="2C0A0019" w:tentative="1">
      <w:start w:val="1"/>
      <w:numFmt w:val="lowerLetter"/>
      <w:lvlText w:val="%8."/>
      <w:lvlJc w:val="left"/>
      <w:pPr>
        <w:ind w:left="5004" w:hanging="360"/>
      </w:pPr>
    </w:lvl>
    <w:lvl w:ilvl="8" w:tplc="2C0A001B" w:tentative="1">
      <w:start w:val="1"/>
      <w:numFmt w:val="lowerRoman"/>
      <w:lvlText w:val="%9."/>
      <w:lvlJc w:val="right"/>
      <w:pPr>
        <w:ind w:left="5724" w:hanging="180"/>
      </w:pPr>
    </w:lvl>
  </w:abstractNum>
  <w:abstractNum w:abstractNumId="52" w15:restartNumberingAfterBreak="0">
    <w:nsid w:val="265F4F3A"/>
    <w:multiLevelType w:val="hybridMultilevel"/>
    <w:tmpl w:val="5FA482D2"/>
    <w:lvl w:ilvl="0" w:tplc="080A0017">
      <w:start w:val="1"/>
      <w:numFmt w:val="lowerLetter"/>
      <w:lvlText w:val="%1)"/>
      <w:lvlJc w:val="left"/>
      <w:pPr>
        <w:ind w:left="720" w:hanging="360"/>
      </w:pPr>
      <w:rPr>
        <w:rFonts w:hint="default"/>
        <w:b w:val="0"/>
        <w:i w:val="0"/>
        <w:color w:val="auto"/>
      </w:rPr>
    </w:lvl>
    <w:lvl w:ilvl="1" w:tplc="922E674A">
      <w:start w:val="1"/>
      <w:numFmt w:val="bullet"/>
      <w:lvlText w:val=""/>
      <w:lvlJc w:val="left"/>
      <w:pPr>
        <w:ind w:left="1470" w:hanging="390"/>
      </w:pPr>
      <w:rPr>
        <w:rFonts w:ascii="Symbol" w:hAnsi="Symbol"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7372F6E"/>
    <w:multiLevelType w:val="hybridMultilevel"/>
    <w:tmpl w:val="A25C4FDE"/>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54" w15:restartNumberingAfterBreak="0">
    <w:nsid w:val="284C21C2"/>
    <w:multiLevelType w:val="hybridMultilevel"/>
    <w:tmpl w:val="7340FA4E"/>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AD8520C"/>
    <w:multiLevelType w:val="hybridMultilevel"/>
    <w:tmpl w:val="BDD290FA"/>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56" w15:restartNumberingAfterBreak="0">
    <w:nsid w:val="2C9C2979"/>
    <w:multiLevelType w:val="hybridMultilevel"/>
    <w:tmpl w:val="8E666E6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7" w15:restartNumberingAfterBreak="0">
    <w:nsid w:val="2CAE5846"/>
    <w:multiLevelType w:val="hybridMultilevel"/>
    <w:tmpl w:val="5A4A581E"/>
    <w:lvl w:ilvl="0" w:tplc="E30C00FA">
      <w:start w:val="1"/>
      <w:numFmt w:val="lowerLetter"/>
      <w:lvlText w:val="%1."/>
      <w:lvlJc w:val="left"/>
      <w:pPr>
        <w:ind w:left="1080" w:hanging="360"/>
      </w:pPr>
      <w:rPr>
        <w:rFonts w:hint="default"/>
        <w:b w:val="0"/>
        <w:i w:val="0"/>
        <w:color w:val="auto"/>
        <w:sz w:val="22"/>
        <w:szCs w:val="22"/>
        <w:u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9" w15:restartNumberingAfterBreak="0">
    <w:nsid w:val="2E15257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2ED26EBC"/>
    <w:multiLevelType w:val="hybridMultilevel"/>
    <w:tmpl w:val="5AFA7E2E"/>
    <w:lvl w:ilvl="0" w:tplc="4C0A000D">
      <w:start w:val="1"/>
      <w:numFmt w:val="bullet"/>
      <w:lvlText w:val=""/>
      <w:lvlJc w:val="left"/>
      <w:pPr>
        <w:tabs>
          <w:tab w:val="num" w:pos="720"/>
        </w:tabs>
        <w:ind w:left="720" w:hanging="360"/>
      </w:pPr>
      <w:rPr>
        <w:rFonts w:ascii="Wingdings" w:hAnsi="Wingdings" w:hint="default"/>
      </w:rPr>
    </w:lvl>
    <w:lvl w:ilvl="1" w:tplc="4C0A0003" w:tentative="1">
      <w:start w:val="1"/>
      <w:numFmt w:val="bullet"/>
      <w:lvlText w:val="o"/>
      <w:lvlJc w:val="left"/>
      <w:pPr>
        <w:tabs>
          <w:tab w:val="num" w:pos="1440"/>
        </w:tabs>
        <w:ind w:left="1440" w:hanging="360"/>
      </w:pPr>
      <w:rPr>
        <w:rFonts w:ascii="Courier New" w:hAnsi="Courier New" w:cs="Courier New" w:hint="default"/>
      </w:rPr>
    </w:lvl>
    <w:lvl w:ilvl="2" w:tplc="4C0A0005" w:tentative="1">
      <w:start w:val="1"/>
      <w:numFmt w:val="bullet"/>
      <w:lvlText w:val=""/>
      <w:lvlJc w:val="left"/>
      <w:pPr>
        <w:tabs>
          <w:tab w:val="num" w:pos="2160"/>
        </w:tabs>
        <w:ind w:left="2160" w:hanging="360"/>
      </w:pPr>
      <w:rPr>
        <w:rFonts w:ascii="Wingdings" w:hAnsi="Wingdings" w:hint="default"/>
      </w:rPr>
    </w:lvl>
    <w:lvl w:ilvl="3" w:tplc="4C0A0001" w:tentative="1">
      <w:start w:val="1"/>
      <w:numFmt w:val="bullet"/>
      <w:lvlText w:val=""/>
      <w:lvlJc w:val="left"/>
      <w:pPr>
        <w:tabs>
          <w:tab w:val="num" w:pos="2880"/>
        </w:tabs>
        <w:ind w:left="2880" w:hanging="360"/>
      </w:pPr>
      <w:rPr>
        <w:rFonts w:ascii="Symbol" w:hAnsi="Symbol" w:hint="default"/>
      </w:rPr>
    </w:lvl>
    <w:lvl w:ilvl="4" w:tplc="4C0A0003" w:tentative="1">
      <w:start w:val="1"/>
      <w:numFmt w:val="bullet"/>
      <w:lvlText w:val="o"/>
      <w:lvlJc w:val="left"/>
      <w:pPr>
        <w:tabs>
          <w:tab w:val="num" w:pos="3600"/>
        </w:tabs>
        <w:ind w:left="3600" w:hanging="360"/>
      </w:pPr>
      <w:rPr>
        <w:rFonts w:ascii="Courier New" w:hAnsi="Courier New" w:cs="Courier New" w:hint="default"/>
      </w:rPr>
    </w:lvl>
    <w:lvl w:ilvl="5" w:tplc="4C0A0005" w:tentative="1">
      <w:start w:val="1"/>
      <w:numFmt w:val="bullet"/>
      <w:lvlText w:val=""/>
      <w:lvlJc w:val="left"/>
      <w:pPr>
        <w:tabs>
          <w:tab w:val="num" w:pos="4320"/>
        </w:tabs>
        <w:ind w:left="4320" w:hanging="360"/>
      </w:pPr>
      <w:rPr>
        <w:rFonts w:ascii="Wingdings" w:hAnsi="Wingdings" w:hint="default"/>
      </w:rPr>
    </w:lvl>
    <w:lvl w:ilvl="6" w:tplc="4C0A0001" w:tentative="1">
      <w:start w:val="1"/>
      <w:numFmt w:val="bullet"/>
      <w:lvlText w:val=""/>
      <w:lvlJc w:val="left"/>
      <w:pPr>
        <w:tabs>
          <w:tab w:val="num" w:pos="5040"/>
        </w:tabs>
        <w:ind w:left="5040" w:hanging="360"/>
      </w:pPr>
      <w:rPr>
        <w:rFonts w:ascii="Symbol" w:hAnsi="Symbol" w:hint="default"/>
      </w:rPr>
    </w:lvl>
    <w:lvl w:ilvl="7" w:tplc="4C0A0003" w:tentative="1">
      <w:start w:val="1"/>
      <w:numFmt w:val="bullet"/>
      <w:lvlText w:val="o"/>
      <w:lvlJc w:val="left"/>
      <w:pPr>
        <w:tabs>
          <w:tab w:val="num" w:pos="5760"/>
        </w:tabs>
        <w:ind w:left="5760" w:hanging="360"/>
      </w:pPr>
      <w:rPr>
        <w:rFonts w:ascii="Courier New" w:hAnsi="Courier New" w:cs="Courier New" w:hint="default"/>
      </w:rPr>
    </w:lvl>
    <w:lvl w:ilvl="8" w:tplc="4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F255EA1"/>
    <w:multiLevelType w:val="hybridMultilevel"/>
    <w:tmpl w:val="FFC6E1D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F993848"/>
    <w:multiLevelType w:val="hybridMultilevel"/>
    <w:tmpl w:val="AA6A1A8A"/>
    <w:lvl w:ilvl="0" w:tplc="9EB881E2">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2FAE5FBC"/>
    <w:multiLevelType w:val="hybridMultilevel"/>
    <w:tmpl w:val="F584897A"/>
    <w:lvl w:ilvl="0" w:tplc="02502E12">
      <w:start w:val="3"/>
      <w:numFmt w:val="bullet"/>
      <w:lvlText w:val="-"/>
      <w:lvlJc w:val="left"/>
      <w:pPr>
        <w:ind w:left="2137" w:hanging="360"/>
      </w:pPr>
      <w:rPr>
        <w:rFonts w:ascii="Calibri" w:eastAsia="Times New Roman" w:hAnsi="Calibri" w:cs="Calibri" w:hint="default"/>
      </w:rPr>
    </w:lvl>
    <w:lvl w:ilvl="1" w:tplc="580A0003" w:tentative="1">
      <w:start w:val="1"/>
      <w:numFmt w:val="bullet"/>
      <w:lvlText w:val="o"/>
      <w:lvlJc w:val="left"/>
      <w:pPr>
        <w:ind w:left="2857" w:hanging="360"/>
      </w:pPr>
      <w:rPr>
        <w:rFonts w:ascii="Courier New" w:hAnsi="Courier New" w:cs="Courier New" w:hint="default"/>
      </w:rPr>
    </w:lvl>
    <w:lvl w:ilvl="2" w:tplc="580A0005" w:tentative="1">
      <w:start w:val="1"/>
      <w:numFmt w:val="bullet"/>
      <w:lvlText w:val=""/>
      <w:lvlJc w:val="left"/>
      <w:pPr>
        <w:ind w:left="3577" w:hanging="360"/>
      </w:pPr>
      <w:rPr>
        <w:rFonts w:ascii="Wingdings" w:hAnsi="Wingdings" w:hint="default"/>
      </w:rPr>
    </w:lvl>
    <w:lvl w:ilvl="3" w:tplc="580A0001" w:tentative="1">
      <w:start w:val="1"/>
      <w:numFmt w:val="bullet"/>
      <w:lvlText w:val=""/>
      <w:lvlJc w:val="left"/>
      <w:pPr>
        <w:ind w:left="4297" w:hanging="360"/>
      </w:pPr>
      <w:rPr>
        <w:rFonts w:ascii="Symbol" w:hAnsi="Symbol" w:hint="default"/>
      </w:rPr>
    </w:lvl>
    <w:lvl w:ilvl="4" w:tplc="580A0003" w:tentative="1">
      <w:start w:val="1"/>
      <w:numFmt w:val="bullet"/>
      <w:lvlText w:val="o"/>
      <w:lvlJc w:val="left"/>
      <w:pPr>
        <w:ind w:left="5017" w:hanging="360"/>
      </w:pPr>
      <w:rPr>
        <w:rFonts w:ascii="Courier New" w:hAnsi="Courier New" w:cs="Courier New" w:hint="default"/>
      </w:rPr>
    </w:lvl>
    <w:lvl w:ilvl="5" w:tplc="580A0005" w:tentative="1">
      <w:start w:val="1"/>
      <w:numFmt w:val="bullet"/>
      <w:lvlText w:val=""/>
      <w:lvlJc w:val="left"/>
      <w:pPr>
        <w:ind w:left="5737" w:hanging="360"/>
      </w:pPr>
      <w:rPr>
        <w:rFonts w:ascii="Wingdings" w:hAnsi="Wingdings" w:hint="default"/>
      </w:rPr>
    </w:lvl>
    <w:lvl w:ilvl="6" w:tplc="580A0001" w:tentative="1">
      <w:start w:val="1"/>
      <w:numFmt w:val="bullet"/>
      <w:lvlText w:val=""/>
      <w:lvlJc w:val="left"/>
      <w:pPr>
        <w:ind w:left="6457" w:hanging="360"/>
      </w:pPr>
      <w:rPr>
        <w:rFonts w:ascii="Symbol" w:hAnsi="Symbol" w:hint="default"/>
      </w:rPr>
    </w:lvl>
    <w:lvl w:ilvl="7" w:tplc="580A0003" w:tentative="1">
      <w:start w:val="1"/>
      <w:numFmt w:val="bullet"/>
      <w:lvlText w:val="o"/>
      <w:lvlJc w:val="left"/>
      <w:pPr>
        <w:ind w:left="7177" w:hanging="360"/>
      </w:pPr>
      <w:rPr>
        <w:rFonts w:ascii="Courier New" w:hAnsi="Courier New" w:cs="Courier New" w:hint="default"/>
      </w:rPr>
    </w:lvl>
    <w:lvl w:ilvl="8" w:tplc="580A0005" w:tentative="1">
      <w:start w:val="1"/>
      <w:numFmt w:val="bullet"/>
      <w:lvlText w:val=""/>
      <w:lvlJc w:val="left"/>
      <w:pPr>
        <w:ind w:left="7897" w:hanging="360"/>
      </w:pPr>
      <w:rPr>
        <w:rFonts w:ascii="Wingdings" w:hAnsi="Wingdings" w:hint="default"/>
      </w:rPr>
    </w:lvl>
  </w:abstractNum>
  <w:abstractNum w:abstractNumId="64" w15:restartNumberingAfterBreak="0">
    <w:nsid w:val="2FB874EF"/>
    <w:multiLevelType w:val="hybridMultilevel"/>
    <w:tmpl w:val="92622EF4"/>
    <w:lvl w:ilvl="0" w:tplc="91BC7F72">
      <w:start w:val="1"/>
      <w:numFmt w:val="lowerLetter"/>
      <w:lvlText w:val="%1."/>
      <w:lvlJc w:val="left"/>
      <w:pPr>
        <w:ind w:left="670" w:hanging="360"/>
      </w:pPr>
      <w:rPr>
        <w:rFonts w:hint="default"/>
      </w:rPr>
    </w:lvl>
    <w:lvl w:ilvl="1" w:tplc="480A0019" w:tentative="1">
      <w:start w:val="1"/>
      <w:numFmt w:val="lowerLetter"/>
      <w:lvlText w:val="%2."/>
      <w:lvlJc w:val="left"/>
      <w:pPr>
        <w:ind w:left="1390" w:hanging="360"/>
      </w:pPr>
    </w:lvl>
    <w:lvl w:ilvl="2" w:tplc="480A001B" w:tentative="1">
      <w:start w:val="1"/>
      <w:numFmt w:val="lowerRoman"/>
      <w:lvlText w:val="%3."/>
      <w:lvlJc w:val="right"/>
      <w:pPr>
        <w:ind w:left="2110" w:hanging="180"/>
      </w:pPr>
    </w:lvl>
    <w:lvl w:ilvl="3" w:tplc="480A000F" w:tentative="1">
      <w:start w:val="1"/>
      <w:numFmt w:val="decimal"/>
      <w:lvlText w:val="%4."/>
      <w:lvlJc w:val="left"/>
      <w:pPr>
        <w:ind w:left="2830" w:hanging="360"/>
      </w:pPr>
    </w:lvl>
    <w:lvl w:ilvl="4" w:tplc="480A0019" w:tentative="1">
      <w:start w:val="1"/>
      <w:numFmt w:val="lowerLetter"/>
      <w:lvlText w:val="%5."/>
      <w:lvlJc w:val="left"/>
      <w:pPr>
        <w:ind w:left="3550" w:hanging="360"/>
      </w:pPr>
    </w:lvl>
    <w:lvl w:ilvl="5" w:tplc="480A001B" w:tentative="1">
      <w:start w:val="1"/>
      <w:numFmt w:val="lowerRoman"/>
      <w:lvlText w:val="%6."/>
      <w:lvlJc w:val="right"/>
      <w:pPr>
        <w:ind w:left="4270" w:hanging="180"/>
      </w:pPr>
    </w:lvl>
    <w:lvl w:ilvl="6" w:tplc="480A000F" w:tentative="1">
      <w:start w:val="1"/>
      <w:numFmt w:val="decimal"/>
      <w:lvlText w:val="%7."/>
      <w:lvlJc w:val="left"/>
      <w:pPr>
        <w:ind w:left="4990" w:hanging="360"/>
      </w:pPr>
    </w:lvl>
    <w:lvl w:ilvl="7" w:tplc="480A0019" w:tentative="1">
      <w:start w:val="1"/>
      <w:numFmt w:val="lowerLetter"/>
      <w:lvlText w:val="%8."/>
      <w:lvlJc w:val="left"/>
      <w:pPr>
        <w:ind w:left="5710" w:hanging="360"/>
      </w:pPr>
    </w:lvl>
    <w:lvl w:ilvl="8" w:tplc="480A001B" w:tentative="1">
      <w:start w:val="1"/>
      <w:numFmt w:val="lowerRoman"/>
      <w:lvlText w:val="%9."/>
      <w:lvlJc w:val="right"/>
      <w:pPr>
        <w:ind w:left="6430" w:hanging="180"/>
      </w:pPr>
    </w:lvl>
  </w:abstractNum>
  <w:abstractNum w:abstractNumId="65" w15:restartNumberingAfterBreak="0">
    <w:nsid w:val="308B0E40"/>
    <w:multiLevelType w:val="hybridMultilevel"/>
    <w:tmpl w:val="EBC8E9D8"/>
    <w:lvl w:ilvl="0" w:tplc="91BC7F72">
      <w:start w:val="1"/>
      <w:numFmt w:val="lowerLetter"/>
      <w:lvlText w:val="%1."/>
      <w:lvlJc w:val="left"/>
      <w:pPr>
        <w:ind w:left="720" w:hanging="360"/>
      </w:pPr>
      <w:rPr>
        <w:rFonts w:hint="default"/>
        <w:b w:val="0"/>
        <w:i w:val="0"/>
        <w:color w:val="auto"/>
      </w:rPr>
    </w:lvl>
    <w:lvl w:ilvl="1" w:tplc="2F46E12A">
      <w:numFmt w:val="bullet"/>
      <w:lvlText w:val="-"/>
      <w:lvlJc w:val="left"/>
      <w:pPr>
        <w:ind w:left="1470" w:hanging="39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14C6013"/>
    <w:multiLevelType w:val="multilevel"/>
    <w:tmpl w:val="287A1364"/>
    <w:lvl w:ilvl="0">
      <w:start w:val="1"/>
      <w:numFmt w:val="decimal"/>
      <w:lvlText w:val="%1."/>
      <w:lvlJc w:val="left"/>
      <w:pPr>
        <w:ind w:left="720" w:hanging="360"/>
      </w:pPr>
      <w:rPr>
        <w:color w:val="FF0000"/>
      </w:r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20A6F02"/>
    <w:multiLevelType w:val="hybridMultilevel"/>
    <w:tmpl w:val="01D6C88E"/>
    <w:lvl w:ilvl="0" w:tplc="71FA066A">
      <w:start w:val="1"/>
      <w:numFmt w:val="lowerLetter"/>
      <w:lvlText w:val="%1."/>
      <w:lvlJc w:val="left"/>
      <w:pPr>
        <w:ind w:left="361" w:hanging="360"/>
      </w:pPr>
      <w:rPr>
        <w:color w:val="auto"/>
      </w:rPr>
    </w:lvl>
    <w:lvl w:ilvl="1" w:tplc="480A0019" w:tentative="1">
      <w:start w:val="1"/>
      <w:numFmt w:val="lowerLetter"/>
      <w:lvlText w:val="%2."/>
      <w:lvlJc w:val="left"/>
      <w:pPr>
        <w:ind w:left="1081" w:hanging="360"/>
      </w:pPr>
    </w:lvl>
    <w:lvl w:ilvl="2" w:tplc="480A001B" w:tentative="1">
      <w:start w:val="1"/>
      <w:numFmt w:val="lowerRoman"/>
      <w:lvlText w:val="%3."/>
      <w:lvlJc w:val="right"/>
      <w:pPr>
        <w:ind w:left="1801" w:hanging="180"/>
      </w:pPr>
    </w:lvl>
    <w:lvl w:ilvl="3" w:tplc="480A000F" w:tentative="1">
      <w:start w:val="1"/>
      <w:numFmt w:val="decimal"/>
      <w:lvlText w:val="%4."/>
      <w:lvlJc w:val="left"/>
      <w:pPr>
        <w:ind w:left="2521" w:hanging="360"/>
      </w:pPr>
    </w:lvl>
    <w:lvl w:ilvl="4" w:tplc="480A0019" w:tentative="1">
      <w:start w:val="1"/>
      <w:numFmt w:val="lowerLetter"/>
      <w:lvlText w:val="%5."/>
      <w:lvlJc w:val="left"/>
      <w:pPr>
        <w:ind w:left="3241" w:hanging="360"/>
      </w:pPr>
    </w:lvl>
    <w:lvl w:ilvl="5" w:tplc="480A001B" w:tentative="1">
      <w:start w:val="1"/>
      <w:numFmt w:val="lowerRoman"/>
      <w:lvlText w:val="%6."/>
      <w:lvlJc w:val="right"/>
      <w:pPr>
        <w:ind w:left="3961" w:hanging="180"/>
      </w:pPr>
    </w:lvl>
    <w:lvl w:ilvl="6" w:tplc="480A000F" w:tentative="1">
      <w:start w:val="1"/>
      <w:numFmt w:val="decimal"/>
      <w:lvlText w:val="%7."/>
      <w:lvlJc w:val="left"/>
      <w:pPr>
        <w:ind w:left="4681" w:hanging="360"/>
      </w:pPr>
    </w:lvl>
    <w:lvl w:ilvl="7" w:tplc="480A0019" w:tentative="1">
      <w:start w:val="1"/>
      <w:numFmt w:val="lowerLetter"/>
      <w:lvlText w:val="%8."/>
      <w:lvlJc w:val="left"/>
      <w:pPr>
        <w:ind w:left="5401" w:hanging="360"/>
      </w:pPr>
    </w:lvl>
    <w:lvl w:ilvl="8" w:tplc="480A001B" w:tentative="1">
      <w:start w:val="1"/>
      <w:numFmt w:val="lowerRoman"/>
      <w:lvlText w:val="%9."/>
      <w:lvlJc w:val="right"/>
      <w:pPr>
        <w:ind w:left="6121" w:hanging="180"/>
      </w:pPr>
    </w:lvl>
  </w:abstractNum>
  <w:abstractNum w:abstractNumId="68" w15:restartNumberingAfterBreak="0">
    <w:nsid w:val="3270421C"/>
    <w:multiLevelType w:val="hybridMultilevel"/>
    <w:tmpl w:val="FC2EFB32"/>
    <w:lvl w:ilvl="0" w:tplc="4C0A0001">
      <w:start w:val="1"/>
      <w:numFmt w:val="bullet"/>
      <w:lvlText w:val=""/>
      <w:lvlJc w:val="left"/>
      <w:pPr>
        <w:ind w:left="1440" w:hanging="360"/>
      </w:pPr>
      <w:rPr>
        <w:rFonts w:ascii="Symbol" w:hAnsi="Symbol"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69" w15:restartNumberingAfterBreak="0">
    <w:nsid w:val="327C6D2B"/>
    <w:multiLevelType w:val="hybridMultilevel"/>
    <w:tmpl w:val="80FA951A"/>
    <w:lvl w:ilvl="0" w:tplc="5454A852">
      <w:numFmt w:val="bullet"/>
      <w:lvlText w:val="•"/>
      <w:lvlJc w:val="left"/>
      <w:pPr>
        <w:ind w:left="720" w:hanging="360"/>
      </w:pPr>
      <w:rPr>
        <w:rFonts w:ascii="Arial Narrow" w:eastAsia="Times New Roman" w:hAnsi="Arial Narrow"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0" w15:restartNumberingAfterBreak="0">
    <w:nsid w:val="330500CE"/>
    <w:multiLevelType w:val="hybridMultilevel"/>
    <w:tmpl w:val="28A8F7CE"/>
    <w:lvl w:ilvl="0" w:tplc="91BC7F72">
      <w:start w:val="1"/>
      <w:numFmt w:val="lowerLetter"/>
      <w:lvlText w:val="%1."/>
      <w:lvlJc w:val="left"/>
      <w:pPr>
        <w:ind w:left="108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1" w15:restartNumberingAfterBreak="0">
    <w:nsid w:val="335169FB"/>
    <w:multiLevelType w:val="hybridMultilevel"/>
    <w:tmpl w:val="C2967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33FE4661"/>
    <w:multiLevelType w:val="hybridMultilevel"/>
    <w:tmpl w:val="38E8ABE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3" w15:restartNumberingAfterBreak="0">
    <w:nsid w:val="34317856"/>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4" w15:restartNumberingAfterBreak="0">
    <w:nsid w:val="355D634C"/>
    <w:multiLevelType w:val="hybridMultilevel"/>
    <w:tmpl w:val="7D64C698"/>
    <w:lvl w:ilvl="0" w:tplc="0C0A0017">
      <w:start w:val="1"/>
      <w:numFmt w:val="bullet"/>
      <w:pStyle w:val="Titulo2"/>
      <w:lvlText w:val=""/>
      <w:lvlJc w:val="left"/>
      <w:pPr>
        <w:tabs>
          <w:tab w:val="num" w:pos="567"/>
        </w:tabs>
        <w:ind w:left="567" w:hanging="567"/>
      </w:pPr>
      <w:rPr>
        <w:rFonts w:ascii="Wingdings 3" w:hAnsi="Wingdings 3"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56360AD"/>
    <w:multiLevelType w:val="hybridMultilevel"/>
    <w:tmpl w:val="2D962584"/>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5C0321D"/>
    <w:multiLevelType w:val="hybridMultilevel"/>
    <w:tmpl w:val="86A27A4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7" w15:restartNumberingAfterBreak="0">
    <w:nsid w:val="35EE3C56"/>
    <w:multiLevelType w:val="hybridMultilevel"/>
    <w:tmpl w:val="A276F1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37224C24"/>
    <w:multiLevelType w:val="multilevel"/>
    <w:tmpl w:val="E0442BFE"/>
    <w:lvl w:ilvl="0">
      <w:start w:val="1"/>
      <w:numFmt w:val="decimal"/>
      <w:lvlText w:val="%1."/>
      <w:lvlJc w:val="left"/>
      <w:pPr>
        <w:ind w:left="1080" w:hanging="360"/>
      </w:p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79" w15:restartNumberingAfterBreak="0">
    <w:nsid w:val="3725389B"/>
    <w:multiLevelType w:val="hybridMultilevel"/>
    <w:tmpl w:val="AC5A92D6"/>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15:restartNumberingAfterBreak="0">
    <w:nsid w:val="39646690"/>
    <w:multiLevelType w:val="hybridMultilevel"/>
    <w:tmpl w:val="DA6ACF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AE1495"/>
    <w:multiLevelType w:val="hybridMultilevel"/>
    <w:tmpl w:val="F11411AE"/>
    <w:lvl w:ilvl="0" w:tplc="480A000F">
      <w:start w:val="1"/>
      <w:numFmt w:val="decimal"/>
      <w:lvlText w:val="%1."/>
      <w:lvlJc w:val="left"/>
      <w:pPr>
        <w:ind w:left="360" w:hanging="360"/>
      </w:pPr>
    </w:lvl>
    <w:lvl w:ilvl="1" w:tplc="98D8088E">
      <w:start w:val="1"/>
      <w:numFmt w:val="lowerLetter"/>
      <w:lvlText w:val="%2."/>
      <w:lvlJc w:val="left"/>
      <w:pPr>
        <w:ind w:left="1440" w:hanging="360"/>
      </w:pPr>
      <w:rPr>
        <w:rFonts w:hint="default"/>
        <w:b w:val="0"/>
        <w:i w:val="0"/>
        <w:color w:val="auto"/>
        <w:sz w:val="24"/>
        <w:szCs w:val="24"/>
        <w:u w:val="none"/>
        <w:lang w:val="es-ES"/>
      </w:r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2" w15:restartNumberingAfterBreak="0">
    <w:nsid w:val="39B336EC"/>
    <w:multiLevelType w:val="hybridMultilevel"/>
    <w:tmpl w:val="3E8E27A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A25589C"/>
    <w:multiLevelType w:val="hybridMultilevel"/>
    <w:tmpl w:val="20E682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B1C6471"/>
    <w:multiLevelType w:val="hybridMultilevel"/>
    <w:tmpl w:val="0AF814DA"/>
    <w:lvl w:ilvl="0" w:tplc="91BC7F72">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5" w15:restartNumberingAfterBreak="0">
    <w:nsid w:val="3C2E701B"/>
    <w:multiLevelType w:val="hybridMultilevel"/>
    <w:tmpl w:val="0222413C"/>
    <w:lvl w:ilvl="0" w:tplc="999A583A">
      <w:start w:val="310"/>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6" w15:restartNumberingAfterBreak="0">
    <w:nsid w:val="3C3050A9"/>
    <w:multiLevelType w:val="multilevel"/>
    <w:tmpl w:val="1F3E0E86"/>
    <w:lvl w:ilvl="0">
      <w:start w:val="1"/>
      <w:numFmt w:val="decimal"/>
      <w:lvlText w:val="%1"/>
      <w:lvlJc w:val="left"/>
      <w:pPr>
        <w:ind w:left="432" w:hanging="432"/>
      </w:pPr>
      <w:rPr>
        <w:rFonts w:hint="default"/>
        <w:lang w:val="es-ES_tradnl"/>
      </w:rPr>
    </w:lvl>
    <w:lvl w:ilvl="1">
      <w:start w:val="1"/>
      <w:numFmt w:val="decimal"/>
      <w:pStyle w:val="Numeraciondeartculos"/>
      <w:lvlText w:val="%1.%2"/>
      <w:lvlJc w:val="left"/>
      <w:pPr>
        <w:ind w:left="216" w:hanging="216"/>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15:restartNumberingAfterBreak="0">
    <w:nsid w:val="3CA70451"/>
    <w:multiLevelType w:val="hybridMultilevel"/>
    <w:tmpl w:val="9E1C0612"/>
    <w:lvl w:ilvl="0" w:tplc="D0C0D024">
      <w:numFmt w:val="bullet"/>
      <w:lvlText w:val="-"/>
      <w:lvlJc w:val="left"/>
      <w:pPr>
        <w:ind w:left="720" w:hanging="360"/>
      </w:pPr>
      <w:rPr>
        <w:rFonts w:ascii="Times New Roman" w:eastAsiaTheme="minorHAnsi" w:hAnsi="Times New Roman" w:cs="Times New Roman"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8" w15:restartNumberingAfterBreak="0">
    <w:nsid w:val="3D384762"/>
    <w:multiLevelType w:val="hybridMultilevel"/>
    <w:tmpl w:val="59D2549A"/>
    <w:lvl w:ilvl="0" w:tplc="F208D30E">
      <w:start w:val="1"/>
      <w:numFmt w:val="decimal"/>
      <w:lvlText w:val="%1."/>
      <w:lvlJc w:val="left"/>
      <w:pPr>
        <w:ind w:left="1065" w:hanging="705"/>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9" w15:restartNumberingAfterBreak="0">
    <w:nsid w:val="3D9E11B2"/>
    <w:multiLevelType w:val="hybridMultilevel"/>
    <w:tmpl w:val="3E76C004"/>
    <w:lvl w:ilvl="0" w:tplc="91BC7F7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DB80698"/>
    <w:multiLevelType w:val="hybridMultilevel"/>
    <w:tmpl w:val="33B03F9A"/>
    <w:lvl w:ilvl="0" w:tplc="66DC896E">
      <w:start w:val="1"/>
      <w:numFmt w:val="upperLetter"/>
      <w:lvlText w:val="%1."/>
      <w:lvlJc w:val="left"/>
      <w:pPr>
        <w:ind w:left="720" w:hanging="360"/>
      </w:pPr>
      <w:rPr>
        <w:rFonts w:asciiTheme="minorHAnsi" w:hAnsiTheme="minorHAnsi" w:cstheme="minorHAnsi" w:hint="default"/>
        <w:b/>
        <w:i w:val="0"/>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1" w15:restartNumberingAfterBreak="0">
    <w:nsid w:val="3DDF5B79"/>
    <w:multiLevelType w:val="multilevel"/>
    <w:tmpl w:val="6A6C45D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92" w15:restartNumberingAfterBreak="0">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3E172C84"/>
    <w:multiLevelType w:val="hybridMultilevel"/>
    <w:tmpl w:val="0B9CA2C0"/>
    <w:lvl w:ilvl="0" w:tplc="580A0015">
      <w:start w:val="1"/>
      <w:numFmt w:val="upp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4" w15:restartNumberingAfterBreak="0">
    <w:nsid w:val="3E8374EC"/>
    <w:multiLevelType w:val="multilevel"/>
    <w:tmpl w:val="AE28D274"/>
    <w:lvl w:ilvl="0">
      <w:start w:val="1"/>
      <w:numFmt w:val="lowerLetter"/>
      <w:lvlText w:val="%1."/>
      <w:lvlJc w:val="left"/>
      <w:pPr>
        <w:ind w:left="720" w:hanging="360"/>
      </w:pPr>
      <w:rPr>
        <w:rFonts w:hint="default"/>
        <w:i w:val="0"/>
        <w:color w:val="auto"/>
      </w:rPr>
    </w:lvl>
    <w:lvl w:ilvl="1">
      <w:start w:val="1"/>
      <w:numFmt w:val="lowerLetter"/>
      <w:lvlText w:val="%2)"/>
      <w:lvlJc w:val="left"/>
      <w:pPr>
        <w:ind w:left="1080" w:hanging="360"/>
      </w:pPr>
    </w:lvl>
    <w:lvl w:ilvl="2">
      <w:start w:val="1"/>
      <w:numFmt w:val="decimal"/>
      <w:lvlText w:val="%3."/>
      <w:lvlJc w:val="left"/>
      <w:pPr>
        <w:ind w:left="1440" w:hanging="360"/>
      </w:pPr>
      <w:rPr>
        <w:rFonts w:hint="default"/>
        <w:sz w:val="22"/>
      </w:rPr>
    </w:lvl>
    <w:lvl w:ilvl="3">
      <w:start w:val="1"/>
      <w:numFmt w:val="decimal"/>
      <w:lvlText w:val="(%4)"/>
      <w:lvlJc w:val="left"/>
      <w:pPr>
        <w:ind w:left="1800" w:hanging="360"/>
      </w:pPr>
      <w:rPr>
        <w:rFonts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5" w15:restartNumberingAfterBreak="0">
    <w:nsid w:val="3E98099B"/>
    <w:multiLevelType w:val="hybridMultilevel"/>
    <w:tmpl w:val="28A21E46"/>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6" w15:restartNumberingAfterBreak="0">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97" w15:restartNumberingAfterBreak="0">
    <w:nsid w:val="3EE51299"/>
    <w:multiLevelType w:val="hybridMultilevel"/>
    <w:tmpl w:val="76C87322"/>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21B0B1BA">
      <w:start w:val="1"/>
      <w:numFmt w:val="decimal"/>
      <w:lvlText w:val="%3."/>
      <w:lvlJc w:val="left"/>
      <w:pPr>
        <w:ind w:left="2543" w:hanging="360"/>
      </w:pPr>
      <w:rPr>
        <w:rFonts w:hint="default"/>
      </w:rPr>
    </w:lvl>
    <w:lvl w:ilvl="3" w:tplc="005418A2">
      <w:start w:val="1"/>
      <w:numFmt w:val="upperLetter"/>
      <w:lvlText w:val="%4."/>
      <w:lvlJc w:val="left"/>
      <w:pPr>
        <w:ind w:left="3083" w:hanging="360"/>
      </w:pPr>
      <w:rPr>
        <w:rFonts w:hint="default"/>
      </w:rPr>
    </w:lvl>
    <w:lvl w:ilvl="4" w:tplc="91BC7F72">
      <w:start w:val="1"/>
      <w:numFmt w:val="lowerLetter"/>
      <w:lvlText w:val="%5."/>
      <w:lvlJc w:val="left"/>
      <w:pPr>
        <w:ind w:left="3803" w:hanging="360"/>
      </w:pPr>
      <w:rPr>
        <w:rFonts w:hint="default"/>
      </w:r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98" w15:restartNumberingAfterBreak="0">
    <w:nsid w:val="3F24046B"/>
    <w:multiLevelType w:val="hybridMultilevel"/>
    <w:tmpl w:val="F544B1C2"/>
    <w:styleLink w:val="Estilo111"/>
    <w:lvl w:ilvl="0" w:tplc="DA98A560">
      <w:start w:val="1"/>
      <w:numFmt w:val="upperLetter"/>
      <w:pStyle w:val="IAO1"/>
      <w:lvlText w:val="%1."/>
      <w:lvlJc w:val="left"/>
      <w:pPr>
        <w:ind w:left="720" w:hanging="360"/>
      </w:pPr>
      <w:rPr>
        <w:rFonts w:hint="default"/>
        <w:b/>
        <w:color w:val="FFFFFF" w:themeColor="background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9" w15:restartNumberingAfterBreak="0">
    <w:nsid w:val="3F3B0A48"/>
    <w:multiLevelType w:val="hybridMultilevel"/>
    <w:tmpl w:val="425657C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0" w15:restartNumberingAfterBreak="0">
    <w:nsid w:val="3F501892"/>
    <w:multiLevelType w:val="multilevel"/>
    <w:tmpl w:val="924A8C8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01" w15:restartNumberingAfterBreak="0">
    <w:nsid w:val="3FBC4812"/>
    <w:multiLevelType w:val="hybridMultilevel"/>
    <w:tmpl w:val="8766B494"/>
    <w:lvl w:ilvl="0" w:tplc="0BE220E0">
      <w:start w:val="1"/>
      <w:numFmt w:val="decimal"/>
      <w:lvlText w:val="%1)"/>
      <w:lvlJc w:val="left"/>
      <w:pPr>
        <w:tabs>
          <w:tab w:val="num" w:pos="720"/>
        </w:tabs>
        <w:ind w:left="720" w:hanging="360"/>
      </w:pPr>
      <w:rPr>
        <w:rFonts w:hint="default"/>
        <w:b/>
      </w:rPr>
    </w:lvl>
    <w:lvl w:ilvl="1" w:tplc="4C0A0019" w:tentative="1">
      <w:start w:val="1"/>
      <w:numFmt w:val="lowerLetter"/>
      <w:lvlText w:val="%2."/>
      <w:lvlJc w:val="left"/>
      <w:pPr>
        <w:tabs>
          <w:tab w:val="num" w:pos="1440"/>
        </w:tabs>
        <w:ind w:left="1440" w:hanging="360"/>
      </w:pPr>
    </w:lvl>
    <w:lvl w:ilvl="2" w:tplc="4C0A001B" w:tentative="1">
      <w:start w:val="1"/>
      <w:numFmt w:val="lowerRoman"/>
      <w:lvlText w:val="%3."/>
      <w:lvlJc w:val="right"/>
      <w:pPr>
        <w:tabs>
          <w:tab w:val="num" w:pos="2160"/>
        </w:tabs>
        <w:ind w:left="2160" w:hanging="180"/>
      </w:pPr>
    </w:lvl>
    <w:lvl w:ilvl="3" w:tplc="4C0A000F" w:tentative="1">
      <w:start w:val="1"/>
      <w:numFmt w:val="decimal"/>
      <w:lvlText w:val="%4."/>
      <w:lvlJc w:val="left"/>
      <w:pPr>
        <w:tabs>
          <w:tab w:val="num" w:pos="2880"/>
        </w:tabs>
        <w:ind w:left="2880" w:hanging="360"/>
      </w:pPr>
    </w:lvl>
    <w:lvl w:ilvl="4" w:tplc="4C0A0019" w:tentative="1">
      <w:start w:val="1"/>
      <w:numFmt w:val="lowerLetter"/>
      <w:lvlText w:val="%5."/>
      <w:lvlJc w:val="left"/>
      <w:pPr>
        <w:tabs>
          <w:tab w:val="num" w:pos="3600"/>
        </w:tabs>
        <w:ind w:left="3600" w:hanging="360"/>
      </w:pPr>
    </w:lvl>
    <w:lvl w:ilvl="5" w:tplc="4C0A001B" w:tentative="1">
      <w:start w:val="1"/>
      <w:numFmt w:val="lowerRoman"/>
      <w:lvlText w:val="%6."/>
      <w:lvlJc w:val="right"/>
      <w:pPr>
        <w:tabs>
          <w:tab w:val="num" w:pos="4320"/>
        </w:tabs>
        <w:ind w:left="4320" w:hanging="180"/>
      </w:pPr>
    </w:lvl>
    <w:lvl w:ilvl="6" w:tplc="4C0A000F" w:tentative="1">
      <w:start w:val="1"/>
      <w:numFmt w:val="decimal"/>
      <w:lvlText w:val="%7."/>
      <w:lvlJc w:val="left"/>
      <w:pPr>
        <w:tabs>
          <w:tab w:val="num" w:pos="5040"/>
        </w:tabs>
        <w:ind w:left="5040" w:hanging="360"/>
      </w:pPr>
    </w:lvl>
    <w:lvl w:ilvl="7" w:tplc="4C0A0019" w:tentative="1">
      <w:start w:val="1"/>
      <w:numFmt w:val="lowerLetter"/>
      <w:lvlText w:val="%8."/>
      <w:lvlJc w:val="left"/>
      <w:pPr>
        <w:tabs>
          <w:tab w:val="num" w:pos="5760"/>
        </w:tabs>
        <w:ind w:left="5760" w:hanging="360"/>
      </w:pPr>
    </w:lvl>
    <w:lvl w:ilvl="8" w:tplc="4C0A001B" w:tentative="1">
      <w:start w:val="1"/>
      <w:numFmt w:val="lowerRoman"/>
      <w:lvlText w:val="%9."/>
      <w:lvlJc w:val="right"/>
      <w:pPr>
        <w:tabs>
          <w:tab w:val="num" w:pos="6480"/>
        </w:tabs>
        <w:ind w:left="6480" w:hanging="180"/>
      </w:pPr>
    </w:lvl>
  </w:abstractNum>
  <w:abstractNum w:abstractNumId="102" w15:restartNumberingAfterBreak="0">
    <w:nsid w:val="419E1181"/>
    <w:multiLevelType w:val="hybridMultilevel"/>
    <w:tmpl w:val="554E24F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3" w15:restartNumberingAfterBreak="0">
    <w:nsid w:val="42027711"/>
    <w:multiLevelType w:val="hybridMultilevel"/>
    <w:tmpl w:val="56904D3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4" w15:restartNumberingAfterBreak="0">
    <w:nsid w:val="42253948"/>
    <w:multiLevelType w:val="hybridMultilevel"/>
    <w:tmpl w:val="64E4E36A"/>
    <w:lvl w:ilvl="0" w:tplc="04090019">
      <w:start w:val="1"/>
      <w:numFmt w:val="lowerLetter"/>
      <w:lvlText w:val="%1."/>
      <w:lvlJc w:val="left"/>
      <w:pPr>
        <w:ind w:left="990" w:hanging="360"/>
      </w:pPr>
    </w:lvl>
    <w:lvl w:ilvl="1" w:tplc="480A0019" w:tentative="1">
      <w:start w:val="1"/>
      <w:numFmt w:val="lowerLetter"/>
      <w:lvlText w:val="%2."/>
      <w:lvlJc w:val="left"/>
      <w:pPr>
        <w:ind w:left="1710" w:hanging="360"/>
      </w:pPr>
    </w:lvl>
    <w:lvl w:ilvl="2" w:tplc="480A001B" w:tentative="1">
      <w:start w:val="1"/>
      <w:numFmt w:val="lowerRoman"/>
      <w:lvlText w:val="%3."/>
      <w:lvlJc w:val="right"/>
      <w:pPr>
        <w:ind w:left="2430" w:hanging="180"/>
      </w:pPr>
    </w:lvl>
    <w:lvl w:ilvl="3" w:tplc="480A000F" w:tentative="1">
      <w:start w:val="1"/>
      <w:numFmt w:val="decimal"/>
      <w:lvlText w:val="%4."/>
      <w:lvlJc w:val="left"/>
      <w:pPr>
        <w:ind w:left="3150" w:hanging="360"/>
      </w:pPr>
    </w:lvl>
    <w:lvl w:ilvl="4" w:tplc="480A0019" w:tentative="1">
      <w:start w:val="1"/>
      <w:numFmt w:val="lowerLetter"/>
      <w:lvlText w:val="%5."/>
      <w:lvlJc w:val="left"/>
      <w:pPr>
        <w:ind w:left="3870" w:hanging="360"/>
      </w:pPr>
    </w:lvl>
    <w:lvl w:ilvl="5" w:tplc="480A001B" w:tentative="1">
      <w:start w:val="1"/>
      <w:numFmt w:val="lowerRoman"/>
      <w:lvlText w:val="%6."/>
      <w:lvlJc w:val="right"/>
      <w:pPr>
        <w:ind w:left="4590" w:hanging="180"/>
      </w:pPr>
    </w:lvl>
    <w:lvl w:ilvl="6" w:tplc="480A000F" w:tentative="1">
      <w:start w:val="1"/>
      <w:numFmt w:val="decimal"/>
      <w:lvlText w:val="%7."/>
      <w:lvlJc w:val="left"/>
      <w:pPr>
        <w:ind w:left="5310" w:hanging="360"/>
      </w:pPr>
    </w:lvl>
    <w:lvl w:ilvl="7" w:tplc="480A0019" w:tentative="1">
      <w:start w:val="1"/>
      <w:numFmt w:val="lowerLetter"/>
      <w:lvlText w:val="%8."/>
      <w:lvlJc w:val="left"/>
      <w:pPr>
        <w:ind w:left="6030" w:hanging="360"/>
      </w:pPr>
    </w:lvl>
    <w:lvl w:ilvl="8" w:tplc="480A001B" w:tentative="1">
      <w:start w:val="1"/>
      <w:numFmt w:val="lowerRoman"/>
      <w:lvlText w:val="%9."/>
      <w:lvlJc w:val="right"/>
      <w:pPr>
        <w:ind w:left="6750" w:hanging="180"/>
      </w:pPr>
    </w:lvl>
  </w:abstractNum>
  <w:abstractNum w:abstractNumId="105" w15:restartNumberingAfterBreak="0">
    <w:nsid w:val="42B2775C"/>
    <w:multiLevelType w:val="hybridMultilevel"/>
    <w:tmpl w:val="62AE2044"/>
    <w:lvl w:ilvl="0" w:tplc="0C0A0019">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3000FCF"/>
    <w:multiLevelType w:val="hybridMultilevel"/>
    <w:tmpl w:val="5F549BB4"/>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7" w15:restartNumberingAfterBreak="0">
    <w:nsid w:val="43B2379E"/>
    <w:multiLevelType w:val="multilevel"/>
    <w:tmpl w:val="D8C20DB8"/>
    <w:lvl w:ilvl="0">
      <w:start w:val="1"/>
      <w:numFmt w:val="lowerLetter"/>
      <w:lvlText w:val="%1."/>
      <w:lvlJc w:val="left"/>
      <w:pPr>
        <w:ind w:left="360" w:hanging="360"/>
      </w:pPr>
      <w:rPr>
        <w:rFonts w:hint="default"/>
        <w:i w:val="0"/>
        <w:color w:val="auto"/>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4855BBF"/>
    <w:multiLevelType w:val="hybridMultilevel"/>
    <w:tmpl w:val="FEB2A52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4492497D"/>
    <w:multiLevelType w:val="hybridMultilevel"/>
    <w:tmpl w:val="A7D056F6"/>
    <w:lvl w:ilvl="0" w:tplc="AC828B4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0" w15:restartNumberingAfterBreak="0">
    <w:nsid w:val="4496728D"/>
    <w:multiLevelType w:val="hybridMultilevel"/>
    <w:tmpl w:val="A7B8C57E"/>
    <w:lvl w:ilvl="0" w:tplc="4C0A0001">
      <w:start w:val="1"/>
      <w:numFmt w:val="bullet"/>
      <w:lvlText w:val=""/>
      <w:lvlJc w:val="left"/>
      <w:pPr>
        <w:ind w:left="862" w:hanging="360"/>
      </w:pPr>
      <w:rPr>
        <w:rFonts w:ascii="Symbol" w:hAnsi="Symbol" w:hint="default"/>
      </w:rPr>
    </w:lvl>
    <w:lvl w:ilvl="1" w:tplc="4C0A0003" w:tentative="1">
      <w:start w:val="1"/>
      <w:numFmt w:val="bullet"/>
      <w:lvlText w:val="o"/>
      <w:lvlJc w:val="left"/>
      <w:pPr>
        <w:ind w:left="1582" w:hanging="360"/>
      </w:pPr>
      <w:rPr>
        <w:rFonts w:ascii="Courier New" w:hAnsi="Courier New" w:cs="Courier New" w:hint="default"/>
      </w:rPr>
    </w:lvl>
    <w:lvl w:ilvl="2" w:tplc="4C0A0005" w:tentative="1">
      <w:start w:val="1"/>
      <w:numFmt w:val="bullet"/>
      <w:lvlText w:val=""/>
      <w:lvlJc w:val="left"/>
      <w:pPr>
        <w:ind w:left="2302" w:hanging="360"/>
      </w:pPr>
      <w:rPr>
        <w:rFonts w:ascii="Wingdings" w:hAnsi="Wingdings" w:hint="default"/>
      </w:rPr>
    </w:lvl>
    <w:lvl w:ilvl="3" w:tplc="4C0A0001" w:tentative="1">
      <w:start w:val="1"/>
      <w:numFmt w:val="bullet"/>
      <w:lvlText w:val=""/>
      <w:lvlJc w:val="left"/>
      <w:pPr>
        <w:ind w:left="3022" w:hanging="360"/>
      </w:pPr>
      <w:rPr>
        <w:rFonts w:ascii="Symbol" w:hAnsi="Symbol" w:hint="default"/>
      </w:rPr>
    </w:lvl>
    <w:lvl w:ilvl="4" w:tplc="4C0A0003" w:tentative="1">
      <w:start w:val="1"/>
      <w:numFmt w:val="bullet"/>
      <w:lvlText w:val="o"/>
      <w:lvlJc w:val="left"/>
      <w:pPr>
        <w:ind w:left="3742" w:hanging="360"/>
      </w:pPr>
      <w:rPr>
        <w:rFonts w:ascii="Courier New" w:hAnsi="Courier New" w:cs="Courier New" w:hint="default"/>
      </w:rPr>
    </w:lvl>
    <w:lvl w:ilvl="5" w:tplc="4C0A0005" w:tentative="1">
      <w:start w:val="1"/>
      <w:numFmt w:val="bullet"/>
      <w:lvlText w:val=""/>
      <w:lvlJc w:val="left"/>
      <w:pPr>
        <w:ind w:left="4462" w:hanging="360"/>
      </w:pPr>
      <w:rPr>
        <w:rFonts w:ascii="Wingdings" w:hAnsi="Wingdings" w:hint="default"/>
      </w:rPr>
    </w:lvl>
    <w:lvl w:ilvl="6" w:tplc="4C0A0001" w:tentative="1">
      <w:start w:val="1"/>
      <w:numFmt w:val="bullet"/>
      <w:lvlText w:val=""/>
      <w:lvlJc w:val="left"/>
      <w:pPr>
        <w:ind w:left="5182" w:hanging="360"/>
      </w:pPr>
      <w:rPr>
        <w:rFonts w:ascii="Symbol" w:hAnsi="Symbol" w:hint="default"/>
      </w:rPr>
    </w:lvl>
    <w:lvl w:ilvl="7" w:tplc="4C0A0003" w:tentative="1">
      <w:start w:val="1"/>
      <w:numFmt w:val="bullet"/>
      <w:lvlText w:val="o"/>
      <w:lvlJc w:val="left"/>
      <w:pPr>
        <w:ind w:left="5902" w:hanging="360"/>
      </w:pPr>
      <w:rPr>
        <w:rFonts w:ascii="Courier New" w:hAnsi="Courier New" w:cs="Courier New" w:hint="default"/>
      </w:rPr>
    </w:lvl>
    <w:lvl w:ilvl="8" w:tplc="4C0A0005" w:tentative="1">
      <w:start w:val="1"/>
      <w:numFmt w:val="bullet"/>
      <w:lvlText w:val=""/>
      <w:lvlJc w:val="left"/>
      <w:pPr>
        <w:ind w:left="6622" w:hanging="360"/>
      </w:pPr>
      <w:rPr>
        <w:rFonts w:ascii="Wingdings" w:hAnsi="Wingdings" w:hint="default"/>
      </w:rPr>
    </w:lvl>
  </w:abstractNum>
  <w:abstractNum w:abstractNumId="111" w15:restartNumberingAfterBreak="0">
    <w:nsid w:val="453C4FB6"/>
    <w:multiLevelType w:val="multilevel"/>
    <w:tmpl w:val="AFDC02E6"/>
    <w:lvl w:ilvl="0">
      <w:start w:val="1"/>
      <w:numFmt w:val="upperRoman"/>
      <w:pStyle w:val="TtuloIH"/>
      <w:lvlText w:val="%1.- "/>
      <w:lvlJc w:val="left"/>
      <w:pPr>
        <w:tabs>
          <w:tab w:val="num" w:pos="851"/>
        </w:tabs>
        <w:ind w:left="851" w:hanging="851"/>
      </w:pPr>
      <w:rPr>
        <w:rFonts w:ascii="Verdana" w:hAnsi="Verdana" w:hint="default"/>
        <w:b/>
        <w:i w:val="0"/>
        <w:caps/>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6"/>
        </w:tabs>
        <w:ind w:left="216" w:hanging="576"/>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794"/>
        </w:tabs>
        <w:ind w:left="0" w:hanging="360"/>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112" w15:restartNumberingAfterBreak="0">
    <w:nsid w:val="45E17AE7"/>
    <w:multiLevelType w:val="hybridMultilevel"/>
    <w:tmpl w:val="3E164400"/>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3" w15:restartNumberingAfterBreak="0">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11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48BE52C8"/>
    <w:multiLevelType w:val="multilevel"/>
    <w:tmpl w:val="358CB75A"/>
    <w:lvl w:ilvl="0">
      <w:start w:val="1"/>
      <w:numFmt w:val="lowerLetter"/>
      <w:lvlText w:val="%1."/>
      <w:lvlJc w:val="left"/>
      <w:pPr>
        <w:tabs>
          <w:tab w:val="num" w:pos="1800"/>
        </w:tabs>
        <w:ind w:left="1800" w:hanging="720"/>
      </w:p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16" w15:restartNumberingAfterBreak="0">
    <w:nsid w:val="48C168EC"/>
    <w:multiLevelType w:val="hybridMultilevel"/>
    <w:tmpl w:val="1B9819B2"/>
    <w:lvl w:ilvl="0" w:tplc="57BEACA0">
      <w:start w:val="1"/>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8FF1112"/>
    <w:multiLevelType w:val="hybridMultilevel"/>
    <w:tmpl w:val="CCAEBC12"/>
    <w:lvl w:ilvl="0" w:tplc="580A000F">
      <w:start w:val="1"/>
      <w:numFmt w:val="decimal"/>
      <w:lvlText w:val="%1."/>
      <w:lvlJc w:val="left"/>
      <w:pPr>
        <w:ind w:left="360" w:hanging="360"/>
      </w:pPr>
    </w:lvl>
    <w:lvl w:ilvl="1" w:tplc="580A0019">
      <w:start w:val="1"/>
      <w:numFmt w:val="lowerLetter"/>
      <w:lvlText w:val="%2."/>
      <w:lvlJc w:val="left"/>
      <w:pPr>
        <w:ind w:left="1080" w:hanging="360"/>
      </w:pPr>
    </w:lvl>
    <w:lvl w:ilvl="2" w:tplc="580A001B">
      <w:start w:val="1"/>
      <w:numFmt w:val="lowerRoman"/>
      <w:lvlText w:val="%3."/>
      <w:lvlJc w:val="right"/>
      <w:pPr>
        <w:ind w:left="1800" w:hanging="180"/>
      </w:pPr>
    </w:lvl>
    <w:lvl w:ilvl="3" w:tplc="580A000F">
      <w:start w:val="1"/>
      <w:numFmt w:val="decimal"/>
      <w:lvlText w:val="%4."/>
      <w:lvlJc w:val="left"/>
      <w:pPr>
        <w:ind w:left="2520" w:hanging="360"/>
      </w:pPr>
    </w:lvl>
    <w:lvl w:ilvl="4" w:tplc="580A0019">
      <w:start w:val="1"/>
      <w:numFmt w:val="lowerLetter"/>
      <w:lvlText w:val="%5."/>
      <w:lvlJc w:val="left"/>
      <w:pPr>
        <w:ind w:left="3240" w:hanging="360"/>
      </w:pPr>
    </w:lvl>
    <w:lvl w:ilvl="5" w:tplc="580A001B">
      <w:start w:val="1"/>
      <w:numFmt w:val="lowerRoman"/>
      <w:lvlText w:val="%6."/>
      <w:lvlJc w:val="right"/>
      <w:pPr>
        <w:ind w:left="3960" w:hanging="180"/>
      </w:pPr>
    </w:lvl>
    <w:lvl w:ilvl="6" w:tplc="580A000F">
      <w:start w:val="1"/>
      <w:numFmt w:val="decimal"/>
      <w:lvlText w:val="%7."/>
      <w:lvlJc w:val="left"/>
      <w:pPr>
        <w:ind w:left="4680" w:hanging="360"/>
      </w:pPr>
    </w:lvl>
    <w:lvl w:ilvl="7" w:tplc="580A0019">
      <w:start w:val="1"/>
      <w:numFmt w:val="lowerLetter"/>
      <w:lvlText w:val="%8."/>
      <w:lvlJc w:val="left"/>
      <w:pPr>
        <w:ind w:left="5400" w:hanging="360"/>
      </w:pPr>
    </w:lvl>
    <w:lvl w:ilvl="8" w:tplc="580A001B">
      <w:start w:val="1"/>
      <w:numFmt w:val="lowerRoman"/>
      <w:lvlText w:val="%9."/>
      <w:lvlJc w:val="right"/>
      <w:pPr>
        <w:ind w:left="6120" w:hanging="180"/>
      </w:pPr>
    </w:lvl>
  </w:abstractNum>
  <w:abstractNum w:abstractNumId="118" w15:restartNumberingAfterBreak="0">
    <w:nsid w:val="49310EB4"/>
    <w:multiLevelType w:val="multilevel"/>
    <w:tmpl w:val="CE0C3052"/>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15:restartNumberingAfterBreak="0">
    <w:nsid w:val="494E02CC"/>
    <w:multiLevelType w:val="multilevel"/>
    <w:tmpl w:val="90F2366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i w:val="0"/>
        <w:color w:val="auto"/>
      </w:rPr>
    </w:lvl>
    <w:lvl w:ilvl="8">
      <w:start w:val="1"/>
      <w:numFmt w:val="lowerRoman"/>
      <w:lvlText w:val="%9."/>
      <w:lvlJc w:val="left"/>
      <w:pPr>
        <w:ind w:left="3240" w:hanging="360"/>
      </w:pPr>
    </w:lvl>
  </w:abstractNum>
  <w:abstractNum w:abstractNumId="120" w15:restartNumberingAfterBreak="0">
    <w:nsid w:val="49E468E5"/>
    <w:multiLevelType w:val="multilevel"/>
    <w:tmpl w:val="6508442C"/>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decimal"/>
      <w:lvlText w:val="%3."/>
      <w:lvlJc w:val="left"/>
      <w:pPr>
        <w:ind w:left="1080" w:hanging="360"/>
      </w:pPr>
      <w:rPr>
        <w:rFonts w:hint="default"/>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A1B3077"/>
    <w:multiLevelType w:val="multilevel"/>
    <w:tmpl w:val="FEE8C43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4A2376F1"/>
    <w:multiLevelType w:val="hybridMultilevel"/>
    <w:tmpl w:val="77F45E0C"/>
    <w:lvl w:ilvl="0" w:tplc="B3322B5A">
      <w:start w:val="1"/>
      <w:numFmt w:val="decimal"/>
      <w:lvlText w:val="%1."/>
      <w:lvlJc w:val="left"/>
      <w:pPr>
        <w:tabs>
          <w:tab w:val="num" w:pos="720"/>
        </w:tabs>
        <w:ind w:left="720" w:hanging="360"/>
      </w:pPr>
    </w:lvl>
    <w:lvl w:ilvl="1" w:tplc="86EEFCDA" w:tentative="1">
      <w:start w:val="1"/>
      <w:numFmt w:val="lowerLetter"/>
      <w:lvlText w:val="%2."/>
      <w:lvlJc w:val="left"/>
      <w:pPr>
        <w:tabs>
          <w:tab w:val="num" w:pos="1440"/>
        </w:tabs>
        <w:ind w:left="1440" w:hanging="360"/>
      </w:pPr>
    </w:lvl>
    <w:lvl w:ilvl="2" w:tplc="EAEC0BAA" w:tentative="1">
      <w:start w:val="1"/>
      <w:numFmt w:val="lowerRoman"/>
      <w:lvlText w:val="%3."/>
      <w:lvlJc w:val="right"/>
      <w:pPr>
        <w:tabs>
          <w:tab w:val="num" w:pos="2160"/>
        </w:tabs>
        <w:ind w:left="2160" w:hanging="180"/>
      </w:pPr>
    </w:lvl>
    <w:lvl w:ilvl="3" w:tplc="E528C02C" w:tentative="1">
      <w:start w:val="1"/>
      <w:numFmt w:val="decimal"/>
      <w:lvlText w:val="%4."/>
      <w:lvlJc w:val="left"/>
      <w:pPr>
        <w:tabs>
          <w:tab w:val="num" w:pos="2880"/>
        </w:tabs>
        <w:ind w:left="2880" w:hanging="360"/>
      </w:pPr>
    </w:lvl>
    <w:lvl w:ilvl="4" w:tplc="0D54B104" w:tentative="1">
      <w:start w:val="1"/>
      <w:numFmt w:val="lowerLetter"/>
      <w:lvlText w:val="%5."/>
      <w:lvlJc w:val="left"/>
      <w:pPr>
        <w:tabs>
          <w:tab w:val="num" w:pos="3600"/>
        </w:tabs>
        <w:ind w:left="3600" w:hanging="360"/>
      </w:pPr>
    </w:lvl>
    <w:lvl w:ilvl="5" w:tplc="5DD2E026" w:tentative="1">
      <w:start w:val="1"/>
      <w:numFmt w:val="lowerRoman"/>
      <w:lvlText w:val="%6."/>
      <w:lvlJc w:val="right"/>
      <w:pPr>
        <w:tabs>
          <w:tab w:val="num" w:pos="4320"/>
        </w:tabs>
        <w:ind w:left="4320" w:hanging="180"/>
      </w:pPr>
    </w:lvl>
    <w:lvl w:ilvl="6" w:tplc="BE26374C" w:tentative="1">
      <w:start w:val="1"/>
      <w:numFmt w:val="decimal"/>
      <w:lvlText w:val="%7."/>
      <w:lvlJc w:val="left"/>
      <w:pPr>
        <w:tabs>
          <w:tab w:val="num" w:pos="5040"/>
        </w:tabs>
        <w:ind w:left="5040" w:hanging="360"/>
      </w:pPr>
    </w:lvl>
    <w:lvl w:ilvl="7" w:tplc="E33045E8" w:tentative="1">
      <w:start w:val="1"/>
      <w:numFmt w:val="lowerLetter"/>
      <w:lvlText w:val="%8."/>
      <w:lvlJc w:val="left"/>
      <w:pPr>
        <w:tabs>
          <w:tab w:val="num" w:pos="5760"/>
        </w:tabs>
        <w:ind w:left="5760" w:hanging="360"/>
      </w:pPr>
    </w:lvl>
    <w:lvl w:ilvl="8" w:tplc="47F4D372" w:tentative="1">
      <w:start w:val="1"/>
      <w:numFmt w:val="lowerRoman"/>
      <w:lvlText w:val="%9."/>
      <w:lvlJc w:val="right"/>
      <w:pPr>
        <w:tabs>
          <w:tab w:val="num" w:pos="6480"/>
        </w:tabs>
        <w:ind w:left="6480" w:hanging="180"/>
      </w:pPr>
    </w:lvl>
  </w:abstractNum>
  <w:abstractNum w:abstractNumId="123" w15:restartNumberingAfterBreak="0">
    <w:nsid w:val="4A8E6BE0"/>
    <w:multiLevelType w:val="hybridMultilevel"/>
    <w:tmpl w:val="81B22648"/>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24" w15:restartNumberingAfterBreak="0">
    <w:nsid w:val="4A9901B5"/>
    <w:multiLevelType w:val="multilevel"/>
    <w:tmpl w:val="79201D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15:restartNumberingAfterBreak="0">
    <w:nsid w:val="4B0D00B9"/>
    <w:multiLevelType w:val="hybridMultilevel"/>
    <w:tmpl w:val="20B41338"/>
    <w:lvl w:ilvl="0" w:tplc="91BC7F72">
      <w:start w:val="1"/>
      <w:numFmt w:val="lowerLetter"/>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6" w15:restartNumberingAfterBreak="0">
    <w:nsid w:val="4B652562"/>
    <w:multiLevelType w:val="hybridMultilevel"/>
    <w:tmpl w:val="D7403BAE"/>
    <w:lvl w:ilvl="0" w:tplc="0C0A0001">
      <w:start w:val="1"/>
      <w:numFmt w:val="bullet"/>
      <w:pStyle w:val="Bullet"/>
      <w:lvlText w:val=""/>
      <w:lvlJc w:val="left"/>
      <w:pPr>
        <w:tabs>
          <w:tab w:val="num" w:pos="1559"/>
        </w:tabs>
        <w:ind w:left="1559" w:hanging="567"/>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C691B35"/>
    <w:multiLevelType w:val="hybridMultilevel"/>
    <w:tmpl w:val="E9FC21FE"/>
    <w:styleLink w:val="Estilo11"/>
    <w:lvl w:ilvl="0" w:tplc="4C0A0001">
      <w:start w:val="1"/>
      <w:numFmt w:val="bullet"/>
      <w:lvlText w:val="●"/>
      <w:lvlJc w:val="left"/>
      <w:pPr>
        <w:tabs>
          <w:tab w:val="num" w:pos="720"/>
        </w:tabs>
        <w:ind w:left="720" w:hanging="360"/>
      </w:pPr>
      <w:rPr>
        <w:rFonts w:ascii="Arial" w:hAnsi="Arial" w:hint="default"/>
      </w:rPr>
    </w:lvl>
    <w:lvl w:ilvl="1" w:tplc="4C0A0003">
      <w:start w:val="1"/>
      <w:numFmt w:val="decimal"/>
      <w:lvlText w:val="%2."/>
      <w:lvlJc w:val="left"/>
      <w:pPr>
        <w:tabs>
          <w:tab w:val="num" w:pos="1440"/>
        </w:tabs>
        <w:ind w:left="1440" w:hanging="360"/>
      </w:pPr>
    </w:lvl>
    <w:lvl w:ilvl="2" w:tplc="4C0A0005">
      <w:start w:val="1"/>
      <w:numFmt w:val="decimal"/>
      <w:lvlText w:val="%3."/>
      <w:lvlJc w:val="left"/>
      <w:pPr>
        <w:tabs>
          <w:tab w:val="num" w:pos="2160"/>
        </w:tabs>
        <w:ind w:left="2160" w:hanging="360"/>
      </w:pPr>
    </w:lvl>
    <w:lvl w:ilvl="3" w:tplc="4C0A0001">
      <w:start w:val="1"/>
      <w:numFmt w:val="decimal"/>
      <w:lvlText w:val="%4."/>
      <w:lvlJc w:val="left"/>
      <w:pPr>
        <w:tabs>
          <w:tab w:val="num" w:pos="2880"/>
        </w:tabs>
        <w:ind w:left="2880" w:hanging="360"/>
      </w:pPr>
    </w:lvl>
    <w:lvl w:ilvl="4" w:tplc="4C0A0003">
      <w:start w:val="1"/>
      <w:numFmt w:val="decimal"/>
      <w:lvlText w:val="%5."/>
      <w:lvlJc w:val="left"/>
      <w:pPr>
        <w:tabs>
          <w:tab w:val="num" w:pos="3600"/>
        </w:tabs>
        <w:ind w:left="3600" w:hanging="360"/>
      </w:pPr>
    </w:lvl>
    <w:lvl w:ilvl="5" w:tplc="4C0A0005">
      <w:start w:val="1"/>
      <w:numFmt w:val="decimal"/>
      <w:lvlText w:val="%6."/>
      <w:lvlJc w:val="left"/>
      <w:pPr>
        <w:tabs>
          <w:tab w:val="num" w:pos="4320"/>
        </w:tabs>
        <w:ind w:left="4320" w:hanging="360"/>
      </w:pPr>
    </w:lvl>
    <w:lvl w:ilvl="6" w:tplc="4C0A0001">
      <w:start w:val="1"/>
      <w:numFmt w:val="decimal"/>
      <w:lvlText w:val="%7."/>
      <w:lvlJc w:val="left"/>
      <w:pPr>
        <w:tabs>
          <w:tab w:val="num" w:pos="5040"/>
        </w:tabs>
        <w:ind w:left="5040" w:hanging="360"/>
      </w:pPr>
    </w:lvl>
    <w:lvl w:ilvl="7" w:tplc="4C0A0003">
      <w:start w:val="1"/>
      <w:numFmt w:val="decimal"/>
      <w:lvlText w:val="%8."/>
      <w:lvlJc w:val="left"/>
      <w:pPr>
        <w:tabs>
          <w:tab w:val="num" w:pos="5760"/>
        </w:tabs>
        <w:ind w:left="5760" w:hanging="360"/>
      </w:pPr>
    </w:lvl>
    <w:lvl w:ilvl="8" w:tplc="4C0A0005">
      <w:start w:val="1"/>
      <w:numFmt w:val="decimal"/>
      <w:lvlText w:val="%9."/>
      <w:lvlJc w:val="left"/>
      <w:pPr>
        <w:tabs>
          <w:tab w:val="num" w:pos="6480"/>
        </w:tabs>
        <w:ind w:left="6480" w:hanging="360"/>
      </w:pPr>
    </w:lvl>
  </w:abstractNum>
  <w:abstractNum w:abstractNumId="128" w15:restartNumberingAfterBreak="0">
    <w:nsid w:val="4CA47556"/>
    <w:multiLevelType w:val="multilevel"/>
    <w:tmpl w:val="8A94C1D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9" w15:restartNumberingAfterBreak="0">
    <w:nsid w:val="4D310686"/>
    <w:multiLevelType w:val="multilevel"/>
    <w:tmpl w:val="1AFC94AE"/>
    <w:lvl w:ilvl="0">
      <w:start w:val="1"/>
      <w:numFmt w:val="lowerLetter"/>
      <w:lvlText w:val="%1."/>
      <w:lvlJc w:val="left"/>
      <w:pPr>
        <w:ind w:left="360" w:hanging="360"/>
      </w:pPr>
      <w:rPr>
        <w:rFonts w:hint="default"/>
        <w:color w:val="FF000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color w:val="FF0000"/>
      </w:rPr>
    </w:lvl>
  </w:abstractNum>
  <w:abstractNum w:abstractNumId="130" w15:restartNumberingAfterBreak="0">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1" w15:restartNumberingAfterBreak="0">
    <w:nsid w:val="4E590495"/>
    <w:multiLevelType w:val="hybridMultilevel"/>
    <w:tmpl w:val="DEE0BB8C"/>
    <w:lvl w:ilvl="0" w:tplc="F05A6DB6">
      <w:start w:val="1"/>
      <w:numFmt w:val="lowerLetter"/>
      <w:lvlText w:val="(%1)"/>
      <w:lvlJc w:val="left"/>
      <w:pPr>
        <w:ind w:left="1440" w:hanging="360"/>
      </w:pPr>
      <w:rPr>
        <w:rFonts w:hint="default"/>
        <w:b w:val="0"/>
        <w:i w:val="0"/>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2"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4F9F5D52"/>
    <w:multiLevelType w:val="hybridMultilevel"/>
    <w:tmpl w:val="D7DCBB5A"/>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15:restartNumberingAfterBreak="0">
    <w:nsid w:val="4FDE3062"/>
    <w:multiLevelType w:val="multilevel"/>
    <w:tmpl w:val="CC1C00E8"/>
    <w:lvl w:ilvl="0">
      <w:start w:val="1"/>
      <w:numFmt w:val="decimal"/>
      <w:pStyle w:val="Ttulonormal"/>
      <w:lvlText w:val="%1."/>
      <w:lvlJc w:val="left"/>
      <w:pPr>
        <w:ind w:left="720" w:hanging="360"/>
      </w:pPr>
      <w:rPr>
        <w:rFonts w:hint="default"/>
        <w:b/>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520E3D00"/>
    <w:multiLevelType w:val="hybridMultilevel"/>
    <w:tmpl w:val="11D6C458"/>
    <w:lvl w:ilvl="0" w:tplc="5454A852">
      <w:numFmt w:val="bullet"/>
      <w:lvlText w:val="•"/>
      <w:lvlJc w:val="left"/>
      <w:pPr>
        <w:ind w:left="502" w:hanging="360"/>
      </w:pPr>
      <w:rPr>
        <w:rFonts w:ascii="Arial Narrow" w:eastAsia="Times New Roman" w:hAnsi="Arial Narrow" w:cs="Arial" w:hint="default"/>
      </w:rPr>
    </w:lvl>
    <w:lvl w:ilvl="1" w:tplc="4C0A0003" w:tentative="1">
      <w:start w:val="1"/>
      <w:numFmt w:val="bullet"/>
      <w:lvlText w:val="o"/>
      <w:lvlJc w:val="left"/>
      <w:pPr>
        <w:ind w:left="1222" w:hanging="360"/>
      </w:pPr>
      <w:rPr>
        <w:rFonts w:ascii="Courier New" w:hAnsi="Courier New" w:cs="Courier New" w:hint="default"/>
      </w:rPr>
    </w:lvl>
    <w:lvl w:ilvl="2" w:tplc="4C0A0005" w:tentative="1">
      <w:start w:val="1"/>
      <w:numFmt w:val="bullet"/>
      <w:lvlText w:val=""/>
      <w:lvlJc w:val="left"/>
      <w:pPr>
        <w:ind w:left="1942" w:hanging="360"/>
      </w:pPr>
      <w:rPr>
        <w:rFonts w:ascii="Wingdings" w:hAnsi="Wingdings" w:hint="default"/>
      </w:rPr>
    </w:lvl>
    <w:lvl w:ilvl="3" w:tplc="4C0A0001" w:tentative="1">
      <w:start w:val="1"/>
      <w:numFmt w:val="bullet"/>
      <w:lvlText w:val=""/>
      <w:lvlJc w:val="left"/>
      <w:pPr>
        <w:ind w:left="2662" w:hanging="360"/>
      </w:pPr>
      <w:rPr>
        <w:rFonts w:ascii="Symbol" w:hAnsi="Symbol" w:hint="default"/>
      </w:rPr>
    </w:lvl>
    <w:lvl w:ilvl="4" w:tplc="4C0A0003" w:tentative="1">
      <w:start w:val="1"/>
      <w:numFmt w:val="bullet"/>
      <w:lvlText w:val="o"/>
      <w:lvlJc w:val="left"/>
      <w:pPr>
        <w:ind w:left="3382" w:hanging="360"/>
      </w:pPr>
      <w:rPr>
        <w:rFonts w:ascii="Courier New" w:hAnsi="Courier New" w:cs="Courier New" w:hint="default"/>
      </w:rPr>
    </w:lvl>
    <w:lvl w:ilvl="5" w:tplc="4C0A0005" w:tentative="1">
      <w:start w:val="1"/>
      <w:numFmt w:val="bullet"/>
      <w:lvlText w:val=""/>
      <w:lvlJc w:val="left"/>
      <w:pPr>
        <w:ind w:left="4102" w:hanging="360"/>
      </w:pPr>
      <w:rPr>
        <w:rFonts w:ascii="Wingdings" w:hAnsi="Wingdings" w:hint="default"/>
      </w:rPr>
    </w:lvl>
    <w:lvl w:ilvl="6" w:tplc="4C0A0001" w:tentative="1">
      <w:start w:val="1"/>
      <w:numFmt w:val="bullet"/>
      <w:lvlText w:val=""/>
      <w:lvlJc w:val="left"/>
      <w:pPr>
        <w:ind w:left="4822" w:hanging="360"/>
      </w:pPr>
      <w:rPr>
        <w:rFonts w:ascii="Symbol" w:hAnsi="Symbol" w:hint="default"/>
      </w:rPr>
    </w:lvl>
    <w:lvl w:ilvl="7" w:tplc="4C0A0003" w:tentative="1">
      <w:start w:val="1"/>
      <w:numFmt w:val="bullet"/>
      <w:lvlText w:val="o"/>
      <w:lvlJc w:val="left"/>
      <w:pPr>
        <w:ind w:left="5542" w:hanging="360"/>
      </w:pPr>
      <w:rPr>
        <w:rFonts w:ascii="Courier New" w:hAnsi="Courier New" w:cs="Courier New" w:hint="default"/>
      </w:rPr>
    </w:lvl>
    <w:lvl w:ilvl="8" w:tplc="4C0A0005" w:tentative="1">
      <w:start w:val="1"/>
      <w:numFmt w:val="bullet"/>
      <w:lvlText w:val=""/>
      <w:lvlJc w:val="left"/>
      <w:pPr>
        <w:ind w:left="6262" w:hanging="360"/>
      </w:pPr>
      <w:rPr>
        <w:rFonts w:ascii="Wingdings" w:hAnsi="Wingdings" w:hint="default"/>
      </w:rPr>
    </w:lvl>
  </w:abstractNum>
  <w:abstractNum w:abstractNumId="136" w15:restartNumberingAfterBreak="0">
    <w:nsid w:val="527A4F1F"/>
    <w:multiLevelType w:val="hybridMultilevel"/>
    <w:tmpl w:val="3A50948E"/>
    <w:lvl w:ilvl="0" w:tplc="F67468C2">
      <w:start w:val="1"/>
      <w:numFmt w:val="lowerLetter"/>
      <w:lvlText w:val="%1."/>
      <w:lvlJc w:val="left"/>
      <w:pPr>
        <w:ind w:left="-270" w:hanging="360"/>
      </w:pPr>
      <w:rPr>
        <w:rFonts w:hint="default"/>
      </w:rPr>
    </w:lvl>
    <w:lvl w:ilvl="1" w:tplc="480A0019" w:tentative="1">
      <w:start w:val="1"/>
      <w:numFmt w:val="lowerLetter"/>
      <w:lvlText w:val="%2."/>
      <w:lvlJc w:val="left"/>
      <w:pPr>
        <w:ind w:left="450" w:hanging="360"/>
      </w:pPr>
    </w:lvl>
    <w:lvl w:ilvl="2" w:tplc="480A001B" w:tentative="1">
      <w:start w:val="1"/>
      <w:numFmt w:val="lowerRoman"/>
      <w:lvlText w:val="%3."/>
      <w:lvlJc w:val="right"/>
      <w:pPr>
        <w:ind w:left="1170" w:hanging="180"/>
      </w:pPr>
    </w:lvl>
    <w:lvl w:ilvl="3" w:tplc="480A000F" w:tentative="1">
      <w:start w:val="1"/>
      <w:numFmt w:val="decimal"/>
      <w:lvlText w:val="%4."/>
      <w:lvlJc w:val="left"/>
      <w:pPr>
        <w:ind w:left="1890" w:hanging="360"/>
      </w:pPr>
    </w:lvl>
    <w:lvl w:ilvl="4" w:tplc="480A0019" w:tentative="1">
      <w:start w:val="1"/>
      <w:numFmt w:val="lowerLetter"/>
      <w:lvlText w:val="%5."/>
      <w:lvlJc w:val="left"/>
      <w:pPr>
        <w:ind w:left="2610" w:hanging="360"/>
      </w:pPr>
    </w:lvl>
    <w:lvl w:ilvl="5" w:tplc="480A001B" w:tentative="1">
      <w:start w:val="1"/>
      <w:numFmt w:val="lowerRoman"/>
      <w:lvlText w:val="%6."/>
      <w:lvlJc w:val="right"/>
      <w:pPr>
        <w:ind w:left="3330" w:hanging="180"/>
      </w:pPr>
    </w:lvl>
    <w:lvl w:ilvl="6" w:tplc="480A000F" w:tentative="1">
      <w:start w:val="1"/>
      <w:numFmt w:val="decimal"/>
      <w:lvlText w:val="%7."/>
      <w:lvlJc w:val="left"/>
      <w:pPr>
        <w:ind w:left="4050" w:hanging="360"/>
      </w:pPr>
    </w:lvl>
    <w:lvl w:ilvl="7" w:tplc="480A0019" w:tentative="1">
      <w:start w:val="1"/>
      <w:numFmt w:val="lowerLetter"/>
      <w:lvlText w:val="%8."/>
      <w:lvlJc w:val="left"/>
      <w:pPr>
        <w:ind w:left="4770" w:hanging="360"/>
      </w:pPr>
    </w:lvl>
    <w:lvl w:ilvl="8" w:tplc="480A001B" w:tentative="1">
      <w:start w:val="1"/>
      <w:numFmt w:val="lowerRoman"/>
      <w:lvlText w:val="%9."/>
      <w:lvlJc w:val="right"/>
      <w:pPr>
        <w:ind w:left="5490" w:hanging="180"/>
      </w:pPr>
    </w:lvl>
  </w:abstractNum>
  <w:abstractNum w:abstractNumId="137" w15:restartNumberingAfterBreak="0">
    <w:nsid w:val="53AB0969"/>
    <w:multiLevelType w:val="hybridMultilevel"/>
    <w:tmpl w:val="62D0397E"/>
    <w:lvl w:ilvl="0" w:tplc="FFFFFFFF">
      <w:start w:val="1"/>
      <w:numFmt w:val="decimal"/>
      <w:pStyle w:val="Chapter"/>
      <w:lvlText w:val="%1."/>
      <w:lvlJc w:val="left"/>
      <w:pPr>
        <w:tabs>
          <w:tab w:val="num" w:pos="720"/>
        </w:tabs>
        <w:ind w:left="720" w:hanging="360"/>
      </w:pPr>
    </w:lvl>
    <w:lvl w:ilvl="1" w:tplc="FFFFFFFF">
      <w:start w:val="1"/>
      <w:numFmt w:val="bullet"/>
      <w:pStyle w:val="Paragraph"/>
      <w:lvlText w:val=""/>
      <w:lvlJc w:val="left"/>
      <w:pPr>
        <w:tabs>
          <w:tab w:val="num" w:pos="1440"/>
        </w:tabs>
        <w:ind w:left="1440" w:hanging="360"/>
      </w:pPr>
      <w:rPr>
        <w:rFonts w:ascii="Symbol" w:hAnsi="Symbol" w:cs="Symbol" w:hint="default"/>
      </w:rPr>
    </w:lvl>
    <w:lvl w:ilvl="2" w:tplc="FFFFFFFF">
      <w:start w:val="1"/>
      <w:numFmt w:val="upperLetter"/>
      <w:lvlText w:val="%3."/>
      <w:lvlJc w:val="left"/>
      <w:pPr>
        <w:tabs>
          <w:tab w:val="num" w:pos="2340"/>
        </w:tabs>
        <w:ind w:left="2340" w:hanging="360"/>
      </w:pPr>
      <w:rPr>
        <w:rFonts w:hint="default"/>
        <w:b/>
        <w:bCs/>
        <w:sz w:val="22"/>
        <w:szCs w:val="22"/>
      </w:rPr>
    </w:lvl>
    <w:lvl w:ilvl="3" w:tplc="FFFFFFFF">
      <w:start w:val="1"/>
      <w:numFmt w:val="bullet"/>
      <w:lvlText w:val=""/>
      <w:lvlJc w:val="left"/>
      <w:pPr>
        <w:tabs>
          <w:tab w:val="num" w:pos="2880"/>
        </w:tabs>
        <w:ind w:left="2880" w:hanging="360"/>
      </w:pPr>
      <w:rPr>
        <w:rFonts w:ascii="Wingdings" w:hAnsi="Wingdings" w:cs="Wingdings"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8" w15:restartNumberingAfterBreak="0">
    <w:nsid w:val="54BA322A"/>
    <w:multiLevelType w:val="hybridMultilevel"/>
    <w:tmpl w:val="DE26E786"/>
    <w:lvl w:ilvl="0" w:tplc="480A0019">
      <w:start w:val="1"/>
      <w:numFmt w:val="lowerLetter"/>
      <w:lvlText w:val="%1."/>
      <w:lvlJc w:val="left"/>
      <w:pPr>
        <w:ind w:left="252" w:hanging="360"/>
      </w:pPr>
      <w:rPr>
        <w:rFonts w:hint="default"/>
      </w:rPr>
    </w:lvl>
    <w:lvl w:ilvl="1" w:tplc="480A0019" w:tentative="1">
      <w:start w:val="1"/>
      <w:numFmt w:val="lowerLetter"/>
      <w:lvlText w:val="%2."/>
      <w:lvlJc w:val="left"/>
      <w:pPr>
        <w:ind w:left="972" w:hanging="360"/>
      </w:pPr>
    </w:lvl>
    <w:lvl w:ilvl="2" w:tplc="480A001B" w:tentative="1">
      <w:start w:val="1"/>
      <w:numFmt w:val="lowerRoman"/>
      <w:lvlText w:val="%3."/>
      <w:lvlJc w:val="right"/>
      <w:pPr>
        <w:ind w:left="1692" w:hanging="180"/>
      </w:pPr>
    </w:lvl>
    <w:lvl w:ilvl="3" w:tplc="480A000F" w:tentative="1">
      <w:start w:val="1"/>
      <w:numFmt w:val="decimal"/>
      <w:lvlText w:val="%4."/>
      <w:lvlJc w:val="left"/>
      <w:pPr>
        <w:ind w:left="2412" w:hanging="360"/>
      </w:pPr>
    </w:lvl>
    <w:lvl w:ilvl="4" w:tplc="480A0019" w:tentative="1">
      <w:start w:val="1"/>
      <w:numFmt w:val="lowerLetter"/>
      <w:lvlText w:val="%5."/>
      <w:lvlJc w:val="left"/>
      <w:pPr>
        <w:ind w:left="3132" w:hanging="360"/>
      </w:pPr>
    </w:lvl>
    <w:lvl w:ilvl="5" w:tplc="480A001B" w:tentative="1">
      <w:start w:val="1"/>
      <w:numFmt w:val="lowerRoman"/>
      <w:lvlText w:val="%6."/>
      <w:lvlJc w:val="right"/>
      <w:pPr>
        <w:ind w:left="3852" w:hanging="180"/>
      </w:pPr>
    </w:lvl>
    <w:lvl w:ilvl="6" w:tplc="480A000F" w:tentative="1">
      <w:start w:val="1"/>
      <w:numFmt w:val="decimal"/>
      <w:lvlText w:val="%7."/>
      <w:lvlJc w:val="left"/>
      <w:pPr>
        <w:ind w:left="4572" w:hanging="360"/>
      </w:pPr>
    </w:lvl>
    <w:lvl w:ilvl="7" w:tplc="480A0019" w:tentative="1">
      <w:start w:val="1"/>
      <w:numFmt w:val="lowerLetter"/>
      <w:lvlText w:val="%8."/>
      <w:lvlJc w:val="left"/>
      <w:pPr>
        <w:ind w:left="5292" w:hanging="360"/>
      </w:pPr>
    </w:lvl>
    <w:lvl w:ilvl="8" w:tplc="480A001B" w:tentative="1">
      <w:start w:val="1"/>
      <w:numFmt w:val="lowerRoman"/>
      <w:lvlText w:val="%9."/>
      <w:lvlJc w:val="right"/>
      <w:pPr>
        <w:ind w:left="6012" w:hanging="180"/>
      </w:pPr>
    </w:lvl>
  </w:abstractNum>
  <w:abstractNum w:abstractNumId="139" w15:restartNumberingAfterBreak="0">
    <w:nsid w:val="54E05D71"/>
    <w:multiLevelType w:val="hybridMultilevel"/>
    <w:tmpl w:val="F40E6F32"/>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0" w15:restartNumberingAfterBreak="0">
    <w:nsid w:val="55403D29"/>
    <w:multiLevelType w:val="hybridMultilevel"/>
    <w:tmpl w:val="D3B2EBCC"/>
    <w:lvl w:ilvl="0" w:tplc="A82888C4">
      <w:start w:val="1"/>
      <w:numFmt w:val="lowerLetter"/>
      <w:lvlText w:val="%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1" w15:restartNumberingAfterBreak="0">
    <w:nsid w:val="55E20F64"/>
    <w:multiLevelType w:val="hybridMultilevel"/>
    <w:tmpl w:val="C24C953E"/>
    <w:lvl w:ilvl="0" w:tplc="0409001B">
      <w:start w:val="1"/>
      <w:numFmt w:val="lowerRoman"/>
      <w:lvlText w:val="%1."/>
      <w:lvlJc w:val="right"/>
      <w:pPr>
        <w:ind w:left="1080" w:hanging="360"/>
      </w:p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42" w15:restartNumberingAfterBreak="0">
    <w:nsid w:val="56525B69"/>
    <w:multiLevelType w:val="hybridMultilevel"/>
    <w:tmpl w:val="1E807F84"/>
    <w:lvl w:ilvl="0" w:tplc="33466814">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571176DC"/>
    <w:multiLevelType w:val="hybridMultilevel"/>
    <w:tmpl w:val="2AE4CE8A"/>
    <w:lvl w:ilvl="0" w:tplc="03344EE2">
      <w:start w:val="1"/>
      <w:numFmt w:val="lowerLetter"/>
      <w:lvlText w:val="%1."/>
      <w:lvlJc w:val="left"/>
      <w:pPr>
        <w:ind w:left="927" w:hanging="360"/>
      </w:pPr>
      <w:rPr>
        <w:rFonts w:hint="default"/>
        <w:color w:val="FF0000"/>
      </w:r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144" w15:restartNumberingAfterBreak="0">
    <w:nsid w:val="572C0CE5"/>
    <w:multiLevelType w:val="hybridMultilevel"/>
    <w:tmpl w:val="44B2AD4A"/>
    <w:lvl w:ilvl="0" w:tplc="7F0C61B4">
      <w:start w:val="1"/>
      <w:numFmt w:val="bullet"/>
      <w:pStyle w:val="FWTAuflistung"/>
      <w:lvlText w:val=""/>
      <w:lvlJc w:val="left"/>
      <w:pPr>
        <w:tabs>
          <w:tab w:val="num" w:pos="1440"/>
        </w:tabs>
        <w:ind w:left="1440" w:hanging="360"/>
      </w:pPr>
      <w:rPr>
        <w:rFonts w:ascii="Symbol" w:hAnsi="Symbol" w:hint="default"/>
        <w:sz w:val="18"/>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start w:val="1"/>
      <w:numFmt w:val="bullet"/>
      <w:lvlText w:val=""/>
      <w:lvlJc w:val="left"/>
      <w:pPr>
        <w:tabs>
          <w:tab w:val="num" w:pos="2880"/>
        </w:tabs>
        <w:ind w:left="2880" w:hanging="360"/>
      </w:pPr>
      <w:rPr>
        <w:rFonts w:ascii="Wingdings" w:hAnsi="Wingdings" w:hint="default"/>
      </w:rPr>
    </w:lvl>
    <w:lvl w:ilvl="3" w:tplc="4C0A0005">
      <w:start w:val="1"/>
      <w:numFmt w:val="bullet"/>
      <w:lvlText w:val=""/>
      <w:lvlJc w:val="left"/>
      <w:pPr>
        <w:tabs>
          <w:tab w:val="num" w:pos="3600"/>
        </w:tabs>
        <w:ind w:left="3600" w:hanging="360"/>
      </w:pPr>
      <w:rPr>
        <w:rFonts w:ascii="Wingdings" w:hAnsi="Wingdings"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58C41E33"/>
    <w:multiLevelType w:val="hybridMultilevel"/>
    <w:tmpl w:val="2A182298"/>
    <w:lvl w:ilvl="0" w:tplc="580A0017">
      <w:start w:val="1"/>
      <w:numFmt w:val="lowerLetter"/>
      <w:lvlText w:val="%1)"/>
      <w:lvlJc w:val="left"/>
      <w:pPr>
        <w:ind w:left="1146" w:hanging="360"/>
      </w:pPr>
    </w:lvl>
    <w:lvl w:ilvl="1" w:tplc="4C0A0019" w:tentative="1">
      <w:start w:val="1"/>
      <w:numFmt w:val="lowerLetter"/>
      <w:lvlText w:val="%2."/>
      <w:lvlJc w:val="left"/>
      <w:pPr>
        <w:ind w:left="1866" w:hanging="360"/>
      </w:pPr>
    </w:lvl>
    <w:lvl w:ilvl="2" w:tplc="4C0A001B" w:tentative="1">
      <w:start w:val="1"/>
      <w:numFmt w:val="lowerRoman"/>
      <w:lvlText w:val="%3."/>
      <w:lvlJc w:val="right"/>
      <w:pPr>
        <w:ind w:left="2586" w:hanging="180"/>
      </w:pPr>
    </w:lvl>
    <w:lvl w:ilvl="3" w:tplc="4C0A000F" w:tentative="1">
      <w:start w:val="1"/>
      <w:numFmt w:val="decimal"/>
      <w:lvlText w:val="%4."/>
      <w:lvlJc w:val="left"/>
      <w:pPr>
        <w:ind w:left="3306" w:hanging="360"/>
      </w:pPr>
    </w:lvl>
    <w:lvl w:ilvl="4" w:tplc="4C0A0019" w:tentative="1">
      <w:start w:val="1"/>
      <w:numFmt w:val="lowerLetter"/>
      <w:lvlText w:val="%5."/>
      <w:lvlJc w:val="left"/>
      <w:pPr>
        <w:ind w:left="4026" w:hanging="360"/>
      </w:pPr>
    </w:lvl>
    <w:lvl w:ilvl="5" w:tplc="4C0A001B" w:tentative="1">
      <w:start w:val="1"/>
      <w:numFmt w:val="lowerRoman"/>
      <w:lvlText w:val="%6."/>
      <w:lvlJc w:val="right"/>
      <w:pPr>
        <w:ind w:left="4746" w:hanging="180"/>
      </w:pPr>
    </w:lvl>
    <w:lvl w:ilvl="6" w:tplc="4C0A000F" w:tentative="1">
      <w:start w:val="1"/>
      <w:numFmt w:val="decimal"/>
      <w:lvlText w:val="%7."/>
      <w:lvlJc w:val="left"/>
      <w:pPr>
        <w:ind w:left="5466" w:hanging="360"/>
      </w:pPr>
    </w:lvl>
    <w:lvl w:ilvl="7" w:tplc="4C0A0019" w:tentative="1">
      <w:start w:val="1"/>
      <w:numFmt w:val="lowerLetter"/>
      <w:lvlText w:val="%8."/>
      <w:lvlJc w:val="left"/>
      <w:pPr>
        <w:ind w:left="6186" w:hanging="360"/>
      </w:pPr>
    </w:lvl>
    <w:lvl w:ilvl="8" w:tplc="4C0A001B" w:tentative="1">
      <w:start w:val="1"/>
      <w:numFmt w:val="lowerRoman"/>
      <w:lvlText w:val="%9."/>
      <w:lvlJc w:val="right"/>
      <w:pPr>
        <w:ind w:left="6906" w:hanging="180"/>
      </w:pPr>
    </w:lvl>
  </w:abstractNum>
  <w:abstractNum w:abstractNumId="146" w15:restartNumberingAfterBreak="0">
    <w:nsid w:val="596679D4"/>
    <w:multiLevelType w:val="hybridMultilevel"/>
    <w:tmpl w:val="FB405450"/>
    <w:lvl w:ilvl="0" w:tplc="480A0001">
      <w:start w:val="1"/>
      <w:numFmt w:val="bullet"/>
      <w:lvlText w:val=""/>
      <w:lvlJc w:val="left"/>
      <w:pPr>
        <w:ind w:left="677" w:hanging="360"/>
      </w:pPr>
      <w:rPr>
        <w:rFonts w:ascii="Symbol" w:hAnsi="Symbol" w:hint="default"/>
      </w:rPr>
    </w:lvl>
    <w:lvl w:ilvl="1" w:tplc="480A0003" w:tentative="1">
      <w:start w:val="1"/>
      <w:numFmt w:val="bullet"/>
      <w:lvlText w:val="o"/>
      <w:lvlJc w:val="left"/>
      <w:pPr>
        <w:ind w:left="1397" w:hanging="360"/>
      </w:pPr>
      <w:rPr>
        <w:rFonts w:ascii="Courier New" w:hAnsi="Courier New" w:cs="Courier New" w:hint="default"/>
      </w:rPr>
    </w:lvl>
    <w:lvl w:ilvl="2" w:tplc="480A0005" w:tentative="1">
      <w:start w:val="1"/>
      <w:numFmt w:val="bullet"/>
      <w:lvlText w:val=""/>
      <w:lvlJc w:val="left"/>
      <w:pPr>
        <w:ind w:left="2117" w:hanging="360"/>
      </w:pPr>
      <w:rPr>
        <w:rFonts w:ascii="Wingdings" w:hAnsi="Wingdings" w:hint="default"/>
      </w:rPr>
    </w:lvl>
    <w:lvl w:ilvl="3" w:tplc="480A0001" w:tentative="1">
      <w:start w:val="1"/>
      <w:numFmt w:val="bullet"/>
      <w:lvlText w:val=""/>
      <w:lvlJc w:val="left"/>
      <w:pPr>
        <w:ind w:left="2837" w:hanging="360"/>
      </w:pPr>
      <w:rPr>
        <w:rFonts w:ascii="Symbol" w:hAnsi="Symbol" w:hint="default"/>
      </w:rPr>
    </w:lvl>
    <w:lvl w:ilvl="4" w:tplc="480A0003" w:tentative="1">
      <w:start w:val="1"/>
      <w:numFmt w:val="bullet"/>
      <w:lvlText w:val="o"/>
      <w:lvlJc w:val="left"/>
      <w:pPr>
        <w:ind w:left="3557" w:hanging="360"/>
      </w:pPr>
      <w:rPr>
        <w:rFonts w:ascii="Courier New" w:hAnsi="Courier New" w:cs="Courier New" w:hint="default"/>
      </w:rPr>
    </w:lvl>
    <w:lvl w:ilvl="5" w:tplc="480A0005" w:tentative="1">
      <w:start w:val="1"/>
      <w:numFmt w:val="bullet"/>
      <w:lvlText w:val=""/>
      <w:lvlJc w:val="left"/>
      <w:pPr>
        <w:ind w:left="4277" w:hanging="360"/>
      </w:pPr>
      <w:rPr>
        <w:rFonts w:ascii="Wingdings" w:hAnsi="Wingdings" w:hint="default"/>
      </w:rPr>
    </w:lvl>
    <w:lvl w:ilvl="6" w:tplc="480A0001" w:tentative="1">
      <w:start w:val="1"/>
      <w:numFmt w:val="bullet"/>
      <w:lvlText w:val=""/>
      <w:lvlJc w:val="left"/>
      <w:pPr>
        <w:ind w:left="4997" w:hanging="360"/>
      </w:pPr>
      <w:rPr>
        <w:rFonts w:ascii="Symbol" w:hAnsi="Symbol" w:hint="default"/>
      </w:rPr>
    </w:lvl>
    <w:lvl w:ilvl="7" w:tplc="480A0003" w:tentative="1">
      <w:start w:val="1"/>
      <w:numFmt w:val="bullet"/>
      <w:lvlText w:val="o"/>
      <w:lvlJc w:val="left"/>
      <w:pPr>
        <w:ind w:left="5717" w:hanging="360"/>
      </w:pPr>
      <w:rPr>
        <w:rFonts w:ascii="Courier New" w:hAnsi="Courier New" w:cs="Courier New" w:hint="default"/>
      </w:rPr>
    </w:lvl>
    <w:lvl w:ilvl="8" w:tplc="480A0005" w:tentative="1">
      <w:start w:val="1"/>
      <w:numFmt w:val="bullet"/>
      <w:lvlText w:val=""/>
      <w:lvlJc w:val="left"/>
      <w:pPr>
        <w:ind w:left="6437" w:hanging="360"/>
      </w:pPr>
      <w:rPr>
        <w:rFonts w:ascii="Wingdings" w:hAnsi="Wingdings" w:hint="default"/>
      </w:rPr>
    </w:lvl>
  </w:abstractNum>
  <w:abstractNum w:abstractNumId="147" w15:restartNumberingAfterBreak="0">
    <w:nsid w:val="59BD6C96"/>
    <w:multiLevelType w:val="hybridMultilevel"/>
    <w:tmpl w:val="03C4D400"/>
    <w:lvl w:ilvl="0" w:tplc="A2367390">
      <w:start w:val="1"/>
      <w:numFmt w:val="decimal"/>
      <w:lvlText w:val="%1."/>
      <w:lvlJc w:val="left"/>
      <w:pPr>
        <w:ind w:left="1260" w:hanging="360"/>
      </w:pPr>
      <w:rPr>
        <w:b w:val="0"/>
        <w:sz w:val="22"/>
      </w:rPr>
    </w:lvl>
    <w:lvl w:ilvl="1" w:tplc="480A0019" w:tentative="1">
      <w:start w:val="1"/>
      <w:numFmt w:val="lowerLetter"/>
      <w:lvlText w:val="%2."/>
      <w:lvlJc w:val="left"/>
      <w:pPr>
        <w:ind w:left="1980" w:hanging="360"/>
      </w:pPr>
    </w:lvl>
    <w:lvl w:ilvl="2" w:tplc="480A001B" w:tentative="1">
      <w:start w:val="1"/>
      <w:numFmt w:val="lowerRoman"/>
      <w:lvlText w:val="%3."/>
      <w:lvlJc w:val="right"/>
      <w:pPr>
        <w:ind w:left="2700" w:hanging="180"/>
      </w:pPr>
    </w:lvl>
    <w:lvl w:ilvl="3" w:tplc="480A000F" w:tentative="1">
      <w:start w:val="1"/>
      <w:numFmt w:val="decimal"/>
      <w:lvlText w:val="%4."/>
      <w:lvlJc w:val="left"/>
      <w:pPr>
        <w:ind w:left="3420" w:hanging="360"/>
      </w:pPr>
    </w:lvl>
    <w:lvl w:ilvl="4" w:tplc="480A0019" w:tentative="1">
      <w:start w:val="1"/>
      <w:numFmt w:val="lowerLetter"/>
      <w:lvlText w:val="%5."/>
      <w:lvlJc w:val="left"/>
      <w:pPr>
        <w:ind w:left="4140" w:hanging="360"/>
      </w:pPr>
    </w:lvl>
    <w:lvl w:ilvl="5" w:tplc="480A001B" w:tentative="1">
      <w:start w:val="1"/>
      <w:numFmt w:val="lowerRoman"/>
      <w:lvlText w:val="%6."/>
      <w:lvlJc w:val="right"/>
      <w:pPr>
        <w:ind w:left="4860" w:hanging="180"/>
      </w:pPr>
    </w:lvl>
    <w:lvl w:ilvl="6" w:tplc="480A000F" w:tentative="1">
      <w:start w:val="1"/>
      <w:numFmt w:val="decimal"/>
      <w:lvlText w:val="%7."/>
      <w:lvlJc w:val="left"/>
      <w:pPr>
        <w:ind w:left="5580" w:hanging="360"/>
      </w:pPr>
    </w:lvl>
    <w:lvl w:ilvl="7" w:tplc="480A0019" w:tentative="1">
      <w:start w:val="1"/>
      <w:numFmt w:val="lowerLetter"/>
      <w:lvlText w:val="%8."/>
      <w:lvlJc w:val="left"/>
      <w:pPr>
        <w:ind w:left="6300" w:hanging="360"/>
      </w:pPr>
    </w:lvl>
    <w:lvl w:ilvl="8" w:tplc="480A001B" w:tentative="1">
      <w:start w:val="1"/>
      <w:numFmt w:val="lowerRoman"/>
      <w:lvlText w:val="%9."/>
      <w:lvlJc w:val="right"/>
      <w:pPr>
        <w:ind w:left="7020" w:hanging="180"/>
      </w:pPr>
    </w:lvl>
  </w:abstractNum>
  <w:abstractNum w:abstractNumId="148" w15:restartNumberingAfterBreak="0">
    <w:nsid w:val="5ADA3019"/>
    <w:multiLevelType w:val="hybridMultilevel"/>
    <w:tmpl w:val="BEA8A8E4"/>
    <w:lvl w:ilvl="0" w:tplc="E4648226">
      <w:start w:val="1"/>
      <w:numFmt w:val="decimal"/>
      <w:lvlText w:val="%1."/>
      <w:lvlJc w:val="left"/>
      <w:pPr>
        <w:ind w:left="360" w:hanging="360"/>
      </w:pPr>
      <w:rPr>
        <w:i w:val="0"/>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9" w15:restartNumberingAfterBreak="0">
    <w:nsid w:val="5B2B5361"/>
    <w:multiLevelType w:val="hybridMultilevel"/>
    <w:tmpl w:val="FDF2E75A"/>
    <w:lvl w:ilvl="0" w:tplc="0C0A000F">
      <w:start w:val="1"/>
      <w:numFmt w:val="lowerLetter"/>
      <w:lvlText w:val="%1)"/>
      <w:lvlJc w:val="left"/>
      <w:pPr>
        <w:ind w:left="720" w:hanging="360"/>
      </w:pPr>
      <w:rPr>
        <w:rFonts w:hint="default"/>
      </w:rPr>
    </w:lvl>
    <w:lvl w:ilvl="1" w:tplc="1AFA4822">
      <w:start w:val="1"/>
      <w:numFmt w:val="lowerLetter"/>
      <w:lvlText w:val="%2."/>
      <w:lvlJc w:val="left"/>
      <w:pPr>
        <w:ind w:left="1575" w:hanging="495"/>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5BC03160"/>
    <w:multiLevelType w:val="hybridMultilevel"/>
    <w:tmpl w:val="571A0496"/>
    <w:lvl w:ilvl="0" w:tplc="DD0CCF7C">
      <w:start w:val="1"/>
      <w:numFmt w:val="lowerLetter"/>
      <w:lvlText w:val="%1.)"/>
      <w:lvlJc w:val="left"/>
      <w:pPr>
        <w:ind w:left="1065" w:hanging="705"/>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15:restartNumberingAfterBreak="0">
    <w:nsid w:val="5C4E6BD9"/>
    <w:multiLevelType w:val="multilevel"/>
    <w:tmpl w:val="A10E47A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2" w15:restartNumberingAfterBreak="0">
    <w:nsid w:val="5C9624BE"/>
    <w:multiLevelType w:val="hybridMultilevel"/>
    <w:tmpl w:val="5FFCDAC4"/>
    <w:lvl w:ilvl="0" w:tplc="0A303122">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3" w15:restartNumberingAfterBreak="0">
    <w:nsid w:val="600617EB"/>
    <w:multiLevelType w:val="hybridMultilevel"/>
    <w:tmpl w:val="97E6DDEC"/>
    <w:lvl w:ilvl="0" w:tplc="3FE6C9EA">
      <w:start w:val="1"/>
      <w:numFmt w:val="lowerLetter"/>
      <w:lvlText w:val="%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4" w15:restartNumberingAfterBreak="0">
    <w:nsid w:val="60457BEA"/>
    <w:multiLevelType w:val="hybridMultilevel"/>
    <w:tmpl w:val="383A71E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608934FF"/>
    <w:multiLevelType w:val="hybridMultilevel"/>
    <w:tmpl w:val="B88EB308"/>
    <w:lvl w:ilvl="0" w:tplc="91BC7F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14C744C"/>
    <w:multiLevelType w:val="hybridMultilevel"/>
    <w:tmpl w:val="0908C716"/>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abstractNum w:abstractNumId="157" w15:restartNumberingAfterBreak="0">
    <w:nsid w:val="626B6832"/>
    <w:multiLevelType w:val="hybridMultilevel"/>
    <w:tmpl w:val="1452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2F23B5E"/>
    <w:multiLevelType w:val="hybridMultilevel"/>
    <w:tmpl w:val="A454D72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15:restartNumberingAfterBreak="0">
    <w:nsid w:val="63BD098E"/>
    <w:multiLevelType w:val="multilevel"/>
    <w:tmpl w:val="F0FC84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63E45F38"/>
    <w:multiLevelType w:val="hybridMultilevel"/>
    <w:tmpl w:val="43F8E2E0"/>
    <w:lvl w:ilvl="0" w:tplc="91BC7F72">
      <w:start w:val="1"/>
      <w:numFmt w:val="lowerLetter"/>
      <w:lvlText w:val="%1."/>
      <w:lvlJc w:val="left"/>
      <w:pPr>
        <w:ind w:left="1224" w:hanging="360"/>
      </w:pPr>
      <w:rPr>
        <w:rFonts w:hint="default"/>
        <w:b w:val="0"/>
        <w:i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4670246"/>
    <w:multiLevelType w:val="hybridMultilevel"/>
    <w:tmpl w:val="01F69B20"/>
    <w:lvl w:ilvl="0" w:tplc="04090013">
      <w:start w:val="1"/>
      <w:numFmt w:val="upperRoman"/>
      <w:lvlText w:val="%1."/>
      <w:lvlJc w:val="right"/>
      <w:pPr>
        <w:ind w:left="969" w:hanging="360"/>
      </w:pPr>
    </w:lvl>
    <w:lvl w:ilvl="1" w:tplc="0409001B">
      <w:start w:val="1"/>
      <w:numFmt w:val="lowerRoman"/>
      <w:lvlText w:val="%2."/>
      <w:lvlJc w:val="right"/>
      <w:pPr>
        <w:ind w:left="1689" w:hanging="360"/>
      </w:pPr>
    </w:lvl>
    <w:lvl w:ilvl="2" w:tplc="A63A9F0A">
      <w:start w:val="1"/>
      <w:numFmt w:val="lowerLetter"/>
      <w:lvlText w:val="%3."/>
      <w:lvlJc w:val="left"/>
      <w:pPr>
        <w:ind w:left="2589" w:hanging="360"/>
      </w:pPr>
      <w:rPr>
        <w:rFonts w:hint="default"/>
      </w:r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62" w15:restartNumberingAfterBreak="0">
    <w:nsid w:val="65E25ACA"/>
    <w:multiLevelType w:val="hybridMultilevel"/>
    <w:tmpl w:val="789ED0BC"/>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163" w15:restartNumberingAfterBreak="0">
    <w:nsid w:val="664F22A4"/>
    <w:multiLevelType w:val="hybridMultilevel"/>
    <w:tmpl w:val="F752ACAE"/>
    <w:lvl w:ilvl="0" w:tplc="080A000F">
      <w:start w:val="1"/>
      <w:numFmt w:val="decimal"/>
      <w:lvlText w:val="%1."/>
      <w:lvlJc w:val="left"/>
      <w:pPr>
        <w:ind w:left="720" w:hanging="360"/>
      </w:pPr>
    </w:lvl>
    <w:lvl w:ilvl="1" w:tplc="44968B2E">
      <w:start w:val="1"/>
      <w:numFmt w:val="lowerLetter"/>
      <w:lvlText w:val="%2."/>
      <w:lvlJc w:val="left"/>
      <w:pPr>
        <w:ind w:left="1790" w:hanging="71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66BD3336"/>
    <w:multiLevelType w:val="hybridMultilevel"/>
    <w:tmpl w:val="2034F6D2"/>
    <w:lvl w:ilvl="0" w:tplc="788ADDB0">
      <w:start w:val="1"/>
      <w:numFmt w:val="lowerLetter"/>
      <w:lvlText w:val="%1."/>
      <w:lvlJc w:val="left"/>
      <w:pPr>
        <w:ind w:left="1037" w:hanging="360"/>
      </w:pPr>
      <w:rPr>
        <w:rFonts w:hint="default"/>
        <w:b w:val="0"/>
      </w:rPr>
    </w:lvl>
    <w:lvl w:ilvl="1" w:tplc="480A0019" w:tentative="1">
      <w:start w:val="1"/>
      <w:numFmt w:val="lowerLetter"/>
      <w:lvlText w:val="%2."/>
      <w:lvlJc w:val="left"/>
      <w:pPr>
        <w:ind w:left="1757" w:hanging="360"/>
      </w:pPr>
    </w:lvl>
    <w:lvl w:ilvl="2" w:tplc="480A001B" w:tentative="1">
      <w:start w:val="1"/>
      <w:numFmt w:val="lowerRoman"/>
      <w:lvlText w:val="%3."/>
      <w:lvlJc w:val="right"/>
      <w:pPr>
        <w:ind w:left="2477" w:hanging="180"/>
      </w:pPr>
    </w:lvl>
    <w:lvl w:ilvl="3" w:tplc="480A000F" w:tentative="1">
      <w:start w:val="1"/>
      <w:numFmt w:val="decimal"/>
      <w:lvlText w:val="%4."/>
      <w:lvlJc w:val="left"/>
      <w:pPr>
        <w:ind w:left="3197" w:hanging="360"/>
      </w:pPr>
    </w:lvl>
    <w:lvl w:ilvl="4" w:tplc="480A0019" w:tentative="1">
      <w:start w:val="1"/>
      <w:numFmt w:val="lowerLetter"/>
      <w:lvlText w:val="%5."/>
      <w:lvlJc w:val="left"/>
      <w:pPr>
        <w:ind w:left="3917" w:hanging="360"/>
      </w:pPr>
    </w:lvl>
    <w:lvl w:ilvl="5" w:tplc="480A001B" w:tentative="1">
      <w:start w:val="1"/>
      <w:numFmt w:val="lowerRoman"/>
      <w:lvlText w:val="%6."/>
      <w:lvlJc w:val="right"/>
      <w:pPr>
        <w:ind w:left="4637" w:hanging="180"/>
      </w:pPr>
    </w:lvl>
    <w:lvl w:ilvl="6" w:tplc="480A000F" w:tentative="1">
      <w:start w:val="1"/>
      <w:numFmt w:val="decimal"/>
      <w:lvlText w:val="%7."/>
      <w:lvlJc w:val="left"/>
      <w:pPr>
        <w:ind w:left="5357" w:hanging="360"/>
      </w:pPr>
    </w:lvl>
    <w:lvl w:ilvl="7" w:tplc="480A0019" w:tentative="1">
      <w:start w:val="1"/>
      <w:numFmt w:val="lowerLetter"/>
      <w:lvlText w:val="%8."/>
      <w:lvlJc w:val="left"/>
      <w:pPr>
        <w:ind w:left="6077" w:hanging="360"/>
      </w:pPr>
    </w:lvl>
    <w:lvl w:ilvl="8" w:tplc="480A001B" w:tentative="1">
      <w:start w:val="1"/>
      <w:numFmt w:val="lowerRoman"/>
      <w:lvlText w:val="%9."/>
      <w:lvlJc w:val="right"/>
      <w:pPr>
        <w:ind w:left="6797" w:hanging="180"/>
      </w:pPr>
    </w:lvl>
  </w:abstractNum>
  <w:abstractNum w:abstractNumId="165" w15:restartNumberingAfterBreak="0">
    <w:nsid w:val="673E0053"/>
    <w:multiLevelType w:val="hybridMultilevel"/>
    <w:tmpl w:val="4C36037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6" w15:restartNumberingAfterBreak="0">
    <w:nsid w:val="673E022F"/>
    <w:multiLevelType w:val="hybridMultilevel"/>
    <w:tmpl w:val="C84A31B4"/>
    <w:lvl w:ilvl="0" w:tplc="91BC7F72">
      <w:start w:val="1"/>
      <w:numFmt w:val="lowerLetter"/>
      <w:lvlText w:val="%1."/>
      <w:lvlJc w:val="left"/>
      <w:pPr>
        <w:ind w:left="663" w:hanging="360"/>
      </w:pPr>
      <w:rPr>
        <w:rFonts w:hint="default"/>
      </w:rPr>
    </w:lvl>
    <w:lvl w:ilvl="1" w:tplc="080A0019" w:tentative="1">
      <w:start w:val="1"/>
      <w:numFmt w:val="lowerLetter"/>
      <w:lvlText w:val="%2."/>
      <w:lvlJc w:val="left"/>
      <w:pPr>
        <w:ind w:left="1383" w:hanging="360"/>
      </w:pPr>
    </w:lvl>
    <w:lvl w:ilvl="2" w:tplc="080A001B" w:tentative="1">
      <w:start w:val="1"/>
      <w:numFmt w:val="lowerRoman"/>
      <w:lvlText w:val="%3."/>
      <w:lvlJc w:val="right"/>
      <w:pPr>
        <w:ind w:left="2103" w:hanging="180"/>
      </w:pPr>
    </w:lvl>
    <w:lvl w:ilvl="3" w:tplc="080A000F" w:tentative="1">
      <w:start w:val="1"/>
      <w:numFmt w:val="decimal"/>
      <w:lvlText w:val="%4."/>
      <w:lvlJc w:val="left"/>
      <w:pPr>
        <w:ind w:left="2823" w:hanging="360"/>
      </w:pPr>
    </w:lvl>
    <w:lvl w:ilvl="4" w:tplc="080A0019" w:tentative="1">
      <w:start w:val="1"/>
      <w:numFmt w:val="lowerLetter"/>
      <w:lvlText w:val="%5."/>
      <w:lvlJc w:val="left"/>
      <w:pPr>
        <w:ind w:left="3543" w:hanging="360"/>
      </w:pPr>
    </w:lvl>
    <w:lvl w:ilvl="5" w:tplc="080A001B" w:tentative="1">
      <w:start w:val="1"/>
      <w:numFmt w:val="lowerRoman"/>
      <w:lvlText w:val="%6."/>
      <w:lvlJc w:val="right"/>
      <w:pPr>
        <w:ind w:left="4263" w:hanging="180"/>
      </w:pPr>
    </w:lvl>
    <w:lvl w:ilvl="6" w:tplc="080A000F" w:tentative="1">
      <w:start w:val="1"/>
      <w:numFmt w:val="decimal"/>
      <w:lvlText w:val="%7."/>
      <w:lvlJc w:val="left"/>
      <w:pPr>
        <w:ind w:left="4983" w:hanging="360"/>
      </w:pPr>
    </w:lvl>
    <w:lvl w:ilvl="7" w:tplc="080A0019" w:tentative="1">
      <w:start w:val="1"/>
      <w:numFmt w:val="lowerLetter"/>
      <w:lvlText w:val="%8."/>
      <w:lvlJc w:val="left"/>
      <w:pPr>
        <w:ind w:left="5703" w:hanging="360"/>
      </w:pPr>
    </w:lvl>
    <w:lvl w:ilvl="8" w:tplc="080A001B" w:tentative="1">
      <w:start w:val="1"/>
      <w:numFmt w:val="lowerRoman"/>
      <w:lvlText w:val="%9."/>
      <w:lvlJc w:val="right"/>
      <w:pPr>
        <w:ind w:left="6423" w:hanging="180"/>
      </w:pPr>
    </w:lvl>
  </w:abstractNum>
  <w:abstractNum w:abstractNumId="167" w15:restartNumberingAfterBreak="0">
    <w:nsid w:val="6798068A"/>
    <w:multiLevelType w:val="hybridMultilevel"/>
    <w:tmpl w:val="822672CC"/>
    <w:lvl w:ilvl="0" w:tplc="15000158">
      <w:start w:val="1"/>
      <w:numFmt w:val="lowerRoman"/>
      <w:lvlText w:val="%1."/>
      <w:lvlJc w:val="right"/>
      <w:pPr>
        <w:ind w:left="969" w:hanging="360"/>
      </w:pPr>
      <w:rPr>
        <w:color w:val="auto"/>
      </w:rPr>
    </w:lvl>
    <w:lvl w:ilvl="1" w:tplc="480A0019">
      <w:start w:val="1"/>
      <w:numFmt w:val="lowerLetter"/>
      <w:lvlText w:val="%2."/>
      <w:lvlJc w:val="left"/>
      <w:pPr>
        <w:ind w:left="1689" w:hanging="360"/>
      </w:pPr>
    </w:lvl>
    <w:lvl w:ilvl="2" w:tplc="480A001B" w:tentative="1">
      <w:start w:val="1"/>
      <w:numFmt w:val="lowerRoman"/>
      <w:lvlText w:val="%3."/>
      <w:lvlJc w:val="right"/>
      <w:pPr>
        <w:ind w:left="2409" w:hanging="180"/>
      </w:pPr>
    </w:lvl>
    <w:lvl w:ilvl="3" w:tplc="480A000F" w:tentative="1">
      <w:start w:val="1"/>
      <w:numFmt w:val="decimal"/>
      <w:lvlText w:val="%4."/>
      <w:lvlJc w:val="left"/>
      <w:pPr>
        <w:ind w:left="3129" w:hanging="360"/>
      </w:p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168" w15:restartNumberingAfterBreak="0">
    <w:nsid w:val="68235D49"/>
    <w:multiLevelType w:val="hybridMultilevel"/>
    <w:tmpl w:val="1B4A4682"/>
    <w:lvl w:ilvl="0" w:tplc="91BC7F72">
      <w:start w:val="1"/>
      <w:numFmt w:val="lowerLetter"/>
      <w:lvlText w:val="%1."/>
      <w:lvlJc w:val="left"/>
      <w:pPr>
        <w:ind w:left="810" w:hanging="360"/>
      </w:pPr>
      <w:rPr>
        <w:rFonts w:hint="default"/>
      </w:rPr>
    </w:lvl>
    <w:lvl w:ilvl="1" w:tplc="480A0019">
      <w:start w:val="1"/>
      <w:numFmt w:val="lowerLetter"/>
      <w:lvlText w:val="%2."/>
      <w:lvlJc w:val="left"/>
      <w:pPr>
        <w:ind w:left="1530" w:hanging="360"/>
      </w:pPr>
    </w:lvl>
    <w:lvl w:ilvl="2" w:tplc="480A001B" w:tentative="1">
      <w:start w:val="1"/>
      <w:numFmt w:val="lowerRoman"/>
      <w:lvlText w:val="%3."/>
      <w:lvlJc w:val="right"/>
      <w:pPr>
        <w:ind w:left="2250" w:hanging="180"/>
      </w:pPr>
    </w:lvl>
    <w:lvl w:ilvl="3" w:tplc="480A000F" w:tentative="1">
      <w:start w:val="1"/>
      <w:numFmt w:val="decimal"/>
      <w:lvlText w:val="%4."/>
      <w:lvlJc w:val="left"/>
      <w:pPr>
        <w:ind w:left="2970" w:hanging="360"/>
      </w:pPr>
    </w:lvl>
    <w:lvl w:ilvl="4" w:tplc="480A0019" w:tentative="1">
      <w:start w:val="1"/>
      <w:numFmt w:val="lowerLetter"/>
      <w:lvlText w:val="%5."/>
      <w:lvlJc w:val="left"/>
      <w:pPr>
        <w:ind w:left="3690" w:hanging="360"/>
      </w:pPr>
    </w:lvl>
    <w:lvl w:ilvl="5" w:tplc="480A001B" w:tentative="1">
      <w:start w:val="1"/>
      <w:numFmt w:val="lowerRoman"/>
      <w:lvlText w:val="%6."/>
      <w:lvlJc w:val="right"/>
      <w:pPr>
        <w:ind w:left="4410" w:hanging="180"/>
      </w:pPr>
    </w:lvl>
    <w:lvl w:ilvl="6" w:tplc="480A000F" w:tentative="1">
      <w:start w:val="1"/>
      <w:numFmt w:val="decimal"/>
      <w:lvlText w:val="%7."/>
      <w:lvlJc w:val="left"/>
      <w:pPr>
        <w:ind w:left="5130" w:hanging="360"/>
      </w:pPr>
    </w:lvl>
    <w:lvl w:ilvl="7" w:tplc="480A0019" w:tentative="1">
      <w:start w:val="1"/>
      <w:numFmt w:val="lowerLetter"/>
      <w:lvlText w:val="%8."/>
      <w:lvlJc w:val="left"/>
      <w:pPr>
        <w:ind w:left="5850" w:hanging="360"/>
      </w:pPr>
    </w:lvl>
    <w:lvl w:ilvl="8" w:tplc="480A001B" w:tentative="1">
      <w:start w:val="1"/>
      <w:numFmt w:val="lowerRoman"/>
      <w:lvlText w:val="%9."/>
      <w:lvlJc w:val="right"/>
      <w:pPr>
        <w:ind w:left="6570" w:hanging="180"/>
      </w:pPr>
    </w:lvl>
  </w:abstractNum>
  <w:abstractNum w:abstractNumId="169" w15:restartNumberingAfterBreak="0">
    <w:nsid w:val="682C1C63"/>
    <w:multiLevelType w:val="multilevel"/>
    <w:tmpl w:val="58A63A6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i w:val="0"/>
        <w:color w:val="auto"/>
      </w:rPr>
    </w:lvl>
    <w:lvl w:ilvl="8">
      <w:start w:val="1"/>
      <w:numFmt w:val="lowerRoman"/>
      <w:lvlText w:val="%9."/>
      <w:lvlJc w:val="left"/>
      <w:pPr>
        <w:ind w:left="3240" w:hanging="360"/>
      </w:pPr>
    </w:lvl>
  </w:abstractNum>
  <w:abstractNum w:abstractNumId="170" w15:restartNumberingAfterBreak="0">
    <w:nsid w:val="690C3DA0"/>
    <w:multiLevelType w:val="hybridMultilevel"/>
    <w:tmpl w:val="8CA64FA8"/>
    <w:lvl w:ilvl="0" w:tplc="0C0A0001">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71" w15:restartNumberingAfterBreak="0">
    <w:nsid w:val="693B5D03"/>
    <w:multiLevelType w:val="multilevel"/>
    <w:tmpl w:val="64243E60"/>
    <w:lvl w:ilvl="0">
      <w:start w:val="1"/>
      <w:numFmt w:val="upperRoman"/>
      <w:lvlText w:val="%1."/>
      <w:lvlJc w:val="righ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69CD2312"/>
    <w:multiLevelType w:val="hybridMultilevel"/>
    <w:tmpl w:val="58AAE3FC"/>
    <w:lvl w:ilvl="0" w:tplc="91BC7F72">
      <w:start w:val="1"/>
      <w:numFmt w:val="lowerLetter"/>
      <w:lvlText w:val="%1."/>
      <w:lvlJc w:val="left"/>
      <w:pPr>
        <w:ind w:left="1080" w:hanging="360"/>
      </w:pPr>
      <w:rPr>
        <w:rFonts w:hint="default"/>
      </w:r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73" w15:restartNumberingAfterBreak="0">
    <w:nsid w:val="6A6872E7"/>
    <w:multiLevelType w:val="hybridMultilevel"/>
    <w:tmpl w:val="C96E20E8"/>
    <w:lvl w:ilvl="0" w:tplc="B4188970">
      <w:numFmt w:val="none"/>
      <w:lvlText w:val=""/>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4" w15:restartNumberingAfterBreak="0">
    <w:nsid w:val="6CC20CBD"/>
    <w:multiLevelType w:val="hybridMultilevel"/>
    <w:tmpl w:val="CA469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5" w15:restartNumberingAfterBreak="0">
    <w:nsid w:val="6D6800F3"/>
    <w:multiLevelType w:val="hybridMultilevel"/>
    <w:tmpl w:val="42FE611A"/>
    <w:lvl w:ilvl="0" w:tplc="91BC7F72">
      <w:start w:val="1"/>
      <w:numFmt w:val="lowerLetter"/>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76" w15:restartNumberingAfterBreak="0">
    <w:nsid w:val="6DA47FF4"/>
    <w:multiLevelType w:val="hybridMultilevel"/>
    <w:tmpl w:val="2FAC1E9C"/>
    <w:lvl w:ilvl="0" w:tplc="5454A852">
      <w:numFmt w:val="bullet"/>
      <w:lvlText w:val="•"/>
      <w:lvlJc w:val="left"/>
      <w:pPr>
        <w:ind w:left="502" w:hanging="360"/>
      </w:pPr>
      <w:rPr>
        <w:rFonts w:ascii="Arial Narrow" w:eastAsia="Times New Roman" w:hAnsi="Arial Narrow" w:cs="Arial" w:hint="default"/>
      </w:r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77" w15:restartNumberingAfterBreak="0">
    <w:nsid w:val="6DCD1D33"/>
    <w:multiLevelType w:val="hybridMultilevel"/>
    <w:tmpl w:val="CC543D96"/>
    <w:lvl w:ilvl="0" w:tplc="F05A6DB6">
      <w:start w:val="1"/>
      <w:numFmt w:val="lowerLetter"/>
      <w:lvlText w:val="(%1)"/>
      <w:lvlJc w:val="left"/>
      <w:pPr>
        <w:ind w:left="720" w:hanging="360"/>
      </w:pPr>
      <w:rPr>
        <w:rFonts w:hint="default"/>
        <w:b w:val="0"/>
        <w:i w:val="0"/>
        <w:color w:val="auto"/>
      </w:rPr>
    </w:lvl>
    <w:lvl w:ilvl="1" w:tplc="39D03754">
      <w:start w:val="1"/>
      <w:numFmt w:val="lowerRoman"/>
      <w:lvlText w:val="(%2)"/>
      <w:lvlJc w:val="left"/>
      <w:pPr>
        <w:ind w:left="1800" w:hanging="72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6E2C682D"/>
    <w:multiLevelType w:val="hybridMultilevel"/>
    <w:tmpl w:val="C6CE5B90"/>
    <w:lvl w:ilvl="0" w:tplc="4C0A0019">
      <w:start w:val="1"/>
      <w:numFmt w:val="lowerLetter"/>
      <w:lvlText w:val="%1."/>
      <w:lvlJc w:val="left"/>
      <w:pPr>
        <w:ind w:left="930" w:hanging="360"/>
      </w:pPr>
    </w:lvl>
    <w:lvl w:ilvl="1" w:tplc="4C0A0019">
      <w:start w:val="1"/>
      <w:numFmt w:val="lowerLetter"/>
      <w:lvlText w:val="%2."/>
      <w:lvlJc w:val="left"/>
      <w:pPr>
        <w:ind w:left="1650" w:hanging="360"/>
      </w:pPr>
    </w:lvl>
    <w:lvl w:ilvl="2" w:tplc="4C0A001B" w:tentative="1">
      <w:start w:val="1"/>
      <w:numFmt w:val="lowerRoman"/>
      <w:lvlText w:val="%3."/>
      <w:lvlJc w:val="right"/>
      <w:pPr>
        <w:ind w:left="2370" w:hanging="180"/>
      </w:pPr>
    </w:lvl>
    <w:lvl w:ilvl="3" w:tplc="4C0A000F" w:tentative="1">
      <w:start w:val="1"/>
      <w:numFmt w:val="decimal"/>
      <w:lvlText w:val="%4."/>
      <w:lvlJc w:val="left"/>
      <w:pPr>
        <w:ind w:left="3090" w:hanging="360"/>
      </w:pPr>
    </w:lvl>
    <w:lvl w:ilvl="4" w:tplc="4C0A0019" w:tentative="1">
      <w:start w:val="1"/>
      <w:numFmt w:val="lowerLetter"/>
      <w:lvlText w:val="%5."/>
      <w:lvlJc w:val="left"/>
      <w:pPr>
        <w:ind w:left="3810" w:hanging="360"/>
      </w:pPr>
    </w:lvl>
    <w:lvl w:ilvl="5" w:tplc="4C0A001B" w:tentative="1">
      <w:start w:val="1"/>
      <w:numFmt w:val="lowerRoman"/>
      <w:lvlText w:val="%6."/>
      <w:lvlJc w:val="right"/>
      <w:pPr>
        <w:ind w:left="4530" w:hanging="180"/>
      </w:pPr>
    </w:lvl>
    <w:lvl w:ilvl="6" w:tplc="4C0A000F" w:tentative="1">
      <w:start w:val="1"/>
      <w:numFmt w:val="decimal"/>
      <w:lvlText w:val="%7."/>
      <w:lvlJc w:val="left"/>
      <w:pPr>
        <w:ind w:left="5250" w:hanging="360"/>
      </w:pPr>
    </w:lvl>
    <w:lvl w:ilvl="7" w:tplc="4C0A0019" w:tentative="1">
      <w:start w:val="1"/>
      <w:numFmt w:val="lowerLetter"/>
      <w:lvlText w:val="%8."/>
      <w:lvlJc w:val="left"/>
      <w:pPr>
        <w:ind w:left="5970" w:hanging="360"/>
      </w:pPr>
    </w:lvl>
    <w:lvl w:ilvl="8" w:tplc="4C0A001B" w:tentative="1">
      <w:start w:val="1"/>
      <w:numFmt w:val="lowerRoman"/>
      <w:lvlText w:val="%9."/>
      <w:lvlJc w:val="right"/>
      <w:pPr>
        <w:ind w:left="6690" w:hanging="180"/>
      </w:pPr>
    </w:lvl>
  </w:abstractNum>
  <w:abstractNum w:abstractNumId="179" w15:restartNumberingAfterBreak="0">
    <w:nsid w:val="6E614980"/>
    <w:multiLevelType w:val="hybridMultilevel"/>
    <w:tmpl w:val="0908C716"/>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0" w15:restartNumberingAfterBreak="0">
    <w:nsid w:val="6E807EAF"/>
    <w:multiLevelType w:val="hybridMultilevel"/>
    <w:tmpl w:val="AC141D0E"/>
    <w:lvl w:ilvl="0" w:tplc="10D05310">
      <w:start w:val="1"/>
      <w:numFmt w:val="decimal"/>
      <w:pStyle w:val="Citadestacada"/>
      <w:lvlText w:val="Grafico No.%1:"/>
      <w:lvlJc w:val="left"/>
      <w:pPr>
        <w:ind w:left="1584" w:hanging="360"/>
      </w:pPr>
      <w:rPr>
        <w:rFonts w:hint="default"/>
      </w:rPr>
    </w:lvl>
    <w:lvl w:ilvl="1" w:tplc="4C0A0019" w:tentative="1">
      <w:start w:val="1"/>
      <w:numFmt w:val="lowerLetter"/>
      <w:lvlText w:val="%2."/>
      <w:lvlJc w:val="left"/>
      <w:pPr>
        <w:ind w:left="2304" w:hanging="360"/>
      </w:pPr>
    </w:lvl>
    <w:lvl w:ilvl="2" w:tplc="4C0A001B" w:tentative="1">
      <w:start w:val="1"/>
      <w:numFmt w:val="lowerRoman"/>
      <w:lvlText w:val="%3."/>
      <w:lvlJc w:val="right"/>
      <w:pPr>
        <w:ind w:left="3024" w:hanging="180"/>
      </w:pPr>
    </w:lvl>
    <w:lvl w:ilvl="3" w:tplc="4C0A000F" w:tentative="1">
      <w:start w:val="1"/>
      <w:numFmt w:val="decimal"/>
      <w:lvlText w:val="%4."/>
      <w:lvlJc w:val="left"/>
      <w:pPr>
        <w:ind w:left="3744" w:hanging="360"/>
      </w:pPr>
    </w:lvl>
    <w:lvl w:ilvl="4" w:tplc="4C0A0019" w:tentative="1">
      <w:start w:val="1"/>
      <w:numFmt w:val="lowerLetter"/>
      <w:lvlText w:val="%5."/>
      <w:lvlJc w:val="left"/>
      <w:pPr>
        <w:ind w:left="4464" w:hanging="360"/>
      </w:pPr>
    </w:lvl>
    <w:lvl w:ilvl="5" w:tplc="4C0A001B" w:tentative="1">
      <w:start w:val="1"/>
      <w:numFmt w:val="lowerRoman"/>
      <w:lvlText w:val="%6."/>
      <w:lvlJc w:val="right"/>
      <w:pPr>
        <w:ind w:left="5184" w:hanging="180"/>
      </w:pPr>
    </w:lvl>
    <w:lvl w:ilvl="6" w:tplc="4C0A000F" w:tentative="1">
      <w:start w:val="1"/>
      <w:numFmt w:val="decimal"/>
      <w:lvlText w:val="%7."/>
      <w:lvlJc w:val="left"/>
      <w:pPr>
        <w:ind w:left="5904" w:hanging="360"/>
      </w:pPr>
    </w:lvl>
    <w:lvl w:ilvl="7" w:tplc="4C0A0019" w:tentative="1">
      <w:start w:val="1"/>
      <w:numFmt w:val="lowerLetter"/>
      <w:lvlText w:val="%8."/>
      <w:lvlJc w:val="left"/>
      <w:pPr>
        <w:ind w:left="6624" w:hanging="360"/>
      </w:pPr>
    </w:lvl>
    <w:lvl w:ilvl="8" w:tplc="4C0A001B" w:tentative="1">
      <w:start w:val="1"/>
      <w:numFmt w:val="lowerRoman"/>
      <w:lvlText w:val="%9."/>
      <w:lvlJc w:val="right"/>
      <w:pPr>
        <w:ind w:left="7344" w:hanging="180"/>
      </w:pPr>
    </w:lvl>
  </w:abstractNum>
  <w:abstractNum w:abstractNumId="181" w15:restartNumberingAfterBreak="0">
    <w:nsid w:val="70554DA4"/>
    <w:multiLevelType w:val="multilevel"/>
    <w:tmpl w:val="A406EF42"/>
    <w:lvl w:ilvl="0">
      <w:start w:val="1"/>
      <w:numFmt w:val="decimal"/>
      <w:lvlText w:val="%1."/>
      <w:lvlJc w:val="left"/>
      <w:pPr>
        <w:ind w:left="720" w:hanging="360"/>
      </w:pPr>
      <w:rPr>
        <w:rFonts w:hint="default"/>
        <w:b/>
        <w:color w:val="000000" w:themeColor="text1"/>
      </w:rPr>
    </w:lvl>
    <w:lvl w:ilvl="1">
      <w:start w:val="2"/>
      <w:numFmt w:val="decimal"/>
      <w:isLgl/>
      <w:lvlText w:val="%1.%2"/>
      <w:lvlJc w:val="left"/>
      <w:pPr>
        <w:ind w:left="1065" w:hanging="705"/>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71535D7D"/>
    <w:multiLevelType w:val="multilevel"/>
    <w:tmpl w:val="8306F6F4"/>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3" w15:restartNumberingAfterBreak="0">
    <w:nsid w:val="7166384A"/>
    <w:multiLevelType w:val="hybridMultilevel"/>
    <w:tmpl w:val="666CCEE0"/>
    <w:lvl w:ilvl="0" w:tplc="4C0A0017">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84" w15:restartNumberingAfterBreak="0">
    <w:nsid w:val="73194C99"/>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5" w15:restartNumberingAfterBreak="0">
    <w:nsid w:val="745C3099"/>
    <w:multiLevelType w:val="multilevel"/>
    <w:tmpl w:val="FB8CF2D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86" w15:restartNumberingAfterBreak="0">
    <w:nsid w:val="75870B9D"/>
    <w:multiLevelType w:val="hybridMultilevel"/>
    <w:tmpl w:val="A9C804D2"/>
    <w:lvl w:ilvl="0" w:tplc="0C0A0001">
      <w:start w:val="1"/>
      <w:numFmt w:val="decimal"/>
      <w:lvlText w:val="%1)"/>
      <w:lvlJc w:val="left"/>
      <w:pPr>
        <w:tabs>
          <w:tab w:val="num" w:pos="1065"/>
        </w:tabs>
        <w:ind w:left="1065" w:hanging="705"/>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pStyle w:val="Titulo5"/>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87" w15:restartNumberingAfterBreak="0">
    <w:nsid w:val="75E64439"/>
    <w:multiLevelType w:val="hybridMultilevel"/>
    <w:tmpl w:val="242C0F7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8" w15:restartNumberingAfterBreak="0">
    <w:nsid w:val="760B676D"/>
    <w:multiLevelType w:val="hybridMultilevel"/>
    <w:tmpl w:val="1512A92E"/>
    <w:lvl w:ilvl="0" w:tplc="0C0A000F">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63B0F74"/>
    <w:multiLevelType w:val="hybridMultilevel"/>
    <w:tmpl w:val="EAEE5F5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90" w15:restartNumberingAfterBreak="0">
    <w:nsid w:val="77497727"/>
    <w:multiLevelType w:val="hybridMultilevel"/>
    <w:tmpl w:val="AAE6B442"/>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1" w15:restartNumberingAfterBreak="0">
    <w:nsid w:val="7902137E"/>
    <w:multiLevelType w:val="multilevel"/>
    <w:tmpl w:val="17846A0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2" w15:restartNumberingAfterBreak="0">
    <w:nsid w:val="798547BA"/>
    <w:multiLevelType w:val="hybridMultilevel"/>
    <w:tmpl w:val="021EA3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9DF2670"/>
    <w:multiLevelType w:val="hybridMultilevel"/>
    <w:tmpl w:val="B03C7EC2"/>
    <w:lvl w:ilvl="0" w:tplc="575E3B50">
      <w:start w:val="1"/>
      <w:numFmt w:val="lowerRoman"/>
      <w:pStyle w:val="Tabla2Subtitulos"/>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94" w15:restartNumberingAfterBreak="0">
    <w:nsid w:val="7A8C167F"/>
    <w:multiLevelType w:val="hybridMultilevel"/>
    <w:tmpl w:val="B4A4748C"/>
    <w:lvl w:ilvl="0" w:tplc="02502E12">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7AE738B0"/>
    <w:multiLevelType w:val="hybridMultilevel"/>
    <w:tmpl w:val="0DE8EB12"/>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7B0544F2"/>
    <w:multiLevelType w:val="hybridMultilevel"/>
    <w:tmpl w:val="397E18CC"/>
    <w:lvl w:ilvl="0" w:tplc="C33A01E6">
      <w:start w:val="1"/>
      <w:numFmt w:val="decimal"/>
      <w:lvlText w:val="%1."/>
      <w:lvlJc w:val="left"/>
      <w:pPr>
        <w:ind w:left="720" w:hanging="360"/>
      </w:pPr>
      <w:rPr>
        <w:sz w:val="22"/>
        <w:szCs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7" w15:restartNumberingAfterBreak="0">
    <w:nsid w:val="7C274341"/>
    <w:multiLevelType w:val="hybridMultilevel"/>
    <w:tmpl w:val="9892B21E"/>
    <w:lvl w:ilvl="0" w:tplc="480A0019">
      <w:start w:val="1"/>
      <w:numFmt w:val="lowerLetter"/>
      <w:lvlText w:val="%1."/>
      <w:lvlJc w:val="left"/>
      <w:pPr>
        <w:ind w:left="754" w:hanging="360"/>
      </w:pPr>
    </w:lvl>
    <w:lvl w:ilvl="1" w:tplc="480A0019" w:tentative="1">
      <w:start w:val="1"/>
      <w:numFmt w:val="lowerLetter"/>
      <w:lvlText w:val="%2."/>
      <w:lvlJc w:val="left"/>
      <w:pPr>
        <w:ind w:left="1474" w:hanging="360"/>
      </w:pPr>
    </w:lvl>
    <w:lvl w:ilvl="2" w:tplc="480A001B" w:tentative="1">
      <w:start w:val="1"/>
      <w:numFmt w:val="lowerRoman"/>
      <w:lvlText w:val="%3."/>
      <w:lvlJc w:val="right"/>
      <w:pPr>
        <w:ind w:left="2194" w:hanging="180"/>
      </w:pPr>
    </w:lvl>
    <w:lvl w:ilvl="3" w:tplc="480A000F" w:tentative="1">
      <w:start w:val="1"/>
      <w:numFmt w:val="decimal"/>
      <w:lvlText w:val="%4."/>
      <w:lvlJc w:val="left"/>
      <w:pPr>
        <w:ind w:left="2914" w:hanging="360"/>
      </w:pPr>
    </w:lvl>
    <w:lvl w:ilvl="4" w:tplc="480A0019" w:tentative="1">
      <w:start w:val="1"/>
      <w:numFmt w:val="lowerLetter"/>
      <w:lvlText w:val="%5."/>
      <w:lvlJc w:val="left"/>
      <w:pPr>
        <w:ind w:left="3634" w:hanging="360"/>
      </w:pPr>
    </w:lvl>
    <w:lvl w:ilvl="5" w:tplc="480A001B" w:tentative="1">
      <w:start w:val="1"/>
      <w:numFmt w:val="lowerRoman"/>
      <w:lvlText w:val="%6."/>
      <w:lvlJc w:val="right"/>
      <w:pPr>
        <w:ind w:left="4354" w:hanging="180"/>
      </w:pPr>
    </w:lvl>
    <w:lvl w:ilvl="6" w:tplc="480A000F" w:tentative="1">
      <w:start w:val="1"/>
      <w:numFmt w:val="decimal"/>
      <w:lvlText w:val="%7."/>
      <w:lvlJc w:val="left"/>
      <w:pPr>
        <w:ind w:left="5074" w:hanging="360"/>
      </w:pPr>
    </w:lvl>
    <w:lvl w:ilvl="7" w:tplc="480A0019" w:tentative="1">
      <w:start w:val="1"/>
      <w:numFmt w:val="lowerLetter"/>
      <w:lvlText w:val="%8."/>
      <w:lvlJc w:val="left"/>
      <w:pPr>
        <w:ind w:left="5794" w:hanging="360"/>
      </w:pPr>
    </w:lvl>
    <w:lvl w:ilvl="8" w:tplc="480A001B" w:tentative="1">
      <w:start w:val="1"/>
      <w:numFmt w:val="lowerRoman"/>
      <w:lvlText w:val="%9."/>
      <w:lvlJc w:val="right"/>
      <w:pPr>
        <w:ind w:left="6514" w:hanging="180"/>
      </w:pPr>
    </w:lvl>
  </w:abstractNum>
  <w:abstractNum w:abstractNumId="198" w15:restartNumberingAfterBreak="0">
    <w:nsid w:val="7C3F4C13"/>
    <w:multiLevelType w:val="hybridMultilevel"/>
    <w:tmpl w:val="F31C1F84"/>
    <w:lvl w:ilvl="0" w:tplc="F6548236">
      <w:start w:val="1"/>
      <w:numFmt w:val="upperRoman"/>
      <w:lvlText w:val="%1."/>
      <w:lvlJc w:val="left"/>
      <w:pPr>
        <w:ind w:left="1080" w:hanging="720"/>
      </w:pPr>
      <w:rPr>
        <w:rFonts w:hint="default"/>
        <w:i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9" w15:restartNumberingAfterBreak="0">
    <w:nsid w:val="7E140CC9"/>
    <w:multiLevelType w:val="hybridMultilevel"/>
    <w:tmpl w:val="F134F8EC"/>
    <w:lvl w:ilvl="0" w:tplc="2CE6C7F8">
      <w:start w:val="1"/>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7F094DAF"/>
    <w:multiLevelType w:val="hybridMultilevel"/>
    <w:tmpl w:val="0908C716"/>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abstractNum w:abstractNumId="201" w15:restartNumberingAfterBreak="0">
    <w:nsid w:val="7F122F52"/>
    <w:multiLevelType w:val="hybridMultilevel"/>
    <w:tmpl w:val="19483EFA"/>
    <w:lvl w:ilvl="0" w:tplc="D7DC8D02">
      <w:start w:val="1"/>
      <w:numFmt w:val="decimal"/>
      <w:pStyle w:val="Descripcin"/>
      <w:lvlText w:val="Foto No.%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2" w15:restartNumberingAfterBreak="0">
    <w:nsid w:val="7FE13B26"/>
    <w:multiLevelType w:val="multilevel"/>
    <w:tmpl w:val="B45C9B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6"/>
  </w:num>
  <w:num w:numId="2">
    <w:abstractNumId w:val="113"/>
  </w:num>
  <w:num w:numId="3">
    <w:abstractNumId w:val="49"/>
  </w:num>
  <w:num w:numId="4">
    <w:abstractNumId w:val="58"/>
  </w:num>
  <w:num w:numId="5">
    <w:abstractNumId w:val="182"/>
  </w:num>
  <w:num w:numId="6">
    <w:abstractNumId w:val="92"/>
  </w:num>
  <w:num w:numId="7">
    <w:abstractNumId w:val="169"/>
  </w:num>
  <w:num w:numId="8">
    <w:abstractNumId w:val="41"/>
  </w:num>
  <w:num w:numId="9">
    <w:abstractNumId w:val="130"/>
  </w:num>
  <w:num w:numId="10">
    <w:abstractNumId w:val="12"/>
  </w:num>
  <w:num w:numId="11">
    <w:abstractNumId w:val="40"/>
  </w:num>
  <w:num w:numId="12">
    <w:abstractNumId w:val="98"/>
  </w:num>
  <w:num w:numId="13">
    <w:abstractNumId w:val="18"/>
  </w:num>
  <w:num w:numId="14">
    <w:abstractNumId w:val="190"/>
  </w:num>
  <w:num w:numId="15">
    <w:abstractNumId w:val="80"/>
  </w:num>
  <w:num w:numId="16">
    <w:abstractNumId w:val="162"/>
  </w:num>
  <w:num w:numId="17">
    <w:abstractNumId w:val="129"/>
  </w:num>
  <w:num w:numId="18">
    <w:abstractNumId w:val="104"/>
  </w:num>
  <w:num w:numId="19">
    <w:abstractNumId w:val="138"/>
  </w:num>
  <w:num w:numId="20">
    <w:abstractNumId w:val="143"/>
  </w:num>
  <w:num w:numId="21">
    <w:abstractNumId w:val="164"/>
  </w:num>
  <w:num w:numId="22">
    <w:abstractNumId w:val="197"/>
  </w:num>
  <w:num w:numId="23">
    <w:abstractNumId w:val="146"/>
  </w:num>
  <w:num w:numId="24">
    <w:abstractNumId w:val="112"/>
  </w:num>
  <w:num w:numId="25">
    <w:abstractNumId w:val="192"/>
  </w:num>
  <w:num w:numId="26">
    <w:abstractNumId w:val="107"/>
  </w:num>
  <w:num w:numId="27">
    <w:abstractNumId w:val="91"/>
  </w:num>
  <w:num w:numId="28">
    <w:abstractNumId w:val="10"/>
  </w:num>
  <w:num w:numId="29">
    <w:abstractNumId w:val="105"/>
  </w:num>
  <w:num w:numId="30">
    <w:abstractNumId w:val="97"/>
  </w:num>
  <w:num w:numId="31">
    <w:abstractNumId w:val="27"/>
  </w:num>
  <w:num w:numId="32">
    <w:abstractNumId w:val="161"/>
  </w:num>
  <w:num w:numId="33">
    <w:abstractNumId w:val="167"/>
  </w:num>
  <w:num w:numId="34">
    <w:abstractNumId w:val="66"/>
  </w:num>
  <w:num w:numId="35">
    <w:abstractNumId w:val="132"/>
  </w:num>
  <w:num w:numId="36">
    <w:abstractNumId w:val="193"/>
  </w:num>
  <w:num w:numId="37">
    <w:abstractNumId w:val="51"/>
  </w:num>
  <w:num w:numId="38">
    <w:abstractNumId w:val="121"/>
  </w:num>
  <w:num w:numId="39">
    <w:abstractNumId w:val="70"/>
  </w:num>
  <w:num w:numId="40">
    <w:abstractNumId w:val="57"/>
  </w:num>
  <w:num w:numId="41">
    <w:abstractNumId w:val="155"/>
  </w:num>
  <w:num w:numId="42">
    <w:abstractNumId w:val="160"/>
  </w:num>
  <w:num w:numId="43">
    <w:abstractNumId w:val="39"/>
  </w:num>
  <w:num w:numId="44">
    <w:abstractNumId w:val="35"/>
  </w:num>
  <w:num w:numId="45">
    <w:abstractNumId w:val="94"/>
  </w:num>
  <w:num w:numId="46">
    <w:abstractNumId w:val="166"/>
  </w:num>
  <w:num w:numId="47">
    <w:abstractNumId w:val="24"/>
  </w:num>
  <w:num w:numId="48">
    <w:abstractNumId w:val="81"/>
  </w:num>
  <w:num w:numId="49">
    <w:abstractNumId w:val="173"/>
  </w:num>
  <w:num w:numId="50">
    <w:abstractNumId w:val="73"/>
  </w:num>
  <w:num w:numId="51">
    <w:abstractNumId w:val="196"/>
  </w:num>
  <w:num w:numId="52">
    <w:abstractNumId w:val="43"/>
  </w:num>
  <w:num w:numId="53">
    <w:abstractNumId w:val="136"/>
  </w:num>
  <w:num w:numId="54">
    <w:abstractNumId w:val="8"/>
  </w:num>
  <w:num w:numId="55">
    <w:abstractNumId w:val="100"/>
  </w:num>
  <w:num w:numId="56">
    <w:abstractNumId w:val="172"/>
  </w:num>
  <w:num w:numId="57">
    <w:abstractNumId w:val="64"/>
  </w:num>
  <w:num w:numId="58">
    <w:abstractNumId w:val="14"/>
  </w:num>
  <w:num w:numId="59">
    <w:abstractNumId w:val="157"/>
  </w:num>
  <w:num w:numId="60">
    <w:abstractNumId w:val="28"/>
  </w:num>
  <w:num w:numId="61">
    <w:abstractNumId w:val="141"/>
  </w:num>
  <w:num w:numId="62">
    <w:abstractNumId w:val="147"/>
  </w:num>
  <w:num w:numId="63">
    <w:abstractNumId w:val="119"/>
  </w:num>
  <w:num w:numId="64">
    <w:abstractNumId w:val="90"/>
  </w:num>
  <w:num w:numId="65">
    <w:abstractNumId w:val="114"/>
    <w:lvlOverride w:ilvl="0">
      <w:startOverride w:val="1"/>
    </w:lvlOverride>
    <w:lvlOverride w:ilvl="1">
      <w:startOverride w:val="2"/>
    </w:lvlOverride>
  </w:num>
  <w:num w:numId="66">
    <w:abstractNumId w:val="125"/>
  </w:num>
  <w:num w:numId="67">
    <w:abstractNumId w:val="38"/>
  </w:num>
  <w:num w:numId="68">
    <w:abstractNumId w:val="168"/>
  </w:num>
  <w:num w:numId="69">
    <w:abstractNumId w:val="152"/>
  </w:num>
  <w:num w:numId="70">
    <w:abstractNumId w:val="120"/>
  </w:num>
  <w:num w:numId="71">
    <w:abstractNumId w:val="9"/>
  </w:num>
  <w:num w:numId="72">
    <w:abstractNumId w:val="65"/>
  </w:num>
  <w:num w:numId="73">
    <w:abstractNumId w:val="131"/>
  </w:num>
  <w:num w:numId="74">
    <w:abstractNumId w:val="177"/>
  </w:num>
  <w:num w:numId="75">
    <w:abstractNumId w:val="82"/>
  </w:num>
  <w:num w:numId="76">
    <w:abstractNumId w:val="191"/>
  </w:num>
  <w:num w:numId="7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6"/>
  </w:num>
  <w:num w:numId="84">
    <w:abstractNumId w:val="151"/>
  </w:num>
  <w:num w:numId="85">
    <w:abstractNumId w:val="26"/>
  </w:num>
  <w:num w:numId="86">
    <w:abstractNumId w:val="115"/>
  </w:num>
  <w:num w:numId="87">
    <w:abstractNumId w:val="78"/>
  </w:num>
  <w:num w:numId="88">
    <w:abstractNumId w:val="124"/>
  </w:num>
  <w:num w:numId="89">
    <w:abstractNumId w:val="15"/>
  </w:num>
  <w:num w:numId="90">
    <w:abstractNumId w:val="86"/>
  </w:num>
  <w:num w:numId="91">
    <w:abstractNumId w:val="61"/>
  </w:num>
  <w:num w:numId="92">
    <w:abstractNumId w:val="23"/>
  </w:num>
  <w:num w:numId="93">
    <w:abstractNumId w:val="154"/>
  </w:num>
  <w:num w:numId="94">
    <w:abstractNumId w:val="33"/>
  </w:num>
  <w:num w:numId="95">
    <w:abstractNumId w:val="59"/>
  </w:num>
  <w:num w:numId="96">
    <w:abstractNumId w:val="148"/>
  </w:num>
  <w:num w:numId="97">
    <w:abstractNumId w:val="184"/>
  </w:num>
  <w:num w:numId="98">
    <w:abstractNumId w:val="84"/>
  </w:num>
  <w:num w:numId="99">
    <w:abstractNumId w:val="1"/>
  </w:num>
  <w:num w:numId="100">
    <w:abstractNumId w:val="11"/>
  </w:num>
  <w:num w:numId="101">
    <w:abstractNumId w:val="134"/>
  </w:num>
  <w:num w:numId="102">
    <w:abstractNumId w:val="52"/>
  </w:num>
  <w:num w:numId="103">
    <w:abstractNumId w:val="54"/>
  </w:num>
  <w:num w:numId="104">
    <w:abstractNumId w:val="175"/>
  </w:num>
  <w:num w:numId="105">
    <w:abstractNumId w:val="75"/>
  </w:num>
  <w:num w:numId="106">
    <w:abstractNumId w:val="195"/>
  </w:num>
  <w:num w:numId="107">
    <w:abstractNumId w:val="89"/>
  </w:num>
  <w:num w:numId="108">
    <w:abstractNumId w:val="185"/>
  </w:num>
  <w:num w:numId="109">
    <w:abstractNumId w:val="199"/>
  </w:num>
  <w:num w:numId="110">
    <w:abstractNumId w:val="13"/>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num>
  <w:num w:numId="113">
    <w:abstractNumId w:val="202"/>
  </w:num>
  <w:num w:numId="114">
    <w:abstractNumId w:val="103"/>
  </w:num>
  <w:num w:numId="115">
    <w:abstractNumId w:val="50"/>
  </w:num>
  <w:num w:numId="116">
    <w:abstractNumId w:val="2"/>
  </w:num>
  <w:num w:numId="1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2"/>
  </w:num>
  <w:num w:numId="119">
    <w:abstractNumId w:val="101"/>
  </w:num>
  <w:num w:numId="120">
    <w:abstractNumId w:val="21"/>
  </w:num>
  <w:num w:numId="121">
    <w:abstractNumId w:val="36"/>
  </w:num>
  <w:num w:numId="1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1"/>
  </w:num>
  <w:num w:numId="124">
    <w:abstractNumId w:val="142"/>
  </w:num>
  <w:num w:numId="125">
    <w:abstractNumId w:val="194"/>
  </w:num>
  <w:num w:numId="126">
    <w:abstractNumId w:val="200"/>
  </w:num>
  <w:num w:numId="127">
    <w:abstractNumId w:val="171"/>
  </w:num>
  <w:num w:numId="128">
    <w:abstractNumId w:val="106"/>
  </w:num>
  <w:num w:numId="129">
    <w:abstractNumId w:val="145"/>
  </w:num>
  <w:num w:numId="13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6"/>
  </w:num>
  <w:num w:numId="132">
    <w:abstractNumId w:val="187"/>
  </w:num>
  <w:num w:numId="133">
    <w:abstractNumId w:val="158"/>
  </w:num>
  <w:num w:numId="134">
    <w:abstractNumId w:val="176"/>
  </w:num>
  <w:num w:numId="135">
    <w:abstractNumId w:val="135"/>
  </w:num>
  <w:num w:numId="136">
    <w:abstractNumId w:val="69"/>
  </w:num>
  <w:num w:numId="137">
    <w:abstractNumId w:val="139"/>
  </w:num>
  <w:num w:numId="138">
    <w:abstractNumId w:val="110"/>
  </w:num>
  <w:num w:numId="139">
    <w:abstractNumId w:val="42"/>
  </w:num>
  <w:num w:numId="140">
    <w:abstractNumId w:val="68"/>
  </w:num>
  <w:num w:numId="141">
    <w:abstractNumId w:val="165"/>
  </w:num>
  <w:num w:numId="142">
    <w:abstractNumId w:val="63"/>
  </w:num>
  <w:num w:numId="143">
    <w:abstractNumId w:val="198"/>
  </w:num>
  <w:num w:numId="144">
    <w:abstractNumId w:val="20"/>
  </w:num>
  <w:num w:numId="145">
    <w:abstractNumId w:val="111"/>
  </w:num>
  <w:num w:numId="146">
    <w:abstractNumId w:val="126"/>
  </w:num>
  <w:num w:numId="147">
    <w:abstractNumId w:val="137"/>
  </w:num>
  <w:num w:numId="148">
    <w:abstractNumId w:val="74"/>
  </w:num>
  <w:num w:numId="149">
    <w:abstractNumId w:val="186"/>
  </w:num>
  <w:num w:numId="150">
    <w:abstractNumId w:val="201"/>
  </w:num>
  <w:num w:numId="151">
    <w:abstractNumId w:val="180"/>
  </w:num>
  <w:num w:numId="152">
    <w:abstractNumId w:val="0"/>
  </w:num>
  <w:num w:numId="153">
    <w:abstractNumId w:val="45"/>
  </w:num>
  <w:num w:numId="154">
    <w:abstractNumId w:val="7"/>
  </w:num>
  <w:num w:numId="155">
    <w:abstractNumId w:val="127"/>
  </w:num>
  <w:num w:numId="156">
    <w:abstractNumId w:val="109"/>
  </w:num>
  <w:num w:numId="157">
    <w:abstractNumId w:val="37"/>
  </w:num>
  <w:num w:numId="158">
    <w:abstractNumId w:val="153"/>
  </w:num>
  <w:num w:numId="159">
    <w:abstractNumId w:val="140"/>
  </w:num>
  <w:num w:numId="160">
    <w:abstractNumId w:val="144"/>
  </w:num>
  <w:num w:numId="161">
    <w:abstractNumId w:val="88"/>
  </w:num>
  <w:num w:numId="162">
    <w:abstractNumId w:val="76"/>
  </w:num>
  <w:num w:numId="163">
    <w:abstractNumId w:val="150"/>
  </w:num>
  <w:num w:numId="164">
    <w:abstractNumId w:val="53"/>
  </w:num>
  <w:num w:numId="165">
    <w:abstractNumId w:val="55"/>
  </w:num>
  <w:num w:numId="166">
    <w:abstractNumId w:val="6"/>
  </w:num>
  <w:num w:numId="167">
    <w:abstractNumId w:val="123"/>
  </w:num>
  <w:num w:numId="168">
    <w:abstractNumId w:val="183"/>
  </w:num>
  <w:num w:numId="169">
    <w:abstractNumId w:val="72"/>
  </w:num>
  <w:num w:numId="170">
    <w:abstractNumId w:val="95"/>
  </w:num>
  <w:num w:numId="171">
    <w:abstractNumId w:val="133"/>
  </w:num>
  <w:num w:numId="172">
    <w:abstractNumId w:val="31"/>
  </w:num>
  <w:num w:numId="173">
    <w:abstractNumId w:val="56"/>
  </w:num>
  <w:num w:numId="174">
    <w:abstractNumId w:val="159"/>
  </w:num>
  <w:num w:numId="175">
    <w:abstractNumId w:val="188"/>
  </w:num>
  <w:num w:numId="176">
    <w:abstractNumId w:val="5"/>
  </w:num>
  <w:num w:numId="177">
    <w:abstractNumId w:val="122"/>
  </w:num>
  <w:num w:numId="178">
    <w:abstractNumId w:val="62"/>
  </w:num>
  <w:num w:numId="179">
    <w:abstractNumId w:val="32"/>
  </w:num>
  <w:num w:numId="180">
    <w:abstractNumId w:val="25"/>
  </w:num>
  <w:num w:numId="181">
    <w:abstractNumId w:val="149"/>
  </w:num>
  <w:num w:numId="182">
    <w:abstractNumId w:val="178"/>
  </w:num>
  <w:num w:numId="183">
    <w:abstractNumId w:val="30"/>
  </w:num>
  <w:num w:numId="184">
    <w:abstractNumId w:val="60"/>
  </w:num>
  <w:num w:numId="185">
    <w:abstractNumId w:val="99"/>
  </w:num>
  <w:num w:numId="186">
    <w:abstractNumId w:val="102"/>
  </w:num>
  <w:num w:numId="187">
    <w:abstractNumId w:val="17"/>
  </w:num>
  <w:num w:numId="188">
    <w:abstractNumId w:val="47"/>
  </w:num>
  <w:num w:numId="189">
    <w:abstractNumId w:val="170"/>
  </w:num>
  <w:num w:numId="190">
    <w:abstractNumId w:val="77"/>
  </w:num>
  <w:num w:numId="191">
    <w:abstractNumId w:val="79"/>
  </w:num>
  <w:num w:numId="192">
    <w:abstractNumId w:val="29"/>
  </w:num>
  <w:num w:numId="193">
    <w:abstractNumId w:val="4"/>
  </w:num>
  <w:num w:numId="194">
    <w:abstractNumId w:val="181"/>
  </w:num>
  <w:num w:numId="195">
    <w:abstractNumId w:val="118"/>
  </w:num>
  <w:num w:numId="196">
    <w:abstractNumId w:val="44"/>
  </w:num>
  <w:num w:numId="197">
    <w:abstractNumId w:val="34"/>
  </w:num>
  <w:num w:numId="198">
    <w:abstractNumId w:val="3"/>
  </w:num>
  <w:num w:numId="199">
    <w:abstractNumId w:val="85"/>
  </w:num>
  <w:num w:numId="200">
    <w:abstractNumId w:val="87"/>
  </w:num>
  <w:num w:numId="201">
    <w:abstractNumId w:val="93"/>
  </w:num>
  <w:num w:numId="202">
    <w:abstractNumId w:val="163"/>
  </w:num>
  <w:num w:numId="20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9"/>
  </w:num>
  <w:num w:numId="205">
    <w:abstractNumId w:val="83"/>
  </w:num>
  <w:num w:numId="206">
    <w:abstractNumId w:val="108"/>
  </w:num>
  <w:num w:numId="207">
    <w:abstractNumId w:val="174"/>
  </w:num>
  <w:num w:numId="208">
    <w:abstractNumId w:val="128"/>
  </w:num>
  <w:num w:numId="209">
    <w:abstractNumId w:val="116"/>
  </w:num>
  <w:num w:numId="210">
    <w:abstractNumId w:val="19"/>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DE"/>
    <w:rsid w:val="00000B2B"/>
    <w:rsid w:val="00000F91"/>
    <w:rsid w:val="0000111E"/>
    <w:rsid w:val="00002343"/>
    <w:rsid w:val="00002490"/>
    <w:rsid w:val="00002E9A"/>
    <w:rsid w:val="00003350"/>
    <w:rsid w:val="00003780"/>
    <w:rsid w:val="0000711B"/>
    <w:rsid w:val="00007411"/>
    <w:rsid w:val="00010308"/>
    <w:rsid w:val="00010341"/>
    <w:rsid w:val="00012004"/>
    <w:rsid w:val="00013EA2"/>
    <w:rsid w:val="000145F6"/>
    <w:rsid w:val="000154AB"/>
    <w:rsid w:val="00015663"/>
    <w:rsid w:val="00015ADB"/>
    <w:rsid w:val="0001608C"/>
    <w:rsid w:val="000178A3"/>
    <w:rsid w:val="00022CBB"/>
    <w:rsid w:val="00024F8E"/>
    <w:rsid w:val="0002534A"/>
    <w:rsid w:val="00025678"/>
    <w:rsid w:val="00025AEB"/>
    <w:rsid w:val="00025C59"/>
    <w:rsid w:val="00026AD5"/>
    <w:rsid w:val="00026F81"/>
    <w:rsid w:val="0002748D"/>
    <w:rsid w:val="00027B7E"/>
    <w:rsid w:val="0003011A"/>
    <w:rsid w:val="0003086A"/>
    <w:rsid w:val="000314AB"/>
    <w:rsid w:val="00032C37"/>
    <w:rsid w:val="0003308B"/>
    <w:rsid w:val="000331AB"/>
    <w:rsid w:val="000350F9"/>
    <w:rsid w:val="00037B93"/>
    <w:rsid w:val="000421AE"/>
    <w:rsid w:val="00042B17"/>
    <w:rsid w:val="00042BA8"/>
    <w:rsid w:val="00043038"/>
    <w:rsid w:val="0004428C"/>
    <w:rsid w:val="000445F0"/>
    <w:rsid w:val="00044A73"/>
    <w:rsid w:val="00046279"/>
    <w:rsid w:val="00050D6D"/>
    <w:rsid w:val="00052108"/>
    <w:rsid w:val="0005548A"/>
    <w:rsid w:val="0005702C"/>
    <w:rsid w:val="000573B0"/>
    <w:rsid w:val="00057D19"/>
    <w:rsid w:val="0006105E"/>
    <w:rsid w:val="00062498"/>
    <w:rsid w:val="0006259A"/>
    <w:rsid w:val="00062A94"/>
    <w:rsid w:val="00063F24"/>
    <w:rsid w:val="00065849"/>
    <w:rsid w:val="000667D0"/>
    <w:rsid w:val="00066F84"/>
    <w:rsid w:val="0006771D"/>
    <w:rsid w:val="00072228"/>
    <w:rsid w:val="00073B15"/>
    <w:rsid w:val="00074464"/>
    <w:rsid w:val="00074853"/>
    <w:rsid w:val="00074F6E"/>
    <w:rsid w:val="000769CE"/>
    <w:rsid w:val="00077CEB"/>
    <w:rsid w:val="00082A08"/>
    <w:rsid w:val="00082C98"/>
    <w:rsid w:val="00086EB1"/>
    <w:rsid w:val="00087E5F"/>
    <w:rsid w:val="000915CA"/>
    <w:rsid w:val="00091625"/>
    <w:rsid w:val="00091894"/>
    <w:rsid w:val="00091EEF"/>
    <w:rsid w:val="000922C1"/>
    <w:rsid w:val="00092451"/>
    <w:rsid w:val="00092C0E"/>
    <w:rsid w:val="000935B5"/>
    <w:rsid w:val="000949EC"/>
    <w:rsid w:val="000A1BF5"/>
    <w:rsid w:val="000A2401"/>
    <w:rsid w:val="000A2557"/>
    <w:rsid w:val="000A394A"/>
    <w:rsid w:val="000A7099"/>
    <w:rsid w:val="000A76EE"/>
    <w:rsid w:val="000A7CAF"/>
    <w:rsid w:val="000B1825"/>
    <w:rsid w:val="000B3F63"/>
    <w:rsid w:val="000B47EA"/>
    <w:rsid w:val="000B4BDA"/>
    <w:rsid w:val="000B5855"/>
    <w:rsid w:val="000C057D"/>
    <w:rsid w:val="000C133D"/>
    <w:rsid w:val="000C170A"/>
    <w:rsid w:val="000C1815"/>
    <w:rsid w:val="000C2429"/>
    <w:rsid w:val="000C2894"/>
    <w:rsid w:val="000C2A26"/>
    <w:rsid w:val="000C3941"/>
    <w:rsid w:val="000C3E1F"/>
    <w:rsid w:val="000C58D8"/>
    <w:rsid w:val="000C6174"/>
    <w:rsid w:val="000C64F6"/>
    <w:rsid w:val="000C6F0D"/>
    <w:rsid w:val="000C7409"/>
    <w:rsid w:val="000C774A"/>
    <w:rsid w:val="000D02E4"/>
    <w:rsid w:val="000D057F"/>
    <w:rsid w:val="000D1134"/>
    <w:rsid w:val="000D3D56"/>
    <w:rsid w:val="000D46C7"/>
    <w:rsid w:val="000D4E3D"/>
    <w:rsid w:val="000D5030"/>
    <w:rsid w:val="000D54BD"/>
    <w:rsid w:val="000D72A7"/>
    <w:rsid w:val="000D7B55"/>
    <w:rsid w:val="000E04CD"/>
    <w:rsid w:val="000E5A9D"/>
    <w:rsid w:val="000E5B44"/>
    <w:rsid w:val="000E5D96"/>
    <w:rsid w:val="000E67B0"/>
    <w:rsid w:val="000E7803"/>
    <w:rsid w:val="000E782E"/>
    <w:rsid w:val="000F3933"/>
    <w:rsid w:val="000F3CD8"/>
    <w:rsid w:val="000F4239"/>
    <w:rsid w:val="000F4465"/>
    <w:rsid w:val="000F49CF"/>
    <w:rsid w:val="000F4E88"/>
    <w:rsid w:val="000F5A72"/>
    <w:rsid w:val="000F5B8F"/>
    <w:rsid w:val="000F67BF"/>
    <w:rsid w:val="000F7FEE"/>
    <w:rsid w:val="00100D29"/>
    <w:rsid w:val="0010133C"/>
    <w:rsid w:val="001022CD"/>
    <w:rsid w:val="0010511A"/>
    <w:rsid w:val="001065BE"/>
    <w:rsid w:val="00106AE9"/>
    <w:rsid w:val="001112A7"/>
    <w:rsid w:val="001116C7"/>
    <w:rsid w:val="00111B69"/>
    <w:rsid w:val="00111BE0"/>
    <w:rsid w:val="00112504"/>
    <w:rsid w:val="0012152C"/>
    <w:rsid w:val="00122C7E"/>
    <w:rsid w:val="001255B6"/>
    <w:rsid w:val="001301DC"/>
    <w:rsid w:val="00130B08"/>
    <w:rsid w:val="00132008"/>
    <w:rsid w:val="0013407C"/>
    <w:rsid w:val="0013460C"/>
    <w:rsid w:val="0013585C"/>
    <w:rsid w:val="0013643E"/>
    <w:rsid w:val="00140637"/>
    <w:rsid w:val="001414D0"/>
    <w:rsid w:val="00141C82"/>
    <w:rsid w:val="00142AD5"/>
    <w:rsid w:val="00143E37"/>
    <w:rsid w:val="00146F11"/>
    <w:rsid w:val="00147591"/>
    <w:rsid w:val="00147A58"/>
    <w:rsid w:val="00147CB7"/>
    <w:rsid w:val="00150477"/>
    <w:rsid w:val="001522B9"/>
    <w:rsid w:val="00154A62"/>
    <w:rsid w:val="00154F0E"/>
    <w:rsid w:val="0015708D"/>
    <w:rsid w:val="001610AC"/>
    <w:rsid w:val="001615AA"/>
    <w:rsid w:val="00161DD4"/>
    <w:rsid w:val="0016289B"/>
    <w:rsid w:val="001632F8"/>
    <w:rsid w:val="00164B3A"/>
    <w:rsid w:val="00166403"/>
    <w:rsid w:val="00167AB8"/>
    <w:rsid w:val="00167CAF"/>
    <w:rsid w:val="00171AF8"/>
    <w:rsid w:val="001723F2"/>
    <w:rsid w:val="0017348D"/>
    <w:rsid w:val="00173AF6"/>
    <w:rsid w:val="00173DA3"/>
    <w:rsid w:val="0017452B"/>
    <w:rsid w:val="0017548D"/>
    <w:rsid w:val="00177844"/>
    <w:rsid w:val="00180B6C"/>
    <w:rsid w:val="00181F97"/>
    <w:rsid w:val="001860A5"/>
    <w:rsid w:val="00187055"/>
    <w:rsid w:val="001909AF"/>
    <w:rsid w:val="001912AE"/>
    <w:rsid w:val="00192AEF"/>
    <w:rsid w:val="0019351B"/>
    <w:rsid w:val="001935AD"/>
    <w:rsid w:val="0019388C"/>
    <w:rsid w:val="001962C4"/>
    <w:rsid w:val="00197385"/>
    <w:rsid w:val="00197A9B"/>
    <w:rsid w:val="001A06CB"/>
    <w:rsid w:val="001A1246"/>
    <w:rsid w:val="001A28DA"/>
    <w:rsid w:val="001A4513"/>
    <w:rsid w:val="001A4860"/>
    <w:rsid w:val="001A4C70"/>
    <w:rsid w:val="001B03C6"/>
    <w:rsid w:val="001B0D29"/>
    <w:rsid w:val="001B23B8"/>
    <w:rsid w:val="001B25B0"/>
    <w:rsid w:val="001B289A"/>
    <w:rsid w:val="001B3327"/>
    <w:rsid w:val="001B4789"/>
    <w:rsid w:val="001B5C4C"/>
    <w:rsid w:val="001B718A"/>
    <w:rsid w:val="001B7566"/>
    <w:rsid w:val="001B79AF"/>
    <w:rsid w:val="001C0B6B"/>
    <w:rsid w:val="001C255A"/>
    <w:rsid w:val="001C3226"/>
    <w:rsid w:val="001C3A8E"/>
    <w:rsid w:val="001C50EE"/>
    <w:rsid w:val="001C5B57"/>
    <w:rsid w:val="001C6257"/>
    <w:rsid w:val="001C7ACB"/>
    <w:rsid w:val="001D1E61"/>
    <w:rsid w:val="001D62A5"/>
    <w:rsid w:val="001D65D0"/>
    <w:rsid w:val="001D68E7"/>
    <w:rsid w:val="001E0FB2"/>
    <w:rsid w:val="001E4D35"/>
    <w:rsid w:val="001E4E8F"/>
    <w:rsid w:val="001E6DCE"/>
    <w:rsid w:val="001E6EF0"/>
    <w:rsid w:val="001F026B"/>
    <w:rsid w:val="001F09E5"/>
    <w:rsid w:val="001F1C57"/>
    <w:rsid w:val="001F24C6"/>
    <w:rsid w:val="001F436B"/>
    <w:rsid w:val="001F4CB6"/>
    <w:rsid w:val="001F5056"/>
    <w:rsid w:val="001F6AFC"/>
    <w:rsid w:val="001F6FB6"/>
    <w:rsid w:val="00201135"/>
    <w:rsid w:val="00201264"/>
    <w:rsid w:val="00201364"/>
    <w:rsid w:val="002036AE"/>
    <w:rsid w:val="00203AD5"/>
    <w:rsid w:val="00204097"/>
    <w:rsid w:val="00204D8E"/>
    <w:rsid w:val="00205125"/>
    <w:rsid w:val="0020603A"/>
    <w:rsid w:val="00210434"/>
    <w:rsid w:val="00210789"/>
    <w:rsid w:val="00210A35"/>
    <w:rsid w:val="00210EB3"/>
    <w:rsid w:val="002118D8"/>
    <w:rsid w:val="00211BA8"/>
    <w:rsid w:val="00212123"/>
    <w:rsid w:val="002127C8"/>
    <w:rsid w:val="002146A2"/>
    <w:rsid w:val="00214B3C"/>
    <w:rsid w:val="00215D41"/>
    <w:rsid w:val="00216BD6"/>
    <w:rsid w:val="0021772A"/>
    <w:rsid w:val="00217811"/>
    <w:rsid w:val="002211B5"/>
    <w:rsid w:val="0022126D"/>
    <w:rsid w:val="00223533"/>
    <w:rsid w:val="0022397B"/>
    <w:rsid w:val="00225519"/>
    <w:rsid w:val="002258D8"/>
    <w:rsid w:val="00225F72"/>
    <w:rsid w:val="00227606"/>
    <w:rsid w:val="002279AD"/>
    <w:rsid w:val="00232302"/>
    <w:rsid w:val="00234E22"/>
    <w:rsid w:val="0023661E"/>
    <w:rsid w:val="00236791"/>
    <w:rsid w:val="00237B5C"/>
    <w:rsid w:val="0024146A"/>
    <w:rsid w:val="00241957"/>
    <w:rsid w:val="00241F9A"/>
    <w:rsid w:val="00242458"/>
    <w:rsid w:val="00242F4D"/>
    <w:rsid w:val="00243739"/>
    <w:rsid w:val="00243EB4"/>
    <w:rsid w:val="0024559C"/>
    <w:rsid w:val="00245855"/>
    <w:rsid w:val="00245A32"/>
    <w:rsid w:val="00246118"/>
    <w:rsid w:val="00246AD7"/>
    <w:rsid w:val="002475C4"/>
    <w:rsid w:val="002509F0"/>
    <w:rsid w:val="00251C34"/>
    <w:rsid w:val="00252B5C"/>
    <w:rsid w:val="002531A3"/>
    <w:rsid w:val="00256884"/>
    <w:rsid w:val="00256D4C"/>
    <w:rsid w:val="00260302"/>
    <w:rsid w:val="00261035"/>
    <w:rsid w:val="0026213A"/>
    <w:rsid w:val="002625D0"/>
    <w:rsid w:val="00262AE0"/>
    <w:rsid w:val="00263A31"/>
    <w:rsid w:val="00264208"/>
    <w:rsid w:val="002648F7"/>
    <w:rsid w:val="00264ADD"/>
    <w:rsid w:val="00264E97"/>
    <w:rsid w:val="00265734"/>
    <w:rsid w:val="00265E03"/>
    <w:rsid w:val="002665E6"/>
    <w:rsid w:val="00266788"/>
    <w:rsid w:val="002713DE"/>
    <w:rsid w:val="002716AC"/>
    <w:rsid w:val="00271DD9"/>
    <w:rsid w:val="0027237D"/>
    <w:rsid w:val="00272464"/>
    <w:rsid w:val="0027323E"/>
    <w:rsid w:val="002759D7"/>
    <w:rsid w:val="00277ADC"/>
    <w:rsid w:val="00282A01"/>
    <w:rsid w:val="00283794"/>
    <w:rsid w:val="002839B4"/>
    <w:rsid w:val="00285131"/>
    <w:rsid w:val="00285FB0"/>
    <w:rsid w:val="002864FE"/>
    <w:rsid w:val="002909B7"/>
    <w:rsid w:val="00291E00"/>
    <w:rsid w:val="002934C2"/>
    <w:rsid w:val="002937C2"/>
    <w:rsid w:val="00293CAC"/>
    <w:rsid w:val="00293DF9"/>
    <w:rsid w:val="00296957"/>
    <w:rsid w:val="002971AA"/>
    <w:rsid w:val="002A21AE"/>
    <w:rsid w:val="002A25D6"/>
    <w:rsid w:val="002A2D71"/>
    <w:rsid w:val="002A33FE"/>
    <w:rsid w:val="002A3AA5"/>
    <w:rsid w:val="002A3C66"/>
    <w:rsid w:val="002A50C4"/>
    <w:rsid w:val="002A51BA"/>
    <w:rsid w:val="002A665E"/>
    <w:rsid w:val="002A6750"/>
    <w:rsid w:val="002A79C8"/>
    <w:rsid w:val="002A7E0A"/>
    <w:rsid w:val="002B0802"/>
    <w:rsid w:val="002B3769"/>
    <w:rsid w:val="002B39A2"/>
    <w:rsid w:val="002B4AE4"/>
    <w:rsid w:val="002B615B"/>
    <w:rsid w:val="002B615D"/>
    <w:rsid w:val="002C0DE9"/>
    <w:rsid w:val="002C144E"/>
    <w:rsid w:val="002C1BE4"/>
    <w:rsid w:val="002C1CCB"/>
    <w:rsid w:val="002C28B7"/>
    <w:rsid w:val="002C2B59"/>
    <w:rsid w:val="002C3485"/>
    <w:rsid w:val="002C4048"/>
    <w:rsid w:val="002C552A"/>
    <w:rsid w:val="002C5B0D"/>
    <w:rsid w:val="002C6280"/>
    <w:rsid w:val="002C6B93"/>
    <w:rsid w:val="002C75C3"/>
    <w:rsid w:val="002D258E"/>
    <w:rsid w:val="002D2A5F"/>
    <w:rsid w:val="002D4D3B"/>
    <w:rsid w:val="002D5DDC"/>
    <w:rsid w:val="002E0233"/>
    <w:rsid w:val="002E0E88"/>
    <w:rsid w:val="002E1F8D"/>
    <w:rsid w:val="002E2BE9"/>
    <w:rsid w:val="002E33D0"/>
    <w:rsid w:val="002E3F90"/>
    <w:rsid w:val="002E5982"/>
    <w:rsid w:val="002E5D6C"/>
    <w:rsid w:val="002E75DD"/>
    <w:rsid w:val="002F2F07"/>
    <w:rsid w:val="002F4A04"/>
    <w:rsid w:val="002F6131"/>
    <w:rsid w:val="002F791B"/>
    <w:rsid w:val="002F7BA0"/>
    <w:rsid w:val="002F7C0E"/>
    <w:rsid w:val="002F7C5A"/>
    <w:rsid w:val="002F7E06"/>
    <w:rsid w:val="003000D0"/>
    <w:rsid w:val="00302E55"/>
    <w:rsid w:val="00303353"/>
    <w:rsid w:val="00304CDD"/>
    <w:rsid w:val="00304DC2"/>
    <w:rsid w:val="00305FAE"/>
    <w:rsid w:val="00306F45"/>
    <w:rsid w:val="00310E3E"/>
    <w:rsid w:val="00310E73"/>
    <w:rsid w:val="00313596"/>
    <w:rsid w:val="00314802"/>
    <w:rsid w:val="00314B1F"/>
    <w:rsid w:val="003173BD"/>
    <w:rsid w:val="003223FC"/>
    <w:rsid w:val="00324660"/>
    <w:rsid w:val="0032585E"/>
    <w:rsid w:val="00333373"/>
    <w:rsid w:val="00333DA6"/>
    <w:rsid w:val="0033570B"/>
    <w:rsid w:val="00335933"/>
    <w:rsid w:val="00335BC1"/>
    <w:rsid w:val="003400E5"/>
    <w:rsid w:val="00340859"/>
    <w:rsid w:val="003428F8"/>
    <w:rsid w:val="0034346B"/>
    <w:rsid w:val="003446E7"/>
    <w:rsid w:val="00344A36"/>
    <w:rsid w:val="003476B3"/>
    <w:rsid w:val="003476C3"/>
    <w:rsid w:val="003504FF"/>
    <w:rsid w:val="00351D8D"/>
    <w:rsid w:val="003554A0"/>
    <w:rsid w:val="00355CA6"/>
    <w:rsid w:val="0035604A"/>
    <w:rsid w:val="003570BC"/>
    <w:rsid w:val="003575F5"/>
    <w:rsid w:val="00361D11"/>
    <w:rsid w:val="003668FD"/>
    <w:rsid w:val="00367191"/>
    <w:rsid w:val="003706FC"/>
    <w:rsid w:val="00375D80"/>
    <w:rsid w:val="0038060C"/>
    <w:rsid w:val="003850D3"/>
    <w:rsid w:val="00387122"/>
    <w:rsid w:val="00387B0E"/>
    <w:rsid w:val="003908E4"/>
    <w:rsid w:val="003914FC"/>
    <w:rsid w:val="003942F8"/>
    <w:rsid w:val="003A0944"/>
    <w:rsid w:val="003A0A4A"/>
    <w:rsid w:val="003A11C0"/>
    <w:rsid w:val="003A1C85"/>
    <w:rsid w:val="003A1EF9"/>
    <w:rsid w:val="003A201F"/>
    <w:rsid w:val="003A28FC"/>
    <w:rsid w:val="003A2951"/>
    <w:rsid w:val="003A2D10"/>
    <w:rsid w:val="003A3568"/>
    <w:rsid w:val="003A4063"/>
    <w:rsid w:val="003A536D"/>
    <w:rsid w:val="003A7966"/>
    <w:rsid w:val="003B023A"/>
    <w:rsid w:val="003B0768"/>
    <w:rsid w:val="003B10CD"/>
    <w:rsid w:val="003B1297"/>
    <w:rsid w:val="003B2592"/>
    <w:rsid w:val="003B27F0"/>
    <w:rsid w:val="003B39E2"/>
    <w:rsid w:val="003B4F8A"/>
    <w:rsid w:val="003B5732"/>
    <w:rsid w:val="003B5997"/>
    <w:rsid w:val="003B68DB"/>
    <w:rsid w:val="003C0096"/>
    <w:rsid w:val="003C08A6"/>
    <w:rsid w:val="003C202B"/>
    <w:rsid w:val="003C2D0A"/>
    <w:rsid w:val="003C3EB7"/>
    <w:rsid w:val="003C4FFE"/>
    <w:rsid w:val="003C50AA"/>
    <w:rsid w:val="003C5A36"/>
    <w:rsid w:val="003C6F18"/>
    <w:rsid w:val="003C6FCD"/>
    <w:rsid w:val="003C7CB1"/>
    <w:rsid w:val="003C7F6A"/>
    <w:rsid w:val="003C7FE8"/>
    <w:rsid w:val="003D09F4"/>
    <w:rsid w:val="003D0FC8"/>
    <w:rsid w:val="003D3EF5"/>
    <w:rsid w:val="003D50ED"/>
    <w:rsid w:val="003D75C0"/>
    <w:rsid w:val="003D7C3A"/>
    <w:rsid w:val="003E15BE"/>
    <w:rsid w:val="003E1D01"/>
    <w:rsid w:val="003E2A50"/>
    <w:rsid w:val="003E4826"/>
    <w:rsid w:val="003E4944"/>
    <w:rsid w:val="003E4F1B"/>
    <w:rsid w:val="003E554F"/>
    <w:rsid w:val="003E7B11"/>
    <w:rsid w:val="003E7CAA"/>
    <w:rsid w:val="003F0933"/>
    <w:rsid w:val="003F3AAC"/>
    <w:rsid w:val="00401C8E"/>
    <w:rsid w:val="00404A8D"/>
    <w:rsid w:val="00405468"/>
    <w:rsid w:val="00407D33"/>
    <w:rsid w:val="0041237F"/>
    <w:rsid w:val="00412D6E"/>
    <w:rsid w:val="00412E66"/>
    <w:rsid w:val="00414269"/>
    <w:rsid w:val="0041612F"/>
    <w:rsid w:val="004177FE"/>
    <w:rsid w:val="00417FEA"/>
    <w:rsid w:val="00420282"/>
    <w:rsid w:val="00420C8E"/>
    <w:rsid w:val="004211CC"/>
    <w:rsid w:val="004212EF"/>
    <w:rsid w:val="004213BB"/>
    <w:rsid w:val="004214E6"/>
    <w:rsid w:val="00422467"/>
    <w:rsid w:val="004228EE"/>
    <w:rsid w:val="00422ADA"/>
    <w:rsid w:val="00424AB1"/>
    <w:rsid w:val="004252C8"/>
    <w:rsid w:val="00425B4F"/>
    <w:rsid w:val="004260AD"/>
    <w:rsid w:val="004273FA"/>
    <w:rsid w:val="00427843"/>
    <w:rsid w:val="00430760"/>
    <w:rsid w:val="004307E6"/>
    <w:rsid w:val="0043102A"/>
    <w:rsid w:val="0043327E"/>
    <w:rsid w:val="004338E3"/>
    <w:rsid w:val="004347E4"/>
    <w:rsid w:val="00434B9A"/>
    <w:rsid w:val="00440EED"/>
    <w:rsid w:val="0044544B"/>
    <w:rsid w:val="00445F41"/>
    <w:rsid w:val="00447DFE"/>
    <w:rsid w:val="00454041"/>
    <w:rsid w:val="00455470"/>
    <w:rsid w:val="00456AD1"/>
    <w:rsid w:val="00456CA2"/>
    <w:rsid w:val="004570A7"/>
    <w:rsid w:val="00461055"/>
    <w:rsid w:val="0046177B"/>
    <w:rsid w:val="00461C7C"/>
    <w:rsid w:val="0046220A"/>
    <w:rsid w:val="004631AF"/>
    <w:rsid w:val="004638FE"/>
    <w:rsid w:val="00464163"/>
    <w:rsid w:val="00465901"/>
    <w:rsid w:val="00465ED2"/>
    <w:rsid w:val="00465F55"/>
    <w:rsid w:val="004676EC"/>
    <w:rsid w:val="00467B53"/>
    <w:rsid w:val="00471E9C"/>
    <w:rsid w:val="00473ACA"/>
    <w:rsid w:val="00476D68"/>
    <w:rsid w:val="0047757C"/>
    <w:rsid w:val="0048078E"/>
    <w:rsid w:val="004826FA"/>
    <w:rsid w:val="00482904"/>
    <w:rsid w:val="004835E4"/>
    <w:rsid w:val="0048492D"/>
    <w:rsid w:val="004858A0"/>
    <w:rsid w:val="00485C05"/>
    <w:rsid w:val="00486697"/>
    <w:rsid w:val="00490880"/>
    <w:rsid w:val="004929B6"/>
    <w:rsid w:val="00495479"/>
    <w:rsid w:val="00496481"/>
    <w:rsid w:val="00497539"/>
    <w:rsid w:val="0049753E"/>
    <w:rsid w:val="004A4C47"/>
    <w:rsid w:val="004A5B79"/>
    <w:rsid w:val="004A65DB"/>
    <w:rsid w:val="004A72F0"/>
    <w:rsid w:val="004A735C"/>
    <w:rsid w:val="004A7FD2"/>
    <w:rsid w:val="004B050C"/>
    <w:rsid w:val="004B2D27"/>
    <w:rsid w:val="004B50CC"/>
    <w:rsid w:val="004B5395"/>
    <w:rsid w:val="004B5867"/>
    <w:rsid w:val="004B609F"/>
    <w:rsid w:val="004B61CC"/>
    <w:rsid w:val="004B6667"/>
    <w:rsid w:val="004B72CD"/>
    <w:rsid w:val="004B7BFD"/>
    <w:rsid w:val="004B7DC9"/>
    <w:rsid w:val="004C1874"/>
    <w:rsid w:val="004C34EE"/>
    <w:rsid w:val="004C40C4"/>
    <w:rsid w:val="004C59C9"/>
    <w:rsid w:val="004C6FCA"/>
    <w:rsid w:val="004C700D"/>
    <w:rsid w:val="004C7953"/>
    <w:rsid w:val="004C79CB"/>
    <w:rsid w:val="004D0A4F"/>
    <w:rsid w:val="004D0F3B"/>
    <w:rsid w:val="004D26B0"/>
    <w:rsid w:val="004D42CA"/>
    <w:rsid w:val="004E2AA2"/>
    <w:rsid w:val="004E2CC2"/>
    <w:rsid w:val="004E43A9"/>
    <w:rsid w:val="004E481F"/>
    <w:rsid w:val="004E7617"/>
    <w:rsid w:val="004F2BFC"/>
    <w:rsid w:val="004F30F0"/>
    <w:rsid w:val="004F5BB1"/>
    <w:rsid w:val="004F5BC7"/>
    <w:rsid w:val="004F6826"/>
    <w:rsid w:val="005002FF"/>
    <w:rsid w:val="00500592"/>
    <w:rsid w:val="00501810"/>
    <w:rsid w:val="00502926"/>
    <w:rsid w:val="005040B4"/>
    <w:rsid w:val="00504A70"/>
    <w:rsid w:val="00505208"/>
    <w:rsid w:val="00507630"/>
    <w:rsid w:val="005109DD"/>
    <w:rsid w:val="005164A9"/>
    <w:rsid w:val="00517AAF"/>
    <w:rsid w:val="005201FE"/>
    <w:rsid w:val="00524546"/>
    <w:rsid w:val="00524C47"/>
    <w:rsid w:val="005254C8"/>
    <w:rsid w:val="00525D54"/>
    <w:rsid w:val="00525E3D"/>
    <w:rsid w:val="0052662B"/>
    <w:rsid w:val="0053087F"/>
    <w:rsid w:val="005318BD"/>
    <w:rsid w:val="00531A69"/>
    <w:rsid w:val="00531EF6"/>
    <w:rsid w:val="00533E06"/>
    <w:rsid w:val="0053599B"/>
    <w:rsid w:val="005364E8"/>
    <w:rsid w:val="0053671D"/>
    <w:rsid w:val="00536B38"/>
    <w:rsid w:val="00540361"/>
    <w:rsid w:val="00543E33"/>
    <w:rsid w:val="005446F9"/>
    <w:rsid w:val="00544CC4"/>
    <w:rsid w:val="00546C28"/>
    <w:rsid w:val="00551039"/>
    <w:rsid w:val="00552532"/>
    <w:rsid w:val="00552AE3"/>
    <w:rsid w:val="00552DDD"/>
    <w:rsid w:val="00554394"/>
    <w:rsid w:val="00554685"/>
    <w:rsid w:val="00554F46"/>
    <w:rsid w:val="00556219"/>
    <w:rsid w:val="00562CAA"/>
    <w:rsid w:val="00564DC6"/>
    <w:rsid w:val="0056686E"/>
    <w:rsid w:val="005669DA"/>
    <w:rsid w:val="00566BE2"/>
    <w:rsid w:val="00567652"/>
    <w:rsid w:val="00570B41"/>
    <w:rsid w:val="00571513"/>
    <w:rsid w:val="005734C2"/>
    <w:rsid w:val="00573CE1"/>
    <w:rsid w:val="005762D5"/>
    <w:rsid w:val="00576E79"/>
    <w:rsid w:val="00577043"/>
    <w:rsid w:val="00580DB2"/>
    <w:rsid w:val="00582D8C"/>
    <w:rsid w:val="00586347"/>
    <w:rsid w:val="00587595"/>
    <w:rsid w:val="0059021A"/>
    <w:rsid w:val="00590533"/>
    <w:rsid w:val="00590B01"/>
    <w:rsid w:val="005912EB"/>
    <w:rsid w:val="0059275E"/>
    <w:rsid w:val="005928D8"/>
    <w:rsid w:val="00592DC7"/>
    <w:rsid w:val="0059329D"/>
    <w:rsid w:val="005933CA"/>
    <w:rsid w:val="00593C9E"/>
    <w:rsid w:val="00594F30"/>
    <w:rsid w:val="00594FAF"/>
    <w:rsid w:val="005954D3"/>
    <w:rsid w:val="0059567B"/>
    <w:rsid w:val="005968DF"/>
    <w:rsid w:val="005968EA"/>
    <w:rsid w:val="00596D86"/>
    <w:rsid w:val="005975CE"/>
    <w:rsid w:val="005A009D"/>
    <w:rsid w:val="005A0429"/>
    <w:rsid w:val="005A0503"/>
    <w:rsid w:val="005A13C3"/>
    <w:rsid w:val="005A14B7"/>
    <w:rsid w:val="005A1BC8"/>
    <w:rsid w:val="005A3D81"/>
    <w:rsid w:val="005A5B71"/>
    <w:rsid w:val="005A5CFE"/>
    <w:rsid w:val="005A6C54"/>
    <w:rsid w:val="005B13B6"/>
    <w:rsid w:val="005B2349"/>
    <w:rsid w:val="005B2F1F"/>
    <w:rsid w:val="005B4AC7"/>
    <w:rsid w:val="005B639C"/>
    <w:rsid w:val="005B642A"/>
    <w:rsid w:val="005B7387"/>
    <w:rsid w:val="005B7403"/>
    <w:rsid w:val="005C258B"/>
    <w:rsid w:val="005C2E95"/>
    <w:rsid w:val="005C324A"/>
    <w:rsid w:val="005C3538"/>
    <w:rsid w:val="005C35A4"/>
    <w:rsid w:val="005C4042"/>
    <w:rsid w:val="005C432E"/>
    <w:rsid w:val="005C4A8D"/>
    <w:rsid w:val="005C5262"/>
    <w:rsid w:val="005C60A7"/>
    <w:rsid w:val="005C69CD"/>
    <w:rsid w:val="005C6B30"/>
    <w:rsid w:val="005C6DF6"/>
    <w:rsid w:val="005C7676"/>
    <w:rsid w:val="005C79F7"/>
    <w:rsid w:val="005D0D30"/>
    <w:rsid w:val="005D1BD9"/>
    <w:rsid w:val="005D6B22"/>
    <w:rsid w:val="005D6D02"/>
    <w:rsid w:val="005D7BE4"/>
    <w:rsid w:val="005E1A69"/>
    <w:rsid w:val="005E1AB1"/>
    <w:rsid w:val="005E2918"/>
    <w:rsid w:val="005E2A95"/>
    <w:rsid w:val="005E3BEE"/>
    <w:rsid w:val="005E439A"/>
    <w:rsid w:val="005E4AA6"/>
    <w:rsid w:val="005E4EDC"/>
    <w:rsid w:val="005E6156"/>
    <w:rsid w:val="005E6A03"/>
    <w:rsid w:val="005E7314"/>
    <w:rsid w:val="005E7473"/>
    <w:rsid w:val="005E74F1"/>
    <w:rsid w:val="005F1E98"/>
    <w:rsid w:val="005F29C6"/>
    <w:rsid w:val="005F3296"/>
    <w:rsid w:val="005F389D"/>
    <w:rsid w:val="005F3F01"/>
    <w:rsid w:val="005F3F07"/>
    <w:rsid w:val="005F46D1"/>
    <w:rsid w:val="005F5C25"/>
    <w:rsid w:val="006023DA"/>
    <w:rsid w:val="00603EC1"/>
    <w:rsid w:val="006046C8"/>
    <w:rsid w:val="0060514A"/>
    <w:rsid w:val="00605D96"/>
    <w:rsid w:val="006065C2"/>
    <w:rsid w:val="00606902"/>
    <w:rsid w:val="0061345C"/>
    <w:rsid w:val="00614383"/>
    <w:rsid w:val="006151C1"/>
    <w:rsid w:val="00616304"/>
    <w:rsid w:val="00616793"/>
    <w:rsid w:val="00621F8D"/>
    <w:rsid w:val="0062267F"/>
    <w:rsid w:val="00622D73"/>
    <w:rsid w:val="00623162"/>
    <w:rsid w:val="006233A0"/>
    <w:rsid w:val="00623A83"/>
    <w:rsid w:val="00624FCE"/>
    <w:rsid w:val="00625452"/>
    <w:rsid w:val="0063203C"/>
    <w:rsid w:val="006322CE"/>
    <w:rsid w:val="0063260F"/>
    <w:rsid w:val="00632A12"/>
    <w:rsid w:val="00634FE4"/>
    <w:rsid w:val="00635407"/>
    <w:rsid w:val="006354AC"/>
    <w:rsid w:val="00636CBB"/>
    <w:rsid w:val="00636EB5"/>
    <w:rsid w:val="006372CB"/>
    <w:rsid w:val="00641AB0"/>
    <w:rsid w:val="00642EB2"/>
    <w:rsid w:val="00643011"/>
    <w:rsid w:val="006434F9"/>
    <w:rsid w:val="00643B6A"/>
    <w:rsid w:val="00645B5D"/>
    <w:rsid w:val="006467A7"/>
    <w:rsid w:val="00646D83"/>
    <w:rsid w:val="00651368"/>
    <w:rsid w:val="00651BD2"/>
    <w:rsid w:val="00651E1C"/>
    <w:rsid w:val="006528EE"/>
    <w:rsid w:val="006537B2"/>
    <w:rsid w:val="006541DB"/>
    <w:rsid w:val="00654F12"/>
    <w:rsid w:val="006562A3"/>
    <w:rsid w:val="0066034D"/>
    <w:rsid w:val="00662DAD"/>
    <w:rsid w:val="006638D1"/>
    <w:rsid w:val="00664621"/>
    <w:rsid w:val="00664B4A"/>
    <w:rsid w:val="00665433"/>
    <w:rsid w:val="00665A7A"/>
    <w:rsid w:val="00666567"/>
    <w:rsid w:val="00666FD6"/>
    <w:rsid w:val="00667967"/>
    <w:rsid w:val="00670F2E"/>
    <w:rsid w:val="0067199A"/>
    <w:rsid w:val="00673FD3"/>
    <w:rsid w:val="00675E83"/>
    <w:rsid w:val="00676D7E"/>
    <w:rsid w:val="00676F37"/>
    <w:rsid w:val="00680713"/>
    <w:rsid w:val="006818EC"/>
    <w:rsid w:val="0068358D"/>
    <w:rsid w:val="006849CB"/>
    <w:rsid w:val="00690269"/>
    <w:rsid w:val="006902D7"/>
    <w:rsid w:val="006929A7"/>
    <w:rsid w:val="00692F4D"/>
    <w:rsid w:val="00693A5A"/>
    <w:rsid w:val="006967F7"/>
    <w:rsid w:val="006975E5"/>
    <w:rsid w:val="006A0FD4"/>
    <w:rsid w:val="006A1536"/>
    <w:rsid w:val="006A17B4"/>
    <w:rsid w:val="006A1AB1"/>
    <w:rsid w:val="006A38A9"/>
    <w:rsid w:val="006A3C48"/>
    <w:rsid w:val="006A50C6"/>
    <w:rsid w:val="006B0D8A"/>
    <w:rsid w:val="006B0F2D"/>
    <w:rsid w:val="006B32E9"/>
    <w:rsid w:val="006B3ECC"/>
    <w:rsid w:val="006B4079"/>
    <w:rsid w:val="006B407C"/>
    <w:rsid w:val="006B4D0C"/>
    <w:rsid w:val="006B70C8"/>
    <w:rsid w:val="006B752D"/>
    <w:rsid w:val="006B79E4"/>
    <w:rsid w:val="006C0E7E"/>
    <w:rsid w:val="006C47CA"/>
    <w:rsid w:val="006C71F4"/>
    <w:rsid w:val="006C7330"/>
    <w:rsid w:val="006C74C5"/>
    <w:rsid w:val="006C7E7E"/>
    <w:rsid w:val="006D0EDC"/>
    <w:rsid w:val="006D14B6"/>
    <w:rsid w:val="006D232E"/>
    <w:rsid w:val="006D314F"/>
    <w:rsid w:val="006D703D"/>
    <w:rsid w:val="006E0EBD"/>
    <w:rsid w:val="006E190D"/>
    <w:rsid w:val="006E2105"/>
    <w:rsid w:val="006E27B3"/>
    <w:rsid w:val="006E31C2"/>
    <w:rsid w:val="006E3485"/>
    <w:rsid w:val="006E6924"/>
    <w:rsid w:val="006F0BD0"/>
    <w:rsid w:val="006F18C0"/>
    <w:rsid w:val="006F21B8"/>
    <w:rsid w:val="006F3766"/>
    <w:rsid w:val="006F49CF"/>
    <w:rsid w:val="006F5CA9"/>
    <w:rsid w:val="006F7F65"/>
    <w:rsid w:val="007003FF"/>
    <w:rsid w:val="00701A2C"/>
    <w:rsid w:val="00702A89"/>
    <w:rsid w:val="00704F51"/>
    <w:rsid w:val="00705F64"/>
    <w:rsid w:val="007065C2"/>
    <w:rsid w:val="00707787"/>
    <w:rsid w:val="00707CDB"/>
    <w:rsid w:val="00710217"/>
    <w:rsid w:val="00711338"/>
    <w:rsid w:val="00711BE0"/>
    <w:rsid w:val="00712A8B"/>
    <w:rsid w:val="00712BB7"/>
    <w:rsid w:val="00713487"/>
    <w:rsid w:val="00713B4E"/>
    <w:rsid w:val="00713EBF"/>
    <w:rsid w:val="00714820"/>
    <w:rsid w:val="0071608E"/>
    <w:rsid w:val="00717DF8"/>
    <w:rsid w:val="00720ADE"/>
    <w:rsid w:val="00720E33"/>
    <w:rsid w:val="00722F96"/>
    <w:rsid w:val="00722FD7"/>
    <w:rsid w:val="00725D59"/>
    <w:rsid w:val="00730204"/>
    <w:rsid w:val="00736032"/>
    <w:rsid w:val="007369AD"/>
    <w:rsid w:val="00736F88"/>
    <w:rsid w:val="0073721E"/>
    <w:rsid w:val="00737282"/>
    <w:rsid w:val="00737F5B"/>
    <w:rsid w:val="00740C83"/>
    <w:rsid w:val="00741845"/>
    <w:rsid w:val="00741B97"/>
    <w:rsid w:val="00743918"/>
    <w:rsid w:val="007460C5"/>
    <w:rsid w:val="00746EF9"/>
    <w:rsid w:val="00747DCA"/>
    <w:rsid w:val="00750252"/>
    <w:rsid w:val="00751EA1"/>
    <w:rsid w:val="00755E04"/>
    <w:rsid w:val="00755E12"/>
    <w:rsid w:val="00756663"/>
    <w:rsid w:val="00757429"/>
    <w:rsid w:val="00761206"/>
    <w:rsid w:val="007622EC"/>
    <w:rsid w:val="00762695"/>
    <w:rsid w:val="00762739"/>
    <w:rsid w:val="007633C6"/>
    <w:rsid w:val="00764ED5"/>
    <w:rsid w:val="00767162"/>
    <w:rsid w:val="0077291F"/>
    <w:rsid w:val="00772D01"/>
    <w:rsid w:val="0077323E"/>
    <w:rsid w:val="007737B6"/>
    <w:rsid w:val="00773C2C"/>
    <w:rsid w:val="00776EA8"/>
    <w:rsid w:val="00780529"/>
    <w:rsid w:val="00780CC3"/>
    <w:rsid w:val="00784D19"/>
    <w:rsid w:val="00785067"/>
    <w:rsid w:val="00785BC4"/>
    <w:rsid w:val="00790883"/>
    <w:rsid w:val="0079146F"/>
    <w:rsid w:val="007945A9"/>
    <w:rsid w:val="00794CFD"/>
    <w:rsid w:val="00796E3C"/>
    <w:rsid w:val="007A0559"/>
    <w:rsid w:val="007A0E00"/>
    <w:rsid w:val="007A1ECB"/>
    <w:rsid w:val="007A2A88"/>
    <w:rsid w:val="007A7AA5"/>
    <w:rsid w:val="007B0179"/>
    <w:rsid w:val="007B44B9"/>
    <w:rsid w:val="007B628A"/>
    <w:rsid w:val="007B6F45"/>
    <w:rsid w:val="007B776D"/>
    <w:rsid w:val="007B7F78"/>
    <w:rsid w:val="007C20C7"/>
    <w:rsid w:val="007C273F"/>
    <w:rsid w:val="007C2E0A"/>
    <w:rsid w:val="007C33F7"/>
    <w:rsid w:val="007C352E"/>
    <w:rsid w:val="007C4AE3"/>
    <w:rsid w:val="007C607E"/>
    <w:rsid w:val="007C624D"/>
    <w:rsid w:val="007C78AA"/>
    <w:rsid w:val="007C7A00"/>
    <w:rsid w:val="007D07F6"/>
    <w:rsid w:val="007D2793"/>
    <w:rsid w:val="007D339E"/>
    <w:rsid w:val="007D3D3F"/>
    <w:rsid w:val="007D6479"/>
    <w:rsid w:val="007D7A55"/>
    <w:rsid w:val="007E14BD"/>
    <w:rsid w:val="007E2820"/>
    <w:rsid w:val="007E283A"/>
    <w:rsid w:val="007E5019"/>
    <w:rsid w:val="007E57BE"/>
    <w:rsid w:val="007E5931"/>
    <w:rsid w:val="007E653C"/>
    <w:rsid w:val="007E7939"/>
    <w:rsid w:val="007F07FB"/>
    <w:rsid w:val="007F0803"/>
    <w:rsid w:val="007F1D84"/>
    <w:rsid w:val="007F3406"/>
    <w:rsid w:val="007F5999"/>
    <w:rsid w:val="007F7385"/>
    <w:rsid w:val="007F7470"/>
    <w:rsid w:val="007F76EB"/>
    <w:rsid w:val="007F7FA3"/>
    <w:rsid w:val="00805D5D"/>
    <w:rsid w:val="0080661E"/>
    <w:rsid w:val="00810417"/>
    <w:rsid w:val="008104A1"/>
    <w:rsid w:val="00810A49"/>
    <w:rsid w:val="00810B4E"/>
    <w:rsid w:val="008165CC"/>
    <w:rsid w:val="00816699"/>
    <w:rsid w:val="0081766F"/>
    <w:rsid w:val="008201F1"/>
    <w:rsid w:val="00820E9A"/>
    <w:rsid w:val="0082576E"/>
    <w:rsid w:val="00827C24"/>
    <w:rsid w:val="00830FFB"/>
    <w:rsid w:val="008312EE"/>
    <w:rsid w:val="0083261D"/>
    <w:rsid w:val="008334D9"/>
    <w:rsid w:val="0083351F"/>
    <w:rsid w:val="008347A9"/>
    <w:rsid w:val="00834D92"/>
    <w:rsid w:val="00835BB3"/>
    <w:rsid w:val="00836CE1"/>
    <w:rsid w:val="0084094F"/>
    <w:rsid w:val="00840A93"/>
    <w:rsid w:val="00844D14"/>
    <w:rsid w:val="00844DBE"/>
    <w:rsid w:val="0084624C"/>
    <w:rsid w:val="0085358E"/>
    <w:rsid w:val="00853CAA"/>
    <w:rsid w:val="0085448F"/>
    <w:rsid w:val="00855AE6"/>
    <w:rsid w:val="00855E64"/>
    <w:rsid w:val="00861D9E"/>
    <w:rsid w:val="0086201A"/>
    <w:rsid w:val="00862060"/>
    <w:rsid w:val="00862874"/>
    <w:rsid w:val="008640AF"/>
    <w:rsid w:val="0086448A"/>
    <w:rsid w:val="00864E67"/>
    <w:rsid w:val="00867F9F"/>
    <w:rsid w:val="008708FD"/>
    <w:rsid w:val="0087111D"/>
    <w:rsid w:val="008724E8"/>
    <w:rsid w:val="00872E70"/>
    <w:rsid w:val="00873AA3"/>
    <w:rsid w:val="0087422E"/>
    <w:rsid w:val="00874E36"/>
    <w:rsid w:val="008756A9"/>
    <w:rsid w:val="00876C76"/>
    <w:rsid w:val="00880CF3"/>
    <w:rsid w:val="008816A1"/>
    <w:rsid w:val="0088210B"/>
    <w:rsid w:val="00882CB1"/>
    <w:rsid w:val="00885F7B"/>
    <w:rsid w:val="00886B4E"/>
    <w:rsid w:val="00886FBC"/>
    <w:rsid w:val="0088723E"/>
    <w:rsid w:val="00887830"/>
    <w:rsid w:val="00887DDD"/>
    <w:rsid w:val="00887F7E"/>
    <w:rsid w:val="00890C5D"/>
    <w:rsid w:val="00892A6E"/>
    <w:rsid w:val="008947F1"/>
    <w:rsid w:val="0089482E"/>
    <w:rsid w:val="00895AA8"/>
    <w:rsid w:val="00896A6F"/>
    <w:rsid w:val="00896F64"/>
    <w:rsid w:val="00897AC8"/>
    <w:rsid w:val="008A0D04"/>
    <w:rsid w:val="008A1CB4"/>
    <w:rsid w:val="008A3CF7"/>
    <w:rsid w:val="008A3F59"/>
    <w:rsid w:val="008A41AB"/>
    <w:rsid w:val="008A5C58"/>
    <w:rsid w:val="008A619C"/>
    <w:rsid w:val="008A7FD3"/>
    <w:rsid w:val="008B0676"/>
    <w:rsid w:val="008B1854"/>
    <w:rsid w:val="008B1D63"/>
    <w:rsid w:val="008B2092"/>
    <w:rsid w:val="008B2F9F"/>
    <w:rsid w:val="008B4463"/>
    <w:rsid w:val="008B4A30"/>
    <w:rsid w:val="008B4CD7"/>
    <w:rsid w:val="008B5DD4"/>
    <w:rsid w:val="008B63E5"/>
    <w:rsid w:val="008B6476"/>
    <w:rsid w:val="008B69D5"/>
    <w:rsid w:val="008C005B"/>
    <w:rsid w:val="008C0885"/>
    <w:rsid w:val="008C0F10"/>
    <w:rsid w:val="008C3B4F"/>
    <w:rsid w:val="008C458A"/>
    <w:rsid w:val="008C4A8B"/>
    <w:rsid w:val="008C570B"/>
    <w:rsid w:val="008C6E6E"/>
    <w:rsid w:val="008C6F4B"/>
    <w:rsid w:val="008C7012"/>
    <w:rsid w:val="008D0F08"/>
    <w:rsid w:val="008D20A0"/>
    <w:rsid w:val="008D21E0"/>
    <w:rsid w:val="008D4770"/>
    <w:rsid w:val="008D67BC"/>
    <w:rsid w:val="008E0068"/>
    <w:rsid w:val="008E0213"/>
    <w:rsid w:val="008E04A6"/>
    <w:rsid w:val="008E2237"/>
    <w:rsid w:val="008E25C7"/>
    <w:rsid w:val="008E31DD"/>
    <w:rsid w:val="008E3262"/>
    <w:rsid w:val="008E3288"/>
    <w:rsid w:val="008E34F5"/>
    <w:rsid w:val="008E3F17"/>
    <w:rsid w:val="008E3FE0"/>
    <w:rsid w:val="008E4F0B"/>
    <w:rsid w:val="008E5007"/>
    <w:rsid w:val="008E540F"/>
    <w:rsid w:val="008E619D"/>
    <w:rsid w:val="008E64D2"/>
    <w:rsid w:val="008F01F1"/>
    <w:rsid w:val="008F02F4"/>
    <w:rsid w:val="008F045C"/>
    <w:rsid w:val="008F1467"/>
    <w:rsid w:val="008F1749"/>
    <w:rsid w:val="008F384A"/>
    <w:rsid w:val="008F3A0C"/>
    <w:rsid w:val="008F4566"/>
    <w:rsid w:val="008F4D98"/>
    <w:rsid w:val="008F5161"/>
    <w:rsid w:val="008F61F8"/>
    <w:rsid w:val="008F6648"/>
    <w:rsid w:val="008F6D5A"/>
    <w:rsid w:val="008F704D"/>
    <w:rsid w:val="00901555"/>
    <w:rsid w:val="00902681"/>
    <w:rsid w:val="009032C6"/>
    <w:rsid w:val="009052BD"/>
    <w:rsid w:val="0090567E"/>
    <w:rsid w:val="00905825"/>
    <w:rsid w:val="00911247"/>
    <w:rsid w:val="00911F3B"/>
    <w:rsid w:val="00912CBA"/>
    <w:rsid w:val="009143B3"/>
    <w:rsid w:val="00916DEC"/>
    <w:rsid w:val="0092283A"/>
    <w:rsid w:val="0092291A"/>
    <w:rsid w:val="00922B4D"/>
    <w:rsid w:val="0092315F"/>
    <w:rsid w:val="00924F9F"/>
    <w:rsid w:val="00925F7A"/>
    <w:rsid w:val="00927254"/>
    <w:rsid w:val="009277EF"/>
    <w:rsid w:val="00927AFD"/>
    <w:rsid w:val="00927EE7"/>
    <w:rsid w:val="00930ABF"/>
    <w:rsid w:val="00930CBF"/>
    <w:rsid w:val="00931DF9"/>
    <w:rsid w:val="00933373"/>
    <w:rsid w:val="009348F8"/>
    <w:rsid w:val="00936BFF"/>
    <w:rsid w:val="00937224"/>
    <w:rsid w:val="00937932"/>
    <w:rsid w:val="009379BE"/>
    <w:rsid w:val="00937DEF"/>
    <w:rsid w:val="00940379"/>
    <w:rsid w:val="00940A84"/>
    <w:rsid w:val="0094194C"/>
    <w:rsid w:val="00941B2C"/>
    <w:rsid w:val="00942F4C"/>
    <w:rsid w:val="009437B9"/>
    <w:rsid w:val="00943A44"/>
    <w:rsid w:val="00943AB7"/>
    <w:rsid w:val="00944FD4"/>
    <w:rsid w:val="00946D3C"/>
    <w:rsid w:val="00947E60"/>
    <w:rsid w:val="00950365"/>
    <w:rsid w:val="00950F73"/>
    <w:rsid w:val="009512B5"/>
    <w:rsid w:val="009514CB"/>
    <w:rsid w:val="009518E1"/>
    <w:rsid w:val="00952207"/>
    <w:rsid w:val="0095221F"/>
    <w:rsid w:val="00953004"/>
    <w:rsid w:val="009575C2"/>
    <w:rsid w:val="00961044"/>
    <w:rsid w:val="00961072"/>
    <w:rsid w:val="00961F61"/>
    <w:rsid w:val="009628C0"/>
    <w:rsid w:val="00962F08"/>
    <w:rsid w:val="009633F3"/>
    <w:rsid w:val="00964453"/>
    <w:rsid w:val="009658EA"/>
    <w:rsid w:val="009678D3"/>
    <w:rsid w:val="00971267"/>
    <w:rsid w:val="00974088"/>
    <w:rsid w:val="009754E0"/>
    <w:rsid w:val="009761B5"/>
    <w:rsid w:val="009762AC"/>
    <w:rsid w:val="0097746D"/>
    <w:rsid w:val="00977733"/>
    <w:rsid w:val="00980721"/>
    <w:rsid w:val="00980A1F"/>
    <w:rsid w:val="00982C60"/>
    <w:rsid w:val="009835D1"/>
    <w:rsid w:val="0098415B"/>
    <w:rsid w:val="00984FF1"/>
    <w:rsid w:val="009901A8"/>
    <w:rsid w:val="00991886"/>
    <w:rsid w:val="00991D2A"/>
    <w:rsid w:val="00991DAD"/>
    <w:rsid w:val="00991F31"/>
    <w:rsid w:val="00994134"/>
    <w:rsid w:val="0099449D"/>
    <w:rsid w:val="009968CF"/>
    <w:rsid w:val="00996A13"/>
    <w:rsid w:val="009A0484"/>
    <w:rsid w:val="009A0635"/>
    <w:rsid w:val="009A2A88"/>
    <w:rsid w:val="009A2CB2"/>
    <w:rsid w:val="009A390E"/>
    <w:rsid w:val="009A4849"/>
    <w:rsid w:val="009A54F0"/>
    <w:rsid w:val="009B0A8C"/>
    <w:rsid w:val="009B0F8E"/>
    <w:rsid w:val="009B296A"/>
    <w:rsid w:val="009B2D71"/>
    <w:rsid w:val="009B31AD"/>
    <w:rsid w:val="009B31CF"/>
    <w:rsid w:val="009B381F"/>
    <w:rsid w:val="009B3EB5"/>
    <w:rsid w:val="009B47FB"/>
    <w:rsid w:val="009B52DD"/>
    <w:rsid w:val="009B6549"/>
    <w:rsid w:val="009B7211"/>
    <w:rsid w:val="009C006F"/>
    <w:rsid w:val="009C2353"/>
    <w:rsid w:val="009C283B"/>
    <w:rsid w:val="009C2929"/>
    <w:rsid w:val="009C2E06"/>
    <w:rsid w:val="009C3392"/>
    <w:rsid w:val="009C530D"/>
    <w:rsid w:val="009C58E7"/>
    <w:rsid w:val="009C606A"/>
    <w:rsid w:val="009D0223"/>
    <w:rsid w:val="009D15EE"/>
    <w:rsid w:val="009D316A"/>
    <w:rsid w:val="009D438E"/>
    <w:rsid w:val="009D4806"/>
    <w:rsid w:val="009D4B7E"/>
    <w:rsid w:val="009D5997"/>
    <w:rsid w:val="009D5C6A"/>
    <w:rsid w:val="009D708E"/>
    <w:rsid w:val="009E0897"/>
    <w:rsid w:val="009E3423"/>
    <w:rsid w:val="009E42B6"/>
    <w:rsid w:val="009E4459"/>
    <w:rsid w:val="009E54CA"/>
    <w:rsid w:val="009E658F"/>
    <w:rsid w:val="009E66F5"/>
    <w:rsid w:val="009E7EF4"/>
    <w:rsid w:val="009F238F"/>
    <w:rsid w:val="009F239C"/>
    <w:rsid w:val="009F3615"/>
    <w:rsid w:val="009F5C27"/>
    <w:rsid w:val="009F5E3D"/>
    <w:rsid w:val="00A029E9"/>
    <w:rsid w:val="00A02F93"/>
    <w:rsid w:val="00A03AB1"/>
    <w:rsid w:val="00A03FF4"/>
    <w:rsid w:val="00A069B7"/>
    <w:rsid w:val="00A06CDB"/>
    <w:rsid w:val="00A12FAF"/>
    <w:rsid w:val="00A1542A"/>
    <w:rsid w:val="00A17018"/>
    <w:rsid w:val="00A17239"/>
    <w:rsid w:val="00A17731"/>
    <w:rsid w:val="00A20110"/>
    <w:rsid w:val="00A21AAB"/>
    <w:rsid w:val="00A21E42"/>
    <w:rsid w:val="00A23D71"/>
    <w:rsid w:val="00A2426D"/>
    <w:rsid w:val="00A246A1"/>
    <w:rsid w:val="00A24751"/>
    <w:rsid w:val="00A2614A"/>
    <w:rsid w:val="00A2797A"/>
    <w:rsid w:val="00A27F4F"/>
    <w:rsid w:val="00A300AE"/>
    <w:rsid w:val="00A30117"/>
    <w:rsid w:val="00A303AD"/>
    <w:rsid w:val="00A33AC4"/>
    <w:rsid w:val="00A33DEC"/>
    <w:rsid w:val="00A342AA"/>
    <w:rsid w:val="00A35C23"/>
    <w:rsid w:val="00A37433"/>
    <w:rsid w:val="00A378E3"/>
    <w:rsid w:val="00A40031"/>
    <w:rsid w:val="00A40482"/>
    <w:rsid w:val="00A4063E"/>
    <w:rsid w:val="00A41015"/>
    <w:rsid w:val="00A41B0D"/>
    <w:rsid w:val="00A437A5"/>
    <w:rsid w:val="00A45637"/>
    <w:rsid w:val="00A465D1"/>
    <w:rsid w:val="00A474C1"/>
    <w:rsid w:val="00A51DF6"/>
    <w:rsid w:val="00A521E8"/>
    <w:rsid w:val="00A52C3C"/>
    <w:rsid w:val="00A535A6"/>
    <w:rsid w:val="00A5363D"/>
    <w:rsid w:val="00A53DE3"/>
    <w:rsid w:val="00A552EF"/>
    <w:rsid w:val="00A55CDD"/>
    <w:rsid w:val="00A563E0"/>
    <w:rsid w:val="00A57CD0"/>
    <w:rsid w:val="00A621F9"/>
    <w:rsid w:val="00A62659"/>
    <w:rsid w:val="00A62890"/>
    <w:rsid w:val="00A6307F"/>
    <w:rsid w:val="00A63F5A"/>
    <w:rsid w:val="00A65ADC"/>
    <w:rsid w:val="00A669A2"/>
    <w:rsid w:val="00A675D3"/>
    <w:rsid w:val="00A67816"/>
    <w:rsid w:val="00A71156"/>
    <w:rsid w:val="00A71A17"/>
    <w:rsid w:val="00A74220"/>
    <w:rsid w:val="00A748C9"/>
    <w:rsid w:val="00A75B38"/>
    <w:rsid w:val="00A76A13"/>
    <w:rsid w:val="00A76F6D"/>
    <w:rsid w:val="00A774F0"/>
    <w:rsid w:val="00A7750C"/>
    <w:rsid w:val="00A8016A"/>
    <w:rsid w:val="00A8270B"/>
    <w:rsid w:val="00A82CB9"/>
    <w:rsid w:val="00A832E5"/>
    <w:rsid w:val="00A83DCB"/>
    <w:rsid w:val="00A86168"/>
    <w:rsid w:val="00A8663D"/>
    <w:rsid w:val="00A919D0"/>
    <w:rsid w:val="00A921B4"/>
    <w:rsid w:val="00A93F20"/>
    <w:rsid w:val="00A951D9"/>
    <w:rsid w:val="00A95288"/>
    <w:rsid w:val="00A95D22"/>
    <w:rsid w:val="00AA0F14"/>
    <w:rsid w:val="00AA0F1F"/>
    <w:rsid w:val="00AA10EB"/>
    <w:rsid w:val="00AA5116"/>
    <w:rsid w:val="00AA55B9"/>
    <w:rsid w:val="00AA62B7"/>
    <w:rsid w:val="00AA6879"/>
    <w:rsid w:val="00AA6CEB"/>
    <w:rsid w:val="00AA72A3"/>
    <w:rsid w:val="00AA733F"/>
    <w:rsid w:val="00AB0F14"/>
    <w:rsid w:val="00AB1094"/>
    <w:rsid w:val="00AB2D45"/>
    <w:rsid w:val="00AB2F3B"/>
    <w:rsid w:val="00AB3270"/>
    <w:rsid w:val="00AB3E84"/>
    <w:rsid w:val="00AB481A"/>
    <w:rsid w:val="00AB499E"/>
    <w:rsid w:val="00AB59FC"/>
    <w:rsid w:val="00AB7D2D"/>
    <w:rsid w:val="00AC07F4"/>
    <w:rsid w:val="00AC1CC3"/>
    <w:rsid w:val="00AC2180"/>
    <w:rsid w:val="00AC2B00"/>
    <w:rsid w:val="00AC39D4"/>
    <w:rsid w:val="00AC4288"/>
    <w:rsid w:val="00AC4A6D"/>
    <w:rsid w:val="00AC4CCE"/>
    <w:rsid w:val="00AC5519"/>
    <w:rsid w:val="00AC5C47"/>
    <w:rsid w:val="00AC613E"/>
    <w:rsid w:val="00AC6764"/>
    <w:rsid w:val="00AC7CDE"/>
    <w:rsid w:val="00AD0163"/>
    <w:rsid w:val="00AD0E96"/>
    <w:rsid w:val="00AD1664"/>
    <w:rsid w:val="00AD22A7"/>
    <w:rsid w:val="00AD33F6"/>
    <w:rsid w:val="00AD368C"/>
    <w:rsid w:val="00AD45D8"/>
    <w:rsid w:val="00AD4A16"/>
    <w:rsid w:val="00AD5949"/>
    <w:rsid w:val="00AD6236"/>
    <w:rsid w:val="00AD769A"/>
    <w:rsid w:val="00AD7968"/>
    <w:rsid w:val="00AD7C36"/>
    <w:rsid w:val="00AE2845"/>
    <w:rsid w:val="00AE3D32"/>
    <w:rsid w:val="00AE3FAD"/>
    <w:rsid w:val="00AE76C0"/>
    <w:rsid w:val="00AF08E8"/>
    <w:rsid w:val="00AF108D"/>
    <w:rsid w:val="00AF2EDA"/>
    <w:rsid w:val="00AF300D"/>
    <w:rsid w:val="00AF6E12"/>
    <w:rsid w:val="00AF6E5A"/>
    <w:rsid w:val="00AF76AA"/>
    <w:rsid w:val="00AF7774"/>
    <w:rsid w:val="00AF7D0E"/>
    <w:rsid w:val="00B00298"/>
    <w:rsid w:val="00B008F2"/>
    <w:rsid w:val="00B00F91"/>
    <w:rsid w:val="00B00FB0"/>
    <w:rsid w:val="00B03328"/>
    <w:rsid w:val="00B0375E"/>
    <w:rsid w:val="00B05C76"/>
    <w:rsid w:val="00B0669B"/>
    <w:rsid w:val="00B07807"/>
    <w:rsid w:val="00B11A92"/>
    <w:rsid w:val="00B12130"/>
    <w:rsid w:val="00B12E67"/>
    <w:rsid w:val="00B13EAD"/>
    <w:rsid w:val="00B148B3"/>
    <w:rsid w:val="00B150FF"/>
    <w:rsid w:val="00B16265"/>
    <w:rsid w:val="00B16522"/>
    <w:rsid w:val="00B20CA5"/>
    <w:rsid w:val="00B229E4"/>
    <w:rsid w:val="00B2324D"/>
    <w:rsid w:val="00B2336B"/>
    <w:rsid w:val="00B24DB5"/>
    <w:rsid w:val="00B263C0"/>
    <w:rsid w:val="00B275DC"/>
    <w:rsid w:val="00B30619"/>
    <w:rsid w:val="00B30A8B"/>
    <w:rsid w:val="00B3124D"/>
    <w:rsid w:val="00B317C0"/>
    <w:rsid w:val="00B31D11"/>
    <w:rsid w:val="00B3255B"/>
    <w:rsid w:val="00B33725"/>
    <w:rsid w:val="00B33F8E"/>
    <w:rsid w:val="00B34D12"/>
    <w:rsid w:val="00B3696D"/>
    <w:rsid w:val="00B36B13"/>
    <w:rsid w:val="00B416A5"/>
    <w:rsid w:val="00B41E50"/>
    <w:rsid w:val="00B43012"/>
    <w:rsid w:val="00B4382B"/>
    <w:rsid w:val="00B43F40"/>
    <w:rsid w:val="00B448FC"/>
    <w:rsid w:val="00B450DA"/>
    <w:rsid w:val="00B457D2"/>
    <w:rsid w:val="00B4591C"/>
    <w:rsid w:val="00B46851"/>
    <w:rsid w:val="00B47035"/>
    <w:rsid w:val="00B47A77"/>
    <w:rsid w:val="00B50026"/>
    <w:rsid w:val="00B5169D"/>
    <w:rsid w:val="00B5276C"/>
    <w:rsid w:val="00B538D3"/>
    <w:rsid w:val="00B53E98"/>
    <w:rsid w:val="00B543AF"/>
    <w:rsid w:val="00B5453F"/>
    <w:rsid w:val="00B55F0D"/>
    <w:rsid w:val="00B56C3F"/>
    <w:rsid w:val="00B5765B"/>
    <w:rsid w:val="00B6568F"/>
    <w:rsid w:val="00B65BDE"/>
    <w:rsid w:val="00B65DEE"/>
    <w:rsid w:val="00B67509"/>
    <w:rsid w:val="00B71380"/>
    <w:rsid w:val="00B7275C"/>
    <w:rsid w:val="00B72CCA"/>
    <w:rsid w:val="00B731B5"/>
    <w:rsid w:val="00B73D60"/>
    <w:rsid w:val="00B74744"/>
    <w:rsid w:val="00B75262"/>
    <w:rsid w:val="00B7532D"/>
    <w:rsid w:val="00B77527"/>
    <w:rsid w:val="00B776BA"/>
    <w:rsid w:val="00B77F15"/>
    <w:rsid w:val="00B80B1B"/>
    <w:rsid w:val="00B80EEE"/>
    <w:rsid w:val="00B819C4"/>
    <w:rsid w:val="00B829AC"/>
    <w:rsid w:val="00B82E76"/>
    <w:rsid w:val="00B83B5A"/>
    <w:rsid w:val="00B84F8D"/>
    <w:rsid w:val="00B86AF7"/>
    <w:rsid w:val="00B879D4"/>
    <w:rsid w:val="00B87B7C"/>
    <w:rsid w:val="00B903FF"/>
    <w:rsid w:val="00B907E8"/>
    <w:rsid w:val="00B91DF1"/>
    <w:rsid w:val="00B93B9A"/>
    <w:rsid w:val="00B93E16"/>
    <w:rsid w:val="00B9435F"/>
    <w:rsid w:val="00B9564E"/>
    <w:rsid w:val="00B97574"/>
    <w:rsid w:val="00B975CD"/>
    <w:rsid w:val="00BA0BDE"/>
    <w:rsid w:val="00BA1E9C"/>
    <w:rsid w:val="00BA218E"/>
    <w:rsid w:val="00BA528D"/>
    <w:rsid w:val="00BA53A2"/>
    <w:rsid w:val="00BA6949"/>
    <w:rsid w:val="00BA6BB0"/>
    <w:rsid w:val="00BA77FC"/>
    <w:rsid w:val="00BA7DBD"/>
    <w:rsid w:val="00BA7ECD"/>
    <w:rsid w:val="00BB20D1"/>
    <w:rsid w:val="00BB2D61"/>
    <w:rsid w:val="00BB2DF6"/>
    <w:rsid w:val="00BB537D"/>
    <w:rsid w:val="00BB58FC"/>
    <w:rsid w:val="00BB7088"/>
    <w:rsid w:val="00BB7462"/>
    <w:rsid w:val="00BC104B"/>
    <w:rsid w:val="00BC46BE"/>
    <w:rsid w:val="00BC52AF"/>
    <w:rsid w:val="00BC5F99"/>
    <w:rsid w:val="00BC7204"/>
    <w:rsid w:val="00BC74EA"/>
    <w:rsid w:val="00BC7C66"/>
    <w:rsid w:val="00BD04B0"/>
    <w:rsid w:val="00BD0CE8"/>
    <w:rsid w:val="00BD1D23"/>
    <w:rsid w:val="00BD2DC4"/>
    <w:rsid w:val="00BD425B"/>
    <w:rsid w:val="00BD45CA"/>
    <w:rsid w:val="00BD4932"/>
    <w:rsid w:val="00BD5720"/>
    <w:rsid w:val="00BD59D4"/>
    <w:rsid w:val="00BD5A43"/>
    <w:rsid w:val="00BD5A6B"/>
    <w:rsid w:val="00BD7058"/>
    <w:rsid w:val="00BD7FE9"/>
    <w:rsid w:val="00BE0426"/>
    <w:rsid w:val="00BE0D41"/>
    <w:rsid w:val="00BE1E0F"/>
    <w:rsid w:val="00BE2571"/>
    <w:rsid w:val="00BE2DB2"/>
    <w:rsid w:val="00BE4238"/>
    <w:rsid w:val="00BE475A"/>
    <w:rsid w:val="00BE4DB7"/>
    <w:rsid w:val="00BE5CD6"/>
    <w:rsid w:val="00BE6645"/>
    <w:rsid w:val="00BE77C2"/>
    <w:rsid w:val="00BE7BA6"/>
    <w:rsid w:val="00BF123C"/>
    <w:rsid w:val="00BF4C7E"/>
    <w:rsid w:val="00BF5CF4"/>
    <w:rsid w:val="00BF61E1"/>
    <w:rsid w:val="00C003D4"/>
    <w:rsid w:val="00C00B1F"/>
    <w:rsid w:val="00C01EFC"/>
    <w:rsid w:val="00C025D2"/>
    <w:rsid w:val="00C05298"/>
    <w:rsid w:val="00C05356"/>
    <w:rsid w:val="00C07234"/>
    <w:rsid w:val="00C0751D"/>
    <w:rsid w:val="00C077D9"/>
    <w:rsid w:val="00C1032F"/>
    <w:rsid w:val="00C10630"/>
    <w:rsid w:val="00C10A2C"/>
    <w:rsid w:val="00C11494"/>
    <w:rsid w:val="00C12322"/>
    <w:rsid w:val="00C12A94"/>
    <w:rsid w:val="00C15BAF"/>
    <w:rsid w:val="00C166C5"/>
    <w:rsid w:val="00C17AFC"/>
    <w:rsid w:val="00C20B1D"/>
    <w:rsid w:val="00C20E77"/>
    <w:rsid w:val="00C2196C"/>
    <w:rsid w:val="00C22B78"/>
    <w:rsid w:val="00C2353B"/>
    <w:rsid w:val="00C262BB"/>
    <w:rsid w:val="00C27CB9"/>
    <w:rsid w:val="00C30267"/>
    <w:rsid w:val="00C30CE3"/>
    <w:rsid w:val="00C34A93"/>
    <w:rsid w:val="00C35E86"/>
    <w:rsid w:val="00C37384"/>
    <w:rsid w:val="00C41E61"/>
    <w:rsid w:val="00C42E51"/>
    <w:rsid w:val="00C435B1"/>
    <w:rsid w:val="00C43902"/>
    <w:rsid w:val="00C445F0"/>
    <w:rsid w:val="00C46832"/>
    <w:rsid w:val="00C47505"/>
    <w:rsid w:val="00C52B80"/>
    <w:rsid w:val="00C535F0"/>
    <w:rsid w:val="00C53766"/>
    <w:rsid w:val="00C53847"/>
    <w:rsid w:val="00C54376"/>
    <w:rsid w:val="00C567E2"/>
    <w:rsid w:val="00C622F8"/>
    <w:rsid w:val="00C625F2"/>
    <w:rsid w:val="00C63BD2"/>
    <w:rsid w:val="00C64014"/>
    <w:rsid w:val="00C64806"/>
    <w:rsid w:val="00C65914"/>
    <w:rsid w:val="00C65EB9"/>
    <w:rsid w:val="00C66404"/>
    <w:rsid w:val="00C6727A"/>
    <w:rsid w:val="00C72F48"/>
    <w:rsid w:val="00C749CE"/>
    <w:rsid w:val="00C76114"/>
    <w:rsid w:val="00C803E6"/>
    <w:rsid w:val="00C807F2"/>
    <w:rsid w:val="00C81785"/>
    <w:rsid w:val="00C821F8"/>
    <w:rsid w:val="00C83858"/>
    <w:rsid w:val="00C83A8D"/>
    <w:rsid w:val="00C84C74"/>
    <w:rsid w:val="00C85EF9"/>
    <w:rsid w:val="00C85F0C"/>
    <w:rsid w:val="00C8798F"/>
    <w:rsid w:val="00C87C91"/>
    <w:rsid w:val="00C90377"/>
    <w:rsid w:val="00C926F5"/>
    <w:rsid w:val="00C93625"/>
    <w:rsid w:val="00C94E31"/>
    <w:rsid w:val="00C94F4B"/>
    <w:rsid w:val="00C95744"/>
    <w:rsid w:val="00C97485"/>
    <w:rsid w:val="00C97E2E"/>
    <w:rsid w:val="00CA082E"/>
    <w:rsid w:val="00CA0DD0"/>
    <w:rsid w:val="00CA26E6"/>
    <w:rsid w:val="00CA37C2"/>
    <w:rsid w:val="00CA387E"/>
    <w:rsid w:val="00CA43D4"/>
    <w:rsid w:val="00CA4A5E"/>
    <w:rsid w:val="00CA4D0A"/>
    <w:rsid w:val="00CA5B0F"/>
    <w:rsid w:val="00CA5D43"/>
    <w:rsid w:val="00CA743E"/>
    <w:rsid w:val="00CB1A87"/>
    <w:rsid w:val="00CB1C5A"/>
    <w:rsid w:val="00CB3BE1"/>
    <w:rsid w:val="00CB405D"/>
    <w:rsid w:val="00CB515D"/>
    <w:rsid w:val="00CC26A0"/>
    <w:rsid w:val="00CC4536"/>
    <w:rsid w:val="00CC58E1"/>
    <w:rsid w:val="00CC5BA2"/>
    <w:rsid w:val="00CC5FBB"/>
    <w:rsid w:val="00CC6DF9"/>
    <w:rsid w:val="00CD039D"/>
    <w:rsid w:val="00CD084D"/>
    <w:rsid w:val="00CD0AA5"/>
    <w:rsid w:val="00CD26E6"/>
    <w:rsid w:val="00CD2808"/>
    <w:rsid w:val="00CD5CDB"/>
    <w:rsid w:val="00CD6E5A"/>
    <w:rsid w:val="00CE13D4"/>
    <w:rsid w:val="00CE2205"/>
    <w:rsid w:val="00CE3416"/>
    <w:rsid w:val="00CE482F"/>
    <w:rsid w:val="00CE4878"/>
    <w:rsid w:val="00CE5913"/>
    <w:rsid w:val="00CE5DDA"/>
    <w:rsid w:val="00CE7EB5"/>
    <w:rsid w:val="00CF1B8B"/>
    <w:rsid w:val="00CF1FC8"/>
    <w:rsid w:val="00CF2B41"/>
    <w:rsid w:val="00CF6BFB"/>
    <w:rsid w:val="00CF6CF2"/>
    <w:rsid w:val="00CF76AB"/>
    <w:rsid w:val="00D0033F"/>
    <w:rsid w:val="00D00DD1"/>
    <w:rsid w:val="00D03A68"/>
    <w:rsid w:val="00D05A20"/>
    <w:rsid w:val="00D05C93"/>
    <w:rsid w:val="00D06A8F"/>
    <w:rsid w:val="00D06FFB"/>
    <w:rsid w:val="00D072AF"/>
    <w:rsid w:val="00D0732B"/>
    <w:rsid w:val="00D10102"/>
    <w:rsid w:val="00D10B25"/>
    <w:rsid w:val="00D1219B"/>
    <w:rsid w:val="00D12B3E"/>
    <w:rsid w:val="00D12BAA"/>
    <w:rsid w:val="00D12F28"/>
    <w:rsid w:val="00D13056"/>
    <w:rsid w:val="00D161F6"/>
    <w:rsid w:val="00D1655B"/>
    <w:rsid w:val="00D16EBE"/>
    <w:rsid w:val="00D17BDF"/>
    <w:rsid w:val="00D17FBD"/>
    <w:rsid w:val="00D22028"/>
    <w:rsid w:val="00D22087"/>
    <w:rsid w:val="00D23A40"/>
    <w:rsid w:val="00D24AD7"/>
    <w:rsid w:val="00D2547E"/>
    <w:rsid w:val="00D26B9F"/>
    <w:rsid w:val="00D26BD8"/>
    <w:rsid w:val="00D30851"/>
    <w:rsid w:val="00D31844"/>
    <w:rsid w:val="00D31E7E"/>
    <w:rsid w:val="00D33F69"/>
    <w:rsid w:val="00D36713"/>
    <w:rsid w:val="00D36FD4"/>
    <w:rsid w:val="00D40B9B"/>
    <w:rsid w:val="00D41037"/>
    <w:rsid w:val="00D42E27"/>
    <w:rsid w:val="00D43649"/>
    <w:rsid w:val="00D4438A"/>
    <w:rsid w:val="00D44E8E"/>
    <w:rsid w:val="00D45457"/>
    <w:rsid w:val="00D4573C"/>
    <w:rsid w:val="00D46FCF"/>
    <w:rsid w:val="00D47939"/>
    <w:rsid w:val="00D47A2A"/>
    <w:rsid w:val="00D51E3F"/>
    <w:rsid w:val="00D52575"/>
    <w:rsid w:val="00D52826"/>
    <w:rsid w:val="00D52BD1"/>
    <w:rsid w:val="00D53120"/>
    <w:rsid w:val="00D53C75"/>
    <w:rsid w:val="00D53E68"/>
    <w:rsid w:val="00D54827"/>
    <w:rsid w:val="00D55B2B"/>
    <w:rsid w:val="00D568DE"/>
    <w:rsid w:val="00D569FA"/>
    <w:rsid w:val="00D57BFB"/>
    <w:rsid w:val="00D6035D"/>
    <w:rsid w:val="00D60AFA"/>
    <w:rsid w:val="00D60EE7"/>
    <w:rsid w:val="00D61805"/>
    <w:rsid w:val="00D61AEA"/>
    <w:rsid w:val="00D61F4B"/>
    <w:rsid w:val="00D6232F"/>
    <w:rsid w:val="00D62CF8"/>
    <w:rsid w:val="00D64088"/>
    <w:rsid w:val="00D64278"/>
    <w:rsid w:val="00D64DF3"/>
    <w:rsid w:val="00D653A6"/>
    <w:rsid w:val="00D656B3"/>
    <w:rsid w:val="00D658EE"/>
    <w:rsid w:val="00D6626C"/>
    <w:rsid w:val="00D670E9"/>
    <w:rsid w:val="00D67DC4"/>
    <w:rsid w:val="00D7133E"/>
    <w:rsid w:val="00D7155E"/>
    <w:rsid w:val="00D73027"/>
    <w:rsid w:val="00D73AC2"/>
    <w:rsid w:val="00D74A6E"/>
    <w:rsid w:val="00D7562A"/>
    <w:rsid w:val="00D768E0"/>
    <w:rsid w:val="00D77E8B"/>
    <w:rsid w:val="00D80711"/>
    <w:rsid w:val="00D81BBD"/>
    <w:rsid w:val="00D82E43"/>
    <w:rsid w:val="00D86952"/>
    <w:rsid w:val="00D86DC2"/>
    <w:rsid w:val="00D87180"/>
    <w:rsid w:val="00D90DF9"/>
    <w:rsid w:val="00D91273"/>
    <w:rsid w:val="00D91364"/>
    <w:rsid w:val="00D92228"/>
    <w:rsid w:val="00D923A6"/>
    <w:rsid w:val="00D937C6"/>
    <w:rsid w:val="00D93C23"/>
    <w:rsid w:val="00D93DD8"/>
    <w:rsid w:val="00D93F77"/>
    <w:rsid w:val="00D95111"/>
    <w:rsid w:val="00D954EF"/>
    <w:rsid w:val="00D958FA"/>
    <w:rsid w:val="00DA11AD"/>
    <w:rsid w:val="00DA3050"/>
    <w:rsid w:val="00DA4946"/>
    <w:rsid w:val="00DA5007"/>
    <w:rsid w:val="00DA538E"/>
    <w:rsid w:val="00DA57FE"/>
    <w:rsid w:val="00DA59D3"/>
    <w:rsid w:val="00DA5FFE"/>
    <w:rsid w:val="00DA629A"/>
    <w:rsid w:val="00DA62B6"/>
    <w:rsid w:val="00DA67F9"/>
    <w:rsid w:val="00DA684E"/>
    <w:rsid w:val="00DA6FA2"/>
    <w:rsid w:val="00DA7D56"/>
    <w:rsid w:val="00DB2A6C"/>
    <w:rsid w:val="00DB3BC1"/>
    <w:rsid w:val="00DB55B8"/>
    <w:rsid w:val="00DB5A7B"/>
    <w:rsid w:val="00DB5F0E"/>
    <w:rsid w:val="00DB73B5"/>
    <w:rsid w:val="00DB788B"/>
    <w:rsid w:val="00DC01DA"/>
    <w:rsid w:val="00DC0D06"/>
    <w:rsid w:val="00DC0DD2"/>
    <w:rsid w:val="00DC1E05"/>
    <w:rsid w:val="00DC1E3B"/>
    <w:rsid w:val="00DC1F67"/>
    <w:rsid w:val="00DC214F"/>
    <w:rsid w:val="00DC2AC2"/>
    <w:rsid w:val="00DC2E92"/>
    <w:rsid w:val="00DC5509"/>
    <w:rsid w:val="00DC6CBE"/>
    <w:rsid w:val="00DC6F45"/>
    <w:rsid w:val="00DC7986"/>
    <w:rsid w:val="00DD2CCA"/>
    <w:rsid w:val="00DD35A3"/>
    <w:rsid w:val="00DD4049"/>
    <w:rsid w:val="00DD4B1F"/>
    <w:rsid w:val="00DD6871"/>
    <w:rsid w:val="00DD7617"/>
    <w:rsid w:val="00DE249E"/>
    <w:rsid w:val="00DE289D"/>
    <w:rsid w:val="00DE3647"/>
    <w:rsid w:val="00DE489C"/>
    <w:rsid w:val="00DE6511"/>
    <w:rsid w:val="00DF002A"/>
    <w:rsid w:val="00DF2663"/>
    <w:rsid w:val="00DF3098"/>
    <w:rsid w:val="00DF38C7"/>
    <w:rsid w:val="00DF5AEF"/>
    <w:rsid w:val="00DF60B6"/>
    <w:rsid w:val="00DF7E27"/>
    <w:rsid w:val="00E007DA"/>
    <w:rsid w:val="00E01E80"/>
    <w:rsid w:val="00E020D4"/>
    <w:rsid w:val="00E0238D"/>
    <w:rsid w:val="00E023FB"/>
    <w:rsid w:val="00E028CE"/>
    <w:rsid w:val="00E03AC4"/>
    <w:rsid w:val="00E03E08"/>
    <w:rsid w:val="00E048B4"/>
    <w:rsid w:val="00E05DDA"/>
    <w:rsid w:val="00E05E7A"/>
    <w:rsid w:val="00E06A45"/>
    <w:rsid w:val="00E06EAB"/>
    <w:rsid w:val="00E07A9E"/>
    <w:rsid w:val="00E10988"/>
    <w:rsid w:val="00E11656"/>
    <w:rsid w:val="00E13777"/>
    <w:rsid w:val="00E13ACF"/>
    <w:rsid w:val="00E13BB4"/>
    <w:rsid w:val="00E16024"/>
    <w:rsid w:val="00E1612C"/>
    <w:rsid w:val="00E16218"/>
    <w:rsid w:val="00E17287"/>
    <w:rsid w:val="00E17715"/>
    <w:rsid w:val="00E211BB"/>
    <w:rsid w:val="00E2154C"/>
    <w:rsid w:val="00E2267F"/>
    <w:rsid w:val="00E23051"/>
    <w:rsid w:val="00E239B0"/>
    <w:rsid w:val="00E26AD3"/>
    <w:rsid w:val="00E27A29"/>
    <w:rsid w:val="00E27C44"/>
    <w:rsid w:val="00E317D8"/>
    <w:rsid w:val="00E339A0"/>
    <w:rsid w:val="00E35418"/>
    <w:rsid w:val="00E35B4B"/>
    <w:rsid w:val="00E36FE9"/>
    <w:rsid w:val="00E376DE"/>
    <w:rsid w:val="00E37981"/>
    <w:rsid w:val="00E379C8"/>
    <w:rsid w:val="00E412E7"/>
    <w:rsid w:val="00E413FF"/>
    <w:rsid w:val="00E41D44"/>
    <w:rsid w:val="00E45373"/>
    <w:rsid w:val="00E464EE"/>
    <w:rsid w:val="00E46787"/>
    <w:rsid w:val="00E50489"/>
    <w:rsid w:val="00E50B85"/>
    <w:rsid w:val="00E5179A"/>
    <w:rsid w:val="00E51A7A"/>
    <w:rsid w:val="00E51EFD"/>
    <w:rsid w:val="00E52C32"/>
    <w:rsid w:val="00E52E9F"/>
    <w:rsid w:val="00E5354C"/>
    <w:rsid w:val="00E5372D"/>
    <w:rsid w:val="00E54966"/>
    <w:rsid w:val="00E54C63"/>
    <w:rsid w:val="00E60E2A"/>
    <w:rsid w:val="00E61EB7"/>
    <w:rsid w:val="00E63883"/>
    <w:rsid w:val="00E65E0A"/>
    <w:rsid w:val="00E66121"/>
    <w:rsid w:val="00E665DC"/>
    <w:rsid w:val="00E705BA"/>
    <w:rsid w:val="00E73B5F"/>
    <w:rsid w:val="00E74DE9"/>
    <w:rsid w:val="00E75AD7"/>
    <w:rsid w:val="00E764F7"/>
    <w:rsid w:val="00E76EBA"/>
    <w:rsid w:val="00E77985"/>
    <w:rsid w:val="00E8041C"/>
    <w:rsid w:val="00E81E9D"/>
    <w:rsid w:val="00E847A2"/>
    <w:rsid w:val="00E84CC5"/>
    <w:rsid w:val="00E84CD9"/>
    <w:rsid w:val="00E85AAD"/>
    <w:rsid w:val="00E85CA9"/>
    <w:rsid w:val="00E861C8"/>
    <w:rsid w:val="00E86EE2"/>
    <w:rsid w:val="00E871F9"/>
    <w:rsid w:val="00E87618"/>
    <w:rsid w:val="00E87AC7"/>
    <w:rsid w:val="00E910B9"/>
    <w:rsid w:val="00E9224D"/>
    <w:rsid w:val="00E95808"/>
    <w:rsid w:val="00E9669D"/>
    <w:rsid w:val="00E96C6A"/>
    <w:rsid w:val="00E96D71"/>
    <w:rsid w:val="00E97096"/>
    <w:rsid w:val="00EA5022"/>
    <w:rsid w:val="00EA6764"/>
    <w:rsid w:val="00EA7ECE"/>
    <w:rsid w:val="00EB06FF"/>
    <w:rsid w:val="00EB0B42"/>
    <w:rsid w:val="00EB0B69"/>
    <w:rsid w:val="00EB0F61"/>
    <w:rsid w:val="00EB250D"/>
    <w:rsid w:val="00EB3C5F"/>
    <w:rsid w:val="00EB3D37"/>
    <w:rsid w:val="00EB51C7"/>
    <w:rsid w:val="00EB5285"/>
    <w:rsid w:val="00EB59B0"/>
    <w:rsid w:val="00EC0733"/>
    <w:rsid w:val="00EC0DC1"/>
    <w:rsid w:val="00EC1137"/>
    <w:rsid w:val="00EC2B46"/>
    <w:rsid w:val="00EC3B1F"/>
    <w:rsid w:val="00EC3B69"/>
    <w:rsid w:val="00EC3C73"/>
    <w:rsid w:val="00EC7BFF"/>
    <w:rsid w:val="00ED08A9"/>
    <w:rsid w:val="00ED0D77"/>
    <w:rsid w:val="00ED13BD"/>
    <w:rsid w:val="00ED213A"/>
    <w:rsid w:val="00ED2DB6"/>
    <w:rsid w:val="00ED384A"/>
    <w:rsid w:val="00ED4263"/>
    <w:rsid w:val="00ED47AF"/>
    <w:rsid w:val="00ED6A0C"/>
    <w:rsid w:val="00EE07BD"/>
    <w:rsid w:val="00EE0FAA"/>
    <w:rsid w:val="00EE14B0"/>
    <w:rsid w:val="00EE1617"/>
    <w:rsid w:val="00EE2F93"/>
    <w:rsid w:val="00EE3502"/>
    <w:rsid w:val="00EE4B5A"/>
    <w:rsid w:val="00EE4BCE"/>
    <w:rsid w:val="00EE6824"/>
    <w:rsid w:val="00EE6A24"/>
    <w:rsid w:val="00EE6A77"/>
    <w:rsid w:val="00EF1A43"/>
    <w:rsid w:val="00EF1CC9"/>
    <w:rsid w:val="00EF21B0"/>
    <w:rsid w:val="00EF38B5"/>
    <w:rsid w:val="00EF3BC0"/>
    <w:rsid w:val="00EF479B"/>
    <w:rsid w:val="00EF5446"/>
    <w:rsid w:val="00EF56F2"/>
    <w:rsid w:val="00EF5821"/>
    <w:rsid w:val="00EF6DD3"/>
    <w:rsid w:val="00EF7BE0"/>
    <w:rsid w:val="00F0206E"/>
    <w:rsid w:val="00F057E8"/>
    <w:rsid w:val="00F058D1"/>
    <w:rsid w:val="00F06C4F"/>
    <w:rsid w:val="00F1011E"/>
    <w:rsid w:val="00F10C3E"/>
    <w:rsid w:val="00F11F4F"/>
    <w:rsid w:val="00F128AE"/>
    <w:rsid w:val="00F128CB"/>
    <w:rsid w:val="00F1337F"/>
    <w:rsid w:val="00F146B4"/>
    <w:rsid w:val="00F148CD"/>
    <w:rsid w:val="00F15BFE"/>
    <w:rsid w:val="00F209A6"/>
    <w:rsid w:val="00F242AA"/>
    <w:rsid w:val="00F24569"/>
    <w:rsid w:val="00F2456F"/>
    <w:rsid w:val="00F25475"/>
    <w:rsid w:val="00F257BE"/>
    <w:rsid w:val="00F25894"/>
    <w:rsid w:val="00F2665C"/>
    <w:rsid w:val="00F3002D"/>
    <w:rsid w:val="00F302B9"/>
    <w:rsid w:val="00F3257B"/>
    <w:rsid w:val="00F367C9"/>
    <w:rsid w:val="00F37CBF"/>
    <w:rsid w:val="00F40477"/>
    <w:rsid w:val="00F431C6"/>
    <w:rsid w:val="00F43229"/>
    <w:rsid w:val="00F44013"/>
    <w:rsid w:val="00F44F89"/>
    <w:rsid w:val="00F45453"/>
    <w:rsid w:val="00F4645F"/>
    <w:rsid w:val="00F46FF2"/>
    <w:rsid w:val="00F50301"/>
    <w:rsid w:val="00F50E69"/>
    <w:rsid w:val="00F511E0"/>
    <w:rsid w:val="00F51DB4"/>
    <w:rsid w:val="00F5277C"/>
    <w:rsid w:val="00F55535"/>
    <w:rsid w:val="00F56924"/>
    <w:rsid w:val="00F56DA7"/>
    <w:rsid w:val="00F57613"/>
    <w:rsid w:val="00F60444"/>
    <w:rsid w:val="00F60BA6"/>
    <w:rsid w:val="00F621B9"/>
    <w:rsid w:val="00F63994"/>
    <w:rsid w:val="00F65F2E"/>
    <w:rsid w:val="00F67432"/>
    <w:rsid w:val="00F6787D"/>
    <w:rsid w:val="00F723E8"/>
    <w:rsid w:val="00F742A4"/>
    <w:rsid w:val="00F74624"/>
    <w:rsid w:val="00F75199"/>
    <w:rsid w:val="00F7749D"/>
    <w:rsid w:val="00F81FB4"/>
    <w:rsid w:val="00F82747"/>
    <w:rsid w:val="00F82882"/>
    <w:rsid w:val="00F85D24"/>
    <w:rsid w:val="00F86761"/>
    <w:rsid w:val="00F8702A"/>
    <w:rsid w:val="00F87972"/>
    <w:rsid w:val="00F90770"/>
    <w:rsid w:val="00F932D4"/>
    <w:rsid w:val="00F9344F"/>
    <w:rsid w:val="00F93E3D"/>
    <w:rsid w:val="00F94E07"/>
    <w:rsid w:val="00F94F77"/>
    <w:rsid w:val="00F95221"/>
    <w:rsid w:val="00F957B1"/>
    <w:rsid w:val="00FA347F"/>
    <w:rsid w:val="00FA4A40"/>
    <w:rsid w:val="00FA54FF"/>
    <w:rsid w:val="00FA5A54"/>
    <w:rsid w:val="00FA5D11"/>
    <w:rsid w:val="00FA613D"/>
    <w:rsid w:val="00FA6A8D"/>
    <w:rsid w:val="00FA7BE6"/>
    <w:rsid w:val="00FB15F9"/>
    <w:rsid w:val="00FB20A1"/>
    <w:rsid w:val="00FB2198"/>
    <w:rsid w:val="00FB509C"/>
    <w:rsid w:val="00FB5EEA"/>
    <w:rsid w:val="00FB78CE"/>
    <w:rsid w:val="00FC2427"/>
    <w:rsid w:val="00FC2624"/>
    <w:rsid w:val="00FC290F"/>
    <w:rsid w:val="00FC32FB"/>
    <w:rsid w:val="00FC363D"/>
    <w:rsid w:val="00FC5FF8"/>
    <w:rsid w:val="00FC6847"/>
    <w:rsid w:val="00FC74DA"/>
    <w:rsid w:val="00FD2E7C"/>
    <w:rsid w:val="00FD3602"/>
    <w:rsid w:val="00FD4055"/>
    <w:rsid w:val="00FD4090"/>
    <w:rsid w:val="00FD41AD"/>
    <w:rsid w:val="00FD6371"/>
    <w:rsid w:val="00FD6EBB"/>
    <w:rsid w:val="00FE478C"/>
    <w:rsid w:val="00FE4881"/>
    <w:rsid w:val="00FE4D03"/>
    <w:rsid w:val="00FE56A4"/>
    <w:rsid w:val="00FE5E08"/>
    <w:rsid w:val="00FE7296"/>
    <w:rsid w:val="00FE7E58"/>
    <w:rsid w:val="00FF2119"/>
    <w:rsid w:val="00FF481C"/>
    <w:rsid w:val="00FF4E87"/>
    <w:rsid w:val="00FF55ED"/>
    <w:rsid w:val="00FF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2289"/>
    <o:shapelayout v:ext="edit">
      <o:idmap v:ext="edit" data="1"/>
    </o:shapelayout>
  </w:shapeDefaults>
  <w:decimalSymbol w:val="."/>
  <w:listSeparator w:val=","/>
  <w14:docId w14:val="0095D13D"/>
  <w15:chartTrackingRefBased/>
  <w15:docId w15:val="{F2F522B8-A562-43C2-A539-5B06639F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A40"/>
    <w:pPr>
      <w:jc w:val="both"/>
    </w:pPr>
    <w:rPr>
      <w:rFonts w:ascii="Times New Roman" w:eastAsia="Times New Roman" w:hAnsi="Times New Roman" w:cs="Times New Roman"/>
      <w:szCs w:val="20"/>
      <w:lang w:val="es-ES_tradnl"/>
    </w:rPr>
  </w:style>
  <w:style w:type="paragraph" w:styleId="Ttulo1">
    <w:name w:val="heading 1"/>
    <w:aliases w:val="Document Header1,ClauseGroup_Title"/>
    <w:basedOn w:val="Normal"/>
    <w:next w:val="Normal"/>
    <w:link w:val="Ttulo1Car"/>
    <w:uiPriority w:val="9"/>
    <w:qFormat/>
    <w:rsid w:val="00B65BDE"/>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B65BDE"/>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qFormat/>
    <w:rsid w:val="00B65BDE"/>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B65BDE"/>
    <w:pPr>
      <w:keepNext/>
      <w:jc w:val="center"/>
      <w:outlineLvl w:val="3"/>
    </w:pPr>
    <w:rPr>
      <w:b/>
    </w:rPr>
  </w:style>
  <w:style w:type="paragraph" w:styleId="Ttulo5">
    <w:name w:val="heading 5"/>
    <w:basedOn w:val="Normal"/>
    <w:next w:val="Normal"/>
    <w:link w:val="Ttulo5Car"/>
    <w:uiPriority w:val="9"/>
    <w:qFormat/>
    <w:rsid w:val="00B65BDE"/>
    <w:pPr>
      <w:spacing w:before="240" w:after="60"/>
      <w:outlineLvl w:val="4"/>
    </w:pPr>
    <w:rPr>
      <w:b/>
      <w:bCs/>
      <w:i/>
      <w:iCs/>
      <w:sz w:val="26"/>
      <w:szCs w:val="26"/>
    </w:rPr>
  </w:style>
  <w:style w:type="paragraph" w:styleId="Ttulo6">
    <w:name w:val="heading 6"/>
    <w:basedOn w:val="Normal"/>
    <w:next w:val="Normal"/>
    <w:link w:val="Ttulo6Car"/>
    <w:qFormat/>
    <w:rsid w:val="004A735C"/>
    <w:pPr>
      <w:tabs>
        <w:tab w:val="num" w:pos="1152"/>
      </w:tabs>
      <w:spacing w:before="240" w:after="60"/>
      <w:ind w:left="1152" w:hanging="1152"/>
      <w:outlineLvl w:val="5"/>
    </w:pPr>
    <w:rPr>
      <w:rFonts w:ascii="Arial" w:hAnsi="Arial"/>
      <w:i/>
      <w:sz w:val="22"/>
      <w:lang w:val="en-US"/>
    </w:rPr>
  </w:style>
  <w:style w:type="paragraph" w:styleId="Ttulo7">
    <w:name w:val="heading 7"/>
    <w:basedOn w:val="Normal"/>
    <w:next w:val="Normal"/>
    <w:link w:val="Ttulo7Car"/>
    <w:qFormat/>
    <w:rsid w:val="004A735C"/>
    <w:pPr>
      <w:tabs>
        <w:tab w:val="num" w:pos="1296"/>
      </w:tabs>
      <w:spacing w:before="240" w:after="60"/>
      <w:ind w:left="1296" w:hanging="1296"/>
      <w:outlineLvl w:val="6"/>
    </w:pPr>
    <w:rPr>
      <w:rFonts w:ascii="Arial" w:hAnsi="Arial"/>
      <w:sz w:val="20"/>
      <w:lang w:val="en-US"/>
    </w:rPr>
  </w:style>
  <w:style w:type="paragraph" w:styleId="Ttulo8">
    <w:name w:val="heading 8"/>
    <w:basedOn w:val="Normal"/>
    <w:next w:val="Normal"/>
    <w:link w:val="Ttulo8Car"/>
    <w:qFormat/>
    <w:rsid w:val="004A735C"/>
    <w:pPr>
      <w:tabs>
        <w:tab w:val="num" w:pos="1440"/>
      </w:tabs>
      <w:spacing w:before="240" w:after="60"/>
      <w:ind w:left="1440" w:hanging="1440"/>
      <w:outlineLvl w:val="7"/>
    </w:pPr>
    <w:rPr>
      <w:rFonts w:ascii="Arial" w:hAnsi="Arial"/>
      <w:i/>
      <w:sz w:val="20"/>
      <w:lang w:val="en-US"/>
    </w:rPr>
  </w:style>
  <w:style w:type="paragraph" w:styleId="Ttulo9">
    <w:name w:val="heading 9"/>
    <w:basedOn w:val="Normal"/>
    <w:next w:val="Normal"/>
    <w:link w:val="Ttulo9Car"/>
    <w:qFormat/>
    <w:rsid w:val="00B65BDE"/>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B65BDE"/>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B65BDE"/>
    <w:rPr>
      <w:rFonts w:ascii="Arial" w:eastAsia="Times New Roman" w:hAnsi="Arial" w:cs="Times New Roman"/>
      <w:b/>
      <w:sz w:val="40"/>
      <w:szCs w:val="20"/>
      <w:lang w:val="es-ES"/>
    </w:rPr>
  </w:style>
  <w:style w:type="character" w:customStyle="1" w:styleId="Ttulo3Car">
    <w:name w:val="Título 3 Car"/>
    <w:aliases w:val="Section Header3 Car,ClauseSub_No&amp;Name Car"/>
    <w:basedOn w:val="Fuentedeprrafopredeter"/>
    <w:link w:val="Ttulo3"/>
    <w:rsid w:val="00B65BDE"/>
    <w:rPr>
      <w:rFonts w:ascii="Arial" w:eastAsia="Times New Roman" w:hAnsi="Arial" w:cs="Times New Roman"/>
      <w:b/>
      <w:sz w:val="28"/>
      <w:szCs w:val="20"/>
    </w:rPr>
  </w:style>
  <w:style w:type="character" w:customStyle="1" w:styleId="Ttulo4Car">
    <w:name w:val="Título 4 Car"/>
    <w:aliases w:val=" Sub-Clause Sub-paragraph Car,ClauseSubSub_No&amp;Name Car,Sub-Clause Sub-paragraph Car"/>
    <w:basedOn w:val="Fuentedeprrafopredeter"/>
    <w:link w:val="Ttulo4"/>
    <w:uiPriority w:val="9"/>
    <w:rsid w:val="00B65BDE"/>
    <w:rPr>
      <w:rFonts w:ascii="Times New Roman" w:eastAsia="Times New Roman" w:hAnsi="Times New Roman" w:cs="Times New Roman"/>
      <w:b/>
      <w:szCs w:val="20"/>
      <w:lang w:val="es-ES_tradnl"/>
    </w:rPr>
  </w:style>
  <w:style w:type="character" w:customStyle="1" w:styleId="Ttulo5Car">
    <w:name w:val="Título 5 Car"/>
    <w:basedOn w:val="Fuentedeprrafopredeter"/>
    <w:link w:val="Ttulo5"/>
    <w:uiPriority w:val="9"/>
    <w:rsid w:val="00B65BDE"/>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rsid w:val="00B65BDE"/>
    <w:rPr>
      <w:rFonts w:ascii="Arial" w:eastAsia="Times New Roman" w:hAnsi="Arial" w:cs="Times New Roman"/>
      <w:b/>
      <w:i/>
      <w:sz w:val="18"/>
      <w:szCs w:val="20"/>
      <w:lang w:val="es-ES_tradnl"/>
    </w:rPr>
  </w:style>
  <w:style w:type="paragraph" w:styleId="TDC1">
    <w:name w:val="toc 1"/>
    <w:basedOn w:val="Normal"/>
    <w:next w:val="Normal"/>
    <w:uiPriority w:val="39"/>
    <w:qFormat/>
    <w:rsid w:val="00EB0F61"/>
    <w:pPr>
      <w:tabs>
        <w:tab w:val="right" w:leader="dot" w:pos="9000"/>
      </w:tabs>
      <w:suppressAutoHyphens/>
      <w:spacing w:before="80" w:after="40"/>
      <w:ind w:left="720" w:right="720" w:hanging="720"/>
    </w:pPr>
    <w:rPr>
      <w:rFonts w:ascii="Arial" w:hAnsi="Arial"/>
      <w:b/>
    </w:rPr>
  </w:style>
  <w:style w:type="paragraph" w:styleId="TDC2">
    <w:name w:val="toc 2"/>
    <w:basedOn w:val="Normal"/>
    <w:next w:val="Normal"/>
    <w:uiPriority w:val="39"/>
    <w:qFormat/>
    <w:rsid w:val="00836CE1"/>
    <w:pPr>
      <w:tabs>
        <w:tab w:val="left" w:pos="0"/>
        <w:tab w:val="left" w:pos="360"/>
        <w:tab w:val="left" w:pos="720"/>
        <w:tab w:val="right" w:leader="dot" w:pos="9000"/>
      </w:tabs>
      <w:suppressAutoHyphens/>
      <w:ind w:left="1440" w:right="720" w:hanging="720"/>
    </w:pPr>
    <w:rPr>
      <w:rFonts w:ascii="Arial" w:hAnsi="Arial"/>
    </w:rPr>
  </w:style>
  <w:style w:type="paragraph" w:styleId="Encabezadodelista">
    <w:name w:val="toa heading"/>
    <w:basedOn w:val="Normal"/>
    <w:next w:val="Normal"/>
    <w:rsid w:val="00B65BDE"/>
    <w:pPr>
      <w:tabs>
        <w:tab w:val="left" w:pos="9000"/>
        <w:tab w:val="right" w:pos="9360"/>
      </w:tabs>
      <w:suppressAutoHyphens/>
    </w:pPr>
  </w:style>
  <w:style w:type="paragraph" w:styleId="Ttulo">
    <w:name w:val="Title"/>
    <w:aliases w:val="Puesto"/>
    <w:basedOn w:val="Normal"/>
    <w:link w:val="TtuloCar"/>
    <w:uiPriority w:val="10"/>
    <w:qFormat/>
    <w:rsid w:val="00B65BDE"/>
    <w:pPr>
      <w:spacing w:before="240" w:after="60"/>
      <w:jc w:val="center"/>
    </w:pPr>
    <w:rPr>
      <w:rFonts w:ascii="Arial" w:hAnsi="Arial"/>
      <w:b/>
      <w:kern w:val="28"/>
      <w:sz w:val="32"/>
    </w:rPr>
  </w:style>
  <w:style w:type="character" w:customStyle="1" w:styleId="TtuloCar">
    <w:name w:val="Título Car"/>
    <w:aliases w:val="Puesto Car"/>
    <w:basedOn w:val="Fuentedeprrafopredeter"/>
    <w:link w:val="Ttulo"/>
    <w:uiPriority w:val="10"/>
    <w:rsid w:val="00B65BDE"/>
    <w:rPr>
      <w:rFonts w:ascii="Arial" w:eastAsia="Times New Roman" w:hAnsi="Arial" w:cs="Times New Roman"/>
      <w:b/>
      <w:kern w:val="28"/>
      <w:sz w:val="32"/>
      <w:szCs w:val="20"/>
      <w:lang w:val="es-ES_tradnl"/>
    </w:rPr>
  </w:style>
  <w:style w:type="paragraph" w:styleId="Encabezado">
    <w:name w:val="header"/>
    <w:aliases w:val="encabezado,Encabezado 2, Car,Encabezado1,anexo Car Car Car"/>
    <w:basedOn w:val="Normal"/>
    <w:link w:val="EncabezadoCar"/>
    <w:uiPriority w:val="99"/>
    <w:rsid w:val="00B65BDE"/>
    <w:rPr>
      <w:sz w:val="20"/>
    </w:rPr>
  </w:style>
  <w:style w:type="character" w:customStyle="1" w:styleId="EncabezadoCar">
    <w:name w:val="Encabezado Car"/>
    <w:aliases w:val="encabezado Car,Encabezado 2 Car, Car Car,Encabezado1 Car,anexo Car Car Car Car"/>
    <w:basedOn w:val="Fuentedeprrafopredeter"/>
    <w:link w:val="Encabezado"/>
    <w:uiPriority w:val="99"/>
    <w:rsid w:val="00B65BDE"/>
    <w:rPr>
      <w:rFonts w:ascii="Times New Roman" w:eastAsia="Times New Roman" w:hAnsi="Times New Roman" w:cs="Times New Roman"/>
      <w:sz w:val="20"/>
      <w:szCs w:val="20"/>
      <w:lang w:val="es-ES_tradnl"/>
    </w:rPr>
  </w:style>
  <w:style w:type="paragraph" w:styleId="Piedepgina">
    <w:name w:val="footer"/>
    <w:aliases w:val="pie de página,Car"/>
    <w:basedOn w:val="Normal"/>
    <w:link w:val="PiedepginaCar"/>
    <w:uiPriority w:val="99"/>
    <w:rsid w:val="00B65BDE"/>
    <w:rPr>
      <w:sz w:val="20"/>
    </w:rPr>
  </w:style>
  <w:style w:type="character" w:customStyle="1" w:styleId="PiedepginaCar">
    <w:name w:val="Pie de página Car"/>
    <w:aliases w:val="pie de página Car,Car Car"/>
    <w:basedOn w:val="Fuentedeprrafopredeter"/>
    <w:link w:val="Piedepgina"/>
    <w:uiPriority w:val="99"/>
    <w:rsid w:val="00B65BDE"/>
    <w:rPr>
      <w:rFonts w:ascii="Times New Roman" w:eastAsia="Times New Roman" w:hAnsi="Times New Roman" w:cs="Times New Roman"/>
      <w:sz w:val="20"/>
      <w:szCs w:val="20"/>
      <w:lang w:val="es-ES_tradnl"/>
    </w:rPr>
  </w:style>
  <w:style w:type="character" w:styleId="Nmerodepgina">
    <w:name w:val="page number"/>
    <w:basedOn w:val="Fuentedeprrafopredeter"/>
    <w:rsid w:val="00B65BDE"/>
  </w:style>
  <w:style w:type="paragraph" w:customStyle="1" w:styleId="Headfid1">
    <w:name w:val="Head fid1"/>
    <w:basedOn w:val="Head2"/>
    <w:rsid w:val="00B65BDE"/>
  </w:style>
  <w:style w:type="paragraph" w:customStyle="1" w:styleId="Head2">
    <w:name w:val="Head 2"/>
    <w:basedOn w:val="Normal"/>
    <w:autoRedefine/>
    <w:rsid w:val="00B65BDE"/>
    <w:pPr>
      <w:spacing w:before="120" w:after="120"/>
    </w:pPr>
    <w:rPr>
      <w:b/>
      <w:lang w:val="en-GB"/>
    </w:rPr>
  </w:style>
  <w:style w:type="paragraph" w:customStyle="1" w:styleId="explanatoryclause">
    <w:name w:val="explanatory_clause"/>
    <w:basedOn w:val="Normal"/>
    <w:rsid w:val="00B65BDE"/>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B65BDE"/>
    <w:pPr>
      <w:suppressAutoHyphens/>
      <w:spacing w:after="240" w:line="360" w:lineRule="exact"/>
    </w:pPr>
    <w:rPr>
      <w:rFonts w:ascii="Arial" w:hAnsi="Arial"/>
    </w:rPr>
  </w:style>
  <w:style w:type="paragraph" w:styleId="Textoindependiente2">
    <w:name w:val="Body Text 2"/>
    <w:basedOn w:val="Normal"/>
    <w:link w:val="Textoindependiente2Car"/>
    <w:uiPriority w:val="99"/>
    <w:rsid w:val="00B65BDE"/>
    <w:pPr>
      <w:suppressAutoHyphens/>
    </w:pPr>
    <w:rPr>
      <w:i/>
    </w:rPr>
  </w:style>
  <w:style w:type="character" w:customStyle="1" w:styleId="Textoindependiente2Car">
    <w:name w:val="Texto independiente 2 Car"/>
    <w:basedOn w:val="Fuentedeprrafopredeter"/>
    <w:link w:val="Textoindependiente2"/>
    <w:uiPriority w:val="99"/>
    <w:rsid w:val="00B65BDE"/>
    <w:rPr>
      <w:rFonts w:ascii="Times New Roman" w:eastAsia="Times New Roman" w:hAnsi="Times New Roman" w:cs="Times New Roman"/>
      <w:i/>
      <w:szCs w:val="20"/>
      <w:lang w:val="es-ES_tradnl"/>
    </w:rPr>
  </w:style>
  <w:style w:type="paragraph" w:styleId="Subttulo">
    <w:name w:val="Subtitle"/>
    <w:basedOn w:val="Normal"/>
    <w:link w:val="SubttuloCar"/>
    <w:uiPriority w:val="11"/>
    <w:qFormat/>
    <w:rsid w:val="00B65BDE"/>
    <w:pPr>
      <w:jc w:val="center"/>
    </w:pPr>
    <w:rPr>
      <w:b/>
      <w:sz w:val="44"/>
    </w:rPr>
  </w:style>
  <w:style w:type="character" w:customStyle="1" w:styleId="SubttuloCar">
    <w:name w:val="Subtítulo Car"/>
    <w:basedOn w:val="Fuentedeprrafopredeter"/>
    <w:link w:val="Subttulo"/>
    <w:uiPriority w:val="11"/>
    <w:rsid w:val="00B65BDE"/>
    <w:rPr>
      <w:rFonts w:ascii="Times New Roman" w:eastAsia="Times New Roman" w:hAnsi="Times New Roman" w:cs="Times New Roman"/>
      <w:b/>
      <w:sz w:val="44"/>
      <w:szCs w:val="20"/>
      <w:lang w:val="es-ES_tradnl"/>
    </w:rPr>
  </w:style>
  <w:style w:type="paragraph" w:styleId="Lista">
    <w:name w:val="List"/>
    <w:basedOn w:val="Normal"/>
    <w:rsid w:val="00B65BDE"/>
    <w:pPr>
      <w:spacing w:before="120" w:after="120"/>
      <w:ind w:left="1440"/>
    </w:pPr>
  </w:style>
  <w:style w:type="paragraph" w:customStyle="1" w:styleId="i">
    <w:name w:val="(i)"/>
    <w:basedOn w:val="Normal"/>
    <w:link w:val="iChar"/>
    <w:rsid w:val="00B65BDE"/>
    <w:pPr>
      <w:suppressAutoHyphens/>
    </w:pPr>
    <w:rPr>
      <w:rFonts w:ascii="Tms Rmn" w:hAnsi="Tms Rmn"/>
    </w:rPr>
  </w:style>
  <w:style w:type="character" w:customStyle="1" w:styleId="iChar">
    <w:name w:val="(i) Char"/>
    <w:basedOn w:val="Fuentedeprrafopredeter"/>
    <w:link w:val="i"/>
    <w:rsid w:val="00B65BDE"/>
    <w:rPr>
      <w:rFonts w:ascii="Tms Rmn" w:eastAsia="Times New Roman" w:hAnsi="Tms Rmn" w:cs="Times New Roman"/>
      <w:szCs w:val="20"/>
      <w:lang w:val="es-ES_tradnl"/>
    </w:rPr>
  </w:style>
  <w:style w:type="character" w:styleId="Hipervnculo">
    <w:name w:val="Hyperlink"/>
    <w:basedOn w:val="Fuentedeprrafopredeter"/>
    <w:uiPriority w:val="99"/>
    <w:rsid w:val="00B65BDE"/>
    <w:rPr>
      <w:noProof/>
      <w:color w:val="0000FF"/>
      <w:u w:val="single"/>
    </w:rPr>
  </w:style>
  <w:style w:type="paragraph" w:customStyle="1" w:styleId="Header1-Clauses">
    <w:name w:val="Header 1 - Clauses"/>
    <w:basedOn w:val="Normal"/>
    <w:rsid w:val="00B65BDE"/>
    <w:pPr>
      <w:numPr>
        <w:numId w:val="1"/>
      </w:numPr>
      <w:jc w:val="left"/>
    </w:pPr>
    <w:rPr>
      <w:b/>
    </w:rPr>
  </w:style>
  <w:style w:type="paragraph" w:customStyle="1" w:styleId="Header2-SubClauses">
    <w:name w:val="Header 2 - SubClauses"/>
    <w:basedOn w:val="Normal"/>
    <w:rsid w:val="00B65BDE"/>
    <w:pPr>
      <w:tabs>
        <w:tab w:val="left" w:pos="619"/>
      </w:tabs>
      <w:spacing w:after="200"/>
    </w:pPr>
  </w:style>
  <w:style w:type="paragraph" w:customStyle="1" w:styleId="P3Header1-Clauses">
    <w:name w:val="P3 Header1-Clauses"/>
    <w:basedOn w:val="Header1-Clauses"/>
    <w:rsid w:val="00B65BDE"/>
    <w:pPr>
      <w:numPr>
        <w:ilvl w:val="2"/>
      </w:numPr>
    </w:pPr>
  </w:style>
  <w:style w:type="paragraph" w:customStyle="1" w:styleId="Outline">
    <w:name w:val="Outline"/>
    <w:basedOn w:val="Normal"/>
    <w:rsid w:val="00B65BDE"/>
    <w:pPr>
      <w:spacing w:before="240"/>
      <w:jc w:val="left"/>
    </w:pPr>
    <w:rPr>
      <w:kern w:val="28"/>
    </w:rPr>
  </w:style>
  <w:style w:type="paragraph" w:customStyle="1" w:styleId="BankNormal">
    <w:name w:val="BankNormal"/>
    <w:basedOn w:val="Normal"/>
    <w:rsid w:val="00B65BDE"/>
    <w:pPr>
      <w:spacing w:after="240"/>
      <w:jc w:val="left"/>
    </w:pPr>
  </w:style>
  <w:style w:type="paragraph" w:styleId="Textodeglobo">
    <w:name w:val="Balloon Text"/>
    <w:basedOn w:val="Normal"/>
    <w:link w:val="TextodegloboCar"/>
    <w:uiPriority w:val="99"/>
    <w:rsid w:val="00B65BDE"/>
    <w:rPr>
      <w:rFonts w:ascii="Tahoma" w:hAnsi="Tahoma" w:cs="Tahoma"/>
      <w:sz w:val="16"/>
      <w:szCs w:val="16"/>
    </w:rPr>
  </w:style>
  <w:style w:type="character" w:customStyle="1" w:styleId="TextodegloboCar">
    <w:name w:val="Texto de globo Car"/>
    <w:basedOn w:val="Fuentedeprrafopredeter"/>
    <w:link w:val="Textodeglobo"/>
    <w:uiPriority w:val="99"/>
    <w:rsid w:val="00B65BDE"/>
    <w:rPr>
      <w:rFonts w:ascii="Tahoma" w:eastAsia="Times New Roman" w:hAnsi="Tahoma" w:cs="Tahoma"/>
      <w:sz w:val="16"/>
      <w:szCs w:val="16"/>
      <w:lang w:val="es-ES_tradnl"/>
    </w:rPr>
  </w:style>
  <w:style w:type="character" w:styleId="Refdecomentario">
    <w:name w:val="annotation reference"/>
    <w:basedOn w:val="Fuentedeprrafopredeter"/>
    <w:uiPriority w:val="99"/>
    <w:rsid w:val="00B65BDE"/>
    <w:rPr>
      <w:sz w:val="16"/>
    </w:rPr>
  </w:style>
  <w:style w:type="paragraph" w:styleId="Textocomentario">
    <w:name w:val="annotation text"/>
    <w:basedOn w:val="Normal"/>
    <w:link w:val="TextocomentarioCar"/>
    <w:uiPriority w:val="99"/>
    <w:rsid w:val="00B65BDE"/>
    <w:pPr>
      <w:jc w:val="left"/>
    </w:pPr>
    <w:rPr>
      <w:sz w:val="20"/>
    </w:rPr>
  </w:style>
  <w:style w:type="character" w:customStyle="1" w:styleId="TextocomentarioCar">
    <w:name w:val="Texto comentario Car"/>
    <w:basedOn w:val="Fuentedeprrafopredeter"/>
    <w:link w:val="Textocomentario"/>
    <w:uiPriority w:val="99"/>
    <w:rsid w:val="00B65BDE"/>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B65BDE"/>
    <w:pPr>
      <w:spacing w:before="120"/>
      <w:ind w:left="1440" w:hanging="1440"/>
    </w:pPr>
    <w:rPr>
      <w:b/>
    </w:rPr>
  </w:style>
  <w:style w:type="character" w:customStyle="1" w:styleId="Sangra3detindependienteCar">
    <w:name w:val="Sangría 3 de t. independiente Car"/>
    <w:basedOn w:val="Fuentedeprrafopredeter"/>
    <w:link w:val="Sangra3detindependiente"/>
    <w:rsid w:val="00B65BDE"/>
    <w:rPr>
      <w:rFonts w:ascii="Times New Roman" w:eastAsia="Times New Roman" w:hAnsi="Times New Roman" w:cs="Times New Roman"/>
      <w:b/>
      <w:szCs w:val="20"/>
      <w:lang w:val="es-ES_tradnl"/>
    </w:rPr>
  </w:style>
  <w:style w:type="paragraph" w:customStyle="1" w:styleId="Document1">
    <w:name w:val="Document 1"/>
    <w:rsid w:val="00B65BDE"/>
    <w:pPr>
      <w:keepNext/>
      <w:keepLines/>
      <w:tabs>
        <w:tab w:val="left" w:pos="-720"/>
      </w:tabs>
      <w:suppressAutoHyphens/>
    </w:pPr>
    <w:rPr>
      <w:rFonts w:ascii="Times" w:eastAsia="Times New Roman" w:hAnsi="Times" w:cs="Times New Roman"/>
      <w:szCs w:val="20"/>
    </w:rPr>
  </w:style>
  <w:style w:type="paragraph" w:customStyle="1" w:styleId="Technical4">
    <w:name w:val="Technical 4"/>
    <w:rsid w:val="00B65BDE"/>
    <w:pPr>
      <w:tabs>
        <w:tab w:val="left" w:pos="-720"/>
      </w:tabs>
      <w:suppressAutoHyphens/>
    </w:pPr>
    <w:rPr>
      <w:rFonts w:ascii="Times" w:eastAsia="Times New Roman" w:hAnsi="Times" w:cs="Times New Roman"/>
      <w:b/>
      <w:szCs w:val="20"/>
    </w:rPr>
  </w:style>
  <w:style w:type="paragraph" w:customStyle="1" w:styleId="Technical5">
    <w:name w:val="Technical 5"/>
    <w:rsid w:val="00B65BDE"/>
    <w:pPr>
      <w:tabs>
        <w:tab w:val="left" w:pos="-720"/>
      </w:tabs>
      <w:suppressAutoHyphens/>
      <w:ind w:firstLine="720"/>
    </w:pPr>
    <w:rPr>
      <w:rFonts w:ascii="Times" w:eastAsia="Times New Roman" w:hAnsi="Times" w:cs="Times New Roman"/>
      <w:b/>
      <w:szCs w:val="20"/>
    </w:rPr>
  </w:style>
  <w:style w:type="paragraph" w:customStyle="1" w:styleId="Technical6">
    <w:name w:val="Technical 6"/>
    <w:rsid w:val="00B65BDE"/>
    <w:pPr>
      <w:tabs>
        <w:tab w:val="left" w:pos="-720"/>
      </w:tabs>
      <w:suppressAutoHyphens/>
      <w:ind w:firstLine="720"/>
    </w:pPr>
    <w:rPr>
      <w:rFonts w:ascii="Times" w:eastAsia="Times New Roman" w:hAnsi="Times" w:cs="Times New Roman"/>
      <w:b/>
      <w:szCs w:val="20"/>
    </w:rPr>
  </w:style>
  <w:style w:type="paragraph" w:customStyle="1" w:styleId="Technical7">
    <w:name w:val="Technical 7"/>
    <w:rsid w:val="00B65BDE"/>
    <w:pPr>
      <w:tabs>
        <w:tab w:val="left" w:pos="-720"/>
      </w:tabs>
      <w:suppressAutoHyphens/>
      <w:ind w:firstLine="720"/>
    </w:pPr>
    <w:rPr>
      <w:rFonts w:ascii="Times" w:eastAsia="Times New Roman" w:hAnsi="Times" w:cs="Times New Roman"/>
      <w:b/>
      <w:szCs w:val="20"/>
    </w:rPr>
  </w:style>
  <w:style w:type="paragraph" w:customStyle="1" w:styleId="Technical8">
    <w:name w:val="Technical 8"/>
    <w:rsid w:val="00B65BDE"/>
    <w:pPr>
      <w:tabs>
        <w:tab w:val="left" w:pos="-720"/>
      </w:tabs>
      <w:suppressAutoHyphens/>
      <w:ind w:firstLine="720"/>
    </w:pPr>
    <w:rPr>
      <w:rFonts w:ascii="Times" w:eastAsia="Times New Roman" w:hAnsi="Times" w:cs="Times New Roman"/>
      <w:b/>
      <w:szCs w:val="20"/>
    </w:rPr>
  </w:style>
  <w:style w:type="paragraph" w:customStyle="1" w:styleId="Pleading">
    <w:name w:val="Pleading"/>
    <w:rsid w:val="00B65BDE"/>
    <w:pPr>
      <w:tabs>
        <w:tab w:val="left" w:pos="-720"/>
      </w:tabs>
      <w:suppressAutoHyphens/>
      <w:spacing w:line="240" w:lineRule="exact"/>
    </w:pPr>
    <w:rPr>
      <w:rFonts w:ascii="Times" w:eastAsia="Times New Roman" w:hAnsi="Times" w:cs="Times New Roman"/>
      <w:szCs w:val="20"/>
    </w:rPr>
  </w:style>
  <w:style w:type="paragraph" w:customStyle="1" w:styleId="RightPar1">
    <w:name w:val="Right Par 1"/>
    <w:rsid w:val="00B65BDE"/>
    <w:pPr>
      <w:tabs>
        <w:tab w:val="left" w:pos="-720"/>
        <w:tab w:val="left" w:pos="0"/>
        <w:tab w:val="decimal" w:pos="720"/>
      </w:tabs>
      <w:suppressAutoHyphens/>
      <w:ind w:firstLine="720"/>
    </w:pPr>
    <w:rPr>
      <w:rFonts w:ascii="Times" w:eastAsia="Times New Roman" w:hAnsi="Times" w:cs="Times New Roman"/>
      <w:szCs w:val="20"/>
    </w:rPr>
  </w:style>
  <w:style w:type="paragraph" w:customStyle="1" w:styleId="RightPar2">
    <w:name w:val="Right Par 2"/>
    <w:rsid w:val="00B65BDE"/>
    <w:pPr>
      <w:tabs>
        <w:tab w:val="left" w:pos="-720"/>
        <w:tab w:val="left" w:pos="0"/>
        <w:tab w:val="left" w:pos="720"/>
        <w:tab w:val="decimal" w:pos="1440"/>
      </w:tabs>
      <w:suppressAutoHyphens/>
      <w:ind w:firstLine="1440"/>
    </w:pPr>
    <w:rPr>
      <w:rFonts w:ascii="Times" w:eastAsia="Times New Roman" w:hAnsi="Times" w:cs="Times New Roman"/>
      <w:szCs w:val="20"/>
    </w:rPr>
  </w:style>
  <w:style w:type="paragraph" w:customStyle="1" w:styleId="RightPar3">
    <w:name w:val="Right Par 3"/>
    <w:rsid w:val="00B65BDE"/>
    <w:pPr>
      <w:tabs>
        <w:tab w:val="left" w:pos="-720"/>
        <w:tab w:val="left" w:pos="0"/>
        <w:tab w:val="left" w:pos="720"/>
        <w:tab w:val="left" w:pos="1440"/>
        <w:tab w:val="decimal" w:pos="2160"/>
      </w:tabs>
      <w:suppressAutoHyphens/>
      <w:ind w:firstLine="2160"/>
    </w:pPr>
    <w:rPr>
      <w:rFonts w:ascii="Times" w:eastAsia="Times New Roman" w:hAnsi="Times" w:cs="Times New Roman"/>
      <w:szCs w:val="20"/>
    </w:rPr>
  </w:style>
  <w:style w:type="paragraph" w:customStyle="1" w:styleId="RightPar4">
    <w:name w:val="Right Par 4"/>
    <w:rsid w:val="00B65BDE"/>
    <w:pPr>
      <w:tabs>
        <w:tab w:val="left" w:pos="-720"/>
        <w:tab w:val="left" w:pos="0"/>
        <w:tab w:val="left" w:pos="720"/>
        <w:tab w:val="left" w:pos="1440"/>
        <w:tab w:val="left" w:pos="2160"/>
        <w:tab w:val="decimal" w:pos="2880"/>
      </w:tabs>
      <w:suppressAutoHyphens/>
      <w:ind w:firstLine="2880"/>
    </w:pPr>
    <w:rPr>
      <w:rFonts w:ascii="Times" w:eastAsia="Times New Roman" w:hAnsi="Times" w:cs="Times New Roman"/>
      <w:szCs w:val="20"/>
    </w:rPr>
  </w:style>
  <w:style w:type="paragraph" w:customStyle="1" w:styleId="RightPar5">
    <w:name w:val="Right Par 5"/>
    <w:rsid w:val="00B65BDE"/>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cs="Times New Roman"/>
      <w:szCs w:val="20"/>
    </w:rPr>
  </w:style>
  <w:style w:type="paragraph" w:customStyle="1" w:styleId="RightPar6">
    <w:name w:val="Right Par 6"/>
    <w:rsid w:val="00B65BDE"/>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cs="Times New Roman"/>
      <w:szCs w:val="20"/>
    </w:rPr>
  </w:style>
  <w:style w:type="paragraph" w:customStyle="1" w:styleId="RightPar7">
    <w:name w:val="Right Par 7"/>
    <w:rsid w:val="00B65BDE"/>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cs="Times New Roman"/>
      <w:szCs w:val="20"/>
    </w:rPr>
  </w:style>
  <w:style w:type="paragraph" w:customStyle="1" w:styleId="RightPar8">
    <w:name w:val="Right Par 8"/>
    <w:rsid w:val="00B65BDE"/>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cs="Times New Roman"/>
      <w:szCs w:val="20"/>
    </w:rPr>
  </w:style>
  <w:style w:type="paragraph" w:customStyle="1" w:styleId="Head21">
    <w:name w:val="Head 2.1"/>
    <w:basedOn w:val="Normal"/>
    <w:rsid w:val="00B65BDE"/>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B65BDE"/>
    <w:pPr>
      <w:tabs>
        <w:tab w:val="left" w:pos="360"/>
      </w:tabs>
      <w:suppressAutoHyphens/>
      <w:spacing w:after="240"/>
      <w:ind w:left="360" w:hanging="360"/>
      <w:jc w:val="left"/>
    </w:pPr>
    <w:rPr>
      <w:b/>
    </w:rPr>
  </w:style>
  <w:style w:type="paragraph" w:customStyle="1" w:styleId="Headingrb2">
    <w:name w:val="Heading rb2"/>
    <w:basedOn w:val="Normal"/>
    <w:rsid w:val="00B65BDE"/>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B65BDE"/>
    <w:pPr>
      <w:suppressAutoHyphens/>
      <w:spacing w:after="240"/>
      <w:ind w:left="360" w:hanging="360"/>
      <w:jc w:val="left"/>
    </w:pPr>
    <w:rPr>
      <w:rFonts w:ascii="Tms Rmn" w:hAnsi="Tms Rmn"/>
      <w:b/>
    </w:rPr>
  </w:style>
  <w:style w:type="paragraph" w:customStyle="1" w:styleId="Head31">
    <w:name w:val="Head 3.1"/>
    <w:basedOn w:val="Head21"/>
    <w:rsid w:val="00B65BDE"/>
  </w:style>
  <w:style w:type="paragraph" w:customStyle="1" w:styleId="Head41">
    <w:name w:val="Head 4.1"/>
    <w:basedOn w:val="Head21"/>
    <w:rsid w:val="00B65BDE"/>
  </w:style>
  <w:style w:type="paragraph" w:customStyle="1" w:styleId="Head42">
    <w:name w:val="Head 4.2"/>
    <w:basedOn w:val="Normal"/>
    <w:rsid w:val="00B65BDE"/>
    <w:pPr>
      <w:suppressAutoHyphens/>
      <w:spacing w:after="240"/>
      <w:ind w:left="360" w:hanging="360"/>
      <w:jc w:val="left"/>
    </w:pPr>
    <w:rPr>
      <w:b/>
    </w:rPr>
  </w:style>
  <w:style w:type="paragraph" w:customStyle="1" w:styleId="Head51">
    <w:name w:val="Head 5.1"/>
    <w:basedOn w:val="Head21"/>
    <w:rsid w:val="00B65BDE"/>
    <w:pPr>
      <w:spacing w:after="0"/>
    </w:pPr>
  </w:style>
  <w:style w:type="paragraph" w:customStyle="1" w:styleId="Head52">
    <w:name w:val="Head 5.2"/>
    <w:basedOn w:val="Normal"/>
    <w:rsid w:val="00B65BDE"/>
    <w:pPr>
      <w:keepNext/>
      <w:suppressAutoHyphens/>
      <w:spacing w:before="480" w:after="240"/>
      <w:ind w:left="547" w:hanging="547"/>
      <w:jc w:val="center"/>
    </w:pPr>
    <w:rPr>
      <w:b/>
    </w:rPr>
  </w:style>
  <w:style w:type="paragraph" w:customStyle="1" w:styleId="Head61">
    <w:name w:val="Head 6.1"/>
    <w:basedOn w:val="Head51"/>
    <w:rsid w:val="00B65BDE"/>
    <w:pPr>
      <w:pBdr>
        <w:bottom w:val="none" w:sz="0" w:space="0" w:color="auto"/>
      </w:pBdr>
      <w:spacing w:before="0" w:after="240"/>
    </w:pPr>
    <w:rPr>
      <w:caps/>
    </w:rPr>
  </w:style>
  <w:style w:type="paragraph" w:customStyle="1" w:styleId="Head71">
    <w:name w:val="Head 7.1"/>
    <w:basedOn w:val="Head21"/>
    <w:rsid w:val="00B65BDE"/>
  </w:style>
  <w:style w:type="paragraph" w:customStyle="1" w:styleId="Head72">
    <w:name w:val="Head 7.2"/>
    <w:basedOn w:val="Normal"/>
    <w:rsid w:val="00B65BDE"/>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B65BDE"/>
    <w:pPr>
      <w:outlineLvl w:val="9"/>
    </w:pPr>
    <w:rPr>
      <w:smallCaps w:val="0"/>
      <w:sz w:val="32"/>
    </w:rPr>
  </w:style>
  <w:style w:type="paragraph" w:customStyle="1" w:styleId="Head82">
    <w:name w:val="Head 8.2"/>
    <w:basedOn w:val="Head81"/>
    <w:rsid w:val="00B65BDE"/>
    <w:rPr>
      <w:smallCaps/>
      <w:sz w:val="28"/>
    </w:rPr>
  </w:style>
  <w:style w:type="paragraph" w:customStyle="1" w:styleId="TOCNumber1">
    <w:name w:val="TOC Number1"/>
    <w:basedOn w:val="Ttulo4"/>
    <w:autoRedefine/>
    <w:rsid w:val="00B65BDE"/>
    <w:pPr>
      <w:keepNext w:val="0"/>
      <w:suppressAutoHyphens/>
      <w:spacing w:after="120"/>
      <w:ind w:right="18"/>
      <w:jc w:val="both"/>
      <w:outlineLvl w:val="9"/>
    </w:pPr>
    <w:rPr>
      <w:b w:val="0"/>
      <w:lang w:val="es-ES"/>
    </w:rPr>
  </w:style>
  <w:style w:type="paragraph" w:customStyle="1" w:styleId="2AutoList1">
    <w:name w:val="2AutoList1"/>
    <w:basedOn w:val="Normal"/>
    <w:rsid w:val="00B65BDE"/>
    <w:pPr>
      <w:tabs>
        <w:tab w:val="num" w:pos="432"/>
      </w:tabs>
      <w:ind w:left="432" w:hanging="432"/>
    </w:pPr>
  </w:style>
  <w:style w:type="paragraph" w:customStyle="1" w:styleId="Outline3">
    <w:name w:val="Outline3"/>
    <w:basedOn w:val="Normal"/>
    <w:rsid w:val="00B65BDE"/>
    <w:pPr>
      <w:tabs>
        <w:tab w:val="num" w:pos="0"/>
      </w:tabs>
      <w:spacing w:before="240"/>
      <w:ind w:left="2160" w:hanging="720"/>
      <w:jc w:val="left"/>
    </w:pPr>
    <w:rPr>
      <w:kern w:val="28"/>
    </w:rPr>
  </w:style>
  <w:style w:type="paragraph" w:customStyle="1" w:styleId="Outline4">
    <w:name w:val="Outline4"/>
    <w:basedOn w:val="Normal"/>
    <w:autoRedefine/>
    <w:rsid w:val="00B65BDE"/>
    <w:pPr>
      <w:tabs>
        <w:tab w:val="num" w:pos="720"/>
        <w:tab w:val="left" w:pos="1710"/>
      </w:tabs>
      <w:ind w:left="720" w:hanging="720"/>
    </w:pPr>
    <w:rPr>
      <w:kern w:val="28"/>
    </w:rPr>
  </w:style>
  <w:style w:type="paragraph" w:customStyle="1" w:styleId="Outlinei">
    <w:name w:val="Outline i)"/>
    <w:basedOn w:val="Normal"/>
    <w:rsid w:val="00B65BDE"/>
    <w:pPr>
      <w:tabs>
        <w:tab w:val="num" w:pos="432"/>
      </w:tabs>
      <w:spacing w:before="120"/>
      <w:ind w:left="432" w:hanging="432"/>
      <w:jc w:val="left"/>
    </w:pPr>
  </w:style>
  <w:style w:type="paragraph" w:customStyle="1" w:styleId="SectionVHeader">
    <w:name w:val="Section V. Header"/>
    <w:basedOn w:val="Normal"/>
    <w:rsid w:val="00B65BDE"/>
    <w:pPr>
      <w:jc w:val="center"/>
    </w:pPr>
    <w:rPr>
      <w:b/>
      <w:sz w:val="36"/>
    </w:rPr>
  </w:style>
  <w:style w:type="character" w:customStyle="1" w:styleId="Table">
    <w:name w:val="Table"/>
    <w:basedOn w:val="Fuentedeprrafopredeter"/>
    <w:rsid w:val="00B65BDE"/>
    <w:rPr>
      <w:rFonts w:ascii="Arial" w:hAnsi="Arial"/>
      <w:sz w:val="20"/>
    </w:rPr>
  </w:style>
  <w:style w:type="paragraph" w:customStyle="1" w:styleId="SectionVIIHeader2">
    <w:name w:val="Section VII Header2"/>
    <w:basedOn w:val="Ttulo1"/>
    <w:autoRedefine/>
    <w:rsid w:val="00B65BDE"/>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B65BDE"/>
    <w:pPr>
      <w:spacing w:before="60" w:after="60"/>
      <w:ind w:left="2268"/>
    </w:pPr>
    <w:rPr>
      <w:rFonts w:ascii="Times New Roman" w:eastAsia="Times New Roman" w:hAnsi="Times New Roman" w:cs="Times New Roman"/>
      <w:sz w:val="22"/>
      <w:szCs w:val="22"/>
      <w:lang w:val="en-GB"/>
    </w:rPr>
  </w:style>
  <w:style w:type="paragraph" w:customStyle="1" w:styleId="ClauseSubList">
    <w:name w:val="ClauseSub_List"/>
    <w:rsid w:val="00B65BDE"/>
    <w:pPr>
      <w:tabs>
        <w:tab w:val="num" w:pos="360"/>
      </w:tabs>
      <w:suppressAutoHyphens/>
      <w:ind w:left="360" w:hanging="360"/>
    </w:pPr>
    <w:rPr>
      <w:rFonts w:ascii="Times New Roman" w:eastAsia="Times New Roman" w:hAnsi="Times New Roman" w:cs="Times New Roman"/>
      <w:sz w:val="22"/>
      <w:szCs w:val="22"/>
      <w:lang w:val="en-GB"/>
    </w:rPr>
  </w:style>
  <w:style w:type="paragraph" w:customStyle="1" w:styleId="ClauseSubListSubList">
    <w:name w:val="ClauseSub_List_SubList"/>
    <w:rsid w:val="00B65BDE"/>
    <w:pPr>
      <w:tabs>
        <w:tab w:val="num" w:pos="1782"/>
      </w:tabs>
      <w:ind w:left="1782" w:hanging="792"/>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B65BDE"/>
    <w:pPr>
      <w:ind w:left="2835"/>
    </w:pPr>
  </w:style>
  <w:style w:type="paragraph" w:customStyle="1" w:styleId="Part1">
    <w:name w:val="Part 1"/>
    <w:aliases w:val="2,3 Header 4"/>
    <w:basedOn w:val="Normal"/>
    <w:autoRedefine/>
    <w:rsid w:val="00B65BDE"/>
    <w:pPr>
      <w:spacing w:before="240" w:after="240"/>
      <w:jc w:val="center"/>
    </w:pPr>
    <w:rPr>
      <w:b/>
      <w:sz w:val="48"/>
    </w:rPr>
  </w:style>
  <w:style w:type="paragraph" w:customStyle="1" w:styleId="FIDICSectionBegin">
    <w:name w:val="FIDIC__SectionBegin"/>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B65BDE"/>
    <w:pPr>
      <w:spacing w:before="100" w:after="300"/>
    </w:pPr>
    <w:rPr>
      <w:sz w:val="30"/>
      <w:szCs w:val="30"/>
    </w:rPr>
  </w:style>
  <w:style w:type="paragraph" w:customStyle="1" w:styleId="FIDICClauseSubName">
    <w:name w:val="FIDIC_ClauseSubName"/>
    <w:basedOn w:val="FIDICCoverTitle"/>
    <w:rsid w:val="00B65BDE"/>
    <w:pPr>
      <w:spacing w:before="240" w:line="240" w:lineRule="exact"/>
    </w:pPr>
    <w:rPr>
      <w:sz w:val="24"/>
      <w:szCs w:val="24"/>
    </w:rPr>
  </w:style>
  <w:style w:type="paragraph" w:customStyle="1" w:styleId="FIDICCoverTitle">
    <w:name w:val="FIDIC__CoverTitle"/>
    <w:basedOn w:val="Normal"/>
    <w:rsid w:val="00B65BDE"/>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B65BDE"/>
    <w:rPr>
      <w:sz w:val="28"/>
      <w:szCs w:val="28"/>
    </w:rPr>
  </w:style>
  <w:style w:type="paragraph" w:customStyle="1" w:styleId="FIDICClauseSubSubPara">
    <w:name w:val="FIDIC_ClauseSubSubPara"/>
    <w:basedOn w:val="FIDICClauseSubName"/>
    <w:rsid w:val="00B65BD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B65BDE"/>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65BD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B65BDE"/>
    <w:pPr>
      <w:numPr>
        <w:numId w:val="0"/>
      </w:numPr>
      <w:tabs>
        <w:tab w:val="left" w:pos="573"/>
      </w:tabs>
      <w:ind w:left="576" w:hanging="576"/>
    </w:pPr>
    <w:rPr>
      <w:bCs/>
      <w:szCs w:val="24"/>
      <w:lang w:val="en-US"/>
    </w:rPr>
  </w:style>
  <w:style w:type="paragraph" w:customStyle="1" w:styleId="Sec7-Clauses">
    <w:name w:val="Sec7-Clauses"/>
    <w:basedOn w:val="Header1-Clauses"/>
    <w:rsid w:val="00B65BDE"/>
    <w:pPr>
      <w:numPr>
        <w:numId w:val="0"/>
      </w:numPr>
    </w:pPr>
    <w:rPr>
      <w:bCs/>
      <w:szCs w:val="24"/>
    </w:rPr>
  </w:style>
  <w:style w:type="paragraph" w:customStyle="1" w:styleId="sec7-header1">
    <w:name w:val="sec7-header1"/>
    <w:basedOn w:val="FIDICClauseSubName"/>
    <w:rsid w:val="00B65BDE"/>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65BDE"/>
    <w:rPr>
      <w:lang w:val="en-US"/>
    </w:rPr>
  </w:style>
  <w:style w:type="paragraph" w:customStyle="1" w:styleId="SectionIXHeader">
    <w:name w:val="Section IX Header"/>
    <w:basedOn w:val="SectionVHeader"/>
    <w:rsid w:val="00B65BDE"/>
    <w:rPr>
      <w:lang w:val="en-US"/>
    </w:rPr>
  </w:style>
  <w:style w:type="paragraph" w:customStyle="1" w:styleId="Parts">
    <w:name w:val="Parts"/>
    <w:basedOn w:val="Ttulo1"/>
    <w:rsid w:val="00B65BDE"/>
    <w:rPr>
      <w:sz w:val="56"/>
    </w:rPr>
  </w:style>
  <w:style w:type="paragraph" w:customStyle="1" w:styleId="StyleHeader1-ClausesLeft0Hanging03After0pt">
    <w:name w:val="Style Header 1 - Clauses + Left:  0&quot; Hanging:  0.3&quot; After:  0 pt"/>
    <w:basedOn w:val="Header1-Clauses"/>
    <w:rsid w:val="00B65BDE"/>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B65BDE"/>
    <w:pPr>
      <w:tabs>
        <w:tab w:val="clear" w:pos="619"/>
        <w:tab w:val="left" w:pos="576"/>
      </w:tabs>
      <w:ind w:left="612"/>
    </w:pPr>
    <w:rPr>
      <w:b/>
      <w:bCs/>
    </w:rPr>
  </w:style>
  <w:style w:type="paragraph" w:customStyle="1" w:styleId="StyleHeader1-ClausesAfter0pt">
    <w:name w:val="Style Header 1 - Clauses + After:  0 pt"/>
    <w:basedOn w:val="Header1-Clauses"/>
    <w:rsid w:val="00B65BDE"/>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B65BD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B65BD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B65BDE"/>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B65BDE"/>
    <w:pPr>
      <w:tabs>
        <w:tab w:val="left" w:pos="1512"/>
      </w:tabs>
      <w:spacing w:after="180"/>
      <w:ind w:left="1512" w:right="18" w:hanging="540"/>
      <w:jc w:val="both"/>
    </w:pPr>
    <w:rPr>
      <w:bCs/>
    </w:rPr>
  </w:style>
  <w:style w:type="paragraph" w:customStyle="1" w:styleId="Section7heading3">
    <w:name w:val="Section 7 heading 3"/>
    <w:basedOn w:val="Ttulo3"/>
    <w:rsid w:val="00B65BDE"/>
  </w:style>
  <w:style w:type="paragraph" w:customStyle="1" w:styleId="Section7heading4">
    <w:name w:val="Section 7 heading 4"/>
    <w:basedOn w:val="Ttulo3"/>
    <w:rsid w:val="00B65BDE"/>
    <w:pPr>
      <w:tabs>
        <w:tab w:val="left" w:pos="576"/>
      </w:tabs>
      <w:ind w:left="576" w:hanging="576"/>
      <w:jc w:val="left"/>
    </w:pPr>
    <w:rPr>
      <w:sz w:val="24"/>
    </w:rPr>
  </w:style>
  <w:style w:type="paragraph" w:customStyle="1" w:styleId="Section7heading5">
    <w:name w:val="Section 7 heading 5"/>
    <w:basedOn w:val="Ttulo3"/>
    <w:rsid w:val="00B65BDE"/>
    <w:pPr>
      <w:jc w:val="both"/>
    </w:pPr>
    <w:rPr>
      <w:sz w:val="24"/>
    </w:rPr>
  </w:style>
  <w:style w:type="paragraph" w:customStyle="1" w:styleId="StyleSection7heading3After10pt">
    <w:name w:val="Style Section 7 heading 3 + After:  10 pt"/>
    <w:basedOn w:val="Section7heading3"/>
    <w:rsid w:val="00B65BDE"/>
    <w:pPr>
      <w:spacing w:after="200"/>
    </w:pPr>
    <w:rPr>
      <w:rFonts w:ascii="Times New Roman Bold" w:hAnsi="Times New Roman Bold"/>
      <w:bCs/>
      <w:szCs w:val="28"/>
    </w:rPr>
  </w:style>
  <w:style w:type="paragraph" w:customStyle="1" w:styleId="StyleTOC1Before8pt">
    <w:name w:val="Style TOC 1 + Before:  8 pt"/>
    <w:basedOn w:val="TDC1"/>
    <w:rsid w:val="00B65BDE"/>
    <w:pPr>
      <w:tabs>
        <w:tab w:val="right" w:pos="720"/>
      </w:tabs>
      <w:spacing w:before="160"/>
    </w:pPr>
    <w:rPr>
      <w:bCs/>
    </w:rPr>
  </w:style>
  <w:style w:type="paragraph" w:customStyle="1" w:styleId="StyleClauseSubList12ptJustifiedAfter10pt">
    <w:name w:val="Style ClauseSub_List + 12 pt Justified After:  10 pt"/>
    <w:basedOn w:val="ClauseSubList"/>
    <w:rsid w:val="00B65BDE"/>
    <w:pPr>
      <w:spacing w:after="200"/>
      <w:jc w:val="both"/>
    </w:pPr>
    <w:rPr>
      <w:sz w:val="24"/>
      <w:szCs w:val="24"/>
    </w:rPr>
  </w:style>
  <w:style w:type="character" w:customStyle="1" w:styleId="Bibliogrphy">
    <w:name w:val="Bibliogrphy"/>
    <w:basedOn w:val="Fuentedeprrafopredeter"/>
    <w:rsid w:val="00B65BDE"/>
  </w:style>
  <w:style w:type="character" w:customStyle="1" w:styleId="DocInit">
    <w:name w:val="Doc Init"/>
    <w:basedOn w:val="Fuentedeprrafopredeter"/>
    <w:rsid w:val="00B65BDE"/>
  </w:style>
  <w:style w:type="character" w:customStyle="1" w:styleId="Document2">
    <w:name w:val="Document 2"/>
    <w:basedOn w:val="Fuentedeprrafopredeter"/>
    <w:rsid w:val="00B65BDE"/>
    <w:rPr>
      <w:rFonts w:ascii="Times" w:hAnsi="Times"/>
      <w:noProof w:val="0"/>
      <w:sz w:val="24"/>
      <w:lang w:val="en-US"/>
    </w:rPr>
  </w:style>
  <w:style w:type="character" w:customStyle="1" w:styleId="Document3">
    <w:name w:val="Document 3"/>
    <w:basedOn w:val="Fuentedeprrafopredeter"/>
    <w:rsid w:val="00B65BDE"/>
    <w:rPr>
      <w:rFonts w:ascii="Times" w:hAnsi="Times"/>
      <w:noProof w:val="0"/>
      <w:sz w:val="24"/>
      <w:lang w:val="en-US"/>
    </w:rPr>
  </w:style>
  <w:style w:type="character" w:customStyle="1" w:styleId="Document4">
    <w:name w:val="Document 4"/>
    <w:basedOn w:val="Fuentedeprrafopredeter"/>
    <w:rsid w:val="00B65BDE"/>
    <w:rPr>
      <w:b/>
      <w:i/>
      <w:sz w:val="24"/>
    </w:rPr>
  </w:style>
  <w:style w:type="character" w:customStyle="1" w:styleId="Document5">
    <w:name w:val="Document 5"/>
    <w:basedOn w:val="Fuentedeprrafopredeter"/>
    <w:rsid w:val="00B65BDE"/>
  </w:style>
  <w:style w:type="character" w:customStyle="1" w:styleId="Document6">
    <w:name w:val="Document 6"/>
    <w:basedOn w:val="Fuentedeprrafopredeter"/>
    <w:rsid w:val="00B65BDE"/>
  </w:style>
  <w:style w:type="character" w:customStyle="1" w:styleId="Document7">
    <w:name w:val="Document 7"/>
    <w:basedOn w:val="Fuentedeprrafopredeter"/>
    <w:rsid w:val="00B65BDE"/>
  </w:style>
  <w:style w:type="character" w:customStyle="1" w:styleId="Document8">
    <w:name w:val="Document 8"/>
    <w:basedOn w:val="Fuentedeprrafopredeter"/>
    <w:rsid w:val="00B65BDE"/>
  </w:style>
  <w:style w:type="character" w:customStyle="1" w:styleId="TechInit">
    <w:name w:val="Tech Init"/>
    <w:basedOn w:val="Fuentedeprrafopredeter"/>
    <w:rsid w:val="00B65BDE"/>
    <w:rPr>
      <w:rFonts w:ascii="Times" w:hAnsi="Times"/>
      <w:noProof w:val="0"/>
      <w:sz w:val="24"/>
      <w:lang w:val="en-US"/>
    </w:rPr>
  </w:style>
  <w:style w:type="character" w:customStyle="1" w:styleId="Technical1">
    <w:name w:val="Technical 1"/>
    <w:basedOn w:val="Fuentedeprrafopredeter"/>
    <w:rsid w:val="00B65BDE"/>
    <w:rPr>
      <w:rFonts w:ascii="Times" w:hAnsi="Times"/>
      <w:noProof w:val="0"/>
      <w:sz w:val="24"/>
      <w:lang w:val="en-US"/>
    </w:rPr>
  </w:style>
  <w:style w:type="character" w:customStyle="1" w:styleId="Technical2">
    <w:name w:val="Technical 2"/>
    <w:basedOn w:val="Fuentedeprrafopredeter"/>
    <w:rsid w:val="00B65BDE"/>
    <w:rPr>
      <w:rFonts w:ascii="Times" w:hAnsi="Times"/>
      <w:noProof w:val="0"/>
      <w:sz w:val="24"/>
      <w:lang w:val="en-US"/>
    </w:rPr>
  </w:style>
  <w:style w:type="character" w:customStyle="1" w:styleId="Technical3">
    <w:name w:val="Technical 3"/>
    <w:basedOn w:val="Fuentedeprrafopredeter"/>
    <w:rsid w:val="00B65BDE"/>
    <w:rPr>
      <w:rFonts w:ascii="Times" w:hAnsi="Times"/>
      <w:noProof w:val="0"/>
      <w:sz w:val="24"/>
      <w:lang w:val="en-US"/>
    </w:rPr>
  </w:style>
  <w:style w:type="character" w:customStyle="1" w:styleId="EquationCaption">
    <w:name w:val="_Equation Caption"/>
    <w:rsid w:val="00B65BDE"/>
  </w:style>
  <w:style w:type="character" w:customStyle="1" w:styleId="vlpgno">
    <w:name w:val="vl.pg.no."/>
    <w:basedOn w:val="Fuentedeprrafopredeter"/>
    <w:rsid w:val="00B65BDE"/>
    <w:rPr>
      <w:rFonts w:ascii="Times" w:hAnsi="Times"/>
      <w:b/>
      <w:noProof w:val="0"/>
      <w:sz w:val="20"/>
      <w:lang w:val="en-US"/>
    </w:rPr>
  </w:style>
  <w:style w:type="character" w:customStyle="1" w:styleId="footnote">
    <w:name w:val="footnote"/>
    <w:basedOn w:val="Fuentedeprrafopredeter"/>
    <w:rsid w:val="00B65BDE"/>
    <w:rPr>
      <w:rFonts w:ascii="Book Antiqua" w:hAnsi="Book Antiqua"/>
      <w:noProof w:val="0"/>
      <w:sz w:val="24"/>
      <w:lang w:val="en-US"/>
    </w:rPr>
  </w:style>
  <w:style w:type="character" w:customStyle="1" w:styleId="insert2">
    <w:name w:val="insert2"/>
    <w:basedOn w:val="Fuentedeprrafopredeter"/>
    <w:rsid w:val="00B65BDE"/>
    <w:rPr>
      <w:rFonts w:ascii="Arial" w:hAnsi="Arial"/>
      <w:i/>
      <w:noProof w:val="0"/>
      <w:sz w:val="24"/>
      <w:lang w:val="en-US"/>
    </w:rPr>
  </w:style>
  <w:style w:type="character" w:customStyle="1" w:styleId="reference">
    <w:name w:val="reference"/>
    <w:basedOn w:val="Fuentedeprrafopredeter"/>
    <w:rsid w:val="00B65BDE"/>
    <w:rPr>
      <w:rFonts w:ascii="Book Antiqua" w:hAnsi="Book Antiqua"/>
      <w:i/>
      <w:noProof w:val="0"/>
      <w:sz w:val="24"/>
      <w:lang w:val="en-US"/>
    </w:rPr>
  </w:style>
  <w:style w:type="character" w:customStyle="1" w:styleId="wwritemdhtml1">
    <w:name w:val="wwritemdhtml1"/>
    <w:basedOn w:val="Fuentedeprrafopredeter"/>
    <w:rsid w:val="00B65BDE"/>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B65BDE"/>
    <w:rPr>
      <w:sz w:val="24"/>
      <w:lang w:val="es-ES_tradnl" w:eastAsia="en-US" w:bidi="ar-SA"/>
    </w:rPr>
  </w:style>
  <w:style w:type="character" w:customStyle="1" w:styleId="StyleHeader2-SubClausesBoldChar">
    <w:name w:val="Style Header 2 - SubClauses + Bold Char"/>
    <w:basedOn w:val="Header2-SubClausesCharChar"/>
    <w:rsid w:val="00B65BDE"/>
    <w:rPr>
      <w:b/>
      <w:bCs/>
      <w:sz w:val="24"/>
      <w:lang w:val="es-ES_tradnl" w:eastAsia="en-US" w:bidi="ar-SA"/>
    </w:rPr>
  </w:style>
  <w:style w:type="character" w:customStyle="1" w:styleId="Section7heading4Char">
    <w:name w:val="Section 7 heading 4 Char"/>
    <w:basedOn w:val="Ttulo3Car"/>
    <w:rsid w:val="00B65BDE"/>
    <w:rPr>
      <w:rFonts w:ascii="Arial" w:eastAsia="Times New Roman" w:hAnsi="Arial" w:cs="Times New Roman"/>
      <w:b w:val="0"/>
      <w:sz w:val="24"/>
      <w:szCs w:val="20"/>
      <w:lang w:val="en-US" w:eastAsia="en-US" w:bidi="ar-SA"/>
    </w:rPr>
  </w:style>
  <w:style w:type="paragraph" w:styleId="Textoindependiente">
    <w:name w:val="Body Text"/>
    <w:basedOn w:val="Normal"/>
    <w:link w:val="TextoindependienteCar"/>
    <w:uiPriority w:val="99"/>
    <w:qFormat/>
    <w:rsid w:val="00B65BDE"/>
    <w:pPr>
      <w:suppressAutoHyphens/>
      <w:ind w:right="-72"/>
    </w:pPr>
    <w:rPr>
      <w:spacing w:val="-4"/>
    </w:rPr>
  </w:style>
  <w:style w:type="character" w:customStyle="1" w:styleId="TextoindependienteCar">
    <w:name w:val="Texto independiente Car"/>
    <w:basedOn w:val="Fuentedeprrafopredeter"/>
    <w:link w:val="Textoindependiente"/>
    <w:uiPriority w:val="99"/>
    <w:rsid w:val="00B65BDE"/>
    <w:rPr>
      <w:rFonts w:ascii="Times New Roman" w:eastAsia="Times New Roman" w:hAnsi="Times New Roman" w:cs="Times New Roman"/>
      <w:spacing w:val="-4"/>
      <w:szCs w:val="20"/>
      <w:lang w:val="es-ES_tradnl"/>
    </w:rPr>
  </w:style>
  <w:style w:type="character" w:styleId="Refdenotaalpie">
    <w:name w:val="footnote reference"/>
    <w:aliases w:val="16 Point,Superscript 6 Point,referencia nota al pie,ftref,Footnote Reference Number,Footnote Reference_LVL6,Footnote Reference_LVL61,Footnote Reference_LVL62,Footnote Reference_LVL63,Footnote Reference_LVL64,fr,Times 10 Point,Ref"/>
    <w:basedOn w:val="Fuentedeprrafopredeter"/>
    <w:uiPriority w:val="99"/>
    <w:rsid w:val="00B65BDE"/>
    <w:rPr>
      <w:vertAlign w:val="superscript"/>
    </w:rPr>
  </w:style>
  <w:style w:type="paragraph" w:styleId="ndice1">
    <w:name w:val="index 1"/>
    <w:basedOn w:val="Normal"/>
    <w:next w:val="Normal"/>
    <w:autoRedefine/>
    <w:semiHidden/>
    <w:unhideWhenUsed/>
    <w:rsid w:val="00B65BDE"/>
    <w:pPr>
      <w:ind w:left="240" w:hanging="240"/>
    </w:pPr>
  </w:style>
  <w:style w:type="paragraph" w:styleId="Ttulodendice">
    <w:name w:val="index heading"/>
    <w:basedOn w:val="Normal"/>
    <w:next w:val="ndice1"/>
    <w:semiHidden/>
    <w:rsid w:val="00B65BDE"/>
    <w:pPr>
      <w:jc w:val="left"/>
    </w:pPr>
    <w:rPr>
      <w:sz w:val="20"/>
    </w:rPr>
  </w:style>
  <w:style w:type="paragraph" w:styleId="Textoindependiente3">
    <w:name w:val="Body Text 3"/>
    <w:aliases w:val=" Car Car Car"/>
    <w:basedOn w:val="Normal"/>
    <w:link w:val="Textoindependiente3Car"/>
    <w:rsid w:val="00B65BDE"/>
    <w:pPr>
      <w:suppressAutoHyphens/>
      <w:spacing w:after="140"/>
      <w:jc w:val="left"/>
    </w:pPr>
    <w:rPr>
      <w:i/>
      <w:iCs/>
      <w:color w:val="000000"/>
      <w:szCs w:val="24"/>
    </w:rPr>
  </w:style>
  <w:style w:type="character" w:customStyle="1" w:styleId="Textoindependiente3Car">
    <w:name w:val="Texto independiente 3 Car"/>
    <w:aliases w:val=" Car Car Car Car"/>
    <w:basedOn w:val="Fuentedeprrafopredeter"/>
    <w:link w:val="Textoindependiente3"/>
    <w:rsid w:val="00B65BDE"/>
    <w:rPr>
      <w:rFonts w:ascii="Times New Roman" w:eastAsia="Times New Roman" w:hAnsi="Times New Roman" w:cs="Times New Roman"/>
      <w:i/>
      <w:iCs/>
      <w:color w:val="000000"/>
      <w:lang w:val="es-ES_tradnl"/>
    </w:rPr>
  </w:style>
  <w:style w:type="paragraph" w:styleId="NormalWeb">
    <w:name w:val="Normal (Web)"/>
    <w:basedOn w:val="Normal"/>
    <w:rsid w:val="00B65BDE"/>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B65BDE"/>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B65BDE"/>
    <w:rPr>
      <w:rFonts w:ascii="Times New Roman" w:eastAsia="Times New Roman" w:hAnsi="Times New Roman" w:cs="Times New Roman"/>
      <w:szCs w:val="20"/>
      <w:lang w:val="es-ES_tradnl"/>
    </w:rPr>
  </w:style>
  <w:style w:type="paragraph" w:styleId="Sangradetextonormal">
    <w:name w:val="Body Text Indent"/>
    <w:basedOn w:val="Normal"/>
    <w:link w:val="SangradetextonormalCar"/>
    <w:uiPriority w:val="99"/>
    <w:rsid w:val="00B65BDE"/>
    <w:pPr>
      <w:tabs>
        <w:tab w:val="left" w:pos="1080"/>
      </w:tabs>
      <w:ind w:left="1080" w:hanging="540"/>
    </w:pPr>
  </w:style>
  <w:style w:type="character" w:customStyle="1" w:styleId="SangradetextonormalCar">
    <w:name w:val="Sangría de texto normal Car"/>
    <w:basedOn w:val="Fuentedeprrafopredeter"/>
    <w:link w:val="Sangradetextonormal"/>
    <w:uiPriority w:val="99"/>
    <w:rsid w:val="00B65BDE"/>
    <w:rPr>
      <w:rFonts w:ascii="Times New Roman" w:eastAsia="Times New Roman" w:hAnsi="Times New Roman" w:cs="Times New Roman"/>
      <w:szCs w:val="20"/>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Ca"/>
    <w:basedOn w:val="Normal"/>
    <w:link w:val="TextonotapieCar"/>
    <w:uiPriority w:val="99"/>
    <w:qFormat/>
    <w:rsid w:val="00B65BDE"/>
    <w:pPr>
      <w:tabs>
        <w:tab w:val="left" w:pos="360"/>
      </w:tabs>
      <w:spacing w:after="120"/>
      <w:ind w:left="360" w:hanging="360"/>
    </w:pPr>
    <w:rPr>
      <w:rFonts w:ascii="Arial" w:hAnsi="Arial"/>
      <w:sz w:val="1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B65BDE"/>
    <w:rPr>
      <w:rFonts w:ascii="Arial" w:eastAsia="Times New Roman" w:hAnsi="Arial" w:cs="Times New Roman"/>
      <w:sz w:val="18"/>
      <w:szCs w:val="20"/>
      <w:lang w:val="es-ES_tradnl"/>
    </w:rPr>
  </w:style>
  <w:style w:type="paragraph" w:styleId="TDC6">
    <w:name w:val="toc 6"/>
    <w:basedOn w:val="Normal"/>
    <w:next w:val="Normal"/>
    <w:autoRedefine/>
    <w:uiPriority w:val="39"/>
    <w:rsid w:val="00B65BDE"/>
    <w:pPr>
      <w:numPr>
        <w:ilvl w:val="12"/>
      </w:numPr>
      <w:tabs>
        <w:tab w:val="left" w:pos="8280"/>
      </w:tabs>
      <w:suppressAutoHyphens/>
      <w:jc w:val="left"/>
    </w:pPr>
    <w:rPr>
      <w:lang w:val="es-MX"/>
    </w:rPr>
  </w:style>
  <w:style w:type="paragraph" w:customStyle="1" w:styleId="SectionVIHeader0">
    <w:name w:val="Section VI. Header"/>
    <w:basedOn w:val="Normal"/>
    <w:rsid w:val="00B65BDE"/>
    <w:pPr>
      <w:spacing w:before="120" w:after="240"/>
      <w:jc w:val="center"/>
    </w:pPr>
    <w:rPr>
      <w:b/>
      <w:sz w:val="36"/>
    </w:rPr>
  </w:style>
  <w:style w:type="paragraph" w:customStyle="1" w:styleId="Normali">
    <w:name w:val="Normal(i)"/>
    <w:basedOn w:val="Normal"/>
    <w:rsid w:val="00B65BDE"/>
    <w:pPr>
      <w:keepLines/>
      <w:tabs>
        <w:tab w:val="left" w:pos="1843"/>
      </w:tabs>
      <w:spacing w:after="120"/>
    </w:pPr>
    <w:rPr>
      <w:lang w:val="en-GB" w:eastAsia="en-GB"/>
    </w:rPr>
  </w:style>
  <w:style w:type="paragraph" w:customStyle="1" w:styleId="Sub-ClauseText">
    <w:name w:val="Sub-Clause Text"/>
    <w:basedOn w:val="Normal"/>
    <w:rsid w:val="00B65BDE"/>
    <w:pPr>
      <w:spacing w:before="120" w:after="120"/>
    </w:pPr>
    <w:rPr>
      <w:spacing w:val="-4"/>
    </w:rPr>
  </w:style>
  <w:style w:type="paragraph" w:customStyle="1" w:styleId="aparagraphs">
    <w:name w:val="(a) paragraphs"/>
    <w:next w:val="Normal"/>
    <w:rsid w:val="00B65BDE"/>
    <w:pPr>
      <w:spacing w:before="120" w:after="120"/>
      <w:jc w:val="both"/>
    </w:pPr>
    <w:rPr>
      <w:rFonts w:ascii="Times New Roman" w:eastAsia="Times New Roman" w:hAnsi="Times New Roman" w:cs="Times New Roman"/>
      <w:snapToGrid w:val="0"/>
      <w:szCs w:val="20"/>
      <w:lang w:val="es-ES_tradnl"/>
    </w:rPr>
  </w:style>
  <w:style w:type="character" w:styleId="Hipervnculovisitado">
    <w:name w:val="FollowedHyperlink"/>
    <w:basedOn w:val="Fuentedeprrafopredeter"/>
    <w:rsid w:val="00B65BDE"/>
    <w:rPr>
      <w:color w:val="800080"/>
      <w:u w:val="single"/>
    </w:rPr>
  </w:style>
  <w:style w:type="paragraph" w:customStyle="1" w:styleId="sec7-clauses0">
    <w:name w:val="sec7-clauses"/>
    <w:basedOn w:val="Normal"/>
    <w:rsid w:val="00B65BDE"/>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B65BDE"/>
  </w:style>
  <w:style w:type="character" w:styleId="nfasis">
    <w:name w:val="Emphasis"/>
    <w:aliases w:val="Nivel 1"/>
    <w:basedOn w:val="Fuentedeprrafopredeter"/>
    <w:qFormat/>
    <w:rsid w:val="00B65BDE"/>
    <w:rPr>
      <w:i/>
      <w:iCs/>
    </w:rPr>
  </w:style>
  <w:style w:type="character" w:styleId="Textoennegrita">
    <w:name w:val="Strong"/>
    <w:basedOn w:val="Fuentedeprrafopredeter"/>
    <w:uiPriority w:val="22"/>
    <w:qFormat/>
    <w:rsid w:val="00B65BDE"/>
    <w:rPr>
      <w:b/>
      <w:bCs/>
    </w:rPr>
  </w:style>
  <w:style w:type="paragraph" w:customStyle="1" w:styleId="wfxRecipient">
    <w:name w:val="wfxRecipient"/>
    <w:basedOn w:val="Normal"/>
    <w:rsid w:val="00B65BDE"/>
    <w:pPr>
      <w:overflowPunct w:val="0"/>
      <w:autoSpaceDE w:val="0"/>
      <w:autoSpaceDN w:val="0"/>
      <w:adjustRightInd w:val="0"/>
      <w:jc w:val="left"/>
      <w:textAlignment w:val="baseline"/>
    </w:pPr>
  </w:style>
  <w:style w:type="paragraph" w:styleId="Lista4">
    <w:name w:val="List 4"/>
    <w:basedOn w:val="Normal"/>
    <w:rsid w:val="00B65BDE"/>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B65BDE"/>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B65BDE"/>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B65BDE"/>
    <w:pPr>
      <w:tabs>
        <w:tab w:val="num" w:pos="432"/>
        <w:tab w:val="left" w:pos="1440"/>
      </w:tabs>
      <w:spacing w:before="120"/>
      <w:ind w:left="432" w:hanging="432"/>
    </w:pPr>
    <w:rPr>
      <w:lang w:val="en-US"/>
    </w:rPr>
  </w:style>
  <w:style w:type="paragraph" w:styleId="Lista3">
    <w:name w:val="List 3"/>
    <w:basedOn w:val="Normal"/>
    <w:rsid w:val="00B65BDE"/>
    <w:pPr>
      <w:ind w:left="849" w:hanging="283"/>
    </w:pPr>
  </w:style>
  <w:style w:type="paragraph" w:customStyle="1" w:styleId="Clauses">
    <w:name w:val="Clauses"/>
    <w:basedOn w:val="Normal"/>
    <w:rsid w:val="00B65BDE"/>
    <w:pPr>
      <w:keepLines/>
      <w:spacing w:after="120"/>
      <w:jc w:val="left"/>
      <w:outlineLvl w:val="0"/>
    </w:pPr>
    <w:rPr>
      <w:rFonts w:ascii="Times New Roman Bold" w:hAnsi="Times New Roman Bold"/>
      <w:b/>
      <w:lang w:eastAsia="en-GB"/>
    </w:rPr>
  </w:style>
  <w:style w:type="table" w:styleId="Tablaconcuadrcula">
    <w:name w:val="Table Grid"/>
    <w:basedOn w:val="Tablanormal"/>
    <w:uiPriority w:val="59"/>
    <w:rsid w:val="00B65BDE"/>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B65BDE"/>
    <w:pPr>
      <w:widowControl w:val="0"/>
      <w:suppressAutoHyphens/>
      <w:spacing w:after="120"/>
    </w:pPr>
    <w:rPr>
      <w:i/>
      <w:sz w:val="20"/>
      <w:lang w:val="es-AR" w:eastAsia="ar-SA"/>
    </w:rPr>
  </w:style>
  <w:style w:type="paragraph" w:customStyle="1" w:styleId="subrayado">
    <w:name w:val="subrayado"/>
    <w:basedOn w:val="Normal"/>
    <w:rsid w:val="00B65BDE"/>
    <w:pPr>
      <w:numPr>
        <w:numId w:val="3"/>
      </w:numPr>
      <w:jc w:val="left"/>
    </w:pPr>
    <w:rPr>
      <w:sz w:val="20"/>
      <w:lang w:val="es-NI" w:eastAsia="es-ES"/>
    </w:rPr>
  </w:style>
  <w:style w:type="paragraph" w:customStyle="1" w:styleId="p7">
    <w:name w:val="p7"/>
    <w:basedOn w:val="Normal"/>
    <w:rsid w:val="00B65BDE"/>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aliases w:val="Citation List,본문(내용),List Paragraph (numbered (a)),Colorful List - Accent 11,Medium Grid 1 - Accent 21,Bullets,Celula,References,List Bullet Mary,Bolita,HOJA,Guión,BOLA,Párrafo de lista21,Titulo 8,Párrafo de lista31,ViÃ±eta 2,Normal 01"/>
    <w:basedOn w:val="Normal"/>
    <w:link w:val="PrrafodelistaCar"/>
    <w:uiPriority w:val="34"/>
    <w:qFormat/>
    <w:rsid w:val="00B65BDE"/>
    <w:pPr>
      <w:ind w:left="720"/>
    </w:pPr>
  </w:style>
  <w:style w:type="character" w:customStyle="1" w:styleId="PrrafodelistaCar">
    <w:name w:val="Párrafo de lista Car"/>
    <w:aliases w:val="Citation List Car,본문(내용) Car,List Paragraph (numbered (a)) Car,Colorful List - Accent 11 Car,Medium Grid 1 - Accent 21 Car,Bullets Car,Celula Car,References Car,List Bullet Mary Car,Bolita Car,HOJA Car,Guión Car,BOLA Car"/>
    <w:link w:val="Prrafodelista"/>
    <w:uiPriority w:val="34"/>
    <w:qFormat/>
    <w:locked/>
    <w:rsid w:val="00B65BDE"/>
    <w:rPr>
      <w:rFonts w:ascii="Times New Roman" w:eastAsia="Times New Roman" w:hAnsi="Times New Roman" w:cs="Times New Roman"/>
      <w:szCs w:val="20"/>
      <w:lang w:val="es-ES_tradnl"/>
    </w:rPr>
  </w:style>
  <w:style w:type="paragraph" w:styleId="Asuntodelcomentario">
    <w:name w:val="annotation subject"/>
    <w:basedOn w:val="Textocomentario"/>
    <w:next w:val="Textocomentario"/>
    <w:link w:val="AsuntodelcomentarioCar"/>
    <w:uiPriority w:val="99"/>
    <w:rsid w:val="00B65BDE"/>
    <w:pPr>
      <w:jc w:val="both"/>
    </w:pPr>
    <w:rPr>
      <w:b/>
      <w:bCs/>
    </w:rPr>
  </w:style>
  <w:style w:type="character" w:customStyle="1" w:styleId="AsuntodelcomentarioCar">
    <w:name w:val="Asunto del comentario Car"/>
    <w:basedOn w:val="TextocomentarioCar"/>
    <w:link w:val="Asuntodelcomentario"/>
    <w:uiPriority w:val="99"/>
    <w:rsid w:val="00B65BDE"/>
    <w:rPr>
      <w:rFonts w:ascii="Times New Roman" w:eastAsia="Times New Roman" w:hAnsi="Times New Roman" w:cs="Times New Roman"/>
      <w:b/>
      <w:bCs/>
      <w:sz w:val="20"/>
      <w:szCs w:val="20"/>
      <w:lang w:val="es-ES_tradnl"/>
    </w:rPr>
  </w:style>
  <w:style w:type="paragraph" w:styleId="Revisin">
    <w:name w:val="Revision"/>
    <w:hidden/>
    <w:uiPriority w:val="99"/>
    <w:semiHidden/>
    <w:rsid w:val="00B65BDE"/>
    <w:rPr>
      <w:rFonts w:ascii="Times New Roman" w:eastAsia="Times New Roman" w:hAnsi="Times New Roman" w:cs="Times New Roman"/>
      <w:szCs w:val="20"/>
      <w:lang w:val="es-ES_tradnl"/>
    </w:rPr>
  </w:style>
  <w:style w:type="paragraph" w:styleId="TDC5">
    <w:name w:val="toc 5"/>
    <w:basedOn w:val="Normal"/>
    <w:next w:val="Normal"/>
    <w:autoRedefine/>
    <w:uiPriority w:val="39"/>
    <w:rsid w:val="00B65BDE"/>
    <w:pPr>
      <w:spacing w:after="100"/>
      <w:ind w:left="960"/>
    </w:pPr>
  </w:style>
  <w:style w:type="paragraph" w:styleId="TDC3">
    <w:name w:val="toc 3"/>
    <w:basedOn w:val="Normal"/>
    <w:next w:val="Normal"/>
    <w:autoRedefine/>
    <w:uiPriority w:val="39"/>
    <w:qFormat/>
    <w:rsid w:val="00AA0F1F"/>
    <w:pPr>
      <w:tabs>
        <w:tab w:val="left" w:pos="540"/>
        <w:tab w:val="left" w:pos="9090"/>
      </w:tabs>
      <w:spacing w:before="40" w:after="40"/>
      <w:ind w:left="720" w:right="450" w:hanging="259"/>
      <w:jc w:val="left"/>
    </w:pPr>
    <w:rPr>
      <w:rFonts w:asciiTheme="minorHAnsi" w:hAnsiTheme="minorHAnsi" w:cstheme="minorHAnsi"/>
      <w:b/>
      <w:bCs/>
      <w:sz w:val="22"/>
      <w:lang w:val="es-ES"/>
    </w:rPr>
  </w:style>
  <w:style w:type="paragraph" w:customStyle="1" w:styleId="Subtitle2">
    <w:name w:val="Subtitle 2"/>
    <w:basedOn w:val="Piedepgina"/>
    <w:autoRedefine/>
    <w:rsid w:val="00B65BDE"/>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qFormat/>
    <w:rsid w:val="00010341"/>
    <w:pPr>
      <w:tabs>
        <w:tab w:val="right" w:leader="dot" w:pos="9360"/>
      </w:tabs>
      <w:spacing w:before="240"/>
    </w:pPr>
    <w:rPr>
      <w:rFonts w:ascii="Calibri" w:hAnsi="Calibri"/>
      <w:b/>
    </w:rPr>
  </w:style>
  <w:style w:type="paragraph" w:customStyle="1" w:styleId="SectionXHeader3">
    <w:name w:val="Section X Header 3"/>
    <w:basedOn w:val="Ttulo1"/>
    <w:autoRedefine/>
    <w:rsid w:val="00B65BDE"/>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B65BDE"/>
    <w:pPr>
      <w:pBdr>
        <w:bottom w:val="single" w:sz="4" w:space="1" w:color="auto"/>
      </w:pBdr>
      <w:jc w:val="center"/>
    </w:pPr>
    <w:rPr>
      <w:rFonts w:ascii="Times New Roman Bold" w:hAnsi="Times New Roman Bold"/>
      <w:b/>
      <w:bCs/>
      <w:smallCaps/>
      <w:sz w:val="28"/>
      <w:szCs w:val="24"/>
      <w:lang w:val="en-US"/>
    </w:rPr>
  </w:style>
  <w:style w:type="character" w:customStyle="1" w:styleId="UnresolvedMention">
    <w:name w:val="Unresolved Mention"/>
    <w:basedOn w:val="Fuentedeprrafopredeter"/>
    <w:uiPriority w:val="99"/>
    <w:semiHidden/>
    <w:unhideWhenUsed/>
    <w:rsid w:val="00B65BDE"/>
    <w:rPr>
      <w:color w:val="808080"/>
      <w:shd w:val="clear" w:color="auto" w:fill="E6E6E6"/>
    </w:rPr>
  </w:style>
  <w:style w:type="paragraph" w:customStyle="1" w:styleId="Default">
    <w:name w:val="Default"/>
    <w:link w:val="DefaultCar"/>
    <w:rsid w:val="00B65BDE"/>
    <w:pPr>
      <w:autoSpaceDE w:val="0"/>
      <w:autoSpaceDN w:val="0"/>
      <w:adjustRightInd w:val="0"/>
    </w:pPr>
    <w:rPr>
      <w:rFonts w:ascii="Times New Roman" w:hAnsi="Times New Roman" w:cs="Times New Roman"/>
      <w:color w:val="000000"/>
      <w:lang w:val="es-HN"/>
    </w:rPr>
  </w:style>
  <w:style w:type="paragraph" w:customStyle="1" w:styleId="Formulariosseccion">
    <w:name w:val="Formularios seccion"/>
    <w:basedOn w:val="Normal"/>
    <w:link w:val="FormulariosseccionChar"/>
    <w:qFormat/>
    <w:rsid w:val="00B65BDE"/>
    <w:pPr>
      <w:ind w:left="720" w:right="983"/>
      <w:jc w:val="center"/>
    </w:pPr>
    <w:rPr>
      <w:b/>
      <w:bCs/>
      <w:sz w:val="36"/>
      <w:szCs w:val="24"/>
    </w:rPr>
  </w:style>
  <w:style w:type="character" w:customStyle="1" w:styleId="FormulariosseccionChar">
    <w:name w:val="Formularios seccion Char"/>
    <w:basedOn w:val="Fuentedeprrafopredeter"/>
    <w:link w:val="Formulariosseccion"/>
    <w:rsid w:val="00B65BDE"/>
    <w:rPr>
      <w:rFonts w:ascii="Times New Roman" w:eastAsia="Times New Roman" w:hAnsi="Times New Roman" w:cs="Times New Roman"/>
      <w:b/>
      <w:bCs/>
      <w:sz w:val="36"/>
      <w:lang w:val="es-ES_tradnl"/>
    </w:rPr>
  </w:style>
  <w:style w:type="paragraph" w:styleId="TtuloTDC">
    <w:name w:val="TOC Heading"/>
    <w:aliases w:val="Título de TDC"/>
    <w:basedOn w:val="Ttulo1"/>
    <w:next w:val="Normal"/>
    <w:uiPriority w:val="39"/>
    <w:unhideWhenUsed/>
    <w:qFormat/>
    <w:rsid w:val="00B65BDE"/>
    <w:pPr>
      <w:keepNext/>
      <w:keepLines/>
      <w:suppressAutoHyphens w:val="0"/>
      <w:spacing w:before="240" w:after="0"/>
      <w:jc w:val="both"/>
      <w:outlineLvl w:val="9"/>
    </w:pPr>
    <w:rPr>
      <w:rFonts w:asciiTheme="majorHAnsi" w:eastAsiaTheme="majorEastAsia" w:hAnsiTheme="majorHAnsi" w:cstheme="majorBidi"/>
      <w:b w:val="0"/>
      <w:smallCaps w:val="0"/>
      <w:color w:val="2F5496" w:themeColor="accent1" w:themeShade="BF"/>
      <w:sz w:val="32"/>
      <w:szCs w:val="32"/>
    </w:rPr>
  </w:style>
  <w:style w:type="paragraph" w:customStyle="1" w:styleId="SectionXH2">
    <w:name w:val="Section X H2"/>
    <w:basedOn w:val="Ttulo2"/>
    <w:rsid w:val="00B65BDE"/>
    <w:pPr>
      <w:spacing w:before="120" w:after="200"/>
      <w:ind w:left="0" w:firstLine="0"/>
    </w:pPr>
    <w:rPr>
      <w:rFonts w:ascii="Times New Roman Bold" w:hAnsi="Times New Roman Bold"/>
      <w:sz w:val="28"/>
      <w:szCs w:val="24"/>
      <w:lang w:val="es-ES_tradnl"/>
    </w:rPr>
  </w:style>
  <w:style w:type="paragraph" w:customStyle="1" w:styleId="articulo">
    <w:name w:val="articulo"/>
    <w:basedOn w:val="Normal"/>
    <w:rsid w:val="00B65BDE"/>
    <w:rPr>
      <w:rFonts w:ascii="Arial" w:hAnsi="Arial"/>
      <w:lang w:eastAsia="es-ES"/>
    </w:rPr>
  </w:style>
  <w:style w:type="paragraph" w:customStyle="1" w:styleId="paragraph0">
    <w:name w:val="paragraph"/>
    <w:basedOn w:val="Normal"/>
    <w:rsid w:val="00B65BDE"/>
    <w:pPr>
      <w:spacing w:before="100" w:beforeAutospacing="1" w:after="100" w:afterAutospacing="1"/>
      <w:jc w:val="left"/>
    </w:pPr>
    <w:rPr>
      <w:szCs w:val="24"/>
      <w:lang w:val="es-HN" w:eastAsia="es-HN"/>
    </w:rPr>
  </w:style>
  <w:style w:type="character" w:customStyle="1" w:styleId="normaltextrun">
    <w:name w:val="normaltextrun"/>
    <w:basedOn w:val="Fuentedeprrafopredeter"/>
    <w:rsid w:val="00B65BDE"/>
  </w:style>
  <w:style w:type="character" w:customStyle="1" w:styleId="eop">
    <w:name w:val="eop"/>
    <w:basedOn w:val="Fuentedeprrafopredeter"/>
    <w:rsid w:val="00B65BDE"/>
  </w:style>
  <w:style w:type="paragraph" w:styleId="TDC7">
    <w:name w:val="toc 7"/>
    <w:basedOn w:val="Normal"/>
    <w:next w:val="Normal"/>
    <w:autoRedefine/>
    <w:uiPriority w:val="39"/>
    <w:unhideWhenUsed/>
    <w:rsid w:val="00B65BDE"/>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B65BDE"/>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B65BDE"/>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Sec1-ClausesAfter10pt1">
    <w:name w:val="Sec1-Clauses + After:  10 pt1"/>
    <w:basedOn w:val="Normal"/>
    <w:rsid w:val="00D73027"/>
    <w:pPr>
      <w:numPr>
        <w:numId w:val="35"/>
      </w:numPr>
      <w:spacing w:after="200"/>
      <w:jc w:val="left"/>
    </w:pPr>
    <w:rPr>
      <w:b/>
      <w:bCs/>
      <w:lang w:val="en-US"/>
    </w:rPr>
  </w:style>
  <w:style w:type="paragraph" w:customStyle="1" w:styleId="Tabla2Subtitulos">
    <w:name w:val="Tabla 2 Subtitulos"/>
    <w:basedOn w:val="Normal"/>
    <w:link w:val="Tabla2SubtitulosCar"/>
    <w:qFormat/>
    <w:rsid w:val="00D73027"/>
    <w:pPr>
      <w:numPr>
        <w:numId w:val="36"/>
      </w:numPr>
      <w:tabs>
        <w:tab w:val="num" w:pos="360"/>
      </w:tabs>
      <w:spacing w:after="200"/>
      <w:ind w:left="0" w:firstLine="0"/>
      <w:jc w:val="left"/>
    </w:pPr>
    <w:rPr>
      <w:b/>
      <w:bCs/>
      <w:lang w:val="es-ES"/>
    </w:rPr>
  </w:style>
  <w:style w:type="character" w:customStyle="1" w:styleId="Tabla2SubtitulosCar">
    <w:name w:val="Tabla 2 Subtitulos Car"/>
    <w:basedOn w:val="Fuentedeprrafopredeter"/>
    <w:link w:val="Tabla2Subtitulos"/>
    <w:rsid w:val="00D73027"/>
    <w:rPr>
      <w:rFonts w:ascii="Times New Roman" w:eastAsia="Times New Roman" w:hAnsi="Times New Roman" w:cs="Times New Roman"/>
      <w:b/>
      <w:bCs/>
      <w:szCs w:val="20"/>
      <w:lang w:val="es-ES"/>
    </w:rPr>
  </w:style>
  <w:style w:type="character" w:customStyle="1" w:styleId="Ttulo6Car">
    <w:name w:val="Título 6 Car"/>
    <w:basedOn w:val="Fuentedeprrafopredeter"/>
    <w:link w:val="Ttulo6"/>
    <w:rsid w:val="004A735C"/>
    <w:rPr>
      <w:rFonts w:ascii="Arial" w:eastAsia="Times New Roman" w:hAnsi="Arial" w:cs="Times New Roman"/>
      <w:i/>
      <w:sz w:val="22"/>
      <w:szCs w:val="20"/>
    </w:rPr>
  </w:style>
  <w:style w:type="character" w:customStyle="1" w:styleId="Ttulo7Car">
    <w:name w:val="Título 7 Car"/>
    <w:basedOn w:val="Fuentedeprrafopredeter"/>
    <w:link w:val="Ttulo7"/>
    <w:rsid w:val="004A735C"/>
    <w:rPr>
      <w:rFonts w:ascii="Arial" w:eastAsia="Times New Roman" w:hAnsi="Arial" w:cs="Times New Roman"/>
      <w:sz w:val="20"/>
      <w:szCs w:val="20"/>
    </w:rPr>
  </w:style>
  <w:style w:type="character" w:customStyle="1" w:styleId="Ttulo8Car">
    <w:name w:val="Título 8 Car"/>
    <w:basedOn w:val="Fuentedeprrafopredeter"/>
    <w:link w:val="Ttulo8"/>
    <w:rsid w:val="004A735C"/>
    <w:rPr>
      <w:rFonts w:ascii="Arial" w:eastAsia="Times New Roman" w:hAnsi="Arial" w:cs="Times New Roman"/>
      <w:i/>
      <w:sz w:val="20"/>
      <w:szCs w:val="20"/>
    </w:rPr>
  </w:style>
  <w:style w:type="paragraph" w:customStyle="1" w:styleId="Section8-Clauses">
    <w:name w:val="Section 8 - Clauses"/>
    <w:basedOn w:val="Normal"/>
    <w:qFormat/>
    <w:rsid w:val="004A735C"/>
    <w:pPr>
      <w:spacing w:after="200"/>
      <w:ind w:left="360" w:hanging="360"/>
      <w:jc w:val="left"/>
    </w:pPr>
    <w:rPr>
      <w:b/>
      <w:bCs/>
      <w:lang w:val="es-ES"/>
    </w:rPr>
  </w:style>
  <w:style w:type="character" w:customStyle="1" w:styleId="StyleHeader2-SubClausesItalicChar">
    <w:name w:val="Style Header 2 - SubClauses + Italic Char"/>
    <w:rsid w:val="003A1EF9"/>
    <w:rPr>
      <w:rFonts w:cs="Arial"/>
      <w:i/>
      <w:iCs/>
      <w:sz w:val="24"/>
      <w:szCs w:val="24"/>
      <w:lang w:val="en-US" w:eastAsia="en-US" w:bidi="ar-SA"/>
    </w:rPr>
  </w:style>
  <w:style w:type="paragraph" w:customStyle="1" w:styleId="Heading1a">
    <w:name w:val="Heading 1a"/>
    <w:rsid w:val="00A93F20"/>
    <w:pPr>
      <w:keepNext/>
      <w:keepLines/>
      <w:tabs>
        <w:tab w:val="left" w:pos="-720"/>
      </w:tabs>
      <w:suppressAutoHyphens/>
      <w:jc w:val="center"/>
    </w:pPr>
    <w:rPr>
      <w:rFonts w:ascii="Times New Roman" w:eastAsia="Times New Roman" w:hAnsi="Times New Roman" w:cs="Times New Roman"/>
      <w:b/>
      <w:smallCaps/>
      <w:sz w:val="32"/>
      <w:szCs w:val="20"/>
    </w:rPr>
  </w:style>
  <w:style w:type="paragraph" w:customStyle="1" w:styleId="TextBox">
    <w:name w:val="Text Box"/>
    <w:rsid w:val="00D91273"/>
    <w:pPr>
      <w:keepNext/>
      <w:keepLines/>
      <w:tabs>
        <w:tab w:val="left" w:pos="-720"/>
      </w:tabs>
      <w:suppressAutoHyphens/>
      <w:jc w:val="both"/>
    </w:pPr>
    <w:rPr>
      <w:rFonts w:ascii="Times New Roman" w:eastAsia="Times New Roman" w:hAnsi="Times New Roman" w:cs="Times New Roman"/>
      <w:spacing w:val="-2"/>
      <w:sz w:val="22"/>
      <w:szCs w:val="20"/>
    </w:rPr>
  </w:style>
  <w:style w:type="paragraph" w:customStyle="1" w:styleId="SeccinXTtulo">
    <w:name w:val="Sección X Título"/>
    <w:basedOn w:val="Normal"/>
    <w:qFormat/>
    <w:rsid w:val="008C0885"/>
    <w:pPr>
      <w:jc w:val="center"/>
    </w:pPr>
    <w:rPr>
      <w:b/>
      <w:sz w:val="36"/>
    </w:rPr>
  </w:style>
  <w:style w:type="paragraph" w:customStyle="1" w:styleId="Section4heading">
    <w:name w:val="Section 4 heading"/>
    <w:basedOn w:val="Normal"/>
    <w:next w:val="Normal"/>
    <w:rsid w:val="008C0885"/>
    <w:pPr>
      <w:widowControl w:val="0"/>
      <w:tabs>
        <w:tab w:val="left" w:leader="dot" w:pos="8748"/>
      </w:tabs>
      <w:autoSpaceDE w:val="0"/>
      <w:autoSpaceDN w:val="0"/>
      <w:spacing w:after="240"/>
      <w:jc w:val="center"/>
    </w:pPr>
    <w:rPr>
      <w:b/>
      <w:sz w:val="36"/>
      <w:szCs w:val="24"/>
      <w:lang w:val="es-ES" w:eastAsia="es-ES" w:bidi="es-ES"/>
    </w:rPr>
  </w:style>
  <w:style w:type="paragraph" w:customStyle="1" w:styleId="Head12">
    <w:name w:val="Head 1.2"/>
    <w:basedOn w:val="Normal"/>
    <w:rsid w:val="008C0885"/>
    <w:pPr>
      <w:numPr>
        <w:ilvl w:val="1"/>
        <w:numId w:val="65"/>
      </w:numPr>
    </w:pPr>
    <w:rPr>
      <w:rFonts w:ascii="Arial" w:hAnsi="Arial"/>
      <w:sz w:val="20"/>
      <w:lang w:val="en-US"/>
    </w:rPr>
  </w:style>
  <w:style w:type="paragraph" w:customStyle="1" w:styleId="SectionVHeading2">
    <w:name w:val="Section V. Heading 2"/>
    <w:basedOn w:val="Normal"/>
    <w:link w:val="SectionVHeading2Char"/>
    <w:rsid w:val="008C0885"/>
    <w:pPr>
      <w:spacing w:before="120" w:after="200"/>
      <w:jc w:val="center"/>
    </w:pPr>
    <w:rPr>
      <w:b/>
      <w:sz w:val="28"/>
      <w:szCs w:val="24"/>
      <w:lang w:val="en-US"/>
    </w:rPr>
  </w:style>
  <w:style w:type="paragraph" w:customStyle="1" w:styleId="Formulariossecciones">
    <w:name w:val="Formularios secciones"/>
    <w:basedOn w:val="SectionVHeading2"/>
    <w:link w:val="FormulariosseccionesChar"/>
    <w:qFormat/>
    <w:rsid w:val="008C0885"/>
    <w:rPr>
      <w:lang w:val="es-ES_tradnl"/>
    </w:rPr>
  </w:style>
  <w:style w:type="character" w:customStyle="1" w:styleId="SectionVHeading2Char">
    <w:name w:val="Section V. Heading 2 Char"/>
    <w:basedOn w:val="Fuentedeprrafopredeter"/>
    <w:link w:val="SectionVHeading2"/>
    <w:rsid w:val="008C0885"/>
    <w:rPr>
      <w:rFonts w:ascii="Times New Roman" w:eastAsia="Times New Roman" w:hAnsi="Times New Roman" w:cs="Times New Roman"/>
      <w:b/>
      <w:sz w:val="28"/>
    </w:rPr>
  </w:style>
  <w:style w:type="character" w:customStyle="1" w:styleId="FormulariosseccionesChar">
    <w:name w:val="Formularios secciones Char"/>
    <w:basedOn w:val="SectionVHeading2Char"/>
    <w:link w:val="Formulariossecciones"/>
    <w:rsid w:val="008C0885"/>
    <w:rPr>
      <w:rFonts w:ascii="Times New Roman" w:eastAsia="Times New Roman" w:hAnsi="Times New Roman" w:cs="Times New Roman"/>
      <w:b/>
      <w:sz w:val="28"/>
      <w:lang w:val="es-ES_tradnl"/>
    </w:rPr>
  </w:style>
  <w:style w:type="paragraph" w:customStyle="1" w:styleId="Atercernivel">
    <w:name w:val="Atercer nivel"/>
    <w:basedOn w:val="Normal"/>
    <w:qFormat/>
    <w:rsid w:val="008C0885"/>
    <w:pPr>
      <w:jc w:val="center"/>
    </w:pPr>
    <w:rPr>
      <w:b/>
      <w:noProof/>
      <w:sz w:val="28"/>
      <w:szCs w:val="24"/>
      <w:lang w:val="es-AR"/>
    </w:rPr>
  </w:style>
  <w:style w:type="paragraph" w:styleId="HTMLconformatoprevio">
    <w:name w:val="HTML Preformatted"/>
    <w:basedOn w:val="Normal"/>
    <w:link w:val="HTMLconformatoprevioCar"/>
    <w:uiPriority w:val="99"/>
    <w:unhideWhenUsed/>
    <w:rsid w:val="008C0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4"/>
      <w:lang w:val="en-US"/>
    </w:rPr>
  </w:style>
  <w:style w:type="character" w:customStyle="1" w:styleId="HTMLconformatoprevioCar">
    <w:name w:val="HTML con formato previo Car"/>
    <w:basedOn w:val="Fuentedeprrafopredeter"/>
    <w:link w:val="HTMLconformatoprevio"/>
    <w:uiPriority w:val="99"/>
    <w:rsid w:val="008C0885"/>
    <w:rPr>
      <w:rFonts w:ascii="Courier New" w:eastAsia="Times New Roman" w:hAnsi="Courier New" w:cs="Courier New"/>
      <w:sz w:val="20"/>
    </w:rPr>
  </w:style>
  <w:style w:type="paragraph" w:customStyle="1" w:styleId="Section10Header1">
    <w:name w:val="Section 10 Header 1"/>
    <w:basedOn w:val="Normal"/>
    <w:qFormat/>
    <w:rsid w:val="008C0885"/>
    <w:pPr>
      <w:spacing w:before="120" w:after="240"/>
      <w:jc w:val="center"/>
    </w:pPr>
    <w:rPr>
      <w:b/>
      <w:sz w:val="36"/>
      <w:szCs w:val="24"/>
      <w:lang w:val="es-AR"/>
    </w:rPr>
  </w:style>
  <w:style w:type="paragraph" w:customStyle="1" w:styleId="S4-Header2">
    <w:name w:val="S4-Header 2"/>
    <w:basedOn w:val="Normal"/>
    <w:rsid w:val="008C0885"/>
    <w:pPr>
      <w:spacing w:before="120" w:after="240"/>
      <w:jc w:val="center"/>
    </w:pPr>
    <w:rPr>
      <w:b/>
      <w:sz w:val="28"/>
      <w:szCs w:val="24"/>
      <w:lang w:val="en-US"/>
    </w:rPr>
  </w:style>
  <w:style w:type="paragraph" w:customStyle="1" w:styleId="AheaderTerciaryleve">
    <w:name w:val="Aheader Terciary leve"/>
    <w:basedOn w:val="Normal"/>
    <w:link w:val="AheaderTerciaryleveChar"/>
    <w:qFormat/>
    <w:rsid w:val="008C0885"/>
    <w:pPr>
      <w:jc w:val="center"/>
    </w:pPr>
    <w:rPr>
      <w:b/>
      <w:noProof/>
      <w:sz w:val="28"/>
      <w:szCs w:val="24"/>
      <w:lang w:val="en-US"/>
    </w:rPr>
  </w:style>
  <w:style w:type="character" w:customStyle="1" w:styleId="AheaderTerciaryleveChar">
    <w:name w:val="Aheader Terciary leve Char"/>
    <w:basedOn w:val="Fuentedeprrafopredeter"/>
    <w:link w:val="AheaderTerciaryleve"/>
    <w:rsid w:val="008C0885"/>
    <w:rPr>
      <w:rFonts w:ascii="Times New Roman" w:eastAsia="Times New Roman" w:hAnsi="Times New Roman" w:cs="Times New Roman"/>
      <w:b/>
      <w:noProof/>
      <w:sz w:val="28"/>
    </w:rPr>
  </w:style>
  <w:style w:type="numbering" w:customStyle="1" w:styleId="Style1">
    <w:name w:val="Style1"/>
    <w:uiPriority w:val="99"/>
    <w:rsid w:val="00D656B3"/>
    <w:pPr>
      <w:numPr>
        <w:numId w:val="94"/>
      </w:numPr>
    </w:pPr>
  </w:style>
  <w:style w:type="numbering" w:customStyle="1" w:styleId="Style2">
    <w:name w:val="Style2"/>
    <w:uiPriority w:val="99"/>
    <w:rsid w:val="00D656B3"/>
    <w:pPr>
      <w:numPr>
        <w:numId w:val="95"/>
      </w:numPr>
    </w:pPr>
  </w:style>
  <w:style w:type="paragraph" w:customStyle="1" w:styleId="Numeraciondeartculos">
    <w:name w:val="Numeracion de artículos"/>
    <w:basedOn w:val="Ttulo2"/>
    <w:link w:val="NumeraciondeartculosChar"/>
    <w:qFormat/>
    <w:rsid w:val="00D656B3"/>
    <w:pPr>
      <w:keepNext w:val="0"/>
      <w:framePr w:hSpace="144" w:wrap="around" w:vAnchor="text" w:hAnchor="page" w:x="946" w:y="212"/>
      <w:numPr>
        <w:ilvl w:val="1"/>
        <w:numId w:val="90"/>
      </w:numPr>
      <w:spacing w:before="60" w:after="60"/>
      <w:jc w:val="both"/>
      <w:outlineLvl w:val="9"/>
    </w:pPr>
    <w:rPr>
      <w:rFonts w:cstheme="minorHAnsi"/>
      <w:lang w:val="es-419"/>
    </w:rPr>
  </w:style>
  <w:style w:type="character" w:customStyle="1" w:styleId="NumeraciondeartculosChar">
    <w:name w:val="Numeracion de artículos Char"/>
    <w:basedOn w:val="Ttulo2Car"/>
    <w:link w:val="Numeraciondeartculos"/>
    <w:rsid w:val="00D656B3"/>
    <w:rPr>
      <w:rFonts w:ascii="Arial" w:eastAsia="Times New Roman" w:hAnsi="Arial" w:cstheme="minorHAnsi"/>
      <w:b/>
      <w:sz w:val="40"/>
      <w:szCs w:val="20"/>
      <w:lang w:val="es-419"/>
    </w:rPr>
  </w:style>
  <w:style w:type="paragraph" w:customStyle="1" w:styleId="IAO2">
    <w:name w:val="IAO 2"/>
    <w:basedOn w:val="i"/>
    <w:link w:val="IAO2Char"/>
    <w:qFormat/>
    <w:rsid w:val="007F1D84"/>
    <w:pPr>
      <w:spacing w:before="100" w:after="100"/>
      <w:jc w:val="left"/>
      <w:outlineLvl w:val="2"/>
    </w:pPr>
    <w:rPr>
      <w:rFonts w:ascii="Arial" w:hAnsi="Arial" w:cs="Arial"/>
      <w:b/>
      <w:sz w:val="22"/>
      <w:szCs w:val="22"/>
      <w:lang w:val="es-ES"/>
    </w:rPr>
  </w:style>
  <w:style w:type="paragraph" w:customStyle="1" w:styleId="IAO1">
    <w:name w:val="IAO 1"/>
    <w:basedOn w:val="i"/>
    <w:link w:val="IAO1Char"/>
    <w:qFormat/>
    <w:rsid w:val="007F1D84"/>
    <w:pPr>
      <w:numPr>
        <w:numId w:val="12"/>
      </w:numPr>
      <w:spacing w:before="120" w:after="120"/>
      <w:jc w:val="center"/>
      <w:outlineLvl w:val="1"/>
    </w:pPr>
    <w:rPr>
      <w:rFonts w:ascii="Arial" w:hAnsi="Arial" w:cs="Arial"/>
      <w:b/>
      <w:color w:val="FFFFFF" w:themeColor="background1"/>
      <w:sz w:val="22"/>
      <w:szCs w:val="22"/>
      <w:lang w:val="es-ES"/>
    </w:rPr>
  </w:style>
  <w:style w:type="character" w:customStyle="1" w:styleId="IAO2Char">
    <w:name w:val="IAO 2 Char"/>
    <w:basedOn w:val="iChar"/>
    <w:link w:val="IAO2"/>
    <w:rsid w:val="007F1D84"/>
    <w:rPr>
      <w:rFonts w:ascii="Arial" w:eastAsia="Times New Roman" w:hAnsi="Arial" w:cs="Arial"/>
      <w:b/>
      <w:sz w:val="22"/>
      <w:szCs w:val="22"/>
      <w:lang w:val="es-ES"/>
    </w:rPr>
  </w:style>
  <w:style w:type="paragraph" w:customStyle="1" w:styleId="INDGEN1">
    <w:name w:val="IND GEN 1"/>
    <w:basedOn w:val="i"/>
    <w:link w:val="INDGEN1Char"/>
    <w:qFormat/>
    <w:rsid w:val="00167AB8"/>
    <w:pPr>
      <w:spacing w:before="120" w:after="120"/>
      <w:jc w:val="center"/>
      <w:outlineLvl w:val="0"/>
    </w:pPr>
    <w:rPr>
      <w:rFonts w:ascii="Arial" w:hAnsi="Arial" w:cs="Arial"/>
      <w:b/>
      <w:sz w:val="28"/>
      <w:szCs w:val="28"/>
      <w:lang w:val="es-ES"/>
    </w:rPr>
  </w:style>
  <w:style w:type="character" w:customStyle="1" w:styleId="IAO1Char">
    <w:name w:val="IAO 1 Char"/>
    <w:basedOn w:val="iChar"/>
    <w:link w:val="IAO1"/>
    <w:rsid w:val="007F1D84"/>
    <w:rPr>
      <w:rFonts w:ascii="Arial" w:eastAsia="Times New Roman" w:hAnsi="Arial" w:cs="Arial"/>
      <w:b/>
      <w:color w:val="FFFFFF" w:themeColor="background1"/>
      <w:sz w:val="22"/>
      <w:szCs w:val="22"/>
      <w:lang w:val="es-ES"/>
    </w:rPr>
  </w:style>
  <w:style w:type="paragraph" w:customStyle="1" w:styleId="INDGEN2">
    <w:name w:val="IND GEN 2"/>
    <w:basedOn w:val="i"/>
    <w:link w:val="INDGEN2Char"/>
    <w:qFormat/>
    <w:rsid w:val="00167AB8"/>
    <w:pPr>
      <w:spacing w:before="120" w:after="120"/>
      <w:jc w:val="center"/>
      <w:outlineLvl w:val="0"/>
    </w:pPr>
    <w:rPr>
      <w:rFonts w:ascii="Arial" w:hAnsi="Arial" w:cs="Arial"/>
      <w:b/>
      <w:sz w:val="28"/>
      <w:szCs w:val="28"/>
      <w:lang w:val="es-ES"/>
    </w:rPr>
  </w:style>
  <w:style w:type="character" w:customStyle="1" w:styleId="INDGEN1Char">
    <w:name w:val="IND GEN 1 Char"/>
    <w:basedOn w:val="iChar"/>
    <w:link w:val="INDGEN1"/>
    <w:rsid w:val="00167AB8"/>
    <w:rPr>
      <w:rFonts w:ascii="Arial" w:eastAsia="Times New Roman" w:hAnsi="Arial" w:cs="Arial"/>
      <w:b/>
      <w:sz w:val="28"/>
      <w:szCs w:val="28"/>
      <w:lang w:val="es-ES"/>
    </w:rPr>
  </w:style>
  <w:style w:type="paragraph" w:customStyle="1" w:styleId="Ttulonormal">
    <w:name w:val="Título normal"/>
    <w:basedOn w:val="Ttulo1"/>
    <w:link w:val="TtulonormalChar"/>
    <w:qFormat/>
    <w:rsid w:val="00266788"/>
    <w:pPr>
      <w:keepNext/>
      <w:keepLines/>
      <w:numPr>
        <w:numId w:val="101"/>
      </w:numPr>
      <w:suppressAutoHyphens w:val="0"/>
      <w:spacing w:before="120" w:after="120"/>
      <w:ind w:left="180"/>
      <w:jc w:val="both"/>
    </w:pPr>
    <w:rPr>
      <w:rFonts w:ascii="Arial" w:hAnsi="Arial" w:cs="Arial"/>
      <w:smallCaps w:val="0"/>
      <w:sz w:val="22"/>
      <w:szCs w:val="22"/>
      <w:lang w:val="es-ES"/>
    </w:rPr>
  </w:style>
  <w:style w:type="character" w:customStyle="1" w:styleId="INDGEN2Char">
    <w:name w:val="IND GEN 2 Char"/>
    <w:basedOn w:val="iChar"/>
    <w:link w:val="INDGEN2"/>
    <w:rsid w:val="00167AB8"/>
    <w:rPr>
      <w:rFonts w:ascii="Arial" w:eastAsia="Times New Roman" w:hAnsi="Arial" w:cs="Arial"/>
      <w:b/>
      <w:sz w:val="28"/>
      <w:szCs w:val="28"/>
      <w:lang w:val="es-ES"/>
    </w:rPr>
  </w:style>
  <w:style w:type="paragraph" w:customStyle="1" w:styleId="Ttulonormal2">
    <w:name w:val="Título normal 2"/>
    <w:basedOn w:val="Ttulo2"/>
    <w:link w:val="Ttulonormal2Char"/>
    <w:qFormat/>
    <w:rsid w:val="00266788"/>
    <w:pPr>
      <w:spacing w:before="120" w:after="120"/>
      <w:ind w:left="270" w:hanging="270"/>
      <w:jc w:val="both"/>
    </w:pPr>
    <w:rPr>
      <w:rFonts w:cs="Arial"/>
      <w:sz w:val="22"/>
      <w:szCs w:val="22"/>
    </w:rPr>
  </w:style>
  <w:style w:type="character" w:customStyle="1" w:styleId="TtulonormalChar">
    <w:name w:val="Título normal Char"/>
    <w:basedOn w:val="Ttulo1Car"/>
    <w:link w:val="Ttulonormal"/>
    <w:rsid w:val="00266788"/>
    <w:rPr>
      <w:rFonts w:ascii="Arial" w:eastAsia="Times New Roman" w:hAnsi="Arial" w:cs="Arial"/>
      <w:b/>
      <w:smallCaps w:val="0"/>
      <w:sz w:val="22"/>
      <w:szCs w:val="22"/>
      <w:lang w:val="es-ES"/>
    </w:rPr>
  </w:style>
  <w:style w:type="character" w:customStyle="1" w:styleId="Ttulonormal2Char">
    <w:name w:val="Título normal 2 Char"/>
    <w:basedOn w:val="Ttulo2Car"/>
    <w:link w:val="Ttulonormal2"/>
    <w:rsid w:val="00266788"/>
    <w:rPr>
      <w:rFonts w:ascii="Arial" w:eastAsia="Times New Roman" w:hAnsi="Arial" w:cs="Arial"/>
      <w:b/>
      <w:sz w:val="22"/>
      <w:szCs w:val="22"/>
      <w:lang w:val="es-ES"/>
    </w:rPr>
  </w:style>
  <w:style w:type="paragraph" w:customStyle="1" w:styleId="FooterOdd">
    <w:name w:val="Footer Odd"/>
    <w:basedOn w:val="Normal"/>
    <w:qFormat/>
    <w:rsid w:val="009628C0"/>
    <w:pPr>
      <w:pBdr>
        <w:top w:val="single" w:sz="4" w:space="1" w:color="4472C4" w:themeColor="accent1"/>
      </w:pBdr>
      <w:spacing w:after="180" w:line="264" w:lineRule="auto"/>
      <w:jc w:val="right"/>
    </w:pPr>
    <w:rPr>
      <w:rFonts w:asciiTheme="minorHAnsi" w:eastAsiaTheme="minorHAnsi" w:hAnsiTheme="minorHAnsi"/>
      <w:color w:val="44546A" w:themeColor="text2"/>
      <w:sz w:val="20"/>
      <w:lang w:val="en-US" w:eastAsia="ja-JP"/>
    </w:rPr>
  </w:style>
  <w:style w:type="paragraph" w:customStyle="1" w:styleId="Pablo2">
    <w:name w:val="Pablo 2"/>
    <w:basedOn w:val="Ttulo2"/>
    <w:rsid w:val="0003308B"/>
    <w:pPr>
      <w:suppressAutoHyphens w:val="0"/>
      <w:ind w:left="450" w:right="-516" w:hanging="450"/>
      <w:jc w:val="both"/>
    </w:pPr>
    <w:rPr>
      <w:rFonts w:ascii="Arial Narrow" w:eastAsia="Batang" w:hAnsi="Arial Narrow" w:cs="Arial"/>
      <w:bCs/>
      <w:iCs/>
      <w:sz w:val="24"/>
      <w:szCs w:val="24"/>
      <w:lang w:val="es-NI" w:eastAsia="es-ES"/>
    </w:rPr>
  </w:style>
  <w:style w:type="paragraph" w:customStyle="1" w:styleId="Pablo3">
    <w:name w:val="Pablo 3"/>
    <w:basedOn w:val="Ttulo2"/>
    <w:qFormat/>
    <w:rsid w:val="0003308B"/>
    <w:pPr>
      <w:suppressAutoHyphens w:val="0"/>
      <w:ind w:left="720" w:right="-516" w:hanging="720"/>
      <w:jc w:val="both"/>
    </w:pPr>
    <w:rPr>
      <w:rFonts w:ascii="Arial Narrow" w:eastAsia="Calibri" w:hAnsi="Arial Narrow" w:cs="Aparajita"/>
      <w:bCs/>
      <w:iCs/>
      <w:sz w:val="24"/>
      <w:szCs w:val="28"/>
      <w:lang w:val="es-NI"/>
    </w:rPr>
  </w:style>
  <w:style w:type="paragraph" w:customStyle="1" w:styleId="Pablo4">
    <w:name w:val="Pablo 4"/>
    <w:basedOn w:val="Ttulo2"/>
    <w:qFormat/>
    <w:rsid w:val="0003308B"/>
    <w:pPr>
      <w:suppressAutoHyphens w:val="0"/>
      <w:ind w:left="720" w:right="-516" w:hanging="720"/>
      <w:jc w:val="both"/>
    </w:pPr>
    <w:rPr>
      <w:rFonts w:ascii="Arial Narrow" w:eastAsia="Batang" w:hAnsi="Arial Narrow" w:cs="Arial"/>
      <w:bCs/>
      <w:iCs/>
      <w:sz w:val="24"/>
      <w:szCs w:val="24"/>
      <w:lang w:val="es-NI" w:eastAsia="es-ES"/>
    </w:rPr>
  </w:style>
  <w:style w:type="paragraph" w:customStyle="1" w:styleId="TtuloIH">
    <w:name w:val="Título IH"/>
    <w:basedOn w:val="Normal"/>
    <w:autoRedefine/>
    <w:semiHidden/>
    <w:rsid w:val="0003308B"/>
    <w:pPr>
      <w:numPr>
        <w:numId w:val="145"/>
      </w:numPr>
    </w:pPr>
    <w:rPr>
      <w:rFonts w:ascii="Verdana" w:hAnsi="Verdana" w:cs="Arial"/>
      <w:b/>
      <w:caps/>
      <w:sz w:val="28"/>
      <w:szCs w:val="28"/>
      <w:lang w:val="es-ES" w:eastAsia="es-ES"/>
    </w:rPr>
  </w:style>
  <w:style w:type="paragraph" w:customStyle="1" w:styleId="Bullet">
    <w:name w:val="Bullet"/>
    <w:basedOn w:val="Normal"/>
    <w:rsid w:val="0003308B"/>
    <w:pPr>
      <w:numPr>
        <w:numId w:val="146"/>
      </w:numPr>
    </w:pPr>
    <w:rPr>
      <w:rFonts w:ascii="Arial" w:eastAsia="Calibri" w:hAnsi="Arial" w:cs="Arial"/>
      <w:sz w:val="22"/>
      <w:szCs w:val="22"/>
      <w:lang w:val="es-NI"/>
    </w:rPr>
  </w:style>
  <w:style w:type="paragraph" w:customStyle="1" w:styleId="Sinespaciado1">
    <w:name w:val="Sin espaciado1"/>
    <w:link w:val="NoSpacingChar"/>
    <w:uiPriority w:val="99"/>
    <w:qFormat/>
    <w:rsid w:val="0003308B"/>
    <w:rPr>
      <w:rFonts w:ascii="Calibri" w:eastAsia="Calibri" w:hAnsi="Calibri" w:cs="Calibri"/>
      <w:sz w:val="22"/>
      <w:szCs w:val="22"/>
      <w:lang w:val="es-ES"/>
    </w:rPr>
  </w:style>
  <w:style w:type="character" w:customStyle="1" w:styleId="NoSpacingChar">
    <w:name w:val="No Spacing Char"/>
    <w:link w:val="Sinespaciado1"/>
    <w:locked/>
    <w:rsid w:val="0003308B"/>
    <w:rPr>
      <w:rFonts w:ascii="Calibri" w:eastAsia="Calibri" w:hAnsi="Calibri" w:cs="Calibri"/>
      <w:sz w:val="22"/>
      <w:szCs w:val="22"/>
      <w:lang w:val="es-ES"/>
    </w:rPr>
  </w:style>
  <w:style w:type="numbering" w:customStyle="1" w:styleId="Sinlista1">
    <w:name w:val="Sin lista1"/>
    <w:next w:val="Sinlista"/>
    <w:uiPriority w:val="99"/>
    <w:semiHidden/>
    <w:unhideWhenUsed/>
    <w:rsid w:val="001A4860"/>
  </w:style>
  <w:style w:type="paragraph" w:customStyle="1" w:styleId="Mensajeencabezadoltimo">
    <w:name w:val="Mensaje encabezado último"/>
    <w:basedOn w:val="Encabezadodemensaje"/>
    <w:next w:val="Textoindependiente"/>
    <w:rsid w:val="001A4860"/>
    <w:pPr>
      <w:keepLines/>
      <w:pBdr>
        <w:top w:val="none" w:sz="0" w:space="0" w:color="auto"/>
        <w:left w:val="none" w:sz="0" w:space="0" w:color="auto"/>
        <w:bottom w:val="none" w:sz="0" w:space="0" w:color="auto"/>
        <w:right w:val="none" w:sz="0" w:space="0" w:color="auto"/>
      </w:pBdr>
      <w:shd w:val="clear" w:color="auto" w:fill="auto"/>
      <w:tabs>
        <w:tab w:val="left" w:pos="3600"/>
        <w:tab w:val="left" w:pos="4680"/>
      </w:tabs>
      <w:spacing w:after="360"/>
      <w:ind w:left="1080" w:right="2160" w:hanging="1080"/>
    </w:pPr>
    <w:rPr>
      <w:sz w:val="22"/>
      <w:szCs w:val="22"/>
      <w:lang w:val="es-ES_tradnl"/>
    </w:rPr>
  </w:style>
  <w:style w:type="paragraph" w:styleId="Encabezadodemensaje">
    <w:name w:val="Message Header"/>
    <w:basedOn w:val="Normal"/>
    <w:link w:val="EncabezadodemensajeCar"/>
    <w:rsid w:val="001A48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lang w:val="es-ES" w:eastAsia="es-ES"/>
    </w:rPr>
  </w:style>
  <w:style w:type="character" w:customStyle="1" w:styleId="EncabezadodemensajeCar">
    <w:name w:val="Encabezado de mensaje Car"/>
    <w:basedOn w:val="Fuentedeprrafopredeter"/>
    <w:link w:val="Encabezadodemensaje"/>
    <w:rsid w:val="001A4860"/>
    <w:rPr>
      <w:rFonts w:ascii="Arial" w:eastAsia="Times New Roman" w:hAnsi="Arial" w:cs="Arial"/>
      <w:shd w:val="pct20" w:color="auto" w:fill="auto"/>
      <w:lang w:val="es-ES" w:eastAsia="es-ES"/>
    </w:rPr>
  </w:style>
  <w:style w:type="paragraph" w:customStyle="1" w:styleId="Chapter">
    <w:name w:val="Chapter"/>
    <w:basedOn w:val="Normal"/>
    <w:next w:val="Normal"/>
    <w:rsid w:val="001A4860"/>
    <w:pPr>
      <w:numPr>
        <w:numId w:val="147"/>
      </w:numPr>
      <w:tabs>
        <w:tab w:val="left" w:pos="1440"/>
      </w:tabs>
      <w:spacing w:after="240"/>
      <w:jc w:val="center"/>
    </w:pPr>
    <w:rPr>
      <w:rFonts w:ascii="Arial" w:hAnsi="Arial"/>
      <w:b/>
      <w:bCs/>
      <w:smallCaps/>
      <w:szCs w:val="24"/>
      <w:lang w:val="es-ES"/>
    </w:rPr>
  </w:style>
  <w:style w:type="paragraph" w:customStyle="1" w:styleId="Paragraph">
    <w:name w:val="Paragraph"/>
    <w:basedOn w:val="Sangradetextonormal"/>
    <w:rsid w:val="001A4860"/>
    <w:pPr>
      <w:numPr>
        <w:ilvl w:val="1"/>
        <w:numId w:val="147"/>
      </w:numPr>
      <w:tabs>
        <w:tab w:val="clear" w:pos="1080"/>
      </w:tabs>
      <w:spacing w:before="120" w:after="120"/>
      <w:outlineLvl w:val="1"/>
    </w:pPr>
    <w:rPr>
      <w:rFonts w:ascii="Arial" w:hAnsi="Arial"/>
      <w:szCs w:val="24"/>
      <w:lang w:val="es-ES"/>
    </w:rPr>
  </w:style>
  <w:style w:type="paragraph" w:customStyle="1" w:styleId="subpar">
    <w:name w:val="subpar"/>
    <w:basedOn w:val="Sangra3detindependiente"/>
    <w:rsid w:val="001A4860"/>
    <w:pPr>
      <w:tabs>
        <w:tab w:val="num" w:pos="1584"/>
      </w:tabs>
      <w:spacing w:after="120"/>
      <w:ind w:left="1584" w:hanging="288"/>
      <w:outlineLvl w:val="2"/>
    </w:pPr>
    <w:rPr>
      <w:rFonts w:ascii="Arial" w:hAnsi="Arial"/>
      <w:b w:val="0"/>
      <w:szCs w:val="24"/>
    </w:rPr>
  </w:style>
  <w:style w:type="table" w:customStyle="1" w:styleId="Tablaconcuadrcula1">
    <w:name w:val="Tabla con cuadrícula1"/>
    <w:basedOn w:val="Tablanormal"/>
    <w:next w:val="Tablaconcuadrcula"/>
    <w:uiPriority w:val="39"/>
    <w:rsid w:val="001A4860"/>
    <w:rPr>
      <w:rFonts w:ascii="Times New Roman" w:eastAsia="Times New Roman" w:hAnsi="Times New Roman" w:cs="Times New Roman"/>
      <w:sz w:val="20"/>
      <w:szCs w:val="20"/>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1A4860"/>
    <w:pPr>
      <w:shd w:val="clear" w:color="auto" w:fill="000080"/>
    </w:pPr>
    <w:rPr>
      <w:rFonts w:ascii="Tahoma" w:hAnsi="Tahoma" w:cs="Tahoma"/>
      <w:i/>
      <w:sz w:val="20"/>
      <w:szCs w:val="24"/>
      <w:lang w:val="es-ES" w:eastAsia="es-ES"/>
    </w:rPr>
  </w:style>
  <w:style w:type="character" w:customStyle="1" w:styleId="MapadeldocumentoCar">
    <w:name w:val="Mapa del documento Car"/>
    <w:basedOn w:val="Fuentedeprrafopredeter"/>
    <w:link w:val="Mapadeldocumento"/>
    <w:uiPriority w:val="99"/>
    <w:rsid w:val="001A4860"/>
    <w:rPr>
      <w:rFonts w:ascii="Tahoma" w:eastAsia="Times New Roman" w:hAnsi="Tahoma" w:cs="Tahoma"/>
      <w:i/>
      <w:sz w:val="20"/>
      <w:shd w:val="clear" w:color="auto" w:fill="000080"/>
      <w:lang w:val="es-ES" w:eastAsia="es-ES"/>
    </w:rPr>
  </w:style>
  <w:style w:type="paragraph" w:customStyle="1" w:styleId="a">
    <w:name w:val="a"/>
    <w:aliases w:val="b,c"/>
    <w:basedOn w:val="Normal"/>
    <w:rsid w:val="001A4860"/>
    <w:pPr>
      <w:widowControl w:val="0"/>
      <w:overflowPunct w:val="0"/>
      <w:autoSpaceDE w:val="0"/>
      <w:autoSpaceDN w:val="0"/>
      <w:adjustRightInd w:val="0"/>
      <w:ind w:left="1134" w:hanging="414"/>
      <w:textAlignment w:val="baseline"/>
    </w:pPr>
    <w:rPr>
      <w:rFonts w:ascii="Arial" w:eastAsia="SimSun" w:hAnsi="Arial"/>
      <w:sz w:val="20"/>
      <w:lang w:val="es-NI" w:eastAsia="es-ES"/>
    </w:rPr>
  </w:style>
  <w:style w:type="paragraph" w:customStyle="1" w:styleId="Titulo4">
    <w:name w:val="Titulo 4"/>
    <w:basedOn w:val="Normal"/>
    <w:rsid w:val="001A4860"/>
    <w:pPr>
      <w:tabs>
        <w:tab w:val="left" w:pos="474"/>
        <w:tab w:val="left" w:pos="750"/>
        <w:tab w:val="left" w:pos="2160"/>
        <w:tab w:val="left" w:pos="3240"/>
        <w:tab w:val="left" w:pos="4320"/>
        <w:tab w:val="left" w:pos="4698"/>
      </w:tabs>
      <w:overflowPunct w:val="0"/>
      <w:autoSpaceDE w:val="0"/>
      <w:autoSpaceDN w:val="0"/>
      <w:adjustRightInd w:val="0"/>
      <w:ind w:left="474"/>
      <w:textAlignment w:val="baseline"/>
    </w:pPr>
    <w:rPr>
      <w:rFonts w:ascii="Arial" w:eastAsia="SimSun" w:hAnsi="Arial"/>
      <w:b/>
      <w:color w:val="000000"/>
      <w:lang w:val="es-ES" w:eastAsia="es-ES"/>
    </w:rPr>
  </w:style>
  <w:style w:type="paragraph" w:styleId="Textosinformato">
    <w:name w:val="Plain Text"/>
    <w:basedOn w:val="Normal"/>
    <w:link w:val="TextosinformatoCar"/>
    <w:uiPriority w:val="99"/>
    <w:rsid w:val="001A4860"/>
    <w:rPr>
      <w:rFonts w:ascii="Courier New" w:hAnsi="Courier New"/>
      <w:sz w:val="20"/>
      <w:szCs w:val="24"/>
      <w:lang w:val="es-ES" w:eastAsia="es-ES"/>
    </w:rPr>
  </w:style>
  <w:style w:type="character" w:customStyle="1" w:styleId="TextosinformatoCar">
    <w:name w:val="Texto sin formato Car"/>
    <w:basedOn w:val="Fuentedeprrafopredeter"/>
    <w:link w:val="Textosinformato"/>
    <w:uiPriority w:val="99"/>
    <w:rsid w:val="001A4860"/>
    <w:rPr>
      <w:rFonts w:ascii="Courier New" w:eastAsia="Times New Roman" w:hAnsi="Courier New" w:cs="Times New Roman"/>
      <w:sz w:val="20"/>
      <w:lang w:val="es-ES" w:eastAsia="es-ES"/>
    </w:rPr>
  </w:style>
  <w:style w:type="paragraph" w:customStyle="1" w:styleId="Titulo2">
    <w:name w:val="Titulo 2"/>
    <w:basedOn w:val="Normal"/>
    <w:link w:val="Titulo2Car"/>
    <w:qFormat/>
    <w:rsid w:val="001A4860"/>
    <w:pPr>
      <w:keepNext/>
      <w:numPr>
        <w:numId w:val="148"/>
      </w:numPr>
      <w:tabs>
        <w:tab w:val="clear" w:pos="567"/>
      </w:tabs>
      <w:ind w:left="0" w:firstLine="0"/>
      <w:outlineLvl w:val="1"/>
    </w:pPr>
    <w:rPr>
      <w:rFonts w:ascii="Tahoma" w:hAnsi="Tahoma" w:cs="Tahoma"/>
      <w:b/>
      <w:bCs/>
      <w:caps/>
      <w:szCs w:val="24"/>
      <w:lang w:val="es-MX" w:eastAsia="es-ES"/>
    </w:rPr>
  </w:style>
  <w:style w:type="paragraph" w:styleId="Listaconvietas2">
    <w:name w:val="List Bullet 2"/>
    <w:basedOn w:val="Normal"/>
    <w:autoRedefine/>
    <w:rsid w:val="001A4860"/>
    <w:pPr>
      <w:widowControl w:val="0"/>
      <w:tabs>
        <w:tab w:val="num" w:pos="567"/>
      </w:tabs>
      <w:ind w:left="567" w:hanging="567"/>
    </w:pPr>
    <w:rPr>
      <w:rFonts w:ascii="Arial" w:hAnsi="Arial"/>
      <w:sz w:val="22"/>
      <w:lang w:eastAsia="es-ES"/>
    </w:rPr>
  </w:style>
  <w:style w:type="paragraph" w:customStyle="1" w:styleId="BodyText21">
    <w:name w:val="Body Text 21"/>
    <w:basedOn w:val="Normal"/>
    <w:rsid w:val="001A4860"/>
    <w:pPr>
      <w:widowControl w:val="0"/>
      <w:tabs>
        <w:tab w:val="left" w:pos="-720"/>
        <w:tab w:val="left" w:pos="720"/>
        <w:tab w:val="left" w:pos="1440"/>
      </w:tabs>
      <w:suppressAutoHyphens/>
    </w:pPr>
    <w:rPr>
      <w:rFonts w:ascii="Arial" w:hAnsi="Arial"/>
      <w:spacing w:val="-2"/>
      <w:lang w:val="es-ES" w:eastAsia="es-ES"/>
    </w:rPr>
  </w:style>
  <w:style w:type="paragraph" w:customStyle="1" w:styleId="Titulo5">
    <w:name w:val="Titulo 5"/>
    <w:basedOn w:val="Normal"/>
    <w:autoRedefine/>
    <w:rsid w:val="001A4860"/>
    <w:pPr>
      <w:numPr>
        <w:ilvl w:val="4"/>
        <w:numId w:val="149"/>
      </w:numPr>
      <w:spacing w:before="60"/>
    </w:pPr>
    <w:rPr>
      <w:rFonts w:ascii="Arial" w:hAnsi="Arial" w:cs="Arial"/>
      <w:i/>
      <w:sz w:val="20"/>
      <w:szCs w:val="24"/>
      <w:lang w:val="es-ES" w:eastAsia="es-ES"/>
    </w:rPr>
  </w:style>
  <w:style w:type="paragraph" w:customStyle="1" w:styleId="Titulo7">
    <w:name w:val="Titulo 7"/>
    <w:basedOn w:val="Ttulo1"/>
    <w:autoRedefine/>
    <w:rsid w:val="001A4860"/>
    <w:pPr>
      <w:keepNext/>
      <w:keepLines/>
      <w:suppressAutoHyphens w:val="0"/>
      <w:spacing w:before="60" w:after="0"/>
      <w:ind w:left="1701"/>
      <w:jc w:val="both"/>
    </w:pPr>
    <w:rPr>
      <w:rFonts w:ascii="Arial" w:hAnsi="Arial"/>
      <w:iCs/>
      <w:smallCaps w:val="0"/>
      <w:color w:val="0000FF"/>
      <w:sz w:val="16"/>
      <w:szCs w:val="32"/>
      <w:lang w:val="es-NI"/>
    </w:rPr>
  </w:style>
  <w:style w:type="paragraph" w:customStyle="1" w:styleId="Textodenotaalpie">
    <w:name w:val="Texto de nota al pie"/>
    <w:basedOn w:val="Normal"/>
    <w:rsid w:val="001A4860"/>
    <w:pPr>
      <w:widowControl w:val="0"/>
    </w:pPr>
    <w:rPr>
      <w:rFonts w:ascii="Courier New" w:hAnsi="Courier New"/>
      <w:i/>
      <w:sz w:val="20"/>
      <w:lang w:val="es-ES" w:eastAsia="es-ES"/>
    </w:rPr>
  </w:style>
  <w:style w:type="character" w:customStyle="1" w:styleId="txt1">
    <w:name w:val="txt1"/>
    <w:rsid w:val="001A4860"/>
    <w:rPr>
      <w:rFonts w:ascii="Arial" w:hAnsi="Arial" w:cs="Arial" w:hint="default"/>
      <w:color w:val="000000"/>
      <w:sz w:val="20"/>
      <w:szCs w:val="20"/>
    </w:rPr>
  </w:style>
  <w:style w:type="paragraph" w:styleId="Lista2">
    <w:name w:val="List 2"/>
    <w:basedOn w:val="Normal"/>
    <w:rsid w:val="001A4860"/>
    <w:pPr>
      <w:ind w:left="566" w:hanging="283"/>
    </w:pPr>
    <w:rPr>
      <w:rFonts w:ascii="Arial" w:hAnsi="Arial"/>
      <w:szCs w:val="24"/>
      <w:lang w:val="es-ES" w:eastAsia="es-ES"/>
    </w:rPr>
  </w:style>
  <w:style w:type="paragraph" w:customStyle="1" w:styleId="a0">
    <w:name w:val="_"/>
    <w:basedOn w:val="Normal"/>
    <w:rsid w:val="001A4860"/>
    <w:pPr>
      <w:widowControl w:val="0"/>
      <w:overflowPunct w:val="0"/>
      <w:autoSpaceDE w:val="0"/>
      <w:autoSpaceDN w:val="0"/>
      <w:adjustRightInd w:val="0"/>
      <w:ind w:left="1077" w:hanging="357"/>
      <w:textAlignment w:val="baseline"/>
    </w:pPr>
    <w:rPr>
      <w:rFonts w:ascii="Arial" w:eastAsia="SimSun" w:hAnsi="Arial"/>
      <w:sz w:val="20"/>
      <w:lang w:val="es-NI" w:eastAsia="es-ES"/>
    </w:rPr>
  </w:style>
  <w:style w:type="paragraph" w:styleId="Textonotaalfinal">
    <w:name w:val="endnote text"/>
    <w:basedOn w:val="Normal"/>
    <w:link w:val="TextonotaalfinalCar"/>
    <w:rsid w:val="001A4860"/>
    <w:rPr>
      <w:rFonts w:ascii="Arial" w:hAnsi="Arial"/>
      <w:sz w:val="20"/>
      <w:lang w:val="en-US"/>
    </w:rPr>
  </w:style>
  <w:style w:type="character" w:customStyle="1" w:styleId="TextonotaalfinalCar">
    <w:name w:val="Texto nota al final Car"/>
    <w:basedOn w:val="Fuentedeprrafopredeter"/>
    <w:link w:val="Textonotaalfinal"/>
    <w:rsid w:val="001A4860"/>
    <w:rPr>
      <w:rFonts w:ascii="Arial" w:eastAsia="Times New Roman" w:hAnsi="Arial" w:cs="Times New Roman"/>
      <w:sz w:val="20"/>
      <w:szCs w:val="20"/>
    </w:rPr>
  </w:style>
  <w:style w:type="paragraph" w:customStyle="1" w:styleId="Level1">
    <w:name w:val="Level 1"/>
    <w:basedOn w:val="Normal"/>
    <w:rsid w:val="001A4860"/>
    <w:pPr>
      <w:widowControl w:val="0"/>
      <w:autoSpaceDE w:val="0"/>
      <w:autoSpaceDN w:val="0"/>
      <w:adjustRightInd w:val="0"/>
      <w:ind w:left="720" w:hanging="720"/>
    </w:pPr>
    <w:rPr>
      <w:rFonts w:ascii="Arial" w:hAnsi="Arial"/>
      <w:szCs w:val="24"/>
      <w:lang w:val="en-US" w:eastAsia="es-ES"/>
    </w:rPr>
  </w:style>
  <w:style w:type="paragraph" w:customStyle="1" w:styleId="TITULOGENERAL">
    <w:name w:val="TITULO GENERAL"/>
    <w:basedOn w:val="Ttulo"/>
    <w:rsid w:val="001A4860"/>
    <w:pPr>
      <w:outlineLvl w:val="0"/>
    </w:pPr>
    <w:rPr>
      <w:rFonts w:ascii="Trebuchet MS" w:hAnsi="Trebuchet MS" w:cs="Arial"/>
      <w:bCs/>
      <w:szCs w:val="32"/>
      <w:lang w:val="es-NI" w:eastAsia="es-ES"/>
    </w:rPr>
  </w:style>
  <w:style w:type="paragraph" w:customStyle="1" w:styleId="Text">
    <w:name w:val="Text"/>
    <w:basedOn w:val="Normal"/>
    <w:rsid w:val="001A4860"/>
    <w:pPr>
      <w:spacing w:before="120"/>
    </w:pPr>
    <w:rPr>
      <w:rFonts w:ascii="Arial" w:hAnsi="Arial"/>
      <w:lang w:eastAsia="es-ES"/>
    </w:rPr>
  </w:style>
  <w:style w:type="paragraph" w:styleId="ndice5">
    <w:name w:val="index 5"/>
    <w:basedOn w:val="Normal"/>
    <w:next w:val="Normal"/>
    <w:autoRedefine/>
    <w:semiHidden/>
    <w:rsid w:val="001A4860"/>
    <w:pPr>
      <w:ind w:left="1000" w:hanging="200"/>
    </w:pPr>
    <w:rPr>
      <w:rFonts w:ascii="Arial" w:hAnsi="Arial"/>
      <w:sz w:val="20"/>
    </w:rPr>
  </w:style>
  <w:style w:type="paragraph" w:customStyle="1" w:styleId="Textoindependiente31">
    <w:name w:val="Texto independiente 31"/>
    <w:basedOn w:val="Normal"/>
    <w:rsid w:val="001A4860"/>
    <w:pPr>
      <w:widowControl w:val="0"/>
    </w:pPr>
    <w:rPr>
      <w:rFonts w:ascii="Arial" w:hAnsi="Arial"/>
      <w:lang w:val="es-ES" w:eastAsia="es-ES"/>
    </w:rPr>
  </w:style>
  <w:style w:type="paragraph" w:customStyle="1" w:styleId="CarCar26CarCarCarCar">
    <w:name w:val="Car Car26 Car Car Car Car"/>
    <w:basedOn w:val="Normal"/>
    <w:rsid w:val="001A4860"/>
    <w:pPr>
      <w:spacing w:after="160" w:line="240" w:lineRule="exact"/>
    </w:pPr>
    <w:rPr>
      <w:rFonts w:ascii="Arial" w:hAnsi="Arial" w:cs="Arial"/>
      <w:sz w:val="20"/>
      <w:lang w:val="en-US"/>
    </w:rPr>
  </w:style>
  <w:style w:type="table" w:customStyle="1" w:styleId="Tabladecuadrcula6concolores-nfasis11">
    <w:name w:val="Tabla de cuadrícula 6 con colores - Énfasis 11"/>
    <w:basedOn w:val="Tablanormal"/>
    <w:uiPriority w:val="51"/>
    <w:rsid w:val="001A4860"/>
    <w:rPr>
      <w:rFonts w:ascii="Century Gothic" w:eastAsia="Century Gothic" w:hAnsi="Century Gothic" w:cs="Times New Roman"/>
      <w:color w:val="306785"/>
      <w:sz w:val="22"/>
      <w:szCs w:val="22"/>
      <w:lang w:val="es-419"/>
    </w:rPr>
    <w:tblPr>
      <w:tblStyleRowBandSize w:val="1"/>
      <w:tblStyleColBandSize w:val="1"/>
      <w:tblBorders>
        <w:top w:val="single" w:sz="4" w:space="0" w:color="89B9D4"/>
        <w:left w:val="single" w:sz="4" w:space="0" w:color="89B9D4"/>
        <w:bottom w:val="single" w:sz="4" w:space="0" w:color="89B9D4"/>
        <w:right w:val="single" w:sz="4" w:space="0" w:color="89B9D4"/>
        <w:insideH w:val="single" w:sz="4" w:space="0" w:color="89B9D4"/>
        <w:insideV w:val="single" w:sz="4" w:space="0" w:color="89B9D4"/>
      </w:tblBorders>
    </w:tblPr>
    <w:tblStylePr w:type="firstRow">
      <w:rPr>
        <w:b/>
        <w:bCs/>
      </w:rPr>
      <w:tblPr/>
      <w:tcPr>
        <w:tcBorders>
          <w:bottom w:val="single" w:sz="12" w:space="0" w:color="89B9D4"/>
        </w:tcBorders>
      </w:tcPr>
    </w:tblStylePr>
    <w:tblStylePr w:type="lastRow">
      <w:rPr>
        <w:b/>
        <w:bCs/>
      </w:rPr>
      <w:tblPr/>
      <w:tcPr>
        <w:tcBorders>
          <w:top w:val="double" w:sz="4" w:space="0" w:color="89B9D4"/>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paragraph" w:styleId="Descripcin">
    <w:name w:val="caption"/>
    <w:aliases w:val="Epígrafe"/>
    <w:basedOn w:val="Normal"/>
    <w:next w:val="Normal"/>
    <w:autoRedefine/>
    <w:uiPriority w:val="35"/>
    <w:qFormat/>
    <w:rsid w:val="001A4860"/>
    <w:pPr>
      <w:numPr>
        <w:numId w:val="150"/>
      </w:numPr>
      <w:ind w:left="0" w:firstLine="0"/>
      <w:jc w:val="center"/>
    </w:pPr>
    <w:rPr>
      <w:rFonts w:ascii="Arial" w:hAnsi="Arial" w:cs="Arial"/>
      <w:b/>
      <w:bCs/>
      <w:szCs w:val="22"/>
      <w:lang w:val="es-NI" w:eastAsia="es-ES"/>
    </w:rPr>
  </w:style>
  <w:style w:type="paragraph" w:styleId="Cita">
    <w:name w:val="Quote"/>
    <w:basedOn w:val="Normal"/>
    <w:next w:val="Normal"/>
    <w:link w:val="CitaCar"/>
    <w:autoRedefine/>
    <w:uiPriority w:val="29"/>
    <w:qFormat/>
    <w:rsid w:val="001A4860"/>
    <w:pPr>
      <w:numPr>
        <w:numId w:val="153"/>
      </w:numPr>
      <w:ind w:left="0" w:firstLine="0"/>
      <w:jc w:val="center"/>
    </w:pPr>
    <w:rPr>
      <w:rFonts w:ascii="Arial" w:hAnsi="Arial"/>
      <w:b/>
      <w:iCs/>
      <w:szCs w:val="24"/>
      <w:lang w:val="es-ES" w:eastAsia="es-ES"/>
    </w:rPr>
  </w:style>
  <w:style w:type="character" w:customStyle="1" w:styleId="CitaCar">
    <w:name w:val="Cita Car"/>
    <w:basedOn w:val="Fuentedeprrafopredeter"/>
    <w:link w:val="Cita"/>
    <w:uiPriority w:val="29"/>
    <w:rsid w:val="001A4860"/>
    <w:rPr>
      <w:rFonts w:ascii="Arial" w:eastAsia="Times New Roman" w:hAnsi="Arial" w:cs="Times New Roman"/>
      <w:b/>
      <w:iCs/>
      <w:lang w:val="es-ES" w:eastAsia="es-ES"/>
    </w:rPr>
  </w:style>
  <w:style w:type="paragraph" w:styleId="Citadestacada">
    <w:name w:val="Intense Quote"/>
    <w:aliases w:val="foto"/>
    <w:basedOn w:val="Normal"/>
    <w:next w:val="Normal"/>
    <w:link w:val="CitadestacadaCar"/>
    <w:autoRedefine/>
    <w:uiPriority w:val="30"/>
    <w:qFormat/>
    <w:rsid w:val="001A4860"/>
    <w:pPr>
      <w:numPr>
        <w:numId w:val="151"/>
      </w:numPr>
      <w:ind w:left="0" w:firstLine="0"/>
      <w:jc w:val="center"/>
    </w:pPr>
    <w:rPr>
      <w:rFonts w:ascii="Arial" w:hAnsi="Arial"/>
      <w:b/>
      <w:iCs/>
      <w:szCs w:val="24"/>
      <w:lang w:val="es-ES" w:eastAsia="es-ES"/>
    </w:rPr>
  </w:style>
  <w:style w:type="character" w:customStyle="1" w:styleId="CitadestacadaCar">
    <w:name w:val="Cita destacada Car"/>
    <w:aliases w:val="foto Car"/>
    <w:basedOn w:val="Fuentedeprrafopredeter"/>
    <w:link w:val="Citadestacada"/>
    <w:uiPriority w:val="30"/>
    <w:rsid w:val="001A4860"/>
    <w:rPr>
      <w:rFonts w:ascii="Arial" w:eastAsia="Times New Roman" w:hAnsi="Arial" w:cs="Times New Roman"/>
      <w:b/>
      <w:iCs/>
      <w:lang w:val="es-ES" w:eastAsia="es-ES"/>
    </w:rPr>
  </w:style>
  <w:style w:type="paragraph" w:styleId="Cierre">
    <w:name w:val="Closing"/>
    <w:basedOn w:val="Normal"/>
    <w:link w:val="CierreCar"/>
    <w:rsid w:val="001A4860"/>
    <w:pPr>
      <w:ind w:left="4320"/>
    </w:pPr>
    <w:rPr>
      <w:rFonts w:ascii="Arial" w:hAnsi="Arial"/>
      <w:szCs w:val="24"/>
      <w:lang w:val="es-NI" w:eastAsia="es-ES"/>
    </w:rPr>
  </w:style>
  <w:style w:type="character" w:customStyle="1" w:styleId="CierreCar">
    <w:name w:val="Cierre Car"/>
    <w:basedOn w:val="Fuentedeprrafopredeter"/>
    <w:link w:val="Cierre"/>
    <w:rsid w:val="001A4860"/>
    <w:rPr>
      <w:rFonts w:ascii="Arial" w:eastAsia="Times New Roman" w:hAnsi="Arial" w:cs="Times New Roman"/>
      <w:lang w:val="es-NI" w:eastAsia="es-ES"/>
    </w:rPr>
  </w:style>
  <w:style w:type="paragraph" w:styleId="Listaconvietas">
    <w:name w:val="List Bullet"/>
    <w:basedOn w:val="Normal"/>
    <w:rsid w:val="001A4860"/>
    <w:pPr>
      <w:numPr>
        <w:numId w:val="152"/>
      </w:numPr>
      <w:contextualSpacing/>
    </w:pPr>
    <w:rPr>
      <w:rFonts w:ascii="Arial" w:hAnsi="Arial"/>
      <w:szCs w:val="24"/>
      <w:lang w:val="es-NI" w:eastAsia="es-ES"/>
    </w:rPr>
  </w:style>
  <w:style w:type="paragraph" w:styleId="Textoindependienteprimerasangra">
    <w:name w:val="Body Text First Indent"/>
    <w:basedOn w:val="Textoindependiente"/>
    <w:link w:val="TextoindependienteprimerasangraCar"/>
    <w:rsid w:val="001A4860"/>
    <w:pPr>
      <w:suppressAutoHyphens w:val="0"/>
      <w:spacing w:after="120"/>
      <w:ind w:right="0" w:firstLine="210"/>
    </w:pPr>
    <w:rPr>
      <w:spacing w:val="0"/>
      <w:szCs w:val="24"/>
      <w:lang w:val="es-NI" w:eastAsia="es-ES"/>
    </w:rPr>
  </w:style>
  <w:style w:type="character" w:customStyle="1" w:styleId="TextoindependienteprimerasangraCar">
    <w:name w:val="Texto independiente primera sangría Car"/>
    <w:basedOn w:val="TextoindependienteCar"/>
    <w:link w:val="Textoindependienteprimerasangra"/>
    <w:rsid w:val="001A4860"/>
    <w:rPr>
      <w:rFonts w:ascii="Times New Roman" w:eastAsia="Times New Roman" w:hAnsi="Times New Roman" w:cs="Times New Roman"/>
      <w:spacing w:val="-4"/>
      <w:szCs w:val="20"/>
      <w:lang w:val="es-NI" w:eastAsia="es-ES"/>
    </w:rPr>
  </w:style>
  <w:style w:type="paragraph" w:styleId="Textoindependienteprimerasangra2">
    <w:name w:val="Body Text First Indent 2"/>
    <w:basedOn w:val="Sangradetextonormal"/>
    <w:link w:val="Textoindependienteprimerasangra2Car"/>
    <w:rsid w:val="001A4860"/>
    <w:pPr>
      <w:tabs>
        <w:tab w:val="clear" w:pos="1080"/>
      </w:tabs>
      <w:spacing w:after="120"/>
      <w:ind w:left="360" w:firstLine="210"/>
    </w:pPr>
    <w:rPr>
      <w:rFonts w:ascii="Arial" w:hAnsi="Arial"/>
      <w:szCs w:val="24"/>
      <w:lang w:val="es-NI" w:eastAsia="es-ES"/>
    </w:rPr>
  </w:style>
  <w:style w:type="character" w:customStyle="1" w:styleId="Textoindependienteprimerasangra2Car">
    <w:name w:val="Texto independiente primera sangría 2 Car"/>
    <w:basedOn w:val="SangradetextonormalCar"/>
    <w:link w:val="Textoindependienteprimerasangra2"/>
    <w:rsid w:val="001A4860"/>
    <w:rPr>
      <w:rFonts w:ascii="Arial" w:eastAsia="Times New Roman" w:hAnsi="Arial" w:cs="Times New Roman"/>
      <w:szCs w:val="20"/>
      <w:lang w:val="es-NI" w:eastAsia="es-ES"/>
    </w:rPr>
  </w:style>
  <w:style w:type="character" w:customStyle="1" w:styleId="SangradetextonormalCar1">
    <w:name w:val="Sangría de texto normal Car1"/>
    <w:rsid w:val="001A4860"/>
    <w:rPr>
      <w:rFonts w:ascii="Arial" w:hAnsi="Arial"/>
      <w:sz w:val="24"/>
      <w:szCs w:val="24"/>
      <w:lang w:val="es-ES" w:eastAsia="es-ES"/>
    </w:rPr>
  </w:style>
  <w:style w:type="paragraph" w:customStyle="1" w:styleId="Figuras">
    <w:name w:val="Figuras"/>
    <w:basedOn w:val="Normal"/>
    <w:next w:val="Normal"/>
    <w:autoRedefine/>
    <w:qFormat/>
    <w:rsid w:val="001A4860"/>
    <w:pPr>
      <w:numPr>
        <w:numId w:val="154"/>
      </w:numPr>
      <w:tabs>
        <w:tab w:val="center" w:pos="28"/>
      </w:tabs>
      <w:ind w:left="0" w:firstLine="0"/>
      <w:jc w:val="center"/>
    </w:pPr>
    <w:rPr>
      <w:rFonts w:ascii="Arial" w:hAnsi="Arial"/>
      <w:b/>
      <w:sz w:val="22"/>
      <w:szCs w:val="22"/>
      <w:u w:val="single"/>
      <w:lang w:val="es-MX"/>
    </w:rPr>
  </w:style>
  <w:style w:type="paragraph" w:customStyle="1" w:styleId="Estilo1">
    <w:name w:val="Estilo1"/>
    <w:basedOn w:val="Ttulo2"/>
    <w:link w:val="Estilo1Car"/>
    <w:qFormat/>
    <w:rsid w:val="001A4860"/>
    <w:pPr>
      <w:suppressAutoHyphens w:val="0"/>
      <w:autoSpaceDE w:val="0"/>
      <w:autoSpaceDN w:val="0"/>
      <w:adjustRightInd w:val="0"/>
      <w:ind w:left="0" w:firstLine="0"/>
      <w:jc w:val="both"/>
    </w:pPr>
    <w:rPr>
      <w:rFonts w:eastAsia="Arial Narrow" w:cs="Arial"/>
      <w:b w:val="0"/>
      <w:sz w:val="24"/>
      <w:szCs w:val="24"/>
      <w:lang w:val="es-MX" w:eastAsia="es-ES_tradnl"/>
    </w:rPr>
  </w:style>
  <w:style w:type="paragraph" w:customStyle="1" w:styleId="Estilo2">
    <w:name w:val="Estilo2"/>
    <w:basedOn w:val="Ttulo2"/>
    <w:autoRedefine/>
    <w:rsid w:val="001A4860"/>
    <w:pPr>
      <w:suppressAutoHyphens w:val="0"/>
      <w:autoSpaceDE w:val="0"/>
      <w:autoSpaceDN w:val="0"/>
      <w:adjustRightInd w:val="0"/>
      <w:ind w:left="0" w:firstLine="0"/>
      <w:jc w:val="both"/>
    </w:pPr>
    <w:rPr>
      <w:rFonts w:eastAsia="Arial Narrow" w:cs="Arial"/>
      <w:bCs/>
      <w:sz w:val="24"/>
      <w:szCs w:val="24"/>
      <w:lang w:val="es-MX" w:eastAsia="es-ES_tradnl"/>
    </w:rPr>
  </w:style>
  <w:style w:type="paragraph" w:customStyle="1" w:styleId="Estilo3">
    <w:name w:val="Estilo3"/>
    <w:basedOn w:val="Ttulo2"/>
    <w:autoRedefine/>
    <w:uiPriority w:val="99"/>
    <w:rsid w:val="001A4860"/>
    <w:pPr>
      <w:tabs>
        <w:tab w:val="num" w:pos="1080"/>
      </w:tabs>
      <w:suppressAutoHyphens w:val="0"/>
      <w:autoSpaceDE w:val="0"/>
      <w:autoSpaceDN w:val="0"/>
      <w:adjustRightInd w:val="0"/>
      <w:ind w:left="792" w:hanging="432"/>
      <w:jc w:val="both"/>
    </w:pPr>
    <w:rPr>
      <w:rFonts w:eastAsia="Arial Narrow" w:cs="Arial"/>
      <w:bCs/>
      <w:sz w:val="24"/>
      <w:szCs w:val="24"/>
      <w:lang w:val="es-MX" w:eastAsia="es-ES_tradnl"/>
    </w:rPr>
  </w:style>
  <w:style w:type="paragraph" w:customStyle="1" w:styleId="xl25">
    <w:name w:val="xl25"/>
    <w:basedOn w:val="Normal"/>
    <w:rsid w:val="001A4860"/>
    <w:pPr>
      <w:pBdr>
        <w:top w:val="single" w:sz="8" w:space="0" w:color="auto"/>
        <w:lef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26">
    <w:name w:val="xl26"/>
    <w:basedOn w:val="Normal"/>
    <w:uiPriority w:val="99"/>
    <w:rsid w:val="001A4860"/>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27">
    <w:name w:val="xl27"/>
    <w:basedOn w:val="Normal"/>
    <w:uiPriority w:val="99"/>
    <w:rsid w:val="001A4860"/>
    <w:pPr>
      <w:pBdr>
        <w:top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28">
    <w:name w:val="xl28"/>
    <w:basedOn w:val="Normal"/>
    <w:uiPriority w:val="99"/>
    <w:rsid w:val="001A4860"/>
    <w:pPr>
      <w:pBdr>
        <w:top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29">
    <w:name w:val="xl29"/>
    <w:basedOn w:val="Normal"/>
    <w:uiPriority w:val="99"/>
    <w:rsid w:val="001A4860"/>
    <w:pPr>
      <w:pBdr>
        <w:lef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0">
    <w:name w:val="xl30"/>
    <w:basedOn w:val="Normal"/>
    <w:uiPriority w:val="99"/>
    <w:rsid w:val="001A4860"/>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1">
    <w:name w:val="xl31"/>
    <w:basedOn w:val="Normal"/>
    <w:uiPriority w:val="99"/>
    <w:rsid w:val="001A4860"/>
    <w:pP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2">
    <w:name w:val="xl32"/>
    <w:basedOn w:val="Normal"/>
    <w:uiPriority w:val="99"/>
    <w:rsid w:val="001A4860"/>
    <w:pPr>
      <w:pBdr>
        <w:righ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3">
    <w:name w:val="xl33"/>
    <w:basedOn w:val="Normal"/>
    <w:uiPriority w:val="99"/>
    <w:rsid w:val="001A4860"/>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4">
    <w:name w:val="xl34"/>
    <w:basedOn w:val="Normal"/>
    <w:uiPriority w:val="99"/>
    <w:rsid w:val="001A4860"/>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5">
    <w:name w:val="xl35"/>
    <w:basedOn w:val="Normal"/>
    <w:rsid w:val="001A4860"/>
    <w:pPr>
      <w:pBdr>
        <w:bottom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6">
    <w:name w:val="xl36"/>
    <w:basedOn w:val="Normal"/>
    <w:uiPriority w:val="99"/>
    <w:rsid w:val="001A4860"/>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b/>
      <w:bCs/>
      <w:sz w:val="20"/>
      <w:lang w:val="es-ES" w:eastAsia="es-ES"/>
    </w:rPr>
  </w:style>
  <w:style w:type="paragraph" w:customStyle="1" w:styleId="xl37">
    <w:name w:val="xl37"/>
    <w:basedOn w:val="Normal"/>
    <w:uiPriority w:val="99"/>
    <w:rsid w:val="001A4860"/>
    <w:pPr>
      <w:pBdr>
        <w:top w:val="single" w:sz="8" w:space="0" w:color="auto"/>
        <w:left w:val="single" w:sz="8" w:space="0" w:color="auto"/>
        <w:bottom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38">
    <w:name w:val="xl38"/>
    <w:basedOn w:val="Normal"/>
    <w:uiPriority w:val="99"/>
    <w:rsid w:val="001A486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39">
    <w:name w:val="xl39"/>
    <w:basedOn w:val="Normal"/>
    <w:uiPriority w:val="99"/>
    <w:rsid w:val="001A486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0">
    <w:name w:val="xl40"/>
    <w:basedOn w:val="Normal"/>
    <w:uiPriority w:val="99"/>
    <w:rsid w:val="001A486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1">
    <w:name w:val="xl41"/>
    <w:basedOn w:val="Normal"/>
    <w:uiPriority w:val="99"/>
    <w:rsid w:val="001A4860"/>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2">
    <w:name w:val="xl42"/>
    <w:basedOn w:val="Normal"/>
    <w:uiPriority w:val="99"/>
    <w:rsid w:val="001A486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3">
    <w:name w:val="xl43"/>
    <w:basedOn w:val="Normal"/>
    <w:uiPriority w:val="99"/>
    <w:rsid w:val="001A4860"/>
    <w:pPr>
      <w:pBdr>
        <w:lef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4">
    <w:name w:val="xl44"/>
    <w:basedOn w:val="Normal"/>
    <w:uiPriority w:val="99"/>
    <w:rsid w:val="001A4860"/>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5">
    <w:name w:val="xl45"/>
    <w:basedOn w:val="Normal"/>
    <w:uiPriority w:val="99"/>
    <w:rsid w:val="001A4860"/>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6">
    <w:name w:val="xl46"/>
    <w:basedOn w:val="Normal"/>
    <w:uiPriority w:val="99"/>
    <w:rsid w:val="001A4860"/>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7">
    <w:name w:val="xl47"/>
    <w:basedOn w:val="Normal"/>
    <w:uiPriority w:val="99"/>
    <w:rsid w:val="001A4860"/>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8">
    <w:name w:val="xl48"/>
    <w:basedOn w:val="Normal"/>
    <w:uiPriority w:val="99"/>
    <w:rsid w:val="001A486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49">
    <w:name w:val="xl49"/>
    <w:basedOn w:val="Normal"/>
    <w:uiPriority w:val="99"/>
    <w:rsid w:val="001A4860"/>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0">
    <w:name w:val="xl50"/>
    <w:basedOn w:val="Normal"/>
    <w:uiPriority w:val="99"/>
    <w:rsid w:val="001A4860"/>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1">
    <w:name w:val="xl51"/>
    <w:basedOn w:val="Normal"/>
    <w:uiPriority w:val="99"/>
    <w:rsid w:val="001A4860"/>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2">
    <w:name w:val="xl52"/>
    <w:basedOn w:val="Normal"/>
    <w:uiPriority w:val="99"/>
    <w:rsid w:val="001A4860"/>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3">
    <w:name w:val="xl53"/>
    <w:basedOn w:val="Normal"/>
    <w:uiPriority w:val="99"/>
    <w:rsid w:val="001A486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4">
    <w:name w:val="xl54"/>
    <w:basedOn w:val="Normal"/>
    <w:uiPriority w:val="99"/>
    <w:rsid w:val="001A4860"/>
    <w:pPr>
      <w:pBdr>
        <w:lef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5">
    <w:name w:val="xl55"/>
    <w:basedOn w:val="Normal"/>
    <w:uiPriority w:val="99"/>
    <w:rsid w:val="001A4860"/>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6">
    <w:name w:val="xl56"/>
    <w:basedOn w:val="Normal"/>
    <w:uiPriority w:val="99"/>
    <w:rsid w:val="001A4860"/>
    <w:pPr>
      <w:pBdr>
        <w:top w:val="single" w:sz="8" w:space="0" w:color="auto"/>
        <w:left w:val="single" w:sz="8" w:space="0" w:color="auto"/>
        <w:bottom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paragraph" w:customStyle="1" w:styleId="xl57">
    <w:name w:val="xl57"/>
    <w:basedOn w:val="Normal"/>
    <w:uiPriority w:val="99"/>
    <w:rsid w:val="001A4860"/>
    <w:pPr>
      <w:pBdr>
        <w:top w:val="single" w:sz="8" w:space="0" w:color="auto"/>
        <w:left w:val="single" w:sz="8" w:space="0" w:color="auto"/>
      </w:pBdr>
      <w:spacing w:before="100" w:beforeAutospacing="1" w:after="100" w:afterAutospacing="1"/>
      <w:jc w:val="center"/>
    </w:pPr>
    <w:rPr>
      <w:rFonts w:ascii="Bookman Old Style" w:eastAsia="Arial Unicode MS" w:hAnsi="Bookman Old Style" w:cs="Bookman Old Style"/>
      <w:sz w:val="20"/>
      <w:lang w:val="es-ES" w:eastAsia="es-ES"/>
    </w:rPr>
  </w:style>
  <w:style w:type="character" w:styleId="Refdenotaalfinal">
    <w:name w:val="endnote reference"/>
    <w:rsid w:val="001A4860"/>
    <w:rPr>
      <w:rFonts w:cs="Times New Roman"/>
      <w:vertAlign w:val="superscript"/>
    </w:rPr>
  </w:style>
  <w:style w:type="character" w:customStyle="1" w:styleId="Fuentedeencabezadopredeter">
    <w:name w:val="Fuente de encabezado predeter."/>
    <w:rsid w:val="001A4860"/>
    <w:rPr>
      <w:rFonts w:cs="Times New Roman"/>
    </w:rPr>
  </w:style>
  <w:style w:type="character" w:customStyle="1" w:styleId="apple-converted-space">
    <w:name w:val="apple-converted-space"/>
    <w:rsid w:val="001A4860"/>
    <w:rPr>
      <w:rFonts w:cs="Times New Roman"/>
    </w:rPr>
  </w:style>
  <w:style w:type="character" w:styleId="Referenciasutil">
    <w:name w:val="Subtle Reference"/>
    <w:uiPriority w:val="31"/>
    <w:qFormat/>
    <w:rsid w:val="001A4860"/>
    <w:rPr>
      <w:rFonts w:cs="Times New Roman"/>
      <w:smallCaps/>
    </w:rPr>
  </w:style>
  <w:style w:type="character" w:styleId="Referenciaintensa">
    <w:name w:val="Intense Reference"/>
    <w:uiPriority w:val="32"/>
    <w:qFormat/>
    <w:rsid w:val="001A4860"/>
    <w:rPr>
      <w:rFonts w:cs="Times New Roman"/>
      <w:b/>
      <w:bCs/>
      <w:smallCaps/>
      <w:color w:val="auto"/>
      <w:spacing w:val="5"/>
      <w:u w:val="single"/>
    </w:rPr>
  </w:style>
  <w:style w:type="character" w:styleId="Ttulodellibro">
    <w:name w:val="Book Title"/>
    <w:uiPriority w:val="33"/>
    <w:qFormat/>
    <w:rsid w:val="001A4860"/>
    <w:rPr>
      <w:rFonts w:cs="Times New Roman"/>
      <w:b/>
      <w:bCs/>
      <w:smallCaps/>
      <w:spacing w:val="5"/>
    </w:rPr>
  </w:style>
  <w:style w:type="paragraph" w:styleId="Sinespaciado">
    <w:name w:val="No Spacing"/>
    <w:link w:val="SinespaciadoCar"/>
    <w:qFormat/>
    <w:rsid w:val="001A4860"/>
    <w:rPr>
      <w:rFonts w:ascii="Calibri" w:eastAsia="Times New Roman" w:hAnsi="Calibri" w:cs="Calibri"/>
      <w:sz w:val="22"/>
      <w:szCs w:val="22"/>
      <w:lang w:val="es-ES"/>
    </w:rPr>
  </w:style>
  <w:style w:type="character" w:customStyle="1" w:styleId="SinespaciadoCar">
    <w:name w:val="Sin espaciado Car"/>
    <w:link w:val="Sinespaciado"/>
    <w:locked/>
    <w:rsid w:val="001A4860"/>
    <w:rPr>
      <w:rFonts w:ascii="Calibri" w:eastAsia="Times New Roman" w:hAnsi="Calibri" w:cs="Calibri"/>
      <w:sz w:val="22"/>
      <w:szCs w:val="22"/>
      <w:lang w:val="es-ES"/>
    </w:rPr>
  </w:style>
  <w:style w:type="paragraph" w:customStyle="1" w:styleId="Prrafodelista1">
    <w:name w:val="Párrafo de lista1"/>
    <w:basedOn w:val="Normal"/>
    <w:link w:val="ListParagraphChar1"/>
    <w:uiPriority w:val="99"/>
    <w:qFormat/>
    <w:rsid w:val="001A4860"/>
    <w:pPr>
      <w:ind w:left="720"/>
    </w:pPr>
    <w:rPr>
      <w:rFonts w:ascii="Arial" w:hAnsi="Arial"/>
      <w:szCs w:val="24"/>
      <w:lang w:val="es-NI" w:eastAsia="es-ES"/>
    </w:rPr>
  </w:style>
  <w:style w:type="character" w:customStyle="1" w:styleId="FontStyle21">
    <w:name w:val="Font Style21"/>
    <w:uiPriority w:val="99"/>
    <w:rsid w:val="001A4860"/>
    <w:rPr>
      <w:rFonts w:ascii="Courier New" w:hAnsi="Courier New"/>
      <w:sz w:val="22"/>
    </w:rPr>
  </w:style>
  <w:style w:type="character" w:customStyle="1" w:styleId="FontStyle12">
    <w:name w:val="Font Style12"/>
    <w:uiPriority w:val="99"/>
    <w:rsid w:val="001A4860"/>
    <w:rPr>
      <w:rFonts w:ascii="Courier New" w:hAnsi="Courier New"/>
      <w:b/>
      <w:sz w:val="22"/>
    </w:rPr>
  </w:style>
  <w:style w:type="character" w:customStyle="1" w:styleId="FontStyle11">
    <w:name w:val="Font Style11"/>
    <w:uiPriority w:val="99"/>
    <w:rsid w:val="001A4860"/>
    <w:rPr>
      <w:rFonts w:ascii="Courier New" w:hAnsi="Courier New"/>
      <w:sz w:val="22"/>
    </w:rPr>
  </w:style>
  <w:style w:type="numbering" w:customStyle="1" w:styleId="Estilo11">
    <w:name w:val="Estilo11"/>
    <w:uiPriority w:val="99"/>
    <w:rsid w:val="001A4860"/>
    <w:pPr>
      <w:numPr>
        <w:numId w:val="155"/>
      </w:numPr>
    </w:pPr>
  </w:style>
  <w:style w:type="table" w:customStyle="1" w:styleId="Listaclara-nfasis11">
    <w:name w:val="Lista clara - Énfasis 11"/>
    <w:basedOn w:val="Tablanormal"/>
    <w:uiPriority w:val="61"/>
    <w:rsid w:val="001A4860"/>
    <w:pPr>
      <w:jc w:val="center"/>
    </w:pPr>
    <w:rPr>
      <w:rFonts w:ascii="Calibri" w:eastAsia="Times New Roman" w:hAnsi="Calibri" w:cs="Times New Roman"/>
      <w:sz w:val="22"/>
      <w:szCs w:val="22"/>
      <w:lang w:val="es-419" w:eastAsia="es-419"/>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rrafo1">
    <w:name w:val="Párrafo 1"/>
    <w:basedOn w:val="Normal"/>
    <w:rsid w:val="001A4860"/>
    <w:pPr>
      <w:tabs>
        <w:tab w:val="left" w:pos="720"/>
      </w:tabs>
      <w:overflowPunct w:val="0"/>
      <w:autoSpaceDE w:val="0"/>
      <w:autoSpaceDN w:val="0"/>
      <w:adjustRightInd w:val="0"/>
      <w:ind w:left="360"/>
      <w:textAlignment w:val="baseline"/>
    </w:pPr>
    <w:rPr>
      <w:rFonts w:ascii="Arial" w:hAnsi="Arial"/>
      <w:lang w:eastAsia="es-ES"/>
    </w:rPr>
  </w:style>
  <w:style w:type="paragraph" w:customStyle="1" w:styleId="Prrafo2">
    <w:name w:val="Párrafo 2"/>
    <w:basedOn w:val="Normal"/>
    <w:rsid w:val="001A4860"/>
    <w:pPr>
      <w:overflowPunct w:val="0"/>
      <w:autoSpaceDE w:val="0"/>
      <w:autoSpaceDN w:val="0"/>
      <w:adjustRightInd w:val="0"/>
      <w:ind w:left="720"/>
      <w:textAlignment w:val="baseline"/>
    </w:pPr>
    <w:rPr>
      <w:rFonts w:ascii="Arial" w:hAnsi="Arial"/>
      <w:lang w:eastAsia="es-ES"/>
    </w:rPr>
  </w:style>
  <w:style w:type="paragraph" w:customStyle="1" w:styleId="Prrafo3">
    <w:name w:val="Párrafo 3"/>
    <w:basedOn w:val="Normal"/>
    <w:rsid w:val="001A4860"/>
    <w:p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080"/>
      <w:textAlignment w:val="baseline"/>
    </w:pPr>
    <w:rPr>
      <w:rFonts w:ascii="Arial" w:hAnsi="Arial"/>
      <w:lang w:eastAsia="es-ES"/>
    </w:rPr>
  </w:style>
  <w:style w:type="character" w:styleId="Textodelmarcadordeposicin">
    <w:name w:val="Placeholder Text"/>
    <w:uiPriority w:val="99"/>
    <w:semiHidden/>
    <w:rsid w:val="001A4860"/>
    <w:rPr>
      <w:color w:val="808080"/>
    </w:rPr>
  </w:style>
  <w:style w:type="paragraph" w:customStyle="1" w:styleId="xl65">
    <w:name w:val="xl65"/>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NI" w:eastAsia="es-NI"/>
    </w:rPr>
  </w:style>
  <w:style w:type="paragraph" w:customStyle="1" w:styleId="xl66">
    <w:name w:val="xl66"/>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NI" w:eastAsia="es-NI"/>
    </w:rPr>
  </w:style>
  <w:style w:type="table" w:styleId="Cuadrculamedia1-nfasis1">
    <w:name w:val="Medium Grid 1 Accent 1"/>
    <w:basedOn w:val="Tablanormal"/>
    <w:uiPriority w:val="67"/>
    <w:rsid w:val="001A4860"/>
    <w:rPr>
      <w:rFonts w:ascii="Calibri" w:eastAsia="Times New Roman" w:hAnsi="Calibri" w:cs="Times New Roman"/>
      <w:sz w:val="22"/>
      <w:szCs w:val="22"/>
      <w:lang w:val="es-419" w:eastAsia="es-419"/>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claro">
    <w:name w:val="Light Shading"/>
    <w:basedOn w:val="Tablanormal"/>
    <w:uiPriority w:val="60"/>
    <w:rsid w:val="001A4860"/>
    <w:pPr>
      <w:jc w:val="center"/>
    </w:pPr>
    <w:rPr>
      <w:rFonts w:ascii="Calibri" w:eastAsia="Times New Roman" w:hAnsi="Calibri" w:cs="Times New Roman"/>
      <w:color w:val="000000"/>
      <w:sz w:val="22"/>
      <w:szCs w:val="22"/>
      <w:lang w:val="es-419" w:eastAsia="es-419"/>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next w:val="Tablaconcuadrcula"/>
    <w:uiPriority w:val="59"/>
    <w:rsid w:val="001A4860"/>
    <w:rPr>
      <w:rFonts w:ascii="Tahoma" w:eastAsia="Calibri" w:hAnsi="Tahoma" w:cs="Tahoma"/>
      <w:sz w:val="22"/>
      <w:szCs w:val="22"/>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1A4860"/>
    <w:pPr>
      <w:spacing w:before="100" w:beforeAutospacing="1" w:after="100" w:afterAutospacing="1"/>
      <w:jc w:val="left"/>
    </w:pPr>
    <w:rPr>
      <w:rFonts w:ascii="Tahoma" w:hAnsi="Tahoma" w:cs="Tahoma"/>
      <w:sz w:val="18"/>
      <w:szCs w:val="18"/>
      <w:lang w:val="es-US" w:eastAsia="es-US"/>
    </w:rPr>
  </w:style>
  <w:style w:type="paragraph" w:customStyle="1" w:styleId="font6">
    <w:name w:val="font6"/>
    <w:basedOn w:val="Normal"/>
    <w:rsid w:val="001A4860"/>
    <w:pPr>
      <w:spacing w:before="100" w:beforeAutospacing="1" w:after="100" w:afterAutospacing="1"/>
      <w:jc w:val="left"/>
    </w:pPr>
    <w:rPr>
      <w:rFonts w:ascii="Tahoma" w:hAnsi="Tahoma" w:cs="Tahoma"/>
      <w:sz w:val="18"/>
      <w:szCs w:val="18"/>
      <w:lang w:val="es-US" w:eastAsia="es-US"/>
    </w:rPr>
  </w:style>
  <w:style w:type="paragraph" w:customStyle="1" w:styleId="xl67">
    <w:name w:val="xl67"/>
    <w:basedOn w:val="Normal"/>
    <w:rsid w:val="001A4860"/>
    <w:pPr>
      <w:spacing w:before="100" w:beforeAutospacing="1" w:after="100" w:afterAutospacing="1"/>
      <w:jc w:val="left"/>
    </w:pPr>
    <w:rPr>
      <w:rFonts w:ascii="Tahoma" w:hAnsi="Tahoma" w:cs="Tahoma"/>
      <w:sz w:val="18"/>
      <w:szCs w:val="18"/>
      <w:lang w:val="es-US" w:eastAsia="es-US"/>
    </w:rPr>
  </w:style>
  <w:style w:type="paragraph" w:customStyle="1" w:styleId="xl68">
    <w:name w:val="xl68"/>
    <w:basedOn w:val="Normal"/>
    <w:rsid w:val="001A4860"/>
    <w:pPr>
      <w:pBdr>
        <w:top w:val="single" w:sz="12"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69">
    <w:name w:val="xl69"/>
    <w:basedOn w:val="Normal"/>
    <w:rsid w:val="001A4860"/>
    <w:pPr>
      <w:pBdr>
        <w:top w:val="single" w:sz="12"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lang w:val="es-US" w:eastAsia="es-US"/>
    </w:rPr>
  </w:style>
  <w:style w:type="paragraph" w:customStyle="1" w:styleId="xl70">
    <w:name w:val="xl70"/>
    <w:basedOn w:val="Normal"/>
    <w:rsid w:val="001A4860"/>
    <w:pPr>
      <w:pBdr>
        <w:top w:val="single" w:sz="12"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7"/>
      <w:szCs w:val="17"/>
      <w:u w:val="double"/>
      <w:lang w:val="es-US" w:eastAsia="es-US"/>
    </w:rPr>
  </w:style>
  <w:style w:type="paragraph" w:customStyle="1" w:styleId="xl71">
    <w:name w:val="xl71"/>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Tahoma" w:hAnsi="Tahoma" w:cs="Tahoma"/>
      <w:sz w:val="18"/>
      <w:szCs w:val="18"/>
      <w:lang w:val="es-US" w:eastAsia="es-US"/>
    </w:rPr>
  </w:style>
  <w:style w:type="paragraph" w:customStyle="1" w:styleId="xl72">
    <w:name w:val="xl72"/>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73">
    <w:name w:val="xl73"/>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lang w:val="es-US" w:eastAsia="es-US"/>
    </w:rPr>
  </w:style>
  <w:style w:type="paragraph" w:customStyle="1" w:styleId="xl74">
    <w:name w:val="xl74"/>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7"/>
      <w:szCs w:val="17"/>
      <w:u w:val="single"/>
      <w:lang w:val="es-US" w:eastAsia="es-US"/>
    </w:rPr>
  </w:style>
  <w:style w:type="paragraph" w:customStyle="1" w:styleId="xl75">
    <w:name w:val="xl75"/>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lang w:val="es-US" w:eastAsia="es-US"/>
    </w:rPr>
  </w:style>
  <w:style w:type="paragraph" w:customStyle="1" w:styleId="xl76">
    <w:name w:val="xl76"/>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u w:val="single"/>
      <w:lang w:val="es-US" w:eastAsia="es-US"/>
    </w:rPr>
  </w:style>
  <w:style w:type="paragraph" w:customStyle="1" w:styleId="xl77">
    <w:name w:val="xl77"/>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pPr>
    <w:rPr>
      <w:rFonts w:ascii="Tahoma" w:hAnsi="Tahoma" w:cs="Tahoma"/>
      <w:sz w:val="18"/>
      <w:szCs w:val="18"/>
      <w:lang w:val="es-US" w:eastAsia="es-US"/>
    </w:rPr>
  </w:style>
  <w:style w:type="paragraph" w:customStyle="1" w:styleId="xl78">
    <w:name w:val="xl78"/>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pPr>
    <w:rPr>
      <w:rFonts w:ascii="Tahoma" w:hAnsi="Tahoma" w:cs="Tahoma"/>
      <w:sz w:val="18"/>
      <w:szCs w:val="18"/>
      <w:lang w:val="es-US" w:eastAsia="es-US"/>
    </w:rPr>
  </w:style>
  <w:style w:type="paragraph" w:customStyle="1" w:styleId="xl79">
    <w:name w:val="xl79"/>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7"/>
      <w:szCs w:val="17"/>
      <w:u w:val="double"/>
      <w:lang w:val="es-US" w:eastAsia="es-US"/>
    </w:rPr>
  </w:style>
  <w:style w:type="paragraph" w:customStyle="1" w:styleId="xl80">
    <w:name w:val="xl80"/>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u w:val="double"/>
      <w:lang w:val="es-US" w:eastAsia="es-US"/>
    </w:rPr>
  </w:style>
  <w:style w:type="paragraph" w:customStyle="1" w:styleId="xl81">
    <w:name w:val="xl81"/>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8"/>
      <w:szCs w:val="18"/>
      <w:u w:val="single"/>
      <w:lang w:val="es-US" w:eastAsia="es-US"/>
    </w:rPr>
  </w:style>
  <w:style w:type="paragraph" w:customStyle="1" w:styleId="xl82">
    <w:name w:val="xl82"/>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lang w:val="es-US" w:eastAsia="es-US"/>
    </w:rPr>
  </w:style>
  <w:style w:type="paragraph" w:customStyle="1" w:styleId="xl83">
    <w:name w:val="xl83"/>
    <w:basedOn w:val="Normal"/>
    <w:rsid w:val="001A4860"/>
    <w:pPr>
      <w:pBdr>
        <w:top w:val="single" w:sz="4" w:space="0" w:color="auto"/>
        <w:left w:val="single" w:sz="12" w:space="0" w:color="auto"/>
        <w:bottom w:val="single" w:sz="12" w:space="0" w:color="auto"/>
        <w:right w:val="single" w:sz="12" w:space="0" w:color="auto"/>
      </w:pBdr>
      <w:spacing w:before="100" w:beforeAutospacing="1" w:after="100" w:afterAutospacing="1"/>
      <w:jc w:val="left"/>
    </w:pPr>
    <w:rPr>
      <w:rFonts w:ascii="Tahoma" w:hAnsi="Tahoma" w:cs="Tahoma"/>
      <w:sz w:val="18"/>
      <w:szCs w:val="18"/>
      <w:lang w:val="es-US" w:eastAsia="es-US"/>
    </w:rPr>
  </w:style>
  <w:style w:type="paragraph" w:customStyle="1" w:styleId="xl84">
    <w:name w:val="xl84"/>
    <w:basedOn w:val="Normal"/>
    <w:rsid w:val="001A4860"/>
    <w:pPr>
      <w:pBdr>
        <w:top w:val="single" w:sz="4" w:space="0" w:color="auto"/>
        <w:left w:val="single" w:sz="12" w:space="0" w:color="auto"/>
        <w:bottom w:val="single" w:sz="12" w:space="0" w:color="auto"/>
        <w:right w:val="single" w:sz="12" w:space="0" w:color="auto"/>
      </w:pBdr>
      <w:spacing w:before="100" w:beforeAutospacing="1" w:after="100" w:afterAutospacing="1"/>
      <w:jc w:val="right"/>
      <w:textAlignment w:val="center"/>
    </w:pPr>
    <w:rPr>
      <w:rFonts w:ascii="Tahoma" w:hAnsi="Tahoma" w:cs="Tahoma"/>
      <w:sz w:val="18"/>
      <w:szCs w:val="18"/>
      <w:lang w:val="es-US" w:eastAsia="es-US"/>
    </w:rPr>
  </w:style>
  <w:style w:type="paragraph" w:customStyle="1" w:styleId="xl85">
    <w:name w:val="xl85"/>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8"/>
      <w:szCs w:val="18"/>
      <w:lang w:val="es-US" w:eastAsia="es-US"/>
    </w:rPr>
  </w:style>
  <w:style w:type="paragraph" w:customStyle="1" w:styleId="xl86">
    <w:name w:val="xl86"/>
    <w:basedOn w:val="Normal"/>
    <w:rsid w:val="001A4860"/>
    <w:pPr>
      <w:pBdr>
        <w:top w:val="single" w:sz="12"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7"/>
      <w:szCs w:val="17"/>
      <w:u w:val="double"/>
      <w:lang w:val="es-US" w:eastAsia="es-US"/>
    </w:rPr>
  </w:style>
  <w:style w:type="paragraph" w:customStyle="1" w:styleId="xl87">
    <w:name w:val="xl87"/>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7"/>
      <w:szCs w:val="17"/>
      <w:u w:val="single"/>
      <w:lang w:val="es-US" w:eastAsia="es-US"/>
    </w:rPr>
  </w:style>
  <w:style w:type="paragraph" w:customStyle="1" w:styleId="xl88">
    <w:name w:val="xl88"/>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u w:val="single"/>
      <w:lang w:val="es-US" w:eastAsia="es-US"/>
    </w:rPr>
  </w:style>
  <w:style w:type="paragraph" w:customStyle="1" w:styleId="xl89">
    <w:name w:val="xl89"/>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6"/>
      <w:szCs w:val="16"/>
      <w:lang w:val="es-US" w:eastAsia="es-US"/>
    </w:rPr>
  </w:style>
  <w:style w:type="paragraph" w:customStyle="1" w:styleId="xl90">
    <w:name w:val="xl90"/>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7"/>
      <w:szCs w:val="17"/>
      <w:u w:val="double"/>
      <w:lang w:val="es-US" w:eastAsia="es-US"/>
    </w:rPr>
  </w:style>
  <w:style w:type="paragraph" w:customStyle="1" w:styleId="xl91">
    <w:name w:val="xl91"/>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sz w:val="18"/>
      <w:szCs w:val="18"/>
      <w:u w:val="double"/>
      <w:lang w:val="es-US" w:eastAsia="es-US"/>
    </w:rPr>
  </w:style>
  <w:style w:type="paragraph" w:customStyle="1" w:styleId="xl92">
    <w:name w:val="xl92"/>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8"/>
      <w:szCs w:val="18"/>
      <w:u w:val="single"/>
      <w:lang w:val="es-US" w:eastAsia="es-US"/>
    </w:rPr>
  </w:style>
  <w:style w:type="paragraph" w:customStyle="1" w:styleId="xl93">
    <w:name w:val="xl93"/>
    <w:basedOn w:val="Normal"/>
    <w:rsid w:val="001A4860"/>
    <w:pPr>
      <w:pBdr>
        <w:top w:val="single" w:sz="4" w:space="0" w:color="auto"/>
        <w:left w:val="single" w:sz="12" w:space="0" w:color="auto"/>
        <w:bottom w:val="single" w:sz="12" w:space="0" w:color="auto"/>
        <w:right w:val="single" w:sz="12" w:space="0" w:color="auto"/>
      </w:pBdr>
      <w:spacing w:before="100" w:beforeAutospacing="1" w:after="100" w:afterAutospacing="1"/>
      <w:jc w:val="right"/>
      <w:textAlignment w:val="center"/>
    </w:pPr>
    <w:rPr>
      <w:rFonts w:ascii="Tahoma" w:hAnsi="Tahoma" w:cs="Tahoma"/>
      <w:sz w:val="18"/>
      <w:szCs w:val="18"/>
      <w:lang w:val="es-US" w:eastAsia="es-US"/>
    </w:rPr>
  </w:style>
  <w:style w:type="paragraph" w:customStyle="1" w:styleId="xl94">
    <w:name w:val="xl94"/>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Tahoma" w:hAnsi="Tahoma" w:cs="Tahoma"/>
      <w:sz w:val="18"/>
      <w:szCs w:val="18"/>
      <w:lang w:val="es-US" w:eastAsia="es-US"/>
    </w:rPr>
  </w:style>
  <w:style w:type="paragraph" w:customStyle="1" w:styleId="xl95">
    <w:name w:val="xl95"/>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6"/>
      <w:szCs w:val="16"/>
      <w:lang w:val="es-US" w:eastAsia="es-US"/>
    </w:rPr>
  </w:style>
  <w:style w:type="paragraph" w:customStyle="1" w:styleId="xl96">
    <w:name w:val="xl96"/>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right"/>
      <w:textAlignment w:val="center"/>
    </w:pPr>
    <w:rPr>
      <w:rFonts w:ascii="Tahoma" w:hAnsi="Tahoma" w:cs="Tahoma"/>
      <w:b/>
      <w:bCs/>
      <w:sz w:val="18"/>
      <w:szCs w:val="18"/>
      <w:lang w:val="es-US" w:eastAsia="es-US"/>
    </w:rPr>
  </w:style>
  <w:style w:type="paragraph" w:customStyle="1" w:styleId="xl97">
    <w:name w:val="xl97"/>
    <w:basedOn w:val="Normal"/>
    <w:rsid w:val="001A4860"/>
    <w:pPr>
      <w:pBdr>
        <w:top w:val="single" w:sz="12" w:space="0" w:color="auto"/>
        <w:left w:val="single" w:sz="12" w:space="0" w:color="auto"/>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98">
    <w:name w:val="xl98"/>
    <w:basedOn w:val="Normal"/>
    <w:rsid w:val="001A4860"/>
    <w:pPr>
      <w:pBdr>
        <w:top w:val="single" w:sz="12" w:space="0" w:color="auto"/>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99">
    <w:name w:val="xl99"/>
    <w:basedOn w:val="Normal"/>
    <w:rsid w:val="001A4860"/>
    <w:pPr>
      <w:pBdr>
        <w:top w:val="single" w:sz="12" w:space="0" w:color="auto"/>
        <w:bottom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0">
    <w:name w:val="xl100"/>
    <w:basedOn w:val="Normal"/>
    <w:rsid w:val="001A4860"/>
    <w:pPr>
      <w:pBdr>
        <w:top w:val="single" w:sz="12" w:space="0" w:color="auto"/>
        <w:lef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1">
    <w:name w:val="xl101"/>
    <w:basedOn w:val="Normal"/>
    <w:rsid w:val="001A4860"/>
    <w:pPr>
      <w:pBdr>
        <w:top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2">
    <w:name w:val="xl102"/>
    <w:basedOn w:val="Normal"/>
    <w:rsid w:val="001A4860"/>
    <w:pPr>
      <w:pBdr>
        <w:top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3">
    <w:name w:val="xl103"/>
    <w:basedOn w:val="Normal"/>
    <w:rsid w:val="001A4860"/>
    <w:pPr>
      <w:pBdr>
        <w:lef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4">
    <w:name w:val="xl104"/>
    <w:basedOn w:val="Normal"/>
    <w:rsid w:val="001A4860"/>
    <w:pP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5">
    <w:name w:val="xl105"/>
    <w:basedOn w:val="Normal"/>
    <w:rsid w:val="001A4860"/>
    <w:pPr>
      <w:pBdr>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6">
    <w:name w:val="xl106"/>
    <w:basedOn w:val="Normal"/>
    <w:rsid w:val="001A4860"/>
    <w:pPr>
      <w:pBdr>
        <w:left w:val="single" w:sz="12" w:space="0" w:color="auto"/>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7">
    <w:name w:val="xl107"/>
    <w:basedOn w:val="Normal"/>
    <w:rsid w:val="001A4860"/>
    <w:pPr>
      <w:pBdr>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8">
    <w:name w:val="xl108"/>
    <w:basedOn w:val="Normal"/>
    <w:rsid w:val="001A4860"/>
    <w:pPr>
      <w:pBdr>
        <w:bottom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09">
    <w:name w:val="xl109"/>
    <w:basedOn w:val="Normal"/>
    <w:rsid w:val="001A4860"/>
    <w:pPr>
      <w:pBdr>
        <w:top w:val="single" w:sz="12" w:space="0" w:color="auto"/>
        <w:lef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0">
    <w:name w:val="xl110"/>
    <w:basedOn w:val="Normal"/>
    <w:rsid w:val="001A4860"/>
    <w:pPr>
      <w:pBdr>
        <w:top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1">
    <w:name w:val="xl111"/>
    <w:basedOn w:val="Normal"/>
    <w:rsid w:val="001A4860"/>
    <w:pPr>
      <w:pBdr>
        <w:top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2">
    <w:name w:val="xl112"/>
    <w:basedOn w:val="Normal"/>
    <w:rsid w:val="001A4860"/>
    <w:pPr>
      <w:pBdr>
        <w:lef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3">
    <w:name w:val="xl113"/>
    <w:basedOn w:val="Normal"/>
    <w:rsid w:val="001A4860"/>
    <w:pP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4">
    <w:name w:val="xl114"/>
    <w:basedOn w:val="Normal"/>
    <w:rsid w:val="001A4860"/>
    <w:pPr>
      <w:pBdr>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5">
    <w:name w:val="xl115"/>
    <w:basedOn w:val="Normal"/>
    <w:rsid w:val="001A4860"/>
    <w:pPr>
      <w:pBdr>
        <w:left w:val="single" w:sz="12" w:space="0" w:color="auto"/>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6">
    <w:name w:val="xl116"/>
    <w:basedOn w:val="Normal"/>
    <w:rsid w:val="001A4860"/>
    <w:pPr>
      <w:pBdr>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7">
    <w:name w:val="xl117"/>
    <w:basedOn w:val="Normal"/>
    <w:rsid w:val="001A4860"/>
    <w:pPr>
      <w:pBdr>
        <w:bottom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8">
    <w:name w:val="xl118"/>
    <w:basedOn w:val="Normal"/>
    <w:rsid w:val="001A4860"/>
    <w:pPr>
      <w:pBdr>
        <w:top w:val="single" w:sz="12" w:space="0" w:color="auto"/>
        <w:left w:val="single" w:sz="12" w:space="0" w:color="auto"/>
        <w:bottom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19">
    <w:name w:val="xl119"/>
    <w:basedOn w:val="Normal"/>
    <w:rsid w:val="001A4860"/>
    <w:pPr>
      <w:pBdr>
        <w:top w:val="single" w:sz="12" w:space="0" w:color="auto"/>
        <w:bottom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20">
    <w:name w:val="xl120"/>
    <w:basedOn w:val="Normal"/>
    <w:rsid w:val="001A4860"/>
    <w:pPr>
      <w:pBdr>
        <w:top w:val="single" w:sz="12" w:space="0" w:color="auto"/>
        <w:left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21">
    <w:name w:val="xl121"/>
    <w:basedOn w:val="Normal"/>
    <w:rsid w:val="001A4860"/>
    <w:pPr>
      <w:pBdr>
        <w:left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22">
    <w:name w:val="xl122"/>
    <w:basedOn w:val="Normal"/>
    <w:rsid w:val="001A4860"/>
    <w:pPr>
      <w:pBdr>
        <w:left w:val="single" w:sz="12" w:space="0" w:color="auto"/>
        <w:bottom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23">
    <w:name w:val="xl123"/>
    <w:basedOn w:val="Normal"/>
    <w:rsid w:val="001A4860"/>
    <w:pPr>
      <w:pBdr>
        <w:top w:val="single" w:sz="12" w:space="0" w:color="auto"/>
        <w:left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24">
    <w:name w:val="xl124"/>
    <w:basedOn w:val="Normal"/>
    <w:rsid w:val="001A4860"/>
    <w:pPr>
      <w:pBdr>
        <w:left w:val="single" w:sz="12" w:space="0" w:color="auto"/>
        <w:bottom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paragraph" w:customStyle="1" w:styleId="xl125">
    <w:name w:val="xl125"/>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u w:val="single"/>
      <w:lang w:val="es-US" w:eastAsia="es-US"/>
    </w:rPr>
  </w:style>
  <w:style w:type="paragraph" w:customStyle="1" w:styleId="xl126">
    <w:name w:val="xl126"/>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b/>
      <w:bCs/>
      <w:sz w:val="18"/>
      <w:szCs w:val="18"/>
      <w:u w:val="single"/>
      <w:lang w:val="es-US" w:eastAsia="es-US"/>
    </w:rPr>
  </w:style>
  <w:style w:type="paragraph" w:customStyle="1" w:styleId="xl127">
    <w:name w:val="xl127"/>
    <w:basedOn w:val="Normal"/>
    <w:rsid w:val="001A4860"/>
    <w:pPr>
      <w:pBdr>
        <w:top w:val="single" w:sz="12"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b/>
      <w:bCs/>
      <w:sz w:val="18"/>
      <w:szCs w:val="18"/>
      <w:u w:val="single"/>
      <w:lang w:val="es-US" w:eastAsia="es-US"/>
    </w:rPr>
  </w:style>
  <w:style w:type="paragraph" w:customStyle="1" w:styleId="xl128">
    <w:name w:val="xl128"/>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u w:val="double"/>
      <w:lang w:val="es-US" w:eastAsia="es-US"/>
    </w:rPr>
  </w:style>
  <w:style w:type="paragraph" w:customStyle="1" w:styleId="xl129">
    <w:name w:val="xl129"/>
    <w:basedOn w:val="Normal"/>
    <w:rsid w:val="001A4860"/>
    <w:pPr>
      <w:pBdr>
        <w:top w:val="single" w:sz="4" w:space="0" w:color="auto"/>
        <w:left w:val="single" w:sz="12" w:space="0" w:color="auto"/>
        <w:bottom w:val="single" w:sz="4" w:space="0" w:color="auto"/>
      </w:pBdr>
      <w:spacing w:before="100" w:beforeAutospacing="1" w:after="100" w:afterAutospacing="1"/>
      <w:jc w:val="left"/>
      <w:textAlignment w:val="center"/>
    </w:pPr>
    <w:rPr>
      <w:rFonts w:ascii="Tahoma" w:hAnsi="Tahoma" w:cs="Tahoma"/>
      <w:sz w:val="18"/>
      <w:szCs w:val="18"/>
      <w:u w:val="single"/>
      <w:lang w:val="es-US" w:eastAsia="es-US"/>
    </w:rPr>
  </w:style>
  <w:style w:type="paragraph" w:customStyle="1" w:styleId="xl130">
    <w:name w:val="xl130"/>
    <w:basedOn w:val="Normal"/>
    <w:rsid w:val="001A4860"/>
    <w:pPr>
      <w:pBdr>
        <w:top w:val="single" w:sz="4" w:space="0" w:color="auto"/>
        <w:bottom w:val="single" w:sz="4" w:space="0" w:color="auto"/>
      </w:pBdr>
      <w:spacing w:before="100" w:beforeAutospacing="1" w:after="100" w:afterAutospacing="1"/>
      <w:jc w:val="left"/>
      <w:textAlignment w:val="center"/>
    </w:pPr>
    <w:rPr>
      <w:rFonts w:ascii="Tahoma" w:hAnsi="Tahoma" w:cs="Tahoma"/>
      <w:sz w:val="18"/>
      <w:szCs w:val="18"/>
      <w:u w:val="single"/>
      <w:lang w:val="es-US" w:eastAsia="es-US"/>
    </w:rPr>
  </w:style>
  <w:style w:type="paragraph" w:customStyle="1" w:styleId="xl131">
    <w:name w:val="xl131"/>
    <w:basedOn w:val="Normal"/>
    <w:rsid w:val="001A4860"/>
    <w:pPr>
      <w:pBdr>
        <w:top w:val="single" w:sz="4"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u w:val="single"/>
      <w:lang w:val="es-US" w:eastAsia="es-US"/>
    </w:rPr>
  </w:style>
  <w:style w:type="paragraph" w:customStyle="1" w:styleId="xl132">
    <w:name w:val="xl132"/>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b/>
      <w:bCs/>
      <w:sz w:val="18"/>
      <w:szCs w:val="18"/>
      <w:u w:val="double"/>
      <w:lang w:val="es-US" w:eastAsia="es-US"/>
    </w:rPr>
  </w:style>
  <w:style w:type="paragraph" w:customStyle="1" w:styleId="xl133">
    <w:name w:val="xl133"/>
    <w:basedOn w:val="Normal"/>
    <w:rsid w:val="001A4860"/>
    <w:pPr>
      <w:pBdr>
        <w:top w:val="single" w:sz="4" w:space="0" w:color="auto"/>
        <w:left w:val="single" w:sz="12" w:space="0" w:color="auto"/>
        <w:bottom w:val="single" w:sz="4" w:space="0" w:color="auto"/>
      </w:pBdr>
      <w:spacing w:before="100" w:beforeAutospacing="1" w:after="100" w:afterAutospacing="1"/>
      <w:jc w:val="center"/>
      <w:textAlignment w:val="center"/>
    </w:pPr>
    <w:rPr>
      <w:rFonts w:ascii="Tahoma" w:hAnsi="Tahoma" w:cs="Tahoma"/>
      <w:sz w:val="18"/>
      <w:szCs w:val="18"/>
      <w:lang w:val="es-US" w:eastAsia="es-US"/>
    </w:rPr>
  </w:style>
  <w:style w:type="paragraph" w:customStyle="1" w:styleId="xl134">
    <w:name w:val="xl134"/>
    <w:basedOn w:val="Normal"/>
    <w:rsid w:val="001A4860"/>
    <w:pPr>
      <w:pBdr>
        <w:top w:val="single" w:sz="4" w:space="0" w:color="auto"/>
        <w:bottom w:val="single" w:sz="4" w:space="0" w:color="auto"/>
      </w:pBdr>
      <w:spacing w:before="100" w:beforeAutospacing="1" w:after="100" w:afterAutospacing="1"/>
      <w:jc w:val="center"/>
      <w:textAlignment w:val="center"/>
    </w:pPr>
    <w:rPr>
      <w:rFonts w:ascii="Tahoma" w:hAnsi="Tahoma" w:cs="Tahoma"/>
      <w:sz w:val="18"/>
      <w:szCs w:val="18"/>
      <w:lang w:val="es-US" w:eastAsia="es-US"/>
    </w:rPr>
  </w:style>
  <w:style w:type="paragraph" w:customStyle="1" w:styleId="xl135">
    <w:name w:val="xl135"/>
    <w:basedOn w:val="Normal"/>
    <w:rsid w:val="001A4860"/>
    <w:pPr>
      <w:pBdr>
        <w:top w:val="single" w:sz="4" w:space="0" w:color="auto"/>
        <w:bottom w:val="single" w:sz="4" w:space="0" w:color="auto"/>
        <w:right w:val="single" w:sz="12" w:space="0" w:color="auto"/>
      </w:pBdr>
      <w:spacing w:before="100" w:beforeAutospacing="1" w:after="100" w:afterAutospacing="1"/>
      <w:jc w:val="center"/>
      <w:textAlignment w:val="center"/>
    </w:pPr>
    <w:rPr>
      <w:rFonts w:ascii="Tahoma" w:hAnsi="Tahoma" w:cs="Tahoma"/>
      <w:sz w:val="18"/>
      <w:szCs w:val="18"/>
      <w:lang w:val="es-US" w:eastAsia="es-US"/>
    </w:rPr>
  </w:style>
  <w:style w:type="paragraph" w:customStyle="1" w:styleId="xl136">
    <w:name w:val="xl136"/>
    <w:basedOn w:val="Normal"/>
    <w:rsid w:val="001A4860"/>
    <w:pPr>
      <w:pBdr>
        <w:top w:val="single" w:sz="4" w:space="0" w:color="auto"/>
        <w:left w:val="single" w:sz="12" w:space="0" w:color="auto"/>
        <w:bottom w:val="single" w:sz="4"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137">
    <w:name w:val="xl137"/>
    <w:basedOn w:val="Normal"/>
    <w:rsid w:val="001A4860"/>
    <w:pPr>
      <w:pBdr>
        <w:top w:val="single" w:sz="4" w:space="0" w:color="auto"/>
        <w:bottom w:val="single" w:sz="4"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138">
    <w:name w:val="xl138"/>
    <w:basedOn w:val="Normal"/>
    <w:rsid w:val="001A4860"/>
    <w:pPr>
      <w:pBdr>
        <w:top w:val="single" w:sz="4"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139">
    <w:name w:val="xl139"/>
    <w:basedOn w:val="Normal"/>
    <w:rsid w:val="001A4860"/>
    <w:pPr>
      <w:pBdr>
        <w:top w:val="single" w:sz="4" w:space="0" w:color="auto"/>
        <w:left w:val="single" w:sz="12" w:space="0" w:color="auto"/>
        <w:bottom w:val="single" w:sz="4" w:space="0" w:color="auto"/>
      </w:pBdr>
      <w:spacing w:before="100" w:beforeAutospacing="1" w:after="100" w:afterAutospacing="1"/>
      <w:jc w:val="left"/>
      <w:textAlignment w:val="center"/>
    </w:pPr>
    <w:rPr>
      <w:rFonts w:ascii="Tahoma" w:hAnsi="Tahoma" w:cs="Tahoma"/>
      <w:sz w:val="18"/>
      <w:szCs w:val="18"/>
      <w:u w:val="double"/>
      <w:lang w:val="es-US" w:eastAsia="es-US"/>
    </w:rPr>
  </w:style>
  <w:style w:type="paragraph" w:customStyle="1" w:styleId="xl140">
    <w:name w:val="xl140"/>
    <w:basedOn w:val="Normal"/>
    <w:rsid w:val="001A4860"/>
    <w:pPr>
      <w:pBdr>
        <w:top w:val="single" w:sz="4" w:space="0" w:color="auto"/>
        <w:bottom w:val="single" w:sz="4" w:space="0" w:color="auto"/>
      </w:pBdr>
      <w:spacing w:before="100" w:beforeAutospacing="1" w:after="100" w:afterAutospacing="1"/>
      <w:jc w:val="left"/>
      <w:textAlignment w:val="center"/>
    </w:pPr>
    <w:rPr>
      <w:rFonts w:ascii="Tahoma" w:hAnsi="Tahoma" w:cs="Tahoma"/>
      <w:sz w:val="18"/>
      <w:szCs w:val="18"/>
      <w:u w:val="double"/>
      <w:lang w:val="es-US" w:eastAsia="es-US"/>
    </w:rPr>
  </w:style>
  <w:style w:type="paragraph" w:customStyle="1" w:styleId="xl141">
    <w:name w:val="xl141"/>
    <w:basedOn w:val="Normal"/>
    <w:rsid w:val="001A4860"/>
    <w:pPr>
      <w:pBdr>
        <w:top w:val="single" w:sz="4" w:space="0" w:color="auto"/>
        <w:bottom w:val="single" w:sz="4" w:space="0" w:color="auto"/>
        <w:right w:val="single" w:sz="12" w:space="0" w:color="auto"/>
      </w:pBdr>
      <w:spacing w:before="100" w:beforeAutospacing="1" w:after="100" w:afterAutospacing="1"/>
      <w:jc w:val="left"/>
      <w:textAlignment w:val="center"/>
    </w:pPr>
    <w:rPr>
      <w:rFonts w:ascii="Tahoma" w:hAnsi="Tahoma" w:cs="Tahoma"/>
      <w:sz w:val="18"/>
      <w:szCs w:val="18"/>
      <w:u w:val="double"/>
      <w:lang w:val="es-US" w:eastAsia="es-US"/>
    </w:rPr>
  </w:style>
  <w:style w:type="paragraph" w:customStyle="1" w:styleId="xl142">
    <w:name w:val="xl142"/>
    <w:basedOn w:val="Normal"/>
    <w:rsid w:val="001A4860"/>
    <w:pPr>
      <w:pBdr>
        <w:top w:val="single" w:sz="4" w:space="0" w:color="auto"/>
        <w:left w:val="single" w:sz="12" w:space="0" w:color="auto"/>
        <w:bottom w:val="single" w:sz="12"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143">
    <w:name w:val="xl143"/>
    <w:basedOn w:val="Normal"/>
    <w:rsid w:val="001A4860"/>
    <w:pPr>
      <w:pBdr>
        <w:top w:val="single" w:sz="4" w:space="0" w:color="auto"/>
        <w:bottom w:val="single" w:sz="12"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144">
    <w:name w:val="xl144"/>
    <w:basedOn w:val="Normal"/>
    <w:rsid w:val="001A4860"/>
    <w:pPr>
      <w:pBdr>
        <w:top w:val="single" w:sz="4" w:space="0" w:color="auto"/>
        <w:bottom w:val="single" w:sz="12" w:space="0" w:color="auto"/>
        <w:right w:val="single" w:sz="12" w:space="0" w:color="auto"/>
      </w:pBdr>
      <w:spacing w:before="100" w:beforeAutospacing="1" w:after="100" w:afterAutospacing="1"/>
      <w:jc w:val="left"/>
      <w:textAlignment w:val="center"/>
    </w:pPr>
    <w:rPr>
      <w:rFonts w:ascii="Tahoma" w:hAnsi="Tahoma" w:cs="Tahoma"/>
      <w:sz w:val="18"/>
      <w:szCs w:val="18"/>
      <w:lang w:val="es-US" w:eastAsia="es-US"/>
    </w:rPr>
  </w:style>
  <w:style w:type="paragraph" w:customStyle="1" w:styleId="xl145">
    <w:name w:val="xl145"/>
    <w:basedOn w:val="Normal"/>
    <w:rsid w:val="001A4860"/>
    <w:pPr>
      <w:pBdr>
        <w:top w:val="single" w:sz="12" w:space="0" w:color="auto"/>
        <w:left w:val="single" w:sz="12" w:space="0" w:color="auto"/>
      </w:pBdr>
      <w:shd w:val="clear" w:color="000000" w:fill="FABF8F"/>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46">
    <w:name w:val="xl146"/>
    <w:basedOn w:val="Normal"/>
    <w:rsid w:val="001A4860"/>
    <w:pPr>
      <w:pBdr>
        <w:top w:val="single" w:sz="12" w:space="0" w:color="auto"/>
      </w:pBdr>
      <w:shd w:val="clear" w:color="000000" w:fill="FABF8F"/>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47">
    <w:name w:val="xl147"/>
    <w:basedOn w:val="Normal"/>
    <w:rsid w:val="001A4860"/>
    <w:pPr>
      <w:pBdr>
        <w:top w:val="single" w:sz="12" w:space="0" w:color="auto"/>
        <w:right w:val="single" w:sz="12" w:space="0" w:color="auto"/>
      </w:pBdr>
      <w:shd w:val="clear" w:color="000000" w:fill="FABF8F"/>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48">
    <w:name w:val="xl148"/>
    <w:basedOn w:val="Normal"/>
    <w:rsid w:val="001A4860"/>
    <w:pPr>
      <w:pBdr>
        <w:left w:val="single" w:sz="12" w:space="0" w:color="auto"/>
        <w:bottom w:val="single" w:sz="12" w:space="0" w:color="auto"/>
      </w:pBdr>
      <w:shd w:val="clear" w:color="000000" w:fill="FABF8F"/>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49">
    <w:name w:val="xl149"/>
    <w:basedOn w:val="Normal"/>
    <w:rsid w:val="001A4860"/>
    <w:pPr>
      <w:pBdr>
        <w:bottom w:val="single" w:sz="12" w:space="0" w:color="auto"/>
      </w:pBdr>
      <w:shd w:val="clear" w:color="000000" w:fill="FABF8F"/>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50">
    <w:name w:val="xl150"/>
    <w:basedOn w:val="Normal"/>
    <w:rsid w:val="001A4860"/>
    <w:pPr>
      <w:pBdr>
        <w:bottom w:val="single" w:sz="12" w:space="0" w:color="auto"/>
        <w:right w:val="single" w:sz="12" w:space="0" w:color="auto"/>
      </w:pBdr>
      <w:shd w:val="clear" w:color="000000" w:fill="FABF8F"/>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51">
    <w:name w:val="xl151"/>
    <w:basedOn w:val="Normal"/>
    <w:rsid w:val="001A4860"/>
    <w:pPr>
      <w:pBdr>
        <w:top w:val="single" w:sz="12" w:space="0" w:color="auto"/>
        <w:left w:val="single" w:sz="12" w:space="0" w:color="auto"/>
        <w:right w:val="single" w:sz="12" w:space="0" w:color="auto"/>
      </w:pBdr>
      <w:shd w:val="clear" w:color="000000" w:fill="FABF8F"/>
      <w:spacing w:before="100" w:beforeAutospacing="1" w:after="100" w:afterAutospacing="1"/>
      <w:jc w:val="right"/>
      <w:textAlignment w:val="center"/>
    </w:pPr>
    <w:rPr>
      <w:rFonts w:ascii="Tahoma" w:hAnsi="Tahoma" w:cs="Tahoma"/>
      <w:b/>
      <w:bCs/>
      <w:sz w:val="17"/>
      <w:szCs w:val="17"/>
      <w:lang w:val="es-US" w:eastAsia="es-US"/>
    </w:rPr>
  </w:style>
  <w:style w:type="paragraph" w:customStyle="1" w:styleId="xl152">
    <w:name w:val="xl152"/>
    <w:basedOn w:val="Normal"/>
    <w:rsid w:val="001A4860"/>
    <w:pPr>
      <w:pBdr>
        <w:left w:val="single" w:sz="12" w:space="0" w:color="auto"/>
        <w:bottom w:val="single" w:sz="12" w:space="0" w:color="auto"/>
        <w:right w:val="single" w:sz="12" w:space="0" w:color="auto"/>
      </w:pBdr>
      <w:shd w:val="clear" w:color="000000" w:fill="FABF8F"/>
      <w:spacing w:before="100" w:beforeAutospacing="1" w:after="100" w:afterAutospacing="1"/>
      <w:jc w:val="right"/>
      <w:textAlignment w:val="center"/>
    </w:pPr>
    <w:rPr>
      <w:rFonts w:ascii="Tahoma" w:hAnsi="Tahoma" w:cs="Tahoma"/>
      <w:b/>
      <w:bCs/>
      <w:sz w:val="17"/>
      <w:szCs w:val="17"/>
      <w:lang w:val="es-US" w:eastAsia="es-US"/>
    </w:rPr>
  </w:style>
  <w:style w:type="paragraph" w:customStyle="1" w:styleId="xl153">
    <w:name w:val="xl153"/>
    <w:basedOn w:val="Normal"/>
    <w:rsid w:val="001A4860"/>
    <w:pPr>
      <w:pBdr>
        <w:top w:val="single" w:sz="12" w:space="0" w:color="auto"/>
        <w:left w:val="single" w:sz="12" w:space="0" w:color="auto"/>
        <w:right w:val="single" w:sz="12" w:space="0" w:color="auto"/>
      </w:pBdr>
      <w:shd w:val="clear" w:color="000000" w:fill="FABF8F"/>
      <w:spacing w:before="100" w:beforeAutospacing="1" w:after="100" w:afterAutospacing="1"/>
      <w:jc w:val="right"/>
      <w:textAlignment w:val="center"/>
    </w:pPr>
    <w:rPr>
      <w:rFonts w:ascii="Tahoma" w:hAnsi="Tahoma" w:cs="Tahoma"/>
      <w:b/>
      <w:bCs/>
      <w:sz w:val="18"/>
      <w:szCs w:val="18"/>
      <w:lang w:val="es-US" w:eastAsia="es-US"/>
    </w:rPr>
  </w:style>
  <w:style w:type="paragraph" w:customStyle="1" w:styleId="xl154">
    <w:name w:val="xl154"/>
    <w:basedOn w:val="Normal"/>
    <w:rsid w:val="001A4860"/>
    <w:pPr>
      <w:pBdr>
        <w:left w:val="single" w:sz="12" w:space="0" w:color="auto"/>
        <w:bottom w:val="single" w:sz="12" w:space="0" w:color="auto"/>
        <w:right w:val="single" w:sz="12" w:space="0" w:color="auto"/>
      </w:pBdr>
      <w:shd w:val="clear" w:color="000000" w:fill="FABF8F"/>
      <w:spacing w:before="100" w:beforeAutospacing="1" w:after="100" w:afterAutospacing="1"/>
      <w:jc w:val="right"/>
      <w:textAlignment w:val="center"/>
    </w:pPr>
    <w:rPr>
      <w:rFonts w:ascii="Tahoma" w:hAnsi="Tahoma" w:cs="Tahoma"/>
      <w:b/>
      <w:bCs/>
      <w:sz w:val="18"/>
      <w:szCs w:val="18"/>
      <w:lang w:val="es-US" w:eastAsia="es-US"/>
    </w:rPr>
  </w:style>
  <w:style w:type="paragraph" w:customStyle="1" w:styleId="xl155">
    <w:name w:val="xl155"/>
    <w:basedOn w:val="Normal"/>
    <w:rsid w:val="001A4860"/>
    <w:pPr>
      <w:pBdr>
        <w:top w:val="single" w:sz="12" w:space="0" w:color="auto"/>
        <w:left w:val="single" w:sz="12" w:space="0" w:color="auto"/>
        <w:right w:val="single" w:sz="12" w:space="0" w:color="auto"/>
      </w:pBdr>
      <w:shd w:val="clear" w:color="000000" w:fill="FABF8F"/>
      <w:spacing w:before="100" w:beforeAutospacing="1" w:after="100" w:afterAutospacing="1"/>
      <w:jc w:val="right"/>
      <w:textAlignment w:val="center"/>
    </w:pPr>
    <w:rPr>
      <w:rFonts w:ascii="Tahoma" w:hAnsi="Tahoma" w:cs="Tahoma"/>
      <w:b/>
      <w:bCs/>
      <w:sz w:val="17"/>
      <w:szCs w:val="17"/>
      <w:lang w:val="es-US" w:eastAsia="es-US"/>
    </w:rPr>
  </w:style>
  <w:style w:type="paragraph" w:customStyle="1" w:styleId="xl156">
    <w:name w:val="xl156"/>
    <w:basedOn w:val="Normal"/>
    <w:rsid w:val="001A4860"/>
    <w:pPr>
      <w:pBdr>
        <w:left w:val="single" w:sz="12" w:space="0" w:color="auto"/>
        <w:bottom w:val="single" w:sz="12" w:space="0" w:color="auto"/>
        <w:right w:val="single" w:sz="12" w:space="0" w:color="auto"/>
      </w:pBdr>
      <w:shd w:val="clear" w:color="000000" w:fill="FABF8F"/>
      <w:spacing w:before="100" w:beforeAutospacing="1" w:after="100" w:afterAutospacing="1"/>
      <w:jc w:val="right"/>
      <w:textAlignment w:val="center"/>
    </w:pPr>
    <w:rPr>
      <w:rFonts w:ascii="Tahoma" w:hAnsi="Tahoma" w:cs="Tahoma"/>
      <w:b/>
      <w:bCs/>
      <w:sz w:val="17"/>
      <w:szCs w:val="17"/>
      <w:lang w:val="es-US" w:eastAsia="es-US"/>
    </w:rPr>
  </w:style>
  <w:style w:type="paragraph" w:customStyle="1" w:styleId="xl157">
    <w:name w:val="xl157"/>
    <w:basedOn w:val="Normal"/>
    <w:rsid w:val="001A4860"/>
    <w:pPr>
      <w:pBdr>
        <w:top w:val="single" w:sz="4" w:space="0" w:color="auto"/>
        <w:left w:val="single" w:sz="12" w:space="0" w:color="auto"/>
        <w:bottom w:val="single" w:sz="4" w:space="0" w:color="auto"/>
        <w:right w:val="single" w:sz="12" w:space="0" w:color="auto"/>
      </w:pBdr>
      <w:spacing w:before="100" w:beforeAutospacing="1" w:after="100" w:afterAutospacing="1"/>
      <w:jc w:val="left"/>
      <w:textAlignment w:val="center"/>
    </w:pPr>
    <w:rPr>
      <w:rFonts w:ascii="Tahoma" w:hAnsi="Tahoma" w:cs="Tahoma"/>
      <w:b/>
      <w:bCs/>
      <w:sz w:val="18"/>
      <w:szCs w:val="18"/>
      <w:lang w:val="es-US" w:eastAsia="es-US"/>
    </w:rPr>
  </w:style>
  <w:style w:type="paragraph" w:customStyle="1" w:styleId="xl158">
    <w:name w:val="xl158"/>
    <w:basedOn w:val="Normal"/>
    <w:rsid w:val="001A4860"/>
    <w:pPr>
      <w:pBdr>
        <w:left w:val="single" w:sz="12" w:space="0" w:color="auto"/>
        <w:right w:val="single" w:sz="12" w:space="0" w:color="auto"/>
      </w:pBdr>
      <w:shd w:val="clear" w:color="000000" w:fill="FABF8F"/>
      <w:spacing w:before="100" w:beforeAutospacing="1" w:after="100" w:afterAutospacing="1"/>
      <w:jc w:val="center"/>
      <w:textAlignment w:val="center"/>
    </w:pPr>
    <w:rPr>
      <w:rFonts w:ascii="Tahoma" w:hAnsi="Tahoma" w:cs="Tahoma"/>
      <w:b/>
      <w:bCs/>
      <w:sz w:val="18"/>
      <w:szCs w:val="18"/>
      <w:lang w:val="es-US" w:eastAsia="es-US"/>
    </w:rPr>
  </w:style>
  <w:style w:type="character" w:customStyle="1" w:styleId="Estilo1Car">
    <w:name w:val="Estilo1 Car"/>
    <w:link w:val="Estilo1"/>
    <w:locked/>
    <w:rsid w:val="001A4860"/>
    <w:rPr>
      <w:rFonts w:ascii="Arial" w:eastAsia="Arial Narrow" w:hAnsi="Arial" w:cs="Arial"/>
      <w:lang w:val="es-MX" w:eastAsia="es-ES_tradnl"/>
    </w:rPr>
  </w:style>
  <w:style w:type="character" w:customStyle="1" w:styleId="TextoindependienteCar1">
    <w:name w:val="Texto independiente Car1"/>
    <w:rsid w:val="001A4860"/>
    <w:rPr>
      <w:rFonts w:ascii="Times" w:eastAsia="Times" w:hAnsi="Times"/>
      <w:lang w:val="es-ES_tradnl" w:eastAsia="es-ES"/>
    </w:rPr>
  </w:style>
  <w:style w:type="paragraph" w:customStyle="1" w:styleId="xl63">
    <w:name w:val="xl63"/>
    <w:basedOn w:val="Normal"/>
    <w:rsid w:val="001A4860"/>
    <w:pPr>
      <w:pBdr>
        <w:top w:val="single" w:sz="4" w:space="0" w:color="auto"/>
        <w:left w:val="single" w:sz="12" w:space="0" w:color="auto"/>
        <w:bottom w:val="single" w:sz="4" w:space="0" w:color="auto"/>
        <w:right w:val="single" w:sz="4" w:space="0" w:color="auto"/>
      </w:pBdr>
      <w:spacing w:before="100" w:beforeAutospacing="1" w:after="100" w:afterAutospacing="1" w:line="0" w:lineRule="atLeast"/>
      <w:jc w:val="center"/>
    </w:pPr>
    <w:rPr>
      <w:szCs w:val="24"/>
      <w:lang w:val="es-NI" w:eastAsia="es-NI"/>
    </w:rPr>
  </w:style>
  <w:style w:type="paragraph" w:customStyle="1" w:styleId="xl64">
    <w:name w:val="xl64"/>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line="0" w:lineRule="atLeast"/>
      <w:jc w:val="center"/>
    </w:pPr>
    <w:rPr>
      <w:szCs w:val="24"/>
      <w:lang w:val="es-NI" w:eastAsia="es-NI"/>
    </w:rPr>
  </w:style>
  <w:style w:type="paragraph" w:customStyle="1" w:styleId="Titulo3">
    <w:name w:val="Titulo 3"/>
    <w:basedOn w:val="NormalWeb"/>
    <w:next w:val="NormalWeb"/>
    <w:link w:val="Titulo3Car"/>
    <w:autoRedefine/>
    <w:rsid w:val="001A4860"/>
    <w:pPr>
      <w:tabs>
        <w:tab w:val="left" w:pos="0"/>
        <w:tab w:val="left" w:pos="567"/>
      </w:tabs>
      <w:spacing w:before="0" w:after="0" w:line="0" w:lineRule="atLeast"/>
      <w:ind w:left="1724" w:hanging="720"/>
      <w:jc w:val="both"/>
    </w:pPr>
    <w:rPr>
      <w:rFonts w:ascii="Arial" w:hAnsi="Arial" w:cs="Arial"/>
      <w:b/>
      <w:i/>
      <w:sz w:val="20"/>
      <w:szCs w:val="20"/>
      <w:lang w:val="es-ES" w:eastAsia="es-ES"/>
    </w:rPr>
  </w:style>
  <w:style w:type="character" w:customStyle="1" w:styleId="Titulo3Car">
    <w:name w:val="Titulo 3 Car"/>
    <w:link w:val="Titulo3"/>
    <w:locked/>
    <w:rsid w:val="001A4860"/>
    <w:rPr>
      <w:rFonts w:ascii="Arial" w:eastAsia="Arial Unicode MS" w:hAnsi="Arial" w:cs="Arial"/>
      <w:b/>
      <w:i/>
      <w:sz w:val="20"/>
      <w:szCs w:val="20"/>
      <w:lang w:val="es-ES" w:eastAsia="es-ES"/>
    </w:rPr>
  </w:style>
  <w:style w:type="paragraph" w:customStyle="1" w:styleId="titulo40">
    <w:name w:val="titulo 4"/>
    <w:basedOn w:val="Ttulo4"/>
    <w:link w:val="titulo4Car"/>
    <w:autoRedefine/>
    <w:rsid w:val="001A4860"/>
    <w:pPr>
      <w:spacing w:before="240" w:after="60" w:line="0" w:lineRule="atLeast"/>
      <w:ind w:left="1815" w:hanging="360"/>
      <w:jc w:val="left"/>
    </w:pPr>
    <w:rPr>
      <w:rFonts w:ascii="Arial" w:hAnsi="Arial" w:cs="Arial"/>
      <w:b w:val="0"/>
      <w:bCs/>
      <w:i/>
      <w:szCs w:val="24"/>
      <w:lang w:val="es-ES" w:eastAsia="es-ES"/>
    </w:rPr>
  </w:style>
  <w:style w:type="character" w:customStyle="1" w:styleId="titulo4Car">
    <w:name w:val="titulo 4 Car"/>
    <w:link w:val="titulo40"/>
    <w:locked/>
    <w:rsid w:val="001A4860"/>
    <w:rPr>
      <w:rFonts w:ascii="Arial" w:eastAsia="Times New Roman" w:hAnsi="Arial" w:cs="Arial"/>
      <w:bCs/>
      <w:i/>
      <w:lang w:val="es-ES" w:eastAsia="es-ES"/>
    </w:rPr>
  </w:style>
  <w:style w:type="paragraph" w:customStyle="1" w:styleId="titulo20">
    <w:name w:val="titulo 2"/>
    <w:basedOn w:val="Ttulo2"/>
    <w:link w:val="titulo2Car0"/>
    <w:rsid w:val="001A4860"/>
    <w:pPr>
      <w:keepLines/>
      <w:suppressAutoHyphens w:val="0"/>
      <w:spacing w:line="0" w:lineRule="atLeast"/>
      <w:ind w:left="450" w:hanging="450"/>
      <w:jc w:val="both"/>
    </w:pPr>
    <w:rPr>
      <w:rFonts w:eastAsia="Batang" w:cs="Arial"/>
      <w:bCs/>
      <w:i/>
      <w:sz w:val="24"/>
      <w:szCs w:val="24"/>
      <w:lang w:val="en-US"/>
    </w:rPr>
  </w:style>
  <w:style w:type="character" w:customStyle="1" w:styleId="titulo2Car0">
    <w:name w:val="titulo 2 Car"/>
    <w:link w:val="titulo20"/>
    <w:locked/>
    <w:rsid w:val="001A4860"/>
    <w:rPr>
      <w:rFonts w:ascii="Arial" w:eastAsia="Batang" w:hAnsi="Arial" w:cs="Arial"/>
      <w:b/>
      <w:bCs/>
      <w:i/>
    </w:rPr>
  </w:style>
  <w:style w:type="paragraph" w:styleId="Saludo">
    <w:name w:val="Salutation"/>
    <w:basedOn w:val="Normal"/>
    <w:next w:val="Normal"/>
    <w:link w:val="SaludoCar"/>
    <w:rsid w:val="001A4860"/>
    <w:pPr>
      <w:spacing w:line="0" w:lineRule="atLeast"/>
    </w:pPr>
    <w:rPr>
      <w:rFonts w:ascii="Arial" w:hAnsi="Arial"/>
      <w:szCs w:val="24"/>
      <w:lang w:val="es-ES" w:eastAsia="es-ES"/>
    </w:rPr>
  </w:style>
  <w:style w:type="character" w:customStyle="1" w:styleId="SaludoCar">
    <w:name w:val="Saludo Car"/>
    <w:basedOn w:val="Fuentedeprrafopredeter"/>
    <w:link w:val="Saludo"/>
    <w:rsid w:val="001A4860"/>
    <w:rPr>
      <w:rFonts w:ascii="Arial" w:eastAsia="Times New Roman" w:hAnsi="Arial" w:cs="Times New Roman"/>
      <w:lang w:val="es-ES" w:eastAsia="es-ES"/>
    </w:rPr>
  </w:style>
  <w:style w:type="character" w:customStyle="1" w:styleId="CarCar7">
    <w:name w:val="Car Car7"/>
    <w:rsid w:val="001A4860"/>
    <w:rPr>
      <w:rFonts w:ascii="Cambria" w:hAnsi="Cambria" w:cs="Times New Roman"/>
      <w:b/>
      <w:bCs/>
      <w:color w:val="365F91"/>
      <w:sz w:val="28"/>
      <w:szCs w:val="28"/>
    </w:rPr>
  </w:style>
  <w:style w:type="character" w:customStyle="1" w:styleId="CarCar6">
    <w:name w:val="Car Car6"/>
    <w:rsid w:val="001A4860"/>
    <w:rPr>
      <w:rFonts w:ascii="Cambria" w:hAnsi="Cambria" w:cs="Times New Roman"/>
      <w:b/>
      <w:bCs/>
      <w:iCs/>
      <w:sz w:val="28"/>
      <w:szCs w:val="28"/>
    </w:rPr>
  </w:style>
  <w:style w:type="paragraph" w:customStyle="1" w:styleId="Sangra2detindependiente1">
    <w:name w:val="Sangría 2 de t. independiente1"/>
    <w:basedOn w:val="Normal"/>
    <w:rsid w:val="001A4860"/>
    <w:pPr>
      <w:spacing w:line="0" w:lineRule="atLeast"/>
      <w:ind w:left="142" w:hanging="142"/>
    </w:pPr>
    <w:rPr>
      <w:rFonts w:ascii="Arial" w:eastAsia="MS Mincho" w:hAnsi="Arial"/>
      <w:lang w:val="es-ES" w:eastAsia="es-ES"/>
    </w:rPr>
  </w:style>
  <w:style w:type="paragraph" w:customStyle="1" w:styleId="font7">
    <w:name w:val="font7"/>
    <w:basedOn w:val="Normal"/>
    <w:rsid w:val="001A4860"/>
    <w:pPr>
      <w:spacing w:before="100" w:beforeAutospacing="1" w:after="100" w:afterAutospacing="1" w:line="0" w:lineRule="atLeast"/>
      <w:jc w:val="left"/>
    </w:pPr>
    <w:rPr>
      <w:rFonts w:ascii="Arial" w:hAnsi="Arial" w:cs="Arial"/>
      <w:b/>
      <w:bCs/>
      <w:sz w:val="16"/>
      <w:szCs w:val="16"/>
      <w:lang w:val="es-NI" w:eastAsia="es-NI"/>
    </w:rPr>
  </w:style>
  <w:style w:type="paragraph" w:customStyle="1" w:styleId="xl159">
    <w:name w:val="xl159"/>
    <w:basedOn w:val="Normal"/>
    <w:rsid w:val="001A48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0" w:lineRule="atLeast"/>
      <w:jc w:val="center"/>
    </w:pPr>
    <w:rPr>
      <w:rFonts w:ascii="Arial" w:hAnsi="Arial" w:cs="Arial"/>
      <w:sz w:val="16"/>
      <w:szCs w:val="16"/>
      <w:lang w:val="es-NI" w:eastAsia="es-NI"/>
    </w:rPr>
  </w:style>
  <w:style w:type="paragraph" w:customStyle="1" w:styleId="xl160">
    <w:name w:val="xl160"/>
    <w:basedOn w:val="Normal"/>
    <w:rsid w:val="001A4860"/>
    <w:pPr>
      <w:pBdr>
        <w:top w:val="single" w:sz="4" w:space="0" w:color="auto"/>
        <w:left w:val="single" w:sz="4" w:space="0" w:color="auto"/>
        <w:bottom w:val="single" w:sz="4" w:space="0" w:color="auto"/>
      </w:pBdr>
      <w:shd w:val="clear" w:color="000000" w:fill="FAC090"/>
      <w:spacing w:before="100" w:beforeAutospacing="1" w:after="100" w:afterAutospacing="1" w:line="0" w:lineRule="atLeast"/>
      <w:jc w:val="center"/>
    </w:pPr>
    <w:rPr>
      <w:rFonts w:ascii="Arial" w:hAnsi="Arial" w:cs="Arial"/>
      <w:sz w:val="16"/>
      <w:szCs w:val="16"/>
      <w:lang w:val="es-NI" w:eastAsia="es-NI"/>
    </w:rPr>
  </w:style>
  <w:style w:type="paragraph" w:customStyle="1" w:styleId="xl161">
    <w:name w:val="xl161"/>
    <w:basedOn w:val="Normal"/>
    <w:rsid w:val="001A4860"/>
    <w:pPr>
      <w:pBdr>
        <w:top w:val="single" w:sz="4" w:space="0" w:color="auto"/>
        <w:bottom w:val="single" w:sz="4" w:space="0" w:color="auto"/>
      </w:pBdr>
      <w:shd w:val="clear" w:color="000000" w:fill="FAC090"/>
      <w:spacing w:before="100" w:beforeAutospacing="1" w:after="100" w:afterAutospacing="1" w:line="0" w:lineRule="atLeast"/>
      <w:jc w:val="center"/>
    </w:pPr>
    <w:rPr>
      <w:rFonts w:ascii="Arial" w:hAnsi="Arial" w:cs="Arial"/>
      <w:sz w:val="16"/>
      <w:szCs w:val="16"/>
      <w:lang w:val="es-NI" w:eastAsia="es-NI"/>
    </w:rPr>
  </w:style>
  <w:style w:type="paragraph" w:customStyle="1" w:styleId="xl162">
    <w:name w:val="xl162"/>
    <w:basedOn w:val="Normal"/>
    <w:rsid w:val="001A4860"/>
    <w:pPr>
      <w:pBdr>
        <w:top w:val="single" w:sz="4" w:space="0" w:color="auto"/>
        <w:bottom w:val="single" w:sz="4" w:space="0" w:color="auto"/>
        <w:right w:val="single" w:sz="4" w:space="0" w:color="auto"/>
      </w:pBdr>
      <w:shd w:val="clear" w:color="000000" w:fill="FAC090"/>
      <w:spacing w:before="100" w:beforeAutospacing="1" w:after="100" w:afterAutospacing="1" w:line="0" w:lineRule="atLeast"/>
      <w:jc w:val="center"/>
    </w:pPr>
    <w:rPr>
      <w:rFonts w:ascii="Arial" w:hAnsi="Arial" w:cs="Arial"/>
      <w:sz w:val="16"/>
      <w:szCs w:val="16"/>
      <w:lang w:val="es-NI" w:eastAsia="es-NI"/>
    </w:rPr>
  </w:style>
  <w:style w:type="paragraph" w:customStyle="1" w:styleId="xl163">
    <w:name w:val="xl163"/>
    <w:basedOn w:val="Normal"/>
    <w:rsid w:val="001A48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64">
    <w:name w:val="xl164"/>
    <w:basedOn w:val="Normal"/>
    <w:rsid w:val="001A4860"/>
    <w:pPr>
      <w:pBdr>
        <w:top w:val="single" w:sz="4" w:space="0" w:color="auto"/>
        <w:left w:val="single" w:sz="4" w:space="0" w:color="auto"/>
        <w:bottom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65">
    <w:name w:val="xl165"/>
    <w:basedOn w:val="Normal"/>
    <w:rsid w:val="001A4860"/>
    <w:pPr>
      <w:pBdr>
        <w:top w:val="single" w:sz="4" w:space="0" w:color="auto"/>
        <w:bottom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66">
    <w:name w:val="xl166"/>
    <w:basedOn w:val="Normal"/>
    <w:rsid w:val="001A4860"/>
    <w:pPr>
      <w:pBdr>
        <w:top w:val="single" w:sz="4" w:space="0" w:color="auto"/>
        <w:bottom w:val="single" w:sz="4" w:space="0" w:color="auto"/>
        <w:right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67">
    <w:name w:val="xl167"/>
    <w:basedOn w:val="Normal"/>
    <w:rsid w:val="001A4860"/>
    <w:pPr>
      <w:pBdr>
        <w:top w:val="single" w:sz="4" w:space="0" w:color="auto"/>
        <w:left w:val="single" w:sz="4" w:space="0" w:color="auto"/>
        <w:bottom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68">
    <w:name w:val="xl168"/>
    <w:basedOn w:val="Normal"/>
    <w:rsid w:val="001A4860"/>
    <w:pPr>
      <w:pBdr>
        <w:top w:val="single" w:sz="4" w:space="0" w:color="auto"/>
        <w:bottom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69">
    <w:name w:val="xl169"/>
    <w:basedOn w:val="Normal"/>
    <w:rsid w:val="001A4860"/>
    <w:pPr>
      <w:pBdr>
        <w:top w:val="single" w:sz="4" w:space="0" w:color="auto"/>
        <w:bottom w:val="single" w:sz="4" w:space="0" w:color="auto"/>
        <w:right w:val="single" w:sz="4" w:space="0" w:color="auto"/>
      </w:pBdr>
      <w:shd w:val="clear" w:color="000000" w:fill="FAC090"/>
      <w:spacing w:before="100" w:beforeAutospacing="1" w:after="100" w:afterAutospacing="1" w:line="0" w:lineRule="atLeast"/>
      <w:jc w:val="center"/>
    </w:pPr>
    <w:rPr>
      <w:rFonts w:ascii="Arial" w:hAnsi="Arial" w:cs="Arial"/>
      <w:b/>
      <w:bCs/>
      <w:sz w:val="16"/>
      <w:szCs w:val="16"/>
      <w:lang w:val="es-NI" w:eastAsia="es-NI"/>
    </w:rPr>
  </w:style>
  <w:style w:type="paragraph" w:customStyle="1" w:styleId="xl170">
    <w:name w:val="xl170"/>
    <w:basedOn w:val="Normal"/>
    <w:rsid w:val="001A48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0" w:lineRule="atLeast"/>
      <w:jc w:val="left"/>
    </w:pPr>
    <w:rPr>
      <w:rFonts w:ascii="Arial" w:hAnsi="Arial" w:cs="Arial"/>
      <w:b/>
      <w:bCs/>
      <w:sz w:val="16"/>
      <w:szCs w:val="16"/>
      <w:lang w:val="es-NI" w:eastAsia="es-NI"/>
    </w:rPr>
  </w:style>
  <w:style w:type="paragraph" w:customStyle="1" w:styleId="Titulo41">
    <w:name w:val="Titulo 4+"/>
    <w:basedOn w:val="Normal"/>
    <w:rsid w:val="001A4860"/>
    <w:pPr>
      <w:overflowPunct w:val="0"/>
      <w:autoSpaceDE w:val="0"/>
      <w:autoSpaceDN w:val="0"/>
      <w:adjustRightInd w:val="0"/>
      <w:spacing w:line="360" w:lineRule="auto"/>
    </w:pPr>
    <w:rPr>
      <w:rFonts w:ascii="Arial" w:hAnsi="Arial" w:cs="Arial"/>
      <w:szCs w:val="22"/>
      <w:lang w:val="es-NI" w:eastAsia="es-ES"/>
    </w:rPr>
  </w:style>
  <w:style w:type="paragraph" w:customStyle="1" w:styleId="Style5">
    <w:name w:val="Style5"/>
    <w:basedOn w:val="Normal"/>
    <w:uiPriority w:val="99"/>
    <w:rsid w:val="001A4860"/>
    <w:pPr>
      <w:widowControl w:val="0"/>
      <w:autoSpaceDE w:val="0"/>
      <w:autoSpaceDN w:val="0"/>
      <w:adjustRightInd w:val="0"/>
      <w:spacing w:line="243" w:lineRule="exact"/>
      <w:ind w:firstLine="734"/>
    </w:pPr>
    <w:rPr>
      <w:rFonts w:ascii="Courier New" w:hAnsi="Courier New" w:cs="Courier New"/>
      <w:szCs w:val="24"/>
      <w:lang w:val="es-NI" w:eastAsia="es-NI"/>
    </w:rPr>
  </w:style>
  <w:style w:type="character" w:customStyle="1" w:styleId="FontStyle13">
    <w:name w:val="Font Style13"/>
    <w:uiPriority w:val="99"/>
    <w:rsid w:val="001A4860"/>
    <w:rPr>
      <w:rFonts w:ascii="Courier New" w:hAnsi="Courier New" w:cs="Courier New"/>
      <w:i/>
      <w:iCs/>
      <w:sz w:val="22"/>
      <w:szCs w:val="22"/>
    </w:rPr>
  </w:style>
  <w:style w:type="paragraph" w:customStyle="1" w:styleId="xl171">
    <w:name w:val="xl171"/>
    <w:basedOn w:val="Normal"/>
    <w:rsid w:val="001A4860"/>
    <w:pPr>
      <w:pBdr>
        <w:top w:val="single" w:sz="4" w:space="0" w:color="auto"/>
        <w:bottom w:val="single" w:sz="4" w:space="0" w:color="auto"/>
      </w:pBdr>
      <w:shd w:val="clear" w:color="000000" w:fill="FFFFFF"/>
      <w:spacing w:before="100" w:beforeAutospacing="1" w:after="100" w:afterAutospacing="1" w:line="0" w:lineRule="atLeast"/>
      <w:jc w:val="center"/>
    </w:pPr>
    <w:rPr>
      <w:rFonts w:ascii="Arial" w:hAnsi="Arial" w:cs="Arial"/>
      <w:sz w:val="16"/>
      <w:szCs w:val="16"/>
      <w:lang w:val="es-NI" w:eastAsia="es-NI"/>
    </w:rPr>
  </w:style>
  <w:style w:type="paragraph" w:customStyle="1" w:styleId="xl172">
    <w:name w:val="xl172"/>
    <w:basedOn w:val="Normal"/>
    <w:rsid w:val="001A4860"/>
    <w:pPr>
      <w:pBdr>
        <w:top w:val="single" w:sz="4" w:space="0" w:color="auto"/>
        <w:bottom w:val="single" w:sz="4" w:space="0" w:color="auto"/>
        <w:right w:val="single" w:sz="4" w:space="0" w:color="auto"/>
      </w:pBdr>
      <w:shd w:val="clear" w:color="000000" w:fill="FFFFFF"/>
      <w:spacing w:before="100" w:beforeAutospacing="1" w:after="100" w:afterAutospacing="1" w:line="0" w:lineRule="atLeast"/>
      <w:jc w:val="center"/>
    </w:pPr>
    <w:rPr>
      <w:rFonts w:ascii="Arial" w:hAnsi="Arial" w:cs="Arial"/>
      <w:sz w:val="16"/>
      <w:szCs w:val="16"/>
      <w:lang w:val="es-NI" w:eastAsia="es-NI"/>
    </w:rPr>
  </w:style>
  <w:style w:type="paragraph" w:customStyle="1" w:styleId="xl173">
    <w:name w:val="xl173"/>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line="0" w:lineRule="atLeast"/>
      <w:jc w:val="right"/>
    </w:pPr>
    <w:rPr>
      <w:rFonts w:ascii="Arial" w:hAnsi="Arial" w:cs="Arial"/>
      <w:sz w:val="16"/>
      <w:szCs w:val="16"/>
      <w:lang w:val="es-NI" w:eastAsia="es-NI"/>
    </w:rPr>
  </w:style>
  <w:style w:type="paragraph" w:customStyle="1" w:styleId="xl174">
    <w:name w:val="xl174"/>
    <w:basedOn w:val="Normal"/>
    <w:rsid w:val="001A4860"/>
    <w:pPr>
      <w:spacing w:before="100" w:beforeAutospacing="1" w:after="100" w:afterAutospacing="1" w:line="0" w:lineRule="atLeast"/>
      <w:jc w:val="center"/>
    </w:pPr>
    <w:rPr>
      <w:rFonts w:ascii="Arial" w:hAnsi="Arial" w:cs="Arial"/>
      <w:b/>
      <w:bCs/>
      <w:sz w:val="20"/>
      <w:lang w:val="es-NI" w:eastAsia="es-NI"/>
    </w:rPr>
  </w:style>
  <w:style w:type="paragraph" w:customStyle="1" w:styleId="xl175">
    <w:name w:val="xl175"/>
    <w:basedOn w:val="Normal"/>
    <w:rsid w:val="001A4860"/>
    <w:pPr>
      <w:pBdr>
        <w:top w:val="single" w:sz="4" w:space="0" w:color="auto"/>
        <w:left w:val="single" w:sz="4" w:space="0" w:color="auto"/>
      </w:pBdr>
      <w:spacing w:before="100" w:beforeAutospacing="1" w:after="100" w:afterAutospacing="1" w:line="0" w:lineRule="atLeast"/>
      <w:jc w:val="center"/>
      <w:textAlignment w:val="center"/>
    </w:pPr>
    <w:rPr>
      <w:rFonts w:ascii="Arial" w:hAnsi="Arial" w:cs="Arial"/>
      <w:b/>
      <w:bCs/>
      <w:sz w:val="18"/>
      <w:szCs w:val="18"/>
      <w:lang w:val="es-NI" w:eastAsia="es-NI"/>
    </w:rPr>
  </w:style>
  <w:style w:type="paragraph" w:customStyle="1" w:styleId="xl176">
    <w:name w:val="xl176"/>
    <w:basedOn w:val="Normal"/>
    <w:rsid w:val="001A4860"/>
    <w:pPr>
      <w:pBdr>
        <w:top w:val="single" w:sz="4" w:space="0" w:color="auto"/>
      </w:pBdr>
      <w:spacing w:before="100" w:beforeAutospacing="1" w:after="100" w:afterAutospacing="1" w:line="0" w:lineRule="atLeast"/>
      <w:jc w:val="center"/>
      <w:textAlignment w:val="center"/>
    </w:pPr>
    <w:rPr>
      <w:rFonts w:ascii="Arial" w:hAnsi="Arial" w:cs="Arial"/>
      <w:b/>
      <w:bCs/>
      <w:sz w:val="18"/>
      <w:szCs w:val="18"/>
      <w:lang w:val="es-NI" w:eastAsia="es-NI"/>
    </w:rPr>
  </w:style>
  <w:style w:type="paragraph" w:customStyle="1" w:styleId="xl177">
    <w:name w:val="xl177"/>
    <w:basedOn w:val="Normal"/>
    <w:rsid w:val="001A4860"/>
    <w:pPr>
      <w:pBdr>
        <w:top w:val="single" w:sz="4" w:space="0" w:color="auto"/>
        <w:right w:val="single" w:sz="4" w:space="0" w:color="auto"/>
      </w:pBdr>
      <w:spacing w:before="100" w:beforeAutospacing="1" w:after="100" w:afterAutospacing="1" w:line="0" w:lineRule="atLeast"/>
      <w:jc w:val="center"/>
      <w:textAlignment w:val="center"/>
    </w:pPr>
    <w:rPr>
      <w:rFonts w:ascii="Arial" w:hAnsi="Arial" w:cs="Arial"/>
      <w:b/>
      <w:bCs/>
      <w:sz w:val="18"/>
      <w:szCs w:val="18"/>
      <w:lang w:val="es-NI" w:eastAsia="es-NI"/>
    </w:rPr>
  </w:style>
  <w:style w:type="paragraph" w:customStyle="1" w:styleId="Textoindependiente22">
    <w:name w:val="Texto independiente 22"/>
    <w:basedOn w:val="Normal"/>
    <w:rsid w:val="001A4860"/>
    <w:pPr>
      <w:spacing w:line="0" w:lineRule="atLeast"/>
    </w:pPr>
    <w:rPr>
      <w:rFonts w:ascii="Arial" w:hAnsi="Arial"/>
      <w:b/>
      <w:lang w:val="es-ES" w:eastAsia="es-ES"/>
    </w:rPr>
  </w:style>
  <w:style w:type="character" w:customStyle="1" w:styleId="TextosinformatoCar1">
    <w:name w:val="Texto sin formato Car1"/>
    <w:rsid w:val="001A4860"/>
    <w:rPr>
      <w:rFonts w:ascii="Courier New" w:hAnsi="Courier New" w:cs="Courier New"/>
      <w:lang w:eastAsia="es-ES"/>
    </w:rPr>
  </w:style>
  <w:style w:type="character" w:customStyle="1" w:styleId="MapadeldocumentoCar1">
    <w:name w:val="Mapa del documento Car1"/>
    <w:rsid w:val="001A4860"/>
    <w:rPr>
      <w:rFonts w:ascii="Segoe UI" w:hAnsi="Segoe UI" w:cs="Segoe UI"/>
      <w:sz w:val="16"/>
      <w:szCs w:val="16"/>
      <w:lang w:eastAsia="es-ES"/>
    </w:rPr>
  </w:style>
  <w:style w:type="paragraph" w:customStyle="1" w:styleId="Style330">
    <w:name w:val="Style330"/>
    <w:basedOn w:val="Normal"/>
    <w:rsid w:val="001A4860"/>
    <w:pPr>
      <w:spacing w:line="248" w:lineRule="exact"/>
    </w:pPr>
    <w:rPr>
      <w:rFonts w:ascii="Courier New" w:eastAsia="Courier New" w:hAnsi="Courier New" w:cs="Courier New"/>
      <w:sz w:val="20"/>
      <w:lang w:val="es-ES" w:eastAsia="es-ES"/>
    </w:rPr>
  </w:style>
  <w:style w:type="paragraph" w:customStyle="1" w:styleId="Style421">
    <w:name w:val="Style421"/>
    <w:basedOn w:val="Normal"/>
    <w:rsid w:val="001A4860"/>
    <w:pPr>
      <w:spacing w:line="245" w:lineRule="exact"/>
      <w:ind w:hanging="115"/>
      <w:jc w:val="left"/>
    </w:pPr>
    <w:rPr>
      <w:rFonts w:ascii="Courier New" w:eastAsia="Courier New" w:hAnsi="Courier New" w:cs="Courier New"/>
      <w:sz w:val="20"/>
      <w:lang w:val="es-ES" w:eastAsia="es-ES"/>
    </w:rPr>
  </w:style>
  <w:style w:type="paragraph" w:customStyle="1" w:styleId="Style14">
    <w:name w:val="Style14"/>
    <w:basedOn w:val="Normal"/>
    <w:rsid w:val="001A4860"/>
    <w:pPr>
      <w:spacing w:line="245" w:lineRule="exact"/>
    </w:pPr>
    <w:rPr>
      <w:rFonts w:ascii="Courier New" w:eastAsia="Courier New" w:hAnsi="Courier New" w:cs="Courier New"/>
      <w:sz w:val="20"/>
      <w:lang w:val="es-ES" w:eastAsia="es-ES"/>
    </w:rPr>
  </w:style>
  <w:style w:type="paragraph" w:customStyle="1" w:styleId="Estilo6">
    <w:name w:val="Estilo6."/>
    <w:basedOn w:val="Ttulo6"/>
    <w:link w:val="Estilo6Car"/>
    <w:qFormat/>
    <w:rsid w:val="001A4860"/>
    <w:pPr>
      <w:keepNext/>
      <w:tabs>
        <w:tab w:val="clear" w:pos="1152"/>
      </w:tabs>
      <w:spacing w:before="0" w:after="0" w:line="0" w:lineRule="atLeast"/>
      <w:ind w:left="0" w:firstLine="0"/>
    </w:pPr>
    <w:rPr>
      <w:rFonts w:cs="Bookman Old Style"/>
      <w:b/>
      <w:bCs/>
      <w:sz w:val="24"/>
      <w:szCs w:val="24"/>
      <w:lang w:val="es-ES_tradnl" w:eastAsia="es-ES"/>
    </w:rPr>
  </w:style>
  <w:style w:type="character" w:customStyle="1" w:styleId="Estilo6Car">
    <w:name w:val="Estilo6. Car"/>
    <w:link w:val="Estilo6"/>
    <w:rsid w:val="001A4860"/>
    <w:rPr>
      <w:rFonts w:ascii="Arial" w:eastAsia="Times New Roman" w:hAnsi="Arial" w:cs="Bookman Old Style"/>
      <w:b/>
      <w:bCs/>
      <w:i/>
      <w:lang w:val="es-ES_tradnl" w:eastAsia="es-ES"/>
    </w:rPr>
  </w:style>
  <w:style w:type="paragraph" w:customStyle="1" w:styleId="xl178">
    <w:name w:val="xl178"/>
    <w:basedOn w:val="Normal"/>
    <w:rsid w:val="001A4860"/>
    <w:pPr>
      <w:pBdr>
        <w:top w:val="single" w:sz="4" w:space="0" w:color="auto"/>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9">
    <w:name w:val="xl179"/>
    <w:basedOn w:val="Normal"/>
    <w:rsid w:val="001A486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80">
    <w:name w:val="xl180"/>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ES" w:eastAsia="es-ES"/>
    </w:rPr>
  </w:style>
  <w:style w:type="paragraph" w:customStyle="1" w:styleId="xl181">
    <w:name w:val="xl181"/>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ES" w:eastAsia="es-ES"/>
    </w:rPr>
  </w:style>
  <w:style w:type="paragraph" w:customStyle="1" w:styleId="xl182">
    <w:name w:val="xl182"/>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83">
    <w:name w:val="xl183"/>
    <w:basedOn w:val="Normal"/>
    <w:rsid w:val="001A4860"/>
    <w:pPr>
      <w:spacing w:before="100" w:beforeAutospacing="1" w:after="100" w:afterAutospacing="1"/>
      <w:jc w:val="center"/>
    </w:pPr>
    <w:rPr>
      <w:rFonts w:ascii="Arial" w:hAnsi="Arial" w:cs="Arial"/>
      <w:b/>
      <w:bCs/>
      <w:sz w:val="20"/>
      <w:lang w:val="es-ES" w:eastAsia="es-ES"/>
    </w:rPr>
  </w:style>
  <w:style w:type="paragraph" w:customStyle="1" w:styleId="xl184">
    <w:name w:val="xl184"/>
    <w:basedOn w:val="Normal"/>
    <w:rsid w:val="001A4860"/>
    <w:pPr>
      <w:spacing w:before="100" w:beforeAutospacing="1" w:after="100" w:afterAutospacing="1"/>
      <w:jc w:val="left"/>
    </w:pPr>
    <w:rPr>
      <w:rFonts w:ascii="Arial" w:hAnsi="Arial" w:cs="Arial"/>
      <w:b/>
      <w:bCs/>
      <w:sz w:val="20"/>
      <w:lang w:val="es-ES" w:eastAsia="es-ES"/>
    </w:rPr>
  </w:style>
  <w:style w:type="paragraph" w:customStyle="1" w:styleId="xl185">
    <w:name w:val="xl185"/>
    <w:basedOn w:val="Normal"/>
    <w:rsid w:val="001A4860"/>
    <w:pPr>
      <w:pBdr>
        <w:top w:val="single" w:sz="4" w:space="0" w:color="auto"/>
        <w:left w:val="single" w:sz="4" w:space="0" w:color="auto"/>
      </w:pBdr>
      <w:shd w:val="clear" w:color="000000" w:fill="FFC000"/>
      <w:spacing w:before="100" w:beforeAutospacing="1" w:after="100" w:afterAutospacing="1"/>
      <w:jc w:val="center"/>
      <w:textAlignment w:val="center"/>
    </w:pPr>
    <w:rPr>
      <w:rFonts w:ascii="Arial" w:hAnsi="Arial" w:cs="Arial"/>
      <w:b/>
      <w:bCs/>
      <w:sz w:val="20"/>
      <w:lang w:val="es-ES" w:eastAsia="es-ES"/>
    </w:rPr>
  </w:style>
  <w:style w:type="paragraph" w:customStyle="1" w:styleId="xl186">
    <w:name w:val="xl186"/>
    <w:basedOn w:val="Normal"/>
    <w:rsid w:val="001A4860"/>
    <w:pPr>
      <w:pBdr>
        <w:top w:val="single" w:sz="4" w:space="0" w:color="auto"/>
      </w:pBdr>
      <w:shd w:val="clear" w:color="000000" w:fill="FFC000"/>
      <w:spacing w:before="100" w:beforeAutospacing="1" w:after="100" w:afterAutospacing="1"/>
      <w:jc w:val="center"/>
      <w:textAlignment w:val="center"/>
    </w:pPr>
    <w:rPr>
      <w:rFonts w:ascii="Arial" w:hAnsi="Arial" w:cs="Arial"/>
      <w:b/>
      <w:bCs/>
      <w:sz w:val="20"/>
      <w:lang w:val="es-ES" w:eastAsia="es-ES"/>
    </w:rPr>
  </w:style>
  <w:style w:type="paragraph" w:customStyle="1" w:styleId="xl187">
    <w:name w:val="xl187"/>
    <w:basedOn w:val="Normal"/>
    <w:rsid w:val="001A4860"/>
    <w:pPr>
      <w:pBdr>
        <w:top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20"/>
      <w:lang w:val="es-ES" w:eastAsia="es-ES"/>
    </w:rPr>
  </w:style>
  <w:style w:type="paragraph" w:customStyle="1" w:styleId="Estilo15">
    <w:name w:val="Estilo15"/>
    <w:basedOn w:val="Ttulo3"/>
    <w:autoRedefine/>
    <w:uiPriority w:val="99"/>
    <w:rsid w:val="001A4860"/>
    <w:pPr>
      <w:keepNext/>
      <w:tabs>
        <w:tab w:val="num" w:pos="2230"/>
      </w:tabs>
      <w:suppressAutoHyphens w:val="0"/>
      <w:spacing w:before="240" w:after="60"/>
      <w:ind w:left="2230" w:hanging="360"/>
      <w:jc w:val="both"/>
    </w:pPr>
    <w:rPr>
      <w:rFonts w:eastAsia="Arial Narrow" w:cs="Arial"/>
      <w:bCs/>
      <w:i/>
      <w:sz w:val="24"/>
      <w:szCs w:val="24"/>
      <w:lang w:val="es-NI" w:bidi="en-US"/>
    </w:rPr>
  </w:style>
  <w:style w:type="paragraph" w:customStyle="1" w:styleId="PDM">
    <w:name w:val="PDM"/>
    <w:basedOn w:val="Normal"/>
    <w:uiPriority w:val="99"/>
    <w:rsid w:val="001A4860"/>
    <w:rPr>
      <w:rFonts w:ascii="Arial" w:hAnsi="Arial" w:cs="Arial"/>
      <w:b/>
      <w:bCs/>
      <w:caps/>
      <w:sz w:val="28"/>
      <w:szCs w:val="28"/>
      <w:lang w:val="es-ES" w:eastAsia="es-ES"/>
    </w:rPr>
  </w:style>
  <w:style w:type="paragraph" w:customStyle="1" w:styleId="parrafoPDMCar">
    <w:name w:val="parrafoPDM Car"/>
    <w:basedOn w:val="Normal"/>
    <w:uiPriority w:val="99"/>
    <w:rsid w:val="001A4860"/>
    <w:pPr>
      <w:spacing w:line="360" w:lineRule="auto"/>
      <w:ind w:firstLine="709"/>
    </w:pPr>
    <w:rPr>
      <w:rFonts w:ascii="Arial" w:eastAsia="MS Mincho" w:hAnsi="Arial" w:cs="Arial"/>
      <w:szCs w:val="22"/>
      <w:lang w:eastAsia="es-NI"/>
    </w:rPr>
  </w:style>
  <w:style w:type="table" w:styleId="Tablaconcuadrcula5">
    <w:name w:val="Table Grid 5"/>
    <w:basedOn w:val="Tablanormal"/>
    <w:uiPriority w:val="99"/>
    <w:rsid w:val="001A4860"/>
    <w:rPr>
      <w:rFonts w:ascii="Arial" w:eastAsia="Times New Roman" w:hAnsi="Arial" w:cs="Times New Roman"/>
      <w:sz w:val="20"/>
      <w:szCs w:val="20"/>
      <w:lang w:val="es-419" w:eastAsia="es-419"/>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stilo4">
    <w:name w:val="Estilo4"/>
    <w:basedOn w:val="Ttulo2"/>
    <w:uiPriority w:val="99"/>
    <w:rsid w:val="001A4860"/>
    <w:pPr>
      <w:keepNext w:val="0"/>
      <w:suppressAutoHyphens w:val="0"/>
      <w:spacing w:line="0" w:lineRule="atLeast"/>
      <w:ind w:left="720" w:hanging="360"/>
      <w:jc w:val="both"/>
    </w:pPr>
    <w:rPr>
      <w:rFonts w:eastAsia="Arial Narrow" w:cs="Arial"/>
      <w:caps/>
      <w:sz w:val="24"/>
      <w:szCs w:val="22"/>
      <w:lang w:val="es-NI"/>
    </w:rPr>
  </w:style>
  <w:style w:type="paragraph" w:customStyle="1" w:styleId="Estilo5">
    <w:name w:val="Estilo5"/>
    <w:basedOn w:val="Ttulo2"/>
    <w:autoRedefine/>
    <w:uiPriority w:val="99"/>
    <w:rsid w:val="001A4860"/>
    <w:pPr>
      <w:keepNext w:val="0"/>
      <w:suppressAutoHyphens w:val="0"/>
      <w:spacing w:line="0" w:lineRule="atLeast"/>
      <w:ind w:left="720" w:hanging="360"/>
      <w:jc w:val="both"/>
    </w:pPr>
    <w:rPr>
      <w:rFonts w:eastAsia="Arial Narrow" w:cs="Arial"/>
      <w:caps/>
      <w:sz w:val="24"/>
      <w:szCs w:val="22"/>
      <w:lang w:val="es-NI"/>
    </w:rPr>
  </w:style>
  <w:style w:type="paragraph" w:customStyle="1" w:styleId="Estilo60">
    <w:name w:val="Estilo6"/>
    <w:basedOn w:val="Ttulo2"/>
    <w:autoRedefine/>
    <w:uiPriority w:val="99"/>
    <w:rsid w:val="001A4860"/>
    <w:pPr>
      <w:keepNext w:val="0"/>
      <w:suppressAutoHyphens w:val="0"/>
      <w:spacing w:line="0" w:lineRule="atLeast"/>
      <w:ind w:left="720" w:hanging="360"/>
      <w:jc w:val="both"/>
    </w:pPr>
    <w:rPr>
      <w:rFonts w:eastAsia="Arial Narrow" w:cs="Arial"/>
      <w:sz w:val="24"/>
      <w:szCs w:val="22"/>
      <w:lang w:val="es-NI"/>
    </w:rPr>
  </w:style>
  <w:style w:type="paragraph" w:customStyle="1" w:styleId="Estilo7">
    <w:name w:val="Estilo7"/>
    <w:basedOn w:val="Ttulo2"/>
    <w:autoRedefine/>
    <w:uiPriority w:val="99"/>
    <w:rsid w:val="001A4860"/>
    <w:pPr>
      <w:keepNext w:val="0"/>
      <w:suppressAutoHyphens w:val="0"/>
      <w:spacing w:line="0" w:lineRule="atLeast"/>
      <w:ind w:left="720" w:hanging="360"/>
      <w:jc w:val="both"/>
    </w:pPr>
    <w:rPr>
      <w:rFonts w:eastAsia="Arial Narrow" w:cs="Arial"/>
      <w:sz w:val="24"/>
      <w:szCs w:val="22"/>
      <w:lang w:val="es-NI"/>
    </w:rPr>
  </w:style>
  <w:style w:type="paragraph" w:customStyle="1" w:styleId="Estilo8">
    <w:name w:val="Estilo8"/>
    <w:basedOn w:val="Ttulo2"/>
    <w:uiPriority w:val="99"/>
    <w:rsid w:val="001A4860"/>
    <w:pPr>
      <w:keepNext w:val="0"/>
      <w:suppressAutoHyphens w:val="0"/>
      <w:spacing w:line="0" w:lineRule="atLeast"/>
      <w:ind w:left="720" w:hanging="360"/>
      <w:jc w:val="both"/>
    </w:pPr>
    <w:rPr>
      <w:rFonts w:eastAsia="Arial Narrow" w:cs="Arial"/>
      <w:caps/>
      <w:sz w:val="24"/>
      <w:szCs w:val="22"/>
      <w:lang w:val="es-NI"/>
    </w:rPr>
  </w:style>
  <w:style w:type="paragraph" w:customStyle="1" w:styleId="style10">
    <w:name w:val="style1"/>
    <w:basedOn w:val="Normal"/>
    <w:uiPriority w:val="99"/>
    <w:rsid w:val="001A4860"/>
    <w:pPr>
      <w:spacing w:before="100" w:beforeAutospacing="1" w:after="100" w:afterAutospacing="1"/>
    </w:pPr>
    <w:rPr>
      <w:rFonts w:ascii="Verdana" w:eastAsia="Arial Unicode MS" w:hAnsi="Verdana" w:cs="Verdana"/>
      <w:sz w:val="15"/>
      <w:szCs w:val="15"/>
      <w:lang w:val="es-ES" w:eastAsia="es-ES"/>
    </w:rPr>
  </w:style>
  <w:style w:type="paragraph" w:customStyle="1" w:styleId="SubTitulo">
    <w:name w:val="SubTitulo"/>
    <w:basedOn w:val="Normal"/>
    <w:uiPriority w:val="99"/>
    <w:rsid w:val="001A4860"/>
    <w:rPr>
      <w:rFonts w:ascii="Tahoma" w:hAnsi="Tahoma" w:cs="Tahoma"/>
      <w:b/>
      <w:bCs/>
      <w:kern w:val="28"/>
      <w:szCs w:val="24"/>
      <w:lang w:val="es-ES" w:eastAsia="es-ES"/>
    </w:rPr>
  </w:style>
  <w:style w:type="paragraph" w:customStyle="1" w:styleId="Style16">
    <w:name w:val="Style16"/>
    <w:basedOn w:val="Normal"/>
    <w:uiPriority w:val="99"/>
    <w:rsid w:val="001A4860"/>
    <w:pPr>
      <w:widowControl w:val="0"/>
      <w:autoSpaceDE w:val="0"/>
      <w:autoSpaceDN w:val="0"/>
      <w:adjustRightInd w:val="0"/>
    </w:pPr>
    <w:rPr>
      <w:rFonts w:ascii="Calibri" w:hAnsi="Calibri" w:cs="Calibri"/>
      <w:szCs w:val="24"/>
      <w:lang w:val="es-ES" w:eastAsia="es-ES"/>
    </w:rPr>
  </w:style>
  <w:style w:type="character" w:customStyle="1" w:styleId="FontStyle55">
    <w:name w:val="Font Style55"/>
    <w:uiPriority w:val="99"/>
    <w:rsid w:val="001A4860"/>
    <w:rPr>
      <w:rFonts w:ascii="Arial" w:hAnsi="Arial" w:cs="Arial"/>
      <w:b/>
      <w:bCs/>
      <w:sz w:val="18"/>
      <w:szCs w:val="18"/>
    </w:rPr>
  </w:style>
  <w:style w:type="paragraph" w:styleId="Tabladeilustraciones">
    <w:name w:val="table of figures"/>
    <w:basedOn w:val="Normal"/>
    <w:next w:val="Normal"/>
    <w:uiPriority w:val="99"/>
    <w:unhideWhenUsed/>
    <w:rsid w:val="001A4860"/>
    <w:pPr>
      <w:spacing w:line="0" w:lineRule="atLeast"/>
    </w:pPr>
    <w:rPr>
      <w:rFonts w:ascii="Arial" w:eastAsia="Calibri" w:hAnsi="Arial"/>
      <w:szCs w:val="22"/>
      <w:lang w:val="es-NI"/>
    </w:rPr>
  </w:style>
  <w:style w:type="paragraph" w:customStyle="1" w:styleId="Textoindependiente32">
    <w:name w:val="Texto independiente 32"/>
    <w:basedOn w:val="Normal"/>
    <w:rsid w:val="001A4860"/>
    <w:pPr>
      <w:widowControl w:val="0"/>
    </w:pPr>
    <w:rPr>
      <w:rFonts w:eastAsia="MS Mincho"/>
      <w:lang w:val="es-ES" w:eastAsia="es-ES"/>
    </w:rPr>
  </w:style>
  <w:style w:type="table" w:styleId="Listamedia2-nfasis1">
    <w:name w:val="Medium List 2 Accent 1"/>
    <w:basedOn w:val="Tablanormal"/>
    <w:uiPriority w:val="66"/>
    <w:rsid w:val="001A4860"/>
    <w:rPr>
      <w:rFonts w:ascii="Cambria" w:eastAsia="Times New Roman" w:hAnsi="Cambria" w:cs="Times New Roman"/>
      <w:color w:val="000000"/>
      <w:sz w:val="22"/>
      <w:szCs w:val="22"/>
      <w:lang w:val="es-419"/>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extoindependiente33">
    <w:name w:val="Texto independiente 33"/>
    <w:basedOn w:val="Normal"/>
    <w:rsid w:val="001A4860"/>
    <w:pPr>
      <w:widowControl w:val="0"/>
    </w:pPr>
    <w:rPr>
      <w:lang w:val="es-ES" w:eastAsia="es-ES"/>
    </w:rPr>
  </w:style>
  <w:style w:type="paragraph" w:customStyle="1" w:styleId="Textoindependiente34">
    <w:name w:val="Texto independiente 34"/>
    <w:basedOn w:val="Normal"/>
    <w:rsid w:val="001A4860"/>
    <w:pPr>
      <w:widowControl w:val="0"/>
    </w:pPr>
    <w:rPr>
      <w:lang w:val="es-ES" w:eastAsia="es-ES"/>
    </w:rPr>
  </w:style>
  <w:style w:type="paragraph" w:customStyle="1" w:styleId="Textoindependiente35">
    <w:name w:val="Texto independiente 35"/>
    <w:basedOn w:val="Normal"/>
    <w:rsid w:val="001A4860"/>
    <w:pPr>
      <w:widowControl w:val="0"/>
    </w:pPr>
    <w:rPr>
      <w:lang w:val="es-ES" w:eastAsia="es-ES"/>
    </w:rPr>
  </w:style>
  <w:style w:type="paragraph" w:customStyle="1" w:styleId="font0">
    <w:name w:val="font0"/>
    <w:basedOn w:val="Normal"/>
    <w:rsid w:val="001A4860"/>
    <w:pPr>
      <w:spacing w:before="100" w:beforeAutospacing="1" w:after="100" w:afterAutospacing="1"/>
      <w:jc w:val="left"/>
    </w:pPr>
    <w:rPr>
      <w:rFonts w:ascii="Calibri" w:hAnsi="Calibri" w:cs="Calibri"/>
      <w:color w:val="000000"/>
      <w:sz w:val="22"/>
      <w:szCs w:val="22"/>
      <w:lang w:val="es-ES" w:eastAsia="es-ES"/>
    </w:rPr>
  </w:style>
  <w:style w:type="paragraph" w:customStyle="1" w:styleId="font8">
    <w:name w:val="font8"/>
    <w:basedOn w:val="Normal"/>
    <w:rsid w:val="001A4860"/>
    <w:pPr>
      <w:spacing w:before="100" w:beforeAutospacing="1" w:after="100" w:afterAutospacing="1"/>
      <w:jc w:val="left"/>
    </w:pPr>
    <w:rPr>
      <w:rFonts w:ascii="Arial" w:hAnsi="Arial" w:cs="Arial"/>
      <w:color w:val="000000"/>
      <w:sz w:val="22"/>
      <w:szCs w:val="22"/>
      <w:lang w:val="es-ES" w:eastAsia="es-ES"/>
    </w:rPr>
  </w:style>
  <w:style w:type="paragraph" w:customStyle="1" w:styleId="font9">
    <w:name w:val="font9"/>
    <w:basedOn w:val="Normal"/>
    <w:rsid w:val="001A4860"/>
    <w:pPr>
      <w:spacing w:before="100" w:beforeAutospacing="1" w:after="100" w:afterAutospacing="1"/>
      <w:jc w:val="left"/>
    </w:pPr>
    <w:rPr>
      <w:rFonts w:ascii="Calibri" w:hAnsi="Calibri" w:cs="Calibri"/>
      <w:color w:val="000000"/>
      <w:sz w:val="22"/>
      <w:szCs w:val="22"/>
      <w:u w:val="single"/>
      <w:lang w:val="es-ES" w:eastAsia="es-ES"/>
    </w:rPr>
  </w:style>
  <w:style w:type="paragraph" w:customStyle="1" w:styleId="font10">
    <w:name w:val="font10"/>
    <w:basedOn w:val="Normal"/>
    <w:rsid w:val="001A4860"/>
    <w:pPr>
      <w:spacing w:before="100" w:beforeAutospacing="1" w:after="100" w:afterAutospacing="1"/>
      <w:jc w:val="left"/>
    </w:pPr>
    <w:rPr>
      <w:rFonts w:ascii="Calibri" w:hAnsi="Calibri" w:cs="Calibri"/>
      <w:color w:val="000000"/>
      <w:sz w:val="22"/>
      <w:szCs w:val="22"/>
      <w:lang w:val="es-ES" w:eastAsia="es-ES"/>
    </w:rPr>
  </w:style>
  <w:style w:type="paragraph" w:customStyle="1" w:styleId="xl188">
    <w:name w:val="xl188"/>
    <w:basedOn w:val="Normal"/>
    <w:rsid w:val="001A4860"/>
    <w:pPr>
      <w:pBdr>
        <w:top w:val="single" w:sz="4" w:space="0" w:color="auto"/>
        <w:bottom w:val="single" w:sz="4" w:space="0" w:color="auto"/>
      </w:pBdr>
      <w:shd w:val="clear" w:color="000000" w:fill="FDE9D9"/>
      <w:spacing w:before="100" w:beforeAutospacing="1" w:after="100" w:afterAutospacing="1"/>
      <w:jc w:val="center"/>
    </w:pPr>
    <w:rPr>
      <w:rFonts w:ascii="Arial" w:hAnsi="Arial" w:cs="Arial"/>
      <w:sz w:val="16"/>
      <w:szCs w:val="16"/>
      <w:lang w:val="es-ES" w:eastAsia="es-ES"/>
    </w:rPr>
  </w:style>
  <w:style w:type="paragraph" w:customStyle="1" w:styleId="xl189">
    <w:name w:val="xl189"/>
    <w:basedOn w:val="Normal"/>
    <w:rsid w:val="001A4860"/>
    <w:pPr>
      <w:pBdr>
        <w:top w:val="single" w:sz="4" w:space="0" w:color="auto"/>
        <w:bottom w:val="single" w:sz="4" w:space="0" w:color="auto"/>
        <w:right w:val="single" w:sz="4" w:space="0" w:color="auto"/>
      </w:pBdr>
      <w:shd w:val="clear" w:color="000000" w:fill="FDE9D9"/>
      <w:spacing w:before="100" w:beforeAutospacing="1" w:after="100" w:afterAutospacing="1"/>
      <w:jc w:val="center"/>
    </w:pPr>
    <w:rPr>
      <w:rFonts w:ascii="Arial" w:hAnsi="Arial" w:cs="Arial"/>
      <w:sz w:val="16"/>
      <w:szCs w:val="16"/>
      <w:lang w:val="es-ES" w:eastAsia="es-ES"/>
    </w:rPr>
  </w:style>
  <w:style w:type="paragraph" w:customStyle="1" w:styleId="xl190">
    <w:name w:val="xl190"/>
    <w:basedOn w:val="Normal"/>
    <w:rsid w:val="001A48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sz w:val="16"/>
      <w:szCs w:val="16"/>
      <w:lang w:val="es-ES" w:eastAsia="es-ES"/>
    </w:rPr>
  </w:style>
  <w:style w:type="paragraph" w:customStyle="1" w:styleId="xl191">
    <w:name w:val="xl191"/>
    <w:basedOn w:val="Normal"/>
    <w:rsid w:val="001A48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Arial" w:hAnsi="Arial" w:cs="Arial"/>
      <w:sz w:val="16"/>
      <w:szCs w:val="16"/>
      <w:lang w:val="es-ES" w:eastAsia="es-ES"/>
    </w:rPr>
  </w:style>
  <w:style w:type="paragraph" w:customStyle="1" w:styleId="xl192">
    <w:name w:val="xl192"/>
    <w:basedOn w:val="Normal"/>
    <w:rsid w:val="001A48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sz w:val="16"/>
      <w:szCs w:val="16"/>
      <w:lang w:val="es-ES" w:eastAsia="es-ES"/>
    </w:rPr>
  </w:style>
  <w:style w:type="paragraph" w:customStyle="1" w:styleId="xl193">
    <w:name w:val="xl193"/>
    <w:basedOn w:val="Normal"/>
    <w:rsid w:val="001A48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sz w:val="16"/>
      <w:szCs w:val="16"/>
      <w:lang w:val="es-ES" w:eastAsia="es-ES"/>
    </w:rPr>
  </w:style>
  <w:style w:type="paragraph" w:customStyle="1" w:styleId="xl194">
    <w:name w:val="xl194"/>
    <w:basedOn w:val="Normal"/>
    <w:rsid w:val="001A4860"/>
    <w:pPr>
      <w:pBdr>
        <w:top w:val="single" w:sz="4" w:space="0" w:color="auto"/>
        <w:left w:val="single" w:sz="4" w:space="0" w:color="auto"/>
        <w:bottom w:val="single" w:sz="4" w:space="0" w:color="auto"/>
      </w:pBdr>
      <w:shd w:val="clear" w:color="000000" w:fill="FDE9D9"/>
      <w:spacing w:before="100" w:beforeAutospacing="1" w:after="100" w:afterAutospacing="1"/>
      <w:jc w:val="left"/>
    </w:pPr>
    <w:rPr>
      <w:rFonts w:ascii="Arial" w:hAnsi="Arial" w:cs="Arial"/>
      <w:b/>
      <w:bCs/>
      <w:sz w:val="16"/>
      <w:szCs w:val="16"/>
      <w:lang w:val="es-ES" w:eastAsia="es-ES"/>
    </w:rPr>
  </w:style>
  <w:style w:type="paragraph" w:customStyle="1" w:styleId="xl195">
    <w:name w:val="xl195"/>
    <w:basedOn w:val="Normal"/>
    <w:rsid w:val="001A4860"/>
    <w:pPr>
      <w:pBdr>
        <w:lef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96">
    <w:name w:val="xl196"/>
    <w:basedOn w:val="Normal"/>
    <w:rsid w:val="001A4860"/>
    <w:pPr>
      <w:spacing w:before="100" w:beforeAutospacing="1" w:after="100" w:afterAutospacing="1"/>
      <w:jc w:val="center"/>
    </w:pPr>
    <w:rPr>
      <w:rFonts w:ascii="Arial" w:hAnsi="Arial" w:cs="Arial"/>
      <w:sz w:val="16"/>
      <w:szCs w:val="16"/>
      <w:lang w:val="es-ES" w:eastAsia="es-ES"/>
    </w:rPr>
  </w:style>
  <w:style w:type="paragraph" w:customStyle="1" w:styleId="xl197">
    <w:name w:val="xl197"/>
    <w:basedOn w:val="Normal"/>
    <w:rsid w:val="001A4860"/>
    <w:pPr>
      <w:pBdr>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98">
    <w:name w:val="xl198"/>
    <w:basedOn w:val="Normal"/>
    <w:rsid w:val="001A4860"/>
    <w:pPr>
      <w:pBdr>
        <w:left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199">
    <w:name w:val="xl199"/>
    <w:basedOn w:val="Normal"/>
    <w:rsid w:val="001A4860"/>
    <w:pPr>
      <w:pBdr>
        <w:left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00">
    <w:name w:val="xl200"/>
    <w:basedOn w:val="Normal"/>
    <w:rsid w:val="001A4860"/>
    <w:pPr>
      <w:pBdr>
        <w:left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01">
    <w:name w:val="xl201"/>
    <w:basedOn w:val="Normal"/>
    <w:rsid w:val="001A4860"/>
    <w:pPr>
      <w:pBdr>
        <w:left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02">
    <w:name w:val="xl202"/>
    <w:basedOn w:val="Normal"/>
    <w:rsid w:val="001A4860"/>
    <w:pPr>
      <w:pBdr>
        <w:left w:val="single" w:sz="4" w:space="0" w:color="auto"/>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03">
    <w:name w:val="xl203"/>
    <w:basedOn w:val="Normal"/>
    <w:rsid w:val="001A4860"/>
    <w:pPr>
      <w:pBdr>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04">
    <w:name w:val="xl204"/>
    <w:basedOn w:val="Normal"/>
    <w:rsid w:val="001A4860"/>
    <w:pPr>
      <w:pBdr>
        <w:left w:val="single" w:sz="4" w:space="0" w:color="auto"/>
        <w:righ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205">
    <w:name w:val="xl205"/>
    <w:basedOn w:val="Normal"/>
    <w:rsid w:val="001A4860"/>
    <w:pPr>
      <w:pBdr>
        <w:left w:val="single" w:sz="4" w:space="0" w:color="auto"/>
        <w:righ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206">
    <w:name w:val="xl206"/>
    <w:basedOn w:val="Normal"/>
    <w:rsid w:val="001A4860"/>
    <w:pPr>
      <w:pBdr>
        <w:lef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207">
    <w:name w:val="xl207"/>
    <w:basedOn w:val="Normal"/>
    <w:rsid w:val="001A4860"/>
    <w:pPr>
      <w:pBdr>
        <w:left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208">
    <w:name w:val="xl208"/>
    <w:basedOn w:val="Normal"/>
    <w:rsid w:val="001A4860"/>
    <w:pP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209">
    <w:name w:val="xl209"/>
    <w:basedOn w:val="Normal"/>
    <w:rsid w:val="001A4860"/>
    <w:pPr>
      <w:pBdr>
        <w:left w:val="single" w:sz="4" w:space="0" w:color="auto"/>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10">
    <w:name w:val="xl210"/>
    <w:basedOn w:val="Normal"/>
    <w:rsid w:val="001A4860"/>
    <w:pPr>
      <w:pBdr>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11">
    <w:name w:val="xl211"/>
    <w:basedOn w:val="Normal"/>
    <w:rsid w:val="001A4860"/>
    <w:pPr>
      <w:pBdr>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12">
    <w:name w:val="xl212"/>
    <w:basedOn w:val="Normal"/>
    <w:rsid w:val="001A486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13">
    <w:name w:val="xl213"/>
    <w:basedOn w:val="Normal"/>
    <w:rsid w:val="001A4860"/>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14">
    <w:name w:val="xl214"/>
    <w:basedOn w:val="Normal"/>
    <w:rsid w:val="001A4860"/>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15">
    <w:name w:val="xl215"/>
    <w:basedOn w:val="Normal"/>
    <w:rsid w:val="001A4860"/>
    <w:pPr>
      <w:pBdr>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216">
    <w:name w:val="xl216"/>
    <w:basedOn w:val="Normal"/>
    <w:rsid w:val="001A4860"/>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17">
    <w:name w:val="xl217"/>
    <w:basedOn w:val="Normal"/>
    <w:rsid w:val="001A4860"/>
    <w:pPr>
      <w:pBdr>
        <w:top w:val="single" w:sz="4" w:space="0" w:color="auto"/>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18">
    <w:name w:val="xl218"/>
    <w:basedOn w:val="Normal"/>
    <w:rsid w:val="001A4860"/>
    <w:pPr>
      <w:pBdr>
        <w:top w:val="single" w:sz="4" w:space="0" w:color="auto"/>
        <w:bottom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219">
    <w:name w:val="xl219"/>
    <w:basedOn w:val="Normal"/>
    <w:rsid w:val="001A4860"/>
    <w:pPr>
      <w:pBdr>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220">
    <w:name w:val="xl220"/>
    <w:basedOn w:val="Normal"/>
    <w:rsid w:val="001A4860"/>
    <w:pPr>
      <w:pBdr>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sz w:val="16"/>
      <w:szCs w:val="16"/>
      <w:lang w:val="es-ES" w:eastAsia="es-ES"/>
    </w:rPr>
  </w:style>
  <w:style w:type="paragraph" w:customStyle="1" w:styleId="xl221">
    <w:name w:val="xl221"/>
    <w:basedOn w:val="Normal"/>
    <w:rsid w:val="001A4860"/>
    <w:pPr>
      <w:pBdr>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222">
    <w:name w:val="xl222"/>
    <w:basedOn w:val="Normal"/>
    <w:rsid w:val="001A4860"/>
    <w:pPr>
      <w:pBdr>
        <w:top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23">
    <w:name w:val="xl223"/>
    <w:basedOn w:val="Normal"/>
    <w:rsid w:val="001A4860"/>
    <w:pPr>
      <w:pBdr>
        <w:left w:val="single" w:sz="4" w:space="0" w:color="auto"/>
      </w:pBdr>
      <w:spacing w:before="100" w:beforeAutospacing="1" w:after="100" w:afterAutospacing="1"/>
      <w:jc w:val="left"/>
    </w:pPr>
    <w:rPr>
      <w:szCs w:val="24"/>
      <w:lang w:val="es-ES" w:eastAsia="es-ES"/>
    </w:rPr>
  </w:style>
  <w:style w:type="paragraph" w:customStyle="1" w:styleId="xl224">
    <w:name w:val="xl224"/>
    <w:basedOn w:val="Normal"/>
    <w:rsid w:val="001A4860"/>
    <w:pPr>
      <w:pBdr>
        <w:left w:val="single" w:sz="4" w:space="0" w:color="auto"/>
        <w:bottom w:val="single" w:sz="4" w:space="0" w:color="auto"/>
      </w:pBdr>
      <w:spacing w:before="100" w:beforeAutospacing="1" w:after="100" w:afterAutospacing="1"/>
      <w:jc w:val="left"/>
    </w:pPr>
    <w:rPr>
      <w:szCs w:val="24"/>
      <w:lang w:val="es-ES" w:eastAsia="es-ES"/>
    </w:rPr>
  </w:style>
  <w:style w:type="paragraph" w:customStyle="1" w:styleId="xl225">
    <w:name w:val="xl225"/>
    <w:basedOn w:val="Normal"/>
    <w:rsid w:val="001A4860"/>
    <w:pPr>
      <w:pBdr>
        <w:left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26">
    <w:name w:val="xl226"/>
    <w:basedOn w:val="Normal"/>
    <w:rsid w:val="001A4860"/>
    <w:pPr>
      <w:pBdr>
        <w:bottom w:val="single" w:sz="4" w:space="0" w:color="auto"/>
      </w:pBdr>
      <w:spacing w:before="100" w:beforeAutospacing="1" w:after="100" w:afterAutospacing="1"/>
      <w:jc w:val="left"/>
    </w:pPr>
    <w:rPr>
      <w:szCs w:val="24"/>
      <w:lang w:val="es-ES" w:eastAsia="es-ES"/>
    </w:rPr>
  </w:style>
  <w:style w:type="paragraph" w:customStyle="1" w:styleId="xl227">
    <w:name w:val="xl227"/>
    <w:basedOn w:val="Normal"/>
    <w:rsid w:val="001A4860"/>
    <w:pPr>
      <w:pBdr>
        <w:bottom w:val="single" w:sz="4" w:space="0" w:color="auto"/>
      </w:pBdr>
      <w:spacing w:before="100" w:beforeAutospacing="1" w:after="100" w:afterAutospacing="1"/>
      <w:jc w:val="left"/>
    </w:pPr>
    <w:rPr>
      <w:b/>
      <w:bCs/>
      <w:szCs w:val="24"/>
      <w:lang w:val="es-ES" w:eastAsia="es-ES"/>
    </w:rPr>
  </w:style>
  <w:style w:type="paragraph" w:customStyle="1" w:styleId="xl228">
    <w:name w:val="xl228"/>
    <w:basedOn w:val="Normal"/>
    <w:rsid w:val="001A4860"/>
    <w:pPr>
      <w:pBdr>
        <w:left w:val="single" w:sz="4" w:space="0" w:color="auto"/>
        <w:bottom w:val="single" w:sz="4" w:space="0" w:color="auto"/>
        <w:right w:val="single" w:sz="8" w:space="0" w:color="auto"/>
      </w:pBdr>
      <w:spacing w:before="100" w:beforeAutospacing="1" w:after="100" w:afterAutospacing="1"/>
      <w:jc w:val="left"/>
    </w:pPr>
    <w:rPr>
      <w:b/>
      <w:bCs/>
      <w:szCs w:val="24"/>
      <w:lang w:val="es-ES" w:eastAsia="es-ES"/>
    </w:rPr>
  </w:style>
  <w:style w:type="paragraph" w:customStyle="1" w:styleId="xl229">
    <w:name w:val="xl229"/>
    <w:basedOn w:val="Normal"/>
    <w:rsid w:val="001A4860"/>
    <w:pPr>
      <w:pBdr>
        <w:left w:val="single" w:sz="8" w:space="0" w:color="auto"/>
        <w:bottom w:val="single" w:sz="4"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230">
    <w:name w:val="xl230"/>
    <w:basedOn w:val="Normal"/>
    <w:rsid w:val="001A4860"/>
    <w:pPr>
      <w:pBdr>
        <w:bottom w:val="single" w:sz="4" w:space="0" w:color="auto"/>
        <w:right w:val="single" w:sz="4" w:space="0" w:color="auto"/>
      </w:pBdr>
      <w:shd w:val="clear" w:color="000000" w:fill="B8CCE4"/>
      <w:spacing w:before="100" w:beforeAutospacing="1" w:after="100" w:afterAutospacing="1"/>
      <w:jc w:val="left"/>
    </w:pPr>
    <w:rPr>
      <w:szCs w:val="24"/>
      <w:lang w:val="es-ES" w:eastAsia="es-ES"/>
    </w:rPr>
  </w:style>
  <w:style w:type="paragraph" w:customStyle="1" w:styleId="xl231">
    <w:name w:val="xl231"/>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32">
    <w:name w:val="xl232"/>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33">
    <w:name w:val="xl233"/>
    <w:basedOn w:val="Normal"/>
    <w:rsid w:val="001A4860"/>
    <w:pPr>
      <w:pBdr>
        <w:top w:val="single" w:sz="4" w:space="0" w:color="auto"/>
        <w:left w:val="single" w:sz="4" w:space="0" w:color="auto"/>
        <w:bottom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34">
    <w:name w:val="xl234"/>
    <w:basedOn w:val="Normal"/>
    <w:rsid w:val="001A486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hAnsi="Arial" w:cs="Arial"/>
      <w:sz w:val="16"/>
      <w:szCs w:val="16"/>
      <w:lang w:val="es-ES" w:eastAsia="es-ES"/>
    </w:rPr>
  </w:style>
  <w:style w:type="paragraph" w:customStyle="1" w:styleId="xl235">
    <w:name w:val="xl235"/>
    <w:basedOn w:val="Normal"/>
    <w:rsid w:val="001A486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36">
    <w:name w:val="xl236"/>
    <w:basedOn w:val="Normal"/>
    <w:rsid w:val="001A486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37">
    <w:name w:val="xl237"/>
    <w:basedOn w:val="Normal"/>
    <w:rsid w:val="001A4860"/>
    <w:pPr>
      <w:pBdr>
        <w:top w:val="single" w:sz="4" w:space="0" w:color="auto"/>
        <w:left w:val="single" w:sz="4" w:space="0" w:color="auto"/>
        <w:bottom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38">
    <w:name w:val="xl238"/>
    <w:basedOn w:val="Normal"/>
    <w:rsid w:val="001A486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39">
    <w:name w:val="xl239"/>
    <w:basedOn w:val="Normal"/>
    <w:rsid w:val="001A4860"/>
    <w:pPr>
      <w:pBdr>
        <w:top w:val="single" w:sz="4" w:space="0" w:color="auto"/>
        <w:left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40">
    <w:name w:val="xl240"/>
    <w:basedOn w:val="Normal"/>
    <w:rsid w:val="001A4860"/>
    <w:pPr>
      <w:pBdr>
        <w:top w:val="single" w:sz="4" w:space="0" w:color="auto"/>
        <w:left w:val="single" w:sz="4" w:space="0" w:color="auto"/>
        <w:right w:val="single" w:sz="4" w:space="0" w:color="auto"/>
      </w:pBdr>
      <w:shd w:val="clear" w:color="000000" w:fill="E5E0EC"/>
      <w:spacing w:before="100" w:beforeAutospacing="1" w:after="100" w:afterAutospacing="1"/>
      <w:jc w:val="center"/>
    </w:pPr>
    <w:rPr>
      <w:rFonts w:ascii="Arial" w:hAnsi="Arial" w:cs="Arial"/>
      <w:sz w:val="16"/>
      <w:szCs w:val="16"/>
      <w:lang w:val="es-ES" w:eastAsia="es-ES"/>
    </w:rPr>
  </w:style>
  <w:style w:type="paragraph" w:customStyle="1" w:styleId="xl241">
    <w:name w:val="xl241"/>
    <w:basedOn w:val="Normal"/>
    <w:rsid w:val="001A4860"/>
    <w:pPr>
      <w:pBdr>
        <w:top w:val="single" w:sz="4" w:space="0" w:color="auto"/>
        <w:left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42">
    <w:name w:val="xl242"/>
    <w:basedOn w:val="Normal"/>
    <w:rsid w:val="001A4860"/>
    <w:pPr>
      <w:pBdr>
        <w:top w:val="single" w:sz="4" w:space="0" w:color="auto"/>
        <w:left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43">
    <w:name w:val="xl243"/>
    <w:basedOn w:val="Normal"/>
    <w:rsid w:val="001A4860"/>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left"/>
    </w:pPr>
    <w:rPr>
      <w:b/>
      <w:bCs/>
      <w:szCs w:val="24"/>
      <w:lang w:val="es-ES" w:eastAsia="es-ES"/>
    </w:rPr>
  </w:style>
  <w:style w:type="paragraph" w:customStyle="1" w:styleId="xl244">
    <w:name w:val="xl244"/>
    <w:basedOn w:val="Normal"/>
    <w:rsid w:val="001A4860"/>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left"/>
    </w:pPr>
    <w:rPr>
      <w:b/>
      <w:bCs/>
      <w:szCs w:val="24"/>
      <w:lang w:val="es-ES" w:eastAsia="es-ES"/>
    </w:rPr>
  </w:style>
  <w:style w:type="paragraph" w:customStyle="1" w:styleId="xl245">
    <w:name w:val="xl245"/>
    <w:basedOn w:val="Normal"/>
    <w:rsid w:val="001A4860"/>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sz w:val="16"/>
      <w:szCs w:val="16"/>
      <w:lang w:val="es-ES" w:eastAsia="es-ES"/>
    </w:rPr>
  </w:style>
  <w:style w:type="paragraph" w:customStyle="1" w:styleId="xl246">
    <w:name w:val="xl246"/>
    <w:basedOn w:val="Normal"/>
    <w:rsid w:val="001A48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b/>
      <w:bCs/>
      <w:szCs w:val="24"/>
      <w:lang w:val="es-ES" w:eastAsia="es-ES"/>
    </w:rPr>
  </w:style>
  <w:style w:type="paragraph" w:customStyle="1" w:styleId="xl247">
    <w:name w:val="xl247"/>
    <w:basedOn w:val="Normal"/>
    <w:rsid w:val="001A4860"/>
    <w:pPr>
      <w:pBdr>
        <w:top w:val="single" w:sz="4" w:space="0" w:color="auto"/>
        <w:bottom w:val="single" w:sz="4" w:space="0" w:color="auto"/>
        <w:right w:val="single" w:sz="4" w:space="0" w:color="auto"/>
      </w:pBdr>
      <w:shd w:val="clear" w:color="000000" w:fill="92D050"/>
      <w:spacing w:before="100" w:beforeAutospacing="1" w:after="100" w:afterAutospacing="1"/>
      <w:jc w:val="left"/>
    </w:pPr>
    <w:rPr>
      <w:b/>
      <w:bCs/>
      <w:szCs w:val="24"/>
      <w:lang w:val="es-ES" w:eastAsia="es-ES"/>
    </w:rPr>
  </w:style>
  <w:style w:type="paragraph" w:customStyle="1" w:styleId="xl248">
    <w:name w:val="xl248"/>
    <w:basedOn w:val="Normal"/>
    <w:rsid w:val="001A48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b/>
      <w:bCs/>
      <w:szCs w:val="24"/>
      <w:lang w:val="es-ES" w:eastAsia="es-ES"/>
    </w:rPr>
  </w:style>
  <w:style w:type="paragraph" w:customStyle="1" w:styleId="xl249">
    <w:name w:val="xl249"/>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50">
    <w:name w:val="xl250"/>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51">
    <w:name w:val="xl251"/>
    <w:basedOn w:val="Normal"/>
    <w:rsid w:val="001A486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52">
    <w:name w:val="xl252"/>
    <w:basedOn w:val="Normal"/>
    <w:rsid w:val="001A4860"/>
    <w:pPr>
      <w:pBdr>
        <w:top w:val="single" w:sz="4" w:space="0" w:color="auto"/>
        <w:left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253">
    <w:name w:val="xl253"/>
    <w:basedOn w:val="Normal"/>
    <w:rsid w:val="001A4860"/>
    <w:pPr>
      <w:pBdr>
        <w:top w:val="single" w:sz="4" w:space="0" w:color="auto"/>
        <w:left w:val="single" w:sz="8"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254">
    <w:name w:val="xl254"/>
    <w:basedOn w:val="Normal"/>
    <w:rsid w:val="001A48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pPr>
    <w:rPr>
      <w:rFonts w:ascii="Arial" w:hAnsi="Arial" w:cs="Arial"/>
      <w:b/>
      <w:bCs/>
      <w:sz w:val="16"/>
      <w:szCs w:val="16"/>
      <w:lang w:val="es-ES" w:eastAsia="es-ES"/>
    </w:rPr>
  </w:style>
  <w:style w:type="paragraph" w:customStyle="1" w:styleId="xl255">
    <w:name w:val="xl255"/>
    <w:basedOn w:val="Normal"/>
    <w:rsid w:val="001A4860"/>
    <w:pPr>
      <w:spacing w:before="100" w:beforeAutospacing="1" w:after="100" w:afterAutospacing="1"/>
      <w:jc w:val="right"/>
    </w:pPr>
    <w:rPr>
      <w:rFonts w:ascii="Arial" w:hAnsi="Arial" w:cs="Arial"/>
      <w:b/>
      <w:bCs/>
      <w:sz w:val="16"/>
      <w:szCs w:val="16"/>
      <w:lang w:val="es-ES" w:eastAsia="es-ES"/>
    </w:rPr>
  </w:style>
  <w:style w:type="paragraph" w:customStyle="1" w:styleId="xl256">
    <w:name w:val="xl256"/>
    <w:basedOn w:val="Normal"/>
    <w:rsid w:val="001A4860"/>
    <w:pPr>
      <w:pBdr>
        <w:left w:val="single" w:sz="8"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257">
    <w:name w:val="xl257"/>
    <w:basedOn w:val="Normal"/>
    <w:rsid w:val="001A48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b/>
      <w:bCs/>
      <w:sz w:val="16"/>
      <w:szCs w:val="16"/>
      <w:lang w:val="es-ES" w:eastAsia="es-ES"/>
    </w:rPr>
  </w:style>
  <w:style w:type="paragraph" w:customStyle="1" w:styleId="xl258">
    <w:name w:val="xl258"/>
    <w:basedOn w:val="Normal"/>
    <w:rsid w:val="001A4860"/>
    <w:pPr>
      <w:pBdr>
        <w:bottom w:val="single" w:sz="4" w:space="0" w:color="auto"/>
        <w:right w:val="single" w:sz="4" w:space="0" w:color="auto"/>
      </w:pBdr>
      <w:shd w:val="clear" w:color="000000" w:fill="FDE9D9"/>
      <w:spacing w:before="100" w:beforeAutospacing="1" w:after="100" w:afterAutospacing="1"/>
      <w:jc w:val="center"/>
    </w:pPr>
    <w:rPr>
      <w:rFonts w:ascii="Arial" w:hAnsi="Arial" w:cs="Arial"/>
      <w:sz w:val="16"/>
      <w:szCs w:val="16"/>
      <w:lang w:val="es-ES" w:eastAsia="es-ES"/>
    </w:rPr>
  </w:style>
  <w:style w:type="paragraph" w:customStyle="1" w:styleId="xl259">
    <w:name w:val="xl259"/>
    <w:basedOn w:val="Normal"/>
    <w:rsid w:val="001A4860"/>
    <w:pPr>
      <w:pBdr>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Arial" w:hAnsi="Arial" w:cs="Arial"/>
      <w:sz w:val="16"/>
      <w:szCs w:val="16"/>
      <w:lang w:val="es-ES" w:eastAsia="es-ES"/>
    </w:rPr>
  </w:style>
  <w:style w:type="paragraph" w:customStyle="1" w:styleId="xl260">
    <w:name w:val="xl260"/>
    <w:basedOn w:val="Normal"/>
    <w:rsid w:val="001A4860"/>
    <w:pPr>
      <w:pBdr>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sz w:val="16"/>
      <w:szCs w:val="16"/>
      <w:lang w:val="es-ES" w:eastAsia="es-ES"/>
    </w:rPr>
  </w:style>
  <w:style w:type="paragraph" w:customStyle="1" w:styleId="xl261">
    <w:name w:val="xl261"/>
    <w:basedOn w:val="Normal"/>
    <w:rsid w:val="001A4860"/>
    <w:pPr>
      <w:pBdr>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sz w:val="16"/>
      <w:szCs w:val="16"/>
      <w:lang w:val="es-ES" w:eastAsia="es-ES"/>
    </w:rPr>
  </w:style>
  <w:style w:type="paragraph" w:customStyle="1" w:styleId="xl262">
    <w:name w:val="xl262"/>
    <w:basedOn w:val="Normal"/>
    <w:rsid w:val="001A4860"/>
    <w:pPr>
      <w:pBdr>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b/>
      <w:bCs/>
      <w:sz w:val="16"/>
      <w:szCs w:val="16"/>
      <w:lang w:val="es-ES" w:eastAsia="es-ES"/>
    </w:rPr>
  </w:style>
  <w:style w:type="paragraph" w:customStyle="1" w:styleId="xl263">
    <w:name w:val="xl263"/>
    <w:basedOn w:val="Normal"/>
    <w:rsid w:val="001A48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sz w:val="16"/>
      <w:szCs w:val="16"/>
      <w:lang w:val="es-ES" w:eastAsia="es-ES"/>
    </w:rPr>
  </w:style>
  <w:style w:type="paragraph" w:customStyle="1" w:styleId="xl264">
    <w:name w:val="xl264"/>
    <w:basedOn w:val="Normal"/>
    <w:rsid w:val="001A4860"/>
    <w:pPr>
      <w:pBdr>
        <w:top w:val="single" w:sz="4" w:space="0" w:color="auto"/>
        <w:left w:val="single" w:sz="4" w:space="0" w:color="auto"/>
        <w:bottom w:val="single" w:sz="4" w:space="0" w:color="auto"/>
      </w:pBdr>
      <w:shd w:val="clear" w:color="000000" w:fill="FDE9D9"/>
      <w:spacing w:before="100" w:beforeAutospacing="1" w:after="100" w:afterAutospacing="1"/>
      <w:jc w:val="left"/>
    </w:pPr>
    <w:rPr>
      <w:rFonts w:ascii="Arial" w:hAnsi="Arial" w:cs="Arial"/>
      <w:b/>
      <w:bCs/>
      <w:sz w:val="16"/>
      <w:szCs w:val="16"/>
      <w:lang w:val="es-ES" w:eastAsia="es-ES"/>
    </w:rPr>
  </w:style>
  <w:style w:type="paragraph" w:customStyle="1" w:styleId="xl265">
    <w:name w:val="xl265"/>
    <w:basedOn w:val="Normal"/>
    <w:rsid w:val="001A4860"/>
    <w:pPr>
      <w:pBdr>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w:hAnsi="Arial" w:cs="Arial"/>
      <w:b/>
      <w:bCs/>
      <w:sz w:val="16"/>
      <w:szCs w:val="16"/>
      <w:lang w:val="es-ES" w:eastAsia="es-ES"/>
    </w:rPr>
  </w:style>
  <w:style w:type="paragraph" w:customStyle="1" w:styleId="xl266">
    <w:name w:val="xl266"/>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67">
    <w:name w:val="xl267"/>
    <w:basedOn w:val="Normal"/>
    <w:rsid w:val="001A4860"/>
    <w:pPr>
      <w:pBdr>
        <w:top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68">
    <w:name w:val="xl268"/>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69">
    <w:name w:val="xl269"/>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es-ES" w:eastAsia="es-ES"/>
    </w:rPr>
  </w:style>
  <w:style w:type="paragraph" w:customStyle="1" w:styleId="xl270">
    <w:name w:val="xl270"/>
    <w:basedOn w:val="Normal"/>
    <w:rsid w:val="001A4860"/>
    <w:pPr>
      <w:pBdr>
        <w:top w:val="single" w:sz="4" w:space="0" w:color="auto"/>
        <w:bottom w:val="single" w:sz="4" w:space="0" w:color="auto"/>
      </w:pBdr>
      <w:spacing w:before="100" w:beforeAutospacing="1" w:after="100" w:afterAutospacing="1"/>
      <w:jc w:val="left"/>
    </w:pPr>
    <w:rPr>
      <w:szCs w:val="24"/>
      <w:lang w:val="es-ES" w:eastAsia="es-ES"/>
    </w:rPr>
  </w:style>
  <w:style w:type="paragraph" w:customStyle="1" w:styleId="xl271">
    <w:name w:val="xl271"/>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es-ES" w:eastAsia="es-ES"/>
    </w:rPr>
  </w:style>
  <w:style w:type="paragraph" w:customStyle="1" w:styleId="xl272">
    <w:name w:val="xl272"/>
    <w:basedOn w:val="Normal"/>
    <w:rsid w:val="001A4860"/>
    <w:pPr>
      <w:pBdr>
        <w:top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73">
    <w:name w:val="xl273"/>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es-ES" w:eastAsia="es-ES"/>
    </w:rPr>
  </w:style>
  <w:style w:type="paragraph" w:customStyle="1" w:styleId="xl274">
    <w:name w:val="xl274"/>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Cs w:val="24"/>
      <w:lang w:val="es-ES" w:eastAsia="es-ES"/>
    </w:rPr>
  </w:style>
  <w:style w:type="paragraph" w:customStyle="1" w:styleId="xl275">
    <w:name w:val="xl275"/>
    <w:basedOn w:val="Normal"/>
    <w:rsid w:val="001A4860"/>
    <w:pPr>
      <w:pBdr>
        <w:top w:val="single" w:sz="4" w:space="0" w:color="auto"/>
        <w:bottom w:val="single" w:sz="4" w:space="0" w:color="auto"/>
        <w:right w:val="single" w:sz="4" w:space="0" w:color="auto"/>
      </w:pBdr>
      <w:spacing w:before="100" w:beforeAutospacing="1" w:after="100" w:afterAutospacing="1"/>
      <w:jc w:val="left"/>
    </w:pPr>
    <w:rPr>
      <w:szCs w:val="24"/>
      <w:lang w:val="es-ES" w:eastAsia="es-ES"/>
    </w:rPr>
  </w:style>
  <w:style w:type="paragraph" w:customStyle="1" w:styleId="xl276">
    <w:name w:val="xl276"/>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s-ES" w:eastAsia="es-ES"/>
    </w:rPr>
  </w:style>
  <w:style w:type="paragraph" w:customStyle="1" w:styleId="xl277">
    <w:name w:val="xl277"/>
    <w:basedOn w:val="Normal"/>
    <w:rsid w:val="001A4860"/>
    <w:pPr>
      <w:pBdr>
        <w:top w:val="single" w:sz="4" w:space="0" w:color="auto"/>
        <w:left w:val="single" w:sz="4" w:space="0" w:color="auto"/>
        <w:right w:val="single" w:sz="4" w:space="0" w:color="auto"/>
      </w:pBdr>
      <w:spacing w:before="100" w:beforeAutospacing="1" w:after="100" w:afterAutospacing="1"/>
      <w:jc w:val="center"/>
    </w:pPr>
    <w:rPr>
      <w:szCs w:val="24"/>
      <w:lang w:val="es-ES" w:eastAsia="es-ES"/>
    </w:rPr>
  </w:style>
  <w:style w:type="paragraph" w:customStyle="1" w:styleId="xl278">
    <w:name w:val="xl278"/>
    <w:basedOn w:val="Normal"/>
    <w:rsid w:val="001A4860"/>
    <w:pPr>
      <w:pBdr>
        <w:top w:val="single" w:sz="4" w:space="0" w:color="auto"/>
        <w:left w:val="single" w:sz="4" w:space="0" w:color="auto"/>
        <w:right w:val="single" w:sz="4" w:space="0" w:color="auto"/>
      </w:pBdr>
      <w:spacing w:before="100" w:beforeAutospacing="1" w:after="100" w:afterAutospacing="1"/>
      <w:jc w:val="left"/>
    </w:pPr>
    <w:rPr>
      <w:szCs w:val="24"/>
      <w:lang w:val="es-ES" w:eastAsia="es-ES"/>
    </w:rPr>
  </w:style>
  <w:style w:type="paragraph" w:customStyle="1" w:styleId="xl279">
    <w:name w:val="xl279"/>
    <w:basedOn w:val="Normal"/>
    <w:rsid w:val="001A4860"/>
    <w:pPr>
      <w:pBdr>
        <w:top w:val="single" w:sz="4" w:space="0" w:color="auto"/>
        <w:right w:val="single" w:sz="4" w:space="0" w:color="auto"/>
      </w:pBdr>
      <w:spacing w:before="100" w:beforeAutospacing="1" w:after="100" w:afterAutospacing="1"/>
      <w:jc w:val="left"/>
    </w:pPr>
    <w:rPr>
      <w:szCs w:val="24"/>
      <w:lang w:val="es-ES" w:eastAsia="es-ES"/>
    </w:rPr>
  </w:style>
  <w:style w:type="paragraph" w:customStyle="1" w:styleId="xl280">
    <w:name w:val="xl280"/>
    <w:basedOn w:val="Normal"/>
    <w:rsid w:val="001A4860"/>
    <w:pPr>
      <w:pBdr>
        <w:top w:val="single" w:sz="4" w:space="0" w:color="auto"/>
        <w:left w:val="single" w:sz="4" w:space="0" w:color="auto"/>
        <w:right w:val="single" w:sz="4" w:space="0" w:color="auto"/>
      </w:pBdr>
      <w:spacing w:before="100" w:beforeAutospacing="1" w:after="100" w:afterAutospacing="1"/>
      <w:jc w:val="left"/>
    </w:pPr>
    <w:rPr>
      <w:szCs w:val="24"/>
      <w:lang w:val="es-ES" w:eastAsia="es-ES"/>
    </w:rPr>
  </w:style>
  <w:style w:type="paragraph" w:customStyle="1" w:styleId="xl281">
    <w:name w:val="xl281"/>
    <w:basedOn w:val="Normal"/>
    <w:rsid w:val="001A4860"/>
    <w:pPr>
      <w:pBdr>
        <w:top w:val="single" w:sz="4" w:space="0" w:color="auto"/>
        <w:left w:val="single" w:sz="8" w:space="0" w:color="auto"/>
        <w:bottom w:val="single" w:sz="4"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282">
    <w:name w:val="xl282"/>
    <w:basedOn w:val="Normal"/>
    <w:rsid w:val="001A4860"/>
    <w:pPr>
      <w:pBdr>
        <w:top w:val="single" w:sz="4" w:space="0" w:color="auto"/>
        <w:left w:val="single" w:sz="4" w:space="0" w:color="auto"/>
      </w:pBdr>
      <w:spacing w:before="100" w:beforeAutospacing="1" w:after="100" w:afterAutospacing="1"/>
      <w:jc w:val="left"/>
    </w:pPr>
    <w:rPr>
      <w:szCs w:val="24"/>
      <w:lang w:val="es-ES" w:eastAsia="es-ES"/>
    </w:rPr>
  </w:style>
  <w:style w:type="paragraph" w:customStyle="1" w:styleId="xl283">
    <w:name w:val="xl283"/>
    <w:basedOn w:val="Normal"/>
    <w:rsid w:val="001A4860"/>
    <w:pPr>
      <w:pBdr>
        <w:right w:val="single" w:sz="4" w:space="0" w:color="auto"/>
      </w:pBdr>
      <w:spacing w:before="100" w:beforeAutospacing="1" w:after="100" w:afterAutospacing="1"/>
      <w:jc w:val="left"/>
    </w:pPr>
    <w:rPr>
      <w:szCs w:val="24"/>
      <w:lang w:val="es-ES" w:eastAsia="es-ES"/>
    </w:rPr>
  </w:style>
  <w:style w:type="paragraph" w:customStyle="1" w:styleId="xl284">
    <w:name w:val="xl284"/>
    <w:basedOn w:val="Normal"/>
    <w:rsid w:val="001A4860"/>
    <w:pPr>
      <w:pBdr>
        <w:top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285">
    <w:name w:val="xl285"/>
    <w:basedOn w:val="Normal"/>
    <w:rsid w:val="001A4860"/>
    <w:pPr>
      <w:pBdr>
        <w:top w:val="single" w:sz="4" w:space="0" w:color="auto"/>
      </w:pBdr>
      <w:spacing w:before="100" w:beforeAutospacing="1" w:after="100" w:afterAutospacing="1"/>
      <w:jc w:val="left"/>
    </w:pPr>
    <w:rPr>
      <w:szCs w:val="24"/>
      <w:lang w:val="es-ES" w:eastAsia="es-ES"/>
    </w:rPr>
  </w:style>
  <w:style w:type="paragraph" w:customStyle="1" w:styleId="xl286">
    <w:name w:val="xl286"/>
    <w:basedOn w:val="Normal"/>
    <w:rsid w:val="001A4860"/>
    <w:pPr>
      <w:pBdr>
        <w:top w:val="single" w:sz="4" w:space="0" w:color="auto"/>
        <w:left w:val="single" w:sz="4" w:space="0" w:color="auto"/>
        <w:righ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287">
    <w:name w:val="xl287"/>
    <w:basedOn w:val="Normal"/>
    <w:rsid w:val="001A4860"/>
    <w:pPr>
      <w:pBdr>
        <w:top w:val="single" w:sz="4" w:space="0" w:color="auto"/>
        <w:left w:val="single" w:sz="8"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288">
    <w:name w:val="xl288"/>
    <w:basedOn w:val="Normal"/>
    <w:rsid w:val="001A4860"/>
    <w:pPr>
      <w:pBdr>
        <w:top w:val="single" w:sz="4" w:space="0" w:color="auto"/>
        <w:left w:val="single" w:sz="4" w:space="0" w:color="auto"/>
        <w:right w:val="single" w:sz="4" w:space="0" w:color="auto"/>
      </w:pBdr>
      <w:shd w:val="clear" w:color="000000" w:fill="B8CCE4"/>
      <w:spacing w:before="100" w:beforeAutospacing="1" w:after="100" w:afterAutospacing="1"/>
      <w:jc w:val="left"/>
    </w:pPr>
    <w:rPr>
      <w:szCs w:val="24"/>
      <w:lang w:val="es-ES" w:eastAsia="es-ES"/>
    </w:rPr>
  </w:style>
  <w:style w:type="paragraph" w:customStyle="1" w:styleId="xl289">
    <w:name w:val="xl289"/>
    <w:basedOn w:val="Normal"/>
    <w:rsid w:val="001A4860"/>
    <w:pPr>
      <w:pBdr>
        <w:top w:val="single" w:sz="4" w:space="0" w:color="auto"/>
      </w:pBdr>
      <w:spacing w:before="100" w:beforeAutospacing="1" w:after="100" w:afterAutospacing="1"/>
      <w:jc w:val="left"/>
    </w:pPr>
    <w:rPr>
      <w:b/>
      <w:bCs/>
      <w:szCs w:val="24"/>
      <w:lang w:val="es-ES" w:eastAsia="es-ES"/>
    </w:rPr>
  </w:style>
  <w:style w:type="paragraph" w:customStyle="1" w:styleId="xl290">
    <w:name w:val="xl290"/>
    <w:basedOn w:val="Normal"/>
    <w:rsid w:val="001A4860"/>
    <w:pPr>
      <w:pBdr>
        <w:top w:val="single" w:sz="4" w:space="0" w:color="auto"/>
      </w:pBdr>
      <w:spacing w:before="100" w:beforeAutospacing="1" w:after="100" w:afterAutospacing="1"/>
      <w:jc w:val="left"/>
    </w:pPr>
    <w:rPr>
      <w:b/>
      <w:bCs/>
      <w:szCs w:val="24"/>
      <w:lang w:val="es-ES" w:eastAsia="es-ES"/>
    </w:rPr>
  </w:style>
  <w:style w:type="paragraph" w:customStyle="1" w:styleId="xl291">
    <w:name w:val="xl291"/>
    <w:basedOn w:val="Normal"/>
    <w:rsid w:val="001A4860"/>
    <w:pPr>
      <w:spacing w:before="100" w:beforeAutospacing="1" w:after="100" w:afterAutospacing="1"/>
      <w:jc w:val="left"/>
    </w:pPr>
    <w:rPr>
      <w:b/>
      <w:bCs/>
      <w:szCs w:val="24"/>
      <w:lang w:val="es-ES" w:eastAsia="es-ES"/>
    </w:rPr>
  </w:style>
  <w:style w:type="paragraph" w:customStyle="1" w:styleId="xl292">
    <w:name w:val="xl292"/>
    <w:basedOn w:val="Normal"/>
    <w:rsid w:val="001A48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szCs w:val="24"/>
      <w:lang w:val="es-ES" w:eastAsia="es-ES"/>
    </w:rPr>
  </w:style>
  <w:style w:type="paragraph" w:customStyle="1" w:styleId="xl293">
    <w:name w:val="xl293"/>
    <w:basedOn w:val="Normal"/>
    <w:rsid w:val="001A48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szCs w:val="24"/>
      <w:lang w:val="es-ES" w:eastAsia="es-ES"/>
    </w:rPr>
  </w:style>
  <w:style w:type="paragraph" w:customStyle="1" w:styleId="xl294">
    <w:name w:val="xl294"/>
    <w:basedOn w:val="Normal"/>
    <w:rsid w:val="001A4860"/>
    <w:pPr>
      <w:pBdr>
        <w:top w:val="single" w:sz="4" w:space="0" w:color="auto"/>
        <w:left w:val="single" w:sz="8" w:space="0" w:color="auto"/>
        <w:right w:val="single" w:sz="4" w:space="0" w:color="auto"/>
      </w:pBdr>
      <w:shd w:val="clear" w:color="000000" w:fill="FFC000"/>
      <w:spacing w:before="100" w:beforeAutospacing="1" w:after="100" w:afterAutospacing="1"/>
      <w:jc w:val="center"/>
    </w:pPr>
    <w:rPr>
      <w:rFonts w:ascii="Arial" w:hAnsi="Arial" w:cs="Arial"/>
      <w:b/>
      <w:bCs/>
      <w:sz w:val="20"/>
      <w:lang w:val="es-ES" w:eastAsia="es-ES"/>
    </w:rPr>
  </w:style>
  <w:style w:type="paragraph" w:customStyle="1" w:styleId="xl295">
    <w:name w:val="xl295"/>
    <w:basedOn w:val="Normal"/>
    <w:rsid w:val="001A4860"/>
    <w:pPr>
      <w:pBdr>
        <w:left w:val="single" w:sz="4" w:space="0" w:color="auto"/>
        <w:right w:val="single" w:sz="4" w:space="0" w:color="auto"/>
      </w:pBdr>
      <w:shd w:val="clear" w:color="000000" w:fill="FFC000"/>
      <w:spacing w:before="100" w:beforeAutospacing="1" w:after="100" w:afterAutospacing="1"/>
      <w:jc w:val="center"/>
    </w:pPr>
    <w:rPr>
      <w:rFonts w:ascii="Arial" w:hAnsi="Arial" w:cs="Arial"/>
      <w:b/>
      <w:bCs/>
      <w:sz w:val="20"/>
      <w:lang w:val="es-ES" w:eastAsia="es-ES"/>
    </w:rPr>
  </w:style>
  <w:style w:type="paragraph" w:customStyle="1" w:styleId="xl296">
    <w:name w:val="xl296"/>
    <w:basedOn w:val="Normal"/>
    <w:rsid w:val="001A4860"/>
    <w:pPr>
      <w:pBdr>
        <w:left w:val="single" w:sz="8" w:space="0" w:color="auto"/>
        <w:bottom w:val="single" w:sz="4" w:space="0" w:color="auto"/>
        <w:right w:val="single" w:sz="4" w:space="0" w:color="auto"/>
      </w:pBdr>
      <w:shd w:val="clear" w:color="000000" w:fill="FFC000"/>
      <w:spacing w:before="100" w:beforeAutospacing="1" w:after="100" w:afterAutospacing="1"/>
      <w:jc w:val="left"/>
    </w:pPr>
    <w:rPr>
      <w:rFonts w:ascii="Arial" w:hAnsi="Arial" w:cs="Arial"/>
      <w:b/>
      <w:bCs/>
      <w:sz w:val="20"/>
      <w:lang w:val="es-ES" w:eastAsia="es-ES"/>
    </w:rPr>
  </w:style>
  <w:style w:type="paragraph" w:customStyle="1" w:styleId="xl297">
    <w:name w:val="xl297"/>
    <w:basedOn w:val="Normal"/>
    <w:rsid w:val="001A4860"/>
    <w:pPr>
      <w:pBdr>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298">
    <w:name w:val="xl298"/>
    <w:basedOn w:val="Normal"/>
    <w:rsid w:val="001A48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szCs w:val="24"/>
      <w:lang w:val="es-ES" w:eastAsia="es-ES"/>
    </w:rPr>
  </w:style>
  <w:style w:type="paragraph" w:customStyle="1" w:styleId="xl299">
    <w:name w:val="xl299"/>
    <w:basedOn w:val="Normal"/>
    <w:rsid w:val="001A4860"/>
    <w:pPr>
      <w:pBdr>
        <w:lef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300">
    <w:name w:val="xl300"/>
    <w:basedOn w:val="Normal"/>
    <w:rsid w:val="001A4860"/>
    <w:pPr>
      <w:spacing w:before="100" w:beforeAutospacing="1" w:after="100" w:afterAutospacing="1"/>
      <w:jc w:val="center"/>
    </w:pPr>
    <w:rPr>
      <w:rFonts w:ascii="Arial" w:hAnsi="Arial" w:cs="Arial"/>
      <w:sz w:val="16"/>
      <w:szCs w:val="16"/>
      <w:lang w:val="es-ES" w:eastAsia="es-ES"/>
    </w:rPr>
  </w:style>
  <w:style w:type="paragraph" w:customStyle="1" w:styleId="xl301">
    <w:name w:val="xl301"/>
    <w:basedOn w:val="Normal"/>
    <w:rsid w:val="001A4860"/>
    <w:pPr>
      <w:pBdr>
        <w:top w:val="single" w:sz="4" w:space="0" w:color="auto"/>
        <w:bottom w:val="single" w:sz="4" w:space="0" w:color="auto"/>
        <w:right w:val="single" w:sz="4" w:space="0" w:color="auto"/>
      </w:pBdr>
      <w:shd w:val="clear" w:color="000000" w:fill="FAC090"/>
      <w:spacing w:before="100" w:beforeAutospacing="1" w:after="100" w:afterAutospacing="1"/>
      <w:jc w:val="left"/>
    </w:pPr>
    <w:rPr>
      <w:rFonts w:ascii="Arial" w:hAnsi="Arial" w:cs="Arial"/>
      <w:sz w:val="16"/>
      <w:szCs w:val="16"/>
      <w:lang w:val="es-ES" w:eastAsia="es-ES"/>
    </w:rPr>
  </w:style>
  <w:style w:type="paragraph" w:customStyle="1" w:styleId="xl302">
    <w:name w:val="xl302"/>
    <w:basedOn w:val="Normal"/>
    <w:rsid w:val="001A4860"/>
    <w:pPr>
      <w:pBdr>
        <w:top w:val="single" w:sz="4" w:space="0" w:color="auto"/>
        <w:left w:val="single" w:sz="4" w:space="0" w:color="auto"/>
        <w:bottom w:val="single" w:sz="4" w:space="0" w:color="auto"/>
        <w:right w:val="single" w:sz="8" w:space="0" w:color="auto"/>
      </w:pBdr>
      <w:shd w:val="clear" w:color="000000" w:fill="FAC090"/>
      <w:spacing w:before="100" w:beforeAutospacing="1" w:after="100" w:afterAutospacing="1"/>
      <w:jc w:val="left"/>
    </w:pPr>
    <w:rPr>
      <w:rFonts w:ascii="Arial" w:hAnsi="Arial" w:cs="Arial"/>
      <w:b/>
      <w:bCs/>
      <w:sz w:val="16"/>
      <w:szCs w:val="16"/>
      <w:lang w:val="es-ES" w:eastAsia="es-ES"/>
    </w:rPr>
  </w:style>
  <w:style w:type="paragraph" w:customStyle="1" w:styleId="xl303">
    <w:name w:val="xl303"/>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304">
    <w:name w:val="xl304"/>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lang w:val="es-ES" w:eastAsia="es-ES"/>
    </w:rPr>
  </w:style>
  <w:style w:type="paragraph" w:customStyle="1" w:styleId="xl305">
    <w:name w:val="xl305"/>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306">
    <w:name w:val="xl306"/>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16"/>
      <w:szCs w:val="16"/>
      <w:lang w:val="es-ES" w:eastAsia="es-ES"/>
    </w:rPr>
  </w:style>
  <w:style w:type="paragraph" w:customStyle="1" w:styleId="xl307">
    <w:name w:val="xl307"/>
    <w:basedOn w:val="Normal"/>
    <w:rsid w:val="001A4860"/>
    <w:pPr>
      <w:pBdr>
        <w:top w:val="single" w:sz="4" w:space="0" w:color="auto"/>
        <w:lef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308">
    <w:name w:val="xl308"/>
    <w:basedOn w:val="Normal"/>
    <w:rsid w:val="001A4860"/>
    <w:pPr>
      <w:pBdr>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309">
    <w:name w:val="xl309"/>
    <w:basedOn w:val="Normal"/>
    <w:rsid w:val="001A4860"/>
    <w:pPr>
      <w:pBdr>
        <w:left w:val="single" w:sz="4" w:space="0" w:color="auto"/>
        <w:bottom w:val="single" w:sz="4" w:space="0" w:color="auto"/>
      </w:pBdr>
      <w:shd w:val="clear" w:color="000000" w:fill="FCD5B4"/>
      <w:spacing w:before="100" w:beforeAutospacing="1" w:after="100" w:afterAutospacing="1"/>
      <w:jc w:val="center"/>
    </w:pPr>
    <w:rPr>
      <w:rFonts w:ascii="Arial" w:hAnsi="Arial" w:cs="Arial"/>
      <w:sz w:val="16"/>
      <w:szCs w:val="16"/>
      <w:lang w:val="es-ES" w:eastAsia="es-ES"/>
    </w:rPr>
  </w:style>
  <w:style w:type="paragraph" w:customStyle="1" w:styleId="xl310">
    <w:name w:val="xl310"/>
    <w:basedOn w:val="Normal"/>
    <w:rsid w:val="001A4860"/>
    <w:pPr>
      <w:pBdr>
        <w:bottom w:val="single" w:sz="4" w:space="0" w:color="auto"/>
      </w:pBdr>
      <w:shd w:val="clear" w:color="000000" w:fill="FCD5B4"/>
      <w:spacing w:before="100" w:beforeAutospacing="1" w:after="100" w:afterAutospacing="1"/>
      <w:jc w:val="center"/>
    </w:pPr>
    <w:rPr>
      <w:rFonts w:ascii="Arial" w:hAnsi="Arial" w:cs="Arial"/>
      <w:sz w:val="16"/>
      <w:szCs w:val="16"/>
      <w:lang w:val="es-ES" w:eastAsia="es-ES"/>
    </w:rPr>
  </w:style>
  <w:style w:type="paragraph" w:customStyle="1" w:styleId="xl311">
    <w:name w:val="xl311"/>
    <w:basedOn w:val="Normal"/>
    <w:rsid w:val="001A4860"/>
    <w:pPr>
      <w:pBdr>
        <w:bottom w:val="single" w:sz="4" w:space="0" w:color="auto"/>
        <w:right w:val="single" w:sz="4" w:space="0" w:color="auto"/>
      </w:pBdr>
      <w:shd w:val="clear" w:color="000000" w:fill="FCD5B4"/>
      <w:spacing w:before="100" w:beforeAutospacing="1" w:after="100" w:afterAutospacing="1"/>
      <w:jc w:val="center"/>
    </w:pPr>
    <w:rPr>
      <w:rFonts w:ascii="Arial" w:hAnsi="Arial" w:cs="Arial"/>
      <w:sz w:val="16"/>
      <w:szCs w:val="16"/>
      <w:lang w:val="es-ES" w:eastAsia="es-ES"/>
    </w:rPr>
  </w:style>
  <w:style w:type="paragraph" w:customStyle="1" w:styleId="xl312">
    <w:name w:val="xl312"/>
    <w:basedOn w:val="Normal"/>
    <w:rsid w:val="001A4860"/>
    <w:pPr>
      <w:pBdr>
        <w:left w:val="single" w:sz="4" w:space="0" w:color="auto"/>
        <w:bottom w:val="single" w:sz="4" w:space="0" w:color="auto"/>
        <w:right w:val="single" w:sz="4" w:space="0" w:color="auto"/>
      </w:pBdr>
      <w:shd w:val="clear" w:color="000000" w:fill="FCD5B4"/>
      <w:spacing w:before="100" w:beforeAutospacing="1" w:after="100" w:afterAutospacing="1"/>
      <w:jc w:val="left"/>
    </w:pPr>
    <w:rPr>
      <w:rFonts w:ascii="Arial" w:hAnsi="Arial" w:cs="Arial"/>
      <w:b/>
      <w:bCs/>
      <w:sz w:val="16"/>
      <w:szCs w:val="16"/>
      <w:lang w:val="es-ES" w:eastAsia="es-ES"/>
    </w:rPr>
  </w:style>
  <w:style w:type="paragraph" w:customStyle="1" w:styleId="xl313">
    <w:name w:val="xl313"/>
    <w:basedOn w:val="Normal"/>
    <w:rsid w:val="001A4860"/>
    <w:pPr>
      <w:pBdr>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sz w:val="16"/>
      <w:szCs w:val="16"/>
      <w:lang w:val="es-ES" w:eastAsia="es-ES"/>
    </w:rPr>
  </w:style>
  <w:style w:type="paragraph" w:customStyle="1" w:styleId="xl314">
    <w:name w:val="xl314"/>
    <w:basedOn w:val="Normal"/>
    <w:rsid w:val="001A4860"/>
    <w:pPr>
      <w:pBdr>
        <w:left w:val="single" w:sz="4" w:space="0" w:color="auto"/>
        <w:bottom w:val="single" w:sz="4" w:space="0" w:color="auto"/>
        <w:right w:val="single" w:sz="8" w:space="0" w:color="auto"/>
      </w:pBdr>
      <w:shd w:val="clear" w:color="000000" w:fill="FCD5B4"/>
      <w:spacing w:before="100" w:beforeAutospacing="1" w:after="100" w:afterAutospacing="1"/>
      <w:jc w:val="left"/>
    </w:pPr>
    <w:rPr>
      <w:rFonts w:ascii="Arial" w:hAnsi="Arial" w:cs="Arial"/>
      <w:b/>
      <w:bCs/>
      <w:sz w:val="16"/>
      <w:szCs w:val="16"/>
      <w:lang w:val="es-ES" w:eastAsia="es-ES"/>
    </w:rPr>
  </w:style>
  <w:style w:type="paragraph" w:customStyle="1" w:styleId="xl315">
    <w:name w:val="xl315"/>
    <w:basedOn w:val="Normal"/>
    <w:rsid w:val="001A4860"/>
    <w:pPr>
      <w:pBdr>
        <w:left w:val="single" w:sz="8" w:space="0" w:color="auto"/>
        <w:bottom w:val="single" w:sz="4" w:space="0" w:color="auto"/>
        <w:right w:val="single" w:sz="4" w:space="0" w:color="auto"/>
      </w:pBdr>
      <w:shd w:val="clear" w:color="000000" w:fill="FCD5B4"/>
      <w:spacing w:before="100" w:beforeAutospacing="1" w:after="100" w:afterAutospacing="1"/>
      <w:jc w:val="left"/>
    </w:pPr>
    <w:rPr>
      <w:rFonts w:ascii="Arial" w:hAnsi="Arial" w:cs="Arial"/>
      <w:b/>
      <w:bCs/>
      <w:sz w:val="16"/>
      <w:szCs w:val="16"/>
      <w:lang w:val="es-ES" w:eastAsia="es-ES"/>
    </w:rPr>
  </w:style>
  <w:style w:type="paragraph" w:customStyle="1" w:styleId="xl316">
    <w:name w:val="xl316"/>
    <w:basedOn w:val="Normal"/>
    <w:rsid w:val="001A4860"/>
    <w:pPr>
      <w:pBdr>
        <w:bottom w:val="single" w:sz="4" w:space="0" w:color="auto"/>
        <w:right w:val="single" w:sz="4" w:space="0" w:color="auto"/>
      </w:pBdr>
      <w:shd w:val="clear" w:color="000000" w:fill="FCD5B4"/>
      <w:spacing w:before="100" w:beforeAutospacing="1" w:after="100" w:afterAutospacing="1"/>
      <w:jc w:val="left"/>
    </w:pPr>
    <w:rPr>
      <w:rFonts w:ascii="Arial" w:hAnsi="Arial" w:cs="Arial"/>
      <w:sz w:val="16"/>
      <w:szCs w:val="16"/>
      <w:lang w:val="es-ES" w:eastAsia="es-ES"/>
    </w:rPr>
  </w:style>
  <w:style w:type="paragraph" w:customStyle="1" w:styleId="xl317">
    <w:name w:val="xl317"/>
    <w:basedOn w:val="Normal"/>
    <w:rsid w:val="001A4860"/>
    <w:pPr>
      <w:pBdr>
        <w:top w:val="single" w:sz="4" w:space="0" w:color="auto"/>
        <w:left w:val="single" w:sz="4" w:space="0" w:color="auto"/>
        <w:bottom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318">
    <w:name w:val="xl318"/>
    <w:basedOn w:val="Normal"/>
    <w:rsid w:val="001A4860"/>
    <w:pPr>
      <w:pBdr>
        <w:top w:val="single" w:sz="4" w:space="0" w:color="auto"/>
        <w:bottom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319">
    <w:name w:val="xl319"/>
    <w:basedOn w:val="Normal"/>
    <w:rsid w:val="001A4860"/>
    <w:pPr>
      <w:pBdr>
        <w:top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320">
    <w:name w:val="xl320"/>
    <w:basedOn w:val="Normal"/>
    <w:rsid w:val="001A4860"/>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hAnsi="Arial" w:cs="Arial"/>
      <w:sz w:val="16"/>
      <w:szCs w:val="16"/>
      <w:lang w:val="es-ES" w:eastAsia="es-ES"/>
    </w:rPr>
  </w:style>
  <w:style w:type="paragraph" w:customStyle="1" w:styleId="xl321">
    <w:name w:val="xl321"/>
    <w:basedOn w:val="Normal"/>
    <w:rsid w:val="001A4860"/>
    <w:pPr>
      <w:pBdr>
        <w:top w:val="single" w:sz="4" w:space="0" w:color="auto"/>
        <w:left w:val="single" w:sz="8" w:space="0" w:color="auto"/>
        <w:bottom w:val="single" w:sz="4"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322">
    <w:name w:val="xl322"/>
    <w:basedOn w:val="Normal"/>
    <w:rsid w:val="001A48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szCs w:val="24"/>
      <w:lang w:val="es-ES" w:eastAsia="es-ES"/>
    </w:rPr>
  </w:style>
  <w:style w:type="paragraph" w:customStyle="1" w:styleId="xl323">
    <w:name w:val="xl323"/>
    <w:basedOn w:val="Normal"/>
    <w:rsid w:val="001A4860"/>
    <w:pPr>
      <w:pBdr>
        <w:top w:val="single" w:sz="4" w:space="0" w:color="auto"/>
        <w:bottom w:val="single" w:sz="4" w:space="0" w:color="auto"/>
      </w:pBdr>
      <w:shd w:val="clear" w:color="000000" w:fill="E5E0EC"/>
      <w:spacing w:before="100" w:beforeAutospacing="1" w:after="100" w:afterAutospacing="1"/>
      <w:jc w:val="center"/>
    </w:pPr>
    <w:rPr>
      <w:rFonts w:ascii="Arial" w:hAnsi="Arial" w:cs="Arial"/>
      <w:sz w:val="16"/>
      <w:szCs w:val="16"/>
      <w:lang w:val="es-ES" w:eastAsia="es-ES"/>
    </w:rPr>
  </w:style>
  <w:style w:type="paragraph" w:customStyle="1" w:styleId="xl324">
    <w:name w:val="xl324"/>
    <w:basedOn w:val="Normal"/>
    <w:rsid w:val="001A4860"/>
    <w:pPr>
      <w:pBdr>
        <w:top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hAnsi="Arial" w:cs="Arial"/>
      <w:sz w:val="16"/>
      <w:szCs w:val="16"/>
      <w:lang w:val="es-ES" w:eastAsia="es-ES"/>
    </w:rPr>
  </w:style>
  <w:style w:type="paragraph" w:customStyle="1" w:styleId="xl325">
    <w:name w:val="xl325"/>
    <w:basedOn w:val="Normal"/>
    <w:rsid w:val="001A4860"/>
    <w:pPr>
      <w:pBdr>
        <w:left w:val="single" w:sz="8" w:space="0" w:color="auto"/>
        <w:bottom w:val="single" w:sz="4"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326">
    <w:name w:val="xl326"/>
    <w:basedOn w:val="Normal"/>
    <w:rsid w:val="001A4860"/>
    <w:pPr>
      <w:pBdr>
        <w:left w:val="single" w:sz="4" w:space="0" w:color="auto"/>
        <w:bottom w:val="single" w:sz="4" w:space="0" w:color="auto"/>
        <w:right w:val="single" w:sz="4" w:space="0" w:color="auto"/>
      </w:pBdr>
      <w:shd w:val="clear" w:color="000000" w:fill="B8CCE4"/>
      <w:spacing w:before="100" w:beforeAutospacing="1" w:after="100" w:afterAutospacing="1"/>
      <w:jc w:val="left"/>
    </w:pPr>
    <w:rPr>
      <w:b/>
      <w:bCs/>
      <w:szCs w:val="24"/>
      <w:lang w:val="es-ES" w:eastAsia="es-ES"/>
    </w:rPr>
  </w:style>
  <w:style w:type="paragraph" w:customStyle="1" w:styleId="xl327">
    <w:name w:val="xl327"/>
    <w:basedOn w:val="Normal"/>
    <w:rsid w:val="001A4860"/>
    <w:pPr>
      <w:pBdr>
        <w:top w:val="single" w:sz="4" w:space="0" w:color="auto"/>
        <w:left w:val="single" w:sz="8" w:space="0" w:color="auto"/>
        <w:bottom w:val="single" w:sz="4" w:space="0" w:color="auto"/>
        <w:right w:val="single" w:sz="4" w:space="0" w:color="auto"/>
      </w:pBdr>
      <w:shd w:val="clear" w:color="000000" w:fill="B6DDE8"/>
      <w:spacing w:before="100" w:beforeAutospacing="1" w:after="100" w:afterAutospacing="1"/>
      <w:jc w:val="left"/>
    </w:pPr>
    <w:rPr>
      <w:szCs w:val="24"/>
      <w:lang w:val="es-ES" w:eastAsia="es-ES"/>
    </w:rPr>
  </w:style>
  <w:style w:type="paragraph" w:customStyle="1" w:styleId="xl328">
    <w:name w:val="xl328"/>
    <w:basedOn w:val="Normal"/>
    <w:rsid w:val="001A48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b/>
      <w:bCs/>
      <w:szCs w:val="24"/>
      <w:lang w:val="es-ES" w:eastAsia="es-ES"/>
    </w:rPr>
  </w:style>
  <w:style w:type="paragraph" w:customStyle="1" w:styleId="xl329">
    <w:name w:val="xl329"/>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330">
    <w:name w:val="xl330"/>
    <w:basedOn w:val="Normal"/>
    <w:rsid w:val="001A486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331">
    <w:name w:val="xl331"/>
    <w:basedOn w:val="Normal"/>
    <w:rsid w:val="001A48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Arial" w:hAnsi="Arial" w:cs="Arial"/>
      <w:b/>
      <w:bCs/>
      <w:sz w:val="16"/>
      <w:szCs w:val="16"/>
      <w:lang w:val="es-ES" w:eastAsia="es-ES"/>
    </w:rPr>
  </w:style>
  <w:style w:type="paragraph" w:customStyle="1" w:styleId="xl332">
    <w:name w:val="xl332"/>
    <w:basedOn w:val="Normal"/>
    <w:rsid w:val="001A48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val="es-ES" w:eastAsia="es-ES"/>
    </w:rPr>
  </w:style>
  <w:style w:type="paragraph" w:customStyle="1" w:styleId="xl333">
    <w:name w:val="xl333"/>
    <w:basedOn w:val="Normal"/>
    <w:rsid w:val="001A4860"/>
    <w:pPr>
      <w:spacing w:before="100" w:beforeAutospacing="1" w:after="100" w:afterAutospacing="1"/>
      <w:jc w:val="center"/>
    </w:pPr>
    <w:rPr>
      <w:rFonts w:ascii="Arial" w:hAnsi="Arial" w:cs="Arial"/>
      <w:b/>
      <w:bCs/>
      <w:sz w:val="20"/>
      <w:lang w:val="es-ES" w:eastAsia="es-ES"/>
    </w:rPr>
  </w:style>
  <w:style w:type="paragraph" w:customStyle="1" w:styleId="xl334">
    <w:name w:val="xl334"/>
    <w:basedOn w:val="Normal"/>
    <w:rsid w:val="001A4860"/>
    <w:pPr>
      <w:spacing w:before="100" w:beforeAutospacing="1" w:after="100" w:afterAutospacing="1"/>
      <w:jc w:val="left"/>
    </w:pPr>
    <w:rPr>
      <w:rFonts w:ascii="Arial" w:hAnsi="Arial" w:cs="Arial"/>
      <w:b/>
      <w:bCs/>
      <w:sz w:val="20"/>
      <w:lang w:val="es-ES" w:eastAsia="es-ES"/>
    </w:rPr>
  </w:style>
  <w:style w:type="paragraph" w:customStyle="1" w:styleId="xl335">
    <w:name w:val="xl335"/>
    <w:basedOn w:val="Normal"/>
    <w:rsid w:val="001A4860"/>
    <w:pPr>
      <w:pBdr>
        <w:top w:val="single" w:sz="4" w:space="0" w:color="auto"/>
        <w:left w:val="single" w:sz="4" w:space="0" w:color="auto"/>
      </w:pBdr>
      <w:shd w:val="clear" w:color="000000" w:fill="FFC000"/>
      <w:spacing w:before="100" w:beforeAutospacing="1" w:after="100" w:afterAutospacing="1"/>
      <w:jc w:val="center"/>
      <w:textAlignment w:val="center"/>
    </w:pPr>
    <w:rPr>
      <w:rFonts w:ascii="Arial" w:hAnsi="Arial" w:cs="Arial"/>
      <w:b/>
      <w:bCs/>
      <w:sz w:val="20"/>
      <w:lang w:val="es-ES" w:eastAsia="es-ES"/>
    </w:rPr>
  </w:style>
  <w:style w:type="paragraph" w:customStyle="1" w:styleId="xl336">
    <w:name w:val="xl336"/>
    <w:basedOn w:val="Normal"/>
    <w:rsid w:val="001A4860"/>
    <w:pPr>
      <w:pBdr>
        <w:top w:val="single" w:sz="4" w:space="0" w:color="auto"/>
      </w:pBdr>
      <w:shd w:val="clear" w:color="000000" w:fill="FFC000"/>
      <w:spacing w:before="100" w:beforeAutospacing="1" w:after="100" w:afterAutospacing="1"/>
      <w:jc w:val="center"/>
      <w:textAlignment w:val="center"/>
    </w:pPr>
    <w:rPr>
      <w:rFonts w:ascii="Arial" w:hAnsi="Arial" w:cs="Arial"/>
      <w:b/>
      <w:bCs/>
      <w:sz w:val="20"/>
      <w:lang w:val="es-ES" w:eastAsia="es-ES"/>
    </w:rPr>
  </w:style>
  <w:style w:type="paragraph" w:customStyle="1" w:styleId="xl337">
    <w:name w:val="xl337"/>
    <w:basedOn w:val="Normal"/>
    <w:rsid w:val="001A4860"/>
    <w:pPr>
      <w:pBdr>
        <w:top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b/>
      <w:bCs/>
      <w:sz w:val="20"/>
      <w:lang w:val="es-ES" w:eastAsia="es-ES"/>
    </w:rPr>
  </w:style>
  <w:style w:type="paragraph" w:customStyle="1" w:styleId="xl338">
    <w:name w:val="xl338"/>
    <w:basedOn w:val="Normal"/>
    <w:rsid w:val="001A48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Arial" w:hAnsi="Arial" w:cs="Arial"/>
      <w:sz w:val="16"/>
      <w:szCs w:val="16"/>
      <w:lang w:val="es-ES" w:eastAsia="es-ES"/>
    </w:rPr>
  </w:style>
  <w:style w:type="paragraph" w:customStyle="1" w:styleId="xl339">
    <w:name w:val="xl339"/>
    <w:basedOn w:val="Normal"/>
    <w:rsid w:val="001A4860"/>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340">
    <w:name w:val="xl340"/>
    <w:basedOn w:val="Normal"/>
    <w:rsid w:val="001A4860"/>
    <w:pPr>
      <w:pBdr>
        <w:top w:val="single" w:sz="4" w:space="0" w:color="auto"/>
        <w:bottom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341">
    <w:name w:val="xl341"/>
    <w:basedOn w:val="Normal"/>
    <w:rsid w:val="001A4860"/>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 w:val="16"/>
      <w:szCs w:val="16"/>
      <w:lang w:val="es-ES" w:eastAsia="es-ES"/>
    </w:rPr>
  </w:style>
  <w:style w:type="paragraph" w:customStyle="1" w:styleId="xl342">
    <w:name w:val="xl342"/>
    <w:basedOn w:val="Normal"/>
    <w:rsid w:val="001A4860"/>
    <w:pPr>
      <w:pBdr>
        <w:top w:val="single" w:sz="4" w:space="0" w:color="auto"/>
        <w:left w:val="single" w:sz="4" w:space="0" w:color="auto"/>
        <w:bottom w:val="single" w:sz="4" w:space="0" w:color="auto"/>
      </w:pBdr>
      <w:shd w:val="clear" w:color="000000" w:fill="FAC090"/>
      <w:spacing w:before="100" w:beforeAutospacing="1" w:after="100" w:afterAutospacing="1"/>
      <w:jc w:val="center"/>
    </w:pPr>
    <w:rPr>
      <w:rFonts w:ascii="Arial" w:hAnsi="Arial" w:cs="Arial"/>
      <w:sz w:val="16"/>
      <w:szCs w:val="16"/>
      <w:lang w:val="es-ES" w:eastAsia="es-ES"/>
    </w:rPr>
  </w:style>
  <w:style w:type="paragraph" w:customStyle="1" w:styleId="xl343">
    <w:name w:val="xl343"/>
    <w:basedOn w:val="Normal"/>
    <w:rsid w:val="001A4860"/>
    <w:pPr>
      <w:pBdr>
        <w:top w:val="single" w:sz="4" w:space="0" w:color="auto"/>
        <w:bottom w:val="single" w:sz="4" w:space="0" w:color="auto"/>
      </w:pBdr>
      <w:shd w:val="clear" w:color="000000" w:fill="FAC090"/>
      <w:spacing w:before="100" w:beforeAutospacing="1" w:after="100" w:afterAutospacing="1"/>
      <w:jc w:val="center"/>
    </w:pPr>
    <w:rPr>
      <w:rFonts w:ascii="Arial" w:hAnsi="Arial" w:cs="Arial"/>
      <w:sz w:val="16"/>
      <w:szCs w:val="16"/>
      <w:lang w:val="es-ES" w:eastAsia="es-ES"/>
    </w:rPr>
  </w:style>
  <w:style w:type="paragraph" w:customStyle="1" w:styleId="xl344">
    <w:name w:val="xl344"/>
    <w:basedOn w:val="Normal"/>
    <w:rsid w:val="001A4860"/>
    <w:pPr>
      <w:pBdr>
        <w:top w:val="single" w:sz="4" w:space="0" w:color="auto"/>
        <w:bottom w:val="single" w:sz="4" w:space="0" w:color="auto"/>
        <w:right w:val="single" w:sz="4" w:space="0" w:color="auto"/>
      </w:pBdr>
      <w:shd w:val="clear" w:color="000000" w:fill="FAC090"/>
      <w:spacing w:before="100" w:beforeAutospacing="1" w:after="100" w:afterAutospacing="1"/>
      <w:jc w:val="center"/>
    </w:pPr>
    <w:rPr>
      <w:rFonts w:ascii="Arial" w:hAnsi="Arial" w:cs="Arial"/>
      <w:sz w:val="16"/>
      <w:szCs w:val="16"/>
      <w:lang w:val="es-ES" w:eastAsia="es-ES"/>
    </w:rPr>
  </w:style>
  <w:style w:type="paragraph" w:customStyle="1" w:styleId="xl345">
    <w:name w:val="xl345"/>
    <w:basedOn w:val="Normal"/>
    <w:rsid w:val="001A48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Arial" w:hAnsi="Arial" w:cs="Arial"/>
      <w:sz w:val="16"/>
      <w:szCs w:val="16"/>
      <w:lang w:val="es-ES" w:eastAsia="es-ES"/>
    </w:rPr>
  </w:style>
  <w:style w:type="paragraph" w:customStyle="1" w:styleId="yiv1104372088msonormal">
    <w:name w:val="yiv1104372088msonormal"/>
    <w:basedOn w:val="Normal"/>
    <w:rsid w:val="001A4860"/>
    <w:pPr>
      <w:spacing w:before="100" w:beforeAutospacing="1" w:after="100" w:afterAutospacing="1"/>
      <w:jc w:val="left"/>
    </w:pPr>
    <w:rPr>
      <w:szCs w:val="24"/>
      <w:lang w:val="es-NI" w:eastAsia="es-NI"/>
    </w:rPr>
  </w:style>
  <w:style w:type="paragraph" w:customStyle="1" w:styleId="Textoindependiente36">
    <w:name w:val="Texto independiente 36"/>
    <w:basedOn w:val="Normal"/>
    <w:rsid w:val="001A4860"/>
    <w:pPr>
      <w:widowControl w:val="0"/>
    </w:pPr>
    <w:rPr>
      <w:lang w:val="es-ES" w:eastAsia="es-ES"/>
    </w:rPr>
  </w:style>
  <w:style w:type="character" w:customStyle="1" w:styleId="ListParagraphChar1">
    <w:name w:val="List Paragraph Char1"/>
    <w:link w:val="Prrafodelista1"/>
    <w:uiPriority w:val="34"/>
    <w:locked/>
    <w:rsid w:val="001A4860"/>
    <w:rPr>
      <w:rFonts w:ascii="Arial" w:eastAsia="Times New Roman" w:hAnsi="Arial" w:cs="Times New Roman"/>
      <w:lang w:val="es-NI" w:eastAsia="es-ES"/>
    </w:rPr>
  </w:style>
  <w:style w:type="table" w:customStyle="1" w:styleId="Tablaconcuadrcula2">
    <w:name w:val="Tabla con cuadrícula2"/>
    <w:basedOn w:val="Tablanormal"/>
    <w:next w:val="Tablaconcuadrcula"/>
    <w:uiPriority w:val="59"/>
    <w:rsid w:val="001A4860"/>
    <w:rPr>
      <w:rFonts w:ascii="Arial" w:eastAsia="Times New Roman" w:hAnsi="Arial" w:cs="Times New Roman"/>
      <w:sz w:val="20"/>
      <w:szCs w:val="20"/>
      <w:lang w:val="es-419" w:eastAsia="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
    <w:basedOn w:val="Tablanormal"/>
    <w:next w:val="Tablaconcuadrcula"/>
    <w:rsid w:val="001A4860"/>
    <w:rPr>
      <w:rFonts w:ascii="Calibri" w:eastAsia="Calibri" w:hAnsi="Calibri" w:cs="Times New Roman"/>
      <w:sz w:val="22"/>
      <w:szCs w:val="22"/>
      <w:lang w:val="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1A4860"/>
    <w:pPr>
      <w:widowControl w:val="0"/>
      <w:autoSpaceDE w:val="0"/>
      <w:autoSpaceDN w:val="0"/>
      <w:jc w:val="center"/>
    </w:pPr>
    <w:rPr>
      <w:rFonts w:ascii="Arial" w:eastAsia="Arial" w:hAnsi="Arial" w:cs="Arial"/>
      <w:sz w:val="22"/>
      <w:szCs w:val="22"/>
      <w:lang w:val="en-US"/>
    </w:rPr>
  </w:style>
  <w:style w:type="table" w:customStyle="1" w:styleId="TableNormal">
    <w:name w:val="Table Normal"/>
    <w:uiPriority w:val="2"/>
    <w:semiHidden/>
    <w:unhideWhenUsed/>
    <w:qFormat/>
    <w:rsid w:val="001A4860"/>
    <w:pPr>
      <w:widowControl w:val="0"/>
      <w:autoSpaceDE w:val="0"/>
      <w:autoSpaceDN w:val="0"/>
    </w:pPr>
    <w:rPr>
      <w:rFonts w:ascii="Calibri" w:eastAsia="Calibri" w:hAnsi="Calibri" w:cs="Times New Roman"/>
      <w:sz w:val="22"/>
      <w:szCs w:val="22"/>
    </w:rPr>
    <w:tblPr>
      <w:tblInd w:w="0" w:type="dxa"/>
      <w:tblCellMar>
        <w:top w:w="0" w:type="dxa"/>
        <w:left w:w="0" w:type="dxa"/>
        <w:bottom w:w="0" w:type="dxa"/>
        <w:right w:w="0" w:type="dxa"/>
      </w:tblCellMar>
    </w:tblPr>
  </w:style>
  <w:style w:type="character" w:customStyle="1" w:styleId="Titulo2Car">
    <w:name w:val="Titulo 2 Car"/>
    <w:link w:val="Titulo2"/>
    <w:rsid w:val="001A4860"/>
    <w:rPr>
      <w:rFonts w:ascii="Tahoma" w:eastAsia="Times New Roman" w:hAnsi="Tahoma" w:cs="Tahoma"/>
      <w:b/>
      <w:bCs/>
      <w:caps/>
      <w:lang w:val="es-MX" w:eastAsia="es-ES"/>
    </w:rPr>
  </w:style>
  <w:style w:type="paragraph" w:customStyle="1" w:styleId="yiv3245570618msonormal">
    <w:name w:val="yiv3245570618msonormal"/>
    <w:basedOn w:val="Normal"/>
    <w:rsid w:val="001A4860"/>
    <w:pPr>
      <w:spacing w:before="100" w:beforeAutospacing="1" w:after="100" w:afterAutospacing="1"/>
      <w:jc w:val="left"/>
    </w:pPr>
    <w:rPr>
      <w:szCs w:val="24"/>
      <w:lang w:val="es-NI" w:eastAsia="es-NI"/>
    </w:rPr>
  </w:style>
  <w:style w:type="table" w:customStyle="1" w:styleId="TableGrid">
    <w:name w:val="TableGrid"/>
    <w:rsid w:val="001A4860"/>
    <w:rPr>
      <w:rFonts w:ascii="Calibri" w:eastAsia="Times New Roman" w:hAnsi="Calibri" w:cs="Times New Roman"/>
      <w:sz w:val="22"/>
      <w:szCs w:val="22"/>
      <w:lang w:val="es-NI" w:eastAsia="es-NI"/>
    </w:rPr>
    <w:tblPr>
      <w:tblCellMar>
        <w:top w:w="0" w:type="dxa"/>
        <w:left w:w="0" w:type="dxa"/>
        <w:bottom w:w="0" w:type="dxa"/>
        <w:right w:w="0" w:type="dxa"/>
      </w:tblCellMar>
    </w:tblPr>
  </w:style>
  <w:style w:type="paragraph" w:customStyle="1" w:styleId="Contenido">
    <w:name w:val="Contenido"/>
    <w:basedOn w:val="Normal"/>
    <w:qFormat/>
    <w:rsid w:val="001A4860"/>
    <w:rPr>
      <w:rFonts w:ascii="Arial" w:hAnsi="Arial" w:cs="Arial"/>
      <w:szCs w:val="24"/>
      <w:lang w:val="es-ES" w:eastAsia="es-ES"/>
    </w:rPr>
  </w:style>
  <w:style w:type="paragraph" w:customStyle="1" w:styleId="Alcanceypago">
    <w:name w:val="Alcance y pago"/>
    <w:basedOn w:val="Normal"/>
    <w:link w:val="AlcanceypagoCar"/>
    <w:qFormat/>
    <w:rsid w:val="001A4860"/>
    <w:pPr>
      <w:tabs>
        <w:tab w:val="left" w:pos="-720"/>
      </w:tabs>
      <w:suppressAutoHyphens/>
      <w:spacing w:after="280" w:line="280" w:lineRule="exact"/>
      <w:ind w:left="720"/>
    </w:pPr>
    <w:rPr>
      <w:rFonts w:ascii="Arial" w:hAnsi="Arial"/>
      <w:b/>
      <w:i/>
      <w:spacing w:val="-2"/>
      <w:sz w:val="22"/>
      <w:szCs w:val="28"/>
      <w:u w:val="single"/>
      <w:lang w:val="es-GT" w:eastAsia="de-DE"/>
    </w:rPr>
  </w:style>
  <w:style w:type="character" w:customStyle="1" w:styleId="AlcanceypagoCar">
    <w:name w:val="Alcance y pago Car"/>
    <w:link w:val="Alcanceypago"/>
    <w:rsid w:val="001A4860"/>
    <w:rPr>
      <w:rFonts w:ascii="Arial" w:eastAsia="Times New Roman" w:hAnsi="Arial" w:cs="Times New Roman"/>
      <w:b/>
      <w:i/>
      <w:spacing w:val="-2"/>
      <w:sz w:val="22"/>
      <w:szCs w:val="28"/>
      <w:u w:val="single"/>
      <w:lang w:val="es-GT" w:eastAsia="de-DE"/>
    </w:rPr>
  </w:style>
  <w:style w:type="paragraph" w:customStyle="1" w:styleId="FWTAuflistung">
    <w:name w:val="FWT Auflistung"/>
    <w:basedOn w:val="Normal"/>
    <w:uiPriority w:val="99"/>
    <w:rsid w:val="001A4860"/>
    <w:pPr>
      <w:numPr>
        <w:numId w:val="160"/>
      </w:numPr>
      <w:tabs>
        <w:tab w:val="left" w:pos="-720"/>
      </w:tabs>
      <w:suppressAutoHyphens/>
      <w:spacing w:after="280" w:line="280" w:lineRule="exact"/>
      <w:jc w:val="left"/>
    </w:pPr>
    <w:rPr>
      <w:rFonts w:ascii="Arial" w:hAnsi="Arial"/>
      <w:spacing w:val="-2"/>
      <w:sz w:val="22"/>
      <w:szCs w:val="28"/>
      <w:lang w:val="es-GT" w:eastAsia="de-DE"/>
    </w:rPr>
  </w:style>
  <w:style w:type="character" w:customStyle="1" w:styleId="DefaultCar">
    <w:name w:val="Default Car"/>
    <w:link w:val="Default"/>
    <w:locked/>
    <w:rsid w:val="001A4860"/>
    <w:rPr>
      <w:rFonts w:ascii="Times New Roman" w:hAnsi="Times New Roman" w:cs="Times New Roman"/>
      <w:color w:val="000000"/>
      <w:lang w:val="es-HN"/>
    </w:rPr>
  </w:style>
  <w:style w:type="numbering" w:customStyle="1" w:styleId="Sinlista11">
    <w:name w:val="Sin lista11"/>
    <w:next w:val="Sinlista"/>
    <w:uiPriority w:val="99"/>
    <w:semiHidden/>
    <w:unhideWhenUsed/>
    <w:rsid w:val="001A4860"/>
  </w:style>
  <w:style w:type="paragraph" w:styleId="Lista5">
    <w:name w:val="List 5"/>
    <w:basedOn w:val="Normal"/>
    <w:rsid w:val="001A4860"/>
    <w:pPr>
      <w:ind w:left="1415" w:hanging="283"/>
      <w:contextualSpacing/>
    </w:pPr>
    <w:rPr>
      <w:rFonts w:ascii="Arial" w:hAnsi="Arial"/>
      <w:szCs w:val="24"/>
      <w:lang w:val="es-ES" w:eastAsia="es-ES"/>
    </w:rPr>
  </w:style>
  <w:style w:type="paragraph" w:styleId="Continuarlista">
    <w:name w:val="List Continue"/>
    <w:basedOn w:val="Normal"/>
    <w:rsid w:val="001A4860"/>
    <w:pPr>
      <w:spacing w:after="120"/>
      <w:ind w:left="283"/>
      <w:contextualSpacing/>
    </w:pPr>
    <w:rPr>
      <w:rFonts w:ascii="Arial" w:hAnsi="Arial"/>
      <w:szCs w:val="24"/>
      <w:lang w:val="es-ES" w:eastAsia="es-ES"/>
    </w:rPr>
  </w:style>
  <w:style w:type="paragraph" w:styleId="Continuarlista2">
    <w:name w:val="List Continue 2"/>
    <w:basedOn w:val="Normal"/>
    <w:rsid w:val="001A4860"/>
    <w:pPr>
      <w:spacing w:after="120"/>
      <w:ind w:left="566"/>
      <w:contextualSpacing/>
    </w:pPr>
    <w:rPr>
      <w:rFonts w:ascii="Arial" w:hAnsi="Arial"/>
      <w:szCs w:val="24"/>
      <w:lang w:val="es-ES" w:eastAsia="es-ES"/>
    </w:rPr>
  </w:style>
  <w:style w:type="paragraph" w:styleId="Continuarlista5">
    <w:name w:val="List Continue 5"/>
    <w:basedOn w:val="Normal"/>
    <w:rsid w:val="001A4860"/>
    <w:pPr>
      <w:spacing w:after="120"/>
      <w:ind w:left="1415"/>
      <w:contextualSpacing/>
    </w:pPr>
    <w:rPr>
      <w:rFonts w:ascii="Arial" w:hAnsi="Arial"/>
      <w:szCs w:val="24"/>
      <w:lang w:val="es-ES" w:eastAsia="es-ES"/>
    </w:rPr>
  </w:style>
  <w:style w:type="numbering" w:customStyle="1" w:styleId="Sinlista2">
    <w:name w:val="Sin lista2"/>
    <w:next w:val="Sinlista"/>
    <w:semiHidden/>
    <w:rsid w:val="001A4860"/>
  </w:style>
  <w:style w:type="numbering" w:customStyle="1" w:styleId="Sinlista3">
    <w:name w:val="Sin lista3"/>
    <w:next w:val="Sinlista"/>
    <w:uiPriority w:val="99"/>
    <w:semiHidden/>
    <w:unhideWhenUsed/>
    <w:rsid w:val="001A4860"/>
  </w:style>
  <w:style w:type="paragraph" w:customStyle="1" w:styleId="97E0DAEBF7804662814D02CF7672C5DE">
    <w:name w:val="97E0DAEBF7804662814D02CF7672C5DE"/>
    <w:rsid w:val="001A4860"/>
    <w:pPr>
      <w:spacing w:after="200" w:line="276" w:lineRule="auto"/>
    </w:pPr>
    <w:rPr>
      <w:rFonts w:eastAsia="Times New Roman"/>
      <w:sz w:val="22"/>
      <w:szCs w:val="22"/>
    </w:rPr>
  </w:style>
  <w:style w:type="table" w:customStyle="1" w:styleId="Tablaconcuadrcula3">
    <w:name w:val="Tabla con cuadrícula3"/>
    <w:basedOn w:val="Tablanormal"/>
    <w:next w:val="Tablaconcuadrcula"/>
    <w:uiPriority w:val="39"/>
    <w:rsid w:val="001A4860"/>
    <w:rPr>
      <w:sz w:val="22"/>
      <w:szCs w:val="22"/>
      <w:lang w:val="es-N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1A4860"/>
    <w:rPr>
      <w:sz w:val="22"/>
      <w:szCs w:val="22"/>
      <w:lang w:val="es-NI"/>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ombreadoclaro-nfasis11">
    <w:name w:val="Sombreado claro - Énfasis 11"/>
    <w:basedOn w:val="Tablanormal"/>
    <w:uiPriority w:val="60"/>
    <w:rsid w:val="001A4860"/>
    <w:rPr>
      <w:color w:val="2E74B5"/>
      <w:sz w:val="22"/>
      <w:szCs w:val="22"/>
      <w:lang w:val="es-NI"/>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TextocomentarioCar1">
    <w:name w:val="Texto comentario Car1"/>
    <w:basedOn w:val="Fuentedeprrafopredeter"/>
    <w:uiPriority w:val="99"/>
    <w:semiHidden/>
    <w:rsid w:val="001A4860"/>
    <w:rPr>
      <w:rFonts w:eastAsia="Calibri"/>
      <w:sz w:val="20"/>
      <w:szCs w:val="20"/>
    </w:rPr>
  </w:style>
  <w:style w:type="paragraph" w:customStyle="1" w:styleId="EstiloTextoindependienteVerdana10ptIzquierda0cmSangr">
    <w:name w:val="Estilo Texto independiente + Verdana 10 pt Izquierda:  0 cm Sangr..."/>
    <w:basedOn w:val="Textoindependiente"/>
    <w:next w:val="Textoindependiente"/>
    <w:rsid w:val="001A4860"/>
    <w:pPr>
      <w:suppressAutoHyphens w:val="0"/>
      <w:spacing w:line="20" w:lineRule="atLeast"/>
      <w:ind w:right="0"/>
    </w:pPr>
    <w:rPr>
      <w:rFonts w:ascii="Arial" w:hAnsi="Arial"/>
      <w:spacing w:val="-3"/>
      <w:lang w:eastAsia="es-ES"/>
    </w:rPr>
  </w:style>
  <w:style w:type="paragraph" w:customStyle="1" w:styleId="EstiloTtulo513ptAzulIzquierda551cm">
    <w:name w:val="Estilo Título 5 + 13 pt Azul Izquierda:  5.51 cm"/>
    <w:basedOn w:val="Ttulo5"/>
    <w:autoRedefine/>
    <w:rsid w:val="001A4860"/>
    <w:pPr>
      <w:numPr>
        <w:ilvl w:val="4"/>
      </w:numPr>
      <w:tabs>
        <w:tab w:val="num" w:pos="1008"/>
      </w:tabs>
      <w:spacing w:before="0" w:after="0"/>
      <w:ind w:left="3124" w:hanging="1008"/>
      <w:jc w:val="left"/>
    </w:pPr>
    <w:rPr>
      <w:rFonts w:ascii="Arial" w:hAnsi="Arial"/>
      <w:b w:val="0"/>
      <w:bCs w:val="0"/>
      <w:i w:val="0"/>
      <w:iCs w:val="0"/>
      <w:color w:val="0000FF"/>
      <w:szCs w:val="20"/>
      <w:lang w:eastAsia="es-ES"/>
    </w:rPr>
  </w:style>
  <w:style w:type="paragraph" w:customStyle="1" w:styleId="EstiloTtulo512ptNegritaAzulIzquierda551cm">
    <w:name w:val="Estilo Título 5 + 12 pt Negrita Azul Izquierda:  5.51 cm"/>
    <w:basedOn w:val="Ttulo5"/>
    <w:autoRedefine/>
    <w:rsid w:val="001A4860"/>
    <w:pPr>
      <w:numPr>
        <w:ilvl w:val="4"/>
      </w:numPr>
      <w:tabs>
        <w:tab w:val="num" w:pos="1008"/>
      </w:tabs>
      <w:spacing w:before="0" w:after="0"/>
      <w:ind w:left="3124" w:hanging="1008"/>
      <w:jc w:val="left"/>
    </w:pPr>
    <w:rPr>
      <w:rFonts w:ascii="Arial" w:hAnsi="Arial"/>
      <w:b w:val="0"/>
      <w:i w:val="0"/>
      <w:iCs w:val="0"/>
      <w:color w:val="0000FF"/>
      <w:sz w:val="24"/>
      <w:szCs w:val="20"/>
      <w:lang w:eastAsia="es-ES"/>
    </w:rPr>
  </w:style>
  <w:style w:type="paragraph" w:styleId="z-Finaldelformulario">
    <w:name w:val="HTML Bottom of Form"/>
    <w:basedOn w:val="Normal"/>
    <w:next w:val="Normal"/>
    <w:link w:val="z-FinaldelformularioCar"/>
    <w:hidden/>
    <w:rsid w:val="001A4860"/>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rsid w:val="001A4860"/>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rsid w:val="001A4860"/>
    <w:pPr>
      <w:pBdr>
        <w:bottom w:val="single" w:sz="6" w:space="1" w:color="auto"/>
      </w:pBdr>
      <w:jc w:val="center"/>
    </w:pPr>
    <w:rPr>
      <w:rFonts w:ascii="Arial" w:hAnsi="Arial" w:cs="Arial"/>
      <w:vanish/>
      <w:sz w:val="16"/>
      <w:szCs w:val="16"/>
      <w:lang w:val="es-ES" w:eastAsia="es-ES"/>
    </w:rPr>
  </w:style>
  <w:style w:type="character" w:customStyle="1" w:styleId="z-PrincipiodelformularioCar">
    <w:name w:val="z-Principio del formulario Car"/>
    <w:basedOn w:val="Fuentedeprrafopredeter"/>
    <w:link w:val="z-Principiodelformulario"/>
    <w:rsid w:val="001A4860"/>
    <w:rPr>
      <w:rFonts w:ascii="Arial" w:eastAsia="Times New Roman" w:hAnsi="Arial" w:cs="Arial"/>
      <w:vanish/>
      <w:sz w:val="16"/>
      <w:szCs w:val="16"/>
      <w:lang w:val="es-ES" w:eastAsia="es-ES"/>
    </w:rPr>
  </w:style>
  <w:style w:type="character" w:customStyle="1" w:styleId="AsuntodelcomentarioCar1">
    <w:name w:val="Asunto del comentario Car1"/>
    <w:basedOn w:val="TextocomentarioCar1"/>
    <w:uiPriority w:val="99"/>
    <w:semiHidden/>
    <w:rsid w:val="001A4860"/>
    <w:rPr>
      <w:rFonts w:eastAsia="Calibri"/>
      <w:b/>
      <w:bCs/>
      <w:sz w:val="20"/>
      <w:szCs w:val="20"/>
    </w:rPr>
  </w:style>
  <w:style w:type="paragraph" w:customStyle="1" w:styleId="toa">
    <w:name w:val="toa"/>
    <w:basedOn w:val="Normal"/>
    <w:rsid w:val="001A4860"/>
    <w:pPr>
      <w:tabs>
        <w:tab w:val="left" w:pos="-1440"/>
        <w:tab w:val="left" w:pos="-720"/>
        <w:tab w:val="left" w:pos="0"/>
        <w:tab w:val="left" w:pos="1152"/>
        <w:tab w:val="left" w:pos="1584"/>
        <w:tab w:val="left" w:pos="2160"/>
        <w:tab w:val="left" w:pos="9000"/>
        <w:tab w:val="right" w:pos="9360"/>
      </w:tabs>
      <w:suppressAutoHyphens/>
      <w:ind w:left="426"/>
      <w:outlineLvl w:val="0"/>
    </w:pPr>
    <w:rPr>
      <w:rFonts w:ascii="Arial" w:hAnsi="Arial"/>
      <w:spacing w:val="-3"/>
      <w:sz w:val="22"/>
      <w:lang w:val="en-US" w:eastAsia="es-ES"/>
    </w:rPr>
  </w:style>
  <w:style w:type="table" w:styleId="Cuadrculaclara-nfasis5">
    <w:name w:val="Light Grid Accent 5"/>
    <w:basedOn w:val="Tablanormal"/>
    <w:uiPriority w:val="62"/>
    <w:semiHidden/>
    <w:unhideWhenUsed/>
    <w:rsid w:val="001A486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numbering" w:customStyle="1" w:styleId="Sinlista4">
    <w:name w:val="Sin lista4"/>
    <w:next w:val="Sinlista"/>
    <w:uiPriority w:val="99"/>
    <w:semiHidden/>
    <w:unhideWhenUsed/>
    <w:rsid w:val="001A4860"/>
  </w:style>
  <w:style w:type="table" w:customStyle="1" w:styleId="Tablaconcuadrcula4">
    <w:name w:val="Tabla con cuadrícula4"/>
    <w:basedOn w:val="Tablanormal"/>
    <w:next w:val="Tablaconcuadrcula"/>
    <w:uiPriority w:val="39"/>
    <w:rsid w:val="001A4860"/>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68DB"/>
  </w:style>
  <w:style w:type="table" w:customStyle="1" w:styleId="Tablaconcuadrcula6">
    <w:name w:val="Tabla con cuadrícula6"/>
    <w:basedOn w:val="Tablanormal"/>
    <w:next w:val="Tablaconcuadrcula"/>
    <w:uiPriority w:val="39"/>
    <w:rsid w:val="003B68DB"/>
    <w:rPr>
      <w:rFonts w:ascii="Times New Roman" w:eastAsia="Times New Roman" w:hAnsi="Times New Roman" w:cs="Times New Roman"/>
      <w:sz w:val="20"/>
      <w:szCs w:val="20"/>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
    <w:name w:val="Estilo111"/>
    <w:uiPriority w:val="99"/>
    <w:rsid w:val="003B68DB"/>
    <w:pPr>
      <w:numPr>
        <w:numId w:val="12"/>
      </w:numPr>
    </w:pPr>
  </w:style>
  <w:style w:type="table" w:customStyle="1" w:styleId="Tablaconcuadrcula12">
    <w:name w:val="Tabla con cuadrícula12"/>
    <w:basedOn w:val="Tablanormal"/>
    <w:next w:val="Tablaconcuadrcula"/>
    <w:uiPriority w:val="59"/>
    <w:rsid w:val="003B68DB"/>
    <w:rPr>
      <w:rFonts w:ascii="Tahoma" w:eastAsia="Calibri" w:hAnsi="Tahoma" w:cs="Tahoma"/>
      <w:sz w:val="22"/>
      <w:szCs w:val="22"/>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68DB"/>
  </w:style>
  <w:style w:type="numbering" w:customStyle="1" w:styleId="Sinlista21">
    <w:name w:val="Sin lista21"/>
    <w:next w:val="Sinlista"/>
    <w:semiHidden/>
    <w:rsid w:val="003B68DB"/>
  </w:style>
  <w:style w:type="paragraph" w:customStyle="1" w:styleId="msonormal0">
    <w:name w:val="msonormal"/>
    <w:basedOn w:val="Normal"/>
    <w:rsid w:val="00367191"/>
    <w:pPr>
      <w:spacing w:before="100" w:beforeAutospacing="1" w:after="100" w:afterAutospacing="1"/>
      <w:jc w:val="left"/>
    </w:pPr>
    <w:rPr>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627">
      <w:bodyDiv w:val="1"/>
      <w:marLeft w:val="0"/>
      <w:marRight w:val="0"/>
      <w:marTop w:val="0"/>
      <w:marBottom w:val="0"/>
      <w:divBdr>
        <w:top w:val="none" w:sz="0" w:space="0" w:color="auto"/>
        <w:left w:val="none" w:sz="0" w:space="0" w:color="auto"/>
        <w:bottom w:val="none" w:sz="0" w:space="0" w:color="auto"/>
        <w:right w:val="none" w:sz="0" w:space="0" w:color="auto"/>
      </w:divBdr>
    </w:div>
    <w:div w:id="17321486">
      <w:bodyDiv w:val="1"/>
      <w:marLeft w:val="0"/>
      <w:marRight w:val="0"/>
      <w:marTop w:val="0"/>
      <w:marBottom w:val="0"/>
      <w:divBdr>
        <w:top w:val="none" w:sz="0" w:space="0" w:color="auto"/>
        <w:left w:val="none" w:sz="0" w:space="0" w:color="auto"/>
        <w:bottom w:val="none" w:sz="0" w:space="0" w:color="auto"/>
        <w:right w:val="none" w:sz="0" w:space="0" w:color="auto"/>
      </w:divBdr>
    </w:div>
    <w:div w:id="399401772">
      <w:bodyDiv w:val="1"/>
      <w:marLeft w:val="0"/>
      <w:marRight w:val="0"/>
      <w:marTop w:val="0"/>
      <w:marBottom w:val="0"/>
      <w:divBdr>
        <w:top w:val="none" w:sz="0" w:space="0" w:color="auto"/>
        <w:left w:val="none" w:sz="0" w:space="0" w:color="auto"/>
        <w:bottom w:val="none" w:sz="0" w:space="0" w:color="auto"/>
        <w:right w:val="none" w:sz="0" w:space="0" w:color="auto"/>
      </w:divBdr>
    </w:div>
    <w:div w:id="437990549">
      <w:bodyDiv w:val="1"/>
      <w:marLeft w:val="0"/>
      <w:marRight w:val="0"/>
      <w:marTop w:val="0"/>
      <w:marBottom w:val="0"/>
      <w:divBdr>
        <w:top w:val="none" w:sz="0" w:space="0" w:color="auto"/>
        <w:left w:val="none" w:sz="0" w:space="0" w:color="auto"/>
        <w:bottom w:val="none" w:sz="0" w:space="0" w:color="auto"/>
        <w:right w:val="none" w:sz="0" w:space="0" w:color="auto"/>
      </w:divBdr>
      <w:divsChild>
        <w:div w:id="1340497757">
          <w:marLeft w:val="0"/>
          <w:marRight w:val="0"/>
          <w:marTop w:val="0"/>
          <w:marBottom w:val="0"/>
          <w:divBdr>
            <w:top w:val="none" w:sz="0" w:space="0" w:color="auto"/>
            <w:left w:val="none" w:sz="0" w:space="0" w:color="auto"/>
            <w:bottom w:val="none" w:sz="0" w:space="0" w:color="auto"/>
            <w:right w:val="none" w:sz="0" w:space="0" w:color="auto"/>
          </w:divBdr>
        </w:div>
      </w:divsChild>
    </w:div>
    <w:div w:id="454759031">
      <w:bodyDiv w:val="1"/>
      <w:marLeft w:val="0"/>
      <w:marRight w:val="0"/>
      <w:marTop w:val="0"/>
      <w:marBottom w:val="0"/>
      <w:divBdr>
        <w:top w:val="none" w:sz="0" w:space="0" w:color="auto"/>
        <w:left w:val="none" w:sz="0" w:space="0" w:color="auto"/>
        <w:bottom w:val="none" w:sz="0" w:space="0" w:color="auto"/>
        <w:right w:val="none" w:sz="0" w:space="0" w:color="auto"/>
      </w:divBdr>
    </w:div>
    <w:div w:id="624309920">
      <w:bodyDiv w:val="1"/>
      <w:marLeft w:val="0"/>
      <w:marRight w:val="0"/>
      <w:marTop w:val="0"/>
      <w:marBottom w:val="0"/>
      <w:divBdr>
        <w:top w:val="none" w:sz="0" w:space="0" w:color="auto"/>
        <w:left w:val="none" w:sz="0" w:space="0" w:color="auto"/>
        <w:bottom w:val="none" w:sz="0" w:space="0" w:color="auto"/>
        <w:right w:val="none" w:sz="0" w:space="0" w:color="auto"/>
      </w:divBdr>
    </w:div>
    <w:div w:id="751850128">
      <w:bodyDiv w:val="1"/>
      <w:marLeft w:val="0"/>
      <w:marRight w:val="0"/>
      <w:marTop w:val="0"/>
      <w:marBottom w:val="0"/>
      <w:divBdr>
        <w:top w:val="none" w:sz="0" w:space="0" w:color="auto"/>
        <w:left w:val="none" w:sz="0" w:space="0" w:color="auto"/>
        <w:bottom w:val="none" w:sz="0" w:space="0" w:color="auto"/>
        <w:right w:val="none" w:sz="0" w:space="0" w:color="auto"/>
      </w:divBdr>
    </w:div>
    <w:div w:id="759182346">
      <w:bodyDiv w:val="1"/>
      <w:marLeft w:val="0"/>
      <w:marRight w:val="0"/>
      <w:marTop w:val="0"/>
      <w:marBottom w:val="0"/>
      <w:divBdr>
        <w:top w:val="none" w:sz="0" w:space="0" w:color="auto"/>
        <w:left w:val="none" w:sz="0" w:space="0" w:color="auto"/>
        <w:bottom w:val="none" w:sz="0" w:space="0" w:color="auto"/>
        <w:right w:val="none" w:sz="0" w:space="0" w:color="auto"/>
      </w:divBdr>
    </w:div>
    <w:div w:id="806973525">
      <w:bodyDiv w:val="1"/>
      <w:marLeft w:val="0"/>
      <w:marRight w:val="0"/>
      <w:marTop w:val="0"/>
      <w:marBottom w:val="0"/>
      <w:divBdr>
        <w:top w:val="none" w:sz="0" w:space="0" w:color="auto"/>
        <w:left w:val="none" w:sz="0" w:space="0" w:color="auto"/>
        <w:bottom w:val="none" w:sz="0" w:space="0" w:color="auto"/>
        <w:right w:val="none" w:sz="0" w:space="0" w:color="auto"/>
      </w:divBdr>
    </w:div>
    <w:div w:id="889343340">
      <w:bodyDiv w:val="1"/>
      <w:marLeft w:val="0"/>
      <w:marRight w:val="0"/>
      <w:marTop w:val="0"/>
      <w:marBottom w:val="0"/>
      <w:divBdr>
        <w:top w:val="none" w:sz="0" w:space="0" w:color="auto"/>
        <w:left w:val="none" w:sz="0" w:space="0" w:color="auto"/>
        <w:bottom w:val="none" w:sz="0" w:space="0" w:color="auto"/>
        <w:right w:val="none" w:sz="0" w:space="0" w:color="auto"/>
      </w:divBdr>
    </w:div>
    <w:div w:id="894008652">
      <w:bodyDiv w:val="1"/>
      <w:marLeft w:val="0"/>
      <w:marRight w:val="0"/>
      <w:marTop w:val="0"/>
      <w:marBottom w:val="0"/>
      <w:divBdr>
        <w:top w:val="none" w:sz="0" w:space="0" w:color="auto"/>
        <w:left w:val="none" w:sz="0" w:space="0" w:color="auto"/>
        <w:bottom w:val="none" w:sz="0" w:space="0" w:color="auto"/>
        <w:right w:val="none" w:sz="0" w:space="0" w:color="auto"/>
      </w:divBdr>
    </w:div>
    <w:div w:id="1007289340">
      <w:bodyDiv w:val="1"/>
      <w:marLeft w:val="0"/>
      <w:marRight w:val="0"/>
      <w:marTop w:val="0"/>
      <w:marBottom w:val="0"/>
      <w:divBdr>
        <w:top w:val="none" w:sz="0" w:space="0" w:color="auto"/>
        <w:left w:val="none" w:sz="0" w:space="0" w:color="auto"/>
        <w:bottom w:val="none" w:sz="0" w:space="0" w:color="auto"/>
        <w:right w:val="none" w:sz="0" w:space="0" w:color="auto"/>
      </w:divBdr>
    </w:div>
    <w:div w:id="1177890574">
      <w:bodyDiv w:val="1"/>
      <w:marLeft w:val="0"/>
      <w:marRight w:val="0"/>
      <w:marTop w:val="0"/>
      <w:marBottom w:val="0"/>
      <w:divBdr>
        <w:top w:val="none" w:sz="0" w:space="0" w:color="auto"/>
        <w:left w:val="none" w:sz="0" w:space="0" w:color="auto"/>
        <w:bottom w:val="none" w:sz="0" w:space="0" w:color="auto"/>
        <w:right w:val="none" w:sz="0" w:space="0" w:color="auto"/>
      </w:divBdr>
    </w:div>
    <w:div w:id="1192379125">
      <w:bodyDiv w:val="1"/>
      <w:marLeft w:val="0"/>
      <w:marRight w:val="0"/>
      <w:marTop w:val="0"/>
      <w:marBottom w:val="0"/>
      <w:divBdr>
        <w:top w:val="none" w:sz="0" w:space="0" w:color="auto"/>
        <w:left w:val="none" w:sz="0" w:space="0" w:color="auto"/>
        <w:bottom w:val="none" w:sz="0" w:space="0" w:color="auto"/>
        <w:right w:val="none" w:sz="0" w:space="0" w:color="auto"/>
      </w:divBdr>
    </w:div>
    <w:div w:id="1513841514">
      <w:bodyDiv w:val="1"/>
      <w:marLeft w:val="0"/>
      <w:marRight w:val="0"/>
      <w:marTop w:val="0"/>
      <w:marBottom w:val="0"/>
      <w:divBdr>
        <w:top w:val="none" w:sz="0" w:space="0" w:color="auto"/>
        <w:left w:val="none" w:sz="0" w:space="0" w:color="auto"/>
        <w:bottom w:val="none" w:sz="0" w:space="0" w:color="auto"/>
        <w:right w:val="none" w:sz="0" w:space="0" w:color="auto"/>
      </w:divBdr>
    </w:div>
    <w:div w:id="1976838357">
      <w:bodyDiv w:val="1"/>
      <w:marLeft w:val="0"/>
      <w:marRight w:val="0"/>
      <w:marTop w:val="0"/>
      <w:marBottom w:val="0"/>
      <w:divBdr>
        <w:top w:val="none" w:sz="0" w:space="0" w:color="auto"/>
        <w:left w:val="none" w:sz="0" w:space="0" w:color="auto"/>
        <w:bottom w:val="none" w:sz="0" w:space="0" w:color="auto"/>
        <w:right w:val="none" w:sz="0" w:space="0" w:color="auto"/>
      </w:divBdr>
    </w:div>
    <w:div w:id="199210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YIGodinez@fise.gob.ni" TargetMode="External"/><Relationship Id="rId26" Type="http://schemas.openxmlformats.org/officeDocument/2006/relationships/hyperlink" Target="mailto:ARobelo@fise.gob.ni" TargetMode="External"/><Relationship Id="rId39" Type="http://schemas.openxmlformats.org/officeDocument/2006/relationships/image" Target="media/image11.png"/><Relationship Id="rId21" Type="http://schemas.openxmlformats.org/officeDocument/2006/relationships/hyperlink" Target="mailto:ARobelo@fise.gob.ni"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hyperlink" Target="http://www.nicaraguacompra.gob.ni" TargetMode="Externa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www.nicaraguacompra.gob.ni" TargetMode="External"/><Relationship Id="rId32" Type="http://schemas.openxmlformats.org/officeDocument/2006/relationships/footer" Target="footer5.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mailto:AJLacayo@fise.gob.ni"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footer" Target="footer7.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YIGodinez@fise.gob.ni" TargetMode="External"/><Relationship Id="rId27" Type="http://schemas.openxmlformats.org/officeDocument/2006/relationships/hyperlink" Target="mailto:YIGodinez@fise.gob.ni" TargetMode="External"/><Relationship Id="rId30" Type="http://schemas.openxmlformats.org/officeDocument/2006/relationships/footer" Target="footer4.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mailto:ARobelo@fise.gob.ni" TargetMode="External"/><Relationship Id="rId25" Type="http://schemas.openxmlformats.org/officeDocument/2006/relationships/hyperlink" Target="https://www.bls.gov/cpi/"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nicaraguacompra.gob.ni" TargetMode="External"/><Relationship Id="rId28" Type="http://schemas.openxmlformats.org/officeDocument/2006/relationships/header" Target="header1.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38b9962-e301-4061-9a0d-07dcdaa7de38">
      <UserInfo>
        <DisplayName>Juan Mourra</DisplayName>
        <AccountId>491</AccountId>
        <AccountType/>
      </UserInfo>
      <UserInfo>
        <DisplayName>Adriana Elisa Coello Zúniga</DisplayName>
        <AccountId>112</AccountId>
        <AccountType/>
      </UserInfo>
      <UserInfo>
        <DisplayName>Ana Marcela Rodriguez</DisplayName>
        <AccountId>87</AccountId>
        <AccountType/>
      </UserInfo>
      <UserInfo>
        <DisplayName>Luis Rivas</DisplayName>
        <AccountId>6</AccountId>
        <AccountType/>
      </UserInfo>
      <UserInfo>
        <DisplayName>Manuel Salinas</DisplayName>
        <AccountId>20</AccountId>
        <AccountType/>
      </UserInfo>
      <UserInfo>
        <DisplayName>Linda Bardales</DisplayName>
        <AccountId>925</AccountId>
        <AccountType/>
      </UserInfo>
    </SharedWithUsers>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o" ma:contentTypeID="0x010100EFEC2D1716A90E45A7E5B73FCE5564E5" ma:contentTypeVersion="13" ma:contentTypeDescription="Crear nuevo documento." ma:contentTypeScope="" ma:versionID="101b560e5424e00eae81be6e0f7b19bc">
  <xsd:schema xmlns:xsd="http://www.w3.org/2001/XMLSchema" xmlns:xs="http://www.w3.org/2001/XMLSchema" xmlns:p="http://schemas.microsoft.com/office/2006/metadata/properties" xmlns:ns2="ba933148-6c10-45b5-aa53-771940b71c64" xmlns:ns3="638b9962-e301-4061-9a0d-07dcdaa7de38" targetNamespace="http://schemas.microsoft.com/office/2006/metadata/properties" ma:root="true" ma:fieldsID="11a62130f9929c45331ec1a54b41de71" ns2:_="" ns3:_="">
    <xsd:import namespace="ba933148-6c10-45b5-aa53-771940b71c64"/>
    <xsd:import namespace="638b9962-e301-4061-9a0d-07dcdaa7de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33148-6c10-45b5-aa53-771940b71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b9962-e301-4061-9a0d-07dcdaa7de38"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E9775-DDD9-4494-A506-59AF5605E09D}">
  <ds:schemaRefs>
    <ds:schemaRef ds:uri="http://schemas.openxmlformats.org/package/2006/metadata/core-properties"/>
    <ds:schemaRef ds:uri="http://purl.org/dc/dcmitype/"/>
    <ds:schemaRef ds:uri="http://schemas.microsoft.com/office/infopath/2007/PartnerControls"/>
    <ds:schemaRef ds:uri="638b9962-e301-4061-9a0d-07dcdaa7de38"/>
    <ds:schemaRef ds:uri="http://purl.org/dc/elements/1.1/"/>
    <ds:schemaRef ds:uri="http://schemas.microsoft.com/office/2006/metadata/properties"/>
    <ds:schemaRef ds:uri="http://schemas.microsoft.com/office/2006/documentManagement/types"/>
    <ds:schemaRef ds:uri="http://purl.org/dc/terms/"/>
    <ds:schemaRef ds:uri="ba933148-6c10-45b5-aa53-771940b71c64"/>
    <ds:schemaRef ds:uri="http://www.w3.org/XML/1998/namespace"/>
  </ds:schemaRefs>
</ds:datastoreItem>
</file>

<file path=customXml/itemProps2.xml><?xml version="1.0" encoding="utf-8"?>
<ds:datastoreItem xmlns:ds="http://schemas.openxmlformats.org/officeDocument/2006/customXml" ds:itemID="{EC42428C-FA97-47C6-BFFC-C4283301F2E1}">
  <ds:schemaRefs>
    <ds:schemaRef ds:uri="http://schemas.microsoft.com/sharepoint/v3/contenttype/forms"/>
  </ds:schemaRefs>
</ds:datastoreItem>
</file>

<file path=customXml/itemProps3.xml><?xml version="1.0" encoding="utf-8"?>
<ds:datastoreItem xmlns:ds="http://schemas.openxmlformats.org/officeDocument/2006/customXml" ds:itemID="{27EC117B-EC22-4F0B-AD32-A8E089CF1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33148-6c10-45b5-aa53-771940b71c64"/>
    <ds:schemaRef ds:uri="638b9962-e301-4061-9a0d-07dcdaa7d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724983-9B5B-4802-82E9-8F92CB9E4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697</Pages>
  <Words>237347</Words>
  <Characters>1305410</Characters>
  <Application>Microsoft Office Word</Application>
  <DocSecurity>0</DocSecurity>
  <Lines>10878</Lines>
  <Paragraphs>3079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Tayler</dc:creator>
  <cp:keywords/>
  <dc:description/>
  <cp:lastModifiedBy>Yahoska Iveth Godinez Duriez</cp:lastModifiedBy>
  <cp:revision>3</cp:revision>
  <cp:lastPrinted>2021-07-01T16:50:00Z</cp:lastPrinted>
  <dcterms:created xsi:type="dcterms:W3CDTF">2022-05-25T17:11:00Z</dcterms:created>
  <dcterms:modified xsi:type="dcterms:W3CDTF">2022-05-25T22:25:00Z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0x010100EFEC2D1716A90E45A7E5B73FCE5564E5</vt:lpwstr>
  </property>
  <property fmtid="{D5CDD505-2E9C-101B-9397-08002B2CF9AE}" pid="3" name="MSIP_Label_cf47f881-adc5-4399-b192-5cbb86fc4c86_Enabled">
    <vt:lpwstr>true</vt:lpwstr>
  </property>
  <property fmtid="{D5CDD505-2E9C-101B-9397-08002B2CF9AE}" pid="4" name="MSIP_Label_cf47f881-adc5-4399-b192-5cbb86fc4c86_SetDate">
    <vt:lpwstr>2021-07-01T16:49:39Z</vt:lpwstr>
  </property>
  <property fmtid="{D5CDD505-2E9C-101B-9397-08002B2CF9AE}" pid="5" name="MSIP_Label_cf47f881-adc5-4399-b192-5cbb86fc4c86_Method">
    <vt:lpwstr>Privileged</vt:lpwstr>
  </property>
  <property fmtid="{D5CDD505-2E9C-101B-9397-08002B2CF9AE}" pid="6" name="MSIP_Label_cf47f881-adc5-4399-b192-5cbb86fc4c86_Name">
    <vt:lpwstr>cf47f881-adc5-4399-b192-5cbb86fc4c86</vt:lpwstr>
  </property>
  <property fmtid="{D5CDD505-2E9C-101B-9397-08002B2CF9AE}" pid="7" name="MSIP_Label_cf47f881-adc5-4399-b192-5cbb86fc4c86_SiteId">
    <vt:lpwstr>7c454549-6212-4ac1-be14-96aadbceb0ba</vt:lpwstr>
  </property>
  <property fmtid="{D5CDD505-2E9C-101B-9397-08002B2CF9AE}" pid="8" name="MSIP_Label_cf47f881-adc5-4399-b192-5cbb86fc4c86_ActionId">
    <vt:lpwstr>e39adca7-86e0-4fe0-a777-a135eb325fa2</vt:lpwstr>
  </property>
  <property fmtid="{D5CDD505-2E9C-101B-9397-08002B2CF9AE}" pid="9" name="MSIP_Label_cf47f881-adc5-4399-b192-5cbb86fc4c86_ContentBits">
    <vt:lpwstr>2</vt:lpwstr>
  </property>
</Properties>
</file>